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C7F78" w14:textId="354B2E34" w:rsidR="00211C15" w:rsidRPr="00D61F73" w:rsidRDefault="00C534A0" w:rsidP="00D61F73">
      <w:pPr>
        <w:pStyle w:val="Heading5"/>
        <w:contextualSpacing/>
        <w:rPr>
          <w:rFonts w:ascii="Arial" w:hAnsi="Arial" w:cs="Arial"/>
          <w:bCs w:val="0"/>
          <w:sz w:val="28"/>
        </w:rPr>
      </w:pPr>
      <w:bookmarkStart w:id="0" w:name="_CHRONIC_PAIN_MEDICAL"/>
      <w:bookmarkStart w:id="1" w:name="_GoBack"/>
      <w:bookmarkEnd w:id="0"/>
      <w:bookmarkEnd w:id="1"/>
      <w:r w:rsidRPr="00D61F73">
        <w:rPr>
          <w:rFonts w:ascii="Arial" w:hAnsi="Arial" w:cs="Arial"/>
          <w:bCs w:val="0"/>
        </w:rPr>
        <w:t xml:space="preserve">    </w:t>
      </w:r>
      <w:r w:rsidR="00BE1FD1" w:rsidRPr="00D61F73">
        <w:rPr>
          <w:rFonts w:ascii="Arial" w:hAnsi="Arial" w:cs="Arial"/>
          <w:bCs w:val="0"/>
          <w:sz w:val="28"/>
        </w:rPr>
        <w:t xml:space="preserve">MEDICAL </w:t>
      </w:r>
      <w:r w:rsidR="00ED5415" w:rsidRPr="00D61F73">
        <w:rPr>
          <w:rFonts w:ascii="Arial" w:hAnsi="Arial" w:cs="Arial"/>
          <w:bCs w:val="0"/>
          <w:sz w:val="28"/>
        </w:rPr>
        <w:t>TREATMENT UTILIZATION</w:t>
      </w:r>
      <w:r w:rsidR="00BE1FD1" w:rsidRPr="00D61F73">
        <w:rPr>
          <w:rFonts w:ascii="Arial" w:hAnsi="Arial" w:cs="Arial"/>
          <w:bCs w:val="0"/>
          <w:sz w:val="28"/>
        </w:rPr>
        <w:t xml:space="preserve"> SCHEDULE (MTUS)</w:t>
      </w:r>
    </w:p>
    <w:p w14:paraId="6073040C" w14:textId="77777777" w:rsidR="00152A5C" w:rsidRPr="00D61F73" w:rsidRDefault="00A32A1A" w:rsidP="00D61F73">
      <w:pPr>
        <w:pStyle w:val="Heading5"/>
        <w:contextualSpacing/>
        <w:rPr>
          <w:rFonts w:ascii="Arial" w:hAnsi="Arial" w:cs="Arial"/>
          <w:bCs w:val="0"/>
          <w:sz w:val="28"/>
        </w:rPr>
      </w:pPr>
      <w:r w:rsidRPr="00D61F73">
        <w:rPr>
          <w:rFonts w:ascii="Arial" w:hAnsi="Arial" w:cs="Arial"/>
          <w:bCs w:val="0"/>
          <w:sz w:val="28"/>
        </w:rPr>
        <w:t>CHRONIC P</w:t>
      </w:r>
      <w:r w:rsidR="00C4248E" w:rsidRPr="00D61F73">
        <w:rPr>
          <w:rFonts w:ascii="Arial" w:hAnsi="Arial" w:cs="Arial"/>
          <w:bCs w:val="0"/>
          <w:sz w:val="28"/>
        </w:rPr>
        <w:t>AIN MEDICAL TREATMENT GUIDELINE</w:t>
      </w:r>
      <w:r w:rsidR="001E0F09" w:rsidRPr="00D61F73">
        <w:rPr>
          <w:rFonts w:ascii="Arial" w:hAnsi="Arial" w:cs="Arial"/>
          <w:bCs w:val="0"/>
          <w:sz w:val="28"/>
        </w:rPr>
        <w:t>S</w:t>
      </w:r>
    </w:p>
    <w:p w14:paraId="376F17F4" w14:textId="77777777" w:rsidR="008D0565" w:rsidRPr="00D61F73" w:rsidRDefault="008D0565" w:rsidP="00D61F73">
      <w:pPr>
        <w:pStyle w:val="Heading5"/>
        <w:rPr>
          <w:rFonts w:ascii="Arial" w:hAnsi="Arial" w:cs="Arial"/>
        </w:rPr>
      </w:pPr>
    </w:p>
    <w:p w14:paraId="3BF6AC14" w14:textId="77777777" w:rsidR="00DB1FD7" w:rsidRPr="00D61F73" w:rsidRDefault="00DB1FD7" w:rsidP="00D61F73">
      <w:pPr>
        <w:rPr>
          <w:rFonts w:ascii="Arial" w:hAnsi="Arial" w:cs="Arial"/>
        </w:rPr>
      </w:pPr>
    </w:p>
    <w:p w14:paraId="01345D33" w14:textId="77777777" w:rsidR="00DB1FD7" w:rsidRPr="00D61F73" w:rsidRDefault="00DB1FD7" w:rsidP="00D61F73">
      <w:pPr>
        <w:rPr>
          <w:rFonts w:ascii="Arial" w:hAnsi="Arial" w:cs="Arial"/>
        </w:rPr>
      </w:pPr>
    </w:p>
    <w:p w14:paraId="50E83083" w14:textId="77777777" w:rsidR="00DB1FD7" w:rsidRPr="00D61F73" w:rsidRDefault="00DB1FD7" w:rsidP="00D61F73">
      <w:pPr>
        <w:rPr>
          <w:rFonts w:ascii="Arial" w:hAnsi="Arial" w:cs="Arial"/>
        </w:rPr>
      </w:pPr>
    </w:p>
    <w:p w14:paraId="7699FA43" w14:textId="77777777" w:rsidR="00DB1FD7" w:rsidRPr="00D61F73" w:rsidRDefault="00DB1FD7" w:rsidP="00D61F73">
      <w:pPr>
        <w:rPr>
          <w:rFonts w:ascii="Arial" w:hAnsi="Arial" w:cs="Arial"/>
        </w:rPr>
      </w:pPr>
    </w:p>
    <w:p w14:paraId="0C22DE7E" w14:textId="77777777" w:rsidR="00211C15" w:rsidRPr="00D61F73" w:rsidRDefault="00211C15" w:rsidP="00D61F73">
      <w:pPr>
        <w:spacing w:after="160"/>
        <w:jc w:val="center"/>
        <w:rPr>
          <w:rFonts w:ascii="Arial" w:hAnsi="Arial" w:cs="Arial"/>
          <w:b/>
          <w:bCs/>
          <w:color w:val="auto"/>
          <w:sz w:val="28"/>
        </w:rPr>
      </w:pPr>
    </w:p>
    <w:p w14:paraId="30BE4EE2" w14:textId="77777777" w:rsidR="00211C15" w:rsidRPr="00D61F73" w:rsidRDefault="009043C6" w:rsidP="00D61F73">
      <w:pPr>
        <w:spacing w:after="160"/>
        <w:jc w:val="center"/>
        <w:rPr>
          <w:rFonts w:ascii="Arial" w:hAnsi="Arial" w:cs="Arial"/>
          <w:b/>
          <w:bCs/>
          <w:color w:val="auto"/>
          <w:sz w:val="28"/>
        </w:rPr>
      </w:pPr>
      <w:r w:rsidRPr="00D61F73">
        <w:rPr>
          <w:rFonts w:ascii="Arial" w:hAnsi="Arial" w:cs="Arial"/>
          <w:b/>
          <w:bCs/>
          <w:color w:val="auto"/>
          <w:sz w:val="28"/>
        </w:rPr>
        <w:t>Part</w:t>
      </w:r>
      <w:r w:rsidR="00075EA8" w:rsidRPr="00D61F73">
        <w:rPr>
          <w:rFonts w:ascii="Arial" w:hAnsi="Arial" w:cs="Arial"/>
          <w:b/>
          <w:bCs/>
          <w:color w:val="auto"/>
          <w:sz w:val="28"/>
        </w:rPr>
        <w:t xml:space="preserve"> </w:t>
      </w:r>
      <w:r w:rsidRPr="00D61F73">
        <w:rPr>
          <w:rFonts w:ascii="Arial" w:hAnsi="Arial" w:cs="Arial"/>
          <w:b/>
          <w:bCs/>
          <w:color w:val="auto"/>
          <w:sz w:val="28"/>
        </w:rPr>
        <w:t xml:space="preserve">1: Introduction </w:t>
      </w:r>
    </w:p>
    <w:p w14:paraId="0FE4F60B" w14:textId="4BF0A25D" w:rsidR="009043C6" w:rsidRPr="00D61F73" w:rsidRDefault="009043C6" w:rsidP="00D61F73">
      <w:pPr>
        <w:spacing w:after="160"/>
        <w:jc w:val="center"/>
        <w:rPr>
          <w:rFonts w:ascii="Arial" w:hAnsi="Arial" w:cs="Arial"/>
          <w:b/>
          <w:bCs/>
          <w:color w:val="auto"/>
          <w:sz w:val="28"/>
        </w:rPr>
      </w:pPr>
      <w:r w:rsidRPr="00D61F73">
        <w:rPr>
          <w:rFonts w:ascii="Arial" w:hAnsi="Arial" w:cs="Arial"/>
          <w:b/>
          <w:bCs/>
          <w:color w:val="auto"/>
          <w:sz w:val="28"/>
        </w:rPr>
        <w:t>Part</w:t>
      </w:r>
      <w:r w:rsidR="00075EA8" w:rsidRPr="00D61F73">
        <w:rPr>
          <w:rFonts w:ascii="Arial" w:hAnsi="Arial" w:cs="Arial"/>
          <w:b/>
          <w:bCs/>
          <w:color w:val="auto"/>
          <w:sz w:val="28"/>
        </w:rPr>
        <w:t xml:space="preserve"> </w:t>
      </w:r>
      <w:r w:rsidRPr="00D61F73">
        <w:rPr>
          <w:rFonts w:ascii="Arial" w:hAnsi="Arial" w:cs="Arial"/>
          <w:b/>
          <w:bCs/>
          <w:color w:val="auto"/>
          <w:sz w:val="28"/>
        </w:rPr>
        <w:t>2:</w:t>
      </w:r>
      <w:r w:rsidRPr="00D61F73">
        <w:rPr>
          <w:rFonts w:ascii="Arial" w:hAnsi="Arial" w:cs="Arial"/>
          <w:b/>
        </w:rPr>
        <w:t xml:space="preserve"> </w:t>
      </w:r>
      <w:r w:rsidR="00B07D16" w:rsidRPr="00D61F73">
        <w:rPr>
          <w:rFonts w:ascii="Arial" w:hAnsi="Arial" w:cs="Arial"/>
          <w:b/>
          <w:iCs/>
          <w:sz w:val="28"/>
        </w:rPr>
        <w:t>Official Disability Guidelines</w:t>
      </w:r>
      <w:r w:rsidR="00B07D16" w:rsidRPr="00D61F73">
        <w:rPr>
          <w:rFonts w:ascii="Arial" w:hAnsi="Arial" w:cs="Arial"/>
          <w:b/>
          <w:sz w:val="28"/>
        </w:rPr>
        <w:t xml:space="preserve"> (ODG)</w:t>
      </w:r>
      <w:r w:rsidR="00B07D16" w:rsidRPr="00D61F73">
        <w:rPr>
          <w:rFonts w:ascii="Arial" w:hAnsi="Arial" w:cs="Arial"/>
          <w:sz w:val="28"/>
        </w:rPr>
        <w:t xml:space="preserve"> </w:t>
      </w:r>
      <w:r w:rsidRPr="00D61F73">
        <w:rPr>
          <w:rFonts w:ascii="Arial" w:hAnsi="Arial" w:cs="Arial"/>
          <w:b/>
          <w:bCs/>
          <w:color w:val="auto"/>
          <w:sz w:val="28"/>
        </w:rPr>
        <w:t>Treatment in Workers’ Compensation</w:t>
      </w:r>
      <w:r w:rsidR="008C5CFB" w:rsidRPr="00D61F73">
        <w:rPr>
          <w:rFonts w:ascii="Arial" w:hAnsi="Arial" w:cs="Arial"/>
          <w:b/>
          <w:bCs/>
          <w:color w:val="auto"/>
          <w:sz w:val="28"/>
        </w:rPr>
        <w:t xml:space="preserve"> </w:t>
      </w:r>
      <w:r w:rsidR="005715D5" w:rsidRPr="00D61F73">
        <w:rPr>
          <w:rFonts w:ascii="Arial" w:hAnsi="Arial" w:cs="Arial"/>
          <w:b/>
          <w:bCs/>
          <w:color w:val="auto"/>
          <w:sz w:val="28"/>
        </w:rPr>
        <w:t>—</w:t>
      </w:r>
      <w:r w:rsidR="0064182F">
        <w:rPr>
          <w:rFonts w:ascii="Arial" w:hAnsi="Arial" w:cs="Arial"/>
          <w:b/>
          <w:bCs/>
          <w:color w:val="auto"/>
          <w:sz w:val="28"/>
        </w:rPr>
        <w:t xml:space="preserve"> </w:t>
      </w:r>
      <w:r w:rsidR="008C5CFB" w:rsidRPr="00D61F73">
        <w:rPr>
          <w:rFonts w:ascii="Arial" w:hAnsi="Arial" w:cs="Arial"/>
          <w:b/>
          <w:bCs/>
          <w:color w:val="auto"/>
          <w:sz w:val="28"/>
        </w:rPr>
        <w:t>Pain (Chronic)</w:t>
      </w:r>
      <w:r w:rsidRPr="00D61F73">
        <w:rPr>
          <w:rFonts w:ascii="Arial" w:hAnsi="Arial" w:cs="Arial"/>
          <w:b/>
          <w:bCs/>
          <w:color w:val="auto"/>
          <w:sz w:val="28"/>
        </w:rPr>
        <w:t xml:space="preserve"> </w:t>
      </w:r>
    </w:p>
    <w:p w14:paraId="5DBFB17A" w14:textId="77777777" w:rsidR="007F7F2F" w:rsidRPr="00D61F73" w:rsidRDefault="007F7F2F" w:rsidP="00D61F73">
      <w:pPr>
        <w:spacing w:after="160"/>
        <w:jc w:val="center"/>
        <w:rPr>
          <w:rFonts w:ascii="Arial" w:hAnsi="Arial" w:cs="Arial"/>
          <w:b/>
          <w:bCs/>
          <w:color w:val="auto"/>
          <w:sz w:val="28"/>
        </w:rPr>
      </w:pPr>
    </w:p>
    <w:p w14:paraId="4615D8A0" w14:textId="57FD61CC" w:rsidR="006E21A2" w:rsidRPr="000815AA" w:rsidRDefault="00E33607" w:rsidP="00D61F73">
      <w:pPr>
        <w:pStyle w:val="Heading5"/>
        <w:contextualSpacing/>
        <w:rPr>
          <w:rFonts w:ascii="Arial" w:hAnsi="Arial" w:cs="Arial"/>
          <w:bCs w:val="0"/>
          <w:strike/>
          <w:sz w:val="28"/>
        </w:rPr>
      </w:pPr>
      <w:r w:rsidRPr="000815AA">
        <w:rPr>
          <w:rFonts w:ascii="Arial" w:hAnsi="Arial" w:cs="Arial"/>
          <w:bCs w:val="0"/>
          <w:strike/>
          <w:sz w:val="28"/>
        </w:rPr>
        <w:t>July</w:t>
      </w:r>
      <w:r w:rsidR="00211C15" w:rsidRPr="000815AA">
        <w:rPr>
          <w:rFonts w:ascii="Arial" w:hAnsi="Arial" w:cs="Arial"/>
          <w:bCs w:val="0"/>
          <w:strike/>
          <w:sz w:val="28"/>
        </w:rPr>
        <w:t xml:space="preserve"> 2015</w:t>
      </w:r>
    </w:p>
    <w:p w14:paraId="2F22E6C5" w14:textId="65043C07" w:rsidR="001B43ED" w:rsidRPr="001B43ED" w:rsidRDefault="00570746" w:rsidP="001B43ED">
      <w:pPr>
        <w:jc w:val="center"/>
        <w:rPr>
          <w:rFonts w:ascii="Arial" w:hAnsi="Arial" w:cs="Arial"/>
          <w:b/>
        </w:rPr>
      </w:pPr>
      <w:r w:rsidRPr="000815AA">
        <w:rPr>
          <w:rFonts w:ascii="Arial" w:hAnsi="Arial" w:cs="Arial"/>
          <w:b/>
          <w:u w:val="single"/>
        </w:rPr>
        <w:t>[</w:t>
      </w:r>
      <w:r w:rsidR="00890E2A" w:rsidRPr="000815AA">
        <w:rPr>
          <w:rFonts w:ascii="Arial" w:hAnsi="Arial" w:cs="Arial"/>
          <w:b/>
          <w:u w:val="single"/>
        </w:rPr>
        <w:t>Insert Effective Date of Regulations</w:t>
      </w:r>
      <w:r>
        <w:rPr>
          <w:rFonts w:ascii="Arial" w:hAnsi="Arial" w:cs="Arial"/>
          <w:b/>
          <w:u w:val="double"/>
        </w:rPr>
        <w:t>]</w:t>
      </w:r>
    </w:p>
    <w:p w14:paraId="4F2448BE" w14:textId="77777777" w:rsidR="006E21A2" w:rsidRPr="00D61F73" w:rsidRDefault="006E21A2" w:rsidP="00D61F73">
      <w:pPr>
        <w:rPr>
          <w:rFonts w:ascii="Arial" w:hAnsi="Arial" w:cs="Arial"/>
        </w:rPr>
      </w:pPr>
    </w:p>
    <w:p w14:paraId="3E0779F7" w14:textId="77777777" w:rsidR="006E21A2" w:rsidRPr="00D61F73" w:rsidRDefault="006E21A2" w:rsidP="00D61F73">
      <w:pPr>
        <w:rPr>
          <w:rFonts w:ascii="Arial" w:hAnsi="Arial" w:cs="Arial"/>
        </w:rPr>
      </w:pPr>
    </w:p>
    <w:p w14:paraId="5CE2877B" w14:textId="77777777" w:rsidR="001E4B17" w:rsidRPr="00D61F73" w:rsidRDefault="001E4B17" w:rsidP="00D61F73">
      <w:pPr>
        <w:rPr>
          <w:rFonts w:ascii="Arial" w:hAnsi="Arial" w:cs="Arial"/>
        </w:rPr>
        <w:sectPr w:rsidR="001E4B17" w:rsidRPr="00D61F73" w:rsidSect="001E4B17">
          <w:headerReference w:type="even" r:id="rId9"/>
          <w:headerReference w:type="default" r:id="rId10"/>
          <w:footerReference w:type="even" r:id="rId11"/>
          <w:footerReference w:type="default" r:id="rId12"/>
          <w:headerReference w:type="first" r:id="rId13"/>
          <w:footerReference w:type="first" r:id="rId14"/>
          <w:pgSz w:w="12240" w:h="15840" w:code="1"/>
          <w:pgMar w:top="1008" w:right="1008" w:bottom="1008" w:left="1008" w:header="576" w:footer="0" w:gutter="0"/>
          <w:pgNumType w:fmt="lowerRoman" w:start="1"/>
          <w:cols w:space="720"/>
          <w:titlePg/>
          <w:docGrid w:linePitch="360"/>
        </w:sectPr>
      </w:pPr>
      <w:bookmarkStart w:id="2" w:name="_Cheing"/>
      <w:bookmarkStart w:id="3" w:name="_Sawitzke"/>
      <w:bookmarkStart w:id="4" w:name="_Khadilkar3"/>
      <w:bookmarkStart w:id="5" w:name="_Dagenais4"/>
      <w:bookmarkEnd w:id="2"/>
      <w:bookmarkEnd w:id="3"/>
      <w:bookmarkEnd w:id="4"/>
      <w:bookmarkEnd w:id="5"/>
    </w:p>
    <w:p w14:paraId="79746FB1" w14:textId="77777777" w:rsidR="000622C2" w:rsidRPr="00D61F73" w:rsidRDefault="000622C2" w:rsidP="00D61F73">
      <w:pPr>
        <w:rPr>
          <w:rFonts w:ascii="Arial" w:hAnsi="Arial" w:cs="Arial"/>
        </w:rPr>
      </w:pPr>
    </w:p>
    <w:p w14:paraId="02EDDCBB" w14:textId="0ABA77FD" w:rsidR="008D0565" w:rsidRPr="00DA6895" w:rsidRDefault="00A57538" w:rsidP="00D61F73">
      <w:pPr>
        <w:rPr>
          <w:rFonts w:ascii="Arial" w:eastAsiaTheme="majorEastAsia" w:hAnsi="Arial" w:cs="Arial"/>
          <w:color w:val="000000" w:themeColor="text1"/>
          <w:lang w:eastAsia="ja-JP"/>
        </w:rPr>
      </w:pPr>
      <w:r>
        <w:rPr>
          <w:rFonts w:ascii="Arial" w:eastAsiaTheme="majorEastAsia" w:hAnsi="Arial" w:cs="Arial"/>
          <w:color w:val="000000" w:themeColor="text1"/>
        </w:rPr>
        <w:t xml:space="preserve">Table of </w:t>
      </w:r>
      <w:r w:rsidR="00C3080B" w:rsidRPr="00DA6895">
        <w:rPr>
          <w:rFonts w:ascii="Arial" w:eastAsiaTheme="majorEastAsia" w:hAnsi="Arial" w:cs="Arial"/>
          <w:color w:val="000000" w:themeColor="text1"/>
        </w:rPr>
        <w:t>Contents</w:t>
      </w:r>
    </w:p>
    <w:p w14:paraId="7A39961F" w14:textId="77777777" w:rsidR="008D0565" w:rsidRPr="00D61F73" w:rsidRDefault="008D0565" w:rsidP="00D61F73">
      <w:pPr>
        <w:pStyle w:val="Footer"/>
        <w:tabs>
          <w:tab w:val="clear" w:pos="4320"/>
          <w:tab w:val="clear" w:pos="8640"/>
        </w:tabs>
        <w:rPr>
          <w:rFonts w:ascii="Arial" w:hAnsi="Arial" w:cs="Arial"/>
        </w:rPr>
      </w:pPr>
    </w:p>
    <w:p w14:paraId="0E411934" w14:textId="220E7F4F" w:rsidR="00501CDF" w:rsidRPr="00D61F73" w:rsidRDefault="00751163" w:rsidP="00D61F73">
      <w:pPr>
        <w:pStyle w:val="Footer"/>
        <w:tabs>
          <w:tab w:val="clear" w:pos="4320"/>
          <w:tab w:val="clear" w:pos="8640"/>
        </w:tabs>
        <w:rPr>
          <w:rFonts w:ascii="Arial" w:hAnsi="Arial" w:cs="Arial"/>
        </w:rPr>
      </w:pPr>
      <w:hyperlink w:anchor="Part1introduction" w:history="1">
        <w:r w:rsidR="00501CDF" w:rsidRPr="00D61F73">
          <w:rPr>
            <w:rStyle w:val="Hyperlink"/>
            <w:rFonts w:ascii="Arial" w:hAnsi="Arial" w:cs="Arial"/>
            <w:b/>
            <w:u w:val="none"/>
          </w:rPr>
          <w:t>Part 1: Introduction</w:t>
        </w:r>
      </w:hyperlink>
      <w:r w:rsidR="008528BA" w:rsidRPr="00D61F73">
        <w:rPr>
          <w:rFonts w:ascii="Arial" w:hAnsi="Arial" w:cs="Arial"/>
        </w:rPr>
        <w:t>……………………….……………………………………..…………</w:t>
      </w:r>
      <w:r w:rsidR="000D7FBC" w:rsidRPr="00D61F73">
        <w:rPr>
          <w:rFonts w:ascii="Arial" w:hAnsi="Arial" w:cs="Arial"/>
        </w:rPr>
        <w:t>……</w:t>
      </w:r>
      <w:r w:rsidR="00A1243C" w:rsidRPr="00D61F73">
        <w:rPr>
          <w:rFonts w:ascii="Arial" w:hAnsi="Arial" w:cs="Arial"/>
        </w:rPr>
        <w:t>…</w:t>
      </w:r>
      <w:r w:rsidR="000D7FBC" w:rsidRPr="00D61F73">
        <w:rPr>
          <w:rFonts w:ascii="Arial" w:hAnsi="Arial" w:cs="Arial"/>
        </w:rPr>
        <w:t>….</w:t>
      </w:r>
      <w:r w:rsidR="000D7FBC" w:rsidRPr="000815AA">
        <w:rPr>
          <w:rFonts w:ascii="Arial" w:hAnsi="Arial" w:cs="Arial"/>
          <w:strike/>
        </w:rPr>
        <w:t>.</w:t>
      </w:r>
      <w:r w:rsidR="00B055DC" w:rsidRPr="000815AA">
        <w:rPr>
          <w:rFonts w:ascii="Arial" w:hAnsi="Arial" w:cs="Arial"/>
          <w:strike/>
        </w:rPr>
        <w:t>1</w:t>
      </w:r>
    </w:p>
    <w:p w14:paraId="7270A6B2" w14:textId="77777777" w:rsidR="00501CDF" w:rsidRPr="00D61F73" w:rsidRDefault="00501CDF" w:rsidP="00D61F73">
      <w:pPr>
        <w:pStyle w:val="Footer"/>
        <w:tabs>
          <w:tab w:val="clear" w:pos="4320"/>
          <w:tab w:val="clear" w:pos="8640"/>
        </w:tabs>
        <w:rPr>
          <w:rFonts w:ascii="Arial" w:hAnsi="Arial" w:cs="Arial"/>
        </w:rPr>
      </w:pPr>
    </w:p>
    <w:p w14:paraId="66B7ED74" w14:textId="05A84D1C" w:rsidR="00501CDF" w:rsidRPr="00D61F73" w:rsidRDefault="00751163" w:rsidP="00D61F73">
      <w:pPr>
        <w:pStyle w:val="Footer"/>
        <w:tabs>
          <w:tab w:val="clear" w:pos="4320"/>
          <w:tab w:val="clear" w:pos="8640"/>
        </w:tabs>
        <w:ind w:firstLine="720"/>
        <w:rPr>
          <w:rFonts w:ascii="Arial" w:hAnsi="Arial" w:cs="Arial"/>
          <w:color w:val="0000FF"/>
        </w:rPr>
      </w:pPr>
      <w:hyperlink w:anchor="Introrefs" w:history="1">
        <w:r w:rsidR="00451BC7" w:rsidRPr="00D61F73">
          <w:rPr>
            <w:rStyle w:val="Hyperlink"/>
            <w:rFonts w:ascii="Arial" w:hAnsi="Arial" w:cs="Arial"/>
            <w:u w:val="none"/>
          </w:rPr>
          <w:t xml:space="preserve">References for </w:t>
        </w:r>
        <w:r w:rsidR="007E2A74">
          <w:rPr>
            <w:rStyle w:val="Hyperlink"/>
            <w:rFonts w:ascii="Arial" w:hAnsi="Arial" w:cs="Arial"/>
            <w:u w:val="none"/>
          </w:rPr>
          <w:t>I</w:t>
        </w:r>
        <w:r w:rsidR="00501CDF" w:rsidRPr="00D61F73">
          <w:rPr>
            <w:rStyle w:val="Hyperlink"/>
            <w:rFonts w:ascii="Arial" w:hAnsi="Arial" w:cs="Arial"/>
            <w:u w:val="none"/>
          </w:rPr>
          <w:t>ntroduction</w:t>
        </w:r>
      </w:hyperlink>
      <w:r w:rsidR="00451BC7" w:rsidRPr="00D61F73">
        <w:rPr>
          <w:rFonts w:ascii="Arial" w:hAnsi="Arial" w:cs="Arial"/>
        </w:rPr>
        <w:t>……………………………………………</w:t>
      </w:r>
      <w:r w:rsidR="007E2A74">
        <w:rPr>
          <w:rFonts w:ascii="Arial" w:hAnsi="Arial" w:cs="Arial"/>
        </w:rPr>
        <w:t>……………..</w:t>
      </w:r>
      <w:r w:rsidR="00B055DC">
        <w:rPr>
          <w:rFonts w:ascii="Arial" w:hAnsi="Arial" w:cs="Arial"/>
        </w:rPr>
        <w:t>……….</w:t>
      </w:r>
      <w:r w:rsidR="00B055DC" w:rsidRPr="000815AA">
        <w:rPr>
          <w:rFonts w:ascii="Arial" w:hAnsi="Arial" w:cs="Arial"/>
          <w:strike/>
        </w:rPr>
        <w:t>12</w:t>
      </w:r>
    </w:p>
    <w:p w14:paraId="391D5F78" w14:textId="77777777" w:rsidR="00501CDF" w:rsidRPr="00D61F73" w:rsidRDefault="00501CDF" w:rsidP="00D61F73">
      <w:pPr>
        <w:pStyle w:val="Footer"/>
        <w:tabs>
          <w:tab w:val="clear" w:pos="4320"/>
          <w:tab w:val="clear" w:pos="8640"/>
        </w:tabs>
        <w:rPr>
          <w:rFonts w:ascii="Arial" w:hAnsi="Arial" w:cs="Arial"/>
        </w:rPr>
      </w:pPr>
    </w:p>
    <w:p w14:paraId="7E708577" w14:textId="582960C3" w:rsidR="002D1B3B" w:rsidRPr="00D61F73" w:rsidRDefault="006E1B23" w:rsidP="00D61F73">
      <w:pPr>
        <w:jc w:val="both"/>
        <w:rPr>
          <w:rStyle w:val="Hyperlink"/>
          <w:rFonts w:ascii="Arial" w:hAnsi="Arial" w:cs="Arial"/>
          <w:b/>
          <w:u w:val="none"/>
        </w:rPr>
      </w:pPr>
      <w:r w:rsidRPr="00D61F73">
        <w:rPr>
          <w:rFonts w:ascii="Arial" w:hAnsi="Arial" w:cs="Arial"/>
          <w:b/>
        </w:rPr>
        <w:fldChar w:fldCharType="begin"/>
      </w:r>
      <w:r w:rsidR="005801BB">
        <w:rPr>
          <w:rFonts w:ascii="Arial" w:hAnsi="Arial" w:cs="Arial"/>
          <w:b/>
        </w:rPr>
        <w:instrText>HYPERLINK  \l "ProcedureSummary2"</w:instrText>
      </w:r>
      <w:r w:rsidRPr="00D61F73">
        <w:rPr>
          <w:rFonts w:ascii="Arial" w:hAnsi="Arial" w:cs="Arial"/>
          <w:b/>
        </w:rPr>
        <w:fldChar w:fldCharType="separate"/>
      </w:r>
      <w:r w:rsidR="002D1B3B" w:rsidRPr="00D61F73">
        <w:rPr>
          <w:rStyle w:val="Hyperlink"/>
          <w:rFonts w:ascii="Arial" w:hAnsi="Arial" w:cs="Arial"/>
          <w:b/>
          <w:u w:val="none"/>
        </w:rPr>
        <w:t xml:space="preserve">Part 2: </w:t>
      </w:r>
      <w:r w:rsidR="002D1B3B" w:rsidRPr="00D61F73">
        <w:rPr>
          <w:rStyle w:val="Hyperlink"/>
          <w:rFonts w:ascii="Arial" w:hAnsi="Arial" w:cs="Arial"/>
          <w:b/>
          <w:iCs/>
          <w:u w:val="none"/>
        </w:rPr>
        <w:t>Official Disability Guidelines</w:t>
      </w:r>
      <w:r w:rsidR="002D1B3B" w:rsidRPr="00D61F73">
        <w:rPr>
          <w:rStyle w:val="Hyperlink"/>
          <w:rFonts w:ascii="Arial" w:hAnsi="Arial" w:cs="Arial"/>
          <w:b/>
          <w:u w:val="none"/>
        </w:rPr>
        <w:t xml:space="preserve"> (ODG) Treatment in Workers’ Compensation—</w:t>
      </w:r>
    </w:p>
    <w:p w14:paraId="72607DA3" w14:textId="24A2D223" w:rsidR="00501CDF" w:rsidRPr="00D61F73" w:rsidRDefault="006E1B23" w:rsidP="00D61F73">
      <w:pPr>
        <w:jc w:val="both"/>
        <w:rPr>
          <w:rFonts w:ascii="Arial" w:hAnsi="Arial" w:cs="Arial"/>
          <w:b/>
        </w:rPr>
      </w:pPr>
      <w:r w:rsidRPr="00D61F73">
        <w:rPr>
          <w:rFonts w:ascii="Arial" w:hAnsi="Arial" w:cs="Arial"/>
          <w:b/>
        </w:rPr>
        <w:fldChar w:fldCharType="end"/>
      </w:r>
      <w:hyperlink w:anchor="ProcedureSummary2" w:history="1">
        <w:r w:rsidR="002D1B3B" w:rsidRPr="00D61F73">
          <w:rPr>
            <w:rStyle w:val="Hyperlink"/>
            <w:rFonts w:ascii="Arial" w:hAnsi="Arial" w:cs="Arial"/>
            <w:b/>
            <w:u w:val="none"/>
          </w:rPr>
          <w:t>Pain (Chronic)</w:t>
        </w:r>
      </w:hyperlink>
      <w:r w:rsidR="00614DB5" w:rsidRPr="00D61F73">
        <w:rPr>
          <w:rFonts w:ascii="Arial" w:hAnsi="Arial" w:cs="Arial"/>
        </w:rPr>
        <w:t>………</w:t>
      </w:r>
      <w:r w:rsidR="000622C2" w:rsidRPr="00D61F73">
        <w:rPr>
          <w:rFonts w:ascii="Arial" w:hAnsi="Arial" w:cs="Arial"/>
        </w:rPr>
        <w:t>……</w:t>
      </w:r>
      <w:r w:rsidR="005715D5" w:rsidRPr="00D61F73">
        <w:rPr>
          <w:rFonts w:ascii="Arial" w:hAnsi="Arial" w:cs="Arial"/>
        </w:rPr>
        <w:t>…………………………………………………………</w:t>
      </w:r>
      <w:r w:rsidR="00451BC7" w:rsidRPr="00D61F73">
        <w:rPr>
          <w:rFonts w:ascii="Arial" w:hAnsi="Arial" w:cs="Arial"/>
        </w:rPr>
        <w:t>……………....</w:t>
      </w:r>
      <w:r w:rsidR="00C3212A" w:rsidRPr="00D61F73">
        <w:rPr>
          <w:rFonts w:ascii="Arial" w:hAnsi="Arial" w:cs="Arial"/>
        </w:rPr>
        <w:t>....</w:t>
      </w:r>
      <w:r w:rsidR="00A1243C" w:rsidRPr="00D61F73">
        <w:rPr>
          <w:rFonts w:ascii="Arial" w:hAnsi="Arial" w:cs="Arial"/>
        </w:rPr>
        <w:t>.</w:t>
      </w:r>
      <w:r w:rsidR="00B055DC" w:rsidRPr="000815AA">
        <w:rPr>
          <w:rFonts w:ascii="Arial" w:hAnsi="Arial" w:cs="Arial"/>
          <w:strike/>
        </w:rPr>
        <w:t>14</w:t>
      </w:r>
    </w:p>
    <w:p w14:paraId="7AC0D8E3" w14:textId="77777777" w:rsidR="00501CDF" w:rsidRPr="00D61F73" w:rsidRDefault="00501CDF" w:rsidP="00D61F73">
      <w:pPr>
        <w:rPr>
          <w:rFonts w:ascii="Arial" w:hAnsi="Arial" w:cs="Arial"/>
        </w:rPr>
      </w:pPr>
    </w:p>
    <w:p w14:paraId="247A3848" w14:textId="3E564CBD" w:rsidR="002A54F1" w:rsidRPr="00D61F73" w:rsidRDefault="00751163" w:rsidP="00D61F73">
      <w:pPr>
        <w:ind w:firstLine="720"/>
        <w:rPr>
          <w:rFonts w:ascii="Arial" w:hAnsi="Arial" w:cs="Arial"/>
        </w:rPr>
      </w:pPr>
      <w:hyperlink w:anchor="REFERENCES" w:history="1">
        <w:r w:rsidR="00FC1EBC" w:rsidRPr="00D61F73">
          <w:rPr>
            <w:rStyle w:val="Hyperlink"/>
            <w:rFonts w:ascii="Arial" w:hAnsi="Arial" w:cs="Arial"/>
            <w:u w:val="none"/>
          </w:rPr>
          <w:t>References for High Priority Sections</w:t>
        </w:r>
        <w:r w:rsidR="00A72396" w:rsidRPr="00D61F73">
          <w:rPr>
            <w:rStyle w:val="Hyperlink"/>
            <w:rFonts w:ascii="Arial" w:hAnsi="Arial" w:cs="Arial"/>
            <w:u w:val="none"/>
          </w:rPr>
          <w:t xml:space="preserve"> of the Procedure Summary</w:t>
        </w:r>
      </w:hyperlink>
      <w:r w:rsidR="004F662B">
        <w:rPr>
          <w:rFonts w:ascii="Arial" w:hAnsi="Arial" w:cs="Arial"/>
        </w:rPr>
        <w:t>……………</w:t>
      </w:r>
      <w:r w:rsidR="00F2652D">
        <w:rPr>
          <w:rFonts w:ascii="Arial" w:hAnsi="Arial" w:cs="Arial"/>
        </w:rPr>
        <w:t>……</w:t>
      </w:r>
      <w:r w:rsidR="00B055DC">
        <w:rPr>
          <w:rFonts w:ascii="Arial" w:hAnsi="Arial" w:cs="Arial"/>
        </w:rPr>
        <w:t>……</w:t>
      </w:r>
      <w:r w:rsidR="00B055DC" w:rsidRPr="000815AA">
        <w:rPr>
          <w:rFonts w:ascii="Arial" w:hAnsi="Arial" w:cs="Arial"/>
          <w:strike/>
        </w:rPr>
        <w:t>185</w:t>
      </w:r>
    </w:p>
    <w:p w14:paraId="41FDAA56" w14:textId="77777777" w:rsidR="002A54F1" w:rsidRPr="00D61F73" w:rsidRDefault="002A54F1" w:rsidP="00D61F73">
      <w:pPr>
        <w:rPr>
          <w:rFonts w:ascii="Arial" w:hAnsi="Arial" w:cs="Arial"/>
        </w:rPr>
      </w:pPr>
    </w:p>
    <w:p w14:paraId="534D7446" w14:textId="6FB75C79" w:rsidR="00FC1EBC" w:rsidRPr="00D61F73" w:rsidRDefault="00751163" w:rsidP="00D61F73">
      <w:pPr>
        <w:ind w:firstLine="720"/>
        <w:rPr>
          <w:rFonts w:ascii="Arial" w:hAnsi="Arial" w:cs="Arial"/>
        </w:rPr>
      </w:pPr>
      <w:hyperlink w:anchor="Low" w:history="1">
        <w:r w:rsidR="002A54F1" w:rsidRPr="00D61F73">
          <w:rPr>
            <w:rStyle w:val="Hyperlink"/>
            <w:rFonts w:ascii="Arial" w:hAnsi="Arial" w:cs="Arial"/>
            <w:bCs/>
            <w:u w:val="none"/>
          </w:rPr>
          <w:t>Low Priority References</w:t>
        </w:r>
      </w:hyperlink>
      <w:r w:rsidR="004F662B">
        <w:rPr>
          <w:rFonts w:ascii="Arial" w:hAnsi="Arial" w:cs="Arial"/>
        </w:rPr>
        <w:t>…………………………………………………………..</w:t>
      </w:r>
      <w:r w:rsidR="00451BC7" w:rsidRPr="00D61F73">
        <w:rPr>
          <w:rFonts w:ascii="Arial" w:hAnsi="Arial" w:cs="Arial"/>
        </w:rPr>
        <w:t>…</w:t>
      </w:r>
      <w:r w:rsidR="00F2652D">
        <w:rPr>
          <w:rFonts w:ascii="Arial" w:hAnsi="Arial" w:cs="Arial"/>
        </w:rPr>
        <w:t>…..</w:t>
      </w:r>
      <w:r w:rsidR="00451BC7" w:rsidRPr="00D61F73">
        <w:rPr>
          <w:rFonts w:ascii="Arial" w:hAnsi="Arial" w:cs="Arial"/>
        </w:rPr>
        <w:t>……</w:t>
      </w:r>
      <w:r w:rsidR="00B055DC" w:rsidRPr="000815AA">
        <w:rPr>
          <w:rFonts w:ascii="Arial" w:hAnsi="Arial" w:cs="Arial"/>
          <w:strike/>
        </w:rPr>
        <w:t>243</w:t>
      </w:r>
    </w:p>
    <w:p w14:paraId="5D728C5A" w14:textId="152CACDA" w:rsidR="00FC1EBC" w:rsidRPr="00842710" w:rsidRDefault="00842710" w:rsidP="00D61F73">
      <w:pPr>
        <w:rPr>
          <w:rStyle w:val="Hyperlink"/>
          <w:rFonts w:ascii="Arial" w:hAnsi="Arial" w:cs="Arial"/>
        </w:rPr>
      </w:pPr>
      <w:r>
        <w:rPr>
          <w:rFonts w:ascii="Arial" w:hAnsi="Arial" w:cs="Arial"/>
        </w:rPr>
        <w:fldChar w:fldCharType="begin"/>
      </w:r>
      <w:r w:rsidR="00E15030">
        <w:rPr>
          <w:rFonts w:ascii="Arial" w:hAnsi="Arial" w:cs="Arial"/>
        </w:rPr>
        <w:instrText>HYPERLINK  \l "Referencesforproceduresummary"</w:instrText>
      </w:r>
      <w:r>
        <w:rPr>
          <w:rFonts w:ascii="Arial" w:hAnsi="Arial" w:cs="Arial"/>
        </w:rPr>
        <w:fldChar w:fldCharType="separate"/>
      </w:r>
    </w:p>
    <w:p w14:paraId="0E7F3A41" w14:textId="479E8B31" w:rsidR="00501CDF" w:rsidRPr="00D61F73" w:rsidRDefault="00CC6488" w:rsidP="00D61F73">
      <w:pPr>
        <w:ind w:firstLine="720"/>
        <w:rPr>
          <w:rFonts w:ascii="Arial" w:hAnsi="Arial" w:cs="Arial"/>
        </w:rPr>
      </w:pPr>
      <w:r w:rsidRPr="00842710">
        <w:rPr>
          <w:rStyle w:val="Hyperlink"/>
          <w:rFonts w:ascii="Arial" w:hAnsi="Arial" w:cs="Arial"/>
        </w:rPr>
        <w:t>References for</w:t>
      </w:r>
      <w:r w:rsidR="00FC1EBC" w:rsidRPr="00842710">
        <w:rPr>
          <w:rStyle w:val="Hyperlink"/>
          <w:rFonts w:ascii="Arial" w:hAnsi="Arial" w:cs="Arial"/>
        </w:rPr>
        <w:t xml:space="preserve"> </w:t>
      </w:r>
      <w:r w:rsidR="00C02872" w:rsidRPr="00842710">
        <w:rPr>
          <w:rStyle w:val="Hyperlink"/>
          <w:rFonts w:ascii="Arial" w:hAnsi="Arial" w:cs="Arial"/>
        </w:rPr>
        <w:t>Procedure</w:t>
      </w:r>
      <w:r w:rsidR="00FC1EBC" w:rsidRPr="00842710">
        <w:rPr>
          <w:rStyle w:val="Hyperlink"/>
          <w:rFonts w:ascii="Arial" w:hAnsi="Arial" w:cs="Arial"/>
        </w:rPr>
        <w:t xml:space="preserve"> Summary</w:t>
      </w:r>
      <w:r w:rsidR="00842710">
        <w:rPr>
          <w:rFonts w:ascii="Arial" w:hAnsi="Arial" w:cs="Arial"/>
        </w:rPr>
        <w:fldChar w:fldCharType="end"/>
      </w:r>
      <w:r w:rsidR="00CC1E6E" w:rsidRPr="00D61F73">
        <w:rPr>
          <w:rFonts w:ascii="Arial" w:hAnsi="Arial" w:cs="Arial"/>
        </w:rPr>
        <w:t>…</w:t>
      </w:r>
      <w:r w:rsidR="00963EE9" w:rsidRPr="00D61F73">
        <w:rPr>
          <w:rFonts w:ascii="Arial" w:hAnsi="Arial" w:cs="Arial"/>
        </w:rPr>
        <w:t>……………………………………………</w:t>
      </w:r>
      <w:r w:rsidR="00F2652D">
        <w:rPr>
          <w:rFonts w:ascii="Arial" w:hAnsi="Arial" w:cs="Arial"/>
        </w:rPr>
        <w:t>…..</w:t>
      </w:r>
      <w:r w:rsidR="00963EE9" w:rsidRPr="00D61F73">
        <w:rPr>
          <w:rFonts w:ascii="Arial" w:hAnsi="Arial" w:cs="Arial"/>
        </w:rPr>
        <w:t>……</w:t>
      </w:r>
      <w:r w:rsidR="00B055DC" w:rsidRPr="000815AA">
        <w:rPr>
          <w:rFonts w:ascii="Arial" w:hAnsi="Arial" w:cs="Arial"/>
          <w:strike/>
        </w:rPr>
        <w:t>244</w:t>
      </w:r>
    </w:p>
    <w:p w14:paraId="41EA961F" w14:textId="0F489E0C" w:rsidR="008D0565" w:rsidRPr="00D61F73" w:rsidRDefault="00501CDF" w:rsidP="00D61F73">
      <w:pPr>
        <w:rPr>
          <w:rFonts w:ascii="Arial" w:hAnsi="Arial" w:cs="Arial"/>
        </w:rPr>
      </w:pPr>
      <w:r w:rsidRPr="00D61F73">
        <w:rPr>
          <w:rFonts w:ascii="Arial" w:hAnsi="Arial" w:cs="Arial"/>
        </w:rPr>
        <w:t xml:space="preserve"> </w:t>
      </w:r>
      <w:r w:rsidR="007F7F2F" w:rsidRPr="00D61F73">
        <w:rPr>
          <w:rFonts w:ascii="Arial" w:hAnsi="Arial" w:cs="Arial"/>
        </w:rPr>
        <w:t xml:space="preserve"> </w:t>
      </w:r>
      <w:r w:rsidR="000918FE" w:rsidRPr="00D61F73">
        <w:rPr>
          <w:rFonts w:ascii="Arial" w:hAnsi="Arial" w:cs="Arial"/>
        </w:rPr>
        <w:tab/>
      </w:r>
      <w:r w:rsidR="008D0565" w:rsidRPr="00D61F73">
        <w:rPr>
          <w:rFonts w:ascii="Arial" w:hAnsi="Arial" w:cs="Arial"/>
        </w:rPr>
        <w:t>(Including findings, evaluations, and ratings; click on PMID# for complete abstracts)</w:t>
      </w:r>
    </w:p>
    <w:p w14:paraId="5F8DFA2D" w14:textId="77777777" w:rsidR="008D0565" w:rsidRPr="00D61F73" w:rsidRDefault="008D0565" w:rsidP="00D61F73">
      <w:pPr>
        <w:rPr>
          <w:rFonts w:ascii="Arial" w:hAnsi="Arial" w:cs="Arial"/>
        </w:rPr>
      </w:pPr>
    </w:p>
    <w:p w14:paraId="64C38529" w14:textId="7B2C4B0B" w:rsidR="008D0565" w:rsidRPr="00482F40" w:rsidRDefault="00AB4303" w:rsidP="00D61F73">
      <w:pPr>
        <w:rPr>
          <w:rFonts w:ascii="Arial" w:hAnsi="Arial" w:cs="Arial"/>
        </w:rPr>
      </w:pPr>
      <w:bookmarkStart w:id="6" w:name="ODGliteratureRatings"/>
      <w:r w:rsidRPr="00482F40">
        <w:rPr>
          <w:rFonts w:ascii="Arial" w:hAnsi="Arial" w:cs="Arial"/>
        </w:rPr>
        <w:t>Explanation of ODG Medical Literature Ratings</w:t>
      </w:r>
      <w:r w:rsidR="00545425" w:rsidRPr="00482F40">
        <w:rPr>
          <w:rFonts w:ascii="Arial" w:hAnsi="Arial" w:cs="Arial"/>
        </w:rPr>
        <w:t xml:space="preserve"> </w:t>
      </w:r>
    </w:p>
    <w:bookmarkEnd w:id="6"/>
    <w:p w14:paraId="3BD8568D" w14:textId="491664F8" w:rsidR="008D0565" w:rsidRPr="00D61F73" w:rsidRDefault="008D0565" w:rsidP="00D61F73">
      <w:pPr>
        <w:rPr>
          <w:rFonts w:ascii="Arial" w:hAnsi="Arial" w:cs="Arial"/>
        </w:rPr>
      </w:pPr>
    </w:p>
    <w:p w14:paraId="757D4532" w14:textId="77777777" w:rsidR="008D0565" w:rsidRPr="00D61F73" w:rsidRDefault="008D0565" w:rsidP="00D61F73">
      <w:pPr>
        <w:rPr>
          <w:rFonts w:ascii="Arial" w:hAnsi="Arial" w:cs="Arial"/>
        </w:rPr>
      </w:pPr>
      <w:r w:rsidRPr="00D61F73">
        <w:rPr>
          <w:rFonts w:ascii="Arial" w:hAnsi="Arial" w:cs="Arial"/>
        </w:rPr>
        <w:t>Ranking by Type of Evidence:</w:t>
      </w:r>
    </w:p>
    <w:p w14:paraId="61D49788" w14:textId="77777777" w:rsidR="008D0565" w:rsidRPr="00D61F73" w:rsidRDefault="008D0565" w:rsidP="00D61F73">
      <w:pPr>
        <w:rPr>
          <w:rFonts w:ascii="Arial" w:hAnsi="Arial" w:cs="Arial"/>
        </w:rPr>
      </w:pPr>
      <w:r w:rsidRPr="00D61F73">
        <w:rPr>
          <w:rFonts w:ascii="Arial" w:hAnsi="Arial" w:cs="Arial"/>
        </w:rPr>
        <w:t>STUDIES:</w:t>
      </w:r>
    </w:p>
    <w:p w14:paraId="33C62CBA" w14:textId="77777777" w:rsidR="008D0565" w:rsidRPr="00D61F73" w:rsidRDefault="008D0565" w:rsidP="00D61F73">
      <w:pPr>
        <w:ind w:left="540" w:hanging="540"/>
        <w:rPr>
          <w:rFonts w:ascii="Arial" w:hAnsi="Arial" w:cs="Arial"/>
        </w:rPr>
      </w:pPr>
      <w:r w:rsidRPr="00D61F73">
        <w:rPr>
          <w:rFonts w:ascii="Arial" w:hAnsi="Arial" w:cs="Arial"/>
        </w:rPr>
        <w:t>1. Systematic Review/Meta-Analysis</w:t>
      </w:r>
    </w:p>
    <w:p w14:paraId="54AE99C3" w14:textId="77777777" w:rsidR="008D0565" w:rsidRPr="00D61F73" w:rsidRDefault="008D0565" w:rsidP="00D61F73">
      <w:pPr>
        <w:ind w:left="540" w:hanging="540"/>
        <w:rPr>
          <w:rFonts w:ascii="Arial" w:hAnsi="Arial" w:cs="Arial"/>
        </w:rPr>
      </w:pPr>
      <w:r w:rsidRPr="00D61F73">
        <w:rPr>
          <w:rFonts w:ascii="Arial" w:hAnsi="Arial" w:cs="Arial"/>
        </w:rPr>
        <w:t>2. Controlled Trial – Randomized (RCT) or Controlled</w:t>
      </w:r>
    </w:p>
    <w:p w14:paraId="494D9E8A" w14:textId="77777777" w:rsidR="008D0565" w:rsidRPr="00D61F73" w:rsidRDefault="008D0565" w:rsidP="00D61F73">
      <w:pPr>
        <w:ind w:left="540" w:hanging="540"/>
        <w:rPr>
          <w:rFonts w:ascii="Arial" w:hAnsi="Arial" w:cs="Arial"/>
        </w:rPr>
      </w:pPr>
      <w:r w:rsidRPr="00D61F73">
        <w:rPr>
          <w:rFonts w:ascii="Arial" w:hAnsi="Arial" w:cs="Arial"/>
        </w:rPr>
        <w:t>3. Cohort Study - Prospective or Retrospective</w:t>
      </w:r>
    </w:p>
    <w:p w14:paraId="41C7DFA9" w14:textId="77777777" w:rsidR="008D0565" w:rsidRPr="00D61F73" w:rsidRDefault="008D0565" w:rsidP="00D61F73">
      <w:pPr>
        <w:ind w:left="540" w:hanging="540"/>
        <w:rPr>
          <w:rFonts w:ascii="Arial" w:hAnsi="Arial" w:cs="Arial"/>
        </w:rPr>
      </w:pPr>
      <w:r w:rsidRPr="00D61F73">
        <w:rPr>
          <w:rFonts w:ascii="Arial" w:hAnsi="Arial" w:cs="Arial"/>
        </w:rPr>
        <w:t>4. Case Control Series</w:t>
      </w:r>
    </w:p>
    <w:p w14:paraId="2BDC33D5" w14:textId="77777777" w:rsidR="008D0565" w:rsidRPr="00D61F73" w:rsidRDefault="008D0565" w:rsidP="00D61F73">
      <w:pPr>
        <w:ind w:left="540" w:hanging="540"/>
        <w:rPr>
          <w:rFonts w:ascii="Arial" w:hAnsi="Arial" w:cs="Arial"/>
        </w:rPr>
      </w:pPr>
      <w:r w:rsidRPr="00D61F73">
        <w:rPr>
          <w:rFonts w:ascii="Arial" w:hAnsi="Arial" w:cs="Arial"/>
        </w:rPr>
        <w:t>5. Unstructured Review</w:t>
      </w:r>
    </w:p>
    <w:p w14:paraId="39BD3943" w14:textId="77777777" w:rsidR="008D0565" w:rsidRPr="00D61F73" w:rsidRDefault="008D0565" w:rsidP="00D61F73">
      <w:pPr>
        <w:ind w:left="540" w:hanging="540"/>
        <w:rPr>
          <w:rFonts w:ascii="Arial" w:hAnsi="Arial" w:cs="Arial"/>
        </w:rPr>
      </w:pPr>
      <w:r w:rsidRPr="00D61F73">
        <w:rPr>
          <w:rFonts w:ascii="Arial" w:hAnsi="Arial" w:cs="Arial"/>
        </w:rPr>
        <w:t>OTHER:</w:t>
      </w:r>
    </w:p>
    <w:p w14:paraId="2B4A92BD" w14:textId="63F3B766" w:rsidR="008D0565" w:rsidRPr="00D61F73" w:rsidRDefault="008D0565" w:rsidP="00D61F73">
      <w:pPr>
        <w:ind w:left="540" w:hanging="540"/>
        <w:rPr>
          <w:rFonts w:ascii="Arial" w:hAnsi="Arial" w:cs="Arial"/>
        </w:rPr>
      </w:pPr>
      <w:r w:rsidRPr="00D61F73">
        <w:rPr>
          <w:rFonts w:ascii="Arial" w:hAnsi="Arial" w:cs="Arial"/>
        </w:rPr>
        <w:t>6. Nationally Recognized Treatment Guideline</w:t>
      </w:r>
      <w:r w:rsidR="009E4E31" w:rsidRPr="00D61F73">
        <w:rPr>
          <w:rFonts w:ascii="Arial" w:hAnsi="Arial" w:cs="Arial"/>
        </w:rPr>
        <w:t>s</w:t>
      </w:r>
      <w:r w:rsidR="000672D0">
        <w:rPr>
          <w:rFonts w:ascii="Arial" w:hAnsi="Arial" w:cs="Arial"/>
        </w:rPr>
        <w:t xml:space="preserve"> (from guideline</w:t>
      </w:r>
      <w:r w:rsidRPr="00D61F73">
        <w:rPr>
          <w:rFonts w:ascii="Arial" w:hAnsi="Arial" w:cs="Arial"/>
        </w:rPr>
        <w:t>.gov)</w:t>
      </w:r>
    </w:p>
    <w:p w14:paraId="66EC1681" w14:textId="77777777" w:rsidR="008D0565" w:rsidRPr="00D61F73" w:rsidRDefault="008D0565" w:rsidP="00D61F73">
      <w:pPr>
        <w:ind w:left="540" w:hanging="540"/>
        <w:rPr>
          <w:rFonts w:ascii="Arial" w:hAnsi="Arial" w:cs="Arial"/>
        </w:rPr>
      </w:pPr>
      <w:r w:rsidRPr="00D61F73">
        <w:rPr>
          <w:rFonts w:ascii="Arial" w:hAnsi="Arial" w:cs="Arial"/>
        </w:rPr>
        <w:t>7. State Treatment Guideline</w:t>
      </w:r>
      <w:r w:rsidR="009E4E31" w:rsidRPr="00D61F73">
        <w:rPr>
          <w:rFonts w:ascii="Arial" w:hAnsi="Arial" w:cs="Arial"/>
        </w:rPr>
        <w:t>s</w:t>
      </w:r>
    </w:p>
    <w:p w14:paraId="0A283566" w14:textId="77777777" w:rsidR="008D0565" w:rsidRPr="00D61F73" w:rsidRDefault="008D0565" w:rsidP="00D61F73">
      <w:pPr>
        <w:ind w:left="540" w:hanging="540"/>
        <w:rPr>
          <w:rFonts w:ascii="Arial" w:hAnsi="Arial" w:cs="Arial"/>
        </w:rPr>
      </w:pPr>
      <w:r w:rsidRPr="00D61F73">
        <w:rPr>
          <w:rFonts w:ascii="Arial" w:hAnsi="Arial" w:cs="Arial"/>
        </w:rPr>
        <w:t>8. Other Treatment Guideline</w:t>
      </w:r>
      <w:r w:rsidR="009E4E31" w:rsidRPr="00D61F73">
        <w:rPr>
          <w:rFonts w:ascii="Arial" w:hAnsi="Arial" w:cs="Arial"/>
        </w:rPr>
        <w:t>s</w:t>
      </w:r>
    </w:p>
    <w:p w14:paraId="43953810" w14:textId="77777777" w:rsidR="008D0565" w:rsidRPr="00D61F73" w:rsidRDefault="008D0565" w:rsidP="00D61F73">
      <w:pPr>
        <w:ind w:left="540" w:hanging="540"/>
        <w:rPr>
          <w:rFonts w:ascii="Arial" w:hAnsi="Arial" w:cs="Arial"/>
        </w:rPr>
      </w:pPr>
      <w:r w:rsidRPr="00D61F73">
        <w:rPr>
          <w:rFonts w:ascii="Arial" w:hAnsi="Arial" w:cs="Arial"/>
        </w:rPr>
        <w:t>9. Textbook</w:t>
      </w:r>
    </w:p>
    <w:p w14:paraId="4E948585" w14:textId="77777777" w:rsidR="008D0565" w:rsidRPr="00D61F73" w:rsidRDefault="008D0565" w:rsidP="00D61F73">
      <w:pPr>
        <w:ind w:left="540" w:hanging="540"/>
        <w:rPr>
          <w:rFonts w:ascii="Arial" w:hAnsi="Arial" w:cs="Arial"/>
        </w:rPr>
      </w:pPr>
      <w:r w:rsidRPr="00D61F73">
        <w:rPr>
          <w:rFonts w:ascii="Arial" w:hAnsi="Arial" w:cs="Arial"/>
        </w:rPr>
        <w:t>10. Conference Proceedings/Presentation Slides</w:t>
      </w:r>
    </w:p>
    <w:p w14:paraId="32D312A3" w14:textId="77777777" w:rsidR="008D0565" w:rsidRPr="00D61F73" w:rsidRDefault="008D0565" w:rsidP="00D61F73">
      <w:pPr>
        <w:rPr>
          <w:rFonts w:ascii="Arial" w:hAnsi="Arial" w:cs="Arial"/>
        </w:rPr>
      </w:pPr>
    </w:p>
    <w:p w14:paraId="667ED074" w14:textId="77777777" w:rsidR="008D0565" w:rsidRPr="00D61F73" w:rsidRDefault="008D0565" w:rsidP="00D61F73">
      <w:pPr>
        <w:rPr>
          <w:rFonts w:ascii="Arial" w:hAnsi="Arial" w:cs="Arial"/>
        </w:rPr>
      </w:pPr>
      <w:r w:rsidRPr="00D61F73">
        <w:rPr>
          <w:rFonts w:ascii="Arial" w:hAnsi="Arial" w:cs="Arial"/>
        </w:rPr>
        <w:t>Ranking by Quality within Type of Evidence:</w:t>
      </w:r>
    </w:p>
    <w:p w14:paraId="2A0FD8CB" w14:textId="77777777" w:rsidR="008D0565" w:rsidRPr="00D61F73" w:rsidRDefault="008D0565" w:rsidP="00D61F73">
      <w:pPr>
        <w:rPr>
          <w:rFonts w:ascii="Arial" w:hAnsi="Arial" w:cs="Arial"/>
        </w:rPr>
      </w:pPr>
      <w:r w:rsidRPr="00D61F73">
        <w:rPr>
          <w:rFonts w:ascii="Arial" w:hAnsi="Arial" w:cs="Arial"/>
        </w:rPr>
        <w:t>a. High Quality</w:t>
      </w:r>
    </w:p>
    <w:p w14:paraId="3CFCB7BE" w14:textId="77777777" w:rsidR="008D0565" w:rsidRPr="00D61F73" w:rsidRDefault="008D0565" w:rsidP="00D61F73">
      <w:pPr>
        <w:rPr>
          <w:rFonts w:ascii="Arial" w:hAnsi="Arial" w:cs="Arial"/>
        </w:rPr>
      </w:pPr>
      <w:r w:rsidRPr="00D61F73">
        <w:rPr>
          <w:rFonts w:ascii="Arial" w:hAnsi="Arial" w:cs="Arial"/>
        </w:rPr>
        <w:t>b. Medium Quality</w:t>
      </w:r>
    </w:p>
    <w:p w14:paraId="4621BF40" w14:textId="77777777" w:rsidR="008D0565" w:rsidRPr="00D61F73" w:rsidRDefault="008D0565" w:rsidP="00D61F73">
      <w:pPr>
        <w:rPr>
          <w:rFonts w:ascii="Arial" w:hAnsi="Arial" w:cs="Arial"/>
        </w:rPr>
      </w:pPr>
      <w:r w:rsidRPr="00D61F73">
        <w:rPr>
          <w:rFonts w:ascii="Arial" w:hAnsi="Arial" w:cs="Arial"/>
        </w:rPr>
        <w:t>c. Low Quality</w:t>
      </w:r>
    </w:p>
    <w:p w14:paraId="17B2E22E" w14:textId="77777777" w:rsidR="00BA6340" w:rsidRPr="00D61F73" w:rsidRDefault="00BA6340" w:rsidP="00D61F73">
      <w:pPr>
        <w:rPr>
          <w:rFonts w:ascii="Arial" w:hAnsi="Arial" w:cs="Arial"/>
        </w:rPr>
      </w:pPr>
    </w:p>
    <w:p w14:paraId="449BAFB7" w14:textId="77777777" w:rsidR="0071109F" w:rsidRPr="00D61F73" w:rsidRDefault="0071109F" w:rsidP="00D61F73">
      <w:pPr>
        <w:rPr>
          <w:rFonts w:ascii="Arial" w:hAnsi="Arial" w:cs="Arial"/>
          <w:color w:val="auto"/>
        </w:rPr>
      </w:pPr>
      <w:r w:rsidRPr="00D61F73">
        <w:rPr>
          <w:rFonts w:ascii="Arial" w:hAnsi="Arial" w:cs="Arial"/>
        </w:rPr>
        <w:t xml:space="preserve">This </w:t>
      </w:r>
      <w:r w:rsidR="007C43A4" w:rsidRPr="00D61F73">
        <w:rPr>
          <w:rFonts w:ascii="Arial" w:hAnsi="Arial" w:cs="Arial"/>
        </w:rPr>
        <w:t xml:space="preserve">Chapter of the Medical </w:t>
      </w:r>
      <w:r w:rsidRPr="00D61F73">
        <w:rPr>
          <w:rFonts w:ascii="Arial" w:hAnsi="Arial" w:cs="Arial"/>
        </w:rPr>
        <w:t xml:space="preserve">Treatment </w:t>
      </w:r>
      <w:r w:rsidR="007C43A4" w:rsidRPr="00D61F73">
        <w:rPr>
          <w:rFonts w:ascii="Arial" w:hAnsi="Arial" w:cs="Arial"/>
        </w:rPr>
        <w:t>Utilization Schedule</w:t>
      </w:r>
      <w:r w:rsidRPr="00D61F73">
        <w:rPr>
          <w:rFonts w:ascii="Arial" w:hAnsi="Arial" w:cs="Arial"/>
        </w:rPr>
        <w:t xml:space="preserve"> is adopted from </w:t>
      </w:r>
      <w:r w:rsidRPr="00D61F73">
        <w:rPr>
          <w:rFonts w:ascii="Arial" w:hAnsi="Arial" w:cs="Arial"/>
          <w:i/>
          <w:iCs/>
        </w:rPr>
        <w:t>Official Disability Guidelines</w:t>
      </w:r>
      <w:r w:rsidRPr="00D61F73">
        <w:rPr>
          <w:rFonts w:ascii="Arial" w:hAnsi="Arial" w:cs="Arial"/>
        </w:rPr>
        <w:t xml:space="preserve"> (ODG) Treatment in Workers’ Comp, published and copyrighted by the Work Loss Data Institute.  </w:t>
      </w:r>
    </w:p>
    <w:p w14:paraId="23B0D161" w14:textId="77777777" w:rsidR="0071109F" w:rsidRPr="00D61F73" w:rsidRDefault="0071109F" w:rsidP="00D61F73">
      <w:pPr>
        <w:ind w:left="720" w:right="720"/>
        <w:rPr>
          <w:rFonts w:ascii="Arial" w:hAnsi="Arial" w:cs="Arial"/>
        </w:rPr>
      </w:pPr>
    </w:p>
    <w:p w14:paraId="515D3E2B" w14:textId="77777777" w:rsidR="0071109F" w:rsidRPr="00D61F73" w:rsidRDefault="0071109F" w:rsidP="00D61F73">
      <w:pPr>
        <w:rPr>
          <w:rFonts w:ascii="Arial" w:hAnsi="Arial" w:cs="Arial"/>
        </w:rPr>
      </w:pPr>
      <w:r w:rsidRPr="00D61F73">
        <w:rPr>
          <w:rFonts w:ascii="Arial" w:hAnsi="Arial" w:cs="Arial"/>
        </w:rPr>
        <w:t>© Copyright 20</w:t>
      </w:r>
      <w:r w:rsidR="00444D1A" w:rsidRPr="00D61F73">
        <w:rPr>
          <w:rFonts w:ascii="Arial" w:hAnsi="Arial" w:cs="Arial"/>
        </w:rPr>
        <w:t>15</w:t>
      </w:r>
      <w:r w:rsidRPr="00D61F73">
        <w:rPr>
          <w:rFonts w:ascii="Arial" w:hAnsi="Arial" w:cs="Arial"/>
        </w:rPr>
        <w:t xml:space="preserve"> by the Work Loss Data Institute (WLDI). Commercial reproduction or other use beyond fair use prohibited without explicit WLDI permission.</w:t>
      </w:r>
    </w:p>
    <w:p w14:paraId="0126DFDA" w14:textId="77777777" w:rsidR="0071109F" w:rsidRPr="00D61F73" w:rsidRDefault="0071109F" w:rsidP="00D61F73">
      <w:pPr>
        <w:rPr>
          <w:rFonts w:ascii="Arial" w:hAnsi="Arial" w:cs="Arial"/>
        </w:rPr>
      </w:pPr>
    </w:p>
    <w:p w14:paraId="4B6654B5" w14:textId="77777777" w:rsidR="00960C76" w:rsidRPr="00D61F73" w:rsidRDefault="00DA5D44" w:rsidP="00D61F73">
      <w:pPr>
        <w:rPr>
          <w:rFonts w:ascii="Arial" w:hAnsi="Arial" w:cs="Arial"/>
        </w:rPr>
      </w:pPr>
      <w:r w:rsidRPr="00D61F73">
        <w:rPr>
          <w:rFonts w:ascii="Arial" w:hAnsi="Arial" w:cs="Arial"/>
        </w:rPr>
        <w:t>Any links to treatment guidelines external t</w:t>
      </w:r>
      <w:r w:rsidR="007F735C" w:rsidRPr="00D61F73">
        <w:rPr>
          <w:rFonts w:ascii="Arial" w:hAnsi="Arial" w:cs="Arial"/>
        </w:rPr>
        <w:t>o this document refer to the</w:t>
      </w:r>
      <w:r w:rsidRPr="00D61F73">
        <w:rPr>
          <w:rFonts w:ascii="Arial" w:hAnsi="Arial" w:cs="Arial"/>
        </w:rPr>
        <w:t xml:space="preserve"> Medical Treatment Utilization Schedule.</w:t>
      </w:r>
    </w:p>
    <w:p w14:paraId="5511B54D" w14:textId="77777777" w:rsidR="00075EA8" w:rsidRPr="00D61F73" w:rsidRDefault="00075EA8" w:rsidP="00D61F73">
      <w:pPr>
        <w:rPr>
          <w:rFonts w:ascii="Arial" w:hAnsi="Arial" w:cs="Arial"/>
        </w:rPr>
        <w:sectPr w:rsidR="00075EA8" w:rsidRPr="00D61F73" w:rsidSect="008C5CFB">
          <w:headerReference w:type="even" r:id="rId15"/>
          <w:headerReference w:type="default" r:id="rId16"/>
          <w:headerReference w:type="first" r:id="rId17"/>
          <w:footerReference w:type="first" r:id="rId18"/>
          <w:pgSz w:w="12240" w:h="15840" w:code="1"/>
          <w:pgMar w:top="1008" w:right="1008" w:bottom="1008" w:left="1008" w:header="576" w:footer="360" w:gutter="0"/>
          <w:pgNumType w:fmt="lowerRoman" w:start="1"/>
          <w:cols w:space="720"/>
          <w:titlePg/>
          <w:docGrid w:linePitch="360"/>
        </w:sectPr>
      </w:pPr>
    </w:p>
    <w:p w14:paraId="23651D19" w14:textId="77777777" w:rsidR="00704F05" w:rsidRPr="00D61F73" w:rsidRDefault="00704F05" w:rsidP="00D61F73">
      <w:pPr>
        <w:rPr>
          <w:rFonts w:ascii="Arial" w:hAnsi="Arial" w:cs="Arial"/>
        </w:rPr>
      </w:pPr>
    </w:p>
    <w:p w14:paraId="7919FE8D" w14:textId="208A5629" w:rsidR="006249BF" w:rsidRPr="00D61F73" w:rsidRDefault="004910AE" w:rsidP="005D32D7">
      <w:pPr>
        <w:jc w:val="center"/>
        <w:rPr>
          <w:rFonts w:ascii="Arial" w:hAnsi="Arial" w:cs="Arial"/>
          <w:b/>
          <w:color w:val="auto"/>
          <w:sz w:val="28"/>
          <w:szCs w:val="28"/>
        </w:rPr>
      </w:pPr>
      <w:bookmarkStart w:id="7" w:name="Part1introduction"/>
      <w:r w:rsidRPr="00D61F73">
        <w:rPr>
          <w:rFonts w:ascii="Arial" w:hAnsi="Arial" w:cs="Arial"/>
          <w:b/>
          <w:color w:val="auto"/>
          <w:sz w:val="28"/>
          <w:szCs w:val="28"/>
        </w:rPr>
        <w:t>PART 1</w:t>
      </w:r>
      <w:r w:rsidR="006249BF" w:rsidRPr="00D61F73">
        <w:rPr>
          <w:rFonts w:ascii="Arial" w:hAnsi="Arial" w:cs="Arial"/>
          <w:b/>
          <w:color w:val="auto"/>
          <w:sz w:val="28"/>
          <w:szCs w:val="28"/>
        </w:rPr>
        <w:t>: Introduction</w:t>
      </w:r>
    </w:p>
    <w:bookmarkEnd w:id="7"/>
    <w:p w14:paraId="75476972" w14:textId="77777777" w:rsidR="006249BF" w:rsidRPr="005D32D7" w:rsidRDefault="006249BF" w:rsidP="00D61F73">
      <w:pPr>
        <w:jc w:val="both"/>
        <w:rPr>
          <w:rFonts w:ascii="Arial" w:hAnsi="Arial" w:cs="Arial"/>
          <w:color w:val="auto"/>
          <w:sz w:val="8"/>
          <w:szCs w:val="8"/>
        </w:rPr>
      </w:pPr>
    </w:p>
    <w:p w14:paraId="0F062553" w14:textId="022ED931" w:rsidR="006249BF" w:rsidRPr="00D61F73" w:rsidRDefault="006249BF" w:rsidP="00D61F73">
      <w:pPr>
        <w:spacing w:after="200"/>
        <w:jc w:val="both"/>
        <w:rPr>
          <w:rFonts w:ascii="Arial" w:hAnsi="Arial" w:cs="Arial"/>
          <w:color w:val="auto"/>
        </w:rPr>
      </w:pPr>
      <w:r w:rsidRPr="00D61F73">
        <w:rPr>
          <w:rFonts w:ascii="Arial" w:hAnsi="Arial" w:cs="Arial"/>
          <w:color w:val="auto"/>
        </w:rPr>
        <w:t xml:space="preserve">These </w:t>
      </w:r>
      <w:r w:rsidR="000A67A5" w:rsidRPr="00D61F73">
        <w:rPr>
          <w:rFonts w:ascii="Arial" w:hAnsi="Arial" w:cs="Arial"/>
          <w:color w:val="auto"/>
        </w:rPr>
        <w:t xml:space="preserve">Chronic Pain Medical Treatment </w:t>
      </w:r>
      <w:r w:rsidR="00F127A2" w:rsidRPr="00D61F73">
        <w:rPr>
          <w:rFonts w:ascii="Arial" w:hAnsi="Arial" w:cs="Arial"/>
          <w:color w:val="auto"/>
        </w:rPr>
        <w:t>G</w:t>
      </w:r>
      <w:r w:rsidRPr="00D61F73">
        <w:rPr>
          <w:rFonts w:ascii="Arial" w:hAnsi="Arial" w:cs="Arial"/>
          <w:color w:val="auto"/>
        </w:rPr>
        <w:t xml:space="preserve">uidelines apply when </w:t>
      </w:r>
      <w:r w:rsidR="00AA2119" w:rsidRPr="00D61F73">
        <w:rPr>
          <w:rFonts w:ascii="Arial" w:hAnsi="Arial" w:cs="Arial"/>
          <w:color w:val="auto"/>
        </w:rPr>
        <w:t xml:space="preserve">a </w:t>
      </w:r>
      <w:r w:rsidRPr="00D61F73">
        <w:rPr>
          <w:rFonts w:ascii="Arial" w:hAnsi="Arial" w:cs="Arial"/>
          <w:color w:val="auto"/>
        </w:rPr>
        <w:t xml:space="preserve">patient has pain </w:t>
      </w:r>
      <w:r w:rsidR="00AA2119" w:rsidRPr="00D61F73">
        <w:rPr>
          <w:rFonts w:ascii="Arial" w:hAnsi="Arial" w:cs="Arial"/>
          <w:color w:val="auto"/>
        </w:rPr>
        <w:t xml:space="preserve">that persists </w:t>
      </w:r>
      <w:r w:rsidR="00AA2119" w:rsidRPr="000815AA">
        <w:rPr>
          <w:rFonts w:ascii="Arial" w:hAnsi="Arial" w:cs="Arial"/>
          <w:strike/>
          <w:color w:val="auto"/>
        </w:rPr>
        <w:t>beyond the anticipated time of healing</w:t>
      </w:r>
      <w:r w:rsidR="00AA2119" w:rsidRPr="00D61F73">
        <w:rPr>
          <w:rFonts w:ascii="Arial" w:hAnsi="Arial" w:cs="Arial"/>
          <w:color w:val="auto"/>
        </w:rPr>
        <w:t xml:space="preserve"> </w:t>
      </w:r>
      <w:r w:rsidR="00B77415" w:rsidRPr="000815AA">
        <w:rPr>
          <w:rFonts w:ascii="Arial" w:hAnsi="Arial" w:cs="Arial"/>
          <w:color w:val="auto"/>
          <w:u w:val="single"/>
        </w:rPr>
        <w:t xml:space="preserve">three </w:t>
      </w:r>
      <w:r w:rsidR="007F371E" w:rsidRPr="000815AA">
        <w:rPr>
          <w:rFonts w:ascii="Arial" w:hAnsi="Arial" w:cs="Arial"/>
          <w:color w:val="auto"/>
          <w:u w:val="single"/>
        </w:rPr>
        <w:t>(3)</w:t>
      </w:r>
      <w:r w:rsidR="00F2652D" w:rsidRPr="000815AA">
        <w:rPr>
          <w:rFonts w:ascii="Arial" w:hAnsi="Arial" w:cs="Arial"/>
          <w:color w:val="auto"/>
          <w:u w:val="single"/>
        </w:rPr>
        <w:t xml:space="preserve"> or more</w:t>
      </w:r>
      <w:r w:rsidR="007F371E" w:rsidRPr="000815AA">
        <w:rPr>
          <w:rFonts w:ascii="Arial" w:hAnsi="Arial" w:cs="Arial"/>
          <w:color w:val="auto"/>
          <w:u w:val="single"/>
        </w:rPr>
        <w:t xml:space="preserve"> months from the initial onset of pain (i.e.,12 weeks</w:t>
      </w:r>
      <w:r w:rsidR="00F2652D" w:rsidRPr="000815AA">
        <w:rPr>
          <w:rFonts w:ascii="Arial" w:hAnsi="Arial" w:cs="Arial"/>
          <w:color w:val="auto"/>
          <w:u w:val="single"/>
        </w:rPr>
        <w:t xml:space="preserve"> or more</w:t>
      </w:r>
      <w:r w:rsidR="007F371E" w:rsidRPr="000815AA">
        <w:rPr>
          <w:rFonts w:ascii="Arial" w:hAnsi="Arial" w:cs="Arial"/>
          <w:color w:val="auto"/>
          <w:u w:val="single"/>
        </w:rPr>
        <w:t xml:space="preserve">) </w:t>
      </w:r>
      <w:r w:rsidR="00AA2119" w:rsidRPr="00D61F73">
        <w:rPr>
          <w:rFonts w:ascii="Arial" w:hAnsi="Arial" w:cs="Arial"/>
          <w:color w:val="auto"/>
        </w:rPr>
        <w:t xml:space="preserve">as </w:t>
      </w:r>
      <w:r w:rsidRPr="00D61F73">
        <w:rPr>
          <w:rFonts w:ascii="Arial" w:hAnsi="Arial" w:cs="Arial"/>
          <w:color w:val="auto"/>
        </w:rPr>
        <w:t xml:space="preserve">determined by following the </w:t>
      </w:r>
      <w:r w:rsidR="00AA2119" w:rsidRPr="00D61F73">
        <w:rPr>
          <w:rFonts w:ascii="Arial" w:hAnsi="Arial" w:cs="Arial"/>
          <w:color w:val="auto"/>
        </w:rPr>
        <w:t>relevant</w:t>
      </w:r>
      <w:r w:rsidRPr="00D61F73">
        <w:rPr>
          <w:rFonts w:ascii="Arial" w:hAnsi="Arial" w:cs="Arial"/>
          <w:color w:val="auto"/>
        </w:rPr>
        <w:t xml:space="preserve"> section</w:t>
      </w:r>
      <w:r w:rsidR="00AA2119" w:rsidRPr="00D61F73">
        <w:rPr>
          <w:rFonts w:ascii="Arial" w:hAnsi="Arial" w:cs="Arial"/>
          <w:color w:val="auto"/>
        </w:rPr>
        <w:t>s</w:t>
      </w:r>
      <w:r w:rsidRPr="00D61F73">
        <w:rPr>
          <w:rFonts w:ascii="Arial" w:hAnsi="Arial" w:cs="Arial"/>
          <w:color w:val="auto"/>
        </w:rPr>
        <w:t xml:space="preserve"> of the Medical Treatment Utilization Schedule (MTUS). In following the</w:t>
      </w:r>
      <w:r w:rsidRPr="00455A57">
        <w:rPr>
          <w:rFonts w:ascii="Arial" w:hAnsi="Arial" w:cs="Arial"/>
          <w:color w:val="auto"/>
        </w:rPr>
        <w:t xml:space="preserve"> </w:t>
      </w:r>
      <w:r w:rsidRPr="00A742FC">
        <w:rPr>
          <w:rFonts w:ascii="Arial" w:hAnsi="Arial" w:cs="Arial"/>
          <w:strike/>
          <w:color w:val="auto"/>
        </w:rPr>
        <w:t>clinical topics</w:t>
      </w:r>
      <w:r w:rsidRPr="00A742FC">
        <w:rPr>
          <w:rFonts w:ascii="Arial" w:hAnsi="Arial" w:cs="Arial"/>
          <w:color w:val="auto"/>
          <w:u w:val="single"/>
        </w:rPr>
        <w:t xml:space="preserve"> </w:t>
      </w:r>
      <w:r w:rsidR="006A61E7" w:rsidRPr="00A742FC">
        <w:rPr>
          <w:rFonts w:ascii="Arial" w:hAnsi="Arial" w:cs="Arial"/>
          <w:color w:val="auto"/>
          <w:u w:val="single"/>
        </w:rPr>
        <w:t xml:space="preserve">Clinical Topics </w:t>
      </w:r>
      <w:r w:rsidRPr="00A742FC">
        <w:rPr>
          <w:rFonts w:ascii="Arial" w:hAnsi="Arial" w:cs="Arial"/>
          <w:color w:val="auto"/>
          <w:u w:val="single"/>
        </w:rPr>
        <w:t>section</w:t>
      </w:r>
      <w:r w:rsidR="002E2E45" w:rsidRPr="00A742FC">
        <w:rPr>
          <w:rFonts w:ascii="Arial" w:hAnsi="Arial" w:cs="Arial"/>
          <w:color w:val="auto"/>
          <w:u w:val="single"/>
        </w:rPr>
        <w:t xml:space="preserve"> of the MTUS (8 CCR </w:t>
      </w:r>
      <w:r w:rsidR="002E2E45" w:rsidRPr="00A742FC">
        <w:rPr>
          <w:rFonts w:ascii="Arial" w:hAnsi="Arial" w:cs="Arial"/>
          <w:bCs/>
          <w:color w:val="1E1E1E"/>
          <w:u w:val="single"/>
        </w:rPr>
        <w:t>§ 9792.23)</w:t>
      </w:r>
      <w:r w:rsidRPr="000815AA">
        <w:rPr>
          <w:rFonts w:ascii="Arial" w:hAnsi="Arial" w:cs="Arial"/>
          <w:color w:val="auto"/>
          <w:u w:val="single"/>
        </w:rPr>
        <w:t>,</w:t>
      </w:r>
      <w:r w:rsidRPr="00D61F73">
        <w:rPr>
          <w:rFonts w:ascii="Arial" w:hAnsi="Arial" w:cs="Arial"/>
          <w:color w:val="auto"/>
        </w:rPr>
        <w:t xml:space="preserve"> the </w:t>
      </w:r>
      <w:r w:rsidR="001375EB" w:rsidRPr="00D61F73">
        <w:rPr>
          <w:rFonts w:ascii="Arial" w:hAnsi="Arial" w:cs="Arial"/>
          <w:color w:val="auto"/>
        </w:rPr>
        <w:t>physician</w:t>
      </w:r>
      <w:r w:rsidRPr="00D61F73">
        <w:rPr>
          <w:rFonts w:ascii="Arial" w:hAnsi="Arial" w:cs="Arial"/>
          <w:color w:val="auto"/>
        </w:rPr>
        <w:t xml:space="preserve"> begins </w:t>
      </w:r>
      <w:r w:rsidR="001906B6" w:rsidRPr="00D61F73">
        <w:rPr>
          <w:rFonts w:ascii="Arial" w:hAnsi="Arial" w:cs="Arial"/>
          <w:color w:val="auto"/>
        </w:rPr>
        <w:t xml:space="preserve">by </w:t>
      </w:r>
      <w:r w:rsidRPr="00D61F73">
        <w:rPr>
          <w:rFonts w:ascii="Arial" w:hAnsi="Arial" w:cs="Arial"/>
          <w:color w:val="auto"/>
        </w:rPr>
        <w:t>assess</w:t>
      </w:r>
      <w:r w:rsidR="001906B6" w:rsidRPr="00D61F73">
        <w:rPr>
          <w:rFonts w:ascii="Arial" w:hAnsi="Arial" w:cs="Arial"/>
          <w:color w:val="auto"/>
        </w:rPr>
        <w:t>ing</w:t>
      </w:r>
      <w:r w:rsidRPr="00D61F73">
        <w:rPr>
          <w:rFonts w:ascii="Arial" w:hAnsi="Arial" w:cs="Arial"/>
          <w:color w:val="auto"/>
        </w:rPr>
        <w:t xml:space="preserve"> the presenting complaint and determin</w:t>
      </w:r>
      <w:r w:rsidR="001906B6" w:rsidRPr="00D61F73">
        <w:rPr>
          <w:rFonts w:ascii="Arial" w:hAnsi="Arial" w:cs="Arial"/>
          <w:color w:val="auto"/>
        </w:rPr>
        <w:t>ing</w:t>
      </w:r>
      <w:r w:rsidRPr="00D61F73">
        <w:rPr>
          <w:rFonts w:ascii="Arial" w:hAnsi="Arial" w:cs="Arial"/>
          <w:color w:val="auto"/>
        </w:rPr>
        <w:t xml:space="preserve"> whether there is a “red flag for a potentially serious condition” that would trigger an immediate intervention. Upon ruling out a potentially serious condition, </w:t>
      </w:r>
      <w:r w:rsidR="001906B6" w:rsidRPr="00D61F73">
        <w:rPr>
          <w:rFonts w:ascii="Arial" w:hAnsi="Arial" w:cs="Arial"/>
          <w:color w:val="auto"/>
        </w:rPr>
        <w:t xml:space="preserve">the physician should provide </w:t>
      </w:r>
      <w:r w:rsidRPr="00D61F73">
        <w:rPr>
          <w:rFonts w:ascii="Arial" w:hAnsi="Arial" w:cs="Arial"/>
          <w:color w:val="auto"/>
        </w:rPr>
        <w:t>conservative management</w:t>
      </w:r>
      <w:r w:rsidR="0050415C">
        <w:rPr>
          <w:rFonts w:ascii="Arial" w:hAnsi="Arial" w:cs="Arial"/>
          <w:color w:val="auto"/>
        </w:rPr>
        <w:t xml:space="preserve">, </w:t>
      </w:r>
      <w:r w:rsidR="0050415C" w:rsidRPr="000815AA">
        <w:rPr>
          <w:rFonts w:ascii="Arial" w:hAnsi="Arial" w:cs="Arial"/>
          <w:color w:val="auto"/>
          <w:u w:val="single"/>
        </w:rPr>
        <w:t xml:space="preserve">that is, </w:t>
      </w:r>
      <w:r w:rsidR="00BC4B96" w:rsidRPr="000815AA">
        <w:rPr>
          <w:rFonts w:ascii="Arial" w:hAnsi="Arial" w:cs="Arial"/>
          <w:color w:val="auto"/>
          <w:u w:val="single"/>
        </w:rPr>
        <w:t xml:space="preserve">a </w:t>
      </w:r>
      <w:r w:rsidR="0050415C" w:rsidRPr="000815AA">
        <w:rPr>
          <w:rFonts w:ascii="Arial" w:hAnsi="Arial" w:cs="Arial"/>
          <w:color w:val="auto"/>
          <w:u w:val="single"/>
        </w:rPr>
        <w:t>treatment</w:t>
      </w:r>
      <w:r w:rsidR="00BC4B96" w:rsidRPr="000815AA">
        <w:rPr>
          <w:rFonts w:ascii="Arial" w:hAnsi="Arial" w:cs="Arial"/>
          <w:color w:val="auto"/>
          <w:u w:val="single"/>
        </w:rPr>
        <w:t xml:space="preserve"> approach </w:t>
      </w:r>
      <w:r w:rsidR="0050415C" w:rsidRPr="000815AA">
        <w:rPr>
          <w:rFonts w:ascii="Arial" w:hAnsi="Arial" w:cs="Arial"/>
          <w:color w:val="auto"/>
          <w:u w:val="single"/>
        </w:rPr>
        <w:t xml:space="preserve">designed to avoid </w:t>
      </w:r>
      <w:r w:rsidR="00BC4B96" w:rsidRPr="000815AA">
        <w:rPr>
          <w:rFonts w:ascii="Arial" w:hAnsi="Arial" w:cs="Arial"/>
          <w:color w:val="auto"/>
          <w:u w:val="single"/>
        </w:rPr>
        <w:t xml:space="preserve">surgical and other </w:t>
      </w:r>
      <w:r w:rsidR="0050415C" w:rsidRPr="000815AA">
        <w:rPr>
          <w:rFonts w:ascii="Arial" w:hAnsi="Arial" w:cs="Arial"/>
          <w:color w:val="auto"/>
          <w:u w:val="single"/>
        </w:rPr>
        <w:t>medical and therapeutic me</w:t>
      </w:r>
      <w:r w:rsidR="002336CA" w:rsidRPr="000815AA">
        <w:rPr>
          <w:rFonts w:ascii="Arial" w:hAnsi="Arial" w:cs="Arial"/>
          <w:color w:val="auto"/>
          <w:u w:val="single"/>
        </w:rPr>
        <w:t>a</w:t>
      </w:r>
      <w:r w:rsidR="0050415C" w:rsidRPr="000815AA">
        <w:rPr>
          <w:rFonts w:ascii="Arial" w:hAnsi="Arial" w:cs="Arial"/>
          <w:color w:val="auto"/>
          <w:u w:val="single"/>
        </w:rPr>
        <w:t xml:space="preserve">sures </w:t>
      </w:r>
      <w:r w:rsidR="00772E50" w:rsidRPr="000815AA">
        <w:rPr>
          <w:rFonts w:ascii="Arial" w:hAnsi="Arial" w:cs="Arial"/>
          <w:color w:val="auto"/>
          <w:u w:val="single"/>
        </w:rPr>
        <w:t xml:space="preserve">with </w:t>
      </w:r>
      <w:r w:rsidR="00BC4B96" w:rsidRPr="000815AA">
        <w:rPr>
          <w:rFonts w:ascii="Arial" w:hAnsi="Arial" w:cs="Arial"/>
          <w:color w:val="auto"/>
          <w:u w:val="single"/>
        </w:rPr>
        <w:t>higher risk of harm compared to benefit</w:t>
      </w:r>
      <w:r w:rsidRPr="000815AA">
        <w:rPr>
          <w:rFonts w:ascii="Arial" w:hAnsi="Arial" w:cs="Arial"/>
          <w:color w:val="auto"/>
          <w:u w:val="single"/>
        </w:rPr>
        <w:t>.</w:t>
      </w:r>
      <w:r w:rsidR="0028278C" w:rsidRPr="000815AA">
        <w:rPr>
          <w:rFonts w:ascii="Arial" w:hAnsi="Arial" w:cs="Arial"/>
          <w:color w:val="auto"/>
          <w:u w:val="single"/>
        </w:rPr>
        <w:t>(</w:t>
      </w:r>
      <w:hyperlink w:anchor="Singh2013" w:history="1">
        <w:r w:rsidR="0028278C" w:rsidRPr="000815AA">
          <w:rPr>
            <w:rStyle w:val="Hyperlink"/>
            <w:rFonts w:ascii="Arial" w:hAnsi="Arial" w:cs="Arial"/>
          </w:rPr>
          <w:t>Singh, 2013</w:t>
        </w:r>
      </w:hyperlink>
      <w:r w:rsidR="0028278C" w:rsidRPr="000815AA">
        <w:rPr>
          <w:rFonts w:ascii="Arial" w:hAnsi="Arial" w:cs="Arial"/>
          <w:color w:val="auto"/>
          <w:u w:val="single"/>
        </w:rPr>
        <w:t>)</w:t>
      </w:r>
      <w:r w:rsidR="00497D13" w:rsidRPr="000815AA">
        <w:rPr>
          <w:rFonts w:ascii="Arial" w:hAnsi="Arial" w:cs="Arial"/>
          <w:color w:val="auto"/>
          <w:u w:val="single"/>
        </w:rPr>
        <w:t>.</w:t>
      </w:r>
      <w:r w:rsidRPr="000815AA">
        <w:rPr>
          <w:rFonts w:ascii="Arial" w:hAnsi="Arial" w:cs="Arial"/>
          <w:color w:val="auto"/>
          <w:u w:val="single"/>
        </w:rPr>
        <w:t xml:space="preserve"> </w:t>
      </w:r>
      <w:r w:rsidRPr="00D61F73">
        <w:rPr>
          <w:rFonts w:ascii="Arial" w:hAnsi="Arial" w:cs="Arial"/>
          <w:color w:val="auto"/>
        </w:rPr>
        <w:t xml:space="preserve">If the complaint persists, the physician needs to reconsider the diagnosis and decide whether a specialist evaluation is necessary. </w:t>
      </w:r>
      <w:r w:rsidR="00AA2119" w:rsidRPr="00D61F73">
        <w:rPr>
          <w:rFonts w:ascii="Arial" w:hAnsi="Arial" w:cs="Arial"/>
          <w:color w:val="auto"/>
        </w:rPr>
        <w:t xml:space="preserve">The Chronic Pain Medical Treatment Guidelines provide a framework to manage all chronic pain conditions, even when the injury is not addressed in the </w:t>
      </w:r>
      <w:r w:rsidR="006A61E7" w:rsidRPr="00A742FC">
        <w:rPr>
          <w:rFonts w:ascii="Arial" w:hAnsi="Arial" w:cs="Arial"/>
          <w:color w:val="auto"/>
          <w:u w:val="single"/>
        </w:rPr>
        <w:t>C</w:t>
      </w:r>
      <w:r w:rsidR="00634B98" w:rsidRPr="00A742FC">
        <w:rPr>
          <w:rFonts w:ascii="Arial" w:hAnsi="Arial" w:cs="Arial"/>
          <w:strike/>
          <w:color w:val="auto"/>
        </w:rPr>
        <w:t>c</w:t>
      </w:r>
      <w:r w:rsidR="006A61E7" w:rsidRPr="00634B98">
        <w:rPr>
          <w:rFonts w:ascii="Arial" w:hAnsi="Arial" w:cs="Arial"/>
          <w:color w:val="auto"/>
        </w:rPr>
        <w:t xml:space="preserve">linical </w:t>
      </w:r>
      <w:r w:rsidR="006A61E7" w:rsidRPr="00A742FC">
        <w:rPr>
          <w:rFonts w:ascii="Arial" w:hAnsi="Arial" w:cs="Arial"/>
          <w:color w:val="auto"/>
          <w:u w:val="single"/>
        </w:rPr>
        <w:t>T</w:t>
      </w:r>
      <w:r w:rsidR="00634B98" w:rsidRPr="00A742FC">
        <w:rPr>
          <w:rFonts w:ascii="Arial" w:hAnsi="Arial" w:cs="Arial"/>
          <w:strike/>
          <w:color w:val="auto"/>
        </w:rPr>
        <w:t>t</w:t>
      </w:r>
      <w:r w:rsidR="006A61E7" w:rsidRPr="00634B98">
        <w:rPr>
          <w:rFonts w:ascii="Arial" w:hAnsi="Arial" w:cs="Arial"/>
          <w:color w:val="auto"/>
        </w:rPr>
        <w:t>opics</w:t>
      </w:r>
      <w:r w:rsidR="006A61E7">
        <w:rPr>
          <w:rFonts w:ascii="Arial" w:hAnsi="Arial" w:cs="Arial"/>
          <w:color w:val="auto"/>
        </w:rPr>
        <w:t xml:space="preserve"> </w:t>
      </w:r>
      <w:r w:rsidR="00AA2119" w:rsidRPr="00D61F73">
        <w:rPr>
          <w:rFonts w:ascii="Arial" w:hAnsi="Arial" w:cs="Arial"/>
          <w:color w:val="auto"/>
        </w:rPr>
        <w:t>section of the MTUS.</w:t>
      </w:r>
    </w:p>
    <w:p w14:paraId="1E325AF3" w14:textId="40AD21E1" w:rsidR="006249BF" w:rsidRPr="00D61F73" w:rsidRDefault="000A67A5" w:rsidP="00D61F73">
      <w:pPr>
        <w:jc w:val="both"/>
        <w:rPr>
          <w:rFonts w:ascii="Arial" w:hAnsi="Arial" w:cs="Arial"/>
          <w:color w:val="auto"/>
        </w:rPr>
      </w:pPr>
      <w:r w:rsidRPr="00D61F73">
        <w:rPr>
          <w:rFonts w:ascii="Arial" w:hAnsi="Arial" w:cs="Arial"/>
          <w:color w:val="auto"/>
        </w:rPr>
        <w:t>The Chronic Pain Medical T</w:t>
      </w:r>
      <w:r w:rsidR="00F127A2" w:rsidRPr="00D61F73">
        <w:rPr>
          <w:rFonts w:ascii="Arial" w:hAnsi="Arial" w:cs="Arial"/>
          <w:color w:val="auto"/>
        </w:rPr>
        <w:t>reatment G</w:t>
      </w:r>
      <w:r w:rsidR="006249BF" w:rsidRPr="00D61F73">
        <w:rPr>
          <w:rFonts w:ascii="Arial" w:hAnsi="Arial" w:cs="Arial"/>
          <w:color w:val="auto"/>
        </w:rPr>
        <w:t xml:space="preserve">uidelines consist of an introduction (Part 1) and specific information on interventions and treatments for chronic pain (Part 2), a </w:t>
      </w:r>
      <w:r w:rsidR="00DA5D44" w:rsidRPr="00D61F73">
        <w:rPr>
          <w:rFonts w:ascii="Arial" w:hAnsi="Arial" w:cs="Arial"/>
          <w:color w:val="auto"/>
        </w:rPr>
        <w:t xml:space="preserve">reformatted </w:t>
      </w:r>
      <w:r w:rsidR="006249BF" w:rsidRPr="00D61F73">
        <w:rPr>
          <w:rFonts w:ascii="Arial" w:hAnsi="Arial" w:cs="Arial"/>
          <w:color w:val="auto"/>
        </w:rPr>
        <w:t xml:space="preserve">version of evidence-based treatment guidelines from the </w:t>
      </w:r>
      <w:r w:rsidR="003863B5" w:rsidRPr="00D61F73">
        <w:rPr>
          <w:rFonts w:ascii="Arial" w:hAnsi="Arial" w:cs="Arial"/>
          <w:color w:val="auto"/>
        </w:rPr>
        <w:t xml:space="preserve">April 6, 2015 </w:t>
      </w:r>
      <w:r w:rsidR="006249BF" w:rsidRPr="00D61F73">
        <w:rPr>
          <w:rFonts w:ascii="Arial" w:hAnsi="Arial" w:cs="Arial"/>
          <w:color w:val="auto"/>
        </w:rPr>
        <w:t>version of</w:t>
      </w:r>
      <w:r w:rsidR="00B741E6" w:rsidRPr="00D61F73">
        <w:rPr>
          <w:rFonts w:ascii="Arial" w:hAnsi="Arial" w:cs="Arial"/>
          <w:color w:val="auto"/>
        </w:rPr>
        <w:t xml:space="preserve"> </w:t>
      </w:r>
      <w:r w:rsidR="001906B6" w:rsidRPr="00D61F73">
        <w:rPr>
          <w:rFonts w:ascii="Arial" w:hAnsi="Arial" w:cs="Arial"/>
          <w:color w:val="auto"/>
        </w:rPr>
        <w:t xml:space="preserve">the </w:t>
      </w:r>
      <w:r w:rsidR="006249BF" w:rsidRPr="00D61F73">
        <w:rPr>
          <w:rFonts w:ascii="Arial" w:hAnsi="Arial" w:cs="Arial"/>
          <w:color w:val="auto"/>
        </w:rPr>
        <w:t xml:space="preserve">Work Loss Data Institute’s Official Disability Guidelines (ODG) Treatment in Workers’ Compensation – Pain (Chronic), adapted with permission from the publisher. For specific guidance on opioid use, refer to the </w:t>
      </w:r>
      <w:r w:rsidR="00B07D16" w:rsidRPr="00D61F73">
        <w:rPr>
          <w:rFonts w:ascii="Arial" w:hAnsi="Arial" w:cs="Arial"/>
          <w:color w:val="auto"/>
        </w:rPr>
        <w:t>“</w:t>
      </w:r>
      <w:r w:rsidR="00297C80" w:rsidRPr="00D64831">
        <w:rPr>
          <w:rFonts w:ascii="Arial" w:hAnsi="Arial" w:cs="Arial"/>
        </w:rPr>
        <w:t>MTUS</w:t>
      </w:r>
      <w:r w:rsidR="006249BF" w:rsidRPr="00D64831">
        <w:rPr>
          <w:rFonts w:ascii="Arial" w:hAnsi="Arial" w:cs="Arial"/>
        </w:rPr>
        <w:t xml:space="preserve"> </w:t>
      </w:r>
      <w:r w:rsidR="00B07D16" w:rsidRPr="00D64831">
        <w:rPr>
          <w:rFonts w:ascii="Arial" w:hAnsi="Arial" w:cs="Arial"/>
          <w:bCs/>
        </w:rPr>
        <w:t>Opioids Treatment Guidelines</w:t>
      </w:r>
      <w:r w:rsidR="00D81DF7">
        <w:rPr>
          <w:rFonts w:ascii="Arial" w:hAnsi="Arial" w:cs="Arial"/>
          <w:bCs/>
        </w:rPr>
        <w:t>.</w:t>
      </w:r>
      <w:r w:rsidR="00B07D16" w:rsidRPr="00D61F73">
        <w:rPr>
          <w:rFonts w:ascii="Arial" w:hAnsi="Arial" w:cs="Arial"/>
          <w:bCs/>
        </w:rPr>
        <w:t xml:space="preserve">” </w:t>
      </w:r>
      <w:r w:rsidR="00B07D16" w:rsidRPr="00D61F73">
        <w:rPr>
          <w:rFonts w:ascii="Arial" w:hAnsi="Arial" w:cs="Arial"/>
          <w:color w:val="auto"/>
        </w:rPr>
        <w:t xml:space="preserve"> </w:t>
      </w:r>
    </w:p>
    <w:p w14:paraId="4E8116F1" w14:textId="77777777" w:rsidR="00BC43F4" w:rsidRPr="00D61F73" w:rsidRDefault="00BC43F4" w:rsidP="00D61F73">
      <w:pPr>
        <w:jc w:val="both"/>
        <w:rPr>
          <w:rFonts w:ascii="Arial" w:hAnsi="Arial" w:cs="Arial"/>
          <w:color w:val="auto"/>
        </w:rPr>
      </w:pPr>
    </w:p>
    <w:p w14:paraId="0CD7CE68" w14:textId="77777777" w:rsidR="006249BF" w:rsidRPr="00D61F73" w:rsidRDefault="006249BF" w:rsidP="00D61F73">
      <w:pPr>
        <w:jc w:val="both"/>
        <w:rPr>
          <w:rFonts w:ascii="Arial" w:hAnsi="Arial" w:cs="Arial"/>
          <w:color w:val="auto"/>
          <w:sz w:val="28"/>
          <w:szCs w:val="28"/>
        </w:rPr>
      </w:pPr>
      <w:r w:rsidRPr="00D61F73">
        <w:rPr>
          <w:rFonts w:ascii="Arial" w:hAnsi="Arial" w:cs="Arial"/>
          <w:b/>
          <w:color w:val="auto"/>
          <w:sz w:val="28"/>
          <w:szCs w:val="28"/>
        </w:rPr>
        <w:t>Definitions</w:t>
      </w:r>
      <w:r w:rsidRPr="00D61F73">
        <w:rPr>
          <w:rFonts w:ascii="Arial" w:hAnsi="Arial" w:cs="Arial"/>
          <w:color w:val="auto"/>
          <w:sz w:val="28"/>
          <w:szCs w:val="28"/>
        </w:rPr>
        <w:t xml:space="preserve">: </w:t>
      </w:r>
    </w:p>
    <w:p w14:paraId="4E16331D" w14:textId="77777777" w:rsidR="006249BF" w:rsidRPr="00D61F73" w:rsidRDefault="006249BF" w:rsidP="00D61F73">
      <w:pPr>
        <w:jc w:val="both"/>
        <w:rPr>
          <w:rFonts w:ascii="Arial" w:hAnsi="Arial" w:cs="Arial"/>
          <w:color w:val="auto"/>
        </w:rPr>
      </w:pPr>
    </w:p>
    <w:p w14:paraId="44B3B661" w14:textId="17C11155" w:rsidR="006249BF" w:rsidRPr="00D61F73" w:rsidRDefault="006249BF" w:rsidP="00D61F73">
      <w:pPr>
        <w:jc w:val="both"/>
        <w:rPr>
          <w:rFonts w:ascii="Arial" w:hAnsi="Arial" w:cs="Arial"/>
          <w:color w:val="auto"/>
        </w:rPr>
      </w:pPr>
      <w:r w:rsidRPr="00D61F73">
        <w:rPr>
          <w:rFonts w:ascii="Arial" w:hAnsi="Arial" w:cs="Arial"/>
          <w:b/>
          <w:color w:val="auto"/>
        </w:rPr>
        <w:t>Pain</w:t>
      </w:r>
      <w:r w:rsidRPr="00D61F73">
        <w:rPr>
          <w:rFonts w:ascii="Arial" w:hAnsi="Arial" w:cs="Arial"/>
          <w:color w:val="auto"/>
        </w:rPr>
        <w:t xml:space="preserve">: The International Association for the Study of Pain </w:t>
      </w:r>
      <w:r w:rsidRPr="00D61F73">
        <w:rPr>
          <w:rFonts w:ascii="Arial" w:hAnsi="Arial" w:cs="Arial"/>
          <w:color w:val="auto"/>
          <w:lang w:eastAsia="ja-JP"/>
        </w:rPr>
        <w:t>(IASP</w:t>
      </w:r>
      <w:r w:rsidRPr="00D61F73">
        <w:rPr>
          <w:rFonts w:ascii="Arial" w:hAnsi="Arial" w:cs="Arial"/>
          <w:color w:val="auto"/>
        </w:rPr>
        <w:t>) defines pain as “an unpleasant sensory or emotional experience associated with actual or potential tissue damage, or described in terms of such damag</w:t>
      </w:r>
      <w:r w:rsidRPr="00D61F73">
        <w:rPr>
          <w:rFonts w:ascii="Arial" w:hAnsi="Arial" w:cs="Arial"/>
          <w:color w:val="auto"/>
          <w:lang w:eastAsia="ja-JP"/>
        </w:rPr>
        <w:t xml:space="preserve">e.” </w:t>
      </w:r>
      <w:r w:rsidRPr="00D61F73">
        <w:rPr>
          <w:rFonts w:ascii="Arial" w:hAnsi="Arial" w:cs="Arial"/>
          <w:color w:val="auto"/>
        </w:rPr>
        <w:fldChar w:fldCharType="begin"/>
      </w:r>
      <w:r w:rsidRPr="00D61F73">
        <w:rPr>
          <w:rFonts w:ascii="Arial" w:hAnsi="Arial" w:cs="Arial"/>
          <w:color w:val="auto"/>
        </w:rPr>
        <w:instrText xml:space="preserve"> ADDIN EN.CITE &lt;EndNote&gt;&lt;Cite&gt;&lt;Author&gt;Merskey&lt;/Author&gt;&lt;Year&gt;1994&lt;/Year&gt;&lt;RecNum&gt;235&lt;/RecNum&gt;&lt;record&gt;&lt;rec-number&gt;0&lt;/rec-number&gt;&lt;ref-type name="Book"&gt;6&lt;/ref-type&gt;&lt;contributors&gt;&lt;authors&gt;&lt;author&gt;Merskey, H.&lt;/author&gt;&lt;author&gt;Bogduk, N.&lt;/author&gt;&lt;/authors&gt;&lt;/contributors&gt;&lt;titles&gt;&lt;title&gt;Classification of chronic pain: descriptions of chronic pain syndromes and definitions of pain terms&lt;/title&gt;&lt;/titles&gt;&lt;pages&gt;40-43&lt;/pages&gt;&lt;edition&gt;2nd ed.&lt;/edition&gt;&lt;dates&gt;&lt;year&gt;1994&lt;/year&gt;&lt;/dates&gt;&lt;pub-location&gt;Seattle, WA&lt;/pub-location&gt;&lt;publisher&gt;IASP Press&lt;/publisher&gt;&lt;urls&gt;&lt;/urls&gt;&lt;/record&gt;&lt;/Cite&gt;&lt;/EndNote&gt;</w:instrText>
      </w:r>
      <w:r w:rsidRPr="00D61F73">
        <w:rPr>
          <w:rFonts w:ascii="Arial" w:hAnsi="Arial" w:cs="Arial"/>
          <w:color w:val="auto"/>
        </w:rPr>
        <w:fldChar w:fldCharType="separate"/>
      </w:r>
      <w:r w:rsidRPr="00D61F73">
        <w:rPr>
          <w:rFonts w:ascii="Arial" w:hAnsi="Arial" w:cs="Arial"/>
          <w:color w:val="auto"/>
        </w:rPr>
        <w:t>(</w:t>
      </w:r>
      <w:hyperlink w:anchor="Merskey1994" w:history="1">
        <w:r w:rsidRPr="00D61F73">
          <w:rPr>
            <w:rStyle w:val="Hyperlink"/>
            <w:rFonts w:ascii="Arial" w:hAnsi="Arial" w:cs="Arial"/>
          </w:rPr>
          <w:t>Merskey</w:t>
        </w:r>
        <w:r w:rsidR="004C56B8" w:rsidRPr="00D61F73">
          <w:rPr>
            <w:rStyle w:val="Hyperlink"/>
            <w:rFonts w:ascii="Arial" w:hAnsi="Arial" w:cs="Arial"/>
          </w:rPr>
          <w:t>,</w:t>
        </w:r>
        <w:r w:rsidRPr="00D61F73">
          <w:rPr>
            <w:rStyle w:val="Hyperlink"/>
            <w:rFonts w:ascii="Arial" w:hAnsi="Arial" w:cs="Arial"/>
          </w:rPr>
          <w:t xml:space="preserve"> 1994</w:t>
        </w:r>
      </w:hyperlink>
      <w:r w:rsidRPr="00D61F73">
        <w:rPr>
          <w:rFonts w:ascii="Arial" w:hAnsi="Arial" w:cs="Arial"/>
          <w:color w:val="auto"/>
        </w:rPr>
        <w:t>)</w:t>
      </w:r>
      <w:r w:rsidRPr="00D61F73">
        <w:rPr>
          <w:rFonts w:ascii="Arial" w:hAnsi="Arial" w:cs="Arial"/>
          <w:color w:val="auto"/>
        </w:rPr>
        <w:fldChar w:fldCharType="end"/>
      </w:r>
      <w:r w:rsidRPr="00D61F73">
        <w:rPr>
          <w:rFonts w:ascii="Arial" w:hAnsi="Arial" w:cs="Arial"/>
          <w:color w:val="auto"/>
        </w:rPr>
        <w:t xml:space="preserve"> This definition describes pain as a subjective experience; therefore, unlike hypertension or diabetes, there is no objective measurement for pain</w:t>
      </w:r>
      <w:r w:rsidRPr="000815AA">
        <w:rPr>
          <w:rFonts w:ascii="Arial" w:hAnsi="Arial" w:cs="Arial"/>
          <w:strike/>
          <w:color w:val="auto"/>
        </w:rPr>
        <w:t xml:space="preserve"> intensit</w:t>
      </w:r>
      <w:r w:rsidRPr="008F46FE">
        <w:rPr>
          <w:rFonts w:ascii="Arial" w:hAnsi="Arial" w:cs="Arial"/>
          <w:strike/>
          <w:color w:val="auto"/>
        </w:rPr>
        <w:t>y</w:t>
      </w:r>
      <w:r w:rsidRPr="008F46FE">
        <w:rPr>
          <w:rFonts w:ascii="Arial" w:hAnsi="Arial" w:cs="Arial"/>
          <w:color w:val="auto"/>
        </w:rPr>
        <w:t>.</w:t>
      </w:r>
      <w:r w:rsidRPr="00AA2BC6">
        <w:rPr>
          <w:rFonts w:ascii="Arial" w:hAnsi="Arial" w:cs="Arial"/>
          <w:color w:val="auto"/>
        </w:rPr>
        <w:t xml:space="preserve"> </w:t>
      </w:r>
      <w:r w:rsidRPr="00D61F73">
        <w:rPr>
          <w:rFonts w:ascii="Arial" w:hAnsi="Arial" w:cs="Arial"/>
          <w:color w:val="auto"/>
        </w:rPr>
        <w:t xml:space="preserve"> Analysis of the objective data (history, psychosocial assessment, physical findings, imaging results, lab tests, etc.) is needed to evaluate the patient’s subjective report of pain. </w:t>
      </w:r>
    </w:p>
    <w:p w14:paraId="3D686EB8" w14:textId="77777777" w:rsidR="006249BF" w:rsidRPr="00D61F73" w:rsidRDefault="006249BF" w:rsidP="00D61F73">
      <w:pPr>
        <w:rPr>
          <w:rFonts w:ascii="Arial" w:hAnsi="Arial" w:cs="Arial"/>
          <w:color w:val="auto"/>
        </w:rPr>
      </w:pPr>
    </w:p>
    <w:p w14:paraId="6A6C6D9F" w14:textId="77777777" w:rsidR="006249BF" w:rsidRPr="00D61F73" w:rsidRDefault="006249BF" w:rsidP="00D61F73">
      <w:pPr>
        <w:jc w:val="both"/>
        <w:rPr>
          <w:rFonts w:ascii="Arial" w:hAnsi="Arial" w:cs="Arial"/>
          <w:color w:val="auto"/>
        </w:rPr>
      </w:pPr>
      <w:r w:rsidRPr="00D61F73">
        <w:rPr>
          <w:rFonts w:ascii="Arial" w:hAnsi="Arial" w:cs="Arial"/>
          <w:b/>
          <w:color w:val="auto"/>
        </w:rPr>
        <w:t>Types of Pain (Acute vs Chronic):</w:t>
      </w:r>
      <w:r w:rsidRPr="00D61F73">
        <w:rPr>
          <w:rFonts w:ascii="Arial" w:hAnsi="Arial" w:cs="Arial"/>
          <w:color w:val="auto"/>
        </w:rPr>
        <w:t xml:space="preserve"> Pain comes in many forms. Understanding which kind or kinds of pain a person </w:t>
      </w:r>
      <w:r w:rsidR="00B741E6" w:rsidRPr="00D61F73">
        <w:rPr>
          <w:rFonts w:ascii="Arial" w:hAnsi="Arial" w:cs="Arial"/>
          <w:color w:val="auto"/>
        </w:rPr>
        <w:t>is experiencing</w:t>
      </w:r>
      <w:r w:rsidRPr="00D61F73">
        <w:rPr>
          <w:rFonts w:ascii="Arial" w:hAnsi="Arial" w:cs="Arial"/>
          <w:color w:val="auto"/>
        </w:rPr>
        <w:t xml:space="preserve"> is a first step toward treatment. Although acute and chronic </w:t>
      </w:r>
      <w:r w:rsidR="00F4450C" w:rsidRPr="00D61F73">
        <w:rPr>
          <w:rFonts w:ascii="Arial" w:hAnsi="Arial" w:cs="Arial"/>
          <w:color w:val="auto"/>
        </w:rPr>
        <w:t>pain is</w:t>
      </w:r>
      <w:r w:rsidRPr="00D61F73">
        <w:rPr>
          <w:rFonts w:ascii="Arial" w:hAnsi="Arial" w:cs="Arial"/>
          <w:color w:val="auto"/>
        </w:rPr>
        <w:t xml:space="preserve"> considered separately below, an individual can experience them simultaneously. Furthermore, </w:t>
      </w:r>
      <w:r w:rsidR="00B741E6" w:rsidRPr="00D61F73">
        <w:rPr>
          <w:rFonts w:ascii="Arial" w:hAnsi="Arial" w:cs="Arial"/>
          <w:color w:val="auto"/>
        </w:rPr>
        <w:t xml:space="preserve">current </w:t>
      </w:r>
      <w:r w:rsidRPr="00D61F73">
        <w:rPr>
          <w:rFonts w:ascii="Arial" w:hAnsi="Arial" w:cs="Arial"/>
          <w:color w:val="auto"/>
        </w:rPr>
        <w:t xml:space="preserve">research </w:t>
      </w:r>
      <w:r w:rsidR="00B741E6" w:rsidRPr="00D61F73">
        <w:rPr>
          <w:rFonts w:ascii="Arial" w:hAnsi="Arial" w:cs="Arial"/>
          <w:color w:val="auto"/>
        </w:rPr>
        <w:t xml:space="preserve">shows </w:t>
      </w:r>
      <w:r w:rsidRPr="00D61F73">
        <w:rPr>
          <w:rFonts w:ascii="Arial" w:hAnsi="Arial" w:cs="Arial"/>
          <w:color w:val="auto"/>
        </w:rPr>
        <w:t>that</w:t>
      </w:r>
      <w:r w:rsidR="00B741E6" w:rsidRPr="00D61F73">
        <w:rPr>
          <w:rFonts w:ascii="Arial" w:hAnsi="Arial" w:cs="Arial"/>
          <w:color w:val="auto"/>
        </w:rPr>
        <w:t xml:space="preserve"> </w:t>
      </w:r>
      <w:r w:rsidRPr="00D61F73">
        <w:rPr>
          <w:rFonts w:ascii="Arial" w:hAnsi="Arial" w:cs="Arial"/>
          <w:color w:val="auto"/>
        </w:rPr>
        <w:t>pain exists more on a continuum than in discrete categories of “acute” or “chronic” pain. This means that, for some patients, the mechanisms responsible for pain persistence are engaged early in the injury process</w:t>
      </w:r>
      <w:r w:rsidR="00B741E6" w:rsidRPr="00D61F73">
        <w:rPr>
          <w:rFonts w:ascii="Arial" w:hAnsi="Arial" w:cs="Arial"/>
          <w:color w:val="auto"/>
        </w:rPr>
        <w:t>. T</w:t>
      </w:r>
      <w:r w:rsidRPr="00D61F73">
        <w:rPr>
          <w:rFonts w:ascii="Arial" w:hAnsi="Arial" w:cs="Arial"/>
          <w:color w:val="auto"/>
        </w:rPr>
        <w:t>herefore</w:t>
      </w:r>
      <w:r w:rsidR="00B741E6" w:rsidRPr="00D61F73">
        <w:rPr>
          <w:rFonts w:ascii="Arial" w:hAnsi="Arial" w:cs="Arial"/>
          <w:color w:val="auto"/>
        </w:rPr>
        <w:t>,</w:t>
      </w:r>
      <w:r w:rsidRPr="00D61F73">
        <w:rPr>
          <w:rFonts w:ascii="Arial" w:hAnsi="Arial" w:cs="Arial"/>
          <w:color w:val="auto"/>
        </w:rPr>
        <w:t xml:space="preserve"> it is important to identify persons at risk for the development of chronic pain and to establish preventative measures to reduce the likelihood of pain persistence.</w:t>
      </w:r>
    </w:p>
    <w:p w14:paraId="5CB6525D" w14:textId="77777777" w:rsidR="006249BF" w:rsidRPr="00D61F73" w:rsidRDefault="006249BF" w:rsidP="00D61F73">
      <w:pPr>
        <w:jc w:val="both"/>
        <w:rPr>
          <w:rFonts w:ascii="Arial" w:hAnsi="Arial" w:cs="Arial"/>
          <w:color w:val="auto"/>
        </w:rPr>
      </w:pPr>
    </w:p>
    <w:p w14:paraId="59829F50" w14:textId="3F20AB55" w:rsidR="006249BF" w:rsidRPr="00D61F73" w:rsidRDefault="006249BF" w:rsidP="00D61F73">
      <w:pPr>
        <w:numPr>
          <w:ilvl w:val="0"/>
          <w:numId w:val="24"/>
        </w:numPr>
        <w:spacing w:after="200"/>
        <w:contextualSpacing/>
        <w:jc w:val="both"/>
        <w:rPr>
          <w:rFonts w:ascii="Arial" w:hAnsi="Arial" w:cs="Arial"/>
          <w:color w:val="auto"/>
        </w:rPr>
      </w:pPr>
      <w:r w:rsidRPr="00D61F73">
        <w:rPr>
          <w:rFonts w:ascii="Arial" w:hAnsi="Arial" w:cs="Arial"/>
          <w:i/>
          <w:color w:val="auto"/>
        </w:rPr>
        <w:t>Acute pain</w:t>
      </w:r>
      <w:r w:rsidRPr="00D61F73">
        <w:rPr>
          <w:rFonts w:ascii="Arial" w:hAnsi="Arial" w:cs="Arial"/>
          <w:color w:val="auto"/>
        </w:rPr>
        <w:t xml:space="preserve">, by definition, is of sudden onset and expected to be of short duration. It can usually be linked to a specific event, injury, or illness—a muscle strain, a bone fracture, severe sunburn, or a kidney stone, for example. People can self-manage many types of acute pain with over-the-counter medications or a short course of stronger analgesics and rest. Acute pain usually subsides when the underlying cause resolves, such as when a fracture heals, or kidney stone or diseased tooth is removed. </w:t>
      </w:r>
      <w:r w:rsidR="004323EA" w:rsidRPr="00D61F73">
        <w:rPr>
          <w:rFonts w:ascii="Arial" w:hAnsi="Arial" w:cs="Arial"/>
          <w:color w:val="auto"/>
        </w:rPr>
        <w:t>In the</w:t>
      </w:r>
      <w:r w:rsidR="00584545" w:rsidRPr="00D61F73">
        <w:rPr>
          <w:rFonts w:ascii="Arial" w:hAnsi="Arial" w:cs="Arial"/>
          <w:color w:val="auto"/>
        </w:rPr>
        <w:t xml:space="preserve"> </w:t>
      </w:r>
      <w:r w:rsidR="00945339" w:rsidRPr="00D61F73">
        <w:rPr>
          <w:rFonts w:ascii="Arial" w:hAnsi="Arial" w:cs="Arial"/>
          <w:color w:val="auto"/>
        </w:rPr>
        <w:t>“</w:t>
      </w:r>
      <w:r w:rsidR="00B07D16" w:rsidRPr="00D61F73">
        <w:rPr>
          <w:rFonts w:ascii="Arial" w:hAnsi="Arial" w:cs="Arial"/>
        </w:rPr>
        <w:t xml:space="preserve">MTUS Opioids </w:t>
      </w:r>
      <w:r w:rsidR="00B07D16" w:rsidRPr="00D61F73">
        <w:rPr>
          <w:rFonts w:ascii="Arial" w:hAnsi="Arial" w:cs="Arial"/>
        </w:rPr>
        <w:lastRenderedPageBreak/>
        <w:t>Treatment Guidelines</w:t>
      </w:r>
      <w:r w:rsidR="00584545" w:rsidRPr="00D61F73">
        <w:rPr>
          <w:rFonts w:ascii="Arial" w:hAnsi="Arial" w:cs="Arial"/>
          <w:color w:val="auto"/>
        </w:rPr>
        <w:t>,</w:t>
      </w:r>
      <w:r w:rsidR="00945339" w:rsidRPr="00D61F73">
        <w:rPr>
          <w:rFonts w:ascii="Arial" w:hAnsi="Arial" w:cs="Arial"/>
          <w:color w:val="auto"/>
        </w:rPr>
        <w:t>”</w:t>
      </w:r>
      <w:r w:rsidR="00B741E6" w:rsidRPr="00D61F73">
        <w:rPr>
          <w:rFonts w:ascii="Arial" w:hAnsi="Arial" w:cs="Arial"/>
          <w:color w:val="auto"/>
        </w:rPr>
        <w:t xml:space="preserve"> acute pain is defined as pain lasting up to one month and subacute pain as pain last between one and three months.</w:t>
      </w:r>
    </w:p>
    <w:p w14:paraId="03269EA0" w14:textId="77777777" w:rsidR="006249BF" w:rsidRPr="00D61F73" w:rsidRDefault="006249BF" w:rsidP="00D61F73">
      <w:pPr>
        <w:jc w:val="both"/>
        <w:rPr>
          <w:rFonts w:ascii="Arial" w:hAnsi="Arial" w:cs="Arial"/>
          <w:color w:val="auto"/>
        </w:rPr>
      </w:pPr>
    </w:p>
    <w:p w14:paraId="7BA01C70" w14:textId="571A4F4B" w:rsidR="006249BF" w:rsidRPr="00D61F73" w:rsidRDefault="006249BF" w:rsidP="00D61F73">
      <w:pPr>
        <w:numPr>
          <w:ilvl w:val="0"/>
          <w:numId w:val="24"/>
        </w:numPr>
        <w:spacing w:after="200"/>
        <w:contextualSpacing/>
        <w:jc w:val="both"/>
        <w:rPr>
          <w:rFonts w:ascii="Arial" w:hAnsi="Arial" w:cs="Arial"/>
          <w:color w:val="auto"/>
        </w:rPr>
      </w:pPr>
      <w:r w:rsidRPr="00D61F73">
        <w:rPr>
          <w:rFonts w:ascii="Arial" w:hAnsi="Arial" w:cs="Arial"/>
          <w:i/>
          <w:color w:val="auto"/>
        </w:rPr>
        <w:t xml:space="preserve">Chronic </w:t>
      </w:r>
      <w:r w:rsidR="00B741E6" w:rsidRPr="00D61F73">
        <w:rPr>
          <w:rFonts w:ascii="Arial" w:hAnsi="Arial" w:cs="Arial"/>
          <w:i/>
          <w:color w:val="auto"/>
        </w:rPr>
        <w:t>p</w:t>
      </w:r>
      <w:r w:rsidRPr="00D61F73">
        <w:rPr>
          <w:rFonts w:ascii="Arial" w:hAnsi="Arial" w:cs="Arial"/>
          <w:i/>
          <w:color w:val="auto"/>
        </w:rPr>
        <w:t>ain</w:t>
      </w:r>
      <w:r w:rsidRPr="00D61F73">
        <w:rPr>
          <w:rFonts w:ascii="Arial" w:hAnsi="Arial" w:cs="Arial"/>
          <w:color w:val="auto"/>
        </w:rPr>
        <w:t xml:space="preserve"> is any pain that lasts </w:t>
      </w:r>
      <w:r w:rsidRPr="000815AA">
        <w:rPr>
          <w:rFonts w:ascii="Arial" w:hAnsi="Arial" w:cs="Arial"/>
          <w:strike/>
          <w:color w:val="auto"/>
        </w:rPr>
        <w:t xml:space="preserve">more than </w:t>
      </w:r>
      <w:r w:rsidRPr="00D61F73">
        <w:rPr>
          <w:rFonts w:ascii="Arial" w:hAnsi="Arial" w:cs="Arial"/>
          <w:color w:val="auto"/>
        </w:rPr>
        <w:t>three</w:t>
      </w:r>
      <w:r w:rsidR="0002076F">
        <w:rPr>
          <w:rFonts w:ascii="Arial" w:hAnsi="Arial" w:cs="Arial"/>
          <w:color w:val="auto"/>
        </w:rPr>
        <w:t xml:space="preserve"> </w:t>
      </w:r>
      <w:r w:rsidR="00BD6F43" w:rsidRPr="000815AA">
        <w:rPr>
          <w:rFonts w:ascii="Arial" w:hAnsi="Arial" w:cs="Arial"/>
          <w:color w:val="auto"/>
          <w:u w:val="single"/>
        </w:rPr>
        <w:t>(3)</w:t>
      </w:r>
      <w:r w:rsidR="0002076F" w:rsidRPr="000815AA">
        <w:rPr>
          <w:rFonts w:ascii="Arial" w:hAnsi="Arial" w:cs="Arial"/>
          <w:color w:val="auto"/>
          <w:u w:val="single"/>
        </w:rPr>
        <w:t xml:space="preserve"> or more</w:t>
      </w:r>
      <w:r w:rsidR="00BD6F43">
        <w:rPr>
          <w:rFonts w:ascii="Arial" w:hAnsi="Arial" w:cs="Arial"/>
          <w:color w:val="auto"/>
        </w:rPr>
        <w:t xml:space="preserve"> </w:t>
      </w:r>
      <w:r w:rsidRPr="00D61F73">
        <w:rPr>
          <w:rFonts w:ascii="Arial" w:hAnsi="Arial" w:cs="Arial"/>
          <w:color w:val="auto"/>
        </w:rPr>
        <w:t xml:space="preserve">months </w:t>
      </w:r>
      <w:r w:rsidR="00AD5FCC" w:rsidRPr="000815AA">
        <w:rPr>
          <w:rFonts w:ascii="Arial" w:hAnsi="Arial" w:cs="Arial"/>
          <w:color w:val="auto"/>
          <w:u w:val="single"/>
        </w:rPr>
        <w:t xml:space="preserve">from the initial onset of pain </w:t>
      </w:r>
      <w:r w:rsidR="00BD6F43" w:rsidRPr="000815AA">
        <w:rPr>
          <w:rFonts w:ascii="Arial" w:hAnsi="Arial" w:cs="Arial"/>
          <w:color w:val="auto"/>
          <w:u w:val="single"/>
        </w:rPr>
        <w:t>(i.e., over 12 weeks)</w:t>
      </w:r>
      <w:r w:rsidRPr="000815AA">
        <w:rPr>
          <w:rFonts w:ascii="Arial" w:hAnsi="Arial" w:cs="Arial"/>
          <w:strike/>
          <w:color w:val="auto"/>
        </w:rPr>
        <w:t xml:space="preserve">following an injury </w:t>
      </w:r>
      <w:r w:rsidRPr="00D61F73">
        <w:rPr>
          <w:rFonts w:ascii="Arial" w:hAnsi="Arial" w:cs="Arial"/>
          <w:color w:val="auto"/>
        </w:rPr>
        <w:t>and can be frustratingly</w:t>
      </w:r>
      <w:r w:rsidR="004323EA" w:rsidRPr="00D61F73">
        <w:rPr>
          <w:rFonts w:ascii="Arial" w:hAnsi="Arial" w:cs="Arial"/>
          <w:color w:val="auto"/>
        </w:rPr>
        <w:t xml:space="preserve"> difficult to treat. In the </w:t>
      </w:r>
      <w:r w:rsidR="00945339" w:rsidRPr="00D61F73">
        <w:rPr>
          <w:rFonts w:ascii="Arial" w:hAnsi="Arial" w:cs="Arial"/>
          <w:color w:val="auto"/>
        </w:rPr>
        <w:t>“</w:t>
      </w:r>
      <w:r w:rsidR="00B07D16" w:rsidRPr="00D61F73">
        <w:rPr>
          <w:rFonts w:ascii="Arial" w:hAnsi="Arial" w:cs="Arial"/>
        </w:rPr>
        <w:t>MTUS Opioids Treatment Guidelines</w:t>
      </w:r>
      <w:r w:rsidRPr="00D61F73">
        <w:rPr>
          <w:rFonts w:ascii="Arial" w:hAnsi="Arial" w:cs="Arial"/>
          <w:color w:val="auto"/>
        </w:rPr>
        <w:t>,</w:t>
      </w:r>
      <w:r w:rsidR="00945339" w:rsidRPr="00D61F73">
        <w:rPr>
          <w:rFonts w:ascii="Arial" w:hAnsi="Arial" w:cs="Arial"/>
          <w:color w:val="auto"/>
        </w:rPr>
        <w:t>”</w:t>
      </w:r>
      <w:r w:rsidRPr="00D61F73">
        <w:rPr>
          <w:rFonts w:ascii="Arial" w:hAnsi="Arial" w:cs="Arial"/>
          <w:color w:val="auto"/>
        </w:rPr>
        <w:t xml:space="preserve"> chronic pain is</w:t>
      </w:r>
      <w:r w:rsidRPr="000815AA">
        <w:rPr>
          <w:rFonts w:ascii="Arial" w:hAnsi="Arial" w:cs="Arial"/>
          <w:color w:val="auto"/>
          <w:u w:val="single"/>
        </w:rPr>
        <w:t xml:space="preserve"> </w:t>
      </w:r>
      <w:r w:rsidR="005943D2" w:rsidRPr="000815AA">
        <w:rPr>
          <w:rFonts w:ascii="Arial" w:hAnsi="Arial" w:cs="Arial"/>
          <w:color w:val="auto"/>
          <w:u w:val="single"/>
        </w:rPr>
        <w:t>also</w:t>
      </w:r>
      <w:r w:rsidR="005943D2">
        <w:rPr>
          <w:rFonts w:ascii="Arial" w:hAnsi="Arial" w:cs="Arial"/>
          <w:color w:val="auto"/>
        </w:rPr>
        <w:t xml:space="preserve"> </w:t>
      </w:r>
      <w:r w:rsidRPr="00D61F73">
        <w:rPr>
          <w:rFonts w:ascii="Arial" w:hAnsi="Arial" w:cs="Arial"/>
          <w:color w:val="auto"/>
        </w:rPr>
        <w:t>defined as pain lasting</w:t>
      </w:r>
      <w:r w:rsidRPr="000815AA">
        <w:rPr>
          <w:rFonts w:ascii="Arial" w:hAnsi="Arial" w:cs="Arial"/>
          <w:color w:val="auto"/>
          <w:u w:val="single"/>
        </w:rPr>
        <w:t xml:space="preserve"> </w:t>
      </w:r>
      <w:r w:rsidR="00A8472F" w:rsidRPr="000815AA">
        <w:rPr>
          <w:rFonts w:ascii="Arial" w:hAnsi="Arial" w:cs="Arial"/>
          <w:color w:val="auto"/>
          <w:u w:val="single"/>
        </w:rPr>
        <w:t>three (3) or</w:t>
      </w:r>
      <w:r w:rsidR="00A8472F">
        <w:rPr>
          <w:rFonts w:ascii="Arial" w:hAnsi="Arial" w:cs="Arial"/>
          <w:color w:val="auto"/>
        </w:rPr>
        <w:t xml:space="preserve"> </w:t>
      </w:r>
      <w:r w:rsidRPr="00D61F73">
        <w:rPr>
          <w:rFonts w:ascii="Arial" w:hAnsi="Arial" w:cs="Arial"/>
          <w:color w:val="auto"/>
        </w:rPr>
        <w:t xml:space="preserve">more </w:t>
      </w:r>
      <w:r w:rsidRPr="000815AA">
        <w:rPr>
          <w:rFonts w:ascii="Arial" w:hAnsi="Arial" w:cs="Arial"/>
          <w:strike/>
          <w:color w:val="auto"/>
        </w:rPr>
        <w:t>than three</w:t>
      </w:r>
      <w:r w:rsidR="00BD6F43">
        <w:rPr>
          <w:rFonts w:ascii="Arial" w:hAnsi="Arial" w:cs="Arial"/>
          <w:color w:val="auto"/>
        </w:rPr>
        <w:t xml:space="preserve"> </w:t>
      </w:r>
      <w:r w:rsidRPr="00D61F73">
        <w:rPr>
          <w:rFonts w:ascii="Arial" w:hAnsi="Arial" w:cs="Arial"/>
          <w:color w:val="auto"/>
        </w:rPr>
        <w:t>months</w:t>
      </w:r>
      <w:r w:rsidR="00AD5FCC" w:rsidRPr="000815AA">
        <w:rPr>
          <w:rFonts w:ascii="Arial" w:hAnsi="Arial" w:cs="Arial"/>
          <w:color w:val="auto"/>
          <w:u w:val="single"/>
        </w:rPr>
        <w:t xml:space="preserve"> from the initial onset of pain</w:t>
      </w:r>
      <w:r w:rsidRPr="000815AA">
        <w:rPr>
          <w:rFonts w:ascii="Arial" w:hAnsi="Arial" w:cs="Arial"/>
          <w:color w:val="auto"/>
          <w:u w:val="single"/>
        </w:rPr>
        <w:t>.</w:t>
      </w:r>
    </w:p>
    <w:p w14:paraId="486FFD5C" w14:textId="77777777" w:rsidR="006249BF" w:rsidRPr="00D61F73" w:rsidRDefault="006249BF" w:rsidP="00D61F73">
      <w:pPr>
        <w:jc w:val="both"/>
        <w:rPr>
          <w:rFonts w:ascii="Arial" w:hAnsi="Arial" w:cs="Arial"/>
          <w:color w:val="auto"/>
        </w:rPr>
      </w:pPr>
    </w:p>
    <w:p w14:paraId="0B5788F8" w14:textId="77777777" w:rsidR="006249BF" w:rsidRPr="00D61F73" w:rsidRDefault="006249BF" w:rsidP="00D61F73">
      <w:pPr>
        <w:jc w:val="both"/>
        <w:rPr>
          <w:rFonts w:ascii="Arial" w:hAnsi="Arial" w:cs="Arial"/>
          <w:strike/>
          <w:color w:val="auto"/>
        </w:rPr>
      </w:pPr>
      <w:r w:rsidRPr="00D61F73">
        <w:rPr>
          <w:rFonts w:ascii="Arial" w:hAnsi="Arial" w:cs="Arial"/>
          <w:b/>
          <w:color w:val="auto"/>
        </w:rPr>
        <w:t>Types of Pain (Mechanisms):</w:t>
      </w:r>
      <w:r w:rsidRPr="00D61F73">
        <w:rPr>
          <w:rFonts w:ascii="Arial" w:hAnsi="Arial" w:cs="Arial"/>
          <w:color w:val="auto"/>
        </w:rPr>
        <w:t xml:space="preserve"> Pain mechanisms can be broadly categorized as nociceptive, inflammatory, neuropathic</w:t>
      </w:r>
      <w:r w:rsidR="00B741E6" w:rsidRPr="00D61F73">
        <w:rPr>
          <w:rFonts w:ascii="Arial" w:hAnsi="Arial" w:cs="Arial"/>
          <w:color w:val="auto"/>
        </w:rPr>
        <w:t>,</w:t>
      </w:r>
      <w:r w:rsidRPr="00D61F73">
        <w:rPr>
          <w:rFonts w:ascii="Arial" w:hAnsi="Arial" w:cs="Arial"/>
          <w:color w:val="auto"/>
        </w:rPr>
        <w:t xml:space="preserve"> or unknown. </w:t>
      </w:r>
    </w:p>
    <w:p w14:paraId="382E3DB4" w14:textId="77777777" w:rsidR="006249BF" w:rsidRPr="00D61F73" w:rsidRDefault="006249BF" w:rsidP="00D61F73">
      <w:pPr>
        <w:ind w:right="730"/>
        <w:jc w:val="both"/>
        <w:rPr>
          <w:rFonts w:ascii="Arial" w:hAnsi="Arial" w:cs="Arial"/>
          <w:color w:val="auto"/>
        </w:rPr>
      </w:pPr>
    </w:p>
    <w:p w14:paraId="6101F14A" w14:textId="45DC60D5" w:rsidR="006249BF" w:rsidRPr="00D61F73" w:rsidRDefault="006249BF" w:rsidP="00D61F73">
      <w:pPr>
        <w:numPr>
          <w:ilvl w:val="0"/>
          <w:numId w:val="23"/>
        </w:numPr>
        <w:spacing w:after="200"/>
        <w:contextualSpacing/>
        <w:jc w:val="both"/>
        <w:rPr>
          <w:rFonts w:ascii="Arial" w:hAnsi="Arial" w:cs="Arial"/>
          <w:color w:val="auto"/>
        </w:rPr>
      </w:pPr>
      <w:r w:rsidRPr="00D61F73">
        <w:rPr>
          <w:rFonts w:ascii="Arial" w:hAnsi="Arial" w:cs="Arial"/>
          <w:i/>
          <w:color w:val="auto"/>
        </w:rPr>
        <w:t>Nociceptive pain</w:t>
      </w:r>
      <w:r w:rsidRPr="00D61F73">
        <w:rPr>
          <w:rFonts w:ascii="Arial" w:hAnsi="Arial" w:cs="Arial"/>
          <w:color w:val="auto"/>
        </w:rPr>
        <w:t>: pain caused by activation of nociceptors, which are sensory neurons found throughout the body. A nociceptor is “a receptor preferentially sensitive to a noxious stimulus or to a stimulus which would become noxious if prolonged.”</w:t>
      </w:r>
      <w:r w:rsidR="00F5471E">
        <w:rPr>
          <w:rFonts w:ascii="Arial" w:hAnsi="Arial" w:cs="Arial"/>
          <w:color w:val="auto"/>
        </w:rPr>
        <w:t xml:space="preserve">  (</w:t>
      </w:r>
      <w:hyperlink w:anchor="Smith_Lewin2009" w:history="1">
        <w:r w:rsidR="00F5471E" w:rsidRPr="00F5471E">
          <w:rPr>
            <w:rStyle w:val="Hyperlink"/>
            <w:rFonts w:ascii="Arial" w:hAnsi="Arial" w:cs="Arial"/>
          </w:rPr>
          <w:t>Smith, 2009</w:t>
        </w:r>
      </w:hyperlink>
      <w:r w:rsidR="00F5471E">
        <w:rPr>
          <w:rFonts w:ascii="Arial" w:hAnsi="Arial" w:cs="Arial"/>
          <w:color w:val="auto"/>
        </w:rPr>
        <w:t>)</w:t>
      </w:r>
      <w:r w:rsidRPr="00D61F73">
        <w:rPr>
          <w:rFonts w:ascii="Arial" w:hAnsi="Arial" w:cs="Arial"/>
          <w:color w:val="auto"/>
        </w:rPr>
        <w:t xml:space="preserve"> Nociceptive pain is the type experienced with tissue damage such as contusion, burn, or injury to a body part. </w:t>
      </w:r>
      <w:r w:rsidR="00F336DE">
        <w:rPr>
          <w:rFonts w:ascii="Arial" w:hAnsi="Arial" w:cs="Arial"/>
          <w:color w:val="auto"/>
        </w:rPr>
        <w:t xml:space="preserve"> </w:t>
      </w:r>
    </w:p>
    <w:p w14:paraId="229287FD" w14:textId="77777777" w:rsidR="006249BF" w:rsidRPr="00D61F73" w:rsidRDefault="006249BF" w:rsidP="00D61F73">
      <w:pPr>
        <w:ind w:left="360"/>
        <w:jc w:val="both"/>
        <w:rPr>
          <w:rFonts w:ascii="Arial" w:hAnsi="Arial" w:cs="Arial"/>
          <w:color w:val="auto"/>
        </w:rPr>
      </w:pPr>
    </w:p>
    <w:p w14:paraId="6A77C229" w14:textId="77777777" w:rsidR="006249BF" w:rsidRPr="00D61F73" w:rsidRDefault="006249BF" w:rsidP="00D61F73">
      <w:pPr>
        <w:numPr>
          <w:ilvl w:val="0"/>
          <w:numId w:val="23"/>
        </w:numPr>
        <w:spacing w:after="200"/>
        <w:contextualSpacing/>
        <w:jc w:val="both"/>
        <w:rPr>
          <w:rFonts w:ascii="Arial" w:hAnsi="Arial" w:cs="Arial"/>
          <w:color w:val="auto"/>
        </w:rPr>
      </w:pPr>
      <w:r w:rsidRPr="00D61F73">
        <w:rPr>
          <w:rFonts w:ascii="Arial" w:hAnsi="Arial" w:cs="Arial"/>
          <w:i/>
          <w:color w:val="auto"/>
        </w:rPr>
        <w:t>Inflammatory pain:</w:t>
      </w:r>
      <w:r w:rsidRPr="00D61F73">
        <w:rPr>
          <w:rFonts w:ascii="Arial" w:hAnsi="Arial" w:cs="Arial"/>
          <w:color w:val="auto"/>
        </w:rPr>
        <w:t xml:space="preserve"> pain which occurs in response to tissue injury, when </w:t>
      </w:r>
      <w:r w:rsidR="00B741E6" w:rsidRPr="00D61F73">
        <w:rPr>
          <w:rFonts w:ascii="Arial" w:hAnsi="Arial" w:cs="Arial"/>
          <w:color w:val="auto"/>
        </w:rPr>
        <w:t xml:space="preserve">inflammation develops and </w:t>
      </w:r>
      <w:r w:rsidRPr="00D61F73">
        <w:rPr>
          <w:rFonts w:ascii="Arial" w:hAnsi="Arial" w:cs="Arial"/>
          <w:color w:val="auto"/>
        </w:rPr>
        <w:t>local nociceptors become highly sensitive even to normal stimuli, such as touch. This is another type of “warning” pain, indicating the need for a period of healing, and this pain generally disappears after the injury resolves. In conditions such as rheumatoid arthritis or gout, inflammatory pain persists as long as the inflammation does. (</w:t>
      </w:r>
      <w:hyperlink w:anchor="IOM2011" w:history="1">
        <w:r w:rsidRPr="00D61F73">
          <w:rPr>
            <w:rStyle w:val="Hyperlink"/>
            <w:rFonts w:ascii="Arial" w:hAnsi="Arial" w:cs="Arial"/>
          </w:rPr>
          <w:t>IOM</w:t>
        </w:r>
        <w:r w:rsidR="004C56B8" w:rsidRPr="00D61F73">
          <w:rPr>
            <w:rStyle w:val="Hyperlink"/>
            <w:rFonts w:ascii="Arial" w:hAnsi="Arial" w:cs="Arial"/>
          </w:rPr>
          <w:t>,</w:t>
        </w:r>
        <w:r w:rsidRPr="00D61F73">
          <w:rPr>
            <w:rStyle w:val="Hyperlink"/>
            <w:rFonts w:ascii="Arial" w:hAnsi="Arial" w:cs="Arial"/>
          </w:rPr>
          <w:t xml:space="preserve"> 2011</w:t>
        </w:r>
      </w:hyperlink>
      <w:r w:rsidRPr="00D61F73">
        <w:rPr>
          <w:rFonts w:ascii="Arial" w:hAnsi="Arial" w:cs="Arial"/>
          <w:color w:val="auto"/>
        </w:rPr>
        <w:t>)</w:t>
      </w:r>
    </w:p>
    <w:p w14:paraId="0F608327" w14:textId="77777777" w:rsidR="006249BF" w:rsidRPr="00D61F73" w:rsidRDefault="006249BF" w:rsidP="00D61F73">
      <w:pPr>
        <w:jc w:val="both"/>
        <w:rPr>
          <w:rFonts w:ascii="Arial" w:hAnsi="Arial" w:cs="Arial"/>
          <w:color w:val="auto"/>
        </w:rPr>
      </w:pPr>
    </w:p>
    <w:p w14:paraId="049423FF" w14:textId="77777777" w:rsidR="006249BF" w:rsidRPr="00D61F73" w:rsidRDefault="006249BF" w:rsidP="00D61F73">
      <w:pPr>
        <w:numPr>
          <w:ilvl w:val="0"/>
          <w:numId w:val="23"/>
        </w:numPr>
        <w:spacing w:after="200"/>
        <w:contextualSpacing/>
        <w:jc w:val="both"/>
        <w:rPr>
          <w:rFonts w:ascii="Arial" w:hAnsi="Arial" w:cs="Arial"/>
          <w:color w:val="auto"/>
        </w:rPr>
      </w:pPr>
      <w:r w:rsidRPr="00D61F73">
        <w:rPr>
          <w:rFonts w:ascii="Arial" w:hAnsi="Arial" w:cs="Arial"/>
          <w:i/>
          <w:color w:val="auto"/>
        </w:rPr>
        <w:t>Neuropathic Pain</w:t>
      </w:r>
      <w:r w:rsidRPr="00D61F73">
        <w:rPr>
          <w:rFonts w:ascii="Arial" w:hAnsi="Arial" w:cs="Arial"/>
          <w:color w:val="auto"/>
        </w:rPr>
        <w:t xml:space="preserve">: “pain initiated or caused by a primary lesion or dysfunction of the nervous system.” </w:t>
      </w:r>
      <w:r w:rsidRPr="00D61F73">
        <w:rPr>
          <w:rFonts w:ascii="Arial" w:hAnsi="Arial" w:cs="Arial"/>
          <w:b/>
          <w:color w:val="auto"/>
        </w:rPr>
        <w:t>Neuropathic pain is caused by a malfunction of the peripheral or central nervous system due to an injury or an illness</w:t>
      </w:r>
      <w:r w:rsidRPr="00D61F73">
        <w:rPr>
          <w:rFonts w:ascii="Arial" w:hAnsi="Arial" w:cs="Arial"/>
          <w:color w:val="auto"/>
        </w:rPr>
        <w:t>. (Normal nociception would not be considered dysfunction of the nervous system). The cause may be an underlying disease process (as in diabetes) or injury (e.g., stroke, spinal cord damage), but neuropathic pain may not have an observable cause and can be considered maladaptive “in the sense that the pain neither protects nor supports healing and repair.” (</w:t>
      </w:r>
      <w:hyperlink w:anchor="Costigan2009" w:history="1">
        <w:r w:rsidRPr="00D61F73">
          <w:rPr>
            <w:rStyle w:val="Hyperlink"/>
            <w:rFonts w:ascii="Arial" w:hAnsi="Arial" w:cs="Arial"/>
          </w:rPr>
          <w:t>Costigan</w:t>
        </w:r>
        <w:r w:rsidR="004C56B8" w:rsidRPr="00D61F73">
          <w:rPr>
            <w:rStyle w:val="Hyperlink"/>
            <w:rFonts w:ascii="Arial" w:hAnsi="Arial" w:cs="Arial"/>
          </w:rPr>
          <w:t>,</w:t>
        </w:r>
        <w:r w:rsidRPr="00D61F73">
          <w:rPr>
            <w:rStyle w:val="Hyperlink"/>
            <w:rFonts w:ascii="Arial" w:hAnsi="Arial" w:cs="Arial"/>
          </w:rPr>
          <w:t xml:space="preserve"> 2009</w:t>
        </w:r>
      </w:hyperlink>
      <w:r w:rsidRPr="00D61F73">
        <w:rPr>
          <w:rFonts w:ascii="Arial" w:hAnsi="Arial" w:cs="Arial"/>
          <w:color w:val="auto"/>
        </w:rPr>
        <w:t>)</w:t>
      </w:r>
    </w:p>
    <w:p w14:paraId="4235A349" w14:textId="77777777" w:rsidR="006249BF" w:rsidRPr="00D61F73" w:rsidRDefault="006249BF" w:rsidP="00D61F73">
      <w:pPr>
        <w:spacing w:after="200"/>
        <w:ind w:left="720"/>
        <w:contextualSpacing/>
        <w:rPr>
          <w:rFonts w:ascii="Arial" w:hAnsi="Arial" w:cs="Arial"/>
          <w:color w:val="auto"/>
        </w:rPr>
      </w:pPr>
    </w:p>
    <w:p w14:paraId="1EC60375" w14:textId="77777777" w:rsidR="006249BF" w:rsidRPr="00D61F73" w:rsidRDefault="006249BF" w:rsidP="00D61F73">
      <w:pPr>
        <w:numPr>
          <w:ilvl w:val="0"/>
          <w:numId w:val="23"/>
        </w:numPr>
        <w:spacing w:after="200"/>
        <w:contextualSpacing/>
        <w:jc w:val="both"/>
        <w:rPr>
          <w:rFonts w:ascii="Arial" w:hAnsi="Arial" w:cs="Arial"/>
          <w:color w:val="auto"/>
        </w:rPr>
      </w:pPr>
      <w:r w:rsidRPr="00D61F73">
        <w:rPr>
          <w:rFonts w:ascii="Arial" w:hAnsi="Arial" w:cs="Arial"/>
          <w:i/>
          <w:color w:val="auto"/>
        </w:rPr>
        <w:t>Unknown causes:</w:t>
      </w:r>
      <w:r w:rsidRPr="00D61F73">
        <w:rPr>
          <w:rFonts w:ascii="Arial" w:hAnsi="Arial" w:cs="Arial"/>
          <w:color w:val="auto"/>
        </w:rPr>
        <w:t xml:space="preserve"> pain that arises without a defined cause or injury. Examples of such chronic pain conditions are fibromyalgia, irritable bowel syndrome, vulvodynia, chronic headaches, and temporomandibular disorders. Research points to impaired central pain sensitivity and responses in these conditions, but their complex mechanisms have not yet been unraveled. (</w:t>
      </w:r>
      <w:hyperlink w:anchor="Kindler2011" w:history="1">
        <w:r w:rsidRPr="00D61F73">
          <w:rPr>
            <w:rStyle w:val="Hyperlink"/>
            <w:rFonts w:ascii="Arial" w:hAnsi="Arial" w:cs="Arial"/>
          </w:rPr>
          <w:t>Kindler</w:t>
        </w:r>
        <w:r w:rsidR="004C56B8" w:rsidRPr="00D61F73">
          <w:rPr>
            <w:rStyle w:val="Hyperlink"/>
            <w:rFonts w:ascii="Arial" w:hAnsi="Arial" w:cs="Arial"/>
          </w:rPr>
          <w:t>,</w:t>
        </w:r>
        <w:r w:rsidRPr="00D61F73">
          <w:rPr>
            <w:rStyle w:val="Hyperlink"/>
            <w:rFonts w:ascii="Arial" w:hAnsi="Arial" w:cs="Arial"/>
          </w:rPr>
          <w:t xml:space="preserve"> 2011</w:t>
        </w:r>
      </w:hyperlink>
      <w:r w:rsidRPr="00D61F73">
        <w:rPr>
          <w:rFonts w:ascii="Arial" w:hAnsi="Arial" w:cs="Arial"/>
          <w:color w:val="auto"/>
        </w:rPr>
        <w:t>)</w:t>
      </w:r>
    </w:p>
    <w:p w14:paraId="242E7192" w14:textId="77777777" w:rsidR="003B7B4C" w:rsidRPr="005D32D7" w:rsidRDefault="003B7B4C" w:rsidP="00D61F73">
      <w:pPr>
        <w:jc w:val="both"/>
        <w:rPr>
          <w:rFonts w:ascii="Arial" w:hAnsi="Arial" w:cs="Arial"/>
          <w:b/>
          <w:color w:val="auto"/>
          <w:sz w:val="16"/>
          <w:szCs w:val="16"/>
        </w:rPr>
      </w:pPr>
    </w:p>
    <w:p w14:paraId="24C7A710" w14:textId="77777777" w:rsidR="006249BF" w:rsidRPr="00D61F73" w:rsidRDefault="006249BF" w:rsidP="00D61F73">
      <w:pPr>
        <w:jc w:val="both"/>
        <w:rPr>
          <w:rFonts w:ascii="Arial" w:hAnsi="Arial" w:cs="Arial"/>
          <w:b/>
          <w:color w:val="auto"/>
          <w:sz w:val="28"/>
          <w:szCs w:val="28"/>
        </w:rPr>
      </w:pPr>
      <w:r w:rsidRPr="00D61F73">
        <w:rPr>
          <w:rFonts w:ascii="Arial" w:hAnsi="Arial" w:cs="Arial"/>
          <w:b/>
          <w:color w:val="auto"/>
          <w:sz w:val="28"/>
          <w:szCs w:val="28"/>
        </w:rPr>
        <w:t>Overview</w:t>
      </w:r>
    </w:p>
    <w:p w14:paraId="1A60CD0F" w14:textId="77777777" w:rsidR="006249BF" w:rsidRPr="005D32D7" w:rsidRDefault="006249BF" w:rsidP="00D61F73">
      <w:pPr>
        <w:jc w:val="both"/>
        <w:rPr>
          <w:rFonts w:ascii="Arial" w:hAnsi="Arial" w:cs="Arial"/>
          <w:color w:val="auto"/>
          <w:sz w:val="16"/>
          <w:szCs w:val="16"/>
        </w:rPr>
      </w:pPr>
    </w:p>
    <w:p w14:paraId="0EA76D6D"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Acute and chronic pain affects large numbers of Americans, with at least 100 million adults </w:t>
      </w:r>
      <w:r w:rsidR="00C74101" w:rsidRPr="00D61F73">
        <w:rPr>
          <w:rFonts w:ascii="Arial" w:hAnsi="Arial" w:cs="Arial"/>
          <w:color w:val="auto"/>
        </w:rPr>
        <w:t>in the United States</w:t>
      </w:r>
      <w:r w:rsidR="00B741E6" w:rsidRPr="00D61F73">
        <w:rPr>
          <w:rFonts w:ascii="Arial" w:hAnsi="Arial" w:cs="Arial"/>
          <w:color w:val="auto"/>
        </w:rPr>
        <w:t xml:space="preserve"> </w:t>
      </w:r>
      <w:r w:rsidRPr="00D61F73">
        <w:rPr>
          <w:rFonts w:ascii="Arial" w:hAnsi="Arial" w:cs="Arial"/>
          <w:color w:val="auto"/>
        </w:rPr>
        <w:t>burdened by chronic pain alone. The annual national economic cost associated with chronic pain is estimated to be $560–635 billion. Pain is a uniquely individual and subjective experience that depends on a variety of biological, psychological, and social factors, and different population groups experience pain differentially. (</w:t>
      </w:r>
      <w:hyperlink w:anchor="IOM2011" w:history="1">
        <w:r w:rsidRPr="00D61F73">
          <w:rPr>
            <w:rStyle w:val="Hyperlink"/>
            <w:rFonts w:ascii="Arial" w:hAnsi="Arial" w:cs="Arial"/>
          </w:rPr>
          <w:t>IOM</w:t>
        </w:r>
        <w:r w:rsidR="004C56B8" w:rsidRPr="00D61F73">
          <w:rPr>
            <w:rStyle w:val="Hyperlink"/>
            <w:rFonts w:ascii="Arial" w:hAnsi="Arial" w:cs="Arial"/>
          </w:rPr>
          <w:t>,</w:t>
        </w:r>
        <w:r w:rsidRPr="00D61F73">
          <w:rPr>
            <w:rStyle w:val="Hyperlink"/>
            <w:rFonts w:ascii="Arial" w:hAnsi="Arial" w:cs="Arial"/>
          </w:rPr>
          <w:t xml:space="preserve"> 2011</w:t>
        </w:r>
      </w:hyperlink>
      <w:r w:rsidRPr="00D61F73">
        <w:rPr>
          <w:rFonts w:ascii="Arial" w:hAnsi="Arial" w:cs="Arial"/>
          <w:color w:val="auto"/>
        </w:rPr>
        <w:t>)</w:t>
      </w:r>
    </w:p>
    <w:p w14:paraId="481DB22F" w14:textId="77777777" w:rsidR="006249BF" w:rsidRPr="00D61F73" w:rsidRDefault="006249BF" w:rsidP="00D61F73">
      <w:pPr>
        <w:jc w:val="both"/>
        <w:rPr>
          <w:rFonts w:ascii="Arial" w:hAnsi="Arial" w:cs="Arial"/>
          <w:color w:val="auto"/>
        </w:rPr>
      </w:pPr>
    </w:p>
    <w:p w14:paraId="364988C5" w14:textId="77777777" w:rsidR="00056227" w:rsidRPr="00D61F73" w:rsidRDefault="00056227" w:rsidP="00D61F73">
      <w:pPr>
        <w:jc w:val="both"/>
        <w:rPr>
          <w:rFonts w:ascii="Arial" w:hAnsi="Arial" w:cs="Arial"/>
          <w:color w:val="auto"/>
        </w:rPr>
      </w:pPr>
      <w:r w:rsidRPr="00D61F73">
        <w:rPr>
          <w:rFonts w:ascii="Arial" w:hAnsi="Arial" w:cs="Arial"/>
          <w:color w:val="auto"/>
        </w:rPr>
        <w:t>C</w:t>
      </w:r>
      <w:r w:rsidR="006249BF" w:rsidRPr="00D61F73">
        <w:rPr>
          <w:rFonts w:ascii="Arial" w:hAnsi="Arial" w:cs="Arial"/>
          <w:color w:val="auto"/>
        </w:rPr>
        <w:t xml:space="preserve">hronic pain has a significant impact on the individual and </w:t>
      </w:r>
      <w:r w:rsidR="00B741E6" w:rsidRPr="00D61F73">
        <w:rPr>
          <w:rFonts w:ascii="Arial" w:hAnsi="Arial" w:cs="Arial"/>
          <w:color w:val="auto"/>
        </w:rPr>
        <w:t xml:space="preserve">on </w:t>
      </w:r>
      <w:r w:rsidR="006249BF" w:rsidRPr="00D61F73">
        <w:rPr>
          <w:rFonts w:ascii="Arial" w:hAnsi="Arial" w:cs="Arial"/>
          <w:color w:val="auto"/>
        </w:rPr>
        <w:t>society as a whole</w:t>
      </w:r>
      <w:r w:rsidR="00B741E6" w:rsidRPr="00D61F73">
        <w:rPr>
          <w:rFonts w:ascii="Arial" w:hAnsi="Arial" w:cs="Arial"/>
          <w:color w:val="auto"/>
        </w:rPr>
        <w:t>, and i</w:t>
      </w:r>
      <w:r w:rsidR="006249BF" w:rsidRPr="00D61F73">
        <w:rPr>
          <w:rFonts w:ascii="Arial" w:hAnsi="Arial" w:cs="Arial"/>
          <w:color w:val="auto"/>
        </w:rPr>
        <w:t xml:space="preserve">t is the primary reason for delayed recovery and costs (medical and indemnity) in the workers’ compensation system. </w:t>
      </w:r>
      <w:r w:rsidR="00C54E4C" w:rsidRPr="00D61F73">
        <w:rPr>
          <w:rFonts w:ascii="Arial" w:hAnsi="Arial" w:cs="Arial"/>
          <w:color w:val="auto"/>
        </w:rPr>
        <w:t xml:space="preserve">Most chronic pain problems start with an acute nociceptive pain episode. </w:t>
      </w:r>
      <w:r w:rsidR="00C54E4C" w:rsidRPr="00D61F73">
        <w:rPr>
          <w:rFonts w:ascii="Arial" w:hAnsi="Arial" w:cs="Arial"/>
          <w:color w:val="auto"/>
        </w:rPr>
        <w:lastRenderedPageBreak/>
        <w:t xml:space="preserve">As a result, effective early care is paramount in preventing chronic pain. </w:t>
      </w:r>
      <w:r w:rsidR="00B741E6" w:rsidRPr="00D61F73">
        <w:rPr>
          <w:rFonts w:ascii="Arial" w:hAnsi="Arial" w:cs="Arial"/>
          <w:color w:val="auto"/>
        </w:rPr>
        <w:t xml:space="preserve">Not surprisingly, </w:t>
      </w:r>
      <w:r w:rsidR="00BA6340" w:rsidRPr="00D61F73">
        <w:rPr>
          <w:rFonts w:ascii="Arial" w:hAnsi="Arial" w:cs="Arial"/>
          <w:color w:val="auto"/>
        </w:rPr>
        <w:t xml:space="preserve">pain </w:t>
      </w:r>
      <w:r w:rsidR="0039779A" w:rsidRPr="00D61F73">
        <w:rPr>
          <w:rFonts w:ascii="Arial" w:hAnsi="Arial" w:cs="Arial"/>
          <w:color w:val="auto"/>
        </w:rPr>
        <w:t xml:space="preserve">has become </w:t>
      </w:r>
      <w:r w:rsidR="00B741E6" w:rsidRPr="00D61F73">
        <w:rPr>
          <w:rFonts w:ascii="Arial" w:hAnsi="Arial" w:cs="Arial"/>
          <w:color w:val="auto"/>
        </w:rPr>
        <w:t xml:space="preserve">the subject of intensive scientific research, </w:t>
      </w:r>
      <w:r w:rsidR="00BA6340" w:rsidRPr="00D61F73">
        <w:rPr>
          <w:rFonts w:ascii="Arial" w:hAnsi="Arial" w:cs="Arial"/>
          <w:color w:val="auto"/>
        </w:rPr>
        <w:t xml:space="preserve">and researchers are </w:t>
      </w:r>
      <w:r w:rsidR="00C74101" w:rsidRPr="00D61F73">
        <w:rPr>
          <w:rFonts w:ascii="Arial" w:hAnsi="Arial" w:cs="Arial"/>
          <w:color w:val="auto"/>
        </w:rPr>
        <w:t>generating</w:t>
      </w:r>
      <w:r w:rsidR="00B741E6" w:rsidRPr="00D61F73">
        <w:rPr>
          <w:rFonts w:ascii="Arial" w:hAnsi="Arial" w:cs="Arial"/>
          <w:color w:val="auto"/>
        </w:rPr>
        <w:t xml:space="preserve"> a growing evidence base regarding the diagnosis, treatment, and management of painful conditions. </w:t>
      </w:r>
    </w:p>
    <w:p w14:paraId="3E10C349" w14:textId="77777777" w:rsidR="00056227" w:rsidRPr="00D61F73" w:rsidRDefault="00056227" w:rsidP="00D61F73">
      <w:pPr>
        <w:jc w:val="both"/>
        <w:rPr>
          <w:rFonts w:ascii="Arial" w:hAnsi="Arial" w:cs="Arial"/>
          <w:color w:val="auto"/>
        </w:rPr>
      </w:pPr>
    </w:p>
    <w:p w14:paraId="24209991" w14:textId="77777777" w:rsidR="006249BF" w:rsidRPr="00D61F73" w:rsidRDefault="006249BF" w:rsidP="00D61F73">
      <w:pPr>
        <w:jc w:val="both"/>
        <w:rPr>
          <w:rFonts w:ascii="Arial" w:hAnsi="Arial" w:cs="Arial"/>
          <w:color w:val="auto"/>
        </w:rPr>
      </w:pPr>
      <w:r w:rsidRPr="00D61F73">
        <w:rPr>
          <w:rFonts w:ascii="Arial" w:hAnsi="Arial" w:cs="Arial"/>
          <w:color w:val="auto"/>
        </w:rPr>
        <w:t>The experience of pain is a complex phenomenon. Multiple models have evolved over time to explain it. Traditionally, the biomedical model explains pain through etiologic factors (e.g., injury) or disease whose pathophysiology results in pain. It is now understood that this classic biomedical approach (pursuit of a pathoanatomical diagnosis with the view of targeting and treating a specific “pain generator”) is incomplete. Its exclusive application can result in unrealistic expectations on the part of the physician and patient, inadequate pain relief, and excessive disability in those with pain that persists well after the original injury has healed. A strictly biomedical approach to pain is simply too reductionist; rather, what is called for is an approach that recognizes the complexity of the pain experience. Similar to what has been learned about other chronic diseases, chronic pain ultimately affects (and is affected by) many intrinsic and extrinsic aspects of a person’s life.</w:t>
      </w:r>
    </w:p>
    <w:p w14:paraId="11B0258C" w14:textId="77777777" w:rsidR="006249BF" w:rsidRPr="00D61F73" w:rsidRDefault="006249BF" w:rsidP="00D61F73">
      <w:pPr>
        <w:jc w:val="both"/>
        <w:rPr>
          <w:rFonts w:ascii="Arial" w:hAnsi="Arial" w:cs="Arial"/>
          <w:color w:val="auto"/>
        </w:rPr>
      </w:pPr>
    </w:p>
    <w:p w14:paraId="2D9D257B" w14:textId="33C299ED" w:rsidR="006249BF" w:rsidRPr="00D61F73" w:rsidRDefault="006249BF" w:rsidP="00D61F73">
      <w:pPr>
        <w:jc w:val="both"/>
        <w:rPr>
          <w:rFonts w:ascii="Arial" w:hAnsi="Arial" w:cs="Arial"/>
          <w:color w:val="auto"/>
        </w:rPr>
      </w:pPr>
      <w:r w:rsidRPr="00D61F73">
        <w:rPr>
          <w:rFonts w:ascii="Arial" w:hAnsi="Arial" w:cs="Arial"/>
          <w:color w:val="auto"/>
        </w:rPr>
        <w:t xml:space="preserve">In general, the early theories of how pain works failed to address </w:t>
      </w:r>
      <w:r w:rsidR="00B741E6" w:rsidRPr="00D61F73">
        <w:rPr>
          <w:rFonts w:ascii="Arial" w:hAnsi="Arial" w:cs="Arial"/>
          <w:color w:val="auto"/>
        </w:rPr>
        <w:t xml:space="preserve">some </w:t>
      </w:r>
      <w:r w:rsidR="00E22370">
        <w:rPr>
          <w:rFonts w:ascii="Arial" w:hAnsi="Arial" w:cs="Arial"/>
          <w:color w:val="auto"/>
        </w:rPr>
        <w:t>key issues. (</w:t>
      </w:r>
      <w:hyperlink w:anchor="IOM2011" w:history="1">
        <w:r w:rsidR="00E22370" w:rsidRPr="00D61F73">
          <w:rPr>
            <w:rStyle w:val="Hyperlink"/>
            <w:rFonts w:ascii="Arial" w:hAnsi="Arial" w:cs="Arial"/>
          </w:rPr>
          <w:t>IOM, 2011</w:t>
        </w:r>
      </w:hyperlink>
      <w:r w:rsidR="00E22370">
        <w:rPr>
          <w:rStyle w:val="Hyperlink"/>
          <w:rFonts w:ascii="Arial" w:hAnsi="Arial" w:cs="Arial"/>
        </w:rPr>
        <w:t>)</w:t>
      </w:r>
      <w:r w:rsidR="00E22370">
        <w:rPr>
          <w:rFonts w:ascii="Arial" w:hAnsi="Arial" w:cs="Arial"/>
          <w:color w:val="auto"/>
        </w:rPr>
        <w:t xml:space="preserve"> </w:t>
      </w:r>
    </w:p>
    <w:p w14:paraId="00B3AD50" w14:textId="77777777" w:rsidR="00CE79A3" w:rsidRPr="00D61F73" w:rsidRDefault="00CE79A3" w:rsidP="00D61F73">
      <w:pPr>
        <w:jc w:val="both"/>
        <w:rPr>
          <w:rFonts w:ascii="Arial" w:hAnsi="Arial" w:cs="Arial"/>
          <w:color w:val="auto"/>
        </w:rPr>
      </w:pPr>
    </w:p>
    <w:p w14:paraId="080C906F"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The relationship between injury and pain varies (that is, a minor injury may produce great pain, and a significant injury may produce minor pain), as does the relationship between the extent of injury and the resulting disability.</w:t>
      </w:r>
    </w:p>
    <w:p w14:paraId="650DB8E8"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Non-noxious stimuli can sometimes produce pain (allodynia), and minor amounts of noxious stimuli can produce large amounts of pain (hyperalgesia).</w:t>
      </w:r>
    </w:p>
    <w:p w14:paraId="5A7B85AB"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The locations of pain and tissue damage are sometimes different (referred pain).</w:t>
      </w:r>
    </w:p>
    <w:p w14:paraId="4FC3CA23"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Pain can persist long after tissue heal</w:t>
      </w:r>
      <w:r w:rsidR="002F55FB" w:rsidRPr="00D61F73">
        <w:rPr>
          <w:rFonts w:ascii="Arial" w:hAnsi="Arial" w:cs="Arial"/>
          <w:color w:val="auto"/>
        </w:rPr>
        <w:t>s</w:t>
      </w:r>
      <w:r w:rsidRPr="00D61F73">
        <w:rPr>
          <w:rFonts w:ascii="Arial" w:hAnsi="Arial" w:cs="Arial"/>
          <w:color w:val="auto"/>
        </w:rPr>
        <w:t>.</w:t>
      </w:r>
    </w:p>
    <w:p w14:paraId="252E7277" w14:textId="77777777" w:rsidR="00C45970"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The nature of pain and sometimes its location can change over time.</w:t>
      </w:r>
    </w:p>
    <w:p w14:paraId="01E9F93B"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Pain is a multidimensional experience, with strong psychosocial influences and impacts.</w:t>
      </w:r>
    </w:p>
    <w:p w14:paraId="080AF02E"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Responses to a given therapy vary among individuals.</w:t>
      </w:r>
    </w:p>
    <w:p w14:paraId="26ACBA7B" w14:textId="77777777" w:rsidR="006249BF" w:rsidRPr="00D61F73" w:rsidRDefault="006249BF" w:rsidP="00D61F73">
      <w:pPr>
        <w:numPr>
          <w:ilvl w:val="0"/>
          <w:numId w:val="25"/>
        </w:numPr>
        <w:spacing w:after="200"/>
        <w:contextualSpacing/>
        <w:jc w:val="both"/>
        <w:rPr>
          <w:rFonts w:ascii="Arial" w:hAnsi="Arial" w:cs="Arial"/>
          <w:color w:val="auto"/>
        </w:rPr>
      </w:pPr>
      <w:r w:rsidRPr="00D61F73">
        <w:rPr>
          <w:rFonts w:ascii="Arial" w:hAnsi="Arial" w:cs="Arial"/>
          <w:color w:val="auto"/>
        </w:rPr>
        <w:t>Earlier theories have not led to adequate pain treatment.</w:t>
      </w:r>
    </w:p>
    <w:p w14:paraId="4B7AB9C5" w14:textId="77777777" w:rsidR="006249BF" w:rsidRPr="00D61F73" w:rsidRDefault="006249BF" w:rsidP="00D61F73">
      <w:pPr>
        <w:jc w:val="both"/>
        <w:rPr>
          <w:rFonts w:ascii="Arial" w:hAnsi="Arial" w:cs="Arial"/>
          <w:color w:val="auto"/>
        </w:rPr>
      </w:pPr>
    </w:p>
    <w:p w14:paraId="3E3594E5" w14:textId="77777777" w:rsidR="006249BF" w:rsidRPr="00D61F73" w:rsidRDefault="006249BF" w:rsidP="00D61F73">
      <w:pPr>
        <w:jc w:val="both"/>
        <w:rPr>
          <w:rFonts w:ascii="Arial" w:hAnsi="Arial" w:cs="Arial"/>
          <w:color w:val="auto"/>
        </w:rPr>
      </w:pPr>
      <w:r w:rsidRPr="00D61F73">
        <w:rPr>
          <w:rFonts w:ascii="Arial" w:hAnsi="Arial" w:cs="Arial"/>
          <w:color w:val="auto"/>
        </w:rPr>
        <w:t>The biopsychosocial model of pain</w:t>
      </w:r>
      <w:r w:rsidR="002F55FB" w:rsidRPr="00D61F73">
        <w:rPr>
          <w:rFonts w:ascii="Arial" w:hAnsi="Arial" w:cs="Arial"/>
          <w:color w:val="auto"/>
        </w:rPr>
        <w:t xml:space="preserve"> </w:t>
      </w:r>
      <w:r w:rsidRPr="00D61F73">
        <w:rPr>
          <w:rFonts w:ascii="Arial" w:hAnsi="Arial" w:cs="Arial"/>
          <w:color w:val="auto"/>
        </w:rPr>
        <w:t>recognizes that pain is ultimately the result o</w:t>
      </w:r>
      <w:r w:rsidR="00C432E7" w:rsidRPr="00D61F73">
        <w:rPr>
          <w:rFonts w:ascii="Arial" w:hAnsi="Arial" w:cs="Arial"/>
          <w:color w:val="auto"/>
        </w:rPr>
        <w:t xml:space="preserve">f the patient’s pathophysiology and psychological state, </w:t>
      </w:r>
      <w:r w:rsidRPr="00D61F73">
        <w:rPr>
          <w:rFonts w:ascii="Arial" w:hAnsi="Arial" w:cs="Arial"/>
          <w:color w:val="auto"/>
        </w:rPr>
        <w:t>cultural background/belief system, and relationship/interactions with the environment (workplace, home, disability system, and health care providers). Therefore, pain has become understood as a complex condition involving numerous areas of the brain</w:t>
      </w:r>
      <w:r w:rsidR="002F55FB" w:rsidRPr="00D61F73">
        <w:rPr>
          <w:rFonts w:ascii="Arial" w:hAnsi="Arial" w:cs="Arial"/>
          <w:color w:val="auto"/>
        </w:rPr>
        <w:t>. M</w:t>
      </w:r>
      <w:r w:rsidRPr="00D61F73">
        <w:rPr>
          <w:rFonts w:ascii="Arial" w:hAnsi="Arial" w:cs="Arial"/>
          <w:color w:val="auto"/>
        </w:rPr>
        <w:t>ultiple two-way communication pathways in the central nervous system (from the site of pain to the brain and back again) and emotional, cognitive, and environmental elements</w:t>
      </w:r>
      <w:r w:rsidR="002F55FB" w:rsidRPr="00D61F73">
        <w:rPr>
          <w:rFonts w:ascii="Arial" w:hAnsi="Arial" w:cs="Arial"/>
          <w:color w:val="auto"/>
        </w:rPr>
        <w:t xml:space="preserve"> work together to form </w:t>
      </w:r>
      <w:r w:rsidRPr="00D61F73">
        <w:rPr>
          <w:rFonts w:ascii="Arial" w:hAnsi="Arial" w:cs="Arial"/>
          <w:color w:val="auto"/>
        </w:rPr>
        <w:t xml:space="preserve">a complete, interconnected </w:t>
      </w:r>
      <w:r w:rsidR="002F55FB" w:rsidRPr="00D61F73">
        <w:rPr>
          <w:rFonts w:ascii="Arial" w:hAnsi="Arial" w:cs="Arial"/>
          <w:color w:val="auto"/>
        </w:rPr>
        <w:t xml:space="preserve">pain </w:t>
      </w:r>
      <w:r w:rsidRPr="00D61F73">
        <w:rPr>
          <w:rFonts w:ascii="Arial" w:hAnsi="Arial" w:cs="Arial"/>
          <w:color w:val="auto"/>
        </w:rPr>
        <w:t xml:space="preserve">apparatus. </w:t>
      </w:r>
      <w:r w:rsidR="002F55FB" w:rsidRPr="00D61F73">
        <w:rPr>
          <w:rFonts w:ascii="Arial" w:hAnsi="Arial" w:cs="Arial"/>
          <w:color w:val="auto"/>
        </w:rPr>
        <w:t>Because it has numerous interacting and contributing causes and multiple effects, c</w:t>
      </w:r>
      <w:r w:rsidRPr="00D61F73">
        <w:rPr>
          <w:rFonts w:ascii="Arial" w:hAnsi="Arial" w:cs="Arial"/>
          <w:color w:val="auto"/>
        </w:rPr>
        <w:t>hronic pain resembles many other chronic diseases. (</w:t>
      </w:r>
      <w:hyperlink w:anchor="Gatchel2007" w:history="1">
        <w:r w:rsidRPr="00D61F73">
          <w:rPr>
            <w:rStyle w:val="Hyperlink"/>
            <w:rFonts w:ascii="Arial" w:hAnsi="Arial" w:cs="Arial"/>
          </w:rPr>
          <w:t>Gatchel</w:t>
        </w:r>
        <w:r w:rsidR="004C56B8" w:rsidRPr="00D61F73">
          <w:rPr>
            <w:rStyle w:val="Hyperlink"/>
            <w:rFonts w:ascii="Arial" w:hAnsi="Arial" w:cs="Arial"/>
          </w:rPr>
          <w:t>,</w:t>
        </w:r>
        <w:r w:rsidRPr="00D61F73">
          <w:rPr>
            <w:rStyle w:val="Hyperlink"/>
            <w:rFonts w:ascii="Arial" w:hAnsi="Arial" w:cs="Arial"/>
          </w:rPr>
          <w:t xml:space="preserve"> 2007</w:t>
        </w:r>
      </w:hyperlink>
      <w:r w:rsidRPr="00D61F73">
        <w:rPr>
          <w:rFonts w:ascii="Arial" w:hAnsi="Arial" w:cs="Arial"/>
          <w:color w:val="auto"/>
        </w:rPr>
        <w:t xml:space="preserve">; </w:t>
      </w:r>
      <w:hyperlink w:anchor="IOM2011" w:history="1">
        <w:r w:rsidRPr="00D61F73">
          <w:rPr>
            <w:rStyle w:val="Hyperlink"/>
            <w:rFonts w:ascii="Arial" w:hAnsi="Arial" w:cs="Arial"/>
          </w:rPr>
          <w:t>IOM</w:t>
        </w:r>
        <w:r w:rsidR="004C56B8" w:rsidRPr="00D61F73">
          <w:rPr>
            <w:rStyle w:val="Hyperlink"/>
            <w:rFonts w:ascii="Arial" w:hAnsi="Arial" w:cs="Arial"/>
          </w:rPr>
          <w:t>,</w:t>
        </w:r>
        <w:r w:rsidRPr="00D61F73">
          <w:rPr>
            <w:rStyle w:val="Hyperlink"/>
            <w:rFonts w:ascii="Arial" w:hAnsi="Arial" w:cs="Arial"/>
          </w:rPr>
          <w:t xml:space="preserve"> 2011</w:t>
        </w:r>
      </w:hyperlink>
      <w:r w:rsidRPr="00D61F73">
        <w:rPr>
          <w:rFonts w:ascii="Arial" w:hAnsi="Arial" w:cs="Arial"/>
          <w:color w:val="auto"/>
        </w:rPr>
        <w:t>)</w:t>
      </w:r>
      <w:r w:rsidR="00753323" w:rsidRPr="00D61F73">
        <w:rPr>
          <w:rFonts w:ascii="Arial" w:hAnsi="Arial" w:cs="Arial"/>
          <w:color w:val="auto"/>
        </w:rPr>
        <w:t xml:space="preserve">  </w:t>
      </w:r>
    </w:p>
    <w:p w14:paraId="289DDA94" w14:textId="77777777" w:rsidR="006249BF" w:rsidRPr="00D61F73" w:rsidRDefault="006249BF" w:rsidP="00D61F73">
      <w:pPr>
        <w:jc w:val="both"/>
        <w:outlineLvl w:val="1"/>
        <w:rPr>
          <w:rFonts w:ascii="Arial" w:hAnsi="Arial" w:cs="Arial"/>
          <w:bCs/>
          <w:color w:val="auto"/>
          <w:u w:val="single"/>
        </w:rPr>
      </w:pPr>
    </w:p>
    <w:p w14:paraId="3E91D49C" w14:textId="02FFD779" w:rsidR="001128A1" w:rsidRPr="009F30A9" w:rsidRDefault="001128A1" w:rsidP="001128A1">
      <w:pPr>
        <w:jc w:val="both"/>
        <w:outlineLvl w:val="1"/>
        <w:rPr>
          <w:rFonts w:ascii="Arial" w:hAnsi="Arial" w:cs="Arial"/>
          <w:bCs/>
          <w:color w:val="auto"/>
          <w:u w:val="single"/>
        </w:rPr>
      </w:pPr>
      <w:r w:rsidRPr="009F30A9">
        <w:rPr>
          <w:rFonts w:ascii="Arial" w:hAnsi="Arial" w:cs="Arial"/>
          <w:b/>
          <w:bCs/>
          <w:color w:val="auto"/>
          <w:u w:val="single"/>
        </w:rPr>
        <w:t>Pain Mechanisms</w:t>
      </w:r>
    </w:p>
    <w:p w14:paraId="392F3601" w14:textId="77777777" w:rsidR="006249BF" w:rsidRPr="00D61F73" w:rsidRDefault="006249BF" w:rsidP="00D61F73">
      <w:pPr>
        <w:jc w:val="both"/>
        <w:rPr>
          <w:rFonts w:ascii="Arial" w:hAnsi="Arial" w:cs="Arial"/>
          <w:color w:val="auto"/>
        </w:rPr>
      </w:pPr>
    </w:p>
    <w:p w14:paraId="63379F66"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Within the biomedical model, pain mechanisms are broadly categorized as nociceptive or neuropathic. Inflammatory mechanisms may also play a role. While there are similarities, each mechanism has unique features and characteristics. This mechanistic approach may provide insight into appropriate therapeutic strategies.  </w:t>
      </w:r>
    </w:p>
    <w:p w14:paraId="67EB007E" w14:textId="77777777" w:rsidR="006249BF" w:rsidRPr="00D61F73" w:rsidRDefault="006249BF" w:rsidP="00D61F73">
      <w:pPr>
        <w:jc w:val="both"/>
        <w:rPr>
          <w:rFonts w:ascii="Arial" w:hAnsi="Arial" w:cs="Arial"/>
          <w:color w:val="auto"/>
        </w:rPr>
      </w:pPr>
    </w:p>
    <w:p w14:paraId="3D7EC5F4" w14:textId="77777777" w:rsidR="006249BF" w:rsidRPr="00D61F73" w:rsidRDefault="006249BF" w:rsidP="00D61F73">
      <w:pPr>
        <w:jc w:val="both"/>
        <w:rPr>
          <w:rFonts w:ascii="Arial" w:hAnsi="Arial" w:cs="Arial"/>
          <w:color w:val="auto"/>
        </w:rPr>
      </w:pPr>
      <w:r w:rsidRPr="00D61F73">
        <w:rPr>
          <w:rFonts w:ascii="Arial" w:hAnsi="Arial" w:cs="Arial"/>
          <w:color w:val="auto"/>
        </w:rPr>
        <w:lastRenderedPageBreak/>
        <w:t xml:space="preserve">Several reviews have detailed the mechanisms and mediators of pain and the components of the ascending and descending pain pathways. In nociceptive pain, signal transduction in nociceptor somatosensory afferent terminals converts mechanical, electrical, thermal, or chemical energy into an action potential which is transmitted to the dorsal horn of the spinal cord by specialized nerve fibers. The signal is then transmitted through ascending spinal-cortical pathways to the brain. These signals evoke a response in multiple brain systems, a “distributed network,” consistent with the variety of physical, cognitive, affective, and reflexive reactions to pain that people experience. </w:t>
      </w:r>
    </w:p>
    <w:p w14:paraId="437CF5DC" w14:textId="77777777" w:rsidR="006249BF" w:rsidRPr="00D61F73" w:rsidRDefault="006249BF" w:rsidP="00D61F73">
      <w:pPr>
        <w:jc w:val="both"/>
        <w:rPr>
          <w:rFonts w:ascii="Arial" w:hAnsi="Arial" w:cs="Arial"/>
          <w:color w:val="auto"/>
        </w:rPr>
      </w:pPr>
    </w:p>
    <w:p w14:paraId="2BF0D90E" w14:textId="77777777" w:rsidR="006249BF" w:rsidRPr="00D61F73" w:rsidRDefault="006249BF" w:rsidP="00D61F73">
      <w:pPr>
        <w:jc w:val="both"/>
        <w:rPr>
          <w:rFonts w:ascii="Arial" w:hAnsi="Arial" w:cs="Arial"/>
          <w:color w:val="auto"/>
        </w:rPr>
      </w:pPr>
      <w:r w:rsidRPr="00D61F73">
        <w:rPr>
          <w:rFonts w:ascii="Arial" w:hAnsi="Arial" w:cs="Arial"/>
          <w:color w:val="auto"/>
        </w:rPr>
        <w:t>Since multiple areas of the brain interact with other areas of the brain, past memories, external environmental factors, and internal cognitive factors (i.e., psychosocial factors) influence or modulate the pain experience. How the brain integrates all the input is, in part, the basis for the biopsychosocial model for, and approach to, the management of pain.</w:t>
      </w:r>
    </w:p>
    <w:p w14:paraId="51C3C9A6" w14:textId="77777777" w:rsidR="006249BF" w:rsidRPr="00D61F73" w:rsidRDefault="006249BF" w:rsidP="00D61F73">
      <w:pPr>
        <w:jc w:val="both"/>
        <w:rPr>
          <w:rFonts w:ascii="Arial" w:hAnsi="Arial" w:cs="Arial"/>
          <w:color w:val="auto"/>
        </w:rPr>
      </w:pPr>
    </w:p>
    <w:p w14:paraId="5F1BBDCB" w14:textId="62872F1A" w:rsidR="006249BF" w:rsidRPr="00D61F73" w:rsidRDefault="002F55FB" w:rsidP="00D61F73">
      <w:pPr>
        <w:rPr>
          <w:rFonts w:ascii="Arial" w:hAnsi="Arial" w:cs="Arial"/>
          <w:color w:val="auto"/>
        </w:rPr>
      </w:pPr>
      <w:r w:rsidRPr="00D61F73">
        <w:rPr>
          <w:rFonts w:ascii="Arial" w:hAnsi="Arial" w:cs="Arial"/>
          <w:color w:val="auto"/>
        </w:rPr>
        <w:t>In contrast to nociceptive pain, n</w:t>
      </w:r>
      <w:r w:rsidR="006249BF" w:rsidRPr="00D61F73">
        <w:rPr>
          <w:rFonts w:ascii="Arial" w:hAnsi="Arial" w:cs="Arial"/>
          <w:color w:val="auto"/>
        </w:rPr>
        <w:t>europathic pain is “pain initiated or caused by a primary lesion or dysfunction of the nervous system.” (</w:t>
      </w:r>
      <w:hyperlink w:anchor="Turk2001" w:history="1">
        <w:r w:rsidR="006249BF" w:rsidRPr="00D61F73">
          <w:rPr>
            <w:rStyle w:val="Hyperlink"/>
            <w:rFonts w:ascii="Arial" w:hAnsi="Arial" w:cs="Arial"/>
          </w:rPr>
          <w:t>Turk</w:t>
        </w:r>
        <w:r w:rsidR="004C56B8" w:rsidRPr="00D61F73">
          <w:rPr>
            <w:rStyle w:val="Hyperlink"/>
            <w:rFonts w:ascii="Arial" w:hAnsi="Arial" w:cs="Arial"/>
          </w:rPr>
          <w:t>,</w:t>
        </w:r>
        <w:r w:rsidR="006249BF" w:rsidRPr="00D61F73">
          <w:rPr>
            <w:rStyle w:val="Hyperlink"/>
            <w:rFonts w:ascii="Arial" w:hAnsi="Arial" w:cs="Arial"/>
          </w:rPr>
          <w:t xml:space="preserve"> 2001</w:t>
        </w:r>
      </w:hyperlink>
      <w:r w:rsidR="006249BF" w:rsidRPr="00D61F73">
        <w:rPr>
          <w:rFonts w:ascii="Arial" w:hAnsi="Arial" w:cs="Arial"/>
          <w:color w:val="auto"/>
        </w:rPr>
        <w:t>) The altered modulation of the pain response in patients with neuropathic pain causes a state of hyperexcitability and continuous pain signal output in the absence of peripheral tissue damage. “‘Neuropathic pain can result from injury or trauma (e.g., surgery), infection (e.g., post-herpetic neuralgia), endocrine (e</w:t>
      </w:r>
      <w:r w:rsidR="00C432E7" w:rsidRPr="00D61F73">
        <w:rPr>
          <w:rFonts w:ascii="Arial" w:hAnsi="Arial" w:cs="Arial"/>
          <w:color w:val="auto"/>
        </w:rPr>
        <w:t xml:space="preserve">.g., diabetes, hypothyroidism), </w:t>
      </w:r>
      <w:r w:rsidR="006249BF" w:rsidRPr="00D61F73">
        <w:rPr>
          <w:rFonts w:ascii="Arial" w:hAnsi="Arial" w:cs="Arial"/>
          <w:color w:val="auto"/>
        </w:rPr>
        <w:t>demyelination (e.g., multiple sclerosis), errors in metabolism, neurodegenerative disorders (e.g., Parkinson’s disease), or damage directly to the spinal cord or brain (e.g., thalamic stroke).” (</w:t>
      </w:r>
      <w:hyperlink w:anchor="Backonja2001" w:history="1">
        <w:r w:rsidR="00C651B5" w:rsidRPr="00C651B5">
          <w:rPr>
            <w:rStyle w:val="Hyperlink"/>
            <w:rFonts w:ascii="Arial" w:hAnsi="Arial" w:cs="Arial"/>
          </w:rPr>
          <w:t>Backonja, 2001</w:t>
        </w:r>
      </w:hyperlink>
      <w:r w:rsidR="00C651B5">
        <w:rPr>
          <w:rFonts w:ascii="Arial" w:hAnsi="Arial" w:cs="Arial"/>
          <w:color w:val="auto"/>
        </w:rPr>
        <w:t xml:space="preserve">; </w:t>
      </w:r>
      <w:hyperlink w:anchor="Martucci2014" w:history="1">
        <w:r w:rsidR="00F5471E" w:rsidRPr="00F336DE">
          <w:rPr>
            <w:rStyle w:val="Hyperlink"/>
            <w:rFonts w:ascii="Arial" w:hAnsi="Arial" w:cs="Arial"/>
          </w:rPr>
          <w:t>Martucci, 2014</w:t>
        </w:r>
      </w:hyperlink>
      <w:r w:rsidR="00F5471E">
        <w:rPr>
          <w:rFonts w:ascii="Arial" w:hAnsi="Arial" w:cs="Arial"/>
          <w:color w:val="auto"/>
        </w:rPr>
        <w:t>)</w:t>
      </w:r>
      <w:r w:rsidR="00F336DE">
        <w:rPr>
          <w:rFonts w:ascii="Arial" w:hAnsi="Arial" w:cs="Arial"/>
          <w:color w:val="auto"/>
        </w:rPr>
        <w:t xml:space="preserve"> </w:t>
      </w:r>
    </w:p>
    <w:p w14:paraId="464D0271" w14:textId="77777777" w:rsidR="006249BF" w:rsidRPr="00D61F73" w:rsidRDefault="006249BF" w:rsidP="00D61F73">
      <w:pPr>
        <w:jc w:val="both"/>
        <w:outlineLvl w:val="1"/>
        <w:rPr>
          <w:rFonts w:ascii="Arial" w:hAnsi="Arial" w:cs="Arial"/>
          <w:bCs/>
          <w:color w:val="auto"/>
        </w:rPr>
      </w:pPr>
    </w:p>
    <w:p w14:paraId="13637FE5" w14:textId="77777777" w:rsidR="006249BF" w:rsidRPr="00D61F73" w:rsidRDefault="006249BF" w:rsidP="00D61F73">
      <w:pPr>
        <w:jc w:val="both"/>
        <w:outlineLvl w:val="1"/>
        <w:rPr>
          <w:rFonts w:ascii="Arial" w:hAnsi="Arial" w:cs="Arial"/>
          <w:bCs/>
          <w:color w:val="auto"/>
        </w:rPr>
      </w:pPr>
      <w:r w:rsidRPr="00D61F73">
        <w:rPr>
          <w:rFonts w:ascii="Arial" w:hAnsi="Arial" w:cs="Arial"/>
          <w:bCs/>
          <w:color w:val="auto"/>
        </w:rPr>
        <w:t xml:space="preserve">Neuropathic pain is characterized by symptoms such as lancinating, electric shock-like, paroxysmal, tingling, numbing, and burning sensations that are distinct from nociceptive pain.  </w:t>
      </w:r>
    </w:p>
    <w:p w14:paraId="6B2E3BAC" w14:textId="77777777" w:rsidR="006249BF" w:rsidRPr="00D61F73" w:rsidRDefault="006249BF" w:rsidP="00D61F73">
      <w:pPr>
        <w:jc w:val="both"/>
        <w:rPr>
          <w:rFonts w:ascii="Arial" w:hAnsi="Arial" w:cs="Arial"/>
          <w:color w:val="auto"/>
        </w:rPr>
      </w:pPr>
    </w:p>
    <w:p w14:paraId="67B41A43"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Many neuropathic pain states have traditionally been thought of as having </w:t>
      </w:r>
      <w:r w:rsidR="00C432E7" w:rsidRPr="00D61F73">
        <w:rPr>
          <w:rFonts w:ascii="Arial" w:hAnsi="Arial" w:cs="Arial"/>
          <w:color w:val="auto"/>
        </w:rPr>
        <w:t xml:space="preserve">a primary peripheral etiology. </w:t>
      </w:r>
      <w:r w:rsidRPr="00D61F73">
        <w:rPr>
          <w:rFonts w:ascii="Arial" w:hAnsi="Arial" w:cs="Arial"/>
          <w:color w:val="auto"/>
        </w:rPr>
        <w:t xml:space="preserve">Recent investigation, however, using functional neuroimaging techniques, demonstrates that many neuropathic and other chronic pain conditions may have a large centralized component (central vs. peripheral model). These conditions include, but are not limited to, chronic low back pain (CLBP), fibromyalgia, irritable bowel syndrome, temporomandibular disorders, and Complex Regional Pain Syndrome (CRPS)/Reflex Sympathetic Dystrophy (RSD). </w:t>
      </w:r>
      <w:r w:rsidRPr="00D61F73">
        <w:rPr>
          <w:rFonts w:ascii="Arial" w:hAnsi="Arial" w:cs="Arial"/>
          <w:color w:val="auto"/>
        </w:rPr>
        <w:fldChar w:fldCharType="begin"/>
      </w:r>
      <w:r w:rsidRPr="00D61F73">
        <w:rPr>
          <w:rFonts w:ascii="Arial" w:hAnsi="Arial" w:cs="Arial"/>
          <w:color w:val="auto"/>
        </w:rPr>
        <w:instrText xml:space="preserve"> ADDIN EN.CITE &lt;EndNote&gt;&lt;Cite&gt;&lt;Author&gt;Mackey&lt;/Author&gt;&lt;Year&gt;2004&lt;/Year&gt;&lt;RecNum&gt;193&lt;/RecNum&gt;&lt;record&gt;&lt;rec-number&gt;193&lt;/rec-number&gt;&lt;foreign-keys&gt;&lt;key app="EN" db-id="rstss050wf0aacepzpfpzafb9twzfwaapzdr"&gt;193&lt;/key&gt;&lt;/foreign-keys&gt;&lt;ref-type name="Journal Article"&gt;17&lt;/ref-type&gt;&lt;contributors&gt;&lt;authors&gt;&lt;author&gt;Mackey, S. C.&lt;/author&gt;&lt;author&gt;Maeda, F.&lt;/author&gt;&lt;/authors&gt;&lt;/contributors&gt;&lt;auth-address&gt;Division of Pain Management, Department of Anesthesia, Stanford University Medical Center, Palo Alto, CA 94305, USA. smackey@stanford.edu&lt;/auth-address&gt;&lt;titles&gt;&lt;title&gt;Functional imaging and the neural systems of chronic pain&lt;/title&gt;&lt;secondary-title&gt;Neurosurg Clin N Am&lt;/secondary-title&gt;&lt;/titles&gt;&lt;periodical&gt;&lt;full-title&gt;Neurosurg Clin N Am&lt;/full-title&gt;&lt;/periodical&gt;&lt;pages&gt;269-88&lt;/pages&gt;&lt;volume&gt;15&lt;/volume&gt;&lt;number&gt;3&lt;/number&gt;&lt;keywords&gt;&lt;keyword&gt;Brain/pathology/*physiopathology&lt;/keyword&gt;&lt;keyword&gt;Chronic Disease&lt;/keyword&gt;&lt;keyword&gt;Diagnostic Imaging&lt;/keyword&gt;&lt;keyword&gt;Humans&lt;/keyword&gt;&lt;keyword&gt;Pain/pathology/*physiopathology/therapy&lt;/keyword&gt;&lt;keyword&gt;Perception&lt;/keyword&gt;&lt;keyword&gt;Research Support, Non-U.S. Gov&amp;apos;t&lt;/keyword&gt;&lt;keyword&gt;Spinal Cord/pathology/*physiopathology&lt;/keyword&gt;&lt;/keywords&gt;&lt;dates&gt;&lt;year&gt;2004&lt;/year&gt;&lt;pub-dates&gt;&lt;date&gt;Jul&lt;/date&gt;&lt;/pub-dates&gt;&lt;/dates&gt;&lt;accession-num&gt;15246336&lt;/accession-num&gt;&lt;urls&gt;&lt;related-urls&gt;&lt;url&gt;http://www.ncbi.nlm.nih.gov/entrez/query.fcgi?cmd=Retrieve&amp;amp;db=PubMed&amp;amp;dopt=Citation&amp;amp;list_uids=15246336  &lt;/url&gt;&lt;/related-urls&gt;&lt;/urls&gt;&lt;/record&gt;&lt;/Cite&gt;&lt;/EndNote&gt;</w:instrText>
      </w:r>
      <w:r w:rsidRPr="00D61F73">
        <w:rPr>
          <w:rFonts w:ascii="Arial" w:hAnsi="Arial" w:cs="Arial"/>
          <w:color w:val="auto"/>
        </w:rPr>
        <w:fldChar w:fldCharType="separate"/>
      </w:r>
      <w:r w:rsidRPr="00D61F73">
        <w:rPr>
          <w:rFonts w:ascii="Arial" w:hAnsi="Arial" w:cs="Arial"/>
          <w:color w:val="auto"/>
        </w:rPr>
        <w:t>(</w:t>
      </w:r>
      <w:hyperlink w:anchor="Barad2014" w:history="1">
        <w:r w:rsidRPr="00D61F73">
          <w:rPr>
            <w:rStyle w:val="Hyperlink"/>
            <w:rFonts w:ascii="Arial" w:hAnsi="Arial" w:cs="Arial"/>
          </w:rPr>
          <w:t>Barad</w:t>
        </w:r>
        <w:r w:rsidR="004C56B8" w:rsidRPr="00D61F73">
          <w:rPr>
            <w:rStyle w:val="Hyperlink"/>
            <w:rFonts w:ascii="Arial" w:hAnsi="Arial" w:cs="Arial"/>
          </w:rPr>
          <w:t>,</w:t>
        </w:r>
        <w:r w:rsidRPr="00D61F73">
          <w:rPr>
            <w:rStyle w:val="Hyperlink"/>
            <w:rFonts w:ascii="Arial" w:hAnsi="Arial" w:cs="Arial"/>
          </w:rPr>
          <w:t xml:space="preserve"> 2014;</w:t>
        </w:r>
      </w:hyperlink>
      <w:r w:rsidRPr="00D61F73">
        <w:rPr>
          <w:rFonts w:ascii="Arial" w:hAnsi="Arial" w:cs="Arial"/>
          <w:color w:val="auto"/>
        </w:rPr>
        <w:t xml:space="preserve"> </w:t>
      </w:r>
      <w:hyperlink w:anchor="Mackey2004" w:history="1">
        <w:r w:rsidR="009F38E8" w:rsidRPr="00D61F73">
          <w:rPr>
            <w:rStyle w:val="Hyperlink"/>
            <w:rFonts w:ascii="Arial" w:hAnsi="Arial" w:cs="Arial"/>
          </w:rPr>
          <w:t>Mackey, 2004</w:t>
        </w:r>
      </w:hyperlink>
      <w:r w:rsidR="009F38E8" w:rsidRPr="00D61F73">
        <w:rPr>
          <w:rFonts w:ascii="Arial" w:hAnsi="Arial" w:cs="Arial"/>
        </w:rPr>
        <w:t>;</w:t>
      </w:r>
      <w:r w:rsidRPr="00D61F73">
        <w:rPr>
          <w:rFonts w:ascii="Arial" w:hAnsi="Arial" w:cs="Arial"/>
          <w:color w:val="auto"/>
        </w:rPr>
        <w:t xml:space="preserve"> </w:t>
      </w:r>
      <w:hyperlink w:anchor="Ung2012intro" w:history="1">
        <w:r w:rsidRPr="00D61F73">
          <w:rPr>
            <w:rStyle w:val="Hyperlink"/>
            <w:rFonts w:ascii="Arial" w:hAnsi="Arial" w:cs="Arial"/>
          </w:rPr>
          <w:t>Ung</w:t>
        </w:r>
        <w:r w:rsidR="004C56B8" w:rsidRPr="00D61F73">
          <w:rPr>
            <w:rStyle w:val="Hyperlink"/>
            <w:rFonts w:ascii="Arial" w:hAnsi="Arial" w:cs="Arial"/>
          </w:rPr>
          <w:t>,</w:t>
        </w:r>
        <w:r w:rsidRPr="00D61F73">
          <w:rPr>
            <w:rStyle w:val="Hyperlink"/>
            <w:rFonts w:ascii="Arial" w:hAnsi="Arial" w:cs="Arial"/>
          </w:rPr>
          <w:t xml:space="preserve"> 2012;</w:t>
        </w:r>
      </w:hyperlink>
      <w:r w:rsidRPr="00D61F73">
        <w:rPr>
          <w:rFonts w:ascii="Arial" w:hAnsi="Arial" w:cs="Arial"/>
          <w:color w:val="auto"/>
        </w:rPr>
        <w:t xml:space="preserve"> </w:t>
      </w:r>
      <w:hyperlink w:anchor="Younger2010" w:history="1">
        <w:r w:rsidRPr="00D61F73">
          <w:rPr>
            <w:rStyle w:val="Hyperlink"/>
            <w:rFonts w:ascii="Arial" w:hAnsi="Arial" w:cs="Arial"/>
          </w:rPr>
          <w:t>Younger</w:t>
        </w:r>
        <w:r w:rsidR="004C56B8" w:rsidRPr="00D61F73">
          <w:rPr>
            <w:rStyle w:val="Hyperlink"/>
            <w:rFonts w:ascii="Arial" w:hAnsi="Arial" w:cs="Arial"/>
          </w:rPr>
          <w:t>,</w:t>
        </w:r>
        <w:r w:rsidRPr="00D61F73">
          <w:rPr>
            <w:rStyle w:val="Hyperlink"/>
            <w:rFonts w:ascii="Arial" w:hAnsi="Arial" w:cs="Arial"/>
          </w:rPr>
          <w:t xml:space="preserve"> 2010</w:t>
        </w:r>
      </w:hyperlink>
      <w:r w:rsidRPr="00D61F73">
        <w:rPr>
          <w:rFonts w:ascii="Arial" w:hAnsi="Arial" w:cs="Arial"/>
          <w:color w:val="auto"/>
        </w:rPr>
        <w:t>)</w:t>
      </w:r>
      <w:r w:rsidRPr="00D61F73">
        <w:rPr>
          <w:rFonts w:ascii="Arial" w:hAnsi="Arial" w:cs="Arial"/>
          <w:color w:val="auto"/>
        </w:rPr>
        <w:fldChar w:fldCharType="end"/>
      </w:r>
    </w:p>
    <w:p w14:paraId="03606206" w14:textId="77777777" w:rsidR="006249BF" w:rsidRPr="00D61F73" w:rsidRDefault="006249BF" w:rsidP="00D61F73">
      <w:pPr>
        <w:jc w:val="both"/>
        <w:rPr>
          <w:rFonts w:ascii="Arial" w:hAnsi="Arial" w:cs="Arial"/>
          <w:color w:val="auto"/>
        </w:rPr>
      </w:pPr>
    </w:p>
    <w:p w14:paraId="239D1FF4" w14:textId="77777777" w:rsidR="006249BF" w:rsidRPr="00D61F73" w:rsidRDefault="006249BF" w:rsidP="00D61F73">
      <w:pPr>
        <w:jc w:val="both"/>
        <w:rPr>
          <w:rFonts w:ascii="Arial" w:hAnsi="Arial" w:cs="Arial"/>
          <w:color w:val="auto"/>
        </w:rPr>
      </w:pPr>
      <w:r w:rsidRPr="00D61F73">
        <w:rPr>
          <w:rFonts w:ascii="Arial" w:hAnsi="Arial" w:cs="Arial"/>
          <w:color w:val="auto"/>
        </w:rPr>
        <w:t>Inflammation can play a significant role in both nociceptive and neuropathic pain. Inflammation occurs when cells and tissue are damaged and release chemical mediators (commonly referred to as “the inflammatory soup”) that not only induce an inflammatory response but also sensitize nociceptors and other somatosensory components of the nervous system. Peripheral sensitization occurs when inflammatory mediators cause a reduction in the threshold required for nociceptor activation. A similar short-term central sensitization can occur in which neuronal excitability and responsiveness in the dorsal horn</w:t>
      </w:r>
      <w:r w:rsidR="002F55FB" w:rsidRPr="00D61F73">
        <w:rPr>
          <w:rFonts w:ascii="Arial" w:hAnsi="Arial" w:cs="Arial"/>
          <w:color w:val="auto"/>
        </w:rPr>
        <w:t xml:space="preserve"> increase</w:t>
      </w:r>
      <w:r w:rsidRPr="00D61F73">
        <w:rPr>
          <w:rFonts w:ascii="Arial" w:hAnsi="Arial" w:cs="Arial"/>
          <w:color w:val="auto"/>
        </w:rPr>
        <w:t xml:space="preserve">. In central sensitization, chemical mediators for inflammation can also upregulate the expression of genes that alter synaptic transmission.  </w:t>
      </w:r>
    </w:p>
    <w:p w14:paraId="5DDF87B7" w14:textId="77777777" w:rsidR="006249BF" w:rsidRPr="00D61F73" w:rsidRDefault="006249BF" w:rsidP="00D61F73">
      <w:pPr>
        <w:jc w:val="both"/>
        <w:rPr>
          <w:rFonts w:ascii="Arial" w:hAnsi="Arial" w:cs="Arial"/>
          <w:color w:val="auto"/>
        </w:rPr>
      </w:pPr>
    </w:p>
    <w:p w14:paraId="63665A89" w14:textId="77777777" w:rsidR="006249BF" w:rsidRPr="00D61F73" w:rsidRDefault="002F55FB" w:rsidP="00D61F73">
      <w:pPr>
        <w:jc w:val="both"/>
        <w:rPr>
          <w:rFonts w:ascii="Arial" w:hAnsi="Arial" w:cs="Arial"/>
          <w:color w:val="auto"/>
        </w:rPr>
      </w:pPr>
      <w:r w:rsidRPr="00D61F73">
        <w:rPr>
          <w:rFonts w:ascii="Arial" w:hAnsi="Arial" w:cs="Arial"/>
          <w:color w:val="auto"/>
        </w:rPr>
        <w:t>C</w:t>
      </w:r>
      <w:r w:rsidR="006249BF" w:rsidRPr="00D61F73">
        <w:rPr>
          <w:rFonts w:ascii="Arial" w:hAnsi="Arial" w:cs="Arial"/>
          <w:color w:val="auto"/>
        </w:rPr>
        <w:t xml:space="preserve">urrent research </w:t>
      </w:r>
      <w:r w:rsidRPr="00D61F73">
        <w:rPr>
          <w:rFonts w:ascii="Arial" w:hAnsi="Arial" w:cs="Arial"/>
          <w:color w:val="auto"/>
        </w:rPr>
        <w:t xml:space="preserve">indicates </w:t>
      </w:r>
      <w:r w:rsidR="006249BF" w:rsidRPr="00D61F73">
        <w:rPr>
          <w:rFonts w:ascii="Arial" w:hAnsi="Arial" w:cs="Arial"/>
          <w:color w:val="auto"/>
        </w:rPr>
        <w:t xml:space="preserve">that </w:t>
      </w:r>
      <w:r w:rsidRPr="00D61F73">
        <w:rPr>
          <w:rFonts w:ascii="Arial" w:hAnsi="Arial" w:cs="Arial"/>
          <w:color w:val="auto"/>
        </w:rPr>
        <w:t xml:space="preserve">because of neuronal plasticity, </w:t>
      </w:r>
      <w:r w:rsidR="006249BF" w:rsidRPr="00D61F73">
        <w:rPr>
          <w:rFonts w:ascii="Arial" w:hAnsi="Arial" w:cs="Arial"/>
          <w:color w:val="auto"/>
        </w:rPr>
        <w:t xml:space="preserve">protracted central sensitization (neuronal hyperexcitability) can result in long-term changes that may be important in the transition from acute to chronic pain and the development of chronic pain syndromes. Patients with these syndromes generally have severe and persistent pain that is disproportionate to the tissue injury. </w:t>
      </w:r>
    </w:p>
    <w:p w14:paraId="68AC188D" w14:textId="77777777" w:rsidR="00BE4427" w:rsidRDefault="00BE4427" w:rsidP="00D61F73">
      <w:pPr>
        <w:jc w:val="both"/>
        <w:rPr>
          <w:rFonts w:ascii="Arial" w:hAnsi="Arial" w:cs="Arial"/>
          <w:b/>
          <w:color w:val="auto"/>
        </w:rPr>
      </w:pPr>
    </w:p>
    <w:p w14:paraId="18E3519F" w14:textId="77777777" w:rsidR="005D3CA7" w:rsidRDefault="005D3CA7" w:rsidP="00D61F73">
      <w:pPr>
        <w:jc w:val="both"/>
        <w:rPr>
          <w:rFonts w:ascii="Arial" w:hAnsi="Arial" w:cs="Arial"/>
          <w:b/>
          <w:color w:val="auto"/>
        </w:rPr>
      </w:pPr>
    </w:p>
    <w:p w14:paraId="3D686F6B" w14:textId="77777777" w:rsidR="00E66BB7" w:rsidRDefault="00E66BB7" w:rsidP="00D61F73">
      <w:pPr>
        <w:jc w:val="both"/>
        <w:rPr>
          <w:rFonts w:ascii="Arial" w:hAnsi="Arial" w:cs="Arial"/>
          <w:b/>
          <w:color w:val="auto"/>
        </w:rPr>
      </w:pPr>
    </w:p>
    <w:p w14:paraId="63BEF6A2" w14:textId="77777777" w:rsidR="005D3CA7" w:rsidRPr="00D61F73" w:rsidRDefault="005D3CA7" w:rsidP="00D61F73">
      <w:pPr>
        <w:jc w:val="both"/>
        <w:rPr>
          <w:rFonts w:ascii="Arial" w:hAnsi="Arial" w:cs="Arial"/>
          <w:b/>
          <w:color w:val="auto"/>
        </w:rPr>
      </w:pPr>
    </w:p>
    <w:p w14:paraId="2D2229CC" w14:textId="77777777" w:rsidR="00FB3721" w:rsidRPr="00D61F73" w:rsidRDefault="00FB3721" w:rsidP="00D61F73">
      <w:pPr>
        <w:jc w:val="both"/>
        <w:rPr>
          <w:rFonts w:ascii="Arial" w:hAnsi="Arial" w:cs="Arial"/>
          <w:b/>
          <w:color w:val="auto"/>
        </w:rPr>
      </w:pPr>
    </w:p>
    <w:p w14:paraId="2D36D0CF" w14:textId="77777777" w:rsidR="006249BF" w:rsidRPr="00D61F73" w:rsidRDefault="006249BF" w:rsidP="00D61F73">
      <w:pPr>
        <w:jc w:val="both"/>
        <w:rPr>
          <w:rFonts w:ascii="Arial" w:hAnsi="Arial" w:cs="Arial"/>
          <w:color w:val="auto"/>
          <w:sz w:val="28"/>
          <w:szCs w:val="28"/>
        </w:rPr>
      </w:pPr>
      <w:r w:rsidRPr="00D61F73">
        <w:rPr>
          <w:rFonts w:ascii="Arial" w:hAnsi="Arial" w:cs="Arial"/>
          <w:b/>
          <w:color w:val="auto"/>
          <w:sz w:val="28"/>
          <w:szCs w:val="28"/>
        </w:rPr>
        <w:t>Models</w:t>
      </w:r>
    </w:p>
    <w:p w14:paraId="2AF56B25" w14:textId="77777777" w:rsidR="006249BF" w:rsidRPr="00D61F73" w:rsidRDefault="006249BF" w:rsidP="00D61F73">
      <w:pPr>
        <w:jc w:val="both"/>
        <w:outlineLvl w:val="1"/>
        <w:rPr>
          <w:rFonts w:ascii="Arial" w:hAnsi="Arial" w:cs="Arial"/>
          <w:bCs/>
          <w:color w:val="auto"/>
        </w:rPr>
      </w:pPr>
    </w:p>
    <w:p w14:paraId="241C2B08" w14:textId="7630C970" w:rsidR="006249BF" w:rsidRPr="00D61F73" w:rsidRDefault="006249BF" w:rsidP="00D61F73">
      <w:pPr>
        <w:jc w:val="both"/>
        <w:outlineLvl w:val="1"/>
        <w:rPr>
          <w:rFonts w:ascii="Arial" w:hAnsi="Arial" w:cs="Arial"/>
          <w:bCs/>
          <w:color w:val="auto"/>
        </w:rPr>
      </w:pPr>
      <w:r w:rsidRPr="00D61F73">
        <w:rPr>
          <w:rFonts w:ascii="Arial" w:hAnsi="Arial" w:cs="Arial"/>
          <w:bCs/>
          <w:color w:val="auto"/>
        </w:rPr>
        <w:t>Models are the conceptual framework for understandin</w:t>
      </w:r>
      <w:r w:rsidR="00A15466" w:rsidRPr="00D61F73">
        <w:rPr>
          <w:rFonts w:ascii="Arial" w:hAnsi="Arial" w:cs="Arial"/>
          <w:bCs/>
          <w:color w:val="auto"/>
        </w:rPr>
        <w:t xml:space="preserve">g pain. They serve to establish </w:t>
      </w:r>
      <w:r w:rsidRPr="00D61F73">
        <w:rPr>
          <w:rFonts w:ascii="Arial" w:hAnsi="Arial" w:cs="Arial"/>
          <w:bCs/>
          <w:color w:val="auto"/>
        </w:rPr>
        <w:t xml:space="preserve">parameters for reasonable outcomes and acceptable </w:t>
      </w:r>
      <w:r w:rsidRPr="009F30A9">
        <w:rPr>
          <w:rFonts w:ascii="Arial" w:hAnsi="Arial" w:cs="Arial"/>
          <w:bCs/>
          <w:strike/>
          <w:color w:val="auto"/>
        </w:rPr>
        <w:t>standards o</w:t>
      </w:r>
      <w:r w:rsidRPr="000912B4">
        <w:rPr>
          <w:rFonts w:ascii="Arial" w:hAnsi="Arial" w:cs="Arial"/>
          <w:bCs/>
          <w:strike/>
          <w:color w:val="auto"/>
        </w:rPr>
        <w:t>f</w:t>
      </w:r>
      <w:r w:rsidRPr="00D61F73">
        <w:rPr>
          <w:rFonts w:ascii="Arial" w:hAnsi="Arial" w:cs="Arial"/>
          <w:bCs/>
          <w:color w:val="auto"/>
        </w:rPr>
        <w:t xml:space="preserve"> </w:t>
      </w:r>
      <w:r w:rsidR="004076FC" w:rsidRPr="009F30A9">
        <w:rPr>
          <w:rFonts w:ascii="Arial" w:hAnsi="Arial" w:cs="Arial"/>
          <w:bCs/>
          <w:color w:val="auto"/>
          <w:u w:val="single"/>
        </w:rPr>
        <w:t xml:space="preserve">guidance for </w:t>
      </w:r>
      <w:r w:rsidRPr="00D61F73">
        <w:rPr>
          <w:rFonts w:ascii="Arial" w:hAnsi="Arial" w:cs="Arial"/>
          <w:bCs/>
          <w:color w:val="auto"/>
        </w:rPr>
        <w:t xml:space="preserve">care, which are helpful for physicians, patients, </w:t>
      </w:r>
      <w:r w:rsidR="00F71779" w:rsidRPr="00D61F73">
        <w:rPr>
          <w:rFonts w:ascii="Arial" w:hAnsi="Arial" w:cs="Arial"/>
          <w:bCs/>
          <w:color w:val="auto"/>
        </w:rPr>
        <w:t xml:space="preserve">families, healthcare providers, </w:t>
      </w:r>
      <w:r w:rsidRPr="00D61F73">
        <w:rPr>
          <w:rFonts w:ascii="Arial" w:hAnsi="Arial" w:cs="Arial"/>
          <w:bCs/>
          <w:color w:val="auto"/>
        </w:rPr>
        <w:t xml:space="preserve">carriers, and compensation </w:t>
      </w:r>
      <w:r w:rsidR="00FC049C" w:rsidRPr="00D61F73">
        <w:rPr>
          <w:rFonts w:ascii="Arial" w:hAnsi="Arial" w:cs="Arial"/>
          <w:bCs/>
          <w:color w:val="auto"/>
        </w:rPr>
        <w:t>systems.</w:t>
      </w:r>
      <w:r w:rsidR="00A15466" w:rsidRPr="00D61F73">
        <w:rPr>
          <w:rFonts w:ascii="Arial" w:hAnsi="Arial" w:cs="Arial"/>
          <w:bCs/>
          <w:color w:val="auto"/>
        </w:rPr>
        <w:t xml:space="preserve"> </w:t>
      </w:r>
      <w:r w:rsidRPr="00D61F73">
        <w:rPr>
          <w:rFonts w:ascii="Arial" w:hAnsi="Arial" w:cs="Arial"/>
          <w:bCs/>
          <w:color w:val="auto"/>
        </w:rPr>
        <w:t>Several different models of pain have developed over time, each with strengths and weaknesses.</w:t>
      </w:r>
    </w:p>
    <w:p w14:paraId="67AB9B69" w14:textId="77777777" w:rsidR="00A15466" w:rsidRPr="00D61F73" w:rsidRDefault="00A15466" w:rsidP="00D61F73">
      <w:pPr>
        <w:jc w:val="both"/>
        <w:outlineLvl w:val="1"/>
        <w:rPr>
          <w:rFonts w:ascii="Arial" w:hAnsi="Arial" w:cs="Arial"/>
          <w:bCs/>
          <w:color w:val="auto"/>
          <w:u w:val="single"/>
        </w:rPr>
      </w:pPr>
    </w:p>
    <w:p w14:paraId="3D75EC41" w14:textId="77777777" w:rsidR="006249BF" w:rsidRPr="00D61F73" w:rsidRDefault="006249BF" w:rsidP="00D61F73">
      <w:pPr>
        <w:jc w:val="both"/>
        <w:outlineLvl w:val="1"/>
        <w:rPr>
          <w:rFonts w:ascii="Arial" w:hAnsi="Arial" w:cs="Arial"/>
          <w:bCs/>
          <w:color w:val="auto"/>
          <w:u w:val="single"/>
        </w:rPr>
      </w:pPr>
      <w:r w:rsidRPr="00D61F73">
        <w:rPr>
          <w:rFonts w:ascii="Arial" w:hAnsi="Arial" w:cs="Arial"/>
          <w:bCs/>
          <w:color w:val="auto"/>
          <w:u w:val="single"/>
        </w:rPr>
        <w:t>Acute vs. Chronic Pain Model</w:t>
      </w:r>
    </w:p>
    <w:p w14:paraId="6FF53CAC" w14:textId="77777777" w:rsidR="006249BF" w:rsidRPr="00D61F73" w:rsidRDefault="006249BF" w:rsidP="00D61F73">
      <w:pPr>
        <w:jc w:val="both"/>
        <w:rPr>
          <w:rFonts w:ascii="Arial" w:hAnsi="Arial" w:cs="Arial"/>
          <w:color w:val="auto"/>
        </w:rPr>
      </w:pPr>
    </w:p>
    <w:p w14:paraId="2E258221"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In many situations, acute pain serves as a highly adaptive and beneficial experience. Fundamentally, it serves as a protective warning of actual or impending tissue damage. Acute musculoskeletal pain is a common example in the injured worker and is often a signal of real or impending tissue damage.  </w:t>
      </w:r>
    </w:p>
    <w:p w14:paraId="6FFDF856" w14:textId="77777777" w:rsidR="006249BF" w:rsidRPr="00D61F73" w:rsidRDefault="006249BF" w:rsidP="00D61F73">
      <w:pPr>
        <w:jc w:val="both"/>
        <w:rPr>
          <w:rFonts w:ascii="Arial" w:hAnsi="Arial" w:cs="Arial"/>
          <w:color w:val="auto"/>
        </w:rPr>
      </w:pPr>
    </w:p>
    <w:p w14:paraId="7D2CFEF6" w14:textId="77777777" w:rsidR="006249BF" w:rsidRPr="00D61F73" w:rsidRDefault="006249BF" w:rsidP="00D61F73">
      <w:pPr>
        <w:jc w:val="both"/>
        <w:rPr>
          <w:rFonts w:ascii="Arial" w:hAnsi="Arial" w:cs="Arial"/>
          <w:color w:val="auto"/>
        </w:rPr>
      </w:pPr>
      <w:r w:rsidRPr="00D61F73">
        <w:rPr>
          <w:rFonts w:ascii="Arial" w:hAnsi="Arial" w:cs="Arial"/>
          <w:color w:val="auto"/>
        </w:rPr>
        <w:t>Most acute pain is self-limited and may respond to short</w:t>
      </w:r>
      <w:r w:rsidR="002F55FB" w:rsidRPr="00D61F73">
        <w:rPr>
          <w:rFonts w:ascii="Arial" w:hAnsi="Arial" w:cs="Arial"/>
          <w:color w:val="auto"/>
        </w:rPr>
        <w:t>-</w:t>
      </w:r>
      <w:r w:rsidRPr="00D61F73">
        <w:rPr>
          <w:rFonts w:ascii="Arial" w:hAnsi="Arial" w:cs="Arial"/>
          <w:color w:val="auto"/>
        </w:rPr>
        <w:t xml:space="preserve">term administration of analgesics and conservative therapies. However, continued activation of nociceptors with less than adequate pain control can lead to peripheral and central sensitization, a risk factor for persistent pain with prolonged disability, delayed return to baseline function, and delayed return to work.  </w:t>
      </w:r>
    </w:p>
    <w:p w14:paraId="423E3028" w14:textId="77777777" w:rsidR="006249BF" w:rsidRPr="00D61F73" w:rsidRDefault="006249BF" w:rsidP="00D61F73">
      <w:pPr>
        <w:jc w:val="both"/>
        <w:rPr>
          <w:rFonts w:ascii="Arial" w:hAnsi="Arial" w:cs="Arial"/>
          <w:color w:val="auto"/>
        </w:rPr>
      </w:pPr>
    </w:p>
    <w:p w14:paraId="66CA540F"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Chronic pain </w:t>
      </w:r>
      <w:r w:rsidR="002F55FB" w:rsidRPr="00D61F73">
        <w:rPr>
          <w:rFonts w:ascii="Arial" w:hAnsi="Arial" w:cs="Arial"/>
          <w:color w:val="auto"/>
        </w:rPr>
        <w:t xml:space="preserve">differs </w:t>
      </w:r>
      <w:r w:rsidRPr="00D61F73">
        <w:rPr>
          <w:rFonts w:ascii="Arial" w:hAnsi="Arial" w:cs="Arial"/>
          <w:color w:val="auto"/>
        </w:rPr>
        <w:t xml:space="preserve">from acute pain </w:t>
      </w:r>
      <w:r w:rsidR="002F55FB" w:rsidRPr="00D61F73">
        <w:rPr>
          <w:rFonts w:ascii="Arial" w:hAnsi="Arial" w:cs="Arial"/>
          <w:color w:val="auto"/>
        </w:rPr>
        <w:t>in</w:t>
      </w:r>
      <w:r w:rsidRPr="00D61F73">
        <w:rPr>
          <w:rFonts w:ascii="Arial" w:hAnsi="Arial" w:cs="Arial"/>
          <w:color w:val="auto"/>
        </w:rPr>
        <w:t xml:space="preserve"> more than just the time course. Whereas acute pain serves as a protective warning signal, chronic pain has no known survival benefit. Evidence suggests that generation and subsequent maintenance of chronic pain, as opposed to acute pain, may involve changes in central pain processing mediated through mechanisms of neural plasticity and may ultimately lead to hyper-excitability of central structures in the spinal cord and brain. To complicate matters, unremitting pain may be associated with depression and/or anxiety.</w:t>
      </w:r>
    </w:p>
    <w:p w14:paraId="7B07A201" w14:textId="77777777" w:rsidR="006249BF" w:rsidRPr="00D61F73" w:rsidRDefault="006249BF" w:rsidP="00D61F73">
      <w:pPr>
        <w:jc w:val="both"/>
        <w:rPr>
          <w:rFonts w:ascii="Arial" w:hAnsi="Arial" w:cs="Arial"/>
          <w:color w:val="auto"/>
        </w:rPr>
      </w:pPr>
    </w:p>
    <w:p w14:paraId="292CFCE5" w14:textId="1556FA58" w:rsidR="00B77415" w:rsidRPr="00557CEE" w:rsidRDefault="006249BF" w:rsidP="00B77415">
      <w:pPr>
        <w:rPr>
          <w:rFonts w:ascii="Arial" w:hAnsi="Arial" w:cs="Arial"/>
          <w:color w:val="1F497D" w:themeColor="dark2"/>
          <w:u w:val="double"/>
        </w:rPr>
      </w:pPr>
      <w:r w:rsidRPr="00D61F73">
        <w:rPr>
          <w:rFonts w:ascii="Arial" w:hAnsi="Arial" w:cs="Arial"/>
          <w:color w:val="auto"/>
        </w:rPr>
        <w:t xml:space="preserve">As a practical matter, it is noted that </w:t>
      </w:r>
      <w:r w:rsidRPr="002742D1">
        <w:rPr>
          <w:rFonts w:ascii="Arial" w:hAnsi="Arial" w:cs="Arial"/>
          <w:color w:val="auto"/>
        </w:rPr>
        <w:t>“</w:t>
      </w:r>
      <w:r w:rsidR="00693EB0" w:rsidRPr="00D61F73">
        <w:rPr>
          <w:rFonts w:ascii="Arial" w:hAnsi="Arial" w:cs="Arial"/>
          <w:color w:val="auto"/>
        </w:rPr>
        <w:t>t</w:t>
      </w:r>
      <w:r w:rsidRPr="00D61F73">
        <w:rPr>
          <w:rFonts w:ascii="Arial" w:hAnsi="Arial" w:cs="Arial"/>
          <w:color w:val="auto"/>
        </w:rPr>
        <w:t>he distinction between acute and chronic pain is somewhat arbitrary</w:t>
      </w:r>
      <w:r w:rsidRPr="007A257A">
        <w:rPr>
          <w:rFonts w:ascii="Arial" w:hAnsi="Arial" w:cs="Arial"/>
          <w:color w:val="auto"/>
        </w:rPr>
        <w:t>”</w:t>
      </w:r>
      <w:r w:rsidRPr="00D61F73">
        <w:rPr>
          <w:rFonts w:ascii="Arial" w:hAnsi="Arial" w:cs="Arial"/>
          <w:color w:val="auto"/>
        </w:rPr>
        <w:t xml:space="preserve"> and </w:t>
      </w:r>
      <w:r w:rsidRPr="007A257A">
        <w:rPr>
          <w:rFonts w:ascii="Arial" w:hAnsi="Arial" w:cs="Arial"/>
          <w:color w:val="auto"/>
        </w:rPr>
        <w:t>“</w:t>
      </w:r>
      <w:r w:rsidR="00693EB0" w:rsidRPr="00D61F73">
        <w:rPr>
          <w:rFonts w:ascii="Arial" w:hAnsi="Arial" w:cs="Arial"/>
          <w:color w:val="auto"/>
        </w:rPr>
        <w:t>chronicity</w:t>
      </w:r>
      <w:r w:rsidRPr="00D61F73">
        <w:rPr>
          <w:rFonts w:ascii="Arial" w:hAnsi="Arial" w:cs="Arial"/>
          <w:color w:val="auto"/>
        </w:rPr>
        <w:t xml:space="preserve"> may be reached from one to six months </w:t>
      </w:r>
      <w:r w:rsidR="00693EB0" w:rsidRPr="00D61F73">
        <w:rPr>
          <w:rFonts w:ascii="Arial" w:hAnsi="Arial" w:cs="Arial"/>
          <w:color w:val="auto"/>
        </w:rPr>
        <w:t>post injury</w:t>
      </w:r>
      <w:r w:rsidRPr="00D61F73">
        <w:rPr>
          <w:rFonts w:ascii="Arial" w:hAnsi="Arial" w:cs="Arial"/>
          <w:color w:val="auto"/>
        </w:rPr>
        <w:t>.</w:t>
      </w:r>
      <w:r w:rsidRPr="002742D1">
        <w:rPr>
          <w:rFonts w:ascii="Arial" w:hAnsi="Arial" w:cs="Arial"/>
          <w:color w:val="auto"/>
        </w:rPr>
        <w:t>”</w:t>
      </w:r>
      <w:r w:rsidRPr="00D61F73">
        <w:rPr>
          <w:rFonts w:ascii="Arial" w:hAnsi="Arial" w:cs="Arial"/>
          <w:color w:val="auto"/>
        </w:rPr>
        <w:t xml:space="preserve"> ACOEM </w:t>
      </w:r>
      <w:r w:rsidRPr="00C20A40">
        <w:rPr>
          <w:rFonts w:ascii="Arial" w:hAnsi="Arial" w:cs="Arial"/>
          <w:strike/>
          <w:color w:val="auto"/>
        </w:rPr>
        <w:t>recognizes that the most clinically useful definition might be</w:t>
      </w:r>
      <w:r w:rsidRPr="00C20A40">
        <w:rPr>
          <w:rFonts w:ascii="Arial" w:hAnsi="Arial" w:cs="Arial"/>
          <w:color w:val="auto"/>
          <w:u w:val="single"/>
        </w:rPr>
        <w:t xml:space="preserve"> </w:t>
      </w:r>
      <w:r w:rsidR="00557CEE" w:rsidRPr="00C20A40">
        <w:rPr>
          <w:rFonts w:ascii="Arial" w:hAnsi="Arial" w:cs="Arial"/>
          <w:color w:val="auto"/>
          <w:u w:val="single"/>
        </w:rPr>
        <w:t>states</w:t>
      </w:r>
      <w:r w:rsidR="00557CEE" w:rsidRPr="00557CEE">
        <w:rPr>
          <w:rFonts w:ascii="Arial" w:hAnsi="Arial" w:cs="Arial"/>
          <w:color w:val="auto"/>
        </w:rPr>
        <w:t xml:space="preserve"> </w:t>
      </w:r>
      <w:r w:rsidR="002F55FB" w:rsidRPr="00D61F73">
        <w:rPr>
          <w:rFonts w:ascii="Arial" w:hAnsi="Arial" w:cs="Arial"/>
          <w:color w:val="auto"/>
        </w:rPr>
        <w:t xml:space="preserve">that </w:t>
      </w:r>
      <w:r w:rsidRPr="00D61F73">
        <w:rPr>
          <w:rFonts w:ascii="Arial" w:hAnsi="Arial" w:cs="Arial"/>
          <w:color w:val="auto"/>
        </w:rPr>
        <w:t>“chronic pain persists beyond the usual course of healing of an acute disease or beyond a reasonable time for an injury to heal.” (</w:t>
      </w:r>
      <w:hyperlink w:anchor="ACOEMPractice" w:history="1">
        <w:r w:rsidRPr="00D61F73">
          <w:rPr>
            <w:rStyle w:val="Hyperlink"/>
            <w:rFonts w:ascii="Arial" w:hAnsi="Arial" w:cs="Arial"/>
          </w:rPr>
          <w:t>ACOEM</w:t>
        </w:r>
        <w:r w:rsidR="00753323" w:rsidRPr="00D61F73">
          <w:rPr>
            <w:rStyle w:val="Hyperlink"/>
            <w:rFonts w:ascii="Arial" w:hAnsi="Arial" w:cs="Arial"/>
          </w:rPr>
          <w:t xml:space="preserve">, </w:t>
        </w:r>
        <w:r w:rsidRPr="00D61F73">
          <w:rPr>
            <w:rStyle w:val="Hyperlink"/>
            <w:rFonts w:ascii="Arial" w:hAnsi="Arial" w:cs="Arial"/>
          </w:rPr>
          <w:t>2014</w:t>
        </w:r>
      </w:hyperlink>
      <w:r w:rsidR="00753323" w:rsidRPr="00D61F73">
        <w:rPr>
          <w:rFonts w:ascii="Arial" w:hAnsi="Arial" w:cs="Arial"/>
          <w:color w:val="auto"/>
        </w:rPr>
        <w:t>)</w:t>
      </w:r>
      <w:r w:rsidRPr="00D61F73">
        <w:rPr>
          <w:rFonts w:ascii="Arial" w:hAnsi="Arial" w:cs="Arial"/>
          <w:color w:val="auto"/>
        </w:rPr>
        <w:t xml:space="preserve"> The definition of chronic pain, “any pain that persists beyond the anticipated time of healing,” is derived from Bonica’s Management of Pain</w:t>
      </w:r>
      <w:r w:rsidR="002F55FB" w:rsidRPr="00D61F73">
        <w:rPr>
          <w:rFonts w:ascii="Arial" w:hAnsi="Arial" w:cs="Arial"/>
          <w:color w:val="auto"/>
        </w:rPr>
        <w:t>.</w:t>
      </w:r>
      <w:r w:rsidRPr="00D61F73">
        <w:rPr>
          <w:rFonts w:ascii="Arial" w:hAnsi="Arial" w:cs="Arial"/>
          <w:color w:val="auto"/>
        </w:rPr>
        <w:t xml:space="preserve"> (</w:t>
      </w:r>
      <w:hyperlink w:anchor="Turk2001" w:history="1">
        <w:r w:rsidRPr="00D61F73">
          <w:rPr>
            <w:rStyle w:val="Hyperlink"/>
            <w:rFonts w:ascii="Arial" w:hAnsi="Arial" w:cs="Arial"/>
          </w:rPr>
          <w:t>Turk</w:t>
        </w:r>
        <w:r w:rsidR="004C56B8" w:rsidRPr="00D61F73">
          <w:rPr>
            <w:rStyle w:val="Hyperlink"/>
            <w:rFonts w:ascii="Arial" w:hAnsi="Arial" w:cs="Arial"/>
          </w:rPr>
          <w:t>,</w:t>
        </w:r>
        <w:r w:rsidRPr="00D61F73">
          <w:rPr>
            <w:rStyle w:val="Hyperlink"/>
            <w:rFonts w:ascii="Arial" w:hAnsi="Arial" w:cs="Arial"/>
          </w:rPr>
          <w:t xml:space="preserve"> 2001</w:t>
        </w:r>
      </w:hyperlink>
      <w:r w:rsidRPr="00D61F73">
        <w:rPr>
          <w:rFonts w:ascii="Arial" w:hAnsi="Arial" w:cs="Arial"/>
          <w:color w:val="auto"/>
        </w:rPr>
        <w:t xml:space="preserve">) </w:t>
      </w:r>
      <w:r w:rsidR="00B77415" w:rsidRPr="00C20A40">
        <w:rPr>
          <w:rFonts w:ascii="Arial" w:hAnsi="Arial" w:cs="Arial"/>
          <w:color w:val="auto"/>
          <w:u w:val="single"/>
        </w:rPr>
        <w:t xml:space="preserve">The MTUS defines chronic pain as pain </w:t>
      </w:r>
      <w:r w:rsidR="00F76B6E" w:rsidRPr="00C20A40">
        <w:rPr>
          <w:rFonts w:ascii="Arial" w:hAnsi="Arial" w:cs="Arial"/>
          <w:color w:val="auto"/>
          <w:u w:val="single"/>
        </w:rPr>
        <w:t>lasting</w:t>
      </w:r>
      <w:r w:rsidR="00B77415" w:rsidRPr="00C20A40">
        <w:rPr>
          <w:rFonts w:ascii="Arial" w:hAnsi="Arial" w:cs="Arial"/>
          <w:u w:val="single"/>
        </w:rPr>
        <w:t xml:space="preserve"> three</w:t>
      </w:r>
      <w:r w:rsidR="00A76ED0" w:rsidRPr="00C20A40">
        <w:rPr>
          <w:rFonts w:ascii="Arial" w:hAnsi="Arial" w:cs="Arial"/>
          <w:u w:val="single"/>
        </w:rPr>
        <w:t xml:space="preserve"> (3) </w:t>
      </w:r>
      <w:r w:rsidR="00F76B6E" w:rsidRPr="00C20A40">
        <w:rPr>
          <w:rFonts w:ascii="Arial" w:hAnsi="Arial" w:cs="Arial"/>
          <w:u w:val="single"/>
        </w:rPr>
        <w:t>or more</w:t>
      </w:r>
      <w:r w:rsidR="00B77415" w:rsidRPr="00C20A40">
        <w:rPr>
          <w:rFonts w:ascii="Arial" w:hAnsi="Arial" w:cs="Arial"/>
          <w:u w:val="single"/>
        </w:rPr>
        <w:t xml:space="preserve"> months from the initial onset of pain</w:t>
      </w:r>
      <w:r w:rsidR="00B77415">
        <w:rPr>
          <w:rFonts w:ascii="Arial" w:hAnsi="Arial" w:cs="Arial"/>
          <w:color w:val="auto"/>
        </w:rPr>
        <w:t>.</w:t>
      </w:r>
      <w:r w:rsidR="00B77415" w:rsidRPr="00C20A40">
        <w:rPr>
          <w:rFonts w:ascii="Arial" w:hAnsi="Arial" w:cs="Arial"/>
          <w:strike/>
          <w:color w:val="auto"/>
        </w:rPr>
        <w:t xml:space="preserve"> </w:t>
      </w:r>
      <w:r w:rsidRPr="00C20A40">
        <w:rPr>
          <w:rFonts w:ascii="Arial" w:hAnsi="Arial" w:cs="Arial"/>
          <w:strike/>
          <w:color w:val="auto"/>
        </w:rPr>
        <w:t>Therefore, it is a clinical decision to recognize chronicity or persistence of pain:</w:t>
      </w:r>
      <w:r w:rsidR="00557CEE" w:rsidRPr="00C20A40">
        <w:rPr>
          <w:rFonts w:ascii="Arial" w:hAnsi="Arial" w:cs="Arial"/>
          <w:strike/>
          <w:color w:val="auto"/>
        </w:rPr>
        <w:t xml:space="preserve"> </w:t>
      </w:r>
      <w:r w:rsidR="00557CEE" w:rsidRPr="00C20A40">
        <w:rPr>
          <w:rFonts w:ascii="Arial" w:hAnsi="Arial" w:cs="Arial"/>
          <w:color w:val="auto"/>
          <w:u w:val="single"/>
        </w:rPr>
        <w:t>Additional clinical factors that aid in the diagnosis of chronic pain are:</w:t>
      </w:r>
      <w:r w:rsidR="00557CEE" w:rsidRPr="00161D3E">
        <w:rPr>
          <w:rFonts w:ascii="Arial" w:hAnsi="Arial" w:cs="Arial"/>
          <w:color w:val="auto"/>
          <w:u w:val="single"/>
        </w:rPr>
        <w:t xml:space="preserve"> </w:t>
      </w:r>
      <w:r w:rsidRPr="00557CEE">
        <w:rPr>
          <w:rFonts w:ascii="Arial" w:hAnsi="Arial" w:cs="Arial"/>
          <w:color w:val="auto"/>
        </w:rPr>
        <w:t xml:space="preserve"> </w:t>
      </w:r>
      <w:r w:rsidR="002F55FB" w:rsidRPr="00557CEE">
        <w:rPr>
          <w:rFonts w:ascii="Arial" w:hAnsi="Arial" w:cs="Arial"/>
          <w:color w:val="auto"/>
        </w:rPr>
        <w:t>(</w:t>
      </w:r>
      <w:r w:rsidRPr="00557CEE">
        <w:rPr>
          <w:rFonts w:ascii="Arial" w:hAnsi="Arial" w:cs="Arial"/>
          <w:color w:val="auto"/>
        </w:rPr>
        <w:t xml:space="preserve">1) when the condition is not improving over time; </w:t>
      </w:r>
      <w:r w:rsidR="002F55FB" w:rsidRPr="00557CEE">
        <w:rPr>
          <w:rFonts w:ascii="Arial" w:hAnsi="Arial" w:cs="Arial"/>
          <w:color w:val="auto"/>
        </w:rPr>
        <w:t>(</w:t>
      </w:r>
      <w:r w:rsidRPr="00557CEE">
        <w:rPr>
          <w:rFonts w:ascii="Arial" w:hAnsi="Arial" w:cs="Arial"/>
          <w:color w:val="auto"/>
        </w:rPr>
        <w:t xml:space="preserve">2) when there is a lack of improvement with treatments directed to the </w:t>
      </w:r>
      <w:r w:rsidRPr="00557CEE">
        <w:rPr>
          <w:rFonts w:ascii="Arial" w:hAnsi="Arial" w:cs="Arial"/>
        </w:rPr>
        <w:t>specific injured body part</w:t>
      </w:r>
      <w:r w:rsidRPr="00557CEE">
        <w:rPr>
          <w:rFonts w:ascii="Arial" w:hAnsi="Arial" w:cs="Arial"/>
          <w:color w:val="auto"/>
        </w:rPr>
        <w:t xml:space="preserve"> (see Clinical Topics section of the MTUS); or </w:t>
      </w:r>
      <w:r w:rsidR="002F55FB" w:rsidRPr="00557CEE">
        <w:rPr>
          <w:rFonts w:ascii="Arial" w:hAnsi="Arial" w:cs="Arial"/>
          <w:color w:val="auto"/>
        </w:rPr>
        <w:t>(</w:t>
      </w:r>
      <w:r w:rsidRPr="00557CEE">
        <w:rPr>
          <w:rFonts w:ascii="Arial" w:hAnsi="Arial" w:cs="Arial"/>
          <w:color w:val="auto"/>
        </w:rPr>
        <w:t>3) in the absence of a specifically correctable anatomic lesion (refer to the relevant</w:t>
      </w:r>
      <w:r w:rsidR="004C56B8" w:rsidRPr="00557CEE">
        <w:rPr>
          <w:rFonts w:ascii="Arial" w:hAnsi="Arial" w:cs="Arial"/>
          <w:color w:val="auto"/>
        </w:rPr>
        <w:t xml:space="preserve"> </w:t>
      </w:r>
      <w:r w:rsidRPr="00557CEE">
        <w:rPr>
          <w:rFonts w:ascii="Arial" w:hAnsi="Arial" w:cs="Arial"/>
          <w:color w:val="auto"/>
        </w:rPr>
        <w:t xml:space="preserve">Clinical Topics section of the MTUS). </w:t>
      </w:r>
      <w:r w:rsidRPr="00C20A40">
        <w:rPr>
          <w:rFonts w:ascii="Arial" w:hAnsi="Arial" w:cs="Arial"/>
          <w:strike/>
          <w:color w:val="auto"/>
        </w:rPr>
        <w:t>It often takes a number of months for the clinician to recognize when pain has become chronic.</w:t>
      </w:r>
      <w:r w:rsidR="00B77415" w:rsidRPr="00557CEE">
        <w:rPr>
          <w:rFonts w:ascii="Arial" w:hAnsi="Arial" w:cs="Arial"/>
          <w:color w:val="auto"/>
        </w:rPr>
        <w:t xml:space="preserve"> </w:t>
      </w:r>
    </w:p>
    <w:p w14:paraId="12B1E63E" w14:textId="2A74B2A2" w:rsidR="00FD72FC" w:rsidRDefault="00FD72FC" w:rsidP="00D61F73">
      <w:pPr>
        <w:jc w:val="both"/>
        <w:outlineLvl w:val="1"/>
        <w:rPr>
          <w:rFonts w:ascii="Arial" w:hAnsi="Arial" w:cs="Arial"/>
          <w:color w:val="auto"/>
        </w:rPr>
      </w:pPr>
      <w:r>
        <w:rPr>
          <w:rFonts w:ascii="Arial" w:hAnsi="Arial" w:cs="Arial"/>
          <w:color w:val="auto"/>
        </w:rPr>
        <w:sym w:font="Symbol" w:char="F02D"/>
      </w:r>
    </w:p>
    <w:p w14:paraId="1BFDBAC5" w14:textId="4DDA8375" w:rsidR="006249BF" w:rsidRPr="00D61F73" w:rsidRDefault="006249BF" w:rsidP="00D61F73">
      <w:pPr>
        <w:jc w:val="both"/>
        <w:outlineLvl w:val="1"/>
        <w:rPr>
          <w:rFonts w:ascii="Arial" w:hAnsi="Arial" w:cs="Arial"/>
          <w:bCs/>
          <w:color w:val="auto"/>
          <w:u w:val="single"/>
        </w:rPr>
      </w:pPr>
      <w:r w:rsidRPr="00D61F73">
        <w:rPr>
          <w:rFonts w:ascii="Arial" w:hAnsi="Arial" w:cs="Arial"/>
          <w:bCs/>
          <w:color w:val="auto"/>
          <w:u w:val="single"/>
        </w:rPr>
        <w:t>Illness Behavior Model</w:t>
      </w:r>
    </w:p>
    <w:p w14:paraId="6FF2C831" w14:textId="77777777" w:rsidR="006249BF" w:rsidRPr="00D61F73" w:rsidRDefault="006249BF" w:rsidP="00D61F73">
      <w:pPr>
        <w:jc w:val="both"/>
        <w:rPr>
          <w:rFonts w:ascii="Arial" w:hAnsi="Arial" w:cs="Arial"/>
          <w:color w:val="auto"/>
        </w:rPr>
      </w:pPr>
    </w:p>
    <w:p w14:paraId="4FF6FB95" w14:textId="77777777" w:rsidR="006249BF" w:rsidRPr="00D61F73" w:rsidRDefault="006249BF" w:rsidP="00D61F73">
      <w:pPr>
        <w:jc w:val="both"/>
        <w:rPr>
          <w:rFonts w:ascii="Arial" w:hAnsi="Arial" w:cs="Arial"/>
          <w:color w:val="auto"/>
        </w:rPr>
      </w:pPr>
      <w:r w:rsidRPr="00D61F73">
        <w:rPr>
          <w:rFonts w:ascii="Arial" w:hAnsi="Arial" w:cs="Arial"/>
          <w:color w:val="auto"/>
        </w:rPr>
        <w:lastRenderedPageBreak/>
        <w:t xml:space="preserve">As previously </w:t>
      </w:r>
      <w:r w:rsidR="00693EB0" w:rsidRPr="00D61F73">
        <w:rPr>
          <w:rFonts w:ascii="Arial" w:hAnsi="Arial" w:cs="Arial"/>
          <w:color w:val="auto"/>
        </w:rPr>
        <w:t>stated</w:t>
      </w:r>
      <w:r w:rsidRPr="00D61F73">
        <w:rPr>
          <w:rFonts w:ascii="Arial" w:hAnsi="Arial" w:cs="Arial"/>
          <w:color w:val="auto"/>
        </w:rPr>
        <w:t xml:space="preserve"> pain is a subjective experience, influenced and modulated by cognitive, emotional, and environmental elements. Psychosocial factors can affect the perception and expression of pain. These might include, but are not limited to, a tendency toward anxiety, depression, somatization, fear avoidance, emotional </w:t>
      </w:r>
      <w:r w:rsidR="00A84178" w:rsidRPr="00D61F73">
        <w:rPr>
          <w:rFonts w:ascii="Arial" w:hAnsi="Arial" w:cs="Arial"/>
          <w:color w:val="auto"/>
        </w:rPr>
        <w:t>liability</w:t>
      </w:r>
      <w:r w:rsidRPr="00D61F73">
        <w:rPr>
          <w:rFonts w:ascii="Arial" w:hAnsi="Arial" w:cs="Arial"/>
          <w:color w:val="auto"/>
        </w:rPr>
        <w:t xml:space="preserve">, catastrophizing, job dissatisfaction, perceived injustice, and embellishment. </w:t>
      </w:r>
    </w:p>
    <w:p w14:paraId="511E5FAA" w14:textId="77777777" w:rsidR="006249BF" w:rsidRPr="00D61F73" w:rsidRDefault="006249BF" w:rsidP="00D61F73">
      <w:pPr>
        <w:jc w:val="both"/>
        <w:rPr>
          <w:rFonts w:ascii="Arial" w:hAnsi="Arial" w:cs="Arial"/>
          <w:color w:val="auto"/>
        </w:rPr>
      </w:pPr>
    </w:p>
    <w:p w14:paraId="1548E31D"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Further, while frank malingering is rare, secondary gain factors, such as disability income and avoidance of perceived unpleasant tasks can impact the overall clinical presentation. Taken together, psychosocial factors often play a larger role in eventual patient outcome than obvious somatic factors as determined by the nature and extent of the original injury. Efforts directed solely to the management of possible physical pain generators without addressing psychosocial factors may result in a suboptimal outcome. </w:t>
      </w:r>
    </w:p>
    <w:p w14:paraId="283D87A9" w14:textId="77777777" w:rsidR="006249BF" w:rsidRPr="00D61F73" w:rsidRDefault="006249BF" w:rsidP="00D61F73">
      <w:pPr>
        <w:jc w:val="both"/>
        <w:rPr>
          <w:rFonts w:ascii="Arial" w:hAnsi="Arial" w:cs="Arial"/>
          <w:color w:val="auto"/>
          <w:u w:val="single"/>
        </w:rPr>
      </w:pPr>
    </w:p>
    <w:p w14:paraId="5B8A13BE" w14:textId="77777777" w:rsidR="006249BF" w:rsidRPr="00D61F73" w:rsidRDefault="006249BF" w:rsidP="00D61F73">
      <w:pPr>
        <w:jc w:val="both"/>
        <w:rPr>
          <w:rFonts w:ascii="Arial" w:hAnsi="Arial" w:cs="Arial"/>
          <w:color w:val="auto"/>
          <w:u w:val="single"/>
        </w:rPr>
      </w:pPr>
      <w:r w:rsidRPr="00D61F73">
        <w:rPr>
          <w:rFonts w:ascii="Arial" w:hAnsi="Arial" w:cs="Arial"/>
          <w:color w:val="auto"/>
          <w:u w:val="single"/>
        </w:rPr>
        <w:t>Biomedical vs. Biopsychosocial Model</w:t>
      </w:r>
    </w:p>
    <w:p w14:paraId="5B244673" w14:textId="77777777" w:rsidR="006249BF" w:rsidRPr="00D61F73" w:rsidRDefault="006249BF" w:rsidP="00D61F73">
      <w:pPr>
        <w:jc w:val="both"/>
        <w:rPr>
          <w:rFonts w:ascii="Arial" w:hAnsi="Arial" w:cs="Arial"/>
          <w:color w:val="auto"/>
        </w:rPr>
      </w:pPr>
    </w:p>
    <w:p w14:paraId="19AF8F3C" w14:textId="241CEED3" w:rsidR="006249BF" w:rsidRPr="00D61F73" w:rsidRDefault="006249BF" w:rsidP="00D61F73">
      <w:pPr>
        <w:jc w:val="both"/>
        <w:rPr>
          <w:rFonts w:ascii="Arial" w:hAnsi="Arial" w:cs="Arial"/>
          <w:color w:val="auto"/>
        </w:rPr>
      </w:pPr>
      <w:r w:rsidRPr="00D61F73">
        <w:rPr>
          <w:rFonts w:ascii="Arial" w:hAnsi="Arial" w:cs="Arial"/>
          <w:color w:val="auto"/>
        </w:rPr>
        <w:t>The traditional biomedical model “assumes disease to be fully accounted for by deviations from the norm of measurable biological (somatic) variables</w:t>
      </w:r>
      <w:r w:rsidR="0053700F" w:rsidRPr="00D61F73">
        <w:rPr>
          <w:rFonts w:ascii="Arial" w:hAnsi="Arial" w:cs="Arial"/>
          <w:color w:val="auto"/>
        </w:rPr>
        <w:t>.</w:t>
      </w:r>
      <w:r w:rsidRPr="00D61F73">
        <w:rPr>
          <w:rFonts w:ascii="Arial" w:hAnsi="Arial" w:cs="Arial"/>
          <w:color w:val="auto"/>
        </w:rPr>
        <w:t>” (</w:t>
      </w:r>
      <w:hyperlink w:anchor="Engel1997" w:history="1">
        <w:r w:rsidRPr="00D61F73">
          <w:rPr>
            <w:rStyle w:val="Hyperlink"/>
            <w:rFonts w:ascii="Arial" w:hAnsi="Arial" w:cs="Arial"/>
          </w:rPr>
          <w:t>Engel</w:t>
        </w:r>
        <w:r w:rsidR="004C56B8" w:rsidRPr="00D61F73">
          <w:rPr>
            <w:rStyle w:val="Hyperlink"/>
            <w:rFonts w:ascii="Arial" w:hAnsi="Arial" w:cs="Arial"/>
          </w:rPr>
          <w:t>,</w:t>
        </w:r>
        <w:r w:rsidRPr="00D61F73">
          <w:rPr>
            <w:rStyle w:val="Hyperlink"/>
            <w:rFonts w:ascii="Arial" w:hAnsi="Arial" w:cs="Arial"/>
          </w:rPr>
          <w:t xml:space="preserve"> 19</w:t>
        </w:r>
        <w:r w:rsidR="00C57FCB">
          <w:rPr>
            <w:rStyle w:val="Hyperlink"/>
            <w:rFonts w:ascii="Arial" w:hAnsi="Arial" w:cs="Arial"/>
          </w:rPr>
          <w:t>7</w:t>
        </w:r>
        <w:r w:rsidRPr="00D61F73">
          <w:rPr>
            <w:rStyle w:val="Hyperlink"/>
            <w:rFonts w:ascii="Arial" w:hAnsi="Arial" w:cs="Arial"/>
          </w:rPr>
          <w:t>7</w:t>
        </w:r>
      </w:hyperlink>
      <w:r w:rsidRPr="00D61F73">
        <w:rPr>
          <w:rFonts w:ascii="Arial" w:hAnsi="Arial" w:cs="Arial"/>
          <w:color w:val="auto"/>
        </w:rPr>
        <w:t xml:space="preserve">) </w:t>
      </w:r>
      <w:r w:rsidR="002F55FB" w:rsidRPr="00D61F73">
        <w:rPr>
          <w:rFonts w:ascii="Arial" w:hAnsi="Arial" w:cs="Arial"/>
          <w:color w:val="auto"/>
        </w:rPr>
        <w:t>A</w:t>
      </w:r>
      <w:r w:rsidRPr="00D61F73">
        <w:rPr>
          <w:rFonts w:ascii="Arial" w:hAnsi="Arial" w:cs="Arial"/>
          <w:color w:val="auto"/>
        </w:rPr>
        <w:t xml:space="preserve">ccording to this model, there is always a direct causal relationship between a specific pathophysiologic process and the presence and extent of a particular symptom. While this model has served the medical community well in the treatment and cure of certain diseases (e.g., infectious diseases), it has generally failed in the treatment of chronic illness, including persistent pain. For example, for decades the prevailing approach has been to identify the “pain generator” and remove it by cutting it out or blocking it.  </w:t>
      </w:r>
    </w:p>
    <w:p w14:paraId="7F16A205" w14:textId="77777777" w:rsidR="006249BF" w:rsidRPr="00D61F73" w:rsidRDefault="006249BF" w:rsidP="00D61F73">
      <w:pPr>
        <w:jc w:val="both"/>
        <w:rPr>
          <w:rFonts w:ascii="Arial" w:hAnsi="Arial" w:cs="Arial"/>
          <w:color w:val="auto"/>
        </w:rPr>
      </w:pPr>
    </w:p>
    <w:p w14:paraId="2252A6FC" w14:textId="77777777" w:rsidR="006249BF" w:rsidRPr="00D61F73" w:rsidRDefault="006249BF" w:rsidP="00D61F73">
      <w:pPr>
        <w:jc w:val="both"/>
        <w:rPr>
          <w:rFonts w:ascii="Arial" w:hAnsi="Arial" w:cs="Arial"/>
          <w:color w:val="auto"/>
        </w:rPr>
      </w:pPr>
      <w:r w:rsidRPr="00D61F73">
        <w:rPr>
          <w:rFonts w:ascii="Arial" w:hAnsi="Arial" w:cs="Arial"/>
          <w:color w:val="auto"/>
        </w:rPr>
        <w:t>In 1977 Engel proposed an alternative, the biopsychosocial model, which focuses greater attention on the patient, rather than presumed pathophysiology. The biopsychosocial model approaches pain and disability as a complex interplay of biological, psychological, and social factors. These psychosocial factors can be easily assessed.</w:t>
      </w:r>
    </w:p>
    <w:p w14:paraId="57DCCD1D" w14:textId="77777777" w:rsidR="006249BF" w:rsidRPr="00D61F73" w:rsidRDefault="006249BF" w:rsidP="00D61F73">
      <w:pPr>
        <w:jc w:val="both"/>
        <w:rPr>
          <w:rFonts w:ascii="Arial" w:hAnsi="Arial" w:cs="Arial"/>
          <w:color w:val="auto"/>
        </w:rPr>
      </w:pPr>
    </w:p>
    <w:p w14:paraId="6AAA1C22" w14:textId="430BF8E2" w:rsidR="00B95241" w:rsidRPr="00D61F73" w:rsidRDefault="006249BF" w:rsidP="00D61F73">
      <w:pPr>
        <w:rPr>
          <w:rFonts w:ascii="Arial" w:hAnsi="Arial" w:cs="Arial"/>
          <w:b/>
          <w:color w:val="auto"/>
        </w:rPr>
      </w:pPr>
      <w:r w:rsidRPr="00D61F73">
        <w:rPr>
          <w:rFonts w:ascii="Arial" w:hAnsi="Arial" w:cs="Arial"/>
          <w:color w:val="auto"/>
        </w:rPr>
        <w:t>The following chart contrasts these two pain models (</w:t>
      </w:r>
      <w:hyperlink w:anchor="Hanson1993" w:history="1">
        <w:r w:rsidRPr="00D61F73">
          <w:rPr>
            <w:rStyle w:val="Hyperlink"/>
            <w:rFonts w:ascii="Arial" w:hAnsi="Arial" w:cs="Arial"/>
          </w:rPr>
          <w:t>Hanson</w:t>
        </w:r>
        <w:r w:rsidR="004C56B8" w:rsidRPr="00D61F73">
          <w:rPr>
            <w:rStyle w:val="Hyperlink"/>
            <w:rFonts w:ascii="Arial" w:hAnsi="Arial" w:cs="Arial"/>
          </w:rPr>
          <w:t>,</w:t>
        </w:r>
        <w:r w:rsidRPr="00D61F73">
          <w:rPr>
            <w:rStyle w:val="Hyperlink"/>
            <w:rFonts w:ascii="Arial" w:hAnsi="Arial" w:cs="Arial"/>
          </w:rPr>
          <w:t xml:space="preserve"> 1993</w:t>
        </w:r>
      </w:hyperlink>
      <w:r w:rsidRPr="00D61F73">
        <w:rPr>
          <w:rFonts w:ascii="Arial" w:hAnsi="Arial" w:cs="Arial"/>
          <w:color w:val="auto"/>
        </w:rPr>
        <w:t>)</w:t>
      </w:r>
    </w:p>
    <w:p w14:paraId="36DA89B6" w14:textId="77777777" w:rsidR="00A24F75" w:rsidRPr="00D61F73" w:rsidRDefault="00A24F75" w:rsidP="00D61F73">
      <w:pPr>
        <w:rPr>
          <w:rFonts w:ascii="Arial" w:hAnsi="Arial" w:cs="Arial"/>
          <w:b/>
          <w:color w:val="auto"/>
        </w:rPr>
      </w:pPr>
    </w:p>
    <w:p w14:paraId="78E1D84A" w14:textId="77777777" w:rsidR="006249BF" w:rsidRPr="00D61F73" w:rsidRDefault="006249BF" w:rsidP="00D61F73">
      <w:pPr>
        <w:jc w:val="center"/>
        <w:rPr>
          <w:rFonts w:ascii="Arial" w:hAnsi="Arial" w:cs="Arial"/>
          <w:b/>
          <w:color w:val="auto"/>
          <w:sz w:val="28"/>
          <w:szCs w:val="28"/>
        </w:rPr>
      </w:pPr>
      <w:r w:rsidRPr="00D61F73">
        <w:rPr>
          <w:rFonts w:ascii="Arial" w:hAnsi="Arial" w:cs="Arial"/>
          <w:b/>
          <w:color w:val="auto"/>
          <w:sz w:val="28"/>
          <w:szCs w:val="28"/>
        </w:rPr>
        <w:t>Pain Models</w:t>
      </w:r>
    </w:p>
    <w:p w14:paraId="0B339289" w14:textId="77777777" w:rsidR="006249BF" w:rsidRPr="008F7BBA" w:rsidRDefault="006249BF" w:rsidP="008F7BBA">
      <w:pPr>
        <w:spacing w:after="160"/>
        <w:jc w:val="center"/>
        <w:rPr>
          <w:rFonts w:ascii="Arial" w:hAnsi="Arial" w:cs="Arial"/>
          <w:b/>
          <w:bCs/>
          <w:color w:val="auto"/>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6249BF" w:rsidRPr="00D61F73" w14:paraId="53170A3F" w14:textId="77777777" w:rsidTr="00E67320">
        <w:tc>
          <w:tcPr>
            <w:tcW w:w="5148" w:type="dxa"/>
          </w:tcPr>
          <w:p w14:paraId="54894ACA" w14:textId="77777777" w:rsidR="006249BF" w:rsidRPr="00D61F73" w:rsidRDefault="006249BF" w:rsidP="00D61F73">
            <w:pPr>
              <w:jc w:val="both"/>
              <w:rPr>
                <w:rFonts w:ascii="Arial" w:hAnsi="Arial" w:cs="Arial"/>
                <w:b/>
                <w:color w:val="auto"/>
              </w:rPr>
            </w:pPr>
            <w:r w:rsidRPr="00D61F73">
              <w:rPr>
                <w:rFonts w:ascii="Arial" w:hAnsi="Arial" w:cs="Arial"/>
                <w:b/>
                <w:color w:val="auto"/>
              </w:rPr>
              <w:t>Biomedical model</w:t>
            </w:r>
          </w:p>
        </w:tc>
        <w:tc>
          <w:tcPr>
            <w:tcW w:w="5148" w:type="dxa"/>
          </w:tcPr>
          <w:p w14:paraId="320709FD" w14:textId="77777777" w:rsidR="006249BF" w:rsidRPr="00D61F73" w:rsidRDefault="006249BF" w:rsidP="00D61F73">
            <w:pPr>
              <w:jc w:val="both"/>
              <w:rPr>
                <w:rFonts w:ascii="Arial" w:hAnsi="Arial" w:cs="Arial"/>
                <w:b/>
                <w:color w:val="auto"/>
              </w:rPr>
            </w:pPr>
            <w:r w:rsidRPr="00D61F73">
              <w:rPr>
                <w:rFonts w:ascii="Arial" w:hAnsi="Arial" w:cs="Arial"/>
                <w:b/>
                <w:color w:val="auto"/>
              </w:rPr>
              <w:t>Biopsychosocial model</w:t>
            </w:r>
          </w:p>
        </w:tc>
      </w:tr>
      <w:tr w:rsidR="006249BF" w:rsidRPr="00D61F73" w14:paraId="6CACAB67" w14:textId="77777777" w:rsidTr="00E67320">
        <w:tc>
          <w:tcPr>
            <w:tcW w:w="5148" w:type="dxa"/>
          </w:tcPr>
          <w:p w14:paraId="35F0FCD6"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Most appropriate for </w:t>
            </w:r>
            <w:r w:rsidR="002F55FB" w:rsidRPr="00D61F73">
              <w:rPr>
                <w:rFonts w:ascii="Arial" w:hAnsi="Arial" w:cs="Arial"/>
                <w:color w:val="auto"/>
              </w:rPr>
              <w:t xml:space="preserve">treating </w:t>
            </w:r>
            <w:r w:rsidRPr="00D61F73">
              <w:rPr>
                <w:rFonts w:ascii="Arial" w:hAnsi="Arial" w:cs="Arial"/>
                <w:color w:val="auto"/>
              </w:rPr>
              <w:t>acute pain conditions</w:t>
            </w:r>
          </w:p>
        </w:tc>
        <w:tc>
          <w:tcPr>
            <w:tcW w:w="5148" w:type="dxa"/>
          </w:tcPr>
          <w:p w14:paraId="7920716F" w14:textId="77777777" w:rsidR="006249BF" w:rsidRPr="00D61F73" w:rsidRDefault="006249BF" w:rsidP="00D61F73">
            <w:pPr>
              <w:jc w:val="both"/>
              <w:rPr>
                <w:rFonts w:ascii="Arial" w:hAnsi="Arial" w:cs="Arial"/>
                <w:color w:val="auto"/>
              </w:rPr>
            </w:pPr>
            <w:r w:rsidRPr="00D61F73">
              <w:rPr>
                <w:rFonts w:ascii="Arial" w:hAnsi="Arial" w:cs="Arial"/>
                <w:color w:val="auto"/>
              </w:rPr>
              <w:t>More useful for those with chronic pain conditions</w:t>
            </w:r>
          </w:p>
        </w:tc>
      </w:tr>
      <w:tr w:rsidR="006249BF" w:rsidRPr="00D61F73" w14:paraId="2990C5F5" w14:textId="77777777" w:rsidTr="00E67320">
        <w:tc>
          <w:tcPr>
            <w:tcW w:w="5148" w:type="dxa"/>
          </w:tcPr>
          <w:p w14:paraId="373886D4" w14:textId="77777777" w:rsidR="006249BF" w:rsidRPr="00D61F73" w:rsidRDefault="006249BF" w:rsidP="00D61F73">
            <w:pPr>
              <w:jc w:val="both"/>
              <w:rPr>
                <w:rFonts w:ascii="Arial" w:hAnsi="Arial" w:cs="Arial"/>
                <w:color w:val="auto"/>
              </w:rPr>
            </w:pPr>
            <w:r w:rsidRPr="00D61F73">
              <w:rPr>
                <w:rFonts w:ascii="Arial" w:hAnsi="Arial" w:cs="Arial"/>
                <w:color w:val="auto"/>
              </w:rPr>
              <w:t>Emphasizes peripheral nociception</w:t>
            </w:r>
          </w:p>
        </w:tc>
        <w:tc>
          <w:tcPr>
            <w:tcW w:w="5148" w:type="dxa"/>
          </w:tcPr>
          <w:p w14:paraId="0E9948F6" w14:textId="77777777" w:rsidR="006249BF" w:rsidRPr="00D61F73" w:rsidRDefault="006249BF" w:rsidP="00D61F73">
            <w:pPr>
              <w:jc w:val="both"/>
              <w:rPr>
                <w:rFonts w:ascii="Arial" w:hAnsi="Arial" w:cs="Arial"/>
                <w:color w:val="auto"/>
              </w:rPr>
            </w:pPr>
            <w:r w:rsidRPr="00D61F73">
              <w:rPr>
                <w:rFonts w:ascii="Arial" w:hAnsi="Arial" w:cs="Arial"/>
                <w:color w:val="auto"/>
              </w:rPr>
              <w:t>Recognizes the role that central mechanisms play in modulating peripheral nociception or generating the experience of pain in the absence of nociception</w:t>
            </w:r>
          </w:p>
        </w:tc>
      </w:tr>
      <w:tr w:rsidR="006249BF" w:rsidRPr="00D61F73" w14:paraId="719C6B4D" w14:textId="77777777" w:rsidTr="00E67320">
        <w:tc>
          <w:tcPr>
            <w:tcW w:w="5148" w:type="dxa"/>
          </w:tcPr>
          <w:p w14:paraId="32071182" w14:textId="77777777" w:rsidR="006249BF" w:rsidRPr="00D61F73" w:rsidRDefault="006249BF" w:rsidP="00D61F73">
            <w:pPr>
              <w:jc w:val="both"/>
              <w:rPr>
                <w:rFonts w:ascii="Arial" w:hAnsi="Arial" w:cs="Arial"/>
                <w:color w:val="auto"/>
              </w:rPr>
            </w:pPr>
            <w:r w:rsidRPr="00D61F73">
              <w:rPr>
                <w:rFonts w:ascii="Arial" w:hAnsi="Arial" w:cs="Arial"/>
                <w:color w:val="auto"/>
              </w:rPr>
              <w:t>Focus</w:t>
            </w:r>
            <w:r w:rsidR="002F55FB" w:rsidRPr="00D61F73">
              <w:rPr>
                <w:rFonts w:ascii="Arial" w:hAnsi="Arial" w:cs="Arial"/>
                <w:color w:val="auto"/>
              </w:rPr>
              <w:t>es</w:t>
            </w:r>
            <w:r w:rsidRPr="00D61F73">
              <w:rPr>
                <w:rFonts w:ascii="Arial" w:hAnsi="Arial" w:cs="Arial"/>
                <w:color w:val="auto"/>
              </w:rPr>
              <w:t xml:space="preserve"> on physical disease mechanisms</w:t>
            </w:r>
          </w:p>
        </w:tc>
        <w:tc>
          <w:tcPr>
            <w:tcW w:w="5148" w:type="dxa"/>
          </w:tcPr>
          <w:p w14:paraId="54378955" w14:textId="77777777" w:rsidR="006249BF" w:rsidRPr="00D61F73" w:rsidRDefault="006249BF" w:rsidP="00D61F73">
            <w:pPr>
              <w:jc w:val="both"/>
              <w:rPr>
                <w:rFonts w:ascii="Arial" w:hAnsi="Arial" w:cs="Arial"/>
                <w:color w:val="auto"/>
              </w:rPr>
            </w:pPr>
            <w:r w:rsidRPr="00D61F73">
              <w:rPr>
                <w:rFonts w:ascii="Arial" w:hAnsi="Arial" w:cs="Arial"/>
                <w:color w:val="auto"/>
              </w:rPr>
              <w:t>Recognizes the importance of illness behavior including cognitive and emotional responses to pain</w:t>
            </w:r>
          </w:p>
        </w:tc>
      </w:tr>
      <w:tr w:rsidR="006249BF" w:rsidRPr="00D61F73" w14:paraId="1C91B01D" w14:textId="77777777" w:rsidTr="00E67320">
        <w:tc>
          <w:tcPr>
            <w:tcW w:w="5148" w:type="dxa"/>
          </w:tcPr>
          <w:p w14:paraId="18CD589E" w14:textId="4FF2664E" w:rsidR="006249BF" w:rsidRPr="00D61F73" w:rsidRDefault="002F55FB" w:rsidP="001F1C9E">
            <w:pPr>
              <w:jc w:val="both"/>
              <w:rPr>
                <w:rFonts w:ascii="Arial" w:hAnsi="Arial" w:cs="Arial"/>
                <w:color w:val="auto"/>
              </w:rPr>
            </w:pPr>
            <w:r w:rsidRPr="00D61F73">
              <w:rPr>
                <w:rFonts w:ascii="Arial" w:hAnsi="Arial" w:cs="Arial"/>
                <w:color w:val="auto"/>
              </w:rPr>
              <w:t>Takes</w:t>
            </w:r>
            <w:r w:rsidR="001F1C9E">
              <w:rPr>
                <w:rFonts w:ascii="Arial" w:hAnsi="Arial" w:cs="Arial"/>
                <w:color w:val="auto"/>
              </w:rPr>
              <w:t xml:space="preserve"> </w:t>
            </w:r>
            <w:r w:rsidRPr="00D61F73">
              <w:rPr>
                <w:rFonts w:ascii="Arial" w:hAnsi="Arial" w:cs="Arial"/>
                <w:color w:val="auto"/>
              </w:rPr>
              <w:t>a r</w:t>
            </w:r>
            <w:r w:rsidR="006249BF" w:rsidRPr="00D61F73">
              <w:rPr>
                <w:rFonts w:ascii="Arial" w:hAnsi="Arial" w:cs="Arial"/>
                <w:color w:val="auto"/>
              </w:rPr>
              <w:t>eductionistic approach to understanding and treating pain</w:t>
            </w:r>
          </w:p>
        </w:tc>
        <w:tc>
          <w:tcPr>
            <w:tcW w:w="5148" w:type="dxa"/>
          </w:tcPr>
          <w:p w14:paraId="18CD71C1" w14:textId="77777777" w:rsidR="006249BF" w:rsidRPr="00D61F73" w:rsidRDefault="002F55FB" w:rsidP="00D61F73">
            <w:pPr>
              <w:jc w:val="both"/>
              <w:rPr>
                <w:rFonts w:ascii="Arial" w:hAnsi="Arial" w:cs="Arial"/>
                <w:color w:val="auto"/>
              </w:rPr>
            </w:pPr>
            <w:r w:rsidRPr="00D61F73">
              <w:rPr>
                <w:rFonts w:ascii="Arial" w:hAnsi="Arial" w:cs="Arial"/>
                <w:color w:val="auto"/>
              </w:rPr>
              <w:t>Takes a m</w:t>
            </w:r>
            <w:r w:rsidR="006249BF" w:rsidRPr="00D61F73">
              <w:rPr>
                <w:rFonts w:ascii="Arial" w:hAnsi="Arial" w:cs="Arial"/>
                <w:color w:val="auto"/>
              </w:rPr>
              <w:t>ultidimensional systems approach to understanding and treating pain</w:t>
            </w:r>
          </w:p>
        </w:tc>
      </w:tr>
      <w:tr w:rsidR="006249BF" w:rsidRPr="00D61F73" w14:paraId="23534C15" w14:textId="77777777" w:rsidTr="00E67320">
        <w:tc>
          <w:tcPr>
            <w:tcW w:w="5148" w:type="dxa"/>
          </w:tcPr>
          <w:p w14:paraId="1C1E0874" w14:textId="77777777" w:rsidR="006249BF" w:rsidRPr="00D61F73" w:rsidRDefault="006249BF" w:rsidP="00D61F73">
            <w:pPr>
              <w:jc w:val="both"/>
              <w:rPr>
                <w:rFonts w:ascii="Arial" w:hAnsi="Arial" w:cs="Arial"/>
                <w:color w:val="auto"/>
              </w:rPr>
            </w:pPr>
            <w:r w:rsidRPr="00D61F73">
              <w:rPr>
                <w:rFonts w:ascii="Arial" w:hAnsi="Arial" w:cs="Arial"/>
                <w:color w:val="auto"/>
              </w:rPr>
              <w:t>Reli</w:t>
            </w:r>
            <w:r w:rsidR="002F55FB" w:rsidRPr="00D61F73">
              <w:rPr>
                <w:rFonts w:ascii="Arial" w:hAnsi="Arial" w:cs="Arial"/>
                <w:color w:val="auto"/>
              </w:rPr>
              <w:t>es</w:t>
            </w:r>
            <w:r w:rsidRPr="00D61F73">
              <w:rPr>
                <w:rFonts w:ascii="Arial" w:hAnsi="Arial" w:cs="Arial"/>
                <w:color w:val="auto"/>
              </w:rPr>
              <w:t xml:space="preserve"> on medical management approaches</w:t>
            </w:r>
          </w:p>
        </w:tc>
        <w:tc>
          <w:tcPr>
            <w:tcW w:w="5148" w:type="dxa"/>
          </w:tcPr>
          <w:p w14:paraId="4736FB4B" w14:textId="77777777" w:rsidR="006249BF" w:rsidRPr="00D61F73" w:rsidRDefault="002F55FB" w:rsidP="00D61F73">
            <w:pPr>
              <w:jc w:val="both"/>
              <w:rPr>
                <w:rFonts w:ascii="Arial" w:hAnsi="Arial" w:cs="Arial"/>
                <w:color w:val="auto"/>
              </w:rPr>
            </w:pPr>
            <w:r w:rsidRPr="00D61F73">
              <w:rPr>
                <w:rFonts w:ascii="Arial" w:hAnsi="Arial" w:cs="Arial"/>
                <w:color w:val="auto"/>
              </w:rPr>
              <w:t xml:space="preserve">Uses </w:t>
            </w:r>
            <w:r w:rsidR="006249BF" w:rsidRPr="00D61F73">
              <w:rPr>
                <w:rFonts w:ascii="Arial" w:hAnsi="Arial" w:cs="Arial"/>
                <w:color w:val="auto"/>
              </w:rPr>
              <w:t>self-management approaches in addition to medical management</w:t>
            </w:r>
          </w:p>
        </w:tc>
      </w:tr>
    </w:tbl>
    <w:p w14:paraId="4D9A8151" w14:textId="77777777" w:rsidR="006249BF" w:rsidRPr="00D61F73" w:rsidRDefault="006249BF" w:rsidP="00D61F73">
      <w:pPr>
        <w:jc w:val="both"/>
        <w:rPr>
          <w:rFonts w:ascii="Arial" w:hAnsi="Arial" w:cs="Arial"/>
          <w:color w:val="auto"/>
        </w:rPr>
      </w:pPr>
    </w:p>
    <w:p w14:paraId="6989DA40" w14:textId="79578CAA" w:rsidR="006249BF" w:rsidRDefault="007E1782" w:rsidP="00D61F73">
      <w:pPr>
        <w:jc w:val="both"/>
        <w:rPr>
          <w:rFonts w:ascii="Arial" w:hAnsi="Arial" w:cs="Arial"/>
          <w:color w:val="auto"/>
        </w:rPr>
      </w:pPr>
      <w:r w:rsidRPr="00D61F73">
        <w:rPr>
          <w:rFonts w:ascii="Arial" w:hAnsi="Arial" w:cs="Arial"/>
          <w:color w:val="auto"/>
        </w:rPr>
        <w:lastRenderedPageBreak/>
        <w:t xml:space="preserve">Researchers have </w:t>
      </w:r>
      <w:r w:rsidR="006249BF" w:rsidRPr="00D61F73">
        <w:rPr>
          <w:rFonts w:ascii="Arial" w:hAnsi="Arial" w:cs="Arial"/>
          <w:color w:val="auto"/>
        </w:rPr>
        <w:t>found evidence that psychosocial variables are strongly linked to the transition from acute to chronic pain disability and that psychosocial variables generally have more impact than biomedical or biomechanical factors on back pain disability. (</w:t>
      </w:r>
      <w:hyperlink w:anchor="Linton2000" w:history="1">
        <w:r w:rsidR="006249BF" w:rsidRPr="00D61F73">
          <w:rPr>
            <w:rStyle w:val="Hyperlink"/>
            <w:rFonts w:ascii="Arial" w:hAnsi="Arial" w:cs="Arial"/>
          </w:rPr>
          <w:t>Linton</w:t>
        </w:r>
        <w:r w:rsidR="004C56B8" w:rsidRPr="00D61F73">
          <w:rPr>
            <w:rStyle w:val="Hyperlink"/>
            <w:rFonts w:ascii="Arial" w:hAnsi="Arial" w:cs="Arial"/>
          </w:rPr>
          <w:t>,</w:t>
        </w:r>
        <w:r w:rsidR="006249BF" w:rsidRPr="00D61F73">
          <w:rPr>
            <w:rStyle w:val="Hyperlink"/>
            <w:rFonts w:ascii="Arial" w:hAnsi="Arial" w:cs="Arial"/>
          </w:rPr>
          <w:t xml:space="preserve"> 2000</w:t>
        </w:r>
      </w:hyperlink>
      <w:r w:rsidR="006249BF" w:rsidRPr="00D61F73">
        <w:rPr>
          <w:rFonts w:ascii="Arial" w:hAnsi="Arial" w:cs="Arial"/>
          <w:color w:val="auto"/>
        </w:rPr>
        <w:t>) Thus, when clinical progress is insufficient or protracted, the clinician should consider the possibility of delayed recovery and be prepared to address any confounding psychosocial variables.</w:t>
      </w:r>
    </w:p>
    <w:p w14:paraId="307D61E3" w14:textId="77777777" w:rsidR="00A44872" w:rsidRPr="00D61F73" w:rsidRDefault="00A44872" w:rsidP="00D61F73">
      <w:pPr>
        <w:jc w:val="both"/>
        <w:rPr>
          <w:rFonts w:ascii="Arial" w:hAnsi="Arial" w:cs="Arial"/>
          <w:color w:val="auto"/>
        </w:rPr>
      </w:pPr>
    </w:p>
    <w:p w14:paraId="6886AE2D" w14:textId="77777777" w:rsidR="006249BF" w:rsidRPr="00D61F73" w:rsidRDefault="006249BF" w:rsidP="00D61F73">
      <w:pPr>
        <w:jc w:val="both"/>
        <w:outlineLvl w:val="1"/>
        <w:rPr>
          <w:rFonts w:ascii="Arial" w:hAnsi="Arial" w:cs="Arial"/>
          <w:bCs/>
          <w:color w:val="auto"/>
          <w:u w:val="single"/>
        </w:rPr>
      </w:pPr>
      <w:r w:rsidRPr="00D61F73">
        <w:rPr>
          <w:rFonts w:ascii="Arial" w:hAnsi="Arial" w:cs="Arial"/>
          <w:bCs/>
          <w:color w:val="auto"/>
          <w:u w:val="single"/>
        </w:rPr>
        <w:t xml:space="preserve">Medical vs. Self-Management Model  </w:t>
      </w:r>
    </w:p>
    <w:p w14:paraId="11D4E7E4" w14:textId="77777777" w:rsidR="006249BF" w:rsidRPr="00D61F73" w:rsidRDefault="006249BF" w:rsidP="00D61F73">
      <w:pPr>
        <w:jc w:val="both"/>
        <w:rPr>
          <w:rFonts w:ascii="Arial" w:hAnsi="Arial" w:cs="Arial"/>
          <w:color w:val="auto"/>
        </w:rPr>
      </w:pPr>
    </w:p>
    <w:p w14:paraId="2FD0CCC0" w14:textId="50902B5D" w:rsidR="006249BF" w:rsidRPr="00D61F73" w:rsidRDefault="006249BF" w:rsidP="00D61F73">
      <w:pPr>
        <w:jc w:val="both"/>
        <w:rPr>
          <w:rFonts w:ascii="Arial" w:hAnsi="Arial" w:cs="Arial"/>
          <w:color w:val="auto"/>
        </w:rPr>
      </w:pPr>
      <w:r w:rsidRPr="00D61F73">
        <w:rPr>
          <w:rFonts w:ascii="Arial" w:hAnsi="Arial" w:cs="Arial"/>
          <w:color w:val="auto"/>
        </w:rPr>
        <w:t>Understandably, patients want their chronic pain “cured” or eliminated. Unfortunately, no definitive cures</w:t>
      </w:r>
      <w:r w:rsidR="007E1782" w:rsidRPr="00D61F73">
        <w:rPr>
          <w:rFonts w:ascii="Arial" w:hAnsi="Arial" w:cs="Arial"/>
          <w:color w:val="auto"/>
        </w:rPr>
        <w:t xml:space="preserve"> currently exist</w:t>
      </w:r>
      <w:r w:rsidRPr="00D61F73">
        <w:rPr>
          <w:rFonts w:ascii="Arial" w:hAnsi="Arial" w:cs="Arial"/>
          <w:color w:val="auto"/>
        </w:rPr>
        <w:t xml:space="preserve"> for the majority of persistent pain problems, such as axial spine pain, peripheral neuropathies, and fibromyalgia. As is the case with all chronic medical conditions, chronic pain must be managed, when it cannot be cured. In the medical model, responsibility resides primarily with the physician. However, emphasis is increasingly being placed on encouraging patients to accept some pain and to make self-management efforts that can improve function and quality of life, even if they don’t eliminate all pain. An approach that emphasizes participation in daily activities despite pain a</w:t>
      </w:r>
      <w:r w:rsidR="0039779A" w:rsidRPr="00D61F73">
        <w:rPr>
          <w:rFonts w:ascii="Arial" w:hAnsi="Arial" w:cs="Arial"/>
          <w:color w:val="auto"/>
        </w:rPr>
        <w:t xml:space="preserve">s well </w:t>
      </w:r>
      <w:r w:rsidR="00693EB0" w:rsidRPr="00D61F73">
        <w:rPr>
          <w:rFonts w:ascii="Arial" w:hAnsi="Arial" w:cs="Arial"/>
          <w:color w:val="auto"/>
        </w:rPr>
        <w:t>as fostering</w:t>
      </w:r>
      <w:r w:rsidRPr="00D61F73">
        <w:rPr>
          <w:rFonts w:ascii="Arial" w:hAnsi="Arial" w:cs="Arial"/>
          <w:color w:val="auto"/>
        </w:rPr>
        <w:t xml:space="preserve"> a willingness to have pain present without responding to it may aid in reducing the “distressing and disabling influences of </w:t>
      </w:r>
      <w:r w:rsidRPr="00A86E74">
        <w:rPr>
          <w:rFonts w:ascii="Arial" w:hAnsi="Arial" w:cs="Arial"/>
          <w:color w:val="auto"/>
        </w:rPr>
        <w:t>pain.” (</w:t>
      </w:r>
      <w:hyperlink w:anchor="IOM2011" w:history="1">
        <w:r w:rsidR="00F336DE" w:rsidRPr="00F336DE">
          <w:rPr>
            <w:rStyle w:val="Hyperlink"/>
            <w:rFonts w:ascii="Arial" w:hAnsi="Arial" w:cs="Arial"/>
          </w:rPr>
          <w:t>Insti</w:t>
        </w:r>
        <w:r w:rsidR="00A86E74" w:rsidRPr="00F336DE">
          <w:rPr>
            <w:rStyle w:val="Hyperlink"/>
            <w:rFonts w:ascii="Arial" w:hAnsi="Arial" w:cs="Arial"/>
          </w:rPr>
          <w:t>tute of Medicine, 2011</w:t>
        </w:r>
      </w:hyperlink>
      <w:r w:rsidRPr="00A86E74">
        <w:rPr>
          <w:rFonts w:ascii="Arial" w:hAnsi="Arial" w:cs="Arial"/>
          <w:color w:val="auto"/>
        </w:rPr>
        <w:t>) The self-management approach places primary responsibility on the person with chronic pain. Self</w:t>
      </w:r>
      <w:r w:rsidRPr="00D61F73">
        <w:rPr>
          <w:rFonts w:ascii="Arial" w:hAnsi="Arial" w:cs="Arial"/>
          <w:color w:val="auto"/>
        </w:rPr>
        <w:t>-management strategies can significantly improve a patient’s function and quality of life, while reducing subjective experiences of pain. It is important to educate patients to avoid persistent and unrealistic expectations for an elusive cure when none exists. This unrealistic curative view, often unwittingly fostered by healthcare providers, predictably leads to repeated failures, delayed recovery, and unnecessary disability and costs.</w:t>
      </w:r>
    </w:p>
    <w:p w14:paraId="784BC10E" w14:textId="77777777" w:rsidR="006249BF" w:rsidRPr="00D61F73" w:rsidRDefault="006249BF" w:rsidP="00D61F73">
      <w:pPr>
        <w:rPr>
          <w:rFonts w:ascii="Arial" w:hAnsi="Arial" w:cs="Arial"/>
          <w:color w:val="auto"/>
        </w:rPr>
      </w:pPr>
    </w:p>
    <w:p w14:paraId="0D3A3817" w14:textId="6DD18ADF" w:rsidR="006249BF" w:rsidRPr="00D61F73" w:rsidRDefault="006249BF" w:rsidP="00D61F73">
      <w:pPr>
        <w:jc w:val="both"/>
        <w:rPr>
          <w:rFonts w:ascii="Arial" w:hAnsi="Arial" w:cs="Arial"/>
          <w:color w:val="auto"/>
        </w:rPr>
      </w:pPr>
      <w:r w:rsidRPr="00D61F73">
        <w:rPr>
          <w:rFonts w:ascii="Arial" w:hAnsi="Arial" w:cs="Arial"/>
          <w:color w:val="auto"/>
        </w:rPr>
        <w:t>Self-efficacy is a psychological construct related to that of control. Believing that one can perform a task or respond effectively to a situation predicts pain tolerance and improvements in physical and psychological functioning. Research suggests that “a primary aim of chronic low back pain rehabil</w:t>
      </w:r>
      <w:r w:rsidR="00F336DE">
        <w:rPr>
          <w:rFonts w:ascii="Arial" w:hAnsi="Arial" w:cs="Arial"/>
          <w:color w:val="auto"/>
        </w:rPr>
        <w:t>itation should be to bring abou</w:t>
      </w:r>
      <w:r w:rsidR="00C060B0" w:rsidRPr="00AD0FAB">
        <w:rPr>
          <w:rFonts w:ascii="Arial" w:hAnsi="Arial" w:cs="Arial"/>
          <w:color w:val="auto"/>
          <w:u w:val="double"/>
        </w:rPr>
        <w:t>t</w:t>
      </w:r>
      <w:r w:rsidRPr="00D61F73">
        <w:rPr>
          <w:rFonts w:ascii="Arial" w:hAnsi="Arial" w:cs="Arial"/>
          <w:color w:val="auto"/>
        </w:rPr>
        <w:t xml:space="preserve"> changes in catastrophic thinking and self-efficacy,” because greater self-efficacy improves pain, functional status, and psychological adjustment</w:t>
      </w:r>
      <w:r w:rsidR="0053700F" w:rsidRPr="00D61F73">
        <w:rPr>
          <w:rFonts w:ascii="Arial" w:hAnsi="Arial" w:cs="Arial"/>
          <w:color w:val="auto"/>
        </w:rPr>
        <w:t>.</w:t>
      </w:r>
      <w:r w:rsidRPr="00D61F73">
        <w:rPr>
          <w:rFonts w:ascii="Arial" w:hAnsi="Arial" w:cs="Arial"/>
          <w:color w:val="auto"/>
        </w:rPr>
        <w:t xml:space="preserve"> </w:t>
      </w:r>
      <w:r w:rsidR="00F6579F" w:rsidRPr="00D61F73">
        <w:rPr>
          <w:rFonts w:ascii="Arial" w:hAnsi="Arial" w:cs="Arial"/>
          <w:color w:val="auto"/>
        </w:rPr>
        <w:t>(</w:t>
      </w:r>
      <w:hyperlink w:anchor="Keefe2004" w:history="1">
        <w:r w:rsidR="00F6579F" w:rsidRPr="00D61F73">
          <w:rPr>
            <w:rStyle w:val="Hyperlink"/>
            <w:rFonts w:ascii="Arial" w:hAnsi="Arial" w:cs="Arial"/>
          </w:rPr>
          <w:t>Keefe, 2004</w:t>
        </w:r>
      </w:hyperlink>
      <w:r w:rsidR="00F6579F" w:rsidRPr="00D61F73">
        <w:rPr>
          <w:rFonts w:ascii="Arial" w:hAnsi="Arial" w:cs="Arial"/>
          <w:color w:val="auto"/>
        </w:rPr>
        <w:t xml:space="preserve">) </w:t>
      </w:r>
      <w:r w:rsidRPr="00D61F73">
        <w:rPr>
          <w:rFonts w:ascii="Arial" w:hAnsi="Arial" w:cs="Arial"/>
          <w:color w:val="auto"/>
        </w:rPr>
        <w:t xml:space="preserve">Researchers posit several explanations for why self-efficacy works to control pain, including </w:t>
      </w:r>
      <w:r w:rsidR="003A0A95" w:rsidRPr="00D61F73">
        <w:rPr>
          <w:rFonts w:ascii="Arial" w:hAnsi="Arial" w:cs="Arial"/>
          <w:color w:val="auto"/>
        </w:rPr>
        <w:t xml:space="preserve">the theory </w:t>
      </w:r>
      <w:r w:rsidRPr="00D61F73">
        <w:rPr>
          <w:rFonts w:ascii="Arial" w:hAnsi="Arial" w:cs="Arial"/>
          <w:color w:val="auto"/>
        </w:rPr>
        <w:t xml:space="preserve">that people who expect success are less likely to be stymied when confronting the challenge of pain. </w:t>
      </w:r>
    </w:p>
    <w:p w14:paraId="0D868387" w14:textId="77777777" w:rsidR="006249BF" w:rsidRPr="00D61F73" w:rsidRDefault="006249BF" w:rsidP="00D61F73">
      <w:pPr>
        <w:jc w:val="both"/>
        <w:rPr>
          <w:rFonts w:ascii="Arial" w:hAnsi="Arial" w:cs="Arial"/>
          <w:color w:val="auto"/>
        </w:rPr>
      </w:pPr>
    </w:p>
    <w:p w14:paraId="1DD5B299" w14:textId="3D57BD82" w:rsidR="00B95241" w:rsidRPr="00D61F73" w:rsidRDefault="006249BF" w:rsidP="00D61F73">
      <w:pPr>
        <w:rPr>
          <w:rFonts w:ascii="Arial" w:hAnsi="Arial" w:cs="Arial"/>
          <w:b/>
          <w:bCs/>
          <w:color w:val="auto"/>
        </w:rPr>
      </w:pPr>
      <w:r w:rsidRPr="00D61F73">
        <w:rPr>
          <w:rFonts w:ascii="Arial" w:hAnsi="Arial" w:cs="Arial"/>
          <w:color w:val="auto"/>
        </w:rPr>
        <w:t xml:space="preserve">The goals of self-management and self-efficacy reinforce the benefits that accrue when people take a </w:t>
      </w:r>
      <w:r w:rsidR="003A0A95" w:rsidRPr="00D61F73">
        <w:rPr>
          <w:rFonts w:ascii="Arial" w:hAnsi="Arial" w:cs="Arial"/>
          <w:color w:val="auto"/>
        </w:rPr>
        <w:t xml:space="preserve">more active </w:t>
      </w:r>
      <w:r w:rsidRPr="00D61F73">
        <w:rPr>
          <w:rFonts w:ascii="Arial" w:hAnsi="Arial" w:cs="Arial"/>
          <w:color w:val="auto"/>
        </w:rPr>
        <w:t>role in managing their pain</w:t>
      </w:r>
      <w:r w:rsidR="00520EA8" w:rsidRPr="00D61F73">
        <w:rPr>
          <w:rFonts w:ascii="Arial" w:hAnsi="Arial" w:cs="Arial"/>
          <w:color w:val="auto"/>
        </w:rPr>
        <w:t>. While self-efficacy as a sole method may not be sufficient to achieve pain control in many situations,</w:t>
      </w:r>
      <w:r w:rsidRPr="00D61F73">
        <w:rPr>
          <w:rFonts w:ascii="Arial" w:hAnsi="Arial" w:cs="Arial"/>
          <w:color w:val="auto"/>
        </w:rPr>
        <w:t xml:space="preserve"> treatment should include efforts to help </w:t>
      </w:r>
      <w:r w:rsidR="00520EA8" w:rsidRPr="00D61F73">
        <w:rPr>
          <w:rFonts w:ascii="Arial" w:hAnsi="Arial" w:cs="Arial"/>
          <w:color w:val="auto"/>
        </w:rPr>
        <w:t>patients actively manage pain</w:t>
      </w:r>
      <w:r w:rsidRPr="00D61F73">
        <w:rPr>
          <w:rFonts w:ascii="Arial" w:hAnsi="Arial" w:cs="Arial"/>
          <w:color w:val="auto"/>
        </w:rPr>
        <w:t xml:space="preserve">. </w:t>
      </w:r>
    </w:p>
    <w:p w14:paraId="2A3146A4" w14:textId="77777777" w:rsidR="00B95241" w:rsidRPr="00D61F73" w:rsidRDefault="00B95241" w:rsidP="00D61F73">
      <w:pPr>
        <w:contextualSpacing/>
        <w:jc w:val="both"/>
        <w:outlineLvl w:val="0"/>
        <w:rPr>
          <w:rFonts w:ascii="Arial" w:hAnsi="Arial" w:cs="Arial"/>
          <w:b/>
          <w:bCs/>
          <w:color w:val="auto"/>
        </w:rPr>
      </w:pPr>
    </w:p>
    <w:p w14:paraId="5952E83F" w14:textId="77777777" w:rsidR="006249BF" w:rsidRPr="00D61F73" w:rsidRDefault="006249BF" w:rsidP="00D61F73">
      <w:pPr>
        <w:contextualSpacing/>
        <w:jc w:val="both"/>
        <w:outlineLvl w:val="0"/>
        <w:rPr>
          <w:rFonts w:ascii="Arial" w:hAnsi="Arial" w:cs="Arial"/>
          <w:bCs/>
          <w:color w:val="auto"/>
          <w:sz w:val="28"/>
          <w:szCs w:val="28"/>
        </w:rPr>
      </w:pPr>
      <w:r w:rsidRPr="00D61F73">
        <w:rPr>
          <w:rFonts w:ascii="Arial" w:hAnsi="Arial" w:cs="Arial"/>
          <w:b/>
          <w:bCs/>
          <w:color w:val="auto"/>
          <w:sz w:val="28"/>
          <w:szCs w:val="28"/>
        </w:rPr>
        <w:t>Risk Stratification</w:t>
      </w:r>
    </w:p>
    <w:p w14:paraId="5CA48C81" w14:textId="77777777" w:rsidR="006249BF" w:rsidRPr="00D61F73" w:rsidRDefault="006249BF" w:rsidP="00D61F73">
      <w:pPr>
        <w:contextualSpacing/>
        <w:jc w:val="both"/>
        <w:outlineLvl w:val="0"/>
        <w:rPr>
          <w:rFonts w:ascii="Arial" w:hAnsi="Arial" w:cs="Arial"/>
          <w:bCs/>
          <w:color w:val="auto"/>
        </w:rPr>
      </w:pPr>
    </w:p>
    <w:p w14:paraId="2FAF25FA" w14:textId="77777777" w:rsidR="006249BF" w:rsidRPr="00D61F73" w:rsidRDefault="006249BF" w:rsidP="00D61F73">
      <w:pPr>
        <w:contextualSpacing/>
        <w:jc w:val="both"/>
        <w:outlineLvl w:val="0"/>
        <w:rPr>
          <w:rFonts w:ascii="Arial" w:hAnsi="Arial" w:cs="Arial"/>
          <w:bCs/>
          <w:color w:val="auto"/>
          <w:u w:val="single"/>
        </w:rPr>
      </w:pPr>
      <w:r w:rsidRPr="00D61F73">
        <w:rPr>
          <w:rFonts w:ascii="Arial" w:hAnsi="Arial" w:cs="Arial"/>
          <w:bCs/>
          <w:color w:val="auto"/>
          <w:u w:val="single"/>
        </w:rPr>
        <w:t>Importance of early identification</w:t>
      </w:r>
    </w:p>
    <w:p w14:paraId="6D50BDFC" w14:textId="77777777" w:rsidR="006249BF" w:rsidRPr="00D61F73" w:rsidRDefault="006249BF" w:rsidP="00D61F73">
      <w:pPr>
        <w:contextualSpacing/>
        <w:jc w:val="both"/>
        <w:outlineLvl w:val="0"/>
        <w:rPr>
          <w:rFonts w:ascii="Arial" w:hAnsi="Arial" w:cs="Arial"/>
          <w:bCs/>
          <w:color w:val="auto"/>
          <w:lang w:val="it-IT"/>
        </w:rPr>
      </w:pPr>
    </w:p>
    <w:p w14:paraId="4D956867" w14:textId="2CE03D7A" w:rsidR="006249BF" w:rsidRDefault="006249BF" w:rsidP="00D61F73">
      <w:pPr>
        <w:contextualSpacing/>
        <w:jc w:val="both"/>
        <w:outlineLvl w:val="0"/>
        <w:rPr>
          <w:rFonts w:ascii="Arial" w:hAnsi="Arial" w:cs="Arial"/>
          <w:bCs/>
          <w:color w:val="auto"/>
          <w:lang w:val="it-IT"/>
        </w:rPr>
      </w:pPr>
      <w:r w:rsidRPr="00D61F73">
        <w:rPr>
          <w:rFonts w:ascii="Arial" w:hAnsi="Arial" w:cs="Arial"/>
          <w:bCs/>
          <w:color w:val="auto"/>
          <w:lang w:val="it-IT"/>
        </w:rPr>
        <w:t>Patients not responding to initial or subacute management (see Clinical Topics</w:t>
      </w:r>
      <w:r w:rsidR="00AA2538">
        <w:rPr>
          <w:rFonts w:ascii="Arial" w:hAnsi="Arial" w:cs="Arial"/>
          <w:bCs/>
          <w:color w:val="auto"/>
          <w:lang w:val="it-IT"/>
        </w:rPr>
        <w:t xml:space="preserve"> </w:t>
      </w:r>
      <w:r w:rsidR="00AA2538" w:rsidRPr="00161D3E">
        <w:rPr>
          <w:rFonts w:ascii="Arial" w:hAnsi="Arial" w:cs="Arial"/>
          <w:bCs/>
          <w:color w:val="auto"/>
          <w:u w:val="single"/>
          <w:lang w:val="it-IT"/>
        </w:rPr>
        <w:t>s</w:t>
      </w:r>
      <w:r w:rsidRPr="00161D3E">
        <w:rPr>
          <w:rFonts w:ascii="Arial" w:hAnsi="Arial" w:cs="Arial"/>
          <w:bCs/>
          <w:strike/>
          <w:color w:val="auto"/>
          <w:lang w:val="it-IT"/>
        </w:rPr>
        <w:t>S</w:t>
      </w:r>
      <w:r w:rsidRPr="00D61F73">
        <w:rPr>
          <w:rFonts w:ascii="Arial" w:hAnsi="Arial" w:cs="Arial"/>
          <w:bCs/>
          <w:color w:val="auto"/>
          <w:lang w:val="it-IT"/>
        </w:rPr>
        <w:t xml:space="preserve">ection MTUS) or those thought to be at risk for delayed recovery should be identified as early as possible. Simple screening questionnaires may be used early in the clinical course to identify those at risk for delayed recovery. Those at risk should be more aggressively managed to avoid ineffective treatment and needless disability. Factors that help identify at-risk patients include: (1) those </w:t>
      </w:r>
      <w:r w:rsidRPr="00D61F73">
        <w:rPr>
          <w:rFonts w:ascii="Arial" w:hAnsi="Arial" w:cs="Arial"/>
          <w:bCs/>
          <w:color w:val="auto"/>
          <w:lang w:val="it-IT"/>
        </w:rPr>
        <w:lastRenderedPageBreak/>
        <w:t xml:space="preserve">unresponsive to conservative therapies demonstrated to be effective for specific diagnoses in others; (2) the presence of significant psychosocial factors negatively impacting recovery; (3) loss of employment or prolonged absence from work (which has a high predictive value); (4) previous history of delayed recovery or incomplete rehabilitation; (5) lack of employer support to accommodate patient needs; and (6) a history of childhood abuse (verbal, physical, sexual, etc.) abandonment, or neglect (adverse childhood experience, </w:t>
      </w:r>
      <w:r w:rsidR="00AA2119" w:rsidRPr="00D61F73">
        <w:rPr>
          <w:rFonts w:ascii="Arial" w:hAnsi="Arial" w:cs="Arial"/>
          <w:bCs/>
          <w:color w:val="auto"/>
          <w:lang w:val="it-IT"/>
        </w:rPr>
        <w:t>or</w:t>
      </w:r>
      <w:r w:rsidRPr="00D61F73">
        <w:rPr>
          <w:rFonts w:ascii="Arial" w:hAnsi="Arial" w:cs="Arial"/>
          <w:bCs/>
          <w:color w:val="auto"/>
          <w:lang w:val="it-IT"/>
        </w:rPr>
        <w:t xml:space="preserve"> ACE).  </w:t>
      </w:r>
    </w:p>
    <w:p w14:paraId="77D31AFF" w14:textId="67315962" w:rsidR="006249BF" w:rsidRPr="00D61F73" w:rsidRDefault="00334BF8" w:rsidP="00D61F73">
      <w:pPr>
        <w:jc w:val="both"/>
        <w:rPr>
          <w:rFonts w:ascii="Arial" w:hAnsi="Arial" w:cs="Arial"/>
          <w:color w:val="auto"/>
          <w:u w:val="single"/>
        </w:rPr>
      </w:pPr>
      <w:r>
        <w:rPr>
          <w:rFonts w:ascii="Arial" w:hAnsi="Arial" w:cs="Arial"/>
          <w:bCs/>
          <w:color w:val="auto"/>
        </w:rPr>
        <w:sym w:font="Symbol" w:char="F02D"/>
      </w:r>
    </w:p>
    <w:p w14:paraId="78BF91D5" w14:textId="77777777" w:rsidR="006249BF" w:rsidRPr="00D61F73" w:rsidRDefault="006249BF" w:rsidP="00D61F73">
      <w:pPr>
        <w:jc w:val="both"/>
        <w:rPr>
          <w:rFonts w:ascii="Arial" w:hAnsi="Arial" w:cs="Arial"/>
          <w:color w:val="auto"/>
          <w:u w:val="single"/>
        </w:rPr>
      </w:pPr>
      <w:r w:rsidRPr="00D61F73">
        <w:rPr>
          <w:rFonts w:ascii="Arial" w:hAnsi="Arial" w:cs="Arial"/>
          <w:color w:val="auto"/>
          <w:u w:val="single"/>
        </w:rPr>
        <w:t>Subacute Delayed Recovery</w:t>
      </w:r>
    </w:p>
    <w:p w14:paraId="684A997A" w14:textId="77777777" w:rsidR="006249BF" w:rsidRPr="00D61F73" w:rsidRDefault="006249BF" w:rsidP="00D61F73">
      <w:pPr>
        <w:jc w:val="both"/>
        <w:rPr>
          <w:rFonts w:ascii="Arial" w:hAnsi="Arial" w:cs="Arial"/>
          <w:color w:val="auto"/>
        </w:rPr>
      </w:pPr>
    </w:p>
    <w:p w14:paraId="10EEDC54" w14:textId="77777777" w:rsidR="003A0A95" w:rsidRPr="00D61F73" w:rsidRDefault="006249BF" w:rsidP="00D61F73">
      <w:pPr>
        <w:jc w:val="both"/>
        <w:rPr>
          <w:rFonts w:ascii="Arial" w:hAnsi="Arial" w:cs="Arial"/>
          <w:color w:val="auto"/>
          <w:lang w:val="it-IT"/>
        </w:rPr>
      </w:pPr>
      <w:r w:rsidRPr="00D61F73">
        <w:rPr>
          <w:rFonts w:ascii="Arial" w:hAnsi="Arial" w:cs="Arial"/>
          <w:color w:val="auto"/>
        </w:rPr>
        <w:t>Complaints of pain are the most common</w:t>
      </w:r>
      <w:r w:rsidRPr="00D61F73">
        <w:rPr>
          <w:rFonts w:ascii="Arial" w:hAnsi="Arial" w:cs="Arial"/>
          <w:color w:val="auto"/>
          <w:lang w:val="it-IT"/>
        </w:rPr>
        <w:t xml:space="preserve"> obstacles to return to work. Undertreatment of pain and/or unrealistic expectations may play a role in delayed recovery. However, the subacute phase is a critical time for the injured worker, as additional time away from work may result in adverse medical (e.g., overtreatment), familial, economic, and psychological consequences (e.g., depression and anxiety</w:t>
      </w:r>
      <w:r w:rsidR="003A0A95" w:rsidRPr="00D61F73">
        <w:rPr>
          <w:rFonts w:ascii="Arial" w:hAnsi="Arial" w:cs="Arial"/>
          <w:color w:val="auto"/>
          <w:lang w:val="it-IT"/>
        </w:rPr>
        <w:t>)</w:t>
      </w:r>
      <w:r w:rsidRPr="00D61F73">
        <w:rPr>
          <w:rFonts w:ascii="Arial" w:hAnsi="Arial" w:cs="Arial"/>
          <w:color w:val="auto"/>
          <w:lang w:val="it-IT"/>
        </w:rPr>
        <w:t xml:space="preserve">, which can exacerbate pain complaints. When the physician recognizes that the problem is </w:t>
      </w:r>
      <w:r w:rsidRPr="00D61F73">
        <w:rPr>
          <w:rFonts w:ascii="Arial" w:hAnsi="Arial" w:cs="Arial"/>
          <w:color w:val="auto"/>
        </w:rPr>
        <w:t>persisting beyond the anticipated time of tissue healing,</w:t>
      </w:r>
      <w:r w:rsidRPr="00D61F73">
        <w:rPr>
          <w:rFonts w:ascii="Arial" w:hAnsi="Arial" w:cs="Arial"/>
          <w:color w:val="auto"/>
          <w:lang w:val="it-IT"/>
        </w:rPr>
        <w:t xml:space="preserve"> the working diagnosis and treatment plan should be reconsidered, and psychosocial risk factors should be identified and addressed. If necessary, patients should be directed to resources capable of addressing psychosocial barriers to recovery. </w:t>
      </w:r>
    </w:p>
    <w:p w14:paraId="3687316C" w14:textId="77777777" w:rsidR="003A0A95" w:rsidRPr="00D61F73" w:rsidRDefault="003A0A95" w:rsidP="00D61F73">
      <w:pPr>
        <w:jc w:val="both"/>
        <w:rPr>
          <w:rFonts w:ascii="Arial" w:hAnsi="Arial" w:cs="Arial"/>
          <w:color w:val="auto"/>
          <w:lang w:val="it-IT"/>
        </w:rPr>
      </w:pPr>
    </w:p>
    <w:p w14:paraId="7B7FCAD5" w14:textId="77777777" w:rsidR="006249BF" w:rsidRPr="00D61F73" w:rsidRDefault="006249BF" w:rsidP="00D61F73">
      <w:pPr>
        <w:jc w:val="both"/>
        <w:rPr>
          <w:rFonts w:ascii="Arial" w:hAnsi="Arial" w:cs="Arial"/>
          <w:color w:val="auto"/>
          <w:lang w:val="it-IT"/>
        </w:rPr>
      </w:pPr>
      <w:r w:rsidRPr="00D61F73">
        <w:rPr>
          <w:rFonts w:ascii="Arial" w:hAnsi="Arial" w:cs="Arial"/>
          <w:color w:val="auto"/>
          <w:lang w:val="it-IT"/>
        </w:rPr>
        <w:t>Increasingly, time-limited Cognitive Behavioral Therapy (CBT) is being used successfully to d</w:t>
      </w:r>
      <w:r w:rsidR="00C432E7" w:rsidRPr="00D61F73">
        <w:rPr>
          <w:rFonts w:ascii="Arial" w:hAnsi="Arial" w:cs="Arial"/>
          <w:color w:val="auto"/>
          <w:lang w:val="it-IT"/>
        </w:rPr>
        <w:t xml:space="preserve">o just that. </w:t>
      </w:r>
      <w:r w:rsidRPr="00D61F73">
        <w:rPr>
          <w:rFonts w:ascii="Arial" w:hAnsi="Arial" w:cs="Arial"/>
          <w:color w:val="auto"/>
          <w:lang w:val="it-IT"/>
        </w:rPr>
        <w:t>L</w:t>
      </w:r>
      <w:r w:rsidRPr="00D61F73">
        <w:rPr>
          <w:rFonts w:ascii="Arial" w:hAnsi="Arial" w:cs="Arial"/>
          <w:color w:val="auto"/>
        </w:rPr>
        <w:t>iterature review meta-analysis has shown the CBT model of intervention to be more effective than wait list controls and alternative active treatment</w:t>
      </w:r>
      <w:r w:rsidR="0053700F" w:rsidRPr="00D61F73">
        <w:rPr>
          <w:rFonts w:ascii="Arial" w:hAnsi="Arial" w:cs="Arial"/>
          <w:color w:val="auto"/>
        </w:rPr>
        <w:t>.</w:t>
      </w:r>
      <w:r w:rsidRPr="00D61F73">
        <w:rPr>
          <w:rFonts w:ascii="Arial" w:hAnsi="Arial" w:cs="Arial"/>
          <w:color w:val="auto"/>
        </w:rPr>
        <w:t xml:space="preserve"> </w:t>
      </w:r>
      <w:r w:rsidR="00F6579F" w:rsidRPr="00D61F73">
        <w:rPr>
          <w:rFonts w:ascii="Arial" w:hAnsi="Arial" w:cs="Arial"/>
          <w:color w:val="auto"/>
        </w:rPr>
        <w:t>(</w:t>
      </w:r>
      <w:hyperlink w:anchor="Morley1999" w:history="1">
        <w:r w:rsidR="00F6579F" w:rsidRPr="00D61F73">
          <w:rPr>
            <w:rStyle w:val="Hyperlink"/>
            <w:rFonts w:ascii="Arial" w:hAnsi="Arial" w:cs="Arial"/>
          </w:rPr>
          <w:t>Morely,1999</w:t>
        </w:r>
      </w:hyperlink>
      <w:r w:rsidR="00F6579F" w:rsidRPr="00D61F73">
        <w:rPr>
          <w:rFonts w:ascii="Arial" w:hAnsi="Arial" w:cs="Arial"/>
          <w:color w:val="auto"/>
        </w:rPr>
        <w:t>)</w:t>
      </w:r>
      <w:r w:rsidRPr="00D61F73">
        <w:rPr>
          <w:rFonts w:ascii="Arial" w:hAnsi="Arial" w:cs="Arial"/>
          <w:color w:val="auto"/>
        </w:rPr>
        <w:t xml:space="preserve"> Both the cognitive and behavioral intervention components of CBT have been found effective.  </w:t>
      </w:r>
      <w:r w:rsidR="0059736F" w:rsidRPr="00D61F73">
        <w:rPr>
          <w:rFonts w:ascii="Arial" w:hAnsi="Arial" w:cs="Arial"/>
          <w:color w:val="auto"/>
        </w:rPr>
        <w:t xml:space="preserve">  </w:t>
      </w:r>
    </w:p>
    <w:p w14:paraId="70953BF8" w14:textId="77777777" w:rsidR="00F83FA7" w:rsidRPr="00D61F73" w:rsidRDefault="00F83FA7" w:rsidP="00D61F73">
      <w:pPr>
        <w:jc w:val="both"/>
        <w:rPr>
          <w:rFonts w:ascii="Arial" w:hAnsi="Arial" w:cs="Arial"/>
          <w:color w:val="auto"/>
        </w:rPr>
      </w:pPr>
    </w:p>
    <w:p w14:paraId="282A9D32"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The behavioral component </w:t>
      </w:r>
      <w:r w:rsidR="003A0A95" w:rsidRPr="00D61F73">
        <w:rPr>
          <w:rFonts w:ascii="Arial" w:hAnsi="Arial" w:cs="Arial"/>
          <w:color w:val="auto"/>
        </w:rPr>
        <w:t xml:space="preserve">of CBT </w:t>
      </w:r>
      <w:r w:rsidRPr="00D61F73">
        <w:rPr>
          <w:rFonts w:ascii="Arial" w:hAnsi="Arial" w:cs="Arial"/>
          <w:color w:val="auto"/>
        </w:rPr>
        <w:t>focuses on physiologic self-management techniques such as reinforcement for participation in functional activities, progressive relaxation, and autogenic/self-hypnosis. These techniques decrease the stress arousal response system associated with chronic pain. CBT techniques may be especially effective for patients with high stress arousal response, guarding behavior and history of ACE.</w:t>
      </w:r>
    </w:p>
    <w:p w14:paraId="05DD43A3" w14:textId="77777777" w:rsidR="00F83FA7" w:rsidRPr="00D61F73" w:rsidRDefault="00F83FA7" w:rsidP="00D61F73">
      <w:pPr>
        <w:jc w:val="both"/>
        <w:rPr>
          <w:rFonts w:ascii="Arial" w:hAnsi="Arial" w:cs="Arial"/>
          <w:color w:val="auto"/>
        </w:rPr>
      </w:pPr>
    </w:p>
    <w:p w14:paraId="147867BC" w14:textId="77777777" w:rsidR="006249BF" w:rsidRPr="00D61F73" w:rsidRDefault="006249BF" w:rsidP="00D61F73">
      <w:pPr>
        <w:spacing w:after="200"/>
        <w:jc w:val="both"/>
        <w:rPr>
          <w:rFonts w:ascii="Arial" w:hAnsi="Arial" w:cs="Arial"/>
          <w:color w:val="auto"/>
        </w:rPr>
      </w:pPr>
      <w:r w:rsidRPr="00D61F73">
        <w:rPr>
          <w:rFonts w:ascii="Arial" w:hAnsi="Arial" w:cs="Arial"/>
          <w:color w:val="auto"/>
          <w:u w:val="single"/>
          <w:lang w:val="it-IT"/>
        </w:rPr>
        <w:t xml:space="preserve">Patients with Intractable </w:t>
      </w:r>
      <w:r w:rsidRPr="00D61F73">
        <w:rPr>
          <w:rFonts w:ascii="Arial" w:hAnsi="Arial" w:cs="Arial"/>
          <w:color w:val="auto"/>
          <w:u w:val="single"/>
        </w:rPr>
        <w:t xml:space="preserve">Pain </w:t>
      </w:r>
    </w:p>
    <w:p w14:paraId="6A304E84" w14:textId="77777777" w:rsidR="006249BF" w:rsidRPr="00D61F73" w:rsidRDefault="006249BF" w:rsidP="00D61F73">
      <w:pPr>
        <w:jc w:val="both"/>
        <w:rPr>
          <w:rFonts w:ascii="Arial" w:hAnsi="Arial" w:cs="Arial"/>
          <w:color w:val="auto"/>
          <w:lang w:val="it-IT"/>
        </w:rPr>
      </w:pPr>
      <w:r w:rsidRPr="00D61F73">
        <w:rPr>
          <w:rFonts w:ascii="Arial" w:hAnsi="Arial" w:cs="Arial"/>
          <w:color w:val="auto"/>
        </w:rPr>
        <w:t>Studies have shown</w:t>
      </w:r>
      <w:r w:rsidRPr="00D61F73">
        <w:rPr>
          <w:rFonts w:ascii="Arial" w:hAnsi="Arial" w:cs="Arial"/>
          <w:color w:val="auto"/>
          <w:lang w:val="it-IT"/>
        </w:rPr>
        <w:t xml:space="preserve"> that the longer a patient remains out of work the less likely he or she is to return. Similarly, the longer a patient suffers from chronic pain the less likely treatment, including functional restoration efforts, will be effective. Nevertheless, if a patient is highly motivated and prepared to make the effort, a multidisciplinary evaluation for admission for treatment in a functional restoration program, </w:t>
      </w:r>
      <w:r w:rsidR="003A0A95" w:rsidRPr="00D61F73">
        <w:rPr>
          <w:rFonts w:ascii="Arial" w:hAnsi="Arial" w:cs="Arial"/>
          <w:color w:val="auto"/>
          <w:lang w:val="it-IT"/>
        </w:rPr>
        <w:t>(</w:t>
      </w:r>
      <w:r w:rsidRPr="00D61F73">
        <w:rPr>
          <w:rFonts w:ascii="Arial" w:hAnsi="Arial" w:cs="Arial"/>
          <w:color w:val="auto"/>
          <w:lang w:val="it-IT"/>
        </w:rPr>
        <w:t xml:space="preserve">consistent with </w:t>
      </w:r>
      <w:r w:rsidRPr="00D61F73">
        <w:rPr>
          <w:rFonts w:ascii="Arial" w:hAnsi="Arial" w:cs="Arial"/>
          <w:color w:val="auto"/>
        </w:rPr>
        <w:t>California Health and Safety Code section 124960</w:t>
      </w:r>
      <w:r w:rsidR="003A0A95" w:rsidRPr="00D61F73">
        <w:rPr>
          <w:rFonts w:ascii="Arial" w:hAnsi="Arial" w:cs="Arial"/>
          <w:color w:val="auto"/>
        </w:rPr>
        <w:t xml:space="preserve">) </w:t>
      </w:r>
      <w:r w:rsidR="003A0A95" w:rsidRPr="00D61F73">
        <w:rPr>
          <w:rFonts w:ascii="Arial" w:hAnsi="Arial" w:cs="Arial"/>
          <w:color w:val="auto"/>
          <w:lang w:val="it-IT"/>
        </w:rPr>
        <w:t>should be considered.</w:t>
      </w:r>
    </w:p>
    <w:p w14:paraId="5A411922" w14:textId="77777777" w:rsidR="00DB5F60" w:rsidRPr="00D61F73" w:rsidRDefault="00DB5F60" w:rsidP="00D61F73">
      <w:pPr>
        <w:contextualSpacing/>
        <w:jc w:val="both"/>
        <w:outlineLvl w:val="0"/>
        <w:rPr>
          <w:rFonts w:ascii="Arial" w:hAnsi="Arial" w:cs="Arial"/>
          <w:b/>
          <w:bCs/>
          <w:color w:val="auto"/>
        </w:rPr>
      </w:pPr>
    </w:p>
    <w:p w14:paraId="0E6E1EDF" w14:textId="77777777" w:rsidR="006249BF" w:rsidRPr="00D61F73" w:rsidRDefault="006249BF" w:rsidP="00D61F73">
      <w:pPr>
        <w:contextualSpacing/>
        <w:jc w:val="both"/>
        <w:outlineLvl w:val="0"/>
        <w:rPr>
          <w:rFonts w:ascii="Arial" w:hAnsi="Arial" w:cs="Arial"/>
          <w:b/>
          <w:bCs/>
          <w:color w:val="auto"/>
          <w:sz w:val="28"/>
          <w:szCs w:val="28"/>
        </w:rPr>
      </w:pPr>
      <w:r w:rsidRPr="00D61F73">
        <w:rPr>
          <w:rFonts w:ascii="Arial" w:hAnsi="Arial" w:cs="Arial"/>
          <w:b/>
          <w:bCs/>
          <w:color w:val="auto"/>
          <w:sz w:val="28"/>
          <w:szCs w:val="28"/>
        </w:rPr>
        <w:t>Assessment Approaches</w:t>
      </w:r>
    </w:p>
    <w:p w14:paraId="31A30B9B" w14:textId="77777777" w:rsidR="006249BF" w:rsidRPr="00D61F73" w:rsidRDefault="006249BF" w:rsidP="00D61F73">
      <w:pPr>
        <w:jc w:val="both"/>
        <w:outlineLvl w:val="2"/>
        <w:rPr>
          <w:rFonts w:ascii="Arial" w:hAnsi="Arial" w:cs="Arial"/>
          <w:bCs/>
          <w:color w:val="auto"/>
          <w:u w:val="single"/>
        </w:rPr>
      </w:pPr>
    </w:p>
    <w:p w14:paraId="570114CC" w14:textId="77777777" w:rsidR="006249BF" w:rsidRPr="00D61F73" w:rsidRDefault="006249BF" w:rsidP="00D61F73">
      <w:pPr>
        <w:jc w:val="both"/>
        <w:outlineLvl w:val="2"/>
        <w:rPr>
          <w:rFonts w:ascii="Arial" w:hAnsi="Arial" w:cs="Arial"/>
          <w:bCs/>
          <w:color w:val="auto"/>
          <w:u w:val="single"/>
        </w:rPr>
      </w:pPr>
      <w:r w:rsidRPr="00D61F73">
        <w:rPr>
          <w:rFonts w:ascii="Arial" w:hAnsi="Arial" w:cs="Arial"/>
          <w:bCs/>
          <w:color w:val="auto"/>
          <w:u w:val="single"/>
        </w:rPr>
        <w:t>History and Physical Examination</w:t>
      </w:r>
    </w:p>
    <w:p w14:paraId="5F87A7A1" w14:textId="77777777" w:rsidR="006249BF" w:rsidRPr="00D61F73" w:rsidRDefault="006249BF" w:rsidP="00D61F73">
      <w:pPr>
        <w:jc w:val="both"/>
        <w:rPr>
          <w:rFonts w:ascii="Arial" w:hAnsi="Arial" w:cs="Arial"/>
          <w:color w:val="auto"/>
        </w:rPr>
      </w:pPr>
    </w:p>
    <w:p w14:paraId="7236BD4D" w14:textId="77777777" w:rsidR="006249BF" w:rsidRPr="00D61F73" w:rsidRDefault="006249BF" w:rsidP="00D61F73">
      <w:pPr>
        <w:jc w:val="both"/>
        <w:rPr>
          <w:rFonts w:ascii="Arial" w:hAnsi="Arial" w:cs="Arial"/>
          <w:color w:val="auto"/>
          <w:u w:val="double"/>
        </w:rPr>
      </w:pPr>
      <w:r w:rsidRPr="00D61F73">
        <w:rPr>
          <w:rFonts w:ascii="Arial" w:hAnsi="Arial" w:cs="Arial"/>
          <w:color w:val="auto"/>
        </w:rPr>
        <w:t>The treating physician has limited sources of objective information. Therefore, it is important for the physician to take a thorough history in clinical assessment and treatment planning for the patient with chronic pain</w:t>
      </w:r>
      <w:r w:rsidR="003A0A95" w:rsidRPr="00D61F73">
        <w:rPr>
          <w:rFonts w:ascii="Arial" w:hAnsi="Arial" w:cs="Arial"/>
          <w:color w:val="auto"/>
        </w:rPr>
        <w:t>. W</w:t>
      </w:r>
      <w:r w:rsidRPr="00D61F73">
        <w:rPr>
          <w:rFonts w:ascii="Arial" w:hAnsi="Arial" w:cs="Arial"/>
          <w:color w:val="auto"/>
        </w:rPr>
        <w:t>henever possible, this history should include a review of medical records. Clinical recovery may be dependent upon identifying and addressing previously unknown or undocumented medical and/or psychosocial conditions.</w:t>
      </w:r>
      <w:r w:rsidR="003A0A95" w:rsidRPr="00D61F73">
        <w:rPr>
          <w:rFonts w:ascii="Arial" w:hAnsi="Arial" w:cs="Arial"/>
          <w:color w:val="auto"/>
        </w:rPr>
        <w:t xml:space="preserve"> </w:t>
      </w:r>
      <w:r w:rsidRPr="00D61F73">
        <w:rPr>
          <w:rFonts w:ascii="Arial" w:hAnsi="Arial" w:cs="Arial"/>
          <w:color w:val="auto"/>
        </w:rPr>
        <w:t>A</w:t>
      </w:r>
      <w:r w:rsidR="003A0A95" w:rsidRPr="00D61F73">
        <w:rPr>
          <w:rFonts w:ascii="Arial" w:hAnsi="Arial" w:cs="Arial"/>
          <w:color w:val="auto"/>
        </w:rPr>
        <w:t xml:space="preserve"> </w:t>
      </w:r>
      <w:r w:rsidRPr="00D61F73">
        <w:rPr>
          <w:rFonts w:ascii="Arial" w:hAnsi="Arial" w:cs="Arial"/>
          <w:color w:val="auto"/>
        </w:rPr>
        <w:t>thorough physical examination is also important to establish</w:t>
      </w:r>
      <w:r w:rsidR="003A0A95" w:rsidRPr="00D61F73">
        <w:rPr>
          <w:rFonts w:ascii="Arial" w:hAnsi="Arial" w:cs="Arial"/>
          <w:color w:val="auto"/>
        </w:rPr>
        <w:t xml:space="preserve"> or </w:t>
      </w:r>
      <w:r w:rsidRPr="00D61F73">
        <w:rPr>
          <w:rFonts w:ascii="Arial" w:hAnsi="Arial" w:cs="Arial"/>
          <w:color w:val="auto"/>
        </w:rPr>
        <w:t>confirm diagnoses and to observe</w:t>
      </w:r>
      <w:r w:rsidR="003A0A95" w:rsidRPr="00D61F73">
        <w:rPr>
          <w:rFonts w:ascii="Arial" w:hAnsi="Arial" w:cs="Arial"/>
          <w:color w:val="auto"/>
        </w:rPr>
        <w:t xml:space="preserve"> and better </w:t>
      </w:r>
      <w:r w:rsidRPr="00D61F73">
        <w:rPr>
          <w:rFonts w:ascii="Arial" w:hAnsi="Arial" w:cs="Arial"/>
          <w:color w:val="auto"/>
        </w:rPr>
        <w:t xml:space="preserve">understand pain behaviors. The history and physical examination also serves to establish </w:t>
      </w:r>
      <w:r w:rsidRPr="00D61F73">
        <w:rPr>
          <w:rFonts w:ascii="Arial" w:hAnsi="Arial" w:cs="Arial"/>
          <w:color w:val="auto"/>
        </w:rPr>
        <w:lastRenderedPageBreak/>
        <w:t>reassurance and patient confidence. Diagnostic studies should be ordered in this context and not simply for screening purposes.</w:t>
      </w:r>
    </w:p>
    <w:p w14:paraId="39092FCE" w14:textId="77777777" w:rsidR="006249BF" w:rsidRPr="00D61F73" w:rsidRDefault="006249BF" w:rsidP="00D61F73">
      <w:pPr>
        <w:jc w:val="both"/>
        <w:rPr>
          <w:rFonts w:ascii="Arial" w:hAnsi="Arial" w:cs="Arial"/>
          <w:color w:val="auto"/>
        </w:rPr>
      </w:pPr>
    </w:p>
    <w:p w14:paraId="307BBCFE" w14:textId="214BA72A" w:rsidR="006249BF" w:rsidRPr="00D61F73" w:rsidRDefault="006249BF" w:rsidP="00D61F73">
      <w:pPr>
        <w:jc w:val="both"/>
        <w:rPr>
          <w:rFonts w:ascii="Arial" w:hAnsi="Arial" w:cs="Arial"/>
          <w:color w:val="auto"/>
        </w:rPr>
      </w:pPr>
      <w:r w:rsidRPr="00D61F73">
        <w:rPr>
          <w:rFonts w:ascii="Arial" w:hAnsi="Arial" w:cs="Arial"/>
          <w:color w:val="auto"/>
        </w:rPr>
        <w:t>If a diagnostic workup is indicated and it does not reveal a</w:t>
      </w:r>
      <w:r w:rsidR="003A0A95" w:rsidRPr="00D61F73">
        <w:rPr>
          <w:rFonts w:ascii="Arial" w:hAnsi="Arial" w:cs="Arial"/>
          <w:color w:val="auto"/>
        </w:rPr>
        <w:t>ny</w:t>
      </w:r>
      <w:r w:rsidRPr="00D61F73">
        <w:rPr>
          <w:rFonts w:ascii="Arial" w:hAnsi="Arial" w:cs="Arial"/>
          <w:color w:val="auto"/>
        </w:rPr>
        <w:t xml:space="preserve"> clinically significant contraindication</w:t>
      </w:r>
      <w:r w:rsidR="003A0A95" w:rsidRPr="00D61F73">
        <w:rPr>
          <w:rFonts w:ascii="Arial" w:hAnsi="Arial" w:cs="Arial"/>
          <w:color w:val="auto"/>
        </w:rPr>
        <w:t>s</w:t>
      </w:r>
      <w:r w:rsidRPr="00D61F73">
        <w:rPr>
          <w:rFonts w:ascii="Arial" w:hAnsi="Arial" w:cs="Arial"/>
          <w:color w:val="auto"/>
        </w:rPr>
        <w:t xml:space="preserve">, the physician should encourage the patient to engage in an active rehabilitation and </w:t>
      </w:r>
      <w:r w:rsidR="001F1C9E" w:rsidRPr="00D61F73">
        <w:rPr>
          <w:rFonts w:ascii="Arial" w:hAnsi="Arial" w:cs="Arial"/>
          <w:color w:val="auto"/>
        </w:rPr>
        <w:t>self-management</w:t>
      </w:r>
      <w:r w:rsidR="0058423B" w:rsidRPr="00D61F73">
        <w:rPr>
          <w:rFonts w:ascii="Arial" w:hAnsi="Arial" w:cs="Arial"/>
          <w:color w:val="auto"/>
        </w:rPr>
        <w:t xml:space="preserve"> program</w:t>
      </w:r>
      <w:r w:rsidRPr="00D61F73">
        <w:rPr>
          <w:rFonts w:ascii="Arial" w:hAnsi="Arial" w:cs="Arial"/>
          <w:color w:val="auto"/>
        </w:rPr>
        <w:t>. Effective treatment of the chronic pain patient requires familiarity with patient-specific past diagnoses, treatment</w:t>
      </w:r>
      <w:r w:rsidR="003A0A95" w:rsidRPr="00D61F73">
        <w:rPr>
          <w:rFonts w:ascii="Arial" w:hAnsi="Arial" w:cs="Arial"/>
          <w:color w:val="auto"/>
        </w:rPr>
        <w:t xml:space="preserve"> outcomes</w:t>
      </w:r>
      <w:r w:rsidRPr="00D61F73">
        <w:rPr>
          <w:rFonts w:ascii="Arial" w:hAnsi="Arial" w:cs="Arial"/>
          <w:color w:val="auto"/>
        </w:rPr>
        <w:t>, persistent complaints and psychosocial variables</w:t>
      </w:r>
      <w:r w:rsidR="0058423B" w:rsidRPr="00D61F73">
        <w:rPr>
          <w:rFonts w:ascii="Arial" w:hAnsi="Arial" w:cs="Arial"/>
          <w:color w:val="auto"/>
        </w:rPr>
        <w:t>.</w:t>
      </w:r>
      <w:r w:rsidRPr="00D61F73">
        <w:rPr>
          <w:rFonts w:ascii="Arial" w:hAnsi="Arial" w:cs="Arial"/>
          <w:color w:val="auto"/>
        </w:rPr>
        <w:t xml:space="preserve"> </w:t>
      </w:r>
    </w:p>
    <w:p w14:paraId="160E16DF" w14:textId="77777777" w:rsidR="006249BF" w:rsidRPr="00D61F73" w:rsidRDefault="006249BF" w:rsidP="00D61F73">
      <w:pPr>
        <w:jc w:val="both"/>
        <w:rPr>
          <w:rFonts w:ascii="Arial" w:hAnsi="Arial" w:cs="Arial"/>
          <w:color w:val="auto"/>
          <w:u w:val="single"/>
        </w:rPr>
      </w:pPr>
    </w:p>
    <w:p w14:paraId="35901E23" w14:textId="77777777" w:rsidR="006249BF" w:rsidRPr="00D61F73" w:rsidRDefault="006249BF" w:rsidP="00D61F73">
      <w:pPr>
        <w:jc w:val="both"/>
        <w:rPr>
          <w:rFonts w:ascii="Arial" w:hAnsi="Arial" w:cs="Arial"/>
          <w:color w:val="auto"/>
          <w:shd w:val="clear" w:color="auto" w:fill="FFFF00"/>
        </w:rPr>
      </w:pPr>
      <w:r w:rsidRPr="00D61F73">
        <w:rPr>
          <w:rFonts w:ascii="Arial" w:hAnsi="Arial" w:cs="Arial"/>
          <w:color w:val="auto"/>
          <w:u w:val="single"/>
        </w:rPr>
        <w:t xml:space="preserve">Evaluation of Psychosocial Factors </w:t>
      </w:r>
      <w:r w:rsidRPr="00D61F73">
        <w:rPr>
          <w:rFonts w:ascii="Arial" w:hAnsi="Arial" w:cs="Arial"/>
          <w:color w:val="auto"/>
        </w:rPr>
        <w:t xml:space="preserve"> </w:t>
      </w:r>
    </w:p>
    <w:p w14:paraId="74E0F63C" w14:textId="77777777" w:rsidR="006249BF" w:rsidRPr="00D61F73" w:rsidRDefault="006249BF" w:rsidP="00D61F73">
      <w:pPr>
        <w:jc w:val="both"/>
        <w:rPr>
          <w:rFonts w:ascii="Arial" w:hAnsi="Arial" w:cs="Arial"/>
          <w:color w:val="auto"/>
        </w:rPr>
      </w:pPr>
    </w:p>
    <w:p w14:paraId="75534D9C" w14:textId="77777777" w:rsidR="0058423B" w:rsidRPr="00D61F73" w:rsidRDefault="006249BF" w:rsidP="00D61F73">
      <w:pPr>
        <w:jc w:val="both"/>
        <w:rPr>
          <w:rFonts w:ascii="Arial" w:hAnsi="Arial" w:cs="Arial"/>
          <w:color w:val="auto"/>
        </w:rPr>
      </w:pPr>
      <w:r w:rsidRPr="00D61F73">
        <w:rPr>
          <w:rFonts w:ascii="Arial" w:hAnsi="Arial" w:cs="Arial"/>
          <w:color w:val="auto"/>
        </w:rPr>
        <w:t>Psychosocial factors have proven better predictors of chronicity than clinical findings.</w:t>
      </w:r>
      <w:r w:rsidR="0058423B" w:rsidRPr="00D61F73">
        <w:rPr>
          <w:rFonts w:ascii="Arial" w:hAnsi="Arial" w:cs="Arial"/>
          <w:color w:val="auto"/>
        </w:rPr>
        <w:t xml:space="preserve"> Such variables/factors can and should be assessed</w:t>
      </w:r>
      <w:r w:rsidR="0039779A" w:rsidRPr="00D61F73">
        <w:rPr>
          <w:rFonts w:ascii="Arial" w:hAnsi="Arial" w:cs="Arial"/>
          <w:color w:val="auto"/>
        </w:rPr>
        <w:t>; t</w:t>
      </w:r>
      <w:r w:rsidR="0058423B" w:rsidRPr="00D61F73">
        <w:rPr>
          <w:rFonts w:ascii="Arial" w:hAnsi="Arial" w:cs="Arial"/>
          <w:color w:val="auto"/>
        </w:rPr>
        <w:t xml:space="preserve">hey include </w:t>
      </w:r>
      <w:r w:rsidR="0039779A" w:rsidRPr="00D61F73">
        <w:rPr>
          <w:rFonts w:ascii="Arial" w:hAnsi="Arial" w:cs="Arial"/>
          <w:color w:val="auto"/>
        </w:rPr>
        <w:t xml:space="preserve">a </w:t>
      </w:r>
      <w:r w:rsidR="0058423B" w:rsidRPr="00D61F73">
        <w:rPr>
          <w:rFonts w:ascii="Arial" w:hAnsi="Arial" w:cs="Arial"/>
          <w:color w:val="auto"/>
        </w:rPr>
        <w:t xml:space="preserve">history of abuse, anxiety, depression, fear-based avoidance of activity, catastrophizing, self-medication with alcohol or other drugs, patient/family expectations, medical-legal claims management issues, and employer/supervisor/worksite factors. </w:t>
      </w:r>
    </w:p>
    <w:p w14:paraId="17D55695" w14:textId="77777777" w:rsidR="0058423B" w:rsidRPr="00D61F73" w:rsidRDefault="0058423B" w:rsidP="00D61F73">
      <w:pPr>
        <w:jc w:val="both"/>
        <w:rPr>
          <w:rFonts w:ascii="Arial" w:hAnsi="Arial" w:cs="Arial"/>
          <w:color w:val="auto"/>
        </w:rPr>
      </w:pPr>
    </w:p>
    <w:p w14:paraId="6E673DCF" w14:textId="1A8744BF" w:rsidR="006249BF" w:rsidRPr="00D61F73" w:rsidRDefault="006249BF" w:rsidP="00D61F73">
      <w:pPr>
        <w:jc w:val="both"/>
        <w:rPr>
          <w:rFonts w:ascii="Arial" w:hAnsi="Arial" w:cs="Arial"/>
          <w:color w:val="auto"/>
        </w:rPr>
      </w:pPr>
      <w:r w:rsidRPr="00D61F73">
        <w:rPr>
          <w:rFonts w:ascii="Arial" w:hAnsi="Arial" w:cs="Arial"/>
          <w:color w:val="auto"/>
        </w:rPr>
        <w:t>Childhood trauma</w:t>
      </w:r>
      <w:r w:rsidR="0058423B" w:rsidRPr="00D61F73">
        <w:rPr>
          <w:rFonts w:ascii="Arial" w:hAnsi="Arial" w:cs="Arial"/>
          <w:color w:val="auto"/>
        </w:rPr>
        <w:t xml:space="preserve"> </w:t>
      </w:r>
      <w:r w:rsidRPr="00D61F73">
        <w:rPr>
          <w:rFonts w:ascii="Arial" w:hAnsi="Arial" w:cs="Arial"/>
          <w:color w:val="auto"/>
        </w:rPr>
        <w:t xml:space="preserve">may </w:t>
      </w:r>
      <w:r w:rsidR="0058423B" w:rsidRPr="00D61F73">
        <w:rPr>
          <w:rFonts w:ascii="Arial" w:hAnsi="Arial" w:cs="Arial"/>
          <w:color w:val="auto"/>
        </w:rPr>
        <w:t>c</w:t>
      </w:r>
      <w:r w:rsidRPr="00D61F73">
        <w:rPr>
          <w:rFonts w:ascii="Arial" w:hAnsi="Arial" w:cs="Arial"/>
          <w:color w:val="auto"/>
        </w:rPr>
        <w:t xml:space="preserve">ontribute significantly to </w:t>
      </w:r>
      <w:r w:rsidR="0058423B" w:rsidRPr="00D61F73">
        <w:rPr>
          <w:rFonts w:ascii="Arial" w:hAnsi="Arial" w:cs="Arial"/>
          <w:color w:val="auto"/>
        </w:rPr>
        <w:t xml:space="preserve">pain </w:t>
      </w:r>
      <w:r w:rsidRPr="00D61F73">
        <w:rPr>
          <w:rFonts w:ascii="Arial" w:hAnsi="Arial" w:cs="Arial"/>
          <w:color w:val="auto"/>
        </w:rPr>
        <w:t>chronicity. A</w:t>
      </w:r>
      <w:r w:rsidR="002B2703" w:rsidRPr="00D61F73">
        <w:rPr>
          <w:rFonts w:ascii="Arial" w:hAnsi="Arial" w:cs="Arial"/>
          <w:color w:val="auto"/>
        </w:rPr>
        <w:t xml:space="preserve"> </w:t>
      </w:r>
      <w:hyperlink r:id="rId19" w:history="1">
        <w:r w:rsidRPr="00D61F73">
          <w:rPr>
            <w:rStyle w:val="Hyperlink"/>
            <w:rFonts w:ascii="Arial" w:hAnsi="Arial" w:cs="Arial"/>
          </w:rPr>
          <w:t>2010 CDC</w:t>
        </w:r>
      </w:hyperlink>
      <w:r w:rsidRPr="00D61F73">
        <w:rPr>
          <w:rFonts w:ascii="Arial" w:hAnsi="Arial" w:cs="Arial"/>
          <w:color w:val="auto"/>
        </w:rPr>
        <w:t xml:space="preserve"> Study of 26,000 Americans adults revealed that 60% reported childhood familial problems, 15% experienced physical abuse, more than 12% had been sexually abused, and nearly 9% had at least five </w:t>
      </w:r>
      <w:r w:rsidR="0058423B" w:rsidRPr="00D61F73">
        <w:rPr>
          <w:rFonts w:ascii="Arial" w:hAnsi="Arial" w:cs="Arial"/>
          <w:color w:val="auto"/>
        </w:rPr>
        <w:t>ACE</w:t>
      </w:r>
      <w:r w:rsidR="00AA2119" w:rsidRPr="00D61F73">
        <w:rPr>
          <w:rFonts w:ascii="Arial" w:hAnsi="Arial" w:cs="Arial"/>
          <w:color w:val="auto"/>
        </w:rPr>
        <w:t xml:space="preserve"> episodes</w:t>
      </w:r>
      <w:r w:rsidR="00B2061A" w:rsidRPr="00D61F73">
        <w:rPr>
          <w:rFonts w:ascii="Arial" w:hAnsi="Arial" w:cs="Arial"/>
          <w:color w:val="auto"/>
        </w:rPr>
        <w:t xml:space="preserve">, </w:t>
      </w:r>
      <w:r w:rsidR="002B2703" w:rsidRPr="00D61F73">
        <w:rPr>
          <w:rFonts w:ascii="Arial" w:hAnsi="Arial" w:cs="Arial"/>
          <w:color w:val="auto"/>
        </w:rPr>
        <w:t>(</w:t>
      </w:r>
      <w:hyperlink w:anchor="CDC2010intro" w:history="1">
        <w:r w:rsidR="002B2703" w:rsidRPr="00D61F73">
          <w:rPr>
            <w:rStyle w:val="Hyperlink"/>
            <w:rFonts w:ascii="Arial" w:hAnsi="Arial" w:cs="Arial"/>
          </w:rPr>
          <w:t>CDC, 2010</w:t>
        </w:r>
      </w:hyperlink>
      <w:r w:rsidR="002B2703" w:rsidRPr="00D61F73">
        <w:rPr>
          <w:rFonts w:ascii="Arial" w:hAnsi="Arial" w:cs="Arial"/>
          <w:color w:val="auto"/>
        </w:rPr>
        <w:t>)</w:t>
      </w:r>
      <w:r w:rsidR="00B2061A" w:rsidRPr="00D61F73">
        <w:rPr>
          <w:rFonts w:ascii="Arial" w:hAnsi="Arial" w:cs="Arial"/>
          <w:color w:val="auto"/>
        </w:rPr>
        <w:t>.</w:t>
      </w:r>
      <w:r w:rsidR="002B2703" w:rsidRPr="00D61F73">
        <w:rPr>
          <w:rFonts w:ascii="Arial" w:hAnsi="Arial" w:cs="Arial"/>
          <w:color w:val="auto"/>
        </w:rPr>
        <w:t xml:space="preserve"> </w:t>
      </w:r>
      <w:r w:rsidRPr="00D61F73">
        <w:rPr>
          <w:rFonts w:ascii="Arial" w:hAnsi="Arial" w:cs="Arial"/>
          <w:color w:val="auto"/>
        </w:rPr>
        <w:t>Such events (per the ongoing ACE study) correlate with delayed recovery and poor outcomes from injury.</w:t>
      </w:r>
      <w:r w:rsidR="0058423B" w:rsidRPr="00D61F73">
        <w:rPr>
          <w:rFonts w:ascii="Arial" w:hAnsi="Arial" w:cs="Arial"/>
          <w:color w:val="auto"/>
        </w:rPr>
        <w:t xml:space="preserve"> Clearly</w:t>
      </w:r>
      <w:r w:rsidRPr="00D61F73">
        <w:rPr>
          <w:rFonts w:ascii="Arial" w:hAnsi="Arial" w:cs="Arial"/>
          <w:color w:val="auto"/>
        </w:rPr>
        <w:t xml:space="preserve">, assessment of psychosocial factors is a critical element of patient evaluation. </w:t>
      </w:r>
    </w:p>
    <w:p w14:paraId="09BB2A6F" w14:textId="77777777" w:rsidR="00B2061A" w:rsidRPr="00D61F73" w:rsidRDefault="00B2061A" w:rsidP="00D61F73">
      <w:pPr>
        <w:jc w:val="both"/>
        <w:rPr>
          <w:rFonts w:ascii="Arial" w:hAnsi="Arial" w:cs="Arial"/>
          <w:b/>
          <w:color w:val="auto"/>
        </w:rPr>
      </w:pPr>
    </w:p>
    <w:p w14:paraId="6C579E17" w14:textId="77777777" w:rsidR="006249BF" w:rsidRPr="00D61F73" w:rsidRDefault="006249BF" w:rsidP="00D61F73">
      <w:pPr>
        <w:jc w:val="both"/>
        <w:rPr>
          <w:rFonts w:ascii="Arial" w:hAnsi="Arial" w:cs="Arial"/>
          <w:b/>
          <w:color w:val="auto"/>
          <w:sz w:val="28"/>
          <w:szCs w:val="28"/>
        </w:rPr>
      </w:pPr>
      <w:r w:rsidRPr="00D61F73">
        <w:rPr>
          <w:rFonts w:ascii="Arial" w:hAnsi="Arial" w:cs="Arial"/>
          <w:b/>
          <w:color w:val="auto"/>
          <w:sz w:val="28"/>
          <w:szCs w:val="28"/>
        </w:rPr>
        <w:t>Functional Restoration Approach to Chronic Pain Management</w:t>
      </w:r>
    </w:p>
    <w:p w14:paraId="7858DA47" w14:textId="77777777" w:rsidR="006249BF" w:rsidRPr="00D61F73" w:rsidRDefault="006249BF" w:rsidP="00D61F73">
      <w:pPr>
        <w:jc w:val="both"/>
        <w:rPr>
          <w:rFonts w:ascii="Arial" w:hAnsi="Arial" w:cs="Arial"/>
          <w:color w:val="auto"/>
        </w:rPr>
      </w:pPr>
    </w:p>
    <w:p w14:paraId="03BAD4CD" w14:textId="19EC08A9" w:rsidR="006249BF" w:rsidRPr="00D61F73" w:rsidRDefault="006249BF" w:rsidP="00D61F73">
      <w:pPr>
        <w:jc w:val="both"/>
        <w:rPr>
          <w:rFonts w:ascii="Arial" w:hAnsi="Arial" w:cs="Arial"/>
          <w:color w:val="auto"/>
        </w:rPr>
      </w:pPr>
      <w:r w:rsidRPr="00D61F73">
        <w:rPr>
          <w:rFonts w:ascii="Arial" w:hAnsi="Arial" w:cs="Arial"/>
          <w:color w:val="auto"/>
        </w:rPr>
        <w:t>Many injured workers require little treatment, and their pain will be self-limited. Others will have persistent pain that can be managed with straightforward interventions and do not require multi-disciplinary treatment. However, for patients with more refractory problems</w:t>
      </w:r>
      <w:r w:rsidR="0058423B" w:rsidRPr="00D61F73">
        <w:rPr>
          <w:rFonts w:ascii="Arial" w:hAnsi="Arial" w:cs="Arial"/>
          <w:color w:val="auto"/>
        </w:rPr>
        <w:t xml:space="preserve"> and sufficient motivation</w:t>
      </w:r>
      <w:r w:rsidRPr="00D61F73">
        <w:rPr>
          <w:rFonts w:ascii="Arial" w:hAnsi="Arial" w:cs="Arial"/>
          <w:color w:val="auto"/>
        </w:rPr>
        <w:t xml:space="preserve">, a multidisciplinary, functionally oriented (not pain-oriented) treatment approach with a goal of independent self-management may be a more effective treatment approach. </w:t>
      </w:r>
      <w:r w:rsidRPr="00D61F73">
        <w:rPr>
          <w:rFonts w:ascii="Arial" w:hAnsi="Arial" w:cs="Arial"/>
          <w:color w:val="auto"/>
        </w:rPr>
        <w:fldChar w:fldCharType="begin">
          <w:fldData xml:space="preserve">PEVuZE5vdGU+PENpdGU+PEF1dGhvcj5GbG9yPC9BdXRob3I+PFllYXI+MTk5MjwvWWVhcj48UmVj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</w:fldData>
        </w:fldChar>
      </w:r>
      <w:r w:rsidRPr="00D61F73">
        <w:rPr>
          <w:rFonts w:ascii="Arial" w:hAnsi="Arial" w:cs="Arial"/>
          <w:color w:val="auto"/>
        </w:rPr>
        <w:instrText xml:space="preserve"> ADDIN EN.CITE </w:instrText>
      </w:r>
      <w:r w:rsidRPr="00D61F73">
        <w:rPr>
          <w:rFonts w:ascii="Arial" w:hAnsi="Arial" w:cs="Arial"/>
          <w:color w:val="auto"/>
        </w:rPr>
        <w:fldChar w:fldCharType="begin">
          <w:fldData xml:space="preserve">PEVuZE5vdGU+PENpdGU+PEF1dGhvcj5GbG9yPC9BdXRob3I+PFllYXI+MTk5MjwvWWVhcj48UmVj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</w:fldData>
        </w:fldChar>
      </w:r>
      <w:r w:rsidRPr="00D61F73">
        <w:rPr>
          <w:rFonts w:ascii="Arial" w:hAnsi="Arial" w:cs="Arial"/>
          <w:color w:val="auto"/>
        </w:rPr>
        <w:instrText xml:space="preserve"> ADDIN EN.CITE.DATA </w:instrText>
      </w:r>
      <w:r w:rsidRPr="00D61F73">
        <w:rPr>
          <w:rFonts w:ascii="Arial" w:hAnsi="Arial" w:cs="Arial"/>
          <w:color w:val="auto"/>
        </w:rPr>
      </w:r>
      <w:r w:rsidRPr="00D61F73">
        <w:rPr>
          <w:rFonts w:ascii="Arial" w:hAnsi="Arial" w:cs="Arial"/>
          <w:color w:val="auto"/>
        </w:rPr>
        <w:fldChar w:fldCharType="end"/>
      </w:r>
      <w:r w:rsidRPr="00D61F73">
        <w:rPr>
          <w:rFonts w:ascii="Arial" w:hAnsi="Arial" w:cs="Arial"/>
          <w:color w:val="auto"/>
        </w:rPr>
      </w:r>
      <w:r w:rsidRPr="00D61F73">
        <w:rPr>
          <w:rFonts w:ascii="Arial" w:hAnsi="Arial" w:cs="Arial"/>
          <w:color w:val="auto"/>
        </w:rPr>
        <w:fldChar w:fldCharType="separate"/>
      </w:r>
      <w:r w:rsidRPr="00D61F73">
        <w:rPr>
          <w:rFonts w:ascii="Arial" w:hAnsi="Arial" w:cs="Arial"/>
          <w:color w:val="auto"/>
        </w:rPr>
        <w:t>(</w:t>
      </w:r>
      <w:hyperlink w:anchor="Flor1992" w:history="1">
        <w:r w:rsidRPr="00D61F73">
          <w:rPr>
            <w:rStyle w:val="Hyperlink"/>
            <w:rFonts w:ascii="Arial" w:hAnsi="Arial" w:cs="Arial"/>
          </w:rPr>
          <w:t>Flor</w:t>
        </w:r>
        <w:r w:rsidR="004C56B8" w:rsidRPr="00D61F73">
          <w:rPr>
            <w:rStyle w:val="Hyperlink"/>
            <w:rFonts w:ascii="Arial" w:hAnsi="Arial" w:cs="Arial"/>
          </w:rPr>
          <w:t>,</w:t>
        </w:r>
        <w:r w:rsidRPr="00D61F73">
          <w:rPr>
            <w:rStyle w:val="Hyperlink"/>
            <w:rFonts w:ascii="Arial" w:hAnsi="Arial" w:cs="Arial"/>
          </w:rPr>
          <w:t xml:space="preserve"> 1992</w:t>
        </w:r>
      </w:hyperlink>
      <w:r w:rsidRPr="00D61F73">
        <w:rPr>
          <w:rFonts w:ascii="Arial" w:hAnsi="Arial" w:cs="Arial"/>
          <w:color w:val="auto"/>
        </w:rPr>
        <w:t xml:space="preserve">; </w:t>
      </w:r>
      <w:hyperlink w:anchor="Guzman2001" w:history="1">
        <w:r w:rsidRPr="00D61F73">
          <w:rPr>
            <w:rStyle w:val="Hyperlink"/>
            <w:rFonts w:ascii="Arial" w:hAnsi="Arial" w:cs="Arial"/>
          </w:rPr>
          <w:t>Guzman</w:t>
        </w:r>
        <w:r w:rsidR="004C56B8" w:rsidRPr="00D61F73">
          <w:rPr>
            <w:rStyle w:val="Hyperlink"/>
            <w:rFonts w:ascii="Arial" w:hAnsi="Arial" w:cs="Arial"/>
          </w:rPr>
          <w:t>,</w:t>
        </w:r>
        <w:r w:rsidRPr="00D61F73">
          <w:rPr>
            <w:rStyle w:val="Hyperlink"/>
            <w:rFonts w:ascii="Arial" w:hAnsi="Arial" w:cs="Arial"/>
          </w:rPr>
          <w:t xml:space="preserve"> 2001</w:t>
        </w:r>
      </w:hyperlink>
      <w:r w:rsidRPr="00D61F73">
        <w:rPr>
          <w:rFonts w:ascii="Arial" w:hAnsi="Arial" w:cs="Arial"/>
          <w:color w:val="auto"/>
        </w:rPr>
        <w:t>)</w:t>
      </w:r>
      <w:r w:rsidRPr="00D61F73">
        <w:rPr>
          <w:rFonts w:ascii="Arial" w:hAnsi="Arial" w:cs="Arial"/>
          <w:color w:val="auto"/>
        </w:rPr>
        <w:fldChar w:fldCharType="end"/>
      </w:r>
    </w:p>
    <w:p w14:paraId="31826B74" w14:textId="77777777" w:rsidR="006249BF" w:rsidRPr="00D61F73" w:rsidRDefault="006249BF" w:rsidP="00D61F73">
      <w:pPr>
        <w:jc w:val="both"/>
        <w:rPr>
          <w:rFonts w:ascii="Arial" w:hAnsi="Arial" w:cs="Arial"/>
          <w:color w:val="auto"/>
        </w:rPr>
      </w:pPr>
    </w:p>
    <w:p w14:paraId="736116B5" w14:textId="77777777" w:rsidR="006249BF" w:rsidRPr="00D61F73" w:rsidRDefault="006249BF" w:rsidP="00D61F73">
      <w:pPr>
        <w:jc w:val="both"/>
        <w:rPr>
          <w:rFonts w:ascii="Arial" w:hAnsi="Arial" w:cs="Arial"/>
          <w:color w:val="auto"/>
        </w:rPr>
      </w:pPr>
      <w:r w:rsidRPr="00D61F73">
        <w:rPr>
          <w:rFonts w:ascii="Arial" w:hAnsi="Arial" w:cs="Arial"/>
          <w:color w:val="auto"/>
        </w:rPr>
        <w:t>Functional restoration is an established treatment approach that aims to minimize the residual complaints and disability resulting from acute and chronic medical conditions. Functional restoration may be considered if there is a delay in return to work or a prolonged period of inactivity. Functional restoration is the process by which the individual acquires the skills, knowledge, and behavioral changes necessary to avoid preventable complications and assume or re-assume primary responsibility (“locus of control”) for his or her physical and emotional well-being post injury. The focus is on increasing activities of daily living (ADL)</w:t>
      </w:r>
      <w:r w:rsidR="0058423B" w:rsidRPr="00D61F73">
        <w:rPr>
          <w:rFonts w:ascii="Arial" w:hAnsi="Arial" w:cs="Arial"/>
          <w:color w:val="auto"/>
        </w:rPr>
        <w:t xml:space="preserve">, </w:t>
      </w:r>
      <w:r w:rsidRPr="00D61F73">
        <w:rPr>
          <w:rFonts w:ascii="Arial" w:hAnsi="Arial" w:cs="Arial"/>
          <w:color w:val="auto"/>
        </w:rPr>
        <w:t xml:space="preserve">including </w:t>
      </w:r>
      <w:r w:rsidR="0058423B" w:rsidRPr="00D61F73">
        <w:rPr>
          <w:rFonts w:ascii="Arial" w:hAnsi="Arial" w:cs="Arial"/>
          <w:color w:val="auto"/>
        </w:rPr>
        <w:t xml:space="preserve">returning to </w:t>
      </w:r>
      <w:r w:rsidRPr="00D61F73">
        <w:rPr>
          <w:rFonts w:ascii="Arial" w:hAnsi="Arial" w:cs="Arial"/>
          <w:color w:val="auto"/>
        </w:rPr>
        <w:t xml:space="preserve">work. The individual thereby maximizes functional independence and </w:t>
      </w:r>
      <w:r w:rsidR="0058423B" w:rsidRPr="00D61F73">
        <w:rPr>
          <w:rFonts w:ascii="Arial" w:hAnsi="Arial" w:cs="Arial"/>
          <w:color w:val="auto"/>
        </w:rPr>
        <w:t xml:space="preserve">the </w:t>
      </w:r>
      <w:r w:rsidRPr="00D61F73">
        <w:rPr>
          <w:rFonts w:ascii="Arial" w:hAnsi="Arial" w:cs="Arial"/>
          <w:color w:val="auto"/>
        </w:rPr>
        <w:t xml:space="preserve">pursuit of vocational and avocational goals, as measured by functional improvement (see 8 CCR § 9792.20 (f)). </w:t>
      </w:r>
    </w:p>
    <w:p w14:paraId="6EB10839" w14:textId="77777777" w:rsidR="006249BF" w:rsidRPr="00D61F73" w:rsidRDefault="006249BF" w:rsidP="00D61F73">
      <w:pPr>
        <w:jc w:val="both"/>
        <w:rPr>
          <w:rFonts w:ascii="Arial" w:hAnsi="Arial" w:cs="Arial"/>
          <w:color w:val="auto"/>
        </w:rPr>
      </w:pPr>
    </w:p>
    <w:p w14:paraId="18957742" w14:textId="77777777" w:rsidR="006249BF" w:rsidRPr="00D61F73" w:rsidRDefault="006249BF" w:rsidP="00D61F73">
      <w:pPr>
        <w:jc w:val="both"/>
        <w:rPr>
          <w:rFonts w:ascii="Arial" w:hAnsi="Arial" w:cs="Arial"/>
          <w:color w:val="auto"/>
        </w:rPr>
      </w:pPr>
      <w:r w:rsidRPr="00D61F73">
        <w:rPr>
          <w:rFonts w:ascii="Arial" w:hAnsi="Arial" w:cs="Arial"/>
          <w:color w:val="auto"/>
        </w:rPr>
        <w:t>Independent self-management is the long-term goal of all forms of functional restoration. The process and principles of functional restoration can apply to a wide range of conditions, including acute injuries (e.g., sports, occupational), catastrophic injuries (e.g., brain and spinal cord injury), and chronic conditions (e.g., chronic pain</w:t>
      </w:r>
      <w:r w:rsidR="00BA6340" w:rsidRPr="00D61F73">
        <w:rPr>
          <w:rFonts w:ascii="Arial" w:hAnsi="Arial" w:cs="Arial"/>
          <w:color w:val="auto"/>
        </w:rPr>
        <w:t xml:space="preserve"> and</w:t>
      </w:r>
      <w:r w:rsidRPr="00D61F73">
        <w:rPr>
          <w:rFonts w:ascii="Arial" w:hAnsi="Arial" w:cs="Arial"/>
          <w:color w:val="auto"/>
        </w:rPr>
        <w:t xml:space="preserve"> multiple sclerosis).</w:t>
      </w:r>
    </w:p>
    <w:p w14:paraId="390CDEE4" w14:textId="77777777" w:rsidR="006249BF" w:rsidRPr="00D61F73" w:rsidRDefault="006249BF" w:rsidP="00D61F73">
      <w:pPr>
        <w:jc w:val="both"/>
        <w:rPr>
          <w:rFonts w:ascii="Arial" w:hAnsi="Arial" w:cs="Arial"/>
          <w:color w:val="auto"/>
        </w:rPr>
      </w:pPr>
    </w:p>
    <w:p w14:paraId="3DCFA858" w14:textId="77777777" w:rsidR="006249BF" w:rsidRPr="00D61F73" w:rsidRDefault="006249BF" w:rsidP="00D61F73">
      <w:pPr>
        <w:jc w:val="both"/>
        <w:rPr>
          <w:rFonts w:ascii="Arial" w:hAnsi="Arial" w:cs="Arial"/>
          <w:color w:val="auto"/>
        </w:rPr>
      </w:pPr>
      <w:r w:rsidRPr="00D61F73">
        <w:rPr>
          <w:rFonts w:ascii="Arial" w:hAnsi="Arial" w:cs="Arial"/>
          <w:color w:val="auto"/>
        </w:rPr>
        <w:lastRenderedPageBreak/>
        <w:t>It should be emphasized that functional restoration is not necessarily a full-time, multi-week treatment program, but rather an approach that emphasizes patient empowerment and personal responsibility.</w:t>
      </w:r>
    </w:p>
    <w:p w14:paraId="627A17CD" w14:textId="77777777" w:rsidR="006249BF" w:rsidRPr="00D61F73" w:rsidRDefault="006249BF" w:rsidP="00D61F73">
      <w:pPr>
        <w:jc w:val="both"/>
        <w:rPr>
          <w:rFonts w:ascii="Arial" w:hAnsi="Arial" w:cs="Arial"/>
          <w:color w:val="auto"/>
        </w:rPr>
      </w:pPr>
    </w:p>
    <w:p w14:paraId="00EFF987" w14:textId="77777777" w:rsidR="006249BF" w:rsidRPr="00D61F73" w:rsidRDefault="006249BF" w:rsidP="00D61F73">
      <w:pPr>
        <w:jc w:val="both"/>
        <w:rPr>
          <w:rFonts w:ascii="Arial" w:hAnsi="Arial" w:cs="Arial"/>
          <w:color w:val="auto"/>
        </w:rPr>
      </w:pPr>
      <w:r w:rsidRPr="00D61F73">
        <w:rPr>
          <w:rFonts w:ascii="Arial" w:hAnsi="Arial" w:cs="Arial"/>
          <w:color w:val="auto"/>
        </w:rPr>
        <w:t>A coordinated, goal-oriented, functional restoration approach can incorporate pharmacologic</w:t>
      </w:r>
      <w:r w:rsidR="0058423B" w:rsidRPr="00D61F73">
        <w:rPr>
          <w:rFonts w:ascii="Arial" w:hAnsi="Arial" w:cs="Arial"/>
          <w:color w:val="auto"/>
        </w:rPr>
        <w:t xml:space="preserve"> treatment</w:t>
      </w:r>
      <w:r w:rsidRPr="00D61F73">
        <w:rPr>
          <w:rFonts w:ascii="Arial" w:hAnsi="Arial" w:cs="Arial"/>
          <w:color w:val="auto"/>
        </w:rPr>
        <w:t>, therapeutic interventions, CBT, and physical rehabilitation.</w:t>
      </w:r>
    </w:p>
    <w:p w14:paraId="114472A8" w14:textId="77777777" w:rsidR="006249BF" w:rsidRPr="00D61F73" w:rsidRDefault="006249BF" w:rsidP="00D61F73">
      <w:pPr>
        <w:jc w:val="both"/>
        <w:rPr>
          <w:rFonts w:ascii="Arial" w:hAnsi="Arial" w:cs="Arial"/>
          <w:color w:val="auto"/>
        </w:rPr>
      </w:pPr>
    </w:p>
    <w:p w14:paraId="09EF5CDF" w14:textId="41433B69" w:rsidR="006249BF" w:rsidRPr="00D61F73" w:rsidRDefault="006249BF" w:rsidP="00D61F73">
      <w:pPr>
        <w:jc w:val="both"/>
        <w:rPr>
          <w:rFonts w:ascii="Arial" w:hAnsi="Arial" w:cs="Arial"/>
          <w:color w:val="auto"/>
        </w:rPr>
      </w:pPr>
      <w:r w:rsidRPr="00D61F73">
        <w:rPr>
          <w:rFonts w:ascii="Arial" w:hAnsi="Arial" w:cs="Arial"/>
          <w:color w:val="auto"/>
        </w:rPr>
        <w:t>Using medications in the treatment of pain requires a thorough understanding of the mechanism underlying the pain as well as the identification of comorbidities that might predict</w:t>
      </w:r>
      <w:r w:rsidR="00BB1075" w:rsidRPr="00D61F73">
        <w:rPr>
          <w:rFonts w:ascii="Arial" w:hAnsi="Arial" w:cs="Arial"/>
          <w:color w:val="auto"/>
        </w:rPr>
        <w:t xml:space="preserve"> an adverse outcome (refer to </w:t>
      </w:r>
      <w:r w:rsidR="004323EA" w:rsidRPr="00D61F73">
        <w:rPr>
          <w:rFonts w:ascii="Arial" w:hAnsi="Arial" w:cs="Arial"/>
          <w:color w:val="auto"/>
        </w:rPr>
        <w:t xml:space="preserve">the </w:t>
      </w:r>
      <w:r w:rsidR="00945339" w:rsidRPr="00D61F73">
        <w:rPr>
          <w:rFonts w:ascii="Arial" w:hAnsi="Arial" w:cs="Arial"/>
          <w:color w:val="auto"/>
        </w:rPr>
        <w:t>“</w:t>
      </w:r>
      <w:r w:rsidR="00B07D16" w:rsidRPr="00D61F73">
        <w:rPr>
          <w:rFonts w:ascii="Arial" w:hAnsi="Arial" w:cs="Arial"/>
        </w:rPr>
        <w:t>MTUS Opioids Treatment Guidelines</w:t>
      </w:r>
      <w:r w:rsidR="00945339" w:rsidRPr="00D61F73">
        <w:rPr>
          <w:rFonts w:ascii="Arial" w:hAnsi="Arial" w:cs="Arial"/>
          <w:color w:val="auto"/>
        </w:rPr>
        <w:t>”</w:t>
      </w:r>
      <w:r w:rsidRPr="00D61F73">
        <w:rPr>
          <w:rFonts w:ascii="Arial" w:hAnsi="Arial" w:cs="Arial"/>
          <w:color w:val="auto"/>
        </w:rPr>
        <w:t xml:space="preserve">). Choice of pharmacotherapy must be based on the type of pain to be treated, though more than one pain mechanism may be involved. The physician should tailor medications and dosages to the individual, taking into consideration patient-specific variables such as comorbidities, other medications, and allergies. The physician should be knowledgeable regarding prescribing information and adjust the dosing to the individual patient. If the physician prescribes a medication for an indication not in the approved FDA labeling, he or she has the responsibility to be well informed about the medication and </w:t>
      </w:r>
      <w:r w:rsidR="00242453" w:rsidRPr="00D61F73">
        <w:rPr>
          <w:rFonts w:ascii="Arial" w:hAnsi="Arial" w:cs="Arial"/>
          <w:color w:val="auto"/>
        </w:rPr>
        <w:t xml:space="preserve">confident </w:t>
      </w:r>
      <w:r w:rsidRPr="00D61F73">
        <w:rPr>
          <w:rFonts w:ascii="Arial" w:hAnsi="Arial" w:cs="Arial"/>
          <w:color w:val="auto"/>
        </w:rPr>
        <w:t>that its use is scientific and evidence</w:t>
      </w:r>
      <w:r w:rsidR="00BA6340" w:rsidRPr="00D61F73">
        <w:rPr>
          <w:rFonts w:ascii="Arial" w:hAnsi="Arial" w:cs="Arial"/>
          <w:color w:val="auto"/>
        </w:rPr>
        <w:t xml:space="preserve"> </w:t>
      </w:r>
      <w:r w:rsidRPr="00D61F73">
        <w:rPr>
          <w:rFonts w:ascii="Arial" w:hAnsi="Arial" w:cs="Arial"/>
          <w:color w:val="auto"/>
        </w:rPr>
        <w:t xml:space="preserve">based. When effective, medications should provide a degree of analgesia that allows the patients to engage in rehabilitation, improvement of basic activities of daily living, and/or possibly return to work. No drugs have been proven to reverse, cure, or “heal” chronic pain. </w:t>
      </w:r>
      <w:r w:rsidR="00242453" w:rsidRPr="00D61F73">
        <w:rPr>
          <w:rFonts w:ascii="Arial" w:hAnsi="Arial" w:cs="Arial"/>
          <w:color w:val="auto"/>
        </w:rPr>
        <w:t>In additio</w:t>
      </w:r>
      <w:r w:rsidR="00203B56" w:rsidRPr="00D61F73">
        <w:rPr>
          <w:rFonts w:ascii="Arial" w:hAnsi="Arial" w:cs="Arial"/>
          <w:color w:val="auto"/>
        </w:rPr>
        <w:t>n</w:t>
      </w:r>
      <w:r w:rsidR="00242453" w:rsidRPr="00D61F73">
        <w:rPr>
          <w:rFonts w:ascii="Arial" w:hAnsi="Arial" w:cs="Arial"/>
          <w:color w:val="auto"/>
        </w:rPr>
        <w:t>, p</w:t>
      </w:r>
      <w:r w:rsidRPr="00D61F73">
        <w:rPr>
          <w:rFonts w:ascii="Arial" w:hAnsi="Arial" w:cs="Arial"/>
          <w:color w:val="auto"/>
        </w:rPr>
        <w:t xml:space="preserve">eriodic review of the ongoing chronic pain treatment plan for the injured worker is essential. </w:t>
      </w:r>
    </w:p>
    <w:p w14:paraId="3ECA7AB7" w14:textId="77777777" w:rsidR="006249BF" w:rsidRPr="00D61F73" w:rsidRDefault="006249BF" w:rsidP="00D61F73">
      <w:pPr>
        <w:jc w:val="both"/>
        <w:rPr>
          <w:rFonts w:ascii="Arial" w:hAnsi="Arial" w:cs="Arial"/>
          <w:color w:val="auto"/>
        </w:rPr>
      </w:pPr>
    </w:p>
    <w:p w14:paraId="78D29A4D"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When choosing an invasive procedure to treat a specific chronic pain problem, </w:t>
      </w:r>
      <w:r w:rsidR="00BA6340" w:rsidRPr="00D61F73">
        <w:rPr>
          <w:rFonts w:ascii="Arial" w:hAnsi="Arial" w:cs="Arial"/>
          <w:color w:val="auto"/>
        </w:rPr>
        <w:t xml:space="preserve">the provider must make </w:t>
      </w:r>
      <w:r w:rsidRPr="00D61F73">
        <w:rPr>
          <w:rFonts w:ascii="Arial" w:hAnsi="Arial" w:cs="Arial"/>
          <w:color w:val="auto"/>
        </w:rPr>
        <w:t xml:space="preserve">a complex judgment </w:t>
      </w:r>
      <w:r w:rsidR="00BA6340" w:rsidRPr="00D61F73">
        <w:rPr>
          <w:rFonts w:ascii="Arial" w:hAnsi="Arial" w:cs="Arial"/>
          <w:color w:val="auto"/>
        </w:rPr>
        <w:t>in order to</w:t>
      </w:r>
      <w:r w:rsidRPr="00D61F73">
        <w:rPr>
          <w:rFonts w:ascii="Arial" w:hAnsi="Arial" w:cs="Arial"/>
          <w:color w:val="auto"/>
        </w:rPr>
        <w:t xml:space="preserve"> ensure that the desired and expected outcome is worth the risk involved</w:t>
      </w:r>
      <w:r w:rsidR="00203B56" w:rsidRPr="00D61F73">
        <w:rPr>
          <w:rFonts w:ascii="Arial" w:hAnsi="Arial" w:cs="Arial"/>
          <w:color w:val="auto"/>
        </w:rPr>
        <w:t xml:space="preserve">. </w:t>
      </w:r>
    </w:p>
    <w:p w14:paraId="42767FFF" w14:textId="77777777" w:rsidR="006249BF" w:rsidRPr="00D61F73" w:rsidRDefault="006249BF" w:rsidP="00D61F73">
      <w:pPr>
        <w:tabs>
          <w:tab w:val="left" w:pos="880"/>
        </w:tabs>
        <w:jc w:val="both"/>
        <w:rPr>
          <w:rFonts w:ascii="Arial" w:hAnsi="Arial" w:cs="Arial"/>
          <w:color w:val="auto"/>
        </w:rPr>
      </w:pPr>
    </w:p>
    <w:p w14:paraId="57193593" w14:textId="77777777" w:rsidR="006249BF" w:rsidRPr="00D61F73" w:rsidRDefault="006249BF" w:rsidP="00D61F73">
      <w:pPr>
        <w:tabs>
          <w:tab w:val="left" w:pos="880"/>
        </w:tabs>
        <w:jc w:val="both"/>
        <w:rPr>
          <w:rFonts w:ascii="Arial" w:hAnsi="Arial" w:cs="Arial"/>
          <w:color w:val="auto"/>
        </w:rPr>
      </w:pPr>
      <w:r w:rsidRPr="00D61F73">
        <w:rPr>
          <w:rFonts w:ascii="Arial" w:hAnsi="Arial" w:cs="Arial"/>
          <w:color w:val="auto"/>
        </w:rPr>
        <w:t xml:space="preserve">Please refer to Part 2 of the Chronic Pain Treatment Guidelines to find specific guidelines on chronic pain treatments that include pharmacotherapy, invasive pain procedures, psychological and behavioral therapies, physical and occupational therapies, and other approaches. </w:t>
      </w:r>
      <w:r w:rsidR="00203B56" w:rsidRPr="00D61F73">
        <w:rPr>
          <w:rFonts w:ascii="Arial" w:hAnsi="Arial" w:cs="Arial"/>
          <w:color w:val="auto"/>
        </w:rPr>
        <w:t xml:space="preserve">The </w:t>
      </w:r>
      <w:r w:rsidRPr="00D61F73">
        <w:rPr>
          <w:rFonts w:ascii="Arial" w:hAnsi="Arial" w:cs="Arial"/>
          <w:color w:val="auto"/>
        </w:rPr>
        <w:t xml:space="preserve">treatment must be tailored </w:t>
      </w:r>
      <w:r w:rsidR="00203B56" w:rsidRPr="00D61F73">
        <w:rPr>
          <w:rFonts w:ascii="Arial" w:hAnsi="Arial" w:cs="Arial"/>
          <w:color w:val="auto"/>
        </w:rPr>
        <w:t>to</w:t>
      </w:r>
      <w:r w:rsidRPr="00D61F73">
        <w:rPr>
          <w:rFonts w:ascii="Arial" w:hAnsi="Arial" w:cs="Arial"/>
          <w:color w:val="auto"/>
        </w:rPr>
        <w:t xml:space="preserve"> the individual case. </w:t>
      </w:r>
      <w:r w:rsidR="00BA6340" w:rsidRPr="00D61F73">
        <w:rPr>
          <w:rFonts w:ascii="Arial" w:hAnsi="Arial" w:cs="Arial"/>
          <w:color w:val="auto"/>
        </w:rPr>
        <w:t xml:space="preserve">Regardless of who is providing </w:t>
      </w:r>
      <w:r w:rsidRPr="00D61F73">
        <w:rPr>
          <w:rFonts w:ascii="Arial" w:hAnsi="Arial" w:cs="Arial"/>
          <w:color w:val="auto"/>
        </w:rPr>
        <w:t>the treatment</w:t>
      </w:r>
      <w:r w:rsidR="00BA6340" w:rsidRPr="00D61F73">
        <w:rPr>
          <w:rFonts w:ascii="Arial" w:hAnsi="Arial" w:cs="Arial"/>
          <w:color w:val="auto"/>
        </w:rPr>
        <w:t>, be it an</w:t>
      </w:r>
      <w:r w:rsidRPr="00D61F73">
        <w:rPr>
          <w:rFonts w:ascii="Arial" w:hAnsi="Arial" w:cs="Arial"/>
          <w:color w:val="auto"/>
        </w:rPr>
        <w:t xml:space="preserve"> individual provider, a multidisciplinary group of providers, integrated interdisciplinary pain program, or a functional restoration program, it is important to design a treatment plan that explains the purpose of each component of the treatment. Furthermore, demonstration of functional improvement is necessary at various milestones in the functional restoration program to justify continued treatment.  </w:t>
      </w:r>
    </w:p>
    <w:p w14:paraId="7D291D5E" w14:textId="77777777" w:rsidR="006249BF" w:rsidRPr="00D61F73" w:rsidRDefault="006249BF" w:rsidP="00D61F73">
      <w:pPr>
        <w:tabs>
          <w:tab w:val="left" w:pos="880"/>
        </w:tabs>
        <w:jc w:val="both"/>
        <w:rPr>
          <w:rFonts w:ascii="Arial" w:hAnsi="Arial" w:cs="Arial"/>
          <w:b/>
          <w:color w:val="auto"/>
        </w:rPr>
      </w:pPr>
    </w:p>
    <w:p w14:paraId="2D589E9A" w14:textId="77777777" w:rsidR="006249BF" w:rsidRPr="00D61F73" w:rsidRDefault="006249BF" w:rsidP="00D61F73">
      <w:pPr>
        <w:tabs>
          <w:tab w:val="left" w:pos="880"/>
        </w:tabs>
        <w:jc w:val="both"/>
        <w:rPr>
          <w:rFonts w:ascii="Arial" w:hAnsi="Arial" w:cs="Arial"/>
          <w:b/>
          <w:color w:val="auto"/>
          <w:sz w:val="28"/>
          <w:szCs w:val="28"/>
        </w:rPr>
      </w:pPr>
      <w:r w:rsidRPr="00D61F73">
        <w:rPr>
          <w:rFonts w:ascii="Arial" w:hAnsi="Arial" w:cs="Arial"/>
          <w:b/>
          <w:color w:val="auto"/>
          <w:sz w:val="28"/>
          <w:szCs w:val="28"/>
        </w:rPr>
        <w:t>Pain Outcomes and Endpoints</w:t>
      </w:r>
    </w:p>
    <w:p w14:paraId="3BC952BC" w14:textId="77777777" w:rsidR="006249BF" w:rsidRPr="00D61F73" w:rsidRDefault="006249BF" w:rsidP="00D61F73">
      <w:pPr>
        <w:tabs>
          <w:tab w:val="left" w:pos="880"/>
        </w:tabs>
        <w:jc w:val="both"/>
        <w:rPr>
          <w:rFonts w:ascii="Arial" w:hAnsi="Arial" w:cs="Arial"/>
          <w:color w:val="auto"/>
        </w:rPr>
      </w:pPr>
    </w:p>
    <w:p w14:paraId="3577D981" w14:textId="77777777" w:rsidR="006249BF" w:rsidRPr="00D61F73" w:rsidRDefault="00203B56" w:rsidP="00D61F73">
      <w:pPr>
        <w:jc w:val="both"/>
        <w:rPr>
          <w:rFonts w:ascii="Arial" w:hAnsi="Arial" w:cs="Arial"/>
          <w:color w:val="auto"/>
        </w:rPr>
      </w:pPr>
      <w:r w:rsidRPr="00D61F73">
        <w:rPr>
          <w:rFonts w:ascii="Arial" w:hAnsi="Arial" w:cs="Arial"/>
          <w:color w:val="auto"/>
        </w:rPr>
        <w:t>Because p</w:t>
      </w:r>
      <w:r w:rsidR="006249BF" w:rsidRPr="00D61F73">
        <w:rPr>
          <w:rFonts w:ascii="Arial" w:hAnsi="Arial" w:cs="Arial"/>
          <w:color w:val="auto"/>
        </w:rPr>
        <w:t>ain is a subjective experience</w:t>
      </w:r>
      <w:r w:rsidRPr="00D61F73">
        <w:rPr>
          <w:rFonts w:ascii="Arial" w:hAnsi="Arial" w:cs="Arial"/>
          <w:color w:val="auto"/>
        </w:rPr>
        <w:t>,</w:t>
      </w:r>
      <w:r w:rsidR="006249BF" w:rsidRPr="00D61F73">
        <w:rPr>
          <w:rFonts w:ascii="Arial" w:hAnsi="Arial" w:cs="Arial"/>
          <w:color w:val="auto"/>
        </w:rPr>
        <w:t xml:space="preserve"> it cannot be readily validated or objectively measured</w:t>
      </w:r>
      <w:r w:rsidR="0053700F" w:rsidRPr="00D61F73">
        <w:rPr>
          <w:rFonts w:ascii="Arial" w:hAnsi="Arial" w:cs="Arial"/>
          <w:color w:val="auto"/>
        </w:rPr>
        <w:t>.</w:t>
      </w:r>
      <w:r w:rsidR="00BA6340" w:rsidRPr="00D61F73">
        <w:rPr>
          <w:rFonts w:ascii="Arial" w:hAnsi="Arial" w:cs="Arial"/>
          <w:color w:val="auto"/>
        </w:rPr>
        <w:t xml:space="preserve"> (</w:t>
      </w:r>
      <w:hyperlink w:anchor="AMA2001" w:history="1">
        <w:r w:rsidR="00BA6340" w:rsidRPr="00D61F73">
          <w:rPr>
            <w:rStyle w:val="Hyperlink"/>
            <w:rFonts w:ascii="Arial" w:hAnsi="Arial" w:cs="Arial"/>
          </w:rPr>
          <w:t>AMA, 2001</w:t>
        </w:r>
      </w:hyperlink>
      <w:r w:rsidR="00BA6340" w:rsidRPr="00D61F73">
        <w:rPr>
          <w:rFonts w:ascii="Arial" w:hAnsi="Arial" w:cs="Arial"/>
          <w:color w:val="auto"/>
        </w:rPr>
        <w:t>)</w:t>
      </w:r>
      <w:r w:rsidR="006249BF" w:rsidRPr="00D61F73">
        <w:rPr>
          <w:rFonts w:ascii="Arial" w:hAnsi="Arial" w:cs="Arial"/>
          <w:color w:val="auto"/>
        </w:rPr>
        <w:t xml:space="preserve"> </w:t>
      </w:r>
      <w:r w:rsidR="006249BF" w:rsidRPr="0009210B">
        <w:rPr>
          <w:rFonts w:ascii="Arial" w:hAnsi="Arial" w:cs="Arial"/>
          <w:strike/>
          <w:color w:val="auto"/>
        </w:rPr>
        <w:t>(</w:t>
      </w:r>
      <w:r w:rsidR="006249BF" w:rsidRPr="00D61F73">
        <w:rPr>
          <w:rFonts w:ascii="Arial" w:hAnsi="Arial" w:cs="Arial"/>
          <w:color w:val="auto"/>
        </w:rPr>
        <w:t>Therefore, unlike many other chronic diseases, which may have objective measurements that can be used to assess the extent of the problem and treatment outcomes, chronic pain has no objective measurement. Measuring a patient’s pain requires correlating objective data with the patient’s subjective reporting to arrive at a comprehensive outcome representing the state</w:t>
      </w:r>
      <w:r w:rsidRPr="00D61F73">
        <w:rPr>
          <w:rFonts w:ascii="Arial" w:hAnsi="Arial" w:cs="Arial"/>
          <w:color w:val="auto"/>
        </w:rPr>
        <w:t xml:space="preserve"> of pain</w:t>
      </w:r>
      <w:r w:rsidR="006249BF" w:rsidRPr="00D61F73">
        <w:rPr>
          <w:rFonts w:ascii="Arial" w:hAnsi="Arial" w:cs="Arial"/>
          <w:color w:val="auto"/>
        </w:rPr>
        <w:t xml:space="preserve">.  </w:t>
      </w:r>
    </w:p>
    <w:p w14:paraId="51DFF038" w14:textId="77777777" w:rsidR="006249BF" w:rsidRPr="00D61F73" w:rsidRDefault="006249BF" w:rsidP="00D61F73">
      <w:pPr>
        <w:rPr>
          <w:rFonts w:ascii="Arial" w:hAnsi="Arial" w:cs="Arial"/>
          <w:color w:val="auto"/>
        </w:rPr>
      </w:pPr>
    </w:p>
    <w:p w14:paraId="170F83B1" w14:textId="3D570619" w:rsidR="006249BF" w:rsidRPr="00D61F73" w:rsidRDefault="006249BF" w:rsidP="00D61F73">
      <w:pPr>
        <w:jc w:val="both"/>
        <w:rPr>
          <w:rFonts w:ascii="Arial" w:hAnsi="Arial" w:cs="Arial"/>
          <w:color w:val="auto"/>
        </w:rPr>
      </w:pPr>
      <w:r w:rsidRPr="00D61F73">
        <w:rPr>
          <w:rFonts w:ascii="Arial" w:hAnsi="Arial" w:cs="Arial"/>
          <w:color w:val="auto"/>
        </w:rPr>
        <w:t>Complicating the measurement of pain is that there is often a wide variability in how much pain a given stimulus or injury will cause. This variability is influenced by genetics, mood, beliefs, sex, ethnicity, and other factors</w:t>
      </w:r>
      <w:r w:rsidR="00203B56" w:rsidRPr="00D61F73">
        <w:rPr>
          <w:rFonts w:ascii="Arial" w:hAnsi="Arial" w:cs="Arial"/>
          <w:color w:val="auto"/>
        </w:rPr>
        <w:t xml:space="preserve"> such as early-life</w:t>
      </w:r>
      <w:r w:rsidR="00203B56" w:rsidRPr="0009210B">
        <w:rPr>
          <w:rFonts w:ascii="Arial" w:hAnsi="Arial" w:cs="Arial"/>
          <w:strike/>
          <w:color w:val="auto"/>
        </w:rPr>
        <w:t xml:space="preserve"> pain </w:t>
      </w:r>
      <w:r w:rsidR="00203B56" w:rsidRPr="00D61F73">
        <w:rPr>
          <w:rFonts w:ascii="Arial" w:hAnsi="Arial" w:cs="Arial"/>
          <w:color w:val="auto"/>
        </w:rPr>
        <w:t>experiences with pain</w:t>
      </w:r>
      <w:r w:rsidRPr="00D61F73">
        <w:rPr>
          <w:rFonts w:ascii="Arial" w:hAnsi="Arial" w:cs="Arial"/>
          <w:color w:val="auto"/>
        </w:rPr>
        <w:t>.</w:t>
      </w:r>
      <w:r w:rsidR="00B930AF" w:rsidRPr="00D61F73">
        <w:rPr>
          <w:rFonts w:ascii="Arial" w:hAnsi="Arial" w:cs="Arial"/>
          <w:color w:val="auto"/>
        </w:rPr>
        <w:t xml:space="preserve"> (</w:t>
      </w:r>
      <w:hyperlink w:anchor="Kim2004" w:history="1">
        <w:r w:rsidR="00B930AF" w:rsidRPr="00D61F73">
          <w:rPr>
            <w:rStyle w:val="Hyperlink"/>
            <w:rFonts w:ascii="Arial" w:hAnsi="Arial" w:cs="Arial"/>
          </w:rPr>
          <w:t>Kim, 2004</w:t>
        </w:r>
      </w:hyperlink>
      <w:r w:rsidR="00B930AF" w:rsidRPr="00D61F73">
        <w:rPr>
          <w:rFonts w:ascii="Arial" w:hAnsi="Arial" w:cs="Arial"/>
          <w:color w:val="auto"/>
        </w:rPr>
        <w:t>)</w:t>
      </w:r>
    </w:p>
    <w:p w14:paraId="493BCDA1" w14:textId="77777777" w:rsidR="006249BF" w:rsidRPr="00D61F73" w:rsidRDefault="006249BF" w:rsidP="00D61F73">
      <w:pPr>
        <w:rPr>
          <w:rFonts w:ascii="Arial" w:hAnsi="Arial" w:cs="Arial"/>
          <w:color w:val="auto"/>
        </w:rPr>
      </w:pPr>
    </w:p>
    <w:p w14:paraId="164C7966" w14:textId="77777777" w:rsidR="006249BF" w:rsidRPr="00D61F73" w:rsidRDefault="006249BF" w:rsidP="00D61F73">
      <w:pPr>
        <w:jc w:val="both"/>
        <w:rPr>
          <w:rFonts w:ascii="Arial" w:hAnsi="Arial" w:cs="Arial"/>
          <w:color w:val="auto"/>
        </w:rPr>
      </w:pPr>
      <w:r w:rsidRPr="00D61F73">
        <w:rPr>
          <w:rFonts w:ascii="Arial" w:hAnsi="Arial" w:cs="Arial"/>
          <w:color w:val="auto"/>
        </w:rPr>
        <w:lastRenderedPageBreak/>
        <w:t>Chronic pain is often associated with an overall reduction in the patient’s quality of life</w:t>
      </w:r>
      <w:r w:rsidR="00203B56" w:rsidRPr="00D61F73">
        <w:rPr>
          <w:rFonts w:ascii="Arial" w:hAnsi="Arial" w:cs="Arial"/>
          <w:color w:val="auto"/>
        </w:rPr>
        <w:t xml:space="preserve"> which may lead </w:t>
      </w:r>
      <w:r w:rsidR="00693EB0" w:rsidRPr="00D61F73">
        <w:rPr>
          <w:rFonts w:ascii="Arial" w:hAnsi="Arial" w:cs="Arial"/>
          <w:color w:val="auto"/>
        </w:rPr>
        <w:t>to depression</w:t>
      </w:r>
      <w:r w:rsidRPr="00D61F73">
        <w:rPr>
          <w:rFonts w:ascii="Arial" w:hAnsi="Arial" w:cs="Arial"/>
          <w:color w:val="auto"/>
        </w:rPr>
        <w:t>, anxiety, impaired social and physical function, and sleep disturbance.  Moreover, there appears to be relative independence between pain and these co-existing stressors. Therefore, to capture the pain experience, it is necessary to also define and characterize these related domains. (</w:t>
      </w:r>
      <w:hyperlink w:anchor="Malhotra2012" w:history="1">
        <w:r w:rsidRPr="00D61F73">
          <w:rPr>
            <w:rStyle w:val="Hyperlink"/>
            <w:rFonts w:ascii="Arial" w:hAnsi="Arial" w:cs="Arial"/>
          </w:rPr>
          <w:t>Malhotra</w:t>
        </w:r>
        <w:r w:rsidR="004C56B8" w:rsidRPr="00D61F73">
          <w:rPr>
            <w:rStyle w:val="Hyperlink"/>
            <w:rFonts w:ascii="Arial" w:hAnsi="Arial" w:cs="Arial"/>
          </w:rPr>
          <w:t>,</w:t>
        </w:r>
        <w:r w:rsidRPr="00D61F73">
          <w:rPr>
            <w:rStyle w:val="Hyperlink"/>
            <w:rFonts w:ascii="Arial" w:hAnsi="Arial" w:cs="Arial"/>
          </w:rPr>
          <w:t xml:space="preserve"> 201</w:t>
        </w:r>
        <w:r w:rsidR="00753323" w:rsidRPr="00D61F73">
          <w:rPr>
            <w:rStyle w:val="Hyperlink"/>
            <w:rFonts w:ascii="Arial" w:hAnsi="Arial" w:cs="Arial"/>
          </w:rPr>
          <w:t>2</w:t>
        </w:r>
      </w:hyperlink>
      <w:r w:rsidRPr="00D61F73">
        <w:rPr>
          <w:rFonts w:ascii="Arial" w:hAnsi="Arial" w:cs="Arial"/>
          <w:color w:val="auto"/>
        </w:rPr>
        <w:t>) In addition, it is essential to understand the extent to which pain impedes function</w:t>
      </w:r>
      <w:r w:rsidR="00203B56" w:rsidRPr="00D61F73">
        <w:rPr>
          <w:rFonts w:ascii="Arial" w:hAnsi="Arial" w:cs="Arial"/>
          <w:color w:val="auto"/>
        </w:rPr>
        <w:t>.</w:t>
      </w:r>
      <w:r w:rsidRPr="00D61F73">
        <w:rPr>
          <w:rFonts w:ascii="Arial" w:hAnsi="Arial" w:cs="Arial"/>
          <w:color w:val="auto"/>
        </w:rPr>
        <w:t xml:space="preserve"> </w:t>
      </w:r>
      <w:r w:rsidR="00E7740A" w:rsidRPr="00D61F73">
        <w:rPr>
          <w:rFonts w:ascii="Arial" w:hAnsi="Arial" w:cs="Arial"/>
          <w:color w:val="auto"/>
        </w:rPr>
        <w:t>(</w:t>
      </w:r>
      <w:hyperlink w:anchor="AMA2001" w:history="1">
        <w:r w:rsidR="00E7740A" w:rsidRPr="00D61F73">
          <w:rPr>
            <w:rStyle w:val="Hyperlink"/>
            <w:rFonts w:ascii="Arial" w:hAnsi="Arial" w:cs="Arial"/>
          </w:rPr>
          <w:t>AMA, 2001</w:t>
        </w:r>
      </w:hyperlink>
      <w:r w:rsidR="00E7740A" w:rsidRPr="00D61F73">
        <w:rPr>
          <w:rFonts w:ascii="Arial" w:hAnsi="Arial" w:cs="Arial"/>
          <w:color w:val="auto"/>
        </w:rPr>
        <w:t xml:space="preserve">) </w:t>
      </w:r>
    </w:p>
    <w:p w14:paraId="0EDA04B7" w14:textId="77777777" w:rsidR="006249BF" w:rsidRPr="00D61F73" w:rsidRDefault="006249BF" w:rsidP="00D61F73">
      <w:pPr>
        <w:tabs>
          <w:tab w:val="left" w:pos="8597"/>
        </w:tabs>
        <w:jc w:val="both"/>
        <w:rPr>
          <w:rFonts w:ascii="Arial" w:hAnsi="Arial" w:cs="Arial"/>
          <w:color w:val="auto"/>
        </w:rPr>
      </w:pPr>
      <w:r w:rsidRPr="00D61F73">
        <w:rPr>
          <w:rFonts w:ascii="Arial" w:hAnsi="Arial" w:cs="Arial"/>
          <w:color w:val="auto"/>
        </w:rPr>
        <w:tab/>
      </w:r>
    </w:p>
    <w:p w14:paraId="5CF39EF8" w14:textId="77777777" w:rsidR="006249BF" w:rsidRPr="00D61F73" w:rsidRDefault="006249BF" w:rsidP="00D61F73">
      <w:pPr>
        <w:jc w:val="both"/>
        <w:rPr>
          <w:rFonts w:ascii="Arial" w:hAnsi="Arial" w:cs="Arial"/>
          <w:color w:val="auto"/>
          <w:u w:val="double"/>
        </w:rPr>
      </w:pPr>
      <w:r w:rsidRPr="00D61F73">
        <w:rPr>
          <w:rFonts w:ascii="Arial" w:hAnsi="Arial" w:cs="Arial"/>
          <w:color w:val="auto"/>
        </w:rPr>
        <w:t>The physician treating</w:t>
      </w:r>
      <w:r w:rsidR="00203B56" w:rsidRPr="00D61F73">
        <w:rPr>
          <w:rFonts w:ascii="Arial" w:hAnsi="Arial" w:cs="Arial"/>
          <w:color w:val="auto"/>
        </w:rPr>
        <w:t xml:space="preserve"> patients</w:t>
      </w:r>
      <w:r w:rsidRPr="00D61F73">
        <w:rPr>
          <w:rFonts w:ascii="Arial" w:hAnsi="Arial" w:cs="Arial"/>
          <w:color w:val="auto"/>
        </w:rPr>
        <w:t xml:space="preserve"> in the workers’ compensation system must be aware that just because an injured worker has reached a permanent and stationary status or maximal medical improvement does not mean that </w:t>
      </w:r>
      <w:r w:rsidR="00BA6340" w:rsidRPr="00D61F73">
        <w:rPr>
          <w:rFonts w:ascii="Arial" w:hAnsi="Arial" w:cs="Arial"/>
          <w:color w:val="auto"/>
        </w:rPr>
        <w:t xml:space="preserve">the patient is </w:t>
      </w:r>
      <w:r w:rsidRPr="00D61F73">
        <w:rPr>
          <w:rFonts w:ascii="Arial" w:hAnsi="Arial" w:cs="Arial"/>
          <w:color w:val="auto"/>
        </w:rPr>
        <w:t xml:space="preserve">no longer entitled to future medical care. The physician should periodically review the </w:t>
      </w:r>
      <w:r w:rsidR="00203B56" w:rsidRPr="00D61F73">
        <w:rPr>
          <w:rFonts w:ascii="Arial" w:hAnsi="Arial" w:cs="Arial"/>
          <w:color w:val="auto"/>
        </w:rPr>
        <w:t xml:space="preserve">patient’s </w:t>
      </w:r>
      <w:r w:rsidRPr="00D61F73">
        <w:rPr>
          <w:rFonts w:ascii="Arial" w:hAnsi="Arial" w:cs="Arial"/>
          <w:color w:val="auto"/>
        </w:rPr>
        <w:t xml:space="preserve">course of treatment and any new information about the etiology of the pain or the patient's state of health. Continuation or modification of pain management depends on the physician’s evaluation of </w:t>
      </w:r>
      <w:r w:rsidR="00203B56" w:rsidRPr="00D61F73">
        <w:rPr>
          <w:rFonts w:ascii="Arial" w:hAnsi="Arial" w:cs="Arial"/>
          <w:color w:val="auto"/>
        </w:rPr>
        <w:t xml:space="preserve">the patient’s </w:t>
      </w:r>
      <w:r w:rsidRPr="00D61F73">
        <w:rPr>
          <w:rFonts w:ascii="Arial" w:hAnsi="Arial" w:cs="Arial"/>
          <w:color w:val="auto"/>
        </w:rPr>
        <w:t xml:space="preserve">progress toward treatment objectives. </w:t>
      </w:r>
      <w:r w:rsidR="00693EB0" w:rsidRPr="00D61F73">
        <w:rPr>
          <w:rFonts w:ascii="Arial" w:hAnsi="Arial" w:cs="Arial"/>
          <w:color w:val="auto"/>
        </w:rPr>
        <w:t>If it</w:t>
      </w:r>
      <w:r w:rsidR="00203B56" w:rsidRPr="00D61F73">
        <w:rPr>
          <w:rFonts w:ascii="Arial" w:hAnsi="Arial" w:cs="Arial"/>
          <w:color w:val="auto"/>
        </w:rPr>
        <w:t xml:space="preserve"> </w:t>
      </w:r>
      <w:r w:rsidRPr="00D61F73">
        <w:rPr>
          <w:rFonts w:ascii="Arial" w:hAnsi="Arial" w:cs="Arial"/>
          <w:color w:val="auto"/>
        </w:rPr>
        <w:t xml:space="preserve">is unsatisfactory, the physician should assess </w:t>
      </w:r>
      <w:r w:rsidR="00203B56" w:rsidRPr="00D61F73">
        <w:rPr>
          <w:rFonts w:ascii="Arial" w:hAnsi="Arial" w:cs="Arial"/>
          <w:color w:val="auto"/>
        </w:rPr>
        <w:t xml:space="preserve">how </w:t>
      </w:r>
      <w:r w:rsidRPr="00D61F73">
        <w:rPr>
          <w:rFonts w:ascii="Arial" w:hAnsi="Arial" w:cs="Arial"/>
          <w:color w:val="auto"/>
        </w:rPr>
        <w:t>appropriate</w:t>
      </w:r>
      <w:r w:rsidR="00203B56" w:rsidRPr="00D61F73">
        <w:rPr>
          <w:rFonts w:ascii="Arial" w:hAnsi="Arial" w:cs="Arial"/>
          <w:color w:val="auto"/>
        </w:rPr>
        <w:t xml:space="preserve"> it is to </w:t>
      </w:r>
      <w:r w:rsidRPr="00D61F73">
        <w:rPr>
          <w:rFonts w:ascii="Arial" w:hAnsi="Arial" w:cs="Arial"/>
          <w:color w:val="auto"/>
        </w:rPr>
        <w:t xml:space="preserve">continue </w:t>
      </w:r>
      <w:r w:rsidR="00D17CF9" w:rsidRPr="00D61F73">
        <w:rPr>
          <w:rFonts w:ascii="Arial" w:hAnsi="Arial" w:cs="Arial"/>
          <w:color w:val="auto"/>
        </w:rPr>
        <w:t xml:space="preserve">the </w:t>
      </w:r>
      <w:r w:rsidRPr="00D61F73">
        <w:rPr>
          <w:rFonts w:ascii="Arial" w:hAnsi="Arial" w:cs="Arial"/>
          <w:color w:val="auto"/>
        </w:rPr>
        <w:t xml:space="preserve">current treatment plan </w:t>
      </w:r>
      <w:r w:rsidR="00D17CF9" w:rsidRPr="00D61F73">
        <w:rPr>
          <w:rFonts w:ascii="Arial" w:hAnsi="Arial" w:cs="Arial"/>
          <w:color w:val="auto"/>
        </w:rPr>
        <w:t>and whether to</w:t>
      </w:r>
      <w:r w:rsidRPr="00D61F73">
        <w:rPr>
          <w:rFonts w:ascii="Arial" w:hAnsi="Arial" w:cs="Arial"/>
          <w:color w:val="auto"/>
        </w:rPr>
        <w:t xml:space="preserve"> consider other therapeutic modalities. </w:t>
      </w:r>
      <w:r w:rsidR="00D17CF9" w:rsidRPr="00D61F73">
        <w:rPr>
          <w:rFonts w:ascii="Arial" w:hAnsi="Arial" w:cs="Arial"/>
          <w:color w:val="auto"/>
        </w:rPr>
        <w:t xml:space="preserve">If the patient taking </w:t>
      </w:r>
      <w:r w:rsidR="004B5590" w:rsidRPr="00D61F73">
        <w:rPr>
          <w:rFonts w:ascii="Arial" w:hAnsi="Arial" w:cs="Arial"/>
          <w:color w:val="auto"/>
        </w:rPr>
        <w:t xml:space="preserve">controlled substances to treat chronic pain </w:t>
      </w:r>
      <w:r w:rsidR="00D17CF9" w:rsidRPr="00D61F73">
        <w:rPr>
          <w:rFonts w:ascii="Arial" w:hAnsi="Arial" w:cs="Arial"/>
          <w:color w:val="auto"/>
        </w:rPr>
        <w:t xml:space="preserve">experiences </w:t>
      </w:r>
      <w:r w:rsidRPr="00D61F73">
        <w:rPr>
          <w:rFonts w:ascii="Arial" w:hAnsi="Arial" w:cs="Arial"/>
          <w:color w:val="auto"/>
        </w:rPr>
        <w:t>decreased pain</w:t>
      </w:r>
      <w:r w:rsidR="004B5590" w:rsidRPr="00D61F73">
        <w:rPr>
          <w:rFonts w:ascii="Arial" w:hAnsi="Arial" w:cs="Arial"/>
          <w:color w:val="auto"/>
        </w:rPr>
        <w:t xml:space="preserve"> and </w:t>
      </w:r>
      <w:r w:rsidR="00D17CF9" w:rsidRPr="00D61F73">
        <w:rPr>
          <w:rFonts w:ascii="Arial" w:hAnsi="Arial" w:cs="Arial"/>
          <w:color w:val="auto"/>
        </w:rPr>
        <w:t xml:space="preserve">can demonstrate </w:t>
      </w:r>
      <w:r w:rsidRPr="00D61F73">
        <w:rPr>
          <w:rFonts w:ascii="Arial" w:hAnsi="Arial" w:cs="Arial"/>
          <w:color w:val="auto"/>
        </w:rPr>
        <w:t>increased level of function or improved quality of life</w:t>
      </w:r>
      <w:r w:rsidR="00D17CF9" w:rsidRPr="00D61F73">
        <w:rPr>
          <w:rFonts w:ascii="Arial" w:hAnsi="Arial" w:cs="Arial"/>
          <w:color w:val="auto"/>
        </w:rPr>
        <w:t>, then the treatment</w:t>
      </w:r>
      <w:r w:rsidR="004B5590" w:rsidRPr="00D61F73">
        <w:rPr>
          <w:rFonts w:ascii="Arial" w:hAnsi="Arial" w:cs="Arial"/>
          <w:color w:val="auto"/>
        </w:rPr>
        <w:t xml:space="preserve"> has had a satisfactory outcome</w:t>
      </w:r>
      <w:r w:rsidR="00D17CF9" w:rsidRPr="00D61F73">
        <w:rPr>
          <w:rFonts w:ascii="Arial" w:hAnsi="Arial" w:cs="Arial"/>
          <w:color w:val="auto"/>
        </w:rPr>
        <w:t xml:space="preserve">.  </w:t>
      </w:r>
    </w:p>
    <w:p w14:paraId="09267CAB" w14:textId="77777777" w:rsidR="006249BF" w:rsidRPr="00D61F73" w:rsidRDefault="006249BF" w:rsidP="00D61F73">
      <w:pPr>
        <w:jc w:val="both"/>
        <w:rPr>
          <w:rFonts w:ascii="Arial" w:hAnsi="Arial" w:cs="Arial"/>
          <w:color w:val="auto"/>
        </w:rPr>
      </w:pPr>
    </w:p>
    <w:p w14:paraId="2489672B" w14:textId="77777777" w:rsidR="006249BF" w:rsidRPr="00D61F73" w:rsidRDefault="006249BF" w:rsidP="00D61F73">
      <w:pPr>
        <w:contextualSpacing/>
        <w:jc w:val="both"/>
        <w:outlineLvl w:val="0"/>
        <w:rPr>
          <w:rFonts w:ascii="Arial" w:hAnsi="Arial" w:cs="Arial"/>
          <w:bCs/>
          <w:color w:val="auto"/>
        </w:rPr>
      </w:pPr>
      <w:r w:rsidRPr="00D61F73">
        <w:rPr>
          <w:rFonts w:ascii="Arial" w:hAnsi="Arial" w:cs="Arial"/>
          <w:bCs/>
          <w:color w:val="auto"/>
        </w:rPr>
        <w:t xml:space="preserve">Additionally, fluctuations are likely to occur in the natural history of patients with chronic pain. </w:t>
      </w:r>
      <w:r w:rsidR="00D17CF9" w:rsidRPr="00D61F73">
        <w:rPr>
          <w:rFonts w:ascii="Arial" w:hAnsi="Arial" w:cs="Arial"/>
          <w:bCs/>
          <w:color w:val="auto"/>
        </w:rPr>
        <w:t>If e</w:t>
      </w:r>
      <w:r w:rsidRPr="00D61F73">
        <w:rPr>
          <w:rFonts w:ascii="Arial" w:hAnsi="Arial" w:cs="Arial"/>
          <w:bCs/>
          <w:color w:val="auto"/>
        </w:rPr>
        <w:t>xacerbations and “breakthrough” pain occur during the chronic clinical course</w:t>
      </w:r>
      <w:r w:rsidR="00D17CF9" w:rsidRPr="00D61F73">
        <w:rPr>
          <w:rFonts w:ascii="Arial" w:hAnsi="Arial" w:cs="Arial"/>
          <w:bCs/>
          <w:color w:val="auto"/>
        </w:rPr>
        <w:t xml:space="preserve">, </w:t>
      </w:r>
      <w:r w:rsidRPr="00D61F73">
        <w:rPr>
          <w:rFonts w:ascii="Arial" w:hAnsi="Arial" w:cs="Arial"/>
          <w:bCs/>
          <w:color w:val="auto"/>
        </w:rPr>
        <w:t>adjustments to the treatment will be necessary.</w:t>
      </w:r>
    </w:p>
    <w:p w14:paraId="46479531" w14:textId="77777777" w:rsidR="00D36C35" w:rsidRPr="00D61F73" w:rsidRDefault="00D36C35" w:rsidP="00D61F73">
      <w:pPr>
        <w:contextualSpacing/>
        <w:jc w:val="both"/>
        <w:outlineLvl w:val="0"/>
        <w:rPr>
          <w:rFonts w:ascii="Arial" w:hAnsi="Arial" w:cs="Arial"/>
          <w:b/>
          <w:bCs/>
          <w:color w:val="auto"/>
        </w:rPr>
      </w:pPr>
    </w:p>
    <w:p w14:paraId="433357F6" w14:textId="77777777" w:rsidR="006249BF" w:rsidRPr="00D61F73" w:rsidRDefault="006249BF" w:rsidP="00D61F73">
      <w:pPr>
        <w:contextualSpacing/>
        <w:jc w:val="both"/>
        <w:outlineLvl w:val="0"/>
        <w:rPr>
          <w:rFonts w:ascii="Arial" w:hAnsi="Arial" w:cs="Arial"/>
          <w:b/>
          <w:bCs/>
          <w:color w:val="auto"/>
          <w:sz w:val="28"/>
          <w:szCs w:val="28"/>
        </w:rPr>
      </w:pPr>
      <w:r w:rsidRPr="00D61F73">
        <w:rPr>
          <w:rFonts w:ascii="Arial" w:hAnsi="Arial" w:cs="Arial"/>
          <w:b/>
          <w:bCs/>
          <w:color w:val="auto"/>
          <w:sz w:val="28"/>
          <w:szCs w:val="28"/>
        </w:rPr>
        <w:t>Conclusion</w:t>
      </w:r>
    </w:p>
    <w:p w14:paraId="23C24612" w14:textId="77777777" w:rsidR="006249BF" w:rsidRPr="00D61F73" w:rsidRDefault="006249BF" w:rsidP="00D61F73">
      <w:pPr>
        <w:jc w:val="both"/>
        <w:rPr>
          <w:rFonts w:ascii="Arial" w:hAnsi="Arial" w:cs="Arial"/>
          <w:color w:val="auto"/>
        </w:rPr>
      </w:pPr>
    </w:p>
    <w:p w14:paraId="6F06E1E0" w14:textId="77777777" w:rsidR="006249BF" w:rsidRPr="00D61F73" w:rsidRDefault="006249BF" w:rsidP="00D61F73">
      <w:pPr>
        <w:jc w:val="both"/>
        <w:rPr>
          <w:rFonts w:ascii="Arial" w:hAnsi="Arial" w:cs="Arial"/>
          <w:color w:val="auto"/>
        </w:rPr>
      </w:pPr>
      <w:r w:rsidRPr="00D61F73">
        <w:rPr>
          <w:rFonts w:ascii="Arial" w:hAnsi="Arial" w:cs="Arial"/>
          <w:color w:val="auto"/>
        </w:rPr>
        <w:t xml:space="preserve">Chronic pain affects approximately 100 million </w:t>
      </w:r>
      <w:r w:rsidR="00693EB0" w:rsidRPr="00D61F73">
        <w:rPr>
          <w:rFonts w:ascii="Arial" w:hAnsi="Arial" w:cs="Arial"/>
          <w:color w:val="auto"/>
        </w:rPr>
        <w:t>adults</w:t>
      </w:r>
      <w:r w:rsidR="00D17CF9" w:rsidRPr="00D61F73">
        <w:rPr>
          <w:rFonts w:ascii="Arial" w:hAnsi="Arial" w:cs="Arial"/>
          <w:color w:val="auto"/>
        </w:rPr>
        <w:t xml:space="preserve"> in the U.S., </w:t>
      </w:r>
      <w:r w:rsidRPr="00D61F73">
        <w:rPr>
          <w:rFonts w:ascii="Arial" w:hAnsi="Arial" w:cs="Arial"/>
          <w:color w:val="auto"/>
        </w:rPr>
        <w:t xml:space="preserve">with a national economic cost exceeding half a trillion dollars per year. Pain is a uniquely individual and subjective experience. Further, while pain can be a symptom of another condition, when it becomes persistent, it can become a disease in its own right, one that is associated with structural and functional changes of the peripheral and central nervous system. These changes can lead to the generation and maintenance of chronic pain conditions, with associated disability. While biologic mechanisms play a role in the perception of pain, it is important to recognize that psychological and environmental factors play an important role as well. Recognition of these factors will allow the physician to better (1) treat the recently injured patient, (2) identify the “at risk” patient, and (3) refer the patient with intractable chronic pain to the appropriate resources. A full assessment of the patient is required to determine the best approach in </w:t>
      </w:r>
      <w:r w:rsidR="00D17CF9" w:rsidRPr="00D61F73">
        <w:rPr>
          <w:rFonts w:ascii="Arial" w:hAnsi="Arial" w:cs="Arial"/>
          <w:color w:val="auto"/>
        </w:rPr>
        <w:t xml:space="preserve">each </w:t>
      </w:r>
      <w:r w:rsidRPr="00D61F73">
        <w:rPr>
          <w:rFonts w:ascii="Arial" w:hAnsi="Arial" w:cs="Arial"/>
          <w:color w:val="auto"/>
        </w:rPr>
        <w:t>case.</w:t>
      </w:r>
    </w:p>
    <w:p w14:paraId="76143732" w14:textId="77777777" w:rsidR="006249BF" w:rsidRPr="00D61F73" w:rsidRDefault="006249BF" w:rsidP="00D61F73">
      <w:pPr>
        <w:jc w:val="both"/>
        <w:rPr>
          <w:rFonts w:ascii="Arial" w:hAnsi="Arial" w:cs="Arial"/>
          <w:color w:val="auto"/>
        </w:rPr>
      </w:pPr>
    </w:p>
    <w:p w14:paraId="00967DDE" w14:textId="77777777" w:rsidR="0068172E" w:rsidRPr="00D61F73" w:rsidRDefault="006249BF" w:rsidP="00D61F73">
      <w:pPr>
        <w:jc w:val="both"/>
        <w:rPr>
          <w:rFonts w:ascii="Arial" w:hAnsi="Arial" w:cs="Arial"/>
          <w:color w:val="auto"/>
        </w:rPr>
      </w:pPr>
      <w:r w:rsidRPr="00D61F73">
        <w:rPr>
          <w:rFonts w:ascii="Arial" w:hAnsi="Arial" w:cs="Arial"/>
          <w:color w:val="auto"/>
        </w:rPr>
        <w:t xml:space="preserve">Therapy for chronic pain ranges from single modality approaches for the straightforward case to comprehensive interdisciplinary functional restoration care for the more challenging case. Therapeutic components such as pharmacologic, interventional, psychological, and physical approaches have been found to be most effective when performed in an integrated manner. All therapies should </w:t>
      </w:r>
      <w:r w:rsidR="00D17CF9" w:rsidRPr="00D61F73">
        <w:rPr>
          <w:rFonts w:ascii="Arial" w:hAnsi="Arial" w:cs="Arial"/>
          <w:color w:val="auto"/>
        </w:rPr>
        <w:t xml:space="preserve">aim to restore </w:t>
      </w:r>
      <w:r w:rsidRPr="00D61F73">
        <w:rPr>
          <w:rFonts w:ascii="Arial" w:hAnsi="Arial" w:cs="Arial"/>
          <w:color w:val="auto"/>
        </w:rPr>
        <w:t>function rather than merely eliminat</w:t>
      </w:r>
      <w:r w:rsidR="00D17CF9" w:rsidRPr="00D61F73">
        <w:rPr>
          <w:rFonts w:ascii="Arial" w:hAnsi="Arial" w:cs="Arial"/>
          <w:color w:val="auto"/>
        </w:rPr>
        <w:t>e</w:t>
      </w:r>
      <w:r w:rsidRPr="00D61F73">
        <w:rPr>
          <w:rFonts w:ascii="Arial" w:hAnsi="Arial" w:cs="Arial"/>
          <w:color w:val="auto"/>
        </w:rPr>
        <w:t xml:space="preserve"> pain, and </w:t>
      </w:r>
      <w:r w:rsidR="004B5590" w:rsidRPr="00D61F73">
        <w:rPr>
          <w:rFonts w:ascii="Arial" w:hAnsi="Arial" w:cs="Arial"/>
          <w:color w:val="auto"/>
        </w:rPr>
        <w:t xml:space="preserve">demonstrated functional improvement is essential in </w:t>
      </w:r>
      <w:r w:rsidRPr="00D61F73">
        <w:rPr>
          <w:rFonts w:ascii="Arial" w:hAnsi="Arial" w:cs="Arial"/>
          <w:color w:val="auto"/>
        </w:rPr>
        <w:t>assess</w:t>
      </w:r>
      <w:r w:rsidR="004B5590" w:rsidRPr="00D61F73">
        <w:rPr>
          <w:rFonts w:ascii="Arial" w:hAnsi="Arial" w:cs="Arial"/>
          <w:color w:val="auto"/>
        </w:rPr>
        <w:t xml:space="preserve">ing </w:t>
      </w:r>
      <w:r w:rsidRPr="00D61F73">
        <w:rPr>
          <w:rFonts w:ascii="Arial" w:hAnsi="Arial" w:cs="Arial"/>
          <w:color w:val="auto"/>
        </w:rPr>
        <w:t>treatment efficacy</w:t>
      </w:r>
      <w:r w:rsidR="004B5590" w:rsidRPr="00D61F73">
        <w:rPr>
          <w:rFonts w:ascii="Arial" w:hAnsi="Arial" w:cs="Arial"/>
          <w:color w:val="auto"/>
        </w:rPr>
        <w:t xml:space="preserve">. </w:t>
      </w:r>
      <w:r w:rsidRPr="00D61F73">
        <w:rPr>
          <w:rFonts w:ascii="Arial" w:hAnsi="Arial" w:cs="Arial"/>
          <w:color w:val="auto"/>
        </w:rPr>
        <w:t>Typically, with increased function comes a perceived reduction in pain and increased perception of its control. These changes ultimately lead to an improvement in the patient’s quality of life</w:t>
      </w:r>
      <w:r w:rsidR="00D17CF9" w:rsidRPr="00D61F73">
        <w:rPr>
          <w:rFonts w:ascii="Arial" w:hAnsi="Arial" w:cs="Arial"/>
          <w:color w:val="auto"/>
        </w:rPr>
        <w:t>.</w:t>
      </w:r>
    </w:p>
    <w:p w14:paraId="0EFBD5B1" w14:textId="77777777" w:rsidR="00973B49" w:rsidRPr="00D61F73" w:rsidRDefault="00973B49" w:rsidP="00D61F73">
      <w:pPr>
        <w:jc w:val="both"/>
        <w:rPr>
          <w:rFonts w:ascii="Arial" w:hAnsi="Arial" w:cs="Arial"/>
          <w:color w:val="auto"/>
        </w:rPr>
      </w:pPr>
    </w:p>
    <w:p w14:paraId="33D48038" w14:textId="77777777" w:rsidR="006E5502" w:rsidRPr="00D61F73" w:rsidRDefault="006E5502" w:rsidP="00D61F73">
      <w:pPr>
        <w:jc w:val="both"/>
        <w:rPr>
          <w:rFonts w:ascii="Arial" w:hAnsi="Arial" w:cs="Arial"/>
          <w:color w:val="auto"/>
        </w:rPr>
      </w:pPr>
    </w:p>
    <w:p w14:paraId="52960D80" w14:textId="77777777" w:rsidR="001D178B" w:rsidRPr="00D61F73" w:rsidRDefault="001D178B" w:rsidP="00D61F73">
      <w:pPr>
        <w:jc w:val="both"/>
        <w:rPr>
          <w:rFonts w:ascii="Arial" w:hAnsi="Arial" w:cs="Arial"/>
          <w:color w:val="auto"/>
        </w:rPr>
      </w:pPr>
    </w:p>
    <w:p w14:paraId="41B128E6" w14:textId="134768F7" w:rsidR="00687307" w:rsidRDefault="00687307">
      <w:pPr>
        <w:rPr>
          <w:rFonts w:ascii="Arial" w:hAnsi="Arial" w:cs="Arial"/>
          <w:color w:val="auto"/>
        </w:rPr>
      </w:pPr>
      <w:r>
        <w:rPr>
          <w:rFonts w:ascii="Arial" w:hAnsi="Arial" w:cs="Arial"/>
          <w:color w:val="auto"/>
        </w:rPr>
        <w:br w:type="page"/>
      </w:r>
    </w:p>
    <w:p w14:paraId="35929563" w14:textId="77777777" w:rsidR="001D178B" w:rsidRPr="00D61F73" w:rsidRDefault="001D178B" w:rsidP="00D61F73">
      <w:pPr>
        <w:jc w:val="both"/>
        <w:rPr>
          <w:rFonts w:ascii="Arial" w:hAnsi="Arial" w:cs="Arial"/>
          <w:color w:val="auto"/>
        </w:rPr>
      </w:pPr>
    </w:p>
    <w:p w14:paraId="2C1E90D8" w14:textId="2A251CCA" w:rsidR="00C71892" w:rsidRPr="00D61F73" w:rsidRDefault="006249BF" w:rsidP="00D61F73">
      <w:pPr>
        <w:jc w:val="both"/>
        <w:rPr>
          <w:rFonts w:ascii="Arial" w:hAnsi="Arial" w:cs="Arial"/>
          <w:color w:val="auto"/>
          <w:sz w:val="28"/>
          <w:szCs w:val="28"/>
        </w:rPr>
      </w:pPr>
      <w:bookmarkStart w:id="8" w:name="Introrefs"/>
      <w:bookmarkEnd w:id="8"/>
      <w:r w:rsidRPr="00D61F73">
        <w:rPr>
          <w:rFonts w:ascii="Arial" w:hAnsi="Arial" w:cs="Arial"/>
          <w:b/>
          <w:bCs/>
          <w:color w:val="auto"/>
          <w:sz w:val="28"/>
          <w:szCs w:val="28"/>
        </w:rPr>
        <w:t>References</w:t>
      </w:r>
      <w:r w:rsidR="00E53EA7" w:rsidRPr="00D61F73">
        <w:rPr>
          <w:rFonts w:ascii="Arial" w:hAnsi="Arial" w:cs="Arial"/>
          <w:b/>
          <w:bCs/>
          <w:color w:val="auto"/>
          <w:sz w:val="28"/>
          <w:szCs w:val="28"/>
        </w:rPr>
        <w:t xml:space="preserve"> </w:t>
      </w:r>
      <w:r w:rsidR="00A44FAA" w:rsidRPr="00D61F73">
        <w:rPr>
          <w:rFonts w:ascii="Arial" w:hAnsi="Arial" w:cs="Arial"/>
          <w:b/>
          <w:bCs/>
          <w:color w:val="auto"/>
          <w:sz w:val="28"/>
          <w:szCs w:val="28"/>
        </w:rPr>
        <w:t>for Introduction</w:t>
      </w:r>
    </w:p>
    <w:p w14:paraId="2BA77CC5" w14:textId="77777777" w:rsidR="00E561B0" w:rsidRPr="00D61F73" w:rsidRDefault="00E561B0" w:rsidP="00D61F73">
      <w:pPr>
        <w:contextualSpacing/>
        <w:jc w:val="both"/>
        <w:outlineLvl w:val="0"/>
        <w:rPr>
          <w:rFonts w:ascii="Arial" w:hAnsi="Arial" w:cs="Arial"/>
          <w:color w:val="auto"/>
        </w:rPr>
      </w:pPr>
    </w:p>
    <w:p w14:paraId="536A6449" w14:textId="77777777" w:rsidR="006249BF" w:rsidRPr="00D61F73" w:rsidRDefault="006249BF" w:rsidP="00D61F73">
      <w:pPr>
        <w:spacing w:after="200"/>
        <w:rPr>
          <w:rFonts w:ascii="Arial" w:hAnsi="Arial" w:cs="Arial"/>
          <w:color w:val="auto"/>
        </w:rPr>
      </w:pPr>
      <w:bookmarkStart w:id="9" w:name="ACOEMPractice"/>
      <w:bookmarkEnd w:id="9"/>
      <w:r w:rsidRPr="00D61F73">
        <w:rPr>
          <w:rFonts w:ascii="Arial" w:hAnsi="Arial" w:cs="Arial"/>
          <w:i/>
          <w:color w:val="auto"/>
        </w:rPr>
        <w:t>ACOEM Occupational Medicine Practice Guidelines</w:t>
      </w:r>
      <w:r w:rsidRPr="00D61F73">
        <w:rPr>
          <w:rFonts w:ascii="Arial" w:hAnsi="Arial" w:cs="Arial"/>
          <w:color w:val="auto"/>
        </w:rPr>
        <w:t xml:space="preserve">-part of Reed Group® DisabilityGuidelines™. Copyright 2008-2014 Reed Group, Ltd., </w:t>
      </w:r>
      <w:hyperlink r:id="rId20" w:history="1">
        <w:r w:rsidRPr="00D61F73">
          <w:rPr>
            <w:rFonts w:ascii="Arial" w:hAnsi="Arial" w:cs="Arial"/>
            <w:color w:val="0000FF"/>
            <w:u w:val="single"/>
          </w:rPr>
          <w:t>www.DisabilityGuidelines.com</w:t>
        </w:r>
      </w:hyperlink>
      <w:r w:rsidRPr="00D61F73">
        <w:rPr>
          <w:rFonts w:ascii="Arial" w:hAnsi="Arial" w:cs="Arial"/>
          <w:color w:val="auto"/>
        </w:rPr>
        <w:t>.  All rights reserved.</w:t>
      </w:r>
    </w:p>
    <w:p w14:paraId="339632BD" w14:textId="77777777" w:rsidR="006249BF" w:rsidRDefault="006249BF" w:rsidP="00D61F73">
      <w:pPr>
        <w:spacing w:after="200"/>
        <w:jc w:val="both"/>
        <w:rPr>
          <w:rFonts w:ascii="Arial" w:hAnsi="Arial" w:cs="Arial"/>
          <w:color w:val="auto"/>
        </w:rPr>
      </w:pPr>
      <w:bookmarkStart w:id="10" w:name="AMA2001"/>
      <w:bookmarkEnd w:id="10"/>
      <w:r w:rsidRPr="00D61F73">
        <w:rPr>
          <w:rFonts w:ascii="Arial" w:hAnsi="Arial" w:cs="Arial"/>
          <w:color w:val="auto"/>
        </w:rPr>
        <w:t xml:space="preserve">American Medical Association (AMA). </w:t>
      </w:r>
      <w:r w:rsidRPr="00D61F73">
        <w:rPr>
          <w:rFonts w:ascii="Arial" w:hAnsi="Arial" w:cs="Arial"/>
          <w:i/>
          <w:color w:val="auto"/>
        </w:rPr>
        <w:t>Guides to the Evaluation of Permanent Impairment</w:t>
      </w:r>
      <w:r w:rsidR="009934A1" w:rsidRPr="00D61F73">
        <w:rPr>
          <w:rFonts w:ascii="Arial" w:hAnsi="Arial" w:cs="Arial"/>
          <w:i/>
          <w:color w:val="auto"/>
        </w:rPr>
        <w:t xml:space="preserve">. </w:t>
      </w:r>
      <w:r w:rsidRPr="00D61F73">
        <w:rPr>
          <w:rFonts w:ascii="Arial" w:hAnsi="Arial" w:cs="Arial"/>
          <w:color w:val="auto"/>
        </w:rPr>
        <w:t>Fifth Edition. 2001:566, 578.</w:t>
      </w:r>
    </w:p>
    <w:p w14:paraId="1E81CFDE" w14:textId="36139AA1" w:rsidR="00C651B5" w:rsidRPr="00D61F73" w:rsidRDefault="00C651B5" w:rsidP="00D61F73">
      <w:pPr>
        <w:spacing w:after="200"/>
        <w:jc w:val="both"/>
        <w:rPr>
          <w:rFonts w:ascii="Arial" w:hAnsi="Arial" w:cs="Arial"/>
          <w:color w:val="auto"/>
        </w:rPr>
      </w:pPr>
      <w:bookmarkStart w:id="11" w:name="Backonja2001"/>
      <w:bookmarkEnd w:id="11"/>
      <w:r w:rsidRPr="00C651B5">
        <w:rPr>
          <w:rFonts w:ascii="Arial" w:hAnsi="Arial" w:cs="Arial"/>
          <w:color w:val="auto"/>
        </w:rPr>
        <w:t xml:space="preserve">Backonja M. Chapter 19: Painful Neuropathies, in Loeser JD. </w:t>
      </w:r>
      <w:r w:rsidRPr="00C651B5">
        <w:rPr>
          <w:rFonts w:ascii="Arial" w:hAnsi="Arial" w:cs="Arial"/>
          <w:i/>
          <w:color w:val="auto"/>
        </w:rPr>
        <w:t>Bonica's Management of Pain</w:t>
      </w:r>
      <w:r w:rsidRPr="00C651B5">
        <w:rPr>
          <w:rFonts w:ascii="Arial" w:hAnsi="Arial" w:cs="Arial"/>
          <w:color w:val="auto"/>
        </w:rPr>
        <w:t>. Lippincott Williams &amp; Wilkins, Philadelphia, 2001.</w:t>
      </w:r>
    </w:p>
    <w:bookmarkStart w:id="12" w:name="Barad2014"/>
    <w:bookmarkEnd w:id="12"/>
    <w:p w14:paraId="24255DEB" w14:textId="77777777" w:rsidR="006249BF" w:rsidRPr="00D61F73" w:rsidRDefault="006249BF" w:rsidP="00D61F73">
      <w:pPr>
        <w:shd w:val="clear" w:color="auto" w:fill="FFFFFF"/>
        <w:spacing w:after="200"/>
        <w:rPr>
          <w:rFonts w:ascii="Arial" w:hAnsi="Arial" w:cs="Arial"/>
          <w:color w:val="auto"/>
        </w:rPr>
      </w:pPr>
      <w:r w:rsidRPr="00D61F73">
        <w:rPr>
          <w:rFonts w:ascii="Arial" w:hAnsi="Arial" w:cs="Arial"/>
          <w:color w:val="auto"/>
        </w:rPr>
        <w:fldChar w:fldCharType="begin"/>
      </w:r>
      <w:r w:rsidRPr="00D61F73">
        <w:rPr>
          <w:rFonts w:ascii="Arial" w:hAnsi="Arial" w:cs="Arial"/>
          <w:color w:val="auto"/>
        </w:rPr>
        <w:instrText xml:space="preserve"> HYPERLINK "http://www.ncbi.nlm.nih.gov/pubmed?term=Barad%20MJ%5BAuthor%5D&amp;cauthor=true&amp;cauthor_uid=24212070" </w:instrText>
      </w:r>
      <w:r w:rsidRPr="00D61F73">
        <w:rPr>
          <w:rFonts w:ascii="Arial" w:hAnsi="Arial" w:cs="Arial"/>
          <w:color w:val="auto"/>
        </w:rPr>
        <w:fldChar w:fldCharType="separate"/>
      </w:r>
      <w:r w:rsidRPr="00D61F73">
        <w:rPr>
          <w:rFonts w:ascii="Arial" w:hAnsi="Arial" w:cs="Arial"/>
          <w:color w:val="auto"/>
        </w:rPr>
        <w:t>Barad MJ</w:t>
      </w:r>
      <w:r w:rsidRPr="00D61F73">
        <w:rPr>
          <w:rFonts w:ascii="Arial" w:hAnsi="Arial" w:cs="Arial"/>
          <w:color w:val="auto"/>
        </w:rPr>
        <w:fldChar w:fldCharType="end"/>
      </w:r>
      <w:r w:rsidRPr="00D61F73">
        <w:rPr>
          <w:rFonts w:ascii="Arial" w:hAnsi="Arial" w:cs="Arial"/>
          <w:color w:val="auto"/>
        </w:rPr>
        <w:t xml:space="preserve">, </w:t>
      </w:r>
      <w:hyperlink r:id="rId21" w:history="1">
        <w:r w:rsidRPr="00D61F73">
          <w:rPr>
            <w:rFonts w:ascii="Arial" w:hAnsi="Arial" w:cs="Arial"/>
            <w:color w:val="auto"/>
          </w:rPr>
          <w:t>Ueno T</w:t>
        </w:r>
      </w:hyperlink>
      <w:r w:rsidRPr="00D61F73">
        <w:rPr>
          <w:rFonts w:ascii="Arial" w:hAnsi="Arial" w:cs="Arial"/>
          <w:color w:val="auto"/>
        </w:rPr>
        <w:t xml:space="preserve">, </w:t>
      </w:r>
      <w:hyperlink r:id="rId22" w:history="1">
        <w:r w:rsidRPr="00D61F73">
          <w:rPr>
            <w:rFonts w:ascii="Arial" w:hAnsi="Arial" w:cs="Arial"/>
            <w:color w:val="auto"/>
          </w:rPr>
          <w:t>Younger J</w:t>
        </w:r>
      </w:hyperlink>
      <w:r w:rsidRPr="00D61F73">
        <w:rPr>
          <w:rFonts w:ascii="Arial" w:hAnsi="Arial" w:cs="Arial"/>
          <w:color w:val="auto"/>
        </w:rPr>
        <w:t xml:space="preserve">, </w:t>
      </w:r>
      <w:hyperlink r:id="rId23" w:history="1">
        <w:r w:rsidRPr="00D61F73">
          <w:rPr>
            <w:rFonts w:ascii="Arial" w:hAnsi="Arial" w:cs="Arial"/>
            <w:color w:val="auto"/>
          </w:rPr>
          <w:t>Chatterjee N</w:t>
        </w:r>
      </w:hyperlink>
      <w:r w:rsidRPr="00D61F73">
        <w:rPr>
          <w:rFonts w:ascii="Arial" w:hAnsi="Arial" w:cs="Arial"/>
          <w:color w:val="auto"/>
        </w:rPr>
        <w:t xml:space="preserve">, Mackey S. Complex regional pain syndrome is associated with structural abnormalities in pain-related regions of the human brain. </w:t>
      </w:r>
      <w:hyperlink r:id="rId24" w:tooltip="The journal of pain : official journal of the American Pain Society." w:history="1">
        <w:r w:rsidRPr="00D61F73">
          <w:rPr>
            <w:rFonts w:ascii="Arial" w:hAnsi="Arial" w:cs="Arial"/>
            <w:i/>
            <w:color w:val="auto"/>
          </w:rPr>
          <w:t>J Pain.</w:t>
        </w:r>
      </w:hyperlink>
      <w:r w:rsidRPr="00D61F73">
        <w:rPr>
          <w:rFonts w:ascii="Arial" w:hAnsi="Arial" w:cs="Arial"/>
          <w:color w:val="auto"/>
        </w:rPr>
        <w:t xml:space="preserve"> 2014</w:t>
      </w:r>
      <w:r w:rsidR="00C14CBC" w:rsidRPr="00D61F73">
        <w:rPr>
          <w:rFonts w:ascii="Arial" w:hAnsi="Arial" w:cs="Arial"/>
          <w:color w:val="auto"/>
        </w:rPr>
        <w:t>;</w:t>
      </w:r>
      <w:r w:rsidRPr="00D61F73">
        <w:rPr>
          <w:rFonts w:ascii="Arial" w:hAnsi="Arial" w:cs="Arial"/>
          <w:color w:val="auto"/>
        </w:rPr>
        <w:t xml:space="preserve">15:197-203. </w:t>
      </w:r>
    </w:p>
    <w:p w14:paraId="4890D15E" w14:textId="77777777" w:rsidR="006249BF" w:rsidRPr="00D61F73" w:rsidRDefault="006249BF" w:rsidP="00D61F73">
      <w:pPr>
        <w:rPr>
          <w:rFonts w:ascii="Arial" w:hAnsi="Arial" w:cs="Arial"/>
          <w:color w:val="auto"/>
        </w:rPr>
      </w:pPr>
      <w:bookmarkStart w:id="13" w:name="Costigan2009"/>
      <w:bookmarkEnd w:id="13"/>
      <w:r w:rsidRPr="00D61F73">
        <w:rPr>
          <w:rFonts w:ascii="Arial" w:hAnsi="Arial" w:cs="Arial"/>
          <w:color w:val="auto"/>
        </w:rPr>
        <w:t>Costigan M</w:t>
      </w:r>
      <w:r w:rsidR="00C14CBC" w:rsidRPr="00D61F73">
        <w:rPr>
          <w:rFonts w:ascii="Arial" w:hAnsi="Arial" w:cs="Arial"/>
          <w:color w:val="auto"/>
        </w:rPr>
        <w:t xml:space="preserve">J, </w:t>
      </w:r>
      <w:r w:rsidRPr="00D61F73">
        <w:rPr>
          <w:rFonts w:ascii="Arial" w:hAnsi="Arial" w:cs="Arial"/>
          <w:color w:val="auto"/>
        </w:rPr>
        <w:t>Scholz, Woolf</w:t>
      </w:r>
      <w:r w:rsidR="00C14CBC" w:rsidRPr="00D61F73">
        <w:rPr>
          <w:rFonts w:ascii="Arial" w:hAnsi="Arial" w:cs="Arial"/>
          <w:color w:val="auto"/>
        </w:rPr>
        <w:t xml:space="preserve"> CJ.</w:t>
      </w:r>
      <w:r w:rsidRPr="00D61F73">
        <w:rPr>
          <w:rFonts w:ascii="Arial" w:hAnsi="Arial" w:cs="Arial"/>
          <w:color w:val="auto"/>
        </w:rPr>
        <w:t xml:space="preserve"> Neuropathic pain: A maladaptive response of the nervous system to </w:t>
      </w:r>
      <w:r w:rsidR="001104C9" w:rsidRPr="00D61F73">
        <w:rPr>
          <w:rFonts w:ascii="Arial" w:hAnsi="Arial" w:cs="Arial"/>
          <w:color w:val="auto"/>
        </w:rPr>
        <w:t xml:space="preserve">damage. </w:t>
      </w:r>
      <w:r w:rsidR="001104C9" w:rsidRPr="00D61F73">
        <w:rPr>
          <w:rFonts w:ascii="Arial" w:hAnsi="Arial" w:cs="Arial"/>
          <w:i/>
          <w:iCs/>
          <w:color w:val="auto"/>
        </w:rPr>
        <w:t>Annu</w:t>
      </w:r>
      <w:r w:rsidR="00BE743D" w:rsidRPr="00D61F73">
        <w:rPr>
          <w:rFonts w:ascii="Arial" w:hAnsi="Arial" w:cs="Arial"/>
          <w:i/>
          <w:iCs/>
          <w:color w:val="auto"/>
        </w:rPr>
        <w:t xml:space="preserve"> Rev of </w:t>
      </w:r>
      <w:r w:rsidR="00A84178" w:rsidRPr="00D61F73">
        <w:rPr>
          <w:rFonts w:ascii="Arial" w:hAnsi="Arial" w:cs="Arial"/>
          <w:i/>
          <w:iCs/>
          <w:color w:val="auto"/>
        </w:rPr>
        <w:t>Neuroscience</w:t>
      </w:r>
      <w:r w:rsidR="00C14CBC" w:rsidRPr="00D61F73">
        <w:rPr>
          <w:rFonts w:ascii="Arial" w:hAnsi="Arial" w:cs="Arial"/>
          <w:i/>
          <w:iCs/>
          <w:color w:val="auto"/>
        </w:rPr>
        <w:t>.</w:t>
      </w:r>
      <w:r w:rsidRPr="00D61F73">
        <w:rPr>
          <w:rFonts w:ascii="Arial" w:hAnsi="Arial" w:cs="Arial"/>
          <w:i/>
          <w:iCs/>
          <w:color w:val="auto"/>
        </w:rPr>
        <w:t xml:space="preserve"> </w:t>
      </w:r>
      <w:r w:rsidR="00C14CBC" w:rsidRPr="00D61F73">
        <w:rPr>
          <w:rFonts w:ascii="Arial" w:hAnsi="Arial" w:cs="Arial"/>
          <w:color w:val="auto"/>
        </w:rPr>
        <w:t>2009;</w:t>
      </w:r>
      <w:r w:rsidRPr="00D61F73">
        <w:rPr>
          <w:rFonts w:ascii="Arial" w:hAnsi="Arial" w:cs="Arial"/>
          <w:color w:val="auto"/>
        </w:rPr>
        <w:t>32:1-32.</w:t>
      </w:r>
    </w:p>
    <w:p w14:paraId="76BCEA8C" w14:textId="77777777" w:rsidR="002B2703" w:rsidRPr="00D61F73" w:rsidRDefault="002B2703" w:rsidP="00D61F73">
      <w:pPr>
        <w:rPr>
          <w:rFonts w:ascii="Arial" w:hAnsi="Arial" w:cs="Arial"/>
          <w:color w:val="auto"/>
        </w:rPr>
      </w:pPr>
    </w:p>
    <w:p w14:paraId="487EF02D" w14:textId="77777777" w:rsidR="002B2703" w:rsidRPr="00D61F73" w:rsidRDefault="002B2703" w:rsidP="00D61F73">
      <w:pPr>
        <w:rPr>
          <w:rFonts w:ascii="Arial" w:hAnsi="Arial" w:cs="Arial"/>
          <w:i/>
          <w:iCs/>
        </w:rPr>
      </w:pPr>
      <w:bookmarkStart w:id="14" w:name="CDC2010intro"/>
      <w:bookmarkEnd w:id="14"/>
      <w:r w:rsidRPr="00D61F73">
        <w:rPr>
          <w:rFonts w:ascii="Arial" w:hAnsi="Arial" w:cs="Arial"/>
          <w:color w:val="auto"/>
        </w:rPr>
        <w:t>CDC (Centers for Disease Control and Prevention)</w:t>
      </w:r>
      <w:r w:rsidR="00884451" w:rsidRPr="00D61F73">
        <w:rPr>
          <w:rFonts w:ascii="Arial" w:hAnsi="Arial" w:cs="Arial"/>
          <w:color w:val="auto"/>
        </w:rPr>
        <w:t xml:space="preserve">.  </w:t>
      </w:r>
      <w:r w:rsidRPr="00D61F73">
        <w:rPr>
          <w:rFonts w:ascii="Arial" w:hAnsi="Arial" w:cs="Arial"/>
          <w:color w:val="auto"/>
        </w:rPr>
        <w:t>Adverse Childhood Experiences Reported by Adults--- Five States</w:t>
      </w:r>
      <w:r w:rsidR="00884451" w:rsidRPr="00D61F73">
        <w:rPr>
          <w:rFonts w:ascii="Arial" w:hAnsi="Arial" w:cs="Arial"/>
          <w:color w:val="auto"/>
        </w:rPr>
        <w:t>, 2009.</w:t>
      </w:r>
      <w:r w:rsidRPr="00D61F73">
        <w:rPr>
          <w:rFonts w:ascii="Arial" w:hAnsi="Arial" w:cs="Arial"/>
          <w:color w:val="auto"/>
        </w:rPr>
        <w:t xml:space="preserve"> </w:t>
      </w:r>
      <w:r w:rsidRPr="00D61F73">
        <w:rPr>
          <w:rFonts w:ascii="Arial" w:hAnsi="Arial" w:cs="Arial"/>
          <w:i/>
          <w:color w:val="auto"/>
        </w:rPr>
        <w:t>Morbidity and Mortality Weekly Report (MMWR</w:t>
      </w:r>
      <w:r w:rsidRPr="00D61F73">
        <w:rPr>
          <w:rFonts w:ascii="Arial" w:hAnsi="Arial" w:cs="Arial"/>
          <w:color w:val="auto"/>
        </w:rPr>
        <w:t xml:space="preserve">). </w:t>
      </w:r>
      <w:r w:rsidR="00884451" w:rsidRPr="00D61F73">
        <w:rPr>
          <w:rFonts w:ascii="Arial" w:hAnsi="Arial" w:cs="Arial"/>
          <w:color w:val="auto"/>
        </w:rPr>
        <w:t>2010 Dec 17; 59(49):1609-1613.</w:t>
      </w:r>
    </w:p>
    <w:p w14:paraId="48D0B6CE" w14:textId="77777777" w:rsidR="006249BF" w:rsidRPr="00D61F73" w:rsidRDefault="006249BF" w:rsidP="00D61F73">
      <w:pPr>
        <w:jc w:val="both"/>
        <w:rPr>
          <w:rFonts w:ascii="Arial" w:hAnsi="Arial" w:cs="Arial"/>
          <w:color w:val="auto"/>
        </w:rPr>
      </w:pPr>
    </w:p>
    <w:p w14:paraId="0A01C91E" w14:textId="0EBC309A" w:rsidR="006249BF" w:rsidRPr="00D61F73" w:rsidRDefault="006249BF" w:rsidP="00D61F73">
      <w:pPr>
        <w:jc w:val="both"/>
        <w:rPr>
          <w:rFonts w:ascii="Arial" w:hAnsi="Arial" w:cs="Arial"/>
          <w:color w:val="auto"/>
        </w:rPr>
      </w:pPr>
      <w:bookmarkStart w:id="15" w:name="Coupland2011"/>
      <w:bookmarkStart w:id="16" w:name="Coupland2009"/>
      <w:bookmarkStart w:id="17" w:name="Engel1997"/>
      <w:bookmarkEnd w:id="15"/>
      <w:bookmarkEnd w:id="16"/>
      <w:bookmarkEnd w:id="17"/>
      <w:r w:rsidRPr="00D61F73">
        <w:rPr>
          <w:rFonts w:ascii="Arial" w:hAnsi="Arial" w:cs="Arial"/>
          <w:color w:val="auto"/>
        </w:rPr>
        <w:t>Engel GL.</w:t>
      </w:r>
      <w:r w:rsidR="00301379" w:rsidRPr="00D61F73">
        <w:rPr>
          <w:rFonts w:ascii="Arial" w:hAnsi="Arial" w:cs="Arial"/>
          <w:color w:val="auto"/>
        </w:rPr>
        <w:t xml:space="preserve"> </w:t>
      </w:r>
      <w:r w:rsidRPr="00D61F73">
        <w:rPr>
          <w:rFonts w:ascii="Arial" w:hAnsi="Arial" w:cs="Arial"/>
          <w:color w:val="auto"/>
        </w:rPr>
        <w:t xml:space="preserve">The need for a new medical model: a challenge for biomedicine. </w:t>
      </w:r>
      <w:r w:rsidRPr="00D61F73">
        <w:rPr>
          <w:rFonts w:ascii="Arial" w:hAnsi="Arial" w:cs="Arial"/>
          <w:i/>
          <w:color w:val="auto"/>
        </w:rPr>
        <w:t>Science</w:t>
      </w:r>
      <w:r w:rsidR="00301379" w:rsidRPr="00D61F73">
        <w:rPr>
          <w:rFonts w:ascii="Arial" w:hAnsi="Arial" w:cs="Arial"/>
          <w:color w:val="auto"/>
        </w:rPr>
        <w:t>.</w:t>
      </w:r>
      <w:r w:rsidRPr="00D61F73">
        <w:rPr>
          <w:rFonts w:ascii="Arial" w:hAnsi="Arial" w:cs="Arial"/>
          <w:color w:val="auto"/>
        </w:rPr>
        <w:t xml:space="preserve"> </w:t>
      </w:r>
      <w:r w:rsidR="00C3331E">
        <w:rPr>
          <w:rFonts w:ascii="Arial" w:hAnsi="Arial" w:cs="Arial"/>
          <w:color w:val="auto"/>
        </w:rPr>
        <w:t>197</w:t>
      </w:r>
      <w:r w:rsidR="00301379" w:rsidRPr="00D61F73">
        <w:rPr>
          <w:rFonts w:ascii="Arial" w:hAnsi="Arial" w:cs="Arial"/>
          <w:color w:val="auto"/>
        </w:rPr>
        <w:t>7;</w:t>
      </w:r>
      <w:r w:rsidRPr="00D61F73">
        <w:rPr>
          <w:rFonts w:ascii="Arial" w:hAnsi="Arial" w:cs="Arial"/>
          <w:color w:val="auto"/>
        </w:rPr>
        <w:t>196: 129–36</w:t>
      </w:r>
      <w:r w:rsidR="00C939FA">
        <w:rPr>
          <w:rFonts w:ascii="Arial" w:hAnsi="Arial" w:cs="Arial"/>
          <w:color w:val="auto"/>
        </w:rPr>
        <w:t>.</w:t>
      </w:r>
    </w:p>
    <w:p w14:paraId="018D33EE" w14:textId="77777777" w:rsidR="006249BF" w:rsidRPr="00D61F73" w:rsidRDefault="006249BF" w:rsidP="00D61F73">
      <w:pPr>
        <w:jc w:val="both"/>
        <w:rPr>
          <w:rFonts w:ascii="Arial" w:hAnsi="Arial" w:cs="Arial"/>
          <w:color w:val="auto"/>
        </w:rPr>
      </w:pPr>
    </w:p>
    <w:p w14:paraId="2F8FE048" w14:textId="77777777" w:rsidR="006249BF" w:rsidRPr="00D61F73" w:rsidRDefault="006249BF" w:rsidP="00D61F73">
      <w:pPr>
        <w:jc w:val="both"/>
        <w:rPr>
          <w:rFonts w:ascii="Arial" w:hAnsi="Arial" w:cs="Arial"/>
          <w:color w:val="auto"/>
        </w:rPr>
      </w:pPr>
      <w:bookmarkStart w:id="18" w:name="Feinberg2013"/>
      <w:bookmarkStart w:id="19" w:name="Feletti2010"/>
      <w:bookmarkStart w:id="20" w:name="Flor1992"/>
      <w:bookmarkEnd w:id="18"/>
      <w:bookmarkEnd w:id="19"/>
      <w:bookmarkEnd w:id="20"/>
      <w:r w:rsidRPr="00D61F73">
        <w:rPr>
          <w:rFonts w:ascii="Arial" w:hAnsi="Arial" w:cs="Arial"/>
          <w:color w:val="auto"/>
        </w:rPr>
        <w:t>Flor H, Fydrich</w:t>
      </w:r>
      <w:r w:rsidR="00301379" w:rsidRPr="00D61F73">
        <w:rPr>
          <w:rFonts w:ascii="Arial" w:hAnsi="Arial" w:cs="Arial"/>
          <w:color w:val="auto"/>
        </w:rPr>
        <w:t xml:space="preserve"> T.</w:t>
      </w:r>
      <w:r w:rsidRPr="00D61F73">
        <w:rPr>
          <w:rFonts w:ascii="Arial" w:hAnsi="Arial" w:cs="Arial"/>
          <w:color w:val="auto"/>
        </w:rPr>
        <w:t xml:space="preserve"> et al. Efficacy of multidisciplinary pain treatment centers:  A meta-analytic flow. </w:t>
      </w:r>
      <w:r w:rsidRPr="00D61F73">
        <w:rPr>
          <w:rFonts w:ascii="Arial" w:hAnsi="Arial" w:cs="Arial"/>
          <w:i/>
          <w:color w:val="auto"/>
        </w:rPr>
        <w:t>Pain</w:t>
      </w:r>
      <w:r w:rsidR="00301379" w:rsidRPr="00D61F73">
        <w:rPr>
          <w:rFonts w:ascii="Arial" w:hAnsi="Arial" w:cs="Arial"/>
          <w:i/>
          <w:color w:val="auto"/>
        </w:rPr>
        <w:t>.</w:t>
      </w:r>
      <w:r w:rsidRPr="00D61F73">
        <w:rPr>
          <w:rFonts w:ascii="Arial" w:hAnsi="Arial" w:cs="Arial"/>
          <w:i/>
          <w:color w:val="auto"/>
        </w:rPr>
        <w:t xml:space="preserve"> </w:t>
      </w:r>
      <w:r w:rsidR="00301379" w:rsidRPr="00D61F73">
        <w:rPr>
          <w:rFonts w:ascii="Arial" w:hAnsi="Arial" w:cs="Arial"/>
          <w:color w:val="auto"/>
        </w:rPr>
        <w:t>1992;</w:t>
      </w:r>
      <w:r w:rsidRPr="00D61F73">
        <w:rPr>
          <w:rFonts w:ascii="Arial" w:hAnsi="Arial" w:cs="Arial"/>
          <w:color w:val="auto"/>
        </w:rPr>
        <w:t>49(2):</w:t>
      </w:r>
      <w:r w:rsidR="00301379" w:rsidRPr="00D61F73">
        <w:rPr>
          <w:rFonts w:ascii="Arial" w:hAnsi="Arial" w:cs="Arial"/>
          <w:color w:val="auto"/>
        </w:rPr>
        <w:t xml:space="preserve"> </w:t>
      </w:r>
      <w:r w:rsidRPr="00D61F73">
        <w:rPr>
          <w:rFonts w:ascii="Arial" w:hAnsi="Arial" w:cs="Arial"/>
          <w:color w:val="auto"/>
        </w:rPr>
        <w:t>221-230.</w:t>
      </w:r>
    </w:p>
    <w:p w14:paraId="21DB3171" w14:textId="77777777" w:rsidR="006249BF" w:rsidRPr="00D61F73" w:rsidRDefault="006249BF" w:rsidP="00D61F73">
      <w:pPr>
        <w:jc w:val="both"/>
        <w:rPr>
          <w:rFonts w:ascii="Arial" w:hAnsi="Arial" w:cs="Arial"/>
          <w:color w:val="auto"/>
        </w:rPr>
      </w:pPr>
    </w:p>
    <w:p w14:paraId="71047093" w14:textId="77777777" w:rsidR="006249BF" w:rsidRPr="00D61F73" w:rsidRDefault="006249BF" w:rsidP="00D61F73">
      <w:pPr>
        <w:autoSpaceDE w:val="0"/>
        <w:autoSpaceDN w:val="0"/>
        <w:adjustRightInd w:val="0"/>
        <w:rPr>
          <w:rFonts w:ascii="Arial" w:hAnsi="Arial" w:cs="Arial"/>
          <w:color w:val="auto"/>
        </w:rPr>
      </w:pPr>
      <w:bookmarkStart w:id="21" w:name="Gatchel2007"/>
      <w:bookmarkEnd w:id="21"/>
      <w:r w:rsidRPr="00D61F73">
        <w:rPr>
          <w:rFonts w:ascii="Arial" w:hAnsi="Arial" w:cs="Arial"/>
          <w:color w:val="auto"/>
        </w:rPr>
        <w:t>Gatchel RJ, Peng</w:t>
      </w:r>
      <w:r w:rsidR="00301379" w:rsidRPr="00D61F73">
        <w:rPr>
          <w:rFonts w:ascii="Arial" w:hAnsi="Arial" w:cs="Arial"/>
          <w:color w:val="auto"/>
        </w:rPr>
        <w:t xml:space="preserve"> YB</w:t>
      </w:r>
      <w:r w:rsidRPr="00D61F73">
        <w:rPr>
          <w:rFonts w:ascii="Arial" w:hAnsi="Arial" w:cs="Arial"/>
          <w:color w:val="auto"/>
        </w:rPr>
        <w:t>, Peters</w:t>
      </w:r>
      <w:r w:rsidR="00301379" w:rsidRPr="00D61F73">
        <w:rPr>
          <w:rFonts w:ascii="Arial" w:hAnsi="Arial" w:cs="Arial"/>
          <w:color w:val="auto"/>
        </w:rPr>
        <w:t xml:space="preserve"> ML</w:t>
      </w:r>
      <w:r w:rsidRPr="00D61F73">
        <w:rPr>
          <w:rFonts w:ascii="Arial" w:hAnsi="Arial" w:cs="Arial"/>
          <w:color w:val="auto"/>
        </w:rPr>
        <w:t>, Fuchs</w:t>
      </w:r>
      <w:r w:rsidR="00301379" w:rsidRPr="00D61F73">
        <w:rPr>
          <w:rFonts w:ascii="Arial" w:hAnsi="Arial" w:cs="Arial"/>
          <w:color w:val="auto"/>
        </w:rPr>
        <w:t xml:space="preserve"> PN</w:t>
      </w:r>
      <w:r w:rsidRPr="00D61F73">
        <w:rPr>
          <w:rFonts w:ascii="Arial" w:hAnsi="Arial" w:cs="Arial"/>
          <w:color w:val="auto"/>
        </w:rPr>
        <w:t>, Turk</w:t>
      </w:r>
      <w:r w:rsidR="00301379" w:rsidRPr="00D61F73">
        <w:rPr>
          <w:rFonts w:ascii="Arial" w:hAnsi="Arial" w:cs="Arial"/>
          <w:color w:val="auto"/>
        </w:rPr>
        <w:t xml:space="preserve"> DC</w:t>
      </w:r>
      <w:r w:rsidRPr="00D61F73">
        <w:rPr>
          <w:rFonts w:ascii="Arial" w:hAnsi="Arial" w:cs="Arial"/>
          <w:color w:val="auto"/>
        </w:rPr>
        <w:t xml:space="preserve">. The biopsychosocial approach to chronic pain: Scientific advances and future directions. </w:t>
      </w:r>
      <w:r w:rsidRPr="00D61F73">
        <w:rPr>
          <w:rFonts w:ascii="Arial" w:hAnsi="Arial" w:cs="Arial"/>
          <w:i/>
          <w:iCs/>
          <w:color w:val="auto"/>
        </w:rPr>
        <w:t>Psychological Bulletin</w:t>
      </w:r>
      <w:r w:rsidR="00301379" w:rsidRPr="00D61F73">
        <w:rPr>
          <w:rFonts w:ascii="Arial" w:hAnsi="Arial" w:cs="Arial"/>
          <w:i/>
          <w:iCs/>
          <w:color w:val="auto"/>
        </w:rPr>
        <w:t>.</w:t>
      </w:r>
      <w:r w:rsidRPr="00D61F73">
        <w:rPr>
          <w:rFonts w:ascii="Arial" w:hAnsi="Arial" w:cs="Arial"/>
          <w:i/>
          <w:iCs/>
          <w:color w:val="auto"/>
        </w:rPr>
        <w:t xml:space="preserve"> </w:t>
      </w:r>
      <w:r w:rsidR="00301379" w:rsidRPr="00D61F73">
        <w:rPr>
          <w:rFonts w:ascii="Arial" w:hAnsi="Arial" w:cs="Arial"/>
          <w:iCs/>
          <w:color w:val="auto"/>
        </w:rPr>
        <w:t>2007;</w:t>
      </w:r>
      <w:r w:rsidRPr="00D61F73">
        <w:rPr>
          <w:rFonts w:ascii="Arial" w:hAnsi="Arial" w:cs="Arial"/>
          <w:color w:val="auto"/>
        </w:rPr>
        <w:t>133(4):581-624.</w:t>
      </w:r>
    </w:p>
    <w:p w14:paraId="525F9DE7" w14:textId="77777777" w:rsidR="006249BF" w:rsidRPr="00D61F73" w:rsidRDefault="006249BF" w:rsidP="00D61F73">
      <w:pPr>
        <w:autoSpaceDE w:val="0"/>
        <w:autoSpaceDN w:val="0"/>
        <w:adjustRightInd w:val="0"/>
        <w:rPr>
          <w:rFonts w:ascii="Arial" w:hAnsi="Arial" w:cs="Arial"/>
          <w:color w:val="auto"/>
        </w:rPr>
      </w:pPr>
    </w:p>
    <w:p w14:paraId="39399357" w14:textId="77777777" w:rsidR="006249BF" w:rsidRPr="00D61F73" w:rsidRDefault="006249BF" w:rsidP="00D61F73">
      <w:pPr>
        <w:jc w:val="both"/>
        <w:rPr>
          <w:rFonts w:ascii="Arial" w:hAnsi="Arial" w:cs="Arial"/>
          <w:color w:val="auto"/>
        </w:rPr>
      </w:pPr>
      <w:bookmarkStart w:id="22" w:name="Guzman2001"/>
      <w:bookmarkEnd w:id="22"/>
      <w:r w:rsidRPr="00D61F73">
        <w:rPr>
          <w:rFonts w:ascii="Arial" w:hAnsi="Arial" w:cs="Arial"/>
          <w:color w:val="auto"/>
        </w:rPr>
        <w:t>Guzman J, Esmail</w:t>
      </w:r>
      <w:r w:rsidR="00301379" w:rsidRPr="00D61F73">
        <w:rPr>
          <w:rFonts w:ascii="Arial" w:hAnsi="Arial" w:cs="Arial"/>
          <w:color w:val="auto"/>
        </w:rPr>
        <w:t xml:space="preserve"> R</w:t>
      </w:r>
      <w:r w:rsidRPr="00D61F73">
        <w:rPr>
          <w:rFonts w:ascii="Arial" w:hAnsi="Arial" w:cs="Arial"/>
          <w:color w:val="auto"/>
        </w:rPr>
        <w:t xml:space="preserve">, et al. Multidisciplinary rehabilitation for chronic low back pain: systematic review. </w:t>
      </w:r>
      <w:r w:rsidRPr="00D61F73">
        <w:rPr>
          <w:rFonts w:ascii="Arial" w:hAnsi="Arial" w:cs="Arial"/>
          <w:i/>
          <w:color w:val="auto"/>
        </w:rPr>
        <w:t>British Medical Journal</w:t>
      </w:r>
      <w:r w:rsidR="00301379" w:rsidRPr="00D61F73">
        <w:rPr>
          <w:rFonts w:ascii="Arial" w:hAnsi="Arial" w:cs="Arial"/>
          <w:i/>
          <w:color w:val="auto"/>
        </w:rPr>
        <w:t>.</w:t>
      </w:r>
      <w:r w:rsidR="00301379" w:rsidRPr="00D61F73">
        <w:rPr>
          <w:rFonts w:ascii="Arial" w:hAnsi="Arial" w:cs="Arial"/>
          <w:color w:val="auto"/>
        </w:rPr>
        <w:t xml:space="preserve"> 2001;</w:t>
      </w:r>
      <w:r w:rsidRPr="00D61F73">
        <w:rPr>
          <w:rFonts w:ascii="Arial" w:hAnsi="Arial" w:cs="Arial"/>
          <w:color w:val="auto"/>
        </w:rPr>
        <w:t>322(7301): 1511-6.</w:t>
      </w:r>
    </w:p>
    <w:p w14:paraId="70D64413" w14:textId="77777777" w:rsidR="006249BF" w:rsidRPr="00D61F73" w:rsidRDefault="006249BF" w:rsidP="00D61F73">
      <w:pPr>
        <w:jc w:val="both"/>
        <w:rPr>
          <w:rFonts w:ascii="Arial" w:hAnsi="Arial" w:cs="Arial"/>
          <w:color w:val="auto"/>
        </w:rPr>
      </w:pPr>
    </w:p>
    <w:p w14:paraId="66FE7414" w14:textId="77777777" w:rsidR="006249BF" w:rsidRPr="00D61F73" w:rsidRDefault="006249BF" w:rsidP="00D61F73">
      <w:pPr>
        <w:jc w:val="both"/>
        <w:rPr>
          <w:rFonts w:ascii="Arial" w:hAnsi="Arial" w:cs="Arial"/>
          <w:color w:val="auto"/>
        </w:rPr>
      </w:pPr>
      <w:bookmarkStart w:id="23" w:name="Hanson1993"/>
      <w:bookmarkEnd w:id="23"/>
      <w:r w:rsidRPr="00D61F73">
        <w:rPr>
          <w:rFonts w:ascii="Arial" w:hAnsi="Arial" w:cs="Arial"/>
          <w:color w:val="auto"/>
        </w:rPr>
        <w:t>Hanson</w:t>
      </w:r>
      <w:r w:rsidR="00301379" w:rsidRPr="00D61F73">
        <w:rPr>
          <w:rFonts w:ascii="Arial" w:hAnsi="Arial" w:cs="Arial"/>
          <w:color w:val="auto"/>
        </w:rPr>
        <w:t xml:space="preserve"> </w:t>
      </w:r>
      <w:r w:rsidRPr="00D61F73">
        <w:rPr>
          <w:rFonts w:ascii="Arial" w:hAnsi="Arial" w:cs="Arial"/>
          <w:color w:val="auto"/>
        </w:rPr>
        <w:t>R</w:t>
      </w:r>
      <w:r w:rsidR="00301379" w:rsidRPr="00D61F73">
        <w:rPr>
          <w:rFonts w:ascii="Arial" w:hAnsi="Arial" w:cs="Arial"/>
          <w:color w:val="auto"/>
        </w:rPr>
        <w:t xml:space="preserve">, </w:t>
      </w:r>
      <w:r w:rsidRPr="00D61F73">
        <w:rPr>
          <w:rFonts w:ascii="Arial" w:hAnsi="Arial" w:cs="Arial"/>
          <w:color w:val="auto"/>
        </w:rPr>
        <w:t>Gerber K. Table</w:t>
      </w:r>
      <w:r w:rsidR="00301379" w:rsidRPr="00D61F73">
        <w:rPr>
          <w:rFonts w:ascii="Arial" w:hAnsi="Arial" w:cs="Arial"/>
          <w:color w:val="auto"/>
        </w:rPr>
        <w:t xml:space="preserve"> </w:t>
      </w:r>
      <w:r w:rsidRPr="00D61F73">
        <w:rPr>
          <w:rFonts w:ascii="Arial" w:hAnsi="Arial" w:cs="Arial"/>
          <w:color w:val="auto"/>
        </w:rPr>
        <w:t xml:space="preserve">2.1: Contrasting </w:t>
      </w:r>
      <w:r w:rsidR="00301379" w:rsidRPr="00D61F73">
        <w:rPr>
          <w:rFonts w:ascii="Arial" w:hAnsi="Arial" w:cs="Arial"/>
          <w:color w:val="auto"/>
        </w:rPr>
        <w:t>p</w:t>
      </w:r>
      <w:r w:rsidRPr="00D61F73">
        <w:rPr>
          <w:rFonts w:ascii="Arial" w:hAnsi="Arial" w:cs="Arial"/>
          <w:color w:val="auto"/>
        </w:rPr>
        <w:t xml:space="preserve">ain </w:t>
      </w:r>
      <w:r w:rsidR="00301379" w:rsidRPr="00D61F73">
        <w:rPr>
          <w:rFonts w:ascii="Arial" w:hAnsi="Arial" w:cs="Arial"/>
          <w:color w:val="auto"/>
        </w:rPr>
        <w:t>m</w:t>
      </w:r>
      <w:r w:rsidRPr="00D61F73">
        <w:rPr>
          <w:rFonts w:ascii="Arial" w:hAnsi="Arial" w:cs="Arial"/>
          <w:color w:val="auto"/>
        </w:rPr>
        <w:t xml:space="preserve">odels </w:t>
      </w:r>
      <w:r w:rsidRPr="00D61F73">
        <w:rPr>
          <w:rFonts w:ascii="Arial" w:hAnsi="Arial" w:cs="Arial"/>
          <w:i/>
          <w:color w:val="auto"/>
        </w:rPr>
        <w:t>Coping with Chronic Pain: A Guide to Patient Self-Management.</w:t>
      </w:r>
      <w:r w:rsidRPr="00D61F73">
        <w:rPr>
          <w:rFonts w:ascii="Arial" w:hAnsi="Arial" w:cs="Arial"/>
          <w:color w:val="auto"/>
        </w:rPr>
        <w:t xml:space="preserve">  New York, NY, Guilford Press. 1993:30. </w:t>
      </w:r>
    </w:p>
    <w:p w14:paraId="7B33F79D" w14:textId="77777777" w:rsidR="001C69DA" w:rsidRPr="00D61F73" w:rsidRDefault="001C69DA" w:rsidP="00D61F73">
      <w:pPr>
        <w:jc w:val="both"/>
        <w:rPr>
          <w:rFonts w:ascii="Arial" w:hAnsi="Arial" w:cs="Arial"/>
          <w:color w:val="auto"/>
        </w:rPr>
      </w:pPr>
      <w:bookmarkStart w:id="24" w:name="Hughes2008"/>
      <w:bookmarkEnd w:id="24"/>
    </w:p>
    <w:p w14:paraId="13AF4F34" w14:textId="77777777" w:rsidR="006249BF" w:rsidRPr="00D61F73" w:rsidRDefault="006249BF" w:rsidP="00D61F73">
      <w:pPr>
        <w:autoSpaceDE w:val="0"/>
        <w:autoSpaceDN w:val="0"/>
        <w:adjustRightInd w:val="0"/>
        <w:rPr>
          <w:rFonts w:ascii="Arial" w:hAnsi="Arial" w:cs="Arial"/>
          <w:color w:val="auto"/>
        </w:rPr>
      </w:pPr>
      <w:bookmarkStart w:id="25" w:name="IOM2011"/>
      <w:bookmarkEnd w:id="25"/>
      <w:r w:rsidRPr="00D61F73">
        <w:rPr>
          <w:rFonts w:ascii="Arial" w:hAnsi="Arial" w:cs="Arial"/>
          <w:color w:val="auto"/>
        </w:rPr>
        <w:t xml:space="preserve">IOM (Institute of Medicine). </w:t>
      </w:r>
      <w:r w:rsidRPr="00D61F73">
        <w:rPr>
          <w:rFonts w:ascii="Arial" w:hAnsi="Arial" w:cs="Arial"/>
          <w:i/>
          <w:color w:val="auto"/>
        </w:rPr>
        <w:t>Relieving Pain in America: A Blueprint for Transforming Prevention, Care, Education, and Research</w:t>
      </w:r>
      <w:r w:rsidRPr="00D61F73">
        <w:rPr>
          <w:rFonts w:ascii="Arial" w:hAnsi="Arial" w:cs="Arial"/>
          <w:color w:val="auto"/>
        </w:rPr>
        <w:t xml:space="preserve">. Washington, DC: The National Academies Press. </w:t>
      </w:r>
      <w:r w:rsidR="00301379" w:rsidRPr="00D61F73">
        <w:rPr>
          <w:rFonts w:ascii="Arial" w:hAnsi="Arial" w:cs="Arial"/>
          <w:color w:val="auto"/>
        </w:rPr>
        <w:t>2011.</w:t>
      </w:r>
    </w:p>
    <w:p w14:paraId="477E3975" w14:textId="77777777" w:rsidR="006249BF" w:rsidRPr="00D61F73" w:rsidRDefault="006249BF" w:rsidP="00D61F73">
      <w:pPr>
        <w:autoSpaceDE w:val="0"/>
        <w:autoSpaceDN w:val="0"/>
        <w:adjustRightInd w:val="0"/>
        <w:rPr>
          <w:rFonts w:ascii="Arial" w:hAnsi="Arial" w:cs="Arial"/>
          <w:color w:val="auto"/>
        </w:rPr>
      </w:pPr>
    </w:p>
    <w:p w14:paraId="506F26DA" w14:textId="77777777" w:rsidR="006249BF" w:rsidRPr="00D61F73" w:rsidRDefault="006249BF" w:rsidP="00D61F73">
      <w:pPr>
        <w:autoSpaceDE w:val="0"/>
        <w:autoSpaceDN w:val="0"/>
        <w:adjustRightInd w:val="0"/>
        <w:rPr>
          <w:rFonts w:ascii="Arial" w:hAnsi="Arial" w:cs="Arial"/>
          <w:color w:val="auto"/>
        </w:rPr>
      </w:pPr>
      <w:bookmarkStart w:id="26" w:name="Keefe2004"/>
      <w:bookmarkEnd w:id="26"/>
      <w:r w:rsidRPr="00D61F73">
        <w:rPr>
          <w:rFonts w:ascii="Arial" w:hAnsi="Arial" w:cs="Arial"/>
          <w:color w:val="auto"/>
        </w:rPr>
        <w:t>Keefe FJ, Rumble</w:t>
      </w:r>
      <w:r w:rsidR="00301379" w:rsidRPr="00D61F73">
        <w:rPr>
          <w:rFonts w:ascii="Arial" w:hAnsi="Arial" w:cs="Arial"/>
          <w:color w:val="auto"/>
        </w:rPr>
        <w:t xml:space="preserve"> ME</w:t>
      </w:r>
      <w:r w:rsidRPr="00D61F73">
        <w:rPr>
          <w:rFonts w:ascii="Arial" w:hAnsi="Arial" w:cs="Arial"/>
          <w:color w:val="auto"/>
        </w:rPr>
        <w:t>, Scipio</w:t>
      </w:r>
      <w:r w:rsidR="00301379" w:rsidRPr="00D61F73">
        <w:rPr>
          <w:rFonts w:ascii="Arial" w:hAnsi="Arial" w:cs="Arial"/>
          <w:color w:val="auto"/>
        </w:rPr>
        <w:t xml:space="preserve"> CD</w:t>
      </w:r>
      <w:r w:rsidRPr="00D61F73">
        <w:rPr>
          <w:rFonts w:ascii="Arial" w:hAnsi="Arial" w:cs="Arial"/>
          <w:color w:val="auto"/>
        </w:rPr>
        <w:t>, Giordano</w:t>
      </w:r>
      <w:r w:rsidR="00301379" w:rsidRPr="00D61F73">
        <w:rPr>
          <w:rFonts w:ascii="Arial" w:hAnsi="Arial" w:cs="Arial"/>
          <w:color w:val="auto"/>
        </w:rPr>
        <w:t xml:space="preserve"> LA</w:t>
      </w:r>
      <w:r w:rsidRPr="00D61F73">
        <w:rPr>
          <w:rFonts w:ascii="Arial" w:hAnsi="Arial" w:cs="Arial"/>
          <w:color w:val="auto"/>
        </w:rPr>
        <w:t>, Perri</w:t>
      </w:r>
      <w:r w:rsidR="00301379" w:rsidRPr="00D61F73">
        <w:rPr>
          <w:rFonts w:ascii="Arial" w:hAnsi="Arial" w:cs="Arial"/>
          <w:color w:val="auto"/>
        </w:rPr>
        <w:t xml:space="preserve"> LM</w:t>
      </w:r>
      <w:r w:rsidRPr="00D61F73">
        <w:rPr>
          <w:rFonts w:ascii="Arial" w:hAnsi="Arial" w:cs="Arial"/>
          <w:color w:val="auto"/>
        </w:rPr>
        <w:t>. 2004. Psychological aspects of persistent pain: Current state of the science.</w:t>
      </w:r>
      <w:r w:rsidR="00BE743D" w:rsidRPr="00D61F73">
        <w:rPr>
          <w:rFonts w:ascii="Arial" w:hAnsi="Arial" w:cs="Arial"/>
          <w:color w:val="auto"/>
        </w:rPr>
        <w:t>J Pain</w:t>
      </w:r>
      <w:r w:rsidR="00BC45EE" w:rsidRPr="00D61F73">
        <w:rPr>
          <w:rFonts w:ascii="Arial" w:hAnsi="Arial" w:cs="Arial"/>
          <w:i/>
          <w:iCs/>
          <w:color w:val="auto"/>
        </w:rPr>
        <w:t>.</w:t>
      </w:r>
      <w:r w:rsidRPr="00D61F73">
        <w:rPr>
          <w:rFonts w:ascii="Arial" w:hAnsi="Arial" w:cs="Arial"/>
          <w:i/>
          <w:iCs/>
          <w:color w:val="auto"/>
        </w:rPr>
        <w:t xml:space="preserve"> 2004. </w:t>
      </w:r>
      <w:r w:rsidR="00301379" w:rsidRPr="00D61F73">
        <w:rPr>
          <w:rFonts w:ascii="Arial" w:hAnsi="Arial" w:cs="Arial"/>
          <w:iCs/>
          <w:color w:val="auto"/>
        </w:rPr>
        <w:t>2004;</w:t>
      </w:r>
      <w:r w:rsidRPr="00D61F73">
        <w:rPr>
          <w:rFonts w:ascii="Arial" w:hAnsi="Arial" w:cs="Arial"/>
          <w:color w:val="auto"/>
        </w:rPr>
        <w:t>5(4):195-211.</w:t>
      </w:r>
    </w:p>
    <w:p w14:paraId="533261DF" w14:textId="77777777" w:rsidR="006249BF" w:rsidRPr="00D61F73" w:rsidRDefault="006249BF" w:rsidP="00D61F73">
      <w:pPr>
        <w:rPr>
          <w:rFonts w:ascii="Arial" w:hAnsi="Arial" w:cs="Arial"/>
          <w:color w:val="auto"/>
        </w:rPr>
      </w:pPr>
    </w:p>
    <w:p w14:paraId="4EE17856" w14:textId="77777777" w:rsidR="006249BF" w:rsidRPr="00D61F73" w:rsidRDefault="006249BF" w:rsidP="00D61F73">
      <w:pPr>
        <w:shd w:val="clear" w:color="auto" w:fill="FFFFFF"/>
        <w:rPr>
          <w:rFonts w:ascii="Arial" w:hAnsi="Arial" w:cs="Arial"/>
          <w:color w:val="auto"/>
        </w:rPr>
      </w:pPr>
      <w:bookmarkStart w:id="27" w:name="Kim2004"/>
      <w:bookmarkEnd w:id="27"/>
      <w:r w:rsidRPr="00D61F73">
        <w:rPr>
          <w:rFonts w:ascii="Arial" w:hAnsi="Arial" w:cs="Arial"/>
          <w:color w:val="auto"/>
        </w:rPr>
        <w:t>Kim H, Neubert JK, San Miguel A, Xu K, Krishnaraju RK, Iadarola MJ, Goldman D, Dionne RA.</w:t>
      </w:r>
    </w:p>
    <w:p w14:paraId="3AD24A4B" w14:textId="77777777" w:rsidR="006249BF" w:rsidRPr="00D61F73" w:rsidRDefault="00751163" w:rsidP="00D61F73">
      <w:pPr>
        <w:shd w:val="clear" w:color="auto" w:fill="FFFFFF"/>
        <w:rPr>
          <w:rFonts w:ascii="Arial" w:hAnsi="Arial" w:cs="Arial"/>
          <w:color w:val="auto"/>
        </w:rPr>
      </w:pPr>
      <w:hyperlink r:id="rId25" w:history="1">
        <w:r w:rsidR="006249BF" w:rsidRPr="00D61F73">
          <w:rPr>
            <w:rFonts w:ascii="Arial" w:hAnsi="Arial" w:cs="Arial"/>
            <w:bCs/>
            <w:color w:val="auto"/>
          </w:rPr>
          <w:t>Genetic</w:t>
        </w:r>
        <w:r w:rsidR="006249BF" w:rsidRPr="00D61F73">
          <w:rPr>
            <w:rFonts w:ascii="Arial" w:hAnsi="Arial" w:cs="Arial"/>
            <w:color w:val="auto"/>
          </w:rPr>
          <w:t xml:space="preserve"> </w:t>
        </w:r>
        <w:r w:rsidR="006249BF" w:rsidRPr="00D61F73">
          <w:rPr>
            <w:rFonts w:ascii="Arial" w:hAnsi="Arial" w:cs="Arial"/>
            <w:bCs/>
            <w:color w:val="auto"/>
          </w:rPr>
          <w:t>influence</w:t>
        </w:r>
        <w:r w:rsidR="006249BF" w:rsidRPr="00D61F73">
          <w:rPr>
            <w:rFonts w:ascii="Arial" w:hAnsi="Arial" w:cs="Arial"/>
            <w:color w:val="auto"/>
          </w:rPr>
          <w:t xml:space="preserve"> on </w:t>
        </w:r>
        <w:r w:rsidR="006249BF" w:rsidRPr="00D61F73">
          <w:rPr>
            <w:rFonts w:ascii="Arial" w:hAnsi="Arial" w:cs="Arial"/>
            <w:bCs/>
            <w:color w:val="auto"/>
          </w:rPr>
          <w:t>variability</w:t>
        </w:r>
        <w:r w:rsidR="006249BF" w:rsidRPr="00D61F73">
          <w:rPr>
            <w:rFonts w:ascii="Arial" w:hAnsi="Arial" w:cs="Arial"/>
            <w:color w:val="auto"/>
          </w:rPr>
          <w:t xml:space="preserve"> in </w:t>
        </w:r>
        <w:r w:rsidR="006249BF" w:rsidRPr="00D61F73">
          <w:rPr>
            <w:rFonts w:ascii="Arial" w:hAnsi="Arial" w:cs="Arial"/>
            <w:bCs/>
            <w:color w:val="auto"/>
          </w:rPr>
          <w:t>human</w:t>
        </w:r>
        <w:r w:rsidR="006249BF" w:rsidRPr="00D61F73">
          <w:rPr>
            <w:rFonts w:ascii="Arial" w:hAnsi="Arial" w:cs="Arial"/>
            <w:color w:val="auto"/>
          </w:rPr>
          <w:t xml:space="preserve"> </w:t>
        </w:r>
        <w:r w:rsidR="006249BF" w:rsidRPr="00D61F73">
          <w:rPr>
            <w:rFonts w:ascii="Arial" w:hAnsi="Arial" w:cs="Arial"/>
            <w:bCs/>
            <w:color w:val="auto"/>
          </w:rPr>
          <w:t>acute</w:t>
        </w:r>
        <w:r w:rsidR="006249BF" w:rsidRPr="00D61F73">
          <w:rPr>
            <w:rFonts w:ascii="Arial" w:hAnsi="Arial" w:cs="Arial"/>
            <w:color w:val="auto"/>
          </w:rPr>
          <w:t xml:space="preserve"> </w:t>
        </w:r>
        <w:r w:rsidR="006249BF" w:rsidRPr="00D61F73">
          <w:rPr>
            <w:rFonts w:ascii="Arial" w:hAnsi="Arial" w:cs="Arial"/>
            <w:bCs/>
            <w:color w:val="auto"/>
          </w:rPr>
          <w:t>experimental</w:t>
        </w:r>
        <w:r w:rsidR="006249BF" w:rsidRPr="00D61F73">
          <w:rPr>
            <w:rFonts w:ascii="Arial" w:hAnsi="Arial" w:cs="Arial"/>
            <w:color w:val="auto"/>
          </w:rPr>
          <w:t xml:space="preserve"> </w:t>
        </w:r>
        <w:r w:rsidR="006249BF" w:rsidRPr="00D61F73">
          <w:rPr>
            <w:rFonts w:ascii="Arial" w:hAnsi="Arial" w:cs="Arial"/>
            <w:bCs/>
            <w:color w:val="auto"/>
          </w:rPr>
          <w:t>pain sensitivity</w:t>
        </w:r>
        <w:r w:rsidR="006249BF" w:rsidRPr="00D61F73">
          <w:rPr>
            <w:rFonts w:ascii="Arial" w:hAnsi="Arial" w:cs="Arial"/>
            <w:color w:val="auto"/>
          </w:rPr>
          <w:t xml:space="preserve"> </w:t>
        </w:r>
        <w:r w:rsidR="006249BF" w:rsidRPr="00D61F73">
          <w:rPr>
            <w:rFonts w:ascii="Arial" w:hAnsi="Arial" w:cs="Arial"/>
            <w:bCs/>
            <w:color w:val="auto"/>
          </w:rPr>
          <w:t>associated</w:t>
        </w:r>
        <w:r w:rsidR="006249BF" w:rsidRPr="00D61F73">
          <w:rPr>
            <w:rFonts w:ascii="Arial" w:hAnsi="Arial" w:cs="Arial"/>
            <w:color w:val="auto"/>
          </w:rPr>
          <w:t xml:space="preserve"> with gender, ethnicity and psychological temperament.</w:t>
        </w:r>
      </w:hyperlink>
      <w:r w:rsidR="006249BF" w:rsidRPr="00D61F73">
        <w:rPr>
          <w:rFonts w:ascii="Arial" w:hAnsi="Arial" w:cs="Arial"/>
          <w:color w:val="auto"/>
        </w:rPr>
        <w:t xml:space="preserve"> </w:t>
      </w:r>
      <w:r w:rsidR="006249BF" w:rsidRPr="00D61F73">
        <w:rPr>
          <w:rFonts w:ascii="Arial" w:hAnsi="Arial" w:cs="Arial"/>
          <w:bCs/>
          <w:i/>
          <w:color w:val="auto"/>
        </w:rPr>
        <w:t>Pain</w:t>
      </w:r>
      <w:r w:rsidR="006249BF" w:rsidRPr="00D61F73">
        <w:rPr>
          <w:rFonts w:ascii="Arial" w:hAnsi="Arial" w:cs="Arial"/>
          <w:i/>
          <w:color w:val="auto"/>
        </w:rPr>
        <w:t>.</w:t>
      </w:r>
      <w:r w:rsidR="006249BF" w:rsidRPr="00D61F73">
        <w:rPr>
          <w:rFonts w:ascii="Arial" w:hAnsi="Arial" w:cs="Arial"/>
          <w:color w:val="auto"/>
        </w:rPr>
        <w:t xml:space="preserve"> 2004;109:488-96.</w:t>
      </w:r>
    </w:p>
    <w:p w14:paraId="3078EAED" w14:textId="77777777" w:rsidR="006249BF" w:rsidRPr="00D61F73" w:rsidRDefault="006249BF" w:rsidP="00D61F73">
      <w:pPr>
        <w:autoSpaceDE w:val="0"/>
        <w:autoSpaceDN w:val="0"/>
        <w:adjustRightInd w:val="0"/>
        <w:rPr>
          <w:rFonts w:ascii="Arial" w:hAnsi="Arial" w:cs="Arial"/>
          <w:color w:val="auto"/>
        </w:rPr>
      </w:pPr>
    </w:p>
    <w:p w14:paraId="29D94B1C" w14:textId="77777777" w:rsidR="006249BF" w:rsidRPr="00D61F73" w:rsidRDefault="006249BF" w:rsidP="00D61F73">
      <w:pPr>
        <w:tabs>
          <w:tab w:val="left" w:pos="1890"/>
        </w:tabs>
        <w:autoSpaceDE w:val="0"/>
        <w:autoSpaceDN w:val="0"/>
        <w:adjustRightInd w:val="0"/>
        <w:rPr>
          <w:rFonts w:ascii="Arial" w:hAnsi="Arial" w:cs="Arial"/>
          <w:color w:val="auto"/>
        </w:rPr>
      </w:pPr>
      <w:bookmarkStart w:id="28" w:name="Kindler2011"/>
      <w:bookmarkEnd w:id="28"/>
      <w:r w:rsidRPr="00D61F73">
        <w:rPr>
          <w:rFonts w:ascii="Arial" w:hAnsi="Arial" w:cs="Arial"/>
          <w:color w:val="auto"/>
        </w:rPr>
        <w:lastRenderedPageBreak/>
        <w:t>Kindler</w:t>
      </w:r>
      <w:r w:rsidR="008424E3" w:rsidRPr="00D61F73">
        <w:rPr>
          <w:rFonts w:ascii="Arial" w:hAnsi="Arial" w:cs="Arial"/>
          <w:color w:val="auto"/>
        </w:rPr>
        <w:t xml:space="preserve"> </w:t>
      </w:r>
      <w:r w:rsidRPr="00D61F73">
        <w:rPr>
          <w:rFonts w:ascii="Arial" w:hAnsi="Arial" w:cs="Arial"/>
          <w:color w:val="auto"/>
        </w:rPr>
        <w:t>LL, Bennett</w:t>
      </w:r>
      <w:r w:rsidR="008424E3" w:rsidRPr="00D61F73">
        <w:rPr>
          <w:rFonts w:ascii="Arial" w:hAnsi="Arial" w:cs="Arial"/>
          <w:color w:val="auto"/>
        </w:rPr>
        <w:t xml:space="preserve"> RM</w:t>
      </w:r>
      <w:r w:rsidRPr="00D61F73">
        <w:rPr>
          <w:rFonts w:ascii="Arial" w:hAnsi="Arial" w:cs="Arial"/>
          <w:color w:val="auto"/>
        </w:rPr>
        <w:t>, Jones</w:t>
      </w:r>
      <w:r w:rsidR="008424E3" w:rsidRPr="00D61F73">
        <w:rPr>
          <w:rFonts w:ascii="Arial" w:hAnsi="Arial" w:cs="Arial"/>
          <w:color w:val="auto"/>
        </w:rPr>
        <w:t xml:space="preserve"> KD</w:t>
      </w:r>
      <w:r w:rsidRPr="00D61F73">
        <w:rPr>
          <w:rFonts w:ascii="Arial" w:hAnsi="Arial" w:cs="Arial"/>
          <w:color w:val="auto"/>
        </w:rPr>
        <w:t>. Central sensitivity syndromes: Mounting pathophysiologic evidence to link fibromyalgia with other common chronic pain disorders.</w:t>
      </w:r>
      <w:r w:rsidR="00BE743D" w:rsidRPr="00D61F73">
        <w:rPr>
          <w:rFonts w:ascii="Arial" w:hAnsi="Arial" w:cs="Arial"/>
          <w:color w:val="auto"/>
        </w:rPr>
        <w:t xml:space="preserve"> </w:t>
      </w:r>
      <w:r w:rsidR="00BE743D" w:rsidRPr="00D61F73">
        <w:rPr>
          <w:rFonts w:ascii="Arial" w:hAnsi="Arial" w:cs="Arial"/>
          <w:i/>
          <w:iCs/>
          <w:color w:val="auto"/>
        </w:rPr>
        <w:t>Pain Manag Nurs</w:t>
      </w:r>
      <w:r w:rsidR="00BC45EE" w:rsidRPr="00D61F73">
        <w:rPr>
          <w:rFonts w:ascii="Arial" w:hAnsi="Arial" w:cs="Arial"/>
          <w:i/>
          <w:iCs/>
          <w:color w:val="auto"/>
        </w:rPr>
        <w:t>.</w:t>
      </w:r>
      <w:r w:rsidRPr="00D61F73">
        <w:rPr>
          <w:rFonts w:ascii="Arial" w:hAnsi="Arial" w:cs="Arial"/>
          <w:i/>
          <w:iCs/>
          <w:color w:val="auto"/>
        </w:rPr>
        <w:t xml:space="preserve"> </w:t>
      </w:r>
      <w:r w:rsidR="008424E3" w:rsidRPr="00D61F73">
        <w:rPr>
          <w:rFonts w:ascii="Arial" w:hAnsi="Arial" w:cs="Arial"/>
          <w:iCs/>
          <w:color w:val="auto"/>
        </w:rPr>
        <w:t>2011;</w:t>
      </w:r>
      <w:r w:rsidRPr="00D61F73">
        <w:rPr>
          <w:rFonts w:ascii="Arial" w:hAnsi="Arial" w:cs="Arial"/>
          <w:color w:val="auto"/>
        </w:rPr>
        <w:t>12(1):15-24.</w:t>
      </w:r>
    </w:p>
    <w:p w14:paraId="10232FD1" w14:textId="77777777" w:rsidR="006249BF" w:rsidRPr="00D61F73" w:rsidRDefault="006249BF" w:rsidP="00D61F73">
      <w:pPr>
        <w:jc w:val="both"/>
        <w:rPr>
          <w:rFonts w:ascii="Arial" w:hAnsi="Arial" w:cs="Arial"/>
          <w:color w:val="auto"/>
        </w:rPr>
      </w:pPr>
    </w:p>
    <w:p w14:paraId="30EE12B5" w14:textId="77777777" w:rsidR="006249BF" w:rsidRPr="00D61F73" w:rsidRDefault="006249BF" w:rsidP="00D61F73">
      <w:pPr>
        <w:jc w:val="both"/>
        <w:rPr>
          <w:rFonts w:ascii="Arial" w:hAnsi="Arial" w:cs="Arial"/>
          <w:color w:val="auto"/>
        </w:rPr>
      </w:pPr>
      <w:bookmarkStart w:id="29" w:name="Linton2000"/>
      <w:bookmarkEnd w:id="29"/>
      <w:r w:rsidRPr="00D61F73">
        <w:rPr>
          <w:rFonts w:ascii="Arial" w:hAnsi="Arial" w:cs="Arial"/>
          <w:color w:val="auto"/>
        </w:rPr>
        <w:t>Linton</w:t>
      </w:r>
      <w:r w:rsidR="008424E3" w:rsidRPr="00D61F73">
        <w:rPr>
          <w:rFonts w:ascii="Arial" w:hAnsi="Arial" w:cs="Arial"/>
          <w:color w:val="auto"/>
        </w:rPr>
        <w:t xml:space="preserve"> </w:t>
      </w:r>
      <w:r w:rsidRPr="00D61F73">
        <w:rPr>
          <w:rFonts w:ascii="Arial" w:hAnsi="Arial" w:cs="Arial"/>
          <w:color w:val="auto"/>
        </w:rPr>
        <w:t>S. A review of psychological risk factors in back and neck pain.</w:t>
      </w:r>
      <w:r w:rsidR="008424E3" w:rsidRPr="00D61F73">
        <w:rPr>
          <w:rFonts w:ascii="Arial" w:hAnsi="Arial" w:cs="Arial"/>
          <w:color w:val="auto"/>
        </w:rPr>
        <w:t xml:space="preserve"> </w:t>
      </w:r>
      <w:r w:rsidRPr="00D61F73">
        <w:rPr>
          <w:rFonts w:ascii="Arial" w:hAnsi="Arial" w:cs="Arial"/>
          <w:i/>
          <w:color w:val="auto"/>
        </w:rPr>
        <w:t>Spine</w:t>
      </w:r>
      <w:r w:rsidR="00BC45EE" w:rsidRPr="00D61F73">
        <w:rPr>
          <w:rFonts w:ascii="Arial" w:hAnsi="Arial" w:cs="Arial"/>
          <w:i/>
          <w:color w:val="auto"/>
        </w:rPr>
        <w:t>.</w:t>
      </w:r>
      <w:r w:rsidRPr="00D61F73">
        <w:rPr>
          <w:rFonts w:ascii="Arial" w:hAnsi="Arial" w:cs="Arial"/>
          <w:color w:val="auto"/>
        </w:rPr>
        <w:t xml:space="preserve"> </w:t>
      </w:r>
      <w:r w:rsidR="008424E3" w:rsidRPr="00D61F73">
        <w:rPr>
          <w:rFonts w:ascii="Arial" w:hAnsi="Arial" w:cs="Arial"/>
          <w:color w:val="auto"/>
        </w:rPr>
        <w:t>2000;</w:t>
      </w:r>
      <w:r w:rsidRPr="00D61F73">
        <w:rPr>
          <w:rFonts w:ascii="Arial" w:hAnsi="Arial" w:cs="Arial"/>
          <w:color w:val="auto"/>
        </w:rPr>
        <w:t>25 (9): 1148-56.</w:t>
      </w:r>
    </w:p>
    <w:p w14:paraId="425A5379" w14:textId="77777777" w:rsidR="006249BF" w:rsidRPr="00D61F73" w:rsidRDefault="006249BF" w:rsidP="00D61F73">
      <w:pPr>
        <w:jc w:val="both"/>
        <w:rPr>
          <w:rFonts w:ascii="Arial" w:hAnsi="Arial" w:cs="Arial"/>
          <w:color w:val="auto"/>
        </w:rPr>
      </w:pPr>
    </w:p>
    <w:p w14:paraId="1E410E91" w14:textId="77777777" w:rsidR="006249BF" w:rsidRDefault="006249BF" w:rsidP="00D61F73">
      <w:pPr>
        <w:jc w:val="both"/>
        <w:rPr>
          <w:rFonts w:ascii="Arial" w:hAnsi="Arial" w:cs="Arial"/>
          <w:color w:val="auto"/>
        </w:rPr>
      </w:pPr>
      <w:bookmarkStart w:id="30" w:name="Malhotra2012"/>
      <w:bookmarkEnd w:id="30"/>
      <w:r w:rsidRPr="00D61F73">
        <w:rPr>
          <w:rFonts w:ascii="Arial" w:hAnsi="Arial" w:cs="Arial"/>
          <w:color w:val="auto"/>
        </w:rPr>
        <w:t xml:space="preserve">Malhotra A, Mackey S. Outcomes in </w:t>
      </w:r>
      <w:r w:rsidR="008424E3" w:rsidRPr="00D61F73">
        <w:rPr>
          <w:rFonts w:ascii="Arial" w:hAnsi="Arial" w:cs="Arial"/>
          <w:color w:val="auto"/>
        </w:rPr>
        <w:t>p</w:t>
      </w:r>
      <w:r w:rsidRPr="00D61F73">
        <w:rPr>
          <w:rFonts w:ascii="Arial" w:hAnsi="Arial" w:cs="Arial"/>
          <w:color w:val="auto"/>
        </w:rPr>
        <w:t xml:space="preserve">ain </w:t>
      </w:r>
      <w:r w:rsidR="008424E3" w:rsidRPr="00D61F73">
        <w:rPr>
          <w:rFonts w:ascii="Arial" w:hAnsi="Arial" w:cs="Arial"/>
          <w:color w:val="auto"/>
        </w:rPr>
        <w:t>m</w:t>
      </w:r>
      <w:r w:rsidRPr="00D61F73">
        <w:rPr>
          <w:rFonts w:ascii="Arial" w:hAnsi="Arial" w:cs="Arial"/>
          <w:color w:val="auto"/>
        </w:rPr>
        <w:t xml:space="preserve">edicine: </w:t>
      </w:r>
      <w:r w:rsidR="008424E3" w:rsidRPr="00D61F73">
        <w:rPr>
          <w:rFonts w:ascii="Arial" w:hAnsi="Arial" w:cs="Arial"/>
          <w:color w:val="auto"/>
        </w:rPr>
        <w:t>a</w:t>
      </w:r>
      <w:r w:rsidRPr="00D61F73">
        <w:rPr>
          <w:rFonts w:ascii="Arial" w:hAnsi="Arial" w:cs="Arial"/>
          <w:color w:val="auto"/>
        </w:rPr>
        <w:t xml:space="preserve"> </w:t>
      </w:r>
      <w:r w:rsidR="008424E3" w:rsidRPr="00D61F73">
        <w:rPr>
          <w:rFonts w:ascii="Arial" w:hAnsi="Arial" w:cs="Arial"/>
          <w:color w:val="auto"/>
        </w:rPr>
        <w:t>r</w:t>
      </w:r>
      <w:r w:rsidRPr="00D61F73">
        <w:rPr>
          <w:rFonts w:ascii="Arial" w:hAnsi="Arial" w:cs="Arial"/>
          <w:color w:val="auto"/>
        </w:rPr>
        <w:t>eview</w:t>
      </w:r>
      <w:r w:rsidR="008424E3" w:rsidRPr="00D61F73">
        <w:rPr>
          <w:rFonts w:ascii="Arial" w:hAnsi="Arial" w:cs="Arial"/>
          <w:color w:val="auto"/>
        </w:rPr>
        <w:t xml:space="preserve">. </w:t>
      </w:r>
      <w:r w:rsidRPr="00D61F73">
        <w:rPr>
          <w:rFonts w:ascii="Arial" w:hAnsi="Arial" w:cs="Arial"/>
          <w:i/>
          <w:color w:val="auto"/>
        </w:rPr>
        <w:t>Pain and Therapy</w:t>
      </w:r>
      <w:r w:rsidR="009934A1" w:rsidRPr="00D61F73">
        <w:rPr>
          <w:rFonts w:ascii="Arial" w:hAnsi="Arial" w:cs="Arial"/>
          <w:i/>
          <w:color w:val="auto"/>
        </w:rPr>
        <w:t xml:space="preserve">. </w:t>
      </w:r>
      <w:r w:rsidR="009934A1" w:rsidRPr="00D61F73">
        <w:rPr>
          <w:rFonts w:ascii="Arial" w:hAnsi="Arial" w:cs="Arial"/>
          <w:color w:val="auto"/>
        </w:rPr>
        <w:t xml:space="preserve"> 2012; Dec; 1(1):5. </w:t>
      </w:r>
    </w:p>
    <w:p w14:paraId="779AE273" w14:textId="77777777" w:rsidR="00F5471E" w:rsidRDefault="00F5471E" w:rsidP="00D61F73">
      <w:pPr>
        <w:jc w:val="both"/>
        <w:rPr>
          <w:rFonts w:ascii="Arial" w:hAnsi="Arial" w:cs="Arial"/>
          <w:color w:val="auto"/>
        </w:rPr>
      </w:pPr>
    </w:p>
    <w:p w14:paraId="0BEE4ABE" w14:textId="136BA0DA" w:rsidR="00F5471E" w:rsidRPr="00D61F73" w:rsidRDefault="00F5471E" w:rsidP="00D61F73">
      <w:pPr>
        <w:jc w:val="both"/>
        <w:rPr>
          <w:rFonts w:ascii="Arial" w:hAnsi="Arial" w:cs="Arial"/>
          <w:color w:val="auto"/>
        </w:rPr>
      </w:pPr>
      <w:bookmarkStart w:id="31" w:name="Martucci2014"/>
      <w:bookmarkEnd w:id="31"/>
      <w:r w:rsidRPr="00F5471E">
        <w:rPr>
          <w:rFonts w:ascii="Arial" w:hAnsi="Arial" w:cs="Arial"/>
          <w:color w:val="auto"/>
        </w:rPr>
        <w:t>Martucci, K. N</w:t>
      </w:r>
      <w:r>
        <w:rPr>
          <w:rFonts w:ascii="Arial" w:hAnsi="Arial" w:cs="Arial"/>
          <w:color w:val="auto"/>
        </w:rPr>
        <w:t>g  P. Mackey</w:t>
      </w:r>
      <w:r w:rsidR="00A86E74">
        <w:rPr>
          <w:rFonts w:ascii="Arial" w:hAnsi="Arial" w:cs="Arial"/>
          <w:color w:val="auto"/>
        </w:rPr>
        <w:t xml:space="preserve"> S</w:t>
      </w:r>
      <w:r w:rsidRPr="00F5471E">
        <w:rPr>
          <w:rFonts w:ascii="Arial" w:hAnsi="Arial" w:cs="Arial"/>
          <w:color w:val="auto"/>
        </w:rPr>
        <w:t xml:space="preserve">. Neuroimaging chronic pain: what have we learned and where are we going? </w:t>
      </w:r>
      <w:r w:rsidRPr="00F5471E">
        <w:rPr>
          <w:rFonts w:ascii="Arial" w:hAnsi="Arial" w:cs="Arial"/>
          <w:i/>
          <w:color w:val="auto"/>
        </w:rPr>
        <w:t xml:space="preserve">Future Neurol, </w:t>
      </w:r>
      <w:r w:rsidR="00F336DE" w:rsidRPr="00F336DE">
        <w:rPr>
          <w:rFonts w:ascii="Arial" w:hAnsi="Arial" w:cs="Arial"/>
          <w:color w:val="auto"/>
        </w:rPr>
        <w:t>2014;</w:t>
      </w:r>
      <w:r w:rsidR="00F336DE">
        <w:rPr>
          <w:rFonts w:ascii="Arial" w:hAnsi="Arial" w:cs="Arial"/>
          <w:color w:val="auto"/>
        </w:rPr>
        <w:t>9(6): 615-626</w:t>
      </w:r>
      <w:r w:rsidR="00A86E74">
        <w:rPr>
          <w:rFonts w:ascii="Arial" w:hAnsi="Arial" w:cs="Arial"/>
          <w:color w:val="auto"/>
        </w:rPr>
        <w:t>.</w:t>
      </w:r>
    </w:p>
    <w:p w14:paraId="1449B2D7" w14:textId="77777777" w:rsidR="00281633" w:rsidRPr="00D61F73" w:rsidRDefault="00281633" w:rsidP="00D61F73">
      <w:pPr>
        <w:jc w:val="both"/>
        <w:rPr>
          <w:rFonts w:ascii="Arial" w:hAnsi="Arial" w:cs="Arial"/>
          <w:color w:val="auto"/>
        </w:rPr>
      </w:pPr>
    </w:p>
    <w:p w14:paraId="6A5EA59D" w14:textId="77777777" w:rsidR="006249BF" w:rsidRPr="00D61F73" w:rsidRDefault="006249BF" w:rsidP="00D61F73">
      <w:pPr>
        <w:jc w:val="both"/>
        <w:rPr>
          <w:rFonts w:ascii="Arial" w:hAnsi="Arial" w:cs="Arial"/>
          <w:color w:val="auto"/>
        </w:rPr>
      </w:pPr>
      <w:r w:rsidRPr="00D61F73">
        <w:rPr>
          <w:rFonts w:ascii="Arial" w:hAnsi="Arial" w:cs="Arial"/>
          <w:color w:val="auto"/>
        </w:rPr>
        <w:t>Medical Board of California,</w:t>
      </w:r>
      <w:r w:rsidR="002B2703" w:rsidRPr="00D61F73">
        <w:rPr>
          <w:rFonts w:ascii="Arial" w:hAnsi="Arial" w:cs="Arial"/>
          <w:color w:val="auto"/>
        </w:rPr>
        <w:t xml:space="preserve"> Guidelines for Prescribing Controlled Substances for Pain. November 2014. </w:t>
      </w:r>
      <w:r w:rsidR="00BA6340" w:rsidRPr="00D61F73">
        <w:rPr>
          <w:rFonts w:ascii="Arial" w:hAnsi="Arial" w:cs="Arial"/>
          <w:color w:val="auto"/>
        </w:rPr>
        <w:t xml:space="preserve"> </w:t>
      </w:r>
      <w:hyperlink r:id="rId26" w:history="1">
        <w:r w:rsidR="002B2703" w:rsidRPr="00D61F73">
          <w:rPr>
            <w:rStyle w:val="Hyperlink"/>
            <w:rFonts w:ascii="Arial" w:hAnsi="Arial" w:cs="Arial"/>
          </w:rPr>
          <w:t>http://www.mbc.ca.gov/Licensees/Prescribing/Pain_Guidelines.pdf</w:t>
        </w:r>
      </w:hyperlink>
      <w:r w:rsidR="002B2703" w:rsidRPr="00D61F73">
        <w:rPr>
          <w:rFonts w:ascii="Arial" w:hAnsi="Arial" w:cs="Arial"/>
          <w:color w:val="auto"/>
        </w:rPr>
        <w:t xml:space="preserve">  </w:t>
      </w:r>
    </w:p>
    <w:p w14:paraId="567C9AE7" w14:textId="77777777" w:rsidR="006249BF" w:rsidRPr="00D61F73" w:rsidRDefault="006249BF" w:rsidP="00D61F73">
      <w:pPr>
        <w:jc w:val="both"/>
        <w:rPr>
          <w:rFonts w:ascii="Arial" w:hAnsi="Arial" w:cs="Arial"/>
          <w:color w:val="auto"/>
        </w:rPr>
      </w:pPr>
      <w:bookmarkStart w:id="32" w:name="Melzack1996"/>
      <w:bookmarkEnd w:id="32"/>
    </w:p>
    <w:p w14:paraId="054F6950" w14:textId="77777777" w:rsidR="006249BF" w:rsidRPr="00D61F73" w:rsidRDefault="006249BF" w:rsidP="00D61F73">
      <w:pPr>
        <w:jc w:val="both"/>
        <w:rPr>
          <w:rFonts w:ascii="Arial" w:hAnsi="Arial" w:cs="Arial"/>
          <w:b/>
          <w:color w:val="auto"/>
        </w:rPr>
      </w:pPr>
      <w:bookmarkStart w:id="33" w:name="Merskey1994"/>
      <w:bookmarkEnd w:id="33"/>
      <w:r w:rsidRPr="00D61F73">
        <w:rPr>
          <w:rFonts w:ascii="Arial" w:hAnsi="Arial" w:cs="Arial"/>
          <w:color w:val="auto"/>
        </w:rPr>
        <w:t>Merskey</w:t>
      </w:r>
      <w:r w:rsidR="008424E3" w:rsidRPr="00D61F73">
        <w:rPr>
          <w:rFonts w:ascii="Arial" w:hAnsi="Arial" w:cs="Arial"/>
          <w:color w:val="auto"/>
        </w:rPr>
        <w:t xml:space="preserve"> </w:t>
      </w:r>
      <w:r w:rsidRPr="00D61F73">
        <w:rPr>
          <w:rFonts w:ascii="Arial" w:hAnsi="Arial" w:cs="Arial"/>
          <w:color w:val="auto"/>
        </w:rPr>
        <w:t>H</w:t>
      </w:r>
      <w:r w:rsidR="008424E3" w:rsidRPr="00D61F73">
        <w:rPr>
          <w:rFonts w:ascii="Arial" w:hAnsi="Arial" w:cs="Arial"/>
          <w:color w:val="auto"/>
        </w:rPr>
        <w:t xml:space="preserve">, </w:t>
      </w:r>
      <w:r w:rsidRPr="00D61F73">
        <w:rPr>
          <w:rFonts w:ascii="Arial" w:hAnsi="Arial" w:cs="Arial"/>
          <w:color w:val="auto"/>
        </w:rPr>
        <w:t>Bogduk</w:t>
      </w:r>
      <w:r w:rsidR="008424E3" w:rsidRPr="00D61F73">
        <w:rPr>
          <w:rFonts w:ascii="Arial" w:hAnsi="Arial" w:cs="Arial"/>
          <w:color w:val="auto"/>
        </w:rPr>
        <w:t xml:space="preserve"> N.</w:t>
      </w:r>
      <w:r w:rsidRPr="00D61F73">
        <w:rPr>
          <w:rFonts w:ascii="Arial" w:hAnsi="Arial" w:cs="Arial"/>
          <w:color w:val="auto"/>
        </w:rPr>
        <w:t xml:space="preserve"> </w:t>
      </w:r>
      <w:r w:rsidRPr="00D61F73">
        <w:rPr>
          <w:rFonts w:ascii="Arial" w:hAnsi="Arial" w:cs="Arial"/>
          <w:i/>
          <w:color w:val="auto"/>
        </w:rPr>
        <w:t xml:space="preserve">Classification of </w:t>
      </w:r>
      <w:r w:rsidR="008424E3" w:rsidRPr="00D61F73">
        <w:rPr>
          <w:rFonts w:ascii="Arial" w:hAnsi="Arial" w:cs="Arial"/>
          <w:i/>
          <w:color w:val="auto"/>
        </w:rPr>
        <w:t>C</w:t>
      </w:r>
      <w:r w:rsidRPr="00D61F73">
        <w:rPr>
          <w:rFonts w:ascii="Arial" w:hAnsi="Arial" w:cs="Arial"/>
          <w:i/>
          <w:color w:val="auto"/>
        </w:rPr>
        <w:t xml:space="preserve">hronic </w:t>
      </w:r>
      <w:r w:rsidR="008424E3" w:rsidRPr="00D61F73">
        <w:rPr>
          <w:rFonts w:ascii="Arial" w:hAnsi="Arial" w:cs="Arial"/>
          <w:i/>
          <w:color w:val="auto"/>
        </w:rPr>
        <w:t>P</w:t>
      </w:r>
      <w:r w:rsidRPr="00D61F73">
        <w:rPr>
          <w:rFonts w:ascii="Arial" w:hAnsi="Arial" w:cs="Arial"/>
          <w:i/>
          <w:color w:val="auto"/>
        </w:rPr>
        <w:t xml:space="preserve">ain: </w:t>
      </w:r>
      <w:r w:rsidR="008424E3" w:rsidRPr="00D61F73">
        <w:rPr>
          <w:rFonts w:ascii="Arial" w:hAnsi="Arial" w:cs="Arial"/>
          <w:i/>
          <w:color w:val="auto"/>
        </w:rPr>
        <w:t>D</w:t>
      </w:r>
      <w:r w:rsidRPr="00D61F73">
        <w:rPr>
          <w:rFonts w:ascii="Arial" w:hAnsi="Arial" w:cs="Arial"/>
          <w:i/>
          <w:color w:val="auto"/>
        </w:rPr>
        <w:t xml:space="preserve">escriptions of </w:t>
      </w:r>
      <w:r w:rsidR="008424E3" w:rsidRPr="00D61F73">
        <w:rPr>
          <w:rFonts w:ascii="Arial" w:hAnsi="Arial" w:cs="Arial"/>
          <w:i/>
          <w:color w:val="auto"/>
        </w:rPr>
        <w:t>C</w:t>
      </w:r>
      <w:r w:rsidRPr="00D61F73">
        <w:rPr>
          <w:rFonts w:ascii="Arial" w:hAnsi="Arial" w:cs="Arial"/>
          <w:i/>
          <w:color w:val="auto"/>
        </w:rPr>
        <w:t xml:space="preserve">hronic </w:t>
      </w:r>
      <w:r w:rsidR="008424E3" w:rsidRPr="00D61F73">
        <w:rPr>
          <w:rFonts w:ascii="Arial" w:hAnsi="Arial" w:cs="Arial"/>
          <w:i/>
          <w:color w:val="auto"/>
        </w:rPr>
        <w:t>P</w:t>
      </w:r>
      <w:r w:rsidRPr="00D61F73">
        <w:rPr>
          <w:rFonts w:ascii="Arial" w:hAnsi="Arial" w:cs="Arial"/>
          <w:i/>
          <w:color w:val="auto"/>
        </w:rPr>
        <w:t xml:space="preserve">ain </w:t>
      </w:r>
      <w:r w:rsidR="008424E3" w:rsidRPr="00D61F73">
        <w:rPr>
          <w:rFonts w:ascii="Arial" w:hAnsi="Arial" w:cs="Arial"/>
          <w:i/>
          <w:color w:val="auto"/>
        </w:rPr>
        <w:t>S</w:t>
      </w:r>
      <w:r w:rsidRPr="00D61F73">
        <w:rPr>
          <w:rFonts w:ascii="Arial" w:hAnsi="Arial" w:cs="Arial"/>
          <w:i/>
          <w:color w:val="auto"/>
        </w:rPr>
        <w:t xml:space="preserve">yndromes and </w:t>
      </w:r>
      <w:r w:rsidR="008424E3" w:rsidRPr="00D61F73">
        <w:rPr>
          <w:rFonts w:ascii="Arial" w:hAnsi="Arial" w:cs="Arial"/>
          <w:i/>
          <w:color w:val="auto"/>
        </w:rPr>
        <w:t>D</w:t>
      </w:r>
      <w:r w:rsidRPr="00D61F73">
        <w:rPr>
          <w:rFonts w:ascii="Arial" w:hAnsi="Arial" w:cs="Arial"/>
          <w:i/>
          <w:color w:val="auto"/>
        </w:rPr>
        <w:t xml:space="preserve">efinitions of </w:t>
      </w:r>
      <w:r w:rsidR="008424E3" w:rsidRPr="00D61F73">
        <w:rPr>
          <w:rFonts w:ascii="Arial" w:hAnsi="Arial" w:cs="Arial"/>
          <w:i/>
          <w:color w:val="auto"/>
        </w:rPr>
        <w:t>P</w:t>
      </w:r>
      <w:r w:rsidRPr="00D61F73">
        <w:rPr>
          <w:rFonts w:ascii="Arial" w:hAnsi="Arial" w:cs="Arial"/>
          <w:i/>
          <w:color w:val="auto"/>
        </w:rPr>
        <w:t xml:space="preserve">ain </w:t>
      </w:r>
      <w:r w:rsidR="008424E3" w:rsidRPr="00D61F73">
        <w:rPr>
          <w:rFonts w:ascii="Arial" w:hAnsi="Arial" w:cs="Arial"/>
          <w:i/>
          <w:color w:val="auto"/>
        </w:rPr>
        <w:t>T</w:t>
      </w:r>
      <w:r w:rsidRPr="00D61F73">
        <w:rPr>
          <w:rFonts w:ascii="Arial" w:hAnsi="Arial" w:cs="Arial"/>
          <w:i/>
          <w:color w:val="auto"/>
        </w:rPr>
        <w:t xml:space="preserve">erms. </w:t>
      </w:r>
      <w:r w:rsidRPr="00D61F73">
        <w:rPr>
          <w:rFonts w:ascii="Arial" w:hAnsi="Arial" w:cs="Arial"/>
          <w:color w:val="auto"/>
        </w:rPr>
        <w:t>Seattle, WA, IASP Press.</w:t>
      </w:r>
      <w:r w:rsidR="008424E3" w:rsidRPr="00D61F73">
        <w:rPr>
          <w:rFonts w:ascii="Arial" w:hAnsi="Arial" w:cs="Arial"/>
          <w:color w:val="auto"/>
        </w:rPr>
        <w:t xml:space="preserve"> 1994.</w:t>
      </w:r>
    </w:p>
    <w:p w14:paraId="5287C9EC" w14:textId="77777777" w:rsidR="006249BF" w:rsidRPr="00D61F73" w:rsidRDefault="006249BF" w:rsidP="00D61F73">
      <w:pPr>
        <w:jc w:val="both"/>
        <w:rPr>
          <w:rFonts w:ascii="Arial" w:hAnsi="Arial" w:cs="Arial"/>
          <w:color w:val="auto"/>
        </w:rPr>
      </w:pPr>
    </w:p>
    <w:p w14:paraId="7AB4F950" w14:textId="77777777" w:rsidR="004D74EE" w:rsidRDefault="006249BF" w:rsidP="00D61F73">
      <w:pPr>
        <w:spacing w:after="200"/>
        <w:ind w:right="-20"/>
        <w:rPr>
          <w:rFonts w:ascii="Arial" w:hAnsi="Arial" w:cs="Arial"/>
          <w:color w:val="auto"/>
        </w:rPr>
      </w:pPr>
      <w:bookmarkStart w:id="34" w:name="Morley1999"/>
      <w:bookmarkEnd w:id="34"/>
      <w:r w:rsidRPr="00D61F73">
        <w:rPr>
          <w:rFonts w:ascii="Arial" w:hAnsi="Arial" w:cs="Arial"/>
          <w:color w:val="auto"/>
        </w:rPr>
        <w:t>Morley</w:t>
      </w:r>
      <w:r w:rsidR="008424E3" w:rsidRPr="00D61F73">
        <w:rPr>
          <w:rFonts w:ascii="Arial" w:hAnsi="Arial" w:cs="Arial"/>
          <w:color w:val="auto"/>
        </w:rPr>
        <w:t xml:space="preserve"> </w:t>
      </w:r>
      <w:r w:rsidRPr="00D61F73">
        <w:rPr>
          <w:rFonts w:ascii="Arial" w:hAnsi="Arial" w:cs="Arial"/>
          <w:color w:val="auto"/>
        </w:rPr>
        <w:t>S, Eccleston</w:t>
      </w:r>
      <w:r w:rsidR="008424E3" w:rsidRPr="00D61F73">
        <w:rPr>
          <w:rFonts w:ascii="Arial" w:hAnsi="Arial" w:cs="Arial"/>
          <w:color w:val="auto"/>
        </w:rPr>
        <w:t xml:space="preserve"> </w:t>
      </w:r>
      <w:r w:rsidRPr="00D61F73">
        <w:rPr>
          <w:rFonts w:ascii="Arial" w:hAnsi="Arial" w:cs="Arial"/>
          <w:color w:val="auto"/>
        </w:rPr>
        <w:t>C, Williams</w:t>
      </w:r>
      <w:r w:rsidR="008424E3" w:rsidRPr="00D61F73">
        <w:rPr>
          <w:rFonts w:ascii="Arial" w:hAnsi="Arial" w:cs="Arial"/>
          <w:color w:val="auto"/>
        </w:rPr>
        <w:t xml:space="preserve"> </w:t>
      </w:r>
      <w:r w:rsidRPr="00D61F73">
        <w:rPr>
          <w:rFonts w:ascii="Arial" w:hAnsi="Arial" w:cs="Arial"/>
          <w:color w:val="auto"/>
        </w:rPr>
        <w:t xml:space="preserve">A. Systematic review and meta-analysis of randomized controlled trials of cognitive behavior therapy and behavior therapy for chronic pain in adults, except headache. </w:t>
      </w:r>
      <w:r w:rsidRPr="00D61F73">
        <w:rPr>
          <w:rFonts w:ascii="Arial" w:hAnsi="Arial" w:cs="Arial"/>
          <w:i/>
          <w:color w:val="auto"/>
        </w:rPr>
        <w:t>Pain</w:t>
      </w:r>
      <w:r w:rsidR="008424E3" w:rsidRPr="00D61F73">
        <w:rPr>
          <w:rFonts w:ascii="Arial" w:hAnsi="Arial" w:cs="Arial"/>
          <w:color w:val="auto"/>
        </w:rPr>
        <w:t>.</w:t>
      </w:r>
      <w:r w:rsidRPr="00D61F73">
        <w:rPr>
          <w:rFonts w:ascii="Arial" w:hAnsi="Arial" w:cs="Arial"/>
          <w:color w:val="auto"/>
        </w:rPr>
        <w:t xml:space="preserve"> </w:t>
      </w:r>
      <w:r w:rsidR="008424E3" w:rsidRPr="00D61F73">
        <w:rPr>
          <w:rFonts w:ascii="Arial" w:hAnsi="Arial" w:cs="Arial"/>
          <w:color w:val="auto"/>
        </w:rPr>
        <w:t>1999;</w:t>
      </w:r>
      <w:r w:rsidRPr="00D61F73">
        <w:rPr>
          <w:rFonts w:ascii="Arial" w:hAnsi="Arial" w:cs="Arial"/>
          <w:color w:val="auto"/>
        </w:rPr>
        <w:t>80</w:t>
      </w:r>
      <w:r w:rsidR="008424E3" w:rsidRPr="00D61F73">
        <w:rPr>
          <w:rFonts w:ascii="Arial" w:hAnsi="Arial" w:cs="Arial"/>
          <w:color w:val="auto"/>
        </w:rPr>
        <w:t>:</w:t>
      </w:r>
      <w:r w:rsidRPr="00D61F73">
        <w:rPr>
          <w:rFonts w:ascii="Arial" w:hAnsi="Arial" w:cs="Arial"/>
          <w:color w:val="auto"/>
        </w:rPr>
        <w:t xml:space="preserve"> 1-13.</w:t>
      </w:r>
      <w:bookmarkStart w:id="35" w:name="Skouen"/>
      <w:bookmarkEnd w:id="35"/>
    </w:p>
    <w:p w14:paraId="4BBB332E" w14:textId="0BCD79D6" w:rsidR="0028278C" w:rsidRPr="004D74EE" w:rsidRDefault="0028278C" w:rsidP="00D61F73">
      <w:pPr>
        <w:spacing w:after="200"/>
        <w:ind w:right="-20"/>
        <w:rPr>
          <w:rFonts w:ascii="Arial" w:hAnsi="Arial" w:cs="Arial"/>
          <w:color w:val="auto"/>
        </w:rPr>
      </w:pPr>
      <w:bookmarkStart w:id="36" w:name="Singh2013"/>
      <w:bookmarkEnd w:id="36"/>
      <w:r w:rsidRPr="00C20A40">
        <w:rPr>
          <w:rFonts w:ascii="Arial" w:hAnsi="Arial" w:cs="Arial"/>
          <w:color w:val="auto"/>
          <w:u w:val="single"/>
        </w:rPr>
        <w:t xml:space="preserve">Singh J, Dohm M, Borkhoff C. Total joint replacement surgery versus conservative care for knee osteoarthritis and other non-traumatic diseases. </w:t>
      </w:r>
      <w:r w:rsidRPr="00C20A40">
        <w:rPr>
          <w:rFonts w:ascii="Arial" w:hAnsi="Arial" w:cs="Arial"/>
          <w:i/>
          <w:color w:val="auto"/>
          <w:u w:val="single"/>
        </w:rPr>
        <w:t>Cochrane Database of Systematic Reviews</w:t>
      </w:r>
      <w:r w:rsidRPr="00C20A40">
        <w:rPr>
          <w:rFonts w:ascii="Arial" w:hAnsi="Arial" w:cs="Arial"/>
          <w:color w:val="auto"/>
          <w:u w:val="single"/>
        </w:rPr>
        <w:t xml:space="preserve"> 2013, Issue 9. Art. No: CD0107</w:t>
      </w:r>
      <w:r w:rsidR="00812112" w:rsidRPr="00C20A40">
        <w:rPr>
          <w:rFonts w:ascii="Arial" w:hAnsi="Arial" w:cs="Arial"/>
          <w:color w:val="auto"/>
          <w:u w:val="single"/>
        </w:rPr>
        <w:t>32. doi</w:t>
      </w:r>
      <w:r w:rsidRPr="00C20A40">
        <w:rPr>
          <w:rFonts w:ascii="Arial" w:hAnsi="Arial" w:cs="Arial"/>
          <w:color w:val="auto"/>
          <w:u w:val="single"/>
        </w:rPr>
        <w:t>: 10.1002/14651858.CD010732</w:t>
      </w:r>
      <w:r w:rsidRPr="00812112">
        <w:rPr>
          <w:rFonts w:ascii="Arial" w:hAnsi="Arial" w:cs="Arial"/>
          <w:color w:val="auto"/>
          <w:u w:val="double"/>
        </w:rPr>
        <w:t>.</w:t>
      </w:r>
    </w:p>
    <w:p w14:paraId="3A5AB475" w14:textId="78724A19" w:rsidR="00F5471E" w:rsidRPr="00D61F73" w:rsidRDefault="00A86E74" w:rsidP="00D61F73">
      <w:pPr>
        <w:spacing w:after="200"/>
        <w:ind w:right="-20"/>
        <w:rPr>
          <w:rFonts w:ascii="Arial" w:hAnsi="Arial" w:cs="Arial"/>
          <w:color w:val="auto"/>
        </w:rPr>
      </w:pPr>
      <w:bookmarkStart w:id="37" w:name="Smith_Lewin2009"/>
      <w:bookmarkEnd w:id="37"/>
      <w:r>
        <w:rPr>
          <w:rFonts w:ascii="Arial" w:hAnsi="Arial" w:cs="Arial"/>
          <w:color w:val="auto"/>
        </w:rPr>
        <w:t>Smith ES, Lewin GR</w:t>
      </w:r>
      <w:r w:rsidR="00F5471E" w:rsidRPr="00F5471E">
        <w:rPr>
          <w:rFonts w:ascii="Arial" w:hAnsi="Arial" w:cs="Arial"/>
          <w:color w:val="auto"/>
        </w:rPr>
        <w:t xml:space="preserve">. Nociceptors: a phylogenetic view. J Comp Physiol A Neuroethol Sens </w:t>
      </w:r>
      <w:r w:rsidR="00F5471E" w:rsidRPr="00F336DE">
        <w:rPr>
          <w:rFonts w:ascii="Arial" w:hAnsi="Arial" w:cs="Arial"/>
          <w:i/>
          <w:color w:val="auto"/>
        </w:rPr>
        <w:t>Neural Behav Physiol</w:t>
      </w:r>
      <w:r w:rsidR="00F5471E" w:rsidRPr="00F5471E">
        <w:rPr>
          <w:rFonts w:ascii="Arial" w:hAnsi="Arial" w:cs="Arial"/>
          <w:color w:val="auto"/>
        </w:rPr>
        <w:t xml:space="preserve">, </w:t>
      </w:r>
      <w:r w:rsidR="00F336DE">
        <w:rPr>
          <w:rFonts w:ascii="Arial" w:hAnsi="Arial" w:cs="Arial"/>
          <w:color w:val="auto"/>
        </w:rPr>
        <w:t>2009;195(12): 1089-1106</w:t>
      </w:r>
      <w:r>
        <w:rPr>
          <w:rFonts w:ascii="Arial" w:hAnsi="Arial" w:cs="Arial"/>
          <w:color w:val="auto"/>
        </w:rPr>
        <w:t>.</w:t>
      </w:r>
      <w:r w:rsidR="00F5471E" w:rsidRPr="00F5471E">
        <w:rPr>
          <w:rFonts w:ascii="Arial" w:hAnsi="Arial" w:cs="Arial"/>
          <w:color w:val="auto"/>
        </w:rPr>
        <w:t xml:space="preserve"> doi: 10.1007/s00359-009-0482-z</w:t>
      </w:r>
    </w:p>
    <w:p w14:paraId="245F5DA0" w14:textId="6E19C3F1" w:rsidR="00E561B0" w:rsidRPr="00D61F73" w:rsidRDefault="006249BF" w:rsidP="00D61F73">
      <w:pPr>
        <w:jc w:val="both"/>
        <w:rPr>
          <w:rFonts w:ascii="Arial" w:hAnsi="Arial" w:cs="Arial"/>
          <w:color w:val="auto"/>
        </w:rPr>
      </w:pPr>
      <w:bookmarkStart w:id="38" w:name="Siddall2007"/>
      <w:bookmarkStart w:id="39" w:name="Turk2001"/>
      <w:bookmarkEnd w:id="38"/>
      <w:bookmarkEnd w:id="39"/>
      <w:r w:rsidRPr="00D61F73">
        <w:rPr>
          <w:rFonts w:ascii="Arial" w:hAnsi="Arial" w:cs="Arial"/>
          <w:color w:val="auto"/>
        </w:rPr>
        <w:t>Turk</w:t>
      </w:r>
      <w:r w:rsidR="008424E3" w:rsidRPr="00D61F73">
        <w:rPr>
          <w:rFonts w:ascii="Arial" w:hAnsi="Arial" w:cs="Arial"/>
          <w:color w:val="auto"/>
        </w:rPr>
        <w:t xml:space="preserve"> </w:t>
      </w:r>
      <w:r w:rsidRPr="00D61F73">
        <w:rPr>
          <w:rFonts w:ascii="Arial" w:hAnsi="Arial" w:cs="Arial"/>
          <w:color w:val="auto"/>
        </w:rPr>
        <w:t>D</w:t>
      </w:r>
      <w:r w:rsidR="008424E3" w:rsidRPr="00D61F73">
        <w:rPr>
          <w:rFonts w:ascii="Arial" w:hAnsi="Arial" w:cs="Arial"/>
          <w:color w:val="auto"/>
        </w:rPr>
        <w:t>,</w:t>
      </w:r>
      <w:r w:rsidRPr="00D61F73">
        <w:rPr>
          <w:rFonts w:ascii="Arial" w:hAnsi="Arial" w:cs="Arial"/>
          <w:color w:val="auto"/>
        </w:rPr>
        <w:t xml:space="preserve"> Okifuji</w:t>
      </w:r>
      <w:r w:rsidR="008424E3" w:rsidRPr="00D61F73">
        <w:rPr>
          <w:rFonts w:ascii="Arial" w:hAnsi="Arial" w:cs="Arial"/>
          <w:color w:val="auto"/>
        </w:rPr>
        <w:t xml:space="preserve"> A.</w:t>
      </w:r>
      <w:r w:rsidRPr="00D61F73">
        <w:rPr>
          <w:rFonts w:ascii="Arial" w:hAnsi="Arial" w:cs="Arial"/>
          <w:color w:val="auto"/>
        </w:rPr>
        <w:t xml:space="preserve"> Chapter 2</w:t>
      </w:r>
      <w:r w:rsidR="008424E3" w:rsidRPr="00D61F73">
        <w:rPr>
          <w:rFonts w:ascii="Arial" w:hAnsi="Arial" w:cs="Arial"/>
          <w:color w:val="auto"/>
        </w:rPr>
        <w:t>:</w:t>
      </w:r>
      <w:r w:rsidRPr="00D61F73">
        <w:rPr>
          <w:rFonts w:ascii="Arial" w:hAnsi="Arial" w:cs="Arial"/>
          <w:color w:val="auto"/>
        </w:rPr>
        <w:t xml:space="preserve"> Pain Terms and Taxonomies of Pain</w:t>
      </w:r>
      <w:r w:rsidR="008424E3" w:rsidRPr="00D61F73">
        <w:rPr>
          <w:rFonts w:ascii="Arial" w:hAnsi="Arial" w:cs="Arial"/>
          <w:color w:val="auto"/>
        </w:rPr>
        <w:t>,</w:t>
      </w:r>
      <w:r w:rsidRPr="00D61F73">
        <w:rPr>
          <w:rFonts w:ascii="Arial" w:hAnsi="Arial" w:cs="Arial"/>
          <w:color w:val="auto"/>
        </w:rPr>
        <w:t xml:space="preserve"> in Loeser JD. </w:t>
      </w:r>
      <w:r w:rsidRPr="00D61F73">
        <w:rPr>
          <w:rFonts w:ascii="Arial" w:hAnsi="Arial" w:cs="Arial"/>
          <w:i/>
          <w:color w:val="auto"/>
        </w:rPr>
        <w:t>Bonica’s Management of Pain</w:t>
      </w:r>
      <w:r w:rsidR="00BC45EE" w:rsidRPr="00D61F73">
        <w:rPr>
          <w:rFonts w:ascii="Arial" w:hAnsi="Arial" w:cs="Arial"/>
          <w:i/>
          <w:color w:val="auto"/>
        </w:rPr>
        <w:t>.</w:t>
      </w:r>
      <w:r w:rsidRPr="00D61F73">
        <w:rPr>
          <w:rFonts w:ascii="Arial" w:hAnsi="Arial" w:cs="Arial"/>
          <w:i/>
          <w:color w:val="auto"/>
        </w:rPr>
        <w:t xml:space="preserve"> </w:t>
      </w:r>
      <w:r w:rsidR="00BC45EE" w:rsidRPr="00D61F73">
        <w:rPr>
          <w:rFonts w:ascii="Arial" w:hAnsi="Arial" w:cs="Arial"/>
          <w:color w:val="auto"/>
        </w:rPr>
        <w:t>Thir</w:t>
      </w:r>
      <w:r w:rsidRPr="00D61F73">
        <w:rPr>
          <w:rFonts w:ascii="Arial" w:hAnsi="Arial" w:cs="Arial"/>
          <w:color w:val="auto"/>
        </w:rPr>
        <w:t>d edition. Philadelphia, PA,  Lippincott Williams and Wilkins</w:t>
      </w:r>
      <w:r w:rsidR="009934A1" w:rsidRPr="00D61F73">
        <w:rPr>
          <w:rFonts w:ascii="Arial" w:hAnsi="Arial" w:cs="Arial"/>
          <w:color w:val="auto"/>
        </w:rPr>
        <w:t>. 2001</w:t>
      </w:r>
      <w:r w:rsidRPr="00D61F73">
        <w:rPr>
          <w:rFonts w:ascii="Arial" w:hAnsi="Arial" w:cs="Arial"/>
          <w:color w:val="auto"/>
        </w:rPr>
        <w:t>.</w:t>
      </w:r>
    </w:p>
    <w:p w14:paraId="79979B50" w14:textId="16B1586E" w:rsidR="00E561B0" w:rsidRPr="00D61F73" w:rsidRDefault="00033F61" w:rsidP="00D61F73">
      <w:pPr>
        <w:jc w:val="both"/>
        <w:rPr>
          <w:rFonts w:ascii="Arial" w:hAnsi="Arial" w:cs="Arial"/>
          <w:color w:val="auto"/>
        </w:rPr>
      </w:pPr>
      <w:r>
        <w:rPr>
          <w:rFonts w:ascii="Arial" w:hAnsi="Arial" w:cs="Arial"/>
          <w:color w:val="auto"/>
        </w:rPr>
        <w:sym w:font="Symbol" w:char="F02D"/>
      </w:r>
    </w:p>
    <w:p w14:paraId="31FD0C37" w14:textId="4CADC88E" w:rsidR="00E561B0" w:rsidRPr="00D61F73" w:rsidRDefault="006249BF" w:rsidP="00D61F73">
      <w:pPr>
        <w:rPr>
          <w:rFonts w:ascii="Arial" w:hAnsi="Arial" w:cs="Arial"/>
          <w:color w:val="auto"/>
          <w:lang w:bidi="he-IL"/>
        </w:rPr>
      </w:pPr>
      <w:bookmarkStart w:id="40" w:name="Ung2012intro"/>
      <w:bookmarkEnd w:id="40"/>
      <w:r w:rsidRPr="00D61F73">
        <w:rPr>
          <w:rFonts w:ascii="Arial" w:hAnsi="Arial" w:cs="Arial"/>
          <w:color w:val="auto"/>
          <w:lang w:bidi="he-IL"/>
        </w:rPr>
        <w:t xml:space="preserve">Ung H, Brown J, Johnson K, Younger J, Hush J, Mackey S, Multivariate </w:t>
      </w:r>
      <w:r w:rsidR="008424E3" w:rsidRPr="00D61F73">
        <w:rPr>
          <w:rFonts w:ascii="Arial" w:hAnsi="Arial" w:cs="Arial"/>
          <w:color w:val="auto"/>
          <w:lang w:bidi="he-IL"/>
        </w:rPr>
        <w:t>c</w:t>
      </w:r>
      <w:r w:rsidRPr="00D61F73">
        <w:rPr>
          <w:rFonts w:ascii="Arial" w:hAnsi="Arial" w:cs="Arial"/>
          <w:color w:val="auto"/>
          <w:lang w:bidi="he-IL"/>
        </w:rPr>
        <w:t xml:space="preserve">lassification of </w:t>
      </w:r>
      <w:r w:rsidR="008424E3" w:rsidRPr="00D61F73">
        <w:rPr>
          <w:rFonts w:ascii="Arial" w:hAnsi="Arial" w:cs="Arial"/>
          <w:color w:val="auto"/>
          <w:lang w:bidi="he-IL"/>
        </w:rPr>
        <w:t>s</w:t>
      </w:r>
      <w:r w:rsidRPr="00D61F73">
        <w:rPr>
          <w:rFonts w:ascii="Arial" w:hAnsi="Arial" w:cs="Arial"/>
          <w:color w:val="auto"/>
          <w:lang w:bidi="he-IL"/>
        </w:rPr>
        <w:t xml:space="preserve">tructural MRI </w:t>
      </w:r>
      <w:r w:rsidR="008424E3" w:rsidRPr="00D61F73">
        <w:rPr>
          <w:rFonts w:ascii="Arial" w:hAnsi="Arial" w:cs="Arial"/>
          <w:color w:val="auto"/>
          <w:lang w:bidi="he-IL"/>
        </w:rPr>
        <w:t>d</w:t>
      </w:r>
      <w:r w:rsidRPr="00D61F73">
        <w:rPr>
          <w:rFonts w:ascii="Arial" w:hAnsi="Arial" w:cs="Arial"/>
          <w:color w:val="auto"/>
          <w:lang w:bidi="he-IL"/>
        </w:rPr>
        <w:t xml:space="preserve">ata </w:t>
      </w:r>
      <w:r w:rsidR="008424E3" w:rsidRPr="00D61F73">
        <w:rPr>
          <w:rFonts w:ascii="Arial" w:hAnsi="Arial" w:cs="Arial"/>
          <w:color w:val="auto"/>
          <w:lang w:bidi="he-IL"/>
        </w:rPr>
        <w:t>d</w:t>
      </w:r>
      <w:r w:rsidRPr="00D61F73">
        <w:rPr>
          <w:rFonts w:ascii="Arial" w:hAnsi="Arial" w:cs="Arial"/>
          <w:color w:val="auto"/>
          <w:lang w:bidi="he-IL"/>
        </w:rPr>
        <w:t xml:space="preserve">etects </w:t>
      </w:r>
      <w:r w:rsidR="008424E3" w:rsidRPr="00D61F73">
        <w:rPr>
          <w:rFonts w:ascii="Arial" w:hAnsi="Arial" w:cs="Arial"/>
          <w:color w:val="auto"/>
          <w:lang w:bidi="he-IL"/>
        </w:rPr>
        <w:t>c</w:t>
      </w:r>
      <w:r w:rsidRPr="00D61F73">
        <w:rPr>
          <w:rFonts w:ascii="Arial" w:hAnsi="Arial" w:cs="Arial"/>
          <w:color w:val="auto"/>
          <w:lang w:bidi="he-IL"/>
        </w:rPr>
        <w:t xml:space="preserve">hronic </w:t>
      </w:r>
      <w:r w:rsidR="008424E3" w:rsidRPr="00D61F73">
        <w:rPr>
          <w:rFonts w:ascii="Arial" w:hAnsi="Arial" w:cs="Arial"/>
          <w:color w:val="auto"/>
          <w:lang w:bidi="he-IL"/>
        </w:rPr>
        <w:t>l</w:t>
      </w:r>
      <w:r w:rsidRPr="00D61F73">
        <w:rPr>
          <w:rFonts w:ascii="Arial" w:hAnsi="Arial" w:cs="Arial"/>
          <w:color w:val="auto"/>
          <w:lang w:bidi="he-IL"/>
        </w:rPr>
        <w:t xml:space="preserve">ow </w:t>
      </w:r>
      <w:r w:rsidR="008424E3" w:rsidRPr="00D61F73">
        <w:rPr>
          <w:rFonts w:ascii="Arial" w:hAnsi="Arial" w:cs="Arial"/>
          <w:color w:val="auto"/>
          <w:lang w:bidi="he-IL"/>
        </w:rPr>
        <w:t>b</w:t>
      </w:r>
      <w:r w:rsidRPr="00D61F73">
        <w:rPr>
          <w:rFonts w:ascii="Arial" w:hAnsi="Arial" w:cs="Arial"/>
          <w:color w:val="auto"/>
          <w:lang w:bidi="he-IL"/>
        </w:rPr>
        <w:t xml:space="preserve">ack </w:t>
      </w:r>
      <w:r w:rsidR="008424E3" w:rsidRPr="00D61F73">
        <w:rPr>
          <w:rFonts w:ascii="Arial" w:hAnsi="Arial" w:cs="Arial"/>
          <w:color w:val="auto"/>
          <w:lang w:bidi="he-IL"/>
        </w:rPr>
        <w:t>p</w:t>
      </w:r>
      <w:r w:rsidRPr="00D61F73">
        <w:rPr>
          <w:rFonts w:ascii="Arial" w:hAnsi="Arial" w:cs="Arial"/>
          <w:color w:val="auto"/>
          <w:lang w:bidi="he-IL"/>
        </w:rPr>
        <w:t>ain</w:t>
      </w:r>
      <w:r w:rsidRPr="00D61F73">
        <w:rPr>
          <w:rFonts w:ascii="Arial" w:hAnsi="Arial" w:cs="Arial"/>
          <w:i/>
          <w:color w:val="auto"/>
          <w:lang w:bidi="he-IL"/>
        </w:rPr>
        <w:t>,</w:t>
      </w:r>
      <w:r w:rsidRPr="00D61F73">
        <w:rPr>
          <w:rFonts w:ascii="Arial" w:hAnsi="Arial" w:cs="Arial"/>
          <w:color w:val="auto"/>
          <w:lang w:bidi="he-IL"/>
        </w:rPr>
        <w:t xml:space="preserve"> </w:t>
      </w:r>
      <w:r w:rsidRPr="00D61F73">
        <w:rPr>
          <w:rFonts w:ascii="Arial" w:hAnsi="Arial" w:cs="Arial"/>
          <w:i/>
          <w:color w:val="auto"/>
          <w:lang w:bidi="he-IL"/>
        </w:rPr>
        <w:t>Cereb Cortex</w:t>
      </w:r>
      <w:r w:rsidR="00BC45EE" w:rsidRPr="00D61F73">
        <w:rPr>
          <w:rFonts w:ascii="Arial" w:hAnsi="Arial" w:cs="Arial"/>
          <w:i/>
          <w:color w:val="auto"/>
          <w:lang w:bidi="he-IL"/>
        </w:rPr>
        <w:t>.</w:t>
      </w:r>
      <w:r w:rsidRPr="00D61F73">
        <w:rPr>
          <w:rFonts w:ascii="Arial" w:hAnsi="Arial" w:cs="Arial"/>
          <w:color w:val="auto"/>
          <w:lang w:bidi="he-IL"/>
        </w:rPr>
        <w:t xml:space="preserve"> 2012</w:t>
      </w:r>
      <w:r w:rsidR="00C939FA">
        <w:rPr>
          <w:rFonts w:ascii="Arial" w:hAnsi="Arial" w:cs="Arial"/>
          <w:color w:val="auto"/>
          <w:lang w:bidi="he-IL"/>
        </w:rPr>
        <w:t>.</w:t>
      </w:r>
      <w:r w:rsidR="008424E3" w:rsidRPr="00D61F73">
        <w:rPr>
          <w:rFonts w:ascii="Arial" w:hAnsi="Arial" w:cs="Arial"/>
          <w:color w:val="auto"/>
          <w:lang w:bidi="he-IL"/>
        </w:rPr>
        <w:t xml:space="preserve"> (</w:t>
      </w:r>
      <w:r w:rsidRPr="00D61F73">
        <w:rPr>
          <w:rFonts w:ascii="Arial" w:hAnsi="Arial" w:cs="Arial"/>
          <w:color w:val="auto"/>
          <w:lang w:bidi="he-IL"/>
        </w:rPr>
        <w:t>Epub ahead of print</w:t>
      </w:r>
      <w:r w:rsidR="008424E3" w:rsidRPr="00D61F73">
        <w:rPr>
          <w:rFonts w:ascii="Arial" w:hAnsi="Arial" w:cs="Arial"/>
          <w:color w:val="auto"/>
          <w:lang w:bidi="he-IL"/>
        </w:rPr>
        <w:t>)</w:t>
      </w:r>
    </w:p>
    <w:p w14:paraId="53CA5FF6" w14:textId="5DE207AF" w:rsidR="00E561B0" w:rsidRPr="00D61F73" w:rsidRDefault="00033F61" w:rsidP="00D61F73">
      <w:pPr>
        <w:rPr>
          <w:rFonts w:ascii="Arial" w:hAnsi="Arial" w:cs="Arial"/>
          <w:color w:val="auto"/>
          <w:lang w:bidi="he-IL"/>
        </w:rPr>
      </w:pPr>
      <w:r>
        <w:rPr>
          <w:rFonts w:ascii="Arial" w:hAnsi="Arial" w:cs="Arial"/>
          <w:color w:val="auto"/>
          <w:lang w:bidi="he-IL"/>
        </w:rPr>
        <w:sym w:font="Symbol" w:char="F02D"/>
      </w:r>
    </w:p>
    <w:p w14:paraId="15D0533C" w14:textId="162DF836" w:rsidR="006249BF" w:rsidRPr="00D61F73" w:rsidRDefault="006249BF" w:rsidP="00D61F73">
      <w:pPr>
        <w:rPr>
          <w:rFonts w:ascii="Arial" w:hAnsi="Arial" w:cs="Arial"/>
          <w:color w:val="auto"/>
          <w:u w:val="single"/>
          <w:lang w:bidi="he-IL"/>
        </w:rPr>
      </w:pPr>
      <w:bookmarkStart w:id="41" w:name="Younger2010"/>
      <w:bookmarkEnd w:id="41"/>
      <w:r w:rsidRPr="00D61F73">
        <w:rPr>
          <w:rFonts w:ascii="Arial" w:hAnsi="Arial" w:cs="Arial"/>
          <w:bCs/>
          <w:color w:val="auto"/>
        </w:rPr>
        <w:t>Younger J</w:t>
      </w:r>
      <w:r w:rsidRPr="00D61F73">
        <w:rPr>
          <w:rFonts w:ascii="Arial" w:hAnsi="Arial" w:cs="Arial"/>
          <w:color w:val="auto"/>
        </w:rPr>
        <w:t>, Shen Y, Goddard G, Mackey S</w:t>
      </w:r>
      <w:r w:rsidR="008424E3" w:rsidRPr="00D61F73">
        <w:rPr>
          <w:rFonts w:ascii="Arial" w:hAnsi="Arial" w:cs="Arial"/>
          <w:color w:val="auto"/>
        </w:rPr>
        <w:t>.</w:t>
      </w:r>
      <w:r w:rsidRPr="00D61F73">
        <w:rPr>
          <w:rFonts w:ascii="Arial" w:hAnsi="Arial" w:cs="Arial"/>
          <w:color w:val="auto"/>
        </w:rPr>
        <w:t xml:space="preserve"> Chronic myofascial temporomandibular pain is associated with gray matter abnormalities in the cerebral cortex, limbic system, and brainstem.</w:t>
      </w:r>
      <w:r w:rsidRPr="00D61F73">
        <w:rPr>
          <w:rFonts w:ascii="Arial" w:hAnsi="Arial" w:cs="Arial"/>
          <w:i/>
          <w:color w:val="auto"/>
        </w:rPr>
        <w:t xml:space="preserve"> </w:t>
      </w:r>
      <w:r w:rsidRPr="00D61F73">
        <w:rPr>
          <w:rFonts w:ascii="Arial" w:hAnsi="Arial" w:cs="Arial"/>
          <w:i/>
          <w:iCs/>
          <w:color w:val="auto"/>
        </w:rPr>
        <w:t>Pain</w:t>
      </w:r>
      <w:r w:rsidR="00BC45EE" w:rsidRPr="00D61F73">
        <w:rPr>
          <w:rFonts w:ascii="Arial" w:hAnsi="Arial" w:cs="Arial"/>
          <w:i/>
          <w:iCs/>
          <w:color w:val="auto"/>
        </w:rPr>
        <w:t>.</w:t>
      </w:r>
      <w:r w:rsidRPr="00D61F73">
        <w:rPr>
          <w:rFonts w:ascii="Arial" w:hAnsi="Arial" w:cs="Arial"/>
          <w:iCs/>
          <w:color w:val="auto"/>
        </w:rPr>
        <w:t xml:space="preserve"> 2010</w:t>
      </w:r>
      <w:r w:rsidR="008424E3" w:rsidRPr="00D61F73">
        <w:rPr>
          <w:rFonts w:ascii="Arial" w:hAnsi="Arial" w:cs="Arial"/>
          <w:iCs/>
          <w:color w:val="auto"/>
        </w:rPr>
        <w:t>;</w:t>
      </w:r>
      <w:r w:rsidRPr="00D61F73">
        <w:rPr>
          <w:rFonts w:ascii="Arial" w:hAnsi="Arial" w:cs="Arial"/>
          <w:iCs/>
          <w:color w:val="auto"/>
        </w:rPr>
        <w:t>149:2</w:t>
      </w:r>
      <w:r w:rsidR="008424E3" w:rsidRPr="00D61F73">
        <w:rPr>
          <w:rFonts w:ascii="Arial" w:hAnsi="Arial" w:cs="Arial"/>
          <w:iCs/>
          <w:color w:val="auto"/>
        </w:rPr>
        <w:t>:</w:t>
      </w:r>
      <w:r w:rsidRPr="00D61F73">
        <w:rPr>
          <w:rFonts w:ascii="Arial" w:hAnsi="Arial" w:cs="Arial"/>
          <w:iCs/>
          <w:color w:val="auto"/>
        </w:rPr>
        <w:t xml:space="preserve"> 222-8. PMC2860657</w:t>
      </w:r>
    </w:p>
    <w:p w14:paraId="7415E9BA" w14:textId="77777777" w:rsidR="000B14E8" w:rsidRPr="00D61F73" w:rsidRDefault="000B14E8" w:rsidP="00D61F73">
      <w:pPr>
        <w:rPr>
          <w:rFonts w:ascii="Arial" w:hAnsi="Arial" w:cs="Arial"/>
          <w:iCs/>
          <w:color w:val="auto"/>
        </w:rPr>
      </w:pPr>
      <w:r w:rsidRPr="00D61F73">
        <w:rPr>
          <w:rFonts w:ascii="Arial" w:hAnsi="Arial" w:cs="Arial"/>
          <w:iCs/>
          <w:color w:val="auto"/>
        </w:rPr>
        <w:br w:type="page"/>
      </w:r>
    </w:p>
    <w:p w14:paraId="07B488F9" w14:textId="77777777" w:rsidR="00234515" w:rsidRPr="00D61F73" w:rsidRDefault="00234515" w:rsidP="00D61F73">
      <w:pPr>
        <w:rPr>
          <w:rFonts w:ascii="Arial" w:hAnsi="Arial" w:cs="Arial"/>
          <w:iCs/>
          <w:color w:val="auto"/>
        </w:rPr>
      </w:pPr>
    </w:p>
    <w:p w14:paraId="35BB0415" w14:textId="6BBF7017" w:rsidR="004910AE" w:rsidRDefault="004910AE" w:rsidP="008F7BBA">
      <w:pPr>
        <w:spacing w:line="0" w:lineRule="atLeast"/>
        <w:jc w:val="center"/>
        <w:rPr>
          <w:rFonts w:ascii="Arial" w:hAnsi="Arial" w:cs="Arial"/>
          <w:b/>
          <w:sz w:val="28"/>
          <w:szCs w:val="28"/>
        </w:rPr>
      </w:pPr>
      <w:bookmarkStart w:id="42" w:name="TreatmentProtocols"/>
      <w:bookmarkStart w:id="43" w:name="ProcedureSummary"/>
      <w:bookmarkEnd w:id="42"/>
      <w:bookmarkEnd w:id="43"/>
      <w:r w:rsidRPr="00D61F73">
        <w:rPr>
          <w:rFonts w:ascii="Arial" w:hAnsi="Arial" w:cs="Arial"/>
          <w:b/>
          <w:sz w:val="28"/>
          <w:szCs w:val="28"/>
        </w:rPr>
        <w:t>PART 2</w:t>
      </w:r>
      <w:r w:rsidR="00CC0C65" w:rsidRPr="00D61F73">
        <w:rPr>
          <w:rFonts w:ascii="Arial" w:hAnsi="Arial" w:cs="Arial"/>
          <w:b/>
          <w:sz w:val="28"/>
          <w:szCs w:val="28"/>
        </w:rPr>
        <w:t>:</w:t>
      </w:r>
      <w:r w:rsidR="005233F8" w:rsidRPr="00D61F73">
        <w:rPr>
          <w:rFonts w:ascii="Arial" w:hAnsi="Arial" w:cs="Arial"/>
          <w:b/>
          <w:sz w:val="28"/>
          <w:szCs w:val="28"/>
        </w:rPr>
        <w:t xml:space="preserve">Official Disability Guidelines (ODG) </w:t>
      </w:r>
      <w:r w:rsidR="005715D5" w:rsidRPr="00D61F73">
        <w:rPr>
          <w:rFonts w:ascii="Arial" w:hAnsi="Arial" w:cs="Arial"/>
          <w:b/>
          <w:sz w:val="28"/>
          <w:szCs w:val="28"/>
        </w:rPr>
        <w:t>Treatment in Workers’ Compensation —Pain (Chronic)</w:t>
      </w:r>
    </w:p>
    <w:p w14:paraId="2904A3E7" w14:textId="77777777" w:rsidR="007220A2" w:rsidRPr="007220A2" w:rsidRDefault="007220A2" w:rsidP="00D61F73">
      <w:pPr>
        <w:jc w:val="center"/>
        <w:rPr>
          <w:rFonts w:ascii="Arial" w:hAnsi="Arial" w:cs="Arial"/>
          <w:b/>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8172"/>
      </w:tblGrid>
      <w:tr w:rsidR="008D0565" w:rsidRPr="00D61F73" w14:paraId="0E5BCB37" w14:textId="77777777" w:rsidTr="004A2158">
        <w:trPr>
          <w:cantSplit/>
          <w:tblHeader/>
        </w:trPr>
        <w:tc>
          <w:tcPr>
            <w:tcW w:w="5000" w:type="pct"/>
            <w:gridSpan w:val="2"/>
            <w:shd w:val="clear" w:color="auto" w:fill="auto"/>
          </w:tcPr>
          <w:p w14:paraId="629878B6" w14:textId="77777777" w:rsidR="008D0565" w:rsidRPr="00D61F73" w:rsidRDefault="008D0565" w:rsidP="00D61F73">
            <w:pPr>
              <w:pStyle w:val="Heading2"/>
              <w:jc w:val="center"/>
              <w:rPr>
                <w:rFonts w:ascii="Arial" w:hAnsi="Arial" w:cs="Arial"/>
                <w:bCs/>
                <w:sz w:val="24"/>
                <w:szCs w:val="24"/>
              </w:rPr>
            </w:pPr>
            <w:bookmarkStart w:id="44" w:name="_Procedure_Summary_–"/>
            <w:bookmarkEnd w:id="44"/>
            <w:r w:rsidRPr="00D61F73">
              <w:rPr>
                <w:rFonts w:ascii="Arial" w:hAnsi="Arial" w:cs="Arial"/>
                <w:sz w:val="24"/>
                <w:szCs w:val="24"/>
              </w:rPr>
              <w:t>P</w:t>
            </w:r>
            <w:bookmarkStart w:id="45" w:name="ProcedureSummary2"/>
            <w:bookmarkEnd w:id="45"/>
            <w:r w:rsidRPr="00D61F73">
              <w:rPr>
                <w:rFonts w:ascii="Arial" w:hAnsi="Arial" w:cs="Arial"/>
                <w:sz w:val="24"/>
                <w:szCs w:val="24"/>
              </w:rPr>
              <w:t xml:space="preserve">rocedure Summary </w:t>
            </w:r>
            <w:r w:rsidR="005715D5" w:rsidRPr="00D61F73">
              <w:rPr>
                <w:rFonts w:ascii="Arial" w:hAnsi="Arial" w:cs="Arial"/>
                <w:sz w:val="24"/>
                <w:szCs w:val="24"/>
              </w:rPr>
              <w:t>—</w:t>
            </w:r>
            <w:r w:rsidRPr="00D61F73">
              <w:rPr>
                <w:rFonts w:ascii="Arial" w:hAnsi="Arial" w:cs="Arial"/>
                <w:sz w:val="24"/>
                <w:szCs w:val="24"/>
              </w:rPr>
              <w:t xml:space="preserve"> Pain</w:t>
            </w:r>
          </w:p>
        </w:tc>
      </w:tr>
      <w:tr w:rsidR="008D0565" w:rsidRPr="00D61F73" w14:paraId="303ABFA6" w14:textId="77777777" w:rsidTr="004A2158">
        <w:trPr>
          <w:trHeight w:val="269"/>
          <w:tblHeader/>
        </w:trPr>
        <w:tc>
          <w:tcPr>
            <w:tcW w:w="1086" w:type="pct"/>
            <w:shd w:val="clear" w:color="auto" w:fill="auto"/>
          </w:tcPr>
          <w:p w14:paraId="728FC270" w14:textId="77777777" w:rsidR="008D0565" w:rsidRPr="00D61F73" w:rsidRDefault="008D0565" w:rsidP="00D61F73">
            <w:pPr>
              <w:pStyle w:val="Heading2"/>
              <w:jc w:val="center"/>
              <w:rPr>
                <w:rFonts w:ascii="Arial" w:hAnsi="Arial" w:cs="Arial"/>
                <w:bCs/>
                <w:sz w:val="24"/>
                <w:szCs w:val="24"/>
              </w:rPr>
            </w:pPr>
            <w:r w:rsidRPr="00D61F73">
              <w:rPr>
                <w:rFonts w:ascii="Arial" w:hAnsi="Arial" w:cs="Arial"/>
                <w:bCs/>
                <w:sz w:val="24"/>
                <w:szCs w:val="24"/>
              </w:rPr>
              <w:t>Procedure/Topic</w:t>
            </w:r>
          </w:p>
        </w:tc>
        <w:tc>
          <w:tcPr>
            <w:tcW w:w="3914" w:type="pct"/>
            <w:shd w:val="clear" w:color="auto" w:fill="auto"/>
          </w:tcPr>
          <w:p w14:paraId="10232B24" w14:textId="77777777" w:rsidR="008D0565" w:rsidRPr="00D61F73" w:rsidRDefault="008D0565" w:rsidP="00D61F73">
            <w:pPr>
              <w:pStyle w:val="Heading2"/>
              <w:jc w:val="center"/>
              <w:rPr>
                <w:rFonts w:ascii="Arial" w:hAnsi="Arial" w:cs="Arial"/>
                <w:bCs/>
                <w:sz w:val="24"/>
                <w:szCs w:val="24"/>
              </w:rPr>
            </w:pPr>
            <w:bookmarkStart w:id="46" w:name="_Summary_of_medical"/>
            <w:bookmarkEnd w:id="46"/>
            <w:r w:rsidRPr="00D61F73">
              <w:rPr>
                <w:rFonts w:ascii="Arial" w:hAnsi="Arial" w:cs="Arial"/>
                <w:bCs/>
                <w:sz w:val="24"/>
                <w:szCs w:val="24"/>
              </w:rPr>
              <w:t>Summary of medical evidence</w:t>
            </w:r>
          </w:p>
        </w:tc>
      </w:tr>
      <w:tr w:rsidR="008D0565" w:rsidRPr="00D61F73" w14:paraId="4C192D8F" w14:textId="77777777" w:rsidTr="004A2158">
        <w:trPr>
          <w:cantSplit/>
        </w:trPr>
        <w:tc>
          <w:tcPr>
            <w:tcW w:w="5000" w:type="pct"/>
            <w:gridSpan w:val="2"/>
            <w:shd w:val="clear" w:color="auto" w:fill="auto"/>
          </w:tcPr>
          <w:p w14:paraId="58D7064A" w14:textId="77777777" w:rsidR="008D0565" w:rsidRPr="00D61F73" w:rsidRDefault="008D0565" w:rsidP="00D61F73">
            <w:pPr>
              <w:rPr>
                <w:rFonts w:ascii="Arial" w:hAnsi="Arial" w:cs="Arial"/>
              </w:rPr>
            </w:pPr>
            <w:r w:rsidRPr="00D61F73">
              <w:rPr>
                <w:rFonts w:ascii="Arial" w:hAnsi="Arial" w:cs="Arial"/>
              </w:rPr>
              <w:t xml:space="preserve">Click to go ahead: </w:t>
            </w:r>
            <w:hyperlink w:anchor="Abstral" w:history="1">
              <w:r w:rsidRPr="00D61F73">
                <w:rPr>
                  <w:rStyle w:val="Hyperlink"/>
                  <w:rFonts w:ascii="Arial" w:hAnsi="Arial" w:cs="Arial"/>
                  <w:sz w:val="23"/>
                  <w:szCs w:val="23"/>
                </w:rPr>
                <w:t>A</w:t>
              </w:r>
            </w:hyperlink>
            <w:r w:rsidRPr="00D61F73">
              <w:rPr>
                <w:rFonts w:ascii="Arial" w:hAnsi="Arial" w:cs="Arial"/>
                <w:sz w:val="23"/>
                <w:szCs w:val="23"/>
              </w:rPr>
              <w:t xml:space="preserve"> | </w:t>
            </w:r>
            <w:hyperlink w:anchor="Baclofen" w:history="1">
              <w:r w:rsidRPr="00D61F73">
                <w:rPr>
                  <w:rStyle w:val="Hyperlink"/>
                  <w:rFonts w:ascii="Arial" w:hAnsi="Arial" w:cs="Arial"/>
                  <w:sz w:val="23"/>
                  <w:szCs w:val="23"/>
                </w:rPr>
                <w:t>B</w:t>
              </w:r>
            </w:hyperlink>
            <w:r w:rsidRPr="00D61F73">
              <w:rPr>
                <w:rFonts w:ascii="Arial" w:hAnsi="Arial" w:cs="Arial"/>
                <w:sz w:val="23"/>
                <w:szCs w:val="23"/>
              </w:rPr>
              <w:t xml:space="preserve"> | </w:t>
            </w:r>
            <w:hyperlink w:anchor="Calcitonin" w:history="1">
              <w:r w:rsidRPr="00D61F73">
                <w:rPr>
                  <w:rStyle w:val="Hyperlink"/>
                  <w:rFonts w:ascii="Arial" w:hAnsi="Arial" w:cs="Arial"/>
                  <w:sz w:val="23"/>
                  <w:szCs w:val="23"/>
                </w:rPr>
                <w:t>C</w:t>
              </w:r>
            </w:hyperlink>
            <w:r w:rsidRPr="00D61F73">
              <w:rPr>
                <w:rFonts w:ascii="Arial" w:hAnsi="Arial" w:cs="Arial"/>
                <w:sz w:val="23"/>
                <w:szCs w:val="23"/>
              </w:rPr>
              <w:t xml:space="preserve"> | </w:t>
            </w:r>
            <w:hyperlink w:anchor="Darvon" w:history="1">
              <w:r w:rsidRPr="00D61F73">
                <w:rPr>
                  <w:rStyle w:val="Hyperlink"/>
                  <w:rFonts w:ascii="Arial" w:hAnsi="Arial" w:cs="Arial"/>
                  <w:sz w:val="23"/>
                  <w:szCs w:val="23"/>
                </w:rPr>
                <w:t>D</w:t>
              </w:r>
            </w:hyperlink>
            <w:r w:rsidRPr="00D61F73">
              <w:rPr>
                <w:rFonts w:ascii="Arial" w:hAnsi="Arial" w:cs="Arial"/>
                <w:sz w:val="23"/>
                <w:szCs w:val="23"/>
              </w:rPr>
              <w:t xml:space="preserve"> | </w:t>
            </w:r>
            <w:hyperlink w:anchor="Earacupuncture" w:history="1">
              <w:r w:rsidRPr="00D61F73">
                <w:rPr>
                  <w:rStyle w:val="Hyperlink"/>
                  <w:rFonts w:ascii="Arial" w:hAnsi="Arial" w:cs="Arial"/>
                  <w:sz w:val="23"/>
                  <w:szCs w:val="23"/>
                </w:rPr>
                <w:t>E</w:t>
              </w:r>
            </w:hyperlink>
            <w:r w:rsidRPr="00D61F73">
              <w:rPr>
                <w:rFonts w:ascii="Arial" w:hAnsi="Arial" w:cs="Arial"/>
                <w:sz w:val="23"/>
                <w:szCs w:val="23"/>
              </w:rPr>
              <w:t xml:space="preserve"> | </w:t>
            </w:r>
            <w:hyperlink w:anchor="Facetblocks" w:history="1">
              <w:r w:rsidRPr="00D61F73">
                <w:rPr>
                  <w:rStyle w:val="Hyperlink"/>
                  <w:rFonts w:ascii="Arial" w:hAnsi="Arial" w:cs="Arial"/>
                  <w:sz w:val="23"/>
                  <w:szCs w:val="23"/>
                </w:rPr>
                <w:t>F</w:t>
              </w:r>
            </w:hyperlink>
            <w:r w:rsidRPr="00D61F73">
              <w:rPr>
                <w:rFonts w:ascii="Arial" w:hAnsi="Arial" w:cs="Arial"/>
                <w:sz w:val="23"/>
                <w:szCs w:val="23"/>
              </w:rPr>
              <w:t xml:space="preserve"> | </w:t>
            </w:r>
            <w:hyperlink w:anchor="GABAdone" w:history="1">
              <w:r w:rsidRPr="00D61F73">
                <w:rPr>
                  <w:rStyle w:val="Hyperlink"/>
                  <w:rFonts w:ascii="Arial" w:hAnsi="Arial" w:cs="Arial"/>
                  <w:sz w:val="23"/>
                  <w:szCs w:val="23"/>
                </w:rPr>
                <w:t>G</w:t>
              </w:r>
            </w:hyperlink>
            <w:r w:rsidRPr="00D61F73">
              <w:rPr>
                <w:rFonts w:ascii="Arial" w:hAnsi="Arial" w:cs="Arial"/>
                <w:sz w:val="23"/>
                <w:szCs w:val="23"/>
              </w:rPr>
              <w:t xml:space="preserve"> | </w:t>
            </w:r>
            <w:hyperlink w:anchor="Haveosgeneticsopioidabusetesting" w:history="1">
              <w:r w:rsidRPr="00D61F73">
                <w:rPr>
                  <w:rStyle w:val="Hyperlink"/>
                  <w:rFonts w:ascii="Arial" w:hAnsi="Arial" w:cs="Arial"/>
                  <w:sz w:val="23"/>
                  <w:szCs w:val="23"/>
                </w:rPr>
                <w:t>H</w:t>
              </w:r>
            </w:hyperlink>
            <w:r w:rsidRPr="00D61F73">
              <w:rPr>
                <w:rFonts w:ascii="Arial" w:hAnsi="Arial" w:cs="Arial"/>
                <w:sz w:val="23"/>
                <w:szCs w:val="23"/>
              </w:rPr>
              <w:t xml:space="preserve"> | </w:t>
            </w:r>
            <w:hyperlink w:anchor="Ibuprofen" w:history="1">
              <w:r w:rsidRPr="00D61F73">
                <w:rPr>
                  <w:rStyle w:val="Hyperlink"/>
                  <w:rFonts w:ascii="Arial" w:hAnsi="Arial" w:cs="Arial"/>
                  <w:sz w:val="23"/>
                  <w:szCs w:val="23"/>
                </w:rPr>
                <w:t>I</w:t>
              </w:r>
            </w:hyperlink>
            <w:r w:rsidRPr="00D61F73">
              <w:rPr>
                <w:rFonts w:ascii="Arial" w:hAnsi="Arial" w:cs="Arial"/>
                <w:sz w:val="23"/>
                <w:szCs w:val="23"/>
              </w:rPr>
              <w:t xml:space="preserve"> | </w:t>
            </w:r>
            <w:hyperlink w:anchor="Kadian" w:history="1">
              <w:r w:rsidRPr="00D61F73">
                <w:rPr>
                  <w:rStyle w:val="Hyperlink"/>
                  <w:rFonts w:ascii="Arial" w:hAnsi="Arial" w:cs="Arial"/>
                  <w:sz w:val="23"/>
                  <w:szCs w:val="23"/>
                </w:rPr>
                <w:t>K</w:t>
              </w:r>
            </w:hyperlink>
            <w:r w:rsidRPr="00D61F73">
              <w:rPr>
                <w:rFonts w:ascii="Arial" w:hAnsi="Arial" w:cs="Arial"/>
                <w:sz w:val="23"/>
                <w:szCs w:val="23"/>
              </w:rPr>
              <w:t xml:space="preserve"> | </w:t>
            </w:r>
            <w:hyperlink w:anchor="Lacosamide" w:history="1">
              <w:r w:rsidRPr="00D61F73">
                <w:rPr>
                  <w:rStyle w:val="Hyperlink"/>
                  <w:rFonts w:ascii="Arial" w:hAnsi="Arial" w:cs="Arial"/>
                  <w:sz w:val="23"/>
                  <w:szCs w:val="23"/>
                </w:rPr>
                <w:t>L</w:t>
              </w:r>
            </w:hyperlink>
            <w:r w:rsidRPr="00D61F73">
              <w:rPr>
                <w:rFonts w:ascii="Arial" w:hAnsi="Arial" w:cs="Arial"/>
                <w:sz w:val="23"/>
                <w:szCs w:val="23"/>
              </w:rPr>
              <w:t xml:space="preserve"> | </w:t>
            </w:r>
            <w:hyperlink w:anchor="Magnettherapy" w:history="1">
              <w:r w:rsidRPr="00D61F73">
                <w:rPr>
                  <w:rStyle w:val="Hyperlink"/>
                  <w:rFonts w:ascii="Arial" w:hAnsi="Arial" w:cs="Arial"/>
                  <w:sz w:val="23"/>
                  <w:szCs w:val="23"/>
                </w:rPr>
                <w:t>M</w:t>
              </w:r>
            </w:hyperlink>
            <w:r w:rsidRPr="00D61F73">
              <w:rPr>
                <w:rFonts w:ascii="Arial" w:hAnsi="Arial" w:cs="Arial"/>
                <w:sz w:val="23"/>
                <w:szCs w:val="23"/>
              </w:rPr>
              <w:t xml:space="preserve"> | </w:t>
            </w:r>
            <w:hyperlink w:anchor="Nabilone" w:history="1">
              <w:r w:rsidRPr="00D61F73">
                <w:rPr>
                  <w:rStyle w:val="Hyperlink"/>
                  <w:rFonts w:ascii="Arial" w:hAnsi="Arial" w:cs="Arial"/>
                  <w:sz w:val="23"/>
                  <w:szCs w:val="23"/>
                </w:rPr>
                <w:t>N</w:t>
              </w:r>
            </w:hyperlink>
            <w:r w:rsidRPr="00D61F73">
              <w:rPr>
                <w:rFonts w:ascii="Arial" w:hAnsi="Arial" w:cs="Arial"/>
                <w:sz w:val="23"/>
                <w:szCs w:val="23"/>
              </w:rPr>
              <w:t xml:space="preserve"> | </w:t>
            </w:r>
            <w:hyperlink w:anchor="Occupationaltherapy" w:history="1">
              <w:r w:rsidRPr="00D61F73">
                <w:rPr>
                  <w:rStyle w:val="Hyperlink"/>
                  <w:rFonts w:ascii="Arial" w:hAnsi="Arial" w:cs="Arial"/>
                  <w:sz w:val="23"/>
                  <w:szCs w:val="23"/>
                </w:rPr>
                <w:t>O</w:t>
              </w:r>
            </w:hyperlink>
            <w:r w:rsidRPr="00D61F73">
              <w:rPr>
                <w:rFonts w:ascii="Arial" w:hAnsi="Arial" w:cs="Arial"/>
                <w:sz w:val="23"/>
                <w:szCs w:val="23"/>
              </w:rPr>
              <w:t xml:space="preserve"> | </w:t>
            </w:r>
            <w:hyperlink w:anchor="Painmanagementprograms" w:history="1">
              <w:r w:rsidRPr="00D61F73">
                <w:rPr>
                  <w:rStyle w:val="Hyperlink"/>
                  <w:rFonts w:ascii="Arial" w:hAnsi="Arial" w:cs="Arial"/>
                  <w:sz w:val="23"/>
                  <w:szCs w:val="23"/>
                </w:rPr>
                <w:t>P</w:t>
              </w:r>
            </w:hyperlink>
            <w:r w:rsidRPr="00D61F73">
              <w:rPr>
                <w:rFonts w:ascii="Arial" w:hAnsi="Arial" w:cs="Arial"/>
                <w:sz w:val="23"/>
                <w:szCs w:val="23"/>
              </w:rPr>
              <w:t xml:space="preserve"> | </w:t>
            </w:r>
            <w:hyperlink w:anchor="Qigong" w:history="1">
              <w:r w:rsidRPr="00D61F73">
                <w:rPr>
                  <w:rStyle w:val="Hyperlink"/>
                  <w:rFonts w:ascii="Arial" w:hAnsi="Arial" w:cs="Arial"/>
                  <w:sz w:val="23"/>
                  <w:szCs w:val="23"/>
                </w:rPr>
                <w:t>Q</w:t>
              </w:r>
            </w:hyperlink>
            <w:r w:rsidRPr="00D61F73">
              <w:rPr>
                <w:rFonts w:ascii="Arial" w:hAnsi="Arial" w:cs="Arial"/>
                <w:sz w:val="23"/>
                <w:szCs w:val="23"/>
              </w:rPr>
              <w:t xml:space="preserve"> | </w:t>
            </w:r>
            <w:hyperlink w:anchor="Radiofrequencyablation" w:history="1">
              <w:r w:rsidRPr="00D61F73">
                <w:rPr>
                  <w:rStyle w:val="Hyperlink"/>
                  <w:rFonts w:ascii="Arial" w:hAnsi="Arial" w:cs="Arial"/>
                  <w:sz w:val="23"/>
                  <w:szCs w:val="23"/>
                </w:rPr>
                <w:t>R</w:t>
              </w:r>
            </w:hyperlink>
            <w:r w:rsidRPr="00D61F73">
              <w:rPr>
                <w:rFonts w:ascii="Arial" w:hAnsi="Arial" w:cs="Arial"/>
                <w:sz w:val="23"/>
                <w:szCs w:val="23"/>
              </w:rPr>
              <w:t xml:space="preserve"> | </w:t>
            </w:r>
            <w:hyperlink w:anchor="Salicylatetopicals" w:history="1">
              <w:r w:rsidRPr="00D61F73">
                <w:rPr>
                  <w:rStyle w:val="Hyperlink"/>
                  <w:rFonts w:ascii="Arial" w:hAnsi="Arial" w:cs="Arial"/>
                  <w:sz w:val="23"/>
                  <w:szCs w:val="23"/>
                </w:rPr>
                <w:t>S</w:t>
              </w:r>
            </w:hyperlink>
            <w:r w:rsidRPr="00D61F73">
              <w:rPr>
                <w:rFonts w:ascii="Arial" w:hAnsi="Arial" w:cs="Arial"/>
                <w:sz w:val="23"/>
                <w:szCs w:val="23"/>
              </w:rPr>
              <w:t xml:space="preserve"> | </w:t>
            </w:r>
            <w:hyperlink w:anchor="TaiChi" w:history="1">
              <w:r w:rsidRPr="00D61F73">
                <w:rPr>
                  <w:rStyle w:val="Hyperlink"/>
                  <w:rFonts w:ascii="Arial" w:hAnsi="Arial" w:cs="Arial"/>
                  <w:sz w:val="23"/>
                  <w:szCs w:val="23"/>
                </w:rPr>
                <w:t>T</w:t>
              </w:r>
            </w:hyperlink>
            <w:r w:rsidRPr="00D61F73">
              <w:rPr>
                <w:rFonts w:ascii="Arial" w:hAnsi="Arial" w:cs="Arial"/>
                <w:sz w:val="23"/>
                <w:szCs w:val="23"/>
              </w:rPr>
              <w:t xml:space="preserve"> | </w:t>
            </w:r>
            <w:hyperlink w:anchor="UltraClear" w:history="1">
              <w:r w:rsidRPr="00D61F73">
                <w:rPr>
                  <w:rStyle w:val="Hyperlink"/>
                  <w:rFonts w:ascii="Arial" w:hAnsi="Arial" w:cs="Arial"/>
                  <w:sz w:val="23"/>
                  <w:szCs w:val="23"/>
                </w:rPr>
                <w:t>U</w:t>
              </w:r>
            </w:hyperlink>
            <w:r w:rsidRPr="00D61F73">
              <w:rPr>
                <w:rFonts w:ascii="Arial" w:hAnsi="Arial" w:cs="Arial"/>
                <w:sz w:val="23"/>
                <w:szCs w:val="23"/>
              </w:rPr>
              <w:t xml:space="preserve"> | </w:t>
            </w:r>
            <w:hyperlink w:anchor="Valium" w:history="1">
              <w:r w:rsidRPr="00D61F73">
                <w:rPr>
                  <w:rStyle w:val="Hyperlink"/>
                  <w:rFonts w:ascii="Arial" w:hAnsi="Arial" w:cs="Arial"/>
                  <w:sz w:val="23"/>
                  <w:szCs w:val="23"/>
                </w:rPr>
                <w:t>V</w:t>
              </w:r>
            </w:hyperlink>
            <w:r w:rsidRPr="00D61F73">
              <w:rPr>
                <w:rFonts w:ascii="Arial" w:hAnsi="Arial" w:cs="Arial"/>
                <w:sz w:val="23"/>
                <w:szCs w:val="23"/>
              </w:rPr>
              <w:t xml:space="preserve"> | </w:t>
            </w:r>
            <w:hyperlink w:anchor="Weaningofmedications" w:history="1">
              <w:r w:rsidRPr="00D61F73">
                <w:rPr>
                  <w:rStyle w:val="Hyperlink"/>
                  <w:rFonts w:ascii="Arial" w:hAnsi="Arial" w:cs="Arial"/>
                  <w:sz w:val="23"/>
                  <w:szCs w:val="23"/>
                </w:rPr>
                <w:t>W</w:t>
              </w:r>
            </w:hyperlink>
            <w:r w:rsidRPr="00D61F73">
              <w:rPr>
                <w:rFonts w:ascii="Arial" w:hAnsi="Arial" w:cs="Arial"/>
                <w:sz w:val="23"/>
                <w:szCs w:val="23"/>
              </w:rPr>
              <w:t xml:space="preserve"> | </w:t>
            </w:r>
            <w:hyperlink w:anchor="Yoga" w:history="1">
              <w:r w:rsidRPr="00D61F73">
                <w:rPr>
                  <w:rStyle w:val="Hyperlink"/>
                  <w:rFonts w:ascii="Arial" w:hAnsi="Arial" w:cs="Arial"/>
                  <w:sz w:val="23"/>
                  <w:szCs w:val="23"/>
                </w:rPr>
                <w:t>Y</w:t>
              </w:r>
            </w:hyperlink>
            <w:r w:rsidRPr="00D61F73">
              <w:rPr>
                <w:rFonts w:ascii="Arial" w:hAnsi="Arial" w:cs="Arial"/>
                <w:sz w:val="23"/>
                <w:szCs w:val="23"/>
              </w:rPr>
              <w:t xml:space="preserve"> | </w:t>
            </w:r>
            <w:hyperlink w:anchor="Zanaflex" w:history="1">
              <w:r w:rsidRPr="00D61F73">
                <w:rPr>
                  <w:rStyle w:val="Hyperlink"/>
                  <w:rFonts w:ascii="Arial" w:hAnsi="Arial" w:cs="Arial"/>
                  <w:sz w:val="23"/>
                  <w:szCs w:val="23"/>
                </w:rPr>
                <w:t>Z</w:t>
              </w:r>
            </w:hyperlink>
          </w:p>
        </w:tc>
      </w:tr>
      <w:tr w:rsidR="008D0565" w:rsidRPr="00D61F73" w14:paraId="3B415539" w14:textId="77777777" w:rsidTr="004A2158">
        <w:tc>
          <w:tcPr>
            <w:tcW w:w="1086" w:type="pct"/>
            <w:shd w:val="clear" w:color="auto" w:fill="auto"/>
          </w:tcPr>
          <w:p w14:paraId="7CF59745"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47" w:name="Acetaminophen"/>
            <w:bookmarkEnd w:id="47"/>
            <w:r w:rsidRPr="00D61F73">
              <w:rPr>
                <w:rFonts w:ascii="Arial" w:hAnsi="Arial" w:cs="Arial"/>
              </w:rPr>
              <w:t>cetaminophen (APAP)</w:t>
            </w:r>
            <w:r w:rsidR="00507A0B" w:rsidRPr="00D61F73">
              <w:rPr>
                <w:rFonts w:ascii="Arial" w:hAnsi="Arial" w:cs="Arial"/>
              </w:rPr>
              <w:t xml:space="preserve"> </w:t>
            </w:r>
          </w:p>
        </w:tc>
        <w:tc>
          <w:tcPr>
            <w:tcW w:w="3914" w:type="pct"/>
            <w:shd w:val="clear" w:color="auto" w:fill="auto"/>
          </w:tcPr>
          <w:p w14:paraId="74B9277A" w14:textId="257D83DF" w:rsidR="008D0565" w:rsidRPr="00D61F73" w:rsidRDefault="008D0565" w:rsidP="00D61F73">
            <w:pPr>
              <w:rPr>
                <w:rFonts w:ascii="Arial" w:hAnsi="Arial" w:cs="Arial"/>
              </w:rPr>
            </w:pPr>
            <w:r w:rsidRPr="00D61F73">
              <w:rPr>
                <w:rFonts w:ascii="Arial" w:hAnsi="Arial" w:cs="Arial"/>
              </w:rPr>
              <w:t>Recommended for treatment of acute pain, chronic pain &amp; acute exacerbations of chronic pain. With new information questioning the use of NSAIDs, acetaminophen should be recommended on a case-by-case basis. The side effect profile of NSAIDs may have been minimized in systematic reviews due to the short duration of trials. On the other hand, it now appears that acetaminophen may produce hypertension, a risk similar to that found for NSAIDs.</w:t>
            </w:r>
          </w:p>
          <w:p w14:paraId="7E2C656F" w14:textId="77777777" w:rsidR="008D0565" w:rsidRPr="00D61F73" w:rsidRDefault="008D0565" w:rsidP="00D61F73">
            <w:pPr>
              <w:rPr>
                <w:rFonts w:ascii="Arial" w:hAnsi="Arial" w:cs="Arial"/>
              </w:rPr>
            </w:pPr>
            <w:r w:rsidRPr="00D61F73">
              <w:rPr>
                <w:rFonts w:ascii="Arial" w:hAnsi="Arial" w:cs="Arial"/>
                <w:i/>
                <w:u w:val="single"/>
              </w:rPr>
              <w:t>Acute pain</w:t>
            </w:r>
            <w:r w:rsidRPr="00D61F73">
              <w:rPr>
                <w:rFonts w:ascii="Arial" w:hAnsi="Arial" w:cs="Arial"/>
                <w:i/>
              </w:rPr>
              <w:t xml:space="preserve">: </w:t>
            </w:r>
            <w:r w:rsidRPr="00D61F73">
              <w:rPr>
                <w:rFonts w:ascii="Arial" w:hAnsi="Arial" w:cs="Arial"/>
              </w:rPr>
              <w:t xml:space="preserve">Recommended as an initial choice for treatment of acute pain. See </w:t>
            </w:r>
            <w:hyperlink w:anchor="Medicationsforacutepain" w:history="1">
              <w:r w:rsidRPr="00D61F73">
                <w:rPr>
                  <w:rStyle w:val="Hyperlink"/>
                  <w:rFonts w:ascii="Arial" w:hAnsi="Arial" w:cs="Arial"/>
                </w:rPr>
                <w:t>Medications for acute pain</w:t>
              </w:r>
            </w:hyperlink>
            <w:r w:rsidRPr="00D61F73">
              <w:rPr>
                <w:rFonts w:ascii="Arial" w:hAnsi="Arial" w:cs="Arial"/>
              </w:rPr>
              <w:t xml:space="preserve"> (analgesics).</w:t>
            </w:r>
          </w:p>
          <w:p w14:paraId="083C45BE" w14:textId="4FC05A61" w:rsidR="00BA6340" w:rsidRPr="00D61F73" w:rsidRDefault="008D0565" w:rsidP="00D61F73">
            <w:pPr>
              <w:rPr>
                <w:rFonts w:ascii="Arial" w:hAnsi="Arial" w:cs="Arial"/>
              </w:rPr>
            </w:pPr>
            <w:r w:rsidRPr="00D61F73">
              <w:rPr>
                <w:rFonts w:ascii="Arial" w:hAnsi="Arial" w:cs="Arial"/>
                <w:i/>
                <w:u w:val="single"/>
              </w:rPr>
              <w:t>Osteoarthritis</w:t>
            </w:r>
            <w:r w:rsidRPr="00D61F73">
              <w:rPr>
                <w:rFonts w:ascii="Arial" w:hAnsi="Arial" w:cs="Arial"/>
                <w:i/>
              </w:rPr>
              <w:t xml:space="preserve">: </w:t>
            </w:r>
            <w:r w:rsidRPr="00D61F73">
              <w:rPr>
                <w:rFonts w:ascii="Arial" w:hAnsi="Arial" w:cs="Arial"/>
              </w:rPr>
              <w:t>Recommended as an initial treatment for mild to moderate pain, in particular, for those with gastrointestinal, cardiovascular and renovascular risk factors. (</w:t>
            </w:r>
            <w:hyperlink w:anchor="Laine2008a" w:history="1">
              <w:r w:rsidRPr="00D61F73">
                <w:rPr>
                  <w:rStyle w:val="Hyperlink"/>
                  <w:rFonts w:ascii="Arial" w:hAnsi="Arial" w:cs="Arial"/>
                </w:rPr>
                <w:t>Laine, 2008</w:t>
              </w:r>
            </w:hyperlink>
            <w:r w:rsidRPr="00D61F73">
              <w:rPr>
                <w:rFonts w:ascii="Arial" w:hAnsi="Arial" w:cs="Arial"/>
              </w:rPr>
              <w:t>) If pain is inadequately treated or there is evidence of inflammation, alternate pharmacologic treatment should be considered. In patients with moderate to severe disease, initial treatment with an NSAID may be warranted. The decision to use either class of drugs should be made on a case-by-case basis, incorporating factors including side effect profile and patient preferences. Current guidelines note that evidence is limited to make an initial recommendation with acetaminophen, and that NSAIDs may be more efficacious for treatment. In terms of treatment of the hand it should be noted that there are no placebo trials of efficacy and recommendations have been extrapolated from other joints. (</w:t>
            </w:r>
            <w:hyperlink w:anchor="Zhang2007" w:history="1">
              <w:r w:rsidRPr="00D61F73">
                <w:rPr>
                  <w:rStyle w:val="Hyperlink"/>
                  <w:rFonts w:ascii="Arial" w:hAnsi="Arial" w:cs="Arial"/>
                </w:rPr>
                <w:t>Zhang, 2007</w:t>
              </w:r>
            </w:hyperlink>
            <w:r w:rsidRPr="00D61F73">
              <w:rPr>
                <w:rFonts w:ascii="Arial" w:hAnsi="Arial" w:cs="Arial"/>
              </w:rPr>
              <w:t>) The selection of acetaminophen as a first-line treatment appears to be made primarily based on side effect profile in osteoarthritis guidelines. (</w:t>
            </w:r>
            <w:hyperlink w:anchor="Zhang2008" w:history="1">
              <w:r w:rsidRPr="00D61F73">
                <w:rPr>
                  <w:rStyle w:val="Hyperlink"/>
                  <w:rFonts w:ascii="Arial" w:hAnsi="Arial" w:cs="Arial"/>
                </w:rPr>
                <w:t>Zhang, 2008</w:t>
              </w:r>
            </w:hyperlink>
            <w:r w:rsidRPr="00D61F73">
              <w:rPr>
                <w:rFonts w:ascii="Arial" w:hAnsi="Arial" w:cs="Arial"/>
              </w:rPr>
              <w:t>) The most recent Cochrane review on this subject suggests that non-steroidal anti-inflammatory drugs (NSAIDs) are more efficacious for osteoarthritis than acetaminophen in terms of pain reduction, global assessments and improvement of functional status. No significant difference was found between overall safety, although patients taking NSAIDs were more likely to experience an adverse GI event. It is important to note that the median trial duration was only 6 weeks. (</w:t>
            </w:r>
            <w:hyperlink w:anchor="Towheed2006Acetaminophen" w:history="1">
              <w:r w:rsidRPr="00D61F73">
                <w:rPr>
                  <w:rStyle w:val="Hyperlink"/>
                  <w:rFonts w:ascii="Arial" w:hAnsi="Arial" w:cs="Arial"/>
                </w:rPr>
                <w:t>Towheed, 200</w:t>
              </w:r>
              <w:r w:rsidR="00C30447" w:rsidRPr="00D61F73">
                <w:rPr>
                  <w:rStyle w:val="Hyperlink"/>
                  <w:rFonts w:ascii="Arial" w:hAnsi="Arial" w:cs="Arial"/>
                </w:rPr>
                <w:t>6</w:t>
              </w:r>
            </w:hyperlink>
            <w:r w:rsidRPr="00D61F73">
              <w:rPr>
                <w:rFonts w:ascii="Arial" w:hAnsi="Arial" w:cs="Arial"/>
              </w:rPr>
              <w:t xml:space="preserve">) See </w:t>
            </w:r>
            <w:hyperlink w:anchor="NSAIDs" w:history="1">
              <w:r w:rsidRPr="00D61F73">
                <w:rPr>
                  <w:rStyle w:val="Hyperlink"/>
                  <w:rFonts w:ascii="Arial" w:hAnsi="Arial" w:cs="Arial"/>
                </w:rPr>
                <w:t>NSAIDs</w:t>
              </w:r>
            </w:hyperlink>
            <w:r w:rsidRPr="00D61F73">
              <w:rPr>
                <w:rFonts w:ascii="Arial" w:hAnsi="Arial" w:cs="Arial"/>
              </w:rPr>
              <w:t xml:space="preserve">;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&amp; </w:t>
            </w:r>
            <w:hyperlink w:anchor="NSAIDsHTNandRenal" w:history="1">
              <w:r w:rsidRPr="00D61F73">
                <w:rPr>
                  <w:rStyle w:val="Hyperlink"/>
                  <w:rFonts w:ascii="Arial" w:hAnsi="Arial" w:cs="Arial"/>
                </w:rPr>
                <w:t>NSAIDs, hypertension and renal function</w:t>
              </w:r>
            </w:hyperlink>
            <w:r w:rsidRPr="00D61F73">
              <w:rPr>
                <w:rFonts w:ascii="Arial" w:hAnsi="Arial" w:cs="Arial"/>
              </w:rPr>
              <w:t>.</w:t>
            </w:r>
            <w:r w:rsidR="00BA6340" w:rsidRPr="00D61F73">
              <w:rPr>
                <w:rFonts w:ascii="Arial" w:hAnsi="Arial" w:cs="Arial"/>
              </w:rPr>
              <w:t xml:space="preserve"> </w:t>
            </w:r>
            <w:r w:rsidR="00684F2E" w:rsidRPr="00D61F73">
              <w:rPr>
                <w:rFonts w:ascii="Arial" w:hAnsi="Arial" w:cs="Arial"/>
              </w:rPr>
              <w:t xml:space="preserve">Also </w:t>
            </w:r>
            <w:hyperlink r:id="rId27" w:anchor="2" w:history="1">
              <w:r w:rsidR="00684F2E" w:rsidRPr="00D61F73">
                <w:rPr>
                  <w:rStyle w:val="Hyperlink"/>
                  <w:rFonts w:ascii="Arial" w:hAnsi="Arial" w:cs="Arial"/>
                  <w:bCs/>
                </w:rPr>
                <w:t>s</w:t>
              </w:r>
              <w:r w:rsidR="00BA6340" w:rsidRPr="00D61F73">
                <w:rPr>
                  <w:rStyle w:val="Hyperlink"/>
                  <w:rFonts w:ascii="Arial" w:hAnsi="Arial" w:cs="Arial"/>
                  <w:bCs/>
                </w:rPr>
                <w:t>ee specific body-part chapters in the MTUS</w:t>
              </w:r>
            </w:hyperlink>
            <w:r w:rsidR="00BA6340" w:rsidRPr="00D61F73">
              <w:rPr>
                <w:rFonts w:ascii="Arial" w:hAnsi="Arial" w:cs="Arial"/>
                <w:bCs/>
              </w:rPr>
              <w:t>.</w:t>
            </w:r>
          </w:p>
          <w:p w14:paraId="0B4C4B97" w14:textId="77777777" w:rsidR="008D0565" w:rsidRPr="00D61F73" w:rsidRDefault="008D0565" w:rsidP="00D61F73">
            <w:pPr>
              <w:rPr>
                <w:rFonts w:ascii="Arial" w:hAnsi="Arial" w:cs="Arial"/>
              </w:rPr>
            </w:pPr>
            <w:r w:rsidRPr="00D61F73">
              <w:rPr>
                <w:rFonts w:ascii="Arial" w:hAnsi="Arial" w:cs="Arial"/>
                <w:i/>
                <w:u w:val="single"/>
              </w:rPr>
              <w:t>Adverse effects</w:t>
            </w:r>
            <w:r w:rsidRPr="00D61F73">
              <w:rPr>
                <w:rFonts w:ascii="Arial" w:hAnsi="Arial" w:cs="Arial"/>
                <w:i/>
              </w:rPr>
              <w:t xml:space="preserve">: Hepatotoxicity: </w:t>
            </w:r>
            <w:r w:rsidRPr="00D61F73">
              <w:rPr>
                <w:rFonts w:ascii="Arial" w:hAnsi="Arial" w:cs="Arial"/>
              </w:rPr>
              <w:t>Acetaminophen overdose is a well-known cause of acute liver failure. Hepatotoxicity from therapeutic doses is unusual. (</w:t>
            </w:r>
            <w:hyperlink w:anchor="Hunt" w:history="1">
              <w:r w:rsidRPr="00D61F73">
                <w:rPr>
                  <w:rStyle w:val="Hyperlink"/>
                  <w:rFonts w:ascii="Arial" w:hAnsi="Arial" w:cs="Arial"/>
                </w:rPr>
                <w:t>Hunt, 2007</w:t>
              </w:r>
            </w:hyperlink>
            <w:r w:rsidRPr="00D61F73">
              <w:rPr>
                <w:rFonts w:ascii="Arial" w:hAnsi="Arial" w:cs="Arial"/>
              </w:rPr>
              <w:t>) A warning is given on all acetaminophen products that patients that consume ≥ 3 alcoholic drinks a day should discuss use with their physician, although a systematic review of acetaminophen use in alcoholic subjects concluded that there was little credible evidence to implicate therapeutic doses as a cause of fulminant hepatotoxicity in alcoholics. (</w:t>
            </w:r>
            <w:hyperlink w:anchor="Dart" w:history="1">
              <w:r w:rsidRPr="00D61F73">
                <w:rPr>
                  <w:rStyle w:val="Hyperlink"/>
                  <w:rFonts w:ascii="Arial" w:hAnsi="Arial" w:cs="Arial"/>
                </w:rPr>
                <w:t>Dart, 2007</w:t>
              </w:r>
            </w:hyperlink>
            <w:r w:rsidRPr="00D61F73">
              <w:rPr>
                <w:rFonts w:ascii="Arial" w:hAnsi="Arial" w:cs="Arial"/>
              </w:rPr>
              <w:t>) Recent RCTs found that short-term treatment (3-5 days) of acetaminophen in newly abstinent alcoholic patients did not cause hepatic injury. (</w:t>
            </w:r>
            <w:hyperlink w:anchor="Kuffner" w:history="1">
              <w:r w:rsidRPr="00D61F73">
                <w:rPr>
                  <w:rStyle w:val="Hyperlink"/>
                  <w:rFonts w:ascii="Arial" w:hAnsi="Arial" w:cs="Arial"/>
                </w:rPr>
                <w:t>Kuffner, 2007</w:t>
              </w:r>
            </w:hyperlink>
            <w:r w:rsidRPr="00D61F73">
              <w:rPr>
                <w:rFonts w:ascii="Arial" w:hAnsi="Arial" w:cs="Arial"/>
              </w:rPr>
              <w:t>) (</w:t>
            </w:r>
            <w:hyperlink w:anchor="Bartels" w:history="1">
              <w:r w:rsidRPr="00D61F73">
                <w:rPr>
                  <w:rStyle w:val="Hyperlink"/>
                  <w:rFonts w:ascii="Arial" w:hAnsi="Arial" w:cs="Arial"/>
                </w:rPr>
                <w:t>Bartels, 2008</w:t>
              </w:r>
            </w:hyperlink>
            <w:r w:rsidRPr="00D61F73">
              <w:rPr>
                <w:rFonts w:ascii="Arial" w:hAnsi="Arial" w:cs="Arial"/>
              </w:rPr>
              <w:t xml:space="preserve">) Acetaminophen, when used </w:t>
            </w:r>
            <w:r w:rsidRPr="00D61F73">
              <w:rPr>
                <w:rFonts w:ascii="Arial" w:hAnsi="Arial" w:cs="Arial"/>
              </w:rPr>
              <w:lastRenderedPageBreak/>
              <w:t xml:space="preserve">at recommended maximum doses, may induce ALT elevations &gt;3× ULN in up to nearly 40% of subjects. </w:t>
            </w:r>
            <w:r w:rsidRPr="00D61F73">
              <w:rPr>
                <w:rFonts w:ascii="Arial" w:hAnsi="Arial" w:cs="Arial"/>
                <w:i/>
              </w:rPr>
              <w:t xml:space="preserve">Renal toxicity: </w:t>
            </w:r>
            <w:r w:rsidRPr="00D61F73">
              <w:rPr>
                <w:rFonts w:ascii="Arial" w:hAnsi="Arial" w:cs="Arial"/>
              </w:rPr>
              <w:t>Renal insufficiency occurs in 1 to 2% of patients with overdose. (</w:t>
            </w:r>
            <w:hyperlink w:anchor="Mazer" w:history="1">
              <w:r w:rsidRPr="00D61F73">
                <w:rPr>
                  <w:rStyle w:val="Hyperlink"/>
                  <w:rFonts w:ascii="Arial" w:hAnsi="Arial" w:cs="Arial"/>
                </w:rPr>
                <w:t>Mazer, 2008</w:t>
              </w:r>
            </w:hyperlink>
            <w:r w:rsidRPr="00D61F73">
              <w:rPr>
                <w:rFonts w:ascii="Arial" w:hAnsi="Arial" w:cs="Arial"/>
              </w:rPr>
              <w:t xml:space="preserve">) </w:t>
            </w:r>
            <w:r w:rsidRPr="00D61F73">
              <w:rPr>
                <w:rFonts w:ascii="Arial" w:hAnsi="Arial" w:cs="Arial"/>
                <w:i/>
              </w:rPr>
              <w:t xml:space="preserve">Hypertension and cardiovascular risk: </w:t>
            </w:r>
            <w:r w:rsidRPr="00D61F73">
              <w:rPr>
                <w:rFonts w:ascii="Arial" w:hAnsi="Arial" w:cs="Arial"/>
              </w:rPr>
              <w:t>Cohort analysis reveals that acetaminophen use is associated with hypertension but evidence from randomized controlled trials is limited. This risk is similar to that found for NSAIDs. (</w:t>
            </w:r>
            <w:hyperlink w:anchor="Forman" w:history="1">
              <w:r w:rsidRPr="00D61F73">
                <w:rPr>
                  <w:rStyle w:val="Hyperlink"/>
                  <w:rFonts w:ascii="Arial" w:hAnsi="Arial" w:cs="Arial"/>
                </w:rPr>
                <w:t>Forman, 2007</w:t>
              </w:r>
            </w:hyperlink>
            <w:r w:rsidRPr="00D61F73">
              <w:rPr>
                <w:rFonts w:ascii="Arial" w:hAnsi="Arial" w:cs="Arial"/>
              </w:rPr>
              <w:t>) (</w:t>
            </w:r>
            <w:hyperlink w:anchor="Montgomery" w:history="1">
              <w:r w:rsidRPr="00D61F73">
                <w:rPr>
                  <w:rStyle w:val="Hyperlink"/>
                  <w:rFonts w:ascii="Arial" w:hAnsi="Arial" w:cs="Arial"/>
                </w:rPr>
                <w:t>Montgomery, 2008</w:t>
              </w:r>
            </w:hyperlink>
            <w:r w:rsidRPr="00D61F73">
              <w:rPr>
                <w:rFonts w:ascii="Arial" w:hAnsi="Arial" w:cs="Arial"/>
              </w:rPr>
              <w:t>) An increased cardiovascular risk was found in the Nurse’s Health Study. (</w:t>
            </w:r>
            <w:hyperlink w:anchor="Chan2" w:history="1">
              <w:r w:rsidRPr="00D61F73">
                <w:rPr>
                  <w:rStyle w:val="Hyperlink"/>
                  <w:rFonts w:ascii="Arial" w:hAnsi="Arial" w:cs="Arial"/>
                </w:rPr>
                <w:t>Chan, 2006</w:t>
              </w:r>
            </w:hyperlink>
            <w:r w:rsidRPr="00D61F73">
              <w:rPr>
                <w:rFonts w:ascii="Arial" w:hAnsi="Arial" w:cs="Arial"/>
              </w:rPr>
              <w:t>) (</w:t>
            </w:r>
            <w:hyperlink w:anchor="Laine2007" w:history="1">
              <w:r w:rsidRPr="00D61F73">
                <w:rPr>
                  <w:rStyle w:val="Hyperlink"/>
                  <w:rFonts w:ascii="Arial" w:hAnsi="Arial" w:cs="Arial"/>
                </w:rPr>
                <w:t>Laine, 2007</w:t>
              </w:r>
            </w:hyperlink>
            <w:r w:rsidRPr="00D61F73">
              <w:rPr>
                <w:rFonts w:ascii="Arial" w:hAnsi="Arial" w:cs="Arial"/>
              </w:rPr>
              <w:t>) (</w:t>
            </w:r>
            <w:hyperlink w:anchor="Laine2008" w:history="1">
              <w:r w:rsidRPr="00D61F73">
                <w:rPr>
                  <w:rStyle w:val="Hyperlink"/>
                  <w:rFonts w:ascii="Arial" w:hAnsi="Arial" w:cs="Arial"/>
                </w:rPr>
                <w:t>Laine, 2008</w:t>
              </w:r>
            </w:hyperlink>
            <w:r w:rsidRPr="00D61F73">
              <w:rPr>
                <w:rFonts w:ascii="Arial" w:hAnsi="Arial" w:cs="Arial"/>
              </w:rPr>
              <w:t xml:space="preserve">) </w:t>
            </w:r>
            <w:r w:rsidR="00191C32" w:rsidRPr="00D61F73">
              <w:rPr>
                <w:rFonts w:ascii="Arial" w:hAnsi="Arial" w:cs="Arial"/>
              </w:rPr>
              <w:t xml:space="preserve"> Acetaminophen may have more risks than originally thought, particularly when it is taken at the higher end of standard therapeutic doses. (</w:t>
            </w:r>
            <w:hyperlink w:anchor="Wise2015" w:history="1">
              <w:r w:rsidR="00191C32" w:rsidRPr="00D61F73">
                <w:rPr>
                  <w:rStyle w:val="Hyperlink"/>
                  <w:rFonts w:ascii="Arial" w:hAnsi="Arial" w:cs="Arial"/>
                </w:rPr>
                <w:t>Wise, 2015</w:t>
              </w:r>
            </w:hyperlink>
            <w:r w:rsidR="00191C32" w:rsidRPr="00D61F73">
              <w:rPr>
                <w:rFonts w:ascii="Arial" w:hAnsi="Arial" w:cs="Arial"/>
              </w:rPr>
              <w:t>)</w:t>
            </w:r>
          </w:p>
          <w:p w14:paraId="08FC90DD" w14:textId="77777777" w:rsidR="008D0565" w:rsidRPr="00D61F73" w:rsidRDefault="008D0565" w:rsidP="00D61F73">
            <w:pPr>
              <w:rPr>
                <w:rFonts w:ascii="Arial" w:hAnsi="Arial" w:cs="Arial"/>
              </w:rPr>
            </w:pPr>
            <w:r w:rsidRPr="00D61F73">
              <w:rPr>
                <w:rFonts w:ascii="Arial" w:hAnsi="Arial" w:cs="Arial"/>
                <w:i/>
                <w:u w:val="single"/>
              </w:rPr>
              <w:t>Dose</w:t>
            </w:r>
            <w:r w:rsidRPr="00D61F73">
              <w:rPr>
                <w:rFonts w:ascii="Arial" w:hAnsi="Arial" w:cs="Arial"/>
                <w:i/>
              </w:rPr>
              <w:t xml:space="preserve">: </w:t>
            </w:r>
            <w:r w:rsidRPr="00D61F73">
              <w:rPr>
                <w:rFonts w:ascii="Arial" w:hAnsi="Arial" w:cs="Arial"/>
              </w:rPr>
              <w:t>Acetaminophen has been shown definitively to work synergistically with opioids, enhancing pain relief in a way that is opioid</w:t>
            </w:r>
            <w:r w:rsidR="00396449" w:rsidRPr="00D61F73">
              <w:rPr>
                <w:rFonts w:ascii="Arial" w:hAnsi="Arial" w:cs="Arial"/>
              </w:rPr>
              <w:t>-</w:t>
            </w:r>
            <w:r w:rsidRPr="00D61F73">
              <w:rPr>
                <w:rFonts w:ascii="Arial" w:hAnsi="Arial" w:cs="Arial"/>
              </w:rPr>
              <w:t xml:space="preserve">sparing. </w:t>
            </w:r>
            <w:r w:rsidR="00F01A69" w:rsidRPr="00D61F73">
              <w:rPr>
                <w:rFonts w:ascii="Arial" w:hAnsi="Arial" w:cs="Arial"/>
              </w:rPr>
              <w:t>(</w:t>
            </w:r>
            <w:hyperlink r:id="rId28" w:history="1">
              <w:r w:rsidR="00F01A69" w:rsidRPr="00D61F73">
                <w:rPr>
                  <w:rStyle w:val="Hyperlink"/>
                  <w:rFonts w:ascii="Arial" w:hAnsi="Arial" w:cs="Arial"/>
                </w:rPr>
                <w:t>FDA, 2008</w:t>
              </w:r>
            </w:hyperlink>
            <w:r w:rsidR="00F01A69" w:rsidRPr="00D61F73">
              <w:rPr>
                <w:rFonts w:ascii="Arial" w:hAnsi="Arial" w:cs="Arial"/>
              </w:rPr>
              <w:t xml:space="preserve">) </w:t>
            </w:r>
            <w:r w:rsidRPr="00D61F73">
              <w:rPr>
                <w:rFonts w:ascii="Arial" w:hAnsi="Arial" w:cs="Arial"/>
                <w:color w:val="auto"/>
              </w:rPr>
              <w:t xml:space="preserve">Despite acetaminophen's synergistic effect with opioids, fixed combination products are problematic because </w:t>
            </w:r>
            <w:r w:rsidR="00396449" w:rsidRPr="00D61F73">
              <w:rPr>
                <w:rFonts w:ascii="Arial" w:hAnsi="Arial" w:cs="Arial"/>
                <w:color w:val="auto"/>
              </w:rPr>
              <w:t xml:space="preserve">it is not possible to </w:t>
            </w:r>
            <w:r w:rsidRPr="00D61F73">
              <w:rPr>
                <w:rFonts w:ascii="Arial" w:hAnsi="Arial" w:cs="Arial"/>
                <w:color w:val="auto"/>
              </w:rPr>
              <w:t xml:space="preserve">titrate the opioid </w:t>
            </w:r>
            <w:r w:rsidR="00396449" w:rsidRPr="00D61F73">
              <w:rPr>
                <w:rFonts w:ascii="Arial" w:hAnsi="Arial" w:cs="Arial"/>
                <w:color w:val="auto"/>
              </w:rPr>
              <w:t>dose relative to the acetaminophen dose</w:t>
            </w:r>
            <w:r w:rsidRPr="00D61F73">
              <w:rPr>
                <w:rFonts w:ascii="Arial" w:hAnsi="Arial" w:cs="Arial"/>
                <w:color w:val="auto"/>
              </w:rPr>
              <w:t xml:space="preserve"> when the fixed combination</w:t>
            </w:r>
            <w:r w:rsidR="00396449" w:rsidRPr="00D61F73">
              <w:rPr>
                <w:rFonts w:ascii="Arial" w:hAnsi="Arial" w:cs="Arial"/>
                <w:color w:val="auto"/>
              </w:rPr>
              <w:t xml:space="preserve"> is used</w:t>
            </w:r>
            <w:r w:rsidRPr="00D61F73">
              <w:rPr>
                <w:rFonts w:ascii="Arial" w:hAnsi="Arial" w:cs="Arial"/>
                <w:color w:val="auto"/>
              </w:rPr>
              <w:t>.</w:t>
            </w:r>
            <w:r w:rsidRPr="00D61F73">
              <w:rPr>
                <w:rFonts w:ascii="Arial" w:hAnsi="Arial" w:cs="Arial"/>
              </w:rPr>
              <w:t xml:space="preserve"> </w:t>
            </w:r>
            <w:r w:rsidR="00396449" w:rsidRPr="00D61F73">
              <w:rPr>
                <w:rFonts w:ascii="Arial" w:hAnsi="Arial" w:cs="Arial"/>
              </w:rPr>
              <w:t>Furthermore</w:t>
            </w:r>
            <w:r w:rsidRPr="00D61F73">
              <w:rPr>
                <w:rFonts w:ascii="Arial" w:hAnsi="Arial" w:cs="Arial"/>
              </w:rPr>
              <w:t>, i</w:t>
            </w:r>
            <w:r w:rsidR="00396449" w:rsidRPr="00D61F73">
              <w:rPr>
                <w:rFonts w:ascii="Arial" w:hAnsi="Arial" w:cs="Arial"/>
              </w:rPr>
              <w:t>n order for</w:t>
            </w:r>
            <w:r w:rsidRPr="00D61F73">
              <w:rPr>
                <w:rFonts w:ascii="Arial" w:hAnsi="Arial" w:cs="Arial"/>
              </w:rPr>
              <w:t xml:space="preserve"> acetaminophen to </w:t>
            </w:r>
            <w:r w:rsidR="00396449" w:rsidRPr="00D61F73">
              <w:rPr>
                <w:rFonts w:ascii="Arial" w:hAnsi="Arial" w:cs="Arial"/>
              </w:rPr>
              <w:t>produce an effective analgesic effect</w:t>
            </w:r>
            <w:r w:rsidRPr="00D61F73">
              <w:rPr>
                <w:rFonts w:ascii="Arial" w:hAnsi="Arial" w:cs="Arial"/>
              </w:rPr>
              <w:t xml:space="preserve">, it needs to be </w:t>
            </w:r>
            <w:r w:rsidR="00396449" w:rsidRPr="00D61F73">
              <w:rPr>
                <w:rFonts w:ascii="Arial" w:hAnsi="Arial" w:cs="Arial"/>
              </w:rPr>
              <w:t xml:space="preserve">used </w:t>
            </w:r>
            <w:r w:rsidRPr="00D61F73">
              <w:rPr>
                <w:rFonts w:ascii="Arial" w:hAnsi="Arial" w:cs="Arial"/>
              </w:rPr>
              <w:t xml:space="preserve">on a regular basis. </w:t>
            </w:r>
            <w:r w:rsidR="00084D79" w:rsidRPr="00D61F73">
              <w:rPr>
                <w:rFonts w:ascii="Arial" w:hAnsi="Arial" w:cs="Arial"/>
              </w:rPr>
              <w:t xml:space="preserve">Consequently, </w:t>
            </w:r>
            <w:r w:rsidR="00BA6340" w:rsidRPr="00D61F73">
              <w:rPr>
                <w:rFonts w:ascii="Arial" w:hAnsi="Arial" w:cs="Arial"/>
              </w:rPr>
              <w:t xml:space="preserve">it is best to administer </w:t>
            </w:r>
            <w:r w:rsidR="00084D79" w:rsidRPr="00D61F73">
              <w:rPr>
                <w:rFonts w:ascii="Arial" w:hAnsi="Arial" w:cs="Arial"/>
              </w:rPr>
              <w:t xml:space="preserve">acetaminophen </w:t>
            </w:r>
            <w:r w:rsidR="00452654" w:rsidRPr="00D61F73">
              <w:rPr>
                <w:rFonts w:ascii="Arial" w:hAnsi="Arial" w:cs="Arial"/>
              </w:rPr>
              <w:t>as a single drug and</w:t>
            </w:r>
            <w:r w:rsidRPr="00D61F73">
              <w:rPr>
                <w:rFonts w:ascii="Arial" w:hAnsi="Arial" w:cs="Arial"/>
              </w:rPr>
              <w:t xml:space="preserve"> on a routine basis and then, if necessary, </w:t>
            </w:r>
            <w:r w:rsidR="00BA6340" w:rsidRPr="00D61F73">
              <w:rPr>
                <w:rFonts w:ascii="Arial" w:hAnsi="Arial" w:cs="Arial"/>
              </w:rPr>
              <w:t xml:space="preserve">to </w:t>
            </w:r>
            <w:r w:rsidR="00084D79" w:rsidRPr="00D61F73">
              <w:rPr>
                <w:rFonts w:ascii="Arial" w:hAnsi="Arial" w:cs="Arial"/>
              </w:rPr>
              <w:t>add an</w:t>
            </w:r>
            <w:r w:rsidRPr="00D61F73">
              <w:rPr>
                <w:rFonts w:ascii="Arial" w:hAnsi="Arial" w:cs="Arial"/>
              </w:rPr>
              <w:t xml:space="preserve"> opioid as a single entity </w:t>
            </w:r>
            <w:r w:rsidR="00084D79" w:rsidRPr="00D61F73">
              <w:rPr>
                <w:rFonts w:ascii="Arial" w:hAnsi="Arial" w:cs="Arial"/>
              </w:rPr>
              <w:t>that may be</w:t>
            </w:r>
            <w:r w:rsidRPr="00D61F73">
              <w:rPr>
                <w:rFonts w:ascii="Arial" w:hAnsi="Arial" w:cs="Arial"/>
              </w:rPr>
              <w:t xml:space="preserve"> titrate</w:t>
            </w:r>
            <w:r w:rsidR="00084D79" w:rsidRPr="00D61F73">
              <w:rPr>
                <w:rFonts w:ascii="Arial" w:hAnsi="Arial" w:cs="Arial"/>
              </w:rPr>
              <w:t>d</w:t>
            </w:r>
            <w:r w:rsidRPr="00D61F73">
              <w:rPr>
                <w:rFonts w:ascii="Arial" w:hAnsi="Arial" w:cs="Arial"/>
              </w:rPr>
              <w:t xml:space="preserve"> to effect. (</w:t>
            </w:r>
            <w:hyperlink w:anchor="Ray2013" w:history="1">
              <w:r w:rsidRPr="00D61F73">
                <w:rPr>
                  <w:rStyle w:val="Hyperlink"/>
                  <w:rFonts w:ascii="Arial" w:hAnsi="Arial" w:cs="Arial"/>
                </w:rPr>
                <w:t>Ray, 2013</w:t>
              </w:r>
            </w:hyperlink>
            <w:r w:rsidRPr="00D61F73">
              <w:rPr>
                <w:rFonts w:ascii="Arial" w:hAnsi="Arial" w:cs="Arial"/>
              </w:rPr>
              <w:t>)</w:t>
            </w:r>
            <w:r w:rsidR="00EA62BD" w:rsidRPr="00D61F73">
              <w:rPr>
                <w:rFonts w:ascii="Arial" w:hAnsi="Arial" w:cs="Arial"/>
              </w:rPr>
              <w:t xml:space="preserve">  </w:t>
            </w:r>
          </w:p>
          <w:p w14:paraId="5C4E19D1" w14:textId="77777777" w:rsidR="0023383D" w:rsidRPr="00D61F73" w:rsidRDefault="0023383D" w:rsidP="00D61F73">
            <w:pPr>
              <w:rPr>
                <w:rFonts w:ascii="Arial" w:hAnsi="Arial" w:cs="Arial"/>
              </w:rPr>
            </w:pPr>
            <w:r w:rsidRPr="00D61F73">
              <w:rPr>
                <w:rFonts w:ascii="Arial" w:hAnsi="Arial" w:cs="Arial"/>
                <w:i/>
                <w:u w:val="single"/>
              </w:rPr>
              <w:t>Dose</w:t>
            </w:r>
            <w:r w:rsidRPr="00D61F73">
              <w:rPr>
                <w:rFonts w:ascii="Arial" w:hAnsi="Arial" w:cs="Arial"/>
                <w:i/>
              </w:rPr>
              <w:t xml:space="preserve">: </w:t>
            </w:r>
            <w:r w:rsidRPr="00D61F73">
              <w:rPr>
                <w:rFonts w:ascii="Arial" w:hAnsi="Arial" w:cs="Arial"/>
              </w:rPr>
              <w:t>The recommended dose for mild to moderate pain is 650 to 1000 mg orally every 6 hours with a FDA</w:t>
            </w:r>
            <w:r w:rsidR="0037466F" w:rsidRPr="00D61F73">
              <w:rPr>
                <w:rFonts w:ascii="Arial" w:hAnsi="Arial" w:cs="Arial"/>
              </w:rPr>
              <w:t>-approved</w:t>
            </w:r>
            <w:r w:rsidRPr="00D61F73">
              <w:rPr>
                <w:rFonts w:ascii="Arial" w:hAnsi="Arial" w:cs="Arial"/>
              </w:rPr>
              <w:t xml:space="preserve"> maximum of 4 g/day. In calculating the maximum daily dose, it is necessary to combine all sources of acetaminophen in, including many OTC preparations as well as many common opioid combinations that include acetaminophen. An FDA advisory committee has recommended new restrictions on acetaminophen, voting that the single adult acetaminophen dose should be no more than 650 mg</w:t>
            </w:r>
            <w:r w:rsidR="0037466F" w:rsidRPr="00D61F73">
              <w:rPr>
                <w:rFonts w:ascii="Arial" w:hAnsi="Arial" w:cs="Arial"/>
              </w:rPr>
              <w:t xml:space="preserve"> </w:t>
            </w:r>
            <w:r w:rsidRPr="00D61F73">
              <w:rPr>
                <w:rFonts w:ascii="Arial" w:hAnsi="Arial" w:cs="Arial"/>
              </w:rPr>
              <w:t>with a</w:t>
            </w:r>
            <w:r w:rsidR="0037466F" w:rsidRPr="00D61F73">
              <w:rPr>
                <w:rFonts w:ascii="Arial" w:hAnsi="Arial" w:cs="Arial"/>
              </w:rPr>
              <w:t xml:space="preserve"> </w:t>
            </w:r>
            <w:r w:rsidRPr="00D61F73">
              <w:rPr>
                <w:rFonts w:ascii="Arial" w:hAnsi="Arial" w:cs="Arial"/>
              </w:rPr>
              <w:t>maximum total dose for 24 hours</w:t>
            </w:r>
            <w:r w:rsidR="003652BF" w:rsidRPr="00D61F73">
              <w:rPr>
                <w:rFonts w:ascii="Arial" w:hAnsi="Arial" w:cs="Arial"/>
              </w:rPr>
              <w:t xml:space="preserve">, </w:t>
            </w:r>
            <w:r w:rsidRPr="00D61F73">
              <w:rPr>
                <w:rFonts w:ascii="Arial" w:hAnsi="Arial" w:cs="Arial"/>
              </w:rPr>
              <w:t>decreased to no more than 3,250 mg. (</w:t>
            </w:r>
            <w:hyperlink r:id="rId29" w:history="1">
              <w:r w:rsidRPr="00D61F73">
                <w:rPr>
                  <w:rFonts w:ascii="Arial" w:hAnsi="Arial" w:cs="Arial"/>
                  <w:color w:val="0000FF"/>
                  <w:u w:val="single"/>
                </w:rPr>
                <w:t>FDA, 2009</w:t>
              </w:r>
            </w:hyperlink>
            <w:r w:rsidRPr="00D61F73">
              <w:rPr>
                <w:rFonts w:ascii="Arial" w:hAnsi="Arial" w:cs="Arial"/>
              </w:rPr>
              <w:t xml:space="preserve">) </w:t>
            </w:r>
            <w:r w:rsidR="00ED7003" w:rsidRPr="00D61F73">
              <w:rPr>
                <w:rFonts w:ascii="Arial" w:hAnsi="Arial" w:cs="Arial"/>
              </w:rPr>
              <w:t xml:space="preserve">The </w:t>
            </w:r>
            <w:r w:rsidRPr="00D61F73">
              <w:rPr>
                <w:rFonts w:ascii="Arial" w:hAnsi="Arial" w:cs="Arial"/>
              </w:rPr>
              <w:t xml:space="preserve">FDA asked drug manufacturers to limit the strength of acetaminophen in prescription drug products, predominantly combinations of acetaminophen and opioids, to 325 mg per pill, to reduce the risk of severe liver injury and allergic reactions. A Boxed Warning </w:t>
            </w:r>
            <w:r w:rsidR="00F964F3" w:rsidRPr="00D61F73">
              <w:rPr>
                <w:rFonts w:ascii="Arial" w:hAnsi="Arial" w:cs="Arial"/>
              </w:rPr>
              <w:t>has been</w:t>
            </w:r>
            <w:r w:rsidRPr="00D61F73">
              <w:rPr>
                <w:rFonts w:ascii="Arial" w:hAnsi="Arial" w:cs="Arial"/>
              </w:rPr>
              <w:t xml:space="preserve"> added to the label of all prescription drug products that contain acetaminophen. (</w:t>
            </w:r>
            <w:hyperlink r:id="rId30" w:history="1">
              <w:r w:rsidRPr="00D61F73">
                <w:rPr>
                  <w:rFonts w:ascii="Arial" w:hAnsi="Arial" w:cs="Arial"/>
                  <w:color w:val="0000FF"/>
                  <w:u w:val="single"/>
                </w:rPr>
                <w:t>FDA, 2011</w:t>
              </w:r>
            </w:hyperlink>
            <w:r w:rsidRPr="00D61F73">
              <w:rPr>
                <w:rFonts w:ascii="Arial" w:hAnsi="Arial" w:cs="Arial"/>
              </w:rPr>
              <w:t>) To help encourage appropriate acetaminophen use, the</w:t>
            </w:r>
            <w:r w:rsidR="00804166" w:rsidRPr="00D61F73">
              <w:rPr>
                <w:rFonts w:ascii="Arial" w:hAnsi="Arial" w:cs="Arial"/>
              </w:rPr>
              <w:t xml:space="preserve"> newly implemented</w:t>
            </w:r>
            <w:r w:rsidRPr="00D61F73">
              <w:rPr>
                <w:rFonts w:ascii="Arial" w:hAnsi="Arial" w:cs="Arial"/>
              </w:rPr>
              <w:t xml:space="preserve"> </w:t>
            </w:r>
            <w:r w:rsidR="00ED7003" w:rsidRPr="00D61F73">
              <w:rPr>
                <w:rFonts w:ascii="Arial" w:hAnsi="Arial" w:cs="Arial"/>
              </w:rPr>
              <w:t xml:space="preserve">dosing instructions </w:t>
            </w:r>
            <w:r w:rsidRPr="00D61F73">
              <w:rPr>
                <w:rFonts w:ascii="Arial" w:hAnsi="Arial" w:cs="Arial"/>
              </w:rPr>
              <w:t xml:space="preserve">of Extra Strength Tylenol® (acetaminophen) have </w:t>
            </w:r>
            <w:r w:rsidR="00804166" w:rsidRPr="00D61F73">
              <w:rPr>
                <w:rFonts w:ascii="Arial" w:hAnsi="Arial" w:cs="Arial"/>
              </w:rPr>
              <w:t xml:space="preserve">lowered the </w:t>
            </w:r>
            <w:r w:rsidRPr="00D61F73">
              <w:rPr>
                <w:rFonts w:ascii="Arial" w:hAnsi="Arial" w:cs="Arial"/>
              </w:rPr>
              <w:t xml:space="preserve">maximum daily dose from 8 pills per day (4,000 mg) to 6 pills per day (3,000 mg). The dosing interval has changed from 2 pills every 4–6 hours to 2 pills every 6 hours. </w:t>
            </w:r>
            <w:r w:rsidR="00F964F3" w:rsidRPr="00D61F73">
              <w:rPr>
                <w:rFonts w:ascii="Arial" w:hAnsi="Arial" w:cs="Arial"/>
              </w:rPr>
              <w:t>(</w:t>
            </w:r>
            <w:hyperlink r:id="rId31" w:history="1">
              <w:r w:rsidR="00684F2E" w:rsidRPr="00D61F73">
                <w:rPr>
                  <w:rStyle w:val="Hyperlink"/>
                  <w:rFonts w:ascii="Arial" w:hAnsi="Arial" w:cs="Arial"/>
                </w:rPr>
                <w:t>McNeil, 2014</w:t>
              </w:r>
            </w:hyperlink>
            <w:r w:rsidR="00F964F3" w:rsidRPr="00D61F73">
              <w:rPr>
                <w:rFonts w:ascii="Arial" w:hAnsi="Arial" w:cs="Arial"/>
              </w:rPr>
              <w:t xml:space="preserve">)  </w:t>
            </w:r>
            <w:r w:rsidR="00452654" w:rsidRPr="00D61F73">
              <w:rPr>
                <w:rFonts w:ascii="Arial" w:hAnsi="Arial" w:cs="Arial"/>
              </w:rPr>
              <w:t xml:space="preserve">Acetaminophen is best administered independently and on a routine basis </w:t>
            </w:r>
            <w:r w:rsidR="00ED7003" w:rsidRPr="00D61F73">
              <w:rPr>
                <w:rFonts w:ascii="Arial" w:hAnsi="Arial" w:cs="Arial"/>
              </w:rPr>
              <w:t>with</w:t>
            </w:r>
            <w:r w:rsidR="00452654" w:rsidRPr="00D61F73">
              <w:rPr>
                <w:rFonts w:ascii="Arial" w:hAnsi="Arial" w:cs="Arial"/>
              </w:rPr>
              <w:t xml:space="preserve">, if necessary, an opioid </w:t>
            </w:r>
            <w:r w:rsidR="00ED7003" w:rsidRPr="00D61F73">
              <w:rPr>
                <w:rFonts w:ascii="Arial" w:hAnsi="Arial" w:cs="Arial"/>
              </w:rPr>
              <w:t xml:space="preserve">added </w:t>
            </w:r>
            <w:r w:rsidR="00452654" w:rsidRPr="00D61F73">
              <w:rPr>
                <w:rFonts w:ascii="Arial" w:hAnsi="Arial" w:cs="Arial"/>
              </w:rPr>
              <w:t>as a single entity that may be titrated to effect</w:t>
            </w:r>
            <w:r w:rsidR="00980F01" w:rsidRPr="00D61F73">
              <w:rPr>
                <w:rFonts w:ascii="Arial" w:hAnsi="Arial" w:cs="Arial"/>
              </w:rPr>
              <w:t>.</w:t>
            </w:r>
            <w:r w:rsidR="001126A7" w:rsidRPr="00D61F73">
              <w:rPr>
                <w:rFonts w:ascii="Arial" w:hAnsi="Arial" w:cs="Arial"/>
              </w:rPr>
              <w:t xml:space="preserve"> </w:t>
            </w:r>
          </w:p>
        </w:tc>
      </w:tr>
      <w:tr w:rsidR="008D0565" w:rsidRPr="00D61F73" w14:paraId="229A33EB" w14:textId="77777777" w:rsidTr="004A2158">
        <w:tc>
          <w:tcPr>
            <w:tcW w:w="1086" w:type="pct"/>
            <w:shd w:val="clear" w:color="auto" w:fill="auto"/>
          </w:tcPr>
          <w:p w14:paraId="546F2D91"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lastRenderedPageBreak/>
              <w:t>A</w:t>
            </w:r>
            <w:bookmarkStart w:id="48" w:name="Actiq"/>
            <w:bookmarkEnd w:id="48"/>
            <w:r w:rsidRPr="00D61F73">
              <w:rPr>
                <w:rFonts w:ascii="Arial" w:hAnsi="Arial" w:cs="Arial"/>
              </w:rPr>
              <w:t>ctiq® (oral transmucosal fentanyl lollipop)</w:t>
            </w:r>
            <w:r w:rsidR="00507A0B" w:rsidRPr="00D61F73">
              <w:rPr>
                <w:rFonts w:ascii="Arial" w:hAnsi="Arial" w:cs="Arial"/>
              </w:rPr>
              <w:t xml:space="preserve"> </w:t>
            </w:r>
          </w:p>
          <w:p w14:paraId="483406EA" w14:textId="77777777" w:rsidR="00A36AE5" w:rsidRPr="00D61F73" w:rsidRDefault="00A36AE5" w:rsidP="00D61F73">
            <w:pPr>
              <w:pStyle w:val="Footer"/>
              <w:tabs>
                <w:tab w:val="clear" w:pos="4320"/>
                <w:tab w:val="clear" w:pos="8640"/>
              </w:tabs>
              <w:rPr>
                <w:rFonts w:ascii="Arial" w:hAnsi="Arial" w:cs="Arial"/>
              </w:rPr>
            </w:pPr>
          </w:p>
          <w:p w14:paraId="0EFA26C9" w14:textId="77777777" w:rsidR="00A36AE5" w:rsidRPr="00D61F73" w:rsidRDefault="00A36AE5" w:rsidP="00D61F73">
            <w:pPr>
              <w:pStyle w:val="Footer"/>
              <w:tabs>
                <w:tab w:val="clear" w:pos="4320"/>
                <w:tab w:val="clear" w:pos="8640"/>
              </w:tabs>
              <w:rPr>
                <w:rFonts w:ascii="Arial" w:hAnsi="Arial" w:cs="Arial"/>
                <w:u w:val="single"/>
              </w:rPr>
            </w:pPr>
          </w:p>
        </w:tc>
        <w:tc>
          <w:tcPr>
            <w:tcW w:w="3914" w:type="pct"/>
            <w:shd w:val="clear" w:color="auto" w:fill="auto"/>
          </w:tcPr>
          <w:p w14:paraId="2DAEB673" w14:textId="199D8D07" w:rsidR="008D0565" w:rsidRPr="00D61F73" w:rsidRDefault="008D0565" w:rsidP="00D61F73">
            <w:pPr>
              <w:rPr>
                <w:rFonts w:ascii="Arial" w:hAnsi="Arial" w:cs="Arial"/>
              </w:rPr>
            </w:pPr>
            <w:r w:rsidRPr="00D61F73">
              <w:rPr>
                <w:rFonts w:ascii="Arial" w:hAnsi="Arial" w:cs="Arial"/>
              </w:rPr>
              <w:t>Not recommended for</w:t>
            </w:r>
            <w:r w:rsidR="008B41E5" w:rsidRPr="00D61F73">
              <w:rPr>
                <w:rFonts w:ascii="Arial" w:hAnsi="Arial" w:cs="Arial"/>
              </w:rPr>
              <w:t xml:space="preserve"> chronic non-cancer pain</w:t>
            </w:r>
            <w:r w:rsidRPr="00D61F73">
              <w:rPr>
                <w:rFonts w:ascii="Arial" w:hAnsi="Arial" w:cs="Arial"/>
              </w:rPr>
              <w:t>. Actiq</w:t>
            </w:r>
            <w:r w:rsidRPr="00D61F73">
              <w:rPr>
                <w:rFonts w:ascii="Arial" w:hAnsi="Arial" w:cs="Arial"/>
              </w:rPr>
              <w:sym w:font="Symbol" w:char="00D2"/>
            </w:r>
            <w:r w:rsidRPr="00D61F73">
              <w:rPr>
                <w:rFonts w:ascii="Arial" w:hAnsi="Arial" w:cs="Arial"/>
              </w:rPr>
              <w:t xml:space="preserve"> (oral transmucosal fentanyl citrate), a fast-acting highly potent "lollipop" painkiller produced by Cephalon, is indicated only for the management of breakthrough cancer pain in patients with malignancies who are already receiving and who are tolerant to opioid therapy for their underlying persistent cancer pain. </w:t>
            </w:r>
            <w:r w:rsidRPr="00D61F73">
              <w:rPr>
                <w:rFonts w:ascii="Arial" w:hAnsi="Arial" w:cs="Arial"/>
                <w:color w:val="auto"/>
              </w:rPr>
              <w:t xml:space="preserve">Actiq </w:t>
            </w:r>
            <w:r w:rsidRPr="00D61F73">
              <w:rPr>
                <w:rFonts w:ascii="Arial" w:hAnsi="Arial" w:cs="Arial"/>
                <w:color w:val="auto"/>
              </w:rPr>
              <w:lastRenderedPageBreak/>
              <w:t>is contraindicated in acute pain; is not for use in chronic pain; and has a Black Box w</w:t>
            </w:r>
            <w:r w:rsidRPr="00D61F73">
              <w:rPr>
                <w:rFonts w:ascii="Arial" w:hAnsi="Arial" w:cs="Arial"/>
              </w:rPr>
              <w:t xml:space="preserve">arning for abuse potential. </w:t>
            </w:r>
            <w:r w:rsidR="00191C32" w:rsidRPr="00D61F73">
              <w:rPr>
                <w:rFonts w:ascii="Arial" w:hAnsi="Arial" w:cs="Arial"/>
              </w:rPr>
              <w:t xml:space="preserve">See also </w:t>
            </w:r>
            <w:hyperlink w:anchor="Fentanyl" w:history="1">
              <w:r w:rsidR="00191C32" w:rsidRPr="00D61F73">
                <w:rPr>
                  <w:rStyle w:val="Hyperlink"/>
                  <w:rFonts w:ascii="Arial" w:hAnsi="Arial" w:cs="Arial"/>
                </w:rPr>
                <w:t>Fentanyl.</w:t>
              </w:r>
            </w:hyperlink>
          </w:p>
        </w:tc>
      </w:tr>
      <w:tr w:rsidR="008D0565" w:rsidRPr="00D61F73" w14:paraId="7BEEEE7E" w14:textId="77777777" w:rsidTr="004A2158">
        <w:tc>
          <w:tcPr>
            <w:tcW w:w="1086" w:type="pct"/>
            <w:shd w:val="clear" w:color="auto" w:fill="auto"/>
          </w:tcPr>
          <w:p w14:paraId="10C6858E"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lastRenderedPageBreak/>
              <w:t>A</w:t>
            </w:r>
            <w:bookmarkStart w:id="49" w:name="Acupuncture"/>
            <w:bookmarkEnd w:id="49"/>
            <w:r w:rsidRPr="00D61F73">
              <w:rPr>
                <w:rFonts w:ascii="Arial" w:hAnsi="Arial" w:cs="Arial"/>
              </w:rPr>
              <w:t>cupuncture</w:t>
            </w:r>
          </w:p>
        </w:tc>
        <w:tc>
          <w:tcPr>
            <w:tcW w:w="3914" w:type="pct"/>
            <w:shd w:val="clear" w:color="auto" w:fill="auto"/>
          </w:tcPr>
          <w:p w14:paraId="2AFE617E" w14:textId="1C1A0FA9" w:rsidR="008D0565" w:rsidRPr="00D61F73" w:rsidRDefault="006E7325" w:rsidP="00D61F73">
            <w:pPr>
              <w:rPr>
                <w:rFonts w:ascii="Arial" w:hAnsi="Arial" w:cs="Arial"/>
              </w:rPr>
            </w:pPr>
            <w:r w:rsidRPr="00D61F73">
              <w:rPr>
                <w:rFonts w:ascii="Arial" w:hAnsi="Arial" w:cs="Arial"/>
              </w:rPr>
              <w:t>See</w:t>
            </w:r>
            <w:r w:rsidR="00D4423A" w:rsidRPr="00D61F73">
              <w:rPr>
                <w:rFonts w:ascii="Arial" w:hAnsi="Arial" w:cs="Arial"/>
              </w:rPr>
              <w:t xml:space="preserve"> the</w:t>
            </w:r>
            <w:r w:rsidR="00001702" w:rsidRPr="00D61F73">
              <w:rPr>
                <w:rFonts w:ascii="Arial" w:hAnsi="Arial" w:cs="Arial"/>
              </w:rPr>
              <w:t xml:space="preserve"> </w:t>
            </w:r>
            <w:r w:rsidR="007D1841" w:rsidRPr="00415863">
              <w:rPr>
                <w:rFonts w:ascii="Arial" w:hAnsi="Arial" w:cs="Arial"/>
              </w:rPr>
              <w:t>MTUS Acupuncture Treatment</w:t>
            </w:r>
            <w:r w:rsidR="00001702" w:rsidRPr="00415863">
              <w:rPr>
                <w:rFonts w:ascii="Arial" w:hAnsi="Arial" w:cs="Arial"/>
              </w:rPr>
              <w:t xml:space="preserve"> Guidelines</w:t>
            </w:r>
            <w:r w:rsidR="00001702" w:rsidRPr="00D61F73">
              <w:rPr>
                <w:rFonts w:ascii="Arial" w:hAnsi="Arial" w:cs="Arial"/>
              </w:rPr>
              <w:t xml:space="preserve"> for recommendations</w:t>
            </w:r>
            <w:r w:rsidR="007D1841" w:rsidRPr="00D61F73">
              <w:rPr>
                <w:rFonts w:ascii="Arial" w:hAnsi="Arial" w:cs="Arial"/>
              </w:rPr>
              <w:t xml:space="preserve">. </w:t>
            </w:r>
          </w:p>
        </w:tc>
      </w:tr>
      <w:tr w:rsidR="008D0565" w:rsidRPr="00D61F73" w14:paraId="7C3E5329" w14:textId="77777777" w:rsidTr="004A2158">
        <w:tc>
          <w:tcPr>
            <w:tcW w:w="1086" w:type="pct"/>
            <w:shd w:val="clear" w:color="auto" w:fill="auto"/>
          </w:tcPr>
          <w:p w14:paraId="1840622B" w14:textId="77777777" w:rsidR="008D0565" w:rsidRPr="00D61F73" w:rsidRDefault="008D0565" w:rsidP="00D61F73">
            <w:pPr>
              <w:pStyle w:val="Footer"/>
              <w:tabs>
                <w:tab w:val="clear" w:pos="4320"/>
                <w:tab w:val="clear" w:pos="8640"/>
              </w:tabs>
              <w:rPr>
                <w:rFonts w:ascii="Arial" w:hAnsi="Arial" w:cs="Arial"/>
                <w:lang w:val="es-MX"/>
              </w:rPr>
            </w:pPr>
            <w:r w:rsidRPr="00D61F73">
              <w:rPr>
                <w:rFonts w:ascii="Arial" w:hAnsi="Arial" w:cs="Arial"/>
                <w:lang w:val="es-MX"/>
              </w:rPr>
              <w:t>A</w:t>
            </w:r>
            <w:bookmarkStart w:id="50" w:name="Adeltafiberelectrodiagnostictesting"/>
            <w:bookmarkEnd w:id="50"/>
            <w:r w:rsidRPr="00D61F73">
              <w:rPr>
                <w:rFonts w:ascii="Arial" w:hAnsi="Arial" w:cs="Arial"/>
                <w:lang w:val="es-MX"/>
              </w:rPr>
              <w:t>-delta fiber electrodiagnostic testing</w:t>
            </w:r>
          </w:p>
        </w:tc>
        <w:tc>
          <w:tcPr>
            <w:tcW w:w="3914" w:type="pct"/>
            <w:shd w:val="clear" w:color="auto" w:fill="auto"/>
          </w:tcPr>
          <w:p w14:paraId="7902D1FA" w14:textId="6F734D92" w:rsidR="008D0565" w:rsidRPr="00D61F73" w:rsidRDefault="008D0565" w:rsidP="00D61F73">
            <w:pPr>
              <w:rPr>
                <w:rFonts w:ascii="Arial" w:hAnsi="Arial" w:cs="Arial"/>
              </w:rPr>
            </w:pPr>
            <w:r w:rsidRPr="00D61F73">
              <w:rPr>
                <w:rFonts w:ascii="Arial" w:hAnsi="Arial" w:cs="Arial"/>
              </w:rPr>
              <w:t xml:space="preserve">Not recommended. See </w:t>
            </w:r>
            <w:hyperlink w:anchor="QST" w:history="1">
              <w:r w:rsidR="002F6455" w:rsidRPr="002F6455">
                <w:rPr>
                  <w:rStyle w:val="Hyperlink"/>
                  <w:rFonts w:ascii="Arial" w:hAnsi="Arial" w:cs="Arial"/>
                </w:rPr>
                <w:t>Quantitative sensory threshold testing</w:t>
              </w:r>
            </w:hyperlink>
            <w:r w:rsidR="002F6455">
              <w:rPr>
                <w:rFonts w:ascii="Arial" w:hAnsi="Arial" w:cs="Arial"/>
              </w:rPr>
              <w:t xml:space="preserve"> </w:t>
            </w:r>
            <w:r w:rsidRPr="00D61F73">
              <w:rPr>
                <w:rFonts w:ascii="Arial" w:hAnsi="Arial" w:cs="Arial"/>
              </w:rPr>
              <w:t>(QST) testing.</w:t>
            </w:r>
          </w:p>
        </w:tc>
      </w:tr>
      <w:tr w:rsidR="008D0565" w:rsidRPr="00D61F73" w14:paraId="30F915D3" w14:textId="77777777" w:rsidTr="004A2158">
        <w:tc>
          <w:tcPr>
            <w:tcW w:w="1086" w:type="pct"/>
            <w:shd w:val="clear" w:color="auto" w:fill="auto"/>
          </w:tcPr>
          <w:p w14:paraId="7E094919"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1" w:name="Alendronate"/>
            <w:bookmarkEnd w:id="51"/>
            <w:r w:rsidRPr="00D61F73">
              <w:rPr>
                <w:rFonts w:ascii="Arial" w:hAnsi="Arial" w:cs="Arial"/>
              </w:rPr>
              <w:t>lendronate (Fosamax®)</w:t>
            </w:r>
          </w:p>
        </w:tc>
        <w:tc>
          <w:tcPr>
            <w:tcW w:w="3914" w:type="pct"/>
            <w:shd w:val="clear" w:color="auto" w:fill="auto"/>
          </w:tcPr>
          <w:p w14:paraId="45463200" w14:textId="6D598AEB" w:rsidR="008D0565" w:rsidRPr="00D61F73" w:rsidRDefault="008D0565" w:rsidP="00D61F73">
            <w:pPr>
              <w:rPr>
                <w:rFonts w:ascii="Arial" w:hAnsi="Arial" w:cs="Arial"/>
              </w:rPr>
            </w:pPr>
            <w:r w:rsidRPr="00D61F73">
              <w:rPr>
                <w:rFonts w:ascii="Arial" w:hAnsi="Arial" w:cs="Arial"/>
              </w:rPr>
              <w:t xml:space="preserve">See </w:t>
            </w:r>
            <w:hyperlink w:anchor="Bisphosphonates" w:history="1">
              <w:r w:rsidRPr="00D61F73">
                <w:rPr>
                  <w:rStyle w:val="Hyperlink"/>
                  <w:rFonts w:ascii="Arial" w:hAnsi="Arial" w:cs="Arial"/>
                </w:rPr>
                <w:t>Bisphosphonates</w:t>
              </w:r>
            </w:hyperlink>
            <w:r w:rsidRPr="00D61F73">
              <w:rPr>
                <w:rFonts w:ascii="Arial" w:hAnsi="Arial" w:cs="Arial"/>
              </w:rPr>
              <w:t>. Bisphosphonates are a class of drugs that inhibit osteoclast action and the resorption of bone. Alendronate (Fosamax®) is in this class.</w:t>
            </w:r>
          </w:p>
        </w:tc>
      </w:tr>
      <w:tr w:rsidR="008D0565" w:rsidRPr="00D61F73" w14:paraId="2BCA7777" w14:textId="77777777" w:rsidTr="004A2158">
        <w:tc>
          <w:tcPr>
            <w:tcW w:w="1086" w:type="pct"/>
            <w:shd w:val="clear" w:color="auto" w:fill="auto"/>
          </w:tcPr>
          <w:p w14:paraId="5EC701BD"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2" w:name="Alexandertechnique"/>
            <w:bookmarkEnd w:id="52"/>
            <w:r w:rsidRPr="00D61F73">
              <w:rPr>
                <w:rFonts w:ascii="Arial" w:hAnsi="Arial" w:cs="Arial"/>
              </w:rPr>
              <w:t>lexander technique</w:t>
            </w:r>
          </w:p>
        </w:tc>
        <w:tc>
          <w:tcPr>
            <w:tcW w:w="3914" w:type="pct"/>
            <w:shd w:val="clear" w:color="auto" w:fill="auto"/>
          </w:tcPr>
          <w:p w14:paraId="139A9172" w14:textId="1BCD9550" w:rsidR="008D0565" w:rsidRPr="00D61F73" w:rsidRDefault="008D0565" w:rsidP="00D61F73">
            <w:pPr>
              <w:rPr>
                <w:rFonts w:ascii="Arial" w:hAnsi="Arial" w:cs="Arial"/>
              </w:rPr>
            </w:pPr>
            <w:r w:rsidRPr="00D61F73">
              <w:rPr>
                <w:rFonts w:ascii="Arial" w:hAnsi="Arial" w:cs="Arial"/>
              </w:rPr>
              <w:t xml:space="preserve">See </w:t>
            </w:r>
            <w:hyperlink w:anchor="Education" w:history="1">
              <w:r w:rsidRPr="00D61F73">
                <w:rPr>
                  <w:rStyle w:val="Hyperlink"/>
                  <w:rFonts w:ascii="Arial" w:hAnsi="Arial" w:cs="Arial"/>
                </w:rPr>
                <w:t>Education</w:t>
              </w:r>
            </w:hyperlink>
            <w:r w:rsidRPr="00D61F73">
              <w:rPr>
                <w:rFonts w:ascii="Arial" w:hAnsi="Arial" w:cs="Arial"/>
              </w:rPr>
              <w:t>.</w:t>
            </w:r>
          </w:p>
        </w:tc>
      </w:tr>
      <w:tr w:rsidR="008D0565" w:rsidRPr="00D61F73" w14:paraId="7D6A3D4F" w14:textId="77777777" w:rsidTr="004A2158">
        <w:tc>
          <w:tcPr>
            <w:tcW w:w="1086" w:type="pct"/>
            <w:shd w:val="clear" w:color="auto" w:fill="auto"/>
          </w:tcPr>
          <w:p w14:paraId="1155DACA"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3" w:name="Alprazolam"/>
            <w:bookmarkEnd w:id="53"/>
            <w:r w:rsidRPr="00D61F73">
              <w:rPr>
                <w:rFonts w:ascii="Arial" w:hAnsi="Arial" w:cs="Arial"/>
              </w:rPr>
              <w:t>lprazolam (Xanax®)</w:t>
            </w:r>
          </w:p>
        </w:tc>
        <w:tc>
          <w:tcPr>
            <w:tcW w:w="3914" w:type="pct"/>
            <w:shd w:val="clear" w:color="auto" w:fill="auto"/>
          </w:tcPr>
          <w:p w14:paraId="25B72098" w14:textId="02FE068E" w:rsidR="008D0565" w:rsidRPr="00D61F73" w:rsidRDefault="008D0565" w:rsidP="00D61F73">
            <w:pPr>
              <w:rPr>
                <w:rFonts w:ascii="Arial" w:hAnsi="Arial" w:cs="Arial"/>
              </w:rPr>
            </w:pPr>
            <w:r w:rsidRPr="00D61F73">
              <w:rPr>
                <w:rFonts w:ascii="Arial" w:hAnsi="Arial" w:cs="Arial"/>
              </w:rPr>
              <w:t xml:space="preserve">Not recommended for long-term use. See </w:t>
            </w:r>
            <w:hyperlink w:anchor="Benzodiazepines" w:history="1">
              <w:r w:rsidRPr="00D61F73">
                <w:rPr>
                  <w:rStyle w:val="Hyperlink"/>
                  <w:rFonts w:ascii="Arial" w:hAnsi="Arial" w:cs="Arial"/>
                </w:rPr>
                <w:t>Benzodiazepines</w:t>
              </w:r>
            </w:hyperlink>
            <w:r w:rsidRPr="00D61F73">
              <w:rPr>
                <w:rFonts w:ascii="Arial" w:hAnsi="Arial" w:cs="Arial"/>
              </w:rPr>
              <w:t>. Alprazolam, also known under the trade name Xanax and available generically, is a short-acting drug of the benzodiazepine class used to treat moderate to severe anxiety disorders, panic attacks, and as an adjunctive treatment for anxiety associated with major depression.</w:t>
            </w:r>
          </w:p>
        </w:tc>
      </w:tr>
      <w:tr w:rsidR="008D0565" w:rsidRPr="00D61F73" w14:paraId="7A898ED4" w14:textId="77777777" w:rsidTr="004A2158">
        <w:tc>
          <w:tcPr>
            <w:tcW w:w="1086" w:type="pct"/>
            <w:shd w:val="clear" w:color="auto" w:fill="auto"/>
          </w:tcPr>
          <w:p w14:paraId="6FBEF496"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4" w:name="Ambien"/>
            <w:bookmarkEnd w:id="54"/>
            <w:r w:rsidRPr="00D61F73">
              <w:rPr>
                <w:rFonts w:ascii="Arial" w:hAnsi="Arial" w:cs="Arial"/>
              </w:rPr>
              <w:t>mbien® (zolpidem tartrate)</w:t>
            </w:r>
          </w:p>
        </w:tc>
        <w:tc>
          <w:tcPr>
            <w:tcW w:w="3914" w:type="pct"/>
            <w:shd w:val="clear" w:color="auto" w:fill="auto"/>
          </w:tcPr>
          <w:p w14:paraId="0BBA061F" w14:textId="02F5E627" w:rsidR="008D0565" w:rsidRPr="00D61F73" w:rsidRDefault="008D0565" w:rsidP="00D61F73">
            <w:pPr>
              <w:rPr>
                <w:rFonts w:ascii="Arial" w:hAnsi="Arial" w:cs="Arial"/>
              </w:rPr>
            </w:pPr>
            <w:r w:rsidRPr="00D61F73">
              <w:rPr>
                <w:rFonts w:ascii="Arial" w:hAnsi="Arial" w:cs="Arial"/>
              </w:rPr>
              <w:t xml:space="preserve">Ambien® is a brand name for zolpidem tartrate produced by Sanofi-Aventis. See </w:t>
            </w:r>
            <w:hyperlink w:anchor="Zolpidem" w:history="1">
              <w:r w:rsidRPr="00D61F73">
                <w:rPr>
                  <w:rStyle w:val="Hyperlink"/>
                  <w:rFonts w:ascii="Arial" w:hAnsi="Arial" w:cs="Arial"/>
                </w:rPr>
                <w:t>Zolpidem</w:t>
              </w:r>
            </w:hyperlink>
            <w:r w:rsidRPr="00D61F73">
              <w:rPr>
                <w:rFonts w:ascii="Arial" w:hAnsi="Arial" w:cs="Arial"/>
              </w:rPr>
              <w:t xml:space="preserve"> (Ambien®). </w:t>
            </w:r>
          </w:p>
        </w:tc>
      </w:tr>
      <w:tr w:rsidR="008D0565" w:rsidRPr="00D61F73" w14:paraId="7A1F1AEE" w14:textId="77777777" w:rsidTr="004A2158">
        <w:tc>
          <w:tcPr>
            <w:tcW w:w="1086" w:type="pct"/>
            <w:shd w:val="clear" w:color="auto" w:fill="auto"/>
          </w:tcPr>
          <w:p w14:paraId="0A39445E"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5" w:name="Amitriptyline"/>
            <w:bookmarkEnd w:id="55"/>
            <w:r w:rsidRPr="00D61F73">
              <w:rPr>
                <w:rFonts w:ascii="Arial" w:hAnsi="Arial" w:cs="Arial"/>
              </w:rPr>
              <w:t>mitriptyline</w:t>
            </w:r>
          </w:p>
        </w:tc>
        <w:tc>
          <w:tcPr>
            <w:tcW w:w="3914" w:type="pct"/>
            <w:shd w:val="clear" w:color="auto" w:fill="auto"/>
          </w:tcPr>
          <w:p w14:paraId="52008C9C" w14:textId="10C642EA" w:rsidR="008D0565" w:rsidRPr="00D61F73" w:rsidRDefault="008D0565" w:rsidP="00D61F73">
            <w:pPr>
              <w:rPr>
                <w:rFonts w:ascii="Arial" w:hAnsi="Arial" w:cs="Arial"/>
              </w:rPr>
            </w:pPr>
            <w:r w:rsidRPr="00D61F73">
              <w:rPr>
                <w:rFonts w:ascii="Arial" w:hAnsi="Arial" w:cs="Arial"/>
              </w:rPr>
              <w:t xml:space="preserve">Recommended. Amitriptyline is a tricyclic antidepressant. Tricyclics are generally considered a first-line agent unless they are ineffective, poorly tolerated, or contraindicated. See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for general guidelines, as well as specific </w:t>
            </w:r>
            <w:hyperlink w:anchor="TricyclicsListing" w:history="1">
              <w:r w:rsidRPr="00D61F73">
                <w:rPr>
                  <w:rStyle w:val="Hyperlink"/>
                  <w:rFonts w:ascii="Arial" w:hAnsi="Arial" w:cs="Arial"/>
                </w:rPr>
                <w:t>Tricyclics</w:t>
              </w:r>
            </w:hyperlink>
            <w:r w:rsidRPr="00D61F73">
              <w:rPr>
                <w:rFonts w:ascii="Arial" w:hAnsi="Arial" w:cs="Arial"/>
              </w:rPr>
              <w:t xml:space="preserve"> listing for more information and references.</w:t>
            </w:r>
          </w:p>
        </w:tc>
      </w:tr>
      <w:tr w:rsidR="008D0565" w:rsidRPr="00D61F73" w14:paraId="76F15FFD" w14:textId="77777777" w:rsidTr="004A2158">
        <w:tc>
          <w:tcPr>
            <w:tcW w:w="1086" w:type="pct"/>
            <w:shd w:val="clear" w:color="auto" w:fill="auto"/>
          </w:tcPr>
          <w:p w14:paraId="165909A2"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6" w:name="Antianxietydrug"/>
            <w:bookmarkEnd w:id="56"/>
            <w:r w:rsidRPr="00D61F73">
              <w:rPr>
                <w:rFonts w:ascii="Arial" w:hAnsi="Arial" w:cs="Arial"/>
              </w:rPr>
              <w:t>ntianxiety drugs</w:t>
            </w:r>
          </w:p>
        </w:tc>
        <w:tc>
          <w:tcPr>
            <w:tcW w:w="3914" w:type="pct"/>
            <w:shd w:val="clear" w:color="auto" w:fill="auto"/>
          </w:tcPr>
          <w:p w14:paraId="70D3585A" w14:textId="615CC239" w:rsidR="008D0565" w:rsidRPr="00D61F73" w:rsidRDefault="00B06037" w:rsidP="00D61F73">
            <w:pPr>
              <w:rPr>
                <w:rFonts w:ascii="Arial" w:hAnsi="Arial" w:cs="Arial"/>
              </w:rPr>
            </w:pPr>
            <w:r w:rsidRPr="00D61F73">
              <w:rPr>
                <w:rFonts w:ascii="Arial" w:hAnsi="Arial" w:cs="Arial"/>
              </w:rPr>
              <w:t>See</w:t>
            </w:r>
            <w:r w:rsidR="008D0565" w:rsidRPr="00D61F73">
              <w:rPr>
                <w:rFonts w:ascii="Arial" w:hAnsi="Arial" w:cs="Arial"/>
              </w:rPr>
              <w:t xml:space="preserve"> </w:t>
            </w:r>
            <w:hyperlink w:anchor="Anxietymedicationsinchronicpain" w:history="1">
              <w:r w:rsidR="008D0565" w:rsidRPr="00D61F73">
                <w:rPr>
                  <w:rStyle w:val="Hyperlink"/>
                  <w:rFonts w:ascii="Arial" w:hAnsi="Arial" w:cs="Arial"/>
                </w:rPr>
                <w:t>Anxiety medications in chronic pain</w:t>
              </w:r>
            </w:hyperlink>
            <w:r w:rsidR="008D0565" w:rsidRPr="00D61F73">
              <w:rPr>
                <w:rFonts w:ascii="Arial" w:hAnsi="Arial" w:cs="Arial"/>
              </w:rPr>
              <w:t>.</w:t>
            </w:r>
          </w:p>
        </w:tc>
      </w:tr>
      <w:tr w:rsidR="008D0565" w:rsidRPr="00D61F73" w14:paraId="55A1AB64" w14:textId="77777777" w:rsidTr="004A2158">
        <w:tc>
          <w:tcPr>
            <w:tcW w:w="1086" w:type="pct"/>
            <w:shd w:val="clear" w:color="auto" w:fill="auto"/>
          </w:tcPr>
          <w:p w14:paraId="24FC714F"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7" w:name="Anticonvulsantsforchronicpain"/>
            <w:bookmarkStart w:id="58" w:name="Anticonvulsants"/>
            <w:bookmarkEnd w:id="57"/>
            <w:bookmarkEnd w:id="58"/>
            <w:r w:rsidRPr="00D61F73">
              <w:rPr>
                <w:rFonts w:ascii="Arial" w:hAnsi="Arial" w:cs="Arial"/>
              </w:rPr>
              <w:t>nticonvulsants</w:t>
            </w:r>
          </w:p>
        </w:tc>
        <w:tc>
          <w:tcPr>
            <w:tcW w:w="3914" w:type="pct"/>
            <w:shd w:val="clear" w:color="auto" w:fill="auto"/>
          </w:tcPr>
          <w:p w14:paraId="0393BC0B" w14:textId="521B3768" w:rsidR="008D0565" w:rsidRPr="00D61F73" w:rsidRDefault="00B06037" w:rsidP="00D61F73">
            <w:pPr>
              <w:rPr>
                <w:rFonts w:ascii="Arial" w:hAnsi="Arial" w:cs="Arial"/>
              </w:rPr>
            </w:pPr>
            <w:r w:rsidRPr="00D61F73">
              <w:rPr>
                <w:rFonts w:ascii="Arial" w:hAnsi="Arial" w:cs="Arial"/>
              </w:rPr>
              <w:t>See</w:t>
            </w:r>
            <w:r w:rsidR="008D0565" w:rsidRPr="00D61F73">
              <w:rPr>
                <w:rFonts w:ascii="Arial" w:hAnsi="Arial" w:cs="Arial"/>
              </w:rPr>
              <w:t xml:space="preserve"> </w:t>
            </w:r>
            <w:hyperlink w:anchor="Antiepilepsydrugs" w:history="1">
              <w:r w:rsidR="008D0565" w:rsidRPr="00D61F73">
                <w:rPr>
                  <w:rStyle w:val="Hyperlink"/>
                  <w:rFonts w:ascii="Arial" w:hAnsi="Arial" w:cs="Arial"/>
                </w:rPr>
                <w:t>Anti-epilepsy drugs</w:t>
              </w:r>
            </w:hyperlink>
            <w:r w:rsidR="008D0565" w:rsidRPr="00D61F73">
              <w:rPr>
                <w:rFonts w:ascii="Arial" w:hAnsi="Arial" w:cs="Arial"/>
              </w:rPr>
              <w:t xml:space="preserve"> (AEDs).</w:t>
            </w:r>
          </w:p>
        </w:tc>
      </w:tr>
      <w:tr w:rsidR="008D0565" w:rsidRPr="00D61F73" w14:paraId="1A7155F5" w14:textId="77777777" w:rsidTr="004A2158">
        <w:tc>
          <w:tcPr>
            <w:tcW w:w="1086" w:type="pct"/>
            <w:shd w:val="clear" w:color="auto" w:fill="auto"/>
          </w:tcPr>
          <w:p w14:paraId="3638FA6A"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59" w:name="Antidepressants"/>
            <w:bookmarkStart w:id="60" w:name="Antidepressantsforchronicpain"/>
            <w:bookmarkEnd w:id="59"/>
            <w:bookmarkEnd w:id="60"/>
            <w:r w:rsidRPr="00D61F73">
              <w:rPr>
                <w:rFonts w:ascii="Arial" w:hAnsi="Arial" w:cs="Arial"/>
              </w:rPr>
              <w:t>ntidepressants for chronic pain</w:t>
            </w:r>
            <w:r w:rsidR="00A309D8" w:rsidRPr="00D61F73">
              <w:rPr>
                <w:rFonts w:ascii="Arial" w:hAnsi="Arial" w:cs="Arial"/>
              </w:rPr>
              <w:t xml:space="preserve"> </w:t>
            </w:r>
          </w:p>
        </w:tc>
        <w:tc>
          <w:tcPr>
            <w:tcW w:w="3914" w:type="pct"/>
            <w:shd w:val="clear" w:color="auto" w:fill="auto"/>
          </w:tcPr>
          <w:p w14:paraId="42EB7B3E" w14:textId="2448FF79" w:rsidR="0078070A" w:rsidRPr="00D61F73" w:rsidRDefault="008D0565" w:rsidP="00D61F73">
            <w:pPr>
              <w:rPr>
                <w:rFonts w:ascii="Arial" w:hAnsi="Arial" w:cs="Arial"/>
              </w:rPr>
            </w:pPr>
            <w:r w:rsidRPr="00D61F73">
              <w:rPr>
                <w:rFonts w:ascii="Arial" w:hAnsi="Arial" w:cs="Arial"/>
              </w:rPr>
              <w:t>Recommended as a first</w:t>
            </w:r>
            <w:r w:rsidR="00101A69" w:rsidRPr="00D61F73">
              <w:rPr>
                <w:rFonts w:ascii="Arial" w:hAnsi="Arial" w:cs="Arial"/>
              </w:rPr>
              <w:t>-</w:t>
            </w:r>
            <w:r w:rsidRPr="00D61F73">
              <w:rPr>
                <w:rFonts w:ascii="Arial" w:hAnsi="Arial" w:cs="Arial"/>
              </w:rPr>
              <w:t>line option for neuropathic pain, and as a possibility for non-neuropathic pain. (</w:t>
            </w:r>
            <w:hyperlink w:anchor="Feuerstein2" w:history="1">
              <w:r w:rsidRPr="00D61F73">
                <w:rPr>
                  <w:rStyle w:val="Hyperlink"/>
                  <w:rFonts w:ascii="Arial" w:hAnsi="Arial" w:cs="Arial"/>
                </w:rPr>
                <w:t>Feuerstein, 1997</w:t>
              </w:r>
            </w:hyperlink>
            <w:r w:rsidRPr="00D61F73">
              <w:rPr>
                <w:rFonts w:ascii="Arial" w:hAnsi="Arial" w:cs="Arial"/>
              </w:rPr>
              <w:t>) (</w:t>
            </w:r>
            <w:hyperlink w:anchor="Perrot" w:history="1">
              <w:r w:rsidRPr="00D61F73">
                <w:rPr>
                  <w:rStyle w:val="Hyperlink"/>
                  <w:rFonts w:ascii="Arial" w:hAnsi="Arial" w:cs="Arial"/>
                </w:rPr>
                <w:t>Perrot, 2006</w:t>
              </w:r>
            </w:hyperlink>
            <w:r w:rsidRPr="00D61F73">
              <w:rPr>
                <w:rFonts w:ascii="Arial" w:hAnsi="Arial" w:cs="Arial"/>
              </w:rPr>
              <w:t>) Tricyclics are generally considered a first-line agent unless they are ineffective, poorly tolerated, or contraindicated. Analgesia generally occurs within a few days to a week, whereas antidepressant effect takes longer to occur. (</w:t>
            </w:r>
            <w:hyperlink w:anchor="Saarto" w:history="1">
              <w:r w:rsidRPr="00D61F73">
                <w:rPr>
                  <w:rStyle w:val="Hyperlink"/>
                  <w:rFonts w:ascii="Arial" w:hAnsi="Arial" w:cs="Arial"/>
                </w:rPr>
                <w:t>Saarto-</w:t>
              </w:r>
              <w:r w:rsidRPr="00D61F73">
                <w:rPr>
                  <w:rStyle w:val="Hyperlink"/>
                  <w:rFonts w:ascii="Arial" w:hAnsi="Arial" w:cs="Arial"/>
                  <w:i/>
                  <w:iCs/>
                </w:rPr>
                <w:t>Cochrane</w:t>
              </w:r>
              <w:r w:rsidRPr="00D61F73">
                <w:rPr>
                  <w:rStyle w:val="Hyperlink"/>
                  <w:rFonts w:ascii="Arial" w:hAnsi="Arial" w:cs="Arial"/>
                </w:rPr>
                <w:t>, 2005</w:t>
              </w:r>
            </w:hyperlink>
            <w:r w:rsidRPr="00D61F73">
              <w:rPr>
                <w:rFonts w:ascii="Arial" w:hAnsi="Arial" w:cs="Arial"/>
              </w:rPr>
              <w:t>) Assessment of treatment efficacy should include not only pain outcomes, but also an evaluation of function, changes in use of other analgesic medication, sleep quality and duration, and psychological assessment. Side effects, including excessive sedation (especially that which would affect work performance) should be assessed. (Additional side effects are listed below for each specific drug.) It is recommended that these outcome measurements should be initiated at one week of treatment with a recommended trial of at least 4 weeks. The optimal duration of treatment is not known because most double-blind trials have been of short duration (6-12 weeks). It has been suggested that if pain is in remission for 3-6 months, a gradual tapering of anti-depressants may be undertaken. (</w:t>
            </w:r>
            <w:hyperlink w:anchor="Perrot" w:history="1">
              <w:r w:rsidRPr="00D61F73">
                <w:rPr>
                  <w:rStyle w:val="Hyperlink"/>
                  <w:rFonts w:ascii="Arial" w:hAnsi="Arial" w:cs="Arial"/>
                </w:rPr>
                <w:t>Perrot, 2006</w:t>
              </w:r>
            </w:hyperlink>
            <w:r w:rsidRPr="00D61F73">
              <w:rPr>
                <w:rFonts w:ascii="Arial" w:hAnsi="Arial" w:cs="Arial"/>
              </w:rPr>
              <w:t>) (</w:t>
            </w:r>
            <w:hyperlink w:anchor="Schnitzer2" w:history="1">
              <w:r w:rsidRPr="00D61F73">
                <w:rPr>
                  <w:rStyle w:val="Hyperlink"/>
                  <w:rFonts w:ascii="Arial" w:hAnsi="Arial" w:cs="Arial"/>
                </w:rPr>
                <w:t>Schnitzer, 2004</w:t>
              </w:r>
            </w:hyperlink>
            <w:r w:rsidRPr="00D61F73">
              <w:rPr>
                <w:rFonts w:ascii="Arial" w:hAnsi="Arial" w:cs="Arial"/>
              </w:rPr>
              <w:t>) (</w:t>
            </w:r>
            <w:hyperlink w:anchor="Lin" w:history="1">
              <w:r w:rsidRPr="00D61F73">
                <w:rPr>
                  <w:rStyle w:val="Hyperlink"/>
                  <w:rFonts w:ascii="Arial" w:hAnsi="Arial" w:cs="Arial"/>
                </w:rPr>
                <w:t>Lin</w:t>
              </w:r>
              <w:r w:rsidRPr="00D61F73">
                <w:rPr>
                  <w:rStyle w:val="Hyperlink"/>
                  <w:rFonts w:ascii="Arial" w:hAnsi="Arial" w:cs="Arial"/>
                  <w:i/>
                  <w:iCs/>
                </w:rPr>
                <w:t>-JAMA</w:t>
              </w:r>
              <w:r w:rsidRPr="00D61F73">
                <w:rPr>
                  <w:rStyle w:val="Hyperlink"/>
                  <w:rFonts w:ascii="Arial" w:hAnsi="Arial" w:cs="Arial"/>
                </w:rPr>
                <w:t>, 2003</w:t>
              </w:r>
            </w:hyperlink>
            <w:r w:rsidRPr="00D61F73">
              <w:rPr>
                <w:rFonts w:ascii="Arial" w:hAnsi="Arial" w:cs="Arial"/>
              </w:rPr>
              <w:t>) (</w:t>
            </w:r>
            <w:hyperlink w:anchor="Salerno" w:history="1">
              <w:r w:rsidRPr="00D61F73">
                <w:rPr>
                  <w:rStyle w:val="Hyperlink"/>
                  <w:rFonts w:ascii="Arial" w:hAnsi="Arial" w:cs="Arial"/>
                </w:rPr>
                <w:t>Salerno, 2002</w:t>
              </w:r>
            </w:hyperlink>
            <w:r w:rsidRPr="00D61F73">
              <w:rPr>
                <w:rFonts w:ascii="Arial" w:hAnsi="Arial" w:cs="Arial"/>
              </w:rPr>
              <w:t>) (</w:t>
            </w:r>
            <w:hyperlink w:anchor="Moulin2" w:history="1">
              <w:r w:rsidRPr="00D61F73">
                <w:rPr>
                  <w:rStyle w:val="Hyperlink"/>
                  <w:rFonts w:ascii="Arial" w:hAnsi="Arial" w:cs="Arial"/>
                </w:rPr>
                <w:t>Moulin, 2001</w:t>
              </w:r>
            </w:hyperlink>
            <w:r w:rsidRPr="00D61F73">
              <w:rPr>
                <w:rFonts w:ascii="Arial" w:hAnsi="Arial" w:cs="Arial"/>
              </w:rPr>
              <w:t>) (</w:t>
            </w:r>
            <w:hyperlink w:anchor="Fishbain" w:history="1">
              <w:r w:rsidRPr="00D61F73">
                <w:rPr>
                  <w:rStyle w:val="Hyperlink"/>
                  <w:rFonts w:ascii="Arial" w:hAnsi="Arial" w:cs="Arial"/>
                </w:rPr>
                <w:t>Fishbain, 2000</w:t>
              </w:r>
            </w:hyperlink>
            <w:r w:rsidRPr="00D61F73">
              <w:rPr>
                <w:rFonts w:ascii="Arial" w:hAnsi="Arial" w:cs="Arial"/>
              </w:rPr>
              <w:t>) (</w:t>
            </w:r>
            <w:hyperlink w:anchor="Taylor" w:history="1">
              <w:r w:rsidRPr="00D61F73">
                <w:rPr>
                  <w:rStyle w:val="Hyperlink"/>
                  <w:rFonts w:ascii="Arial" w:hAnsi="Arial" w:cs="Arial"/>
                </w:rPr>
                <w:t>Taylor, 2004</w:t>
              </w:r>
            </w:hyperlink>
            <w:r w:rsidRPr="00D61F73">
              <w:rPr>
                <w:rFonts w:ascii="Arial" w:hAnsi="Arial" w:cs="Arial"/>
              </w:rPr>
              <w:t>) (</w:t>
            </w:r>
            <w:hyperlink w:anchor="Gijsman" w:history="1">
              <w:r w:rsidRPr="00D61F73">
                <w:rPr>
                  <w:rStyle w:val="Hyperlink"/>
                  <w:rFonts w:ascii="Arial" w:hAnsi="Arial" w:cs="Arial"/>
                </w:rPr>
                <w:t>Gijsman, 2004</w:t>
              </w:r>
            </w:hyperlink>
            <w:r w:rsidRPr="00D61F73">
              <w:rPr>
                <w:rFonts w:ascii="Arial" w:hAnsi="Arial" w:cs="Arial"/>
              </w:rPr>
              <w:t>) (</w:t>
            </w:r>
            <w:hyperlink w:anchor="Jick" w:history="1">
              <w:r w:rsidRPr="00D61F73">
                <w:rPr>
                  <w:rStyle w:val="Hyperlink"/>
                  <w:rFonts w:ascii="Arial" w:hAnsi="Arial" w:cs="Arial"/>
                </w:rPr>
                <w:t>Jick-</w:t>
              </w:r>
              <w:r w:rsidRPr="00D61F73">
                <w:rPr>
                  <w:rStyle w:val="Hyperlink"/>
                  <w:rFonts w:ascii="Arial" w:hAnsi="Arial" w:cs="Arial"/>
                  <w:i/>
                  <w:iCs/>
                </w:rPr>
                <w:t>JAMA</w:t>
              </w:r>
              <w:r w:rsidRPr="00D61F73">
                <w:rPr>
                  <w:rStyle w:val="Hyperlink"/>
                  <w:rFonts w:ascii="Arial" w:hAnsi="Arial" w:cs="Arial"/>
                </w:rPr>
                <w:t>, 2004</w:t>
              </w:r>
            </w:hyperlink>
            <w:r w:rsidRPr="00D61F73">
              <w:rPr>
                <w:rFonts w:ascii="Arial" w:hAnsi="Arial" w:cs="Arial"/>
              </w:rPr>
              <w:t>) (</w:t>
            </w:r>
            <w:hyperlink w:anchor="Barbui" w:history="1">
              <w:r w:rsidRPr="00D61F73">
                <w:rPr>
                  <w:rStyle w:val="Hyperlink"/>
                  <w:rFonts w:ascii="Arial" w:hAnsi="Arial" w:cs="Arial"/>
                </w:rPr>
                <w:t>Barbui, 2004</w:t>
              </w:r>
            </w:hyperlink>
            <w:r w:rsidRPr="00D61F73">
              <w:rPr>
                <w:rFonts w:ascii="Arial" w:hAnsi="Arial" w:cs="Arial"/>
              </w:rPr>
              <w:t>) (</w:t>
            </w:r>
            <w:hyperlink w:anchor="Asnis" w:history="1">
              <w:r w:rsidRPr="00D61F73">
                <w:rPr>
                  <w:rStyle w:val="Hyperlink"/>
                  <w:rFonts w:ascii="Arial" w:hAnsi="Arial" w:cs="Arial"/>
                </w:rPr>
                <w:t>Asnis, 2004</w:t>
              </w:r>
            </w:hyperlink>
            <w:r w:rsidRPr="00D61F73">
              <w:rPr>
                <w:rFonts w:ascii="Arial" w:hAnsi="Arial" w:cs="Arial"/>
              </w:rPr>
              <w:t>) (</w:t>
            </w:r>
            <w:hyperlink w:anchor="Stein" w:history="1">
              <w:r w:rsidRPr="00D61F73">
                <w:rPr>
                  <w:rStyle w:val="Hyperlink"/>
                  <w:rFonts w:ascii="Arial" w:hAnsi="Arial" w:cs="Arial"/>
                </w:rPr>
                <w:t>Stein, 2003</w:t>
              </w:r>
            </w:hyperlink>
            <w:r w:rsidRPr="00D61F73">
              <w:rPr>
                <w:rFonts w:ascii="Arial" w:hAnsi="Arial" w:cs="Arial"/>
              </w:rPr>
              <w:t>) (</w:t>
            </w:r>
            <w:hyperlink w:anchor="Pollack" w:history="1">
              <w:r w:rsidRPr="00D61F73">
                <w:rPr>
                  <w:rStyle w:val="Hyperlink"/>
                  <w:rFonts w:ascii="Arial" w:hAnsi="Arial" w:cs="Arial"/>
                </w:rPr>
                <w:t>Pollack, 2003</w:t>
              </w:r>
            </w:hyperlink>
            <w:r w:rsidRPr="00D61F73">
              <w:rPr>
                <w:rFonts w:ascii="Arial" w:hAnsi="Arial" w:cs="Arial"/>
              </w:rPr>
              <w:t>) (</w:t>
            </w:r>
            <w:hyperlink w:anchor="Ticknor" w:history="1">
              <w:r w:rsidRPr="00D61F73">
                <w:rPr>
                  <w:rStyle w:val="Hyperlink"/>
                  <w:rFonts w:ascii="Arial" w:hAnsi="Arial" w:cs="Arial"/>
                </w:rPr>
                <w:t>Ticknor, 2004</w:t>
              </w:r>
            </w:hyperlink>
            <w:r w:rsidRPr="00D61F73">
              <w:rPr>
                <w:rFonts w:ascii="Arial" w:hAnsi="Arial" w:cs="Arial"/>
              </w:rPr>
              <w:t>) (</w:t>
            </w:r>
            <w:hyperlink w:anchor="Staiger" w:history="1">
              <w:r w:rsidRPr="00D61F73">
                <w:rPr>
                  <w:rStyle w:val="Hyperlink"/>
                  <w:rFonts w:ascii="Arial" w:hAnsi="Arial" w:cs="Arial"/>
                </w:rPr>
                <w:t>Staiger, 2003</w:t>
              </w:r>
            </w:hyperlink>
            <w:r w:rsidRPr="00D61F73">
              <w:rPr>
                <w:rFonts w:ascii="Arial" w:hAnsi="Arial" w:cs="Arial"/>
              </w:rPr>
              <w:t>) Long-term effectiveness of anti-depressants has not been established. (</w:t>
            </w:r>
            <w:hyperlink w:anchor="Wong" w:history="1">
              <w:r w:rsidRPr="00D61F73">
                <w:rPr>
                  <w:rStyle w:val="Hyperlink"/>
                  <w:rFonts w:ascii="Arial" w:hAnsi="Arial" w:cs="Arial"/>
                </w:rPr>
                <w:t>Wong, 2007</w:t>
              </w:r>
            </w:hyperlink>
            <w:r w:rsidRPr="00D61F73">
              <w:rPr>
                <w:rFonts w:ascii="Arial" w:hAnsi="Arial" w:cs="Arial"/>
              </w:rPr>
              <w:t xml:space="preserve">) The effect of this class of medication in combination with other classes of </w:t>
            </w:r>
            <w:r w:rsidRPr="00D61F73">
              <w:rPr>
                <w:rFonts w:ascii="Arial" w:hAnsi="Arial" w:cs="Arial"/>
              </w:rPr>
              <w:lastRenderedPageBreak/>
              <w:t>drugs has not been well researched. (</w:t>
            </w:r>
            <w:hyperlink w:anchor="Finnerup" w:history="1">
              <w:r w:rsidRPr="00D61F73">
                <w:rPr>
                  <w:rStyle w:val="Hyperlink"/>
                  <w:rFonts w:ascii="Arial" w:hAnsi="Arial" w:cs="Arial"/>
                </w:rPr>
                <w:t>Finnerup, 2005</w:t>
              </w:r>
            </w:hyperlink>
            <w:r w:rsidRPr="00D61F73">
              <w:rPr>
                <w:rFonts w:ascii="Arial" w:hAnsi="Arial" w:cs="Arial"/>
              </w:rPr>
              <w:t>) The “</w:t>
            </w:r>
            <w:r w:rsidR="00261E37" w:rsidRPr="00261E37">
              <w:rPr>
                <w:rFonts w:ascii="Arial" w:hAnsi="Arial" w:cs="Arial"/>
              </w:rPr>
              <w:t>number needed to treat</w:t>
            </w:r>
            <w:r w:rsidRPr="00D61F73">
              <w:rPr>
                <w:rFonts w:ascii="Arial" w:hAnsi="Arial" w:cs="Arial"/>
              </w:rPr>
              <w:t>” (NNT) methodology has been used to calculate efficacy of the different classes of antidepressants. (</w:t>
            </w:r>
            <w:hyperlink w:anchor="Sindrup" w:history="1">
              <w:r w:rsidRPr="00D61F73">
                <w:rPr>
                  <w:rStyle w:val="Hyperlink"/>
                  <w:rFonts w:ascii="Arial" w:hAnsi="Arial" w:cs="Arial"/>
                </w:rPr>
                <w:t>Sindrup, 2005</w:t>
              </w:r>
            </w:hyperlink>
            <w:r w:rsidRPr="00D61F73">
              <w:rPr>
                <w:rFonts w:ascii="Arial" w:hAnsi="Arial" w:cs="Arial"/>
              </w:rPr>
              <w:t>)</w:t>
            </w:r>
            <w:r w:rsidR="00B37D5C" w:rsidRPr="00D61F73">
              <w:rPr>
                <w:rFonts w:ascii="Arial" w:hAnsi="Arial" w:cs="Arial"/>
              </w:rPr>
              <w:t xml:space="preserve"> </w:t>
            </w:r>
          </w:p>
          <w:p w14:paraId="5EE3BEFB" w14:textId="77777777" w:rsidR="008D0565" w:rsidRPr="00D61F73" w:rsidRDefault="008D0565" w:rsidP="00D61F73">
            <w:pPr>
              <w:rPr>
                <w:rFonts w:ascii="Arial" w:hAnsi="Arial" w:cs="Arial"/>
              </w:rPr>
            </w:pPr>
            <w:r w:rsidRPr="00D61F73">
              <w:rPr>
                <w:rFonts w:ascii="Arial" w:hAnsi="Arial" w:cs="Arial"/>
                <w:b/>
                <w:i/>
                <w:u w:val="single"/>
              </w:rPr>
              <w:t>Specifically studied underlying pain etiologies:</w:t>
            </w:r>
            <w:r w:rsidRPr="00D61F73">
              <w:rPr>
                <w:rFonts w:ascii="Arial" w:hAnsi="Arial" w:cs="Arial"/>
              </w:rPr>
              <w:t xml:space="preserve"> (also see below for specific drugs)</w:t>
            </w:r>
          </w:p>
          <w:p w14:paraId="62228BA2" w14:textId="77777777" w:rsidR="008D0565" w:rsidRPr="00D61F73" w:rsidRDefault="008D0565" w:rsidP="00D61F73">
            <w:pPr>
              <w:rPr>
                <w:rFonts w:ascii="Arial" w:hAnsi="Arial" w:cs="Arial"/>
              </w:rPr>
            </w:pPr>
            <w:r w:rsidRPr="00D61F73">
              <w:rPr>
                <w:rFonts w:ascii="Arial" w:hAnsi="Arial" w:cs="Arial"/>
                <w:bCs/>
                <w:i/>
                <w:iCs/>
                <w:u w:val="single"/>
              </w:rPr>
              <w:t>N</w:t>
            </w:r>
            <w:bookmarkStart w:id="61" w:name="Antidepressantsforneuropathicpain"/>
            <w:bookmarkEnd w:id="61"/>
            <w:r w:rsidRPr="00D61F73">
              <w:rPr>
                <w:rFonts w:ascii="Arial" w:hAnsi="Arial" w:cs="Arial"/>
                <w:bCs/>
                <w:i/>
                <w:iCs/>
                <w:u w:val="single"/>
              </w:rPr>
              <w:t>europathic pain</w:t>
            </w:r>
            <w:r w:rsidRPr="00D61F73">
              <w:rPr>
                <w:rFonts w:ascii="Arial" w:hAnsi="Arial" w:cs="Arial"/>
                <w:bCs/>
                <w:i/>
                <w:iCs/>
              </w:rPr>
              <w:t>:</w:t>
            </w:r>
            <w:r w:rsidRPr="00D61F73">
              <w:rPr>
                <w:rFonts w:ascii="Arial" w:hAnsi="Arial" w:cs="Arial"/>
              </w:rPr>
              <w:t xml:space="preserve"> </w:t>
            </w:r>
            <w:r w:rsidR="00684F2E" w:rsidRPr="00D61F73">
              <w:rPr>
                <w:rFonts w:ascii="Arial" w:hAnsi="Arial" w:cs="Arial"/>
              </w:rPr>
              <w:t>T</w:t>
            </w:r>
            <w:r w:rsidRPr="00D61F73">
              <w:rPr>
                <w:rFonts w:ascii="Arial" w:hAnsi="Arial" w:cs="Arial"/>
              </w:rPr>
              <w:t xml:space="preserve">ricyclic antidepressants </w:t>
            </w:r>
            <w:r w:rsidR="00684F2E" w:rsidRPr="00D61F73">
              <w:rPr>
                <w:rFonts w:ascii="Arial" w:hAnsi="Arial" w:cs="Arial"/>
              </w:rPr>
              <w:t xml:space="preserve">are </w:t>
            </w:r>
            <w:r w:rsidR="00F6579F" w:rsidRPr="00D61F73">
              <w:rPr>
                <w:rFonts w:ascii="Arial" w:hAnsi="Arial" w:cs="Arial"/>
              </w:rPr>
              <w:t xml:space="preserve">recommended </w:t>
            </w:r>
            <w:r w:rsidRPr="00D61F73">
              <w:rPr>
                <w:rFonts w:ascii="Arial" w:hAnsi="Arial" w:cs="Arial"/>
              </w:rPr>
              <w:t xml:space="preserve">as </w:t>
            </w:r>
            <w:r w:rsidR="00684F2E" w:rsidRPr="00D61F73">
              <w:rPr>
                <w:rFonts w:ascii="Arial" w:hAnsi="Arial" w:cs="Arial"/>
              </w:rPr>
              <w:t xml:space="preserve">a </w:t>
            </w:r>
            <w:r w:rsidRPr="00D61F73">
              <w:rPr>
                <w:rFonts w:ascii="Arial" w:hAnsi="Arial" w:cs="Arial"/>
              </w:rPr>
              <w:t>first</w:t>
            </w:r>
            <w:r w:rsidR="00B37D5C" w:rsidRPr="00D61F73">
              <w:rPr>
                <w:rFonts w:ascii="Arial" w:hAnsi="Arial" w:cs="Arial"/>
              </w:rPr>
              <w:t>-</w:t>
            </w:r>
            <w:r w:rsidRPr="00D61F73">
              <w:rPr>
                <w:rFonts w:ascii="Arial" w:hAnsi="Arial" w:cs="Arial"/>
              </w:rPr>
              <w:t>line option</w:t>
            </w:r>
            <w:r w:rsidR="00684F2E" w:rsidRPr="00D61F73">
              <w:rPr>
                <w:rFonts w:ascii="Arial" w:hAnsi="Arial" w:cs="Arial"/>
              </w:rPr>
              <w:t>, especially if pain is accompanied by insomnia, anxiety, or depression. (</w:t>
            </w:r>
            <w:hyperlink w:anchor="Saarto2" w:history="1">
              <w:r w:rsidR="00684F2E" w:rsidRPr="00D61F73">
                <w:rPr>
                  <w:rStyle w:val="Hyperlink"/>
                  <w:rFonts w:ascii="Arial" w:hAnsi="Arial" w:cs="Arial"/>
                </w:rPr>
                <w:t>Saarto-Cochrane, 2007</w:t>
              </w:r>
            </w:hyperlink>
            <w:r w:rsidR="00684F2E" w:rsidRPr="00D61F73">
              <w:rPr>
                <w:rFonts w:ascii="Arial" w:hAnsi="Arial" w:cs="Arial"/>
              </w:rPr>
              <w:t>) (</w:t>
            </w:r>
            <w:hyperlink w:anchor="ICSI2007" w:history="1">
              <w:r w:rsidR="00684F2E" w:rsidRPr="00D61F73">
                <w:rPr>
                  <w:rStyle w:val="Hyperlink"/>
                  <w:rFonts w:ascii="Arial" w:hAnsi="Arial" w:cs="Arial"/>
                </w:rPr>
                <w:t>ICSI, 2007</w:t>
              </w:r>
            </w:hyperlink>
            <w:r w:rsidR="00684F2E" w:rsidRPr="00D61F73">
              <w:rPr>
                <w:rFonts w:ascii="Arial" w:hAnsi="Arial" w:cs="Arial"/>
              </w:rPr>
              <w:t>)</w:t>
            </w:r>
            <w:r w:rsidRPr="00D61F73">
              <w:rPr>
                <w:rFonts w:ascii="Arial" w:hAnsi="Arial" w:cs="Arial"/>
              </w:rPr>
              <w:t xml:space="preserve">. </w:t>
            </w:r>
            <w:r w:rsidR="006E0122" w:rsidRPr="00D61F73">
              <w:rPr>
                <w:rFonts w:ascii="Arial" w:hAnsi="Arial" w:cs="Arial"/>
              </w:rPr>
              <w:t xml:space="preserve">Other recent reviews recommend </w:t>
            </w:r>
            <w:r w:rsidR="00684F2E" w:rsidRPr="00D61F73">
              <w:rPr>
                <w:rFonts w:ascii="Arial" w:hAnsi="Arial" w:cs="Arial"/>
              </w:rPr>
              <w:t xml:space="preserve">both </w:t>
            </w:r>
            <w:r w:rsidR="006E0122" w:rsidRPr="00D61F73">
              <w:rPr>
                <w:rFonts w:ascii="Arial" w:hAnsi="Arial" w:cs="Arial"/>
              </w:rPr>
              <w:t xml:space="preserve">tricyclic antidepressants </w:t>
            </w:r>
            <w:r w:rsidR="00684F2E" w:rsidRPr="00D61F73">
              <w:rPr>
                <w:rFonts w:ascii="Arial" w:hAnsi="Arial" w:cs="Arial"/>
              </w:rPr>
              <w:t>and SNRIs (i.e., duloxetine and venlafaxine) as first</w:t>
            </w:r>
            <w:r w:rsidR="001126A7" w:rsidRPr="00D61F73">
              <w:rPr>
                <w:rFonts w:ascii="Arial" w:hAnsi="Arial" w:cs="Arial"/>
              </w:rPr>
              <w:t>-</w:t>
            </w:r>
            <w:r w:rsidR="00684F2E" w:rsidRPr="00D61F73">
              <w:rPr>
                <w:rFonts w:ascii="Arial" w:hAnsi="Arial" w:cs="Arial"/>
              </w:rPr>
              <w:t>line options</w:t>
            </w:r>
            <w:r w:rsidR="001126A7" w:rsidRPr="00D61F73">
              <w:rPr>
                <w:rFonts w:ascii="Arial" w:hAnsi="Arial" w:cs="Arial"/>
              </w:rPr>
              <w:t xml:space="preserve">. </w:t>
            </w:r>
            <w:r w:rsidR="00684F2E" w:rsidRPr="00D61F73">
              <w:rPr>
                <w:rFonts w:ascii="Arial" w:hAnsi="Arial" w:cs="Arial"/>
              </w:rPr>
              <w:t>(</w:t>
            </w:r>
            <w:hyperlink w:anchor="Dworkin2" w:history="1">
              <w:r w:rsidR="00684F2E" w:rsidRPr="00D61F73">
                <w:rPr>
                  <w:rStyle w:val="Hyperlink"/>
                  <w:rFonts w:ascii="Arial" w:hAnsi="Arial" w:cs="Arial"/>
                </w:rPr>
                <w:t>Dworkin, 2007</w:t>
              </w:r>
            </w:hyperlink>
            <w:r w:rsidR="00684F2E" w:rsidRPr="00D61F73">
              <w:rPr>
                <w:rFonts w:ascii="Arial" w:hAnsi="Arial" w:cs="Arial"/>
              </w:rPr>
              <w:t>) (</w:t>
            </w:r>
            <w:hyperlink w:anchor="Finnerup2" w:history="1">
              <w:r w:rsidR="00684F2E" w:rsidRPr="00D61F73">
                <w:rPr>
                  <w:rStyle w:val="Hyperlink"/>
                  <w:rFonts w:ascii="Arial" w:hAnsi="Arial" w:cs="Arial"/>
                </w:rPr>
                <w:t>Finnerup, 2007</w:t>
              </w:r>
            </w:hyperlink>
            <w:r w:rsidR="00684F2E" w:rsidRPr="00D61F73">
              <w:rPr>
                <w:rFonts w:ascii="Arial" w:hAnsi="Arial" w:cs="Arial"/>
              </w:rPr>
              <w:t>).</w:t>
            </w:r>
          </w:p>
          <w:p w14:paraId="6253A7A2" w14:textId="77777777" w:rsidR="008D0565" w:rsidRPr="00D61F73" w:rsidRDefault="008D0565" w:rsidP="00D61F73">
            <w:pPr>
              <w:rPr>
                <w:rFonts w:ascii="Arial" w:hAnsi="Arial" w:cs="Arial"/>
              </w:rPr>
            </w:pPr>
            <w:r w:rsidRPr="00D61F73">
              <w:rPr>
                <w:rFonts w:ascii="Arial" w:hAnsi="Arial" w:cs="Arial"/>
                <w:bCs/>
                <w:i/>
                <w:iCs/>
                <w:u w:val="single"/>
              </w:rPr>
              <w:t>N</w:t>
            </w:r>
            <w:bookmarkStart w:id="62" w:name="Antidepressantsfornonneuropathicpain"/>
            <w:bookmarkEnd w:id="62"/>
            <w:r w:rsidRPr="00D61F73">
              <w:rPr>
                <w:rFonts w:ascii="Arial" w:hAnsi="Arial" w:cs="Arial"/>
                <w:bCs/>
                <w:i/>
                <w:iCs/>
                <w:u w:val="single"/>
              </w:rPr>
              <w:t>on-neuropathic pain</w:t>
            </w:r>
            <w:r w:rsidRPr="00D61F73">
              <w:rPr>
                <w:rFonts w:ascii="Arial" w:hAnsi="Arial" w:cs="Arial"/>
                <w:bCs/>
                <w:i/>
                <w:iCs/>
              </w:rPr>
              <w:t>:</w:t>
            </w:r>
            <w:r w:rsidRPr="00D61F73">
              <w:rPr>
                <w:rFonts w:ascii="Arial" w:hAnsi="Arial" w:cs="Arial"/>
              </w:rPr>
              <w:t xml:space="preserve"> Recommended as an option in depressed patients, but effectiveness is limited. Non-neuropathic pain is generally treated with analgesics and anti-inflammatories. In guidelines for painful rheumatic conditions recommended by Perrot, it was suggested that antidepressants may be prescribed as analgesics in non-depressed patients, with the first-line choice being tricyclics initiated at a low dose, increasing to a maximally tolerated dose. (</w:t>
            </w:r>
            <w:hyperlink w:anchor="Perrot" w:history="1">
              <w:r w:rsidRPr="00D61F73">
                <w:rPr>
                  <w:rStyle w:val="Hyperlink"/>
                  <w:rFonts w:ascii="Arial" w:hAnsi="Arial" w:cs="Arial"/>
                </w:rPr>
                <w:t>Perrot, 2006</w:t>
              </w:r>
            </w:hyperlink>
            <w:r w:rsidRPr="00D61F73">
              <w:rPr>
                <w:rFonts w:ascii="Arial" w:hAnsi="Arial" w:cs="Arial"/>
              </w:rPr>
              <w:t>)</w:t>
            </w:r>
          </w:p>
          <w:p w14:paraId="3E52CD44" w14:textId="77777777" w:rsidR="008D0565" w:rsidRPr="00D61F73" w:rsidRDefault="008D0565" w:rsidP="00D61F73">
            <w:pPr>
              <w:rPr>
                <w:rFonts w:ascii="Arial" w:hAnsi="Arial" w:cs="Arial"/>
                <w:b/>
                <w:i/>
                <w:u w:val="single"/>
              </w:rPr>
            </w:pPr>
            <w:r w:rsidRPr="00D61F73">
              <w:rPr>
                <w:rFonts w:ascii="Arial" w:hAnsi="Arial" w:cs="Arial"/>
                <w:b/>
                <w:i/>
                <w:u w:val="single"/>
              </w:rPr>
              <w:t>Specific studied disease states</w:t>
            </w:r>
          </w:p>
          <w:p w14:paraId="09997443" w14:textId="77777777" w:rsidR="008D0565" w:rsidRPr="00D61F73" w:rsidRDefault="008D0565" w:rsidP="00D61F73">
            <w:pPr>
              <w:rPr>
                <w:rFonts w:ascii="Arial" w:hAnsi="Arial" w:cs="Arial"/>
              </w:rPr>
            </w:pPr>
            <w:r w:rsidRPr="00D61F73">
              <w:rPr>
                <w:rFonts w:ascii="Arial" w:hAnsi="Arial" w:cs="Arial"/>
                <w:bCs/>
                <w:i/>
                <w:iCs/>
                <w:u w:val="single"/>
              </w:rPr>
              <w:t>Fibromyalgia</w:t>
            </w:r>
            <w:r w:rsidRPr="00D61F73">
              <w:rPr>
                <w:rFonts w:ascii="Arial" w:hAnsi="Arial" w:cs="Arial"/>
                <w:bCs/>
                <w:i/>
                <w:iCs/>
              </w:rPr>
              <w:t>:</w:t>
            </w:r>
            <w:r w:rsidRPr="00D61F73">
              <w:rPr>
                <w:rFonts w:ascii="Arial" w:hAnsi="Arial" w:cs="Arial"/>
              </w:rPr>
              <w:t xml:space="preserve"> There have been 25 controlled trials that have studied the use of antidepressants for fibromyalgia, including 3 meta-analyses. </w:t>
            </w:r>
            <w:r w:rsidR="006E0122" w:rsidRPr="00D61F73">
              <w:rPr>
                <w:rFonts w:ascii="Arial" w:hAnsi="Arial" w:cs="Arial"/>
              </w:rPr>
              <w:t>G</w:t>
            </w:r>
            <w:r w:rsidRPr="00D61F73">
              <w:rPr>
                <w:rFonts w:ascii="Arial" w:hAnsi="Arial" w:cs="Arial"/>
              </w:rPr>
              <w:t xml:space="preserve">ood results </w:t>
            </w:r>
            <w:r w:rsidR="006E0122" w:rsidRPr="00D61F73">
              <w:rPr>
                <w:rFonts w:ascii="Arial" w:hAnsi="Arial" w:cs="Arial"/>
              </w:rPr>
              <w:t xml:space="preserve">were </w:t>
            </w:r>
            <w:r w:rsidRPr="00D61F73">
              <w:rPr>
                <w:rFonts w:ascii="Arial" w:hAnsi="Arial" w:cs="Arial"/>
              </w:rPr>
              <w:t xml:space="preserve">found with duloxetine </w:t>
            </w:r>
            <w:r w:rsidR="006E0122" w:rsidRPr="00D61F73">
              <w:rPr>
                <w:rFonts w:ascii="Arial" w:hAnsi="Arial" w:cs="Arial"/>
              </w:rPr>
              <w:t xml:space="preserve">in </w:t>
            </w:r>
            <w:r w:rsidR="00F6579F" w:rsidRPr="00D61F73">
              <w:rPr>
                <w:rFonts w:ascii="Arial" w:hAnsi="Arial" w:cs="Arial"/>
              </w:rPr>
              <w:t xml:space="preserve">treating </w:t>
            </w:r>
            <w:r w:rsidRPr="00D61F73">
              <w:rPr>
                <w:rFonts w:ascii="Arial" w:hAnsi="Arial" w:cs="Arial"/>
              </w:rPr>
              <w:t>fibromyalgia (</w:t>
            </w:r>
            <w:hyperlink w:anchor="Arnold3" w:history="1">
              <w:r w:rsidRPr="00D61F73">
                <w:rPr>
                  <w:rStyle w:val="Hyperlink"/>
                  <w:rFonts w:ascii="Arial" w:hAnsi="Arial" w:cs="Arial"/>
                </w:rPr>
                <w:t>Arnold, 2007</w:t>
              </w:r>
            </w:hyperlink>
            <w:r w:rsidRPr="00D61F73">
              <w:rPr>
                <w:rFonts w:ascii="Arial" w:hAnsi="Arial" w:cs="Arial"/>
              </w:rPr>
              <w:t>)</w:t>
            </w:r>
            <w:r w:rsidR="006E0122" w:rsidRPr="00D61F73">
              <w:rPr>
                <w:rFonts w:ascii="Arial" w:hAnsi="Arial" w:cs="Arial"/>
              </w:rPr>
              <w:t>.</w:t>
            </w:r>
            <w:r w:rsidRPr="00D61F73">
              <w:rPr>
                <w:rFonts w:ascii="Arial" w:hAnsi="Arial" w:cs="Arial"/>
              </w:rPr>
              <w:t xml:space="preserve"> </w:t>
            </w:r>
            <w:r w:rsidR="006E0122" w:rsidRPr="00D61F73">
              <w:rPr>
                <w:rFonts w:ascii="Arial" w:hAnsi="Arial" w:cs="Arial"/>
              </w:rPr>
              <w:t xml:space="preserve">Several </w:t>
            </w:r>
            <w:r w:rsidRPr="00D61F73">
              <w:rPr>
                <w:rFonts w:ascii="Arial" w:hAnsi="Arial" w:cs="Arial"/>
              </w:rPr>
              <w:t>studies evaluated tricyclics. (</w:t>
            </w:r>
            <w:hyperlink w:anchor="Perrot" w:history="1">
              <w:r w:rsidRPr="00D61F73">
                <w:rPr>
                  <w:rStyle w:val="Hyperlink"/>
                  <w:rFonts w:ascii="Arial" w:hAnsi="Arial" w:cs="Arial"/>
                </w:rPr>
                <w:t>Perrot, 2006</w:t>
              </w:r>
            </w:hyperlink>
            <w:r w:rsidRPr="00D61F73">
              <w:rPr>
                <w:rFonts w:ascii="Arial" w:hAnsi="Arial" w:cs="Arial"/>
              </w:rPr>
              <w:t>) (</w:t>
            </w:r>
            <w:hyperlink w:anchor="Moulin2" w:history="1">
              <w:r w:rsidRPr="00D61F73">
                <w:rPr>
                  <w:rStyle w:val="Hyperlink"/>
                  <w:rFonts w:ascii="Arial" w:hAnsi="Arial" w:cs="Arial"/>
                </w:rPr>
                <w:t>Moulin, 2001</w:t>
              </w:r>
            </w:hyperlink>
            <w:r w:rsidRPr="00D61F73">
              <w:rPr>
                <w:rFonts w:ascii="Arial" w:hAnsi="Arial" w:cs="Arial"/>
              </w:rPr>
              <w:t>) A review of two double blind, placebo controlled trials concluded that duloxetine was safe and effective in women with fibromyalgia for up to 12 weeks (with long-term studies needed). (</w:t>
            </w:r>
            <w:hyperlink w:anchor="Arnold3" w:history="1">
              <w:r w:rsidRPr="00D61F73">
                <w:rPr>
                  <w:rStyle w:val="Hyperlink"/>
                  <w:rFonts w:ascii="Arial" w:hAnsi="Arial" w:cs="Arial"/>
                </w:rPr>
                <w:t>Arnold, 2007</w:t>
              </w:r>
            </w:hyperlink>
            <w:r w:rsidRPr="00D61F73">
              <w:rPr>
                <w:rFonts w:ascii="Arial" w:hAnsi="Arial" w:cs="Arial"/>
              </w:rPr>
              <w:t xml:space="preserve">) </w:t>
            </w:r>
            <w:r w:rsidR="00843F85" w:rsidRPr="00D61F73">
              <w:rPr>
                <w:rFonts w:ascii="Arial" w:hAnsi="Arial" w:cs="Arial"/>
              </w:rPr>
              <w:t xml:space="preserve">Duloxetine is approved by the FDA for treatment of fibromyalgia. (FDA 2010) </w:t>
            </w:r>
            <w:r w:rsidRPr="00D61F73">
              <w:rPr>
                <w:rFonts w:ascii="Arial" w:hAnsi="Arial" w:cs="Arial"/>
              </w:rPr>
              <w:t>Another review indicated that there is strong evidence that amitriptyline is effective for fibromyalgia</w:t>
            </w:r>
            <w:r w:rsidR="00843F85" w:rsidRPr="00D61F73">
              <w:rPr>
                <w:rFonts w:ascii="Arial" w:hAnsi="Arial" w:cs="Arial"/>
              </w:rPr>
              <w:t xml:space="preserve"> and suggested that </w:t>
            </w:r>
            <w:r w:rsidRPr="00D61F73">
              <w:rPr>
                <w:rFonts w:ascii="Arial" w:hAnsi="Arial" w:cs="Arial"/>
              </w:rPr>
              <w:t>more information is needed regarding the role of SNRIs and SSRIs. (</w:t>
            </w:r>
            <w:hyperlink w:anchor="Goldenberg2" w:history="1">
              <w:r w:rsidRPr="00D61F73">
                <w:rPr>
                  <w:rStyle w:val="Hyperlink"/>
                  <w:rFonts w:ascii="Arial" w:hAnsi="Arial" w:cs="Arial"/>
                </w:rPr>
                <w:t>Goldenberg, 2007</w:t>
              </w:r>
            </w:hyperlink>
            <w:r w:rsidRPr="00D61F73">
              <w:rPr>
                <w:rFonts w:ascii="Arial" w:hAnsi="Arial" w:cs="Arial"/>
              </w:rPr>
              <w:t>) Compared with placebo, the SNRIs duloxetine (Cymbalta) and milnacipran (Savella) are slightly more likely to reduce pain in patients with fibromyalgia, according to a new Cochrane meta-analysis, but they are not superior in terms of reducing fatigue and sleep problems or in improving quality of life, and they appear to cause more adverse effects. (</w:t>
            </w:r>
            <w:hyperlink w:anchor="Hauser2013" w:history="1">
              <w:r w:rsidRPr="00D61F73">
                <w:rPr>
                  <w:rStyle w:val="Hyperlink"/>
                  <w:rFonts w:ascii="Arial" w:hAnsi="Arial" w:cs="Arial"/>
                </w:rPr>
                <w:t>Häuser, 2013</w:t>
              </w:r>
            </w:hyperlink>
            <w:r w:rsidRPr="00D61F73">
              <w:rPr>
                <w:rFonts w:ascii="Arial" w:hAnsi="Arial" w:cs="Arial"/>
              </w:rPr>
              <w:t>)</w:t>
            </w:r>
          </w:p>
          <w:p w14:paraId="5F0DD78D" w14:textId="78C82CF1" w:rsidR="008D0565" w:rsidRPr="00D61F73" w:rsidRDefault="002C4F30" w:rsidP="00D61F73">
            <w:pPr>
              <w:rPr>
                <w:rFonts w:ascii="Arial" w:hAnsi="Arial" w:cs="Arial"/>
                <w:color w:val="0000FF"/>
                <w:u w:val="single"/>
              </w:rPr>
            </w:pPr>
            <w:r w:rsidRPr="00D61F73">
              <w:rPr>
                <w:rFonts w:ascii="Arial" w:hAnsi="Arial" w:cs="Arial"/>
              </w:rPr>
              <w:t>Refer to</w:t>
            </w:r>
            <w:r w:rsidR="00BD06FD" w:rsidRPr="00D61F73">
              <w:rPr>
                <w:rFonts w:ascii="Arial" w:hAnsi="Arial" w:cs="Arial"/>
              </w:rPr>
              <w:t xml:space="preserve"> </w:t>
            </w:r>
            <w:r w:rsidR="00BD06FD" w:rsidRPr="00C629B5">
              <w:rPr>
                <w:rFonts w:ascii="Arial" w:hAnsi="Arial" w:cs="Arial"/>
              </w:rPr>
              <w:t>MTUS Low Back Complaints</w:t>
            </w:r>
            <w:r w:rsidR="00BD06FD" w:rsidRPr="00D61F73">
              <w:rPr>
                <w:rFonts w:ascii="Arial" w:hAnsi="Arial" w:cs="Arial"/>
              </w:rPr>
              <w:t>.</w:t>
            </w:r>
          </w:p>
          <w:p w14:paraId="43B27BF3" w14:textId="2A3C10BA" w:rsidR="002C4F30" w:rsidRPr="00D61F73" w:rsidRDefault="008D0565" w:rsidP="00D61F73">
            <w:pPr>
              <w:rPr>
                <w:rFonts w:ascii="Arial" w:hAnsi="Arial" w:cs="Arial"/>
              </w:rPr>
            </w:pPr>
            <w:r w:rsidRPr="00D61F73">
              <w:rPr>
                <w:rFonts w:ascii="Arial" w:hAnsi="Arial" w:cs="Arial"/>
                <w:bCs/>
                <w:i/>
                <w:iCs/>
                <w:u w:val="single"/>
              </w:rPr>
              <w:t>Osteoarthritis</w:t>
            </w:r>
            <w:r w:rsidRPr="00D61F73">
              <w:rPr>
                <w:rFonts w:ascii="Arial" w:hAnsi="Arial" w:cs="Arial"/>
                <w:bCs/>
                <w:i/>
                <w:iCs/>
              </w:rPr>
              <w:t>:</w:t>
            </w:r>
            <w:r w:rsidRPr="00D61F73">
              <w:rPr>
                <w:rFonts w:ascii="Arial" w:hAnsi="Arial" w:cs="Arial"/>
                <w:b/>
              </w:rPr>
              <w:t xml:space="preserve"> </w:t>
            </w:r>
            <w:r w:rsidRPr="00D61F73">
              <w:rPr>
                <w:rFonts w:ascii="Arial" w:hAnsi="Arial" w:cs="Arial"/>
              </w:rPr>
              <w:t>No studies have specifically studied the use of antidepressants to treat pain from osteoarthritis. (</w:t>
            </w:r>
            <w:hyperlink w:anchor="Perrot" w:history="1">
              <w:r w:rsidRPr="00D61F73">
                <w:rPr>
                  <w:rStyle w:val="Hyperlink"/>
                  <w:rFonts w:ascii="Arial" w:hAnsi="Arial" w:cs="Arial"/>
                </w:rPr>
                <w:t>Perrot, 2006</w:t>
              </w:r>
            </w:hyperlink>
            <w:r w:rsidRPr="00D61F73">
              <w:rPr>
                <w:rFonts w:ascii="Arial" w:hAnsi="Arial" w:cs="Arial"/>
              </w:rPr>
              <w:t xml:space="preserve">) In depressed patients with osteoarthritis, improving depression symptoms </w:t>
            </w:r>
          </w:p>
          <w:p w14:paraId="314A00E8" w14:textId="77777777" w:rsidR="008D0565" w:rsidRPr="00D61F73" w:rsidRDefault="008D0565" w:rsidP="00D61F73">
            <w:pPr>
              <w:rPr>
                <w:rFonts w:ascii="Arial" w:hAnsi="Arial" w:cs="Arial"/>
              </w:rPr>
            </w:pPr>
            <w:r w:rsidRPr="00D61F73">
              <w:rPr>
                <w:rFonts w:ascii="Arial" w:hAnsi="Arial" w:cs="Arial"/>
              </w:rPr>
              <w:t>was found to decrease pain and improve functional status. (</w:t>
            </w:r>
            <w:hyperlink w:anchor="Lin" w:history="1">
              <w:r w:rsidRPr="00D61F73">
                <w:rPr>
                  <w:rStyle w:val="Hyperlink"/>
                  <w:rFonts w:ascii="Arial" w:hAnsi="Arial" w:cs="Arial"/>
                </w:rPr>
                <w:t>Lin-JAMA, 2003</w:t>
              </w:r>
            </w:hyperlink>
            <w:r w:rsidRPr="00D61F73">
              <w:rPr>
                <w:rFonts w:ascii="Arial" w:hAnsi="Arial" w:cs="Arial"/>
              </w:rPr>
              <w:t>)</w:t>
            </w:r>
          </w:p>
          <w:p w14:paraId="7F117FC5" w14:textId="77777777" w:rsidR="008D0565" w:rsidRPr="00D61F73" w:rsidRDefault="008D0565" w:rsidP="00D61F73">
            <w:pPr>
              <w:rPr>
                <w:rFonts w:ascii="Arial" w:hAnsi="Arial" w:cs="Arial"/>
                <w:color w:val="auto"/>
                <w:u w:val="single"/>
              </w:rPr>
            </w:pPr>
            <w:r w:rsidRPr="00D61F73">
              <w:rPr>
                <w:rFonts w:ascii="Arial" w:hAnsi="Arial" w:cs="Arial"/>
                <w:b/>
                <w:i/>
                <w:u w:val="single"/>
              </w:rPr>
              <w:t>A</w:t>
            </w:r>
            <w:bookmarkStart w:id="63" w:name="Antidepressantdiscontinuation"/>
            <w:bookmarkEnd w:id="63"/>
            <w:r w:rsidRPr="00D61F73">
              <w:rPr>
                <w:rFonts w:ascii="Arial" w:hAnsi="Arial" w:cs="Arial"/>
                <w:b/>
                <w:i/>
                <w:u w:val="single"/>
              </w:rPr>
              <w:t>ntidepressant discontinuation</w:t>
            </w:r>
            <w:r w:rsidRPr="00D61F73">
              <w:rPr>
                <w:rFonts w:ascii="Arial" w:hAnsi="Arial" w:cs="Arial"/>
                <w:i/>
              </w:rPr>
              <w:t xml:space="preserve">: </w:t>
            </w:r>
            <w:r w:rsidRPr="00D61F73">
              <w:rPr>
                <w:rFonts w:ascii="Arial" w:hAnsi="Arial" w:cs="Arial"/>
              </w:rPr>
              <w:t>Nearly all classes of antidepressants have been linked to discontinuation reactions that are distinct from recurrence or relapse of underlying psychiatric pathology. It does appear that discontinuation reactions can occur regardless of the particular indication for use. The most common research involves discontinuation of serotonin-reuptake inhibitors (Ser</w:t>
            </w:r>
            <w:r w:rsidR="00693EB0" w:rsidRPr="00D61F73">
              <w:rPr>
                <w:rFonts w:ascii="Arial" w:hAnsi="Arial" w:cs="Arial"/>
              </w:rPr>
              <w:t>o</w:t>
            </w:r>
            <w:r w:rsidRPr="00D61F73">
              <w:rPr>
                <w:rFonts w:ascii="Arial" w:hAnsi="Arial" w:cs="Arial"/>
              </w:rPr>
              <w:t xml:space="preserve">tonin-discontinuation syndrome). </w:t>
            </w:r>
          </w:p>
          <w:p w14:paraId="5D5FB14F" w14:textId="77777777" w:rsidR="008D0565" w:rsidRPr="00D61F73" w:rsidRDefault="008D0565" w:rsidP="00D61F73">
            <w:pPr>
              <w:rPr>
                <w:rFonts w:ascii="Arial" w:hAnsi="Arial" w:cs="Arial"/>
              </w:rPr>
            </w:pPr>
            <w:r w:rsidRPr="00D61F73">
              <w:rPr>
                <w:rFonts w:ascii="Arial" w:hAnsi="Arial" w:cs="Arial"/>
                <w:i/>
              </w:rPr>
              <w:t xml:space="preserve">Symptoms: </w:t>
            </w:r>
            <w:r w:rsidRPr="00D61F73">
              <w:rPr>
                <w:rFonts w:ascii="Arial" w:hAnsi="Arial" w:cs="Arial"/>
              </w:rPr>
              <w:t xml:space="preserve">Symptoms of discontinuation vary between classes of </w:t>
            </w:r>
            <w:r w:rsidRPr="00D61F73">
              <w:rPr>
                <w:rFonts w:ascii="Arial" w:hAnsi="Arial" w:cs="Arial"/>
              </w:rPr>
              <w:lastRenderedPageBreak/>
              <w:t>antidepressants, and between different drugs in the classes. These may include changes in mental/psychological status (confusion, restlessness, agitation, anxiety, worsening of mood, panic attacks, dysphoria, manic symptoms, and decreased level of consciousness), neurological changes (tremor, rigidity, clonus, myoclonus, hyperreflexia, ataxia, and rigidity), autonomic changes (diaphoresis, shivering, mydriasis, nausea and diarrhea), and changes in vital signs (tachycardia, hypertension, hyperthermia, and tachypnea). Commonly patients describe both psychological and somatic symptoms (the latter described as flu-like, with or without gastrointestinal physical symptoms).  Symptoms are thought to occur in at least 20% to 25% of patients upon discontinuing of serotonin-reuptake inhibitors (with reports of at least 50% with drugs with shorter</w:t>
            </w:r>
            <w:r w:rsidR="00693EB0" w:rsidRPr="00D61F73">
              <w:rPr>
                <w:rFonts w:ascii="Arial" w:hAnsi="Arial" w:cs="Arial"/>
              </w:rPr>
              <w:t xml:space="preserve"> half-lives</w:t>
            </w:r>
            <w:r w:rsidRPr="00D61F73">
              <w:rPr>
                <w:rFonts w:ascii="Arial" w:hAnsi="Arial" w:cs="Arial"/>
              </w:rPr>
              <w:t xml:space="preserve"> such as paroxetine or venlafaxine).  Symptoms tend to emerge within 2 to 5 days with a usual duration of 1 to 2 weeks. The primary risk factors for this reaction include use of antidepressants with shorter half-lives, longer duration of treatment, and abrupt discontinuation. </w:t>
            </w:r>
          </w:p>
          <w:p w14:paraId="3B221092" w14:textId="77777777" w:rsidR="008D0565" w:rsidRPr="00D61F73" w:rsidRDefault="008D0565" w:rsidP="00D61F73">
            <w:pPr>
              <w:rPr>
                <w:rFonts w:ascii="Arial" w:hAnsi="Arial" w:cs="Arial"/>
              </w:rPr>
            </w:pPr>
            <w:r w:rsidRPr="00D61F73">
              <w:rPr>
                <w:rFonts w:ascii="Arial" w:hAnsi="Arial" w:cs="Arial"/>
                <w:i/>
              </w:rPr>
              <w:t xml:space="preserve">Differentiation from depression relapse or recurrence: </w:t>
            </w:r>
            <w:r w:rsidRPr="00D61F73">
              <w:rPr>
                <w:rFonts w:ascii="Arial" w:hAnsi="Arial" w:cs="Arial"/>
              </w:rPr>
              <w:t xml:space="preserve">Differentiating factors include looking for symptoms that are more likely to occur with discontinuation reaction (dizziness, electric shock-like sensations, “rushing” sensations, headache and nausea) as well as observing for rapid reversal of symptoms (complete resolution within 1 to 2 weeks of the taper/discontinuation is less likely to be due to depression). Later onset of symptoms (after at least two to three weeks of discontinuation/tapering) or prolonged symptoms (3 weeks or greater) are more commonly associated with a relapse of psychiatric pathology or another intercurrent disease. </w:t>
            </w:r>
          </w:p>
          <w:p w14:paraId="24E287F5" w14:textId="77777777" w:rsidR="008D0565" w:rsidRPr="00D61F73" w:rsidRDefault="008D0565" w:rsidP="00D61F73">
            <w:pPr>
              <w:keepNext/>
              <w:outlineLvl w:val="6"/>
              <w:rPr>
                <w:rFonts w:ascii="Arial" w:hAnsi="Arial" w:cs="Arial"/>
                <w:b/>
              </w:rPr>
            </w:pPr>
            <w:r w:rsidRPr="00D61F73">
              <w:rPr>
                <w:rFonts w:ascii="Arial" w:hAnsi="Arial" w:cs="Arial"/>
                <w:b/>
              </w:rPr>
              <w:t xml:space="preserve">SPECIFIC </w:t>
            </w:r>
            <w:r w:rsidRPr="00D61F73">
              <w:rPr>
                <w:rFonts w:ascii="Arial" w:hAnsi="Arial" w:cs="Arial"/>
                <w:b/>
                <w:bCs/>
              </w:rPr>
              <w:t>ANTIDEPRESSANTS</w:t>
            </w:r>
            <w:r w:rsidRPr="00D61F73">
              <w:rPr>
                <w:rFonts w:ascii="Arial" w:hAnsi="Arial" w:cs="Arial"/>
                <w:b/>
              </w:rPr>
              <w:t xml:space="preserve">: </w:t>
            </w:r>
          </w:p>
          <w:p w14:paraId="21869075" w14:textId="77777777" w:rsidR="008D0565" w:rsidRPr="00D61F73" w:rsidRDefault="008D0565" w:rsidP="00D61F73">
            <w:pPr>
              <w:rPr>
                <w:rFonts w:ascii="Arial" w:hAnsi="Arial" w:cs="Arial"/>
              </w:rPr>
            </w:pPr>
            <w:r w:rsidRPr="00D61F73">
              <w:rPr>
                <w:rFonts w:ascii="Arial" w:hAnsi="Arial" w:cs="Arial"/>
                <w:b/>
                <w:i/>
                <w:u w:val="single"/>
              </w:rPr>
              <w:t>T</w:t>
            </w:r>
            <w:bookmarkStart w:id="64" w:name="TricyclicsListing"/>
            <w:bookmarkEnd w:id="64"/>
            <w:r w:rsidRPr="00D61F73">
              <w:rPr>
                <w:rFonts w:ascii="Arial" w:hAnsi="Arial" w:cs="Arial"/>
                <w:b/>
                <w:i/>
                <w:u w:val="single"/>
              </w:rPr>
              <w:t>ricyclic antidepressants</w:t>
            </w:r>
            <w:r w:rsidRPr="00D61F73">
              <w:rPr>
                <w:rFonts w:ascii="Arial" w:hAnsi="Arial" w:cs="Arial"/>
              </w:rPr>
              <w:t xml:space="preserve"> are recommended over selective serotonin reuptake inhibitors (SSRIs), unless adverse reactions are a problem. Caution is required because tricyclics have a low threshold for toxicity, and tricyclic antidepressant overdose is a significant cause of fatal drug poisoning due to their cardiovascular and neurological effects. Tricyclic antidepressants have been shown in both a meta-analysis (</w:t>
            </w:r>
            <w:hyperlink w:anchor="McQuay2" w:history="1">
              <w:r w:rsidRPr="00D61F73">
                <w:rPr>
                  <w:rStyle w:val="Hyperlink"/>
                  <w:rFonts w:ascii="Arial" w:hAnsi="Arial" w:cs="Arial"/>
                </w:rPr>
                <w:t>McQuay, 1996</w:t>
              </w:r>
            </w:hyperlink>
            <w:r w:rsidRPr="00D61F73">
              <w:rPr>
                <w:rFonts w:ascii="Arial" w:hAnsi="Arial" w:cs="Arial"/>
              </w:rPr>
              <w:t>) and a systematic review (</w:t>
            </w:r>
            <w:hyperlink w:anchor="Collins" w:history="1">
              <w:r w:rsidRPr="00D61F73">
                <w:rPr>
                  <w:rStyle w:val="Hyperlink"/>
                  <w:rFonts w:ascii="Arial" w:hAnsi="Arial" w:cs="Arial"/>
                </w:rPr>
                <w:t>Collins, 2000</w:t>
              </w:r>
            </w:hyperlink>
            <w:r w:rsidRPr="00D61F73">
              <w:rPr>
                <w:rFonts w:ascii="Arial" w:hAnsi="Arial" w:cs="Arial"/>
              </w:rPr>
              <w:t>) to be effective, and are considered a first-line treatment for neuropathic pain. (</w:t>
            </w:r>
            <w:hyperlink w:anchor="Namaka" w:history="1">
              <w:r w:rsidRPr="00D61F73">
                <w:rPr>
                  <w:rStyle w:val="Hyperlink"/>
                  <w:rFonts w:ascii="Arial" w:hAnsi="Arial" w:cs="Arial"/>
                </w:rPr>
                <w:t>Namaka, 2004</w:t>
              </w:r>
            </w:hyperlink>
            <w:r w:rsidRPr="00D61F73">
              <w:rPr>
                <w:rFonts w:ascii="Arial" w:hAnsi="Arial" w:cs="Arial"/>
              </w:rPr>
              <w:t>) (</w:t>
            </w:r>
            <w:hyperlink w:anchor="Dworkin" w:history="1">
              <w:r w:rsidRPr="00D61F73">
                <w:rPr>
                  <w:rStyle w:val="Hyperlink"/>
                  <w:rFonts w:ascii="Arial" w:hAnsi="Arial" w:cs="Arial"/>
                </w:rPr>
                <w:t>Dworkin, 2003</w:t>
              </w:r>
            </w:hyperlink>
            <w:r w:rsidRPr="00D61F73">
              <w:rPr>
                <w:rFonts w:ascii="Arial" w:hAnsi="Arial" w:cs="Arial"/>
              </w:rPr>
              <w:t>) (</w:t>
            </w:r>
            <w:hyperlink w:anchor="Gilron2006" w:history="1">
              <w:r w:rsidRPr="00D61F73">
                <w:rPr>
                  <w:rStyle w:val="Hyperlink"/>
                  <w:rFonts w:ascii="Arial" w:hAnsi="Arial" w:cs="Arial"/>
                </w:rPr>
                <w:t>Gilron, 2006</w:t>
              </w:r>
            </w:hyperlink>
            <w:r w:rsidRPr="00D61F73">
              <w:rPr>
                <w:rFonts w:ascii="Arial" w:hAnsi="Arial" w:cs="Arial"/>
              </w:rPr>
              <w:t>) (</w:t>
            </w:r>
            <w:hyperlink w:anchor="Wolfe2004" w:history="1">
              <w:r w:rsidRPr="00D61F73">
                <w:rPr>
                  <w:rStyle w:val="Hyperlink"/>
                  <w:rFonts w:ascii="Arial" w:hAnsi="Arial" w:cs="Arial"/>
                </w:rPr>
                <w:t>Wolfe, 2004</w:t>
              </w:r>
            </w:hyperlink>
            <w:r w:rsidRPr="00D61F73">
              <w:rPr>
                <w:rFonts w:ascii="Arial" w:hAnsi="Arial" w:cs="Arial"/>
              </w:rPr>
              <w:t>) (</w:t>
            </w:r>
            <w:hyperlink w:anchor="Dworkin2" w:history="1">
              <w:r w:rsidRPr="00D61F73">
                <w:rPr>
                  <w:rStyle w:val="Hyperlink"/>
                  <w:rFonts w:ascii="Arial" w:hAnsi="Arial" w:cs="Arial"/>
                </w:rPr>
                <w:t>Dworkin, 2007</w:t>
              </w:r>
            </w:hyperlink>
            <w:r w:rsidRPr="00D61F73">
              <w:rPr>
                <w:rFonts w:ascii="Arial" w:hAnsi="Arial" w:cs="Arial"/>
              </w:rPr>
              <w:t>) (</w:t>
            </w:r>
            <w:hyperlink w:anchor="Saarto2" w:history="1">
              <w:r w:rsidRPr="00D61F73">
                <w:rPr>
                  <w:rStyle w:val="Hyperlink"/>
                  <w:rFonts w:ascii="Arial" w:hAnsi="Arial" w:cs="Arial"/>
                </w:rPr>
                <w:t>Saarto-Cochrane, 2007</w:t>
              </w:r>
            </w:hyperlink>
            <w:r w:rsidRPr="00D61F73">
              <w:rPr>
                <w:rFonts w:ascii="Arial" w:hAnsi="Arial" w:cs="Arial"/>
              </w:rPr>
              <w:t>) This class of medications works in both patients with normal mood and patients with depressed mood when used in treatment for neuropathic pain. (</w:t>
            </w:r>
            <w:hyperlink w:anchor="Sindrup" w:history="1">
              <w:r w:rsidRPr="00D61F73">
                <w:rPr>
                  <w:rStyle w:val="Hyperlink"/>
                  <w:rFonts w:ascii="Arial" w:hAnsi="Arial" w:cs="Arial"/>
                </w:rPr>
                <w:t>Sindrup, 2005</w:t>
              </w:r>
            </w:hyperlink>
            <w:r w:rsidRPr="00D61F73">
              <w:rPr>
                <w:rFonts w:ascii="Arial" w:hAnsi="Arial" w:cs="Arial"/>
              </w:rPr>
              <w:t>) Indications in controlled trials have shown effectiveness in treating central post-stroke pain, post-herpetic neuralgia (</w:t>
            </w:r>
            <w:hyperlink w:anchor="Argoff2" w:history="1">
              <w:r w:rsidRPr="00D61F73">
                <w:rPr>
                  <w:rStyle w:val="Hyperlink"/>
                  <w:rFonts w:ascii="Arial" w:hAnsi="Arial" w:cs="Arial"/>
                </w:rPr>
                <w:t>Argoff, 2004</w:t>
              </w:r>
            </w:hyperlink>
            <w:r w:rsidRPr="00D61F73">
              <w:rPr>
                <w:rFonts w:ascii="Arial" w:hAnsi="Arial" w:cs="Arial"/>
              </w:rPr>
              <w:t>), painful diabetic and non-diabetic polyneuropathy, and post-mastectomy pain. Negative results were found for spinal cord pain and phantom-limb pain, but this may have been due to study design.</w:t>
            </w:r>
            <w:r w:rsidRPr="00D61F73">
              <w:rPr>
                <w:rFonts w:ascii="Arial" w:hAnsi="Arial" w:cs="Arial"/>
                <w:vertAlign w:val="superscript"/>
              </w:rPr>
              <w:t xml:space="preserve"> </w:t>
            </w:r>
            <w:r w:rsidRPr="00D61F73">
              <w:rPr>
                <w:rFonts w:ascii="Arial" w:hAnsi="Arial" w:cs="Arial"/>
              </w:rPr>
              <w:t>(</w:t>
            </w:r>
            <w:hyperlink w:anchor="Finnerup" w:history="1">
              <w:r w:rsidRPr="00D61F73">
                <w:rPr>
                  <w:rStyle w:val="Hyperlink"/>
                  <w:rFonts w:ascii="Arial" w:hAnsi="Arial" w:cs="Arial"/>
                </w:rPr>
                <w:t>Finnerup, 2005</w:t>
              </w:r>
            </w:hyperlink>
            <w:r w:rsidRPr="00D61F73">
              <w:rPr>
                <w:rFonts w:ascii="Arial" w:hAnsi="Arial" w:cs="Arial"/>
              </w:rPr>
              <w:t>) Tricyclics have not demonstrated significance in randomized-control trials in treating HIV neuropathy, spinal cord injury, cisplatinum neuropathy, neuropathic cancer pain, phantom limb pain or chronic lumbar root pain. (</w:t>
            </w:r>
            <w:hyperlink w:anchor="Dworkin2" w:history="1">
              <w:r w:rsidRPr="00D61F73">
                <w:rPr>
                  <w:rStyle w:val="Hyperlink"/>
                  <w:rFonts w:ascii="Arial" w:hAnsi="Arial" w:cs="Arial"/>
                </w:rPr>
                <w:t>Dworkin, 2007</w:t>
              </w:r>
            </w:hyperlink>
            <w:r w:rsidRPr="00D61F73">
              <w:rPr>
                <w:rFonts w:ascii="Arial" w:hAnsi="Arial" w:cs="Arial"/>
              </w:rPr>
              <w:t xml:space="preserve">) One review reported the NNT for at least moderate neuropathic pain relief with tricyclics is 3.6 (3-4.5), with </w:t>
            </w:r>
            <w:r w:rsidRPr="00D61F73">
              <w:rPr>
                <w:rFonts w:ascii="Arial" w:hAnsi="Arial" w:cs="Arial"/>
              </w:rPr>
              <w:lastRenderedPageBreak/>
              <w:t>the NNT for amitriptyline being 3.1 (2.5-4.2). The NNT for venlafaxine, calculated using 3 studies, was reported to be 3.1 (2.2-5.1). (</w:t>
            </w:r>
            <w:hyperlink w:anchor="Saarto2" w:history="1">
              <w:r w:rsidRPr="00D61F73">
                <w:rPr>
                  <w:rStyle w:val="Hyperlink"/>
                  <w:rFonts w:ascii="Arial" w:hAnsi="Arial" w:cs="Arial"/>
                </w:rPr>
                <w:t>Saarto-</w:t>
              </w:r>
              <w:r w:rsidRPr="00D61F73">
                <w:rPr>
                  <w:rStyle w:val="Hyperlink"/>
                  <w:rFonts w:ascii="Arial" w:hAnsi="Arial" w:cs="Arial"/>
                  <w:i/>
                  <w:iCs/>
                </w:rPr>
                <w:t>Cochrane,</w:t>
              </w:r>
              <w:r w:rsidRPr="00D61F73">
                <w:rPr>
                  <w:rStyle w:val="Hyperlink"/>
                  <w:rFonts w:ascii="Arial" w:hAnsi="Arial" w:cs="Arial"/>
                </w:rPr>
                <w:t xml:space="preserve"> 2007</w:t>
              </w:r>
            </w:hyperlink>
            <w:r w:rsidRPr="00D61F73">
              <w:rPr>
                <w:rFonts w:ascii="Arial" w:hAnsi="Arial" w:cs="Arial"/>
              </w:rPr>
              <w:t>) Another review reported that the NNT for 50% improvement in neuropathic pain was 2 to 3 for tricyclic antidepressants, 4 for venlafaxine, and 7 for SSRIs (</w:t>
            </w:r>
            <w:hyperlink w:anchor="Perrot2" w:history="1">
              <w:r w:rsidRPr="00D61F73">
                <w:rPr>
                  <w:rStyle w:val="Hyperlink"/>
                  <w:rFonts w:ascii="Arial" w:hAnsi="Arial" w:cs="Arial"/>
                </w:rPr>
                <w:t>Perrot, 2008</w:t>
              </w:r>
            </w:hyperlink>
            <w:r w:rsidRPr="00D61F73">
              <w:rPr>
                <w:rFonts w:ascii="Arial" w:hAnsi="Arial" w:cs="Arial"/>
              </w:rPr>
              <w:t>).</w:t>
            </w:r>
          </w:p>
          <w:p w14:paraId="426092CC" w14:textId="77777777" w:rsidR="008D0565" w:rsidRPr="00D61F73" w:rsidRDefault="008D0565" w:rsidP="00D61F73">
            <w:pPr>
              <w:rPr>
                <w:rFonts w:ascii="Arial" w:hAnsi="Arial" w:cs="Arial"/>
              </w:rPr>
            </w:pPr>
            <w:r w:rsidRPr="00D61F73">
              <w:rPr>
                <w:rFonts w:ascii="Arial" w:hAnsi="Arial" w:cs="Arial"/>
                <w:i/>
              </w:rPr>
              <w:t>Side-effect profile:</w:t>
            </w:r>
            <w:r w:rsidRPr="00D61F73">
              <w:rPr>
                <w:rFonts w:ascii="Arial" w:hAnsi="Arial" w:cs="Arial"/>
              </w:rPr>
              <w:t xml:space="preserve"> Tricyclics are contraindicated in patients with cardiac conduction disturbances and/or decompensation (they can produce heart block and arrhythmias) as well as for those patients with epilepsy. For patients &gt; 40 years old, a screening ECG is recommended prior to initiation of therapy. (</w:t>
            </w:r>
            <w:hyperlink w:anchor="Dworkin2" w:history="1">
              <w:r w:rsidRPr="00D61F73">
                <w:rPr>
                  <w:rStyle w:val="Hyperlink"/>
                  <w:rFonts w:ascii="Arial" w:hAnsi="Arial" w:cs="Arial"/>
                </w:rPr>
                <w:t>Dworkin, 2007</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 They can create anticholinergic side effects of dry mouth, sweating, dizziness, orthostatic hypotension, fatigue, constipation, and urinary retention. (</w:t>
            </w:r>
            <w:hyperlink w:anchor="Finnerup" w:history="1">
              <w:r w:rsidRPr="00D61F73">
                <w:rPr>
                  <w:rStyle w:val="Hyperlink"/>
                  <w:rFonts w:ascii="Arial" w:hAnsi="Arial" w:cs="Arial"/>
                </w:rPr>
                <w:t>Finnerup, 2005</w:t>
              </w:r>
            </w:hyperlink>
            <w:r w:rsidRPr="00D61F73">
              <w:rPr>
                <w:rFonts w:ascii="Arial" w:hAnsi="Arial" w:cs="Arial"/>
              </w:rPr>
              <w:t>) To minimize side effects, it is suggested that titration should be slow and based on the patient’s response. (</w:t>
            </w:r>
            <w:hyperlink w:anchor="Namaka" w:history="1">
              <w:r w:rsidRPr="00D61F73">
                <w:rPr>
                  <w:rStyle w:val="Hyperlink"/>
                  <w:rFonts w:ascii="Arial" w:hAnsi="Arial" w:cs="Arial"/>
                </w:rPr>
                <w:t>Namaka, 2004</w:t>
              </w:r>
            </w:hyperlink>
            <w:r w:rsidRPr="00D61F73">
              <w:rPr>
                <w:rFonts w:ascii="Arial" w:hAnsi="Arial" w:cs="Arial"/>
              </w:rPr>
              <w:t>) An alternative choice may be a SNRI. (</w:t>
            </w:r>
            <w:hyperlink w:anchor="Finnerup" w:history="1">
              <w:r w:rsidRPr="00D61F73">
                <w:rPr>
                  <w:rStyle w:val="Hyperlink"/>
                  <w:rFonts w:ascii="Arial" w:hAnsi="Arial" w:cs="Arial"/>
                </w:rPr>
                <w:t>Finnerup, 2005</w:t>
              </w:r>
            </w:hyperlink>
            <w:r w:rsidRPr="00D61F73">
              <w:rPr>
                <w:rFonts w:ascii="Arial" w:hAnsi="Arial" w:cs="Arial"/>
              </w:rPr>
              <w:t>) (</w:t>
            </w:r>
            <w:hyperlink w:anchor="Sindrup" w:history="1">
              <w:r w:rsidRPr="00D61F73">
                <w:rPr>
                  <w:rStyle w:val="Hyperlink"/>
                  <w:rFonts w:ascii="Arial" w:hAnsi="Arial" w:cs="Arial"/>
                </w:rPr>
                <w:t>Sindrup, 2005</w:t>
              </w:r>
            </w:hyperlink>
            <w:r w:rsidRPr="00D61F73">
              <w:rPr>
                <w:rFonts w:ascii="Arial" w:hAnsi="Arial" w:cs="Arial"/>
              </w:rPr>
              <w:t>) (</w:t>
            </w:r>
            <w:hyperlink w:anchor="Dworkin2" w:history="1">
              <w:r w:rsidRPr="00D61F73">
                <w:rPr>
                  <w:rStyle w:val="Hyperlink"/>
                  <w:rFonts w:ascii="Arial" w:hAnsi="Arial" w:cs="Arial"/>
                </w:rPr>
                <w:t>Dworkin, 2007</w:t>
              </w:r>
            </w:hyperlink>
            <w:r w:rsidRPr="00D61F73">
              <w:rPr>
                <w:rFonts w:ascii="Arial" w:hAnsi="Arial" w:cs="Arial"/>
              </w:rPr>
              <w:t>) The muscle relaxant cyclobenzaprine is closely related to the tricyclic antidepressants so caution is advised when using cyclobenzaprine. (</w:t>
            </w:r>
            <w:hyperlink r:id="rId32" w:history="1">
              <w:r w:rsidRPr="00D61F73">
                <w:rPr>
                  <w:rStyle w:val="Hyperlink"/>
                  <w:rFonts w:ascii="Arial" w:hAnsi="Arial" w:cs="Arial"/>
                </w:rPr>
                <w:t>FDA, 2011</w:t>
              </w:r>
            </w:hyperlink>
            <w:r w:rsidRPr="00D61F73">
              <w:rPr>
                <w:rFonts w:ascii="Arial" w:hAnsi="Arial" w:cs="Arial"/>
              </w:rPr>
              <w:t>)</w:t>
            </w:r>
          </w:p>
          <w:p w14:paraId="0DEC8217" w14:textId="77777777" w:rsidR="008D0565" w:rsidRPr="00D61F73" w:rsidRDefault="008D0565" w:rsidP="00D61F73">
            <w:pPr>
              <w:rPr>
                <w:rFonts w:ascii="Arial" w:hAnsi="Arial" w:cs="Arial"/>
                <w:i/>
              </w:rPr>
            </w:pPr>
            <w:r w:rsidRPr="00D61F73">
              <w:rPr>
                <w:rFonts w:ascii="Arial" w:hAnsi="Arial" w:cs="Arial"/>
                <w:i/>
              </w:rPr>
              <w:t xml:space="preserve">Dosing Information: </w:t>
            </w:r>
          </w:p>
          <w:p w14:paraId="45476800" w14:textId="77777777" w:rsidR="008D0565" w:rsidRPr="00D61F73" w:rsidRDefault="008D0565" w:rsidP="00D61F73">
            <w:pPr>
              <w:rPr>
                <w:rFonts w:ascii="Arial" w:hAnsi="Arial" w:cs="Arial"/>
              </w:rPr>
            </w:pPr>
            <w:r w:rsidRPr="00D61F73">
              <w:rPr>
                <w:rFonts w:ascii="Arial" w:hAnsi="Arial" w:cs="Arial"/>
                <w:i/>
              </w:rPr>
              <w:t>Amitriptyline</w:t>
            </w:r>
            <w:r w:rsidRPr="00D61F73">
              <w:rPr>
                <w:rFonts w:ascii="Arial" w:hAnsi="Arial" w:cs="Arial"/>
              </w:rPr>
              <w:t xml:space="preserve">: </w:t>
            </w:r>
            <w:r w:rsidRPr="00D61F73">
              <w:rPr>
                <w:rFonts w:ascii="Arial" w:hAnsi="Arial" w:cs="Arial"/>
                <w:i/>
              </w:rPr>
              <w:t>Neuropathic pain</w:t>
            </w:r>
            <w:r w:rsidRPr="00D61F73">
              <w:rPr>
                <w:rFonts w:ascii="Arial" w:hAnsi="Arial" w:cs="Arial"/>
              </w:rPr>
              <w:t>: The starting dose may be as low as 10-25 mg at night, with increases of 10-25 mg once or twice a week up to 100 mg/day. (</w:t>
            </w:r>
            <w:hyperlink w:anchor="ICSI2007" w:history="1">
              <w:r w:rsidRPr="00D61F73">
                <w:rPr>
                  <w:rStyle w:val="Hyperlink"/>
                  <w:rFonts w:ascii="Arial" w:hAnsi="Arial" w:cs="Arial"/>
                </w:rPr>
                <w:t>ICSI, 2007</w:t>
              </w:r>
            </w:hyperlink>
            <w:r w:rsidRPr="00D61F73">
              <w:rPr>
                <w:rFonts w:ascii="Arial" w:hAnsi="Arial" w:cs="Arial"/>
              </w:rPr>
              <w:t>) The lowest effective dose should be used (</w:t>
            </w:r>
            <w:hyperlink w:anchor="Dworkin2" w:history="1">
              <w:r w:rsidRPr="00D61F73">
                <w:rPr>
                  <w:rStyle w:val="Hyperlink"/>
                  <w:rFonts w:ascii="Arial" w:hAnsi="Arial" w:cs="Arial"/>
                </w:rPr>
                <w:t>Dworkin, 2007</w:t>
              </w:r>
            </w:hyperlink>
            <w:r w:rsidRPr="00D61F73">
              <w:rPr>
                <w:rFonts w:ascii="Arial" w:hAnsi="Arial" w:cs="Arial"/>
              </w:rPr>
              <w:t xml:space="preserve">). </w:t>
            </w:r>
            <w:r w:rsidRPr="00D61F73">
              <w:rPr>
                <w:rFonts w:ascii="Arial" w:hAnsi="Arial" w:cs="Arial"/>
                <w:i/>
              </w:rPr>
              <w:t>Fibromyalgia</w:t>
            </w:r>
            <w:r w:rsidRPr="00D61F73">
              <w:rPr>
                <w:rFonts w:ascii="Arial" w:hAnsi="Arial" w:cs="Arial"/>
              </w:rPr>
              <w:t>: One review recommended the following dosing regimen: Start with low doses, such as 5-10 mg 1-3 hours before bedtime. Dose may be increased by 5 mg at two-week intervals; final dose is dependent upon efficacy and patient tolerability to side effects. Doses that have been studied range from 25 to 50 mg at bedtime. (</w:t>
            </w:r>
            <w:hyperlink w:anchor="Goldenberg2" w:history="1">
              <w:r w:rsidRPr="00D61F73">
                <w:rPr>
                  <w:rStyle w:val="Hyperlink"/>
                  <w:rFonts w:ascii="Arial" w:hAnsi="Arial" w:cs="Arial"/>
                </w:rPr>
                <w:t>Goldenberg, 2007</w:t>
              </w:r>
            </w:hyperlink>
            <w:r w:rsidRPr="00D61F73">
              <w:rPr>
                <w:rFonts w:ascii="Arial" w:hAnsi="Arial" w:cs="Arial"/>
              </w:rPr>
              <w:t>)</w:t>
            </w:r>
          </w:p>
          <w:p w14:paraId="5F6D91F4" w14:textId="77777777" w:rsidR="008D0565" w:rsidRPr="00D61F73" w:rsidRDefault="008D0565" w:rsidP="00D61F73">
            <w:pPr>
              <w:rPr>
                <w:rFonts w:ascii="Arial" w:hAnsi="Arial" w:cs="Arial"/>
              </w:rPr>
            </w:pPr>
            <w:r w:rsidRPr="00D61F73">
              <w:rPr>
                <w:rFonts w:ascii="Arial" w:hAnsi="Arial" w:cs="Arial"/>
                <w:b/>
                <w:i/>
                <w:u w:val="single"/>
              </w:rPr>
              <w:t>S</w:t>
            </w:r>
            <w:bookmarkStart w:id="65" w:name="SNRIsListing"/>
            <w:bookmarkEnd w:id="65"/>
            <w:r w:rsidRPr="00D61F73">
              <w:rPr>
                <w:rFonts w:ascii="Arial" w:hAnsi="Arial" w:cs="Arial"/>
                <w:b/>
                <w:i/>
                <w:u w:val="single"/>
              </w:rPr>
              <w:t>elective serotonin and norepinephrine reuptake inhibitors (SNRIs):</w:t>
            </w:r>
          </w:p>
          <w:p w14:paraId="09852233" w14:textId="77777777" w:rsidR="008D0565" w:rsidRPr="00D61F73" w:rsidRDefault="00751163" w:rsidP="00D61F73">
            <w:pPr>
              <w:rPr>
                <w:rFonts w:ascii="Arial" w:hAnsi="Arial" w:cs="Arial"/>
              </w:rPr>
            </w:pPr>
            <w:hyperlink w:anchor="Duloxetine" w:history="1">
              <w:r w:rsidR="008D0565" w:rsidRPr="00D61F73">
                <w:rPr>
                  <w:rStyle w:val="Hyperlink"/>
                  <w:rFonts w:ascii="Arial" w:hAnsi="Arial" w:cs="Arial"/>
                  <w:i/>
                </w:rPr>
                <w:t>D</w:t>
              </w:r>
              <w:bookmarkStart w:id="66" w:name="DuloxetineListing"/>
              <w:bookmarkEnd w:id="66"/>
              <w:r w:rsidR="008D0565" w:rsidRPr="00D61F73">
                <w:rPr>
                  <w:rStyle w:val="Hyperlink"/>
                  <w:rFonts w:ascii="Arial" w:hAnsi="Arial" w:cs="Arial"/>
                  <w:i/>
                </w:rPr>
                <w:t>uloxetine</w:t>
              </w:r>
            </w:hyperlink>
            <w:r w:rsidR="008D0565" w:rsidRPr="00D61F73">
              <w:rPr>
                <w:rFonts w:ascii="Arial" w:hAnsi="Arial" w:cs="Arial"/>
                <w:i/>
                <w:u w:val="single"/>
              </w:rPr>
              <w:t xml:space="preserve"> (Cymbalta®)</w:t>
            </w:r>
            <w:r w:rsidR="008D0565" w:rsidRPr="00D61F73">
              <w:rPr>
                <w:rFonts w:ascii="Arial" w:hAnsi="Arial" w:cs="Arial"/>
                <w:u w:val="single"/>
              </w:rPr>
              <w:t>:</w:t>
            </w:r>
            <w:r w:rsidR="008D0565" w:rsidRPr="00D61F73">
              <w:rPr>
                <w:rFonts w:ascii="Arial" w:hAnsi="Arial" w:cs="Arial"/>
              </w:rPr>
              <w:t xml:space="preserve"> FDA-approved for anxiety, depression, diabetic neuropathy, fibromyalgia and chronic musculoskeletal pain. (</w:t>
            </w:r>
            <w:hyperlink r:id="rId33" w:history="1">
              <w:r w:rsidR="008D0565" w:rsidRPr="00D61F73">
                <w:rPr>
                  <w:rStyle w:val="Hyperlink"/>
                  <w:rFonts w:ascii="Arial" w:hAnsi="Arial" w:cs="Arial"/>
                </w:rPr>
                <w:t>FDA, 2010</w:t>
              </w:r>
            </w:hyperlink>
            <w:r w:rsidR="008D0565" w:rsidRPr="00D61F73">
              <w:rPr>
                <w:rFonts w:ascii="Arial" w:hAnsi="Arial" w:cs="Arial"/>
              </w:rPr>
              <w:t>) Used off-label for neuropathic pain and radiculopathy. Duloxetine is recommended as a first-line option for diabetic neuropathy. (</w:t>
            </w:r>
            <w:hyperlink w:anchor="Dworkin2" w:history="1">
              <w:r w:rsidR="008D0565" w:rsidRPr="00D61F73">
                <w:rPr>
                  <w:rStyle w:val="Hyperlink"/>
                  <w:rFonts w:ascii="Arial" w:hAnsi="Arial" w:cs="Arial"/>
                </w:rPr>
                <w:t>Dworkin, 2007</w:t>
              </w:r>
            </w:hyperlink>
            <w:r w:rsidR="008D0565" w:rsidRPr="00D61F73">
              <w:rPr>
                <w:rFonts w:ascii="Arial" w:hAnsi="Arial" w:cs="Arial"/>
              </w:rPr>
              <w:t>) No high</w:t>
            </w:r>
            <w:r w:rsidR="00E0071B" w:rsidRPr="00D61F73">
              <w:rPr>
                <w:rFonts w:ascii="Arial" w:hAnsi="Arial" w:cs="Arial"/>
              </w:rPr>
              <w:t>-</w:t>
            </w:r>
            <w:r w:rsidR="008D0565" w:rsidRPr="00D61F73">
              <w:rPr>
                <w:rFonts w:ascii="Arial" w:hAnsi="Arial" w:cs="Arial"/>
              </w:rPr>
              <w:t>quality evidence is reported to support the use of duloxetine for lumbar radiculopathy. (</w:t>
            </w:r>
            <w:hyperlink w:anchor="Dworkin2" w:history="1">
              <w:r w:rsidR="008D0565" w:rsidRPr="00D61F73">
                <w:rPr>
                  <w:rStyle w:val="Hyperlink"/>
                  <w:rFonts w:ascii="Arial" w:hAnsi="Arial" w:cs="Arial"/>
                </w:rPr>
                <w:t>Dworkin, 2007</w:t>
              </w:r>
            </w:hyperlink>
            <w:r w:rsidR="008D0565" w:rsidRPr="00D61F73">
              <w:rPr>
                <w:rFonts w:ascii="Arial" w:hAnsi="Arial" w:cs="Arial"/>
              </w:rPr>
              <w:t>) More studies are needed to determine the efficacy of duloxetine for other types of neuropathic pain.</w:t>
            </w:r>
          </w:p>
          <w:p w14:paraId="537DA8DC" w14:textId="77777777" w:rsidR="008D0565" w:rsidRPr="00D61F73" w:rsidRDefault="008D0565" w:rsidP="00D61F73">
            <w:pPr>
              <w:rPr>
                <w:rFonts w:ascii="Arial" w:hAnsi="Arial" w:cs="Arial"/>
              </w:rPr>
            </w:pPr>
            <w:r w:rsidRPr="00D61F73">
              <w:rPr>
                <w:rFonts w:ascii="Arial" w:hAnsi="Arial" w:cs="Arial"/>
                <w:i/>
              </w:rPr>
              <w:t xml:space="preserve">Side effects: </w:t>
            </w:r>
            <w:r w:rsidRPr="00D61F73">
              <w:rPr>
                <w:rFonts w:ascii="Arial" w:hAnsi="Arial" w:cs="Arial"/>
              </w:rPr>
              <w:t>CNS: dizziness, fatigue, somnolence, drowsiness, anxiety (3% vs.2% for placebo), insomnia (8-13% vs. 6-7% for placebo). GI: nausea and vomiting (5-30%), weight loss (2%). Duloxetine can worsen diabetic control in some patients. It also causes sexual dysfunction. (</w:t>
            </w:r>
            <w:hyperlink w:anchor="Maizels" w:history="1">
              <w:r w:rsidRPr="00D61F73">
                <w:rPr>
                  <w:rStyle w:val="Hyperlink"/>
                  <w:rFonts w:ascii="Arial" w:hAnsi="Arial" w:cs="Arial"/>
                </w:rPr>
                <w:t>Maizels, 2005</w:t>
              </w:r>
            </w:hyperlink>
            <w:r w:rsidRPr="00D61F73">
              <w:rPr>
                <w:rFonts w:ascii="Arial" w:hAnsi="Arial" w:cs="Arial"/>
              </w:rPr>
              <w:t xml:space="preserve">) </w:t>
            </w:r>
          </w:p>
          <w:p w14:paraId="16C3F1D1" w14:textId="77777777" w:rsidR="008D0565" w:rsidRPr="00D61F73" w:rsidRDefault="008D0565" w:rsidP="00D61F73">
            <w:pPr>
              <w:rPr>
                <w:rFonts w:ascii="Arial" w:hAnsi="Arial" w:cs="Arial"/>
              </w:rPr>
            </w:pPr>
            <w:r w:rsidRPr="00D61F73">
              <w:rPr>
                <w:rFonts w:ascii="Arial" w:hAnsi="Arial" w:cs="Arial"/>
                <w:i/>
              </w:rPr>
              <w:t xml:space="preserve">Dosing: </w:t>
            </w:r>
            <w:r w:rsidRPr="00D61F73">
              <w:rPr>
                <w:rFonts w:ascii="Arial" w:hAnsi="Arial" w:cs="Arial"/>
              </w:rPr>
              <w:t>60 mg once a day as an off-label option for chronic pain syndromes. Dosage adjustment may be required in patients with renal insufficiency.</w:t>
            </w:r>
          </w:p>
          <w:p w14:paraId="762095FF" w14:textId="77777777" w:rsidR="008D0565" w:rsidRPr="00D61F73" w:rsidRDefault="00751163" w:rsidP="00D61F73">
            <w:pPr>
              <w:rPr>
                <w:rFonts w:ascii="Arial" w:hAnsi="Arial" w:cs="Arial"/>
              </w:rPr>
            </w:pPr>
            <w:hyperlink w:anchor="Venlafaxine" w:history="1">
              <w:r w:rsidR="008D0565" w:rsidRPr="00D61F73">
                <w:rPr>
                  <w:rStyle w:val="Hyperlink"/>
                  <w:rFonts w:ascii="Arial" w:hAnsi="Arial" w:cs="Arial"/>
                  <w:i/>
                </w:rPr>
                <w:t>V</w:t>
              </w:r>
              <w:bookmarkStart w:id="67" w:name="VenlafaxineListing"/>
              <w:bookmarkEnd w:id="67"/>
              <w:r w:rsidR="008D0565" w:rsidRPr="00D61F73">
                <w:rPr>
                  <w:rStyle w:val="Hyperlink"/>
                  <w:rFonts w:ascii="Arial" w:hAnsi="Arial" w:cs="Arial"/>
                  <w:i/>
                </w:rPr>
                <w:t>enlafaxine</w:t>
              </w:r>
            </w:hyperlink>
            <w:r w:rsidR="008D0565" w:rsidRPr="00D61F73">
              <w:rPr>
                <w:rFonts w:ascii="Arial" w:hAnsi="Arial" w:cs="Arial"/>
                <w:i/>
                <w:u w:val="single"/>
              </w:rPr>
              <w:t xml:space="preserve"> (Effexor®)</w:t>
            </w:r>
            <w:r w:rsidR="008D0565" w:rsidRPr="00D61F73">
              <w:rPr>
                <w:rFonts w:ascii="Arial" w:hAnsi="Arial" w:cs="Arial"/>
                <w:i/>
              </w:rPr>
              <w:t>:</w:t>
            </w:r>
            <w:r w:rsidR="008D0565" w:rsidRPr="00D61F73">
              <w:rPr>
                <w:rFonts w:ascii="Arial" w:hAnsi="Arial" w:cs="Arial"/>
              </w:rPr>
              <w:t xml:space="preserve"> FDA-approved for anxiety, depression, panic disorder and social phobias. Off-label use for fibromyalgia, neuropathic pain, and diabetic neuropathy.</w:t>
            </w:r>
          </w:p>
          <w:p w14:paraId="5B2744E1" w14:textId="77777777" w:rsidR="008D0565" w:rsidRPr="00D61F73" w:rsidRDefault="008D0565" w:rsidP="00D61F73">
            <w:pPr>
              <w:rPr>
                <w:rFonts w:ascii="Arial" w:hAnsi="Arial" w:cs="Arial"/>
                <w:i/>
              </w:rPr>
            </w:pPr>
            <w:r w:rsidRPr="00D61F73">
              <w:rPr>
                <w:rFonts w:ascii="Arial" w:hAnsi="Arial" w:cs="Arial"/>
                <w:i/>
              </w:rPr>
              <w:t>Side-effect profile:</w:t>
            </w:r>
            <w:r w:rsidRPr="00D61F73">
              <w:rPr>
                <w:rFonts w:ascii="Arial" w:hAnsi="Arial" w:cs="Arial"/>
              </w:rPr>
              <w:t xml:space="preserve"> CNS: (≥ 5%) drowsiness, weakness, dizziness, dry </w:t>
            </w:r>
            <w:r w:rsidRPr="00D61F73">
              <w:rPr>
                <w:rFonts w:ascii="Arial" w:hAnsi="Arial" w:cs="Arial"/>
              </w:rPr>
              <w:lastRenderedPageBreak/>
              <w:t>mouth, insomnia, nervousness/anxiety (13/6% vs. 6/3%), tremor, headache, seizures. GI: N&amp;V, constipation, weight loss (2-18%). Pre-existing hypertension should be controlled. Cholesterol may be increased (5%). Sexual dysfunction has also been noted. (</w:t>
            </w:r>
            <w:hyperlink w:anchor="Maizels" w:history="1">
              <w:r w:rsidRPr="00D61F73">
                <w:rPr>
                  <w:rStyle w:val="Hyperlink"/>
                  <w:rFonts w:ascii="Arial" w:hAnsi="Arial" w:cs="Arial"/>
                </w:rPr>
                <w:t>Maizels, 2005</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w:t>
            </w:r>
          </w:p>
          <w:p w14:paraId="0C8A65A6" w14:textId="77777777" w:rsidR="008D0565" w:rsidRPr="00D61F73" w:rsidRDefault="008D0565" w:rsidP="00D61F73">
            <w:pPr>
              <w:rPr>
                <w:rFonts w:ascii="Arial" w:hAnsi="Arial" w:cs="Arial"/>
              </w:rPr>
            </w:pPr>
            <w:r w:rsidRPr="00D61F73">
              <w:rPr>
                <w:rFonts w:ascii="Arial" w:hAnsi="Arial" w:cs="Arial"/>
                <w:i/>
              </w:rPr>
              <w:t>Dosing: Neuropathic pain (off-label indication):</w:t>
            </w:r>
            <w:r w:rsidRPr="00D61F73">
              <w:rPr>
                <w:rFonts w:ascii="Arial" w:hAnsi="Arial" w:cs="Arial"/>
              </w:rPr>
              <w:t xml:space="preserve"> 37.5 mg once daily, increase by 37.5 mg per week up to 300 mg daily. (</w:t>
            </w:r>
            <w:hyperlink w:anchor="Maizels" w:history="1">
              <w:r w:rsidRPr="00D61F73">
                <w:rPr>
                  <w:rStyle w:val="Hyperlink"/>
                  <w:rFonts w:ascii="Arial" w:hAnsi="Arial" w:cs="Arial"/>
                </w:rPr>
                <w:t>Maizels, 2005</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 xml:space="preserve">) </w:t>
            </w:r>
            <w:r w:rsidRPr="00D61F73">
              <w:rPr>
                <w:rFonts w:ascii="Arial" w:hAnsi="Arial" w:cs="Arial"/>
                <w:i/>
              </w:rPr>
              <w:t>Trial period:</w:t>
            </w:r>
            <w:r w:rsidRPr="00D61F73">
              <w:rPr>
                <w:rFonts w:ascii="Arial" w:hAnsi="Arial" w:cs="Arial"/>
              </w:rPr>
              <w:t xml:space="preserve"> Some relief may occur in first two weeks; full benefit may not occur until six weeks. Withdrawal effects can be severe. Abrupt discontinuation should be avoided and tapering is recommended before discontinuation.</w:t>
            </w:r>
          </w:p>
          <w:p w14:paraId="346A5916" w14:textId="77777777" w:rsidR="008D0565" w:rsidRPr="00D61F73" w:rsidRDefault="008D0565" w:rsidP="00D61F73">
            <w:pPr>
              <w:rPr>
                <w:rFonts w:ascii="Arial" w:hAnsi="Arial" w:cs="Arial"/>
              </w:rPr>
            </w:pPr>
            <w:r w:rsidRPr="00D61F73">
              <w:rPr>
                <w:rFonts w:ascii="Arial" w:hAnsi="Arial" w:cs="Arial"/>
                <w:b/>
                <w:i/>
                <w:u w:val="single"/>
              </w:rPr>
              <w:t>B</w:t>
            </w:r>
            <w:bookmarkStart w:id="68" w:name="BupropionListing"/>
            <w:bookmarkEnd w:id="68"/>
            <w:r w:rsidRPr="00D61F73">
              <w:rPr>
                <w:rFonts w:ascii="Arial" w:hAnsi="Arial" w:cs="Arial"/>
                <w:b/>
                <w:i/>
                <w:u w:val="single"/>
              </w:rPr>
              <w:t>upropion (Wellbutrin®)</w:t>
            </w:r>
            <w:r w:rsidRPr="00D61F73">
              <w:rPr>
                <w:rFonts w:ascii="Arial" w:hAnsi="Arial" w:cs="Arial"/>
                <w:i/>
              </w:rPr>
              <w:t>,</w:t>
            </w:r>
            <w:r w:rsidRPr="00D61F73">
              <w:rPr>
                <w:rFonts w:ascii="Arial" w:hAnsi="Arial" w:cs="Arial"/>
              </w:rPr>
              <w:t xml:space="preserve"> a second-generation non-tricyclic antidepressant (a noradrenaline and dopamine reuptake inhibitor) has been shown to be effective in relieving neuropathic pain of different etiologies in a small trial (41 patients). (</w:t>
            </w:r>
            <w:hyperlink w:anchor="Finnerup" w:history="1">
              <w:r w:rsidRPr="00D61F73">
                <w:rPr>
                  <w:rStyle w:val="Hyperlink"/>
                  <w:rFonts w:ascii="Arial" w:hAnsi="Arial" w:cs="Arial"/>
                </w:rPr>
                <w:t>Finnerup, 2005</w:t>
              </w:r>
            </w:hyperlink>
            <w:r w:rsidRPr="00D61F73">
              <w:rPr>
                <w:rFonts w:ascii="Arial" w:hAnsi="Arial" w:cs="Arial"/>
              </w:rPr>
              <w:t>) While bupropion has shown some efficacy in neuropathic pain there is no evidence of efficacy in patients with non-neuropathic chronic low back pain. (</w:t>
            </w:r>
            <w:hyperlink w:anchor="Katz" w:history="1">
              <w:r w:rsidRPr="00D61F73">
                <w:rPr>
                  <w:rStyle w:val="Hyperlink"/>
                  <w:rFonts w:ascii="Arial" w:hAnsi="Arial" w:cs="Arial"/>
                </w:rPr>
                <w:t>Katz, 2005</w:t>
              </w:r>
            </w:hyperlink>
            <w:r w:rsidRPr="00D61F73">
              <w:rPr>
                <w:rFonts w:ascii="Arial" w:hAnsi="Arial" w:cs="Arial"/>
              </w:rPr>
              <w:t>) Furthermore, a recent review suggested that bupropion is generally a third-line medication for diabetic neuropathy and may be considered when patients have not had a response to a tricyclic or SNRI. (</w:t>
            </w:r>
            <w:hyperlink w:anchor="Dworkin2" w:history="1">
              <w:r w:rsidRPr="00D61F73">
                <w:rPr>
                  <w:rStyle w:val="Hyperlink"/>
                  <w:rFonts w:ascii="Arial" w:hAnsi="Arial" w:cs="Arial"/>
                </w:rPr>
                <w:t>Dworkin, 2007</w:t>
              </w:r>
            </w:hyperlink>
            <w:r w:rsidRPr="00D61F73">
              <w:rPr>
                <w:rFonts w:ascii="Arial" w:hAnsi="Arial" w:cs="Arial"/>
              </w:rPr>
              <w:t>)</w:t>
            </w:r>
          </w:p>
          <w:p w14:paraId="6EE87B47" w14:textId="77777777" w:rsidR="008D0565" w:rsidRPr="00D61F73" w:rsidRDefault="008D0565" w:rsidP="00D61F73">
            <w:pPr>
              <w:rPr>
                <w:rFonts w:ascii="Arial" w:hAnsi="Arial" w:cs="Arial"/>
              </w:rPr>
            </w:pPr>
            <w:r w:rsidRPr="00D61F73">
              <w:rPr>
                <w:rFonts w:ascii="Arial" w:hAnsi="Arial" w:cs="Arial"/>
                <w:i/>
              </w:rPr>
              <w:t>Side-effect profile:</w:t>
            </w:r>
            <w:r w:rsidRPr="00D61F73">
              <w:rPr>
                <w:rFonts w:ascii="Arial" w:hAnsi="Arial" w:cs="Arial"/>
              </w:rPr>
              <w:t xml:space="preserve"> Headache, agitation, insomnia, anorexia, weight loss</w:t>
            </w:r>
          </w:p>
          <w:p w14:paraId="67CE4E46" w14:textId="77777777" w:rsidR="008D0565" w:rsidRPr="00D61F73" w:rsidRDefault="008D0565" w:rsidP="00D61F73">
            <w:pPr>
              <w:rPr>
                <w:rFonts w:ascii="Arial" w:hAnsi="Arial" w:cs="Arial"/>
                <w:b/>
                <w:i/>
                <w:u w:val="single"/>
              </w:rPr>
            </w:pPr>
            <w:r w:rsidRPr="00D61F73">
              <w:rPr>
                <w:rFonts w:ascii="Arial" w:hAnsi="Arial" w:cs="Arial"/>
                <w:i/>
              </w:rPr>
              <w:t>Dosing Information: Neuropathic pain (off-label indication):</w:t>
            </w:r>
            <w:r w:rsidRPr="00D61F73">
              <w:rPr>
                <w:rFonts w:ascii="Arial" w:hAnsi="Arial" w:cs="Arial"/>
              </w:rPr>
              <w:t xml:space="preserve"> 100 mg once daily, increase by 100 mg per week up to 200 mg twice daily. (</w:t>
            </w:r>
            <w:hyperlink w:anchor="Maizels" w:history="1">
              <w:r w:rsidRPr="00D61F73">
                <w:rPr>
                  <w:rStyle w:val="Hyperlink"/>
                  <w:rFonts w:ascii="Arial" w:hAnsi="Arial" w:cs="Arial"/>
                </w:rPr>
                <w:t>Maizels, 2005</w:t>
              </w:r>
            </w:hyperlink>
            <w:r w:rsidRPr="00D61F73">
              <w:rPr>
                <w:rFonts w:ascii="Arial" w:hAnsi="Arial" w:cs="Arial"/>
              </w:rPr>
              <w:t>)</w:t>
            </w:r>
          </w:p>
          <w:p w14:paraId="709DBA74" w14:textId="77777777" w:rsidR="008D0565" w:rsidRPr="00D61F73" w:rsidRDefault="008D0565" w:rsidP="00D61F73">
            <w:pPr>
              <w:rPr>
                <w:rFonts w:ascii="Arial" w:hAnsi="Arial" w:cs="Arial"/>
              </w:rPr>
            </w:pPr>
            <w:r w:rsidRPr="00D61F73">
              <w:rPr>
                <w:rFonts w:ascii="Arial" w:hAnsi="Arial" w:cs="Arial"/>
                <w:b/>
                <w:i/>
                <w:u w:val="single"/>
              </w:rPr>
              <w:t>S</w:t>
            </w:r>
            <w:bookmarkStart w:id="69" w:name="SSRIListing"/>
            <w:bookmarkEnd w:id="69"/>
            <w:r w:rsidRPr="00D61F73">
              <w:rPr>
                <w:rFonts w:ascii="Arial" w:hAnsi="Arial" w:cs="Arial"/>
                <w:b/>
                <w:i/>
                <w:u w:val="single"/>
              </w:rPr>
              <w:t>elective serotonin reuptake inhibitors (SSRIs)</w:t>
            </w:r>
            <w:r w:rsidRPr="00D61F73">
              <w:rPr>
                <w:rFonts w:ascii="Arial" w:hAnsi="Arial" w:cs="Arial"/>
              </w:rPr>
              <w:t>, a class of antidepressants that inhibit serotonin reuptake without action on noradrenaline, are controversial based on controlled trials. (</w:t>
            </w:r>
            <w:hyperlink w:anchor="Finnerup" w:history="1">
              <w:r w:rsidRPr="00D61F73">
                <w:rPr>
                  <w:rStyle w:val="Hyperlink"/>
                  <w:rFonts w:ascii="Arial" w:hAnsi="Arial" w:cs="Arial"/>
                </w:rPr>
                <w:t>Finnerup, 2005</w:t>
              </w:r>
            </w:hyperlink>
            <w:r w:rsidRPr="00D61F73">
              <w:rPr>
                <w:rFonts w:ascii="Arial" w:hAnsi="Arial" w:cs="Arial"/>
              </w:rPr>
              <w:t>) (</w:t>
            </w:r>
            <w:hyperlink w:anchor="Saarto" w:history="1">
              <w:r w:rsidRPr="00D61F73">
                <w:rPr>
                  <w:rStyle w:val="Hyperlink"/>
                  <w:rFonts w:ascii="Arial" w:hAnsi="Arial" w:cs="Arial"/>
                </w:rPr>
                <w:t>Saarto-</w:t>
              </w:r>
              <w:r w:rsidRPr="00D61F73">
                <w:rPr>
                  <w:rStyle w:val="Hyperlink"/>
                  <w:rFonts w:ascii="Arial" w:hAnsi="Arial" w:cs="Arial"/>
                  <w:i/>
                  <w:iCs/>
                </w:rPr>
                <w:t>Cochrane</w:t>
              </w:r>
              <w:r w:rsidRPr="00D61F73">
                <w:rPr>
                  <w:rStyle w:val="Hyperlink"/>
                  <w:rFonts w:ascii="Arial" w:hAnsi="Arial" w:cs="Arial"/>
                </w:rPr>
                <w:t>, 2005</w:t>
              </w:r>
            </w:hyperlink>
            <w:r w:rsidRPr="00D61F73">
              <w:rPr>
                <w:rFonts w:ascii="Arial" w:hAnsi="Arial" w:cs="Arial"/>
              </w:rPr>
              <w:t>) It has been suggested that the main role of SSRIs may be in addressing psychological symptoms associated with chronic pain. (</w:t>
            </w:r>
            <w:hyperlink w:anchor="Namaka" w:history="1">
              <w:r w:rsidRPr="00D61F73">
                <w:rPr>
                  <w:rStyle w:val="Hyperlink"/>
                  <w:rFonts w:ascii="Arial" w:hAnsi="Arial" w:cs="Arial"/>
                </w:rPr>
                <w:t>Namaka, 2004</w:t>
              </w:r>
            </w:hyperlink>
            <w:r w:rsidRPr="00D61F73">
              <w:rPr>
                <w:rFonts w:ascii="Arial" w:hAnsi="Arial" w:cs="Arial"/>
              </w:rPr>
              <w:t>) More information is needed regarding the role of SSRIs and pain.</w:t>
            </w:r>
          </w:p>
          <w:p w14:paraId="6E06EAF9" w14:textId="6FD7081D" w:rsidR="008D0565" w:rsidRPr="00D61F73" w:rsidRDefault="008D0565" w:rsidP="00D61F73">
            <w:pPr>
              <w:rPr>
                <w:rFonts w:ascii="Arial" w:hAnsi="Arial" w:cs="Arial"/>
              </w:rPr>
            </w:pPr>
            <w:r w:rsidRPr="00D61F73">
              <w:rPr>
                <w:rFonts w:ascii="Arial" w:hAnsi="Arial" w:cs="Arial"/>
                <w:i/>
              </w:rPr>
              <w:t xml:space="preserve">Side Effects: Bleeding: </w:t>
            </w:r>
            <w:r w:rsidRPr="00D61F73">
              <w:rPr>
                <w:rFonts w:ascii="Arial" w:hAnsi="Arial" w:cs="Arial"/>
              </w:rPr>
              <w:t>An association has been found between the use of SSRI antidepressants and gastrointestinal bleeding. This risk is increased with the concomitant use of ASA or NSAIDs. It is suggested that the increased risk for GI bleeding be discussed with patients that have other risks for GI bleeding. An association with increased intraoperative blood loss has also been found with SSRI use. (Movig, 2003) A treatment option for those at risk for bleeding includes switching to an antidepressant with a lower degree of inhibition of serotonin reuptake (Intermediate reuptake: venlafaxine, amitriptyline, imipramine, citalopram; Low reuptake: desipramine, doxepin, trazodone, bupropion, mirtazapine). SSRIs with the highest degree of inhibition of serotonin reuptake include paroxetine, sertraline, and fluoxetine. (</w:t>
            </w:r>
            <w:hyperlink w:anchor="Looper" w:history="1">
              <w:r w:rsidRPr="000537B4">
                <w:rPr>
                  <w:rStyle w:val="Hyperlink"/>
                  <w:rFonts w:ascii="Arial" w:hAnsi="Arial" w:cs="Arial"/>
                </w:rPr>
                <w:t>Looper, 2007)</w:t>
              </w:r>
            </w:hyperlink>
          </w:p>
        </w:tc>
      </w:tr>
      <w:tr w:rsidR="008D0565" w:rsidRPr="00D61F73" w14:paraId="4A1CEEA1" w14:textId="77777777" w:rsidTr="004A2158">
        <w:tc>
          <w:tcPr>
            <w:tcW w:w="1086" w:type="pct"/>
            <w:shd w:val="clear" w:color="auto" w:fill="auto"/>
          </w:tcPr>
          <w:p w14:paraId="08FB6974" w14:textId="77777777" w:rsidR="008D0565" w:rsidRPr="00D61F73" w:rsidRDefault="008D0565" w:rsidP="00D61F73">
            <w:pPr>
              <w:rPr>
                <w:rFonts w:ascii="Arial" w:hAnsi="Arial" w:cs="Arial"/>
              </w:rPr>
            </w:pPr>
            <w:r w:rsidRPr="00D61F73">
              <w:rPr>
                <w:rFonts w:ascii="Arial" w:hAnsi="Arial" w:cs="Arial"/>
              </w:rPr>
              <w:lastRenderedPageBreak/>
              <w:t>A</w:t>
            </w:r>
            <w:bookmarkStart w:id="70" w:name="Antiemetics"/>
            <w:bookmarkEnd w:id="70"/>
            <w:r w:rsidRPr="00D61F73">
              <w:rPr>
                <w:rFonts w:ascii="Arial" w:hAnsi="Arial" w:cs="Arial"/>
              </w:rPr>
              <w:t>ntiemetics (for opioid nausea)</w:t>
            </w:r>
          </w:p>
          <w:p w14:paraId="30094BA0" w14:textId="77777777" w:rsidR="004B6E4E" w:rsidRPr="00D61F73" w:rsidRDefault="004B6E4E" w:rsidP="00D61F73">
            <w:pPr>
              <w:rPr>
                <w:rFonts w:ascii="Arial" w:hAnsi="Arial" w:cs="Arial"/>
                <w:u w:val="single"/>
              </w:rPr>
            </w:pPr>
          </w:p>
          <w:p w14:paraId="6FA713B6" w14:textId="77777777" w:rsidR="004B6E4E" w:rsidRPr="00D61F73" w:rsidRDefault="004B6E4E" w:rsidP="00D61F73">
            <w:pPr>
              <w:rPr>
                <w:rFonts w:ascii="Arial" w:hAnsi="Arial" w:cs="Arial"/>
                <w:u w:val="single"/>
              </w:rPr>
            </w:pPr>
          </w:p>
        </w:tc>
        <w:tc>
          <w:tcPr>
            <w:tcW w:w="3914" w:type="pct"/>
            <w:shd w:val="clear" w:color="auto" w:fill="auto"/>
          </w:tcPr>
          <w:p w14:paraId="77AC1E1B" w14:textId="65359B2E" w:rsidR="008D0565" w:rsidRPr="00D61F73" w:rsidRDefault="008D0565" w:rsidP="00D61F73">
            <w:pPr>
              <w:rPr>
                <w:rFonts w:ascii="Arial" w:hAnsi="Arial" w:cs="Arial"/>
                <w:color w:val="auto"/>
              </w:rPr>
            </w:pPr>
            <w:r w:rsidRPr="00D61F73">
              <w:rPr>
                <w:rFonts w:ascii="Arial" w:hAnsi="Arial" w:cs="Arial"/>
              </w:rPr>
              <w:lastRenderedPageBreak/>
              <w:t xml:space="preserve">Not recommended for nausea and vomiting secondary to chronic opioid use. Recommended for acute use as noted below per FDA-approved indications. Nausea and vomiting is common with use of opioids. These </w:t>
            </w:r>
            <w:r w:rsidRPr="00D61F73">
              <w:rPr>
                <w:rFonts w:ascii="Arial" w:hAnsi="Arial" w:cs="Arial"/>
              </w:rPr>
              <w:lastRenderedPageBreak/>
              <w:t xml:space="preserve">side effects tend to diminish over days to weeks of continued exposure. Studies of opioid adverse effects including nausea and vomiting are limited to short-term duration (less than four weeks) and have limited application to long-term use. If nausea and vomiting remains prolonged, other etiologies of these symptoms should be evaluated for. The differential diagnosis includes gastroparesis (primarily due </w:t>
            </w:r>
            <w:r w:rsidRPr="00D61F73">
              <w:rPr>
                <w:rFonts w:ascii="Arial" w:hAnsi="Arial" w:cs="Arial"/>
                <w:color w:val="auto"/>
              </w:rPr>
              <w:t>to diabetes). Current research for treatment of nausea and vomiting as related to opioid use primarily addresses the use of antiemetics in patients with cancer pain or those utilizing opioids for acute/postoperative therapy. Recommendations based on these studies cannot be extrapolated to chronic non-malignant pain patients. There is no high-quality literature to support any one treatment for opioid-induced nausea in chronic non-malignant pain patients. (</w:t>
            </w:r>
            <w:hyperlink w:anchor="Moore2005" w:history="1">
              <w:r w:rsidRPr="00D61F73">
                <w:rPr>
                  <w:rStyle w:val="Hyperlink"/>
                  <w:rFonts w:ascii="Arial" w:hAnsi="Arial" w:cs="Arial"/>
                </w:rPr>
                <w:t>Moore 2005</w:t>
              </w:r>
            </w:hyperlink>
            <w:r w:rsidRPr="00D61F73">
              <w:rPr>
                <w:rFonts w:ascii="Arial" w:hAnsi="Arial" w:cs="Arial"/>
                <w:color w:val="auto"/>
              </w:rPr>
              <w:t>)</w:t>
            </w:r>
          </w:p>
          <w:p w14:paraId="210BEEB7" w14:textId="77777777" w:rsidR="008D0565" w:rsidRPr="00D61F73" w:rsidRDefault="008D0565" w:rsidP="00D61F73">
            <w:pPr>
              <w:rPr>
                <w:rFonts w:ascii="Arial" w:hAnsi="Arial" w:cs="Arial"/>
              </w:rPr>
            </w:pPr>
            <w:r w:rsidRPr="00D61F73">
              <w:rPr>
                <w:rFonts w:ascii="Arial" w:hAnsi="Arial" w:cs="Arial"/>
                <w:i/>
                <w:color w:val="auto"/>
              </w:rPr>
              <w:t xml:space="preserve">Promethazine (Phenergan®): </w:t>
            </w:r>
            <w:r w:rsidRPr="00D61F73">
              <w:rPr>
                <w:rFonts w:ascii="Arial" w:hAnsi="Arial" w:cs="Arial"/>
                <w:color w:val="auto"/>
              </w:rPr>
              <w:t>This drug is a phenothiazine. It is recommended as a sedative and antiemetic in pre-operative and post-operative situations.</w:t>
            </w:r>
            <w:r w:rsidRPr="00D61F73">
              <w:rPr>
                <w:rFonts w:ascii="Arial" w:hAnsi="Arial" w:cs="Arial"/>
              </w:rPr>
              <w:t xml:space="preserve"> Multiple central nervous system effects are noted with use including somnolence, confusion and sedation. Tardive dsykensia is also associated with use. This is characterized by involuntary movements of the tongue, mouth, jaw, and/or face. Choreoathetoid movements of the extremities can also occur. Development appears to be associated with prolonged treatment and in some cases can be irreversible. Anticholinergic effects can occur (dry mouth, dry eyes, urinary retention and ileus). </w:t>
            </w:r>
          </w:p>
          <w:p w14:paraId="61D1B486" w14:textId="77777777" w:rsidR="008D0565" w:rsidRPr="00D61F73" w:rsidRDefault="008D0565" w:rsidP="00D61F73">
            <w:pPr>
              <w:rPr>
                <w:rFonts w:ascii="Arial" w:hAnsi="Arial" w:cs="Arial"/>
              </w:rPr>
            </w:pPr>
            <w:r w:rsidRPr="00D61F73">
              <w:rPr>
                <w:rFonts w:ascii="Arial" w:hAnsi="Arial" w:cs="Arial"/>
                <w:i/>
                <w:color w:val="auto"/>
              </w:rPr>
              <w:t>Ondansetron (Zofran®)</w:t>
            </w:r>
            <w:r w:rsidRPr="00D61F73">
              <w:rPr>
                <w:rFonts w:ascii="Arial" w:hAnsi="Arial" w:cs="Arial"/>
                <w:color w:val="auto"/>
              </w:rPr>
              <w:t>: This drug is a serotonin 5-HT3 receptor antagonist. It is FDA-approved for nausea and vomiting secondary to chemotherapy and radiation treatment. It is also FDA-approved for postoperative use. Acute</w:t>
            </w:r>
            <w:r w:rsidRPr="00D61F73">
              <w:rPr>
                <w:rFonts w:ascii="Arial" w:hAnsi="Arial" w:cs="Arial"/>
              </w:rPr>
              <w:t xml:space="preserve"> use is FDA-approved for gastroenteritis.</w:t>
            </w:r>
          </w:p>
          <w:p w14:paraId="450774E9" w14:textId="77777777" w:rsidR="008D0565" w:rsidRPr="00D61F73" w:rsidRDefault="008D0565" w:rsidP="00D61F73">
            <w:pPr>
              <w:rPr>
                <w:rFonts w:ascii="Arial" w:hAnsi="Arial" w:cs="Arial"/>
              </w:rPr>
            </w:pPr>
            <w:r w:rsidRPr="00D61F73">
              <w:rPr>
                <w:rFonts w:ascii="Arial" w:hAnsi="Arial" w:cs="Arial"/>
              </w:rPr>
              <w:t xml:space="preserve">See also </w:t>
            </w:r>
            <w:hyperlink w:anchor="Nabilone" w:history="1">
              <w:r w:rsidRPr="00D61F73">
                <w:rPr>
                  <w:rStyle w:val="Hyperlink"/>
                  <w:rFonts w:ascii="Arial" w:hAnsi="Arial" w:cs="Arial"/>
                </w:rPr>
                <w:t>Nabilone</w:t>
              </w:r>
            </w:hyperlink>
            <w:r w:rsidRPr="00D61F73">
              <w:rPr>
                <w:rFonts w:ascii="Arial" w:hAnsi="Arial" w:cs="Arial"/>
              </w:rPr>
              <w:t xml:space="preserve"> (Cesamet®), for chemotherapy-induced nausea, but not pain.</w:t>
            </w:r>
          </w:p>
        </w:tc>
      </w:tr>
      <w:tr w:rsidR="008D0565" w:rsidRPr="00D61F73" w14:paraId="05F5CE1D" w14:textId="77777777" w:rsidTr="004A2158">
        <w:tc>
          <w:tcPr>
            <w:tcW w:w="1086" w:type="pct"/>
            <w:shd w:val="clear" w:color="auto" w:fill="auto"/>
          </w:tcPr>
          <w:p w14:paraId="52FB641D" w14:textId="77777777" w:rsidR="008D0565" w:rsidRPr="00D61F73" w:rsidRDefault="008D0565" w:rsidP="00D61F73">
            <w:pPr>
              <w:rPr>
                <w:rFonts w:ascii="Arial" w:hAnsi="Arial" w:cs="Arial"/>
              </w:rPr>
            </w:pPr>
            <w:r w:rsidRPr="00D61F73">
              <w:rPr>
                <w:rFonts w:ascii="Arial" w:hAnsi="Arial" w:cs="Arial"/>
              </w:rPr>
              <w:lastRenderedPageBreak/>
              <w:t>A</w:t>
            </w:r>
            <w:bookmarkStart w:id="71" w:name="Antiepilepsydrugs"/>
            <w:bookmarkEnd w:id="71"/>
            <w:r w:rsidRPr="00D61F73">
              <w:rPr>
                <w:rFonts w:ascii="Arial" w:hAnsi="Arial" w:cs="Arial"/>
              </w:rPr>
              <w:t>nti-epilepsy drugs (AEDs) for pain</w:t>
            </w:r>
            <w:r w:rsidR="00A309D8" w:rsidRPr="00D61F73">
              <w:rPr>
                <w:rFonts w:ascii="Arial" w:hAnsi="Arial" w:cs="Arial"/>
              </w:rPr>
              <w:t xml:space="preserve"> </w:t>
            </w:r>
          </w:p>
        </w:tc>
        <w:tc>
          <w:tcPr>
            <w:tcW w:w="3914" w:type="pct"/>
            <w:shd w:val="clear" w:color="auto" w:fill="auto"/>
          </w:tcPr>
          <w:p w14:paraId="113C8D45" w14:textId="3D22C1BE" w:rsidR="008D0565" w:rsidRPr="00D61F73" w:rsidRDefault="008D0565" w:rsidP="00D61F73">
            <w:pPr>
              <w:rPr>
                <w:rFonts w:ascii="Arial" w:hAnsi="Arial" w:cs="Arial"/>
                <w:i/>
                <w:iCs/>
              </w:rPr>
            </w:pPr>
            <w:r w:rsidRPr="00D61F73">
              <w:rPr>
                <w:rFonts w:ascii="Arial" w:hAnsi="Arial" w:cs="Arial"/>
                <w:i/>
                <w:iCs/>
              </w:rPr>
              <w:t xml:space="preserve">Anti-epilepsy drugs (AEDs) are also referred to as anti-convulsants. </w:t>
            </w:r>
          </w:p>
          <w:p w14:paraId="5B0456A6" w14:textId="77777777" w:rsidR="008D0565" w:rsidRPr="00D61F73" w:rsidRDefault="008D0565" w:rsidP="00D61F73">
            <w:pPr>
              <w:rPr>
                <w:rFonts w:ascii="Arial" w:hAnsi="Arial" w:cs="Arial"/>
              </w:rPr>
            </w:pPr>
            <w:r w:rsidRPr="00D61F73">
              <w:rPr>
                <w:rFonts w:ascii="Arial" w:hAnsi="Arial" w:cs="Arial"/>
              </w:rPr>
              <w:t xml:space="preserve">Recommended for </w:t>
            </w:r>
            <w:r w:rsidR="00111AD1" w:rsidRPr="00D61F73">
              <w:rPr>
                <w:rFonts w:ascii="Arial" w:hAnsi="Arial" w:cs="Arial"/>
              </w:rPr>
              <w:t xml:space="preserve">some </w:t>
            </w:r>
            <w:r w:rsidRPr="00D61F73">
              <w:rPr>
                <w:rFonts w:ascii="Arial" w:hAnsi="Arial" w:cs="Arial"/>
              </w:rPr>
              <w:t>neuropathic pain (pain due to nerve damage), but not for acute nociceptive pain (including somatic pain). (</w:t>
            </w:r>
            <w:hyperlink w:anchor="Gilron2006" w:history="1">
              <w:r w:rsidRPr="00D61F73">
                <w:rPr>
                  <w:rStyle w:val="Hyperlink"/>
                  <w:rFonts w:ascii="Arial" w:hAnsi="Arial" w:cs="Arial"/>
                </w:rPr>
                <w:t>Gilron, 2006</w:t>
              </w:r>
            </w:hyperlink>
            <w:r w:rsidRPr="00D61F73">
              <w:rPr>
                <w:rFonts w:ascii="Arial" w:hAnsi="Arial" w:cs="Arial"/>
              </w:rPr>
              <w:t>) (</w:t>
            </w:r>
            <w:hyperlink w:anchor="Wolfe2004" w:history="1">
              <w:r w:rsidRPr="00D61F73">
                <w:rPr>
                  <w:rStyle w:val="Hyperlink"/>
                  <w:rFonts w:ascii="Arial" w:hAnsi="Arial" w:cs="Arial"/>
                </w:rPr>
                <w:t>Wolfe, 2004</w:t>
              </w:r>
            </w:hyperlink>
            <w:r w:rsidRPr="00D61F73">
              <w:rPr>
                <w:rFonts w:ascii="Arial" w:hAnsi="Arial" w:cs="Arial"/>
              </w:rPr>
              <w:t>) (</w:t>
            </w:r>
            <w:hyperlink w:anchor="Washington2" w:history="1">
              <w:r w:rsidRPr="00D61F73">
                <w:rPr>
                  <w:rStyle w:val="Hyperlink"/>
                  <w:rFonts w:ascii="Arial" w:hAnsi="Arial" w:cs="Arial"/>
                </w:rPr>
                <w:t>Washington, 2005</w:t>
              </w:r>
            </w:hyperlink>
            <w:r w:rsidRPr="00D61F73">
              <w:rPr>
                <w:rFonts w:ascii="Arial" w:hAnsi="Arial" w:cs="Arial"/>
              </w:rPr>
              <w:t>) (</w:t>
            </w:r>
            <w:hyperlink w:anchor="ICSI" w:history="1">
              <w:r w:rsidRPr="00D61F73">
                <w:rPr>
                  <w:rStyle w:val="Hyperlink"/>
                  <w:rFonts w:ascii="Arial" w:hAnsi="Arial" w:cs="Arial"/>
                </w:rPr>
                <w:t>ICSI, 2005</w:t>
              </w:r>
            </w:hyperlink>
            <w:r w:rsidRPr="00D61F73">
              <w:rPr>
                <w:rFonts w:ascii="Arial" w:hAnsi="Arial" w:cs="Arial"/>
              </w:rPr>
              <w:t>) (</w:t>
            </w:r>
            <w:hyperlink w:anchor="Wiffen"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2005</w:t>
              </w:r>
            </w:hyperlink>
            <w:r w:rsidRPr="00D61F73">
              <w:rPr>
                <w:rFonts w:ascii="Arial" w:hAnsi="Arial" w:cs="Arial"/>
              </w:rPr>
              <w:t>) (</w:t>
            </w:r>
            <w:hyperlink w:anchor="Attal" w:history="1">
              <w:r w:rsidRPr="00D61F73">
                <w:rPr>
                  <w:rStyle w:val="Hyperlink"/>
                  <w:rFonts w:ascii="Arial" w:hAnsi="Arial" w:cs="Arial"/>
                </w:rPr>
                <w:t>Attal, 2006</w:t>
              </w:r>
            </w:hyperlink>
            <w:r w:rsidRPr="00D61F73">
              <w:rPr>
                <w:rFonts w:ascii="Arial" w:hAnsi="Arial" w:cs="Arial"/>
              </w:rPr>
              <w:t>) (</w:t>
            </w:r>
            <w:hyperlink w:anchor="Wiffen3"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 (</w:t>
            </w:r>
            <w:hyperlink w:anchor="Gilron2007" w:history="1">
              <w:r w:rsidRPr="00D61F73">
                <w:rPr>
                  <w:rStyle w:val="Hyperlink"/>
                  <w:rFonts w:ascii="Arial" w:hAnsi="Arial" w:cs="Arial"/>
                </w:rPr>
                <w:t>Gilron, 2007</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 (</w:t>
            </w:r>
            <w:hyperlink w:anchor="Finnerup2" w:history="1">
              <w:r w:rsidRPr="00D61F73">
                <w:rPr>
                  <w:rStyle w:val="Hyperlink"/>
                  <w:rFonts w:ascii="Arial" w:hAnsi="Arial" w:cs="Arial"/>
                </w:rPr>
                <w:t>Finnerup, 2007</w:t>
              </w:r>
            </w:hyperlink>
            <w:r w:rsidRPr="00D61F73">
              <w:rPr>
                <w:rFonts w:ascii="Arial" w:hAnsi="Arial" w:cs="Arial"/>
              </w:rPr>
              <w:t xml:space="preserve">) </w:t>
            </w:r>
            <w:r w:rsidR="00111AD1" w:rsidRPr="00D61F73">
              <w:rPr>
                <w:rFonts w:ascii="Arial" w:hAnsi="Arial" w:cs="Arial"/>
              </w:rPr>
              <w:t>(</w:t>
            </w:r>
            <w:hyperlink w:anchor="WIFFEN2013SUMMARY" w:history="1">
              <w:r w:rsidR="00853B3D" w:rsidRPr="00D61F73">
                <w:rPr>
                  <w:rStyle w:val="Hyperlink"/>
                  <w:rFonts w:ascii="Arial" w:hAnsi="Arial" w:cs="Arial"/>
                </w:rPr>
                <w:t>Wiffen-Cochrane, 2013</w:t>
              </w:r>
            </w:hyperlink>
            <w:r w:rsidR="00111AD1" w:rsidRPr="00D61F73">
              <w:rPr>
                <w:rFonts w:ascii="Arial" w:hAnsi="Arial" w:cs="Arial"/>
              </w:rPr>
              <w:t xml:space="preserve">) </w:t>
            </w:r>
            <w:r w:rsidRPr="00D61F73">
              <w:rPr>
                <w:rFonts w:ascii="Arial" w:hAnsi="Arial" w:cs="Arial"/>
              </w:rPr>
              <w:t>There is a lack of expert consensus on the treatment of neuropathic pain in general due to heterogeneous etiologies, symptoms, physical signs and mechanisms. Most randomized controlled trials (RCTs) for the use of this class of medication for neuropathic pain have been directed at postherpetic neuralgia and painful polyneuropathy (with diabetic polyneuropathy being the most common example). There are few RCTs directed at central pain and none for painful radiculopathy. (</w:t>
            </w:r>
            <w:hyperlink w:anchor="Attal" w:history="1">
              <w:r w:rsidRPr="00D61F73">
                <w:rPr>
                  <w:rStyle w:val="Hyperlink"/>
                  <w:rFonts w:ascii="Arial" w:hAnsi="Arial" w:cs="Arial"/>
                </w:rPr>
                <w:t>Attal, 2006</w:t>
              </w:r>
            </w:hyperlink>
            <w:r w:rsidRPr="00D61F73">
              <w:rPr>
                <w:rFonts w:ascii="Arial" w:hAnsi="Arial" w:cs="Arial"/>
              </w:rPr>
              <w:t xml:space="preserve">) The choice of specific agents reviewed below will depend on the balance between effectiveness and adverse reactions. See also specific drug listings below: </w:t>
            </w:r>
            <w:hyperlink w:anchor="GabapentinListing" w:history="1">
              <w:r w:rsidRPr="00D61F73">
                <w:rPr>
                  <w:rStyle w:val="Hyperlink"/>
                  <w:rFonts w:ascii="Arial" w:hAnsi="Arial" w:cs="Arial"/>
                </w:rPr>
                <w:t>Gabapentin</w:t>
              </w:r>
            </w:hyperlink>
            <w:r w:rsidRPr="00D61F73">
              <w:rPr>
                <w:rFonts w:ascii="Arial" w:hAnsi="Arial" w:cs="Arial"/>
              </w:rPr>
              <w:t xml:space="preserve"> (Neurontin®); </w:t>
            </w:r>
            <w:hyperlink w:anchor="PregabalinListing" w:history="1">
              <w:r w:rsidRPr="00D61F73">
                <w:rPr>
                  <w:rStyle w:val="Hyperlink"/>
                  <w:rFonts w:ascii="Arial" w:hAnsi="Arial" w:cs="Arial"/>
                </w:rPr>
                <w:t>Pregabalin</w:t>
              </w:r>
            </w:hyperlink>
            <w:r w:rsidRPr="00D61F73">
              <w:rPr>
                <w:rFonts w:ascii="Arial" w:hAnsi="Arial" w:cs="Arial"/>
              </w:rPr>
              <w:t xml:space="preserve"> (Lyrica®); </w:t>
            </w:r>
            <w:hyperlink w:anchor="LamotrigineListing" w:history="1">
              <w:r w:rsidRPr="00D61F73">
                <w:rPr>
                  <w:rStyle w:val="Hyperlink"/>
                  <w:rFonts w:ascii="Arial" w:hAnsi="Arial" w:cs="Arial"/>
                </w:rPr>
                <w:t>Lamotrigine</w:t>
              </w:r>
            </w:hyperlink>
            <w:r w:rsidRPr="00D61F73">
              <w:rPr>
                <w:rFonts w:ascii="Arial" w:hAnsi="Arial" w:cs="Arial"/>
              </w:rPr>
              <w:t xml:space="preserve"> (Lamictal®); </w:t>
            </w:r>
            <w:hyperlink w:anchor="CarbamazepineListing" w:history="1">
              <w:r w:rsidRPr="00D61F73">
                <w:rPr>
                  <w:rStyle w:val="Hyperlink"/>
                  <w:rFonts w:ascii="Arial" w:hAnsi="Arial" w:cs="Arial"/>
                </w:rPr>
                <w:t>Carbamazepine</w:t>
              </w:r>
            </w:hyperlink>
            <w:r w:rsidRPr="00D61F73">
              <w:rPr>
                <w:rFonts w:ascii="Arial" w:hAnsi="Arial" w:cs="Arial"/>
              </w:rPr>
              <w:t xml:space="preserve"> (Tegretol®); </w:t>
            </w:r>
            <w:hyperlink w:anchor="OxcarbazepineListing" w:history="1">
              <w:r w:rsidRPr="00D61F73">
                <w:rPr>
                  <w:rStyle w:val="Hyperlink"/>
                  <w:rFonts w:ascii="Arial" w:hAnsi="Arial" w:cs="Arial"/>
                </w:rPr>
                <w:t>Oxcarbazepine</w:t>
              </w:r>
            </w:hyperlink>
            <w:r w:rsidRPr="00D61F73">
              <w:rPr>
                <w:rFonts w:ascii="Arial" w:hAnsi="Arial" w:cs="Arial"/>
              </w:rPr>
              <w:t xml:space="preserve"> (Trileptal®); </w:t>
            </w:r>
            <w:hyperlink w:anchor="PhenytoinListing" w:history="1">
              <w:r w:rsidRPr="00D61F73">
                <w:rPr>
                  <w:rStyle w:val="Hyperlink"/>
                  <w:rFonts w:ascii="Arial" w:hAnsi="Arial" w:cs="Arial"/>
                </w:rPr>
                <w:t>Phenytoin</w:t>
              </w:r>
            </w:hyperlink>
            <w:r w:rsidRPr="00D61F73">
              <w:rPr>
                <w:rFonts w:ascii="Arial" w:hAnsi="Arial" w:cs="Arial"/>
              </w:rPr>
              <w:t xml:space="preserve"> (Dilantin®); </w:t>
            </w:r>
            <w:hyperlink w:anchor="TopiramateListing" w:history="1">
              <w:r w:rsidRPr="00D61F73">
                <w:rPr>
                  <w:rStyle w:val="Hyperlink"/>
                  <w:rFonts w:ascii="Arial" w:hAnsi="Arial" w:cs="Arial"/>
                </w:rPr>
                <w:t>Topiramate</w:t>
              </w:r>
            </w:hyperlink>
            <w:r w:rsidRPr="00D61F73">
              <w:rPr>
                <w:rFonts w:ascii="Arial" w:hAnsi="Arial" w:cs="Arial"/>
              </w:rPr>
              <w:t xml:space="preserve"> (Topamax®); </w:t>
            </w:r>
            <w:hyperlink w:anchor="LevetiracetamListing" w:history="1">
              <w:r w:rsidRPr="00D61F73">
                <w:rPr>
                  <w:rStyle w:val="Hyperlink"/>
                  <w:rFonts w:ascii="Arial" w:hAnsi="Arial" w:cs="Arial"/>
                </w:rPr>
                <w:t>Levetiracetam</w:t>
              </w:r>
            </w:hyperlink>
            <w:r w:rsidRPr="00D61F73">
              <w:rPr>
                <w:rFonts w:ascii="Arial" w:hAnsi="Arial" w:cs="Arial"/>
              </w:rPr>
              <w:t xml:space="preserve"> (Keppra®); </w:t>
            </w:r>
            <w:hyperlink w:anchor="LevetiracetamListing" w:history="1">
              <w:r w:rsidRPr="00D61F73">
                <w:rPr>
                  <w:rStyle w:val="Hyperlink"/>
                  <w:rFonts w:ascii="Arial" w:hAnsi="Arial" w:cs="Arial"/>
                </w:rPr>
                <w:t>Zonisamide</w:t>
              </w:r>
            </w:hyperlink>
            <w:r w:rsidRPr="00D61F73">
              <w:rPr>
                <w:rFonts w:ascii="Arial" w:hAnsi="Arial" w:cs="Arial"/>
              </w:rPr>
              <w:t xml:space="preserve"> (Zonegran®); &amp; </w:t>
            </w:r>
            <w:hyperlink w:anchor="LevetiracetamListing" w:history="1">
              <w:r w:rsidRPr="00D61F73">
                <w:rPr>
                  <w:rStyle w:val="Hyperlink"/>
                  <w:rFonts w:ascii="Arial" w:hAnsi="Arial" w:cs="Arial"/>
                </w:rPr>
                <w:t>Tiagabine</w:t>
              </w:r>
            </w:hyperlink>
            <w:r w:rsidRPr="00D61F73">
              <w:rPr>
                <w:rFonts w:ascii="Arial" w:hAnsi="Arial" w:cs="Arial"/>
              </w:rPr>
              <w:t xml:space="preserve"> (Gabitril®)</w:t>
            </w:r>
          </w:p>
          <w:p w14:paraId="507CFC30" w14:textId="77777777" w:rsidR="008D0565" w:rsidRPr="00D61F73" w:rsidRDefault="008D0565" w:rsidP="00D61F73">
            <w:pPr>
              <w:rPr>
                <w:rFonts w:ascii="Arial" w:hAnsi="Arial" w:cs="Arial"/>
              </w:rPr>
            </w:pPr>
            <w:r w:rsidRPr="00D61F73">
              <w:rPr>
                <w:rFonts w:ascii="Arial" w:hAnsi="Arial" w:cs="Arial"/>
                <w:i/>
                <w:u w:val="single"/>
              </w:rPr>
              <w:lastRenderedPageBreak/>
              <w:t xml:space="preserve">Outcomes: </w:t>
            </w:r>
            <w:r w:rsidRPr="00D61F73">
              <w:rPr>
                <w:rFonts w:ascii="Arial" w:hAnsi="Arial" w:cs="Arial"/>
              </w:rPr>
              <w:t>A “good” response to the use of AEDs has been defined as a 50% reduction in pain and a “moderate” response as a 30% reduction. It has been reported that a 30% reduction in pain is clinically important to patients and a lack of response of this magnitude may be the “trigger” for the following: (1) a switch to a different first-line agent (TCA, SNRI or AED are considered first-line treatment); or (2) combination therapy if treatment with a single drug agent fails. (</w:t>
            </w:r>
            <w:hyperlink w:anchor="Eisenberg2007" w:history="1">
              <w:r w:rsidRPr="00D61F73">
                <w:rPr>
                  <w:rStyle w:val="Hyperlink"/>
                  <w:rFonts w:ascii="Arial" w:hAnsi="Arial" w:cs="Arial"/>
                </w:rPr>
                <w:t>Eisenberg, 2007</w:t>
              </w:r>
            </w:hyperlink>
            <w:r w:rsidRPr="00D61F73">
              <w:rPr>
                <w:rFonts w:ascii="Arial" w:hAnsi="Arial" w:cs="Arial"/>
              </w:rPr>
              <w:t>) (</w:t>
            </w:r>
            <w:hyperlink w:anchor="Jensen2006" w:history="1">
              <w:r w:rsidRPr="00D61F73">
                <w:rPr>
                  <w:rStyle w:val="Hyperlink"/>
                  <w:rFonts w:ascii="Arial" w:hAnsi="Arial" w:cs="Arial"/>
                </w:rPr>
                <w:t>Jensen, 2006)</w:t>
              </w:r>
            </w:hyperlink>
            <w:r w:rsidRPr="00D61F73">
              <w:rPr>
                <w:rFonts w:ascii="Arial" w:hAnsi="Arial" w:cs="Arial"/>
              </w:rPr>
              <w:t xml:space="preserve"> After initiation of treatment there should be documentation of pain relief and improvement in function as well as documentation of side effects incurred with use. The continued use of AEDs depends on improved outcomes versus tolerability of adverse effects. AEDs are associated with teratogenicity, so they must be used with caution in woman of childbearing age. Preconception counseling is recommended for anticonvulsants (due to reductions in the efficacy of birth control pills). (</w:t>
            </w:r>
            <w:hyperlink w:anchor="ClinicalPharmacology" w:history="1">
              <w:r w:rsidRPr="00D61F73">
                <w:rPr>
                  <w:rStyle w:val="Hyperlink"/>
                  <w:rFonts w:ascii="Arial" w:hAnsi="Arial" w:cs="Arial"/>
                </w:rPr>
                <w:t>Clinical Pharmacology, 2008</w:t>
              </w:r>
            </w:hyperlink>
            <w:r w:rsidRPr="00D61F73">
              <w:rPr>
                <w:rFonts w:ascii="Arial" w:hAnsi="Arial" w:cs="Arial"/>
              </w:rPr>
              <w:t>) Manufacturers of antiepileptic drugs will need to add a warning to their labeling indicating that use of the drugs increases risk for suicidal thoughts and behaviors, according to an FDA Alert issued December 16. (</w:t>
            </w:r>
            <w:hyperlink r:id="rId34" w:anchor="Antiepileptic" w:history="1">
              <w:r w:rsidRPr="00D61F73">
                <w:rPr>
                  <w:rStyle w:val="Hyperlink"/>
                  <w:rFonts w:ascii="Arial" w:hAnsi="Arial" w:cs="Arial"/>
                </w:rPr>
                <w:t>FDA MedWatch, 2008</w:t>
              </w:r>
            </w:hyperlink>
            <w:r w:rsidRPr="00D61F73">
              <w:rPr>
                <w:rFonts w:ascii="Arial" w:hAnsi="Arial" w:cs="Arial"/>
              </w:rPr>
              <w:t>)</w:t>
            </w:r>
          </w:p>
          <w:p w14:paraId="65E3AE21" w14:textId="77777777" w:rsidR="008D0565" w:rsidRPr="00D61F73" w:rsidRDefault="008D0565" w:rsidP="00D61F73">
            <w:pPr>
              <w:rPr>
                <w:rFonts w:ascii="Arial" w:hAnsi="Arial" w:cs="Arial"/>
              </w:rPr>
            </w:pPr>
            <w:r w:rsidRPr="00D61F73">
              <w:rPr>
                <w:rFonts w:ascii="Arial" w:hAnsi="Arial" w:cs="Arial"/>
                <w:i/>
                <w:u w:val="single"/>
              </w:rPr>
              <w:t>Specifically studied disease states:</w:t>
            </w:r>
            <w:r w:rsidRPr="00D61F73">
              <w:rPr>
                <w:rFonts w:ascii="Arial" w:hAnsi="Arial" w:cs="Arial"/>
              </w:rPr>
              <w:t xml:space="preserve"> (also see below for specific drugs)</w:t>
            </w:r>
          </w:p>
          <w:p w14:paraId="6A9C0905" w14:textId="77777777" w:rsidR="008D0565" w:rsidRPr="00D61F73" w:rsidRDefault="008D0565" w:rsidP="00D61F73">
            <w:pPr>
              <w:rPr>
                <w:rFonts w:ascii="Arial" w:hAnsi="Arial" w:cs="Arial"/>
              </w:rPr>
            </w:pPr>
            <w:r w:rsidRPr="00D61F73">
              <w:rPr>
                <w:rFonts w:ascii="Arial" w:hAnsi="Arial" w:cs="Arial"/>
                <w:i/>
              </w:rPr>
              <w:t xml:space="preserve">Painful polyneuropathy: </w:t>
            </w:r>
            <w:r w:rsidRPr="00D61F73">
              <w:rPr>
                <w:rFonts w:ascii="Arial" w:hAnsi="Arial" w:cs="Arial"/>
              </w:rPr>
              <w:t>AEDs are recommended on a trial basis (gabapentin/pregabalin) as a first-line therapy for painful polyneuropathy (with diabetic polyneuropathy being the most common example). The other first-line options are a tri-cyclic antidepressant (if tolerated by the patient), or a SNRI antidepressant (such as duloxetine). (</w:t>
            </w:r>
            <w:hyperlink w:anchor="Attal" w:history="1">
              <w:r w:rsidRPr="00D61F73">
                <w:rPr>
                  <w:rStyle w:val="Hyperlink"/>
                  <w:rFonts w:ascii="Arial" w:hAnsi="Arial" w:cs="Arial"/>
                </w:rPr>
                <w:t>Attal, 2006</w:t>
              </w:r>
            </w:hyperlink>
            <w:r w:rsidRPr="00D61F73">
              <w:rPr>
                <w:rFonts w:ascii="Arial" w:hAnsi="Arial" w:cs="Arial"/>
              </w:rPr>
              <w:t>) (</w:t>
            </w:r>
            <w:hyperlink w:anchor="Jensen2006" w:history="1">
              <w:r w:rsidRPr="00D61F73">
                <w:rPr>
                  <w:rStyle w:val="Hyperlink"/>
                  <w:rFonts w:ascii="Arial" w:hAnsi="Arial" w:cs="Arial"/>
                </w:rPr>
                <w:t>Jensen, 2006</w:t>
              </w:r>
            </w:hyperlink>
            <w:r w:rsidRPr="00D61F73">
              <w:rPr>
                <w:rFonts w:ascii="Arial" w:hAnsi="Arial" w:cs="Arial"/>
              </w:rPr>
              <w:t>)</w:t>
            </w:r>
          </w:p>
          <w:p w14:paraId="7F12E745" w14:textId="77777777" w:rsidR="008D0565" w:rsidRPr="00D61F73" w:rsidRDefault="008D0565" w:rsidP="00D61F73">
            <w:pPr>
              <w:rPr>
                <w:rFonts w:ascii="Arial" w:hAnsi="Arial" w:cs="Arial"/>
              </w:rPr>
            </w:pPr>
            <w:r w:rsidRPr="00D61F73">
              <w:rPr>
                <w:rFonts w:ascii="Arial" w:hAnsi="Arial" w:cs="Arial"/>
                <w:i/>
              </w:rPr>
              <w:t xml:space="preserve">Postherpetic neuralgia: </w:t>
            </w:r>
            <w:r w:rsidRPr="00D61F73">
              <w:rPr>
                <w:rFonts w:ascii="Arial" w:hAnsi="Arial" w:cs="Arial"/>
              </w:rPr>
              <w:t>Gabapentin and pregabalin are recommended. (</w:t>
            </w:r>
            <w:hyperlink w:anchor="Attal" w:history="1">
              <w:r w:rsidRPr="00D61F73">
                <w:rPr>
                  <w:rStyle w:val="Hyperlink"/>
                  <w:rFonts w:ascii="Arial" w:hAnsi="Arial" w:cs="Arial"/>
                </w:rPr>
                <w:t>Attal, 2006</w:t>
              </w:r>
            </w:hyperlink>
            <w:r w:rsidRPr="00D61F73">
              <w:rPr>
                <w:rFonts w:ascii="Arial" w:hAnsi="Arial" w:cs="Arial"/>
              </w:rPr>
              <w:t>) (</w:t>
            </w:r>
            <w:hyperlink w:anchor="Backonja2004" w:history="1">
              <w:r w:rsidRPr="00D61F73">
                <w:rPr>
                  <w:rStyle w:val="Hyperlink"/>
                  <w:rFonts w:ascii="Arial" w:hAnsi="Arial" w:cs="Arial"/>
                </w:rPr>
                <w:t>Backonja, 2004</w:t>
              </w:r>
            </w:hyperlink>
            <w:r w:rsidRPr="00D61F73">
              <w:rPr>
                <w:rFonts w:ascii="Arial" w:hAnsi="Arial" w:cs="Arial"/>
              </w:rPr>
              <w:t>)</w:t>
            </w:r>
          </w:p>
          <w:p w14:paraId="133F35D5" w14:textId="77777777" w:rsidR="008D0565" w:rsidRPr="00D61F73" w:rsidRDefault="008D0565" w:rsidP="00D61F73">
            <w:pPr>
              <w:rPr>
                <w:rFonts w:ascii="Arial" w:hAnsi="Arial" w:cs="Arial"/>
              </w:rPr>
            </w:pPr>
            <w:r w:rsidRPr="00D61F73">
              <w:rPr>
                <w:rFonts w:ascii="Arial" w:hAnsi="Arial" w:cs="Arial"/>
                <w:i/>
              </w:rPr>
              <w:t xml:space="preserve">Central pain: </w:t>
            </w:r>
            <w:r w:rsidRPr="00D61F73">
              <w:rPr>
                <w:rFonts w:ascii="Arial" w:hAnsi="Arial" w:cs="Arial"/>
              </w:rPr>
              <w:t>There are so few trials (with such small sample size) that treatment is generally based on that recommended for peripheral neuropathy, with gabapentin and pregabalin recommended. Lamotrigine has been found to be effective for central post-stroke pain (see below for specific drugs), and gabapentin has also been found to be effective. (</w:t>
            </w:r>
            <w:hyperlink w:anchor="Backonja2004" w:history="1">
              <w:r w:rsidRPr="00D61F73">
                <w:rPr>
                  <w:rStyle w:val="Hyperlink"/>
                  <w:rFonts w:ascii="Arial" w:hAnsi="Arial" w:cs="Arial"/>
                </w:rPr>
                <w:t>Backonja, 2004</w:t>
              </w:r>
            </w:hyperlink>
            <w:r w:rsidRPr="00D61F73">
              <w:rPr>
                <w:rFonts w:ascii="Arial" w:hAnsi="Arial" w:cs="Arial"/>
              </w:rPr>
              <w:t>)</w:t>
            </w:r>
          </w:p>
          <w:p w14:paraId="7B00F847" w14:textId="77777777" w:rsidR="008D0565" w:rsidRPr="00D61F73" w:rsidRDefault="008D0565" w:rsidP="00D61F73">
            <w:pPr>
              <w:rPr>
                <w:rFonts w:ascii="Arial" w:hAnsi="Arial" w:cs="Arial"/>
              </w:rPr>
            </w:pPr>
            <w:r w:rsidRPr="00D61F73">
              <w:rPr>
                <w:rFonts w:ascii="Arial" w:hAnsi="Arial" w:cs="Arial"/>
                <w:i/>
              </w:rPr>
              <w:t xml:space="preserve">Acute pain: </w:t>
            </w:r>
            <w:r w:rsidRPr="00D61F73">
              <w:rPr>
                <w:rFonts w:ascii="Arial" w:hAnsi="Arial" w:cs="Arial"/>
              </w:rPr>
              <w:t>Not indicated due to lack of evidence.</w:t>
            </w:r>
          </w:p>
          <w:p w14:paraId="6F41BC11" w14:textId="77777777" w:rsidR="008D0565" w:rsidRPr="00D61F73" w:rsidRDefault="008D0565" w:rsidP="00D61F73">
            <w:pPr>
              <w:rPr>
                <w:rFonts w:ascii="Arial" w:hAnsi="Arial" w:cs="Arial"/>
              </w:rPr>
            </w:pPr>
            <w:r w:rsidRPr="00D61F73">
              <w:rPr>
                <w:rFonts w:ascii="Arial" w:hAnsi="Arial" w:cs="Arial"/>
                <w:i/>
              </w:rPr>
              <w:t xml:space="preserve">Treatment of pain associated with osteoarthritis of the hip: </w:t>
            </w:r>
            <w:r w:rsidRPr="00D61F73">
              <w:rPr>
                <w:rFonts w:ascii="Arial" w:hAnsi="Arial" w:cs="Arial"/>
              </w:rPr>
              <w:t>Not indicated</w:t>
            </w:r>
          </w:p>
          <w:p w14:paraId="47D8D72E" w14:textId="77777777" w:rsidR="008D0565" w:rsidRPr="00D61F73" w:rsidRDefault="008D0565" w:rsidP="00D61F73">
            <w:pPr>
              <w:rPr>
                <w:rFonts w:ascii="Arial" w:hAnsi="Arial" w:cs="Arial"/>
              </w:rPr>
            </w:pPr>
            <w:r w:rsidRPr="00D61F73">
              <w:rPr>
                <w:rFonts w:ascii="Arial" w:hAnsi="Arial" w:cs="Arial"/>
                <w:i/>
              </w:rPr>
              <w:t xml:space="preserve">Spinal cord injury: </w:t>
            </w:r>
            <w:r w:rsidRPr="00D61F73">
              <w:rPr>
                <w:rFonts w:ascii="Arial" w:hAnsi="Arial" w:cs="Arial"/>
              </w:rPr>
              <w:t>Gabapentin is recommended for chronic neuropathic pain. (</w:t>
            </w:r>
            <w:hyperlink w:anchor="Levendoglu" w:history="1">
              <w:r w:rsidRPr="00D61F73">
                <w:rPr>
                  <w:rStyle w:val="Hyperlink"/>
                  <w:rFonts w:ascii="Arial" w:hAnsi="Arial" w:cs="Arial"/>
                </w:rPr>
                <w:t>Levendoglu, 2004</w:t>
              </w:r>
            </w:hyperlink>
            <w:r w:rsidRPr="00D61F73">
              <w:rPr>
                <w:rFonts w:ascii="Arial" w:hAnsi="Arial" w:cs="Arial"/>
              </w:rPr>
              <w:t>)</w:t>
            </w:r>
          </w:p>
          <w:p w14:paraId="64C3D50D" w14:textId="77777777" w:rsidR="008D0565" w:rsidRPr="00D61F73" w:rsidRDefault="008D0565" w:rsidP="00D61F73">
            <w:pPr>
              <w:rPr>
                <w:rFonts w:ascii="Arial" w:hAnsi="Arial" w:cs="Arial"/>
              </w:rPr>
            </w:pPr>
            <w:r w:rsidRPr="00D61F73">
              <w:rPr>
                <w:rFonts w:ascii="Arial" w:hAnsi="Arial" w:cs="Arial"/>
                <w:i/>
              </w:rPr>
              <w:t xml:space="preserve">CRPS: </w:t>
            </w:r>
            <w:r w:rsidRPr="00D61F73">
              <w:rPr>
                <w:rFonts w:ascii="Arial" w:hAnsi="Arial" w:cs="Arial"/>
              </w:rPr>
              <w:t>Gabapentin has been recommended (</w:t>
            </w:r>
            <w:hyperlink w:anchor="Serpell" w:history="1">
              <w:r w:rsidRPr="00D61F73">
                <w:rPr>
                  <w:rStyle w:val="Hyperlink"/>
                  <w:rFonts w:ascii="Arial" w:hAnsi="Arial" w:cs="Arial"/>
                </w:rPr>
                <w:t>Serpell, 2002</w:t>
              </w:r>
            </w:hyperlink>
            <w:r w:rsidRPr="00D61F73">
              <w:rPr>
                <w:rFonts w:ascii="Arial" w:hAnsi="Arial" w:cs="Arial"/>
              </w:rPr>
              <w:t>)</w:t>
            </w:r>
          </w:p>
          <w:p w14:paraId="47D14FA7" w14:textId="77777777" w:rsidR="008D0565" w:rsidRPr="00D61F73" w:rsidRDefault="008D0565" w:rsidP="00D61F73">
            <w:pPr>
              <w:rPr>
                <w:rFonts w:ascii="Arial" w:hAnsi="Arial" w:cs="Arial"/>
              </w:rPr>
            </w:pPr>
            <w:r w:rsidRPr="00D61F73">
              <w:rPr>
                <w:rFonts w:ascii="Arial" w:hAnsi="Arial" w:cs="Arial"/>
                <w:i/>
              </w:rPr>
              <w:t xml:space="preserve">Fibromyalgia: </w:t>
            </w:r>
            <w:r w:rsidRPr="00D61F73">
              <w:rPr>
                <w:rFonts w:ascii="Arial" w:hAnsi="Arial" w:cs="Arial"/>
              </w:rPr>
              <w:t>Gabapentin and pregabalin have been found to be safe and efficacious to treat pain and other symptoms. (</w:t>
            </w:r>
            <w:hyperlink w:anchor="Arnold" w:history="1">
              <w:r w:rsidRPr="00D61F73">
                <w:rPr>
                  <w:rStyle w:val="Hyperlink"/>
                  <w:rFonts w:ascii="Arial" w:hAnsi="Arial" w:cs="Arial"/>
                </w:rPr>
                <w:t>Arnold, 2007</w:t>
              </w:r>
            </w:hyperlink>
            <w:r w:rsidRPr="00D61F73">
              <w:rPr>
                <w:rFonts w:ascii="Arial" w:hAnsi="Arial" w:cs="Arial"/>
              </w:rPr>
              <w:t>) (</w:t>
            </w:r>
            <w:hyperlink w:anchor="Crofford" w:history="1">
              <w:r w:rsidRPr="00D61F73">
                <w:rPr>
                  <w:rStyle w:val="Hyperlink"/>
                  <w:rFonts w:ascii="Arial" w:hAnsi="Arial" w:cs="Arial"/>
                </w:rPr>
                <w:t>Crofford, 2005</w:t>
              </w:r>
            </w:hyperlink>
            <w:r w:rsidRPr="00D61F73">
              <w:rPr>
                <w:rFonts w:ascii="Arial" w:hAnsi="Arial" w:cs="Arial"/>
              </w:rPr>
              <w:t>) Pregabalin is FDA approved for fibromyalgia.</w:t>
            </w:r>
          </w:p>
          <w:p w14:paraId="43E9A424" w14:textId="007AADC4" w:rsidR="008D0565" w:rsidRPr="00D61F73" w:rsidRDefault="008D0565" w:rsidP="00D61F73">
            <w:pPr>
              <w:rPr>
                <w:rFonts w:ascii="Arial" w:hAnsi="Arial" w:cs="Arial"/>
              </w:rPr>
            </w:pPr>
            <w:r w:rsidRPr="00D61F73">
              <w:rPr>
                <w:rFonts w:ascii="Arial" w:hAnsi="Arial" w:cs="Arial"/>
                <w:i/>
              </w:rPr>
              <w:t xml:space="preserve">Lumbar spinal stenosis: </w:t>
            </w:r>
            <w:r w:rsidRPr="00D61F73">
              <w:rPr>
                <w:rFonts w:ascii="Arial" w:hAnsi="Arial" w:cs="Arial"/>
              </w:rPr>
              <w:t>Gabapentin produced statistically significant improvement in walking distance, decrease in pain with movement and sensory deficit in a pilot study. (</w:t>
            </w:r>
            <w:hyperlink w:anchor="Yaksi" w:history="1">
              <w:r w:rsidRPr="00D61F73">
                <w:rPr>
                  <w:rStyle w:val="Hyperlink"/>
                  <w:rFonts w:ascii="Arial" w:hAnsi="Arial" w:cs="Arial"/>
                </w:rPr>
                <w:t>Yaksi, 2007</w:t>
              </w:r>
            </w:hyperlink>
            <w:r w:rsidRPr="00D61F73">
              <w:rPr>
                <w:rFonts w:ascii="Arial" w:hAnsi="Arial" w:cs="Arial"/>
              </w:rPr>
              <w:t>)</w:t>
            </w:r>
          </w:p>
          <w:p w14:paraId="0F674810" w14:textId="2F96CDCE" w:rsidR="00C1558F" w:rsidRDefault="008D0565" w:rsidP="00D61F73">
            <w:pPr>
              <w:rPr>
                <w:rFonts w:ascii="Arial" w:hAnsi="Arial" w:cs="Arial"/>
              </w:rPr>
            </w:pPr>
            <w:r w:rsidRPr="00D61F73">
              <w:rPr>
                <w:rFonts w:ascii="Arial" w:hAnsi="Arial" w:cs="Arial"/>
                <w:i/>
              </w:rPr>
              <w:t xml:space="preserve">Myofascial pain: </w:t>
            </w:r>
            <w:r w:rsidRPr="00D61F73">
              <w:rPr>
                <w:rFonts w:ascii="Arial" w:hAnsi="Arial" w:cs="Arial"/>
              </w:rPr>
              <w:t xml:space="preserve">Not recommended. There is a lack of evidence to </w:t>
            </w:r>
          </w:p>
          <w:p w14:paraId="754AD72F" w14:textId="167591FA" w:rsidR="008D0565" w:rsidRPr="00D61F73" w:rsidRDefault="008D0565" w:rsidP="00D61F73">
            <w:pPr>
              <w:rPr>
                <w:rFonts w:ascii="Arial" w:hAnsi="Arial" w:cs="Arial"/>
              </w:rPr>
            </w:pPr>
            <w:r w:rsidRPr="00D61F73">
              <w:rPr>
                <w:rFonts w:ascii="Arial" w:hAnsi="Arial" w:cs="Arial"/>
              </w:rPr>
              <w:t>demonstrate that AEDs significantly reduce the level of myofascial or acute musculoskeletal pain, or other sources of somatic pain. (</w:t>
            </w:r>
            <w:hyperlink w:anchor="Wiffen"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xml:space="preserve">, </w:t>
              </w:r>
              <w:r w:rsidRPr="00D61F73">
                <w:rPr>
                  <w:rStyle w:val="Hyperlink"/>
                  <w:rFonts w:ascii="Arial" w:hAnsi="Arial" w:cs="Arial"/>
                </w:rPr>
                <w:lastRenderedPageBreak/>
                <w:t>2005</w:t>
              </w:r>
            </w:hyperlink>
            <w:r w:rsidRPr="00D61F73">
              <w:rPr>
                <w:rFonts w:ascii="Arial" w:hAnsi="Arial" w:cs="Arial"/>
              </w:rPr>
              <w:t>) (</w:t>
            </w:r>
            <w:hyperlink w:anchor="Washington2" w:history="1">
              <w:r w:rsidRPr="00D61F73">
                <w:rPr>
                  <w:rStyle w:val="Hyperlink"/>
                  <w:rFonts w:ascii="Arial" w:hAnsi="Arial" w:cs="Arial"/>
                </w:rPr>
                <w:t>Washington, 2005</w:t>
              </w:r>
            </w:hyperlink>
          </w:p>
          <w:p w14:paraId="532E2BAC" w14:textId="77777777" w:rsidR="008D0565" w:rsidRPr="00D61F73" w:rsidRDefault="008D0565" w:rsidP="00D61F73">
            <w:pPr>
              <w:rPr>
                <w:rFonts w:ascii="Arial" w:hAnsi="Arial" w:cs="Arial"/>
              </w:rPr>
            </w:pPr>
            <w:r w:rsidRPr="00D61F73">
              <w:rPr>
                <w:rFonts w:ascii="Arial" w:hAnsi="Arial" w:cs="Arial"/>
                <w:i/>
                <w:iCs/>
              </w:rPr>
              <w:t xml:space="preserve">Postop pain: </w:t>
            </w:r>
            <w:r w:rsidRPr="00D61F73">
              <w:rPr>
                <w:rFonts w:ascii="Arial" w:hAnsi="Arial" w:cs="Arial"/>
              </w:rPr>
              <w:t>AEDs may also be an option for postoperative pain, resulting in decreased opioid consumption. (</w:t>
            </w:r>
            <w:hyperlink w:anchor="Peng" w:history="1">
              <w:r w:rsidRPr="00D61F73">
                <w:rPr>
                  <w:rStyle w:val="Hyperlink"/>
                  <w:rFonts w:ascii="Arial" w:hAnsi="Arial" w:cs="Arial"/>
                </w:rPr>
                <w:t>Peng, 2007</w:t>
              </w:r>
            </w:hyperlink>
            <w:r w:rsidRPr="00D61F73">
              <w:rPr>
                <w:rFonts w:ascii="Arial" w:hAnsi="Arial" w:cs="Arial"/>
              </w:rPr>
              <w:t>) (</w:t>
            </w:r>
            <w:hyperlink w:anchor="Buvanendran" w:history="1">
              <w:r w:rsidRPr="00D61F73">
                <w:rPr>
                  <w:rStyle w:val="Hyperlink"/>
                  <w:rFonts w:ascii="Arial" w:hAnsi="Arial" w:cs="Arial"/>
                </w:rPr>
                <w:t>Buvanendran, 2007</w:t>
              </w:r>
            </w:hyperlink>
            <w:r w:rsidRPr="00D61F73">
              <w:rPr>
                <w:rFonts w:ascii="Arial" w:hAnsi="Arial" w:cs="Arial"/>
              </w:rPr>
              <w:t>)</w:t>
            </w:r>
          </w:p>
          <w:p w14:paraId="2D4E3A3B" w14:textId="77777777" w:rsidR="008D0565" w:rsidRPr="00D61F73" w:rsidRDefault="008D0565" w:rsidP="00D61F73">
            <w:pPr>
              <w:pStyle w:val="Heading7"/>
              <w:rPr>
                <w:rFonts w:ascii="Arial" w:hAnsi="Arial" w:cs="Arial"/>
                <w:bCs w:val="0"/>
                <w:sz w:val="24"/>
              </w:rPr>
            </w:pPr>
            <w:r w:rsidRPr="00D61F73">
              <w:rPr>
                <w:rFonts w:ascii="Arial" w:hAnsi="Arial" w:cs="Arial"/>
                <w:bCs w:val="0"/>
                <w:sz w:val="24"/>
              </w:rPr>
              <w:t xml:space="preserve">SPECIFIC </w:t>
            </w:r>
            <w:r w:rsidRPr="00D61F73">
              <w:rPr>
                <w:rFonts w:ascii="Arial" w:hAnsi="Arial" w:cs="Arial"/>
                <w:sz w:val="24"/>
              </w:rPr>
              <w:t xml:space="preserve">ANTI-EPILEPSY </w:t>
            </w:r>
            <w:r w:rsidRPr="00D61F73">
              <w:rPr>
                <w:rFonts w:ascii="Arial" w:hAnsi="Arial" w:cs="Arial"/>
                <w:bCs w:val="0"/>
                <w:sz w:val="24"/>
              </w:rPr>
              <w:t>DRUGS:</w:t>
            </w:r>
          </w:p>
          <w:p w14:paraId="2D1CAD9F" w14:textId="21B330E8" w:rsidR="008D0565" w:rsidRPr="00D61F73" w:rsidRDefault="008D0565" w:rsidP="00D61F73">
            <w:pPr>
              <w:rPr>
                <w:rFonts w:ascii="Arial" w:hAnsi="Arial" w:cs="Arial"/>
              </w:rPr>
            </w:pPr>
            <w:r w:rsidRPr="00D61F73">
              <w:rPr>
                <w:rFonts w:ascii="Arial" w:hAnsi="Arial" w:cs="Arial"/>
                <w:b/>
                <w:bCs/>
                <w:i/>
                <w:u w:val="single"/>
              </w:rPr>
              <w:t>G</w:t>
            </w:r>
            <w:bookmarkStart w:id="72" w:name="GabapentinListing"/>
            <w:bookmarkEnd w:id="72"/>
            <w:r w:rsidRPr="00D61F73">
              <w:rPr>
                <w:rFonts w:ascii="Arial" w:hAnsi="Arial" w:cs="Arial"/>
                <w:b/>
                <w:bCs/>
                <w:i/>
                <w:u w:val="single"/>
              </w:rPr>
              <w:t>abapentin (Neurontin®, Gabarone™, generic available)</w:t>
            </w:r>
            <w:r w:rsidRPr="00D61F73">
              <w:rPr>
                <w:rFonts w:ascii="Arial" w:hAnsi="Arial" w:cs="Arial"/>
                <w:i/>
              </w:rPr>
              <w:t xml:space="preserve"> </w:t>
            </w:r>
            <w:r w:rsidRPr="00D61F73">
              <w:rPr>
                <w:rFonts w:ascii="Arial" w:hAnsi="Arial" w:cs="Arial"/>
              </w:rPr>
              <w:t>has been shown to be effective for treatment of diabetic painful neuropathy and postherpetic neuralgia and has been considered as a first-line treatment for neuropathic pain. (</w:t>
            </w:r>
            <w:hyperlink w:anchor="Backonja2002" w:history="1">
              <w:r w:rsidRPr="00D61F73">
                <w:rPr>
                  <w:rStyle w:val="Hyperlink"/>
                  <w:rFonts w:ascii="Arial" w:hAnsi="Arial" w:cs="Arial"/>
                </w:rPr>
                <w:t>Backonja, 2002</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 (</w:t>
            </w:r>
            <w:hyperlink w:anchor="Knotkova" w:history="1">
              <w:r w:rsidRPr="00D61F73">
                <w:rPr>
                  <w:rStyle w:val="Hyperlink"/>
                  <w:rFonts w:ascii="Arial" w:hAnsi="Arial" w:cs="Arial"/>
                </w:rPr>
                <w:t>Knotkova, 2007</w:t>
              </w:r>
            </w:hyperlink>
            <w:r w:rsidRPr="00D61F73">
              <w:rPr>
                <w:rFonts w:ascii="Arial" w:hAnsi="Arial" w:cs="Arial"/>
              </w:rPr>
              <w:t>) (</w:t>
            </w:r>
            <w:hyperlink w:anchor="Eisenberg2007" w:history="1">
              <w:r w:rsidRPr="00D61F73">
                <w:rPr>
                  <w:rStyle w:val="Hyperlink"/>
                  <w:rFonts w:ascii="Arial" w:hAnsi="Arial" w:cs="Arial"/>
                </w:rPr>
                <w:t>Eisenberg, 2007</w:t>
              </w:r>
            </w:hyperlink>
            <w:r w:rsidRPr="00D61F73">
              <w:rPr>
                <w:rFonts w:ascii="Arial" w:hAnsi="Arial" w:cs="Arial"/>
              </w:rPr>
              <w:t>) (</w:t>
            </w:r>
            <w:hyperlink w:anchor="Attal" w:history="1">
              <w:r w:rsidRPr="00D61F73">
                <w:rPr>
                  <w:rStyle w:val="Hyperlink"/>
                  <w:rFonts w:ascii="Arial" w:hAnsi="Arial" w:cs="Arial"/>
                </w:rPr>
                <w:t>Attal, 2006</w:t>
              </w:r>
            </w:hyperlink>
            <w:r w:rsidRPr="00D61F73">
              <w:rPr>
                <w:rFonts w:ascii="Arial" w:hAnsi="Arial" w:cs="Arial"/>
              </w:rPr>
              <w:t xml:space="preserve">) </w:t>
            </w:r>
            <w:r w:rsidR="002E10FD" w:rsidRPr="00D61F73">
              <w:rPr>
                <w:rFonts w:ascii="Arial" w:hAnsi="Arial" w:cs="Arial"/>
              </w:rPr>
              <w:t>(</w:t>
            </w:r>
            <w:hyperlink w:anchor="WIFFEN2013SUMMARY" w:history="1">
              <w:r w:rsidR="00853B3D" w:rsidRPr="00D61F73">
                <w:rPr>
                  <w:rStyle w:val="Hyperlink"/>
                  <w:rFonts w:ascii="Arial" w:hAnsi="Arial" w:cs="Arial"/>
                </w:rPr>
                <w:t>Wiffen-</w:t>
              </w:r>
              <w:r w:rsidR="00853B3D" w:rsidRPr="00D61F73">
                <w:rPr>
                  <w:rStyle w:val="Hyperlink"/>
                  <w:rFonts w:ascii="Arial" w:hAnsi="Arial" w:cs="Arial"/>
                  <w:i/>
                </w:rPr>
                <w:t>Cochrane,</w:t>
              </w:r>
              <w:r w:rsidR="00853B3D" w:rsidRPr="00D61F73">
                <w:rPr>
                  <w:rStyle w:val="Hyperlink"/>
                  <w:rFonts w:ascii="Arial" w:hAnsi="Arial" w:cs="Arial"/>
                </w:rPr>
                <w:t xml:space="preserve"> 2013</w:t>
              </w:r>
            </w:hyperlink>
            <w:r w:rsidR="002E10FD" w:rsidRPr="00D61F73">
              <w:rPr>
                <w:rFonts w:ascii="Arial" w:hAnsi="Arial" w:cs="Arial"/>
              </w:rPr>
              <w:t xml:space="preserve">) </w:t>
            </w:r>
            <w:r w:rsidRPr="00D61F73">
              <w:rPr>
                <w:rFonts w:ascii="Arial" w:hAnsi="Arial" w:cs="Arial"/>
              </w:rPr>
              <w:t>This RCT concluded that gabapentin monotherapy appears to be efficacious for the treatment of pain and sleep interf</w:t>
            </w:r>
            <w:r w:rsidR="00FD281A" w:rsidRPr="00D61F73">
              <w:rPr>
                <w:rFonts w:ascii="Arial" w:hAnsi="Arial" w:cs="Arial"/>
              </w:rPr>
              <w:t xml:space="preserve">erence associated with diabetic </w:t>
            </w:r>
            <w:r w:rsidRPr="00D61F73">
              <w:rPr>
                <w:rFonts w:ascii="Arial" w:hAnsi="Arial" w:cs="Arial"/>
              </w:rPr>
              <w:t>peripheral neuropathy and exhibits positive effects on mood and quality of life. (</w:t>
            </w:r>
            <w:hyperlink w:anchor="Backonja1998" w:history="1">
              <w:r w:rsidRPr="00D61F73">
                <w:rPr>
                  <w:rStyle w:val="Hyperlink"/>
                  <w:rFonts w:ascii="Arial" w:hAnsi="Arial" w:cs="Arial"/>
                </w:rPr>
                <w:t>Backonja, 1998</w:t>
              </w:r>
            </w:hyperlink>
            <w:r w:rsidRPr="00D61F73">
              <w:rPr>
                <w:rFonts w:ascii="Arial" w:hAnsi="Arial" w:cs="Arial"/>
              </w:rPr>
              <w:t xml:space="preserve">) It has been given FDA approval for treatment of post-herpetic neuralgia. The </w:t>
            </w:r>
            <w:r w:rsidR="00261E37" w:rsidRPr="00261E37">
              <w:rPr>
                <w:rFonts w:ascii="Arial" w:hAnsi="Arial" w:cs="Arial"/>
              </w:rPr>
              <w:t>number needed to treat</w:t>
            </w:r>
            <w:r w:rsidRPr="00D61F73">
              <w:rPr>
                <w:rFonts w:ascii="Arial" w:hAnsi="Arial" w:cs="Arial"/>
              </w:rPr>
              <w:t xml:space="preserve"> (NNT) for overall neuropathic pain is 4. It has a more favorable side-effect profile than Carbamazepine, with a number needed to harm of 2.5. (</w:t>
            </w:r>
            <w:hyperlink w:anchor="Wiffen2" w:history="1">
              <w:r w:rsidRPr="00D61F73">
                <w:rPr>
                  <w:rStyle w:val="Hyperlink"/>
                  <w:rFonts w:ascii="Arial" w:hAnsi="Arial" w:cs="Arial"/>
                </w:rPr>
                <w:t>Wiffen2-Cochrane, 2005</w:t>
              </w:r>
            </w:hyperlink>
            <w:r w:rsidRPr="00D61F73">
              <w:rPr>
                <w:rFonts w:ascii="Arial" w:hAnsi="Arial" w:cs="Arial"/>
              </w:rPr>
              <w:t>) (</w:t>
            </w:r>
            <w:hyperlink w:anchor="Zaremba" w:history="1">
              <w:r w:rsidRPr="00D61F73">
                <w:rPr>
                  <w:rStyle w:val="Hyperlink"/>
                  <w:rFonts w:ascii="Arial" w:hAnsi="Arial" w:cs="Arial"/>
                </w:rPr>
                <w:t>Zaremba, 2006</w:t>
              </w:r>
            </w:hyperlink>
            <w:r w:rsidRPr="00D61F73">
              <w:rPr>
                <w:rFonts w:ascii="Arial" w:hAnsi="Arial" w:cs="Arial"/>
              </w:rPr>
              <w:t>)</w:t>
            </w:r>
            <w:r w:rsidRPr="00D61F73">
              <w:rPr>
                <w:rFonts w:ascii="Arial" w:hAnsi="Arial" w:cs="Arial"/>
                <w:vertAlign w:val="superscript"/>
              </w:rPr>
              <w:t xml:space="preserve"> </w:t>
            </w:r>
            <w:r w:rsidRPr="00D61F73">
              <w:rPr>
                <w:rFonts w:ascii="Arial" w:hAnsi="Arial" w:cs="Arial"/>
              </w:rPr>
              <w:t>Gabapentin in combination with morphine has been studied for treatment of diabetic neuropathy and postherpetic neuralgia. When used in combination the maximum tolerated dosage of both drugs was lower than when each was used as a single agent and better analgesia occurred at lower doses of each. (</w:t>
            </w:r>
            <w:hyperlink w:anchor="Gilron" w:history="1">
              <w:r w:rsidRPr="00D61F73">
                <w:rPr>
                  <w:rStyle w:val="Hyperlink"/>
                  <w:rFonts w:ascii="Arial" w:hAnsi="Arial" w:cs="Arial"/>
                </w:rPr>
                <w:t>Gilron-NEJM, 2005</w:t>
              </w:r>
            </w:hyperlink>
            <w:r w:rsidRPr="00D61F73">
              <w:rPr>
                <w:rFonts w:ascii="Arial" w:hAnsi="Arial" w:cs="Arial"/>
              </w:rPr>
              <w:t>) Recommendations involving combination therapy require further study.</w:t>
            </w:r>
          </w:p>
          <w:p w14:paraId="403D6B7A" w14:textId="77777777" w:rsidR="008D0565" w:rsidRPr="00D61F73" w:rsidRDefault="008D0565" w:rsidP="00D61F73">
            <w:pPr>
              <w:rPr>
                <w:rFonts w:ascii="Arial" w:hAnsi="Arial" w:cs="Arial"/>
              </w:rPr>
            </w:pPr>
            <w:r w:rsidRPr="00D61F73">
              <w:rPr>
                <w:rFonts w:ascii="Arial" w:hAnsi="Arial" w:cs="Arial"/>
                <w:i/>
              </w:rPr>
              <w:t xml:space="preserve">Mechanism of action: </w:t>
            </w:r>
            <w:r w:rsidRPr="00D61F73">
              <w:rPr>
                <w:rFonts w:ascii="Arial" w:hAnsi="Arial" w:cs="Arial"/>
              </w:rPr>
              <w:t>This medication appears to be effective in reducing abnormal hypersensitivity (allodynia and hyperalgesia), to have anti-anxiety effects, and may be beneficial as a sleep aid. (</w:t>
            </w:r>
            <w:hyperlink w:anchor="Arnold" w:history="1">
              <w:r w:rsidRPr="00D61F73">
                <w:rPr>
                  <w:rStyle w:val="Hyperlink"/>
                  <w:rFonts w:ascii="Arial" w:hAnsi="Arial" w:cs="Arial"/>
                </w:rPr>
                <w:t>Arnold, 2007</w:t>
              </w:r>
            </w:hyperlink>
            <w:r w:rsidRPr="00D61F73">
              <w:rPr>
                <w:rFonts w:ascii="Arial" w:hAnsi="Arial" w:cs="Arial"/>
              </w:rPr>
              <w:t>)</w:t>
            </w:r>
          </w:p>
          <w:p w14:paraId="0F510270" w14:textId="77777777" w:rsidR="008D0565" w:rsidRPr="00D61F73" w:rsidRDefault="008D0565" w:rsidP="00D61F73">
            <w:pPr>
              <w:rPr>
                <w:rFonts w:ascii="Arial" w:hAnsi="Arial" w:cs="Arial"/>
                <w:i/>
                <w:u w:val="single"/>
              </w:rPr>
            </w:pPr>
            <w:r w:rsidRPr="00D61F73">
              <w:rPr>
                <w:rFonts w:ascii="Arial" w:hAnsi="Arial" w:cs="Arial"/>
                <w:i/>
              </w:rPr>
              <w:t>Specific pain states</w:t>
            </w:r>
            <w:r w:rsidRPr="00D61F73">
              <w:rPr>
                <w:rFonts w:ascii="Arial" w:hAnsi="Arial" w:cs="Arial"/>
                <w:i/>
                <w:u w:val="single"/>
              </w:rPr>
              <w:t>:</w:t>
            </w:r>
          </w:p>
          <w:p w14:paraId="31D7315E" w14:textId="77777777" w:rsidR="008D0565" w:rsidRPr="00D61F73" w:rsidRDefault="008D0565" w:rsidP="00D61F73">
            <w:pPr>
              <w:rPr>
                <w:rFonts w:ascii="Arial" w:hAnsi="Arial" w:cs="Arial"/>
              </w:rPr>
            </w:pPr>
            <w:r w:rsidRPr="00D61F73">
              <w:rPr>
                <w:rFonts w:ascii="Arial" w:hAnsi="Arial" w:cs="Arial"/>
                <w:i/>
              </w:rPr>
              <w:t>Acute pain</w:t>
            </w:r>
            <w:r w:rsidRPr="00D61F73">
              <w:rPr>
                <w:rFonts w:ascii="Arial" w:hAnsi="Arial" w:cs="Arial"/>
              </w:rPr>
              <w:t>: There is limited evidence to show that this medication is effective for acute pain, and for postoperative pain, where there is fairly good evidence that the use of gabapentin and gabapentin-like compounds results in decreased opioid consumption. This beneficial effect, which may be related to an anti-anxiety effect, is accompanied by increased sedation and dizziness. (</w:t>
            </w:r>
            <w:hyperlink w:anchor="Peng" w:history="1">
              <w:r w:rsidRPr="00D61F73">
                <w:rPr>
                  <w:rStyle w:val="Hyperlink"/>
                  <w:rFonts w:ascii="Arial" w:hAnsi="Arial" w:cs="Arial"/>
                </w:rPr>
                <w:t>Peng, 2007</w:t>
              </w:r>
            </w:hyperlink>
            <w:r w:rsidRPr="00D61F73">
              <w:rPr>
                <w:rFonts w:ascii="Arial" w:hAnsi="Arial" w:cs="Arial"/>
              </w:rPr>
              <w:t>) (</w:t>
            </w:r>
            <w:hyperlink w:anchor="Buvanendran" w:history="1">
              <w:r w:rsidRPr="00D61F73">
                <w:rPr>
                  <w:rStyle w:val="Hyperlink"/>
                  <w:rFonts w:ascii="Arial" w:hAnsi="Arial" w:cs="Arial"/>
                </w:rPr>
                <w:t>Buvanendran, 2007</w:t>
              </w:r>
            </w:hyperlink>
            <w:r w:rsidRPr="00D61F73">
              <w:rPr>
                <w:rFonts w:ascii="Arial" w:hAnsi="Arial" w:cs="Arial"/>
              </w:rPr>
              <w:t>) (</w:t>
            </w:r>
            <w:hyperlink w:anchor="Menigaux" w:history="1">
              <w:r w:rsidRPr="00D61F73">
                <w:rPr>
                  <w:rStyle w:val="Hyperlink"/>
                  <w:rFonts w:ascii="Arial" w:hAnsi="Arial" w:cs="Arial"/>
                </w:rPr>
                <w:t>Menigaux, 2005</w:t>
              </w:r>
            </w:hyperlink>
            <w:r w:rsidRPr="00D61F73">
              <w:rPr>
                <w:rFonts w:ascii="Arial" w:hAnsi="Arial" w:cs="Arial"/>
              </w:rPr>
              <w:t>) (</w:t>
            </w:r>
            <w:hyperlink w:anchor="Pandey" w:history="1">
              <w:r w:rsidRPr="00D61F73">
                <w:rPr>
                  <w:rStyle w:val="Hyperlink"/>
                  <w:rFonts w:ascii="Arial" w:hAnsi="Arial" w:cs="Arial"/>
                </w:rPr>
                <w:t>Pandey, 2005</w:t>
              </w:r>
            </w:hyperlink>
            <w:r w:rsidRPr="00D61F73">
              <w:rPr>
                <w:rFonts w:ascii="Arial" w:hAnsi="Arial" w:cs="Arial"/>
              </w:rPr>
              <w:t>)</w:t>
            </w:r>
          </w:p>
          <w:p w14:paraId="278DC335" w14:textId="77777777" w:rsidR="008D0565" w:rsidRPr="00D61F73" w:rsidRDefault="008D0565" w:rsidP="00D61F73">
            <w:pPr>
              <w:rPr>
                <w:rFonts w:ascii="Arial" w:hAnsi="Arial" w:cs="Arial"/>
              </w:rPr>
            </w:pPr>
            <w:r w:rsidRPr="00D61F73">
              <w:rPr>
                <w:rFonts w:ascii="Arial" w:hAnsi="Arial" w:cs="Arial"/>
                <w:i/>
              </w:rPr>
              <w:t xml:space="preserve">Spinal cord injury: </w:t>
            </w:r>
            <w:r w:rsidRPr="00D61F73">
              <w:rPr>
                <w:rFonts w:ascii="Arial" w:hAnsi="Arial" w:cs="Arial"/>
              </w:rPr>
              <w:t>Recommended as a trial for chronic neuropathic pain that is associated with this condition. (</w:t>
            </w:r>
            <w:hyperlink w:anchor="Levendoglu" w:history="1">
              <w:r w:rsidRPr="00D61F73">
                <w:rPr>
                  <w:rStyle w:val="Hyperlink"/>
                  <w:rFonts w:ascii="Arial" w:hAnsi="Arial" w:cs="Arial"/>
                </w:rPr>
                <w:t>Levendoglu, 2004</w:t>
              </w:r>
            </w:hyperlink>
            <w:r w:rsidRPr="00D61F73">
              <w:rPr>
                <w:rFonts w:ascii="Arial" w:hAnsi="Arial" w:cs="Arial"/>
              </w:rPr>
              <w:t>)</w:t>
            </w:r>
          </w:p>
          <w:p w14:paraId="04869CDA" w14:textId="77777777" w:rsidR="008D0565" w:rsidRPr="00D61F73" w:rsidRDefault="008D0565" w:rsidP="00D61F73">
            <w:pPr>
              <w:rPr>
                <w:rFonts w:ascii="Arial" w:hAnsi="Arial" w:cs="Arial"/>
              </w:rPr>
            </w:pPr>
            <w:r w:rsidRPr="00D61F73">
              <w:rPr>
                <w:rFonts w:ascii="Arial" w:hAnsi="Arial" w:cs="Arial"/>
                <w:i/>
              </w:rPr>
              <w:t xml:space="preserve">CRPS: </w:t>
            </w:r>
            <w:r w:rsidRPr="00D61F73">
              <w:rPr>
                <w:rFonts w:ascii="Arial" w:hAnsi="Arial" w:cs="Arial"/>
              </w:rPr>
              <w:t>Recommended as a trial. (</w:t>
            </w:r>
            <w:hyperlink w:anchor="Serpell" w:history="1">
              <w:r w:rsidRPr="00D61F73">
                <w:rPr>
                  <w:rStyle w:val="Hyperlink"/>
                  <w:rFonts w:ascii="Arial" w:hAnsi="Arial" w:cs="Arial"/>
                </w:rPr>
                <w:t>Serpell, 2002</w:t>
              </w:r>
            </w:hyperlink>
            <w:r w:rsidRPr="00D61F73">
              <w:rPr>
                <w:rFonts w:ascii="Arial" w:hAnsi="Arial" w:cs="Arial"/>
              </w:rPr>
              <w:t>)</w:t>
            </w:r>
          </w:p>
          <w:p w14:paraId="3B3C0D72" w14:textId="77777777" w:rsidR="008D0565" w:rsidRPr="00D61F73" w:rsidRDefault="008D0565" w:rsidP="00D61F73">
            <w:pPr>
              <w:rPr>
                <w:rFonts w:ascii="Arial" w:hAnsi="Arial" w:cs="Arial"/>
              </w:rPr>
            </w:pPr>
            <w:r w:rsidRPr="00D61F73">
              <w:rPr>
                <w:rFonts w:ascii="Arial" w:hAnsi="Arial" w:cs="Arial"/>
                <w:i/>
              </w:rPr>
              <w:t xml:space="preserve">Fibromyalgia: </w:t>
            </w:r>
            <w:r w:rsidRPr="00D61F73">
              <w:rPr>
                <w:rFonts w:ascii="Arial" w:hAnsi="Arial" w:cs="Arial"/>
              </w:rPr>
              <w:t>Recommended as a trial. (</w:t>
            </w:r>
            <w:hyperlink w:anchor="Arnold" w:history="1">
              <w:r w:rsidRPr="00D61F73">
                <w:rPr>
                  <w:rStyle w:val="Hyperlink"/>
                  <w:rFonts w:ascii="Arial" w:hAnsi="Arial" w:cs="Arial"/>
                </w:rPr>
                <w:t>Arnold, 2007</w:t>
              </w:r>
            </w:hyperlink>
            <w:r w:rsidRPr="00D61F73">
              <w:rPr>
                <w:rFonts w:ascii="Arial" w:hAnsi="Arial" w:cs="Arial"/>
              </w:rPr>
              <w:t>)</w:t>
            </w:r>
          </w:p>
          <w:p w14:paraId="09DC9560" w14:textId="526491B4" w:rsidR="008D0565" w:rsidRPr="00D61F73" w:rsidRDefault="008D0565" w:rsidP="00D61F73">
            <w:pPr>
              <w:rPr>
                <w:rFonts w:ascii="Arial" w:hAnsi="Arial" w:cs="Arial"/>
              </w:rPr>
            </w:pPr>
            <w:r w:rsidRPr="00D61F73">
              <w:rPr>
                <w:rFonts w:ascii="Arial" w:hAnsi="Arial" w:cs="Arial"/>
                <w:i/>
              </w:rPr>
              <w:t xml:space="preserve">Lumbar spinal stenosis: </w:t>
            </w:r>
            <w:r w:rsidRPr="00D61F73">
              <w:rPr>
                <w:rFonts w:ascii="Arial" w:hAnsi="Arial" w:cs="Arial"/>
              </w:rPr>
              <w:t>Recommended as a trial, with statistically significant improvement found in walking distance, pain with movement, and sensory deficit found in a pilot study. (</w:t>
            </w:r>
            <w:hyperlink w:anchor="Yaksi" w:history="1">
              <w:r w:rsidRPr="00D61F73">
                <w:rPr>
                  <w:rStyle w:val="Hyperlink"/>
                  <w:rFonts w:ascii="Arial" w:hAnsi="Arial" w:cs="Arial"/>
                </w:rPr>
                <w:t>Yaksi, 2007</w:t>
              </w:r>
            </w:hyperlink>
            <w:r w:rsidRPr="00D61F73">
              <w:rPr>
                <w:rFonts w:ascii="Arial" w:hAnsi="Arial" w:cs="Arial"/>
              </w:rPr>
              <w:t>)</w:t>
            </w:r>
          </w:p>
          <w:p w14:paraId="6E5B37DF" w14:textId="77777777" w:rsidR="008D0565" w:rsidRPr="00D61F73" w:rsidRDefault="008D0565" w:rsidP="00D61F73">
            <w:pPr>
              <w:rPr>
                <w:rFonts w:ascii="Arial" w:hAnsi="Arial" w:cs="Arial"/>
              </w:rPr>
            </w:pPr>
            <w:r w:rsidRPr="00D61F73">
              <w:rPr>
                <w:rFonts w:ascii="Arial" w:hAnsi="Arial" w:cs="Arial"/>
                <w:i/>
              </w:rPr>
              <w:t>Side-Effect Profile</w:t>
            </w:r>
            <w:r w:rsidRPr="00D61F73">
              <w:rPr>
                <w:rFonts w:ascii="Arial" w:hAnsi="Arial" w:cs="Arial"/>
              </w:rPr>
              <w:t>: Gabapentin has a favorable side-effect profile, few clinically significant drug-drug interactions and is generally well tolerated; however, common side effects include dizziness, somnolence, confusion, ataxia, peripheral edema, and dry mouth. (</w:t>
            </w:r>
            <w:hyperlink w:anchor="Eisenberg2007" w:history="1">
              <w:r w:rsidRPr="00D61F73">
                <w:rPr>
                  <w:rStyle w:val="Hyperlink"/>
                  <w:rFonts w:ascii="Arial" w:hAnsi="Arial" w:cs="Arial"/>
                </w:rPr>
                <w:t>Eisenberg, 2007</w:t>
              </w:r>
            </w:hyperlink>
            <w:r w:rsidRPr="00D61F73">
              <w:rPr>
                <w:rFonts w:ascii="Arial" w:hAnsi="Arial" w:cs="Arial"/>
              </w:rPr>
              <w:t>) (</w:t>
            </w:r>
            <w:hyperlink w:anchor="Attal" w:history="1">
              <w:r w:rsidRPr="00D61F73">
                <w:rPr>
                  <w:rStyle w:val="Hyperlink"/>
                  <w:rFonts w:ascii="Arial" w:hAnsi="Arial" w:cs="Arial"/>
                </w:rPr>
                <w:t>Attal, 2006</w:t>
              </w:r>
            </w:hyperlink>
            <w:r w:rsidRPr="00D61F73">
              <w:rPr>
                <w:rFonts w:ascii="Arial" w:hAnsi="Arial" w:cs="Arial"/>
              </w:rPr>
              <w:t>) Weight gain is also an adverse effect.</w:t>
            </w:r>
          </w:p>
          <w:p w14:paraId="3C7B6876" w14:textId="77777777" w:rsidR="008D0565" w:rsidRPr="00D61F73" w:rsidRDefault="008D0565" w:rsidP="00D61F73">
            <w:pPr>
              <w:rPr>
                <w:rFonts w:ascii="Arial" w:hAnsi="Arial" w:cs="Arial"/>
              </w:rPr>
            </w:pPr>
            <w:r w:rsidRPr="00D61F73">
              <w:rPr>
                <w:rFonts w:ascii="Arial" w:hAnsi="Arial" w:cs="Arial"/>
                <w:i/>
              </w:rPr>
              <w:t>Dosing Information</w:t>
            </w:r>
            <w:r w:rsidRPr="00D61F73">
              <w:rPr>
                <w:rFonts w:ascii="Arial" w:hAnsi="Arial" w:cs="Arial"/>
              </w:rPr>
              <w:t xml:space="preserve">: </w:t>
            </w:r>
          </w:p>
          <w:p w14:paraId="656359D8" w14:textId="77777777" w:rsidR="008D0565" w:rsidRPr="00D61F73" w:rsidRDefault="008D0565" w:rsidP="00D61F73">
            <w:pPr>
              <w:rPr>
                <w:rFonts w:ascii="Arial" w:hAnsi="Arial" w:cs="Arial"/>
              </w:rPr>
            </w:pPr>
            <w:r w:rsidRPr="00D61F73">
              <w:rPr>
                <w:rFonts w:ascii="Arial" w:hAnsi="Arial" w:cs="Arial"/>
                <w:i/>
              </w:rPr>
              <w:lastRenderedPageBreak/>
              <w:t>Postherpetic neuralgia</w:t>
            </w:r>
            <w:r w:rsidRPr="00D61F73">
              <w:rPr>
                <w:rFonts w:ascii="Arial" w:hAnsi="Arial" w:cs="Arial"/>
              </w:rPr>
              <w:t xml:space="preserve"> – Starting regimen of 300 mg once daily on Day 1, then increase to 300 mg twice daily on Day 2; then increase to 300 mg three times daily on Day 3. Dosage may be increased as needed up to a total daily dosage of 1800 mg in three divided doses. Doses above 1800 mg/day have not demonstrated an additional benefit in clinical studies. (Neurontin package insert) </w:t>
            </w:r>
          </w:p>
          <w:p w14:paraId="2F7AB1A6" w14:textId="77777777" w:rsidR="008D0565" w:rsidRPr="00D61F73" w:rsidRDefault="008D0565" w:rsidP="00D61F73">
            <w:pPr>
              <w:rPr>
                <w:rFonts w:ascii="Arial" w:hAnsi="Arial" w:cs="Arial"/>
              </w:rPr>
            </w:pPr>
            <w:r w:rsidRPr="00D61F73">
              <w:rPr>
                <w:rFonts w:ascii="Arial" w:hAnsi="Arial" w:cs="Arial"/>
                <w:i/>
              </w:rPr>
              <w:t>Diabetic neuropathy</w:t>
            </w:r>
            <w:r w:rsidRPr="00D61F73">
              <w:rPr>
                <w:rFonts w:ascii="Arial" w:hAnsi="Arial" w:cs="Arial"/>
              </w:rPr>
              <w:t xml:space="preserve"> (off-label indication) – Gabapentin dosages range from 900 mg to 3600 mg in three divided doses (</w:t>
            </w:r>
            <w:hyperlink w:anchor="Backonja2002" w:history="1">
              <w:r w:rsidRPr="00D61F73">
                <w:rPr>
                  <w:rStyle w:val="Hyperlink"/>
                  <w:rFonts w:ascii="Arial" w:hAnsi="Arial" w:cs="Arial"/>
                </w:rPr>
                <w:t>Backonja, 2002</w:t>
              </w:r>
            </w:hyperlink>
            <w:r w:rsidRPr="00D61F73">
              <w:rPr>
                <w:rFonts w:ascii="Arial" w:hAnsi="Arial" w:cs="Arial"/>
              </w:rPr>
              <w:t>) (</w:t>
            </w:r>
            <w:hyperlink w:anchor="Eisenberg2007" w:history="1">
              <w:r w:rsidRPr="00D61F73">
                <w:rPr>
                  <w:rStyle w:val="Hyperlink"/>
                  <w:rFonts w:ascii="Arial" w:hAnsi="Arial" w:cs="Arial"/>
                </w:rPr>
                <w:t>Eisenberg, 2007</w:t>
              </w:r>
            </w:hyperlink>
            <w:r w:rsidRPr="00D61F73">
              <w:rPr>
                <w:rFonts w:ascii="Arial" w:hAnsi="Arial" w:cs="Arial"/>
              </w:rPr>
              <w:t xml:space="preserve">). Gabapentin is 100% renally excreted. </w:t>
            </w:r>
          </w:p>
          <w:p w14:paraId="10FE02A7" w14:textId="77777777" w:rsidR="008D0565" w:rsidRPr="00D61F73" w:rsidRDefault="008D0565" w:rsidP="00D61F73">
            <w:pPr>
              <w:rPr>
                <w:rFonts w:ascii="Arial" w:hAnsi="Arial" w:cs="Arial"/>
              </w:rPr>
            </w:pPr>
            <w:r w:rsidRPr="00D61F73">
              <w:rPr>
                <w:rFonts w:ascii="Arial" w:hAnsi="Arial" w:cs="Arial"/>
                <w:i/>
              </w:rPr>
              <w:t>Recommended Trial Period</w:t>
            </w:r>
            <w:r w:rsidRPr="00D61F73">
              <w:rPr>
                <w:rFonts w:ascii="Arial" w:hAnsi="Arial" w:cs="Arial"/>
              </w:rPr>
              <w:t>: One recommendation for an adequate trial with gabapentin is three to eight weeks for titration, then one to two weeks at maximum tolerated dosage. (</w:t>
            </w:r>
            <w:hyperlink w:anchor="Dworkin" w:history="1">
              <w:r w:rsidRPr="00D61F73">
                <w:rPr>
                  <w:rStyle w:val="Hyperlink"/>
                  <w:rFonts w:ascii="Arial" w:hAnsi="Arial" w:cs="Arial"/>
                </w:rPr>
                <w:t>Dworkin, 2003</w:t>
              </w:r>
            </w:hyperlink>
            <w:r w:rsidRPr="00D61F73">
              <w:rPr>
                <w:rFonts w:ascii="Arial" w:hAnsi="Arial" w:cs="Arial"/>
              </w:rPr>
              <w:t>) The patient should be asked at each visit as to whether there has been a change in pain or function. Current consensus based treatment algorithms for diabetic neuropathy suggest that if inadequate control of pain is found, a switch to another first-line drug is recommended. Combination therapy is only recommended if there is no change with first-line therapy, with the recommended change being at least 30%. (TCA, SNRI or AED). (</w:t>
            </w:r>
            <w:hyperlink w:anchor="Jensen2006" w:history="1">
              <w:r w:rsidRPr="00D61F73">
                <w:rPr>
                  <w:rStyle w:val="Hyperlink"/>
                  <w:rFonts w:ascii="Arial" w:hAnsi="Arial" w:cs="Arial"/>
                </w:rPr>
                <w:t>Jensen, 2006</w:t>
              </w:r>
            </w:hyperlink>
            <w:r w:rsidRPr="00D61F73">
              <w:rPr>
                <w:rFonts w:ascii="Arial" w:hAnsi="Arial" w:cs="Arial"/>
              </w:rPr>
              <w:t>) (</w:t>
            </w:r>
            <w:hyperlink w:anchor="Eisenberg2007" w:history="1">
              <w:r w:rsidRPr="00D61F73">
                <w:rPr>
                  <w:rStyle w:val="Hyperlink"/>
                  <w:rFonts w:ascii="Arial" w:hAnsi="Arial" w:cs="Arial"/>
                </w:rPr>
                <w:t>Eisenberg, 2007</w:t>
              </w:r>
            </w:hyperlink>
            <w:r w:rsidRPr="00D61F73">
              <w:rPr>
                <w:rFonts w:ascii="Arial" w:hAnsi="Arial" w:cs="Arial"/>
              </w:rPr>
              <w:t>)</w:t>
            </w:r>
          </w:p>
          <w:p w14:paraId="7BB86FDF" w14:textId="77777777" w:rsidR="008D0565" w:rsidRPr="00D61F73" w:rsidRDefault="008D0565" w:rsidP="00D61F73">
            <w:pPr>
              <w:rPr>
                <w:rFonts w:ascii="Arial" w:hAnsi="Arial" w:cs="Arial"/>
              </w:rPr>
            </w:pPr>
            <w:r w:rsidRPr="00D61F73">
              <w:rPr>
                <w:rFonts w:ascii="Arial" w:hAnsi="Arial" w:cs="Arial"/>
                <w:i/>
              </w:rPr>
              <w:t xml:space="preserve">Weaning and/or changing to another drug in this class: </w:t>
            </w:r>
            <w:r w:rsidRPr="00D61F73">
              <w:rPr>
                <w:rFonts w:ascii="Arial" w:hAnsi="Arial" w:cs="Arial"/>
              </w:rPr>
              <w:t xml:space="preserve">Gabapentin should not be abruptly discontinued, although this recommendation is made based on seizure therapy. Weaning and/or switching to another drug in this class should be done over the minimum of a week. (Neurontin package insert) </w:t>
            </w:r>
            <w:r w:rsidRPr="00D61F73">
              <w:rPr>
                <w:rFonts w:ascii="Arial" w:hAnsi="Arial" w:cs="Arial"/>
                <w:i/>
              </w:rPr>
              <w:t xml:space="preserve">When to switch to pregabalin: </w:t>
            </w:r>
            <w:r w:rsidRPr="00D61F73">
              <w:rPr>
                <w:rFonts w:ascii="Arial" w:hAnsi="Arial" w:cs="Arial"/>
              </w:rPr>
              <w:t>If there is evidence of inadequate response, intolerance, hypersensitivity or contraindications. There have been no head-to-head comparison trails of the two drugs.</w:t>
            </w:r>
          </w:p>
          <w:p w14:paraId="6DA8A87B" w14:textId="77777777" w:rsidR="008D0565" w:rsidRPr="00D61F73" w:rsidRDefault="008D0565" w:rsidP="00D61F73">
            <w:pPr>
              <w:outlineLvl w:val="0"/>
              <w:rPr>
                <w:rFonts w:ascii="Arial" w:hAnsi="Arial" w:cs="Arial"/>
              </w:rPr>
            </w:pPr>
            <w:r w:rsidRPr="00D61F73">
              <w:rPr>
                <w:rFonts w:ascii="Arial" w:hAnsi="Arial" w:cs="Arial"/>
                <w:b/>
                <w:bCs/>
                <w:i/>
                <w:u w:val="single"/>
              </w:rPr>
              <w:t>P</w:t>
            </w:r>
            <w:bookmarkStart w:id="73" w:name="PregabalinListing"/>
            <w:bookmarkEnd w:id="73"/>
            <w:r w:rsidRPr="00D61F73">
              <w:rPr>
                <w:rFonts w:ascii="Arial" w:hAnsi="Arial" w:cs="Arial"/>
                <w:b/>
                <w:bCs/>
                <w:i/>
                <w:u w:val="single"/>
              </w:rPr>
              <w:t>regabalin (Lyrica®, no generic available)</w:t>
            </w:r>
            <w:r w:rsidRPr="00D61F73">
              <w:rPr>
                <w:rFonts w:ascii="Arial" w:hAnsi="Arial" w:cs="Arial"/>
              </w:rPr>
              <w:t xml:space="preserve"> has been documented to be effective in treatment of diabetic neuropathy and postherpetic neuralgia, has FDA approval for both indications, and is considered first-line treatment for both. </w:t>
            </w:r>
            <w:r w:rsidR="00AD2CBF" w:rsidRPr="00D61F73">
              <w:rPr>
                <w:rFonts w:ascii="Arial" w:hAnsi="Arial" w:cs="Arial"/>
              </w:rPr>
              <w:t>(</w:t>
            </w:r>
            <w:hyperlink w:anchor="WIFFEN2013SUMMARY" w:history="1">
              <w:r w:rsidR="00853B3D" w:rsidRPr="00D61F73">
                <w:rPr>
                  <w:rStyle w:val="Hyperlink"/>
                  <w:rFonts w:ascii="Arial" w:hAnsi="Arial" w:cs="Arial"/>
                </w:rPr>
                <w:t>Wiffen-</w:t>
              </w:r>
              <w:r w:rsidR="00853B3D" w:rsidRPr="00D61F73">
                <w:rPr>
                  <w:rStyle w:val="Hyperlink"/>
                  <w:rFonts w:ascii="Arial" w:hAnsi="Arial" w:cs="Arial"/>
                  <w:i/>
                </w:rPr>
                <w:t>Cochrane</w:t>
              </w:r>
              <w:r w:rsidR="00853B3D" w:rsidRPr="00D61F73">
                <w:rPr>
                  <w:rStyle w:val="Hyperlink"/>
                  <w:rFonts w:ascii="Arial" w:hAnsi="Arial" w:cs="Arial"/>
                </w:rPr>
                <w:t>, 2013</w:t>
              </w:r>
            </w:hyperlink>
            <w:r w:rsidR="00AD2CBF" w:rsidRPr="00D61F73">
              <w:rPr>
                <w:rFonts w:ascii="Arial" w:hAnsi="Arial" w:cs="Arial"/>
              </w:rPr>
              <w:t xml:space="preserve">) </w:t>
            </w:r>
            <w:r w:rsidRPr="00D61F73">
              <w:rPr>
                <w:rFonts w:ascii="Arial" w:hAnsi="Arial" w:cs="Arial"/>
              </w:rPr>
              <w:t>This medication is designated as a Schedule V controlled substance because of its causal relationship with euphoria. (</w:t>
            </w:r>
            <w:hyperlink w:anchor="Blommel" w:history="1">
              <w:r w:rsidRPr="00D61F73">
                <w:rPr>
                  <w:rStyle w:val="Hyperlink"/>
                  <w:rFonts w:ascii="Arial" w:hAnsi="Arial" w:cs="Arial"/>
                </w:rPr>
                <w:t>Blommel, 2007</w:t>
              </w:r>
            </w:hyperlink>
            <w:r w:rsidRPr="00D61F73">
              <w:rPr>
                <w:rFonts w:ascii="Arial" w:hAnsi="Arial" w:cs="Arial"/>
              </w:rPr>
              <w:t>) This medication also has an anti-anxiety effect. Pregabalin is being considered by the FDA as treatment for generalized anxiety disorder and social anxiety disorder. In June 2007 the FDA announced the approval of pregabalin as the first approved treatment for fibromyalgia. (</w:t>
            </w:r>
            <w:hyperlink w:anchor="ICSI2007" w:history="1">
              <w:r w:rsidRPr="00D61F73">
                <w:rPr>
                  <w:rStyle w:val="Hyperlink"/>
                  <w:rFonts w:ascii="Arial" w:hAnsi="Arial" w:cs="Arial"/>
                </w:rPr>
                <w:t>ICSI, 2007</w:t>
              </w:r>
            </w:hyperlink>
            <w:r w:rsidRPr="00D61F73">
              <w:rPr>
                <w:rFonts w:ascii="Arial" w:hAnsi="Arial" w:cs="Arial"/>
              </w:rPr>
              <w:t>) (</w:t>
            </w:r>
            <w:hyperlink w:anchor="Tassone" w:history="1">
              <w:r w:rsidRPr="00D61F73">
                <w:rPr>
                  <w:rStyle w:val="Hyperlink"/>
                  <w:rFonts w:ascii="Arial" w:hAnsi="Arial" w:cs="Arial"/>
                </w:rPr>
                <w:t>Tassone, 2007</w:t>
              </w:r>
            </w:hyperlink>
            <w:r w:rsidRPr="00D61F73">
              <w:rPr>
                <w:rFonts w:ascii="Arial" w:hAnsi="Arial" w:cs="Arial"/>
              </w:rPr>
              <w:t>) (</w:t>
            </w:r>
            <w:hyperlink w:anchor="Knotkova" w:history="1">
              <w:r w:rsidRPr="00D61F73">
                <w:rPr>
                  <w:rStyle w:val="Hyperlink"/>
                  <w:rFonts w:ascii="Arial" w:hAnsi="Arial" w:cs="Arial"/>
                </w:rPr>
                <w:t>Knotkova, 2007</w:t>
              </w:r>
            </w:hyperlink>
            <w:r w:rsidRPr="00D61F73">
              <w:rPr>
                <w:rFonts w:ascii="Arial" w:hAnsi="Arial" w:cs="Arial"/>
              </w:rPr>
              <w:t>) (</w:t>
            </w:r>
            <w:hyperlink w:anchor="Eisenberg2007" w:history="1">
              <w:r w:rsidRPr="00D61F73">
                <w:rPr>
                  <w:rStyle w:val="Hyperlink"/>
                  <w:rFonts w:ascii="Arial" w:hAnsi="Arial" w:cs="Arial"/>
                </w:rPr>
                <w:t>Eisenberg, 2007</w:t>
              </w:r>
            </w:hyperlink>
            <w:r w:rsidRPr="00D61F73">
              <w:rPr>
                <w:rFonts w:ascii="Arial" w:hAnsi="Arial" w:cs="Arial"/>
              </w:rPr>
              <w:t>) (</w:t>
            </w:r>
            <w:hyperlink w:anchor="Crofford" w:history="1">
              <w:r w:rsidRPr="00D61F73">
                <w:rPr>
                  <w:rStyle w:val="Hyperlink"/>
                  <w:rFonts w:ascii="Arial" w:hAnsi="Arial" w:cs="Arial"/>
                </w:rPr>
                <w:t>Crofford, 2005</w:t>
              </w:r>
            </w:hyperlink>
            <w:r w:rsidRPr="00D61F73">
              <w:rPr>
                <w:rFonts w:ascii="Arial" w:hAnsi="Arial" w:cs="Arial"/>
              </w:rPr>
              <w:t>) (</w:t>
            </w:r>
            <w:hyperlink w:anchor="Stacey" w:history="1">
              <w:r w:rsidRPr="00D61F73">
                <w:rPr>
                  <w:rStyle w:val="Hyperlink"/>
                  <w:rFonts w:ascii="Arial" w:hAnsi="Arial" w:cs="Arial"/>
                </w:rPr>
                <w:t>Stacey, 2008</w:t>
              </w:r>
            </w:hyperlink>
            <w:r w:rsidRPr="00D61F73">
              <w:rPr>
                <w:rFonts w:ascii="Arial" w:hAnsi="Arial" w:cs="Arial"/>
              </w:rPr>
              <w:t>) Dose adjustment is necessary in patients with renal insufficiency. The antiepileptic agents gabapentin and pregabalin have attained widespread usage in the treatment of painful diabetic peripheral neuropathy (DPN). This pooled analysis of 7 randomized controlled trials comparing different doses and frequencies of pregabalin for painful DPN concluded that pregabalin at increasing daily doses is associated with dose-related relief of pain and reduction in sleep interference in patients with painful DPN. (</w:t>
            </w:r>
            <w:hyperlink w:anchor="Freeman" w:history="1">
              <w:r w:rsidRPr="00D61F73">
                <w:rPr>
                  <w:rStyle w:val="Hyperlink"/>
                  <w:rFonts w:ascii="Arial" w:hAnsi="Arial" w:cs="Arial"/>
                </w:rPr>
                <w:t>Freeman, 2008</w:t>
              </w:r>
            </w:hyperlink>
            <w:r w:rsidRPr="00D61F73">
              <w:rPr>
                <w:rFonts w:ascii="Arial" w:hAnsi="Arial" w:cs="Arial"/>
              </w:rPr>
              <w:t>)</w:t>
            </w:r>
          </w:p>
          <w:p w14:paraId="7A547B3A" w14:textId="77777777" w:rsidR="008D0565" w:rsidRPr="00D61F73" w:rsidRDefault="008D0565" w:rsidP="00D61F73">
            <w:pPr>
              <w:outlineLvl w:val="0"/>
              <w:rPr>
                <w:rFonts w:ascii="Arial" w:hAnsi="Arial" w:cs="Arial"/>
              </w:rPr>
            </w:pPr>
            <w:r w:rsidRPr="00D61F73">
              <w:rPr>
                <w:rFonts w:ascii="Arial" w:hAnsi="Arial" w:cs="Arial"/>
                <w:i/>
              </w:rPr>
              <w:t>Side-Effect Profile</w:t>
            </w:r>
            <w:r w:rsidRPr="00D61F73">
              <w:rPr>
                <w:rFonts w:ascii="Arial" w:hAnsi="Arial" w:cs="Arial"/>
              </w:rPr>
              <w:t xml:space="preserve">: Pregabalin has been associated with many side effects including edema, CNS depression, weight gain, and blurred vision. </w:t>
            </w:r>
            <w:r w:rsidRPr="00D61F73">
              <w:rPr>
                <w:rFonts w:ascii="Arial" w:hAnsi="Arial" w:cs="Arial"/>
              </w:rPr>
              <w:lastRenderedPageBreak/>
              <w:t>Somnolence and dizziness have been reported to be the most common side effects related to tolerability. (</w:t>
            </w:r>
            <w:hyperlink w:anchor="Tassone" w:history="1">
              <w:r w:rsidRPr="00D61F73">
                <w:rPr>
                  <w:rStyle w:val="Hyperlink"/>
                  <w:rFonts w:ascii="Arial" w:hAnsi="Arial" w:cs="Arial"/>
                </w:rPr>
                <w:t>Tassone, 2007</w:t>
              </w:r>
            </w:hyperlink>
            <w:r w:rsidRPr="00D61F73">
              <w:rPr>
                <w:rFonts w:ascii="Arial" w:hAnsi="Arial" w:cs="Arial"/>
              </w:rPr>
              <w:t>) (</w:t>
            </w:r>
            <w:hyperlink w:anchor="Attal" w:history="1">
              <w:r w:rsidRPr="00D61F73">
                <w:rPr>
                  <w:rStyle w:val="Hyperlink"/>
                  <w:rFonts w:ascii="Arial" w:hAnsi="Arial" w:cs="Arial"/>
                </w:rPr>
                <w:t>Attal, 2006</w:t>
              </w:r>
            </w:hyperlink>
            <w:r w:rsidRPr="00D61F73">
              <w:rPr>
                <w:rFonts w:ascii="Arial" w:hAnsi="Arial" w:cs="Arial"/>
              </w:rPr>
              <w:t>) Significant negative cognitive side effects were documented in healthy volunteers at 600 mg per day in one study. (</w:t>
            </w:r>
            <w:hyperlink w:anchor="Salinsky2010" w:history="1">
              <w:r w:rsidRPr="00D61F73">
                <w:rPr>
                  <w:rStyle w:val="Hyperlink"/>
                  <w:rFonts w:ascii="Arial" w:hAnsi="Arial" w:cs="Arial"/>
                </w:rPr>
                <w:t>Salinsky, 2010</w:t>
              </w:r>
            </w:hyperlink>
            <w:r w:rsidRPr="00D61F73">
              <w:rPr>
                <w:rFonts w:ascii="Arial" w:hAnsi="Arial" w:cs="Arial"/>
              </w:rPr>
              <w:t>) It has been suggested that this drug be avoided if the patient has a problem with weight gain. (</w:t>
            </w:r>
            <w:hyperlink w:anchor="Jensen2006" w:history="1">
              <w:r w:rsidRPr="00D61F73">
                <w:rPr>
                  <w:rStyle w:val="Hyperlink"/>
                  <w:rFonts w:ascii="Arial" w:hAnsi="Arial" w:cs="Arial"/>
                </w:rPr>
                <w:t>Jensen, 2006</w:t>
              </w:r>
            </w:hyperlink>
            <w:r w:rsidRPr="00D61F73">
              <w:rPr>
                <w:rFonts w:ascii="Arial" w:hAnsi="Arial" w:cs="Arial"/>
              </w:rPr>
              <w:t>)</w:t>
            </w:r>
          </w:p>
          <w:p w14:paraId="16086CB7" w14:textId="77777777" w:rsidR="008D0565" w:rsidRPr="00D61F73" w:rsidRDefault="008D0565" w:rsidP="00D61F73">
            <w:pPr>
              <w:outlineLvl w:val="0"/>
              <w:rPr>
                <w:rFonts w:ascii="Arial" w:hAnsi="Arial" w:cs="Arial"/>
              </w:rPr>
            </w:pPr>
            <w:r w:rsidRPr="00D61F73">
              <w:rPr>
                <w:rFonts w:ascii="Arial" w:hAnsi="Arial" w:cs="Arial"/>
                <w:i/>
              </w:rPr>
              <w:t>Dosing Information</w:t>
            </w:r>
            <w:r w:rsidRPr="00D61F73">
              <w:rPr>
                <w:rFonts w:ascii="Arial" w:hAnsi="Arial" w:cs="Arial"/>
              </w:rPr>
              <w:t xml:space="preserve">: </w:t>
            </w:r>
          </w:p>
          <w:p w14:paraId="5C3F59B5" w14:textId="77777777" w:rsidR="008D0565" w:rsidRPr="00D61F73" w:rsidRDefault="008D0565" w:rsidP="00D61F73">
            <w:pPr>
              <w:outlineLvl w:val="0"/>
              <w:rPr>
                <w:rFonts w:ascii="Arial" w:hAnsi="Arial" w:cs="Arial"/>
              </w:rPr>
            </w:pPr>
            <w:r w:rsidRPr="00D61F73">
              <w:rPr>
                <w:rFonts w:ascii="Arial" w:hAnsi="Arial" w:cs="Arial"/>
                <w:i/>
              </w:rPr>
              <w:t>Diabetic neuropathy</w:t>
            </w:r>
            <w:r w:rsidRPr="00D61F73">
              <w:rPr>
                <w:rFonts w:ascii="Arial" w:hAnsi="Arial" w:cs="Arial"/>
              </w:rPr>
              <w:t xml:space="preserve"> – Begin with 50 mg 3 times a day; may be increased in one week based on tolerability and effect to a maximum of 300 mg/day. (Doses up to 600 mg/day were evaluated with limited additional benefit and increase in side effects.) </w:t>
            </w:r>
          </w:p>
          <w:p w14:paraId="05615B8F" w14:textId="77777777" w:rsidR="008D0565" w:rsidRPr="00D61F73" w:rsidRDefault="008D0565" w:rsidP="00D61F73">
            <w:pPr>
              <w:outlineLvl w:val="0"/>
              <w:rPr>
                <w:rFonts w:ascii="Arial" w:hAnsi="Arial" w:cs="Arial"/>
              </w:rPr>
            </w:pPr>
            <w:r w:rsidRPr="00D61F73">
              <w:rPr>
                <w:rFonts w:ascii="Arial" w:hAnsi="Arial" w:cs="Arial"/>
                <w:i/>
              </w:rPr>
              <w:t>Postherpetic neuralgia</w:t>
            </w:r>
            <w:r w:rsidRPr="00D61F73">
              <w:rPr>
                <w:rFonts w:ascii="Arial" w:hAnsi="Arial" w:cs="Arial"/>
              </w:rPr>
              <w:t xml:space="preserve"> - Begin with 50 mg three times a day for one week; may be increased to 100 mg three times a day after one week based on tolerability and effect. Dose may be increased as tolerated after two to four weeks up to 300 mg twice daily (maximum dose 600 mg/day). (</w:t>
            </w:r>
            <w:hyperlink w:anchor="ICSI2007" w:history="1">
              <w:r w:rsidRPr="00D61F73">
                <w:rPr>
                  <w:rStyle w:val="Hyperlink"/>
                  <w:rFonts w:ascii="Arial" w:hAnsi="Arial" w:cs="Arial"/>
                </w:rPr>
                <w:t>ICSI, 2007</w:t>
              </w:r>
            </w:hyperlink>
            <w:r w:rsidRPr="00D61F73">
              <w:rPr>
                <w:rFonts w:ascii="Arial" w:hAnsi="Arial" w:cs="Arial"/>
              </w:rPr>
              <w:t xml:space="preserve">) </w:t>
            </w:r>
          </w:p>
          <w:p w14:paraId="03023885" w14:textId="77777777" w:rsidR="008D0565" w:rsidRPr="00D61F73" w:rsidRDefault="008D0565" w:rsidP="00D61F73">
            <w:pPr>
              <w:outlineLvl w:val="0"/>
              <w:rPr>
                <w:rFonts w:ascii="Arial" w:hAnsi="Arial" w:cs="Arial"/>
              </w:rPr>
            </w:pPr>
            <w:r w:rsidRPr="00D61F73">
              <w:rPr>
                <w:rFonts w:ascii="Arial" w:hAnsi="Arial" w:cs="Arial"/>
                <w:i/>
              </w:rPr>
              <w:t xml:space="preserve">Trial period: </w:t>
            </w:r>
            <w:r w:rsidRPr="00D61F73">
              <w:rPr>
                <w:rFonts w:ascii="Arial" w:hAnsi="Arial" w:cs="Arial"/>
              </w:rPr>
              <w:t>There is no established trial period, but the onset of action is thought to be less than 1 week. (</w:t>
            </w:r>
            <w:hyperlink w:anchor="Attal" w:history="1">
              <w:r w:rsidRPr="00D61F73">
                <w:rPr>
                  <w:rStyle w:val="Hyperlink"/>
                  <w:rFonts w:ascii="Arial" w:hAnsi="Arial" w:cs="Arial"/>
                </w:rPr>
                <w:t>Attal, 2006</w:t>
              </w:r>
            </w:hyperlink>
            <w:r w:rsidRPr="00D61F73">
              <w:rPr>
                <w:rFonts w:ascii="Arial" w:hAnsi="Arial" w:cs="Arial"/>
              </w:rPr>
              <w:t>)</w:t>
            </w:r>
          </w:p>
          <w:p w14:paraId="073F094E" w14:textId="77777777" w:rsidR="008D0565" w:rsidRPr="00D61F73" w:rsidRDefault="008D0565" w:rsidP="00D61F73">
            <w:pPr>
              <w:outlineLvl w:val="0"/>
              <w:rPr>
                <w:rFonts w:ascii="Arial" w:hAnsi="Arial" w:cs="Arial"/>
              </w:rPr>
            </w:pPr>
            <w:r w:rsidRPr="00D61F73">
              <w:rPr>
                <w:rFonts w:ascii="Arial" w:hAnsi="Arial" w:cs="Arial"/>
                <w:i/>
              </w:rPr>
              <w:t xml:space="preserve">Weaning: </w:t>
            </w:r>
            <w:r w:rsidRPr="00D61F73">
              <w:rPr>
                <w:rFonts w:ascii="Arial" w:hAnsi="Arial" w:cs="Arial"/>
              </w:rPr>
              <w:t>Do not discontinue pregabalin abruptly and weaning should occur over a one-week period. Withdrawal effects have been reported after abrupt discontinuation.</w:t>
            </w:r>
          </w:p>
          <w:p w14:paraId="1854B7A7" w14:textId="77777777" w:rsidR="008D0565" w:rsidRPr="00D61F73" w:rsidRDefault="008D0565" w:rsidP="00D61F73">
            <w:pPr>
              <w:rPr>
                <w:rFonts w:ascii="Arial" w:hAnsi="Arial" w:cs="Arial"/>
              </w:rPr>
            </w:pPr>
            <w:r w:rsidRPr="00D61F73">
              <w:rPr>
                <w:rFonts w:ascii="Arial" w:hAnsi="Arial" w:cs="Arial"/>
                <w:b/>
                <w:bCs/>
                <w:i/>
                <w:iCs/>
                <w:u w:val="single"/>
              </w:rPr>
              <w:t>L</w:t>
            </w:r>
            <w:bookmarkStart w:id="74" w:name="LamotrigineListing"/>
            <w:bookmarkEnd w:id="74"/>
            <w:r w:rsidRPr="00D61F73">
              <w:rPr>
                <w:rFonts w:ascii="Arial" w:hAnsi="Arial" w:cs="Arial"/>
                <w:b/>
                <w:bCs/>
                <w:i/>
                <w:iCs/>
                <w:u w:val="single"/>
              </w:rPr>
              <w:t>amotrigine (Lamictal®, generic available)</w:t>
            </w:r>
            <w:r w:rsidRPr="00D61F73">
              <w:rPr>
                <w:rFonts w:ascii="Arial" w:hAnsi="Arial" w:cs="Arial"/>
              </w:rPr>
              <w:t xml:space="preserve"> has been proven to be moderately effective for treatment of trigeminal neuralgia, HIV, and central post-stroke pain; (</w:t>
            </w:r>
            <w:hyperlink w:anchor="Backonja2002" w:history="1">
              <w:r w:rsidRPr="00D61F73">
                <w:rPr>
                  <w:rStyle w:val="Hyperlink"/>
                  <w:rFonts w:ascii="Arial" w:hAnsi="Arial" w:cs="Arial"/>
                </w:rPr>
                <w:t>Backonja, 2002</w:t>
              </w:r>
            </w:hyperlink>
            <w:r w:rsidRPr="00D61F73">
              <w:rPr>
                <w:rFonts w:ascii="Arial" w:hAnsi="Arial" w:cs="Arial"/>
              </w:rPr>
              <w:t>) (</w:t>
            </w:r>
            <w:hyperlink w:anchor="Namaka" w:history="1">
              <w:r w:rsidRPr="00D61F73">
                <w:rPr>
                  <w:rStyle w:val="Hyperlink"/>
                  <w:rFonts w:ascii="Arial" w:hAnsi="Arial" w:cs="Arial"/>
                </w:rPr>
                <w:t>Namaka, 2004</w:t>
              </w:r>
            </w:hyperlink>
            <w:r w:rsidRPr="00D61F73">
              <w:rPr>
                <w:rFonts w:ascii="Arial" w:hAnsi="Arial" w:cs="Arial"/>
              </w:rPr>
              <w:t>) (</w:t>
            </w:r>
            <w:hyperlink w:anchor="Maizels" w:history="1">
              <w:r w:rsidRPr="00D61F73">
                <w:rPr>
                  <w:rStyle w:val="Hyperlink"/>
                  <w:rFonts w:ascii="Arial" w:hAnsi="Arial" w:cs="Arial"/>
                </w:rPr>
                <w:t>Maizels, 2005</w:t>
              </w:r>
            </w:hyperlink>
            <w:r w:rsidRPr="00D61F73">
              <w:rPr>
                <w:rFonts w:ascii="Arial" w:hAnsi="Arial" w:cs="Arial"/>
              </w:rPr>
              <w:t>) (</w:t>
            </w:r>
            <w:hyperlink w:anchor="ICSI" w:history="1">
              <w:r w:rsidRPr="00D61F73">
                <w:rPr>
                  <w:rStyle w:val="Hyperlink"/>
                  <w:rFonts w:ascii="Arial" w:hAnsi="Arial" w:cs="Arial"/>
                </w:rPr>
                <w:t>ICSI, 2005</w:t>
              </w:r>
            </w:hyperlink>
            <w:r w:rsidRPr="00D61F73">
              <w:rPr>
                <w:rFonts w:ascii="Arial" w:hAnsi="Arial" w:cs="Arial"/>
              </w:rPr>
              <w:t>) (</w:t>
            </w:r>
            <w:hyperlink w:anchor="Dworkin" w:history="1">
              <w:r w:rsidRPr="00D61F73">
                <w:rPr>
                  <w:rStyle w:val="Hyperlink"/>
                  <w:rFonts w:ascii="Arial" w:hAnsi="Arial" w:cs="Arial"/>
                </w:rPr>
                <w:t>Dworkin, 2003</w:t>
              </w:r>
            </w:hyperlink>
            <w:r w:rsidRPr="00D61F73">
              <w:rPr>
                <w:rFonts w:ascii="Arial" w:hAnsi="Arial" w:cs="Arial"/>
              </w:rPr>
              <w:t>) (</w:t>
            </w:r>
            <w:hyperlink w:anchor="Wiffen3"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 It has not been shown to be effective for diabetic neuropathy. Due to side-effects and slow titration period, lamotrigine is not generally recommended as a first-line treatment for neuropathic pain. (</w:t>
            </w:r>
            <w:hyperlink w:anchor="Dworkin" w:history="1">
              <w:r w:rsidRPr="00D61F73">
                <w:rPr>
                  <w:rStyle w:val="Hyperlink"/>
                  <w:rFonts w:ascii="Arial" w:hAnsi="Arial" w:cs="Arial"/>
                </w:rPr>
                <w:t>Dworkin, 2003</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 Furthermore, a recent Cochrane review determined that although there is some evidence that lamotrigine may be effective for HIV neuropathy and post-stroke pain, this drug does not have a “significant place in therapy at present.” This was partly due to the availability of more effect treatments including other AEDs and antidepressants. (</w:t>
            </w:r>
            <w:hyperlink w:anchor="Wiffen3"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w:t>
            </w:r>
          </w:p>
          <w:p w14:paraId="051642A0" w14:textId="77777777" w:rsidR="008D0565" w:rsidRPr="00D61F73" w:rsidRDefault="008D0565" w:rsidP="00D61F73">
            <w:pPr>
              <w:rPr>
                <w:rFonts w:ascii="Arial" w:hAnsi="Arial" w:cs="Arial"/>
              </w:rPr>
            </w:pPr>
            <w:r w:rsidRPr="00D61F73">
              <w:rPr>
                <w:rFonts w:ascii="Arial" w:hAnsi="Arial" w:cs="Arial"/>
                <w:i/>
              </w:rPr>
              <w:t>Side-Effect Profile</w:t>
            </w:r>
            <w:r w:rsidRPr="00D61F73">
              <w:rPr>
                <w:rFonts w:ascii="Arial" w:hAnsi="Arial" w:cs="Arial"/>
              </w:rPr>
              <w:t>: Lamotrogine is associated with many side effects, including a life-threatening skin rash, Stevens-Johnson syndrome (incidence 1/1000), and it has been reported that up to 7% developed a skin rash that may be dose-dependent. (</w:t>
            </w:r>
            <w:hyperlink w:anchor="Wiffen3"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 There is a black box warning regarding skin rashes for this medication. The drug should be discontinued at first sign of rash. (</w:t>
            </w:r>
            <w:hyperlink w:anchor="Eisenberg2007" w:history="1">
              <w:r w:rsidRPr="00D61F73">
                <w:rPr>
                  <w:rStyle w:val="Hyperlink"/>
                  <w:rFonts w:ascii="Arial" w:hAnsi="Arial" w:cs="Arial"/>
                </w:rPr>
                <w:t>Eisenberg, 2007</w:t>
              </w:r>
            </w:hyperlink>
            <w:r w:rsidRPr="00D61F73">
              <w:rPr>
                <w:rFonts w:ascii="Arial" w:hAnsi="Arial" w:cs="Arial"/>
              </w:rPr>
              <w:t>) While current guidelines recommend discontinuing lamotrigine in patients who develop rash, cases that develop benign rash can be rechallenged without adverse consequences, but very slow titration of lamotrigine is crucial to the reduction of rash recurrence rate. The recommended dosage schedule is: 5 mg every day or every second day for 14 days, increased by 5 mg every 14th day to 25 mg a day. (</w:t>
            </w:r>
            <w:hyperlink w:anchor="PCodreaTigaran" w:history="1">
              <w:r w:rsidRPr="00D61F73">
                <w:rPr>
                  <w:rStyle w:val="Hyperlink"/>
                  <w:rFonts w:ascii="Arial" w:hAnsi="Arial" w:cs="Arial"/>
                </w:rPr>
                <w:t>P-Codrea Tigaran, 2005</w:t>
              </w:r>
            </w:hyperlink>
            <w:r w:rsidRPr="00D61F73">
              <w:rPr>
                <w:rFonts w:ascii="Arial" w:hAnsi="Arial" w:cs="Arial"/>
              </w:rPr>
              <w:t>) (</w:t>
            </w:r>
            <w:hyperlink w:anchor="Lorberg" w:history="1">
              <w:r w:rsidRPr="00D61F73">
                <w:rPr>
                  <w:rStyle w:val="Hyperlink"/>
                  <w:rFonts w:ascii="Arial" w:hAnsi="Arial" w:cs="Arial"/>
                </w:rPr>
                <w:t>Lorberg, 2008</w:t>
              </w:r>
            </w:hyperlink>
            <w:r w:rsidRPr="00D61F73">
              <w:rPr>
                <w:rFonts w:ascii="Arial" w:hAnsi="Arial" w:cs="Arial"/>
              </w:rPr>
              <w:t>) Other side effects include dizziness, nausea, headache and fatigue.</w:t>
            </w:r>
          </w:p>
          <w:p w14:paraId="4206AADC" w14:textId="77777777" w:rsidR="008D0565" w:rsidRPr="00D61F73" w:rsidRDefault="008D0565" w:rsidP="00D61F73">
            <w:pPr>
              <w:rPr>
                <w:rFonts w:ascii="Arial" w:hAnsi="Arial" w:cs="Arial"/>
              </w:rPr>
            </w:pPr>
            <w:r w:rsidRPr="00D61F73">
              <w:rPr>
                <w:rFonts w:ascii="Arial" w:hAnsi="Arial" w:cs="Arial"/>
                <w:i/>
              </w:rPr>
              <w:t>Dosing Information</w:t>
            </w:r>
            <w:r w:rsidRPr="00D61F73">
              <w:rPr>
                <w:rFonts w:ascii="Arial" w:hAnsi="Arial" w:cs="Arial"/>
              </w:rPr>
              <w:t xml:space="preserve">: (off-label indication) Begin with 25 mg daily; then titrate up by 25 mg to 50 mg every 1-2 weeks up to 400 mg/day; titration </w:t>
            </w:r>
            <w:r w:rsidRPr="00D61F73">
              <w:rPr>
                <w:rFonts w:ascii="Arial" w:hAnsi="Arial" w:cs="Arial"/>
              </w:rPr>
              <w:lastRenderedPageBreak/>
              <w:t>must occur slowly and tapering should occur upon discontinuation. (</w:t>
            </w:r>
            <w:hyperlink w:anchor="ICSI2007" w:history="1">
              <w:r w:rsidRPr="00D61F73">
                <w:rPr>
                  <w:rStyle w:val="Hyperlink"/>
                  <w:rFonts w:ascii="Arial" w:hAnsi="Arial" w:cs="Arial"/>
                </w:rPr>
                <w:t>ICSI, 2007</w:t>
              </w:r>
            </w:hyperlink>
            <w:r w:rsidRPr="00D61F73">
              <w:rPr>
                <w:rFonts w:ascii="Arial" w:hAnsi="Arial" w:cs="Arial"/>
              </w:rPr>
              <w:t>)</w:t>
            </w:r>
          </w:p>
          <w:p w14:paraId="14D59AFF" w14:textId="77777777" w:rsidR="008D0565" w:rsidRPr="00D61F73" w:rsidRDefault="008D0565" w:rsidP="00D61F73">
            <w:pPr>
              <w:rPr>
                <w:rFonts w:ascii="Arial" w:hAnsi="Arial" w:cs="Arial"/>
              </w:rPr>
            </w:pPr>
            <w:r w:rsidRPr="00D61F73">
              <w:rPr>
                <w:rFonts w:ascii="Arial" w:hAnsi="Arial" w:cs="Arial"/>
                <w:b/>
                <w:bCs/>
                <w:i/>
                <w:iCs/>
                <w:u w:val="single"/>
              </w:rPr>
              <w:t>C</w:t>
            </w:r>
            <w:bookmarkStart w:id="75" w:name="CarbamazepineListing"/>
            <w:bookmarkEnd w:id="75"/>
            <w:r w:rsidRPr="00D61F73">
              <w:rPr>
                <w:rFonts w:ascii="Arial" w:hAnsi="Arial" w:cs="Arial"/>
                <w:b/>
                <w:bCs/>
                <w:i/>
                <w:iCs/>
                <w:u w:val="single"/>
              </w:rPr>
              <w:t>arbamazepine (Tegretol®, Tegretol®-XR, Carbatrol®, Epitol®, Equetro™, generic available)</w:t>
            </w:r>
            <w:r w:rsidRPr="00D61F73">
              <w:rPr>
                <w:rFonts w:ascii="Arial" w:hAnsi="Arial" w:cs="Arial"/>
              </w:rPr>
              <w:t xml:space="preserve"> has been shown to be effective for trigeminal neuralgia (</w:t>
            </w:r>
            <w:hyperlink w:anchor="Backonja2002" w:history="1">
              <w:r w:rsidRPr="00D61F73">
                <w:rPr>
                  <w:rStyle w:val="Hyperlink"/>
                  <w:rFonts w:ascii="Arial" w:hAnsi="Arial" w:cs="Arial"/>
                </w:rPr>
                <w:t>Backonja, 2002</w:t>
              </w:r>
            </w:hyperlink>
            <w:r w:rsidRPr="00D61F73">
              <w:rPr>
                <w:rFonts w:ascii="Arial" w:hAnsi="Arial" w:cs="Arial"/>
              </w:rPr>
              <w:t>) (</w:t>
            </w:r>
            <w:hyperlink w:anchor="ICSI2007" w:history="1">
              <w:r w:rsidRPr="00D61F73">
                <w:rPr>
                  <w:rStyle w:val="Hyperlink"/>
                  <w:rFonts w:ascii="Arial" w:hAnsi="Arial" w:cs="Arial"/>
                </w:rPr>
                <w:t>ICSI, 2007</w:t>
              </w:r>
            </w:hyperlink>
            <w:r w:rsidRPr="00D61F73">
              <w:rPr>
                <w:rFonts w:ascii="Arial" w:hAnsi="Arial" w:cs="Arial"/>
              </w:rPr>
              <w:t>) (</w:t>
            </w:r>
            <w:hyperlink w:anchor="Finnerup" w:history="1">
              <w:r w:rsidRPr="00D61F73">
                <w:rPr>
                  <w:rStyle w:val="Hyperlink"/>
                  <w:rFonts w:ascii="Arial" w:hAnsi="Arial" w:cs="Arial"/>
                </w:rPr>
                <w:t>Finnerup, 2005</w:t>
              </w:r>
            </w:hyperlink>
            <w:r w:rsidRPr="00D61F73">
              <w:rPr>
                <w:rFonts w:ascii="Arial" w:hAnsi="Arial" w:cs="Arial"/>
              </w:rPr>
              <w:t>) and has been FDA approved for this indication. The NNT for this medication for trigeminal neuralgia has been reported as 2.6. (</w:t>
            </w:r>
            <w:hyperlink w:anchor="Backonja2002" w:history="1">
              <w:r w:rsidRPr="00D61F73">
                <w:rPr>
                  <w:rStyle w:val="Hyperlink"/>
                  <w:rFonts w:ascii="Arial" w:hAnsi="Arial" w:cs="Arial"/>
                </w:rPr>
                <w:t>Backonja, 2002</w:t>
              </w:r>
            </w:hyperlink>
            <w:r w:rsidRPr="00D61F73">
              <w:rPr>
                <w:rFonts w:ascii="Arial" w:hAnsi="Arial" w:cs="Arial"/>
              </w:rPr>
              <w:t xml:space="preserve">) </w:t>
            </w:r>
          </w:p>
          <w:p w14:paraId="61A7D4FE" w14:textId="4EEC3C7D" w:rsidR="008D0565" w:rsidRPr="00D61F73" w:rsidRDefault="008D0565" w:rsidP="00D61F73">
            <w:pPr>
              <w:rPr>
                <w:rFonts w:ascii="Arial" w:hAnsi="Arial" w:cs="Arial"/>
              </w:rPr>
            </w:pPr>
            <w:r w:rsidRPr="00D61F73">
              <w:rPr>
                <w:rFonts w:ascii="Arial" w:hAnsi="Arial" w:cs="Arial"/>
                <w:i/>
              </w:rPr>
              <w:t>Side Effect Profile</w:t>
            </w:r>
            <w:r w:rsidRPr="00D61F73">
              <w:rPr>
                <w:rFonts w:ascii="Arial" w:hAnsi="Arial" w:cs="Arial"/>
              </w:rPr>
              <w:t>: Carbamazepine’s use is often limited because of side-effects, (</w:t>
            </w:r>
            <w:hyperlink w:anchor="Knotkova" w:history="1">
              <w:r w:rsidRPr="00D61F73">
                <w:rPr>
                  <w:rStyle w:val="Hyperlink"/>
                  <w:rFonts w:ascii="Arial" w:hAnsi="Arial" w:cs="Arial"/>
                </w:rPr>
                <w:t>Knotkova, 2007</w:t>
              </w:r>
            </w:hyperlink>
            <w:r w:rsidRPr="00D61F73">
              <w:rPr>
                <w:rFonts w:ascii="Arial" w:hAnsi="Arial" w:cs="Arial"/>
              </w:rPr>
              <w:t>) including ataxia, cognitive decreases (</w:t>
            </w:r>
            <w:hyperlink w:anchor="Namaka" w:history="1">
              <w:r w:rsidRPr="00D61F73">
                <w:rPr>
                  <w:rStyle w:val="Hyperlink"/>
                  <w:rFonts w:ascii="Arial" w:hAnsi="Arial" w:cs="Arial"/>
                </w:rPr>
                <w:t>Namaka, 2004</w:t>
              </w:r>
            </w:hyperlink>
            <w:r w:rsidRPr="00D61F73">
              <w:rPr>
                <w:rFonts w:ascii="Arial" w:hAnsi="Arial" w:cs="Arial"/>
              </w:rPr>
              <w:t xml:space="preserve">), dizziness, somnolence, CNS depression, hyponatremia, nausea and vomiting, skin rashes (rarely Stevens-Johnson Syndrome has been reported) and hematolgic disorders, including agranulycytosis and aplastic anemia. There is a black box warning regarding development of potentially fatal blood cell abnormalities following the use of carbamazepine, and the drug should be discontinued at the first sign of a rash. Pretreatment CBC should be obtained for monitoring purposes; other monitoring parameters include: CBC with platelet count, reticulocytes, serum iron, lipid panel, liver function tests, urinalysis, BUN, serum carbamazepine levels, thyroid function tests, serum sodium; ophthalmic exams (pupillary reflexes). Patient should also be observed for excessive sedation during initial therapy or when increasing dose. Additionally, a long-term effect of weight gain has been reported. This medication also has significant drug-drug interactions. The </w:t>
            </w:r>
            <w:r w:rsidR="00261E37" w:rsidRPr="00261E37">
              <w:rPr>
                <w:rFonts w:ascii="Arial" w:hAnsi="Arial" w:cs="Arial"/>
              </w:rPr>
              <w:t>number needed to treat</w:t>
            </w:r>
            <w:r w:rsidRPr="00D61F73">
              <w:rPr>
                <w:rFonts w:ascii="Arial" w:hAnsi="Arial" w:cs="Arial"/>
              </w:rPr>
              <w:t xml:space="preserve"> (NNT) for this medication for overall neuropathic pain is 2.5; while the number needed to harm found in the Cochrane review was 3.7. (</w:t>
            </w:r>
            <w:hyperlink w:anchor="Wiffen" w:history="1">
              <w:r w:rsidRPr="00D61F73">
                <w:rPr>
                  <w:rStyle w:val="Hyperlink"/>
                  <w:rFonts w:ascii="Arial" w:hAnsi="Arial" w:cs="Arial"/>
                </w:rPr>
                <w:t>Wiffen-</w:t>
              </w:r>
              <w:r w:rsidRPr="00D61F73">
                <w:rPr>
                  <w:rStyle w:val="Hyperlink"/>
                  <w:rFonts w:ascii="Arial" w:hAnsi="Arial" w:cs="Arial"/>
                  <w:i/>
                  <w:iCs/>
                </w:rPr>
                <w:t>Cochrane</w:t>
              </w:r>
              <w:r w:rsidRPr="00D61F73">
                <w:rPr>
                  <w:rStyle w:val="Hyperlink"/>
                  <w:rFonts w:ascii="Arial" w:hAnsi="Arial" w:cs="Arial"/>
                </w:rPr>
                <w:t>, 2005</w:t>
              </w:r>
            </w:hyperlink>
            <w:r w:rsidRPr="00D61F73">
              <w:rPr>
                <w:rFonts w:ascii="Arial" w:hAnsi="Arial" w:cs="Arial"/>
              </w:rPr>
              <w:t xml:space="preserve">) </w:t>
            </w:r>
          </w:p>
          <w:p w14:paraId="7EA3027D" w14:textId="77777777" w:rsidR="008D0565" w:rsidRPr="00D61F73" w:rsidRDefault="008D0565" w:rsidP="00D61F73">
            <w:pPr>
              <w:rPr>
                <w:rFonts w:ascii="Arial" w:hAnsi="Arial" w:cs="Arial"/>
              </w:rPr>
            </w:pPr>
            <w:r w:rsidRPr="00D61F73">
              <w:rPr>
                <w:rFonts w:ascii="Arial" w:hAnsi="Arial" w:cs="Arial"/>
                <w:i/>
              </w:rPr>
              <w:t>Dosing Information</w:t>
            </w:r>
            <w:r w:rsidRPr="00D61F73">
              <w:rPr>
                <w:rFonts w:ascii="Arial" w:hAnsi="Arial" w:cs="Arial"/>
              </w:rPr>
              <w:t xml:space="preserve">: </w:t>
            </w:r>
          </w:p>
          <w:p w14:paraId="4EA37D08" w14:textId="77777777" w:rsidR="008D0565" w:rsidRPr="00D61F73" w:rsidRDefault="008D0565" w:rsidP="00D61F73">
            <w:pPr>
              <w:rPr>
                <w:rFonts w:ascii="Arial" w:hAnsi="Arial" w:cs="Arial"/>
              </w:rPr>
            </w:pPr>
            <w:r w:rsidRPr="00D61F73">
              <w:rPr>
                <w:rFonts w:ascii="Arial" w:hAnsi="Arial" w:cs="Arial"/>
                <w:i/>
              </w:rPr>
              <w:t>Trigeminal neuralgia</w:t>
            </w:r>
            <w:r w:rsidRPr="00D61F73">
              <w:rPr>
                <w:rFonts w:ascii="Arial" w:hAnsi="Arial" w:cs="Arial"/>
              </w:rPr>
              <w:t xml:space="preserve"> – Begin with 100 mg twice daily with food; increase in increments of 100 mg twice daily as needed as tolerated. Usual dose is between 400-800 mg daily in two divided doses. Maximum dose 1200 mg/day. </w:t>
            </w:r>
          </w:p>
          <w:p w14:paraId="71006D0D" w14:textId="77777777" w:rsidR="008D0565" w:rsidRPr="00D61F73" w:rsidRDefault="008D0565" w:rsidP="00D61F73">
            <w:pPr>
              <w:rPr>
                <w:rFonts w:ascii="Arial" w:hAnsi="Arial" w:cs="Arial"/>
              </w:rPr>
            </w:pPr>
            <w:r w:rsidRPr="00D61F73">
              <w:rPr>
                <w:rFonts w:ascii="Arial" w:hAnsi="Arial" w:cs="Arial"/>
                <w:b/>
                <w:bCs/>
                <w:i/>
                <w:iCs/>
                <w:u w:val="single"/>
              </w:rPr>
              <w:t>O</w:t>
            </w:r>
            <w:bookmarkStart w:id="76" w:name="OxcarbazepineListing"/>
            <w:bookmarkEnd w:id="76"/>
            <w:r w:rsidRPr="00D61F73">
              <w:rPr>
                <w:rFonts w:ascii="Arial" w:hAnsi="Arial" w:cs="Arial"/>
                <w:b/>
                <w:bCs/>
                <w:i/>
                <w:iCs/>
                <w:u w:val="single"/>
              </w:rPr>
              <w:t>xcarbazepine (Trileptal®, generic available)</w:t>
            </w:r>
            <w:r w:rsidRPr="00D61F73">
              <w:rPr>
                <w:rFonts w:ascii="Arial" w:hAnsi="Arial" w:cs="Arial"/>
                <w:b/>
                <w:bCs/>
                <w:i/>
                <w:iCs/>
              </w:rPr>
              <w:t xml:space="preserve"> </w:t>
            </w:r>
            <w:r w:rsidRPr="00D61F73">
              <w:rPr>
                <w:rFonts w:ascii="Arial" w:hAnsi="Arial" w:cs="Arial"/>
              </w:rPr>
              <w:t>has demonstrated benefits for treating neuropathic pain, specifically trigeminal neuralgia. (</w:t>
            </w:r>
            <w:hyperlink w:anchor="ICSI2007" w:history="1">
              <w:r w:rsidRPr="00D61F73">
                <w:rPr>
                  <w:rStyle w:val="Hyperlink"/>
                  <w:rFonts w:ascii="Arial" w:hAnsi="Arial" w:cs="Arial"/>
                </w:rPr>
                <w:t>ICSI, 2007</w:t>
              </w:r>
            </w:hyperlink>
            <w:r w:rsidRPr="00D61F73">
              <w:rPr>
                <w:rFonts w:ascii="Arial" w:hAnsi="Arial" w:cs="Arial"/>
              </w:rPr>
              <w:t>) Evidence for treating other neuropathies is inconclusive. It is not currently recommended for diabetic peripheral neuropathy or post-herpetic neuralgia. (</w:t>
            </w:r>
            <w:hyperlink w:anchor="Dworkin2010" w:history="1">
              <w:r w:rsidRPr="00D61F73">
                <w:rPr>
                  <w:rStyle w:val="Hyperlink"/>
                  <w:rFonts w:ascii="Arial" w:hAnsi="Arial" w:cs="Arial"/>
                </w:rPr>
                <w:t>Dworkin, 2010</w:t>
              </w:r>
            </w:hyperlink>
            <w:r w:rsidRPr="00D61F73">
              <w:rPr>
                <w:rFonts w:ascii="Arial" w:hAnsi="Arial" w:cs="Arial"/>
              </w:rPr>
              <w:t>)</w:t>
            </w:r>
          </w:p>
          <w:p w14:paraId="38648110" w14:textId="77777777" w:rsidR="008D0565" w:rsidRPr="00D61F73" w:rsidRDefault="008D0565" w:rsidP="00D61F73">
            <w:pPr>
              <w:rPr>
                <w:rFonts w:ascii="Arial" w:hAnsi="Arial" w:cs="Arial"/>
              </w:rPr>
            </w:pPr>
            <w:r w:rsidRPr="00D61F73">
              <w:rPr>
                <w:rFonts w:ascii="Arial" w:hAnsi="Arial" w:cs="Arial"/>
                <w:i/>
              </w:rPr>
              <w:t>Side-Effect Profile</w:t>
            </w:r>
            <w:r w:rsidRPr="00D61F73">
              <w:rPr>
                <w:rFonts w:ascii="Arial" w:hAnsi="Arial" w:cs="Arial"/>
              </w:rPr>
              <w:t>: Similar side-effect profile to carbamazepine (see above). Generally better tolerated when compared to carbamazepine and fewer drug-drug interactions (</w:t>
            </w:r>
            <w:hyperlink w:anchor="ICSI2007" w:history="1">
              <w:r w:rsidRPr="00D61F73">
                <w:rPr>
                  <w:rStyle w:val="Hyperlink"/>
                  <w:rFonts w:ascii="Arial" w:hAnsi="Arial" w:cs="Arial"/>
                </w:rPr>
                <w:t>ICSI, 2007</w:t>
              </w:r>
            </w:hyperlink>
            <w:r w:rsidRPr="00D61F73">
              <w:rPr>
                <w:rFonts w:ascii="Arial" w:hAnsi="Arial" w:cs="Arial"/>
              </w:rPr>
              <w:t>) Serum sodium should be monitored (i.e., especially during initial three-month period).</w:t>
            </w:r>
          </w:p>
          <w:p w14:paraId="02B807AD" w14:textId="77777777" w:rsidR="008D0565" w:rsidRDefault="008D0565" w:rsidP="00D61F73">
            <w:pPr>
              <w:rPr>
                <w:rFonts w:ascii="Arial" w:hAnsi="Arial" w:cs="Arial"/>
              </w:rPr>
            </w:pPr>
            <w:r w:rsidRPr="00D61F73">
              <w:rPr>
                <w:rFonts w:ascii="Arial" w:hAnsi="Arial" w:cs="Arial"/>
                <w:i/>
              </w:rPr>
              <w:t>Dosing Information</w:t>
            </w:r>
            <w:r w:rsidRPr="00D61F73">
              <w:rPr>
                <w:rFonts w:ascii="Arial" w:hAnsi="Arial" w:cs="Arial"/>
              </w:rPr>
              <w:t xml:space="preserve">: </w:t>
            </w:r>
            <w:r w:rsidRPr="00D61F73">
              <w:rPr>
                <w:rFonts w:ascii="Arial" w:hAnsi="Arial" w:cs="Arial"/>
                <w:i/>
              </w:rPr>
              <w:t>Trigeminal neuralgia</w:t>
            </w:r>
            <w:r w:rsidRPr="00D61F73">
              <w:rPr>
                <w:rFonts w:ascii="Arial" w:hAnsi="Arial" w:cs="Arial"/>
              </w:rPr>
              <w:t xml:space="preserve"> (off-label indication) - Titrate as tolerated to effect, using recommended dosage titration schedules. Starting doses of 150 mg to 300 mg twice daily; may be titrated by no more than 600 mg/day at weekly intervals to a maximum of 2400 mg daily. Most patients respond to doses between 900 mg—2400 mg/day. (</w:t>
            </w:r>
            <w:hyperlink w:anchor="ICSI2007" w:history="1">
              <w:r w:rsidRPr="00D61F73">
                <w:rPr>
                  <w:rStyle w:val="Hyperlink"/>
                  <w:rFonts w:ascii="Arial" w:hAnsi="Arial" w:cs="Arial"/>
                </w:rPr>
                <w:t>ICSI, 2007</w:t>
              </w:r>
            </w:hyperlink>
            <w:r w:rsidRPr="00D61F73">
              <w:rPr>
                <w:rFonts w:ascii="Arial" w:hAnsi="Arial" w:cs="Arial"/>
              </w:rPr>
              <w:t>) Dose adjustment is necessary in patients with renal insufficiency; use in patients with severe hepatic insufficiency has not been established.</w:t>
            </w:r>
          </w:p>
          <w:p w14:paraId="03582512" w14:textId="77777777" w:rsidR="00C939FA" w:rsidRPr="00D61F73" w:rsidRDefault="00C939FA" w:rsidP="00D61F73">
            <w:pPr>
              <w:rPr>
                <w:rFonts w:ascii="Arial" w:hAnsi="Arial" w:cs="Arial"/>
              </w:rPr>
            </w:pPr>
          </w:p>
          <w:p w14:paraId="690B288D" w14:textId="77777777" w:rsidR="008D0565" w:rsidRPr="00D61F73" w:rsidRDefault="008D0565" w:rsidP="00D61F73">
            <w:pPr>
              <w:rPr>
                <w:rFonts w:ascii="Arial" w:hAnsi="Arial" w:cs="Arial"/>
                <w:b/>
              </w:rPr>
            </w:pPr>
            <w:r w:rsidRPr="00D61F73">
              <w:rPr>
                <w:rFonts w:ascii="Arial" w:hAnsi="Arial" w:cs="Arial"/>
                <w:b/>
              </w:rPr>
              <w:lastRenderedPageBreak/>
              <w:t>Other Antiepileptic Drugs</w:t>
            </w:r>
          </w:p>
          <w:p w14:paraId="6C1F859C" w14:textId="77777777" w:rsidR="008D0565" w:rsidRPr="00D61F73" w:rsidRDefault="008D0565" w:rsidP="00D61F73">
            <w:pPr>
              <w:rPr>
                <w:rFonts w:ascii="Arial" w:hAnsi="Arial" w:cs="Arial"/>
              </w:rPr>
            </w:pPr>
            <w:r w:rsidRPr="00D61F73">
              <w:rPr>
                <w:rFonts w:ascii="Arial" w:hAnsi="Arial" w:cs="Arial"/>
                <w:b/>
                <w:bCs/>
                <w:i/>
                <w:iCs/>
                <w:u w:val="single"/>
              </w:rPr>
              <w:t>P</w:t>
            </w:r>
            <w:bookmarkStart w:id="77" w:name="PhenytoinListing"/>
            <w:bookmarkEnd w:id="77"/>
            <w:r w:rsidRPr="00D61F73">
              <w:rPr>
                <w:rFonts w:ascii="Arial" w:hAnsi="Arial" w:cs="Arial"/>
                <w:b/>
                <w:bCs/>
                <w:i/>
                <w:iCs/>
                <w:u w:val="single"/>
              </w:rPr>
              <w:t>henytoin (Dilantin®, Phenytek™, generic available)</w:t>
            </w:r>
            <w:r w:rsidRPr="00D61F73">
              <w:rPr>
                <w:rFonts w:ascii="Arial" w:hAnsi="Arial" w:cs="Arial"/>
                <w:b/>
                <w:bCs/>
                <w:i/>
                <w:iCs/>
              </w:rPr>
              <w:t xml:space="preserve"> </w:t>
            </w:r>
            <w:r w:rsidRPr="00D61F73">
              <w:rPr>
                <w:rFonts w:ascii="Arial" w:hAnsi="Arial" w:cs="Arial"/>
              </w:rPr>
              <w:t>has been shown to have limited effectiveness to treat neuropathic pain, except for possible use in acute flares above baseline, and then, given as an IV injection. (</w:t>
            </w:r>
            <w:hyperlink w:anchor="Namaka" w:history="1">
              <w:r w:rsidRPr="00D61F73">
                <w:rPr>
                  <w:rStyle w:val="Hyperlink"/>
                  <w:rFonts w:ascii="Arial" w:hAnsi="Arial" w:cs="Arial"/>
                </w:rPr>
                <w:t>Namaka, 2004</w:t>
              </w:r>
            </w:hyperlink>
            <w:r w:rsidRPr="00D61F73">
              <w:rPr>
                <w:rFonts w:ascii="Arial" w:hAnsi="Arial" w:cs="Arial"/>
              </w:rPr>
              <w:t>)</w:t>
            </w:r>
          </w:p>
          <w:p w14:paraId="1055A118" w14:textId="77777777" w:rsidR="008D0565" w:rsidRPr="00D61F73" w:rsidRDefault="008D0565" w:rsidP="00D61F73">
            <w:pPr>
              <w:rPr>
                <w:rFonts w:ascii="Arial" w:hAnsi="Arial" w:cs="Arial"/>
              </w:rPr>
            </w:pPr>
            <w:r w:rsidRPr="00D61F73">
              <w:rPr>
                <w:rFonts w:ascii="Arial" w:hAnsi="Arial" w:cs="Arial"/>
                <w:b/>
                <w:bCs/>
                <w:i/>
                <w:iCs/>
                <w:u w:val="single"/>
              </w:rPr>
              <w:t>T</w:t>
            </w:r>
            <w:bookmarkStart w:id="78" w:name="TopiramateListing"/>
            <w:bookmarkEnd w:id="78"/>
            <w:r w:rsidRPr="00D61F73">
              <w:rPr>
                <w:rFonts w:ascii="Arial" w:hAnsi="Arial" w:cs="Arial"/>
                <w:b/>
                <w:bCs/>
                <w:i/>
                <w:iCs/>
                <w:u w:val="single"/>
              </w:rPr>
              <w:t>opiramate (Topamax®, generic available)</w:t>
            </w:r>
            <w:r w:rsidRPr="00D61F73">
              <w:rPr>
                <w:rFonts w:ascii="Arial" w:hAnsi="Arial" w:cs="Arial"/>
                <w:b/>
                <w:bCs/>
                <w:i/>
                <w:iCs/>
              </w:rPr>
              <w:t xml:space="preserve"> </w:t>
            </w:r>
            <w:r w:rsidRPr="00D61F73">
              <w:rPr>
                <w:rFonts w:ascii="Arial" w:hAnsi="Arial" w:cs="Arial"/>
              </w:rPr>
              <w:t>has been shown to have variable efficacy, with failure to demonstrate efficacy in neuropathic pain of “central” etiology. It is still considered for use for neuropathic pain when other anticonvulsants fail. Topiramate has recently been investigated as an adjunct treatment for obesity, but the side effect profile limits its use in this regard. (</w:t>
            </w:r>
            <w:hyperlink w:anchor="Rosenstock" w:history="1">
              <w:r w:rsidRPr="00D61F73">
                <w:rPr>
                  <w:rStyle w:val="Hyperlink"/>
                  <w:rFonts w:ascii="Arial" w:hAnsi="Arial" w:cs="Arial"/>
                </w:rPr>
                <w:t>Rosenstock, 2007</w:t>
              </w:r>
            </w:hyperlink>
            <w:r w:rsidRPr="00D61F73">
              <w:rPr>
                <w:rFonts w:ascii="Arial" w:hAnsi="Arial" w:cs="Arial"/>
              </w:rPr>
              <w:t>)</w:t>
            </w:r>
          </w:p>
          <w:p w14:paraId="4011CD17" w14:textId="77777777" w:rsidR="008D0565" w:rsidRPr="00D61F73" w:rsidRDefault="008D0565" w:rsidP="00D61F73">
            <w:pPr>
              <w:rPr>
                <w:rFonts w:ascii="Arial" w:hAnsi="Arial" w:cs="Arial"/>
              </w:rPr>
            </w:pPr>
            <w:r w:rsidRPr="00D61F73">
              <w:rPr>
                <w:rFonts w:ascii="Arial" w:hAnsi="Arial" w:cs="Arial"/>
                <w:b/>
                <w:bCs/>
                <w:i/>
                <w:iCs/>
                <w:u w:val="single"/>
              </w:rPr>
              <w:t>L</w:t>
            </w:r>
            <w:bookmarkStart w:id="79" w:name="LevetiracetamListing"/>
            <w:bookmarkEnd w:id="79"/>
            <w:r w:rsidRPr="00D61F73">
              <w:rPr>
                <w:rFonts w:ascii="Arial" w:hAnsi="Arial" w:cs="Arial"/>
                <w:b/>
                <w:bCs/>
                <w:i/>
                <w:iCs/>
                <w:u w:val="single"/>
              </w:rPr>
              <w:t>evetiracetam (Keppra®, generic available), Zonisamide (Zonegran®, generic available), and Tiagabine (Gabitril®, no generic),</w:t>
            </w:r>
            <w:r w:rsidRPr="00D61F73">
              <w:rPr>
                <w:rFonts w:ascii="Arial" w:hAnsi="Arial" w:cs="Arial"/>
              </w:rPr>
              <w:t xml:space="preserve"> are among the antiepileptic drugs (AEDs) most recently approved, while these drugs may be effective for neuropathic pain, the ultimate role of these agents for pain requires further research and experience (</w:t>
            </w:r>
            <w:hyperlink w:anchor="ICSI2007" w:history="1">
              <w:r w:rsidRPr="00D61F73">
                <w:rPr>
                  <w:rStyle w:val="Hyperlink"/>
                  <w:rFonts w:ascii="Arial" w:hAnsi="Arial" w:cs="Arial"/>
                </w:rPr>
                <w:t>ICSI, 2007</w:t>
              </w:r>
            </w:hyperlink>
            <w:r w:rsidRPr="00D61F73">
              <w:rPr>
                <w:rFonts w:ascii="Arial" w:hAnsi="Arial" w:cs="Arial"/>
              </w:rPr>
              <w:t>) (</w:t>
            </w:r>
            <w:hyperlink w:anchor="Knotkova" w:history="1">
              <w:r w:rsidRPr="00D61F73">
                <w:rPr>
                  <w:rStyle w:val="Hyperlink"/>
                  <w:rFonts w:ascii="Arial" w:hAnsi="Arial" w:cs="Arial"/>
                </w:rPr>
                <w:t>Knotkova, 2007</w:t>
              </w:r>
            </w:hyperlink>
            <w:r w:rsidRPr="00D61F73">
              <w:rPr>
                <w:rFonts w:ascii="Arial" w:hAnsi="Arial" w:cs="Arial"/>
              </w:rPr>
              <w:t>) (</w:t>
            </w:r>
            <w:hyperlink w:anchor="Eisenberg2007" w:history="1">
              <w:r w:rsidRPr="00D61F73">
                <w:rPr>
                  <w:rStyle w:val="Hyperlink"/>
                  <w:rFonts w:ascii="Arial" w:hAnsi="Arial" w:cs="Arial"/>
                </w:rPr>
                <w:t>Eisenberg, 2007</w:t>
              </w:r>
            </w:hyperlink>
            <w:r w:rsidRPr="00D61F73">
              <w:rPr>
                <w:rFonts w:ascii="Arial" w:hAnsi="Arial" w:cs="Arial"/>
              </w:rPr>
              <w:t>). In the interim, these agents should be used to treat neuropathic pain only when carbamazepine, gabapentin, or lamotrigine cannot be used. (</w:t>
            </w:r>
            <w:hyperlink w:anchor="Guay" w:history="1">
              <w:r w:rsidRPr="00D61F73">
                <w:rPr>
                  <w:rStyle w:val="Hyperlink"/>
                  <w:rFonts w:ascii="Arial" w:hAnsi="Arial" w:cs="Arial"/>
                </w:rPr>
                <w:t>Guay, 2003</w:t>
              </w:r>
            </w:hyperlink>
            <w:r w:rsidRPr="00D61F73">
              <w:rPr>
                <w:rFonts w:ascii="Arial" w:hAnsi="Arial" w:cs="Arial"/>
              </w:rPr>
              <w:t>) In addition, underlying depression and anxiety symptoms may be exacerbated by levetiracetam. (</w:t>
            </w:r>
            <w:hyperlink w:anchor="Ettinger" w:history="1">
              <w:r w:rsidRPr="00D61F73">
                <w:rPr>
                  <w:rStyle w:val="Hyperlink"/>
                  <w:rFonts w:ascii="Arial" w:hAnsi="Arial" w:cs="Arial"/>
                </w:rPr>
                <w:t>Ettinger, 2007</w:t>
              </w:r>
            </w:hyperlink>
            <w:r w:rsidRPr="00D61F73">
              <w:rPr>
                <w:rFonts w:ascii="Arial" w:hAnsi="Arial" w:cs="Arial"/>
              </w:rPr>
              <w:t>)</w:t>
            </w:r>
          </w:p>
        </w:tc>
      </w:tr>
      <w:tr w:rsidR="008D0565" w:rsidRPr="00D61F73" w14:paraId="6455876D" w14:textId="77777777" w:rsidTr="004A2158">
        <w:tc>
          <w:tcPr>
            <w:tcW w:w="1086" w:type="pct"/>
            <w:shd w:val="clear" w:color="auto" w:fill="auto"/>
          </w:tcPr>
          <w:p w14:paraId="41F0F172" w14:textId="77777777" w:rsidR="008D0565" w:rsidRPr="00D61F73" w:rsidRDefault="008D0565" w:rsidP="00D61F73">
            <w:pPr>
              <w:rPr>
                <w:rFonts w:ascii="Arial" w:hAnsi="Arial" w:cs="Arial"/>
              </w:rPr>
            </w:pPr>
            <w:r w:rsidRPr="00D61F73">
              <w:rPr>
                <w:rFonts w:ascii="Arial" w:hAnsi="Arial" w:cs="Arial"/>
              </w:rPr>
              <w:lastRenderedPageBreak/>
              <w:t>A</w:t>
            </w:r>
            <w:bookmarkStart w:id="80" w:name="Antiinflammatorymedications"/>
            <w:bookmarkEnd w:id="80"/>
            <w:r w:rsidRPr="00D61F73">
              <w:rPr>
                <w:rFonts w:ascii="Arial" w:hAnsi="Arial" w:cs="Arial"/>
              </w:rPr>
              <w:t>nti-inflammatory medications</w:t>
            </w:r>
            <w:r w:rsidR="00A309D8" w:rsidRPr="00D61F73">
              <w:rPr>
                <w:rFonts w:ascii="Arial" w:hAnsi="Arial" w:cs="Arial"/>
              </w:rPr>
              <w:t xml:space="preserve"> </w:t>
            </w:r>
          </w:p>
        </w:tc>
        <w:tc>
          <w:tcPr>
            <w:tcW w:w="3914" w:type="pct"/>
            <w:shd w:val="clear" w:color="auto" w:fill="auto"/>
          </w:tcPr>
          <w:p w14:paraId="536B841F" w14:textId="1C85A4AA" w:rsidR="00F33AC8" w:rsidRPr="00D61F73" w:rsidRDefault="008D0565" w:rsidP="00D61F73">
            <w:pPr>
              <w:rPr>
                <w:rFonts w:ascii="Arial" w:hAnsi="Arial" w:cs="Arial"/>
                <w:b/>
                <w:u w:val="single"/>
              </w:rPr>
            </w:pPr>
            <w:r w:rsidRPr="00D61F73">
              <w:rPr>
                <w:rFonts w:ascii="Arial" w:hAnsi="Arial" w:cs="Arial"/>
              </w:rPr>
              <w:t xml:space="preserve">For specific recommendations, 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r w:rsidR="00583056" w:rsidRPr="00D61F73">
              <w:rPr>
                <w:rFonts w:ascii="Arial" w:hAnsi="Arial" w:cs="Arial"/>
              </w:rPr>
              <w:t xml:space="preserve">Refer to </w:t>
            </w:r>
            <w:r w:rsidR="00F33AC8" w:rsidRPr="00D61F73">
              <w:rPr>
                <w:rFonts w:ascii="Arial" w:hAnsi="Arial" w:cs="Arial"/>
              </w:rPr>
              <w:t xml:space="preserve">the </w:t>
            </w:r>
            <w:r w:rsidR="00F33AC8" w:rsidRPr="00F96D34">
              <w:rPr>
                <w:rFonts w:ascii="Arial" w:hAnsi="Arial" w:cs="Arial"/>
              </w:rPr>
              <w:t>MTUS Low Back Complaints</w:t>
            </w:r>
            <w:r w:rsidR="00F33AC8" w:rsidRPr="00D61F73">
              <w:rPr>
                <w:rFonts w:ascii="Arial" w:hAnsi="Arial" w:cs="Arial"/>
              </w:rPr>
              <w:t>.</w:t>
            </w:r>
          </w:p>
          <w:p w14:paraId="5EB86DB4" w14:textId="77777777" w:rsidR="008D0565" w:rsidRPr="00D61F73" w:rsidRDefault="008D0565" w:rsidP="00D61F73">
            <w:pPr>
              <w:rPr>
                <w:rFonts w:ascii="Arial" w:hAnsi="Arial" w:cs="Arial"/>
              </w:rPr>
            </w:pPr>
            <w:r w:rsidRPr="00D61F73">
              <w:rPr>
                <w:rFonts w:ascii="Arial" w:hAnsi="Arial" w:cs="Arial"/>
              </w:rPr>
              <w:t>Anti-inflammatories are the traditional first line of treatment, to reduce pain so activity and functional restoration can resume, but long-term use may not be warranted. (</w:t>
            </w:r>
            <w:hyperlink w:anchor="vanTulder" w:history="1">
              <w:r w:rsidRPr="00D61F73">
                <w:rPr>
                  <w:rStyle w:val="Hyperlink"/>
                  <w:rFonts w:ascii="Arial" w:hAnsi="Arial" w:cs="Arial"/>
                </w:rPr>
                <w:t>Van Tulder-Cochrane, 2000</w:t>
              </w:r>
            </w:hyperlink>
            <w:r w:rsidRPr="00D61F73">
              <w:rPr>
                <w:rFonts w:ascii="Arial" w:hAnsi="Arial" w:cs="Arial"/>
              </w:rPr>
              <w:t xml:space="preserve">) </w:t>
            </w:r>
            <w:r w:rsidR="00BD06FD" w:rsidRPr="00D61F73">
              <w:rPr>
                <w:rFonts w:ascii="Arial" w:hAnsi="Arial" w:cs="Arial"/>
              </w:rPr>
              <w:t xml:space="preserve"> </w:t>
            </w:r>
            <w:r w:rsidRPr="00D61F73">
              <w:rPr>
                <w:rFonts w:ascii="Arial" w:hAnsi="Arial" w:cs="Arial"/>
              </w:rPr>
              <w:t xml:space="preserve">See also </w:t>
            </w:r>
            <w:hyperlink w:anchor="Nonprescriptionmedications" w:history="1">
              <w:r w:rsidRPr="00D61F73">
                <w:rPr>
                  <w:rStyle w:val="Hyperlink"/>
                  <w:rFonts w:ascii="Arial" w:hAnsi="Arial" w:cs="Arial"/>
                </w:rPr>
                <w:t>Nonprescription Medications</w:t>
              </w:r>
            </w:hyperlink>
            <w:r w:rsidRPr="00D61F73">
              <w:rPr>
                <w:rFonts w:ascii="Arial" w:hAnsi="Arial" w:cs="Arial"/>
              </w:rPr>
              <w:t>. COX-2 inhibitors (e.g., Celebrex) may be considered if the patient has a risk of GI complications, but not for the majority of patients. Generic NSAIDs and COX-2 inhibitors have similar efficacy and risks when used for less than 3 months, but a 10-to-1 difference in cost. (Rate of overall GI bleeding is 3% with COX-2’s versus 4.5% with ibuprofen.) (</w:t>
            </w:r>
            <w:hyperlink w:anchor="Homik" w:history="1">
              <w:r w:rsidRPr="00D61F73">
                <w:rPr>
                  <w:rStyle w:val="Hyperlink"/>
                  <w:rFonts w:ascii="Arial" w:hAnsi="Arial" w:cs="Arial"/>
                </w:rPr>
                <w:t>Homik, 200</w:t>
              </w:r>
              <w:r w:rsidR="00CB500F" w:rsidRPr="00D61F73">
                <w:rPr>
                  <w:rStyle w:val="Hyperlink"/>
                  <w:rFonts w:ascii="Arial" w:hAnsi="Arial" w:cs="Arial"/>
                </w:rPr>
                <w:t>4</w:t>
              </w:r>
            </w:hyperlink>
            <w:r w:rsidRPr="00D61F73">
              <w:rPr>
                <w:rFonts w:ascii="Arial" w:hAnsi="Arial" w:cs="Arial"/>
              </w:rPr>
              <w:t>) For precautions in specific patient populations,</w:t>
            </w:r>
            <w:hyperlink w:anchor="NSAIDsGIandCV" w:history="1">
              <w:r w:rsidRPr="00D61F73">
                <w:rPr>
                  <w:rStyle w:val="Hyperlink"/>
                  <w:rFonts w:ascii="Arial" w:hAnsi="Arial" w:cs="Arial"/>
                </w:rPr>
                <w:t xml:space="preserve"> see NSAIDs, GI symptoms &amp; cardiovascular risk</w:t>
              </w:r>
            </w:hyperlink>
            <w:r w:rsidRPr="00D61F73">
              <w:rPr>
                <w:rFonts w:ascii="Arial" w:hAnsi="Arial" w:cs="Arial"/>
              </w:rPr>
              <w:t>.</w:t>
            </w:r>
          </w:p>
        </w:tc>
      </w:tr>
      <w:tr w:rsidR="008D0565" w:rsidRPr="00D61F73" w14:paraId="2E3D2A5C" w14:textId="77777777" w:rsidTr="004A2158">
        <w:tc>
          <w:tcPr>
            <w:tcW w:w="1086" w:type="pct"/>
            <w:shd w:val="clear" w:color="auto" w:fill="auto"/>
          </w:tcPr>
          <w:p w14:paraId="40395629" w14:textId="77777777" w:rsidR="008D0565" w:rsidRPr="00D61F73" w:rsidRDefault="008D0565" w:rsidP="00D61F73">
            <w:pPr>
              <w:rPr>
                <w:rFonts w:ascii="Arial" w:hAnsi="Arial" w:cs="Arial"/>
              </w:rPr>
            </w:pPr>
            <w:r w:rsidRPr="00D61F73">
              <w:rPr>
                <w:rFonts w:ascii="Arial" w:hAnsi="Arial" w:cs="Arial"/>
              </w:rPr>
              <w:t>A</w:t>
            </w:r>
            <w:bookmarkStart w:id="81" w:name="Antispasmodics"/>
            <w:bookmarkEnd w:id="81"/>
            <w:r w:rsidRPr="00D61F73">
              <w:rPr>
                <w:rFonts w:ascii="Arial" w:hAnsi="Arial" w:cs="Arial"/>
              </w:rPr>
              <w:t>ntispasmodics</w:t>
            </w:r>
          </w:p>
        </w:tc>
        <w:tc>
          <w:tcPr>
            <w:tcW w:w="3914" w:type="pct"/>
            <w:shd w:val="clear" w:color="auto" w:fill="auto"/>
          </w:tcPr>
          <w:p w14:paraId="72AB3C82" w14:textId="23663134" w:rsidR="008D0565" w:rsidRPr="00D61F73" w:rsidRDefault="008D0565" w:rsidP="00D61F73">
            <w:pPr>
              <w:rPr>
                <w:rFonts w:ascii="Arial" w:hAnsi="Arial" w:cs="Arial"/>
              </w:rPr>
            </w:pPr>
            <w:r w:rsidRPr="00D61F73">
              <w:rPr>
                <w:rFonts w:ascii="Arial" w:hAnsi="Arial" w:cs="Arial"/>
              </w:rPr>
              <w:t xml:space="preserve">See </w:t>
            </w:r>
            <w:hyperlink w:anchor="Musclerelaxants" w:history="1">
              <w:r w:rsidRPr="00D61F73">
                <w:rPr>
                  <w:rStyle w:val="Hyperlink"/>
                  <w:rFonts w:ascii="Arial" w:hAnsi="Arial" w:cs="Arial"/>
                </w:rPr>
                <w:t>Muscle relaxants</w:t>
              </w:r>
            </w:hyperlink>
            <w:r w:rsidRPr="00D61F73">
              <w:rPr>
                <w:rFonts w:ascii="Arial" w:hAnsi="Arial" w:cs="Arial"/>
              </w:rPr>
              <w:t>.</w:t>
            </w:r>
          </w:p>
        </w:tc>
      </w:tr>
      <w:tr w:rsidR="008D0565" w:rsidRPr="00D61F73" w14:paraId="13746C1E" w14:textId="77777777" w:rsidTr="004A2158">
        <w:tc>
          <w:tcPr>
            <w:tcW w:w="1086" w:type="pct"/>
            <w:shd w:val="clear" w:color="auto" w:fill="auto"/>
          </w:tcPr>
          <w:p w14:paraId="7B8ECAE2" w14:textId="77777777" w:rsidR="008D0565" w:rsidRPr="00D61F73" w:rsidRDefault="008D0565" w:rsidP="00D61F73">
            <w:pPr>
              <w:rPr>
                <w:rFonts w:ascii="Arial" w:hAnsi="Arial" w:cs="Arial"/>
              </w:rPr>
            </w:pPr>
            <w:r w:rsidRPr="00D61F73">
              <w:rPr>
                <w:rFonts w:ascii="Arial" w:hAnsi="Arial" w:cs="Arial"/>
              </w:rPr>
              <w:t>A</w:t>
            </w:r>
            <w:bookmarkStart w:id="82" w:name="Antispasticagents"/>
            <w:bookmarkStart w:id="83" w:name="Antispasticitydrugs"/>
            <w:bookmarkEnd w:id="82"/>
            <w:bookmarkEnd w:id="83"/>
            <w:r w:rsidRPr="00D61F73">
              <w:rPr>
                <w:rFonts w:ascii="Arial" w:hAnsi="Arial" w:cs="Arial"/>
              </w:rPr>
              <w:t>ntispasticity drugs</w:t>
            </w:r>
          </w:p>
        </w:tc>
        <w:tc>
          <w:tcPr>
            <w:tcW w:w="3914" w:type="pct"/>
            <w:shd w:val="clear" w:color="auto" w:fill="auto"/>
          </w:tcPr>
          <w:p w14:paraId="300A3A89" w14:textId="3CABE668" w:rsidR="008D0565" w:rsidRPr="00D61F73" w:rsidRDefault="008D0565" w:rsidP="00D61F73">
            <w:pPr>
              <w:rPr>
                <w:rFonts w:ascii="Arial" w:hAnsi="Arial" w:cs="Arial"/>
              </w:rPr>
            </w:pPr>
            <w:r w:rsidRPr="00D61F73">
              <w:rPr>
                <w:rFonts w:ascii="Arial" w:hAnsi="Arial" w:cs="Arial"/>
              </w:rPr>
              <w:t xml:space="preserve">See </w:t>
            </w:r>
            <w:hyperlink w:anchor="Musclerelaxants" w:history="1">
              <w:r w:rsidRPr="00D61F73">
                <w:rPr>
                  <w:rStyle w:val="Hyperlink"/>
                  <w:rFonts w:ascii="Arial" w:hAnsi="Arial" w:cs="Arial"/>
                </w:rPr>
                <w:t>Muscle relaxants</w:t>
              </w:r>
            </w:hyperlink>
            <w:r w:rsidRPr="00D61F73">
              <w:rPr>
                <w:rFonts w:ascii="Arial" w:hAnsi="Arial" w:cs="Arial"/>
              </w:rPr>
              <w:t>.</w:t>
            </w:r>
          </w:p>
        </w:tc>
      </w:tr>
      <w:tr w:rsidR="008D0565" w:rsidRPr="00D61F73" w14:paraId="30CFE42E" w14:textId="77777777" w:rsidTr="004A2158">
        <w:tc>
          <w:tcPr>
            <w:tcW w:w="1086" w:type="pct"/>
            <w:shd w:val="clear" w:color="auto" w:fill="auto"/>
          </w:tcPr>
          <w:p w14:paraId="74648646" w14:textId="77777777" w:rsidR="008D0565" w:rsidRPr="00D61F73" w:rsidRDefault="008D0565" w:rsidP="00D61F73">
            <w:pPr>
              <w:rPr>
                <w:rFonts w:ascii="Arial" w:hAnsi="Arial" w:cs="Arial"/>
              </w:rPr>
            </w:pPr>
            <w:r w:rsidRPr="00D61F73">
              <w:rPr>
                <w:rFonts w:ascii="Arial" w:hAnsi="Arial" w:cs="Arial"/>
              </w:rPr>
              <w:t>A</w:t>
            </w:r>
            <w:bookmarkStart w:id="84" w:name="Anxietymedicationsinchronicpain"/>
            <w:bookmarkEnd w:id="84"/>
            <w:r w:rsidRPr="00D61F73">
              <w:rPr>
                <w:rFonts w:ascii="Arial" w:hAnsi="Arial" w:cs="Arial"/>
              </w:rPr>
              <w:t>nxiety medications in chronic pain</w:t>
            </w:r>
            <w:r w:rsidR="00A309D8" w:rsidRPr="00D61F73">
              <w:rPr>
                <w:rFonts w:ascii="Arial" w:hAnsi="Arial" w:cs="Arial"/>
              </w:rPr>
              <w:t xml:space="preserve"> </w:t>
            </w:r>
          </w:p>
        </w:tc>
        <w:tc>
          <w:tcPr>
            <w:tcW w:w="3914" w:type="pct"/>
            <w:shd w:val="clear" w:color="auto" w:fill="auto"/>
          </w:tcPr>
          <w:p w14:paraId="4F80214B" w14:textId="4631B3A9" w:rsidR="008D0565" w:rsidRPr="00D61F73" w:rsidRDefault="008D0565" w:rsidP="00D61F73">
            <w:pPr>
              <w:rPr>
                <w:rFonts w:ascii="Arial" w:hAnsi="Arial" w:cs="Arial"/>
              </w:rPr>
            </w:pPr>
            <w:r w:rsidRPr="00D61F73">
              <w:rPr>
                <w:rFonts w:ascii="Arial" w:hAnsi="Arial" w:cs="Arial"/>
                <w:bCs/>
              </w:rPr>
              <w:t xml:space="preserve">Recommend diagnosing and controlling anxiety as an important part of chronic pain treatment, including treatment with anxiety medications based on specific DSM-IV diagnosis as described below. Benzodiazepines are not recommended </w:t>
            </w:r>
            <w:r w:rsidR="00214A20" w:rsidRPr="00D61F73">
              <w:rPr>
                <w:rFonts w:ascii="Arial" w:hAnsi="Arial" w:cs="Arial"/>
              </w:rPr>
              <w:t xml:space="preserve"> for longer than two weeks </w:t>
            </w:r>
            <w:r w:rsidRPr="00D61F73">
              <w:rPr>
                <w:rFonts w:ascii="Arial" w:hAnsi="Arial" w:cs="Arial"/>
                <w:bCs/>
              </w:rPr>
              <w:t xml:space="preserve">unless the patient is being seen by a psychiatrist. </w:t>
            </w:r>
            <w:r w:rsidRPr="00D61F73">
              <w:rPr>
                <w:rFonts w:ascii="Arial" w:hAnsi="Arial" w:cs="Arial"/>
                <w:i/>
              </w:rPr>
              <w:t xml:space="preserve">Definition of anxiety disorders: </w:t>
            </w:r>
            <w:r w:rsidRPr="00D61F73">
              <w:rPr>
                <w:rFonts w:ascii="Arial" w:hAnsi="Arial" w:cs="Arial"/>
              </w:rPr>
              <w:t xml:space="preserve">Anxiety disorders for this entry include (1) </w:t>
            </w:r>
            <w:hyperlink w:anchor="GeneralizedAnxietyDisorder" w:history="1">
              <w:r w:rsidRPr="00D61F73">
                <w:rPr>
                  <w:rStyle w:val="Hyperlink"/>
                  <w:rFonts w:ascii="Arial" w:hAnsi="Arial" w:cs="Arial"/>
                </w:rPr>
                <w:t>generalized anxiety disorder</w:t>
              </w:r>
            </w:hyperlink>
            <w:r w:rsidRPr="00D61F73">
              <w:rPr>
                <w:rFonts w:ascii="Arial" w:hAnsi="Arial" w:cs="Arial"/>
              </w:rPr>
              <w:t xml:space="preserve"> (GAD); (2) </w:t>
            </w:r>
            <w:hyperlink w:anchor="PanicDisorder" w:history="1">
              <w:r w:rsidRPr="00D61F73">
                <w:rPr>
                  <w:rStyle w:val="Hyperlink"/>
                  <w:rFonts w:ascii="Arial" w:hAnsi="Arial" w:cs="Arial"/>
                </w:rPr>
                <w:t>panic disorder</w:t>
              </w:r>
            </w:hyperlink>
            <w:r w:rsidRPr="00D61F73">
              <w:rPr>
                <w:rFonts w:ascii="Arial" w:hAnsi="Arial" w:cs="Arial"/>
              </w:rPr>
              <w:t xml:space="preserve"> (PD); (3)</w:t>
            </w:r>
            <w:hyperlink w:anchor="Posttraumaticstressdisorder" w:history="1">
              <w:r w:rsidRPr="00D61F73">
                <w:rPr>
                  <w:rStyle w:val="Hyperlink"/>
                  <w:rFonts w:ascii="Arial" w:hAnsi="Arial" w:cs="Arial"/>
                </w:rPr>
                <w:t xml:space="preserve"> post-traumatic stress disorder</w:t>
              </w:r>
            </w:hyperlink>
            <w:r w:rsidRPr="00D61F73">
              <w:rPr>
                <w:rFonts w:ascii="Arial" w:hAnsi="Arial" w:cs="Arial"/>
              </w:rPr>
              <w:t xml:space="preserve"> (PTSD); (4) </w:t>
            </w:r>
            <w:hyperlink w:anchor="Socialanxietydisorder" w:history="1">
              <w:r w:rsidRPr="00D61F73">
                <w:rPr>
                  <w:rStyle w:val="Hyperlink"/>
                  <w:rFonts w:ascii="Arial" w:hAnsi="Arial" w:cs="Arial"/>
                </w:rPr>
                <w:t>social anxiety disorder</w:t>
              </w:r>
            </w:hyperlink>
            <w:r w:rsidRPr="00D61F73">
              <w:rPr>
                <w:rFonts w:ascii="Arial" w:hAnsi="Arial" w:cs="Arial"/>
              </w:rPr>
              <w:t xml:space="preserve"> (SAD); &amp; (5) </w:t>
            </w:r>
            <w:hyperlink w:anchor="Obsessivecompulsivedisorder" w:history="1">
              <w:r w:rsidRPr="00D61F73">
                <w:rPr>
                  <w:rStyle w:val="Hyperlink"/>
                  <w:rFonts w:ascii="Arial" w:hAnsi="Arial" w:cs="Arial"/>
                </w:rPr>
                <w:t>obsessive-compulsive disorder</w:t>
              </w:r>
            </w:hyperlink>
            <w:r w:rsidRPr="00D61F73">
              <w:rPr>
                <w:rFonts w:ascii="Arial" w:hAnsi="Arial" w:cs="Arial"/>
              </w:rPr>
              <w:t xml:space="preserve"> (OCD). Descriptions of each are included below. Anxiety affects millions of Americans and leads to a decreased quality of life and productivity. In any given year approximately 40 million American adults ages 18 and older have an </w:t>
            </w:r>
            <w:r w:rsidRPr="00D61F73">
              <w:rPr>
                <w:rFonts w:ascii="Arial" w:hAnsi="Arial" w:cs="Arial"/>
              </w:rPr>
              <w:lastRenderedPageBreak/>
              <w:t xml:space="preserve">anxiety disorder (approximately 18.1 percent). Approximately 62% of anxiety disorders are associated with other mental health disorders, in particular depression. Substance abuse is also a frequent co-morbid condition. </w:t>
            </w:r>
            <w:r w:rsidRPr="00D61F73">
              <w:rPr>
                <w:rFonts w:ascii="Arial" w:hAnsi="Arial" w:cs="Arial"/>
                <w:i/>
              </w:rPr>
              <w:t xml:space="preserve">Anxiety and chronic pain: </w:t>
            </w:r>
            <w:r w:rsidRPr="00D61F73">
              <w:rPr>
                <w:rFonts w:ascii="Arial" w:hAnsi="Arial" w:cs="Arial"/>
              </w:rPr>
              <w:t>Anxiety is commonly found in patients with chronic pain, with the most common disorders being specific phobia (12.5% to 15.7%), SAD (8.3% to 11.8%) and PTSD (7.3% to 10.7%). These rates are higher than those found in the general US population. There is some evidence to suggest that anxiety disorders precede the onset of pain. Research is still needed to determine the temporal sequence. (</w:t>
            </w:r>
            <w:hyperlink w:anchor="Roy" w:history="1">
              <w:r w:rsidRPr="00D61F73">
                <w:rPr>
                  <w:rStyle w:val="Hyperlink"/>
                  <w:rFonts w:ascii="Arial" w:hAnsi="Arial" w:cs="Arial"/>
                </w:rPr>
                <w:t>Roy-Byrne, 2008</w:t>
              </w:r>
            </w:hyperlink>
            <w:r w:rsidRPr="00D61F73">
              <w:rPr>
                <w:rFonts w:ascii="Arial" w:hAnsi="Arial" w:cs="Arial"/>
              </w:rPr>
              <w:t>) (</w:t>
            </w:r>
            <w:hyperlink w:anchor="Baldwin" w:history="1">
              <w:r w:rsidRPr="00D61F73">
                <w:rPr>
                  <w:rStyle w:val="Hyperlink"/>
                  <w:rFonts w:ascii="Arial" w:hAnsi="Arial" w:cs="Arial"/>
                </w:rPr>
                <w:t>Baldwin, 2005</w:t>
              </w:r>
            </w:hyperlink>
            <w:r w:rsidRPr="00D61F73">
              <w:rPr>
                <w:rFonts w:ascii="Arial" w:hAnsi="Arial" w:cs="Arial"/>
              </w:rPr>
              <w:t>) (</w:t>
            </w:r>
            <w:hyperlink w:anchor="Bandelow" w:history="1">
              <w:r w:rsidRPr="00D61F73">
                <w:rPr>
                  <w:rStyle w:val="Hyperlink"/>
                  <w:rFonts w:ascii="Arial" w:hAnsi="Arial" w:cs="Arial"/>
                </w:rPr>
                <w:t>Bandelow, 2002</w:t>
              </w:r>
            </w:hyperlink>
            <w:r w:rsidRPr="00D61F73">
              <w:rPr>
                <w:rFonts w:ascii="Arial" w:hAnsi="Arial" w:cs="Arial"/>
              </w:rPr>
              <w:t>) (</w:t>
            </w:r>
            <w:hyperlink w:anchor="Hoffman" w:history="1">
              <w:r w:rsidRPr="00D61F73">
                <w:rPr>
                  <w:rStyle w:val="Hyperlink"/>
                  <w:rFonts w:ascii="Arial" w:hAnsi="Arial" w:cs="Arial"/>
                </w:rPr>
                <w:t>Hoffman, 2008</w:t>
              </w:r>
            </w:hyperlink>
            <w:r w:rsidRPr="00D61F73">
              <w:rPr>
                <w:rFonts w:ascii="Arial" w:hAnsi="Arial" w:cs="Arial"/>
              </w:rPr>
              <w:t xml:space="preserve">) </w:t>
            </w:r>
            <w:r w:rsidRPr="00D61F73">
              <w:rPr>
                <w:rFonts w:ascii="Arial" w:hAnsi="Arial" w:cs="Arial"/>
                <w:i/>
              </w:rPr>
              <w:t xml:space="preserve">Overview of pharmacotherapy: </w:t>
            </w:r>
            <w:r w:rsidRPr="00D61F73">
              <w:rPr>
                <w:rFonts w:ascii="Arial" w:hAnsi="Arial" w:cs="Arial"/>
              </w:rPr>
              <w:t xml:space="preserve">The anxiety disorders with the greatest evidence for the efficacy of pharmacotherapy are GAD, PD, and SAD, and OCD. There is more limited evidence for pharmacotherapy for PTSD. Many antidepressants, in particular the Selective Serotonin Reuptake Inhibitors (SSRIs) are considered first-line agents in the treatment of most forms of anxiety. They have a more favorable side-effect profile than monamine oxidase inhibitors (MAOIs) or tricyclic antidepressants (TCAs). They also have the advantage of treating comorbid depression. Selective Norepinephrine Reuptake Inhibitors (SNRIs), in particular Effexor® (venlafaxine) have also been proven to be effective in the treatment of many anxiety disorders. Benzodiazepines are often used to treat anxiety disorders; however, many guidelines discourage the long-term use of benzodiazepines due to sedation effects and potential for abuse and psychological dependence. Long-term use is often associated with withdrawal symptoms. Some other drug classes used to treat anxiety are antihistamines (e.g. hydroxyzine), 5HT1 agonist (e.g. buspirone), and some anti-epilepsy drugs. </w:t>
            </w:r>
            <w:r w:rsidRPr="00D61F73">
              <w:rPr>
                <w:rFonts w:ascii="Arial" w:hAnsi="Arial" w:cs="Arial"/>
                <w:i/>
              </w:rPr>
              <w:t xml:space="preserve">(Specific Treatment: FDA-approved indications are listed next to each specific drug. A note is made if a medication is used off-label.) </w:t>
            </w:r>
            <w:r w:rsidRPr="00D61F73">
              <w:rPr>
                <w:rFonts w:ascii="Arial" w:hAnsi="Arial" w:cs="Arial"/>
              </w:rPr>
              <w:t>(</w:t>
            </w:r>
            <w:hyperlink w:anchor="Hoffman" w:history="1">
              <w:r w:rsidRPr="00D61F73">
                <w:rPr>
                  <w:rStyle w:val="Hyperlink"/>
                  <w:rFonts w:ascii="Arial" w:hAnsi="Arial" w:cs="Arial"/>
                </w:rPr>
                <w:t>Hoffman, 2008</w:t>
              </w:r>
            </w:hyperlink>
            <w:r w:rsidRPr="00D61F73">
              <w:rPr>
                <w:rFonts w:ascii="Arial" w:hAnsi="Arial" w:cs="Arial"/>
              </w:rPr>
              <w:t>)</w:t>
            </w:r>
          </w:p>
          <w:p w14:paraId="018A0973" w14:textId="77777777" w:rsidR="008D0565" w:rsidRPr="00D61F73" w:rsidRDefault="008D0565" w:rsidP="00D61F73">
            <w:pPr>
              <w:rPr>
                <w:rFonts w:ascii="Arial" w:hAnsi="Arial" w:cs="Arial"/>
              </w:rPr>
            </w:pPr>
            <w:r w:rsidRPr="00D61F73">
              <w:rPr>
                <w:rFonts w:ascii="Arial" w:hAnsi="Arial" w:cs="Arial"/>
                <w:b/>
              </w:rPr>
              <w:t xml:space="preserve">(1) </w:t>
            </w:r>
            <w:r w:rsidRPr="00D61F73">
              <w:rPr>
                <w:rFonts w:ascii="Arial" w:hAnsi="Arial" w:cs="Arial"/>
                <w:b/>
                <w:u w:val="single"/>
              </w:rPr>
              <w:t>G</w:t>
            </w:r>
            <w:bookmarkStart w:id="85" w:name="GeneralizedAnxietyDisorder"/>
            <w:bookmarkEnd w:id="85"/>
            <w:r w:rsidRPr="00D61F73">
              <w:rPr>
                <w:rFonts w:ascii="Arial" w:hAnsi="Arial" w:cs="Arial"/>
                <w:b/>
                <w:u w:val="single"/>
              </w:rPr>
              <w:t>ENERALIZED ANXIETY DISORDER (GAD)</w:t>
            </w:r>
            <w:r w:rsidRPr="00D61F73">
              <w:rPr>
                <w:rFonts w:ascii="Arial" w:hAnsi="Arial" w:cs="Arial"/>
                <w:b/>
              </w:rPr>
              <w:t>:</w:t>
            </w:r>
            <w:r w:rsidRPr="00D61F73">
              <w:rPr>
                <w:rFonts w:ascii="Arial" w:hAnsi="Arial" w:cs="Arial"/>
              </w:rPr>
              <w:t xml:space="preserve"> GAD is characterized by anxiety/tension, excessive worry, restlessness, fatigability, poor concentration, irritability, muscle tension and poor sleep. Treatment for GAD is patient specific and the following serves only as a guide in providing pharmacotherapy. Some patients may require adjunctive psychotherapy, such as cognitive behavioral therapy (CBT) or may prefer psychotherapy, instead of pharmacotherapy. (</w:t>
            </w:r>
            <w:hyperlink w:anchor="Zwanzger" w:history="1">
              <w:r w:rsidRPr="00D61F73">
                <w:rPr>
                  <w:rStyle w:val="Hyperlink"/>
                  <w:rFonts w:ascii="Arial" w:hAnsi="Arial" w:cs="Arial"/>
                </w:rPr>
                <w:t>Zwanzger, 2008</w:t>
              </w:r>
            </w:hyperlink>
            <w:r w:rsidRPr="00D61F73">
              <w:rPr>
                <w:rFonts w:ascii="Arial" w:hAnsi="Arial" w:cs="Arial"/>
              </w:rPr>
              <w:t>) SSRIs or SNRIs are typically first</w:t>
            </w:r>
            <w:r w:rsidR="00A35921" w:rsidRPr="00D61F73">
              <w:rPr>
                <w:rFonts w:ascii="Arial" w:hAnsi="Arial" w:cs="Arial"/>
              </w:rPr>
              <w:t>-</w:t>
            </w:r>
            <w:r w:rsidRPr="00D61F73">
              <w:rPr>
                <w:rFonts w:ascii="Arial" w:hAnsi="Arial" w:cs="Arial"/>
              </w:rPr>
              <w:t xml:space="preserve">line agents for GAD. TCAs such as imipramine have been shown to be somewhat effective, but are not recommended as first-line agents due to side effects in particular. </w:t>
            </w:r>
            <w:r w:rsidRPr="00D61F73">
              <w:rPr>
                <w:rFonts w:ascii="Arial" w:hAnsi="Arial" w:cs="Arial"/>
                <w:i/>
              </w:rPr>
              <w:t>Outcomes</w:t>
            </w:r>
            <w:r w:rsidRPr="00D61F73">
              <w:rPr>
                <w:rFonts w:ascii="Arial" w:hAnsi="Arial" w:cs="Arial"/>
              </w:rPr>
              <w:t xml:space="preserve"> are measured with tests such as the Hamilton Rating Scale for Anxiety (HAM-A), the Clinical Global Impression Improvement (CGI-I) scale and Clinical Global Impression Severity (CGI-S) scale. (</w:t>
            </w:r>
            <w:hyperlink w:anchor="Hoffman" w:history="1">
              <w:r w:rsidRPr="00D61F73">
                <w:rPr>
                  <w:rStyle w:val="Hyperlink"/>
                  <w:rFonts w:ascii="Arial" w:hAnsi="Arial" w:cs="Arial"/>
                </w:rPr>
                <w:t>Hoffman, 2008</w:t>
              </w:r>
            </w:hyperlink>
            <w:r w:rsidRPr="00D61F73">
              <w:rPr>
                <w:rFonts w:ascii="Arial" w:hAnsi="Arial" w:cs="Arial"/>
              </w:rPr>
              <w:t>) (</w:t>
            </w:r>
            <w:hyperlink w:anchor="Kapczinski" w:history="1">
              <w:r w:rsidRPr="00D61F73">
                <w:rPr>
                  <w:rStyle w:val="Hyperlink"/>
                  <w:rFonts w:ascii="Arial" w:hAnsi="Arial" w:cs="Arial"/>
                </w:rPr>
                <w:t>Kapczinski-</w:t>
              </w:r>
              <w:r w:rsidRPr="00D61F73">
                <w:rPr>
                  <w:rStyle w:val="Hyperlink"/>
                  <w:rFonts w:ascii="Arial" w:hAnsi="Arial" w:cs="Arial"/>
                  <w:i/>
                </w:rPr>
                <w:t xml:space="preserve">Cochrane, </w:t>
              </w:r>
              <w:r w:rsidRPr="00D61F73">
                <w:rPr>
                  <w:rStyle w:val="Hyperlink"/>
                  <w:rFonts w:ascii="Arial" w:hAnsi="Arial" w:cs="Arial"/>
                  <w:iCs/>
                </w:rPr>
                <w:t>2003</w:t>
              </w:r>
            </w:hyperlink>
            <w:r w:rsidRPr="00D61F73">
              <w:rPr>
                <w:rFonts w:ascii="Arial" w:hAnsi="Arial" w:cs="Arial"/>
                <w:iCs/>
              </w:rPr>
              <w:t>)</w:t>
            </w:r>
            <w:r w:rsidRPr="00D61F73">
              <w:rPr>
                <w:rFonts w:ascii="Arial" w:hAnsi="Arial" w:cs="Arial"/>
                <w:i/>
              </w:rPr>
              <w:t xml:space="preserve"> </w:t>
            </w:r>
            <w:r w:rsidRPr="00D61F73">
              <w:rPr>
                <w:rFonts w:ascii="Arial" w:hAnsi="Arial" w:cs="Arial"/>
              </w:rPr>
              <w:t>(</w:t>
            </w:r>
            <w:hyperlink w:anchor="Schmitt" w:history="1">
              <w:r w:rsidRPr="00D61F73">
                <w:rPr>
                  <w:rStyle w:val="Hyperlink"/>
                  <w:rFonts w:ascii="Arial" w:hAnsi="Arial" w:cs="Arial"/>
                </w:rPr>
                <w:t>Schmitt, 2005</w:t>
              </w:r>
            </w:hyperlink>
            <w:r w:rsidRPr="00D61F73">
              <w:rPr>
                <w:rFonts w:ascii="Arial" w:hAnsi="Arial" w:cs="Arial"/>
              </w:rPr>
              <w:t xml:space="preserve">) </w:t>
            </w:r>
          </w:p>
          <w:p w14:paraId="27993408" w14:textId="77777777" w:rsidR="008D0565" w:rsidRPr="00D61F73" w:rsidRDefault="008D0565" w:rsidP="00D61F73">
            <w:pPr>
              <w:rPr>
                <w:rFonts w:ascii="Arial" w:hAnsi="Arial" w:cs="Arial"/>
                <w:i/>
              </w:rPr>
            </w:pPr>
            <w:r w:rsidRPr="00D61F73">
              <w:rPr>
                <w:rFonts w:ascii="Arial" w:hAnsi="Arial" w:cs="Arial"/>
                <w:b/>
                <w:bCs/>
                <w:i/>
                <w:iCs/>
              </w:rPr>
              <w:t xml:space="preserve">  (a)</w:t>
            </w:r>
            <w:r w:rsidRPr="00D61F73">
              <w:rPr>
                <w:rFonts w:ascii="Arial" w:hAnsi="Arial" w:cs="Arial"/>
                <w:b/>
                <w:bCs/>
                <w:i/>
                <w:iCs/>
                <w:u w:val="single"/>
              </w:rPr>
              <w:t xml:space="preserve"> SSRIs</w:t>
            </w:r>
            <w:r w:rsidRPr="00D61F73">
              <w:rPr>
                <w:rFonts w:ascii="Arial" w:hAnsi="Arial" w:cs="Arial"/>
                <w:b/>
                <w:bCs/>
                <w:i/>
                <w:iCs/>
              </w:rPr>
              <w:t xml:space="preserve">: </w:t>
            </w:r>
            <w:r w:rsidRPr="00D61F73">
              <w:rPr>
                <w:rFonts w:ascii="Arial" w:hAnsi="Arial" w:cs="Arial"/>
                <w:b/>
                <w:i/>
              </w:rPr>
              <w:t>E</w:t>
            </w:r>
            <w:bookmarkStart w:id="86" w:name="EscitalopramListing"/>
            <w:bookmarkEnd w:id="86"/>
            <w:r w:rsidRPr="00D61F73">
              <w:rPr>
                <w:rFonts w:ascii="Arial" w:hAnsi="Arial" w:cs="Arial"/>
                <w:b/>
                <w:i/>
              </w:rPr>
              <w:t>scitalopram (Lexapro®, no generic available):</w:t>
            </w:r>
            <w:r w:rsidRPr="00D61F73">
              <w:rPr>
                <w:rFonts w:ascii="Arial" w:hAnsi="Arial" w:cs="Arial"/>
              </w:rPr>
              <w:t xml:space="preserve"> also approved for major depressive disorder. </w:t>
            </w:r>
            <w:r w:rsidRPr="00D61F73">
              <w:rPr>
                <w:rFonts w:ascii="Arial" w:hAnsi="Arial" w:cs="Arial"/>
                <w:i/>
                <w:iCs/>
              </w:rPr>
              <w:t>Do</w:t>
            </w:r>
            <w:r w:rsidRPr="00D61F73">
              <w:rPr>
                <w:rFonts w:ascii="Arial" w:hAnsi="Arial" w:cs="Arial"/>
                <w:i/>
              </w:rPr>
              <w:t>sing information</w:t>
            </w:r>
            <w:r w:rsidRPr="00D61F73">
              <w:rPr>
                <w:rFonts w:ascii="Arial" w:hAnsi="Arial" w:cs="Arial"/>
                <w:i/>
                <w:iCs/>
              </w:rPr>
              <w:t>:</w:t>
            </w:r>
            <w:r w:rsidRPr="00D61F73">
              <w:rPr>
                <w:rFonts w:ascii="Arial" w:hAnsi="Arial" w:cs="Arial"/>
              </w:rPr>
              <w:t xml:space="preserve"> 10-20 mg once daily. </w:t>
            </w:r>
            <w:r w:rsidRPr="00D61F73">
              <w:rPr>
                <w:rFonts w:ascii="Arial" w:hAnsi="Arial" w:cs="Arial"/>
                <w:b/>
                <w:i/>
              </w:rPr>
              <w:t xml:space="preserve">Paroxetine (Paxil®, generic available): </w:t>
            </w:r>
            <w:r w:rsidRPr="00D61F73">
              <w:rPr>
                <w:rFonts w:ascii="Arial" w:hAnsi="Arial" w:cs="Arial"/>
              </w:rPr>
              <w:t xml:space="preserve">Also recommended for PD, SAD, OCD, and PTSD as well as major depressive disorder. </w:t>
            </w:r>
            <w:r w:rsidRPr="00D61F73">
              <w:rPr>
                <w:rFonts w:ascii="Arial" w:hAnsi="Arial" w:cs="Arial"/>
                <w:i/>
              </w:rPr>
              <w:lastRenderedPageBreak/>
              <w:t>Dosing information:</w:t>
            </w:r>
            <w:r w:rsidRPr="00D61F73">
              <w:rPr>
                <w:rFonts w:ascii="Arial" w:hAnsi="Arial" w:cs="Arial"/>
              </w:rPr>
              <w:t xml:space="preserve"> 20-50 mg daily. (Package insert, GlaxoSmithKline) </w:t>
            </w:r>
            <w:r w:rsidRPr="00D61F73">
              <w:rPr>
                <w:rFonts w:ascii="Arial" w:hAnsi="Arial" w:cs="Arial"/>
                <w:b/>
                <w:i/>
              </w:rPr>
              <w:t xml:space="preserve">Setraline (Zoloft®, generic available): </w:t>
            </w:r>
            <w:r w:rsidRPr="00D61F73">
              <w:rPr>
                <w:rFonts w:ascii="Arial" w:hAnsi="Arial" w:cs="Arial"/>
              </w:rPr>
              <w:t xml:space="preserve">Studies have shown effectiveness but not FDA-approved for this indication. </w:t>
            </w:r>
            <w:r w:rsidRPr="00D61F73">
              <w:rPr>
                <w:rFonts w:ascii="Arial" w:hAnsi="Arial" w:cs="Arial"/>
                <w:i/>
              </w:rPr>
              <w:t xml:space="preserve">Dosing information: </w:t>
            </w:r>
            <w:r w:rsidRPr="00D61F73">
              <w:rPr>
                <w:rFonts w:ascii="Arial" w:hAnsi="Arial" w:cs="Arial"/>
                <w:iCs/>
              </w:rPr>
              <w:t>50-150 mg daily.</w:t>
            </w:r>
          </w:p>
          <w:p w14:paraId="3B6DD3AD" w14:textId="77777777" w:rsidR="008D0565" w:rsidRPr="00D61F73" w:rsidRDefault="008D0565" w:rsidP="00D61F73">
            <w:pPr>
              <w:pStyle w:val="Heading1"/>
              <w:rPr>
                <w:rFonts w:ascii="Arial" w:hAnsi="Arial" w:cs="Arial"/>
              </w:rPr>
            </w:pPr>
            <w:r w:rsidRPr="00D61F73">
              <w:rPr>
                <w:rFonts w:ascii="Arial" w:hAnsi="Arial" w:cs="Arial"/>
                <w:i/>
                <w:iCs/>
              </w:rPr>
              <w:t xml:space="preserve">  (b) </w:t>
            </w:r>
            <w:r w:rsidRPr="00D61F73">
              <w:rPr>
                <w:rFonts w:ascii="Arial" w:hAnsi="Arial" w:cs="Arial"/>
                <w:i/>
                <w:iCs/>
                <w:u w:val="single"/>
              </w:rPr>
              <w:t>SNRIs</w:t>
            </w:r>
            <w:r w:rsidRPr="00D61F73">
              <w:rPr>
                <w:rFonts w:ascii="Arial" w:hAnsi="Arial" w:cs="Arial"/>
                <w:i/>
                <w:iCs/>
              </w:rPr>
              <w:t>:</w:t>
            </w:r>
            <w:r w:rsidRPr="00D61F73">
              <w:rPr>
                <w:rFonts w:ascii="Arial" w:hAnsi="Arial" w:cs="Arial"/>
              </w:rPr>
              <w:t xml:space="preserve"> </w:t>
            </w:r>
            <w:r w:rsidRPr="00D61F73">
              <w:rPr>
                <w:rFonts w:ascii="Arial" w:hAnsi="Arial" w:cs="Arial"/>
                <w:i/>
              </w:rPr>
              <w:t>Duloxetine (Cymbalta®, no generic available):</w:t>
            </w:r>
            <w:r w:rsidRPr="00D61F73">
              <w:rPr>
                <w:rFonts w:ascii="Arial" w:hAnsi="Arial" w:cs="Arial"/>
              </w:rPr>
              <w:t xml:space="preserve"> </w:t>
            </w:r>
            <w:r w:rsidRPr="00D61F73">
              <w:rPr>
                <w:rFonts w:ascii="Arial" w:hAnsi="Arial" w:cs="Arial"/>
                <w:b w:val="0"/>
                <w:bCs w:val="0"/>
              </w:rPr>
              <w:t xml:space="preserve">also approved for major depressive disorder. </w:t>
            </w:r>
            <w:r w:rsidRPr="00D61F73">
              <w:rPr>
                <w:rFonts w:ascii="Arial" w:hAnsi="Arial" w:cs="Arial"/>
                <w:b w:val="0"/>
                <w:bCs w:val="0"/>
                <w:i/>
                <w:iCs/>
              </w:rPr>
              <w:t>Dosing information:</w:t>
            </w:r>
            <w:r w:rsidRPr="00D61F73">
              <w:rPr>
                <w:rFonts w:ascii="Arial" w:hAnsi="Arial" w:cs="Arial"/>
              </w:rPr>
              <w:t xml:space="preserve"> </w:t>
            </w:r>
            <w:r w:rsidRPr="00D61F73">
              <w:rPr>
                <w:rFonts w:ascii="Arial" w:hAnsi="Arial" w:cs="Arial"/>
                <w:b w:val="0"/>
                <w:bCs w:val="0"/>
              </w:rPr>
              <w:t xml:space="preserve">30-120 mg </w:t>
            </w:r>
            <w:r w:rsidRPr="00D61F73">
              <w:rPr>
                <w:rFonts w:ascii="Arial" w:hAnsi="Arial" w:cs="Arial"/>
                <w:b w:val="0"/>
                <w:bCs w:val="0"/>
                <w:iCs/>
              </w:rPr>
              <w:t>daily</w:t>
            </w:r>
            <w:r w:rsidRPr="00D61F73">
              <w:rPr>
                <w:rFonts w:ascii="Arial" w:hAnsi="Arial" w:cs="Arial"/>
                <w:b w:val="0"/>
                <w:bCs w:val="0"/>
              </w:rPr>
              <w:t>.</w:t>
            </w:r>
            <w:r w:rsidRPr="00D61F73">
              <w:rPr>
                <w:rFonts w:ascii="Arial" w:hAnsi="Arial" w:cs="Arial"/>
              </w:rPr>
              <w:t xml:space="preserve"> </w:t>
            </w:r>
            <w:r w:rsidRPr="00D61F73">
              <w:rPr>
                <w:rFonts w:ascii="Arial" w:hAnsi="Arial" w:cs="Arial"/>
                <w:i/>
                <w:iCs/>
              </w:rPr>
              <w:t>Venlafaxine extended release (Effexor XR®, generic available):</w:t>
            </w:r>
            <w:r w:rsidRPr="00D61F73">
              <w:rPr>
                <w:rFonts w:ascii="Arial" w:hAnsi="Arial" w:cs="Arial"/>
              </w:rPr>
              <w:t xml:space="preserve"> </w:t>
            </w:r>
            <w:r w:rsidRPr="00D61F73">
              <w:rPr>
                <w:rFonts w:ascii="Arial" w:hAnsi="Arial" w:cs="Arial"/>
                <w:b w:val="0"/>
                <w:bCs w:val="0"/>
              </w:rPr>
              <w:t>also recommended for PD and SAD as well as major depressive disorder.</w:t>
            </w:r>
            <w:r w:rsidRPr="00D61F73">
              <w:rPr>
                <w:rFonts w:ascii="Arial" w:hAnsi="Arial" w:cs="Arial"/>
              </w:rPr>
              <w:t xml:space="preserve"> </w:t>
            </w:r>
            <w:r w:rsidRPr="00D61F73">
              <w:rPr>
                <w:rFonts w:ascii="Arial" w:hAnsi="Arial" w:cs="Arial"/>
                <w:b w:val="0"/>
                <w:bCs w:val="0"/>
                <w:i/>
                <w:iCs/>
              </w:rPr>
              <w:t>Dosing information:</w:t>
            </w:r>
            <w:r w:rsidRPr="00D61F73">
              <w:rPr>
                <w:rFonts w:ascii="Arial" w:hAnsi="Arial" w:cs="Arial"/>
                <w:b w:val="0"/>
                <w:bCs w:val="0"/>
              </w:rPr>
              <w:t xml:space="preserve"> 75-225 mg daily. It may be recommended for some patients to start at 37.5 mg for the first 4 to 7 days. (Package insert)</w:t>
            </w:r>
            <w:r w:rsidRPr="00D61F73">
              <w:rPr>
                <w:rFonts w:ascii="Arial" w:hAnsi="Arial" w:cs="Arial"/>
              </w:rPr>
              <w:t xml:space="preserve"> </w:t>
            </w:r>
          </w:p>
          <w:p w14:paraId="7F5E5EBC" w14:textId="77777777" w:rsidR="008D0565" w:rsidRPr="00D61F73" w:rsidRDefault="008D0565" w:rsidP="00D61F73">
            <w:pPr>
              <w:rPr>
                <w:rFonts w:ascii="Arial" w:hAnsi="Arial" w:cs="Arial"/>
              </w:rPr>
            </w:pPr>
            <w:r w:rsidRPr="00D61F73">
              <w:rPr>
                <w:rFonts w:ascii="Arial" w:hAnsi="Arial" w:cs="Arial"/>
                <w:b/>
                <w:bCs/>
                <w:i/>
                <w:iCs/>
              </w:rPr>
              <w:t xml:space="preserve">  (c)</w:t>
            </w:r>
            <w:r w:rsidRPr="00D61F73">
              <w:rPr>
                <w:rFonts w:ascii="Arial" w:hAnsi="Arial" w:cs="Arial"/>
                <w:b/>
                <w:bCs/>
                <w:i/>
                <w:iCs/>
                <w:u w:val="single"/>
              </w:rPr>
              <w:t xml:space="preserve"> 5-HT1A Agonist</w:t>
            </w:r>
            <w:r w:rsidRPr="00D61F73">
              <w:rPr>
                <w:rFonts w:ascii="Arial" w:hAnsi="Arial" w:cs="Arial"/>
                <w:b/>
                <w:bCs/>
                <w:i/>
                <w:iCs/>
              </w:rPr>
              <w:t xml:space="preserve">: </w:t>
            </w:r>
            <w:r w:rsidRPr="00D61F73">
              <w:rPr>
                <w:rFonts w:ascii="Arial" w:hAnsi="Arial" w:cs="Arial"/>
                <w:b/>
                <w:i/>
              </w:rPr>
              <w:t xml:space="preserve">Buspirone (Buspar®, generic available): </w:t>
            </w:r>
            <w:r w:rsidRPr="00D61F73">
              <w:rPr>
                <w:rFonts w:ascii="Arial" w:hAnsi="Arial" w:cs="Arial"/>
              </w:rPr>
              <w:t>also approved for short-term relief of anxiety symptoms. Efficacy is decreased in patients with recent prior benzodiazepine use. (</w:t>
            </w:r>
            <w:hyperlink w:anchor="Chessick" w:history="1">
              <w:r w:rsidRPr="00D61F73">
                <w:rPr>
                  <w:rStyle w:val="Hyperlink"/>
                  <w:rFonts w:ascii="Arial" w:hAnsi="Arial" w:cs="Arial"/>
                </w:rPr>
                <w:t>Chessick, 2006</w:t>
              </w:r>
            </w:hyperlink>
            <w:r w:rsidRPr="00D61F73">
              <w:rPr>
                <w:rFonts w:ascii="Arial" w:hAnsi="Arial" w:cs="Arial"/>
              </w:rPr>
              <w:t xml:space="preserve">) </w:t>
            </w:r>
            <w:r w:rsidRPr="00D61F73">
              <w:rPr>
                <w:rFonts w:ascii="Arial" w:hAnsi="Arial" w:cs="Arial"/>
                <w:i/>
              </w:rPr>
              <w:t>Dosing information:</w:t>
            </w:r>
            <w:r w:rsidRPr="00D61F73">
              <w:rPr>
                <w:rFonts w:ascii="Arial" w:hAnsi="Arial" w:cs="Arial"/>
              </w:rPr>
              <w:t xml:space="preserve"> 5-15 mg three times daily. (Package insert) </w:t>
            </w:r>
          </w:p>
          <w:p w14:paraId="6265545F" w14:textId="77777777" w:rsidR="008D0565" w:rsidRPr="00D61F73" w:rsidRDefault="008D0565" w:rsidP="00D61F73">
            <w:pPr>
              <w:rPr>
                <w:rFonts w:ascii="Arial" w:hAnsi="Arial" w:cs="Arial"/>
              </w:rPr>
            </w:pPr>
            <w:r w:rsidRPr="00D61F73">
              <w:rPr>
                <w:rFonts w:ascii="Arial" w:hAnsi="Arial" w:cs="Arial"/>
                <w:b/>
                <w:bCs/>
                <w:i/>
                <w:iCs/>
              </w:rPr>
              <w:t xml:space="preserve">  (d)</w:t>
            </w:r>
            <w:r w:rsidRPr="00D61F73">
              <w:rPr>
                <w:rFonts w:ascii="Arial" w:hAnsi="Arial" w:cs="Arial"/>
                <w:b/>
                <w:bCs/>
                <w:i/>
                <w:iCs/>
                <w:u w:val="single"/>
              </w:rPr>
              <w:t xml:space="preserve"> Benzodiazepines</w:t>
            </w:r>
            <w:r w:rsidRPr="00D61F73">
              <w:rPr>
                <w:rFonts w:ascii="Arial" w:hAnsi="Arial" w:cs="Arial"/>
                <w:b/>
                <w:bCs/>
                <w:i/>
                <w:iCs/>
              </w:rPr>
              <w:t>:</w:t>
            </w:r>
            <w:r w:rsidRPr="00D61F73">
              <w:rPr>
                <w:rFonts w:ascii="Arial" w:hAnsi="Arial" w:cs="Arial"/>
              </w:rPr>
              <w:t xml:space="preserve"> Effective for acute treatment. Long-term use is problematic as few patients achieve and sustain remission with monotherapy. These agents are used primarily as an adjunct for stabilization during initiation of an SSRI or SNRI. The disadvantage of use is the risk of abuse and physiological dependence with long-term use. These drugs also have no anti-depressant effect. </w:t>
            </w:r>
            <w:r w:rsidRPr="00D61F73">
              <w:rPr>
                <w:rFonts w:ascii="Arial" w:hAnsi="Arial" w:cs="Arial"/>
                <w:b/>
                <w:i/>
              </w:rPr>
              <w:t xml:space="preserve">Diazepam (Valium®, generic available): </w:t>
            </w:r>
            <w:r w:rsidRPr="00D61F73">
              <w:rPr>
                <w:rFonts w:ascii="Arial" w:hAnsi="Arial" w:cs="Arial"/>
                <w:i/>
              </w:rPr>
              <w:t>Dosing information:</w:t>
            </w:r>
            <w:r w:rsidRPr="00D61F73">
              <w:rPr>
                <w:rFonts w:ascii="Arial" w:hAnsi="Arial" w:cs="Arial"/>
              </w:rPr>
              <w:t xml:space="preserve"> 5-15 mg daily. </w:t>
            </w:r>
            <w:r w:rsidRPr="00D61F73">
              <w:rPr>
                <w:rFonts w:ascii="Arial" w:hAnsi="Arial" w:cs="Arial"/>
                <w:b/>
                <w:i/>
              </w:rPr>
              <w:t xml:space="preserve">Clonzaepam (Klonopin®, generic available): </w:t>
            </w:r>
            <w:r w:rsidRPr="00D61F73">
              <w:rPr>
                <w:rFonts w:ascii="Arial" w:hAnsi="Arial" w:cs="Arial"/>
                <w:i/>
              </w:rPr>
              <w:t>Dosing information:</w:t>
            </w:r>
            <w:r w:rsidRPr="00D61F73">
              <w:rPr>
                <w:rFonts w:ascii="Arial" w:hAnsi="Arial" w:cs="Arial"/>
              </w:rPr>
              <w:t xml:space="preserve"> 1-2 mg up to TID.</w:t>
            </w:r>
          </w:p>
          <w:p w14:paraId="6462A6F0" w14:textId="77777777" w:rsidR="008D0565" w:rsidRPr="00D61F73" w:rsidRDefault="008D0565" w:rsidP="00D61F73">
            <w:pPr>
              <w:rPr>
                <w:rFonts w:ascii="Arial" w:hAnsi="Arial" w:cs="Arial"/>
              </w:rPr>
            </w:pPr>
            <w:r w:rsidRPr="00D61F73">
              <w:rPr>
                <w:rFonts w:ascii="Arial" w:hAnsi="Arial" w:cs="Arial"/>
                <w:b/>
                <w:bCs/>
                <w:i/>
                <w:iCs/>
              </w:rPr>
              <w:t xml:space="preserve">  (e)</w:t>
            </w:r>
            <w:r w:rsidRPr="00D61F73">
              <w:rPr>
                <w:rFonts w:ascii="Arial" w:hAnsi="Arial" w:cs="Arial"/>
                <w:b/>
                <w:bCs/>
                <w:i/>
                <w:iCs/>
                <w:u w:val="single"/>
              </w:rPr>
              <w:t xml:space="preserve"> TCAs</w:t>
            </w:r>
            <w:r w:rsidRPr="00D61F73">
              <w:rPr>
                <w:rFonts w:ascii="Arial" w:hAnsi="Arial" w:cs="Arial"/>
                <w:b/>
                <w:bCs/>
                <w:i/>
                <w:iCs/>
              </w:rPr>
              <w:t xml:space="preserve"> (Tricyclic antidepressants): </w:t>
            </w:r>
            <w:r w:rsidRPr="00D61F73">
              <w:rPr>
                <w:rFonts w:ascii="Arial" w:hAnsi="Arial" w:cs="Arial"/>
              </w:rPr>
              <w:t>This class of medications is an effective treatment for GAD but few studies have investigated their use for DSM-IV defined GAD. Their use is limited by poorer tolerability.</w:t>
            </w:r>
          </w:p>
          <w:p w14:paraId="37AB2AA4" w14:textId="77777777" w:rsidR="008D0565" w:rsidRPr="00D61F73" w:rsidRDefault="008D0565" w:rsidP="00D61F73">
            <w:pPr>
              <w:rPr>
                <w:rFonts w:ascii="Arial" w:hAnsi="Arial" w:cs="Arial"/>
              </w:rPr>
            </w:pPr>
            <w:r w:rsidRPr="00D61F73">
              <w:rPr>
                <w:rFonts w:ascii="Arial" w:hAnsi="Arial" w:cs="Arial"/>
                <w:b/>
                <w:bCs/>
                <w:i/>
                <w:iCs/>
              </w:rPr>
              <w:t xml:space="preserve">  (f)</w:t>
            </w:r>
            <w:r w:rsidRPr="00D61F73">
              <w:rPr>
                <w:rFonts w:ascii="Arial" w:hAnsi="Arial" w:cs="Arial"/>
                <w:b/>
                <w:bCs/>
                <w:i/>
                <w:iCs/>
                <w:u w:val="single"/>
              </w:rPr>
              <w:t xml:space="preserve"> Other medications</w:t>
            </w:r>
            <w:r w:rsidRPr="00D61F73">
              <w:rPr>
                <w:rFonts w:ascii="Arial" w:hAnsi="Arial" w:cs="Arial"/>
                <w:b/>
                <w:bCs/>
                <w:i/>
                <w:iCs/>
              </w:rPr>
              <w:t xml:space="preserve"> that may be useful: </w:t>
            </w:r>
            <w:r w:rsidRPr="00D61F73">
              <w:rPr>
                <w:rFonts w:ascii="Arial" w:hAnsi="Arial" w:cs="Arial"/>
                <w:b/>
                <w:i/>
              </w:rPr>
              <w:t xml:space="preserve">Hydroxyzine (Atarax®, generic available): </w:t>
            </w:r>
            <w:r w:rsidRPr="00D61F73">
              <w:rPr>
                <w:rFonts w:ascii="Arial" w:hAnsi="Arial" w:cs="Arial"/>
                <w:i/>
              </w:rPr>
              <w:t>Dosing information:</w:t>
            </w:r>
            <w:r w:rsidRPr="00D61F73">
              <w:rPr>
                <w:rFonts w:ascii="Arial" w:hAnsi="Arial" w:cs="Arial"/>
              </w:rPr>
              <w:t xml:space="preserve"> 50 mg/day. </w:t>
            </w:r>
            <w:r w:rsidRPr="00D61F73">
              <w:rPr>
                <w:rFonts w:ascii="Arial" w:hAnsi="Arial" w:cs="Arial"/>
                <w:b/>
                <w:i/>
              </w:rPr>
              <w:t>Pregabalin (Lyrica®, generic available):</w:t>
            </w:r>
            <w:r w:rsidRPr="00D61F73">
              <w:rPr>
                <w:rFonts w:ascii="Arial" w:hAnsi="Arial" w:cs="Arial"/>
              </w:rPr>
              <w:t xml:space="preserve"> Non-FDA approved indication. </w:t>
            </w:r>
            <w:r w:rsidRPr="00D61F73">
              <w:rPr>
                <w:rFonts w:ascii="Arial" w:hAnsi="Arial" w:cs="Arial"/>
                <w:i/>
              </w:rPr>
              <w:t>Dosing information:</w:t>
            </w:r>
            <w:r w:rsidRPr="00D61F73">
              <w:rPr>
                <w:rFonts w:ascii="Arial" w:hAnsi="Arial" w:cs="Arial"/>
              </w:rPr>
              <w:t xml:space="preserve"> 50-200mg three times daily (with a general range of 200-450 mg a day) </w:t>
            </w:r>
            <w:r w:rsidRPr="00D61F73">
              <w:rPr>
                <w:rFonts w:ascii="Arial" w:hAnsi="Arial" w:cs="Arial"/>
                <w:b/>
                <w:i/>
              </w:rPr>
              <w:t xml:space="preserve">Atypical antipsychotics: Olanzapine (Zyprexa®) and Risperidone (generic available): </w:t>
            </w:r>
            <w:r w:rsidRPr="00D61F73">
              <w:rPr>
                <w:rFonts w:ascii="Arial" w:hAnsi="Arial" w:cs="Arial"/>
              </w:rPr>
              <w:t>used as an adjunct agent.</w:t>
            </w:r>
          </w:p>
          <w:p w14:paraId="3C8FAD2B" w14:textId="77777777" w:rsidR="008D0565" w:rsidRPr="00D61F73" w:rsidRDefault="008D0565" w:rsidP="00D61F73">
            <w:pPr>
              <w:rPr>
                <w:rFonts w:ascii="Arial" w:hAnsi="Arial" w:cs="Arial"/>
              </w:rPr>
            </w:pPr>
            <w:r w:rsidRPr="00D61F73">
              <w:rPr>
                <w:rFonts w:ascii="Arial" w:hAnsi="Arial" w:cs="Arial"/>
                <w:b/>
              </w:rPr>
              <w:t xml:space="preserve">(2) </w:t>
            </w:r>
            <w:r w:rsidRPr="00D61F73">
              <w:rPr>
                <w:rFonts w:ascii="Arial" w:hAnsi="Arial" w:cs="Arial"/>
                <w:b/>
                <w:u w:val="single"/>
              </w:rPr>
              <w:t>P</w:t>
            </w:r>
            <w:bookmarkStart w:id="87" w:name="PanicDisorder"/>
            <w:bookmarkEnd w:id="87"/>
            <w:r w:rsidRPr="00D61F73">
              <w:rPr>
                <w:rFonts w:ascii="Arial" w:hAnsi="Arial" w:cs="Arial"/>
                <w:b/>
                <w:u w:val="single"/>
              </w:rPr>
              <w:t>ANIC DISORDER (PD) with and without agoraphobia</w:t>
            </w:r>
            <w:r w:rsidRPr="00D61F73">
              <w:rPr>
                <w:rFonts w:ascii="Arial" w:hAnsi="Arial" w:cs="Arial"/>
                <w:b/>
              </w:rPr>
              <w:t xml:space="preserve">: </w:t>
            </w:r>
            <w:r w:rsidRPr="00D61F73">
              <w:rPr>
                <w:rFonts w:ascii="Arial" w:hAnsi="Arial" w:cs="Arial"/>
              </w:rPr>
              <w:t xml:space="preserve">Panic disorder (PD) is described by the DSM-IV-TR to include periods of intense fear that peak within 10 minutes. Symptoms include palpitations, sweating, shortness of breath and lightheadedness. Patients often have persistent worry about having further attacks. PD can occur with or without agoraphobia (anxiety about and avoidance of being in situations where escape may be difficult). </w:t>
            </w:r>
            <w:r w:rsidRPr="00D61F73">
              <w:rPr>
                <w:rFonts w:ascii="Arial" w:hAnsi="Arial" w:cs="Arial"/>
                <w:i/>
              </w:rPr>
              <w:t xml:space="preserve">Outcomes </w:t>
            </w:r>
            <w:r w:rsidRPr="00D61F73">
              <w:rPr>
                <w:rFonts w:ascii="Arial" w:hAnsi="Arial" w:cs="Arial"/>
              </w:rPr>
              <w:t>are measured in terms of frequency and change in the total number of attacks. Testing includes the Panic Disorder Severity Scale (PDSS). (</w:t>
            </w:r>
            <w:hyperlink w:anchor="Hoffman" w:history="1">
              <w:r w:rsidRPr="00D61F73">
                <w:rPr>
                  <w:rStyle w:val="Hyperlink"/>
                  <w:rFonts w:ascii="Arial" w:hAnsi="Arial" w:cs="Arial"/>
                </w:rPr>
                <w:t>Hoffman, 2008</w:t>
              </w:r>
            </w:hyperlink>
            <w:r w:rsidRPr="00D61F73">
              <w:rPr>
                <w:rFonts w:ascii="Arial" w:hAnsi="Arial" w:cs="Arial"/>
              </w:rPr>
              <w:t>) (</w:t>
            </w:r>
            <w:hyperlink w:anchor="Mitte" w:history="1">
              <w:r w:rsidRPr="00D61F73">
                <w:rPr>
                  <w:rStyle w:val="Hyperlink"/>
                  <w:rFonts w:ascii="Arial" w:hAnsi="Arial" w:cs="Arial"/>
                </w:rPr>
                <w:t>Mitte, 2005</w:t>
              </w:r>
            </w:hyperlink>
            <w:r w:rsidRPr="00D61F73">
              <w:rPr>
                <w:rFonts w:ascii="Arial" w:hAnsi="Arial" w:cs="Arial"/>
              </w:rPr>
              <w:t>) (</w:t>
            </w:r>
            <w:hyperlink w:anchor="Otto" w:history="1">
              <w:r w:rsidRPr="00D61F73">
                <w:rPr>
                  <w:rStyle w:val="Hyperlink"/>
                  <w:rFonts w:ascii="Arial" w:hAnsi="Arial" w:cs="Arial"/>
                </w:rPr>
                <w:t>Otto, 2001</w:t>
              </w:r>
            </w:hyperlink>
            <w:r w:rsidRPr="00D61F73">
              <w:rPr>
                <w:rFonts w:ascii="Arial" w:hAnsi="Arial" w:cs="Arial"/>
              </w:rPr>
              <w:t>) (</w:t>
            </w:r>
            <w:hyperlink w:anchor="Furukawa" w:history="1">
              <w:r w:rsidRPr="00D61F73">
                <w:rPr>
                  <w:rStyle w:val="Hyperlink"/>
                  <w:rFonts w:ascii="Arial" w:hAnsi="Arial" w:cs="Arial"/>
                </w:rPr>
                <w:t>Furukawa, 2007</w:t>
              </w:r>
            </w:hyperlink>
            <w:r w:rsidRPr="00D61F73">
              <w:rPr>
                <w:rFonts w:ascii="Arial" w:hAnsi="Arial" w:cs="Arial"/>
              </w:rPr>
              <w:t>)</w:t>
            </w:r>
          </w:p>
          <w:p w14:paraId="6EF3316C" w14:textId="77777777" w:rsidR="008D0565" w:rsidRPr="00D61F73" w:rsidRDefault="008D0565" w:rsidP="00D61F73">
            <w:pPr>
              <w:rPr>
                <w:rFonts w:ascii="Arial" w:hAnsi="Arial" w:cs="Arial"/>
              </w:rPr>
            </w:pPr>
            <w:r w:rsidRPr="00D61F73">
              <w:rPr>
                <w:rFonts w:ascii="Arial" w:hAnsi="Arial" w:cs="Arial"/>
                <w:b/>
                <w:i/>
              </w:rPr>
              <w:t xml:space="preserve">  (a)</w:t>
            </w:r>
            <w:r w:rsidRPr="00D61F73">
              <w:rPr>
                <w:rFonts w:ascii="Arial" w:hAnsi="Arial" w:cs="Arial"/>
                <w:b/>
                <w:i/>
                <w:u w:val="single"/>
              </w:rPr>
              <w:t xml:space="preserve"> Maintenance treatment</w:t>
            </w:r>
            <w:r w:rsidRPr="00D61F73">
              <w:rPr>
                <w:rFonts w:ascii="Arial" w:hAnsi="Arial" w:cs="Arial"/>
                <w:i/>
              </w:rPr>
              <w:t xml:space="preserve">: </w:t>
            </w:r>
            <w:r w:rsidRPr="00D61F73">
              <w:rPr>
                <w:rFonts w:ascii="Arial" w:hAnsi="Arial" w:cs="Arial"/>
              </w:rPr>
              <w:t xml:space="preserve">SSRIs are first-line medications based on safety and tolerability. If the patient does not respond, another SSRI should be attempted. If this fails, another class of medications should be attempted (SNRI, TCA or benzodiazepine). </w:t>
            </w:r>
            <w:r w:rsidRPr="00D61F73">
              <w:rPr>
                <w:rFonts w:ascii="Arial" w:hAnsi="Arial" w:cs="Arial"/>
                <w:b/>
                <w:i/>
              </w:rPr>
              <w:t>Fluoxetine (Prozac®, generic available):</w:t>
            </w:r>
            <w:r w:rsidRPr="00D61F73">
              <w:rPr>
                <w:rFonts w:ascii="Arial" w:hAnsi="Arial" w:cs="Arial"/>
              </w:rPr>
              <w:t xml:space="preserve"> Also approved for major depressive disorder, OCD and premenstrual dysphoric disorder. </w:t>
            </w:r>
            <w:r w:rsidRPr="00D61F73">
              <w:rPr>
                <w:rFonts w:ascii="Arial" w:hAnsi="Arial" w:cs="Arial"/>
                <w:i/>
              </w:rPr>
              <w:t>Dosing information:</w:t>
            </w:r>
            <w:r w:rsidRPr="00D61F73">
              <w:rPr>
                <w:rFonts w:ascii="Arial" w:hAnsi="Arial" w:cs="Arial"/>
              </w:rPr>
              <w:t xml:space="preserve"> 20-60 mg daily. </w:t>
            </w:r>
            <w:r w:rsidRPr="00D61F73">
              <w:rPr>
                <w:rFonts w:ascii="Arial" w:hAnsi="Arial" w:cs="Arial"/>
                <w:b/>
                <w:i/>
              </w:rPr>
              <w:lastRenderedPageBreak/>
              <w:t>Paroxetine (Paxil®, generic available):</w:t>
            </w:r>
            <w:r w:rsidRPr="00D61F73">
              <w:rPr>
                <w:rFonts w:ascii="Arial" w:hAnsi="Arial" w:cs="Arial"/>
              </w:rPr>
              <w:t xml:space="preserve"> Also recommended for GAD, SAD, OCD, and PTSD as well as major depressive disorder. </w:t>
            </w:r>
            <w:r w:rsidRPr="00D61F73">
              <w:rPr>
                <w:rFonts w:ascii="Arial" w:hAnsi="Arial" w:cs="Arial"/>
                <w:i/>
              </w:rPr>
              <w:t>Dosing information:</w:t>
            </w:r>
            <w:r w:rsidRPr="00D61F73">
              <w:rPr>
                <w:rFonts w:ascii="Arial" w:hAnsi="Arial" w:cs="Arial"/>
              </w:rPr>
              <w:t xml:space="preserve"> dosing is typically 10-60 mg daily. </w:t>
            </w:r>
            <w:r w:rsidRPr="00D61F73">
              <w:rPr>
                <w:rFonts w:ascii="Arial" w:hAnsi="Arial" w:cs="Arial"/>
                <w:b/>
                <w:i/>
              </w:rPr>
              <w:t>Paroxetine CR (Paxil® CR):</w:t>
            </w:r>
            <w:r w:rsidRPr="00D61F73">
              <w:rPr>
                <w:rFonts w:ascii="Arial" w:hAnsi="Arial" w:cs="Arial"/>
              </w:rPr>
              <w:t xml:space="preserve"> Also approved for SAD, major depressive disorder, and premenstrual dysphoric disorder. </w:t>
            </w:r>
            <w:r w:rsidRPr="00D61F73">
              <w:rPr>
                <w:rFonts w:ascii="Arial" w:hAnsi="Arial" w:cs="Arial"/>
                <w:b/>
                <w:i/>
              </w:rPr>
              <w:t xml:space="preserve">Sertraline (Zoloft ®, generic available): </w:t>
            </w:r>
            <w:r w:rsidRPr="00D61F73">
              <w:rPr>
                <w:rFonts w:ascii="Arial" w:hAnsi="Arial" w:cs="Arial"/>
              </w:rPr>
              <w:t xml:space="preserve">Also approved for PTSD, SAD, OCD, major depressive disorder and premenstrual dysphoric disorder. </w:t>
            </w:r>
            <w:r w:rsidRPr="00D61F73">
              <w:rPr>
                <w:rFonts w:ascii="Arial" w:hAnsi="Arial" w:cs="Arial"/>
                <w:i/>
              </w:rPr>
              <w:t xml:space="preserve">Dosing information: </w:t>
            </w:r>
            <w:r w:rsidRPr="00D61F73">
              <w:rPr>
                <w:rFonts w:ascii="Arial" w:hAnsi="Arial" w:cs="Arial"/>
              </w:rPr>
              <w:t xml:space="preserve">50-200 mg once daily. </w:t>
            </w:r>
            <w:r w:rsidRPr="00D61F73">
              <w:rPr>
                <w:rFonts w:ascii="Arial" w:hAnsi="Arial" w:cs="Arial"/>
                <w:b/>
                <w:i/>
              </w:rPr>
              <w:t xml:space="preserve">Citalopram (Celexa®, generic available): </w:t>
            </w:r>
            <w:r w:rsidRPr="00D61F73">
              <w:rPr>
                <w:rFonts w:ascii="Arial" w:hAnsi="Arial" w:cs="Arial"/>
              </w:rPr>
              <w:t xml:space="preserve">Non-FDA approved indication. </w:t>
            </w:r>
            <w:r w:rsidRPr="00D61F73">
              <w:rPr>
                <w:rFonts w:ascii="Arial" w:hAnsi="Arial" w:cs="Arial"/>
                <w:i/>
              </w:rPr>
              <w:t xml:space="preserve">Dosing information: </w:t>
            </w:r>
            <w:r w:rsidRPr="00D61F73">
              <w:rPr>
                <w:rFonts w:ascii="Arial" w:hAnsi="Arial" w:cs="Arial"/>
              </w:rPr>
              <w:t xml:space="preserve">20-60 mg once daily. </w:t>
            </w:r>
            <w:r w:rsidRPr="00D61F73">
              <w:rPr>
                <w:rFonts w:ascii="Arial" w:hAnsi="Arial" w:cs="Arial"/>
                <w:b/>
                <w:i/>
              </w:rPr>
              <w:t xml:space="preserve">Fluvoxamine (Luvox®, generic available): </w:t>
            </w:r>
            <w:r w:rsidRPr="00D61F73">
              <w:rPr>
                <w:rFonts w:ascii="Arial" w:hAnsi="Arial" w:cs="Arial"/>
              </w:rPr>
              <w:t xml:space="preserve">Non-FDA approved indication. </w:t>
            </w:r>
            <w:r w:rsidRPr="00D61F73">
              <w:rPr>
                <w:rFonts w:ascii="Arial" w:hAnsi="Arial" w:cs="Arial"/>
                <w:i/>
              </w:rPr>
              <w:t>Dosing information:</w:t>
            </w:r>
            <w:r w:rsidRPr="00D61F73">
              <w:rPr>
                <w:rFonts w:ascii="Arial" w:hAnsi="Arial" w:cs="Arial"/>
              </w:rPr>
              <w:t xml:space="preserve"> Initially 50mg at bedtime, doses should be titrated upward to daily doses of 100-300 mg daily. Daily doses greater than 100mg should be divided, with the larger dose given at bedtime. </w:t>
            </w:r>
            <w:r w:rsidRPr="00D61F73">
              <w:rPr>
                <w:rFonts w:ascii="Arial" w:hAnsi="Arial" w:cs="Arial"/>
                <w:b/>
                <w:i/>
              </w:rPr>
              <w:t>Escitalopram (Lexapro®):</w:t>
            </w:r>
            <w:r w:rsidRPr="00D61F73">
              <w:rPr>
                <w:rFonts w:ascii="Arial" w:hAnsi="Arial" w:cs="Arial"/>
              </w:rPr>
              <w:t xml:space="preserve"> Non-FDA approved indication. </w:t>
            </w:r>
            <w:r w:rsidRPr="00D61F73">
              <w:rPr>
                <w:rFonts w:ascii="Arial" w:hAnsi="Arial" w:cs="Arial"/>
                <w:i/>
              </w:rPr>
              <w:t>Dosing information:</w:t>
            </w:r>
            <w:r w:rsidRPr="00D61F73">
              <w:rPr>
                <w:rFonts w:ascii="Arial" w:hAnsi="Arial" w:cs="Arial"/>
              </w:rPr>
              <w:t xml:space="preserve"> 10-20 mg once daily</w:t>
            </w:r>
            <w:r w:rsidRPr="00D61F73">
              <w:rPr>
                <w:rFonts w:ascii="Arial" w:hAnsi="Arial" w:cs="Arial"/>
                <w:b/>
              </w:rPr>
              <w:t xml:space="preserve">. </w:t>
            </w:r>
            <w:r w:rsidRPr="00D61F73">
              <w:rPr>
                <w:rFonts w:ascii="Arial" w:hAnsi="Arial" w:cs="Arial"/>
                <w:u w:val="single"/>
              </w:rPr>
              <w:t>SNRI</w:t>
            </w:r>
            <w:r w:rsidRPr="00D61F73">
              <w:rPr>
                <w:rFonts w:ascii="Arial" w:hAnsi="Arial" w:cs="Arial"/>
              </w:rPr>
              <w:t xml:space="preserve">: </w:t>
            </w:r>
            <w:r w:rsidRPr="00D61F73">
              <w:rPr>
                <w:rFonts w:ascii="Arial" w:hAnsi="Arial" w:cs="Arial"/>
                <w:b/>
                <w:i/>
              </w:rPr>
              <w:t>Venlafaxine (Effexor XR®, generic available)</w:t>
            </w:r>
            <w:r w:rsidRPr="00D61F73">
              <w:rPr>
                <w:rFonts w:ascii="Arial" w:hAnsi="Arial" w:cs="Arial"/>
                <w:b/>
                <w:bCs/>
                <w:i/>
                <w:iCs/>
              </w:rPr>
              <w:t>:</w:t>
            </w:r>
            <w:r w:rsidRPr="00D61F73">
              <w:rPr>
                <w:rFonts w:ascii="Arial" w:hAnsi="Arial" w:cs="Arial"/>
              </w:rPr>
              <w:t xml:space="preserve"> also approved for GAD, SAD and major depressive disorder. </w:t>
            </w:r>
            <w:r w:rsidRPr="00D61F73">
              <w:rPr>
                <w:rFonts w:ascii="Arial" w:hAnsi="Arial" w:cs="Arial"/>
                <w:i/>
              </w:rPr>
              <w:t>Dosing information:</w:t>
            </w:r>
            <w:r w:rsidRPr="00D61F73">
              <w:rPr>
                <w:rFonts w:ascii="Arial" w:hAnsi="Arial" w:cs="Arial"/>
              </w:rPr>
              <w:t xml:space="preserve"> 37.5-225 mg daily.</w:t>
            </w:r>
          </w:p>
          <w:p w14:paraId="02BBDE2B" w14:textId="77777777" w:rsidR="008D0565" w:rsidRPr="00D61F73" w:rsidRDefault="008D0565" w:rsidP="00D61F73">
            <w:pPr>
              <w:rPr>
                <w:rFonts w:ascii="Arial" w:hAnsi="Arial" w:cs="Arial"/>
              </w:rPr>
            </w:pPr>
            <w:r w:rsidRPr="00D61F73">
              <w:rPr>
                <w:rFonts w:ascii="Arial" w:hAnsi="Arial" w:cs="Arial"/>
                <w:b/>
                <w:i/>
              </w:rPr>
              <w:t xml:space="preserve">  (b)</w:t>
            </w:r>
            <w:r w:rsidRPr="00D61F73">
              <w:rPr>
                <w:rFonts w:ascii="Arial" w:hAnsi="Arial" w:cs="Arial"/>
                <w:b/>
                <w:i/>
                <w:u w:val="single"/>
              </w:rPr>
              <w:t xml:space="preserve"> Secondary treatment options</w:t>
            </w:r>
            <w:r w:rsidRPr="00D61F73">
              <w:rPr>
                <w:rFonts w:ascii="Arial" w:hAnsi="Arial" w:cs="Arial"/>
                <w:b/>
                <w:i/>
              </w:rPr>
              <w:t xml:space="preserve">, when other medications have failed or been intolerable to patients: </w:t>
            </w:r>
            <w:r w:rsidRPr="00D61F73">
              <w:rPr>
                <w:rFonts w:ascii="Arial" w:hAnsi="Arial" w:cs="Arial"/>
                <w:u w:val="single"/>
              </w:rPr>
              <w:t>Tricyclic Antidepressants (TCAs)</w:t>
            </w:r>
            <w:r w:rsidRPr="00D61F73">
              <w:rPr>
                <w:rFonts w:ascii="Arial" w:hAnsi="Arial" w:cs="Arial"/>
              </w:rPr>
              <w:t xml:space="preserve">: </w:t>
            </w:r>
            <w:r w:rsidRPr="00D61F73">
              <w:rPr>
                <w:rFonts w:ascii="Arial" w:hAnsi="Arial" w:cs="Arial"/>
                <w:b/>
                <w:i/>
              </w:rPr>
              <w:t xml:space="preserve">Clomipramine (Anafranil®, generic available): </w:t>
            </w:r>
            <w:r w:rsidRPr="00D61F73">
              <w:rPr>
                <w:rFonts w:ascii="Arial" w:hAnsi="Arial" w:cs="Arial"/>
                <w:i/>
              </w:rPr>
              <w:t xml:space="preserve">Dosing information: </w:t>
            </w:r>
            <w:r w:rsidRPr="00D61F73">
              <w:rPr>
                <w:rFonts w:ascii="Arial" w:hAnsi="Arial" w:cs="Arial"/>
              </w:rPr>
              <w:t>75-250 mg daily. (</w:t>
            </w:r>
            <w:hyperlink w:anchor="Bandelow" w:history="1">
              <w:r w:rsidRPr="00D61F73">
                <w:rPr>
                  <w:rStyle w:val="Hyperlink"/>
                  <w:rFonts w:ascii="Arial" w:hAnsi="Arial" w:cs="Arial"/>
                </w:rPr>
                <w:t>Bandelow, 2002</w:t>
              </w:r>
            </w:hyperlink>
            <w:r w:rsidRPr="00D61F73">
              <w:rPr>
                <w:rFonts w:ascii="Arial" w:hAnsi="Arial" w:cs="Arial"/>
              </w:rPr>
              <w:t xml:space="preserve">) </w:t>
            </w:r>
            <w:r w:rsidRPr="00D61F73">
              <w:rPr>
                <w:rFonts w:ascii="Arial" w:hAnsi="Arial" w:cs="Arial"/>
                <w:b/>
                <w:i/>
              </w:rPr>
              <w:t xml:space="preserve">Imipramine (Tofranil®, generic available): </w:t>
            </w:r>
            <w:r w:rsidRPr="00D61F73">
              <w:rPr>
                <w:rFonts w:ascii="Arial" w:hAnsi="Arial" w:cs="Arial"/>
                <w:i/>
              </w:rPr>
              <w:t xml:space="preserve">Dosing information: </w:t>
            </w:r>
            <w:r w:rsidRPr="00D61F73">
              <w:rPr>
                <w:rFonts w:ascii="Arial" w:hAnsi="Arial" w:cs="Arial"/>
              </w:rPr>
              <w:t>75-250 mg daily. (</w:t>
            </w:r>
            <w:hyperlink w:anchor="Bandelow" w:history="1">
              <w:r w:rsidRPr="00D61F73">
                <w:rPr>
                  <w:rStyle w:val="Hyperlink"/>
                  <w:rFonts w:ascii="Arial" w:hAnsi="Arial" w:cs="Arial"/>
                </w:rPr>
                <w:t>Bandelow, 2002</w:t>
              </w:r>
            </w:hyperlink>
            <w:r w:rsidRPr="00D61F73">
              <w:rPr>
                <w:rFonts w:ascii="Arial" w:hAnsi="Arial" w:cs="Arial"/>
              </w:rPr>
              <w:t xml:space="preserve">) </w:t>
            </w:r>
            <w:r w:rsidRPr="00D61F73">
              <w:rPr>
                <w:rFonts w:ascii="Arial" w:hAnsi="Arial" w:cs="Arial"/>
                <w:u w:val="single"/>
              </w:rPr>
              <w:t>MAOI</w:t>
            </w:r>
            <w:r w:rsidRPr="00D61F73">
              <w:rPr>
                <w:rFonts w:ascii="Arial" w:hAnsi="Arial" w:cs="Arial"/>
              </w:rPr>
              <w:t xml:space="preserve">: </w:t>
            </w:r>
            <w:r w:rsidRPr="00D61F73">
              <w:rPr>
                <w:rFonts w:ascii="Arial" w:hAnsi="Arial" w:cs="Arial"/>
                <w:b/>
                <w:i/>
              </w:rPr>
              <w:t xml:space="preserve">Phenelzine (Nardil®, no generic available): </w:t>
            </w:r>
            <w:r w:rsidRPr="00D61F73">
              <w:rPr>
                <w:rFonts w:ascii="Arial" w:hAnsi="Arial" w:cs="Arial"/>
                <w:i/>
              </w:rPr>
              <w:t xml:space="preserve">Dosing information: </w:t>
            </w:r>
            <w:r w:rsidRPr="00D61F73">
              <w:rPr>
                <w:rFonts w:ascii="Arial" w:hAnsi="Arial" w:cs="Arial"/>
              </w:rPr>
              <w:t xml:space="preserve">45-90 mg daily in divided doses, three times daily. </w:t>
            </w:r>
            <w:r w:rsidRPr="00D61F73">
              <w:rPr>
                <w:rFonts w:ascii="Arial" w:hAnsi="Arial" w:cs="Arial"/>
                <w:u w:val="single"/>
              </w:rPr>
              <w:t>Other anti-depressants</w:t>
            </w:r>
            <w:r w:rsidRPr="00D61F73">
              <w:rPr>
                <w:rFonts w:ascii="Arial" w:hAnsi="Arial" w:cs="Arial"/>
              </w:rPr>
              <w:t xml:space="preserve">: </w:t>
            </w:r>
            <w:r w:rsidRPr="00D61F73">
              <w:rPr>
                <w:rFonts w:ascii="Arial" w:hAnsi="Arial" w:cs="Arial"/>
                <w:b/>
                <w:i/>
              </w:rPr>
              <w:t xml:space="preserve">Mirtazapine (Remeron®, generic available): </w:t>
            </w:r>
            <w:r w:rsidRPr="00D61F73">
              <w:rPr>
                <w:rFonts w:ascii="Arial" w:hAnsi="Arial" w:cs="Arial"/>
                <w:i/>
              </w:rPr>
              <w:t xml:space="preserve">Dosing information: </w:t>
            </w:r>
            <w:r w:rsidRPr="00D61F73">
              <w:rPr>
                <w:rFonts w:ascii="Arial" w:hAnsi="Arial" w:cs="Arial"/>
              </w:rPr>
              <w:t>45 mg daily.</w:t>
            </w:r>
          </w:p>
          <w:p w14:paraId="7C46DAAE" w14:textId="77777777" w:rsidR="008D0565" w:rsidRPr="00D61F73" w:rsidRDefault="008D0565" w:rsidP="00D61F73">
            <w:pPr>
              <w:rPr>
                <w:rFonts w:ascii="Arial" w:hAnsi="Arial" w:cs="Arial"/>
              </w:rPr>
            </w:pPr>
            <w:r w:rsidRPr="00D61F73">
              <w:rPr>
                <w:rFonts w:ascii="Arial" w:hAnsi="Arial" w:cs="Arial"/>
                <w:b/>
                <w:i/>
              </w:rPr>
              <w:t xml:space="preserve">  (c)</w:t>
            </w:r>
            <w:r w:rsidRPr="00D61F73">
              <w:rPr>
                <w:rFonts w:ascii="Arial" w:hAnsi="Arial" w:cs="Arial"/>
                <w:b/>
                <w:i/>
                <w:u w:val="single"/>
              </w:rPr>
              <w:t xml:space="preserve"> Acute treatment</w:t>
            </w:r>
            <w:r w:rsidRPr="00D61F73">
              <w:rPr>
                <w:rFonts w:ascii="Arial" w:hAnsi="Arial" w:cs="Arial"/>
                <w:i/>
              </w:rPr>
              <w:t xml:space="preserve">: </w:t>
            </w:r>
            <w:r w:rsidRPr="00D61F73">
              <w:rPr>
                <w:rFonts w:ascii="Arial" w:hAnsi="Arial" w:cs="Arial"/>
              </w:rPr>
              <w:t xml:space="preserve">Benzodiazepines may be recommended with initial treatment as an adjunct agent to SSRIs as the latter class of drugs is titrated. </w:t>
            </w:r>
            <w:r w:rsidRPr="00D61F73">
              <w:rPr>
                <w:rFonts w:ascii="Arial" w:hAnsi="Arial" w:cs="Arial"/>
                <w:u w:val="single"/>
              </w:rPr>
              <w:t>Benzodiazepines (short acting)</w:t>
            </w:r>
            <w:r w:rsidRPr="00D61F73">
              <w:rPr>
                <w:rFonts w:ascii="Arial" w:hAnsi="Arial" w:cs="Arial"/>
              </w:rPr>
              <w:t xml:space="preserve">: </w:t>
            </w:r>
            <w:r w:rsidRPr="00D61F73">
              <w:rPr>
                <w:rFonts w:ascii="Arial" w:hAnsi="Arial" w:cs="Arial"/>
                <w:b/>
                <w:i/>
              </w:rPr>
              <w:t xml:space="preserve">Alprazolam (Xanax®, generic available): </w:t>
            </w:r>
            <w:r w:rsidRPr="00D61F73">
              <w:rPr>
                <w:rFonts w:ascii="Arial" w:hAnsi="Arial" w:cs="Arial"/>
                <w:i/>
              </w:rPr>
              <w:t>Dosing information:</w:t>
            </w:r>
            <w:r w:rsidRPr="00D61F73">
              <w:rPr>
                <w:rFonts w:ascii="Arial" w:hAnsi="Arial" w:cs="Arial"/>
              </w:rPr>
              <w:t xml:space="preserve"> 0.25-1 mg TID or QID. </w:t>
            </w:r>
            <w:r w:rsidRPr="00D61F73">
              <w:rPr>
                <w:rFonts w:ascii="Arial" w:hAnsi="Arial" w:cs="Arial"/>
                <w:b/>
                <w:i/>
                <w:iCs/>
              </w:rPr>
              <w:t xml:space="preserve">Clonazepam (Klonopin®, generic available): </w:t>
            </w:r>
            <w:r w:rsidRPr="00D61F73">
              <w:rPr>
                <w:rFonts w:ascii="Arial" w:hAnsi="Arial" w:cs="Arial"/>
                <w:i/>
              </w:rPr>
              <w:t>Dosing information:</w:t>
            </w:r>
            <w:r w:rsidRPr="00D61F73">
              <w:rPr>
                <w:rFonts w:ascii="Arial" w:hAnsi="Arial" w:cs="Arial"/>
              </w:rPr>
              <w:t xml:space="preserve"> 1-4 mg daily in two divided doses. The dose should be tapered downward during discontinuation by 0.125mg twice daily every 3 days. Doses of 1 mg are just as effective as higher doses, with less adverse effects. However, some patients may benefit from higher doses. (Roche Laboratories, 2001)</w:t>
            </w:r>
          </w:p>
          <w:p w14:paraId="454034DB" w14:textId="77777777" w:rsidR="008D0565" w:rsidRPr="00D61F73" w:rsidRDefault="008D0565" w:rsidP="00D61F73">
            <w:pPr>
              <w:rPr>
                <w:rFonts w:ascii="Arial" w:hAnsi="Arial" w:cs="Arial"/>
                <w:b/>
                <w:u w:val="single"/>
              </w:rPr>
            </w:pPr>
            <w:r w:rsidRPr="00D61F73">
              <w:rPr>
                <w:rFonts w:ascii="Arial" w:hAnsi="Arial" w:cs="Arial"/>
                <w:b/>
              </w:rPr>
              <w:t>(3)</w:t>
            </w:r>
            <w:r w:rsidRPr="00D61F73">
              <w:rPr>
                <w:rFonts w:ascii="Arial" w:hAnsi="Arial" w:cs="Arial"/>
                <w:b/>
                <w:u w:val="single"/>
              </w:rPr>
              <w:t xml:space="preserve"> P</w:t>
            </w:r>
            <w:bookmarkStart w:id="88" w:name="Posttraumaticstressdisorder"/>
            <w:bookmarkEnd w:id="88"/>
            <w:r w:rsidRPr="00D61F73">
              <w:rPr>
                <w:rFonts w:ascii="Arial" w:hAnsi="Arial" w:cs="Arial"/>
                <w:b/>
                <w:u w:val="single"/>
              </w:rPr>
              <w:t>OST-TRAUMATIC STRESS DISORDER (PTSD)</w:t>
            </w:r>
          </w:p>
          <w:p w14:paraId="4B3898D7" w14:textId="77777777" w:rsidR="00053AA0" w:rsidRPr="00D61F73" w:rsidRDefault="00053AA0" w:rsidP="00D61F73">
            <w:pPr>
              <w:rPr>
                <w:rFonts w:ascii="Arial" w:hAnsi="Arial" w:cs="Arial"/>
              </w:rPr>
            </w:pPr>
            <w:r w:rsidRPr="00D61F73">
              <w:rPr>
                <w:rFonts w:ascii="Arial" w:hAnsi="Arial" w:cs="Arial"/>
              </w:rPr>
              <w:t xml:space="preserve">Characterized in DSM-IV by three symptom clusters which persist for more than one month, and cause clinically significant distress: re-experiencing the event; emotional numbing/avoidance of stimuli associated with trauma; and hyperarousal.  DSM-V adds another cluster, negative alterations in cognitions and mood associated with the traumatic event.  </w:t>
            </w:r>
          </w:p>
          <w:p w14:paraId="1E0E7659" w14:textId="48F55600" w:rsidR="002B4D6D" w:rsidRPr="00D61F73" w:rsidRDefault="00053AA0" w:rsidP="00D61F73">
            <w:pPr>
              <w:rPr>
                <w:rFonts w:ascii="Arial" w:hAnsi="Arial" w:cs="Arial"/>
              </w:rPr>
            </w:pPr>
            <w:r w:rsidRPr="00D61F73">
              <w:rPr>
                <w:rFonts w:ascii="Arial" w:hAnsi="Arial" w:cs="Arial"/>
              </w:rPr>
              <w:t>Most clinical guidelines recommend pharmacotherapy as a first</w:t>
            </w:r>
            <w:r w:rsidR="009A3E80" w:rsidRPr="00D61F73">
              <w:rPr>
                <w:rFonts w:ascii="Arial" w:hAnsi="Arial" w:cs="Arial"/>
              </w:rPr>
              <w:t>-</w:t>
            </w:r>
            <w:r w:rsidRPr="00D61F73">
              <w:rPr>
                <w:rFonts w:ascii="Arial" w:hAnsi="Arial" w:cs="Arial"/>
              </w:rPr>
              <w:t>line treatment for PTSD. Long</w:t>
            </w:r>
            <w:r w:rsidR="009A3E80" w:rsidRPr="00D61F73">
              <w:rPr>
                <w:rFonts w:ascii="Arial" w:hAnsi="Arial" w:cs="Arial"/>
              </w:rPr>
              <w:t>-</w:t>
            </w:r>
            <w:r w:rsidRPr="00D61F73">
              <w:rPr>
                <w:rFonts w:ascii="Arial" w:hAnsi="Arial" w:cs="Arial"/>
              </w:rPr>
              <w:t>term trials show that while 30% of patients remit within 12 weeks, a substantial percentage do</w:t>
            </w:r>
            <w:r w:rsidR="009A3E80" w:rsidRPr="00D61F73">
              <w:rPr>
                <w:rFonts w:ascii="Arial" w:hAnsi="Arial" w:cs="Arial"/>
              </w:rPr>
              <w:t>es</w:t>
            </w:r>
            <w:r w:rsidRPr="00D61F73">
              <w:rPr>
                <w:rFonts w:ascii="Arial" w:hAnsi="Arial" w:cs="Arial"/>
              </w:rPr>
              <w:t xml:space="preserve"> not achieve remission </w:t>
            </w:r>
            <w:r w:rsidR="009A3E80" w:rsidRPr="00D61F73">
              <w:rPr>
                <w:rFonts w:ascii="Arial" w:hAnsi="Arial" w:cs="Arial"/>
              </w:rPr>
              <w:t xml:space="preserve">within </w:t>
            </w:r>
            <w:r w:rsidRPr="00D61F73">
              <w:rPr>
                <w:rFonts w:ascii="Arial" w:hAnsi="Arial" w:cs="Arial"/>
              </w:rPr>
              <w:t>6 months (</w:t>
            </w:r>
            <w:hyperlink w:anchor="Friedman2013" w:history="1">
              <w:r w:rsidRPr="00D61F73">
                <w:rPr>
                  <w:rStyle w:val="Hyperlink"/>
                  <w:rFonts w:ascii="Arial" w:hAnsi="Arial" w:cs="Arial"/>
                </w:rPr>
                <w:t>Friedman, 2013</w:t>
              </w:r>
            </w:hyperlink>
          </w:p>
          <w:p w14:paraId="16F13225" w14:textId="77777777" w:rsidR="00053AA0" w:rsidRPr="00D61F73" w:rsidRDefault="00053AA0" w:rsidP="00D61F73">
            <w:pPr>
              <w:rPr>
                <w:rFonts w:ascii="Arial" w:hAnsi="Arial" w:cs="Arial"/>
              </w:rPr>
            </w:pPr>
            <w:r w:rsidRPr="00D61F73">
              <w:rPr>
                <w:rFonts w:ascii="Arial" w:hAnsi="Arial" w:cs="Arial"/>
                <w:b/>
                <w:bCs/>
                <w:i/>
                <w:iCs/>
              </w:rPr>
              <w:t xml:space="preserve">  (a)</w:t>
            </w:r>
            <w:r w:rsidRPr="00D61F73">
              <w:rPr>
                <w:rFonts w:ascii="Arial" w:hAnsi="Arial" w:cs="Arial"/>
                <w:b/>
                <w:bCs/>
                <w:i/>
                <w:iCs/>
                <w:u w:val="single"/>
              </w:rPr>
              <w:t xml:space="preserve"> SSRIs</w:t>
            </w:r>
            <w:r w:rsidRPr="00D61F73">
              <w:rPr>
                <w:rFonts w:ascii="Arial" w:hAnsi="Arial" w:cs="Arial"/>
                <w:b/>
                <w:bCs/>
                <w:i/>
                <w:iCs/>
              </w:rPr>
              <w:t>:</w:t>
            </w:r>
            <w:r w:rsidRPr="00D61F73">
              <w:rPr>
                <w:rFonts w:ascii="Arial" w:hAnsi="Arial" w:cs="Arial"/>
              </w:rPr>
              <w:t xml:space="preserve"> considered first-line agents in the treatment of PTSD. </w:t>
            </w:r>
            <w:r w:rsidRPr="00D61F73">
              <w:rPr>
                <w:rFonts w:ascii="Arial" w:hAnsi="Arial" w:cs="Arial"/>
                <w:b/>
                <w:i/>
              </w:rPr>
              <w:t xml:space="preserve">Paroxetine (Paxil®, generic available): </w:t>
            </w:r>
            <w:r w:rsidRPr="00D61F73">
              <w:rPr>
                <w:rFonts w:ascii="Arial" w:hAnsi="Arial" w:cs="Arial"/>
              </w:rPr>
              <w:t xml:space="preserve">Also recommended for GAD, </w:t>
            </w:r>
            <w:r w:rsidRPr="00D61F73">
              <w:rPr>
                <w:rFonts w:ascii="Arial" w:hAnsi="Arial" w:cs="Arial"/>
              </w:rPr>
              <w:lastRenderedPageBreak/>
              <w:t xml:space="preserve">SAD, OCD, and PD as well as major depressive disorder. </w:t>
            </w:r>
            <w:r w:rsidRPr="00D61F73">
              <w:rPr>
                <w:rFonts w:ascii="Arial" w:hAnsi="Arial" w:cs="Arial"/>
                <w:i/>
              </w:rPr>
              <w:t xml:space="preserve">Dosing information: </w:t>
            </w:r>
            <w:r w:rsidRPr="00D61F73">
              <w:rPr>
                <w:rFonts w:ascii="Arial" w:hAnsi="Arial" w:cs="Arial"/>
              </w:rPr>
              <w:t>20-50mg daily (</w:t>
            </w:r>
            <w:hyperlink w:anchor="Bandelow" w:history="1">
              <w:r w:rsidRPr="00D61F73">
                <w:rPr>
                  <w:rStyle w:val="Hyperlink"/>
                  <w:rFonts w:ascii="Arial" w:hAnsi="Arial" w:cs="Arial"/>
                </w:rPr>
                <w:t>Bandelow, 2002</w:t>
              </w:r>
            </w:hyperlink>
            <w:r w:rsidRPr="00D61F73">
              <w:rPr>
                <w:rFonts w:ascii="Arial" w:hAnsi="Arial" w:cs="Arial"/>
              </w:rPr>
              <w:t xml:space="preserve">) (PPI GlaxoSmithKline, 2004) </w:t>
            </w:r>
            <w:r w:rsidRPr="00D61F73">
              <w:rPr>
                <w:rFonts w:ascii="Arial" w:hAnsi="Arial" w:cs="Arial"/>
                <w:b/>
                <w:i/>
              </w:rPr>
              <w:t xml:space="preserve">Sertraline (Zoloft ®, generic available): </w:t>
            </w:r>
            <w:r w:rsidRPr="00D61F73">
              <w:rPr>
                <w:rFonts w:ascii="Arial" w:hAnsi="Arial" w:cs="Arial"/>
              </w:rPr>
              <w:t xml:space="preserve">Also approved for PD, SAD, OCD, major depressive disorder and premenstrual dysphoric disorder. </w:t>
            </w:r>
            <w:r w:rsidRPr="00D61F73">
              <w:rPr>
                <w:rFonts w:ascii="Arial" w:hAnsi="Arial" w:cs="Arial"/>
                <w:i/>
              </w:rPr>
              <w:t>Dosing information:</w:t>
            </w:r>
            <w:r w:rsidRPr="00D61F73">
              <w:rPr>
                <w:rFonts w:ascii="Arial" w:hAnsi="Arial" w:cs="Arial"/>
              </w:rPr>
              <w:t xml:space="preserve"> 50-200mg daily. </w:t>
            </w:r>
            <w:r w:rsidRPr="00D61F73">
              <w:rPr>
                <w:rFonts w:ascii="Arial" w:hAnsi="Arial" w:cs="Arial"/>
                <w:b/>
                <w:i/>
              </w:rPr>
              <w:t xml:space="preserve">Fluoxetine (Prozac®, generic available): </w:t>
            </w:r>
            <w:r w:rsidRPr="00D61F73">
              <w:rPr>
                <w:rFonts w:ascii="Arial" w:hAnsi="Arial" w:cs="Arial"/>
                <w:i/>
              </w:rPr>
              <w:t xml:space="preserve">Dosing information: </w:t>
            </w:r>
            <w:r w:rsidRPr="00D61F73">
              <w:rPr>
                <w:rFonts w:ascii="Arial" w:hAnsi="Arial" w:cs="Arial"/>
              </w:rPr>
              <w:t>20-40mg daily. (</w:t>
            </w:r>
            <w:hyperlink w:anchor="Bandelow" w:history="1">
              <w:r w:rsidRPr="00D61F73">
                <w:rPr>
                  <w:rStyle w:val="Hyperlink"/>
                  <w:rFonts w:ascii="Arial" w:hAnsi="Arial" w:cs="Arial"/>
                </w:rPr>
                <w:t>Bandelow, 2002</w:t>
              </w:r>
            </w:hyperlink>
            <w:r w:rsidRPr="00D61F73">
              <w:rPr>
                <w:rFonts w:ascii="Arial" w:hAnsi="Arial" w:cs="Arial"/>
              </w:rPr>
              <w:t>) (Clinical Pharmacology, 2008)</w:t>
            </w:r>
          </w:p>
          <w:p w14:paraId="3E1D6B77" w14:textId="30B48BDF" w:rsidR="00053AA0" w:rsidRPr="00D61F73" w:rsidRDefault="00DE4576" w:rsidP="00D61F73">
            <w:pPr>
              <w:rPr>
                <w:rFonts w:ascii="Arial" w:hAnsi="Arial" w:cs="Arial"/>
              </w:rPr>
            </w:pPr>
            <w:r>
              <w:rPr>
                <w:rFonts w:ascii="Arial" w:hAnsi="Arial" w:cs="Arial"/>
                <w:b/>
                <w:bCs/>
                <w:i/>
                <w:iCs/>
              </w:rPr>
              <w:t xml:space="preserve">  </w:t>
            </w:r>
            <w:r w:rsidR="00053AA0" w:rsidRPr="00D61F73">
              <w:rPr>
                <w:rFonts w:ascii="Arial" w:hAnsi="Arial" w:cs="Arial"/>
                <w:b/>
                <w:bCs/>
                <w:i/>
                <w:iCs/>
              </w:rPr>
              <w:t>(b)</w:t>
            </w:r>
            <w:r w:rsidR="00053AA0" w:rsidRPr="00D61F73">
              <w:rPr>
                <w:rFonts w:ascii="Arial" w:hAnsi="Arial" w:cs="Arial"/>
                <w:b/>
                <w:bCs/>
                <w:i/>
                <w:iCs/>
                <w:u w:val="single"/>
              </w:rPr>
              <w:t xml:space="preserve"> TCAs</w:t>
            </w:r>
            <w:r w:rsidR="00053AA0" w:rsidRPr="00D61F73">
              <w:rPr>
                <w:rFonts w:ascii="Arial" w:hAnsi="Arial" w:cs="Arial"/>
                <w:b/>
                <w:bCs/>
                <w:i/>
                <w:iCs/>
              </w:rPr>
              <w:t xml:space="preserve">: </w:t>
            </w:r>
            <w:r w:rsidR="00053AA0" w:rsidRPr="00D61F73">
              <w:rPr>
                <w:rFonts w:ascii="Arial" w:hAnsi="Arial" w:cs="Arial"/>
                <w:b/>
                <w:i/>
              </w:rPr>
              <w:t xml:space="preserve">Amitriptyline (Elavil®, generic available): </w:t>
            </w:r>
            <w:r w:rsidR="00053AA0" w:rsidRPr="00D61F73">
              <w:rPr>
                <w:rFonts w:ascii="Arial" w:hAnsi="Arial" w:cs="Arial"/>
                <w:i/>
              </w:rPr>
              <w:t>Dosing information:</w:t>
            </w:r>
            <w:r w:rsidR="00053AA0" w:rsidRPr="00D61F73">
              <w:rPr>
                <w:rFonts w:ascii="Arial" w:hAnsi="Arial" w:cs="Arial"/>
              </w:rPr>
              <w:t xml:space="preserve"> 75-200mg daily.</w:t>
            </w:r>
          </w:p>
          <w:p w14:paraId="09B08CA6" w14:textId="77777777" w:rsidR="00053AA0" w:rsidRPr="00D61F73" w:rsidRDefault="00053AA0" w:rsidP="00D61F73">
            <w:pPr>
              <w:rPr>
                <w:rFonts w:ascii="Arial" w:hAnsi="Arial" w:cs="Arial"/>
                <w:bCs/>
                <w:iCs/>
              </w:rPr>
            </w:pPr>
            <w:r w:rsidRPr="00D61F73">
              <w:rPr>
                <w:rFonts w:ascii="Arial" w:hAnsi="Arial" w:cs="Arial"/>
                <w:b/>
                <w:bCs/>
                <w:i/>
                <w:iCs/>
              </w:rPr>
              <w:t xml:space="preserve">  (c)</w:t>
            </w:r>
            <w:r w:rsidRPr="00D61F73">
              <w:rPr>
                <w:rFonts w:ascii="Arial" w:hAnsi="Arial" w:cs="Arial"/>
                <w:b/>
                <w:bCs/>
                <w:i/>
                <w:iCs/>
                <w:u w:val="single"/>
              </w:rPr>
              <w:t xml:space="preserve"> Other antidepressants </w:t>
            </w:r>
            <w:r w:rsidRPr="00D61F73">
              <w:rPr>
                <w:rFonts w:ascii="Arial" w:hAnsi="Arial" w:cs="Arial"/>
                <w:b/>
                <w:bCs/>
                <w:i/>
                <w:iCs/>
              </w:rPr>
              <w:t>Venlafaxine (Effexor-XR)</w:t>
            </w:r>
            <w:r w:rsidRPr="00D61F73">
              <w:rPr>
                <w:rFonts w:ascii="Arial" w:hAnsi="Arial" w:cs="Arial"/>
                <w:bCs/>
                <w:iCs/>
              </w:rPr>
              <w:t xml:space="preserve"> is</w:t>
            </w:r>
            <w:r w:rsidRPr="00D61F73">
              <w:rPr>
                <w:rFonts w:ascii="Arial" w:hAnsi="Arial" w:cs="Arial"/>
              </w:rPr>
              <w:t xml:space="preserve"> effective </w:t>
            </w:r>
            <w:r w:rsidRPr="00D61F73">
              <w:rPr>
                <w:rFonts w:ascii="Arial" w:hAnsi="Arial" w:cs="Arial"/>
                <w:bCs/>
                <w:iCs/>
              </w:rPr>
              <w:t>for symptoms of</w:t>
            </w:r>
            <w:r w:rsidRPr="00D61F73">
              <w:rPr>
                <w:rFonts w:ascii="Arial" w:hAnsi="Arial" w:cs="Arial"/>
              </w:rPr>
              <w:t xml:space="preserve"> PTSD</w:t>
            </w:r>
            <w:r w:rsidRPr="00D61F73">
              <w:rPr>
                <w:rFonts w:ascii="Arial" w:hAnsi="Arial" w:cs="Arial"/>
                <w:bCs/>
                <w:iCs/>
              </w:rPr>
              <w:t xml:space="preserve">, and is associated with improved resilience (Davidson, 2006). </w:t>
            </w:r>
            <w:r w:rsidRPr="00D61F73">
              <w:rPr>
                <w:rFonts w:ascii="Arial" w:hAnsi="Arial" w:cs="Arial"/>
                <w:b/>
                <w:bCs/>
                <w:i/>
                <w:iCs/>
              </w:rPr>
              <w:t>Mirtazapine</w:t>
            </w:r>
            <w:r w:rsidRPr="00D61F73">
              <w:rPr>
                <w:rFonts w:ascii="Arial" w:hAnsi="Arial" w:cs="Arial"/>
                <w:bCs/>
                <w:iCs/>
              </w:rPr>
              <w:t>, an antidepressant with both serotonergic and adrenergic activity has proven efficacy for PTSD, and is recommended as a second</w:t>
            </w:r>
            <w:r w:rsidR="00F2027E" w:rsidRPr="00D61F73">
              <w:rPr>
                <w:rFonts w:ascii="Arial" w:hAnsi="Arial" w:cs="Arial"/>
                <w:bCs/>
                <w:iCs/>
              </w:rPr>
              <w:t>-</w:t>
            </w:r>
            <w:r w:rsidRPr="00D61F73">
              <w:rPr>
                <w:rFonts w:ascii="Arial" w:hAnsi="Arial" w:cs="Arial"/>
                <w:bCs/>
                <w:iCs/>
              </w:rPr>
              <w:t>line agent (</w:t>
            </w:r>
            <w:hyperlink w:anchor="Friedman2013" w:history="1">
              <w:r w:rsidRPr="00D61F73">
                <w:rPr>
                  <w:rStyle w:val="Hyperlink"/>
                  <w:rFonts w:ascii="Arial" w:hAnsi="Arial" w:cs="Arial"/>
                  <w:bCs/>
                  <w:iCs/>
                </w:rPr>
                <w:t>Friedman, 2013</w:t>
              </w:r>
            </w:hyperlink>
            <w:r w:rsidRPr="00D61F73">
              <w:rPr>
                <w:rFonts w:ascii="Arial" w:hAnsi="Arial" w:cs="Arial"/>
                <w:bCs/>
                <w:iCs/>
              </w:rPr>
              <w:t xml:space="preserve">). </w:t>
            </w:r>
            <w:r w:rsidRPr="00D61F73">
              <w:rPr>
                <w:rFonts w:ascii="Arial" w:hAnsi="Arial" w:cs="Arial"/>
                <w:b/>
                <w:bCs/>
                <w:i/>
                <w:iCs/>
              </w:rPr>
              <w:t>Trazodone</w:t>
            </w:r>
            <w:r w:rsidRPr="00D61F73">
              <w:rPr>
                <w:rFonts w:ascii="Arial" w:hAnsi="Arial" w:cs="Arial"/>
                <w:bCs/>
                <w:iCs/>
              </w:rPr>
              <w:t xml:space="preserve"> may be used in conjunction with SSRIs to counter medication induced insomnia.</w:t>
            </w:r>
          </w:p>
          <w:p w14:paraId="55107CAB" w14:textId="1966BC96" w:rsidR="00053AA0" w:rsidRPr="00D61F73" w:rsidRDefault="00053AA0" w:rsidP="00D61F73">
            <w:pPr>
              <w:rPr>
                <w:rFonts w:ascii="Arial" w:hAnsi="Arial" w:cs="Arial"/>
              </w:rPr>
            </w:pPr>
            <w:r w:rsidRPr="00D61F73">
              <w:rPr>
                <w:rFonts w:ascii="Arial" w:hAnsi="Arial" w:cs="Arial"/>
                <w:b/>
                <w:bCs/>
                <w:i/>
                <w:iCs/>
              </w:rPr>
              <w:t xml:space="preserve"> </w:t>
            </w:r>
            <w:r w:rsidR="00DE4576">
              <w:rPr>
                <w:rFonts w:ascii="Arial" w:hAnsi="Arial" w:cs="Arial"/>
                <w:b/>
                <w:bCs/>
                <w:i/>
                <w:iCs/>
              </w:rPr>
              <w:t xml:space="preserve"> </w:t>
            </w:r>
            <w:r w:rsidRPr="00D61F73">
              <w:rPr>
                <w:rFonts w:ascii="Arial" w:hAnsi="Arial" w:cs="Arial"/>
                <w:b/>
                <w:bCs/>
                <w:i/>
                <w:iCs/>
              </w:rPr>
              <w:t xml:space="preserve">(d) </w:t>
            </w:r>
            <w:r w:rsidRPr="00D61F73">
              <w:rPr>
                <w:rFonts w:ascii="Arial" w:hAnsi="Arial" w:cs="Arial"/>
                <w:b/>
                <w:i/>
              </w:rPr>
              <w:t>Alpha-1 Adrenergic Agents: Prazosin</w:t>
            </w:r>
            <w:r w:rsidRPr="00D61F73">
              <w:rPr>
                <w:rFonts w:ascii="Arial" w:hAnsi="Arial" w:cs="Arial"/>
              </w:rPr>
              <w:t>, is effective for hyperarousal symptoms, including nightmares of PTSD. (Raskind, 2003, 2007)</w:t>
            </w:r>
          </w:p>
          <w:p w14:paraId="748B8715" w14:textId="155D806A" w:rsidR="00053AA0" w:rsidRPr="00D61F73" w:rsidRDefault="00DE4576" w:rsidP="00D61F73">
            <w:pPr>
              <w:rPr>
                <w:rFonts w:ascii="Arial" w:hAnsi="Arial" w:cs="Arial"/>
              </w:rPr>
            </w:pPr>
            <w:r>
              <w:rPr>
                <w:rFonts w:ascii="Arial" w:hAnsi="Arial" w:cs="Arial"/>
                <w:b/>
                <w:i/>
              </w:rPr>
              <w:t xml:space="preserve">  </w:t>
            </w:r>
            <w:r w:rsidR="00053AA0" w:rsidRPr="00D61F73">
              <w:rPr>
                <w:rFonts w:ascii="Arial" w:hAnsi="Arial" w:cs="Arial"/>
                <w:b/>
                <w:i/>
              </w:rPr>
              <w:t xml:space="preserve">(e) </w:t>
            </w:r>
            <w:r w:rsidR="00053AA0" w:rsidRPr="00D61F73">
              <w:rPr>
                <w:rFonts w:ascii="Arial" w:hAnsi="Arial" w:cs="Arial"/>
                <w:b/>
                <w:i/>
                <w:u w:val="single"/>
              </w:rPr>
              <w:t xml:space="preserve">Topiramate </w:t>
            </w:r>
            <w:r w:rsidR="00053AA0" w:rsidRPr="00D61F73">
              <w:rPr>
                <w:rFonts w:ascii="Arial" w:hAnsi="Arial" w:cs="Arial"/>
              </w:rPr>
              <w:t>has a broad spectrum effect on PTSD symptoms, comparable to other psychopharmacological agents.  (Akuchekian, 2004), (Tucker, 2007), (Yeh, 2011)</w:t>
            </w:r>
          </w:p>
          <w:p w14:paraId="27CA1E1A" w14:textId="77777777" w:rsidR="00053AA0" w:rsidRPr="0094496A" w:rsidRDefault="00053AA0" w:rsidP="00D61F73">
            <w:pPr>
              <w:rPr>
                <w:rFonts w:ascii="Arial" w:hAnsi="Arial" w:cs="Arial"/>
                <w:sz w:val="16"/>
                <w:szCs w:val="16"/>
              </w:rPr>
            </w:pPr>
          </w:p>
          <w:p w14:paraId="0FF18D76" w14:textId="77777777" w:rsidR="00053AA0" w:rsidRPr="00D61F73" w:rsidRDefault="00053AA0" w:rsidP="00D61F73">
            <w:pPr>
              <w:rPr>
                <w:rFonts w:ascii="Arial" w:hAnsi="Arial" w:cs="Arial"/>
              </w:rPr>
            </w:pPr>
            <w:r w:rsidRPr="00D61F73">
              <w:rPr>
                <w:rFonts w:ascii="Arial" w:hAnsi="Arial" w:cs="Arial"/>
                <w:b/>
                <w:i/>
              </w:rPr>
              <w:t xml:space="preserve">Antipsychotics like Risperidone </w:t>
            </w:r>
            <w:r w:rsidRPr="00D61F73">
              <w:rPr>
                <w:rFonts w:ascii="Arial" w:hAnsi="Arial" w:cs="Arial"/>
              </w:rPr>
              <w:t>may be beneficial as an adjunct treatment.</w:t>
            </w:r>
          </w:p>
          <w:p w14:paraId="40CC9C51" w14:textId="77777777" w:rsidR="00053AA0" w:rsidRPr="0094496A" w:rsidRDefault="00053AA0" w:rsidP="00D61F73">
            <w:pPr>
              <w:rPr>
                <w:rFonts w:ascii="Arial" w:hAnsi="Arial" w:cs="Arial"/>
                <w:sz w:val="16"/>
                <w:szCs w:val="16"/>
              </w:rPr>
            </w:pPr>
          </w:p>
          <w:p w14:paraId="0495AEF7" w14:textId="77777777" w:rsidR="00053AA0" w:rsidRPr="00D61F73" w:rsidRDefault="00053AA0" w:rsidP="00D61F73">
            <w:pPr>
              <w:rPr>
                <w:rFonts w:ascii="Arial" w:hAnsi="Arial" w:cs="Arial"/>
              </w:rPr>
            </w:pPr>
            <w:r w:rsidRPr="00D61F73">
              <w:rPr>
                <w:rFonts w:ascii="Arial" w:hAnsi="Arial" w:cs="Arial"/>
                <w:b/>
              </w:rPr>
              <w:t xml:space="preserve">Benzodiazepines </w:t>
            </w:r>
            <w:r w:rsidRPr="00D61F73">
              <w:rPr>
                <w:rFonts w:ascii="Arial" w:hAnsi="Arial" w:cs="Arial"/>
              </w:rPr>
              <w:t>are not recommended for PTSD, unless they are needed for comorbid disorders.</w:t>
            </w:r>
          </w:p>
          <w:p w14:paraId="7D65DD8B" w14:textId="77777777" w:rsidR="00053AA0" w:rsidRPr="00D61F73" w:rsidRDefault="00053AA0" w:rsidP="00D61F73">
            <w:pPr>
              <w:rPr>
                <w:rFonts w:ascii="Arial" w:hAnsi="Arial" w:cs="Arial"/>
              </w:rPr>
            </w:pPr>
          </w:p>
          <w:p w14:paraId="47F116F4" w14:textId="3F1425A5" w:rsidR="008D0565" w:rsidRPr="00D61F73" w:rsidRDefault="008D0565" w:rsidP="00D61F73">
            <w:pPr>
              <w:rPr>
                <w:rFonts w:ascii="Arial" w:hAnsi="Arial" w:cs="Arial"/>
                <w:b/>
                <w:u w:val="single"/>
              </w:rPr>
            </w:pPr>
            <w:r w:rsidRPr="00D61F73">
              <w:rPr>
                <w:rFonts w:ascii="Arial" w:hAnsi="Arial" w:cs="Arial"/>
                <w:b/>
              </w:rPr>
              <w:t xml:space="preserve">(4) </w:t>
            </w:r>
            <w:r w:rsidRPr="00D61F73">
              <w:rPr>
                <w:rFonts w:ascii="Arial" w:hAnsi="Arial" w:cs="Arial"/>
                <w:b/>
                <w:u w:val="single"/>
              </w:rPr>
              <w:t>S</w:t>
            </w:r>
            <w:bookmarkStart w:id="89" w:name="Socialanxietydisorder"/>
            <w:bookmarkEnd w:id="89"/>
            <w:r w:rsidRPr="00D61F73">
              <w:rPr>
                <w:rFonts w:ascii="Arial" w:hAnsi="Arial" w:cs="Arial"/>
                <w:b/>
                <w:u w:val="single"/>
              </w:rPr>
              <w:t>OCIAL ANXIETY DISORDER (SAD)</w:t>
            </w:r>
            <w:r w:rsidRPr="00D61F73">
              <w:rPr>
                <w:rFonts w:ascii="Arial" w:hAnsi="Arial" w:cs="Arial"/>
                <w:b/>
              </w:rPr>
              <w:t xml:space="preserve">: </w:t>
            </w:r>
          </w:p>
          <w:p w14:paraId="070A796B" w14:textId="77777777" w:rsidR="008D0565" w:rsidRPr="00D61F73" w:rsidRDefault="008D0565" w:rsidP="00D61F73">
            <w:pPr>
              <w:rPr>
                <w:rFonts w:ascii="Arial" w:hAnsi="Arial" w:cs="Arial"/>
              </w:rPr>
            </w:pPr>
            <w:r w:rsidRPr="00D61F73">
              <w:rPr>
                <w:rFonts w:ascii="Arial" w:hAnsi="Arial" w:cs="Arial"/>
              </w:rPr>
              <w:t xml:space="preserve">The DSM-IV-TR describes generalized SAD as a persistent fear of social situations, with exposure leading to anxiety and avoidance. </w:t>
            </w:r>
            <w:r w:rsidRPr="00D61F73">
              <w:rPr>
                <w:rFonts w:ascii="Arial" w:hAnsi="Arial" w:cs="Arial"/>
                <w:i/>
              </w:rPr>
              <w:t xml:space="preserve">Outcomes: </w:t>
            </w:r>
            <w:r w:rsidRPr="00D61F73">
              <w:rPr>
                <w:rFonts w:ascii="Arial" w:hAnsi="Arial" w:cs="Arial"/>
              </w:rPr>
              <w:t>Most studies have used the Liebowitz Social Anxiety Scale (LSAS). (</w:t>
            </w:r>
            <w:hyperlink w:anchor="Hoffman" w:history="1">
              <w:r w:rsidRPr="00D61F73">
                <w:rPr>
                  <w:rStyle w:val="Hyperlink"/>
                  <w:rFonts w:ascii="Arial" w:hAnsi="Arial" w:cs="Arial"/>
                </w:rPr>
                <w:t>Hoffman, 2008</w:t>
              </w:r>
            </w:hyperlink>
            <w:r w:rsidRPr="00D61F73">
              <w:rPr>
                <w:rFonts w:ascii="Arial" w:hAnsi="Arial" w:cs="Arial"/>
              </w:rPr>
              <w:t>) (</w:t>
            </w:r>
            <w:hyperlink w:anchor="Schneier" w:history="1">
              <w:r w:rsidRPr="00D61F73">
                <w:rPr>
                  <w:rStyle w:val="Hyperlink"/>
                  <w:rFonts w:ascii="Arial" w:hAnsi="Arial" w:cs="Arial"/>
                </w:rPr>
                <w:t>Schneier, 2006</w:t>
              </w:r>
            </w:hyperlink>
            <w:r w:rsidRPr="00D61F73">
              <w:rPr>
                <w:rFonts w:ascii="Arial" w:hAnsi="Arial" w:cs="Arial"/>
              </w:rPr>
              <w:t>) (</w:t>
            </w:r>
            <w:hyperlink w:anchor="Hedges" w:history="1">
              <w:r w:rsidRPr="00D61F73">
                <w:rPr>
                  <w:rStyle w:val="Hyperlink"/>
                  <w:rFonts w:ascii="Arial" w:hAnsi="Arial" w:cs="Arial"/>
                </w:rPr>
                <w:t>Hedges, 2007</w:t>
              </w:r>
            </w:hyperlink>
            <w:r w:rsidRPr="00D61F73">
              <w:rPr>
                <w:rFonts w:ascii="Arial" w:hAnsi="Arial" w:cs="Arial"/>
              </w:rPr>
              <w:t>) (</w:t>
            </w:r>
            <w:hyperlink w:anchor="Ipser" w:history="1">
              <w:r w:rsidRPr="00D61F73">
                <w:rPr>
                  <w:rStyle w:val="Hyperlink"/>
                  <w:rFonts w:ascii="Arial" w:hAnsi="Arial" w:cs="Arial"/>
                </w:rPr>
                <w:t>Ipser, 2008</w:t>
              </w:r>
            </w:hyperlink>
            <w:r w:rsidRPr="00D61F73">
              <w:rPr>
                <w:rFonts w:ascii="Arial" w:hAnsi="Arial" w:cs="Arial"/>
              </w:rPr>
              <w:t>)</w:t>
            </w:r>
          </w:p>
          <w:p w14:paraId="37E0AB21" w14:textId="77777777" w:rsidR="008D0565" w:rsidRPr="00D61F73" w:rsidRDefault="008D0565" w:rsidP="00D61F73">
            <w:pPr>
              <w:rPr>
                <w:rFonts w:ascii="Arial" w:hAnsi="Arial" w:cs="Arial"/>
                <w:b/>
                <w:i/>
              </w:rPr>
            </w:pPr>
            <w:r w:rsidRPr="00D61F73">
              <w:rPr>
                <w:rFonts w:ascii="Arial" w:hAnsi="Arial" w:cs="Arial"/>
                <w:b/>
                <w:bCs/>
                <w:i/>
                <w:iCs/>
              </w:rPr>
              <w:t xml:space="preserve">  (a)</w:t>
            </w:r>
            <w:r w:rsidRPr="00D61F73">
              <w:rPr>
                <w:rFonts w:ascii="Arial" w:hAnsi="Arial" w:cs="Arial"/>
                <w:b/>
                <w:bCs/>
                <w:i/>
                <w:iCs/>
                <w:u w:val="single"/>
              </w:rPr>
              <w:t xml:space="preserve"> SSRIs</w:t>
            </w:r>
            <w:r w:rsidRPr="00D61F73">
              <w:rPr>
                <w:rFonts w:ascii="Arial" w:hAnsi="Arial" w:cs="Arial"/>
                <w:b/>
                <w:bCs/>
                <w:i/>
                <w:iCs/>
              </w:rPr>
              <w:t>:</w:t>
            </w:r>
            <w:r w:rsidRPr="00D61F73">
              <w:rPr>
                <w:rFonts w:ascii="Arial" w:hAnsi="Arial" w:cs="Arial"/>
              </w:rPr>
              <w:t xml:space="preserve"> generally recommended as first-line agents for treating SAD, due to effectiveness and favorable side effect profile. The initial dose is generally half of the usual dose. Titration can occur over 1 week to 4 weeks. A trial of a SSRI is recommended for at least 12 weeks as some patients take over 8 weeks for a response. Maintenance therapy is recommended for those patients who take over 8 weeks for response to prevent relapse. Medications are indicated for at least 6 to 12 months with follow-up for relapse. (</w:t>
            </w:r>
            <w:hyperlink w:anchor="Schneier" w:history="1">
              <w:r w:rsidRPr="00D61F73">
                <w:rPr>
                  <w:rStyle w:val="Hyperlink"/>
                  <w:rFonts w:ascii="Arial" w:hAnsi="Arial" w:cs="Arial"/>
                </w:rPr>
                <w:t>Schneier, 2006</w:t>
              </w:r>
            </w:hyperlink>
            <w:r w:rsidRPr="00D61F73">
              <w:rPr>
                <w:rFonts w:ascii="Arial" w:hAnsi="Arial" w:cs="Arial"/>
              </w:rPr>
              <w:t xml:space="preserve">) </w:t>
            </w:r>
            <w:r w:rsidRPr="00D61F73">
              <w:rPr>
                <w:rFonts w:ascii="Arial" w:hAnsi="Arial" w:cs="Arial"/>
                <w:b/>
                <w:i/>
              </w:rPr>
              <w:t xml:space="preserve">Paroxetine (Paxil®, generic available): </w:t>
            </w:r>
            <w:r w:rsidRPr="00D61F73">
              <w:rPr>
                <w:rFonts w:ascii="Arial" w:hAnsi="Arial" w:cs="Arial"/>
              </w:rPr>
              <w:t xml:space="preserve">Also recommended for GAD, PD, OCD, and PTSD as well as major depressive disorder. </w:t>
            </w:r>
            <w:r w:rsidRPr="00D61F73">
              <w:rPr>
                <w:rFonts w:ascii="Arial" w:hAnsi="Arial" w:cs="Arial"/>
                <w:i/>
              </w:rPr>
              <w:t>Dosing information:</w:t>
            </w:r>
            <w:r w:rsidRPr="00D61F73">
              <w:rPr>
                <w:rFonts w:ascii="Arial" w:hAnsi="Arial" w:cs="Arial"/>
              </w:rPr>
              <w:t xml:space="preserve"> 20-60mg daily. (</w:t>
            </w:r>
            <w:hyperlink w:anchor="Bandelow" w:history="1">
              <w:r w:rsidRPr="00D61F73">
                <w:rPr>
                  <w:rStyle w:val="Hyperlink"/>
                  <w:rFonts w:ascii="Arial" w:hAnsi="Arial" w:cs="Arial"/>
                </w:rPr>
                <w:t>Bandelow 2002</w:t>
              </w:r>
            </w:hyperlink>
            <w:r w:rsidRPr="00D61F73">
              <w:rPr>
                <w:rFonts w:ascii="Arial" w:hAnsi="Arial" w:cs="Arial"/>
              </w:rPr>
              <w:t xml:space="preserve">) </w:t>
            </w:r>
            <w:r w:rsidRPr="00D61F73">
              <w:rPr>
                <w:rFonts w:ascii="Arial" w:hAnsi="Arial" w:cs="Arial"/>
                <w:b/>
                <w:i/>
              </w:rPr>
              <w:t xml:space="preserve">Paroxetine controlled release (Paxil CR®, generic available): </w:t>
            </w:r>
            <w:r w:rsidRPr="00D61F73">
              <w:rPr>
                <w:rFonts w:ascii="Arial" w:hAnsi="Arial" w:cs="Arial"/>
              </w:rPr>
              <w:t xml:space="preserve">Also approved for PD, major depressive disorder, and premenstrual dysphoric disorder. </w:t>
            </w:r>
            <w:r w:rsidRPr="00D61F73">
              <w:rPr>
                <w:rFonts w:ascii="Arial" w:hAnsi="Arial" w:cs="Arial"/>
                <w:i/>
              </w:rPr>
              <w:t xml:space="preserve">Dosing information: </w:t>
            </w:r>
            <w:r w:rsidRPr="00D61F73">
              <w:rPr>
                <w:rFonts w:ascii="Arial" w:hAnsi="Arial" w:cs="Arial"/>
              </w:rPr>
              <w:t xml:space="preserve">Initially 12.5 mg daily, may increase up to 37.5mg daily. (PPI GlaxoSmithKline) </w:t>
            </w:r>
            <w:r w:rsidRPr="00D61F73">
              <w:rPr>
                <w:rFonts w:ascii="Arial" w:hAnsi="Arial" w:cs="Arial"/>
                <w:b/>
                <w:i/>
              </w:rPr>
              <w:t>Sertraline (Zoloft®, generic available:</w:t>
            </w:r>
            <w:r w:rsidRPr="00D61F73">
              <w:rPr>
                <w:rFonts w:ascii="Arial" w:hAnsi="Arial" w:cs="Arial"/>
              </w:rPr>
              <w:t xml:space="preserve"> Also approved for OCD, major depressive disorder and premenstrual dysphoric disorder. </w:t>
            </w:r>
            <w:r w:rsidRPr="00D61F73">
              <w:rPr>
                <w:rFonts w:ascii="Arial" w:hAnsi="Arial" w:cs="Arial"/>
                <w:i/>
              </w:rPr>
              <w:t xml:space="preserve">Dosing information: </w:t>
            </w:r>
            <w:r w:rsidRPr="00D61F73">
              <w:rPr>
                <w:rFonts w:ascii="Arial" w:hAnsi="Arial" w:cs="Arial"/>
              </w:rPr>
              <w:t xml:space="preserve">50-150 mg daily </w:t>
            </w:r>
            <w:r w:rsidRPr="00D61F73">
              <w:rPr>
                <w:rFonts w:ascii="Arial" w:hAnsi="Arial" w:cs="Arial"/>
              </w:rPr>
              <w:lastRenderedPageBreak/>
              <w:t xml:space="preserve">(max 200 mg daily). </w:t>
            </w:r>
            <w:r w:rsidRPr="00D61F73">
              <w:rPr>
                <w:rFonts w:ascii="Arial" w:hAnsi="Arial" w:cs="Arial"/>
                <w:b/>
                <w:i/>
              </w:rPr>
              <w:t>Escitalopram (Lexapro®</w:t>
            </w:r>
            <w:r w:rsidRPr="00D61F73">
              <w:rPr>
                <w:rFonts w:ascii="Arial" w:hAnsi="Arial" w:cs="Arial"/>
                <w:b/>
              </w:rPr>
              <w:t xml:space="preserve">, </w:t>
            </w:r>
            <w:r w:rsidRPr="00D61F73">
              <w:rPr>
                <w:rFonts w:ascii="Arial" w:hAnsi="Arial" w:cs="Arial"/>
                <w:b/>
                <w:i/>
              </w:rPr>
              <w:t xml:space="preserve">no generic available): </w:t>
            </w:r>
            <w:r w:rsidRPr="00D61F73">
              <w:rPr>
                <w:rFonts w:ascii="Arial" w:hAnsi="Arial" w:cs="Arial"/>
              </w:rPr>
              <w:t xml:space="preserve">Non-FDA approved indication. </w:t>
            </w:r>
            <w:r w:rsidRPr="00D61F73">
              <w:rPr>
                <w:rFonts w:ascii="Arial" w:hAnsi="Arial" w:cs="Arial"/>
                <w:i/>
              </w:rPr>
              <w:t>Dosing information:</w:t>
            </w:r>
            <w:r w:rsidRPr="00D61F73">
              <w:rPr>
                <w:rFonts w:ascii="Arial" w:hAnsi="Arial" w:cs="Arial"/>
              </w:rPr>
              <w:t xml:space="preserve"> 10-20 mg once daily. </w:t>
            </w:r>
            <w:r w:rsidRPr="00D61F73">
              <w:rPr>
                <w:rFonts w:ascii="Arial" w:hAnsi="Arial" w:cs="Arial"/>
                <w:b/>
                <w:i/>
              </w:rPr>
              <w:t xml:space="preserve">Fluvoxamine (Luvox®, generic available): </w:t>
            </w:r>
            <w:r w:rsidRPr="00D61F73">
              <w:rPr>
                <w:rFonts w:ascii="Arial" w:hAnsi="Arial" w:cs="Arial"/>
              </w:rPr>
              <w:t xml:space="preserve">Non-FDA approved indication. </w:t>
            </w:r>
            <w:r w:rsidRPr="00D61F73">
              <w:rPr>
                <w:rFonts w:ascii="Arial" w:hAnsi="Arial" w:cs="Arial"/>
                <w:i/>
              </w:rPr>
              <w:t>Dosing information:</w:t>
            </w:r>
            <w:r w:rsidRPr="00D61F73">
              <w:rPr>
                <w:rFonts w:ascii="Arial" w:hAnsi="Arial" w:cs="Arial"/>
              </w:rPr>
              <w:t xml:space="preserve"> Initially 50 mg at bedtime, doses should be titrated upward to daily doses of 100-300 mg daily. Daily doses greater than 100 mg should be divided, with the larger dose given at bedtime.</w:t>
            </w:r>
          </w:p>
          <w:p w14:paraId="4111DFBD" w14:textId="77777777" w:rsidR="008D0565" w:rsidRPr="00D61F73" w:rsidRDefault="008D0565" w:rsidP="00D61F73">
            <w:pPr>
              <w:rPr>
                <w:rFonts w:ascii="Arial" w:hAnsi="Arial" w:cs="Arial"/>
              </w:rPr>
            </w:pPr>
            <w:r w:rsidRPr="00D61F73">
              <w:rPr>
                <w:rFonts w:ascii="Arial" w:hAnsi="Arial" w:cs="Arial"/>
                <w:b/>
                <w:bCs/>
                <w:i/>
                <w:iCs/>
              </w:rPr>
              <w:t xml:space="preserve">  (b)</w:t>
            </w:r>
            <w:r w:rsidRPr="00D61F73">
              <w:rPr>
                <w:rFonts w:ascii="Arial" w:hAnsi="Arial" w:cs="Arial"/>
                <w:b/>
                <w:bCs/>
                <w:i/>
                <w:iCs/>
                <w:u w:val="single"/>
              </w:rPr>
              <w:t xml:space="preserve"> SNRI</w:t>
            </w:r>
            <w:r w:rsidRPr="00D61F73">
              <w:rPr>
                <w:rFonts w:ascii="Arial" w:hAnsi="Arial" w:cs="Arial"/>
                <w:b/>
                <w:bCs/>
                <w:i/>
                <w:iCs/>
              </w:rPr>
              <w:t>:</w:t>
            </w:r>
            <w:r w:rsidRPr="00D61F73">
              <w:rPr>
                <w:rFonts w:ascii="Arial" w:hAnsi="Arial" w:cs="Arial"/>
              </w:rPr>
              <w:t xml:space="preserve"> Considered a first-line medication for generalized SAD. </w:t>
            </w:r>
            <w:r w:rsidRPr="00D61F73">
              <w:rPr>
                <w:rFonts w:ascii="Arial" w:hAnsi="Arial" w:cs="Arial"/>
                <w:b/>
                <w:i/>
              </w:rPr>
              <w:t>Venlafaxine (Effexor XR®, generic available):</w:t>
            </w:r>
            <w:r w:rsidRPr="00D61F73">
              <w:rPr>
                <w:rFonts w:ascii="Arial" w:hAnsi="Arial" w:cs="Arial"/>
              </w:rPr>
              <w:t xml:space="preserve"> also approved for GAD, PD and major depressive disorder. </w:t>
            </w:r>
            <w:r w:rsidRPr="00D61F73">
              <w:rPr>
                <w:rFonts w:ascii="Arial" w:hAnsi="Arial" w:cs="Arial"/>
                <w:i/>
              </w:rPr>
              <w:t>Dosing information:</w:t>
            </w:r>
            <w:r w:rsidRPr="00D61F73">
              <w:rPr>
                <w:rFonts w:ascii="Arial" w:hAnsi="Arial" w:cs="Arial"/>
              </w:rPr>
              <w:t xml:space="preserve"> 37.5-225mg daily. Generally started at half of the usual dose and increased over the first week of treatment. Doses can then be increased over a 4-week period.</w:t>
            </w:r>
          </w:p>
          <w:p w14:paraId="65C12BD3" w14:textId="77777777" w:rsidR="008D0565" w:rsidRPr="00D61F73" w:rsidRDefault="008D0565" w:rsidP="00D61F73">
            <w:pPr>
              <w:rPr>
                <w:rFonts w:ascii="Arial" w:hAnsi="Arial" w:cs="Arial"/>
              </w:rPr>
            </w:pPr>
            <w:r w:rsidRPr="00D61F73">
              <w:rPr>
                <w:rFonts w:ascii="Arial" w:hAnsi="Arial" w:cs="Arial"/>
                <w:b/>
                <w:bCs/>
                <w:i/>
                <w:iCs/>
              </w:rPr>
              <w:t xml:space="preserve">  (c)</w:t>
            </w:r>
            <w:r w:rsidRPr="00D61F73">
              <w:rPr>
                <w:rFonts w:ascii="Arial" w:hAnsi="Arial" w:cs="Arial"/>
                <w:b/>
                <w:bCs/>
                <w:i/>
                <w:iCs/>
                <w:u w:val="single"/>
              </w:rPr>
              <w:t xml:space="preserve"> Other agents</w:t>
            </w:r>
            <w:r w:rsidRPr="00D61F73">
              <w:rPr>
                <w:rFonts w:ascii="Arial" w:hAnsi="Arial" w:cs="Arial"/>
                <w:b/>
                <w:bCs/>
                <w:i/>
                <w:iCs/>
              </w:rPr>
              <w:t xml:space="preserve"> used as secondary or alternative treatment to SSRIs:</w:t>
            </w:r>
            <w:r w:rsidRPr="00D61F73">
              <w:rPr>
                <w:rFonts w:ascii="Arial" w:hAnsi="Arial" w:cs="Arial"/>
              </w:rPr>
              <w:t xml:space="preserve"> (</w:t>
            </w:r>
            <w:hyperlink w:anchor="Schneier" w:history="1">
              <w:r w:rsidRPr="00D61F73">
                <w:rPr>
                  <w:rStyle w:val="Hyperlink"/>
                  <w:rFonts w:ascii="Arial" w:hAnsi="Arial" w:cs="Arial"/>
                </w:rPr>
                <w:t>Schneier, 2006</w:t>
              </w:r>
            </w:hyperlink>
            <w:r w:rsidRPr="00D61F73">
              <w:rPr>
                <w:rFonts w:ascii="Arial" w:hAnsi="Arial" w:cs="Arial"/>
              </w:rPr>
              <w:t xml:space="preserve">) </w:t>
            </w:r>
            <w:r w:rsidRPr="00D61F73">
              <w:rPr>
                <w:rFonts w:ascii="Arial" w:hAnsi="Arial" w:cs="Arial"/>
                <w:u w:val="single"/>
              </w:rPr>
              <w:t>Benzodiazepines</w:t>
            </w:r>
            <w:r w:rsidRPr="00D61F73">
              <w:rPr>
                <w:rFonts w:ascii="Arial" w:hAnsi="Arial" w:cs="Arial"/>
              </w:rPr>
              <w:t xml:space="preserve">: </w:t>
            </w:r>
            <w:r w:rsidRPr="00D61F73">
              <w:rPr>
                <w:rFonts w:ascii="Arial" w:hAnsi="Arial" w:cs="Arial"/>
                <w:b/>
                <w:i/>
              </w:rPr>
              <w:t xml:space="preserve">Clonazepam (Klonopin®, generic available): </w:t>
            </w:r>
            <w:r w:rsidRPr="00D61F73">
              <w:rPr>
                <w:rFonts w:ascii="Arial" w:hAnsi="Arial" w:cs="Arial"/>
                <w:i/>
              </w:rPr>
              <w:t xml:space="preserve">Dosing information: </w:t>
            </w:r>
            <w:r w:rsidRPr="00D61F73">
              <w:rPr>
                <w:rFonts w:ascii="Arial" w:hAnsi="Arial" w:cs="Arial"/>
                <w:iCs/>
              </w:rPr>
              <w:t xml:space="preserve">See Generalized Anxiety Disorder. </w:t>
            </w:r>
            <w:r w:rsidRPr="00D61F73">
              <w:rPr>
                <w:rFonts w:ascii="Arial" w:hAnsi="Arial" w:cs="Arial"/>
                <w:u w:val="single"/>
              </w:rPr>
              <w:t>Anticonvulsants</w:t>
            </w:r>
            <w:r w:rsidRPr="00D61F73">
              <w:rPr>
                <w:rFonts w:ascii="Arial" w:hAnsi="Arial" w:cs="Arial"/>
              </w:rPr>
              <w:t xml:space="preserve">: </w:t>
            </w:r>
            <w:r w:rsidRPr="00D61F73">
              <w:rPr>
                <w:rFonts w:ascii="Arial" w:hAnsi="Arial" w:cs="Arial"/>
                <w:b/>
                <w:i/>
              </w:rPr>
              <w:t xml:space="preserve">Gabapentin (Neurontin®, generic available): </w:t>
            </w:r>
            <w:r w:rsidRPr="00D61F73">
              <w:rPr>
                <w:rFonts w:ascii="Arial" w:hAnsi="Arial" w:cs="Arial"/>
              </w:rPr>
              <w:t xml:space="preserve">non-FDA approved indication. </w:t>
            </w:r>
            <w:r w:rsidRPr="00D61F73">
              <w:rPr>
                <w:rFonts w:ascii="Arial" w:hAnsi="Arial" w:cs="Arial"/>
                <w:i/>
              </w:rPr>
              <w:t>Dosing information:</w:t>
            </w:r>
            <w:r w:rsidRPr="00D61F73">
              <w:rPr>
                <w:rFonts w:ascii="Arial" w:hAnsi="Arial" w:cs="Arial"/>
              </w:rPr>
              <w:t xml:space="preserve"> 900-3600 mg per day in divided doses. </w:t>
            </w:r>
            <w:r w:rsidRPr="00D61F73">
              <w:rPr>
                <w:rFonts w:ascii="Arial" w:hAnsi="Arial" w:cs="Arial"/>
                <w:b/>
                <w:i/>
              </w:rPr>
              <w:t xml:space="preserve">Pregabalin (Lyrica®): </w:t>
            </w:r>
            <w:r w:rsidRPr="00D61F73">
              <w:rPr>
                <w:rFonts w:ascii="Arial" w:hAnsi="Arial" w:cs="Arial"/>
              </w:rPr>
              <w:t xml:space="preserve">Non-FDA approved indication. </w:t>
            </w:r>
            <w:r w:rsidRPr="00D61F73">
              <w:rPr>
                <w:rFonts w:ascii="Arial" w:hAnsi="Arial" w:cs="Arial"/>
                <w:i/>
              </w:rPr>
              <w:t xml:space="preserve">Dosing information: </w:t>
            </w:r>
            <w:r w:rsidRPr="00D61F73">
              <w:rPr>
                <w:rFonts w:ascii="Arial" w:hAnsi="Arial" w:cs="Arial"/>
              </w:rPr>
              <w:t>300-600 mg.</w:t>
            </w:r>
          </w:p>
          <w:p w14:paraId="3EBB3982" w14:textId="77777777" w:rsidR="008D0565" w:rsidRPr="00D61F73" w:rsidRDefault="008D0565" w:rsidP="00D61F73">
            <w:pPr>
              <w:rPr>
                <w:rFonts w:ascii="Arial" w:hAnsi="Arial" w:cs="Arial"/>
              </w:rPr>
            </w:pPr>
            <w:r w:rsidRPr="00D61F73">
              <w:rPr>
                <w:rFonts w:ascii="Arial" w:hAnsi="Arial" w:cs="Arial"/>
                <w:b/>
              </w:rPr>
              <w:t xml:space="preserve">(5) </w:t>
            </w:r>
            <w:r w:rsidRPr="00D61F73">
              <w:rPr>
                <w:rFonts w:ascii="Arial" w:hAnsi="Arial" w:cs="Arial"/>
                <w:b/>
                <w:u w:val="single"/>
              </w:rPr>
              <w:t>O</w:t>
            </w:r>
            <w:bookmarkStart w:id="90" w:name="Obsessivecompulsivedisorder"/>
            <w:bookmarkEnd w:id="90"/>
            <w:r w:rsidRPr="00D61F73">
              <w:rPr>
                <w:rFonts w:ascii="Arial" w:hAnsi="Arial" w:cs="Arial"/>
                <w:b/>
                <w:u w:val="single"/>
              </w:rPr>
              <w:t>BSESSIVE COMPULSIVE DISORDER (OCD)</w:t>
            </w:r>
            <w:r w:rsidRPr="00D61F73">
              <w:rPr>
                <w:rFonts w:ascii="Arial" w:hAnsi="Arial" w:cs="Arial"/>
                <w:b/>
              </w:rPr>
              <w:t xml:space="preserve">: </w:t>
            </w:r>
            <w:r w:rsidRPr="00D61F73">
              <w:rPr>
                <w:rFonts w:ascii="Arial" w:hAnsi="Arial" w:cs="Arial"/>
              </w:rPr>
              <w:t>Characterized by recurrent obsessional ruminations, images or impulses, and/or recurrent physical or mental rituals. These ruminations interfere with social and occupational function. OCD is thought to respond selectively to drugs that inhibit the synaptic reuptake of serotonin. An adequate trial should consist of 10-12 weeks with at least 4-6 weeks at the maximum tolerated dose. Cognitive-behavioral therapy may need to be considered. (</w:t>
            </w:r>
            <w:hyperlink w:anchor="Soomro" w:history="1">
              <w:r w:rsidRPr="00D61F73">
                <w:rPr>
                  <w:rStyle w:val="Hyperlink"/>
                  <w:rFonts w:ascii="Arial" w:hAnsi="Arial" w:cs="Arial"/>
                </w:rPr>
                <w:t>Soomro, 2008</w:t>
              </w:r>
            </w:hyperlink>
            <w:r w:rsidRPr="00D61F73">
              <w:rPr>
                <w:rFonts w:ascii="Arial" w:hAnsi="Arial" w:cs="Arial"/>
              </w:rPr>
              <w:t>) (</w:t>
            </w:r>
            <w:hyperlink w:anchor="Baldwin" w:history="1">
              <w:r w:rsidRPr="00D61F73">
                <w:rPr>
                  <w:rStyle w:val="Hyperlink"/>
                  <w:rFonts w:ascii="Arial" w:hAnsi="Arial" w:cs="Arial"/>
                </w:rPr>
                <w:t>Baldwin, 2005</w:t>
              </w:r>
            </w:hyperlink>
            <w:r w:rsidRPr="00D61F73">
              <w:rPr>
                <w:rFonts w:ascii="Arial" w:hAnsi="Arial" w:cs="Arial"/>
              </w:rPr>
              <w:t xml:space="preserve">) </w:t>
            </w:r>
          </w:p>
          <w:p w14:paraId="2F9A13BC" w14:textId="77777777" w:rsidR="008D0565" w:rsidRPr="00D61F73" w:rsidRDefault="008D0565" w:rsidP="00D61F73">
            <w:pPr>
              <w:rPr>
                <w:rFonts w:ascii="Arial" w:hAnsi="Arial" w:cs="Arial"/>
              </w:rPr>
            </w:pPr>
            <w:r w:rsidRPr="00D61F73">
              <w:rPr>
                <w:rFonts w:ascii="Arial" w:hAnsi="Arial" w:cs="Arial"/>
                <w:b/>
                <w:bCs/>
                <w:i/>
                <w:iCs/>
              </w:rPr>
              <w:t xml:space="preserve">  (a)</w:t>
            </w:r>
            <w:r w:rsidRPr="00D61F73">
              <w:rPr>
                <w:rFonts w:ascii="Arial" w:hAnsi="Arial" w:cs="Arial"/>
                <w:b/>
                <w:bCs/>
                <w:i/>
                <w:iCs/>
                <w:u w:val="single"/>
              </w:rPr>
              <w:t xml:space="preserve"> SSRIs</w:t>
            </w:r>
            <w:r w:rsidRPr="00D61F73">
              <w:rPr>
                <w:rFonts w:ascii="Arial" w:hAnsi="Arial" w:cs="Arial"/>
                <w:b/>
                <w:bCs/>
                <w:i/>
                <w:iCs/>
              </w:rPr>
              <w:t>:</w:t>
            </w:r>
            <w:r w:rsidRPr="00D61F73">
              <w:rPr>
                <w:rFonts w:ascii="Arial" w:hAnsi="Arial" w:cs="Arial"/>
              </w:rPr>
              <w:t xml:space="preserve"> </w:t>
            </w:r>
            <w:r w:rsidRPr="00D61F73">
              <w:rPr>
                <w:rFonts w:ascii="Arial" w:hAnsi="Arial" w:cs="Arial"/>
                <w:b/>
                <w:i/>
                <w:iCs/>
              </w:rPr>
              <w:t xml:space="preserve">Fluoxetine (Prozac®, generic available): </w:t>
            </w:r>
            <w:r w:rsidRPr="00D61F73">
              <w:rPr>
                <w:rFonts w:ascii="Arial" w:hAnsi="Arial" w:cs="Arial"/>
                <w:i/>
              </w:rPr>
              <w:t xml:space="preserve">Dosing information: </w:t>
            </w:r>
            <w:r w:rsidRPr="00D61F73">
              <w:rPr>
                <w:rFonts w:ascii="Arial" w:hAnsi="Arial" w:cs="Arial"/>
              </w:rPr>
              <w:t xml:space="preserve">20-80 mg daily, doses greater than 40 mg daily should be divided. </w:t>
            </w:r>
            <w:r w:rsidRPr="00D61F73">
              <w:rPr>
                <w:rFonts w:ascii="Arial" w:hAnsi="Arial" w:cs="Arial"/>
                <w:b/>
                <w:i/>
                <w:iCs/>
              </w:rPr>
              <w:t xml:space="preserve">Fluvoxamine (Luvox®, generic available): </w:t>
            </w:r>
            <w:r w:rsidRPr="00D61F73">
              <w:rPr>
                <w:rFonts w:ascii="Arial" w:hAnsi="Arial" w:cs="Arial"/>
                <w:i/>
              </w:rPr>
              <w:t>Dosing information:</w:t>
            </w:r>
            <w:r w:rsidRPr="00D61F73">
              <w:rPr>
                <w:rFonts w:ascii="Arial" w:hAnsi="Arial" w:cs="Arial"/>
              </w:rPr>
              <w:t xml:space="preserve"> doses should be titrated to a range of 100-300 mg, with doses greater than 100 mg daily in divided doses. </w:t>
            </w:r>
            <w:r w:rsidRPr="00D61F73">
              <w:rPr>
                <w:rFonts w:ascii="Arial" w:hAnsi="Arial" w:cs="Arial"/>
                <w:b/>
                <w:i/>
              </w:rPr>
              <w:t xml:space="preserve">Paroxetine (Paxil®, generic available): </w:t>
            </w:r>
            <w:r w:rsidRPr="00D61F73">
              <w:rPr>
                <w:rFonts w:ascii="Arial" w:hAnsi="Arial" w:cs="Arial"/>
                <w:i/>
              </w:rPr>
              <w:t xml:space="preserve">Dosing information: </w:t>
            </w:r>
            <w:r w:rsidRPr="00D61F73">
              <w:rPr>
                <w:rFonts w:ascii="Arial" w:hAnsi="Arial" w:cs="Arial"/>
              </w:rPr>
              <w:t xml:space="preserve">Initially 20mg (optimal dose is 40mg/day); max dose is 60mg daily. </w:t>
            </w:r>
            <w:r w:rsidRPr="00D61F73">
              <w:rPr>
                <w:rFonts w:ascii="Arial" w:hAnsi="Arial" w:cs="Arial"/>
                <w:b/>
                <w:i/>
              </w:rPr>
              <w:t xml:space="preserve">Sertraline (Zoloft®, generic available): </w:t>
            </w:r>
            <w:r w:rsidRPr="00D61F73">
              <w:rPr>
                <w:rFonts w:ascii="Arial" w:hAnsi="Arial" w:cs="Arial"/>
                <w:i/>
              </w:rPr>
              <w:t>Dosing information:</w:t>
            </w:r>
            <w:r w:rsidRPr="00D61F73">
              <w:rPr>
                <w:rFonts w:ascii="Arial" w:hAnsi="Arial" w:cs="Arial"/>
              </w:rPr>
              <w:t xml:space="preserve"> 50-200 mg daily.</w:t>
            </w:r>
          </w:p>
          <w:p w14:paraId="44F3CF2A" w14:textId="77777777" w:rsidR="008D0565" w:rsidRPr="00D61F73" w:rsidRDefault="008D0565" w:rsidP="00D61F73">
            <w:pPr>
              <w:rPr>
                <w:rFonts w:ascii="Arial" w:hAnsi="Arial" w:cs="Arial"/>
              </w:rPr>
            </w:pPr>
            <w:r w:rsidRPr="00D61F73">
              <w:rPr>
                <w:rFonts w:ascii="Arial" w:hAnsi="Arial" w:cs="Arial"/>
                <w:b/>
                <w:bCs/>
                <w:i/>
                <w:iCs/>
              </w:rPr>
              <w:t xml:space="preserve">  (b) </w:t>
            </w:r>
            <w:r w:rsidRPr="00D61F73">
              <w:rPr>
                <w:rFonts w:ascii="Arial" w:hAnsi="Arial" w:cs="Arial"/>
                <w:b/>
                <w:bCs/>
                <w:i/>
                <w:iCs/>
                <w:u w:val="single"/>
              </w:rPr>
              <w:t>TCAs</w:t>
            </w:r>
            <w:r w:rsidRPr="00D61F73">
              <w:rPr>
                <w:rFonts w:ascii="Arial" w:hAnsi="Arial" w:cs="Arial"/>
                <w:b/>
                <w:bCs/>
                <w:i/>
                <w:iCs/>
              </w:rPr>
              <w:t>:</w:t>
            </w:r>
            <w:r w:rsidRPr="00D61F73">
              <w:rPr>
                <w:rFonts w:ascii="Arial" w:hAnsi="Arial" w:cs="Arial"/>
              </w:rPr>
              <w:t xml:space="preserve"> </w:t>
            </w:r>
            <w:r w:rsidRPr="00D61F73">
              <w:rPr>
                <w:rFonts w:ascii="Arial" w:hAnsi="Arial" w:cs="Arial"/>
                <w:b/>
                <w:i/>
              </w:rPr>
              <w:t xml:space="preserve">Clomipramine (Tofranil®, generic available): </w:t>
            </w:r>
            <w:r w:rsidRPr="00D61F73">
              <w:rPr>
                <w:rFonts w:ascii="Arial" w:hAnsi="Arial" w:cs="Arial"/>
                <w:i/>
              </w:rPr>
              <w:t xml:space="preserve">Dosing information: </w:t>
            </w:r>
            <w:r w:rsidRPr="00D61F73">
              <w:rPr>
                <w:rFonts w:ascii="Arial" w:hAnsi="Arial" w:cs="Arial"/>
              </w:rPr>
              <w:t>Initially 25 mg daily, dose should be titrated upward to doses from 75-250 mg daily. Dose may be given at bedtime to reduce the incidence of daytime sedation. Note: During the initial titration of clomipramine, the dose may be given in divided daily doses in order to minimize GI effects. (PPI Mallinkrodt Inc.)</w:t>
            </w:r>
          </w:p>
          <w:p w14:paraId="585F5D1E" w14:textId="77777777" w:rsidR="008D0565" w:rsidRPr="00D61F73" w:rsidRDefault="008D0565" w:rsidP="00D61F73">
            <w:pPr>
              <w:rPr>
                <w:rFonts w:ascii="Arial" w:hAnsi="Arial" w:cs="Arial"/>
              </w:rPr>
            </w:pPr>
            <w:r w:rsidRPr="00D61F73">
              <w:rPr>
                <w:rFonts w:ascii="Arial" w:hAnsi="Arial" w:cs="Arial"/>
                <w:b/>
                <w:bCs/>
                <w:i/>
                <w:iCs/>
              </w:rPr>
              <w:t xml:space="preserve">  (c)</w:t>
            </w:r>
            <w:r w:rsidRPr="00D61F73">
              <w:rPr>
                <w:rFonts w:ascii="Arial" w:hAnsi="Arial" w:cs="Arial"/>
                <w:b/>
                <w:bCs/>
                <w:i/>
                <w:iCs/>
                <w:u w:val="single"/>
              </w:rPr>
              <w:t xml:space="preserve"> Benzodiazepines </w:t>
            </w:r>
            <w:r w:rsidRPr="00D61F73">
              <w:rPr>
                <w:rFonts w:ascii="Arial" w:hAnsi="Arial" w:cs="Arial"/>
                <w:b/>
                <w:bCs/>
                <w:i/>
                <w:iCs/>
              </w:rPr>
              <w:t>for severe cases, treatment resistant cases or adjunctive therapy:</w:t>
            </w:r>
            <w:r w:rsidRPr="00D61F73">
              <w:rPr>
                <w:rFonts w:ascii="Arial" w:hAnsi="Arial" w:cs="Arial"/>
              </w:rPr>
              <w:t xml:space="preserve"> </w:t>
            </w:r>
            <w:r w:rsidRPr="00D61F73">
              <w:rPr>
                <w:rFonts w:ascii="Arial" w:hAnsi="Arial" w:cs="Arial"/>
                <w:b/>
                <w:i/>
              </w:rPr>
              <w:t>Clonazepam (Klonopin®, generic available).</w:t>
            </w:r>
          </w:p>
          <w:p w14:paraId="5D842016" w14:textId="77777777" w:rsidR="008D0565" w:rsidRPr="00D61F73" w:rsidRDefault="008D0565" w:rsidP="00D61F73">
            <w:pPr>
              <w:rPr>
                <w:rFonts w:ascii="Arial" w:hAnsi="Arial" w:cs="Arial"/>
              </w:rPr>
            </w:pPr>
            <w:r w:rsidRPr="00D61F73">
              <w:rPr>
                <w:rFonts w:ascii="Arial" w:hAnsi="Arial" w:cs="Arial"/>
                <w:b/>
                <w:bCs/>
                <w:i/>
                <w:iCs/>
              </w:rPr>
              <w:t xml:space="preserve">  (d)</w:t>
            </w:r>
            <w:r w:rsidRPr="00D61F73">
              <w:rPr>
                <w:rFonts w:ascii="Arial" w:hAnsi="Arial" w:cs="Arial"/>
                <w:b/>
                <w:bCs/>
                <w:i/>
                <w:iCs/>
                <w:u w:val="single"/>
              </w:rPr>
              <w:t xml:space="preserve"> Other agents </w:t>
            </w:r>
            <w:r w:rsidRPr="00D61F73">
              <w:rPr>
                <w:rFonts w:ascii="Arial" w:hAnsi="Arial" w:cs="Arial"/>
                <w:b/>
                <w:bCs/>
                <w:i/>
                <w:iCs/>
              </w:rPr>
              <w:t>used for treatment resistant patients (Adjunct therapy):</w:t>
            </w:r>
            <w:r w:rsidRPr="00D61F73">
              <w:rPr>
                <w:rFonts w:ascii="Arial" w:hAnsi="Arial" w:cs="Arial"/>
              </w:rPr>
              <w:t xml:space="preserve"> If there is no response to one of the above drugs, the suggestion is to try another first-line alternative. Then adjunct therapy is suggested. This includes the combination of a SSRI and clomipramine, or the use of one of the above with a benzodiazepine, buspirone, antipsychotic, or mood </w:t>
            </w:r>
            <w:r w:rsidRPr="00D61F73">
              <w:rPr>
                <w:rFonts w:ascii="Arial" w:hAnsi="Arial" w:cs="Arial"/>
              </w:rPr>
              <w:lastRenderedPageBreak/>
              <w:t>stabilizer. If there is no response a MAOI inhibitor may be required. (</w:t>
            </w:r>
            <w:hyperlink w:anchor="Dell" w:history="1">
              <w:r w:rsidRPr="00D61F73">
                <w:rPr>
                  <w:rStyle w:val="Hyperlink"/>
                  <w:rFonts w:ascii="Arial" w:hAnsi="Arial" w:cs="Arial"/>
                </w:rPr>
                <w:t>Dell’Osso, 2007</w:t>
              </w:r>
            </w:hyperlink>
            <w:r w:rsidRPr="00D61F73">
              <w:rPr>
                <w:rFonts w:ascii="Arial" w:hAnsi="Arial" w:cs="Arial"/>
              </w:rPr>
              <w:t>)</w:t>
            </w:r>
          </w:p>
        </w:tc>
      </w:tr>
      <w:tr w:rsidR="008D0565" w:rsidRPr="00D61F73" w14:paraId="5F1462E1" w14:textId="77777777" w:rsidTr="004A2158">
        <w:tc>
          <w:tcPr>
            <w:tcW w:w="1086" w:type="pct"/>
            <w:shd w:val="clear" w:color="auto" w:fill="auto"/>
          </w:tcPr>
          <w:p w14:paraId="327179AD" w14:textId="77777777" w:rsidR="008D0565" w:rsidRPr="00D61F73" w:rsidRDefault="008D0565" w:rsidP="00D61F73">
            <w:pPr>
              <w:rPr>
                <w:rFonts w:ascii="Arial" w:hAnsi="Arial" w:cs="Arial"/>
              </w:rPr>
            </w:pPr>
            <w:r w:rsidRPr="00D61F73">
              <w:rPr>
                <w:rFonts w:ascii="Arial" w:hAnsi="Arial" w:cs="Arial"/>
              </w:rPr>
              <w:lastRenderedPageBreak/>
              <w:t>A</w:t>
            </w:r>
            <w:bookmarkStart w:id="91" w:name="APAP"/>
            <w:bookmarkEnd w:id="91"/>
            <w:r w:rsidRPr="00D61F73">
              <w:rPr>
                <w:rFonts w:ascii="Arial" w:hAnsi="Arial" w:cs="Arial"/>
              </w:rPr>
              <w:t>PAP</w:t>
            </w:r>
          </w:p>
        </w:tc>
        <w:tc>
          <w:tcPr>
            <w:tcW w:w="3914" w:type="pct"/>
            <w:shd w:val="clear" w:color="auto" w:fill="auto"/>
          </w:tcPr>
          <w:p w14:paraId="4655A7D5" w14:textId="77777777" w:rsidR="008D0565" w:rsidRPr="00D61F73" w:rsidRDefault="008D0565" w:rsidP="00D61F73">
            <w:pPr>
              <w:rPr>
                <w:rFonts w:ascii="Arial" w:hAnsi="Arial" w:cs="Arial"/>
              </w:rPr>
            </w:pPr>
            <w:r w:rsidRPr="00D61F73">
              <w:rPr>
                <w:rFonts w:ascii="Arial" w:hAnsi="Arial" w:cs="Arial"/>
              </w:rPr>
              <w:t xml:space="preserve">APAP is an abbreviation for N-acetyl-para-aminophenol, which is acetaminophen. APAP is used especially when combined with a prescription drug. See </w:t>
            </w:r>
            <w:hyperlink w:anchor="Acetaminophen" w:history="1">
              <w:r w:rsidRPr="00D61F73">
                <w:rPr>
                  <w:rStyle w:val="Hyperlink"/>
                  <w:rFonts w:ascii="Arial" w:hAnsi="Arial" w:cs="Arial"/>
                </w:rPr>
                <w:t>Acetaminophen</w:t>
              </w:r>
            </w:hyperlink>
            <w:r w:rsidRPr="00D61F73">
              <w:rPr>
                <w:rFonts w:ascii="Arial" w:hAnsi="Arial" w:cs="Arial"/>
              </w:rPr>
              <w:t>.</w:t>
            </w:r>
          </w:p>
        </w:tc>
      </w:tr>
      <w:tr w:rsidR="008D0565" w:rsidRPr="00D61F73" w14:paraId="7C576899" w14:textId="77777777" w:rsidTr="004A2158">
        <w:tc>
          <w:tcPr>
            <w:tcW w:w="1086" w:type="pct"/>
            <w:shd w:val="clear" w:color="auto" w:fill="auto"/>
          </w:tcPr>
          <w:p w14:paraId="2C223D0A" w14:textId="77777777" w:rsidR="008D0565" w:rsidRPr="00D61F73" w:rsidRDefault="008D0565" w:rsidP="00D61F73">
            <w:pPr>
              <w:rPr>
                <w:rFonts w:ascii="Arial" w:hAnsi="Arial" w:cs="Arial"/>
              </w:rPr>
            </w:pPr>
            <w:r w:rsidRPr="00D61F73">
              <w:rPr>
                <w:rFonts w:ascii="Arial" w:hAnsi="Arial" w:cs="Arial"/>
              </w:rPr>
              <w:t>A</w:t>
            </w:r>
            <w:bookmarkStart w:id="92" w:name="Aquatictherapy"/>
            <w:bookmarkEnd w:id="92"/>
            <w:r w:rsidRPr="00D61F73">
              <w:rPr>
                <w:rFonts w:ascii="Arial" w:hAnsi="Arial" w:cs="Arial"/>
              </w:rPr>
              <w:t>quatic therapy</w:t>
            </w:r>
            <w:r w:rsidR="00A309D8" w:rsidRPr="00D61F73">
              <w:rPr>
                <w:rFonts w:ascii="Arial" w:hAnsi="Arial" w:cs="Arial"/>
              </w:rPr>
              <w:t xml:space="preserve"> </w:t>
            </w:r>
          </w:p>
        </w:tc>
        <w:tc>
          <w:tcPr>
            <w:tcW w:w="3914" w:type="pct"/>
            <w:shd w:val="clear" w:color="auto" w:fill="auto"/>
          </w:tcPr>
          <w:p w14:paraId="388C604E" w14:textId="77777777" w:rsidR="008D0565" w:rsidRPr="00D61F73" w:rsidRDefault="008D0565" w:rsidP="00D61F73">
            <w:pPr>
              <w:rPr>
                <w:rFonts w:ascii="Arial" w:hAnsi="Arial" w:cs="Arial"/>
              </w:rPr>
            </w:pPr>
            <w:r w:rsidRPr="00D61F73">
              <w:rPr>
                <w:rFonts w:ascii="Arial" w:hAnsi="Arial" w:cs="Arial"/>
              </w:rPr>
              <w:t xml:space="preserve">Recommended as an optional form of exercise therapy, where available, as an alternative to land-based physical therapy. Aquatic therapy (including swimming) can minimize the effects of gravity, so it is specifically recommended where reduced weight bearing is desirable, for example extreme obesity. For recommendations on the number of supervised visits, see </w:t>
            </w:r>
            <w:hyperlink w:anchor="Physicaltherapy" w:history="1">
              <w:r w:rsidRPr="00D61F73">
                <w:rPr>
                  <w:rStyle w:val="Hyperlink"/>
                  <w:rFonts w:ascii="Arial" w:hAnsi="Arial" w:cs="Arial"/>
                </w:rPr>
                <w:t>Physical therapy</w:t>
              </w:r>
            </w:hyperlink>
            <w:r w:rsidRPr="00D61F73">
              <w:rPr>
                <w:rFonts w:ascii="Arial" w:hAnsi="Arial" w:cs="Arial"/>
              </w:rPr>
              <w:t>. Water exercise improved some components of health-related quality of life, balance, and stair climbing in females with fibromyalgia, but regular exercise and higher intensities may be required to preserve most of these gains. (</w:t>
            </w:r>
            <w:hyperlink w:anchor="TomasCarus" w:history="1">
              <w:r w:rsidRPr="00D61F73">
                <w:rPr>
                  <w:rStyle w:val="Hyperlink"/>
                  <w:rFonts w:ascii="Arial" w:hAnsi="Arial" w:cs="Arial"/>
                </w:rPr>
                <w:t>Tomas-Carus, 2007</w:t>
              </w:r>
            </w:hyperlink>
            <w:r w:rsidRPr="00D61F73">
              <w:rPr>
                <w:rFonts w:ascii="Arial" w:hAnsi="Arial" w:cs="Arial"/>
              </w:rPr>
              <w:t>)</w:t>
            </w:r>
          </w:p>
        </w:tc>
      </w:tr>
      <w:tr w:rsidR="008D0565" w:rsidRPr="00D61F73" w14:paraId="469ED794" w14:textId="77777777" w:rsidTr="004A2158">
        <w:tc>
          <w:tcPr>
            <w:tcW w:w="1086" w:type="pct"/>
            <w:shd w:val="clear" w:color="auto" w:fill="auto"/>
          </w:tcPr>
          <w:p w14:paraId="4054B4BC" w14:textId="77777777" w:rsidR="008D0565" w:rsidRPr="00D61F73" w:rsidRDefault="008D0565" w:rsidP="00D61F73">
            <w:pPr>
              <w:rPr>
                <w:rFonts w:ascii="Arial" w:hAnsi="Arial" w:cs="Arial"/>
              </w:rPr>
            </w:pPr>
            <w:r w:rsidRPr="00D61F73">
              <w:rPr>
                <w:rFonts w:ascii="Arial" w:hAnsi="Arial" w:cs="Arial"/>
              </w:rPr>
              <w:t>A</w:t>
            </w:r>
            <w:bookmarkStart w:id="93" w:name="Armodafinil"/>
            <w:bookmarkEnd w:id="93"/>
            <w:r w:rsidRPr="00D61F73">
              <w:rPr>
                <w:rFonts w:ascii="Arial" w:hAnsi="Arial" w:cs="Arial"/>
              </w:rPr>
              <w:t>rmodafinil (Nuvigil)</w:t>
            </w:r>
            <w:r w:rsidR="00A309D8" w:rsidRPr="00D61F73">
              <w:rPr>
                <w:rFonts w:ascii="Arial" w:hAnsi="Arial" w:cs="Arial"/>
              </w:rPr>
              <w:t xml:space="preserve"> </w:t>
            </w:r>
          </w:p>
        </w:tc>
        <w:tc>
          <w:tcPr>
            <w:tcW w:w="3914" w:type="pct"/>
            <w:shd w:val="clear" w:color="auto" w:fill="auto"/>
          </w:tcPr>
          <w:p w14:paraId="0CA67395" w14:textId="77777777" w:rsidR="008D0565" w:rsidRPr="00D61F73" w:rsidRDefault="00A9286A" w:rsidP="00D61F73">
            <w:pPr>
              <w:rPr>
                <w:rFonts w:ascii="Arial" w:hAnsi="Arial" w:cs="Arial"/>
              </w:rPr>
            </w:pPr>
            <w:r w:rsidRPr="00D61F73">
              <w:rPr>
                <w:rFonts w:ascii="Arial" w:hAnsi="Arial" w:cs="Arial"/>
              </w:rPr>
              <w:t xml:space="preserve">Not recommended solely to counteract sedation effects of narcotics. </w:t>
            </w:r>
            <w:r w:rsidR="008D0565" w:rsidRPr="00D61F73">
              <w:rPr>
                <w:rFonts w:ascii="Arial" w:hAnsi="Arial" w:cs="Arial"/>
              </w:rPr>
              <w:t>Armodafinil is used to treat excessive sleepiness caused by narcolepsy or shift work sleep disorder. It is very similar to Modafinil. Studies have not demonstrated any difference in efficacy and safety between armodafinil and modafinil. (</w:t>
            </w:r>
            <w:hyperlink w:anchor="Tembe2011" w:history="1">
              <w:r w:rsidR="008D0565" w:rsidRPr="000912EE">
                <w:rPr>
                  <w:rStyle w:val="Hyperlink"/>
                  <w:rFonts w:ascii="Arial" w:hAnsi="Arial" w:cs="Arial"/>
                </w:rPr>
                <w:t>Tembe, 2011</w:t>
              </w:r>
            </w:hyperlink>
            <w:r w:rsidR="008D0565" w:rsidRPr="00D61F73">
              <w:rPr>
                <w:rFonts w:ascii="Arial" w:hAnsi="Arial" w:cs="Arial"/>
              </w:rPr>
              <w:t xml:space="preserve">) For more information see also </w:t>
            </w:r>
            <w:hyperlink w:anchor="Modafinil" w:history="1">
              <w:r w:rsidR="008D0565" w:rsidRPr="00CF5824">
                <w:rPr>
                  <w:rStyle w:val="Hyperlink"/>
                  <w:rFonts w:ascii="Arial" w:hAnsi="Arial" w:cs="Arial"/>
                </w:rPr>
                <w:t>Modafinil</w:t>
              </w:r>
            </w:hyperlink>
            <w:r w:rsidR="008D0565" w:rsidRPr="00CF5824">
              <w:rPr>
                <w:rFonts w:ascii="Arial" w:hAnsi="Arial" w:cs="Arial"/>
                <w:u w:val="single"/>
              </w:rPr>
              <w:t xml:space="preserve"> </w:t>
            </w:r>
            <w:r w:rsidR="008D0565" w:rsidRPr="00D61F73">
              <w:rPr>
                <w:rFonts w:ascii="Arial" w:hAnsi="Arial" w:cs="Arial"/>
              </w:rPr>
              <w:t>(Provigil®), Recently Cephalon produced a campaign advertising Nuvigil’s ability to help shift workers stay alert on the job without impeding their ability to sleep during the day. The FDA is conducting an investigation into the possibility that this advertising or promotional information may have violated current regulations. (</w:t>
            </w:r>
            <w:hyperlink r:id="rId35" w:history="1">
              <w:r w:rsidR="008D0565" w:rsidRPr="00D61F73">
                <w:rPr>
                  <w:rStyle w:val="Hyperlink"/>
                  <w:rFonts w:ascii="Arial" w:hAnsi="Arial" w:cs="Arial"/>
                </w:rPr>
                <w:t>SEC, 2011</w:t>
              </w:r>
            </w:hyperlink>
            <w:r w:rsidR="008D0565" w:rsidRPr="00D61F73">
              <w:rPr>
                <w:rFonts w:ascii="Arial" w:hAnsi="Arial" w:cs="Arial"/>
              </w:rPr>
              <w:t>)</w:t>
            </w:r>
            <w:r w:rsidR="001B5C47" w:rsidRPr="00D61F73">
              <w:rPr>
                <w:rFonts w:ascii="Arial" w:hAnsi="Arial" w:cs="Arial"/>
              </w:rPr>
              <w:t>.</w:t>
            </w:r>
          </w:p>
          <w:p w14:paraId="68ACC217" w14:textId="77777777" w:rsidR="001B5C47" w:rsidRPr="00D61F73" w:rsidRDefault="001B5C47" w:rsidP="00D61F73">
            <w:pPr>
              <w:rPr>
                <w:rFonts w:ascii="Arial" w:hAnsi="Arial" w:cs="Arial"/>
              </w:rPr>
            </w:pPr>
          </w:p>
        </w:tc>
      </w:tr>
      <w:tr w:rsidR="008D0565" w:rsidRPr="00D61F73" w14:paraId="727CD99E" w14:textId="77777777" w:rsidTr="004A2158">
        <w:tc>
          <w:tcPr>
            <w:tcW w:w="1086" w:type="pct"/>
            <w:shd w:val="clear" w:color="auto" w:fill="auto"/>
          </w:tcPr>
          <w:p w14:paraId="56C11FD5" w14:textId="77777777" w:rsidR="008D0565" w:rsidRPr="00D61F73" w:rsidRDefault="008D0565" w:rsidP="00D61F73">
            <w:pPr>
              <w:rPr>
                <w:rFonts w:ascii="Arial" w:hAnsi="Arial" w:cs="Arial"/>
              </w:rPr>
            </w:pPr>
            <w:r w:rsidRPr="00D61F73">
              <w:rPr>
                <w:rFonts w:ascii="Arial" w:hAnsi="Arial" w:cs="Arial"/>
              </w:rPr>
              <w:t>A</w:t>
            </w:r>
            <w:bookmarkStart w:id="94" w:name="Arthrotec"/>
            <w:bookmarkEnd w:id="94"/>
            <w:r w:rsidRPr="00D61F73">
              <w:rPr>
                <w:rFonts w:ascii="Arial" w:hAnsi="Arial" w:cs="Arial"/>
              </w:rPr>
              <w:t>rthrotec® (diclofenac/ misoprostol)</w:t>
            </w:r>
          </w:p>
        </w:tc>
        <w:tc>
          <w:tcPr>
            <w:tcW w:w="3914" w:type="pct"/>
            <w:shd w:val="clear" w:color="auto" w:fill="auto"/>
          </w:tcPr>
          <w:p w14:paraId="49EF0AC4" w14:textId="7C93730D" w:rsidR="008D0565" w:rsidRPr="00D61F73" w:rsidRDefault="008D0565"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r w:rsidR="00737493" w:rsidRPr="00737493">
              <w:rPr>
                <w:rFonts w:ascii="Arial" w:hAnsi="Arial" w:cs="Arial"/>
              </w:rPr>
              <w:t>Arthrotec</w:t>
            </w:r>
            <w:r w:rsidRPr="00D61F73">
              <w:rPr>
                <w:rFonts w:ascii="Arial" w:hAnsi="Arial" w:cs="Arial"/>
              </w:rPr>
              <w:t xml:space="preserve">® (diclofenac/ misoprostol) listing for more information and references. See also </w:t>
            </w:r>
            <w:hyperlink w:anchor="Diclofenac" w:history="1">
              <w:r w:rsidRPr="00D61F73">
                <w:rPr>
                  <w:rStyle w:val="Hyperlink"/>
                  <w:rFonts w:ascii="Arial" w:hAnsi="Arial" w:cs="Arial"/>
                </w:rPr>
                <w:t>Diclofenac</w:t>
              </w:r>
            </w:hyperlink>
            <w:r w:rsidRPr="00D61F73">
              <w:rPr>
                <w:rFonts w:ascii="Arial" w:hAnsi="Arial" w:cs="Arial"/>
              </w:rPr>
              <w:t>, where it is not recommended as first line due to increased risk profile. The package insert for Arthrotec includes a boxed warning that also relates to potential toxicities of misoprostol. In the treatment of NSAIDs induced ulcers, omeprazole has proved to be at least as effective as misoprostol, but significantly better tolerated, and therefore misoprostol should not be considered a first choice treatment. (</w:t>
            </w:r>
            <w:hyperlink r:id="rId36" w:history="1">
              <w:r w:rsidRPr="00D61F73">
                <w:rPr>
                  <w:rStyle w:val="Hyperlink"/>
                  <w:rFonts w:ascii="Arial" w:hAnsi="Arial" w:cs="Arial"/>
                </w:rPr>
                <w:t>FDA, 2011</w:t>
              </w:r>
            </w:hyperlink>
            <w:r w:rsidRPr="00D61F73">
              <w:rPr>
                <w:rFonts w:ascii="Arial" w:hAnsi="Arial" w:cs="Arial"/>
              </w:rPr>
              <w:t>)</w:t>
            </w:r>
          </w:p>
        </w:tc>
      </w:tr>
      <w:tr w:rsidR="008D0565" w:rsidRPr="00D61F73" w14:paraId="6D2806D5" w14:textId="77777777" w:rsidTr="004A2158">
        <w:tc>
          <w:tcPr>
            <w:tcW w:w="1086" w:type="pct"/>
            <w:shd w:val="clear" w:color="auto" w:fill="auto"/>
          </w:tcPr>
          <w:p w14:paraId="3AB56920" w14:textId="77777777" w:rsidR="008D0565" w:rsidRPr="00D61F73" w:rsidRDefault="008D0565" w:rsidP="00D61F73">
            <w:pPr>
              <w:rPr>
                <w:rFonts w:ascii="Arial" w:hAnsi="Arial" w:cs="Arial"/>
              </w:rPr>
            </w:pPr>
            <w:r w:rsidRPr="00D61F73">
              <w:rPr>
                <w:rFonts w:ascii="Arial" w:hAnsi="Arial" w:cs="Arial"/>
              </w:rPr>
              <w:t>A</w:t>
            </w:r>
            <w:bookmarkStart w:id="95" w:name="Aspirin"/>
            <w:bookmarkEnd w:id="95"/>
            <w:r w:rsidRPr="00D61F73">
              <w:rPr>
                <w:rFonts w:ascii="Arial" w:hAnsi="Arial" w:cs="Arial"/>
              </w:rPr>
              <w:t>spirin</w:t>
            </w:r>
          </w:p>
        </w:tc>
        <w:tc>
          <w:tcPr>
            <w:tcW w:w="3914" w:type="pct"/>
            <w:shd w:val="clear" w:color="auto" w:fill="auto"/>
          </w:tcPr>
          <w:p w14:paraId="5C8ECBA9" w14:textId="77777777" w:rsidR="008D0565" w:rsidRPr="00D61F73" w:rsidRDefault="008D0565" w:rsidP="00D61F73">
            <w:pPr>
              <w:rPr>
                <w:rFonts w:ascii="Arial" w:hAnsi="Arial" w:cs="Arial"/>
              </w:rPr>
            </w:pPr>
            <w:r w:rsidRPr="00D61F73">
              <w:rPr>
                <w:rFonts w:ascii="Arial" w:hAnsi="Arial" w:cs="Arial"/>
              </w:rPr>
              <w:t xml:space="preserve">Recommended. See </w:t>
            </w:r>
            <w:hyperlink w:anchor="Nonprescriptionmedications" w:history="1">
              <w:r w:rsidR="00031AD5" w:rsidRPr="00D61F73">
                <w:rPr>
                  <w:rStyle w:val="Hyperlink"/>
                  <w:rFonts w:ascii="Arial" w:hAnsi="Arial" w:cs="Arial"/>
                </w:rPr>
                <w:t>Nonprescription medications</w:t>
              </w:r>
            </w:hyperlink>
            <w:r w:rsidRPr="00D61F73">
              <w:rPr>
                <w:rFonts w:ascii="Arial" w:hAnsi="Arial" w:cs="Arial"/>
              </w:rPr>
              <w:t xml:space="preserve">; &amp; </w:t>
            </w:r>
            <w:hyperlink w:anchor="Medicationsforacutepain" w:history="1">
              <w:r w:rsidRPr="00D61F73">
                <w:rPr>
                  <w:rStyle w:val="Hyperlink"/>
                  <w:rFonts w:ascii="Arial" w:hAnsi="Arial" w:cs="Arial"/>
                </w:rPr>
                <w:t>Medications for acute pain</w:t>
              </w:r>
            </w:hyperlink>
            <w:r w:rsidRPr="00D61F73">
              <w:rPr>
                <w:rFonts w:ascii="Arial" w:hAnsi="Arial" w:cs="Arial"/>
              </w:rPr>
              <w:t xml:space="preserve"> (analgesics). Usual Adult Dose for Pain: 325 to 650 mg every 4 hours as needed, up to 3 grams per day in divided doses (spondyloarthropathies may require up to 4 grams per day in divided doses). (</w:t>
            </w:r>
            <w:hyperlink r:id="rId37" w:history="1">
              <w:r w:rsidRPr="00D61F73">
                <w:rPr>
                  <w:rStyle w:val="Hyperlink"/>
                  <w:rFonts w:ascii="Arial" w:hAnsi="Arial" w:cs="Arial"/>
                </w:rPr>
                <w:t>FDA, 2012</w:t>
              </w:r>
            </w:hyperlink>
            <w:r w:rsidRPr="00D61F73">
              <w:rPr>
                <w:rFonts w:ascii="Arial" w:hAnsi="Arial" w:cs="Arial"/>
              </w:rPr>
              <w:t>)</w:t>
            </w:r>
          </w:p>
        </w:tc>
      </w:tr>
      <w:tr w:rsidR="008D0565" w:rsidRPr="00D61F73" w14:paraId="40CDD0A0" w14:textId="77777777" w:rsidTr="004A2158">
        <w:tc>
          <w:tcPr>
            <w:tcW w:w="1086" w:type="pct"/>
            <w:shd w:val="clear" w:color="auto" w:fill="auto"/>
          </w:tcPr>
          <w:p w14:paraId="339AFD8F" w14:textId="77777777" w:rsidR="008D0565" w:rsidRPr="00D61F73" w:rsidRDefault="008D0565" w:rsidP="00D61F73">
            <w:pPr>
              <w:rPr>
                <w:rFonts w:ascii="Arial" w:hAnsi="Arial" w:cs="Arial"/>
              </w:rPr>
            </w:pPr>
            <w:r w:rsidRPr="00D61F73">
              <w:rPr>
                <w:rFonts w:ascii="Arial" w:hAnsi="Arial" w:cs="Arial"/>
              </w:rPr>
              <w:t>A</w:t>
            </w:r>
            <w:bookmarkStart w:id="96" w:name="Auricularelectroacupuncture"/>
            <w:bookmarkEnd w:id="96"/>
            <w:r w:rsidRPr="00D61F73">
              <w:rPr>
                <w:rFonts w:ascii="Arial" w:hAnsi="Arial" w:cs="Arial"/>
              </w:rPr>
              <w:t>uricular electroacupuncture</w:t>
            </w:r>
          </w:p>
        </w:tc>
        <w:tc>
          <w:tcPr>
            <w:tcW w:w="3914" w:type="pct"/>
            <w:shd w:val="clear" w:color="auto" w:fill="auto"/>
          </w:tcPr>
          <w:p w14:paraId="5BFE2B3E" w14:textId="285DF44A" w:rsidR="008D0565" w:rsidRPr="00D61F73" w:rsidRDefault="008D0565" w:rsidP="00D61F73">
            <w:pPr>
              <w:rPr>
                <w:rFonts w:ascii="Arial" w:hAnsi="Arial" w:cs="Arial"/>
              </w:rPr>
            </w:pPr>
            <w:r w:rsidRPr="00D61F73">
              <w:rPr>
                <w:rFonts w:ascii="Arial" w:hAnsi="Arial" w:cs="Arial"/>
              </w:rPr>
              <w:t xml:space="preserve">Not recommended. The evidence is insufficient to evaluate the effect of auricular electroacupuncture on acute and chronic pain. In the only published RCT, use of the P-Stim device was not associated with improved pain management. Auricular electrostimulation or ear-acupuncture is a type of ambulatory electrical stimulation of acupuncture points on the ear. Devices, including the P-Stim™ and E-pulse, have been developed to provide continuous or intermittent stimulation over a period of </w:t>
            </w:r>
            <w:r w:rsidRPr="00D61F73">
              <w:rPr>
                <w:rFonts w:ascii="Arial" w:hAnsi="Arial" w:cs="Arial"/>
              </w:rPr>
              <w:lastRenderedPageBreak/>
              <w:t>several days. This type of electrostimulation is being evaluated for a variety of conditions, including pain, depression, and anxiety. Both the P-Stim (NeuroScience Therapy Corp) and the E-pulse (AMM Marketing LLC) devices have received marketing clearance through the FDA abbreviated 510(k) process for use in treating acute or chronic pain by a qualified practitioner of acupuncture. (</w:t>
            </w:r>
            <w:hyperlink w:anchor="Holzer2011" w:history="1">
              <w:r w:rsidRPr="00D61F73">
                <w:rPr>
                  <w:rStyle w:val="Hyperlink"/>
                  <w:rFonts w:ascii="Arial" w:hAnsi="Arial" w:cs="Arial"/>
                </w:rPr>
                <w:t>Holzer, 2011</w:t>
              </w:r>
            </w:hyperlink>
            <w:r w:rsidRPr="00D61F73">
              <w:rPr>
                <w:rFonts w:ascii="Arial" w:hAnsi="Arial" w:cs="Arial"/>
              </w:rPr>
              <w:t>) (</w:t>
            </w:r>
            <w:hyperlink w:anchor="Zhang2014" w:history="1">
              <w:r w:rsidRPr="00D61F73">
                <w:rPr>
                  <w:rStyle w:val="Hyperlink"/>
                  <w:rFonts w:ascii="Arial" w:hAnsi="Arial" w:cs="Arial"/>
                </w:rPr>
                <w:t>Zhang, 2014</w:t>
              </w:r>
            </w:hyperlink>
            <w:r w:rsidRPr="00D61F73">
              <w:rPr>
                <w:rFonts w:ascii="Arial" w:hAnsi="Arial" w:cs="Arial"/>
              </w:rPr>
              <w:t>) (</w:t>
            </w:r>
            <w:hyperlink w:anchor="SatorKatzenschlager" w:history="1">
              <w:r w:rsidRPr="00D61F73">
                <w:rPr>
                  <w:rStyle w:val="Hyperlink"/>
                  <w:rFonts w:ascii="Arial" w:hAnsi="Arial" w:cs="Arial"/>
                </w:rPr>
                <w:t>Sator-Katzenschlager, 2007</w:t>
              </w:r>
            </w:hyperlink>
            <w:r w:rsidRPr="00D61F73">
              <w:rPr>
                <w:rFonts w:ascii="Arial" w:hAnsi="Arial" w:cs="Arial"/>
              </w:rPr>
              <w:t xml:space="preserve">) see also </w:t>
            </w:r>
            <w:r w:rsidRPr="00DA378B">
              <w:rPr>
                <w:rFonts w:ascii="Arial" w:hAnsi="Arial" w:cs="Arial"/>
              </w:rPr>
              <w:t>Acupuncture</w:t>
            </w:r>
            <w:r w:rsidRPr="00D61F73">
              <w:rPr>
                <w:rFonts w:ascii="Arial" w:hAnsi="Arial" w:cs="Arial"/>
              </w:rPr>
              <w:t>.</w:t>
            </w:r>
          </w:p>
        </w:tc>
      </w:tr>
      <w:tr w:rsidR="008D0565" w:rsidRPr="00D61F73" w14:paraId="043D284F" w14:textId="77777777" w:rsidTr="004A2158">
        <w:tc>
          <w:tcPr>
            <w:tcW w:w="1086" w:type="pct"/>
            <w:shd w:val="clear" w:color="auto" w:fill="auto"/>
          </w:tcPr>
          <w:p w14:paraId="32C96191"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lastRenderedPageBreak/>
              <w:t>A</w:t>
            </w:r>
            <w:bookmarkStart w:id="97" w:name="Autonomicnervoussystemfunctiontesting"/>
            <w:bookmarkEnd w:id="97"/>
            <w:r w:rsidRPr="00D61F73">
              <w:rPr>
                <w:rFonts w:ascii="Arial" w:hAnsi="Arial" w:cs="Arial"/>
              </w:rPr>
              <w:t>utonomic nervous system function testing</w:t>
            </w:r>
          </w:p>
        </w:tc>
        <w:tc>
          <w:tcPr>
            <w:tcW w:w="3914" w:type="pct"/>
            <w:shd w:val="clear" w:color="auto" w:fill="auto"/>
          </w:tcPr>
          <w:p w14:paraId="72B0D08A" w14:textId="77777777" w:rsidR="008D0565" w:rsidRPr="00D61F73" w:rsidRDefault="008D0565" w:rsidP="00D61F73">
            <w:pPr>
              <w:rPr>
                <w:rFonts w:ascii="Arial" w:hAnsi="Arial" w:cs="Arial"/>
              </w:rPr>
            </w:pPr>
            <w:r w:rsidRPr="00D61F73">
              <w:rPr>
                <w:rFonts w:ascii="Arial" w:hAnsi="Arial" w:cs="Arial"/>
              </w:rPr>
              <w:t xml:space="preserve">Not generally recommended as a diagnostic test for CRPS. See </w:t>
            </w:r>
            <w:hyperlink w:anchor="CRPSdiagnostictests" w:history="1">
              <w:r w:rsidRPr="00D61F73">
                <w:rPr>
                  <w:rStyle w:val="Hyperlink"/>
                  <w:rFonts w:ascii="Arial" w:hAnsi="Arial" w:cs="Arial"/>
                </w:rPr>
                <w:t>CRPS, diagnostic tests</w:t>
              </w:r>
            </w:hyperlink>
            <w:r w:rsidRPr="00D61F73">
              <w:rPr>
                <w:rFonts w:ascii="Arial" w:hAnsi="Arial" w:cs="Arial"/>
              </w:rPr>
              <w:t>.</w:t>
            </w:r>
          </w:p>
        </w:tc>
      </w:tr>
      <w:tr w:rsidR="008D0565" w:rsidRPr="00D61F73" w14:paraId="5196F18E" w14:textId="77777777" w:rsidTr="004A2158">
        <w:tc>
          <w:tcPr>
            <w:tcW w:w="1086" w:type="pct"/>
            <w:shd w:val="clear" w:color="auto" w:fill="auto"/>
          </w:tcPr>
          <w:p w14:paraId="39402103"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98" w:name="Autonomictestbattery"/>
            <w:bookmarkEnd w:id="98"/>
            <w:r w:rsidRPr="00D61F73">
              <w:rPr>
                <w:rFonts w:ascii="Arial" w:hAnsi="Arial" w:cs="Arial"/>
              </w:rPr>
              <w:t>utonomic test battery</w:t>
            </w:r>
          </w:p>
        </w:tc>
        <w:tc>
          <w:tcPr>
            <w:tcW w:w="3914" w:type="pct"/>
            <w:shd w:val="clear" w:color="auto" w:fill="auto"/>
          </w:tcPr>
          <w:p w14:paraId="6C3F4069" w14:textId="77777777" w:rsidR="008D0565" w:rsidRPr="00D61F73" w:rsidRDefault="008D0565" w:rsidP="00D61F73">
            <w:pPr>
              <w:rPr>
                <w:rFonts w:ascii="Arial" w:hAnsi="Arial" w:cs="Arial"/>
              </w:rPr>
            </w:pPr>
            <w:r w:rsidRPr="00D61F73">
              <w:rPr>
                <w:rFonts w:ascii="Arial" w:hAnsi="Arial" w:cs="Arial"/>
              </w:rPr>
              <w:t xml:space="preserve">Not generally recommended as a diagnostic test for CRPS. See </w:t>
            </w:r>
            <w:hyperlink w:anchor="CRPSdiagnostictests" w:history="1">
              <w:r w:rsidRPr="00D61F73">
                <w:rPr>
                  <w:rStyle w:val="Hyperlink"/>
                  <w:rFonts w:ascii="Arial" w:hAnsi="Arial" w:cs="Arial"/>
                </w:rPr>
                <w:t>CRPS, diagnostic tests</w:t>
              </w:r>
            </w:hyperlink>
            <w:r w:rsidRPr="00D61F73">
              <w:rPr>
                <w:rFonts w:ascii="Arial" w:hAnsi="Arial" w:cs="Arial"/>
              </w:rPr>
              <w:t>.</w:t>
            </w:r>
          </w:p>
        </w:tc>
      </w:tr>
      <w:tr w:rsidR="008D0565" w:rsidRPr="00D61F73" w14:paraId="6391299A" w14:textId="77777777" w:rsidTr="004A2158">
        <w:tc>
          <w:tcPr>
            <w:tcW w:w="1086" w:type="pct"/>
            <w:shd w:val="clear" w:color="auto" w:fill="auto"/>
          </w:tcPr>
          <w:p w14:paraId="26BDC6B4"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99" w:name="Avinza"/>
            <w:bookmarkEnd w:id="99"/>
            <w:r w:rsidRPr="00D61F73">
              <w:rPr>
                <w:rFonts w:ascii="Arial" w:hAnsi="Arial" w:cs="Arial"/>
              </w:rPr>
              <w:t>vinza® (morphine sulfate)</w:t>
            </w:r>
            <w:r w:rsidR="00A309D8" w:rsidRPr="00D61F73">
              <w:rPr>
                <w:rFonts w:ascii="Arial" w:hAnsi="Arial" w:cs="Arial"/>
              </w:rPr>
              <w:t xml:space="preserve"> </w:t>
            </w:r>
          </w:p>
          <w:p w14:paraId="597CB35E" w14:textId="77777777" w:rsidR="006B58FE" w:rsidRPr="00D61F73" w:rsidRDefault="006B58FE" w:rsidP="00D61F73">
            <w:pPr>
              <w:pStyle w:val="Footer"/>
              <w:tabs>
                <w:tab w:val="clear" w:pos="4320"/>
                <w:tab w:val="clear" w:pos="8640"/>
              </w:tabs>
              <w:rPr>
                <w:rFonts w:ascii="Arial" w:hAnsi="Arial" w:cs="Arial"/>
              </w:rPr>
            </w:pPr>
          </w:p>
          <w:p w14:paraId="1FF9FE08" w14:textId="77777777" w:rsidR="006B58FE" w:rsidRPr="00D61F73" w:rsidRDefault="006B58FE" w:rsidP="00D61F73">
            <w:pPr>
              <w:pStyle w:val="Footer"/>
              <w:tabs>
                <w:tab w:val="clear" w:pos="4320"/>
                <w:tab w:val="clear" w:pos="8640"/>
              </w:tabs>
              <w:rPr>
                <w:rFonts w:ascii="Arial" w:hAnsi="Arial" w:cs="Arial"/>
              </w:rPr>
            </w:pPr>
          </w:p>
        </w:tc>
        <w:tc>
          <w:tcPr>
            <w:tcW w:w="3914" w:type="pct"/>
            <w:shd w:val="clear" w:color="auto" w:fill="auto"/>
          </w:tcPr>
          <w:p w14:paraId="320E243E" w14:textId="06F12867" w:rsidR="008D0565" w:rsidRPr="00D61F73" w:rsidRDefault="002D089E" w:rsidP="00C939FA">
            <w:r w:rsidRPr="00D61F73">
              <w:rPr>
                <w:rFonts w:ascii="Arial" w:hAnsi="Arial" w:cs="Arial"/>
              </w:rPr>
              <w:t>Refer to</w:t>
            </w:r>
            <w:r w:rsidR="000602F5" w:rsidRPr="00D61F73">
              <w:rPr>
                <w:rFonts w:ascii="Arial" w:hAnsi="Arial" w:cs="Arial"/>
              </w:rPr>
              <w:t xml:space="preserve"> </w:t>
            </w:r>
            <w:r w:rsidR="00AA2119" w:rsidRPr="00D61F73">
              <w:rPr>
                <w:rFonts w:ascii="Arial" w:hAnsi="Arial" w:cs="Arial"/>
              </w:rPr>
              <w:t>MTUS Opioids Treatment Guidelines</w:t>
            </w:r>
            <w:r w:rsidR="00274684" w:rsidRPr="00D61F73">
              <w:rPr>
                <w:rFonts w:ascii="Arial" w:hAnsi="Arial" w:cs="Arial"/>
              </w:rPr>
              <w:t xml:space="preserve"> </w:t>
            </w:r>
            <w:r w:rsidR="000602F5" w:rsidRPr="00D61F73">
              <w:rPr>
                <w:rFonts w:ascii="Arial" w:hAnsi="Arial" w:cs="Arial"/>
                <w:bCs/>
              </w:rPr>
              <w:t xml:space="preserve">for recommendations on the use of opioids. </w:t>
            </w:r>
            <w:r w:rsidR="008D0565" w:rsidRPr="00D61F73">
              <w:rPr>
                <w:rFonts w:ascii="Arial" w:hAnsi="Arial" w:cs="Arial"/>
              </w:rPr>
              <w:t xml:space="preserve">Avinza capsules are a brand of modified-release morphine sulfate. The capsules contain an immediate-release component that rapidly achieves a morphine concentration and an extended-release component that allows for extended concentration through a 24-hour dosing interval. </w:t>
            </w:r>
            <w:r w:rsidR="008D0565" w:rsidRPr="00D61F73">
              <w:rPr>
                <w:rFonts w:ascii="Arial" w:hAnsi="Arial" w:cs="Arial"/>
                <w:i/>
              </w:rPr>
              <w:t xml:space="preserve">Use: </w:t>
            </w:r>
            <w:r w:rsidR="008D0565" w:rsidRPr="00D61F73">
              <w:rPr>
                <w:rFonts w:ascii="Arial" w:hAnsi="Arial" w:cs="Arial"/>
              </w:rPr>
              <w:t xml:space="preserve">It takes approximately 2-3 days to achieve steady state and this drug is not recommended as an as needed (prn) drug or for acute pain. </w:t>
            </w:r>
            <w:r w:rsidR="008B41E5" w:rsidRPr="00D61F73">
              <w:rPr>
                <w:rFonts w:ascii="Arial" w:hAnsi="Arial" w:cs="Arial"/>
                <w:color w:val="auto"/>
              </w:rPr>
              <w:t>T</w:t>
            </w:r>
            <w:r w:rsidR="008D0565" w:rsidRPr="00D61F73">
              <w:rPr>
                <w:rFonts w:ascii="Arial" w:hAnsi="Arial" w:cs="Arial"/>
                <w:color w:val="auto"/>
              </w:rPr>
              <w:t>he manufacturer now specifically states that the 90 mg and 120 mg capsules are only recommended for patients for whom a tolerance to an opioid of comparable potency is established. A maximum dose of this drug has been established at 1600 mg due to the presence of fum</w:t>
            </w:r>
            <w:r w:rsidR="008B41E5" w:rsidRPr="00D61F73">
              <w:rPr>
                <w:rFonts w:ascii="Arial" w:hAnsi="Arial" w:cs="Arial"/>
                <w:color w:val="auto"/>
              </w:rPr>
              <w:t>a</w:t>
            </w:r>
            <w:r w:rsidR="008D0565" w:rsidRPr="00D61F73">
              <w:rPr>
                <w:rFonts w:ascii="Arial" w:hAnsi="Arial" w:cs="Arial"/>
                <w:color w:val="auto"/>
              </w:rPr>
              <w:t xml:space="preserve">ric acid. </w:t>
            </w:r>
            <w:r w:rsidR="008D0565" w:rsidRPr="00D61F73">
              <w:rPr>
                <w:rFonts w:ascii="Arial" w:hAnsi="Arial" w:cs="Arial"/>
                <w:i/>
                <w:color w:val="auto"/>
              </w:rPr>
              <w:t>Comparison to other opioids (including extended-release and immediate</w:t>
            </w:r>
            <w:r w:rsidR="008D0565" w:rsidRPr="00D61F73">
              <w:rPr>
                <w:rFonts w:ascii="Arial" w:hAnsi="Arial" w:cs="Arial"/>
                <w:i/>
              </w:rPr>
              <w:t xml:space="preserve">-release morphine): </w:t>
            </w:r>
            <w:r w:rsidR="008D0565" w:rsidRPr="00D61F73">
              <w:rPr>
                <w:rFonts w:ascii="Arial" w:hAnsi="Arial" w:cs="Arial"/>
              </w:rPr>
              <w:t>There is one study that compares the pharmacokinetics of Avinza to MS Contin (the latter at a twice-a-day dose). This study was open-label and non-randomized. Clinical efficacy and safety were comparable for both formulations.</w:t>
            </w:r>
            <w:r w:rsidR="008D0565" w:rsidRPr="00D61F73">
              <w:rPr>
                <w:rFonts w:ascii="Arial" w:hAnsi="Arial" w:cs="Arial"/>
                <w:i/>
              </w:rPr>
              <w:t xml:space="preserve"> </w:t>
            </w:r>
            <w:r w:rsidR="008D0565" w:rsidRPr="00D61F73">
              <w:rPr>
                <w:rFonts w:ascii="Arial" w:hAnsi="Arial" w:cs="Arial"/>
              </w:rPr>
              <w:t>(</w:t>
            </w:r>
            <w:hyperlink w:anchor="Portenoy2002" w:history="1">
              <w:r w:rsidR="008D0565" w:rsidRPr="00344F5A">
                <w:rPr>
                  <w:rStyle w:val="Hyperlink"/>
                  <w:rFonts w:ascii="Arial" w:hAnsi="Arial" w:cs="Arial"/>
                </w:rPr>
                <w:t>Portenoy, 2002</w:t>
              </w:r>
            </w:hyperlink>
            <w:r w:rsidR="008D0565" w:rsidRPr="00D61F73">
              <w:rPr>
                <w:rFonts w:ascii="Arial" w:hAnsi="Arial" w:cs="Arial"/>
              </w:rPr>
              <w:t>) The original researchers indicated that analgesia was statistically identical to that produced by MS Contin, OxyContin and six doses of oral morphine sulfate administered every 4 hours. (</w:t>
            </w:r>
            <w:hyperlink w:anchor="Caldwell2004" w:history="1">
              <w:r w:rsidR="008D0565" w:rsidRPr="00344F5A">
                <w:rPr>
                  <w:rStyle w:val="Hyperlink"/>
                  <w:rFonts w:ascii="Arial" w:hAnsi="Arial" w:cs="Arial"/>
                </w:rPr>
                <w:t>Caldwell, 2004</w:t>
              </w:r>
            </w:hyperlink>
            <w:r w:rsidR="008D0565" w:rsidRPr="00D61F73">
              <w:rPr>
                <w:rFonts w:ascii="Arial" w:hAnsi="Arial" w:cs="Arial"/>
              </w:rPr>
              <w:t xml:space="preserve">) </w:t>
            </w:r>
            <w:r w:rsidR="008D0565" w:rsidRPr="00D61F73">
              <w:rPr>
                <w:rFonts w:ascii="Arial" w:hAnsi="Arial" w:cs="Arial"/>
                <w:i/>
              </w:rPr>
              <w:t xml:space="preserve">Black Box Warning: </w:t>
            </w:r>
            <w:r w:rsidR="008D0565" w:rsidRPr="00D61F73">
              <w:rPr>
                <w:rFonts w:ascii="Arial" w:hAnsi="Arial" w:cs="Arial"/>
              </w:rPr>
              <w:t>The current Black Box Warning for Avinza is that patients must not consume alcohol with this drug (including that included in prescription and non-prescription medications). Consumption of alcohol may result in the rapid release and absorption of a potentially fatal dose of morphine. (</w:t>
            </w:r>
            <w:hyperlink r:id="rId38" w:history="1">
              <w:r w:rsidR="008D0565" w:rsidRPr="00344F5A">
                <w:rPr>
                  <w:rStyle w:val="Hyperlink"/>
                  <w:rFonts w:ascii="Arial" w:hAnsi="Arial" w:cs="Arial"/>
                </w:rPr>
                <w:t>FDA, 2008</w:t>
              </w:r>
            </w:hyperlink>
            <w:r w:rsidR="008D0565" w:rsidRPr="00D61F73">
              <w:rPr>
                <w:rFonts w:ascii="Arial" w:hAnsi="Arial" w:cs="Arial"/>
              </w:rPr>
              <w:t xml:space="preserve">) The current FDA Orange Book (accessed March 2013) has determined that actual or potential bioequivalence problems have been resolved with adequate </w:t>
            </w:r>
            <w:r w:rsidR="008D0565" w:rsidRPr="00D61F73">
              <w:rPr>
                <w:rFonts w:ascii="Arial" w:hAnsi="Arial" w:cs="Arial"/>
                <w:i/>
              </w:rPr>
              <w:t>in vivo</w:t>
            </w:r>
            <w:r w:rsidR="008D0565" w:rsidRPr="00D61F73">
              <w:rPr>
                <w:rFonts w:ascii="Arial" w:hAnsi="Arial" w:cs="Arial"/>
              </w:rPr>
              <w:t xml:space="preserve"> and/or </w:t>
            </w:r>
            <w:r w:rsidR="008D0565" w:rsidRPr="00D61F73">
              <w:rPr>
                <w:rFonts w:ascii="Arial" w:hAnsi="Arial" w:cs="Arial"/>
                <w:i/>
              </w:rPr>
              <w:t>in vitro</w:t>
            </w:r>
            <w:r w:rsidR="008D0565" w:rsidRPr="00D61F73">
              <w:rPr>
                <w:rFonts w:ascii="Arial" w:hAnsi="Arial" w:cs="Arial"/>
              </w:rPr>
              <w:t xml:space="preserve"> evidence supporting bioequivalence. </w:t>
            </w:r>
          </w:p>
        </w:tc>
      </w:tr>
      <w:tr w:rsidR="008D0565" w:rsidRPr="00D61F73" w14:paraId="02F9457A" w14:textId="77777777" w:rsidTr="004A2158">
        <w:tc>
          <w:tcPr>
            <w:tcW w:w="1086" w:type="pct"/>
            <w:shd w:val="clear" w:color="auto" w:fill="auto"/>
          </w:tcPr>
          <w:p w14:paraId="52F5D2EF"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A</w:t>
            </w:r>
            <w:bookmarkStart w:id="100" w:name="AxonIIneuralscan"/>
            <w:bookmarkEnd w:id="100"/>
            <w:r w:rsidRPr="00D61F73">
              <w:rPr>
                <w:rFonts w:ascii="Arial" w:hAnsi="Arial" w:cs="Arial"/>
              </w:rPr>
              <w:t>xon-II neural scan</w:t>
            </w:r>
          </w:p>
        </w:tc>
        <w:tc>
          <w:tcPr>
            <w:tcW w:w="3914" w:type="pct"/>
            <w:shd w:val="clear" w:color="auto" w:fill="auto"/>
          </w:tcPr>
          <w:p w14:paraId="3BA9FA6F" w14:textId="77C1375B" w:rsidR="008D0565" w:rsidRPr="00D61F73" w:rsidRDefault="008D0565" w:rsidP="00D61F73">
            <w:pPr>
              <w:rPr>
                <w:rFonts w:ascii="Arial" w:hAnsi="Arial" w:cs="Arial"/>
              </w:rPr>
            </w:pPr>
            <w:r w:rsidRPr="00D61F73">
              <w:rPr>
                <w:rFonts w:ascii="Arial" w:hAnsi="Arial" w:cs="Arial"/>
              </w:rPr>
              <w:t xml:space="preserve">Not recommended. See </w:t>
            </w:r>
            <w:hyperlink w:anchor="QST" w:history="1">
              <w:r w:rsidR="00031AD5" w:rsidRPr="00D61F73">
                <w:rPr>
                  <w:rStyle w:val="Hyperlink"/>
                  <w:rFonts w:ascii="Arial" w:hAnsi="Arial" w:cs="Arial"/>
                </w:rPr>
                <w:t>Quantitative sensory threshold</w:t>
              </w:r>
              <w:r w:rsidRPr="00D61F73">
                <w:rPr>
                  <w:rStyle w:val="Hyperlink"/>
                  <w:rFonts w:ascii="Arial" w:hAnsi="Arial" w:cs="Arial"/>
                </w:rPr>
                <w:t xml:space="preserve"> (QST) testing</w:t>
              </w:r>
            </w:hyperlink>
            <w:r w:rsidRPr="00D61F73">
              <w:rPr>
                <w:rFonts w:ascii="Arial" w:hAnsi="Arial" w:cs="Arial"/>
              </w:rPr>
              <w:t>.</w:t>
            </w:r>
          </w:p>
        </w:tc>
      </w:tr>
      <w:tr w:rsidR="008D0565" w:rsidRPr="00D61F73" w14:paraId="102651E8" w14:textId="77777777" w:rsidTr="004A2158">
        <w:tc>
          <w:tcPr>
            <w:tcW w:w="1086" w:type="pct"/>
            <w:shd w:val="clear" w:color="auto" w:fill="auto"/>
          </w:tcPr>
          <w:p w14:paraId="2FEB01EF"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01" w:name="Baclofen"/>
            <w:bookmarkEnd w:id="101"/>
            <w:r w:rsidRPr="00D61F73">
              <w:rPr>
                <w:rFonts w:ascii="Arial" w:hAnsi="Arial" w:cs="Arial"/>
              </w:rPr>
              <w:t>aclofen</w:t>
            </w:r>
          </w:p>
        </w:tc>
        <w:tc>
          <w:tcPr>
            <w:tcW w:w="3914" w:type="pct"/>
            <w:shd w:val="clear" w:color="auto" w:fill="auto"/>
          </w:tcPr>
          <w:p w14:paraId="65B5F289" w14:textId="77777777" w:rsidR="008D0565" w:rsidRPr="00D61F73" w:rsidRDefault="008D0565" w:rsidP="00D61F73">
            <w:pPr>
              <w:rPr>
                <w:rFonts w:ascii="Arial" w:hAnsi="Arial" w:cs="Arial"/>
              </w:rPr>
            </w:pPr>
            <w:r w:rsidRPr="00D61F73">
              <w:rPr>
                <w:rFonts w:ascii="Arial" w:hAnsi="Arial" w:cs="Arial"/>
              </w:rPr>
              <w:t xml:space="preserve">See </w:t>
            </w:r>
            <w:hyperlink w:anchor="CRPStreatment" w:history="1">
              <w:r w:rsidRPr="00D61F73">
                <w:rPr>
                  <w:rStyle w:val="Hyperlink"/>
                  <w:rFonts w:ascii="Arial" w:hAnsi="Arial" w:cs="Arial"/>
                </w:rPr>
                <w:t>CRPS, treatment</w:t>
              </w:r>
            </w:hyperlink>
            <w:r w:rsidRPr="00D61F73">
              <w:rPr>
                <w:rFonts w:ascii="Arial" w:hAnsi="Arial" w:cs="Arial"/>
              </w:rPr>
              <w:t xml:space="preserve">. See also </w:t>
            </w:r>
            <w:hyperlink w:anchor="Musclerelaxants" w:history="1">
              <w:r w:rsidRPr="00D61F73">
                <w:rPr>
                  <w:rStyle w:val="Hyperlink"/>
                  <w:rFonts w:ascii="Arial" w:hAnsi="Arial" w:cs="Arial"/>
                </w:rPr>
                <w:t>Muscle relaxants</w:t>
              </w:r>
            </w:hyperlink>
            <w:r w:rsidRPr="00D61F73">
              <w:rPr>
                <w:rFonts w:ascii="Arial" w:hAnsi="Arial" w:cs="Arial"/>
              </w:rPr>
              <w:t>.</w:t>
            </w:r>
          </w:p>
        </w:tc>
      </w:tr>
      <w:tr w:rsidR="008D0565" w:rsidRPr="00D61F73" w14:paraId="489CE6AE" w14:textId="77777777" w:rsidTr="004A2158">
        <w:tc>
          <w:tcPr>
            <w:tcW w:w="1086" w:type="pct"/>
            <w:shd w:val="clear" w:color="auto" w:fill="auto"/>
          </w:tcPr>
          <w:p w14:paraId="2920E67B"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02" w:name="Barbituratecontaininganalgesicagents"/>
            <w:bookmarkEnd w:id="102"/>
            <w:r w:rsidRPr="00D61F73">
              <w:rPr>
                <w:rFonts w:ascii="Arial" w:hAnsi="Arial" w:cs="Arial"/>
              </w:rPr>
              <w:t>arbiturate-containing analgesic agents (BCAs)</w:t>
            </w:r>
          </w:p>
        </w:tc>
        <w:tc>
          <w:tcPr>
            <w:tcW w:w="3914" w:type="pct"/>
            <w:shd w:val="clear" w:color="auto" w:fill="auto"/>
          </w:tcPr>
          <w:p w14:paraId="6E36D52C" w14:textId="77777777" w:rsidR="008D0565" w:rsidRPr="00D61F73" w:rsidRDefault="008D0565" w:rsidP="00D61F73">
            <w:pPr>
              <w:rPr>
                <w:rFonts w:ascii="Arial" w:hAnsi="Arial" w:cs="Arial"/>
              </w:rPr>
            </w:pPr>
            <w:r w:rsidRPr="00D61F73">
              <w:rPr>
                <w:rFonts w:ascii="Arial" w:hAnsi="Arial" w:cs="Arial"/>
              </w:rPr>
              <w:t>Not recommended for chronic pain. The potential for drug dependence is high and no evidence exists to show a clinically important enhancement of analgesic efficacy of BCAs due to the barbiturate constituents. (</w:t>
            </w:r>
            <w:hyperlink w:anchor="McLean" w:history="1">
              <w:r w:rsidRPr="00D61F73">
                <w:rPr>
                  <w:rStyle w:val="Hyperlink"/>
                  <w:rFonts w:ascii="Arial" w:hAnsi="Arial" w:cs="Arial"/>
                </w:rPr>
                <w:t>McLean, 2000</w:t>
              </w:r>
            </w:hyperlink>
            <w:r w:rsidRPr="00D61F73">
              <w:rPr>
                <w:rFonts w:ascii="Arial" w:hAnsi="Arial" w:cs="Arial"/>
              </w:rPr>
              <w:t xml:space="preserve">) Fioricet is commonly used for acute headache, with some data to support it, but there is a risk of medication overuse as well as rebound </w:t>
            </w:r>
            <w:r w:rsidRPr="00D61F73">
              <w:rPr>
                <w:rFonts w:ascii="Arial" w:hAnsi="Arial" w:cs="Arial"/>
              </w:rPr>
              <w:lastRenderedPageBreak/>
              <w:t>headache. (</w:t>
            </w:r>
            <w:hyperlink w:anchor="Friedman" w:history="1">
              <w:r w:rsidRPr="00D61F73">
                <w:rPr>
                  <w:rStyle w:val="Hyperlink"/>
                  <w:rFonts w:ascii="Arial" w:hAnsi="Arial" w:cs="Arial"/>
                </w:rPr>
                <w:t>Friedman, 1987</w:t>
              </w:r>
            </w:hyperlink>
            <w:r w:rsidRPr="00D61F73">
              <w:rPr>
                <w:rFonts w:ascii="Arial" w:hAnsi="Arial" w:cs="Arial"/>
              </w:rPr>
              <w:t>) The AGS updated Beers criteria for inappropriate medication use includes barbiturates. (</w:t>
            </w:r>
            <w:hyperlink w:anchor="AGS2012" w:history="1">
              <w:r w:rsidRPr="00D61F73">
                <w:rPr>
                  <w:rStyle w:val="Hyperlink"/>
                  <w:rFonts w:ascii="Arial" w:hAnsi="Arial" w:cs="Arial"/>
                </w:rPr>
                <w:t>AGS, 2012</w:t>
              </w:r>
            </w:hyperlink>
            <w:r w:rsidRPr="00D61F73">
              <w:rPr>
                <w:rFonts w:ascii="Arial" w:hAnsi="Arial" w:cs="Arial"/>
              </w:rPr>
              <w:t xml:space="preserve">) See also </w:t>
            </w:r>
            <w:hyperlink w:anchor="Opioids2" w:history="1">
              <w:r w:rsidRPr="00D61F73">
                <w:rPr>
                  <w:rStyle w:val="Hyperlink"/>
                  <w:rFonts w:ascii="Arial" w:hAnsi="Arial" w:cs="Arial"/>
                </w:rPr>
                <w:t>Opioids</w:t>
              </w:r>
            </w:hyperlink>
            <w:r w:rsidRPr="00D61F73">
              <w:rPr>
                <w:rFonts w:ascii="Arial" w:hAnsi="Arial" w:cs="Arial"/>
              </w:rPr>
              <w:t>.</w:t>
            </w:r>
          </w:p>
        </w:tc>
      </w:tr>
      <w:tr w:rsidR="008D0565" w:rsidRPr="00D61F73" w14:paraId="17832F16" w14:textId="77777777" w:rsidTr="004A2158">
        <w:tc>
          <w:tcPr>
            <w:tcW w:w="1086" w:type="pct"/>
            <w:shd w:val="clear" w:color="auto" w:fill="auto"/>
          </w:tcPr>
          <w:p w14:paraId="464A780E" w14:textId="77777777" w:rsidR="008D0565" w:rsidRPr="00D61F73" w:rsidRDefault="008D0565" w:rsidP="00D61F73">
            <w:pPr>
              <w:pStyle w:val="Footer"/>
              <w:tabs>
                <w:tab w:val="clear" w:pos="4320"/>
                <w:tab w:val="clear" w:pos="8640"/>
              </w:tabs>
              <w:rPr>
                <w:rFonts w:ascii="Arial" w:hAnsi="Arial" w:cs="Arial"/>
              </w:rPr>
            </w:pPr>
            <w:bookmarkStart w:id="103" w:name="Behavioralinterventions"/>
            <w:bookmarkEnd w:id="103"/>
            <w:r w:rsidRPr="00D61F73">
              <w:rPr>
                <w:rFonts w:ascii="Arial" w:hAnsi="Arial" w:cs="Arial"/>
              </w:rPr>
              <w:lastRenderedPageBreak/>
              <w:t>Behavioral interventions</w:t>
            </w:r>
            <w:r w:rsidR="0074155A" w:rsidRPr="00D61F73">
              <w:rPr>
                <w:rFonts w:ascii="Arial" w:hAnsi="Arial" w:cs="Arial"/>
              </w:rPr>
              <w:t>/ Cognitive Behavioral Therapy (CBT)</w:t>
            </w:r>
            <w:r w:rsidR="00A309D8" w:rsidRPr="00D61F73">
              <w:rPr>
                <w:rFonts w:ascii="Arial" w:hAnsi="Arial" w:cs="Arial"/>
              </w:rPr>
              <w:t xml:space="preserve"> </w:t>
            </w:r>
          </w:p>
        </w:tc>
        <w:tc>
          <w:tcPr>
            <w:tcW w:w="3914" w:type="pct"/>
            <w:shd w:val="clear" w:color="auto" w:fill="auto"/>
          </w:tcPr>
          <w:p w14:paraId="31EC7892" w14:textId="427964D5" w:rsidR="0074155A" w:rsidRPr="00D61F73" w:rsidRDefault="008D0565" w:rsidP="00D61F73">
            <w:pPr>
              <w:rPr>
                <w:rFonts w:ascii="Arial" w:hAnsi="Arial" w:cs="Arial"/>
              </w:rPr>
            </w:pPr>
            <w:r w:rsidRPr="00D61F73">
              <w:rPr>
                <w:rFonts w:ascii="Arial" w:hAnsi="Arial" w:cs="Arial"/>
              </w:rPr>
              <w:t xml:space="preserve">Recommended. </w:t>
            </w:r>
            <w:r w:rsidR="0074155A" w:rsidRPr="00D61F73">
              <w:rPr>
                <w:rFonts w:ascii="Arial" w:hAnsi="Arial" w:cs="Arial"/>
              </w:rPr>
              <w:t xml:space="preserve">Please review </w:t>
            </w:r>
            <w:hyperlink w:anchor="Part1introduction" w:history="1">
              <w:r w:rsidR="00BF4FFA" w:rsidRPr="00D61F73">
                <w:rPr>
                  <w:rStyle w:val="Hyperlink"/>
                  <w:rFonts w:ascii="Arial" w:hAnsi="Arial" w:cs="Arial"/>
                </w:rPr>
                <w:t>I</w:t>
              </w:r>
              <w:r w:rsidR="0074155A" w:rsidRPr="00D61F73">
                <w:rPr>
                  <w:rStyle w:val="Hyperlink"/>
                  <w:rFonts w:ascii="Arial" w:hAnsi="Arial" w:cs="Arial"/>
                </w:rPr>
                <w:t xml:space="preserve">ntroduction to the </w:t>
              </w:r>
              <w:r w:rsidR="001C7728" w:rsidRPr="00D61F73">
                <w:rPr>
                  <w:rStyle w:val="Hyperlink"/>
                  <w:rFonts w:ascii="Arial" w:hAnsi="Arial" w:cs="Arial"/>
                </w:rPr>
                <w:t xml:space="preserve">MTUS </w:t>
              </w:r>
              <w:r w:rsidR="0074155A" w:rsidRPr="00D61F73">
                <w:rPr>
                  <w:rStyle w:val="Hyperlink"/>
                  <w:rFonts w:ascii="Arial" w:hAnsi="Arial" w:cs="Arial"/>
                </w:rPr>
                <w:t>Chronic Pain Guideline</w:t>
              </w:r>
              <w:r w:rsidR="00F254D9" w:rsidRPr="00D61F73">
                <w:rPr>
                  <w:rStyle w:val="Hyperlink"/>
                  <w:rFonts w:ascii="Arial" w:hAnsi="Arial" w:cs="Arial"/>
                </w:rPr>
                <w:t>s</w:t>
              </w:r>
            </w:hyperlink>
            <w:r w:rsidR="0074155A" w:rsidRPr="00D61F73">
              <w:rPr>
                <w:rFonts w:ascii="Arial" w:hAnsi="Arial" w:cs="Arial"/>
              </w:rPr>
              <w:t xml:space="preserve"> for background on psychosocial variables and their potential role in delayed recovery and chronic pain. Risk Factors for delayed recovery include catastrophic thinking, fear-avoidance, and perceived injustice. </w:t>
            </w:r>
          </w:p>
          <w:p w14:paraId="57DA3774" w14:textId="77777777" w:rsidR="008D0565" w:rsidRPr="00D61F73" w:rsidRDefault="008D0565" w:rsidP="00D61F73">
            <w:pPr>
              <w:rPr>
                <w:rFonts w:ascii="Arial" w:hAnsi="Arial" w:cs="Arial"/>
              </w:rPr>
            </w:pPr>
            <w:r w:rsidRPr="00D61F73">
              <w:rPr>
                <w:rFonts w:ascii="Arial" w:hAnsi="Arial" w:cs="Arial"/>
              </w:rPr>
              <w:t>The identification and reinforcement of coping skills is often more useful in the treatment of pain than ongoing medication or therapy, which could lead to psychological or physical dependence. Several recent reviews support the assertion of efficacy of cognitive-behavioural therapy (CBT) in the treatment of pain, especially chronic back pain (CBP). (</w:t>
            </w:r>
            <w:hyperlink w:anchor="KrönerHerwig" w:history="1">
              <w:r w:rsidRPr="00D61F73">
                <w:rPr>
                  <w:rStyle w:val="Hyperlink"/>
                  <w:rFonts w:ascii="Arial" w:hAnsi="Arial" w:cs="Arial"/>
                </w:rPr>
                <w:t>Kröner-Herwig, 2009</w:t>
              </w:r>
            </w:hyperlink>
            <w:r w:rsidRPr="00D61F73">
              <w:rPr>
                <w:rFonts w:ascii="Arial" w:hAnsi="Arial" w:cs="Arial"/>
              </w:rPr>
              <w:t xml:space="preserve">) </w:t>
            </w:r>
          </w:p>
          <w:p w14:paraId="698E42BE" w14:textId="77777777" w:rsidR="0074155A" w:rsidRPr="00D61F73" w:rsidRDefault="0074155A" w:rsidP="00D61F73">
            <w:pPr>
              <w:shd w:val="clear" w:color="auto" w:fill="FFFFFF" w:themeFill="background1"/>
              <w:rPr>
                <w:rFonts w:ascii="Arial" w:hAnsi="Arial" w:cs="Arial"/>
              </w:rPr>
            </w:pPr>
            <w:r w:rsidRPr="00D61F73">
              <w:rPr>
                <w:rFonts w:ascii="Arial" w:hAnsi="Arial" w:cs="Arial"/>
              </w:rPr>
              <w:t xml:space="preserve">The CBT treatment model has three stages: (1) skill education (2) skill acquisition and (3) skill maintenance / generalization. Homework assignments are an essential part of CBT. When possible, CBT should be coordinated with physical therapy. There are no studies that delineate specific quantity and frequency of CBT sessions for chronic pain. Please refer to the ODG Psychotherapy Guidelines </w:t>
            </w:r>
            <w:r w:rsidR="00A56516" w:rsidRPr="00D61F73">
              <w:rPr>
                <w:rFonts w:ascii="Arial" w:hAnsi="Arial" w:cs="Arial"/>
              </w:rPr>
              <w:t xml:space="preserve">(just below) </w:t>
            </w:r>
            <w:r w:rsidRPr="00D61F73">
              <w:rPr>
                <w:rFonts w:ascii="Arial" w:hAnsi="Arial" w:cs="Arial"/>
              </w:rPr>
              <w:t>for further recommendations.</w:t>
            </w:r>
          </w:p>
          <w:p w14:paraId="11A3588E" w14:textId="174B6288" w:rsidR="00843F85" w:rsidRPr="00D61F73" w:rsidRDefault="00DD3081" w:rsidP="00D61F73">
            <w:pPr>
              <w:rPr>
                <w:rFonts w:ascii="Arial" w:hAnsi="Arial" w:cs="Arial"/>
              </w:rPr>
            </w:pPr>
            <w:r w:rsidRPr="00D61F73">
              <w:rPr>
                <w:rFonts w:ascii="Arial" w:hAnsi="Arial" w:cs="Arial"/>
              </w:rPr>
              <w:t>Please r</w:t>
            </w:r>
            <w:r w:rsidR="00843F85" w:rsidRPr="00D61F73">
              <w:rPr>
                <w:rFonts w:ascii="Arial" w:hAnsi="Arial" w:cs="Arial"/>
              </w:rPr>
              <w:t xml:space="preserve">efer to the </w:t>
            </w:r>
            <w:r w:rsidR="00AA2119" w:rsidRPr="00D61F73">
              <w:rPr>
                <w:rFonts w:ascii="Arial" w:hAnsi="Arial" w:cs="Arial"/>
              </w:rPr>
              <w:t>MTUS Opioids Treatment Guidelines</w:t>
            </w:r>
            <w:r w:rsidR="00031AD5" w:rsidRPr="00D61F73">
              <w:rPr>
                <w:rFonts w:ascii="Arial" w:hAnsi="Arial" w:cs="Arial"/>
                <w:bCs/>
              </w:rPr>
              <w:t xml:space="preserve"> and </w:t>
            </w:r>
            <w:r w:rsidR="00843F85" w:rsidRPr="00321CB9">
              <w:rPr>
                <w:rFonts w:ascii="Arial" w:hAnsi="Arial" w:cs="Arial"/>
              </w:rPr>
              <w:t>MTUS Low Back Complaints</w:t>
            </w:r>
            <w:r w:rsidR="00031AD5" w:rsidRPr="00D61F73">
              <w:rPr>
                <w:rFonts w:ascii="Arial" w:hAnsi="Arial" w:cs="Arial"/>
              </w:rPr>
              <w:t xml:space="preserve"> </w:t>
            </w:r>
            <w:r w:rsidR="00FE445F" w:rsidRPr="00D61F73">
              <w:rPr>
                <w:rFonts w:ascii="Arial" w:hAnsi="Arial" w:cs="Arial"/>
              </w:rPr>
              <w:t xml:space="preserve">and </w:t>
            </w:r>
            <w:r w:rsidR="00FE445F" w:rsidRPr="00293996">
              <w:rPr>
                <w:rFonts w:ascii="Arial" w:hAnsi="Arial" w:cs="Arial"/>
              </w:rPr>
              <w:t>Stress-Related Conditions</w:t>
            </w:r>
            <w:r w:rsidR="00843F85" w:rsidRPr="00D61F73">
              <w:rPr>
                <w:rFonts w:ascii="Arial" w:hAnsi="Arial" w:cs="Arial"/>
              </w:rPr>
              <w:t xml:space="preserve">. </w:t>
            </w:r>
          </w:p>
          <w:p w14:paraId="4288F7C8" w14:textId="77777777" w:rsidR="008D0565" w:rsidRPr="00D61F73" w:rsidRDefault="008D0565" w:rsidP="00D61F73">
            <w:pPr>
              <w:shd w:val="clear" w:color="auto" w:fill="FFFFFF" w:themeFill="background1"/>
              <w:rPr>
                <w:rFonts w:ascii="Arial" w:hAnsi="Arial" w:cs="Arial"/>
                <w:b/>
                <w:bCs/>
              </w:rPr>
            </w:pPr>
            <w:r w:rsidRPr="00D61F73">
              <w:rPr>
                <w:rFonts w:ascii="Arial" w:hAnsi="Arial" w:cs="Arial"/>
                <w:b/>
                <w:bCs/>
              </w:rPr>
              <w:t>ODG Psychotherapy Guidelines:</w:t>
            </w:r>
          </w:p>
          <w:p w14:paraId="1B969657" w14:textId="77777777" w:rsidR="008D0565" w:rsidRPr="00D61F73" w:rsidRDefault="008D0565" w:rsidP="00D61F73">
            <w:pPr>
              <w:shd w:val="clear" w:color="auto" w:fill="FFFFFF" w:themeFill="background1"/>
              <w:rPr>
                <w:rFonts w:ascii="Arial" w:hAnsi="Arial" w:cs="Arial"/>
                <w:bCs/>
              </w:rPr>
            </w:pPr>
            <w:r w:rsidRPr="00D61F73">
              <w:rPr>
                <w:rFonts w:ascii="Arial" w:hAnsi="Arial" w:cs="Arial"/>
                <w:bCs/>
              </w:rPr>
              <w:t>- Up to 13-20 visits over 7-20 weeks (individual sessions), if progress is being made.</w:t>
            </w:r>
          </w:p>
          <w:p w14:paraId="7B12438B" w14:textId="77777777" w:rsidR="008D0565" w:rsidRPr="00D61F73" w:rsidRDefault="008D0565" w:rsidP="00D61F73">
            <w:pPr>
              <w:shd w:val="clear" w:color="auto" w:fill="FFFFFF" w:themeFill="background1"/>
              <w:rPr>
                <w:rFonts w:ascii="Arial" w:hAnsi="Arial" w:cs="Arial"/>
                <w:bCs/>
              </w:rPr>
            </w:pPr>
            <w:r w:rsidRPr="00D61F73">
              <w:rPr>
                <w:rFonts w:ascii="Arial" w:hAnsi="Arial" w:cs="Arial"/>
                <w:bCs/>
              </w:rPr>
              <w:t>(The provider should evaluate symptom improvement during the process, so treatment failures can be identified early and alternative treatment strategies can be pursued if appropriate.)</w:t>
            </w:r>
          </w:p>
          <w:p w14:paraId="06B637B1" w14:textId="77777777" w:rsidR="008D0565" w:rsidRPr="00D61F73" w:rsidRDefault="008D0565" w:rsidP="00D61F73">
            <w:pPr>
              <w:shd w:val="clear" w:color="auto" w:fill="FFFFFF" w:themeFill="background1"/>
              <w:rPr>
                <w:rFonts w:ascii="Arial" w:hAnsi="Arial" w:cs="Arial"/>
              </w:rPr>
            </w:pPr>
            <w:r w:rsidRPr="00D61F73">
              <w:rPr>
                <w:rFonts w:ascii="Arial" w:hAnsi="Arial" w:cs="Arial"/>
                <w:bCs/>
              </w:rPr>
              <w:t>- In cases of severe Major Depression or PTSD, up to 50 sessions if progress is being made.</w:t>
            </w:r>
          </w:p>
        </w:tc>
      </w:tr>
      <w:tr w:rsidR="008D0565" w:rsidRPr="00D61F73" w14:paraId="3ED59493" w14:textId="77777777" w:rsidTr="004A2158">
        <w:tc>
          <w:tcPr>
            <w:tcW w:w="1086" w:type="pct"/>
            <w:shd w:val="clear" w:color="auto" w:fill="auto"/>
          </w:tcPr>
          <w:p w14:paraId="1EB211CC"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04" w:name="Benzodiazepines"/>
            <w:bookmarkEnd w:id="104"/>
            <w:r w:rsidRPr="00D61F73">
              <w:rPr>
                <w:rFonts w:ascii="Arial" w:hAnsi="Arial" w:cs="Arial"/>
              </w:rPr>
              <w:t>enzodiazepines</w:t>
            </w:r>
          </w:p>
        </w:tc>
        <w:tc>
          <w:tcPr>
            <w:tcW w:w="3914" w:type="pct"/>
            <w:shd w:val="clear" w:color="auto" w:fill="auto"/>
          </w:tcPr>
          <w:p w14:paraId="3061786E" w14:textId="48CD404A" w:rsidR="008D0565" w:rsidRPr="00D61F73" w:rsidRDefault="008D0565" w:rsidP="00D61F73">
            <w:pPr>
              <w:rPr>
                <w:rFonts w:ascii="Arial" w:hAnsi="Arial" w:cs="Arial"/>
              </w:rPr>
            </w:pPr>
            <w:r w:rsidRPr="00D61F73">
              <w:rPr>
                <w:rFonts w:ascii="Arial" w:hAnsi="Arial" w:cs="Arial"/>
              </w:rPr>
              <w:t>Not recommended for long-term use because long-term efficacy is unproven and there is a risk of psychological and physical dependence or frank addiction. Most guidelines limit use to 4 weeks. Benzodiazepines are a major cause of overdose, particularly as they act synergistically with other drugs such as opioids (mixed overdoses are often a cause of fatalities). Their range of action includes sedative/hypnotic, anxiolytic, anticonvulsant, and muscle relaxant. Chronic benzodiazepines are the treatment of choice in very few conditions. Tolerance to hypnotic effects develops rapidly (3-14 day). Tolerance to anxiolytic effects occurs within months and long-term use may actually increase anxiety. A more appropriate treatment for anxiety disorder is an antidepressant. Tolerance to anticonvulsant and muscle relaxant effects occurs within weeks. Tolerance to lethal effects does not occur and a maintenance dose may approach a lethal dose as the therapeutic index increases. The best prevention for substance use disorders due to benzodiazepines is careful prescribing. (</w:t>
            </w:r>
            <w:hyperlink w:anchor="Baillargeon" w:history="1">
              <w:r w:rsidRPr="00D61F73">
                <w:rPr>
                  <w:rStyle w:val="Hyperlink"/>
                  <w:rFonts w:ascii="Arial" w:hAnsi="Arial" w:cs="Arial"/>
                </w:rPr>
                <w:t>Baillargeon, 2003</w:t>
              </w:r>
            </w:hyperlink>
            <w:r w:rsidRPr="00D61F73">
              <w:rPr>
                <w:rFonts w:ascii="Arial" w:hAnsi="Arial" w:cs="Arial"/>
              </w:rPr>
              <w:t>) (</w:t>
            </w:r>
            <w:hyperlink w:anchor="Ashton" w:history="1">
              <w:r w:rsidRPr="00D61F73">
                <w:rPr>
                  <w:rStyle w:val="Hyperlink"/>
                  <w:rFonts w:ascii="Arial" w:hAnsi="Arial" w:cs="Arial"/>
                </w:rPr>
                <w:t>Ashton, 2005</w:t>
              </w:r>
            </w:hyperlink>
            <w:r w:rsidRPr="00D61F73">
              <w:rPr>
                <w:rFonts w:ascii="Arial" w:hAnsi="Arial" w:cs="Arial"/>
              </w:rPr>
              <w:t>) (</w:t>
            </w:r>
            <w:hyperlink w:anchor="Dickenson" w:history="1">
              <w:r w:rsidRPr="00D61F73">
                <w:rPr>
                  <w:rStyle w:val="Hyperlink"/>
                  <w:rFonts w:ascii="Arial" w:hAnsi="Arial" w:cs="Arial"/>
                </w:rPr>
                <w:t>Dickinson, 2009</w:t>
              </w:r>
            </w:hyperlink>
            <w:r w:rsidRPr="00D61F73">
              <w:rPr>
                <w:rFonts w:ascii="Arial" w:hAnsi="Arial" w:cs="Arial"/>
              </w:rPr>
              <w:t>) (</w:t>
            </w:r>
            <w:hyperlink w:anchor="Lader" w:history="1">
              <w:r w:rsidRPr="00D61F73">
                <w:rPr>
                  <w:rStyle w:val="Hyperlink"/>
                  <w:rFonts w:ascii="Arial" w:hAnsi="Arial" w:cs="Arial"/>
                </w:rPr>
                <w:t xml:space="preserve">Lader, </w:t>
              </w:r>
              <w:r w:rsidRPr="00D61F73">
                <w:rPr>
                  <w:rStyle w:val="Hyperlink"/>
                  <w:rFonts w:ascii="Arial" w:hAnsi="Arial" w:cs="Arial"/>
                </w:rPr>
                <w:lastRenderedPageBreak/>
                <w:t>2009</w:t>
              </w:r>
            </w:hyperlink>
            <w:r w:rsidRPr="00D61F73">
              <w:rPr>
                <w:rFonts w:ascii="Arial" w:hAnsi="Arial" w:cs="Arial"/>
              </w:rPr>
              <w:t>) Adults who use hypnotics, including benzodiazepines such as temazepam, have a greater than 3-fold increased risk for early death, according to results of a large matched cohort survival analysis. The risks associated with hypnotics outweigh any benefits of hypnotics, according to the authors. In 2010, hypnotics may have been associated with 320,000 to 507,000 excess deaths in the U.S. alone. A dose-response effect was evident, with a hazard ratio of 3.60 for up to 18 pills per year, 4.43 for 18-132 pills per year, and 5.32 for over 132 pills per year. (</w:t>
            </w:r>
            <w:hyperlink w:anchor="Kripke2012" w:history="1">
              <w:r w:rsidRPr="00D61F73">
                <w:rPr>
                  <w:rStyle w:val="Hyperlink"/>
                  <w:rFonts w:ascii="Arial" w:hAnsi="Arial" w:cs="Arial"/>
                </w:rPr>
                <w:t>Kripke, 2012</w:t>
              </w:r>
            </w:hyperlink>
            <w:r w:rsidRPr="00D61F73">
              <w:rPr>
                <w:rFonts w:ascii="Arial" w:hAnsi="Arial" w:cs="Arial"/>
              </w:rPr>
              <w:t>) The AGS updated Beers criteria for inappropriate medication use includes benzodiazepines. (</w:t>
            </w:r>
            <w:hyperlink w:anchor="AGS2012" w:history="1">
              <w:r w:rsidRPr="00D61F73">
                <w:rPr>
                  <w:rStyle w:val="Hyperlink"/>
                  <w:rFonts w:ascii="Arial" w:hAnsi="Arial" w:cs="Arial"/>
                </w:rPr>
                <w:t>AGS, 2012</w:t>
              </w:r>
            </w:hyperlink>
            <w:r w:rsidRPr="00D61F73">
              <w:rPr>
                <w:rFonts w:ascii="Arial" w:hAnsi="Arial" w:cs="Arial"/>
              </w:rPr>
              <w:t xml:space="preserve">) See also </w:t>
            </w:r>
            <w:hyperlink w:anchor="Anxietymedicationsinchronicpain" w:history="1">
              <w:r w:rsidRPr="00D61F73">
                <w:rPr>
                  <w:rStyle w:val="Hyperlink"/>
                  <w:rFonts w:ascii="Arial" w:hAnsi="Arial" w:cs="Arial"/>
                </w:rPr>
                <w:t>Anxiety medications in chronic pain</w:t>
              </w:r>
            </w:hyperlink>
            <w:r w:rsidRPr="00D61F73">
              <w:rPr>
                <w:rFonts w:ascii="Arial" w:hAnsi="Arial" w:cs="Arial"/>
              </w:rPr>
              <w:t xml:space="preserve">; &amp; </w:t>
            </w:r>
            <w:hyperlink w:anchor="Insomniatreatment" w:history="1">
              <w:r w:rsidRPr="00D61F73">
                <w:rPr>
                  <w:rStyle w:val="Hyperlink"/>
                  <w:rFonts w:ascii="Arial" w:hAnsi="Arial" w:cs="Arial"/>
                </w:rPr>
                <w:t>Insomnia treatment</w:t>
              </w:r>
            </w:hyperlink>
            <w:r w:rsidRPr="00D61F73">
              <w:rPr>
                <w:rFonts w:ascii="Arial" w:hAnsi="Arial" w:cs="Arial"/>
              </w:rPr>
              <w:t xml:space="preserve">. Benzodiazepines that are commonly prescribed include the following: </w:t>
            </w:r>
            <w:hyperlink w:anchor="Alprazolam" w:history="1">
              <w:r w:rsidRPr="00D61F73">
                <w:rPr>
                  <w:rStyle w:val="Hyperlink"/>
                  <w:rFonts w:ascii="Arial" w:hAnsi="Arial" w:cs="Arial"/>
                </w:rPr>
                <w:t>alprazolam</w:t>
              </w:r>
            </w:hyperlink>
            <w:r w:rsidRPr="00D61F73">
              <w:rPr>
                <w:rFonts w:ascii="Arial" w:hAnsi="Arial" w:cs="Arial"/>
              </w:rPr>
              <w:t xml:space="preserve">, </w:t>
            </w:r>
            <w:hyperlink w:anchor="Chlordiazepoxide" w:history="1">
              <w:r w:rsidRPr="00D61F73">
                <w:rPr>
                  <w:rStyle w:val="Hyperlink"/>
                  <w:rFonts w:ascii="Arial" w:hAnsi="Arial" w:cs="Arial"/>
                </w:rPr>
                <w:t>chlordiazepoxide</w:t>
              </w:r>
            </w:hyperlink>
            <w:r w:rsidRPr="00D61F73">
              <w:rPr>
                <w:rFonts w:ascii="Arial" w:hAnsi="Arial" w:cs="Arial"/>
              </w:rPr>
              <w:t xml:space="preserve">, </w:t>
            </w:r>
            <w:hyperlink w:anchor="Clonazepam" w:history="1">
              <w:r w:rsidRPr="00D61F73">
                <w:rPr>
                  <w:rStyle w:val="Hyperlink"/>
                  <w:rFonts w:ascii="Arial" w:hAnsi="Arial" w:cs="Arial"/>
                </w:rPr>
                <w:t>clonazepam</w:t>
              </w:r>
            </w:hyperlink>
            <w:r w:rsidRPr="00D61F73">
              <w:rPr>
                <w:rFonts w:ascii="Arial" w:hAnsi="Arial" w:cs="Arial"/>
              </w:rPr>
              <w:t xml:space="preserve">, </w:t>
            </w:r>
            <w:hyperlink w:anchor="Clorazepate" w:history="1">
              <w:r w:rsidRPr="00D61F73">
                <w:rPr>
                  <w:rStyle w:val="Hyperlink"/>
                  <w:rFonts w:ascii="Arial" w:hAnsi="Arial" w:cs="Arial"/>
                </w:rPr>
                <w:t>clorazepate</w:t>
              </w:r>
            </w:hyperlink>
            <w:r w:rsidRPr="00D61F73">
              <w:rPr>
                <w:rFonts w:ascii="Arial" w:hAnsi="Arial" w:cs="Arial"/>
              </w:rPr>
              <w:t xml:space="preserve">, </w:t>
            </w:r>
            <w:hyperlink w:anchor="Diazepam" w:history="1">
              <w:r w:rsidRPr="00D61F73">
                <w:rPr>
                  <w:rStyle w:val="Hyperlink"/>
                  <w:rFonts w:ascii="Arial" w:hAnsi="Arial" w:cs="Arial"/>
                </w:rPr>
                <w:t>diazepam</w:t>
              </w:r>
            </w:hyperlink>
            <w:r w:rsidRPr="00D61F73">
              <w:rPr>
                <w:rFonts w:ascii="Arial" w:hAnsi="Arial" w:cs="Arial"/>
              </w:rPr>
              <w:t xml:space="preserve">, </w:t>
            </w:r>
            <w:hyperlink w:anchor="Estazolam" w:history="1">
              <w:r w:rsidRPr="00D61F73">
                <w:rPr>
                  <w:rStyle w:val="Hyperlink"/>
                  <w:rFonts w:ascii="Arial" w:hAnsi="Arial" w:cs="Arial"/>
                </w:rPr>
                <w:t>estazolam</w:t>
              </w:r>
            </w:hyperlink>
            <w:r w:rsidRPr="00D61F73">
              <w:rPr>
                <w:rFonts w:ascii="Arial" w:hAnsi="Arial" w:cs="Arial"/>
              </w:rPr>
              <w:t xml:space="preserve">, </w:t>
            </w:r>
            <w:hyperlink w:anchor="Flurazepam" w:history="1">
              <w:r w:rsidRPr="00D61F73">
                <w:rPr>
                  <w:rStyle w:val="Hyperlink"/>
                  <w:rFonts w:ascii="Arial" w:hAnsi="Arial" w:cs="Arial"/>
                </w:rPr>
                <w:t>flurazepam</w:t>
              </w:r>
            </w:hyperlink>
            <w:r w:rsidRPr="00D61F73">
              <w:rPr>
                <w:rFonts w:ascii="Arial" w:hAnsi="Arial" w:cs="Arial"/>
              </w:rPr>
              <w:t xml:space="preserve">, </w:t>
            </w:r>
            <w:hyperlink w:anchor="Lorazepam" w:history="1">
              <w:r w:rsidRPr="00D61F73">
                <w:rPr>
                  <w:rStyle w:val="Hyperlink"/>
                  <w:rFonts w:ascii="Arial" w:hAnsi="Arial" w:cs="Arial"/>
                </w:rPr>
                <w:t>lorazepam</w:t>
              </w:r>
            </w:hyperlink>
            <w:r w:rsidRPr="00D61F73">
              <w:rPr>
                <w:rFonts w:ascii="Arial" w:hAnsi="Arial" w:cs="Arial"/>
              </w:rPr>
              <w:t xml:space="preserve">, </w:t>
            </w:r>
            <w:hyperlink w:anchor="Midazolam" w:history="1">
              <w:r w:rsidRPr="00D61F73">
                <w:rPr>
                  <w:rStyle w:val="Hyperlink"/>
                  <w:rFonts w:ascii="Arial" w:hAnsi="Arial" w:cs="Arial"/>
                </w:rPr>
                <w:t>midazolam</w:t>
              </w:r>
            </w:hyperlink>
            <w:r w:rsidRPr="00D61F73">
              <w:rPr>
                <w:rFonts w:ascii="Arial" w:hAnsi="Arial" w:cs="Arial"/>
              </w:rPr>
              <w:t xml:space="preserve">, </w:t>
            </w:r>
            <w:hyperlink w:anchor="Oxazepam" w:history="1">
              <w:r w:rsidR="00737493">
                <w:rPr>
                  <w:rStyle w:val="Hyperlink"/>
                  <w:rFonts w:ascii="Arial" w:hAnsi="Arial" w:cs="Arial"/>
                </w:rPr>
                <w:t>oxazepam</w:t>
              </w:r>
            </w:hyperlink>
            <w:r w:rsidRPr="00D61F73">
              <w:rPr>
                <w:rFonts w:ascii="Arial" w:hAnsi="Arial" w:cs="Arial"/>
              </w:rPr>
              <w:t xml:space="preserve">, </w:t>
            </w:r>
            <w:hyperlink w:anchor="Quazepam" w:history="1">
              <w:r w:rsidR="00737493" w:rsidRPr="00737493">
                <w:rPr>
                  <w:rStyle w:val="Hyperlink"/>
                  <w:rFonts w:ascii="Arial" w:hAnsi="Arial" w:cs="Arial"/>
                </w:rPr>
                <w:t>quazepam</w:t>
              </w:r>
            </w:hyperlink>
            <w:r w:rsidRPr="00D61F73">
              <w:rPr>
                <w:rFonts w:ascii="Arial" w:hAnsi="Arial" w:cs="Arial"/>
              </w:rPr>
              <w:t xml:space="preserve">, </w:t>
            </w:r>
            <w:hyperlink w:anchor="Temazepam" w:history="1">
              <w:r w:rsidRPr="00D61F73">
                <w:rPr>
                  <w:rStyle w:val="Hyperlink"/>
                  <w:rFonts w:ascii="Arial" w:hAnsi="Arial" w:cs="Arial"/>
                </w:rPr>
                <w:t>temazepam</w:t>
              </w:r>
            </w:hyperlink>
            <w:r w:rsidRPr="00D61F73">
              <w:rPr>
                <w:rFonts w:ascii="Arial" w:hAnsi="Arial" w:cs="Arial"/>
              </w:rPr>
              <w:t xml:space="preserve">, &amp; </w:t>
            </w:r>
            <w:hyperlink w:anchor="Triazolam" w:history="1">
              <w:r w:rsidRPr="00D61F73">
                <w:rPr>
                  <w:rStyle w:val="Hyperlink"/>
                  <w:rFonts w:ascii="Arial" w:hAnsi="Arial" w:cs="Arial"/>
                </w:rPr>
                <w:t>triazolam</w:t>
              </w:r>
            </w:hyperlink>
            <w:r w:rsidRPr="00D61F73">
              <w:rPr>
                <w:rFonts w:ascii="Arial" w:hAnsi="Arial" w:cs="Arial"/>
              </w:rPr>
              <w:t>. (</w:t>
            </w:r>
            <w:hyperlink w:anchor="ClinicalPharmacology" w:history="1">
              <w:r w:rsidRPr="00D61F73">
                <w:rPr>
                  <w:rStyle w:val="Hyperlink"/>
                  <w:rFonts w:ascii="Arial" w:hAnsi="Arial" w:cs="Arial"/>
                </w:rPr>
                <w:t>Clinical Pharmacology, 2010</w:t>
              </w:r>
            </w:hyperlink>
            <w:r w:rsidRPr="00D61F73">
              <w:rPr>
                <w:rFonts w:ascii="Arial" w:hAnsi="Arial" w:cs="Arial"/>
              </w:rPr>
              <w:t>)</w:t>
            </w:r>
          </w:p>
          <w:p w14:paraId="2655EC14" w14:textId="77777777" w:rsidR="008D0565" w:rsidRPr="00D61F73" w:rsidRDefault="008D0565" w:rsidP="00D61F73">
            <w:pPr>
              <w:rPr>
                <w:rFonts w:ascii="Arial" w:hAnsi="Arial" w:cs="Arial"/>
                <w:b/>
              </w:rPr>
            </w:pPr>
            <w:r w:rsidRPr="00D61F73">
              <w:rPr>
                <w:rFonts w:ascii="Arial" w:hAnsi="Arial" w:cs="Arial"/>
                <w:b/>
              </w:rPr>
              <w:t>Benzodiazepines are Not Recommended as first-line medications by ODG.</w:t>
            </w:r>
          </w:p>
          <w:p w14:paraId="494E861E" w14:textId="77777777" w:rsidR="008D0565" w:rsidRPr="00D61F73" w:rsidRDefault="008D0565" w:rsidP="00D61F73">
            <w:pPr>
              <w:rPr>
                <w:rFonts w:ascii="Arial" w:eastAsia="Calibri" w:hAnsi="Arial" w:cs="Arial"/>
                <w:color w:val="auto"/>
              </w:rPr>
            </w:pPr>
            <w:r w:rsidRPr="00D61F73">
              <w:rPr>
                <w:rFonts w:ascii="Arial" w:hAnsi="Arial" w:cs="Arial"/>
                <w:b/>
              </w:rPr>
              <w:t xml:space="preserve">Criteria for use if provider &amp; payor agree to prescribe anyway: </w:t>
            </w:r>
          </w:p>
          <w:p w14:paraId="647C1858" w14:textId="77777777" w:rsidR="008D0565" w:rsidRPr="00D61F73" w:rsidRDefault="008D0565" w:rsidP="00D61F73">
            <w:pPr>
              <w:rPr>
                <w:rFonts w:ascii="Arial" w:eastAsia="Calibri" w:hAnsi="Arial" w:cs="Arial"/>
              </w:rPr>
            </w:pPr>
            <w:r w:rsidRPr="00D61F73">
              <w:rPr>
                <w:rFonts w:ascii="Arial" w:hAnsi="Arial" w:cs="Arial"/>
              </w:rPr>
              <w:t>1) Indications for use should be provided at the time of initial prescription.</w:t>
            </w:r>
          </w:p>
          <w:p w14:paraId="07BED3F2" w14:textId="77777777" w:rsidR="008D0565" w:rsidRPr="00D61F73" w:rsidRDefault="008D0565" w:rsidP="00D61F73">
            <w:pPr>
              <w:rPr>
                <w:rFonts w:ascii="Arial" w:hAnsi="Arial" w:cs="Arial"/>
              </w:rPr>
            </w:pPr>
            <w:r w:rsidRPr="00D61F73">
              <w:rPr>
                <w:rFonts w:ascii="Arial" w:hAnsi="Arial" w:cs="Arial"/>
              </w:rPr>
              <w:t>2) Authorization after a one-month period should include the specific necessity for ongoing use as well as documentation of efficacy.</w:t>
            </w:r>
          </w:p>
        </w:tc>
      </w:tr>
      <w:tr w:rsidR="008D0565" w:rsidRPr="00D61F73" w14:paraId="007668FF" w14:textId="77777777" w:rsidTr="004A2158">
        <w:tc>
          <w:tcPr>
            <w:tcW w:w="1086" w:type="pct"/>
            <w:shd w:val="clear" w:color="auto" w:fill="auto"/>
          </w:tcPr>
          <w:p w14:paraId="22B1A4F2"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lastRenderedPageBreak/>
              <w:t>B</w:t>
            </w:r>
            <w:bookmarkStart w:id="105" w:name="Benzodiazepinedependencemaintenance"/>
            <w:bookmarkEnd w:id="105"/>
            <w:r w:rsidRPr="00D61F73">
              <w:rPr>
                <w:rFonts w:ascii="Arial" w:hAnsi="Arial" w:cs="Arial"/>
              </w:rPr>
              <w:t>enzodiazepine dependence, maintenance</w:t>
            </w:r>
          </w:p>
        </w:tc>
        <w:tc>
          <w:tcPr>
            <w:tcW w:w="3914" w:type="pct"/>
            <w:shd w:val="clear" w:color="auto" w:fill="auto"/>
          </w:tcPr>
          <w:p w14:paraId="14118DB7" w14:textId="77777777" w:rsidR="008D0565" w:rsidRPr="00D61F73" w:rsidRDefault="008D0565" w:rsidP="00D61F73">
            <w:pPr>
              <w:rPr>
                <w:rFonts w:ascii="Arial" w:hAnsi="Arial" w:cs="Arial"/>
              </w:rPr>
            </w:pPr>
            <w:r w:rsidRPr="00D61F73">
              <w:rPr>
                <w:rFonts w:ascii="Arial" w:hAnsi="Arial" w:cs="Arial"/>
              </w:rPr>
              <w:t xml:space="preserve">Recommended for selected patients, due </w:t>
            </w:r>
            <w:r w:rsidRPr="00D61F73">
              <w:rPr>
                <w:rFonts w:ascii="Arial" w:eastAsia="Calibri" w:hAnsi="Arial" w:cs="Arial"/>
                <w:bCs/>
              </w:rPr>
              <w:t>to risks of weaning</w:t>
            </w:r>
            <w:r w:rsidRPr="00D61F73">
              <w:rPr>
                <w:rFonts w:ascii="Arial" w:hAnsi="Arial" w:cs="Arial"/>
              </w:rPr>
              <w:t>. Early research indicates that switching from rapid-onset, short-acting benzodiazepines to slow-onset, long-acting formulations is an option. In some cases this will actually allow for ultimate discontinuation of this class of drugs. Clonazepam is the suggested drug to switch to. It has a slow onset of action, half-life of 18-50 hours, high potency and lack of active metabolites. (</w:t>
            </w:r>
            <w:hyperlink w:anchor="Liebrenz2010" w:history="1">
              <w:r w:rsidRPr="00D61F73">
                <w:rPr>
                  <w:rStyle w:val="Hyperlink"/>
                  <w:rFonts w:ascii="Arial" w:hAnsi="Arial" w:cs="Arial"/>
                </w:rPr>
                <w:t>Liebrenz, 2010</w:t>
              </w:r>
            </w:hyperlink>
            <w:r w:rsidRPr="00D61F73">
              <w:rPr>
                <w:rFonts w:ascii="Arial" w:hAnsi="Arial" w:cs="Arial"/>
              </w:rPr>
              <w:t>) (</w:t>
            </w:r>
            <w:hyperlink w:anchor="Maremmani2013" w:history="1">
              <w:r w:rsidRPr="00D61F73">
                <w:rPr>
                  <w:rStyle w:val="Hyperlink"/>
                  <w:rFonts w:ascii="Arial" w:hAnsi="Arial" w:cs="Arial"/>
                </w:rPr>
                <w:t>Maremmani, 2013</w:t>
              </w:r>
            </w:hyperlink>
            <w:r w:rsidRPr="00D61F73">
              <w:rPr>
                <w:rFonts w:ascii="Arial" w:hAnsi="Arial" w:cs="Arial"/>
              </w:rPr>
              <w:t xml:space="preserve">) See also </w:t>
            </w:r>
            <w:hyperlink w:anchor="Weaningbenzo" w:history="1">
              <w:r w:rsidRPr="00D61F73">
                <w:rPr>
                  <w:rStyle w:val="Hyperlink"/>
                  <w:rFonts w:ascii="Arial" w:hAnsi="Arial" w:cs="Arial"/>
                </w:rPr>
                <w:t>Weaning, benzodiazepines</w:t>
              </w:r>
            </w:hyperlink>
            <w:r w:rsidRPr="00D61F73">
              <w:rPr>
                <w:rFonts w:ascii="Arial" w:hAnsi="Arial" w:cs="Arial"/>
              </w:rPr>
              <w:t xml:space="preserve"> (specific guidelines).</w:t>
            </w:r>
          </w:p>
        </w:tc>
      </w:tr>
      <w:tr w:rsidR="008D0565" w:rsidRPr="00D61F73" w14:paraId="5DB6773D" w14:textId="77777777" w:rsidTr="004A2158">
        <w:tc>
          <w:tcPr>
            <w:tcW w:w="1086" w:type="pct"/>
            <w:shd w:val="clear" w:color="auto" w:fill="auto"/>
          </w:tcPr>
          <w:p w14:paraId="59A6A500"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06" w:name="Biersblock"/>
            <w:bookmarkEnd w:id="106"/>
            <w:r w:rsidRPr="00D61F73">
              <w:rPr>
                <w:rFonts w:ascii="Arial" w:hAnsi="Arial" w:cs="Arial"/>
              </w:rPr>
              <w:t>ier's block</w:t>
            </w:r>
          </w:p>
        </w:tc>
        <w:tc>
          <w:tcPr>
            <w:tcW w:w="3914" w:type="pct"/>
            <w:tcBorders>
              <w:bottom w:val="single" w:sz="4" w:space="0" w:color="auto"/>
            </w:tcBorders>
            <w:shd w:val="clear" w:color="auto" w:fill="auto"/>
          </w:tcPr>
          <w:p w14:paraId="6914CAD7" w14:textId="77777777" w:rsidR="008D0565" w:rsidRPr="00D61F73" w:rsidRDefault="008D0565" w:rsidP="00D61F73">
            <w:pPr>
              <w:rPr>
                <w:rFonts w:ascii="Arial" w:hAnsi="Arial" w:cs="Arial"/>
              </w:rPr>
            </w:pPr>
            <w:r w:rsidRPr="00D61F73">
              <w:rPr>
                <w:rFonts w:ascii="Arial" w:hAnsi="Arial" w:cs="Arial"/>
              </w:rPr>
              <w:t xml:space="preserve">See </w:t>
            </w:r>
            <w:hyperlink w:anchor="Intravenousregionalsympatheticblocks" w:history="1">
              <w:r w:rsidRPr="00D61F73">
                <w:rPr>
                  <w:rStyle w:val="Hyperlink"/>
                  <w:rFonts w:ascii="Arial" w:hAnsi="Arial" w:cs="Arial"/>
                </w:rPr>
                <w:t>Intravenous regional sympathetic blocks</w:t>
              </w:r>
            </w:hyperlink>
            <w:r w:rsidRPr="00D61F73">
              <w:rPr>
                <w:rFonts w:ascii="Arial" w:hAnsi="Arial" w:cs="Arial"/>
              </w:rPr>
              <w:t xml:space="preserve"> (for RSD/CRPS).</w:t>
            </w:r>
          </w:p>
        </w:tc>
      </w:tr>
      <w:tr w:rsidR="008D0565" w:rsidRPr="00D61F73" w14:paraId="0F0DBB3D" w14:textId="77777777" w:rsidTr="004A2158">
        <w:tc>
          <w:tcPr>
            <w:tcW w:w="1086" w:type="pct"/>
            <w:shd w:val="clear" w:color="auto" w:fill="auto"/>
          </w:tcPr>
          <w:p w14:paraId="3C0956E5"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07" w:name="Biofeedback"/>
            <w:bookmarkEnd w:id="107"/>
            <w:r w:rsidRPr="00D61F73">
              <w:rPr>
                <w:rFonts w:ascii="Arial" w:hAnsi="Arial" w:cs="Arial"/>
              </w:rPr>
              <w:t>iofeedback</w:t>
            </w:r>
            <w:r w:rsidR="00A309D8" w:rsidRPr="00D61F73">
              <w:rPr>
                <w:rFonts w:ascii="Arial" w:hAnsi="Arial" w:cs="Arial"/>
              </w:rPr>
              <w:t xml:space="preserve"> </w:t>
            </w:r>
          </w:p>
        </w:tc>
        <w:tc>
          <w:tcPr>
            <w:tcW w:w="3914" w:type="pct"/>
            <w:shd w:val="clear" w:color="auto" w:fill="auto"/>
          </w:tcPr>
          <w:p w14:paraId="4D577312" w14:textId="441BC425" w:rsidR="008D0565" w:rsidRPr="00D61F73" w:rsidRDefault="008D0565" w:rsidP="00D61F73">
            <w:pPr>
              <w:rPr>
                <w:rFonts w:ascii="Arial" w:hAnsi="Arial" w:cs="Arial"/>
              </w:rPr>
            </w:pPr>
            <w:r w:rsidRPr="00D61F73">
              <w:rPr>
                <w:rFonts w:ascii="Arial" w:hAnsi="Arial" w:cs="Arial"/>
              </w:rPr>
              <w:t xml:space="preserve">Not recommended as a stand-alone treatment, but recommended as an option in a </w:t>
            </w:r>
            <w:hyperlink w:anchor="Cognitivebehavioraltherapy" w:history="1">
              <w:r w:rsidRPr="00D61F73">
                <w:rPr>
                  <w:rStyle w:val="Hyperlink"/>
                  <w:rFonts w:ascii="Arial" w:hAnsi="Arial" w:cs="Arial"/>
                </w:rPr>
                <w:t>cognitive behavioral therapy</w:t>
              </w:r>
            </w:hyperlink>
            <w:r w:rsidRPr="00D61F73">
              <w:rPr>
                <w:rFonts w:ascii="Arial" w:hAnsi="Arial" w:cs="Arial"/>
              </w:rPr>
              <w:t xml:space="preserve"> (CBT) program to facilitate exercise therapy and return to activity. There is fairly good evidence that biofeedback helps in back muscle strengthening, but evidence is insufficient to demonstrate the effectiveness of biofeedback for treatment of chronic pain. Biofeedback may be approved if it facilitates entry into a CBT treatment program, where there is strong evidence of success. As with </w:t>
            </w:r>
            <w:hyperlink w:anchor="Yoga" w:history="1">
              <w:r w:rsidRPr="00D61F73">
                <w:rPr>
                  <w:rStyle w:val="Hyperlink"/>
                  <w:rFonts w:ascii="Arial" w:hAnsi="Arial" w:cs="Arial"/>
                </w:rPr>
                <w:t>yoga</w:t>
              </w:r>
            </w:hyperlink>
            <w:r w:rsidRPr="00D61F73">
              <w:rPr>
                <w:rFonts w:ascii="Arial" w:hAnsi="Arial" w:cs="Arial"/>
              </w:rPr>
              <w:t xml:space="preserve">, since outcomes from biofeedback are very dependent on the highly motivated self-disciplined patient, we recommend approval only when requested by such a patient, but not adoption for use by any patient. EMG biofeedback may be used as part of a behavioral treatment program, with the assumption that the ability to reduce muscle tension will be improved through feedback of data regarding degree of muscle tension to the subject. The potential benefits of biofeedback include pain reduction because the patient may gain a feeling that he is in control and pain is a manageable symptom. Biofeedback techniques are likely to use </w:t>
            </w:r>
            <w:r w:rsidR="00737493" w:rsidRPr="00737493">
              <w:rPr>
                <w:rFonts w:ascii="Arial" w:hAnsi="Arial" w:cs="Arial"/>
              </w:rPr>
              <w:t>surface EMG</w:t>
            </w:r>
            <w:r w:rsidRPr="00D61F73">
              <w:rPr>
                <w:rFonts w:ascii="Arial" w:hAnsi="Arial" w:cs="Arial"/>
              </w:rPr>
              <w:t xml:space="preserve"> feedback so the patient learns to control the degree of muscle </w:t>
            </w:r>
            <w:r w:rsidRPr="00D61F73">
              <w:rPr>
                <w:rFonts w:ascii="Arial" w:hAnsi="Arial" w:cs="Arial"/>
              </w:rPr>
              <w:lastRenderedPageBreak/>
              <w:t>contraction. The available evidence does not clearly show whether biofeedback's effects exceed nonspecific placebo effects. It is also unclear whether biofeedback adds to the effectiveness of relaxation training alone. The application of biofeedback to patients with CRPS is not well researched. However, based on CRPS symptomology, temperature or skin conductance feedback modalities may be of particular interest. (</w:t>
            </w:r>
            <w:hyperlink w:anchor="Keefe2" w:history="1">
              <w:r w:rsidRPr="00D61F73">
                <w:rPr>
                  <w:rStyle w:val="Hyperlink"/>
                  <w:rFonts w:ascii="Arial" w:hAnsi="Arial" w:cs="Arial"/>
                </w:rPr>
                <w:t>Keefe, 1981</w:t>
              </w:r>
            </w:hyperlink>
            <w:r w:rsidRPr="00D61F73">
              <w:rPr>
                <w:rFonts w:ascii="Arial" w:hAnsi="Arial" w:cs="Arial"/>
              </w:rPr>
              <w:t>) (</w:t>
            </w:r>
            <w:hyperlink w:anchor="Nouwen" w:history="1">
              <w:r w:rsidRPr="00D61F73">
                <w:rPr>
                  <w:rStyle w:val="Hyperlink"/>
                  <w:rFonts w:ascii="Arial" w:hAnsi="Arial" w:cs="Arial"/>
                </w:rPr>
                <w:t>Nouwen, 1983</w:t>
              </w:r>
            </w:hyperlink>
            <w:r w:rsidRPr="00D61F73">
              <w:rPr>
                <w:rFonts w:ascii="Arial" w:hAnsi="Arial" w:cs="Arial"/>
              </w:rPr>
              <w:t>) (</w:t>
            </w:r>
            <w:hyperlink w:anchor="Bush" w:history="1">
              <w:r w:rsidRPr="00D61F73">
                <w:rPr>
                  <w:rStyle w:val="Hyperlink"/>
                  <w:rFonts w:ascii="Arial" w:hAnsi="Arial" w:cs="Arial"/>
                </w:rPr>
                <w:t>Bush, 1985</w:t>
              </w:r>
            </w:hyperlink>
            <w:r w:rsidRPr="00D61F73">
              <w:rPr>
                <w:rFonts w:ascii="Arial" w:hAnsi="Arial" w:cs="Arial"/>
              </w:rPr>
              <w:t>) (</w:t>
            </w:r>
            <w:hyperlink w:anchor="Croce" w:history="1">
              <w:r w:rsidRPr="00D61F73">
                <w:rPr>
                  <w:rStyle w:val="Hyperlink"/>
                  <w:rFonts w:ascii="Arial" w:hAnsi="Arial" w:cs="Arial"/>
                </w:rPr>
                <w:t>Croce, 1986</w:t>
              </w:r>
            </w:hyperlink>
            <w:r w:rsidRPr="00D61F73">
              <w:rPr>
                <w:rFonts w:ascii="Arial" w:hAnsi="Arial" w:cs="Arial"/>
              </w:rPr>
              <w:t>) (</w:t>
            </w:r>
            <w:hyperlink w:anchor="Stuckey" w:history="1">
              <w:r w:rsidRPr="00D61F73">
                <w:rPr>
                  <w:rStyle w:val="Hyperlink"/>
                  <w:rFonts w:ascii="Arial" w:hAnsi="Arial" w:cs="Arial"/>
                </w:rPr>
                <w:t>Stuckey, 1986</w:t>
              </w:r>
            </w:hyperlink>
            <w:r w:rsidRPr="00D61F73">
              <w:rPr>
                <w:rFonts w:ascii="Arial" w:hAnsi="Arial" w:cs="Arial"/>
              </w:rPr>
              <w:t>) (</w:t>
            </w:r>
            <w:hyperlink w:anchor="Asfour" w:history="1">
              <w:r w:rsidRPr="00D61F73">
                <w:rPr>
                  <w:rStyle w:val="Hyperlink"/>
                  <w:rFonts w:ascii="Arial" w:hAnsi="Arial" w:cs="Arial"/>
                </w:rPr>
                <w:t>Asfour, 1990</w:t>
              </w:r>
            </w:hyperlink>
            <w:r w:rsidRPr="00D61F73">
              <w:rPr>
                <w:rFonts w:ascii="Arial" w:hAnsi="Arial" w:cs="Arial"/>
              </w:rPr>
              <w:t>) (</w:t>
            </w:r>
            <w:hyperlink w:anchor="Altmaier" w:history="1">
              <w:r w:rsidRPr="00D61F73">
                <w:rPr>
                  <w:rStyle w:val="Hyperlink"/>
                  <w:rFonts w:ascii="Arial" w:hAnsi="Arial" w:cs="Arial"/>
                </w:rPr>
                <w:t>Altmaier, 1992</w:t>
              </w:r>
            </w:hyperlink>
            <w:r w:rsidRPr="00D61F73">
              <w:rPr>
                <w:rFonts w:ascii="Arial" w:hAnsi="Arial" w:cs="Arial"/>
              </w:rPr>
              <w:t>) (</w:t>
            </w:r>
            <w:hyperlink w:anchor="Flor2" w:history="1">
              <w:r w:rsidRPr="00D61F73">
                <w:rPr>
                  <w:rStyle w:val="Hyperlink"/>
                  <w:rFonts w:ascii="Arial" w:hAnsi="Arial" w:cs="Arial"/>
                </w:rPr>
                <w:t>Flor, 1993</w:t>
              </w:r>
            </w:hyperlink>
            <w:r w:rsidRPr="00D61F73">
              <w:rPr>
                <w:rFonts w:ascii="Arial" w:hAnsi="Arial" w:cs="Arial"/>
              </w:rPr>
              <w:t>) (</w:t>
            </w:r>
            <w:hyperlink w:anchor="NewtonJohn" w:history="1">
              <w:r w:rsidRPr="00D61F73">
                <w:rPr>
                  <w:rStyle w:val="Hyperlink"/>
                  <w:rFonts w:ascii="Arial" w:hAnsi="Arial" w:cs="Arial"/>
                </w:rPr>
                <w:t>Newton-John, 1995</w:t>
              </w:r>
            </w:hyperlink>
            <w:r w:rsidRPr="00D61F73">
              <w:rPr>
                <w:rFonts w:ascii="Arial" w:hAnsi="Arial" w:cs="Arial"/>
              </w:rPr>
              <w:t>) (</w:t>
            </w:r>
            <w:hyperlink w:anchor="Spence" w:history="1">
              <w:r w:rsidRPr="00D61F73">
                <w:rPr>
                  <w:rStyle w:val="Hyperlink"/>
                  <w:rFonts w:ascii="Arial" w:hAnsi="Arial" w:cs="Arial"/>
                </w:rPr>
                <w:t>Spence, 1995</w:t>
              </w:r>
            </w:hyperlink>
            <w:r w:rsidRPr="00D61F73">
              <w:rPr>
                <w:rFonts w:ascii="Arial" w:hAnsi="Arial" w:cs="Arial"/>
              </w:rPr>
              <w:t>) (</w:t>
            </w:r>
            <w:hyperlink w:anchor="Vlaeyen" w:history="1">
              <w:r w:rsidRPr="00D61F73">
                <w:rPr>
                  <w:rStyle w:val="Hyperlink"/>
                  <w:rFonts w:ascii="Arial" w:hAnsi="Arial" w:cs="Arial"/>
                </w:rPr>
                <w:t>Vlaeyen, 1995</w:t>
              </w:r>
            </w:hyperlink>
            <w:r w:rsidRPr="00D61F73">
              <w:rPr>
                <w:rFonts w:ascii="Arial" w:hAnsi="Arial" w:cs="Arial"/>
              </w:rPr>
              <w:t>) (</w:t>
            </w:r>
            <w:hyperlink w:anchor="BlueCrossBlueShield98" w:history="1">
              <w:r w:rsidRPr="00D61F73">
                <w:rPr>
                  <w:rStyle w:val="Hyperlink"/>
                  <w:rFonts w:ascii="Arial" w:hAnsi="Arial" w:cs="Arial"/>
                </w:rPr>
                <w:t>NIH-</w:t>
              </w:r>
              <w:r w:rsidRPr="00D61F73">
                <w:rPr>
                  <w:rStyle w:val="Hyperlink"/>
                  <w:rFonts w:ascii="Arial" w:hAnsi="Arial" w:cs="Arial"/>
                  <w:i/>
                  <w:iCs/>
                </w:rPr>
                <w:t>JAMA</w:t>
              </w:r>
              <w:r w:rsidRPr="00D61F73">
                <w:rPr>
                  <w:rStyle w:val="Hyperlink"/>
                  <w:rFonts w:ascii="Arial" w:hAnsi="Arial" w:cs="Arial"/>
                </w:rPr>
                <w:t>, 1996</w:t>
              </w:r>
            </w:hyperlink>
            <w:r w:rsidRPr="00D61F73">
              <w:rPr>
                <w:rFonts w:ascii="Arial" w:hAnsi="Arial" w:cs="Arial"/>
              </w:rPr>
              <w:t>) (</w:t>
            </w:r>
            <w:hyperlink r:id="rId39" w:anchor="vanTulder" w:history="1">
              <w:r w:rsidRPr="00D61F73">
                <w:rPr>
                  <w:rStyle w:val="Hyperlink"/>
                  <w:rFonts w:ascii="Arial" w:hAnsi="Arial" w:cs="Arial"/>
                </w:rPr>
                <w:t>van Tulder, 1997</w:t>
              </w:r>
            </w:hyperlink>
            <w:r w:rsidRPr="00D61F73">
              <w:rPr>
                <w:rFonts w:ascii="Arial" w:hAnsi="Arial" w:cs="Arial"/>
              </w:rPr>
              <w:t>) (</w:t>
            </w:r>
            <w:hyperlink w:anchor="BlueCrossBlueShield98" w:history="1">
              <w:r w:rsidRPr="00D61F73">
                <w:rPr>
                  <w:rStyle w:val="Hyperlink"/>
                  <w:rFonts w:ascii="Arial" w:hAnsi="Arial" w:cs="Arial"/>
                </w:rPr>
                <w:t>Buckelew, 1998</w:t>
              </w:r>
            </w:hyperlink>
            <w:r w:rsidRPr="00D61F73">
              <w:rPr>
                <w:rFonts w:ascii="Arial" w:hAnsi="Arial" w:cs="Arial"/>
              </w:rPr>
              <w:t>) (</w:t>
            </w:r>
            <w:hyperlink w:anchor="Hasenbring" w:history="1">
              <w:r w:rsidRPr="00D61F73">
                <w:rPr>
                  <w:rStyle w:val="Hyperlink"/>
                  <w:rFonts w:ascii="Arial" w:hAnsi="Arial" w:cs="Arial"/>
                </w:rPr>
                <w:t>Hasenbring, 1999</w:t>
              </w:r>
            </w:hyperlink>
            <w:r w:rsidRPr="00D61F73">
              <w:rPr>
                <w:rFonts w:ascii="Arial" w:hAnsi="Arial" w:cs="Arial"/>
              </w:rPr>
              <w:t>) (</w:t>
            </w:r>
            <w:hyperlink w:anchor="BlueCrossBlueShield98" w:history="1">
              <w:r w:rsidRPr="00D61F73">
                <w:rPr>
                  <w:rStyle w:val="Hyperlink"/>
                  <w:rFonts w:ascii="Arial" w:hAnsi="Arial" w:cs="Arial"/>
                </w:rPr>
                <w:t>Dursun, 2001</w:t>
              </w:r>
            </w:hyperlink>
            <w:r w:rsidRPr="00D61F73">
              <w:rPr>
                <w:rFonts w:ascii="Arial" w:hAnsi="Arial" w:cs="Arial"/>
              </w:rPr>
              <w:t>) (</w:t>
            </w:r>
            <w:hyperlink w:anchor="BlueCrossBlueShield98" w:history="1">
              <w:r w:rsidRPr="00D61F73">
                <w:rPr>
                  <w:rStyle w:val="Hyperlink"/>
                  <w:rFonts w:ascii="Arial" w:hAnsi="Arial" w:cs="Arial"/>
                </w:rPr>
                <w:t>van Santen, 2002</w:t>
              </w:r>
            </w:hyperlink>
            <w:r w:rsidRPr="00D61F73">
              <w:rPr>
                <w:rFonts w:ascii="Arial" w:hAnsi="Arial" w:cs="Arial"/>
              </w:rPr>
              <w:t>) (</w:t>
            </w:r>
            <w:hyperlink w:anchor="BlueCrossBlueShield98" w:history="1">
              <w:r w:rsidRPr="00D61F73">
                <w:rPr>
                  <w:rStyle w:val="Hyperlink"/>
                  <w:rFonts w:ascii="Arial" w:hAnsi="Arial" w:cs="Arial"/>
                </w:rPr>
                <w:t>Astin, 2002</w:t>
              </w:r>
            </w:hyperlink>
            <w:r w:rsidRPr="00D61F73">
              <w:rPr>
                <w:rFonts w:ascii="Arial" w:hAnsi="Arial" w:cs="Arial"/>
              </w:rPr>
              <w:t>) (</w:t>
            </w:r>
            <w:hyperlink w:anchor="Colorado2" w:history="1">
              <w:r w:rsidRPr="00D61F73">
                <w:rPr>
                  <w:rStyle w:val="Hyperlink"/>
                  <w:rFonts w:ascii="Arial" w:hAnsi="Arial" w:cs="Arial"/>
                </w:rPr>
                <w:t>State, 2002</w:t>
              </w:r>
            </w:hyperlink>
            <w:r w:rsidRPr="00D61F73">
              <w:rPr>
                <w:rFonts w:ascii="Arial" w:hAnsi="Arial" w:cs="Arial"/>
              </w:rPr>
              <w:t>) (</w:t>
            </w:r>
            <w:hyperlink w:anchor="BlueCrossBlueShield98" w:history="1">
              <w:r w:rsidRPr="00D61F73">
                <w:rPr>
                  <w:rStyle w:val="Hyperlink"/>
                  <w:rFonts w:ascii="Arial" w:hAnsi="Arial" w:cs="Arial"/>
                </w:rPr>
                <w:t>BlueCross BlueShield, 2004</w:t>
              </w:r>
            </w:hyperlink>
            <w:r w:rsidRPr="00D61F73">
              <w:rPr>
                <w:rFonts w:ascii="Arial" w:hAnsi="Arial" w:cs="Arial"/>
              </w:rPr>
              <w:t>) This recent report on 11 chronic whiplash patients found that, after 4 weeks of myofeedback training, there was a trend for decreased disability in 36% of the patients. The authors recommended a randomized-controlled trial to further explore the effects of myofeedback training. (</w:t>
            </w:r>
            <w:hyperlink w:anchor="Voerman" w:history="1">
              <w:r w:rsidRPr="00D61F73">
                <w:rPr>
                  <w:rStyle w:val="Hyperlink"/>
                  <w:rFonts w:ascii="Arial" w:hAnsi="Arial" w:cs="Arial"/>
                </w:rPr>
                <w:t>Voerman, 2006</w:t>
              </w:r>
            </w:hyperlink>
            <w:r w:rsidRPr="00D61F73">
              <w:rPr>
                <w:rFonts w:ascii="Arial" w:hAnsi="Arial" w:cs="Arial"/>
              </w:rPr>
              <w:t xml:space="preserve">) Functional MRI has been proposed as a method to control brain activation of pain. See </w:t>
            </w:r>
            <w:hyperlink w:anchor="Functionalimagingofbrainresponsestopain" w:history="1">
              <w:r w:rsidRPr="00D61F73">
                <w:rPr>
                  <w:rStyle w:val="Hyperlink"/>
                  <w:rFonts w:ascii="Arial" w:hAnsi="Arial" w:cs="Arial"/>
                </w:rPr>
                <w:t>Functional imaging of brain responses to pain</w:t>
              </w:r>
            </w:hyperlink>
            <w:r w:rsidRPr="00D61F73">
              <w:rPr>
                <w:rFonts w:ascii="Arial" w:hAnsi="Arial" w:cs="Arial"/>
              </w:rPr>
              <w:t>.</w:t>
            </w:r>
          </w:p>
          <w:p w14:paraId="2EE65840" w14:textId="77777777" w:rsidR="008D0565" w:rsidRPr="00D61F73" w:rsidRDefault="008D0565" w:rsidP="00D61F73">
            <w:pPr>
              <w:rPr>
                <w:rFonts w:ascii="Arial" w:hAnsi="Arial" w:cs="Arial"/>
                <w:b/>
                <w:bCs/>
              </w:rPr>
            </w:pPr>
            <w:r w:rsidRPr="00D61F73">
              <w:rPr>
                <w:rFonts w:ascii="Arial" w:hAnsi="Arial" w:cs="Arial"/>
                <w:b/>
                <w:bCs/>
              </w:rPr>
              <w:t>O</w:t>
            </w:r>
            <w:bookmarkStart w:id="108" w:name="ODGCognitiveBehavioralTherapy"/>
            <w:bookmarkEnd w:id="108"/>
            <w:r w:rsidRPr="00D61F73">
              <w:rPr>
                <w:rFonts w:ascii="Arial" w:hAnsi="Arial" w:cs="Arial"/>
                <w:b/>
                <w:bCs/>
              </w:rPr>
              <w:t>DG biofeedback therapy guidelines:</w:t>
            </w:r>
          </w:p>
          <w:p w14:paraId="55D45981" w14:textId="77777777" w:rsidR="008D0565" w:rsidRPr="00D61F73" w:rsidRDefault="008D0565" w:rsidP="00D61F73">
            <w:pPr>
              <w:rPr>
                <w:rFonts w:ascii="Arial" w:hAnsi="Arial" w:cs="Arial"/>
              </w:rPr>
            </w:pPr>
            <w:r w:rsidRPr="00D61F73">
              <w:rPr>
                <w:rFonts w:ascii="Arial" w:hAnsi="Arial" w:cs="Arial"/>
              </w:rPr>
              <w:t xml:space="preserve">Screen for patients with risk factors for </w:t>
            </w:r>
            <w:r w:rsidR="00584787" w:rsidRPr="00D61F73">
              <w:rPr>
                <w:rFonts w:ascii="Arial" w:hAnsi="Arial" w:cs="Arial"/>
              </w:rPr>
              <w:t>delayed recovery</w:t>
            </w:r>
            <w:r w:rsidRPr="00D61F73">
              <w:rPr>
                <w:rFonts w:ascii="Arial" w:hAnsi="Arial" w:cs="Arial"/>
              </w:rPr>
              <w:t>, as well as motivation to comply with a treatment regimen that requires self-discipline.</w:t>
            </w:r>
          </w:p>
          <w:p w14:paraId="4E7A83ED" w14:textId="77777777" w:rsidR="008D0565" w:rsidRPr="00D61F73" w:rsidRDefault="008D0565" w:rsidP="00D61F73">
            <w:pPr>
              <w:rPr>
                <w:rFonts w:ascii="Arial" w:hAnsi="Arial" w:cs="Arial"/>
              </w:rPr>
            </w:pPr>
            <w:r w:rsidRPr="00D61F73">
              <w:rPr>
                <w:rFonts w:ascii="Arial" w:hAnsi="Arial" w:cs="Arial"/>
              </w:rPr>
              <w:t xml:space="preserve">Initial therapy for these “at risk” patients should be </w:t>
            </w:r>
            <w:hyperlink w:anchor="Physicaltherapy" w:history="1">
              <w:r w:rsidRPr="00D61F73">
                <w:rPr>
                  <w:rStyle w:val="Hyperlink"/>
                  <w:rFonts w:ascii="Arial" w:hAnsi="Arial" w:cs="Arial"/>
                </w:rPr>
                <w:t>physical therapy</w:t>
              </w:r>
            </w:hyperlink>
            <w:r w:rsidRPr="00D61F73">
              <w:rPr>
                <w:rFonts w:ascii="Arial" w:hAnsi="Arial" w:cs="Arial"/>
              </w:rPr>
              <w:t xml:space="preserve"> </w:t>
            </w:r>
            <w:hyperlink w:anchor="Exercise" w:history="1">
              <w:r w:rsidRPr="00D61F73">
                <w:rPr>
                  <w:rStyle w:val="Hyperlink"/>
                  <w:rFonts w:ascii="Arial" w:hAnsi="Arial" w:cs="Arial"/>
                </w:rPr>
                <w:t>exercise</w:t>
              </w:r>
            </w:hyperlink>
            <w:r w:rsidRPr="00D61F73">
              <w:rPr>
                <w:rFonts w:ascii="Arial" w:hAnsi="Arial" w:cs="Arial"/>
              </w:rPr>
              <w:t xml:space="preserve"> instruction, using a cognitive motivational approach to PT.</w:t>
            </w:r>
          </w:p>
          <w:p w14:paraId="4D2401AD" w14:textId="77777777" w:rsidR="008D0565" w:rsidRPr="00D61F73" w:rsidRDefault="008D0565" w:rsidP="00D61F73">
            <w:pPr>
              <w:rPr>
                <w:rFonts w:ascii="Arial" w:hAnsi="Arial" w:cs="Arial"/>
              </w:rPr>
            </w:pPr>
            <w:r w:rsidRPr="00D61F73">
              <w:rPr>
                <w:rFonts w:ascii="Arial" w:hAnsi="Arial" w:cs="Arial"/>
              </w:rPr>
              <w:t>Possibly consider biofeedback referral in conjunction with CBT after 4 weeks:</w:t>
            </w:r>
          </w:p>
          <w:p w14:paraId="796116DF" w14:textId="77777777" w:rsidR="008D0565" w:rsidRPr="00D61F73" w:rsidRDefault="008D0565" w:rsidP="00D61F73">
            <w:pPr>
              <w:rPr>
                <w:rFonts w:ascii="Arial" w:hAnsi="Arial" w:cs="Arial"/>
              </w:rPr>
            </w:pPr>
            <w:r w:rsidRPr="00D61F73">
              <w:rPr>
                <w:rFonts w:ascii="Arial" w:hAnsi="Arial" w:cs="Arial"/>
              </w:rPr>
              <w:t>- Initial trial of 3-4 psychotherapy visits over 2 weeks</w:t>
            </w:r>
          </w:p>
          <w:p w14:paraId="1CB75EBA" w14:textId="77777777" w:rsidR="008D0565" w:rsidRPr="00D61F73" w:rsidRDefault="008D0565" w:rsidP="00D61F73">
            <w:pPr>
              <w:rPr>
                <w:rFonts w:ascii="Arial" w:hAnsi="Arial" w:cs="Arial"/>
              </w:rPr>
            </w:pPr>
            <w:r w:rsidRPr="00D61F73">
              <w:rPr>
                <w:rFonts w:ascii="Arial" w:hAnsi="Arial" w:cs="Arial"/>
              </w:rPr>
              <w:t xml:space="preserve">- With evidence of objective </w:t>
            </w:r>
            <w:hyperlink w:anchor="Functionalimprovementmeasures" w:history="1">
              <w:r w:rsidRPr="00D61F73">
                <w:rPr>
                  <w:rStyle w:val="Hyperlink"/>
                  <w:rFonts w:ascii="Arial" w:hAnsi="Arial" w:cs="Arial"/>
                </w:rPr>
                <w:t>functional improvement</w:t>
              </w:r>
            </w:hyperlink>
            <w:r w:rsidRPr="00D61F73">
              <w:rPr>
                <w:rFonts w:ascii="Arial" w:hAnsi="Arial" w:cs="Arial"/>
              </w:rPr>
              <w:t>, total of up to 6-10 visits over 5-6 weeks (individual sessions)</w:t>
            </w:r>
          </w:p>
          <w:p w14:paraId="41B9C6D5" w14:textId="77777777" w:rsidR="008D0565" w:rsidRPr="00D61F73" w:rsidRDefault="008D0565" w:rsidP="00D61F73">
            <w:pPr>
              <w:tabs>
                <w:tab w:val="left" w:pos="720"/>
                <w:tab w:val="left" w:pos="1440"/>
                <w:tab w:val="left" w:pos="2160"/>
                <w:tab w:val="left" w:pos="2880"/>
                <w:tab w:val="left" w:pos="3600"/>
                <w:tab w:val="left" w:pos="4320"/>
                <w:tab w:val="left" w:pos="5040"/>
                <w:tab w:val="left" w:pos="5760"/>
                <w:tab w:val="left" w:pos="6480"/>
              </w:tabs>
              <w:rPr>
                <w:rFonts w:ascii="Arial" w:hAnsi="Arial" w:cs="Arial"/>
              </w:rPr>
            </w:pPr>
            <w:r w:rsidRPr="00D61F73">
              <w:rPr>
                <w:rFonts w:ascii="Arial" w:hAnsi="Arial" w:cs="Arial"/>
              </w:rPr>
              <w:t>- Patients may continue biofeedback exercises at home</w:t>
            </w:r>
          </w:p>
        </w:tc>
      </w:tr>
      <w:tr w:rsidR="008D0565" w:rsidRPr="00D61F73" w14:paraId="0D830165" w14:textId="77777777" w:rsidTr="004A2158">
        <w:tc>
          <w:tcPr>
            <w:tcW w:w="1086" w:type="pct"/>
            <w:shd w:val="clear" w:color="auto" w:fill="auto"/>
          </w:tcPr>
          <w:p w14:paraId="1CD4CF2E"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lastRenderedPageBreak/>
              <w:t>B</w:t>
            </w:r>
            <w:bookmarkStart w:id="109" w:name="Biopsychosocialmodelofchronicpain"/>
            <w:bookmarkEnd w:id="109"/>
            <w:r w:rsidRPr="00D61F73">
              <w:rPr>
                <w:rFonts w:ascii="Arial" w:hAnsi="Arial" w:cs="Arial"/>
              </w:rPr>
              <w:t>iopsychosocial model of chronic pain</w:t>
            </w:r>
            <w:r w:rsidR="00A309D8" w:rsidRPr="00D61F73">
              <w:rPr>
                <w:rFonts w:ascii="Arial" w:hAnsi="Arial" w:cs="Arial"/>
              </w:rPr>
              <w:t xml:space="preserve"> </w:t>
            </w:r>
          </w:p>
        </w:tc>
        <w:tc>
          <w:tcPr>
            <w:tcW w:w="3914" w:type="pct"/>
            <w:shd w:val="clear" w:color="auto" w:fill="auto"/>
          </w:tcPr>
          <w:p w14:paraId="2B1CDE25" w14:textId="134CFEE1" w:rsidR="008D0565" w:rsidRPr="00D61F73" w:rsidRDefault="00235354" w:rsidP="00D61F73">
            <w:pPr>
              <w:rPr>
                <w:rFonts w:ascii="Arial" w:hAnsi="Arial" w:cs="Arial"/>
              </w:rPr>
            </w:pPr>
            <w:r w:rsidRPr="00D61F73">
              <w:rPr>
                <w:rFonts w:ascii="Arial" w:hAnsi="Arial" w:cs="Arial"/>
              </w:rPr>
              <w:t>See</w:t>
            </w:r>
            <w:r w:rsidR="0039303C" w:rsidRPr="00842952">
              <w:rPr>
                <w:rFonts w:ascii="Arial" w:hAnsi="Arial" w:cs="Arial"/>
              </w:rPr>
              <w:t xml:space="preserve"> </w:t>
            </w:r>
            <w:r w:rsidR="00BF4FFA" w:rsidRPr="00842952">
              <w:rPr>
                <w:rFonts w:ascii="Arial" w:hAnsi="Arial" w:cs="Arial"/>
              </w:rPr>
              <w:t>I</w:t>
            </w:r>
            <w:r w:rsidR="0039303C" w:rsidRPr="00842952">
              <w:rPr>
                <w:rFonts w:ascii="Arial" w:hAnsi="Arial" w:cs="Arial"/>
              </w:rPr>
              <w:t xml:space="preserve">ntroduction to the MTUS Chronic Pain </w:t>
            </w:r>
            <w:r w:rsidR="00B70636" w:rsidRPr="00842952">
              <w:rPr>
                <w:rFonts w:ascii="Arial" w:hAnsi="Arial" w:cs="Arial"/>
              </w:rPr>
              <w:t>Guidelines</w:t>
            </w:r>
            <w:r w:rsidR="0039303C" w:rsidRPr="00D61F73">
              <w:rPr>
                <w:rFonts w:ascii="Arial" w:hAnsi="Arial" w:cs="Arial"/>
              </w:rPr>
              <w:t xml:space="preserve"> for a definition and detailed description. </w:t>
            </w:r>
            <w:r w:rsidR="008D0565" w:rsidRPr="00842952">
              <w:rPr>
                <w:rFonts w:ascii="Arial" w:hAnsi="Arial" w:cs="Arial"/>
              </w:rPr>
              <w:t>Chronic pain programs</w:t>
            </w:r>
            <w:r w:rsidR="008D0565" w:rsidRPr="00D61F73">
              <w:rPr>
                <w:rFonts w:ascii="Arial" w:hAnsi="Arial" w:cs="Arial"/>
              </w:rPr>
              <w:t xml:space="preserve"> (</w:t>
            </w:r>
            <w:r w:rsidR="0039303C" w:rsidRPr="00D61F73">
              <w:rPr>
                <w:rFonts w:ascii="Arial" w:hAnsi="Arial" w:cs="Arial"/>
              </w:rPr>
              <w:t xml:space="preserve">multidisciplinary pain programs or </w:t>
            </w:r>
            <w:r w:rsidR="008D0565" w:rsidRPr="00D61F73">
              <w:rPr>
                <w:rFonts w:ascii="Arial" w:hAnsi="Arial" w:cs="Arial"/>
              </w:rPr>
              <w:t xml:space="preserve">functional restoration programs), are recommended for patients with conditions that put them at risk of </w:t>
            </w:r>
            <w:r w:rsidR="00584787" w:rsidRPr="00D61F73">
              <w:rPr>
                <w:rFonts w:ascii="Arial" w:hAnsi="Arial" w:cs="Arial"/>
              </w:rPr>
              <w:t>delayed recovery</w:t>
            </w:r>
            <w:r w:rsidR="001C7728" w:rsidRPr="00D61F73">
              <w:rPr>
                <w:rFonts w:ascii="Arial" w:hAnsi="Arial" w:cs="Arial"/>
              </w:rPr>
              <w:t xml:space="preserve"> where there is access to programs with proven successful outcomes.</w:t>
            </w:r>
            <w:r w:rsidR="008D0565" w:rsidRPr="00D61F73">
              <w:rPr>
                <w:rFonts w:ascii="Arial" w:hAnsi="Arial" w:cs="Arial"/>
              </w:rPr>
              <w:t xml:space="preserve"> </w:t>
            </w:r>
          </w:p>
        </w:tc>
      </w:tr>
      <w:tr w:rsidR="008D0565" w:rsidRPr="00D61F73" w14:paraId="738B5950" w14:textId="77777777" w:rsidTr="004A2158">
        <w:tc>
          <w:tcPr>
            <w:tcW w:w="1086" w:type="pct"/>
            <w:shd w:val="clear" w:color="auto" w:fill="auto"/>
          </w:tcPr>
          <w:p w14:paraId="75D92BE5"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10" w:name="Bisphosphonates"/>
            <w:bookmarkEnd w:id="110"/>
            <w:r w:rsidRPr="00D61F73">
              <w:rPr>
                <w:rFonts w:ascii="Arial" w:hAnsi="Arial" w:cs="Arial"/>
              </w:rPr>
              <w:t>isphosphonates</w:t>
            </w:r>
          </w:p>
        </w:tc>
        <w:tc>
          <w:tcPr>
            <w:tcW w:w="3914" w:type="pct"/>
            <w:shd w:val="clear" w:color="auto" w:fill="auto"/>
          </w:tcPr>
          <w:p w14:paraId="2775F6D7" w14:textId="77777777" w:rsidR="008D0565" w:rsidRPr="00D61F73" w:rsidRDefault="008D0565" w:rsidP="00D61F73">
            <w:pPr>
              <w:rPr>
                <w:rFonts w:ascii="Arial" w:hAnsi="Arial" w:cs="Arial"/>
              </w:rPr>
            </w:pPr>
            <w:r w:rsidRPr="00D61F73">
              <w:rPr>
                <w:rFonts w:ascii="Arial" w:eastAsia="Arial Unicode MS" w:hAnsi="Arial" w:cs="Arial"/>
                <w:lang w:val="en"/>
              </w:rPr>
              <w:t>Recommend treatment of bone resorption with bisphosphonate-type compounds as an option for patients with CRPS Type I. Not recommended for other chronic pain conditions. Signif</w:t>
            </w:r>
            <w:r w:rsidR="001C7728" w:rsidRPr="00D61F73">
              <w:rPr>
                <w:rFonts w:ascii="Arial" w:eastAsia="Arial Unicode MS" w:hAnsi="Arial" w:cs="Arial"/>
                <w:lang w:val="en"/>
              </w:rPr>
              <w:t>i</w:t>
            </w:r>
            <w:r w:rsidRPr="00D61F73">
              <w:rPr>
                <w:rFonts w:ascii="Arial" w:eastAsia="Arial Unicode MS" w:hAnsi="Arial" w:cs="Arial"/>
                <w:lang w:val="en"/>
              </w:rPr>
              <w:t>cant improvement has been found in limited studies of intravenous clodronate and intravenous alendronate. Alendronate (Fosamax®) given in oral doses of 40 mg a day (over an 8</w:t>
            </w:r>
            <w:r w:rsidR="001C7728" w:rsidRPr="00D61F73">
              <w:rPr>
                <w:rFonts w:ascii="Arial" w:eastAsia="Arial Unicode MS" w:hAnsi="Arial" w:cs="Arial"/>
                <w:lang w:val="en"/>
              </w:rPr>
              <w:t>-</w:t>
            </w:r>
            <w:r w:rsidRPr="00D61F73">
              <w:rPr>
                <w:rFonts w:ascii="Arial" w:eastAsia="Arial Unicode MS" w:hAnsi="Arial" w:cs="Arial"/>
                <w:lang w:val="en"/>
              </w:rPr>
              <w:t>week period) produced improvements in pain, pressure tolerance and joint moblity. The effects may potentially involve avenues other than inhibition of bone resorption. (</w:t>
            </w:r>
            <w:hyperlink w:anchor="Manicourt" w:history="1">
              <w:r w:rsidRPr="00D61F73">
                <w:rPr>
                  <w:rStyle w:val="Hyperlink"/>
                  <w:rFonts w:ascii="Arial" w:eastAsia="Arial Unicode MS" w:hAnsi="Arial" w:cs="Arial"/>
                  <w:lang w:val="en"/>
                </w:rPr>
                <w:t>Manicourt, 2004</w:t>
              </w:r>
            </w:hyperlink>
            <w:r w:rsidRPr="00D61F73">
              <w:rPr>
                <w:rFonts w:ascii="Arial" w:eastAsia="Arial Unicode MS" w:hAnsi="Arial" w:cs="Arial"/>
                <w:lang w:val="en"/>
              </w:rPr>
              <w:t>) However, use has been associated with complications including osteonecrosis of the jaw and possible increased risk of long bone fractures including the femur. (</w:t>
            </w:r>
            <w:hyperlink w:anchor="Mehrotra2006" w:history="1">
              <w:r w:rsidRPr="00D61F73">
                <w:rPr>
                  <w:rStyle w:val="Hyperlink"/>
                  <w:rFonts w:ascii="Arial" w:eastAsia="Arial Unicode MS" w:hAnsi="Arial" w:cs="Arial"/>
                  <w:lang w:val="en"/>
                </w:rPr>
                <w:t>Mehrotra, 2006</w:t>
              </w:r>
            </w:hyperlink>
            <w:r w:rsidRPr="00D61F73">
              <w:rPr>
                <w:rFonts w:ascii="Arial" w:eastAsia="Arial Unicode MS" w:hAnsi="Arial" w:cs="Arial"/>
                <w:lang w:val="en"/>
              </w:rPr>
              <w:t xml:space="preserve">) </w:t>
            </w:r>
            <w:r w:rsidRPr="00D61F73">
              <w:rPr>
                <w:rFonts w:ascii="Arial" w:hAnsi="Arial" w:cs="Arial"/>
              </w:rPr>
              <w:t xml:space="preserve">See also </w:t>
            </w:r>
            <w:hyperlink w:anchor="CRPSmedications" w:history="1">
              <w:r w:rsidRPr="00D61F73">
                <w:rPr>
                  <w:rStyle w:val="Hyperlink"/>
                  <w:rFonts w:ascii="Arial" w:hAnsi="Arial" w:cs="Arial"/>
                </w:rPr>
                <w:t>CRPS, medications</w:t>
              </w:r>
            </w:hyperlink>
            <w:r w:rsidRPr="00D61F73">
              <w:rPr>
                <w:rFonts w:ascii="Arial" w:hAnsi="Arial" w:cs="Arial"/>
              </w:rPr>
              <w:t>. Bisphosphonates are a class of drugs that inhibit osteoclast action and the resorption of bone. Alendronate (Fosamax®) is in this class.</w:t>
            </w:r>
          </w:p>
        </w:tc>
      </w:tr>
      <w:tr w:rsidR="008D0565" w:rsidRPr="00D61F73" w14:paraId="3FCADE17" w14:textId="77777777" w:rsidTr="004A2158">
        <w:trPr>
          <w:cantSplit/>
        </w:trPr>
        <w:tc>
          <w:tcPr>
            <w:tcW w:w="1086" w:type="pct"/>
            <w:shd w:val="clear" w:color="auto" w:fill="auto"/>
          </w:tcPr>
          <w:p w14:paraId="43EE4FA4"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lastRenderedPageBreak/>
              <w:t>B</w:t>
            </w:r>
            <w:bookmarkStart w:id="111" w:name="Bonescan"/>
            <w:bookmarkEnd w:id="111"/>
            <w:r w:rsidRPr="00D61F73">
              <w:rPr>
                <w:rFonts w:ascii="Arial" w:hAnsi="Arial" w:cs="Arial"/>
              </w:rPr>
              <w:t>one scan (for CRPS)</w:t>
            </w:r>
          </w:p>
        </w:tc>
        <w:tc>
          <w:tcPr>
            <w:tcW w:w="3914" w:type="pct"/>
            <w:shd w:val="clear" w:color="auto" w:fill="auto"/>
          </w:tcPr>
          <w:p w14:paraId="287230E7" w14:textId="77777777" w:rsidR="008D0565" w:rsidRPr="00D61F73" w:rsidRDefault="008D0565" w:rsidP="00D61F73">
            <w:pPr>
              <w:rPr>
                <w:rFonts w:ascii="Arial" w:eastAsia="Arial Unicode MS" w:hAnsi="Arial" w:cs="Arial"/>
                <w:lang w:val="en"/>
              </w:rPr>
            </w:pPr>
            <w:r w:rsidRPr="00D61F73">
              <w:rPr>
                <w:rFonts w:ascii="Arial" w:eastAsia="Arial Unicode MS" w:hAnsi="Arial" w:cs="Arial"/>
                <w:lang w:val="en"/>
              </w:rPr>
              <w:t xml:space="preserve">See </w:t>
            </w:r>
            <w:hyperlink w:anchor="CRPSdiagnostictests" w:history="1">
              <w:r w:rsidRPr="00D61F73">
                <w:rPr>
                  <w:rStyle w:val="Hyperlink"/>
                  <w:rFonts w:ascii="Arial" w:eastAsia="Arial Unicode MS" w:hAnsi="Arial" w:cs="Arial"/>
                  <w:lang w:val="en"/>
                </w:rPr>
                <w:t>CRPS, diagnostic tests</w:t>
              </w:r>
            </w:hyperlink>
            <w:r w:rsidRPr="00D61F73">
              <w:rPr>
                <w:rFonts w:ascii="Arial" w:eastAsia="Arial Unicode MS" w:hAnsi="Arial" w:cs="Arial"/>
                <w:lang w:val="en"/>
              </w:rPr>
              <w:t>.</w:t>
            </w:r>
          </w:p>
        </w:tc>
      </w:tr>
      <w:tr w:rsidR="008D0565" w:rsidRPr="00D61F73" w14:paraId="0DA4E83C" w14:textId="77777777" w:rsidTr="004A2158">
        <w:tc>
          <w:tcPr>
            <w:tcW w:w="1086" w:type="pct"/>
            <w:shd w:val="clear" w:color="auto" w:fill="auto"/>
          </w:tcPr>
          <w:p w14:paraId="64B6FFD4"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12" w:name="BoswelliaSerrataResin"/>
            <w:bookmarkEnd w:id="112"/>
            <w:r w:rsidRPr="00D61F73">
              <w:rPr>
                <w:rFonts w:ascii="Arial" w:hAnsi="Arial" w:cs="Arial"/>
              </w:rPr>
              <w:t>oswellia Serrata Resin (Frankincense)</w:t>
            </w:r>
          </w:p>
        </w:tc>
        <w:tc>
          <w:tcPr>
            <w:tcW w:w="3914" w:type="pct"/>
            <w:shd w:val="clear" w:color="auto" w:fill="auto"/>
          </w:tcPr>
          <w:p w14:paraId="5B81624C" w14:textId="77777777" w:rsidR="008D0565" w:rsidRPr="00D61F73" w:rsidRDefault="008D0565" w:rsidP="00D61F73">
            <w:pPr>
              <w:rPr>
                <w:rFonts w:ascii="Arial" w:hAnsi="Arial" w:cs="Arial"/>
              </w:rPr>
            </w:pPr>
            <w:r w:rsidRPr="00D61F73">
              <w:rPr>
                <w:rFonts w:ascii="Arial" w:hAnsi="Arial" w:cs="Arial"/>
              </w:rPr>
              <w:t>Recommended as an option for knee osteoarthritis, but more studies are needed to validate early results. A statistically significant improvement in arthritis of the knee was shown after 8 weeks of treatment with 333 mg B. serrata extract taken three times a day. The treatment improved function, but radiographically there was no change in the affected joints. (</w:t>
            </w:r>
            <w:hyperlink w:anchor="Maroon" w:history="1">
              <w:r w:rsidRPr="00D61F73">
                <w:rPr>
                  <w:rStyle w:val="Hyperlink"/>
                  <w:rFonts w:ascii="Arial" w:hAnsi="Arial" w:cs="Arial"/>
                </w:rPr>
                <w:t>Maroon, 2006</w:t>
              </w:r>
            </w:hyperlink>
            <w:r w:rsidRPr="00D61F73">
              <w:rPr>
                <w:rFonts w:ascii="Arial" w:hAnsi="Arial" w:cs="Arial"/>
              </w:rPr>
              <w:t>) This RCT concluded that 5-Loxin (a proprietary version of Boswellia serrata extract enriched with 30% AKBA) reduces pain and improves physical functioning significantly in patients with osteoarthritis of the knee, and it is safe for human consumption. (</w:t>
            </w:r>
            <w:hyperlink w:anchor="Sengupta" w:history="1">
              <w:r w:rsidRPr="00D61F73">
                <w:rPr>
                  <w:rStyle w:val="Hyperlink"/>
                  <w:rFonts w:ascii="Arial" w:hAnsi="Arial" w:cs="Arial"/>
                </w:rPr>
                <w:t>Sengupta, 2008</w:t>
              </w:r>
            </w:hyperlink>
            <w:r w:rsidRPr="00D61F73">
              <w:rPr>
                <w:rFonts w:ascii="Arial" w:hAnsi="Arial" w:cs="Arial"/>
              </w:rPr>
              <w:t>)</w:t>
            </w:r>
          </w:p>
        </w:tc>
      </w:tr>
      <w:tr w:rsidR="008D0565" w:rsidRPr="00D61F73" w14:paraId="3D467644" w14:textId="77777777" w:rsidTr="004A2158">
        <w:tc>
          <w:tcPr>
            <w:tcW w:w="1086" w:type="pct"/>
            <w:shd w:val="clear" w:color="auto" w:fill="auto"/>
          </w:tcPr>
          <w:p w14:paraId="0A6E0B7C"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B</w:t>
            </w:r>
            <w:bookmarkStart w:id="113" w:name="Botox"/>
            <w:bookmarkEnd w:id="113"/>
            <w:r w:rsidRPr="00D61F73">
              <w:rPr>
                <w:rFonts w:ascii="Arial" w:hAnsi="Arial" w:cs="Arial"/>
              </w:rPr>
              <w:t>otox</w:t>
            </w:r>
          </w:p>
        </w:tc>
        <w:tc>
          <w:tcPr>
            <w:tcW w:w="3914" w:type="pct"/>
            <w:shd w:val="clear" w:color="auto" w:fill="auto"/>
          </w:tcPr>
          <w:p w14:paraId="3ABB44AD" w14:textId="77777777" w:rsidR="008D0565" w:rsidRPr="00D61F73" w:rsidRDefault="008D0565" w:rsidP="00D61F73">
            <w:pPr>
              <w:rPr>
                <w:rFonts w:ascii="Arial" w:hAnsi="Arial" w:cs="Arial"/>
              </w:rPr>
            </w:pPr>
            <w:r w:rsidRPr="00D61F73">
              <w:rPr>
                <w:rFonts w:ascii="Arial" w:hAnsi="Arial" w:cs="Arial"/>
              </w:rPr>
              <w:t xml:space="preserve">See </w:t>
            </w:r>
            <w:hyperlink w:anchor="Botulinumtoxin" w:history="1">
              <w:r w:rsidRPr="00D61F73">
                <w:rPr>
                  <w:rStyle w:val="Hyperlink"/>
                  <w:rFonts w:ascii="Arial" w:hAnsi="Arial" w:cs="Arial"/>
                </w:rPr>
                <w:t>Botulinum toxin</w:t>
              </w:r>
            </w:hyperlink>
            <w:r w:rsidRPr="00D61F73">
              <w:rPr>
                <w:rFonts w:ascii="Arial" w:hAnsi="Arial" w:cs="Arial"/>
              </w:rPr>
              <w:t>.</w:t>
            </w:r>
          </w:p>
        </w:tc>
      </w:tr>
    </w:tbl>
    <w:tbl>
      <w:tblPr>
        <w:tblpPr w:leftFromText="187" w:rightFromText="187"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71"/>
        <w:gridCol w:w="8183"/>
      </w:tblGrid>
      <w:tr w:rsidR="00E648FC" w:rsidRPr="00D61F73" w14:paraId="04AB29AA" w14:textId="77777777" w:rsidTr="00C939FA">
        <w:trPr>
          <w:trHeight w:val="5303"/>
        </w:trPr>
        <w:tc>
          <w:tcPr>
            <w:tcW w:w="1086" w:type="pct"/>
          </w:tcPr>
          <w:p w14:paraId="5333EB3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B</w:t>
            </w:r>
            <w:bookmarkStart w:id="114" w:name="Botulinumtoxin"/>
            <w:bookmarkEnd w:id="114"/>
            <w:r w:rsidRPr="00D61F73">
              <w:rPr>
                <w:rFonts w:ascii="Arial" w:hAnsi="Arial" w:cs="Arial"/>
              </w:rPr>
              <w:t xml:space="preserve">otulinum toxin (Botox®; Myobloc®) </w:t>
            </w:r>
          </w:p>
        </w:tc>
        <w:tc>
          <w:tcPr>
            <w:tcW w:w="3914" w:type="pct"/>
          </w:tcPr>
          <w:p w14:paraId="09D46984" w14:textId="483AC485" w:rsidR="00E648FC" w:rsidRPr="00D61F73" w:rsidRDefault="00E648FC" w:rsidP="00D61F73">
            <w:pPr>
              <w:rPr>
                <w:rFonts w:ascii="Arial" w:hAnsi="Arial" w:cs="Arial"/>
              </w:rPr>
            </w:pPr>
            <w:r w:rsidRPr="00D61F73">
              <w:rPr>
                <w:rFonts w:ascii="Arial" w:hAnsi="Arial" w:cs="Arial"/>
              </w:rPr>
              <w:t>Not</w:t>
            </w:r>
            <w:r w:rsidR="008D0565" w:rsidRPr="00D61F73">
              <w:rPr>
                <w:rFonts w:ascii="Arial" w:hAnsi="Arial" w:cs="Arial"/>
              </w:rPr>
              <w:t xml:space="preserve"> </w:t>
            </w:r>
            <w:r w:rsidRPr="00D61F73">
              <w:rPr>
                <w:rFonts w:ascii="Arial" w:hAnsi="Arial" w:cs="Arial"/>
              </w:rPr>
              <w:t>recommended for most chronic pain conditions. See more details below</w:t>
            </w:r>
            <w:r w:rsidR="0061527A" w:rsidRPr="00D61F73">
              <w:rPr>
                <w:rFonts w:ascii="Arial" w:hAnsi="Arial" w:cs="Arial"/>
              </w:rPr>
              <w:t xml:space="preserve"> </w:t>
            </w:r>
            <w:r w:rsidR="00AA495C" w:rsidRPr="00D61F73">
              <w:rPr>
                <w:rFonts w:ascii="Arial" w:hAnsi="Arial" w:cs="Arial"/>
              </w:rPr>
              <w:t xml:space="preserve">and refer </w:t>
            </w:r>
            <w:r w:rsidR="00262845" w:rsidRPr="00D61F73">
              <w:rPr>
                <w:rFonts w:ascii="Arial" w:hAnsi="Arial" w:cs="Arial"/>
              </w:rPr>
              <w:t xml:space="preserve">also </w:t>
            </w:r>
            <w:r w:rsidR="00AA495C" w:rsidRPr="00D61F73">
              <w:rPr>
                <w:rFonts w:ascii="Arial" w:hAnsi="Arial" w:cs="Arial"/>
              </w:rPr>
              <w:t xml:space="preserve">to </w:t>
            </w:r>
            <w:hyperlink r:id="rId40" w:anchor="2" w:history="1">
              <w:r w:rsidR="00AA495C" w:rsidRPr="00D61F73">
                <w:rPr>
                  <w:rStyle w:val="Hyperlink"/>
                  <w:rFonts w:ascii="Arial" w:hAnsi="Arial" w:cs="Arial"/>
                </w:rPr>
                <w:t>specific MTUS body chapters</w:t>
              </w:r>
            </w:hyperlink>
            <w:r w:rsidRPr="00D61F73">
              <w:rPr>
                <w:rFonts w:ascii="Arial" w:hAnsi="Arial" w:cs="Arial"/>
              </w:rPr>
              <w:t>.</w:t>
            </w:r>
          </w:p>
          <w:p w14:paraId="34E0A513" w14:textId="77777777" w:rsidR="00E648FC" w:rsidRPr="00D61F73" w:rsidRDefault="00E648FC" w:rsidP="00D61F73">
            <w:pPr>
              <w:rPr>
                <w:rFonts w:ascii="Arial" w:hAnsi="Arial" w:cs="Arial"/>
              </w:rPr>
            </w:pPr>
            <w:r w:rsidRPr="00D61F73">
              <w:rPr>
                <w:rFonts w:ascii="Arial" w:hAnsi="Arial" w:cs="Arial"/>
                <w:i/>
                <w:iCs/>
              </w:rPr>
              <w:t>Not recommended for the following: tension-type headache; fibromyositis; chronic neck pain; myofascial pain syndrome (MPS); &amp; trigger point injections. </w:t>
            </w:r>
            <w:r w:rsidRPr="00D61F73">
              <w:rPr>
                <w:rFonts w:ascii="Arial" w:hAnsi="Arial" w:cs="Arial"/>
              </w:rPr>
              <w:t>Studies have found no statistical support for the use of Botulinum toxin A (BTX-A) for those conditions.</w:t>
            </w:r>
          </w:p>
          <w:p w14:paraId="2929A59E" w14:textId="77777777" w:rsidR="00E648FC" w:rsidRPr="00D61F73" w:rsidRDefault="00E648FC" w:rsidP="00D61F73">
            <w:pPr>
              <w:rPr>
                <w:rFonts w:ascii="Arial" w:hAnsi="Arial" w:cs="Arial"/>
              </w:rPr>
            </w:pPr>
            <w:r w:rsidRPr="00D61F73">
              <w:rPr>
                <w:rFonts w:ascii="Arial" w:hAnsi="Arial" w:cs="Arial"/>
                <w:i/>
                <w:iCs/>
                <w:u w:val="single"/>
              </w:rPr>
              <w:t>Myofascial pain syndrome (MPS)</w:t>
            </w:r>
            <w:r w:rsidRPr="00D61F73">
              <w:rPr>
                <w:rFonts w:ascii="Arial" w:hAnsi="Arial" w:cs="Arial"/>
                <w:i/>
                <w:iCs/>
              </w:rPr>
              <w:t>:Not recommended: </w:t>
            </w:r>
            <w:r w:rsidRPr="00D61F73">
              <w:rPr>
                <w:rFonts w:ascii="Arial" w:hAnsi="Arial" w:cs="Arial"/>
              </w:rPr>
              <w:t>No myofascial analgesic pain relief as compared to saline. (</w:t>
            </w:r>
            <w:hyperlink w:anchor="Qerama" w:history="1">
              <w:r w:rsidRPr="00D61F73">
                <w:rPr>
                  <w:rStyle w:val="Hyperlink"/>
                  <w:rFonts w:ascii="Arial" w:hAnsi="Arial" w:cs="Arial"/>
                </w:rPr>
                <w:t>Qerama, 2006</w:t>
              </w:r>
            </w:hyperlink>
            <w:r w:rsidRPr="00D61F73">
              <w:rPr>
                <w:rFonts w:ascii="Arial" w:hAnsi="Arial" w:cs="Arial"/>
              </w:rPr>
              <w:t>) No success as a specific treatment for myofascial cervical pain as compared to saline. (</w:t>
            </w:r>
            <w:hyperlink w:anchor="Ojala" w:history="1">
              <w:r w:rsidRPr="00D61F73">
                <w:rPr>
                  <w:rStyle w:val="Hyperlink"/>
                  <w:rFonts w:ascii="Arial" w:hAnsi="Arial" w:cs="Arial"/>
                </w:rPr>
                <w:t>Ojala, 2006</w:t>
              </w:r>
            </w:hyperlink>
            <w:r w:rsidRPr="00D61F73">
              <w:rPr>
                <w:rFonts w:ascii="Arial" w:hAnsi="Arial" w:cs="Arial"/>
              </w:rPr>
              <w:t>) (</w:t>
            </w:r>
            <w:hyperlink w:anchor="Ferrante" w:history="1">
              <w:r w:rsidRPr="00D61F73">
                <w:rPr>
                  <w:rStyle w:val="Hyperlink"/>
                  <w:rFonts w:ascii="Arial" w:hAnsi="Arial" w:cs="Arial"/>
                </w:rPr>
                <w:t>Ferrante, 2005</w:t>
              </w:r>
            </w:hyperlink>
            <w:r w:rsidRPr="00D61F73">
              <w:rPr>
                <w:rFonts w:ascii="Arial" w:hAnsi="Arial" w:cs="Arial"/>
              </w:rPr>
              <w:t>) (</w:t>
            </w:r>
            <w:hyperlink w:anchor="Wheeler" w:history="1">
              <w:r w:rsidRPr="00D61F73">
                <w:rPr>
                  <w:rStyle w:val="Hyperlink"/>
                  <w:rFonts w:ascii="Arial" w:hAnsi="Arial" w:cs="Arial"/>
                </w:rPr>
                <w:t>Wheeler, 1998</w:t>
              </w:r>
            </w:hyperlink>
            <w:r w:rsidRPr="00D61F73">
              <w:rPr>
                <w:rFonts w:ascii="Arial" w:hAnsi="Arial" w:cs="Arial"/>
              </w:rPr>
              <w:t>) No success from injection in myofascial trigger points as compared to dry needling or local anesthetic injections. (</w:t>
            </w:r>
            <w:hyperlink w:anchor="Kamanli" w:history="1">
              <w:r w:rsidRPr="00D61F73">
                <w:rPr>
                  <w:rStyle w:val="Hyperlink"/>
                  <w:rFonts w:ascii="Arial" w:hAnsi="Arial" w:cs="Arial"/>
                </w:rPr>
                <w:t>Kamanli, 2005</w:t>
              </w:r>
            </w:hyperlink>
            <w:r w:rsidRPr="00D61F73">
              <w:rPr>
                <w:rFonts w:ascii="Arial" w:hAnsi="Arial" w:cs="Arial"/>
              </w:rPr>
              <w:t>) (</w:t>
            </w:r>
            <w:hyperlink w:anchor="Graboski" w:history="1">
              <w:r w:rsidRPr="00D61F73">
                <w:rPr>
                  <w:rStyle w:val="Hyperlink"/>
                  <w:rFonts w:ascii="Arial" w:hAnsi="Arial" w:cs="Arial"/>
                </w:rPr>
                <w:t>Graboski, 2005</w:t>
              </w:r>
            </w:hyperlink>
            <w:r w:rsidRPr="00D61F73">
              <w:rPr>
                <w:rFonts w:ascii="Arial" w:hAnsi="Arial" w:cs="Arial"/>
              </w:rPr>
              <w:t>). Systematic reviews have stated that current evidence does not support the use of BTX-A trigger point injections for myofascial pain. (</w:t>
            </w:r>
            <w:hyperlink w:anchor="Ho" w:history="1">
              <w:r w:rsidRPr="00D61F73">
                <w:rPr>
                  <w:rStyle w:val="Hyperlink"/>
                  <w:rFonts w:ascii="Arial" w:hAnsi="Arial" w:cs="Arial"/>
                </w:rPr>
                <w:t>Ho, 2006</w:t>
              </w:r>
            </w:hyperlink>
            <w:r w:rsidRPr="00D61F73">
              <w:rPr>
                <w:rFonts w:ascii="Arial" w:hAnsi="Arial" w:cs="Arial"/>
              </w:rPr>
              <w:t>) Or for mechanical neck pain (as compared to saline). (</w:t>
            </w:r>
            <w:hyperlink w:anchor="PelosoCochrane" w:history="1">
              <w:r w:rsidRPr="00D61F73">
                <w:rPr>
                  <w:rStyle w:val="Hyperlink"/>
                  <w:rFonts w:ascii="Arial" w:hAnsi="Arial" w:cs="Arial"/>
                </w:rPr>
                <w:t>Peloso-</w:t>
              </w:r>
              <w:r w:rsidRPr="00D61F73">
                <w:rPr>
                  <w:rStyle w:val="Hyperlink"/>
                  <w:rFonts w:ascii="Arial" w:hAnsi="Arial" w:cs="Arial"/>
                  <w:i/>
                  <w:iCs/>
                </w:rPr>
                <w:t>Cochrane</w:t>
              </w:r>
              <w:r w:rsidRPr="00D61F73">
                <w:rPr>
                  <w:rStyle w:val="Hyperlink"/>
                  <w:rFonts w:ascii="Arial" w:hAnsi="Arial" w:cs="Arial"/>
                </w:rPr>
                <w:t>, 2006</w:t>
              </w:r>
            </w:hyperlink>
            <w:r w:rsidRPr="00D61F73">
              <w:rPr>
                <w:rFonts w:ascii="Arial" w:hAnsi="Arial" w:cs="Arial"/>
              </w:rPr>
              <w:t>) One study found statistical improvement with the use of BTX-A compared to saline. Study patients had at least 10 trigger points and no patient in the study was allowed to take an opioid in the 4 weeks prior to treatment. (</w:t>
            </w:r>
            <w:hyperlink w:anchor="Gobel2006" w:history="1">
              <w:r w:rsidRPr="00D61F73">
                <w:rPr>
                  <w:rStyle w:val="Hyperlink"/>
                  <w:rFonts w:ascii="Arial" w:hAnsi="Arial" w:cs="Arial"/>
                </w:rPr>
                <w:t>Gobel, 2006</w:t>
              </w:r>
            </w:hyperlink>
            <w:r w:rsidRPr="00D61F73">
              <w:rPr>
                <w:rFonts w:ascii="Arial" w:hAnsi="Arial" w:cs="Arial"/>
              </w:rPr>
              <w:t>) Other more recent reviews find inconclusive evidence to support the use of botulinum toxin in the treatment of MPS. (</w:t>
            </w:r>
            <w:hyperlink w:anchor="Soares2014" w:history="1">
              <w:r w:rsidRPr="00D61F73">
                <w:rPr>
                  <w:rStyle w:val="Hyperlink"/>
                  <w:rFonts w:ascii="Arial" w:hAnsi="Arial" w:cs="Arial"/>
                </w:rPr>
                <w:t>Soares </w:t>
              </w:r>
              <w:r w:rsidRPr="00D61F73">
                <w:rPr>
                  <w:rStyle w:val="Hyperlink"/>
                  <w:rFonts w:ascii="Arial" w:hAnsi="Arial" w:cs="Arial"/>
                  <w:i/>
                  <w:iCs/>
                </w:rPr>
                <w:t>Cochrane</w:t>
              </w:r>
              <w:r w:rsidRPr="00D61F73">
                <w:rPr>
                  <w:rStyle w:val="Hyperlink"/>
                  <w:rFonts w:ascii="Arial" w:hAnsi="Arial" w:cs="Arial"/>
                </w:rPr>
                <w:t>, 2014</w:t>
              </w:r>
            </w:hyperlink>
            <w:r w:rsidRPr="00D61F73">
              <w:rPr>
                <w:rFonts w:ascii="Arial" w:hAnsi="Arial" w:cs="Arial"/>
              </w:rPr>
              <w:t>) Contradictory study results regarding the efficacy of Botulinum toxin A in MPS associated with neck and back pain do not allow this treatment to be recommended or rejected. (</w:t>
            </w:r>
            <w:hyperlink w:anchor="Climent2013" w:history="1">
              <w:r w:rsidRPr="00D61F73">
                <w:rPr>
                  <w:rStyle w:val="Hyperlink"/>
                  <w:rFonts w:ascii="Arial" w:hAnsi="Arial" w:cs="Arial"/>
                </w:rPr>
                <w:t>Climent, 2013</w:t>
              </w:r>
            </w:hyperlink>
            <w:r w:rsidRPr="00D61F73">
              <w:rPr>
                <w:rFonts w:ascii="Arial" w:hAnsi="Arial" w:cs="Arial"/>
              </w:rPr>
              <w:t>)</w:t>
            </w:r>
          </w:p>
          <w:p w14:paraId="3DC35E76" w14:textId="09047FA9" w:rsidR="00E648FC" w:rsidRPr="00D61F73" w:rsidRDefault="00E648FC" w:rsidP="00D61F73">
            <w:pPr>
              <w:rPr>
                <w:rFonts w:ascii="Arial" w:hAnsi="Arial" w:cs="Arial"/>
              </w:rPr>
            </w:pPr>
            <w:r w:rsidRPr="00D61F73">
              <w:rPr>
                <w:rFonts w:ascii="Arial" w:hAnsi="Arial" w:cs="Arial"/>
                <w:i/>
                <w:iCs/>
                <w:u w:val="single"/>
              </w:rPr>
              <w:t>Low back pain</w:t>
            </w:r>
            <w:r w:rsidRPr="00D61F73">
              <w:rPr>
                <w:rFonts w:ascii="Arial" w:hAnsi="Arial" w:cs="Arial"/>
                <w:i/>
                <w:iCs/>
              </w:rPr>
              <w:t xml:space="preserve">: </w:t>
            </w:r>
            <w:r w:rsidR="00D06011" w:rsidRPr="00D61F73">
              <w:rPr>
                <w:rFonts w:ascii="Arial" w:hAnsi="Arial" w:cs="Arial"/>
              </w:rPr>
              <w:t>Refer to</w:t>
            </w:r>
            <w:r w:rsidRPr="00D61F73">
              <w:rPr>
                <w:rFonts w:ascii="Arial" w:hAnsi="Arial" w:cs="Arial"/>
              </w:rPr>
              <w:t xml:space="preserve"> the</w:t>
            </w:r>
            <w:r w:rsidR="00031AD5" w:rsidRPr="00D61F73">
              <w:rPr>
                <w:rFonts w:ascii="Arial" w:hAnsi="Arial" w:cs="Arial"/>
              </w:rPr>
              <w:t xml:space="preserve"> </w:t>
            </w:r>
            <w:r w:rsidRPr="001F0CD7">
              <w:rPr>
                <w:rFonts w:ascii="Arial" w:hAnsi="Arial" w:cs="Arial"/>
              </w:rPr>
              <w:t>MTUS Low Back Complaints</w:t>
            </w:r>
            <w:r w:rsidRPr="00D61F73">
              <w:rPr>
                <w:rFonts w:ascii="Arial" w:hAnsi="Arial" w:cs="Arial"/>
              </w:rPr>
              <w:t>.</w:t>
            </w:r>
          </w:p>
          <w:p w14:paraId="00B4832D" w14:textId="77777777" w:rsidR="00761929" w:rsidRDefault="00E648FC" w:rsidP="00D61F73">
            <w:pPr>
              <w:rPr>
                <w:rFonts w:ascii="Arial" w:hAnsi="Arial" w:cs="Arial"/>
              </w:rPr>
            </w:pPr>
            <w:r w:rsidRPr="00D61F73">
              <w:rPr>
                <w:rFonts w:ascii="Arial" w:hAnsi="Arial" w:cs="Arial"/>
                <w:i/>
                <w:iCs/>
                <w:u w:val="single"/>
              </w:rPr>
              <w:t>Cervical dystonia</w:t>
            </w:r>
            <w:r w:rsidRPr="00D61F73">
              <w:rPr>
                <w:rFonts w:ascii="Arial" w:hAnsi="Arial" w:cs="Arial"/>
                <w:i/>
                <w:iCs/>
              </w:rPr>
              <w:t>: Recommended:</w:t>
            </w:r>
            <w:r w:rsidRPr="00D61F73">
              <w:rPr>
                <w:rFonts w:ascii="Arial" w:hAnsi="Arial" w:cs="Arial"/>
              </w:rPr>
              <w:t xml:space="preserve"> This is a condition that is not generally related to workers’ compensation injuries (also known as spasmodic torticolis), and is characterized as a movement disorder of the nuchal muscles, characterized by tremor or by tonic posturing of the head in a rotated, twisted, or abnormally flexed or extended position or some combination of these positions. When treated with BTX-B, highantigenicity limits long-term efficacy. Botulinum toxin A injections provide more objective and subjective benefit than trihexyphenidyl or other anticholinergic drugs to patients with cervical dystonia. </w:t>
            </w:r>
          </w:p>
          <w:p w14:paraId="0B0BBA53" w14:textId="1D3999A3" w:rsidR="00E648FC" w:rsidRPr="00D61F73" w:rsidRDefault="00E648FC" w:rsidP="00D61F73">
            <w:pPr>
              <w:rPr>
                <w:rFonts w:ascii="Arial" w:hAnsi="Arial" w:cs="Arial"/>
              </w:rPr>
            </w:pPr>
            <w:r w:rsidRPr="00D61F73">
              <w:rPr>
                <w:rFonts w:ascii="Arial" w:hAnsi="Arial" w:cs="Arial"/>
              </w:rPr>
              <w:t xml:space="preserve">See </w:t>
            </w:r>
            <w:r w:rsidRPr="00174CB8">
              <w:rPr>
                <w:rFonts w:ascii="Arial" w:hAnsi="Arial" w:cs="Arial"/>
              </w:rPr>
              <w:t>the</w:t>
            </w:r>
            <w:r w:rsidR="004A2A48" w:rsidRPr="00174CB8">
              <w:rPr>
                <w:rFonts w:ascii="Arial" w:hAnsi="Arial" w:cs="Arial"/>
              </w:rPr>
              <w:t xml:space="preserve"> MTUS</w:t>
            </w:r>
            <w:r w:rsidR="00031AD5" w:rsidRPr="00174CB8">
              <w:rPr>
                <w:rFonts w:ascii="Arial" w:hAnsi="Arial" w:cs="Arial"/>
              </w:rPr>
              <w:t xml:space="preserve"> </w:t>
            </w:r>
            <w:r w:rsidRPr="00174CB8">
              <w:rPr>
                <w:rFonts w:ascii="Arial" w:hAnsi="Arial" w:cs="Arial"/>
              </w:rPr>
              <w:t>Neck</w:t>
            </w:r>
            <w:r w:rsidR="004A2A48" w:rsidRPr="00174CB8">
              <w:rPr>
                <w:rFonts w:ascii="Arial" w:hAnsi="Arial" w:cs="Arial"/>
              </w:rPr>
              <w:t xml:space="preserve"> and Upper Back</w:t>
            </w:r>
            <w:r w:rsidR="00211044" w:rsidRPr="00174CB8">
              <w:rPr>
                <w:rFonts w:ascii="Arial" w:hAnsi="Arial" w:cs="Arial"/>
              </w:rPr>
              <w:t xml:space="preserve"> Complaints</w:t>
            </w:r>
            <w:r w:rsidRPr="00D61F73">
              <w:rPr>
                <w:rFonts w:ascii="Arial" w:hAnsi="Arial" w:cs="Arial"/>
              </w:rPr>
              <w:t xml:space="preserve"> for cervical dystonia references.</w:t>
            </w:r>
          </w:p>
          <w:p w14:paraId="5BF7B361" w14:textId="77777777" w:rsidR="00E648FC" w:rsidRPr="00D61F73" w:rsidRDefault="00E648FC" w:rsidP="00D61F73">
            <w:pPr>
              <w:rPr>
                <w:rFonts w:ascii="Arial" w:hAnsi="Arial" w:cs="Arial"/>
              </w:rPr>
            </w:pPr>
            <w:r w:rsidRPr="00D61F73">
              <w:rPr>
                <w:rFonts w:ascii="Arial" w:hAnsi="Arial" w:cs="Arial"/>
                <w:i/>
                <w:iCs/>
                <w:u w:val="single"/>
              </w:rPr>
              <w:lastRenderedPageBreak/>
              <w:t>Spinal cord injury</w:t>
            </w:r>
            <w:r w:rsidRPr="00D61F73">
              <w:rPr>
                <w:rFonts w:ascii="Arial" w:hAnsi="Arial" w:cs="Arial"/>
                <w:i/>
                <w:iCs/>
              </w:rPr>
              <w:t>: Recommended: urinary incontinence following spinal cord injury. </w:t>
            </w:r>
            <w:r w:rsidRPr="00D61F73">
              <w:rPr>
                <w:rFonts w:ascii="Arial" w:hAnsi="Arial" w:cs="Arial"/>
              </w:rPr>
              <w:t>Botox significantly reduced urinary incontinence and improved urodynamics and quality of life in spinal cord injury and multiple sclerosis patients with neurogenic detrusor overactivity. (</w:t>
            </w:r>
            <w:hyperlink w:anchor="Cruz2011" w:history="1">
              <w:r w:rsidRPr="00D61F73">
                <w:rPr>
                  <w:rStyle w:val="Hyperlink"/>
                  <w:rFonts w:ascii="Arial" w:hAnsi="Arial" w:cs="Arial"/>
                </w:rPr>
                <w:t>Cruz, 2011</w:t>
              </w:r>
            </w:hyperlink>
            <w:r w:rsidRPr="00D61F73">
              <w:rPr>
                <w:rFonts w:ascii="Arial" w:hAnsi="Arial" w:cs="Arial"/>
              </w:rPr>
              <w:t>) Botulinum toxin is well tolerated and provides clinically beneficial improvement for urinary incontinence and neurogenic detrusor overactivity secondary to spinal cord injury or multiple sclerosis. (</w:t>
            </w:r>
            <w:hyperlink w:anchor="Herschorn2011" w:history="1">
              <w:r w:rsidRPr="00D61F73">
                <w:rPr>
                  <w:rStyle w:val="Hyperlink"/>
                  <w:rFonts w:ascii="Arial" w:hAnsi="Arial" w:cs="Arial"/>
                </w:rPr>
                <w:t>Herschorn, 2011</w:t>
              </w:r>
            </w:hyperlink>
            <w:r w:rsidRPr="00D61F73">
              <w:rPr>
                <w:rFonts w:ascii="Arial" w:hAnsi="Arial" w:cs="Arial"/>
              </w:rPr>
              <w:t>) There are other potential roles in spinal cord injury with spasticity. (</w:t>
            </w:r>
            <w:hyperlink w:anchor="Marciniak" w:history="1">
              <w:r w:rsidRPr="00D61F73">
                <w:rPr>
                  <w:rStyle w:val="Hyperlink"/>
                  <w:rFonts w:ascii="Arial" w:hAnsi="Arial" w:cs="Arial"/>
                </w:rPr>
                <w:t>Marciniak, 2008</w:t>
              </w:r>
            </w:hyperlink>
            <w:r w:rsidRPr="00D61F73">
              <w:rPr>
                <w:rFonts w:ascii="Arial" w:hAnsi="Arial" w:cs="Arial"/>
              </w:rPr>
              <w:t>)</w:t>
            </w:r>
          </w:p>
          <w:p w14:paraId="28489C91" w14:textId="7BF856FA" w:rsidR="00E648FC" w:rsidRPr="00D61F73" w:rsidRDefault="00E648FC" w:rsidP="00D61F73">
            <w:pPr>
              <w:rPr>
                <w:rFonts w:ascii="Arial" w:hAnsi="Arial" w:cs="Arial"/>
              </w:rPr>
            </w:pPr>
            <w:r w:rsidRPr="00D61F73">
              <w:rPr>
                <w:rFonts w:ascii="Arial" w:hAnsi="Arial" w:cs="Arial"/>
                <w:i/>
                <w:iCs/>
                <w:u w:val="single"/>
              </w:rPr>
              <w:t>Migraine</w:t>
            </w:r>
            <w:r w:rsidRPr="00D61F73">
              <w:rPr>
                <w:rFonts w:ascii="Arial" w:hAnsi="Arial" w:cs="Arial"/>
                <w:i/>
                <w:iCs/>
              </w:rPr>
              <w:t>: Recommended for prevention of headache in patients with chronic migraine.</w:t>
            </w:r>
            <w:r w:rsidRPr="00D61F73">
              <w:rPr>
                <w:rFonts w:ascii="Arial" w:hAnsi="Arial" w:cs="Arial"/>
              </w:rPr>
              <w:t>  Chronic migraine is defined as having a history of migraine and experiencing a headache on most days of the month. (</w:t>
            </w:r>
            <w:hyperlink w:anchor="FDAnews2010" w:history="1">
              <w:r w:rsidRPr="00D61F73">
                <w:rPr>
                  <w:rStyle w:val="Hyperlink"/>
                  <w:rFonts w:ascii="Arial" w:hAnsi="Arial" w:cs="Arial"/>
                </w:rPr>
                <w:t>FDA, 2010</w:t>
              </w:r>
            </w:hyperlink>
            <w:r w:rsidRPr="00D61F73">
              <w:rPr>
                <w:rFonts w:ascii="Arial" w:hAnsi="Arial" w:cs="Arial"/>
              </w:rPr>
              <w:t>) A systematic review of RCTs concluded that Botulinum toxin A compared with placebo was associated with a small to modest benefit for chronic daily headaches and chronic migraines but was not associated with fewer episodic migraine or chronic tension-type headaches per month. (</w:t>
            </w:r>
            <w:hyperlink w:anchor="JACKSON2012b" w:history="1">
              <w:r w:rsidRPr="00D61F73">
                <w:rPr>
                  <w:rStyle w:val="Hyperlink"/>
                  <w:rFonts w:ascii="Arial" w:hAnsi="Arial" w:cs="Arial"/>
                </w:rPr>
                <w:t>Jackson, 2012</w:t>
              </w:r>
            </w:hyperlink>
            <w:r w:rsidRPr="00D61F73">
              <w:rPr>
                <w:rFonts w:ascii="Arial" w:hAnsi="Arial" w:cs="Arial"/>
              </w:rPr>
              <w:t>) The FDA approved Botox injection (onabotulinumtoxinA) to prevent headaches in adult patients with chronic migraine. It is recommended as a second line therapy (since other acute therapi</w:t>
            </w:r>
            <w:r w:rsidR="00B263F8">
              <w:rPr>
                <w:rFonts w:ascii="Arial" w:hAnsi="Arial" w:cs="Arial"/>
              </w:rPr>
              <w:t>es should have been attempted).</w:t>
            </w:r>
          </w:p>
        </w:tc>
      </w:tr>
      <w:tr w:rsidR="00E648FC" w:rsidRPr="00D61F73" w14:paraId="26CD1056" w14:textId="77777777" w:rsidTr="00E44DFD">
        <w:tc>
          <w:tcPr>
            <w:tcW w:w="1086" w:type="pct"/>
          </w:tcPr>
          <w:p w14:paraId="356A211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B</w:t>
            </w:r>
            <w:bookmarkStart w:id="115" w:name="Bretylium"/>
            <w:bookmarkEnd w:id="115"/>
            <w:r w:rsidRPr="00D61F73">
              <w:rPr>
                <w:rFonts w:ascii="Arial" w:hAnsi="Arial" w:cs="Arial"/>
              </w:rPr>
              <w:t>retylium</w:t>
            </w:r>
          </w:p>
        </w:tc>
        <w:tc>
          <w:tcPr>
            <w:tcW w:w="3914" w:type="pct"/>
          </w:tcPr>
          <w:p w14:paraId="43837FDD" w14:textId="77777777" w:rsidR="00E648FC" w:rsidRPr="004A0477" w:rsidRDefault="00E648FC" w:rsidP="00D61F73">
            <w:pPr>
              <w:rPr>
                <w:rFonts w:ascii="Arial" w:hAnsi="Arial" w:cs="Arial"/>
              </w:rPr>
            </w:pPr>
            <w:r w:rsidRPr="004A0477">
              <w:rPr>
                <w:rFonts w:ascii="Arial" w:hAnsi="Arial" w:cs="Arial"/>
              </w:rPr>
              <w:t xml:space="preserve">See </w:t>
            </w:r>
            <w:hyperlink w:anchor="Biersblock" w:history="1">
              <w:r w:rsidRPr="004A0477">
                <w:rPr>
                  <w:rStyle w:val="Hyperlink"/>
                  <w:rFonts w:ascii="Arial" w:hAnsi="Arial" w:cs="Arial"/>
                </w:rPr>
                <w:t>Bier's block</w:t>
              </w:r>
            </w:hyperlink>
            <w:r w:rsidRPr="004A0477">
              <w:rPr>
                <w:rFonts w:ascii="Arial" w:hAnsi="Arial" w:cs="Arial"/>
              </w:rPr>
              <w:t>.</w:t>
            </w:r>
          </w:p>
        </w:tc>
      </w:tr>
      <w:tr w:rsidR="00E648FC" w:rsidRPr="00D61F73" w14:paraId="55D2A607" w14:textId="77777777" w:rsidTr="00E44DFD">
        <w:tc>
          <w:tcPr>
            <w:tcW w:w="1086" w:type="pct"/>
          </w:tcPr>
          <w:p w14:paraId="23F87EE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B</w:t>
            </w:r>
            <w:bookmarkStart w:id="116" w:name="Buprenorphine"/>
            <w:bookmarkEnd w:id="116"/>
            <w:r w:rsidRPr="00D61F73">
              <w:rPr>
                <w:rFonts w:ascii="Arial" w:hAnsi="Arial" w:cs="Arial"/>
              </w:rPr>
              <w:t>uprenorphine</w:t>
            </w:r>
          </w:p>
        </w:tc>
        <w:tc>
          <w:tcPr>
            <w:tcW w:w="3914" w:type="pct"/>
          </w:tcPr>
          <w:p w14:paraId="0F29E8BF" w14:textId="77777777" w:rsidR="00E648FC" w:rsidRPr="00D61F73" w:rsidRDefault="00E648FC" w:rsidP="00D61F73">
            <w:pPr>
              <w:rPr>
                <w:rFonts w:ascii="Arial" w:hAnsi="Arial" w:cs="Arial"/>
              </w:rPr>
            </w:pPr>
            <w:r w:rsidRPr="00D61F73">
              <w:rPr>
                <w:rFonts w:ascii="Arial" w:hAnsi="Arial" w:cs="Arial"/>
              </w:rPr>
              <w:t xml:space="preserve">See </w:t>
            </w:r>
            <w:hyperlink w:anchor="Buprenorphineforchronicpain" w:history="1">
              <w:r w:rsidRPr="00D61F73">
                <w:rPr>
                  <w:rStyle w:val="Hyperlink"/>
                  <w:rFonts w:ascii="Arial" w:hAnsi="Arial" w:cs="Arial"/>
                </w:rPr>
                <w:t>Buprenorphine for treatment of chronic pain</w:t>
              </w:r>
            </w:hyperlink>
            <w:r w:rsidRPr="00D61F73">
              <w:rPr>
                <w:rFonts w:ascii="Arial" w:hAnsi="Arial" w:cs="Arial"/>
              </w:rPr>
              <w:t xml:space="preserve">; </w:t>
            </w:r>
            <w:hyperlink w:anchor="Buprenorphineforopioiddependence" w:history="1">
              <w:r w:rsidRPr="00D61F73">
                <w:rPr>
                  <w:rStyle w:val="Hyperlink"/>
                  <w:rFonts w:ascii="Arial" w:hAnsi="Arial" w:cs="Arial"/>
                </w:rPr>
                <w:t>Buprenorphine for treatment of opioid dependence</w:t>
              </w:r>
            </w:hyperlink>
            <w:r w:rsidRPr="00D61F73">
              <w:rPr>
                <w:rFonts w:ascii="Arial" w:hAnsi="Arial" w:cs="Arial"/>
              </w:rPr>
              <w:t>.</w:t>
            </w:r>
          </w:p>
        </w:tc>
      </w:tr>
      <w:tr w:rsidR="00E648FC" w:rsidRPr="00D61F73" w14:paraId="349D0F4E" w14:textId="77777777" w:rsidTr="0078164D">
        <w:tc>
          <w:tcPr>
            <w:tcW w:w="1086" w:type="pct"/>
          </w:tcPr>
          <w:p w14:paraId="0D382EB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B</w:t>
            </w:r>
            <w:bookmarkStart w:id="117" w:name="Buprenorphineforchronicpain"/>
            <w:bookmarkEnd w:id="117"/>
            <w:r w:rsidRPr="00D61F73">
              <w:rPr>
                <w:rFonts w:ascii="Arial" w:hAnsi="Arial" w:cs="Arial"/>
              </w:rPr>
              <w:t xml:space="preserve">uprenorphine for chronic pain </w:t>
            </w:r>
          </w:p>
        </w:tc>
        <w:tc>
          <w:tcPr>
            <w:tcW w:w="3914" w:type="pct"/>
          </w:tcPr>
          <w:p w14:paraId="3F63EF1A" w14:textId="77777777" w:rsidR="00E648FC" w:rsidRPr="00D61F73" w:rsidRDefault="009751F0" w:rsidP="00D61F73">
            <w:pPr>
              <w:rPr>
                <w:rFonts w:ascii="Arial" w:hAnsi="Arial" w:cs="Arial"/>
                <w:color w:val="auto"/>
              </w:rPr>
            </w:pPr>
            <w:r w:rsidRPr="00D61F73">
              <w:rPr>
                <w:rFonts w:ascii="Arial" w:hAnsi="Arial" w:cs="Arial"/>
              </w:rPr>
              <w:t xml:space="preserve">Recommended </w:t>
            </w:r>
            <w:r w:rsidR="00E648FC" w:rsidRPr="00D61F73">
              <w:rPr>
                <w:rFonts w:ascii="Arial" w:hAnsi="Arial" w:cs="Arial"/>
              </w:rPr>
              <w:t xml:space="preserve">as an option for treatment of chronic pain (consensus based) in selected patients (not first-line for all patients). </w:t>
            </w:r>
            <w:r w:rsidR="00E648FC" w:rsidRPr="00D61F73">
              <w:rPr>
                <w:rFonts w:ascii="Arial" w:hAnsi="Arial" w:cs="Arial"/>
                <w:i/>
              </w:rPr>
              <w:t xml:space="preserve">Suggested populations: </w:t>
            </w:r>
            <w:r w:rsidR="00E648FC" w:rsidRPr="00D61F73">
              <w:rPr>
                <w:rFonts w:ascii="Arial" w:hAnsi="Arial" w:cs="Arial"/>
              </w:rPr>
              <w:t>(1) Patients with a hyperalgesic component to pain; (2) Patients with centrally mediated pain; (3) Patients with neuropathic pain; (4) Patients at high-risk of non-adherence with standard opioid maintenance; (5) For analgesia in patients who have previously been detoxified from other high-dose opioids. Use for pain with formulations other than Butrans is off-label. Due to complexity of induction and treatment the drug should be reserved for use by clinicians with experience.</w:t>
            </w:r>
          </w:p>
          <w:p w14:paraId="77D89820" w14:textId="77777777" w:rsidR="00E648FC" w:rsidRPr="00D61F73" w:rsidRDefault="00E648FC" w:rsidP="00D61F73">
            <w:pPr>
              <w:rPr>
                <w:rFonts w:ascii="Arial" w:hAnsi="Arial" w:cs="Arial"/>
              </w:rPr>
            </w:pPr>
            <w:r w:rsidRPr="00D61F73">
              <w:rPr>
                <w:rFonts w:ascii="Arial" w:hAnsi="Arial" w:cs="Arial"/>
                <w:i/>
              </w:rPr>
              <w:t xml:space="preserve">Drug description: </w:t>
            </w:r>
            <w:r w:rsidRPr="00D61F73">
              <w:rPr>
                <w:rFonts w:ascii="Arial" w:hAnsi="Arial" w:cs="Arial"/>
              </w:rPr>
              <w:t>Buprenorphine is a schedule-III controlled substance. Its mechanism of action is complex, involving four different opioid receptors at central and peripheral sites. It is primarily classified as a partial mu-agonist and kappa antagonist. It blocks effects of subsequently administered opioid agonists.</w:t>
            </w:r>
          </w:p>
          <w:p w14:paraId="4B51021B" w14:textId="77777777" w:rsidR="00E648FC" w:rsidRPr="00D61F73" w:rsidRDefault="00E648FC" w:rsidP="00D61F73">
            <w:pPr>
              <w:rPr>
                <w:rFonts w:ascii="Arial" w:hAnsi="Arial" w:cs="Arial"/>
              </w:rPr>
            </w:pPr>
            <w:r w:rsidRPr="00D61F73">
              <w:rPr>
                <w:rFonts w:ascii="Arial" w:hAnsi="Arial" w:cs="Arial"/>
              </w:rPr>
              <w:t xml:space="preserve">There is the potential for buprenorphine to precipitate withdrawal in opioid-experienced patients. </w:t>
            </w:r>
          </w:p>
          <w:p w14:paraId="7DCA90A9" w14:textId="77777777" w:rsidR="00E648FC" w:rsidRPr="00D61F73" w:rsidRDefault="00E648FC" w:rsidP="00D61F73">
            <w:pPr>
              <w:rPr>
                <w:rFonts w:ascii="Arial" w:hAnsi="Arial" w:cs="Arial"/>
                <w:i/>
              </w:rPr>
            </w:pPr>
            <w:r w:rsidRPr="00D61F73">
              <w:rPr>
                <w:rFonts w:ascii="Arial" w:hAnsi="Arial" w:cs="Arial"/>
                <w:b/>
                <w:bCs/>
                <w:i/>
              </w:rPr>
              <w:t>Available formulations</w:t>
            </w:r>
            <w:r w:rsidRPr="00D61F73">
              <w:rPr>
                <w:rFonts w:ascii="Arial" w:hAnsi="Arial" w:cs="Arial"/>
                <w:i/>
              </w:rPr>
              <w:t xml:space="preserve">: </w:t>
            </w:r>
          </w:p>
          <w:p w14:paraId="5F1C8ED7" w14:textId="77777777" w:rsidR="00E648FC" w:rsidRPr="00D61F73" w:rsidRDefault="00E648FC" w:rsidP="00D61F73">
            <w:pPr>
              <w:rPr>
                <w:rFonts w:ascii="Arial" w:hAnsi="Arial" w:cs="Arial"/>
                <w:i/>
                <w:u w:val="single"/>
              </w:rPr>
            </w:pPr>
            <w:r w:rsidRPr="00D61F73">
              <w:rPr>
                <w:rFonts w:ascii="Arial" w:hAnsi="Arial" w:cs="Arial"/>
                <w:i/>
                <w:u w:val="single"/>
              </w:rPr>
              <w:t>Buprenorphine hydrochloride injection</w:t>
            </w:r>
            <w:r w:rsidRPr="00D61F73">
              <w:rPr>
                <w:rFonts w:ascii="Arial" w:hAnsi="Arial" w:cs="Arial"/>
                <w:i/>
              </w:rPr>
              <w:t xml:space="preserve"> (Buprenex®; generics available).</w:t>
            </w:r>
          </w:p>
          <w:p w14:paraId="65A0BA3A" w14:textId="77777777" w:rsidR="00E648FC" w:rsidRPr="00D61F73" w:rsidRDefault="00E648FC" w:rsidP="00D61F73">
            <w:pPr>
              <w:rPr>
                <w:rFonts w:ascii="Arial" w:hAnsi="Arial" w:cs="Arial"/>
                <w:i/>
              </w:rPr>
            </w:pPr>
            <w:r w:rsidRPr="00D61F73">
              <w:rPr>
                <w:rFonts w:ascii="Arial" w:hAnsi="Arial" w:cs="Arial"/>
                <w:i/>
                <w:u w:val="single"/>
              </w:rPr>
              <w:t>Buprenorphine hydrochloride sublingual tablets</w:t>
            </w:r>
            <w:r w:rsidRPr="00D61F73">
              <w:rPr>
                <w:rFonts w:ascii="Arial" w:hAnsi="Arial" w:cs="Arial"/>
                <w:i/>
              </w:rPr>
              <w:t xml:space="preserve"> (Subutex® [innovator brand is off market]; generics available):</w:t>
            </w:r>
            <w:r w:rsidRPr="00D61F73">
              <w:rPr>
                <w:rFonts w:ascii="Arial" w:hAnsi="Arial" w:cs="Arial"/>
                <w:iCs/>
              </w:rPr>
              <w:t xml:space="preserve"> 2 mg and 8 mg.</w:t>
            </w:r>
          </w:p>
          <w:p w14:paraId="62152107" w14:textId="77777777" w:rsidR="00E648FC" w:rsidRPr="00D61F73" w:rsidRDefault="00E648FC" w:rsidP="00D61F73">
            <w:pPr>
              <w:rPr>
                <w:rFonts w:ascii="Arial" w:hAnsi="Arial" w:cs="Arial"/>
                <w:i/>
                <w:u w:val="single"/>
              </w:rPr>
            </w:pPr>
            <w:r w:rsidRPr="00D61F73">
              <w:rPr>
                <w:rFonts w:ascii="Arial" w:hAnsi="Arial" w:cs="Arial"/>
                <w:i/>
                <w:u w:val="single"/>
              </w:rPr>
              <w:t>Buprenorphine hydrochloride and naloxone hydrochloride sublingual film</w:t>
            </w:r>
            <w:r w:rsidRPr="00D61F73">
              <w:rPr>
                <w:rFonts w:ascii="Arial" w:hAnsi="Arial" w:cs="Arial"/>
                <w:i/>
              </w:rPr>
              <w:t xml:space="preserve"> (Suboxone®; no generics): </w:t>
            </w:r>
            <w:r w:rsidRPr="00D61F73">
              <w:rPr>
                <w:rFonts w:ascii="Arial" w:hAnsi="Arial" w:cs="Arial"/>
                <w:iCs/>
              </w:rPr>
              <w:t>Available as a film in doses of buprenorphine/ naloxone of 2mg/0.5mg, 4mg/1 mg, 8mg/2 mg and 12mg/3 mg. Tablet formulations are available as 2mg/0.5mg and 8mg/2mgs. Discontinuation of branded Suboxone sublingual tablets is to occur on 3/18/13, being replaced by the sublingual film described above.</w:t>
            </w:r>
          </w:p>
          <w:p w14:paraId="5FA10134" w14:textId="77777777" w:rsidR="00E648FC" w:rsidRPr="00D61F73" w:rsidRDefault="00E648FC" w:rsidP="00D61F73">
            <w:pPr>
              <w:rPr>
                <w:rFonts w:ascii="Arial" w:hAnsi="Arial" w:cs="Arial"/>
              </w:rPr>
            </w:pPr>
            <w:r w:rsidRPr="00D61F73">
              <w:rPr>
                <w:rFonts w:ascii="Arial" w:hAnsi="Arial" w:cs="Arial"/>
                <w:i/>
                <w:u w:val="single"/>
              </w:rPr>
              <w:lastRenderedPageBreak/>
              <w:t>Buprenorphine transdermal system</w:t>
            </w:r>
            <w:r w:rsidRPr="00D61F73">
              <w:rPr>
                <w:rFonts w:ascii="Arial" w:hAnsi="Arial" w:cs="Arial"/>
                <w:i/>
              </w:rPr>
              <w:t xml:space="preserve"> (Butrans®; no generics): </w:t>
            </w:r>
            <w:r w:rsidRPr="00D61F73">
              <w:rPr>
                <w:rFonts w:ascii="Arial" w:hAnsi="Arial" w:cs="Arial"/>
                <w:iCs/>
              </w:rPr>
              <w:t>FDA-approved for moderate to severe chronic pain. Available as transdermal patches at 5mcg/hr, 10mcg/hr and 20mcg/hr.</w:t>
            </w:r>
          </w:p>
          <w:p w14:paraId="3EB804CD" w14:textId="77777777" w:rsidR="00E648FC" w:rsidRPr="00D61F73" w:rsidRDefault="00E648FC" w:rsidP="00D61F73">
            <w:pPr>
              <w:rPr>
                <w:rFonts w:ascii="Arial" w:hAnsi="Arial" w:cs="Arial"/>
              </w:rPr>
            </w:pPr>
            <w:r w:rsidRPr="00D61F73">
              <w:rPr>
                <w:rFonts w:ascii="Arial" w:hAnsi="Arial" w:cs="Arial"/>
              </w:rPr>
              <w:t xml:space="preserve">See also </w:t>
            </w:r>
            <w:hyperlink w:anchor="Buprenorphineforopioiddependence" w:history="1">
              <w:r w:rsidRPr="00D61F73">
                <w:rPr>
                  <w:rStyle w:val="Hyperlink"/>
                  <w:rFonts w:ascii="Arial" w:hAnsi="Arial" w:cs="Arial"/>
                </w:rPr>
                <w:t>Buprenorphine for treatment of opioid dependence</w:t>
              </w:r>
            </w:hyperlink>
            <w:r w:rsidRPr="00D61F73">
              <w:rPr>
                <w:rFonts w:ascii="Arial" w:hAnsi="Arial" w:cs="Arial"/>
              </w:rPr>
              <w:t>.</w:t>
            </w:r>
          </w:p>
        </w:tc>
      </w:tr>
      <w:tr w:rsidR="00E648FC" w:rsidRPr="00D61F73" w14:paraId="1D93B898" w14:textId="77777777" w:rsidTr="0078164D">
        <w:tc>
          <w:tcPr>
            <w:tcW w:w="1086" w:type="pct"/>
          </w:tcPr>
          <w:p w14:paraId="0860ED3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B</w:t>
            </w:r>
            <w:bookmarkStart w:id="118" w:name="Buprenorphineforopioiddependence"/>
            <w:bookmarkEnd w:id="118"/>
            <w:r w:rsidRPr="00D61F73">
              <w:rPr>
                <w:rFonts w:ascii="Arial" w:hAnsi="Arial" w:cs="Arial"/>
              </w:rPr>
              <w:t xml:space="preserve">uprenorphine for opioid dependence </w:t>
            </w:r>
          </w:p>
          <w:p w14:paraId="09793492" w14:textId="77777777" w:rsidR="00E648FC" w:rsidRPr="00D61F73" w:rsidRDefault="00E648FC" w:rsidP="00D61F73">
            <w:pPr>
              <w:pStyle w:val="Footer"/>
              <w:tabs>
                <w:tab w:val="clear" w:pos="4320"/>
                <w:tab w:val="clear" w:pos="8640"/>
              </w:tabs>
              <w:rPr>
                <w:rFonts w:ascii="Arial" w:hAnsi="Arial" w:cs="Arial"/>
              </w:rPr>
            </w:pPr>
          </w:p>
          <w:p w14:paraId="09E27380"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Pr>
          <w:p w14:paraId="4F759A4A" w14:textId="77777777" w:rsidR="00E648FC" w:rsidRPr="00D61F73" w:rsidRDefault="0061527A" w:rsidP="00D61F73">
            <w:pPr>
              <w:rPr>
                <w:rFonts w:ascii="Arial" w:hAnsi="Arial" w:cs="Arial"/>
                <w:color w:val="auto"/>
              </w:rPr>
            </w:pPr>
            <w:r w:rsidRPr="00D61F73">
              <w:rPr>
                <w:rFonts w:ascii="Arial" w:hAnsi="Arial" w:cs="Arial"/>
              </w:rPr>
              <w:t xml:space="preserve">Recommended for selected patients for treatment of opioid dependence. </w:t>
            </w:r>
            <w:r w:rsidR="00E648FC" w:rsidRPr="00D61F73">
              <w:rPr>
                <w:rFonts w:ascii="Arial" w:hAnsi="Arial" w:cs="Arial"/>
              </w:rPr>
              <w:t xml:space="preserve">The use of buprenorphine maintenance therapy was introduced in 2002. This drug can be prescribed in a physician office setting for this indication by certified physicians. Original studies investigate the use of buprenorphine for treatment of heroin addiction and research is still ongoing for use in populations with prescription drug abuse, or with comorbid dependency and chronic pain. </w:t>
            </w:r>
          </w:p>
          <w:p w14:paraId="6DACE9D6" w14:textId="77777777" w:rsidR="00E648FC" w:rsidRPr="00D61F73" w:rsidRDefault="00E648FC" w:rsidP="00D61F73">
            <w:pPr>
              <w:rPr>
                <w:rFonts w:ascii="Arial" w:hAnsi="Arial" w:cs="Arial"/>
              </w:rPr>
            </w:pPr>
            <w:r w:rsidRPr="00D61F73">
              <w:rPr>
                <w:rFonts w:ascii="Arial" w:hAnsi="Arial" w:cs="Arial"/>
                <w:i/>
              </w:rPr>
              <w:t xml:space="preserve">Drug characteristics in terms of dependence and addiction treatment: </w:t>
            </w:r>
            <w:r w:rsidRPr="00D61F73">
              <w:rPr>
                <w:rFonts w:ascii="Arial" w:hAnsi="Arial" w:cs="Arial"/>
              </w:rPr>
              <w:t>The drug is a semi-synthetic mu opioid partial agonist and a kappa receptor antagonist. The medication as used for this indication is available in sublingual tablet or film formulations. Current literature indicates many of the drug’s effects plateau at 16 mg, although doses of 32 mg are used clinically. Most patients stabilize at doses between 16 and 24 mg given in a once daily dose. The intensity of the rewarding effect is milder and plateaus at higher doses, and these characteristics are thought to limit abuse potential. (</w:t>
            </w:r>
            <w:hyperlink w:anchor="Alford2011" w:history="1">
              <w:r w:rsidRPr="00CF10BE">
                <w:rPr>
                  <w:rStyle w:val="Hyperlink"/>
                  <w:rFonts w:ascii="Arial" w:hAnsi="Arial" w:cs="Arial"/>
                </w:rPr>
                <w:t>Alford, 2011</w:t>
              </w:r>
            </w:hyperlink>
            <w:r w:rsidRPr="00D61F73">
              <w:rPr>
                <w:rFonts w:ascii="Arial" w:hAnsi="Arial" w:cs="Arial"/>
              </w:rPr>
              <w:t>) (</w:t>
            </w:r>
            <w:hyperlink w:anchor="Clark2011" w:history="1">
              <w:r w:rsidRPr="00CF10BE">
                <w:rPr>
                  <w:rStyle w:val="Hyperlink"/>
                  <w:rFonts w:ascii="Arial" w:hAnsi="Arial" w:cs="Arial"/>
                </w:rPr>
                <w:t>Clark, 2011</w:t>
              </w:r>
            </w:hyperlink>
            <w:r w:rsidRPr="00D61F73">
              <w:rPr>
                <w:rFonts w:ascii="Arial" w:hAnsi="Arial" w:cs="Arial"/>
              </w:rPr>
              <w:t>) (</w:t>
            </w:r>
            <w:hyperlink w:anchor="Weiss2011" w:history="1">
              <w:r w:rsidRPr="00CF10BE">
                <w:rPr>
                  <w:rStyle w:val="Hyperlink"/>
                  <w:rFonts w:ascii="Arial" w:hAnsi="Arial" w:cs="Arial"/>
                </w:rPr>
                <w:t>Weiss, 2011</w:t>
              </w:r>
            </w:hyperlink>
            <w:r w:rsidRPr="00D61F73">
              <w:rPr>
                <w:rFonts w:ascii="Arial" w:hAnsi="Arial" w:cs="Arial"/>
              </w:rPr>
              <w:t>) (</w:t>
            </w:r>
            <w:hyperlink w:anchor="Bart2012" w:history="1">
              <w:r w:rsidRPr="00CF10BE">
                <w:rPr>
                  <w:rStyle w:val="Hyperlink"/>
                  <w:rFonts w:ascii="Arial" w:hAnsi="Arial" w:cs="Arial"/>
                </w:rPr>
                <w:t>Bart, 2012</w:t>
              </w:r>
            </w:hyperlink>
            <w:r w:rsidRPr="00D61F73">
              <w:rPr>
                <w:rFonts w:ascii="Arial" w:hAnsi="Arial" w:cs="Arial"/>
              </w:rPr>
              <w:t>) (</w:t>
            </w:r>
            <w:hyperlink w:anchor="Ducharme2012" w:history="1">
              <w:r w:rsidRPr="00CF10BE">
                <w:rPr>
                  <w:rStyle w:val="Hyperlink"/>
                  <w:rFonts w:ascii="Arial" w:hAnsi="Arial" w:cs="Arial"/>
                </w:rPr>
                <w:t>Ducharme, 2012</w:t>
              </w:r>
            </w:hyperlink>
            <w:r w:rsidRPr="00D61F73">
              <w:rPr>
                <w:rFonts w:ascii="Arial" w:hAnsi="Arial" w:cs="Arial"/>
              </w:rPr>
              <w:t>) (</w:t>
            </w:r>
            <w:hyperlink w:anchor="Mark2012" w:history="1">
              <w:r w:rsidRPr="00CF10BE">
                <w:rPr>
                  <w:rStyle w:val="Hyperlink"/>
                  <w:rFonts w:ascii="Arial" w:hAnsi="Arial" w:cs="Arial"/>
                </w:rPr>
                <w:t>Mark, 2012</w:t>
              </w:r>
            </w:hyperlink>
            <w:r w:rsidRPr="00D61F73">
              <w:rPr>
                <w:rFonts w:ascii="Arial" w:hAnsi="Arial" w:cs="Arial"/>
              </w:rPr>
              <w:t>) (</w:t>
            </w:r>
            <w:hyperlink w:anchor="Colson2012" w:history="1">
              <w:r w:rsidRPr="00CF10BE">
                <w:rPr>
                  <w:rStyle w:val="Hyperlink"/>
                  <w:rFonts w:ascii="Arial" w:hAnsi="Arial" w:cs="Arial"/>
                </w:rPr>
                <w:t>Colson, 2012</w:t>
              </w:r>
            </w:hyperlink>
            <w:r w:rsidRPr="00D61F73">
              <w:rPr>
                <w:rFonts w:ascii="Arial" w:hAnsi="Arial" w:cs="Arial"/>
              </w:rPr>
              <w:t xml:space="preserve">) Zubsolv </w:t>
            </w:r>
            <w:r w:rsidRPr="00D61F73">
              <w:rPr>
                <w:rFonts w:ascii="Arial" w:hAnsi="Arial" w:cs="Arial"/>
                <w:color w:val="auto"/>
              </w:rPr>
              <w:t>(buprenorphine and naloxone), a recently FDA-approved medication for maintenance treatment of opioid dependence, is a once-daily sublingual tablet that offers higher bioavailability that allows patients to use lower strength and reduce the amount of available drug for potential misuse and diversion.</w:t>
            </w:r>
            <w:r w:rsidRPr="00D61F73">
              <w:rPr>
                <w:rFonts w:ascii="Arial" w:hAnsi="Arial" w:cs="Arial"/>
              </w:rPr>
              <w:t xml:space="preserve"> (</w:t>
            </w:r>
            <w:hyperlink r:id="rId41" w:history="1">
              <w:r w:rsidRPr="00CF10BE">
                <w:rPr>
                  <w:rStyle w:val="Hyperlink"/>
                  <w:rFonts w:ascii="Arial" w:hAnsi="Arial" w:cs="Arial"/>
                </w:rPr>
                <w:t>FDA, 2013</w:t>
              </w:r>
            </w:hyperlink>
            <w:r w:rsidRPr="00D61F73">
              <w:rPr>
                <w:rFonts w:ascii="Arial" w:hAnsi="Arial" w:cs="Arial"/>
              </w:rPr>
              <w:t xml:space="preserve">) See also </w:t>
            </w:r>
            <w:hyperlink w:anchor="Buprenorphineforchronicpain" w:history="1">
              <w:r w:rsidRPr="00CF10BE">
                <w:rPr>
                  <w:rStyle w:val="Hyperlink"/>
                  <w:rFonts w:ascii="Arial" w:hAnsi="Arial" w:cs="Arial"/>
                </w:rPr>
                <w:t>Buprenorphine for treatment of chronic pain</w:t>
              </w:r>
            </w:hyperlink>
            <w:r w:rsidRPr="00CF10BE">
              <w:rPr>
                <w:rFonts w:ascii="Arial" w:hAnsi="Arial" w:cs="Arial"/>
                <w:u w:val="single"/>
              </w:rPr>
              <w:t>.</w:t>
            </w:r>
            <w:r w:rsidRPr="00D61F73">
              <w:rPr>
                <w:rFonts w:ascii="Arial" w:hAnsi="Arial" w:cs="Arial"/>
              </w:rPr>
              <w:t xml:space="preserve"> </w:t>
            </w:r>
          </w:p>
        </w:tc>
      </w:tr>
      <w:tr w:rsidR="00E648FC" w:rsidRPr="00D61F73" w14:paraId="29482CAE" w14:textId="77777777" w:rsidTr="0078164D">
        <w:tc>
          <w:tcPr>
            <w:tcW w:w="1086" w:type="pct"/>
          </w:tcPr>
          <w:p w14:paraId="471D70D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B</w:t>
            </w:r>
            <w:bookmarkStart w:id="119" w:name="Bupropion"/>
            <w:bookmarkEnd w:id="119"/>
            <w:r w:rsidRPr="00D61F73">
              <w:rPr>
                <w:rFonts w:ascii="Arial" w:hAnsi="Arial" w:cs="Arial"/>
              </w:rPr>
              <w:t xml:space="preserve">upropion (Wellbutrin®) </w:t>
            </w:r>
          </w:p>
        </w:tc>
        <w:tc>
          <w:tcPr>
            <w:tcW w:w="3914" w:type="pct"/>
          </w:tcPr>
          <w:p w14:paraId="4F7DD459" w14:textId="77777777" w:rsidR="00E648FC" w:rsidRPr="00D61F73" w:rsidRDefault="00E648FC" w:rsidP="00D61F73">
            <w:pPr>
              <w:rPr>
                <w:rFonts w:ascii="Arial" w:hAnsi="Arial" w:cs="Arial"/>
              </w:rPr>
            </w:pPr>
            <w:r w:rsidRPr="00D61F73">
              <w:rPr>
                <w:rFonts w:ascii="Arial" w:hAnsi="Arial" w:cs="Arial"/>
              </w:rPr>
              <w:t xml:space="preserve">Recommended as an option after other agents. Bupropion has shown some efficacy in neuropathic pain. Furthermore, bupropion is generally a third-line medication for diabetic neuropathy and may be considered when patients have not had a response to a tricyclic or SNRI. See specific </w:t>
            </w:r>
            <w:hyperlink w:anchor="BupropionListing" w:history="1">
              <w:r w:rsidRPr="00D61F73">
                <w:rPr>
                  <w:rStyle w:val="Hyperlink"/>
                  <w:rFonts w:ascii="Arial" w:hAnsi="Arial" w:cs="Arial"/>
                </w:rPr>
                <w:t>Bupropion</w:t>
              </w:r>
            </w:hyperlink>
            <w:r w:rsidRPr="00D61F73">
              <w:rPr>
                <w:rFonts w:ascii="Arial" w:hAnsi="Arial" w:cs="Arial"/>
              </w:rPr>
              <w:t xml:space="preserve"> listing in section on </w:t>
            </w:r>
            <w:hyperlink w:anchor="Antidepressantsforchronicpain" w:history="1">
              <w:r w:rsidRPr="00D61F73">
                <w:rPr>
                  <w:rStyle w:val="Hyperlink"/>
                  <w:rFonts w:ascii="Arial" w:hAnsi="Arial" w:cs="Arial"/>
                </w:rPr>
                <w:t>Antidepressants for chronic pain</w:t>
              </w:r>
            </w:hyperlink>
            <w:r w:rsidRPr="00D61F73">
              <w:rPr>
                <w:rStyle w:val="Hyperlink"/>
                <w:rFonts w:ascii="Arial" w:hAnsi="Arial" w:cs="Arial"/>
              </w:rPr>
              <w:t xml:space="preserve"> </w:t>
            </w:r>
            <w:r w:rsidRPr="00D61F73">
              <w:rPr>
                <w:rFonts w:ascii="Arial" w:hAnsi="Arial" w:cs="Arial"/>
              </w:rPr>
              <w:t xml:space="preserve">for more information and references. </w:t>
            </w:r>
          </w:p>
        </w:tc>
      </w:tr>
      <w:tr w:rsidR="00E648FC" w:rsidRPr="00D61F73" w14:paraId="53CD4C2F" w14:textId="77777777" w:rsidTr="0078164D">
        <w:tc>
          <w:tcPr>
            <w:tcW w:w="1086" w:type="pct"/>
          </w:tcPr>
          <w:p w14:paraId="50E6DA9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B</w:t>
            </w:r>
            <w:bookmarkStart w:id="120" w:name="Butrans"/>
            <w:bookmarkEnd w:id="120"/>
            <w:r w:rsidRPr="00D61F73">
              <w:rPr>
                <w:rFonts w:ascii="Arial" w:hAnsi="Arial" w:cs="Arial"/>
              </w:rPr>
              <w:t>utrans™ (buprenorphine)</w:t>
            </w:r>
          </w:p>
        </w:tc>
        <w:tc>
          <w:tcPr>
            <w:tcW w:w="3914" w:type="pct"/>
          </w:tcPr>
          <w:p w14:paraId="435CA25B" w14:textId="77777777" w:rsidR="00E648FC" w:rsidRPr="00D61F73" w:rsidRDefault="00E648FC" w:rsidP="00D61F73">
            <w:pPr>
              <w:rPr>
                <w:rFonts w:ascii="Arial" w:hAnsi="Arial" w:cs="Arial"/>
              </w:rPr>
            </w:pPr>
            <w:r w:rsidRPr="00D61F73">
              <w:rPr>
                <w:rFonts w:ascii="Arial" w:hAnsi="Arial" w:cs="Arial"/>
              </w:rPr>
              <w:t xml:space="preserve">See </w:t>
            </w:r>
            <w:hyperlink w:anchor="Buprenorphine" w:history="1">
              <w:r w:rsidRPr="00D61F73">
                <w:rPr>
                  <w:rStyle w:val="Hyperlink"/>
                  <w:rFonts w:ascii="Arial" w:hAnsi="Arial" w:cs="Arial"/>
                </w:rPr>
                <w:t>Buprenorphine</w:t>
              </w:r>
            </w:hyperlink>
            <w:r w:rsidRPr="00D61F73">
              <w:rPr>
                <w:rFonts w:ascii="Arial" w:hAnsi="Arial" w:cs="Arial"/>
              </w:rPr>
              <w:t>.</w:t>
            </w:r>
          </w:p>
        </w:tc>
      </w:tr>
      <w:tr w:rsidR="00E648FC" w:rsidRPr="00D61F73" w14:paraId="7504D118" w14:textId="77777777" w:rsidTr="0078164D">
        <w:tc>
          <w:tcPr>
            <w:tcW w:w="1086" w:type="pct"/>
          </w:tcPr>
          <w:p w14:paraId="05F079B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21" w:name="Calcitonin"/>
            <w:bookmarkEnd w:id="121"/>
            <w:r w:rsidRPr="00D61F73">
              <w:rPr>
                <w:rFonts w:ascii="Arial" w:hAnsi="Arial" w:cs="Arial"/>
              </w:rPr>
              <w:t>alcitonin</w:t>
            </w:r>
          </w:p>
        </w:tc>
        <w:tc>
          <w:tcPr>
            <w:tcW w:w="3914" w:type="pct"/>
          </w:tcPr>
          <w:p w14:paraId="4C6D78EA" w14:textId="77777777" w:rsidR="00E648FC" w:rsidRDefault="00E648FC" w:rsidP="00D61F73">
            <w:pPr>
              <w:pStyle w:val="BodyText"/>
              <w:rPr>
                <w:rFonts w:ascii="Arial" w:hAnsi="Arial" w:cs="Arial"/>
                <w:b w:val="0"/>
                <w:bCs w:val="0"/>
              </w:rPr>
            </w:pPr>
            <w:r w:rsidRPr="00D61F73">
              <w:rPr>
                <w:rFonts w:ascii="Arial" w:hAnsi="Arial" w:cs="Arial"/>
                <w:b w:val="0"/>
                <w:bCs w:val="0"/>
              </w:rPr>
              <w:t xml:space="preserve">Recommended as a treatment option for patients with CRPS Type I with a contraindication for treatment of bone resorption with a bisphosphonate. Not recommended for other chronic pain conditions. </w:t>
            </w:r>
            <w:r w:rsidR="00A84178" w:rsidRPr="00D61F73">
              <w:rPr>
                <w:rFonts w:ascii="Arial" w:eastAsia="Arial Unicode MS" w:hAnsi="Arial" w:cs="Arial"/>
                <w:b w:val="0"/>
                <w:bCs w:val="0"/>
                <w:lang w:val="en"/>
              </w:rPr>
              <w:t>Significant</w:t>
            </w:r>
            <w:r w:rsidRPr="00D61F73">
              <w:rPr>
                <w:rFonts w:ascii="Arial" w:eastAsia="Arial Unicode MS" w:hAnsi="Arial" w:cs="Arial"/>
                <w:b w:val="0"/>
                <w:bCs w:val="0"/>
                <w:lang w:val="en"/>
              </w:rPr>
              <w:t xml:space="preserve"> improvement has been found in limited studies of intravenous clodronate and intravenous alendronate. Alendronate (Fosamax®) given in oral doses of 40 mg a day (over an 8 week period) produced improvements in pain, pressure tolerance and joint moblity. (</w:t>
            </w:r>
            <w:hyperlink w:anchor="Manicourt" w:history="1">
              <w:r w:rsidRPr="00D61F73">
                <w:rPr>
                  <w:rStyle w:val="Hyperlink"/>
                  <w:rFonts w:ascii="Arial" w:eastAsia="Arial Unicode MS" w:hAnsi="Arial" w:cs="Arial"/>
                  <w:b w:val="0"/>
                  <w:bCs w:val="0"/>
                  <w:lang w:val="en"/>
                </w:rPr>
                <w:t>Manicourt, 2004</w:t>
              </w:r>
            </w:hyperlink>
            <w:r w:rsidRPr="00D61F73">
              <w:rPr>
                <w:rFonts w:ascii="Arial" w:eastAsia="Arial Unicode MS" w:hAnsi="Arial" w:cs="Arial"/>
                <w:b w:val="0"/>
                <w:bCs w:val="0"/>
                <w:lang w:val="en"/>
              </w:rPr>
              <w:t xml:space="preserve">) Mixed results have been found with intranasal calcitonin (Miacalcin®). </w:t>
            </w:r>
            <w:r w:rsidRPr="00D61F73">
              <w:rPr>
                <w:rFonts w:ascii="Arial" w:hAnsi="Arial" w:cs="Arial"/>
                <w:b w:val="0"/>
                <w:bCs w:val="0"/>
              </w:rPr>
              <w:t>(</w:t>
            </w:r>
            <w:hyperlink w:anchor="Sahin" w:history="1">
              <w:r w:rsidRPr="00D61F73">
                <w:rPr>
                  <w:rStyle w:val="Hyperlink"/>
                  <w:rFonts w:ascii="Arial" w:hAnsi="Arial" w:cs="Arial"/>
                  <w:b w:val="0"/>
                  <w:bCs w:val="0"/>
                </w:rPr>
                <w:t>Sahin, 2005</w:t>
              </w:r>
            </w:hyperlink>
            <w:r w:rsidRPr="00D61F73">
              <w:rPr>
                <w:rFonts w:ascii="Arial" w:hAnsi="Arial" w:cs="Arial"/>
                <w:b w:val="0"/>
                <w:bCs w:val="0"/>
              </w:rPr>
              <w:t xml:space="preserve">) </w:t>
            </w:r>
            <w:r w:rsidRPr="00D61F73">
              <w:rPr>
                <w:rFonts w:ascii="Arial" w:eastAsia="Arial Unicode MS" w:hAnsi="Arial" w:cs="Arial"/>
                <w:b w:val="0"/>
                <w:bCs w:val="0"/>
                <w:lang w:val="en"/>
              </w:rPr>
              <w:t>(</w:t>
            </w:r>
            <w:hyperlink w:anchor="Appelboom" w:history="1">
              <w:r w:rsidRPr="00D61F73">
                <w:rPr>
                  <w:rStyle w:val="Hyperlink"/>
                  <w:rFonts w:ascii="Arial" w:eastAsia="Arial Unicode MS" w:hAnsi="Arial" w:cs="Arial"/>
                  <w:b w:val="0"/>
                  <w:bCs w:val="0"/>
                  <w:lang w:val="en"/>
                </w:rPr>
                <w:t>Appelboom, 2002</w:t>
              </w:r>
            </w:hyperlink>
            <w:r w:rsidRPr="00D61F73">
              <w:rPr>
                <w:rFonts w:ascii="Arial" w:eastAsia="Arial Unicode MS" w:hAnsi="Arial" w:cs="Arial"/>
                <w:b w:val="0"/>
                <w:bCs w:val="0"/>
                <w:lang w:val="en"/>
              </w:rPr>
              <w:t>) (</w:t>
            </w:r>
            <w:hyperlink w:anchor="Rowbotham2" w:history="1">
              <w:r w:rsidRPr="00D61F73">
                <w:rPr>
                  <w:rStyle w:val="Hyperlink"/>
                  <w:rFonts w:ascii="Arial" w:eastAsia="Arial Unicode MS" w:hAnsi="Arial" w:cs="Arial"/>
                  <w:b w:val="0"/>
                  <w:bCs w:val="0"/>
                  <w:lang w:val="en"/>
                </w:rPr>
                <w:t>Rowbathan, 2006</w:t>
              </w:r>
            </w:hyperlink>
            <w:r w:rsidRPr="00D61F73">
              <w:rPr>
                <w:rFonts w:ascii="Arial" w:eastAsia="Arial Unicode MS" w:hAnsi="Arial" w:cs="Arial"/>
                <w:b w:val="0"/>
                <w:bCs w:val="0"/>
                <w:lang w:val="en"/>
              </w:rPr>
              <w:t>) (</w:t>
            </w:r>
            <w:hyperlink w:anchor="Sharma" w:history="1">
              <w:r w:rsidRPr="00D61F73">
                <w:rPr>
                  <w:rStyle w:val="Hyperlink"/>
                  <w:rFonts w:ascii="Arial" w:eastAsia="Arial Unicode MS" w:hAnsi="Arial" w:cs="Arial"/>
                  <w:b w:val="0"/>
                  <w:bCs w:val="0"/>
                  <w:lang w:val="en"/>
                </w:rPr>
                <w:t>Sharma, 2006</w:t>
              </w:r>
            </w:hyperlink>
            <w:r w:rsidRPr="00D61F73">
              <w:rPr>
                <w:rFonts w:ascii="Arial" w:eastAsia="Arial Unicode MS" w:hAnsi="Arial" w:cs="Arial"/>
                <w:b w:val="0"/>
                <w:bCs w:val="0"/>
                <w:lang w:val="en"/>
              </w:rPr>
              <w:t xml:space="preserve">) </w:t>
            </w:r>
            <w:r w:rsidRPr="00D61F73">
              <w:rPr>
                <w:rFonts w:ascii="Arial" w:hAnsi="Arial" w:cs="Arial"/>
                <w:b w:val="0"/>
                <w:bCs w:val="0"/>
              </w:rPr>
              <w:t xml:space="preserve">See also </w:t>
            </w:r>
            <w:hyperlink w:anchor="CRPSmedications" w:history="1">
              <w:r w:rsidRPr="00D61F73">
                <w:rPr>
                  <w:rStyle w:val="Hyperlink"/>
                  <w:rFonts w:ascii="Arial" w:hAnsi="Arial" w:cs="Arial"/>
                  <w:b w:val="0"/>
                  <w:bCs w:val="0"/>
                </w:rPr>
                <w:t>CRPS, medications</w:t>
              </w:r>
            </w:hyperlink>
            <w:r w:rsidRPr="00D61F73">
              <w:rPr>
                <w:rFonts w:ascii="Arial" w:hAnsi="Arial" w:cs="Arial"/>
                <w:b w:val="0"/>
                <w:bCs w:val="0"/>
              </w:rPr>
              <w:t>. Calcitonin is a hormone known to participate in calcium and phosphorus metabolism.</w:t>
            </w:r>
          </w:p>
          <w:p w14:paraId="3DD2B2AC" w14:textId="10151982" w:rsidR="009D69B2" w:rsidRDefault="009D69B2" w:rsidP="00D61F73">
            <w:pPr>
              <w:pStyle w:val="BodyText"/>
              <w:rPr>
                <w:rFonts w:ascii="Arial" w:hAnsi="Arial" w:cs="Arial"/>
                <w:b w:val="0"/>
                <w:bCs w:val="0"/>
              </w:rPr>
            </w:pPr>
          </w:p>
          <w:p w14:paraId="757A6F18" w14:textId="77777777" w:rsidR="004B5038" w:rsidRPr="00D61F73" w:rsidRDefault="004B5038" w:rsidP="00D61F73">
            <w:pPr>
              <w:pStyle w:val="BodyText"/>
              <w:rPr>
                <w:rFonts w:ascii="Arial" w:hAnsi="Arial" w:cs="Arial"/>
                <w:b w:val="0"/>
                <w:bCs w:val="0"/>
              </w:rPr>
            </w:pPr>
          </w:p>
        </w:tc>
      </w:tr>
      <w:tr w:rsidR="00E648FC" w:rsidRPr="00D61F73" w14:paraId="617F458E" w14:textId="77777777" w:rsidTr="0078164D">
        <w:tc>
          <w:tcPr>
            <w:tcW w:w="1086" w:type="pct"/>
          </w:tcPr>
          <w:p w14:paraId="54D67CC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22" w:name="Cannabinoids"/>
            <w:bookmarkEnd w:id="122"/>
            <w:r w:rsidRPr="00D61F73">
              <w:rPr>
                <w:rFonts w:ascii="Arial" w:hAnsi="Arial" w:cs="Arial"/>
              </w:rPr>
              <w:t xml:space="preserve">annabinoids </w:t>
            </w:r>
          </w:p>
        </w:tc>
        <w:tc>
          <w:tcPr>
            <w:tcW w:w="3914" w:type="pct"/>
          </w:tcPr>
          <w:p w14:paraId="437DD042"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Not recommended for pain. A growing number of states (23 at the time of publication of this guideline) (</w:t>
            </w:r>
            <w:hyperlink r:id="rId42" w:history="1">
              <w:r w:rsidRPr="00D61F73">
                <w:rPr>
                  <w:rStyle w:val="Hyperlink"/>
                  <w:rFonts w:ascii="Arial" w:hAnsi="Arial" w:cs="Arial"/>
                  <w:b w:val="0"/>
                  <w:bCs w:val="0"/>
                </w:rPr>
                <w:t>NCSL, 2013</w:t>
              </w:r>
            </w:hyperlink>
            <w:r w:rsidRPr="00D61F73">
              <w:rPr>
                <w:rFonts w:ascii="Arial" w:hAnsi="Arial" w:cs="Arial"/>
                <w:b w:val="0"/>
                <w:bCs w:val="0"/>
              </w:rPr>
              <w:t xml:space="preserve">) have approved the use of </w:t>
            </w:r>
            <w:r w:rsidRPr="00D61F73">
              <w:rPr>
                <w:rFonts w:ascii="Arial" w:hAnsi="Arial" w:cs="Arial"/>
                <w:b w:val="0"/>
                <w:bCs w:val="0"/>
              </w:rPr>
              <w:lastRenderedPageBreak/>
              <w:t>medical marijuana for the treatment of chronic pain, but there are no quality studies supporting cannabinoid use, and there are serious risks. Restricted legal access to Schedule I drugs, such as marijuana, tends to hamper research in this area. It is also very hard to do controlled studies with a drug that is psychoactive because it is hard to blind these effects. At this time it is difficult to justify advising patients to smoke street-grade marijuana, presuming that they will experience benefit, when they may also be harmed. (</w:t>
            </w:r>
            <w:hyperlink w:anchor="Mackie" w:history="1">
              <w:r w:rsidRPr="00D61F73">
                <w:rPr>
                  <w:rStyle w:val="Hyperlink"/>
                  <w:rFonts w:ascii="Arial" w:hAnsi="Arial" w:cs="Arial"/>
                  <w:b w:val="0"/>
                  <w:bCs w:val="0"/>
                </w:rPr>
                <w:t>Mackie, 2007</w:t>
              </w:r>
            </w:hyperlink>
            <w:r w:rsidRPr="00D61F73">
              <w:rPr>
                <w:rFonts w:ascii="Arial" w:hAnsi="Arial" w:cs="Arial"/>
                <w:b w:val="0"/>
                <w:bCs w:val="0"/>
              </w:rPr>
              <w:t>) (</w:t>
            </w:r>
            <w:hyperlink w:anchor="Moskowitz" w:history="1">
              <w:r w:rsidRPr="00D61F73">
                <w:rPr>
                  <w:rStyle w:val="Hyperlink"/>
                  <w:rFonts w:ascii="Arial" w:hAnsi="Arial" w:cs="Arial"/>
                  <w:b w:val="0"/>
                  <w:bCs w:val="0"/>
                </w:rPr>
                <w:t>Moskowitz, 2007</w:t>
              </w:r>
            </w:hyperlink>
            <w:r w:rsidRPr="00D61F73">
              <w:rPr>
                <w:rFonts w:ascii="Arial" w:hAnsi="Arial" w:cs="Arial"/>
                <w:b w:val="0"/>
                <w:bCs w:val="0"/>
              </w:rPr>
              <w:t>) One of the first dose-response studies of cannabis in humans has found that mid-range doses provided some pain relief, but high doses appeared to exacerbate pain. (</w:t>
            </w:r>
            <w:hyperlink w:anchor="Wallace" w:history="1">
              <w:r w:rsidRPr="00D61F73">
                <w:rPr>
                  <w:rStyle w:val="Hyperlink"/>
                  <w:rFonts w:ascii="Arial" w:hAnsi="Arial" w:cs="Arial"/>
                  <w:b w:val="0"/>
                  <w:bCs w:val="0"/>
                </w:rPr>
                <w:t>Wallace, 2007</w:t>
              </w:r>
            </w:hyperlink>
            <w:r w:rsidRPr="00D61F73">
              <w:rPr>
                <w:rFonts w:ascii="Arial" w:hAnsi="Arial" w:cs="Arial"/>
                <w:b w:val="0"/>
                <w:bCs w:val="0"/>
              </w:rPr>
              <w:t>) Cannabis use is associated with modest declines in cognitive performance, particularly learning and recall, especially at higher doses. The finding necessitates caution in the prescribing of medical marijuana for pain, especially in instances in which learning and memory are integral to a patient's work and lifestyle. (</w:t>
            </w:r>
            <w:hyperlink w:anchor="Wilsey" w:history="1">
              <w:r w:rsidRPr="00D61F73">
                <w:rPr>
                  <w:rStyle w:val="Hyperlink"/>
                  <w:rFonts w:ascii="Arial" w:hAnsi="Arial" w:cs="Arial"/>
                  <w:b w:val="0"/>
                  <w:bCs w:val="0"/>
                </w:rPr>
                <w:t>Wilsey, 2008</w:t>
              </w:r>
            </w:hyperlink>
            <w:r w:rsidRPr="00D61F73">
              <w:rPr>
                <w:rFonts w:ascii="Arial" w:hAnsi="Arial" w:cs="Arial"/>
                <w:b w:val="0"/>
                <w:bCs w:val="0"/>
              </w:rPr>
              <w:t>) Cannabinoids as analgesic agents can have an undesirable CNS impact, and, in many cases, dose optimization may not be realizable before onset of excessive side effects. (</w:t>
            </w:r>
            <w:hyperlink w:anchor="McCarberg" w:history="1">
              <w:r w:rsidRPr="00D61F73">
                <w:rPr>
                  <w:rStyle w:val="Hyperlink"/>
                  <w:rFonts w:ascii="Arial" w:hAnsi="Arial" w:cs="Arial"/>
                  <w:b w:val="0"/>
                  <w:bCs w:val="0"/>
                </w:rPr>
                <w:t>McCarberg, 2007</w:t>
              </w:r>
            </w:hyperlink>
            <w:r w:rsidRPr="00D61F73">
              <w:rPr>
                <w:rFonts w:ascii="Arial" w:hAnsi="Arial" w:cs="Arial"/>
                <w:b w:val="0"/>
                <w:bCs w:val="0"/>
              </w:rPr>
              <w:t>) This study concluded that nabilone, a synthetic cannabinoid approved for treatment of severe nausea and vomiting associated with cancer chemotherapy, may be a useful addition to pain management and should be further evaluated in randomized controlled trials. (</w:t>
            </w:r>
            <w:hyperlink w:anchor="Berlach2006" w:history="1">
              <w:r w:rsidRPr="00D61F73">
                <w:rPr>
                  <w:rStyle w:val="Hyperlink"/>
                  <w:rFonts w:ascii="Arial" w:hAnsi="Arial" w:cs="Arial"/>
                  <w:b w:val="0"/>
                  <w:bCs w:val="0"/>
                </w:rPr>
                <w:t>Berlach, 2006</w:t>
              </w:r>
            </w:hyperlink>
            <w:r w:rsidRPr="00D61F73">
              <w:rPr>
                <w:rFonts w:ascii="Arial" w:hAnsi="Arial" w:cs="Arial"/>
                <w:b w:val="0"/>
                <w:bCs w:val="0"/>
              </w:rPr>
              <w:t xml:space="preserve">) See also </w:t>
            </w:r>
            <w:hyperlink w:anchor="Nabilone" w:history="1">
              <w:r w:rsidRPr="00D61F73">
                <w:rPr>
                  <w:rStyle w:val="Hyperlink"/>
                  <w:rFonts w:ascii="Arial" w:hAnsi="Arial" w:cs="Arial"/>
                  <w:b w:val="0"/>
                  <w:bCs w:val="0"/>
                </w:rPr>
                <w:t>Nabilone</w:t>
              </w:r>
            </w:hyperlink>
            <w:r w:rsidRPr="00D61F73">
              <w:rPr>
                <w:rFonts w:ascii="Arial" w:hAnsi="Arial" w:cs="Arial"/>
                <w:b w:val="0"/>
                <w:bCs w:val="0"/>
              </w:rPr>
              <w:t xml:space="preserve"> (Cesamet®). The results of this preliminary study suggest that dronabinol, a synthetic THC, resulted in additional analgesia among patients taking opioids for chronic noncancer pain. (</w:t>
            </w:r>
            <w:hyperlink w:anchor="Narang2008" w:history="1">
              <w:r w:rsidRPr="00D61F73">
                <w:rPr>
                  <w:rStyle w:val="Hyperlink"/>
                  <w:rFonts w:ascii="Arial" w:hAnsi="Arial" w:cs="Arial"/>
                  <w:b w:val="0"/>
                  <w:bCs w:val="0"/>
                </w:rPr>
                <w:t>Narang, 2008</w:t>
              </w:r>
            </w:hyperlink>
            <w:r w:rsidRPr="00D61F73">
              <w:rPr>
                <w:rFonts w:ascii="Arial" w:hAnsi="Arial" w:cs="Arial"/>
                <w:b w:val="0"/>
                <w:bCs w:val="0"/>
              </w:rPr>
              <w:t>) Adding a cannabinoid to opioid therapy may lead to greater pain relief at lower opioid doses, according to a new study, but more study is needed. (</w:t>
            </w:r>
            <w:hyperlink w:anchor="Abrams2011" w:history="1">
              <w:r w:rsidRPr="00D61F73">
                <w:rPr>
                  <w:rStyle w:val="Hyperlink"/>
                  <w:rFonts w:ascii="Arial" w:hAnsi="Arial" w:cs="Arial"/>
                  <w:b w:val="0"/>
                  <w:bCs w:val="0"/>
                </w:rPr>
                <w:t>Abrams, 2011</w:t>
              </w:r>
            </w:hyperlink>
            <w:r w:rsidRPr="00D61F73">
              <w:rPr>
                <w:rFonts w:ascii="Arial" w:hAnsi="Arial" w:cs="Arial"/>
                <w:b w:val="0"/>
                <w:bCs w:val="0"/>
              </w:rPr>
              <w:t>)</w:t>
            </w:r>
          </w:p>
          <w:p w14:paraId="4CAB5861"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iCs/>
                <w:u w:val="single"/>
              </w:rPr>
              <w:t>Recent research</w:t>
            </w:r>
            <w:r w:rsidRPr="00D61F73">
              <w:rPr>
                <w:rFonts w:ascii="Arial" w:hAnsi="Arial" w:cs="Arial"/>
                <w:b w:val="0"/>
                <w:bCs w:val="0"/>
                <w:i/>
                <w:iCs/>
              </w:rPr>
              <w:t>:</w:t>
            </w:r>
            <w:r w:rsidRPr="00D61F73">
              <w:rPr>
                <w:rFonts w:ascii="Arial" w:hAnsi="Arial" w:cs="Arial"/>
                <w:b w:val="0"/>
                <w:bCs w:val="0"/>
              </w:rPr>
              <w:t xml:space="preserve"> Cannabis users who start using the drug as adolescents show an irreparable decline in IQ, with more persistent use linked to a greater decline, according to a New Zealand prospective study with over 1,000 patients. Adolescents are particularly vulnerable to developing cognitive impairment from cannabis and the drug, far from being harmless, as many teens and even adults believe, can have severe neurotoxic effects on the brain. Between the ages of 8 and 38 years, individuals who began using cannabis in adolescence and continued to use it for years thereafter lost an average of 8 IQ points, versus rising slightly in nonusers. Cessation of cannabis did not restore IQ among teen-onset cannabis users. Cannabis in New Zealand has a THC content of approximately 9%. (</w:t>
            </w:r>
            <w:hyperlink w:anchor="Meier2013" w:history="1">
              <w:r w:rsidRPr="00D61F73">
                <w:rPr>
                  <w:rStyle w:val="Hyperlink"/>
                  <w:rFonts w:ascii="Arial" w:hAnsi="Arial" w:cs="Arial"/>
                  <w:b w:val="0"/>
                  <w:bCs w:val="0"/>
                </w:rPr>
                <w:t>Meier, 2013</w:t>
              </w:r>
            </w:hyperlink>
            <w:r w:rsidRPr="00D61F73">
              <w:rPr>
                <w:rFonts w:ascii="Arial" w:hAnsi="Arial" w:cs="Arial"/>
                <w:b w:val="0"/>
                <w:bCs w:val="0"/>
              </w:rPr>
              <w:t>) The American Society of Addiction Medicine (ASAM) has taken a position against medical marijuana, saying physicians should not recommend that patients use marijuana for medical purposes, because it is a dangerous, addictive drug and is not approved by the FDA. Cannabis is unstable and unpredictable and the drug should be subject to the same standards that apply to other medications. For every disease and disorder for which marijuana has been recommended, there is a better, FDA-approved medication. (</w:t>
            </w:r>
            <w:hyperlink w:anchor="Gitlow2013" w:history="1">
              <w:r w:rsidRPr="00D61F73">
                <w:rPr>
                  <w:rStyle w:val="Hyperlink"/>
                  <w:rFonts w:ascii="Arial" w:hAnsi="Arial" w:cs="Arial"/>
                  <w:b w:val="0"/>
                  <w:bCs w:val="0"/>
                </w:rPr>
                <w:t>Gitlow, 2013</w:t>
              </w:r>
            </w:hyperlink>
            <w:r w:rsidRPr="00D61F73">
              <w:rPr>
                <w:rFonts w:ascii="Arial" w:hAnsi="Arial" w:cs="Arial"/>
                <w:b w:val="0"/>
                <w:bCs w:val="0"/>
              </w:rPr>
              <w:t xml:space="preserve">) An RCT of smoked marijuana and oral dronabinol (tetrahydrocannabinol; THC) showed that both produce an analgesic effect, but this effect lasts longer with dronabinol, and it is less subject to abuse. Reported advantages to smoked marijuana are its faster onset and the relative ease with which doses can be managed, but it is not </w:t>
            </w:r>
            <w:r w:rsidRPr="00D61F73">
              <w:rPr>
                <w:rFonts w:ascii="Arial" w:hAnsi="Arial" w:cs="Arial"/>
                <w:b w:val="0"/>
                <w:bCs w:val="0"/>
              </w:rPr>
              <w:lastRenderedPageBreak/>
              <w:t>always safe or feasible to smoke marijuana. In addition to the cardiopulmonary risks this carries, smoking anything is not acceptable, such as on an airplane or at work. On the other hand, dronabinol is not approved for pain, only for chemotherapy-induced nausea and AIDS-related weight loss. And, the recommended doses (2.5 mg to 5 mg) are much lower than those used in this study (10 mg to 20 mg) that seemed to have an effect on pain. (</w:t>
            </w:r>
            <w:hyperlink w:anchor="Cooper2013" w:history="1">
              <w:r w:rsidRPr="00D61F73">
                <w:rPr>
                  <w:rStyle w:val="Hyperlink"/>
                  <w:rFonts w:ascii="Arial" w:hAnsi="Arial" w:cs="Arial"/>
                  <w:b w:val="0"/>
                  <w:bCs w:val="0"/>
                </w:rPr>
                <w:t>Cooper, 2013</w:t>
              </w:r>
            </w:hyperlink>
            <w:r w:rsidRPr="00D61F73">
              <w:rPr>
                <w:rFonts w:ascii="Arial" w:hAnsi="Arial" w:cs="Arial"/>
                <w:b w:val="0"/>
                <w:bCs w:val="0"/>
              </w:rPr>
              <w:t>) The 2 main chemical ingredients in marijuana, Δ9-tetrahydrocannabinol (THC) and cannabidiol (CBD), can have very different effects on behavior and in the brain, this research shows. Even a single modest dose of THC, the main ingredient in marijuana that is responsible for the high, can induce psychotic symptoms, whereas CBD can be useful as a treatment for psychosis. Regular marijuana use in vulnerable individuals is associated with increased risk of developing psychotic disorders such as schizophrenia, in which patients lose contact with reality. CBD, on the other hand, had the opposite effect, increasing the response of the left caudate, an area of the brain weakened by THC. (</w:t>
            </w:r>
            <w:hyperlink w:anchor="Bhattacharyya2012" w:history="1">
              <w:r w:rsidRPr="00D61F73">
                <w:rPr>
                  <w:rStyle w:val="Hyperlink"/>
                  <w:rFonts w:ascii="Arial" w:hAnsi="Arial" w:cs="Arial"/>
                  <w:b w:val="0"/>
                  <w:bCs w:val="0"/>
                </w:rPr>
                <w:t>Bhattacharyya, 2012</w:t>
              </w:r>
            </w:hyperlink>
            <w:r w:rsidRPr="00D61F73">
              <w:rPr>
                <w:rFonts w:ascii="Arial" w:hAnsi="Arial" w:cs="Arial"/>
                <w:b w:val="0"/>
                <w:bCs w:val="0"/>
              </w:rPr>
              <w:t>) Long-term marijuana use has been linked to structural brain changes similar to those observed in schizophrenia patients, and they correlate with poorer working memory. Teens who smoked marijuana daily for about 3 years performed poorly on tests of working memory and had abnormal changes in brain structures akin to those seen in patients with schizophrenia, linking long-term use of marijuana to brain abnormalities that appear to last for at least a few years after people stop using it. (</w:t>
            </w:r>
            <w:hyperlink w:anchor="Smith2013" w:history="1">
              <w:r w:rsidRPr="00D61F73">
                <w:rPr>
                  <w:rStyle w:val="Hyperlink"/>
                  <w:rFonts w:ascii="Arial" w:hAnsi="Arial" w:cs="Arial"/>
                  <w:b w:val="0"/>
                  <w:bCs w:val="0"/>
                </w:rPr>
                <w:t>Smith, 2013</w:t>
              </w:r>
            </w:hyperlink>
            <w:r w:rsidRPr="00D61F73">
              <w:rPr>
                <w:rFonts w:ascii="Arial" w:hAnsi="Arial" w:cs="Arial"/>
                <w:b w:val="0"/>
                <w:bCs w:val="0"/>
              </w:rPr>
              <w:t>)</w:t>
            </w:r>
          </w:p>
          <w:p w14:paraId="646A6A5C"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iCs/>
                <w:u w:val="single"/>
              </w:rPr>
              <w:t>Epilepsy</w:t>
            </w:r>
            <w:r w:rsidRPr="00D61F73">
              <w:rPr>
                <w:rFonts w:ascii="Arial" w:hAnsi="Arial" w:cs="Arial"/>
                <w:b w:val="0"/>
                <w:bCs w:val="0"/>
                <w:i/>
                <w:iCs/>
              </w:rPr>
              <w:t>:</w:t>
            </w:r>
            <w:r w:rsidRPr="00D61F73">
              <w:rPr>
                <w:rFonts w:ascii="Arial" w:hAnsi="Arial" w:cs="Arial"/>
                <w:b w:val="0"/>
                <w:bCs w:val="0"/>
              </w:rPr>
              <w:t xml:space="preserve"> Cannabinoids have therapeutic potential in epilepsy, but their efficacy and safety remain to be proven. There are no controlled trials demonstrating that marijuana is safe or effective for the treatment of epilepsy. On the other hand, there is evidence that marijuana may be harmful, particularly in the developing brain after regular use. Synthetic cannabinoids appear even more toxic. For patients who have exhausted conventional therapies, medical marijuana, with anecdotal evidence of seizure control, could be considered as an alternative therapy. Such use should be carefully monitored by a physician. (</w:t>
            </w:r>
            <w:hyperlink w:anchor="Robson2014" w:history="1">
              <w:r w:rsidRPr="00D61F73">
                <w:rPr>
                  <w:rStyle w:val="Hyperlink"/>
                  <w:rFonts w:ascii="Arial" w:hAnsi="Arial" w:cs="Arial"/>
                  <w:b w:val="0"/>
                  <w:bCs w:val="0"/>
                </w:rPr>
                <w:t>Robson, 2014</w:t>
              </w:r>
            </w:hyperlink>
            <w:r w:rsidRPr="00D61F73">
              <w:rPr>
                <w:rFonts w:ascii="Arial" w:hAnsi="Arial" w:cs="Arial"/>
                <w:b w:val="0"/>
                <w:bCs w:val="0"/>
              </w:rPr>
              <w:t>)</w:t>
            </w:r>
          </w:p>
        </w:tc>
      </w:tr>
      <w:tr w:rsidR="00E648FC" w:rsidRPr="00D61F73" w14:paraId="2E4EDE8B" w14:textId="77777777" w:rsidTr="0078164D">
        <w:tc>
          <w:tcPr>
            <w:tcW w:w="1086" w:type="pct"/>
          </w:tcPr>
          <w:p w14:paraId="6A9C354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23" w:name="Capsaicin"/>
            <w:bookmarkStart w:id="124" w:name="Capsaicintopical"/>
            <w:bookmarkEnd w:id="123"/>
            <w:bookmarkEnd w:id="124"/>
            <w:r w:rsidRPr="00D61F73">
              <w:rPr>
                <w:rFonts w:ascii="Arial" w:hAnsi="Arial" w:cs="Arial"/>
              </w:rPr>
              <w:t xml:space="preserve">apsaicin, topical (chili pepper/ cayenne pepper) </w:t>
            </w:r>
          </w:p>
        </w:tc>
        <w:tc>
          <w:tcPr>
            <w:tcW w:w="3914" w:type="pct"/>
          </w:tcPr>
          <w:p w14:paraId="05B48C5C"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Recommended only as an option in patients who have not responded or are intolerant to other treatments. </w:t>
            </w:r>
          </w:p>
          <w:p w14:paraId="7A79554C"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 xml:space="preserve">Formulations: </w:t>
            </w:r>
            <w:r w:rsidRPr="00D61F73">
              <w:rPr>
                <w:rFonts w:ascii="Arial" w:hAnsi="Arial" w:cs="Arial"/>
                <w:b w:val="0"/>
                <w:bCs w:val="0"/>
              </w:rPr>
              <w:t>Capsaicin is generally available as a 0.025% formulation (as a treatment for osteoarthritis) and a 0.075% formulation (primarily studied for post-herpetic neuralgia, diabetic neuropathy and post-mastectomy pain). There have been no studies of a 0.0375% formulation of capsaicin and there is no current indication that this increase over a 0.025% formulation would provide any further efficacy.</w:t>
            </w:r>
          </w:p>
          <w:p w14:paraId="1BCA4770"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 xml:space="preserve">Indications: </w:t>
            </w:r>
            <w:r w:rsidRPr="00D61F73">
              <w:rPr>
                <w:rFonts w:ascii="Arial" w:hAnsi="Arial" w:cs="Arial"/>
                <w:b w:val="0"/>
                <w:bCs w:val="0"/>
              </w:rPr>
              <w:t xml:space="preserve">There are positive randomized studies with capsaicin cream in patients with osteoarthritis, fibromyalgia, and chronic non-specific back pain, but it should be considered experimental in very high doses. Although topical capsaicin has moderate to poor efficacy, it may be particularly useful (alone or in conjunction with other modalities) in patients whose pain has not been controlled successfully with conventional therapy. The number needed to treat in musculoskeletal conditions was 8.1. The number needed to treat for neuropathic conditions was 5.7. </w:t>
            </w:r>
            <w:r w:rsidRPr="00D61F73">
              <w:rPr>
                <w:rFonts w:ascii="Arial" w:hAnsi="Arial" w:cs="Arial"/>
                <w:b w:val="0"/>
                <w:bCs w:val="0"/>
              </w:rPr>
              <w:lastRenderedPageBreak/>
              <w:t>(</w:t>
            </w:r>
            <w:hyperlink w:anchor="Robbins" w:history="1">
              <w:r w:rsidRPr="00D61F73">
                <w:rPr>
                  <w:rStyle w:val="Hyperlink"/>
                  <w:rFonts w:ascii="Arial" w:hAnsi="Arial" w:cs="Arial"/>
                  <w:b w:val="0"/>
                  <w:bCs w:val="0"/>
                </w:rPr>
                <w:t>Robbins, 2000</w:t>
              </w:r>
            </w:hyperlink>
            <w:r w:rsidRPr="00D61F73">
              <w:rPr>
                <w:rFonts w:ascii="Arial" w:hAnsi="Arial" w:cs="Arial"/>
                <w:b w:val="0"/>
                <w:bCs w:val="0"/>
              </w:rPr>
              <w:t>) (</w:t>
            </w:r>
            <w:hyperlink w:anchor="Keitel" w:history="1">
              <w:r w:rsidRPr="00D61F73">
                <w:rPr>
                  <w:rStyle w:val="Hyperlink"/>
                  <w:rFonts w:ascii="Arial" w:hAnsi="Arial" w:cs="Arial"/>
                  <w:b w:val="0"/>
                  <w:bCs w:val="0"/>
                </w:rPr>
                <w:t>Keitel, 2001</w:t>
              </w:r>
            </w:hyperlink>
            <w:r w:rsidRPr="00D61F73">
              <w:rPr>
                <w:rFonts w:ascii="Arial" w:hAnsi="Arial" w:cs="Arial"/>
                <w:b w:val="0"/>
                <w:bCs w:val="0"/>
              </w:rPr>
              <w:t>) (</w:t>
            </w:r>
            <w:hyperlink w:anchor="Mason2" w:history="1">
              <w:r w:rsidRPr="00D61F73">
                <w:rPr>
                  <w:rStyle w:val="Hyperlink"/>
                  <w:rFonts w:ascii="Arial" w:hAnsi="Arial" w:cs="Arial"/>
                  <w:b w:val="0"/>
                  <w:bCs w:val="0"/>
                </w:rPr>
                <w:t>Mason-BMJ, 2004</w:t>
              </w:r>
            </w:hyperlink>
            <w:r w:rsidRPr="00D61F73">
              <w:rPr>
                <w:rFonts w:ascii="Arial" w:hAnsi="Arial" w:cs="Arial"/>
                <w:b w:val="0"/>
                <w:bCs w:val="0"/>
              </w:rPr>
              <w:t>) The results from this RCT support the beneficial effects of 0.025% capsaicin cream as a first-line therapy for OA pain. (</w:t>
            </w:r>
            <w:hyperlink w:anchor="Altman" w:history="1">
              <w:r w:rsidRPr="00D61F73">
                <w:rPr>
                  <w:rStyle w:val="Hyperlink"/>
                  <w:rFonts w:ascii="Arial" w:hAnsi="Arial" w:cs="Arial"/>
                  <w:b w:val="0"/>
                  <w:bCs w:val="0"/>
                </w:rPr>
                <w:t>Altman, 1994</w:t>
              </w:r>
            </w:hyperlink>
            <w:r w:rsidRPr="00D61F73">
              <w:rPr>
                <w:rFonts w:ascii="Arial" w:hAnsi="Arial" w:cs="Arial"/>
                <w:b w:val="0"/>
                <w:bCs w:val="0"/>
              </w:rPr>
              <w:t>)</w:t>
            </w:r>
          </w:p>
          <w:p w14:paraId="3A234CDC"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 xml:space="preserve">Mechanism of action: </w:t>
            </w:r>
            <w:r w:rsidRPr="00D61F73">
              <w:rPr>
                <w:rFonts w:ascii="Arial" w:hAnsi="Arial" w:cs="Arial"/>
                <w:b w:val="0"/>
                <w:bCs w:val="0"/>
              </w:rPr>
              <w:t>Capsaicin, which is derived from chili peppers, causes vasodilation, itching, and burning when applied to the skin. These actions are attributed to binding with nociceptors, which causes a period of enhanced sensitivity followed by a refractory period of reduced sensitivity. Topical capsaicin is superior to placebo in relieving chronic neuropathic and musculoskeletal pain. Capsaicin produces highly selective regional anesthesia by causing degeneration of capsaicin-sensitive nociceptive nerve endings, which can produce significant and long lasting increases in nociceptive thresholds. (</w:t>
            </w:r>
            <w:hyperlink w:anchor="Maroon" w:history="1">
              <w:r w:rsidRPr="00D61F73">
                <w:rPr>
                  <w:rStyle w:val="Hyperlink"/>
                  <w:rFonts w:ascii="Arial" w:hAnsi="Arial" w:cs="Arial"/>
                  <w:b w:val="0"/>
                  <w:bCs w:val="0"/>
                </w:rPr>
                <w:t>Maroon, 2006</w:t>
              </w:r>
            </w:hyperlink>
            <w:r w:rsidRPr="00D61F73">
              <w:rPr>
                <w:rFonts w:ascii="Arial" w:hAnsi="Arial" w:cs="Arial"/>
                <w:b w:val="0"/>
                <w:bCs w:val="0"/>
              </w:rPr>
              <w:t>)</w:t>
            </w:r>
          </w:p>
          <w:p w14:paraId="77485E19" w14:textId="349DC17B" w:rsidR="00E648FC" w:rsidRPr="00D61F73" w:rsidRDefault="00E648FC" w:rsidP="00737493">
            <w:pPr>
              <w:pStyle w:val="BodyText"/>
              <w:rPr>
                <w:rFonts w:ascii="Arial" w:hAnsi="Arial" w:cs="Arial"/>
                <w:b w:val="0"/>
                <w:bCs w:val="0"/>
              </w:rPr>
            </w:pPr>
            <w:r w:rsidRPr="00D61F73">
              <w:rPr>
                <w:rFonts w:ascii="Arial" w:hAnsi="Arial" w:cs="Arial"/>
                <w:b w:val="0"/>
                <w:bCs w:val="0"/>
                <w:i/>
              </w:rPr>
              <w:t xml:space="preserve">Adverse reactions: </w:t>
            </w:r>
            <w:r w:rsidRPr="00D61F73">
              <w:rPr>
                <w:rFonts w:ascii="Arial" w:hAnsi="Arial" w:cs="Arial"/>
                <w:b w:val="0"/>
                <w:bCs w:val="0"/>
              </w:rPr>
              <w:t>Local adverse reactions were common (one out of three patients) but seldom serious (burning, stinging, erythema). Coughing has also been reported. Topical OTC pain relievers that contain menthol, methyl salicylate, or capsaicin, may in rare instances cause serious burns, a new alert from the FDA warns. (</w:t>
            </w:r>
            <w:hyperlink r:id="rId43" w:history="1">
              <w:r w:rsidRPr="00D61F73">
                <w:rPr>
                  <w:rStyle w:val="Hyperlink"/>
                  <w:rFonts w:ascii="Arial" w:hAnsi="Arial" w:cs="Arial"/>
                  <w:b w:val="0"/>
                  <w:bCs w:val="0"/>
                </w:rPr>
                <w:t>FDA, 2012</w:t>
              </w:r>
            </w:hyperlink>
            <w:r w:rsidRPr="00D61F73">
              <w:rPr>
                <w:rFonts w:ascii="Arial" w:hAnsi="Arial" w:cs="Arial"/>
                <w:b w:val="0"/>
                <w:bCs w:val="0"/>
              </w:rPr>
              <w:t>)</w:t>
            </w:r>
            <w:r w:rsidRPr="00D61F73">
              <w:rPr>
                <w:rFonts w:ascii="Arial" w:hAnsi="Arial" w:cs="Arial"/>
              </w:rPr>
              <w:t xml:space="preserve"> </w:t>
            </w:r>
            <w:r w:rsidRPr="00D61F73">
              <w:rPr>
                <w:rFonts w:ascii="Arial" w:hAnsi="Arial" w:cs="Arial"/>
                <w:b w:val="0"/>
                <w:bCs w:val="0"/>
              </w:rPr>
              <w:t xml:space="preserve">See also </w:t>
            </w:r>
            <w:hyperlink w:anchor="CRPSmedications" w:history="1">
              <w:r w:rsidRPr="00D61F73">
                <w:rPr>
                  <w:rStyle w:val="Hyperlink"/>
                  <w:rFonts w:ascii="Arial" w:hAnsi="Arial" w:cs="Arial"/>
                  <w:b w:val="0"/>
                  <w:bCs w:val="0"/>
                </w:rPr>
                <w:t>CRPS, medications</w:t>
              </w:r>
            </w:hyperlink>
            <w:r w:rsidRPr="00D61F73">
              <w:rPr>
                <w:rFonts w:ascii="Arial" w:hAnsi="Arial" w:cs="Arial"/>
                <w:b w:val="0"/>
                <w:bCs w:val="0"/>
              </w:rPr>
              <w:t xml:space="preserve">; </w:t>
            </w:r>
            <w:hyperlink w:anchor="Diabeticneuropathy" w:history="1">
              <w:r w:rsidRPr="00D61F73">
                <w:rPr>
                  <w:rStyle w:val="Hyperlink"/>
                  <w:rFonts w:ascii="Arial" w:hAnsi="Arial" w:cs="Arial"/>
                  <w:b w:val="0"/>
                  <w:bCs w:val="0"/>
                </w:rPr>
                <w:t>Diabetic neuropathy</w:t>
              </w:r>
            </w:hyperlink>
            <w:r w:rsidRPr="00D61F73">
              <w:rPr>
                <w:rFonts w:ascii="Arial" w:hAnsi="Arial" w:cs="Arial"/>
                <w:b w:val="0"/>
                <w:bCs w:val="0"/>
              </w:rPr>
              <w:t xml:space="preserve">; &amp; </w:t>
            </w:r>
            <w:hyperlink w:anchor="Topicalanalgesics" w:history="1">
              <w:r w:rsidRPr="00D61F73">
                <w:rPr>
                  <w:rStyle w:val="Hyperlink"/>
                  <w:rFonts w:ascii="Arial" w:hAnsi="Arial" w:cs="Arial"/>
                  <w:b w:val="0"/>
                  <w:bCs w:val="0"/>
                </w:rPr>
                <w:t>Topical analgesics</w:t>
              </w:r>
            </w:hyperlink>
            <w:r w:rsidRPr="00D61F73">
              <w:rPr>
                <w:rFonts w:ascii="Arial" w:hAnsi="Arial" w:cs="Arial"/>
                <w:b w:val="0"/>
                <w:bCs w:val="0"/>
              </w:rPr>
              <w:t xml:space="preserve">. </w:t>
            </w:r>
          </w:p>
        </w:tc>
      </w:tr>
      <w:tr w:rsidR="00E648FC" w:rsidRPr="00D61F73" w14:paraId="0D75F5AC" w14:textId="77777777" w:rsidTr="0078164D">
        <w:tc>
          <w:tcPr>
            <w:tcW w:w="1086" w:type="pct"/>
          </w:tcPr>
          <w:p w14:paraId="22BC3EE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25" w:name="Carbamazepine"/>
            <w:bookmarkEnd w:id="125"/>
            <w:r w:rsidRPr="00D61F73">
              <w:rPr>
                <w:rFonts w:ascii="Arial" w:hAnsi="Arial" w:cs="Arial"/>
              </w:rPr>
              <w:t>arbamazepine (Tegretol®)</w:t>
            </w:r>
          </w:p>
        </w:tc>
        <w:tc>
          <w:tcPr>
            <w:tcW w:w="3914" w:type="pct"/>
          </w:tcPr>
          <w:p w14:paraId="2AC61DE7" w14:textId="77777777" w:rsidR="00E648FC" w:rsidRPr="00D61F73" w:rsidRDefault="00E648FC" w:rsidP="00D61F73">
            <w:pPr>
              <w:rPr>
                <w:rFonts w:ascii="Arial" w:hAnsi="Arial" w:cs="Arial"/>
                <w:b/>
                <w:bCs/>
              </w:rPr>
            </w:pPr>
            <w:r w:rsidRPr="00D61F73">
              <w:rPr>
                <w:rFonts w:ascii="Arial" w:hAnsi="Arial" w:cs="Arial"/>
              </w:rPr>
              <w:t xml:space="preserve">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CarbamazepineListing" w:history="1">
              <w:r w:rsidRPr="00D61F73">
                <w:rPr>
                  <w:rStyle w:val="Hyperlink"/>
                  <w:rFonts w:ascii="Arial" w:hAnsi="Arial" w:cs="Arial"/>
                </w:rPr>
                <w:t>Carbamazepine</w:t>
              </w:r>
            </w:hyperlink>
            <w:r w:rsidRPr="00D61F73">
              <w:rPr>
                <w:rFonts w:ascii="Arial" w:hAnsi="Arial" w:cs="Arial"/>
              </w:rPr>
              <w:t xml:space="preserve"> listing.</w:t>
            </w:r>
          </w:p>
        </w:tc>
      </w:tr>
      <w:tr w:rsidR="00E648FC" w:rsidRPr="00D61F73" w14:paraId="52366C70" w14:textId="77777777" w:rsidTr="0078164D">
        <w:tc>
          <w:tcPr>
            <w:tcW w:w="1086" w:type="pct"/>
          </w:tcPr>
          <w:p w14:paraId="015E774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26" w:name="Carisoprodol"/>
            <w:bookmarkEnd w:id="126"/>
            <w:r w:rsidRPr="00D61F73">
              <w:rPr>
                <w:rFonts w:ascii="Arial" w:hAnsi="Arial" w:cs="Arial"/>
              </w:rPr>
              <w:t>arisoprodol (Soma®)</w:t>
            </w:r>
          </w:p>
        </w:tc>
        <w:tc>
          <w:tcPr>
            <w:tcW w:w="3914" w:type="pct"/>
          </w:tcPr>
          <w:p w14:paraId="20132761"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Not recommended. This medication is FDA-approved for symptomatic relief of discomfort associated with acute pain in musculoskeletal conditions as an adjunct to rest and physical therapy. (</w:t>
            </w:r>
            <w:hyperlink w:anchor="AHFSDrugInformation" w:history="1">
              <w:r w:rsidRPr="00D61F73">
                <w:rPr>
                  <w:rStyle w:val="Hyperlink"/>
                  <w:rFonts w:ascii="Arial" w:hAnsi="Arial" w:cs="Arial"/>
                  <w:b w:val="0"/>
                  <w:bCs w:val="0"/>
                </w:rPr>
                <w:t>AHFS, 2008</w:t>
              </w:r>
            </w:hyperlink>
            <w:r w:rsidRPr="00D61F73">
              <w:rPr>
                <w:rFonts w:ascii="Arial" w:hAnsi="Arial" w:cs="Arial"/>
                <w:b w:val="0"/>
                <w:bCs w:val="0"/>
              </w:rPr>
              <w:t>) This medication is not indicated for long-term use. Carisoprodol is a commonly prescribed, centrally acting skeletal muscle relaxant whose primary active metabolite is meprobamate (a Schedule-IV controlled substance). As of January 2012, carisoprodol is scheduled by the DEA as a Schedule IV medication. (</w:t>
            </w:r>
            <w:hyperlink r:id="rId44" w:history="1">
              <w:r w:rsidRPr="00D61F73">
                <w:rPr>
                  <w:rStyle w:val="Hyperlink"/>
                  <w:rFonts w:ascii="Arial" w:hAnsi="Arial" w:cs="Arial"/>
                  <w:b w:val="0"/>
                  <w:bCs w:val="0"/>
                </w:rPr>
                <w:t>DEA, 2012</w:t>
              </w:r>
            </w:hyperlink>
            <w:r w:rsidRPr="00D61F73">
              <w:rPr>
                <w:rFonts w:ascii="Arial" w:hAnsi="Arial" w:cs="Arial"/>
                <w:b w:val="0"/>
                <w:bCs w:val="0"/>
              </w:rPr>
              <w:t xml:space="preserve">) It has been suggested that the main effect is due to generalized sedation and treatment of anxiety. </w:t>
            </w:r>
          </w:p>
          <w:p w14:paraId="19DA7162" w14:textId="77777777" w:rsidR="00E648FC" w:rsidRPr="00D61F73" w:rsidRDefault="00E648FC" w:rsidP="00D61F73">
            <w:pPr>
              <w:rPr>
                <w:rFonts w:ascii="Arial" w:eastAsia="Calibri" w:hAnsi="Arial" w:cs="Arial"/>
                <w:color w:val="auto"/>
              </w:rPr>
            </w:pPr>
            <w:r w:rsidRPr="00D61F73">
              <w:rPr>
                <w:rFonts w:ascii="Arial" w:hAnsi="Arial" w:cs="Arial"/>
                <w:i/>
              </w:rPr>
              <w:t xml:space="preserve">Beers criteria: </w:t>
            </w:r>
            <w:r w:rsidRPr="00D61F73">
              <w:rPr>
                <w:rFonts w:ascii="Arial" w:hAnsi="Arial" w:cs="Arial"/>
              </w:rPr>
              <w:t>The AGS updated Beers criteria for inappropriate medication use includes carisoprodol. This is a list of potentially inappropriate medications for older adults. (</w:t>
            </w:r>
            <w:hyperlink w:anchor="AGS2012" w:history="1">
              <w:r w:rsidRPr="00D61F73">
                <w:rPr>
                  <w:rStyle w:val="Hyperlink"/>
                  <w:rFonts w:ascii="Arial" w:hAnsi="Arial" w:cs="Arial"/>
                </w:rPr>
                <w:t>AGS, 2012</w:t>
              </w:r>
            </w:hyperlink>
            <w:r w:rsidRPr="00D61F73">
              <w:rPr>
                <w:rFonts w:ascii="Arial" w:hAnsi="Arial" w:cs="Arial"/>
              </w:rPr>
              <w:t>)</w:t>
            </w:r>
          </w:p>
          <w:p w14:paraId="6C3C83F8"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Abuse:</w:t>
            </w:r>
            <w:r w:rsidRPr="00D61F73">
              <w:rPr>
                <w:rFonts w:ascii="Arial" w:hAnsi="Arial" w:cs="Arial"/>
                <w:i/>
              </w:rPr>
              <w:t xml:space="preserve"> </w:t>
            </w:r>
            <w:r w:rsidRPr="00D61F73">
              <w:rPr>
                <w:rFonts w:ascii="Arial" w:hAnsi="Arial" w:cs="Arial"/>
                <w:b w:val="0"/>
                <w:bCs w:val="0"/>
              </w:rPr>
              <w:t>Abuse has been noted for sedative and relaxant effects. In regular abusers the main concern is the accumulation of meprobamate. Carisoprodol abuse has also been noted in order to augment or alter effects of other drugs. This includes the following: (1) increasing sedation of benzodiazepines or alcohol; (2) use to prevent side effects of cocaine; (3) use with tramadol to produce relaxation and euphoria; (4) as a combination with hydrocodone, an effect that some abusers claim is similar to heroin (referred to as a “Las Vegas Cocktail”); &amp; (5) as a combination with codeine (referred to as “Soma Coma”). (</w:t>
            </w:r>
            <w:hyperlink w:anchor="Reeves1999a" w:history="1">
              <w:r w:rsidRPr="00D61F73">
                <w:rPr>
                  <w:rStyle w:val="Hyperlink"/>
                  <w:rFonts w:ascii="Arial" w:hAnsi="Arial" w:cs="Arial"/>
                  <w:b w:val="0"/>
                  <w:bCs w:val="0"/>
                </w:rPr>
                <w:t>Reeves, 1999</w:t>
              </w:r>
            </w:hyperlink>
            <w:r w:rsidRPr="00D61F73">
              <w:rPr>
                <w:rFonts w:ascii="Arial" w:hAnsi="Arial" w:cs="Arial"/>
                <w:b w:val="0"/>
                <w:bCs w:val="0"/>
              </w:rPr>
              <w:t>) (</w:t>
            </w:r>
            <w:hyperlink w:anchor="Reeves2001" w:history="1">
              <w:r w:rsidRPr="00D61F73">
                <w:rPr>
                  <w:rStyle w:val="Hyperlink"/>
                  <w:rFonts w:ascii="Arial" w:hAnsi="Arial" w:cs="Arial"/>
                  <w:b w:val="0"/>
                  <w:bCs w:val="0"/>
                </w:rPr>
                <w:t>Reeves, 2001</w:t>
              </w:r>
            </w:hyperlink>
            <w:r w:rsidRPr="00D61F73">
              <w:rPr>
                <w:rFonts w:ascii="Arial" w:hAnsi="Arial" w:cs="Arial"/>
                <w:b w:val="0"/>
                <w:bCs w:val="0"/>
              </w:rPr>
              <w:t>) (</w:t>
            </w:r>
            <w:hyperlink w:anchor="Reeves2008" w:history="1">
              <w:r w:rsidRPr="00D61F73">
                <w:rPr>
                  <w:rStyle w:val="Hyperlink"/>
                  <w:rFonts w:ascii="Arial" w:hAnsi="Arial" w:cs="Arial"/>
                  <w:b w:val="0"/>
                  <w:bCs w:val="0"/>
                </w:rPr>
                <w:t>Reeves, 2008</w:t>
              </w:r>
            </w:hyperlink>
            <w:r w:rsidRPr="00D61F73">
              <w:rPr>
                <w:rFonts w:ascii="Arial" w:hAnsi="Arial" w:cs="Arial"/>
                <w:b w:val="0"/>
                <w:bCs w:val="0"/>
              </w:rPr>
              <w:t>) (</w:t>
            </w:r>
            <w:hyperlink w:anchor="Schears" w:history="1">
              <w:r w:rsidRPr="00D61F73">
                <w:rPr>
                  <w:rStyle w:val="Hyperlink"/>
                  <w:rFonts w:ascii="Arial" w:hAnsi="Arial" w:cs="Arial"/>
                  <w:b w:val="0"/>
                  <w:bCs w:val="0"/>
                </w:rPr>
                <w:t>Schears, 2004</w:t>
              </w:r>
            </w:hyperlink>
            <w:r w:rsidRPr="00D61F73">
              <w:rPr>
                <w:rFonts w:ascii="Arial" w:hAnsi="Arial" w:cs="Arial"/>
                <w:b w:val="0"/>
                <w:bCs w:val="0"/>
              </w:rPr>
              <w:t>) (</w:t>
            </w:r>
            <w:hyperlink w:anchor="Owens" w:history="1">
              <w:r w:rsidRPr="00D61F73">
                <w:rPr>
                  <w:rStyle w:val="Hyperlink"/>
                  <w:rFonts w:ascii="Arial" w:hAnsi="Arial" w:cs="Arial"/>
                  <w:b w:val="0"/>
                  <w:bCs w:val="0"/>
                </w:rPr>
                <w:t>Owens, 2007</w:t>
              </w:r>
            </w:hyperlink>
            <w:r w:rsidRPr="00D61F73">
              <w:rPr>
                <w:rFonts w:ascii="Arial" w:hAnsi="Arial" w:cs="Arial"/>
                <w:b w:val="0"/>
                <w:bCs w:val="0"/>
              </w:rPr>
              <w:t>) (</w:t>
            </w:r>
            <w:hyperlink w:anchor="Reeves2012" w:history="1">
              <w:r w:rsidRPr="00D61F73">
                <w:rPr>
                  <w:rStyle w:val="Hyperlink"/>
                  <w:rFonts w:ascii="Arial" w:hAnsi="Arial" w:cs="Arial"/>
                  <w:b w:val="0"/>
                  <w:bCs w:val="0"/>
                </w:rPr>
                <w:t>Reeves, 2012</w:t>
              </w:r>
            </w:hyperlink>
            <w:r w:rsidRPr="00D61F73">
              <w:rPr>
                <w:rFonts w:ascii="Arial" w:hAnsi="Arial" w:cs="Arial"/>
                <w:b w:val="0"/>
                <w:bCs w:val="0"/>
              </w:rPr>
              <w:t>) There was a 300% increase in numbers of emergency room episodes related to carisoprodol from 1994 to 2005. (</w:t>
            </w:r>
            <w:hyperlink r:id="rId45" w:history="1">
              <w:r w:rsidRPr="00D61F73">
                <w:rPr>
                  <w:rStyle w:val="Hyperlink"/>
                  <w:rFonts w:ascii="Arial" w:hAnsi="Arial" w:cs="Arial"/>
                  <w:b w:val="0"/>
                  <w:bCs w:val="0"/>
                </w:rPr>
                <w:t>DHSS, 2005</w:t>
              </w:r>
            </w:hyperlink>
            <w:r w:rsidRPr="00D61F73">
              <w:rPr>
                <w:rFonts w:ascii="Arial" w:hAnsi="Arial" w:cs="Arial"/>
                <w:b w:val="0"/>
                <w:bCs w:val="0"/>
              </w:rPr>
              <w:t xml:space="preserve">) </w:t>
            </w:r>
            <w:r w:rsidRPr="00D61F73">
              <w:rPr>
                <w:rFonts w:ascii="Arial" w:hAnsi="Arial" w:cs="Arial"/>
                <w:b w:val="0"/>
                <w:bCs w:val="0"/>
                <w:color w:val="000000"/>
              </w:rPr>
              <w:t>Hospital emergency department visits involving the misuse of carisoprodol have doubled over five years, study shows. (</w:t>
            </w:r>
            <w:hyperlink r:id="rId46" w:history="1">
              <w:r w:rsidRPr="00D61F73">
                <w:rPr>
                  <w:rStyle w:val="Hyperlink"/>
                  <w:rFonts w:ascii="Arial" w:hAnsi="Arial" w:cs="Arial"/>
                  <w:b w:val="0"/>
                  <w:bCs w:val="0"/>
                </w:rPr>
                <w:t>SAMHSA, 2011</w:t>
              </w:r>
            </w:hyperlink>
            <w:r w:rsidRPr="00D61F73">
              <w:rPr>
                <w:rFonts w:ascii="Arial" w:hAnsi="Arial" w:cs="Arial"/>
                <w:b w:val="0"/>
                <w:bCs w:val="0"/>
                <w:color w:val="000000"/>
              </w:rPr>
              <w:t>)</w:t>
            </w:r>
          </w:p>
          <w:p w14:paraId="689FAE99"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Intoxication signs:</w:t>
            </w:r>
            <w:r w:rsidRPr="00D61F73">
              <w:rPr>
                <w:rFonts w:ascii="Arial" w:hAnsi="Arial" w:cs="Arial"/>
                <w:i/>
              </w:rPr>
              <w:t xml:space="preserve"> </w:t>
            </w:r>
            <w:r w:rsidRPr="00D61F73">
              <w:rPr>
                <w:rFonts w:ascii="Arial" w:hAnsi="Arial" w:cs="Arial"/>
                <w:b w:val="0"/>
                <w:bCs w:val="0"/>
              </w:rPr>
              <w:t xml:space="preserve">Intoxication appears to include subdued consciousness, decreased cognitive function, and abnormalities of the eyes, vestibular function, appearance, gait and motor function. Intoxication includes the </w:t>
            </w:r>
            <w:r w:rsidRPr="00D61F73">
              <w:rPr>
                <w:rFonts w:ascii="Arial" w:hAnsi="Arial" w:cs="Arial"/>
                <w:b w:val="0"/>
                <w:bCs w:val="0"/>
              </w:rPr>
              <w:lastRenderedPageBreak/>
              <w:t>effects of both carisoprodol and meprobamate, both of which act on different neurotransmitters. (</w:t>
            </w:r>
            <w:hyperlink w:anchor="Bramness" w:history="1">
              <w:r w:rsidRPr="00D61F73">
                <w:rPr>
                  <w:rStyle w:val="Hyperlink"/>
                  <w:rFonts w:ascii="Arial" w:hAnsi="Arial" w:cs="Arial"/>
                  <w:b w:val="0"/>
                  <w:bCs w:val="0"/>
                </w:rPr>
                <w:t>Bramness, 2007</w:t>
              </w:r>
            </w:hyperlink>
            <w:r w:rsidRPr="00D61F73">
              <w:rPr>
                <w:rFonts w:ascii="Arial" w:hAnsi="Arial" w:cs="Arial"/>
                <w:b w:val="0"/>
                <w:bCs w:val="0"/>
              </w:rPr>
              <w:t>) (</w:t>
            </w:r>
            <w:hyperlink w:anchor="Bramness2004" w:history="1">
              <w:r w:rsidRPr="00D61F73">
                <w:rPr>
                  <w:rStyle w:val="Hyperlink"/>
                  <w:rFonts w:ascii="Arial" w:hAnsi="Arial" w:cs="Arial"/>
                  <w:b w:val="0"/>
                  <w:bCs w:val="0"/>
                </w:rPr>
                <w:t>Bramness, 2004</w:t>
              </w:r>
            </w:hyperlink>
            <w:r w:rsidRPr="00D61F73">
              <w:rPr>
                <w:rFonts w:ascii="Arial" w:hAnsi="Arial" w:cs="Arial"/>
                <w:b w:val="0"/>
                <w:bCs w:val="0"/>
              </w:rPr>
              <w:t xml:space="preserve">) </w:t>
            </w:r>
          </w:p>
          <w:p w14:paraId="50FA2296"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Withdrawal:</w:t>
            </w:r>
            <w:r w:rsidRPr="00D61F73">
              <w:rPr>
                <w:rFonts w:ascii="Arial" w:hAnsi="Arial" w:cs="Arial"/>
                <w:i/>
              </w:rPr>
              <w:t xml:space="preserve"> </w:t>
            </w:r>
            <w:r w:rsidRPr="00D61F73">
              <w:rPr>
                <w:rFonts w:ascii="Arial" w:hAnsi="Arial" w:cs="Arial"/>
                <w:b w:val="0"/>
                <w:bCs w:val="0"/>
              </w:rPr>
              <w:t xml:space="preserve">A withdrawal syndrome has been documented that consists of insomnia, vomiting, tremors, muscle twitching, anxiety, and ataxia when abrupt discontinuation of large doses occurs. This is similar to withdrawal from meprobamate. </w:t>
            </w:r>
            <w:r w:rsidRPr="00D61F73">
              <w:rPr>
                <w:rFonts w:ascii="Arial" w:eastAsia="Calibri" w:hAnsi="Arial" w:cs="Arial"/>
                <w:b w:val="0"/>
                <w:bCs w:val="0"/>
              </w:rPr>
              <w:t>(</w:t>
            </w:r>
            <w:hyperlink w:anchor="Reeves2010" w:history="1">
              <w:r w:rsidRPr="00D61F73">
                <w:rPr>
                  <w:rStyle w:val="Hyperlink"/>
                  <w:rFonts w:ascii="Arial" w:eastAsia="Calibri" w:hAnsi="Arial" w:cs="Arial"/>
                  <w:b w:val="0"/>
                  <w:bCs w:val="0"/>
                </w:rPr>
                <w:t>Reeves, 2010</w:t>
              </w:r>
            </w:hyperlink>
            <w:r w:rsidRPr="00D61F73">
              <w:rPr>
                <w:rFonts w:ascii="Arial" w:eastAsia="Calibri" w:hAnsi="Arial" w:cs="Arial"/>
                <w:b w:val="0"/>
                <w:bCs w:val="0"/>
              </w:rPr>
              <w:t xml:space="preserve">) </w:t>
            </w:r>
            <w:r w:rsidRPr="00D61F73">
              <w:rPr>
                <w:rFonts w:ascii="Arial" w:hAnsi="Arial" w:cs="Arial"/>
                <w:b w:val="0"/>
                <w:bCs w:val="0"/>
              </w:rPr>
              <w:t>(</w:t>
            </w:r>
            <w:hyperlink w:anchor="Reeves2007" w:history="1">
              <w:r w:rsidRPr="00D61F73">
                <w:rPr>
                  <w:rStyle w:val="Hyperlink"/>
                  <w:rFonts w:ascii="Arial" w:hAnsi="Arial" w:cs="Arial"/>
                  <w:b w:val="0"/>
                  <w:bCs w:val="0"/>
                </w:rPr>
                <w:t>Reeves, 2007</w:t>
              </w:r>
            </w:hyperlink>
            <w:r w:rsidRPr="00D61F73">
              <w:rPr>
                <w:rFonts w:ascii="Arial" w:hAnsi="Arial" w:cs="Arial"/>
                <w:b w:val="0"/>
                <w:bCs w:val="0"/>
              </w:rPr>
              <w:t>) (</w:t>
            </w:r>
            <w:hyperlink w:anchor="Reeves2004" w:history="1">
              <w:r w:rsidRPr="00D61F73">
                <w:rPr>
                  <w:rStyle w:val="Hyperlink"/>
                  <w:rFonts w:ascii="Arial" w:hAnsi="Arial" w:cs="Arial"/>
                  <w:b w:val="0"/>
                  <w:bCs w:val="0"/>
                </w:rPr>
                <w:t>Reeves, 2004</w:t>
              </w:r>
            </w:hyperlink>
            <w:r w:rsidRPr="00D61F73">
              <w:rPr>
                <w:rFonts w:ascii="Arial" w:hAnsi="Arial" w:cs="Arial"/>
                <w:b w:val="0"/>
                <w:bCs w:val="0"/>
              </w:rPr>
              <w:t>)</w:t>
            </w:r>
          </w:p>
          <w:p w14:paraId="270DA9C3" w14:textId="77777777" w:rsidR="00E648FC" w:rsidRPr="00D61F73" w:rsidRDefault="00E648FC" w:rsidP="00D61F73">
            <w:pPr>
              <w:pStyle w:val="BodyText"/>
              <w:rPr>
                <w:rFonts w:ascii="Arial" w:hAnsi="Arial" w:cs="Arial"/>
                <w:b w:val="0"/>
                <w:bCs w:val="0"/>
                <w:color w:val="000000"/>
              </w:rPr>
            </w:pPr>
            <w:r w:rsidRPr="00D61F73">
              <w:rPr>
                <w:rFonts w:ascii="Arial" w:hAnsi="Arial" w:cs="Arial"/>
                <w:b w:val="0"/>
                <w:bCs w:val="0"/>
                <w:i/>
              </w:rPr>
              <w:t xml:space="preserve">Weaning: </w:t>
            </w:r>
            <w:r w:rsidRPr="00D61F73">
              <w:rPr>
                <w:rFonts w:ascii="Arial" w:hAnsi="Arial" w:cs="Arial"/>
                <w:b w:val="0"/>
                <w:bCs w:val="0"/>
              </w:rPr>
              <w:t>There is little research in terms of weaning of high dose carisoprodol and there is no standard treatment regimen for patients with known dependence. Most treatment includes treatment for symptomatic complaints of withdrawal. Another option is to switch to phenobarbital to prevent withdrawal with subsequent tapering. A maximum dose of phenobarbital is 500 mg/day and the taper is 30 mg/day with a slower taper in an outpatient setting. Tapering should be individualized for each patient. (</w:t>
            </w:r>
            <w:hyperlink w:anchor="Boothby" w:history="1">
              <w:r w:rsidRPr="00D61F73">
                <w:rPr>
                  <w:rStyle w:val="Hyperlink"/>
                  <w:rFonts w:ascii="Arial" w:hAnsi="Arial" w:cs="Arial"/>
                  <w:b w:val="0"/>
                  <w:bCs w:val="0"/>
                </w:rPr>
                <w:t>Boothby, 2003</w:t>
              </w:r>
            </w:hyperlink>
            <w:r w:rsidRPr="00D61F73">
              <w:rPr>
                <w:rFonts w:ascii="Arial" w:hAnsi="Arial" w:cs="Arial"/>
                <w:b w:val="0"/>
                <w:bCs w:val="0"/>
              </w:rPr>
              <w:t>)</w:t>
            </w:r>
            <w:r w:rsidRPr="00D61F73">
              <w:rPr>
                <w:rFonts w:ascii="Arial" w:hAnsi="Arial" w:cs="Arial"/>
                <w:b w:val="0"/>
                <w:bCs w:val="0"/>
                <w:color w:val="000000"/>
              </w:rPr>
              <w:t xml:space="preserve"> For more information and references, see </w:t>
            </w:r>
            <w:hyperlink w:anchor="Musclerelaxants" w:history="1">
              <w:r w:rsidRPr="00D61F73">
                <w:rPr>
                  <w:rStyle w:val="Hyperlink"/>
                  <w:rFonts w:ascii="Arial" w:hAnsi="Arial" w:cs="Arial"/>
                  <w:b w:val="0"/>
                  <w:bCs w:val="0"/>
                </w:rPr>
                <w:t>Muscle relaxants</w:t>
              </w:r>
            </w:hyperlink>
            <w:r w:rsidRPr="00D61F73">
              <w:rPr>
                <w:rFonts w:ascii="Arial" w:hAnsi="Arial" w:cs="Arial"/>
                <w:b w:val="0"/>
                <w:bCs w:val="0"/>
                <w:color w:val="000000"/>
              </w:rPr>
              <w:t xml:space="preserve">. </w:t>
            </w:r>
            <w:r w:rsidRPr="00D61F73">
              <w:rPr>
                <w:rFonts w:ascii="Arial" w:hAnsi="Arial" w:cs="Arial"/>
                <w:b w:val="0"/>
                <w:bCs w:val="0"/>
              </w:rPr>
              <w:t xml:space="preserve">See also </w:t>
            </w:r>
            <w:hyperlink w:anchor="Weaningcarisoprodol" w:history="1">
              <w:r w:rsidRPr="00D61F73">
                <w:rPr>
                  <w:rStyle w:val="Hyperlink"/>
                  <w:rFonts w:ascii="Arial" w:hAnsi="Arial" w:cs="Arial"/>
                  <w:b w:val="0"/>
                  <w:bCs w:val="0"/>
                </w:rPr>
                <w:t>Weaning, carisoprodol</w:t>
              </w:r>
            </w:hyperlink>
            <w:r w:rsidRPr="00D61F73">
              <w:rPr>
                <w:rFonts w:ascii="Arial" w:hAnsi="Arial" w:cs="Arial"/>
                <w:b w:val="0"/>
                <w:bCs w:val="0"/>
              </w:rPr>
              <w:t xml:space="preserve"> (Soma®).</w:t>
            </w:r>
          </w:p>
        </w:tc>
      </w:tr>
      <w:tr w:rsidR="00E648FC" w:rsidRPr="00D61F73" w14:paraId="5C708395" w14:textId="77777777" w:rsidTr="0078164D">
        <w:tc>
          <w:tcPr>
            <w:tcW w:w="1086" w:type="pct"/>
          </w:tcPr>
          <w:p w14:paraId="0CEAF34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Catapres® (Clonidine)</w:t>
            </w:r>
          </w:p>
        </w:tc>
        <w:tc>
          <w:tcPr>
            <w:tcW w:w="3914" w:type="pct"/>
          </w:tcPr>
          <w:p w14:paraId="2C83EEE5" w14:textId="77777777" w:rsidR="00E648FC" w:rsidRPr="00D61F73" w:rsidRDefault="00E648FC" w:rsidP="00D61F73">
            <w:pPr>
              <w:pStyle w:val="BodyText"/>
              <w:rPr>
                <w:rFonts w:ascii="Arial" w:hAnsi="Arial" w:cs="Arial"/>
                <w:b w:val="0"/>
                <w:bCs w:val="0"/>
                <w:color w:val="000000"/>
              </w:rPr>
            </w:pPr>
            <w:r w:rsidRPr="00D61F73">
              <w:rPr>
                <w:rFonts w:ascii="Arial" w:hAnsi="Arial" w:cs="Arial"/>
                <w:b w:val="0"/>
                <w:bCs w:val="0"/>
                <w:color w:val="000000"/>
              </w:rPr>
              <w:t xml:space="preserve">See </w:t>
            </w:r>
            <w:hyperlink w:anchor="Clonidineintrathecal" w:history="1">
              <w:r w:rsidRPr="00D61F73">
                <w:rPr>
                  <w:rStyle w:val="Hyperlink"/>
                  <w:rFonts w:ascii="Arial" w:hAnsi="Arial" w:cs="Arial"/>
                  <w:b w:val="0"/>
                  <w:bCs w:val="0"/>
                </w:rPr>
                <w:t>Clonidine, intrathecal</w:t>
              </w:r>
            </w:hyperlink>
            <w:r w:rsidRPr="00D61F73">
              <w:rPr>
                <w:rFonts w:ascii="Arial" w:hAnsi="Arial" w:cs="Arial"/>
                <w:b w:val="0"/>
                <w:bCs w:val="0"/>
                <w:color w:val="000000"/>
              </w:rPr>
              <w:t>.</w:t>
            </w:r>
          </w:p>
        </w:tc>
      </w:tr>
      <w:tr w:rsidR="00E648FC" w:rsidRPr="00D61F73" w14:paraId="2B9F8112" w14:textId="77777777" w:rsidTr="0078164D">
        <w:tc>
          <w:tcPr>
            <w:tcW w:w="1086" w:type="pct"/>
          </w:tcPr>
          <w:p w14:paraId="6374D46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27" w:name="Causality"/>
            <w:bookmarkEnd w:id="127"/>
            <w:r w:rsidRPr="00D61F73">
              <w:rPr>
                <w:rFonts w:ascii="Arial" w:hAnsi="Arial" w:cs="Arial"/>
              </w:rPr>
              <w:t>ausality (determination)</w:t>
            </w:r>
          </w:p>
        </w:tc>
        <w:tc>
          <w:tcPr>
            <w:tcW w:w="3914" w:type="pct"/>
          </w:tcPr>
          <w:p w14:paraId="14055521" w14:textId="366BE37C" w:rsidR="00E648FC" w:rsidRPr="00D61F73" w:rsidRDefault="00E648FC" w:rsidP="00D61F73">
            <w:pPr>
              <w:pStyle w:val="BodyText"/>
              <w:rPr>
                <w:rFonts w:ascii="Arial" w:hAnsi="Arial" w:cs="Arial"/>
                <w:b w:val="0"/>
                <w:bCs w:val="0"/>
                <w:color w:val="000000"/>
              </w:rPr>
            </w:pPr>
            <w:r w:rsidRPr="00D61F73">
              <w:rPr>
                <w:rFonts w:ascii="Arial" w:hAnsi="Arial" w:cs="Arial"/>
                <w:b w:val="0"/>
                <w:bCs w:val="0"/>
              </w:rPr>
              <w:t xml:space="preserve">Recommend determination of causation typically involving mechanism of injury, temporal relationship, and dose effect. See </w:t>
            </w:r>
            <w:hyperlink r:id="rId47" w:anchor="2" w:history="1">
              <w:r w:rsidRPr="00D61F73">
                <w:rPr>
                  <w:rStyle w:val="Hyperlink"/>
                  <w:rFonts w:ascii="Arial" w:hAnsi="Arial" w:cs="Arial"/>
                  <w:b w:val="0"/>
                  <w:bCs w:val="0"/>
                </w:rPr>
                <w:t>specific body-part chapters in the MTUS</w:t>
              </w:r>
            </w:hyperlink>
            <w:r w:rsidRPr="00D61F73">
              <w:rPr>
                <w:rFonts w:ascii="Arial" w:hAnsi="Arial" w:cs="Arial"/>
                <w:b w:val="0"/>
                <w:bCs w:val="0"/>
              </w:rPr>
              <w:t>.</w:t>
            </w:r>
          </w:p>
        </w:tc>
      </w:tr>
      <w:tr w:rsidR="00E648FC" w:rsidRPr="00D61F73" w14:paraId="4BF64553" w14:textId="77777777" w:rsidTr="0078164D">
        <w:tc>
          <w:tcPr>
            <w:tcW w:w="1086" w:type="pct"/>
          </w:tcPr>
          <w:p w14:paraId="21275E3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28" w:name="Celebrex"/>
            <w:bookmarkEnd w:id="128"/>
            <w:r w:rsidRPr="00D61F73">
              <w:rPr>
                <w:rFonts w:ascii="Arial" w:hAnsi="Arial" w:cs="Arial"/>
              </w:rPr>
              <w:t>elebrex® (celecoxib)</w:t>
            </w:r>
          </w:p>
        </w:tc>
        <w:tc>
          <w:tcPr>
            <w:tcW w:w="3914" w:type="pct"/>
          </w:tcPr>
          <w:p w14:paraId="7E56332D"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Celebrex® is the brandname for celecoxib, and it is produced by Pfizer. Celecoxib is a non-steroidal anti-inflammatory drug (NSAID) that is a COX-2 selective inhibitor, a drug that directly targets COX-2, an enzyme responsible for inflammation and pain. See </w:t>
            </w:r>
            <w:hyperlink w:anchor="Antiinflammatorymedications" w:history="1">
              <w:r w:rsidRPr="00D61F73">
                <w:rPr>
                  <w:rStyle w:val="Hyperlink"/>
                  <w:rFonts w:ascii="Arial" w:hAnsi="Arial" w:cs="Arial"/>
                  <w:b w:val="0"/>
                  <w:bCs w:val="0"/>
                </w:rPr>
                <w:t>Anti-inflammatory medications</w:t>
              </w:r>
            </w:hyperlink>
            <w:r w:rsidRPr="00D61F73">
              <w:rPr>
                <w:rFonts w:ascii="Arial" w:hAnsi="Arial" w:cs="Arial"/>
                <w:b w:val="0"/>
                <w:bCs w:val="0"/>
              </w:rPr>
              <w:t xml:space="preserve">. See </w:t>
            </w:r>
            <w:hyperlink w:anchor="NSAIDs" w:history="1">
              <w:r w:rsidRPr="00D61F73">
                <w:rPr>
                  <w:rStyle w:val="Hyperlink"/>
                  <w:rFonts w:ascii="Arial" w:hAnsi="Arial" w:cs="Arial"/>
                  <w:b w:val="0"/>
                  <w:bCs w:val="0"/>
                </w:rPr>
                <w:t>NSAIDs</w:t>
              </w:r>
            </w:hyperlink>
            <w:r w:rsidRPr="00D61F73">
              <w:rPr>
                <w:rFonts w:ascii="Arial" w:hAnsi="Arial" w:cs="Arial"/>
                <w:b w:val="0"/>
                <w:bCs w:val="0"/>
              </w:rPr>
              <w:t xml:space="preserve"> (non-steroidal anti-inflammatory drugs) for specific patient decision-making criteria. Unlike other NSAIDs, celecoxib does not appear to interfere with the antiplatelet activity of aspirin and is bleeding neutral when patients are being considered for surgical intervention or interventional pain procedures.</w:t>
            </w:r>
          </w:p>
        </w:tc>
      </w:tr>
      <w:tr w:rsidR="00E648FC" w:rsidRPr="00D61F73" w14:paraId="1DA4CEC0" w14:textId="77777777" w:rsidTr="0078164D">
        <w:tc>
          <w:tcPr>
            <w:tcW w:w="1086" w:type="pct"/>
          </w:tcPr>
          <w:p w14:paraId="41CE644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29" w:name="Celecoxib"/>
            <w:bookmarkEnd w:id="129"/>
            <w:r w:rsidRPr="00D61F73">
              <w:rPr>
                <w:rFonts w:ascii="Arial" w:hAnsi="Arial" w:cs="Arial"/>
              </w:rPr>
              <w:t>elecoxib (Celebrex®)</w:t>
            </w:r>
          </w:p>
        </w:tc>
        <w:tc>
          <w:tcPr>
            <w:tcW w:w="3914" w:type="pct"/>
          </w:tcPr>
          <w:p w14:paraId="25EA03E9" w14:textId="5F088D4C"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Celebrex" w:history="1">
              <w:r w:rsidRPr="00D61F73">
                <w:rPr>
                  <w:rStyle w:val="Hyperlink"/>
                  <w:rFonts w:ascii="Arial" w:hAnsi="Arial" w:cs="Arial"/>
                  <w:b w:val="0"/>
                  <w:bCs w:val="0"/>
                </w:rPr>
                <w:t>Celebrex</w:t>
              </w:r>
            </w:hyperlink>
            <w:r w:rsidRPr="00D61F73">
              <w:rPr>
                <w:rFonts w:ascii="Arial" w:hAnsi="Arial" w:cs="Arial"/>
                <w:b w:val="0"/>
                <w:bCs w:val="0"/>
              </w:rPr>
              <w:t xml:space="preserve">® above. See also </w:t>
            </w:r>
            <w:hyperlink w:anchor="NSAIDs" w:history="1">
              <w:r w:rsidRPr="00D61F73">
                <w:rPr>
                  <w:rStyle w:val="Hyperlink"/>
                  <w:rFonts w:ascii="Arial" w:hAnsi="Arial" w:cs="Arial"/>
                  <w:b w:val="0"/>
                  <w:bCs w:val="0"/>
                </w:rPr>
                <w:t>NSAIDs</w:t>
              </w:r>
            </w:hyperlink>
            <w:r w:rsidRPr="00D61F73">
              <w:rPr>
                <w:rFonts w:ascii="Arial" w:hAnsi="Arial" w:cs="Arial"/>
                <w:b w:val="0"/>
                <w:bCs w:val="0"/>
              </w:rPr>
              <w:t xml:space="preserve"> (non-steroidal anti-inflammatory drugs); </w:t>
            </w:r>
            <w:hyperlink w:anchor="NSAIDsGIandCV" w:history="1">
              <w:r w:rsidRPr="00D61F73">
                <w:rPr>
                  <w:rStyle w:val="Hyperlink"/>
                  <w:rFonts w:ascii="Arial" w:hAnsi="Arial" w:cs="Arial"/>
                  <w:b w:val="0"/>
                  <w:bCs w:val="0"/>
                </w:rPr>
                <w:t>NSAIDs, GI symptoms &amp; cardiovascular risk</w:t>
              </w:r>
            </w:hyperlink>
            <w:r w:rsidRPr="00D61F73">
              <w:rPr>
                <w:rFonts w:ascii="Arial" w:hAnsi="Arial" w:cs="Arial"/>
                <w:b w:val="0"/>
                <w:bCs w:val="0"/>
              </w:rPr>
              <w:t xml:space="preserve">; </w:t>
            </w:r>
            <w:hyperlink w:anchor="NSAIDsHTNandRenal" w:history="1">
              <w:r w:rsidRPr="00D61F73">
                <w:rPr>
                  <w:rStyle w:val="Hyperlink"/>
                  <w:rFonts w:ascii="Arial" w:hAnsi="Arial" w:cs="Arial"/>
                  <w:b w:val="0"/>
                  <w:bCs w:val="0"/>
                </w:rPr>
                <w:t>NSAIDs, hypertension and renal function</w:t>
              </w:r>
            </w:hyperlink>
            <w:r w:rsidRPr="00D61F73">
              <w:rPr>
                <w:rFonts w:ascii="Arial" w:hAnsi="Arial" w:cs="Arial"/>
                <w:b w:val="0"/>
                <w:bCs w:val="0"/>
              </w:rPr>
              <w:t xml:space="preserve">; &amp; </w:t>
            </w:r>
            <w:hyperlink w:anchor="NSAIDsdruglistandadverseeffects" w:history="1">
              <w:r w:rsidRPr="00D61F73">
                <w:rPr>
                  <w:rStyle w:val="Hyperlink"/>
                  <w:rFonts w:ascii="Arial" w:hAnsi="Arial" w:cs="Arial"/>
                  <w:b w:val="0"/>
                  <w:bCs w:val="0"/>
                </w:rPr>
                <w:t>NSAIDs, specific drug list &amp; adverse effects</w:t>
              </w:r>
            </w:hyperlink>
            <w:r w:rsidRPr="00D61F73">
              <w:rPr>
                <w:rFonts w:ascii="Arial" w:hAnsi="Arial" w:cs="Arial"/>
                <w:b w:val="0"/>
                <w:bCs w:val="0"/>
              </w:rPr>
              <w:t xml:space="preserve"> for general guidelines, as well as specific </w:t>
            </w:r>
            <w:hyperlink w:anchor="CelecoxibListing" w:history="1">
              <w:r w:rsidRPr="00D61F73">
                <w:rPr>
                  <w:rStyle w:val="Hyperlink"/>
                  <w:rFonts w:ascii="Arial" w:hAnsi="Arial" w:cs="Arial"/>
                  <w:b w:val="0"/>
                  <w:bCs w:val="0"/>
                </w:rPr>
                <w:t>Celecoxib</w:t>
              </w:r>
            </w:hyperlink>
            <w:r w:rsidRPr="00D61F73">
              <w:rPr>
                <w:rFonts w:ascii="Arial" w:hAnsi="Arial" w:cs="Arial"/>
                <w:b w:val="0"/>
                <w:bCs w:val="0"/>
              </w:rPr>
              <w:t xml:space="preserve"> (Celebrex®) listing for more information and references. A large systematic review of available evidence on NSAIDs confirms that naproxen and low-dose ibuprofen are least likely to increase cardiovascular risk.  Celecoxib (Celebrex), on the whole, had a slightly increased risk of cardiovascular events at low and high doses, although there were few studies testing doses &gt;200 mg/day. Celecoxib, especially at doses &gt;400 mg/day, should be avoided in patients at high risk of cardiovascular disease. (</w:t>
            </w:r>
            <w:hyperlink w:anchor="McGettigan2011" w:history="1">
              <w:r w:rsidRPr="00D61F73">
                <w:rPr>
                  <w:rStyle w:val="Hyperlink"/>
                  <w:rFonts w:ascii="Arial" w:hAnsi="Arial" w:cs="Arial"/>
                  <w:b w:val="0"/>
                  <w:bCs w:val="0"/>
                </w:rPr>
                <w:t>McGettigan, 2011</w:t>
              </w:r>
            </w:hyperlink>
            <w:r w:rsidRPr="00D61F73">
              <w:rPr>
                <w:rFonts w:ascii="Arial" w:hAnsi="Arial" w:cs="Arial"/>
                <w:b w:val="0"/>
                <w:bCs w:val="0"/>
              </w:rPr>
              <w:t xml:space="preserve">) </w:t>
            </w:r>
          </w:p>
        </w:tc>
      </w:tr>
      <w:tr w:rsidR="00E648FC" w:rsidRPr="00D61F73" w14:paraId="3C65228D" w14:textId="77777777" w:rsidTr="0078164D">
        <w:tc>
          <w:tcPr>
            <w:tcW w:w="1086" w:type="pct"/>
          </w:tcPr>
          <w:p w14:paraId="569C4BB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30" w:name="Cellulitistreatment"/>
            <w:bookmarkEnd w:id="130"/>
            <w:r w:rsidRPr="00D61F73">
              <w:rPr>
                <w:rFonts w:ascii="Arial" w:hAnsi="Arial" w:cs="Arial"/>
              </w:rPr>
              <w:t>ellulitis treatment</w:t>
            </w:r>
          </w:p>
        </w:tc>
        <w:tc>
          <w:tcPr>
            <w:tcW w:w="3914" w:type="pct"/>
          </w:tcPr>
          <w:p w14:paraId="45111BD2"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Recommended as indicated below. Cellulitis is a common, potentially serious bacterial skin infection, entering the skin usually via a cut or abrasion. The lower legs are most commonly affected, but cellulitis can occur anywhere on the body. Staphylococcus and streptococcus bacteria are the most common causes of cellulitis. Oral antibiotics are effective in over 90% of patients, but almost all abscesses require drainage for resolution, regardless of the microbiology of the infection. A peripherally inserted central catheter (PICC line), a form of intravenous access that can </w:t>
            </w:r>
            <w:r w:rsidRPr="00D61F73">
              <w:rPr>
                <w:rFonts w:ascii="Arial" w:hAnsi="Arial" w:cs="Arial"/>
                <w:b w:val="0"/>
                <w:bCs w:val="0"/>
              </w:rPr>
              <w:lastRenderedPageBreak/>
              <w:t>be used for a prolonged period of time for extended antibiotic therapy, may be required. Urgent consultation with a surgeon should be sought in cases of crepitus, circumferential cellulitis, necrotic-appearing skin, rapidly evolving cellulitis, pain disproportional to physical examination findings, severe pain on passive movement, or other clinical indications of necrotizing fasciitis. (</w:t>
            </w:r>
            <w:hyperlink w:anchor="Stevens2005" w:history="1">
              <w:r w:rsidRPr="00D61F73">
                <w:rPr>
                  <w:rStyle w:val="Hyperlink"/>
                  <w:rFonts w:ascii="Arial" w:hAnsi="Arial" w:cs="Arial"/>
                  <w:b w:val="0"/>
                  <w:bCs w:val="0"/>
                </w:rPr>
                <w:t>Stevens, 2005</w:t>
              </w:r>
            </w:hyperlink>
            <w:r w:rsidRPr="00D61F73">
              <w:rPr>
                <w:rFonts w:ascii="Arial" w:hAnsi="Arial" w:cs="Arial"/>
                <w:b w:val="0"/>
                <w:bCs w:val="0"/>
              </w:rPr>
              <w:t>) (</w:t>
            </w:r>
            <w:hyperlink w:anchor="Liu2011" w:history="1">
              <w:r w:rsidRPr="00D61F73">
                <w:rPr>
                  <w:rStyle w:val="Hyperlink"/>
                  <w:rFonts w:ascii="Arial" w:hAnsi="Arial" w:cs="Arial"/>
                  <w:b w:val="0"/>
                  <w:bCs w:val="0"/>
                </w:rPr>
                <w:t>Liu, 2011</w:t>
              </w:r>
            </w:hyperlink>
            <w:r w:rsidRPr="00D61F73">
              <w:rPr>
                <w:rFonts w:ascii="Arial" w:hAnsi="Arial" w:cs="Arial"/>
                <w:b w:val="0"/>
                <w:bCs w:val="0"/>
              </w:rPr>
              <w:t>)</w:t>
            </w:r>
          </w:p>
        </w:tc>
      </w:tr>
      <w:tr w:rsidR="00E648FC" w:rsidRPr="00D61F73" w14:paraId="1EE59D19" w14:textId="77777777" w:rsidTr="0078164D">
        <w:tc>
          <w:tcPr>
            <w:tcW w:w="1086" w:type="pct"/>
          </w:tcPr>
          <w:p w14:paraId="0EEB5E3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Cesamet®</w:t>
            </w:r>
          </w:p>
        </w:tc>
        <w:tc>
          <w:tcPr>
            <w:tcW w:w="3914" w:type="pct"/>
          </w:tcPr>
          <w:p w14:paraId="7689C8B4"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Nabilone" w:history="1">
              <w:r w:rsidRPr="00D61F73">
                <w:rPr>
                  <w:rStyle w:val="Hyperlink"/>
                  <w:rFonts w:ascii="Arial" w:hAnsi="Arial" w:cs="Arial"/>
                  <w:b w:val="0"/>
                  <w:bCs w:val="0"/>
                </w:rPr>
                <w:t>Nabilone</w:t>
              </w:r>
            </w:hyperlink>
            <w:r w:rsidRPr="00D61F73">
              <w:rPr>
                <w:rFonts w:ascii="Arial" w:hAnsi="Arial" w:cs="Arial"/>
                <w:b w:val="0"/>
                <w:bCs w:val="0"/>
              </w:rPr>
              <w:t>.</w:t>
            </w:r>
          </w:p>
        </w:tc>
      </w:tr>
      <w:tr w:rsidR="00E648FC" w:rsidRPr="00D61F73" w14:paraId="4F93C14B" w14:textId="77777777" w:rsidTr="0078164D">
        <w:tc>
          <w:tcPr>
            <w:tcW w:w="1086" w:type="pct"/>
          </w:tcPr>
          <w:p w14:paraId="69C89DB9" w14:textId="77777777" w:rsidR="00E648FC" w:rsidRPr="00D61F73" w:rsidRDefault="00E648FC" w:rsidP="00D61F73">
            <w:pPr>
              <w:pStyle w:val="Footer"/>
              <w:tabs>
                <w:tab w:val="left" w:pos="720"/>
              </w:tabs>
              <w:rPr>
                <w:rFonts w:ascii="Arial" w:hAnsi="Arial" w:cs="Arial"/>
              </w:rPr>
            </w:pPr>
            <w:r w:rsidRPr="00D61F73">
              <w:rPr>
                <w:rFonts w:ascii="Arial" w:hAnsi="Arial" w:cs="Arial"/>
              </w:rPr>
              <w:t>C</w:t>
            </w:r>
            <w:bookmarkStart w:id="131" w:name="Chimachine"/>
            <w:bookmarkEnd w:id="131"/>
            <w:r w:rsidRPr="00D61F73">
              <w:rPr>
                <w:rFonts w:ascii="Arial" w:hAnsi="Arial" w:cs="Arial"/>
              </w:rPr>
              <w:t>hi machine</w:t>
            </w:r>
          </w:p>
        </w:tc>
        <w:tc>
          <w:tcPr>
            <w:tcW w:w="3914" w:type="pct"/>
          </w:tcPr>
          <w:p w14:paraId="5057B3A6" w14:textId="77777777" w:rsidR="00E648FC" w:rsidRPr="00D61F73" w:rsidRDefault="00F45AB7" w:rsidP="00D61F73">
            <w:pPr>
              <w:rPr>
                <w:rFonts w:ascii="Arial" w:hAnsi="Arial" w:cs="Arial"/>
              </w:rPr>
            </w:pPr>
            <w:r w:rsidRPr="00D61F73">
              <w:rPr>
                <w:rFonts w:ascii="Arial" w:hAnsi="Arial" w:cs="Arial"/>
              </w:rPr>
              <w:t xml:space="preserve">Not recommended for chronic pain. May be used </w:t>
            </w:r>
            <w:r w:rsidR="00E648FC" w:rsidRPr="00D61F73">
              <w:rPr>
                <w:rFonts w:ascii="Arial" w:hAnsi="Arial" w:cs="Arial"/>
              </w:rPr>
              <w:t xml:space="preserve">for lymphedema, but not recommended for other conditions, including chronic pain, since there is no evidence of its effectiveness. </w:t>
            </w:r>
          </w:p>
        </w:tc>
      </w:tr>
      <w:tr w:rsidR="00E648FC" w:rsidRPr="00D61F73" w14:paraId="470C89CE" w14:textId="77777777" w:rsidTr="0078164D">
        <w:tc>
          <w:tcPr>
            <w:tcW w:w="1086" w:type="pct"/>
          </w:tcPr>
          <w:p w14:paraId="726B39DA" w14:textId="77777777" w:rsidR="00E648FC" w:rsidRPr="00D61F73" w:rsidRDefault="00E648FC" w:rsidP="00D61F73">
            <w:pPr>
              <w:pStyle w:val="Footer"/>
              <w:tabs>
                <w:tab w:val="left" w:pos="720"/>
              </w:tabs>
              <w:rPr>
                <w:rFonts w:ascii="Arial" w:hAnsi="Arial" w:cs="Arial"/>
              </w:rPr>
            </w:pPr>
            <w:r w:rsidRPr="00D61F73">
              <w:rPr>
                <w:rFonts w:ascii="Arial" w:hAnsi="Arial" w:cs="Arial"/>
              </w:rPr>
              <w:t>C</w:t>
            </w:r>
            <w:bookmarkStart w:id="132" w:name="Chiropractictreatment"/>
            <w:bookmarkEnd w:id="132"/>
            <w:r w:rsidRPr="00D61F73">
              <w:rPr>
                <w:rFonts w:ascii="Arial" w:hAnsi="Arial" w:cs="Arial"/>
              </w:rPr>
              <w:t>hiropractic treatment</w:t>
            </w:r>
          </w:p>
        </w:tc>
        <w:tc>
          <w:tcPr>
            <w:tcW w:w="3914" w:type="pct"/>
          </w:tcPr>
          <w:p w14:paraId="169757B5" w14:textId="77777777" w:rsidR="00E648FC" w:rsidRPr="00D61F73" w:rsidRDefault="00E648FC" w:rsidP="00D61F73">
            <w:pPr>
              <w:rPr>
                <w:rFonts w:ascii="Arial" w:hAnsi="Arial" w:cs="Arial"/>
              </w:rPr>
            </w:pPr>
            <w:r w:rsidRPr="00D61F73">
              <w:rPr>
                <w:rFonts w:ascii="Arial" w:hAnsi="Arial" w:cs="Arial"/>
              </w:rPr>
              <w:t xml:space="preserve">See </w:t>
            </w:r>
            <w:hyperlink w:anchor="Manualtherapymanipulation" w:history="1">
              <w:r w:rsidRPr="00D61F73">
                <w:rPr>
                  <w:rStyle w:val="Hyperlink"/>
                  <w:rFonts w:ascii="Arial" w:hAnsi="Arial" w:cs="Arial"/>
                </w:rPr>
                <w:t>Manual therapy &amp; manipulation</w:t>
              </w:r>
            </w:hyperlink>
            <w:r w:rsidRPr="00D61F73">
              <w:rPr>
                <w:rFonts w:ascii="Arial" w:hAnsi="Arial" w:cs="Arial"/>
              </w:rPr>
              <w:t>.</w:t>
            </w:r>
          </w:p>
        </w:tc>
      </w:tr>
      <w:tr w:rsidR="00E648FC" w:rsidRPr="00D61F73" w14:paraId="4BDDC55F" w14:textId="77777777" w:rsidTr="0078164D">
        <w:tc>
          <w:tcPr>
            <w:tcW w:w="1086" w:type="pct"/>
          </w:tcPr>
          <w:p w14:paraId="470F6F83" w14:textId="77777777" w:rsidR="00E648FC" w:rsidRPr="00D61F73" w:rsidRDefault="00E648FC" w:rsidP="00D61F73">
            <w:pPr>
              <w:pStyle w:val="Footer"/>
              <w:tabs>
                <w:tab w:val="left" w:pos="720"/>
              </w:tabs>
              <w:rPr>
                <w:rFonts w:ascii="Arial" w:hAnsi="Arial" w:cs="Arial"/>
              </w:rPr>
            </w:pPr>
            <w:r w:rsidRPr="00D61F73">
              <w:rPr>
                <w:rFonts w:ascii="Arial" w:hAnsi="Arial" w:cs="Arial"/>
              </w:rPr>
              <w:t>C</w:t>
            </w:r>
            <w:bookmarkStart w:id="133" w:name="Chlordiazepoxide"/>
            <w:bookmarkEnd w:id="133"/>
            <w:r w:rsidRPr="00D61F73">
              <w:rPr>
                <w:rFonts w:ascii="Arial" w:hAnsi="Arial" w:cs="Arial"/>
              </w:rPr>
              <w:t>hlordiazepoxide</w:t>
            </w:r>
          </w:p>
        </w:tc>
        <w:tc>
          <w:tcPr>
            <w:tcW w:w="3914" w:type="pct"/>
          </w:tcPr>
          <w:p w14:paraId="3635DFF7" w14:textId="77777777" w:rsidR="00E648FC" w:rsidRPr="00D61F73" w:rsidRDefault="00E648FC"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6C14F4D8" w14:textId="77777777" w:rsidTr="0078164D">
        <w:tc>
          <w:tcPr>
            <w:tcW w:w="1086" w:type="pct"/>
          </w:tcPr>
          <w:p w14:paraId="15E9A1A9" w14:textId="77777777" w:rsidR="00E648FC" w:rsidRPr="00D61F73" w:rsidRDefault="00E648FC" w:rsidP="00D61F73">
            <w:pPr>
              <w:pStyle w:val="Footer"/>
              <w:tabs>
                <w:tab w:val="left" w:pos="720"/>
              </w:tabs>
              <w:rPr>
                <w:rFonts w:ascii="Arial" w:hAnsi="Arial" w:cs="Arial"/>
              </w:rPr>
            </w:pPr>
            <w:r w:rsidRPr="00D61F73">
              <w:rPr>
                <w:rFonts w:ascii="Arial" w:hAnsi="Arial" w:cs="Arial"/>
              </w:rPr>
              <w:t>C</w:t>
            </w:r>
            <w:bookmarkStart w:id="134" w:name="Cholecalciferol"/>
            <w:bookmarkEnd w:id="134"/>
            <w:r w:rsidRPr="00D61F73">
              <w:rPr>
                <w:rFonts w:ascii="Arial" w:hAnsi="Arial" w:cs="Arial"/>
              </w:rPr>
              <w:t>holecalciferol</w:t>
            </w:r>
          </w:p>
        </w:tc>
        <w:tc>
          <w:tcPr>
            <w:tcW w:w="3914" w:type="pct"/>
          </w:tcPr>
          <w:p w14:paraId="3EEB8332" w14:textId="77777777" w:rsidR="00E648FC" w:rsidRPr="00D61F73" w:rsidRDefault="00E648FC" w:rsidP="00D61F73">
            <w:pPr>
              <w:rPr>
                <w:rFonts w:ascii="Arial" w:hAnsi="Arial" w:cs="Arial"/>
              </w:rPr>
            </w:pPr>
            <w:r w:rsidRPr="00D61F73">
              <w:rPr>
                <w:rFonts w:ascii="Arial" w:hAnsi="Arial" w:cs="Arial"/>
              </w:rPr>
              <w:t xml:space="preserve">See </w:t>
            </w:r>
            <w:hyperlink w:anchor="VitaminD" w:history="1">
              <w:r w:rsidR="00547781" w:rsidRPr="00D61F73">
                <w:rPr>
                  <w:rStyle w:val="Hyperlink"/>
                  <w:rFonts w:ascii="Arial" w:hAnsi="Arial" w:cs="Arial"/>
                </w:rPr>
                <w:t>Vitamin D</w:t>
              </w:r>
            </w:hyperlink>
            <w:r w:rsidRPr="00D61F73">
              <w:rPr>
                <w:rFonts w:ascii="Arial" w:hAnsi="Arial" w:cs="Arial"/>
              </w:rPr>
              <w:t>.</w:t>
            </w:r>
          </w:p>
        </w:tc>
      </w:tr>
      <w:tr w:rsidR="00E648FC" w:rsidRPr="00D61F73" w14:paraId="58621E82" w14:textId="77777777" w:rsidTr="00EF4CAB">
        <w:tc>
          <w:tcPr>
            <w:tcW w:w="1086" w:type="pct"/>
          </w:tcPr>
          <w:p w14:paraId="7B0200F2" w14:textId="77777777" w:rsidR="00E648FC" w:rsidRPr="00D61F73" w:rsidRDefault="00E648FC" w:rsidP="00D61F73">
            <w:pPr>
              <w:pStyle w:val="Footer"/>
              <w:tabs>
                <w:tab w:val="left" w:pos="720"/>
              </w:tabs>
              <w:rPr>
                <w:rFonts w:ascii="Arial" w:hAnsi="Arial" w:cs="Arial"/>
              </w:rPr>
            </w:pPr>
            <w:r w:rsidRPr="00D61F73">
              <w:rPr>
                <w:rFonts w:ascii="Arial" w:hAnsi="Arial" w:cs="Arial"/>
              </w:rPr>
              <w:t>C</w:t>
            </w:r>
            <w:bookmarkStart w:id="135" w:name="Chondroitinsulfate"/>
            <w:bookmarkEnd w:id="135"/>
            <w:r w:rsidRPr="00D61F73">
              <w:rPr>
                <w:rFonts w:ascii="Arial" w:hAnsi="Arial" w:cs="Arial"/>
              </w:rPr>
              <w:t>hondroitin sulfate</w:t>
            </w:r>
          </w:p>
        </w:tc>
        <w:tc>
          <w:tcPr>
            <w:tcW w:w="3914" w:type="pct"/>
            <w:tcBorders>
              <w:bottom w:val="single" w:sz="4" w:space="0" w:color="auto"/>
            </w:tcBorders>
          </w:tcPr>
          <w:p w14:paraId="16EB3522" w14:textId="77777777" w:rsidR="00E648FC" w:rsidRPr="00D61F73" w:rsidRDefault="00E648FC" w:rsidP="00D61F73">
            <w:pPr>
              <w:rPr>
                <w:rFonts w:ascii="Arial" w:hAnsi="Arial" w:cs="Arial"/>
              </w:rPr>
            </w:pPr>
            <w:r w:rsidRPr="00D61F73">
              <w:rPr>
                <w:rFonts w:ascii="Arial" w:hAnsi="Arial" w:cs="Arial"/>
              </w:rPr>
              <w:t xml:space="preserve">See </w:t>
            </w:r>
            <w:hyperlink w:anchor="Glucosamine" w:history="1">
              <w:r w:rsidRPr="00D61F73">
                <w:rPr>
                  <w:rStyle w:val="Hyperlink"/>
                  <w:rFonts w:ascii="Arial" w:hAnsi="Arial" w:cs="Arial"/>
                </w:rPr>
                <w:t>Glucosamine</w:t>
              </w:r>
            </w:hyperlink>
            <w:r w:rsidRPr="00D61F73">
              <w:rPr>
                <w:rFonts w:ascii="Arial" w:hAnsi="Arial" w:cs="Arial"/>
              </w:rPr>
              <w:t xml:space="preserve"> (and Chondroitin Sulfate).</w:t>
            </w:r>
          </w:p>
        </w:tc>
      </w:tr>
      <w:tr w:rsidR="00E648FC" w:rsidRPr="00D61F73" w14:paraId="59D0003C" w14:textId="77777777" w:rsidTr="00EF4CAB">
        <w:tc>
          <w:tcPr>
            <w:tcW w:w="1086" w:type="pct"/>
          </w:tcPr>
          <w:p w14:paraId="4739542B" w14:textId="77777777" w:rsidR="00E648FC" w:rsidRPr="00D61F73" w:rsidRDefault="00E648FC" w:rsidP="00D61F73">
            <w:pPr>
              <w:pStyle w:val="Footer"/>
              <w:tabs>
                <w:tab w:val="left" w:pos="720"/>
              </w:tabs>
              <w:rPr>
                <w:rFonts w:ascii="Arial" w:hAnsi="Arial" w:cs="Arial"/>
              </w:rPr>
            </w:pPr>
            <w:r w:rsidRPr="00D61F73">
              <w:rPr>
                <w:rFonts w:ascii="Arial" w:hAnsi="Arial" w:cs="Arial"/>
              </w:rPr>
              <w:t>C</w:t>
            </w:r>
            <w:bookmarkStart w:id="136" w:name="Chronicpainprograms"/>
            <w:bookmarkEnd w:id="136"/>
            <w:r w:rsidRPr="00D61F73">
              <w:rPr>
                <w:rFonts w:ascii="Arial" w:hAnsi="Arial" w:cs="Arial"/>
              </w:rPr>
              <w:t>hronic pain programs /</w:t>
            </w:r>
            <w:r w:rsidR="009751F0" w:rsidRPr="00D61F73" w:rsidDel="009751F0">
              <w:rPr>
                <w:rFonts w:ascii="Arial" w:hAnsi="Arial" w:cs="Arial"/>
              </w:rPr>
              <w:t xml:space="preserve"> </w:t>
            </w:r>
            <w:r w:rsidRPr="00D61F73">
              <w:rPr>
                <w:rFonts w:ascii="Arial" w:hAnsi="Arial" w:cs="Arial"/>
              </w:rPr>
              <w:t xml:space="preserve">(Functional restoration programs [FRPs]) </w:t>
            </w:r>
          </w:p>
        </w:tc>
        <w:tc>
          <w:tcPr>
            <w:tcW w:w="3914" w:type="pct"/>
            <w:shd w:val="clear" w:color="auto" w:fill="auto"/>
          </w:tcPr>
          <w:p w14:paraId="7D5EC185" w14:textId="43AE1450" w:rsidR="00E648FC" w:rsidRPr="00D61F73" w:rsidRDefault="00E648FC" w:rsidP="00D61F73">
            <w:pPr>
              <w:rPr>
                <w:rFonts w:ascii="Arial" w:hAnsi="Arial" w:cs="Arial"/>
              </w:rPr>
            </w:pPr>
            <w:r w:rsidRPr="00D61F73">
              <w:rPr>
                <w:rFonts w:ascii="Arial" w:hAnsi="Arial" w:cs="Arial"/>
              </w:rPr>
              <w:t>Recommended where there is access to programs with proven successful outcomes (i.e., decreased pain and medication use, improved function and return to work, decreased utilization of the health care system), for patients with conditions that have resulted in “</w:t>
            </w:r>
            <w:r w:rsidR="00584787" w:rsidRPr="00D61F73">
              <w:rPr>
                <w:rFonts w:ascii="Arial" w:hAnsi="Arial" w:cs="Arial"/>
              </w:rPr>
              <w:t>Delayed recovery</w:t>
            </w:r>
            <w:r w:rsidR="0078070A" w:rsidRPr="00D61F73">
              <w:rPr>
                <w:rFonts w:ascii="Arial" w:hAnsi="Arial" w:cs="Arial"/>
              </w:rPr>
              <w:t xml:space="preserve">.” Also </w:t>
            </w:r>
            <w:r w:rsidR="006A52C9" w:rsidRPr="00D61F73">
              <w:rPr>
                <w:rFonts w:ascii="Arial" w:hAnsi="Arial" w:cs="Arial"/>
              </w:rPr>
              <w:t>see</w:t>
            </w:r>
            <w:r w:rsidR="0078070A" w:rsidRPr="00D61F73">
              <w:rPr>
                <w:rFonts w:ascii="Arial" w:hAnsi="Arial" w:cs="Arial"/>
              </w:rPr>
              <w:t xml:space="preserve"> </w:t>
            </w:r>
            <w:r w:rsidRPr="0001768C">
              <w:rPr>
                <w:rFonts w:ascii="Arial" w:hAnsi="Arial" w:cs="Arial"/>
              </w:rPr>
              <w:t>Introduction to the MTUS Chronic Pain Guideline</w:t>
            </w:r>
            <w:r w:rsidR="00B70636" w:rsidRPr="0001768C">
              <w:rPr>
                <w:rFonts w:ascii="Arial" w:hAnsi="Arial" w:cs="Arial"/>
              </w:rPr>
              <w:t>s</w:t>
            </w:r>
            <w:r w:rsidRPr="00D61F73">
              <w:rPr>
                <w:rFonts w:ascii="Arial" w:hAnsi="Arial" w:cs="Arial"/>
              </w:rPr>
              <w:t>. There should be evidence that a complete diagnostic assessment has been made, with a detailed treatment plan of how to address physiologic, psychological and sociologic components that are considered components of the patient’s pain. Patients should show evidence of motivation to improve and return to work, and meet the patient selection criteria outlined below. While these programs are recommended (see criteria below), the research remains ongoing as to (1) what is considered the “gold-standard” content for treatment; (2) the group of patients that benefit most from this treatment; (3) the ideal timing of when to initiate treatment; (4) the intensity necessary for effective treatment; and (5) cost-effectiveness. It has been suggested that interdisciplinary/multidisciplinary care models for treatment of chronic pain may be the most effective way to treat this condition. (</w:t>
            </w:r>
            <w:hyperlink w:anchor="Flor" w:history="1">
              <w:r w:rsidRPr="00D61F73">
                <w:rPr>
                  <w:rStyle w:val="Hyperlink"/>
                  <w:rFonts w:ascii="Arial" w:hAnsi="Arial" w:cs="Arial"/>
                </w:rPr>
                <w:t>Flor, 1992</w:t>
              </w:r>
            </w:hyperlink>
            <w:r w:rsidRPr="00D61F73">
              <w:rPr>
                <w:rFonts w:ascii="Arial" w:hAnsi="Arial" w:cs="Arial"/>
              </w:rPr>
              <w:t>) (</w:t>
            </w:r>
            <w:hyperlink w:anchor="planning" w:history="1">
              <w:r w:rsidRPr="00D61F73">
                <w:rPr>
                  <w:rStyle w:val="Hyperlink"/>
                  <w:rFonts w:ascii="Arial" w:hAnsi="Arial" w:cs="Arial"/>
                </w:rPr>
                <w:t>Gallagher, 1999</w:t>
              </w:r>
            </w:hyperlink>
            <w:r w:rsidRPr="00D61F73">
              <w:rPr>
                <w:rFonts w:ascii="Arial" w:hAnsi="Arial" w:cs="Arial"/>
              </w:rPr>
              <w:t>) (</w:t>
            </w:r>
            <w:hyperlink w:anchor="Guzman" w:history="1">
              <w:r w:rsidRPr="00D61F73">
                <w:rPr>
                  <w:rStyle w:val="Hyperlink"/>
                  <w:rFonts w:ascii="Arial" w:hAnsi="Arial" w:cs="Arial"/>
                </w:rPr>
                <w:t>Guzman, 2001</w:t>
              </w:r>
            </w:hyperlink>
            <w:r w:rsidRPr="00D61F73">
              <w:rPr>
                <w:rFonts w:ascii="Arial" w:hAnsi="Arial" w:cs="Arial"/>
              </w:rPr>
              <w:t>) (</w:t>
            </w:r>
            <w:hyperlink w:anchor="Gross" w:history="1">
              <w:r w:rsidRPr="00D61F73">
                <w:rPr>
                  <w:rStyle w:val="Hyperlink"/>
                  <w:rFonts w:ascii="Arial" w:hAnsi="Arial" w:cs="Arial"/>
                </w:rPr>
                <w:t>Gross, 2005</w:t>
              </w:r>
            </w:hyperlink>
            <w:r w:rsidRPr="00D61F73">
              <w:rPr>
                <w:rFonts w:ascii="Arial" w:hAnsi="Arial" w:cs="Arial"/>
              </w:rPr>
              <w:t>) (</w:t>
            </w:r>
            <w:hyperlink w:anchor="Sullivan" w:history="1">
              <w:r w:rsidRPr="00D61F73">
                <w:rPr>
                  <w:rStyle w:val="Hyperlink"/>
                  <w:rFonts w:ascii="Arial" w:hAnsi="Arial" w:cs="Arial"/>
                </w:rPr>
                <w:t>Sullivan, 2005</w:t>
              </w:r>
            </w:hyperlink>
            <w:r w:rsidRPr="00D61F73">
              <w:rPr>
                <w:rFonts w:ascii="Arial" w:hAnsi="Arial" w:cs="Arial"/>
              </w:rPr>
              <w:t>) (</w:t>
            </w:r>
            <w:hyperlink w:anchor="Dysvik" w:history="1">
              <w:r w:rsidRPr="00D61F73">
                <w:rPr>
                  <w:rStyle w:val="Hyperlink"/>
                  <w:rFonts w:ascii="Arial" w:hAnsi="Arial" w:cs="Arial"/>
                </w:rPr>
                <w:t>Dysvik, 2005</w:t>
              </w:r>
            </w:hyperlink>
            <w:r w:rsidRPr="00D61F73">
              <w:rPr>
                <w:rFonts w:ascii="Arial" w:hAnsi="Arial" w:cs="Arial"/>
              </w:rPr>
              <w:t>) (</w:t>
            </w:r>
            <w:hyperlink w:anchor="Airaksinen2" w:history="1">
              <w:r w:rsidRPr="00D61F73">
                <w:rPr>
                  <w:rStyle w:val="Hyperlink"/>
                  <w:rFonts w:ascii="Arial" w:hAnsi="Arial" w:cs="Arial"/>
                </w:rPr>
                <w:t>Airaksinen, 2006</w:t>
              </w:r>
            </w:hyperlink>
            <w:r w:rsidRPr="00D61F73">
              <w:rPr>
                <w:rFonts w:ascii="Arial" w:hAnsi="Arial" w:cs="Arial"/>
              </w:rPr>
              <w:t>) (</w:t>
            </w:r>
            <w:hyperlink w:anchor="Schonstein" w:history="1">
              <w:r w:rsidRPr="00D61F73">
                <w:rPr>
                  <w:rStyle w:val="Hyperlink"/>
                  <w:rFonts w:ascii="Arial" w:hAnsi="Arial" w:cs="Arial"/>
                </w:rPr>
                <w:t>Schonstein, 2003</w:t>
              </w:r>
            </w:hyperlink>
            <w:r w:rsidRPr="00D61F73">
              <w:rPr>
                <w:rFonts w:ascii="Arial" w:hAnsi="Arial" w:cs="Arial"/>
              </w:rPr>
              <w:t>) (</w:t>
            </w:r>
            <w:hyperlink w:anchor="Sanders" w:history="1">
              <w:r w:rsidRPr="00D61F73">
                <w:rPr>
                  <w:rStyle w:val="Hyperlink"/>
                  <w:rFonts w:ascii="Arial" w:hAnsi="Arial" w:cs="Arial"/>
                </w:rPr>
                <w:t>Sanders, 2005</w:t>
              </w:r>
            </w:hyperlink>
            <w:r w:rsidRPr="00D61F73">
              <w:rPr>
                <w:rFonts w:ascii="Arial" w:hAnsi="Arial" w:cs="Arial"/>
              </w:rPr>
              <w:t>) (</w:t>
            </w:r>
            <w:hyperlink w:anchor="Patrick" w:history="1">
              <w:r w:rsidRPr="00D61F73">
                <w:rPr>
                  <w:rStyle w:val="Hyperlink"/>
                  <w:rFonts w:ascii="Arial" w:hAnsi="Arial" w:cs="Arial"/>
                </w:rPr>
                <w:t>Patrick, 2004</w:t>
              </w:r>
            </w:hyperlink>
            <w:r w:rsidRPr="00D61F73">
              <w:rPr>
                <w:rFonts w:ascii="Arial" w:hAnsi="Arial" w:cs="Arial"/>
              </w:rPr>
              <w:t>) (</w:t>
            </w:r>
            <w:hyperlink w:anchor="Buchner" w:history="1">
              <w:r w:rsidRPr="00D61F73">
                <w:rPr>
                  <w:rStyle w:val="Hyperlink"/>
                  <w:rFonts w:ascii="Arial" w:hAnsi="Arial" w:cs="Arial"/>
                </w:rPr>
                <w:t>Buchner, 2006</w:t>
              </w:r>
            </w:hyperlink>
            <w:r w:rsidRPr="00D61F73">
              <w:rPr>
                <w:rFonts w:ascii="Arial" w:hAnsi="Arial" w:cs="Arial"/>
              </w:rPr>
              <w:t>) These treatment modalities are based on the biopsychosocial model, one that views pain and disability in terms of the interaction between physiological, psychological and social factors. (</w:t>
            </w:r>
            <w:hyperlink w:anchor="Gatchel12005" w:history="1">
              <w:r w:rsidRPr="00D61F73">
                <w:rPr>
                  <w:rStyle w:val="Hyperlink"/>
                  <w:rFonts w:ascii="Arial" w:hAnsi="Arial" w:cs="Arial"/>
                </w:rPr>
                <w:t>Gatchel, 2005</w:t>
              </w:r>
            </w:hyperlink>
            <w:r w:rsidRPr="00D61F73">
              <w:rPr>
                <w:rFonts w:ascii="Arial" w:hAnsi="Arial" w:cs="Arial"/>
              </w:rPr>
              <w:t xml:space="preserve">) See </w:t>
            </w:r>
            <w:hyperlink w:anchor="Biopsychosocialmodelofchronicpain" w:history="1">
              <w:r w:rsidRPr="00D61F73">
                <w:rPr>
                  <w:rStyle w:val="Hyperlink"/>
                  <w:rFonts w:ascii="Arial" w:hAnsi="Arial" w:cs="Arial"/>
                </w:rPr>
                <w:t>Biopsychosocial model of chronic pain</w:t>
              </w:r>
            </w:hyperlink>
            <w:r w:rsidRPr="00D61F73">
              <w:rPr>
                <w:rFonts w:ascii="Arial" w:hAnsi="Arial" w:cs="Arial"/>
              </w:rPr>
              <w:t>.</w:t>
            </w:r>
          </w:p>
          <w:p w14:paraId="6D1FEAC6" w14:textId="006EAD4F" w:rsidR="00ED0246" w:rsidRPr="00D61F73" w:rsidRDefault="00E648FC" w:rsidP="00D61F73">
            <w:pPr>
              <w:rPr>
                <w:rFonts w:ascii="Arial" w:hAnsi="Arial" w:cs="Arial"/>
              </w:rPr>
            </w:pPr>
            <w:r w:rsidRPr="00D61F73">
              <w:rPr>
                <w:rFonts w:ascii="Arial" w:hAnsi="Arial" w:cs="Arial"/>
                <w:b/>
                <w:bCs/>
                <w:i/>
              </w:rPr>
              <w:t xml:space="preserve">Types of programs: </w:t>
            </w:r>
            <w:r w:rsidRPr="00D61F73">
              <w:rPr>
                <w:rFonts w:ascii="Arial" w:hAnsi="Arial" w:cs="Arial"/>
              </w:rPr>
              <w:t>There is no one universal definition of what comprises interdisciplinary/multidisciplinary treatment. These pain rehabilitation programs (as described below) combine multiple treatments, and at the least, include psychological care along with physical and/or occupational therapy (including an active exercise component as opposed to passive modalities). The most commonly referenced programs have been defined in the following general ways (</w:t>
            </w:r>
            <w:hyperlink w:anchor="Stanos" w:history="1">
              <w:r w:rsidRPr="00D61F73">
                <w:rPr>
                  <w:rStyle w:val="Hyperlink"/>
                  <w:rFonts w:ascii="Arial" w:hAnsi="Arial" w:cs="Arial"/>
                </w:rPr>
                <w:t>Stanos, 2006</w:t>
              </w:r>
            </w:hyperlink>
            <w:r w:rsidRPr="00D61F73">
              <w:rPr>
                <w:rFonts w:ascii="Arial" w:hAnsi="Arial" w:cs="Arial"/>
              </w:rPr>
              <w:t>):</w:t>
            </w:r>
          </w:p>
          <w:p w14:paraId="3C509EDC" w14:textId="77777777" w:rsidR="00E648FC" w:rsidRPr="00D61F73" w:rsidRDefault="00E648FC" w:rsidP="00D61F73">
            <w:pPr>
              <w:rPr>
                <w:rFonts w:ascii="Arial" w:hAnsi="Arial" w:cs="Arial"/>
              </w:rPr>
            </w:pPr>
            <w:r w:rsidRPr="00D61F73">
              <w:rPr>
                <w:rFonts w:ascii="Arial" w:hAnsi="Arial" w:cs="Arial"/>
              </w:rPr>
              <w:t xml:space="preserve">(1) </w:t>
            </w:r>
            <w:r w:rsidRPr="00D61F73">
              <w:rPr>
                <w:rFonts w:ascii="Arial" w:hAnsi="Arial" w:cs="Arial"/>
                <w:u w:val="single"/>
              </w:rPr>
              <w:t>Multidisciplinary programs</w:t>
            </w:r>
            <w:r w:rsidRPr="00D61F73">
              <w:rPr>
                <w:rFonts w:ascii="Arial" w:hAnsi="Arial" w:cs="Arial"/>
              </w:rPr>
              <w:t>: Involves one or two specialists directing the services of a number of team members, with these specialists often having independent goals. These programs can be further subdivided into four levels of pain programs:</w:t>
            </w:r>
          </w:p>
          <w:p w14:paraId="7BEB3330" w14:textId="77777777" w:rsidR="00E648FC" w:rsidRPr="00D61F73" w:rsidRDefault="00E648FC" w:rsidP="00D61F73">
            <w:pPr>
              <w:rPr>
                <w:rFonts w:ascii="Arial" w:hAnsi="Arial" w:cs="Arial"/>
              </w:rPr>
            </w:pPr>
            <w:r w:rsidRPr="00D61F73">
              <w:rPr>
                <w:rFonts w:ascii="Arial" w:hAnsi="Arial" w:cs="Arial"/>
              </w:rPr>
              <w:lastRenderedPageBreak/>
              <w:t xml:space="preserve"> (a) Multidisciplinary pain centers (generally associated with academic centers and include research as part of their focus)</w:t>
            </w:r>
          </w:p>
          <w:p w14:paraId="0917AD67" w14:textId="77777777" w:rsidR="00E648FC" w:rsidRPr="00D61F73" w:rsidRDefault="00E648FC" w:rsidP="00D61F73">
            <w:pPr>
              <w:rPr>
                <w:rFonts w:ascii="Arial" w:hAnsi="Arial" w:cs="Arial"/>
              </w:rPr>
            </w:pPr>
            <w:r w:rsidRPr="00D61F73">
              <w:rPr>
                <w:rFonts w:ascii="Arial" w:hAnsi="Arial" w:cs="Arial"/>
              </w:rPr>
              <w:t xml:space="preserve"> (b) Multidisciplinary pain clinics</w:t>
            </w:r>
          </w:p>
          <w:p w14:paraId="6C6410B9" w14:textId="77777777" w:rsidR="00E648FC" w:rsidRPr="00D61F73" w:rsidRDefault="00E648FC" w:rsidP="00D61F73">
            <w:pPr>
              <w:rPr>
                <w:rFonts w:ascii="Arial" w:hAnsi="Arial" w:cs="Arial"/>
              </w:rPr>
            </w:pPr>
            <w:r w:rsidRPr="00D61F73">
              <w:rPr>
                <w:rFonts w:ascii="Arial" w:hAnsi="Arial" w:cs="Arial"/>
              </w:rPr>
              <w:t xml:space="preserve"> (c) Pain clinics </w:t>
            </w:r>
          </w:p>
          <w:p w14:paraId="55E26DE9" w14:textId="77777777" w:rsidR="00E648FC" w:rsidRPr="00D61F73" w:rsidRDefault="00E648FC" w:rsidP="00D61F73">
            <w:pPr>
              <w:rPr>
                <w:rFonts w:ascii="Arial" w:hAnsi="Arial" w:cs="Arial"/>
              </w:rPr>
            </w:pPr>
            <w:r w:rsidRPr="00D61F73">
              <w:rPr>
                <w:rFonts w:ascii="Arial" w:hAnsi="Arial" w:cs="Arial"/>
              </w:rPr>
              <w:t xml:space="preserve"> (d) Modality-oriented clinics</w:t>
            </w:r>
          </w:p>
          <w:p w14:paraId="6A9F6247" w14:textId="77777777" w:rsidR="00E648FC" w:rsidRPr="00D61F73" w:rsidRDefault="00E648FC" w:rsidP="00D61F73">
            <w:pPr>
              <w:rPr>
                <w:rFonts w:ascii="Arial" w:hAnsi="Arial" w:cs="Arial"/>
              </w:rPr>
            </w:pPr>
            <w:r w:rsidRPr="00D61F73">
              <w:rPr>
                <w:rFonts w:ascii="Arial" w:hAnsi="Arial" w:cs="Arial"/>
              </w:rPr>
              <w:t xml:space="preserve">(2) </w:t>
            </w:r>
            <w:r w:rsidRPr="00D61F73">
              <w:rPr>
                <w:rFonts w:ascii="Arial" w:hAnsi="Arial" w:cs="Arial"/>
                <w:u w:val="single"/>
              </w:rPr>
              <w:t>Interdisciplinary pain programs</w:t>
            </w:r>
            <w:r w:rsidRPr="00D61F73">
              <w:rPr>
                <w:rFonts w:ascii="Arial" w:hAnsi="Arial" w:cs="Arial"/>
              </w:rPr>
              <w:t xml:space="preserve">: Involves a team approach that is outcome focused and coordinated and offers goal-oriented interdisciplinary services. Communication on a minimum of a weekly basis is emphasized. The most intensive of these programs is referred to as a Functional Restoration Program, with a major emphasis on maximizing function versus minimizing pain. See </w:t>
            </w:r>
            <w:hyperlink w:anchor="Functionalrestorationprograms" w:history="1">
              <w:r w:rsidRPr="00D61F73">
                <w:rPr>
                  <w:rFonts w:ascii="Arial" w:hAnsi="Arial" w:cs="Arial"/>
                  <w:color w:val="0000FF"/>
                  <w:u w:val="single"/>
                </w:rPr>
                <w:t>Functional restoration programs</w:t>
              </w:r>
            </w:hyperlink>
            <w:r w:rsidRPr="00D61F73">
              <w:rPr>
                <w:rFonts w:ascii="Arial" w:hAnsi="Arial" w:cs="Arial"/>
              </w:rPr>
              <w:t>.</w:t>
            </w:r>
          </w:p>
          <w:p w14:paraId="7F8A2770" w14:textId="77777777" w:rsidR="00E648FC" w:rsidRPr="00D61F73" w:rsidRDefault="00E648FC" w:rsidP="00D61F73">
            <w:pPr>
              <w:rPr>
                <w:rFonts w:ascii="Arial" w:hAnsi="Arial" w:cs="Arial"/>
              </w:rPr>
            </w:pPr>
            <w:r w:rsidRPr="00D61F73">
              <w:rPr>
                <w:rFonts w:ascii="Arial" w:hAnsi="Arial" w:cs="Arial"/>
                <w:b/>
                <w:bCs/>
                <w:i/>
              </w:rPr>
              <w:t>Types of treatment:</w:t>
            </w:r>
            <w:r w:rsidRPr="00D61F73">
              <w:rPr>
                <w:rFonts w:ascii="Arial" w:hAnsi="Arial" w:cs="Arial"/>
                <w:i/>
              </w:rPr>
              <w:t xml:space="preserve"> </w:t>
            </w:r>
            <w:r w:rsidRPr="00D61F73">
              <w:rPr>
                <w:rFonts w:ascii="Arial" w:hAnsi="Arial" w:cs="Arial"/>
              </w:rPr>
              <w:t>Components suggested for interdisciplinary care include the following services delivered in an integrated fashion: (a) physical treatment; (b) medical care and supervision; (c) psychological and behavioral care; (d) psychosocial care;and (</w:t>
            </w:r>
            <w:r w:rsidR="0061527A" w:rsidRPr="00D61F73">
              <w:rPr>
                <w:rFonts w:ascii="Arial" w:hAnsi="Arial" w:cs="Arial"/>
              </w:rPr>
              <w:t>e</w:t>
            </w:r>
            <w:r w:rsidRPr="00D61F73">
              <w:rPr>
                <w:rFonts w:ascii="Arial" w:hAnsi="Arial" w:cs="Arial"/>
              </w:rPr>
              <w:t xml:space="preserve">) education. </w:t>
            </w:r>
          </w:p>
          <w:p w14:paraId="7217F83C" w14:textId="77777777" w:rsidR="00E648FC" w:rsidRPr="00D61F73" w:rsidRDefault="00E648FC" w:rsidP="00D61F73">
            <w:pPr>
              <w:rPr>
                <w:rFonts w:ascii="Arial" w:hAnsi="Arial" w:cs="Arial"/>
              </w:rPr>
            </w:pPr>
            <w:r w:rsidRPr="00D61F73">
              <w:rPr>
                <w:rFonts w:ascii="Arial" w:hAnsi="Arial" w:cs="Arial"/>
                <w:b/>
                <w:i/>
              </w:rPr>
              <w:t>Outcomes measured:</w:t>
            </w:r>
            <w:r w:rsidRPr="00D61F73">
              <w:rPr>
                <w:rFonts w:ascii="Arial" w:hAnsi="Arial" w:cs="Arial"/>
              </w:rPr>
              <w:t xml:space="preserve"> Studies have generally evaluated variables such as pain relief, function and return to work. More recent research has begun to investigate the role of comorbid psychiatric and substance abuse problems in relation to treatment with pain programs. Recent literature has begun to suggest that an outcome of chronic pain programs may be to “demedicalize” treatment of a patient, and encourage them to take a more active role in their recovery. These studies use outcomes such as use of the medical care system post-treatment. The role of the increasing use of opioids and other medications (using data collected over the past decade) on outcomes of functional restoration is in the early stages, and it is not clear how changes in medication management have affected outcomes, if at all. </w:t>
            </w:r>
          </w:p>
          <w:p w14:paraId="1C9AFC14" w14:textId="5D5A7879" w:rsidR="00E648FC" w:rsidRPr="00D61F73" w:rsidRDefault="002B5337" w:rsidP="00D61F73">
            <w:pPr>
              <w:rPr>
                <w:rFonts w:ascii="Arial" w:hAnsi="Arial" w:cs="Arial"/>
                <w:u w:val="single"/>
              </w:rPr>
            </w:pPr>
            <w:r w:rsidRPr="00D61F73">
              <w:rPr>
                <w:rFonts w:ascii="Arial" w:hAnsi="Arial" w:cs="Arial"/>
              </w:rPr>
              <w:t>See</w:t>
            </w:r>
            <w:r w:rsidR="00E648FC" w:rsidRPr="00D61F73">
              <w:rPr>
                <w:rFonts w:ascii="Arial" w:hAnsi="Arial" w:cs="Arial"/>
              </w:rPr>
              <w:t xml:space="preserve"> </w:t>
            </w:r>
            <w:r w:rsidR="004F1761" w:rsidRPr="00D61F73">
              <w:rPr>
                <w:rFonts w:ascii="Arial" w:hAnsi="Arial" w:cs="Arial"/>
              </w:rPr>
              <w:t xml:space="preserve">MTUS </w:t>
            </w:r>
            <w:r w:rsidR="00AA2119" w:rsidRPr="00D61F73">
              <w:rPr>
                <w:rFonts w:ascii="Arial" w:hAnsi="Arial" w:cs="Arial"/>
              </w:rPr>
              <w:t>Opioids Treatment Guidelines</w:t>
            </w:r>
            <w:r w:rsidR="005002A6" w:rsidRPr="00D61F73">
              <w:rPr>
                <w:rFonts w:ascii="Arial" w:hAnsi="Arial" w:cs="Arial"/>
              </w:rPr>
              <w:t xml:space="preserve"> </w:t>
            </w:r>
            <w:r w:rsidR="00E648FC" w:rsidRPr="00D61F73">
              <w:rPr>
                <w:rFonts w:ascii="Arial" w:hAnsi="Arial" w:cs="Arial"/>
                <w:bCs/>
              </w:rPr>
              <w:t xml:space="preserve">for recommendations on the use of opioids. Also see </w:t>
            </w:r>
            <w:hyperlink r:id="rId48" w:anchor="2" w:history="1">
              <w:r w:rsidR="00E648FC" w:rsidRPr="00D61F73">
                <w:rPr>
                  <w:rStyle w:val="Hyperlink"/>
                  <w:rFonts w:ascii="Arial" w:hAnsi="Arial" w:cs="Arial"/>
                  <w:bCs/>
                </w:rPr>
                <w:t>specific body-part chapters</w:t>
              </w:r>
            </w:hyperlink>
            <w:r w:rsidR="00E648FC" w:rsidRPr="00D61F73">
              <w:rPr>
                <w:rFonts w:ascii="Arial" w:hAnsi="Arial" w:cs="Arial"/>
                <w:bCs/>
              </w:rPr>
              <w:t xml:space="preserve"> in the MTUS.</w:t>
            </w:r>
          </w:p>
          <w:p w14:paraId="00C53C7F" w14:textId="77777777" w:rsidR="00E648FC" w:rsidRPr="00D61F73" w:rsidRDefault="00E648FC" w:rsidP="00D61F73">
            <w:pPr>
              <w:rPr>
                <w:rFonts w:ascii="Arial" w:hAnsi="Arial" w:cs="Arial"/>
              </w:rPr>
            </w:pPr>
            <w:r w:rsidRPr="00D61F73">
              <w:rPr>
                <w:rFonts w:ascii="Arial" w:hAnsi="Arial" w:cs="Arial"/>
                <w:i/>
                <w:u w:val="single"/>
              </w:rPr>
              <w:t>Multidisciplinary back training</w:t>
            </w:r>
            <w:r w:rsidRPr="00D61F73">
              <w:rPr>
                <w:rFonts w:ascii="Arial" w:hAnsi="Arial" w:cs="Arial"/>
                <w:i/>
              </w:rPr>
              <w:t xml:space="preserve">: </w:t>
            </w:r>
            <w:r w:rsidRPr="00D61F73">
              <w:rPr>
                <w:rFonts w:ascii="Arial" w:hAnsi="Arial" w:cs="Arial"/>
              </w:rPr>
              <w:t>(involvement of psychologists, physiotherapists, occupational therapists, and/or medical specialists). The training program is partly based on physical training and partly on behavioral cognitive training. Physical training is performed according to the “graded activity” principle. The main goal is to restore daily function. A recent review of randomized controlled studies of at least a year’s duration found that this treatment modality produced a positive effect on work participation and possibly on quality of life. There was no long-term effect on experienced pain or functional status (this result may be secondary to the instrument used for outcome measure). Intensity of training had no substantial influence on the effectiveness of the treatment. (</w:t>
            </w:r>
            <w:hyperlink w:anchor="van" w:history="1">
              <w:r w:rsidRPr="00D61F73">
                <w:rPr>
                  <w:rStyle w:val="Hyperlink"/>
                  <w:rFonts w:ascii="Arial" w:hAnsi="Arial" w:cs="Arial"/>
                </w:rPr>
                <w:t>van Geen, 2007</w:t>
              </w:r>
            </w:hyperlink>
            <w:r w:rsidRPr="00D61F73">
              <w:rPr>
                <w:rFonts w:ascii="Arial" w:hAnsi="Arial" w:cs="Arial"/>
              </w:rPr>
              <w:t>) (</w:t>
            </w:r>
            <w:hyperlink w:anchor="Bendix1997" w:history="1">
              <w:r w:rsidRPr="00D61F73">
                <w:rPr>
                  <w:rStyle w:val="Hyperlink"/>
                  <w:rFonts w:ascii="Arial" w:hAnsi="Arial" w:cs="Arial"/>
                </w:rPr>
                <w:t>Bendix, 1997</w:t>
              </w:r>
            </w:hyperlink>
            <w:r w:rsidRPr="00D61F73">
              <w:rPr>
                <w:rFonts w:ascii="Arial" w:hAnsi="Arial" w:cs="Arial"/>
              </w:rPr>
              <w:t>) (</w:t>
            </w:r>
            <w:hyperlink w:anchor="Bendix" w:history="1">
              <w:r w:rsidRPr="00D61F73">
                <w:rPr>
                  <w:rStyle w:val="Hyperlink"/>
                  <w:rFonts w:ascii="Arial" w:hAnsi="Arial" w:cs="Arial"/>
                </w:rPr>
                <w:t>Bendix, 1998</w:t>
              </w:r>
            </w:hyperlink>
            <w:r w:rsidRPr="00D61F73">
              <w:rPr>
                <w:rFonts w:ascii="Arial" w:hAnsi="Arial" w:cs="Arial"/>
              </w:rPr>
              <w:t>) (</w:t>
            </w:r>
            <w:hyperlink w:anchor="Bendix1998a" w:history="1">
              <w:r w:rsidRPr="00D61F73">
                <w:rPr>
                  <w:rStyle w:val="Hyperlink"/>
                  <w:rFonts w:ascii="Arial" w:hAnsi="Arial" w:cs="Arial"/>
                </w:rPr>
                <w:t>Bendix2, 1998</w:t>
              </w:r>
            </w:hyperlink>
            <w:r w:rsidRPr="00D61F73">
              <w:rPr>
                <w:rFonts w:ascii="Arial" w:hAnsi="Arial" w:cs="Arial"/>
              </w:rPr>
              <w:t>) (</w:t>
            </w:r>
            <w:hyperlink w:anchor="BendixT" w:history="1">
              <w:r w:rsidRPr="00D61F73">
                <w:rPr>
                  <w:rStyle w:val="Hyperlink"/>
                  <w:rFonts w:ascii="Arial" w:hAnsi="Arial" w:cs="Arial"/>
                </w:rPr>
                <w:t>Bendix, 2000</w:t>
              </w:r>
            </w:hyperlink>
            <w:r w:rsidRPr="00D61F73">
              <w:rPr>
                <w:rFonts w:ascii="Arial" w:hAnsi="Arial" w:cs="Arial"/>
              </w:rPr>
              <w:t>) (</w:t>
            </w:r>
            <w:hyperlink w:anchor="Frost" w:history="1">
              <w:r w:rsidRPr="00D61F73">
                <w:rPr>
                  <w:rStyle w:val="Hyperlink"/>
                  <w:rFonts w:ascii="Arial" w:hAnsi="Arial" w:cs="Arial"/>
                </w:rPr>
                <w:t>Frost, 1998</w:t>
              </w:r>
            </w:hyperlink>
            <w:r w:rsidRPr="00D61F73">
              <w:rPr>
                <w:rFonts w:ascii="Arial" w:hAnsi="Arial" w:cs="Arial"/>
              </w:rPr>
              <w:t>) (</w:t>
            </w:r>
            <w:hyperlink w:anchor="Härkäpää" w:history="1">
              <w:r w:rsidRPr="00D61F73">
                <w:rPr>
                  <w:rStyle w:val="Hyperlink"/>
                  <w:rFonts w:ascii="Arial" w:hAnsi="Arial" w:cs="Arial"/>
                </w:rPr>
                <w:t>Harkapaa, 1990</w:t>
              </w:r>
            </w:hyperlink>
            <w:r w:rsidRPr="00D61F73">
              <w:rPr>
                <w:rFonts w:ascii="Arial" w:hAnsi="Arial" w:cs="Arial"/>
              </w:rPr>
              <w:t>) (</w:t>
            </w:r>
            <w:hyperlink w:anchor="Skouen" w:history="1">
              <w:r w:rsidRPr="00D61F73">
                <w:rPr>
                  <w:rStyle w:val="Hyperlink"/>
                  <w:rFonts w:ascii="Arial" w:hAnsi="Arial" w:cs="Arial"/>
                </w:rPr>
                <w:t>Skouen, 2002</w:t>
              </w:r>
            </w:hyperlink>
            <w:r w:rsidRPr="00D61F73">
              <w:rPr>
                <w:rFonts w:ascii="Arial" w:hAnsi="Arial" w:cs="Arial"/>
              </w:rPr>
              <w:t>) (</w:t>
            </w:r>
            <w:hyperlink w:anchor="Mellin" w:history="1">
              <w:r w:rsidRPr="00D61F73">
                <w:rPr>
                  <w:rStyle w:val="Hyperlink"/>
                  <w:rFonts w:ascii="Arial" w:hAnsi="Arial" w:cs="Arial"/>
                </w:rPr>
                <w:t>Mellin, 1990</w:t>
              </w:r>
            </w:hyperlink>
            <w:r w:rsidRPr="00D61F73">
              <w:rPr>
                <w:rFonts w:ascii="Arial" w:hAnsi="Arial" w:cs="Arial"/>
              </w:rPr>
              <w:t>) (</w:t>
            </w:r>
            <w:hyperlink w:anchor="Haldorsen" w:history="1">
              <w:r w:rsidRPr="00D61F73">
                <w:rPr>
                  <w:rStyle w:val="Hyperlink"/>
                  <w:rFonts w:ascii="Arial" w:hAnsi="Arial" w:cs="Arial"/>
                </w:rPr>
                <w:t>Haldorsen, 2002</w:t>
              </w:r>
            </w:hyperlink>
            <w:r w:rsidRPr="00D61F73">
              <w:rPr>
                <w:rFonts w:ascii="Arial" w:hAnsi="Arial" w:cs="Arial"/>
              </w:rPr>
              <w:t>)</w:t>
            </w:r>
          </w:p>
          <w:p w14:paraId="29AE9494" w14:textId="77777777" w:rsidR="00E648FC" w:rsidRPr="00D61F73" w:rsidRDefault="00E648FC" w:rsidP="00D61F73">
            <w:pPr>
              <w:rPr>
                <w:rFonts w:ascii="Arial" w:hAnsi="Arial" w:cs="Arial"/>
              </w:rPr>
            </w:pPr>
            <w:r w:rsidRPr="00D61F73">
              <w:rPr>
                <w:rFonts w:ascii="Arial" w:hAnsi="Arial" w:cs="Arial"/>
                <w:i/>
                <w:u w:val="single"/>
              </w:rPr>
              <w:t>Intensive multidisciplinary rehabilitation of chronic low back pain</w:t>
            </w:r>
            <w:r w:rsidRPr="00D61F73">
              <w:rPr>
                <w:rFonts w:ascii="Arial" w:hAnsi="Arial" w:cs="Arial"/>
                <w:i/>
              </w:rPr>
              <w:t>:</w:t>
            </w:r>
            <w:r w:rsidRPr="00D61F73">
              <w:rPr>
                <w:rFonts w:ascii="Arial" w:hAnsi="Arial" w:cs="Arial"/>
              </w:rPr>
              <w:t xml:space="preserve"> The most recent Cochrane study was withdrawn from the Cochrane (3/06) as the last literature search was performed in 1998. Studies selected included a physical dimension treatment and at least one other treatment. </w:t>
            </w:r>
          </w:p>
          <w:p w14:paraId="2986AD56" w14:textId="287824E7" w:rsidR="00E648FC" w:rsidRPr="00D61F73" w:rsidRDefault="00E648FC" w:rsidP="00D61F73">
            <w:pPr>
              <w:rPr>
                <w:rFonts w:ascii="Arial" w:hAnsi="Arial" w:cs="Arial"/>
              </w:rPr>
            </w:pPr>
            <w:r w:rsidRPr="00D61F73">
              <w:rPr>
                <w:rFonts w:ascii="Arial" w:hAnsi="Arial" w:cs="Arial"/>
                <w:b/>
                <w:i/>
              </w:rPr>
              <w:t xml:space="preserve">Role of opioid use: </w:t>
            </w:r>
            <w:r w:rsidR="002B5337" w:rsidRPr="00D61F73">
              <w:rPr>
                <w:rFonts w:ascii="Arial" w:hAnsi="Arial" w:cs="Arial"/>
              </w:rPr>
              <w:t>See</w:t>
            </w:r>
            <w:r w:rsidR="00667575" w:rsidRPr="00D61F73">
              <w:rPr>
                <w:rFonts w:ascii="Arial" w:hAnsi="Arial" w:cs="Arial"/>
              </w:rPr>
              <w:t xml:space="preserve"> </w:t>
            </w:r>
            <w:r w:rsidR="00AA2119" w:rsidRPr="00D61F73">
              <w:rPr>
                <w:rFonts w:ascii="Arial" w:hAnsi="Arial" w:cs="Arial"/>
              </w:rPr>
              <w:t>MTUS Opioids Treatment Guidelines</w:t>
            </w:r>
            <w:r w:rsidRPr="00D61F73">
              <w:rPr>
                <w:rFonts w:ascii="Arial" w:hAnsi="Arial" w:cs="Arial"/>
                <w:bCs/>
              </w:rPr>
              <w:t xml:space="preserve"> for recommendations on the use of opioids.</w:t>
            </w:r>
          </w:p>
          <w:p w14:paraId="2EB48ABB" w14:textId="77777777" w:rsidR="00E648FC" w:rsidRPr="00D61F73" w:rsidRDefault="00E648FC" w:rsidP="00D61F73">
            <w:pPr>
              <w:rPr>
                <w:rFonts w:ascii="Arial" w:hAnsi="Arial" w:cs="Arial"/>
              </w:rPr>
            </w:pPr>
            <w:r w:rsidRPr="00D61F73">
              <w:rPr>
                <w:rFonts w:ascii="Arial" w:hAnsi="Arial" w:cs="Arial"/>
                <w:b/>
                <w:i/>
              </w:rPr>
              <w:t xml:space="preserve">Role of comorbid psychiatric illness: </w:t>
            </w:r>
            <w:r w:rsidRPr="00D61F73">
              <w:rPr>
                <w:rFonts w:ascii="Arial" w:hAnsi="Arial" w:cs="Arial"/>
              </w:rPr>
              <w:t xml:space="preserve">Comorbid conditions, including </w:t>
            </w:r>
            <w:r w:rsidRPr="00D61F73">
              <w:rPr>
                <w:rFonts w:ascii="Arial" w:hAnsi="Arial" w:cs="Arial"/>
              </w:rPr>
              <w:lastRenderedPageBreak/>
              <w:t>psychopathology, should be recognized as they can affect the course of chronic pain treatment. In a recent analysis, patients with panic disorder, antisocial personality disorder and dependent personality disorder were &gt; 2 times more likely to not complete an interdisciplinary program. Personality disorders in particular appear to hamper the ability to successfully complete treatment. Patients diagnosed with post-traumatic stress disorder were 4.2 times more likely to have additional surgeries to the original site of injury. (</w:t>
            </w:r>
            <w:hyperlink w:anchor="Dersh2007" w:history="1">
              <w:r w:rsidRPr="00D61F73">
                <w:rPr>
                  <w:rStyle w:val="Hyperlink"/>
                  <w:rFonts w:ascii="Arial" w:hAnsi="Arial" w:cs="Arial"/>
                </w:rPr>
                <w:t>Dersh, 2007</w:t>
              </w:r>
            </w:hyperlink>
            <w:r w:rsidRPr="00D61F73">
              <w:rPr>
                <w:rFonts w:ascii="Arial" w:hAnsi="Arial" w:cs="Arial"/>
              </w:rPr>
              <w:t>) The prevalence of depression and anxiety in patients with chronic pain is similar. Cohort studies indicate that the added morbidity of depression and anxiety with chronic pain is more strongly associated with severe pain and greater disability. (</w:t>
            </w:r>
            <w:hyperlink w:anchor="Poleshuck" w:history="1">
              <w:r w:rsidRPr="00D61F73">
                <w:rPr>
                  <w:rStyle w:val="Hyperlink"/>
                  <w:rFonts w:ascii="Arial" w:hAnsi="Arial" w:cs="Arial"/>
                </w:rPr>
                <w:t>Poleshuck, 2009</w:t>
              </w:r>
            </w:hyperlink>
            <w:r w:rsidRPr="00D61F73">
              <w:rPr>
                <w:rFonts w:ascii="Arial" w:hAnsi="Arial" w:cs="Arial"/>
              </w:rPr>
              <w:t>) (</w:t>
            </w:r>
            <w:hyperlink w:anchor="Bair" w:history="1">
              <w:r w:rsidRPr="00D61F73">
                <w:rPr>
                  <w:rStyle w:val="Hyperlink"/>
                  <w:rFonts w:ascii="Arial" w:hAnsi="Arial" w:cs="Arial"/>
                </w:rPr>
                <w:t>Bair, 2008</w:t>
              </w:r>
            </w:hyperlink>
            <w:r w:rsidRPr="00D61F73">
              <w:rPr>
                <w:rFonts w:ascii="Arial" w:hAnsi="Arial" w:cs="Arial"/>
              </w:rPr>
              <w:t>)</w:t>
            </w:r>
          </w:p>
          <w:p w14:paraId="5F3AF8E4" w14:textId="77777777" w:rsidR="00E648FC" w:rsidRPr="00D61F73" w:rsidRDefault="00E648FC" w:rsidP="00D61F73">
            <w:pPr>
              <w:rPr>
                <w:rFonts w:ascii="Arial" w:hAnsi="Arial" w:cs="Arial"/>
              </w:rPr>
            </w:pPr>
            <w:r w:rsidRPr="00D61F73">
              <w:rPr>
                <w:rFonts w:ascii="Arial" w:hAnsi="Arial" w:cs="Arial"/>
                <w:b/>
                <w:bCs/>
                <w:i/>
              </w:rPr>
              <w:t>Predictors of success and failure:</w:t>
            </w:r>
            <w:r w:rsidRPr="00D61F73">
              <w:rPr>
                <w:rFonts w:ascii="Arial" w:hAnsi="Arial" w:cs="Arial"/>
                <w:i/>
              </w:rPr>
              <w:t xml:space="preserve"> </w:t>
            </w:r>
            <w:r w:rsidRPr="00D61F73">
              <w:rPr>
                <w:rFonts w:ascii="Arial" w:hAnsi="Arial" w:cs="Arial"/>
              </w:rPr>
              <w:t>As noted, one of the criticisms of interdisciplinary/multidisciplinary rehabilitation programs is the lack of an appropriate screening tool to help to determine who will most benefit from this treatment. Retrospective research has examined decreased rates of completion of functional restoration programs, and there is ongoing research to evaluate screening tools prior to entry. (</w:t>
            </w:r>
            <w:hyperlink w:anchor="Gatchel2006" w:history="1">
              <w:r w:rsidRPr="00D61F73">
                <w:rPr>
                  <w:rStyle w:val="Hyperlink"/>
                  <w:rFonts w:ascii="Arial" w:hAnsi="Arial" w:cs="Arial"/>
                </w:rPr>
                <w:t>Gatchel, 2006</w:t>
              </w:r>
            </w:hyperlink>
            <w:r w:rsidRPr="00D61F73">
              <w:rPr>
                <w:rFonts w:ascii="Arial" w:hAnsi="Arial" w:cs="Arial"/>
              </w:rPr>
              <w:t>) There is need for research in terms of necessity and/or effectiveness of counseling for patients considered to be “at-risk” for post-discharge problems. (</w:t>
            </w:r>
            <w:hyperlink w:anchor="Proctor" w:history="1">
              <w:r w:rsidRPr="00D61F73">
                <w:rPr>
                  <w:rStyle w:val="Hyperlink"/>
                  <w:rFonts w:ascii="Arial" w:hAnsi="Arial" w:cs="Arial"/>
                </w:rPr>
                <w:t>Proctor, 2004</w:t>
              </w:r>
            </w:hyperlink>
            <w:r w:rsidRPr="00D61F73">
              <w:rPr>
                <w:rFonts w:ascii="Arial" w:hAnsi="Arial" w:cs="Arial"/>
              </w:rPr>
              <w:t>) The following variables have been found to be negative predictors of efficacy of treatment with the programs as well as negative predictors of completion of the programs: (1) a negative relationship with the employer/supervisor; (2) poor work adjustment and satisfaction; (3) a negative outlook about future employment; (4) high levels of psychosocial distress (higher pretreatment levels of depression, pain and disability); (5) involvement in financial disability disputes; (6) greater rates of smoking; (7) increased duration of pre-referral disability time; (8) higher prevalence of opioid use; and (9) elevated pre-treatment levels of pain. (</w:t>
            </w:r>
            <w:hyperlink w:anchor="Linton2" w:history="1">
              <w:r w:rsidRPr="00D61F73">
                <w:rPr>
                  <w:rStyle w:val="Hyperlink"/>
                  <w:rFonts w:ascii="Arial" w:hAnsi="Arial" w:cs="Arial"/>
                </w:rPr>
                <w:t>Linton, 2001</w:t>
              </w:r>
            </w:hyperlink>
            <w:r w:rsidRPr="00D61F73">
              <w:rPr>
                <w:rFonts w:ascii="Arial" w:hAnsi="Arial" w:cs="Arial"/>
              </w:rPr>
              <w:t>) (</w:t>
            </w:r>
            <w:hyperlink w:anchor="Bendix" w:history="1">
              <w:r w:rsidRPr="00D61F73">
                <w:rPr>
                  <w:rStyle w:val="Hyperlink"/>
                  <w:rFonts w:ascii="Arial" w:hAnsi="Arial" w:cs="Arial"/>
                </w:rPr>
                <w:t>Bendix, 1998</w:t>
              </w:r>
            </w:hyperlink>
            <w:r w:rsidRPr="00D61F73">
              <w:rPr>
                <w:rFonts w:ascii="Arial" w:hAnsi="Arial" w:cs="Arial"/>
              </w:rPr>
              <w:t>) (</w:t>
            </w:r>
            <w:hyperlink w:anchor="McGeary" w:history="1">
              <w:r w:rsidRPr="00D61F73">
                <w:rPr>
                  <w:rStyle w:val="Hyperlink"/>
                  <w:rFonts w:ascii="Arial" w:hAnsi="Arial" w:cs="Arial"/>
                </w:rPr>
                <w:t>McGeary, 2006)</w:t>
              </w:r>
            </w:hyperlink>
            <w:r w:rsidRPr="00D61F73">
              <w:rPr>
                <w:rFonts w:ascii="Arial" w:hAnsi="Arial" w:cs="Arial"/>
                <w:i/>
              </w:rPr>
              <w:t xml:space="preserve"> </w:t>
            </w:r>
            <w:r w:rsidRPr="00D61F73">
              <w:rPr>
                <w:rFonts w:ascii="Arial" w:hAnsi="Arial" w:cs="Arial"/>
              </w:rPr>
              <w:t>(</w:t>
            </w:r>
            <w:hyperlink w:anchor="McGeary2004" w:history="1">
              <w:r w:rsidRPr="00D61F73">
                <w:rPr>
                  <w:rStyle w:val="Hyperlink"/>
                  <w:rFonts w:ascii="Arial" w:hAnsi="Arial" w:cs="Arial"/>
                </w:rPr>
                <w:t>McGeary, 2004</w:t>
              </w:r>
            </w:hyperlink>
            <w:r w:rsidRPr="00D61F73">
              <w:rPr>
                <w:rFonts w:ascii="Arial" w:hAnsi="Arial" w:cs="Arial"/>
              </w:rPr>
              <w:t>) (</w:t>
            </w:r>
            <w:hyperlink w:anchor="Gatchel22005" w:history="1">
              <w:r w:rsidRPr="00D61F73">
                <w:rPr>
                  <w:rStyle w:val="Hyperlink"/>
                  <w:rFonts w:ascii="Arial" w:hAnsi="Arial" w:cs="Arial"/>
                </w:rPr>
                <w:t>Gatchel2, 2005</w:t>
              </w:r>
            </w:hyperlink>
            <w:r w:rsidRPr="00D61F73">
              <w:rPr>
                <w:rFonts w:ascii="Arial" w:hAnsi="Arial" w:cs="Arial"/>
              </w:rPr>
              <w:t>) (</w:t>
            </w:r>
            <w:hyperlink w:anchor="Dersh2007" w:history="1">
              <w:r w:rsidRPr="00D61F73">
                <w:rPr>
                  <w:rStyle w:val="Hyperlink"/>
                  <w:rFonts w:ascii="Arial" w:hAnsi="Arial" w:cs="Arial"/>
                </w:rPr>
                <w:t>Dersh, 2007</w:t>
              </w:r>
            </w:hyperlink>
            <w:r w:rsidRPr="00D61F73">
              <w:rPr>
                <w:rFonts w:ascii="Arial" w:hAnsi="Arial" w:cs="Arial"/>
              </w:rPr>
              <w:t xml:space="preserve">) </w:t>
            </w:r>
          </w:p>
          <w:p w14:paraId="746B39EC" w14:textId="77777777" w:rsidR="00E648FC" w:rsidRPr="00D61F73" w:rsidRDefault="00E648FC" w:rsidP="00D61F73">
            <w:pPr>
              <w:rPr>
                <w:rFonts w:ascii="Arial" w:hAnsi="Arial" w:cs="Arial"/>
                <w:i/>
                <w:u w:val="single"/>
              </w:rPr>
            </w:pPr>
            <w:r w:rsidRPr="00D61F73">
              <w:rPr>
                <w:rFonts w:ascii="Arial" w:hAnsi="Arial" w:cs="Arial"/>
                <w:b/>
                <w:i/>
              </w:rPr>
              <w:t xml:space="preserve">Role of duration of disability: </w:t>
            </w:r>
            <w:r w:rsidRPr="00D61F73">
              <w:rPr>
                <w:rFonts w:ascii="Arial" w:hAnsi="Arial" w:cs="Arial"/>
              </w:rPr>
              <w:t xml:space="preserve">There is little research as to the success of return to work with functional restoration programs in long-term disabled patients (&gt; 24 months). </w:t>
            </w:r>
          </w:p>
          <w:p w14:paraId="509A1B41" w14:textId="77777777" w:rsidR="00E648FC" w:rsidRPr="00D61F73" w:rsidRDefault="00E648FC" w:rsidP="00D61F73">
            <w:pPr>
              <w:rPr>
                <w:rFonts w:ascii="Arial" w:hAnsi="Arial" w:cs="Arial"/>
              </w:rPr>
            </w:pPr>
            <w:r w:rsidRPr="00D61F73">
              <w:rPr>
                <w:rFonts w:ascii="Arial" w:hAnsi="Arial" w:cs="Arial"/>
                <w:i/>
                <w:u w:val="single"/>
              </w:rPr>
              <w:t>Studies supporting programs for patients with long-term disability</w:t>
            </w:r>
            <w:r w:rsidRPr="00D61F73">
              <w:rPr>
                <w:rFonts w:ascii="Arial" w:hAnsi="Arial" w:cs="Arial"/>
                <w:i/>
              </w:rPr>
              <w:t>:</w:t>
            </w:r>
            <w:r w:rsidRPr="00D61F73">
              <w:rPr>
                <w:rFonts w:ascii="Arial" w:hAnsi="Arial" w:cs="Arial"/>
              </w:rPr>
              <w:t xml:space="preserve"> Long-term disabled patients (at least 18 months) vs. short-term disabled (4 to 8 months) were evaluated using Pride data (1990-1993). No control was given for patients that did not undergo a program. During the time studied program dropouts averaged 8% to 12%. (It does appear that at the time of this study, participants in the program were detoxified from opioids prior to beginning.) The long-term disabled group was more likely to have undergone spinal surgery, with this likelihood increasing with time. Return to work was statistically different between the short-term disabled (93%) and the long-term disabled-18 months (80%). The long-term disabled-24 months group had a 75% return to work. Long-term disabled-18 month patients were statistically more likely to visit new health providers than short-term disabled patients (34% and 25% respectively). Work retention at one year in groups up to 24 months duration of disability was 80%. This dropped to 66% in the group that had been disabled for &gt; 24 months. The percentage of recurrent lost time injury claims increased from around 1% </w:t>
            </w:r>
            <w:r w:rsidRPr="00D61F73">
              <w:rPr>
                <w:rFonts w:ascii="Arial" w:hAnsi="Arial" w:cs="Arial"/>
              </w:rPr>
              <w:lastRenderedPageBreak/>
              <w:t>in the groups disabled for &lt; 35 months to 8.3% in the groups disabled for &gt; 36 months. A main criterion for success appeared to be the decision of the patient to actively participate in the program rehabilitation goals. (</w:t>
            </w:r>
            <w:hyperlink w:anchor="Jordan" w:history="1">
              <w:r w:rsidRPr="00D61F73">
                <w:rPr>
                  <w:rStyle w:val="Hyperlink"/>
                  <w:rFonts w:ascii="Arial" w:hAnsi="Arial" w:cs="Arial"/>
                </w:rPr>
                <w:t>Jordan, 1998</w:t>
              </w:r>
            </w:hyperlink>
            <w:r w:rsidRPr="00D61F73">
              <w:rPr>
                <w:rFonts w:ascii="Arial" w:hAnsi="Arial" w:cs="Arial"/>
              </w:rPr>
              <w:t>)</w:t>
            </w:r>
          </w:p>
          <w:p w14:paraId="431464A7" w14:textId="77777777" w:rsidR="00E648FC" w:rsidRPr="00D61F73" w:rsidRDefault="00E648FC" w:rsidP="00D61F73">
            <w:pPr>
              <w:rPr>
                <w:rFonts w:ascii="Arial" w:hAnsi="Arial" w:cs="Arial"/>
              </w:rPr>
            </w:pPr>
            <w:r w:rsidRPr="00D61F73">
              <w:rPr>
                <w:rFonts w:ascii="Arial" w:hAnsi="Arial" w:cs="Arial"/>
                <w:i/>
                <w:u w:val="single"/>
              </w:rPr>
              <w:t>Studies suggesting limited results in patients with long-term disability</w:t>
            </w:r>
            <w:r w:rsidRPr="00D61F73">
              <w:rPr>
                <w:rFonts w:ascii="Arial" w:hAnsi="Arial" w:cs="Arial"/>
                <w:i/>
              </w:rPr>
              <w:t xml:space="preserve">: </w:t>
            </w:r>
            <w:r w:rsidRPr="00D61F73">
              <w:rPr>
                <w:rFonts w:ascii="Arial" w:hAnsi="Arial" w:cs="Arial"/>
              </w:rPr>
              <w:t>While early studies have suggested that time out-of-work is a predictor of success for occupational outcomes, these studies have flaws when an attempt is made to apply them to chronic pain programs. (</w:t>
            </w:r>
            <w:hyperlink w:anchor="Gallagher1989" w:history="1">
              <w:r w:rsidRPr="00D61F73">
                <w:rPr>
                  <w:rStyle w:val="Hyperlink"/>
                  <w:rFonts w:ascii="Arial" w:hAnsi="Arial" w:cs="Arial"/>
                </w:rPr>
                <w:t>Gallagher, 1989</w:t>
              </w:r>
            </w:hyperlink>
            <w:r w:rsidRPr="00D61F73">
              <w:rPr>
                <w:rFonts w:ascii="Arial" w:hAnsi="Arial" w:cs="Arial"/>
              </w:rPr>
              <w:t>) (</w:t>
            </w:r>
            <w:hyperlink w:anchor="Beals" w:history="1">
              <w:r w:rsidRPr="00D61F73">
                <w:rPr>
                  <w:rStyle w:val="Hyperlink"/>
                  <w:rFonts w:ascii="Arial" w:hAnsi="Arial" w:cs="Arial"/>
                </w:rPr>
                <w:t>Beals, 1972</w:t>
              </w:r>
            </w:hyperlink>
            <w:r w:rsidRPr="00D61F73">
              <w:rPr>
                <w:rFonts w:ascii="Arial" w:hAnsi="Arial" w:cs="Arial"/>
              </w:rPr>
              <w:t>) (</w:t>
            </w:r>
            <w:hyperlink w:anchor="Krause" w:history="1">
              <w:r w:rsidRPr="00D61F73">
                <w:rPr>
                  <w:rStyle w:val="Hyperlink"/>
                  <w:rFonts w:ascii="Arial" w:hAnsi="Arial" w:cs="Arial"/>
                </w:rPr>
                <w:t>Krause, 1994</w:t>
              </w:r>
            </w:hyperlink>
            <w:r w:rsidRPr="00D61F73">
              <w:rPr>
                <w:rFonts w:ascii="Arial" w:hAnsi="Arial" w:cs="Arial"/>
              </w:rPr>
              <w:t>) Washington State studied the role of duration of work injury on outcome using a statistical model that allowed for a comparison of patients that participated in a multidisciplinary pain program (using data from 1991-1993) vs. those that were evaluated and not treated. This was not an actual study of time of disability, but of duration of injury (mean years from injury to evaluation of 2.6 years for the treated group and 4.0 years for the evaluated only group). The original statistical analysis allowed for a patient to be included in a “treated group” for those individuals that both completed and did not complete the program. Data was collected from 10 sites. Each of the centers was CARF approved and included Pysch/behavioral treatment, vocation counseling and physical therapy. A sub-study evaluated a comparison of patients that were treatment completers vs. those that did not participate (78.6%, N-=963). No information was given in terms of surgical procedures or medications. The primary outcome was time loss status of subjects 2 years after they had undergone the index pain center evaluation. In the 2001 study, if chronicity of duration of injury was controlled for, there was no significant benefit produced in terms of patients that were receiving time-loss benefits at 2-years post treatment between the two groups. Approximately 60% of both groups were not receiving benefits at the two-year period. As noted, the “treated patient” was only guaranteed to have started a program. A repeat analysis of only the patients who completed the study did not significantly change the results of the study. In a 2004 survey follow-up no significant difference was found between treated and untreated groups, although the treated group had better response. The survey response was 50%, and the treatment responders were more likely to be disabled at the time of the survey. The authors suggest that the results indicated early intervention was a key to response of the programs, and that modest goals (improvement, not cure) be introduced. (</w:t>
            </w:r>
            <w:hyperlink w:anchor="Robinson2" w:history="1">
              <w:r w:rsidRPr="00D61F73">
                <w:rPr>
                  <w:rStyle w:val="Hyperlink"/>
                  <w:rFonts w:ascii="Arial" w:hAnsi="Arial" w:cs="Arial"/>
                </w:rPr>
                <w:t>Robinson, 2004</w:t>
              </w:r>
            </w:hyperlink>
            <w:r w:rsidRPr="00D61F73">
              <w:rPr>
                <w:rFonts w:ascii="Arial" w:hAnsi="Arial" w:cs="Arial"/>
              </w:rPr>
              <w:t>) (</w:t>
            </w:r>
            <w:hyperlink w:anchor="Robinson" w:history="1">
              <w:r w:rsidRPr="00D61F73">
                <w:rPr>
                  <w:rStyle w:val="Hyperlink"/>
                  <w:rFonts w:ascii="Arial" w:hAnsi="Arial" w:cs="Arial"/>
                </w:rPr>
                <w:t>Robinson, 2001</w:t>
              </w:r>
            </w:hyperlink>
            <w:r w:rsidRPr="00D61F73">
              <w:rPr>
                <w:rFonts w:ascii="Arial" w:hAnsi="Arial" w:cs="Arial"/>
              </w:rPr>
              <w:t>) [The authors also concluded that there was no evidence that pain center treatment affects either disability status or clinical status of injured workers.]</w:t>
            </w:r>
          </w:p>
          <w:p w14:paraId="006644EC" w14:textId="77777777" w:rsidR="00E648FC" w:rsidRPr="00D61F73" w:rsidRDefault="00E648FC" w:rsidP="00D61F73">
            <w:pPr>
              <w:rPr>
                <w:rFonts w:ascii="Arial" w:hAnsi="Arial" w:cs="Arial"/>
              </w:rPr>
            </w:pPr>
            <w:r w:rsidRPr="00D61F73">
              <w:rPr>
                <w:rFonts w:ascii="Arial" w:hAnsi="Arial" w:cs="Arial"/>
                <w:b/>
                <w:i/>
                <w:iCs/>
              </w:rPr>
              <w:t>Timing of use</w:t>
            </w:r>
            <w:r w:rsidRPr="00D61F73">
              <w:rPr>
                <w:rFonts w:ascii="Arial" w:hAnsi="Arial" w:cs="Arial"/>
                <w:i/>
                <w:iCs/>
              </w:rPr>
              <w:t>:</w:t>
            </w:r>
            <w:r w:rsidRPr="00D61F73">
              <w:rPr>
                <w:rFonts w:ascii="Arial" w:hAnsi="Arial" w:cs="Arial"/>
              </w:rPr>
              <w:t xml:space="preserve"> Intervention as early as 3 to 6 months post-injury may be recommended depending on identification of patients that may benefit from a multidisciplinary approach (from programs with documented positive outcomes). See </w:t>
            </w:r>
            <w:hyperlink w:anchor="Chronicpainprogramsearlyintervention" w:history="1">
              <w:r w:rsidRPr="00D61F73">
                <w:rPr>
                  <w:rStyle w:val="Hyperlink"/>
                  <w:rFonts w:ascii="Arial" w:hAnsi="Arial" w:cs="Arial"/>
                </w:rPr>
                <w:t>Chronic pain programs, early intervention</w:t>
              </w:r>
            </w:hyperlink>
            <w:r w:rsidRPr="00D61F73">
              <w:rPr>
                <w:rFonts w:ascii="Arial" w:hAnsi="Arial" w:cs="Arial"/>
              </w:rPr>
              <w:t xml:space="preserve">. </w:t>
            </w:r>
          </w:p>
          <w:p w14:paraId="6E6EB493" w14:textId="77777777" w:rsidR="00E648FC" w:rsidRPr="00D61F73" w:rsidRDefault="00E648FC" w:rsidP="00D61F73">
            <w:pPr>
              <w:rPr>
                <w:rFonts w:ascii="Arial" w:hAnsi="Arial" w:cs="Arial"/>
              </w:rPr>
            </w:pPr>
            <w:r w:rsidRPr="00D61F73">
              <w:rPr>
                <w:rFonts w:ascii="Arial" w:hAnsi="Arial" w:cs="Arial"/>
                <w:b/>
                <w:i/>
              </w:rPr>
              <w:t xml:space="preserve">Role of post-treatment care (as an outcome): </w:t>
            </w:r>
            <w:r w:rsidRPr="00D61F73">
              <w:rPr>
                <w:rFonts w:ascii="Arial" w:hAnsi="Arial" w:cs="Arial"/>
              </w:rPr>
              <w:t xml:space="preserve">Three variables are usually examined; (1) New surgery at the involved anatomic site or area; (2) Percentage of patients seeking care from a new provider; (3) Number of visits to the new provider over and above visits with the health-care professional overseeing treatment. It is suggested that a “new provider” is more likely to reorder diagnostic tests, provide invasive procedures, and </w:t>
            </w:r>
            <w:r w:rsidRPr="00D61F73">
              <w:rPr>
                <w:rFonts w:ascii="Arial" w:hAnsi="Arial" w:cs="Arial"/>
              </w:rPr>
              <w:lastRenderedPageBreak/>
              <w:t>start long-term analgesics. In a study to determine the relationship between post-treatment healthcare-seeking behaviors and poorer outcomes (using prospectively analyzed PRIDE data on patients with work-related musculoskeletal injuries), patients were compared that accessed healthcare with a new provider following functional restoration program completion (approximately 25%) to those that did not. The former group was significantly more likely to have an attorney involved with their case (22.7% vs. 17.1%, respectively), and to have had pre-rehabilitation surgery (20.7% vs. 12.1%, respectively). Return to work was higher in the group that did not access a new provider (90% vs. 77.6% in the group that did access). The group that did not access new providers also was more likely to be working at one year (88% vs. 62.2% in the group that accessed new providers). It should be noted that 18% of the patients that entered the program dropped out or were asked to leave. The authors suggested monitoring of additional access of healthcare over and above that suggested at the end of the program, with intervention if needed. (</w:t>
            </w:r>
            <w:hyperlink w:anchor="Proctor" w:history="1">
              <w:r w:rsidRPr="00D61F73">
                <w:rPr>
                  <w:rStyle w:val="Hyperlink"/>
                  <w:rFonts w:ascii="Arial" w:hAnsi="Arial" w:cs="Arial"/>
                </w:rPr>
                <w:t>Proctor, 2004</w:t>
              </w:r>
            </w:hyperlink>
            <w:r w:rsidRPr="00D61F73">
              <w:rPr>
                <w:rFonts w:ascii="Arial" w:hAnsi="Arial" w:cs="Arial"/>
              </w:rPr>
              <w:t>) The latest AHRQ Comparative Effectiveness Research supports the ODG recommendations. (</w:t>
            </w:r>
            <w:hyperlink r:id="rId49" w:history="1">
              <w:r w:rsidRPr="00D61F73">
                <w:rPr>
                  <w:rStyle w:val="Hyperlink"/>
                  <w:rFonts w:ascii="Arial" w:hAnsi="Arial" w:cs="Arial"/>
                </w:rPr>
                <w:t>AHRQ, 2011</w:t>
              </w:r>
            </w:hyperlink>
            <w:r w:rsidRPr="00D61F73">
              <w:rPr>
                <w:rFonts w:ascii="Arial" w:hAnsi="Arial" w:cs="Arial"/>
              </w:rPr>
              <w:t>)</w:t>
            </w:r>
          </w:p>
          <w:p w14:paraId="28125701" w14:textId="6F081FAA" w:rsidR="00E648FC" w:rsidRPr="00D61F73" w:rsidRDefault="00E648FC" w:rsidP="00D61F73">
            <w:pPr>
              <w:rPr>
                <w:rFonts w:ascii="Arial" w:hAnsi="Arial" w:cs="Arial"/>
              </w:rPr>
            </w:pPr>
            <w:r w:rsidRPr="00D61F73">
              <w:rPr>
                <w:rFonts w:ascii="Arial" w:hAnsi="Arial" w:cs="Arial"/>
              </w:rPr>
              <w:t xml:space="preserve">See also </w:t>
            </w:r>
            <w:hyperlink w:anchor="Chronicpainprogramsintensity" w:history="1">
              <w:r w:rsidRPr="00D61F73">
                <w:rPr>
                  <w:rStyle w:val="Hyperlink"/>
                  <w:rFonts w:ascii="Arial" w:hAnsi="Arial" w:cs="Arial"/>
                </w:rPr>
                <w:t>Chronic pain programs, intensity</w:t>
              </w:r>
            </w:hyperlink>
            <w:r w:rsidRPr="00D61F73">
              <w:rPr>
                <w:rFonts w:ascii="Arial" w:hAnsi="Arial" w:cs="Arial"/>
              </w:rPr>
              <w:t xml:space="preserve">; </w:t>
            </w:r>
            <w:hyperlink w:anchor="Chronicpainprogramsopioids" w:history="1">
              <w:r w:rsidRPr="00D61F73">
                <w:rPr>
                  <w:rStyle w:val="Hyperlink"/>
                  <w:rFonts w:ascii="Arial" w:hAnsi="Arial" w:cs="Arial"/>
                </w:rPr>
                <w:t>Chronic pain programs, opioids</w:t>
              </w:r>
            </w:hyperlink>
            <w:r w:rsidRPr="00D61F73">
              <w:rPr>
                <w:rFonts w:ascii="Arial" w:hAnsi="Arial" w:cs="Arial"/>
              </w:rPr>
              <w:t xml:space="preserve">; </w:t>
            </w:r>
            <w:hyperlink w:anchor="Functionalrestorationprograms" w:history="1">
              <w:r w:rsidRPr="00D61F73">
                <w:rPr>
                  <w:rStyle w:val="Hyperlink"/>
                  <w:rFonts w:ascii="Arial" w:hAnsi="Arial" w:cs="Arial"/>
                </w:rPr>
                <w:t>Functional restoration programs</w:t>
              </w:r>
            </w:hyperlink>
            <w:r w:rsidRPr="00D61F73">
              <w:rPr>
                <w:rFonts w:ascii="Arial" w:hAnsi="Arial" w:cs="Arial"/>
              </w:rPr>
              <w:t xml:space="preserve">; </w:t>
            </w:r>
            <w:hyperlink w:anchor="Chronicpainprogramsearlyintervention" w:history="1">
              <w:r w:rsidRPr="00D61F73">
                <w:rPr>
                  <w:rStyle w:val="Hyperlink"/>
                  <w:rFonts w:ascii="Arial" w:hAnsi="Arial" w:cs="Arial"/>
                </w:rPr>
                <w:t>Chronic pain programs, early intervention</w:t>
              </w:r>
            </w:hyperlink>
            <w:r w:rsidRPr="00D61F73">
              <w:rPr>
                <w:rFonts w:ascii="Arial" w:hAnsi="Arial" w:cs="Arial"/>
              </w:rPr>
              <w:t xml:space="preserve">; </w:t>
            </w:r>
            <w:hyperlink w:anchor="Progressivegoalattain" w:history="1">
              <w:r w:rsidRPr="00737493">
                <w:rPr>
                  <w:rStyle w:val="Hyperlink"/>
                  <w:rFonts w:ascii="Arial" w:hAnsi="Arial" w:cs="Arial"/>
                </w:rPr>
                <w:t>Progressive goal attainment program</w:t>
              </w:r>
            </w:hyperlink>
            <w:r w:rsidRPr="00D61F73">
              <w:rPr>
                <w:rFonts w:ascii="Arial" w:hAnsi="Arial" w:cs="Arial"/>
              </w:rPr>
              <w:t xml:space="preserve"> (PGAP™).</w:t>
            </w:r>
          </w:p>
          <w:p w14:paraId="62A07CEE" w14:textId="77777777" w:rsidR="00E648FC" w:rsidRPr="00D61F73" w:rsidRDefault="00E648FC" w:rsidP="00D61F73">
            <w:pPr>
              <w:rPr>
                <w:rFonts w:ascii="Arial" w:hAnsi="Arial" w:cs="Arial"/>
                <w:b/>
                <w:bCs/>
              </w:rPr>
            </w:pPr>
            <w:r w:rsidRPr="00D61F73">
              <w:rPr>
                <w:rFonts w:ascii="Arial" w:hAnsi="Arial" w:cs="Arial"/>
                <w:b/>
                <w:bCs/>
              </w:rPr>
              <w:t>Criteria for the general use of multidisciplinary pain management programs:</w:t>
            </w:r>
          </w:p>
          <w:p w14:paraId="41E59FCF" w14:textId="77777777" w:rsidR="00E648FC" w:rsidRPr="00D61F73" w:rsidRDefault="00E648FC" w:rsidP="00D61F73">
            <w:pPr>
              <w:rPr>
                <w:rFonts w:ascii="Arial" w:hAnsi="Arial" w:cs="Arial"/>
              </w:rPr>
            </w:pPr>
            <w:r w:rsidRPr="00D61F73">
              <w:rPr>
                <w:rFonts w:ascii="Arial" w:hAnsi="Arial" w:cs="Arial"/>
                <w:u w:val="single"/>
              </w:rPr>
              <w:t>Outpatient</w:t>
            </w:r>
            <w:r w:rsidRPr="00D61F73">
              <w:rPr>
                <w:rFonts w:ascii="Arial" w:hAnsi="Arial" w:cs="Arial"/>
              </w:rPr>
              <w:t xml:space="preserve"> pain rehabilitation programs may be considered medically necessary in the following circumstances:</w:t>
            </w:r>
          </w:p>
          <w:p w14:paraId="2130B0E0" w14:textId="77777777" w:rsidR="00E648FC" w:rsidRPr="00D61F73" w:rsidRDefault="00E648FC" w:rsidP="00D61F73">
            <w:pPr>
              <w:rPr>
                <w:rFonts w:ascii="Arial" w:hAnsi="Arial" w:cs="Arial"/>
              </w:rPr>
            </w:pPr>
            <w:r w:rsidRPr="00D61F73">
              <w:rPr>
                <w:rFonts w:ascii="Arial" w:hAnsi="Arial" w:cs="Arial"/>
              </w:rPr>
              <w:t>(1) The patient has a chronic pain syndrome, with evidence of loss of function that persists beyond three months and has evidence of three or more of the following: (a) Excessive dependence on health-care providers, spouse, or family; (b) Secondary physical deconditioning due to disuse and/or fear-avoidance of physical activity due to pain; (c) Withdrawal from social activities or normal contact with others, including work, recreation, or other social contacts; (d) Failure to restore preinjury function after a period of disability such that the physical capacity is insufficient to pursue work, family, or recreational needs; (e) Development of psychosocial sequelae that limits function or recovery after the initial incident, including anxiety, fear-avoidance, depression, sleep disorders, or nonorganic illness behaviors (with a reasonable probability to respond to treatment intervention); (f) The diagnosis is not primarily a personality disorder or psychological condition without a physical component; (g) There is evidence of continued use of prescription pain medications (particularly those that may result in tolerance, dependence or abuse) without evidence of improvement in pain or function.</w:t>
            </w:r>
          </w:p>
          <w:p w14:paraId="63FE51B2" w14:textId="77777777" w:rsidR="00E648FC" w:rsidRPr="00D61F73" w:rsidRDefault="00E648FC" w:rsidP="00D61F73">
            <w:pPr>
              <w:rPr>
                <w:rFonts w:ascii="Arial" w:hAnsi="Arial" w:cs="Arial"/>
              </w:rPr>
            </w:pPr>
            <w:r w:rsidRPr="00D61F73">
              <w:rPr>
                <w:rFonts w:ascii="Arial" w:hAnsi="Arial" w:cs="Arial"/>
              </w:rPr>
              <w:t>(2) Previous methods of treating chronic pain have been unsuccessful and there is an absence of other options likely to result in significant clinical improvement.</w:t>
            </w:r>
          </w:p>
          <w:p w14:paraId="2E910F14" w14:textId="77777777" w:rsidR="00E648FC" w:rsidRPr="00D61F73" w:rsidRDefault="00E648FC" w:rsidP="00D61F73">
            <w:pPr>
              <w:rPr>
                <w:rFonts w:ascii="Arial" w:hAnsi="Arial" w:cs="Arial"/>
              </w:rPr>
            </w:pPr>
            <w:r w:rsidRPr="00D61F73">
              <w:rPr>
                <w:rFonts w:ascii="Arial" w:hAnsi="Arial" w:cs="Arial"/>
              </w:rPr>
              <w:t xml:space="preserve">(3) An adequate and thorough multidisciplinary evaluation has been made. This should include pertinent validated diagnostic testing that addresses the following: (a) A physical exam that rules out conditions that require treatment prior to initiating the program. All diagnostic procedures necessary to rule out treatable pathology, including imaging studies and </w:t>
            </w:r>
            <w:r w:rsidRPr="00D61F73">
              <w:rPr>
                <w:rFonts w:ascii="Arial" w:hAnsi="Arial" w:cs="Arial"/>
              </w:rPr>
              <w:lastRenderedPageBreak/>
              <w:t>invasive injections (used for diagnosis), should be completed prior to considering a patient a candidate for a program. The exception is diagnostic procedures that were repeatedly requested and not authorized. Although the primary emphasis is on the work-related injury, underlying non-work related pathology that contributes to pain and decreased function may need to be addressed and treated by a primary care physician prior to or coincident to starting treatment; (b) Evidence of a screening evaluation should be provided when addiction is present or strongly suspected; (c) Psychological testing using a validated instrument to identify pertinent areas that need to be addressed in the program (including but not limited to mood disorder, sleep disorder, relationship dysfunction, distorted beliefs about pain and disability, coping skills and/or locus of control regarding pain and medical care) or diagnoses that would better be addressed using other treatment should be performed; (d) An evaluation of social and vocational issues that require assessment.</w:t>
            </w:r>
          </w:p>
          <w:p w14:paraId="0DFC3DF2" w14:textId="77777777" w:rsidR="00E648FC" w:rsidRPr="00D61F73" w:rsidRDefault="00E648FC" w:rsidP="00D61F73">
            <w:pPr>
              <w:rPr>
                <w:rFonts w:ascii="Arial" w:hAnsi="Arial" w:cs="Arial"/>
              </w:rPr>
            </w:pPr>
            <w:r w:rsidRPr="00D61F73">
              <w:rPr>
                <w:rFonts w:ascii="Arial" w:hAnsi="Arial" w:cs="Arial"/>
              </w:rPr>
              <w:t xml:space="preserve">(4) If a goal of treatment is to prevent or avoid controversial or optional surgery, a trial of 10 visits (80 hours) may be implemented to assess whether surgery may be avoided. </w:t>
            </w:r>
          </w:p>
          <w:p w14:paraId="20E131ED" w14:textId="77777777" w:rsidR="00E648FC" w:rsidRPr="00D61F73" w:rsidRDefault="00E648FC" w:rsidP="00D61F73">
            <w:pPr>
              <w:rPr>
                <w:rFonts w:ascii="Arial" w:hAnsi="Arial" w:cs="Arial"/>
              </w:rPr>
            </w:pPr>
            <w:r w:rsidRPr="00D61F73">
              <w:rPr>
                <w:rFonts w:ascii="Arial" w:hAnsi="Arial" w:cs="Arial"/>
              </w:rPr>
              <w:t xml:space="preserve">(5) If a primary reason for treatment in the program is addressing possible substance use issues, an evaluation with an addiction clinician may be indicated upon entering the program to establish the most appropriate treatment approach (pain program vs. substance dependence program). This must address evaluation of drug abuse or diversion (and prescribing drugs in a non-therapeutic manner). In this particular case, once drug abuse or diversion issues are addressed, a 10-day trial may help to establish a diagnosis, and determine if the patient is not better suited for treatment in a substance dependence program. Addiction consultation can be incorporated into a pain program. If there is indication that substance dependence may be a problem, there should be evidence that the program has the capability to address this type of pathology prior to approval. </w:t>
            </w:r>
          </w:p>
          <w:p w14:paraId="7A450FBC" w14:textId="77777777" w:rsidR="00E648FC" w:rsidRPr="00D61F73" w:rsidRDefault="00E648FC" w:rsidP="00D61F73">
            <w:pPr>
              <w:rPr>
                <w:rFonts w:ascii="Arial" w:hAnsi="Arial" w:cs="Arial"/>
              </w:rPr>
            </w:pPr>
            <w:r w:rsidRPr="00D61F73">
              <w:rPr>
                <w:rFonts w:ascii="Arial" w:hAnsi="Arial" w:cs="Arial"/>
              </w:rPr>
              <w:t>(6) Once the evaluation is completed, a treatment plan should be presented with specifics for treatment of identified problems, and outcomes that will be followed.</w:t>
            </w:r>
          </w:p>
          <w:p w14:paraId="467999CE" w14:textId="77777777" w:rsidR="00E648FC" w:rsidRPr="00D61F73" w:rsidRDefault="00E648FC" w:rsidP="00D61F73">
            <w:pPr>
              <w:rPr>
                <w:rFonts w:ascii="Arial" w:hAnsi="Arial" w:cs="Arial"/>
              </w:rPr>
            </w:pPr>
            <w:r w:rsidRPr="00D61F73">
              <w:rPr>
                <w:rFonts w:ascii="Arial" w:hAnsi="Arial" w:cs="Arial"/>
              </w:rPr>
              <w:t xml:space="preserve">(7) There should be documentation that the patient has motivation to change, and is willing to change their medication regimen (including decreasing or actually weaning substances known for dependence). There should also be some documentation that the patient is aware that successful treatment may change compensation and/or other secondary gains. In questionable cases, an opportunity for a brief treatment trial may improve assessment of patient motivation and/or willingness to decrease habituating medications. </w:t>
            </w:r>
          </w:p>
          <w:p w14:paraId="420E4D13" w14:textId="77777777" w:rsidR="00E648FC" w:rsidRPr="00D61F73" w:rsidRDefault="00E648FC" w:rsidP="00D61F73">
            <w:pPr>
              <w:rPr>
                <w:rFonts w:ascii="Arial" w:hAnsi="Arial" w:cs="Arial"/>
              </w:rPr>
            </w:pPr>
            <w:r w:rsidRPr="00D61F73">
              <w:rPr>
                <w:rFonts w:ascii="Arial" w:hAnsi="Arial" w:cs="Arial"/>
              </w:rPr>
              <w:t>(8) Negative predictors of success (as outlined above) should be identified, and if present, the pre-program goals should indicate how these will be addressed.</w:t>
            </w:r>
          </w:p>
          <w:p w14:paraId="39AFB88E" w14:textId="77777777" w:rsidR="00E648FC" w:rsidRPr="00D61F73" w:rsidRDefault="00E648FC" w:rsidP="00D61F73">
            <w:pPr>
              <w:rPr>
                <w:rFonts w:ascii="Arial" w:hAnsi="Arial" w:cs="Arial"/>
              </w:rPr>
            </w:pPr>
            <w:r w:rsidRPr="00D61F73">
              <w:rPr>
                <w:rFonts w:ascii="Arial" w:hAnsi="Arial" w:cs="Arial"/>
              </w:rPr>
              <w:t xml:space="preserve">(9) If a program is planned for a patient that has been continuously disabled for greater than 24 months, the outcomes for the necessity of use should be clearly identified, as there is conflicting evidence that chronic pain programs provide return-to-work beyond this period. These other desirable types of outcomes include decreasing post-treatment care including medications, injections and surgery. This cautionary statement </w:t>
            </w:r>
            <w:r w:rsidRPr="00D61F73">
              <w:rPr>
                <w:rFonts w:ascii="Arial" w:hAnsi="Arial" w:cs="Arial"/>
              </w:rPr>
              <w:lastRenderedPageBreak/>
              <w:t>should not preclude patients off work for over two years from being admitted to a multidisciplinary pain management program with demonstrated positive outcomes in this population.</w:t>
            </w:r>
          </w:p>
          <w:p w14:paraId="2547F395" w14:textId="77777777" w:rsidR="00E648FC" w:rsidRPr="00D61F73" w:rsidRDefault="00E648FC" w:rsidP="00D61F73">
            <w:pPr>
              <w:rPr>
                <w:rFonts w:ascii="Arial" w:hAnsi="Arial" w:cs="Arial"/>
              </w:rPr>
            </w:pPr>
            <w:r w:rsidRPr="00D61F73">
              <w:rPr>
                <w:rFonts w:ascii="Arial" w:hAnsi="Arial" w:cs="Arial"/>
              </w:rPr>
              <w:t xml:space="preserve">(10) Treatment is not suggested for longer than 2 weeks without evidence of compliance and significant demonstrated efficacy as documented by subjective and objective gains. (Note: Patients may get worse before they get better. For example, objective gains may be moving joints that are stiff from lack of use, resulting in increased subjective pain.) However, it is also not suggested that a continuous course of treatment be interrupted at two weeks solely to document these gains, if there are preliminary indications that they are being made on a concurrent basis. </w:t>
            </w:r>
          </w:p>
          <w:p w14:paraId="5458665B" w14:textId="77777777" w:rsidR="00E648FC" w:rsidRPr="00D61F73" w:rsidRDefault="00E648FC" w:rsidP="00D61F73">
            <w:pPr>
              <w:rPr>
                <w:rFonts w:ascii="Arial" w:hAnsi="Arial" w:cs="Arial"/>
              </w:rPr>
            </w:pPr>
            <w:r w:rsidRPr="00D61F73">
              <w:rPr>
                <w:rFonts w:ascii="Arial" w:hAnsi="Arial" w:cs="Arial"/>
              </w:rPr>
              <w:t>(11) Integrative summary reports that include treatment goals, compliance, progress assessment with objective measures and stage of treatment, must be made available upon request at least on a bi-weekly basis during the course of the treatment program.</w:t>
            </w:r>
          </w:p>
          <w:p w14:paraId="5E5B98FC" w14:textId="77777777" w:rsidR="00E648FC" w:rsidRPr="00D61F73" w:rsidRDefault="00E648FC" w:rsidP="00D61F73">
            <w:pPr>
              <w:rPr>
                <w:rFonts w:ascii="Arial" w:hAnsi="Arial" w:cs="Arial"/>
              </w:rPr>
            </w:pPr>
            <w:r w:rsidRPr="00D61F73">
              <w:rPr>
                <w:rFonts w:ascii="Arial" w:hAnsi="Arial" w:cs="Arial"/>
              </w:rPr>
              <w:t>(12) Total treatment duration should generally not exceed 4 weeks   (20 full-days or 160 hours), (or the equivalent in part-day sessions if required by part-time work, transportation, childcare, or comorbidities). (</w:t>
            </w:r>
            <w:hyperlink w:anchor="Sanders" w:history="1">
              <w:r w:rsidRPr="00D61F73">
                <w:rPr>
                  <w:rStyle w:val="Hyperlink"/>
                  <w:rFonts w:ascii="Arial" w:hAnsi="Arial" w:cs="Arial"/>
                </w:rPr>
                <w:t>Sanders, 2005</w:t>
              </w:r>
            </w:hyperlink>
            <w:r w:rsidRPr="00D61F73">
              <w:rPr>
                <w:rFonts w:ascii="Arial" w:hAnsi="Arial" w:cs="Arial"/>
              </w:rPr>
              <w:t>) If treatment in excess of 4 weeks is required, a clear rationale for the specified extension and reasonable goals to be achieved should be provided. Longer durations require individualized care plans explaining why improvements cannot be achieved without an extension as well as evidence of documented improved outcomes from the facility (particularly in terms of the specific outcomes that are to be addressed).</w:t>
            </w:r>
          </w:p>
          <w:p w14:paraId="7B08D2E9" w14:textId="77777777" w:rsidR="00E648FC" w:rsidRPr="00D61F73" w:rsidRDefault="00E648FC" w:rsidP="00D61F73">
            <w:pPr>
              <w:rPr>
                <w:rFonts w:ascii="Arial" w:hAnsi="Arial" w:cs="Arial"/>
              </w:rPr>
            </w:pPr>
            <w:r w:rsidRPr="00D61F73">
              <w:rPr>
                <w:rFonts w:ascii="Arial" w:hAnsi="Arial" w:cs="Arial"/>
              </w:rPr>
              <w:t>(13) At the conclusion and subsequently, neither re-enrollment in repetition of the same or similar rehabilitation program (e.g. work hardening, work conditioning, out-patient medical rehabilitation) is medically warranted for the same condition or injury (with possible exception for a medically necessary organized detox program). Prior to entry into a program the evaluation should clearly indicate the necessity for the type of program required, and providers should determine upfront which program their patients would benefit more from. A chronic pain program should not be considered a “stepping stone” after less intensive programs, but prior participation in a work conditioning or work hardening program does not preclude an opportunity for entering a chronic pain program if otherwise indicated.</w:t>
            </w:r>
          </w:p>
          <w:p w14:paraId="1C902CE8" w14:textId="77777777" w:rsidR="00E648FC" w:rsidRPr="00D61F73" w:rsidRDefault="00E648FC" w:rsidP="00D61F73">
            <w:pPr>
              <w:rPr>
                <w:rFonts w:ascii="Arial" w:hAnsi="Arial" w:cs="Arial"/>
              </w:rPr>
            </w:pPr>
            <w:r w:rsidRPr="00D61F73">
              <w:rPr>
                <w:rFonts w:ascii="Arial" w:hAnsi="Arial" w:cs="Arial"/>
              </w:rPr>
              <w:t>(14) Suggestions for treatment post-program should be well documented and provided to the referral physician. The patient may require time-limited, less intensive post-treatment with the program itself. Defined goals for these interventions and planned duration should be specified.</w:t>
            </w:r>
          </w:p>
          <w:p w14:paraId="62178849" w14:textId="77777777" w:rsidR="00E648FC" w:rsidRPr="00D61F73" w:rsidRDefault="00E648FC" w:rsidP="00D61F73">
            <w:pPr>
              <w:rPr>
                <w:rFonts w:ascii="Arial" w:hAnsi="Arial" w:cs="Arial"/>
              </w:rPr>
            </w:pPr>
            <w:r w:rsidRPr="00D61F73">
              <w:rPr>
                <w:rFonts w:ascii="Arial" w:hAnsi="Arial" w:cs="Arial"/>
              </w:rPr>
              <w:t>(15) Post-treatment medication management is particularly important. Patients that have been identified as having substance abuse issues generally require some sort of continued addiction follow-up to avoid relapse.</w:t>
            </w:r>
          </w:p>
          <w:p w14:paraId="3BD447B7" w14:textId="2CB1FC5A" w:rsidR="00E648FC" w:rsidRPr="00D61F73" w:rsidRDefault="00E648FC" w:rsidP="00D61F73">
            <w:pPr>
              <w:rPr>
                <w:rFonts w:ascii="Arial" w:hAnsi="Arial" w:cs="Arial"/>
              </w:rPr>
            </w:pPr>
            <w:r w:rsidRPr="00D61F73">
              <w:rPr>
                <w:rFonts w:ascii="Arial" w:eastAsia="Arial Unicode MS" w:hAnsi="Arial" w:cs="Arial"/>
                <w:u w:val="single"/>
              </w:rPr>
              <w:t>Inpatient</w:t>
            </w:r>
            <w:r w:rsidRPr="00D61F73">
              <w:rPr>
                <w:rFonts w:ascii="Arial" w:eastAsia="Arial Unicode MS" w:hAnsi="Arial" w:cs="Arial"/>
              </w:rPr>
              <w:t xml:space="preserve"> pain rehabilitation programs: These programs typically consist of more intensive functional rehabilitation and medical care than their outpatient counterparts. They may be appropriate for patients who: (1) don’t have the minimal functional capacity to participate effectively in an </w:t>
            </w:r>
            <w:r w:rsidRPr="00D61F73">
              <w:rPr>
                <w:rFonts w:ascii="Arial" w:hAnsi="Arial" w:cs="Arial"/>
              </w:rPr>
              <w:t xml:space="preserve">outpatient program; (2) have medical conditions that require more intensive oversight; (3) are receiving large amounts of medications </w:t>
            </w:r>
            <w:r w:rsidRPr="00D61F73">
              <w:rPr>
                <w:rFonts w:ascii="Arial" w:hAnsi="Arial" w:cs="Arial"/>
              </w:rPr>
              <w:lastRenderedPageBreak/>
              <w:t>necessitating medication weaning or detoxification; or (4) have complex medical or psychological</w:t>
            </w:r>
            <w:r w:rsidRPr="00D61F73">
              <w:rPr>
                <w:rFonts w:ascii="Arial" w:eastAsia="Arial Unicode MS" w:hAnsi="Arial" w:cs="Arial"/>
              </w:rPr>
              <w:t xml:space="preserve"> diagnosis that benefit from more intensive observation and/or additional consultation during the rehabilitation process. </w:t>
            </w:r>
            <w:r w:rsidRPr="00D61F73">
              <w:rPr>
                <w:rFonts w:ascii="Arial" w:hAnsi="Arial" w:cs="Arial"/>
              </w:rPr>
              <w:t>(</w:t>
            </w:r>
            <w:hyperlink w:anchor="Keel" w:history="1">
              <w:r w:rsidRPr="00D61F73">
                <w:rPr>
                  <w:rStyle w:val="Hyperlink"/>
                  <w:rFonts w:ascii="Arial" w:hAnsi="Arial" w:cs="Arial"/>
                </w:rPr>
                <w:t>Keel, 1998</w:t>
              </w:r>
            </w:hyperlink>
            <w:r w:rsidRPr="00D61F73">
              <w:rPr>
                <w:rFonts w:ascii="Arial" w:hAnsi="Arial" w:cs="Arial"/>
              </w:rPr>
              <w:t>) (</w:t>
            </w:r>
            <w:hyperlink w:anchor="Kool2" w:history="1">
              <w:r w:rsidRPr="00D61F73">
                <w:rPr>
                  <w:rStyle w:val="Hyperlink"/>
                  <w:rFonts w:ascii="Arial" w:hAnsi="Arial" w:cs="Arial"/>
                </w:rPr>
                <w:t>Kool, 2005</w:t>
              </w:r>
            </w:hyperlink>
            <w:r w:rsidRPr="00D61F73">
              <w:rPr>
                <w:rFonts w:ascii="Arial" w:hAnsi="Arial" w:cs="Arial"/>
              </w:rPr>
              <w:t>) (</w:t>
            </w:r>
            <w:hyperlink w:anchor="Buchner" w:history="1">
              <w:r w:rsidRPr="00D61F73">
                <w:rPr>
                  <w:rStyle w:val="Hyperlink"/>
                  <w:rFonts w:ascii="Arial" w:hAnsi="Arial" w:cs="Arial"/>
                </w:rPr>
                <w:t>Buchner, 2006</w:t>
              </w:r>
            </w:hyperlink>
            <w:r w:rsidRPr="00D61F73">
              <w:rPr>
                <w:rFonts w:ascii="Arial" w:hAnsi="Arial" w:cs="Arial"/>
              </w:rPr>
              <w:t>) (</w:t>
            </w:r>
            <w:hyperlink w:anchor="Kool" w:history="1">
              <w:r w:rsidRPr="00D61F73">
                <w:rPr>
                  <w:rStyle w:val="Hyperlink"/>
                  <w:rFonts w:ascii="Arial" w:hAnsi="Arial" w:cs="Arial"/>
                </w:rPr>
                <w:t>Kool, 2007</w:t>
              </w:r>
            </w:hyperlink>
            <w:r w:rsidRPr="00D61F73">
              <w:rPr>
                <w:rFonts w:ascii="Arial" w:hAnsi="Arial" w:cs="Arial"/>
              </w:rPr>
              <w:t xml:space="preserve">) </w:t>
            </w:r>
            <w:r w:rsidRPr="00D61F73">
              <w:rPr>
                <w:rFonts w:ascii="Arial" w:eastAsia="Arial Unicode MS" w:hAnsi="Arial" w:cs="Arial"/>
              </w:rPr>
              <w:t xml:space="preserve">As with outpatient pain rehabilitation programs, the most effective programs combine intensive, daily biopsychosocial rehabilitation with a functional restoration approach. If a primary focus is drug treatment, the initial evaluation should attempt to identify the most appropriate treatment plan (a drug treatment /detoxification approach vs. a multidisciplinary/interdisciplinary treatment program). See </w:t>
            </w:r>
            <w:hyperlink w:anchor="Chronicpainprogramsopioids" w:history="1">
              <w:r w:rsidRPr="00D61F73">
                <w:rPr>
                  <w:rStyle w:val="Hyperlink"/>
                  <w:rFonts w:ascii="Arial" w:hAnsi="Arial" w:cs="Arial"/>
                </w:rPr>
                <w:t>Chronic pain programs, opioids</w:t>
              </w:r>
            </w:hyperlink>
            <w:r w:rsidRPr="00D61F73">
              <w:rPr>
                <w:rFonts w:ascii="Arial" w:eastAsia="Arial Unicode MS" w:hAnsi="Arial" w:cs="Arial"/>
              </w:rPr>
              <w:t xml:space="preserve">; </w:t>
            </w:r>
            <w:hyperlink w:anchor="Functionalrestorationprograms" w:history="1">
              <w:r w:rsidRPr="00D61F73">
                <w:rPr>
                  <w:rStyle w:val="Hyperlink"/>
                  <w:rFonts w:ascii="Arial" w:hAnsi="Arial" w:cs="Arial"/>
                </w:rPr>
                <w:t>Functional restoration programs</w:t>
              </w:r>
            </w:hyperlink>
            <w:r w:rsidR="00B31D39" w:rsidRPr="00D61F73">
              <w:rPr>
                <w:rFonts w:ascii="Arial" w:hAnsi="Arial" w:cs="Arial"/>
              </w:rPr>
              <w:t>. Also,</w:t>
            </w:r>
            <w:r w:rsidR="00F71538" w:rsidRPr="00D61F73">
              <w:rPr>
                <w:rFonts w:ascii="Arial" w:hAnsi="Arial" w:cs="Arial"/>
              </w:rPr>
              <w:t xml:space="preserve"> </w:t>
            </w:r>
            <w:r w:rsidR="00B31D39" w:rsidRPr="00D61F73">
              <w:rPr>
                <w:rFonts w:ascii="Arial" w:hAnsi="Arial" w:cs="Arial"/>
              </w:rPr>
              <w:t>see</w:t>
            </w:r>
            <w:r w:rsidRPr="00D61F73">
              <w:rPr>
                <w:rFonts w:ascii="Arial" w:hAnsi="Arial" w:cs="Arial"/>
              </w:rPr>
              <w:t xml:space="preserve"> </w:t>
            </w:r>
            <w:r w:rsidR="004F1761" w:rsidRPr="00D61F73">
              <w:rPr>
                <w:rFonts w:ascii="Arial" w:hAnsi="Arial" w:cs="Arial"/>
              </w:rPr>
              <w:t xml:space="preserve">MTUS </w:t>
            </w:r>
            <w:r w:rsidR="00AA2119" w:rsidRPr="00D61F73">
              <w:rPr>
                <w:rFonts w:ascii="Arial" w:hAnsi="Arial" w:cs="Arial"/>
              </w:rPr>
              <w:t xml:space="preserve"> Opioids Treatment Guidelines</w:t>
            </w:r>
            <w:r w:rsidRPr="00D61F73">
              <w:rPr>
                <w:rFonts w:ascii="Arial" w:hAnsi="Arial" w:cs="Arial"/>
                <w:bCs/>
              </w:rPr>
              <w:t>” for recommendations on the use of multidisciplinary pain programs related to opioids.</w:t>
            </w:r>
          </w:p>
        </w:tc>
      </w:tr>
      <w:tr w:rsidR="00E648FC" w:rsidRPr="00D61F73" w14:paraId="7310B53B" w14:textId="77777777" w:rsidTr="0078164D">
        <w:tc>
          <w:tcPr>
            <w:tcW w:w="1086" w:type="pct"/>
          </w:tcPr>
          <w:p w14:paraId="1BA5E5F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37" w:name="Chronicpainprogramsearlyintervention"/>
            <w:bookmarkEnd w:id="137"/>
            <w:r w:rsidRPr="00D61F73">
              <w:rPr>
                <w:rFonts w:ascii="Arial" w:hAnsi="Arial" w:cs="Arial"/>
              </w:rPr>
              <w:t xml:space="preserve">hronic pain programs, early intervention </w:t>
            </w:r>
          </w:p>
        </w:tc>
        <w:tc>
          <w:tcPr>
            <w:tcW w:w="3914" w:type="pct"/>
          </w:tcPr>
          <w:p w14:paraId="4673612F" w14:textId="77777777" w:rsidR="00E648FC" w:rsidRPr="00D61F73" w:rsidRDefault="00E648FC" w:rsidP="00D61F73">
            <w:pPr>
              <w:rPr>
                <w:rFonts w:ascii="Arial" w:hAnsi="Arial" w:cs="Arial"/>
              </w:rPr>
            </w:pPr>
            <w:r w:rsidRPr="00D61F73">
              <w:rPr>
                <w:rFonts w:ascii="Arial" w:hAnsi="Arial" w:cs="Arial"/>
                <w:iCs/>
              </w:rPr>
              <w:t>Recommended, based on identification of patients that may benefit from early intervention via a multidisciplinary approach, as indicated below. T</w:t>
            </w:r>
            <w:r w:rsidRPr="00D61F73">
              <w:rPr>
                <w:rFonts w:ascii="Arial" w:hAnsi="Arial" w:cs="Arial"/>
              </w:rPr>
              <w:t>he likelihood of return to work diminishes significantly after approximately 3 months of sick leave. It is now being suggested that there is a place for interdisciplinary programs at a stage in treatment prior to the development of permanent disability, and this may be at a period of no later than 3 to 6 months after a disabling injury. (</w:t>
            </w:r>
            <w:hyperlink w:anchor="Robinson2" w:history="1">
              <w:r w:rsidRPr="00D61F73">
                <w:rPr>
                  <w:rStyle w:val="Hyperlink"/>
                  <w:rFonts w:ascii="Arial" w:hAnsi="Arial" w:cs="Arial"/>
                </w:rPr>
                <w:t>Robinson, 2004</w:t>
              </w:r>
            </w:hyperlink>
            <w:r w:rsidRPr="00D61F73">
              <w:rPr>
                <w:rFonts w:ascii="Arial" w:hAnsi="Arial" w:cs="Arial"/>
              </w:rPr>
              <w:t>) (</w:t>
            </w:r>
            <w:hyperlink w:anchor="Gatchel2003" w:history="1">
              <w:r w:rsidRPr="00D61F73">
                <w:rPr>
                  <w:rStyle w:val="Hyperlink"/>
                  <w:rFonts w:ascii="Arial" w:hAnsi="Arial" w:cs="Arial"/>
                </w:rPr>
                <w:t>Gatchel, 2003</w:t>
              </w:r>
            </w:hyperlink>
            <w:r w:rsidRPr="00D61F73">
              <w:rPr>
                <w:rFonts w:ascii="Arial" w:hAnsi="Arial" w:cs="Arial"/>
              </w:rPr>
              <w:t>) (</w:t>
            </w:r>
            <w:hyperlink w:anchor="Jordan" w:history="1">
              <w:r w:rsidRPr="00D61F73">
                <w:rPr>
                  <w:rStyle w:val="Hyperlink"/>
                  <w:rFonts w:ascii="Arial" w:hAnsi="Arial" w:cs="Arial"/>
                </w:rPr>
                <w:t>Jordan, 1998</w:t>
              </w:r>
            </w:hyperlink>
            <w:r w:rsidRPr="00D61F73">
              <w:rPr>
                <w:rFonts w:ascii="Arial" w:hAnsi="Arial" w:cs="Arial"/>
              </w:rPr>
              <w:t>)  Some early intervention programs have been referred to as “secondary treatment,” and differ from the more traditional, palliative care pain programs by not only the earlier onset of treatment, but by treatment intensity and level of medical supervision. (</w:t>
            </w:r>
            <w:hyperlink w:anchor="Mayer2" w:history="1">
              <w:r w:rsidRPr="00D61F73">
                <w:rPr>
                  <w:rStyle w:val="Hyperlink"/>
                  <w:rFonts w:ascii="Arial" w:hAnsi="Arial" w:cs="Arial"/>
                </w:rPr>
                <w:t>Mayer, 2003</w:t>
              </w:r>
            </w:hyperlink>
            <w:r w:rsidRPr="00D61F73">
              <w:rPr>
                <w:rFonts w:ascii="Arial" w:hAnsi="Arial" w:cs="Arial"/>
              </w:rPr>
              <w:t>)</w:t>
            </w:r>
          </w:p>
          <w:p w14:paraId="536433F8" w14:textId="77777777" w:rsidR="00E648FC" w:rsidRPr="00D61F73" w:rsidRDefault="00E648FC" w:rsidP="00D61F73">
            <w:pPr>
              <w:rPr>
                <w:rFonts w:ascii="Arial" w:hAnsi="Arial" w:cs="Arial"/>
                <w:i/>
              </w:rPr>
            </w:pPr>
            <w:r w:rsidRPr="00D61F73">
              <w:rPr>
                <w:rFonts w:ascii="Arial" w:hAnsi="Arial" w:cs="Arial"/>
                <w:i/>
              </w:rPr>
              <w:t>Recommendations for identification of patients that may benefit from early intervention via a multidisciplinary approach:</w:t>
            </w:r>
          </w:p>
          <w:p w14:paraId="462AA083" w14:textId="77777777" w:rsidR="00E648FC" w:rsidRPr="00D61F73" w:rsidRDefault="00E648FC" w:rsidP="00D61F73">
            <w:pPr>
              <w:rPr>
                <w:rFonts w:ascii="Arial" w:hAnsi="Arial" w:cs="Arial"/>
              </w:rPr>
            </w:pPr>
            <w:r w:rsidRPr="00D61F73">
              <w:rPr>
                <w:rFonts w:ascii="Arial" w:hAnsi="Arial" w:cs="Arial"/>
              </w:rPr>
              <w:t>(a) The patient’s response to treatment falls outside of the established norms for their specific diagnosis without a physical explanation to explain symptom severity.</w:t>
            </w:r>
          </w:p>
          <w:p w14:paraId="6C5C9F3F" w14:textId="77777777" w:rsidR="00E648FC" w:rsidRPr="00D61F73" w:rsidRDefault="00E648FC" w:rsidP="00D61F73">
            <w:pPr>
              <w:rPr>
                <w:rFonts w:ascii="Arial" w:hAnsi="Arial" w:cs="Arial"/>
              </w:rPr>
            </w:pPr>
            <w:r w:rsidRPr="00D61F73">
              <w:rPr>
                <w:rFonts w:ascii="Arial" w:hAnsi="Arial" w:cs="Arial"/>
              </w:rPr>
              <w:t>(b) The patient exhibits excessive pain behavior and/or complaints compared to that expected from the diagnosis.</w:t>
            </w:r>
          </w:p>
          <w:p w14:paraId="3856360A" w14:textId="77777777" w:rsidR="00E648FC" w:rsidRPr="00D61F73" w:rsidRDefault="00E648FC" w:rsidP="00D61F73">
            <w:pPr>
              <w:rPr>
                <w:rFonts w:ascii="Arial" w:hAnsi="Arial" w:cs="Arial"/>
              </w:rPr>
            </w:pPr>
            <w:r w:rsidRPr="00D61F73">
              <w:rPr>
                <w:rFonts w:ascii="Arial" w:hAnsi="Arial" w:cs="Arial"/>
              </w:rPr>
              <w:t xml:space="preserve">(c) Risk factors are identified with available screening tools or there is a previous medical history of </w:t>
            </w:r>
            <w:r w:rsidR="00584787" w:rsidRPr="00D61F73">
              <w:rPr>
                <w:rFonts w:ascii="Arial" w:hAnsi="Arial" w:cs="Arial"/>
              </w:rPr>
              <w:t>delayed recovery</w:t>
            </w:r>
            <w:r w:rsidRPr="00D61F73">
              <w:rPr>
                <w:rFonts w:ascii="Arial" w:hAnsi="Arial" w:cs="Arial"/>
              </w:rPr>
              <w:t>.</w:t>
            </w:r>
          </w:p>
          <w:p w14:paraId="5E63E4BD" w14:textId="77777777" w:rsidR="00E648FC" w:rsidRPr="00D61F73" w:rsidRDefault="00E648FC" w:rsidP="00D61F73">
            <w:pPr>
              <w:rPr>
                <w:rFonts w:ascii="Arial" w:hAnsi="Arial" w:cs="Arial"/>
              </w:rPr>
            </w:pPr>
            <w:r w:rsidRPr="00D61F73">
              <w:rPr>
                <w:rFonts w:ascii="Arial" w:hAnsi="Arial" w:cs="Arial"/>
              </w:rPr>
              <w:t>(d) The patient is not a candidate where surgery or other treatments would clearly be warranted.</w:t>
            </w:r>
          </w:p>
          <w:p w14:paraId="394B0EF6" w14:textId="77777777" w:rsidR="00E648FC" w:rsidRPr="00D61F73" w:rsidRDefault="00E648FC" w:rsidP="00D61F73">
            <w:pPr>
              <w:rPr>
                <w:rFonts w:ascii="Arial" w:hAnsi="Arial" w:cs="Arial"/>
              </w:rPr>
            </w:pPr>
            <w:r w:rsidRPr="00D61F73">
              <w:rPr>
                <w:rFonts w:ascii="Arial" w:hAnsi="Arial" w:cs="Arial"/>
              </w:rPr>
              <w:t>(e) Inadequate employer support or evidence of work organizational factors limiting return to work without interventions.</w:t>
            </w:r>
          </w:p>
          <w:p w14:paraId="0F89C737" w14:textId="77777777" w:rsidR="00E648FC" w:rsidRPr="00D61F73" w:rsidRDefault="00E648FC" w:rsidP="00D61F73">
            <w:pPr>
              <w:rPr>
                <w:rFonts w:ascii="Arial" w:hAnsi="Arial" w:cs="Arial"/>
              </w:rPr>
            </w:pPr>
            <w:r w:rsidRPr="00D61F73">
              <w:rPr>
                <w:rFonts w:ascii="Arial" w:hAnsi="Arial" w:cs="Arial"/>
              </w:rPr>
              <w:t>(f) Evidence of psychosocial barriers that make return to work unlikely.</w:t>
            </w:r>
          </w:p>
          <w:p w14:paraId="33AC4646" w14:textId="77777777" w:rsidR="00E648FC" w:rsidRPr="00D61F73" w:rsidRDefault="00E648FC" w:rsidP="00D61F73">
            <w:pPr>
              <w:rPr>
                <w:rFonts w:ascii="Arial" w:hAnsi="Arial" w:cs="Arial"/>
                <w:b/>
                <w:bCs/>
              </w:rPr>
            </w:pPr>
            <w:r w:rsidRPr="00D61F73">
              <w:rPr>
                <w:rFonts w:ascii="Arial" w:hAnsi="Arial" w:cs="Arial"/>
              </w:rPr>
              <w:t>(g) Loss of employment or evidence of partial disability involving ability to perform only “part-time” work or work with “light-duty” restrictions for greater than 4 months. (</w:t>
            </w:r>
            <w:hyperlink w:anchor="Mayer2" w:history="1">
              <w:r w:rsidRPr="00D61F73">
                <w:rPr>
                  <w:rStyle w:val="Hyperlink"/>
                  <w:rFonts w:ascii="Arial" w:hAnsi="Arial" w:cs="Arial"/>
                </w:rPr>
                <w:t>Mayer, 2003</w:t>
              </w:r>
            </w:hyperlink>
            <w:r w:rsidRPr="00D61F73">
              <w:rPr>
                <w:rFonts w:ascii="Arial" w:hAnsi="Arial" w:cs="Arial"/>
              </w:rPr>
              <w:t>) (</w:t>
            </w:r>
            <w:hyperlink w:anchor="Gatchel2003" w:history="1">
              <w:r w:rsidRPr="00D61F73">
                <w:rPr>
                  <w:rStyle w:val="Hyperlink"/>
                  <w:rFonts w:ascii="Arial" w:hAnsi="Arial" w:cs="Arial"/>
                </w:rPr>
                <w:t>Gatchel, 2003</w:t>
              </w:r>
            </w:hyperlink>
            <w:r w:rsidRPr="00D61F73">
              <w:rPr>
                <w:rFonts w:ascii="Arial" w:hAnsi="Arial" w:cs="Arial"/>
              </w:rPr>
              <w:t xml:space="preserve">) For general information see </w:t>
            </w:r>
            <w:hyperlink w:anchor="Chronicpainprograms" w:history="1">
              <w:r w:rsidRPr="00D61F73">
                <w:rPr>
                  <w:rStyle w:val="Hyperlink"/>
                  <w:rFonts w:ascii="Arial" w:hAnsi="Arial" w:cs="Arial"/>
                </w:rPr>
                <w:t>Chronic pain programs</w:t>
              </w:r>
            </w:hyperlink>
            <w:r w:rsidRPr="00D61F73">
              <w:rPr>
                <w:rFonts w:ascii="Arial" w:hAnsi="Arial" w:cs="Arial"/>
              </w:rPr>
              <w:t>.</w:t>
            </w:r>
          </w:p>
        </w:tc>
      </w:tr>
      <w:tr w:rsidR="00E648FC" w:rsidRPr="00D61F73" w14:paraId="41B2F28E" w14:textId="77777777" w:rsidTr="0078164D">
        <w:tc>
          <w:tcPr>
            <w:tcW w:w="1086" w:type="pct"/>
          </w:tcPr>
          <w:p w14:paraId="6305956A"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38" w:name="Chronicpainprogramsintensity"/>
            <w:bookmarkEnd w:id="138"/>
            <w:r w:rsidRPr="00D61F73">
              <w:rPr>
                <w:rFonts w:ascii="Arial" w:hAnsi="Arial" w:cs="Arial"/>
              </w:rPr>
              <w:t>hronic pain programs, intensity</w:t>
            </w:r>
          </w:p>
        </w:tc>
        <w:tc>
          <w:tcPr>
            <w:tcW w:w="3914" w:type="pct"/>
          </w:tcPr>
          <w:p w14:paraId="6841DC72"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Recommend adjustment according to patient variables, as indicated below. Research is ongoing as to what treatments are most necessary as part of interdisciplinary treatment for patients with subacute and chronic pain, and how intense such delivery of care should be. The more traditional models of interdisciplinary pain management often provide what has been referred to as tertiary care; a more intensive, and often, more palliative treatment for chronic pain. Research as to the intensity of </w:t>
            </w:r>
            <w:r w:rsidRPr="00D61F73">
              <w:rPr>
                <w:rFonts w:ascii="Arial" w:hAnsi="Arial" w:cs="Arial"/>
                <w:b w:val="0"/>
                <w:bCs w:val="0"/>
              </w:rPr>
              <w:lastRenderedPageBreak/>
              <w:t xml:space="preserve">treatment that is required for earlier intervention remains ongoing (“secondary intervention” see </w:t>
            </w:r>
            <w:hyperlink w:anchor="Chronicpainprogramsearlyintervention" w:history="1">
              <w:r w:rsidRPr="00D61F73">
                <w:rPr>
                  <w:rStyle w:val="Hyperlink"/>
                  <w:rFonts w:ascii="Arial" w:hAnsi="Arial" w:cs="Arial"/>
                  <w:b w:val="0"/>
                  <w:bCs w:val="0"/>
                </w:rPr>
                <w:t>Chronic pain programs, early intervention</w:t>
              </w:r>
            </w:hyperlink>
            <w:r w:rsidRPr="00D61F73">
              <w:rPr>
                <w:rFonts w:ascii="Arial" w:hAnsi="Arial" w:cs="Arial"/>
                <w:b w:val="0"/>
                <w:bCs w:val="0"/>
              </w:rPr>
              <w:t>). Several examples show the difference in results based on intensity of treatment that occur based, in part, on variables such as gender, age, prognosis, diagnosis, and duration of pain. A recent study showed that for men with low back pain that had been “sick-listed” for an average of 3 months, there was no difference between extensive multidisciplinary treatment and usual care in terms of return to work. Significantly better results were found for men who received a “light treatment program” compared to usual care, and these results remained significant at 12, 18 and 24 months. (</w:t>
            </w:r>
            <w:hyperlink w:anchor="Skouen" w:history="1">
              <w:r w:rsidRPr="00D61F73">
                <w:rPr>
                  <w:rStyle w:val="Hyperlink"/>
                  <w:rFonts w:ascii="Arial" w:hAnsi="Arial" w:cs="Arial"/>
                  <w:b w:val="0"/>
                  <w:bCs w:val="0"/>
                </w:rPr>
                <w:t>Skouen, 2002</w:t>
              </w:r>
            </w:hyperlink>
            <w:r w:rsidRPr="00D61F73">
              <w:rPr>
                <w:rFonts w:ascii="Arial" w:hAnsi="Arial" w:cs="Arial"/>
                <w:b w:val="0"/>
                <w:bCs w:val="0"/>
              </w:rPr>
              <w:t>) On the other hand, an extensive program has been shown to be the most effective treatment modality for patients considered to be in categories of poor health, and poor prognosis who were “sick-listed” for the same period, although the effect tapers after one to two years. (</w:t>
            </w:r>
            <w:hyperlink w:anchor="Haldorsen" w:history="1">
              <w:r w:rsidRPr="00D61F73">
                <w:rPr>
                  <w:rStyle w:val="Hyperlink"/>
                  <w:rFonts w:ascii="Arial" w:hAnsi="Arial" w:cs="Arial"/>
                  <w:b w:val="0"/>
                  <w:bCs w:val="0"/>
                </w:rPr>
                <w:t>Haldorsen, 2002</w:t>
              </w:r>
            </w:hyperlink>
            <w:r w:rsidRPr="00D61F73">
              <w:rPr>
                <w:rFonts w:ascii="Arial" w:hAnsi="Arial" w:cs="Arial"/>
                <w:b w:val="0"/>
                <w:bCs w:val="0"/>
              </w:rPr>
              <w:t xml:space="preserve">) For general information see </w:t>
            </w:r>
            <w:hyperlink w:anchor="Chronicpainprograms" w:history="1">
              <w:r w:rsidRPr="00D61F73">
                <w:rPr>
                  <w:rStyle w:val="Hyperlink"/>
                  <w:rFonts w:ascii="Arial" w:hAnsi="Arial" w:cs="Arial"/>
                  <w:b w:val="0"/>
                  <w:bCs w:val="0"/>
                </w:rPr>
                <w:t>Chronic pain programs</w:t>
              </w:r>
            </w:hyperlink>
            <w:r w:rsidRPr="00D61F73">
              <w:rPr>
                <w:rFonts w:ascii="Arial" w:hAnsi="Arial" w:cs="Arial"/>
                <w:b w:val="0"/>
                <w:bCs w:val="0"/>
              </w:rPr>
              <w:t>.</w:t>
            </w:r>
          </w:p>
        </w:tc>
      </w:tr>
      <w:tr w:rsidR="00E648FC" w:rsidRPr="00D61F73" w14:paraId="03305C20" w14:textId="77777777" w:rsidTr="0078164D">
        <w:tc>
          <w:tcPr>
            <w:tcW w:w="1086" w:type="pct"/>
          </w:tcPr>
          <w:p w14:paraId="0910161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39" w:name="Chronicpainprogramsopioids"/>
            <w:bookmarkEnd w:id="139"/>
            <w:r w:rsidRPr="00D61F73">
              <w:rPr>
                <w:rFonts w:ascii="Arial" w:hAnsi="Arial" w:cs="Arial"/>
              </w:rPr>
              <w:t>hronic pain programs, opioids</w:t>
            </w:r>
            <w:r w:rsidR="0061527A" w:rsidRPr="00D61F73">
              <w:rPr>
                <w:rFonts w:ascii="Arial" w:hAnsi="Arial" w:cs="Arial"/>
              </w:rPr>
              <w:t xml:space="preserve"> </w:t>
            </w:r>
          </w:p>
          <w:p w14:paraId="492B53E8" w14:textId="77777777" w:rsidR="00E648FC" w:rsidRPr="00D61F73" w:rsidRDefault="00E648FC" w:rsidP="00D61F73">
            <w:pPr>
              <w:pStyle w:val="Footer"/>
              <w:tabs>
                <w:tab w:val="clear" w:pos="4320"/>
                <w:tab w:val="clear" w:pos="8640"/>
              </w:tabs>
              <w:rPr>
                <w:rFonts w:ascii="Arial" w:hAnsi="Arial" w:cs="Arial"/>
              </w:rPr>
            </w:pPr>
          </w:p>
          <w:p w14:paraId="1E3EBAEF"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Pr>
          <w:p w14:paraId="67961985" w14:textId="3A84077D" w:rsidR="00E648FC" w:rsidRPr="00D61F73" w:rsidRDefault="00E648FC" w:rsidP="00D61F73">
            <w:pPr>
              <w:rPr>
                <w:rFonts w:ascii="Arial" w:hAnsi="Arial" w:cs="Arial"/>
              </w:rPr>
            </w:pPr>
            <w:r w:rsidRPr="00D61F73">
              <w:rPr>
                <w:rFonts w:ascii="Arial" w:hAnsi="Arial" w:cs="Arial"/>
              </w:rPr>
              <w:t xml:space="preserve">Recommend assessing the effects of interdisciplinary pain programs on patients who remain on opioids throughout treatment, and to determine whether opioid use should be a screening factor for admission to or continuation in a program. Also see </w:t>
            </w:r>
            <w:r w:rsidR="004F1761" w:rsidRPr="00D61F73">
              <w:rPr>
                <w:rFonts w:ascii="Arial" w:hAnsi="Arial" w:cs="Arial"/>
              </w:rPr>
              <w:t>MTUS</w:t>
            </w:r>
            <w:r w:rsidR="00AA2119" w:rsidRPr="00D61F73">
              <w:rPr>
                <w:rFonts w:ascii="Arial" w:hAnsi="Arial" w:cs="Arial"/>
              </w:rPr>
              <w:t xml:space="preserve"> Opioids Treatment Guidelines</w:t>
            </w:r>
            <w:r w:rsidRPr="00D61F73">
              <w:rPr>
                <w:rFonts w:ascii="Arial" w:hAnsi="Arial" w:cs="Arial"/>
                <w:bCs/>
              </w:rPr>
              <w:t xml:space="preserve">for recommendations on the use of multidisciplinary pain programs. </w:t>
            </w:r>
            <w:r w:rsidRPr="00D61F73">
              <w:rPr>
                <w:rFonts w:ascii="Arial" w:hAnsi="Arial" w:cs="Arial"/>
              </w:rPr>
              <w:t>The limited research that is available indicates that daily opioid use, in low doses, does not decrease effectiveness of chronic pain programs, although outcomes may be less optimal for patients who continue to use opioids. (</w:t>
            </w:r>
            <w:hyperlink w:anchor="Dersh2008" w:history="1">
              <w:r w:rsidRPr="00D61F73">
                <w:rPr>
                  <w:rStyle w:val="Hyperlink"/>
                  <w:rFonts w:ascii="Arial" w:hAnsi="Arial" w:cs="Arial"/>
                </w:rPr>
                <w:t>Dersh, 2008</w:t>
              </w:r>
            </w:hyperlink>
            <w:r w:rsidRPr="00D61F73">
              <w:rPr>
                <w:rFonts w:ascii="Arial" w:hAnsi="Arial" w:cs="Arial"/>
              </w:rPr>
              <w:t xml:space="preserve">) </w:t>
            </w:r>
            <w:r w:rsidRPr="00D61F73">
              <w:rPr>
                <w:rFonts w:ascii="Arial" w:hAnsi="Arial" w:cs="Arial"/>
                <w:color w:val="auto"/>
              </w:rPr>
              <w:t>Current research indicates that simultaneous dependency/addiction programs with pain programs are a viable option. Some patients will require treatment of addictive disease before pain management can be effectively addressed. Patients with opioid dependence may require additional, long-term follow-up after the rehabilitation program.</w:t>
            </w:r>
            <w:r w:rsidRPr="00D61F73">
              <w:rPr>
                <w:rFonts w:ascii="Arial" w:hAnsi="Arial" w:cs="Arial"/>
                <w:color w:val="FF0000"/>
              </w:rPr>
              <w:t xml:space="preserve"> </w:t>
            </w:r>
            <w:r w:rsidRPr="00D61F73">
              <w:rPr>
                <w:rFonts w:ascii="Arial" w:hAnsi="Arial" w:cs="Arial"/>
              </w:rPr>
              <w:t>Criteria for this follow-up are still under research.</w:t>
            </w:r>
          </w:p>
          <w:p w14:paraId="045DF416" w14:textId="77777777" w:rsidR="00E648FC" w:rsidRPr="00D61F73" w:rsidRDefault="00E648FC" w:rsidP="00D61F73">
            <w:pPr>
              <w:rPr>
                <w:rFonts w:ascii="Arial" w:hAnsi="Arial" w:cs="Arial"/>
              </w:rPr>
            </w:pPr>
            <w:r w:rsidRPr="00D61F73">
              <w:rPr>
                <w:rFonts w:ascii="Arial" w:hAnsi="Arial" w:cs="Arial"/>
                <w:b/>
                <w:i/>
              </w:rPr>
              <w:t>Programs that include detoxification as part of their protocol</w:t>
            </w:r>
          </w:p>
          <w:p w14:paraId="2369B1A2" w14:textId="77777777" w:rsidR="00E648FC" w:rsidRPr="00D61F73" w:rsidRDefault="00E648FC" w:rsidP="00D61F73">
            <w:pPr>
              <w:rPr>
                <w:rFonts w:ascii="Arial" w:hAnsi="Arial" w:cs="Arial"/>
              </w:rPr>
            </w:pPr>
            <w:r w:rsidRPr="00D61F73">
              <w:rPr>
                <w:rFonts w:ascii="Arial" w:hAnsi="Arial" w:cs="Arial"/>
                <w:i/>
                <w:u w:val="single"/>
              </w:rPr>
              <w:t>PRIDE Program</w:t>
            </w:r>
            <w:r w:rsidRPr="00D61F73">
              <w:rPr>
                <w:rFonts w:ascii="Arial" w:hAnsi="Arial" w:cs="Arial"/>
                <w:i/>
              </w:rPr>
              <w:t xml:space="preserve">: </w:t>
            </w:r>
            <w:r w:rsidRPr="00D61F73">
              <w:rPr>
                <w:rFonts w:ascii="Arial" w:hAnsi="Arial" w:cs="Arial"/>
              </w:rPr>
              <w:t>In 2008 the PRIDE program (Progressive Rehabilitation Institute of Dallas for Ergonomics) (</w:t>
            </w:r>
            <w:hyperlink w:anchor="Dersh2008" w:history="1">
              <w:r w:rsidRPr="00D61F73">
                <w:rPr>
                  <w:rStyle w:val="Hyperlink"/>
                  <w:rFonts w:ascii="Arial" w:hAnsi="Arial" w:cs="Arial"/>
                </w:rPr>
                <w:t>Dersh 2008</w:t>
              </w:r>
            </w:hyperlink>
            <w:r w:rsidRPr="00D61F73">
              <w:rPr>
                <w:rFonts w:ascii="Arial" w:hAnsi="Arial" w:cs="Arial"/>
              </w:rPr>
              <w:t xml:space="preserve">) evaluated the role of post-injury opioid-dependence disorder (ODD) to assess if prescription opioid dependence (assessed at the beginning of rehabilitation) affected treatment outcome in patients with chronic disabling occupational spinal disorders. All patients with opioid dependence exhibited a lack of improvement or worsening in psychological well-being and social and vocational functioning despite the clinician’s best attempts at pain control. As noted, patients were required to taper off of all opioids early in treatment. Patients who had the following identified during initial treatment were referred to a facility psychiatrist (who had board certification in addiction): 1) evidence of use of high-dose/potency opioids or multiple opioids; 2) patients with a known history of current or lifetime substance-use disorders; 3) patients with known or easily apparent psychiatric disturbance; 4) patients that did not progress well in their detoxification under care of the attending physician. A diagnosis of substance dependence was made, in part, using the structured clinical interview for DSM-non-patient version (SCID-NP) and the SCID personality disorders </w:t>
            </w:r>
            <w:r w:rsidRPr="00D61F73">
              <w:rPr>
                <w:rFonts w:ascii="Arial" w:hAnsi="Arial" w:cs="Arial"/>
              </w:rPr>
              <w:lastRenderedPageBreak/>
              <w:t>(SCID-II). Prevalence of ODD was 15% on entering the program. ODD patients had greater length of disability (17 months for non-ODD vs. 29 months for ODD patients), were 2.5 times more likely to have had pretreatment surgery and 1.5 times more likely to be represented by an attorney. ODD patients were likely to have more axis I and II disorders (other than substance abuse disorders) than non-ODD patients. The odds ratio in ODD patients for current major depressive disorder was 1.7 and for current anxiety disorder was 1.7. ODD was significantly associated with preinjury substance-use disorders (O.R. 1.9). The substances identified included alcohol and drugs other than opioids. The axis II disorders associated with ODD were antisocial personality disorder and borderline personality disorder.</w:t>
            </w:r>
          </w:p>
          <w:p w14:paraId="28D04BD3" w14:textId="77777777" w:rsidR="00E648FC" w:rsidRPr="00D61F73" w:rsidRDefault="00E648FC" w:rsidP="00D61F73">
            <w:pPr>
              <w:rPr>
                <w:rFonts w:ascii="Arial" w:hAnsi="Arial" w:cs="Arial"/>
              </w:rPr>
            </w:pPr>
            <w:r w:rsidRPr="00D61F73">
              <w:rPr>
                <w:rFonts w:ascii="Arial" w:hAnsi="Arial" w:cs="Arial"/>
                <w:i/>
              </w:rPr>
              <w:t xml:space="preserve">Results of program completers: </w:t>
            </w:r>
            <w:r w:rsidRPr="00D61F73">
              <w:rPr>
                <w:rFonts w:ascii="Arial" w:hAnsi="Arial" w:cs="Arial"/>
              </w:rPr>
              <w:t>Program completion was not significantly different between ODD and non-ODD patients. The primary reason for non-completion was non-compliance and treatment refusal and failure to develop a work plan. Only 5% of patients did not complete the program due to continued substance abuse/dependence. After adjusting for demographics and comorbid psychiatric disorders, opioid-dependent patients were 1.7 times less likely to return to work (95% confidence interval of this result was 1.0, 2.7, indicating a trend only). The opioid dependent patients were 2 times less likely to retain work at the 1-year interview (95% CI; 1.3, 3.0), and 1.7 times more likely to engage in healthcare utilization with new providers (95% CI; 1.2, 2.5). These rates were even higher when adjustment for comorbid psychiatric pathology was not made. (</w:t>
            </w:r>
            <w:hyperlink w:anchor="Dersh2007" w:history="1">
              <w:r w:rsidRPr="00D61F73">
                <w:rPr>
                  <w:rStyle w:val="Hyperlink"/>
                  <w:rFonts w:ascii="Arial" w:hAnsi="Arial" w:cs="Arial"/>
                </w:rPr>
                <w:t>Dersh, 2007</w:t>
              </w:r>
            </w:hyperlink>
            <w:r w:rsidRPr="00D61F73">
              <w:rPr>
                <w:rFonts w:ascii="Arial" w:hAnsi="Arial" w:cs="Arial"/>
              </w:rPr>
              <w:t>)</w:t>
            </w:r>
          </w:p>
          <w:p w14:paraId="59F9AB6D" w14:textId="77777777" w:rsidR="00E648FC" w:rsidRPr="00D61F73" w:rsidRDefault="00E648FC" w:rsidP="00D61F73">
            <w:pPr>
              <w:rPr>
                <w:rFonts w:ascii="Arial" w:hAnsi="Arial" w:cs="Arial"/>
              </w:rPr>
            </w:pPr>
            <w:r w:rsidRPr="00D61F73">
              <w:rPr>
                <w:rFonts w:ascii="Arial" w:hAnsi="Arial" w:cs="Arial"/>
                <w:i/>
              </w:rPr>
              <w:t xml:space="preserve">Detoxification and referral to an addiction specialist in this program: </w:t>
            </w:r>
            <w:r w:rsidRPr="00D61F73">
              <w:rPr>
                <w:rFonts w:ascii="Arial" w:hAnsi="Arial" w:cs="Arial"/>
              </w:rPr>
              <w:t xml:space="preserve">This program included detoxification from opioids early in the treatment program. Patients taking high-dose/potency opioids or multiple opioids, patients with a known history of current or lifetime substance-abuse disorders, patients with known or easily apparent psychiatric disturbance, and/or patients who did progress well with detoxification under care of the attending physician were referred to the facility psychiatrist (board certified in addiction). Patients that continued to use opioids were offered inpatient detoxification. If refused, they were discharged from the program. </w:t>
            </w:r>
            <w:r w:rsidRPr="00D61F73">
              <w:rPr>
                <w:rFonts w:ascii="Arial" w:hAnsi="Arial" w:cs="Arial"/>
                <w:i/>
              </w:rPr>
              <w:t xml:space="preserve">Assessments utilized: </w:t>
            </w:r>
            <w:r w:rsidRPr="00D61F73">
              <w:rPr>
                <w:rFonts w:ascii="Arial" w:hAnsi="Arial" w:cs="Arial"/>
              </w:rPr>
              <w:t>Structured clinical interview for DSM-non-patient versions (SCID-NP) to assess for axis I psychiatric disorders such as schizophrenia, depression and substance-use disorders and the SCID personality disorders (SCID-II) to assess for axis-II DSM personality disorders (Borderline, Antisocial, Paranoid).</w:t>
            </w:r>
          </w:p>
          <w:p w14:paraId="5A326344" w14:textId="77777777" w:rsidR="00E648FC" w:rsidRPr="00D61F73" w:rsidRDefault="00E648FC" w:rsidP="00D61F73">
            <w:pPr>
              <w:pStyle w:val="Heading4"/>
              <w:jc w:val="left"/>
              <w:rPr>
                <w:rFonts w:ascii="Arial" w:hAnsi="Arial" w:cs="Arial"/>
                <w:i/>
                <w:iCs/>
              </w:rPr>
            </w:pPr>
            <w:r w:rsidRPr="00D61F73">
              <w:rPr>
                <w:rFonts w:ascii="Arial" w:hAnsi="Arial" w:cs="Arial"/>
                <w:i/>
                <w:iCs/>
              </w:rPr>
              <w:t>Programs that allow some opioid use</w:t>
            </w:r>
          </w:p>
          <w:p w14:paraId="5A170C68" w14:textId="77777777" w:rsidR="00E648FC" w:rsidRPr="00D61F73" w:rsidRDefault="00E648FC" w:rsidP="00D61F73">
            <w:pPr>
              <w:rPr>
                <w:rFonts w:ascii="Arial" w:hAnsi="Arial" w:cs="Arial"/>
              </w:rPr>
            </w:pPr>
            <w:r w:rsidRPr="00D61F73">
              <w:rPr>
                <w:rFonts w:ascii="Arial" w:hAnsi="Arial" w:cs="Arial"/>
                <w:i/>
                <w:u w:val="single"/>
              </w:rPr>
              <w:t>Mayo Clinic Pain Rehabilitation Program</w:t>
            </w:r>
            <w:r w:rsidRPr="00D61F73">
              <w:rPr>
                <w:rFonts w:ascii="Arial" w:hAnsi="Arial" w:cs="Arial"/>
                <w:i/>
              </w:rPr>
              <w:t xml:space="preserve">: </w:t>
            </w:r>
            <w:r w:rsidRPr="00D61F73">
              <w:rPr>
                <w:rFonts w:ascii="Arial" w:hAnsi="Arial" w:cs="Arial"/>
              </w:rPr>
              <w:t xml:space="preserve">This program also incorporates simultaneous opioid withdrawal and pain rehabilitation. The original study by Rome et al. was designed to (1) evaluate the frequency of maintenance opioid therapy in the population admitted to the multidisciplinary program, (2) compare demographic characteristics, pain severity, emotional distress, and level of function of patients taking maintenance opioids at admission vs. those who were not, (3) compare outcomes of the two groups (pain severity, interference with pain, perceived life control, affective distress, general activity level, depression, and catastrophizing). Research (in an analysis of predominately female, non-workers’ </w:t>
            </w:r>
            <w:r w:rsidRPr="00D61F73">
              <w:rPr>
                <w:rFonts w:ascii="Arial" w:hAnsi="Arial" w:cs="Arial"/>
              </w:rPr>
              <w:lastRenderedPageBreak/>
              <w:t>compensation patients), found that all patients that completed the program (regardless of opioid use on initial entry) showed decreased pain severity and catastrophizing, although those taking opioids had significantly higher scores at the three-week discharge for these variables. They also had higher scores for depression. Over one-half of patients took opioids at the time of admission (57.1%). The majority of patients completed the program (91%). At the completion of treatment 13.9% of patients were still taking opioids (mean oral morphine equivalents a day of 67.6 mg/day). Significant improvement was found for all outcome variables immediately after completion of the program and at 6-months post-treatment regardless of opioid status at admission. In this program, there was no difference between opioid and non-opioid groups upon discharge or at six-months of follow-up, post-treatment. The conclusion of the researchers was that opioid withdrawal did not prohibit rehabilitation gains. (</w:t>
            </w:r>
            <w:hyperlink w:anchor="Rome" w:history="1">
              <w:r w:rsidRPr="00D61F73">
                <w:rPr>
                  <w:rStyle w:val="Hyperlink"/>
                  <w:rFonts w:ascii="Arial" w:hAnsi="Arial" w:cs="Arial"/>
                </w:rPr>
                <w:t>Rome, 2004</w:t>
              </w:r>
            </w:hyperlink>
            <w:r w:rsidRPr="00D61F73">
              <w:rPr>
                <w:rFonts w:ascii="Arial" w:hAnsi="Arial" w:cs="Arial"/>
              </w:rPr>
              <w:t>)</w:t>
            </w:r>
          </w:p>
          <w:p w14:paraId="4143D06A" w14:textId="77777777" w:rsidR="00E648FC" w:rsidRPr="00D61F73" w:rsidRDefault="00E648FC" w:rsidP="00D61F73">
            <w:pPr>
              <w:rPr>
                <w:rFonts w:ascii="Arial" w:hAnsi="Arial" w:cs="Arial"/>
              </w:rPr>
            </w:pPr>
            <w:r w:rsidRPr="00D61F73">
              <w:rPr>
                <w:rFonts w:ascii="Arial" w:hAnsi="Arial" w:cs="Arial"/>
                <w:i/>
                <w:u w:val="single"/>
              </w:rPr>
              <w:t xml:space="preserve">Specific Evaluation Studies: </w:t>
            </w:r>
            <w:r w:rsidRPr="00D61F73">
              <w:rPr>
                <w:rFonts w:ascii="Arial" w:hAnsi="Arial" w:cs="Arial"/>
              </w:rPr>
              <w:t>A specific assessment of the use of opioids on treatment outcomes was undertaken by Townsend et al. (</w:t>
            </w:r>
            <w:hyperlink w:anchor="Townsend2008" w:history="1">
              <w:r w:rsidRPr="00D61F73">
                <w:rPr>
                  <w:rStyle w:val="Hyperlink"/>
                  <w:rFonts w:ascii="Arial" w:hAnsi="Arial" w:cs="Arial"/>
                </w:rPr>
                <w:t>Townsend 2008</w:t>
              </w:r>
            </w:hyperlink>
            <w:r w:rsidRPr="00D61F73">
              <w:rPr>
                <w:rFonts w:ascii="Arial" w:hAnsi="Arial" w:cs="Arial"/>
              </w:rPr>
              <w:t>) On admission, patients taking low- and high-dose opioids reported significantly greater pain severity and depression than those patients that were not taking this class of medication. Regardless of opioid status on admission, significant improvement was found for all outcomes following treatment and at six-months post treatment (as listed above and as measured using the instruments listed below in “assessments utilized”). Crisostomo et al evaluated patients in terms of three specific groups based on history of spinal surgery: fusion; non-fusion; and no surgical procedure. They found that patients that had undergone surgery were more likely to be taking opioids on admission (chi-square=8.92, P= 0.012, fusion 65.2%, nonfusion = 70%, no-surgery group = 48.4%).  Pain severity and duration was highest in the fusion group. Patients that had undergone fusion were slightly more likely to drop out of the program (chisq=5.94, P=0.051; completers in the fusion group =78%, nonfusion group = 89%, and no-surgery group = 87%). Regardless of surgical status, patients showed significant and nearly equal improvement. In terms of medications the overall decrease in opioid use was 78.6%. Benzodiapezine decrease was 39.9%. The only significant difference in medication use at dismissal was for benzodiazepines, with more surgery patients using this class of drugs (chisq= 6.62, P = 0.037, fusion = 21.1%, nonfusion = 20.5%, no surgery = 9.6%). (</w:t>
            </w:r>
            <w:hyperlink w:anchor="Crisostomo" w:history="1">
              <w:r w:rsidRPr="00D61F73">
                <w:rPr>
                  <w:rStyle w:val="Hyperlink"/>
                  <w:rFonts w:ascii="Arial" w:hAnsi="Arial" w:cs="Arial"/>
                </w:rPr>
                <w:t>Crisostomo 2008</w:t>
              </w:r>
            </w:hyperlink>
            <w:r w:rsidRPr="00D61F73">
              <w:rPr>
                <w:rFonts w:ascii="Arial" w:hAnsi="Arial" w:cs="Arial"/>
              </w:rPr>
              <w:t xml:space="preserve">) Overall, successful opioid withdrawal and treatment completion was found for patients that had had lumbar spine surgery. </w:t>
            </w:r>
            <w:r w:rsidRPr="00D61F73">
              <w:rPr>
                <w:rFonts w:ascii="Arial" w:hAnsi="Arial" w:cs="Arial"/>
                <w:i/>
              </w:rPr>
              <w:t xml:space="preserve">Assessments utilized: </w:t>
            </w:r>
            <w:r w:rsidRPr="00D61F73">
              <w:rPr>
                <w:rFonts w:ascii="Arial" w:hAnsi="Arial" w:cs="Arial"/>
              </w:rPr>
              <w:t>Multi-dimensional Pain Inventory (MPI); SF-36; Center for Epidemiologic Studies-Depression Scale (CES-D); Pain catastrophizing scale (PCS).</w:t>
            </w:r>
          </w:p>
          <w:p w14:paraId="619F5C28" w14:textId="77777777" w:rsidR="00E648FC" w:rsidRPr="00D61F73" w:rsidRDefault="00E648FC" w:rsidP="00D61F73">
            <w:pPr>
              <w:rPr>
                <w:rFonts w:ascii="Arial" w:hAnsi="Arial" w:cs="Arial"/>
              </w:rPr>
            </w:pPr>
            <w:r w:rsidRPr="00D61F73">
              <w:rPr>
                <w:rFonts w:ascii="Arial" w:hAnsi="Arial" w:cs="Arial"/>
                <w:b/>
                <w:i/>
              </w:rPr>
              <w:t>Programs that do not emphasize opioid tapering</w:t>
            </w:r>
          </w:p>
          <w:p w14:paraId="399F48B8" w14:textId="77777777" w:rsidR="00E648FC" w:rsidRPr="00D61F73" w:rsidRDefault="00E648FC" w:rsidP="00D61F73">
            <w:pPr>
              <w:rPr>
                <w:rFonts w:ascii="Arial" w:hAnsi="Arial" w:cs="Arial"/>
              </w:rPr>
            </w:pPr>
            <w:r w:rsidRPr="00D61F73">
              <w:rPr>
                <w:rFonts w:ascii="Arial" w:hAnsi="Arial" w:cs="Arial"/>
              </w:rPr>
              <w:t>A more recent study of patient’s receiving workers’ compensation benefits in a program that did not stress opioid withdrawal found that at 6 months, 72.1% of opioid users returned to work versus 75.8% of non-opioid users, a non-significant difference. The mean dose of daily morphine equivalents was 28.63 mg (range 0.53 mg to 150 mg), which may limit the generalizability of the study. (</w:t>
            </w:r>
            <w:hyperlink w:anchor="Maclaren" w:history="1">
              <w:r w:rsidRPr="00D61F73">
                <w:rPr>
                  <w:rStyle w:val="Hyperlink"/>
                  <w:rFonts w:ascii="Arial" w:hAnsi="Arial" w:cs="Arial"/>
                </w:rPr>
                <w:t>Maclaren, 2006</w:t>
              </w:r>
            </w:hyperlink>
            <w:r w:rsidRPr="00D61F73">
              <w:rPr>
                <w:rFonts w:ascii="Arial" w:hAnsi="Arial" w:cs="Arial"/>
              </w:rPr>
              <w:t>)</w:t>
            </w:r>
          </w:p>
          <w:p w14:paraId="2EB57AAF" w14:textId="77777777" w:rsidR="00E648FC" w:rsidRPr="00D61F73" w:rsidRDefault="00E648FC" w:rsidP="00D61F73">
            <w:pPr>
              <w:rPr>
                <w:rFonts w:ascii="Arial" w:hAnsi="Arial" w:cs="Arial"/>
                <w:b/>
                <w:bCs/>
              </w:rPr>
            </w:pPr>
            <w:r w:rsidRPr="00D61F73">
              <w:rPr>
                <w:rFonts w:ascii="Arial" w:hAnsi="Arial" w:cs="Arial"/>
              </w:rPr>
              <w:t xml:space="preserve">For general information, see </w:t>
            </w:r>
            <w:hyperlink r:id="rId50" w:anchor="Chronicpainprograms#Chronicpainprograms" w:history="1">
              <w:hyperlink w:anchor="Chronicpainprograms" w:history="1">
                <w:r w:rsidRPr="00D61F73">
                  <w:rPr>
                    <w:rStyle w:val="Hyperlink"/>
                    <w:rFonts w:ascii="Arial" w:hAnsi="Arial" w:cs="Arial"/>
                  </w:rPr>
                  <w:t>Chronic pain programs</w:t>
                </w:r>
              </w:hyperlink>
              <w:r w:rsidRPr="00D61F73">
                <w:rPr>
                  <w:rFonts w:ascii="Arial" w:hAnsi="Arial" w:cs="Arial"/>
                </w:rPr>
                <w:t>.</w:t>
              </w:r>
            </w:hyperlink>
          </w:p>
        </w:tc>
      </w:tr>
      <w:tr w:rsidR="00E648FC" w:rsidRPr="00D61F73" w14:paraId="2AC14488" w14:textId="77777777" w:rsidTr="0078164D">
        <w:tc>
          <w:tcPr>
            <w:tcW w:w="1086" w:type="pct"/>
          </w:tcPr>
          <w:p w14:paraId="714AF53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40" w:name="Citalopram"/>
            <w:bookmarkEnd w:id="140"/>
            <w:r w:rsidRPr="00D61F73">
              <w:rPr>
                <w:rFonts w:ascii="Arial" w:hAnsi="Arial" w:cs="Arial"/>
              </w:rPr>
              <w:t>italopram</w:t>
            </w:r>
          </w:p>
        </w:tc>
        <w:tc>
          <w:tcPr>
            <w:tcW w:w="3914" w:type="pct"/>
          </w:tcPr>
          <w:p w14:paraId="63AE24A9" w14:textId="4A75A0F5"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SSRIs" w:history="1">
              <w:r w:rsidRPr="00D61F73">
                <w:rPr>
                  <w:rStyle w:val="Hyperlink"/>
                  <w:rFonts w:ascii="Arial" w:hAnsi="Arial" w:cs="Arial"/>
                  <w:b w:val="0"/>
                  <w:bCs w:val="0"/>
                </w:rPr>
                <w:t>SSRIs</w:t>
              </w:r>
            </w:hyperlink>
            <w:r w:rsidRPr="00D61F73">
              <w:rPr>
                <w:rFonts w:ascii="Arial" w:hAnsi="Arial" w:cs="Arial"/>
                <w:b w:val="0"/>
                <w:bCs w:val="0"/>
              </w:rPr>
              <w:t xml:space="preserve"> (selective serotonin reuptake inhibitors).</w:t>
            </w:r>
          </w:p>
        </w:tc>
      </w:tr>
      <w:tr w:rsidR="00E648FC" w:rsidRPr="00D61F73" w14:paraId="4C7C2AB1" w14:textId="77777777" w:rsidTr="0078164D">
        <w:tc>
          <w:tcPr>
            <w:tcW w:w="1086" w:type="pct"/>
          </w:tcPr>
          <w:p w14:paraId="536EE6C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41" w:name="Clonazepam"/>
            <w:bookmarkEnd w:id="141"/>
            <w:r w:rsidRPr="00D61F73">
              <w:rPr>
                <w:rFonts w:ascii="Arial" w:hAnsi="Arial" w:cs="Arial"/>
              </w:rPr>
              <w:t>lonazepam</w:t>
            </w:r>
          </w:p>
        </w:tc>
        <w:tc>
          <w:tcPr>
            <w:tcW w:w="3914" w:type="pct"/>
          </w:tcPr>
          <w:p w14:paraId="6098442C"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Not recommended.</w:t>
            </w:r>
            <w:r w:rsidRPr="00D61F73">
              <w:rPr>
                <w:rFonts w:ascii="Arial" w:hAnsi="Arial" w:cs="Arial"/>
              </w:rPr>
              <w:t xml:space="preserve"> </w:t>
            </w:r>
            <w:r w:rsidRPr="00D61F73">
              <w:rPr>
                <w:rFonts w:ascii="Arial" w:hAnsi="Arial" w:cs="Arial"/>
                <w:b w:val="0"/>
                <w:bCs w:val="0"/>
              </w:rPr>
              <w:t xml:space="preserve">See </w:t>
            </w:r>
            <w:hyperlink w:anchor="Benzodiazepines" w:history="1">
              <w:r w:rsidRPr="00D61F73">
                <w:rPr>
                  <w:rStyle w:val="Hyperlink"/>
                  <w:rFonts w:ascii="Arial" w:hAnsi="Arial" w:cs="Arial"/>
                  <w:b w:val="0"/>
                  <w:bCs w:val="0"/>
                </w:rPr>
                <w:t>Benzodiazepines</w:t>
              </w:r>
            </w:hyperlink>
            <w:r w:rsidRPr="00D61F73">
              <w:rPr>
                <w:rFonts w:ascii="Arial" w:hAnsi="Arial" w:cs="Arial"/>
                <w:b w:val="0"/>
                <w:bCs w:val="0"/>
              </w:rPr>
              <w:t>.</w:t>
            </w:r>
          </w:p>
        </w:tc>
      </w:tr>
      <w:tr w:rsidR="00E648FC" w:rsidRPr="00D61F73" w14:paraId="1F9DC3F2" w14:textId="77777777" w:rsidTr="0078164D">
        <w:tc>
          <w:tcPr>
            <w:tcW w:w="1086" w:type="pct"/>
          </w:tcPr>
          <w:p w14:paraId="527EB8E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42" w:name="Clonidineintrathecal"/>
            <w:bookmarkEnd w:id="142"/>
            <w:r w:rsidRPr="00D61F73">
              <w:rPr>
                <w:rFonts w:ascii="Arial" w:hAnsi="Arial" w:cs="Arial"/>
              </w:rPr>
              <w:t xml:space="preserve">lonidine, intrathecal </w:t>
            </w:r>
          </w:p>
        </w:tc>
        <w:tc>
          <w:tcPr>
            <w:tcW w:w="3914" w:type="pct"/>
          </w:tcPr>
          <w:p w14:paraId="6288E96F" w14:textId="77777777" w:rsidR="00E648FC" w:rsidRPr="00D61F73" w:rsidRDefault="0061527A" w:rsidP="00D61F73">
            <w:pPr>
              <w:pStyle w:val="BodyText"/>
              <w:rPr>
                <w:rFonts w:ascii="Arial" w:hAnsi="Arial" w:cs="Arial"/>
                <w:b w:val="0"/>
                <w:bCs w:val="0"/>
              </w:rPr>
            </w:pPr>
            <w:r w:rsidRPr="00D61F73">
              <w:rPr>
                <w:rFonts w:ascii="Arial" w:hAnsi="Arial" w:cs="Arial"/>
                <w:b w:val="0"/>
                <w:color w:val="000000"/>
              </w:rPr>
              <w:t>Not recommended except as an end-stage treatment alternative for selected patients for specific conditions, and only after a short-term trial indicates pain relief in patients refractory to opioid monotherapy or opioids with local anesthetic.</w:t>
            </w:r>
            <w:r w:rsidRPr="00D61F73">
              <w:rPr>
                <w:rFonts w:ascii="Arial" w:hAnsi="Arial" w:cs="Arial"/>
                <w:color w:val="000000"/>
              </w:rPr>
              <w:t xml:space="preserve"> </w:t>
            </w:r>
            <w:r w:rsidR="00E648FC" w:rsidRPr="00D61F73">
              <w:rPr>
                <w:rFonts w:ascii="Arial" w:hAnsi="Arial" w:cs="Arial"/>
                <w:b w:val="0"/>
                <w:bCs w:val="0"/>
              </w:rPr>
              <w:t>There is little evidence that this medication on its own provides long-term pain relief (when used in combination with opioids, approximately 80% of patients had &lt; 24 months of pain relief) and no studies have investigated the neuromuscular, vascular or cardiovascular physiologic changes that can occur over long period of administration. Side effects include hypotension, and the medication should not be stopped abruptly due to the risk of rebound hypertension. The medication is FDA approved with an orphan drug intrathecal indication for cancer pain only. Clonidine is thought to act synergistically with opioids. Most studies on the use of this drug intrathecally for chronic non-malignant pain are limited to case reports. (</w:t>
            </w:r>
            <w:hyperlink w:anchor="Ackerman" w:history="1">
              <w:r w:rsidR="00E648FC" w:rsidRPr="00D61F73">
                <w:rPr>
                  <w:rStyle w:val="Hyperlink"/>
                  <w:rFonts w:ascii="Arial" w:hAnsi="Arial" w:cs="Arial"/>
                  <w:b w:val="0"/>
                  <w:bCs w:val="0"/>
                </w:rPr>
                <w:t>Ackerman, 2003</w:t>
              </w:r>
            </w:hyperlink>
            <w:r w:rsidR="00E648FC" w:rsidRPr="00D61F73">
              <w:rPr>
                <w:rFonts w:ascii="Arial" w:hAnsi="Arial" w:cs="Arial"/>
                <w:b w:val="0"/>
                <w:bCs w:val="0"/>
              </w:rPr>
              <w:t>) Clonidine (Catapres) is a direct-acting adrenergic agonist prescribed historically as an antihypertensive agent, but it has found new uses, including treatment of some types of neuropathic pain.</w:t>
            </w:r>
          </w:p>
          <w:p w14:paraId="39702DE7"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iCs/>
                <w:u w:val="single"/>
              </w:rPr>
              <w:t>Additional studies</w:t>
            </w:r>
            <w:r w:rsidRPr="00D61F73">
              <w:rPr>
                <w:rFonts w:ascii="Arial" w:hAnsi="Arial" w:cs="Arial"/>
                <w:b w:val="0"/>
                <w:bCs w:val="0"/>
              </w:rPr>
              <w:t>: One intermediate quality randomized controlled trial found that intrathecal clonidine alone worked no better than placebo. It also found that clonidine with morphine worked better than placebo or morphine or clonidine alone. (</w:t>
            </w:r>
            <w:hyperlink w:anchor="Ackermann" w:history="1">
              <w:r w:rsidRPr="00D61F73">
                <w:rPr>
                  <w:rStyle w:val="Hyperlink"/>
                  <w:rFonts w:ascii="Arial" w:hAnsi="Arial" w:cs="Arial"/>
                  <w:b w:val="0"/>
                  <w:bCs w:val="0"/>
                </w:rPr>
                <w:t>Ackermann, 2003</w:t>
              </w:r>
            </w:hyperlink>
            <w:r w:rsidRPr="00D61F73">
              <w:rPr>
                <w:rFonts w:ascii="Arial" w:hAnsi="Arial" w:cs="Arial"/>
                <w:b w:val="0"/>
                <w:bCs w:val="0"/>
              </w:rPr>
              <w:t>) (</w:t>
            </w:r>
            <w:hyperlink w:anchor="Hassenbusch2" w:history="1">
              <w:r w:rsidRPr="00D61F73">
                <w:rPr>
                  <w:rStyle w:val="Hyperlink"/>
                  <w:rFonts w:ascii="Arial" w:hAnsi="Arial" w:cs="Arial"/>
                  <w:b w:val="0"/>
                  <w:bCs w:val="0"/>
                </w:rPr>
                <w:t>Hassenbusch2, 2002</w:t>
              </w:r>
            </w:hyperlink>
            <w:r w:rsidRPr="00D61F73">
              <w:rPr>
                <w:rFonts w:ascii="Arial" w:hAnsi="Arial" w:cs="Arial"/>
                <w:b w:val="0"/>
                <w:bCs w:val="0"/>
              </w:rPr>
              <w:t>) (</w:t>
            </w:r>
            <w:hyperlink w:anchor="Martin" w:history="1">
              <w:r w:rsidRPr="00D61F73">
                <w:rPr>
                  <w:rStyle w:val="Hyperlink"/>
                  <w:rFonts w:ascii="Arial" w:hAnsi="Arial" w:cs="Arial"/>
                  <w:b w:val="0"/>
                  <w:bCs w:val="0"/>
                </w:rPr>
                <w:t>Martin, 2001</w:t>
              </w:r>
            </w:hyperlink>
            <w:r w:rsidRPr="00D61F73">
              <w:rPr>
                <w:rFonts w:ascii="Arial" w:hAnsi="Arial" w:cs="Arial"/>
                <w:b w:val="0"/>
                <w:bCs w:val="0"/>
              </w:rPr>
              <w:t>) (</w:t>
            </w:r>
            <w:hyperlink w:anchor="Raphael" w:history="1">
              <w:r w:rsidRPr="00D61F73">
                <w:rPr>
                  <w:rStyle w:val="Hyperlink"/>
                  <w:rFonts w:ascii="Arial" w:hAnsi="Arial" w:cs="Arial"/>
                  <w:b w:val="0"/>
                  <w:bCs w:val="0"/>
                </w:rPr>
                <w:t>Raphael, 2002</w:t>
              </w:r>
            </w:hyperlink>
            <w:r w:rsidRPr="00D61F73">
              <w:rPr>
                <w:rFonts w:ascii="Arial" w:hAnsi="Arial" w:cs="Arial"/>
                <w:b w:val="0"/>
                <w:bCs w:val="0"/>
              </w:rPr>
              <w:t>) (</w:t>
            </w:r>
            <w:hyperlink w:anchor="Roberts" w:history="1">
              <w:r w:rsidRPr="00D61F73">
                <w:rPr>
                  <w:rStyle w:val="Hyperlink"/>
                  <w:rFonts w:ascii="Arial" w:hAnsi="Arial" w:cs="Arial"/>
                  <w:b w:val="0"/>
                  <w:bCs w:val="0"/>
                </w:rPr>
                <w:t>Roberts, 2001</w:t>
              </w:r>
            </w:hyperlink>
            <w:r w:rsidRPr="00D61F73">
              <w:rPr>
                <w:rFonts w:ascii="Arial" w:hAnsi="Arial" w:cs="Arial"/>
                <w:b w:val="0"/>
                <w:bCs w:val="0"/>
              </w:rPr>
              <w:t>) (</w:t>
            </w:r>
            <w:hyperlink w:anchor="Siddall" w:history="1">
              <w:r w:rsidRPr="00D61F73">
                <w:rPr>
                  <w:rStyle w:val="Hyperlink"/>
                  <w:rFonts w:ascii="Arial" w:hAnsi="Arial" w:cs="Arial"/>
                  <w:b w:val="0"/>
                  <w:bCs w:val="0"/>
                </w:rPr>
                <w:t>Siddall, 2000</w:t>
              </w:r>
            </w:hyperlink>
            <w:r w:rsidRPr="00D61F73">
              <w:rPr>
                <w:rFonts w:ascii="Arial" w:hAnsi="Arial" w:cs="Arial"/>
                <w:b w:val="0"/>
                <w:bCs w:val="0"/>
              </w:rPr>
              <w:t>) (</w:t>
            </w:r>
            <w:hyperlink w:anchor="Taricco" w:history="1">
              <w:r w:rsidRPr="00D61F73">
                <w:rPr>
                  <w:rStyle w:val="Hyperlink"/>
                  <w:rFonts w:ascii="Arial" w:hAnsi="Arial" w:cs="Arial"/>
                  <w:b w:val="0"/>
                  <w:bCs w:val="0"/>
                </w:rPr>
                <w:t>Taricco, 2006</w:t>
              </w:r>
            </w:hyperlink>
            <w:r w:rsidRPr="00D61F73">
              <w:rPr>
                <w:rFonts w:ascii="Arial" w:hAnsi="Arial" w:cs="Arial"/>
                <w:b w:val="0"/>
                <w:bCs w:val="0"/>
              </w:rPr>
              <w:t>)</w:t>
            </w:r>
          </w:p>
        </w:tc>
      </w:tr>
      <w:tr w:rsidR="00E648FC" w:rsidRPr="00D61F73" w14:paraId="33464CB8" w14:textId="77777777" w:rsidTr="0078164D">
        <w:tc>
          <w:tcPr>
            <w:tcW w:w="1086" w:type="pct"/>
          </w:tcPr>
          <w:p w14:paraId="0272EA4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43" w:name="Clorazepate"/>
            <w:bookmarkEnd w:id="143"/>
            <w:r w:rsidRPr="00D61F73">
              <w:rPr>
                <w:rFonts w:ascii="Arial" w:hAnsi="Arial" w:cs="Arial"/>
              </w:rPr>
              <w:t>lorazepate</w:t>
            </w:r>
          </w:p>
        </w:tc>
        <w:tc>
          <w:tcPr>
            <w:tcW w:w="3914" w:type="pct"/>
          </w:tcPr>
          <w:p w14:paraId="0D91F3E5"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Not recommended.</w:t>
            </w:r>
            <w:r w:rsidRPr="00D61F73">
              <w:rPr>
                <w:rFonts w:ascii="Arial" w:hAnsi="Arial" w:cs="Arial"/>
              </w:rPr>
              <w:t xml:space="preserve"> </w:t>
            </w:r>
            <w:r w:rsidRPr="00D61F73">
              <w:rPr>
                <w:rFonts w:ascii="Arial" w:hAnsi="Arial" w:cs="Arial"/>
                <w:b w:val="0"/>
                <w:bCs w:val="0"/>
              </w:rPr>
              <w:t xml:space="preserve">See </w:t>
            </w:r>
            <w:hyperlink w:anchor="Benzodiazepines" w:history="1">
              <w:r w:rsidRPr="00D61F73">
                <w:rPr>
                  <w:rStyle w:val="Hyperlink"/>
                  <w:rFonts w:ascii="Arial" w:hAnsi="Arial" w:cs="Arial"/>
                  <w:b w:val="0"/>
                  <w:bCs w:val="0"/>
                </w:rPr>
                <w:t>Benzodiazepines</w:t>
              </w:r>
            </w:hyperlink>
            <w:r w:rsidRPr="00D61F73">
              <w:rPr>
                <w:rFonts w:ascii="Arial" w:hAnsi="Arial" w:cs="Arial"/>
                <w:b w:val="0"/>
                <w:bCs w:val="0"/>
              </w:rPr>
              <w:t>.</w:t>
            </w:r>
          </w:p>
        </w:tc>
      </w:tr>
      <w:tr w:rsidR="00E648FC" w:rsidRPr="00D61F73" w14:paraId="6CC71A62" w14:textId="77777777" w:rsidTr="0078164D">
        <w:tc>
          <w:tcPr>
            <w:tcW w:w="1086" w:type="pct"/>
          </w:tcPr>
          <w:p w14:paraId="2AFA05FD" w14:textId="01FD3965" w:rsidR="00E648FC" w:rsidRPr="00D61F73" w:rsidRDefault="00E648FC" w:rsidP="00D61F73">
            <w:pPr>
              <w:pStyle w:val="Footer"/>
              <w:tabs>
                <w:tab w:val="clear" w:pos="4320"/>
                <w:tab w:val="clear" w:pos="8640"/>
              </w:tabs>
              <w:rPr>
                <w:rFonts w:ascii="Arial" w:hAnsi="Arial" w:cs="Arial"/>
                <w:u w:val="single"/>
              </w:rPr>
            </w:pPr>
            <w:r w:rsidRPr="00D61F73">
              <w:rPr>
                <w:rFonts w:ascii="Arial" w:hAnsi="Arial" w:cs="Arial"/>
                <w:u w:val="single"/>
              </w:rPr>
              <w:t>C</w:t>
            </w:r>
            <w:bookmarkStart w:id="144" w:name="Codeine"/>
            <w:bookmarkEnd w:id="144"/>
            <w:r w:rsidRPr="00D61F73">
              <w:rPr>
                <w:rFonts w:ascii="Arial" w:hAnsi="Arial" w:cs="Arial"/>
                <w:u w:val="single"/>
              </w:rPr>
              <w:t xml:space="preserve">odeine (Tylenol with Codeine®) </w:t>
            </w:r>
          </w:p>
          <w:p w14:paraId="54C477E7" w14:textId="77777777" w:rsidR="00E648FC" w:rsidRPr="00D61F73" w:rsidRDefault="00E648FC" w:rsidP="00D61F73">
            <w:pPr>
              <w:pStyle w:val="Footer"/>
              <w:tabs>
                <w:tab w:val="clear" w:pos="4320"/>
                <w:tab w:val="clear" w:pos="8640"/>
              </w:tabs>
              <w:rPr>
                <w:rFonts w:ascii="Arial" w:hAnsi="Arial" w:cs="Arial"/>
                <w:u w:val="single"/>
              </w:rPr>
            </w:pPr>
          </w:p>
          <w:p w14:paraId="1038AD37"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Pr>
          <w:p w14:paraId="6959D7B7" w14:textId="7039C7C5" w:rsidR="00E648FC" w:rsidRPr="00D61F73" w:rsidRDefault="000602F5" w:rsidP="00D61F73">
            <w:pPr>
              <w:rPr>
                <w:rFonts w:ascii="Arial" w:hAnsi="Arial" w:cs="Arial"/>
              </w:rPr>
            </w:pPr>
            <w:r w:rsidRPr="00D61F73">
              <w:rPr>
                <w:rFonts w:ascii="Arial" w:hAnsi="Arial" w:cs="Arial"/>
              </w:rPr>
              <w:t xml:space="preserve">See </w:t>
            </w:r>
            <w:r w:rsidR="002D6CFB" w:rsidRPr="00D61F73">
              <w:rPr>
                <w:rFonts w:ascii="Arial" w:hAnsi="Arial" w:cs="Arial"/>
              </w:rPr>
              <w:t>MTUS</w:t>
            </w:r>
            <w:r w:rsidR="005410AC" w:rsidRPr="00D61F73">
              <w:rPr>
                <w:rFonts w:ascii="Arial" w:hAnsi="Arial" w:cs="Arial"/>
              </w:rPr>
              <w:t xml:space="preserve"> Opioids Treatment Guidelines</w:t>
            </w:r>
            <w:r w:rsidRPr="00D61F73">
              <w:rPr>
                <w:rFonts w:ascii="Arial" w:hAnsi="Arial" w:cs="Arial"/>
                <w:bCs/>
              </w:rPr>
              <w:t xml:space="preserve">, </w:t>
            </w:r>
            <w:r w:rsidRPr="00D61F73">
              <w:rPr>
                <w:rFonts w:ascii="Arial" w:hAnsi="Arial" w:cs="Arial"/>
              </w:rPr>
              <w:t>Appendix F1, for dosing recommendations.</w:t>
            </w:r>
            <w:r w:rsidR="005D5170" w:rsidRPr="00D61F73">
              <w:rPr>
                <w:rFonts w:ascii="Arial" w:hAnsi="Arial" w:cs="Arial"/>
              </w:rPr>
              <w:t xml:space="preserve"> </w:t>
            </w:r>
            <w:r w:rsidR="00E648FC" w:rsidRPr="00D61F73">
              <w:rPr>
                <w:rFonts w:ascii="Arial" w:hAnsi="Arial" w:cs="Arial"/>
              </w:rPr>
              <w:t>Codeine is a schedule C-II controlled substance, but codeine with acetaminophen is a C-III controlled substance. It is similar to morphine. 60 mg of codeine is similar in potency to 600 mg of acetaminophen. It is widely used as a cough suppressant. It is used as a single agent or in combination with acetaminophen (Tylenol® with Codeine) and other products for treatment of moderate to severe pain</w:t>
            </w:r>
            <w:r w:rsidR="00E648FC" w:rsidRPr="00D61F73">
              <w:rPr>
                <w:rFonts w:ascii="Arial" w:hAnsi="Arial" w:cs="Arial"/>
                <w:color w:val="auto"/>
              </w:rPr>
              <w:t>. Codeine has disadvantages in that it is a pro drug that needs to be converted by the cytochrome P450 isoenzyme 2D6 to morphine, plus there are FDA alerts of ultra-rapid metabolism.</w:t>
            </w:r>
            <w:r w:rsidR="00E648FC" w:rsidRPr="00D61F73">
              <w:rPr>
                <w:rFonts w:ascii="Arial" w:hAnsi="Arial" w:cs="Arial"/>
                <w:color w:val="FF0000"/>
              </w:rPr>
              <w:t xml:space="preserve"> </w:t>
            </w:r>
            <w:r w:rsidR="00E648FC" w:rsidRPr="00D61F73">
              <w:rPr>
                <w:rFonts w:ascii="Arial" w:hAnsi="Arial" w:cs="Arial"/>
              </w:rPr>
              <w:t>(</w:t>
            </w:r>
            <w:hyperlink w:anchor="Ray2013" w:history="1">
              <w:r w:rsidR="00E648FC" w:rsidRPr="00D61F73">
                <w:rPr>
                  <w:rStyle w:val="Hyperlink"/>
                  <w:rFonts w:ascii="Arial" w:hAnsi="Arial" w:cs="Arial"/>
                </w:rPr>
                <w:t>Ray, 2013</w:t>
              </w:r>
            </w:hyperlink>
            <w:r w:rsidR="00E648FC" w:rsidRPr="00D61F73">
              <w:rPr>
                <w:rFonts w:ascii="Arial" w:hAnsi="Arial" w:cs="Arial"/>
              </w:rPr>
              <w:t xml:space="preserve">) See also specific </w:t>
            </w:r>
            <w:hyperlink w:anchor="Opioidsspecificdruglist" w:history="1">
              <w:r w:rsidR="00E648FC" w:rsidRPr="00D61F73">
                <w:rPr>
                  <w:rStyle w:val="Hyperlink"/>
                  <w:rFonts w:ascii="Arial" w:hAnsi="Arial" w:cs="Arial"/>
                </w:rPr>
                <w:t>Codeine</w:t>
              </w:r>
            </w:hyperlink>
            <w:r w:rsidR="00E648FC" w:rsidRPr="00D61F73">
              <w:rPr>
                <w:rFonts w:ascii="Arial" w:hAnsi="Arial" w:cs="Arial"/>
              </w:rPr>
              <w:t xml:space="preserve"> (Tylenol with Codeine®) listing for more information and references. </w:t>
            </w:r>
          </w:p>
          <w:p w14:paraId="36B58549" w14:textId="77777777" w:rsidR="00E648FC" w:rsidRPr="00D61F73" w:rsidRDefault="00E648FC" w:rsidP="00D61F73">
            <w:pPr>
              <w:pStyle w:val="BodyText"/>
              <w:rPr>
                <w:rFonts w:ascii="Arial" w:hAnsi="Arial" w:cs="Arial"/>
                <w:b w:val="0"/>
                <w:bCs w:val="0"/>
              </w:rPr>
            </w:pPr>
            <w:r w:rsidRPr="00D61F73">
              <w:rPr>
                <w:rFonts w:ascii="Arial" w:hAnsi="Arial" w:cs="Arial"/>
                <w:b w:val="0"/>
                <w:bCs w:val="0"/>
                <w:i/>
              </w:rPr>
              <w:t xml:space="preserve">Adverse effects: </w:t>
            </w:r>
            <w:r w:rsidRPr="00D61F73">
              <w:rPr>
                <w:rFonts w:ascii="Arial" w:hAnsi="Arial" w:cs="Arial"/>
                <w:b w:val="0"/>
                <w:bCs w:val="0"/>
              </w:rPr>
              <w:t>Common effects include CNS depression and hypotension. Drowsiness and constipation occur in &gt; 10% of cases. Codeine should be used in caution in patients with a history of drug abuse. Tolerance as well as psychological and physical dependence may occur. Abrupt discontinuation after prolonged use may result in withdrawal. (</w:t>
            </w:r>
            <w:hyperlink w:anchor="AHFSDrugInformation" w:history="1">
              <w:r w:rsidRPr="00D61F73">
                <w:rPr>
                  <w:rStyle w:val="Hyperlink"/>
                  <w:rFonts w:ascii="Arial" w:hAnsi="Arial" w:cs="Arial"/>
                  <w:b w:val="0"/>
                  <w:bCs w:val="0"/>
                </w:rPr>
                <w:t>AHFS Drug Information, 2008</w:t>
              </w:r>
            </w:hyperlink>
            <w:r w:rsidRPr="00D61F73">
              <w:rPr>
                <w:rFonts w:ascii="Arial" w:hAnsi="Arial" w:cs="Arial"/>
                <w:b w:val="0"/>
                <w:bCs w:val="0"/>
              </w:rPr>
              <w:t>) (</w:t>
            </w:r>
            <w:hyperlink w:anchor="ClinicalPharmacology" w:history="1">
              <w:r w:rsidRPr="00D61F73">
                <w:rPr>
                  <w:rStyle w:val="Hyperlink"/>
                  <w:rFonts w:ascii="Arial" w:hAnsi="Arial" w:cs="Arial"/>
                  <w:b w:val="0"/>
                  <w:bCs w:val="0"/>
                </w:rPr>
                <w:t>Clinical Pharmacology, 2008</w:t>
              </w:r>
            </w:hyperlink>
            <w:r w:rsidRPr="00D61F73">
              <w:rPr>
                <w:rFonts w:ascii="Arial" w:hAnsi="Arial" w:cs="Arial"/>
                <w:b w:val="0"/>
                <w:bCs w:val="0"/>
              </w:rPr>
              <w:t>) (</w:t>
            </w:r>
            <w:hyperlink w:anchor="LexiComp" w:history="1">
              <w:r w:rsidRPr="00D61F73">
                <w:rPr>
                  <w:rStyle w:val="Hyperlink"/>
                  <w:rFonts w:ascii="Arial" w:hAnsi="Arial" w:cs="Arial"/>
                  <w:b w:val="0"/>
                  <w:bCs w:val="0"/>
                </w:rPr>
                <w:t>Lexi-Comp, 2008</w:t>
              </w:r>
            </w:hyperlink>
            <w:r w:rsidRPr="00D61F73">
              <w:rPr>
                <w:rFonts w:ascii="Arial" w:hAnsi="Arial" w:cs="Arial"/>
                <w:b w:val="0"/>
                <w:bCs w:val="0"/>
              </w:rPr>
              <w:t>)</w:t>
            </w:r>
          </w:p>
        </w:tc>
      </w:tr>
      <w:tr w:rsidR="00E648FC" w:rsidRPr="00D61F73" w14:paraId="356771A2" w14:textId="77777777" w:rsidTr="0078164D">
        <w:tc>
          <w:tcPr>
            <w:tcW w:w="1086" w:type="pct"/>
          </w:tcPr>
          <w:p w14:paraId="2D4C0BC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45" w:name="Cognitiveintervention"/>
            <w:bookmarkStart w:id="146" w:name="Cognitivebehaviourtherapy"/>
            <w:bookmarkStart w:id="147" w:name="Cognitivebehavioraltherapy"/>
            <w:bookmarkEnd w:id="145"/>
            <w:bookmarkEnd w:id="146"/>
            <w:bookmarkEnd w:id="147"/>
            <w:r w:rsidRPr="00D61F73">
              <w:rPr>
                <w:rFonts w:ascii="Arial" w:hAnsi="Arial" w:cs="Arial"/>
              </w:rPr>
              <w:t xml:space="preserve">ognitive behavioral therapy </w:t>
            </w:r>
          </w:p>
        </w:tc>
        <w:tc>
          <w:tcPr>
            <w:tcW w:w="3914" w:type="pct"/>
          </w:tcPr>
          <w:p w14:paraId="596C939A" w14:textId="13F04831"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sections on </w:t>
            </w:r>
            <w:hyperlink w:anchor="Behavioralinterventions" w:history="1">
              <w:r w:rsidRPr="00D61F73">
                <w:rPr>
                  <w:rStyle w:val="Hyperlink"/>
                  <w:rFonts w:ascii="Arial" w:hAnsi="Arial" w:cs="Arial"/>
                  <w:b w:val="0"/>
                </w:rPr>
                <w:t>Behavioral interventions/ Cognitive Behavioral Therapy (CBT)</w:t>
              </w:r>
            </w:hyperlink>
            <w:r w:rsidRPr="00D61F73">
              <w:rPr>
                <w:rFonts w:ascii="Arial" w:hAnsi="Arial" w:cs="Arial"/>
                <w:b w:val="0"/>
              </w:rPr>
              <w:t xml:space="preserve">, </w:t>
            </w:r>
            <w:hyperlink w:anchor="Psychologicaltreatment" w:history="1">
              <w:r w:rsidRPr="00D61F73">
                <w:rPr>
                  <w:rStyle w:val="Hyperlink"/>
                  <w:rFonts w:ascii="Arial" w:hAnsi="Arial" w:cs="Arial"/>
                  <w:b w:val="0"/>
                  <w:bCs w:val="0"/>
                </w:rPr>
                <w:t>Pyschological treatment</w:t>
              </w:r>
            </w:hyperlink>
            <w:r w:rsidRPr="00D61F73">
              <w:rPr>
                <w:rFonts w:ascii="Arial" w:hAnsi="Arial" w:cs="Arial"/>
                <w:b w:val="0"/>
                <w:bCs w:val="0"/>
              </w:rPr>
              <w:t xml:space="preserve"> , and </w:t>
            </w:r>
            <w:hyperlink w:anchor="Multidisciplinarytreatment" w:history="1">
              <w:r w:rsidRPr="00D61F73">
                <w:rPr>
                  <w:rStyle w:val="Hyperlink"/>
                  <w:rFonts w:ascii="Arial" w:hAnsi="Arial" w:cs="Arial"/>
                  <w:b w:val="0"/>
                  <w:bCs w:val="0"/>
                </w:rPr>
                <w:t>Multi-disciplinary pain programs</w:t>
              </w:r>
            </w:hyperlink>
            <w:r w:rsidRPr="00D61F73">
              <w:rPr>
                <w:rFonts w:ascii="Arial" w:hAnsi="Arial" w:cs="Arial"/>
                <w:b w:val="0"/>
                <w:bCs w:val="0"/>
              </w:rPr>
              <w:t>.</w:t>
            </w:r>
          </w:p>
        </w:tc>
      </w:tr>
      <w:tr w:rsidR="00E648FC" w:rsidRPr="00D61F73" w14:paraId="5EDE8997" w14:textId="77777777" w:rsidTr="0078164D">
        <w:tc>
          <w:tcPr>
            <w:tcW w:w="1086" w:type="pct"/>
          </w:tcPr>
          <w:p w14:paraId="5C7F22E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Cold lasers</w:t>
            </w:r>
          </w:p>
        </w:tc>
        <w:tc>
          <w:tcPr>
            <w:tcW w:w="3914" w:type="pct"/>
          </w:tcPr>
          <w:p w14:paraId="146AC399" w14:textId="10D3F79F" w:rsidR="00C939FA"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Lowlevellasertherapy" w:history="1">
              <w:r w:rsidRPr="00D61F73">
                <w:rPr>
                  <w:rStyle w:val="Hyperlink"/>
                  <w:rFonts w:ascii="Arial" w:hAnsi="Arial" w:cs="Arial"/>
                  <w:b w:val="0"/>
                  <w:bCs w:val="0"/>
                </w:rPr>
                <w:t>Low level laser therapy</w:t>
              </w:r>
            </w:hyperlink>
            <w:r w:rsidRPr="00D61F73">
              <w:rPr>
                <w:rFonts w:ascii="Arial" w:hAnsi="Arial" w:cs="Arial"/>
                <w:b w:val="0"/>
                <w:bCs w:val="0"/>
              </w:rPr>
              <w:t xml:space="preserve"> (LLLT).</w:t>
            </w:r>
          </w:p>
        </w:tc>
      </w:tr>
      <w:tr w:rsidR="00E648FC" w:rsidRPr="00D61F73" w14:paraId="2A6F9B58" w14:textId="77777777" w:rsidTr="00FE64C0">
        <w:trPr>
          <w:trHeight w:val="4043"/>
        </w:trPr>
        <w:tc>
          <w:tcPr>
            <w:tcW w:w="1086" w:type="pct"/>
          </w:tcPr>
          <w:p w14:paraId="1A514AD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48" w:name="Comorbidpsychiatricdisorders"/>
            <w:bookmarkEnd w:id="148"/>
            <w:r w:rsidRPr="00D61F73">
              <w:rPr>
                <w:rFonts w:ascii="Arial" w:hAnsi="Arial" w:cs="Arial"/>
              </w:rPr>
              <w:t>omorbid psychiatric disorders</w:t>
            </w:r>
          </w:p>
        </w:tc>
        <w:tc>
          <w:tcPr>
            <w:tcW w:w="3914" w:type="pct"/>
          </w:tcPr>
          <w:p w14:paraId="3BB1AE11" w14:textId="5F55402D" w:rsidR="00FE64C0" w:rsidRPr="00D61F73" w:rsidRDefault="00E648FC" w:rsidP="00D61F73">
            <w:pPr>
              <w:pStyle w:val="BodyText"/>
              <w:rPr>
                <w:rFonts w:ascii="Arial" w:hAnsi="Arial" w:cs="Arial"/>
                <w:b w:val="0"/>
                <w:bCs w:val="0"/>
              </w:rPr>
            </w:pPr>
            <w:r w:rsidRPr="00D61F73">
              <w:rPr>
                <w:rFonts w:ascii="Arial" w:hAnsi="Arial" w:cs="Arial"/>
                <w:b w:val="0"/>
                <w:bCs w:val="0"/>
              </w:rPr>
              <w:t xml:space="preserve">Recommend screening for psychiatric disorders for patients with chronic unexplained pain, </w:t>
            </w:r>
            <w:r w:rsidR="00584787" w:rsidRPr="00D61F73">
              <w:rPr>
                <w:rFonts w:ascii="Arial" w:hAnsi="Arial" w:cs="Arial"/>
                <w:b w:val="0"/>
                <w:bCs w:val="0"/>
              </w:rPr>
              <w:t>delayed recovery</w:t>
            </w:r>
            <w:r w:rsidRPr="00D61F73">
              <w:rPr>
                <w:rFonts w:ascii="Arial" w:hAnsi="Arial" w:cs="Arial"/>
                <w:b w:val="0"/>
                <w:bCs w:val="0"/>
              </w:rPr>
              <w:t>, poor response to treatment. Comorbid psychiatric disorders commonly occur in chronic pain patients. In a study of chronic disabling occupational spinal disorders in a large tertiary referral center, the overall prevalence of psychiatric disorders was 65% (not including pain disorder) compared to 15% in the general population. These included major depressive disorder (56%), substance abuse disorder (14%), anxiety disorders (11%), and axis II personality disorders (70%). (</w:t>
            </w:r>
            <w:hyperlink w:anchor="Dersh" w:history="1">
              <w:r w:rsidRPr="00D61F73">
                <w:rPr>
                  <w:rStyle w:val="Hyperlink"/>
                  <w:rFonts w:ascii="Arial" w:hAnsi="Arial" w:cs="Arial"/>
                  <w:b w:val="0"/>
                  <w:bCs w:val="0"/>
                </w:rPr>
                <w:t>Dersh, 2006</w:t>
              </w:r>
            </w:hyperlink>
            <w:r w:rsidRPr="00D61F73">
              <w:rPr>
                <w:rFonts w:ascii="Arial" w:hAnsi="Arial" w:cs="Arial"/>
                <w:b w:val="0"/>
                <w:bCs w:val="0"/>
              </w:rPr>
              <w:t>) When examined more specifically in an earlier study, results showed that 83% of major depression cases and 90% of opioid abuse cases developed after the musculoskeletal injury. On the other hand, 74% of substance abuse disorders and most anxiety disorders developed before the injury. This topic was also studied using the National Comorbidity Survey Replication (NCS-R), a national face-to-face household survey. (</w:t>
            </w:r>
            <w:hyperlink w:anchor="Dersh2" w:history="1">
              <w:r w:rsidRPr="00D61F73">
                <w:rPr>
                  <w:rStyle w:val="Hyperlink"/>
                  <w:rFonts w:ascii="Arial" w:hAnsi="Arial" w:cs="Arial"/>
                  <w:b w:val="0"/>
                  <w:bCs w:val="0"/>
                </w:rPr>
                <w:t>Dersh, 2002</w:t>
              </w:r>
            </w:hyperlink>
            <w:r w:rsidRPr="00D61F73">
              <w:rPr>
                <w:rFonts w:ascii="Arial" w:hAnsi="Arial" w:cs="Arial"/>
                <w:b w:val="0"/>
                <w:bCs w:val="0"/>
              </w:rPr>
              <w:t xml:space="preserve">) See also </w:t>
            </w:r>
            <w:hyperlink w:anchor="Psychologicalevaluations" w:history="1">
              <w:r w:rsidRPr="00D61F73">
                <w:rPr>
                  <w:rStyle w:val="Hyperlink"/>
                  <w:rFonts w:ascii="Arial" w:hAnsi="Arial" w:cs="Arial"/>
                  <w:b w:val="0"/>
                  <w:bCs w:val="0"/>
                </w:rPr>
                <w:t>Psychological evaluations</w:t>
              </w:r>
            </w:hyperlink>
            <w:r w:rsidRPr="00D61F73">
              <w:rPr>
                <w:rFonts w:ascii="Arial" w:hAnsi="Arial" w:cs="Arial"/>
                <w:b w:val="0"/>
                <w:bCs w:val="0"/>
              </w:rPr>
              <w:t>.</w:t>
            </w:r>
          </w:p>
        </w:tc>
      </w:tr>
      <w:tr w:rsidR="00E648FC" w:rsidRPr="00D61F73" w14:paraId="05DB95DB" w14:textId="77777777" w:rsidTr="0078164D">
        <w:tc>
          <w:tcPr>
            <w:tcW w:w="1086" w:type="pct"/>
          </w:tcPr>
          <w:p w14:paraId="16A7384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49" w:name="Complexregionalpainsyndrome"/>
            <w:bookmarkEnd w:id="149"/>
            <w:r w:rsidRPr="00D61F73">
              <w:rPr>
                <w:rFonts w:ascii="Arial" w:hAnsi="Arial" w:cs="Arial"/>
              </w:rPr>
              <w:t>omplex regional pain syndrome (CRPS)</w:t>
            </w:r>
          </w:p>
        </w:tc>
        <w:tc>
          <w:tcPr>
            <w:tcW w:w="3914" w:type="pct"/>
          </w:tcPr>
          <w:p w14:paraId="28274700"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CRPS" w:history="1">
              <w:r w:rsidRPr="00D61F73">
                <w:rPr>
                  <w:rStyle w:val="Hyperlink"/>
                  <w:rFonts w:ascii="Arial" w:hAnsi="Arial" w:cs="Arial"/>
                  <w:b w:val="0"/>
                  <w:bCs w:val="0"/>
                </w:rPr>
                <w:t>CRPS</w:t>
              </w:r>
            </w:hyperlink>
            <w:r w:rsidRPr="00D61F73">
              <w:rPr>
                <w:rFonts w:ascii="Arial" w:hAnsi="Arial" w:cs="Arial"/>
                <w:b w:val="0"/>
                <w:bCs w:val="0"/>
              </w:rPr>
              <w:t xml:space="preserve"> (complex regional pain syndrome).</w:t>
            </w:r>
          </w:p>
        </w:tc>
      </w:tr>
      <w:tr w:rsidR="00E648FC" w:rsidRPr="00D61F73" w14:paraId="258CA3F9" w14:textId="77777777" w:rsidTr="0078164D">
        <w:tc>
          <w:tcPr>
            <w:tcW w:w="1086" w:type="pct"/>
          </w:tcPr>
          <w:p w14:paraId="5410B7A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0" w:name="Compounddrugs"/>
            <w:bookmarkEnd w:id="150"/>
            <w:r w:rsidRPr="00D61F73">
              <w:rPr>
                <w:rFonts w:ascii="Arial" w:hAnsi="Arial" w:cs="Arial"/>
              </w:rPr>
              <w:t xml:space="preserve">ompound drugs </w:t>
            </w:r>
          </w:p>
          <w:p w14:paraId="2061FA8D" w14:textId="77777777" w:rsidR="00E648FC" w:rsidRPr="00D61F73" w:rsidRDefault="00E648FC" w:rsidP="00D61F73">
            <w:pPr>
              <w:pStyle w:val="Footer"/>
              <w:tabs>
                <w:tab w:val="clear" w:pos="4320"/>
                <w:tab w:val="clear" w:pos="8640"/>
              </w:tabs>
              <w:rPr>
                <w:rFonts w:ascii="Arial" w:hAnsi="Arial" w:cs="Arial"/>
              </w:rPr>
            </w:pPr>
          </w:p>
        </w:tc>
        <w:tc>
          <w:tcPr>
            <w:tcW w:w="3914" w:type="pct"/>
          </w:tcPr>
          <w:p w14:paraId="6356F50A" w14:textId="77777777" w:rsidR="00D3157A" w:rsidRDefault="00E648FC" w:rsidP="00D61F73">
            <w:pPr>
              <w:pStyle w:val="BodyText"/>
              <w:rPr>
                <w:rFonts w:ascii="Arial" w:hAnsi="Arial" w:cs="Arial"/>
                <w:b w:val="0"/>
                <w:bCs w:val="0"/>
              </w:rPr>
            </w:pPr>
            <w:r w:rsidRPr="00D61F73">
              <w:rPr>
                <w:rFonts w:ascii="Arial" w:hAnsi="Arial" w:cs="Arial"/>
                <w:b w:val="0"/>
                <w:bCs w:val="0"/>
              </w:rPr>
              <w:t>Not recommended as a first-line therapy.  In general, commercially available, FDA-approved drugs should be given an adequate trial. If these are found to be ineffective or are contraindicated in individual patients, compound drugs that use FDA-approved ingredients may be considered. (</w:t>
            </w:r>
            <w:hyperlink w:anchor="Wynn2011" w:history="1">
              <w:r w:rsidRPr="00D61F73">
                <w:rPr>
                  <w:rStyle w:val="Hyperlink"/>
                  <w:rFonts w:ascii="Arial" w:hAnsi="Arial" w:cs="Arial"/>
                  <w:b w:val="0"/>
                  <w:bCs w:val="0"/>
                </w:rPr>
                <w:t>Wynn, 2011</w:t>
              </w:r>
            </w:hyperlink>
            <w:r w:rsidRPr="00D61F73">
              <w:rPr>
                <w:rFonts w:ascii="Arial" w:hAnsi="Arial" w:cs="Arial"/>
                <w:b w:val="0"/>
                <w:bCs w:val="0"/>
              </w:rPr>
              <w:t xml:space="preserve">) See specific entries for each ingredient. See also </w:t>
            </w:r>
            <w:hyperlink w:anchor="topicalanalgesicscompounded" w:history="1">
              <w:r w:rsidRPr="00D61F73">
                <w:rPr>
                  <w:rStyle w:val="Hyperlink"/>
                  <w:rFonts w:ascii="Arial" w:hAnsi="Arial" w:cs="Arial"/>
                  <w:b w:val="0"/>
                  <w:bCs w:val="0"/>
                </w:rPr>
                <w:t>Topical analgesics, compounded</w:t>
              </w:r>
            </w:hyperlink>
            <w:r w:rsidRPr="00D61F73">
              <w:rPr>
                <w:rFonts w:ascii="Arial" w:hAnsi="Arial" w:cs="Arial"/>
                <w:b w:val="0"/>
                <w:bCs w:val="0"/>
              </w:rPr>
              <w:t>. Pharmacy compounding has traditionally involved combining drug ingredients to meet the needs of specific patients for medications that are not otherwise commercially available, and it is undertaken on a patient-by-patient basis for patients who, for example, might be allergic to inactive ingredients in FDA-approved drugs or may need a different dosage strength or route of administration. Unlike commercially available drugs, these products are not approved by the FDA but rather are regulated by the state pharmacy board and state law governing the practice of pharmacy. The FDA does not regulate pharmacy-compounded products in recognition of the important public health function performed by traditional compounding. Recently, some pharmacies have been making and marketing stock compound drugs for the WC patient population. Among the FDA “Red Flags” for Enforcement Action on Compounded Drugs is: "Compounding drugs in anticipation of receiving prescriptions, except in very limited quantities in relation to amounts compounded after receiving valid prescriptions." (</w:t>
            </w:r>
            <w:hyperlink r:id="rId51" w:history="1">
              <w:r w:rsidRPr="00D61F73">
                <w:rPr>
                  <w:rStyle w:val="Hyperlink"/>
                  <w:rFonts w:ascii="Arial" w:hAnsi="Arial" w:cs="Arial"/>
                  <w:b w:val="0"/>
                  <w:bCs w:val="0"/>
                </w:rPr>
                <w:t>FDA, 2011</w:t>
              </w:r>
            </w:hyperlink>
            <w:r w:rsidRPr="00D61F73">
              <w:rPr>
                <w:rFonts w:ascii="Arial" w:hAnsi="Arial" w:cs="Arial"/>
                <w:b w:val="0"/>
                <w:bCs w:val="0"/>
              </w:rPr>
              <w:t xml:space="preserve">) Compound topical analgesics may provide relief by acting locally over the painful site with lower risk of systemic adverse effects on the gastrointestinal system and drug interactions than oral NSAIDs. The issues surrounding compound drugs are due to uncertainties regarding whether the products are medically appropriate and whether payments are reasonable, with the latter issue possibly also involving who dispenses the drug. </w:t>
            </w:r>
          </w:p>
          <w:p w14:paraId="110E1EF7" w14:textId="77777777" w:rsidR="00D3157A" w:rsidRDefault="00D3157A" w:rsidP="00D61F73">
            <w:pPr>
              <w:pStyle w:val="BodyText"/>
              <w:rPr>
                <w:rFonts w:ascii="Arial" w:hAnsi="Arial" w:cs="Arial"/>
                <w:b w:val="0"/>
                <w:bCs w:val="0"/>
              </w:rPr>
            </w:pPr>
          </w:p>
          <w:p w14:paraId="6041D178" w14:textId="7322929A" w:rsidR="00C939FA" w:rsidRDefault="00C939FA" w:rsidP="00D61F73">
            <w:pPr>
              <w:pStyle w:val="BodyText"/>
              <w:rPr>
                <w:rFonts w:ascii="Arial" w:hAnsi="Arial" w:cs="Arial"/>
                <w:b w:val="0"/>
                <w:bCs w:val="0"/>
              </w:rPr>
            </w:pPr>
          </w:p>
          <w:p w14:paraId="65C6982F" w14:textId="77777777" w:rsidR="00D3157A" w:rsidRDefault="00D3157A" w:rsidP="00D61F73">
            <w:pPr>
              <w:pStyle w:val="BodyText"/>
              <w:rPr>
                <w:rFonts w:ascii="Arial" w:hAnsi="Arial" w:cs="Arial"/>
                <w:b w:val="0"/>
                <w:bCs w:val="0"/>
              </w:rPr>
            </w:pPr>
          </w:p>
          <w:p w14:paraId="3C4F103A" w14:textId="4955FB28" w:rsidR="002326F2" w:rsidRDefault="00E648FC" w:rsidP="00D61F73">
            <w:pPr>
              <w:pStyle w:val="BodyText"/>
              <w:rPr>
                <w:rFonts w:ascii="Arial" w:hAnsi="Arial" w:cs="Arial"/>
                <w:b w:val="0"/>
                <w:bCs w:val="0"/>
              </w:rPr>
            </w:pPr>
            <w:r w:rsidRPr="00D61F73">
              <w:rPr>
                <w:rFonts w:ascii="Arial" w:hAnsi="Arial" w:cs="Arial"/>
                <w:b w:val="0"/>
                <w:bCs w:val="0"/>
              </w:rPr>
              <w:lastRenderedPageBreak/>
              <w:t xml:space="preserve">Medical necessity should be based on the patient's needs combined with the medical and scientific evidence presented in ODG. See also </w:t>
            </w:r>
            <w:hyperlink w:anchor="Copackdrugs" w:history="1">
              <w:r w:rsidRPr="00D61F73">
                <w:rPr>
                  <w:rStyle w:val="Hyperlink"/>
                  <w:rFonts w:ascii="Arial" w:hAnsi="Arial" w:cs="Arial"/>
                  <w:b w:val="0"/>
                  <w:bCs w:val="0"/>
                </w:rPr>
                <w:t>Co-pack drugs</w:t>
              </w:r>
            </w:hyperlink>
            <w:r w:rsidRPr="00D61F73">
              <w:rPr>
                <w:rFonts w:ascii="Arial" w:hAnsi="Arial" w:cs="Arial"/>
                <w:b w:val="0"/>
                <w:bCs w:val="0"/>
              </w:rPr>
              <w:t xml:space="preserve">; </w:t>
            </w:r>
            <w:hyperlink w:anchor="Medicalfood" w:history="1">
              <w:r w:rsidRPr="00D61F73">
                <w:rPr>
                  <w:rStyle w:val="Hyperlink"/>
                  <w:rFonts w:ascii="Arial" w:hAnsi="Arial" w:cs="Arial"/>
                  <w:b w:val="0"/>
                  <w:bCs w:val="0"/>
                </w:rPr>
                <w:t>Medical foods</w:t>
              </w:r>
            </w:hyperlink>
            <w:r w:rsidRPr="00D61F73">
              <w:rPr>
                <w:rFonts w:ascii="Arial" w:hAnsi="Arial" w:cs="Arial"/>
                <w:b w:val="0"/>
                <w:bCs w:val="0"/>
              </w:rPr>
              <w:t xml:space="preserve">; </w:t>
            </w:r>
            <w:hyperlink w:anchor="Physiciandispenseddrugs" w:history="1">
              <w:r w:rsidRPr="00D61F73">
                <w:rPr>
                  <w:rStyle w:val="Hyperlink"/>
                  <w:rFonts w:ascii="Arial" w:hAnsi="Arial" w:cs="Arial"/>
                  <w:b w:val="0"/>
                  <w:bCs w:val="0"/>
                </w:rPr>
                <w:t>Physician-dispensed drugs</w:t>
              </w:r>
            </w:hyperlink>
            <w:r w:rsidRPr="00D61F73">
              <w:rPr>
                <w:rFonts w:ascii="Arial" w:hAnsi="Arial" w:cs="Arial"/>
                <w:b w:val="0"/>
                <w:bCs w:val="0"/>
              </w:rPr>
              <w:t xml:space="preserve">; </w:t>
            </w:r>
            <w:hyperlink w:anchor="Repackageddrugs" w:history="1">
              <w:r w:rsidRPr="00D61F73">
                <w:rPr>
                  <w:rStyle w:val="Hyperlink"/>
                  <w:rFonts w:ascii="Arial" w:hAnsi="Arial" w:cs="Arial"/>
                  <w:b w:val="0"/>
                  <w:bCs w:val="0"/>
                </w:rPr>
                <w:t>Repackaged drugs</w:t>
              </w:r>
            </w:hyperlink>
            <w:r w:rsidRPr="00D61F73">
              <w:rPr>
                <w:rFonts w:ascii="Arial" w:hAnsi="Arial" w:cs="Arial"/>
                <w:b w:val="0"/>
                <w:bCs w:val="0"/>
              </w:rPr>
              <w:t xml:space="preserve">; &amp; </w:t>
            </w:r>
            <w:hyperlink w:anchor="Topicalanalgesicscompounded" w:history="1">
              <w:r w:rsidRPr="00D61F73">
                <w:rPr>
                  <w:rStyle w:val="Hyperlink"/>
                  <w:rFonts w:ascii="Arial" w:hAnsi="Arial" w:cs="Arial"/>
                  <w:b w:val="0"/>
                  <w:bCs w:val="0"/>
                </w:rPr>
                <w:t>Topical analgesics, compounded</w:t>
              </w:r>
            </w:hyperlink>
            <w:r w:rsidRPr="00D61F73">
              <w:rPr>
                <w:rFonts w:ascii="Arial" w:hAnsi="Arial" w:cs="Arial"/>
                <w:b w:val="0"/>
                <w:bCs w:val="0"/>
              </w:rPr>
              <w:t>.</w:t>
            </w:r>
          </w:p>
          <w:p w14:paraId="147C9CAB" w14:textId="77777777" w:rsidR="00C939FA" w:rsidRPr="00D61F73" w:rsidRDefault="00C939FA" w:rsidP="00D61F73">
            <w:pPr>
              <w:pStyle w:val="BodyText"/>
              <w:rPr>
                <w:rFonts w:ascii="Arial" w:hAnsi="Arial" w:cs="Arial"/>
                <w:b w:val="0"/>
                <w:bCs w:val="0"/>
              </w:rPr>
            </w:pPr>
          </w:p>
          <w:p w14:paraId="48B0216D" w14:textId="77777777" w:rsidR="00E648FC" w:rsidRPr="00D61F73" w:rsidRDefault="00E648FC" w:rsidP="00D61F73">
            <w:pPr>
              <w:pStyle w:val="BodyText"/>
              <w:rPr>
                <w:rFonts w:ascii="Arial" w:hAnsi="Arial" w:cs="Arial"/>
              </w:rPr>
            </w:pPr>
            <w:r w:rsidRPr="00D61F73">
              <w:rPr>
                <w:rFonts w:ascii="Arial" w:hAnsi="Arial" w:cs="Arial"/>
              </w:rPr>
              <w:t>Criteria for Compound drugs:</w:t>
            </w:r>
          </w:p>
          <w:p w14:paraId="27FF2EC3"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(1) Include at least one drug substance (or active ingredient) that is the sole active ingredient in an FDA-approved prescription drug, not including OTC drugs.</w:t>
            </w:r>
          </w:p>
          <w:p w14:paraId="03B1B25B"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(2) Include only bulk ingredients that are components of FDA-approved drugs that have been made in an FDA-registered facility and have an NDC code.</w:t>
            </w:r>
          </w:p>
          <w:p w14:paraId="5313F36C"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(3) Is not a drug that was withdrawn or removed from the market for safety reasons.</w:t>
            </w:r>
          </w:p>
          <w:p w14:paraId="3F6E5013"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(4) Is not a copy of a commercially available FDA-approved drug product.</w:t>
            </w:r>
          </w:p>
          <w:p w14:paraId="0602BA94"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(5) Include only drug substances that have been supported as safe and effective for the prescribed indication by the FDA-approval process and/or by adequate medical and scientific evidence in the medical literature. This would allow off-label usage when supported by medical evidence. See specific entries for each ingredient in ODG for the medical and scientific evidence. See also </w:t>
            </w:r>
            <w:hyperlink w:anchor="Topicalanalgesicscompounded" w:history="1">
              <w:r w:rsidRPr="00D61F73">
                <w:rPr>
                  <w:rStyle w:val="Hyperlink"/>
                  <w:rFonts w:ascii="Arial" w:hAnsi="Arial" w:cs="Arial"/>
                  <w:b w:val="0"/>
                  <w:bCs w:val="0"/>
                </w:rPr>
                <w:t>Topical analgesics, compounded</w:t>
              </w:r>
            </w:hyperlink>
            <w:r w:rsidRPr="00D61F73">
              <w:rPr>
                <w:rFonts w:ascii="Arial" w:hAnsi="Arial" w:cs="Arial"/>
                <w:b w:val="0"/>
                <w:bCs w:val="0"/>
              </w:rPr>
              <w:t>.  (</w:t>
            </w:r>
            <w:hyperlink w:anchor="Wynn2011" w:history="1">
              <w:r w:rsidRPr="00D61F73">
                <w:rPr>
                  <w:rStyle w:val="Hyperlink"/>
                  <w:rFonts w:ascii="Arial" w:hAnsi="Arial" w:cs="Arial"/>
                  <w:b w:val="0"/>
                  <w:bCs w:val="0"/>
                </w:rPr>
                <w:t>Wynn, 2011</w:t>
              </w:r>
            </w:hyperlink>
            <w:r w:rsidRPr="00D61F73">
              <w:rPr>
                <w:rFonts w:ascii="Arial" w:hAnsi="Arial" w:cs="Arial"/>
                <w:b w:val="0"/>
                <w:bCs w:val="0"/>
              </w:rPr>
              <w:t>)</w:t>
            </w:r>
          </w:p>
          <w:p w14:paraId="31BC72CB" w14:textId="77777777" w:rsidR="00E648FC" w:rsidRPr="00D61F73" w:rsidRDefault="00E648FC" w:rsidP="00D61F73">
            <w:pPr>
              <w:rPr>
                <w:rFonts w:ascii="Arial" w:hAnsi="Arial" w:cs="Arial"/>
                <w:b/>
                <w:bCs/>
              </w:rPr>
            </w:pPr>
            <w:r w:rsidRPr="00D61F73">
              <w:rPr>
                <w:rFonts w:ascii="Arial" w:hAnsi="Arial" w:cs="Arial"/>
              </w:rPr>
              <w:t xml:space="preserve">(6) Any compounded product that contains at least one drug (or drug class) that is not recommended is not recommended. The use of compounded agents requires knowledge of the specific analgesic effect of each agent and how it will be useful for the specific therapeutic goal required. </w:t>
            </w:r>
            <w:r w:rsidRPr="00D61F73">
              <w:rPr>
                <w:rFonts w:ascii="Arial" w:hAnsi="Arial" w:cs="Arial"/>
                <w:bCs/>
              </w:rPr>
              <w:t xml:space="preserve">See also </w:t>
            </w:r>
            <w:hyperlink w:anchor="Topicalanalgesicscompounded" w:history="1">
              <w:r w:rsidRPr="00D61F73">
                <w:rPr>
                  <w:rStyle w:val="Hyperlink"/>
                  <w:rFonts w:ascii="Arial" w:hAnsi="Arial" w:cs="Arial"/>
                  <w:bCs/>
                </w:rPr>
                <w:t>Topical analgesics, compounded</w:t>
              </w:r>
            </w:hyperlink>
            <w:r w:rsidRPr="00D61F73">
              <w:rPr>
                <w:rFonts w:ascii="Arial" w:hAnsi="Arial" w:cs="Arial"/>
                <w:bCs/>
              </w:rPr>
              <w:t>.  (</w:t>
            </w:r>
            <w:hyperlink w:anchor="Wynn2011" w:history="1">
              <w:r w:rsidRPr="00D61F73">
                <w:rPr>
                  <w:rStyle w:val="Hyperlink"/>
                  <w:rFonts w:ascii="Arial" w:hAnsi="Arial" w:cs="Arial"/>
                  <w:bCs/>
                </w:rPr>
                <w:t>Wynn, 2011</w:t>
              </w:r>
            </w:hyperlink>
            <w:r w:rsidRPr="00D61F73">
              <w:rPr>
                <w:rFonts w:ascii="Arial" w:hAnsi="Arial" w:cs="Arial"/>
                <w:bCs/>
              </w:rPr>
              <w:t>)</w:t>
            </w:r>
            <w:r w:rsidR="00031AD5" w:rsidRPr="00D61F73" w:rsidDel="00031AD5">
              <w:rPr>
                <w:rFonts w:ascii="Arial" w:hAnsi="Arial" w:cs="Arial"/>
                <w:bCs/>
              </w:rPr>
              <w:t xml:space="preserve"> </w:t>
            </w:r>
          </w:p>
        </w:tc>
      </w:tr>
      <w:tr w:rsidR="00E648FC" w:rsidRPr="00D61F73" w14:paraId="3C874A1A" w14:textId="77777777" w:rsidTr="0078164D">
        <w:tc>
          <w:tcPr>
            <w:tcW w:w="1086" w:type="pct"/>
          </w:tcPr>
          <w:p w14:paraId="1F7B533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51" w:name="Compoundedtopicalanalgesics"/>
            <w:bookmarkEnd w:id="151"/>
            <w:r w:rsidRPr="00D61F73">
              <w:rPr>
                <w:rFonts w:ascii="Arial" w:hAnsi="Arial" w:cs="Arial"/>
              </w:rPr>
              <w:t>ompounded topical analgesics</w:t>
            </w:r>
          </w:p>
        </w:tc>
        <w:tc>
          <w:tcPr>
            <w:tcW w:w="3914" w:type="pct"/>
          </w:tcPr>
          <w:p w14:paraId="59340A98"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Topicalanalgesicscompounded" w:history="1">
              <w:r w:rsidRPr="00D61F73">
                <w:rPr>
                  <w:rStyle w:val="Hyperlink"/>
                  <w:rFonts w:ascii="Arial" w:hAnsi="Arial" w:cs="Arial"/>
                  <w:b w:val="0"/>
                  <w:bCs w:val="0"/>
                </w:rPr>
                <w:t>Topical analgesics, compounded</w:t>
              </w:r>
            </w:hyperlink>
            <w:r w:rsidRPr="00D61F73">
              <w:rPr>
                <w:rFonts w:ascii="Arial" w:hAnsi="Arial" w:cs="Arial"/>
                <w:b w:val="0"/>
                <w:bCs w:val="0"/>
              </w:rPr>
              <w:t>.</w:t>
            </w:r>
          </w:p>
        </w:tc>
      </w:tr>
      <w:tr w:rsidR="00E648FC" w:rsidRPr="00D61F73" w14:paraId="6097B5F4" w14:textId="77777777" w:rsidTr="0078164D">
        <w:tc>
          <w:tcPr>
            <w:tcW w:w="1086" w:type="pct"/>
          </w:tcPr>
          <w:p w14:paraId="2D329BF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2" w:name="Constipation"/>
            <w:bookmarkEnd w:id="152"/>
            <w:r w:rsidRPr="00D61F73">
              <w:rPr>
                <w:rFonts w:ascii="Arial" w:hAnsi="Arial" w:cs="Arial"/>
              </w:rPr>
              <w:t>onstipation</w:t>
            </w:r>
          </w:p>
        </w:tc>
        <w:tc>
          <w:tcPr>
            <w:tcW w:w="3914" w:type="pct"/>
          </w:tcPr>
          <w:p w14:paraId="09962861" w14:textId="1DACBD6F"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Opioidinducedconstiptx" w:history="1">
              <w:r w:rsidRPr="00D61F73">
                <w:rPr>
                  <w:rStyle w:val="Hyperlink"/>
                  <w:rFonts w:ascii="Arial" w:hAnsi="Arial" w:cs="Arial"/>
                  <w:b w:val="0"/>
                  <w:bCs w:val="0"/>
                </w:rPr>
                <w:t>Opioid-induced constipation treatment</w:t>
              </w:r>
            </w:hyperlink>
            <w:r w:rsidRPr="00D61F73">
              <w:rPr>
                <w:rFonts w:ascii="Arial" w:hAnsi="Arial" w:cs="Arial"/>
                <w:b w:val="0"/>
                <w:bCs w:val="0"/>
              </w:rPr>
              <w:t>.</w:t>
            </w:r>
          </w:p>
        </w:tc>
      </w:tr>
      <w:tr w:rsidR="00E648FC" w:rsidRPr="00D61F73" w14:paraId="0CFBCD69" w14:textId="77777777" w:rsidTr="0078164D">
        <w:tc>
          <w:tcPr>
            <w:tcW w:w="1086" w:type="pct"/>
          </w:tcPr>
          <w:p w14:paraId="372C2BA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3" w:name="ConZip"/>
            <w:bookmarkEnd w:id="153"/>
            <w:r w:rsidRPr="00D61F73">
              <w:rPr>
                <w:rFonts w:ascii="Arial" w:hAnsi="Arial" w:cs="Arial"/>
              </w:rPr>
              <w:t xml:space="preserve">onZip (tramadol ER) </w:t>
            </w:r>
          </w:p>
          <w:p w14:paraId="34929F19"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Pr>
          <w:p w14:paraId="77EE533A" w14:textId="4B83EB4E" w:rsidR="00E648FC" w:rsidRPr="00D61F73" w:rsidRDefault="0061527A" w:rsidP="00D61F73">
            <w:pPr>
              <w:pStyle w:val="BodyText"/>
              <w:rPr>
                <w:rFonts w:ascii="Arial" w:hAnsi="Arial" w:cs="Arial"/>
                <w:b w:val="0"/>
                <w:bCs w:val="0"/>
              </w:rPr>
            </w:pPr>
            <w:r w:rsidRPr="00D61F73">
              <w:rPr>
                <w:rFonts w:ascii="Arial" w:hAnsi="Arial" w:cs="Arial"/>
                <w:b w:val="0"/>
              </w:rPr>
              <w:t xml:space="preserve">See </w:t>
            </w:r>
            <w:r w:rsidR="004F1761" w:rsidRPr="00D61F73">
              <w:rPr>
                <w:rFonts w:ascii="Arial" w:hAnsi="Arial" w:cs="Arial"/>
                <w:b w:val="0"/>
              </w:rPr>
              <w:t>MTUS</w:t>
            </w:r>
            <w:r w:rsidR="003F46DB" w:rsidRPr="00D61F73">
              <w:rPr>
                <w:rFonts w:ascii="Arial" w:hAnsi="Arial" w:cs="Arial"/>
                <w:b w:val="0"/>
              </w:rPr>
              <w:t xml:space="preserve"> Opioids Treatment Guidelines </w:t>
            </w:r>
            <w:r w:rsidRPr="00D61F73">
              <w:rPr>
                <w:rFonts w:ascii="Arial" w:hAnsi="Arial" w:cs="Arial"/>
                <w:b w:val="0"/>
              </w:rPr>
              <w:t>for guidance on the use of opioids in general</w:t>
            </w:r>
            <w:r w:rsidR="003F03EA" w:rsidRPr="00D61F73">
              <w:rPr>
                <w:rFonts w:ascii="Arial" w:hAnsi="Arial" w:cs="Arial"/>
                <w:b w:val="0"/>
              </w:rPr>
              <w:t>.</w:t>
            </w:r>
            <w:r w:rsidRPr="00D61F73">
              <w:rPr>
                <w:rFonts w:ascii="Arial" w:hAnsi="Arial" w:cs="Arial"/>
              </w:rPr>
              <w:t xml:space="preserve"> </w:t>
            </w:r>
          </w:p>
        </w:tc>
      </w:tr>
      <w:tr w:rsidR="00E648FC" w:rsidRPr="00D61F73" w14:paraId="60148B59" w14:textId="77777777" w:rsidTr="0078164D">
        <w:tc>
          <w:tcPr>
            <w:tcW w:w="1086" w:type="pct"/>
          </w:tcPr>
          <w:p w14:paraId="3303FA0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4" w:name="Copackdrugs"/>
            <w:bookmarkEnd w:id="154"/>
            <w:r w:rsidRPr="00D61F73">
              <w:rPr>
                <w:rFonts w:ascii="Arial" w:hAnsi="Arial" w:cs="Arial"/>
              </w:rPr>
              <w:t xml:space="preserve">o-pack drugs </w:t>
            </w:r>
          </w:p>
        </w:tc>
        <w:tc>
          <w:tcPr>
            <w:tcW w:w="3914" w:type="pct"/>
          </w:tcPr>
          <w:p w14:paraId="3A9ACF6E" w14:textId="271B56D4"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Co-packs are convenience packaging of a </w:t>
            </w:r>
            <w:hyperlink w:anchor="Medicalfood" w:history="1">
              <w:r w:rsidRPr="00D61F73">
                <w:rPr>
                  <w:rStyle w:val="Hyperlink"/>
                  <w:rFonts w:ascii="Arial" w:hAnsi="Arial" w:cs="Arial"/>
                  <w:b w:val="0"/>
                  <w:bCs w:val="0"/>
                </w:rPr>
                <w:t>medical food</w:t>
              </w:r>
            </w:hyperlink>
            <w:r w:rsidRPr="00D61F73">
              <w:rPr>
                <w:rFonts w:ascii="Arial" w:hAnsi="Arial" w:cs="Arial"/>
                <w:b w:val="0"/>
                <w:bCs w:val="0"/>
              </w:rPr>
              <w:t xml:space="preserve"> product and a generic drug into a single package that requires a prescription. There is no evidence to support the medical necessity of co-packs, as there are no high-quality medical studies to evaluate co-packs on patient outcomes.   Labelers may create a new NDC for the co-pack. While the generic drug is FDA-approved, the co-pack of a medical food and FDA-approved drug is not unless the manufacturer obtains FDA approval for the product as a new drug. See specific entries for each ingredient in ODG. See also </w:t>
            </w:r>
            <w:hyperlink w:anchor="Compounddrugs" w:history="1">
              <w:r w:rsidRPr="00D61F73">
                <w:rPr>
                  <w:rStyle w:val="Hyperlink"/>
                  <w:rFonts w:ascii="Arial" w:hAnsi="Arial" w:cs="Arial"/>
                  <w:b w:val="0"/>
                  <w:bCs w:val="0"/>
                </w:rPr>
                <w:t>Compound drugs</w:t>
              </w:r>
            </w:hyperlink>
            <w:r w:rsidRPr="00D61F73">
              <w:rPr>
                <w:rFonts w:ascii="Arial" w:hAnsi="Arial" w:cs="Arial"/>
                <w:b w:val="0"/>
                <w:bCs w:val="0"/>
              </w:rPr>
              <w:t xml:space="preserve">; </w:t>
            </w:r>
            <w:hyperlink w:anchor="Medicalfood" w:history="1">
              <w:r w:rsidRPr="00D61F73">
                <w:rPr>
                  <w:rStyle w:val="Hyperlink"/>
                  <w:rFonts w:ascii="Arial" w:hAnsi="Arial" w:cs="Arial"/>
                  <w:b w:val="0"/>
                  <w:bCs w:val="0"/>
                </w:rPr>
                <w:t>Medical foods</w:t>
              </w:r>
            </w:hyperlink>
            <w:r w:rsidRPr="00D61F73">
              <w:rPr>
                <w:rFonts w:ascii="Arial" w:hAnsi="Arial" w:cs="Arial"/>
                <w:b w:val="0"/>
                <w:bCs w:val="0"/>
              </w:rPr>
              <w:t xml:space="preserve">; </w:t>
            </w:r>
            <w:hyperlink w:anchor="Physiciandispenseddrugs" w:history="1">
              <w:r w:rsidRPr="00D61F73">
                <w:rPr>
                  <w:rStyle w:val="Hyperlink"/>
                  <w:rFonts w:ascii="Arial" w:hAnsi="Arial" w:cs="Arial"/>
                  <w:b w:val="0"/>
                  <w:bCs w:val="0"/>
                </w:rPr>
                <w:t>Physician-dispensed drugs</w:t>
              </w:r>
            </w:hyperlink>
            <w:r w:rsidRPr="00D61F73">
              <w:rPr>
                <w:rFonts w:ascii="Arial" w:hAnsi="Arial" w:cs="Arial"/>
                <w:b w:val="0"/>
                <w:bCs w:val="0"/>
              </w:rPr>
              <w:t xml:space="preserve">; </w:t>
            </w:r>
            <w:hyperlink w:anchor="Repackageddrugs" w:history="1">
              <w:r w:rsidRPr="00D61F73">
                <w:rPr>
                  <w:rStyle w:val="Hyperlink"/>
                  <w:rFonts w:ascii="Arial" w:hAnsi="Arial" w:cs="Arial"/>
                  <w:b w:val="0"/>
                  <w:bCs w:val="0"/>
                </w:rPr>
                <w:t>Repackaged drugs</w:t>
              </w:r>
            </w:hyperlink>
            <w:r w:rsidRPr="00D61F73">
              <w:rPr>
                <w:rFonts w:ascii="Arial" w:hAnsi="Arial" w:cs="Arial"/>
                <w:b w:val="0"/>
                <w:bCs w:val="0"/>
              </w:rPr>
              <w:t>.</w:t>
            </w:r>
          </w:p>
        </w:tc>
      </w:tr>
      <w:tr w:rsidR="00E648FC" w:rsidRPr="00D61F73" w14:paraId="0E8DB680" w14:textId="77777777" w:rsidTr="0078164D">
        <w:tc>
          <w:tcPr>
            <w:tcW w:w="1086" w:type="pct"/>
          </w:tcPr>
          <w:p w14:paraId="0F32ADC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Corticosteroids</w:t>
            </w:r>
          </w:p>
        </w:tc>
        <w:tc>
          <w:tcPr>
            <w:tcW w:w="3914" w:type="pct"/>
          </w:tcPr>
          <w:p w14:paraId="26405F1E" w14:textId="1EE6F2EB" w:rsidR="00E648FC" w:rsidRPr="00D61F73" w:rsidRDefault="00E648FC" w:rsidP="00D61F73">
            <w:pPr>
              <w:pStyle w:val="BodyText"/>
              <w:rPr>
                <w:rFonts w:ascii="Arial" w:hAnsi="Arial" w:cs="Arial"/>
                <w:b w:val="0"/>
                <w:bCs w:val="0"/>
                <w:color w:val="FF0000"/>
              </w:rPr>
            </w:pPr>
            <w:r w:rsidRPr="00D61F73">
              <w:rPr>
                <w:rFonts w:ascii="Arial" w:hAnsi="Arial" w:cs="Arial"/>
                <w:b w:val="0"/>
                <w:bCs w:val="0"/>
              </w:rPr>
              <w:t xml:space="preserve">See </w:t>
            </w:r>
            <w:hyperlink w:anchor="Oralcorticosteroids" w:history="1">
              <w:r w:rsidRPr="00D61F73">
                <w:rPr>
                  <w:rStyle w:val="Hyperlink"/>
                  <w:rFonts w:ascii="Arial" w:hAnsi="Arial" w:cs="Arial"/>
                  <w:b w:val="0"/>
                  <w:bCs w:val="0"/>
                </w:rPr>
                <w:t>Oral corticosteroids</w:t>
              </w:r>
            </w:hyperlink>
            <w:r w:rsidRPr="00D61F73">
              <w:rPr>
                <w:rFonts w:ascii="Arial" w:hAnsi="Arial" w:cs="Arial"/>
                <w:b w:val="0"/>
                <w:bCs w:val="0"/>
              </w:rPr>
              <w:t xml:space="preserve">; </w:t>
            </w:r>
            <w:hyperlink w:anchor="Injectionwithanaestheticsandorsteroids" w:history="1">
              <w:r w:rsidRPr="00D61F73">
                <w:rPr>
                  <w:rStyle w:val="Hyperlink"/>
                  <w:rFonts w:ascii="Arial" w:hAnsi="Arial" w:cs="Arial"/>
                  <w:b w:val="0"/>
                  <w:bCs w:val="0"/>
                </w:rPr>
                <w:t xml:space="preserve">Injection with </w:t>
              </w:r>
              <w:r w:rsidR="006C71F5" w:rsidRPr="00D61F73">
                <w:rPr>
                  <w:rStyle w:val="Hyperlink"/>
                  <w:rFonts w:ascii="Arial" w:hAnsi="Arial" w:cs="Arial"/>
                  <w:b w:val="0"/>
                  <w:bCs w:val="0"/>
                </w:rPr>
                <w:t>anesthetics</w:t>
              </w:r>
              <w:r w:rsidRPr="00D61F73">
                <w:rPr>
                  <w:rStyle w:val="Hyperlink"/>
                  <w:rFonts w:ascii="Arial" w:hAnsi="Arial" w:cs="Arial"/>
                  <w:b w:val="0"/>
                  <w:bCs w:val="0"/>
                </w:rPr>
                <w:t xml:space="preserve"> and/or steroids</w:t>
              </w:r>
            </w:hyperlink>
            <w:r w:rsidRPr="00D61F73">
              <w:rPr>
                <w:rFonts w:ascii="Arial" w:hAnsi="Arial" w:cs="Arial"/>
                <w:b w:val="0"/>
                <w:bCs w:val="0"/>
              </w:rPr>
              <w:t>.</w:t>
            </w:r>
          </w:p>
        </w:tc>
      </w:tr>
      <w:tr w:rsidR="00E648FC" w:rsidRPr="00D61F73" w14:paraId="043D7985" w14:textId="77777777" w:rsidTr="0078164D">
        <w:tc>
          <w:tcPr>
            <w:tcW w:w="1086" w:type="pct"/>
          </w:tcPr>
          <w:p w14:paraId="6D9F139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5" w:name="CRPS"/>
            <w:bookmarkEnd w:id="155"/>
            <w:r w:rsidRPr="00D61F73">
              <w:rPr>
                <w:rFonts w:ascii="Arial" w:hAnsi="Arial" w:cs="Arial"/>
              </w:rPr>
              <w:t>RPS (complex regional pain syndrome)</w:t>
            </w:r>
          </w:p>
        </w:tc>
        <w:tc>
          <w:tcPr>
            <w:tcW w:w="3914" w:type="pct"/>
          </w:tcPr>
          <w:p w14:paraId="0AC0099D"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CRPSpathophysiology" w:history="1">
              <w:r w:rsidRPr="00D61F73">
                <w:rPr>
                  <w:rStyle w:val="Hyperlink"/>
                  <w:rFonts w:ascii="Arial" w:hAnsi="Arial" w:cs="Arial"/>
                  <w:b w:val="0"/>
                  <w:bCs w:val="0"/>
                </w:rPr>
                <w:t>CRPS, pathophysiology</w:t>
              </w:r>
            </w:hyperlink>
            <w:r w:rsidRPr="00D61F73">
              <w:rPr>
                <w:rFonts w:ascii="Arial" w:hAnsi="Arial" w:cs="Arial"/>
                <w:b w:val="0"/>
                <w:bCs w:val="0"/>
              </w:rPr>
              <w:t xml:space="preserve"> (clinical presentation &amp; diagnostic criteria); </w:t>
            </w:r>
            <w:hyperlink w:anchor="CRPSdiagnostictests" w:history="1">
              <w:r w:rsidRPr="00D61F73">
                <w:rPr>
                  <w:rStyle w:val="Hyperlink"/>
                  <w:rFonts w:ascii="Arial" w:hAnsi="Arial" w:cs="Arial"/>
                  <w:b w:val="0"/>
                  <w:bCs w:val="0"/>
                </w:rPr>
                <w:t>CRPS, diagnostic tests</w:t>
              </w:r>
            </w:hyperlink>
            <w:r w:rsidRPr="00D61F73">
              <w:rPr>
                <w:rFonts w:ascii="Arial" w:hAnsi="Arial" w:cs="Arial"/>
                <w:b w:val="0"/>
                <w:bCs w:val="0"/>
              </w:rPr>
              <w:t xml:space="preserve">; </w:t>
            </w:r>
            <w:hyperlink w:anchor="CRPStreatment" w:history="1">
              <w:r w:rsidRPr="00D61F73">
                <w:rPr>
                  <w:rStyle w:val="Hyperlink"/>
                  <w:rFonts w:ascii="Arial" w:hAnsi="Arial" w:cs="Arial"/>
                  <w:b w:val="0"/>
                  <w:bCs w:val="0"/>
                </w:rPr>
                <w:t>CRPS, treatment</w:t>
              </w:r>
            </w:hyperlink>
            <w:r w:rsidRPr="00D61F73">
              <w:rPr>
                <w:rFonts w:ascii="Arial" w:hAnsi="Arial" w:cs="Arial"/>
                <w:b w:val="0"/>
                <w:bCs w:val="0"/>
              </w:rPr>
              <w:t xml:space="preserve">; </w:t>
            </w:r>
            <w:hyperlink w:anchor="CRPSsympatheticblocks" w:history="1">
              <w:r w:rsidRPr="00D61F73">
                <w:rPr>
                  <w:rStyle w:val="Hyperlink"/>
                  <w:rFonts w:ascii="Arial" w:hAnsi="Arial" w:cs="Arial"/>
                  <w:b w:val="0"/>
                  <w:bCs w:val="0"/>
                </w:rPr>
                <w:t>CRPS, sympathetic blocks</w:t>
              </w:r>
            </w:hyperlink>
            <w:r w:rsidRPr="00D61F73">
              <w:rPr>
                <w:rFonts w:ascii="Arial" w:hAnsi="Arial" w:cs="Arial"/>
                <w:b w:val="0"/>
                <w:bCs w:val="0"/>
              </w:rPr>
              <w:t xml:space="preserve"> (therapeutic); </w:t>
            </w:r>
            <w:hyperlink w:anchor="CRPSmedications" w:history="1">
              <w:r w:rsidRPr="00D61F73">
                <w:rPr>
                  <w:rStyle w:val="Hyperlink"/>
                  <w:rFonts w:ascii="Arial" w:hAnsi="Arial" w:cs="Arial"/>
                  <w:b w:val="0"/>
                  <w:bCs w:val="0"/>
                </w:rPr>
                <w:t>CRPS, medications</w:t>
              </w:r>
            </w:hyperlink>
            <w:r w:rsidRPr="00D61F73">
              <w:rPr>
                <w:rFonts w:ascii="Arial" w:hAnsi="Arial" w:cs="Arial"/>
                <w:b w:val="0"/>
                <w:bCs w:val="0"/>
              </w:rPr>
              <w:t>.</w:t>
            </w:r>
          </w:p>
        </w:tc>
      </w:tr>
      <w:tr w:rsidR="00E648FC" w:rsidRPr="00D61F73" w14:paraId="2C1F00F0" w14:textId="77777777" w:rsidTr="0078164D">
        <w:tc>
          <w:tcPr>
            <w:tcW w:w="1086" w:type="pct"/>
          </w:tcPr>
          <w:p w14:paraId="456BA09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6" w:name="CRPSdiagnosticcriteria"/>
            <w:bookmarkEnd w:id="156"/>
            <w:r w:rsidRPr="00D61F73">
              <w:rPr>
                <w:rFonts w:ascii="Arial" w:hAnsi="Arial" w:cs="Arial"/>
              </w:rPr>
              <w:t>RPS, diagnostic criteria</w:t>
            </w:r>
          </w:p>
        </w:tc>
        <w:tc>
          <w:tcPr>
            <w:tcW w:w="3914" w:type="pct"/>
          </w:tcPr>
          <w:p w14:paraId="4DF0E857" w14:textId="77777777" w:rsidR="00E648FC" w:rsidRDefault="00E648FC" w:rsidP="00D61F73">
            <w:pPr>
              <w:rPr>
                <w:rFonts w:ascii="Arial" w:hAnsi="Arial" w:cs="Arial"/>
                <w:bCs/>
              </w:rPr>
            </w:pPr>
            <w:r w:rsidRPr="00D61F73">
              <w:rPr>
                <w:rFonts w:ascii="Arial" w:hAnsi="Arial" w:cs="Arial"/>
                <w:bCs/>
              </w:rPr>
              <w:t xml:space="preserve">See </w:t>
            </w:r>
            <w:hyperlink w:anchor="CRPSpathophysiology" w:history="1">
              <w:r w:rsidRPr="00D61F73">
                <w:rPr>
                  <w:rStyle w:val="Hyperlink"/>
                  <w:rFonts w:ascii="Arial" w:hAnsi="Arial" w:cs="Arial"/>
                  <w:bCs/>
                </w:rPr>
                <w:t>CRPS, pathophysiology</w:t>
              </w:r>
            </w:hyperlink>
            <w:r w:rsidRPr="00D61F73">
              <w:rPr>
                <w:rFonts w:ascii="Arial" w:hAnsi="Arial" w:cs="Arial"/>
                <w:bCs/>
              </w:rPr>
              <w:t xml:space="preserve"> (clinical presentation &amp; diagnostic criteria).</w:t>
            </w:r>
          </w:p>
          <w:p w14:paraId="2E0E2813" w14:textId="77777777" w:rsidR="00951DC2" w:rsidRDefault="00951DC2" w:rsidP="00D61F73">
            <w:pPr>
              <w:rPr>
                <w:rFonts w:ascii="Arial" w:hAnsi="Arial" w:cs="Arial"/>
                <w:bCs/>
              </w:rPr>
            </w:pPr>
          </w:p>
          <w:p w14:paraId="4CFD4A7A" w14:textId="77777777" w:rsidR="00951DC2" w:rsidRPr="00D61F73" w:rsidRDefault="00951DC2" w:rsidP="00D61F73">
            <w:pPr>
              <w:rPr>
                <w:rFonts w:ascii="Arial" w:hAnsi="Arial" w:cs="Arial"/>
                <w:b/>
                <w:bCs/>
              </w:rPr>
            </w:pPr>
          </w:p>
        </w:tc>
      </w:tr>
      <w:tr w:rsidR="00E648FC" w:rsidRPr="00D61F73" w14:paraId="0DD8DEAB" w14:textId="77777777" w:rsidTr="004368AC">
        <w:tc>
          <w:tcPr>
            <w:tcW w:w="1086" w:type="pct"/>
          </w:tcPr>
          <w:p w14:paraId="3C73D02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57" w:name="CRPSdiagnostictests"/>
            <w:bookmarkEnd w:id="157"/>
            <w:r w:rsidRPr="00D61F73">
              <w:rPr>
                <w:rFonts w:ascii="Arial" w:hAnsi="Arial" w:cs="Arial"/>
              </w:rPr>
              <w:t>RPS, diagnostic tests</w:t>
            </w:r>
          </w:p>
        </w:tc>
        <w:tc>
          <w:tcPr>
            <w:tcW w:w="3914" w:type="pct"/>
            <w:shd w:val="clear" w:color="auto" w:fill="auto"/>
          </w:tcPr>
          <w:p w14:paraId="42044CC4" w14:textId="77777777" w:rsidR="00E648FC" w:rsidRPr="00D61F73" w:rsidRDefault="00E648FC" w:rsidP="00D61F73">
            <w:pPr>
              <w:rPr>
                <w:rFonts w:ascii="Arial" w:eastAsia="Calibri" w:hAnsi="Arial" w:cs="Arial"/>
                <w:color w:val="auto"/>
              </w:rPr>
            </w:pPr>
            <w:r w:rsidRPr="00D61F73">
              <w:rPr>
                <w:rFonts w:ascii="Arial" w:hAnsi="Arial" w:cs="Arial"/>
              </w:rPr>
              <w:t xml:space="preserve">Recommend assessment of clinical findings as the most useful method of establishing the diagnosis. See </w:t>
            </w:r>
            <w:hyperlink w:anchor="CRPSpathophysiology" w:history="1">
              <w:r w:rsidRPr="00D61F73">
                <w:rPr>
                  <w:rStyle w:val="Hyperlink"/>
                  <w:rFonts w:ascii="Arial" w:hAnsi="Arial" w:cs="Arial"/>
                </w:rPr>
                <w:t>CRPS, pathophysiology</w:t>
              </w:r>
            </w:hyperlink>
            <w:r w:rsidRPr="00D61F73">
              <w:rPr>
                <w:rFonts w:ascii="Arial" w:hAnsi="Arial" w:cs="Arial"/>
              </w:rPr>
              <w:t xml:space="preserve"> (clinical presentation &amp; diagnostic criteria). Specific procedures are not generally recommended, except as indicated below. A gold standard for diagnosis of CRPS has not been established and no test has been proven to diagnose this condition. Assessment of clinical findings is currently suggested as the most useful method of establishing the diagnosis. The following procedures have been suggested for use as additional tools for diagnosis, with use based on the patient’s medical presentation. Recent CRPS guidelines do not discuss these tests in general but general information is available at the Reflex Sympathetic Dystrophy Syndrome Association website. (</w:t>
            </w:r>
            <w:hyperlink r:id="rId52" w:history="1">
              <w:r w:rsidRPr="00D61F73">
                <w:rPr>
                  <w:rStyle w:val="Hyperlink"/>
                  <w:rFonts w:ascii="Arial" w:hAnsi="Arial" w:cs="Arial"/>
                </w:rPr>
                <w:t>Aker, 2008</w:t>
              </w:r>
            </w:hyperlink>
            <w:r w:rsidRPr="00D61F73">
              <w:rPr>
                <w:rFonts w:ascii="Arial" w:hAnsi="Arial" w:cs="Arial"/>
              </w:rPr>
              <w:t>) (</w:t>
            </w:r>
            <w:hyperlink w:anchor="Harden2013" w:history="1">
              <w:r w:rsidRPr="00D61F73">
                <w:rPr>
                  <w:rStyle w:val="Hyperlink"/>
                  <w:rFonts w:ascii="Arial" w:hAnsi="Arial" w:cs="Arial"/>
                </w:rPr>
                <w:t>Harden, 2013</w:t>
              </w:r>
            </w:hyperlink>
            <w:r w:rsidRPr="00D61F73">
              <w:rPr>
                <w:rFonts w:ascii="Arial" w:hAnsi="Arial" w:cs="Arial"/>
              </w:rPr>
              <w:t>)</w:t>
            </w:r>
          </w:p>
          <w:p w14:paraId="3A01DFAF" w14:textId="77777777" w:rsidR="00E648FC" w:rsidRPr="00D61F73" w:rsidRDefault="00E648FC" w:rsidP="00D61F73">
            <w:pPr>
              <w:rPr>
                <w:rFonts w:ascii="Arial" w:eastAsia="Calibri" w:hAnsi="Arial" w:cs="Arial"/>
                <w:b/>
                <w:i/>
              </w:rPr>
            </w:pPr>
            <w:r w:rsidRPr="00D61F73">
              <w:rPr>
                <w:rFonts w:ascii="Arial" w:hAnsi="Arial" w:cs="Arial"/>
                <w:b/>
                <w:i/>
              </w:rPr>
              <w:t>Imaging studies</w:t>
            </w:r>
          </w:p>
          <w:p w14:paraId="74EF064D" w14:textId="77777777" w:rsidR="00E648FC" w:rsidRPr="00D61F73" w:rsidRDefault="00E648FC" w:rsidP="00D61F73">
            <w:pPr>
              <w:rPr>
                <w:rFonts w:ascii="Arial" w:eastAsia="Calibri" w:hAnsi="Arial" w:cs="Arial"/>
              </w:rPr>
            </w:pPr>
            <w:r w:rsidRPr="00D61F73">
              <w:rPr>
                <w:rFonts w:ascii="Arial" w:hAnsi="Arial" w:cs="Arial"/>
                <w:i/>
              </w:rPr>
              <w:t xml:space="preserve">Triple-phase bone scans (three-phase bone scintigraphy or TPBS): </w:t>
            </w:r>
            <w:r w:rsidRPr="00D61F73">
              <w:rPr>
                <w:rFonts w:ascii="Arial" w:hAnsi="Arial" w:cs="Arial"/>
              </w:rPr>
              <w:t>Recommended for select patients in early stages to help in confirmation of the diagnosis. Routine use is not recommended. The three phases are referred to as blood flow (first phase injection), blood pool (second phase at approx 2 minutes post injection), and delayed (third phase at approx 3 hours). The diagnosis is suggested when the blood flow and blood pool images show diffuse asymmetric uptake, or when the delayed image indicates increased asymmetric periarticular uptake. There is research to suggest that the delayed phase is the most sensitive for the diagnosis. (</w:t>
            </w:r>
            <w:hyperlink w:anchor="Pankaj2006" w:history="1">
              <w:r w:rsidRPr="00D61F73">
                <w:rPr>
                  <w:rStyle w:val="Hyperlink"/>
                  <w:rFonts w:ascii="Arial" w:hAnsi="Arial" w:cs="Arial"/>
                </w:rPr>
                <w:t>Pankaj, 2006</w:t>
              </w:r>
            </w:hyperlink>
            <w:r w:rsidRPr="00D61F73">
              <w:rPr>
                <w:rFonts w:ascii="Arial" w:hAnsi="Arial" w:cs="Arial"/>
              </w:rPr>
              <w:t>) (</w:t>
            </w:r>
            <w:hyperlink w:anchor="Wüppenhorst2010" w:history="1">
              <w:r w:rsidRPr="00D61F73">
                <w:rPr>
                  <w:rStyle w:val="Hyperlink"/>
                  <w:rFonts w:ascii="Arial" w:hAnsi="Arial" w:cs="Arial"/>
                </w:rPr>
                <w:t>Wüppenhorst, 2010</w:t>
              </w:r>
            </w:hyperlink>
            <w:r w:rsidRPr="00D61F73">
              <w:rPr>
                <w:rFonts w:ascii="Arial" w:hAnsi="Arial" w:cs="Arial"/>
              </w:rPr>
              <w:t>) Osteoporosis is seen at a later duration after the diagnosis is made. A positive test is not necessarily concordant with the presence or absence of CRPS I and the diagnostic value of a positive test for CRPS is considered low from the view point of the Budapest research criteria versus previously used criteria that were less restrictive. (</w:t>
            </w:r>
            <w:hyperlink w:anchor="Moon2012" w:history="1">
              <w:r w:rsidRPr="00D61F73">
                <w:rPr>
                  <w:rStyle w:val="Hyperlink"/>
                  <w:rFonts w:ascii="Arial" w:hAnsi="Arial" w:cs="Arial"/>
                </w:rPr>
                <w:t>Moon 2012</w:t>
              </w:r>
            </w:hyperlink>
            <w:r w:rsidRPr="00D61F73">
              <w:rPr>
                <w:rFonts w:ascii="Arial" w:hAnsi="Arial" w:cs="Arial"/>
              </w:rPr>
              <w:t>) (</w:t>
            </w:r>
            <w:hyperlink w:anchor="Ringer2012" w:history="1">
              <w:r w:rsidRPr="00D61F73">
                <w:rPr>
                  <w:rStyle w:val="Hyperlink"/>
                  <w:rFonts w:ascii="Arial" w:hAnsi="Arial" w:cs="Arial"/>
                </w:rPr>
                <w:t>Ringer, 2012</w:t>
              </w:r>
            </w:hyperlink>
            <w:r w:rsidRPr="00D61F73">
              <w:rPr>
                <w:rFonts w:ascii="Arial" w:hAnsi="Arial" w:cs="Arial"/>
              </w:rPr>
              <w:t>) (</w:t>
            </w:r>
            <w:hyperlink w:anchor="Lee1995" w:history="1">
              <w:r w:rsidRPr="00D61F73">
                <w:rPr>
                  <w:rStyle w:val="Hyperlink"/>
                  <w:rFonts w:ascii="Arial" w:hAnsi="Arial" w:cs="Arial"/>
                </w:rPr>
                <w:t>Lee, 1995</w:t>
              </w:r>
            </w:hyperlink>
            <w:r w:rsidRPr="00D61F73">
              <w:rPr>
                <w:rFonts w:ascii="Arial" w:hAnsi="Arial" w:cs="Arial"/>
              </w:rPr>
              <w:t>) Extremely variable levels of sensitivity are reported with use (in one case as low as 14%). (</w:t>
            </w:r>
            <w:hyperlink w:anchor="Schürmann2007" w:history="1">
              <w:r w:rsidRPr="00D61F73">
                <w:rPr>
                  <w:rStyle w:val="Hyperlink"/>
                  <w:rFonts w:ascii="Arial" w:hAnsi="Arial" w:cs="Arial"/>
                </w:rPr>
                <w:t>Schurmann 2007</w:t>
              </w:r>
            </w:hyperlink>
            <w:r w:rsidRPr="00D61F73">
              <w:rPr>
                <w:rFonts w:ascii="Arial" w:hAnsi="Arial" w:cs="Arial"/>
              </w:rPr>
              <w:t>) The sensitivity of the test is less than its specificity and the former declines with increasing duration of CRPS. Suggestion has been made that TPBS it is most useful in the early duration after diagnosis (4-6 months). (</w:t>
            </w:r>
            <w:hyperlink w:anchor="Wüppenhorst2010" w:history="1">
              <w:r w:rsidRPr="00D61F73">
                <w:rPr>
                  <w:rStyle w:val="Hyperlink"/>
                  <w:rFonts w:ascii="Arial" w:hAnsi="Arial" w:cs="Arial"/>
                </w:rPr>
                <w:t>Wüppenhorst, 2010</w:t>
              </w:r>
            </w:hyperlink>
            <w:r w:rsidRPr="00D61F73">
              <w:rPr>
                <w:rFonts w:ascii="Arial" w:hAnsi="Arial" w:cs="Arial"/>
              </w:rPr>
              <w:t>)</w:t>
            </w:r>
          </w:p>
          <w:p w14:paraId="10D1ADFD" w14:textId="77777777" w:rsidR="00E648FC" w:rsidRPr="00D61F73" w:rsidRDefault="00E648FC" w:rsidP="00D61F73">
            <w:pPr>
              <w:rPr>
                <w:rFonts w:ascii="Arial" w:eastAsia="Calibri" w:hAnsi="Arial" w:cs="Arial"/>
                <w:i/>
              </w:rPr>
            </w:pPr>
            <w:r w:rsidRPr="00D61F73">
              <w:rPr>
                <w:rFonts w:ascii="Arial" w:hAnsi="Arial" w:cs="Arial"/>
                <w:i/>
              </w:rPr>
              <w:t xml:space="preserve">Conditions in which similar findings are noted: </w:t>
            </w:r>
            <w:r w:rsidRPr="00D61F73">
              <w:rPr>
                <w:rFonts w:ascii="Arial" w:hAnsi="Arial" w:cs="Arial"/>
              </w:rPr>
              <w:t>Similar findings can occur with the following pathology: immobilization; denervation; stroke; venous, arterial and/or lymphatic obstruction; and cellulitis. There is also a report of increased articular uptake produced by self-application of a tourniquet on the wrist with resolution of symptoms once a diagnosis of Munchausen’s syndrome was made. (</w:t>
            </w:r>
            <w:hyperlink w:anchor="RodriguezMoreno1990" w:history="1">
              <w:r w:rsidRPr="00D61F73">
                <w:rPr>
                  <w:rStyle w:val="Hyperlink"/>
                  <w:rFonts w:ascii="Arial" w:hAnsi="Arial" w:cs="Arial"/>
                </w:rPr>
                <w:t>Rodriguez-Moreno, 1990</w:t>
              </w:r>
            </w:hyperlink>
            <w:r w:rsidRPr="00D61F73">
              <w:rPr>
                <w:rFonts w:ascii="Arial" w:hAnsi="Arial" w:cs="Arial"/>
              </w:rPr>
              <w:t>)</w:t>
            </w:r>
          </w:p>
          <w:p w14:paraId="570C79AF"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According to the ODG UR Advisor, CPT 78315, 3 phase bone imaging, had a WC Frequency of 23.47% for ICD9 code 337.2, Reflex sympathetic dystrophy (CRPS I), and a WC Frequency of 7.84% for ICD9 code 355, Mononeuritis of lower limb (CRPS II). (</w:t>
            </w:r>
            <w:hyperlink r:id="rId53" w:history="1">
              <w:r w:rsidRPr="00D61F73">
                <w:rPr>
                  <w:rStyle w:val="Hyperlink"/>
                  <w:rFonts w:ascii="Arial" w:eastAsia="Arial Unicode MS" w:hAnsi="Arial" w:cs="Arial"/>
                  <w:lang w:val="en"/>
                </w:rPr>
                <w:t>ODG-UR, 2011</w:t>
              </w:r>
            </w:hyperlink>
            <w:r w:rsidRPr="00D61F73">
              <w:rPr>
                <w:rFonts w:ascii="Arial" w:eastAsia="Arial Unicode MS" w:hAnsi="Arial" w:cs="Arial"/>
                <w:lang w:val="en"/>
              </w:rPr>
              <w:t>)</w:t>
            </w:r>
          </w:p>
          <w:p w14:paraId="14A4FFF3" w14:textId="77777777" w:rsidR="00E648FC" w:rsidRPr="00D61F73" w:rsidRDefault="00E648FC" w:rsidP="00D61F73">
            <w:pPr>
              <w:rPr>
                <w:rFonts w:ascii="Arial" w:eastAsia="Calibri" w:hAnsi="Arial" w:cs="Arial"/>
              </w:rPr>
            </w:pPr>
            <w:r w:rsidRPr="00D61F73">
              <w:rPr>
                <w:rFonts w:ascii="Arial" w:hAnsi="Arial" w:cs="Arial"/>
                <w:i/>
              </w:rPr>
              <w:t xml:space="preserve">MRI: </w:t>
            </w:r>
            <w:r w:rsidRPr="00D61F73">
              <w:rPr>
                <w:rFonts w:ascii="Arial" w:hAnsi="Arial" w:cs="Arial"/>
              </w:rPr>
              <w:t>Not specifically recommended for the diagnosis of CRPS due to low specificity of findings. CRPS findings in hand pathology include bone marrow edema of the carpals, skin edema, uptake of the skin, joint effusion and intraarticular uptake. (</w:t>
            </w:r>
            <w:hyperlink w:anchor="Schürmann2007" w:history="1">
              <w:r w:rsidRPr="00D61F73">
                <w:rPr>
                  <w:rStyle w:val="Hyperlink"/>
                  <w:rFonts w:ascii="Arial" w:hAnsi="Arial" w:cs="Arial"/>
                </w:rPr>
                <w:t>Schurmann, 2007</w:t>
              </w:r>
            </w:hyperlink>
            <w:r w:rsidRPr="00D61F73">
              <w:rPr>
                <w:rFonts w:ascii="Arial" w:hAnsi="Arial" w:cs="Arial"/>
              </w:rPr>
              <w:t>)</w:t>
            </w:r>
          </w:p>
          <w:p w14:paraId="18FBCACC" w14:textId="77777777" w:rsidR="00E648FC" w:rsidRPr="00D61F73" w:rsidRDefault="00E648FC" w:rsidP="00D61F73">
            <w:pPr>
              <w:rPr>
                <w:rFonts w:ascii="Arial" w:eastAsia="Calibri" w:hAnsi="Arial" w:cs="Arial"/>
              </w:rPr>
            </w:pPr>
            <w:r w:rsidRPr="00D61F73">
              <w:rPr>
                <w:rFonts w:ascii="Arial" w:hAnsi="Arial" w:cs="Arial"/>
                <w:i/>
              </w:rPr>
              <w:t xml:space="preserve">Plain film x-rays: </w:t>
            </w:r>
            <w:r w:rsidRPr="00D61F73">
              <w:rPr>
                <w:rFonts w:ascii="Arial" w:hAnsi="Arial" w:cs="Arial"/>
              </w:rPr>
              <w:t xml:space="preserve">Not specifically recommended for the diagnosis of CRPS alone. CRPS findings include soft tissue swelling, osteopenia/osteoporosis (generally patchy earlier in the disease and more generalized at a later </w:t>
            </w:r>
            <w:r w:rsidRPr="00D61F73">
              <w:rPr>
                <w:rFonts w:ascii="Arial" w:hAnsi="Arial" w:cs="Arial"/>
              </w:rPr>
              <w:lastRenderedPageBreak/>
              <w:t>duration), cortical bone resorption and articular erosion. These findings can also be seen with disuse atrophy. Radiographic findings are not considered a screening procedure as changes appear later in the disease, and findings may be seen in other conditions. X-rays of both extremities should be performed for comparison. The procedure may be most useful to evaluate for missed fractures. (</w:t>
            </w:r>
            <w:hyperlink w:anchor="Cappello2012" w:history="1">
              <w:r w:rsidRPr="00D61F73">
                <w:rPr>
                  <w:rStyle w:val="Hyperlink"/>
                  <w:rFonts w:ascii="Arial" w:hAnsi="Arial" w:cs="Arial"/>
                </w:rPr>
                <w:t>Cappello 2012</w:t>
              </w:r>
            </w:hyperlink>
            <w:r w:rsidRPr="00D61F73">
              <w:rPr>
                <w:rFonts w:ascii="Arial" w:hAnsi="Arial" w:cs="Arial"/>
              </w:rPr>
              <w:t xml:space="preserve">) </w:t>
            </w:r>
          </w:p>
          <w:p w14:paraId="0E9FAC75" w14:textId="77777777" w:rsidR="00E648FC" w:rsidRPr="00D61F73" w:rsidRDefault="00E648FC" w:rsidP="00D61F73">
            <w:pPr>
              <w:rPr>
                <w:rFonts w:ascii="Arial" w:eastAsia="Calibri" w:hAnsi="Arial" w:cs="Arial"/>
              </w:rPr>
            </w:pPr>
            <w:r w:rsidRPr="00D61F73">
              <w:rPr>
                <w:rFonts w:ascii="Arial" w:hAnsi="Arial" w:cs="Arial"/>
                <w:b/>
                <w:i/>
              </w:rPr>
              <w:t>Temperature measures</w:t>
            </w:r>
            <w:r w:rsidRPr="00D61F73">
              <w:rPr>
                <w:rFonts w:ascii="Arial" w:hAnsi="Arial" w:cs="Arial"/>
              </w:rPr>
              <w:t>: Temperature differences are dynamic in patients with CRPS due to variables such as intraindividual shifts, with a measure at a single point of time producing an almost random result (in terms of whether the affected limb will be warmer or colder than the non-affected extremity). Skin temperature also appears to be affected by duration of disease, with some research suggesting that the affected extremity is warmer in early stages. Caution is advised since environmental conditions can affect test results. An additional problem is that temperature (and color) changes can be produced with short-term dependency, immobility and vascular or vasomotor diseases. With the addition of cold water immersion at 15 degrees C for 15 minutes the submerged hand remains cooler at 60 minutes. (</w:t>
            </w:r>
            <w:hyperlink w:anchor="Wasner2001" w:history="1">
              <w:r w:rsidRPr="00D61F73">
                <w:rPr>
                  <w:rStyle w:val="Hyperlink"/>
                  <w:rFonts w:ascii="Arial" w:hAnsi="Arial" w:cs="Arial"/>
                </w:rPr>
                <w:t>Wasner, 2001</w:t>
              </w:r>
            </w:hyperlink>
            <w:r w:rsidRPr="00D61F73">
              <w:rPr>
                <w:rFonts w:ascii="Arial" w:hAnsi="Arial" w:cs="Arial"/>
              </w:rPr>
              <w:t>) (</w:t>
            </w:r>
            <w:hyperlink w:anchor="Wasner" w:history="1">
              <w:r w:rsidRPr="00D61F73">
                <w:rPr>
                  <w:rStyle w:val="Hyperlink"/>
                  <w:rFonts w:ascii="Arial" w:hAnsi="Arial" w:cs="Arial"/>
                </w:rPr>
                <w:t>Wasner, 2002</w:t>
              </w:r>
            </w:hyperlink>
            <w:r w:rsidRPr="00D61F73">
              <w:rPr>
                <w:rFonts w:ascii="Arial" w:hAnsi="Arial" w:cs="Arial"/>
              </w:rPr>
              <w:t>) (</w:t>
            </w:r>
            <w:hyperlink w:anchor="Wasner2010" w:history="1">
              <w:r w:rsidRPr="00D61F73">
                <w:rPr>
                  <w:rStyle w:val="Hyperlink"/>
                  <w:rFonts w:ascii="Arial" w:hAnsi="Arial" w:cs="Arial"/>
                </w:rPr>
                <w:t>Wasner, 2010</w:t>
              </w:r>
            </w:hyperlink>
            <w:r w:rsidRPr="00D61F73">
              <w:rPr>
                <w:rFonts w:ascii="Arial" w:hAnsi="Arial" w:cs="Arial"/>
              </w:rPr>
              <w:t>) (</w:t>
            </w:r>
            <w:hyperlink w:anchor="Singh2006" w:history="1">
              <w:r w:rsidRPr="00D61F73">
                <w:rPr>
                  <w:rStyle w:val="Hyperlink"/>
                  <w:rFonts w:ascii="Arial" w:hAnsi="Arial" w:cs="Arial"/>
                </w:rPr>
                <w:t>Singh, 2006)</w:t>
              </w:r>
            </w:hyperlink>
            <w:r w:rsidRPr="00D61F73">
              <w:rPr>
                <w:rFonts w:ascii="Arial" w:hAnsi="Arial" w:cs="Arial"/>
              </w:rPr>
              <w:t xml:space="preserve"> (</w:t>
            </w:r>
            <w:hyperlink w:anchor="Marinus2011" w:history="1">
              <w:r w:rsidRPr="00D61F73">
                <w:rPr>
                  <w:rStyle w:val="Hyperlink"/>
                  <w:rFonts w:ascii="Arial" w:hAnsi="Arial" w:cs="Arial"/>
                </w:rPr>
                <w:t>Marinus, 2011</w:t>
              </w:r>
            </w:hyperlink>
            <w:r w:rsidRPr="00D61F73">
              <w:rPr>
                <w:rFonts w:ascii="Arial" w:hAnsi="Arial" w:cs="Arial"/>
              </w:rPr>
              <w:t xml:space="preserve">) Skin temperature can be measured using a contact method, although this can be painful. </w:t>
            </w:r>
          </w:p>
          <w:p w14:paraId="1EA7CEC3" w14:textId="77777777" w:rsidR="00E648FC" w:rsidRPr="00D61F73" w:rsidRDefault="00E648FC" w:rsidP="00D61F73">
            <w:pPr>
              <w:rPr>
                <w:rFonts w:ascii="Arial" w:eastAsia="Calibri" w:hAnsi="Arial" w:cs="Arial"/>
              </w:rPr>
            </w:pPr>
            <w:r w:rsidRPr="00D61F73">
              <w:rPr>
                <w:rFonts w:ascii="Arial" w:hAnsi="Arial" w:cs="Arial"/>
                <w:i/>
              </w:rPr>
              <w:t xml:space="preserve">Infrared thermometry: </w:t>
            </w:r>
            <w:r w:rsidRPr="00D61F73">
              <w:rPr>
                <w:rFonts w:ascii="Arial" w:hAnsi="Arial" w:cs="Arial"/>
              </w:rPr>
              <w:t>Recommended in select patients for objective measure of temperature difference. Sensitivity is poor with better specificity. (</w:t>
            </w:r>
            <w:hyperlink w:anchor="Sherman1994" w:history="1">
              <w:r w:rsidRPr="00D61F73">
                <w:rPr>
                  <w:rStyle w:val="Hyperlink"/>
                  <w:rFonts w:ascii="Arial" w:hAnsi="Arial" w:cs="Arial"/>
                </w:rPr>
                <w:t>Sherman , 1994</w:t>
              </w:r>
            </w:hyperlink>
            <w:r w:rsidRPr="00D61F73">
              <w:rPr>
                <w:rFonts w:ascii="Arial" w:hAnsi="Arial" w:cs="Arial"/>
              </w:rPr>
              <w:t>)</w:t>
            </w:r>
          </w:p>
          <w:p w14:paraId="26B3C28B" w14:textId="77777777" w:rsidR="00E648FC" w:rsidRPr="00D61F73" w:rsidRDefault="00E648FC" w:rsidP="00D61F73">
            <w:pPr>
              <w:rPr>
                <w:rFonts w:ascii="Arial" w:eastAsia="Calibri" w:hAnsi="Arial" w:cs="Arial"/>
              </w:rPr>
            </w:pPr>
            <w:r w:rsidRPr="00D61F73">
              <w:rPr>
                <w:rFonts w:ascii="Arial" w:hAnsi="Arial" w:cs="Arial"/>
                <w:i/>
              </w:rPr>
              <w:t xml:space="preserve">Infrared thermography: </w:t>
            </w:r>
            <w:r w:rsidRPr="00D61F73">
              <w:rPr>
                <w:rFonts w:ascii="Arial" w:hAnsi="Arial" w:cs="Arial"/>
              </w:rPr>
              <w:t>Not recommended. There is insufficient evidence to support the routine use of thermography for diagnosis of CRPS. (</w:t>
            </w:r>
            <w:hyperlink w:anchor="Krumova2008" w:history="1">
              <w:r w:rsidRPr="00D61F73">
                <w:rPr>
                  <w:rStyle w:val="Hyperlink"/>
                  <w:rFonts w:ascii="Arial" w:hAnsi="Arial" w:cs="Arial"/>
                </w:rPr>
                <w:t>Krumova , 2008</w:t>
              </w:r>
            </w:hyperlink>
            <w:r w:rsidRPr="00D61F73">
              <w:rPr>
                <w:rFonts w:ascii="Arial" w:hAnsi="Arial" w:cs="Arial"/>
              </w:rPr>
              <w:t>) (</w:t>
            </w:r>
            <w:hyperlink w:anchor="Schürmann2007" w:history="1">
              <w:r w:rsidRPr="00D61F73">
                <w:rPr>
                  <w:rStyle w:val="Hyperlink"/>
                  <w:rFonts w:ascii="Arial" w:hAnsi="Arial" w:cs="Arial"/>
                </w:rPr>
                <w:t>Schürmann, 2007</w:t>
              </w:r>
            </w:hyperlink>
            <w:r w:rsidRPr="00D61F73">
              <w:rPr>
                <w:rFonts w:ascii="Arial" w:hAnsi="Arial" w:cs="Arial"/>
              </w:rPr>
              <w:t>)</w:t>
            </w:r>
          </w:p>
          <w:p w14:paraId="593B0EB5" w14:textId="77777777" w:rsidR="00E648FC" w:rsidRPr="00D61F73" w:rsidRDefault="00E648FC" w:rsidP="00D61F73">
            <w:pPr>
              <w:rPr>
                <w:rFonts w:ascii="Arial" w:eastAsia="Calibri" w:hAnsi="Arial" w:cs="Arial"/>
              </w:rPr>
            </w:pPr>
            <w:r w:rsidRPr="00D61F73">
              <w:rPr>
                <w:rFonts w:ascii="Arial" w:hAnsi="Arial" w:cs="Arial"/>
                <w:i/>
              </w:rPr>
              <w:t xml:space="preserve">Laser Doppler flowmetry: </w:t>
            </w:r>
            <w:r w:rsidRPr="00D61F73">
              <w:rPr>
                <w:rFonts w:ascii="Arial" w:hAnsi="Arial" w:cs="Arial"/>
              </w:rPr>
              <w:t>Not recommended. Use is primarily for research and there is insufficient evidence to support routine clinical use. (</w:t>
            </w:r>
            <w:hyperlink w:anchor="Murray2004" w:history="1">
              <w:r w:rsidRPr="00D61F73">
                <w:rPr>
                  <w:rStyle w:val="Hyperlink"/>
                  <w:rFonts w:ascii="Arial" w:hAnsi="Arial" w:cs="Arial"/>
                </w:rPr>
                <w:t>Murray, 2004</w:t>
              </w:r>
            </w:hyperlink>
            <w:r w:rsidRPr="00D61F73">
              <w:rPr>
                <w:rFonts w:ascii="Arial" w:hAnsi="Arial" w:cs="Arial"/>
              </w:rPr>
              <w:t>) (</w:t>
            </w:r>
            <w:hyperlink r:id="rId54" w:history="1">
              <w:r w:rsidRPr="00D61F73">
                <w:rPr>
                  <w:rStyle w:val="Hyperlink"/>
                  <w:rFonts w:ascii="Arial" w:hAnsi="Arial" w:cs="Arial"/>
                </w:rPr>
                <w:t>Aker, 2008</w:t>
              </w:r>
            </w:hyperlink>
            <w:r w:rsidRPr="00D61F73">
              <w:rPr>
                <w:rFonts w:ascii="Arial" w:hAnsi="Arial" w:cs="Arial"/>
              </w:rPr>
              <w:t>)</w:t>
            </w:r>
          </w:p>
          <w:p w14:paraId="49B02925" w14:textId="77777777" w:rsidR="00E648FC" w:rsidRPr="00D61F73" w:rsidRDefault="00E648FC" w:rsidP="00D61F73">
            <w:pPr>
              <w:rPr>
                <w:rFonts w:ascii="Arial" w:eastAsia="Calibri" w:hAnsi="Arial" w:cs="Arial"/>
              </w:rPr>
            </w:pPr>
            <w:r w:rsidRPr="00D61F73">
              <w:rPr>
                <w:rFonts w:ascii="Arial" w:hAnsi="Arial" w:cs="Arial"/>
                <w:b/>
                <w:i/>
              </w:rPr>
              <w:t xml:space="preserve">Sudomotor measures: </w:t>
            </w:r>
            <w:r w:rsidRPr="00D61F73">
              <w:rPr>
                <w:rFonts w:ascii="Arial" w:hAnsi="Arial" w:cs="Arial"/>
              </w:rPr>
              <w:t>Most formal diagnostic tests for this are laboratory based and not generally recommended. Tests include (1) the iontophoretic quantitative sudomotor axon reflex test (QSART), (2) the sialastic sweat imprint method, (3) the thermoregulatory sweat test (TST), (4) sympathetic skin response and related electrodermal activity, (5) sympathetic skin resistance and selective tissue conductance, (6) quantitative sensory testing (QST), (7) resting sweat output (RSO).</w:t>
            </w:r>
          </w:p>
          <w:p w14:paraId="06273FCB" w14:textId="77777777" w:rsidR="00E648FC" w:rsidRPr="00D61F73" w:rsidRDefault="00E648FC" w:rsidP="00D61F73">
            <w:pPr>
              <w:rPr>
                <w:rFonts w:ascii="Arial" w:eastAsia="Calibri" w:hAnsi="Arial" w:cs="Arial"/>
              </w:rPr>
            </w:pPr>
            <w:r w:rsidRPr="00D61F73">
              <w:rPr>
                <w:rFonts w:ascii="Arial" w:hAnsi="Arial" w:cs="Arial"/>
                <w:b/>
                <w:i/>
              </w:rPr>
              <w:t xml:space="preserve">Nerve conduction velocity: </w:t>
            </w:r>
            <w:r w:rsidRPr="00D61F73">
              <w:rPr>
                <w:rFonts w:ascii="Arial" w:hAnsi="Arial" w:cs="Arial"/>
              </w:rPr>
              <w:t>Can be considered as recommended to investigate the presence of nerve injury/ neuropathy and differentiate between CRPS I and II. (</w:t>
            </w:r>
            <w:hyperlink r:id="rId55" w:history="1">
              <w:r w:rsidRPr="00D61F73">
                <w:rPr>
                  <w:rStyle w:val="Hyperlink"/>
                  <w:rFonts w:ascii="Arial" w:hAnsi="Arial" w:cs="Arial"/>
                </w:rPr>
                <w:t>Aker, 2008</w:t>
              </w:r>
            </w:hyperlink>
            <w:r w:rsidRPr="00D61F73">
              <w:rPr>
                <w:rFonts w:ascii="Arial" w:hAnsi="Arial" w:cs="Arial"/>
              </w:rPr>
              <w:t>)</w:t>
            </w:r>
          </w:p>
          <w:p w14:paraId="2AC70FEF" w14:textId="77777777" w:rsidR="00E648FC" w:rsidRPr="00D61F73" w:rsidRDefault="00E648FC" w:rsidP="00D61F73">
            <w:pPr>
              <w:rPr>
                <w:rFonts w:ascii="Arial" w:eastAsia="Calibri" w:hAnsi="Arial" w:cs="Arial"/>
              </w:rPr>
            </w:pPr>
            <w:r w:rsidRPr="00D61F73">
              <w:rPr>
                <w:rFonts w:ascii="Arial" w:hAnsi="Arial" w:cs="Arial"/>
                <w:b/>
                <w:i/>
              </w:rPr>
              <w:t xml:space="preserve">Tests considered experimental and not recommended: </w:t>
            </w:r>
            <w:r w:rsidRPr="00D61F73">
              <w:rPr>
                <w:rFonts w:ascii="Arial" w:hAnsi="Arial" w:cs="Arial"/>
              </w:rPr>
              <w:t>(1) Phentolamine injection; (2) Bone density testing; (3) Positron emission tomography (PET); (4) Single photon emission tomography (SPECT).</w:t>
            </w:r>
          </w:p>
          <w:p w14:paraId="31BB1EB7" w14:textId="77777777" w:rsidR="00E648FC" w:rsidRPr="00D61F73" w:rsidRDefault="00E648FC" w:rsidP="00D61F73">
            <w:pPr>
              <w:rPr>
                <w:rFonts w:ascii="Arial" w:eastAsia="Calibri" w:hAnsi="Arial" w:cs="Arial"/>
              </w:rPr>
            </w:pPr>
            <w:r w:rsidRPr="00D61F73">
              <w:rPr>
                <w:rFonts w:ascii="Arial" w:hAnsi="Arial" w:cs="Arial"/>
                <w:b/>
                <w:i/>
              </w:rPr>
              <w:t xml:space="preserve">Skin biopsy for evidence of small nerve fiber degeneration: </w:t>
            </w:r>
            <w:r w:rsidRPr="00D61F73">
              <w:rPr>
                <w:rFonts w:ascii="Arial" w:hAnsi="Arial" w:cs="Arial"/>
              </w:rPr>
              <w:t xml:space="preserve">Not recommended. While small nerve fiber pathology has been a causal factor for CRPS, this remains to be established. It should also be noted that other causes of neuropathic pain are frequently associated with loss of C-fiber peripheral terminals, making the specificity of these tests with respect to CRPS questionable. Common causes of small fiber polyneuropathy include diabetes, hematological malignancies, autoimmune conditions, infections, toxins (including medications) and mutations. Oaklander et al. </w:t>
            </w:r>
            <w:r w:rsidRPr="00D61F73">
              <w:rPr>
                <w:rFonts w:ascii="Arial" w:hAnsi="Arial" w:cs="Arial"/>
              </w:rPr>
              <w:lastRenderedPageBreak/>
              <w:t>have indicated this test is not promising for routine clinical analysis. (</w:t>
            </w:r>
            <w:hyperlink w:anchor="Devigili2008" w:history="1">
              <w:r w:rsidRPr="00D61F73">
                <w:rPr>
                  <w:rStyle w:val="Hyperlink"/>
                  <w:rFonts w:ascii="Arial" w:hAnsi="Arial" w:cs="Arial"/>
                </w:rPr>
                <w:t>Devigilli, 2008</w:t>
              </w:r>
            </w:hyperlink>
            <w:r w:rsidRPr="00D61F73">
              <w:rPr>
                <w:rFonts w:ascii="Arial" w:hAnsi="Arial" w:cs="Arial"/>
              </w:rPr>
              <w:t>) (</w:t>
            </w:r>
            <w:hyperlink w:anchor="Oaklander2006" w:history="1">
              <w:r w:rsidRPr="00D61F73">
                <w:rPr>
                  <w:rStyle w:val="Hyperlink"/>
                  <w:rFonts w:ascii="Arial" w:hAnsi="Arial" w:cs="Arial"/>
                </w:rPr>
                <w:t>Oaklander, 2006</w:t>
              </w:r>
            </w:hyperlink>
            <w:r w:rsidRPr="00D61F73">
              <w:rPr>
                <w:rFonts w:ascii="Arial" w:hAnsi="Arial" w:cs="Arial"/>
              </w:rPr>
              <w:t>) (</w:t>
            </w:r>
            <w:hyperlink w:anchor="Marinus2011" w:history="1">
              <w:r w:rsidRPr="00D61F73">
                <w:rPr>
                  <w:rStyle w:val="Hyperlink"/>
                  <w:rFonts w:ascii="Arial" w:hAnsi="Arial" w:cs="Arial"/>
                </w:rPr>
                <w:t>Marinus, 2011</w:t>
              </w:r>
            </w:hyperlink>
            <w:r w:rsidRPr="00D61F73">
              <w:rPr>
                <w:rFonts w:ascii="Arial" w:hAnsi="Arial" w:cs="Arial"/>
              </w:rPr>
              <w:t>) (</w:t>
            </w:r>
            <w:hyperlink w:anchor="Oaklander2013" w:history="1">
              <w:r w:rsidRPr="00D61F73">
                <w:rPr>
                  <w:rStyle w:val="Hyperlink"/>
                  <w:rFonts w:ascii="Arial" w:hAnsi="Arial" w:cs="Arial"/>
                </w:rPr>
                <w:t>Oaklander, 2013</w:t>
              </w:r>
            </w:hyperlink>
            <w:r w:rsidRPr="00D61F73">
              <w:rPr>
                <w:rFonts w:ascii="Arial" w:hAnsi="Arial" w:cs="Arial"/>
              </w:rPr>
              <w:t>)</w:t>
            </w:r>
          </w:p>
          <w:p w14:paraId="7296129E" w14:textId="77777777" w:rsidR="00E648FC" w:rsidRPr="00D61F73" w:rsidRDefault="00E648FC" w:rsidP="00D61F73">
            <w:pPr>
              <w:rPr>
                <w:rFonts w:ascii="Arial" w:hAnsi="Arial" w:cs="Arial"/>
                <w:i/>
              </w:rPr>
            </w:pPr>
            <w:r w:rsidRPr="00D61F73">
              <w:rPr>
                <w:rFonts w:ascii="Arial" w:hAnsi="Arial" w:cs="Arial"/>
                <w:b/>
                <w:i/>
              </w:rPr>
              <w:t xml:space="preserve">Sympathetic nerve blocks, diagnostic: </w:t>
            </w:r>
            <w:r w:rsidRPr="00D61F73">
              <w:rPr>
                <w:rFonts w:ascii="Arial" w:hAnsi="Arial" w:cs="Arial"/>
              </w:rPr>
              <w:t xml:space="preserve">Recommended in a limited role for diagnosis of sympathetically mediated pain with the understanding that sympathetic blocks are not specific for CRPS. </w:t>
            </w:r>
            <w:r w:rsidRPr="00D61F73">
              <w:rPr>
                <w:rFonts w:ascii="Arial" w:eastAsia="Arial Unicode MS" w:hAnsi="Arial" w:cs="Arial"/>
                <w:lang w:val="en"/>
              </w:rPr>
              <w:t xml:space="preserve">See </w:t>
            </w:r>
            <w:hyperlink w:anchor="Sympatheticallymaintainedpain" w:history="1">
              <w:r w:rsidRPr="00D61F73">
                <w:rPr>
                  <w:rStyle w:val="Hyperlink"/>
                  <w:rFonts w:ascii="Arial" w:hAnsi="Arial" w:cs="Arial"/>
                </w:rPr>
                <w:t>Sympathetically maintained pain</w:t>
              </w:r>
            </w:hyperlink>
            <w:r w:rsidRPr="00D61F73">
              <w:rPr>
                <w:rFonts w:ascii="Arial" w:hAnsi="Arial" w:cs="Arial"/>
              </w:rPr>
              <w:t xml:space="preserve"> (SMP). Less than 1/3 of patients with CRPS are likely to respond to sympathetic blockade. There are no signs or symptoms to predict block success. The use of sympathetic blocks for diagnostic purposes in CRPS I is based on previous hypotheses concerning involvement of the sympathetic nervous system as a pathophysiologic cause of this disease. Monitoring for sympathetic and sensory function after the block is required. In the upper extremity interpretation of up to 73% of blocks cannot be made due to compounding factors. (</w:t>
            </w:r>
            <w:hyperlink w:anchor="Krumova2011" w:history="1">
              <w:r w:rsidRPr="00D61F73">
                <w:rPr>
                  <w:rStyle w:val="Hyperlink"/>
                  <w:rFonts w:ascii="Arial" w:hAnsi="Arial" w:cs="Arial"/>
                </w:rPr>
                <w:t>Krumova, 2011</w:t>
              </w:r>
            </w:hyperlink>
            <w:r w:rsidRPr="00D61F73">
              <w:rPr>
                <w:rFonts w:ascii="Arial" w:hAnsi="Arial" w:cs="Arial"/>
              </w:rPr>
              <w:t>) (</w:t>
            </w:r>
            <w:hyperlink w:anchor="Schürmann2001" w:history="1">
              <w:r w:rsidRPr="00D61F73">
                <w:rPr>
                  <w:rStyle w:val="Hyperlink"/>
                  <w:rFonts w:ascii="Arial" w:hAnsi="Arial" w:cs="Arial"/>
                </w:rPr>
                <w:t>Schürmann, 2001</w:t>
              </w:r>
            </w:hyperlink>
            <w:r w:rsidRPr="00D61F73">
              <w:rPr>
                <w:rFonts w:ascii="Arial" w:hAnsi="Arial" w:cs="Arial"/>
              </w:rPr>
              <w:t>)</w:t>
            </w:r>
          </w:p>
          <w:p w14:paraId="025523D3" w14:textId="77777777" w:rsidR="00E648FC" w:rsidRPr="00D61F73" w:rsidRDefault="00E648FC" w:rsidP="00D61F73">
            <w:pPr>
              <w:rPr>
                <w:rFonts w:ascii="Arial" w:hAnsi="Arial" w:cs="Arial"/>
              </w:rPr>
            </w:pPr>
            <w:r w:rsidRPr="00D61F73">
              <w:rPr>
                <w:rFonts w:ascii="Arial" w:hAnsi="Arial" w:cs="Arial"/>
                <w:i/>
              </w:rPr>
              <w:t xml:space="preserve">Interpretation: </w:t>
            </w:r>
            <w:r w:rsidRPr="00D61F73">
              <w:rPr>
                <w:rFonts w:ascii="Arial" w:hAnsi="Arial" w:cs="Arial"/>
              </w:rPr>
              <w:t>A current suggestion of adequate block is one that demonstrates an adequate and sustained increase in skin temperature (≥ 1.5° C and ≥ 90 minutes), without evidence of thermal or tactile sensory blocks. (</w:t>
            </w:r>
            <w:hyperlink w:anchor="Krumova2011" w:history="1">
              <w:r w:rsidRPr="00D61F73">
                <w:rPr>
                  <w:rStyle w:val="Hyperlink"/>
                  <w:rFonts w:ascii="Arial" w:hAnsi="Arial" w:cs="Arial"/>
                </w:rPr>
                <w:t>Krumova, 2011</w:t>
              </w:r>
            </w:hyperlink>
            <w:r w:rsidRPr="00D61F73">
              <w:rPr>
                <w:rFonts w:ascii="Arial" w:hAnsi="Arial" w:cs="Arial"/>
              </w:rPr>
              <w:t>) (</w:t>
            </w:r>
            <w:hyperlink w:anchor="Schürmann2001" w:history="1">
              <w:r w:rsidRPr="00D61F73">
                <w:rPr>
                  <w:rStyle w:val="Hyperlink"/>
                  <w:rFonts w:ascii="Arial" w:hAnsi="Arial" w:cs="Arial"/>
                </w:rPr>
                <w:t>Schürmann, 2001</w:t>
              </w:r>
            </w:hyperlink>
            <w:r w:rsidRPr="00D61F73">
              <w:rPr>
                <w:rFonts w:ascii="Arial" w:hAnsi="Arial" w:cs="Arial"/>
              </w:rPr>
              <w:t>) An assessment for false-positives (unintentional sensory blocks) and false-negatives (insufficient sympathetic block) should be made.</w:t>
            </w:r>
          </w:p>
          <w:p w14:paraId="174C02D6" w14:textId="77777777" w:rsidR="00E648FC" w:rsidRPr="00D61F73" w:rsidRDefault="00E648FC" w:rsidP="00D61F73">
            <w:pPr>
              <w:rPr>
                <w:rFonts w:ascii="Arial" w:hAnsi="Arial" w:cs="Arial"/>
              </w:rPr>
            </w:pPr>
            <w:r w:rsidRPr="00D61F73">
              <w:rPr>
                <w:rFonts w:ascii="Arial" w:hAnsi="Arial" w:cs="Arial"/>
              </w:rPr>
              <w:t xml:space="preserve">See also </w:t>
            </w:r>
            <w:hyperlink w:anchor="CRPSsympatheticandepiduralblocks" w:history="1">
              <w:r w:rsidRPr="00D61F73">
                <w:rPr>
                  <w:rStyle w:val="Hyperlink"/>
                  <w:rFonts w:ascii="Arial" w:hAnsi="Arial" w:cs="Arial"/>
                </w:rPr>
                <w:t>CRPS, sympathetic blocks</w:t>
              </w:r>
            </w:hyperlink>
            <w:r w:rsidRPr="00D61F73">
              <w:rPr>
                <w:rFonts w:ascii="Arial" w:hAnsi="Arial" w:cs="Arial"/>
              </w:rPr>
              <w:t xml:space="preserve"> (therapeutic).</w:t>
            </w:r>
          </w:p>
          <w:p w14:paraId="5A159386" w14:textId="77777777" w:rsidR="00E648FC" w:rsidRPr="00D61F73" w:rsidRDefault="00E648FC" w:rsidP="00D61F73">
            <w:pPr>
              <w:rPr>
                <w:rFonts w:ascii="Arial" w:hAnsi="Arial" w:cs="Arial"/>
                <w:b/>
              </w:rPr>
            </w:pPr>
            <w:r w:rsidRPr="00D61F73">
              <w:rPr>
                <w:rFonts w:ascii="Arial" w:hAnsi="Arial" w:cs="Arial"/>
                <w:b/>
              </w:rPr>
              <w:t>Recommendations (based on consensus guidelines) for an adequate CRPS evaluation</w:t>
            </w:r>
          </w:p>
          <w:p w14:paraId="08C96CFA" w14:textId="77777777" w:rsidR="00E648FC" w:rsidRPr="00D61F73" w:rsidRDefault="00E648FC" w:rsidP="00D61F73">
            <w:pPr>
              <w:rPr>
                <w:rFonts w:ascii="Arial" w:hAnsi="Arial" w:cs="Arial"/>
              </w:rPr>
            </w:pPr>
            <w:r w:rsidRPr="00D61F73">
              <w:rPr>
                <w:rFonts w:ascii="Arial" w:hAnsi="Arial" w:cs="Arial"/>
              </w:rPr>
              <w:t>(1) There should be evidence that the Budapest (Hardin) criteria have been evaluated for and fulfilled.</w:t>
            </w:r>
          </w:p>
          <w:p w14:paraId="32665883" w14:textId="77777777" w:rsidR="00E648FC" w:rsidRPr="00D61F73" w:rsidRDefault="00E648FC" w:rsidP="00D61F73">
            <w:pPr>
              <w:rPr>
                <w:rFonts w:ascii="Arial" w:hAnsi="Arial" w:cs="Arial"/>
              </w:rPr>
            </w:pPr>
            <w:r w:rsidRPr="00D61F73">
              <w:rPr>
                <w:rFonts w:ascii="Arial" w:hAnsi="Arial" w:cs="Arial"/>
              </w:rPr>
              <w:t>(2) There should be evidence that all other diagnoses have been ruled out. A diagnosis of CRPS should not be accepted without a documented and complete differential diagnostic process completed as a part of the record.</w:t>
            </w:r>
          </w:p>
          <w:p w14:paraId="1B5E5B14" w14:textId="77777777" w:rsidR="00E648FC" w:rsidRPr="00D61F73" w:rsidRDefault="00E648FC" w:rsidP="00D61F73">
            <w:pPr>
              <w:rPr>
                <w:rFonts w:ascii="Arial" w:hAnsi="Arial" w:cs="Arial"/>
                <w:bCs/>
              </w:rPr>
            </w:pPr>
            <w:r w:rsidRPr="00D61F73">
              <w:rPr>
                <w:rFonts w:ascii="Arial" w:hAnsi="Arial" w:cs="Arial"/>
              </w:rPr>
              <w:t>(3) If a sympathetic block is utilized for diagnosis, there should be evidence that this block fulfills criteria for success including that skin temperature after the block shows sustained increase (≥ 1.5° C and/or an increase in temperature to &gt; 34° C) without evidence of thermal or tactile sensory block. Evidence of a Horner’s response to upper extremity blocks should be documented. The use of sedation with the block can influence results, and this should be noted. (</w:t>
            </w:r>
            <w:hyperlink w:anchor="Krumova2011" w:history="1">
              <w:r w:rsidRPr="00D61F73">
                <w:rPr>
                  <w:rStyle w:val="Hyperlink"/>
                  <w:rFonts w:ascii="Arial" w:hAnsi="Arial" w:cs="Arial"/>
                </w:rPr>
                <w:t>Krumova, 2011</w:t>
              </w:r>
            </w:hyperlink>
            <w:r w:rsidRPr="00D61F73">
              <w:rPr>
                <w:rFonts w:ascii="Arial" w:hAnsi="Arial" w:cs="Arial"/>
              </w:rPr>
              <w:t>) (</w:t>
            </w:r>
            <w:hyperlink w:anchor="Schürmann2001" w:history="1">
              <w:r w:rsidRPr="00D61F73">
                <w:rPr>
                  <w:rStyle w:val="Hyperlink"/>
                  <w:rFonts w:ascii="Arial" w:hAnsi="Arial" w:cs="Arial"/>
                </w:rPr>
                <w:t>Schürmann, 2001</w:t>
              </w:r>
            </w:hyperlink>
            <w:r w:rsidRPr="00D61F73">
              <w:rPr>
                <w:rFonts w:ascii="Arial" w:hAnsi="Arial" w:cs="Arial"/>
              </w:rPr>
              <w:t>)</w:t>
            </w:r>
          </w:p>
        </w:tc>
      </w:tr>
      <w:tr w:rsidR="00E648FC" w:rsidRPr="00D61F73" w14:paraId="03706295" w14:textId="77777777" w:rsidTr="0078164D">
        <w:tc>
          <w:tcPr>
            <w:tcW w:w="1086" w:type="pct"/>
          </w:tcPr>
          <w:p w14:paraId="53E2F5C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58" w:name="CRPSketaminesubanestheticinfusion"/>
            <w:bookmarkEnd w:id="158"/>
            <w:r w:rsidRPr="00D61F73">
              <w:rPr>
                <w:rFonts w:ascii="Arial" w:hAnsi="Arial" w:cs="Arial"/>
              </w:rPr>
              <w:t>RPS, ketamine subanesthetic infusion</w:t>
            </w:r>
          </w:p>
        </w:tc>
        <w:tc>
          <w:tcPr>
            <w:tcW w:w="3914" w:type="pct"/>
          </w:tcPr>
          <w:p w14:paraId="44FB9AD9" w14:textId="77777777" w:rsidR="00E648FC" w:rsidRPr="00D61F73" w:rsidRDefault="00E648FC" w:rsidP="00D61F73">
            <w:pPr>
              <w:rPr>
                <w:rFonts w:ascii="Arial" w:eastAsia="Arial Unicode MS" w:hAnsi="Arial" w:cs="Arial"/>
                <w:lang w:val="en"/>
              </w:rPr>
            </w:pPr>
            <w:r w:rsidRPr="00D61F73">
              <w:rPr>
                <w:rFonts w:ascii="Arial" w:hAnsi="Arial" w:cs="Arial"/>
              </w:rPr>
              <w:t xml:space="preserve">Not recommended. </w:t>
            </w:r>
            <w:r w:rsidRPr="00D61F73">
              <w:rPr>
                <w:rFonts w:ascii="Arial" w:eastAsia="Arial Unicode MS" w:hAnsi="Arial" w:cs="Arial"/>
                <w:lang w:val="en"/>
              </w:rPr>
              <w:t xml:space="preserve">See </w:t>
            </w:r>
            <w:hyperlink w:anchor="Ketamine" w:history="1">
              <w:r w:rsidRPr="00D61F73">
                <w:rPr>
                  <w:rStyle w:val="Hyperlink"/>
                  <w:rFonts w:ascii="Arial" w:eastAsia="Arial Unicode MS" w:hAnsi="Arial" w:cs="Arial"/>
                  <w:lang w:val="en"/>
                </w:rPr>
                <w:t>Ketamine</w:t>
              </w:r>
            </w:hyperlink>
            <w:r w:rsidRPr="00D61F73">
              <w:rPr>
                <w:rFonts w:ascii="Arial" w:eastAsia="Arial Unicode MS" w:hAnsi="Arial" w:cs="Arial"/>
                <w:lang w:val="en"/>
              </w:rPr>
              <w:t>.</w:t>
            </w:r>
          </w:p>
        </w:tc>
      </w:tr>
      <w:tr w:rsidR="00E648FC" w:rsidRPr="00D61F73" w14:paraId="506C7E02" w14:textId="77777777" w:rsidTr="0078164D">
        <w:tc>
          <w:tcPr>
            <w:tcW w:w="1086" w:type="pct"/>
          </w:tcPr>
          <w:p w14:paraId="0982A94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59" w:name="CRPSmedications"/>
            <w:bookmarkEnd w:id="159"/>
            <w:r w:rsidRPr="00D61F73">
              <w:rPr>
                <w:rFonts w:ascii="Arial" w:hAnsi="Arial" w:cs="Arial"/>
              </w:rPr>
              <w:t xml:space="preserve">RPS, medications </w:t>
            </w:r>
          </w:p>
        </w:tc>
        <w:tc>
          <w:tcPr>
            <w:tcW w:w="3914" w:type="pct"/>
          </w:tcPr>
          <w:p w14:paraId="74A3BBC9"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Recommended only as indicated below. Most medications have limited effectiveness, and recommendations are primarily based on extrapolation from neuropathic pain medication guidelines. A reason given for the paucity of medication studies is the absence of a gold-standard diagnostic test for CRPS and lack of uniformly accepted diagnostic criteria. </w:t>
            </w:r>
            <w:r w:rsidRPr="00D61F73">
              <w:rPr>
                <w:rFonts w:ascii="Arial" w:hAnsi="Arial" w:cs="Arial"/>
              </w:rPr>
              <w:t>(</w:t>
            </w:r>
            <w:hyperlink w:anchor="Ribbers" w:history="1">
              <w:r w:rsidRPr="00D61F73">
                <w:rPr>
                  <w:rStyle w:val="Hyperlink"/>
                  <w:rFonts w:ascii="Arial" w:hAnsi="Arial" w:cs="Arial"/>
                </w:rPr>
                <w:t>Ribbers, 2003</w:t>
              </w:r>
            </w:hyperlink>
            <w:r w:rsidRPr="00D61F73">
              <w:rPr>
                <w:rFonts w:ascii="Arial" w:hAnsi="Arial" w:cs="Arial"/>
              </w:rPr>
              <w:t>) (</w:t>
            </w:r>
            <w:hyperlink w:anchor="Quisel2" w:history="1">
              <w:r w:rsidRPr="00D61F73">
                <w:rPr>
                  <w:rFonts w:ascii="Arial" w:hAnsi="Arial" w:cs="Arial"/>
                  <w:color w:val="0000FF"/>
                  <w:u w:val="single"/>
                </w:rPr>
                <w:t>Quisel2, 2005</w:t>
              </w:r>
            </w:hyperlink>
            <w:r w:rsidRPr="00D61F73">
              <w:rPr>
                <w:rFonts w:ascii="Arial" w:hAnsi="Arial" w:cs="Arial"/>
              </w:rPr>
              <w:t>) (</w:t>
            </w:r>
            <w:hyperlink w:anchor="Harden2013" w:history="1">
              <w:r w:rsidRPr="00D61F73">
                <w:rPr>
                  <w:rStyle w:val="Hyperlink"/>
                  <w:rFonts w:ascii="Arial" w:hAnsi="Arial" w:cs="Arial"/>
                </w:rPr>
                <w:t>Harden, 2013</w:t>
              </w:r>
            </w:hyperlink>
            <w:r w:rsidRPr="00D61F73">
              <w:rPr>
                <w:rFonts w:ascii="Arial" w:hAnsi="Arial" w:cs="Arial"/>
              </w:rPr>
              <w:t>)</w:t>
            </w:r>
          </w:p>
          <w:p w14:paraId="48680F6C"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1. </w:t>
            </w:r>
            <w:r w:rsidRPr="00D61F73">
              <w:rPr>
                <w:rFonts w:ascii="Arial" w:eastAsia="Arial Unicode MS" w:hAnsi="Arial" w:cs="Arial"/>
                <w:u w:val="single"/>
                <w:lang w:val="en"/>
              </w:rPr>
              <w:t>Regional inflammatory reaction</w:t>
            </w:r>
            <w:r w:rsidRPr="00D61F73">
              <w:rPr>
                <w:rFonts w:ascii="Arial" w:eastAsia="Arial Unicode MS" w:hAnsi="Arial" w:cs="Arial"/>
                <w:lang w:val="en"/>
              </w:rPr>
              <w:t xml:space="preserve">: Commonly used drugs are NSAIDS, corticosteroids and free-radical scavengers. There is some evidence of efficacy for topical DMSO cream, IV bisphosphonates and limited courses of oral corticosteroids. Corticosteroids are most effective earlier in the condition when positive response is obtained with sympathetic blocks. </w:t>
            </w:r>
            <w:r w:rsidRPr="00D61F73">
              <w:rPr>
                <w:rFonts w:ascii="Arial" w:eastAsia="Arial Unicode MS" w:hAnsi="Arial" w:cs="Arial"/>
                <w:lang w:val="en"/>
              </w:rPr>
              <w:lastRenderedPageBreak/>
              <w:t>NSAIDs are recommended but no trials have shown effectiveness in CRPS-I, and they are recommended primarily in early or very late stages. (</w:t>
            </w:r>
            <w:hyperlink w:anchor="StantonHicks3" w:history="1">
              <w:r w:rsidRPr="00D61F73">
                <w:rPr>
                  <w:rStyle w:val="Hyperlink"/>
                  <w:rFonts w:ascii="Arial" w:eastAsia="Arial Unicode MS" w:hAnsi="Arial" w:cs="Arial"/>
                  <w:lang w:val="en"/>
                </w:rPr>
                <w:t>Stanton-Hicks, 2004</w:t>
              </w:r>
            </w:hyperlink>
            <w:r w:rsidRPr="00D61F73">
              <w:rPr>
                <w:rFonts w:ascii="Arial" w:eastAsia="Arial Unicode MS" w:hAnsi="Arial" w:cs="Arial"/>
                <w:lang w:val="en"/>
              </w:rPr>
              <w:t>) (</w:t>
            </w:r>
            <w:hyperlink w:anchor="Sharma" w:history="1">
              <w:r w:rsidRPr="00D61F73">
                <w:rPr>
                  <w:rStyle w:val="Hyperlink"/>
                  <w:rFonts w:ascii="Arial" w:eastAsia="Arial Unicode MS" w:hAnsi="Arial" w:cs="Arial"/>
                  <w:lang w:val="en"/>
                </w:rPr>
                <w:t>Sharma, 2006</w:t>
              </w:r>
            </w:hyperlink>
            <w:r w:rsidRPr="00D61F73">
              <w:rPr>
                <w:rFonts w:ascii="Arial" w:eastAsia="Arial Unicode MS" w:hAnsi="Arial" w:cs="Arial"/>
                <w:lang w:val="en"/>
              </w:rPr>
              <w:t>) Because long-term controlled studies have not been conducted, DMSO should be considered investigational and used only after other therapies have failed. (</w:t>
            </w:r>
            <w:hyperlink r:id="rId56" w:history="1">
              <w:r w:rsidRPr="00D61F73">
                <w:rPr>
                  <w:rStyle w:val="Hyperlink"/>
                  <w:rFonts w:ascii="Arial" w:eastAsia="Arial Unicode MS" w:hAnsi="Arial" w:cs="Arial"/>
                  <w:lang w:val="en"/>
                </w:rPr>
                <w:t>FDA, 2010</w:t>
              </w:r>
            </w:hyperlink>
            <w:r w:rsidRPr="00D61F73">
              <w:rPr>
                <w:rFonts w:ascii="Arial" w:eastAsia="Arial Unicode MS" w:hAnsi="Arial" w:cs="Arial"/>
                <w:lang w:val="en"/>
              </w:rPr>
              <w:t>)</w:t>
            </w:r>
          </w:p>
          <w:p w14:paraId="5B247062" w14:textId="39E2D981"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2. Stimulus-independent pain: The use of antidepressants (primarily tricyclics and SNRIs), anticonvulsants (with the most support for gabapentin), and opioids has been primarily extrapolated based on use for other neuropathic pain disorders. There are no long-term studies demonstrating efficacy of opioids as treatment for CRPS. See </w:t>
            </w:r>
            <w:hyperlink w:anchor="Antidepressantsforneuropathicpain" w:history="1">
              <w:r w:rsidRPr="00D61F73">
                <w:rPr>
                  <w:rStyle w:val="Hyperlink"/>
                  <w:rFonts w:ascii="Arial" w:eastAsia="Arial Unicode MS" w:hAnsi="Arial" w:cs="Arial"/>
                  <w:u w:val="none"/>
                  <w:lang w:val="en"/>
                </w:rPr>
                <w:t>Antidepressants for neuropathic pain</w:t>
              </w:r>
            </w:hyperlink>
            <w:r w:rsidRPr="00D61F73">
              <w:rPr>
                <w:rFonts w:ascii="Arial" w:eastAsia="Arial Unicode MS" w:hAnsi="Arial" w:cs="Arial"/>
                <w:lang w:val="en"/>
              </w:rPr>
              <w:t xml:space="preserve">; &amp; </w:t>
            </w:r>
            <w:hyperlink w:anchor="Anticonvulsantsforchronicpain" w:history="1">
              <w:r w:rsidRPr="00D61F73">
                <w:rPr>
                  <w:rStyle w:val="Hyperlink"/>
                  <w:rFonts w:ascii="Arial" w:eastAsia="Arial Unicode MS" w:hAnsi="Arial" w:cs="Arial"/>
                  <w:u w:val="none"/>
                  <w:lang w:val="en"/>
                </w:rPr>
                <w:t>Anticonvulsants for chronic pain</w:t>
              </w:r>
            </w:hyperlink>
            <w:r w:rsidRPr="00D61F73">
              <w:rPr>
                <w:rFonts w:ascii="Arial" w:eastAsia="Arial Unicode MS" w:hAnsi="Arial" w:cs="Arial"/>
                <w:lang w:val="en"/>
              </w:rPr>
              <w:t xml:space="preserve">; </w:t>
            </w:r>
            <w:r w:rsidR="0061527A" w:rsidRPr="00D61F73">
              <w:rPr>
                <w:rFonts w:ascii="Arial" w:eastAsia="Arial Unicode MS" w:hAnsi="Arial" w:cs="Arial"/>
                <w:lang w:val="en"/>
              </w:rPr>
              <w:t xml:space="preserve">also, </w:t>
            </w:r>
            <w:r w:rsidR="003F46DB" w:rsidRPr="00D61F73">
              <w:rPr>
                <w:rFonts w:ascii="Arial" w:hAnsi="Arial" w:cs="Arial"/>
              </w:rPr>
              <w:t xml:space="preserve">MTUS Opioids Treatment Guidelines </w:t>
            </w:r>
            <w:r w:rsidR="0061527A" w:rsidRPr="00D61F73">
              <w:rPr>
                <w:rFonts w:ascii="Arial" w:hAnsi="Arial" w:cs="Arial"/>
                <w:bCs/>
              </w:rPr>
              <w:t>.</w:t>
            </w:r>
            <w:r w:rsidRPr="00D61F73">
              <w:rPr>
                <w:rFonts w:ascii="Arial" w:eastAsia="Arial Unicode MS" w:hAnsi="Arial" w:cs="Arial"/>
                <w:lang w:val="en"/>
              </w:rPr>
              <w:t xml:space="preserve"> Current literature does not support the use of clonidine. (</w:t>
            </w:r>
            <w:hyperlink w:anchor="Hsu2009" w:history="1">
              <w:r w:rsidRPr="00D61F73">
                <w:rPr>
                  <w:rStyle w:val="Hyperlink"/>
                  <w:rFonts w:ascii="Arial" w:eastAsia="Arial Unicode MS" w:hAnsi="Arial" w:cs="Arial"/>
                  <w:lang w:val="en"/>
                </w:rPr>
                <w:t>Hsu, 2009</w:t>
              </w:r>
            </w:hyperlink>
            <w:r w:rsidRPr="00D61F73">
              <w:rPr>
                <w:rFonts w:ascii="Arial" w:eastAsia="Arial Unicode MS" w:hAnsi="Arial" w:cs="Arial"/>
                <w:lang w:val="en"/>
              </w:rPr>
              <w:t>) (</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w:t>
            </w:r>
            <w:r w:rsidR="0061527A" w:rsidRPr="00D61F73">
              <w:rPr>
                <w:rFonts w:ascii="Arial" w:eastAsia="Arial Unicode MS" w:hAnsi="Arial" w:cs="Arial"/>
                <w:lang w:val="en"/>
              </w:rPr>
              <w:t xml:space="preserve">. </w:t>
            </w:r>
          </w:p>
          <w:p w14:paraId="1FF84AC0"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3. </w:t>
            </w:r>
            <w:r w:rsidRPr="00D61F73">
              <w:rPr>
                <w:rFonts w:ascii="Arial" w:eastAsia="Arial Unicode MS" w:hAnsi="Arial" w:cs="Arial"/>
                <w:u w:val="single"/>
                <w:lang w:val="en"/>
              </w:rPr>
              <w:t>Stimulus-evoked pain</w:t>
            </w:r>
            <w:r w:rsidRPr="00D61F73">
              <w:rPr>
                <w:rFonts w:ascii="Arial" w:eastAsia="Arial Unicode MS" w:hAnsi="Arial" w:cs="Arial"/>
                <w:lang w:val="en"/>
              </w:rPr>
              <w:t xml:space="preserve">: treatment is aimed at central sensitization. With NMDA receptor antagonists (ketamine and amantadine) convincing controlled trials are lacking, and these drugs are recognized for their side effects. See </w:t>
            </w:r>
            <w:hyperlink w:anchor="Ketamine" w:history="1">
              <w:r w:rsidRPr="00D61F73">
                <w:rPr>
                  <w:rStyle w:val="Hyperlink"/>
                  <w:rFonts w:ascii="Arial" w:eastAsia="Arial Unicode MS" w:hAnsi="Arial" w:cs="Arial"/>
                  <w:lang w:val="en"/>
                </w:rPr>
                <w:t>Ketamine</w:t>
              </w:r>
            </w:hyperlink>
            <w:r w:rsidRPr="00D61F73">
              <w:rPr>
                <w:rFonts w:ascii="Arial" w:eastAsia="Arial Unicode MS" w:hAnsi="Arial" w:cs="Arial"/>
                <w:lang w:val="en"/>
              </w:rPr>
              <w:t>.</w:t>
            </w:r>
          </w:p>
          <w:p w14:paraId="135877DA" w14:textId="0E5E8343"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4. </w:t>
            </w:r>
            <w:hyperlink w:anchor="Sympatheticallymaintainedpain" w:history="1">
              <w:r w:rsidRPr="006C65D5">
                <w:rPr>
                  <w:rStyle w:val="Hyperlink"/>
                  <w:rFonts w:ascii="Arial" w:eastAsia="Arial Unicode MS" w:hAnsi="Arial" w:cs="Arial"/>
                  <w:lang w:val="en"/>
                </w:rPr>
                <w:t>Sympathetically maintained pain (SMP):</w:t>
              </w:r>
            </w:hyperlink>
            <w:r w:rsidRPr="00D61F73">
              <w:rPr>
                <w:rFonts w:ascii="Arial" w:eastAsia="Arial Unicode MS" w:hAnsi="Arial" w:cs="Arial"/>
                <w:lang w:val="en"/>
              </w:rPr>
              <w:t xml:space="preserve"> See </w:t>
            </w:r>
            <w:hyperlink w:anchor="Intravenousregionalsympatheticblocks" w:history="1">
              <w:r w:rsidRPr="00D61F73">
                <w:rPr>
                  <w:rStyle w:val="Hyperlink"/>
                  <w:rFonts w:ascii="Arial" w:eastAsia="Arial Unicode MS" w:hAnsi="Arial" w:cs="Arial"/>
                  <w:lang w:val="en"/>
                </w:rPr>
                <w:t>IV regional sympathetic blocks</w:t>
              </w:r>
            </w:hyperlink>
            <w:r w:rsidRPr="00D61F73">
              <w:rPr>
                <w:rFonts w:ascii="Arial" w:eastAsia="Arial Unicode MS" w:hAnsi="Arial" w:cs="Arial"/>
                <w:lang w:val="en"/>
              </w:rPr>
              <w:t xml:space="preserve"> (for RSD/CRPS); </w:t>
            </w:r>
            <w:hyperlink w:anchor="CRPSsympatheticblocks" w:history="1">
              <w:r w:rsidRPr="00D61F73">
                <w:rPr>
                  <w:rStyle w:val="Hyperlink"/>
                  <w:rFonts w:ascii="Arial" w:eastAsia="Arial Unicode MS" w:hAnsi="Arial" w:cs="Arial"/>
                  <w:lang w:val="en"/>
                </w:rPr>
                <w:t>CRPS, sympathetic block</w:t>
              </w:r>
            </w:hyperlink>
            <w:r w:rsidRPr="00D61F73">
              <w:rPr>
                <w:rFonts w:ascii="Arial" w:eastAsia="Arial Unicode MS" w:hAnsi="Arial" w:cs="Arial"/>
                <w:lang w:val="en"/>
              </w:rPr>
              <w:t xml:space="preserve"> (therapeutic); </w:t>
            </w:r>
            <w:hyperlink w:anchor="CRPStreatment" w:history="1">
              <w:r w:rsidRPr="00D61F73">
                <w:rPr>
                  <w:rStyle w:val="Hyperlink"/>
                  <w:rFonts w:ascii="Arial" w:eastAsia="Arial Unicode MS" w:hAnsi="Arial" w:cs="Arial"/>
                  <w:lang w:val="en"/>
                </w:rPr>
                <w:t>CRPS, treatment</w:t>
              </w:r>
            </w:hyperlink>
            <w:r w:rsidRPr="00D61F73">
              <w:rPr>
                <w:rFonts w:ascii="Arial" w:eastAsia="Arial Unicode MS" w:hAnsi="Arial" w:cs="Arial"/>
                <w:lang w:val="en"/>
              </w:rPr>
              <w:t>.</w:t>
            </w:r>
          </w:p>
          <w:p w14:paraId="43FAA057"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5. </w:t>
            </w:r>
            <w:r w:rsidRPr="00D61F73">
              <w:rPr>
                <w:rFonts w:ascii="Arial" w:eastAsia="Arial Unicode MS" w:hAnsi="Arial" w:cs="Arial"/>
                <w:u w:val="single"/>
                <w:lang w:val="en"/>
              </w:rPr>
              <w:t>Treatment of bone resorption</w:t>
            </w:r>
            <w:r w:rsidRPr="00D61F73">
              <w:rPr>
                <w:rFonts w:ascii="Arial" w:eastAsia="Arial Unicode MS" w:hAnsi="Arial" w:cs="Arial"/>
                <w:lang w:val="en"/>
              </w:rPr>
              <w:t xml:space="preserve"> and resultant pain with bisphosphonate-type compounds and calcitonin. Bisphosphonates include alendronate, ibandronate, risedronate, zoledronate, etidronate, and pamidronate. There is no research on the newer longer-lasting drugs that are administered by periodic IV infusion (ibandronate, zoledronate and pamidronate). Significant improvement has been found in limited studies with intravenous alendronate. Alendronate (Fosamax®) given in oral doses of 40 mg a day (over an 8-week period) produced improvements in pain, pressure tolerance and joint mobility. There has also been evidence of improvement of pain with pamidronate. Osteopenia was not an outcome. (</w:t>
            </w:r>
            <w:hyperlink w:anchor="Manicourt" w:history="1">
              <w:r w:rsidRPr="00D61F73">
                <w:rPr>
                  <w:rStyle w:val="Hyperlink"/>
                  <w:rFonts w:ascii="Arial" w:eastAsia="Arial Unicode MS" w:hAnsi="Arial" w:cs="Arial"/>
                  <w:lang w:val="en"/>
                </w:rPr>
                <w:t>Manicourt, 2004</w:t>
              </w:r>
            </w:hyperlink>
            <w:r w:rsidRPr="00D61F73">
              <w:rPr>
                <w:rFonts w:ascii="Arial" w:eastAsia="Arial Unicode MS" w:hAnsi="Arial" w:cs="Arial"/>
                <w:lang w:val="en"/>
              </w:rPr>
              <w:t xml:space="preserve">)  See also </w:t>
            </w:r>
            <w:hyperlink w:anchor="Bisphosphonates" w:history="1">
              <w:r w:rsidRPr="00D61F73">
                <w:rPr>
                  <w:rStyle w:val="Hyperlink"/>
                  <w:rFonts w:ascii="Arial" w:eastAsia="Arial Unicode MS" w:hAnsi="Arial" w:cs="Arial"/>
                  <w:lang w:val="en"/>
                </w:rPr>
                <w:t>Bisphosphonates.</w:t>
              </w:r>
            </w:hyperlink>
            <w:r w:rsidRPr="00D61F73">
              <w:rPr>
                <w:rFonts w:ascii="Arial" w:eastAsia="Arial Unicode MS" w:hAnsi="Arial" w:cs="Arial"/>
                <w:lang w:val="en"/>
              </w:rPr>
              <w:t xml:space="preserve"> Mixed results have been found with intranasal calcitonin (Miacalcin®). </w:t>
            </w:r>
            <w:r w:rsidRPr="00D61F73">
              <w:rPr>
                <w:rFonts w:ascii="Arial" w:hAnsi="Arial" w:cs="Arial"/>
              </w:rPr>
              <w:t>(</w:t>
            </w:r>
            <w:hyperlink w:anchor="Sahin" w:history="1">
              <w:r w:rsidRPr="00D61F73">
                <w:rPr>
                  <w:rStyle w:val="Hyperlink"/>
                  <w:rFonts w:ascii="Arial" w:hAnsi="Arial" w:cs="Arial"/>
                </w:rPr>
                <w:t>Sahin, 2005</w:t>
              </w:r>
            </w:hyperlink>
            <w:r w:rsidRPr="00D61F73">
              <w:rPr>
                <w:rFonts w:ascii="Arial" w:hAnsi="Arial" w:cs="Arial"/>
              </w:rPr>
              <w:t xml:space="preserve">) </w:t>
            </w:r>
            <w:r w:rsidRPr="00D61F73">
              <w:rPr>
                <w:rFonts w:ascii="Arial" w:eastAsia="Arial Unicode MS" w:hAnsi="Arial" w:cs="Arial"/>
                <w:lang w:val="en"/>
              </w:rPr>
              <w:t>(</w:t>
            </w:r>
            <w:hyperlink w:anchor="Appelboom" w:history="1">
              <w:r w:rsidRPr="00D61F73">
                <w:rPr>
                  <w:rStyle w:val="Hyperlink"/>
                  <w:rFonts w:ascii="Arial" w:eastAsia="Arial Unicode MS" w:hAnsi="Arial" w:cs="Arial"/>
                  <w:lang w:val="en"/>
                </w:rPr>
                <w:t>Appelboom, 2002</w:t>
              </w:r>
            </w:hyperlink>
            <w:r w:rsidRPr="00D61F73">
              <w:rPr>
                <w:rFonts w:ascii="Arial" w:eastAsia="Arial Unicode MS" w:hAnsi="Arial" w:cs="Arial"/>
                <w:lang w:val="en"/>
              </w:rPr>
              <w:t>) (</w:t>
            </w:r>
            <w:hyperlink w:anchor="Rowbotham2" w:history="1">
              <w:r w:rsidRPr="00D61F73">
                <w:rPr>
                  <w:rStyle w:val="Hyperlink"/>
                  <w:rFonts w:ascii="Arial" w:eastAsia="Arial Unicode MS" w:hAnsi="Arial" w:cs="Arial"/>
                  <w:lang w:val="en"/>
                </w:rPr>
                <w:t>Rowbathan, 2006</w:t>
              </w:r>
            </w:hyperlink>
            <w:r w:rsidRPr="00D61F73">
              <w:rPr>
                <w:rFonts w:ascii="Arial" w:eastAsia="Arial Unicode MS" w:hAnsi="Arial" w:cs="Arial"/>
                <w:lang w:val="en"/>
              </w:rPr>
              <w:t>) (</w:t>
            </w:r>
            <w:hyperlink w:anchor="Sharma" w:history="1">
              <w:r w:rsidRPr="00D61F73">
                <w:rPr>
                  <w:rStyle w:val="Hyperlink"/>
                  <w:rFonts w:ascii="Arial" w:eastAsia="Arial Unicode MS" w:hAnsi="Arial" w:cs="Arial"/>
                  <w:lang w:val="en"/>
                </w:rPr>
                <w:t>Sharma, 2006</w:t>
              </w:r>
            </w:hyperlink>
            <w:r w:rsidRPr="00D61F73">
              <w:rPr>
                <w:rFonts w:ascii="Arial" w:eastAsia="Arial Unicode MS" w:hAnsi="Arial" w:cs="Arial"/>
                <w:lang w:val="en"/>
              </w:rPr>
              <w:t>) (</w:t>
            </w:r>
            <w:hyperlink w:anchor="Perez" w:history="1">
              <w:r w:rsidRPr="00D61F73">
                <w:rPr>
                  <w:rStyle w:val="Hyperlink"/>
                  <w:rFonts w:ascii="Arial" w:eastAsia="Arial Unicode MS" w:hAnsi="Arial" w:cs="Arial"/>
                  <w:lang w:val="en"/>
                </w:rPr>
                <w:t>Perez, 2001</w:t>
              </w:r>
            </w:hyperlink>
            <w:r w:rsidRPr="00D61F73">
              <w:rPr>
                <w:rFonts w:ascii="Arial" w:eastAsia="Arial Unicode MS" w:hAnsi="Arial" w:cs="Arial"/>
                <w:lang w:val="en"/>
              </w:rPr>
              <w:t>) The mechanism of action of these drugs is uncertain.</w:t>
            </w:r>
          </w:p>
          <w:p w14:paraId="00E601A6"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6. </w:t>
            </w:r>
            <w:r w:rsidRPr="00D61F73">
              <w:rPr>
                <w:rFonts w:ascii="Arial" w:eastAsia="Arial Unicode MS" w:hAnsi="Arial" w:cs="Arial"/>
                <w:u w:val="single"/>
                <w:lang w:val="en"/>
              </w:rPr>
              <w:t xml:space="preserve">Treatment of dystonia: </w:t>
            </w:r>
            <w:r w:rsidRPr="00D61F73">
              <w:rPr>
                <w:rFonts w:ascii="Arial" w:eastAsia="Arial Unicode MS" w:hAnsi="Arial" w:cs="Arial"/>
                <w:lang w:val="en"/>
              </w:rPr>
              <w:t xml:space="preserve">Oral baclofen is a first-line option. Benzodiazepines and long-term use of muscle relaxants such as cyclobenzaprine are not recommended. </w:t>
            </w:r>
            <w:r w:rsidRPr="00D61F73">
              <w:rPr>
                <w:rFonts w:ascii="Arial" w:hAnsi="Arial" w:cs="Arial"/>
              </w:rPr>
              <w:t>(</w:t>
            </w:r>
            <w:hyperlink w:anchor="Harden2013" w:history="1">
              <w:r w:rsidRPr="00D61F73">
                <w:rPr>
                  <w:rStyle w:val="Hyperlink"/>
                  <w:rFonts w:ascii="Arial" w:hAnsi="Arial" w:cs="Arial"/>
                </w:rPr>
                <w:t>Harden, 2013</w:t>
              </w:r>
            </w:hyperlink>
            <w:r w:rsidRPr="00D61F73">
              <w:rPr>
                <w:rFonts w:ascii="Arial" w:hAnsi="Arial" w:cs="Arial"/>
              </w:rPr>
              <w:t>)</w:t>
            </w:r>
          </w:p>
          <w:p w14:paraId="12DA0131"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7. </w:t>
            </w:r>
            <w:r w:rsidRPr="00D61F73">
              <w:rPr>
                <w:rFonts w:ascii="Arial" w:eastAsia="Arial Unicode MS" w:hAnsi="Arial" w:cs="Arial"/>
                <w:u w:val="single"/>
                <w:lang w:val="en"/>
              </w:rPr>
              <w:t xml:space="preserve">Treatment considered experimental and not recommended: </w:t>
            </w:r>
            <w:r w:rsidRPr="00D61F73">
              <w:rPr>
                <w:rFonts w:ascii="Arial" w:eastAsia="Arial Unicode MS" w:hAnsi="Arial" w:cs="Arial"/>
                <w:lang w:val="en"/>
              </w:rPr>
              <w:t xml:space="preserve"> IVIG, Sildenafil</w:t>
            </w:r>
          </w:p>
        </w:tc>
      </w:tr>
      <w:tr w:rsidR="00E648FC" w:rsidRPr="00D61F73" w14:paraId="6F61EC21" w14:textId="77777777" w:rsidTr="0078164D">
        <w:tc>
          <w:tcPr>
            <w:tcW w:w="1086" w:type="pct"/>
          </w:tcPr>
          <w:p w14:paraId="6D2AE37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60" w:name="CRPSpathophysiology"/>
            <w:bookmarkEnd w:id="160"/>
            <w:r w:rsidRPr="00D61F73">
              <w:rPr>
                <w:rFonts w:ascii="Arial" w:hAnsi="Arial" w:cs="Arial"/>
              </w:rPr>
              <w:t>RPS, pathophysiology (clinical presentation &amp; diagnostic criteria)</w:t>
            </w:r>
          </w:p>
        </w:tc>
        <w:tc>
          <w:tcPr>
            <w:tcW w:w="3914" w:type="pct"/>
          </w:tcPr>
          <w:p w14:paraId="21650807" w14:textId="77777777" w:rsidR="00E648FC" w:rsidRPr="00D61F73" w:rsidRDefault="00E648FC" w:rsidP="00D61F73">
            <w:pPr>
              <w:rPr>
                <w:rFonts w:ascii="Arial" w:eastAsia="Arial Unicode MS" w:hAnsi="Arial" w:cs="Arial"/>
                <w:color w:val="auto"/>
                <w:lang w:val="en"/>
              </w:rPr>
            </w:pPr>
            <w:r w:rsidRPr="00D61F73">
              <w:rPr>
                <w:rFonts w:ascii="Arial" w:hAnsi="Arial" w:cs="Arial"/>
              </w:rPr>
              <w:t>Recommend</w:t>
            </w:r>
            <w:r w:rsidRPr="00D61F73">
              <w:rPr>
                <w:rFonts w:ascii="Arial" w:eastAsia="Arial Unicode MS" w:hAnsi="Arial" w:cs="Arial"/>
                <w:lang w:val="en"/>
              </w:rPr>
              <w:t xml:space="preserve"> using a combination of criteria as per the revised </w:t>
            </w:r>
            <w:hyperlink r:id="rId57" w:anchor="t3" w:history="1">
              <w:r w:rsidRPr="00D61F73">
                <w:rPr>
                  <w:rStyle w:val="Hyperlink"/>
                  <w:rFonts w:ascii="Arial" w:eastAsia="Arial Unicode MS" w:hAnsi="Arial" w:cs="Arial"/>
                  <w:lang w:val="en"/>
                </w:rPr>
                <w:t>Budapest (Harden) criteria</w:t>
              </w:r>
            </w:hyperlink>
            <w:r w:rsidRPr="00D61F73">
              <w:rPr>
                <w:rFonts w:ascii="Arial" w:eastAsia="Arial Unicode MS" w:hAnsi="Arial" w:cs="Arial"/>
                <w:lang w:val="en"/>
              </w:rPr>
              <w:t xml:space="preserve"> as indicated below to make this diagnosis. There are no objective gold-standard diagnostic criteria for CRPS I or II. The diagnosis is based on what are predominately subjective criteria which are shared by many other diseases (see </w:t>
            </w:r>
            <w:hyperlink w:anchor="DifferentialDiagnosesCRPS" w:history="1">
              <w:r w:rsidRPr="00D61F73">
                <w:rPr>
                  <w:rStyle w:val="Hyperlink"/>
                  <w:rFonts w:ascii="Arial" w:eastAsia="Arial Unicode MS" w:hAnsi="Arial" w:cs="Arial"/>
                  <w:i/>
                  <w:lang w:val="en"/>
                </w:rPr>
                <w:t>Differential diagnosis</w:t>
              </w:r>
            </w:hyperlink>
            <w:r w:rsidRPr="00D61F73">
              <w:rPr>
                <w:rFonts w:ascii="Arial" w:eastAsia="Arial Unicode MS" w:hAnsi="Arial" w:cs="Arial"/>
                <w:lang w:val="en"/>
              </w:rPr>
              <w:t xml:space="preserve"> below). Current diagnostic criteria specifically indicate that there can be no other diagnosis that better explains signs and symptoms. </w:t>
            </w:r>
            <w:r w:rsidRPr="00D61F73">
              <w:rPr>
                <w:rFonts w:ascii="Arial" w:hAnsi="Arial" w:cs="Arial"/>
              </w:rPr>
              <w:t>The importance of establishing a correct diagnosis and to prevent potentially harmful and/ or unwarranted treatment cannot be emphasized enough.</w:t>
            </w:r>
          </w:p>
          <w:p w14:paraId="3BF1A639"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b/>
                <w:i/>
                <w:lang w:val="en"/>
              </w:rPr>
              <w:lastRenderedPageBreak/>
              <w:t xml:space="preserve">Pathophysiology: </w:t>
            </w:r>
            <w:r w:rsidRPr="00D61F73">
              <w:rPr>
                <w:rFonts w:ascii="Arial" w:eastAsia="Arial Unicode MS" w:hAnsi="Arial" w:cs="Arial"/>
                <w:lang w:val="en"/>
              </w:rPr>
              <w:t>Multiple hypotheses have been promoted to explain both CRPS I and II. These include peripheral mechanisms that are inflammatory, altered cutaneous innervation after injury, peripheral sensitization, altered sympathetic and catecholaminergic function, altered somatosensory representation in the brain, genetic factors, central mechanisms, and psychophysiological interactions. Lab findings have included signs of increased neurogenic inflammation, small fiber neuropathy, tissue hypoxia and altered immune response. Most researchers feel that the interaction between these multiple pathways is what explains the heterogeneity of presentation and course. (</w:t>
            </w:r>
            <w:hyperlink w:anchor="Marinus2011" w:history="1">
              <w:r w:rsidRPr="00D61F73">
                <w:rPr>
                  <w:rStyle w:val="Hyperlink"/>
                  <w:rFonts w:ascii="Arial" w:eastAsia="Arial Unicode MS" w:hAnsi="Arial" w:cs="Arial"/>
                  <w:lang w:val="en"/>
                </w:rPr>
                <w:t>Marinus, 2011</w:t>
              </w:r>
            </w:hyperlink>
            <w:r w:rsidRPr="00D61F73">
              <w:rPr>
                <w:rFonts w:ascii="Arial" w:eastAsia="Arial Unicode MS" w:hAnsi="Arial" w:cs="Arial"/>
                <w:lang w:val="en"/>
              </w:rPr>
              <w:t>) (</w:t>
            </w:r>
            <w:hyperlink w:anchor="Bruehl2010" w:history="1">
              <w:r w:rsidRPr="00D61F73">
                <w:rPr>
                  <w:rStyle w:val="Hyperlink"/>
                  <w:rFonts w:ascii="Arial" w:eastAsia="Arial Unicode MS" w:hAnsi="Arial" w:cs="Arial"/>
                  <w:lang w:val="en"/>
                </w:rPr>
                <w:t>Bruehl, 2010</w:t>
              </w:r>
            </w:hyperlink>
            <w:r w:rsidRPr="00D61F73">
              <w:rPr>
                <w:rFonts w:ascii="Arial" w:eastAsia="Arial Unicode MS" w:hAnsi="Arial" w:cs="Arial"/>
                <w:lang w:val="en"/>
              </w:rPr>
              <w:t>) The associations of non-dermatomal patterns of pain, unusual movement disorders and somatovisceral dysfunction have been particularly difficult to explain. In addition, the objective physical signs of CRPS, including imaging, can be created with disuse and or physical manipulation. (</w:t>
            </w:r>
            <w:hyperlink w:anchor="Cooper2013a" w:history="1">
              <w:r w:rsidRPr="00D61F73">
                <w:rPr>
                  <w:rStyle w:val="Hyperlink"/>
                  <w:rFonts w:ascii="Arial" w:eastAsia="Arial Unicode MS" w:hAnsi="Arial" w:cs="Arial"/>
                  <w:lang w:val="en"/>
                </w:rPr>
                <w:t>Cooper, 2013</w:t>
              </w:r>
            </w:hyperlink>
            <w:r w:rsidRPr="00D61F73">
              <w:rPr>
                <w:rFonts w:ascii="Arial" w:eastAsia="Arial Unicode MS" w:hAnsi="Arial" w:cs="Arial"/>
                <w:lang w:val="en"/>
              </w:rPr>
              <w:t>) (</w:t>
            </w:r>
            <w:hyperlink w:anchor="Bruehl2010" w:history="1">
              <w:r w:rsidRPr="00D61F73">
                <w:rPr>
                  <w:rStyle w:val="Hyperlink"/>
                  <w:rFonts w:ascii="Arial" w:eastAsia="Arial Unicode MS" w:hAnsi="Arial" w:cs="Arial"/>
                  <w:lang w:val="en"/>
                </w:rPr>
                <w:t>Bruehl, 2010</w:t>
              </w:r>
            </w:hyperlink>
            <w:r w:rsidRPr="00D61F73">
              <w:rPr>
                <w:rFonts w:ascii="Arial" w:eastAsia="Arial Unicode MS" w:hAnsi="Arial" w:cs="Arial"/>
                <w:lang w:val="en"/>
              </w:rPr>
              <w:t>) (</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 (</w:t>
            </w:r>
            <w:hyperlink w:anchor="Goebel2012" w:history="1">
              <w:r w:rsidRPr="00D61F73">
                <w:rPr>
                  <w:rStyle w:val="Hyperlink"/>
                  <w:rFonts w:ascii="Arial" w:eastAsia="Arial Unicode MS" w:hAnsi="Arial" w:cs="Arial"/>
                  <w:lang w:val="en"/>
                </w:rPr>
                <w:t>Goebel, 2012</w:t>
              </w:r>
            </w:hyperlink>
            <w:r w:rsidRPr="00D61F73">
              <w:rPr>
                <w:rFonts w:ascii="Arial" w:eastAsia="Arial Unicode MS" w:hAnsi="Arial" w:cs="Arial"/>
                <w:lang w:val="en"/>
              </w:rPr>
              <w:t>) (</w:t>
            </w:r>
            <w:hyperlink w:anchor="RodriguezMoreno1990" w:history="1">
              <w:r w:rsidRPr="00D61F73">
                <w:rPr>
                  <w:rStyle w:val="Hyperlink"/>
                  <w:rFonts w:ascii="Arial" w:eastAsia="Arial Unicode MS" w:hAnsi="Arial" w:cs="Arial"/>
                  <w:lang w:val="en"/>
                </w:rPr>
                <w:t>Rodriguez-Moreno, 1990</w:t>
              </w:r>
            </w:hyperlink>
            <w:r w:rsidRPr="00D61F73">
              <w:rPr>
                <w:rFonts w:ascii="Arial" w:eastAsia="Arial Unicode MS" w:hAnsi="Arial" w:cs="Arial"/>
                <w:lang w:val="en"/>
              </w:rPr>
              <w:t>)</w:t>
            </w:r>
          </w:p>
          <w:p w14:paraId="40829C98" w14:textId="77777777" w:rsidR="00E648FC" w:rsidRPr="00D61F73" w:rsidRDefault="00E648FC" w:rsidP="00D61F73">
            <w:pPr>
              <w:rPr>
                <w:rFonts w:ascii="Arial" w:hAnsi="Arial" w:cs="Arial"/>
                <w:b/>
                <w:i/>
              </w:rPr>
            </w:pPr>
            <w:r w:rsidRPr="00D61F73">
              <w:rPr>
                <w:rFonts w:ascii="Arial" w:eastAsia="Arial Unicode MS" w:hAnsi="Arial" w:cs="Arial"/>
                <w:b/>
                <w:i/>
                <w:lang w:val="en"/>
              </w:rPr>
              <w:t>CRPS Criteria</w:t>
            </w:r>
          </w:p>
          <w:p w14:paraId="6DBE3C6C" w14:textId="77777777" w:rsidR="00E648FC" w:rsidRPr="00D61F73" w:rsidRDefault="00E648FC" w:rsidP="00D61F73">
            <w:pPr>
              <w:rPr>
                <w:rFonts w:ascii="Arial" w:eastAsia="Arial Unicode MS" w:hAnsi="Arial" w:cs="Arial"/>
                <w:b/>
                <w:bCs/>
                <w:lang w:val="en"/>
              </w:rPr>
            </w:pPr>
            <w:r w:rsidRPr="00D61F73">
              <w:rPr>
                <w:rFonts w:ascii="Arial" w:eastAsia="Arial Unicode MS" w:hAnsi="Arial" w:cs="Arial"/>
                <w:b/>
                <w:bCs/>
                <w:lang w:val="en"/>
              </w:rPr>
              <w:t>A. CRPS-I (previously referred to as reflex sympathetic dystrophy RSD):</w:t>
            </w:r>
          </w:p>
          <w:p w14:paraId="3620E6D5" w14:textId="77777777" w:rsidR="00E648FC" w:rsidRPr="00D61F73" w:rsidRDefault="00E648FC" w:rsidP="00D61F73">
            <w:pPr>
              <w:rPr>
                <w:rFonts w:ascii="Arial" w:hAnsi="Arial" w:cs="Arial"/>
              </w:rPr>
            </w:pPr>
            <w:r w:rsidRPr="00D61F73">
              <w:rPr>
                <w:rFonts w:ascii="Arial" w:hAnsi="Arial" w:cs="Arial"/>
              </w:rPr>
              <w:t>The three criteria generally identified in the literature include those suggested by Veldman et al., those originally suggested by the IASP, and a further modification of the latter referred to as the Budapest (Harden) criteria. Agreement between the three sets is poor, with the most frequent diagnoses made using the original IASP criteria and the lowest using the Budapest criteria. A major problem is that depending on the diagnostic criteria utilized, comparability of studies is compromised. The risk of misdiagnosis increases depending on the point of reference.</w:t>
            </w:r>
          </w:p>
          <w:p w14:paraId="27444CED" w14:textId="77777777" w:rsidR="00E648FC" w:rsidRPr="00D61F73" w:rsidRDefault="00E648FC" w:rsidP="00D61F73">
            <w:pPr>
              <w:rPr>
                <w:rFonts w:ascii="Arial" w:hAnsi="Arial" w:cs="Arial"/>
              </w:rPr>
            </w:pPr>
            <w:r w:rsidRPr="00D61F73">
              <w:rPr>
                <w:rFonts w:ascii="Arial" w:eastAsia="Arial Unicode MS" w:hAnsi="Arial" w:cs="Arial"/>
                <w:u w:val="single"/>
                <w:lang w:val="en"/>
              </w:rPr>
              <w:t>Veldman Criteria:</w:t>
            </w:r>
            <w:r w:rsidRPr="00D61F73">
              <w:rPr>
                <w:rFonts w:ascii="Arial" w:eastAsia="Arial Unicode MS" w:hAnsi="Arial" w:cs="Arial"/>
                <w:lang w:val="en"/>
              </w:rPr>
              <w:t xml:space="preserve"> (1) At least four out of five signs or symptoms must be present (pain, difference in skin color, edema, difference in skin temperature and active range of motion); (2) Signs and symptoms are present in an area larger than might be expected of initial trauma; (3) An increase of signs and/or symptoms occur during or after exercise. (</w:t>
            </w:r>
            <w:hyperlink w:anchor="Veldman1993" w:history="1">
              <w:r w:rsidRPr="00D61F73">
                <w:rPr>
                  <w:rStyle w:val="Hyperlink"/>
                  <w:rFonts w:ascii="Arial" w:eastAsia="Arial Unicode MS" w:hAnsi="Arial" w:cs="Arial"/>
                  <w:lang w:val="en"/>
                </w:rPr>
                <w:t>Veldman, 1993</w:t>
              </w:r>
            </w:hyperlink>
            <w:r w:rsidRPr="00D61F73">
              <w:rPr>
                <w:rFonts w:ascii="Arial" w:eastAsia="Arial Unicode MS" w:hAnsi="Arial" w:cs="Arial"/>
                <w:lang w:val="en"/>
              </w:rPr>
              <w:t xml:space="preserve">) </w:t>
            </w:r>
          </w:p>
          <w:p w14:paraId="0247E7E2"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u w:val="single"/>
                <w:lang w:val="en"/>
              </w:rPr>
              <w:t>The IASP (International Association for the Study of Pain)</w:t>
            </w:r>
            <w:r w:rsidRPr="00D61F73">
              <w:rPr>
                <w:rFonts w:ascii="Arial" w:eastAsia="Arial Unicode MS" w:hAnsi="Arial" w:cs="Arial"/>
                <w:lang w:val="en"/>
              </w:rPr>
              <w:t xml:space="preserve"> early on defined this diagnosis as a variety of painful conditions following injury which appear regionally, having a distal predominance of abnormal findings, exceeding in both magnitude and duration the expected clinical course of the inciting event, often resulting in significant impairment of motor function, and showing variable progression over time. (</w:t>
            </w:r>
            <w:hyperlink w:anchor="StantonHicks" w:history="1">
              <w:r w:rsidRPr="00D61F73">
                <w:rPr>
                  <w:rStyle w:val="Hyperlink"/>
                  <w:rFonts w:ascii="Arial" w:eastAsia="Arial Unicode MS" w:hAnsi="Arial" w:cs="Arial"/>
                  <w:lang w:val="en"/>
                </w:rPr>
                <w:t>Stanton-Hicks, 1995</w:t>
              </w:r>
            </w:hyperlink>
            <w:r w:rsidRPr="00D61F73">
              <w:rPr>
                <w:rFonts w:ascii="Arial" w:eastAsia="Arial Unicode MS" w:hAnsi="Arial" w:cs="Arial"/>
                <w:lang w:val="en"/>
              </w:rPr>
              <w:t xml:space="preserve">) Diagnostic criteria defined by IASP in 1994 were the following: (1) The presence of an initiating noxious event or cause of immobilization that leads to development of the syndrome; (2) Continuing pain, allodynia, or hyperalgesia which is disproportionate to the inciting event and/or spontaneous pain in the absence of external stimuli; (3) Evidence </w:t>
            </w:r>
            <w:r w:rsidRPr="00D61F73">
              <w:rPr>
                <w:rFonts w:ascii="Arial" w:eastAsia="Arial Unicode MS" w:hAnsi="Arial" w:cs="Arial"/>
                <w:i/>
                <w:iCs/>
                <w:lang w:val="en"/>
              </w:rPr>
              <w:t>at some time</w:t>
            </w:r>
            <w:r w:rsidRPr="00D61F73">
              <w:rPr>
                <w:rFonts w:ascii="Arial" w:eastAsia="Arial Unicode MS" w:hAnsi="Arial" w:cs="Arial"/>
                <w:lang w:val="en"/>
              </w:rPr>
              <w:t xml:space="preserve"> of edema, changes in skin blood flow, or abnormal sudomotor activity in the pain region; &amp; (4) The diagnosis is excluded by the existence of conditions that would otherwise account for the degree of pain or dysfunction. Criteria 2-4 must be satisfied to make the diagnosis. These criteria were found to be able to pick up a true positive with few false negatives (sensitivity 99% to 100%), but their use resulted in a large </w:t>
            </w:r>
            <w:r w:rsidRPr="00D61F73">
              <w:rPr>
                <w:rFonts w:ascii="Arial" w:eastAsia="Arial Unicode MS" w:hAnsi="Arial" w:cs="Arial"/>
                <w:lang w:val="en"/>
              </w:rPr>
              <w:lastRenderedPageBreak/>
              <w:t>number of false positives (specificity range of 36% to 55%). (</w:t>
            </w:r>
            <w:hyperlink w:anchor="Bruehl2" w:history="1">
              <w:r w:rsidRPr="00D61F73">
                <w:rPr>
                  <w:rStyle w:val="Hyperlink"/>
                  <w:rFonts w:ascii="Arial" w:eastAsia="Arial Unicode MS" w:hAnsi="Arial" w:cs="Arial"/>
                  <w:lang w:val="en"/>
                </w:rPr>
                <w:t>Bruehl, 1999</w:t>
              </w:r>
            </w:hyperlink>
            <w:r w:rsidRPr="00D61F73">
              <w:rPr>
                <w:rFonts w:ascii="Arial" w:eastAsia="Arial Unicode MS" w:hAnsi="Arial" w:cs="Arial"/>
                <w:lang w:val="en"/>
              </w:rPr>
              <w:t>) (</w:t>
            </w:r>
            <w:hyperlink w:anchor="Galer" w:history="1">
              <w:r w:rsidRPr="00D61F73">
                <w:rPr>
                  <w:rStyle w:val="Hyperlink"/>
                  <w:rFonts w:ascii="Arial" w:eastAsia="Arial Unicode MS" w:hAnsi="Arial" w:cs="Arial"/>
                  <w:lang w:val="en"/>
                </w:rPr>
                <w:t>Galer, 1998</w:t>
              </w:r>
            </w:hyperlink>
            <w:r w:rsidRPr="00D61F73">
              <w:rPr>
                <w:rFonts w:ascii="Arial" w:eastAsia="Arial Unicode MS" w:hAnsi="Arial" w:cs="Arial"/>
                <w:lang w:val="en"/>
              </w:rPr>
              <w:t>) Up to 37% of patients with painful diabetic neuropathy may meet the clinical criteria for CRPS using the original diagnostic criteria. (</w:t>
            </w:r>
            <w:hyperlink w:anchor="Quisel2" w:history="1">
              <w:r w:rsidRPr="00D61F73">
                <w:rPr>
                  <w:rStyle w:val="Hyperlink"/>
                  <w:rFonts w:ascii="Arial" w:eastAsia="Arial Unicode MS" w:hAnsi="Arial" w:cs="Arial"/>
                  <w:lang w:val="en"/>
                </w:rPr>
                <w:t>Quisel, 2005</w:t>
              </w:r>
            </w:hyperlink>
            <w:r w:rsidRPr="00D61F73">
              <w:rPr>
                <w:rFonts w:ascii="Arial" w:eastAsia="Arial Unicode MS" w:hAnsi="Arial" w:cs="Arial"/>
                <w:lang w:val="en"/>
              </w:rPr>
              <w:t xml:space="preserve">) </w:t>
            </w:r>
          </w:p>
          <w:p w14:paraId="1B977D08" w14:textId="77777777" w:rsidR="00E648FC" w:rsidRPr="00D61F73" w:rsidRDefault="00E648FC" w:rsidP="00D61F73">
            <w:pPr>
              <w:rPr>
                <w:rFonts w:ascii="Arial" w:eastAsia="Arial Unicode MS" w:hAnsi="Arial" w:cs="Arial"/>
                <w:color w:val="0000FF"/>
                <w:u w:val="single"/>
                <w:lang w:val="en"/>
              </w:rPr>
            </w:pPr>
            <w:r w:rsidRPr="00D61F73">
              <w:rPr>
                <w:rFonts w:ascii="Arial" w:eastAsia="Arial Unicode MS" w:hAnsi="Arial" w:cs="Arial"/>
                <w:u w:val="single"/>
                <w:lang w:val="en"/>
              </w:rPr>
              <w:t>The Budapest (Harden) Criteria</w:t>
            </w:r>
            <w:r w:rsidRPr="00D61F73">
              <w:rPr>
                <w:rFonts w:ascii="Arial" w:eastAsia="Arial Unicode MS" w:hAnsi="Arial" w:cs="Arial"/>
                <w:lang w:val="en"/>
              </w:rPr>
              <w:t xml:space="preserve"> represent a revision of the above IASP Criteria. There are two versions of these proposed diagnostic criteria. A </w:t>
            </w:r>
            <w:r w:rsidRPr="00D61F73">
              <w:rPr>
                <w:rFonts w:ascii="Arial" w:eastAsia="Arial Unicode MS" w:hAnsi="Arial" w:cs="Arial"/>
                <w:i/>
                <w:lang w:val="en"/>
              </w:rPr>
              <w:t>diagnostic version</w:t>
            </w:r>
            <w:r w:rsidRPr="00D61F73">
              <w:rPr>
                <w:rFonts w:ascii="Arial" w:eastAsia="Arial Unicode MS" w:hAnsi="Arial" w:cs="Arial"/>
                <w:lang w:val="en"/>
              </w:rPr>
              <w:t xml:space="preserve"> was developed to maximize sensitivity (identify true positive cases) with adequate specificity (i.e. avoiding a false positive diagnosis). A </w:t>
            </w:r>
            <w:r w:rsidRPr="00D61F73">
              <w:rPr>
                <w:rFonts w:ascii="Arial" w:eastAsia="Arial Unicode MS" w:hAnsi="Arial" w:cs="Arial"/>
                <w:i/>
                <w:lang w:val="en"/>
              </w:rPr>
              <w:t>research version</w:t>
            </w:r>
            <w:r w:rsidRPr="00D61F73">
              <w:rPr>
                <w:rFonts w:ascii="Arial" w:eastAsia="Arial Unicode MS" w:hAnsi="Arial" w:cs="Arial"/>
                <w:lang w:val="en"/>
              </w:rPr>
              <w:t xml:space="preserve"> was developed to more equally balance sensitivity and specificity. The </w:t>
            </w:r>
            <w:r w:rsidRPr="00D61F73">
              <w:rPr>
                <w:rFonts w:ascii="Arial" w:eastAsia="Arial Unicode MS" w:hAnsi="Arial" w:cs="Arial"/>
                <w:i/>
                <w:lang w:val="en"/>
              </w:rPr>
              <w:t>diagnostic criteria</w:t>
            </w:r>
            <w:r w:rsidRPr="00D61F73">
              <w:rPr>
                <w:rFonts w:ascii="Arial" w:eastAsia="Arial Unicode MS" w:hAnsi="Arial" w:cs="Arial"/>
                <w:lang w:val="en"/>
              </w:rPr>
              <w:t xml:space="preserve"> are the following: (1) Continuing pain, which is disproportionate to any inciting event; (2) Must report at least one symptom in </w:t>
            </w:r>
            <w:r w:rsidRPr="00D61F73">
              <w:rPr>
                <w:rFonts w:ascii="Arial" w:eastAsia="Arial Unicode MS" w:hAnsi="Arial" w:cs="Arial"/>
                <w:i/>
                <w:lang w:val="en"/>
              </w:rPr>
              <w:t>three of the four</w:t>
            </w:r>
            <w:r w:rsidRPr="00D61F73">
              <w:rPr>
                <w:rFonts w:ascii="Arial" w:eastAsia="Arial Unicode MS" w:hAnsi="Arial" w:cs="Arial"/>
                <w:lang w:val="en"/>
              </w:rPr>
              <w:t xml:space="preserve"> following categories: (a) Sensory: Reports of hyperesthesia and/or allodynia; (b) Vasomotor: Reports of temperature asymmetry and/or skin color changes and/or skin color asymmetry; (c) Sudomotor/Edema: Reports of edema and/or sweating changes and/or sweating asymmetry; (d) Motor/Trophic: Reports of decreased range of motion and/or motor dysfunction (weakness, tremor, dystonia) and/or trophic changes (hair, nail, skin); (3) Must display at least one sign at time of evaluation in two or more of the following categories: (a) Sensory: Evidence of hyperalgesia (to pinprick) and/or allodynia (to light touch and/or temperature sensation and/or deep somatic pressure and/or joint movement); (b) Vasomotor: Evidence of temperature asymmetry (&gt;1°C) and/or skin color changes and/or asymmetry; (c) Sudomotor/Edema: Evidence of edema and/or sweating changes and/or sweating asymmetry; (d) Motor/Trophic: Evidence of decreased range of motion and/or motor dysfunction (weakness, tremor, dystonia) and/or trophic changes (hair, nail, skin); (4) There is no other diagnosis that better explains the signs and symptoms. (</w:t>
            </w:r>
            <w:hyperlink w:anchor="Harden2" w:history="1">
              <w:r w:rsidRPr="00D61F73">
                <w:rPr>
                  <w:rStyle w:val="Hyperlink"/>
                  <w:rFonts w:ascii="Arial" w:eastAsia="Arial Unicode MS" w:hAnsi="Arial" w:cs="Arial"/>
                  <w:lang w:val="en"/>
                </w:rPr>
                <w:t>Harden, 2007</w:t>
              </w:r>
            </w:hyperlink>
            <w:r w:rsidRPr="00D61F73">
              <w:rPr>
                <w:rFonts w:ascii="Arial" w:eastAsia="Arial Unicode MS" w:hAnsi="Arial" w:cs="Arial"/>
                <w:lang w:val="en"/>
              </w:rPr>
              <w:t>) (</w:t>
            </w:r>
            <w:hyperlink w:anchor="Harden2010" w:history="1">
              <w:r w:rsidRPr="00D61F73">
                <w:rPr>
                  <w:rStyle w:val="Hyperlink"/>
                  <w:rFonts w:ascii="Arial" w:eastAsia="Arial Unicode MS" w:hAnsi="Arial" w:cs="Arial"/>
                  <w:lang w:val="en"/>
                </w:rPr>
                <w:t>Harden, 2010</w:t>
              </w:r>
            </w:hyperlink>
            <w:r w:rsidRPr="00D61F73">
              <w:rPr>
                <w:rFonts w:ascii="Arial" w:eastAsia="Arial Unicode MS" w:hAnsi="Arial" w:cs="Arial"/>
                <w:lang w:val="en"/>
              </w:rPr>
              <w:t xml:space="preserve">) This diagnostic version produces a sensitivity of 85% and specificity of 69%. The research version requires reporting of at least one symptom in </w:t>
            </w:r>
            <w:r w:rsidRPr="00D61F73">
              <w:rPr>
                <w:rFonts w:ascii="Arial" w:eastAsia="Arial Unicode MS" w:hAnsi="Arial" w:cs="Arial"/>
                <w:i/>
                <w:lang w:val="en"/>
              </w:rPr>
              <w:t>each of the four</w:t>
            </w:r>
            <w:r w:rsidRPr="00D61F73">
              <w:rPr>
                <w:rFonts w:ascii="Arial" w:eastAsia="Arial Unicode MS" w:hAnsi="Arial" w:cs="Arial"/>
                <w:lang w:val="en"/>
              </w:rPr>
              <w:t xml:space="preserve"> categories (vs. in three of the four in the diagnostic version). This provides a sensitivity of 70% and specificity of 96%. (</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w:t>
            </w:r>
          </w:p>
          <w:p w14:paraId="1DA44AAB" w14:textId="77777777" w:rsidR="00E648FC" w:rsidRPr="00D61F73" w:rsidRDefault="00E648FC" w:rsidP="00D61F73">
            <w:pPr>
              <w:rPr>
                <w:rFonts w:ascii="Arial" w:hAnsi="Arial" w:cs="Arial"/>
                <w:color w:val="auto"/>
              </w:rPr>
            </w:pPr>
            <w:r w:rsidRPr="00D61F73">
              <w:rPr>
                <w:rFonts w:ascii="Arial" w:hAnsi="Arial" w:cs="Arial"/>
                <w:u w:val="single"/>
              </w:rPr>
              <w:t xml:space="preserve">AMA Guidelines: </w:t>
            </w:r>
            <w:r w:rsidRPr="00D61F73">
              <w:rPr>
                <w:rFonts w:ascii="Arial" w:hAnsi="Arial" w:cs="Arial"/>
              </w:rPr>
              <w:t>This group puts a strong emphasis on the differential diagnostic process. They point out that there is no gold standard diagnostic feature which reliably distinguishes the diagnosis of CRPS for presentations that clearly are not CRPS. They state, “Scientific findings have actually indicated that whenever this diagnosis is made, it is probably incorrect.” (</w:t>
            </w:r>
            <w:hyperlink r:id="rId58" w:history="1">
              <w:r w:rsidRPr="00D61F73">
                <w:rPr>
                  <w:rStyle w:val="Hyperlink"/>
                  <w:rFonts w:ascii="Arial" w:hAnsi="Arial" w:cs="Arial"/>
                </w:rPr>
                <w:t>AMA Guides, 6th ed</w:t>
              </w:r>
            </w:hyperlink>
            <w:r w:rsidRPr="00D61F73">
              <w:rPr>
                <w:rFonts w:ascii="Arial" w:hAnsi="Arial" w:cs="Arial"/>
              </w:rPr>
              <w:t>.)</w:t>
            </w:r>
          </w:p>
          <w:p w14:paraId="42D1336D" w14:textId="77777777" w:rsidR="00E648FC" w:rsidRPr="00D61F73" w:rsidRDefault="00E648FC" w:rsidP="00D61F73">
            <w:pPr>
              <w:rPr>
                <w:rFonts w:ascii="Arial" w:hAnsi="Arial" w:cs="Arial"/>
              </w:rPr>
            </w:pPr>
            <w:r w:rsidRPr="00D61F73">
              <w:rPr>
                <w:rFonts w:ascii="Arial" w:hAnsi="Arial" w:cs="Arial"/>
              </w:rPr>
              <w:t>Other authors have questioned the usefulness of diagnostic testing over and above history and physical findings. (</w:t>
            </w:r>
            <w:hyperlink w:anchor="Quisel2" w:history="1">
              <w:r w:rsidRPr="00D61F73">
                <w:rPr>
                  <w:rStyle w:val="Hyperlink"/>
                  <w:rFonts w:ascii="Arial" w:hAnsi="Arial" w:cs="Arial"/>
                </w:rPr>
                <w:t>Quisel, 2005</w:t>
              </w:r>
            </w:hyperlink>
            <w:r w:rsidRPr="00D61F73">
              <w:rPr>
                <w:rFonts w:ascii="Arial" w:hAnsi="Arial" w:cs="Arial"/>
              </w:rPr>
              <w:t>) (</w:t>
            </w:r>
            <w:hyperlink w:anchor="Yung" w:history="1">
              <w:r w:rsidRPr="00D61F73">
                <w:rPr>
                  <w:rStyle w:val="Hyperlink"/>
                  <w:rFonts w:ascii="Arial" w:hAnsi="Arial" w:cs="Arial"/>
                </w:rPr>
                <w:t>Yung, 2003</w:t>
              </w:r>
            </w:hyperlink>
            <w:r w:rsidRPr="00D61F73">
              <w:rPr>
                <w:rFonts w:ascii="Arial" w:hAnsi="Arial" w:cs="Arial"/>
              </w:rPr>
              <w:t>) (</w:t>
            </w:r>
            <w:hyperlink w:anchor="Perez2" w:history="1">
              <w:r w:rsidRPr="00D61F73">
                <w:rPr>
                  <w:rStyle w:val="Hyperlink"/>
                  <w:rFonts w:ascii="Arial" w:hAnsi="Arial" w:cs="Arial"/>
                </w:rPr>
                <w:t>Perez2, 2005</w:t>
              </w:r>
            </w:hyperlink>
            <w:r w:rsidRPr="00D61F73">
              <w:rPr>
                <w:rFonts w:ascii="Arial" w:hAnsi="Arial" w:cs="Arial"/>
              </w:rPr>
              <w:t>) It is suggested that a negative diagnostic test should not question a clinically typical presentation of CRPS and should not delay treatment. (</w:t>
            </w:r>
            <w:hyperlink w:anchor="Birklein" w:history="1">
              <w:r w:rsidRPr="00D61F73">
                <w:rPr>
                  <w:rStyle w:val="Hyperlink"/>
                  <w:rFonts w:ascii="Arial" w:hAnsi="Arial" w:cs="Arial"/>
                </w:rPr>
                <w:t>Birklein, 2005</w:t>
              </w:r>
            </w:hyperlink>
            <w:r w:rsidRPr="00D61F73">
              <w:rPr>
                <w:rFonts w:ascii="Arial" w:hAnsi="Arial" w:cs="Arial"/>
              </w:rPr>
              <w:t>)</w:t>
            </w:r>
          </w:p>
          <w:p w14:paraId="6EAEA400" w14:textId="77777777" w:rsidR="00E648FC" w:rsidRPr="00D61F73" w:rsidRDefault="00E648FC" w:rsidP="00D61F73">
            <w:pPr>
              <w:rPr>
                <w:rFonts w:ascii="Arial" w:hAnsi="Arial" w:cs="Arial"/>
                <w:b/>
              </w:rPr>
            </w:pPr>
            <w:r w:rsidRPr="00D61F73">
              <w:rPr>
                <w:rFonts w:ascii="Arial" w:hAnsi="Arial" w:cs="Arial"/>
                <w:b/>
              </w:rPr>
              <w:t>B. CRPS-II (previously referred to as causalgia):</w:t>
            </w:r>
          </w:p>
          <w:p w14:paraId="0F98B9B6" w14:textId="76EC6984" w:rsidR="00E648FC" w:rsidRPr="00D61F73" w:rsidRDefault="00E648FC" w:rsidP="00D61F73">
            <w:pPr>
              <w:rPr>
                <w:rFonts w:ascii="Arial" w:hAnsi="Arial" w:cs="Arial"/>
              </w:rPr>
            </w:pPr>
            <w:r w:rsidRPr="00D61F73">
              <w:rPr>
                <w:rFonts w:ascii="Arial" w:hAnsi="Arial" w:cs="Arial"/>
              </w:rPr>
              <w:t>Nerve damage may be detected by electrodiagnostic testing, but pain is not contained to that distribution. The diagnosis can also be made where there is evidence of a major nerve lesion. (</w:t>
            </w:r>
            <w:hyperlink w:anchor="StantonHicks" w:history="1">
              <w:r w:rsidRPr="00D61F73">
                <w:rPr>
                  <w:rStyle w:val="Hyperlink"/>
                  <w:rFonts w:ascii="Arial" w:hAnsi="Arial" w:cs="Arial"/>
                </w:rPr>
                <w:t>Stanton-Hicks, 1995</w:t>
              </w:r>
            </w:hyperlink>
            <w:r w:rsidRPr="00D61F73">
              <w:rPr>
                <w:rFonts w:ascii="Arial" w:hAnsi="Arial" w:cs="Arial"/>
              </w:rPr>
              <w:t>) (</w:t>
            </w:r>
            <w:hyperlink w:anchor="Harden2013" w:history="1">
              <w:r w:rsidRPr="00D61F73">
                <w:rPr>
                  <w:rStyle w:val="Hyperlink"/>
                  <w:rFonts w:ascii="Arial" w:hAnsi="Arial" w:cs="Arial"/>
                </w:rPr>
                <w:t>Harden, 2013</w:t>
              </w:r>
            </w:hyperlink>
            <w:r w:rsidRPr="00D61F73">
              <w:rPr>
                <w:rFonts w:ascii="Arial" w:hAnsi="Arial" w:cs="Arial"/>
              </w:rPr>
              <w:t>) CRPS I and II appear to be clinically similar. (</w:t>
            </w:r>
            <w:hyperlink w:anchor="Bruehl2" w:history="1">
              <w:r w:rsidRPr="00D61F73">
                <w:rPr>
                  <w:rStyle w:val="Hyperlink"/>
                  <w:rFonts w:ascii="Arial" w:hAnsi="Arial" w:cs="Arial"/>
                </w:rPr>
                <w:t>Bruehl, 1999</w:t>
              </w:r>
            </w:hyperlink>
            <w:r w:rsidRPr="00D61F73">
              <w:rPr>
                <w:rFonts w:ascii="Arial" w:hAnsi="Arial" w:cs="Arial"/>
              </w:rPr>
              <w:t>) (</w:t>
            </w:r>
            <w:hyperlink w:anchor="Oaklander2009" w:history="1">
              <w:r w:rsidRPr="00D61F73">
                <w:rPr>
                  <w:rStyle w:val="Hyperlink"/>
                  <w:rFonts w:ascii="Arial" w:hAnsi="Arial" w:cs="Arial"/>
                </w:rPr>
                <w:t>Oaklander, 2009</w:t>
              </w:r>
            </w:hyperlink>
            <w:r w:rsidRPr="00D61F73">
              <w:rPr>
                <w:rFonts w:ascii="Arial" w:hAnsi="Arial" w:cs="Arial"/>
              </w:rPr>
              <w:t xml:space="preserve">) CRPS-II is defined by the IASP as: (1) The presence of continuing pain, allodynia, or hyperalgesia after a nerve injury, not </w:t>
            </w:r>
            <w:r w:rsidRPr="00D61F73">
              <w:rPr>
                <w:rFonts w:ascii="Arial" w:hAnsi="Arial" w:cs="Arial"/>
              </w:rPr>
              <w:lastRenderedPageBreak/>
              <w:t xml:space="preserve">necessarily limited to the distribution of the injured nerve; (2) Evidence at some time of edema, changes in skin blood flow, and/or abnormal sudomotor activity in the region of pain; &amp; (3) The diagnosis is excluded by the existence of conditions that would otherwise account for the degree of pain and dysfunction. </w:t>
            </w:r>
            <w:r w:rsidRPr="00D61F73">
              <w:rPr>
                <w:rFonts w:ascii="Arial" w:hAnsi="Arial" w:cs="Arial"/>
                <w:b/>
              </w:rPr>
              <w:t xml:space="preserve">C. CRPS not otherwise specified (CRPS-NOS): </w:t>
            </w:r>
          </w:p>
          <w:p w14:paraId="711939E8" w14:textId="77777777" w:rsidR="00E648FC" w:rsidRPr="00D61F73" w:rsidRDefault="00E648FC" w:rsidP="00D61F73">
            <w:pPr>
              <w:rPr>
                <w:rFonts w:ascii="Arial" w:hAnsi="Arial" w:cs="Arial"/>
              </w:rPr>
            </w:pPr>
            <w:r w:rsidRPr="00D61F73">
              <w:rPr>
                <w:rFonts w:ascii="Arial" w:hAnsi="Arial" w:cs="Arial"/>
              </w:rPr>
              <w:t xml:space="preserve">This diagnosis is not endorsed by ODG. This is a subgroup of patients who do not fully meet the criteria but whose signs and symptoms cannot be explained better by another diagnosis. This subtype was added by the Reflex Sympathetic Dystrophy Syndrome Association to capture any patients previously diagnosed with CRPS who now did not meet criteria. </w:t>
            </w:r>
          </w:p>
          <w:p w14:paraId="6FCF5B5C" w14:textId="77777777" w:rsidR="00E648FC" w:rsidRPr="00D61F73" w:rsidRDefault="00E648FC" w:rsidP="00D61F73">
            <w:pPr>
              <w:rPr>
                <w:rFonts w:ascii="Arial" w:hAnsi="Arial" w:cs="Arial"/>
                <w:b/>
                <w:i/>
              </w:rPr>
            </w:pPr>
            <w:r w:rsidRPr="00D61F73">
              <w:rPr>
                <w:rFonts w:ascii="Arial" w:hAnsi="Arial" w:cs="Arial"/>
                <w:b/>
                <w:i/>
              </w:rPr>
              <w:t>Recent research into CRPS subtypes</w:t>
            </w:r>
          </w:p>
          <w:p w14:paraId="00F0CFC9" w14:textId="77777777" w:rsidR="00E648FC" w:rsidRPr="00D61F73" w:rsidRDefault="00E648FC" w:rsidP="00D61F73">
            <w:pPr>
              <w:rPr>
                <w:rFonts w:ascii="Arial" w:hAnsi="Arial" w:cs="Arial"/>
              </w:rPr>
            </w:pPr>
            <w:r w:rsidRPr="00D61F73">
              <w:rPr>
                <w:rFonts w:ascii="Arial" w:hAnsi="Arial" w:cs="Arial"/>
              </w:rPr>
              <w:t>Current research suggests there is little evidence for “stages” of CRPS (historically noted as three sequential stages classified as acute, dystrophy and atrophy). Research now points to distinct subtypes. Subtype 1 is a relatively limited syndrome in which vasomotor signs predominate. Subtype 2 is a relatively limited syndrome in which neuropathic pain and/or sensory abnormalities predominate. This subtype is thought to be consistent with CRPS II (causalgia) based on electrodiagnostic changes, but EDX is often not sensitive. A third subtype consists of a florid CRPS picture with the greatest predominance of motor/trophic changes with possible osteopenic changes on bone scan. (</w:t>
            </w:r>
            <w:hyperlink w:anchor="Harden2013" w:history="1">
              <w:r w:rsidRPr="00D61F73">
                <w:rPr>
                  <w:rStyle w:val="Hyperlink"/>
                  <w:rFonts w:ascii="Arial" w:hAnsi="Arial" w:cs="Arial"/>
                </w:rPr>
                <w:t>Harden, 2013</w:t>
              </w:r>
            </w:hyperlink>
            <w:r w:rsidRPr="00D61F73">
              <w:rPr>
                <w:rFonts w:ascii="Arial" w:hAnsi="Arial" w:cs="Arial"/>
              </w:rPr>
              <w:t>) Other authors suggests that subtypes should be made as acute (early) and late (chronic) with a third group labeled as chronic, refractory CRPS. (</w:t>
            </w:r>
            <w:hyperlink w:anchor="Zyluk2013" w:history="1">
              <w:r w:rsidRPr="00D61F73">
                <w:rPr>
                  <w:rStyle w:val="Hyperlink"/>
                  <w:rFonts w:ascii="Arial" w:hAnsi="Arial" w:cs="Arial"/>
                </w:rPr>
                <w:t>Zyluk, 2013</w:t>
              </w:r>
            </w:hyperlink>
            <w:r w:rsidRPr="00D61F73">
              <w:rPr>
                <w:rFonts w:ascii="Arial" w:hAnsi="Arial" w:cs="Arial"/>
              </w:rPr>
              <w:t>)</w:t>
            </w:r>
          </w:p>
          <w:p w14:paraId="31601322" w14:textId="77777777" w:rsidR="00E648FC" w:rsidRPr="00D61F73" w:rsidRDefault="00E648FC" w:rsidP="00D61F73">
            <w:pPr>
              <w:rPr>
                <w:rFonts w:ascii="Arial" w:hAnsi="Arial" w:cs="Arial"/>
                <w:i/>
              </w:rPr>
            </w:pPr>
            <w:r w:rsidRPr="00D61F73">
              <w:rPr>
                <w:rFonts w:ascii="Arial" w:hAnsi="Arial" w:cs="Arial"/>
                <w:i/>
              </w:rPr>
              <w:t xml:space="preserve">Controversy with establishing the diagnosis: </w:t>
            </w:r>
          </w:p>
          <w:p w14:paraId="4DCAD346" w14:textId="77777777" w:rsidR="00E648FC" w:rsidRPr="00D61F73" w:rsidRDefault="00E648FC" w:rsidP="00D61F73">
            <w:pPr>
              <w:rPr>
                <w:rFonts w:ascii="Arial" w:hAnsi="Arial" w:cs="Arial"/>
              </w:rPr>
            </w:pPr>
            <w:r w:rsidRPr="00D61F73">
              <w:rPr>
                <w:rFonts w:ascii="Arial" w:hAnsi="Arial" w:cs="Arial"/>
                <w:b/>
                <w:i/>
              </w:rPr>
              <w:t>D</w:t>
            </w:r>
            <w:bookmarkStart w:id="161" w:name="DifferentialDiagnosesCRPS"/>
            <w:bookmarkEnd w:id="161"/>
            <w:r w:rsidRPr="00D61F73">
              <w:rPr>
                <w:rFonts w:ascii="Arial" w:hAnsi="Arial" w:cs="Arial"/>
                <w:b/>
                <w:i/>
              </w:rPr>
              <w:t>ifferential Diagnoses</w:t>
            </w:r>
            <w:r w:rsidRPr="00D61F73">
              <w:rPr>
                <w:rFonts w:ascii="Arial" w:hAnsi="Arial" w:cs="Arial"/>
              </w:rPr>
              <w:t xml:space="preserve">: It is suggested that in the absence of a differential diagnostic evaluation for patients with a suggested diagnosis of CRPS, management can be abortive and iatrogenic harm may follow. These diagnoses </w:t>
            </w:r>
            <w:r w:rsidRPr="00D61F73">
              <w:rPr>
                <w:rFonts w:ascii="Arial" w:hAnsi="Arial" w:cs="Arial"/>
                <w:bCs/>
              </w:rPr>
              <w:t xml:space="preserve">include peripheral neuropathies, infectious processes, inflammatory and vascular disorders, (including dysvascular states in smokers, thrombosis, and arterial insufficiency), and regional musculoskeletal disorders. </w:t>
            </w:r>
            <w:r w:rsidRPr="00D61F73">
              <w:rPr>
                <w:rFonts w:ascii="Arial" w:hAnsi="Arial" w:cs="Arial"/>
              </w:rPr>
              <w:t>(</w:t>
            </w:r>
            <w:hyperlink w:anchor="Quisel2" w:history="1">
              <w:r w:rsidRPr="00D61F73">
                <w:rPr>
                  <w:rStyle w:val="Hyperlink"/>
                  <w:rFonts w:ascii="Arial" w:hAnsi="Arial" w:cs="Arial"/>
                </w:rPr>
                <w:t>Quisel2, 2005</w:t>
              </w:r>
            </w:hyperlink>
            <w:r w:rsidRPr="00D61F73">
              <w:rPr>
                <w:rFonts w:ascii="Arial" w:hAnsi="Arial" w:cs="Arial"/>
              </w:rPr>
              <w:t xml:space="preserve">) </w:t>
            </w:r>
            <w:r w:rsidRPr="00D61F73">
              <w:rPr>
                <w:rFonts w:ascii="Arial" w:hAnsi="Arial" w:cs="Arial"/>
                <w:bCs/>
              </w:rPr>
              <w:t>(</w:t>
            </w:r>
            <w:hyperlink w:anchor="StantonHicks2" w:history="1">
              <w:r w:rsidRPr="00D61F73">
                <w:rPr>
                  <w:rStyle w:val="Hyperlink"/>
                  <w:rFonts w:ascii="Arial" w:hAnsi="Arial" w:cs="Arial"/>
                  <w:bCs/>
                </w:rPr>
                <w:t>Stanton-Hicks, 2006</w:t>
              </w:r>
            </w:hyperlink>
            <w:r w:rsidRPr="00D61F73">
              <w:rPr>
                <w:rFonts w:ascii="Arial" w:hAnsi="Arial" w:cs="Arial"/>
                <w:bCs/>
              </w:rPr>
              <w:t>) They also include the following conditions:</w:t>
            </w:r>
            <w:r w:rsidRPr="00D61F73">
              <w:rPr>
                <w:rFonts w:ascii="Arial" w:hAnsi="Arial" w:cs="Arial"/>
              </w:rPr>
              <w:t xml:space="preserve"> Undetected/unstable fracture; Post-herpetic neuralgia; Motor neuron disease; Diabetic neuropathy; Soft tissue infection; Subclinical nerve entrapments; Atypical nerve compressions; Compartment syndrome; Entrapment neuropathy; Arthritis; Lymphatic or venous obstruction; Raynaud’s disease; Rheumatoid arthritis and other rheumatologic disease; Seronegative arthritis; Malignant tumors. (</w:t>
            </w:r>
            <w:hyperlink w:anchor="vanEijs2011" w:history="1">
              <w:r w:rsidRPr="00D61F73">
                <w:rPr>
                  <w:rStyle w:val="Hyperlink"/>
                  <w:rFonts w:ascii="Arial" w:hAnsi="Arial" w:cs="Arial"/>
                </w:rPr>
                <w:t>van Eijs, 2011</w:t>
              </w:r>
            </w:hyperlink>
            <w:r w:rsidRPr="00D61F73">
              <w:rPr>
                <w:rFonts w:ascii="Arial" w:hAnsi="Arial" w:cs="Arial"/>
              </w:rPr>
              <w:t>) (</w:t>
            </w:r>
            <w:hyperlink w:anchor="Goebel2012" w:history="1">
              <w:r w:rsidRPr="00D61F73">
                <w:rPr>
                  <w:rStyle w:val="Hyperlink"/>
                  <w:rFonts w:ascii="Arial" w:hAnsi="Arial" w:cs="Arial"/>
                </w:rPr>
                <w:t>Goebel, 2012</w:t>
              </w:r>
            </w:hyperlink>
            <w:r w:rsidRPr="00D61F73">
              <w:rPr>
                <w:rFonts w:ascii="Arial" w:hAnsi="Arial" w:cs="Arial"/>
              </w:rPr>
              <w:t>) (</w:t>
            </w:r>
            <w:hyperlink w:anchor="StantonHicks3" w:history="1">
              <w:r w:rsidRPr="00D61F73">
                <w:rPr>
                  <w:rStyle w:val="Hyperlink"/>
                  <w:rFonts w:ascii="Arial" w:hAnsi="Arial" w:cs="Arial"/>
                </w:rPr>
                <w:t>Stanton-Hicks, 2004</w:t>
              </w:r>
            </w:hyperlink>
            <w:r w:rsidRPr="00D61F73">
              <w:rPr>
                <w:rFonts w:ascii="Arial" w:hAnsi="Arial" w:cs="Arial"/>
              </w:rPr>
              <w:t>)  A suggested diagnosis of CRPS indicates the urgent need for extensive exploration of the differential diagnosis. (</w:t>
            </w:r>
            <w:hyperlink w:anchor="Borchers2013" w:history="1">
              <w:r w:rsidRPr="00D61F73">
                <w:rPr>
                  <w:rStyle w:val="Hyperlink"/>
                  <w:rFonts w:ascii="Arial" w:hAnsi="Arial" w:cs="Arial"/>
                </w:rPr>
                <w:t>Borchers, 2013</w:t>
              </w:r>
            </w:hyperlink>
            <w:r w:rsidRPr="00D61F73">
              <w:rPr>
                <w:rFonts w:ascii="Arial" w:hAnsi="Arial" w:cs="Arial"/>
              </w:rPr>
              <w:t>)</w:t>
            </w:r>
          </w:p>
          <w:p w14:paraId="7917F430" w14:textId="77777777" w:rsidR="00E648FC" w:rsidRPr="00D61F73" w:rsidRDefault="00E648FC" w:rsidP="00D61F73">
            <w:pPr>
              <w:rPr>
                <w:rFonts w:ascii="Arial" w:hAnsi="Arial" w:cs="Arial"/>
              </w:rPr>
            </w:pPr>
            <w:r w:rsidRPr="00D61F73">
              <w:rPr>
                <w:rFonts w:ascii="Arial" w:hAnsi="Arial" w:cs="Arial"/>
                <w:i/>
              </w:rPr>
              <w:t xml:space="preserve">Immobilization: </w:t>
            </w:r>
            <w:r w:rsidRPr="00D61F73">
              <w:rPr>
                <w:rFonts w:ascii="Arial" w:hAnsi="Arial" w:cs="Arial"/>
              </w:rPr>
              <w:t>Disuse has also been suggested as a differential diagnosis as the clinical signs (including imaging) found can be produced with immobilization. Complications of casting an extremity include joint contractures, compression neuropathy, dystonia, regional osteoporosis, movement-induced pain and swelling. All of these symptoms are similar to findings attributed to CRPS. (</w:t>
            </w:r>
            <w:hyperlink w:anchor="Terkelsen2008" w:history="1">
              <w:r w:rsidRPr="00D61F73">
                <w:rPr>
                  <w:rStyle w:val="Hyperlink"/>
                  <w:rFonts w:ascii="Arial" w:hAnsi="Arial" w:cs="Arial"/>
                </w:rPr>
                <w:t>Terkelsen, 2008</w:t>
              </w:r>
            </w:hyperlink>
            <w:r w:rsidRPr="00D61F73">
              <w:rPr>
                <w:rFonts w:ascii="Arial" w:hAnsi="Arial" w:cs="Arial"/>
              </w:rPr>
              <w:t>) (</w:t>
            </w:r>
            <w:hyperlink w:anchor="Harden2013" w:history="1">
              <w:r w:rsidRPr="00D61F73">
                <w:rPr>
                  <w:rStyle w:val="Hyperlink"/>
                  <w:rFonts w:ascii="Arial" w:hAnsi="Arial" w:cs="Arial"/>
                </w:rPr>
                <w:t>Harden, 2013</w:t>
              </w:r>
            </w:hyperlink>
            <w:r w:rsidRPr="00D61F73">
              <w:rPr>
                <w:rFonts w:ascii="Arial" w:hAnsi="Arial" w:cs="Arial"/>
              </w:rPr>
              <w:t>) (</w:t>
            </w:r>
            <w:hyperlink w:anchor="Jänig2004" w:history="1">
              <w:r w:rsidRPr="00D61F73">
                <w:rPr>
                  <w:rStyle w:val="Hyperlink"/>
                  <w:rFonts w:ascii="Arial" w:hAnsi="Arial" w:cs="Arial"/>
                </w:rPr>
                <w:t>Janig, 2004</w:t>
              </w:r>
            </w:hyperlink>
            <w:r w:rsidRPr="00D61F73">
              <w:rPr>
                <w:rFonts w:ascii="Arial" w:hAnsi="Arial" w:cs="Arial"/>
              </w:rPr>
              <w:t>) (</w:t>
            </w:r>
            <w:hyperlink w:anchor="Akeson1987" w:history="1">
              <w:r w:rsidRPr="00D61F73">
                <w:rPr>
                  <w:rStyle w:val="Hyperlink"/>
                  <w:rFonts w:ascii="Arial" w:hAnsi="Arial" w:cs="Arial"/>
                </w:rPr>
                <w:t>Akeson, 1987</w:t>
              </w:r>
            </w:hyperlink>
            <w:r w:rsidRPr="00D61F73">
              <w:rPr>
                <w:rFonts w:ascii="Arial" w:hAnsi="Arial" w:cs="Arial"/>
              </w:rPr>
              <w:t>) (</w:t>
            </w:r>
            <w:hyperlink w:anchor="Veldhuizen1993" w:history="1">
              <w:r w:rsidRPr="00D61F73">
                <w:rPr>
                  <w:rStyle w:val="Hyperlink"/>
                  <w:rFonts w:ascii="Arial" w:hAnsi="Arial" w:cs="Arial"/>
                </w:rPr>
                <w:t>Veldhuizen, 1993</w:t>
              </w:r>
            </w:hyperlink>
            <w:r w:rsidRPr="00D61F73">
              <w:rPr>
                <w:rFonts w:ascii="Arial" w:hAnsi="Arial" w:cs="Arial"/>
              </w:rPr>
              <w:t>) (</w:t>
            </w:r>
            <w:hyperlink w:anchor="Okun2002" w:history="1">
              <w:r w:rsidRPr="00D61F73">
                <w:rPr>
                  <w:rStyle w:val="Hyperlink"/>
                  <w:rFonts w:ascii="Arial" w:hAnsi="Arial" w:cs="Arial"/>
                </w:rPr>
                <w:t>Okun, 2002</w:t>
              </w:r>
            </w:hyperlink>
            <w:r w:rsidRPr="00D61F73">
              <w:rPr>
                <w:rFonts w:ascii="Arial" w:hAnsi="Arial" w:cs="Arial"/>
              </w:rPr>
              <w:t>)</w:t>
            </w:r>
          </w:p>
          <w:p w14:paraId="26FFD02C" w14:textId="77777777" w:rsidR="00E648FC" w:rsidRPr="00D61F73" w:rsidRDefault="00E648FC" w:rsidP="00D61F73">
            <w:pPr>
              <w:rPr>
                <w:rFonts w:ascii="Arial" w:hAnsi="Arial" w:cs="Arial"/>
                <w:i/>
              </w:rPr>
            </w:pPr>
            <w:r w:rsidRPr="00D61F73">
              <w:rPr>
                <w:rFonts w:ascii="Arial" w:hAnsi="Arial" w:cs="Arial"/>
                <w:i/>
              </w:rPr>
              <w:t>Immobilization in conjunction with psychological factors:</w:t>
            </w:r>
            <w:r w:rsidRPr="00D61F73">
              <w:rPr>
                <w:rFonts w:ascii="Arial" w:hAnsi="Arial" w:cs="Arial"/>
              </w:rPr>
              <w:t xml:space="preserve"> Disuse in the presence of pre-existing psychopathology is proposed as a link producing a CRPS presentation. Extreme fear of pain can lead to immobilization of </w:t>
            </w:r>
            <w:r w:rsidRPr="00D61F73">
              <w:rPr>
                <w:rFonts w:ascii="Arial" w:hAnsi="Arial" w:cs="Arial"/>
              </w:rPr>
              <w:lastRenderedPageBreak/>
              <w:t>the involved extremity. (</w:t>
            </w:r>
            <w:hyperlink w:anchor="deMos2009" w:history="1">
              <w:r w:rsidRPr="00D61F73">
                <w:rPr>
                  <w:rStyle w:val="Hyperlink"/>
                  <w:rFonts w:ascii="Arial" w:hAnsi="Arial" w:cs="Arial"/>
                </w:rPr>
                <w:t>de Mos, 2009</w:t>
              </w:r>
            </w:hyperlink>
            <w:r w:rsidRPr="00D61F73">
              <w:rPr>
                <w:rFonts w:ascii="Arial" w:hAnsi="Arial" w:cs="Arial"/>
              </w:rPr>
              <w:t>) (</w:t>
            </w:r>
            <w:hyperlink w:anchor="Harden2013" w:history="1">
              <w:r w:rsidRPr="00D61F73">
                <w:rPr>
                  <w:rStyle w:val="Hyperlink"/>
                  <w:rFonts w:ascii="Arial" w:hAnsi="Arial" w:cs="Arial"/>
                </w:rPr>
                <w:t>Harden, 2013</w:t>
              </w:r>
            </w:hyperlink>
            <w:r w:rsidRPr="00D61F73">
              <w:rPr>
                <w:rFonts w:ascii="Arial" w:hAnsi="Arial" w:cs="Arial"/>
              </w:rPr>
              <w:t>)</w:t>
            </w:r>
          </w:p>
          <w:p w14:paraId="3EE1EFD7" w14:textId="77777777" w:rsidR="00E648FC" w:rsidRPr="00D61F73" w:rsidRDefault="00E648FC" w:rsidP="00D61F73">
            <w:pPr>
              <w:rPr>
                <w:rFonts w:ascii="Arial" w:hAnsi="Arial" w:cs="Arial"/>
              </w:rPr>
            </w:pPr>
            <w:r w:rsidRPr="00D61F73">
              <w:rPr>
                <w:rFonts w:ascii="Arial" w:hAnsi="Arial" w:cs="Arial"/>
                <w:i/>
              </w:rPr>
              <w:t xml:space="preserve">The relation of psychiatric and psychological factors and CRPS: </w:t>
            </w:r>
            <w:r w:rsidRPr="00D61F73">
              <w:rPr>
                <w:rFonts w:ascii="Arial" w:hAnsi="Arial" w:cs="Arial"/>
              </w:rPr>
              <w:t>Researchers have suggested that likely differential diagnoses for CRPS should include (1) somatoform disorder, and (2) malingering. Psychiatric overlay has been strongly suggested, particularly in literature dealing with dystonia, and a contribution of functional psychophysiologic links to development of CRPS has not been ruled out. (</w:t>
            </w:r>
            <w:hyperlink w:anchor="Bruehl2010" w:history="1">
              <w:r w:rsidRPr="00D61F73">
                <w:rPr>
                  <w:rStyle w:val="Hyperlink"/>
                  <w:rFonts w:ascii="Arial" w:hAnsi="Arial" w:cs="Arial"/>
                </w:rPr>
                <w:t>Bruehl, 2010</w:t>
              </w:r>
            </w:hyperlink>
            <w:r w:rsidRPr="00D61F73">
              <w:rPr>
                <w:rFonts w:ascii="Arial" w:hAnsi="Arial" w:cs="Arial"/>
              </w:rPr>
              <w:t>) (</w:t>
            </w:r>
            <w:hyperlink w:anchor="Hawley2011" w:history="1">
              <w:r w:rsidRPr="00D61F73">
                <w:rPr>
                  <w:rStyle w:val="Hyperlink"/>
                  <w:rFonts w:ascii="Arial" w:hAnsi="Arial" w:cs="Arial"/>
                </w:rPr>
                <w:t>Hawley, 2011</w:t>
              </w:r>
            </w:hyperlink>
            <w:r w:rsidRPr="00D61F73">
              <w:rPr>
                <w:rFonts w:ascii="Arial" w:hAnsi="Arial" w:cs="Arial"/>
              </w:rPr>
              <w:t>) (</w:t>
            </w:r>
            <w:hyperlink w:anchor="Verdugo2000" w:history="1">
              <w:r w:rsidRPr="00D61F73">
                <w:rPr>
                  <w:rStyle w:val="Hyperlink"/>
                  <w:rFonts w:ascii="Arial" w:hAnsi="Arial" w:cs="Arial"/>
                </w:rPr>
                <w:t>Verdugo, 2000</w:t>
              </w:r>
            </w:hyperlink>
            <w:r w:rsidRPr="00D61F73">
              <w:rPr>
                <w:rFonts w:ascii="Arial" w:hAnsi="Arial" w:cs="Arial"/>
              </w:rPr>
              <w:t>) (</w:t>
            </w:r>
            <w:hyperlink w:anchor="Ochoa2010" w:history="1">
              <w:r w:rsidRPr="00D61F73">
                <w:rPr>
                  <w:rStyle w:val="Hyperlink"/>
                  <w:rFonts w:ascii="Arial" w:hAnsi="Arial" w:cs="Arial"/>
                </w:rPr>
                <w:t>Ochoa, 2010</w:t>
              </w:r>
            </w:hyperlink>
            <w:r w:rsidRPr="00D61F73">
              <w:rPr>
                <w:rFonts w:ascii="Arial" w:hAnsi="Arial" w:cs="Arial"/>
              </w:rPr>
              <w:t>) (</w:t>
            </w:r>
            <w:hyperlink w:anchor="Lang2010a" w:history="1">
              <w:r w:rsidRPr="00D61F73">
                <w:rPr>
                  <w:rStyle w:val="Hyperlink"/>
                  <w:rFonts w:ascii="Arial" w:hAnsi="Arial" w:cs="Arial"/>
                </w:rPr>
                <w:t>Lang, 2010</w:t>
              </w:r>
            </w:hyperlink>
            <w:r w:rsidRPr="00D61F73">
              <w:rPr>
                <w:rFonts w:ascii="Arial" w:hAnsi="Arial" w:cs="Arial"/>
              </w:rPr>
              <w:t>) Theoretical links have been proposed suggesting psychological factors could potentially influence CRPS development but additional prospective tests are required to tests these hypotheses. An actual association between psychosocial factors and CRPS remains controversial, in part due to lack of methodological high-quality studies. (</w:t>
            </w:r>
            <w:hyperlink w:anchor="deMos2009" w:history="1">
              <w:r w:rsidRPr="00D61F73">
                <w:rPr>
                  <w:rStyle w:val="Hyperlink"/>
                  <w:rFonts w:ascii="Arial" w:hAnsi="Arial" w:cs="Arial"/>
                </w:rPr>
                <w:t>de Mos, 2009</w:t>
              </w:r>
            </w:hyperlink>
            <w:r w:rsidRPr="00D61F73">
              <w:rPr>
                <w:rFonts w:ascii="Arial" w:hAnsi="Arial" w:cs="Arial"/>
              </w:rPr>
              <w:t>) (</w:t>
            </w:r>
            <w:hyperlink w:anchor="Beerthuizen2009" w:history="1">
              <w:r w:rsidRPr="00D61F73">
                <w:rPr>
                  <w:rStyle w:val="Hyperlink"/>
                  <w:rFonts w:ascii="Arial" w:hAnsi="Arial" w:cs="Arial"/>
                </w:rPr>
                <w:t>Beerthuizen, 2009</w:t>
              </w:r>
            </w:hyperlink>
            <w:r w:rsidRPr="00D61F73">
              <w:rPr>
                <w:rFonts w:ascii="Arial" w:hAnsi="Arial" w:cs="Arial"/>
              </w:rPr>
              <w:t>) A recent prospective cohort study revealed no empirical evidence to support a diagnosis of CRPS I patients as psychologically different in a Dutch population using the Symptom Checklist-90. The few prospective studies that are available do not point to a unique CRPS I personality or psychosocial pattern. (</w:t>
            </w:r>
            <w:hyperlink w:anchor="Marinus2011" w:history="1">
              <w:r w:rsidRPr="00D61F73">
                <w:rPr>
                  <w:rStyle w:val="Hyperlink"/>
                  <w:rFonts w:ascii="Arial" w:hAnsi="Arial" w:cs="Arial"/>
                </w:rPr>
                <w:t>Marinus, 2011</w:t>
              </w:r>
            </w:hyperlink>
            <w:r w:rsidRPr="00D61F73">
              <w:rPr>
                <w:rFonts w:ascii="Arial" w:hAnsi="Arial" w:cs="Arial"/>
              </w:rPr>
              <w:t>) (</w:t>
            </w:r>
            <w:hyperlink w:anchor="Beerthuizen2011" w:history="1">
              <w:r w:rsidRPr="00D61F73">
                <w:rPr>
                  <w:rStyle w:val="Hyperlink"/>
                  <w:rFonts w:ascii="Arial" w:hAnsi="Arial" w:cs="Arial"/>
                </w:rPr>
                <w:t>Beerthuizen, 2011</w:t>
              </w:r>
            </w:hyperlink>
            <w:r w:rsidRPr="00D61F73">
              <w:rPr>
                <w:rFonts w:ascii="Arial" w:hAnsi="Arial" w:cs="Arial"/>
              </w:rPr>
              <w:t>) (</w:t>
            </w:r>
            <w:hyperlink w:anchor="deMos2009" w:history="1">
              <w:r w:rsidRPr="00D61F73">
                <w:rPr>
                  <w:rStyle w:val="Hyperlink"/>
                  <w:rFonts w:ascii="Arial" w:hAnsi="Arial" w:cs="Arial"/>
                </w:rPr>
                <w:t>de Mos, 2009</w:t>
              </w:r>
            </w:hyperlink>
            <w:r w:rsidRPr="00D61F73">
              <w:rPr>
                <w:rFonts w:ascii="Arial" w:hAnsi="Arial" w:cs="Arial"/>
              </w:rPr>
              <w:t>) (</w:t>
            </w:r>
            <w:hyperlink w:anchor="Bruehl2010" w:history="1">
              <w:r w:rsidRPr="00D61F73">
                <w:rPr>
                  <w:rStyle w:val="Hyperlink"/>
                  <w:rFonts w:ascii="Arial" w:hAnsi="Arial" w:cs="Arial"/>
                </w:rPr>
                <w:t>Bruehl, 2010</w:t>
              </w:r>
            </w:hyperlink>
            <w:r w:rsidRPr="00D61F73">
              <w:rPr>
                <w:rFonts w:ascii="Arial" w:hAnsi="Arial" w:cs="Arial"/>
              </w:rPr>
              <w:t>)</w:t>
            </w:r>
          </w:p>
          <w:p w14:paraId="7CBAEC5C" w14:textId="77777777" w:rsidR="00E648FC" w:rsidRPr="00D61F73" w:rsidRDefault="00E648FC" w:rsidP="00D61F73">
            <w:pPr>
              <w:rPr>
                <w:rFonts w:ascii="Arial" w:hAnsi="Arial" w:cs="Arial"/>
              </w:rPr>
            </w:pPr>
            <w:r w:rsidRPr="00D61F73">
              <w:rPr>
                <w:rFonts w:ascii="Arial" w:hAnsi="Arial" w:cs="Arial"/>
                <w:i/>
              </w:rPr>
              <w:t xml:space="preserve">Risk factors: </w:t>
            </w:r>
            <w:r w:rsidRPr="00D61F73">
              <w:rPr>
                <w:rFonts w:ascii="Arial" w:hAnsi="Arial" w:cs="Arial"/>
              </w:rPr>
              <w:t>Financial gain (such as that involved with litigation) has been found to increase the risk of CRPS. (</w:t>
            </w:r>
            <w:hyperlink w:anchor="Scarano1998" w:history="1">
              <w:r w:rsidRPr="00D61F73">
                <w:rPr>
                  <w:rStyle w:val="Hyperlink"/>
                  <w:rFonts w:ascii="Arial" w:hAnsi="Arial" w:cs="Arial"/>
                </w:rPr>
                <w:t>Scarano, 1998</w:t>
              </w:r>
            </w:hyperlink>
            <w:r w:rsidRPr="00D61F73">
              <w:rPr>
                <w:rFonts w:ascii="Arial" w:hAnsi="Arial" w:cs="Arial"/>
              </w:rPr>
              <w:t>) (</w:t>
            </w:r>
            <w:hyperlink w:anchor="Goebel2012" w:history="1">
              <w:r w:rsidRPr="00D61F73">
                <w:rPr>
                  <w:rStyle w:val="Hyperlink"/>
                  <w:rFonts w:ascii="Arial" w:hAnsi="Arial" w:cs="Arial"/>
                </w:rPr>
                <w:t>Goebel, 2012</w:t>
              </w:r>
            </w:hyperlink>
            <w:r w:rsidRPr="00D61F73">
              <w:rPr>
                <w:rFonts w:ascii="Arial" w:hAnsi="Arial" w:cs="Arial"/>
              </w:rPr>
              <w:t>)</w:t>
            </w:r>
          </w:p>
          <w:p w14:paraId="2A0A7CC9" w14:textId="77777777" w:rsidR="00E648FC" w:rsidRPr="00D61F73" w:rsidRDefault="00E648FC" w:rsidP="00D61F73">
            <w:pPr>
              <w:rPr>
                <w:rFonts w:ascii="Arial" w:eastAsia="Arial Unicode MS" w:hAnsi="Arial" w:cs="Arial"/>
                <w:lang w:val="en"/>
              </w:rPr>
            </w:pPr>
            <w:r w:rsidRPr="00D61F73">
              <w:rPr>
                <w:rFonts w:ascii="Arial" w:hAnsi="Arial" w:cs="Arial"/>
              </w:rPr>
              <w:t xml:space="preserve">See also </w:t>
            </w:r>
            <w:hyperlink w:anchor="CRPStreatment" w:history="1">
              <w:r w:rsidRPr="00D61F73">
                <w:rPr>
                  <w:rStyle w:val="Hyperlink"/>
                  <w:rFonts w:ascii="Arial" w:hAnsi="Arial" w:cs="Arial"/>
                </w:rPr>
                <w:t>CRPS, treatment</w:t>
              </w:r>
            </w:hyperlink>
            <w:r w:rsidRPr="00D61F73">
              <w:rPr>
                <w:rFonts w:ascii="Arial" w:hAnsi="Arial" w:cs="Arial"/>
              </w:rPr>
              <w:t xml:space="preserve">; </w:t>
            </w:r>
            <w:hyperlink w:anchor="Sympatheticallymaintainedpain" w:history="1">
              <w:r w:rsidRPr="00D61F73">
                <w:rPr>
                  <w:rStyle w:val="Hyperlink"/>
                  <w:rFonts w:ascii="Arial" w:hAnsi="Arial" w:cs="Arial"/>
                </w:rPr>
                <w:t>Sympathetically maintained pain</w:t>
              </w:r>
            </w:hyperlink>
            <w:r w:rsidRPr="00D61F73">
              <w:rPr>
                <w:rFonts w:ascii="Arial" w:hAnsi="Arial" w:cs="Arial"/>
              </w:rPr>
              <w:t xml:space="preserve"> (SMP); </w:t>
            </w:r>
            <w:hyperlink w:anchor="CRPSmedications" w:history="1">
              <w:r w:rsidRPr="00D61F73">
                <w:rPr>
                  <w:rStyle w:val="Hyperlink"/>
                  <w:rFonts w:ascii="Arial" w:hAnsi="Arial" w:cs="Arial"/>
                </w:rPr>
                <w:t>CRPS, medications</w:t>
              </w:r>
            </w:hyperlink>
            <w:r w:rsidRPr="00D61F73">
              <w:rPr>
                <w:rFonts w:ascii="Arial" w:hAnsi="Arial" w:cs="Arial"/>
              </w:rPr>
              <w:t xml:space="preserve">; </w:t>
            </w:r>
            <w:hyperlink w:anchor="CRPSprevention" w:history="1">
              <w:r w:rsidRPr="00D61F73">
                <w:rPr>
                  <w:rStyle w:val="Hyperlink"/>
                  <w:rFonts w:ascii="Arial" w:hAnsi="Arial" w:cs="Arial"/>
                </w:rPr>
                <w:t>CRPS, prevention</w:t>
              </w:r>
            </w:hyperlink>
            <w:r w:rsidRPr="00D61F73">
              <w:rPr>
                <w:rFonts w:ascii="Arial" w:hAnsi="Arial" w:cs="Arial"/>
              </w:rPr>
              <w:t xml:space="preserve">; &amp; </w:t>
            </w:r>
            <w:hyperlink w:anchor="CRPSsympatheticandepiduralblocks" w:history="1">
              <w:r w:rsidRPr="00D61F73">
                <w:rPr>
                  <w:rStyle w:val="Hyperlink"/>
                  <w:rFonts w:ascii="Arial" w:hAnsi="Arial" w:cs="Arial"/>
                </w:rPr>
                <w:t>CRPS, sympathetic blocks</w:t>
              </w:r>
            </w:hyperlink>
            <w:r w:rsidRPr="00D61F73">
              <w:rPr>
                <w:rFonts w:ascii="Arial" w:hAnsi="Arial" w:cs="Arial"/>
              </w:rPr>
              <w:t xml:space="preserve"> (therapeutic)</w:t>
            </w:r>
          </w:p>
        </w:tc>
      </w:tr>
      <w:tr w:rsidR="00E648FC" w:rsidRPr="00D61F73" w14:paraId="27D7D0FC" w14:textId="77777777" w:rsidTr="0078164D">
        <w:tc>
          <w:tcPr>
            <w:tcW w:w="1086" w:type="pct"/>
          </w:tcPr>
          <w:p w14:paraId="1AACA84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62" w:name="CRPSprevention"/>
            <w:bookmarkEnd w:id="162"/>
            <w:r w:rsidRPr="00D61F73">
              <w:rPr>
                <w:rFonts w:ascii="Arial" w:hAnsi="Arial" w:cs="Arial"/>
              </w:rPr>
              <w:t>RPS, prevention</w:t>
            </w:r>
          </w:p>
        </w:tc>
        <w:tc>
          <w:tcPr>
            <w:tcW w:w="3914" w:type="pct"/>
          </w:tcPr>
          <w:p w14:paraId="6CC049B0"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See </w:t>
            </w:r>
            <w:hyperlink w:anchor="CRPSpathophysiology" w:history="1">
              <w:r w:rsidRPr="00D61F73">
                <w:rPr>
                  <w:rStyle w:val="Hyperlink"/>
                  <w:rFonts w:ascii="Arial" w:eastAsia="Arial Unicode MS" w:hAnsi="Arial" w:cs="Arial"/>
                  <w:lang w:val="en"/>
                </w:rPr>
                <w:t>CRPS, pathophysiology</w:t>
              </w:r>
            </w:hyperlink>
            <w:r w:rsidRPr="00D61F73">
              <w:rPr>
                <w:rFonts w:ascii="Arial" w:eastAsia="Arial Unicode MS" w:hAnsi="Arial" w:cs="Arial"/>
                <w:lang w:val="en"/>
              </w:rPr>
              <w:t xml:space="preserve"> (clinical presentation &amp; diagnostic criteria).</w:t>
            </w:r>
          </w:p>
        </w:tc>
      </w:tr>
      <w:tr w:rsidR="00E648FC" w:rsidRPr="00D61F73" w14:paraId="2ADE2F3C" w14:textId="77777777" w:rsidTr="0078164D">
        <w:tc>
          <w:tcPr>
            <w:tcW w:w="1086" w:type="pct"/>
          </w:tcPr>
          <w:p w14:paraId="1D792AB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63" w:name="CRPSspinalcordstim"/>
            <w:bookmarkEnd w:id="163"/>
            <w:r w:rsidRPr="00D61F73">
              <w:rPr>
                <w:rFonts w:ascii="Arial" w:hAnsi="Arial" w:cs="Arial"/>
              </w:rPr>
              <w:t>RPS, spinal cord stimulators (SCS)</w:t>
            </w:r>
          </w:p>
        </w:tc>
        <w:tc>
          <w:tcPr>
            <w:tcW w:w="3914" w:type="pct"/>
          </w:tcPr>
          <w:p w14:paraId="4C67854B"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 xml:space="preserve">Recommended as indicated below. Spinal cord stimulators (SCS) should be offered only after careful counseling and patient identification and should be used in conjunction with comprehensive multidisciplinary medical management. SCS use has been associated with pain reduction in studies of patients with CRPS. </w:t>
            </w:r>
            <w:r w:rsidRPr="00D61F73">
              <w:rPr>
                <w:rFonts w:ascii="Arial" w:hAnsi="Arial" w:cs="Arial"/>
              </w:rPr>
              <w:t>(</w:t>
            </w:r>
            <w:hyperlink w:anchor="Kemler4" w:history="1">
              <w:r w:rsidRPr="00D61F73">
                <w:rPr>
                  <w:rStyle w:val="Hyperlink"/>
                  <w:rFonts w:ascii="Arial" w:hAnsi="Arial" w:cs="Arial"/>
                </w:rPr>
                <w:t>Kemler, 2000</w:t>
              </w:r>
            </w:hyperlink>
            <w:r w:rsidRPr="00D61F73">
              <w:rPr>
                <w:rFonts w:ascii="Arial" w:hAnsi="Arial" w:cs="Arial"/>
              </w:rPr>
              <w:t>)</w:t>
            </w:r>
            <w:r w:rsidRPr="00D61F73">
              <w:rPr>
                <w:rFonts w:ascii="Arial" w:eastAsia="Arial Unicode MS" w:hAnsi="Arial" w:cs="Arial"/>
                <w:lang w:val="en"/>
              </w:rPr>
              <w:t xml:space="preserve"> (</w:t>
            </w:r>
            <w:hyperlink w:anchor="Kemler6" w:history="1">
              <w:r w:rsidRPr="00D61F73">
                <w:rPr>
                  <w:rStyle w:val="Hyperlink"/>
                  <w:rFonts w:ascii="Arial" w:eastAsia="Arial Unicode MS" w:hAnsi="Arial" w:cs="Arial"/>
                  <w:lang w:val="en"/>
                </w:rPr>
                <w:t>Kemler, 2004</w:t>
              </w:r>
            </w:hyperlink>
            <w:r w:rsidRPr="00D61F73">
              <w:rPr>
                <w:rFonts w:ascii="Arial" w:eastAsia="Arial Unicode MS" w:hAnsi="Arial" w:cs="Arial"/>
                <w:lang w:val="en"/>
              </w:rPr>
              <w:t>) (</w:t>
            </w:r>
            <w:hyperlink w:anchor="Kemler7" w:history="1">
              <w:r w:rsidRPr="00D61F73">
                <w:rPr>
                  <w:rStyle w:val="Hyperlink"/>
                  <w:rFonts w:ascii="Arial" w:eastAsia="Arial Unicode MS" w:hAnsi="Arial" w:cs="Arial"/>
                  <w:lang w:val="en"/>
                </w:rPr>
                <w:t>Kemler, 2008</w:t>
              </w:r>
            </w:hyperlink>
            <w:r w:rsidRPr="00D61F73">
              <w:rPr>
                <w:rFonts w:ascii="Arial" w:eastAsia="Arial Unicode MS" w:hAnsi="Arial" w:cs="Arial"/>
                <w:lang w:val="en"/>
              </w:rPr>
              <w:t xml:space="preserve">) CRPS patients implanted with SCS reported pain relief of at least 50% over a median follow-up period of 33 months. </w:t>
            </w:r>
            <w:r w:rsidRPr="00D61F73">
              <w:rPr>
                <w:rFonts w:ascii="Arial" w:hAnsi="Arial" w:cs="Arial"/>
              </w:rPr>
              <w:t>(</w:t>
            </w:r>
            <w:hyperlink w:anchor="Taylor2" w:history="1">
              <w:r w:rsidRPr="00D61F73">
                <w:rPr>
                  <w:rStyle w:val="Hyperlink"/>
                  <w:rFonts w:ascii="Arial" w:hAnsi="Arial" w:cs="Arial"/>
                </w:rPr>
                <w:t>Taylor, 2006</w:t>
              </w:r>
            </w:hyperlink>
            <w:r w:rsidRPr="00D61F73">
              <w:rPr>
                <w:rFonts w:ascii="Arial" w:hAnsi="Arial" w:cs="Arial"/>
              </w:rPr>
              <w:t xml:space="preserve">) </w:t>
            </w:r>
            <w:r w:rsidRPr="00D61F73">
              <w:rPr>
                <w:rFonts w:ascii="Arial" w:eastAsia="Arial Unicode MS" w:hAnsi="Arial" w:cs="Arial"/>
                <w:lang w:val="en"/>
              </w:rPr>
              <w:t xml:space="preserve">Moreover, there is evidence to demonstrate that SCS is a cost-effective treatment for CRPS-I over the long term. </w:t>
            </w:r>
            <w:r w:rsidRPr="00D61F73">
              <w:rPr>
                <w:rFonts w:ascii="Arial" w:hAnsi="Arial" w:cs="Arial"/>
              </w:rPr>
              <w:t>(</w:t>
            </w:r>
            <w:hyperlink w:anchor="StantonHicks2" w:history="1">
              <w:r w:rsidRPr="00D61F73">
                <w:rPr>
                  <w:rStyle w:val="Hyperlink"/>
                  <w:rFonts w:ascii="Arial" w:hAnsi="Arial" w:cs="Arial"/>
                </w:rPr>
                <w:t>Stanton-Hicks, 2006</w:t>
              </w:r>
            </w:hyperlink>
            <w:r w:rsidRPr="00D61F73">
              <w:rPr>
                <w:rFonts w:ascii="Arial" w:hAnsi="Arial" w:cs="Arial"/>
              </w:rPr>
              <w:t>) (</w:t>
            </w:r>
            <w:hyperlink w:anchor="MailisGagnon" w:history="1">
              <w:r w:rsidRPr="00D61F73">
                <w:rPr>
                  <w:rStyle w:val="Hyperlink"/>
                  <w:rFonts w:ascii="Arial" w:hAnsi="Arial" w:cs="Arial"/>
                </w:rPr>
                <w:t>Mailis-Gagnon-Cochrane, 2004</w:t>
              </w:r>
            </w:hyperlink>
            <w:r w:rsidRPr="00D61F73">
              <w:rPr>
                <w:rFonts w:ascii="Arial" w:hAnsi="Arial" w:cs="Arial"/>
              </w:rPr>
              <w:t xml:space="preserve">) </w:t>
            </w:r>
            <w:r w:rsidRPr="00D61F73">
              <w:rPr>
                <w:rFonts w:ascii="Arial" w:eastAsia="Arial Unicode MS" w:hAnsi="Arial" w:cs="Arial"/>
                <w:lang w:val="en"/>
              </w:rPr>
              <w:t>(</w:t>
            </w:r>
            <w:hyperlink w:anchor="Kemler3" w:history="1">
              <w:r w:rsidRPr="00D61F73">
                <w:rPr>
                  <w:rStyle w:val="Hyperlink"/>
                  <w:rFonts w:ascii="Arial" w:eastAsia="Arial Unicode MS" w:hAnsi="Arial" w:cs="Arial"/>
                  <w:lang w:val="en"/>
                </w:rPr>
                <w:t>Kemler, 2002</w:t>
              </w:r>
            </w:hyperlink>
            <w:r w:rsidRPr="00D61F73">
              <w:rPr>
                <w:rFonts w:ascii="Arial" w:eastAsia="Arial Unicode MS" w:hAnsi="Arial" w:cs="Arial"/>
                <w:lang w:val="en"/>
              </w:rPr>
              <w:t>)</w:t>
            </w:r>
            <w:r w:rsidRPr="00D61F73">
              <w:rPr>
                <w:rFonts w:ascii="Arial" w:hAnsi="Arial" w:cs="Arial"/>
              </w:rPr>
              <w:t xml:space="preserve"> </w:t>
            </w:r>
            <w:r w:rsidRPr="00D61F73">
              <w:rPr>
                <w:rFonts w:ascii="Arial" w:eastAsia="Arial Unicode MS" w:hAnsi="Arial" w:cs="Arial"/>
                <w:lang w:val="en"/>
              </w:rPr>
              <w:t xml:space="preserve">Permanent pain relief in CRPS-I can be attained under long-term SCS therapy combined with physical therapy. </w:t>
            </w:r>
            <w:r w:rsidRPr="00D61F73">
              <w:rPr>
                <w:rFonts w:ascii="Arial" w:hAnsi="Arial" w:cs="Arial"/>
              </w:rPr>
              <w:t>(</w:t>
            </w:r>
            <w:hyperlink w:anchor="Harke" w:history="1">
              <w:r w:rsidRPr="00D61F73">
                <w:rPr>
                  <w:rStyle w:val="Hyperlink"/>
                  <w:rFonts w:ascii="Arial" w:hAnsi="Arial" w:cs="Arial"/>
                </w:rPr>
                <w:t>Harke, 2005</w:t>
              </w:r>
            </w:hyperlink>
            <w:r w:rsidRPr="00D61F73">
              <w:rPr>
                <w:rFonts w:ascii="Arial" w:hAnsi="Arial" w:cs="Arial"/>
              </w:rPr>
              <w:t xml:space="preserve">) </w:t>
            </w:r>
            <w:r w:rsidRPr="00D61F73">
              <w:rPr>
                <w:rFonts w:ascii="Arial" w:eastAsia="Arial Unicode MS" w:hAnsi="Arial" w:cs="Arial"/>
                <w:lang w:val="en"/>
              </w:rPr>
              <w:t xml:space="preserve">See </w:t>
            </w:r>
            <w:hyperlink w:anchor="Spinalcordstimulators" w:history="1">
              <w:r w:rsidRPr="00D61F73">
                <w:rPr>
                  <w:rStyle w:val="Hyperlink"/>
                  <w:rFonts w:ascii="Arial" w:eastAsia="Arial Unicode MS" w:hAnsi="Arial" w:cs="Arial"/>
                  <w:lang w:val="en"/>
                </w:rPr>
                <w:t>Spinal cord stimulators</w:t>
              </w:r>
            </w:hyperlink>
            <w:r w:rsidRPr="00D61F73">
              <w:rPr>
                <w:rFonts w:ascii="Arial" w:eastAsia="Arial Unicode MS" w:hAnsi="Arial" w:cs="Arial"/>
                <w:lang w:val="en"/>
              </w:rPr>
              <w:t xml:space="preserve"> (SCS).</w:t>
            </w:r>
          </w:p>
          <w:p w14:paraId="3A71628B" w14:textId="77777777" w:rsidR="00E648FC" w:rsidRPr="00D61F73" w:rsidRDefault="00E648FC" w:rsidP="00D61F73">
            <w:pPr>
              <w:rPr>
                <w:rFonts w:ascii="Arial" w:eastAsia="Arial Unicode MS" w:hAnsi="Arial" w:cs="Arial"/>
                <w:lang w:val="en"/>
              </w:rPr>
            </w:pPr>
            <w:r w:rsidRPr="00D61F73">
              <w:rPr>
                <w:rFonts w:ascii="Arial" w:hAnsi="Arial" w:cs="Arial"/>
                <w:lang w:val="en"/>
              </w:rPr>
              <w:t xml:space="preserve">For average hospital LOS if criteria are met, see </w:t>
            </w:r>
            <w:hyperlink w:anchor="Hospitallengthofstay" w:history="1">
              <w:r w:rsidRPr="00D61F73">
                <w:rPr>
                  <w:rStyle w:val="Hyperlink"/>
                  <w:rFonts w:ascii="Arial" w:hAnsi="Arial" w:cs="Arial"/>
                  <w:lang w:val="en"/>
                </w:rPr>
                <w:t>Hospital length of stay</w:t>
              </w:r>
            </w:hyperlink>
            <w:r w:rsidRPr="00D61F73">
              <w:rPr>
                <w:rFonts w:ascii="Arial" w:hAnsi="Arial" w:cs="Arial"/>
                <w:lang w:val="en"/>
              </w:rPr>
              <w:t xml:space="preserve"> (LOS).</w:t>
            </w:r>
          </w:p>
        </w:tc>
      </w:tr>
      <w:tr w:rsidR="00E648FC" w:rsidRPr="00D61F73" w14:paraId="282E225F" w14:textId="77777777" w:rsidTr="0078164D">
        <w:tc>
          <w:tcPr>
            <w:tcW w:w="1086" w:type="pct"/>
          </w:tcPr>
          <w:p w14:paraId="28C6E83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64" w:name="CRPSsympathectomy"/>
            <w:bookmarkEnd w:id="164"/>
            <w:r w:rsidRPr="00D61F73">
              <w:rPr>
                <w:rFonts w:ascii="Arial" w:hAnsi="Arial" w:cs="Arial"/>
              </w:rPr>
              <w:t>RPS, sympathectomy</w:t>
            </w:r>
          </w:p>
        </w:tc>
        <w:tc>
          <w:tcPr>
            <w:tcW w:w="3914" w:type="pct"/>
          </w:tcPr>
          <w:p w14:paraId="71C84506" w14:textId="77777777" w:rsidR="00E648FC" w:rsidRPr="00D61F73" w:rsidRDefault="00E648FC" w:rsidP="00D61F73">
            <w:pPr>
              <w:rPr>
                <w:rFonts w:ascii="Arial" w:hAnsi="Arial" w:cs="Arial"/>
              </w:rPr>
            </w:pPr>
            <w:r w:rsidRPr="00D61F73">
              <w:rPr>
                <w:rFonts w:ascii="Arial" w:hAnsi="Arial" w:cs="Arial"/>
              </w:rPr>
              <w:t>Not recommended. The practice of surgical, chemical and radiofrequency sympathectomy is based on poor quality evidence, uncontrolled studies and personal experience. Furthermore, complications of the procedure may be significant, in terms of both worsening the pain or producing a new pain syndrome; and abnormal forms of sweating (compensatory hyperhidrosis and pathological gustatory sweating). Therefore, more clinical trials of sympathectomy are required to establish the overall effectiveness and potential risks of this procedure. (</w:t>
            </w:r>
            <w:hyperlink w:anchor="Furlan2" w:history="1">
              <w:r w:rsidRPr="00D61F73">
                <w:rPr>
                  <w:rStyle w:val="Hyperlink"/>
                  <w:rFonts w:ascii="Arial" w:hAnsi="Arial" w:cs="Arial"/>
                </w:rPr>
                <w:t>Furlan, 2000</w:t>
              </w:r>
            </w:hyperlink>
            <w:r w:rsidRPr="00D61F73">
              <w:rPr>
                <w:rFonts w:ascii="Arial" w:hAnsi="Arial" w:cs="Arial"/>
              </w:rPr>
              <w:t>)  (</w:t>
            </w:r>
            <w:hyperlink w:anchor="Mailis" w:history="1">
              <w:r w:rsidRPr="00D61F73">
                <w:rPr>
                  <w:rStyle w:val="Hyperlink"/>
                  <w:rFonts w:ascii="Arial" w:hAnsi="Arial" w:cs="Arial"/>
                </w:rPr>
                <w:t>Mailis-Cochrane, 2003</w:t>
              </w:r>
            </w:hyperlink>
            <w:r w:rsidRPr="00D61F73">
              <w:rPr>
                <w:rFonts w:ascii="Arial" w:hAnsi="Arial" w:cs="Arial"/>
              </w:rPr>
              <w:t xml:space="preserve">) Sympathectomy is destruction of part of the sympathetic nervous system, and it is not generally accepted or widely used. Long-term success with this pain relief treatment is poor. Indications: Single extremity </w:t>
            </w:r>
            <w:r w:rsidRPr="00D61F73">
              <w:rPr>
                <w:rFonts w:ascii="Arial" w:hAnsi="Arial" w:cs="Arial"/>
              </w:rPr>
              <w:lastRenderedPageBreak/>
              <w:t>CRPS-I or SMP; distal pain only (should not be done if the proximal extremity is involved). Local anesthetic Stellate Ganglion Block or Lumbar Sympathetic Block consistently gives 90 to 100 percent relief each time a technically good block is performed (with measured rise in temperature). The procedure may be considered for individuals who have limited duration of relief from blocks. Permanent neurological complications are common. (</w:t>
            </w:r>
            <w:hyperlink w:anchor="Colorado2" w:history="1">
              <w:r w:rsidRPr="00D61F73">
                <w:rPr>
                  <w:rStyle w:val="Hyperlink"/>
                  <w:rFonts w:ascii="Arial" w:hAnsi="Arial" w:cs="Arial"/>
                </w:rPr>
                <w:t>State, 2002</w:t>
              </w:r>
            </w:hyperlink>
            <w:r w:rsidRPr="00D61F73">
              <w:rPr>
                <w:rFonts w:ascii="Arial" w:hAnsi="Arial" w:cs="Arial"/>
              </w:rPr>
              <w:t>)</w:t>
            </w:r>
          </w:p>
          <w:p w14:paraId="2B0CE15B" w14:textId="77777777" w:rsidR="00E648FC" w:rsidRPr="00D61F73" w:rsidRDefault="00E648FC" w:rsidP="00D61F73">
            <w:pPr>
              <w:rPr>
                <w:rFonts w:ascii="Arial" w:hAnsi="Arial" w:cs="Arial"/>
              </w:rPr>
            </w:pPr>
            <w:r w:rsidRPr="00D61F73">
              <w:rPr>
                <w:rFonts w:ascii="Arial" w:hAnsi="Arial" w:cs="Arial"/>
                <w:lang w:val="en"/>
              </w:rPr>
              <w:t xml:space="preserve">For average hospital LOS if criteria are met, see </w:t>
            </w:r>
            <w:hyperlink w:anchor="Hospitallengthofstay" w:history="1">
              <w:r w:rsidRPr="00D61F73">
                <w:rPr>
                  <w:rStyle w:val="Hyperlink"/>
                  <w:rFonts w:ascii="Arial" w:hAnsi="Arial" w:cs="Arial"/>
                  <w:lang w:val="en"/>
                </w:rPr>
                <w:t>Hospital length of stay</w:t>
              </w:r>
            </w:hyperlink>
            <w:r w:rsidRPr="00D61F73">
              <w:rPr>
                <w:rFonts w:ascii="Arial" w:hAnsi="Arial" w:cs="Arial"/>
                <w:lang w:val="en"/>
              </w:rPr>
              <w:t xml:space="preserve"> (LOS).</w:t>
            </w:r>
          </w:p>
        </w:tc>
      </w:tr>
      <w:tr w:rsidR="00E648FC" w:rsidRPr="00D61F73" w14:paraId="21DB035F" w14:textId="77777777" w:rsidTr="0078164D">
        <w:tc>
          <w:tcPr>
            <w:tcW w:w="1086" w:type="pct"/>
          </w:tcPr>
          <w:p w14:paraId="0CE966D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65" w:name="CRPSsympatheticandepiduralblocks"/>
            <w:bookmarkStart w:id="166" w:name="CRPSsympatheticblocks"/>
            <w:bookmarkEnd w:id="165"/>
            <w:bookmarkEnd w:id="166"/>
            <w:r w:rsidRPr="00D61F73">
              <w:rPr>
                <w:rFonts w:ascii="Arial" w:hAnsi="Arial" w:cs="Arial"/>
              </w:rPr>
              <w:t>RPS, sympathetic blocks (therapeutic)</w:t>
            </w:r>
          </w:p>
        </w:tc>
        <w:tc>
          <w:tcPr>
            <w:tcW w:w="3914" w:type="pct"/>
          </w:tcPr>
          <w:p w14:paraId="711AEECA" w14:textId="77777777" w:rsidR="00E648FC" w:rsidRPr="00D61F73" w:rsidRDefault="00E648FC" w:rsidP="00D61F73">
            <w:pPr>
              <w:rPr>
                <w:rFonts w:ascii="Arial" w:eastAsia="Arial Unicode MS" w:hAnsi="Arial" w:cs="Arial"/>
                <w:lang w:val="en"/>
              </w:rPr>
            </w:pPr>
            <w:r w:rsidRPr="00D61F73">
              <w:rPr>
                <w:rFonts w:ascii="Arial" w:eastAsia="Arial Unicode MS" w:hAnsi="Arial" w:cs="Arial"/>
                <w:lang w:val="en"/>
              </w:rPr>
              <w:t>Recommend local anesthetic sympathetic blocks for limited, select cases, as indicated below. Not recommend IV regional anesthesia blocks.</w:t>
            </w:r>
          </w:p>
          <w:p w14:paraId="3147AD6D" w14:textId="77777777" w:rsidR="00E648FC" w:rsidRPr="00D61F73" w:rsidRDefault="00E648FC" w:rsidP="00D61F73">
            <w:pPr>
              <w:rPr>
                <w:rFonts w:ascii="Arial" w:eastAsia="Arial Unicode MS" w:hAnsi="Arial" w:cs="Arial"/>
                <w:b/>
                <w:i/>
                <w:color w:val="auto"/>
                <w:lang w:val="en"/>
              </w:rPr>
            </w:pPr>
            <w:r w:rsidRPr="00D61F73">
              <w:rPr>
                <w:rFonts w:ascii="Arial" w:eastAsia="Arial Unicode MS" w:hAnsi="Arial" w:cs="Arial"/>
                <w:b/>
                <w:i/>
                <w:lang w:val="en"/>
              </w:rPr>
              <w:t xml:space="preserve">Local anesthetic sympathetic blocks: </w:t>
            </w:r>
          </w:p>
          <w:p w14:paraId="25D4F3C2" w14:textId="77777777" w:rsidR="00E648FC" w:rsidRPr="00D61F73" w:rsidRDefault="00E648FC" w:rsidP="00D61F73">
            <w:pPr>
              <w:rPr>
                <w:rFonts w:ascii="Arial" w:hAnsi="Arial" w:cs="Arial"/>
              </w:rPr>
            </w:pPr>
            <w:r w:rsidRPr="00D61F73">
              <w:rPr>
                <w:rFonts w:ascii="Arial" w:eastAsia="Arial Unicode MS" w:hAnsi="Arial" w:cs="Arial"/>
                <w:lang w:val="en"/>
              </w:rPr>
              <w:t xml:space="preserve">Recommended </w:t>
            </w:r>
            <w:r w:rsidRPr="00D61F73">
              <w:rPr>
                <w:rFonts w:ascii="Arial" w:hAnsi="Arial" w:cs="Arial"/>
              </w:rPr>
              <w:t xml:space="preserve">for limited, select cases, primarily for diagnosis of sympathetically mediated pain and therapeutically as an adjunct to facilitate physical therapy/ </w:t>
            </w:r>
            <w:hyperlink w:anchor="Functionalimprovementmeasures" w:history="1">
              <w:r w:rsidRPr="00D61F73">
                <w:rPr>
                  <w:rStyle w:val="Hyperlink"/>
                  <w:rFonts w:ascii="Arial" w:hAnsi="Arial" w:cs="Arial"/>
                </w:rPr>
                <w:t>functional restoration</w:t>
              </w:r>
            </w:hyperlink>
            <w:r w:rsidRPr="00D61F73">
              <w:rPr>
                <w:rFonts w:ascii="Arial" w:hAnsi="Arial" w:cs="Arial"/>
              </w:rPr>
              <w:t>. When used for therapeutic purposes the procedure is not considered a stand-alone treatment.</w:t>
            </w:r>
            <w:r w:rsidRPr="00D61F73">
              <w:rPr>
                <w:rFonts w:ascii="Arial" w:eastAsia="Arial Unicode MS" w:hAnsi="Arial" w:cs="Arial"/>
                <w:lang w:val="en"/>
              </w:rPr>
              <w:t xml:space="preserve"> The role of sympathetic blocks for treatment of CRPS is largely empirical (with a general lack of evidence-based research for support) but can be clinically important in individual cases in which the procedure ameliorates pain and improves function, allowing for a less painful “window of opportunity” for rehabilitation techniques. (</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 Use of sympathetic blocks should be balanced against the side effect ratio and evidence of limited response to treatment.</w:t>
            </w:r>
            <w:r w:rsidRPr="00D61F73">
              <w:rPr>
                <w:rFonts w:ascii="Arial" w:hAnsi="Arial" w:cs="Arial"/>
                <w:lang w:val="en"/>
              </w:rPr>
              <w:t xml:space="preserve"> </w:t>
            </w:r>
            <w:r w:rsidRPr="00D61F73">
              <w:rPr>
                <w:rFonts w:ascii="Arial" w:hAnsi="Arial" w:cs="Arial"/>
              </w:rPr>
              <w:t xml:space="preserve">See </w:t>
            </w:r>
            <w:hyperlink w:anchor="CRPSdiagnostictests" w:history="1">
              <w:r w:rsidRPr="00D61F73">
                <w:rPr>
                  <w:rStyle w:val="Hyperlink"/>
                  <w:rFonts w:ascii="Arial" w:hAnsi="Arial" w:cs="Arial"/>
                </w:rPr>
                <w:t>CRPS, diagnostic tests</w:t>
              </w:r>
            </w:hyperlink>
            <w:r w:rsidRPr="00D61F73">
              <w:rPr>
                <w:rFonts w:ascii="Arial" w:hAnsi="Arial" w:cs="Arial"/>
              </w:rPr>
              <w:t xml:space="preserve">. </w:t>
            </w:r>
          </w:p>
          <w:p w14:paraId="7598260D" w14:textId="77777777" w:rsidR="00E648FC" w:rsidRPr="00D61F73" w:rsidRDefault="00E648FC" w:rsidP="00D61F73">
            <w:pPr>
              <w:rPr>
                <w:rFonts w:ascii="Arial" w:eastAsia="Calibri" w:hAnsi="Arial" w:cs="Arial"/>
              </w:rPr>
            </w:pPr>
            <w:r w:rsidRPr="00D61F73">
              <w:rPr>
                <w:rFonts w:ascii="Arial" w:hAnsi="Arial" w:cs="Arial"/>
                <w:b/>
                <w:i/>
              </w:rPr>
              <w:t>IV regional anesthesia</w:t>
            </w:r>
            <w:r w:rsidRPr="00D61F73">
              <w:rPr>
                <w:rFonts w:ascii="Arial" w:hAnsi="Arial" w:cs="Arial"/>
                <w:i/>
              </w:rPr>
              <w:t xml:space="preserve">: </w:t>
            </w:r>
            <w:r w:rsidRPr="00D61F73">
              <w:rPr>
                <w:rFonts w:ascii="Arial" w:hAnsi="Arial" w:cs="Arial"/>
              </w:rPr>
              <w:t xml:space="preserve">Not recommended due to lack of evidence for use. This procedure is a technique that allows placement of medications directly in the effected extremity but current literature indicates efficacy is poor. </w:t>
            </w:r>
            <w:r w:rsidRPr="00D61F73">
              <w:rPr>
                <w:rFonts w:ascii="Arial" w:eastAsia="Arial Unicode MS" w:hAnsi="Arial" w:cs="Arial"/>
                <w:lang w:val="en"/>
              </w:rPr>
              <w:t>(</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 xml:space="preserve">) </w:t>
            </w:r>
            <w:r w:rsidRPr="00D61F73">
              <w:rPr>
                <w:rFonts w:ascii="Arial" w:hAnsi="Arial" w:cs="Arial"/>
              </w:rPr>
              <w:t>There is no role for IV diagnostic blocks with phentolamine or IVRA with guanethidine. Other procedures include IV regional blocks with lidocaine, lidocaine-methyl-prednisolone, droperidol, ketanserin, atropine, bretylium clonidine, and reserpine. If used, there must be evidence that current CRPS criteria have been met and all other diagnoses have been ruled out. Evidence of sympathetically mediated pain should be provided (see the recommendations below). The reason for the necessity of this procedure over-and-above a standard sympathetic block should also be provided. (</w:t>
            </w:r>
            <w:hyperlink w:anchor="Perez2010" w:history="1">
              <w:r w:rsidRPr="00D61F73">
                <w:rPr>
                  <w:rStyle w:val="Hyperlink"/>
                  <w:rFonts w:ascii="Arial" w:hAnsi="Arial" w:cs="Arial"/>
                </w:rPr>
                <w:t>Perez, 2010</w:t>
              </w:r>
            </w:hyperlink>
            <w:r w:rsidRPr="00D61F73">
              <w:rPr>
                <w:rFonts w:ascii="Arial" w:hAnsi="Arial" w:cs="Arial"/>
              </w:rPr>
              <w:t xml:space="preserve">) </w:t>
            </w:r>
            <w:r w:rsidRPr="00D61F73">
              <w:rPr>
                <w:rFonts w:ascii="Arial" w:eastAsia="Arial Unicode MS" w:hAnsi="Arial" w:cs="Arial"/>
                <w:lang w:val="en"/>
              </w:rPr>
              <w:t>(</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 xml:space="preserve">) </w:t>
            </w:r>
            <w:r w:rsidRPr="00D61F73">
              <w:rPr>
                <w:rFonts w:ascii="Arial" w:hAnsi="Arial" w:cs="Arial"/>
              </w:rPr>
              <w:t>(</w:t>
            </w:r>
            <w:hyperlink w:anchor="Tran2010" w:history="1">
              <w:r w:rsidRPr="00D61F73">
                <w:rPr>
                  <w:rStyle w:val="Hyperlink"/>
                  <w:rFonts w:ascii="Arial" w:hAnsi="Arial" w:cs="Arial"/>
                </w:rPr>
                <w:t>Tran, 2010</w:t>
              </w:r>
            </w:hyperlink>
            <w:r w:rsidRPr="00D61F73">
              <w:rPr>
                <w:rFonts w:ascii="Arial" w:hAnsi="Arial" w:cs="Arial"/>
              </w:rPr>
              <w:t xml:space="preserve">) See also </w:t>
            </w:r>
            <w:hyperlink w:anchor="CRPStreatment" w:history="1">
              <w:r w:rsidRPr="00D61F73">
                <w:rPr>
                  <w:rStyle w:val="Hyperlink"/>
                  <w:rFonts w:ascii="Arial" w:hAnsi="Arial" w:cs="Arial"/>
                </w:rPr>
                <w:t>CRPS, treatment</w:t>
              </w:r>
            </w:hyperlink>
            <w:r w:rsidRPr="00D61F73">
              <w:rPr>
                <w:rFonts w:ascii="Arial" w:hAnsi="Arial" w:cs="Arial"/>
              </w:rPr>
              <w:t>.</w:t>
            </w:r>
          </w:p>
          <w:p w14:paraId="68F8B2FC" w14:textId="77777777" w:rsidR="00E648FC" w:rsidRPr="00D61F73" w:rsidRDefault="00E648FC" w:rsidP="00D61F73">
            <w:pPr>
              <w:rPr>
                <w:rFonts w:ascii="Arial" w:eastAsia="Arial Unicode MS" w:hAnsi="Arial" w:cs="Arial"/>
                <w:b/>
                <w:i/>
                <w:lang w:val="en"/>
              </w:rPr>
            </w:pPr>
            <w:r w:rsidRPr="00D61F73">
              <w:rPr>
                <w:rFonts w:ascii="Arial" w:eastAsia="Arial Unicode MS" w:hAnsi="Arial" w:cs="Arial"/>
                <w:b/>
                <w:i/>
                <w:lang w:val="en"/>
              </w:rPr>
              <w:t>General information on sympathetic procedures</w:t>
            </w:r>
          </w:p>
          <w:p w14:paraId="27F76DE7" w14:textId="77777777" w:rsidR="00E648FC" w:rsidRPr="00D61F73" w:rsidRDefault="00E648FC" w:rsidP="00D61F73">
            <w:pPr>
              <w:rPr>
                <w:rFonts w:ascii="Arial" w:hAnsi="Arial" w:cs="Arial"/>
              </w:rPr>
            </w:pPr>
            <w:r w:rsidRPr="00D61F73">
              <w:rPr>
                <w:rFonts w:ascii="Arial" w:hAnsi="Arial" w:cs="Arial"/>
                <w:i/>
              </w:rPr>
              <w:t xml:space="preserve">Current literature: </w:t>
            </w:r>
            <w:r w:rsidRPr="00D61F73">
              <w:rPr>
                <w:rFonts w:ascii="Arial" w:hAnsi="Arial" w:cs="Arial"/>
              </w:rPr>
              <w:t>A recent study indicated that there was low quality literature to support this procedure (some evidence of effect, but conclusions were limited by study design, divergent CRPS diagnostic criteria, differing injection techniques and lack of consistent criteria for positive response). Results were inconsistent and/or extrapolation of questionable reliability with inconclusive evidence to recommend for or against the intervention. (</w:t>
            </w:r>
            <w:hyperlink w:anchor="Dworkin2013" w:history="1">
              <w:r w:rsidRPr="00D61F73">
                <w:rPr>
                  <w:rStyle w:val="Hyperlink"/>
                  <w:rFonts w:ascii="Arial" w:hAnsi="Arial" w:cs="Arial"/>
                </w:rPr>
                <w:t>Dworkin, 2013</w:t>
              </w:r>
            </w:hyperlink>
            <w:r w:rsidRPr="00D61F73">
              <w:rPr>
                <w:rFonts w:ascii="Arial" w:hAnsi="Arial" w:cs="Arial"/>
              </w:rPr>
              <w:t>) Other studies have found evidence non-conclusive for this procedure or that low-quality evidence showed this procedure was not effective. (</w:t>
            </w:r>
            <w:hyperlink w:anchor="OConnell2013" w:history="1">
              <w:r w:rsidRPr="00D61F73">
                <w:rPr>
                  <w:rStyle w:val="Hyperlink"/>
                  <w:rFonts w:ascii="Arial" w:hAnsi="Arial" w:cs="Arial"/>
                </w:rPr>
                <w:t>O’Connell, 2013</w:t>
              </w:r>
            </w:hyperlink>
            <w:r w:rsidRPr="00D61F73">
              <w:rPr>
                <w:rFonts w:ascii="Arial" w:hAnsi="Arial" w:cs="Arial"/>
              </w:rPr>
              <w:t>) (</w:t>
            </w:r>
            <w:hyperlink w:anchor="Tran2010" w:history="1">
              <w:r w:rsidRPr="00D61F73">
                <w:rPr>
                  <w:rStyle w:val="Hyperlink"/>
                  <w:rFonts w:ascii="Arial" w:hAnsi="Arial" w:cs="Arial"/>
                </w:rPr>
                <w:t>Tran, 2010</w:t>
              </w:r>
            </w:hyperlink>
            <w:r w:rsidRPr="00D61F73">
              <w:rPr>
                <w:rFonts w:ascii="Arial" w:hAnsi="Arial" w:cs="Arial"/>
              </w:rPr>
              <w:t xml:space="preserve">) The blocks are thought to be most beneficial when used early in the disease as an adjunct to rehabilitation with physical or occupational therapy. No controlled trials have shown any significant benefit from </w:t>
            </w:r>
            <w:r w:rsidRPr="00D61F73">
              <w:rPr>
                <w:rFonts w:ascii="Arial" w:hAnsi="Arial" w:cs="Arial"/>
              </w:rPr>
              <w:lastRenderedPageBreak/>
              <w:t>sympathetic blockade. (</w:t>
            </w:r>
            <w:hyperlink w:anchor="Dworkin2013" w:history="1">
              <w:r w:rsidRPr="00D61F73">
                <w:rPr>
                  <w:rStyle w:val="Hyperlink"/>
                  <w:rFonts w:ascii="Arial" w:hAnsi="Arial" w:cs="Arial"/>
                </w:rPr>
                <w:t>Dworkin 2013</w:t>
              </w:r>
            </w:hyperlink>
            <w:r w:rsidRPr="00D61F73">
              <w:rPr>
                <w:rFonts w:ascii="Arial" w:hAnsi="Arial" w:cs="Arial"/>
              </w:rPr>
              <w:t>) (</w:t>
            </w:r>
            <w:hyperlink w:anchor="OConnell2013" w:history="1">
              <w:r w:rsidRPr="00D61F73">
                <w:rPr>
                  <w:rStyle w:val="Hyperlink"/>
                  <w:rFonts w:ascii="Arial" w:hAnsi="Arial" w:cs="Arial"/>
                </w:rPr>
                <w:t>O’Connell, 2013</w:t>
              </w:r>
            </w:hyperlink>
            <w:r w:rsidRPr="00D61F73">
              <w:rPr>
                <w:rFonts w:ascii="Arial" w:hAnsi="Arial" w:cs="Arial"/>
              </w:rPr>
              <w:t>) (</w:t>
            </w:r>
            <w:hyperlink w:anchor="Tran2010" w:history="1">
              <w:r w:rsidRPr="00D61F73">
                <w:rPr>
                  <w:rStyle w:val="Hyperlink"/>
                  <w:rFonts w:ascii="Arial" w:hAnsi="Arial" w:cs="Arial"/>
                </w:rPr>
                <w:t>Tran, 2010</w:t>
              </w:r>
            </w:hyperlink>
            <w:r w:rsidRPr="00D61F73">
              <w:rPr>
                <w:rFonts w:ascii="Arial" w:hAnsi="Arial" w:cs="Arial"/>
              </w:rPr>
              <w:t>) (</w:t>
            </w:r>
            <w:hyperlink w:anchor="vanEijs2012" w:history="1">
              <w:r w:rsidRPr="00D61F73">
                <w:rPr>
                  <w:rStyle w:val="Hyperlink"/>
                  <w:rFonts w:ascii="Arial" w:hAnsi="Arial" w:cs="Arial"/>
                </w:rPr>
                <w:t>van Eijs, 2012</w:t>
              </w:r>
            </w:hyperlink>
            <w:r w:rsidRPr="00D61F73">
              <w:rPr>
                <w:rFonts w:ascii="Arial" w:hAnsi="Arial" w:cs="Arial"/>
              </w:rPr>
              <w:t>) (</w:t>
            </w:r>
            <w:hyperlink w:anchor="Perez2010" w:history="1">
              <w:r w:rsidRPr="00D61F73">
                <w:rPr>
                  <w:rStyle w:val="Hyperlink"/>
                  <w:rFonts w:ascii="Arial" w:hAnsi="Arial" w:cs="Arial"/>
                </w:rPr>
                <w:t>Perez, 2010</w:t>
              </w:r>
            </w:hyperlink>
            <w:r w:rsidRPr="00D61F73">
              <w:rPr>
                <w:rFonts w:ascii="Arial" w:hAnsi="Arial" w:cs="Arial"/>
              </w:rPr>
              <w:t>) (</w:t>
            </w:r>
            <w:hyperlink w:anchor="vanEijs2011" w:history="1">
              <w:r w:rsidRPr="00D61F73">
                <w:rPr>
                  <w:rStyle w:val="Hyperlink"/>
                  <w:rFonts w:ascii="Arial" w:hAnsi="Arial" w:cs="Arial"/>
                </w:rPr>
                <w:t>van Eijs, 2011</w:t>
              </w:r>
            </w:hyperlink>
            <w:r w:rsidRPr="00D61F73">
              <w:rPr>
                <w:rFonts w:ascii="Arial" w:hAnsi="Arial" w:cs="Arial"/>
              </w:rPr>
              <w:t>) (</w:t>
            </w:r>
            <w:hyperlink w:anchor="Nelson" w:history="1">
              <w:r w:rsidRPr="00D61F73">
                <w:rPr>
                  <w:rStyle w:val="Hyperlink"/>
                  <w:rFonts w:ascii="Arial" w:hAnsi="Arial" w:cs="Arial"/>
                </w:rPr>
                <w:t>Nelson, 2006</w:t>
              </w:r>
            </w:hyperlink>
            <w:r w:rsidRPr="00D61F73">
              <w:rPr>
                <w:rFonts w:ascii="Arial" w:hAnsi="Arial" w:cs="Arial"/>
              </w:rPr>
              <w:t>) (</w:t>
            </w:r>
            <w:hyperlink w:anchor="Varrassi" w:history="1">
              <w:r w:rsidRPr="00D61F73">
                <w:rPr>
                  <w:rStyle w:val="Hyperlink"/>
                  <w:rFonts w:ascii="Arial" w:hAnsi="Arial" w:cs="Arial"/>
                </w:rPr>
                <w:t>Varrassi, 2006</w:t>
              </w:r>
            </w:hyperlink>
            <w:r w:rsidRPr="00D61F73">
              <w:rPr>
                <w:rFonts w:ascii="Arial" w:hAnsi="Arial" w:cs="Arial"/>
              </w:rPr>
              <w:t>) (</w:t>
            </w:r>
            <w:hyperlink w:anchor="Cepeda" w:history="1">
              <w:r w:rsidRPr="00D61F73">
                <w:rPr>
                  <w:rStyle w:val="Hyperlink"/>
                  <w:rFonts w:ascii="Arial" w:hAnsi="Arial" w:cs="Arial"/>
                </w:rPr>
                <w:t>Cepeda, 2005</w:t>
              </w:r>
            </w:hyperlink>
            <w:r w:rsidRPr="00D61F73">
              <w:rPr>
                <w:rFonts w:ascii="Arial" w:hAnsi="Arial" w:cs="Arial"/>
              </w:rPr>
              <w:t>) (</w:t>
            </w:r>
            <w:hyperlink w:anchor="Hartrick" w:history="1">
              <w:r w:rsidRPr="00D61F73">
                <w:rPr>
                  <w:rStyle w:val="Hyperlink"/>
                  <w:rFonts w:ascii="Arial" w:hAnsi="Arial" w:cs="Arial"/>
                </w:rPr>
                <w:t>Hartrick, 2004</w:t>
              </w:r>
            </w:hyperlink>
            <w:r w:rsidRPr="00D61F73">
              <w:rPr>
                <w:rFonts w:ascii="Arial" w:hAnsi="Arial" w:cs="Arial"/>
              </w:rPr>
              <w:t>) (</w:t>
            </w:r>
            <w:hyperlink w:anchor="Grabow2" w:history="1">
              <w:r w:rsidRPr="00D61F73">
                <w:rPr>
                  <w:rStyle w:val="Hyperlink"/>
                  <w:rFonts w:ascii="Arial" w:hAnsi="Arial" w:cs="Arial"/>
                </w:rPr>
                <w:t>Grabow, 2005</w:t>
              </w:r>
            </w:hyperlink>
            <w:r w:rsidRPr="00D61F73">
              <w:rPr>
                <w:rFonts w:ascii="Arial" w:hAnsi="Arial" w:cs="Arial"/>
              </w:rPr>
              <w:t>) (</w:t>
            </w:r>
            <w:hyperlink w:anchor="Cepeda2002" w:history="1">
              <w:r w:rsidRPr="00D61F73">
                <w:rPr>
                  <w:rStyle w:val="Hyperlink"/>
                  <w:rFonts w:ascii="Arial" w:hAnsi="Arial" w:cs="Arial"/>
                </w:rPr>
                <w:t>Cepeda, 2002</w:t>
              </w:r>
            </w:hyperlink>
            <w:r w:rsidRPr="00D61F73">
              <w:rPr>
                <w:rFonts w:ascii="Arial" w:hAnsi="Arial" w:cs="Arial"/>
              </w:rPr>
              <w:t>) (</w:t>
            </w:r>
            <w:hyperlink w:anchor="Forouzanfar2" w:history="1">
              <w:r w:rsidRPr="00D61F73">
                <w:rPr>
                  <w:rStyle w:val="Hyperlink"/>
                  <w:rFonts w:ascii="Arial" w:hAnsi="Arial" w:cs="Arial"/>
                </w:rPr>
                <w:t>Forouzanfar, 2002</w:t>
              </w:r>
            </w:hyperlink>
            <w:r w:rsidRPr="00D61F73">
              <w:rPr>
                <w:rFonts w:ascii="Arial" w:hAnsi="Arial" w:cs="Arial"/>
              </w:rPr>
              <w:t>) (</w:t>
            </w:r>
            <w:hyperlink w:anchor="Sharma" w:history="1">
              <w:r w:rsidRPr="00D61F73">
                <w:rPr>
                  <w:rStyle w:val="Hyperlink"/>
                  <w:rFonts w:ascii="Arial" w:hAnsi="Arial" w:cs="Arial"/>
                </w:rPr>
                <w:t>Sharma, 2006</w:t>
              </w:r>
            </w:hyperlink>
            <w:r w:rsidRPr="00D61F73">
              <w:rPr>
                <w:rFonts w:ascii="Arial" w:hAnsi="Arial" w:cs="Arial"/>
              </w:rPr>
              <w:t>)</w:t>
            </w:r>
          </w:p>
          <w:p w14:paraId="5A3FF029" w14:textId="77777777" w:rsidR="00E648FC" w:rsidRPr="00D61F73" w:rsidRDefault="00E648FC" w:rsidP="00D61F73">
            <w:pPr>
              <w:rPr>
                <w:rFonts w:ascii="Arial" w:eastAsia="Arial Unicode MS" w:hAnsi="Arial" w:cs="Arial"/>
                <w:lang w:val="en"/>
              </w:rPr>
            </w:pPr>
            <w:r w:rsidRPr="00D61F73">
              <w:rPr>
                <w:rFonts w:ascii="Arial" w:hAnsi="Arial" w:cs="Arial"/>
                <w:i/>
              </w:rPr>
              <w:t xml:space="preserve">Historical basis for use: </w:t>
            </w:r>
            <w:r w:rsidRPr="00D61F73">
              <w:rPr>
                <w:rFonts w:ascii="Arial" w:eastAsia="Arial Unicode MS" w:hAnsi="Arial" w:cs="Arial"/>
                <w:lang w:val="en"/>
              </w:rPr>
              <w:t xml:space="preserve">The use of sympathetic blocks for diagnostic and therapeutic purposes in the management of CRPS is based on a previous hypothesis concerning the involvement of the sympathetic nervous system in the pathophysiological mechanism of the disease. </w:t>
            </w:r>
            <w:r w:rsidRPr="00D61F73">
              <w:rPr>
                <w:rFonts w:ascii="Arial" w:hAnsi="Arial" w:cs="Arial"/>
              </w:rPr>
              <w:t>(</w:t>
            </w:r>
            <w:hyperlink w:anchor="vanEijs2012" w:history="1">
              <w:r w:rsidRPr="00D61F73">
                <w:rPr>
                  <w:rStyle w:val="Hyperlink"/>
                  <w:rFonts w:ascii="Arial" w:hAnsi="Arial" w:cs="Arial"/>
                </w:rPr>
                <w:t>van Eijs, 2012</w:t>
              </w:r>
            </w:hyperlink>
            <w:r w:rsidRPr="00D61F73">
              <w:rPr>
                <w:rFonts w:ascii="Arial" w:hAnsi="Arial" w:cs="Arial"/>
              </w:rPr>
              <w:t xml:space="preserve">) </w:t>
            </w:r>
            <w:r w:rsidRPr="00D61F73">
              <w:rPr>
                <w:rFonts w:ascii="Arial" w:eastAsia="Arial Unicode MS" w:hAnsi="Arial" w:cs="Arial"/>
                <w:lang w:val="en"/>
              </w:rPr>
              <w:t xml:space="preserve">It has been determined that a sympathetic mechanism is only present in a small subset of patients, and less than 1/3 of patients with CRPS are likely to respond to sympathetic blockade. See </w:t>
            </w:r>
            <w:hyperlink w:anchor="Sympatheticallymaintainedpain" w:history="1">
              <w:r w:rsidRPr="00D61F73">
                <w:rPr>
                  <w:rStyle w:val="Hyperlink"/>
                  <w:rFonts w:ascii="Arial" w:hAnsi="Arial" w:cs="Arial"/>
                </w:rPr>
                <w:t>Sympathetically maintained pain</w:t>
              </w:r>
            </w:hyperlink>
            <w:r w:rsidRPr="00D61F73">
              <w:rPr>
                <w:rFonts w:ascii="Arial" w:hAnsi="Arial" w:cs="Arial"/>
              </w:rPr>
              <w:t xml:space="preserve"> (SMP). </w:t>
            </w:r>
          </w:p>
          <w:p w14:paraId="61ED4C67" w14:textId="77777777" w:rsidR="00E648FC" w:rsidRPr="00D61F73" w:rsidRDefault="00E648FC" w:rsidP="00D61F73">
            <w:pPr>
              <w:rPr>
                <w:rFonts w:ascii="Arial" w:hAnsi="Arial" w:cs="Arial"/>
              </w:rPr>
            </w:pPr>
            <w:r w:rsidRPr="00D61F73">
              <w:rPr>
                <w:rFonts w:ascii="Arial" w:hAnsi="Arial" w:cs="Arial"/>
                <w:i/>
              </w:rPr>
              <w:t xml:space="preserve">Predictors of response: </w:t>
            </w:r>
            <w:r w:rsidRPr="00D61F73">
              <w:rPr>
                <w:rFonts w:ascii="Arial" w:hAnsi="Arial" w:cs="Arial"/>
              </w:rPr>
              <w:t>Researchers have suggested the following are predictors of poor response to blocks: (1) Long duration of symptoms prior to intervention; (2) Elevated anxiety levels; (3) Poor coping skills; (4) Litigation; (5) Allodynia and hypoesthesia. At this time there are no symptoms or signs that predict treatment success. (</w:t>
            </w:r>
            <w:hyperlink w:anchor="Hartrick" w:history="1">
              <w:r w:rsidRPr="00D61F73">
                <w:rPr>
                  <w:rStyle w:val="Hyperlink"/>
                  <w:rFonts w:ascii="Arial" w:hAnsi="Arial" w:cs="Arial"/>
                </w:rPr>
                <w:t>Hartrick, 2004</w:t>
              </w:r>
            </w:hyperlink>
            <w:r w:rsidRPr="00D61F73">
              <w:rPr>
                <w:rFonts w:ascii="Arial" w:hAnsi="Arial" w:cs="Arial"/>
              </w:rPr>
              <w:t>) (</w:t>
            </w:r>
            <w:hyperlink w:anchor="Nelson" w:history="1">
              <w:r w:rsidRPr="00D61F73">
                <w:rPr>
                  <w:rStyle w:val="Hyperlink"/>
                  <w:rFonts w:ascii="Arial" w:hAnsi="Arial" w:cs="Arial"/>
                </w:rPr>
                <w:t>Nelson, 2006</w:t>
              </w:r>
            </w:hyperlink>
            <w:r w:rsidRPr="00D61F73">
              <w:rPr>
                <w:rFonts w:ascii="Arial" w:hAnsi="Arial" w:cs="Arial"/>
              </w:rPr>
              <w:t>) (</w:t>
            </w:r>
            <w:hyperlink w:anchor="vanEijs2012" w:history="1">
              <w:r w:rsidRPr="00D61F73">
                <w:rPr>
                  <w:rStyle w:val="Hyperlink"/>
                  <w:rFonts w:ascii="Arial" w:hAnsi="Arial" w:cs="Arial"/>
                </w:rPr>
                <w:t>van Eijs, 2012</w:t>
              </w:r>
            </w:hyperlink>
            <w:r w:rsidRPr="00D61F73">
              <w:rPr>
                <w:rFonts w:ascii="Arial" w:hAnsi="Arial" w:cs="Arial"/>
              </w:rPr>
              <w:t>)</w:t>
            </w:r>
          </w:p>
          <w:p w14:paraId="679900C1" w14:textId="77777777" w:rsidR="00E648FC" w:rsidRPr="00D61F73" w:rsidRDefault="00E648FC" w:rsidP="00D61F73">
            <w:pPr>
              <w:rPr>
                <w:rFonts w:ascii="Arial" w:eastAsia="Calibri" w:hAnsi="Arial" w:cs="Arial"/>
              </w:rPr>
            </w:pPr>
            <w:r w:rsidRPr="00D61F73">
              <w:rPr>
                <w:rFonts w:ascii="Arial" w:hAnsi="Arial" w:cs="Arial"/>
                <w:i/>
              </w:rPr>
              <w:t xml:space="preserve">Interpretation of block results: </w:t>
            </w:r>
            <w:r w:rsidRPr="00D61F73">
              <w:rPr>
                <w:rFonts w:ascii="Arial" w:hAnsi="Arial" w:cs="Arial"/>
              </w:rPr>
              <w:t>There is a lack of consensus in terms of defining a successful sympathetic block. Based on consensus, a current suggestion of successful block is one that demonstrates an adequate and sustained increase in skin temperature (≥ 1.5° C and/or an increase in temperature to &gt; 34° C) without evidence of thermal or tactile sensory block. A Horner’s sign is should be documented for upper extremity blocks.</w:t>
            </w:r>
          </w:p>
          <w:p w14:paraId="73BED72F" w14:textId="77777777" w:rsidR="00E648FC" w:rsidRPr="00D61F73" w:rsidRDefault="00E648FC" w:rsidP="00D61F73">
            <w:pPr>
              <w:rPr>
                <w:rFonts w:ascii="Arial" w:hAnsi="Arial" w:cs="Arial"/>
                <w:b/>
                <w:bCs/>
              </w:rPr>
            </w:pPr>
            <w:r w:rsidRPr="00D61F73">
              <w:rPr>
                <w:rFonts w:ascii="Arial" w:hAnsi="Arial" w:cs="Arial"/>
                <w:b/>
                <w:bCs/>
              </w:rPr>
              <w:t>Recommendations (based on consensus guidelines) for use of sympathetic blocks (diagnostic block recommendations are included here, as well as in CRPS, diagnostic tests):</w:t>
            </w:r>
          </w:p>
          <w:p w14:paraId="7B521590" w14:textId="77777777" w:rsidR="00E648FC" w:rsidRPr="00D61F73" w:rsidRDefault="00E648FC" w:rsidP="00D61F73">
            <w:pPr>
              <w:rPr>
                <w:rFonts w:ascii="Arial" w:hAnsi="Arial" w:cs="Arial"/>
              </w:rPr>
            </w:pPr>
            <w:r w:rsidRPr="00D61F73">
              <w:rPr>
                <w:rFonts w:ascii="Arial" w:hAnsi="Arial" w:cs="Arial"/>
              </w:rPr>
              <w:t>(1) There should be evidence that all other diagnoses have been ruled out before consideration of use.</w:t>
            </w:r>
          </w:p>
          <w:p w14:paraId="1712404F" w14:textId="77777777" w:rsidR="00E648FC" w:rsidRPr="00D61F73" w:rsidRDefault="00E648FC" w:rsidP="00D61F73">
            <w:pPr>
              <w:rPr>
                <w:rFonts w:ascii="Arial" w:hAnsi="Arial" w:cs="Arial"/>
              </w:rPr>
            </w:pPr>
            <w:r w:rsidRPr="00D61F73">
              <w:rPr>
                <w:rFonts w:ascii="Arial" w:hAnsi="Arial" w:cs="Arial"/>
              </w:rPr>
              <w:t xml:space="preserve">(2) There should be evidence that the Budapest (Harden) criteria have been evaluated for and fulfilled. </w:t>
            </w:r>
          </w:p>
          <w:p w14:paraId="3239C814" w14:textId="77777777" w:rsidR="00E648FC" w:rsidRPr="00D61F73" w:rsidRDefault="00E648FC" w:rsidP="00D61F73">
            <w:pPr>
              <w:rPr>
                <w:rFonts w:ascii="Arial" w:hAnsi="Arial" w:cs="Arial"/>
              </w:rPr>
            </w:pPr>
            <w:r w:rsidRPr="00D61F73">
              <w:rPr>
                <w:rFonts w:ascii="Arial" w:hAnsi="Arial" w:cs="Arial"/>
              </w:rPr>
              <w:t>(3) If a sympathetic block is utilized for diagnosis, there should be evidence that this block fulfills criteria for success including that skin temperature after the block shows sustained increase (≥ 1.5° C and/or an increase in temperature to &gt; 34° C) without evidence of thermal or tactile sensory block. Documentation of motor and/or sensory block should occur. This is particularly important in the diagnostic phase to avoid overestimation of the sympathetic component of pain. A Horner’s sign should be documented for upper extremity blocks. The use of sedation with the block can influence results, and this should be documented if utilized. (</w:t>
            </w:r>
            <w:hyperlink w:anchor="Krumova2011" w:history="1">
              <w:r w:rsidRPr="00D61F73">
                <w:rPr>
                  <w:rStyle w:val="Hyperlink"/>
                  <w:rFonts w:ascii="Arial" w:hAnsi="Arial" w:cs="Arial"/>
                </w:rPr>
                <w:t>Krumova, 2011</w:t>
              </w:r>
            </w:hyperlink>
            <w:r w:rsidRPr="00D61F73">
              <w:rPr>
                <w:rFonts w:ascii="Arial" w:hAnsi="Arial" w:cs="Arial"/>
              </w:rPr>
              <w:t>) (</w:t>
            </w:r>
            <w:hyperlink w:anchor="Schürmann2001" w:history="1">
              <w:r w:rsidRPr="00D61F73">
                <w:rPr>
                  <w:rStyle w:val="Hyperlink"/>
                  <w:rFonts w:ascii="Arial" w:hAnsi="Arial" w:cs="Arial"/>
                </w:rPr>
                <w:t>Schurmann, 2001</w:t>
              </w:r>
            </w:hyperlink>
            <w:r w:rsidRPr="00D61F73">
              <w:rPr>
                <w:rFonts w:ascii="Arial" w:hAnsi="Arial" w:cs="Arial"/>
              </w:rPr>
              <w:t>)</w:t>
            </w:r>
          </w:p>
          <w:p w14:paraId="6DBD75A3" w14:textId="77777777" w:rsidR="00E648FC" w:rsidRPr="00D61F73" w:rsidRDefault="00E648FC" w:rsidP="00D61F73">
            <w:pPr>
              <w:rPr>
                <w:rFonts w:ascii="Arial" w:hAnsi="Arial" w:cs="Arial"/>
              </w:rPr>
            </w:pPr>
            <w:r w:rsidRPr="00D61F73">
              <w:rPr>
                <w:rFonts w:ascii="Arial" w:hAnsi="Arial" w:cs="Arial"/>
              </w:rPr>
              <w:t>(4) Therapeutic use of sympathetic blocks is only recommended in cases that have positive response to diagnostic blocks and diagnostic criteria are fulfilled (See #1-3). These blocks are only recommended if there is evidence of lack of response to conservative treatment including pharmacologic therapy and physical rehabilitation.</w:t>
            </w:r>
          </w:p>
          <w:p w14:paraId="1856EE45" w14:textId="77777777" w:rsidR="00E648FC" w:rsidRPr="00D61F73" w:rsidRDefault="00E648FC" w:rsidP="00D61F73">
            <w:pPr>
              <w:rPr>
                <w:rFonts w:ascii="Arial" w:hAnsi="Arial" w:cs="Arial"/>
              </w:rPr>
            </w:pPr>
            <w:r w:rsidRPr="00D61F73">
              <w:rPr>
                <w:rFonts w:ascii="Arial" w:hAnsi="Arial" w:cs="Arial"/>
              </w:rPr>
              <w:t xml:space="preserve">(5) In the initial therapeutic phase, maximum sustained relief is generally obtained after 3 to 6 blocks. These blocks are generally given in fairly quick succession in the first two weeks of treatment with tapering to once a week. Continuing treatment longer than 2 to 3 weeks is unusual. </w:t>
            </w:r>
          </w:p>
          <w:p w14:paraId="59FF90E0" w14:textId="77777777" w:rsidR="00E648FC" w:rsidRPr="00D61F73" w:rsidRDefault="00E648FC" w:rsidP="00D61F73">
            <w:pPr>
              <w:rPr>
                <w:rFonts w:ascii="Arial" w:hAnsi="Arial" w:cs="Arial"/>
              </w:rPr>
            </w:pPr>
            <w:r w:rsidRPr="00D61F73">
              <w:rPr>
                <w:rFonts w:ascii="Arial" w:hAnsi="Arial" w:cs="Arial"/>
              </w:rPr>
              <w:lastRenderedPageBreak/>
              <w:t>(6) In the therapeutic phase repeat blocks should only be undertaken if there is evidence of increased range of motion, pain and medication use reduction, and increased tolerance of activity and touch (decreased allodynia) is documented to permit participation in physical therapy/ occupational therapy. Sympathetic blocks are not a stand-alone treatment.</w:t>
            </w:r>
          </w:p>
          <w:p w14:paraId="3C65C9FA" w14:textId="77777777" w:rsidR="00E648FC" w:rsidRPr="00D61F73" w:rsidRDefault="00E648FC" w:rsidP="00D61F73">
            <w:pPr>
              <w:rPr>
                <w:rFonts w:ascii="Arial" w:hAnsi="Arial" w:cs="Arial"/>
              </w:rPr>
            </w:pPr>
            <w:r w:rsidRPr="00D61F73">
              <w:rPr>
                <w:rFonts w:ascii="Arial" w:hAnsi="Arial" w:cs="Arial"/>
              </w:rPr>
              <w:t>(7) There should be evidence that physical or occupational therapy is incorporated with the duration of symptom relief of the block during the therapeutic phase.</w:t>
            </w:r>
          </w:p>
          <w:p w14:paraId="2802452D" w14:textId="77777777" w:rsidR="00E648FC" w:rsidRPr="00D61F73" w:rsidRDefault="00E648FC" w:rsidP="00D61F73">
            <w:pPr>
              <w:rPr>
                <w:rFonts w:ascii="Arial" w:hAnsi="Arial" w:cs="Arial"/>
              </w:rPr>
            </w:pPr>
            <w:r w:rsidRPr="00D61F73">
              <w:rPr>
                <w:rFonts w:ascii="Arial" w:hAnsi="Arial" w:cs="Arial"/>
              </w:rPr>
              <w:t>(8) In acute exacerbations of patients who have documented evidence of sympathetically medicated pain (see #1-3), 1 to 3 blocks may be required for treatment.</w:t>
            </w:r>
          </w:p>
          <w:p w14:paraId="7A24A284" w14:textId="77777777" w:rsidR="00E648FC" w:rsidRPr="00D61F73" w:rsidRDefault="00E648FC" w:rsidP="00D61F73">
            <w:pPr>
              <w:rPr>
                <w:rFonts w:ascii="Arial" w:hAnsi="Arial" w:cs="Arial"/>
              </w:rPr>
            </w:pPr>
            <w:r w:rsidRPr="00D61F73">
              <w:rPr>
                <w:rFonts w:ascii="Arial" w:hAnsi="Arial" w:cs="Arial"/>
              </w:rPr>
              <w:t xml:space="preserve">(9) A formal test of the therapeutic blocks should be documented (preferably using skin temperature). </w:t>
            </w:r>
          </w:p>
          <w:p w14:paraId="721407BB" w14:textId="77777777" w:rsidR="00E648FC" w:rsidRDefault="00E648FC" w:rsidP="00D61F73">
            <w:pPr>
              <w:rPr>
                <w:rFonts w:ascii="Arial" w:hAnsi="Arial" w:cs="Arial"/>
              </w:rPr>
            </w:pPr>
            <w:r w:rsidRPr="00D61F73">
              <w:rPr>
                <w:rFonts w:ascii="Arial" w:hAnsi="Arial" w:cs="Arial"/>
              </w:rPr>
              <w:t>(</w:t>
            </w:r>
            <w:hyperlink w:anchor="Burton" w:history="1">
              <w:r w:rsidRPr="00D61F73">
                <w:rPr>
                  <w:rStyle w:val="Hyperlink"/>
                  <w:rFonts w:ascii="Arial" w:hAnsi="Arial" w:cs="Arial"/>
                </w:rPr>
                <w:t>Burton, 2006</w:t>
              </w:r>
            </w:hyperlink>
            <w:r w:rsidRPr="00D61F73">
              <w:rPr>
                <w:rFonts w:ascii="Arial" w:hAnsi="Arial" w:cs="Arial"/>
              </w:rPr>
              <w:t>) (</w:t>
            </w:r>
            <w:hyperlink w:anchor="StantonHicks3" w:history="1">
              <w:r w:rsidRPr="00D61F73">
                <w:rPr>
                  <w:rStyle w:val="Hyperlink"/>
                  <w:rFonts w:ascii="Arial" w:hAnsi="Arial" w:cs="Arial"/>
                </w:rPr>
                <w:t>Stanton-Hicks, 2004</w:t>
              </w:r>
            </w:hyperlink>
            <w:r w:rsidRPr="00D61F73">
              <w:rPr>
                <w:rFonts w:ascii="Arial" w:hAnsi="Arial" w:cs="Arial"/>
              </w:rPr>
              <w:t>) (</w:t>
            </w:r>
            <w:hyperlink w:anchor="StantonHicks2" w:history="1">
              <w:r w:rsidRPr="00D61F73">
                <w:rPr>
                  <w:rStyle w:val="Hyperlink"/>
                  <w:rFonts w:ascii="Arial" w:hAnsi="Arial" w:cs="Arial"/>
                </w:rPr>
                <w:t>Stanton-Hicks, 2006</w:t>
              </w:r>
            </w:hyperlink>
            <w:r w:rsidRPr="00D61F73">
              <w:rPr>
                <w:rFonts w:ascii="Arial" w:hAnsi="Arial" w:cs="Arial"/>
              </w:rPr>
              <w:t>) (</w:t>
            </w:r>
            <w:hyperlink w:anchor="International" w:history="1">
              <w:r w:rsidRPr="00D61F73">
                <w:rPr>
                  <w:rStyle w:val="Hyperlink"/>
                  <w:rFonts w:ascii="Arial" w:hAnsi="Arial" w:cs="Arial"/>
                  <w:lang w:val="en"/>
                </w:rPr>
                <w:t>International Research Foundation for RSD/CRPS, 2003</w:t>
              </w:r>
            </w:hyperlink>
            <w:r w:rsidRPr="00D61F73">
              <w:rPr>
                <w:rFonts w:ascii="Arial" w:hAnsi="Arial" w:cs="Arial"/>
                <w:lang w:val="en"/>
              </w:rPr>
              <w:t xml:space="preserve">) </w:t>
            </w:r>
            <w:r w:rsidRPr="00D61F73">
              <w:rPr>
                <w:rFonts w:ascii="Arial" w:hAnsi="Arial" w:cs="Arial"/>
              </w:rPr>
              <w:t>(</w:t>
            </w:r>
            <w:hyperlink w:anchor="Colorado2" w:history="1">
              <w:r w:rsidRPr="00D61F73">
                <w:rPr>
                  <w:rStyle w:val="Hyperlink"/>
                  <w:rFonts w:ascii="Arial" w:hAnsi="Arial" w:cs="Arial"/>
                </w:rPr>
                <w:t>Colorado, 2006</w:t>
              </w:r>
            </w:hyperlink>
            <w:r w:rsidRPr="00D61F73">
              <w:rPr>
                <w:rFonts w:ascii="Arial" w:hAnsi="Arial" w:cs="Arial"/>
              </w:rPr>
              <w:t>)</w:t>
            </w:r>
            <w:r w:rsidRPr="00D61F73">
              <w:rPr>
                <w:rFonts w:ascii="Arial" w:hAnsi="Arial" w:cs="Arial"/>
                <w:lang w:val="en"/>
              </w:rPr>
              <w:t xml:space="preserve"> </w:t>
            </w:r>
            <w:r w:rsidRPr="00D61F73">
              <w:rPr>
                <w:rFonts w:ascii="Arial" w:hAnsi="Arial" w:cs="Arial"/>
              </w:rPr>
              <w:t>(</w:t>
            </w:r>
            <w:hyperlink w:anchor="Washington3" w:history="1">
              <w:r w:rsidRPr="00D61F73">
                <w:rPr>
                  <w:rStyle w:val="Hyperlink"/>
                  <w:rFonts w:ascii="Arial" w:hAnsi="Arial" w:cs="Arial"/>
                </w:rPr>
                <w:t>Washington, 2002</w:t>
              </w:r>
            </w:hyperlink>
            <w:r w:rsidRPr="00D61F73">
              <w:rPr>
                <w:rFonts w:ascii="Arial" w:hAnsi="Arial" w:cs="Arial"/>
              </w:rPr>
              <w:t xml:space="preserve">) </w:t>
            </w:r>
            <w:r w:rsidRPr="00D61F73">
              <w:rPr>
                <w:rFonts w:ascii="Arial" w:hAnsi="Arial" w:cs="Arial"/>
                <w:lang w:val="en"/>
              </w:rPr>
              <w:t>(</w:t>
            </w:r>
            <w:hyperlink w:anchor="Rho" w:history="1">
              <w:r w:rsidRPr="00D61F73">
                <w:rPr>
                  <w:rStyle w:val="Hyperlink"/>
                  <w:rFonts w:ascii="Arial" w:hAnsi="Arial" w:cs="Arial"/>
                  <w:lang w:val="en"/>
                </w:rPr>
                <w:t>Rho, 2002</w:t>
              </w:r>
            </w:hyperlink>
            <w:r w:rsidRPr="00D61F73">
              <w:rPr>
                <w:rFonts w:ascii="Arial" w:hAnsi="Arial" w:cs="Arial"/>
                <w:lang w:val="en"/>
              </w:rPr>
              <w:t xml:space="preserve">) </w:t>
            </w:r>
            <w:r w:rsidRPr="00D61F73">
              <w:rPr>
                <w:rFonts w:ascii="Arial" w:hAnsi="Arial" w:cs="Arial"/>
              </w:rPr>
              <w:t>(</w:t>
            </w:r>
            <w:hyperlink w:anchor="Perez2010" w:history="1">
              <w:r w:rsidRPr="00D61F73">
                <w:rPr>
                  <w:rStyle w:val="Hyperlink"/>
                  <w:rFonts w:ascii="Arial" w:hAnsi="Arial" w:cs="Arial"/>
                </w:rPr>
                <w:t>Perez, 2010</w:t>
              </w:r>
            </w:hyperlink>
            <w:r w:rsidRPr="00D61F73">
              <w:rPr>
                <w:rFonts w:ascii="Arial" w:hAnsi="Arial" w:cs="Arial"/>
              </w:rPr>
              <w:t>) (</w:t>
            </w:r>
            <w:hyperlink w:anchor="vanEijs2011" w:history="1">
              <w:r w:rsidRPr="00D61F73">
                <w:rPr>
                  <w:rStyle w:val="Hyperlink"/>
                  <w:rFonts w:ascii="Arial" w:hAnsi="Arial" w:cs="Arial"/>
                </w:rPr>
                <w:t>van Eijs, 2011</w:t>
              </w:r>
            </w:hyperlink>
            <w:r w:rsidRPr="00D61F73">
              <w:rPr>
                <w:rFonts w:ascii="Arial" w:hAnsi="Arial" w:cs="Arial"/>
              </w:rPr>
              <w:t>)</w:t>
            </w:r>
          </w:p>
          <w:p w14:paraId="6A7B939E" w14:textId="77777777" w:rsidR="00924FC6" w:rsidRPr="00D61F73" w:rsidRDefault="00924FC6" w:rsidP="00D61F73">
            <w:pPr>
              <w:rPr>
                <w:rFonts w:ascii="Arial" w:eastAsia="Arial Unicode MS" w:hAnsi="Arial" w:cs="Arial"/>
                <w:lang w:val="en"/>
              </w:rPr>
            </w:pPr>
          </w:p>
        </w:tc>
      </w:tr>
      <w:tr w:rsidR="00E648FC" w:rsidRPr="00D61F73" w14:paraId="724AACFF" w14:textId="77777777" w:rsidTr="0078164D">
        <w:tc>
          <w:tcPr>
            <w:tcW w:w="1086" w:type="pct"/>
          </w:tcPr>
          <w:p w14:paraId="6A1D075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67" w:name="CRPStreatment"/>
            <w:bookmarkEnd w:id="167"/>
            <w:r w:rsidRPr="00D61F73">
              <w:rPr>
                <w:rFonts w:ascii="Arial" w:hAnsi="Arial" w:cs="Arial"/>
              </w:rPr>
              <w:t>RPS, treatment</w:t>
            </w:r>
          </w:p>
        </w:tc>
        <w:tc>
          <w:tcPr>
            <w:tcW w:w="3914" w:type="pct"/>
          </w:tcPr>
          <w:p w14:paraId="76B048EF" w14:textId="77777777" w:rsidR="00E648FC" w:rsidRDefault="00E648FC" w:rsidP="00D61F73">
            <w:pPr>
              <w:rPr>
                <w:rFonts w:ascii="Arial" w:hAnsi="Arial" w:cs="Arial"/>
              </w:rPr>
            </w:pPr>
            <w:r w:rsidRPr="00D61F73">
              <w:rPr>
                <w:rFonts w:ascii="Arial" w:hAnsi="Arial" w:cs="Arial"/>
              </w:rPr>
              <w:t>Recommend hierarchy of options as indicated below. The goal is to improve function. There are no evidence-based treatment guidelines, but several groups have begun to organize treatment algorithms that are consensus based. There is currently no intervention for CRPS that can be considered to be supported by strong evidence of efficacy. (</w:t>
            </w:r>
            <w:hyperlink w:anchor="Ribbers" w:history="1">
              <w:r w:rsidRPr="00D61F73">
                <w:rPr>
                  <w:rStyle w:val="Hyperlink"/>
                  <w:rFonts w:ascii="Arial" w:hAnsi="Arial" w:cs="Arial"/>
                </w:rPr>
                <w:t>Ribbers, 2003</w:t>
              </w:r>
            </w:hyperlink>
            <w:r w:rsidRPr="00D61F73">
              <w:rPr>
                <w:rFonts w:ascii="Arial" w:hAnsi="Arial" w:cs="Arial"/>
              </w:rPr>
              <w:t>) (</w:t>
            </w:r>
            <w:hyperlink w:anchor="StantonHicks2" w:history="1">
              <w:r w:rsidRPr="00D61F73">
                <w:rPr>
                  <w:rStyle w:val="Hyperlink"/>
                  <w:rFonts w:ascii="Arial" w:hAnsi="Arial" w:cs="Arial"/>
                </w:rPr>
                <w:t>Stanton-Hicks, 2006</w:t>
              </w:r>
            </w:hyperlink>
            <w:r w:rsidRPr="00D61F73">
              <w:rPr>
                <w:rFonts w:ascii="Arial" w:hAnsi="Arial" w:cs="Arial"/>
              </w:rPr>
              <w:t>) (</w:t>
            </w:r>
            <w:hyperlink w:anchor="OConnell2013" w:history="1">
              <w:r w:rsidRPr="00D61F73">
                <w:rPr>
                  <w:rStyle w:val="Hyperlink"/>
                  <w:rFonts w:ascii="Arial" w:hAnsi="Arial" w:cs="Arial"/>
                </w:rPr>
                <w:t>O’Connell, 2013</w:t>
              </w:r>
            </w:hyperlink>
            <w:r w:rsidRPr="00D61F73">
              <w:rPr>
                <w:rFonts w:ascii="Arial" w:hAnsi="Arial" w:cs="Arial"/>
              </w:rPr>
              <w:t>)</w:t>
            </w:r>
            <w:r w:rsidRPr="00D61F73">
              <w:rPr>
                <w:rFonts w:ascii="Arial" w:hAnsi="Arial" w:cs="Arial"/>
                <w:color w:val="auto"/>
              </w:rPr>
              <w:t xml:space="preserve"> </w:t>
            </w:r>
            <w:r w:rsidRPr="00D61F73">
              <w:rPr>
                <w:rFonts w:ascii="Arial" w:hAnsi="Arial" w:cs="Arial"/>
                <w:i/>
              </w:rPr>
              <w:t>Interdisciplinary management</w:t>
            </w:r>
            <w:r w:rsidRPr="00D61F73">
              <w:rPr>
                <w:rFonts w:ascii="Arial" w:hAnsi="Arial" w:cs="Arial"/>
              </w:rPr>
              <w:t xml:space="preserve"> is recommended emphasizing functional restoration. (</w:t>
            </w:r>
            <w:hyperlink w:anchor="Harden2013" w:history="1">
              <w:r w:rsidRPr="00D61F73">
                <w:rPr>
                  <w:rStyle w:val="Hyperlink"/>
                  <w:rFonts w:ascii="Arial" w:hAnsi="Arial" w:cs="Arial"/>
                </w:rPr>
                <w:t>Harden, 2013</w:t>
              </w:r>
            </w:hyperlink>
            <w:r w:rsidRPr="00D61F73">
              <w:rPr>
                <w:rFonts w:ascii="Arial" w:hAnsi="Arial" w:cs="Arial"/>
              </w:rPr>
              <w:t>) (</w:t>
            </w:r>
            <w:hyperlink w:anchor="Singh2004" w:history="1">
              <w:r w:rsidRPr="00D61F73">
                <w:rPr>
                  <w:rStyle w:val="Hyperlink"/>
                  <w:rFonts w:ascii="Arial" w:hAnsi="Arial" w:cs="Arial"/>
                </w:rPr>
                <w:t>Singh, 2004</w:t>
              </w:r>
            </w:hyperlink>
            <w:r w:rsidRPr="00D61F73">
              <w:rPr>
                <w:rFonts w:ascii="Arial" w:hAnsi="Arial" w:cs="Arial"/>
              </w:rPr>
              <w:t>) (</w:t>
            </w:r>
            <w:hyperlink w:anchor="Albazaz2008" w:history="1">
              <w:r w:rsidRPr="00D61F73">
                <w:rPr>
                  <w:rStyle w:val="Hyperlink"/>
                  <w:rFonts w:ascii="Arial" w:hAnsi="Arial" w:cs="Arial"/>
                </w:rPr>
                <w:t>Albazaz, 2008</w:t>
              </w:r>
            </w:hyperlink>
            <w:r w:rsidRPr="00D61F73">
              <w:rPr>
                <w:rFonts w:ascii="Arial" w:hAnsi="Arial" w:cs="Arial"/>
              </w:rPr>
              <w:t>) (</w:t>
            </w:r>
            <w:hyperlink w:anchor="Hsu2009" w:history="1">
              <w:r w:rsidRPr="00D61F73">
                <w:rPr>
                  <w:rStyle w:val="Hyperlink"/>
                  <w:rFonts w:ascii="Arial" w:hAnsi="Arial" w:cs="Arial"/>
                </w:rPr>
                <w:t>Hsu, 2009</w:t>
              </w:r>
            </w:hyperlink>
            <w:r w:rsidRPr="00D61F73">
              <w:rPr>
                <w:rFonts w:ascii="Arial" w:hAnsi="Arial" w:cs="Arial"/>
              </w:rPr>
              <w:t>)</w:t>
            </w:r>
          </w:p>
          <w:p w14:paraId="5D1C11E3" w14:textId="77777777" w:rsidR="00924FC6" w:rsidRPr="00D61F73" w:rsidRDefault="00924FC6" w:rsidP="00D61F73">
            <w:pPr>
              <w:rPr>
                <w:rFonts w:ascii="Arial" w:hAnsi="Arial" w:cs="Arial"/>
              </w:rPr>
            </w:pPr>
          </w:p>
          <w:p w14:paraId="3F9749C9" w14:textId="057980CE" w:rsidR="00924FC6" w:rsidRPr="00D61F73" w:rsidRDefault="00E648FC" w:rsidP="00D61F73">
            <w:pPr>
              <w:rPr>
                <w:rFonts w:ascii="Arial" w:hAnsi="Arial" w:cs="Arial"/>
              </w:rPr>
            </w:pPr>
            <w:r w:rsidRPr="00D61F73">
              <w:rPr>
                <w:rFonts w:ascii="Arial" w:hAnsi="Arial" w:cs="Arial"/>
                <w:b/>
                <w:bCs/>
              </w:rPr>
              <w:t>1.</w:t>
            </w:r>
            <w:r w:rsidRPr="00D61F73">
              <w:rPr>
                <w:rFonts w:ascii="Arial" w:hAnsi="Arial" w:cs="Arial"/>
              </w:rPr>
              <w:t xml:space="preserve"> </w:t>
            </w:r>
            <w:r w:rsidRPr="00D61F73">
              <w:rPr>
                <w:rFonts w:ascii="Arial" w:hAnsi="Arial" w:cs="Arial"/>
                <w:b/>
                <w:bCs/>
                <w:i/>
                <w:iCs/>
              </w:rPr>
              <w:t>Rehabilitation:</w:t>
            </w:r>
            <w:r w:rsidRPr="00D61F73">
              <w:rPr>
                <w:rFonts w:ascii="Arial" w:hAnsi="Arial" w:cs="Arial"/>
              </w:rPr>
              <w:t xml:space="preserve"> (a) </w:t>
            </w:r>
            <w:r w:rsidRPr="00D61F73">
              <w:rPr>
                <w:rFonts w:ascii="Arial" w:hAnsi="Arial" w:cs="Arial"/>
                <w:i/>
                <w:iCs/>
                <w:u w:val="single"/>
              </w:rPr>
              <w:t>Early stages</w:t>
            </w:r>
            <w:r w:rsidRPr="00D61F73">
              <w:rPr>
                <w:rFonts w:ascii="Arial" w:hAnsi="Arial" w:cs="Arial"/>
              </w:rPr>
              <w:t xml:space="preserve">: Build a therapeutic alliance. Analgesia, encouragement and education are key. Physical modalities include desensitization, isometric exercises, resisted range of motion, and stress loading. If not applied appropriately, PT may temporarily increase symptoms, particularly if too aggressive. (b) </w:t>
            </w:r>
            <w:r w:rsidRPr="00D61F73">
              <w:rPr>
                <w:rFonts w:ascii="Arial" w:hAnsi="Arial" w:cs="Arial"/>
                <w:i/>
                <w:iCs/>
                <w:u w:val="single"/>
              </w:rPr>
              <w:t>Next steps</w:t>
            </w:r>
            <w:r w:rsidRPr="00D61F73">
              <w:rPr>
                <w:rFonts w:ascii="Arial" w:hAnsi="Arial" w:cs="Arial"/>
              </w:rPr>
              <w:t xml:space="preserve">: Increase flexibility with introduction of gentle active ROM and stretching (to treat accompanying myofascial pain syndrome). Other interventions to enhance participation in rehabilitation may include muscle relaxants, trigger point injections and electrical stimulation (based on anecdotal evidence). Edema control may also be required (elevation, retrograde sympathetic blocks, diuretics and adrenoceptor blockers when sympathetically maintained pain-SMP is present). (c) </w:t>
            </w:r>
            <w:r w:rsidRPr="00D61F73">
              <w:rPr>
                <w:rFonts w:ascii="Arial" w:hAnsi="Arial" w:cs="Arial"/>
                <w:i/>
                <w:iCs/>
                <w:u w:val="single"/>
              </w:rPr>
              <w:t>Continued steps</w:t>
            </w:r>
            <w:r w:rsidRPr="00D61F73">
              <w:rPr>
                <w:rFonts w:ascii="Arial" w:hAnsi="Arial" w:cs="Arial"/>
              </w:rPr>
              <w:t xml:space="preserve">: Continue active ROM, stress loading, scrubbing techniques, isotonic strengthening, general aerobic conditioning, and postural normalization. (d) </w:t>
            </w:r>
            <w:r w:rsidRPr="00D61F73">
              <w:rPr>
                <w:rFonts w:ascii="Arial" w:hAnsi="Arial" w:cs="Arial"/>
                <w:i/>
                <w:iCs/>
                <w:u w:val="single"/>
              </w:rPr>
              <w:t>Final steps</w:t>
            </w:r>
            <w:r w:rsidRPr="00D61F73">
              <w:rPr>
                <w:rFonts w:ascii="Arial" w:hAnsi="Arial" w:cs="Arial"/>
              </w:rPr>
              <w:t xml:space="preserve">: Normalization of use, assessment of ergonomics, and posture and modifications at home and work. </w:t>
            </w:r>
          </w:p>
          <w:p w14:paraId="453897B5" w14:textId="1F631CCB" w:rsidR="00E648FC" w:rsidRDefault="00E648FC" w:rsidP="00D61F73">
            <w:pPr>
              <w:rPr>
                <w:rFonts w:ascii="Arial" w:hAnsi="Arial" w:cs="Arial"/>
              </w:rPr>
            </w:pPr>
            <w:r w:rsidRPr="00D61F73">
              <w:rPr>
                <w:rFonts w:ascii="Arial" w:hAnsi="Arial" w:cs="Arial"/>
                <w:b/>
                <w:bCs/>
              </w:rPr>
              <w:t>2.</w:t>
            </w:r>
            <w:r w:rsidRPr="00D61F73">
              <w:rPr>
                <w:rFonts w:ascii="Arial" w:hAnsi="Arial" w:cs="Arial"/>
              </w:rPr>
              <w:t xml:space="preserve"> </w:t>
            </w:r>
            <w:r w:rsidRPr="00D61F73">
              <w:rPr>
                <w:rFonts w:ascii="Arial" w:hAnsi="Arial" w:cs="Arial"/>
                <w:b/>
                <w:bCs/>
                <w:i/>
                <w:iCs/>
              </w:rPr>
              <w:t>Psychological treatment:</w:t>
            </w:r>
            <w:r w:rsidRPr="00D61F73">
              <w:rPr>
                <w:rFonts w:ascii="Arial" w:hAnsi="Arial" w:cs="Arial"/>
              </w:rPr>
              <w:t xml:space="preserve"> Focused on improved quality of life, development of pain coping skills, cognitive-behavioral therapy, and improving facilitation of other modalities. (a) </w:t>
            </w:r>
            <w:r w:rsidRPr="00D61F73">
              <w:rPr>
                <w:rFonts w:ascii="Arial" w:hAnsi="Arial" w:cs="Arial"/>
                <w:i/>
                <w:iCs/>
                <w:u w:val="single"/>
              </w:rPr>
              <w:t>Early stages</w:t>
            </w:r>
            <w:r w:rsidRPr="00D61F73">
              <w:rPr>
                <w:rFonts w:ascii="Arial" w:hAnsi="Arial" w:cs="Arial"/>
              </w:rPr>
              <w:t xml:space="preserve">: Education. (b) </w:t>
            </w:r>
            <w:r w:rsidRPr="00D61F73">
              <w:rPr>
                <w:rFonts w:ascii="Arial" w:hAnsi="Arial" w:cs="Arial"/>
                <w:i/>
                <w:iCs/>
                <w:u w:val="single"/>
              </w:rPr>
              <w:t>Next steps</w:t>
            </w:r>
            <w:r w:rsidRPr="00D61F73">
              <w:rPr>
                <w:rFonts w:ascii="Arial" w:hAnsi="Arial" w:cs="Arial"/>
              </w:rPr>
              <w:t>: Clinical psychological assessment, after 6 to 8 weeks, identification of stressors, and identification of comorbid Axis I psychiatric disorders (depression, anxiety, panic and post-traumatic stress).</w:t>
            </w:r>
          </w:p>
          <w:p w14:paraId="18E70769" w14:textId="77777777" w:rsidR="00924FC6" w:rsidRPr="00D61F73" w:rsidRDefault="00924FC6" w:rsidP="00D61F73">
            <w:pPr>
              <w:rPr>
                <w:rFonts w:ascii="Arial" w:hAnsi="Arial" w:cs="Arial"/>
              </w:rPr>
            </w:pPr>
          </w:p>
          <w:p w14:paraId="2720C2D6" w14:textId="77777777" w:rsidR="00E648FC" w:rsidRPr="00D61F73" w:rsidRDefault="00E648FC" w:rsidP="00D61F73">
            <w:pPr>
              <w:rPr>
                <w:rFonts w:ascii="Arial" w:hAnsi="Arial" w:cs="Arial"/>
                <w:b/>
                <w:bCs/>
              </w:rPr>
            </w:pPr>
            <w:r w:rsidRPr="00D61F73">
              <w:rPr>
                <w:rFonts w:ascii="Arial" w:hAnsi="Arial" w:cs="Arial"/>
                <w:b/>
                <w:bCs/>
              </w:rPr>
              <w:lastRenderedPageBreak/>
              <w:t xml:space="preserve">3. </w:t>
            </w:r>
            <w:r w:rsidRPr="00D61F73">
              <w:rPr>
                <w:rFonts w:ascii="Arial" w:hAnsi="Arial" w:cs="Arial"/>
                <w:b/>
                <w:bCs/>
                <w:i/>
                <w:iCs/>
              </w:rPr>
              <w:t>Pain management:</w:t>
            </w:r>
            <w:r w:rsidRPr="00D61F73">
              <w:rPr>
                <w:rFonts w:ascii="Arial" w:hAnsi="Arial" w:cs="Arial"/>
                <w:b/>
                <w:bCs/>
              </w:rPr>
              <w:t xml:space="preserve"> </w:t>
            </w:r>
          </w:p>
          <w:p w14:paraId="2EDF5B8B" w14:textId="77777777" w:rsidR="00E648FC" w:rsidRPr="00D61F73" w:rsidRDefault="00E648FC" w:rsidP="00D61F73">
            <w:pPr>
              <w:rPr>
                <w:rFonts w:ascii="Arial" w:hAnsi="Arial" w:cs="Arial"/>
              </w:rPr>
            </w:pPr>
            <w:r w:rsidRPr="00D61F73">
              <w:rPr>
                <w:rFonts w:ascii="Arial" w:hAnsi="Arial" w:cs="Arial"/>
                <w:i/>
                <w:iCs/>
                <w:u w:val="single"/>
              </w:rPr>
              <w:t>Pharmacological treatment</w:t>
            </w:r>
            <w:r w:rsidRPr="00D61F73">
              <w:rPr>
                <w:rFonts w:ascii="Arial" w:hAnsi="Arial" w:cs="Arial"/>
                <w:i/>
                <w:iCs/>
              </w:rPr>
              <w:t>:</w:t>
            </w:r>
            <w:r w:rsidRPr="00D61F73">
              <w:rPr>
                <w:rFonts w:ascii="Arial" w:hAnsi="Arial" w:cs="Arial"/>
              </w:rPr>
              <w:t xml:space="preserve"> See </w:t>
            </w:r>
            <w:hyperlink w:anchor="CRPSmedications" w:history="1">
              <w:r w:rsidRPr="00D61F73">
                <w:rPr>
                  <w:rStyle w:val="Hyperlink"/>
                  <w:rFonts w:ascii="Arial" w:hAnsi="Arial" w:cs="Arial"/>
                </w:rPr>
                <w:t>CRPS, medications</w:t>
              </w:r>
            </w:hyperlink>
            <w:r w:rsidRPr="00D61F73">
              <w:rPr>
                <w:rFonts w:ascii="Arial" w:hAnsi="Arial" w:cs="Arial"/>
              </w:rPr>
              <w:t xml:space="preserve">. </w:t>
            </w:r>
          </w:p>
          <w:p w14:paraId="49C7A821" w14:textId="77777777" w:rsidR="00E648FC" w:rsidRPr="00D61F73" w:rsidRDefault="00E648FC" w:rsidP="00D61F73">
            <w:pPr>
              <w:rPr>
                <w:rFonts w:ascii="Arial" w:hAnsi="Arial" w:cs="Arial"/>
                <w:iCs/>
                <w:u w:val="single"/>
              </w:rPr>
            </w:pPr>
            <w:r w:rsidRPr="00D61F73">
              <w:rPr>
                <w:rFonts w:ascii="Arial" w:hAnsi="Arial" w:cs="Arial"/>
                <w:i/>
                <w:iCs/>
                <w:u w:val="single"/>
              </w:rPr>
              <w:t>Invasive treatment</w:t>
            </w:r>
            <w:r w:rsidRPr="00D61F73">
              <w:rPr>
                <w:rFonts w:ascii="Arial" w:hAnsi="Arial" w:cs="Arial"/>
                <w:i/>
              </w:rPr>
              <w:t>:</w:t>
            </w:r>
            <w:r w:rsidRPr="00D61F73">
              <w:rPr>
                <w:rFonts w:ascii="Arial" w:hAnsi="Arial" w:cs="Arial"/>
                <w:iCs/>
              </w:rPr>
              <w:t xml:space="preserve"> The role of sympathetic blocks is largely empirical with lack of solid evidence.</w:t>
            </w:r>
            <w:r w:rsidRPr="00D61F73">
              <w:rPr>
                <w:rFonts w:ascii="Arial" w:hAnsi="Arial" w:cs="Arial"/>
              </w:rPr>
              <w:t xml:space="preserve"> See </w:t>
            </w:r>
            <w:hyperlink w:anchor="CRPSsympatheticandepiduralblocks" w:history="1">
              <w:r w:rsidRPr="00D61F73">
                <w:rPr>
                  <w:rStyle w:val="Hyperlink"/>
                  <w:rFonts w:ascii="Arial" w:hAnsi="Arial" w:cs="Arial"/>
                </w:rPr>
                <w:t>CRPS, sympathetic blocks</w:t>
              </w:r>
            </w:hyperlink>
            <w:r w:rsidRPr="00D61F73">
              <w:rPr>
                <w:rFonts w:ascii="Arial" w:hAnsi="Arial" w:cs="Arial"/>
              </w:rPr>
              <w:t>, (therapeutic) for more specific information and criteria for use of sympathetic treatment.</w:t>
            </w:r>
          </w:p>
          <w:p w14:paraId="0B89E284" w14:textId="1F2B7DA0" w:rsidR="00E648FC" w:rsidRPr="00D61F73" w:rsidRDefault="00E648FC" w:rsidP="00D61F73">
            <w:pPr>
              <w:rPr>
                <w:rFonts w:ascii="Arial" w:hAnsi="Arial" w:cs="Arial"/>
              </w:rPr>
            </w:pPr>
            <w:r w:rsidRPr="00D61F73">
              <w:rPr>
                <w:rFonts w:ascii="Arial" w:hAnsi="Arial" w:cs="Arial"/>
                <w:i/>
              </w:rPr>
              <w:t>Local anesthetic sympathetic blocks</w:t>
            </w:r>
            <w:r w:rsidRPr="00D61F73">
              <w:rPr>
                <w:rFonts w:ascii="Arial" w:hAnsi="Arial" w:cs="Arial"/>
                <w:i/>
                <w:iCs/>
              </w:rPr>
              <w:t xml:space="preserve">: </w:t>
            </w:r>
            <w:r w:rsidRPr="00D61F73">
              <w:rPr>
                <w:rFonts w:ascii="Arial" w:eastAsia="Arial Unicode MS" w:hAnsi="Arial" w:cs="Arial"/>
                <w:lang w:val="en"/>
              </w:rPr>
              <w:t xml:space="preserve">Recommended </w:t>
            </w:r>
            <w:r w:rsidRPr="00D61F73">
              <w:rPr>
                <w:rFonts w:ascii="Arial" w:hAnsi="Arial" w:cs="Arial"/>
              </w:rPr>
              <w:t>for limited, select cases, primarily for diagnosis of sympathetically mediated pain and therapeutically as an adjunct to facilitate physical therapy/ functional restoration. When used for the latter the procedure is not considered a stand-alone procedure.</w:t>
            </w:r>
            <w:r w:rsidRPr="00D61F73">
              <w:rPr>
                <w:rFonts w:ascii="Arial" w:eastAsia="Arial Unicode MS" w:hAnsi="Arial" w:cs="Arial"/>
                <w:lang w:val="en"/>
              </w:rPr>
              <w:t xml:space="preserve"> The role of sympathetic blocks for treatment of CRPS is largely empirical (with a general lack of evidence-based research for support) but can be clinically important in individual cases in which the procedure ameliorates pain and improves function, allowing for a less painful “window of opportunity” for rehabilitation techniques. (</w:t>
            </w:r>
            <w:hyperlink w:anchor="Harden2013" w:history="1">
              <w:r w:rsidRPr="00D61F73">
                <w:rPr>
                  <w:rStyle w:val="Hyperlink"/>
                  <w:rFonts w:ascii="Arial" w:eastAsia="Arial Unicode MS" w:hAnsi="Arial" w:cs="Arial"/>
                  <w:lang w:val="en"/>
                </w:rPr>
                <w:t>Harden, 2013</w:t>
              </w:r>
            </w:hyperlink>
            <w:r w:rsidRPr="00D61F73">
              <w:rPr>
                <w:rFonts w:ascii="Arial" w:eastAsia="Arial Unicode MS" w:hAnsi="Arial" w:cs="Arial"/>
                <w:lang w:val="en"/>
              </w:rPr>
              <w:t>)</w:t>
            </w:r>
          </w:p>
          <w:p w14:paraId="43C3A457" w14:textId="77777777" w:rsidR="00E648FC" w:rsidRPr="00D61F73" w:rsidRDefault="00E648FC" w:rsidP="00D61F73">
            <w:pPr>
              <w:rPr>
                <w:rFonts w:ascii="Arial" w:hAnsi="Arial" w:cs="Arial"/>
              </w:rPr>
            </w:pPr>
            <w:r w:rsidRPr="00D61F73">
              <w:rPr>
                <w:rFonts w:ascii="Arial" w:hAnsi="Arial" w:cs="Arial"/>
                <w:i/>
              </w:rPr>
              <w:t xml:space="preserve">Sympathectomy: </w:t>
            </w:r>
            <w:r w:rsidRPr="00D61F73">
              <w:rPr>
                <w:rFonts w:ascii="Arial" w:hAnsi="Arial" w:cs="Arial"/>
              </w:rPr>
              <w:t xml:space="preserve">Not recommended. See </w:t>
            </w:r>
            <w:hyperlink w:anchor="CRPSsympathectomy" w:history="1">
              <w:r w:rsidRPr="00D61F73">
                <w:rPr>
                  <w:rStyle w:val="Hyperlink"/>
                  <w:rFonts w:ascii="Arial" w:hAnsi="Arial" w:cs="Arial"/>
                </w:rPr>
                <w:t>CRPS, sympathectomy</w:t>
              </w:r>
            </w:hyperlink>
            <w:r w:rsidRPr="00D61F73">
              <w:rPr>
                <w:rFonts w:ascii="Arial" w:hAnsi="Arial" w:cs="Arial"/>
              </w:rPr>
              <w:t>.</w:t>
            </w:r>
          </w:p>
          <w:p w14:paraId="438474E6" w14:textId="77777777" w:rsidR="00E648FC" w:rsidRPr="00D61F73" w:rsidRDefault="00E648FC" w:rsidP="00D61F73">
            <w:pPr>
              <w:rPr>
                <w:rFonts w:ascii="Arial" w:eastAsia="Calibri" w:hAnsi="Arial" w:cs="Arial"/>
              </w:rPr>
            </w:pPr>
            <w:r w:rsidRPr="00D61F73">
              <w:rPr>
                <w:rFonts w:ascii="Arial" w:hAnsi="Arial" w:cs="Arial"/>
                <w:i/>
              </w:rPr>
              <w:t xml:space="preserve">IV regional anesthesia: </w:t>
            </w:r>
            <w:r w:rsidRPr="00D61F73">
              <w:rPr>
                <w:rFonts w:ascii="Arial" w:hAnsi="Arial" w:cs="Arial"/>
              </w:rPr>
              <w:t xml:space="preserve">Not recommended due to lack of evidence for use. See </w:t>
            </w:r>
            <w:hyperlink w:anchor="CRPSsympatheticandepiduralblocks" w:history="1">
              <w:r w:rsidRPr="00D61F73">
                <w:rPr>
                  <w:rStyle w:val="Hyperlink"/>
                  <w:rFonts w:ascii="Arial" w:hAnsi="Arial" w:cs="Arial"/>
                </w:rPr>
                <w:t>CRPS, sympathetic blocks</w:t>
              </w:r>
            </w:hyperlink>
            <w:r w:rsidRPr="00D61F73">
              <w:rPr>
                <w:rFonts w:ascii="Arial" w:hAnsi="Arial" w:cs="Arial"/>
              </w:rPr>
              <w:t xml:space="preserve">, (therapeutic); </w:t>
            </w:r>
            <w:hyperlink w:anchor="Intravenousregionalsympatheticblocks" w:history="1">
              <w:r w:rsidRPr="00D61F73">
                <w:rPr>
                  <w:rStyle w:val="Hyperlink"/>
                  <w:rFonts w:ascii="Arial" w:hAnsi="Arial" w:cs="Arial"/>
                </w:rPr>
                <w:t>Intravenous regional sympathetic blocks</w:t>
              </w:r>
            </w:hyperlink>
            <w:r w:rsidRPr="00D61F73">
              <w:rPr>
                <w:rFonts w:ascii="Arial" w:hAnsi="Arial" w:cs="Arial"/>
              </w:rPr>
              <w:t xml:space="preserve"> (for RSD/CRPS).</w:t>
            </w:r>
          </w:p>
          <w:p w14:paraId="4B85667C" w14:textId="77777777" w:rsidR="00E648FC" w:rsidRPr="00D61F73" w:rsidRDefault="00E648FC" w:rsidP="00D61F73">
            <w:pPr>
              <w:rPr>
                <w:rFonts w:ascii="Arial" w:hAnsi="Arial" w:cs="Arial"/>
              </w:rPr>
            </w:pPr>
            <w:r w:rsidRPr="00D61F73">
              <w:rPr>
                <w:rFonts w:ascii="Arial" w:hAnsi="Arial" w:cs="Arial"/>
                <w:i/>
              </w:rPr>
              <w:t xml:space="preserve">Epidural infusions for sympathetic blockade: </w:t>
            </w:r>
            <w:r w:rsidRPr="00D61F73">
              <w:rPr>
                <w:rFonts w:ascii="Arial" w:hAnsi="Arial" w:cs="Arial"/>
              </w:rPr>
              <w:t>Not recommended due to lack of evidence for use and high risk of complications including infection. There is one randomized controlled trial that reported improvement. A study that included both randomized and open label design (26 patients) using clonidine showed pain relief, but the authors considered this experimental and the study has not been repeated. Infections occurred in 6/19 patients who ultimately received the treatment. (</w:t>
            </w:r>
            <w:hyperlink w:anchor="Rauck1993" w:history="1">
              <w:r w:rsidRPr="00D61F73">
                <w:rPr>
                  <w:rStyle w:val="Hyperlink"/>
                  <w:rFonts w:ascii="Arial" w:hAnsi="Arial" w:cs="Arial"/>
                </w:rPr>
                <w:t>Rauck, 1993</w:t>
              </w:r>
            </w:hyperlink>
            <w:r w:rsidRPr="00D61F73">
              <w:rPr>
                <w:rFonts w:ascii="Arial" w:hAnsi="Arial" w:cs="Arial"/>
              </w:rPr>
              <w:t>)</w:t>
            </w:r>
          </w:p>
          <w:p w14:paraId="57B96F19" w14:textId="77777777" w:rsidR="00E648FC" w:rsidRPr="00D61F73" w:rsidRDefault="00E648FC" w:rsidP="00D61F73">
            <w:pPr>
              <w:rPr>
                <w:rFonts w:ascii="Arial" w:hAnsi="Arial" w:cs="Arial"/>
              </w:rPr>
            </w:pPr>
            <w:r w:rsidRPr="00D61F73">
              <w:rPr>
                <w:rFonts w:ascii="Arial" w:hAnsi="Arial" w:cs="Arial"/>
                <w:i/>
              </w:rPr>
              <w:t xml:space="preserve">Brachial plexus blocks: </w:t>
            </w:r>
            <w:r w:rsidRPr="00D61F73">
              <w:rPr>
                <w:rFonts w:ascii="Arial" w:hAnsi="Arial" w:cs="Arial"/>
              </w:rPr>
              <w:t>Not recommended due to the lack of evidence for use and risk of complications including infection, intravascular injection, pneumothorax, and phrenic nerve paralysis. (</w:t>
            </w:r>
            <w:hyperlink w:anchor="Harden2013" w:history="1">
              <w:r w:rsidRPr="00D61F73">
                <w:rPr>
                  <w:rStyle w:val="Hyperlink"/>
                  <w:rFonts w:ascii="Arial" w:hAnsi="Arial" w:cs="Arial"/>
                </w:rPr>
                <w:t>Harden, 2013</w:t>
              </w:r>
            </w:hyperlink>
            <w:r w:rsidRPr="00D61F73">
              <w:rPr>
                <w:rFonts w:ascii="Arial" w:hAnsi="Arial" w:cs="Arial"/>
              </w:rPr>
              <w:t>) (</w:t>
            </w:r>
            <w:hyperlink w:anchor="Tran2010" w:history="1">
              <w:r w:rsidRPr="00D61F73">
                <w:rPr>
                  <w:rStyle w:val="Hyperlink"/>
                  <w:rFonts w:ascii="Arial" w:hAnsi="Arial" w:cs="Arial"/>
                </w:rPr>
                <w:t>Tran, 2010</w:t>
              </w:r>
            </w:hyperlink>
            <w:r w:rsidRPr="00D61F73">
              <w:rPr>
                <w:rFonts w:ascii="Arial" w:hAnsi="Arial" w:cs="Arial"/>
              </w:rPr>
              <w:t>)</w:t>
            </w:r>
          </w:p>
          <w:p w14:paraId="7FE7F9EE" w14:textId="77777777" w:rsidR="00E648FC" w:rsidRPr="00D61F73" w:rsidRDefault="00E648FC" w:rsidP="00D61F73">
            <w:pPr>
              <w:rPr>
                <w:rFonts w:ascii="Arial" w:hAnsi="Arial" w:cs="Arial"/>
              </w:rPr>
            </w:pPr>
            <w:r w:rsidRPr="00D61F73">
              <w:rPr>
                <w:rFonts w:ascii="Arial" w:hAnsi="Arial" w:cs="Arial"/>
                <w:i/>
              </w:rPr>
              <w:t>Intrathecal drugs: Opioids</w:t>
            </w:r>
            <w:r w:rsidRPr="00D61F73">
              <w:rPr>
                <w:rFonts w:ascii="Arial" w:hAnsi="Arial" w:cs="Arial"/>
              </w:rPr>
              <w:t xml:space="preserve"> are not recommended. </w:t>
            </w:r>
            <w:r w:rsidRPr="00D61F73">
              <w:rPr>
                <w:rFonts w:ascii="Arial" w:hAnsi="Arial" w:cs="Arial"/>
                <w:i/>
              </w:rPr>
              <w:t>Baclofen</w:t>
            </w:r>
            <w:r w:rsidRPr="00D61F73">
              <w:rPr>
                <w:rFonts w:ascii="Arial" w:hAnsi="Arial" w:cs="Arial"/>
              </w:rPr>
              <w:t xml:space="preserve"> may play a limited, end-stage role for treatment for patients with dystonia, the area which the limited research addresses. The first study was conducted in 7 patients using IASP criteria. Six of these received a pump. Greater effect was found in the arms than legs. When followed for a year, the largest improvement was noted in the first three months with stabilization around a one year period. Lack of responsiveness to intrathecal baclofen declined in 30% of patients once delivery was switched from external to implantable treatment. A large number of adverse events were noted with the most common being post-dural headache. In this second study the authors indicated that to enhance therapeutic potential, methods to improve patient selection and catheter-pump integrity were warranted. Increasing the infusion rate did not result in improvement of dystonia. The authors also note that significant improvement in global intense pain, sharp pain, dull pain and deep pain occurred in the first six months of this open design, but after this period the scores leveled despite further improvement of dystonia and continued ITB dose escalation. (</w:t>
            </w:r>
            <w:hyperlink w:anchor="vanderPlas2013" w:history="1">
              <w:r w:rsidRPr="00D61F73">
                <w:rPr>
                  <w:rStyle w:val="Hyperlink"/>
                  <w:rFonts w:ascii="Arial" w:hAnsi="Arial" w:cs="Arial"/>
                </w:rPr>
                <w:t>van der Plas, 2013</w:t>
              </w:r>
            </w:hyperlink>
            <w:r w:rsidRPr="00D61F73">
              <w:rPr>
                <w:rFonts w:ascii="Arial" w:hAnsi="Arial" w:cs="Arial"/>
              </w:rPr>
              <w:t>) (</w:t>
            </w:r>
            <w:hyperlink w:anchor="vanRijn2009" w:history="1">
              <w:r w:rsidRPr="00D61F73">
                <w:rPr>
                  <w:rStyle w:val="Hyperlink"/>
                  <w:rFonts w:ascii="Arial" w:hAnsi="Arial" w:cs="Arial"/>
                </w:rPr>
                <w:t>van Rijn, 2009</w:t>
              </w:r>
            </w:hyperlink>
            <w:r w:rsidRPr="00D61F73">
              <w:rPr>
                <w:rFonts w:ascii="Arial" w:hAnsi="Arial" w:cs="Arial"/>
              </w:rPr>
              <w:t>)</w:t>
            </w:r>
          </w:p>
          <w:p w14:paraId="016C163A" w14:textId="14FAB494" w:rsidR="00E648FC" w:rsidRPr="00D61F73" w:rsidRDefault="00E648FC" w:rsidP="00D61F73">
            <w:pPr>
              <w:rPr>
                <w:rFonts w:ascii="Arial" w:hAnsi="Arial" w:cs="Arial"/>
              </w:rPr>
            </w:pPr>
            <w:r w:rsidRPr="00D61F73">
              <w:rPr>
                <w:rFonts w:ascii="Arial" w:hAnsi="Arial" w:cs="Arial"/>
                <w:i/>
              </w:rPr>
              <w:t xml:space="preserve">Spinal Cord Stimulator: </w:t>
            </w:r>
            <w:r w:rsidRPr="00D61F73">
              <w:rPr>
                <w:rFonts w:ascii="Arial" w:hAnsi="Arial" w:cs="Arial"/>
              </w:rPr>
              <w:t xml:space="preserve">See </w:t>
            </w:r>
            <w:hyperlink w:anchor="CRPSspinalcordstim" w:history="1">
              <w:r w:rsidRPr="00D61F73">
                <w:rPr>
                  <w:rStyle w:val="Hyperlink"/>
                  <w:rFonts w:ascii="Arial" w:hAnsi="Arial" w:cs="Arial"/>
                </w:rPr>
                <w:t>CRPS, spinal cord stimulators</w:t>
              </w:r>
            </w:hyperlink>
            <w:r w:rsidRPr="00D61F73">
              <w:rPr>
                <w:rFonts w:ascii="Arial" w:hAnsi="Arial" w:cs="Arial"/>
              </w:rPr>
              <w:t>.</w:t>
            </w:r>
          </w:p>
          <w:p w14:paraId="6B06FC98" w14:textId="77777777" w:rsidR="00671624" w:rsidRDefault="00E648FC" w:rsidP="00D61F73">
            <w:pPr>
              <w:rPr>
                <w:rFonts w:ascii="Arial" w:hAnsi="Arial" w:cs="Arial"/>
              </w:rPr>
            </w:pPr>
            <w:r w:rsidRPr="00D61F73">
              <w:rPr>
                <w:rFonts w:ascii="Arial" w:hAnsi="Arial" w:cs="Arial"/>
              </w:rPr>
              <w:t xml:space="preserve">See also </w:t>
            </w:r>
            <w:hyperlink w:anchor="CRPSpathophysiology" w:history="1">
              <w:r w:rsidRPr="00D61F73">
                <w:rPr>
                  <w:rStyle w:val="Hyperlink"/>
                  <w:rFonts w:ascii="Arial" w:hAnsi="Arial" w:cs="Arial"/>
                </w:rPr>
                <w:t>CRPS, pathophysiology</w:t>
              </w:r>
            </w:hyperlink>
            <w:r w:rsidRPr="00D61F73">
              <w:rPr>
                <w:rFonts w:ascii="Arial" w:hAnsi="Arial" w:cs="Arial"/>
              </w:rPr>
              <w:t xml:space="preserve"> (clinical presentation &amp; diagnostic </w:t>
            </w:r>
          </w:p>
          <w:p w14:paraId="7A621116" w14:textId="77777777" w:rsidR="00671624" w:rsidRPr="00C622D2" w:rsidRDefault="00671624" w:rsidP="00D61F73">
            <w:pPr>
              <w:rPr>
                <w:rFonts w:ascii="Arial" w:hAnsi="Arial" w:cs="Arial"/>
                <w:sz w:val="16"/>
                <w:szCs w:val="16"/>
              </w:rPr>
            </w:pPr>
          </w:p>
          <w:p w14:paraId="1C862ECF" w14:textId="77777777" w:rsidR="00924FC6" w:rsidRDefault="00924FC6" w:rsidP="00D61F73">
            <w:pPr>
              <w:rPr>
                <w:rFonts w:ascii="Arial" w:hAnsi="Arial" w:cs="Arial"/>
              </w:rPr>
            </w:pPr>
          </w:p>
          <w:p w14:paraId="25208124" w14:textId="074D2D9E" w:rsidR="00671624" w:rsidRDefault="00E648FC" w:rsidP="00D61F73">
            <w:pPr>
              <w:rPr>
                <w:rFonts w:ascii="Arial" w:hAnsi="Arial" w:cs="Arial"/>
              </w:rPr>
            </w:pPr>
            <w:r w:rsidRPr="00D61F73">
              <w:rPr>
                <w:rFonts w:ascii="Arial" w:hAnsi="Arial" w:cs="Arial"/>
              </w:rPr>
              <w:lastRenderedPageBreak/>
              <w:t xml:space="preserve">criteria); </w:t>
            </w:r>
            <w:hyperlink w:anchor="CRPSmedications" w:history="1">
              <w:r w:rsidRPr="00D61F73">
                <w:rPr>
                  <w:rStyle w:val="Hyperlink"/>
                  <w:rFonts w:ascii="Arial" w:hAnsi="Arial" w:cs="Arial"/>
                </w:rPr>
                <w:t>CRPS, medications</w:t>
              </w:r>
            </w:hyperlink>
            <w:r w:rsidRPr="00D61F73">
              <w:rPr>
                <w:rFonts w:ascii="Arial" w:hAnsi="Arial" w:cs="Arial"/>
              </w:rPr>
              <w:t xml:space="preserve">; </w:t>
            </w:r>
            <w:hyperlink w:anchor="CRPSsympatheticandepiduralblocks" w:history="1">
              <w:r w:rsidRPr="00D61F73">
                <w:rPr>
                  <w:rStyle w:val="Hyperlink"/>
                  <w:rFonts w:ascii="Arial" w:hAnsi="Arial" w:cs="Arial"/>
                </w:rPr>
                <w:t>CRPS, sympathetic blocks</w:t>
              </w:r>
            </w:hyperlink>
            <w:r w:rsidRPr="00D61F73">
              <w:rPr>
                <w:rFonts w:ascii="Arial" w:hAnsi="Arial" w:cs="Arial"/>
              </w:rPr>
              <w:t xml:space="preserve"> (therapeutic); </w:t>
            </w:r>
          </w:p>
          <w:p w14:paraId="2A9D5ECD" w14:textId="2C49C53D" w:rsidR="00E648FC" w:rsidRPr="00D61F73" w:rsidRDefault="00751163" w:rsidP="00D61F73">
            <w:pPr>
              <w:rPr>
                <w:rFonts w:ascii="Arial" w:hAnsi="Arial" w:cs="Arial"/>
              </w:rPr>
            </w:pPr>
            <w:hyperlink w:anchor="Intravenousregionalsympatheticblocks" w:history="1">
              <w:r w:rsidR="00E648FC" w:rsidRPr="00D61F73">
                <w:rPr>
                  <w:rStyle w:val="Hyperlink"/>
                  <w:rFonts w:ascii="Arial" w:hAnsi="Arial" w:cs="Arial"/>
                </w:rPr>
                <w:t>Intravenous regional sympathetic blocks</w:t>
              </w:r>
            </w:hyperlink>
            <w:r w:rsidR="00E648FC" w:rsidRPr="00D61F73">
              <w:rPr>
                <w:rFonts w:ascii="Arial" w:hAnsi="Arial" w:cs="Arial"/>
              </w:rPr>
              <w:t xml:space="preserve"> (for RSD/CRPS); </w:t>
            </w:r>
            <w:r w:rsidR="00E648FC" w:rsidRPr="00D61F73">
              <w:rPr>
                <w:rFonts w:ascii="Arial" w:eastAsia="Arial Unicode MS" w:hAnsi="Arial" w:cs="Arial"/>
                <w:lang w:val="en"/>
              </w:rPr>
              <w:t xml:space="preserve">&amp; </w:t>
            </w:r>
            <w:hyperlink w:anchor="Sympatheticallymaintainedpain" w:history="1">
              <w:r w:rsidR="00E648FC" w:rsidRPr="00D61F73">
                <w:rPr>
                  <w:rStyle w:val="Hyperlink"/>
                  <w:rFonts w:ascii="Arial" w:hAnsi="Arial" w:cs="Arial"/>
                </w:rPr>
                <w:t>Sympathetically maintained pain</w:t>
              </w:r>
            </w:hyperlink>
            <w:r w:rsidR="00E648FC" w:rsidRPr="00D61F73">
              <w:rPr>
                <w:rFonts w:ascii="Arial" w:hAnsi="Arial" w:cs="Arial"/>
              </w:rPr>
              <w:t xml:space="preserve"> (SMP). </w:t>
            </w:r>
          </w:p>
        </w:tc>
      </w:tr>
      <w:tr w:rsidR="00E648FC" w:rsidRPr="00D61F73" w14:paraId="48CAD491" w14:textId="77777777" w:rsidTr="0078164D">
        <w:tc>
          <w:tcPr>
            <w:tcW w:w="1086" w:type="pct"/>
          </w:tcPr>
          <w:p w14:paraId="35DBA5C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C</w:t>
            </w:r>
            <w:bookmarkStart w:id="168" w:name="Currentperceptionthreshold"/>
            <w:bookmarkEnd w:id="168"/>
            <w:r w:rsidRPr="00D61F73">
              <w:rPr>
                <w:rFonts w:ascii="Arial" w:hAnsi="Arial" w:cs="Arial"/>
              </w:rPr>
              <w:t>urrent perception threshold (CPT) testing</w:t>
            </w:r>
          </w:p>
        </w:tc>
        <w:tc>
          <w:tcPr>
            <w:tcW w:w="3914" w:type="pct"/>
          </w:tcPr>
          <w:p w14:paraId="46731A75"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Not recommended. Current perception threshold testing is considered experimental or investigational, as there is inadequate scientific literature to support any conclusions regarding the effects of this testing on health outcomes..</w:t>
            </w:r>
          </w:p>
        </w:tc>
      </w:tr>
      <w:tr w:rsidR="00E648FC" w:rsidRPr="00D61F73" w14:paraId="667511ED" w14:textId="77777777" w:rsidTr="0078164D">
        <w:tc>
          <w:tcPr>
            <w:tcW w:w="1086" w:type="pct"/>
          </w:tcPr>
          <w:p w14:paraId="2849A54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69" w:name="Cyclobenzaprine"/>
            <w:bookmarkEnd w:id="169"/>
            <w:r w:rsidRPr="00D61F73">
              <w:rPr>
                <w:rFonts w:ascii="Arial" w:hAnsi="Arial" w:cs="Arial"/>
              </w:rPr>
              <w:t>yclobenzaprine (Flexeril®)</w:t>
            </w:r>
          </w:p>
        </w:tc>
        <w:tc>
          <w:tcPr>
            <w:tcW w:w="3914" w:type="pct"/>
          </w:tcPr>
          <w:p w14:paraId="2C557BA4" w14:textId="3BA67CBB" w:rsidR="00E648FC" w:rsidRPr="00D61F73" w:rsidRDefault="00E648FC" w:rsidP="00D61F73">
            <w:pPr>
              <w:pStyle w:val="BodyText"/>
              <w:rPr>
                <w:rFonts w:ascii="Arial" w:hAnsi="Arial" w:cs="Arial"/>
                <w:b w:val="0"/>
                <w:bCs w:val="0"/>
              </w:rPr>
            </w:pPr>
            <w:r w:rsidRPr="00D61F73">
              <w:rPr>
                <w:rFonts w:ascii="Arial" w:hAnsi="Arial" w:cs="Arial"/>
                <w:b w:val="0"/>
                <w:bCs w:val="0"/>
              </w:rPr>
              <w:t>Recommended as an option, using a short course of therapy. Cyclobenzaprine (Flexeril®) is more effective than placebo in the management of back pain; the effect is modest and comes at the price of greater adverse effects. The effect is greatest in the first 4 days of treatment, suggesting that shorter courses may be better. (</w:t>
            </w:r>
            <w:hyperlink w:anchor="Browning" w:history="1">
              <w:r w:rsidRPr="00D61F73">
                <w:rPr>
                  <w:rStyle w:val="Hyperlink"/>
                  <w:rFonts w:ascii="Arial" w:hAnsi="Arial" w:cs="Arial"/>
                  <w:b w:val="0"/>
                  <w:bCs w:val="0"/>
                </w:rPr>
                <w:t>Browning, 2001</w:t>
              </w:r>
            </w:hyperlink>
            <w:r w:rsidRPr="00D61F73">
              <w:rPr>
                <w:rFonts w:ascii="Arial" w:hAnsi="Arial" w:cs="Arial"/>
                <w:b w:val="0"/>
                <w:bCs w:val="0"/>
              </w:rPr>
              <w:t xml:space="preserve">) Treatment should be </w:t>
            </w:r>
            <w:r w:rsidR="00344803" w:rsidRPr="00D61F73">
              <w:rPr>
                <w:rFonts w:ascii="Arial" w:hAnsi="Arial" w:cs="Arial"/>
                <w:b w:val="0"/>
                <w:bCs w:val="0"/>
              </w:rPr>
              <w:t>brief; this</w:t>
            </w:r>
            <w:r w:rsidRPr="00D61F73">
              <w:rPr>
                <w:rFonts w:ascii="Arial" w:hAnsi="Arial" w:cs="Arial"/>
                <w:b w:val="0"/>
                <w:bCs w:val="0"/>
              </w:rPr>
              <w:t xml:space="preserve"> medication is not recommended for longer than 2-3 </w:t>
            </w:r>
            <w:r w:rsidR="00344803" w:rsidRPr="00D61F73">
              <w:rPr>
                <w:rFonts w:ascii="Arial" w:hAnsi="Arial" w:cs="Arial"/>
                <w:b w:val="0"/>
                <w:bCs w:val="0"/>
              </w:rPr>
              <w:t>weeks. There</w:t>
            </w:r>
            <w:r w:rsidRPr="00D61F73">
              <w:rPr>
                <w:rFonts w:ascii="Arial" w:hAnsi="Arial" w:cs="Arial"/>
                <w:b w:val="0"/>
                <w:bCs w:val="0"/>
              </w:rPr>
              <w:t xml:space="preserve"> is also a post-op use. The addition of cyclobenzaprine to other agents is not recommended. (</w:t>
            </w:r>
            <w:hyperlink w:anchor="ClinicalPharmacology" w:history="1">
              <w:r w:rsidRPr="00D61F73">
                <w:rPr>
                  <w:rStyle w:val="Hyperlink"/>
                  <w:rFonts w:ascii="Arial" w:hAnsi="Arial" w:cs="Arial"/>
                  <w:b w:val="0"/>
                  <w:bCs w:val="0"/>
                </w:rPr>
                <w:t>Clinical Pharmacology, 2008</w:t>
              </w:r>
            </w:hyperlink>
            <w:r w:rsidRPr="00D61F73">
              <w:rPr>
                <w:rFonts w:ascii="Arial" w:hAnsi="Arial" w:cs="Arial"/>
                <w:b w:val="0"/>
                <w:bCs w:val="0"/>
              </w:rPr>
              <w:t>) Cyclobenzaprine-treated patients with fibromyalgia were 3 times as likely to report overall improvement and to report moderate reductions in individual symptoms, particularly sleep. (</w:t>
            </w:r>
            <w:hyperlink w:anchor="Tofferi" w:history="1">
              <w:r w:rsidRPr="00D61F73">
                <w:rPr>
                  <w:rStyle w:val="Hyperlink"/>
                  <w:rFonts w:ascii="Arial" w:hAnsi="Arial" w:cs="Arial"/>
                  <w:b w:val="0"/>
                  <w:bCs w:val="0"/>
                </w:rPr>
                <w:t>Tofferi, 2004</w:t>
              </w:r>
            </w:hyperlink>
            <w:r w:rsidRPr="00D61F73">
              <w:rPr>
                <w:rFonts w:ascii="Arial" w:hAnsi="Arial" w:cs="Arial"/>
                <w:b w:val="0"/>
                <w:bCs w:val="0"/>
              </w:rPr>
              <w:t xml:space="preserve">) Note: Cyclobenzaprine is closely related to the tricyclic antidepressants, e.g., amitriptyline. See </w:t>
            </w:r>
            <w:hyperlink w:anchor="Antidepressantsforchronicpain" w:history="1">
              <w:r w:rsidRPr="00D61F73">
                <w:rPr>
                  <w:rStyle w:val="Hyperlink"/>
                  <w:rFonts w:ascii="Arial" w:hAnsi="Arial" w:cs="Arial"/>
                  <w:b w:val="0"/>
                  <w:bCs w:val="0"/>
                </w:rPr>
                <w:t>Antidepressants</w:t>
              </w:r>
            </w:hyperlink>
            <w:r w:rsidRPr="00D61F73">
              <w:rPr>
                <w:rFonts w:ascii="Arial" w:hAnsi="Arial" w:cs="Arial"/>
                <w:b w:val="0"/>
                <w:bCs w:val="0"/>
              </w:rPr>
              <w:t xml:space="preserve">. Cyclobenzaprine is associated with a </w:t>
            </w:r>
            <w:hyperlink w:anchor="Numberneededtotreat" w:history="1">
              <w:r w:rsidRPr="00D61F73">
                <w:rPr>
                  <w:rStyle w:val="Hyperlink"/>
                  <w:rFonts w:ascii="Arial" w:hAnsi="Arial" w:cs="Arial"/>
                  <w:b w:val="0"/>
                  <w:bCs w:val="0"/>
                </w:rPr>
                <w:t>number needed to treat</w:t>
              </w:r>
            </w:hyperlink>
            <w:r w:rsidRPr="00D61F73">
              <w:rPr>
                <w:rFonts w:ascii="Arial" w:hAnsi="Arial" w:cs="Arial"/>
                <w:b w:val="0"/>
                <w:bCs w:val="0"/>
              </w:rPr>
              <w:t xml:space="preserve"> of 3 at 2 weeks for symptom improvement in LBP and is associated with drowsiness and dizziness. (</w:t>
            </w:r>
            <w:hyperlink r:id="rId59" w:anchor="Kinkade" w:history="1">
              <w:r w:rsidRPr="00D61F73">
                <w:rPr>
                  <w:rStyle w:val="Hyperlink"/>
                  <w:rFonts w:ascii="Arial" w:hAnsi="Arial" w:cs="Arial"/>
                  <w:b w:val="0"/>
                  <w:bCs w:val="0"/>
                </w:rPr>
                <w:t>Kinkade, 2007</w:t>
              </w:r>
            </w:hyperlink>
            <w:r w:rsidRPr="00D61F73">
              <w:rPr>
                <w:rFonts w:ascii="Arial" w:hAnsi="Arial" w:cs="Arial"/>
                <w:b w:val="0"/>
                <w:bCs w:val="0"/>
              </w:rPr>
              <w:t xml:space="preserve">) Cyclobenzaprine is a skeletal muscle relaxant and a central nervous system (CNS) depressant that is marketed as Flexeril by Ortho McNeil Pharmaceutical. See also </w:t>
            </w:r>
            <w:hyperlink w:anchor="Musclerelaxants" w:history="1">
              <w:r w:rsidRPr="00D61F73">
                <w:rPr>
                  <w:rStyle w:val="Hyperlink"/>
                  <w:rFonts w:ascii="Arial" w:hAnsi="Arial" w:cs="Arial"/>
                  <w:b w:val="0"/>
                  <w:bCs w:val="0"/>
                </w:rPr>
                <w:t>Muscle relaxants</w:t>
              </w:r>
            </w:hyperlink>
            <w:r w:rsidRPr="00D61F73">
              <w:rPr>
                <w:rFonts w:ascii="Arial" w:hAnsi="Arial" w:cs="Arial"/>
                <w:b w:val="0"/>
                <w:bCs w:val="0"/>
              </w:rPr>
              <w:t xml:space="preserve"> (for pain), </w:t>
            </w:r>
            <w:hyperlink w:anchor="Cyclobenzaprine_listing" w:history="1">
              <w:r w:rsidRPr="00D61F73">
                <w:rPr>
                  <w:rStyle w:val="Hyperlink"/>
                  <w:rFonts w:ascii="Arial" w:hAnsi="Arial" w:cs="Arial"/>
                  <w:b w:val="0"/>
                  <w:bCs w:val="0"/>
                </w:rPr>
                <w:t>Cyclobenzaprine listing</w:t>
              </w:r>
            </w:hyperlink>
            <w:r w:rsidRPr="00D61F73">
              <w:rPr>
                <w:rFonts w:ascii="Arial" w:hAnsi="Arial" w:cs="Arial"/>
                <w:b w:val="0"/>
                <w:bCs w:val="0"/>
              </w:rPr>
              <w:t>.</w:t>
            </w:r>
          </w:p>
        </w:tc>
      </w:tr>
      <w:tr w:rsidR="00E648FC" w:rsidRPr="00D61F73" w14:paraId="771F854D" w14:textId="77777777" w:rsidTr="0078164D">
        <w:tc>
          <w:tcPr>
            <w:tcW w:w="1086" w:type="pct"/>
          </w:tcPr>
          <w:p w14:paraId="343D98A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70" w:name="Cymbalta"/>
            <w:bookmarkEnd w:id="170"/>
            <w:r w:rsidRPr="00D61F73">
              <w:rPr>
                <w:rFonts w:ascii="Arial" w:hAnsi="Arial" w:cs="Arial"/>
              </w:rPr>
              <w:t xml:space="preserve">ymbalta® (duloxetine) </w:t>
            </w:r>
          </w:p>
        </w:tc>
        <w:tc>
          <w:tcPr>
            <w:tcW w:w="3914" w:type="pct"/>
          </w:tcPr>
          <w:p w14:paraId="3A15F332"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Cymbalta® is the brand name for duloxetine, and it is supplied by Eli Lilly and Company. Duloxetine is an antidepressant in the class called Selective serotonin and norepinephrine reuptake inhibitors (SNRIs). See </w:t>
            </w:r>
            <w:hyperlink w:anchor="Duloxetine" w:history="1">
              <w:r w:rsidRPr="00D61F73">
                <w:rPr>
                  <w:rStyle w:val="Hyperlink"/>
                  <w:rFonts w:ascii="Arial" w:hAnsi="Arial" w:cs="Arial"/>
                  <w:b w:val="0"/>
                  <w:bCs w:val="0"/>
                </w:rPr>
                <w:t>Duloxetine</w:t>
              </w:r>
            </w:hyperlink>
            <w:r w:rsidRPr="00D61F73">
              <w:rPr>
                <w:rFonts w:ascii="Arial" w:hAnsi="Arial" w:cs="Arial"/>
                <w:b w:val="0"/>
                <w:bCs w:val="0"/>
              </w:rPr>
              <w:t xml:space="preserve"> (Cymbalta®). </w:t>
            </w:r>
          </w:p>
        </w:tc>
      </w:tr>
      <w:tr w:rsidR="00E648FC" w:rsidRPr="00D61F73" w14:paraId="0C9A88F2" w14:textId="77777777" w:rsidTr="0078164D">
        <w:tc>
          <w:tcPr>
            <w:tcW w:w="1086" w:type="pct"/>
          </w:tcPr>
          <w:p w14:paraId="0F49C76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71" w:name="Cytochromep450testing"/>
            <w:bookmarkEnd w:id="171"/>
            <w:r w:rsidRPr="00D61F73">
              <w:rPr>
                <w:rFonts w:ascii="Arial" w:hAnsi="Arial" w:cs="Arial"/>
              </w:rPr>
              <w:t>ytochrome p450 testing</w:t>
            </w:r>
          </w:p>
        </w:tc>
        <w:tc>
          <w:tcPr>
            <w:tcW w:w="3914" w:type="pct"/>
            <w:tcBorders>
              <w:bottom w:val="single" w:sz="4" w:space="0" w:color="auto"/>
            </w:tcBorders>
          </w:tcPr>
          <w:p w14:paraId="1C73413D"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CytokineDNAtesting" w:history="1">
              <w:r w:rsidRPr="00D61F73">
                <w:rPr>
                  <w:rStyle w:val="Hyperlink"/>
                  <w:rFonts w:ascii="Arial" w:hAnsi="Arial" w:cs="Arial"/>
                  <w:b w:val="0"/>
                  <w:bCs w:val="0"/>
                </w:rPr>
                <w:t>Cytokine DNA testing</w:t>
              </w:r>
            </w:hyperlink>
            <w:r w:rsidRPr="00D61F73">
              <w:rPr>
                <w:rFonts w:ascii="Arial" w:hAnsi="Arial" w:cs="Arial"/>
                <w:b w:val="0"/>
                <w:bCs w:val="0"/>
              </w:rPr>
              <w:t>.</w:t>
            </w:r>
          </w:p>
        </w:tc>
      </w:tr>
      <w:tr w:rsidR="00E648FC" w:rsidRPr="00D61F73" w14:paraId="0472C1BD" w14:textId="77777777" w:rsidTr="0078164D">
        <w:tc>
          <w:tcPr>
            <w:tcW w:w="1086" w:type="pct"/>
          </w:tcPr>
          <w:p w14:paraId="1F845FD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C</w:t>
            </w:r>
            <w:bookmarkStart w:id="172" w:name="CytokineDNAtesting"/>
            <w:bookmarkEnd w:id="172"/>
            <w:r w:rsidRPr="00D61F73">
              <w:rPr>
                <w:rFonts w:ascii="Arial" w:hAnsi="Arial" w:cs="Arial"/>
              </w:rPr>
              <w:t>ytokine DNA testing</w:t>
            </w:r>
          </w:p>
        </w:tc>
        <w:tc>
          <w:tcPr>
            <w:tcW w:w="3914" w:type="pct"/>
            <w:tcBorders>
              <w:bottom w:val="single" w:sz="4" w:space="0" w:color="auto"/>
            </w:tcBorders>
          </w:tcPr>
          <w:p w14:paraId="345D903A"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Not recommended. There is no current evidence to support the use of cytokine DNA testing for the diagnosis of pain, including chronic pain. Scientific research on cytokines is rapidly evolving. There is vast and growing scientific evidence base concerning the biochemistry of inflammation and it is commonly understood that inflammation plays a key role in injuries and chronic pain. Cellular mechanisms are ultimately involved in the inflammatory process and healing, and the molecular machinery involves cellular signaling proteins or agents called cytokines. Given rapid developments in cytokine research, novel applications have emerged and one application is cytokine DNA signature testing which has been used as a specific test for certain pain diagnoses such as fibromyalgia or complex regional pain syndrome. The specific test for cytokine DNA testing is performed by the Cytokine Institute. Two articles were found on the website. However, these articles did not meet the minimum standards for inclusion for evidence-based review. (</w:t>
            </w:r>
            <w:hyperlink w:anchor="Gavin" w:history="1">
              <w:r w:rsidRPr="00D61F73">
                <w:rPr>
                  <w:rStyle w:val="Hyperlink"/>
                  <w:rFonts w:ascii="Arial" w:hAnsi="Arial" w:cs="Arial"/>
                  <w:b w:val="0"/>
                  <w:bCs w:val="0"/>
                </w:rPr>
                <w:t>Gavin, 2007</w:t>
              </w:r>
            </w:hyperlink>
            <w:r w:rsidRPr="00D61F73">
              <w:rPr>
                <w:rFonts w:ascii="Arial" w:hAnsi="Arial" w:cs="Arial"/>
                <w:b w:val="0"/>
                <w:bCs w:val="0"/>
              </w:rPr>
              <w:t>) (</w:t>
            </w:r>
            <w:hyperlink w:anchor="Gillis" w:history="1">
              <w:r w:rsidRPr="00D61F73">
                <w:rPr>
                  <w:rStyle w:val="Hyperlink"/>
                  <w:rFonts w:ascii="Arial" w:hAnsi="Arial" w:cs="Arial"/>
                  <w:b w:val="0"/>
                  <w:bCs w:val="0"/>
                </w:rPr>
                <w:t>Gillis, 2007</w:t>
              </w:r>
            </w:hyperlink>
            <w:r w:rsidRPr="00D61F73">
              <w:rPr>
                <w:rFonts w:ascii="Arial" w:hAnsi="Arial" w:cs="Arial"/>
                <w:b w:val="0"/>
                <w:bCs w:val="0"/>
              </w:rPr>
              <w:t xml:space="preserve">) In a research setting, plasma levels of various cytokines may give information on the presence, or even predictive value of inflammatory </w:t>
            </w:r>
            <w:r w:rsidRPr="00D61F73">
              <w:rPr>
                <w:rFonts w:ascii="Arial" w:hAnsi="Arial" w:cs="Arial"/>
                <w:b w:val="0"/>
                <w:bCs w:val="0"/>
              </w:rPr>
              <w:lastRenderedPageBreak/>
              <w:t>processes involved in autoimmune diseases such as rheumatoid arthritis. (</w:t>
            </w:r>
            <w:hyperlink w:anchor="Kokkonen2010" w:history="1">
              <w:r w:rsidRPr="00D61F73">
                <w:rPr>
                  <w:rStyle w:val="Hyperlink"/>
                  <w:rFonts w:ascii="Arial" w:hAnsi="Arial" w:cs="Arial"/>
                  <w:b w:val="0"/>
                  <w:bCs w:val="0"/>
                </w:rPr>
                <w:t>Kokkonen, 2010</w:t>
              </w:r>
            </w:hyperlink>
            <w:r w:rsidRPr="00D61F73">
              <w:rPr>
                <w:rFonts w:ascii="Arial" w:hAnsi="Arial" w:cs="Arial"/>
                <w:b w:val="0"/>
                <w:bCs w:val="0"/>
              </w:rPr>
              <w:t xml:space="preserve">) See also </w:t>
            </w:r>
            <w:hyperlink w:anchor="Genetictestingforpotentialopioidabuse" w:history="1">
              <w:r w:rsidRPr="00D61F73">
                <w:rPr>
                  <w:rStyle w:val="Hyperlink"/>
                  <w:rFonts w:ascii="Arial" w:hAnsi="Arial" w:cs="Arial"/>
                  <w:b w:val="0"/>
                  <w:bCs w:val="0"/>
                </w:rPr>
                <w:t>Genetic testing for potential opioid abuse</w:t>
              </w:r>
            </w:hyperlink>
            <w:r w:rsidRPr="00D61F73">
              <w:rPr>
                <w:rFonts w:ascii="Arial" w:hAnsi="Arial" w:cs="Arial"/>
                <w:b w:val="0"/>
                <w:bCs w:val="0"/>
              </w:rPr>
              <w:t>.</w:t>
            </w:r>
          </w:p>
        </w:tc>
      </w:tr>
      <w:tr w:rsidR="00E648FC" w:rsidRPr="00D61F73" w14:paraId="2D534606" w14:textId="77777777" w:rsidTr="0078164D">
        <w:tc>
          <w:tcPr>
            <w:tcW w:w="1086" w:type="pct"/>
          </w:tcPr>
          <w:p w14:paraId="417F19C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D</w:t>
            </w:r>
            <w:bookmarkStart w:id="173" w:name="Darvon"/>
            <w:bookmarkEnd w:id="173"/>
            <w:r w:rsidRPr="00D61F73">
              <w:rPr>
                <w:rFonts w:ascii="Arial" w:hAnsi="Arial" w:cs="Arial"/>
              </w:rPr>
              <w:t>arvon® (propoxyphene)</w:t>
            </w:r>
          </w:p>
        </w:tc>
        <w:tc>
          <w:tcPr>
            <w:tcW w:w="3914" w:type="pct"/>
            <w:tcBorders>
              <w:bottom w:val="single" w:sz="4" w:space="0" w:color="auto"/>
            </w:tcBorders>
          </w:tcPr>
          <w:p w14:paraId="440C778D" w14:textId="77777777" w:rsidR="00E648FC" w:rsidRPr="00D61F73" w:rsidRDefault="00E648FC" w:rsidP="00D61F73">
            <w:pPr>
              <w:pStyle w:val="BodyText"/>
              <w:rPr>
                <w:rFonts w:ascii="Arial" w:hAnsi="Arial" w:cs="Arial"/>
                <w:b w:val="0"/>
                <w:bCs w:val="0"/>
              </w:rPr>
            </w:pPr>
            <w:r w:rsidRPr="00D61F73">
              <w:rPr>
                <w:rFonts w:ascii="Arial" w:hAnsi="Arial" w:cs="Arial"/>
                <w:b w:val="0"/>
                <w:bCs w:val="0"/>
              </w:rPr>
              <w:t xml:space="preserve">See </w:t>
            </w:r>
            <w:hyperlink w:anchor="Propoxyphene" w:history="1">
              <w:r w:rsidRPr="00D61F73">
                <w:rPr>
                  <w:rStyle w:val="Hyperlink"/>
                  <w:rFonts w:ascii="Arial" w:hAnsi="Arial" w:cs="Arial"/>
                  <w:b w:val="0"/>
                  <w:bCs w:val="0"/>
                </w:rPr>
                <w:t>Propoxyphene</w:t>
              </w:r>
            </w:hyperlink>
            <w:r w:rsidRPr="00D61F73">
              <w:rPr>
                <w:rFonts w:ascii="Arial" w:hAnsi="Arial" w:cs="Arial"/>
                <w:b w:val="0"/>
                <w:bCs w:val="0"/>
              </w:rPr>
              <w:t xml:space="preserve"> (Darvon®).</w:t>
            </w:r>
          </w:p>
        </w:tc>
      </w:tr>
      <w:tr w:rsidR="00E648FC" w:rsidRPr="00D61F73" w14:paraId="48B88540" w14:textId="77777777" w:rsidTr="0078164D">
        <w:tc>
          <w:tcPr>
            <w:tcW w:w="1086" w:type="pct"/>
          </w:tcPr>
          <w:p w14:paraId="6EB219E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74" w:name="Demerol"/>
            <w:bookmarkEnd w:id="174"/>
            <w:r w:rsidRPr="00D61F73">
              <w:rPr>
                <w:rFonts w:ascii="Arial" w:hAnsi="Arial" w:cs="Arial"/>
              </w:rPr>
              <w:t>emerol® (meperidine)</w:t>
            </w:r>
          </w:p>
        </w:tc>
        <w:tc>
          <w:tcPr>
            <w:tcW w:w="3914" w:type="pct"/>
            <w:tcBorders>
              <w:bottom w:val="single" w:sz="4" w:space="0" w:color="auto"/>
            </w:tcBorders>
          </w:tcPr>
          <w:p w14:paraId="4199EA26" w14:textId="77777777" w:rsidR="00E648FC" w:rsidRPr="00D61F73" w:rsidRDefault="00E648FC" w:rsidP="00402D57">
            <w:pPr>
              <w:pStyle w:val="Normal1"/>
              <w:framePr w:hSpace="0" w:wrap="auto" w:vAnchor="margin" w:hAnchor="text" w:yAlign="inline"/>
            </w:pPr>
            <w:r w:rsidRPr="00D61F73">
              <w:t xml:space="preserve">See </w:t>
            </w:r>
            <w:hyperlink w:anchor="Meperidine" w:history="1">
              <w:r w:rsidRPr="00D61F73">
                <w:rPr>
                  <w:rStyle w:val="Hyperlink"/>
                  <w:bCs w:val="0"/>
                </w:rPr>
                <w:t>Meperidine</w:t>
              </w:r>
            </w:hyperlink>
            <w:r w:rsidRPr="00D61F73">
              <w:t xml:space="preserve"> (Demerol®).</w:t>
            </w:r>
          </w:p>
        </w:tc>
      </w:tr>
      <w:tr w:rsidR="00E648FC" w:rsidRPr="00D61F73" w14:paraId="7A0CD11C" w14:textId="77777777" w:rsidTr="0078164D">
        <w:tc>
          <w:tcPr>
            <w:tcW w:w="1086" w:type="pct"/>
          </w:tcPr>
          <w:p w14:paraId="69DCD31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75" w:name="Deplin"/>
            <w:bookmarkEnd w:id="175"/>
            <w:r w:rsidRPr="00D61F73">
              <w:rPr>
                <w:rFonts w:ascii="Arial" w:hAnsi="Arial" w:cs="Arial"/>
              </w:rPr>
              <w:t>eplin® (L-methylfolate)</w:t>
            </w:r>
          </w:p>
        </w:tc>
        <w:tc>
          <w:tcPr>
            <w:tcW w:w="3914" w:type="pct"/>
          </w:tcPr>
          <w:p w14:paraId="579B40AB" w14:textId="75DC5E78" w:rsidR="00E648FC" w:rsidRPr="00D61F73" w:rsidRDefault="00E648FC" w:rsidP="00D61F73">
            <w:pPr>
              <w:rPr>
                <w:rFonts w:ascii="Arial" w:hAnsi="Arial" w:cs="Arial"/>
              </w:rPr>
            </w:pPr>
            <w:r w:rsidRPr="00D61F73">
              <w:rPr>
                <w:rFonts w:ascii="Arial" w:hAnsi="Arial" w:cs="Arial"/>
              </w:rPr>
              <w:t xml:space="preserve">Not recommended. Deplin® (L-methylfolate) is a prescription medical food, for the dietary management of suboptimal folate, a naturally occurring B vitamin, in depressed patients. L-methylfolate is not an antidepressant, but may make antidepressants work better by correcting folate levels in the brain See also </w:t>
            </w:r>
            <w:hyperlink w:anchor="VitaminB" w:history="1">
              <w:r w:rsidR="008D0565" w:rsidRPr="00D61F73">
                <w:rPr>
                  <w:rStyle w:val="Hyperlink"/>
                  <w:rFonts w:ascii="Arial" w:hAnsi="Arial" w:cs="Arial"/>
                  <w:bCs/>
                </w:rPr>
                <w:t>Vitamin B</w:t>
              </w:r>
            </w:hyperlink>
            <w:r w:rsidR="008D0565" w:rsidRPr="00D61F73">
              <w:rPr>
                <w:rFonts w:ascii="Arial" w:hAnsi="Arial" w:cs="Arial"/>
              </w:rPr>
              <w:t xml:space="preserve"> </w:t>
            </w:r>
            <w:r w:rsidRPr="00D61F73">
              <w:rPr>
                <w:rFonts w:ascii="Arial" w:hAnsi="Arial" w:cs="Arial"/>
              </w:rPr>
              <w:t xml:space="preserve">&amp; </w:t>
            </w:r>
            <w:hyperlink w:anchor="Medicalfood" w:history="1">
              <w:r w:rsidRPr="00D61F73">
                <w:rPr>
                  <w:rStyle w:val="Hyperlink"/>
                  <w:rFonts w:ascii="Arial" w:hAnsi="Arial" w:cs="Arial"/>
                  <w:bCs/>
                </w:rPr>
                <w:t>Medical food</w:t>
              </w:r>
            </w:hyperlink>
            <w:r w:rsidRPr="00D61F73">
              <w:rPr>
                <w:rStyle w:val="Hyperlink"/>
                <w:rFonts w:ascii="Arial" w:hAnsi="Arial" w:cs="Arial"/>
                <w:bCs/>
              </w:rPr>
              <w:t>s</w:t>
            </w:r>
            <w:r w:rsidRPr="00D61F73">
              <w:rPr>
                <w:rFonts w:ascii="Arial" w:hAnsi="Arial" w:cs="Arial"/>
              </w:rPr>
              <w:t>.</w:t>
            </w:r>
          </w:p>
        </w:tc>
      </w:tr>
      <w:tr w:rsidR="00E648FC" w:rsidRPr="00D61F73" w14:paraId="1BB47972" w14:textId="77777777" w:rsidTr="0078164D">
        <w:tc>
          <w:tcPr>
            <w:tcW w:w="1086" w:type="pct"/>
          </w:tcPr>
          <w:p w14:paraId="58BF1C1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76" w:name="Detoxification"/>
            <w:bookmarkEnd w:id="176"/>
            <w:r w:rsidRPr="00D61F73">
              <w:rPr>
                <w:rFonts w:ascii="Arial" w:hAnsi="Arial" w:cs="Arial"/>
              </w:rPr>
              <w:t>etoxification</w:t>
            </w:r>
          </w:p>
        </w:tc>
        <w:tc>
          <w:tcPr>
            <w:tcW w:w="3914" w:type="pct"/>
          </w:tcPr>
          <w:p w14:paraId="36A4FD50" w14:textId="1EAF38E9" w:rsidR="00E648FC" w:rsidRPr="00D61F73" w:rsidRDefault="00E648FC" w:rsidP="00D61F73">
            <w:pPr>
              <w:rPr>
                <w:rFonts w:ascii="Arial" w:hAnsi="Arial" w:cs="Arial"/>
              </w:rPr>
            </w:pPr>
            <w:r w:rsidRPr="00D61F73">
              <w:rPr>
                <w:rFonts w:ascii="Arial" w:hAnsi="Arial" w:cs="Arial"/>
              </w:rPr>
              <w:t xml:space="preserve">Most commonly recommended when there is evidence of substance misuse or abuse, evidence that medication is not efficacious, or evidence of excessive complications related to use. See </w:t>
            </w:r>
            <w:r w:rsidR="001A046D" w:rsidRPr="00D61F73">
              <w:rPr>
                <w:rFonts w:ascii="Arial" w:hAnsi="Arial" w:cs="Arial"/>
              </w:rPr>
              <w:t xml:space="preserve">MTUS Opioids Treatment Guidelines </w:t>
            </w:r>
            <w:r w:rsidRPr="00D61F73">
              <w:rPr>
                <w:rFonts w:ascii="Arial" w:hAnsi="Arial" w:cs="Arial"/>
              </w:rPr>
              <w:t xml:space="preserve">(substance disorders, tolerance, dependence, addiction) for definitions. Detoxification is defined as a medical intervention that manages a patient through withdrawal syndromes. While the main indication as related to substance-related disorders is evidence of aberrant drug behaviors, other indications for detoxification have been suggested. These include the following: (1) Intolerable side effects; (2) Lack of response to current pain medication treatment (particularly when there is evidence of increasingly escalating doses of substances known for dependence); (3) Evidence of hyperalgesia; (4) Lack of </w:t>
            </w:r>
            <w:hyperlink w:anchor="Functionalimprovementmeasures" w:history="1">
              <w:r w:rsidRPr="00D61F73">
                <w:rPr>
                  <w:rStyle w:val="Hyperlink"/>
                  <w:rFonts w:ascii="Arial" w:hAnsi="Arial" w:cs="Arial"/>
                  <w:bCs/>
                </w:rPr>
                <w:t>functional improvement</w:t>
              </w:r>
            </w:hyperlink>
            <w:r w:rsidRPr="00D61F73">
              <w:rPr>
                <w:rFonts w:ascii="Arial" w:hAnsi="Arial" w:cs="Arial"/>
              </w:rPr>
              <w:t>; and/or (5) Refractory comorbid psychiatric illness. It can therefore be seen that a recommendation for detoxification does not necessarily imply a diagnosis of addiction, or of substance-related disorder. There are no specific guidelines that have been developed for detoxification for patients with chronic pain. This intervention does not constitute complete substance abuse treatment. The process of detoxification includes evaluation, stabilization, and preparation of the patient for further treatment that should be specifically tailored to each patient’s diagnostic needs. Complete withdrawal of all medications is not always recommended, although evidence of abuse and/or dependence strengthens the rationale for such.(</w:t>
            </w:r>
            <w:hyperlink w:anchor="TIP45" w:history="1">
              <w:r w:rsidRPr="00D61F73">
                <w:rPr>
                  <w:rStyle w:val="Hyperlink"/>
                  <w:rFonts w:ascii="Arial" w:hAnsi="Arial" w:cs="Arial"/>
                </w:rPr>
                <w:t>TIP 45, 2006</w:t>
              </w:r>
            </w:hyperlink>
            <w:r w:rsidRPr="00D61F73">
              <w:rPr>
                <w:rFonts w:ascii="Arial" w:hAnsi="Arial" w:cs="Arial"/>
              </w:rPr>
              <w:t>) (</w:t>
            </w:r>
            <w:hyperlink w:anchor="Wright2009" w:history="1">
              <w:r w:rsidRPr="00D61F73">
                <w:rPr>
                  <w:rStyle w:val="Hyperlink"/>
                  <w:rFonts w:ascii="Arial" w:hAnsi="Arial" w:cs="Arial"/>
                </w:rPr>
                <w:t>Wright, 2009</w:t>
              </w:r>
            </w:hyperlink>
            <w:r w:rsidRPr="00D61F73">
              <w:rPr>
                <w:rFonts w:ascii="Arial" w:hAnsi="Arial" w:cs="Arial"/>
              </w:rPr>
              <w:t>) (</w:t>
            </w:r>
            <w:hyperlink w:anchor="Benzon" w:history="1">
              <w:r w:rsidRPr="00D61F73">
                <w:rPr>
                  <w:rStyle w:val="Hyperlink"/>
                  <w:rFonts w:ascii="Arial" w:hAnsi="Arial" w:cs="Arial"/>
                  <w:bCs/>
                </w:rPr>
                <w:t>Benzon, 2005</w:t>
              </w:r>
            </w:hyperlink>
            <w:r w:rsidRPr="00D61F73">
              <w:rPr>
                <w:rFonts w:ascii="Arial" w:hAnsi="Arial" w:cs="Arial"/>
              </w:rPr>
              <w:t xml:space="preserve">)  </w:t>
            </w:r>
            <w:r w:rsidR="004200B1" w:rsidRPr="00D61F73">
              <w:rPr>
                <w:rFonts w:ascii="Arial" w:hAnsi="Arial" w:cs="Arial"/>
              </w:rPr>
              <w:t>See</w:t>
            </w:r>
            <w:r w:rsidR="00EB7FEF" w:rsidRPr="00D61F73">
              <w:rPr>
                <w:rFonts w:ascii="Arial" w:hAnsi="Arial" w:cs="Arial"/>
              </w:rPr>
              <w:t xml:space="preserve"> </w:t>
            </w:r>
            <w:r w:rsidR="00B92997" w:rsidRPr="00D61F73">
              <w:rPr>
                <w:rFonts w:ascii="Arial" w:hAnsi="Arial" w:cs="Arial"/>
              </w:rPr>
              <w:t xml:space="preserve">MTUS Opioids Treatment Guidelines </w:t>
            </w:r>
            <w:r w:rsidRPr="00D61F73">
              <w:rPr>
                <w:rFonts w:ascii="Arial" w:hAnsi="Arial" w:cs="Arial"/>
              </w:rPr>
              <w:t>(substance disorders, tolerance, dependence, addiction) for definitions.</w:t>
            </w:r>
          </w:p>
          <w:p w14:paraId="7296BBED" w14:textId="77777777" w:rsidR="00E648FC" w:rsidRPr="00D61F73" w:rsidRDefault="00E648FC" w:rsidP="00D61F73">
            <w:pPr>
              <w:rPr>
                <w:rFonts w:ascii="Arial" w:hAnsi="Arial" w:cs="Arial"/>
              </w:rPr>
            </w:pPr>
            <w:r w:rsidRPr="00D61F73">
              <w:rPr>
                <w:rFonts w:ascii="Arial" w:hAnsi="Arial" w:cs="Arial"/>
                <w:lang w:val="en"/>
              </w:rPr>
              <w:t xml:space="preserve">For average hospital LOS if criteria are met, see </w:t>
            </w:r>
            <w:hyperlink w:anchor="Hospitallengthofstay" w:history="1">
              <w:r w:rsidRPr="00D61F73">
                <w:rPr>
                  <w:rStyle w:val="Hyperlink"/>
                  <w:rFonts w:ascii="Arial" w:hAnsi="Arial" w:cs="Arial"/>
                  <w:lang w:val="en"/>
                </w:rPr>
                <w:t>Hospital length of stay</w:t>
              </w:r>
            </w:hyperlink>
            <w:r w:rsidRPr="00D61F73">
              <w:rPr>
                <w:rFonts w:ascii="Arial" w:hAnsi="Arial" w:cs="Arial"/>
                <w:lang w:val="en"/>
              </w:rPr>
              <w:t xml:space="preserve"> (LOS).</w:t>
            </w:r>
          </w:p>
        </w:tc>
      </w:tr>
      <w:tr w:rsidR="00E648FC" w:rsidRPr="00D61F73" w14:paraId="57151A03" w14:textId="77777777" w:rsidTr="00E44DFD">
        <w:tc>
          <w:tcPr>
            <w:tcW w:w="1086" w:type="pct"/>
          </w:tcPr>
          <w:p w14:paraId="75A3D81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77" w:name="Diabeticneuropathy"/>
            <w:bookmarkEnd w:id="177"/>
            <w:r w:rsidRPr="00D61F73">
              <w:rPr>
                <w:rFonts w:ascii="Arial" w:hAnsi="Arial" w:cs="Arial"/>
              </w:rPr>
              <w:t>iabetic neuropathy</w:t>
            </w:r>
          </w:p>
        </w:tc>
        <w:tc>
          <w:tcPr>
            <w:tcW w:w="3914" w:type="pct"/>
          </w:tcPr>
          <w:p w14:paraId="29A6B83D" w14:textId="75D603EF" w:rsidR="00E648FC" w:rsidRPr="00D61F73" w:rsidRDefault="00E648FC" w:rsidP="00402D57">
            <w:pPr>
              <w:pStyle w:val="Normal1"/>
              <w:framePr w:hSpace="0" w:wrap="auto" w:vAnchor="margin" w:hAnchor="text" w:yAlign="inline"/>
              <w:rPr>
                <w:u w:val="single"/>
              </w:rPr>
            </w:pPr>
            <w:r w:rsidRPr="00D61F73">
              <w:t>Recommend screening for diabetic neuropathy. With the increased prevalence of diabetes in the US, there has also been an increase in the presentation of diabetic neuropathy (DN) with approximately two-thirds of diabetic patients having minimal to full-blown symptoms. (</w:t>
            </w:r>
            <w:hyperlink w:anchor="Bansal" w:history="1">
              <w:r w:rsidRPr="00D61F73">
                <w:rPr>
                  <w:rStyle w:val="Hyperlink"/>
                  <w:bCs w:val="0"/>
                </w:rPr>
                <w:t>Bansal, 2006</w:t>
              </w:r>
            </w:hyperlink>
            <w:r w:rsidRPr="00D61F73">
              <w:t>) This is a condition that can confound the presentation of chronic pain from work-related injuries. The American Academy of Neurology suggests that the diagnosis of DN should be considered in patients with somatic or autonomic neuropathy and when other causes of neuropathy have been excluded. (</w:t>
            </w:r>
            <w:hyperlink w:anchor="ADA" w:history="1">
              <w:r w:rsidRPr="00D61F73">
                <w:rPr>
                  <w:rStyle w:val="Hyperlink"/>
                  <w:bCs w:val="0"/>
                </w:rPr>
                <w:t>ADA/ANA, 1988</w:t>
              </w:r>
            </w:hyperlink>
            <w:r w:rsidRPr="00D61F73">
              <w:t xml:space="preserve">) Approximately 10% to 20% of diabetic patients have “other causes” of neuropathy. At least two out of the five following criteria are needed for diagnosis: 1) symptoms; 2) signs; </w:t>
            </w:r>
            <w:r w:rsidR="007F3D6C">
              <w:t xml:space="preserve">           </w:t>
            </w:r>
            <w:r w:rsidRPr="00D61F73">
              <w:lastRenderedPageBreak/>
              <w:t>3) electrodiagnostic tests; 4) quantitative sensory; &amp; 5) autonomic testing. Presentations and issues are outlined below:</w:t>
            </w:r>
          </w:p>
          <w:p w14:paraId="6D1071CC" w14:textId="77777777" w:rsidR="00B176D7" w:rsidRPr="00D61F73" w:rsidRDefault="00E648FC" w:rsidP="00402D57">
            <w:pPr>
              <w:pStyle w:val="Normal1"/>
              <w:framePr w:hSpace="0" w:wrap="auto" w:vAnchor="margin" w:hAnchor="text" w:yAlign="inline"/>
            </w:pPr>
            <w:r w:rsidRPr="00D61F73">
              <w:rPr>
                <w:u w:val="single"/>
              </w:rPr>
              <w:t>Distal Symmetrical Polyneuropathy</w:t>
            </w:r>
            <w:r w:rsidRPr="00D61F73">
              <w:t>: The most common presentation of DN - 75%. (</w:t>
            </w:r>
            <w:hyperlink w:anchor="Bansal" w:history="1">
              <w:r w:rsidRPr="00D61F73">
                <w:rPr>
                  <w:rStyle w:val="Hyperlink"/>
                  <w:bCs w:val="0"/>
                </w:rPr>
                <w:t>Bansal, 2006</w:t>
              </w:r>
            </w:hyperlink>
            <w:r w:rsidRPr="00D61F73">
              <w:t xml:space="preserve">) This is a stocking and glove presentation to the knee, and with a latter presentation in the fingers. There are two variants: 1) Large Fiber Disease: presents with painless paresthesias, and impairment of vibration, joint position, sensation and pressure, and loss of ankle reflex. </w:t>
            </w:r>
          </w:p>
          <w:p w14:paraId="7BF6BE9E" w14:textId="2AEA9B6B" w:rsidR="00E648FC" w:rsidRPr="00D61F73" w:rsidRDefault="00E648FC" w:rsidP="00402D57">
            <w:pPr>
              <w:pStyle w:val="Normal1"/>
              <w:framePr w:hSpace="0" w:wrap="auto" w:vAnchor="margin" w:hAnchor="text" w:yAlign="inline"/>
            </w:pPr>
            <w:r w:rsidRPr="00D61F73">
              <w:t>EMG shows slowing of nerve conduction; 2) Small fiber disease: results in pain and burning.</w:t>
            </w:r>
          </w:p>
          <w:p w14:paraId="43FBB806" w14:textId="77777777" w:rsidR="0078164D" w:rsidRPr="00D61F73" w:rsidRDefault="0078164D" w:rsidP="00402D57">
            <w:pPr>
              <w:pStyle w:val="Normal1"/>
              <w:framePr w:hSpace="0" w:wrap="auto" w:vAnchor="margin" w:hAnchor="text" w:yAlign="inline"/>
            </w:pPr>
          </w:p>
          <w:p w14:paraId="2ACF8523" w14:textId="77777777" w:rsidR="00E648FC" w:rsidRPr="00D61F73" w:rsidRDefault="00E648FC" w:rsidP="00402D57">
            <w:pPr>
              <w:pStyle w:val="Normal1"/>
              <w:framePr w:hSpace="0" w:wrap="auto" w:vAnchor="margin" w:hAnchor="text" w:yAlign="inline"/>
            </w:pPr>
            <w:r w:rsidRPr="00D61F73">
              <w:rPr>
                <w:u w:val="single"/>
              </w:rPr>
              <w:t>Persistent Painful Neuropathy:</w:t>
            </w:r>
            <w:r w:rsidRPr="00D61F73">
              <w:t xml:space="preserve"> About 10%. (</w:t>
            </w:r>
            <w:hyperlink w:anchor="Bansal" w:history="1">
              <w:r w:rsidRPr="00D61F73">
                <w:rPr>
                  <w:rStyle w:val="Hyperlink"/>
                  <w:bCs w:val="0"/>
                </w:rPr>
                <w:t>Bansal, 2006</w:t>
              </w:r>
            </w:hyperlink>
            <w:r w:rsidRPr="00D61F73">
              <w:t>) This pain is usually worse at night, and is described as burning, pins and needles, shooting, aching, jabbing, sharp, cramping, tingling, cold and allodynia.  This condition can occur prior to the onset of clinically diagnosed diabetes. Opioid tolerance and addiction has been found in this class of patients.</w:t>
            </w:r>
            <w:r w:rsidRPr="00D61F73">
              <w:rPr>
                <w:vertAlign w:val="superscript"/>
              </w:rPr>
              <w:t xml:space="preserve"> </w:t>
            </w:r>
            <w:r w:rsidRPr="00D61F73">
              <w:t>This pain may decrease with hyperglycemia control.</w:t>
            </w:r>
          </w:p>
          <w:p w14:paraId="76336A13" w14:textId="77777777" w:rsidR="00E648FC" w:rsidRPr="00D61F73" w:rsidRDefault="00E648FC" w:rsidP="00402D57">
            <w:pPr>
              <w:pStyle w:val="Normal1"/>
              <w:framePr w:hSpace="0" w:wrap="auto" w:vAnchor="margin" w:hAnchor="text" w:yAlign="inline"/>
              <w:rPr>
                <w:u w:val="single"/>
              </w:rPr>
            </w:pPr>
            <w:r w:rsidRPr="00D61F73">
              <w:t>Proximal Diabetic Neuropathy (also referred to as Diabetic Amyotrophy, or Diabetic Lumbosacral Radiculoplexus Neuropathy, or Diabetic Polyradiculopathy): (</w:t>
            </w:r>
            <w:hyperlink w:anchor="Bansal" w:history="1">
              <w:r w:rsidRPr="00D61F73">
                <w:rPr>
                  <w:rStyle w:val="Hyperlink"/>
                  <w:bCs w:val="0"/>
                </w:rPr>
                <w:t>Bansal, 2006</w:t>
              </w:r>
            </w:hyperlink>
            <w:r w:rsidRPr="00D61F73">
              <w:t>) Symptoms are consistent with proximal nerve involvement and include pain in the low back, hip and/or anterior thigh, which can be unilateral or bilateral. Thoracic radiculopathy may be involved as well as upper limb involvement (the latter mostly being mononeuropathies). The onset may be abrupt or chronic. Weight loss is also common. Pain and weakness is frequently persistent. This condition can coexist with distal symmetrical polyneuropathy. EMG/NCV shows reductions in the compound muscles and SNAPs with mild slowing of the NCVs. EMGs also show frequent fibrillation potentials (including lumbosacrals). This condition is considered under recognized and has been confused with radiculopathy secondary to disc disease. (</w:t>
            </w:r>
            <w:hyperlink w:anchor="Dyck" w:history="1">
              <w:r w:rsidRPr="00D61F73">
                <w:rPr>
                  <w:rStyle w:val="Hyperlink"/>
                  <w:bCs w:val="0"/>
                </w:rPr>
                <w:t>Dyck, 2001</w:t>
              </w:r>
            </w:hyperlink>
            <w:r w:rsidRPr="00D61F73">
              <w:t>)</w:t>
            </w:r>
          </w:p>
          <w:p w14:paraId="2D795D5B" w14:textId="77777777" w:rsidR="00E648FC" w:rsidRPr="00D61F73" w:rsidRDefault="00E648FC" w:rsidP="00402D57">
            <w:pPr>
              <w:pStyle w:val="Normal1"/>
              <w:framePr w:hSpace="0" w:wrap="auto" w:vAnchor="margin" w:hAnchor="text" w:yAlign="inline"/>
              <w:rPr>
                <w:u w:val="single"/>
              </w:rPr>
            </w:pPr>
            <w:r w:rsidRPr="00D61F73">
              <w:rPr>
                <w:u w:val="single"/>
              </w:rPr>
              <w:t>Limb Neuropathy</w:t>
            </w:r>
            <w:r w:rsidRPr="00D61F73">
              <w:t>: Secondary to nerve infarction. (</w:t>
            </w:r>
            <w:hyperlink w:anchor="Bansal" w:history="1">
              <w:r w:rsidRPr="00D61F73">
                <w:rPr>
                  <w:rStyle w:val="Hyperlink"/>
                </w:rPr>
                <w:t>Bansal, 2006</w:t>
              </w:r>
            </w:hyperlink>
            <w:r w:rsidRPr="00D61F73">
              <w:t>) When associated with nerve infarction, there is an acute onset, with eventual weakness and atrophy. The most common nerves are median, ulnar and peroneal.</w:t>
            </w:r>
            <w:r w:rsidRPr="00D61F73">
              <w:rPr>
                <w:vertAlign w:val="superscript"/>
              </w:rPr>
              <w:t xml:space="preserve"> </w:t>
            </w:r>
            <w:r w:rsidRPr="00D61F73">
              <w:t>(</w:t>
            </w:r>
            <w:hyperlink w:anchor="Wiffen2" w:history="1">
              <w:r w:rsidRPr="00D61F73">
                <w:rPr>
                  <w:rStyle w:val="Hyperlink"/>
                </w:rPr>
                <w:t>Wiffen-</w:t>
              </w:r>
              <w:r w:rsidRPr="00D61F73">
                <w:rPr>
                  <w:rStyle w:val="Hyperlink"/>
                  <w:i/>
                  <w:iCs/>
                </w:rPr>
                <w:t>Cochrane</w:t>
              </w:r>
              <w:r w:rsidRPr="00D61F73">
                <w:rPr>
                  <w:rStyle w:val="Hyperlink"/>
                </w:rPr>
                <w:t>, 2005</w:t>
              </w:r>
            </w:hyperlink>
            <w:r w:rsidRPr="00D61F73">
              <w:t>)</w:t>
            </w:r>
          </w:p>
          <w:p w14:paraId="23FF28AD" w14:textId="77777777" w:rsidR="00E648FC" w:rsidRPr="00D61F73" w:rsidRDefault="00E648FC" w:rsidP="00402D57">
            <w:pPr>
              <w:pStyle w:val="Normal1"/>
              <w:framePr w:hSpace="0" w:wrap="auto" w:vAnchor="margin" w:hAnchor="text" w:yAlign="inline"/>
            </w:pPr>
            <w:r w:rsidRPr="00D61F73">
              <w:rPr>
                <w:u w:val="single"/>
              </w:rPr>
              <w:t>Entrapment</w:t>
            </w:r>
            <w:r w:rsidRPr="00D61F73">
              <w:t xml:space="preserve">: more common. Electrodiagnostic testing shows segmental nerve conduction slowing. A common presentation is carpal tunnel syndrome (3 times more common in diabetics). </w:t>
            </w:r>
            <w:r w:rsidRPr="00D61F73">
              <w:rPr>
                <w:color w:val="000000"/>
              </w:rPr>
              <w:t>(</w:t>
            </w:r>
            <w:hyperlink r:id="rId60" w:history="1">
              <w:r w:rsidRPr="00D61F73">
                <w:rPr>
                  <w:rStyle w:val="Hyperlink"/>
                </w:rPr>
                <w:t>Bansal, 2006</w:t>
              </w:r>
            </w:hyperlink>
            <w:r w:rsidRPr="00D61F73">
              <w:rPr>
                <w:color w:val="000000"/>
              </w:rPr>
              <w:t xml:space="preserve">) </w:t>
            </w:r>
            <w:r w:rsidRPr="00D61F73">
              <w:t>Other frequent presentations include the ulnar, radial, lateral femoral cutaneous, peroneal, medial and lateral plantar nerves.</w:t>
            </w:r>
          </w:p>
          <w:p w14:paraId="0EC84CAB" w14:textId="77777777" w:rsidR="00E648FC" w:rsidRPr="00D61F73" w:rsidRDefault="00E648FC" w:rsidP="00D61F73">
            <w:pPr>
              <w:rPr>
                <w:rFonts w:ascii="Arial" w:hAnsi="Arial" w:cs="Arial"/>
                <w:bCs/>
                <w:u w:val="single"/>
              </w:rPr>
            </w:pPr>
            <w:r w:rsidRPr="00D61F73">
              <w:rPr>
                <w:rFonts w:ascii="Arial" w:hAnsi="Arial" w:cs="Arial"/>
                <w:u w:val="single"/>
              </w:rPr>
              <w:t>Nerve conduction studies in DN</w:t>
            </w:r>
            <w:r w:rsidRPr="00D61F73">
              <w:rPr>
                <w:rFonts w:ascii="Arial" w:hAnsi="Arial" w:cs="Arial"/>
              </w:rPr>
              <w:t>: 1) Large Fiber Neuropathies: Motor nerve conduction is affected but is often insensitive. The diagnosis is generally made by excluding other causes of neuropathy. Entrapment is common and usually shows unilateral NCV changes. Overall, even in subclinical states, NCV is gradually diminished, and there can be evidence of decreased amplitude of evoked muscles or nerve action potentials (decreased sensory and motor amplitudes). (</w:t>
            </w:r>
            <w:hyperlink r:id="rId61" w:history="1">
              <w:r w:rsidRPr="00D61F73">
                <w:rPr>
                  <w:rStyle w:val="Hyperlink"/>
                  <w:rFonts w:ascii="Arial" w:hAnsi="Arial" w:cs="Arial"/>
                </w:rPr>
                <w:t>Bansal, 2006</w:t>
              </w:r>
            </w:hyperlink>
            <w:r w:rsidRPr="00D61F73">
              <w:rPr>
                <w:rFonts w:ascii="Arial" w:hAnsi="Arial" w:cs="Arial"/>
              </w:rPr>
              <w:t xml:space="preserve">) </w:t>
            </w:r>
            <w:r w:rsidRPr="00D61F73">
              <w:rPr>
                <w:rFonts w:ascii="Arial" w:hAnsi="Arial" w:cs="Arial"/>
                <w:vertAlign w:val="superscript"/>
              </w:rPr>
              <w:t xml:space="preserve"> </w:t>
            </w:r>
            <w:r w:rsidRPr="00D61F73">
              <w:rPr>
                <w:rFonts w:ascii="Arial" w:hAnsi="Arial" w:cs="Arial"/>
              </w:rPr>
              <w:t>2) Small Fiber Neuropathies: Small fiber function is not detectable using standard electrophysiologic measures.</w:t>
            </w:r>
          </w:p>
          <w:p w14:paraId="3531EB1A" w14:textId="2E61E375" w:rsidR="00E648FC" w:rsidRPr="00D61F73" w:rsidRDefault="00E648FC" w:rsidP="00D61F73">
            <w:pPr>
              <w:rPr>
                <w:rFonts w:ascii="Arial" w:hAnsi="Arial" w:cs="Arial"/>
              </w:rPr>
            </w:pPr>
            <w:r w:rsidRPr="00D61F73">
              <w:rPr>
                <w:rFonts w:ascii="Arial" w:hAnsi="Arial" w:cs="Arial"/>
                <w:bCs/>
                <w:u w:val="single"/>
              </w:rPr>
              <w:t>Treatment</w:t>
            </w:r>
            <w:r w:rsidRPr="00D61F73">
              <w:rPr>
                <w:rFonts w:ascii="Arial" w:hAnsi="Arial" w:cs="Arial"/>
                <w:bCs/>
              </w:rPr>
              <w:t xml:space="preserve">: The </w:t>
            </w:r>
            <w:hyperlink w:anchor="Numberneededtotreat" w:history="1">
              <w:r w:rsidRPr="00D61F73">
                <w:rPr>
                  <w:rStyle w:val="Hyperlink"/>
                  <w:rFonts w:ascii="Arial" w:hAnsi="Arial" w:cs="Arial"/>
                  <w:bCs/>
                </w:rPr>
                <w:t>number needed to treat</w:t>
              </w:r>
            </w:hyperlink>
            <w:r w:rsidRPr="00D61F73">
              <w:rPr>
                <w:rFonts w:ascii="Arial" w:hAnsi="Arial" w:cs="Arial"/>
                <w:bCs/>
              </w:rPr>
              <w:t xml:space="preserve"> for different drugs for 50% pain relief include: 1) tricyclic antidepressants, 1.4; 2) dextromethorphan, 1.9; </w:t>
            </w:r>
            <w:r w:rsidR="007F3D6C">
              <w:rPr>
                <w:rFonts w:ascii="Arial" w:hAnsi="Arial" w:cs="Arial"/>
                <w:bCs/>
              </w:rPr>
              <w:t xml:space="preserve"> </w:t>
            </w:r>
            <w:r w:rsidRPr="00D61F73">
              <w:rPr>
                <w:rFonts w:ascii="Arial" w:hAnsi="Arial" w:cs="Arial"/>
                <w:bCs/>
              </w:rPr>
              <w:lastRenderedPageBreak/>
              <w:t>3) carbamazepine 3.3; 4) Tramadol 3.4; 5) gabapentin, 4.3 (</w:t>
            </w:r>
            <w:hyperlink w:anchor="Wiffen2" w:history="1">
              <w:r w:rsidRPr="00D61F73">
                <w:rPr>
                  <w:rStyle w:val="Hyperlink"/>
                  <w:rFonts w:ascii="Arial" w:hAnsi="Arial" w:cs="Arial"/>
                  <w:bCs/>
                </w:rPr>
                <w:t>Wiffen-</w:t>
              </w:r>
              <w:r w:rsidRPr="00D61F73">
                <w:rPr>
                  <w:rStyle w:val="Hyperlink"/>
                  <w:rFonts w:ascii="Arial" w:hAnsi="Arial" w:cs="Arial"/>
                  <w:bCs/>
                  <w:i/>
                </w:rPr>
                <w:t xml:space="preserve">Cochrane, </w:t>
              </w:r>
              <w:r w:rsidRPr="00D61F73">
                <w:rPr>
                  <w:rStyle w:val="Hyperlink"/>
                  <w:rFonts w:ascii="Arial" w:hAnsi="Arial" w:cs="Arial"/>
                  <w:bCs/>
                </w:rPr>
                <w:t>2005</w:t>
              </w:r>
            </w:hyperlink>
            <w:r w:rsidRPr="00D61F73">
              <w:rPr>
                <w:rFonts w:ascii="Arial" w:hAnsi="Arial" w:cs="Arial"/>
                <w:bCs/>
              </w:rPr>
              <w:t xml:space="preserve">) </w:t>
            </w:r>
            <w:r w:rsidRPr="00D61F73">
              <w:rPr>
                <w:rFonts w:ascii="Arial" w:hAnsi="Arial" w:cs="Arial"/>
                <w:bCs/>
                <w:vertAlign w:val="superscript"/>
              </w:rPr>
              <w:t xml:space="preserve"> </w:t>
            </w:r>
            <w:r w:rsidRPr="00D61F73">
              <w:rPr>
                <w:rFonts w:ascii="Arial" w:hAnsi="Arial" w:cs="Arial"/>
                <w:bCs/>
              </w:rPr>
              <w:t>(increased from 3.7 in the latest Cochrane review); 6) capsaicin 5.9; 7) SSRIs, 6.7. (</w:t>
            </w:r>
            <w:hyperlink w:anchor="Sindrup2" w:history="1">
              <w:r w:rsidRPr="00D61F73">
                <w:rPr>
                  <w:rStyle w:val="Hyperlink"/>
                  <w:rFonts w:ascii="Arial" w:hAnsi="Arial" w:cs="Arial"/>
                  <w:bCs/>
                </w:rPr>
                <w:t>Sindrup, 1999</w:t>
              </w:r>
            </w:hyperlink>
            <w:r w:rsidRPr="00D61F73">
              <w:rPr>
                <w:rFonts w:ascii="Arial" w:hAnsi="Arial" w:cs="Arial"/>
                <w:bCs/>
              </w:rPr>
              <w:t>) It is advised to avoid opioids due to possible addiction.</w:t>
            </w:r>
            <w:r w:rsidRPr="00D61F73">
              <w:rPr>
                <w:rFonts w:ascii="Arial" w:hAnsi="Arial" w:cs="Arial"/>
                <w:bCs/>
                <w:vertAlign w:val="superscript"/>
              </w:rPr>
              <w:t xml:space="preserve"> </w:t>
            </w:r>
            <w:r w:rsidRPr="00D61F73">
              <w:rPr>
                <w:rFonts w:ascii="Arial" w:hAnsi="Arial" w:cs="Arial"/>
                <w:bCs/>
              </w:rPr>
              <w:t xml:space="preserve">The FDA has approved the use of pregabalin (Lyrica®) for the treatment of DM. See also </w:t>
            </w:r>
            <w:hyperlink w:anchor="Duloxetine" w:history="1">
              <w:r w:rsidRPr="00D61F73">
                <w:rPr>
                  <w:rStyle w:val="Hyperlink"/>
                  <w:rFonts w:ascii="Arial" w:hAnsi="Arial" w:cs="Arial"/>
                  <w:bCs/>
                </w:rPr>
                <w:t>Duloxetine</w:t>
              </w:r>
            </w:hyperlink>
            <w:r w:rsidRPr="00D61F73">
              <w:rPr>
                <w:rFonts w:ascii="Arial" w:hAnsi="Arial" w:cs="Arial"/>
                <w:bCs/>
              </w:rPr>
              <w:t xml:space="preserve"> (Cymbalta®). </w:t>
            </w:r>
          </w:p>
        </w:tc>
      </w:tr>
      <w:tr w:rsidR="00E648FC" w:rsidRPr="00D61F73" w14:paraId="2F6CFF78" w14:textId="77777777" w:rsidTr="00E44DFD">
        <w:tc>
          <w:tcPr>
            <w:tcW w:w="1086" w:type="pct"/>
          </w:tcPr>
          <w:p w14:paraId="5F93CF9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D</w:t>
            </w:r>
            <w:bookmarkStart w:id="178" w:name="DiagnosticcriteriaforCRPS"/>
            <w:bookmarkEnd w:id="178"/>
            <w:r w:rsidRPr="00D61F73">
              <w:rPr>
                <w:rFonts w:ascii="Arial" w:hAnsi="Arial" w:cs="Arial"/>
              </w:rPr>
              <w:t>iagnostic criteria for CRPS</w:t>
            </w:r>
          </w:p>
        </w:tc>
        <w:tc>
          <w:tcPr>
            <w:tcW w:w="3914" w:type="pct"/>
          </w:tcPr>
          <w:p w14:paraId="448EA56C" w14:textId="77777777" w:rsidR="00E648FC" w:rsidRPr="00D61F73" w:rsidRDefault="00E648FC" w:rsidP="00D61F73">
            <w:pPr>
              <w:rPr>
                <w:rFonts w:ascii="Arial" w:hAnsi="Arial" w:cs="Arial"/>
              </w:rPr>
            </w:pPr>
            <w:r w:rsidRPr="00D61F73">
              <w:rPr>
                <w:rFonts w:ascii="Arial" w:hAnsi="Arial" w:cs="Arial"/>
              </w:rPr>
              <w:t xml:space="preserve">See </w:t>
            </w:r>
            <w:hyperlink w:anchor="CRPSdiagnosticcriteria" w:history="1">
              <w:r w:rsidRPr="00D61F73">
                <w:rPr>
                  <w:rStyle w:val="Hyperlink"/>
                  <w:rFonts w:ascii="Arial" w:hAnsi="Arial" w:cs="Arial"/>
                </w:rPr>
                <w:t>CRPS, diagnostic criteria</w:t>
              </w:r>
            </w:hyperlink>
            <w:r w:rsidRPr="00D61F73">
              <w:rPr>
                <w:rFonts w:ascii="Arial" w:hAnsi="Arial" w:cs="Arial"/>
              </w:rPr>
              <w:t>.</w:t>
            </w:r>
          </w:p>
        </w:tc>
      </w:tr>
      <w:tr w:rsidR="00E648FC" w:rsidRPr="00D61F73" w14:paraId="55CC8492" w14:textId="77777777" w:rsidTr="00E44DFD">
        <w:trPr>
          <w:trHeight w:val="60"/>
        </w:trPr>
        <w:tc>
          <w:tcPr>
            <w:tcW w:w="1086" w:type="pct"/>
          </w:tcPr>
          <w:p w14:paraId="0391734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79" w:name="Diazepam"/>
            <w:bookmarkEnd w:id="179"/>
            <w:r w:rsidRPr="00D61F73">
              <w:rPr>
                <w:rFonts w:ascii="Arial" w:hAnsi="Arial" w:cs="Arial"/>
              </w:rPr>
              <w:t>iazepam (Valium)</w:t>
            </w:r>
          </w:p>
        </w:tc>
        <w:tc>
          <w:tcPr>
            <w:tcW w:w="3914" w:type="pct"/>
          </w:tcPr>
          <w:p w14:paraId="7DFFB4EB" w14:textId="77777777" w:rsidR="00E648FC" w:rsidRPr="00D61F73" w:rsidRDefault="00E648FC"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0FF53082" w14:textId="77777777" w:rsidTr="0078164D">
        <w:tc>
          <w:tcPr>
            <w:tcW w:w="1086" w:type="pct"/>
          </w:tcPr>
          <w:p w14:paraId="2206AFC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0" w:name="Diclofenac"/>
            <w:bookmarkEnd w:id="180"/>
            <w:r w:rsidRPr="00D61F73">
              <w:rPr>
                <w:rFonts w:ascii="Arial" w:hAnsi="Arial" w:cs="Arial"/>
              </w:rPr>
              <w:t>iclofenac</w:t>
            </w:r>
          </w:p>
        </w:tc>
        <w:tc>
          <w:tcPr>
            <w:tcW w:w="3914" w:type="pct"/>
          </w:tcPr>
          <w:p w14:paraId="75923DDB" w14:textId="06EC0A6B" w:rsidR="00E648FC" w:rsidRPr="00D61F73" w:rsidRDefault="00E648FC" w:rsidP="00D61F73">
            <w:pPr>
              <w:rPr>
                <w:rFonts w:ascii="Arial" w:hAnsi="Arial" w:cs="Arial"/>
              </w:rPr>
            </w:pPr>
            <w:r w:rsidRPr="00D61F73">
              <w:rPr>
                <w:rFonts w:ascii="Arial" w:hAnsi="Arial" w:cs="Arial"/>
              </w:rPr>
              <w:t>Not recommended as first line due to increased risk profile. A large systematic review of available evidence on NSAIDs confirms that diclofenac, a widely used NSAID, poses an equivalent risk of cardiovascular events to patients as did rofecoxib (Vioxx), which was taken off the market. According to the authors, this is a significant issue and doctors should avoid diclofenac because it increases the risk by about 40%. For a patient who has a 5% to 10% risk of having a heart attack, that is a significant increase in absolute risk, particularly if there are other drugs that don't seem to have that risk. For people at very low risk, it may be an option. (</w:t>
            </w:r>
            <w:hyperlink w:anchor="McGettigan2011" w:history="1">
              <w:r w:rsidRPr="00D61F73">
                <w:rPr>
                  <w:rStyle w:val="Hyperlink"/>
                  <w:rFonts w:ascii="Arial" w:hAnsi="Arial" w:cs="Arial"/>
                </w:rPr>
                <w:t>McGettigan, 2011</w:t>
              </w:r>
            </w:hyperlink>
            <w:r w:rsidRPr="00D61F73">
              <w:rPr>
                <w:rFonts w:ascii="Arial" w:hAnsi="Arial" w:cs="Arial"/>
              </w:rPr>
              <w:t>) Another meta-analysis supported the substantially increased risk of stroke with diclofenac, further suggesting it not be a first-line NSAID. (</w:t>
            </w:r>
            <w:hyperlink w:anchor="VarasLorenzo2011" w:history="1">
              <w:r w:rsidRPr="00D61F73">
                <w:rPr>
                  <w:rStyle w:val="Hyperlink"/>
                  <w:rFonts w:ascii="Arial" w:hAnsi="Arial" w:cs="Arial"/>
                </w:rPr>
                <w:t>Varas-Lorenzo, 2011</w:t>
              </w:r>
            </w:hyperlink>
            <w:r w:rsidRPr="00D61F73">
              <w:rPr>
                <w:rFonts w:ascii="Arial" w:hAnsi="Arial" w:cs="Arial"/>
              </w:rPr>
              <w:t>) In this nationwide cohort study the traditional NSAID diclofenac was associated with the highest increased risk of death or recurrent myocardial infarction (hazard ratio, 3.26; 95% confidence interval, 2.57 to 3.86 for death/MI at day 1 to 7 of treatment) in patients with prior MI, an even higher cardiovascular risk than the selective COX-2 inhibitor rofecoxib, which was withdrawn from the market due to its unfavorable cardiovascular risk profile. (</w:t>
            </w:r>
            <w:hyperlink w:anchor="Schjerning2011" w:history="1">
              <w:r w:rsidRPr="00D61F73">
                <w:rPr>
                  <w:rStyle w:val="Hyperlink"/>
                  <w:rFonts w:ascii="Arial" w:hAnsi="Arial" w:cs="Arial"/>
                </w:rPr>
                <w:t>Schjerning, 2011</w:t>
              </w:r>
            </w:hyperlink>
            <w:r w:rsidRPr="00D61F73">
              <w:rPr>
                <w:rFonts w:ascii="Arial" w:hAnsi="Arial" w:cs="Arial"/>
              </w:rPr>
              <w:t>) According to FDA MedWatch, postmarketing surveillance of topical diclofenac has reported cases of severe hepatic reactions, including liver necrosis, jaundice, fulminant hepatitis with and without jaundice, and liver failure. Some of these reported cases resulted in fatalities or liver transplantation. If using diclofenac then consider discontinuing as it should only be used for the shortest duration possible in the lowest effective dose due to reported serious adverse events. Post marketing surveillance has revealed that treatment with all oral and topical diclofenac products may increase liver dysfunction, and use has resulted in liver failure and death. Physicians should measure transaminases periodically in patients receiving long-term therapy with diclofenac. (</w:t>
            </w:r>
            <w:hyperlink r:id="rId62" w:history="1">
              <w:r w:rsidRPr="00D61F73">
                <w:rPr>
                  <w:rStyle w:val="Hyperlink"/>
                  <w:rFonts w:ascii="Arial" w:hAnsi="Arial" w:cs="Arial"/>
                </w:rPr>
                <w:t>FDA, 2011</w:t>
              </w:r>
            </w:hyperlink>
            <w:r w:rsidRPr="00D61F73">
              <w:rPr>
                <w:rFonts w:ascii="Arial" w:hAnsi="Arial" w:cs="Arial"/>
              </w:rPr>
              <w:t>) In 2009 the FDA issued warnings about the potential for elevation in liver function tests during treatment with all products containing diclofenac sodium. (</w:t>
            </w:r>
            <w:hyperlink r:id="rId63" w:history="1">
              <w:r w:rsidRPr="00D61F73">
                <w:rPr>
                  <w:rStyle w:val="Hyperlink"/>
                  <w:rFonts w:ascii="Arial" w:hAnsi="Arial" w:cs="Arial"/>
                </w:rPr>
                <w:t>FDA, 2009</w:t>
              </w:r>
            </w:hyperlink>
            <w:r w:rsidRPr="00D61F73">
              <w:rPr>
                <w:rFonts w:ascii="Arial" w:hAnsi="Arial" w:cs="Arial"/>
              </w:rPr>
              <w:t>) With the lack of data to support superiority of diclofenac over other NSAIDs and the possible increased hepatic and cardiovascular risk associated with its use, alternative analgesics and/or nonpharmacological therapy should be considered. The AGS updated Beers criteria for inappropriate medication use includes diclofenac. (</w:t>
            </w:r>
            <w:hyperlink w:anchor="AGS2012" w:history="1">
              <w:r w:rsidRPr="00D61F73">
                <w:rPr>
                  <w:rStyle w:val="Hyperlink"/>
                  <w:rFonts w:ascii="Arial" w:hAnsi="Arial" w:cs="Arial"/>
                </w:rPr>
                <w:t>AGS, 2012</w:t>
              </w:r>
            </w:hyperlink>
            <w:r w:rsidRPr="00D61F73">
              <w:rPr>
                <w:rFonts w:ascii="Arial" w:hAnsi="Arial" w:cs="Arial"/>
              </w:rPr>
              <w:t xml:space="preserve">) Diclofenac is associated with a significantly increased risk of cardiovascular complications and should be removed from essential-medicines lists, according to a new review. The increased risk with diclofenac was similar to Vioxx, a drug withdrawn from worldwide markets because of cardiovascular toxicity. Rofecoxib, etoricoxib, and diclofenac were the </w:t>
            </w:r>
            <w:r w:rsidRPr="00D61F73">
              <w:rPr>
                <w:rFonts w:ascii="Arial" w:hAnsi="Arial" w:cs="Arial"/>
              </w:rPr>
              <w:lastRenderedPageBreak/>
              <w:t>three agents that were consistently associated with a significantly increased risk when compared with nonuse. With diclofenac even in small doses it increases the risk of cardiovascular events. They recommended naproxen as the NSAID of choice. (</w:t>
            </w:r>
            <w:hyperlink w:anchor="McGettigan2013" w:history="1">
              <w:r w:rsidRPr="00D61F73">
                <w:rPr>
                  <w:rStyle w:val="Hyperlink"/>
                  <w:rFonts w:ascii="Arial" w:hAnsi="Arial" w:cs="Arial"/>
                </w:rPr>
                <w:t>McGettigan, 2013</w:t>
              </w:r>
            </w:hyperlink>
            <w:r w:rsidRPr="00D61F73">
              <w:rPr>
                <w:rFonts w:ascii="Arial" w:hAnsi="Arial" w:cs="Arial"/>
              </w:rPr>
              <w:t xml:space="preserve">) See also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See also </w:t>
            </w:r>
            <w:hyperlink w:anchor="Zorvolex" w:history="1">
              <w:r w:rsidRPr="00D61F73">
                <w:rPr>
                  <w:rStyle w:val="Hyperlink"/>
                  <w:rFonts w:ascii="Arial" w:hAnsi="Arial" w:cs="Arial"/>
                </w:rPr>
                <w:t>Zorvolex</w:t>
              </w:r>
            </w:hyperlink>
            <w:r w:rsidRPr="00D61F73">
              <w:rPr>
                <w:rFonts w:ascii="Arial" w:hAnsi="Arial" w:cs="Arial"/>
              </w:rPr>
              <w:t xml:space="preserve"> (diclofenac).</w:t>
            </w:r>
          </w:p>
          <w:p w14:paraId="065BEF3A" w14:textId="77777777" w:rsidR="0078164D" w:rsidRPr="00D61F73" w:rsidRDefault="0078164D" w:rsidP="00D61F73">
            <w:pPr>
              <w:rPr>
                <w:rFonts w:ascii="Arial" w:hAnsi="Arial" w:cs="Arial"/>
              </w:rPr>
            </w:pPr>
          </w:p>
        </w:tc>
      </w:tr>
      <w:tr w:rsidR="00E648FC" w:rsidRPr="00D61F73" w14:paraId="5BBB3E46" w14:textId="77777777" w:rsidTr="0078164D">
        <w:tc>
          <w:tcPr>
            <w:tcW w:w="1086" w:type="pct"/>
          </w:tcPr>
          <w:p w14:paraId="4C5293B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D</w:t>
            </w:r>
            <w:bookmarkStart w:id="181" w:name="DiclofenacPotassium"/>
            <w:bookmarkEnd w:id="181"/>
            <w:r w:rsidRPr="00D61F73">
              <w:rPr>
                <w:rFonts w:ascii="Arial" w:hAnsi="Arial" w:cs="Arial"/>
              </w:rPr>
              <w:t>iclofenac potassium (Cataflam®)</w:t>
            </w:r>
          </w:p>
        </w:tc>
        <w:tc>
          <w:tcPr>
            <w:tcW w:w="3914" w:type="pct"/>
          </w:tcPr>
          <w:p w14:paraId="16F8A414" w14:textId="36063542" w:rsidR="00E648FC" w:rsidRPr="00D61F73" w:rsidRDefault="00E648FC" w:rsidP="00D61F73">
            <w:pPr>
              <w:rPr>
                <w:rFonts w:ascii="Arial" w:hAnsi="Arial" w:cs="Arial"/>
              </w:rPr>
            </w:pPr>
            <w:r w:rsidRPr="00D61F73">
              <w:rPr>
                <w:rFonts w:ascii="Arial" w:hAnsi="Arial" w:cs="Arial"/>
              </w:rPr>
              <w:t xml:space="preserve">Not recommend diclofenac as first line due to increased risk profile. See </w:t>
            </w:r>
            <w:hyperlink w:anchor="Diclofenac" w:history="1">
              <w:r w:rsidRPr="00D61F73">
                <w:rPr>
                  <w:rStyle w:val="Hyperlink"/>
                  <w:rFonts w:ascii="Arial" w:hAnsi="Arial" w:cs="Arial"/>
                </w:rPr>
                <w:t>Diclofenac</w:t>
              </w:r>
            </w:hyperlink>
            <w:r w:rsidRPr="00D61F73">
              <w:rPr>
                <w:rFonts w:ascii="Arial" w:hAnsi="Arial" w:cs="Arial"/>
              </w:rPr>
              <w:t xml:space="preserve"> listing. See also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DiclofenacPotassiumListing" w:history="1">
              <w:r w:rsidRPr="00D61F73">
                <w:rPr>
                  <w:rStyle w:val="Hyperlink"/>
                  <w:rFonts w:ascii="Arial" w:hAnsi="Arial" w:cs="Arial"/>
                </w:rPr>
                <w:t>Diclofenac Potassium</w:t>
              </w:r>
            </w:hyperlink>
            <w:r w:rsidRPr="00D61F73">
              <w:rPr>
                <w:rFonts w:ascii="Arial" w:hAnsi="Arial" w:cs="Arial"/>
              </w:rPr>
              <w:t xml:space="preserve"> (Cataflam®) listing for more information and references.</w:t>
            </w:r>
          </w:p>
        </w:tc>
      </w:tr>
      <w:tr w:rsidR="00E648FC" w:rsidRPr="00D61F73" w14:paraId="3204A666" w14:textId="77777777" w:rsidTr="0078164D">
        <w:tc>
          <w:tcPr>
            <w:tcW w:w="1086" w:type="pct"/>
          </w:tcPr>
          <w:p w14:paraId="3950E74F" w14:textId="77777777" w:rsidR="00E648FC" w:rsidRPr="00D61F73" w:rsidRDefault="00E648FC" w:rsidP="00D61F73">
            <w:pPr>
              <w:pStyle w:val="Footer"/>
              <w:tabs>
                <w:tab w:val="clear" w:pos="4320"/>
                <w:tab w:val="clear" w:pos="8640"/>
              </w:tabs>
              <w:rPr>
                <w:rFonts w:ascii="Arial" w:hAnsi="Arial" w:cs="Arial"/>
                <w:lang w:val="es-MX"/>
              </w:rPr>
            </w:pPr>
            <w:r w:rsidRPr="00D61F73">
              <w:rPr>
                <w:rFonts w:ascii="Arial" w:hAnsi="Arial" w:cs="Arial"/>
                <w:lang w:val="es-MX"/>
              </w:rPr>
              <w:t>D</w:t>
            </w:r>
            <w:bookmarkStart w:id="182" w:name="Diclofenacsodium"/>
            <w:bookmarkEnd w:id="182"/>
            <w:r w:rsidRPr="00D61F73">
              <w:rPr>
                <w:rFonts w:ascii="Arial" w:hAnsi="Arial" w:cs="Arial"/>
                <w:lang w:val="es-MX"/>
              </w:rPr>
              <w:t>iclofenac sodium (Voltaren®, Voltaren-XR®)</w:t>
            </w:r>
          </w:p>
        </w:tc>
        <w:tc>
          <w:tcPr>
            <w:tcW w:w="3914" w:type="pct"/>
          </w:tcPr>
          <w:p w14:paraId="6FC6A068" w14:textId="4977DE16" w:rsidR="00E648FC" w:rsidRPr="00D61F73" w:rsidRDefault="00E648FC" w:rsidP="00D61F73">
            <w:pPr>
              <w:rPr>
                <w:rFonts w:ascii="Arial" w:hAnsi="Arial" w:cs="Arial"/>
              </w:rPr>
            </w:pPr>
            <w:r w:rsidRPr="00D61F73">
              <w:rPr>
                <w:rFonts w:ascii="Arial" w:hAnsi="Arial" w:cs="Arial"/>
              </w:rPr>
              <w:t xml:space="preserve">Not recommend diclofenac as first line due to increased risk profile. See </w:t>
            </w:r>
            <w:hyperlink w:anchor="Diclofenac" w:history="1">
              <w:r w:rsidRPr="00D61F73">
                <w:rPr>
                  <w:rStyle w:val="Hyperlink"/>
                  <w:rFonts w:ascii="Arial" w:hAnsi="Arial" w:cs="Arial"/>
                </w:rPr>
                <w:t>Diclofenac</w:t>
              </w:r>
            </w:hyperlink>
            <w:r w:rsidRPr="00D61F73">
              <w:rPr>
                <w:rFonts w:ascii="Arial" w:hAnsi="Arial" w:cs="Arial"/>
              </w:rPr>
              <w:t xml:space="preserve"> listing. See also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DiclofenacSodiumListing" w:history="1">
              <w:r w:rsidRPr="00D61F73">
                <w:rPr>
                  <w:rStyle w:val="Hyperlink"/>
                  <w:rFonts w:ascii="Arial" w:hAnsi="Arial" w:cs="Arial"/>
                </w:rPr>
                <w:t>Diclofenac Sodium</w:t>
              </w:r>
            </w:hyperlink>
            <w:r w:rsidRPr="00D61F73">
              <w:rPr>
                <w:rFonts w:ascii="Arial" w:hAnsi="Arial" w:cs="Arial"/>
              </w:rPr>
              <w:t xml:space="preserve"> (Voltaren®, Voltaren-XR®) listing for more information and references, where the oral form had been </w:t>
            </w:r>
            <w:r w:rsidRPr="00D61F73">
              <w:rPr>
                <w:rFonts w:ascii="Arial" w:hAnsi="Arial" w:cs="Arial"/>
                <w:bCs/>
              </w:rPr>
              <w:t>recommended with cautions</w:t>
            </w:r>
            <w:r w:rsidRPr="00D61F73">
              <w:rPr>
                <w:rFonts w:ascii="Arial" w:hAnsi="Arial" w:cs="Arial"/>
              </w:rPr>
              <w:t xml:space="preserve">. See also </w:t>
            </w:r>
            <w:hyperlink w:anchor="Topicalanalgesics" w:history="1">
              <w:r w:rsidRPr="00D61F73">
                <w:rPr>
                  <w:rStyle w:val="Hyperlink"/>
                  <w:rFonts w:ascii="Arial" w:hAnsi="Arial" w:cs="Arial"/>
                </w:rPr>
                <w:t>Topical analgesics</w:t>
              </w:r>
            </w:hyperlink>
            <w:r w:rsidRPr="00D61F73">
              <w:rPr>
                <w:rFonts w:ascii="Arial" w:hAnsi="Arial" w:cs="Arial"/>
              </w:rPr>
              <w:t>, where Voltaren Gel is recommended for osteoarthritis after failure of an oral NSAID, or contraindications to oral NSAIDs, or for patients who cannot swallow solid oral dosage forms.</w:t>
            </w:r>
          </w:p>
        </w:tc>
      </w:tr>
      <w:tr w:rsidR="00E648FC" w:rsidRPr="00D61F73" w14:paraId="0D6AE964" w14:textId="77777777" w:rsidTr="0078164D">
        <w:tc>
          <w:tcPr>
            <w:tcW w:w="1086" w:type="pct"/>
          </w:tcPr>
          <w:p w14:paraId="7770713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3" w:name="Diclofenactopical"/>
            <w:bookmarkEnd w:id="183"/>
            <w:r w:rsidRPr="00D61F73">
              <w:rPr>
                <w:rFonts w:ascii="Arial" w:hAnsi="Arial" w:cs="Arial"/>
              </w:rPr>
              <w:t>iclofenac, topical (Flector®, Pennsaid®, Voltaren® Gel)</w:t>
            </w:r>
          </w:p>
        </w:tc>
        <w:tc>
          <w:tcPr>
            <w:tcW w:w="3914" w:type="pct"/>
          </w:tcPr>
          <w:p w14:paraId="2FB35259" w14:textId="4831DC10" w:rsidR="00E648FC" w:rsidRPr="00D61F73" w:rsidRDefault="00E648FC" w:rsidP="00D61F73">
            <w:pPr>
              <w:rPr>
                <w:rFonts w:ascii="Arial" w:hAnsi="Arial" w:cs="Arial"/>
              </w:rPr>
            </w:pPr>
            <w:r w:rsidRPr="00D61F73">
              <w:rPr>
                <w:rFonts w:ascii="Arial" w:hAnsi="Arial" w:cs="Arial"/>
              </w:rPr>
              <w:t xml:space="preserve">Not recommended as a first-line treatment, but recommended as an option for patients at risk of adverse effects from oral NSAIDs, after considering the increased risk profile with diclofenac. See specific topical diclofenac listings: </w:t>
            </w:r>
            <w:hyperlink w:anchor="Flectorpatch" w:history="1">
              <w:r w:rsidRPr="00D61F73">
                <w:rPr>
                  <w:rStyle w:val="Hyperlink"/>
                  <w:rFonts w:ascii="Arial" w:hAnsi="Arial" w:cs="Arial"/>
                  <w:bCs/>
                  <w:iCs/>
                </w:rPr>
                <w:t>Flector® patch</w:t>
              </w:r>
            </w:hyperlink>
            <w:r w:rsidRPr="00D61F73">
              <w:rPr>
                <w:rFonts w:ascii="Arial" w:hAnsi="Arial" w:cs="Arial"/>
                <w:bCs/>
                <w:iCs/>
              </w:rPr>
              <w:t xml:space="preserve"> (diclofenac epolamine);</w:t>
            </w:r>
            <w:r w:rsidRPr="00D61F73">
              <w:rPr>
                <w:rFonts w:ascii="Arial" w:hAnsi="Arial" w:cs="Arial"/>
              </w:rPr>
              <w:t xml:space="preserve"> </w:t>
            </w:r>
            <w:hyperlink w:anchor="Pennsaid" w:history="1">
              <w:r w:rsidRPr="00D61F73">
                <w:rPr>
                  <w:rStyle w:val="Hyperlink"/>
                  <w:rFonts w:ascii="Arial" w:hAnsi="Arial" w:cs="Arial"/>
                </w:rPr>
                <w:t>Pennsaid</w:t>
              </w:r>
            </w:hyperlink>
            <w:r w:rsidRPr="00D61F73">
              <w:rPr>
                <w:rFonts w:ascii="Arial" w:hAnsi="Arial" w:cs="Arial"/>
              </w:rPr>
              <w:t xml:space="preserve">® (diclofenac sodium topical solution); &amp; </w:t>
            </w:r>
            <w:hyperlink w:anchor="VoltarenGel" w:history="1">
              <w:r w:rsidRPr="00D61F73">
                <w:rPr>
                  <w:rStyle w:val="Hyperlink"/>
                  <w:rFonts w:ascii="Arial" w:hAnsi="Arial" w:cs="Arial"/>
                </w:rPr>
                <w:t>Voltaren® Gel</w:t>
              </w:r>
            </w:hyperlink>
            <w:r w:rsidRPr="00D61F73">
              <w:rPr>
                <w:rFonts w:ascii="Arial" w:hAnsi="Arial" w:cs="Arial"/>
              </w:rPr>
              <w:t xml:space="preserve"> (diclofenac). For more details, see also </w:t>
            </w:r>
            <w:hyperlink w:anchor="Topicalanalgesics" w:history="1">
              <w:r w:rsidRPr="00D61F73">
                <w:rPr>
                  <w:rStyle w:val="Hyperlink"/>
                  <w:rFonts w:ascii="Arial" w:hAnsi="Arial" w:cs="Arial"/>
                </w:rPr>
                <w:t>Topical analgesics</w:t>
              </w:r>
            </w:hyperlink>
            <w:r w:rsidRPr="00D61F73">
              <w:rPr>
                <w:rFonts w:ascii="Arial" w:hAnsi="Arial" w:cs="Arial"/>
              </w:rPr>
              <w:t xml:space="preserve">, </w:t>
            </w:r>
            <w:hyperlink w:anchor="Nonsteroidalantinflammatoryagents" w:history="1">
              <w:r w:rsidRPr="00D61F73">
                <w:rPr>
                  <w:rStyle w:val="Hyperlink"/>
                  <w:rFonts w:ascii="Arial" w:hAnsi="Arial" w:cs="Arial"/>
                </w:rPr>
                <w:t>Non-steroidal antinflammatory agents</w:t>
              </w:r>
            </w:hyperlink>
            <w:r w:rsidRPr="00D61F73">
              <w:rPr>
                <w:rFonts w:ascii="Arial" w:hAnsi="Arial" w:cs="Arial"/>
              </w:rPr>
              <w:t xml:space="preserve"> (NSAIDs), and the </w:t>
            </w:r>
            <w:hyperlink w:anchor="Topicalanalgesics" w:history="1">
              <w:r w:rsidRPr="00D077FE">
                <w:rPr>
                  <w:rStyle w:val="Hyperlink"/>
                  <w:rFonts w:ascii="Arial" w:hAnsi="Arial" w:cs="Arial"/>
                </w:rPr>
                <w:t>diclofenac topical</w:t>
              </w:r>
            </w:hyperlink>
            <w:r w:rsidRPr="00D61F73">
              <w:rPr>
                <w:rFonts w:ascii="Arial" w:hAnsi="Arial" w:cs="Arial"/>
              </w:rPr>
              <w:t xml:space="preserve"> listing.</w:t>
            </w:r>
          </w:p>
        </w:tc>
      </w:tr>
      <w:tr w:rsidR="00E648FC" w:rsidRPr="00D61F73" w14:paraId="0C34510B" w14:textId="77777777" w:rsidTr="0078164D">
        <w:tc>
          <w:tcPr>
            <w:tcW w:w="1086" w:type="pct"/>
          </w:tcPr>
          <w:p w14:paraId="598858A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4" w:name="Diflunisal"/>
            <w:bookmarkEnd w:id="184"/>
            <w:r w:rsidRPr="00D61F73">
              <w:rPr>
                <w:rFonts w:ascii="Arial" w:hAnsi="Arial" w:cs="Arial"/>
              </w:rPr>
              <w:t>iflunisal (Dolobid®)</w:t>
            </w:r>
          </w:p>
        </w:tc>
        <w:tc>
          <w:tcPr>
            <w:tcW w:w="3914" w:type="pct"/>
          </w:tcPr>
          <w:p w14:paraId="5EBCCDE9" w14:textId="4C6D8A77" w:rsidR="00E648FC" w:rsidRPr="00D61F73" w:rsidRDefault="00E648FC"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DiflunisalListing" w:history="1">
              <w:r w:rsidRPr="00D61F73">
                <w:rPr>
                  <w:rStyle w:val="Hyperlink"/>
                  <w:rFonts w:ascii="Arial" w:hAnsi="Arial" w:cs="Arial"/>
                </w:rPr>
                <w:t>Diflunisal</w:t>
              </w:r>
            </w:hyperlink>
            <w:r w:rsidRPr="00D61F73">
              <w:rPr>
                <w:rFonts w:ascii="Arial" w:hAnsi="Arial" w:cs="Arial"/>
              </w:rPr>
              <w:t xml:space="preserve"> (Dolobid®) listing for more information and references.</w:t>
            </w:r>
          </w:p>
        </w:tc>
      </w:tr>
      <w:tr w:rsidR="00E648FC" w:rsidRPr="00D61F73" w14:paraId="3D3D13F2" w14:textId="77777777" w:rsidTr="0078164D">
        <w:tc>
          <w:tcPr>
            <w:tcW w:w="1086" w:type="pct"/>
          </w:tcPr>
          <w:p w14:paraId="4E15CDF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5" w:name="DMSO"/>
            <w:bookmarkEnd w:id="185"/>
            <w:r w:rsidRPr="00D61F73">
              <w:rPr>
                <w:rFonts w:ascii="Arial" w:hAnsi="Arial" w:cs="Arial"/>
              </w:rPr>
              <w:t>MSO (dimethylsulfoxide)</w:t>
            </w:r>
          </w:p>
        </w:tc>
        <w:tc>
          <w:tcPr>
            <w:tcW w:w="3914" w:type="pct"/>
          </w:tcPr>
          <w:p w14:paraId="358B54B2" w14:textId="77777777" w:rsidR="00E648FC" w:rsidRPr="00D61F73" w:rsidRDefault="00E648FC" w:rsidP="00D61F73">
            <w:pPr>
              <w:rPr>
                <w:rFonts w:ascii="Arial" w:hAnsi="Arial" w:cs="Arial"/>
              </w:rPr>
            </w:pPr>
            <w:r w:rsidRPr="00D61F73">
              <w:rPr>
                <w:rFonts w:ascii="Arial" w:hAnsi="Arial" w:cs="Arial"/>
              </w:rPr>
              <w:t xml:space="preserve">See </w:t>
            </w:r>
            <w:hyperlink w:anchor="CRPSmedications" w:history="1">
              <w:r w:rsidRPr="00D61F73">
                <w:rPr>
                  <w:rStyle w:val="Hyperlink"/>
                  <w:rFonts w:ascii="Arial" w:hAnsi="Arial" w:cs="Arial"/>
                </w:rPr>
                <w:t>CRPS, medications</w:t>
              </w:r>
            </w:hyperlink>
            <w:r w:rsidRPr="00D61F73">
              <w:rPr>
                <w:rFonts w:ascii="Arial" w:hAnsi="Arial" w:cs="Arial"/>
              </w:rPr>
              <w:t>.</w:t>
            </w:r>
          </w:p>
        </w:tc>
      </w:tr>
      <w:tr w:rsidR="00E648FC" w:rsidRPr="00D61F73" w14:paraId="0C75B1BF" w14:textId="77777777" w:rsidTr="0078164D">
        <w:tc>
          <w:tcPr>
            <w:tcW w:w="1086" w:type="pct"/>
          </w:tcPr>
          <w:p w14:paraId="6B32F83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6" w:name="DNAtesting"/>
            <w:bookmarkEnd w:id="186"/>
            <w:r w:rsidRPr="00D61F73">
              <w:rPr>
                <w:rFonts w:ascii="Arial" w:hAnsi="Arial" w:cs="Arial"/>
              </w:rPr>
              <w:t>NA testing</w:t>
            </w:r>
          </w:p>
        </w:tc>
        <w:tc>
          <w:tcPr>
            <w:tcW w:w="3914" w:type="pct"/>
          </w:tcPr>
          <w:p w14:paraId="1D6A2763" w14:textId="77777777" w:rsidR="00E648FC" w:rsidRPr="00D61F73" w:rsidRDefault="00E648FC" w:rsidP="00D61F73">
            <w:pPr>
              <w:rPr>
                <w:rFonts w:ascii="Arial" w:hAnsi="Arial" w:cs="Arial"/>
              </w:rPr>
            </w:pPr>
            <w:r w:rsidRPr="00D61F73">
              <w:rPr>
                <w:rFonts w:ascii="Arial" w:hAnsi="Arial" w:cs="Arial"/>
              </w:rPr>
              <w:t xml:space="preserve">See </w:t>
            </w:r>
            <w:hyperlink w:anchor="CytokineDNAtesting" w:history="1">
              <w:r w:rsidRPr="00D61F73">
                <w:rPr>
                  <w:rStyle w:val="Hyperlink"/>
                  <w:rFonts w:ascii="Arial" w:hAnsi="Arial" w:cs="Arial"/>
                </w:rPr>
                <w:t>Cytokine DNA testing</w:t>
              </w:r>
            </w:hyperlink>
            <w:r w:rsidRPr="00D61F73">
              <w:rPr>
                <w:rFonts w:ascii="Arial" w:hAnsi="Arial" w:cs="Arial"/>
              </w:rPr>
              <w:t>.</w:t>
            </w:r>
          </w:p>
        </w:tc>
      </w:tr>
      <w:tr w:rsidR="00E648FC" w:rsidRPr="00D61F73" w14:paraId="1807CCAC" w14:textId="77777777" w:rsidTr="0078164D">
        <w:tc>
          <w:tcPr>
            <w:tcW w:w="1086" w:type="pct"/>
          </w:tcPr>
          <w:p w14:paraId="1A30A96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7" w:name="Donaglucosaminesulfate"/>
            <w:bookmarkEnd w:id="187"/>
            <w:r w:rsidRPr="00D61F73">
              <w:rPr>
                <w:rFonts w:ascii="Arial" w:hAnsi="Arial" w:cs="Arial"/>
              </w:rPr>
              <w:t>ona™ glucosamine sulfate</w:t>
            </w:r>
          </w:p>
        </w:tc>
        <w:tc>
          <w:tcPr>
            <w:tcW w:w="3914" w:type="pct"/>
          </w:tcPr>
          <w:p w14:paraId="57DEC288" w14:textId="77777777" w:rsidR="00E648FC" w:rsidRPr="00D61F73" w:rsidRDefault="00E648FC" w:rsidP="00D61F73">
            <w:pPr>
              <w:rPr>
                <w:rFonts w:ascii="Arial" w:hAnsi="Arial" w:cs="Arial"/>
              </w:rPr>
            </w:pPr>
            <w:r w:rsidRPr="00D61F73">
              <w:rPr>
                <w:rFonts w:ascii="Arial" w:hAnsi="Arial" w:cs="Arial"/>
              </w:rPr>
              <w:t xml:space="preserve">See </w:t>
            </w:r>
            <w:hyperlink w:anchor="Glucosamine" w:history="1">
              <w:r w:rsidRPr="00D61F73">
                <w:rPr>
                  <w:rStyle w:val="Hyperlink"/>
                  <w:rFonts w:ascii="Arial" w:hAnsi="Arial" w:cs="Arial"/>
                </w:rPr>
                <w:t>Glucosamine</w:t>
              </w:r>
            </w:hyperlink>
            <w:r w:rsidRPr="00D61F73">
              <w:rPr>
                <w:rFonts w:ascii="Arial" w:hAnsi="Arial" w:cs="Arial"/>
              </w:rPr>
              <w:t xml:space="preserve"> (and Chondroitin Sulfate). </w:t>
            </w:r>
          </w:p>
          <w:p w14:paraId="17D9C283" w14:textId="77777777" w:rsidR="00E648FC" w:rsidRPr="00D61F73" w:rsidRDefault="00E648FC" w:rsidP="00D61F73">
            <w:pPr>
              <w:rPr>
                <w:rFonts w:ascii="Arial" w:hAnsi="Arial" w:cs="Arial"/>
              </w:rPr>
            </w:pPr>
          </w:p>
        </w:tc>
      </w:tr>
      <w:tr w:rsidR="00E648FC" w:rsidRPr="00D61F73" w14:paraId="75928884" w14:textId="77777777" w:rsidTr="0078164D">
        <w:tc>
          <w:tcPr>
            <w:tcW w:w="1086" w:type="pct"/>
          </w:tcPr>
          <w:p w14:paraId="7E4394F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8" w:name="Dorsalcolumnstimulators"/>
            <w:bookmarkEnd w:id="188"/>
            <w:r w:rsidRPr="00D61F73">
              <w:rPr>
                <w:rFonts w:ascii="Arial" w:hAnsi="Arial" w:cs="Arial"/>
              </w:rPr>
              <w:t>orsal column stimulators</w:t>
            </w:r>
          </w:p>
        </w:tc>
        <w:tc>
          <w:tcPr>
            <w:tcW w:w="3914" w:type="pct"/>
          </w:tcPr>
          <w:p w14:paraId="01B771B9" w14:textId="77777777" w:rsidR="00E648FC" w:rsidRPr="00D61F73" w:rsidRDefault="00E648FC" w:rsidP="00D61F73">
            <w:pPr>
              <w:rPr>
                <w:rFonts w:ascii="Arial" w:hAnsi="Arial" w:cs="Arial"/>
              </w:rPr>
            </w:pPr>
            <w:r w:rsidRPr="00D61F73">
              <w:rPr>
                <w:rFonts w:ascii="Arial" w:hAnsi="Arial" w:cs="Arial"/>
              </w:rPr>
              <w:t xml:space="preserve">See </w:t>
            </w:r>
            <w:hyperlink w:anchor="SpinalCordStimulators" w:history="1">
              <w:r w:rsidRPr="00D61F73">
                <w:rPr>
                  <w:rStyle w:val="Hyperlink"/>
                  <w:rFonts w:ascii="Arial" w:hAnsi="Arial" w:cs="Arial"/>
                </w:rPr>
                <w:t>Spinal Cord Stimulators</w:t>
              </w:r>
            </w:hyperlink>
            <w:r w:rsidRPr="00D61F73">
              <w:rPr>
                <w:rFonts w:ascii="Arial" w:hAnsi="Arial" w:cs="Arial"/>
              </w:rPr>
              <w:t xml:space="preserve"> (SCS).</w:t>
            </w:r>
          </w:p>
        </w:tc>
      </w:tr>
      <w:tr w:rsidR="00E648FC" w:rsidRPr="00D61F73" w14:paraId="20D2B456" w14:textId="77777777" w:rsidTr="0078164D">
        <w:tc>
          <w:tcPr>
            <w:tcW w:w="1086" w:type="pct"/>
          </w:tcPr>
          <w:p w14:paraId="118C26A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89" w:name="Dronabinol"/>
            <w:bookmarkEnd w:id="189"/>
            <w:r w:rsidRPr="00D61F73">
              <w:rPr>
                <w:rFonts w:ascii="Arial" w:hAnsi="Arial" w:cs="Arial"/>
              </w:rPr>
              <w:t>ronabinol (Marinol)</w:t>
            </w:r>
          </w:p>
        </w:tc>
        <w:tc>
          <w:tcPr>
            <w:tcW w:w="3914" w:type="pct"/>
          </w:tcPr>
          <w:p w14:paraId="48B347B5" w14:textId="77777777" w:rsidR="00E648FC" w:rsidRPr="00D61F73" w:rsidRDefault="00E648FC" w:rsidP="00D61F73">
            <w:pPr>
              <w:rPr>
                <w:rFonts w:ascii="Arial" w:hAnsi="Arial" w:cs="Arial"/>
              </w:rPr>
            </w:pPr>
            <w:r w:rsidRPr="00D61F73">
              <w:rPr>
                <w:rFonts w:ascii="Arial" w:hAnsi="Arial" w:cs="Arial"/>
              </w:rPr>
              <w:t xml:space="preserve">Dronabinol is a synthetic THC (tetrahydrocannabinol). See </w:t>
            </w:r>
            <w:hyperlink w:anchor="Cannabinoids" w:history="1">
              <w:r w:rsidRPr="00D61F73">
                <w:rPr>
                  <w:rStyle w:val="Hyperlink"/>
                  <w:rFonts w:ascii="Arial" w:hAnsi="Arial" w:cs="Arial"/>
                </w:rPr>
                <w:t>Cannabinoids</w:t>
              </w:r>
            </w:hyperlink>
            <w:r w:rsidRPr="00D61F73">
              <w:rPr>
                <w:rFonts w:ascii="Arial" w:hAnsi="Arial" w:cs="Arial"/>
              </w:rPr>
              <w:t>.</w:t>
            </w:r>
          </w:p>
        </w:tc>
      </w:tr>
      <w:tr w:rsidR="00E648FC" w:rsidRPr="00D61F73" w14:paraId="3A2967B8" w14:textId="77777777" w:rsidTr="0078164D">
        <w:tc>
          <w:tcPr>
            <w:tcW w:w="1086" w:type="pct"/>
          </w:tcPr>
          <w:p w14:paraId="4E5D08F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90" w:name="Drugtesting"/>
            <w:bookmarkEnd w:id="190"/>
            <w:r w:rsidRPr="00D61F73">
              <w:rPr>
                <w:rFonts w:ascii="Arial" w:hAnsi="Arial" w:cs="Arial"/>
              </w:rPr>
              <w:t xml:space="preserve">rug testing </w:t>
            </w:r>
          </w:p>
        </w:tc>
        <w:tc>
          <w:tcPr>
            <w:tcW w:w="3914" w:type="pct"/>
          </w:tcPr>
          <w:p w14:paraId="0179D693" w14:textId="23456C4C" w:rsidR="00E648FC" w:rsidRPr="00D61F73" w:rsidRDefault="00C423F1" w:rsidP="00D61F73">
            <w:pPr>
              <w:rPr>
                <w:rFonts w:ascii="Arial" w:hAnsi="Arial" w:cs="Arial"/>
              </w:rPr>
            </w:pPr>
            <w:r w:rsidRPr="00D61F73">
              <w:rPr>
                <w:rFonts w:ascii="Arial" w:hAnsi="Arial" w:cs="Arial"/>
              </w:rPr>
              <w:t>See</w:t>
            </w:r>
            <w:r w:rsidR="00C15E4A" w:rsidRPr="00D61F73">
              <w:rPr>
                <w:rFonts w:ascii="Arial" w:hAnsi="Arial" w:cs="Arial"/>
              </w:rPr>
              <w:t xml:space="preserve"> </w:t>
            </w:r>
            <w:r w:rsidR="00B35721" w:rsidRPr="00D61F73">
              <w:rPr>
                <w:rFonts w:ascii="Arial" w:hAnsi="Arial" w:cs="Arial"/>
              </w:rPr>
              <w:t xml:space="preserve">MTUS Opioids Treatment Guidelines </w:t>
            </w:r>
            <w:r w:rsidR="00E648FC" w:rsidRPr="00D61F73">
              <w:rPr>
                <w:rFonts w:ascii="Arial" w:hAnsi="Arial" w:cs="Arial"/>
              </w:rPr>
              <w:t>for recommendations on urine drug testing.</w:t>
            </w:r>
          </w:p>
        </w:tc>
      </w:tr>
      <w:tr w:rsidR="00E648FC" w:rsidRPr="00D61F73" w14:paraId="1B536DC7" w14:textId="77777777" w:rsidTr="0078164D">
        <w:tc>
          <w:tcPr>
            <w:tcW w:w="1086" w:type="pct"/>
          </w:tcPr>
          <w:p w14:paraId="617CDF0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D</w:t>
            </w:r>
            <w:bookmarkStart w:id="191" w:name="Drugtherapy"/>
            <w:bookmarkEnd w:id="191"/>
            <w:r w:rsidRPr="00D61F73">
              <w:rPr>
                <w:rFonts w:ascii="Arial" w:hAnsi="Arial" w:cs="Arial"/>
              </w:rPr>
              <w:t>rug therapy</w:t>
            </w:r>
          </w:p>
        </w:tc>
        <w:tc>
          <w:tcPr>
            <w:tcW w:w="3914" w:type="pct"/>
          </w:tcPr>
          <w:p w14:paraId="76161F6D" w14:textId="77777777" w:rsidR="00E648FC" w:rsidRDefault="00E648FC" w:rsidP="00D61F73">
            <w:pPr>
              <w:rPr>
                <w:rFonts w:ascii="Arial" w:hAnsi="Arial" w:cs="Arial"/>
              </w:rPr>
            </w:pPr>
            <w:r w:rsidRPr="00D61F73">
              <w:rPr>
                <w:rFonts w:ascii="Arial" w:hAnsi="Arial" w:cs="Arial"/>
              </w:rPr>
              <w:t xml:space="preserve">See </w:t>
            </w:r>
            <w:hyperlink w:anchor="Medications" w:history="1">
              <w:r w:rsidRPr="00D61F73">
                <w:rPr>
                  <w:rStyle w:val="Hyperlink"/>
                  <w:rFonts w:ascii="Arial" w:hAnsi="Arial" w:cs="Arial"/>
                </w:rPr>
                <w:t>Medications</w:t>
              </w:r>
            </w:hyperlink>
            <w:r w:rsidRPr="00D61F73">
              <w:rPr>
                <w:rFonts w:ascii="Arial" w:hAnsi="Arial" w:cs="Arial"/>
              </w:rPr>
              <w:t>.</w:t>
            </w:r>
          </w:p>
          <w:p w14:paraId="0E84E50A" w14:textId="77777777" w:rsidR="005A27E3" w:rsidRPr="00D61F73" w:rsidRDefault="005A27E3" w:rsidP="00D61F73">
            <w:pPr>
              <w:rPr>
                <w:rFonts w:ascii="Arial" w:hAnsi="Arial" w:cs="Arial"/>
              </w:rPr>
            </w:pPr>
          </w:p>
        </w:tc>
      </w:tr>
      <w:tr w:rsidR="00E648FC" w:rsidRPr="00D61F73" w14:paraId="018C7A4F" w14:textId="77777777" w:rsidTr="0078164D">
        <w:tc>
          <w:tcPr>
            <w:tcW w:w="1086" w:type="pct"/>
          </w:tcPr>
          <w:p w14:paraId="6AA7272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92" w:name="Dryneedling"/>
            <w:bookmarkEnd w:id="192"/>
            <w:r w:rsidRPr="00D61F73">
              <w:rPr>
                <w:rFonts w:ascii="Arial" w:hAnsi="Arial" w:cs="Arial"/>
              </w:rPr>
              <w:t xml:space="preserve">ry needling </w:t>
            </w:r>
          </w:p>
        </w:tc>
        <w:tc>
          <w:tcPr>
            <w:tcW w:w="3914" w:type="pct"/>
          </w:tcPr>
          <w:p w14:paraId="29962EC1" w14:textId="61E54995" w:rsidR="00E648FC" w:rsidRPr="00D61F73" w:rsidRDefault="00E648FC" w:rsidP="00D61F73">
            <w:pPr>
              <w:rPr>
                <w:rFonts w:ascii="Arial" w:hAnsi="Arial" w:cs="Arial"/>
              </w:rPr>
            </w:pPr>
            <w:r w:rsidRPr="00D61F73">
              <w:rPr>
                <w:rFonts w:ascii="Arial" w:hAnsi="Arial" w:cs="Arial"/>
              </w:rPr>
              <w:t xml:space="preserve">The term dry needling, using solid needles for therapy, without an injectable liquid, is used in the context of acupuncture, trigger point injections, or percutaneous needle tenotomy. See </w:t>
            </w:r>
            <w:r w:rsidRPr="00690C0E">
              <w:rPr>
                <w:rFonts w:ascii="Arial" w:hAnsi="Arial" w:cs="Arial"/>
              </w:rPr>
              <w:t>Acupuncture</w:t>
            </w:r>
            <w:r w:rsidRPr="00D61F73">
              <w:rPr>
                <w:rFonts w:ascii="Arial" w:hAnsi="Arial" w:cs="Arial"/>
              </w:rPr>
              <w:t xml:space="preserve"> or </w:t>
            </w:r>
            <w:hyperlink w:anchor="Triggerpointinject" w:history="1">
              <w:r w:rsidRPr="00D61F73">
                <w:rPr>
                  <w:rStyle w:val="Hyperlink"/>
                  <w:rFonts w:ascii="Arial" w:hAnsi="Arial" w:cs="Arial"/>
                </w:rPr>
                <w:t>Trigger point injections</w:t>
              </w:r>
            </w:hyperlink>
            <w:r w:rsidRPr="00D61F73">
              <w:rPr>
                <w:rFonts w:ascii="Arial" w:hAnsi="Arial" w:cs="Arial"/>
              </w:rPr>
              <w:t xml:space="preserve"> (TPIs) in this </w:t>
            </w:r>
            <w:r w:rsidRPr="007208F9">
              <w:rPr>
                <w:rFonts w:ascii="Arial" w:hAnsi="Arial" w:cs="Arial"/>
              </w:rPr>
              <w:t xml:space="preserve">Chronic Pain </w:t>
            </w:r>
            <w:r w:rsidR="006B6518" w:rsidRPr="007208F9">
              <w:rPr>
                <w:rFonts w:ascii="Arial" w:hAnsi="Arial" w:cs="Arial"/>
              </w:rPr>
              <w:t>guideline</w:t>
            </w:r>
            <w:r w:rsidR="00844EF4" w:rsidRPr="007208F9">
              <w:rPr>
                <w:rFonts w:ascii="Arial" w:hAnsi="Arial" w:cs="Arial"/>
              </w:rPr>
              <w:t>s</w:t>
            </w:r>
            <w:r w:rsidRPr="00D61F73">
              <w:rPr>
                <w:rFonts w:ascii="Arial" w:hAnsi="Arial" w:cs="Arial"/>
              </w:rPr>
              <w:t xml:space="preserve"> or </w:t>
            </w:r>
            <w:r w:rsidRPr="00690C0E">
              <w:rPr>
                <w:rFonts w:ascii="Arial" w:hAnsi="Arial" w:cs="Arial"/>
              </w:rPr>
              <w:t>MTUS</w:t>
            </w:r>
            <w:r w:rsidR="002A4951" w:rsidRPr="00690C0E">
              <w:rPr>
                <w:rFonts w:ascii="Arial" w:hAnsi="Arial" w:cs="Arial"/>
              </w:rPr>
              <w:t xml:space="preserve"> Acupuncture Medical Treatment g</w:t>
            </w:r>
            <w:r w:rsidRPr="00690C0E">
              <w:rPr>
                <w:rFonts w:ascii="Arial" w:hAnsi="Arial" w:cs="Arial"/>
              </w:rPr>
              <w:t>uidelines</w:t>
            </w:r>
            <w:r w:rsidRPr="00D61F73">
              <w:rPr>
                <w:rFonts w:ascii="Arial" w:hAnsi="Arial" w:cs="Arial"/>
              </w:rPr>
              <w:t xml:space="preserve">.  </w:t>
            </w:r>
          </w:p>
        </w:tc>
      </w:tr>
      <w:tr w:rsidR="00E648FC" w:rsidRPr="00D61F73" w14:paraId="704F6E66" w14:textId="77777777" w:rsidTr="0078164D">
        <w:tc>
          <w:tcPr>
            <w:tcW w:w="1086" w:type="pct"/>
          </w:tcPr>
          <w:p w14:paraId="053CD42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93" w:name="Duexis"/>
            <w:bookmarkEnd w:id="193"/>
            <w:r w:rsidRPr="00D61F73">
              <w:rPr>
                <w:rFonts w:ascii="Arial" w:hAnsi="Arial" w:cs="Arial"/>
              </w:rPr>
              <w:t xml:space="preserve">uexis® (ibuprofen &amp; famotidine) </w:t>
            </w:r>
          </w:p>
        </w:tc>
        <w:tc>
          <w:tcPr>
            <w:tcW w:w="3914" w:type="pct"/>
          </w:tcPr>
          <w:p w14:paraId="09A3E9DD" w14:textId="47A1A466" w:rsidR="00E648FC" w:rsidRPr="00D61F73" w:rsidRDefault="00E648FC" w:rsidP="00D61F73">
            <w:pPr>
              <w:rPr>
                <w:rFonts w:ascii="Arial" w:hAnsi="Arial" w:cs="Arial"/>
              </w:rPr>
            </w:pPr>
            <w:r w:rsidRPr="00D61F73">
              <w:rPr>
                <w:rFonts w:ascii="Arial" w:hAnsi="Arial" w:cs="Arial"/>
              </w:rPr>
              <w:t>Not recommended as a first-line drug. Horizon Pharma recently announced the launch of Duexis, a combination of ibuprofen 800 mg and famotidine 26.6 mg, indicated for rheumatoid arthritis and osteoarthritis. (</w:t>
            </w:r>
            <w:hyperlink r:id="rId64" w:history="1">
              <w:r w:rsidRPr="00D61F73">
                <w:rPr>
                  <w:rStyle w:val="Hyperlink"/>
                  <w:rFonts w:ascii="Arial" w:hAnsi="Arial" w:cs="Arial"/>
                </w:rPr>
                <w:t>FDA, 2012</w:t>
              </w:r>
            </w:hyperlink>
            <w:r w:rsidRPr="00D61F73">
              <w:rPr>
                <w:rFonts w:ascii="Arial" w:hAnsi="Arial" w:cs="Arial"/>
              </w:rPr>
              <w:t xml:space="preserve">) Ibuprofen (eg, Motrin, Advil) and famotidine (eg, Pepcid) are also available in multiple strengths OTC, and other strategies are recommended to prevent stomach ulcers in patients taking NSAIDS. See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where </w:t>
            </w:r>
            <w:hyperlink w:anchor="Protonpumpinhibitors" w:history="1">
              <w:r w:rsidRPr="00D61F73">
                <w:rPr>
                  <w:rStyle w:val="Hyperlink"/>
                  <w:rFonts w:ascii="Arial" w:hAnsi="Arial" w:cs="Arial"/>
                </w:rPr>
                <w:t>Proton pump inhibitors</w:t>
              </w:r>
            </w:hyperlink>
            <w:r w:rsidRPr="00D61F73">
              <w:rPr>
                <w:rFonts w:ascii="Arial" w:hAnsi="Arial" w:cs="Arial"/>
              </w:rPr>
              <w:t xml:space="preserve"> (PPIs) are recommended. With less benefit and higher cost, using Duexis as a first-line therapy is not justified.</w:t>
            </w:r>
          </w:p>
        </w:tc>
      </w:tr>
      <w:tr w:rsidR="00E648FC" w:rsidRPr="00D61F73" w14:paraId="122F5060" w14:textId="77777777" w:rsidTr="0078164D">
        <w:tc>
          <w:tcPr>
            <w:tcW w:w="1086" w:type="pct"/>
          </w:tcPr>
          <w:p w14:paraId="324B38F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94" w:name="Duloxetine"/>
            <w:bookmarkEnd w:id="194"/>
            <w:r w:rsidRPr="00D61F73">
              <w:rPr>
                <w:rFonts w:ascii="Arial" w:hAnsi="Arial" w:cs="Arial"/>
              </w:rPr>
              <w:t xml:space="preserve">uloxetine (Cymbalta®) </w:t>
            </w:r>
          </w:p>
        </w:tc>
        <w:tc>
          <w:tcPr>
            <w:tcW w:w="3914" w:type="pct"/>
          </w:tcPr>
          <w:p w14:paraId="0AD46B91" w14:textId="57ABD459" w:rsidR="00E648FC" w:rsidRPr="00D61F73" w:rsidRDefault="00E648FC" w:rsidP="00D61F73">
            <w:pPr>
              <w:rPr>
                <w:rFonts w:ascii="Arial" w:hAnsi="Arial" w:cs="Arial"/>
              </w:rPr>
            </w:pPr>
            <w:r w:rsidRPr="00D61F73">
              <w:rPr>
                <w:rFonts w:ascii="Arial" w:hAnsi="Arial" w:cs="Arial"/>
              </w:rPr>
              <w:t>Recommended as an option in first-line treatment of neuropathic pain. Duloxetine (Cymbalta®) is a norepinephrine and serotonin reuptake inhibitor antidepressant (SNRIs). It has FDA approval for treatment of depression, generalized anxiety disorder, and for the treatment of pain related to diabetic neuropathy, with effect found to be significant by the end of week 1 (effect measured as a 30% reduction in baseline pain). The starting dose is 20-60 mg/day, and no advantage has been found by increasing the dose to twice a day, except in fibromyalgia. The medication has been found to be effective for treating fibromyalgia in women with and without depression, 60 mg once or twice daily. (</w:t>
            </w:r>
            <w:hyperlink w:anchor="Arnold2" w:history="1">
              <w:r w:rsidRPr="00D61F73">
                <w:rPr>
                  <w:rStyle w:val="Hyperlink"/>
                  <w:rFonts w:ascii="Arial" w:hAnsi="Arial" w:cs="Arial"/>
                </w:rPr>
                <w:t>Arnold, 2005</w:t>
              </w:r>
            </w:hyperlink>
            <w:r w:rsidRPr="00D61F73">
              <w:rPr>
                <w:rFonts w:ascii="Arial" w:hAnsi="Arial" w:cs="Arial"/>
              </w:rPr>
              <w:t xml:space="preserve">) The most frequent side effects include nausea, dizziness and fatigue. GI symptoms are more common early in treatment. The side effect profile of Duloxetine is thought to be less bothersome to patients than that of tricyclic antidepressants. Note: On October 17, 2005, Eli Lilly and the U.S. Food and Drug Administration (FDA) notified healthcare professionals of revision to the PRECAUTIONS/Hepatotoxicity section of the prescribing information for Cymbalta. Postmarketing reports of hepatic injury (including hepatitis and cholestatic jaundice) suggest that patients with preexisting liver disease who take duloxetine may have an increased risk for further liver damage. The new labeling extends the Precaution against using Cymbalta in patients with substantial alcohol use to include those patients with chronic liver disease. It is recommended that Cymbalta not be administered to patients with hepatic insufficiency. See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for general guidelines, as well as specific </w:t>
            </w:r>
            <w:hyperlink w:anchor="DuloxetineListing" w:history="1">
              <w:r w:rsidRPr="00D61F73">
                <w:rPr>
                  <w:rStyle w:val="Hyperlink"/>
                  <w:rFonts w:ascii="Arial" w:hAnsi="Arial" w:cs="Arial"/>
                </w:rPr>
                <w:t>Duloxetine</w:t>
              </w:r>
            </w:hyperlink>
            <w:r w:rsidRPr="00D61F73">
              <w:rPr>
                <w:rFonts w:ascii="Arial" w:hAnsi="Arial" w:cs="Arial"/>
              </w:rPr>
              <w:t xml:space="preserve"> listing for more information and references. On June 13, 2008, the FDA approved a new indication for duloxetine HCl delayed-release capsules (Cymbalta®; Eli Lilly and Company) for the management of fibromyalgia in adults. The FDA notes that although duloxetine was effective for reducing pain in patients with and without major depressive disorder, the degree of pain relief may have been greater in those with comorbid depression. Treatment of fibromyalgia with duloxetine should be initiated at 30 mg/day for 1 week and then uptitrated to the recommended 60-mg dose. (</w:t>
            </w:r>
            <w:hyperlink w:anchor="Waknine" w:history="1">
              <w:r w:rsidRPr="00D61F73">
                <w:rPr>
                  <w:rStyle w:val="Hyperlink"/>
                  <w:rFonts w:ascii="Arial" w:hAnsi="Arial" w:cs="Arial"/>
                </w:rPr>
                <w:t>Waknine, 2008</w:t>
              </w:r>
            </w:hyperlink>
            <w:r w:rsidRPr="00D61F73">
              <w:rPr>
                <w:rFonts w:ascii="Arial" w:hAnsi="Arial" w:cs="Arial"/>
              </w:rPr>
              <w:t xml:space="preserve">) Note: This drug was recently included in a list of 20 </w:t>
            </w:r>
            <w:r w:rsidRPr="00D61F73">
              <w:rPr>
                <w:rFonts w:ascii="Arial" w:hAnsi="Arial" w:cs="Arial"/>
              </w:rPr>
              <w:lastRenderedPageBreak/>
              <w:t>medications identified by the FDA's Adverse Event Reporting System, that are under FDA investigation. (</w:t>
            </w:r>
            <w:hyperlink w:anchor="FDA3" w:history="1">
              <w:r w:rsidRPr="00D61F73">
                <w:rPr>
                  <w:rStyle w:val="Hyperlink"/>
                  <w:rFonts w:ascii="Arial" w:hAnsi="Arial" w:cs="Arial"/>
                </w:rPr>
                <w:t>FDA, 2008</w:t>
              </w:r>
            </w:hyperlink>
            <w:r w:rsidRPr="00D61F73">
              <w:rPr>
                <w:rFonts w:ascii="Arial" w:hAnsi="Arial" w:cs="Arial"/>
              </w:rPr>
              <w:t>) An FDA panel broadened the indication to include the treatment of chronic pain. (</w:t>
            </w:r>
            <w:hyperlink r:id="rId65" w:history="1">
              <w:r w:rsidRPr="00D61F73">
                <w:rPr>
                  <w:rStyle w:val="Hyperlink"/>
                  <w:rFonts w:ascii="Arial" w:hAnsi="Arial" w:cs="Arial"/>
                </w:rPr>
                <w:t>FDA, 2010</w:t>
              </w:r>
            </w:hyperlink>
            <w:r w:rsidRPr="00D61F73">
              <w:rPr>
                <w:rFonts w:ascii="Arial" w:hAnsi="Arial" w:cs="Arial"/>
              </w:rPr>
              <w:t>) Regulatory approval followed a positive vote regarding the use of duloxetine to treat chronic low back pain, but the committee did not express the same confidence in the drug's usefulness as a treatment for osteoarthritis. Despite this,  duloxetine has been approved for both chronic low back pain and osteoarthritis. The recommended dose is 60 mg daily. Duloxetine delayed-release capsules previously were approved for the treatment of major depressive disorder, generalized anxiety disorder, diabetic peripheral neuropathic pain, and fibromyalgia. (</w:t>
            </w:r>
            <w:hyperlink r:id="rId66" w:history="1">
              <w:r w:rsidRPr="00D61F73">
                <w:rPr>
                  <w:rStyle w:val="Hyperlink"/>
                  <w:rFonts w:ascii="Arial" w:hAnsi="Arial" w:cs="Arial"/>
                </w:rPr>
                <w:t>FDA2, 2010</w:t>
              </w:r>
            </w:hyperlink>
            <w:r w:rsidRPr="00D61F73">
              <w:rPr>
                <w:rFonts w:ascii="Arial" w:hAnsi="Arial" w:cs="Arial"/>
              </w:rPr>
              <w:t xml:space="preserve">) See </w:t>
            </w:r>
            <w:r w:rsidRPr="008B39CC">
              <w:rPr>
                <w:rFonts w:ascii="Arial" w:hAnsi="Arial" w:cs="Arial"/>
              </w:rPr>
              <w:t>MTUS Low Back Complaints</w:t>
            </w:r>
            <w:r w:rsidRPr="00D61F73">
              <w:rPr>
                <w:rFonts w:ascii="Arial" w:hAnsi="Arial" w:cs="Arial"/>
              </w:rPr>
              <w:t xml:space="preserve">. </w:t>
            </w:r>
          </w:p>
        </w:tc>
      </w:tr>
      <w:tr w:rsidR="00E648FC" w:rsidRPr="00D61F73" w14:paraId="707E4316" w14:textId="77777777" w:rsidTr="0078164D">
        <w:tc>
          <w:tcPr>
            <w:tcW w:w="1086" w:type="pct"/>
          </w:tcPr>
          <w:p w14:paraId="3C2B3D4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D</w:t>
            </w:r>
            <w:bookmarkStart w:id="195" w:name="Duragesic"/>
            <w:bookmarkEnd w:id="195"/>
            <w:r w:rsidRPr="00D61F73">
              <w:rPr>
                <w:rFonts w:ascii="Arial" w:hAnsi="Arial" w:cs="Arial"/>
              </w:rPr>
              <w:t xml:space="preserve">uragesic® (fentanyl transdermal system) </w:t>
            </w:r>
          </w:p>
          <w:p w14:paraId="61DAB4CB" w14:textId="77777777" w:rsidR="00E648FC" w:rsidRPr="00D61F73" w:rsidRDefault="00E648FC" w:rsidP="00D61F73">
            <w:pPr>
              <w:pStyle w:val="Footer"/>
              <w:tabs>
                <w:tab w:val="clear" w:pos="4320"/>
                <w:tab w:val="clear" w:pos="8640"/>
              </w:tabs>
              <w:rPr>
                <w:rFonts w:ascii="Arial" w:hAnsi="Arial" w:cs="Arial"/>
              </w:rPr>
            </w:pPr>
          </w:p>
          <w:p w14:paraId="1E56AE15"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Pr>
          <w:p w14:paraId="7E612967" w14:textId="3A71DEAB" w:rsidR="00E648FC" w:rsidRPr="00D61F73" w:rsidRDefault="0061527A" w:rsidP="00D61F73">
            <w:pPr>
              <w:rPr>
                <w:rFonts w:ascii="Arial" w:hAnsi="Arial" w:cs="Arial"/>
              </w:rPr>
            </w:pPr>
            <w:r w:rsidRPr="00D61F73">
              <w:rPr>
                <w:rFonts w:ascii="Arial" w:hAnsi="Arial" w:cs="Arial"/>
              </w:rPr>
              <w:t xml:space="preserve">See </w:t>
            </w:r>
            <w:r w:rsidR="00322F50" w:rsidRPr="00D61F73">
              <w:rPr>
                <w:rFonts w:ascii="Arial" w:hAnsi="Arial" w:cs="Arial"/>
              </w:rPr>
              <w:t>MTUS Opioids Treatment Guidelines</w:t>
            </w:r>
            <w:r w:rsidRPr="00D61F73">
              <w:rPr>
                <w:rFonts w:ascii="Arial" w:hAnsi="Arial" w:cs="Arial"/>
                <w:bCs/>
              </w:rPr>
              <w:t xml:space="preserve">. </w:t>
            </w:r>
            <w:r w:rsidR="00E616F2" w:rsidRPr="00D61F73">
              <w:rPr>
                <w:rFonts w:ascii="Arial" w:hAnsi="Arial" w:cs="Arial"/>
              </w:rPr>
              <w:t xml:space="preserve"> </w:t>
            </w:r>
            <w:r w:rsidR="00E648FC" w:rsidRPr="00D61F73">
              <w:rPr>
                <w:rFonts w:ascii="Arial" w:hAnsi="Arial" w:cs="Arial"/>
              </w:rPr>
              <w:t>Duragesic is the trade name of a fentanyl transdermal therapeutic system, which releases fentanyl, a potent opioid, slowly through the skin. It is manufactured by ALZA Corporation and marketed by Janssen Pharmaceutica (both subsidiaries of Johnson &amp; Johnson). The FDA-approved product labeling states that Duragesic is indicated in the management of chronic pain in patients who require continuous opioid analgesia for pain that cannot be managed by other means. Due to the significant side effects, not for use in routine musculoskeletal pain. The FDA will require color changes to the writing that appears on fentanyl pain patches (Duragesic and generics) so they can be seen more easily and to emphasize that unintended exposure can cause death. (</w:t>
            </w:r>
            <w:hyperlink r:id="rId67" w:history="1">
              <w:r w:rsidR="00E648FC" w:rsidRPr="00D61F73">
                <w:rPr>
                  <w:rStyle w:val="Hyperlink"/>
                  <w:rFonts w:ascii="Arial" w:hAnsi="Arial" w:cs="Arial"/>
                </w:rPr>
                <w:t>FDA, 2013</w:t>
              </w:r>
            </w:hyperlink>
            <w:r w:rsidR="00E648FC" w:rsidRPr="00D61F73">
              <w:rPr>
                <w:rFonts w:ascii="Arial" w:hAnsi="Arial" w:cs="Arial"/>
              </w:rPr>
              <w:t xml:space="preserve">) This is part of an effort to prevent accidental exposure to the patches, which can cause serious harm and death in children, pets, and others. </w:t>
            </w:r>
            <w:hyperlink r:id="rId68" w:history="1">
              <w:r w:rsidR="00E648FC" w:rsidRPr="00D61F73">
                <w:rPr>
                  <w:rStyle w:val="Hyperlink"/>
                  <w:rFonts w:ascii="Arial" w:hAnsi="Arial" w:cs="Arial"/>
                </w:rPr>
                <w:t>(FDA, 2013</w:t>
              </w:r>
            </w:hyperlink>
            <w:r w:rsidR="00E648FC" w:rsidRPr="00D61F73">
              <w:rPr>
                <w:rFonts w:ascii="Arial" w:hAnsi="Arial" w:cs="Arial"/>
              </w:rPr>
              <w:t xml:space="preserve">) See </w:t>
            </w:r>
            <w:hyperlink w:anchor="Fentanyl" w:history="1">
              <w:r w:rsidR="00E648FC" w:rsidRPr="00D61F73">
                <w:rPr>
                  <w:rStyle w:val="Hyperlink"/>
                  <w:rFonts w:ascii="Arial" w:hAnsi="Arial" w:cs="Arial"/>
                </w:rPr>
                <w:t>Fentanyl</w:t>
              </w:r>
            </w:hyperlink>
            <w:r w:rsidR="00E648FC" w:rsidRPr="00D61F73">
              <w:rPr>
                <w:rFonts w:ascii="Arial" w:hAnsi="Arial" w:cs="Arial"/>
              </w:rPr>
              <w:t xml:space="preserve">.  </w:t>
            </w:r>
          </w:p>
        </w:tc>
      </w:tr>
      <w:tr w:rsidR="00E648FC" w:rsidRPr="00D61F73" w14:paraId="58561505" w14:textId="77777777" w:rsidTr="0078164D">
        <w:tc>
          <w:tcPr>
            <w:tcW w:w="1086" w:type="pct"/>
          </w:tcPr>
          <w:p w14:paraId="36E087C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96" w:name="DynatronSTS"/>
            <w:bookmarkEnd w:id="196"/>
            <w:r w:rsidRPr="00D61F73">
              <w:rPr>
                <w:rFonts w:ascii="Arial" w:hAnsi="Arial" w:cs="Arial"/>
              </w:rPr>
              <w:t>ynatron STS</w:t>
            </w:r>
          </w:p>
        </w:tc>
        <w:tc>
          <w:tcPr>
            <w:tcW w:w="3914" w:type="pct"/>
          </w:tcPr>
          <w:p w14:paraId="5EC5763E" w14:textId="1F2CB7A5" w:rsidR="00E648FC" w:rsidRPr="00D61F73" w:rsidRDefault="00E648FC" w:rsidP="00D61F73">
            <w:pPr>
              <w:rPr>
                <w:rFonts w:ascii="Arial" w:hAnsi="Arial" w:cs="Arial"/>
              </w:rPr>
            </w:pPr>
            <w:r w:rsidRPr="00D61F73">
              <w:rPr>
                <w:rFonts w:ascii="Arial" w:hAnsi="Arial" w:cs="Arial"/>
              </w:rPr>
              <w:t xml:space="preserve">See </w:t>
            </w:r>
            <w:hyperlink w:anchor="Sympathetictherapy" w:history="1">
              <w:r w:rsidRPr="00D61F73">
                <w:rPr>
                  <w:rStyle w:val="Hyperlink"/>
                  <w:rFonts w:ascii="Arial" w:hAnsi="Arial" w:cs="Arial"/>
                </w:rPr>
                <w:t>Sympathetic therapy</w:t>
              </w:r>
            </w:hyperlink>
            <w:r w:rsidRPr="00D61F73">
              <w:rPr>
                <w:rFonts w:ascii="Arial" w:hAnsi="Arial" w:cs="Arial"/>
              </w:rPr>
              <w:t>.</w:t>
            </w:r>
          </w:p>
        </w:tc>
      </w:tr>
      <w:tr w:rsidR="00E648FC" w:rsidRPr="00D61F73" w14:paraId="4594F20E" w14:textId="77777777" w:rsidTr="0078164D">
        <w:tc>
          <w:tcPr>
            <w:tcW w:w="1086" w:type="pct"/>
          </w:tcPr>
          <w:p w14:paraId="79713B4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D</w:t>
            </w:r>
            <w:bookmarkStart w:id="197" w:name="Dysport"/>
            <w:bookmarkEnd w:id="197"/>
            <w:r w:rsidRPr="00D61F73">
              <w:rPr>
                <w:rFonts w:ascii="Arial" w:hAnsi="Arial" w:cs="Arial"/>
              </w:rPr>
              <w:t>ysport</w:t>
            </w:r>
          </w:p>
        </w:tc>
        <w:tc>
          <w:tcPr>
            <w:tcW w:w="3914" w:type="pct"/>
          </w:tcPr>
          <w:p w14:paraId="07FB0FAC" w14:textId="77777777" w:rsidR="00E648FC" w:rsidRPr="00D61F73" w:rsidRDefault="00E648FC" w:rsidP="00D61F73">
            <w:pPr>
              <w:rPr>
                <w:rFonts w:ascii="Arial" w:hAnsi="Arial" w:cs="Arial"/>
              </w:rPr>
            </w:pPr>
            <w:r w:rsidRPr="00D61F73">
              <w:rPr>
                <w:rFonts w:ascii="Arial" w:hAnsi="Arial" w:cs="Arial"/>
              </w:rPr>
              <w:t xml:space="preserve">See </w:t>
            </w:r>
            <w:hyperlink w:anchor="Botulinumtoxin" w:history="1">
              <w:r w:rsidRPr="00D61F73">
                <w:rPr>
                  <w:rStyle w:val="Hyperlink"/>
                  <w:rFonts w:ascii="Arial" w:hAnsi="Arial" w:cs="Arial"/>
                </w:rPr>
                <w:t>Botulinum toxin</w:t>
              </w:r>
            </w:hyperlink>
            <w:r w:rsidRPr="00D61F73">
              <w:rPr>
                <w:rFonts w:ascii="Arial" w:hAnsi="Arial" w:cs="Arial"/>
              </w:rPr>
              <w:t>.</w:t>
            </w:r>
          </w:p>
        </w:tc>
      </w:tr>
      <w:tr w:rsidR="00E648FC" w:rsidRPr="00D61F73" w14:paraId="423D5A45" w14:textId="77777777" w:rsidTr="0078164D">
        <w:tc>
          <w:tcPr>
            <w:tcW w:w="1086" w:type="pct"/>
          </w:tcPr>
          <w:p w14:paraId="7E16E23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198" w:name="Earacupuncture"/>
            <w:bookmarkEnd w:id="198"/>
            <w:r w:rsidRPr="00D61F73">
              <w:rPr>
                <w:rFonts w:ascii="Arial" w:hAnsi="Arial" w:cs="Arial"/>
              </w:rPr>
              <w:t>ar-acupuncture</w:t>
            </w:r>
          </w:p>
        </w:tc>
        <w:tc>
          <w:tcPr>
            <w:tcW w:w="3914" w:type="pct"/>
          </w:tcPr>
          <w:p w14:paraId="4EF25896" w14:textId="77777777" w:rsidR="00E648FC" w:rsidRPr="00D61F73" w:rsidRDefault="00E648FC" w:rsidP="00D61F73">
            <w:pPr>
              <w:rPr>
                <w:rFonts w:ascii="Arial" w:hAnsi="Arial" w:cs="Arial"/>
              </w:rPr>
            </w:pPr>
            <w:r w:rsidRPr="00D61F73">
              <w:rPr>
                <w:rFonts w:ascii="Arial" w:hAnsi="Arial" w:cs="Arial"/>
              </w:rPr>
              <w:t xml:space="preserve">See </w:t>
            </w:r>
            <w:hyperlink w:anchor="Auricularelectroacupuncture" w:history="1">
              <w:r w:rsidRPr="00D61F73">
                <w:rPr>
                  <w:rStyle w:val="Hyperlink"/>
                  <w:rFonts w:ascii="Arial" w:hAnsi="Arial" w:cs="Arial"/>
                </w:rPr>
                <w:t>Auricular electroacupuncture</w:t>
              </w:r>
            </w:hyperlink>
            <w:r w:rsidRPr="00D61F73">
              <w:rPr>
                <w:rFonts w:ascii="Arial" w:hAnsi="Arial" w:cs="Arial"/>
              </w:rPr>
              <w:t>.</w:t>
            </w:r>
          </w:p>
        </w:tc>
      </w:tr>
      <w:tr w:rsidR="00E648FC" w:rsidRPr="00D61F73" w14:paraId="508366F9" w14:textId="77777777" w:rsidTr="0078164D">
        <w:tc>
          <w:tcPr>
            <w:tcW w:w="1086" w:type="pct"/>
          </w:tcPr>
          <w:p w14:paraId="46BCD27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199" w:name="Education"/>
            <w:bookmarkEnd w:id="199"/>
            <w:r w:rsidRPr="00D61F73">
              <w:rPr>
                <w:rFonts w:ascii="Arial" w:hAnsi="Arial" w:cs="Arial"/>
              </w:rPr>
              <w:t xml:space="preserve">ducation </w:t>
            </w:r>
          </w:p>
        </w:tc>
        <w:tc>
          <w:tcPr>
            <w:tcW w:w="3914" w:type="pct"/>
          </w:tcPr>
          <w:p w14:paraId="54E42C46" w14:textId="77777777" w:rsidR="00E648FC" w:rsidRPr="00D61F73" w:rsidRDefault="00E648FC" w:rsidP="00D61F73">
            <w:pPr>
              <w:rPr>
                <w:rFonts w:ascii="Arial" w:hAnsi="Arial" w:cs="Arial"/>
              </w:rPr>
            </w:pPr>
            <w:r w:rsidRPr="00D61F73">
              <w:rPr>
                <w:rFonts w:ascii="Arial" w:hAnsi="Arial" w:cs="Arial"/>
              </w:rPr>
              <w:t>Recommended. On-going education of the patient and family, as well as the employer, insurer, policy makers and the community should be the primary emphasis in the treatment of chronic pain. Currently, practitioners often think of education last, after medications, manual therapy and surgery. Practitioners must develop and implement an effective strategy and skills to educate patients, employers, insurance systems, policy makers and the community as a whole. An education-based paradigm should always start with inexpensive communication providing reassuring information to the patient. More in-depth education currently exists within a treatment regime employing functional restorative and innovative programs of prevention and rehabilitation. No treatment plan is complete without addressing issues of individual and/or group patient education as a means of facilitating self-management of symptoms and prevention. (</w:t>
            </w:r>
            <w:hyperlink w:anchor="Colorado2" w:history="1">
              <w:r w:rsidRPr="00D61F73">
                <w:rPr>
                  <w:rStyle w:val="Hyperlink"/>
                  <w:rFonts w:ascii="Arial" w:hAnsi="Arial" w:cs="Arial"/>
                </w:rPr>
                <w:t>Colorado, 2002</w:t>
              </w:r>
            </w:hyperlink>
            <w:r w:rsidRPr="00D61F73">
              <w:rPr>
                <w:rFonts w:ascii="Arial" w:hAnsi="Arial" w:cs="Arial"/>
              </w:rPr>
              <w:t>) An educational technique known as the Alexander technique, along with exercise, offers an individualized approach designed to develop lifelong skills for self-care that help people avoid poor habits affecting posture and neuromuscular coordination. An accompanying editorial notes that the results of this study may not apply to clinical practice. In addition, in the US there are few instructors trained in this technique. (</w:t>
            </w:r>
            <w:hyperlink r:id="rId69" w:anchor="Little" w:history="1">
              <w:r w:rsidRPr="00D61F73">
                <w:rPr>
                  <w:rStyle w:val="Hyperlink"/>
                  <w:rFonts w:ascii="Arial" w:hAnsi="Arial" w:cs="Arial"/>
                </w:rPr>
                <w:t>Little, 2008</w:t>
              </w:r>
            </w:hyperlink>
            <w:r w:rsidRPr="00D61F73">
              <w:rPr>
                <w:rFonts w:ascii="Arial" w:hAnsi="Arial" w:cs="Arial"/>
              </w:rPr>
              <w:t xml:space="preserve">) An RCT with 1,077 patients using education and guidelines-based clinical </w:t>
            </w:r>
            <w:r w:rsidRPr="00D61F73">
              <w:rPr>
                <w:rFonts w:ascii="Arial" w:hAnsi="Arial" w:cs="Arial"/>
              </w:rPr>
              <w:lastRenderedPageBreak/>
              <w:t>management compared to standard primary care management, found that the program improved short- and long-term work disability outcomes and was cost-effective. Fewer patients received long-term disability compensation in the intervention group than in the control group, and lost-work episodes were shorter in the intervention group than in the control group. Each dollar invested generated a benefit of 11 dollars. (</w:t>
            </w:r>
            <w:hyperlink r:id="rId70" w:anchor="Abásolo" w:history="1">
              <w:r w:rsidRPr="00D61F73">
                <w:rPr>
                  <w:rStyle w:val="Hyperlink"/>
                  <w:rFonts w:ascii="Arial" w:hAnsi="Arial" w:cs="Arial"/>
                </w:rPr>
                <w:t>Abásolo, 2005</w:t>
              </w:r>
            </w:hyperlink>
            <w:r w:rsidRPr="00D61F73">
              <w:rPr>
                <w:rFonts w:ascii="Arial" w:hAnsi="Arial" w:cs="Arial"/>
              </w:rPr>
              <w:t>)</w:t>
            </w:r>
          </w:p>
        </w:tc>
      </w:tr>
      <w:tr w:rsidR="00E648FC" w:rsidRPr="00D61F73" w14:paraId="43112947" w14:textId="77777777" w:rsidTr="0078164D">
        <w:tc>
          <w:tcPr>
            <w:tcW w:w="1086" w:type="pct"/>
          </w:tcPr>
          <w:p w14:paraId="5C124DB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E</w:t>
            </w:r>
            <w:bookmarkStart w:id="200" w:name="Edluar"/>
            <w:bookmarkEnd w:id="200"/>
            <w:r w:rsidRPr="00D61F73">
              <w:rPr>
                <w:rFonts w:ascii="Arial" w:hAnsi="Arial" w:cs="Arial"/>
              </w:rPr>
              <w:t>dluar (zolpidem tartrate)</w:t>
            </w:r>
          </w:p>
        </w:tc>
        <w:tc>
          <w:tcPr>
            <w:tcW w:w="3914" w:type="pct"/>
          </w:tcPr>
          <w:p w14:paraId="453CA84B" w14:textId="77777777" w:rsidR="00E648FC" w:rsidRPr="00D61F73" w:rsidRDefault="00E648FC" w:rsidP="00D61F73">
            <w:pPr>
              <w:rPr>
                <w:rFonts w:ascii="Arial" w:hAnsi="Arial" w:cs="Arial"/>
              </w:rPr>
            </w:pPr>
            <w:r w:rsidRPr="00D61F73">
              <w:rPr>
                <w:rFonts w:ascii="Arial" w:hAnsi="Arial" w:cs="Arial"/>
              </w:rPr>
              <w:t>In late 2009 the FDA approved Edluar (zolpidem tartrate) sublingual tablets, 5 and 10 mg for the treatment of insomnia. This new formulation of the zolpidem (Ambien) tablets does not appear to have any therapeutic benefit over existing generic zolpidem. (</w:t>
            </w:r>
            <w:hyperlink r:id="rId71" w:history="1">
              <w:r w:rsidRPr="00D61F73">
                <w:rPr>
                  <w:rStyle w:val="Hyperlink"/>
                  <w:rFonts w:ascii="Arial" w:hAnsi="Arial" w:cs="Arial"/>
                </w:rPr>
                <w:t>FDA, 2010</w:t>
              </w:r>
            </w:hyperlink>
            <w:r w:rsidRPr="00D61F73">
              <w:rPr>
                <w:rFonts w:ascii="Arial" w:hAnsi="Arial" w:cs="Arial"/>
              </w:rPr>
              <w:t xml:space="preserve">) See </w:t>
            </w:r>
            <w:hyperlink w:anchor="Zolpidem" w:history="1">
              <w:r w:rsidRPr="00D61F73">
                <w:rPr>
                  <w:rStyle w:val="Hyperlink"/>
                  <w:rFonts w:ascii="Arial" w:hAnsi="Arial" w:cs="Arial"/>
                </w:rPr>
                <w:t>Zolpidem</w:t>
              </w:r>
            </w:hyperlink>
            <w:r w:rsidRPr="00D61F73">
              <w:rPr>
                <w:rFonts w:ascii="Arial" w:hAnsi="Arial" w:cs="Arial"/>
              </w:rPr>
              <w:t xml:space="preserve"> (Ambien®).</w:t>
            </w:r>
          </w:p>
        </w:tc>
      </w:tr>
      <w:tr w:rsidR="00E648FC" w:rsidRPr="00D61F73" w14:paraId="4802F3D8" w14:textId="77777777" w:rsidTr="0078164D">
        <w:tc>
          <w:tcPr>
            <w:tcW w:w="1086" w:type="pct"/>
          </w:tcPr>
          <w:p w14:paraId="04694F1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01" w:name="Effexor"/>
            <w:bookmarkEnd w:id="201"/>
            <w:r w:rsidRPr="00D61F73">
              <w:rPr>
                <w:rFonts w:ascii="Arial" w:hAnsi="Arial" w:cs="Arial"/>
              </w:rPr>
              <w:t>ffexor® (venlafaxine)</w:t>
            </w:r>
          </w:p>
        </w:tc>
        <w:tc>
          <w:tcPr>
            <w:tcW w:w="3914" w:type="pct"/>
          </w:tcPr>
          <w:p w14:paraId="570B7447" w14:textId="6F42CC7B" w:rsidR="00E648FC" w:rsidRPr="00D61F73" w:rsidRDefault="00E648FC" w:rsidP="00D61F73">
            <w:pPr>
              <w:rPr>
                <w:rFonts w:ascii="Arial" w:hAnsi="Arial" w:cs="Arial"/>
              </w:rPr>
            </w:pPr>
            <w:r w:rsidRPr="00D61F73">
              <w:rPr>
                <w:rFonts w:ascii="Arial" w:hAnsi="Arial" w:cs="Arial"/>
              </w:rPr>
              <w:t xml:space="preserve">Effexor® is the brand name for venlafaxine, and it is supplied by Wyeth Pharmaceuticals Inc. Venlafaxine is an antidepressant in the class called Selective serotonin and norepinephrine reuptake inhibitors (SNRIs). See </w:t>
            </w:r>
            <w:hyperlink w:anchor="Venlafaxine" w:history="1">
              <w:r w:rsidRPr="00D61F73">
                <w:rPr>
                  <w:rStyle w:val="Hyperlink"/>
                  <w:rFonts w:ascii="Arial" w:hAnsi="Arial" w:cs="Arial"/>
                </w:rPr>
                <w:t>Venlafaxine</w:t>
              </w:r>
            </w:hyperlink>
            <w:r w:rsidRPr="00D61F73">
              <w:rPr>
                <w:rFonts w:ascii="Arial" w:hAnsi="Arial" w:cs="Arial"/>
              </w:rPr>
              <w:t xml:space="preserve"> (Effexor®).</w:t>
            </w:r>
          </w:p>
          <w:p w14:paraId="6D78A29B" w14:textId="77777777" w:rsidR="001B5C47" w:rsidRPr="00D61F73" w:rsidRDefault="001B5C47" w:rsidP="00D61F73">
            <w:pPr>
              <w:rPr>
                <w:rFonts w:ascii="Arial" w:hAnsi="Arial" w:cs="Arial"/>
              </w:rPr>
            </w:pPr>
          </w:p>
        </w:tc>
      </w:tr>
      <w:tr w:rsidR="00E648FC" w:rsidRPr="00D61F73" w14:paraId="0289CBA6" w14:textId="77777777" w:rsidTr="0078164D">
        <w:tc>
          <w:tcPr>
            <w:tcW w:w="1086" w:type="pct"/>
          </w:tcPr>
          <w:p w14:paraId="34516FB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02" w:name="Electricalstimulators"/>
            <w:bookmarkEnd w:id="202"/>
            <w:r w:rsidRPr="00D61F73">
              <w:rPr>
                <w:rFonts w:ascii="Arial" w:hAnsi="Arial" w:cs="Arial"/>
              </w:rPr>
              <w:t>lectrical stimulators (E-stim)</w:t>
            </w:r>
          </w:p>
        </w:tc>
        <w:tc>
          <w:tcPr>
            <w:tcW w:w="3914" w:type="pct"/>
          </w:tcPr>
          <w:p w14:paraId="3337E646" w14:textId="1AD42C59" w:rsidR="00E648FC" w:rsidRPr="00D61F73" w:rsidRDefault="00E648FC" w:rsidP="00D61F73">
            <w:pPr>
              <w:rPr>
                <w:rFonts w:ascii="Arial" w:hAnsi="Arial" w:cs="Arial"/>
              </w:rPr>
            </w:pPr>
            <w:r w:rsidRPr="00D61F73">
              <w:rPr>
                <w:rFonts w:ascii="Arial" w:hAnsi="Arial" w:cs="Arial"/>
              </w:rPr>
              <w:t xml:space="preserve">See more specific therapy. The following are choices: </w:t>
            </w:r>
            <w:hyperlink w:anchor="Galvanicstimulation" w:history="1">
              <w:r w:rsidRPr="00D61F73">
                <w:rPr>
                  <w:rStyle w:val="Hyperlink"/>
                  <w:rFonts w:ascii="Arial" w:hAnsi="Arial" w:cs="Arial"/>
                </w:rPr>
                <w:t>Galvanic stimulation</w:t>
              </w:r>
            </w:hyperlink>
            <w:r w:rsidRPr="00D61F73">
              <w:rPr>
                <w:rFonts w:ascii="Arial" w:hAnsi="Arial" w:cs="Arial"/>
              </w:rPr>
              <w:t xml:space="preserve">, </w:t>
            </w:r>
            <w:hyperlink w:anchor="Hwavestimulation" w:history="1">
              <w:r w:rsidRPr="00D61F73">
                <w:rPr>
                  <w:rStyle w:val="Hyperlink"/>
                  <w:rFonts w:ascii="Arial" w:hAnsi="Arial" w:cs="Arial"/>
                </w:rPr>
                <w:t>H-wave stimulation</w:t>
              </w:r>
            </w:hyperlink>
            <w:r w:rsidRPr="00D61F73">
              <w:rPr>
                <w:rFonts w:ascii="Arial" w:hAnsi="Arial" w:cs="Arial"/>
              </w:rPr>
              <w:t xml:space="preserve"> (devices), </w:t>
            </w:r>
            <w:hyperlink w:anchor="Interferentialcurrentstimulation" w:history="1">
              <w:r w:rsidRPr="00D61F73">
                <w:rPr>
                  <w:rStyle w:val="Hyperlink"/>
                  <w:rFonts w:ascii="Arial" w:hAnsi="Arial" w:cs="Arial"/>
                </w:rPr>
                <w:t>Interferential current stimulation</w:t>
              </w:r>
            </w:hyperlink>
            <w:r w:rsidRPr="00D61F73">
              <w:rPr>
                <w:rFonts w:ascii="Arial" w:hAnsi="Arial" w:cs="Arial"/>
              </w:rPr>
              <w:t xml:space="preserve"> (ICS), </w:t>
            </w:r>
            <w:hyperlink w:anchor="Microcurrentelectricalstimulation" w:history="1">
              <w:r w:rsidRPr="00D61F73">
                <w:rPr>
                  <w:rStyle w:val="Hyperlink"/>
                  <w:rFonts w:ascii="Arial" w:hAnsi="Arial" w:cs="Arial"/>
                </w:rPr>
                <w:t>Microcurrent electrical stimulation</w:t>
              </w:r>
            </w:hyperlink>
            <w:r w:rsidRPr="00D61F73">
              <w:rPr>
                <w:rFonts w:ascii="Arial" w:hAnsi="Arial" w:cs="Arial"/>
              </w:rPr>
              <w:t xml:space="preserve"> (MENS devices), </w:t>
            </w:r>
            <w:hyperlink w:anchor="Neuroreflexotherapy" w:history="1">
              <w:r w:rsidRPr="00D61F73">
                <w:rPr>
                  <w:rStyle w:val="Hyperlink"/>
                  <w:rFonts w:ascii="Arial" w:hAnsi="Arial" w:cs="Arial"/>
                </w:rPr>
                <w:t>Neuroreflexotherapy</w:t>
              </w:r>
            </w:hyperlink>
            <w:r w:rsidRPr="00D61F73">
              <w:rPr>
                <w:rFonts w:ascii="Arial" w:hAnsi="Arial" w:cs="Arial"/>
              </w:rPr>
              <w:t xml:space="preserve">, </w:t>
            </w:r>
            <w:hyperlink w:anchor="Neuromuscularelecticalstim" w:history="1">
              <w:r w:rsidRPr="00D61F73">
                <w:rPr>
                  <w:rStyle w:val="Hyperlink"/>
                  <w:rFonts w:ascii="Arial" w:hAnsi="Arial" w:cs="Arial"/>
                </w:rPr>
                <w:t>Neuromuscular electrical stimulation</w:t>
              </w:r>
            </w:hyperlink>
            <w:r w:rsidRPr="00D61F73">
              <w:rPr>
                <w:rFonts w:ascii="Arial" w:hAnsi="Arial" w:cs="Arial"/>
              </w:rPr>
              <w:t xml:space="preserve"> (NMES), </w:t>
            </w:r>
            <w:hyperlink w:anchor="Percuaneousnervestim" w:history="1">
              <w:r w:rsidRPr="00D61F73">
                <w:rPr>
                  <w:rStyle w:val="Hyperlink"/>
                  <w:rFonts w:ascii="Arial" w:hAnsi="Arial" w:cs="Arial"/>
                </w:rPr>
                <w:t>Percutaneous electrical nerve stimulation</w:t>
              </w:r>
            </w:hyperlink>
            <w:r w:rsidRPr="00D61F73">
              <w:rPr>
                <w:rFonts w:ascii="Arial" w:hAnsi="Arial" w:cs="Arial"/>
              </w:rPr>
              <w:t xml:space="preserve"> (PENS), </w:t>
            </w:r>
            <w:hyperlink w:anchor="Percutaneousneuromodulationtherapy" w:history="1">
              <w:r w:rsidRPr="00D61F73">
                <w:rPr>
                  <w:rStyle w:val="Hyperlink"/>
                  <w:rFonts w:ascii="Arial" w:hAnsi="Arial" w:cs="Arial"/>
                </w:rPr>
                <w:t>Percutaneous neuromodulation therapy</w:t>
              </w:r>
            </w:hyperlink>
            <w:r w:rsidRPr="00D61F73">
              <w:rPr>
                <w:rFonts w:ascii="Arial" w:hAnsi="Arial" w:cs="Arial"/>
              </w:rPr>
              <w:t xml:space="preserve"> (PNT), </w:t>
            </w:r>
            <w:hyperlink w:anchor="SpinalCordStimulators" w:history="1">
              <w:r w:rsidRPr="00D61F73">
                <w:rPr>
                  <w:rStyle w:val="Hyperlink"/>
                  <w:rFonts w:ascii="Arial" w:hAnsi="Arial" w:cs="Arial"/>
                </w:rPr>
                <w:t>Spinal cord stimulation</w:t>
              </w:r>
            </w:hyperlink>
            <w:r w:rsidRPr="00D61F73">
              <w:rPr>
                <w:rFonts w:ascii="Arial" w:hAnsi="Arial" w:cs="Arial"/>
              </w:rPr>
              <w:t xml:space="preserve">, </w:t>
            </w:r>
            <w:hyperlink w:anchor="Sympathetictherapy" w:history="1">
              <w:r w:rsidRPr="00D61F73">
                <w:rPr>
                  <w:rStyle w:val="Hyperlink"/>
                  <w:rFonts w:ascii="Arial" w:hAnsi="Arial" w:cs="Arial"/>
                </w:rPr>
                <w:t>Sympathetic therapy</w:t>
              </w:r>
            </w:hyperlink>
            <w:r w:rsidRPr="00D61F73">
              <w:rPr>
                <w:rFonts w:ascii="Arial" w:hAnsi="Arial" w:cs="Arial"/>
              </w:rPr>
              <w:t xml:space="preserve">, </w:t>
            </w:r>
            <w:hyperlink w:anchor="Electroceuticaltherapy" w:history="1">
              <w:r w:rsidRPr="00D61F73">
                <w:rPr>
                  <w:rStyle w:val="Hyperlink"/>
                  <w:rFonts w:ascii="Arial" w:hAnsi="Arial" w:cs="Arial"/>
                </w:rPr>
                <w:t>Electroceutical therapy</w:t>
              </w:r>
            </w:hyperlink>
            <w:r w:rsidRPr="00D61F73">
              <w:rPr>
                <w:rFonts w:ascii="Arial" w:hAnsi="Arial" w:cs="Arial"/>
              </w:rPr>
              <w:t xml:space="preserve"> (bioelectric nerve block), </w:t>
            </w:r>
            <w:hyperlink w:anchor="TENS" w:history="1">
              <w:r w:rsidRPr="00D61F73">
                <w:rPr>
                  <w:rStyle w:val="Hyperlink"/>
                  <w:rFonts w:ascii="Arial" w:hAnsi="Arial" w:cs="Arial"/>
                </w:rPr>
                <w:t>Transcutaneous electrical neurostimulation</w:t>
              </w:r>
            </w:hyperlink>
            <w:r w:rsidRPr="00D61F73">
              <w:rPr>
                <w:rFonts w:ascii="Arial" w:hAnsi="Arial" w:cs="Arial"/>
              </w:rPr>
              <w:t xml:space="preserve"> (</w:t>
            </w:r>
            <w:hyperlink w:anchor="TENS" w:history="1">
              <w:r w:rsidRPr="00D61F73">
                <w:rPr>
                  <w:rStyle w:val="Hyperlink"/>
                  <w:rFonts w:ascii="Arial" w:hAnsi="Arial" w:cs="Arial"/>
                </w:rPr>
                <w:t>TENS</w:t>
              </w:r>
            </w:hyperlink>
            <w:r w:rsidRPr="00D61F73">
              <w:rPr>
                <w:rFonts w:ascii="Arial" w:hAnsi="Arial" w:cs="Arial"/>
              </w:rPr>
              <w:t xml:space="preserve">); &amp; </w:t>
            </w:r>
            <w:hyperlink w:anchor="Scramblertherapy" w:history="1">
              <w:r w:rsidRPr="00D61F73">
                <w:rPr>
                  <w:rStyle w:val="Hyperlink"/>
                  <w:rFonts w:ascii="Arial" w:hAnsi="Arial" w:cs="Arial"/>
                </w:rPr>
                <w:t>Scrambler therapy</w:t>
              </w:r>
            </w:hyperlink>
            <w:r w:rsidRPr="00D61F73">
              <w:rPr>
                <w:rFonts w:ascii="Arial" w:hAnsi="Arial" w:cs="Arial"/>
              </w:rPr>
              <w:t xml:space="preserve"> (Calmare®).</w:t>
            </w:r>
          </w:p>
        </w:tc>
      </w:tr>
      <w:tr w:rsidR="00E648FC" w:rsidRPr="00D61F73" w14:paraId="69E88F9A" w14:textId="77777777" w:rsidTr="0078164D">
        <w:tc>
          <w:tcPr>
            <w:tcW w:w="1086" w:type="pct"/>
          </w:tcPr>
          <w:p w14:paraId="7B5645F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03" w:name="Electroceuticaltherapy"/>
            <w:bookmarkEnd w:id="203"/>
            <w:r w:rsidRPr="00D61F73">
              <w:rPr>
                <w:rFonts w:ascii="Arial" w:hAnsi="Arial" w:cs="Arial"/>
              </w:rPr>
              <w:t>lectroceutical therapy (bioelectric nerve block)</w:t>
            </w:r>
          </w:p>
        </w:tc>
        <w:tc>
          <w:tcPr>
            <w:tcW w:w="3914" w:type="pct"/>
          </w:tcPr>
          <w:p w14:paraId="37C70A72" w14:textId="77777777" w:rsidR="00E648FC" w:rsidRPr="00D61F73" w:rsidRDefault="00E648FC" w:rsidP="00D61F73">
            <w:pPr>
              <w:rPr>
                <w:rFonts w:ascii="Arial" w:hAnsi="Arial" w:cs="Arial"/>
              </w:rPr>
            </w:pPr>
            <w:r w:rsidRPr="00D61F73">
              <w:rPr>
                <w:rFonts w:ascii="Arial" w:hAnsi="Arial" w:cs="Arial"/>
              </w:rPr>
              <w:t>Not recommended. Electroceutical therapy (also known as bioelectric nerve block) is experimental and investigational for the treatment of acute pain or chronic pain (e.g., back pain, diabetic pain, joint pain, fibromyalgia, headache, and crps) because there is a lack of scientific evidence regarding the effectiveness of this technology. In addition, electroceutical treatments use much higher electrical frequencies than TENS units and may only be prescribed and administered under the supervision of a healthcare provider experienced in this method of treatment. (</w:t>
            </w:r>
            <w:hyperlink w:anchor="Aetna2" w:history="1">
              <w:r w:rsidRPr="00D61F73">
                <w:rPr>
                  <w:rStyle w:val="Hyperlink"/>
                  <w:rFonts w:ascii="Arial" w:hAnsi="Arial" w:cs="Arial"/>
                </w:rPr>
                <w:t>Aetna, 2005</w:t>
              </w:r>
            </w:hyperlink>
            <w:r w:rsidRPr="00D61F73">
              <w:rPr>
                <w:rFonts w:ascii="Arial" w:hAnsi="Arial" w:cs="Arial"/>
              </w:rPr>
              <w:t>)</w:t>
            </w:r>
          </w:p>
        </w:tc>
      </w:tr>
      <w:tr w:rsidR="001D633B" w:rsidRPr="00D61F73" w14:paraId="3485F5A0" w14:textId="77777777" w:rsidTr="002F1390">
        <w:tc>
          <w:tcPr>
            <w:tcW w:w="1086" w:type="pct"/>
          </w:tcPr>
          <w:p w14:paraId="7AACAF19" w14:textId="77777777" w:rsidR="001D633B" w:rsidRPr="005A43C9" w:rsidRDefault="001D633B" w:rsidP="001D633B">
            <w:pPr>
              <w:pStyle w:val="Footer"/>
              <w:tabs>
                <w:tab w:val="left" w:pos="720"/>
              </w:tabs>
              <w:rPr>
                <w:rFonts w:ascii="Arial" w:hAnsi="Arial" w:cs="Arial"/>
              </w:rPr>
            </w:pPr>
            <w:r w:rsidRPr="005A43C9">
              <w:rPr>
                <w:rFonts w:ascii="Arial" w:hAnsi="Arial" w:cs="Arial"/>
              </w:rPr>
              <w:t>E</w:t>
            </w:r>
            <w:bookmarkStart w:id="204" w:name="Electrodiagnostictesting"/>
            <w:bookmarkEnd w:id="204"/>
            <w:r w:rsidRPr="005A43C9">
              <w:rPr>
                <w:rFonts w:ascii="Arial" w:hAnsi="Arial" w:cs="Arial"/>
              </w:rPr>
              <w:t>lectrodiagnostic testing (EMG/NCS)</w:t>
            </w:r>
          </w:p>
          <w:p w14:paraId="1B320048" w14:textId="77777777" w:rsidR="001D633B" w:rsidRPr="00D61F73" w:rsidRDefault="001D633B" w:rsidP="00D61F73">
            <w:pPr>
              <w:pStyle w:val="Footer"/>
              <w:tabs>
                <w:tab w:val="clear" w:pos="4320"/>
                <w:tab w:val="clear" w:pos="8640"/>
              </w:tabs>
              <w:rPr>
                <w:rFonts w:ascii="Arial" w:hAnsi="Arial" w:cs="Arial"/>
              </w:rPr>
            </w:pPr>
          </w:p>
        </w:tc>
        <w:tc>
          <w:tcPr>
            <w:tcW w:w="3914" w:type="pct"/>
            <w:shd w:val="clear" w:color="auto" w:fill="auto"/>
          </w:tcPr>
          <w:p w14:paraId="49D59202" w14:textId="6739394F" w:rsidR="001D633B" w:rsidRPr="005A43C9" w:rsidRDefault="001D633B" w:rsidP="002F1390">
            <w:pPr>
              <w:rPr>
                <w:rFonts w:ascii="Arial" w:hAnsi="Arial" w:cs="Arial"/>
              </w:rPr>
            </w:pPr>
            <w:r w:rsidRPr="005A43C9">
              <w:rPr>
                <w:rFonts w:ascii="Arial" w:hAnsi="Arial" w:cs="Arial"/>
              </w:rPr>
              <w:t xml:space="preserve">Recommended needle EMG or NCS, depending on indications. </w:t>
            </w:r>
            <w:r w:rsidR="005A43C9" w:rsidRPr="005A43C9">
              <w:rPr>
                <w:rFonts w:ascii="Arial" w:hAnsi="Arial" w:cs="Arial"/>
              </w:rPr>
              <w:t>Surface EMG</w:t>
            </w:r>
            <w:r w:rsidRPr="005A43C9">
              <w:rPr>
                <w:rFonts w:ascii="Arial" w:hAnsi="Arial" w:cs="Arial"/>
              </w:rPr>
              <w:t xml:space="preserve"> is not recommended. Electromyography (EMG) and Nerve Conduction Studies (NCS) are generally accepted, well-established and widely used for localizing the source of the neurological symptoms and establishing the diagnosis of focal nerve entrapments, such as carpal tunnel syndrome or radiculopathy, which may contribute to or coexist with CRPS II (causalgia), when testing is performed by appropriately trained neurologists or physical medicine and rehabilitation physicians (improperly performed testing by other providers often gives inconclusive results). As CRPS II occurs after partial injury to a nerve, the diagnosis of the initial nerve injury can be made by electrodiagnostic studies. The later development of sympathetically mediated symptomatology however, has no pathognomonic pattern of abnormality on EMG/NCS. (</w:t>
            </w:r>
            <w:hyperlink w:anchor="Colorado2" w:history="1">
              <w:r w:rsidRPr="005A43C9">
                <w:rPr>
                  <w:rStyle w:val="Hyperlink"/>
                  <w:rFonts w:ascii="Arial" w:hAnsi="Arial" w:cs="Arial"/>
                </w:rPr>
                <w:t>Colorado, 2002</w:t>
              </w:r>
            </w:hyperlink>
            <w:r w:rsidRPr="005A43C9">
              <w:rPr>
                <w:rFonts w:ascii="Arial" w:hAnsi="Arial" w:cs="Arial"/>
              </w:rPr>
              <w:t xml:space="preserve">) EMG and NCS are separate studies and should not necessarily be done together. NCS is recommended in patients with clinical signs of CTS who may be candidates for surgery, but EMG is not generally necessary. NCS </w:t>
            </w:r>
            <w:r w:rsidRPr="005A43C9">
              <w:rPr>
                <w:rFonts w:ascii="Arial" w:hAnsi="Arial" w:cs="Arial"/>
              </w:rPr>
              <w:lastRenderedPageBreak/>
              <w:t xml:space="preserve">is not recommended, but EMG is recommended as an option (needle, not surface) to obtain unequivocal evidence of radiculopathy, after 1-month conservative therapy, but EMG's are not necessary if radiculopathy is already clinically obvious. Electrodiagnostic studies should be performed by appropriately trained Physical Medicine and Rehabilitation or Neurology physicians. See also </w:t>
            </w:r>
            <w:hyperlink w:anchor="Monofilamenttesting" w:history="1">
              <w:r w:rsidRPr="005A43C9">
                <w:rPr>
                  <w:rStyle w:val="Hyperlink"/>
                  <w:rFonts w:ascii="Arial" w:hAnsi="Arial" w:cs="Arial"/>
                </w:rPr>
                <w:t>Monofilament testing</w:t>
              </w:r>
            </w:hyperlink>
            <w:r w:rsidR="002F1390">
              <w:rPr>
                <w:rFonts w:ascii="Arial" w:hAnsi="Arial" w:cs="Arial"/>
              </w:rPr>
              <w:t xml:space="preserve">. </w:t>
            </w:r>
            <w:r w:rsidR="002F1390" w:rsidRPr="002F1390">
              <w:rPr>
                <w:rFonts w:ascii="Arial" w:hAnsi="Arial" w:cs="Arial"/>
              </w:rPr>
              <w:t xml:space="preserve">For more information see </w:t>
            </w:r>
            <w:r w:rsidR="002F1390" w:rsidRPr="002A52C1">
              <w:rPr>
                <w:rFonts w:ascii="Arial" w:hAnsi="Arial" w:cs="Arial"/>
              </w:rPr>
              <w:t>MTUS Forearm, Wrist, and Hand Complaints, MTUS Low Back Complaints, and MTUS Neck and Upper Back Complaints</w:t>
            </w:r>
            <w:r w:rsidR="002F1390" w:rsidRPr="002F1390">
              <w:rPr>
                <w:rFonts w:ascii="Arial" w:hAnsi="Arial" w:cs="Arial"/>
              </w:rPr>
              <w:t xml:space="preserve">. </w:t>
            </w:r>
            <w:r w:rsidRPr="005A43C9">
              <w:rPr>
                <w:rFonts w:ascii="Arial" w:hAnsi="Arial" w:cs="Arial"/>
              </w:rPr>
              <w:t>Below are the Minimum Standards from that chapter.</w:t>
            </w:r>
          </w:p>
          <w:p w14:paraId="214F325E" w14:textId="77777777" w:rsidR="001D633B" w:rsidRPr="002F1390" w:rsidRDefault="001D633B" w:rsidP="002F1390">
            <w:pPr>
              <w:rPr>
                <w:rFonts w:ascii="Arial" w:hAnsi="Arial" w:cs="Arial"/>
              </w:rPr>
            </w:pPr>
            <w:r w:rsidRPr="002F1390">
              <w:rPr>
                <w:rFonts w:ascii="Arial" w:hAnsi="Arial" w:cs="Arial"/>
                <w:b/>
                <w:bCs/>
              </w:rPr>
              <w:t>Minimum Standards for electrodiagnostic studies:</w:t>
            </w:r>
            <w:r w:rsidRPr="002F1390">
              <w:rPr>
                <w:rFonts w:ascii="Arial" w:hAnsi="Arial" w:cs="Arial"/>
              </w:rPr>
              <w:t xml:space="preserve"> The American Association of Neuromuscular &amp; Electrodiagnostic Medicine (AANEM) recommends the following minimum standards:</w:t>
            </w:r>
          </w:p>
          <w:p w14:paraId="764BF93E" w14:textId="77777777" w:rsidR="001D633B" w:rsidRPr="002F1390" w:rsidRDefault="001D633B" w:rsidP="002F1390">
            <w:pPr>
              <w:rPr>
                <w:rFonts w:ascii="Arial" w:hAnsi="Arial" w:cs="Arial"/>
              </w:rPr>
            </w:pPr>
            <w:r w:rsidRPr="002F1390">
              <w:rPr>
                <w:rFonts w:ascii="Arial" w:hAnsi="Arial" w:cs="Arial"/>
              </w:rPr>
              <w:t xml:space="preserve">(1) EDX testing should be medically indicated. </w:t>
            </w:r>
          </w:p>
          <w:p w14:paraId="5BA5A919" w14:textId="77777777" w:rsidR="001D633B" w:rsidRPr="002F1390" w:rsidRDefault="001D633B" w:rsidP="002F1390">
            <w:pPr>
              <w:rPr>
                <w:rFonts w:ascii="Arial" w:hAnsi="Arial" w:cs="Arial"/>
              </w:rPr>
            </w:pPr>
            <w:r w:rsidRPr="002F1390">
              <w:rPr>
                <w:rFonts w:ascii="Arial" w:hAnsi="Arial" w:cs="Arial"/>
              </w:rPr>
              <w:t xml:space="preserve">(2) Testing should be performed using EDX equipment that provides assessment of all parameters of the recorded signals. Studies performed with devices designed only for “screening purposes” rather than diagnosis are not acceptable. </w:t>
            </w:r>
          </w:p>
          <w:p w14:paraId="7D54FB5F" w14:textId="77777777" w:rsidR="001D633B" w:rsidRPr="002F1390" w:rsidRDefault="001D633B" w:rsidP="002F1390">
            <w:pPr>
              <w:rPr>
                <w:rFonts w:ascii="Arial" w:hAnsi="Arial" w:cs="Arial"/>
              </w:rPr>
            </w:pPr>
            <w:r w:rsidRPr="002F1390">
              <w:rPr>
                <w:rFonts w:ascii="Arial" w:hAnsi="Arial" w:cs="Arial"/>
              </w:rPr>
              <w:t xml:space="preserve">(3) The number of tests performed should be the minimum needed to establish an accurate diagnosis. </w:t>
            </w:r>
          </w:p>
          <w:p w14:paraId="403C5CCE" w14:textId="77777777" w:rsidR="001D633B" w:rsidRPr="002F1390" w:rsidRDefault="001D633B" w:rsidP="002F1390">
            <w:pPr>
              <w:rPr>
                <w:rFonts w:ascii="Arial" w:hAnsi="Arial" w:cs="Arial"/>
              </w:rPr>
            </w:pPr>
            <w:r w:rsidRPr="002F1390">
              <w:rPr>
                <w:rFonts w:ascii="Arial" w:hAnsi="Arial" w:cs="Arial"/>
              </w:rPr>
              <w:t xml:space="preserve">(4) NCSs (Nerve conduction studies) should be either (a) performed directly by a physician or (b) performed by a trained individual under the direct supervision of a physician. Direct supervision means that the physician is in close physical proximity to the EDX laboratory while testing is underway, is immediately available to provide the trained individual with assistance and direction, and is responsible for selecting the appropriate NCSs to be performed. </w:t>
            </w:r>
          </w:p>
          <w:p w14:paraId="66C116E3" w14:textId="77777777" w:rsidR="001D633B" w:rsidRPr="002F1390" w:rsidRDefault="001D633B" w:rsidP="002F1390">
            <w:pPr>
              <w:rPr>
                <w:rFonts w:ascii="Arial" w:hAnsi="Arial" w:cs="Arial"/>
              </w:rPr>
            </w:pPr>
            <w:r w:rsidRPr="002F1390">
              <w:rPr>
                <w:rFonts w:ascii="Arial" w:hAnsi="Arial" w:cs="Arial"/>
              </w:rPr>
              <w:t xml:space="preserve">(5) EMGs (Electromyography - needle not surface) must be performed by a physician specially trained in electrodiagnostic medicine, as these tests are simultaneously performed and interpreted. </w:t>
            </w:r>
          </w:p>
          <w:p w14:paraId="1897EA51" w14:textId="77777777" w:rsidR="001D633B" w:rsidRPr="002F1390" w:rsidRDefault="001D633B" w:rsidP="002F1390">
            <w:pPr>
              <w:rPr>
                <w:rFonts w:ascii="Arial" w:hAnsi="Arial" w:cs="Arial"/>
              </w:rPr>
            </w:pPr>
            <w:r w:rsidRPr="002F1390">
              <w:rPr>
                <w:rFonts w:ascii="Arial" w:hAnsi="Arial" w:cs="Arial"/>
              </w:rPr>
              <w:t xml:space="preserve">(6) It is appropriate for only 1 attending physician to perform or supervise all of the components of the electrodiagnostic testing (e.g., history taking, physical evaluation, supervision and/or performance of the electrodiagnostic test, and interpretation) for a given patient and for all the testing to occur on the same date of service. The reporting of NCS and EMG study results should be integrated into a unifying diagnostic impression. </w:t>
            </w:r>
          </w:p>
          <w:p w14:paraId="1704F5D4" w14:textId="77777777" w:rsidR="001D633B" w:rsidRPr="005A43C9" w:rsidRDefault="001D633B" w:rsidP="002F1390">
            <w:pPr>
              <w:rPr>
                <w:rFonts w:ascii="Arial" w:hAnsi="Arial" w:cs="Arial"/>
              </w:rPr>
            </w:pPr>
            <w:r w:rsidRPr="002F1390">
              <w:rPr>
                <w:rFonts w:ascii="Arial" w:hAnsi="Arial" w:cs="Arial"/>
              </w:rPr>
              <w:t>(7) In contrast, dissociation of NCS and EMG results into separate reports is inappropriate unless specifically explained by the physician. Performance and/or interpretation of NCSs separately from that of the needle EMG component of the test should clearly be the exception (e.g. when testing an acute nerve injury) rather than an established practice pattern for a given practitioner. (</w:t>
            </w:r>
            <w:hyperlink r:id="rId72" w:history="1">
              <w:r w:rsidRPr="002F1390">
                <w:rPr>
                  <w:rStyle w:val="Hyperlink"/>
                  <w:rFonts w:ascii="Arial" w:hAnsi="Arial" w:cs="Arial"/>
                </w:rPr>
                <w:t>AANEM, 2009</w:t>
              </w:r>
            </w:hyperlink>
            <w:r w:rsidRPr="002F1390">
              <w:rPr>
                <w:rFonts w:ascii="Arial" w:hAnsi="Arial" w:cs="Arial"/>
              </w:rPr>
              <w:t>)</w:t>
            </w:r>
          </w:p>
          <w:p w14:paraId="68418486" w14:textId="77777777" w:rsidR="001D633B" w:rsidRPr="00D61F73" w:rsidRDefault="001D633B" w:rsidP="00D61F73">
            <w:pPr>
              <w:rPr>
                <w:rFonts w:ascii="Arial" w:hAnsi="Arial" w:cs="Arial"/>
              </w:rPr>
            </w:pPr>
          </w:p>
        </w:tc>
      </w:tr>
      <w:tr w:rsidR="00E648FC" w:rsidRPr="00D61F73" w14:paraId="36BA6A3D" w14:textId="77777777" w:rsidTr="0078164D">
        <w:tc>
          <w:tcPr>
            <w:tcW w:w="1086" w:type="pct"/>
          </w:tcPr>
          <w:p w14:paraId="19D9FF2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E</w:t>
            </w:r>
            <w:bookmarkStart w:id="205" w:name="Embeda"/>
            <w:bookmarkEnd w:id="205"/>
            <w:r w:rsidRPr="00D61F73">
              <w:rPr>
                <w:rFonts w:ascii="Arial" w:hAnsi="Arial" w:cs="Arial"/>
              </w:rPr>
              <w:t>mbeda</w:t>
            </w:r>
            <w:r w:rsidRPr="00D61F73">
              <w:rPr>
                <w:rFonts w:ascii="Arial" w:hAnsi="Arial" w:cs="Arial"/>
                <w:b/>
              </w:rPr>
              <w:t>®</w:t>
            </w:r>
            <w:r w:rsidRPr="00D61F73">
              <w:rPr>
                <w:rFonts w:ascii="Arial" w:hAnsi="Arial" w:cs="Arial"/>
              </w:rPr>
              <w:t xml:space="preserve"> (morphine /naltrexone) </w:t>
            </w:r>
          </w:p>
          <w:p w14:paraId="5B1D7C50" w14:textId="77777777" w:rsidR="00E648FC" w:rsidRPr="00D61F73" w:rsidRDefault="00E648FC" w:rsidP="00D61F73">
            <w:pPr>
              <w:pStyle w:val="Footer"/>
              <w:tabs>
                <w:tab w:val="clear" w:pos="4320"/>
                <w:tab w:val="clear" w:pos="8640"/>
              </w:tabs>
              <w:rPr>
                <w:rFonts w:ascii="Arial" w:hAnsi="Arial" w:cs="Arial"/>
              </w:rPr>
            </w:pPr>
          </w:p>
          <w:p w14:paraId="1536F569" w14:textId="77777777" w:rsidR="00E648FC" w:rsidRPr="00D61F73" w:rsidRDefault="00E648FC" w:rsidP="00D61F73">
            <w:pPr>
              <w:pStyle w:val="Footer"/>
              <w:tabs>
                <w:tab w:val="clear" w:pos="4320"/>
                <w:tab w:val="clear" w:pos="8640"/>
              </w:tabs>
              <w:rPr>
                <w:rFonts w:ascii="Arial" w:hAnsi="Arial" w:cs="Arial"/>
              </w:rPr>
            </w:pPr>
          </w:p>
        </w:tc>
        <w:tc>
          <w:tcPr>
            <w:tcW w:w="3914" w:type="pct"/>
          </w:tcPr>
          <w:p w14:paraId="787189A5" w14:textId="59D4BFA8" w:rsidR="00E648FC" w:rsidRPr="00D61F73" w:rsidRDefault="000F4F87" w:rsidP="00D61F73">
            <w:pPr>
              <w:rPr>
                <w:rFonts w:ascii="Arial" w:hAnsi="Arial" w:cs="Arial"/>
              </w:rPr>
            </w:pPr>
            <w:r w:rsidRPr="00D61F73">
              <w:rPr>
                <w:rFonts w:ascii="Arial" w:hAnsi="Arial" w:cs="Arial"/>
              </w:rPr>
              <w:t>See</w:t>
            </w:r>
            <w:r w:rsidR="00070D5F" w:rsidRPr="00D61F73">
              <w:rPr>
                <w:rFonts w:ascii="Arial" w:hAnsi="Arial" w:cs="Arial"/>
              </w:rPr>
              <w:t xml:space="preserve"> </w:t>
            </w:r>
            <w:r w:rsidR="004F0B73" w:rsidRPr="00D61F73">
              <w:rPr>
                <w:rFonts w:ascii="Arial" w:hAnsi="Arial" w:cs="Arial"/>
              </w:rPr>
              <w:t>MTUS Opioids Treatment Guidelines</w:t>
            </w:r>
            <w:r w:rsidR="009155FB" w:rsidRPr="00D61F73">
              <w:rPr>
                <w:rFonts w:ascii="Arial" w:hAnsi="Arial" w:cs="Arial"/>
              </w:rPr>
              <w:t>.</w:t>
            </w:r>
            <w:r w:rsidR="00E648FC" w:rsidRPr="00D61F73">
              <w:rPr>
                <w:rFonts w:ascii="Arial" w:hAnsi="Arial" w:cs="Arial"/>
              </w:rPr>
              <w:t xml:space="preserve">This medication is designed to alter oral use and thus prevent patients from abusing opioids. As it is resistant to being crushed or dissolved, Embeda does not allow for nasal use (insufflation), chewing and /or intravenous use. Other tamper-resistant agents on the market include Suboxone (buprenorphine/ naloxone), Opana (oxymorphone), Exalgo (hydromorphone), and OxyContin </w:t>
            </w:r>
            <w:r w:rsidR="00E648FC" w:rsidRPr="00D61F73">
              <w:rPr>
                <w:rFonts w:ascii="Arial" w:hAnsi="Arial" w:cs="Arial"/>
              </w:rPr>
              <w:lastRenderedPageBreak/>
              <w:t>(oxycodone controlled release). The FDA has approved morphine sulfate and naltrexone hydrochloride extended-release capsules (Embeda) for once- or twice-daily use in the management of moderate to severe pain when continuous, around-the-clock opioid analgesic therapy is warranted for an extended period. The capsules contain morphine pellets with a sequestered inner core of the opioid antagonist naltrexone that is released when the product is crushed or chewed, thereby discouraging tampering and drug abuse. Approval of the product was based on data from 12 clinical studies, including a phase 3 study showing that its use provided significant pain relief compared with placebo in patients with severe pain caused by osteoarthritis of the hip or knee. (</w:t>
            </w:r>
            <w:hyperlink r:id="rId73" w:history="1">
              <w:r w:rsidR="00E648FC" w:rsidRPr="00D61F73">
                <w:rPr>
                  <w:rStyle w:val="Hyperlink"/>
                  <w:rFonts w:ascii="Arial" w:hAnsi="Arial" w:cs="Arial"/>
                </w:rPr>
                <w:t>FDA, 2009</w:t>
              </w:r>
            </w:hyperlink>
            <w:r w:rsidR="00E648FC" w:rsidRPr="00D61F73">
              <w:rPr>
                <w:rFonts w:ascii="Arial" w:hAnsi="Arial" w:cs="Arial"/>
              </w:rPr>
              <w:t>) In this RCT pain relief was statistically significantly superior for those treated with Embeda compared to the control group (</w:t>
            </w:r>
            <w:hyperlink w:anchor="Trevino" w:history="1">
              <w:r w:rsidR="00E648FC" w:rsidRPr="00D61F73">
                <w:rPr>
                  <w:rStyle w:val="Hyperlink"/>
                  <w:rFonts w:ascii="Arial" w:hAnsi="Arial" w:cs="Arial"/>
                </w:rPr>
                <w:t>Trevino, 2009</w:t>
              </w:r>
            </w:hyperlink>
            <w:r w:rsidR="00E648FC" w:rsidRPr="00D61F73">
              <w:rPr>
                <w:rFonts w:ascii="Arial" w:hAnsi="Arial" w:cs="Arial"/>
              </w:rPr>
              <w:t>) The FDA's latest list of drugs to monitor after having identified potential signs of serious risks or new safety information includes Embeda for withdrawal symptoms not associated with misuse. (</w:t>
            </w:r>
            <w:hyperlink r:id="rId74" w:history="1">
              <w:r w:rsidR="00E648FC" w:rsidRPr="00D61F73">
                <w:rPr>
                  <w:rStyle w:val="Hyperlink"/>
                  <w:rFonts w:ascii="Arial" w:hAnsi="Arial" w:cs="Arial"/>
                </w:rPr>
                <w:t>FDA, 2011</w:t>
              </w:r>
            </w:hyperlink>
            <w:r w:rsidR="00E648FC" w:rsidRPr="00D61F73">
              <w:rPr>
                <w:rFonts w:ascii="Arial" w:hAnsi="Arial" w:cs="Arial"/>
              </w:rPr>
              <w:t xml:space="preserve">) </w:t>
            </w:r>
            <w:r w:rsidR="00E648FC" w:rsidRPr="00D61F73">
              <w:rPr>
                <w:rFonts w:ascii="Arial" w:hAnsi="Arial" w:cs="Arial"/>
                <w:i/>
              </w:rPr>
              <w:t xml:space="preserve">Black Box Warning: </w:t>
            </w:r>
            <w:r w:rsidR="00E648FC" w:rsidRPr="00D61F73">
              <w:rPr>
                <w:rFonts w:ascii="Arial" w:hAnsi="Arial" w:cs="Arial"/>
              </w:rPr>
              <w:t>Embeda is not intended for PRN use. Embeda can be abused in a manner similar to other opioid agonists. It is only recommended for opioid tolerant patients. Patients on this drug should not ingest alcohol, including that included in prescription and non-prescription medications. Fatal respiratory depression can occur with use.</w:t>
            </w:r>
          </w:p>
        </w:tc>
      </w:tr>
      <w:tr w:rsidR="00E648FC" w:rsidRPr="00D61F73" w14:paraId="0D9346F5" w14:textId="77777777" w:rsidTr="0078164D">
        <w:tc>
          <w:tcPr>
            <w:tcW w:w="1086" w:type="pct"/>
          </w:tcPr>
          <w:p w14:paraId="288A843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E</w:t>
            </w:r>
            <w:bookmarkStart w:id="206" w:name="Epidiolex"/>
            <w:bookmarkEnd w:id="206"/>
            <w:r w:rsidRPr="00D61F73">
              <w:rPr>
                <w:rFonts w:ascii="Arial" w:hAnsi="Arial" w:cs="Arial"/>
              </w:rPr>
              <w:t>pidiolex™ (cannabidiol)</w:t>
            </w:r>
          </w:p>
        </w:tc>
        <w:tc>
          <w:tcPr>
            <w:tcW w:w="3914" w:type="pct"/>
          </w:tcPr>
          <w:p w14:paraId="64FE4A6D" w14:textId="77777777" w:rsidR="00E648FC" w:rsidRPr="00D61F73" w:rsidRDefault="00E648FC" w:rsidP="00D61F73">
            <w:pPr>
              <w:rPr>
                <w:rFonts w:ascii="Arial" w:hAnsi="Arial" w:cs="Arial"/>
              </w:rPr>
            </w:pPr>
            <w:r w:rsidRPr="00D61F73">
              <w:rPr>
                <w:rFonts w:ascii="Arial" w:hAnsi="Arial" w:cs="Arial"/>
              </w:rPr>
              <w:t xml:space="preserve">Epidiolex is an oral liquid that contains plant-derived cannabidiol without THC for use in the treatment of intractable epilepsy. See </w:t>
            </w:r>
            <w:hyperlink w:anchor="Cannabinoids" w:history="1">
              <w:r w:rsidRPr="00D61F73">
                <w:rPr>
                  <w:rStyle w:val="Hyperlink"/>
                  <w:rFonts w:ascii="Arial" w:hAnsi="Arial" w:cs="Arial"/>
                </w:rPr>
                <w:t>Cannabinoids</w:t>
              </w:r>
            </w:hyperlink>
            <w:r w:rsidRPr="00D61F73">
              <w:rPr>
                <w:rFonts w:ascii="Arial" w:hAnsi="Arial" w:cs="Arial"/>
              </w:rPr>
              <w:t>.</w:t>
            </w:r>
          </w:p>
          <w:p w14:paraId="0A7A36C1" w14:textId="77777777" w:rsidR="001B5C47" w:rsidRPr="00D61F73" w:rsidRDefault="001B5C47" w:rsidP="00D61F73">
            <w:pPr>
              <w:rPr>
                <w:rFonts w:ascii="Arial" w:hAnsi="Arial" w:cs="Arial"/>
              </w:rPr>
            </w:pPr>
          </w:p>
        </w:tc>
      </w:tr>
      <w:tr w:rsidR="00E648FC" w:rsidRPr="00D61F73" w14:paraId="15E390E6" w14:textId="77777777" w:rsidTr="0078164D">
        <w:tc>
          <w:tcPr>
            <w:tcW w:w="1086" w:type="pct"/>
          </w:tcPr>
          <w:p w14:paraId="6615EB5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07" w:name="Epiduralsteroidinject"/>
            <w:bookmarkEnd w:id="207"/>
            <w:r w:rsidRPr="00D61F73">
              <w:rPr>
                <w:rFonts w:ascii="Arial" w:hAnsi="Arial" w:cs="Arial"/>
              </w:rPr>
              <w:t xml:space="preserve">pidural steroid injections (ESIs) </w:t>
            </w:r>
          </w:p>
        </w:tc>
        <w:tc>
          <w:tcPr>
            <w:tcW w:w="3914" w:type="pct"/>
          </w:tcPr>
          <w:p w14:paraId="71F317C3" w14:textId="7A932ABE" w:rsidR="00E648FC" w:rsidRPr="00D61F73" w:rsidRDefault="00353151" w:rsidP="00D61F73">
            <w:pPr>
              <w:rPr>
                <w:rFonts w:ascii="Arial" w:hAnsi="Arial" w:cs="Arial"/>
              </w:rPr>
            </w:pPr>
            <w:r w:rsidRPr="00D61F73">
              <w:rPr>
                <w:rFonts w:ascii="Arial" w:hAnsi="Arial" w:cs="Arial"/>
              </w:rPr>
              <w:t>See</w:t>
            </w:r>
            <w:r w:rsidR="00E648FC" w:rsidRPr="00D61F73">
              <w:rPr>
                <w:rFonts w:ascii="Arial" w:hAnsi="Arial" w:cs="Arial"/>
              </w:rPr>
              <w:t xml:space="preserve"> </w:t>
            </w:r>
            <w:r w:rsidR="00E648FC" w:rsidRPr="002F3C0E">
              <w:rPr>
                <w:rFonts w:ascii="Arial" w:hAnsi="Arial" w:cs="Arial"/>
              </w:rPr>
              <w:t>MTUS Low Back Complaints</w:t>
            </w:r>
            <w:r w:rsidR="00E648FC" w:rsidRPr="00D61F73">
              <w:rPr>
                <w:rFonts w:ascii="Arial" w:hAnsi="Arial" w:cs="Arial"/>
              </w:rPr>
              <w:t xml:space="preserve"> for recommendations. </w:t>
            </w:r>
          </w:p>
        </w:tc>
      </w:tr>
      <w:tr w:rsidR="00E648FC" w:rsidRPr="00D61F73" w14:paraId="7C19F930" w14:textId="77777777" w:rsidTr="0078164D">
        <w:tc>
          <w:tcPr>
            <w:tcW w:w="1086" w:type="pct"/>
          </w:tcPr>
          <w:p w14:paraId="563A812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08" w:name="Escitalopram"/>
            <w:bookmarkEnd w:id="208"/>
            <w:r w:rsidRPr="00D61F73">
              <w:rPr>
                <w:rFonts w:ascii="Arial" w:hAnsi="Arial" w:cs="Arial"/>
              </w:rPr>
              <w:t>scitalopram (Lexapro®)</w:t>
            </w:r>
          </w:p>
        </w:tc>
        <w:tc>
          <w:tcPr>
            <w:tcW w:w="3914" w:type="pct"/>
            <w:tcBorders>
              <w:bottom w:val="single" w:sz="4" w:space="0" w:color="auto"/>
            </w:tcBorders>
          </w:tcPr>
          <w:p w14:paraId="1D7A68FA" w14:textId="77777777" w:rsidR="00E648FC" w:rsidRPr="00D61F73" w:rsidRDefault="00E648FC" w:rsidP="00D61F73">
            <w:pPr>
              <w:rPr>
                <w:rFonts w:ascii="Arial" w:hAnsi="Arial" w:cs="Arial"/>
              </w:rPr>
            </w:pPr>
            <w:r w:rsidRPr="00D61F73">
              <w:rPr>
                <w:rFonts w:ascii="Arial" w:hAnsi="Arial" w:cs="Arial"/>
              </w:rPr>
              <w:t xml:space="preserve">See </w:t>
            </w:r>
            <w:hyperlink w:anchor="Anxietymedicationsinchronicpain" w:history="1">
              <w:r w:rsidRPr="00D61F73">
                <w:rPr>
                  <w:rStyle w:val="Hyperlink"/>
                  <w:rFonts w:ascii="Arial" w:hAnsi="Arial" w:cs="Arial"/>
                </w:rPr>
                <w:t>Anxiety medications in chronic pain</w:t>
              </w:r>
            </w:hyperlink>
            <w:r w:rsidRPr="00D61F73">
              <w:rPr>
                <w:rFonts w:ascii="Arial" w:hAnsi="Arial" w:cs="Arial"/>
              </w:rPr>
              <w:t xml:space="preserve">, </w:t>
            </w:r>
            <w:hyperlink w:anchor="EscitalopramListing" w:history="1">
              <w:r w:rsidRPr="00D61F73">
                <w:rPr>
                  <w:rStyle w:val="Hyperlink"/>
                  <w:rFonts w:ascii="Arial" w:hAnsi="Arial" w:cs="Arial"/>
                </w:rPr>
                <w:t>Escitalopram</w:t>
              </w:r>
            </w:hyperlink>
            <w:r w:rsidRPr="00D61F73">
              <w:rPr>
                <w:rFonts w:ascii="Arial" w:hAnsi="Arial" w:cs="Arial"/>
              </w:rPr>
              <w:t xml:space="preserve"> (Lexapro®) listing, and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w:t>
            </w:r>
            <w:hyperlink w:anchor="SSRIListing" w:history="1">
              <w:r w:rsidRPr="00D61F73">
                <w:rPr>
                  <w:rStyle w:val="Hyperlink"/>
                  <w:rFonts w:ascii="Arial" w:hAnsi="Arial" w:cs="Arial"/>
                </w:rPr>
                <w:t>SSRIs</w:t>
              </w:r>
            </w:hyperlink>
          </w:p>
        </w:tc>
      </w:tr>
      <w:tr w:rsidR="00E648FC" w:rsidRPr="00D61F73" w14:paraId="7C10E97A" w14:textId="77777777" w:rsidTr="0078164D">
        <w:tc>
          <w:tcPr>
            <w:tcW w:w="1086" w:type="pct"/>
          </w:tcPr>
          <w:p w14:paraId="0B79936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09" w:name="Estazolam"/>
            <w:bookmarkEnd w:id="209"/>
            <w:r w:rsidRPr="00D61F73">
              <w:rPr>
                <w:rFonts w:ascii="Arial" w:hAnsi="Arial" w:cs="Arial"/>
              </w:rPr>
              <w:t>stazolam</w:t>
            </w:r>
          </w:p>
        </w:tc>
        <w:tc>
          <w:tcPr>
            <w:tcW w:w="3914" w:type="pct"/>
            <w:tcBorders>
              <w:bottom w:val="single" w:sz="4" w:space="0" w:color="auto"/>
            </w:tcBorders>
          </w:tcPr>
          <w:p w14:paraId="5217F4A3" w14:textId="77777777" w:rsidR="00E648FC" w:rsidRPr="00D61F73" w:rsidRDefault="00E648FC"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196F0E7D" w14:textId="77777777" w:rsidTr="0078164D">
        <w:tc>
          <w:tcPr>
            <w:tcW w:w="1086" w:type="pct"/>
          </w:tcPr>
          <w:p w14:paraId="2FD9EC7A"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10" w:name="Eszopicolone"/>
            <w:bookmarkEnd w:id="210"/>
            <w:r w:rsidRPr="00D61F73">
              <w:rPr>
                <w:rFonts w:ascii="Arial" w:hAnsi="Arial" w:cs="Arial"/>
              </w:rPr>
              <w:t>szopicolone (Lunesta)</w:t>
            </w:r>
          </w:p>
        </w:tc>
        <w:tc>
          <w:tcPr>
            <w:tcW w:w="3914" w:type="pct"/>
            <w:tcBorders>
              <w:bottom w:val="single" w:sz="4" w:space="0" w:color="auto"/>
            </w:tcBorders>
          </w:tcPr>
          <w:p w14:paraId="5651C13C" w14:textId="77777777" w:rsidR="00E648FC" w:rsidRPr="00D61F73" w:rsidRDefault="00E648FC" w:rsidP="00D61F73">
            <w:pPr>
              <w:rPr>
                <w:rFonts w:ascii="Arial" w:hAnsi="Arial" w:cs="Arial"/>
              </w:rPr>
            </w:pPr>
            <w:r w:rsidRPr="00D61F73">
              <w:rPr>
                <w:rFonts w:ascii="Arial" w:hAnsi="Arial" w:cs="Arial"/>
              </w:rPr>
              <w:t xml:space="preserve">Not recommended for long-term use, but recommended for short-term use. </w:t>
            </w:r>
          </w:p>
        </w:tc>
      </w:tr>
      <w:tr w:rsidR="00E648FC" w:rsidRPr="00D61F73" w14:paraId="3CA870BD" w14:textId="77777777" w:rsidTr="0078164D">
        <w:tc>
          <w:tcPr>
            <w:tcW w:w="1086" w:type="pct"/>
          </w:tcPr>
          <w:p w14:paraId="548B964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11" w:name="Etodolac"/>
            <w:bookmarkEnd w:id="211"/>
            <w:r w:rsidRPr="00D61F73">
              <w:rPr>
                <w:rFonts w:ascii="Arial" w:hAnsi="Arial" w:cs="Arial"/>
              </w:rPr>
              <w:t>todolac (Lodine®, Lodine XL®)</w:t>
            </w:r>
          </w:p>
        </w:tc>
        <w:tc>
          <w:tcPr>
            <w:tcW w:w="3914" w:type="pct"/>
            <w:tcBorders>
              <w:bottom w:val="single" w:sz="4" w:space="0" w:color="auto"/>
            </w:tcBorders>
          </w:tcPr>
          <w:p w14:paraId="0A10AC23" w14:textId="0C0C5EC7" w:rsidR="00E648FC" w:rsidRPr="00D61F73" w:rsidRDefault="00E648FC"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Opioidsspecificdruglist" w:history="1">
              <w:r w:rsidRPr="00D61F73">
                <w:rPr>
                  <w:rStyle w:val="Hyperlink"/>
                  <w:rFonts w:ascii="Arial" w:hAnsi="Arial" w:cs="Arial"/>
                </w:rPr>
                <w:t>Etodolac</w:t>
              </w:r>
            </w:hyperlink>
            <w:r w:rsidRPr="00D61F73">
              <w:rPr>
                <w:rFonts w:ascii="Arial" w:hAnsi="Arial" w:cs="Arial"/>
              </w:rPr>
              <w:t xml:space="preserve"> (Lodine®, Lodine XL®) listing for more information and references. A large systematic review of available evidence on NSAIDs confirms that naproxen and low-dose ibuprofen are least likely to increase cardiovascular risk. Etodolac in the unpaired analyses had a risk profile similar to that of rofecoxib, but the pair-wise analyses are likely to be less confounded, and these analyses showed etodolac to be similar to two low risk drugs, ibuprofen and naproxen. (</w:t>
            </w:r>
            <w:hyperlink w:anchor="McGettigan2011" w:history="1">
              <w:r w:rsidRPr="00D61F73">
                <w:rPr>
                  <w:rStyle w:val="Hyperlink"/>
                  <w:rFonts w:ascii="Arial" w:hAnsi="Arial" w:cs="Arial"/>
                </w:rPr>
                <w:t>McGettigan, 2011</w:t>
              </w:r>
            </w:hyperlink>
            <w:r w:rsidRPr="00D61F73">
              <w:rPr>
                <w:rFonts w:ascii="Arial" w:hAnsi="Arial" w:cs="Arial"/>
              </w:rPr>
              <w:t>)</w:t>
            </w:r>
          </w:p>
        </w:tc>
      </w:tr>
      <w:tr w:rsidR="00E648FC" w:rsidRPr="00D61F73" w14:paraId="2A135174" w14:textId="77777777" w:rsidTr="0078164D">
        <w:tc>
          <w:tcPr>
            <w:tcW w:w="1086" w:type="pct"/>
          </w:tcPr>
          <w:p w14:paraId="24F9DB1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Evzio</w:t>
            </w:r>
            <w:r w:rsidR="002705AC" w:rsidRPr="00D61F73">
              <w:rPr>
                <w:rFonts w:ascii="Arial" w:hAnsi="Arial" w:cs="Arial"/>
              </w:rPr>
              <w:t>®</w:t>
            </w:r>
            <w:r w:rsidRPr="00D61F73">
              <w:rPr>
                <w:rFonts w:ascii="Arial" w:hAnsi="Arial" w:cs="Arial"/>
              </w:rPr>
              <w:t xml:space="preserve"> (naloxone)</w:t>
            </w:r>
          </w:p>
        </w:tc>
        <w:tc>
          <w:tcPr>
            <w:tcW w:w="3914" w:type="pct"/>
            <w:tcBorders>
              <w:bottom w:val="single" w:sz="4" w:space="0" w:color="auto"/>
            </w:tcBorders>
          </w:tcPr>
          <w:p w14:paraId="20564EA2" w14:textId="77777777" w:rsidR="00E648FC" w:rsidRPr="00D61F73" w:rsidRDefault="00364621" w:rsidP="00D61F73">
            <w:pPr>
              <w:rPr>
                <w:rFonts w:ascii="Arial" w:hAnsi="Arial" w:cs="Arial"/>
              </w:rPr>
            </w:pPr>
            <w:r w:rsidRPr="00D61F73">
              <w:rPr>
                <w:rFonts w:ascii="Arial" w:hAnsi="Arial" w:cs="Arial"/>
              </w:rPr>
              <w:t xml:space="preserve">Not recommended except on a case-by-case basis after preauthorization, as naloxone is not generally recommended in ODG for outpatient, pre-hospital </w:t>
            </w:r>
            <w:r w:rsidR="0029647C" w:rsidRPr="00D61F73">
              <w:rPr>
                <w:rFonts w:ascii="Arial" w:hAnsi="Arial" w:cs="Arial"/>
              </w:rPr>
              <w:t xml:space="preserve">use by untrained lay users. See </w:t>
            </w:r>
            <w:hyperlink r:id="rId75" w:anchor="Naloxone" w:history="1">
              <w:r w:rsidRPr="00D61F73">
                <w:rPr>
                  <w:rStyle w:val="Hyperlink"/>
                  <w:rFonts w:ascii="Arial" w:hAnsi="Arial" w:cs="Arial"/>
                  <w:u w:val="none"/>
                </w:rPr>
                <w:t>Naloxone</w:t>
              </w:r>
            </w:hyperlink>
            <w:r w:rsidR="0029647C" w:rsidRPr="00D61F73">
              <w:rPr>
                <w:rFonts w:ascii="Arial" w:hAnsi="Arial" w:cs="Arial"/>
              </w:rPr>
              <w:t xml:space="preserve"> </w:t>
            </w:r>
            <w:r w:rsidRPr="00D61F73">
              <w:rPr>
                <w:rFonts w:ascii="Arial" w:hAnsi="Arial" w:cs="Arial"/>
              </w:rPr>
              <w:t xml:space="preserve">(Narcan®). Evzio® is an FDA-approved naloxone drug-device combination indicated for the emergency treatment of opioid overdose. The device is designed to guide an untrained lay user through the process of use for overdose reversal. It is labeled for prehospital lay use. It does not require pre use training nor </w:t>
            </w:r>
            <w:r w:rsidRPr="00D61F73">
              <w:rPr>
                <w:rFonts w:ascii="Arial" w:hAnsi="Arial" w:cs="Arial"/>
              </w:rPr>
              <w:lastRenderedPageBreak/>
              <w:t>does it require assembly (as required for existing intramuscular or off-label intranasal use). (</w:t>
            </w:r>
            <w:hyperlink w:anchor="Beletsky2015" w:history="1">
              <w:r w:rsidR="0029647C" w:rsidRPr="00D61F73">
                <w:rPr>
                  <w:rStyle w:val="Hyperlink"/>
                  <w:rFonts w:ascii="Arial" w:hAnsi="Arial" w:cs="Arial"/>
                  <w:u w:val="none"/>
                </w:rPr>
                <w:t>Beletsky, 2015</w:t>
              </w:r>
            </w:hyperlink>
            <w:r w:rsidR="0029647C" w:rsidRPr="00D61F73">
              <w:rPr>
                <w:rFonts w:ascii="Arial" w:hAnsi="Arial" w:cs="Arial"/>
              </w:rPr>
              <w:t xml:space="preserve">) See </w:t>
            </w:r>
            <w:hyperlink w:anchor="Naloxone" w:history="1">
              <w:r w:rsidR="0029647C" w:rsidRPr="00D61F73">
                <w:rPr>
                  <w:rStyle w:val="Hyperlink"/>
                  <w:rFonts w:ascii="Arial" w:hAnsi="Arial" w:cs="Arial"/>
                  <w:u w:val="none"/>
                </w:rPr>
                <w:t>Naloxone</w:t>
              </w:r>
            </w:hyperlink>
            <w:r w:rsidR="0029647C" w:rsidRPr="00D61F73">
              <w:rPr>
                <w:rFonts w:ascii="Arial" w:hAnsi="Arial" w:cs="Arial"/>
              </w:rPr>
              <w:t xml:space="preserve"> </w:t>
            </w:r>
            <w:r w:rsidRPr="00D61F73">
              <w:rPr>
                <w:rFonts w:ascii="Arial" w:hAnsi="Arial" w:cs="Arial"/>
              </w:rPr>
              <w:t>(Narcan®) for complete information.</w:t>
            </w:r>
          </w:p>
        </w:tc>
      </w:tr>
      <w:tr w:rsidR="00E648FC" w:rsidRPr="00D61F73" w14:paraId="16042049" w14:textId="77777777" w:rsidTr="0078164D">
        <w:tc>
          <w:tcPr>
            <w:tcW w:w="1086" w:type="pct"/>
          </w:tcPr>
          <w:p w14:paraId="4228963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E</w:t>
            </w:r>
            <w:bookmarkStart w:id="212" w:name="Exalgo"/>
            <w:bookmarkEnd w:id="212"/>
            <w:r w:rsidRPr="00D61F73">
              <w:rPr>
                <w:rFonts w:ascii="Arial" w:hAnsi="Arial" w:cs="Arial"/>
              </w:rPr>
              <w:t xml:space="preserve">xalgo (hydromorphone) </w:t>
            </w:r>
          </w:p>
        </w:tc>
        <w:tc>
          <w:tcPr>
            <w:tcW w:w="3914" w:type="pct"/>
            <w:tcBorders>
              <w:bottom w:val="single" w:sz="4" w:space="0" w:color="auto"/>
            </w:tcBorders>
          </w:tcPr>
          <w:p w14:paraId="2A18D730" w14:textId="77777777" w:rsidR="00E648FC" w:rsidRPr="00D61F73" w:rsidRDefault="00E648FC" w:rsidP="00D61F73">
            <w:pPr>
              <w:rPr>
                <w:rFonts w:ascii="Arial" w:hAnsi="Arial" w:cs="Arial"/>
              </w:rPr>
            </w:pPr>
            <w:r w:rsidRPr="00D61F73">
              <w:rPr>
                <w:rFonts w:ascii="Arial" w:hAnsi="Arial" w:cs="Arial"/>
              </w:rPr>
              <w:t xml:space="preserve">Exalgo (hydromorphone) is a once-a-day extended release opioid formulation for the management of moderate to severe pain in opioid-tolerant patients requiring continuous, around-the-clock opioid analgesia for an extended period of time, with an FDA black box warning. </w:t>
            </w:r>
          </w:p>
        </w:tc>
      </w:tr>
      <w:tr w:rsidR="00E648FC" w:rsidRPr="00D61F73" w14:paraId="5AD562C4" w14:textId="77777777" w:rsidTr="0078164D">
        <w:tc>
          <w:tcPr>
            <w:tcW w:w="1086" w:type="pct"/>
          </w:tcPr>
          <w:p w14:paraId="37574DD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E</w:t>
            </w:r>
            <w:bookmarkStart w:id="213" w:name="Exercise"/>
            <w:bookmarkEnd w:id="213"/>
            <w:r w:rsidRPr="00D61F73">
              <w:rPr>
                <w:rFonts w:ascii="Arial" w:hAnsi="Arial" w:cs="Arial"/>
              </w:rPr>
              <w:t xml:space="preserve">xercise </w:t>
            </w:r>
          </w:p>
        </w:tc>
        <w:tc>
          <w:tcPr>
            <w:tcW w:w="3914" w:type="pct"/>
            <w:tcBorders>
              <w:bottom w:val="single" w:sz="4" w:space="0" w:color="auto"/>
            </w:tcBorders>
          </w:tcPr>
          <w:p w14:paraId="2B50EE5E" w14:textId="77777777" w:rsidR="00E648FC" w:rsidRPr="00D61F73" w:rsidRDefault="00E648FC" w:rsidP="00D61F73">
            <w:pPr>
              <w:rPr>
                <w:rFonts w:ascii="Arial" w:hAnsi="Arial" w:cs="Arial"/>
              </w:rPr>
            </w:pPr>
            <w:r w:rsidRPr="00D61F73">
              <w:rPr>
                <w:rFonts w:ascii="Arial" w:hAnsi="Arial" w:cs="Arial"/>
              </w:rPr>
              <w:t>Recommended. There is strong evidence that exercise programs, including aerobic conditioning and strengthening, are superior to treatment programs that do not include exercise. There is no sufficient evidence to support the recommendation of any particular exercise regimen over any other exercise regimen. A therapeutic exercise program should be initiated at the start of any treatment or rehabilitation program, unless exercise is contraindicated. Such programs should emphasize education, independence, and the importance of an on-going exercise regime. (</w:t>
            </w:r>
            <w:hyperlink w:anchor="Colorado2" w:history="1">
              <w:r w:rsidRPr="00D61F73">
                <w:rPr>
                  <w:rStyle w:val="Hyperlink"/>
                  <w:rFonts w:ascii="Arial" w:hAnsi="Arial" w:cs="Arial"/>
                </w:rPr>
                <w:t>State, 2002</w:t>
              </w:r>
            </w:hyperlink>
            <w:r w:rsidRPr="00D61F73">
              <w:rPr>
                <w:rFonts w:ascii="Arial" w:hAnsi="Arial" w:cs="Arial"/>
              </w:rPr>
              <w:t>) (</w:t>
            </w:r>
            <w:hyperlink w:anchor="Airaksinen2" w:history="1">
              <w:r w:rsidRPr="00D61F73">
                <w:rPr>
                  <w:rStyle w:val="Hyperlink"/>
                  <w:rFonts w:ascii="Arial" w:hAnsi="Arial" w:cs="Arial"/>
                </w:rPr>
                <w:t>Airaksinen, 2006</w:t>
              </w:r>
            </w:hyperlink>
            <w:r w:rsidRPr="00D61F73">
              <w:rPr>
                <w:rFonts w:ascii="Arial" w:hAnsi="Arial" w:cs="Arial"/>
              </w:rPr>
              <w:t>) A recent study of the long-term impact of aerobic exercise on musculoskeletal pain, in a prospective cohort of 866 healthy seniors followed for 14 years, found that exercise was associated with a substantial and significant reduction in pain even after adjusting for gender, baseline BMI and attrition, and despite the fact that fractures, a significant predictor of pain, were slightly more common among exercisers. (</w:t>
            </w:r>
            <w:hyperlink w:anchor="Bruce" w:history="1">
              <w:r w:rsidRPr="00D61F73">
                <w:rPr>
                  <w:rStyle w:val="Hyperlink"/>
                  <w:rFonts w:ascii="Arial" w:hAnsi="Arial" w:cs="Arial"/>
                </w:rPr>
                <w:t>Bruce, 2005</w:t>
              </w:r>
            </w:hyperlink>
            <w:r w:rsidRPr="00D61F73">
              <w:rPr>
                <w:rFonts w:ascii="Arial" w:hAnsi="Arial" w:cs="Arial"/>
              </w:rPr>
              <w:t>) A recent trial concluded that active physical treatment, cognitive-behavioral treatment, and the two combined each resulted in equally significant improvement, much better compared to no treatment. (The cognitive treatment focused on encouraging increased physical activity.) (</w:t>
            </w:r>
            <w:hyperlink w:anchor="Smeets" w:history="1">
              <w:r w:rsidRPr="00D61F73">
                <w:rPr>
                  <w:rStyle w:val="Hyperlink"/>
                  <w:rFonts w:ascii="Arial" w:hAnsi="Arial" w:cs="Arial"/>
                </w:rPr>
                <w:t>Smeets, 2006</w:t>
              </w:r>
            </w:hyperlink>
            <w:r w:rsidRPr="00D61F73">
              <w:rPr>
                <w:rFonts w:ascii="Arial" w:hAnsi="Arial" w:cs="Arial"/>
              </w:rPr>
              <w:t>) Progressive walking, simple strength training, and stretching improved functional status, key symptoms, and self-efficacy in patients with fibromyalgia. (</w:t>
            </w:r>
            <w:hyperlink w:anchor="Rooks2" w:history="1">
              <w:r w:rsidRPr="00D61F73">
                <w:rPr>
                  <w:rStyle w:val="Hyperlink"/>
                  <w:rFonts w:ascii="Arial" w:hAnsi="Arial" w:cs="Arial"/>
                </w:rPr>
                <w:t>Rooks, 2007</w:t>
              </w:r>
            </w:hyperlink>
            <w:r w:rsidRPr="00D61F73">
              <w:rPr>
                <w:rFonts w:ascii="Arial" w:hAnsi="Arial" w:cs="Arial"/>
              </w:rPr>
              <w:t>) Physical conditioning in chronic pain patients can have immediate and long-term benefits, according to a low-quality study presented at the American Academy of Pain Medicine 24th Annual Meeting. (</w:t>
            </w:r>
            <w:hyperlink w:anchor="Burleson" w:history="1">
              <w:r w:rsidRPr="00D61F73">
                <w:rPr>
                  <w:rStyle w:val="Hyperlink"/>
                  <w:rFonts w:ascii="Arial" w:hAnsi="Arial" w:cs="Arial"/>
                </w:rPr>
                <w:t>Burleson, 2008</w:t>
              </w:r>
            </w:hyperlink>
            <w:r w:rsidRPr="00D61F73">
              <w:rPr>
                <w:rFonts w:ascii="Arial" w:hAnsi="Arial" w:cs="Arial"/>
              </w:rPr>
              <w:t>) Physical therapy in warm-water has been effective and highly recommended in persons with fibromyalgia. In this RCT, an aquatic exercise program including one-hour, supervised, water-based exercise sessions, three times per week for 8 months, was found to be cost-effective in terms of both health care costs and societal costs. (</w:t>
            </w:r>
            <w:hyperlink w:anchor="Gusi" w:history="1">
              <w:r w:rsidRPr="00D61F73">
                <w:rPr>
                  <w:rStyle w:val="Hyperlink"/>
                  <w:rFonts w:ascii="Arial" w:hAnsi="Arial" w:cs="Arial"/>
                </w:rPr>
                <w:t>Gusi, 2008</w:t>
              </w:r>
            </w:hyperlink>
            <w:r w:rsidRPr="00D61F73">
              <w:rPr>
                <w:rFonts w:ascii="Arial" w:hAnsi="Arial" w:cs="Arial"/>
              </w:rPr>
              <w:t>) A meta-analysis concluded that there is gold level evidence that supervised aerobic exercise training has beneficial effects on physical capacity and fibromyalgia syndrome (FMS) symptoms, and strength training may also have benefits on some FMS symptoms. (</w:t>
            </w:r>
            <w:hyperlink w:anchor="Busch" w:history="1">
              <w:r w:rsidRPr="00D61F73">
                <w:rPr>
                  <w:rStyle w:val="Hyperlink"/>
                  <w:rFonts w:ascii="Arial" w:hAnsi="Arial" w:cs="Arial"/>
                </w:rPr>
                <w:t>Busch-</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w:t>
            </w:r>
          </w:p>
        </w:tc>
      </w:tr>
      <w:tr w:rsidR="00E648FC" w:rsidRPr="00D61F73" w14:paraId="31BB68D3" w14:textId="77777777" w:rsidTr="0078164D">
        <w:tc>
          <w:tcPr>
            <w:tcW w:w="1086" w:type="pct"/>
          </w:tcPr>
          <w:p w14:paraId="473AD22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14" w:name="Facetblocks"/>
            <w:bookmarkEnd w:id="214"/>
            <w:r w:rsidRPr="00D61F73">
              <w:rPr>
                <w:rFonts w:ascii="Arial" w:hAnsi="Arial" w:cs="Arial"/>
              </w:rPr>
              <w:t xml:space="preserve">acet blocks </w:t>
            </w:r>
          </w:p>
        </w:tc>
        <w:tc>
          <w:tcPr>
            <w:tcW w:w="3914" w:type="pct"/>
            <w:tcBorders>
              <w:bottom w:val="single" w:sz="4" w:space="0" w:color="auto"/>
            </w:tcBorders>
          </w:tcPr>
          <w:p w14:paraId="369CA039" w14:textId="7ADEAC95" w:rsidR="00E648FC" w:rsidRPr="00D61F73" w:rsidRDefault="00E648FC" w:rsidP="00D61F73">
            <w:pPr>
              <w:rPr>
                <w:rFonts w:ascii="Arial" w:hAnsi="Arial" w:cs="Arial"/>
              </w:rPr>
            </w:pPr>
            <w:r w:rsidRPr="00D61F73">
              <w:rPr>
                <w:rFonts w:ascii="Arial" w:hAnsi="Arial" w:cs="Arial"/>
              </w:rPr>
              <w:t xml:space="preserve">Recommend no more than one therapeutic intra-articular lumbar block when facet joint pain is suspected, but not cervical blocks. Recommend no more than one set of medial branch diagnostic blocks prior to facet neurotomy, but not recommend medial branch blocks except as a diagnostic tool. Not recommend a multiple series of facet joint injections. Not recommend thoracic facet joint injections.  Refer to the </w:t>
            </w:r>
            <w:r w:rsidRPr="00DD0036">
              <w:rPr>
                <w:rFonts w:ascii="Arial" w:hAnsi="Arial" w:cs="Arial"/>
              </w:rPr>
              <w:t>MTUS Low Back Complaints</w:t>
            </w:r>
            <w:r w:rsidRPr="00D61F73">
              <w:rPr>
                <w:rFonts w:ascii="Arial" w:hAnsi="Arial" w:cs="Arial"/>
              </w:rPr>
              <w:t xml:space="preserve"> </w:t>
            </w:r>
            <w:r w:rsidR="0078070A" w:rsidRPr="00D61F73">
              <w:rPr>
                <w:rFonts w:ascii="Arial" w:hAnsi="Arial" w:cs="Arial"/>
              </w:rPr>
              <w:t>and</w:t>
            </w:r>
            <w:r w:rsidRPr="00D61F73">
              <w:rPr>
                <w:rFonts w:ascii="Arial" w:hAnsi="Arial" w:cs="Arial"/>
              </w:rPr>
              <w:t xml:space="preserve"> </w:t>
            </w:r>
            <w:r w:rsidRPr="00DD0036">
              <w:rPr>
                <w:rFonts w:ascii="Arial" w:hAnsi="Arial" w:cs="Arial"/>
              </w:rPr>
              <w:t>Neck and Upper Back Complaints</w:t>
            </w:r>
            <w:r w:rsidRPr="00D61F73">
              <w:rPr>
                <w:rFonts w:ascii="Arial" w:hAnsi="Arial" w:cs="Arial"/>
              </w:rPr>
              <w:t xml:space="preserve"> for detailed information.</w:t>
            </w:r>
          </w:p>
        </w:tc>
      </w:tr>
      <w:tr w:rsidR="00E648FC" w:rsidRPr="00D61F73" w14:paraId="597C4762" w14:textId="77777777" w:rsidTr="0078164D">
        <w:tc>
          <w:tcPr>
            <w:tcW w:w="1086" w:type="pct"/>
          </w:tcPr>
          <w:p w14:paraId="7DB1306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15" w:name="Fenoprofen"/>
            <w:bookmarkEnd w:id="215"/>
            <w:r w:rsidRPr="00D61F73">
              <w:rPr>
                <w:rFonts w:ascii="Arial" w:hAnsi="Arial" w:cs="Arial"/>
              </w:rPr>
              <w:t xml:space="preserve">enoprofen </w:t>
            </w:r>
            <w:r w:rsidRPr="00D61F73">
              <w:rPr>
                <w:rFonts w:ascii="Arial" w:hAnsi="Arial" w:cs="Arial"/>
              </w:rPr>
              <w:lastRenderedPageBreak/>
              <w:t>(Nalfon®)</w:t>
            </w:r>
          </w:p>
        </w:tc>
        <w:tc>
          <w:tcPr>
            <w:tcW w:w="3914" w:type="pct"/>
            <w:tcBorders>
              <w:bottom w:val="single" w:sz="4" w:space="0" w:color="auto"/>
            </w:tcBorders>
          </w:tcPr>
          <w:p w14:paraId="1199EF41" w14:textId="14652497" w:rsidR="00E648FC" w:rsidRPr="00D61F73" w:rsidRDefault="00E648FC" w:rsidP="00D61F73">
            <w:pPr>
              <w:rPr>
                <w:rFonts w:ascii="Arial" w:hAnsi="Arial" w:cs="Arial"/>
              </w:rPr>
            </w:pPr>
            <w:r w:rsidRPr="00D61F73">
              <w:rPr>
                <w:rFonts w:ascii="Arial" w:hAnsi="Arial" w:cs="Arial"/>
              </w:rPr>
              <w:lastRenderedPageBreak/>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 xml:space="preserve">NSAIDs, GI </w:t>
              </w:r>
              <w:r w:rsidRPr="00D61F73">
                <w:rPr>
                  <w:rStyle w:val="Hyperlink"/>
                  <w:rFonts w:ascii="Arial" w:hAnsi="Arial" w:cs="Arial"/>
                </w:rPr>
                <w:lastRenderedPageBreak/>
                <w:t>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FenoprofenListing" w:history="1">
              <w:r w:rsidRPr="00D61F73">
                <w:rPr>
                  <w:rStyle w:val="Hyperlink"/>
                  <w:rFonts w:ascii="Arial" w:hAnsi="Arial" w:cs="Arial"/>
                </w:rPr>
                <w:t>Fenoprofen</w:t>
              </w:r>
            </w:hyperlink>
            <w:r w:rsidRPr="00D61F73">
              <w:rPr>
                <w:rFonts w:ascii="Arial" w:hAnsi="Arial" w:cs="Arial"/>
              </w:rPr>
              <w:t xml:space="preserve"> (Nalfon®) listing for more information and references.</w:t>
            </w:r>
          </w:p>
        </w:tc>
      </w:tr>
      <w:tr w:rsidR="00E648FC" w:rsidRPr="00D61F73" w14:paraId="6EDF50F8" w14:textId="77777777" w:rsidTr="0078164D">
        <w:tc>
          <w:tcPr>
            <w:tcW w:w="1086" w:type="pct"/>
          </w:tcPr>
          <w:p w14:paraId="0FCB725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F</w:t>
            </w:r>
            <w:bookmarkStart w:id="216" w:name="Fentanyl"/>
            <w:bookmarkEnd w:id="216"/>
            <w:r w:rsidRPr="00D61F73">
              <w:rPr>
                <w:rFonts w:ascii="Arial" w:hAnsi="Arial" w:cs="Arial"/>
              </w:rPr>
              <w:t xml:space="preserve">entanyl </w:t>
            </w:r>
          </w:p>
        </w:tc>
        <w:tc>
          <w:tcPr>
            <w:tcW w:w="3914" w:type="pct"/>
            <w:tcBorders>
              <w:bottom w:val="single" w:sz="4" w:space="0" w:color="auto"/>
            </w:tcBorders>
          </w:tcPr>
          <w:p w14:paraId="0AEE3120" w14:textId="5526D0DB" w:rsidR="00E648FC" w:rsidRPr="00D61F73" w:rsidRDefault="0045113C" w:rsidP="00D61F73">
            <w:pPr>
              <w:rPr>
                <w:rFonts w:ascii="Arial" w:hAnsi="Arial" w:cs="Arial"/>
              </w:rPr>
            </w:pPr>
            <w:r w:rsidRPr="00D61F73">
              <w:rPr>
                <w:rFonts w:ascii="Arial" w:hAnsi="Arial" w:cs="Arial"/>
              </w:rPr>
              <w:t>See</w:t>
            </w:r>
            <w:r w:rsidR="00E648FC" w:rsidRPr="00D61F73">
              <w:rPr>
                <w:rFonts w:ascii="Arial" w:hAnsi="Arial" w:cs="Arial"/>
              </w:rPr>
              <w:t xml:space="preserve"> </w:t>
            </w:r>
            <w:r w:rsidR="00D75D58" w:rsidRPr="00D61F73">
              <w:rPr>
                <w:rFonts w:ascii="Arial" w:hAnsi="Arial" w:cs="Arial"/>
              </w:rPr>
              <w:t xml:space="preserve">MTUS Opioids Treatment Guidelines </w:t>
            </w:r>
            <w:r w:rsidR="00E648FC" w:rsidRPr="00D61F73">
              <w:rPr>
                <w:rFonts w:ascii="Arial" w:hAnsi="Arial" w:cs="Arial"/>
                <w:bCs/>
              </w:rPr>
              <w:t xml:space="preserve">for recommendations on the use of opioids such as fentanyl. </w:t>
            </w:r>
            <w:r w:rsidR="00E648FC" w:rsidRPr="00D61F73">
              <w:rPr>
                <w:rFonts w:ascii="Arial" w:hAnsi="Arial" w:cs="Arial"/>
              </w:rPr>
              <w:t>Fentanyl is an opioid analgesic with a potency eighty times that of morphine. Weaker opioids are less likely to produce adverse effects than stronger opioids such as fentanyl.  The FDA has approved an immediate-release transmucosal tablet formulation of fentanyl (Abstral; ProStraken, Inc) for the management of breakthrough cancer pain. Because Abstral is subject to abuse and misuse, the product was approved with a risk evaluation and mitigation strategy (REMS) that includes a restricted distribution program requiring registration of prescribers, pharmacies, and patients. (</w:t>
            </w:r>
            <w:hyperlink r:id="rId76" w:history="1">
              <w:r w:rsidR="00E648FC" w:rsidRPr="00D61F73">
                <w:rPr>
                  <w:rStyle w:val="Hyperlink"/>
                  <w:rFonts w:ascii="Arial" w:hAnsi="Arial" w:cs="Arial"/>
                  <w:u w:val="none"/>
                </w:rPr>
                <w:t>FDA, 2011</w:t>
              </w:r>
            </w:hyperlink>
            <w:r w:rsidR="00E648FC" w:rsidRPr="00D61F73">
              <w:rPr>
                <w:rFonts w:ascii="Arial" w:hAnsi="Arial" w:cs="Arial"/>
              </w:rPr>
              <w:t>)</w:t>
            </w:r>
          </w:p>
        </w:tc>
      </w:tr>
      <w:tr w:rsidR="00E648FC" w:rsidRPr="00D61F73" w14:paraId="75DE3831" w14:textId="77777777" w:rsidTr="0078164D">
        <w:tc>
          <w:tcPr>
            <w:tcW w:w="1086" w:type="pct"/>
          </w:tcPr>
          <w:p w14:paraId="08322AB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17" w:name="Fentora"/>
            <w:bookmarkEnd w:id="217"/>
            <w:r w:rsidRPr="00D61F73">
              <w:rPr>
                <w:rFonts w:ascii="Arial" w:hAnsi="Arial" w:cs="Arial"/>
              </w:rPr>
              <w:t xml:space="preserve">entora® (fentanyl effervescent buccal tablet) </w:t>
            </w:r>
          </w:p>
          <w:p w14:paraId="079D6242" w14:textId="77777777" w:rsidR="00E648FC" w:rsidRPr="00D61F73" w:rsidRDefault="00E648FC" w:rsidP="00D61F73">
            <w:pPr>
              <w:pStyle w:val="Footer"/>
              <w:tabs>
                <w:tab w:val="clear" w:pos="4320"/>
                <w:tab w:val="clear" w:pos="8640"/>
              </w:tabs>
              <w:rPr>
                <w:rFonts w:ascii="Arial" w:hAnsi="Arial" w:cs="Arial"/>
              </w:rPr>
            </w:pPr>
          </w:p>
          <w:p w14:paraId="3BCF4529"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Borders>
              <w:bottom w:val="single" w:sz="4" w:space="0" w:color="auto"/>
            </w:tcBorders>
          </w:tcPr>
          <w:p w14:paraId="36E7CE32" w14:textId="49A5A002" w:rsidR="001B5C47" w:rsidRPr="00D61F73" w:rsidRDefault="00F0050E" w:rsidP="00D61F73">
            <w:pPr>
              <w:rPr>
                <w:rFonts w:ascii="Arial" w:hAnsi="Arial" w:cs="Arial"/>
              </w:rPr>
            </w:pPr>
            <w:r w:rsidRPr="00D61F73">
              <w:rPr>
                <w:rFonts w:ascii="Arial" w:hAnsi="Arial" w:cs="Arial"/>
              </w:rPr>
              <w:t>See</w:t>
            </w:r>
            <w:r w:rsidR="006D5F33" w:rsidRPr="00D61F73">
              <w:rPr>
                <w:rFonts w:ascii="Arial" w:hAnsi="Arial" w:cs="Arial"/>
              </w:rPr>
              <w:t xml:space="preserve"> </w:t>
            </w:r>
            <w:r w:rsidR="00411A05" w:rsidRPr="00D61F73">
              <w:rPr>
                <w:rFonts w:ascii="Arial" w:hAnsi="Arial" w:cs="Arial"/>
              </w:rPr>
              <w:t xml:space="preserve">MTUS Opioids Treatment Guidelines </w:t>
            </w:r>
            <w:r w:rsidR="006D5F33" w:rsidRPr="00D61F73">
              <w:rPr>
                <w:rFonts w:ascii="Arial" w:hAnsi="Arial" w:cs="Arial"/>
                <w:bCs/>
              </w:rPr>
              <w:t>for recommendations on the use of opioids.</w:t>
            </w:r>
            <w:r w:rsidR="00E648FC" w:rsidRPr="00D61F73">
              <w:rPr>
                <w:rFonts w:ascii="Arial" w:hAnsi="Arial" w:cs="Arial"/>
              </w:rPr>
              <w:t xml:space="preserve">Fentora is an opioid painkiller currently approved for the treatment of breakthrough pain in certain cancer patients. Cephalon had applied to the FDA for approval to market the drug for patients with other pain conditions such as chronic low back pain and chronic neuropathic pain, </w:t>
            </w:r>
            <w:r w:rsidR="0096432F">
              <w:rPr>
                <w:rFonts w:ascii="Arial" w:hAnsi="Arial" w:cs="Arial"/>
              </w:rPr>
              <w:t xml:space="preserve">but approval was not obtained. </w:t>
            </w:r>
          </w:p>
        </w:tc>
      </w:tr>
      <w:tr w:rsidR="00E648FC" w:rsidRPr="00D61F73" w14:paraId="6ED844EF" w14:textId="77777777" w:rsidTr="0078164D">
        <w:tc>
          <w:tcPr>
            <w:tcW w:w="1086" w:type="pct"/>
          </w:tcPr>
          <w:p w14:paraId="691E9C7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18" w:name="Fibromyalgiasyndrome"/>
            <w:bookmarkEnd w:id="218"/>
            <w:r w:rsidRPr="00D61F73">
              <w:rPr>
                <w:rFonts w:ascii="Arial" w:hAnsi="Arial" w:cs="Arial"/>
              </w:rPr>
              <w:t xml:space="preserve">ibromyalgia syndrome (FMS) </w:t>
            </w:r>
          </w:p>
        </w:tc>
        <w:tc>
          <w:tcPr>
            <w:tcW w:w="3914" w:type="pct"/>
          </w:tcPr>
          <w:p w14:paraId="5664A9F0" w14:textId="77777777" w:rsidR="00E648FC" w:rsidRPr="00D61F73" w:rsidRDefault="00E648FC" w:rsidP="00D61F73">
            <w:pPr>
              <w:rPr>
                <w:rFonts w:ascii="Arial" w:hAnsi="Arial" w:cs="Arial"/>
              </w:rPr>
            </w:pPr>
            <w:r w:rsidRPr="00D61F73">
              <w:rPr>
                <w:rFonts w:ascii="Arial" w:hAnsi="Arial" w:cs="Arial"/>
              </w:rPr>
              <w:t>Overview of this pain syndrome (not a procedure): Despite the chronicity and complexity of fibromyalgia syndrome (FMS), there are pharmacological and nonpharmacological interventions available that have clinical benefit. Based on current evidence, a stepwise program emphasizing education, certain medications, exercise, cognitive therapy, or all 4 should be recommended. Current evidence suggests efficacy of low-dose tricyclic antidepressants, cardiovascular exercise, cognitive behavioral therapy, and patient education. A number of other commonly used FMS therapies, such as trigger point injections, have not been adequately evaluated. (</w:t>
            </w:r>
            <w:hyperlink w:anchor="Goldenberg" w:history="1">
              <w:r w:rsidRPr="00D61F73">
                <w:rPr>
                  <w:rStyle w:val="Hyperlink"/>
                  <w:rFonts w:ascii="Arial" w:hAnsi="Arial" w:cs="Arial"/>
                </w:rPr>
                <w:t>Goldenberg-JAMA, 2004</w:t>
              </w:r>
            </w:hyperlink>
            <w:r w:rsidRPr="00D61F73">
              <w:rPr>
                <w:rFonts w:ascii="Arial" w:hAnsi="Arial" w:cs="Arial"/>
              </w:rPr>
              <w:t>) Definitions: Criteria for the classification of Fibromyalgia: (1) History of widespread pain. (2) Pain in 11 of 18 tender point sites on digital palpation. For classification purposes, patients will be said to have fibromyalgia if both criteria are satisfied. Widespread pain must have been present for at least 3 months. The presence of a second clinical disorder does not exclude the diagnosis of fibromyalgia, but fibromyalgia is a controversial &amp; self-perpetuating diagnosis - screen for related conditions &amp; return to regular activities as soon as possible. (</w:t>
            </w:r>
            <w:hyperlink w:anchor="Wolfe" w:history="1">
              <w:r w:rsidRPr="00D61F73">
                <w:rPr>
                  <w:rStyle w:val="Hyperlink"/>
                  <w:rFonts w:ascii="Arial" w:hAnsi="Arial" w:cs="Arial"/>
                </w:rPr>
                <w:t>Wolfe, 1990</w:t>
              </w:r>
            </w:hyperlink>
            <w:r w:rsidRPr="00D61F73">
              <w:rPr>
                <w:rFonts w:ascii="Arial" w:hAnsi="Arial" w:cs="Arial"/>
              </w:rPr>
              <w:t>) Although the American College of Rheumatology (ACR) criteria for fibromyalgia are used to identify individuals with both widespread pain and tenderness, individuals who meet these criteria are not a homogeneous group. There are three distinct subgroups of patients with fibromyalgia. There appears to be a group of fibromyalgia patients who exhibit extreme tenderness but lack any associated psychological/cognitive factors, an intermediate group who display moderate tenderness and have normal mood, and a group in whom mood and cognitive factors may be significantly influencing the symptom report. (</w:t>
            </w:r>
            <w:hyperlink w:anchor="Giesecke" w:history="1">
              <w:r w:rsidRPr="00D61F73">
                <w:rPr>
                  <w:rStyle w:val="Hyperlink"/>
                  <w:rFonts w:ascii="Arial" w:hAnsi="Arial" w:cs="Arial"/>
                </w:rPr>
                <w:t>Giesecke, 2003</w:t>
              </w:r>
            </w:hyperlink>
            <w:r w:rsidRPr="00D61F73">
              <w:rPr>
                <w:rFonts w:ascii="Arial" w:hAnsi="Arial" w:cs="Arial"/>
              </w:rPr>
              <w:t xml:space="preserve">) For fibromyalgia, there is limited evidence of the effectiveness of </w:t>
            </w:r>
            <w:r w:rsidR="00705BCE" w:rsidRPr="00D61F73">
              <w:rPr>
                <w:rFonts w:ascii="Arial" w:hAnsi="Arial" w:cs="Arial"/>
              </w:rPr>
              <w:t>amitriptyline</w:t>
            </w:r>
            <w:r w:rsidRPr="00D61F73">
              <w:rPr>
                <w:rFonts w:ascii="Arial" w:hAnsi="Arial" w:cs="Arial"/>
              </w:rPr>
              <w:t>. (</w:t>
            </w:r>
            <w:hyperlink w:anchor="Moulin2" w:history="1">
              <w:r w:rsidRPr="00D61F73">
                <w:rPr>
                  <w:rStyle w:val="Hyperlink"/>
                  <w:rFonts w:ascii="Arial" w:hAnsi="Arial" w:cs="Arial"/>
                </w:rPr>
                <w:t>Moulin, 2001</w:t>
              </w:r>
            </w:hyperlink>
            <w:r w:rsidRPr="00D61F73">
              <w:rPr>
                <w:rFonts w:ascii="Arial" w:hAnsi="Arial" w:cs="Arial"/>
              </w:rPr>
              <w:t xml:space="preserve">) In treating pain associated with fibromyalgia, gabapentin-treated patients displayed a </w:t>
            </w:r>
            <w:r w:rsidRPr="00D61F73">
              <w:rPr>
                <w:rFonts w:ascii="Arial" w:hAnsi="Arial" w:cs="Arial"/>
              </w:rPr>
              <w:lastRenderedPageBreak/>
              <w:t>significantly greater improvement in their average pain severity score. (</w:t>
            </w:r>
            <w:hyperlink w:anchor="Arnold" w:history="1">
              <w:r w:rsidRPr="00D61F73">
                <w:rPr>
                  <w:rStyle w:val="Hyperlink"/>
                  <w:rFonts w:ascii="Arial" w:hAnsi="Arial" w:cs="Arial"/>
                </w:rPr>
                <w:t>Arnold, 2007</w:t>
              </w:r>
            </w:hyperlink>
            <w:r w:rsidRPr="00D61F73">
              <w:rPr>
                <w:rFonts w:ascii="Arial" w:hAnsi="Arial" w:cs="Arial"/>
              </w:rPr>
              <w:t>) In June 2007 FDA announced the approval of pregabalin (Lyrica®) as the first approved treatment for fibromyalgia. Two double-blind, controlled clinical trials, involving about 1,800 patients, supported approval for use in treating fibromyalgia with doses of 300 milligrams or 450 milligrams per day. (</w:t>
            </w:r>
            <w:hyperlink w:anchor="FDA2" w:history="1">
              <w:r w:rsidRPr="00D61F73">
                <w:rPr>
                  <w:rStyle w:val="Hyperlink"/>
                  <w:rFonts w:ascii="Arial" w:hAnsi="Arial" w:cs="Arial"/>
                </w:rPr>
                <w:t>FDA, 2007</w:t>
              </w:r>
            </w:hyperlink>
            <w:r w:rsidRPr="00D61F73">
              <w:rPr>
                <w:rFonts w:ascii="Arial" w:hAnsi="Arial" w:cs="Arial"/>
              </w:rPr>
              <w:t xml:space="preserve">) Progressive walking, simple strength training, and stretching improved functional status, key symptoms, and self-efficacy in women with fibromyalgia actively treated with medication, according to the results of a randomized controlled trial reported in the November 12 issue of the </w:t>
            </w:r>
            <w:r w:rsidRPr="00D61F73">
              <w:rPr>
                <w:rFonts w:ascii="Arial" w:hAnsi="Arial" w:cs="Arial"/>
                <w:i/>
                <w:iCs/>
              </w:rPr>
              <w:t>Archives of Internal Medicine</w:t>
            </w:r>
            <w:r w:rsidRPr="00D61F73">
              <w:rPr>
                <w:rFonts w:ascii="Arial" w:hAnsi="Arial" w:cs="Arial"/>
              </w:rPr>
              <w:t>. The benefits of exercise are enhanced when combined with targeted self-management education. (</w:t>
            </w:r>
            <w:hyperlink w:anchor="Rooks2" w:history="1">
              <w:r w:rsidRPr="00D61F73">
                <w:rPr>
                  <w:rStyle w:val="Hyperlink"/>
                  <w:rFonts w:ascii="Arial" w:hAnsi="Arial" w:cs="Arial"/>
                </w:rPr>
                <w:t>Rooks, 2007</w:t>
              </w:r>
            </w:hyperlink>
            <w:r w:rsidRPr="00D61F73">
              <w:rPr>
                <w:rFonts w:ascii="Arial" w:hAnsi="Arial" w:cs="Arial"/>
              </w:rPr>
              <w:t>) On June 13, 2008, the FDA approved a new indication for duloxetine HCl delayed-release capsules (Cymbalta®; Eli Lilly and Company), allowing their use for the management of fibromyalgia in adults. Previously, only pregabalin (Lyrica®; Pfizer, Inc) was approved to treat this painful condition. The FDA notes that although duloxetine was effective for reducing pain in patients with and without major depressive disorder, the degree of pain relief may have been greater in those with comorbid depression. Treatment of fibromyalgia with duloxetine should be initiated at 30 mg/day for 1 week and then uptitrated to the recommended 60-mg dose. (</w:t>
            </w:r>
            <w:hyperlink w:anchor="Waknine" w:history="1">
              <w:r w:rsidRPr="00D61F73">
                <w:rPr>
                  <w:rStyle w:val="Hyperlink"/>
                  <w:rFonts w:ascii="Arial" w:hAnsi="Arial" w:cs="Arial"/>
                </w:rPr>
                <w:t>Waknine, 2008</w:t>
              </w:r>
            </w:hyperlink>
            <w:r w:rsidRPr="00D61F73">
              <w:rPr>
                <w:rFonts w:ascii="Arial" w:hAnsi="Arial" w:cs="Arial"/>
              </w:rPr>
              <w:t>) This meta-analysis concluded that there is gold level evidence that supervised aerobic exercise training has beneficial effects on physical capacity and fibromyalgia syndrome (FMS) symptoms, and strength training may also have benefits on some FMS symptoms. (</w:t>
            </w:r>
            <w:hyperlink w:anchor="Busch" w:history="1">
              <w:r w:rsidRPr="00D61F73">
                <w:rPr>
                  <w:rStyle w:val="Hyperlink"/>
                  <w:rFonts w:ascii="Arial" w:hAnsi="Arial" w:cs="Arial"/>
                </w:rPr>
                <w:t>Busch-</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 Obesity is linked to an increased risk for fibromyalgia. Women who reported exercising 4 times per week had a 29% lower risk of FM [fibromyalgia] compared with inactive women. Women who reported the highest exercise level had a relative risk (RR) of 0.77 for the development of fibromyalgia, and there was a weak dose-response association between level of physical exercise and the risk for fibromyalgia. Compared with normal-weight women, overweight or obese women had a 60% to 70% higher risk for fibromyalgia. BMI was an independent risk factor for fibromyalgia. Compared with normal-weight women who exercised at least 1 hour per week, overweight or obese women with a similar activity level had a 72% higher risk for fibromyalgia, whereas overweight or obese women who exercised less than 1 hour per week or who were inactive had more than double the risk for fibromyalgia. (</w:t>
            </w:r>
            <w:hyperlink w:anchor="Mork" w:history="1">
              <w:r w:rsidRPr="00D61F73">
                <w:rPr>
                  <w:rStyle w:val="Hyperlink"/>
                  <w:rFonts w:ascii="Arial" w:hAnsi="Arial" w:cs="Arial"/>
                </w:rPr>
                <w:t>Mork, 2010</w:t>
              </w:r>
            </w:hyperlink>
            <w:r w:rsidRPr="00D61F73">
              <w:rPr>
                <w:rFonts w:ascii="Arial" w:hAnsi="Arial" w:cs="Arial"/>
              </w:rPr>
              <w:t>) Tai chi may be a helpful intervention for patients with fibromyalgia. (</w:t>
            </w:r>
            <w:hyperlink w:anchor="Wang2010" w:history="1">
              <w:r w:rsidRPr="00D61F73">
                <w:rPr>
                  <w:rStyle w:val="Hyperlink"/>
                  <w:rFonts w:ascii="Arial" w:hAnsi="Arial" w:cs="Arial"/>
                </w:rPr>
                <w:t>Wang, 2010</w:t>
              </w:r>
            </w:hyperlink>
            <w:r w:rsidRPr="00D61F73">
              <w:rPr>
                <w:rFonts w:ascii="Arial" w:hAnsi="Arial" w:cs="Arial"/>
              </w:rPr>
              <w:t>) Women with fibromyalgia can reduce symptoms of the disease and improve their function by practicing the mind-body techniques of yoga, a new RCT concludes. The results suggested that yoga led to a beneficial shift in how patients cope with pain, including greater use of adaptive pain-coping strategies, such as engaging in activities despite pain, acceptance of their condition, the use of religion as a coping mechanism, and the ability to relax. (</w:t>
            </w:r>
            <w:hyperlink w:anchor="Carson2010" w:history="1">
              <w:r w:rsidRPr="00D61F73">
                <w:rPr>
                  <w:rStyle w:val="Hyperlink"/>
                  <w:rFonts w:ascii="Arial" w:hAnsi="Arial" w:cs="Arial"/>
                </w:rPr>
                <w:t>Carson, 2010</w:t>
              </w:r>
            </w:hyperlink>
            <w:r w:rsidRPr="00D61F73">
              <w:rPr>
                <w:rFonts w:ascii="Arial" w:hAnsi="Arial" w:cs="Arial"/>
              </w:rPr>
              <w:t>) In the latest American College of Rheumatology diagnostic criteria for fibromyalgia, the most important diagnostic variables were a widespread pain index (a measure of the number of painful body regions) and categorical scales for cognitive symptoms, unrefreshed sleep, fatigue, and number of somatic symptoms. (</w:t>
            </w:r>
            <w:hyperlink w:anchor="Wolfe2010" w:history="1">
              <w:r w:rsidRPr="00D61F73">
                <w:rPr>
                  <w:rStyle w:val="Hyperlink"/>
                  <w:rFonts w:ascii="Arial" w:hAnsi="Arial" w:cs="Arial"/>
                </w:rPr>
                <w:t>Wolfe, 2010</w:t>
              </w:r>
            </w:hyperlink>
            <w:r w:rsidRPr="00D61F73">
              <w:rPr>
                <w:rFonts w:ascii="Arial" w:hAnsi="Arial" w:cs="Arial"/>
              </w:rPr>
              <w:t xml:space="preserve">) A program aimed at easing </w:t>
            </w:r>
            <w:r w:rsidRPr="00D61F73">
              <w:rPr>
                <w:rFonts w:ascii="Arial" w:hAnsi="Arial" w:cs="Arial"/>
              </w:rPr>
              <w:lastRenderedPageBreak/>
              <w:t>stress with meditation and yoga may not be much help for patients with fibromyalgia, a recent RCT suggests. (</w:t>
            </w:r>
            <w:hyperlink w:anchor="Schmidt2011" w:history="1">
              <w:r w:rsidRPr="00D61F73">
                <w:rPr>
                  <w:rStyle w:val="Hyperlink"/>
                  <w:rFonts w:ascii="Arial" w:hAnsi="Arial" w:cs="Arial"/>
                </w:rPr>
                <w:t>Schmidt, 2011</w:t>
              </w:r>
            </w:hyperlink>
            <w:r w:rsidRPr="00D61F73">
              <w:rPr>
                <w:rFonts w:ascii="Arial" w:hAnsi="Arial" w:cs="Arial"/>
              </w:rPr>
              <w:t>) Vagus nerve stimulation may show early promise in fibromyalgia. The study included 14 adult women who had physician-diagnosed fibromyalgia for at least 2 years and were refractory to conventional pharmacological treatment (</w:t>
            </w:r>
            <w:r w:rsidR="00705BCE" w:rsidRPr="00D61F73">
              <w:rPr>
                <w:rFonts w:ascii="Arial" w:hAnsi="Arial" w:cs="Arial"/>
              </w:rPr>
              <w:t>i.e.</w:t>
            </w:r>
            <w:r w:rsidRPr="00D61F73">
              <w:rPr>
                <w:rFonts w:ascii="Arial" w:hAnsi="Arial" w:cs="Arial"/>
              </w:rPr>
              <w:t>, nonsteroidal anti-inflammatories, tricyclic antidepressants, and anticonvulsants). They were surgically implanted with a vagus nerve stimulation (VNS) device. The results may represent a placebo effect related to being in a treatment trial necessitating surgery, feeling a sensory stimulus throughout the day and having high hopes for a good therapeutic outcome. (</w:t>
            </w:r>
            <w:hyperlink w:anchor="Lange2011" w:history="1">
              <w:r w:rsidRPr="00D61F73">
                <w:rPr>
                  <w:rStyle w:val="Hyperlink"/>
                  <w:rFonts w:ascii="Arial" w:hAnsi="Arial" w:cs="Arial"/>
                </w:rPr>
                <w:t>Lange, 2011</w:t>
              </w:r>
            </w:hyperlink>
            <w:r w:rsidRPr="00D61F73">
              <w:rPr>
                <w:rFonts w:ascii="Arial" w:hAnsi="Arial" w:cs="Arial"/>
              </w:rPr>
              <w:t>) Low doses of the muscle relaxant cyclobenzaprine, taken at bedtime, may help people with fibromyalgia sleep better and feel less pain, according to a small study. Pain declined 26% in the drug group over the study, only 18% more than in the placebo group. (</w:t>
            </w:r>
            <w:hyperlink w:anchor="Lederman2011" w:history="1">
              <w:r w:rsidRPr="00D61F73">
                <w:rPr>
                  <w:rStyle w:val="Hyperlink"/>
                  <w:rFonts w:ascii="Arial" w:hAnsi="Arial" w:cs="Arial"/>
                </w:rPr>
                <w:t>Lederman, 2011</w:t>
              </w:r>
            </w:hyperlink>
            <w:r w:rsidRPr="00D61F73">
              <w:rPr>
                <w:rFonts w:ascii="Arial" w:hAnsi="Arial" w:cs="Arial"/>
              </w:rPr>
              <w:t>) In this study trazodone significantly improved fibromyalgia severity and associated symptomatology. Its combination with pregabalin potentiated this improvement and the tolerability of the drugs in association was good. (</w:t>
            </w:r>
            <w:hyperlink w:anchor="Calandre2011" w:history="1">
              <w:r w:rsidRPr="00D61F73">
                <w:rPr>
                  <w:rStyle w:val="Hyperlink"/>
                  <w:rFonts w:ascii="Arial" w:hAnsi="Arial" w:cs="Arial"/>
                </w:rPr>
                <w:t>Calandre, 2011</w:t>
              </w:r>
            </w:hyperlink>
            <w:r w:rsidRPr="00D61F73">
              <w:rPr>
                <w:rFonts w:ascii="Arial" w:hAnsi="Arial" w:cs="Arial"/>
              </w:rPr>
              <w:t>)</w:t>
            </w:r>
          </w:p>
        </w:tc>
      </w:tr>
      <w:tr w:rsidR="00E648FC" w:rsidRPr="00D61F73" w14:paraId="56B5FA08" w14:textId="77777777" w:rsidTr="0078164D">
        <w:tc>
          <w:tcPr>
            <w:tcW w:w="1086" w:type="pct"/>
          </w:tcPr>
          <w:p w14:paraId="79D9827A"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F</w:t>
            </w:r>
            <w:bookmarkStart w:id="219" w:name="Fioricet"/>
            <w:bookmarkEnd w:id="219"/>
            <w:r w:rsidRPr="00D61F73">
              <w:rPr>
                <w:rFonts w:ascii="Arial" w:hAnsi="Arial" w:cs="Arial"/>
              </w:rPr>
              <w:t>ioricet</w:t>
            </w:r>
          </w:p>
        </w:tc>
        <w:tc>
          <w:tcPr>
            <w:tcW w:w="3914" w:type="pct"/>
          </w:tcPr>
          <w:p w14:paraId="286F73B0" w14:textId="77777777" w:rsidR="00E648FC" w:rsidRPr="00D61F73" w:rsidRDefault="00E648FC" w:rsidP="00D61F73">
            <w:pPr>
              <w:rPr>
                <w:rFonts w:ascii="Arial" w:hAnsi="Arial" w:cs="Arial"/>
              </w:rPr>
            </w:pPr>
            <w:r w:rsidRPr="00D61F73">
              <w:rPr>
                <w:rFonts w:ascii="Arial" w:hAnsi="Arial" w:cs="Arial"/>
              </w:rPr>
              <w:t xml:space="preserve">Not recommended. See </w:t>
            </w:r>
            <w:hyperlink w:anchor="Barbituratecontaininganalgesicagents" w:history="1">
              <w:r w:rsidRPr="00D61F73">
                <w:rPr>
                  <w:rStyle w:val="Hyperlink"/>
                  <w:rFonts w:ascii="Arial" w:hAnsi="Arial" w:cs="Arial"/>
                </w:rPr>
                <w:t>Barbiturate-containing analgesic agents</w:t>
              </w:r>
            </w:hyperlink>
            <w:r w:rsidRPr="00D61F73">
              <w:rPr>
                <w:rFonts w:ascii="Arial" w:hAnsi="Arial" w:cs="Arial"/>
              </w:rPr>
              <w:t xml:space="preserve"> (BCAs).</w:t>
            </w:r>
          </w:p>
        </w:tc>
      </w:tr>
      <w:tr w:rsidR="00E648FC" w:rsidRPr="00D61F73" w14:paraId="0787853E" w14:textId="77777777" w:rsidTr="0078164D">
        <w:tc>
          <w:tcPr>
            <w:tcW w:w="1086" w:type="pct"/>
          </w:tcPr>
          <w:p w14:paraId="1E45EF9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0" w:name="Flavocoxid"/>
            <w:bookmarkEnd w:id="220"/>
            <w:r w:rsidRPr="00D61F73">
              <w:rPr>
                <w:rFonts w:ascii="Arial" w:hAnsi="Arial" w:cs="Arial"/>
              </w:rPr>
              <w:t>lavocoxid (Limbrel)</w:t>
            </w:r>
          </w:p>
        </w:tc>
        <w:tc>
          <w:tcPr>
            <w:tcW w:w="3914" w:type="pct"/>
          </w:tcPr>
          <w:p w14:paraId="7C05D9F5" w14:textId="77777777" w:rsidR="00E648FC" w:rsidRPr="00D61F73" w:rsidRDefault="00E648FC" w:rsidP="00D61F73">
            <w:pPr>
              <w:rPr>
                <w:rFonts w:ascii="Arial" w:hAnsi="Arial" w:cs="Arial"/>
                <w:bCs/>
              </w:rPr>
            </w:pPr>
            <w:r w:rsidRPr="00D61F73">
              <w:rPr>
                <w:rFonts w:ascii="Arial" w:hAnsi="Arial" w:cs="Arial"/>
                <w:bCs/>
              </w:rPr>
              <w:t xml:space="preserve">Not recommended </w:t>
            </w:r>
            <w:r w:rsidRPr="00D61F73">
              <w:rPr>
                <w:rFonts w:ascii="Arial" w:hAnsi="Arial" w:cs="Arial"/>
              </w:rPr>
              <w:t>for treatment of chronic pain</w:t>
            </w:r>
            <w:r w:rsidRPr="00D61F73">
              <w:rPr>
                <w:rFonts w:ascii="Arial" w:hAnsi="Arial" w:cs="Arial"/>
                <w:bCs/>
              </w:rPr>
              <w:t xml:space="preserve">. See </w:t>
            </w:r>
            <w:hyperlink w:anchor="Limbrel" w:history="1">
              <w:r w:rsidRPr="00D61F73">
                <w:rPr>
                  <w:rStyle w:val="Hyperlink"/>
                  <w:rFonts w:ascii="Arial" w:hAnsi="Arial" w:cs="Arial"/>
                  <w:bCs/>
                </w:rPr>
                <w:t>Limbrel</w:t>
              </w:r>
            </w:hyperlink>
            <w:r w:rsidRPr="00D61F73">
              <w:rPr>
                <w:rFonts w:ascii="Arial" w:hAnsi="Arial" w:cs="Arial"/>
                <w:bCs/>
              </w:rPr>
              <w:t xml:space="preserve"> (flavocoxid / arachidonic acid).</w:t>
            </w:r>
          </w:p>
        </w:tc>
      </w:tr>
      <w:tr w:rsidR="00E648FC" w:rsidRPr="00D61F73" w14:paraId="16DF11B6" w14:textId="77777777" w:rsidTr="0078164D">
        <w:tc>
          <w:tcPr>
            <w:tcW w:w="1086" w:type="pct"/>
          </w:tcPr>
          <w:p w14:paraId="750F4B1A"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1" w:name="Flectorpatch"/>
            <w:bookmarkEnd w:id="221"/>
            <w:r w:rsidRPr="00D61F73">
              <w:rPr>
                <w:rFonts w:ascii="Arial" w:hAnsi="Arial" w:cs="Arial"/>
              </w:rPr>
              <w:t>lector® patch (diclofenac epolamine)</w:t>
            </w:r>
          </w:p>
        </w:tc>
        <w:tc>
          <w:tcPr>
            <w:tcW w:w="3914" w:type="pct"/>
          </w:tcPr>
          <w:p w14:paraId="66C10B65" w14:textId="41196E67" w:rsidR="00E648FC" w:rsidRPr="00D61F73" w:rsidRDefault="00E648FC" w:rsidP="00D61F73">
            <w:pPr>
              <w:rPr>
                <w:rFonts w:ascii="Arial" w:hAnsi="Arial" w:cs="Arial"/>
              </w:rPr>
            </w:pPr>
            <w:r w:rsidRPr="00D61F73">
              <w:rPr>
                <w:rFonts w:ascii="Arial" w:hAnsi="Arial" w:cs="Arial"/>
              </w:rPr>
              <w:t xml:space="preserve">Not recommended as a first-line treatment. See the </w:t>
            </w:r>
            <w:hyperlink w:anchor="DiclofenacSodium" w:history="1">
              <w:r w:rsidRPr="00D61F73">
                <w:rPr>
                  <w:rStyle w:val="Hyperlink"/>
                  <w:rFonts w:ascii="Arial" w:hAnsi="Arial" w:cs="Arial"/>
                </w:rPr>
                <w:t>Diclofenac</w:t>
              </w:r>
            </w:hyperlink>
            <w:r w:rsidRPr="00D61F73">
              <w:rPr>
                <w:rFonts w:ascii="Arial" w:hAnsi="Arial" w:cs="Arial"/>
              </w:rPr>
              <w:t xml:space="preserve"> listing, where topical diclofenac is recommended for osteoarthritis after failure of an oral NSAID or contraindications to oral NSAIDs, after considering the increased risk profile with diclofenac, including topical formulations. </w:t>
            </w:r>
            <w:r w:rsidRPr="00D61F73">
              <w:rPr>
                <w:rFonts w:ascii="Arial" w:hAnsi="Arial" w:cs="Arial"/>
                <w:bCs/>
              </w:rPr>
              <w:t>Flector patch is FDA indicated for acute strains, sprains, and contusions. (</w:t>
            </w:r>
            <w:hyperlink r:id="rId77" w:history="1">
              <w:r w:rsidRPr="00D61F73">
                <w:rPr>
                  <w:rStyle w:val="Hyperlink"/>
                  <w:rFonts w:ascii="Arial" w:hAnsi="Arial" w:cs="Arial"/>
                  <w:bCs/>
                </w:rPr>
                <w:t>FDA, 2007</w:t>
              </w:r>
            </w:hyperlink>
            <w:r w:rsidRPr="00D61F73">
              <w:rPr>
                <w:rFonts w:ascii="Arial" w:hAnsi="Arial" w:cs="Arial"/>
                <w:bCs/>
              </w:rPr>
              <w:t xml:space="preserve">) </w:t>
            </w:r>
            <w:r w:rsidRPr="00D61F73">
              <w:rPr>
                <w:rFonts w:ascii="Arial" w:hAnsi="Arial" w:cs="Arial"/>
              </w:rPr>
              <w:t>On 12/07/09 the FDA issued warnings about the potential for elevation in liver function tests during treatment with all products containing diclofenac. Postmarketing surveillance has reported cases of severe hepatic reactions, including liver necrosis, jaundice, fulminant hepatitis with and without jaundice, and liver failure. Physicians should measure transaminases periodically in patients receiving long-term therapy with diclofenac. (</w:t>
            </w:r>
            <w:hyperlink r:id="rId78" w:history="1">
              <w:r w:rsidRPr="00D61F73">
                <w:rPr>
                  <w:rStyle w:val="Hyperlink"/>
                  <w:rFonts w:ascii="Arial" w:hAnsi="Arial" w:cs="Arial"/>
                </w:rPr>
                <w:t>FDA, 2009</w:t>
              </w:r>
            </w:hyperlink>
            <w:r w:rsidRPr="00D61F73">
              <w:rPr>
                <w:rFonts w:ascii="Arial" w:hAnsi="Arial" w:cs="Arial"/>
              </w:rPr>
              <w:t xml:space="preserve">) </w:t>
            </w:r>
            <w:r w:rsidRPr="00D61F73">
              <w:rPr>
                <w:rFonts w:ascii="Arial" w:hAnsi="Arial" w:cs="Arial"/>
                <w:bCs/>
              </w:rPr>
              <w:t xml:space="preserve">The efficacy in clinical trials for topical NSAIDs has been inconsistent and most studies are small and of short duration. Topical NSAIDs have been shown in meta-analysis to be superior to placebo during the first 2 weeks of treatment for osteoarthritis, but either not afterward, or with a diminishing effect over another 2-week period. These medications may be useful for chronic musculoskeletal pain, but there are no long-term studies of their effectiveness or safety. In addition, there is no data that substantiate Flector efficacy beyond two weeks. </w:t>
            </w:r>
            <w:r w:rsidRPr="00D61F73">
              <w:rPr>
                <w:rFonts w:ascii="Arial" w:hAnsi="Arial" w:cs="Arial"/>
              </w:rPr>
              <w:t xml:space="preserve">See also </w:t>
            </w:r>
            <w:hyperlink w:anchor="Topicalanalgesics" w:history="1">
              <w:r w:rsidRPr="00D61F73">
                <w:rPr>
                  <w:rStyle w:val="Hyperlink"/>
                  <w:rFonts w:ascii="Arial" w:hAnsi="Arial" w:cs="Arial"/>
                </w:rPr>
                <w:t>Topical analgesics</w:t>
              </w:r>
            </w:hyperlink>
            <w:r w:rsidRPr="00D61F73">
              <w:rPr>
                <w:rFonts w:ascii="Arial" w:hAnsi="Arial" w:cs="Arial"/>
              </w:rPr>
              <w:t xml:space="preserve">, </w:t>
            </w:r>
            <w:hyperlink w:anchor="NSAIDs" w:history="1">
              <w:r w:rsidRPr="00D61F73">
                <w:rPr>
                  <w:rStyle w:val="Hyperlink"/>
                  <w:rFonts w:ascii="Arial" w:hAnsi="Arial" w:cs="Arial"/>
                </w:rPr>
                <w:t>Non-steroidal antinflammatory agents</w:t>
              </w:r>
            </w:hyperlink>
            <w:r w:rsidRPr="00D61F73">
              <w:rPr>
                <w:rFonts w:ascii="Arial" w:hAnsi="Arial" w:cs="Arial"/>
              </w:rPr>
              <w:t xml:space="preserve"> (NSAIDs), and the </w:t>
            </w:r>
            <w:hyperlink w:anchor="Diclofenactopical" w:history="1">
              <w:r w:rsidRPr="00C254FC">
                <w:rPr>
                  <w:rStyle w:val="Hyperlink"/>
                  <w:rFonts w:ascii="Arial" w:hAnsi="Arial" w:cs="Arial"/>
                </w:rPr>
                <w:t>diclofenac topical</w:t>
              </w:r>
            </w:hyperlink>
            <w:r w:rsidRPr="00D61F73">
              <w:rPr>
                <w:rFonts w:ascii="Arial" w:hAnsi="Arial" w:cs="Arial"/>
              </w:rPr>
              <w:t xml:space="preserve"> listing. </w:t>
            </w:r>
          </w:p>
        </w:tc>
      </w:tr>
      <w:tr w:rsidR="00E648FC" w:rsidRPr="00D61F73" w14:paraId="7E5F2146" w14:textId="77777777" w:rsidTr="0078164D">
        <w:tc>
          <w:tcPr>
            <w:tcW w:w="1086" w:type="pct"/>
          </w:tcPr>
          <w:p w14:paraId="06B73BC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2" w:name="Flexeril"/>
            <w:bookmarkEnd w:id="222"/>
            <w:r w:rsidRPr="00D61F73">
              <w:rPr>
                <w:rFonts w:ascii="Arial" w:hAnsi="Arial" w:cs="Arial"/>
              </w:rPr>
              <w:t>lexeril® (Cyclobenzaprine)</w:t>
            </w:r>
          </w:p>
        </w:tc>
        <w:tc>
          <w:tcPr>
            <w:tcW w:w="3914" w:type="pct"/>
          </w:tcPr>
          <w:p w14:paraId="3E7DE24B" w14:textId="77777777" w:rsidR="00E648FC" w:rsidRPr="00D61F73" w:rsidRDefault="00E648FC" w:rsidP="00D61F73">
            <w:pPr>
              <w:rPr>
                <w:rFonts w:ascii="Arial" w:hAnsi="Arial" w:cs="Arial"/>
              </w:rPr>
            </w:pPr>
            <w:r w:rsidRPr="00D61F73">
              <w:rPr>
                <w:rFonts w:ascii="Arial" w:hAnsi="Arial" w:cs="Arial"/>
              </w:rPr>
              <w:t xml:space="preserve">See </w:t>
            </w:r>
            <w:hyperlink w:anchor="Cyclobenzaprine" w:history="1">
              <w:r w:rsidRPr="00D61F73">
                <w:rPr>
                  <w:rStyle w:val="Hyperlink"/>
                  <w:rFonts w:ascii="Arial" w:hAnsi="Arial" w:cs="Arial"/>
                </w:rPr>
                <w:t>Cyclobenzaprine</w:t>
              </w:r>
            </w:hyperlink>
            <w:r w:rsidRPr="00D61F73">
              <w:rPr>
                <w:rFonts w:ascii="Arial" w:hAnsi="Arial" w:cs="Arial"/>
              </w:rPr>
              <w:t xml:space="preserve"> (Flexeril®). </w:t>
            </w:r>
          </w:p>
        </w:tc>
      </w:tr>
      <w:tr w:rsidR="00E648FC" w:rsidRPr="00D61F73" w14:paraId="71A1261D" w14:textId="77777777" w:rsidTr="0078164D">
        <w:tc>
          <w:tcPr>
            <w:tcW w:w="1086" w:type="pct"/>
          </w:tcPr>
          <w:p w14:paraId="228C65F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3" w:name="Fluoxetine"/>
            <w:bookmarkEnd w:id="223"/>
            <w:r w:rsidRPr="00D61F73">
              <w:rPr>
                <w:rFonts w:ascii="Arial" w:hAnsi="Arial" w:cs="Arial"/>
              </w:rPr>
              <w:t>luoxetine</w:t>
            </w:r>
          </w:p>
        </w:tc>
        <w:tc>
          <w:tcPr>
            <w:tcW w:w="3914" w:type="pct"/>
          </w:tcPr>
          <w:p w14:paraId="7F300E4A" w14:textId="77777777" w:rsidR="00E648FC" w:rsidRPr="00D61F73" w:rsidRDefault="00E648FC" w:rsidP="00D61F73">
            <w:pPr>
              <w:rPr>
                <w:rFonts w:ascii="Arial" w:hAnsi="Arial" w:cs="Arial"/>
              </w:rPr>
            </w:pPr>
            <w:r w:rsidRPr="00D61F73">
              <w:rPr>
                <w:rFonts w:ascii="Arial" w:hAnsi="Arial" w:cs="Arial"/>
              </w:rPr>
              <w:t xml:space="preserve">See </w:t>
            </w:r>
            <w:hyperlink w:anchor="SSRIs" w:history="1">
              <w:r w:rsidRPr="00D61F73">
                <w:rPr>
                  <w:rStyle w:val="Hyperlink"/>
                  <w:rFonts w:ascii="Arial" w:hAnsi="Arial" w:cs="Arial"/>
                </w:rPr>
                <w:t>SSRIs</w:t>
              </w:r>
            </w:hyperlink>
            <w:r w:rsidRPr="00D61F73">
              <w:rPr>
                <w:rFonts w:ascii="Arial" w:hAnsi="Arial" w:cs="Arial"/>
              </w:rPr>
              <w:t xml:space="preserve"> (selective serotonin reuptake inhibitors).</w:t>
            </w:r>
          </w:p>
        </w:tc>
      </w:tr>
      <w:tr w:rsidR="00E648FC" w:rsidRPr="00D61F73" w14:paraId="5484DDD3" w14:textId="77777777" w:rsidTr="0078164D">
        <w:tc>
          <w:tcPr>
            <w:tcW w:w="1086" w:type="pct"/>
          </w:tcPr>
          <w:p w14:paraId="4E4022D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4" w:name="Flurazepam"/>
            <w:bookmarkEnd w:id="224"/>
            <w:r w:rsidRPr="00D61F73">
              <w:rPr>
                <w:rFonts w:ascii="Arial" w:hAnsi="Arial" w:cs="Arial"/>
              </w:rPr>
              <w:t>lurazepam</w:t>
            </w:r>
          </w:p>
        </w:tc>
        <w:tc>
          <w:tcPr>
            <w:tcW w:w="3914" w:type="pct"/>
          </w:tcPr>
          <w:p w14:paraId="0D857923" w14:textId="77777777" w:rsidR="00E648FC" w:rsidRPr="00D61F73" w:rsidRDefault="00E648FC"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0E83DE37" w14:textId="77777777" w:rsidTr="0078164D">
        <w:tc>
          <w:tcPr>
            <w:tcW w:w="1086" w:type="pct"/>
          </w:tcPr>
          <w:p w14:paraId="083EC4A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5" w:name="Flurbiprofen"/>
            <w:bookmarkEnd w:id="225"/>
            <w:r w:rsidRPr="00D61F73">
              <w:rPr>
                <w:rFonts w:ascii="Arial" w:hAnsi="Arial" w:cs="Arial"/>
              </w:rPr>
              <w:t>lurbiprofen (Ansaid®)</w:t>
            </w:r>
          </w:p>
        </w:tc>
        <w:tc>
          <w:tcPr>
            <w:tcW w:w="3914" w:type="pct"/>
          </w:tcPr>
          <w:p w14:paraId="6B0A8B03" w14:textId="3F77925A" w:rsidR="00E648FC" w:rsidRPr="00D61F73" w:rsidRDefault="00E648FC"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t>
            </w:r>
            <w:r w:rsidRPr="00D61F73">
              <w:rPr>
                <w:rFonts w:ascii="Arial" w:hAnsi="Arial" w:cs="Arial"/>
              </w:rPr>
              <w:lastRenderedPageBreak/>
              <w:t xml:space="preserve">well as specific </w:t>
            </w:r>
            <w:hyperlink w:anchor="NSAIDsdruglistandadverseeffects" w:history="1">
              <w:r w:rsidRPr="00D61F73">
                <w:rPr>
                  <w:rStyle w:val="Hyperlink"/>
                  <w:rFonts w:ascii="Arial" w:hAnsi="Arial" w:cs="Arial"/>
                </w:rPr>
                <w:t>Flurbiprofen</w:t>
              </w:r>
            </w:hyperlink>
            <w:r w:rsidRPr="00D61F73">
              <w:rPr>
                <w:rFonts w:ascii="Arial" w:hAnsi="Arial" w:cs="Arial"/>
              </w:rPr>
              <w:t xml:space="preserve"> (Ansaid®) listing for more information and references. For topical use, see Topical analgesics, </w:t>
            </w:r>
            <w:hyperlink w:anchor="NSAIDs" w:history="1">
              <w:r w:rsidRPr="00D61F73">
                <w:rPr>
                  <w:rStyle w:val="Hyperlink"/>
                  <w:rFonts w:ascii="Arial" w:hAnsi="Arial" w:cs="Arial"/>
                </w:rPr>
                <w:t>Non-steroidal antinflammatory agents</w:t>
              </w:r>
            </w:hyperlink>
            <w:r w:rsidRPr="00D61F73">
              <w:rPr>
                <w:rFonts w:ascii="Arial" w:hAnsi="Arial" w:cs="Arial"/>
              </w:rPr>
              <w:t xml:space="preserve"> (NSAIDs).</w:t>
            </w:r>
          </w:p>
        </w:tc>
      </w:tr>
      <w:tr w:rsidR="00E648FC" w:rsidRPr="00D61F73" w14:paraId="663F02C3" w14:textId="77777777" w:rsidTr="0078164D">
        <w:tc>
          <w:tcPr>
            <w:tcW w:w="1086" w:type="pct"/>
          </w:tcPr>
          <w:p w14:paraId="73F09BA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F</w:t>
            </w:r>
            <w:bookmarkStart w:id="226" w:name="Fluvoxamine"/>
            <w:bookmarkEnd w:id="226"/>
            <w:r w:rsidRPr="00D61F73">
              <w:rPr>
                <w:rFonts w:ascii="Arial" w:hAnsi="Arial" w:cs="Arial"/>
              </w:rPr>
              <w:t>luvoxamine</w:t>
            </w:r>
          </w:p>
        </w:tc>
        <w:tc>
          <w:tcPr>
            <w:tcW w:w="3914" w:type="pct"/>
          </w:tcPr>
          <w:p w14:paraId="70902DEE" w14:textId="77777777" w:rsidR="00E648FC" w:rsidRPr="00D61F73" w:rsidRDefault="00E648FC" w:rsidP="00D61F73">
            <w:pPr>
              <w:rPr>
                <w:rFonts w:ascii="Arial" w:hAnsi="Arial" w:cs="Arial"/>
              </w:rPr>
            </w:pPr>
            <w:r w:rsidRPr="00D61F73">
              <w:rPr>
                <w:rFonts w:ascii="Arial" w:hAnsi="Arial" w:cs="Arial"/>
              </w:rPr>
              <w:t xml:space="preserve">See </w:t>
            </w:r>
            <w:hyperlink w:anchor="SSRIs" w:history="1">
              <w:r w:rsidRPr="00D61F73">
                <w:rPr>
                  <w:rStyle w:val="Hyperlink"/>
                  <w:rFonts w:ascii="Arial" w:hAnsi="Arial" w:cs="Arial"/>
                </w:rPr>
                <w:t>SSRIs</w:t>
              </w:r>
            </w:hyperlink>
            <w:r w:rsidRPr="00D61F73">
              <w:rPr>
                <w:rFonts w:ascii="Arial" w:hAnsi="Arial" w:cs="Arial"/>
              </w:rPr>
              <w:t xml:space="preserve"> (selective serotonin reuptake inhibitors).</w:t>
            </w:r>
          </w:p>
        </w:tc>
      </w:tr>
      <w:tr w:rsidR="00E648FC" w:rsidRPr="00D61F73" w14:paraId="5415C561" w14:textId="77777777" w:rsidTr="0078164D">
        <w:tc>
          <w:tcPr>
            <w:tcW w:w="1086" w:type="pct"/>
          </w:tcPr>
          <w:p w14:paraId="1A59E40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7" w:name="FMRI"/>
            <w:bookmarkEnd w:id="227"/>
            <w:r w:rsidRPr="00D61F73">
              <w:rPr>
                <w:rFonts w:ascii="Arial" w:hAnsi="Arial" w:cs="Arial"/>
              </w:rPr>
              <w:t>MRI (functional magnetic resonance imaging)</w:t>
            </w:r>
          </w:p>
        </w:tc>
        <w:tc>
          <w:tcPr>
            <w:tcW w:w="3914" w:type="pct"/>
          </w:tcPr>
          <w:p w14:paraId="058ED889" w14:textId="77777777" w:rsidR="00E648FC" w:rsidRPr="00D61F73" w:rsidRDefault="00E648FC" w:rsidP="00D61F73">
            <w:pPr>
              <w:rPr>
                <w:rFonts w:ascii="Arial" w:hAnsi="Arial" w:cs="Arial"/>
              </w:rPr>
            </w:pPr>
            <w:r w:rsidRPr="00D61F73">
              <w:rPr>
                <w:rFonts w:ascii="Arial" w:hAnsi="Arial" w:cs="Arial"/>
              </w:rPr>
              <w:t xml:space="preserve">See </w:t>
            </w:r>
            <w:hyperlink w:anchor="Functionalimagingofbrainresponsestopain" w:history="1">
              <w:r w:rsidRPr="00D61F73">
                <w:rPr>
                  <w:rStyle w:val="Hyperlink"/>
                  <w:rFonts w:ascii="Arial" w:hAnsi="Arial" w:cs="Arial"/>
                </w:rPr>
                <w:t>Functional imaging of brain responses to pain</w:t>
              </w:r>
            </w:hyperlink>
            <w:r w:rsidRPr="00D61F73">
              <w:rPr>
                <w:rFonts w:ascii="Arial" w:hAnsi="Arial" w:cs="Arial"/>
              </w:rPr>
              <w:t xml:space="preserve">; &amp; </w:t>
            </w:r>
            <w:hyperlink w:anchor="FunctionalMRI" w:history="1">
              <w:r w:rsidRPr="00D61F73">
                <w:rPr>
                  <w:rStyle w:val="Hyperlink"/>
                  <w:rFonts w:ascii="Arial" w:hAnsi="Arial" w:cs="Arial"/>
                </w:rPr>
                <w:t>Functional MRI</w:t>
              </w:r>
            </w:hyperlink>
            <w:r w:rsidRPr="00D61F73">
              <w:rPr>
                <w:rFonts w:ascii="Arial" w:hAnsi="Arial" w:cs="Arial"/>
              </w:rPr>
              <w:t>.</w:t>
            </w:r>
          </w:p>
        </w:tc>
      </w:tr>
      <w:tr w:rsidR="00E648FC" w:rsidRPr="00D61F73" w14:paraId="3DB3C4E7" w14:textId="77777777" w:rsidTr="0078164D">
        <w:tc>
          <w:tcPr>
            <w:tcW w:w="1086" w:type="pct"/>
          </w:tcPr>
          <w:p w14:paraId="6241EA4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8" w:name="Functionalimagingofbrainresponsestopain"/>
            <w:bookmarkEnd w:id="228"/>
            <w:r w:rsidRPr="00D61F73">
              <w:rPr>
                <w:rFonts w:ascii="Arial" w:hAnsi="Arial" w:cs="Arial"/>
              </w:rPr>
              <w:t>unctional imaging of brain responses to pain</w:t>
            </w:r>
          </w:p>
        </w:tc>
        <w:tc>
          <w:tcPr>
            <w:tcW w:w="3914" w:type="pct"/>
          </w:tcPr>
          <w:p w14:paraId="15C4E5E2" w14:textId="77777777" w:rsidR="00E648FC" w:rsidRPr="00D61F73" w:rsidRDefault="00E648FC" w:rsidP="00D61F73">
            <w:pPr>
              <w:rPr>
                <w:rFonts w:ascii="Arial" w:hAnsi="Arial" w:cs="Arial"/>
              </w:rPr>
            </w:pPr>
            <w:r w:rsidRPr="00D61F73">
              <w:rPr>
                <w:rFonts w:ascii="Arial" w:hAnsi="Arial" w:cs="Arial"/>
              </w:rPr>
              <w:t>Not recommended except in research settings. Functional neuroimaging is helping to identify the sensory and emotional components of pain and its autonomic responses, and may help in the design of more rational treatments for pain. Specifically, functional magnetic resonance imaging (fMRI) may have an important role in improved therapeutic approaches to pain. Physiological studies of pain have found numerous regions of the brain to be involved in the interpretation of the 'pain experience'; studies in chronic pain conditions have identified a significant CNS component; and fMRI studies of surrogate models of chronic pain are also being used to further this understanding. (</w:t>
            </w:r>
            <w:hyperlink w:anchor="Peyron" w:history="1">
              <w:r w:rsidRPr="00D61F73">
                <w:rPr>
                  <w:rStyle w:val="Hyperlink"/>
                  <w:rFonts w:ascii="Arial" w:hAnsi="Arial" w:cs="Arial"/>
                </w:rPr>
                <w:t>Peyron, 2000</w:t>
              </w:r>
            </w:hyperlink>
            <w:r w:rsidRPr="00D61F73">
              <w:rPr>
                <w:rFonts w:ascii="Arial" w:hAnsi="Arial" w:cs="Arial"/>
              </w:rPr>
              <w:t>) (</w:t>
            </w:r>
            <w:hyperlink w:anchor="Mackey" w:history="1">
              <w:r w:rsidRPr="00D61F73">
                <w:rPr>
                  <w:rStyle w:val="Hyperlink"/>
                  <w:rFonts w:ascii="Arial" w:hAnsi="Arial" w:cs="Arial"/>
                </w:rPr>
                <w:t>Mackey, 2004</w:t>
              </w:r>
            </w:hyperlink>
            <w:r w:rsidRPr="00D61F73">
              <w:rPr>
                <w:rFonts w:ascii="Arial" w:hAnsi="Arial" w:cs="Arial"/>
              </w:rPr>
              <w:t>) (</w:t>
            </w:r>
            <w:hyperlink w:anchor="Borsook" w:history="1">
              <w:r w:rsidRPr="00D61F73">
                <w:rPr>
                  <w:rStyle w:val="Hyperlink"/>
                  <w:rFonts w:ascii="Arial" w:hAnsi="Arial" w:cs="Arial"/>
                </w:rPr>
                <w:t>Borsook, 2006</w:t>
              </w:r>
            </w:hyperlink>
            <w:r w:rsidRPr="00D61F73">
              <w:rPr>
                <w:rFonts w:ascii="Arial" w:hAnsi="Arial" w:cs="Arial"/>
              </w:rPr>
              <w:t>) (</w:t>
            </w:r>
            <w:hyperlink w:anchor="Prager" w:history="1">
              <w:r w:rsidRPr="00D61F73">
                <w:rPr>
                  <w:rStyle w:val="Hyperlink"/>
                  <w:rFonts w:ascii="Arial" w:hAnsi="Arial" w:cs="Arial"/>
                </w:rPr>
                <w:t>Prager, 2007</w:t>
              </w:r>
            </w:hyperlink>
            <w:r w:rsidRPr="00D61F73">
              <w:rPr>
                <w:rFonts w:ascii="Arial" w:hAnsi="Arial" w:cs="Arial"/>
              </w:rPr>
              <w:t>) Conditions such as depression, anxiety, sleep disturbances, and decision-making difficulties, which affect the quality of life of chronic pain patients as much as the pain itself, may be directly related to altered brain function as a result of chronic pain. (</w:t>
            </w:r>
            <w:hyperlink w:anchor="Baliki" w:history="1">
              <w:r w:rsidRPr="00D61F73">
                <w:rPr>
                  <w:rStyle w:val="Hyperlink"/>
                  <w:rFonts w:ascii="Arial" w:hAnsi="Arial" w:cs="Arial"/>
                </w:rPr>
                <w:t>Baliki, 2008</w:t>
              </w:r>
            </w:hyperlink>
            <w:r w:rsidRPr="00D61F73">
              <w:rPr>
                <w:rFonts w:ascii="Arial" w:hAnsi="Arial" w:cs="Arial"/>
              </w:rPr>
              <w:t>) In this study functional magnetic resonance imaging (fMRI) combined with support vector machine (SVM) algorithms accurately predicted thermal pain 81% of the time in healthy subjects. (</w:t>
            </w:r>
            <w:hyperlink w:anchor="Brown2011" w:history="1">
              <w:r w:rsidRPr="00D61F73">
                <w:rPr>
                  <w:rStyle w:val="Hyperlink"/>
                  <w:rFonts w:ascii="Arial" w:hAnsi="Arial" w:cs="Arial"/>
                </w:rPr>
                <w:t>Brown, 2011</w:t>
              </w:r>
            </w:hyperlink>
            <w:r w:rsidRPr="00D61F73">
              <w:rPr>
                <w:rFonts w:ascii="Arial" w:hAnsi="Arial" w:cs="Arial"/>
              </w:rPr>
              <w:t>) There is a distinct neurologic pattern on functional MRI (fMRI) that is specific to heat-induced pain and sensitive to the analgesic effects of opioids. This nociceptive pain signature could be used to confirm pain in those who cannot report accurately (eg, the very old, very young, cognitively impaired) or whose reports are not completely trusted by medical or legal decision-makers, but it should not be used as a pain lie detector because some individuals may have real pain that is not captured by this pattern. The authors conclude that more study is needed. (</w:t>
            </w:r>
            <w:hyperlink w:anchor="Wager2013" w:history="1">
              <w:r w:rsidRPr="00D61F73">
                <w:rPr>
                  <w:rStyle w:val="Hyperlink"/>
                  <w:rFonts w:ascii="Arial" w:hAnsi="Arial" w:cs="Arial"/>
                </w:rPr>
                <w:t>Wager, 2013</w:t>
              </w:r>
            </w:hyperlink>
            <w:r w:rsidRPr="00D61F73">
              <w:rPr>
                <w:rFonts w:ascii="Arial" w:hAnsi="Arial" w:cs="Arial"/>
              </w:rPr>
              <w:t>)</w:t>
            </w:r>
          </w:p>
        </w:tc>
      </w:tr>
      <w:tr w:rsidR="00E648FC" w:rsidRPr="00D61F73" w14:paraId="6CF8D73C" w14:textId="77777777" w:rsidTr="0078164D">
        <w:tc>
          <w:tcPr>
            <w:tcW w:w="1086" w:type="pct"/>
          </w:tcPr>
          <w:p w14:paraId="3495956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29" w:name="Functionalimprovementmeasures"/>
            <w:bookmarkEnd w:id="229"/>
            <w:r w:rsidRPr="00D61F73">
              <w:rPr>
                <w:rFonts w:ascii="Arial" w:hAnsi="Arial" w:cs="Arial"/>
              </w:rPr>
              <w:t xml:space="preserve">unctional improvement measures </w:t>
            </w:r>
          </w:p>
          <w:p w14:paraId="699269AF" w14:textId="77777777" w:rsidR="00E648FC" w:rsidRPr="00D61F73" w:rsidRDefault="00E648FC" w:rsidP="00D61F73">
            <w:pPr>
              <w:pStyle w:val="Footer"/>
              <w:tabs>
                <w:tab w:val="clear" w:pos="4320"/>
                <w:tab w:val="clear" w:pos="8640"/>
              </w:tabs>
              <w:rPr>
                <w:rFonts w:ascii="Arial" w:hAnsi="Arial" w:cs="Arial"/>
              </w:rPr>
            </w:pPr>
          </w:p>
          <w:p w14:paraId="30ED5EC7" w14:textId="77777777" w:rsidR="00E648FC" w:rsidRPr="00D61F73" w:rsidRDefault="00E648FC" w:rsidP="00D61F73">
            <w:pPr>
              <w:pStyle w:val="Footer"/>
              <w:tabs>
                <w:tab w:val="clear" w:pos="4320"/>
                <w:tab w:val="clear" w:pos="8640"/>
              </w:tabs>
              <w:rPr>
                <w:rFonts w:ascii="Arial" w:hAnsi="Arial" w:cs="Arial"/>
              </w:rPr>
            </w:pPr>
          </w:p>
        </w:tc>
        <w:tc>
          <w:tcPr>
            <w:tcW w:w="3914" w:type="pct"/>
          </w:tcPr>
          <w:p w14:paraId="1D59C9F8" w14:textId="50C2674D" w:rsidR="00E648FC" w:rsidRPr="00D61F73" w:rsidRDefault="00E648FC" w:rsidP="00D61F73">
            <w:pPr>
              <w:rPr>
                <w:rFonts w:ascii="Arial" w:hAnsi="Arial" w:cs="Arial"/>
              </w:rPr>
            </w:pPr>
            <w:r w:rsidRPr="00D61F73">
              <w:rPr>
                <w:rFonts w:ascii="Arial" w:hAnsi="Arial" w:cs="Arial"/>
              </w:rPr>
              <w:t xml:space="preserve">Recommended. </w:t>
            </w:r>
            <w:r w:rsidR="007D2ED3" w:rsidRPr="00D61F73">
              <w:rPr>
                <w:rFonts w:ascii="Arial" w:hAnsi="Arial" w:cs="Arial"/>
              </w:rPr>
              <w:t xml:space="preserve">See </w:t>
            </w:r>
            <w:r w:rsidR="00BE114D" w:rsidRPr="00D61F73">
              <w:rPr>
                <w:rFonts w:ascii="Arial" w:hAnsi="Arial" w:cs="Arial"/>
              </w:rPr>
              <w:t xml:space="preserve">MTUS Opioids Treatment Guidelines </w:t>
            </w:r>
            <w:r w:rsidRPr="00D61F73">
              <w:rPr>
                <w:rFonts w:ascii="Arial" w:hAnsi="Arial" w:cs="Arial"/>
              </w:rPr>
              <w:t>(Clinically Meaningful Improvement in Pain and Function). The importance of an assessment is to have a measure that can be used repeatedly over the course of treatment to demonstrate improvement of function, or maintenance of function that would otherwise deteriorate. It should include the following categories:</w:t>
            </w:r>
          </w:p>
          <w:p w14:paraId="18A5E21F" w14:textId="0BE16AC8" w:rsidR="00E648FC" w:rsidRPr="00B303F3" w:rsidRDefault="00E648FC" w:rsidP="00B303F3">
            <w:pPr>
              <w:rPr>
                <w:rFonts w:ascii="Calibri" w:eastAsia="Calibri" w:hAnsi="Calibri"/>
                <w:dstrike/>
                <w:color w:val="auto"/>
                <w:sz w:val="22"/>
                <w:szCs w:val="22"/>
              </w:rPr>
            </w:pPr>
            <w:r w:rsidRPr="00D61F73">
              <w:rPr>
                <w:rFonts w:ascii="Arial" w:hAnsi="Arial" w:cs="Arial"/>
                <w:i/>
                <w:iCs/>
                <w:u w:val="single"/>
              </w:rPr>
              <w:t>Work Functions and/or Activities of Daily Living, Self Report of Disability</w:t>
            </w:r>
            <w:r w:rsidRPr="00D61F73">
              <w:rPr>
                <w:rFonts w:ascii="Arial" w:hAnsi="Arial" w:cs="Arial"/>
              </w:rPr>
              <w:t xml:space="preserve"> (e.g., walking, driving</w:t>
            </w:r>
            <w:r w:rsidR="00755102">
              <w:rPr>
                <w:rFonts w:ascii="Arial" w:hAnsi="Arial" w:cs="Arial"/>
              </w:rPr>
              <w:t>, keyboard or lifting tolerance</w:t>
            </w:r>
            <w:r w:rsidR="00BC2EB0" w:rsidRPr="006469EB">
              <w:rPr>
                <w:rFonts w:ascii="Arial" w:hAnsi="Arial" w:cs="Arial"/>
              </w:rPr>
              <w:t xml:space="preserve"> </w:t>
            </w:r>
            <w:r w:rsidR="00BC2EB0" w:rsidRPr="006469EB">
              <w:rPr>
                <w:rFonts w:ascii="Calibri" w:eastAsia="Calibri" w:hAnsi="Calibri"/>
                <w:color w:val="auto"/>
                <w:sz w:val="22"/>
                <w:szCs w:val="22"/>
              </w:rPr>
              <w:t>,</w:t>
            </w:r>
            <w:r w:rsidRPr="00BC2EB0">
              <w:rPr>
                <w:rFonts w:ascii="Arial" w:hAnsi="Arial" w:cs="Arial"/>
              </w:rPr>
              <w:t xml:space="preserve"> </w:t>
            </w:r>
            <w:r w:rsidRPr="00D61F73">
              <w:rPr>
                <w:rFonts w:ascii="Arial" w:hAnsi="Arial" w:cs="Arial"/>
              </w:rPr>
              <w:t>Oswestry</w:t>
            </w:r>
            <w:r w:rsidR="00B303F3" w:rsidRPr="00940B4F">
              <w:rPr>
                <w:rFonts w:ascii="Calibri" w:eastAsia="Calibri" w:hAnsi="Calibri"/>
                <w:strike/>
                <w:color w:val="auto"/>
                <w:sz w:val="22"/>
                <w:szCs w:val="22"/>
              </w:rPr>
              <w:t>,</w:t>
            </w:r>
            <w:r w:rsidR="00B303F3" w:rsidRPr="00886943">
              <w:rPr>
                <w:rFonts w:ascii="Arial" w:hAnsi="Arial" w:cs="Arial"/>
              </w:rPr>
              <w:t xml:space="preserve"> </w:t>
            </w:r>
            <w:r w:rsidR="00C11217" w:rsidRPr="00B303F3">
              <w:rPr>
                <w:rFonts w:ascii="Arial" w:hAnsi="Arial" w:cs="Arial"/>
              </w:rPr>
              <w:t>pain</w:t>
            </w:r>
            <w:r w:rsidR="00C11217">
              <w:rPr>
                <w:rFonts w:ascii="Arial" w:hAnsi="Arial" w:cs="Arial"/>
              </w:rPr>
              <w:t xml:space="preserve"> </w:t>
            </w:r>
            <w:r w:rsidRPr="00D61F73">
              <w:rPr>
                <w:rFonts w:ascii="Arial" w:hAnsi="Arial" w:cs="Arial"/>
              </w:rPr>
              <w:t>scales, etc</w:t>
            </w:r>
            <w:r w:rsidR="001A4FD9" w:rsidRPr="00940B4F">
              <w:rPr>
                <w:rFonts w:ascii="Arial" w:hAnsi="Arial" w:cs="Arial"/>
                <w:u w:val="single"/>
              </w:rPr>
              <w:t>.</w:t>
            </w:r>
            <w:r w:rsidRPr="00D61F73">
              <w:rPr>
                <w:rFonts w:ascii="Arial" w:hAnsi="Arial" w:cs="Arial"/>
              </w:rPr>
              <w:t xml:space="preserve">): Objective measures of the patient’s functional performance in the clinic (e.g., able to lift 10 lbs floor to waist x 5 repetitions) are preferred, but this may include self-report of functional tolerance and can document the patient self-assessment of functional status through the use of questionnaires, pain scales, </w:t>
            </w:r>
            <w:r w:rsidR="00C11217" w:rsidRPr="00B303F3">
              <w:rPr>
                <w:rFonts w:ascii="Arial" w:hAnsi="Arial" w:cs="Arial"/>
              </w:rPr>
              <w:t>etc</w:t>
            </w:r>
            <w:r w:rsidR="006A61E7" w:rsidRPr="00940B4F">
              <w:rPr>
                <w:rFonts w:ascii="Arial" w:hAnsi="Arial" w:cs="Arial"/>
                <w:u w:val="single"/>
              </w:rPr>
              <w:t>.</w:t>
            </w:r>
            <w:r w:rsidRPr="00D61F73">
              <w:rPr>
                <w:rFonts w:ascii="Arial" w:hAnsi="Arial" w:cs="Arial"/>
              </w:rPr>
              <w:t>(Oswestry, DASH, VAS, etc.)</w:t>
            </w:r>
          </w:p>
          <w:p w14:paraId="2EE08D7D" w14:textId="2C759069" w:rsidR="00E648FC" w:rsidRPr="00D61F73" w:rsidRDefault="00E648FC" w:rsidP="00D61F73">
            <w:pPr>
              <w:rPr>
                <w:rFonts w:ascii="Arial" w:hAnsi="Arial" w:cs="Arial"/>
              </w:rPr>
            </w:pPr>
            <w:r w:rsidRPr="00D61F73">
              <w:rPr>
                <w:rFonts w:ascii="Arial" w:hAnsi="Arial" w:cs="Arial"/>
                <w:i/>
                <w:iCs/>
                <w:u w:val="single"/>
              </w:rPr>
              <w:t>Physical Impairments</w:t>
            </w:r>
            <w:r w:rsidRPr="00D61F73">
              <w:rPr>
                <w:rFonts w:ascii="Arial" w:hAnsi="Arial" w:cs="Arial"/>
              </w:rPr>
              <w:t xml:space="preserve"> (e.g., joint ROM, muscle flexibility, strength, or endurance deficits): Include objective measures of clinical exam findings. ROM should be in documented in degrees</w:t>
            </w:r>
            <w:r w:rsidR="001B5C47" w:rsidRPr="00D61F73">
              <w:rPr>
                <w:rFonts w:ascii="Arial" w:hAnsi="Arial" w:cs="Arial"/>
              </w:rPr>
              <w:t>.</w:t>
            </w:r>
            <w:r w:rsidR="00010E05" w:rsidRPr="00940B4F">
              <w:rPr>
                <w:rFonts w:ascii="Arial" w:hAnsi="Arial" w:cs="Arial"/>
                <w:iCs/>
                <w:strike/>
              </w:rPr>
              <w:t xml:space="preserve"> </w:t>
            </w:r>
            <w:r w:rsidR="00C11217" w:rsidRPr="00010E05">
              <w:rPr>
                <w:rFonts w:ascii="Arial" w:hAnsi="Arial" w:cs="Arial"/>
                <w:i/>
                <w:iCs/>
                <w:u w:val="single"/>
              </w:rPr>
              <w:t>Approach</w:t>
            </w:r>
            <w:r w:rsidR="00C11217">
              <w:rPr>
                <w:rFonts w:ascii="Arial" w:hAnsi="Arial" w:cs="Arial"/>
                <w:i/>
                <w:iCs/>
                <w:u w:val="single"/>
              </w:rPr>
              <w:t xml:space="preserve"> </w:t>
            </w:r>
            <w:r w:rsidRPr="00D61F73">
              <w:rPr>
                <w:rFonts w:ascii="Arial" w:hAnsi="Arial" w:cs="Arial"/>
                <w:i/>
                <w:iCs/>
                <w:u w:val="single"/>
              </w:rPr>
              <w:t xml:space="preserve">to Self-Care and </w:t>
            </w:r>
            <w:r w:rsidRPr="00D61F73">
              <w:rPr>
                <w:rFonts w:ascii="Arial" w:hAnsi="Arial" w:cs="Arial"/>
                <w:i/>
                <w:iCs/>
                <w:u w:val="single"/>
              </w:rPr>
              <w:lastRenderedPageBreak/>
              <w:t>Education</w:t>
            </w:r>
            <w:r w:rsidRPr="00D61F73">
              <w:rPr>
                <w:rFonts w:ascii="Arial" w:hAnsi="Arial" w:cs="Arial"/>
              </w:rPr>
              <w:t xml:space="preserve"> Reduced Reliance on Other Treatments, Modalities, or Medications: This includes the provider’s assessment of the patient compliance with a home program and motivation. The provider should also indicate a progression of care with increased active interventions (vs. passive interventions) and reduction in frequency of treatment over course of care. (</w:t>
            </w:r>
            <w:hyperlink w:anchor="California2" w:history="1">
              <w:r w:rsidRPr="00D61F73">
                <w:rPr>
                  <w:rStyle w:val="Hyperlink"/>
                  <w:rFonts w:ascii="Arial" w:hAnsi="Arial" w:cs="Arial"/>
                </w:rPr>
                <w:t>California, 2007</w:t>
              </w:r>
            </w:hyperlink>
            <w:r w:rsidRPr="00D61F73">
              <w:rPr>
                <w:rFonts w:ascii="Arial" w:hAnsi="Arial" w:cs="Arial"/>
              </w:rPr>
              <w:t>)</w:t>
            </w:r>
          </w:p>
          <w:p w14:paraId="23ACF57F" w14:textId="77777777" w:rsidR="00E648FC" w:rsidRDefault="00E648FC" w:rsidP="00D61F73">
            <w:pPr>
              <w:rPr>
                <w:rFonts w:ascii="Arial" w:hAnsi="Arial" w:cs="Arial"/>
              </w:rPr>
            </w:pPr>
            <w:r w:rsidRPr="00D61F73">
              <w:rPr>
                <w:rFonts w:ascii="Arial" w:hAnsi="Arial" w:cs="Arial"/>
              </w:rPr>
              <w:t>For chronic pain, also consider return to normal quality of life, e.g., go to work/volunteer each day; normal daily activities each day; have a social life outside of work; take an active part in family life. (</w:t>
            </w:r>
            <w:hyperlink w:anchor="Cowan" w:history="1">
              <w:r w:rsidRPr="00D61F73">
                <w:rPr>
                  <w:rStyle w:val="Hyperlink"/>
                  <w:rFonts w:ascii="Arial" w:hAnsi="Arial" w:cs="Arial"/>
                </w:rPr>
                <w:t>Cowan, 2008</w:t>
              </w:r>
            </w:hyperlink>
            <w:r w:rsidRPr="00D61F73">
              <w:rPr>
                <w:rFonts w:ascii="Arial" w:hAnsi="Arial" w:cs="Arial"/>
              </w:rPr>
              <w:t xml:space="preserve">) </w:t>
            </w:r>
          </w:p>
          <w:p w14:paraId="77A0C029" w14:textId="77777777" w:rsidR="009A07A0" w:rsidRPr="00D61F73" w:rsidRDefault="009A07A0" w:rsidP="00D61F73">
            <w:pPr>
              <w:rPr>
                <w:rFonts w:ascii="Arial" w:hAnsi="Arial" w:cs="Arial"/>
              </w:rPr>
            </w:pPr>
          </w:p>
        </w:tc>
      </w:tr>
      <w:tr w:rsidR="00E648FC" w:rsidRPr="00D61F73" w14:paraId="6409FB3A" w14:textId="77777777" w:rsidTr="0078164D">
        <w:tc>
          <w:tcPr>
            <w:tcW w:w="1086" w:type="pct"/>
          </w:tcPr>
          <w:p w14:paraId="2165F9D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F</w:t>
            </w:r>
            <w:bookmarkStart w:id="230" w:name="FunctionalMRI"/>
            <w:bookmarkEnd w:id="230"/>
            <w:r w:rsidRPr="00D61F73">
              <w:rPr>
                <w:rFonts w:ascii="Arial" w:hAnsi="Arial" w:cs="Arial"/>
              </w:rPr>
              <w:t xml:space="preserve">unctional MRI </w:t>
            </w:r>
          </w:p>
        </w:tc>
        <w:tc>
          <w:tcPr>
            <w:tcW w:w="3914" w:type="pct"/>
          </w:tcPr>
          <w:p w14:paraId="602E1C8B" w14:textId="77777777" w:rsidR="00E648FC" w:rsidRPr="00D61F73" w:rsidRDefault="00E648FC" w:rsidP="00D61F73">
            <w:pPr>
              <w:rPr>
                <w:rFonts w:ascii="Arial" w:hAnsi="Arial" w:cs="Arial"/>
              </w:rPr>
            </w:pPr>
            <w:r w:rsidRPr="00D61F73">
              <w:rPr>
                <w:rFonts w:ascii="Arial" w:hAnsi="Arial" w:cs="Arial"/>
              </w:rPr>
              <w:t>Not recommended. May be appropriate in a research setting. Functional neuroimaging is helping to identify the sensory and emotional components of pain and its autonomic responses, and may help in the design of more rational treatments for pain. However, this test is only useful in a research setting at this time and does not have a role in the evaluation or treatment of patients. There are no studies about the use of functional MRI in a clinical setting. (</w:t>
            </w:r>
            <w:hyperlink w:anchor="Borsook2" w:history="1">
              <w:r w:rsidRPr="00D61F73">
                <w:rPr>
                  <w:rStyle w:val="Hyperlink"/>
                  <w:rFonts w:ascii="Arial" w:hAnsi="Arial" w:cs="Arial"/>
                </w:rPr>
                <w:t>Borsook2, 2000</w:t>
              </w:r>
            </w:hyperlink>
            <w:r w:rsidRPr="00D61F73">
              <w:rPr>
                <w:rFonts w:ascii="Arial" w:hAnsi="Arial" w:cs="Arial"/>
              </w:rPr>
              <w:t>) In this study functional magnetic resonance imaging (fMRI) combined with support vector machine (SVM) algorithms accurately predicted thermal pain 81% of the time in healthy subjects. (</w:t>
            </w:r>
            <w:hyperlink w:anchor="Brown2011" w:history="1">
              <w:r w:rsidRPr="00D61F73">
                <w:rPr>
                  <w:rStyle w:val="Hyperlink"/>
                  <w:rFonts w:ascii="Arial" w:hAnsi="Arial" w:cs="Arial"/>
                </w:rPr>
                <w:t>Brown, 2011</w:t>
              </w:r>
            </w:hyperlink>
            <w:r w:rsidRPr="00D61F73">
              <w:rPr>
                <w:rFonts w:ascii="Arial" w:hAnsi="Arial" w:cs="Arial"/>
              </w:rPr>
              <w:t>) The algorithms are based on mind reading technology that has been used in cognitive neuroscience, but the technology is not yet ready for clinical application. Researchers are investigating whether this is an objective biomarker for chronic pain that could not only eventually help monitor pain therapies but also distinguish patients with real chronic pain. (</w:t>
            </w:r>
            <w:hyperlink w:anchor="Ung2012" w:history="1">
              <w:r w:rsidRPr="00D61F73">
                <w:rPr>
                  <w:rStyle w:val="Hyperlink"/>
                  <w:rFonts w:ascii="Arial" w:hAnsi="Arial" w:cs="Arial"/>
                </w:rPr>
                <w:t>Ung, 2012</w:t>
              </w:r>
            </w:hyperlink>
            <w:r w:rsidRPr="00D61F73">
              <w:rPr>
                <w:rFonts w:ascii="Arial" w:hAnsi="Arial" w:cs="Arial"/>
              </w:rPr>
              <w:t>)</w:t>
            </w:r>
          </w:p>
        </w:tc>
      </w:tr>
      <w:tr w:rsidR="00E648FC" w:rsidRPr="00D61F73" w14:paraId="21B1384C" w14:textId="77777777" w:rsidTr="0078164D">
        <w:tc>
          <w:tcPr>
            <w:tcW w:w="1086" w:type="pct"/>
          </w:tcPr>
          <w:p w14:paraId="6DF7CE2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F</w:t>
            </w:r>
            <w:bookmarkStart w:id="231" w:name="Functionalrestorationprograms"/>
            <w:bookmarkEnd w:id="231"/>
            <w:r w:rsidRPr="00D61F73">
              <w:rPr>
                <w:rFonts w:ascii="Arial" w:hAnsi="Arial" w:cs="Arial"/>
              </w:rPr>
              <w:t xml:space="preserve">unctional restoration programs (FRPs) </w:t>
            </w:r>
          </w:p>
        </w:tc>
        <w:tc>
          <w:tcPr>
            <w:tcW w:w="3914" w:type="pct"/>
          </w:tcPr>
          <w:p w14:paraId="56AC0E66" w14:textId="0083F2F8" w:rsidR="00E648FC" w:rsidRPr="00D61F73" w:rsidRDefault="00E648FC" w:rsidP="00D61F73">
            <w:pPr>
              <w:rPr>
                <w:rFonts w:ascii="Arial" w:hAnsi="Arial" w:cs="Arial"/>
              </w:rPr>
            </w:pPr>
            <w:r w:rsidRPr="00D61F73">
              <w:rPr>
                <w:rFonts w:ascii="Arial" w:hAnsi="Arial" w:cs="Arial"/>
              </w:rPr>
              <w:t xml:space="preserve">Recommended for selected patients with chronic disabling pain, although research is still ongoing as to how to most appropriately screen for inclusion in these programs. Functional restoration programs (FRPs), a type of treatment included in the category of interdisciplinary pain programs (see </w:t>
            </w:r>
            <w:hyperlink w:anchor="Chronicpainprograms" w:history="1">
              <w:r w:rsidRPr="00D61F73">
                <w:rPr>
                  <w:rStyle w:val="Hyperlink"/>
                  <w:rFonts w:ascii="Arial" w:hAnsi="Arial" w:cs="Arial"/>
                </w:rPr>
                <w:t>Chronic pain programs</w:t>
              </w:r>
            </w:hyperlink>
            <w:r w:rsidRPr="00D61F73">
              <w:rPr>
                <w:rFonts w:ascii="Arial" w:hAnsi="Arial" w:cs="Arial"/>
              </w:rPr>
              <w:t>), were originally developed by Mayer and Gatchel. FRPs were designed to use a medically directed, interdisciplinary pain management approach geared specifically to patients with chronic disabling occupational musculoskeletal disorders. These programs emphasize the importance of function over the elimination of pain. FRPs incorporate components of exercise progression with disability management and psychosocial intervention. Long-term evidence suggests that the benefit of these programs diminishes over time, but still remains positive when compared to cohorts that did not receive an intensive program. (</w:t>
            </w:r>
            <w:hyperlink w:anchor="Bendix" w:history="1">
              <w:r w:rsidRPr="00D61F73">
                <w:rPr>
                  <w:rStyle w:val="Hyperlink"/>
                  <w:rFonts w:ascii="Arial" w:hAnsi="Arial" w:cs="Arial"/>
                </w:rPr>
                <w:t>Bendix, 1998</w:t>
              </w:r>
            </w:hyperlink>
            <w:r w:rsidRPr="00D61F73">
              <w:rPr>
                <w:rFonts w:ascii="Arial" w:hAnsi="Arial" w:cs="Arial"/>
              </w:rPr>
              <w:t>) There appears to be little scientific evidence for the effectiveness of multidisciplinary biopsychosocial rehabilitation compared with other rehabilitation facilities for neck and shoulder pain, as opposed to low back pain and generalized pain syndromes. (</w:t>
            </w:r>
            <w:hyperlink w:anchor="Karjalainen03" w:history="1">
              <w:r w:rsidRPr="00D61F73">
                <w:rPr>
                  <w:rStyle w:val="Hyperlink"/>
                  <w:rFonts w:ascii="Arial" w:hAnsi="Arial" w:cs="Arial"/>
                </w:rPr>
                <w:t>Karjalainen, 2003</w:t>
              </w:r>
            </w:hyperlink>
            <w:r w:rsidRPr="00D61F73">
              <w:rPr>
                <w:rFonts w:ascii="Arial" w:hAnsi="Arial" w:cs="Arial"/>
              </w:rPr>
              <w:t>) Treatment is not suggested for longer than 2 weeks without evidence of demonstrated efficacy as documented by subjective and objective gains. For general information see</w:t>
            </w:r>
            <w:hyperlink w:anchor="Chronicpainprograms" w:history="1">
              <w:r w:rsidRPr="00895985">
                <w:rPr>
                  <w:rStyle w:val="Hyperlink"/>
                  <w:rFonts w:ascii="Arial" w:hAnsi="Arial" w:cs="Arial"/>
                </w:rPr>
                <w:t xml:space="preserve"> Chronic pain programs</w:t>
              </w:r>
            </w:hyperlink>
            <w:r w:rsidRPr="00D61F73">
              <w:rPr>
                <w:rFonts w:ascii="Arial" w:hAnsi="Arial" w:cs="Arial"/>
              </w:rPr>
              <w:t xml:space="preserve">. See also </w:t>
            </w:r>
            <w:r w:rsidRPr="00FD691F">
              <w:rPr>
                <w:rFonts w:ascii="Arial" w:hAnsi="Arial" w:cs="Arial"/>
              </w:rPr>
              <w:t xml:space="preserve">MTUS Low Back </w:t>
            </w:r>
            <w:r w:rsidR="00936D64" w:rsidRPr="00FD691F">
              <w:rPr>
                <w:rFonts w:ascii="Arial" w:hAnsi="Arial" w:cs="Arial"/>
              </w:rPr>
              <w:t>Complaints</w:t>
            </w:r>
            <w:r w:rsidR="00936D64" w:rsidRPr="00D61F73">
              <w:rPr>
                <w:rFonts w:ascii="Arial" w:hAnsi="Arial" w:cs="Arial"/>
              </w:rPr>
              <w:t>.</w:t>
            </w:r>
          </w:p>
        </w:tc>
      </w:tr>
      <w:tr w:rsidR="00E648FC" w:rsidRPr="00D61F73" w14:paraId="7972BE73" w14:textId="77777777" w:rsidTr="0078164D">
        <w:tc>
          <w:tcPr>
            <w:tcW w:w="1086" w:type="pct"/>
          </w:tcPr>
          <w:p w14:paraId="26C97BE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G</w:t>
            </w:r>
            <w:bookmarkStart w:id="232" w:name="GABAdone"/>
            <w:bookmarkEnd w:id="232"/>
            <w:r w:rsidRPr="00D61F73">
              <w:rPr>
                <w:rFonts w:ascii="Arial" w:hAnsi="Arial" w:cs="Arial"/>
              </w:rPr>
              <w:t xml:space="preserve">ABAdone™ </w:t>
            </w:r>
          </w:p>
        </w:tc>
        <w:tc>
          <w:tcPr>
            <w:tcW w:w="3914" w:type="pct"/>
          </w:tcPr>
          <w:p w14:paraId="1AA2FA8D" w14:textId="77777777" w:rsidR="00E648FC" w:rsidRPr="00D61F73" w:rsidRDefault="00E648FC" w:rsidP="00D61F73">
            <w:pPr>
              <w:rPr>
                <w:rFonts w:ascii="Arial" w:hAnsi="Arial" w:cs="Arial"/>
              </w:rPr>
            </w:pPr>
            <w:r w:rsidRPr="00D61F73">
              <w:rPr>
                <w:rFonts w:ascii="Arial" w:hAnsi="Arial" w:cs="Arial"/>
              </w:rPr>
              <w:t xml:space="preserve">Not recommended. GABAdone™ is a medical food that is a proprietary blend of Choline Bitartrate, Glutamic Acid, 5-Hydroxytryptophan, and GABA. See </w:t>
            </w:r>
            <w:hyperlink w:anchor="Medicalfood" w:history="1">
              <w:r w:rsidRPr="00D61F73">
                <w:rPr>
                  <w:rStyle w:val="Hyperlink"/>
                  <w:rFonts w:ascii="Arial" w:hAnsi="Arial" w:cs="Arial"/>
                </w:rPr>
                <w:t>Medical food</w:t>
              </w:r>
            </w:hyperlink>
            <w:r w:rsidRPr="00D61F73">
              <w:rPr>
                <w:rStyle w:val="Hyperlink"/>
                <w:rFonts w:ascii="Arial" w:hAnsi="Arial" w:cs="Arial"/>
              </w:rPr>
              <w:t>s</w:t>
            </w:r>
            <w:r w:rsidRPr="00D61F73">
              <w:rPr>
                <w:rFonts w:ascii="Arial" w:hAnsi="Arial" w:cs="Arial"/>
              </w:rPr>
              <w:t>.</w:t>
            </w:r>
          </w:p>
        </w:tc>
      </w:tr>
      <w:tr w:rsidR="00E648FC" w:rsidRPr="00D61F73" w14:paraId="26B1853F" w14:textId="77777777" w:rsidTr="0078164D">
        <w:tc>
          <w:tcPr>
            <w:tcW w:w="1086" w:type="pct"/>
          </w:tcPr>
          <w:p w14:paraId="420129B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G</w:t>
            </w:r>
            <w:bookmarkStart w:id="233" w:name="Gabapentin"/>
            <w:bookmarkEnd w:id="233"/>
            <w:r w:rsidRPr="00D61F73">
              <w:rPr>
                <w:rFonts w:ascii="Arial" w:hAnsi="Arial" w:cs="Arial"/>
              </w:rPr>
              <w:t xml:space="preserve">abapentin (Neurontin®) </w:t>
            </w:r>
          </w:p>
        </w:tc>
        <w:tc>
          <w:tcPr>
            <w:tcW w:w="3914" w:type="pct"/>
          </w:tcPr>
          <w:p w14:paraId="41A9B5D5" w14:textId="77777777" w:rsidR="00E648FC" w:rsidRPr="00D61F73" w:rsidRDefault="00E648FC" w:rsidP="00D61F73">
            <w:pPr>
              <w:rPr>
                <w:rFonts w:ascii="Arial" w:hAnsi="Arial" w:cs="Arial"/>
              </w:rPr>
            </w:pPr>
            <w:r w:rsidRPr="00D61F73">
              <w:rPr>
                <w:rFonts w:ascii="Arial" w:hAnsi="Arial" w:cs="Arial"/>
              </w:rPr>
              <w:t>Recommended for some neuropathic pain conditions and fibromyalgia. (</w:t>
            </w:r>
            <w:hyperlink w:anchor="WIFFEN2013SUMMARY" w:history="1">
              <w:r w:rsidRPr="00D61F73">
                <w:rPr>
                  <w:rStyle w:val="Hyperlink"/>
                  <w:rFonts w:ascii="Arial" w:hAnsi="Arial" w:cs="Arial"/>
                </w:rPr>
                <w:t>Wiffen-</w:t>
              </w:r>
              <w:r w:rsidRPr="00D61F73">
                <w:rPr>
                  <w:rStyle w:val="Hyperlink"/>
                  <w:rFonts w:ascii="Arial" w:hAnsi="Arial" w:cs="Arial"/>
                  <w:i/>
                </w:rPr>
                <w:t>Cochrane</w:t>
              </w:r>
              <w:r w:rsidRPr="00D61F73">
                <w:rPr>
                  <w:rStyle w:val="Hyperlink"/>
                  <w:rFonts w:ascii="Arial" w:hAnsi="Arial" w:cs="Arial"/>
                </w:rPr>
                <w:t>, 2013</w:t>
              </w:r>
            </w:hyperlink>
            <w:r w:rsidRPr="00D61F73">
              <w:rPr>
                <w:rFonts w:ascii="Arial" w:hAnsi="Arial" w:cs="Arial"/>
              </w:rPr>
              <w:t xml:space="preserve">) Gabapentin is an anti-epilepsy drug (AEDs - also referred to as anti-convulsants), which has been shown to be effective for treatment of diabetic painful neuropathy and postherpetic neuralgia and has been considered as a first-line treatment for neuropathic pain. 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GabapentinListing" w:history="1">
              <w:r w:rsidRPr="00D61F73">
                <w:rPr>
                  <w:rStyle w:val="Hyperlink"/>
                  <w:rFonts w:ascii="Arial" w:hAnsi="Arial" w:cs="Arial"/>
                </w:rPr>
                <w:t>Gabapentin</w:t>
              </w:r>
            </w:hyperlink>
            <w:r w:rsidRPr="00D61F73">
              <w:rPr>
                <w:rFonts w:ascii="Arial" w:hAnsi="Arial" w:cs="Arial"/>
              </w:rPr>
              <w:t xml:space="preserve"> listing for more information and references.</w:t>
            </w:r>
          </w:p>
        </w:tc>
      </w:tr>
      <w:tr w:rsidR="00E648FC" w:rsidRPr="00D61F73" w14:paraId="5DC8880F" w14:textId="77777777" w:rsidTr="0078164D">
        <w:tc>
          <w:tcPr>
            <w:tcW w:w="1086" w:type="pct"/>
          </w:tcPr>
          <w:p w14:paraId="035185B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G</w:t>
            </w:r>
            <w:bookmarkStart w:id="234" w:name="Galvanicstimulation"/>
            <w:bookmarkEnd w:id="234"/>
            <w:r w:rsidRPr="00D61F73">
              <w:rPr>
                <w:rFonts w:ascii="Arial" w:hAnsi="Arial" w:cs="Arial"/>
              </w:rPr>
              <w:t>alvanic stimulation</w:t>
            </w:r>
          </w:p>
        </w:tc>
        <w:tc>
          <w:tcPr>
            <w:tcW w:w="3914" w:type="pct"/>
          </w:tcPr>
          <w:p w14:paraId="6982E643" w14:textId="77777777" w:rsidR="00E648FC" w:rsidRPr="00D61F73" w:rsidRDefault="00E648FC" w:rsidP="00D61F73">
            <w:pPr>
              <w:rPr>
                <w:rFonts w:ascii="Arial" w:hAnsi="Arial" w:cs="Arial"/>
              </w:rPr>
            </w:pPr>
            <w:r w:rsidRPr="00D61F73">
              <w:rPr>
                <w:rFonts w:ascii="Arial" w:hAnsi="Arial" w:cs="Arial"/>
              </w:rPr>
              <w:t>Not recommended. Considered investigational for all indications. Galvanic stimulation is characterized by high voltage, pulsed stimulation and is used primarily for local edema reduction through muscle pumping and polarity effect. Edema is comprised of negatively charged plasma proteins, which leak into the interstitial space. The theory of galvanic stimulation is that by placing a negative electrode over the edematous site and a positive electrode at a distant site, the monophasic high voltage stimulus applies an electrical potential which disperses the negatively charged proteins away from the edematous site, thereby helping to reduce edema. (</w:t>
            </w:r>
            <w:hyperlink w:anchor="BlueCrossBlueShield5" w:history="1">
              <w:r w:rsidRPr="00D61F73">
                <w:rPr>
                  <w:rStyle w:val="Hyperlink"/>
                  <w:rFonts w:ascii="Arial" w:hAnsi="Arial" w:cs="Arial"/>
                </w:rPr>
                <w:t>BlueCrossBlueShield, 2005</w:t>
              </w:r>
            </w:hyperlink>
            <w:r w:rsidRPr="00D61F73">
              <w:rPr>
                <w:rFonts w:ascii="Arial" w:hAnsi="Arial" w:cs="Arial"/>
              </w:rPr>
              <w:t>)</w:t>
            </w:r>
          </w:p>
        </w:tc>
      </w:tr>
      <w:tr w:rsidR="00E648FC" w:rsidRPr="00D61F73" w14:paraId="09B1DE25" w14:textId="77777777" w:rsidTr="0078164D">
        <w:tc>
          <w:tcPr>
            <w:tcW w:w="1086" w:type="pct"/>
          </w:tcPr>
          <w:p w14:paraId="7118919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G</w:t>
            </w:r>
            <w:bookmarkStart w:id="235" w:name="Genetictestingforpotentialopioidabuse"/>
            <w:bookmarkEnd w:id="235"/>
            <w:r w:rsidRPr="00D61F73">
              <w:rPr>
                <w:rFonts w:ascii="Arial" w:hAnsi="Arial" w:cs="Arial"/>
              </w:rPr>
              <w:t>enetic testing for potential opioid abuse</w:t>
            </w:r>
          </w:p>
        </w:tc>
        <w:tc>
          <w:tcPr>
            <w:tcW w:w="3914" w:type="pct"/>
          </w:tcPr>
          <w:p w14:paraId="5697695C" w14:textId="77777777" w:rsidR="00E648FC" w:rsidRPr="00D61F73" w:rsidRDefault="00E648FC" w:rsidP="00D61F73">
            <w:pPr>
              <w:rPr>
                <w:rFonts w:ascii="Arial" w:hAnsi="Arial" w:cs="Arial"/>
              </w:rPr>
            </w:pPr>
            <w:r w:rsidRPr="00D61F73">
              <w:rPr>
                <w:rFonts w:ascii="Arial" w:hAnsi="Arial" w:cs="Arial"/>
              </w:rPr>
              <w:t>While there appears to be a strong genetic component to addictive behavior, current research is experimental in terms of testing for this. Studies are inconsistent, with inadequate statistics and large phenotype range. Different studies use different criteria for definition of controls. More work is needed to verify the role of variants suggested to be associated with addiction and for clearer understanding of their role in different populations. (</w:t>
            </w:r>
            <w:hyperlink w:anchor="Levran2012" w:history="1">
              <w:r w:rsidRPr="00D61F73">
                <w:rPr>
                  <w:rStyle w:val="Hyperlink"/>
                  <w:rFonts w:ascii="Arial" w:hAnsi="Arial" w:cs="Arial"/>
                  <w:u w:val="none"/>
                </w:rPr>
                <w:t>Levran, 2012</w:t>
              </w:r>
            </w:hyperlink>
            <w:r w:rsidRPr="00D61F73">
              <w:rPr>
                <w:rFonts w:ascii="Arial" w:hAnsi="Arial" w:cs="Arial"/>
              </w:rPr>
              <w:t>) Translating pharmacogenetics to clinical practice has been particularly challenging in the context of pain, due to the complexity of this multifaceted phenotype and the overall subjective nature of pain perception and response to analgesia. Overall, numerous genes involved with the pharmacokinetics and dynamics of opioids response are candidate genes in the context of opioid analgesia. Overall, the level of evidence linking genetic variability to opioid response is strong; however, there has been no randomized clinical trial on the benefits of genetic testing prior to oxycodone therapy. On the other hand, predicting the analgesic response to morphine based on pharmacogenetic testing is more complex; though there was hope that simple genetic testing would allow tailoring morphine doses to provide optimal analgesia, this is unlikely to occur. A variety of polymorphisms clearly influence pain perception and behavior in response to pain. However, the response to analgesics also differs depending on the pain modality and the potential for repeated noxious stimuli, the opioid prescribed, and even its route of administration. (</w:t>
            </w:r>
            <w:hyperlink w:anchor="Vuilleumier2012" w:history="1">
              <w:r w:rsidRPr="00D61F73">
                <w:rPr>
                  <w:rStyle w:val="Hyperlink"/>
                  <w:rFonts w:ascii="Arial" w:hAnsi="Arial" w:cs="Arial"/>
                  <w:u w:val="none"/>
                </w:rPr>
                <w:t>Vuilleumier, 2012</w:t>
              </w:r>
            </w:hyperlink>
            <w:r w:rsidRPr="00D61F73">
              <w:rPr>
                <w:rFonts w:ascii="Arial" w:hAnsi="Arial" w:cs="Arial"/>
              </w:rPr>
              <w:t xml:space="preserve">) See also </w:t>
            </w:r>
            <w:hyperlink w:anchor="CytokineDNAtesting" w:history="1">
              <w:r w:rsidRPr="00D61F73">
                <w:rPr>
                  <w:rStyle w:val="Hyperlink"/>
                  <w:rFonts w:ascii="Arial" w:hAnsi="Arial" w:cs="Arial"/>
                  <w:u w:val="none"/>
                </w:rPr>
                <w:t>Cytokine DNA testing</w:t>
              </w:r>
            </w:hyperlink>
            <w:r w:rsidRPr="00D61F73">
              <w:rPr>
                <w:rFonts w:ascii="Arial" w:hAnsi="Arial" w:cs="Arial"/>
              </w:rPr>
              <w:t>.</w:t>
            </w:r>
          </w:p>
        </w:tc>
      </w:tr>
      <w:tr w:rsidR="00E648FC" w:rsidRPr="00D61F73" w14:paraId="13616A26" w14:textId="77777777" w:rsidTr="0078164D">
        <w:tc>
          <w:tcPr>
            <w:tcW w:w="1086" w:type="pct"/>
          </w:tcPr>
          <w:p w14:paraId="07A3DE4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G</w:t>
            </w:r>
            <w:bookmarkStart w:id="236" w:name="Glucosamine"/>
            <w:bookmarkEnd w:id="236"/>
            <w:r w:rsidRPr="00D61F73">
              <w:rPr>
                <w:rFonts w:ascii="Arial" w:hAnsi="Arial" w:cs="Arial"/>
              </w:rPr>
              <w:t>lucosamine (and Chondroitin sulfate)</w:t>
            </w:r>
          </w:p>
        </w:tc>
        <w:tc>
          <w:tcPr>
            <w:tcW w:w="3914" w:type="pct"/>
          </w:tcPr>
          <w:p w14:paraId="3492088E" w14:textId="44814DCB" w:rsidR="00E648FC" w:rsidRPr="00D61F73" w:rsidRDefault="00E648FC" w:rsidP="00D61F73">
            <w:pPr>
              <w:rPr>
                <w:rFonts w:ascii="Arial" w:hAnsi="Arial" w:cs="Arial"/>
              </w:rPr>
            </w:pPr>
            <w:r w:rsidRPr="00D61F73">
              <w:rPr>
                <w:rFonts w:ascii="Arial" w:hAnsi="Arial" w:cs="Arial"/>
              </w:rPr>
              <w:t>Recommended as an option (glucosamine sulfate only) given its low risk, in patients with moderate arthritis pain, especially for knee osteoarthritis. Studies have demonstrated a highly significant efficacy for crystalline glucosamine sulphate (GS) on all outcomes, including joint space narrowing, pain, mobility, safety, and response to treatment, but similar studies are lacking for glucosamine hydrochloride (GH). For all herbals and dietary supplements, there may be concerns for potential interactions with prescription and over-the-counter medications and lack of manufacturing quality controls. (</w:t>
            </w:r>
            <w:hyperlink w:anchor="Richy" w:history="1">
              <w:r w:rsidRPr="00D61F73">
                <w:rPr>
                  <w:rStyle w:val="Hyperlink"/>
                  <w:rFonts w:ascii="Arial" w:hAnsi="Arial" w:cs="Arial"/>
                </w:rPr>
                <w:t>Richy, 2003</w:t>
              </w:r>
            </w:hyperlink>
            <w:r w:rsidRPr="00D61F73">
              <w:rPr>
                <w:rFonts w:ascii="Arial" w:hAnsi="Arial" w:cs="Arial"/>
              </w:rPr>
              <w:t>) (</w:t>
            </w:r>
            <w:hyperlink w:anchor="Ruane" w:history="1">
              <w:r w:rsidRPr="00D61F73">
                <w:rPr>
                  <w:rStyle w:val="Hyperlink"/>
                  <w:rFonts w:ascii="Arial" w:hAnsi="Arial" w:cs="Arial"/>
                </w:rPr>
                <w:t>Ruane, 2002</w:t>
              </w:r>
            </w:hyperlink>
            <w:r w:rsidRPr="00D61F73">
              <w:rPr>
                <w:rFonts w:ascii="Arial" w:hAnsi="Arial" w:cs="Arial"/>
              </w:rPr>
              <w:t>) (</w:t>
            </w:r>
            <w:hyperlink w:anchor="Towheed" w:history="1">
              <w:r w:rsidRPr="00D61F73">
                <w:rPr>
                  <w:rStyle w:val="Hyperlink"/>
                  <w:rFonts w:ascii="Arial" w:hAnsi="Arial" w:cs="Arial"/>
                </w:rPr>
                <w:t>Towheed-</w:t>
              </w:r>
              <w:r w:rsidRPr="00D61F73">
                <w:rPr>
                  <w:rStyle w:val="Hyperlink"/>
                  <w:rFonts w:ascii="Arial" w:hAnsi="Arial" w:cs="Arial"/>
                </w:rPr>
                <w:lastRenderedPageBreak/>
                <w:t>Cochrane, 2001</w:t>
              </w:r>
            </w:hyperlink>
            <w:r w:rsidRPr="00D61F73">
              <w:rPr>
                <w:rFonts w:ascii="Arial" w:hAnsi="Arial" w:cs="Arial"/>
              </w:rPr>
              <w:t>) (</w:t>
            </w:r>
            <w:hyperlink w:anchor="Braham" w:history="1">
              <w:r w:rsidRPr="00D61F73">
                <w:rPr>
                  <w:rStyle w:val="Hyperlink"/>
                  <w:rFonts w:ascii="Arial" w:hAnsi="Arial" w:cs="Arial"/>
                </w:rPr>
                <w:t>Braham, 2003</w:t>
              </w:r>
            </w:hyperlink>
            <w:r w:rsidRPr="00D61F73">
              <w:rPr>
                <w:rFonts w:ascii="Arial" w:hAnsi="Arial" w:cs="Arial"/>
              </w:rPr>
              <w:t>) (</w:t>
            </w:r>
            <w:hyperlink r:id="rId79" w:anchor="Reginster" w:history="1">
              <w:r w:rsidRPr="00D61F73">
                <w:rPr>
                  <w:rStyle w:val="Hyperlink"/>
                  <w:rFonts w:ascii="Arial" w:hAnsi="Arial" w:cs="Arial"/>
                </w:rPr>
                <w:t>Reginster, 2007</w:t>
              </w:r>
            </w:hyperlink>
            <w:r w:rsidRPr="00D61F73">
              <w:rPr>
                <w:rFonts w:ascii="Arial" w:hAnsi="Arial" w:cs="Arial"/>
              </w:rPr>
              <w:t>) (</w:t>
            </w:r>
            <w:hyperlink w:anchor="Reginster" w:history="1">
              <w:r w:rsidRPr="00D61F73">
                <w:rPr>
                  <w:rStyle w:val="Hyperlink"/>
                  <w:rFonts w:ascii="Arial" w:hAnsi="Arial" w:cs="Arial"/>
                </w:rPr>
                <w:t>Reginster, 2001</w:t>
              </w:r>
            </w:hyperlink>
            <w:r w:rsidRPr="00D61F73">
              <w:rPr>
                <w:rFonts w:ascii="Arial" w:hAnsi="Arial" w:cs="Arial"/>
              </w:rPr>
              <w:t>) (</w:t>
            </w:r>
            <w:hyperlink w:anchor="Pavelka" w:history="1">
              <w:r w:rsidRPr="00D61F73">
                <w:rPr>
                  <w:rStyle w:val="Hyperlink"/>
                  <w:rFonts w:ascii="Arial" w:hAnsi="Arial" w:cs="Arial"/>
                </w:rPr>
                <w:t>Pavelka, 2002</w:t>
              </w:r>
            </w:hyperlink>
            <w:r w:rsidRPr="00D61F73">
              <w:rPr>
                <w:rFonts w:ascii="Arial" w:hAnsi="Arial" w:cs="Arial"/>
              </w:rPr>
              <w:t>) (</w:t>
            </w:r>
            <w:hyperlink r:id="rId80" w:anchor="Clegg" w:history="1">
              <w:r w:rsidRPr="00D61F73">
                <w:rPr>
                  <w:rStyle w:val="Hyperlink"/>
                  <w:rFonts w:ascii="Arial" w:hAnsi="Arial" w:cs="Arial"/>
                </w:rPr>
                <w:t>Clegg, 2006</w:t>
              </w:r>
            </w:hyperlink>
            <w:r w:rsidRPr="00D61F73">
              <w:rPr>
                <w:rFonts w:ascii="Arial" w:hAnsi="Arial" w:cs="Arial"/>
              </w:rPr>
              <w:t>) (</w:t>
            </w:r>
            <w:hyperlink w:anchor="Reichenbach" w:history="1">
              <w:r w:rsidRPr="00D61F73">
                <w:rPr>
                  <w:rStyle w:val="Hyperlink"/>
                  <w:rFonts w:ascii="Arial" w:hAnsi="Arial" w:cs="Arial"/>
                </w:rPr>
                <w:t>Reichenbach, 2007</w:t>
              </w:r>
            </w:hyperlink>
            <w:r w:rsidRPr="00D61F73">
              <w:rPr>
                <w:rFonts w:ascii="Arial" w:hAnsi="Arial" w:cs="Arial"/>
              </w:rPr>
              <w:t>) The Glucosamine Chondroitin Arthritis Intervention Trial (GAIT) funded by the National Institutes of Health concluded that glucosamine hydrochloride (GH) and chondroitin sulfate were not effective in reducing knee pain in the study group overall, but the GAIT investigators did not use glucosamine sulfate (GS). (</w:t>
            </w:r>
            <w:hyperlink r:id="rId81" w:anchor="Distler" w:history="1">
              <w:r w:rsidRPr="00D61F73">
                <w:rPr>
                  <w:rStyle w:val="Hyperlink"/>
                  <w:rFonts w:ascii="Arial" w:hAnsi="Arial" w:cs="Arial"/>
                </w:rPr>
                <w:t>Distler, 2006</w:t>
              </w:r>
            </w:hyperlink>
            <w:r w:rsidRPr="00D61F73">
              <w:rPr>
                <w:rFonts w:ascii="Arial" w:hAnsi="Arial" w:cs="Arial"/>
              </w:rPr>
              <w:t>) Despite multiple controlled clinical trials of glucosamine in osteoarthritis (mainly of the knee), controversy on efficacy related to symptomatic improvement continues. Differences in results originate from the differences in products, study design and study populations. Symptomatic efficacy described in multiple studies performed with glucosamine sulphate (GS) support continued consideration in the OA therapeutic armamentarium. Compelling evidence exists that GS may reduce the progression of knee osteoarthritis. Results obtained with GS may not be extrapolated to other salts (hydrochloride) or formulations (OTC or food supplements) in which no warranty exists about content, pharmacokinetics and pharmacodynamics of the tablets. (</w:t>
            </w:r>
            <w:hyperlink r:id="rId82" w:anchor="Reginster" w:history="1">
              <w:r w:rsidRPr="00D61F73">
                <w:rPr>
                  <w:rStyle w:val="Hyperlink"/>
                  <w:rFonts w:ascii="Arial" w:hAnsi="Arial" w:cs="Arial"/>
                </w:rPr>
                <w:t>Reginster, 2007</w:t>
              </w:r>
            </w:hyperlink>
            <w:r w:rsidRPr="00D61F73">
              <w:rPr>
                <w:rFonts w:ascii="Arial" w:hAnsi="Arial" w:cs="Arial"/>
              </w:rPr>
              <w:t xml:space="preserve">) [Note: DONA™ Glucosamine Sulfate is the original crystalline glucosamine sulfate (GS), which was first developed and marketed for human use by Rotta Research Laboratorium, funding some of the initial trials. Glucosamine hydrochloride (GH) is not proprietary, so it tends to be less expensive but there has also been less funding for quality studies.] See </w:t>
            </w:r>
            <w:r w:rsidR="00D87F6B" w:rsidRPr="00D61F73">
              <w:rPr>
                <w:rFonts w:ascii="Arial" w:hAnsi="Arial" w:cs="Arial"/>
              </w:rPr>
              <w:t>also</w:t>
            </w:r>
            <w:r w:rsidRPr="00D61F73">
              <w:rPr>
                <w:rFonts w:ascii="Arial" w:hAnsi="Arial" w:cs="Arial"/>
              </w:rPr>
              <w:t xml:space="preserve"> </w:t>
            </w:r>
            <w:r w:rsidRPr="00953A40">
              <w:rPr>
                <w:rFonts w:ascii="Arial" w:hAnsi="Arial" w:cs="Arial"/>
              </w:rPr>
              <w:t>MTUS</w:t>
            </w:r>
            <w:r w:rsidR="009376D8" w:rsidRPr="00953A40">
              <w:rPr>
                <w:rFonts w:ascii="Arial" w:hAnsi="Arial" w:cs="Arial"/>
              </w:rPr>
              <w:t xml:space="preserve"> Knee Complaints</w:t>
            </w:r>
            <w:r w:rsidRPr="00D61F73">
              <w:rPr>
                <w:rFonts w:ascii="Arial" w:hAnsi="Arial" w:cs="Arial"/>
              </w:rPr>
              <w:t>, since many studies involved arthritis of the knee.</w:t>
            </w:r>
          </w:p>
          <w:p w14:paraId="615EF81D" w14:textId="77777777" w:rsidR="00E648FC" w:rsidRPr="00D61F73" w:rsidRDefault="00E648FC" w:rsidP="00D61F73">
            <w:pPr>
              <w:rPr>
                <w:rFonts w:ascii="Arial" w:hAnsi="Arial" w:cs="Arial"/>
              </w:rPr>
            </w:pPr>
            <w:r w:rsidRPr="00D61F73">
              <w:rPr>
                <w:rFonts w:ascii="Arial" w:hAnsi="Arial" w:cs="Arial"/>
                <w:i/>
                <w:iCs/>
                <w:u w:val="single"/>
              </w:rPr>
              <w:t>Recent research</w:t>
            </w:r>
            <w:r w:rsidRPr="00D61F73">
              <w:rPr>
                <w:rFonts w:ascii="Arial" w:hAnsi="Arial" w:cs="Arial"/>
                <w:i/>
                <w:iCs/>
              </w:rPr>
              <w:t>:</w:t>
            </w:r>
            <w:r w:rsidRPr="00D61F73">
              <w:rPr>
                <w:rFonts w:ascii="Arial" w:hAnsi="Arial" w:cs="Arial"/>
              </w:rPr>
              <w:t xml:space="preserve"> The benefit of glucosamine with or without chondroitin remains unclear. (</w:t>
            </w:r>
            <w:hyperlink r:id="rId83" w:anchor="Sawitzke" w:history="1">
              <w:r w:rsidRPr="00D61F73">
                <w:rPr>
                  <w:rStyle w:val="Hyperlink"/>
                  <w:rFonts w:ascii="Arial" w:hAnsi="Arial" w:cs="Arial"/>
                </w:rPr>
                <w:t>Sawitzke, 2008</w:t>
              </w:r>
            </w:hyperlink>
            <w:r w:rsidRPr="00D61F73">
              <w:rPr>
                <w:rFonts w:ascii="Arial" w:hAnsi="Arial" w:cs="Arial"/>
              </w:rPr>
              <w:t>) However, the possible interaction between chondroitin and anticoagulants may be an issue for some patients. (</w:t>
            </w:r>
            <w:hyperlink w:anchor="Rozenfeld2004" w:history="1">
              <w:r w:rsidRPr="00D61F73">
                <w:rPr>
                  <w:rStyle w:val="Hyperlink"/>
                  <w:rFonts w:ascii="Arial" w:hAnsi="Arial" w:cs="Arial"/>
                </w:rPr>
                <w:t>Rozenfeld, 2004</w:t>
              </w:r>
            </w:hyperlink>
            <w:r w:rsidRPr="00D61F73">
              <w:rPr>
                <w:rFonts w:ascii="Arial" w:hAnsi="Arial" w:cs="Arial"/>
              </w:rPr>
              <w:t xml:space="preserve">) Glucosamine and/or chondroitin may not be helpful for patients with osteoarthritis of the hip or knee, according to the results of a recent meta-analysis in </w:t>
            </w:r>
            <w:r w:rsidRPr="00D61F73">
              <w:rPr>
                <w:rFonts w:ascii="Arial" w:hAnsi="Arial" w:cs="Arial"/>
                <w:i/>
                <w:iCs/>
              </w:rPr>
              <w:t>BMJ</w:t>
            </w:r>
            <w:r w:rsidRPr="00D61F73">
              <w:rPr>
                <w:rFonts w:ascii="Arial" w:hAnsi="Arial" w:cs="Arial"/>
              </w:rPr>
              <w:t>, but the authors concluded that neither of the preparations are dangerous, and there is no harm in having patients continue these preparations as long as they perceive a benefit and cover the costs of treatment themselves. (</w:t>
            </w:r>
            <w:hyperlink r:id="rId84" w:anchor="Wandel2010" w:history="1">
              <w:r w:rsidRPr="00D61F73">
                <w:rPr>
                  <w:rStyle w:val="Hyperlink"/>
                  <w:rFonts w:ascii="Arial" w:hAnsi="Arial" w:cs="Arial"/>
                </w:rPr>
                <w:t>Wandel, 2010</w:t>
              </w:r>
            </w:hyperlink>
            <w:r w:rsidRPr="00D61F73">
              <w:rPr>
                <w:rFonts w:ascii="Arial" w:hAnsi="Arial" w:cs="Arial"/>
              </w:rPr>
              <w:t>)</w:t>
            </w:r>
          </w:p>
        </w:tc>
      </w:tr>
      <w:tr w:rsidR="00E648FC" w:rsidRPr="00D61F73" w14:paraId="7CB38572" w14:textId="77777777" w:rsidTr="0078164D">
        <w:tc>
          <w:tcPr>
            <w:tcW w:w="1086" w:type="pct"/>
            <w:tcBorders>
              <w:top w:val="single" w:sz="4" w:space="0" w:color="auto"/>
              <w:left w:val="single" w:sz="4" w:space="0" w:color="auto"/>
              <w:bottom w:val="single" w:sz="4" w:space="0" w:color="auto"/>
              <w:right w:val="single" w:sz="4" w:space="0" w:color="auto"/>
            </w:tcBorders>
          </w:tcPr>
          <w:p w14:paraId="1B31DFB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G</w:t>
            </w:r>
            <w:bookmarkStart w:id="237" w:name="Gralise"/>
            <w:bookmarkEnd w:id="237"/>
            <w:r w:rsidRPr="00D61F73">
              <w:rPr>
                <w:rFonts w:ascii="Arial" w:hAnsi="Arial" w:cs="Arial"/>
              </w:rPr>
              <w:t>ralise (gabapentin enacarbil ER)</w:t>
            </w:r>
            <w:r w:rsidR="0061527A" w:rsidRPr="00D61F73">
              <w:rPr>
                <w:rFonts w:ascii="Arial" w:hAnsi="Arial" w:cs="Arial"/>
              </w:rPr>
              <w:t xml:space="preserve"> </w:t>
            </w:r>
          </w:p>
        </w:tc>
        <w:tc>
          <w:tcPr>
            <w:tcW w:w="3914" w:type="pct"/>
            <w:tcBorders>
              <w:top w:val="single" w:sz="4" w:space="0" w:color="auto"/>
              <w:left w:val="single" w:sz="4" w:space="0" w:color="auto"/>
              <w:bottom w:val="single" w:sz="4" w:space="0" w:color="auto"/>
              <w:right w:val="single" w:sz="4" w:space="0" w:color="auto"/>
            </w:tcBorders>
          </w:tcPr>
          <w:p w14:paraId="636033E3" w14:textId="27EB9C0B" w:rsidR="00E648FC" w:rsidRPr="00D61F73" w:rsidRDefault="00D87F6B" w:rsidP="00D61F73">
            <w:pPr>
              <w:rPr>
                <w:rFonts w:ascii="Arial" w:hAnsi="Arial" w:cs="Arial"/>
              </w:rPr>
            </w:pPr>
            <w:r w:rsidRPr="00D61F73">
              <w:rPr>
                <w:rFonts w:ascii="Arial" w:hAnsi="Arial" w:cs="Arial"/>
              </w:rPr>
              <w:t>Not recommended. See</w:t>
            </w:r>
            <w:r w:rsidR="00551E54" w:rsidRPr="00D61F73">
              <w:rPr>
                <w:rStyle w:val="apple-converted-space"/>
                <w:rFonts w:ascii="Arial" w:hAnsi="Arial" w:cs="Arial"/>
              </w:rPr>
              <w:t xml:space="preserve"> </w:t>
            </w:r>
            <w:r w:rsidR="0061527A" w:rsidRPr="00DC4C6B">
              <w:rPr>
                <w:rFonts w:ascii="Arial" w:hAnsi="Arial" w:cs="Arial"/>
              </w:rPr>
              <w:t>MTUS Knee</w:t>
            </w:r>
            <w:r w:rsidR="009376D8" w:rsidRPr="00DC4C6B">
              <w:rPr>
                <w:rFonts w:ascii="Arial" w:hAnsi="Arial" w:cs="Arial"/>
              </w:rPr>
              <w:t xml:space="preserve"> Complaints</w:t>
            </w:r>
            <w:r w:rsidR="009376D8" w:rsidRPr="00D61F73">
              <w:rPr>
                <w:rFonts w:ascii="Arial" w:hAnsi="Arial" w:cs="Arial"/>
              </w:rPr>
              <w:t>.</w:t>
            </w:r>
          </w:p>
        </w:tc>
      </w:tr>
      <w:tr w:rsidR="00E648FC" w:rsidRPr="00D61F73" w14:paraId="1B026CFC" w14:textId="77777777" w:rsidTr="0078164D">
        <w:tc>
          <w:tcPr>
            <w:tcW w:w="1086" w:type="pct"/>
          </w:tcPr>
          <w:p w14:paraId="0E135B8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H</w:t>
            </w:r>
            <w:bookmarkStart w:id="238" w:name="Haveosgeneticsopioidabusetesting"/>
            <w:bookmarkEnd w:id="238"/>
            <w:r w:rsidRPr="00D61F73">
              <w:rPr>
                <w:rFonts w:ascii="Arial" w:hAnsi="Arial" w:cs="Arial"/>
              </w:rPr>
              <w:t xml:space="preserve">aveos™ genetics opioid abuse testing </w:t>
            </w:r>
          </w:p>
        </w:tc>
        <w:tc>
          <w:tcPr>
            <w:tcW w:w="3914" w:type="pct"/>
          </w:tcPr>
          <w:p w14:paraId="17AB204A" w14:textId="77777777" w:rsidR="00E648FC" w:rsidRPr="00D61F73" w:rsidRDefault="00E648FC" w:rsidP="00D61F73">
            <w:pPr>
              <w:rPr>
                <w:rFonts w:ascii="Arial" w:hAnsi="Arial" w:cs="Arial"/>
              </w:rPr>
            </w:pPr>
            <w:r w:rsidRPr="00D61F73">
              <w:rPr>
                <w:rFonts w:ascii="Arial" w:hAnsi="Arial" w:cs="Arial"/>
              </w:rPr>
              <w:t xml:space="preserve">The Haveos genetics opioid abuse test is offered by Salugen® Biosciences, Inc., a Los Angeles biotechnology company that develops and markets proprietary laboratory tests to personalize pain medicine therapies. See </w:t>
            </w:r>
            <w:hyperlink w:anchor="Genetictestingforpotentialopioidabuse" w:history="1">
              <w:r w:rsidRPr="00D61F73">
                <w:rPr>
                  <w:rStyle w:val="Hyperlink"/>
                  <w:rFonts w:ascii="Arial" w:hAnsi="Arial" w:cs="Arial"/>
                  <w:u w:val="none"/>
                </w:rPr>
                <w:t>Genetic testing for potential opioid abuse</w:t>
              </w:r>
            </w:hyperlink>
            <w:r w:rsidRPr="00D61F73">
              <w:rPr>
                <w:rFonts w:ascii="Arial" w:hAnsi="Arial" w:cs="Arial"/>
              </w:rPr>
              <w:t>.</w:t>
            </w:r>
          </w:p>
        </w:tc>
      </w:tr>
      <w:tr w:rsidR="00E648FC" w:rsidRPr="00D61F73" w14:paraId="0B313E4B" w14:textId="77777777" w:rsidTr="0078164D">
        <w:tc>
          <w:tcPr>
            <w:tcW w:w="1086" w:type="pct"/>
          </w:tcPr>
          <w:p w14:paraId="471BB89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H</w:t>
            </w:r>
            <w:bookmarkStart w:id="239" w:name="Homehealthservices"/>
            <w:bookmarkEnd w:id="239"/>
            <w:r w:rsidRPr="00D61F73">
              <w:rPr>
                <w:rFonts w:ascii="Arial" w:hAnsi="Arial" w:cs="Arial"/>
              </w:rPr>
              <w:t xml:space="preserve">ome health </w:t>
            </w:r>
            <w:r w:rsidR="0061527A" w:rsidRPr="00D61F73">
              <w:rPr>
                <w:rFonts w:ascii="Arial" w:hAnsi="Arial" w:cs="Arial"/>
              </w:rPr>
              <w:t xml:space="preserve">care </w:t>
            </w:r>
            <w:r w:rsidRPr="00D61F73">
              <w:rPr>
                <w:rFonts w:ascii="Arial" w:hAnsi="Arial" w:cs="Arial"/>
              </w:rPr>
              <w:t xml:space="preserve">services </w:t>
            </w:r>
          </w:p>
        </w:tc>
        <w:tc>
          <w:tcPr>
            <w:tcW w:w="3914" w:type="pct"/>
          </w:tcPr>
          <w:p w14:paraId="0D847549" w14:textId="77777777" w:rsidR="008B15DA" w:rsidRPr="00D61F73" w:rsidRDefault="008B15DA" w:rsidP="00D61F73">
            <w:pPr>
              <w:rPr>
                <w:rFonts w:ascii="Arial" w:hAnsi="Arial" w:cs="Arial"/>
              </w:rPr>
            </w:pPr>
            <w:r w:rsidRPr="00D61F73">
              <w:rPr>
                <w:rFonts w:ascii="Arial" w:hAnsi="Arial" w:cs="Arial"/>
              </w:rPr>
              <w:t xml:space="preserve">Recommended on a short-term basis following major surgical procedures or in-patient hospitalization, to prevent hospitalization, or </w:t>
            </w:r>
            <w:r w:rsidRPr="00D61F73">
              <w:rPr>
                <w:rFonts w:ascii="Arial" w:hAnsi="Arial" w:cs="Arial"/>
                <w:iCs/>
              </w:rPr>
              <w:t>to provide longer-term nursing care and supportive services for those whose condition is such that they would otherwise require inpatient care.</w:t>
            </w:r>
          </w:p>
          <w:p w14:paraId="2D94267F" w14:textId="77777777" w:rsidR="001C46D3" w:rsidRPr="00D61F73" w:rsidRDefault="008B15DA" w:rsidP="00D61F73">
            <w:pPr>
              <w:rPr>
                <w:rFonts w:ascii="Arial" w:hAnsi="Arial" w:cs="Arial"/>
              </w:rPr>
            </w:pPr>
            <w:r w:rsidRPr="00D61F73">
              <w:rPr>
                <w:rFonts w:ascii="Arial" w:hAnsi="Arial" w:cs="Arial"/>
              </w:rPr>
              <w:t xml:space="preserve">Home health care is the provision of medical and other health care services to the injured or ill person in their place of residence. </w:t>
            </w:r>
          </w:p>
          <w:p w14:paraId="3CAE02C5" w14:textId="33FA7974" w:rsidR="000F33A7" w:rsidRPr="00D61F73" w:rsidRDefault="001C46D3" w:rsidP="00D61F73">
            <w:pPr>
              <w:rPr>
                <w:rFonts w:ascii="Arial" w:hAnsi="Arial" w:cs="Arial"/>
                <w:iCs/>
              </w:rPr>
            </w:pPr>
            <w:r w:rsidRPr="00D61F73">
              <w:rPr>
                <w:rFonts w:ascii="Arial" w:hAnsi="Arial" w:cs="Arial"/>
              </w:rPr>
              <w:t xml:space="preserve">Home health </w:t>
            </w:r>
            <w:r w:rsidR="008B15DA" w:rsidRPr="00D61F73">
              <w:rPr>
                <w:rFonts w:ascii="Arial" w:hAnsi="Arial" w:cs="Arial"/>
              </w:rPr>
              <w:t xml:space="preserve">services include both medical and non-medical services </w:t>
            </w:r>
            <w:r w:rsidRPr="00D61F73">
              <w:rPr>
                <w:rFonts w:ascii="Arial" w:hAnsi="Arial" w:cs="Arial"/>
              </w:rPr>
              <w:t xml:space="preserve">deemed to be medically necessary </w:t>
            </w:r>
            <w:r w:rsidR="008B15DA" w:rsidRPr="00D61F73">
              <w:rPr>
                <w:rFonts w:ascii="Arial" w:hAnsi="Arial" w:cs="Arial"/>
              </w:rPr>
              <w:t>for patients who are confined to the home (homebound) and who require</w:t>
            </w:r>
            <w:r w:rsidRPr="00D61F73">
              <w:rPr>
                <w:rFonts w:ascii="Arial" w:hAnsi="Arial" w:cs="Arial"/>
              </w:rPr>
              <w:t xml:space="preserve"> one or all of the following</w:t>
            </w:r>
            <w:r w:rsidR="008B15DA" w:rsidRPr="00D61F73">
              <w:rPr>
                <w:rFonts w:ascii="Arial" w:hAnsi="Arial" w:cs="Arial"/>
              </w:rPr>
              <w:t xml:space="preserve">: 1). Skilled </w:t>
            </w:r>
            <w:r w:rsidR="008B15DA" w:rsidRPr="00D61F73">
              <w:rPr>
                <w:rFonts w:ascii="Arial" w:hAnsi="Arial" w:cs="Arial"/>
              </w:rPr>
              <w:lastRenderedPageBreak/>
              <w:t xml:space="preserve">care by a licensed medical professional for tasks </w:t>
            </w:r>
            <w:r w:rsidRPr="00D61F73">
              <w:rPr>
                <w:rFonts w:ascii="Arial" w:hAnsi="Arial" w:cs="Arial"/>
              </w:rPr>
              <w:t xml:space="preserve">including, but not limited to, </w:t>
            </w:r>
            <w:r w:rsidR="008B15DA" w:rsidRPr="00D61F73">
              <w:rPr>
                <w:rFonts w:ascii="Arial" w:hAnsi="Arial" w:cs="Arial"/>
              </w:rPr>
              <w:t xml:space="preserve">administration of intravenous drugs, dressing changes, </w:t>
            </w:r>
            <w:r w:rsidRPr="00D61F73">
              <w:rPr>
                <w:rFonts w:ascii="Arial" w:hAnsi="Arial" w:cs="Arial"/>
              </w:rPr>
              <w:t xml:space="preserve">occupational therapy, </w:t>
            </w:r>
            <w:r w:rsidR="008B15DA" w:rsidRPr="00D61F73">
              <w:rPr>
                <w:rFonts w:ascii="Arial" w:hAnsi="Arial" w:cs="Arial"/>
              </w:rPr>
              <w:t>physical therapy, speech-language pathology services, and/or 2) Personal care services for health-related tasks and assistance with activities of daily living that do not require skills of a medical professional, such as bowel and bladder care, feeding, bathing, dressing and transfer and assistance with administration of oral medications</w:t>
            </w:r>
            <w:r w:rsidR="000A5BF7" w:rsidRPr="00D61F73">
              <w:rPr>
                <w:rFonts w:ascii="Arial" w:hAnsi="Arial" w:cs="Arial"/>
              </w:rPr>
              <w:t>, and/or (3)</w:t>
            </w:r>
            <w:r w:rsidR="008B15DA" w:rsidRPr="00D61F73">
              <w:rPr>
                <w:rFonts w:ascii="Arial" w:hAnsi="Arial" w:cs="Arial"/>
              </w:rPr>
              <w:t xml:space="preserve"> Domestic </w:t>
            </w:r>
            <w:r w:rsidRPr="00D61F73">
              <w:rPr>
                <w:rFonts w:ascii="Arial" w:hAnsi="Arial" w:cs="Arial"/>
              </w:rPr>
              <w:t xml:space="preserve">care </w:t>
            </w:r>
            <w:r w:rsidR="008B15DA" w:rsidRPr="00D61F73">
              <w:rPr>
                <w:rFonts w:ascii="Arial" w:hAnsi="Arial" w:cs="Arial"/>
              </w:rPr>
              <w:t>services such as shopping, cleaning, and laundry that the individual is no longer capable of performing due to the illness or injury</w:t>
            </w:r>
            <w:r w:rsidR="000A5BF7" w:rsidRPr="00D61F73">
              <w:rPr>
                <w:rFonts w:ascii="Arial" w:hAnsi="Arial" w:cs="Arial"/>
              </w:rPr>
              <w:t xml:space="preserve"> that</w:t>
            </w:r>
            <w:r w:rsidR="008B15DA" w:rsidRPr="00D61F73">
              <w:rPr>
                <w:rFonts w:ascii="Arial" w:hAnsi="Arial" w:cs="Arial"/>
              </w:rPr>
              <w:t xml:space="preserve"> may also be medically necessary in addition to skilled and/or personal care services. Domestic </w:t>
            </w:r>
            <w:r w:rsidR="000A5BF7" w:rsidRPr="00D61F73">
              <w:rPr>
                <w:rFonts w:ascii="Arial" w:hAnsi="Arial" w:cs="Arial"/>
              </w:rPr>
              <w:t xml:space="preserve">and personal care </w:t>
            </w:r>
            <w:r w:rsidR="008B15DA" w:rsidRPr="00D61F73">
              <w:rPr>
                <w:rFonts w:ascii="Arial" w:hAnsi="Arial" w:cs="Arial"/>
              </w:rPr>
              <w:t>services do not require specialized training and do not need to be performed by a medical professional (</w:t>
            </w:r>
            <w:hyperlink w:anchor="ACMQ" w:history="1">
              <w:r w:rsidR="008B15DA" w:rsidRPr="00D61F73">
                <w:rPr>
                  <w:rStyle w:val="Hyperlink"/>
                  <w:rFonts w:ascii="Arial" w:hAnsi="Arial" w:cs="Arial"/>
                </w:rPr>
                <w:t>ACMQ, 2005</w:t>
              </w:r>
            </w:hyperlink>
            <w:r w:rsidR="008B15DA" w:rsidRPr="00D61F73">
              <w:rPr>
                <w:rFonts w:ascii="Arial" w:hAnsi="Arial" w:cs="Arial"/>
              </w:rPr>
              <w:t>) (</w:t>
            </w:r>
            <w:hyperlink w:anchor="Ellenbecker" w:history="1">
              <w:r w:rsidR="008B15DA" w:rsidRPr="00D61F73">
                <w:rPr>
                  <w:rStyle w:val="Hyperlink"/>
                  <w:rFonts w:ascii="Arial" w:hAnsi="Arial" w:cs="Arial"/>
                </w:rPr>
                <w:t>Ellenbecker, 2008</w:t>
              </w:r>
            </w:hyperlink>
            <w:r w:rsidR="008B15DA" w:rsidRPr="00D61F73">
              <w:rPr>
                <w:rFonts w:ascii="Arial" w:hAnsi="Arial" w:cs="Arial"/>
              </w:rPr>
              <w:t>).</w:t>
            </w:r>
            <w:r w:rsidR="000A5BF7" w:rsidRPr="00D61F73">
              <w:rPr>
                <w:rFonts w:ascii="Arial" w:hAnsi="Arial" w:cs="Arial"/>
                <w:iCs/>
              </w:rPr>
              <w:t>A prescription or request for authorization for home health services must include j</w:t>
            </w:r>
            <w:r w:rsidR="008B15DA" w:rsidRPr="00D61F73">
              <w:rPr>
                <w:rFonts w:ascii="Arial" w:hAnsi="Arial" w:cs="Arial"/>
                <w:iCs/>
              </w:rPr>
              <w:t>ustification for medical necessity</w:t>
            </w:r>
            <w:r w:rsidR="000A5BF7" w:rsidRPr="00D61F73">
              <w:rPr>
                <w:rFonts w:ascii="Arial" w:hAnsi="Arial" w:cs="Arial"/>
                <w:iCs/>
              </w:rPr>
              <w:t xml:space="preserve"> of the services. Justification</w:t>
            </w:r>
            <w:r w:rsidR="008B15DA" w:rsidRPr="00D61F73">
              <w:rPr>
                <w:rFonts w:ascii="Arial" w:hAnsi="Arial" w:cs="Arial"/>
                <w:iCs/>
              </w:rPr>
              <w:t xml:space="preserve"> </w:t>
            </w:r>
            <w:r w:rsidR="001B1AF8" w:rsidRPr="00D61F73">
              <w:rPr>
                <w:rFonts w:ascii="Arial" w:hAnsi="Arial" w:cs="Arial"/>
                <w:iCs/>
              </w:rPr>
              <w:t xml:space="preserve">for medical necessity </w:t>
            </w:r>
            <w:r w:rsidR="008B15DA" w:rsidRPr="00D61F73">
              <w:rPr>
                <w:rFonts w:ascii="Arial" w:hAnsi="Arial" w:cs="Arial"/>
                <w:iCs/>
              </w:rPr>
              <w:t>requires the</w:t>
            </w:r>
            <w:r w:rsidR="004317FF">
              <w:rPr>
                <w:rFonts w:ascii="Arial" w:hAnsi="Arial" w:cs="Arial"/>
                <w:iCs/>
              </w:rPr>
              <w:t xml:space="preserve"> physician’s documentation of: </w:t>
            </w:r>
            <w:r w:rsidR="0071768D">
              <w:rPr>
                <w:rFonts w:ascii="Arial" w:hAnsi="Arial" w:cs="Arial"/>
                <w:iCs/>
              </w:rPr>
              <w:sym w:font="Symbol" w:char="F02D"/>
            </w:r>
          </w:p>
          <w:p w14:paraId="313721E7" w14:textId="77777777" w:rsidR="008B15DA" w:rsidRPr="00D61F73" w:rsidRDefault="008B15DA" w:rsidP="00D61F73">
            <w:pPr>
              <w:rPr>
                <w:rFonts w:ascii="Arial" w:hAnsi="Arial" w:cs="Arial"/>
                <w:iCs/>
              </w:rPr>
            </w:pPr>
            <w:r w:rsidRPr="00D61F73">
              <w:rPr>
                <w:rFonts w:ascii="Arial" w:hAnsi="Arial" w:cs="Arial"/>
                <w:iCs/>
              </w:rPr>
              <w:t xml:space="preserve">(1) The medical condition that necessitates home health services, including objective deficits in function and the specific activities precluded by such deficits; (2) The expected kinds of services that will be required, with an estimate of the duration and frequency of such services; and </w:t>
            </w:r>
          </w:p>
          <w:p w14:paraId="2B1C70A3" w14:textId="77777777" w:rsidR="008B15DA" w:rsidRPr="00D61F73" w:rsidRDefault="008B15DA" w:rsidP="00D61F73">
            <w:pPr>
              <w:rPr>
                <w:rFonts w:ascii="Arial" w:hAnsi="Arial" w:cs="Arial"/>
                <w:iCs/>
              </w:rPr>
            </w:pPr>
            <w:r w:rsidRPr="00D61F73">
              <w:rPr>
                <w:rFonts w:ascii="Arial" w:hAnsi="Arial" w:cs="Arial"/>
                <w:iCs/>
              </w:rPr>
              <w:t>(3)  The level of expertise and/or professional licensure required to provide the services.</w:t>
            </w:r>
          </w:p>
          <w:p w14:paraId="5A1DC303" w14:textId="21A3E579" w:rsidR="00F37DD6" w:rsidRPr="004517DF" w:rsidRDefault="008B15DA" w:rsidP="00D61F73">
            <w:pPr>
              <w:rPr>
                <w:rFonts w:ascii="Arial" w:hAnsi="Arial" w:cs="Arial"/>
                <w:iCs/>
              </w:rPr>
            </w:pPr>
            <w:r w:rsidRPr="00D61F73">
              <w:rPr>
                <w:rFonts w:ascii="Arial" w:hAnsi="Arial" w:cs="Arial"/>
                <w:iCs/>
              </w:rPr>
              <w:t>Homebound is defined as “confined to the home”. To be homebound means:</w:t>
            </w:r>
          </w:p>
          <w:p w14:paraId="455D661E" w14:textId="77777777" w:rsidR="00B303F3" w:rsidRPr="0083451C" w:rsidRDefault="008B15DA" w:rsidP="00BC512D">
            <w:pPr>
              <w:pStyle w:val="ListParagraph"/>
              <w:numPr>
                <w:ilvl w:val="0"/>
                <w:numId w:val="34"/>
              </w:numPr>
              <w:ind w:left="789"/>
              <w:contextualSpacing/>
              <w:rPr>
                <w:rFonts w:ascii="Arial" w:hAnsi="Arial" w:cs="Arial"/>
                <w:iCs/>
                <w:sz w:val="24"/>
                <w:szCs w:val="24"/>
                <w:u w:val="single"/>
              </w:rPr>
            </w:pPr>
            <w:r w:rsidRPr="0083451C">
              <w:rPr>
                <w:rFonts w:ascii="Arial" w:hAnsi="Arial" w:cs="Arial"/>
                <w:iCs/>
                <w:sz w:val="24"/>
                <w:szCs w:val="24"/>
                <w:u w:val="single"/>
              </w:rPr>
              <w:t>The individual has trouble leaving the home without help (e.g., using a cane, wheelchair, walker, or crutches; special transportation; or help from another person) because of the occupational illness or injury</w:t>
            </w:r>
            <w:r w:rsidRPr="0083451C">
              <w:rPr>
                <w:rFonts w:ascii="Arial" w:hAnsi="Arial" w:cs="Arial"/>
                <w:b/>
                <w:bCs/>
                <w:iCs/>
                <w:sz w:val="24"/>
                <w:szCs w:val="24"/>
                <w:u w:val="single"/>
              </w:rPr>
              <w:t xml:space="preserve"> OR</w:t>
            </w:r>
            <w:r w:rsidR="006761A8" w:rsidRPr="0083451C">
              <w:rPr>
                <w:rFonts w:ascii="Arial" w:hAnsi="Arial" w:cs="Arial"/>
                <w:iCs/>
                <w:sz w:val="24"/>
                <w:szCs w:val="24"/>
                <w:u w:val="single"/>
              </w:rPr>
              <w:t xml:space="preserve"> </w:t>
            </w:r>
          </w:p>
          <w:p w14:paraId="0773D864" w14:textId="19D2256D" w:rsidR="008B15DA" w:rsidRPr="0083451C" w:rsidRDefault="008B15DA" w:rsidP="00143CFF">
            <w:pPr>
              <w:pStyle w:val="ListParagraph"/>
              <w:numPr>
                <w:ilvl w:val="0"/>
                <w:numId w:val="36"/>
              </w:numPr>
              <w:contextualSpacing/>
              <w:rPr>
                <w:rFonts w:ascii="Arial" w:hAnsi="Arial" w:cs="Arial"/>
                <w:iCs/>
                <w:u w:val="single"/>
              </w:rPr>
            </w:pPr>
            <w:r w:rsidRPr="0083451C">
              <w:rPr>
                <w:rFonts w:ascii="Arial" w:hAnsi="Arial" w:cs="Arial"/>
                <w:iCs/>
                <w:u w:val="single"/>
              </w:rPr>
              <w:t xml:space="preserve">Leaving the home isn't recommended because of the occupational </w:t>
            </w:r>
            <w:r w:rsidR="00AE13EB" w:rsidRPr="0083451C">
              <w:rPr>
                <w:rFonts w:ascii="Arial" w:hAnsi="Arial" w:cs="Arial"/>
                <w:iCs/>
                <w:u w:val="single"/>
              </w:rPr>
              <w:t xml:space="preserve">  </w:t>
            </w:r>
            <w:r w:rsidRPr="0083451C">
              <w:rPr>
                <w:rFonts w:ascii="Arial" w:hAnsi="Arial" w:cs="Arial"/>
                <w:iCs/>
                <w:u w:val="single"/>
              </w:rPr>
              <w:t>illness or injury</w:t>
            </w:r>
            <w:r w:rsidR="001B5C47" w:rsidRPr="0083451C">
              <w:rPr>
                <w:rFonts w:ascii="Arial" w:hAnsi="Arial" w:cs="Arial"/>
                <w:iCs/>
                <w:u w:val="single"/>
              </w:rPr>
              <w:t xml:space="preserve"> </w:t>
            </w:r>
            <w:r w:rsidRPr="0083451C">
              <w:rPr>
                <w:rFonts w:ascii="Arial" w:hAnsi="Arial" w:cs="Arial"/>
                <w:b/>
                <w:bCs/>
                <w:iCs/>
                <w:u w:val="single"/>
              </w:rPr>
              <w:t>AND</w:t>
            </w:r>
          </w:p>
          <w:p w14:paraId="02412988" w14:textId="677A4736" w:rsidR="008B15DA" w:rsidRPr="00D61F73" w:rsidRDefault="008B15DA" w:rsidP="00F425E4">
            <w:pPr>
              <w:pStyle w:val="ListParagraph"/>
              <w:numPr>
                <w:ilvl w:val="1"/>
                <w:numId w:val="35"/>
              </w:numPr>
              <w:ind w:left="789"/>
              <w:contextualSpacing/>
              <w:rPr>
                <w:rStyle w:val="Hyperlink"/>
                <w:rFonts w:ascii="Arial" w:hAnsi="Arial" w:cs="Arial"/>
                <w:iCs/>
                <w:sz w:val="24"/>
                <w:szCs w:val="24"/>
              </w:rPr>
            </w:pPr>
            <w:r w:rsidRPr="00D61F73">
              <w:rPr>
                <w:rFonts w:ascii="Arial" w:hAnsi="Arial" w:cs="Arial"/>
                <w:iCs/>
                <w:sz w:val="24"/>
                <w:szCs w:val="24"/>
              </w:rPr>
              <w:t xml:space="preserve">The individual is normally unable to leave home and leaving home </w:t>
            </w:r>
            <w:r w:rsidR="00F425E4">
              <w:rPr>
                <w:rFonts w:ascii="Arial" w:hAnsi="Arial" w:cs="Arial"/>
                <w:iCs/>
                <w:sz w:val="24"/>
                <w:szCs w:val="24"/>
              </w:rPr>
              <w:t xml:space="preserve">  </w:t>
            </w:r>
            <w:r w:rsidRPr="00D61F73">
              <w:rPr>
                <w:rFonts w:ascii="Arial" w:hAnsi="Arial" w:cs="Arial"/>
                <w:iCs/>
                <w:sz w:val="24"/>
                <w:szCs w:val="24"/>
              </w:rPr>
              <w:t>is a major effort (</w:t>
            </w:r>
            <w:r w:rsidR="005F7F3E" w:rsidRPr="00D61F73">
              <w:rPr>
                <w:rFonts w:ascii="Arial" w:hAnsi="Arial" w:cs="Arial"/>
                <w:sz w:val="24"/>
                <w:szCs w:val="24"/>
              </w:rPr>
              <w:fldChar w:fldCharType="begin"/>
            </w:r>
            <w:r w:rsidR="005F7F3E" w:rsidRPr="00D61F73">
              <w:rPr>
                <w:rFonts w:ascii="Arial" w:hAnsi="Arial" w:cs="Arial"/>
                <w:sz w:val="24"/>
                <w:szCs w:val="24"/>
              </w:rPr>
              <w:instrText xml:space="preserve"> HYPERLINK  \l "CMS2014homebound" </w:instrText>
            </w:r>
            <w:r w:rsidR="005F7F3E" w:rsidRPr="00D61F73">
              <w:rPr>
                <w:rFonts w:ascii="Arial" w:hAnsi="Arial" w:cs="Arial"/>
                <w:sz w:val="24"/>
                <w:szCs w:val="24"/>
              </w:rPr>
              <w:fldChar w:fldCharType="separate"/>
            </w:r>
            <w:r w:rsidRPr="00D61F73">
              <w:rPr>
                <w:rStyle w:val="Hyperlink"/>
                <w:rFonts w:ascii="Arial" w:hAnsi="Arial" w:cs="Arial"/>
                <w:sz w:val="24"/>
                <w:szCs w:val="24"/>
              </w:rPr>
              <w:t>CMS, 201</w:t>
            </w:r>
            <w:r w:rsidRPr="00D61F73">
              <w:rPr>
                <w:rStyle w:val="Hyperlink"/>
                <w:rFonts w:ascii="Arial" w:hAnsi="Arial" w:cs="Arial"/>
                <w:iCs/>
                <w:sz w:val="24"/>
                <w:szCs w:val="24"/>
              </w:rPr>
              <w:t>4).</w:t>
            </w:r>
          </w:p>
          <w:p w14:paraId="18E2F889" w14:textId="77777777" w:rsidR="001C46D3" w:rsidRPr="00B303F3" w:rsidRDefault="005F7F3E" w:rsidP="004244D5">
            <w:pPr>
              <w:pStyle w:val="ListParagraph"/>
              <w:ind w:left="159"/>
              <w:rPr>
                <w:rFonts w:ascii="Arial" w:hAnsi="Arial" w:cs="Arial"/>
                <w:sz w:val="24"/>
                <w:szCs w:val="24"/>
              </w:rPr>
            </w:pPr>
            <w:r w:rsidRPr="00D61F73">
              <w:fldChar w:fldCharType="end"/>
            </w:r>
            <w:r w:rsidR="008B15DA" w:rsidRPr="00B303F3">
              <w:rPr>
                <w:rFonts w:ascii="Arial" w:hAnsi="Arial" w:cs="Arial"/>
                <w:sz w:val="24"/>
                <w:szCs w:val="24"/>
              </w:rPr>
              <w:t xml:space="preserve">Evaluation of the medical necessity of </w:t>
            </w:r>
            <w:r w:rsidR="001B1AF8" w:rsidRPr="00B303F3">
              <w:rPr>
                <w:rFonts w:ascii="Arial" w:hAnsi="Arial" w:cs="Arial"/>
                <w:sz w:val="24"/>
                <w:szCs w:val="24"/>
              </w:rPr>
              <w:t>h</w:t>
            </w:r>
            <w:r w:rsidR="008B15DA" w:rsidRPr="00B303F3">
              <w:rPr>
                <w:rFonts w:ascii="Arial" w:hAnsi="Arial" w:cs="Arial"/>
                <w:sz w:val="24"/>
                <w:szCs w:val="24"/>
              </w:rPr>
              <w:t xml:space="preserve">ome </w:t>
            </w:r>
            <w:r w:rsidR="001B1AF8" w:rsidRPr="00B303F3">
              <w:rPr>
                <w:rFonts w:ascii="Arial" w:hAnsi="Arial" w:cs="Arial"/>
                <w:sz w:val="24"/>
                <w:szCs w:val="24"/>
              </w:rPr>
              <w:t>h</w:t>
            </w:r>
            <w:r w:rsidR="008B15DA" w:rsidRPr="00B303F3">
              <w:rPr>
                <w:rFonts w:ascii="Arial" w:hAnsi="Arial" w:cs="Arial"/>
                <w:sz w:val="24"/>
                <w:szCs w:val="24"/>
              </w:rPr>
              <w:t xml:space="preserve">ealth </w:t>
            </w:r>
            <w:r w:rsidR="001B1AF8" w:rsidRPr="00B303F3">
              <w:rPr>
                <w:rFonts w:ascii="Arial" w:hAnsi="Arial" w:cs="Arial"/>
                <w:sz w:val="24"/>
                <w:szCs w:val="24"/>
              </w:rPr>
              <w:t>c</w:t>
            </w:r>
            <w:r w:rsidR="008B15DA" w:rsidRPr="00B303F3">
              <w:rPr>
                <w:rFonts w:ascii="Arial" w:hAnsi="Arial" w:cs="Arial"/>
                <w:sz w:val="24"/>
                <w:szCs w:val="24"/>
              </w:rPr>
              <w:t xml:space="preserve">are services is made on a case-by-case basis. </w:t>
            </w:r>
            <w:r w:rsidR="000A5BF7" w:rsidRPr="00B303F3">
              <w:rPr>
                <w:rFonts w:ascii="Arial" w:hAnsi="Arial" w:cs="Arial"/>
                <w:sz w:val="24"/>
                <w:szCs w:val="24"/>
              </w:rPr>
              <w:t>For home health care extending beyond a period of 60 days, t</w:t>
            </w:r>
            <w:r w:rsidR="008B15DA" w:rsidRPr="00B303F3">
              <w:rPr>
                <w:rFonts w:ascii="Arial" w:hAnsi="Arial" w:cs="Arial"/>
                <w:sz w:val="24"/>
                <w:szCs w:val="24"/>
              </w:rPr>
              <w:t>he physician’s treatment plan should include referral for an in-home evaluation by a Home Health Care Agency Registered Nurse</w:t>
            </w:r>
            <w:r w:rsidR="001B1AF8" w:rsidRPr="00B303F3">
              <w:rPr>
                <w:rFonts w:ascii="Arial" w:hAnsi="Arial" w:cs="Arial"/>
                <w:sz w:val="24"/>
                <w:szCs w:val="24"/>
              </w:rPr>
              <w:t>, Physical T</w:t>
            </w:r>
            <w:r w:rsidR="000A5BF7" w:rsidRPr="00B303F3">
              <w:rPr>
                <w:rFonts w:ascii="Arial" w:hAnsi="Arial" w:cs="Arial"/>
                <w:sz w:val="24"/>
                <w:szCs w:val="24"/>
              </w:rPr>
              <w:t xml:space="preserve">herapist, Occupational Therapist, or other qualified professional certified by the Centers for Medicare and Medicaid in the assessment of activities of daily living </w:t>
            </w:r>
            <w:r w:rsidR="008B15DA" w:rsidRPr="00B303F3">
              <w:rPr>
                <w:rFonts w:ascii="Arial" w:hAnsi="Arial" w:cs="Arial"/>
                <w:sz w:val="24"/>
                <w:szCs w:val="24"/>
              </w:rPr>
              <w:t xml:space="preserve"> to assess the appropriate scope, extent, and level of care for home health care services</w:t>
            </w:r>
            <w:r w:rsidR="000A5BF7" w:rsidRPr="00B303F3">
              <w:rPr>
                <w:rFonts w:ascii="Arial" w:hAnsi="Arial" w:cs="Arial"/>
                <w:sz w:val="24"/>
                <w:szCs w:val="24"/>
              </w:rPr>
              <w:t xml:space="preserve"> </w:t>
            </w:r>
            <w:hyperlink w:anchor="CMS2015Homehealth" w:history="1">
              <w:r w:rsidR="000A5BF7" w:rsidRPr="00B303F3">
                <w:rPr>
                  <w:rStyle w:val="Hyperlink"/>
                  <w:rFonts w:ascii="Arial" w:hAnsi="Arial" w:cs="Arial"/>
                  <w:sz w:val="24"/>
                  <w:szCs w:val="24"/>
                </w:rPr>
                <w:t>(CMS, 2015)</w:t>
              </w:r>
            </w:hyperlink>
            <w:r w:rsidR="00DD6065" w:rsidRPr="00B303F3">
              <w:rPr>
                <w:rFonts w:ascii="Arial" w:hAnsi="Arial" w:cs="Arial"/>
                <w:sz w:val="24"/>
                <w:szCs w:val="24"/>
              </w:rPr>
              <w:t xml:space="preserve">. </w:t>
            </w:r>
            <w:r w:rsidR="001C46D3" w:rsidRPr="00B303F3">
              <w:rPr>
                <w:rFonts w:ascii="Arial" w:hAnsi="Arial" w:cs="Arial"/>
                <w:sz w:val="24"/>
                <w:szCs w:val="24"/>
              </w:rPr>
              <w:t>The treating physician should periodically conduct re-assessments of the medical necessity of home health care services at intervals matched to the individual patient condition and needs, for example, 30, 60, 90, or 120 days. Such reassessments may include repeat evaluations in the home.</w:t>
            </w:r>
            <w:r w:rsidR="001B5C47" w:rsidRPr="00B303F3" w:rsidDel="001B5C47">
              <w:rPr>
                <w:rFonts w:ascii="Arial" w:hAnsi="Arial" w:cs="Arial"/>
                <w:sz w:val="24"/>
                <w:szCs w:val="24"/>
              </w:rPr>
              <w:t xml:space="preserve"> </w:t>
            </w:r>
          </w:p>
          <w:p w14:paraId="5665671A" w14:textId="77777777" w:rsidR="001C46D3" w:rsidRPr="00D61F73" w:rsidRDefault="001C46D3" w:rsidP="00D61F73">
            <w:pPr>
              <w:rPr>
                <w:rFonts w:ascii="Arial" w:hAnsi="Arial" w:cs="Arial"/>
              </w:rPr>
            </w:pPr>
          </w:p>
        </w:tc>
      </w:tr>
      <w:tr w:rsidR="00E648FC" w:rsidRPr="00D61F73" w14:paraId="2DEEBD2A" w14:textId="77777777" w:rsidTr="0078164D">
        <w:tc>
          <w:tcPr>
            <w:tcW w:w="1086" w:type="pct"/>
          </w:tcPr>
          <w:p w14:paraId="7B2F81A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H</w:t>
            </w:r>
            <w:bookmarkStart w:id="240" w:name="Homeopathictopicals"/>
            <w:bookmarkEnd w:id="240"/>
            <w:r w:rsidRPr="00D61F73">
              <w:rPr>
                <w:rFonts w:ascii="Arial" w:hAnsi="Arial" w:cs="Arial"/>
              </w:rPr>
              <w:t xml:space="preserve">omeopathic topicals </w:t>
            </w:r>
          </w:p>
        </w:tc>
        <w:tc>
          <w:tcPr>
            <w:tcW w:w="3914" w:type="pct"/>
          </w:tcPr>
          <w:p w14:paraId="688E15FF" w14:textId="77777777" w:rsidR="00E648FC" w:rsidRPr="00D61F73" w:rsidRDefault="00E648FC" w:rsidP="00D61F73">
            <w:pPr>
              <w:rPr>
                <w:rFonts w:ascii="Arial" w:hAnsi="Arial" w:cs="Arial"/>
              </w:rPr>
            </w:pPr>
            <w:r w:rsidRPr="00D61F73">
              <w:rPr>
                <w:rFonts w:ascii="Arial" w:hAnsi="Arial" w:cs="Arial"/>
              </w:rPr>
              <w:t xml:space="preserve">Not recommended for the treatment of chronic pain. </w:t>
            </w:r>
          </w:p>
        </w:tc>
      </w:tr>
      <w:tr w:rsidR="00E648FC" w:rsidRPr="00D61F73" w14:paraId="388CE29E" w14:textId="77777777" w:rsidTr="0078164D">
        <w:tc>
          <w:tcPr>
            <w:tcW w:w="1086" w:type="pct"/>
          </w:tcPr>
          <w:p w14:paraId="3ADBD2D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H</w:t>
            </w:r>
            <w:bookmarkStart w:id="241" w:name="Horizontaltherapy"/>
            <w:bookmarkEnd w:id="241"/>
            <w:r w:rsidRPr="00D61F73">
              <w:rPr>
                <w:rFonts w:ascii="Arial" w:hAnsi="Arial" w:cs="Arial"/>
              </w:rPr>
              <w:t xml:space="preserve">orizontal therapy (HT) </w:t>
            </w:r>
          </w:p>
        </w:tc>
        <w:tc>
          <w:tcPr>
            <w:tcW w:w="3914" w:type="pct"/>
          </w:tcPr>
          <w:p w14:paraId="1E337E9C" w14:textId="77777777" w:rsidR="00E648FC" w:rsidRPr="00D61F73" w:rsidRDefault="00E648FC" w:rsidP="00D61F73">
            <w:pPr>
              <w:rPr>
                <w:rFonts w:ascii="Arial" w:hAnsi="Arial" w:cs="Arial"/>
              </w:rPr>
            </w:pPr>
            <w:r w:rsidRPr="00D61F73">
              <w:rPr>
                <w:rFonts w:ascii="Arial" w:hAnsi="Arial" w:cs="Arial"/>
              </w:rPr>
              <w:t xml:space="preserve">See </w:t>
            </w:r>
            <w:hyperlink w:anchor="Interferentialcurrentstimulation" w:history="1">
              <w:r w:rsidRPr="00D61F73">
                <w:rPr>
                  <w:rStyle w:val="Hyperlink"/>
                  <w:rFonts w:ascii="Arial" w:hAnsi="Arial" w:cs="Arial"/>
                </w:rPr>
                <w:t>Interferential current stimulation</w:t>
              </w:r>
            </w:hyperlink>
            <w:r w:rsidRPr="00D61F73">
              <w:rPr>
                <w:rFonts w:ascii="Arial" w:hAnsi="Arial" w:cs="Arial"/>
              </w:rPr>
              <w:t xml:space="preserve"> (ICS).</w:t>
            </w:r>
          </w:p>
        </w:tc>
      </w:tr>
      <w:tr w:rsidR="00E648FC" w:rsidRPr="00D61F73" w14:paraId="44BC55BC" w14:textId="77777777" w:rsidTr="00723E19">
        <w:tc>
          <w:tcPr>
            <w:tcW w:w="1086" w:type="pct"/>
          </w:tcPr>
          <w:p w14:paraId="0FDE86D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H</w:t>
            </w:r>
            <w:bookmarkStart w:id="242" w:name="Hospitallengthofstay"/>
            <w:bookmarkEnd w:id="242"/>
            <w:r w:rsidRPr="00D61F73">
              <w:rPr>
                <w:rFonts w:ascii="Arial" w:hAnsi="Arial" w:cs="Arial"/>
              </w:rPr>
              <w:t xml:space="preserve">ospital length of stay (LOS) </w:t>
            </w:r>
          </w:p>
        </w:tc>
        <w:tc>
          <w:tcPr>
            <w:tcW w:w="3914" w:type="pct"/>
            <w:tcBorders>
              <w:bottom w:val="single" w:sz="4" w:space="0" w:color="auto"/>
            </w:tcBorders>
            <w:shd w:val="clear" w:color="auto" w:fill="auto"/>
          </w:tcPr>
          <w:p w14:paraId="66E8A05A" w14:textId="1E44E9F3" w:rsidR="00E648FC" w:rsidRPr="006A61E7" w:rsidRDefault="00E648FC" w:rsidP="00D61F73">
            <w:pPr>
              <w:rPr>
                <w:rFonts w:ascii="Arial" w:hAnsi="Arial" w:cs="Arial"/>
                <w:strike/>
                <w:u w:val="double"/>
              </w:rPr>
            </w:pPr>
            <w:r w:rsidRPr="00D61F73">
              <w:rPr>
                <w:rFonts w:ascii="Arial" w:hAnsi="Arial" w:cs="Arial"/>
              </w:rPr>
              <w:t>Recommend the median length of stay (LOS) based on type of surgery, or best practice target LOS for cases with no complications. For prospective management of cases, median is a better choice that mean (or average) because it represents the mid-point, at which half of the cases are less, and half are more. For retrospective benchmarking of a series of cases, mean may be a better choice because of the effect of outliers on the average length of stay. Length of stay is the number of nights the patient remained in the hospital for that stay, and a patient admitted and discharged on the same day would have a length of stay of zero. The total number of days is typically measured in multiples of a 24-hour day that a patient occupies a hospital bed, so a 23-hour admission would have a length of stay of zero. (</w:t>
            </w:r>
            <w:hyperlink r:id="rId85" w:anchor="HCUP" w:history="1">
              <w:r w:rsidRPr="00D61F73">
                <w:rPr>
                  <w:rStyle w:val="Hyperlink"/>
                  <w:rFonts w:ascii="Arial" w:hAnsi="Arial" w:cs="Arial"/>
                  <w:u w:val="none"/>
                </w:rPr>
                <w:t>HCUP, 2011</w:t>
              </w:r>
            </w:hyperlink>
            <w:r w:rsidRPr="00D61F73">
              <w:rPr>
                <w:rFonts w:ascii="Arial" w:hAnsi="Arial" w:cs="Arial"/>
              </w:rPr>
              <w:t>)</w:t>
            </w:r>
            <w:r w:rsidRPr="0032596C">
              <w:rPr>
                <w:rFonts w:ascii="Arial" w:hAnsi="Arial" w:cs="Arial"/>
                <w:strike/>
              </w:rPr>
              <w:t xml:space="preserve"> See also MTUS chapters on specific body parts.</w:t>
            </w:r>
            <w:r w:rsidR="006A61E7">
              <w:rPr>
                <w:rFonts w:ascii="Arial" w:hAnsi="Arial" w:cs="Arial"/>
                <w:strike/>
              </w:rPr>
              <w:t xml:space="preserve"> </w:t>
            </w:r>
            <w:r w:rsidR="006A61E7" w:rsidRPr="00557CEE">
              <w:rPr>
                <w:rFonts w:ascii="Arial" w:hAnsi="Arial" w:cs="Arial"/>
                <w:color w:val="auto"/>
              </w:rPr>
              <w:t xml:space="preserve"> </w:t>
            </w:r>
            <w:r w:rsidR="006A61E7" w:rsidRPr="0032596C">
              <w:rPr>
                <w:rFonts w:ascii="Arial" w:hAnsi="Arial" w:cs="Arial"/>
                <w:color w:val="auto"/>
                <w:u w:val="single"/>
              </w:rPr>
              <w:t xml:space="preserve">Refer to the relevant Clinical Topics </w:t>
            </w:r>
            <w:r w:rsidR="00F37DD6" w:rsidRPr="0032596C">
              <w:rPr>
                <w:rFonts w:ascii="Arial" w:hAnsi="Arial" w:cs="Arial"/>
                <w:color w:val="auto"/>
                <w:u w:val="single"/>
              </w:rPr>
              <w:t>chapter</w:t>
            </w:r>
            <w:r w:rsidR="006A61E7" w:rsidRPr="0032596C">
              <w:rPr>
                <w:rFonts w:ascii="Arial" w:hAnsi="Arial" w:cs="Arial"/>
                <w:color w:val="auto"/>
                <w:u w:val="single"/>
              </w:rPr>
              <w:t xml:space="preserve"> of the MTUS</w:t>
            </w:r>
            <w:r w:rsidR="00D22AF7" w:rsidRPr="0032596C">
              <w:rPr>
                <w:rFonts w:ascii="Arial" w:hAnsi="Arial" w:cs="Arial"/>
                <w:color w:val="auto"/>
                <w:u w:val="single"/>
              </w:rPr>
              <w:t xml:space="preserve"> for additional </w:t>
            </w:r>
            <w:r w:rsidR="00607D8E" w:rsidRPr="0032596C">
              <w:rPr>
                <w:rFonts w:ascii="Arial" w:hAnsi="Arial" w:cs="Arial"/>
                <w:color w:val="auto"/>
                <w:u w:val="single"/>
              </w:rPr>
              <w:t>recommendations</w:t>
            </w:r>
            <w:r w:rsidR="006A61E7" w:rsidRPr="0032596C">
              <w:rPr>
                <w:rFonts w:ascii="Arial" w:hAnsi="Arial" w:cs="Arial"/>
                <w:color w:val="auto"/>
                <w:u w:val="single"/>
              </w:rPr>
              <w:t>.</w:t>
            </w:r>
          </w:p>
          <w:p w14:paraId="055C9542" w14:textId="77777777" w:rsidR="00E648FC" w:rsidRPr="00D61F73" w:rsidRDefault="00E648FC" w:rsidP="00D61F73">
            <w:pPr>
              <w:rPr>
                <w:rFonts w:ascii="Arial" w:hAnsi="Arial" w:cs="Arial"/>
                <w:b/>
                <w:bCs/>
              </w:rPr>
            </w:pPr>
            <w:r w:rsidRPr="00D61F73">
              <w:rPr>
                <w:rFonts w:ascii="Arial" w:hAnsi="Arial" w:cs="Arial"/>
                <w:b/>
                <w:bCs/>
              </w:rPr>
              <w:t>ODG hospital length of stay (LOS) guidelines:</w:t>
            </w:r>
          </w:p>
          <w:p w14:paraId="4BD6C26B" w14:textId="77777777" w:rsidR="00E648FC" w:rsidRPr="00D61F73" w:rsidRDefault="00E648FC" w:rsidP="00D61F73">
            <w:pPr>
              <w:rPr>
                <w:rFonts w:ascii="Arial" w:hAnsi="Arial" w:cs="Arial"/>
              </w:rPr>
            </w:pPr>
            <w:r w:rsidRPr="00D61F73">
              <w:rPr>
                <w:rFonts w:ascii="Arial" w:hAnsi="Arial" w:cs="Arial"/>
                <w:b/>
                <w:bCs/>
              </w:rPr>
              <w:t>Sympathectomy</w:t>
            </w:r>
            <w:r w:rsidRPr="00D61F73">
              <w:rPr>
                <w:rFonts w:ascii="Arial" w:hAnsi="Arial" w:cs="Arial"/>
              </w:rPr>
              <w:t xml:space="preserve"> (</w:t>
            </w:r>
            <w:r w:rsidRPr="00D61F73">
              <w:rPr>
                <w:rFonts w:ascii="Arial" w:hAnsi="Arial" w:cs="Arial"/>
                <w:i/>
                <w:iCs/>
              </w:rPr>
              <w:t>icd 05.29 -- Other sympathectomy and ganglionectomy</w:t>
            </w:r>
            <w:r w:rsidRPr="00D61F73">
              <w:rPr>
                <w:rFonts w:ascii="Arial" w:hAnsi="Arial" w:cs="Arial"/>
              </w:rPr>
              <w:t>)</w:t>
            </w:r>
          </w:p>
          <w:p w14:paraId="08ED5A9E" w14:textId="77777777" w:rsidR="00E648FC" w:rsidRPr="00D61F73" w:rsidRDefault="00E648FC" w:rsidP="00D61F73">
            <w:pPr>
              <w:rPr>
                <w:rFonts w:ascii="Arial" w:hAnsi="Arial" w:cs="Arial"/>
              </w:rPr>
            </w:pPr>
            <w:r w:rsidRPr="00D61F73">
              <w:rPr>
                <w:rFonts w:ascii="Arial" w:hAnsi="Arial" w:cs="Arial"/>
              </w:rPr>
              <w:t>Actual data -- median 1 day; mean 2.0 days (± 0.4); discharges 540; charges (mean) $24,544</w:t>
            </w:r>
          </w:p>
          <w:p w14:paraId="14BA076A" w14:textId="77777777" w:rsidR="00E648FC" w:rsidRPr="00D61F73" w:rsidRDefault="00E648FC" w:rsidP="00D61F73">
            <w:pPr>
              <w:rPr>
                <w:rFonts w:ascii="Arial" w:hAnsi="Arial" w:cs="Arial"/>
                <w:i/>
                <w:iCs/>
              </w:rPr>
            </w:pPr>
            <w:r w:rsidRPr="00D61F73">
              <w:rPr>
                <w:rFonts w:ascii="Arial" w:hAnsi="Arial" w:cs="Arial"/>
              </w:rPr>
              <w:t xml:space="preserve">Best practice target (no complications) -- </w:t>
            </w:r>
            <w:r w:rsidRPr="00D61F73">
              <w:rPr>
                <w:rFonts w:ascii="Arial" w:hAnsi="Arial" w:cs="Arial"/>
                <w:i/>
                <w:iCs/>
              </w:rPr>
              <w:t>Never recommended</w:t>
            </w:r>
          </w:p>
          <w:p w14:paraId="3FBB20D6" w14:textId="77777777" w:rsidR="00E648FC" w:rsidRPr="00D61F73" w:rsidRDefault="00E648FC" w:rsidP="00D61F73">
            <w:pPr>
              <w:rPr>
                <w:rFonts w:ascii="Arial" w:hAnsi="Arial" w:cs="Arial"/>
              </w:rPr>
            </w:pPr>
            <w:r w:rsidRPr="00D61F73">
              <w:rPr>
                <w:rFonts w:ascii="Arial" w:hAnsi="Arial" w:cs="Arial"/>
                <w:b/>
                <w:bCs/>
              </w:rPr>
              <w:t>SCS</w:t>
            </w:r>
            <w:r w:rsidRPr="00D61F73">
              <w:rPr>
                <w:rFonts w:ascii="Arial" w:hAnsi="Arial" w:cs="Arial"/>
              </w:rPr>
              <w:t xml:space="preserve"> (</w:t>
            </w:r>
            <w:r w:rsidRPr="00D61F73">
              <w:rPr>
                <w:rFonts w:ascii="Arial" w:hAnsi="Arial" w:cs="Arial"/>
                <w:i/>
                <w:iCs/>
              </w:rPr>
              <w:t>icd 03.93 Implantation or replacement of spinal neurostimulator leads</w:t>
            </w:r>
            <w:r w:rsidRPr="00D61F73">
              <w:rPr>
                <w:rFonts w:ascii="Arial" w:hAnsi="Arial" w:cs="Arial"/>
              </w:rPr>
              <w:t>)</w:t>
            </w:r>
          </w:p>
          <w:p w14:paraId="08E7757B" w14:textId="77777777" w:rsidR="00E648FC" w:rsidRPr="00D61F73" w:rsidRDefault="00E648FC" w:rsidP="00D61F73">
            <w:pPr>
              <w:rPr>
                <w:rFonts w:ascii="Arial" w:hAnsi="Arial" w:cs="Arial"/>
              </w:rPr>
            </w:pPr>
            <w:r w:rsidRPr="00D61F73">
              <w:rPr>
                <w:rFonts w:ascii="Arial" w:hAnsi="Arial" w:cs="Arial"/>
              </w:rPr>
              <w:t>Actual data -- median 1 day; mean 2.3 days (±0.2); discharges 3,998; charges (mean) $68,730</w:t>
            </w:r>
          </w:p>
          <w:p w14:paraId="3292AAF4" w14:textId="77777777" w:rsidR="00E648FC" w:rsidRPr="00D61F73" w:rsidRDefault="00E648FC" w:rsidP="00D61F73">
            <w:pPr>
              <w:rPr>
                <w:rFonts w:ascii="Arial" w:hAnsi="Arial" w:cs="Arial"/>
                <w:i/>
                <w:iCs/>
              </w:rPr>
            </w:pPr>
            <w:r w:rsidRPr="00D61F73">
              <w:rPr>
                <w:rFonts w:ascii="Arial" w:hAnsi="Arial" w:cs="Arial"/>
              </w:rPr>
              <w:t xml:space="preserve">Best practice target (no complications) -- </w:t>
            </w:r>
            <w:r w:rsidRPr="00D61F73">
              <w:rPr>
                <w:rFonts w:ascii="Arial" w:hAnsi="Arial" w:cs="Arial"/>
                <w:i/>
                <w:iCs/>
              </w:rPr>
              <w:t>1 day</w:t>
            </w:r>
          </w:p>
          <w:p w14:paraId="3FB5201E" w14:textId="77777777" w:rsidR="00E648FC" w:rsidRPr="00D61F73" w:rsidRDefault="00E648FC" w:rsidP="00D61F73">
            <w:pPr>
              <w:rPr>
                <w:rFonts w:ascii="Arial" w:hAnsi="Arial" w:cs="Arial"/>
                <w:i/>
                <w:iCs/>
              </w:rPr>
            </w:pPr>
            <w:r w:rsidRPr="00D61F73">
              <w:rPr>
                <w:rFonts w:ascii="Arial" w:hAnsi="Arial" w:cs="Arial"/>
                <w:i/>
                <w:iCs/>
              </w:rPr>
              <w:t>Note: About 14% of discharges paid by workers’ compensation.</w:t>
            </w:r>
          </w:p>
          <w:p w14:paraId="229DF1B2" w14:textId="77777777" w:rsidR="00E648FC" w:rsidRPr="00D61F73" w:rsidRDefault="00E648FC" w:rsidP="00D61F73">
            <w:pPr>
              <w:rPr>
                <w:rFonts w:ascii="Arial" w:hAnsi="Arial" w:cs="Arial"/>
              </w:rPr>
            </w:pPr>
            <w:r w:rsidRPr="00D61F73">
              <w:rPr>
                <w:rFonts w:ascii="Arial" w:hAnsi="Arial" w:cs="Arial"/>
                <w:b/>
                <w:bCs/>
              </w:rPr>
              <w:t>Intrathecal Pump</w:t>
            </w:r>
            <w:r w:rsidRPr="00D61F73">
              <w:rPr>
                <w:rFonts w:ascii="Arial" w:hAnsi="Arial" w:cs="Arial"/>
              </w:rPr>
              <w:t xml:space="preserve"> (</w:t>
            </w:r>
            <w:r w:rsidRPr="00D61F73">
              <w:rPr>
                <w:rFonts w:ascii="Arial" w:hAnsi="Arial" w:cs="Arial"/>
                <w:i/>
                <w:iCs/>
              </w:rPr>
              <w:t>icd 86.06 - Insertion of totally implantable infusion pump</w:t>
            </w:r>
            <w:r w:rsidRPr="00D61F73">
              <w:rPr>
                <w:rFonts w:ascii="Arial" w:hAnsi="Arial" w:cs="Arial"/>
              </w:rPr>
              <w:t>)</w:t>
            </w:r>
          </w:p>
          <w:p w14:paraId="204E087E" w14:textId="77777777" w:rsidR="00E648FC" w:rsidRPr="00D61F73" w:rsidRDefault="00E648FC" w:rsidP="00D61F73">
            <w:pPr>
              <w:rPr>
                <w:rFonts w:ascii="Arial" w:hAnsi="Arial" w:cs="Arial"/>
              </w:rPr>
            </w:pPr>
            <w:r w:rsidRPr="00D61F73">
              <w:rPr>
                <w:rFonts w:ascii="Arial" w:hAnsi="Arial" w:cs="Arial"/>
              </w:rPr>
              <w:t>Actual data -- median 3 days; mean 5.4 days (±0.4); discharges 6,995; charges (mean) $62,325</w:t>
            </w:r>
          </w:p>
          <w:p w14:paraId="6CA8808B" w14:textId="77777777" w:rsidR="00E648FC" w:rsidRPr="00D61F73" w:rsidRDefault="00E648FC" w:rsidP="00D61F73">
            <w:pPr>
              <w:rPr>
                <w:rFonts w:ascii="Arial" w:hAnsi="Arial" w:cs="Arial"/>
                <w:i/>
                <w:iCs/>
              </w:rPr>
            </w:pPr>
            <w:r w:rsidRPr="00D61F73">
              <w:rPr>
                <w:rFonts w:ascii="Arial" w:hAnsi="Arial" w:cs="Arial"/>
              </w:rPr>
              <w:t xml:space="preserve">Best practice target (no complications) -- </w:t>
            </w:r>
            <w:r w:rsidRPr="00D61F73">
              <w:rPr>
                <w:rFonts w:ascii="Arial" w:hAnsi="Arial" w:cs="Arial"/>
                <w:i/>
                <w:iCs/>
              </w:rPr>
              <w:t>3 days</w:t>
            </w:r>
          </w:p>
          <w:p w14:paraId="17584C3C" w14:textId="77777777" w:rsidR="00E648FC" w:rsidRPr="00D61F73" w:rsidRDefault="00E648FC" w:rsidP="00D61F73">
            <w:pPr>
              <w:rPr>
                <w:rFonts w:ascii="Arial" w:hAnsi="Arial" w:cs="Arial"/>
              </w:rPr>
            </w:pPr>
            <w:r w:rsidRPr="00D61F73">
              <w:rPr>
                <w:rFonts w:ascii="Arial" w:hAnsi="Arial" w:cs="Arial"/>
                <w:b/>
                <w:bCs/>
              </w:rPr>
              <w:t>Alcohol Detox</w:t>
            </w:r>
            <w:r w:rsidRPr="00D61F73">
              <w:rPr>
                <w:rFonts w:ascii="Arial" w:hAnsi="Arial" w:cs="Arial"/>
              </w:rPr>
              <w:t xml:space="preserve"> (</w:t>
            </w:r>
            <w:r w:rsidRPr="00D61F73">
              <w:rPr>
                <w:rFonts w:ascii="Arial" w:hAnsi="Arial" w:cs="Arial"/>
                <w:i/>
                <w:iCs/>
              </w:rPr>
              <w:t>icd 94.62 - Alcohol detoxification</w:t>
            </w:r>
            <w:r w:rsidRPr="00D61F73">
              <w:rPr>
                <w:rFonts w:ascii="Arial" w:hAnsi="Arial" w:cs="Arial"/>
              </w:rPr>
              <w:t>)</w:t>
            </w:r>
          </w:p>
          <w:p w14:paraId="31715777" w14:textId="77777777" w:rsidR="00E648FC" w:rsidRPr="00D61F73" w:rsidRDefault="00E648FC" w:rsidP="00D61F73">
            <w:pPr>
              <w:rPr>
                <w:rFonts w:ascii="Arial" w:hAnsi="Arial" w:cs="Arial"/>
              </w:rPr>
            </w:pPr>
            <w:r w:rsidRPr="00D61F73">
              <w:rPr>
                <w:rFonts w:ascii="Arial" w:hAnsi="Arial" w:cs="Arial"/>
              </w:rPr>
              <w:t>Actual data -- median 3 days; mean 4.2 days (±0.1); discharges 169,797; charges (mean) $13,111</w:t>
            </w:r>
          </w:p>
          <w:p w14:paraId="64353683" w14:textId="77777777" w:rsidR="00E648FC" w:rsidRPr="00D61F73" w:rsidRDefault="00E648FC" w:rsidP="00D61F73">
            <w:pPr>
              <w:rPr>
                <w:rFonts w:ascii="Arial" w:hAnsi="Arial" w:cs="Arial"/>
                <w:i/>
                <w:iCs/>
              </w:rPr>
            </w:pPr>
            <w:r w:rsidRPr="00D61F73">
              <w:rPr>
                <w:rFonts w:ascii="Arial" w:hAnsi="Arial" w:cs="Arial"/>
              </w:rPr>
              <w:t xml:space="preserve">Best practice target (no complications) -- </w:t>
            </w:r>
            <w:r w:rsidRPr="00D61F73">
              <w:rPr>
                <w:rFonts w:ascii="Arial" w:hAnsi="Arial" w:cs="Arial"/>
                <w:i/>
                <w:iCs/>
              </w:rPr>
              <w:t>3 days</w:t>
            </w:r>
          </w:p>
          <w:p w14:paraId="687927F6" w14:textId="77777777" w:rsidR="00E648FC" w:rsidRPr="00D61F73" w:rsidRDefault="00E648FC" w:rsidP="00D61F73">
            <w:pPr>
              <w:rPr>
                <w:rFonts w:ascii="Arial" w:hAnsi="Arial" w:cs="Arial"/>
              </w:rPr>
            </w:pPr>
            <w:r w:rsidRPr="00D61F73">
              <w:rPr>
                <w:rFonts w:ascii="Arial" w:hAnsi="Arial" w:cs="Arial"/>
                <w:b/>
                <w:bCs/>
              </w:rPr>
              <w:t>Alcohol Rehab/Detox</w:t>
            </w:r>
            <w:r w:rsidRPr="00D61F73">
              <w:rPr>
                <w:rFonts w:ascii="Arial" w:hAnsi="Arial" w:cs="Arial"/>
              </w:rPr>
              <w:t xml:space="preserve"> (</w:t>
            </w:r>
            <w:r w:rsidRPr="00D61F73">
              <w:rPr>
                <w:rFonts w:ascii="Arial" w:hAnsi="Arial" w:cs="Arial"/>
                <w:i/>
                <w:iCs/>
              </w:rPr>
              <w:t>icd 94.63 - Alcohol rehabilitation and detoxification</w:t>
            </w:r>
            <w:r w:rsidRPr="00D61F73">
              <w:rPr>
                <w:rFonts w:ascii="Arial" w:hAnsi="Arial" w:cs="Arial"/>
              </w:rPr>
              <w:t>)</w:t>
            </w:r>
          </w:p>
          <w:p w14:paraId="0AFF098C" w14:textId="77777777" w:rsidR="00E648FC" w:rsidRPr="00D61F73" w:rsidRDefault="00E648FC" w:rsidP="00D61F73">
            <w:pPr>
              <w:rPr>
                <w:rFonts w:ascii="Arial" w:hAnsi="Arial" w:cs="Arial"/>
              </w:rPr>
            </w:pPr>
            <w:r w:rsidRPr="00D61F73">
              <w:rPr>
                <w:rFonts w:ascii="Arial" w:hAnsi="Arial" w:cs="Arial"/>
              </w:rPr>
              <w:t>Actual data -- median 5 days; mean 7.0 days (±1.1); discharges 12,586; charges (mean) $12,166</w:t>
            </w:r>
          </w:p>
          <w:p w14:paraId="751DF907" w14:textId="77777777" w:rsidR="00E648FC" w:rsidRPr="00D61F73" w:rsidRDefault="00E648FC" w:rsidP="00D61F73">
            <w:pPr>
              <w:rPr>
                <w:rFonts w:ascii="Arial" w:hAnsi="Arial" w:cs="Arial"/>
                <w:i/>
                <w:iCs/>
              </w:rPr>
            </w:pPr>
            <w:r w:rsidRPr="00D61F73">
              <w:rPr>
                <w:rFonts w:ascii="Arial" w:hAnsi="Arial" w:cs="Arial"/>
              </w:rPr>
              <w:t xml:space="preserve">Best practice target (no complications) -- </w:t>
            </w:r>
            <w:r w:rsidRPr="00D61F73">
              <w:rPr>
                <w:rFonts w:ascii="Arial" w:hAnsi="Arial" w:cs="Arial"/>
                <w:i/>
                <w:iCs/>
              </w:rPr>
              <w:t>5 days</w:t>
            </w:r>
          </w:p>
          <w:p w14:paraId="19E77217" w14:textId="77777777" w:rsidR="00E648FC" w:rsidRPr="00D61F73" w:rsidRDefault="00E648FC" w:rsidP="00D61F73">
            <w:pPr>
              <w:rPr>
                <w:rFonts w:ascii="Arial" w:hAnsi="Arial" w:cs="Arial"/>
              </w:rPr>
            </w:pPr>
            <w:r w:rsidRPr="00D61F73">
              <w:rPr>
                <w:rFonts w:ascii="Arial" w:hAnsi="Arial" w:cs="Arial"/>
                <w:b/>
                <w:bCs/>
              </w:rPr>
              <w:t>Drug Detox</w:t>
            </w:r>
            <w:r w:rsidRPr="00D61F73">
              <w:rPr>
                <w:rFonts w:ascii="Arial" w:hAnsi="Arial" w:cs="Arial"/>
              </w:rPr>
              <w:t xml:space="preserve"> (</w:t>
            </w:r>
            <w:r w:rsidRPr="00D61F73">
              <w:rPr>
                <w:rFonts w:ascii="Arial" w:hAnsi="Arial" w:cs="Arial"/>
                <w:i/>
                <w:iCs/>
              </w:rPr>
              <w:t>icd 94.65 - Drug detoxification</w:t>
            </w:r>
            <w:r w:rsidRPr="00D61F73">
              <w:rPr>
                <w:rFonts w:ascii="Arial" w:hAnsi="Arial" w:cs="Arial"/>
              </w:rPr>
              <w:t>)</w:t>
            </w:r>
          </w:p>
          <w:p w14:paraId="5F10893C" w14:textId="77777777" w:rsidR="00E648FC" w:rsidRPr="00D61F73" w:rsidRDefault="00E648FC" w:rsidP="00D61F73">
            <w:pPr>
              <w:rPr>
                <w:rFonts w:ascii="Arial" w:hAnsi="Arial" w:cs="Arial"/>
              </w:rPr>
            </w:pPr>
            <w:r w:rsidRPr="00D61F73">
              <w:rPr>
                <w:rFonts w:ascii="Arial" w:hAnsi="Arial" w:cs="Arial"/>
              </w:rPr>
              <w:t>Actual data -- median 4 days; mean 4.1 days (±0.2); discharges 78,219; charges (mean) $9,756</w:t>
            </w:r>
          </w:p>
          <w:p w14:paraId="186DBB6F" w14:textId="77777777" w:rsidR="007C6D08" w:rsidRPr="00D61F73" w:rsidRDefault="00E648FC" w:rsidP="00D61F73">
            <w:pPr>
              <w:rPr>
                <w:rFonts w:ascii="Arial" w:hAnsi="Arial" w:cs="Arial"/>
                <w:i/>
                <w:iCs/>
              </w:rPr>
            </w:pPr>
            <w:r w:rsidRPr="00D61F73">
              <w:rPr>
                <w:rFonts w:ascii="Arial" w:hAnsi="Arial" w:cs="Arial"/>
              </w:rPr>
              <w:t xml:space="preserve">Best practice target (no complications) -- </w:t>
            </w:r>
            <w:r w:rsidRPr="00D61F73">
              <w:rPr>
                <w:rFonts w:ascii="Arial" w:hAnsi="Arial" w:cs="Arial"/>
                <w:i/>
                <w:iCs/>
              </w:rPr>
              <w:t>4 days</w:t>
            </w:r>
          </w:p>
        </w:tc>
      </w:tr>
      <w:tr w:rsidR="006C21A9" w:rsidRPr="00D61F73" w14:paraId="05C62169" w14:textId="77777777" w:rsidTr="0078164D">
        <w:tc>
          <w:tcPr>
            <w:tcW w:w="1086" w:type="pct"/>
            <w:tcBorders>
              <w:right w:val="single" w:sz="4" w:space="0" w:color="auto"/>
            </w:tcBorders>
          </w:tcPr>
          <w:p w14:paraId="0831E0EC" w14:textId="77777777" w:rsidR="006C21A9" w:rsidRPr="00D61F73" w:rsidRDefault="006C21A9" w:rsidP="00D61F73">
            <w:pPr>
              <w:pStyle w:val="Footer"/>
              <w:tabs>
                <w:tab w:val="clear" w:pos="4320"/>
                <w:tab w:val="clear" w:pos="8640"/>
              </w:tabs>
              <w:rPr>
                <w:rFonts w:ascii="Arial" w:hAnsi="Arial" w:cs="Arial"/>
              </w:rPr>
            </w:pPr>
            <w:r w:rsidRPr="00D61F73">
              <w:rPr>
                <w:rFonts w:ascii="Arial" w:hAnsi="Arial" w:cs="Arial"/>
              </w:rPr>
              <w:t>H-</w:t>
            </w:r>
            <w:bookmarkStart w:id="243" w:name="Hwave"/>
            <w:bookmarkEnd w:id="243"/>
            <w:r w:rsidRPr="00D61F73">
              <w:rPr>
                <w:rFonts w:ascii="Arial" w:hAnsi="Arial" w:cs="Arial"/>
              </w:rPr>
              <w:t>wave stimulation (HWT)</w:t>
            </w:r>
          </w:p>
        </w:tc>
        <w:tc>
          <w:tcPr>
            <w:tcW w:w="3914" w:type="pct"/>
            <w:tcBorders>
              <w:top w:val="single" w:sz="4" w:space="0" w:color="auto"/>
              <w:left w:val="single" w:sz="4" w:space="0" w:color="auto"/>
              <w:bottom w:val="single" w:sz="4" w:space="0" w:color="auto"/>
              <w:right w:val="single" w:sz="4" w:space="0" w:color="auto"/>
            </w:tcBorders>
          </w:tcPr>
          <w:p w14:paraId="7C8E661E" w14:textId="77777777" w:rsidR="00836C9D" w:rsidRPr="00D61F73" w:rsidRDefault="00836C9D" w:rsidP="00D61F73">
            <w:pPr>
              <w:rPr>
                <w:rFonts w:ascii="Arial" w:eastAsiaTheme="minorHAnsi" w:hAnsi="Arial" w:cs="Arial"/>
                <w:color w:val="auto"/>
              </w:rPr>
            </w:pPr>
            <w:r w:rsidRPr="00D61F73">
              <w:rPr>
                <w:rFonts w:ascii="Arial" w:eastAsiaTheme="minorHAnsi" w:hAnsi="Arial" w:cs="Arial"/>
                <w:color w:val="auto"/>
              </w:rPr>
              <w:t xml:space="preserve">Not recommended as an isolated intervention for chronic pain but a one-month home-based trial may be considered as a noninvasive conservative option in accordance with the criteria below. </w:t>
            </w:r>
          </w:p>
          <w:p w14:paraId="7DF0896D" w14:textId="77777777" w:rsidR="00836C9D" w:rsidRPr="00D61F73" w:rsidRDefault="00836C9D" w:rsidP="00D61F73">
            <w:pPr>
              <w:rPr>
                <w:rFonts w:ascii="Arial" w:eastAsiaTheme="minorHAnsi" w:hAnsi="Arial" w:cs="Arial"/>
                <w:color w:val="auto"/>
              </w:rPr>
            </w:pPr>
            <w:r w:rsidRPr="00D61F73">
              <w:rPr>
                <w:rFonts w:ascii="Arial" w:eastAsiaTheme="minorHAnsi" w:hAnsi="Arial" w:cs="Arial"/>
                <w:color w:val="auto"/>
              </w:rPr>
              <w:t xml:space="preserve">There is insufficient evidence to recommend the use of H-wave stimulation (HWT) for the treatment of chronic pain as no high-quality studies on this topic were identified. If it is used, HWT is not recommended as an isolated </w:t>
            </w:r>
            <w:r w:rsidRPr="00D61F73">
              <w:rPr>
                <w:rFonts w:ascii="Arial" w:eastAsiaTheme="minorHAnsi" w:hAnsi="Arial" w:cs="Arial"/>
                <w:color w:val="auto"/>
              </w:rPr>
              <w:lastRenderedPageBreak/>
              <w:t xml:space="preserve">intervention. H-wave stimulation is a form of electrical stimulation that differs from other forms of electrical stimulation, such as transcutaneous electrical nerve stimulation (TENS), in terms of its waveform. </w:t>
            </w:r>
          </w:p>
          <w:p w14:paraId="0FD5169B" w14:textId="04F1A6AF" w:rsidR="00836C9D" w:rsidRPr="00D61F73" w:rsidRDefault="00836C9D" w:rsidP="00D61F73">
            <w:pPr>
              <w:rPr>
                <w:rFonts w:ascii="Arial" w:eastAsiaTheme="minorHAnsi" w:hAnsi="Arial" w:cs="Arial"/>
                <w:iCs/>
                <w:color w:val="auto"/>
              </w:rPr>
            </w:pPr>
            <w:r w:rsidRPr="00D61F73">
              <w:rPr>
                <w:rFonts w:ascii="Arial" w:eastAsiaTheme="minorHAnsi" w:hAnsi="Arial" w:cs="Arial"/>
                <w:color w:val="auto"/>
              </w:rPr>
              <w:t>Two RCTs show reduction in pain and discomfort specifically associated with diabetic peripheral neuropathy (</w:t>
            </w:r>
            <w:hyperlink w:anchor="KumarD1997" w:history="1">
              <w:r w:rsidRPr="00D61F73">
                <w:rPr>
                  <w:rFonts w:ascii="Arial" w:eastAsiaTheme="minorHAnsi" w:hAnsi="Arial" w:cs="Arial"/>
                  <w:color w:val="0000FF" w:themeColor="hyperlink"/>
                  <w:u w:val="single"/>
                </w:rPr>
                <w:t>Kumar, 1997</w:t>
              </w:r>
            </w:hyperlink>
            <w:r w:rsidRPr="00D61F73">
              <w:rPr>
                <w:rFonts w:ascii="Arial" w:eastAsiaTheme="minorHAnsi" w:hAnsi="Arial" w:cs="Arial"/>
                <w:color w:val="auto"/>
              </w:rPr>
              <w:t>) (</w:t>
            </w:r>
            <w:hyperlink w:anchor="KumarD1998" w:history="1">
              <w:r w:rsidRPr="00D61F73">
                <w:rPr>
                  <w:rFonts w:ascii="Arial" w:eastAsiaTheme="minorHAnsi" w:hAnsi="Arial" w:cs="Arial"/>
                  <w:color w:val="0000FF" w:themeColor="hyperlink"/>
                  <w:u w:val="single"/>
                </w:rPr>
                <w:t>Kumar, 1998</w:t>
              </w:r>
            </w:hyperlink>
            <w:r w:rsidRPr="00D61F73">
              <w:rPr>
                <w:rFonts w:ascii="Arial" w:eastAsiaTheme="minorHAnsi" w:hAnsi="Arial" w:cs="Arial"/>
                <w:color w:val="auto"/>
              </w:rPr>
              <w:t>). Uncontrolled studies of HWT in patients with chronic soft tissue injury or neuropathic pain have reported reductions in pain and use of pain medication and improved functional capacity or activity. The patient selection criteria included unresponsiveness to physical therapy, medications, and TENS. (</w:t>
            </w:r>
            <w:hyperlink w:anchor="Blum" w:history="1">
              <w:r w:rsidRPr="00D61F73">
                <w:rPr>
                  <w:rFonts w:ascii="Arial" w:eastAsiaTheme="minorHAnsi" w:hAnsi="Arial" w:cs="Arial"/>
                  <w:color w:val="0000FF" w:themeColor="hyperlink"/>
                  <w:u w:val="single"/>
                </w:rPr>
                <w:t>Blum, 2006</w:t>
              </w:r>
            </w:hyperlink>
            <w:r w:rsidRPr="00D61F73">
              <w:rPr>
                <w:rFonts w:ascii="Arial" w:eastAsiaTheme="minorHAnsi" w:hAnsi="Arial" w:cs="Arial"/>
                <w:color w:val="auto"/>
              </w:rPr>
              <w:t>) (</w:t>
            </w:r>
            <w:hyperlink w:anchor="Blum2" w:history="1">
              <w:r w:rsidRPr="00D61F73">
                <w:rPr>
                  <w:rFonts w:ascii="Arial" w:eastAsiaTheme="minorHAnsi" w:hAnsi="Arial" w:cs="Arial"/>
                  <w:color w:val="0000FF" w:themeColor="hyperlink"/>
                  <w:u w:val="single"/>
                </w:rPr>
                <w:t>Blum2, 2006</w:t>
              </w:r>
            </w:hyperlink>
            <w:r w:rsidRPr="00D61F73">
              <w:rPr>
                <w:rFonts w:ascii="Arial" w:eastAsiaTheme="minorHAnsi" w:hAnsi="Arial" w:cs="Arial"/>
                <w:color w:val="auto"/>
              </w:rPr>
              <w:t xml:space="preserve">) And a "meta-analysis" of predominantly these same uncontrolled studies indicated a moderate to strong effect of HWT in providing pain relief. </w:t>
            </w:r>
            <w:r w:rsidRPr="00D61F73">
              <w:rPr>
                <w:rFonts w:ascii="Arial" w:eastAsiaTheme="minorHAnsi" w:hAnsi="Arial" w:cs="Arial"/>
                <w:iCs/>
                <w:color w:val="auto"/>
              </w:rPr>
              <w:t>(</w:t>
            </w:r>
            <w:hyperlink w:anchor="Blum3" w:history="1">
              <w:r w:rsidRPr="00D61F73">
                <w:rPr>
                  <w:rFonts w:ascii="Arial" w:eastAsiaTheme="minorHAnsi" w:hAnsi="Arial" w:cs="Arial"/>
                  <w:iCs/>
                  <w:color w:val="0000FF" w:themeColor="hyperlink"/>
                  <w:u w:val="single"/>
                </w:rPr>
                <w:t>Blum, 2008</w:t>
              </w:r>
            </w:hyperlink>
            <w:r w:rsidRPr="00D61F73">
              <w:rPr>
                <w:rFonts w:ascii="Arial" w:eastAsiaTheme="minorHAnsi" w:hAnsi="Arial" w:cs="Arial"/>
                <w:iCs/>
                <w:color w:val="auto"/>
              </w:rPr>
              <w:t xml:space="preserve">) </w:t>
            </w:r>
            <w:r w:rsidRPr="00D61F73">
              <w:rPr>
                <w:rFonts w:ascii="Arial" w:eastAsiaTheme="minorHAnsi" w:hAnsi="Arial" w:cs="Arial"/>
                <w:color w:val="auto"/>
              </w:rPr>
              <w:t>A randomized controlled trial, with identified risks of bias, demonstrated improved post-op range of motion following rotator cuff surgery, but the study could not draw a definitive conclusion concerning pain relief. (</w:t>
            </w:r>
            <w:hyperlink w:anchor="Blum2009" w:history="1">
              <w:r w:rsidRPr="00D61F73">
                <w:rPr>
                  <w:rFonts w:ascii="Arial" w:eastAsiaTheme="minorHAnsi" w:hAnsi="Arial" w:cs="Arial"/>
                  <w:color w:val="0000FF" w:themeColor="hyperlink"/>
                  <w:u w:val="single"/>
                </w:rPr>
                <w:t>Blum, 2009</w:t>
              </w:r>
            </w:hyperlink>
            <w:r w:rsidRPr="00D61F73">
              <w:rPr>
                <w:rFonts w:ascii="Arial" w:eastAsiaTheme="minorHAnsi" w:hAnsi="Arial" w:cs="Arial"/>
                <w:color w:val="auto"/>
              </w:rPr>
              <w:t xml:space="preserve">) An ongoing double blinded randomized controlled trial with identified risks of bias is currently evaluating HWT in a working-age population with chronic non-specific low back pain. </w:t>
            </w:r>
            <w:r w:rsidRPr="00D61F73">
              <w:rPr>
                <w:rFonts w:ascii="Arial" w:eastAsiaTheme="minorHAnsi" w:hAnsi="Arial" w:cs="Arial"/>
                <w:iCs/>
                <w:color w:val="auto"/>
              </w:rPr>
              <w:t>(</w:t>
            </w:r>
            <w:hyperlink w:anchor="Thiese2013" w:history="1">
              <w:r w:rsidRPr="00D61F73">
                <w:rPr>
                  <w:rFonts w:ascii="Arial" w:eastAsiaTheme="minorHAnsi" w:hAnsi="Arial" w:cs="Arial"/>
                  <w:iCs/>
                  <w:color w:val="0000FF" w:themeColor="hyperlink"/>
                  <w:u w:val="single"/>
                </w:rPr>
                <w:t>Thiese, 2013</w:t>
              </w:r>
            </w:hyperlink>
            <w:r w:rsidRPr="00D61F73">
              <w:rPr>
                <w:rFonts w:ascii="Arial" w:eastAsiaTheme="minorHAnsi" w:hAnsi="Arial" w:cs="Arial"/>
                <w:iCs/>
                <w:color w:val="auto"/>
              </w:rPr>
              <w:t xml:space="preserve">) See also </w:t>
            </w:r>
            <w:hyperlink w:anchor="Interferentialcurrentstimulation" w:history="1">
              <w:r w:rsidRPr="00D61F73">
                <w:rPr>
                  <w:rFonts w:ascii="Arial" w:eastAsiaTheme="minorHAnsi" w:hAnsi="Arial" w:cs="Arial"/>
                  <w:iCs/>
                  <w:color w:val="0000FF" w:themeColor="hyperlink"/>
                  <w:u w:val="single"/>
                </w:rPr>
                <w:t>Interferential current stimulation (ICS)</w:t>
              </w:r>
            </w:hyperlink>
            <w:r w:rsidRPr="00D61F73">
              <w:rPr>
                <w:rFonts w:ascii="Arial" w:eastAsiaTheme="minorHAnsi" w:hAnsi="Arial" w:cs="Arial"/>
                <w:iCs/>
                <w:color w:val="auto"/>
              </w:rPr>
              <w:t xml:space="preserve">. </w:t>
            </w:r>
            <w:r w:rsidRPr="00D61F73">
              <w:rPr>
                <w:rFonts w:ascii="Arial" w:eastAsiaTheme="minorHAnsi" w:hAnsi="Arial" w:cs="Arial"/>
                <w:color w:val="auto"/>
              </w:rPr>
              <w:t>For use recommendations r</w:t>
            </w:r>
            <w:r w:rsidR="007A5DB3" w:rsidRPr="00D61F73">
              <w:rPr>
                <w:rFonts w:ascii="Arial" w:eastAsiaTheme="minorHAnsi" w:hAnsi="Arial" w:cs="Arial"/>
                <w:color w:val="auto"/>
              </w:rPr>
              <w:t>elated to the low back, see</w:t>
            </w:r>
            <w:r w:rsidRPr="00D61F73">
              <w:rPr>
                <w:rFonts w:ascii="Arial" w:eastAsiaTheme="minorHAnsi" w:hAnsi="Arial" w:cs="Arial"/>
                <w:color w:val="auto"/>
              </w:rPr>
              <w:t xml:space="preserve"> MTUS chapter on </w:t>
            </w:r>
            <w:r w:rsidRPr="00283A85">
              <w:rPr>
                <w:rFonts w:ascii="Arial" w:eastAsiaTheme="minorHAnsi" w:hAnsi="Arial" w:cs="Arial"/>
              </w:rPr>
              <w:t>Low Back Complaints</w:t>
            </w:r>
            <w:r w:rsidRPr="00D61F73">
              <w:rPr>
                <w:rFonts w:ascii="Arial" w:eastAsiaTheme="minorHAnsi" w:hAnsi="Arial" w:cs="Arial"/>
                <w:color w:val="auto"/>
              </w:rPr>
              <w:t>.</w:t>
            </w:r>
          </w:p>
          <w:p w14:paraId="7CD10375" w14:textId="77777777" w:rsidR="00836C9D" w:rsidRPr="00D61F73" w:rsidRDefault="00836C9D" w:rsidP="00D61F73">
            <w:pPr>
              <w:rPr>
                <w:rFonts w:ascii="Arial" w:eastAsiaTheme="minorHAnsi" w:hAnsi="Arial" w:cs="Arial"/>
                <w:iCs/>
                <w:color w:val="auto"/>
              </w:rPr>
            </w:pPr>
            <w:r w:rsidRPr="00D61F73">
              <w:rPr>
                <w:rFonts w:ascii="Arial" w:eastAsiaTheme="minorHAnsi" w:hAnsi="Arial" w:cs="Arial"/>
                <w:i/>
                <w:iCs/>
                <w:color w:val="auto"/>
                <w:u w:val="single"/>
              </w:rPr>
              <w:t>Other devices using the H-Wave name</w:t>
            </w:r>
            <w:r w:rsidRPr="00D61F73">
              <w:rPr>
                <w:rFonts w:ascii="Arial" w:eastAsiaTheme="minorHAnsi" w:hAnsi="Arial" w:cs="Arial"/>
                <w:i/>
                <w:iCs/>
                <w:color w:val="auto"/>
              </w:rPr>
              <w:t>:</w:t>
            </w:r>
            <w:r w:rsidRPr="00D61F73">
              <w:rPr>
                <w:rFonts w:ascii="Arial" w:eastAsiaTheme="minorHAnsi" w:hAnsi="Arial" w:cs="Arial"/>
                <w:iCs/>
                <w:color w:val="auto"/>
              </w:rPr>
              <w:t xml:space="preserve"> The company Electronic Waveform Lab (EWL, Huntington Beach, CA) owns the trademark for H Wave® in the U.S. Another company, MIE Medical Research Ltd. (United Kingdom), sells an H-Wave therapy device (</w:t>
            </w:r>
            <w:r w:rsidRPr="00D61F73">
              <w:rPr>
                <w:rFonts w:ascii="Arial" w:eastAsiaTheme="minorHAnsi" w:hAnsi="Arial" w:cs="Arial"/>
                <w:color w:val="auto"/>
              </w:rPr>
              <w:t>HWT)</w:t>
            </w:r>
            <w:r w:rsidRPr="00D61F73">
              <w:rPr>
                <w:rFonts w:ascii="Arial" w:eastAsiaTheme="minorHAnsi" w:hAnsi="Arial" w:cs="Arial"/>
                <w:iCs/>
                <w:color w:val="auto"/>
              </w:rPr>
              <w:t xml:space="preserve"> in the European market. This device is not approved by the FDA or available in the U.S. There are three published studies on this European device by McDowell et al. </w:t>
            </w:r>
            <w:r w:rsidRPr="00D61F73">
              <w:rPr>
                <w:rFonts w:ascii="Arial" w:eastAsiaTheme="minorHAnsi" w:hAnsi="Arial" w:cs="Arial"/>
                <w:color w:val="auto"/>
              </w:rPr>
              <w:t>According to the first study, there is no evidence that HWT is more effective as an initial treatment when compared to TENS for analgesic effects. A randomized controlled trial of ischemic pain did not provide convincing evidence for any hypoalgesic effects of H-wave therapy. (</w:t>
            </w:r>
            <w:hyperlink w:anchor="McDowell1995" w:history="1">
              <w:r w:rsidRPr="00D61F73">
                <w:rPr>
                  <w:rFonts w:ascii="Arial" w:eastAsiaTheme="minorHAnsi" w:hAnsi="Arial" w:cs="Arial"/>
                  <w:color w:val="0000FF" w:themeColor="hyperlink"/>
                  <w:u w:val="single"/>
                </w:rPr>
                <w:t>McDowell, 1995</w:t>
              </w:r>
            </w:hyperlink>
            <w:r w:rsidRPr="00D61F73">
              <w:rPr>
                <w:rFonts w:ascii="Arial" w:eastAsiaTheme="minorHAnsi" w:hAnsi="Arial" w:cs="Arial"/>
                <w:color w:val="auto"/>
              </w:rPr>
              <w:t>) In another randomized controlled trial comparing analgesic effects of HWT and transcutaneous electrical nerve stimulation (TENS) on human pain thresholds, both HWT and TENS provided localized hypoalgesia during stimulation and for up to 5 minutes afterwards. No frequency- or modality-specific differences were found between the groups. (</w:t>
            </w:r>
            <w:hyperlink w:anchor="McDowell2" w:history="1">
              <w:r w:rsidRPr="00D61F73">
                <w:rPr>
                  <w:rFonts w:ascii="Arial" w:eastAsiaTheme="minorHAnsi" w:hAnsi="Arial" w:cs="Arial"/>
                  <w:color w:val="0000FF" w:themeColor="hyperlink"/>
                  <w:u w:val="single"/>
                </w:rPr>
                <w:t>McDowell2, 1999</w:t>
              </w:r>
            </w:hyperlink>
            <w:r w:rsidRPr="00D61F73">
              <w:rPr>
                <w:rFonts w:ascii="Arial" w:eastAsiaTheme="minorHAnsi" w:hAnsi="Arial" w:cs="Arial"/>
                <w:color w:val="auto"/>
              </w:rPr>
              <w:t>) There is evidence that low-frequency HWT may produce direct localized effects on cutaneous blood flow. (</w:t>
            </w:r>
            <w:hyperlink w:anchor="McDowell" w:history="1">
              <w:r w:rsidRPr="00D61F73">
                <w:rPr>
                  <w:rFonts w:ascii="Arial" w:eastAsiaTheme="minorHAnsi" w:hAnsi="Arial" w:cs="Arial"/>
                  <w:color w:val="0000FF" w:themeColor="hyperlink"/>
                  <w:u w:val="single"/>
                </w:rPr>
                <w:t>McDowell, 1999</w:t>
              </w:r>
            </w:hyperlink>
            <w:r w:rsidRPr="00D61F73">
              <w:rPr>
                <w:rFonts w:ascii="Arial" w:eastAsiaTheme="minorHAnsi" w:hAnsi="Arial" w:cs="Arial"/>
                <w:color w:val="auto"/>
              </w:rPr>
              <w:t xml:space="preserve">) According to EWL, these are not the same devices as the </w:t>
            </w:r>
            <w:r w:rsidRPr="00D61F73">
              <w:rPr>
                <w:rFonts w:ascii="Arial" w:eastAsiaTheme="minorHAnsi" w:hAnsi="Arial" w:cs="Arial"/>
                <w:iCs/>
                <w:color w:val="auto"/>
              </w:rPr>
              <w:t>H Wave® device available in the U.S.</w:t>
            </w:r>
          </w:p>
          <w:p w14:paraId="4C98C2B2" w14:textId="13C46D28" w:rsidR="0066173E" w:rsidRDefault="00836C9D" w:rsidP="00D61F73">
            <w:pPr>
              <w:rPr>
                <w:rFonts w:ascii="Arial" w:eastAsiaTheme="minorHAnsi" w:hAnsi="Arial" w:cs="Arial"/>
                <w:iCs/>
                <w:color w:val="0000FF" w:themeColor="hyperlink"/>
                <w:u w:val="single"/>
              </w:rPr>
            </w:pPr>
            <w:r w:rsidRPr="00D61F73">
              <w:rPr>
                <w:rFonts w:ascii="Arial" w:eastAsiaTheme="minorHAnsi" w:hAnsi="Arial" w:cs="Arial"/>
                <w:i/>
                <w:iCs/>
                <w:color w:val="auto"/>
                <w:u w:val="single"/>
              </w:rPr>
              <w:t>How it works</w:t>
            </w:r>
            <w:r w:rsidRPr="00D61F73">
              <w:rPr>
                <w:rFonts w:ascii="Arial" w:eastAsiaTheme="minorHAnsi" w:hAnsi="Arial" w:cs="Arial"/>
                <w:i/>
                <w:iCs/>
                <w:color w:val="auto"/>
              </w:rPr>
              <w:t>:</w:t>
            </w:r>
            <w:r w:rsidRPr="00D61F73">
              <w:rPr>
                <w:rFonts w:ascii="Arial" w:eastAsiaTheme="minorHAnsi" w:hAnsi="Arial" w:cs="Arial"/>
                <w:iCs/>
                <w:color w:val="auto"/>
              </w:rPr>
              <w:t xml:space="preserve"> The H-Wave® device uses output parameters and a waveform that are distinct from other electrical stimulation devices such as TENS. One mode of operation is intended to shut down pain by affecting the function of the sodium pump, while a second mode of operation is intended to improve recovery through increased blood flow and perfusion. Studies on the mechanisms of action of the H-Wave device demonstrated that it induces arteriolar vasodilation via nitric oxide-mediated mechanisms, increased blood flow and angiogenesis in test animals. (</w:t>
            </w:r>
            <w:hyperlink w:anchor="Smith2009hwave" w:history="1">
              <w:r w:rsidRPr="00D61F73">
                <w:rPr>
                  <w:rFonts w:ascii="Arial" w:eastAsiaTheme="minorHAnsi" w:hAnsi="Arial" w:cs="Arial"/>
                  <w:iCs/>
                  <w:color w:val="0000FF" w:themeColor="hyperlink"/>
                  <w:u w:val="single"/>
                </w:rPr>
                <w:t>Smith, 2009</w:t>
              </w:r>
            </w:hyperlink>
            <w:r w:rsidRPr="00D61F73">
              <w:rPr>
                <w:rFonts w:ascii="Arial" w:eastAsiaTheme="minorHAnsi" w:hAnsi="Arial" w:cs="Arial"/>
                <w:iCs/>
                <w:color w:val="auto"/>
              </w:rPr>
              <w:t>) (</w:t>
            </w:r>
            <w:hyperlink w:anchor="Smith2011hwave" w:history="1">
              <w:r w:rsidRPr="00D61F73">
                <w:rPr>
                  <w:rFonts w:ascii="Arial" w:eastAsiaTheme="minorHAnsi" w:hAnsi="Arial" w:cs="Arial"/>
                  <w:iCs/>
                  <w:color w:val="0000FF" w:themeColor="hyperlink"/>
                  <w:u w:val="single"/>
                </w:rPr>
                <w:t>Smith, 2011</w:t>
              </w:r>
            </w:hyperlink>
            <w:r w:rsidRPr="00D61F73">
              <w:rPr>
                <w:rFonts w:ascii="Arial" w:eastAsiaTheme="minorHAnsi" w:hAnsi="Arial" w:cs="Arial"/>
                <w:iCs/>
                <w:color w:val="auto"/>
              </w:rPr>
              <w:t xml:space="preserve">) In fact, H-wave may be used more often for muscle spasm and acute pain as opposed to chronic pain, since there is anecdotal evidence that H-Wave stimulation helps to relax the muscles, </w:t>
            </w:r>
            <w:r w:rsidRPr="00D61F73">
              <w:rPr>
                <w:rFonts w:ascii="Arial" w:eastAsiaTheme="minorHAnsi" w:hAnsi="Arial" w:cs="Arial"/>
                <w:iCs/>
                <w:color w:val="auto"/>
              </w:rPr>
              <w:lastRenderedPageBreak/>
              <w:t>but there are no published studies to support this use, so it is not recommended at this time. H-wave stimulation has also been used to accelerate healing of wounds, such as diabetic ulcers. H-wave electrical stimulation therapy must be distinguished from the H-waves that are a component of electromyography. (</w:t>
            </w:r>
            <w:hyperlink w:anchor="BlueCrossBlueShield5" w:history="1">
              <w:r w:rsidRPr="00D61F73">
                <w:rPr>
                  <w:rFonts w:ascii="Arial" w:eastAsiaTheme="minorHAnsi" w:hAnsi="Arial" w:cs="Arial"/>
                  <w:iCs/>
                  <w:color w:val="0000FF" w:themeColor="hyperlink"/>
                  <w:u w:val="single"/>
                </w:rPr>
                <w:t>BlueCross BlueShield, 2007</w:t>
              </w:r>
            </w:hyperlink>
            <w:r w:rsidRPr="00D61F73">
              <w:rPr>
                <w:rFonts w:ascii="Arial" w:eastAsiaTheme="minorHAnsi" w:hAnsi="Arial" w:cs="Arial"/>
                <w:iCs/>
                <w:color w:val="auto"/>
              </w:rPr>
              <w:t>) (</w:t>
            </w:r>
            <w:hyperlink w:anchor="Aetna2" w:history="1">
              <w:r w:rsidRPr="00D61F73">
                <w:rPr>
                  <w:rFonts w:ascii="Arial" w:eastAsiaTheme="minorHAnsi" w:hAnsi="Arial" w:cs="Arial"/>
                  <w:iCs/>
                  <w:color w:val="0000FF" w:themeColor="hyperlink"/>
                  <w:u w:val="single"/>
                </w:rPr>
                <w:t>Aetna, 2005</w:t>
              </w:r>
            </w:hyperlink>
          </w:p>
          <w:p w14:paraId="719C5C3D" w14:textId="77777777" w:rsidR="00107BB5" w:rsidRPr="00107BB5" w:rsidRDefault="00107BB5" w:rsidP="00D61F73">
            <w:pPr>
              <w:rPr>
                <w:rFonts w:ascii="Arial" w:eastAsiaTheme="minorHAnsi" w:hAnsi="Arial" w:cs="Arial"/>
                <w:iCs/>
                <w:color w:val="0000FF" w:themeColor="hyperlink"/>
                <w:sz w:val="8"/>
                <w:szCs w:val="8"/>
                <w:u w:val="single"/>
              </w:rPr>
            </w:pPr>
          </w:p>
          <w:p w14:paraId="4152F9A8" w14:textId="77E14D91" w:rsidR="003A2D09" w:rsidRPr="003A2D09" w:rsidRDefault="00C115FF" w:rsidP="00D61F73">
            <w:pPr>
              <w:rPr>
                <w:rFonts w:ascii="Arial" w:eastAsiaTheme="minorHAnsi" w:hAnsi="Arial" w:cs="Arial"/>
                <w:iCs/>
                <w:color w:val="auto"/>
              </w:rPr>
            </w:pPr>
            <w:r w:rsidRPr="00D61F73">
              <w:rPr>
                <w:rFonts w:ascii="Arial" w:eastAsiaTheme="minorHAnsi" w:hAnsi="Arial" w:cs="Arial"/>
                <w:b/>
                <w:bCs/>
                <w:color w:val="auto"/>
              </w:rPr>
              <w:t>While not recommended as an isolated intervention, the following patient selection criteria should be documented by the medical care</w:t>
            </w:r>
          </w:p>
          <w:p w14:paraId="0AD2C84B" w14:textId="504103FF" w:rsidR="00836C9D" w:rsidRPr="00D61F73" w:rsidRDefault="0011143A" w:rsidP="00D61F73">
            <w:pPr>
              <w:rPr>
                <w:rFonts w:ascii="Arial" w:eastAsiaTheme="minorHAnsi" w:hAnsi="Arial" w:cs="Arial"/>
                <w:b/>
                <w:bCs/>
                <w:color w:val="auto"/>
              </w:rPr>
            </w:pPr>
            <w:r w:rsidRPr="00D61F73">
              <w:rPr>
                <w:rFonts w:ascii="Arial" w:eastAsiaTheme="minorHAnsi" w:hAnsi="Arial" w:cs="Arial"/>
                <w:b/>
                <w:bCs/>
                <w:color w:val="auto"/>
              </w:rPr>
              <w:t xml:space="preserve">provider for H-wave stimulation (HWT) </w:t>
            </w:r>
            <w:r w:rsidR="00836C9D" w:rsidRPr="00D61F73">
              <w:rPr>
                <w:rFonts w:ascii="Arial" w:eastAsiaTheme="minorHAnsi" w:hAnsi="Arial" w:cs="Arial"/>
                <w:b/>
                <w:bCs/>
                <w:color w:val="auto"/>
              </w:rPr>
              <w:t>to be determined to be medically necessary:</w:t>
            </w:r>
          </w:p>
          <w:p w14:paraId="535A9E6A" w14:textId="0D4E3E11" w:rsidR="00836C9D" w:rsidRPr="00D61F73" w:rsidRDefault="00836C9D" w:rsidP="00D61F73">
            <w:pPr>
              <w:rPr>
                <w:rFonts w:ascii="Arial" w:eastAsiaTheme="minorHAnsi" w:hAnsi="Arial" w:cs="Arial"/>
                <w:bCs/>
                <w:iCs/>
                <w:color w:val="auto"/>
              </w:rPr>
            </w:pPr>
            <w:r w:rsidRPr="00D61F73">
              <w:rPr>
                <w:rFonts w:ascii="Arial" w:eastAsiaTheme="minorHAnsi" w:hAnsi="Arial" w:cs="Arial"/>
                <w:bCs/>
                <w:color w:val="auto"/>
              </w:rPr>
              <w:t>(For use recommendations r</w:t>
            </w:r>
            <w:r w:rsidR="00413C9B" w:rsidRPr="00D61F73">
              <w:rPr>
                <w:rFonts w:ascii="Arial" w:eastAsiaTheme="minorHAnsi" w:hAnsi="Arial" w:cs="Arial"/>
                <w:bCs/>
                <w:color w:val="auto"/>
              </w:rPr>
              <w:t>elated to the low back, see</w:t>
            </w:r>
            <w:r w:rsidRPr="00D61F73">
              <w:rPr>
                <w:rFonts w:ascii="Arial" w:eastAsiaTheme="minorHAnsi" w:hAnsi="Arial" w:cs="Arial"/>
                <w:bCs/>
                <w:color w:val="auto"/>
              </w:rPr>
              <w:t xml:space="preserve"> MTUS chapter on </w:t>
            </w:r>
            <w:r w:rsidRPr="00A50620">
              <w:rPr>
                <w:rFonts w:ascii="Arial" w:eastAsiaTheme="minorHAnsi" w:hAnsi="Arial" w:cs="Arial"/>
                <w:bCs/>
              </w:rPr>
              <w:t>Low Back Complaints</w:t>
            </w:r>
            <w:r w:rsidRPr="00D61F73">
              <w:rPr>
                <w:rFonts w:ascii="Arial" w:eastAsiaTheme="minorHAnsi" w:hAnsi="Arial" w:cs="Arial"/>
                <w:bCs/>
                <w:color w:val="auto"/>
              </w:rPr>
              <w:t>.)</w:t>
            </w:r>
          </w:p>
          <w:p w14:paraId="567C390D" w14:textId="77777777" w:rsidR="00836C9D" w:rsidRPr="00D61F73" w:rsidRDefault="00836C9D" w:rsidP="00D61F73">
            <w:pPr>
              <w:rPr>
                <w:rFonts w:ascii="Arial" w:eastAsiaTheme="minorHAnsi" w:hAnsi="Arial" w:cs="Arial"/>
                <w:color w:val="auto"/>
              </w:rPr>
            </w:pPr>
            <w:r w:rsidRPr="00D61F73">
              <w:rPr>
                <w:rFonts w:ascii="Arial" w:eastAsiaTheme="minorHAnsi" w:hAnsi="Arial" w:cs="Arial"/>
                <w:color w:val="auto"/>
              </w:rPr>
              <w:t xml:space="preserve">A.   HWT may be considered on a trial basis if other noninvasive, conservative modalities for the treatment of chronic pain have failed. </w:t>
            </w:r>
            <w:r w:rsidRPr="00D61F73">
              <w:rPr>
                <w:rFonts w:ascii="Arial" w:eastAsiaTheme="minorHAnsi" w:hAnsi="Arial" w:cs="Arial"/>
                <w:iCs/>
                <w:color w:val="auto"/>
              </w:rPr>
              <w:t xml:space="preserve"> While medical providers may perform HWT, H-wave devices are also available for home use. Rental would be preferred over purchase during a home trial. Trial periods of more than one month should be justified by documentation submitted for review.</w:t>
            </w:r>
          </w:p>
          <w:p w14:paraId="76A57AD1" w14:textId="77777777" w:rsidR="0011143A" w:rsidRPr="00D61F73" w:rsidRDefault="00836C9D" w:rsidP="00D61F73">
            <w:pPr>
              <w:rPr>
                <w:rFonts w:ascii="Arial" w:eastAsiaTheme="minorHAnsi" w:hAnsi="Arial" w:cs="Arial"/>
                <w:color w:val="auto"/>
              </w:rPr>
            </w:pPr>
            <w:r w:rsidRPr="00D61F73">
              <w:rPr>
                <w:rFonts w:ascii="Arial" w:eastAsiaTheme="minorHAnsi" w:hAnsi="Arial" w:cs="Arial"/>
                <w:color w:val="auto"/>
              </w:rPr>
              <w:t>B.    Although there are no high quality studies to guide recommendations for use, a one-month home-based trial of HWT may be considered following a documented face-to-face clinical evaluation and physical examination performed by the recommending physician, who should also document the following in the medical record:</w:t>
            </w:r>
            <w:r w:rsidRPr="00D61F73" w:rsidDel="009510AD">
              <w:rPr>
                <w:rFonts w:ascii="Arial" w:eastAsiaTheme="minorHAnsi" w:hAnsi="Arial" w:cs="Arial"/>
                <w:color w:val="auto"/>
              </w:rPr>
              <w:t xml:space="preserve"> </w:t>
            </w:r>
            <w:r w:rsidRPr="00D61F73">
              <w:rPr>
                <w:rFonts w:ascii="Arial" w:eastAsiaTheme="minorHAnsi" w:hAnsi="Arial" w:cs="Arial"/>
                <w:color w:val="auto"/>
              </w:rPr>
              <w:t xml:space="preserve">         </w:t>
            </w:r>
          </w:p>
          <w:p w14:paraId="45658EA0" w14:textId="77777777" w:rsidR="00836C9D" w:rsidRPr="00D61F73" w:rsidRDefault="00836C9D" w:rsidP="00D61F73">
            <w:pPr>
              <w:rPr>
                <w:rFonts w:ascii="Arial" w:eastAsiaTheme="minorHAnsi" w:hAnsi="Arial" w:cs="Arial"/>
                <w:color w:val="auto"/>
              </w:rPr>
            </w:pPr>
            <w:r w:rsidRPr="00D61F73">
              <w:rPr>
                <w:rFonts w:ascii="Arial" w:eastAsiaTheme="minorHAnsi" w:hAnsi="Arial" w:cs="Arial"/>
                <w:color w:val="auto"/>
              </w:rPr>
              <w:t xml:space="preserve">(1) The reason the physician believes that HWT may lead to functional improvement and/or reduction in pain for the patient; and </w:t>
            </w:r>
          </w:p>
          <w:p w14:paraId="641D5CC6" w14:textId="77777777" w:rsidR="00836C9D" w:rsidRPr="00D61F73" w:rsidRDefault="00836C9D" w:rsidP="00D61F73">
            <w:pPr>
              <w:rPr>
                <w:rFonts w:ascii="Arial" w:eastAsiaTheme="minorHAnsi" w:hAnsi="Arial" w:cs="Arial"/>
                <w:color w:val="auto"/>
              </w:rPr>
            </w:pPr>
            <w:r w:rsidRPr="00D61F73">
              <w:rPr>
                <w:rFonts w:ascii="Arial" w:eastAsiaTheme="minorHAnsi" w:hAnsi="Arial" w:cs="Arial"/>
                <w:color w:val="auto"/>
              </w:rPr>
              <w:t xml:space="preserve">(2) PT, home exercise and medications have not resulted in functional improvement or reduction in pain; and </w:t>
            </w:r>
          </w:p>
          <w:p w14:paraId="557D112A" w14:textId="77777777" w:rsidR="00836C9D" w:rsidRPr="00D61F73" w:rsidRDefault="00836C9D" w:rsidP="00D61F73">
            <w:pPr>
              <w:rPr>
                <w:rFonts w:ascii="Arial" w:eastAsiaTheme="minorHAnsi" w:hAnsi="Arial" w:cs="Arial"/>
                <w:color w:val="auto"/>
              </w:rPr>
            </w:pPr>
            <w:r w:rsidRPr="00D61F73">
              <w:rPr>
                <w:rFonts w:ascii="Arial" w:eastAsiaTheme="minorHAnsi" w:hAnsi="Arial" w:cs="Arial"/>
                <w:color w:val="auto"/>
              </w:rPr>
              <w:t>(3) The use of TENS for at least a month has not resulted in functional improvement or reduction in pain.</w:t>
            </w:r>
          </w:p>
          <w:p w14:paraId="3A084E0D" w14:textId="77777777" w:rsidR="00836C9D" w:rsidRPr="00D61F73" w:rsidRDefault="00836C9D" w:rsidP="00D61F73">
            <w:pPr>
              <w:rPr>
                <w:rFonts w:ascii="Arial" w:eastAsiaTheme="minorHAnsi" w:hAnsi="Arial" w:cs="Arial"/>
                <w:iCs/>
                <w:color w:val="auto"/>
              </w:rPr>
            </w:pPr>
            <w:r w:rsidRPr="00D61F73">
              <w:rPr>
                <w:rFonts w:ascii="Arial" w:eastAsiaTheme="minorHAnsi" w:hAnsi="Arial" w:cs="Arial"/>
                <w:iCs/>
                <w:color w:val="auto"/>
              </w:rPr>
              <w:t>C. The one-month initial trial will permit the physician and PT provider to evaluate any effects and benefits. A follow-up evaluation by the physician should take place to document how often the unit was used and any subjective improvement in pain and function. There should be evidence of less reported pain combined with increased functional improvement or medication reduction</w:t>
            </w:r>
          </w:p>
          <w:p w14:paraId="6BA721BC" w14:textId="77777777" w:rsidR="006C21A9" w:rsidRPr="00D61F73" w:rsidRDefault="00836C9D" w:rsidP="00D61F73">
            <w:pPr>
              <w:rPr>
                <w:rFonts w:ascii="Arial" w:hAnsi="Arial" w:cs="Arial"/>
              </w:rPr>
            </w:pPr>
            <w:r w:rsidRPr="00D61F73">
              <w:rPr>
                <w:rFonts w:ascii="Arial" w:eastAsiaTheme="minorHAnsi" w:hAnsi="Arial" w:cs="Arial"/>
                <w:iCs/>
                <w:color w:val="auto"/>
              </w:rPr>
              <w:t>D. If treatment is determined to be medically necessary, as with all other treatment modalities, the efficacy and continued need for this intervention should be periodically reassessed and documented.</w:t>
            </w:r>
            <w:r w:rsidRPr="00D61F73">
              <w:rPr>
                <w:rFonts w:ascii="Arial" w:hAnsi="Arial" w:cs="Arial"/>
              </w:rPr>
              <w:t xml:space="preserve"> </w:t>
            </w:r>
          </w:p>
        </w:tc>
      </w:tr>
      <w:tr w:rsidR="00E648FC" w:rsidRPr="00D61F73" w14:paraId="020C9F19" w14:textId="77777777" w:rsidTr="0078164D">
        <w:tc>
          <w:tcPr>
            <w:tcW w:w="1086" w:type="pct"/>
            <w:tcBorders>
              <w:top w:val="single" w:sz="4" w:space="0" w:color="auto"/>
            </w:tcBorders>
          </w:tcPr>
          <w:p w14:paraId="1CFC733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H</w:t>
            </w:r>
            <w:bookmarkStart w:id="244" w:name="Hydrocodone"/>
            <w:bookmarkEnd w:id="244"/>
            <w:r w:rsidRPr="00D61F73">
              <w:rPr>
                <w:rFonts w:ascii="Arial" w:hAnsi="Arial" w:cs="Arial"/>
              </w:rPr>
              <w:t xml:space="preserve">ydrocodone </w:t>
            </w:r>
          </w:p>
        </w:tc>
        <w:tc>
          <w:tcPr>
            <w:tcW w:w="3914" w:type="pct"/>
            <w:tcBorders>
              <w:top w:val="single" w:sz="4" w:space="0" w:color="auto"/>
            </w:tcBorders>
          </w:tcPr>
          <w:p w14:paraId="1BDCD60E" w14:textId="596ED643" w:rsidR="00E648FC" w:rsidRPr="00D61F73" w:rsidRDefault="00C14E45" w:rsidP="00D61F73">
            <w:pPr>
              <w:rPr>
                <w:rFonts w:ascii="Arial" w:hAnsi="Arial" w:cs="Arial"/>
              </w:rPr>
            </w:pPr>
            <w:r w:rsidRPr="00D61F73">
              <w:rPr>
                <w:rFonts w:ascii="Arial" w:hAnsi="Arial" w:cs="Arial"/>
              </w:rPr>
              <w:t>See</w:t>
            </w:r>
            <w:r w:rsidR="001E05D3" w:rsidRPr="00D61F73">
              <w:rPr>
                <w:rFonts w:ascii="Arial" w:hAnsi="Arial" w:cs="Arial"/>
              </w:rPr>
              <w:t xml:space="preserve"> </w:t>
            </w:r>
            <w:r w:rsidR="002D71A4" w:rsidRPr="00D61F73">
              <w:rPr>
                <w:rFonts w:ascii="Arial" w:hAnsi="Arial" w:cs="Arial"/>
              </w:rPr>
              <w:t xml:space="preserve">MTUS Opioids Treatment Guidelines </w:t>
            </w:r>
            <w:r w:rsidR="00E648FC" w:rsidRPr="00D61F73">
              <w:rPr>
                <w:rFonts w:ascii="Arial" w:hAnsi="Arial" w:cs="Arial"/>
                <w:bCs/>
              </w:rPr>
              <w:t xml:space="preserve">for recommendations on the use of opioids. </w:t>
            </w:r>
            <w:r w:rsidR="00E648FC" w:rsidRPr="00D61F73">
              <w:rPr>
                <w:rFonts w:ascii="Arial" w:hAnsi="Arial" w:cs="Arial"/>
              </w:rPr>
              <w:t>Hydrocodone is a semi-synthetic opioid which is considered the most potent oral opioid that does not require special documentation for prescribing in some states (</w:t>
            </w:r>
            <w:r w:rsidR="00E648FC" w:rsidRPr="00D61F73">
              <w:rPr>
                <w:rFonts w:ascii="Arial" w:hAnsi="Arial" w:cs="Arial"/>
                <w:b/>
                <w:u w:val="single"/>
              </w:rPr>
              <w:t>not</w:t>
            </w:r>
            <w:r w:rsidR="00E648FC" w:rsidRPr="00D61F73">
              <w:rPr>
                <w:rFonts w:ascii="Arial" w:hAnsi="Arial" w:cs="Arial"/>
              </w:rPr>
              <w:t xml:space="preserve"> including California). Hydrocodone was reclassified to Schedule II effective October 6, 2014. (</w:t>
            </w:r>
            <w:hyperlink r:id="rId86" w:history="1">
              <w:r w:rsidR="00E648FC" w:rsidRPr="00D61F73">
                <w:rPr>
                  <w:rStyle w:val="Hyperlink"/>
                  <w:rFonts w:ascii="Arial" w:hAnsi="Arial" w:cs="Arial"/>
                </w:rPr>
                <w:t>FDA 2014</w:t>
              </w:r>
            </w:hyperlink>
            <w:r w:rsidR="00E648FC" w:rsidRPr="00D61F73">
              <w:rPr>
                <w:rFonts w:ascii="Arial" w:hAnsi="Arial" w:cs="Arial"/>
              </w:rPr>
              <w:t>). The potency of hydrocodone, an active ingredient of the most commonly prescribed drug (of any type) in the U.S., is greater than morphine, an opioid that is a Schedule II substance. Schedule II drugs can be dispensed only by prescription, and no refills are allowed. Stringent record keeping, reporting, and physical security requirements are also in place for these substances. (</w:t>
            </w:r>
            <w:hyperlink r:id="rId87" w:history="1">
              <w:r w:rsidR="00E648FC" w:rsidRPr="00D61F73">
                <w:rPr>
                  <w:rStyle w:val="Hyperlink"/>
                  <w:rFonts w:ascii="Arial" w:hAnsi="Arial" w:cs="Arial"/>
                  <w:u w:val="none"/>
                </w:rPr>
                <w:t>FDA, 2013</w:t>
              </w:r>
            </w:hyperlink>
            <w:r w:rsidR="00E648FC" w:rsidRPr="00D61F73">
              <w:rPr>
                <w:rFonts w:ascii="Arial" w:hAnsi="Arial" w:cs="Arial"/>
              </w:rPr>
              <w:t xml:space="preserve">) See also </w:t>
            </w:r>
            <w:hyperlink w:anchor="Zohydro" w:history="1">
              <w:r w:rsidR="0008280B" w:rsidRPr="00D61F73">
                <w:rPr>
                  <w:rStyle w:val="Hyperlink"/>
                  <w:rFonts w:ascii="Arial" w:hAnsi="Arial" w:cs="Arial"/>
                </w:rPr>
                <w:t>Zohydro</w:t>
              </w:r>
            </w:hyperlink>
            <w:r w:rsidR="0008280B" w:rsidRPr="00D61F73">
              <w:rPr>
                <w:rFonts w:ascii="Arial" w:hAnsi="Arial" w:cs="Arial"/>
              </w:rPr>
              <w:t>.</w:t>
            </w:r>
            <w:r w:rsidR="00E648FC" w:rsidRPr="00D61F73">
              <w:rPr>
                <w:rFonts w:ascii="Arial" w:hAnsi="Arial" w:cs="Arial"/>
              </w:rPr>
              <w:t xml:space="preserve">  </w:t>
            </w:r>
          </w:p>
        </w:tc>
      </w:tr>
      <w:tr w:rsidR="00E648FC" w:rsidRPr="00D61F73" w14:paraId="290A5EFA" w14:textId="77777777" w:rsidTr="0078164D">
        <w:tc>
          <w:tcPr>
            <w:tcW w:w="1086" w:type="pct"/>
          </w:tcPr>
          <w:p w14:paraId="3940248D" w14:textId="77777777" w:rsidR="00E648FC" w:rsidRPr="00D61F73" w:rsidRDefault="00E648FC" w:rsidP="00D61F73">
            <w:pPr>
              <w:pStyle w:val="Footer"/>
              <w:tabs>
                <w:tab w:val="clear" w:pos="4320"/>
                <w:tab w:val="clear" w:pos="8640"/>
              </w:tabs>
              <w:rPr>
                <w:rFonts w:ascii="Arial" w:hAnsi="Arial" w:cs="Arial"/>
                <w:lang w:val="es-MX"/>
              </w:rPr>
            </w:pPr>
            <w:r w:rsidRPr="00D61F73">
              <w:rPr>
                <w:rFonts w:ascii="Arial" w:hAnsi="Arial" w:cs="Arial"/>
                <w:lang w:val="es-MX"/>
              </w:rPr>
              <w:lastRenderedPageBreak/>
              <w:t>H</w:t>
            </w:r>
            <w:bookmarkStart w:id="245" w:name="HydrocodoneAcetaminophen"/>
            <w:bookmarkEnd w:id="245"/>
            <w:r w:rsidRPr="00D61F73">
              <w:rPr>
                <w:rFonts w:ascii="Arial" w:hAnsi="Arial" w:cs="Arial"/>
                <w:lang w:val="es-MX"/>
              </w:rPr>
              <w:t>ydrocodone/ Acetaminophen (e.g., Vicodin®, Lortab®)</w:t>
            </w:r>
          </w:p>
        </w:tc>
        <w:tc>
          <w:tcPr>
            <w:tcW w:w="3914" w:type="pct"/>
          </w:tcPr>
          <w:p w14:paraId="6CC6FDFA" w14:textId="7F8DA6D5" w:rsidR="00E648FC" w:rsidRPr="00D61F73" w:rsidRDefault="00E648FC" w:rsidP="00D61F73">
            <w:pPr>
              <w:rPr>
                <w:rFonts w:ascii="Arial" w:hAnsi="Arial" w:cs="Arial"/>
                <w:u w:val="single"/>
              </w:rPr>
            </w:pPr>
            <w:r w:rsidRPr="00D61F73">
              <w:rPr>
                <w:rFonts w:ascii="Arial" w:hAnsi="Arial" w:cs="Arial"/>
              </w:rPr>
              <w:t xml:space="preserve">See </w:t>
            </w:r>
            <w:r w:rsidR="00EB685F" w:rsidRPr="00D61F73">
              <w:rPr>
                <w:rFonts w:ascii="Arial" w:hAnsi="Arial" w:cs="Arial"/>
                <w:bCs/>
              </w:rPr>
              <w:t xml:space="preserve">MTUS Opioids Treatment Guidelines </w:t>
            </w:r>
            <w:r w:rsidRPr="00D61F73">
              <w:rPr>
                <w:rFonts w:ascii="Arial" w:hAnsi="Arial" w:cs="Arial"/>
                <w:bCs/>
              </w:rPr>
              <w:t xml:space="preserve">on the use of opioids. </w:t>
            </w:r>
            <w:r w:rsidRPr="00D61F73">
              <w:rPr>
                <w:rFonts w:ascii="Arial" w:hAnsi="Arial" w:cs="Arial"/>
              </w:rPr>
              <w:t xml:space="preserve">Also see </w:t>
            </w:r>
            <w:hyperlink w:anchor="HydrocodoneAcetaminophenListing" w:history="1">
              <w:r w:rsidRPr="00D61F73">
                <w:rPr>
                  <w:rStyle w:val="Hyperlink"/>
                  <w:rFonts w:ascii="Arial" w:hAnsi="Arial" w:cs="Arial"/>
                  <w:u w:val="none"/>
                </w:rPr>
                <w:t>Hydrocodone/Acetaminophen</w:t>
              </w:r>
            </w:hyperlink>
            <w:r w:rsidRPr="00D61F73">
              <w:rPr>
                <w:rFonts w:ascii="Arial" w:hAnsi="Arial" w:cs="Arial"/>
              </w:rPr>
              <w:t xml:space="preserve"> (Anexsia®, Co-Gesic®, Hycet™; Lorcet®, Lortab®; Margesic-H®, Maxidone™; Norco®, Stagesic®, Vicodin®, Xodol®, Zydone®) listing for more information and references. An FDA advisory committee recommended a transition from Schedule III to Schedule II for hydrocodone products (</w:t>
            </w:r>
            <w:hyperlink r:id="rId88" w:history="1">
              <w:r w:rsidRPr="00D61F73">
                <w:rPr>
                  <w:rStyle w:val="Hyperlink"/>
                  <w:rFonts w:ascii="Arial" w:hAnsi="Arial" w:cs="Arial"/>
                  <w:u w:val="none"/>
                </w:rPr>
                <w:t>FDA, 2013</w:t>
              </w:r>
            </w:hyperlink>
            <w:r w:rsidRPr="00D61F73">
              <w:rPr>
                <w:rFonts w:ascii="Arial" w:hAnsi="Arial" w:cs="Arial"/>
              </w:rPr>
              <w:t>), but the DEA has yet to make any rules regarding rescheduling and still lists hydrocodone combination products as Schedule III. The Safe Prescribing Act proposed in U.S. Congress would legislatively reclassify hydrocodone combination products without going through the DEA. New York State made this transition to Schedule II in February 2013 as states have authority to upschedule. Now the DEA has officially proposed rescheduling of hydrocodone combination products from CIII to CII. (</w:t>
            </w:r>
            <w:hyperlink r:id="rId89" w:history="1">
              <w:r w:rsidRPr="00D61F73">
                <w:rPr>
                  <w:rStyle w:val="Hyperlink"/>
                  <w:rFonts w:ascii="Arial" w:hAnsi="Arial" w:cs="Arial"/>
                  <w:u w:val="none"/>
                </w:rPr>
                <w:t>DEA, 2014</w:t>
              </w:r>
            </w:hyperlink>
            <w:r w:rsidRPr="00D61F73">
              <w:rPr>
                <w:rFonts w:ascii="Arial" w:hAnsi="Arial" w:cs="Arial"/>
              </w:rPr>
              <w:t>) In this ED study, Vicodin failed to provide superior pain relief compared to Tylenol with codeine, and there was no significant difference in side effects. Both Vicodin and Hydrocodone decreased pain scores by approximately 50%, but hydrocodone/acetaminophen (Vicodin [5/500]) failed to provide clinically or statistically superior pain relief compared to codeine/acetaminophen (Tylenol#3 [30/300]). (</w:t>
            </w:r>
            <w:hyperlink w:anchor="Chang2014" w:history="1">
              <w:r w:rsidRPr="00D61F73">
                <w:rPr>
                  <w:rStyle w:val="Hyperlink"/>
                  <w:rFonts w:ascii="Arial" w:hAnsi="Arial" w:cs="Arial"/>
                  <w:u w:val="none"/>
                </w:rPr>
                <w:t>Chang, 2014</w:t>
              </w:r>
            </w:hyperlink>
            <w:r w:rsidRPr="00D61F73">
              <w:rPr>
                <w:rFonts w:ascii="Arial" w:hAnsi="Arial" w:cs="Arial"/>
              </w:rPr>
              <w:t>)</w:t>
            </w:r>
          </w:p>
        </w:tc>
      </w:tr>
      <w:tr w:rsidR="00E648FC" w:rsidRPr="00D61F73" w14:paraId="08AFA6B6" w14:textId="77777777" w:rsidTr="0078164D">
        <w:tc>
          <w:tcPr>
            <w:tcW w:w="1086" w:type="pct"/>
          </w:tcPr>
          <w:p w14:paraId="0DEA59B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H</w:t>
            </w:r>
            <w:bookmarkStart w:id="246" w:name="HydrocodoneIbuprofen"/>
            <w:bookmarkEnd w:id="246"/>
            <w:r w:rsidRPr="00D61F73">
              <w:rPr>
                <w:rFonts w:ascii="Arial" w:hAnsi="Arial" w:cs="Arial"/>
              </w:rPr>
              <w:t xml:space="preserve">ydrocodone/ Ibuprofen (Vicoprofen®) </w:t>
            </w:r>
          </w:p>
        </w:tc>
        <w:tc>
          <w:tcPr>
            <w:tcW w:w="3914" w:type="pct"/>
          </w:tcPr>
          <w:p w14:paraId="728174FC" w14:textId="55FB7060" w:rsidR="00E648FC" w:rsidRPr="00D61F73" w:rsidRDefault="00E648FC" w:rsidP="00D61F73">
            <w:pPr>
              <w:rPr>
                <w:rFonts w:ascii="Arial" w:hAnsi="Arial" w:cs="Arial"/>
              </w:rPr>
            </w:pPr>
            <w:r w:rsidRPr="00D61F73">
              <w:rPr>
                <w:rFonts w:ascii="Arial" w:hAnsi="Arial" w:cs="Arial"/>
              </w:rPr>
              <w:t xml:space="preserve">See </w:t>
            </w:r>
            <w:r w:rsidR="00365E14" w:rsidRPr="00D61F73">
              <w:rPr>
                <w:rFonts w:ascii="Arial" w:hAnsi="Arial" w:cs="Arial"/>
              </w:rPr>
              <w:t xml:space="preserve">MTUS Opioids Treatment Guidelines </w:t>
            </w:r>
            <w:r w:rsidRPr="00D61F73">
              <w:rPr>
                <w:rFonts w:ascii="Arial" w:hAnsi="Arial" w:cs="Arial"/>
              </w:rPr>
              <w:t>for dosing recommendations.</w:t>
            </w:r>
          </w:p>
          <w:p w14:paraId="6B71D2C4" w14:textId="77777777" w:rsidR="00E648FC" w:rsidRPr="00D61F73" w:rsidRDefault="00E648FC" w:rsidP="00D61F73">
            <w:pPr>
              <w:rPr>
                <w:rFonts w:ascii="Arial" w:hAnsi="Arial" w:cs="Arial"/>
              </w:rPr>
            </w:pPr>
            <w:r w:rsidRPr="00D61F73">
              <w:rPr>
                <w:rFonts w:ascii="Arial" w:hAnsi="Arial" w:cs="Arial"/>
              </w:rPr>
              <w:t xml:space="preserve">Also see  </w:t>
            </w:r>
            <w:hyperlink w:anchor="HydrocodoneIbuprofenListing" w:history="1">
              <w:r w:rsidRPr="00D61F73">
                <w:rPr>
                  <w:rStyle w:val="Hyperlink"/>
                  <w:rFonts w:ascii="Arial" w:hAnsi="Arial" w:cs="Arial"/>
                  <w:u w:val="none"/>
                </w:rPr>
                <w:t>Hydrocodone/Ibuprofen</w:t>
              </w:r>
            </w:hyperlink>
            <w:r w:rsidRPr="00D61F73">
              <w:rPr>
                <w:rFonts w:ascii="Arial" w:hAnsi="Arial" w:cs="Arial"/>
              </w:rPr>
              <w:t xml:space="preserve"> (Vicoprofen®) listing for more information and references.This combination opioid/NSAID has a low dose of ibuprofen (200mg) that is below the normal adult dose of 400 to 800 mg per dose and total max daily dose of 2400mg. Vicoprofen was approved only based on single dose, post-op pain and is approved to treat acute pain for generally less than 10 days. Prescribing information also stresses that this product is not indicated for treating conditions such as rheumatoid arthritis or osteoarthritis.) In addition, there is also a cost difference between the generic Vicodin (approx $0.35/tab) and generic Vicoprofen ($1.04/tab).</w:t>
            </w:r>
          </w:p>
        </w:tc>
      </w:tr>
      <w:tr w:rsidR="00E648FC" w:rsidRPr="00D61F73" w14:paraId="3637ED39" w14:textId="77777777" w:rsidTr="0078164D">
        <w:tc>
          <w:tcPr>
            <w:tcW w:w="1086" w:type="pct"/>
          </w:tcPr>
          <w:p w14:paraId="559B512F" w14:textId="77777777" w:rsidR="00E648FC" w:rsidRPr="00D61F73" w:rsidRDefault="00E648FC" w:rsidP="00D61F73">
            <w:pPr>
              <w:pStyle w:val="Footer"/>
              <w:tabs>
                <w:tab w:val="clear" w:pos="4320"/>
                <w:tab w:val="clear" w:pos="8640"/>
              </w:tabs>
              <w:rPr>
                <w:rFonts w:ascii="Arial" w:hAnsi="Arial" w:cs="Arial"/>
                <w:u w:val="single"/>
              </w:rPr>
            </w:pPr>
            <w:r w:rsidRPr="00D61F73">
              <w:rPr>
                <w:rFonts w:ascii="Arial" w:hAnsi="Arial" w:cs="Arial"/>
                <w:u w:val="single"/>
              </w:rPr>
              <w:t>H</w:t>
            </w:r>
            <w:bookmarkStart w:id="247" w:name="Hydromorphone"/>
            <w:bookmarkEnd w:id="247"/>
            <w:r w:rsidRPr="00D61F73">
              <w:rPr>
                <w:rFonts w:ascii="Arial" w:hAnsi="Arial" w:cs="Arial"/>
                <w:u w:val="single"/>
              </w:rPr>
              <w:t xml:space="preserve">ydromorphone (Dilaudid®) </w:t>
            </w:r>
          </w:p>
        </w:tc>
        <w:tc>
          <w:tcPr>
            <w:tcW w:w="3914" w:type="pct"/>
          </w:tcPr>
          <w:p w14:paraId="42865356" w14:textId="411FBC8A" w:rsidR="00E648FC" w:rsidRPr="00D61F73" w:rsidRDefault="00E648FC" w:rsidP="00D61F73">
            <w:pPr>
              <w:rPr>
                <w:rFonts w:ascii="Arial" w:hAnsi="Arial" w:cs="Arial"/>
                <w:u w:val="single"/>
              </w:rPr>
            </w:pPr>
            <w:r w:rsidRPr="00D61F73">
              <w:rPr>
                <w:rFonts w:ascii="Arial" w:hAnsi="Arial" w:cs="Arial"/>
              </w:rPr>
              <w:t xml:space="preserve">See </w:t>
            </w:r>
            <w:r w:rsidR="003B0291" w:rsidRPr="00D61F73">
              <w:rPr>
                <w:rFonts w:ascii="Arial" w:hAnsi="Arial" w:cs="Arial"/>
              </w:rPr>
              <w:t xml:space="preserve">MTUS Opioids Treatment Guidelines </w:t>
            </w:r>
            <w:r w:rsidRPr="00D61F73">
              <w:rPr>
                <w:rFonts w:ascii="Arial" w:hAnsi="Arial" w:cs="Arial"/>
              </w:rPr>
              <w:t xml:space="preserve">for dosing recommendations. Also </w:t>
            </w:r>
            <w:r w:rsidRPr="00D61F73">
              <w:rPr>
                <w:rFonts w:ascii="Arial" w:hAnsi="Arial" w:cs="Arial"/>
                <w:u w:val="single"/>
              </w:rPr>
              <w:t xml:space="preserve">see </w:t>
            </w:r>
            <w:hyperlink w:anchor="HydromorphoneListing" w:history="1">
              <w:r w:rsidRPr="00D61F73">
                <w:rPr>
                  <w:rStyle w:val="Hyperlink"/>
                  <w:rFonts w:ascii="Arial" w:hAnsi="Arial" w:cs="Arial"/>
                </w:rPr>
                <w:t>Hydromorphone</w:t>
              </w:r>
            </w:hyperlink>
            <w:r w:rsidRPr="00D61F73">
              <w:rPr>
                <w:rFonts w:ascii="Arial" w:hAnsi="Arial" w:cs="Arial"/>
                <w:u w:val="single"/>
              </w:rPr>
              <w:t xml:space="preserve"> (Dilaudid®) listing for more information and references.</w:t>
            </w:r>
          </w:p>
        </w:tc>
      </w:tr>
      <w:tr w:rsidR="00E648FC" w:rsidRPr="00D61F73" w14:paraId="4365F124" w14:textId="77777777" w:rsidTr="0078164D">
        <w:tc>
          <w:tcPr>
            <w:tcW w:w="1086" w:type="pct"/>
          </w:tcPr>
          <w:p w14:paraId="1A947B8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H</w:t>
            </w:r>
            <w:bookmarkStart w:id="248" w:name="Hypnosis"/>
            <w:bookmarkEnd w:id="248"/>
            <w:r w:rsidRPr="00D61F73">
              <w:rPr>
                <w:rFonts w:ascii="Arial" w:hAnsi="Arial" w:cs="Arial"/>
              </w:rPr>
              <w:t xml:space="preserve">ypnosis </w:t>
            </w:r>
          </w:p>
        </w:tc>
        <w:tc>
          <w:tcPr>
            <w:tcW w:w="3914" w:type="pct"/>
          </w:tcPr>
          <w:p w14:paraId="4D539906" w14:textId="77777777" w:rsidR="00E648FC" w:rsidRPr="00D61F73" w:rsidRDefault="00E648FC" w:rsidP="00D61F73">
            <w:pPr>
              <w:rPr>
                <w:rFonts w:ascii="Arial" w:hAnsi="Arial" w:cs="Arial"/>
              </w:rPr>
            </w:pPr>
            <w:r w:rsidRPr="00D61F73">
              <w:rPr>
                <w:rFonts w:ascii="Arial" w:hAnsi="Arial" w:cs="Arial"/>
              </w:rPr>
              <w:t>Recommended as a conservative option, depending on the availability of providers with proven outcomes, but the quality of evidence is weak. Hypnosis treatment may have a positive effect on pain and quality of life for patients with chronic muscular pain. (</w:t>
            </w:r>
            <w:hyperlink w:anchor="Grøndahl" w:history="1">
              <w:r w:rsidRPr="00D61F73">
                <w:rPr>
                  <w:rStyle w:val="Hyperlink"/>
                  <w:rFonts w:ascii="Arial" w:hAnsi="Arial" w:cs="Arial"/>
                </w:rPr>
                <w:t>Grøndahl, 2008</w:t>
              </w:r>
            </w:hyperlink>
            <w:r w:rsidRPr="00D61F73">
              <w:rPr>
                <w:rFonts w:ascii="Arial" w:hAnsi="Arial" w:cs="Arial"/>
              </w:rPr>
              <w:t>) The findings of a trial supported greater benefits effects from self-hypnosis training compared to cognitive training on average pain intensity, but the combined hypnosis-cognitive restructuring intervention appeared to have beneficial effects greater than the effects of either cognitive restructuring or hypnosis alone. (</w:t>
            </w:r>
            <w:hyperlink w:anchor="Jensen2011" w:history="1">
              <w:r w:rsidRPr="00D61F73">
                <w:rPr>
                  <w:rStyle w:val="Hyperlink"/>
                  <w:rFonts w:ascii="Arial" w:hAnsi="Arial" w:cs="Arial"/>
                </w:rPr>
                <w:t>Jensen, 2011</w:t>
              </w:r>
            </w:hyperlink>
            <w:r w:rsidRPr="00D61F73">
              <w:rPr>
                <w:rFonts w:ascii="Arial" w:hAnsi="Arial" w:cs="Arial"/>
              </w:rPr>
              <w:t>)</w:t>
            </w:r>
          </w:p>
          <w:p w14:paraId="1B2250C0" w14:textId="77777777" w:rsidR="00E648FC" w:rsidRPr="00D61F73" w:rsidRDefault="00E648FC" w:rsidP="00D61F73">
            <w:pPr>
              <w:rPr>
                <w:rFonts w:ascii="Arial" w:hAnsi="Arial" w:cs="Arial"/>
                <w:b/>
                <w:bCs/>
              </w:rPr>
            </w:pPr>
            <w:r w:rsidRPr="00D61F73">
              <w:rPr>
                <w:rFonts w:ascii="Arial" w:hAnsi="Arial" w:cs="Arial"/>
                <w:b/>
                <w:bCs/>
              </w:rPr>
              <w:t>ODG Hypnotherapy Guidelines:</w:t>
            </w:r>
          </w:p>
          <w:p w14:paraId="0E8099DD" w14:textId="77777777" w:rsidR="00E648FC" w:rsidRPr="00D61F73" w:rsidRDefault="00E648FC" w:rsidP="00D61F73">
            <w:pPr>
              <w:rPr>
                <w:rFonts w:ascii="Arial" w:hAnsi="Arial" w:cs="Arial"/>
              </w:rPr>
            </w:pPr>
            <w:r w:rsidRPr="00D61F73">
              <w:rPr>
                <w:rFonts w:ascii="Arial" w:hAnsi="Arial" w:cs="Arial"/>
              </w:rPr>
              <w:t>- Initial trial of 4 visits over 2 weeks</w:t>
            </w:r>
          </w:p>
          <w:p w14:paraId="769B6B07" w14:textId="77777777" w:rsidR="00E648FC" w:rsidRPr="00D61F73" w:rsidRDefault="00E648FC" w:rsidP="00D61F73">
            <w:pPr>
              <w:rPr>
                <w:rFonts w:ascii="Arial" w:hAnsi="Arial" w:cs="Arial"/>
              </w:rPr>
            </w:pPr>
            <w:r w:rsidRPr="00D61F73">
              <w:rPr>
                <w:rFonts w:ascii="Arial" w:hAnsi="Arial" w:cs="Arial"/>
              </w:rPr>
              <w:t xml:space="preserve">- With evidence of objective functional improvement, total of up to 10 visits over 6 weeks (individual sessions) </w:t>
            </w:r>
          </w:p>
        </w:tc>
      </w:tr>
      <w:tr w:rsidR="00E648FC" w:rsidRPr="00D61F73" w14:paraId="658206D2" w14:textId="77777777" w:rsidTr="0078164D">
        <w:tc>
          <w:tcPr>
            <w:tcW w:w="1086" w:type="pct"/>
          </w:tcPr>
          <w:p w14:paraId="38E0C6D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H</w:t>
            </w:r>
            <w:bookmarkStart w:id="249" w:name="Hypnotics"/>
            <w:bookmarkEnd w:id="249"/>
            <w:r w:rsidRPr="00D61F73">
              <w:rPr>
                <w:rFonts w:ascii="Arial" w:hAnsi="Arial" w:cs="Arial"/>
              </w:rPr>
              <w:t>ypnotics</w:t>
            </w:r>
          </w:p>
        </w:tc>
        <w:tc>
          <w:tcPr>
            <w:tcW w:w="3914" w:type="pct"/>
            <w:tcBorders>
              <w:bottom w:val="single" w:sz="4" w:space="0" w:color="auto"/>
            </w:tcBorders>
          </w:tcPr>
          <w:p w14:paraId="223850D7" w14:textId="77777777" w:rsidR="00E648FC" w:rsidRPr="00D61F73" w:rsidRDefault="00E648FC" w:rsidP="00D61F73">
            <w:pPr>
              <w:rPr>
                <w:rFonts w:ascii="Arial" w:hAnsi="Arial" w:cs="Arial"/>
              </w:rPr>
            </w:pPr>
            <w:r w:rsidRPr="00D61F73">
              <w:rPr>
                <w:rFonts w:ascii="Arial" w:hAnsi="Arial" w:cs="Arial"/>
              </w:rPr>
              <w:t xml:space="preserve">See </w:t>
            </w:r>
            <w:hyperlink w:anchor="Benzodiazepines" w:history="1">
              <w:r w:rsidRPr="00D61F73">
                <w:rPr>
                  <w:rStyle w:val="Hyperlink"/>
                  <w:rFonts w:ascii="Arial" w:hAnsi="Arial" w:cs="Arial"/>
                </w:rPr>
                <w:t>Benzodiazepines</w:t>
              </w:r>
            </w:hyperlink>
            <w:r w:rsidRPr="00D61F73">
              <w:rPr>
                <w:rFonts w:ascii="Arial" w:hAnsi="Arial" w:cs="Arial"/>
              </w:rPr>
              <w:t xml:space="preserve">. See also </w:t>
            </w:r>
            <w:hyperlink w:anchor="Insomniatreatment" w:history="1">
              <w:r w:rsidRPr="00D61F73">
                <w:rPr>
                  <w:rStyle w:val="Hyperlink"/>
                  <w:rFonts w:ascii="Arial" w:hAnsi="Arial" w:cs="Arial"/>
                </w:rPr>
                <w:t>Insomnia medications</w:t>
              </w:r>
            </w:hyperlink>
            <w:r w:rsidRPr="00D61F73">
              <w:rPr>
                <w:rFonts w:ascii="Arial" w:hAnsi="Arial" w:cs="Arial"/>
              </w:rPr>
              <w:t xml:space="preserve">. </w:t>
            </w:r>
          </w:p>
        </w:tc>
      </w:tr>
      <w:tr w:rsidR="00E648FC" w:rsidRPr="00D61F73" w14:paraId="24C98BED" w14:textId="77777777" w:rsidTr="0078164D">
        <w:tc>
          <w:tcPr>
            <w:tcW w:w="1086" w:type="pct"/>
          </w:tcPr>
          <w:p w14:paraId="484C816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50" w:name="Ibuprofen"/>
            <w:bookmarkEnd w:id="250"/>
            <w:r w:rsidRPr="00D61F73">
              <w:rPr>
                <w:rFonts w:ascii="Arial" w:hAnsi="Arial" w:cs="Arial"/>
              </w:rPr>
              <w:t>buprofen (Motrin®, Advil®)</w:t>
            </w:r>
          </w:p>
        </w:tc>
        <w:tc>
          <w:tcPr>
            <w:tcW w:w="3914" w:type="pct"/>
            <w:tcBorders>
              <w:bottom w:val="single" w:sz="4" w:space="0" w:color="auto"/>
            </w:tcBorders>
          </w:tcPr>
          <w:p w14:paraId="3A0D2176" w14:textId="32F38375" w:rsidR="00E648FC" w:rsidRPr="00D61F73" w:rsidRDefault="00E648FC" w:rsidP="00D61F73">
            <w:pPr>
              <w:rPr>
                <w:rFonts w:ascii="Arial" w:hAnsi="Arial" w:cs="Arial"/>
              </w:rPr>
            </w:pPr>
            <w:r w:rsidRPr="00D61F73">
              <w:rPr>
                <w:rFonts w:ascii="Arial" w:hAnsi="Arial" w:cs="Arial"/>
              </w:rPr>
              <w:t xml:space="preserve">Recommended as an option. See </w:t>
            </w:r>
            <w:hyperlink w:anchor="Antiinflammatorymedications" w:history="1">
              <w:r w:rsidRPr="00D61F73">
                <w:rPr>
                  <w:rStyle w:val="Hyperlink"/>
                  <w:rFonts w:ascii="Arial" w:hAnsi="Arial" w:cs="Arial"/>
                </w:rPr>
                <w:t>Anti-inflammatory medications</w:t>
              </w:r>
            </w:hyperlink>
            <w:r w:rsidRPr="00D61F73">
              <w:rPr>
                <w:rFonts w:ascii="Arial" w:hAnsi="Arial" w:cs="Arial"/>
              </w:rPr>
              <w:t xml:space="preserve">. See also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 xml:space="preserve">NSAIDs, GI symptoms &amp; </w:t>
              </w:r>
              <w:r w:rsidRPr="00D61F73">
                <w:rPr>
                  <w:rStyle w:val="Hyperlink"/>
                  <w:rFonts w:ascii="Arial" w:hAnsi="Arial" w:cs="Arial"/>
                </w:rPr>
                <w:lastRenderedPageBreak/>
                <w:t>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IbuprofenListing" w:history="1">
              <w:r w:rsidRPr="00D61F73">
                <w:rPr>
                  <w:rStyle w:val="Hyperlink"/>
                  <w:rFonts w:ascii="Arial" w:hAnsi="Arial" w:cs="Arial"/>
                </w:rPr>
                <w:t>Ibuprofen</w:t>
              </w:r>
            </w:hyperlink>
            <w:r w:rsidRPr="00D61F73">
              <w:rPr>
                <w:rFonts w:ascii="Arial" w:hAnsi="Arial" w:cs="Arial"/>
              </w:rPr>
              <w:t xml:space="preserve"> (Motrin®, Advil®) listing for more information and references.  </w:t>
            </w:r>
          </w:p>
        </w:tc>
      </w:tr>
      <w:tr w:rsidR="00E648FC" w:rsidRPr="00D61F73" w14:paraId="6A74FC47" w14:textId="77777777" w:rsidTr="004A7CB3">
        <w:tc>
          <w:tcPr>
            <w:tcW w:w="1086" w:type="pct"/>
          </w:tcPr>
          <w:p w14:paraId="6309D7B1" w14:textId="77777777" w:rsidR="00E648FC" w:rsidRPr="00D61F73" w:rsidRDefault="00E648FC" w:rsidP="00D61F73">
            <w:pPr>
              <w:rPr>
                <w:rFonts w:ascii="Arial" w:hAnsi="Arial" w:cs="Arial"/>
              </w:rPr>
            </w:pPr>
            <w:r w:rsidRPr="00D61F73">
              <w:rPr>
                <w:rFonts w:ascii="Arial" w:hAnsi="Arial" w:cs="Arial"/>
              </w:rPr>
              <w:lastRenderedPageBreak/>
              <w:t>I</w:t>
            </w:r>
            <w:bookmarkStart w:id="251" w:name="Implantabledrugdelivery"/>
            <w:bookmarkEnd w:id="251"/>
            <w:r w:rsidRPr="00D61F73">
              <w:rPr>
                <w:rFonts w:ascii="Arial" w:hAnsi="Arial" w:cs="Arial"/>
              </w:rPr>
              <w:t xml:space="preserve">mplantable drug-delivery systems/ Intrathecal drug delivery systems (IDDSs) </w:t>
            </w:r>
          </w:p>
        </w:tc>
        <w:tc>
          <w:tcPr>
            <w:tcW w:w="3914" w:type="pct"/>
            <w:shd w:val="clear" w:color="auto" w:fill="auto"/>
          </w:tcPr>
          <w:p w14:paraId="0BA47DEA" w14:textId="666B0955" w:rsidR="00E648FC" w:rsidRPr="00D61F73" w:rsidRDefault="00E648FC" w:rsidP="00D61F73">
            <w:pPr>
              <w:rPr>
                <w:rFonts w:ascii="Arial" w:hAnsi="Arial" w:cs="Arial"/>
              </w:rPr>
            </w:pPr>
            <w:r w:rsidRPr="00D61F73">
              <w:rPr>
                <w:rFonts w:ascii="Arial" w:hAnsi="Arial" w:cs="Arial"/>
              </w:rPr>
              <w:t>Recommended only as an end-stage treatment alternative for selected patients for specific conditions indicated in the blue criteria below, after failure of at least 6 months of less invasive methods, and following a successful temporary trial.</w:t>
            </w:r>
            <w:r w:rsidR="00D55E2C" w:rsidRPr="00D61F73">
              <w:rPr>
                <w:rFonts w:ascii="Arial" w:hAnsi="Arial" w:cs="Arial"/>
              </w:rPr>
              <w:t xml:space="preserve"> </w:t>
            </w:r>
            <w:r w:rsidR="0061527A" w:rsidRPr="00D61F73">
              <w:rPr>
                <w:rFonts w:ascii="Arial" w:hAnsi="Arial" w:cs="Arial"/>
              </w:rPr>
              <w:t xml:space="preserve">See also </w:t>
            </w:r>
            <w:r w:rsidR="0061527A" w:rsidRPr="00F26920">
              <w:rPr>
                <w:rFonts w:ascii="Arial" w:hAnsi="Arial" w:cs="Arial"/>
              </w:rPr>
              <w:t>MTUS Low Back Complaints</w:t>
            </w:r>
            <w:r w:rsidR="0061527A" w:rsidRPr="00D61F73">
              <w:rPr>
                <w:rFonts w:ascii="Arial" w:hAnsi="Arial" w:cs="Arial"/>
              </w:rPr>
              <w:t xml:space="preserve">. </w:t>
            </w:r>
            <w:r w:rsidRPr="00D61F73">
              <w:rPr>
                <w:rFonts w:ascii="Arial" w:hAnsi="Arial" w:cs="Arial"/>
              </w:rPr>
              <w:t>There is insufficient evidence to recommend the use of implantable drug-delivery systems (IDDS) for the treatment of chronic pain. There are no high-quality studies on this topic which document that this therapy is safe and effective.  Further, significant complications and adverse events have been documented and the data identify a substantial risk to patients. (</w:t>
            </w:r>
            <w:hyperlink w:anchor="Washington2008" w:history="1">
              <w:r w:rsidRPr="00D61F73">
                <w:rPr>
                  <w:rStyle w:val="Hyperlink"/>
                  <w:rFonts w:ascii="Arial" w:hAnsi="Arial" w:cs="Arial"/>
                </w:rPr>
                <w:t>Washington State Health Care Authority, 2008</w:t>
              </w:r>
            </w:hyperlink>
            <w:r w:rsidRPr="00D61F73">
              <w:rPr>
                <w:rFonts w:ascii="Arial" w:hAnsi="Arial" w:cs="Arial"/>
              </w:rPr>
              <w:t>) Results of studies of opioids for musculoskeletal conditions (as opposed to cancer pain) generally recommend short use of opioids for severe cases, not to exceed 2 weeks, and do not support chronic use (for which a pump would be used). This treatment may be considered relatively late in the treatment continuum, when there is little hope for effective management of chronic intractable pain from other therapies.</w:t>
            </w:r>
            <w:r w:rsidRPr="00D61F73">
              <w:rPr>
                <w:rFonts w:ascii="Arial" w:hAnsi="Arial" w:cs="Arial"/>
                <w:u w:val="single"/>
              </w:rPr>
              <w:t xml:space="preserve"> (</w:t>
            </w:r>
            <w:hyperlink w:anchor="Angel" w:history="1">
              <w:r w:rsidRPr="00D61F73">
                <w:rPr>
                  <w:rStyle w:val="Hyperlink"/>
                  <w:rFonts w:ascii="Arial" w:hAnsi="Arial" w:cs="Arial"/>
                </w:rPr>
                <w:t>Angel, 1998</w:t>
              </w:r>
            </w:hyperlink>
            <w:r w:rsidRPr="00D61F73">
              <w:rPr>
                <w:rFonts w:ascii="Arial" w:hAnsi="Arial" w:cs="Arial"/>
                <w:u w:val="single"/>
              </w:rPr>
              <w:t>) (</w:t>
            </w:r>
            <w:hyperlink w:anchor="Kumar3" w:history="1">
              <w:r w:rsidRPr="00D61F73">
                <w:rPr>
                  <w:rStyle w:val="Hyperlink"/>
                  <w:rFonts w:ascii="Arial" w:hAnsi="Arial" w:cs="Arial"/>
                </w:rPr>
                <w:t>Kumar, 2002</w:t>
              </w:r>
            </w:hyperlink>
            <w:r w:rsidRPr="00D61F73">
              <w:rPr>
                <w:rFonts w:ascii="Arial" w:hAnsi="Arial" w:cs="Arial"/>
                <w:u w:val="single"/>
              </w:rPr>
              <w:t>) (</w:t>
            </w:r>
            <w:hyperlink w:anchor="Hassenbusch" w:history="1">
              <w:r w:rsidRPr="00D61F73">
                <w:rPr>
                  <w:rStyle w:val="Hyperlink"/>
                  <w:rFonts w:ascii="Arial" w:hAnsi="Arial" w:cs="Arial"/>
                </w:rPr>
                <w:t>Hassenbusch, 2004</w:t>
              </w:r>
            </w:hyperlink>
            <w:r w:rsidRPr="00D61F73">
              <w:rPr>
                <w:rFonts w:ascii="Arial" w:hAnsi="Arial" w:cs="Arial"/>
                <w:u w:val="single"/>
              </w:rPr>
              <w:t>) (</w:t>
            </w:r>
            <w:hyperlink w:anchor="Boswell" w:history="1">
              <w:r w:rsidRPr="00D61F73">
                <w:rPr>
                  <w:rStyle w:val="Hyperlink"/>
                  <w:rFonts w:ascii="Arial" w:hAnsi="Arial" w:cs="Arial"/>
                </w:rPr>
                <w:t>Boswell, 2005</w:t>
              </w:r>
            </w:hyperlink>
            <w:r w:rsidRPr="00D61F73">
              <w:rPr>
                <w:rFonts w:ascii="Arial" w:hAnsi="Arial" w:cs="Arial"/>
                <w:u w:val="single"/>
              </w:rPr>
              <w:t>) (</w:t>
            </w:r>
            <w:hyperlink w:anchor="Deer4" w:history="1">
              <w:r w:rsidRPr="00D61F73">
                <w:rPr>
                  <w:rStyle w:val="Hyperlink"/>
                  <w:rFonts w:ascii="Arial" w:hAnsi="Arial" w:cs="Arial"/>
                </w:rPr>
                <w:t>Deer, 2009</w:t>
              </w:r>
            </w:hyperlink>
            <w:r w:rsidRPr="00D61F73">
              <w:rPr>
                <w:rFonts w:ascii="Arial" w:hAnsi="Arial" w:cs="Arial"/>
                <w:u w:val="single"/>
              </w:rPr>
              <w:t>) (</w:t>
            </w:r>
            <w:hyperlink r:id="rId90" w:history="1">
              <w:r w:rsidRPr="00D61F73">
                <w:rPr>
                  <w:rStyle w:val="Hyperlink"/>
                  <w:rFonts w:ascii="Arial" w:hAnsi="Arial" w:cs="Arial"/>
                </w:rPr>
                <w:t>Patel, 2009</w:t>
              </w:r>
            </w:hyperlink>
            <w:r w:rsidRPr="00D61F73">
              <w:rPr>
                <w:rFonts w:ascii="Arial" w:hAnsi="Arial" w:cs="Arial"/>
                <w:u w:val="single"/>
              </w:rPr>
              <w:t xml:space="preserve">) </w:t>
            </w:r>
            <w:r w:rsidRPr="00D61F73">
              <w:rPr>
                <w:rFonts w:ascii="Arial" w:hAnsi="Arial" w:cs="Arial"/>
              </w:rPr>
              <w:t>For most patients, it should be used as part of a program to facilitate restoration of function and return to activity, and not just for pain reduction. The specific criteria in these cases include the failure of at least 6 months of other conservative treatment modalities, intractable pain secondary to a disease state with objective documentation of pathology, further surgical or other intervention is not indicated, there are no contraindications to a trial, psychological evaluation unequivocally states that the individual has realistic expectations and the pain is not psychological in origin, and a temporary trial has been successful prior to permanent implantation as defined by a 50% reduction in pain. (</w:t>
            </w:r>
            <w:hyperlink w:anchor="Tutak" w:history="1">
              <w:r w:rsidRPr="00D61F73">
                <w:rPr>
                  <w:rStyle w:val="Hyperlink"/>
                  <w:rFonts w:ascii="Arial" w:hAnsi="Arial" w:cs="Arial"/>
                  <w:u w:val="none"/>
                </w:rPr>
                <w:t>Tutak, 1996</w:t>
              </w:r>
            </w:hyperlink>
            <w:r w:rsidRPr="00D61F73">
              <w:rPr>
                <w:rFonts w:ascii="Arial" w:hAnsi="Arial" w:cs="Arial"/>
              </w:rPr>
              <w:t>) (</w:t>
            </w:r>
            <w:hyperlink w:anchor="Yoshida" w:history="1">
              <w:r w:rsidRPr="00D61F73">
                <w:rPr>
                  <w:rStyle w:val="Hyperlink"/>
                  <w:rFonts w:ascii="Arial" w:hAnsi="Arial" w:cs="Arial"/>
                  <w:u w:val="none"/>
                </w:rPr>
                <w:t>Yoshida, 1996</w:t>
              </w:r>
            </w:hyperlink>
            <w:r w:rsidRPr="00D61F73">
              <w:rPr>
                <w:rFonts w:ascii="Arial" w:hAnsi="Arial" w:cs="Arial"/>
              </w:rPr>
              <w:t>) (</w:t>
            </w:r>
            <w:hyperlink w:anchor="BlueCross2" w:history="1">
              <w:r w:rsidRPr="00D61F73">
                <w:rPr>
                  <w:rStyle w:val="Hyperlink"/>
                  <w:rFonts w:ascii="Arial" w:hAnsi="Arial" w:cs="Arial"/>
                  <w:u w:val="none"/>
                </w:rPr>
                <w:t>BlueCross, 2005</w:t>
              </w:r>
            </w:hyperlink>
            <w:r w:rsidRPr="00D61F73">
              <w:rPr>
                <w:rFonts w:ascii="Arial" w:hAnsi="Arial" w:cs="Arial"/>
              </w:rPr>
              <w:t>) (</w:t>
            </w:r>
            <w:hyperlink w:anchor="United" w:history="1">
              <w:r w:rsidRPr="00D61F73">
                <w:rPr>
                  <w:rStyle w:val="Hyperlink"/>
                  <w:rFonts w:ascii="Arial" w:hAnsi="Arial" w:cs="Arial"/>
                  <w:u w:val="none"/>
                </w:rPr>
                <w:t>United Health Care, 2005</w:t>
              </w:r>
            </w:hyperlink>
            <w:r w:rsidRPr="00D61F73">
              <w:rPr>
                <w:rFonts w:ascii="Arial" w:hAnsi="Arial" w:cs="Arial"/>
              </w:rPr>
              <w:t>) In a study of IDDS in 136 patients with low back pain, after one year 87% of the patients described their quality of life as fair to excellent, and 87% said they would repeat the implant procedure. However, complication rates (i.e., infection, dislodging, and cerebrospinal fluid leak) are likely to rise with time in these procedures and more longitudinal outcome studies need to be conducted. (</w:t>
            </w:r>
            <w:hyperlink w:anchor="Deer" w:history="1">
              <w:r w:rsidRPr="00D61F73">
                <w:rPr>
                  <w:rStyle w:val="Hyperlink"/>
                  <w:rFonts w:ascii="Arial" w:hAnsi="Arial" w:cs="Arial"/>
                </w:rPr>
                <w:t>Deer, 2004</w:t>
              </w:r>
            </w:hyperlink>
            <w:r w:rsidRPr="00D61F73">
              <w:rPr>
                <w:rFonts w:ascii="Arial" w:hAnsi="Arial" w:cs="Arial"/>
              </w:rPr>
              <w:t>) In one survey involving 429 patients with nonmalignant pain treated with intrathecal therapy, physician reports of global pain relief scores were excellent in 52.4% of patients, good in 42.9%, and poor in 4.8%. In another study of 120 patients, the mean pain intensity score had fallen from 93.6 to 30.5 six months after initiation of therapy. In both studies, patients reported significant improvement in activities of daily living, quality of life measures, and satisfaction with the therapy. (</w:t>
            </w:r>
            <w:hyperlink w:anchor="Winkelmuller" w:history="1">
              <w:r w:rsidRPr="00D61F73">
                <w:rPr>
                  <w:rStyle w:val="Hyperlink"/>
                  <w:rFonts w:ascii="Arial" w:hAnsi="Arial" w:cs="Arial"/>
                </w:rPr>
                <w:t>Winkelmuller, 1996</w:t>
              </w:r>
            </w:hyperlink>
            <w:r w:rsidRPr="00D61F73">
              <w:rPr>
                <w:rFonts w:ascii="Arial" w:hAnsi="Arial" w:cs="Arial"/>
              </w:rPr>
              <w:t>) (</w:t>
            </w:r>
            <w:hyperlink w:anchor="Paice" w:history="1">
              <w:r w:rsidRPr="00D61F73">
                <w:rPr>
                  <w:rStyle w:val="Hyperlink"/>
                  <w:rFonts w:ascii="Arial" w:hAnsi="Arial" w:cs="Arial"/>
                </w:rPr>
                <w:t>Paice, 1997</w:t>
              </w:r>
            </w:hyperlink>
            <w:r w:rsidRPr="00D61F73">
              <w:rPr>
                <w:rFonts w:ascii="Arial" w:hAnsi="Arial" w:cs="Arial"/>
              </w:rPr>
              <w:t>) One study in patients suffering from chronic low back pain caused by failed back syndrome found a 27% improvement after 5 years for patients in the intrathecal drug therapy group, compared with a 12% improvement in the control group. (</w:t>
            </w:r>
            <w:hyperlink w:anchor="Kumar3" w:history="1">
              <w:r w:rsidRPr="00D61F73">
                <w:rPr>
                  <w:rStyle w:val="Hyperlink"/>
                  <w:rFonts w:ascii="Arial" w:hAnsi="Arial" w:cs="Arial"/>
                </w:rPr>
                <w:t>Kumar, 2002</w:t>
              </w:r>
            </w:hyperlink>
            <w:r w:rsidRPr="00D61F73">
              <w:rPr>
                <w:rFonts w:ascii="Arial" w:hAnsi="Arial" w:cs="Arial"/>
              </w:rPr>
              <w:t xml:space="preserve">) Supporting empirical evidence is significantly supplemented and enhanced when combined with the individually based </w:t>
            </w:r>
            <w:r w:rsidRPr="00D61F73">
              <w:rPr>
                <w:rFonts w:ascii="Arial" w:hAnsi="Arial" w:cs="Arial"/>
              </w:rPr>
              <w:lastRenderedPageBreak/>
              <w:t>observational evidence gained through an individual trial prior to implant. This individually based observational evidence should be used to demonstrate effectiveness and to determine appropriate subsequent treatment. Generally, use of implantable pumps is FDA approved and indicated for chronic intractable pain. Treatment conditions may include FBSS, CRPS, Arachnoiditis, Diffuse Cancer Pain, Osteoporosis, and Axial Somatic Pain. As we have gained more experience with this therapy, it has become apparent that even intrathecal opioids, when administered in the long term, can be associated with problems such as tolerance and other side effects. Consequently, long-term efficacy has not been convincingly proven. However, it is important to note that there is a distinction between "tolerance" and "addiction", and the levels of drugs administered intrathecally should be significantly below what migh</w:t>
            </w:r>
            <w:r w:rsidR="00F45AB7" w:rsidRPr="00D61F73">
              <w:rPr>
                <w:rFonts w:ascii="Arial" w:hAnsi="Arial" w:cs="Arial"/>
              </w:rPr>
              <w:t>t</w:t>
            </w:r>
            <w:r w:rsidRPr="00D61F73">
              <w:rPr>
                <w:rFonts w:ascii="Arial" w:hAnsi="Arial" w:cs="Arial"/>
              </w:rPr>
              <w:t xml:space="preserve"> be needed orally in their absence. (</w:t>
            </w:r>
            <w:hyperlink w:anchor="Osenbach" w:history="1">
              <w:r w:rsidRPr="00D61F73">
                <w:rPr>
                  <w:rStyle w:val="Hyperlink"/>
                  <w:rFonts w:ascii="Arial" w:hAnsi="Arial" w:cs="Arial"/>
                </w:rPr>
                <w:t>Osenbach, 2001</w:t>
              </w:r>
            </w:hyperlink>
            <w:r w:rsidRPr="00D61F73">
              <w:rPr>
                <w:rFonts w:ascii="Arial" w:hAnsi="Arial" w:cs="Arial"/>
              </w:rPr>
              <w:t>) (</w:t>
            </w:r>
            <w:hyperlink w:anchor="BlueCrossBlueShield9" w:history="1">
              <w:r w:rsidRPr="00D61F73">
                <w:rPr>
                  <w:rStyle w:val="Hyperlink"/>
                  <w:rFonts w:ascii="Arial" w:hAnsi="Arial" w:cs="Arial"/>
                </w:rPr>
                <w:t>BlueCross BlueShield, 2005</w:t>
              </w:r>
            </w:hyperlink>
            <w:r w:rsidRPr="00D61F73">
              <w:rPr>
                <w:rFonts w:ascii="Arial" w:hAnsi="Arial" w:cs="Arial"/>
              </w:rPr>
              <w:t xml:space="preserve">) </w:t>
            </w:r>
          </w:p>
          <w:p w14:paraId="407F40F7" w14:textId="6E58AE27" w:rsidR="00E648FC" w:rsidRPr="00D61F73" w:rsidRDefault="00E648FC" w:rsidP="00D61F73">
            <w:pPr>
              <w:rPr>
                <w:rFonts w:ascii="Arial" w:hAnsi="Arial" w:cs="Arial"/>
              </w:rPr>
            </w:pPr>
            <w:r w:rsidRPr="00D61F73">
              <w:rPr>
                <w:rFonts w:ascii="Arial" w:hAnsi="Arial" w:cs="Arial"/>
                <w:i/>
                <w:iCs/>
                <w:u w:val="single"/>
              </w:rPr>
              <w:t>Safety Precautions &amp; Warnings</w:t>
            </w:r>
            <w:r w:rsidRPr="00D61F73">
              <w:rPr>
                <w:rFonts w:ascii="Arial" w:hAnsi="Arial" w:cs="Arial"/>
                <w:i/>
                <w:iCs/>
              </w:rPr>
              <w:t>:</w:t>
            </w:r>
            <w:r w:rsidRPr="00D61F73">
              <w:rPr>
                <w:rFonts w:ascii="Arial" w:hAnsi="Arial" w:cs="Arial"/>
              </w:rPr>
              <w:t xml:space="preserve"> Oral opioid prescribing, use and how to best keep patients as safe as possible have all have been the subject of increasing discussion, in part, due to related accidental deaths. (</w:t>
            </w:r>
            <w:hyperlink w:anchor="Phillips" w:history="1">
              <w:r w:rsidRPr="00D61F73">
                <w:rPr>
                  <w:rStyle w:val="Hyperlink"/>
                  <w:rFonts w:ascii="Arial" w:hAnsi="Arial" w:cs="Arial"/>
                </w:rPr>
                <w:t>Phillips, 2008</w:t>
              </w:r>
            </w:hyperlink>
            <w:r w:rsidRPr="00D61F73">
              <w:rPr>
                <w:rFonts w:ascii="Arial" w:hAnsi="Arial" w:cs="Arial"/>
              </w:rPr>
              <w:t>) Use of intrathecal opioids, as for all routes of administration, is not without risk. Constipation, urinary retention, nausea, vomiting, and pruritus are typical early adverse effects of intrathecal morphine and are readily managed symptomatically. Other potential adverse effects include granuloma formation, amenorrhea, loss of libido, edema, respiratory depression, death and pump and catheter malfunctions. (</w:t>
            </w:r>
            <w:hyperlink w:anchor="Winkelmuller" w:history="1">
              <w:r w:rsidRPr="00D61F73">
                <w:rPr>
                  <w:rStyle w:val="Hyperlink"/>
                  <w:rFonts w:ascii="Arial" w:hAnsi="Arial" w:cs="Arial"/>
                </w:rPr>
                <w:t>Winkelmuller, 1996</w:t>
              </w:r>
            </w:hyperlink>
            <w:r w:rsidRPr="00D61F73">
              <w:rPr>
                <w:rFonts w:ascii="Arial" w:hAnsi="Arial" w:cs="Arial"/>
              </w:rPr>
              <w:t>) (</w:t>
            </w:r>
            <w:hyperlink w:anchor="Paice" w:history="1">
              <w:r w:rsidRPr="00D61F73">
                <w:rPr>
                  <w:rStyle w:val="Hyperlink"/>
                  <w:rFonts w:ascii="Arial" w:hAnsi="Arial" w:cs="Arial"/>
                </w:rPr>
                <w:t>Paice, 1997</w:t>
              </w:r>
            </w:hyperlink>
            <w:r w:rsidRPr="00D61F73">
              <w:rPr>
                <w:rFonts w:ascii="Arial" w:hAnsi="Arial" w:cs="Arial"/>
              </w:rPr>
              <w:t>) (</w:t>
            </w:r>
            <w:hyperlink w:anchor="WashingtonECRI2008" w:history="1">
              <w:r w:rsidRPr="00D61F73">
                <w:rPr>
                  <w:rStyle w:val="Hyperlink"/>
                  <w:rFonts w:ascii="Arial" w:hAnsi="Arial" w:cs="Arial"/>
                </w:rPr>
                <w:t>Washington State Health Care Authority</w:t>
              </w:r>
              <w:r w:rsidR="008E4B0E">
                <w:rPr>
                  <w:rStyle w:val="Hyperlink"/>
                  <w:rFonts w:ascii="Arial" w:hAnsi="Arial" w:cs="Arial"/>
                </w:rPr>
                <w:t xml:space="preserve">#2, </w:t>
              </w:r>
              <w:r w:rsidRPr="00D61F73">
                <w:rPr>
                  <w:rStyle w:val="Hyperlink"/>
                  <w:rFonts w:ascii="Arial" w:hAnsi="Arial" w:cs="Arial"/>
                </w:rPr>
                <w:t>2008</w:t>
              </w:r>
            </w:hyperlink>
            <w:r w:rsidRPr="00D61F73">
              <w:rPr>
                <w:rFonts w:ascii="Arial" w:hAnsi="Arial" w:cs="Arial"/>
              </w:rPr>
              <w:t>) Common causes of mortality in implanted pump patients appear to be preventable through adherence to dosing and monitoring information for drugs approved for chronic intrathecal administration. Follow product instructions and dosing recommendations. Failure to comply with all implanted infusion pump product instructions can lead to technical errors or improper use and result in additional surgical procedures, a return of underlying symptoms, or a clinically significant drug underdose or fatal drug overdose. (</w:t>
            </w:r>
            <w:hyperlink r:id="rId91" w:history="1">
              <w:r w:rsidRPr="00D61F73">
                <w:rPr>
                  <w:rStyle w:val="Hyperlink"/>
                  <w:rFonts w:ascii="Arial" w:hAnsi="Arial" w:cs="Arial"/>
                </w:rPr>
                <w:t>Medtronic, 2009</w:t>
              </w:r>
            </w:hyperlink>
            <w:r w:rsidRPr="00D61F73">
              <w:rPr>
                <w:rFonts w:ascii="Arial" w:hAnsi="Arial" w:cs="Arial"/>
              </w:rPr>
              <w:t>) The mortality rate in the implanted pump population is higher than some operative benchmarks and similar at approximately 30 days and 1-year post discharge to open spine surgery in the Medicare population. (</w:t>
            </w:r>
            <w:hyperlink w:anchor="Coffey" w:history="1">
              <w:r w:rsidRPr="00D61F73">
                <w:rPr>
                  <w:rStyle w:val="Hyperlink"/>
                  <w:rFonts w:ascii="Arial" w:hAnsi="Arial" w:cs="Arial"/>
                </w:rPr>
                <w:t>Coffey, 2009</w:t>
              </w:r>
            </w:hyperlink>
            <w:r w:rsidRPr="00D61F73">
              <w:rPr>
                <w:rFonts w:ascii="Arial" w:hAnsi="Arial" w:cs="Arial"/>
              </w:rPr>
              <w:t>) Patients who receive the implanted device should be monitored in an adequately equipped facility for a sufficient time to monitor drug effects. When using concomitant medications with respiratory or CNS depressant effects, appropriate supervision and monitoring should be provided. (</w:t>
            </w:r>
            <w:hyperlink r:id="rId92" w:history="1">
              <w:r w:rsidRPr="00D61F73">
                <w:rPr>
                  <w:rStyle w:val="Hyperlink"/>
                  <w:rFonts w:ascii="Arial" w:hAnsi="Arial" w:cs="Arial"/>
                </w:rPr>
                <w:t>Medtronic, 2009</w:t>
              </w:r>
            </w:hyperlink>
            <w:r w:rsidRPr="00D61F73">
              <w:rPr>
                <w:rFonts w:ascii="Arial" w:hAnsi="Arial" w:cs="Arial"/>
              </w:rPr>
              <w:t>)</w:t>
            </w:r>
          </w:p>
          <w:p w14:paraId="6CEC1E17" w14:textId="77777777" w:rsidR="00E648FC" w:rsidRPr="00D61F73" w:rsidRDefault="00E648FC" w:rsidP="00D61F73">
            <w:pPr>
              <w:rPr>
                <w:rFonts w:ascii="Arial" w:hAnsi="Arial" w:cs="Arial"/>
              </w:rPr>
            </w:pPr>
            <w:r w:rsidRPr="00D61F73">
              <w:rPr>
                <w:rFonts w:ascii="Arial" w:hAnsi="Arial" w:cs="Arial"/>
                <w:i/>
                <w:iCs/>
                <w:u w:val="single"/>
              </w:rPr>
              <w:t>Patient selection</w:t>
            </w:r>
            <w:r w:rsidRPr="00D61F73">
              <w:rPr>
                <w:rFonts w:ascii="Arial" w:hAnsi="Arial" w:cs="Arial"/>
              </w:rPr>
              <w:t xml:space="preserve"> (in addition to criteria below): Cole (2003) recommends that, after other criteria are met, patients with neuropathic pain are better candidates for spinal cord stimulation (SCS), and patients with nociceptive pain are better candidates for intrathecal drug delivery (IDD). It also recommends psychological evaluation and clearance before any implantation, plus positive response to a trial. (</w:t>
            </w:r>
            <w:hyperlink w:anchor="Cole2003" w:history="1">
              <w:r w:rsidRPr="00D61F73">
                <w:rPr>
                  <w:rStyle w:val="Hyperlink"/>
                  <w:rFonts w:ascii="Arial" w:hAnsi="Arial" w:cs="Arial"/>
                </w:rPr>
                <w:t>Cole, 2003</w:t>
              </w:r>
            </w:hyperlink>
            <w:r w:rsidRPr="00D61F73">
              <w:rPr>
                <w:rFonts w:ascii="Arial" w:hAnsi="Arial" w:cs="Arial"/>
              </w:rPr>
              <w:t xml:space="preserve">) </w:t>
            </w:r>
          </w:p>
          <w:p w14:paraId="394B5ACE" w14:textId="77777777" w:rsidR="00E648FC" w:rsidRPr="00D61F73" w:rsidRDefault="00E648FC" w:rsidP="00D61F73">
            <w:pPr>
              <w:pStyle w:val="Heading1"/>
              <w:rPr>
                <w:rFonts w:ascii="Arial" w:hAnsi="Arial" w:cs="Arial"/>
              </w:rPr>
            </w:pPr>
            <w:r w:rsidRPr="00D61F73">
              <w:rPr>
                <w:rFonts w:ascii="Arial" w:hAnsi="Arial" w:cs="Arial"/>
              </w:rPr>
              <w:t xml:space="preserve">Indications for Implantable drug-delivery systems: </w:t>
            </w:r>
          </w:p>
          <w:p w14:paraId="1AE773D2" w14:textId="77777777" w:rsidR="00E648FC" w:rsidRPr="00D61F73" w:rsidRDefault="00E648FC" w:rsidP="00D61F73">
            <w:pPr>
              <w:pStyle w:val="BodyText2"/>
              <w:rPr>
                <w:rFonts w:ascii="Arial" w:hAnsi="Arial" w:cs="Arial"/>
                <w:szCs w:val="24"/>
              </w:rPr>
            </w:pPr>
            <w:r w:rsidRPr="00D61F73">
              <w:rPr>
                <w:rFonts w:ascii="Arial" w:hAnsi="Arial" w:cs="Arial"/>
                <w:szCs w:val="24"/>
                <w:u w:val="single"/>
              </w:rPr>
              <w:t>Implantable infusion pumps</w:t>
            </w:r>
            <w:r w:rsidRPr="00D61F73">
              <w:rPr>
                <w:rFonts w:ascii="Arial" w:hAnsi="Arial" w:cs="Arial"/>
                <w:szCs w:val="24"/>
              </w:rPr>
              <w:t xml:space="preserve"> are considered medically necessary when used to deliver drugs for the treatment of:</w:t>
            </w:r>
          </w:p>
          <w:p w14:paraId="3C52F0BE" w14:textId="77777777" w:rsidR="00E648FC" w:rsidRPr="00D61F73" w:rsidRDefault="00E648FC" w:rsidP="00D61F73">
            <w:pPr>
              <w:numPr>
                <w:ilvl w:val="0"/>
                <w:numId w:val="6"/>
              </w:numPr>
              <w:rPr>
                <w:rFonts w:ascii="Arial" w:hAnsi="Arial" w:cs="Arial"/>
              </w:rPr>
            </w:pPr>
            <w:r w:rsidRPr="00D61F73">
              <w:rPr>
                <w:rFonts w:ascii="Arial" w:hAnsi="Arial" w:cs="Arial"/>
              </w:rPr>
              <w:t>Primary liver cancer (intrahepatic artery injection of chemotherapeutic agents);</w:t>
            </w:r>
          </w:p>
          <w:p w14:paraId="54EA7E5E" w14:textId="77777777" w:rsidR="00E648FC" w:rsidRPr="00D61F73" w:rsidRDefault="00E648FC" w:rsidP="00D61F73">
            <w:pPr>
              <w:numPr>
                <w:ilvl w:val="0"/>
                <w:numId w:val="6"/>
              </w:numPr>
              <w:rPr>
                <w:rFonts w:ascii="Arial" w:hAnsi="Arial" w:cs="Arial"/>
              </w:rPr>
            </w:pPr>
            <w:r w:rsidRPr="00D61F73">
              <w:rPr>
                <w:rFonts w:ascii="Arial" w:hAnsi="Arial" w:cs="Arial"/>
              </w:rPr>
              <w:lastRenderedPageBreak/>
              <w:t>Metastatic colorectal cancer where metastases are limited to the liver (intrahepatic artery injection of chemotherapeutic agents);</w:t>
            </w:r>
          </w:p>
          <w:p w14:paraId="42FEB1B7" w14:textId="77777777" w:rsidR="00E648FC" w:rsidRPr="00D61F73" w:rsidRDefault="00E648FC" w:rsidP="00D61F73">
            <w:pPr>
              <w:numPr>
                <w:ilvl w:val="0"/>
                <w:numId w:val="6"/>
              </w:numPr>
              <w:rPr>
                <w:rFonts w:ascii="Arial" w:hAnsi="Arial" w:cs="Arial"/>
              </w:rPr>
            </w:pPr>
            <w:r w:rsidRPr="00D61F73">
              <w:rPr>
                <w:rFonts w:ascii="Arial" w:hAnsi="Arial" w:cs="Arial"/>
              </w:rPr>
              <w:t>Head/neck cancers (intra-arterial injection of chemotherapeutic agents);</w:t>
            </w:r>
          </w:p>
          <w:p w14:paraId="3FF4A3F4" w14:textId="77777777" w:rsidR="00E648FC" w:rsidRPr="00D61F73" w:rsidRDefault="00E648FC" w:rsidP="00D61F73">
            <w:pPr>
              <w:numPr>
                <w:ilvl w:val="0"/>
                <w:numId w:val="6"/>
              </w:numPr>
              <w:rPr>
                <w:rFonts w:ascii="Arial" w:hAnsi="Arial" w:cs="Arial"/>
              </w:rPr>
            </w:pPr>
            <w:r w:rsidRPr="00D61F73">
              <w:rPr>
                <w:rFonts w:ascii="Arial" w:hAnsi="Arial" w:cs="Arial"/>
              </w:rPr>
              <w:t>Severe, refractory spasticity of cerebral or spinal cord origin in patients who are unresponsive to or cannot tolerate oral baclofen (Lioresal®) therapy (intrathecal injection of baclofen)</w:t>
            </w:r>
          </w:p>
          <w:p w14:paraId="2742A5C1" w14:textId="77777777" w:rsidR="00E648FC" w:rsidRPr="00D61F73" w:rsidRDefault="00E648FC" w:rsidP="00D61F73">
            <w:pPr>
              <w:rPr>
                <w:rFonts w:ascii="Arial" w:hAnsi="Arial" w:cs="Arial"/>
              </w:rPr>
            </w:pPr>
            <w:r w:rsidRPr="00D61F73">
              <w:rPr>
                <w:rFonts w:ascii="Arial" w:hAnsi="Arial" w:cs="Arial"/>
                <w:i/>
                <w:iCs/>
                <w:u w:val="single"/>
              </w:rPr>
              <w:t>Permanently</w:t>
            </w:r>
            <w:r w:rsidRPr="00D61F73">
              <w:rPr>
                <w:rFonts w:ascii="Arial" w:hAnsi="Arial" w:cs="Arial"/>
                <w:u w:val="single"/>
              </w:rPr>
              <w:t xml:space="preserve"> implanted intrathecal (intraspinal) infusion pumps</w:t>
            </w:r>
            <w:r w:rsidRPr="00D61F73">
              <w:rPr>
                <w:rFonts w:ascii="Arial" w:hAnsi="Arial" w:cs="Arial"/>
              </w:rPr>
              <w:t xml:space="preserve"> for the administration of opioids or non-opioid analgesics, in the treatment of chronic intractable pain, are considered medically necessary when:</w:t>
            </w:r>
          </w:p>
          <w:p w14:paraId="42DD95FC" w14:textId="77777777" w:rsidR="00E648FC" w:rsidRPr="00D61F73" w:rsidRDefault="00E648FC" w:rsidP="00D61F73">
            <w:pPr>
              <w:numPr>
                <w:ilvl w:val="0"/>
                <w:numId w:val="7"/>
              </w:numPr>
              <w:rPr>
                <w:rFonts w:ascii="Arial" w:hAnsi="Arial" w:cs="Arial"/>
              </w:rPr>
            </w:pPr>
            <w:r w:rsidRPr="00D61F73">
              <w:rPr>
                <w:rFonts w:ascii="Arial" w:hAnsi="Arial" w:cs="Arial"/>
              </w:rPr>
              <w:t xml:space="preserve">Used for the treatment of </w:t>
            </w:r>
            <w:r w:rsidRPr="00D61F73">
              <w:rPr>
                <w:rFonts w:ascii="Arial" w:hAnsi="Arial" w:cs="Arial"/>
                <w:u w:val="single"/>
              </w:rPr>
              <w:t>malignant (cancerous) pain</w:t>
            </w:r>
            <w:r w:rsidRPr="00D61F73">
              <w:rPr>
                <w:rFonts w:ascii="Arial" w:hAnsi="Arial" w:cs="Arial"/>
              </w:rPr>
              <w:t xml:space="preserve"> and all of the following criteria are met: </w:t>
            </w:r>
          </w:p>
          <w:p w14:paraId="49CFB937" w14:textId="77777777" w:rsidR="00E648FC" w:rsidRPr="00D61F73" w:rsidRDefault="00E648FC" w:rsidP="00D61F73">
            <w:pPr>
              <w:numPr>
                <w:ilvl w:val="1"/>
                <w:numId w:val="4"/>
              </w:numPr>
              <w:rPr>
                <w:rFonts w:ascii="Arial" w:hAnsi="Arial" w:cs="Arial"/>
              </w:rPr>
            </w:pPr>
            <w:r w:rsidRPr="00D61F73">
              <w:rPr>
                <w:rFonts w:ascii="Arial" w:hAnsi="Arial" w:cs="Arial"/>
              </w:rPr>
              <w:t xml:space="preserve">Strong opioids or other analgesics in adequate doses, with fixed schedule (not PRN) dosing, have failed to relieve pain or intolerable side effects to systemic opioids or other analgesics have developed; and </w:t>
            </w:r>
          </w:p>
          <w:p w14:paraId="4101568F" w14:textId="77777777" w:rsidR="00E648FC" w:rsidRPr="00D61F73" w:rsidRDefault="00E648FC" w:rsidP="00D61F73">
            <w:pPr>
              <w:numPr>
                <w:ilvl w:val="1"/>
                <w:numId w:val="4"/>
              </w:numPr>
              <w:rPr>
                <w:rFonts w:ascii="Arial" w:hAnsi="Arial" w:cs="Arial"/>
              </w:rPr>
            </w:pPr>
            <w:r w:rsidRPr="00D61F73">
              <w:rPr>
                <w:rFonts w:ascii="Arial" w:hAnsi="Arial" w:cs="Arial"/>
              </w:rPr>
              <w:t xml:space="preserve">Life expectancy is greater than 3 months (less invasive techniques such as external infusion pumps provide comparable pain relief in the short term and are consistent with standard of care); and </w:t>
            </w:r>
          </w:p>
          <w:p w14:paraId="6B629525" w14:textId="77777777" w:rsidR="00E648FC" w:rsidRPr="00D61F73" w:rsidRDefault="00E648FC" w:rsidP="00D61F73">
            <w:pPr>
              <w:numPr>
                <w:ilvl w:val="1"/>
                <w:numId w:val="4"/>
              </w:numPr>
              <w:rPr>
                <w:rFonts w:ascii="Arial" w:hAnsi="Arial" w:cs="Arial"/>
              </w:rPr>
            </w:pPr>
            <w:r w:rsidRPr="00D61F73">
              <w:rPr>
                <w:rFonts w:ascii="Arial" w:hAnsi="Arial" w:cs="Arial"/>
              </w:rPr>
              <w:t xml:space="preserve">Tumor encroachment on the thecal sac has been ruled out by appropriate testing; and </w:t>
            </w:r>
          </w:p>
          <w:p w14:paraId="4000AD8B" w14:textId="77777777" w:rsidR="00E648FC" w:rsidRPr="00D61F73" w:rsidRDefault="00E648FC" w:rsidP="00D61F73">
            <w:pPr>
              <w:numPr>
                <w:ilvl w:val="1"/>
                <w:numId w:val="4"/>
              </w:numPr>
              <w:rPr>
                <w:rFonts w:ascii="Arial" w:hAnsi="Arial" w:cs="Arial"/>
              </w:rPr>
            </w:pPr>
            <w:r w:rsidRPr="00D61F73">
              <w:rPr>
                <w:rFonts w:ascii="Arial" w:hAnsi="Arial" w:cs="Arial"/>
              </w:rPr>
              <w:t xml:space="preserve">No contraindications to implantation exist such as sepsis or coagulopathy; and </w:t>
            </w:r>
          </w:p>
          <w:p w14:paraId="750E8622" w14:textId="77777777" w:rsidR="00E648FC" w:rsidRPr="00D61F73" w:rsidRDefault="00E648FC" w:rsidP="00D61F73">
            <w:pPr>
              <w:numPr>
                <w:ilvl w:val="0"/>
                <w:numId w:val="8"/>
              </w:numPr>
              <w:rPr>
                <w:rFonts w:ascii="Arial" w:hAnsi="Arial" w:cs="Arial"/>
              </w:rPr>
            </w:pPr>
            <w:r w:rsidRPr="00D61F73">
              <w:rPr>
                <w:rFonts w:ascii="Arial" w:hAnsi="Arial" w:cs="Arial"/>
              </w:rPr>
              <w:t xml:space="preserve"> A temporary trial of spinal (epidural or intrathecal) opioids has been successful prior to permanent implantation as defined by a 50% reduction in pain.  A </w:t>
            </w:r>
            <w:r w:rsidRPr="00D61F73">
              <w:rPr>
                <w:rFonts w:ascii="Arial" w:hAnsi="Arial" w:cs="Arial"/>
                <w:i/>
                <w:iCs/>
              </w:rPr>
              <w:t xml:space="preserve">temporary </w:t>
            </w:r>
            <w:r w:rsidRPr="00D61F73">
              <w:rPr>
                <w:rFonts w:ascii="Arial" w:hAnsi="Arial" w:cs="Arial"/>
              </w:rPr>
              <w:t xml:space="preserve">trial of intrathecal (intraspinal) infusion pumps is considered medically necessary only when criteria 1-4 above are </w:t>
            </w:r>
            <w:r w:rsidR="00BF70F0" w:rsidRPr="00D61F73">
              <w:rPr>
                <w:rFonts w:ascii="Arial" w:hAnsi="Arial" w:cs="Arial"/>
              </w:rPr>
              <w:t>met. Used</w:t>
            </w:r>
            <w:r w:rsidRPr="00D61F73">
              <w:rPr>
                <w:rFonts w:ascii="Arial" w:hAnsi="Arial" w:cs="Arial"/>
              </w:rPr>
              <w:t xml:space="preserve"> for the treatment of </w:t>
            </w:r>
            <w:r w:rsidRPr="00D61F73">
              <w:rPr>
                <w:rFonts w:ascii="Arial" w:hAnsi="Arial" w:cs="Arial"/>
                <w:u w:val="single"/>
              </w:rPr>
              <w:t>non-malignant (non-cancerous) pain</w:t>
            </w:r>
            <w:r w:rsidRPr="00D61F73">
              <w:rPr>
                <w:rFonts w:ascii="Arial" w:hAnsi="Arial" w:cs="Arial"/>
              </w:rPr>
              <w:t xml:space="preserve"> with a duration of greater than 6 months and all of the following criteria are met and documented by treating providers in the medical record: </w:t>
            </w:r>
          </w:p>
          <w:p w14:paraId="493CC1FC" w14:textId="1F87DDBC" w:rsidR="00E648FC" w:rsidRPr="00D61F73" w:rsidRDefault="00E648FC" w:rsidP="00D61F73">
            <w:pPr>
              <w:numPr>
                <w:ilvl w:val="3"/>
                <w:numId w:val="5"/>
              </w:numPr>
              <w:rPr>
                <w:rFonts w:ascii="Arial" w:hAnsi="Arial" w:cs="Arial"/>
              </w:rPr>
            </w:pPr>
            <w:r w:rsidRPr="00D61F73">
              <w:rPr>
                <w:rFonts w:ascii="Arial" w:hAnsi="Arial" w:cs="Arial"/>
              </w:rPr>
              <w:t>Non-opioid oral medication regimens have been tried and have failed to relieve pain and improve function (</w:t>
            </w:r>
            <w:r w:rsidR="00727439" w:rsidRPr="00D61F73">
              <w:rPr>
                <w:rFonts w:ascii="Arial" w:hAnsi="Arial" w:cs="Arial"/>
              </w:rPr>
              <w:t>See</w:t>
            </w:r>
            <w:r w:rsidRPr="00D61F73">
              <w:rPr>
                <w:rFonts w:ascii="Arial" w:hAnsi="Arial" w:cs="Arial"/>
              </w:rPr>
              <w:t xml:space="preserve"> </w:t>
            </w:r>
            <w:r w:rsidR="002773E1" w:rsidRPr="00D61F73">
              <w:rPr>
                <w:rFonts w:ascii="Arial" w:hAnsi="Arial" w:cs="Arial"/>
              </w:rPr>
              <w:t xml:space="preserve">MTUS Opioids Treatment Guidelines </w:t>
            </w:r>
            <w:r w:rsidRPr="00D61F73">
              <w:rPr>
                <w:rFonts w:ascii="Arial" w:hAnsi="Arial" w:cs="Arial"/>
                <w:bCs/>
              </w:rPr>
              <w:t>for a description of functional improvement)</w:t>
            </w:r>
            <w:r w:rsidRPr="00D61F73">
              <w:rPr>
                <w:rFonts w:ascii="Arial" w:hAnsi="Arial" w:cs="Arial"/>
              </w:rPr>
              <w:t>; and</w:t>
            </w:r>
          </w:p>
          <w:p w14:paraId="3AEAAF4C" w14:textId="77777777" w:rsidR="00E648FC" w:rsidRPr="00D61F73" w:rsidRDefault="00E648FC" w:rsidP="00D61F73">
            <w:pPr>
              <w:numPr>
                <w:ilvl w:val="3"/>
                <w:numId w:val="5"/>
              </w:numPr>
              <w:rPr>
                <w:rFonts w:ascii="Arial" w:hAnsi="Arial" w:cs="Arial"/>
              </w:rPr>
            </w:pPr>
            <w:r w:rsidRPr="00D61F73">
              <w:rPr>
                <w:rFonts w:ascii="Arial" w:hAnsi="Arial" w:cs="Arial"/>
              </w:rPr>
              <w:t xml:space="preserve">At least 6 months of other conservative treatment modalities (injection, surgical, psychologic or physical) have been ineffective in relieving pain and improving function; and </w:t>
            </w:r>
          </w:p>
          <w:p w14:paraId="5853CCC7" w14:textId="77777777" w:rsidR="00E648FC" w:rsidRPr="00D61F73" w:rsidRDefault="00E648FC" w:rsidP="00D61F73">
            <w:pPr>
              <w:numPr>
                <w:ilvl w:val="3"/>
                <w:numId w:val="5"/>
              </w:numPr>
              <w:rPr>
                <w:rFonts w:ascii="Arial" w:hAnsi="Arial" w:cs="Arial"/>
              </w:rPr>
            </w:pPr>
            <w:r w:rsidRPr="00D61F73">
              <w:rPr>
                <w:rFonts w:ascii="Arial" w:hAnsi="Arial" w:cs="Arial"/>
              </w:rPr>
              <w:t xml:space="preserve">Intractable pain secondary to a disease state with objective documentation of pathology in the medical record (per symptoms, physicial examination, and diagnostic testing); and </w:t>
            </w:r>
          </w:p>
          <w:p w14:paraId="21E3C3CA" w14:textId="77777777" w:rsidR="00E648FC" w:rsidRPr="00D61F73" w:rsidRDefault="00E648FC" w:rsidP="00D61F73">
            <w:pPr>
              <w:numPr>
                <w:ilvl w:val="3"/>
                <w:numId w:val="5"/>
              </w:numPr>
              <w:rPr>
                <w:rFonts w:ascii="Arial" w:hAnsi="Arial" w:cs="Arial"/>
              </w:rPr>
            </w:pPr>
            <w:r w:rsidRPr="00D61F73">
              <w:rPr>
                <w:rFonts w:ascii="Arial" w:hAnsi="Arial" w:cs="Arial"/>
              </w:rPr>
              <w:t xml:space="preserve">Further surgical intervention or other treatment is not indicated or likely to be effective; and </w:t>
            </w:r>
          </w:p>
          <w:p w14:paraId="39DAD986" w14:textId="77777777" w:rsidR="00E648FC" w:rsidRPr="00D61F73" w:rsidRDefault="00E648FC" w:rsidP="00D61F73">
            <w:pPr>
              <w:numPr>
                <w:ilvl w:val="3"/>
                <w:numId w:val="5"/>
              </w:numPr>
              <w:rPr>
                <w:rFonts w:ascii="Arial" w:hAnsi="Arial" w:cs="Arial"/>
              </w:rPr>
            </w:pPr>
            <w:r w:rsidRPr="00D61F73">
              <w:rPr>
                <w:rFonts w:ascii="Arial" w:hAnsi="Arial" w:cs="Arial"/>
              </w:rPr>
              <w:t xml:space="preserve">Independent psychological evaluation has been obtained and evaluation states that the pain is not primarily psychologic in origin, the patient has realistic expectations and that benefit would occur with implantation despite any psychiatric comorbidity; and </w:t>
            </w:r>
          </w:p>
          <w:p w14:paraId="1BD7CBEA" w14:textId="77777777" w:rsidR="00E648FC" w:rsidRPr="00D61F73" w:rsidRDefault="00E648FC" w:rsidP="00D61F73">
            <w:pPr>
              <w:numPr>
                <w:ilvl w:val="3"/>
                <w:numId w:val="5"/>
              </w:numPr>
              <w:rPr>
                <w:rFonts w:ascii="Arial" w:hAnsi="Arial" w:cs="Arial"/>
              </w:rPr>
            </w:pPr>
            <w:r w:rsidRPr="00D61F73">
              <w:rPr>
                <w:rFonts w:ascii="Arial" w:hAnsi="Arial" w:cs="Arial"/>
              </w:rPr>
              <w:t xml:space="preserve">No contraindications to implantation exist such as sepsis, spinal infection, anticoagulation or coagulopathy; and </w:t>
            </w:r>
          </w:p>
          <w:p w14:paraId="40B68881" w14:textId="77777777" w:rsidR="00E648FC" w:rsidRPr="00D61F73" w:rsidRDefault="00E648FC" w:rsidP="00D61F73">
            <w:pPr>
              <w:numPr>
                <w:ilvl w:val="3"/>
                <w:numId w:val="5"/>
              </w:numPr>
              <w:rPr>
                <w:rFonts w:ascii="Arial" w:hAnsi="Arial" w:cs="Arial"/>
              </w:rPr>
            </w:pPr>
            <w:r w:rsidRPr="00D61F73">
              <w:rPr>
                <w:rFonts w:ascii="Arial" w:hAnsi="Arial" w:cs="Arial"/>
              </w:rPr>
              <w:t xml:space="preserve">There has been documented improvement in pain and function in </w:t>
            </w:r>
            <w:r w:rsidRPr="00D61F73">
              <w:rPr>
                <w:rFonts w:ascii="Arial" w:hAnsi="Arial" w:cs="Arial"/>
              </w:rPr>
              <w:lastRenderedPageBreak/>
              <w:t xml:space="preserve">response to oral opioid medications, but intolerable adverse effects preclude their continued use; and </w:t>
            </w:r>
          </w:p>
          <w:p w14:paraId="359F950E" w14:textId="5B1DFB56" w:rsidR="00E648FC" w:rsidRDefault="00E648FC" w:rsidP="00D61F73">
            <w:pPr>
              <w:numPr>
                <w:ilvl w:val="3"/>
                <w:numId w:val="5"/>
              </w:numPr>
              <w:rPr>
                <w:rFonts w:ascii="Arial" w:hAnsi="Arial" w:cs="Arial"/>
                <w:color w:val="auto"/>
              </w:rPr>
            </w:pPr>
            <w:r w:rsidRPr="00D61F73">
              <w:rPr>
                <w:rFonts w:ascii="Arial" w:hAnsi="Arial" w:cs="Arial"/>
              </w:rPr>
              <w:t xml:space="preserve">A temporary trial of spinal (epidural or intrathecal) opiates has been successful prior to permanent implantation as defined by at least a 50% to 70% reduction in pain and documentation in the medical record </w:t>
            </w:r>
            <w:r w:rsidRPr="00D61F73">
              <w:rPr>
                <w:rFonts w:ascii="Arial" w:hAnsi="Arial" w:cs="Arial"/>
                <w:color w:val="auto"/>
              </w:rPr>
              <w:t xml:space="preserve">of </w:t>
            </w:r>
            <w:hyperlink w:anchor="Functionalimprovementmeasures" w:history="1">
              <w:r w:rsidRPr="00D61F73">
                <w:rPr>
                  <w:rStyle w:val="Hyperlink"/>
                  <w:rFonts w:ascii="Arial" w:hAnsi="Arial" w:cs="Arial"/>
                  <w:color w:val="auto"/>
                  <w:u w:val="none"/>
                </w:rPr>
                <w:t>functional improvement</w:t>
              </w:r>
            </w:hyperlink>
            <w:r w:rsidRPr="00D61F73">
              <w:rPr>
                <w:rFonts w:ascii="Arial" w:hAnsi="Arial" w:cs="Arial"/>
                <w:color w:val="auto"/>
              </w:rPr>
              <w:t xml:space="preserve"> and associated reduction in oral pain medication use. A temporary trial of intrathecal (intraspinal) infusion pumps is considered medically necessary only when criteria 1-</w:t>
            </w:r>
            <w:r w:rsidR="000C5609">
              <w:rPr>
                <w:rFonts w:ascii="Arial" w:hAnsi="Arial" w:cs="Arial"/>
                <w:color w:val="auto"/>
              </w:rPr>
              <w:t>7</w:t>
            </w:r>
            <w:r w:rsidRPr="00D61F73">
              <w:rPr>
                <w:rFonts w:ascii="Arial" w:hAnsi="Arial" w:cs="Arial"/>
                <w:color w:val="auto"/>
              </w:rPr>
              <w:t xml:space="preserve"> above are met.</w:t>
            </w:r>
          </w:p>
          <w:p w14:paraId="129104D5" w14:textId="77777777" w:rsidR="009B379C" w:rsidRPr="00D61F73" w:rsidRDefault="009B379C" w:rsidP="009B379C">
            <w:pPr>
              <w:ind w:left="360"/>
              <w:rPr>
                <w:rFonts w:ascii="Arial" w:hAnsi="Arial" w:cs="Arial"/>
                <w:color w:val="auto"/>
              </w:rPr>
            </w:pPr>
          </w:p>
          <w:p w14:paraId="46260BE8" w14:textId="77777777" w:rsidR="00E648FC" w:rsidRPr="00D61F73" w:rsidRDefault="00E648FC" w:rsidP="00D61F73">
            <w:pPr>
              <w:numPr>
                <w:ilvl w:val="3"/>
                <w:numId w:val="5"/>
              </w:numPr>
              <w:rPr>
                <w:rFonts w:ascii="Arial" w:hAnsi="Arial" w:cs="Arial"/>
                <w:color w:val="auto"/>
              </w:rPr>
            </w:pPr>
            <w:r w:rsidRPr="00D61F73">
              <w:rPr>
                <w:rFonts w:ascii="Arial" w:hAnsi="Arial" w:cs="Arial"/>
                <w:color w:val="auto"/>
                <w:lang w:val="en"/>
              </w:rPr>
              <w:t xml:space="preserve">For average hospital LOS if criteria are met, see </w:t>
            </w:r>
            <w:hyperlink w:anchor="Hospitallengthofstay" w:history="1">
              <w:r w:rsidRPr="00D61F73">
                <w:rPr>
                  <w:rStyle w:val="Hyperlink"/>
                  <w:rFonts w:ascii="Arial" w:hAnsi="Arial" w:cs="Arial"/>
                  <w:color w:val="auto"/>
                  <w:u w:val="none"/>
                  <w:lang w:val="en"/>
                </w:rPr>
                <w:t>Hospital length of stay</w:t>
              </w:r>
            </w:hyperlink>
            <w:r w:rsidRPr="00D61F73">
              <w:rPr>
                <w:rFonts w:ascii="Arial" w:hAnsi="Arial" w:cs="Arial"/>
                <w:color w:val="auto"/>
                <w:lang w:val="en"/>
              </w:rPr>
              <w:t xml:space="preserve"> (LOS).</w:t>
            </w:r>
          </w:p>
          <w:p w14:paraId="3CA3AA9C" w14:textId="77777777" w:rsidR="00E648FC" w:rsidRPr="00D61F73" w:rsidRDefault="00E648FC" w:rsidP="00D61F73">
            <w:pPr>
              <w:rPr>
                <w:rFonts w:ascii="Arial" w:hAnsi="Arial" w:cs="Arial"/>
              </w:rPr>
            </w:pPr>
            <w:r w:rsidRPr="00D61F73">
              <w:rPr>
                <w:rFonts w:ascii="Arial" w:hAnsi="Arial" w:cs="Arial"/>
              </w:rPr>
              <w:t xml:space="preserve">If treatment is determined to be medically necessary, as with all other treatment modalities, the efficacy and continued need for this intervention and refills should be periodically reassessed and documented. </w:t>
            </w:r>
          </w:p>
          <w:p w14:paraId="6DD4E8A7" w14:textId="77777777" w:rsidR="00E648FC" w:rsidRPr="00D61F73" w:rsidRDefault="00E648FC" w:rsidP="00D61F73">
            <w:pPr>
              <w:keepNext/>
              <w:outlineLvl w:val="5"/>
              <w:rPr>
                <w:rFonts w:ascii="Arial" w:hAnsi="Arial" w:cs="Arial"/>
                <w:b/>
                <w:i/>
              </w:rPr>
            </w:pPr>
            <w:r w:rsidRPr="00D61F73">
              <w:rPr>
                <w:rFonts w:ascii="Arial" w:hAnsi="Arial" w:cs="Arial"/>
                <w:b/>
                <w:iCs/>
              </w:rPr>
              <w:t>Medications for IDDS if determined to be medically necessary:</w:t>
            </w:r>
          </w:p>
          <w:p w14:paraId="1BEE4189" w14:textId="77777777" w:rsidR="00E648FC" w:rsidRPr="00D61F73" w:rsidRDefault="00E648FC" w:rsidP="00D61F73">
            <w:pPr>
              <w:rPr>
                <w:rFonts w:ascii="Arial" w:hAnsi="Arial" w:cs="Arial"/>
              </w:rPr>
            </w:pPr>
            <w:r w:rsidRPr="00D61F73">
              <w:rPr>
                <w:rFonts w:ascii="Arial" w:hAnsi="Arial" w:cs="Arial"/>
                <w:i/>
              </w:rPr>
              <w:t>First stage:</w:t>
            </w:r>
            <w:r w:rsidRPr="00D61F73">
              <w:rPr>
                <w:rFonts w:ascii="Arial" w:hAnsi="Arial" w:cs="Arial"/>
              </w:rPr>
              <w:t xml:space="preserve"> Morphine is generally the initial IDDS medication. The maximum recommended dose for this drug is 15 mg/day with a concentration of 20 mg/mL. An alternative non-FDA approved medication is hydromorphone. The maximum recommended dose for this medication is 4 mg/day with a concentration of 10 mg/mL. Other opioids (including Fentanyl and Sufentanil) have been used for intrathecal chronic non-malignant pain but are non-FDA approved and have little research associated with their use. (</w:t>
            </w:r>
            <w:hyperlink w:anchor="Waara" w:history="1">
              <w:r w:rsidRPr="00D61F73">
                <w:rPr>
                  <w:rStyle w:val="Hyperlink"/>
                  <w:rFonts w:ascii="Arial" w:hAnsi="Arial" w:cs="Arial"/>
                  <w:u w:val="none"/>
                </w:rPr>
                <w:t>Waara-Wolleat, 2006</w:t>
              </w:r>
            </w:hyperlink>
            <w:r w:rsidRPr="00D61F73">
              <w:rPr>
                <w:rFonts w:ascii="Arial" w:hAnsi="Arial" w:cs="Arial"/>
              </w:rPr>
              <w:t>) (</w:t>
            </w:r>
            <w:hyperlink w:anchor="Deer3" w:history="1">
              <w:r w:rsidRPr="00D61F73">
                <w:rPr>
                  <w:rStyle w:val="Hyperlink"/>
                  <w:rFonts w:ascii="Arial" w:hAnsi="Arial" w:cs="Arial"/>
                  <w:u w:val="none"/>
                </w:rPr>
                <w:t>Deer, 2007</w:t>
              </w:r>
            </w:hyperlink>
            <w:r w:rsidRPr="00D61F73">
              <w:rPr>
                <w:rFonts w:ascii="Arial" w:hAnsi="Arial" w:cs="Arial"/>
              </w:rPr>
              <w:t xml:space="preserve">) The previous 2003 Polyanalgesic conference recommended a maximum dose of intrathecal morphine at 15 mg/day with a maximum concentration of 30 mg/mL. They also recommended a maximum dose of hydromorphone of 10 mg/day with a concentration of 30 mg/mL. </w:t>
            </w:r>
            <w:r w:rsidRPr="00D61F73">
              <w:rPr>
                <w:rFonts w:ascii="Arial" w:hAnsi="Arial" w:cs="Arial"/>
                <w:iCs/>
              </w:rPr>
              <w:t>(</w:t>
            </w:r>
            <w:hyperlink w:anchor="Hassenbusch" w:history="1">
              <w:r w:rsidRPr="00D61F73">
                <w:rPr>
                  <w:rStyle w:val="Hyperlink"/>
                  <w:rFonts w:ascii="Arial" w:hAnsi="Arial" w:cs="Arial"/>
                  <w:iCs/>
                  <w:u w:val="none"/>
                </w:rPr>
                <w:t>Hassenbusch,</w:t>
              </w:r>
              <w:r w:rsidRPr="00D61F73">
                <w:rPr>
                  <w:rStyle w:val="Hyperlink"/>
                  <w:rFonts w:ascii="Arial" w:hAnsi="Arial" w:cs="Arial"/>
                  <w:u w:val="none"/>
                </w:rPr>
                <w:t xml:space="preserve"> 2004</w:t>
              </w:r>
            </w:hyperlink>
            <w:r w:rsidRPr="00D61F73">
              <w:rPr>
                <w:rFonts w:ascii="Arial" w:hAnsi="Arial" w:cs="Arial"/>
              </w:rPr>
              <w:t>) The newer maximum concentrations were recommended, in part, to prevent granulomas.</w:t>
            </w:r>
          </w:p>
          <w:p w14:paraId="1E54E9C8" w14:textId="77777777" w:rsidR="00E648FC" w:rsidRPr="00D61F73" w:rsidRDefault="00E648FC" w:rsidP="00D61F73">
            <w:pPr>
              <w:rPr>
                <w:rFonts w:ascii="Arial" w:hAnsi="Arial" w:cs="Arial"/>
              </w:rPr>
            </w:pPr>
            <w:r w:rsidRPr="00D61F73">
              <w:rPr>
                <w:rFonts w:ascii="Arial" w:hAnsi="Arial" w:cs="Arial"/>
                <w:i/>
                <w:u w:val="single"/>
              </w:rPr>
              <w:t>Second stage</w:t>
            </w:r>
            <w:r w:rsidRPr="00D61F73">
              <w:rPr>
                <w:rFonts w:ascii="Arial" w:hAnsi="Arial" w:cs="Arial"/>
                <w:i/>
              </w:rPr>
              <w:t>:</w:t>
            </w:r>
            <w:r w:rsidRPr="00D61F73">
              <w:rPr>
                <w:rFonts w:ascii="Arial" w:hAnsi="Arial" w:cs="Arial"/>
              </w:rPr>
              <w:t xml:space="preserve"> If side effects occur, an upper limit of dosing is reached, or neuropathic pain is present, clonidine is next recommended as an addition to an opioid (maximum recommended dose of 1 mg/day and a concentration of 2 mg/mL). Bupivacaine has also been recommended as an alternative to clonidine (maximum dose of 30 mg/day and a concentration of 40 mg/mL). Clonidine, which is FDA approved for intrathecal delivery, is thought to provide analgesic effect via a non-opioid mechanism. It has been found to offer only short-term relief when used as a single agent. (</w:t>
            </w:r>
            <w:hyperlink w:anchor="Deer3" w:history="1">
              <w:r w:rsidRPr="00D61F73">
                <w:rPr>
                  <w:rStyle w:val="Hyperlink"/>
                  <w:rFonts w:ascii="Arial" w:hAnsi="Arial" w:cs="Arial"/>
                </w:rPr>
                <w:t>Deer, 2007</w:t>
              </w:r>
            </w:hyperlink>
            <w:r w:rsidRPr="00D61F73">
              <w:rPr>
                <w:rFonts w:ascii="Arial" w:hAnsi="Arial" w:cs="Arial"/>
              </w:rPr>
              <w:t xml:space="preserve">) </w:t>
            </w:r>
          </w:p>
          <w:p w14:paraId="3A995C4C" w14:textId="77777777" w:rsidR="00E648FC" w:rsidRPr="00D61F73" w:rsidRDefault="00E648FC" w:rsidP="00D61F73">
            <w:pPr>
              <w:rPr>
                <w:rFonts w:ascii="Arial" w:hAnsi="Arial" w:cs="Arial"/>
              </w:rPr>
            </w:pPr>
            <w:r w:rsidRPr="00D61F73">
              <w:rPr>
                <w:rFonts w:ascii="Arial" w:hAnsi="Arial" w:cs="Arial"/>
                <w:i/>
                <w:u w:val="single"/>
              </w:rPr>
              <w:t>Third stage</w:t>
            </w:r>
            <w:r w:rsidRPr="00D61F73">
              <w:rPr>
                <w:rFonts w:ascii="Arial" w:hAnsi="Arial" w:cs="Arial"/>
                <w:i/>
              </w:rPr>
              <w:t xml:space="preserve">: </w:t>
            </w:r>
            <w:r w:rsidRPr="00D61F73">
              <w:rPr>
                <w:rFonts w:ascii="Arial" w:hAnsi="Arial" w:cs="Arial"/>
              </w:rPr>
              <w:t>The recommendation has been made to add both clonidine and bupivacaine. Baclofen has been used to treat intractable spasticity from brain injury, cerebral palsy, and spinal cord injury and has resulted in improvement in muscle tone and pain relief. (</w:t>
            </w:r>
            <w:hyperlink w:anchor="Guillaume" w:history="1">
              <w:r w:rsidRPr="00D61F73">
                <w:rPr>
                  <w:rStyle w:val="Hyperlink"/>
                  <w:rFonts w:ascii="Arial" w:hAnsi="Arial" w:cs="Arial"/>
                </w:rPr>
                <w:t>Guillaume, 2005</w:t>
              </w:r>
            </w:hyperlink>
            <w:r w:rsidRPr="00D61F73">
              <w:rPr>
                <w:rFonts w:ascii="Arial" w:hAnsi="Arial" w:cs="Arial"/>
              </w:rPr>
              <w:t xml:space="preserve">) See also </w:t>
            </w:r>
            <w:hyperlink w:anchor="Ziconotide" w:history="1">
              <w:r w:rsidRPr="00D61F73">
                <w:rPr>
                  <w:rStyle w:val="Hyperlink"/>
                  <w:rFonts w:ascii="Arial" w:hAnsi="Arial" w:cs="Arial"/>
                  <w:u w:val="none"/>
                </w:rPr>
                <w:t>Ziconotide</w:t>
              </w:r>
            </w:hyperlink>
            <w:r w:rsidRPr="00D61F73">
              <w:rPr>
                <w:rFonts w:ascii="Arial" w:hAnsi="Arial" w:cs="Arial"/>
              </w:rPr>
              <w:t xml:space="preserve"> (Prialt®), which is recommended after documentation of a failure of a trial of intrathecal morphine or hydromorphone (Dilaudid).</w:t>
            </w:r>
          </w:p>
          <w:p w14:paraId="2876A3C1" w14:textId="77777777" w:rsidR="00E648FC" w:rsidRPr="00D61F73" w:rsidRDefault="00E648FC" w:rsidP="00D61F73">
            <w:pPr>
              <w:rPr>
                <w:rFonts w:ascii="Arial" w:hAnsi="Arial" w:cs="Arial"/>
                <w:b/>
              </w:rPr>
            </w:pPr>
            <w:r w:rsidRPr="00D61F73">
              <w:rPr>
                <w:rFonts w:ascii="Arial" w:hAnsi="Arial" w:cs="Arial"/>
                <w:i/>
                <w:iCs/>
                <w:u w:val="single"/>
              </w:rPr>
              <w:t>Refills</w:t>
            </w:r>
            <w:r w:rsidRPr="00D61F73">
              <w:rPr>
                <w:rFonts w:ascii="Arial" w:hAnsi="Arial" w:cs="Arial"/>
                <w:i/>
                <w:iCs/>
              </w:rPr>
              <w:t>:</w:t>
            </w:r>
            <w:r w:rsidRPr="00D61F73">
              <w:rPr>
                <w:rFonts w:ascii="Arial" w:hAnsi="Arial" w:cs="Arial"/>
              </w:rPr>
              <w:t xml:space="preserve"> IDDSs dispense drugs according to instructions programmed by the clinician to deliver a specific amount of drug per day or to deliver varying regimens based on flexible programming options, and the pump may need to be refilled at regular intervals. The time between refills will vary based on pump reservoir size, drug concentration, dose, and flow </w:t>
            </w:r>
            <w:r w:rsidRPr="00D61F73">
              <w:rPr>
                <w:rFonts w:ascii="Arial" w:hAnsi="Arial" w:cs="Arial"/>
              </w:rPr>
              <w:lastRenderedPageBreak/>
              <w:t>rate. A programming session, which may occur along with or independent of a refill session, allows the clinician to adjust the patient’s prescription as well as record or recall important information about the prescription. (</w:t>
            </w:r>
            <w:hyperlink w:anchor="Hassenbusch" w:history="1">
              <w:r w:rsidRPr="00D61F73">
                <w:rPr>
                  <w:rStyle w:val="Hyperlink"/>
                  <w:rFonts w:ascii="Arial" w:hAnsi="Arial" w:cs="Arial"/>
                </w:rPr>
                <w:t>Hassenbusch, 2004</w:t>
              </w:r>
            </w:hyperlink>
            <w:r w:rsidRPr="00D61F73">
              <w:rPr>
                <w:rFonts w:ascii="Arial" w:hAnsi="Arial" w:cs="Arial"/>
              </w:rPr>
              <w:t>) According to the FDA, the manufacturer’s manuals should be consulted for specific instructions and precautions for initial filling, refilling and programming. (</w:t>
            </w:r>
            <w:hyperlink r:id="rId93" w:history="1">
              <w:r w:rsidRPr="00D61F73">
                <w:rPr>
                  <w:rStyle w:val="Hyperlink"/>
                  <w:rFonts w:ascii="Arial" w:hAnsi="Arial" w:cs="Arial"/>
                </w:rPr>
                <w:t>FDA, 2010</w:t>
              </w:r>
            </w:hyperlink>
            <w:r w:rsidRPr="00D61F73">
              <w:rPr>
                <w:rFonts w:ascii="Arial" w:hAnsi="Arial" w:cs="Arial"/>
              </w:rPr>
              <w:t>) For most pumps, the maximum dose that can be delivered between refills is 1000mg.  If refills are usually administered after 16 to 17 mL have been infused, and most pumps are 18-20mL, the minimum time between each visit is 42 days if the daily dose rate is 20 mg/day. Given that a refill visit presents a good opportunity for monitoring, this panel suggested that the concentration be adjusted to allow refill visits a minimum of every 4 to 6 weeks, and maximum of every 2–3 months. (</w:t>
            </w:r>
            <w:hyperlink w:anchor="Bennett2000" w:history="1">
              <w:r w:rsidRPr="00D61F73">
                <w:rPr>
                  <w:rStyle w:val="Hyperlink"/>
                  <w:rFonts w:ascii="Arial" w:hAnsi="Arial" w:cs="Arial"/>
                </w:rPr>
                <w:t>Bennett, 2000</w:t>
              </w:r>
            </w:hyperlink>
            <w:r w:rsidRPr="00D61F73">
              <w:rPr>
                <w:rFonts w:ascii="Arial" w:hAnsi="Arial" w:cs="Arial"/>
              </w:rPr>
              <w:t>)</w:t>
            </w:r>
          </w:p>
        </w:tc>
      </w:tr>
      <w:tr w:rsidR="00E648FC" w:rsidRPr="00D61F73" w14:paraId="1F81FA8B" w14:textId="77777777" w:rsidTr="0078164D">
        <w:tc>
          <w:tcPr>
            <w:tcW w:w="1086" w:type="pct"/>
          </w:tcPr>
          <w:p w14:paraId="24FF0F7A" w14:textId="77777777" w:rsidR="00E648FC" w:rsidRPr="00D61F73" w:rsidRDefault="00E648FC" w:rsidP="00D61F73">
            <w:pPr>
              <w:rPr>
                <w:rFonts w:ascii="Arial" w:hAnsi="Arial" w:cs="Arial"/>
              </w:rPr>
            </w:pPr>
            <w:r w:rsidRPr="00D61F73">
              <w:rPr>
                <w:rFonts w:ascii="Arial" w:hAnsi="Arial" w:cs="Arial"/>
              </w:rPr>
              <w:lastRenderedPageBreak/>
              <w:t>I</w:t>
            </w:r>
            <w:bookmarkStart w:id="252" w:name="Implantablespinalcordstimulators"/>
            <w:bookmarkEnd w:id="252"/>
            <w:r w:rsidRPr="00D61F73">
              <w:rPr>
                <w:rFonts w:ascii="Arial" w:hAnsi="Arial" w:cs="Arial"/>
              </w:rPr>
              <w:t>mplantable spinal cord stimulators</w:t>
            </w:r>
          </w:p>
        </w:tc>
        <w:tc>
          <w:tcPr>
            <w:tcW w:w="3914" w:type="pct"/>
          </w:tcPr>
          <w:p w14:paraId="6801936F" w14:textId="77777777" w:rsidR="00E648FC" w:rsidRPr="00D61F73" w:rsidRDefault="00E648FC" w:rsidP="00D61F73">
            <w:pPr>
              <w:rPr>
                <w:rFonts w:ascii="Arial" w:hAnsi="Arial" w:cs="Arial"/>
              </w:rPr>
            </w:pPr>
            <w:r w:rsidRPr="00D61F73">
              <w:rPr>
                <w:rFonts w:ascii="Arial" w:hAnsi="Arial" w:cs="Arial"/>
              </w:rPr>
              <w:t xml:space="preserve">See </w:t>
            </w:r>
            <w:hyperlink w:anchor="SpinalCordStimulators" w:history="1">
              <w:r w:rsidRPr="00D61F73">
                <w:rPr>
                  <w:rStyle w:val="Hyperlink"/>
                  <w:rFonts w:ascii="Arial" w:hAnsi="Arial" w:cs="Arial"/>
                </w:rPr>
                <w:t>Spinal Cord Stimulators</w:t>
              </w:r>
            </w:hyperlink>
            <w:r w:rsidRPr="00D61F73">
              <w:rPr>
                <w:rFonts w:ascii="Arial" w:hAnsi="Arial" w:cs="Arial"/>
              </w:rPr>
              <w:t xml:space="preserve"> (SCS).</w:t>
            </w:r>
          </w:p>
        </w:tc>
      </w:tr>
      <w:tr w:rsidR="00E648FC" w:rsidRPr="00D61F73" w14:paraId="25CF3AAF" w14:textId="77777777" w:rsidTr="0078164D">
        <w:tc>
          <w:tcPr>
            <w:tcW w:w="1086" w:type="pct"/>
          </w:tcPr>
          <w:p w14:paraId="58756B9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53" w:name="Indomethacin"/>
            <w:bookmarkEnd w:id="253"/>
            <w:r w:rsidRPr="00D61F73">
              <w:rPr>
                <w:rFonts w:ascii="Arial" w:hAnsi="Arial" w:cs="Arial"/>
              </w:rPr>
              <w:t>ndomethacin (Indocin®, Indocin SR®)</w:t>
            </w:r>
          </w:p>
        </w:tc>
        <w:tc>
          <w:tcPr>
            <w:tcW w:w="3914" w:type="pct"/>
          </w:tcPr>
          <w:p w14:paraId="2BACF8BD" w14:textId="50EE2B2F" w:rsidR="00E648FC" w:rsidRPr="00D61F73" w:rsidRDefault="00E648FC" w:rsidP="00D61F73">
            <w:pPr>
              <w:rPr>
                <w:rFonts w:ascii="Arial" w:hAnsi="Arial" w:cs="Arial"/>
              </w:rPr>
            </w:pPr>
            <w:r w:rsidRPr="00D61F73">
              <w:rPr>
                <w:rFonts w:ascii="Arial" w:hAnsi="Arial" w:cs="Arial"/>
              </w:rPr>
              <w:t>Not recommended. A large systematic review of available evidence on NSAIDs confirms that naproxen and low-dose ibuprofen are least likely to increase cardiovascular risk. Indomethacin is an older, rather toxic drug, and the evidence on cardiovascular risk should cast doubt on its continued clinical use. (</w:t>
            </w:r>
            <w:hyperlink w:anchor="McGettigan2011" w:history="1">
              <w:r w:rsidRPr="00D61F73">
                <w:rPr>
                  <w:rStyle w:val="Hyperlink"/>
                  <w:rFonts w:ascii="Arial" w:hAnsi="Arial" w:cs="Arial"/>
                </w:rPr>
                <w:t>McGettigan, 2011</w:t>
              </w:r>
            </w:hyperlink>
            <w:r w:rsidRPr="00D61F73">
              <w:rPr>
                <w:rFonts w:ascii="Arial" w:hAnsi="Arial" w:cs="Arial"/>
              </w:rPr>
              <w:t xml:space="preserve">) 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NSAIDsdruglistandadverseeffects" w:history="1">
              <w:r w:rsidRPr="00D61F73">
                <w:rPr>
                  <w:rStyle w:val="Hyperlink"/>
                  <w:rFonts w:ascii="Arial" w:hAnsi="Arial" w:cs="Arial"/>
                </w:rPr>
                <w:t>Indomethacin</w:t>
              </w:r>
            </w:hyperlink>
            <w:r w:rsidRPr="00D61F73">
              <w:rPr>
                <w:rFonts w:ascii="Arial" w:hAnsi="Arial" w:cs="Arial"/>
              </w:rPr>
              <w:t xml:space="preserve"> (Indocin®, Indocin SR®) listing for more information and references. See also </w:t>
            </w:r>
            <w:hyperlink w:anchor="Tivorbex" w:history="1">
              <w:r w:rsidRPr="00D61F73">
                <w:rPr>
                  <w:rStyle w:val="Hyperlink"/>
                  <w:rFonts w:ascii="Arial" w:hAnsi="Arial" w:cs="Arial"/>
                </w:rPr>
                <w:t>Tivorbex</w:t>
              </w:r>
            </w:hyperlink>
            <w:r w:rsidRPr="00D61F73">
              <w:rPr>
                <w:rFonts w:ascii="Arial" w:hAnsi="Arial" w:cs="Arial"/>
              </w:rPr>
              <w:t xml:space="preserve"> (indomethacin).</w:t>
            </w:r>
          </w:p>
        </w:tc>
      </w:tr>
      <w:tr w:rsidR="00E648FC" w:rsidRPr="00D61F73" w14:paraId="4ECC85DC" w14:textId="77777777" w:rsidTr="0078164D">
        <w:tc>
          <w:tcPr>
            <w:tcW w:w="1086" w:type="pct"/>
          </w:tcPr>
          <w:p w14:paraId="1A0B251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54" w:name="Injectionwithanaestheticsandorsteroids"/>
            <w:bookmarkEnd w:id="254"/>
            <w:r w:rsidRPr="00D61F73">
              <w:rPr>
                <w:rFonts w:ascii="Arial" w:hAnsi="Arial" w:cs="Arial"/>
              </w:rPr>
              <w:t xml:space="preserve">njection with anaesthetics and/or steroids </w:t>
            </w:r>
          </w:p>
        </w:tc>
        <w:tc>
          <w:tcPr>
            <w:tcW w:w="3914" w:type="pct"/>
          </w:tcPr>
          <w:p w14:paraId="389BA5B3" w14:textId="2B147552" w:rsidR="00E648FC" w:rsidRPr="00D61F73" w:rsidRDefault="00E648FC" w:rsidP="00D61F73">
            <w:pPr>
              <w:rPr>
                <w:rFonts w:ascii="Arial" w:hAnsi="Arial" w:cs="Arial"/>
              </w:rPr>
            </w:pPr>
            <w:r w:rsidRPr="00D61F73">
              <w:rPr>
                <w:rFonts w:ascii="Arial" w:hAnsi="Arial" w:cs="Arial"/>
              </w:rPr>
              <w:t xml:space="preserve">See more specific modality. The following are choices: </w:t>
            </w:r>
            <w:hyperlink w:anchor="Epiduralsteroidinject" w:history="1">
              <w:r w:rsidRPr="00D61F73">
                <w:rPr>
                  <w:rStyle w:val="Hyperlink"/>
                  <w:rFonts w:ascii="Arial" w:hAnsi="Arial" w:cs="Arial"/>
                </w:rPr>
                <w:t>Epidural steroid injections</w:t>
              </w:r>
            </w:hyperlink>
            <w:r w:rsidRPr="00D61F73">
              <w:rPr>
                <w:rFonts w:ascii="Arial" w:hAnsi="Arial" w:cs="Arial"/>
              </w:rPr>
              <w:t xml:space="preserve"> (ESI’s); </w:t>
            </w:r>
            <w:hyperlink w:anchor="Facetblocks" w:history="1">
              <w:r w:rsidRPr="00D61F73">
                <w:rPr>
                  <w:rStyle w:val="Hyperlink"/>
                  <w:rFonts w:ascii="Arial" w:hAnsi="Arial" w:cs="Arial"/>
                </w:rPr>
                <w:t>Facet-joint injections</w:t>
              </w:r>
            </w:hyperlink>
            <w:r w:rsidRPr="00D61F73">
              <w:rPr>
                <w:rFonts w:ascii="Arial" w:hAnsi="Arial" w:cs="Arial"/>
              </w:rPr>
              <w:t xml:space="preserve">; </w:t>
            </w:r>
            <w:hyperlink w:anchor="Lumbarsympatheticblock" w:history="1">
              <w:r w:rsidRPr="00D61F73">
                <w:rPr>
                  <w:rStyle w:val="Hyperlink"/>
                  <w:rFonts w:ascii="Arial" w:hAnsi="Arial" w:cs="Arial"/>
                </w:rPr>
                <w:t>Lumbar sympathetic block</w:t>
              </w:r>
            </w:hyperlink>
            <w:r w:rsidRPr="00D61F73">
              <w:rPr>
                <w:rFonts w:ascii="Arial" w:hAnsi="Arial" w:cs="Arial"/>
              </w:rPr>
              <w:t xml:space="preserve">; </w:t>
            </w:r>
            <w:hyperlink w:anchor="Triggerpointinject" w:history="1">
              <w:r w:rsidRPr="00D61F73">
                <w:rPr>
                  <w:rStyle w:val="Hyperlink"/>
                  <w:rFonts w:ascii="Arial" w:hAnsi="Arial" w:cs="Arial"/>
                </w:rPr>
                <w:t>Trigger point injections</w:t>
              </w:r>
            </w:hyperlink>
            <w:r w:rsidRPr="00D61F73">
              <w:rPr>
                <w:rFonts w:ascii="Arial" w:hAnsi="Arial" w:cs="Arial"/>
              </w:rPr>
              <w:t xml:space="preserve">; </w:t>
            </w:r>
            <w:hyperlink w:anchor="Stellateganglionblock" w:history="1">
              <w:r w:rsidRPr="00D61F73">
                <w:rPr>
                  <w:rStyle w:val="Hyperlink"/>
                  <w:rFonts w:ascii="Arial" w:hAnsi="Arial" w:cs="Arial"/>
                </w:rPr>
                <w:t>Stellate ganglion block</w:t>
              </w:r>
            </w:hyperlink>
            <w:r w:rsidRPr="00D61F73">
              <w:rPr>
                <w:rFonts w:ascii="Arial" w:hAnsi="Arial" w:cs="Arial"/>
              </w:rPr>
              <w:t xml:space="preserve">; </w:t>
            </w:r>
            <w:hyperlink w:anchor="Prolotherapy" w:history="1">
              <w:r w:rsidRPr="00D61F73">
                <w:rPr>
                  <w:rStyle w:val="Hyperlink"/>
                  <w:rFonts w:ascii="Arial" w:hAnsi="Arial" w:cs="Arial"/>
                </w:rPr>
                <w:t>Prolotherapy</w:t>
              </w:r>
            </w:hyperlink>
            <w:r w:rsidRPr="00D61F73">
              <w:rPr>
                <w:rFonts w:ascii="Arial" w:hAnsi="Arial" w:cs="Arial"/>
              </w:rPr>
              <w:t xml:space="preserve">; </w:t>
            </w:r>
            <w:hyperlink w:anchor="Piriformisinject" w:history="1">
              <w:r w:rsidRPr="00D61F73">
                <w:rPr>
                  <w:rStyle w:val="Hyperlink"/>
                  <w:rFonts w:ascii="Arial" w:hAnsi="Arial" w:cs="Arial"/>
                </w:rPr>
                <w:t>Piriformis injections</w:t>
              </w:r>
            </w:hyperlink>
            <w:r w:rsidRPr="00D61F73">
              <w:rPr>
                <w:rFonts w:ascii="Arial" w:hAnsi="Arial" w:cs="Arial"/>
              </w:rPr>
              <w:t xml:space="preserve">;  in this </w:t>
            </w:r>
            <w:r w:rsidRPr="00460F77">
              <w:rPr>
                <w:rFonts w:ascii="Arial" w:hAnsi="Arial" w:cs="Arial"/>
              </w:rPr>
              <w:t>chronic pain guideline</w:t>
            </w:r>
            <w:r w:rsidRPr="00D61F73">
              <w:rPr>
                <w:rFonts w:ascii="Arial" w:hAnsi="Arial" w:cs="Arial"/>
              </w:rPr>
              <w:t xml:space="preserve">. </w:t>
            </w:r>
          </w:p>
          <w:p w14:paraId="4630878A" w14:textId="77777777" w:rsidR="00E648FC" w:rsidRPr="00D61F73" w:rsidRDefault="00E648FC" w:rsidP="00D61F73">
            <w:pPr>
              <w:rPr>
                <w:rFonts w:ascii="Arial" w:hAnsi="Arial" w:cs="Arial"/>
              </w:rPr>
            </w:pPr>
            <w:r w:rsidRPr="00D61F73">
              <w:rPr>
                <w:rFonts w:ascii="Arial" w:hAnsi="Arial" w:cs="Arial"/>
                <w:i/>
                <w:iCs/>
                <w:u w:val="single"/>
              </w:rPr>
              <w:t>Pain injections general</w:t>
            </w:r>
            <w:r w:rsidRPr="00D61F73">
              <w:rPr>
                <w:rFonts w:ascii="Arial" w:hAnsi="Arial" w:cs="Arial"/>
                <w:i/>
                <w:iCs/>
              </w:rPr>
              <w:t>:</w:t>
            </w:r>
            <w:r w:rsidRPr="00D61F73">
              <w:rPr>
                <w:rFonts w:ascii="Arial" w:hAnsi="Arial" w:cs="Arial"/>
              </w:rPr>
              <w:t xml:space="preserve"> Consistent with the intent of relieving pain, improving function, decreasing medications, and encouraging return to work, repeat pain and other injections not otherwise specified, should at a very minimum relieve pain to the extent of 50% for a sustained period, and clearly result in documented reduction in pain medications, improved function, and/or return to work.</w:t>
            </w:r>
          </w:p>
        </w:tc>
      </w:tr>
      <w:tr w:rsidR="00E648FC" w:rsidRPr="00D61F73" w14:paraId="410ECEFB" w14:textId="77777777" w:rsidTr="0078164D">
        <w:tc>
          <w:tcPr>
            <w:tcW w:w="1086" w:type="pct"/>
          </w:tcPr>
          <w:p w14:paraId="173822C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55" w:name="Insomnia"/>
            <w:bookmarkEnd w:id="255"/>
            <w:r w:rsidRPr="00D61F73">
              <w:rPr>
                <w:rFonts w:ascii="Arial" w:hAnsi="Arial" w:cs="Arial"/>
              </w:rPr>
              <w:t>nsomnia</w:t>
            </w:r>
          </w:p>
        </w:tc>
        <w:tc>
          <w:tcPr>
            <w:tcW w:w="3914" w:type="pct"/>
          </w:tcPr>
          <w:p w14:paraId="5F9A6483" w14:textId="77777777" w:rsidR="00E648FC" w:rsidRPr="00D61F73" w:rsidRDefault="00E648FC" w:rsidP="00D61F73">
            <w:pPr>
              <w:rPr>
                <w:rFonts w:ascii="Arial" w:hAnsi="Arial" w:cs="Arial"/>
              </w:rPr>
            </w:pPr>
            <w:r w:rsidRPr="00D61F73">
              <w:rPr>
                <w:rFonts w:ascii="Arial" w:hAnsi="Arial" w:cs="Arial"/>
              </w:rPr>
              <w:t xml:space="preserve">Recommend correcting deficits, as nonrestorative sleep is one of the strongest predictors for pain. Definition: Difficulty in sleep initiation or maintenance, and/or early awakening. Also characterized by impairment in daily function due to sleep insufficiency. These impairments include fatigue, irritability, decreased memory, decreased concentration, and malaise. Classifications: (1) </w:t>
            </w:r>
            <w:r w:rsidRPr="00D61F73">
              <w:rPr>
                <w:rFonts w:ascii="Arial" w:hAnsi="Arial" w:cs="Arial"/>
                <w:i/>
                <w:u w:val="single"/>
              </w:rPr>
              <w:t>Based on symptoms</w:t>
            </w:r>
            <w:r w:rsidRPr="00D61F73">
              <w:rPr>
                <w:rFonts w:ascii="Arial" w:hAnsi="Arial" w:cs="Arial"/>
                <w:i/>
              </w:rPr>
              <w:t xml:space="preserve">: </w:t>
            </w:r>
            <w:r w:rsidRPr="00D61F73">
              <w:rPr>
                <w:rFonts w:ascii="Arial" w:hAnsi="Arial" w:cs="Arial"/>
              </w:rPr>
              <w:t xml:space="preserve">Categories of symptoms include sleep onset, sleep maintenance, non-restorative sleep. These symptoms have been found to change over time. (2) </w:t>
            </w:r>
            <w:r w:rsidRPr="00D61F73">
              <w:rPr>
                <w:rFonts w:ascii="Arial" w:hAnsi="Arial" w:cs="Arial"/>
                <w:i/>
                <w:u w:val="single"/>
              </w:rPr>
              <w:t>Based on duration</w:t>
            </w:r>
            <w:r w:rsidRPr="00D61F73">
              <w:rPr>
                <w:rFonts w:ascii="Arial" w:hAnsi="Arial" w:cs="Arial"/>
                <w:i/>
              </w:rPr>
              <w:t xml:space="preserve">: </w:t>
            </w:r>
            <w:r w:rsidRPr="00D61F73">
              <w:rPr>
                <w:rFonts w:ascii="Arial" w:hAnsi="Arial" w:cs="Arial"/>
                <w:iCs/>
              </w:rPr>
              <w:t>(a)</w:t>
            </w:r>
            <w:r w:rsidRPr="00D61F73">
              <w:rPr>
                <w:rFonts w:ascii="Arial" w:hAnsi="Arial" w:cs="Arial"/>
                <w:i/>
              </w:rPr>
              <w:t xml:space="preserve"> Acute insomnia (transient insomnia): </w:t>
            </w:r>
            <w:r w:rsidRPr="00D61F73">
              <w:rPr>
                <w:rFonts w:ascii="Arial" w:hAnsi="Arial" w:cs="Arial"/>
              </w:rPr>
              <w:t xml:space="preserve">Usually the result of specific environmental or social events. Generally treated by addressing the episode directly (death of a family member, working on a different shift, travel), or prophylactically. (b) </w:t>
            </w:r>
            <w:r w:rsidRPr="00D61F73">
              <w:rPr>
                <w:rFonts w:ascii="Arial" w:hAnsi="Arial" w:cs="Arial"/>
                <w:i/>
              </w:rPr>
              <w:t xml:space="preserve">Chronic insomnia: </w:t>
            </w:r>
            <w:r w:rsidRPr="00D61F73">
              <w:rPr>
                <w:rFonts w:ascii="Arial" w:hAnsi="Arial" w:cs="Arial"/>
              </w:rPr>
              <w:t xml:space="preserve">Generally defined as lasting more than one month. This condition may be correlated with other intrinsic sleep disorders, primary insomnia, or chronic medical conditions. </w:t>
            </w:r>
            <w:r w:rsidRPr="00D61F73">
              <w:rPr>
                <w:rFonts w:ascii="Arial" w:hAnsi="Arial" w:cs="Arial"/>
              </w:rPr>
              <w:lastRenderedPageBreak/>
              <w:t xml:space="preserve">Chronic insomnia is more likely to occur in the elderly, depressed patients, and medically ill populations. (3) </w:t>
            </w:r>
            <w:r w:rsidRPr="00D61F73">
              <w:rPr>
                <w:rFonts w:ascii="Arial" w:hAnsi="Arial" w:cs="Arial"/>
                <w:i/>
                <w:u w:val="single"/>
              </w:rPr>
              <w:t>Based on etiology</w:t>
            </w:r>
            <w:r w:rsidRPr="00D61F73">
              <w:rPr>
                <w:rFonts w:ascii="Arial" w:hAnsi="Arial" w:cs="Arial"/>
                <w:i/>
              </w:rPr>
              <w:t xml:space="preserve">: </w:t>
            </w:r>
            <w:r w:rsidRPr="00D61F73">
              <w:rPr>
                <w:rFonts w:ascii="Arial" w:hAnsi="Arial" w:cs="Arial"/>
                <w:iCs/>
              </w:rPr>
              <w:t>(a)</w:t>
            </w:r>
            <w:r w:rsidRPr="00D61F73">
              <w:rPr>
                <w:rFonts w:ascii="Arial" w:hAnsi="Arial" w:cs="Arial"/>
                <w:i/>
              </w:rPr>
              <w:t xml:space="preserve"> Primary insomnia: </w:t>
            </w:r>
            <w:r w:rsidRPr="00D61F73">
              <w:rPr>
                <w:rFonts w:ascii="Arial" w:hAnsi="Arial" w:cs="Arial"/>
              </w:rPr>
              <w:t xml:space="preserve">No known physical or mental condition is noted as an etiology. This condition is generally consistent and responsive to treatment. (b) </w:t>
            </w:r>
            <w:r w:rsidRPr="00D61F73">
              <w:rPr>
                <w:rFonts w:ascii="Arial" w:hAnsi="Arial" w:cs="Arial"/>
                <w:i/>
              </w:rPr>
              <w:t xml:space="preserve">Secondary insomnia (comorbid insomnia): </w:t>
            </w:r>
            <w:r w:rsidRPr="00D61F73">
              <w:rPr>
                <w:rFonts w:ascii="Arial" w:hAnsi="Arial" w:cs="Arial"/>
              </w:rPr>
              <w:t>insomnia that is secondary to other medical and psychiatric illnesses, medications, or sleep disorders. Examples include chronic pain, gastroesophogeal reflux disease (GERD), heart failure, end-stage renal disease, diabetes, neurologic problems, psychiatric disorders, and certain medications. Diabetic patients appear to suffer insomnia due to alterations of circadian rhythm. They may also suffer from sleep disorders related to obesity. Psychiatric disorders associated with insomnia include depression, anxiety and alcoholism. (</w:t>
            </w:r>
            <w:hyperlink w:anchor="Reeder" w:history="1">
              <w:r w:rsidRPr="00D61F73">
                <w:rPr>
                  <w:rStyle w:val="Hyperlink"/>
                  <w:rFonts w:ascii="Arial" w:hAnsi="Arial" w:cs="Arial"/>
                </w:rPr>
                <w:t>Reeder, 2007</w:t>
              </w:r>
            </w:hyperlink>
            <w:r w:rsidRPr="00D61F73">
              <w:rPr>
                <w:rFonts w:ascii="Arial" w:hAnsi="Arial" w:cs="Arial"/>
              </w:rPr>
              <w:t>) (</w:t>
            </w:r>
            <w:hyperlink w:anchor="Benca" w:history="1">
              <w:r w:rsidRPr="00D61F73">
                <w:rPr>
                  <w:rStyle w:val="Hyperlink"/>
                  <w:rFonts w:ascii="Arial" w:hAnsi="Arial" w:cs="Arial"/>
                </w:rPr>
                <w:t>Benca, 2005</w:t>
              </w:r>
            </w:hyperlink>
            <w:r w:rsidRPr="00D61F73">
              <w:rPr>
                <w:rFonts w:ascii="Arial" w:hAnsi="Arial" w:cs="Arial"/>
              </w:rPr>
              <w:t>) Poor or insufficient sleep is the strongest predictor for pain in adults over 50. Among factors associated with new-onset pain were: age (OR 0.97); baseline pain status (OR 1.1); anxiety (OR 1.5); physical health–related quality of life (OR 1.3); cognitive complaint (OR 1.3); &amp;  nonrestorative sleep (OR 1.9; 95% CI 1.2 - 2.8). This study points to the need to address underlying sleep problems to bring pain relief. (</w:t>
            </w:r>
            <w:hyperlink w:anchor="McBeth2014" w:history="1">
              <w:r w:rsidRPr="00D61F73">
                <w:rPr>
                  <w:rStyle w:val="Hyperlink"/>
                  <w:rFonts w:ascii="Arial" w:hAnsi="Arial" w:cs="Arial"/>
                </w:rPr>
                <w:t>McBeth, 2014</w:t>
              </w:r>
            </w:hyperlink>
            <w:r w:rsidRPr="00D61F73">
              <w:rPr>
                <w:rFonts w:ascii="Arial" w:hAnsi="Arial" w:cs="Arial"/>
              </w:rPr>
              <w:t xml:space="preserve">) See </w:t>
            </w:r>
            <w:hyperlink w:anchor="Insomniatreatment" w:history="1">
              <w:r w:rsidRPr="00D61F73">
                <w:rPr>
                  <w:rStyle w:val="Hyperlink"/>
                  <w:rFonts w:ascii="Arial" w:hAnsi="Arial" w:cs="Arial"/>
                </w:rPr>
                <w:t>Insomnia treatment</w:t>
              </w:r>
            </w:hyperlink>
            <w:r w:rsidRPr="00D61F73">
              <w:rPr>
                <w:rFonts w:ascii="Arial" w:hAnsi="Arial" w:cs="Arial"/>
              </w:rPr>
              <w:t xml:space="preserve">. See also </w:t>
            </w:r>
            <w:hyperlink w:anchor="Sleepstudies" w:history="1">
              <w:r w:rsidRPr="00D61F73">
                <w:rPr>
                  <w:rStyle w:val="Hyperlink"/>
                  <w:rFonts w:ascii="Arial" w:hAnsi="Arial" w:cs="Arial"/>
                </w:rPr>
                <w:t>Sleep studies</w:t>
              </w:r>
            </w:hyperlink>
            <w:r w:rsidRPr="00D61F73">
              <w:rPr>
                <w:rFonts w:ascii="Arial" w:hAnsi="Arial" w:cs="Arial"/>
              </w:rPr>
              <w:t>.</w:t>
            </w:r>
          </w:p>
        </w:tc>
      </w:tr>
      <w:tr w:rsidR="00E648FC" w:rsidRPr="00D61F73" w14:paraId="1F0B9E4C" w14:textId="77777777" w:rsidTr="0078164D">
        <w:tc>
          <w:tcPr>
            <w:tcW w:w="1086" w:type="pct"/>
          </w:tcPr>
          <w:p w14:paraId="7027416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I</w:t>
            </w:r>
            <w:bookmarkStart w:id="256" w:name="Insomniatreatment"/>
            <w:bookmarkEnd w:id="256"/>
            <w:r w:rsidRPr="00D61F73">
              <w:rPr>
                <w:rFonts w:ascii="Arial" w:hAnsi="Arial" w:cs="Arial"/>
              </w:rPr>
              <w:t>nsomnia treatment</w:t>
            </w:r>
          </w:p>
        </w:tc>
        <w:tc>
          <w:tcPr>
            <w:tcW w:w="3914" w:type="pct"/>
          </w:tcPr>
          <w:p w14:paraId="2D0524E6" w14:textId="77777777" w:rsidR="00E648FC" w:rsidRPr="00D61F73" w:rsidRDefault="00E648FC" w:rsidP="00D61F73">
            <w:pPr>
              <w:rPr>
                <w:rFonts w:ascii="Arial" w:hAnsi="Arial" w:cs="Arial"/>
              </w:rPr>
            </w:pPr>
            <w:r w:rsidRPr="00D61F73">
              <w:rPr>
                <w:rFonts w:ascii="Arial" w:hAnsi="Arial" w:cs="Arial"/>
              </w:rPr>
              <w:t xml:space="preserve">Recommend that treatment be based on the etiology, with the medications recommended below. See </w:t>
            </w:r>
            <w:hyperlink w:anchor="Insomnia" w:history="1">
              <w:r w:rsidRPr="00D61F73">
                <w:rPr>
                  <w:rStyle w:val="Hyperlink"/>
                  <w:rFonts w:ascii="Arial" w:hAnsi="Arial" w:cs="Arial"/>
                </w:rPr>
                <w:t>Insomnia</w:t>
              </w:r>
            </w:hyperlink>
            <w:r w:rsidRPr="00D61F73">
              <w:rPr>
                <w:rFonts w:ascii="Arial" w:hAnsi="Arial" w:cs="Arial"/>
              </w:rPr>
              <w:t>. Pharmacological agents should only be used after careful evaluation of potential causes of sleep disturbance. Failure of sleep disturbance to resolve in a 7 to 10 day period may indicate a psychiatric and/or medical illness. (</w:t>
            </w:r>
            <w:hyperlink w:anchor="LexiComp" w:history="1">
              <w:r w:rsidRPr="00D61F73">
                <w:rPr>
                  <w:rStyle w:val="Hyperlink"/>
                  <w:rFonts w:ascii="Arial" w:hAnsi="Arial" w:cs="Arial"/>
                </w:rPr>
                <w:t>Lexi-Comp, 2008</w:t>
              </w:r>
            </w:hyperlink>
            <w:r w:rsidRPr="00D61F73">
              <w:rPr>
                <w:rFonts w:ascii="Arial" w:hAnsi="Arial" w:cs="Arial"/>
              </w:rPr>
              <w:t xml:space="preserve">) Primary insomnia is generally addressed pharmacologically. Secondary insomnia may be treated with pharmacological and/or psychological measures. The specific component of insomnia should be addressed: (a) Sleep onset; (b) Sleep maintenance; (c) Sleep quality; &amp; (d) Next-day functioning. </w:t>
            </w:r>
          </w:p>
          <w:p w14:paraId="3965579C" w14:textId="77777777" w:rsidR="00E648FC" w:rsidRPr="00D61F73" w:rsidRDefault="00E648FC" w:rsidP="00D61F73">
            <w:pPr>
              <w:rPr>
                <w:rFonts w:ascii="Arial" w:hAnsi="Arial" w:cs="Arial"/>
              </w:rPr>
            </w:pPr>
            <w:r w:rsidRPr="00D61F73">
              <w:rPr>
                <w:rFonts w:ascii="Arial" w:hAnsi="Arial" w:cs="Arial"/>
                <w:b/>
                <w:i/>
                <w:u w:val="single"/>
              </w:rPr>
              <w:t>Pharmacologic Treatment:</w:t>
            </w:r>
            <w:r w:rsidRPr="00D61F73">
              <w:rPr>
                <w:rFonts w:ascii="Arial" w:hAnsi="Arial" w:cs="Arial"/>
              </w:rPr>
              <w:t xml:space="preserve"> There are four main categories of pharmacologic treatment: (1) Benzodiazepines; (2) Non-benzodiazepines; (3) Melatonin &amp; melatonin receptor agonists; &amp; (4) Over-the-counter medications. The majority of studies have only evaluated short-term treatment (i.e., ≤ 4 weeks) of insomnia; therefore more studies are necessary to evaluate the efficacy and safety of treatments for long-term treatment of insomnia. In 2007, the FDA requested that manufacturers of all sedative-hypnotic drugs strengthen product labeling regarding risks (i.e., severe allergic reactions and complex sleep-related behaviors, such as sleep driving). It is recommended that treatments for insomnia should reduce time to sleep onset, improve sleep maintenance, avoid residual effects and increase next-day functioning. (</w:t>
            </w:r>
            <w:hyperlink w:anchor="Morin" w:history="1">
              <w:r w:rsidRPr="00D61F73">
                <w:rPr>
                  <w:rStyle w:val="Hyperlink"/>
                  <w:rFonts w:ascii="Arial" w:hAnsi="Arial" w:cs="Arial"/>
                </w:rPr>
                <w:t>Morin, 2007</w:t>
              </w:r>
            </w:hyperlink>
            <w:r w:rsidRPr="00D61F73">
              <w:rPr>
                <w:rFonts w:ascii="Arial" w:hAnsi="Arial" w:cs="Arial"/>
              </w:rPr>
              <w:t>) (</w:t>
            </w:r>
            <w:hyperlink w:anchor="Reeder" w:history="1">
              <w:r w:rsidRPr="00D61F73">
                <w:rPr>
                  <w:rStyle w:val="Hyperlink"/>
                  <w:rFonts w:ascii="Arial" w:hAnsi="Arial" w:cs="Arial"/>
                </w:rPr>
                <w:t>Reeder, 2007</w:t>
              </w:r>
            </w:hyperlink>
            <w:r w:rsidRPr="00D61F73">
              <w:rPr>
                <w:rFonts w:ascii="Arial" w:hAnsi="Arial" w:cs="Arial"/>
              </w:rPr>
              <w:t xml:space="preserve">) </w:t>
            </w:r>
            <w:r w:rsidRPr="00D61F73">
              <w:rPr>
                <w:rFonts w:ascii="Arial" w:hAnsi="Arial" w:cs="Arial"/>
                <w:b/>
              </w:rPr>
              <w:t xml:space="preserve">(1) </w:t>
            </w:r>
            <w:r w:rsidRPr="00D61F73">
              <w:rPr>
                <w:rFonts w:ascii="Arial" w:hAnsi="Arial" w:cs="Arial"/>
                <w:b/>
                <w:u w:val="single"/>
              </w:rPr>
              <w:t>Benzodiazepines</w:t>
            </w:r>
            <w:r w:rsidRPr="00D61F73">
              <w:rPr>
                <w:rFonts w:ascii="Arial" w:hAnsi="Arial" w:cs="Arial"/>
                <w:b/>
              </w:rPr>
              <w:t>:</w:t>
            </w:r>
            <w:r w:rsidRPr="00D61F73">
              <w:rPr>
                <w:rFonts w:ascii="Arial" w:hAnsi="Arial" w:cs="Arial"/>
              </w:rPr>
              <w:t xml:space="preserve"> FDA-approved benzodiazepines for sleep maintenance insomnia include estazolam (ProSom®), flurazepam (Dalmane®), quazepam (Doral®), and temazepam (Restoril®). Triazolam (Halcion®) is FDA-approved for sleep-onset insomnia. These medications are only recommended for short-term use due to risk of tolerance, dependence, and adverse events (daytime drowsiness, anterograde amnesia, next-day sedation, impaired cognition, impaired psychomotor function, and rebound insomnia). These drugs have been associated with </w:t>
            </w:r>
            <w:r w:rsidRPr="00D61F73">
              <w:rPr>
                <w:rFonts w:ascii="Arial" w:hAnsi="Arial" w:cs="Arial"/>
              </w:rPr>
              <w:lastRenderedPageBreak/>
              <w:t>sleep-related activities such as sleep driving, cooking and eating food, and making phone calls (all while asleep). Particular concern is noted for patients at risk for abuse or addiction. Withdrawal occurs with abrupt discontinuation or large decreases in dose. Decrease slowly and monitor for withdrawal symptoms. Benzodiazepines are similar in efficacy to benzodiazepine-receptor agonists; however, the less desirable side-effect profile limits their use as a first-line agent, particularly for long-term use. (</w:t>
            </w:r>
            <w:hyperlink w:anchor="Holbrook" w:history="1">
              <w:r w:rsidRPr="00D61F73">
                <w:rPr>
                  <w:rStyle w:val="Hyperlink"/>
                  <w:rFonts w:ascii="Arial" w:hAnsi="Arial" w:cs="Arial"/>
                </w:rPr>
                <w:t>Holbrook, 2000</w:t>
              </w:r>
            </w:hyperlink>
            <w:r w:rsidRPr="00D61F73">
              <w:rPr>
                <w:rFonts w:ascii="Arial" w:hAnsi="Arial" w:cs="Arial"/>
              </w:rPr>
              <w:t>) (</w:t>
            </w:r>
            <w:hyperlink w:anchor="Ramakrishnan" w:history="1">
              <w:r w:rsidRPr="00D61F73">
                <w:rPr>
                  <w:rStyle w:val="Hyperlink"/>
                  <w:rFonts w:ascii="Arial" w:hAnsi="Arial" w:cs="Arial"/>
                </w:rPr>
                <w:t>Ramakrishnan, 2007</w:t>
              </w:r>
            </w:hyperlink>
            <w:r w:rsidRPr="00D61F73">
              <w:rPr>
                <w:rFonts w:ascii="Arial" w:hAnsi="Arial" w:cs="Arial"/>
              </w:rPr>
              <w:t>) (</w:t>
            </w:r>
            <w:hyperlink w:anchor="Buscemi" w:history="1">
              <w:r w:rsidRPr="00D61F73">
                <w:rPr>
                  <w:rStyle w:val="Hyperlink"/>
                  <w:rFonts w:ascii="Arial" w:hAnsi="Arial" w:cs="Arial"/>
                </w:rPr>
                <w:t>Buscemi, 2007</w:t>
              </w:r>
            </w:hyperlink>
            <w:r w:rsidRPr="00D61F73">
              <w:rPr>
                <w:rFonts w:ascii="Arial" w:hAnsi="Arial" w:cs="Arial"/>
              </w:rPr>
              <w:t>) (</w:t>
            </w:r>
            <w:hyperlink w:anchor="Morin" w:history="1">
              <w:r w:rsidRPr="00D61F73">
                <w:rPr>
                  <w:rStyle w:val="Hyperlink"/>
                  <w:rFonts w:ascii="Arial" w:hAnsi="Arial" w:cs="Arial"/>
                </w:rPr>
                <w:t>Morin, 2007</w:t>
              </w:r>
            </w:hyperlink>
            <w:r w:rsidRPr="00D61F73">
              <w:rPr>
                <w:rFonts w:ascii="Arial" w:hAnsi="Arial" w:cs="Arial"/>
              </w:rPr>
              <w:t>) (</w:t>
            </w:r>
            <w:hyperlink w:anchor="Wafford" w:history="1">
              <w:r w:rsidRPr="00D61F73">
                <w:rPr>
                  <w:rStyle w:val="Hyperlink"/>
                  <w:rFonts w:ascii="Arial" w:hAnsi="Arial" w:cs="Arial"/>
                </w:rPr>
                <w:t>Wafford, 2008</w:t>
              </w:r>
            </w:hyperlink>
            <w:r w:rsidRPr="00D61F73">
              <w:rPr>
                <w:rFonts w:ascii="Arial" w:hAnsi="Arial" w:cs="Arial"/>
              </w:rPr>
              <w:t>) (</w:t>
            </w:r>
            <w:hyperlink w:anchor="Benca" w:history="1">
              <w:r w:rsidRPr="00D61F73">
                <w:rPr>
                  <w:rStyle w:val="Hyperlink"/>
                  <w:rFonts w:ascii="Arial" w:hAnsi="Arial" w:cs="Arial"/>
                </w:rPr>
                <w:t>Benca, 2005</w:t>
              </w:r>
            </w:hyperlink>
            <w:r w:rsidRPr="00D61F73">
              <w:rPr>
                <w:rFonts w:ascii="Arial" w:hAnsi="Arial" w:cs="Arial"/>
              </w:rPr>
              <w:t xml:space="preserve">). </w:t>
            </w:r>
            <w:r w:rsidRPr="00D61F73">
              <w:rPr>
                <w:rFonts w:ascii="Arial" w:hAnsi="Arial" w:cs="Arial"/>
                <w:b/>
              </w:rPr>
              <w:t xml:space="preserve">(2) </w:t>
            </w:r>
            <w:r w:rsidRPr="00D61F73">
              <w:rPr>
                <w:rFonts w:ascii="Arial" w:hAnsi="Arial" w:cs="Arial"/>
                <w:b/>
                <w:u w:val="single"/>
              </w:rPr>
              <w:t>Non-Benzodiazepine sedative-hypnotics (Benzodiazepine-receptor agonists)</w:t>
            </w:r>
            <w:r w:rsidRPr="00D61F73">
              <w:rPr>
                <w:rFonts w:ascii="Arial" w:hAnsi="Arial" w:cs="Arial"/>
                <w:b/>
              </w:rPr>
              <w:t>:</w:t>
            </w:r>
            <w:r w:rsidRPr="00D61F73">
              <w:rPr>
                <w:rFonts w:ascii="Arial" w:hAnsi="Arial" w:cs="Arial"/>
              </w:rPr>
              <w:t xml:space="preserve"> First-line medications for insomnia. This class of medications includes zolpidem (Ambien® and Ambien® CR), zaleplon (Sonata®), and eszopicolone (Lunesta®). Benzodiazepine-receptor agonists work by selectively binding to type-1 benzodiazepine receptors in the CNS. All of the benzodiazepine-receptor agonists are schedule IV controlled substances, which means they have potential for abuse and dependency. Although direct comparisons between benzodiazepines and the non-benzodiazepine hypnotics have not been studied, it appears that the non-benzodiazepines have similar efficacy to the benzodiazepines with fewer side effects and short duration of action. (</w:t>
            </w:r>
            <w:hyperlink w:anchor="Ramakrishnan" w:history="1">
              <w:r w:rsidRPr="00D61F73">
                <w:rPr>
                  <w:rStyle w:val="Hyperlink"/>
                  <w:rFonts w:ascii="Arial" w:hAnsi="Arial" w:cs="Arial"/>
                </w:rPr>
                <w:t>Ramakrishnan, 2007</w:t>
              </w:r>
            </w:hyperlink>
            <w:r w:rsidRPr="00D61F73">
              <w:rPr>
                <w:rFonts w:ascii="Arial" w:hAnsi="Arial" w:cs="Arial"/>
              </w:rPr>
              <w:t>) (</w:t>
            </w:r>
            <w:hyperlink w:anchor="Halas" w:history="1">
              <w:r w:rsidRPr="00D61F73">
                <w:rPr>
                  <w:rStyle w:val="Hyperlink"/>
                  <w:rFonts w:ascii="Arial" w:hAnsi="Arial" w:cs="Arial"/>
                </w:rPr>
                <w:t>Halas, 2006</w:t>
              </w:r>
            </w:hyperlink>
            <w:r w:rsidRPr="00D61F73">
              <w:rPr>
                <w:rFonts w:ascii="Arial" w:hAnsi="Arial" w:cs="Arial"/>
              </w:rPr>
              <w:t>) (</w:t>
            </w:r>
            <w:hyperlink w:anchor="Buscemi" w:history="1">
              <w:r w:rsidRPr="00D61F73">
                <w:rPr>
                  <w:rStyle w:val="Hyperlink"/>
                  <w:rFonts w:ascii="Arial" w:hAnsi="Arial" w:cs="Arial"/>
                </w:rPr>
                <w:t>Buscemi, 2007</w:t>
              </w:r>
            </w:hyperlink>
            <w:r w:rsidRPr="00D61F73">
              <w:rPr>
                <w:rFonts w:ascii="Arial" w:hAnsi="Arial" w:cs="Arial"/>
              </w:rPr>
              <w:t>) (</w:t>
            </w:r>
            <w:hyperlink w:anchor="Morin" w:history="1">
              <w:r w:rsidRPr="00D61F73">
                <w:rPr>
                  <w:rStyle w:val="Hyperlink"/>
                  <w:rFonts w:ascii="Arial" w:hAnsi="Arial" w:cs="Arial"/>
                </w:rPr>
                <w:t>Morin, 2007</w:t>
              </w:r>
            </w:hyperlink>
            <w:r w:rsidRPr="00D61F73">
              <w:rPr>
                <w:rFonts w:ascii="Arial" w:hAnsi="Arial" w:cs="Arial"/>
              </w:rPr>
              <w:t>) (</w:t>
            </w:r>
            <w:hyperlink w:anchor="Erman" w:history="1">
              <w:r w:rsidRPr="00D61F73">
                <w:rPr>
                  <w:rStyle w:val="Hyperlink"/>
                  <w:rFonts w:ascii="Arial" w:hAnsi="Arial" w:cs="Arial"/>
                </w:rPr>
                <w:t>Erman, 2005</w:t>
              </w:r>
            </w:hyperlink>
            <w:r w:rsidRPr="00D61F73">
              <w:rPr>
                <w:rFonts w:ascii="Arial" w:hAnsi="Arial" w:cs="Arial"/>
              </w:rPr>
              <w:t xml:space="preserve">) </w:t>
            </w:r>
            <w:r w:rsidRPr="00D61F73">
              <w:rPr>
                <w:rFonts w:ascii="Arial" w:hAnsi="Arial" w:cs="Arial"/>
                <w:b/>
                <w:i/>
              </w:rPr>
              <w:t xml:space="preserve">Zolpidem </w:t>
            </w:r>
            <w:r w:rsidRPr="00D61F73">
              <w:rPr>
                <w:rFonts w:ascii="Arial" w:hAnsi="Arial" w:cs="Arial"/>
                <w:bCs/>
                <w:i/>
              </w:rPr>
              <w:t>[Ambien® (generic available), Ambien CR™]</w:t>
            </w:r>
            <w:r w:rsidRPr="00D61F73">
              <w:rPr>
                <w:rFonts w:ascii="Arial" w:hAnsi="Arial" w:cs="Arial"/>
              </w:rPr>
              <w:t xml:space="preserve"> is indicated for the short-term treatment of insomnia with difficulty of sleep onset (7-10 days). Ambien CR is indicated for treatment of insomnia with difficulty of sleep onset and/or sleep maintenance. Longer-term studies have found Ambien CR to be effective for up to 24 weeks in adults. (</w:t>
            </w:r>
            <w:hyperlink w:anchor="Buscemi2005" w:history="1">
              <w:r w:rsidRPr="00D61F73">
                <w:rPr>
                  <w:rStyle w:val="Hyperlink"/>
                  <w:rFonts w:ascii="Arial" w:hAnsi="Arial" w:cs="Arial"/>
                </w:rPr>
                <w:t>Buscemi, 2005</w:t>
              </w:r>
            </w:hyperlink>
            <w:r w:rsidRPr="00D61F73">
              <w:rPr>
                <w:rFonts w:ascii="Arial" w:hAnsi="Arial" w:cs="Arial"/>
              </w:rPr>
              <w:t>) (</w:t>
            </w:r>
            <w:hyperlink w:anchor="Ramakrishnan" w:history="1">
              <w:r w:rsidRPr="00D61F73">
                <w:rPr>
                  <w:rStyle w:val="Hyperlink"/>
                  <w:rFonts w:ascii="Arial" w:hAnsi="Arial" w:cs="Arial"/>
                </w:rPr>
                <w:t>Ramakrishnan, 2007</w:t>
              </w:r>
            </w:hyperlink>
            <w:r w:rsidRPr="00D61F73">
              <w:rPr>
                <w:rFonts w:ascii="Arial" w:hAnsi="Arial" w:cs="Arial"/>
              </w:rPr>
              <w:t>) (</w:t>
            </w:r>
            <w:hyperlink w:anchor="Morin" w:history="1">
              <w:r w:rsidRPr="00D61F73">
                <w:rPr>
                  <w:rStyle w:val="Hyperlink"/>
                  <w:rFonts w:ascii="Arial" w:hAnsi="Arial" w:cs="Arial"/>
                </w:rPr>
                <w:t>Morin, 2007</w:t>
              </w:r>
            </w:hyperlink>
            <w:r w:rsidRPr="00D61F73">
              <w:rPr>
                <w:rFonts w:ascii="Arial" w:hAnsi="Arial" w:cs="Arial"/>
              </w:rPr>
              <w:t xml:space="preserve">). The extended-release dual-layer tablet (Ambien CR™) has a biphasic release system; an initial release of zolpidem reduces sleep latency and a delayed release facilitates sleep maintenance. </w:t>
            </w:r>
            <w:r w:rsidRPr="00D61F73">
              <w:rPr>
                <w:rFonts w:ascii="Arial" w:hAnsi="Arial" w:cs="Arial"/>
                <w:i/>
                <w:iCs/>
              </w:rPr>
              <w:t>Side effects:</w:t>
            </w:r>
            <w:r w:rsidRPr="00D61F73">
              <w:rPr>
                <w:rFonts w:ascii="Arial" w:hAnsi="Arial" w:cs="Arial"/>
              </w:rPr>
              <w:t xml:space="preserve"> headache, daytime drowsiness, dizziness, blurred vision, confusion, abnormal thinking and bizarre behavior have occurred. Sleep driving and other activities for which the patient has no recollection may occur. The medication should be discontinued if the latter occurs. Abrupt discontinuation may lead to withdrawal. </w:t>
            </w:r>
            <w:r w:rsidRPr="00D61F73">
              <w:rPr>
                <w:rFonts w:ascii="Arial" w:hAnsi="Arial" w:cs="Arial"/>
                <w:i/>
                <w:iCs/>
              </w:rPr>
              <w:t>Dosing:</w:t>
            </w:r>
            <w:r w:rsidRPr="00D61F73">
              <w:rPr>
                <w:rFonts w:ascii="Arial" w:hAnsi="Arial" w:cs="Arial"/>
              </w:rPr>
              <w:t xml:space="preserve"> Ambien 5 to 10 mg at bedtime (5 mg in women, the elderly and patients with hepatic dysfunction); Ambien CR 6.25 to 12.5 mg at bedtime (6.25 mg in women, the elderly and patients with hepatic dysfunction) (</w:t>
            </w:r>
            <w:hyperlink w:anchor="Morin" w:history="1">
              <w:r w:rsidRPr="00D61F73">
                <w:rPr>
                  <w:rStyle w:val="Hyperlink"/>
                  <w:rFonts w:ascii="Arial" w:hAnsi="Arial" w:cs="Arial"/>
                </w:rPr>
                <w:t>Morin, 2007</w:t>
              </w:r>
            </w:hyperlink>
            <w:r w:rsidRPr="00D61F73">
              <w:rPr>
                <w:rFonts w:ascii="Arial" w:hAnsi="Arial" w:cs="Arial"/>
              </w:rPr>
              <w:t>). Adults who use zolpidem have a greater than 3-fold increased risk for early death, according to results of a large matched cohort survival analysis. (</w:t>
            </w:r>
            <w:hyperlink w:anchor="Kripke2012" w:history="1">
              <w:r w:rsidRPr="00D61F73">
                <w:rPr>
                  <w:rStyle w:val="Hyperlink"/>
                  <w:rFonts w:ascii="Arial" w:hAnsi="Arial" w:cs="Arial"/>
                </w:rPr>
                <w:t>Kripke, 2012</w:t>
              </w:r>
            </w:hyperlink>
            <w:r w:rsidRPr="00D61F73">
              <w:rPr>
                <w:rFonts w:ascii="Arial" w:hAnsi="Arial" w:cs="Arial"/>
              </w:rPr>
              <w:t>) Due to adverse effects, FDA now requires lower doses for zolpidem. The dose of zolpidem for women should be lowered from 10 mg to 5 mg for IR products (Ambien, Edluar, Zolpimist, and generic) and from 12.5 mg to 6.25 mg for ER products (Ambien CR). (</w:t>
            </w:r>
            <w:hyperlink r:id="rId94" w:history="1">
              <w:r w:rsidRPr="00D61F73">
                <w:rPr>
                  <w:rStyle w:val="Hyperlink"/>
                  <w:rFonts w:ascii="Arial" w:hAnsi="Arial" w:cs="Arial"/>
                </w:rPr>
                <w:t>FDA, 2013</w:t>
              </w:r>
            </w:hyperlink>
            <w:r w:rsidRPr="00D61F73">
              <w:rPr>
                <w:rFonts w:ascii="Arial" w:hAnsi="Arial" w:cs="Arial"/>
              </w:rPr>
              <w:t xml:space="preserve">) See also </w:t>
            </w:r>
            <w:hyperlink w:anchor="Zolpidem" w:history="1">
              <w:r w:rsidRPr="00D61F73">
                <w:rPr>
                  <w:rStyle w:val="Hyperlink"/>
                  <w:rFonts w:ascii="Arial" w:hAnsi="Arial" w:cs="Arial"/>
                </w:rPr>
                <w:t>Zolpidem</w:t>
              </w:r>
            </w:hyperlink>
            <w:r w:rsidRPr="00D61F73">
              <w:rPr>
                <w:rFonts w:ascii="Arial" w:hAnsi="Arial" w:cs="Arial"/>
              </w:rPr>
              <w:t>.</w:t>
            </w:r>
            <w:r w:rsidRPr="00D61F73">
              <w:rPr>
                <w:rFonts w:ascii="Arial" w:hAnsi="Arial" w:cs="Arial"/>
                <w:b/>
                <w:i/>
              </w:rPr>
              <w:t xml:space="preserve"> Zaleplon </w:t>
            </w:r>
            <w:r w:rsidRPr="00D61F73">
              <w:rPr>
                <w:rFonts w:ascii="Arial" w:hAnsi="Arial" w:cs="Arial"/>
                <w:bCs/>
                <w:i/>
              </w:rPr>
              <w:t>(Sonata®)</w:t>
            </w:r>
            <w:r w:rsidRPr="00D61F73">
              <w:rPr>
                <w:rFonts w:ascii="Arial" w:hAnsi="Arial" w:cs="Arial"/>
              </w:rPr>
              <w:t xml:space="preserve"> reduces sleep latency. </w:t>
            </w:r>
            <w:r w:rsidRPr="00D61F73">
              <w:rPr>
                <w:rFonts w:ascii="Arial" w:hAnsi="Arial" w:cs="Arial"/>
                <w:i/>
                <w:iCs/>
              </w:rPr>
              <w:t>Side effects:</w:t>
            </w:r>
            <w:r w:rsidRPr="00D61F73">
              <w:rPr>
                <w:rFonts w:ascii="Arial" w:hAnsi="Arial" w:cs="Arial"/>
              </w:rPr>
              <w:t xml:space="preserve"> headache, drowsiness, dizziness, fatigue, confusion, abnormal thinking. Sleep-related activities have also been noted such as driving, cooking, eating and making phone calls. Abrupt discontinuation may lead to withdrawal. </w:t>
            </w:r>
            <w:r w:rsidRPr="00D61F73">
              <w:rPr>
                <w:rFonts w:ascii="Arial" w:hAnsi="Arial" w:cs="Arial"/>
                <w:i/>
                <w:iCs/>
              </w:rPr>
              <w:t xml:space="preserve">Dosing: </w:t>
            </w:r>
            <w:r w:rsidRPr="00D61F73">
              <w:rPr>
                <w:rFonts w:ascii="Arial" w:hAnsi="Arial" w:cs="Arial"/>
              </w:rPr>
              <w:t>10 mg at bedtime (5 mg in the elderly and patients with hepatic dysfunction). (</w:t>
            </w:r>
            <w:hyperlink w:anchor="Morin" w:history="1">
              <w:r w:rsidRPr="00D61F73">
                <w:rPr>
                  <w:rStyle w:val="Hyperlink"/>
                  <w:rFonts w:ascii="Arial" w:hAnsi="Arial" w:cs="Arial"/>
                </w:rPr>
                <w:t>Morin, 2007</w:t>
              </w:r>
            </w:hyperlink>
            <w:r w:rsidRPr="00D61F73">
              <w:rPr>
                <w:rFonts w:ascii="Arial" w:hAnsi="Arial" w:cs="Arial"/>
              </w:rPr>
              <w:t xml:space="preserve">) Because of its short half-life (one hour), may be readministered upon nocturnal wakening provided it is administered at least 4 hours </w:t>
            </w:r>
            <w:r w:rsidRPr="00D61F73">
              <w:rPr>
                <w:rFonts w:ascii="Arial" w:hAnsi="Arial" w:cs="Arial"/>
              </w:rPr>
              <w:lastRenderedPageBreak/>
              <w:t>before wake time. (</w:t>
            </w:r>
            <w:hyperlink w:anchor="Ramakrishnan" w:history="1">
              <w:r w:rsidRPr="00D61F73">
                <w:rPr>
                  <w:rStyle w:val="Hyperlink"/>
                  <w:rFonts w:ascii="Arial" w:hAnsi="Arial" w:cs="Arial"/>
                </w:rPr>
                <w:t>Ramakrishnan, 2007</w:t>
              </w:r>
            </w:hyperlink>
            <w:r w:rsidRPr="00D61F73">
              <w:rPr>
                <w:rFonts w:ascii="Arial" w:hAnsi="Arial" w:cs="Arial"/>
              </w:rPr>
              <w:t xml:space="preserve">) This medication has a rapid onset of action. Short-term use (7-10 days) is indicated with a controlled trial showing effectiveness for up to 5 weeks. </w:t>
            </w:r>
            <w:r w:rsidRPr="00D61F73">
              <w:rPr>
                <w:rFonts w:ascii="Arial" w:hAnsi="Arial" w:cs="Arial"/>
                <w:b/>
                <w:i/>
              </w:rPr>
              <w:t xml:space="preserve">Eszopicolone </w:t>
            </w:r>
            <w:r w:rsidRPr="00D61F73">
              <w:rPr>
                <w:rFonts w:ascii="Arial" w:hAnsi="Arial" w:cs="Arial"/>
                <w:bCs/>
                <w:i/>
              </w:rPr>
              <w:t>(Lunesta™)</w:t>
            </w:r>
            <w:r w:rsidRPr="00D61F73">
              <w:rPr>
                <w:rFonts w:ascii="Arial" w:hAnsi="Arial" w:cs="Arial"/>
              </w:rPr>
              <w:t xml:space="preserve"> has demonstrated reduced sleep latency and sleep maintenance. (</w:t>
            </w:r>
            <w:hyperlink w:anchor="Morin" w:history="1">
              <w:r w:rsidRPr="00D61F73">
                <w:rPr>
                  <w:rStyle w:val="Hyperlink"/>
                  <w:rFonts w:ascii="Arial" w:hAnsi="Arial" w:cs="Arial"/>
                </w:rPr>
                <w:t>Morin, 2007</w:t>
              </w:r>
            </w:hyperlink>
            <w:r w:rsidRPr="00D61F73">
              <w:rPr>
                <w:rFonts w:ascii="Arial" w:hAnsi="Arial" w:cs="Arial"/>
              </w:rPr>
              <w:t>) The only benzodiazepine-receptor agonist FDA approved for use longer than 35 days. A randomized, double blind, controlled clinical trial with 830 primary insomnia patients reported significant improvement in the treatment group when compared to the control group for sleep latency, wake after sleep onset, and total sleep time over a 6-month period. (</w:t>
            </w:r>
            <w:hyperlink w:anchor="Walsh" w:history="1">
              <w:r w:rsidRPr="00D61F73">
                <w:rPr>
                  <w:rStyle w:val="Hyperlink"/>
                  <w:rFonts w:ascii="Arial" w:hAnsi="Arial" w:cs="Arial"/>
                </w:rPr>
                <w:t>Walsh, 2007</w:t>
              </w:r>
            </w:hyperlink>
            <w:r w:rsidRPr="00D61F73">
              <w:rPr>
                <w:rFonts w:ascii="Arial" w:hAnsi="Arial" w:cs="Arial"/>
              </w:rPr>
              <w:t xml:space="preserve">) </w:t>
            </w:r>
            <w:r w:rsidRPr="00D61F73">
              <w:rPr>
                <w:rFonts w:ascii="Arial" w:hAnsi="Arial" w:cs="Arial"/>
                <w:i/>
                <w:iCs/>
              </w:rPr>
              <w:t>Side effects:</w:t>
            </w:r>
            <w:r w:rsidRPr="00D61F73">
              <w:rPr>
                <w:rFonts w:ascii="Arial" w:hAnsi="Arial" w:cs="Arial"/>
              </w:rPr>
              <w:t xml:space="preserve"> dry mouth, unpleasant taste, drowsiness, dizziness. Sleep-related activities such as driving, eating, cooking and phone calling have occurred. Withdrawal may occur with abrupt discontinuation. </w:t>
            </w:r>
            <w:r w:rsidRPr="00D61F73">
              <w:rPr>
                <w:rFonts w:ascii="Arial" w:hAnsi="Arial" w:cs="Arial"/>
                <w:i/>
                <w:iCs/>
              </w:rPr>
              <w:t>Dosing:</w:t>
            </w:r>
            <w:r w:rsidRPr="00D61F73">
              <w:rPr>
                <w:rFonts w:ascii="Arial" w:hAnsi="Arial" w:cs="Arial"/>
              </w:rPr>
              <w:t xml:space="preserve"> 1-2 mg for difficulty falling asleep; 2-3 mg for sleep maintenance. The drug has a rapid onset of action. (</w:t>
            </w:r>
            <w:hyperlink w:anchor="Ramakrishnan" w:history="1">
              <w:r w:rsidRPr="00D61F73">
                <w:rPr>
                  <w:rStyle w:val="Hyperlink"/>
                  <w:rFonts w:ascii="Arial" w:hAnsi="Arial" w:cs="Arial"/>
                </w:rPr>
                <w:t>Ramakrishnan, 2007</w:t>
              </w:r>
            </w:hyperlink>
            <w:r w:rsidRPr="00D61F73">
              <w:rPr>
                <w:rFonts w:ascii="Arial" w:hAnsi="Arial" w:cs="Arial"/>
              </w:rPr>
              <w:t xml:space="preserve">) </w:t>
            </w:r>
            <w:r w:rsidRPr="00D61F73">
              <w:rPr>
                <w:rFonts w:ascii="Arial" w:hAnsi="Arial" w:cs="Arial"/>
                <w:b/>
                <w:i/>
                <w:iCs/>
              </w:rPr>
              <w:t>Sedating antidepressants</w:t>
            </w:r>
            <w:r w:rsidRPr="00D61F73">
              <w:rPr>
                <w:rFonts w:ascii="Arial" w:hAnsi="Arial" w:cs="Arial"/>
              </w:rPr>
              <w:t xml:space="preserve"> (e.g., amitriptyline, trazodone, mirtazapine) have also been used to treat insomnia; however, there is less evidence to support their use for insomnia (</w:t>
            </w:r>
            <w:hyperlink w:anchor="Buscemi" w:history="1">
              <w:r w:rsidRPr="00D61F73">
                <w:rPr>
                  <w:rStyle w:val="Hyperlink"/>
                  <w:rFonts w:ascii="Arial" w:hAnsi="Arial" w:cs="Arial"/>
                </w:rPr>
                <w:t>Buscemi, 2007</w:t>
              </w:r>
            </w:hyperlink>
            <w:r w:rsidRPr="00D61F73">
              <w:rPr>
                <w:rFonts w:ascii="Arial" w:hAnsi="Arial" w:cs="Arial"/>
              </w:rPr>
              <w:t>) (</w:t>
            </w:r>
            <w:hyperlink w:anchor="Morin" w:history="1">
              <w:r w:rsidRPr="00D61F73">
                <w:rPr>
                  <w:rStyle w:val="Hyperlink"/>
                  <w:rFonts w:ascii="Arial" w:hAnsi="Arial" w:cs="Arial"/>
                </w:rPr>
                <w:t>Morin, 2007</w:t>
              </w:r>
            </w:hyperlink>
            <w:r w:rsidRPr="00D61F73">
              <w:rPr>
                <w:rFonts w:ascii="Arial" w:hAnsi="Arial" w:cs="Arial"/>
              </w:rPr>
              <w:t>), but they may be an option in patients with coexisting depression. (</w:t>
            </w:r>
            <w:hyperlink w:anchor="Morin" w:history="1">
              <w:r w:rsidRPr="00D61F73">
                <w:rPr>
                  <w:rStyle w:val="Hyperlink"/>
                  <w:rFonts w:ascii="Arial" w:hAnsi="Arial" w:cs="Arial"/>
                </w:rPr>
                <w:t>Morin, 2007</w:t>
              </w:r>
            </w:hyperlink>
            <w:r w:rsidRPr="00D61F73">
              <w:rPr>
                <w:rFonts w:ascii="Arial" w:hAnsi="Arial" w:cs="Arial"/>
              </w:rPr>
              <w:t xml:space="preserve">) Trazodone is one of the most commonly prescribed agents for insomnia. Side effects of this drug include nausea, dry mouth, constipation, drowsiness, and headache. Improvements in sleep onset may be offset by negative next-day effects such as ease of awakening. Tolerance may develop and rebound insomnia has been found after discontinuation. </w:t>
            </w:r>
            <w:r w:rsidRPr="00D61F73">
              <w:rPr>
                <w:rFonts w:ascii="Arial" w:hAnsi="Arial" w:cs="Arial"/>
                <w:b/>
                <w:bCs/>
              </w:rPr>
              <w:t xml:space="preserve">(3) </w:t>
            </w:r>
            <w:r w:rsidRPr="00D61F73">
              <w:rPr>
                <w:rFonts w:ascii="Arial" w:hAnsi="Arial" w:cs="Arial"/>
                <w:b/>
                <w:bCs/>
                <w:u w:val="single"/>
              </w:rPr>
              <w:t>Melatonin-receptor agonist</w:t>
            </w:r>
            <w:r w:rsidRPr="00D61F73">
              <w:rPr>
                <w:rFonts w:ascii="Arial" w:hAnsi="Arial" w:cs="Arial"/>
                <w:b/>
                <w:bCs/>
              </w:rPr>
              <w:t xml:space="preserve">: </w:t>
            </w:r>
            <w:r w:rsidRPr="00D61F73">
              <w:rPr>
                <w:rFonts w:ascii="Arial" w:hAnsi="Arial" w:cs="Arial"/>
                <w:b/>
                <w:i/>
              </w:rPr>
              <w:t xml:space="preserve">Ramelteon </w:t>
            </w:r>
            <w:r w:rsidRPr="00D61F73">
              <w:rPr>
                <w:rFonts w:ascii="Arial" w:hAnsi="Arial" w:cs="Arial"/>
                <w:bCs/>
                <w:i/>
              </w:rPr>
              <w:t>(Rozerem™)</w:t>
            </w:r>
            <w:r w:rsidRPr="00D61F73">
              <w:rPr>
                <w:rFonts w:ascii="Arial" w:hAnsi="Arial" w:cs="Arial"/>
              </w:rPr>
              <w:t xml:space="preserve"> is a selective melatonin agonist (MT</w:t>
            </w:r>
            <w:r w:rsidRPr="00D61F73">
              <w:rPr>
                <w:rFonts w:ascii="Arial" w:hAnsi="Arial" w:cs="Arial"/>
                <w:vertAlign w:val="subscript"/>
              </w:rPr>
              <w:t>1</w:t>
            </w:r>
            <w:r w:rsidRPr="00D61F73">
              <w:rPr>
                <w:rFonts w:ascii="Arial" w:hAnsi="Arial" w:cs="Arial"/>
              </w:rPr>
              <w:t xml:space="preserve"> and MT</w:t>
            </w:r>
            <w:r w:rsidRPr="00D61F73">
              <w:rPr>
                <w:rFonts w:ascii="Arial" w:hAnsi="Arial" w:cs="Arial"/>
                <w:vertAlign w:val="subscript"/>
              </w:rPr>
              <w:t>2</w:t>
            </w:r>
            <w:r w:rsidRPr="00D61F73">
              <w:rPr>
                <w:rFonts w:ascii="Arial" w:hAnsi="Arial" w:cs="Arial"/>
              </w:rPr>
              <w:t>) indicated for difficulty with sleep onset; is nonscheduled (has been shown to have no abuse potential). One systematic review concluded that there is evidence to support the short-term and long-term use of ramelteon to decrease sleep latency; however, total sleep time has not been improved. (</w:t>
            </w:r>
            <w:hyperlink w:anchor="Reynoldson" w:history="1">
              <w:r w:rsidRPr="00D61F73">
                <w:rPr>
                  <w:rStyle w:val="Hyperlink"/>
                  <w:rFonts w:ascii="Arial" w:hAnsi="Arial" w:cs="Arial"/>
                </w:rPr>
                <w:t>Reynoldson, 2008</w:t>
              </w:r>
            </w:hyperlink>
            <w:r w:rsidRPr="00D61F73">
              <w:rPr>
                <w:rFonts w:ascii="Arial" w:hAnsi="Arial" w:cs="Arial"/>
              </w:rPr>
              <w:t>) (</w:t>
            </w:r>
            <w:hyperlink w:anchor="Zammit" w:history="1">
              <w:r w:rsidRPr="00D61F73">
                <w:rPr>
                  <w:rStyle w:val="Hyperlink"/>
                  <w:rFonts w:ascii="Arial" w:hAnsi="Arial" w:cs="Arial"/>
                </w:rPr>
                <w:t>Zammit, 2007</w:t>
              </w:r>
            </w:hyperlink>
            <w:r w:rsidRPr="00D61F73">
              <w:rPr>
                <w:rFonts w:ascii="Arial" w:hAnsi="Arial" w:cs="Arial"/>
              </w:rPr>
              <w:t xml:space="preserve">) Ramelteon is not a controlled substance. </w:t>
            </w:r>
            <w:r w:rsidRPr="00D61F73">
              <w:rPr>
                <w:rFonts w:ascii="Arial" w:hAnsi="Arial" w:cs="Arial"/>
                <w:i/>
                <w:iCs/>
              </w:rPr>
              <w:t>Side effects:</w:t>
            </w:r>
            <w:r w:rsidRPr="00D61F73">
              <w:rPr>
                <w:rFonts w:ascii="Arial" w:hAnsi="Arial" w:cs="Arial"/>
              </w:rPr>
              <w:t xml:space="preserve"> CNS depression, somnolence, dizziness, fatigue, abnormal thinking and bizarre behavior have occurred. Use with caution in patients with depression, hepatic impairment, and respiratory conditions such as COPD or sleep apnea. </w:t>
            </w:r>
            <w:r w:rsidRPr="00D61F73">
              <w:rPr>
                <w:rFonts w:ascii="Arial" w:hAnsi="Arial" w:cs="Arial"/>
                <w:i/>
                <w:iCs/>
              </w:rPr>
              <w:t>Dosing:</w:t>
            </w:r>
            <w:r w:rsidRPr="00D61F73">
              <w:rPr>
                <w:rFonts w:ascii="Arial" w:hAnsi="Arial" w:cs="Arial"/>
              </w:rPr>
              <w:t xml:space="preserve"> 8mg within 30 minutes of bedtime; recommended for short-term (7 – 10 days) use only. </w:t>
            </w:r>
            <w:r w:rsidRPr="00D61F73">
              <w:rPr>
                <w:rFonts w:ascii="Arial" w:hAnsi="Arial" w:cs="Arial"/>
                <w:b/>
                <w:iCs/>
              </w:rPr>
              <w:t>(4)</w:t>
            </w:r>
            <w:r w:rsidRPr="00D61F73">
              <w:rPr>
                <w:rFonts w:ascii="Arial" w:hAnsi="Arial" w:cs="Arial"/>
                <w:b/>
                <w:iCs/>
                <w:u w:val="single"/>
              </w:rPr>
              <w:t xml:space="preserve"> Over-the-counter medications</w:t>
            </w:r>
            <w:r w:rsidRPr="00D61F73">
              <w:rPr>
                <w:rFonts w:ascii="Arial" w:hAnsi="Arial" w:cs="Arial"/>
                <w:b/>
                <w:iCs/>
              </w:rPr>
              <w:t>:</w:t>
            </w:r>
            <w:r w:rsidRPr="00D61F73">
              <w:rPr>
                <w:rFonts w:ascii="Arial" w:hAnsi="Arial" w:cs="Arial"/>
                <w:b/>
                <w:i/>
              </w:rPr>
              <w:t xml:space="preserve"> </w:t>
            </w:r>
            <w:r w:rsidRPr="00D61F73">
              <w:rPr>
                <w:rFonts w:ascii="Arial" w:hAnsi="Arial" w:cs="Arial"/>
              </w:rPr>
              <w:t xml:space="preserve">Sedating antihistamines have been suggested for sleep aids (for example, diphenhydramine). Tolerance seems to develop within a few days. Next-day sedation has been noted as well as impaired psychomotor and cognitive function. Side effects include urinary retention, </w:t>
            </w:r>
            <w:r w:rsidR="00936D64" w:rsidRPr="00D61F73">
              <w:rPr>
                <w:rFonts w:ascii="Arial" w:hAnsi="Arial" w:cs="Arial"/>
              </w:rPr>
              <w:t>blurred</w:t>
            </w:r>
            <w:r w:rsidRPr="00D61F73">
              <w:rPr>
                <w:rFonts w:ascii="Arial" w:hAnsi="Arial" w:cs="Arial"/>
              </w:rPr>
              <w:t xml:space="preserve"> vision, orthostatic hypotension, dizziness, palpitations, increased liver enzymes, drowsiness, dizziness, grogginess and tiredness. </w:t>
            </w:r>
          </w:p>
          <w:p w14:paraId="7FDEBD28" w14:textId="77777777" w:rsidR="00E648FC" w:rsidRPr="00D61F73" w:rsidRDefault="00E648FC" w:rsidP="00D61F73">
            <w:pPr>
              <w:rPr>
                <w:rFonts w:ascii="Arial" w:hAnsi="Arial" w:cs="Arial"/>
              </w:rPr>
            </w:pPr>
            <w:r w:rsidRPr="00D61F73">
              <w:rPr>
                <w:rFonts w:ascii="Arial" w:hAnsi="Arial" w:cs="Arial"/>
                <w:b/>
                <w:i/>
                <w:u w:val="single"/>
              </w:rPr>
              <w:t>Non-pharmacologic treatment</w:t>
            </w:r>
            <w:r w:rsidRPr="00D61F73">
              <w:rPr>
                <w:rFonts w:ascii="Arial" w:hAnsi="Arial" w:cs="Arial"/>
                <w:b/>
                <w:i/>
              </w:rPr>
              <w:t xml:space="preserve">: </w:t>
            </w:r>
            <w:r w:rsidRPr="00D61F73">
              <w:rPr>
                <w:rFonts w:ascii="Arial" w:hAnsi="Arial" w:cs="Arial"/>
              </w:rPr>
              <w:t xml:space="preserve">Empirically supported treatment includes stimulus control, progressive muscle relaxation, and paradoxical intention. Treatments that are thought to probably be efficacious include sleep restriction, biofeedback, and multifaceted cognitive behavioral therapy. </w:t>
            </w:r>
            <w:r w:rsidRPr="00D61F73">
              <w:rPr>
                <w:rFonts w:ascii="Arial" w:hAnsi="Arial" w:cs="Arial"/>
                <w:b/>
                <w:bCs/>
                <w:iCs/>
              </w:rPr>
              <w:t xml:space="preserve">Suggestions for improved sleep hygiene: </w:t>
            </w:r>
            <w:r w:rsidRPr="00D61F73">
              <w:rPr>
                <w:rFonts w:ascii="Arial" w:hAnsi="Arial" w:cs="Arial"/>
                <w:iCs/>
              </w:rPr>
              <w:t>(a)</w:t>
            </w:r>
            <w:r w:rsidRPr="00D61F73">
              <w:rPr>
                <w:rFonts w:ascii="Arial" w:hAnsi="Arial" w:cs="Arial"/>
                <w:b/>
                <w:bCs/>
                <w:iCs/>
              </w:rPr>
              <w:t xml:space="preserve"> </w:t>
            </w:r>
            <w:r w:rsidRPr="00D61F73">
              <w:rPr>
                <w:rFonts w:ascii="Arial" w:hAnsi="Arial" w:cs="Arial"/>
              </w:rPr>
              <w:t xml:space="preserve">Wake at the same time </w:t>
            </w:r>
            <w:r w:rsidR="00936D64" w:rsidRPr="00D61F73">
              <w:rPr>
                <w:rFonts w:ascii="Arial" w:hAnsi="Arial" w:cs="Arial"/>
              </w:rPr>
              <w:t>every day</w:t>
            </w:r>
            <w:r w:rsidRPr="00D61F73">
              <w:rPr>
                <w:rFonts w:ascii="Arial" w:hAnsi="Arial" w:cs="Arial"/>
              </w:rPr>
              <w:t xml:space="preserve">; (b) Maintain a consistent bedtime; (c) Exercise regularly (not within 2 to 4 hours of bedtime); (d) Perform relaxing activities before bedtime; (e) Keep your bedroom quiet and cool; (f) Do not watch the clock; (g) Avoid caffeine and nicotine for at least six hours before bed; (h) Only </w:t>
            </w:r>
            <w:r w:rsidRPr="00D61F73">
              <w:rPr>
                <w:rFonts w:ascii="Arial" w:hAnsi="Arial" w:cs="Arial"/>
              </w:rPr>
              <w:lastRenderedPageBreak/>
              <w:t>drink in moderation; &amp; (i) Avoid napping. (</w:t>
            </w:r>
            <w:hyperlink w:anchor="Benca" w:history="1">
              <w:r w:rsidRPr="00D61F73">
                <w:rPr>
                  <w:rStyle w:val="Hyperlink"/>
                  <w:rFonts w:ascii="Arial" w:hAnsi="Arial" w:cs="Arial"/>
                </w:rPr>
                <w:t>Benca, 2005</w:t>
              </w:r>
            </w:hyperlink>
            <w:r w:rsidRPr="00D61F73">
              <w:rPr>
                <w:rFonts w:ascii="Arial" w:hAnsi="Arial" w:cs="Arial"/>
              </w:rPr>
              <w:t>) In a head-to-head comparison of treatment approaches to determine separate and combined effects on insomnia, adding a prescription sleeping pill to cognitive behavioral therapy (CBT) appeared to be the optimal initial treatment approach in patients with persistent insomnia, but after 6 weeks, tapering the medication and continuing with CBT alone produced the best long-term outcome. These results suggest that there is a modest short-term added value to starting therapy with CBT plus a medication, especially with respect to total sleep gained, but that this added value does not persist. In terms of first-line therapy, for acute insomnia lasting less than 6 months, medication is probably the best treatment approach, but for chronic insomnia, a combined approach might give the best of both worlds; however, after a few weeks, the recommendation is to discontinue the medication and continue with CBT. Prescribing medication indefinitely will not work. The authors said that the conclusion that patients do better in the long-term if medication is stopped after 6 weeks and only CBT is continued during an additional 6-month period is an important new finding. (</w:t>
            </w:r>
            <w:hyperlink w:anchor="Morin2" w:history="1">
              <w:r w:rsidRPr="00D61F73">
                <w:rPr>
                  <w:rStyle w:val="Hyperlink"/>
                  <w:rFonts w:ascii="Arial" w:hAnsi="Arial" w:cs="Arial"/>
                </w:rPr>
                <w:t>Morin, 2009</w:t>
              </w:r>
            </w:hyperlink>
            <w:r w:rsidRPr="00D61F73">
              <w:rPr>
                <w:rFonts w:ascii="Arial" w:hAnsi="Arial" w:cs="Arial"/>
              </w:rPr>
              <w:t>)</w:t>
            </w:r>
          </w:p>
        </w:tc>
      </w:tr>
      <w:tr w:rsidR="00E648FC" w:rsidRPr="00D61F73" w14:paraId="6B1D529D" w14:textId="77777777" w:rsidTr="0078164D">
        <w:tc>
          <w:tcPr>
            <w:tcW w:w="1086" w:type="pct"/>
          </w:tcPr>
          <w:p w14:paraId="1BC4795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I</w:t>
            </w:r>
            <w:bookmarkStart w:id="257" w:name="Integrativemanualtherapy"/>
            <w:bookmarkEnd w:id="257"/>
            <w:r w:rsidRPr="00D61F73">
              <w:rPr>
                <w:rFonts w:ascii="Arial" w:hAnsi="Arial" w:cs="Arial"/>
              </w:rPr>
              <w:t xml:space="preserve">ntegrative manual therapy (IMT™) </w:t>
            </w:r>
          </w:p>
        </w:tc>
        <w:tc>
          <w:tcPr>
            <w:tcW w:w="3914" w:type="pct"/>
          </w:tcPr>
          <w:p w14:paraId="5B6FCD21" w14:textId="150DA0B0" w:rsidR="00E648FC" w:rsidRPr="00D61F73" w:rsidRDefault="00E648FC" w:rsidP="00D61F73">
            <w:pPr>
              <w:rPr>
                <w:rFonts w:ascii="Arial" w:hAnsi="Arial" w:cs="Arial"/>
              </w:rPr>
            </w:pPr>
            <w:r w:rsidRPr="00D61F73">
              <w:rPr>
                <w:rFonts w:ascii="Arial" w:hAnsi="Arial" w:cs="Arial"/>
              </w:rPr>
              <w:t xml:space="preserve">See </w:t>
            </w:r>
            <w:r w:rsidRPr="00A100C2">
              <w:rPr>
                <w:rFonts w:ascii="Arial" w:hAnsi="Arial" w:cs="Arial"/>
              </w:rPr>
              <w:t>Chronic pain programs</w:t>
            </w:r>
            <w:r w:rsidRPr="00D61F73">
              <w:rPr>
                <w:rFonts w:ascii="Arial" w:hAnsi="Arial" w:cs="Arial"/>
              </w:rPr>
              <w:t>. Integrative Manual Therapy (IMT™) is a proprietary type of multidisciplinary chronic pain program with a unique set of techniques, approaches, and methodologies that address pain, dysfunction, disease and disability. The treatment approach is multidisciplinary and includes physical therapy, manual therapy, nutrition, and psychology, and involves specific proprietary training. (</w:t>
            </w:r>
            <w:hyperlink r:id="rId95" w:history="1">
              <w:r w:rsidRPr="00D61F73">
                <w:rPr>
                  <w:rStyle w:val="Hyperlink"/>
                  <w:rFonts w:ascii="Arial" w:hAnsi="Arial" w:cs="Arial"/>
                </w:rPr>
                <w:t>Giammatteo, 2013</w:t>
              </w:r>
            </w:hyperlink>
            <w:r w:rsidRPr="00D61F73">
              <w:rPr>
                <w:rFonts w:ascii="Arial" w:hAnsi="Arial" w:cs="Arial"/>
              </w:rPr>
              <w:t xml:space="preserve">) There are no recommendations for this type of therapy as there are no published high-quality studies specific to IMT. See the </w:t>
            </w:r>
            <w:r w:rsidRPr="00D61F73">
              <w:rPr>
                <w:rFonts w:ascii="Arial" w:hAnsi="Arial" w:cs="Arial"/>
                <w:i/>
                <w:iCs/>
              </w:rPr>
              <w:t>Criteria for the general use of multidisciplinary pain management programs</w:t>
            </w:r>
            <w:r w:rsidRPr="00D61F73">
              <w:rPr>
                <w:rFonts w:ascii="Arial" w:hAnsi="Arial" w:cs="Arial"/>
              </w:rPr>
              <w:t xml:space="preserve">, under </w:t>
            </w:r>
            <w:hyperlink w:anchor="Chronicpainprograms" w:history="1">
              <w:r w:rsidRPr="00D61F73">
                <w:rPr>
                  <w:rStyle w:val="Hyperlink"/>
                  <w:rFonts w:ascii="Arial" w:hAnsi="Arial" w:cs="Arial"/>
                </w:rPr>
                <w:t>Chronic pain programs</w:t>
              </w:r>
            </w:hyperlink>
            <w:r w:rsidRPr="00D61F73">
              <w:rPr>
                <w:rFonts w:ascii="Arial" w:hAnsi="Arial" w:cs="Arial"/>
              </w:rPr>
              <w:t>.</w:t>
            </w:r>
          </w:p>
        </w:tc>
      </w:tr>
      <w:tr w:rsidR="00E648FC" w:rsidRPr="00D61F73" w14:paraId="552098CA" w14:textId="77777777" w:rsidTr="0078164D">
        <w:tc>
          <w:tcPr>
            <w:tcW w:w="1086" w:type="pct"/>
          </w:tcPr>
          <w:p w14:paraId="5EF732E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58" w:name="Interdisciplinaryrehabilitationprograms"/>
            <w:bookmarkEnd w:id="258"/>
            <w:r w:rsidRPr="00D61F73">
              <w:rPr>
                <w:rFonts w:ascii="Arial" w:hAnsi="Arial" w:cs="Arial"/>
              </w:rPr>
              <w:t>n</w:t>
            </w:r>
            <w:bookmarkStart w:id="259" w:name="Interdisciplinaryrehabilitationprogram"/>
            <w:bookmarkEnd w:id="259"/>
            <w:r w:rsidRPr="00D61F73">
              <w:rPr>
                <w:rFonts w:ascii="Arial" w:hAnsi="Arial" w:cs="Arial"/>
              </w:rPr>
              <w:t>terdisciplinary rehabilitation programs</w:t>
            </w:r>
          </w:p>
        </w:tc>
        <w:tc>
          <w:tcPr>
            <w:tcW w:w="3914" w:type="pct"/>
          </w:tcPr>
          <w:p w14:paraId="4C68375C" w14:textId="77777777" w:rsidR="00E648FC" w:rsidRPr="00D61F73" w:rsidRDefault="00E648FC" w:rsidP="00D61F73">
            <w:pPr>
              <w:rPr>
                <w:rFonts w:ascii="Arial" w:hAnsi="Arial" w:cs="Arial"/>
              </w:rPr>
            </w:pPr>
            <w:r w:rsidRPr="00D61F73">
              <w:rPr>
                <w:rFonts w:ascii="Arial" w:hAnsi="Arial" w:cs="Arial"/>
              </w:rPr>
              <w:t xml:space="preserve">See </w:t>
            </w:r>
            <w:hyperlink w:anchor="Chronicpainprograms" w:history="1">
              <w:r w:rsidRPr="00D61F73">
                <w:rPr>
                  <w:rStyle w:val="Hyperlink"/>
                  <w:rFonts w:ascii="Arial" w:hAnsi="Arial" w:cs="Arial"/>
                </w:rPr>
                <w:t>Chronic pain programs</w:t>
              </w:r>
            </w:hyperlink>
            <w:r w:rsidRPr="00D61F73">
              <w:rPr>
                <w:rFonts w:ascii="Arial" w:hAnsi="Arial" w:cs="Arial"/>
              </w:rPr>
              <w:t xml:space="preserve">. </w:t>
            </w:r>
          </w:p>
        </w:tc>
      </w:tr>
      <w:tr w:rsidR="00E648FC" w:rsidRPr="00D61F73" w14:paraId="57EED4DE" w14:textId="77777777" w:rsidTr="0078164D">
        <w:tc>
          <w:tcPr>
            <w:tcW w:w="1086" w:type="pct"/>
          </w:tcPr>
          <w:p w14:paraId="5E926B7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60" w:name="Interferentialcurrentstimulation"/>
            <w:bookmarkEnd w:id="260"/>
            <w:r w:rsidRPr="00D61F73">
              <w:rPr>
                <w:rFonts w:ascii="Arial" w:hAnsi="Arial" w:cs="Arial"/>
              </w:rPr>
              <w:t xml:space="preserve">nterferential current stimulation (ICS) </w:t>
            </w:r>
          </w:p>
          <w:p w14:paraId="32311476" w14:textId="77777777" w:rsidR="00E648FC" w:rsidRPr="00D61F73" w:rsidRDefault="00E648FC" w:rsidP="00D61F73">
            <w:pPr>
              <w:pStyle w:val="Footer"/>
              <w:tabs>
                <w:tab w:val="clear" w:pos="4320"/>
                <w:tab w:val="clear" w:pos="8640"/>
              </w:tabs>
              <w:jc w:val="center"/>
              <w:rPr>
                <w:rFonts w:ascii="Arial" w:hAnsi="Arial" w:cs="Arial"/>
                <w:color w:val="FF0000"/>
              </w:rPr>
            </w:pPr>
          </w:p>
        </w:tc>
        <w:tc>
          <w:tcPr>
            <w:tcW w:w="3914" w:type="pct"/>
          </w:tcPr>
          <w:p w14:paraId="1FEACC1C" w14:textId="68BA6CFD" w:rsidR="00E648FC" w:rsidRPr="00D61F73" w:rsidRDefault="00E648FC" w:rsidP="00D61F73">
            <w:pPr>
              <w:rPr>
                <w:rFonts w:ascii="Arial" w:hAnsi="Arial" w:cs="Arial"/>
              </w:rPr>
            </w:pPr>
            <w:r w:rsidRPr="00D61F73">
              <w:rPr>
                <w:rFonts w:ascii="Arial" w:hAnsi="Arial" w:cs="Arial"/>
              </w:rPr>
              <w:t xml:space="preserve">Not recommended as an isolated intervention. There is no quality evidence of effectiveness except in conjunction with recommended treatments, including </w:t>
            </w:r>
            <w:hyperlink w:anchor="Returntowork" w:history="1">
              <w:r w:rsidRPr="00D61F73">
                <w:rPr>
                  <w:rStyle w:val="Hyperlink"/>
                  <w:rFonts w:ascii="Arial" w:hAnsi="Arial" w:cs="Arial"/>
                </w:rPr>
                <w:t>return to work</w:t>
              </w:r>
            </w:hyperlink>
            <w:r w:rsidRPr="00D61F73">
              <w:rPr>
                <w:rFonts w:ascii="Arial" w:hAnsi="Arial" w:cs="Arial"/>
              </w:rPr>
              <w:t xml:space="preserve">, </w:t>
            </w:r>
            <w:hyperlink w:anchor="Exercise" w:history="1">
              <w:r w:rsidR="00F57780">
                <w:rPr>
                  <w:rStyle w:val="Hyperlink"/>
                  <w:rFonts w:ascii="Arial" w:hAnsi="Arial" w:cs="Arial"/>
                </w:rPr>
                <w:t>exercise</w:t>
              </w:r>
            </w:hyperlink>
            <w:r w:rsidRPr="00D61F73">
              <w:rPr>
                <w:rStyle w:val="Hyperlink"/>
                <w:rFonts w:ascii="Arial" w:hAnsi="Arial" w:cs="Arial"/>
              </w:rPr>
              <w:t>,</w:t>
            </w:r>
            <w:r w:rsidRPr="00D61F73">
              <w:rPr>
                <w:rFonts w:ascii="Arial" w:hAnsi="Arial" w:cs="Arial"/>
              </w:rPr>
              <w:t xml:space="preserve"> and </w:t>
            </w:r>
            <w:hyperlink w:anchor="Medicationsforacutepain" w:history="1">
              <w:r w:rsidRPr="00D61F73">
                <w:rPr>
                  <w:rStyle w:val="Hyperlink"/>
                  <w:rFonts w:ascii="Arial" w:hAnsi="Arial" w:cs="Arial"/>
                </w:rPr>
                <w:t>medications</w:t>
              </w:r>
            </w:hyperlink>
            <w:r w:rsidRPr="00D61F73">
              <w:rPr>
                <w:rFonts w:ascii="Arial" w:hAnsi="Arial" w:cs="Arial"/>
              </w:rPr>
              <w:t>, and limited evidence of improvement on those recommended treatments alone. The randomized trials that have evaluated the effectiveness of this treatment have included studies for back pain, jaw pain, soft tissue shoulder pain, cervical neck pain and knee pain. (</w:t>
            </w:r>
            <w:hyperlink r:id="rId96" w:anchor="vanderHeijden3" w:history="1">
              <w:r w:rsidRPr="00D61F73">
                <w:rPr>
                  <w:rStyle w:val="Hyperlink"/>
                  <w:rFonts w:ascii="Arial" w:hAnsi="Arial" w:cs="Arial"/>
                </w:rPr>
                <w:t>Van der Heijden, 1999</w:t>
              </w:r>
            </w:hyperlink>
            <w:r w:rsidRPr="00D61F73">
              <w:rPr>
                <w:rFonts w:ascii="Arial" w:hAnsi="Arial" w:cs="Arial"/>
              </w:rPr>
              <w:t>) (</w:t>
            </w:r>
            <w:hyperlink w:anchor="Werners" w:history="1">
              <w:r w:rsidRPr="00D61F73">
                <w:rPr>
                  <w:rStyle w:val="Hyperlink"/>
                  <w:rFonts w:ascii="Arial" w:hAnsi="Arial" w:cs="Arial"/>
                </w:rPr>
                <w:t>Werners, 1999</w:t>
              </w:r>
            </w:hyperlink>
            <w:r w:rsidRPr="00D61F73">
              <w:rPr>
                <w:rFonts w:ascii="Arial" w:hAnsi="Arial" w:cs="Arial"/>
              </w:rPr>
              <w:t>) (</w:t>
            </w:r>
            <w:hyperlink w:anchor="Hurley1" w:history="1">
              <w:r w:rsidRPr="00D61F73">
                <w:rPr>
                  <w:rStyle w:val="Hyperlink"/>
                  <w:rFonts w:ascii="Arial" w:hAnsi="Arial" w:cs="Arial"/>
                </w:rPr>
                <w:t>Hurley, 2001</w:t>
              </w:r>
            </w:hyperlink>
            <w:r w:rsidRPr="00D61F73">
              <w:rPr>
                <w:rFonts w:ascii="Arial" w:hAnsi="Arial" w:cs="Arial"/>
              </w:rPr>
              <w:t>) (</w:t>
            </w:r>
            <w:hyperlink w:anchor="Hou" w:history="1">
              <w:r w:rsidRPr="00D61F73">
                <w:rPr>
                  <w:rStyle w:val="Hyperlink"/>
                  <w:rFonts w:ascii="Arial" w:hAnsi="Arial" w:cs="Arial"/>
                </w:rPr>
                <w:t>Hou, 2002</w:t>
              </w:r>
            </w:hyperlink>
            <w:r w:rsidRPr="00D61F73">
              <w:rPr>
                <w:rFonts w:ascii="Arial" w:hAnsi="Arial" w:cs="Arial"/>
              </w:rPr>
              <w:t>) (</w:t>
            </w:r>
            <w:hyperlink w:anchor="Jarit" w:history="1">
              <w:r w:rsidRPr="00D61F73">
                <w:rPr>
                  <w:rStyle w:val="Hyperlink"/>
                  <w:rFonts w:ascii="Arial" w:hAnsi="Arial" w:cs="Arial"/>
                </w:rPr>
                <w:t>Jarit, 2003</w:t>
              </w:r>
            </w:hyperlink>
            <w:r w:rsidRPr="00D61F73">
              <w:rPr>
                <w:rFonts w:ascii="Arial" w:hAnsi="Arial" w:cs="Arial"/>
              </w:rPr>
              <w:t>) (</w:t>
            </w:r>
            <w:hyperlink w:anchor="Hurley2" w:history="1">
              <w:r w:rsidRPr="00D61F73">
                <w:rPr>
                  <w:rStyle w:val="Hyperlink"/>
                  <w:rFonts w:ascii="Arial" w:hAnsi="Arial" w:cs="Arial"/>
                </w:rPr>
                <w:t>Hurley, 2004</w:t>
              </w:r>
            </w:hyperlink>
            <w:r w:rsidRPr="00D61F73">
              <w:rPr>
                <w:rFonts w:ascii="Arial" w:hAnsi="Arial" w:cs="Arial"/>
              </w:rPr>
              <w:t>) (</w:t>
            </w:r>
            <w:hyperlink w:anchor="CaliforniaTech" w:history="1">
              <w:r w:rsidRPr="00D61F73">
                <w:rPr>
                  <w:rStyle w:val="Hyperlink"/>
                  <w:rFonts w:ascii="Arial" w:hAnsi="Arial" w:cs="Arial"/>
                </w:rPr>
                <w:t>CTAF, 2005</w:t>
              </w:r>
            </w:hyperlink>
            <w:r w:rsidRPr="00D61F73">
              <w:rPr>
                <w:rFonts w:ascii="Arial" w:hAnsi="Arial" w:cs="Arial"/>
              </w:rPr>
              <w:t>) (</w:t>
            </w:r>
            <w:hyperlink w:anchor="Burch" w:history="1">
              <w:r w:rsidRPr="00D61F73">
                <w:rPr>
                  <w:rStyle w:val="Hyperlink"/>
                  <w:rFonts w:ascii="Arial" w:hAnsi="Arial" w:cs="Arial"/>
                </w:rPr>
                <w:t>Burch, 2008</w:t>
              </w:r>
            </w:hyperlink>
            <w:r w:rsidRPr="00D61F73">
              <w:rPr>
                <w:rFonts w:ascii="Arial" w:hAnsi="Arial" w:cs="Arial"/>
              </w:rPr>
              <w:t xml:space="preserve">, 2008) The findings from these trials were either negative or insufficient for recommendation due to poor study design and/or methodologic issues. In addition, although proposed for treatment in general for soft tissue injury or for enhancing wound or fracture healing, there is insufficient literature to support Interferential current stimulation for treatment of these conditions. There are no standardized protocols for the use of interferential therapy; and the therapy may vary according to the frequency of stimulation, the pulse duration, treatment time, and electrode-placement technique. Two recent randomized double-blind controlled trials suggested that ICS and horizontal therapy (HT) were effective in </w:t>
            </w:r>
            <w:r w:rsidRPr="00D61F73">
              <w:rPr>
                <w:rFonts w:ascii="Arial" w:hAnsi="Arial" w:cs="Arial"/>
              </w:rPr>
              <w:lastRenderedPageBreak/>
              <w:t>alleviating pain and disability in patients with chronic low back pain compared to placebo at 14 weeks, but not at 2 weeks. The placebo effect was remarkable at the beginning of the treatment but it tended to vanish within a couple of weeks. The studies suggested that their main limitation was the heterogeneity of the low back pain subjects, with the interventions performing much better for back pain due to previous multiple vertebral osteoporotic fractures, and further studies are necessary to determine effectiveness in low back pain from other causes. (</w:t>
            </w:r>
            <w:hyperlink w:anchor="Zambito" w:history="1">
              <w:r w:rsidRPr="00D61F73">
                <w:rPr>
                  <w:rStyle w:val="Hyperlink"/>
                  <w:rFonts w:ascii="Arial" w:hAnsi="Arial" w:cs="Arial"/>
                </w:rPr>
                <w:t>Zambito, 2006</w:t>
              </w:r>
            </w:hyperlink>
            <w:r w:rsidRPr="00D61F73">
              <w:rPr>
                <w:rFonts w:ascii="Arial" w:hAnsi="Arial" w:cs="Arial"/>
              </w:rPr>
              <w:t>) (</w:t>
            </w:r>
            <w:hyperlink w:anchor="Zambito2" w:history="1">
              <w:r w:rsidRPr="00D61F73">
                <w:rPr>
                  <w:rStyle w:val="Hyperlink"/>
                  <w:rFonts w:ascii="Arial" w:hAnsi="Arial" w:cs="Arial"/>
                </w:rPr>
                <w:t>Zambito, 2007</w:t>
              </w:r>
            </w:hyperlink>
            <w:r w:rsidRPr="00D61F73">
              <w:rPr>
                <w:rFonts w:ascii="Arial" w:hAnsi="Arial" w:cs="Arial"/>
              </w:rPr>
              <w:t>) A recent industry-sponsored study concluded that interferential current therapy plus patterned muscle stimulation (using the RS-4i Stimulator) has the potential to be a more effective treatment modality than conventional low-current TENS for osteoarthritis of the knee. (</w:t>
            </w:r>
            <w:hyperlink w:anchor="Burch" w:history="1">
              <w:r w:rsidRPr="00D61F73">
                <w:rPr>
                  <w:rStyle w:val="Hyperlink"/>
                  <w:rFonts w:ascii="Arial" w:hAnsi="Arial" w:cs="Arial"/>
                </w:rPr>
                <w:t>Burch, 2008</w:t>
              </w:r>
            </w:hyperlink>
            <w:r w:rsidRPr="00D61F73">
              <w:rPr>
                <w:rFonts w:ascii="Arial" w:hAnsi="Arial" w:cs="Arial"/>
              </w:rPr>
              <w:t>) This recent RCT found that either electroacupuncture or interferential electrotherapy, in combination with shoulder exercises, is equally effective in treating frozen shoulder patients. It should be noted that this study only showed the combined treatment effects with exercise as compared to no treatment, so the entire positive effect could have been due to the use of exercise alone. (</w:t>
            </w:r>
            <w:hyperlink r:id="rId97" w:anchor="Cheing" w:history="1">
              <w:r w:rsidRPr="00D61F73">
                <w:rPr>
                  <w:rStyle w:val="Hyperlink"/>
                  <w:rFonts w:ascii="Arial" w:hAnsi="Arial" w:cs="Arial"/>
                </w:rPr>
                <w:t>Cheing, 2008</w:t>
              </w:r>
            </w:hyperlink>
            <w:r w:rsidRPr="00D61F73">
              <w:rPr>
                <w:rFonts w:ascii="Arial" w:hAnsi="Arial" w:cs="Arial"/>
              </w:rPr>
              <w:t xml:space="preserve">) See also </w:t>
            </w:r>
            <w:hyperlink w:anchor="Sympathetictherapy" w:history="1">
              <w:r w:rsidRPr="00D61F73">
                <w:rPr>
                  <w:rStyle w:val="Hyperlink"/>
                  <w:rFonts w:ascii="Arial" w:hAnsi="Arial" w:cs="Arial"/>
                </w:rPr>
                <w:t>Sympathetic therapy</w:t>
              </w:r>
            </w:hyperlink>
            <w:r w:rsidRPr="00D61F73">
              <w:rPr>
                <w:rFonts w:ascii="Arial" w:hAnsi="Arial" w:cs="Arial"/>
              </w:rPr>
              <w:t xml:space="preserve">. See also </w:t>
            </w:r>
            <w:hyperlink w:anchor="TENS" w:history="1">
              <w:r w:rsidRPr="00D61F73">
                <w:rPr>
                  <w:rStyle w:val="Hyperlink"/>
                  <w:rFonts w:ascii="Arial" w:hAnsi="Arial" w:cs="Arial"/>
                </w:rPr>
                <w:t>TENS, chronic pain</w:t>
              </w:r>
            </w:hyperlink>
            <w:r w:rsidRPr="00D61F73">
              <w:rPr>
                <w:rFonts w:ascii="Arial" w:hAnsi="Arial" w:cs="Arial"/>
              </w:rPr>
              <w:t>.</w:t>
            </w:r>
          </w:p>
          <w:p w14:paraId="0DA50E77" w14:textId="77777777" w:rsidR="00E648FC" w:rsidRPr="00D61F73" w:rsidRDefault="00E648FC" w:rsidP="00D61F73">
            <w:pPr>
              <w:rPr>
                <w:rFonts w:ascii="Arial" w:hAnsi="Arial" w:cs="Arial"/>
              </w:rPr>
            </w:pPr>
            <w:r w:rsidRPr="00D61F73">
              <w:rPr>
                <w:rFonts w:ascii="Arial" w:hAnsi="Arial" w:cs="Arial"/>
                <w:i/>
                <w:u w:val="single"/>
              </w:rPr>
              <w:t>How it works</w:t>
            </w:r>
            <w:r w:rsidRPr="00D61F73">
              <w:rPr>
                <w:rFonts w:ascii="Arial" w:hAnsi="Arial" w:cs="Arial"/>
                <w:i/>
              </w:rPr>
              <w:t xml:space="preserve">: </w:t>
            </w:r>
            <w:r w:rsidRPr="00D61F73">
              <w:rPr>
                <w:rFonts w:ascii="Arial" w:hAnsi="Arial" w:cs="Arial"/>
              </w:rPr>
              <w:t>Paired electrodes of two independent circuits carry differing medium-frequency alternating currents so that current flowing between each pair intersects at the underlying target. The frequency allows the Interferential wave to meet low impedance when crossing the skin. Treatments involve the use of two pairs of electrodes and most units allow variation in waveform, stimulus frequency and amplitude or intensity, and the currents rise and fall at different frequencies. It is theorized that the low frequency of the interferential current causes inhibition or habituation of the nervous system, which results in muscle relaxation, suppression of pain and acceleration of healing. </w:t>
            </w:r>
          </w:p>
          <w:p w14:paraId="102898DD" w14:textId="77777777" w:rsidR="00E648FC" w:rsidRPr="00D61F73" w:rsidRDefault="00E648FC" w:rsidP="00D61F73">
            <w:pPr>
              <w:rPr>
                <w:rFonts w:ascii="Arial" w:hAnsi="Arial" w:cs="Arial"/>
              </w:rPr>
            </w:pPr>
            <w:r w:rsidRPr="00D61F73">
              <w:rPr>
                <w:rFonts w:ascii="Arial" w:hAnsi="Arial" w:cs="Arial"/>
                <w:i/>
                <w:u w:val="single"/>
              </w:rPr>
              <w:t>How it is different from TENS</w:t>
            </w:r>
            <w:r w:rsidRPr="00D61F73">
              <w:rPr>
                <w:rFonts w:ascii="Arial" w:hAnsi="Arial" w:cs="Arial"/>
                <w:i/>
              </w:rPr>
              <w:t xml:space="preserve">: </w:t>
            </w:r>
            <w:r w:rsidRPr="00D61F73">
              <w:rPr>
                <w:rFonts w:ascii="Arial" w:hAnsi="Arial" w:cs="Arial"/>
              </w:rPr>
              <w:t xml:space="preserve">It has been postulated that ICS allows for deeper penetration of tissue, whereas TENS is predominantly a cutaneous or superficial stimulus. Interferential current is proposed to produce less impedance in the tissue and the intensity provided is suggested to be perceived as more comfortable. Because there is minimal skin resistance with the interferential current therapy, a maximum amount of energy goes deeper into the tissue. It also crisscrosses, as opposed to the linear application of the TENS. This crisscrossing is postulated to be more effective because it serves to confuse the nerve endings, preventing the treated area from adjusting to the current. There are no published randomized trials comparing TENS to ICS. </w:t>
            </w:r>
          </w:p>
          <w:p w14:paraId="007D2184" w14:textId="774AE78A" w:rsidR="00E648FC" w:rsidRPr="00D61F73" w:rsidRDefault="00E648FC" w:rsidP="00D61F73">
            <w:pPr>
              <w:rPr>
                <w:rFonts w:ascii="Arial" w:hAnsi="Arial" w:cs="Arial"/>
              </w:rPr>
            </w:pPr>
            <w:r w:rsidRPr="00D61F73">
              <w:rPr>
                <w:rFonts w:ascii="Arial" w:hAnsi="Arial" w:cs="Arial"/>
                <w:i/>
                <w:u w:val="single"/>
              </w:rPr>
              <w:t>Current recommendations</w:t>
            </w:r>
            <w:r w:rsidRPr="00D61F73">
              <w:rPr>
                <w:rFonts w:ascii="Arial" w:hAnsi="Arial" w:cs="Arial"/>
                <w:i/>
              </w:rPr>
              <w:t>:</w:t>
            </w:r>
            <w:r w:rsidRPr="00D61F73">
              <w:rPr>
                <w:rFonts w:ascii="Arial" w:hAnsi="Arial" w:cs="Arial"/>
                <w:iCs/>
              </w:rPr>
              <w:t xml:space="preserve"> Health plans have taken a variety of positions with respect to ICS. See </w:t>
            </w:r>
            <w:hyperlink w:anchor="Hwave" w:history="1">
              <w:r w:rsidRPr="00D61F73">
                <w:rPr>
                  <w:rStyle w:val="Hyperlink"/>
                  <w:rFonts w:ascii="Arial" w:hAnsi="Arial" w:cs="Arial"/>
                  <w:iCs/>
                </w:rPr>
                <w:t>H-wave stimulation</w:t>
              </w:r>
            </w:hyperlink>
            <w:r w:rsidRPr="00D61F73">
              <w:rPr>
                <w:rFonts w:ascii="Arial" w:hAnsi="Arial" w:cs="Arial"/>
                <w:iCs/>
              </w:rPr>
              <w:t xml:space="preserve"> (HWT), and </w:t>
            </w:r>
            <w:hyperlink w:anchor="Interferentialcurrentstimulation" w:history="1">
              <w:r w:rsidRPr="00D61F73">
                <w:rPr>
                  <w:rStyle w:val="Hyperlink"/>
                  <w:rFonts w:ascii="Arial" w:hAnsi="Arial" w:cs="Arial"/>
                  <w:iCs/>
                </w:rPr>
                <w:t>Interferential current stimulation</w:t>
              </w:r>
            </w:hyperlink>
            <w:r w:rsidRPr="00D61F73">
              <w:rPr>
                <w:rFonts w:ascii="Arial" w:hAnsi="Arial" w:cs="Arial"/>
                <w:iCs/>
              </w:rPr>
              <w:t xml:space="preserve">. </w:t>
            </w:r>
            <w:r w:rsidRPr="00D61F73">
              <w:rPr>
                <w:rFonts w:ascii="Arial" w:hAnsi="Arial" w:cs="Arial"/>
                <w:i/>
              </w:rPr>
              <w:t xml:space="preserve">California Technology Assessment Forum </w:t>
            </w:r>
            <w:r w:rsidRPr="00D61F73">
              <w:rPr>
                <w:rFonts w:ascii="Arial" w:hAnsi="Arial" w:cs="Arial"/>
                <w:iCs/>
              </w:rPr>
              <w:t>concluded that t</w:t>
            </w:r>
            <w:r w:rsidRPr="00D61F73">
              <w:rPr>
                <w:rFonts w:ascii="Arial" w:hAnsi="Arial" w:cs="Arial"/>
              </w:rPr>
              <w:t>he treatment does not meet their criteria for coverage. (</w:t>
            </w:r>
            <w:hyperlink w:anchor="CaliforniaTech" w:history="1">
              <w:r w:rsidRPr="00D61F73">
                <w:rPr>
                  <w:rStyle w:val="Hyperlink"/>
                  <w:rFonts w:ascii="Arial" w:hAnsi="Arial" w:cs="Arial"/>
                </w:rPr>
                <w:t>CTAF, 2005</w:t>
              </w:r>
            </w:hyperlink>
            <w:r w:rsidRPr="00D61F73">
              <w:rPr>
                <w:rFonts w:ascii="Arial" w:hAnsi="Arial" w:cs="Arial"/>
              </w:rPr>
              <w:t xml:space="preserve">) </w:t>
            </w:r>
            <w:r w:rsidRPr="00D61F73">
              <w:rPr>
                <w:rFonts w:ascii="Arial" w:hAnsi="Arial" w:cs="Arial"/>
                <w:i/>
              </w:rPr>
              <w:t xml:space="preserve">Aetna </w:t>
            </w:r>
            <w:r w:rsidRPr="00D61F73">
              <w:rPr>
                <w:rFonts w:ascii="Arial" w:hAnsi="Arial" w:cs="Arial"/>
                <w:iCs/>
              </w:rPr>
              <w:t>c</w:t>
            </w:r>
            <w:r w:rsidRPr="00D61F73">
              <w:rPr>
                <w:rFonts w:ascii="Arial" w:hAnsi="Arial" w:cs="Arial"/>
              </w:rPr>
              <w:t>onsiders it experimental because its effectiveness has not been established. (</w:t>
            </w:r>
            <w:hyperlink w:anchor="Aetna" w:history="1">
              <w:r w:rsidRPr="00D61F73">
                <w:rPr>
                  <w:rStyle w:val="Hyperlink"/>
                  <w:rFonts w:ascii="Arial" w:hAnsi="Arial" w:cs="Arial"/>
                </w:rPr>
                <w:t>Aetna, 2007</w:t>
              </w:r>
            </w:hyperlink>
            <w:r w:rsidRPr="00D61F73">
              <w:rPr>
                <w:rFonts w:ascii="Arial" w:hAnsi="Arial" w:cs="Arial"/>
              </w:rPr>
              <w:t xml:space="preserve">) </w:t>
            </w:r>
            <w:r w:rsidRPr="00D61F73">
              <w:rPr>
                <w:rFonts w:ascii="Arial" w:hAnsi="Arial" w:cs="Arial"/>
                <w:i/>
                <w:iCs/>
              </w:rPr>
              <w:t>United Healthcare</w:t>
            </w:r>
            <w:r w:rsidRPr="00D61F73">
              <w:rPr>
                <w:rFonts w:ascii="Arial" w:hAnsi="Arial" w:cs="Arial"/>
              </w:rPr>
              <w:t xml:space="preserve"> concluded that clinical evidence supports its use for treatment of pain or non-surgical soft tissue injuries. (</w:t>
            </w:r>
            <w:hyperlink r:id="rId98" w:history="1">
              <w:r w:rsidRPr="00D61F73">
                <w:rPr>
                  <w:rStyle w:val="Hyperlink"/>
                  <w:rFonts w:ascii="Arial" w:hAnsi="Arial" w:cs="Arial"/>
                </w:rPr>
                <w:t>United, 2007</w:t>
              </w:r>
            </w:hyperlink>
            <w:r w:rsidRPr="00D61F73">
              <w:rPr>
                <w:rFonts w:ascii="Arial" w:hAnsi="Arial" w:cs="Arial"/>
              </w:rPr>
              <w:t xml:space="preserve">) </w:t>
            </w:r>
            <w:r w:rsidRPr="00D61F73">
              <w:rPr>
                <w:rFonts w:ascii="Arial" w:hAnsi="Arial" w:cs="Arial"/>
                <w:i/>
                <w:iCs/>
              </w:rPr>
              <w:t>Humana</w:t>
            </w:r>
            <w:r w:rsidRPr="00D61F73">
              <w:rPr>
                <w:rFonts w:ascii="Arial" w:hAnsi="Arial" w:cs="Arial"/>
              </w:rPr>
              <w:t xml:space="preserve"> provides coverage for acute postoperative or post-traumatic pain, or chronic pain of at least three months duration that is not responsive to other methods of pain management. (</w:t>
            </w:r>
            <w:hyperlink r:id="rId99" w:history="1">
              <w:r w:rsidRPr="00D61F73">
                <w:rPr>
                  <w:rStyle w:val="Hyperlink"/>
                  <w:rFonts w:ascii="Arial" w:hAnsi="Arial" w:cs="Arial"/>
                </w:rPr>
                <w:t xml:space="preserve">Humana, </w:t>
              </w:r>
              <w:r w:rsidRPr="00D61F73">
                <w:rPr>
                  <w:rStyle w:val="Hyperlink"/>
                  <w:rFonts w:ascii="Arial" w:hAnsi="Arial" w:cs="Arial"/>
                </w:rPr>
                <w:lastRenderedPageBreak/>
                <w:t>2008</w:t>
              </w:r>
            </w:hyperlink>
            <w:r w:rsidRPr="00D61F73">
              <w:rPr>
                <w:rFonts w:ascii="Arial" w:hAnsi="Arial" w:cs="Arial"/>
              </w:rPr>
              <w:t xml:space="preserve">) There is considerable variance in the </w:t>
            </w:r>
            <w:r w:rsidRPr="00D61F73">
              <w:rPr>
                <w:rFonts w:ascii="Arial" w:hAnsi="Arial" w:cs="Arial"/>
                <w:i/>
                <w:iCs/>
              </w:rPr>
              <w:t>Blue Cross/Blue Shield</w:t>
            </w:r>
            <w:r w:rsidRPr="00D61F73">
              <w:rPr>
                <w:rFonts w:ascii="Arial" w:hAnsi="Arial" w:cs="Arial"/>
              </w:rPr>
              <w:t xml:space="preserve"> coverage recommendations, and some BC/BS licensees reference ICS as investigational/not medically necessary (</w:t>
            </w:r>
            <w:hyperlink w:anchor="BlueCrossBlueShield7" w:history="1">
              <w:r w:rsidRPr="00D61F73">
                <w:rPr>
                  <w:rStyle w:val="Hyperlink"/>
                  <w:rFonts w:ascii="Arial" w:hAnsi="Arial" w:cs="Arial"/>
                </w:rPr>
                <w:t>BlueCross BlueShield, 2006</w:t>
              </w:r>
            </w:hyperlink>
            <w:r w:rsidRPr="00D61F73">
              <w:rPr>
                <w:rFonts w:ascii="Arial" w:hAnsi="Arial" w:cs="Arial"/>
              </w:rPr>
              <w:t>), but others do cover it. (</w:t>
            </w:r>
            <w:hyperlink r:id="rId100" w:history="1">
              <w:r w:rsidRPr="00D61F73">
                <w:rPr>
                  <w:rStyle w:val="Hyperlink"/>
                  <w:rFonts w:ascii="Arial" w:hAnsi="Arial" w:cs="Arial"/>
                </w:rPr>
                <w:t>BC/BS_TN, 2008</w:t>
              </w:r>
            </w:hyperlink>
            <w:r w:rsidRPr="00D61F73">
              <w:rPr>
                <w:rFonts w:ascii="Arial" w:hAnsi="Arial" w:cs="Arial"/>
              </w:rPr>
              <w:t xml:space="preserve">) </w:t>
            </w:r>
            <w:r w:rsidRPr="00D61F73">
              <w:rPr>
                <w:rFonts w:ascii="Arial" w:hAnsi="Arial" w:cs="Arial"/>
                <w:i/>
              </w:rPr>
              <w:t xml:space="preserve">CMS </w:t>
            </w:r>
            <w:r w:rsidRPr="00D61F73">
              <w:rPr>
                <w:rFonts w:ascii="Arial" w:hAnsi="Arial" w:cs="Arial"/>
                <w:iCs/>
              </w:rPr>
              <w:t>d</w:t>
            </w:r>
            <w:r w:rsidRPr="00D61F73">
              <w:rPr>
                <w:rFonts w:ascii="Arial" w:hAnsi="Arial" w:cs="Arial"/>
              </w:rPr>
              <w:t>oes not directly address its use. In workers’ comp, Washington L&amp;I covers these devices, but only from a single TENS supplier. (</w:t>
            </w:r>
            <w:hyperlink r:id="rId101" w:history="1">
              <w:r w:rsidRPr="00D61F73">
                <w:rPr>
                  <w:rStyle w:val="Hyperlink"/>
                  <w:rFonts w:ascii="Arial" w:hAnsi="Arial" w:cs="Arial"/>
                </w:rPr>
                <w:t>Washington, 2008</w:t>
              </w:r>
            </w:hyperlink>
            <w:r w:rsidRPr="00D61F73">
              <w:rPr>
                <w:rFonts w:ascii="Arial" w:hAnsi="Arial" w:cs="Arial"/>
              </w:rPr>
              <w:t>) [Note: Coverage determinations by health insurance plans are not considered high-quality evidence in formulating ODG recommendations, but may be provided for reference when high-quality studies are not available.]</w:t>
            </w:r>
          </w:p>
          <w:p w14:paraId="5B7B8684" w14:textId="77777777" w:rsidR="00E648FC" w:rsidRPr="00D61F73" w:rsidRDefault="00E648FC" w:rsidP="00D61F73">
            <w:pPr>
              <w:rPr>
                <w:rFonts w:ascii="Arial" w:hAnsi="Arial" w:cs="Arial"/>
                <w:b/>
                <w:bCs/>
              </w:rPr>
            </w:pPr>
            <w:r w:rsidRPr="00D61F73">
              <w:rPr>
                <w:rFonts w:ascii="Arial" w:hAnsi="Arial" w:cs="Arial"/>
                <w:b/>
                <w:bCs/>
              </w:rPr>
              <w:t>While not recommended as an isolated intervention, the following patient selection criteria should be documented by the medical care provider for Interferential Current Stimulation to be determined medically necessary:</w:t>
            </w:r>
          </w:p>
          <w:p w14:paraId="2CE44D52" w14:textId="77777777" w:rsidR="00E648FC" w:rsidRPr="00D61F73" w:rsidRDefault="00E648FC" w:rsidP="00D61F73">
            <w:pPr>
              <w:rPr>
                <w:rFonts w:ascii="Arial" w:hAnsi="Arial" w:cs="Arial"/>
              </w:rPr>
            </w:pPr>
            <w:r w:rsidRPr="00D61F73">
              <w:rPr>
                <w:rFonts w:ascii="Arial" w:hAnsi="Arial" w:cs="Arial"/>
              </w:rPr>
              <w:t>Possibly appropriate for the following conditions if it has been documented and proven to be effective as directed or applied by the physician or a provider licensed to provide physical therapy:</w:t>
            </w:r>
          </w:p>
          <w:p w14:paraId="4D772026" w14:textId="77777777" w:rsidR="00E648FC" w:rsidRPr="00D61F73" w:rsidRDefault="00E648FC" w:rsidP="00D61F73">
            <w:pPr>
              <w:rPr>
                <w:rFonts w:ascii="Arial" w:hAnsi="Arial" w:cs="Arial"/>
              </w:rPr>
            </w:pPr>
            <w:r w:rsidRPr="00D61F73">
              <w:rPr>
                <w:rFonts w:ascii="Arial" w:hAnsi="Arial" w:cs="Arial"/>
              </w:rPr>
              <w:t xml:space="preserve">- Pain is ineffectively controlled due to diminished effectiveness of medications; or </w:t>
            </w:r>
          </w:p>
          <w:p w14:paraId="6E193814" w14:textId="77777777" w:rsidR="00E648FC" w:rsidRPr="00D61F73" w:rsidRDefault="00E648FC" w:rsidP="00D61F73">
            <w:pPr>
              <w:rPr>
                <w:rFonts w:ascii="Arial" w:hAnsi="Arial" w:cs="Arial"/>
              </w:rPr>
            </w:pPr>
            <w:r w:rsidRPr="00D61F73">
              <w:rPr>
                <w:rFonts w:ascii="Arial" w:hAnsi="Arial" w:cs="Arial"/>
              </w:rPr>
              <w:t xml:space="preserve">- Pain is ineffectively controlled with medications due to side effects; or </w:t>
            </w:r>
          </w:p>
          <w:p w14:paraId="58895525" w14:textId="77777777" w:rsidR="00E648FC" w:rsidRPr="00D61F73" w:rsidRDefault="00E648FC" w:rsidP="00D61F73">
            <w:pPr>
              <w:rPr>
                <w:rFonts w:ascii="Arial" w:hAnsi="Arial" w:cs="Arial"/>
              </w:rPr>
            </w:pPr>
            <w:r w:rsidRPr="00D61F73">
              <w:rPr>
                <w:rFonts w:ascii="Arial" w:hAnsi="Arial" w:cs="Arial"/>
              </w:rPr>
              <w:t xml:space="preserve">- History of substance abuse; or </w:t>
            </w:r>
          </w:p>
          <w:p w14:paraId="27944C47" w14:textId="77777777" w:rsidR="00E648FC" w:rsidRPr="00D61F73" w:rsidRDefault="00E648FC" w:rsidP="00D61F73">
            <w:pPr>
              <w:rPr>
                <w:rFonts w:ascii="Arial" w:hAnsi="Arial" w:cs="Arial"/>
              </w:rPr>
            </w:pPr>
            <w:r w:rsidRPr="00D61F73">
              <w:rPr>
                <w:rFonts w:ascii="Arial" w:hAnsi="Arial" w:cs="Arial"/>
              </w:rPr>
              <w:t xml:space="preserve">- Significant pain from postoperative or acute conditions limits the ability to perform exercise programs/physical therapy treatment; or </w:t>
            </w:r>
          </w:p>
          <w:p w14:paraId="7F3EFF7A" w14:textId="77777777" w:rsidR="00E648FC" w:rsidRPr="00D61F73" w:rsidRDefault="00E648FC" w:rsidP="00D61F73">
            <w:pPr>
              <w:rPr>
                <w:rFonts w:ascii="Arial" w:hAnsi="Arial" w:cs="Arial"/>
              </w:rPr>
            </w:pPr>
            <w:r w:rsidRPr="00D61F73">
              <w:rPr>
                <w:rFonts w:ascii="Arial" w:hAnsi="Arial" w:cs="Arial"/>
              </w:rPr>
              <w:t xml:space="preserve">- Unresponsive to conservative measures (e.g., repositioning, heat/ice, medications, etc.). </w:t>
            </w:r>
          </w:p>
          <w:p w14:paraId="2EDBFAA9" w14:textId="0FA17EAA" w:rsidR="00E648FC" w:rsidRPr="00D61F73" w:rsidRDefault="00E648FC" w:rsidP="00D61F73">
            <w:pPr>
              <w:rPr>
                <w:rFonts w:ascii="Arial" w:hAnsi="Arial" w:cs="Arial"/>
              </w:rPr>
            </w:pPr>
            <w:r w:rsidRPr="00D61F73">
              <w:rPr>
                <w:rFonts w:ascii="Arial" w:hAnsi="Arial" w:cs="Arial"/>
              </w:rPr>
              <w:t xml:space="preserve">If those criteria are met, then a one-month trial may be appropriate to permit the physician and physical therapy provider to study the effects and benefits. There should be evidence of increased </w:t>
            </w:r>
            <w:hyperlink w:anchor="Functionalimprovementmeasures" w:history="1">
              <w:r w:rsidRPr="00D61F73">
                <w:rPr>
                  <w:rStyle w:val="Hyperlink"/>
                  <w:rFonts w:ascii="Arial" w:hAnsi="Arial" w:cs="Arial"/>
                </w:rPr>
                <w:t>functional improvement</w:t>
              </w:r>
            </w:hyperlink>
            <w:r w:rsidRPr="00D61F73">
              <w:rPr>
                <w:rFonts w:ascii="Arial" w:hAnsi="Arial" w:cs="Arial"/>
              </w:rPr>
              <w:t>, less reported pain and evidence of medication reduction.</w:t>
            </w:r>
          </w:p>
          <w:p w14:paraId="482BEB4D" w14:textId="77777777" w:rsidR="00E648FC" w:rsidRPr="00D61F73" w:rsidRDefault="00E648FC" w:rsidP="00D61F73">
            <w:pPr>
              <w:rPr>
                <w:rFonts w:ascii="Arial" w:hAnsi="Arial" w:cs="Arial"/>
              </w:rPr>
            </w:pPr>
            <w:r w:rsidRPr="00D61F73">
              <w:rPr>
                <w:rFonts w:ascii="Arial" w:hAnsi="Arial" w:cs="Arial"/>
              </w:rPr>
              <w:t>A “jacket” should not be certified until after the one-month trial and only with documentation that the individual cannot apply the stimulation pads alone or with the help of another available person.  If treatment is determined to be medically necessary, as with all other treatment modalities, the efficacy and continued need for this intervention should be periodically reassessed and documented. Treatment of unlimited duration is not recommended.</w:t>
            </w:r>
          </w:p>
        </w:tc>
      </w:tr>
      <w:tr w:rsidR="00E648FC" w:rsidRPr="00D61F73" w14:paraId="02510A89" w14:textId="77777777" w:rsidTr="0078164D">
        <w:tc>
          <w:tcPr>
            <w:tcW w:w="1086" w:type="pct"/>
          </w:tcPr>
          <w:p w14:paraId="0069381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I</w:t>
            </w:r>
            <w:bookmarkStart w:id="261" w:name="Internalqigong"/>
            <w:bookmarkEnd w:id="261"/>
            <w:r w:rsidRPr="00D61F73">
              <w:rPr>
                <w:rFonts w:ascii="Arial" w:hAnsi="Arial" w:cs="Arial"/>
              </w:rPr>
              <w:t>nternal qigong</w:t>
            </w:r>
          </w:p>
        </w:tc>
        <w:tc>
          <w:tcPr>
            <w:tcW w:w="3914" w:type="pct"/>
          </w:tcPr>
          <w:p w14:paraId="5F98C1D6" w14:textId="77777777" w:rsidR="00E648FC" w:rsidRPr="00D61F73" w:rsidRDefault="00E648FC" w:rsidP="00D61F73">
            <w:pPr>
              <w:rPr>
                <w:rFonts w:ascii="Arial" w:hAnsi="Arial" w:cs="Arial"/>
              </w:rPr>
            </w:pPr>
            <w:r w:rsidRPr="00D61F73">
              <w:rPr>
                <w:rFonts w:ascii="Arial" w:hAnsi="Arial" w:cs="Arial"/>
              </w:rPr>
              <w:t>Not recommended. This review of controlled clinical trials focused on the effects of internal qigong, a self-directed energy healing intervention involving movement and meditation. Collectively, the existing trial evidence is not convincing enough to suggest that internal qigong is an effective modality for pain management. (</w:t>
            </w:r>
            <w:hyperlink w:anchor="Lee2" w:history="1">
              <w:r w:rsidRPr="00D61F73">
                <w:rPr>
                  <w:rStyle w:val="Hyperlink"/>
                  <w:rFonts w:ascii="Arial" w:hAnsi="Arial" w:cs="Arial"/>
                </w:rPr>
                <w:t>Lee, 2009</w:t>
              </w:r>
            </w:hyperlink>
            <w:r w:rsidRPr="00D61F73">
              <w:rPr>
                <w:rFonts w:ascii="Arial" w:hAnsi="Arial" w:cs="Arial"/>
              </w:rPr>
              <w:t xml:space="preserve">) Qi Gong or Qigong is a traditional Chinese medicine technique. There are two types of qigong: internal and external. Internal qigong techniques include learned and self-directed exercises that involve sounds, movements and meditation. External qigong (Qi emission) is practiced by a Qi Gongmaster who uses his or her hands with the aim to project qi ("chi") to others for the purpose of healing. In traditional Chinese medicine, qigong is considered beneficial for a large variety of medical conditions. Many practitioners believe there is a role for qigong in treating chronic conditions such as cancer, chronic fatigue syndrome, osteoporosis, high blood pressure, stomach ulcers and </w:t>
            </w:r>
            <w:r w:rsidRPr="00D61F73">
              <w:rPr>
                <w:rFonts w:ascii="Arial" w:hAnsi="Arial" w:cs="Arial"/>
              </w:rPr>
              <w:lastRenderedPageBreak/>
              <w:t>asthma. There is early research supporting the use of internal qigong exercises or externally applied Qi for pain management and reduction of anxiety associated with pain. More evidence is needed before a firm recommendation can be made. Qigong is generally believed to be safe when practiced appropriately, but it should not be used as the sole treatment for severe illnesses, and people with psychiatric disorders should only practice qigong under supervision.</w:t>
            </w:r>
          </w:p>
        </w:tc>
      </w:tr>
      <w:tr w:rsidR="00E648FC" w:rsidRPr="00D61F73" w14:paraId="49D575CB" w14:textId="77777777" w:rsidTr="0078164D">
        <w:tc>
          <w:tcPr>
            <w:tcW w:w="1086" w:type="pct"/>
          </w:tcPr>
          <w:p w14:paraId="7A0DD8D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I</w:t>
            </w:r>
            <w:bookmarkStart w:id="262" w:name="Intrathecaldrugdeliverysystems"/>
            <w:bookmarkEnd w:id="262"/>
            <w:r w:rsidRPr="00D61F73">
              <w:rPr>
                <w:rFonts w:ascii="Arial" w:hAnsi="Arial" w:cs="Arial"/>
              </w:rPr>
              <w:t xml:space="preserve">ntrathecal drug delivery systems (IDDSs) </w:t>
            </w:r>
          </w:p>
        </w:tc>
        <w:tc>
          <w:tcPr>
            <w:tcW w:w="3914" w:type="pct"/>
          </w:tcPr>
          <w:p w14:paraId="0043F332" w14:textId="77777777" w:rsidR="00E648FC" w:rsidRPr="00D61F73" w:rsidRDefault="00E648FC" w:rsidP="00D61F73">
            <w:pPr>
              <w:rPr>
                <w:rFonts w:ascii="Arial" w:hAnsi="Arial" w:cs="Arial"/>
                <w:iCs/>
              </w:rPr>
            </w:pPr>
            <w:r w:rsidRPr="00D61F73">
              <w:rPr>
                <w:rFonts w:ascii="Arial" w:hAnsi="Arial" w:cs="Arial"/>
                <w:iCs/>
              </w:rPr>
              <w:t xml:space="preserve">See </w:t>
            </w:r>
            <w:hyperlink w:anchor="Implantabledrugdelivery" w:history="1">
              <w:r w:rsidR="00E47F2A" w:rsidRPr="00D61F73">
                <w:rPr>
                  <w:rStyle w:val="Hyperlink"/>
                  <w:rFonts w:ascii="Arial" w:hAnsi="Arial" w:cs="Arial"/>
                  <w:iCs/>
                </w:rPr>
                <w:t>Implantable drug delivery systems</w:t>
              </w:r>
            </w:hyperlink>
            <w:r w:rsidR="00E47F2A" w:rsidRPr="00D61F73">
              <w:rPr>
                <w:rFonts w:ascii="Arial" w:hAnsi="Arial" w:cs="Arial"/>
                <w:iCs/>
              </w:rPr>
              <w:t xml:space="preserve"> </w:t>
            </w:r>
            <w:r w:rsidRPr="00D61F73">
              <w:rPr>
                <w:rFonts w:ascii="Arial" w:hAnsi="Arial" w:cs="Arial"/>
                <w:iCs/>
              </w:rPr>
              <w:t>(IDDSs).</w:t>
            </w:r>
          </w:p>
        </w:tc>
      </w:tr>
      <w:tr w:rsidR="00E648FC" w:rsidRPr="00D61F73" w14:paraId="3198B645" w14:textId="77777777" w:rsidTr="0078164D">
        <w:tc>
          <w:tcPr>
            <w:tcW w:w="1086" w:type="pct"/>
          </w:tcPr>
          <w:p w14:paraId="1D14C22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63" w:name="Intrathecalpumps"/>
            <w:bookmarkEnd w:id="263"/>
            <w:r w:rsidRPr="00D61F73">
              <w:rPr>
                <w:rFonts w:ascii="Arial" w:hAnsi="Arial" w:cs="Arial"/>
              </w:rPr>
              <w:t>ntrathecal pumps</w:t>
            </w:r>
          </w:p>
        </w:tc>
        <w:tc>
          <w:tcPr>
            <w:tcW w:w="3914" w:type="pct"/>
          </w:tcPr>
          <w:p w14:paraId="4069B02E" w14:textId="77777777" w:rsidR="00E648FC" w:rsidRPr="00D61F73" w:rsidRDefault="00E648FC" w:rsidP="00D61F73">
            <w:pPr>
              <w:rPr>
                <w:rFonts w:ascii="Arial" w:hAnsi="Arial" w:cs="Arial"/>
              </w:rPr>
            </w:pPr>
            <w:r w:rsidRPr="00D61F73">
              <w:rPr>
                <w:rFonts w:ascii="Arial" w:hAnsi="Arial" w:cs="Arial"/>
              </w:rPr>
              <w:t xml:space="preserve">See </w:t>
            </w:r>
            <w:hyperlink w:anchor="Implantabledrugdelivery" w:history="1">
              <w:r w:rsidRPr="00D61F73">
                <w:rPr>
                  <w:rStyle w:val="Hyperlink"/>
                  <w:rFonts w:ascii="Arial" w:hAnsi="Arial" w:cs="Arial"/>
                </w:rPr>
                <w:t>Implantable drug-delivery systems</w:t>
              </w:r>
            </w:hyperlink>
            <w:r w:rsidRPr="00D61F73">
              <w:rPr>
                <w:rFonts w:ascii="Arial" w:hAnsi="Arial" w:cs="Arial"/>
              </w:rPr>
              <w:t xml:space="preserve"> (IDDSs).</w:t>
            </w:r>
          </w:p>
        </w:tc>
      </w:tr>
      <w:tr w:rsidR="00E648FC" w:rsidRPr="00D61F73" w14:paraId="6472113D" w14:textId="77777777" w:rsidTr="0078164D">
        <w:tc>
          <w:tcPr>
            <w:tcW w:w="1086" w:type="pct"/>
          </w:tcPr>
          <w:p w14:paraId="4A953B9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I</w:t>
            </w:r>
            <w:bookmarkStart w:id="264" w:name="Intravenousregionalsympatheticblocks"/>
            <w:bookmarkEnd w:id="264"/>
            <w:r w:rsidRPr="00D61F73">
              <w:rPr>
                <w:rFonts w:ascii="Arial" w:hAnsi="Arial" w:cs="Arial"/>
              </w:rPr>
              <w:t>ntravenous regional sympathetic blocks (for RSD/CRPS)</w:t>
            </w:r>
          </w:p>
        </w:tc>
        <w:tc>
          <w:tcPr>
            <w:tcW w:w="3914" w:type="pct"/>
          </w:tcPr>
          <w:p w14:paraId="5A1B4D51" w14:textId="77777777" w:rsidR="00E648FC" w:rsidRPr="00D61F73" w:rsidRDefault="00E648FC" w:rsidP="00D61F73">
            <w:pPr>
              <w:rPr>
                <w:rFonts w:ascii="Arial" w:hAnsi="Arial" w:cs="Arial"/>
              </w:rPr>
            </w:pPr>
            <w:r w:rsidRPr="00D61F73">
              <w:rPr>
                <w:rFonts w:ascii="Arial" w:hAnsi="Arial" w:cs="Arial"/>
              </w:rPr>
              <w:t>Not recommended due to lack of evidence for use. There is no role for IV diagnostic blocks with phentolamine or IVRA with guanethidine. Other procedures include IV regional blocks with lidocaine, lidocaine-methyl-prednisolone, droperidol, ketanserin, atropine, bretylium, clonidine, and reserpine. If used, there must be evidence that the Budapest criteria have been met and all other diagnoses have been ruled out. Evidence of sympathetically mediated pain should be provided. The reason for the necessity of this procedure over-and-above a standard sympathetic block should also be provided. (</w:t>
            </w:r>
            <w:hyperlink w:anchor="Perez2010" w:history="1">
              <w:r w:rsidRPr="00D61F73">
                <w:rPr>
                  <w:rStyle w:val="Hyperlink"/>
                  <w:rFonts w:ascii="Arial" w:hAnsi="Arial" w:cs="Arial"/>
                </w:rPr>
                <w:t>Perez, 2010</w:t>
              </w:r>
            </w:hyperlink>
            <w:r w:rsidRPr="00D61F73">
              <w:rPr>
                <w:rFonts w:ascii="Arial" w:hAnsi="Arial" w:cs="Arial"/>
              </w:rPr>
              <w:t>) (</w:t>
            </w:r>
            <w:hyperlink w:anchor="Harden2013" w:history="1">
              <w:r w:rsidRPr="00D61F73">
                <w:rPr>
                  <w:rStyle w:val="Hyperlink"/>
                  <w:rFonts w:ascii="Arial" w:hAnsi="Arial" w:cs="Arial"/>
                </w:rPr>
                <w:t>Harden, 2013</w:t>
              </w:r>
            </w:hyperlink>
            <w:r w:rsidRPr="00D61F73">
              <w:rPr>
                <w:rFonts w:ascii="Arial" w:hAnsi="Arial" w:cs="Arial"/>
              </w:rPr>
              <w:t>) (</w:t>
            </w:r>
            <w:hyperlink w:anchor="Tran2010" w:history="1">
              <w:r w:rsidRPr="00D61F73">
                <w:rPr>
                  <w:rStyle w:val="Hyperlink"/>
                  <w:rFonts w:ascii="Arial" w:hAnsi="Arial" w:cs="Arial"/>
                </w:rPr>
                <w:t>Tran, 2010</w:t>
              </w:r>
            </w:hyperlink>
            <w:r w:rsidRPr="00D61F73">
              <w:rPr>
                <w:rFonts w:ascii="Arial" w:hAnsi="Arial" w:cs="Arial"/>
              </w:rPr>
              <w:t xml:space="preserve">) See also </w:t>
            </w:r>
            <w:hyperlink w:anchor="CRPSsympatheticblocks" w:history="1">
              <w:r w:rsidRPr="00D61F73">
                <w:rPr>
                  <w:rStyle w:val="Hyperlink"/>
                  <w:rFonts w:ascii="Arial" w:hAnsi="Arial" w:cs="Arial"/>
                </w:rPr>
                <w:t>CRPS, sympathetic blocks</w:t>
              </w:r>
            </w:hyperlink>
            <w:r w:rsidRPr="00D61F73">
              <w:rPr>
                <w:rFonts w:ascii="Arial" w:hAnsi="Arial" w:cs="Arial"/>
              </w:rPr>
              <w:t xml:space="preserve"> (therapeutic).</w:t>
            </w:r>
          </w:p>
        </w:tc>
      </w:tr>
      <w:tr w:rsidR="00E648FC" w:rsidRPr="00D61F73" w14:paraId="01BCF848" w14:textId="77777777" w:rsidTr="0078164D">
        <w:tc>
          <w:tcPr>
            <w:tcW w:w="1086" w:type="pct"/>
          </w:tcPr>
          <w:p w14:paraId="070C31D2" w14:textId="77777777" w:rsidR="00E648FC" w:rsidRPr="00D61F73" w:rsidRDefault="00E648FC" w:rsidP="00D61F73">
            <w:pPr>
              <w:pStyle w:val="Footer"/>
              <w:tabs>
                <w:tab w:val="clear" w:pos="4320"/>
                <w:tab w:val="clear" w:pos="8640"/>
              </w:tabs>
              <w:rPr>
                <w:rFonts w:ascii="Arial" w:hAnsi="Arial" w:cs="Arial"/>
                <w:u w:val="single"/>
              </w:rPr>
            </w:pPr>
            <w:r w:rsidRPr="00D61F73">
              <w:rPr>
                <w:rFonts w:ascii="Arial" w:hAnsi="Arial" w:cs="Arial"/>
                <w:u w:val="single"/>
              </w:rPr>
              <w:t>K</w:t>
            </w:r>
            <w:bookmarkStart w:id="265" w:name="Kadian"/>
            <w:bookmarkEnd w:id="265"/>
            <w:r w:rsidRPr="00D61F73">
              <w:rPr>
                <w:rFonts w:ascii="Arial" w:hAnsi="Arial" w:cs="Arial"/>
                <w:u w:val="single"/>
              </w:rPr>
              <w:t xml:space="preserve">adian® (morphine sulfate) </w:t>
            </w:r>
          </w:p>
          <w:p w14:paraId="79E004E6" w14:textId="77777777" w:rsidR="00E648FC" w:rsidRPr="00D61F73" w:rsidRDefault="00E648FC" w:rsidP="00D61F73">
            <w:pPr>
              <w:pStyle w:val="Footer"/>
              <w:tabs>
                <w:tab w:val="clear" w:pos="4320"/>
                <w:tab w:val="clear" w:pos="8640"/>
              </w:tabs>
              <w:rPr>
                <w:rFonts w:ascii="Arial" w:hAnsi="Arial" w:cs="Arial"/>
                <w:u w:val="single"/>
              </w:rPr>
            </w:pPr>
          </w:p>
          <w:p w14:paraId="2228F3ED" w14:textId="77777777" w:rsidR="00E648FC" w:rsidRPr="00D61F73" w:rsidRDefault="00E648FC" w:rsidP="00D61F73">
            <w:pPr>
              <w:pStyle w:val="Footer"/>
              <w:tabs>
                <w:tab w:val="clear" w:pos="4320"/>
                <w:tab w:val="clear" w:pos="8640"/>
              </w:tabs>
              <w:rPr>
                <w:rFonts w:ascii="Arial" w:hAnsi="Arial" w:cs="Arial"/>
                <w:u w:val="single"/>
              </w:rPr>
            </w:pPr>
          </w:p>
        </w:tc>
        <w:tc>
          <w:tcPr>
            <w:tcW w:w="3914" w:type="pct"/>
          </w:tcPr>
          <w:p w14:paraId="1822950E" w14:textId="4ECAFB99" w:rsidR="00E648FC" w:rsidRPr="00D61F73" w:rsidRDefault="00E648FC" w:rsidP="00D61F73">
            <w:pPr>
              <w:rPr>
                <w:rFonts w:ascii="Arial" w:hAnsi="Arial" w:cs="Arial"/>
              </w:rPr>
            </w:pPr>
            <w:r w:rsidRPr="00D61F73">
              <w:rPr>
                <w:rFonts w:ascii="Arial" w:hAnsi="Arial" w:cs="Arial"/>
              </w:rPr>
              <w:t xml:space="preserve">See </w:t>
            </w:r>
            <w:r w:rsidR="00E45CCC" w:rsidRPr="00D61F73">
              <w:rPr>
                <w:rFonts w:ascii="Arial" w:hAnsi="Arial" w:cs="Arial"/>
              </w:rPr>
              <w:t xml:space="preserve">MTUS Opioids Treatment Guidelines </w:t>
            </w:r>
            <w:r w:rsidRPr="00D61F73">
              <w:rPr>
                <w:rFonts w:ascii="Arial" w:hAnsi="Arial" w:cs="Arial"/>
                <w:bCs/>
              </w:rPr>
              <w:t xml:space="preserve">for recommendations on the use of opioids. </w:t>
            </w:r>
            <w:r w:rsidRPr="00D61F73">
              <w:rPr>
                <w:rFonts w:ascii="Arial" w:hAnsi="Arial" w:cs="Arial"/>
              </w:rPr>
              <w:t>According to the FDA approved prescribing information, “</w:t>
            </w:r>
            <w:r w:rsidRPr="00D61F73">
              <w:rPr>
                <w:rFonts w:ascii="Arial" w:hAnsi="Arial" w:cs="Arial"/>
                <w:i/>
                <w:iCs/>
              </w:rPr>
              <w:t>Use of Kadian as the First Opioid Analgesic:”</w:t>
            </w:r>
            <w:r w:rsidRPr="00D61F73">
              <w:rPr>
                <w:rFonts w:ascii="Arial" w:hAnsi="Arial" w:cs="Arial"/>
              </w:rPr>
              <w:t xml:space="preserve"> There has been no evaluation of Kadian as an initial opioid analgesic in the management of pain. (</w:t>
            </w:r>
            <w:hyperlink r:id="rId102" w:history="1">
              <w:r w:rsidRPr="00D61F73">
                <w:rPr>
                  <w:rStyle w:val="Hyperlink"/>
                  <w:rFonts w:ascii="Arial" w:hAnsi="Arial" w:cs="Arial"/>
                </w:rPr>
                <w:t>FDA, 2010</w:t>
              </w:r>
            </w:hyperlink>
            <w:r w:rsidRPr="00D61F73">
              <w:rPr>
                <w:rFonts w:ascii="Arial" w:hAnsi="Arial" w:cs="Arial"/>
              </w:rPr>
              <w:t xml:space="preserve">) Kadian is not for use as an as-needed (PRN) analgesic. It is not for use for pain that is mild or not expected to persist for an extended period of time. It is not for use for acute pain and not for use for postoperative pain unless the patient is already receiving chronic opioid therapy. </w:t>
            </w:r>
            <w:r w:rsidRPr="00D61F73">
              <w:rPr>
                <w:rFonts w:ascii="Arial" w:hAnsi="Arial" w:cs="Arial"/>
                <w:i/>
              </w:rPr>
              <w:t xml:space="preserve">Dosing: </w:t>
            </w:r>
            <w:r w:rsidRPr="00D61F73">
              <w:rPr>
                <w:rFonts w:ascii="Arial" w:hAnsi="Arial" w:cs="Arial"/>
              </w:rPr>
              <w:t xml:space="preserve">There is no data to support the use of Kadian more than every 12 hours. </w:t>
            </w:r>
            <w:r w:rsidRPr="00D61F73">
              <w:rPr>
                <w:rFonts w:ascii="Arial" w:hAnsi="Arial" w:cs="Arial"/>
                <w:i/>
              </w:rPr>
              <w:t xml:space="preserve">Comparison to use of other extended-release morphine formulations: </w:t>
            </w:r>
            <w:r w:rsidRPr="00D61F73">
              <w:rPr>
                <w:rFonts w:ascii="Arial" w:hAnsi="Arial" w:cs="Arial"/>
              </w:rPr>
              <w:t>Research has shown no significant difference between Kadian (in 24 and 12 hour dosing duration) as compared to MS Contin treatment of cancer pain in terms of or safety. (</w:t>
            </w:r>
            <w:hyperlink w:anchor="Broomhead1997" w:history="1">
              <w:r w:rsidRPr="00D61F73">
                <w:rPr>
                  <w:rStyle w:val="Hyperlink"/>
                  <w:rFonts w:ascii="Arial" w:hAnsi="Arial" w:cs="Arial"/>
                </w:rPr>
                <w:t>Broomhead, 1997</w:t>
              </w:r>
            </w:hyperlink>
            <w:r w:rsidRPr="00D61F73">
              <w:rPr>
                <w:rFonts w:ascii="Arial" w:hAnsi="Arial" w:cs="Arial"/>
              </w:rPr>
              <w:t>) (</w:t>
            </w:r>
            <w:hyperlink w:anchor="Gourlay1997" w:history="1">
              <w:r w:rsidRPr="00D61F73">
                <w:rPr>
                  <w:rStyle w:val="Hyperlink"/>
                  <w:rFonts w:ascii="Arial" w:hAnsi="Arial" w:cs="Arial"/>
                </w:rPr>
                <w:t>Gourlay 1997</w:t>
              </w:r>
            </w:hyperlink>
            <w:r w:rsidRPr="00D61F73">
              <w:rPr>
                <w:rFonts w:ascii="Arial" w:hAnsi="Arial" w:cs="Arial"/>
              </w:rPr>
              <w:t xml:space="preserve">) </w:t>
            </w:r>
            <w:r w:rsidRPr="00D61F73">
              <w:rPr>
                <w:rFonts w:ascii="Arial" w:hAnsi="Arial" w:cs="Arial"/>
                <w:i/>
              </w:rPr>
              <w:t xml:space="preserve">Bioequivalence: </w:t>
            </w:r>
            <w:r w:rsidRPr="00D61F73">
              <w:rPr>
                <w:rFonts w:ascii="Arial" w:hAnsi="Arial" w:cs="Arial"/>
              </w:rPr>
              <w:t xml:space="preserve">As per the Package Insert, Kadian is not bioequivalent to other extended-release morphine preparations. The slower release of morphine may result in reduced maximum and increased minimum plasma morphine concentrations than with shorter acting morphine products. Conversion to other extended-release morphine preparations may lead to either excessive sedation at peak or inadequate analgesia at trough. The FDA Orange Book (accessed March 2013) has determined that actual or potential bioequivalence problems have been resolved with adequate </w:t>
            </w:r>
            <w:r w:rsidRPr="00D61F73">
              <w:rPr>
                <w:rFonts w:ascii="Arial" w:hAnsi="Arial" w:cs="Arial"/>
                <w:i/>
              </w:rPr>
              <w:t>in vivo</w:t>
            </w:r>
            <w:r w:rsidRPr="00D61F73">
              <w:rPr>
                <w:rFonts w:ascii="Arial" w:hAnsi="Arial" w:cs="Arial"/>
              </w:rPr>
              <w:t xml:space="preserve"> and/or </w:t>
            </w:r>
            <w:r w:rsidRPr="00D61F73">
              <w:rPr>
                <w:rFonts w:ascii="Arial" w:hAnsi="Arial" w:cs="Arial"/>
                <w:i/>
              </w:rPr>
              <w:t>in vitro</w:t>
            </w:r>
            <w:r w:rsidRPr="00D61F73">
              <w:rPr>
                <w:rFonts w:ascii="Arial" w:hAnsi="Arial" w:cs="Arial"/>
              </w:rPr>
              <w:t xml:space="preserve"> evidence supporting bioequivalence. </w:t>
            </w:r>
          </w:p>
        </w:tc>
      </w:tr>
      <w:tr w:rsidR="00E648FC" w:rsidRPr="00D61F73" w14:paraId="5DC74369" w14:textId="77777777" w:rsidTr="0078164D">
        <w:tc>
          <w:tcPr>
            <w:tcW w:w="1086" w:type="pct"/>
          </w:tcPr>
          <w:p w14:paraId="498D8C7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K</w:t>
            </w:r>
            <w:bookmarkStart w:id="266" w:name="Ketamine"/>
            <w:bookmarkEnd w:id="266"/>
            <w:r w:rsidRPr="00D61F73">
              <w:rPr>
                <w:rFonts w:ascii="Arial" w:hAnsi="Arial" w:cs="Arial"/>
              </w:rPr>
              <w:t>etamine</w:t>
            </w:r>
          </w:p>
        </w:tc>
        <w:tc>
          <w:tcPr>
            <w:tcW w:w="3914" w:type="pct"/>
          </w:tcPr>
          <w:p w14:paraId="5653894D" w14:textId="77777777" w:rsidR="00E648FC" w:rsidRPr="00D61F73" w:rsidRDefault="00E648FC" w:rsidP="00D61F73">
            <w:pPr>
              <w:rPr>
                <w:rFonts w:ascii="Arial" w:hAnsi="Arial" w:cs="Arial"/>
              </w:rPr>
            </w:pPr>
            <w:r w:rsidRPr="00D61F73">
              <w:rPr>
                <w:rFonts w:ascii="Arial" w:hAnsi="Arial" w:cs="Arial"/>
              </w:rPr>
              <w:t>Not recommended. There is insufficient evidence to support the use of ketamine for the treatment of CRPS. Current studies are experimental and there is no consistent recommendation for protocols, including for infusion solutions (in terms of mg/kg/hr), duration of infusion time, when to repeat infusions, how many infusions to recommend, or what kind of outcome would indicate the protocol should be discontinued. The safety of long-</w:t>
            </w:r>
            <w:r w:rsidRPr="00D61F73">
              <w:rPr>
                <w:rFonts w:ascii="Arial" w:hAnsi="Arial" w:cs="Arial"/>
              </w:rPr>
              <w:lastRenderedPageBreak/>
              <w:t>term use of the drug has also not been established, with evidence of potential of neurotoxicity. Ketamine-induced liver toxicity is a major risk, occurring up to 50% of the time, and regular measures of liver function are therefore required during such treatments. (</w:t>
            </w:r>
            <w:hyperlink w:anchor="Noppers2011" w:history="1">
              <w:r w:rsidRPr="00D61F73">
                <w:rPr>
                  <w:rStyle w:val="Hyperlink"/>
                  <w:rFonts w:ascii="Arial" w:hAnsi="Arial" w:cs="Arial"/>
                </w:rPr>
                <w:t>Noppers, 2011</w:t>
              </w:r>
            </w:hyperlink>
            <w:r w:rsidRPr="00D61F73">
              <w:rPr>
                <w:rFonts w:ascii="Arial" w:hAnsi="Arial" w:cs="Arial"/>
              </w:rPr>
              <w:t>) Frequent use can cause long-term memory impairment and altered pre-frontal dopaminergic function. (</w:t>
            </w:r>
            <w:hyperlink w:anchor="Morgan2012" w:history="1">
              <w:r w:rsidRPr="00D61F73">
                <w:rPr>
                  <w:rStyle w:val="Hyperlink"/>
                  <w:rFonts w:ascii="Arial" w:hAnsi="Arial" w:cs="Arial"/>
                </w:rPr>
                <w:t>Morgan, 2012</w:t>
              </w:r>
            </w:hyperlink>
            <w:r w:rsidRPr="00D61F73">
              <w:rPr>
                <w:rFonts w:ascii="Arial" w:hAnsi="Arial" w:cs="Arial"/>
              </w:rPr>
              <w:t>) Ketamine is also known as a drug of abuse. Abuse of ketamine can cause cystitis and a contracted bladder, and secondary renal damage can occur in severe cases which might be irreversible, rendering patients dependent on dialysis. (</w:t>
            </w:r>
            <w:hyperlink w:anchor="Chu" w:history="1">
              <w:r w:rsidRPr="00D61F73">
                <w:rPr>
                  <w:rStyle w:val="Hyperlink"/>
                  <w:rFonts w:ascii="Arial" w:hAnsi="Arial" w:cs="Arial"/>
                </w:rPr>
                <w:t>Chu, 2008</w:t>
              </w:r>
            </w:hyperlink>
            <w:r w:rsidRPr="00D61F73">
              <w:rPr>
                <w:rFonts w:ascii="Arial" w:hAnsi="Arial" w:cs="Arial"/>
              </w:rPr>
              <w:t>) (</w:t>
            </w:r>
            <w:hyperlink w:anchor="Morgan2012" w:history="1">
              <w:r w:rsidRPr="00D61F73">
                <w:rPr>
                  <w:rStyle w:val="Hyperlink"/>
                  <w:rFonts w:ascii="Arial" w:hAnsi="Arial" w:cs="Arial"/>
                </w:rPr>
                <w:t>Morgan, 2012</w:t>
              </w:r>
            </w:hyperlink>
            <w:r w:rsidRPr="00D61F73">
              <w:rPr>
                <w:rFonts w:ascii="Arial" w:hAnsi="Arial" w:cs="Arial"/>
              </w:rPr>
              <w:t>) There is no evidence of a cure of CRPS with subanesthetic infusions. The limited results of current research studies on this topic are inconsistent. An early successful retrospective report of 33 patients documented that 54% of patients experienced greater than 3 months of pain relief, with 31% experiencing greater than 6 months of relief. The authors reported the long-term effects of ketamine infusion were unknown and could include neurotoxicity and hepatic dysfunction. (</w:t>
            </w:r>
            <w:hyperlink w:anchor="Correll" w:history="1">
              <w:r w:rsidRPr="00D61F73">
                <w:rPr>
                  <w:rStyle w:val="Hyperlink"/>
                  <w:rFonts w:ascii="Arial" w:hAnsi="Arial" w:cs="Arial"/>
                </w:rPr>
                <w:t>Correll, 2004</w:t>
              </w:r>
            </w:hyperlink>
            <w:r w:rsidRPr="00D61F73">
              <w:rPr>
                <w:rFonts w:ascii="Arial" w:hAnsi="Arial" w:cs="Arial"/>
              </w:rPr>
              <w:t>) Subsequent non-controlled studies have found less impressive findings (using probability statistics due to lack of long-term follow-up of 41% of patients), predicting a 13% to 31% chance of relief lasting more than three weeks. (</w:t>
            </w:r>
            <w:hyperlink w:anchor="Patil2011" w:history="1">
              <w:r w:rsidRPr="00D61F73">
                <w:rPr>
                  <w:rStyle w:val="Hyperlink"/>
                  <w:rFonts w:ascii="Arial" w:hAnsi="Arial" w:cs="Arial"/>
                </w:rPr>
                <w:t>Patil, 2011</w:t>
              </w:r>
            </w:hyperlink>
            <w:r w:rsidRPr="00D61F73">
              <w:rPr>
                <w:rFonts w:ascii="Arial" w:hAnsi="Arial" w:cs="Arial"/>
              </w:rPr>
              <w:t>) Another study has shown decreased pain scores but no functional improvement. (</w:t>
            </w:r>
            <w:hyperlink w:anchor="Sigtermans2009" w:history="1">
              <w:r w:rsidRPr="00D61F73">
                <w:rPr>
                  <w:rStyle w:val="Hyperlink"/>
                  <w:rFonts w:ascii="Arial" w:hAnsi="Arial" w:cs="Arial"/>
                </w:rPr>
                <w:t>Sigtermans, 2009</w:t>
              </w:r>
            </w:hyperlink>
            <w:r w:rsidRPr="00D61F73">
              <w:rPr>
                <w:rFonts w:ascii="Arial" w:hAnsi="Arial" w:cs="Arial"/>
              </w:rPr>
              <w:t>) The overall current recommendation is that larger randomized placebo controlled trials occur, looking at dosing and long-term follow-up. (</w:t>
            </w:r>
            <w:hyperlink w:anchor="Schwartzman2009" w:history="1">
              <w:r w:rsidRPr="00D61F73">
                <w:rPr>
                  <w:rStyle w:val="Hyperlink"/>
                  <w:rFonts w:ascii="Arial" w:hAnsi="Arial" w:cs="Arial"/>
                </w:rPr>
                <w:t>Schwartzman, 2009</w:t>
              </w:r>
            </w:hyperlink>
            <w:r w:rsidRPr="00D61F73">
              <w:rPr>
                <w:rFonts w:ascii="Arial" w:hAnsi="Arial" w:cs="Arial"/>
              </w:rPr>
              <w:t>) Subcutaneous ketamine used as an adjunct to opioids for neuropathic and nociceptive pain provides no benefit and increases adverse events significantly, according to this double-blind RCT. (</w:t>
            </w:r>
            <w:hyperlink w:anchor="Hardy2012" w:history="1">
              <w:r w:rsidRPr="00D61F73">
                <w:rPr>
                  <w:rStyle w:val="Hyperlink"/>
                  <w:rFonts w:ascii="Arial" w:hAnsi="Arial" w:cs="Arial"/>
                </w:rPr>
                <w:t>Hardy, 2012</w:t>
              </w:r>
            </w:hyperlink>
            <w:r w:rsidRPr="00D61F73">
              <w:rPr>
                <w:rFonts w:ascii="Arial" w:hAnsi="Arial" w:cs="Arial"/>
              </w:rPr>
              <w:t>)</w:t>
            </w:r>
          </w:p>
        </w:tc>
      </w:tr>
      <w:tr w:rsidR="00E648FC" w:rsidRPr="00D61F73" w14:paraId="3936BFA5" w14:textId="77777777" w:rsidTr="0078164D">
        <w:tc>
          <w:tcPr>
            <w:tcW w:w="1086" w:type="pct"/>
          </w:tcPr>
          <w:p w14:paraId="4071F75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K</w:t>
            </w:r>
            <w:bookmarkStart w:id="267" w:name="Ketoprofen"/>
            <w:bookmarkEnd w:id="267"/>
            <w:r w:rsidRPr="00D61F73">
              <w:rPr>
                <w:rFonts w:ascii="Arial" w:hAnsi="Arial" w:cs="Arial"/>
              </w:rPr>
              <w:t xml:space="preserve">etoprofen </w:t>
            </w:r>
          </w:p>
        </w:tc>
        <w:tc>
          <w:tcPr>
            <w:tcW w:w="3914" w:type="pct"/>
          </w:tcPr>
          <w:p w14:paraId="6F29FF5F" w14:textId="5069ED90" w:rsidR="00E648FC" w:rsidRPr="00D61F73" w:rsidRDefault="00E648FC" w:rsidP="00D61F73">
            <w:pPr>
              <w:rPr>
                <w:rFonts w:ascii="Arial" w:hAnsi="Arial" w:cs="Arial"/>
              </w:rPr>
            </w:pPr>
            <w:r w:rsidRPr="00D61F73">
              <w:rPr>
                <w:rFonts w:ascii="Arial" w:hAnsi="Arial" w:cs="Arial"/>
              </w:rPr>
              <w:t xml:space="preserve">Recommended as an option. 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NSAIDsdruglistandadverseeffects" w:history="1">
              <w:r w:rsidRPr="00D61F73">
                <w:rPr>
                  <w:rStyle w:val="Hyperlink"/>
                  <w:rFonts w:ascii="Arial" w:hAnsi="Arial" w:cs="Arial"/>
                </w:rPr>
                <w:t>Ketoprofen</w:t>
              </w:r>
            </w:hyperlink>
            <w:r w:rsidRPr="00D61F73">
              <w:rPr>
                <w:rFonts w:ascii="Arial" w:hAnsi="Arial" w:cs="Arial"/>
              </w:rPr>
              <w:t xml:space="preserve"> listing for more information and references.</w:t>
            </w:r>
            <w:r w:rsidR="00BE5F8D">
              <w:rPr>
                <w:rFonts w:ascii="Arial" w:hAnsi="Arial" w:cs="Arial"/>
              </w:rPr>
              <w:t xml:space="preserve"> </w:t>
            </w:r>
          </w:p>
        </w:tc>
      </w:tr>
      <w:tr w:rsidR="00E648FC" w:rsidRPr="00D61F73" w14:paraId="358BE548" w14:textId="77777777" w:rsidTr="0078164D">
        <w:tc>
          <w:tcPr>
            <w:tcW w:w="1086" w:type="pct"/>
          </w:tcPr>
          <w:p w14:paraId="0462F89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K</w:t>
            </w:r>
            <w:bookmarkStart w:id="268" w:name="Ketoprofentopical"/>
            <w:bookmarkEnd w:id="268"/>
            <w:r w:rsidRPr="00D61F73">
              <w:rPr>
                <w:rFonts w:ascii="Arial" w:hAnsi="Arial" w:cs="Arial"/>
              </w:rPr>
              <w:t xml:space="preserve">etoprofen, topical </w:t>
            </w:r>
          </w:p>
        </w:tc>
        <w:tc>
          <w:tcPr>
            <w:tcW w:w="3914" w:type="pct"/>
          </w:tcPr>
          <w:p w14:paraId="63E72539" w14:textId="4FFBD766" w:rsidR="00E648FC" w:rsidRPr="00D61F73" w:rsidRDefault="008C0517" w:rsidP="00D61F73">
            <w:pPr>
              <w:rPr>
                <w:rFonts w:ascii="Arial" w:hAnsi="Arial" w:cs="Arial"/>
              </w:rPr>
            </w:pPr>
            <w:r w:rsidRPr="00D61F73">
              <w:rPr>
                <w:rFonts w:ascii="Arial" w:hAnsi="Arial" w:cs="Arial"/>
              </w:rPr>
              <w:t xml:space="preserve">Not recommended in the U.S., as there are currently no FDA-approved versions of this product, but it is a first-line drug in Europe. </w:t>
            </w:r>
            <w:r w:rsidR="00E648FC" w:rsidRPr="00D61F73">
              <w:rPr>
                <w:rFonts w:ascii="Arial" w:hAnsi="Arial" w:cs="Arial"/>
              </w:rPr>
              <w:t xml:space="preserve"> See </w:t>
            </w:r>
            <w:hyperlink w:anchor="Topicalanalgesics" w:history="1">
              <w:r w:rsidR="00E648FC" w:rsidRPr="00D61F73">
                <w:rPr>
                  <w:rStyle w:val="Hyperlink"/>
                  <w:rFonts w:ascii="Arial" w:hAnsi="Arial" w:cs="Arial"/>
                </w:rPr>
                <w:t>Topical analgesics</w:t>
              </w:r>
            </w:hyperlink>
            <w:r w:rsidR="00E648FC" w:rsidRPr="00D61F73">
              <w:rPr>
                <w:rFonts w:ascii="Arial" w:hAnsi="Arial" w:cs="Arial"/>
              </w:rPr>
              <w:t xml:space="preserve">, </w:t>
            </w:r>
            <w:hyperlink w:anchor="NSAIDs" w:history="1">
              <w:r w:rsidR="00E648FC" w:rsidRPr="00D61F73">
                <w:rPr>
                  <w:rStyle w:val="Hyperlink"/>
                  <w:rFonts w:ascii="Arial" w:hAnsi="Arial" w:cs="Arial"/>
                </w:rPr>
                <w:t>Non-steroidal antinflammatory agents</w:t>
              </w:r>
            </w:hyperlink>
            <w:r w:rsidR="00E648FC" w:rsidRPr="00D61F73">
              <w:rPr>
                <w:rFonts w:ascii="Arial" w:hAnsi="Arial" w:cs="Arial"/>
              </w:rPr>
              <w:t xml:space="preserve"> (NSAIDs), and the </w:t>
            </w:r>
            <w:hyperlink w:anchor="Topicalanalgesics" w:history="1">
              <w:r w:rsidR="00E648FC" w:rsidRPr="00D61F73">
                <w:rPr>
                  <w:rStyle w:val="Hyperlink"/>
                  <w:rFonts w:ascii="Arial" w:hAnsi="Arial" w:cs="Arial"/>
                </w:rPr>
                <w:t>ketoprofen</w:t>
              </w:r>
            </w:hyperlink>
            <w:r w:rsidR="00E648FC" w:rsidRPr="00D61F73">
              <w:rPr>
                <w:rFonts w:ascii="Arial" w:hAnsi="Arial" w:cs="Arial"/>
              </w:rPr>
              <w:t xml:space="preserve"> topical listing, for more information and references. Topical NSAIDs are generally recommended for short-term use for acute sprain/strains and longer term for osteoarthritis of the knee and hand, particularly in individuals with risk for GI ulceration, but they are not indicated for treatment of the low back or neuropathic pain. At this time, the only available FDA-approved topical NSAID is diclofenac, but recent high-quality studies have identified a dangerous increased risk profile with diclofenac, including topical formulations, making it a second-line recommended treatment in ODG. Topical ketoprofen has been approved by the European FDA (the European Medicines Agency), and the European EULAR and NICE guidelines state these approved formulations of topical ketoprofen should be a first-line treatment, and should be considered before oral NSAIDs because they have shown efficacy significantly superior to placebo and similar to oral NSAIDs, without the same risks of adverse effects. While there are no FDA approved </w:t>
            </w:r>
            <w:r w:rsidR="00E648FC" w:rsidRPr="00D61F73">
              <w:rPr>
                <w:rFonts w:ascii="Arial" w:hAnsi="Arial" w:cs="Arial"/>
              </w:rPr>
              <w:lastRenderedPageBreak/>
              <w:t xml:space="preserve">formulations of topical ketoprofen available in the U.S., the product is available from compounding pharmacies. Compound medications are not FDA approved, but they are allowed under state pharmacy regulations. See </w:t>
            </w:r>
            <w:hyperlink w:anchor="Compounddrugs" w:history="1">
              <w:r w:rsidR="00E648FC" w:rsidRPr="00D61F73">
                <w:rPr>
                  <w:rStyle w:val="Hyperlink"/>
                  <w:rFonts w:ascii="Arial" w:hAnsi="Arial" w:cs="Arial"/>
                </w:rPr>
                <w:t>Compound drugs</w:t>
              </w:r>
            </w:hyperlink>
            <w:r w:rsidR="00E648FC" w:rsidRPr="00D61F73">
              <w:rPr>
                <w:rFonts w:ascii="Arial" w:hAnsi="Arial" w:cs="Arial"/>
              </w:rPr>
              <w:t xml:space="preserve">. Because each compounding pharmacy may create their own version, FDA cannot be a source of information on safety and effectiveness of each version, or on generic equivalency. At this time, there are no high-quality studies of any of the various pharmacy compounded formulations of topical ketoprofen available in the U.S. Also, while topical ketoprofen has been used extensively in Europe, in 2009 France removed this product from the market due to photosensitivity reactions. The drug has been reinstated, but this may be a serious problem. See the </w:t>
            </w:r>
            <w:r w:rsidR="00831EDD" w:rsidRPr="00831EDD">
              <w:rPr>
                <w:rFonts w:ascii="Arial" w:hAnsi="Arial" w:cs="Arial"/>
              </w:rPr>
              <w:t>ketoprofen</w:t>
            </w:r>
            <w:r w:rsidR="00E648FC" w:rsidRPr="00D61F73">
              <w:rPr>
                <w:rFonts w:ascii="Arial" w:hAnsi="Arial" w:cs="Arial"/>
              </w:rPr>
              <w:t xml:space="preserve"> topical listing in </w:t>
            </w:r>
            <w:hyperlink w:anchor="Topicalanalgesics" w:history="1">
              <w:r w:rsidR="00E648FC" w:rsidRPr="00D61F73">
                <w:rPr>
                  <w:rStyle w:val="Hyperlink"/>
                  <w:rFonts w:ascii="Arial" w:hAnsi="Arial" w:cs="Arial"/>
                </w:rPr>
                <w:t>Topical analgesics</w:t>
              </w:r>
            </w:hyperlink>
            <w:r w:rsidR="00E648FC" w:rsidRPr="00D61F73">
              <w:rPr>
                <w:rFonts w:ascii="Arial" w:hAnsi="Arial" w:cs="Arial"/>
              </w:rPr>
              <w:t xml:space="preserve">, </w:t>
            </w:r>
            <w:hyperlink w:anchor="Nonsteroidalantinflammatoryagents" w:history="1">
              <w:r w:rsidR="00E648FC" w:rsidRPr="00D61F73">
                <w:rPr>
                  <w:rStyle w:val="Hyperlink"/>
                  <w:rFonts w:ascii="Arial" w:hAnsi="Arial" w:cs="Arial"/>
                </w:rPr>
                <w:t>Non-steroidal antinflammatory agents</w:t>
              </w:r>
            </w:hyperlink>
            <w:r w:rsidR="00E648FC" w:rsidRPr="00D61F73">
              <w:rPr>
                <w:rFonts w:ascii="Arial" w:hAnsi="Arial" w:cs="Arial"/>
              </w:rPr>
              <w:t xml:space="preserve">. </w:t>
            </w:r>
          </w:p>
        </w:tc>
      </w:tr>
      <w:tr w:rsidR="00E648FC" w:rsidRPr="00D61F73" w14:paraId="67BB91EA" w14:textId="77777777" w:rsidTr="0078164D">
        <w:tc>
          <w:tcPr>
            <w:tcW w:w="1086" w:type="pct"/>
          </w:tcPr>
          <w:p w14:paraId="52E7D25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K</w:t>
            </w:r>
            <w:bookmarkStart w:id="269" w:name="Ketorolac"/>
            <w:bookmarkEnd w:id="269"/>
            <w:r w:rsidRPr="00D61F73">
              <w:rPr>
                <w:rFonts w:ascii="Arial" w:hAnsi="Arial" w:cs="Arial"/>
              </w:rPr>
              <w:t>etorolac (Toradol®)</w:t>
            </w:r>
          </w:p>
        </w:tc>
        <w:tc>
          <w:tcPr>
            <w:tcW w:w="3914" w:type="pct"/>
          </w:tcPr>
          <w:p w14:paraId="227E70D6" w14:textId="30F88003" w:rsidR="00E648FC" w:rsidRPr="00D61F73" w:rsidRDefault="00E648FC"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r w:rsidR="00831EDD" w:rsidRPr="00831EDD">
              <w:rPr>
                <w:rFonts w:ascii="Arial" w:hAnsi="Arial" w:cs="Arial"/>
              </w:rPr>
              <w:t>Ketorolac</w:t>
            </w:r>
            <w:r w:rsidRPr="00D61F73">
              <w:rPr>
                <w:rFonts w:ascii="Arial" w:hAnsi="Arial" w:cs="Arial"/>
              </w:rPr>
              <w:t xml:space="preserve"> (Toradol®) listing for more information and references, where it is indicated that the oral formulation should not be given as an initial dose, but only as continuation following IV or IM dosing. Ketorolac, when administered intramuscularly, may be used as an alternative to opioid therapy. (</w:t>
            </w:r>
            <w:hyperlink w:anchor="DeAndrade1994" w:history="1">
              <w:r w:rsidRPr="00D61F73">
                <w:rPr>
                  <w:rStyle w:val="Hyperlink"/>
                  <w:rFonts w:ascii="Arial" w:hAnsi="Arial" w:cs="Arial"/>
                </w:rPr>
                <w:t>DeAndrade, 1994</w:t>
              </w:r>
            </w:hyperlink>
            <w:r w:rsidRPr="00D61F73">
              <w:rPr>
                <w:rFonts w:ascii="Arial" w:hAnsi="Arial" w:cs="Arial"/>
              </w:rPr>
              <w:t>)</w:t>
            </w:r>
          </w:p>
        </w:tc>
      </w:tr>
      <w:tr w:rsidR="00E648FC" w:rsidRPr="00D61F73" w14:paraId="7CBE435A" w14:textId="77777777" w:rsidTr="0078164D">
        <w:tc>
          <w:tcPr>
            <w:tcW w:w="1086" w:type="pct"/>
          </w:tcPr>
          <w:p w14:paraId="21D9A57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0" w:name="Lacosamide"/>
            <w:bookmarkEnd w:id="270"/>
            <w:r w:rsidRPr="00D61F73">
              <w:rPr>
                <w:rFonts w:ascii="Arial" w:hAnsi="Arial" w:cs="Arial"/>
              </w:rPr>
              <w:t>acosamide (Vimpat®)</w:t>
            </w:r>
          </w:p>
        </w:tc>
        <w:tc>
          <w:tcPr>
            <w:tcW w:w="3914" w:type="pct"/>
          </w:tcPr>
          <w:p w14:paraId="35AE59F8" w14:textId="77777777" w:rsidR="00E648FC" w:rsidRPr="00D61F73" w:rsidRDefault="00BF70F0" w:rsidP="00D61F73">
            <w:pPr>
              <w:rPr>
                <w:rFonts w:ascii="Arial" w:hAnsi="Arial" w:cs="Arial"/>
              </w:rPr>
            </w:pPr>
            <w:r w:rsidRPr="00D61F73">
              <w:rPr>
                <w:rFonts w:ascii="Arial" w:hAnsi="Arial" w:cs="Arial"/>
              </w:rPr>
              <w:t>Not recommended</w:t>
            </w:r>
            <w:r w:rsidR="00E648FC" w:rsidRPr="00D61F73">
              <w:rPr>
                <w:rFonts w:ascii="Arial" w:hAnsi="Arial" w:cs="Arial"/>
              </w:rPr>
              <w:t xml:space="preserve"> as a first-line therapy for use in neuropathic pain. Lacosamide (Vimpat) is a novel antiepileptic medication that is approved only for adjunctive therapy in the treatment of partial-onset seizures in patients with epilepsy. Despite a number of clinical studies conducted to evaluate lacosamide efficacy and safety in treating diabetic peripheral neuropathy, the FDA has declined to approve this indication. There are a number of safety concerns related to lacosamide, including second and third degree AV block, atrial fibrillation and flutter, and neurotoxicity. (</w:t>
            </w:r>
            <w:hyperlink w:anchor="OLenic2012" w:history="1">
              <w:r w:rsidR="00E648FC" w:rsidRPr="00D61F73">
                <w:rPr>
                  <w:rStyle w:val="Hyperlink"/>
                  <w:rFonts w:ascii="Arial" w:hAnsi="Arial" w:cs="Arial"/>
                </w:rPr>
                <w:t>O'Lenic, 2012</w:t>
              </w:r>
            </w:hyperlink>
            <w:r w:rsidR="00E648FC" w:rsidRPr="00D61F73">
              <w:rPr>
                <w:rFonts w:ascii="Arial" w:hAnsi="Arial" w:cs="Arial"/>
              </w:rPr>
              <w:t>)</w:t>
            </w:r>
          </w:p>
        </w:tc>
      </w:tr>
      <w:tr w:rsidR="00E648FC" w:rsidRPr="00D61F73" w14:paraId="4688359D" w14:textId="77777777" w:rsidTr="0078164D">
        <w:tc>
          <w:tcPr>
            <w:tcW w:w="1086" w:type="pct"/>
          </w:tcPr>
          <w:p w14:paraId="2A2ABFB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1" w:name="Lamotrigine"/>
            <w:bookmarkEnd w:id="271"/>
            <w:r w:rsidRPr="00D61F73">
              <w:rPr>
                <w:rFonts w:ascii="Arial" w:hAnsi="Arial" w:cs="Arial"/>
              </w:rPr>
              <w:t>amotrigine (Lamictal®)</w:t>
            </w:r>
          </w:p>
        </w:tc>
        <w:tc>
          <w:tcPr>
            <w:tcW w:w="3914" w:type="pct"/>
          </w:tcPr>
          <w:p w14:paraId="450AB32A" w14:textId="77777777" w:rsidR="00E648FC" w:rsidRPr="00D61F73" w:rsidRDefault="00E648FC" w:rsidP="00D61F73">
            <w:pPr>
              <w:rPr>
                <w:rFonts w:ascii="Arial" w:hAnsi="Arial" w:cs="Arial"/>
              </w:rPr>
            </w:pPr>
            <w:r w:rsidRPr="00D61F73">
              <w:rPr>
                <w:rFonts w:ascii="Arial" w:hAnsi="Arial" w:cs="Arial"/>
              </w:rPr>
              <w:t xml:space="preserve">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LamotrigineListing" w:history="1">
              <w:r w:rsidRPr="00D61F73">
                <w:rPr>
                  <w:rStyle w:val="Hyperlink"/>
                  <w:rFonts w:ascii="Arial" w:hAnsi="Arial" w:cs="Arial"/>
                </w:rPr>
                <w:t>Lamotrigine</w:t>
              </w:r>
            </w:hyperlink>
            <w:r w:rsidRPr="00D61F73">
              <w:rPr>
                <w:rFonts w:ascii="Arial" w:hAnsi="Arial" w:cs="Arial"/>
              </w:rPr>
              <w:t xml:space="preserve"> listing.</w:t>
            </w:r>
          </w:p>
        </w:tc>
      </w:tr>
      <w:tr w:rsidR="00E648FC" w:rsidRPr="00D61F73" w14:paraId="40C069D7" w14:textId="77777777" w:rsidTr="0078164D">
        <w:tc>
          <w:tcPr>
            <w:tcW w:w="1086" w:type="pct"/>
          </w:tcPr>
          <w:p w14:paraId="727D9C54" w14:textId="77777777" w:rsidR="00E648FC" w:rsidRPr="00D61F73" w:rsidRDefault="00E648FC" w:rsidP="00D61F73">
            <w:pPr>
              <w:pStyle w:val="Footer"/>
              <w:tabs>
                <w:tab w:val="clear" w:pos="4320"/>
                <w:tab w:val="clear" w:pos="8640"/>
              </w:tabs>
              <w:rPr>
                <w:rFonts w:ascii="Arial" w:hAnsi="Arial" w:cs="Arial"/>
                <w:u w:val="single"/>
              </w:rPr>
            </w:pPr>
            <w:r w:rsidRPr="00D61F73">
              <w:rPr>
                <w:rFonts w:ascii="Arial" w:hAnsi="Arial" w:cs="Arial"/>
              </w:rPr>
              <w:t>L</w:t>
            </w:r>
            <w:bookmarkStart w:id="272" w:name="Lazanda"/>
            <w:bookmarkEnd w:id="272"/>
            <w:r w:rsidRPr="00D61F73">
              <w:rPr>
                <w:rFonts w:ascii="Arial" w:hAnsi="Arial" w:cs="Arial"/>
              </w:rPr>
              <w:t>azanda (fentanyl nasal spray</w:t>
            </w:r>
            <w:r w:rsidRPr="00D61F73">
              <w:rPr>
                <w:rFonts w:ascii="Arial" w:hAnsi="Arial" w:cs="Arial"/>
                <w:u w:val="single"/>
              </w:rPr>
              <w:t>)</w:t>
            </w:r>
          </w:p>
        </w:tc>
        <w:tc>
          <w:tcPr>
            <w:tcW w:w="3914" w:type="pct"/>
          </w:tcPr>
          <w:p w14:paraId="57E3299E" w14:textId="7A1CF97A" w:rsidR="00E648FC" w:rsidRPr="00D61F73" w:rsidRDefault="00FE445F" w:rsidP="00D61F73">
            <w:pPr>
              <w:rPr>
                <w:rFonts w:ascii="Arial" w:hAnsi="Arial" w:cs="Arial"/>
                <w:u w:val="single"/>
              </w:rPr>
            </w:pPr>
            <w:r w:rsidRPr="00D61F73">
              <w:rPr>
                <w:rFonts w:ascii="Arial" w:hAnsi="Arial" w:cs="Arial"/>
              </w:rPr>
              <w:t xml:space="preserve">See </w:t>
            </w:r>
            <w:r w:rsidR="006C45E4" w:rsidRPr="00D61F73">
              <w:rPr>
                <w:rFonts w:ascii="Arial" w:hAnsi="Arial" w:cs="Arial"/>
              </w:rPr>
              <w:t xml:space="preserve">MTUS Opioids Treatment Guidelines </w:t>
            </w:r>
            <w:r w:rsidRPr="00D61F73">
              <w:rPr>
                <w:rFonts w:ascii="Arial" w:hAnsi="Arial" w:cs="Arial"/>
                <w:bCs/>
              </w:rPr>
              <w:t>.</w:t>
            </w:r>
          </w:p>
        </w:tc>
      </w:tr>
      <w:tr w:rsidR="00E648FC" w:rsidRPr="00D61F73" w14:paraId="173BFA4E" w14:textId="77777777" w:rsidTr="0078164D">
        <w:tc>
          <w:tcPr>
            <w:tcW w:w="1086" w:type="pct"/>
          </w:tcPr>
          <w:p w14:paraId="30A935F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3" w:name="Levetiracetam"/>
            <w:bookmarkEnd w:id="273"/>
            <w:r w:rsidRPr="00D61F73">
              <w:rPr>
                <w:rFonts w:ascii="Arial" w:hAnsi="Arial" w:cs="Arial"/>
              </w:rPr>
              <w:t>evetiracetam (Keppra®)</w:t>
            </w:r>
          </w:p>
        </w:tc>
        <w:tc>
          <w:tcPr>
            <w:tcW w:w="3914" w:type="pct"/>
          </w:tcPr>
          <w:p w14:paraId="66885544"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rPr>
              <w:t xml:space="preserve">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LevetiracetamListing" w:history="1">
              <w:r w:rsidRPr="00D61F73">
                <w:rPr>
                  <w:rStyle w:val="Hyperlink"/>
                  <w:rFonts w:ascii="Arial" w:hAnsi="Arial" w:cs="Arial"/>
                </w:rPr>
                <w:t>Levetiracetam</w:t>
              </w:r>
            </w:hyperlink>
            <w:r w:rsidRPr="00D61F73">
              <w:rPr>
                <w:rFonts w:ascii="Arial" w:hAnsi="Arial" w:cs="Arial"/>
              </w:rPr>
              <w:t xml:space="preserve"> listing.</w:t>
            </w:r>
          </w:p>
        </w:tc>
      </w:tr>
      <w:tr w:rsidR="00E648FC" w:rsidRPr="00D61F73" w14:paraId="4BA82569" w14:textId="77777777" w:rsidTr="0078164D">
        <w:tc>
          <w:tcPr>
            <w:tcW w:w="1086" w:type="pct"/>
          </w:tcPr>
          <w:p w14:paraId="72FE4BB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4" w:name="Lidocaine"/>
            <w:bookmarkEnd w:id="274"/>
            <w:r w:rsidRPr="00D61F73">
              <w:rPr>
                <w:rFonts w:ascii="Arial" w:hAnsi="Arial" w:cs="Arial"/>
              </w:rPr>
              <w:t>idocaine (anesthetic)</w:t>
            </w:r>
          </w:p>
        </w:tc>
        <w:tc>
          <w:tcPr>
            <w:tcW w:w="3914" w:type="pct"/>
          </w:tcPr>
          <w:p w14:paraId="20AA9879"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 xml:space="preserve">Lidocaine is a local anesthetic. See </w:t>
            </w:r>
            <w:hyperlink w:anchor="CRPSmedications" w:history="1">
              <w:r w:rsidRPr="00D61F73">
                <w:rPr>
                  <w:rStyle w:val="Hyperlink"/>
                  <w:rFonts w:ascii="Arial" w:hAnsi="Arial" w:cs="Arial"/>
                </w:rPr>
                <w:t>CRPS, medications</w:t>
              </w:r>
            </w:hyperlink>
            <w:r w:rsidRPr="00D61F73">
              <w:rPr>
                <w:rFonts w:ascii="Arial" w:hAnsi="Arial" w:cs="Arial"/>
                <w:color w:val="000000"/>
              </w:rPr>
              <w:t xml:space="preserve">; </w:t>
            </w:r>
            <w:hyperlink w:anchor="CRPSsympatheticandepiduralblocks" w:history="1">
              <w:r w:rsidRPr="00D61F73">
                <w:rPr>
                  <w:rStyle w:val="Hyperlink"/>
                  <w:rFonts w:ascii="Arial" w:hAnsi="Arial" w:cs="Arial"/>
                </w:rPr>
                <w:t>CRPS, sympathetic and epidural blocks</w:t>
              </w:r>
            </w:hyperlink>
            <w:r w:rsidRPr="00D61F73">
              <w:rPr>
                <w:rFonts w:ascii="Arial" w:hAnsi="Arial" w:cs="Arial"/>
                <w:color w:val="000000"/>
              </w:rPr>
              <w:t xml:space="preserve">; </w:t>
            </w:r>
            <w:hyperlink w:anchor="Topicalanalgesics" w:history="1">
              <w:r w:rsidRPr="00D61F73">
                <w:rPr>
                  <w:rStyle w:val="Hyperlink"/>
                  <w:rFonts w:ascii="Arial" w:hAnsi="Arial" w:cs="Arial"/>
                </w:rPr>
                <w:t>Topical analgesics</w:t>
              </w:r>
            </w:hyperlink>
            <w:r w:rsidRPr="00D61F73">
              <w:rPr>
                <w:rFonts w:ascii="Arial" w:hAnsi="Arial" w:cs="Arial"/>
                <w:color w:val="000000"/>
              </w:rPr>
              <w:t>.</w:t>
            </w:r>
          </w:p>
        </w:tc>
      </w:tr>
      <w:tr w:rsidR="00E648FC" w:rsidRPr="00D61F73" w14:paraId="23DD8019" w14:textId="77777777" w:rsidTr="0078164D">
        <w:tc>
          <w:tcPr>
            <w:tcW w:w="1086" w:type="pct"/>
          </w:tcPr>
          <w:p w14:paraId="0CB0039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5" w:name="Lidoderm"/>
            <w:bookmarkEnd w:id="275"/>
            <w:r w:rsidRPr="00D61F73">
              <w:rPr>
                <w:rFonts w:ascii="Arial" w:hAnsi="Arial" w:cs="Arial"/>
              </w:rPr>
              <w:t xml:space="preserve">idoderm® (lidocaine patch) </w:t>
            </w:r>
          </w:p>
        </w:tc>
        <w:tc>
          <w:tcPr>
            <w:tcW w:w="3914" w:type="pct"/>
          </w:tcPr>
          <w:p w14:paraId="5787690A"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 xml:space="preserve">Not recommended until after a trial of a first-line therapy, according to the criteria below. Lidoderm® is the brand name for a lidocaine patch produced by Endo Pharmaceuticals. Topical lidocaine may be recommended for localized neuropathic pain after there has been evidence of a trial of first-line therapy (tri-cyclic or SNRI anti-depressants or an AED such as gabapentin or Lyrica). This is not a first-line treatment and is only FDA approved for post-herpetic neuralgia. Formulations that do not involve a dermal-patch system are generally indicated as local anesthetics and anti-pruritics. For more information and references, see </w:t>
            </w:r>
            <w:hyperlink w:anchor="Topicalanalgesics" w:history="1">
              <w:r w:rsidRPr="00D61F73">
                <w:rPr>
                  <w:rStyle w:val="Hyperlink"/>
                  <w:rFonts w:ascii="Arial" w:hAnsi="Arial" w:cs="Arial"/>
                </w:rPr>
                <w:t>Topical analgesics</w:t>
              </w:r>
            </w:hyperlink>
            <w:r w:rsidRPr="00D61F73">
              <w:rPr>
                <w:rFonts w:ascii="Arial" w:hAnsi="Arial" w:cs="Arial"/>
                <w:color w:val="000000"/>
              </w:rPr>
              <w:t xml:space="preserve">. </w:t>
            </w:r>
          </w:p>
          <w:p w14:paraId="00D577A8" w14:textId="77777777" w:rsidR="00E648FC" w:rsidRPr="00D61F73" w:rsidRDefault="00E648FC" w:rsidP="00D61F73">
            <w:pPr>
              <w:pStyle w:val="NormalWeb"/>
              <w:spacing w:before="0" w:beforeAutospacing="0" w:after="0" w:afterAutospacing="0"/>
              <w:rPr>
                <w:rFonts w:ascii="Arial" w:hAnsi="Arial" w:cs="Arial"/>
                <w:b/>
                <w:bCs/>
                <w:color w:val="000000"/>
              </w:rPr>
            </w:pPr>
            <w:r w:rsidRPr="00D61F73">
              <w:rPr>
                <w:rFonts w:ascii="Arial" w:hAnsi="Arial" w:cs="Arial"/>
                <w:b/>
                <w:bCs/>
                <w:color w:val="000000"/>
              </w:rPr>
              <w:t>Criteria for use of Lidoderm patches:</w:t>
            </w:r>
          </w:p>
          <w:p w14:paraId="185C2566"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lastRenderedPageBreak/>
              <w:t xml:space="preserve">(a) Recommended for a trial if there is evidence of localized pain that is consistent with a neuropathic etiology. </w:t>
            </w:r>
          </w:p>
          <w:p w14:paraId="22138AD5"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(b) There should be evidence of a trial of first-line neuropathy medications (tri-cyclic or SNRI anti-depressants or an AED such as gabapentin or Lyrica).</w:t>
            </w:r>
          </w:p>
          <w:p w14:paraId="62C1C503"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(c) This medication is not generally recommended for treatment of osteoarthritis or treatment of myofascial pain/trigger points.</w:t>
            </w:r>
          </w:p>
          <w:p w14:paraId="3EAFEC0E"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(d) An attempt to determine a neuropathic component of pain should be made if the plan is to apply this medication to areas of pain that are generally secondary to non-neuropathic mechanisms (such as the knee). One recognized method of testing is the use of the Neuropathic Pain Scale.</w:t>
            </w:r>
          </w:p>
          <w:p w14:paraId="7DFF9CB7"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(e) The area for treatment should be designated as well as number of planned patches and duration for use (number of hours per day).</w:t>
            </w:r>
          </w:p>
          <w:p w14:paraId="522C0B32"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 xml:space="preserve">(f) A Trial of patch treatment is recommended for a short-term period (no more than four weeks). </w:t>
            </w:r>
          </w:p>
          <w:p w14:paraId="7EB65A99"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(g) It is generally recommended that no other medication changes be made during the trial period.</w:t>
            </w:r>
          </w:p>
          <w:p w14:paraId="34BE8CD4"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(h) Outcomes should be reported at the end of the trial including improvements in pain and function, and decrease in the use of other medications. If improvements cannot be determined, the medication should be discontinued.</w:t>
            </w:r>
          </w:p>
          <w:p w14:paraId="0D2D7490" w14:textId="77777777" w:rsidR="00E648FC" w:rsidRPr="00D61F73" w:rsidRDefault="00E648FC" w:rsidP="00D61F73">
            <w:pPr>
              <w:pStyle w:val="NormalWeb"/>
              <w:spacing w:before="0" w:beforeAutospacing="0" w:after="0" w:afterAutospacing="0"/>
              <w:rPr>
                <w:rFonts w:ascii="Arial" w:hAnsi="Arial" w:cs="Arial"/>
                <w:color w:val="000000"/>
              </w:rPr>
            </w:pPr>
            <w:r w:rsidRPr="00D61F73">
              <w:rPr>
                <w:rFonts w:ascii="Arial" w:hAnsi="Arial" w:cs="Arial"/>
                <w:color w:val="000000"/>
              </w:rPr>
              <w:t>(i) Continued outcomes should be intermittently measured and if improvement does not continue, lidocaine patches should be discontinued.</w:t>
            </w:r>
          </w:p>
        </w:tc>
      </w:tr>
      <w:tr w:rsidR="00E648FC" w:rsidRPr="00D61F73" w14:paraId="52FD0D7F" w14:textId="77777777" w:rsidTr="0078164D">
        <w:tc>
          <w:tcPr>
            <w:tcW w:w="1086" w:type="pct"/>
          </w:tcPr>
          <w:p w14:paraId="0387F30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L</w:t>
            </w:r>
            <w:bookmarkStart w:id="276" w:name="Limbrel"/>
            <w:bookmarkEnd w:id="276"/>
            <w:r w:rsidRPr="00D61F73">
              <w:rPr>
                <w:rFonts w:ascii="Arial" w:hAnsi="Arial" w:cs="Arial"/>
              </w:rPr>
              <w:t xml:space="preserve">imbrel (flavocoxid) </w:t>
            </w:r>
          </w:p>
        </w:tc>
        <w:tc>
          <w:tcPr>
            <w:tcW w:w="3914" w:type="pct"/>
          </w:tcPr>
          <w:p w14:paraId="118268D9" w14:textId="77777777" w:rsidR="00E648FC" w:rsidRPr="00D61F73" w:rsidRDefault="00E648FC" w:rsidP="00D61F73">
            <w:pPr>
              <w:pStyle w:val="NormalWeb"/>
              <w:spacing w:before="0" w:beforeAutospacing="0" w:after="0" w:afterAutospacing="0"/>
              <w:rPr>
                <w:rFonts w:ascii="Arial" w:hAnsi="Arial" w:cs="Arial"/>
              </w:rPr>
            </w:pPr>
            <w:r w:rsidRPr="00D61F73">
              <w:rPr>
                <w:rFonts w:ascii="Arial" w:hAnsi="Arial" w:cs="Arial"/>
              </w:rPr>
              <w:t xml:space="preserve">Not recommended for treatment of chronic pain. See </w:t>
            </w:r>
            <w:hyperlink w:anchor="Medicalfood" w:history="1">
              <w:r w:rsidRPr="00D61F73">
                <w:rPr>
                  <w:rStyle w:val="Hyperlink"/>
                  <w:rFonts w:ascii="Arial" w:hAnsi="Arial" w:cs="Arial"/>
                </w:rPr>
                <w:t>Medical foods.</w:t>
              </w:r>
            </w:hyperlink>
          </w:p>
        </w:tc>
      </w:tr>
      <w:tr w:rsidR="00E648FC" w:rsidRPr="00D61F73" w14:paraId="56F018D4" w14:textId="77777777" w:rsidTr="0078164D">
        <w:tc>
          <w:tcPr>
            <w:tcW w:w="1086" w:type="pct"/>
          </w:tcPr>
          <w:p w14:paraId="50FB919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7" w:name="Lorazepam"/>
            <w:bookmarkEnd w:id="277"/>
            <w:r w:rsidRPr="00D61F73">
              <w:rPr>
                <w:rFonts w:ascii="Arial" w:hAnsi="Arial" w:cs="Arial"/>
              </w:rPr>
              <w:t>orazepam</w:t>
            </w:r>
          </w:p>
        </w:tc>
        <w:tc>
          <w:tcPr>
            <w:tcW w:w="3914" w:type="pct"/>
          </w:tcPr>
          <w:p w14:paraId="5E0DEAA8" w14:textId="77777777" w:rsidR="00E648FC" w:rsidRPr="00D61F73" w:rsidRDefault="00E648FC" w:rsidP="00D61F73">
            <w:pPr>
              <w:pStyle w:val="NormalWeb"/>
              <w:spacing w:before="0" w:beforeAutospacing="0" w:after="0" w:afterAutospacing="0"/>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12175B26" w14:textId="77777777" w:rsidTr="0078164D">
        <w:tc>
          <w:tcPr>
            <w:tcW w:w="1086" w:type="pct"/>
          </w:tcPr>
          <w:p w14:paraId="53F5692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78" w:name="Lowlevellasertherapy"/>
            <w:bookmarkEnd w:id="278"/>
            <w:r w:rsidRPr="00D61F73">
              <w:rPr>
                <w:rFonts w:ascii="Arial" w:hAnsi="Arial" w:cs="Arial"/>
              </w:rPr>
              <w:t>ow level laser therapy (LLLT)</w:t>
            </w:r>
          </w:p>
        </w:tc>
        <w:tc>
          <w:tcPr>
            <w:tcW w:w="3914" w:type="pct"/>
          </w:tcPr>
          <w:p w14:paraId="08CF41AE" w14:textId="77777777" w:rsidR="00E648FC" w:rsidRPr="00D61F73" w:rsidRDefault="00E648FC" w:rsidP="00D61F73">
            <w:pPr>
              <w:pStyle w:val="NormalWeb"/>
              <w:spacing w:before="0" w:beforeAutospacing="0" w:after="0" w:afterAutospacing="0"/>
              <w:rPr>
                <w:rFonts w:ascii="Arial" w:hAnsi="Arial" w:cs="Arial"/>
                <w:b/>
                <w:bCs/>
              </w:rPr>
            </w:pPr>
            <w:r w:rsidRPr="00D61F73">
              <w:rPr>
                <w:rFonts w:ascii="Arial" w:hAnsi="Arial" w:cs="Arial"/>
              </w:rPr>
              <w:t xml:space="preserve">Not recommended. There has been interest in using low-level lasers as a conservative alternative to treat pain. Low-level lasers, also known as "cold lasers" </w:t>
            </w:r>
            <w:r w:rsidR="00727439" w:rsidRPr="00D61F73">
              <w:rPr>
                <w:rFonts w:ascii="Arial" w:hAnsi="Arial" w:cs="Arial"/>
              </w:rPr>
              <w:t xml:space="preserve">and non-thermal lasers, see </w:t>
            </w:r>
            <w:r w:rsidRPr="00D61F73">
              <w:rPr>
                <w:rFonts w:ascii="Arial" w:hAnsi="Arial" w:cs="Arial"/>
              </w:rPr>
              <w:t>use of red-beam or near-infrared lasers with a wavelength between 600 and 1000 nm and Watts from 5-500 milliwatts. (In contrast, lasers used in surgery typically use 300 Watts.) When applied to the skin, these lasers produce no sensation and do not burn the skin. Because of the low absorption by human skin, it is hypothesized that the laser light can penetrate deeply into the tissues where it has a photobiostimulative effect. One low-level laser device, the MicroLight 830 Laser, has received clearance for marketing from the U.S. Food and Drug Administration (FDA) specifically for the treatment of carpal tunnel syndrome. Other protocols have used low-level laser energy applied to acupuncture points on the fingers and hand. This technique may be referred to as "laser acupuncture." Given the equivocal or negative outcomes from a significant number of randomized clinical trials, it must be concluded that the body of evidence does not allow conclusions other than that the treatment of most pain syndromes with low level laser therapy provides at best the equivalent of a placebo effect. (</w:t>
            </w:r>
            <w:hyperlink w:anchor="BlueCrossBlueShield95" w:history="1">
              <w:r w:rsidRPr="00D61F73">
                <w:rPr>
                  <w:rStyle w:val="Hyperlink"/>
                  <w:rFonts w:ascii="Arial" w:hAnsi="Arial" w:cs="Arial"/>
                </w:rPr>
                <w:t>Naeser, 2002</w:t>
              </w:r>
            </w:hyperlink>
            <w:r w:rsidRPr="00D61F73">
              <w:rPr>
                <w:rFonts w:ascii="Arial" w:hAnsi="Arial" w:cs="Arial"/>
              </w:rPr>
              <w:t>) (</w:t>
            </w:r>
            <w:hyperlink w:anchor="BlueCrossBlueShield95" w:history="1">
              <w:r w:rsidRPr="00D61F73">
                <w:rPr>
                  <w:rStyle w:val="Hyperlink"/>
                  <w:rFonts w:ascii="Arial" w:hAnsi="Arial" w:cs="Arial"/>
                </w:rPr>
                <w:t>Gur, 2002</w:t>
              </w:r>
            </w:hyperlink>
            <w:r w:rsidRPr="00D61F73">
              <w:rPr>
                <w:rFonts w:ascii="Arial" w:hAnsi="Arial" w:cs="Arial"/>
              </w:rPr>
              <w:t>) (</w:t>
            </w:r>
            <w:hyperlink w:anchor="BlueCrossBlueShield95" w:history="1">
              <w:r w:rsidRPr="00D61F73">
                <w:rPr>
                  <w:rStyle w:val="Hyperlink"/>
                  <w:rFonts w:ascii="Arial" w:hAnsi="Arial" w:cs="Arial"/>
                </w:rPr>
                <w:t>Basford, 1999</w:t>
              </w:r>
            </w:hyperlink>
            <w:r w:rsidRPr="00D61F73">
              <w:rPr>
                <w:rFonts w:ascii="Arial" w:hAnsi="Arial" w:cs="Arial"/>
              </w:rPr>
              <w:t>) (</w:t>
            </w:r>
            <w:hyperlink w:anchor="BlueCrossBlueShield95" w:history="1">
              <w:r w:rsidRPr="00D61F73">
                <w:rPr>
                  <w:rStyle w:val="Hyperlink"/>
                  <w:rFonts w:ascii="Arial" w:hAnsi="Arial" w:cs="Arial"/>
                </w:rPr>
                <w:t>Conti, 1997</w:t>
              </w:r>
            </w:hyperlink>
            <w:r w:rsidRPr="00D61F73">
              <w:rPr>
                <w:rFonts w:ascii="Arial" w:hAnsi="Arial" w:cs="Arial"/>
              </w:rPr>
              <w:t>) (</w:t>
            </w:r>
            <w:hyperlink w:anchor="BlueCrossBlueShield95" w:history="1">
              <w:r w:rsidRPr="00D61F73">
                <w:rPr>
                  <w:rStyle w:val="Hyperlink"/>
                  <w:rFonts w:ascii="Arial" w:hAnsi="Arial" w:cs="Arial"/>
                </w:rPr>
                <w:t>de Bie, 1998</w:t>
              </w:r>
            </w:hyperlink>
            <w:r w:rsidRPr="00D61F73">
              <w:rPr>
                <w:rFonts w:ascii="Arial" w:hAnsi="Arial" w:cs="Arial"/>
              </w:rPr>
              <w:t>) (</w:t>
            </w:r>
            <w:hyperlink w:anchor="BlueCrossBlueShield95" w:history="1">
              <w:r w:rsidRPr="00D61F73">
                <w:rPr>
                  <w:rStyle w:val="Hyperlink"/>
                  <w:rFonts w:ascii="Arial" w:hAnsi="Arial" w:cs="Arial"/>
                </w:rPr>
                <w:t>BlueCross BlueShield, 2005</w:t>
              </w:r>
            </w:hyperlink>
            <w:r w:rsidRPr="00D61F73">
              <w:rPr>
                <w:rFonts w:ascii="Arial" w:hAnsi="Arial" w:cs="Arial"/>
              </w:rPr>
              <w:t xml:space="preserve">) Low Level Laser Therapy (LLLT) was introduced as an alternative non-invasive treatment for Osteoarthritis (OA) about 20 years ago, but its effectiveness is still controversial. For OA, the results are conflicting in </w:t>
            </w:r>
            <w:r w:rsidRPr="00D61F73">
              <w:rPr>
                <w:rFonts w:ascii="Arial" w:hAnsi="Arial" w:cs="Arial"/>
              </w:rPr>
              <w:lastRenderedPageBreak/>
              <w:t>different studies and may depend on the method of application and other features of the LLLT application. Despite some positive findings, data is lacking on how LLLT effectiveness is affected by four important factors: wavelength, treatment duration of LLLT, dosage and site of application over nerves instead of joints. There is clearly a need to investigate the effects of these factors on LLLT effectiveness for OA in randomized controlled clinical trials. (</w:t>
            </w:r>
            <w:hyperlink w:anchor="Brosseau3" w:history="1">
              <w:r w:rsidRPr="00D61F73">
                <w:rPr>
                  <w:rStyle w:val="Hyperlink"/>
                  <w:rFonts w:ascii="Arial" w:hAnsi="Arial" w:cs="Arial"/>
                </w:rPr>
                <w:t>Brosseau-</w:t>
              </w:r>
              <w:r w:rsidRPr="00D61F73">
                <w:rPr>
                  <w:rStyle w:val="Hyperlink"/>
                  <w:rFonts w:ascii="Arial" w:hAnsi="Arial" w:cs="Arial"/>
                  <w:i/>
                  <w:iCs/>
                </w:rPr>
                <w:t>Cochrane</w:t>
              </w:r>
              <w:r w:rsidRPr="00D61F73">
                <w:rPr>
                  <w:rStyle w:val="Hyperlink"/>
                  <w:rFonts w:ascii="Arial" w:hAnsi="Arial" w:cs="Arial"/>
                </w:rPr>
                <w:t>, 2004</w:t>
              </w:r>
            </w:hyperlink>
            <w:r w:rsidRPr="00D61F73">
              <w:rPr>
                <w:rFonts w:ascii="Arial" w:hAnsi="Arial" w:cs="Arial"/>
              </w:rPr>
              <w:t>) This meta-analysis concluded that there are insufficient data to draw firm conclusions about the effects of LLLT for low-back pain compared to other treatments, different lengths of treatment, different wavelengths and different dosages. (</w:t>
            </w:r>
            <w:hyperlink w:anchor="YousefiNooraie" w:history="1">
              <w:r w:rsidRPr="00D61F73">
                <w:rPr>
                  <w:rStyle w:val="Hyperlink"/>
                  <w:rFonts w:ascii="Arial" w:hAnsi="Arial" w:cs="Arial"/>
                </w:rPr>
                <w:t>Yousefi-Nooraie-</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w:t>
            </w:r>
          </w:p>
        </w:tc>
      </w:tr>
      <w:tr w:rsidR="00E648FC" w:rsidRPr="00D61F73" w14:paraId="6897F6EC" w14:textId="77777777" w:rsidTr="0078164D">
        <w:tc>
          <w:tcPr>
            <w:tcW w:w="1086" w:type="pct"/>
          </w:tcPr>
          <w:p w14:paraId="2510775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L</w:t>
            </w:r>
            <w:bookmarkStart w:id="279" w:name="Lubiprostone"/>
            <w:bookmarkEnd w:id="279"/>
            <w:r w:rsidRPr="00D61F73">
              <w:rPr>
                <w:rFonts w:ascii="Arial" w:hAnsi="Arial" w:cs="Arial"/>
              </w:rPr>
              <w:t>ubiprostone (Amitiza®)</w:t>
            </w:r>
          </w:p>
        </w:tc>
        <w:tc>
          <w:tcPr>
            <w:tcW w:w="3914" w:type="pct"/>
          </w:tcPr>
          <w:p w14:paraId="03BF9A88" w14:textId="4853ADD5" w:rsidR="00E648FC" w:rsidRPr="00D61F73" w:rsidRDefault="00E648FC" w:rsidP="00D61F73">
            <w:pPr>
              <w:rPr>
                <w:rFonts w:ascii="Arial" w:hAnsi="Arial" w:cs="Arial"/>
              </w:rPr>
            </w:pPr>
            <w:r w:rsidRPr="00D61F73">
              <w:rPr>
                <w:rFonts w:ascii="Arial" w:hAnsi="Arial" w:cs="Arial"/>
              </w:rPr>
              <w:t xml:space="preserve">Recommended only as a possible second-line treatment for opioid-induced constipation. See </w:t>
            </w:r>
            <w:hyperlink w:anchor="Opioidinducedconstiptx" w:history="1">
              <w:r w:rsidRPr="00D61F73">
                <w:rPr>
                  <w:rStyle w:val="Hyperlink"/>
                  <w:rFonts w:ascii="Arial" w:hAnsi="Arial" w:cs="Arial"/>
                  <w:u w:val="none"/>
                </w:rPr>
                <w:t>Opioid-induced constipation treatment</w:t>
              </w:r>
            </w:hyperlink>
            <w:r w:rsidRPr="00D61F73">
              <w:rPr>
                <w:rFonts w:ascii="Arial" w:hAnsi="Arial" w:cs="Arial"/>
              </w:rPr>
              <w:t>.</w:t>
            </w:r>
          </w:p>
        </w:tc>
      </w:tr>
      <w:tr w:rsidR="00E648FC" w:rsidRPr="00D61F73" w14:paraId="2C4D32D4" w14:textId="77777777" w:rsidTr="0078164D">
        <w:tc>
          <w:tcPr>
            <w:tcW w:w="1086" w:type="pct"/>
          </w:tcPr>
          <w:p w14:paraId="28E8995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80" w:name="Lumbarsympatheticblock"/>
            <w:bookmarkEnd w:id="280"/>
            <w:r w:rsidRPr="00D61F73">
              <w:rPr>
                <w:rFonts w:ascii="Arial" w:hAnsi="Arial" w:cs="Arial"/>
              </w:rPr>
              <w:t>umbar sympathetic block</w:t>
            </w:r>
          </w:p>
        </w:tc>
        <w:tc>
          <w:tcPr>
            <w:tcW w:w="3914" w:type="pct"/>
          </w:tcPr>
          <w:p w14:paraId="7E4EB39B" w14:textId="4D40ADCD" w:rsidR="00E648FC" w:rsidRPr="00D61F73" w:rsidRDefault="00E648FC" w:rsidP="00D61F73">
            <w:pPr>
              <w:rPr>
                <w:rFonts w:ascii="Arial" w:hAnsi="Arial" w:cs="Arial"/>
              </w:rPr>
            </w:pPr>
            <w:r w:rsidRPr="00D61F73">
              <w:rPr>
                <w:rFonts w:ascii="Arial" w:hAnsi="Arial" w:cs="Arial"/>
              </w:rPr>
              <w:t xml:space="preserve">Recommended as indicated below. Useful for diagnosis and treatment of pain of the pelvis and lower extremity secondary to CRPS-I and II. This block is commonly used for differential diagnosis and is the preferred treatment of sympathetic pain involving the lower extremity. For diagnostic testing, use three blocks over a 3-14 day period. For a positive response, pain relief should be 50% or greater for the duration of the local anesthetic and pain relief should be associated with </w:t>
            </w:r>
            <w:hyperlink w:anchor="Functionalimprovementmeasures" w:history="1">
              <w:r w:rsidRPr="00D61F73">
                <w:rPr>
                  <w:rStyle w:val="Hyperlink"/>
                  <w:rFonts w:ascii="Arial" w:hAnsi="Arial" w:cs="Arial"/>
                </w:rPr>
                <w:t>functional improvement</w:t>
              </w:r>
            </w:hyperlink>
            <w:r w:rsidRPr="00D61F73">
              <w:rPr>
                <w:rFonts w:ascii="Arial" w:hAnsi="Arial" w:cs="Arial"/>
              </w:rPr>
              <w:t>. Should be followed by intensive physical therapy. (</w:t>
            </w:r>
            <w:hyperlink w:anchor="Colorado2" w:history="1">
              <w:r w:rsidRPr="00D61F73">
                <w:rPr>
                  <w:rStyle w:val="Hyperlink"/>
                  <w:rFonts w:ascii="Arial" w:hAnsi="Arial" w:cs="Arial"/>
                </w:rPr>
                <w:t>Colorado, 2002</w:t>
              </w:r>
            </w:hyperlink>
            <w:r w:rsidRPr="00D61F73">
              <w:rPr>
                <w:rFonts w:ascii="Arial" w:hAnsi="Arial" w:cs="Arial"/>
              </w:rPr>
              <w:t>)</w:t>
            </w:r>
          </w:p>
        </w:tc>
      </w:tr>
      <w:tr w:rsidR="00E648FC" w:rsidRPr="00D61F73" w14:paraId="19AFDD4F" w14:textId="77777777" w:rsidTr="0078164D">
        <w:tc>
          <w:tcPr>
            <w:tcW w:w="1086" w:type="pct"/>
          </w:tcPr>
          <w:p w14:paraId="28A3A9B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81" w:name="Lunesta"/>
            <w:bookmarkEnd w:id="281"/>
            <w:r w:rsidRPr="00D61F73">
              <w:rPr>
                <w:rFonts w:ascii="Arial" w:hAnsi="Arial" w:cs="Arial"/>
              </w:rPr>
              <w:t>unesta (Eszopicolone)</w:t>
            </w:r>
          </w:p>
        </w:tc>
        <w:tc>
          <w:tcPr>
            <w:tcW w:w="3914" w:type="pct"/>
          </w:tcPr>
          <w:p w14:paraId="29B18108" w14:textId="77777777" w:rsidR="00E648FC" w:rsidRPr="00D61F73" w:rsidRDefault="00E648FC" w:rsidP="00D61F73">
            <w:pPr>
              <w:rPr>
                <w:rFonts w:ascii="Arial" w:hAnsi="Arial" w:cs="Arial"/>
              </w:rPr>
            </w:pPr>
            <w:r w:rsidRPr="00D61F73">
              <w:rPr>
                <w:rFonts w:ascii="Arial" w:hAnsi="Arial" w:cs="Arial"/>
              </w:rPr>
              <w:t xml:space="preserve">See </w:t>
            </w:r>
            <w:hyperlink w:anchor="Eszopicolone" w:history="1">
              <w:r w:rsidRPr="00D61F73">
                <w:rPr>
                  <w:rStyle w:val="Hyperlink"/>
                  <w:rFonts w:ascii="Arial" w:hAnsi="Arial" w:cs="Arial"/>
                </w:rPr>
                <w:t>Eszopicolone</w:t>
              </w:r>
            </w:hyperlink>
            <w:r w:rsidRPr="00D61F73">
              <w:rPr>
                <w:rFonts w:ascii="Arial" w:hAnsi="Arial" w:cs="Arial"/>
              </w:rPr>
              <w:t xml:space="preserve"> (Lunesta).</w:t>
            </w:r>
          </w:p>
        </w:tc>
      </w:tr>
      <w:tr w:rsidR="00E648FC" w:rsidRPr="00D61F73" w14:paraId="3E2B02AC" w14:textId="77777777" w:rsidTr="0078164D">
        <w:tc>
          <w:tcPr>
            <w:tcW w:w="1086" w:type="pct"/>
          </w:tcPr>
          <w:p w14:paraId="0AC9EB8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w:t>
            </w:r>
            <w:bookmarkStart w:id="282" w:name="Lymphdrainagetherapy"/>
            <w:bookmarkEnd w:id="282"/>
            <w:r w:rsidRPr="00D61F73">
              <w:rPr>
                <w:rFonts w:ascii="Arial" w:hAnsi="Arial" w:cs="Arial"/>
              </w:rPr>
              <w:t>ymph drainage therapy</w:t>
            </w:r>
          </w:p>
        </w:tc>
        <w:tc>
          <w:tcPr>
            <w:tcW w:w="3914" w:type="pct"/>
          </w:tcPr>
          <w:p w14:paraId="7F5D6CFC" w14:textId="77777777" w:rsidR="00E648FC" w:rsidRPr="00D61F73" w:rsidRDefault="00E648FC" w:rsidP="00D61F73">
            <w:pPr>
              <w:rPr>
                <w:rFonts w:ascii="Arial" w:hAnsi="Arial" w:cs="Arial"/>
              </w:rPr>
            </w:pPr>
            <w:r w:rsidRPr="00D61F73">
              <w:rPr>
                <w:rFonts w:ascii="Arial" w:hAnsi="Arial" w:cs="Arial"/>
              </w:rPr>
              <w:t>Not recommended. Manual lymphatic drainage therapy, as performed by massage therapists, is intended to stimulate or move excess fluid away from the swollen area so that it can drain away normally. As a treatment for chronic pain, there is no good evidence to support its use. The results of this RCT indicate that, during the first 6 months of complex regional pain syndrome type I, manual lymph drainage provides no additional benefit when applied in conjunction with an intensive exercise program. (</w:t>
            </w:r>
            <w:hyperlink w:anchor="Uher" w:history="1">
              <w:r w:rsidRPr="00D61F73">
                <w:rPr>
                  <w:rStyle w:val="Hyperlink"/>
                  <w:rFonts w:ascii="Arial" w:hAnsi="Arial" w:cs="Arial"/>
                </w:rPr>
                <w:t>Uher, 2000</w:t>
              </w:r>
            </w:hyperlink>
            <w:r w:rsidRPr="00D61F73">
              <w:rPr>
                <w:rFonts w:ascii="Arial" w:hAnsi="Arial" w:cs="Arial"/>
              </w:rPr>
              <w:t>)</w:t>
            </w:r>
          </w:p>
        </w:tc>
      </w:tr>
      <w:tr w:rsidR="00E648FC" w:rsidRPr="00D61F73" w14:paraId="4D3F460A" w14:textId="77777777" w:rsidTr="0078164D">
        <w:tc>
          <w:tcPr>
            <w:tcW w:w="1086" w:type="pct"/>
          </w:tcPr>
          <w:p w14:paraId="1312558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Lyrica® (pregabalin)</w:t>
            </w:r>
          </w:p>
        </w:tc>
        <w:tc>
          <w:tcPr>
            <w:tcW w:w="3914" w:type="pct"/>
          </w:tcPr>
          <w:p w14:paraId="4167FC1A" w14:textId="77777777" w:rsidR="00E648FC" w:rsidRPr="00D61F73" w:rsidRDefault="00E648FC" w:rsidP="00D61F73">
            <w:pPr>
              <w:rPr>
                <w:rFonts w:ascii="Arial" w:hAnsi="Arial" w:cs="Arial"/>
              </w:rPr>
            </w:pPr>
            <w:r w:rsidRPr="00D61F73">
              <w:rPr>
                <w:rFonts w:ascii="Arial" w:hAnsi="Arial" w:cs="Arial"/>
              </w:rPr>
              <w:t xml:space="preserve">Lyrica® is the brandname for pregabalin, and it is produced by Pfizer. See </w:t>
            </w:r>
            <w:hyperlink w:anchor="Pregabalin" w:history="1">
              <w:r w:rsidRPr="00D61F73">
                <w:rPr>
                  <w:rStyle w:val="Hyperlink"/>
                  <w:rFonts w:ascii="Arial" w:hAnsi="Arial" w:cs="Arial"/>
                </w:rPr>
                <w:t>Pregabalin</w:t>
              </w:r>
            </w:hyperlink>
            <w:r w:rsidRPr="00D61F73">
              <w:rPr>
                <w:rFonts w:ascii="Arial" w:hAnsi="Arial" w:cs="Arial"/>
              </w:rPr>
              <w:t xml:space="preserve"> (Lyrica®). </w:t>
            </w:r>
          </w:p>
        </w:tc>
      </w:tr>
      <w:tr w:rsidR="00E648FC" w:rsidRPr="00D61F73" w14:paraId="5D87CDD5" w14:textId="77777777" w:rsidTr="0078164D">
        <w:tc>
          <w:tcPr>
            <w:tcW w:w="1086" w:type="pct"/>
          </w:tcPr>
          <w:p w14:paraId="0F6ECA3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83" w:name="Magnettherapy"/>
            <w:bookmarkEnd w:id="283"/>
            <w:r w:rsidRPr="00D61F73">
              <w:rPr>
                <w:rFonts w:ascii="Arial" w:hAnsi="Arial" w:cs="Arial"/>
              </w:rPr>
              <w:t xml:space="preserve">agnet therapy </w:t>
            </w:r>
          </w:p>
        </w:tc>
        <w:tc>
          <w:tcPr>
            <w:tcW w:w="3914" w:type="pct"/>
          </w:tcPr>
          <w:p w14:paraId="285199D8" w14:textId="77777777" w:rsidR="00E648FC" w:rsidRPr="00D61F73" w:rsidRDefault="00E648FC" w:rsidP="00D61F73">
            <w:pPr>
              <w:rPr>
                <w:rFonts w:ascii="Arial" w:hAnsi="Arial" w:cs="Arial"/>
              </w:rPr>
            </w:pPr>
            <w:r w:rsidRPr="00D61F73">
              <w:rPr>
                <w:rFonts w:ascii="Arial" w:hAnsi="Arial" w:cs="Arial"/>
              </w:rPr>
              <w:t>Not recommended. Biomagnetic therapy is considered investigational. The data from randomized, placebo-controlled clinical trials fails to demonstrate that biomagnetic therapy results in improved health outcomes for any type of pain. Biomagnetic therapy has been proposed for the relief of chronic painful conditions; it is proposed that magnets, worn close to the skin, create an electromagnetic field within the body that suppresses pain. The theory is that the magnetic field causes potassium channels to be stimulated, producing repolarization or hyperpolarization. Biomagnetic therapy has been investigated for various types of pain, including peripheral neuropathy, chronic low back pain, carpal tunnel syndrome, plantar heel pain and hip and knee pain due to osteoarthritis. (</w:t>
            </w:r>
            <w:hyperlink r:id="rId103" w:anchor="Collacott" w:history="1">
              <w:r w:rsidRPr="00D61F73">
                <w:rPr>
                  <w:rStyle w:val="Hyperlink"/>
                  <w:rFonts w:ascii="Arial" w:hAnsi="Arial" w:cs="Arial"/>
                </w:rPr>
                <w:t>Collacott-</w:t>
              </w:r>
              <w:r w:rsidRPr="00D61F73">
                <w:rPr>
                  <w:rStyle w:val="Hyperlink"/>
                  <w:rFonts w:ascii="Arial" w:hAnsi="Arial" w:cs="Arial"/>
                  <w:i/>
                  <w:iCs/>
                </w:rPr>
                <w:t>JAMA</w:t>
              </w:r>
              <w:r w:rsidRPr="00D61F73">
                <w:rPr>
                  <w:rStyle w:val="Hyperlink"/>
                  <w:rFonts w:ascii="Arial" w:hAnsi="Arial" w:cs="Arial"/>
                </w:rPr>
                <w:t>, 2000</w:t>
              </w:r>
            </w:hyperlink>
            <w:r w:rsidRPr="00D61F73">
              <w:rPr>
                <w:rFonts w:ascii="Arial" w:hAnsi="Arial" w:cs="Arial"/>
              </w:rPr>
              <w:t>) (</w:t>
            </w:r>
            <w:hyperlink r:id="rId104" w:anchor="Maher" w:history="1">
              <w:r w:rsidRPr="00D61F73">
                <w:rPr>
                  <w:rStyle w:val="Hyperlink"/>
                  <w:rFonts w:ascii="Arial" w:hAnsi="Arial" w:cs="Arial"/>
                </w:rPr>
                <w:t>Maher, 2004</w:t>
              </w:r>
            </w:hyperlink>
            <w:r w:rsidRPr="00D61F73">
              <w:rPr>
                <w:rFonts w:ascii="Arial" w:hAnsi="Arial" w:cs="Arial"/>
              </w:rPr>
              <w:t>) (</w:t>
            </w:r>
            <w:hyperlink w:anchor="BlueCrossBlueShield8" w:history="1">
              <w:r w:rsidRPr="00D61F73">
                <w:rPr>
                  <w:rStyle w:val="Hyperlink"/>
                  <w:rFonts w:ascii="Arial" w:hAnsi="Arial" w:cs="Arial"/>
                </w:rPr>
                <w:t>BlueCross BlueShield, 2005</w:t>
              </w:r>
            </w:hyperlink>
            <w:r w:rsidRPr="00D61F73">
              <w:rPr>
                <w:rFonts w:ascii="Arial" w:hAnsi="Arial" w:cs="Arial"/>
              </w:rPr>
              <w:t xml:space="preserve">) </w:t>
            </w:r>
          </w:p>
        </w:tc>
      </w:tr>
      <w:tr w:rsidR="00E648FC" w:rsidRPr="00D61F73" w14:paraId="71AED3B1" w14:textId="77777777" w:rsidTr="0078164D">
        <w:tc>
          <w:tcPr>
            <w:tcW w:w="1086" w:type="pct"/>
          </w:tcPr>
          <w:p w14:paraId="3DF0407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84" w:name="Manualtherapymanipulation"/>
            <w:bookmarkEnd w:id="284"/>
            <w:r w:rsidRPr="00D61F73">
              <w:rPr>
                <w:rFonts w:ascii="Arial" w:hAnsi="Arial" w:cs="Arial"/>
              </w:rPr>
              <w:t xml:space="preserve">anual therapy &amp; manipulation </w:t>
            </w:r>
          </w:p>
        </w:tc>
        <w:tc>
          <w:tcPr>
            <w:tcW w:w="3914" w:type="pct"/>
          </w:tcPr>
          <w:p w14:paraId="44E5F823" w14:textId="727DCDC6" w:rsidR="00E648FC" w:rsidRPr="00D61F73" w:rsidRDefault="00E648FC" w:rsidP="00D61F73">
            <w:pPr>
              <w:keepNext/>
              <w:outlineLvl w:val="5"/>
              <w:rPr>
                <w:rFonts w:ascii="Arial" w:hAnsi="Arial" w:cs="Arial"/>
                <w:bCs/>
              </w:rPr>
            </w:pPr>
            <w:r w:rsidRPr="00D61F73">
              <w:rPr>
                <w:rFonts w:ascii="Arial" w:hAnsi="Arial" w:cs="Arial"/>
              </w:rPr>
              <w:t>Manual therapy and manipulation</w:t>
            </w:r>
            <w:r w:rsidR="0061527A" w:rsidRPr="00D61F73">
              <w:rPr>
                <w:rFonts w:ascii="Arial" w:hAnsi="Arial" w:cs="Arial"/>
              </w:rPr>
              <w:t xml:space="preserve">, performed by a variety of practitioners, including physical therapists and </w:t>
            </w:r>
            <w:r w:rsidRPr="00D61F73">
              <w:rPr>
                <w:rFonts w:ascii="Arial" w:hAnsi="Arial" w:cs="Arial"/>
              </w:rPr>
              <w:t>chiropract</w:t>
            </w:r>
            <w:r w:rsidR="0061527A" w:rsidRPr="00D61F73">
              <w:rPr>
                <w:rFonts w:ascii="Arial" w:hAnsi="Arial" w:cs="Arial"/>
              </w:rPr>
              <w:t>ors</w:t>
            </w:r>
            <w:r w:rsidRPr="00D61F73">
              <w:rPr>
                <w:rFonts w:ascii="Arial" w:hAnsi="Arial" w:cs="Arial"/>
              </w:rPr>
              <w:t xml:space="preserve">, are passive interventions that are </w:t>
            </w:r>
            <w:r w:rsidR="0061527A" w:rsidRPr="00D61F73">
              <w:rPr>
                <w:rFonts w:ascii="Arial" w:hAnsi="Arial" w:cs="Arial"/>
              </w:rPr>
              <w:t>typically combined with</w:t>
            </w:r>
            <w:r w:rsidRPr="00D61F73">
              <w:rPr>
                <w:rFonts w:ascii="Arial" w:hAnsi="Arial" w:cs="Arial"/>
              </w:rPr>
              <w:t xml:space="preserve"> recommended treatment, especially active interventions (e.g., exercise). Recommended for chronic pain if caused by </w:t>
            </w:r>
            <w:r w:rsidRPr="00D61F73">
              <w:rPr>
                <w:rFonts w:ascii="Arial" w:hAnsi="Arial" w:cs="Arial"/>
              </w:rPr>
              <w:lastRenderedPageBreak/>
              <w:t xml:space="preserve">musculoskeletal conditions, and only when manipulation is specifically recommended by the provider in the plan of care. Manual Therapy is widely used in the treatment of musculoskeletal pain with the intended goal of positive symptomatic or objective measurable gains in </w:t>
            </w:r>
            <w:hyperlink w:anchor="Functionalimprovementmeasures" w:history="1">
              <w:r w:rsidRPr="00D61F73">
                <w:rPr>
                  <w:rStyle w:val="Hyperlink"/>
                  <w:rFonts w:ascii="Arial" w:hAnsi="Arial" w:cs="Arial"/>
                </w:rPr>
                <w:t>functional improvement</w:t>
              </w:r>
            </w:hyperlink>
            <w:r w:rsidRPr="00D61F73">
              <w:rPr>
                <w:rFonts w:ascii="Arial" w:hAnsi="Arial" w:cs="Arial"/>
              </w:rPr>
              <w:t xml:space="preserve"> that facilitate progression in the patient's therapeutic exercise program and return to productive activities. Manipulation is manual therapy that moves a joint beyond the physiologic range-of-motion but not beyond the anatomic range-of-motion. Manipulation under anesthesia is not recommended. </w:t>
            </w:r>
            <w:r w:rsidRPr="00D61F73">
              <w:rPr>
                <w:rFonts w:ascii="Arial" w:hAnsi="Arial" w:cs="Arial"/>
                <w:bCs/>
              </w:rPr>
              <w:t xml:space="preserve">See also </w:t>
            </w:r>
            <w:hyperlink r:id="rId105" w:anchor="2" w:history="1">
              <w:r w:rsidRPr="00D61F73">
                <w:rPr>
                  <w:rStyle w:val="Hyperlink"/>
                  <w:rFonts w:ascii="Arial" w:hAnsi="Arial" w:cs="Arial"/>
                  <w:bCs/>
                </w:rPr>
                <w:t>specific body-part chapters</w:t>
              </w:r>
            </w:hyperlink>
            <w:r w:rsidRPr="00D61F73">
              <w:rPr>
                <w:rFonts w:ascii="Arial" w:hAnsi="Arial" w:cs="Arial"/>
                <w:bCs/>
              </w:rPr>
              <w:t xml:space="preserve"> in the MTUS.</w:t>
            </w:r>
          </w:p>
          <w:p w14:paraId="456D2790" w14:textId="77777777" w:rsidR="00E648FC" w:rsidRPr="00D61F73" w:rsidRDefault="00E648FC" w:rsidP="00D61F73">
            <w:pPr>
              <w:rPr>
                <w:rFonts w:ascii="Arial" w:hAnsi="Arial" w:cs="Arial"/>
                <w:b/>
                <w:bCs/>
              </w:rPr>
            </w:pPr>
            <w:r w:rsidRPr="00D61F73">
              <w:rPr>
                <w:rFonts w:ascii="Arial" w:hAnsi="Arial" w:cs="Arial"/>
                <w:b/>
                <w:bCs/>
              </w:rPr>
              <w:t>Recommended treatment parameters</w:t>
            </w:r>
            <w:r w:rsidRPr="00D61F73">
              <w:rPr>
                <w:rFonts w:ascii="Arial" w:hAnsi="Arial" w:cs="Arial"/>
              </w:rPr>
              <w:t>:</w:t>
            </w:r>
          </w:p>
          <w:p w14:paraId="079398C8" w14:textId="77777777" w:rsidR="00E648FC" w:rsidRPr="00D61F73" w:rsidRDefault="00E648FC" w:rsidP="00D61F73">
            <w:pPr>
              <w:rPr>
                <w:rFonts w:ascii="Arial" w:hAnsi="Arial" w:cs="Arial"/>
              </w:rPr>
            </w:pPr>
            <w:r w:rsidRPr="00D61F73">
              <w:rPr>
                <w:rFonts w:ascii="Arial" w:hAnsi="Arial" w:cs="Arial"/>
              </w:rPr>
              <w:t>a. Time to produce effect: 4 to 6 treatments.</w:t>
            </w:r>
          </w:p>
          <w:p w14:paraId="4458DF7D" w14:textId="77777777" w:rsidR="00E648FC" w:rsidRPr="00D61F73" w:rsidRDefault="00E648FC" w:rsidP="00D61F73">
            <w:pPr>
              <w:rPr>
                <w:rFonts w:ascii="Arial" w:hAnsi="Arial" w:cs="Arial"/>
              </w:rPr>
            </w:pPr>
            <w:r w:rsidRPr="00D61F73">
              <w:rPr>
                <w:rFonts w:ascii="Arial" w:hAnsi="Arial" w:cs="Arial"/>
              </w:rPr>
              <w:t>b. Frequency: 1 to 2 times per week for the first 2 weeks as indicated by the severity of the condition. Treatment may continue at 1 treatment per week for the next 6 weeks.</w:t>
            </w:r>
          </w:p>
          <w:p w14:paraId="2082860B" w14:textId="77777777" w:rsidR="00E648FC" w:rsidRPr="00D61F73" w:rsidRDefault="00E648FC" w:rsidP="00D61F73">
            <w:pPr>
              <w:rPr>
                <w:rFonts w:ascii="Arial" w:hAnsi="Arial" w:cs="Arial"/>
              </w:rPr>
            </w:pPr>
            <w:r w:rsidRPr="00D61F73">
              <w:rPr>
                <w:rFonts w:ascii="Arial" w:hAnsi="Arial" w:cs="Arial"/>
              </w:rPr>
              <w:t xml:space="preserve">c. Maximum duration: 8 weeks. At week 8, patients should be reevaluated. Care beyond 8 weeks may be indicated for certain chronic pain patients in whom manipulation is helpful in improving function, decreasing pain and improving quality of life. In these cases, treatment may be continued at 1 treatment every other week until the patient has reached MMI and maintenance treatments have been determined. Extended durations of care beyond what is considered “maximum” may be necessary in cases of re-injury, interrupted continuity of care, exacerbation of symptoms, and in those patients with comorbidities. Such care should be re-evaluated and documented on a monthly basis. Treatment beyond 4-6 visits should be documented with objective </w:t>
            </w:r>
            <w:hyperlink w:anchor="Functionalimprovementmeasures" w:history="1">
              <w:r w:rsidRPr="00D61F73">
                <w:rPr>
                  <w:rStyle w:val="Hyperlink"/>
                  <w:rFonts w:ascii="Arial" w:hAnsi="Arial" w:cs="Arial"/>
                </w:rPr>
                <w:t>improvement in function</w:t>
              </w:r>
            </w:hyperlink>
            <w:r w:rsidRPr="00D61F73">
              <w:rPr>
                <w:rFonts w:ascii="Arial" w:hAnsi="Arial" w:cs="Arial"/>
              </w:rPr>
              <w:t>.  Palliative care should be reevaluated and documented at each treatment session. (</w:t>
            </w:r>
            <w:hyperlink w:anchor="Colorado" w:history="1">
              <w:r w:rsidRPr="00D61F73">
                <w:rPr>
                  <w:rStyle w:val="Hyperlink"/>
                  <w:rFonts w:ascii="Arial" w:hAnsi="Arial" w:cs="Arial"/>
                </w:rPr>
                <w:t>Colorado, 2006</w:t>
              </w:r>
            </w:hyperlink>
            <w:r w:rsidRPr="00D61F73">
              <w:rPr>
                <w:rFonts w:ascii="Arial" w:hAnsi="Arial" w:cs="Arial"/>
              </w:rPr>
              <w:t>) Injured workers with complicating factors may need more treatment, if documented by the treating physician.</w:t>
            </w:r>
          </w:p>
          <w:p w14:paraId="4A5D2059" w14:textId="77777777" w:rsidR="00E648FC" w:rsidRPr="00D61F73" w:rsidRDefault="00E648FC" w:rsidP="00D61F73">
            <w:pPr>
              <w:rPr>
                <w:rFonts w:ascii="Arial" w:hAnsi="Arial" w:cs="Arial"/>
              </w:rPr>
            </w:pPr>
          </w:p>
        </w:tc>
      </w:tr>
      <w:tr w:rsidR="00E648FC" w:rsidRPr="00D61F73" w14:paraId="608345DC" w14:textId="77777777" w:rsidTr="0078164D">
        <w:tc>
          <w:tcPr>
            <w:tcW w:w="1086" w:type="pct"/>
          </w:tcPr>
          <w:p w14:paraId="5AFC139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285" w:name="Marijuana"/>
            <w:bookmarkEnd w:id="285"/>
            <w:r w:rsidRPr="00D61F73">
              <w:rPr>
                <w:rFonts w:ascii="Arial" w:hAnsi="Arial" w:cs="Arial"/>
              </w:rPr>
              <w:t>arijuana</w:t>
            </w:r>
          </w:p>
        </w:tc>
        <w:tc>
          <w:tcPr>
            <w:tcW w:w="3914" w:type="pct"/>
          </w:tcPr>
          <w:p w14:paraId="1387EC5C" w14:textId="77777777" w:rsidR="00E648FC" w:rsidRPr="00D61F73" w:rsidRDefault="00E648FC" w:rsidP="00D61F73">
            <w:pPr>
              <w:rPr>
                <w:rFonts w:ascii="Arial" w:hAnsi="Arial" w:cs="Arial"/>
              </w:rPr>
            </w:pPr>
            <w:r w:rsidRPr="00D61F73">
              <w:rPr>
                <w:rFonts w:ascii="Arial" w:hAnsi="Arial" w:cs="Arial"/>
              </w:rPr>
              <w:t xml:space="preserve">See </w:t>
            </w:r>
            <w:hyperlink w:anchor="Cannabinoids" w:history="1">
              <w:r w:rsidRPr="00D61F73">
                <w:rPr>
                  <w:rStyle w:val="Hyperlink"/>
                  <w:rFonts w:ascii="Arial" w:hAnsi="Arial" w:cs="Arial"/>
                </w:rPr>
                <w:t>Cannabinoids</w:t>
              </w:r>
            </w:hyperlink>
            <w:r w:rsidRPr="00D61F73">
              <w:rPr>
                <w:rFonts w:ascii="Arial" w:hAnsi="Arial" w:cs="Arial"/>
              </w:rPr>
              <w:t>.</w:t>
            </w:r>
          </w:p>
        </w:tc>
      </w:tr>
      <w:tr w:rsidR="00E648FC" w:rsidRPr="00D61F73" w14:paraId="77F1BF77" w14:textId="77777777" w:rsidTr="0078164D">
        <w:tc>
          <w:tcPr>
            <w:tcW w:w="1086" w:type="pct"/>
          </w:tcPr>
          <w:p w14:paraId="271BEAD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86" w:name="Massagetherapy"/>
            <w:bookmarkEnd w:id="286"/>
            <w:r w:rsidRPr="00D61F73">
              <w:rPr>
                <w:rFonts w:ascii="Arial" w:hAnsi="Arial" w:cs="Arial"/>
              </w:rPr>
              <w:t xml:space="preserve">assage therapy </w:t>
            </w:r>
          </w:p>
        </w:tc>
        <w:tc>
          <w:tcPr>
            <w:tcW w:w="3914" w:type="pct"/>
          </w:tcPr>
          <w:p w14:paraId="750D968B" w14:textId="77777777" w:rsidR="00E648FC" w:rsidRPr="00D61F73" w:rsidRDefault="00E648FC" w:rsidP="00D61F73">
            <w:pPr>
              <w:rPr>
                <w:rFonts w:ascii="Arial" w:hAnsi="Arial" w:cs="Arial"/>
              </w:rPr>
            </w:pPr>
            <w:r w:rsidRPr="00D61F73">
              <w:rPr>
                <w:rFonts w:ascii="Arial" w:hAnsi="Arial" w:cs="Arial"/>
              </w:rPr>
              <w:t>Recommended as an option as indicated below. Massage is a passive intervention and is considered an adjunct to other recommended treatment, especially active interventions (e.g., exercise). Scientific studies show contradictory results. Furthermore, many studies lack long-term follow-up. Massage is beneficial in attenuating diffuse musculoskeletal symptoms, but beneficial effects were registered only during treatment. . This lack of long-term benefits could be due to the short treatment period or treatments such as these do not address the underlying causes of pain. (</w:t>
            </w:r>
            <w:hyperlink w:anchor="Hasson" w:history="1">
              <w:r w:rsidRPr="00D61F73">
                <w:rPr>
                  <w:rStyle w:val="Hyperlink"/>
                  <w:rFonts w:ascii="Arial" w:hAnsi="Arial" w:cs="Arial"/>
                </w:rPr>
                <w:t>Hasson, 2004</w:t>
              </w:r>
            </w:hyperlink>
            <w:r w:rsidRPr="00D61F73">
              <w:rPr>
                <w:rFonts w:ascii="Arial" w:hAnsi="Arial" w:cs="Arial"/>
              </w:rPr>
              <w:t>) A very small pilot study showed that massage can be at least as effective as standard medical care in chronic pain syndromes. Relative changes are equal, but tend to last longer and to generalize more into psychologic domains. (</w:t>
            </w:r>
            <w:hyperlink w:anchor="Walach" w:history="1">
              <w:r w:rsidRPr="00D61F73">
                <w:rPr>
                  <w:rStyle w:val="Hyperlink"/>
                  <w:rFonts w:ascii="Arial" w:hAnsi="Arial" w:cs="Arial"/>
                </w:rPr>
                <w:t>Walach 2003</w:t>
              </w:r>
            </w:hyperlink>
            <w:r w:rsidRPr="00D61F73">
              <w:rPr>
                <w:rFonts w:ascii="Arial" w:hAnsi="Arial" w:cs="Arial"/>
              </w:rPr>
              <w:t>) The strongest evidence for benefits of massage is for stress and anxiety reduction, although research for pain control and management of other symptoms, including pain, is promising. The physician should feel comfortable discussing massage therapy with patients and be able to refer patients to a qualified massage therapist as appropriate. (</w:t>
            </w:r>
            <w:hyperlink w:anchor="Corbin" w:history="1">
              <w:r w:rsidRPr="00D61F73">
                <w:rPr>
                  <w:rStyle w:val="Hyperlink"/>
                  <w:rFonts w:ascii="Arial" w:hAnsi="Arial" w:cs="Arial"/>
                </w:rPr>
                <w:t>Corbin 2005</w:t>
              </w:r>
            </w:hyperlink>
            <w:r w:rsidRPr="00D61F73">
              <w:rPr>
                <w:rFonts w:ascii="Arial" w:hAnsi="Arial" w:cs="Arial"/>
              </w:rPr>
              <w:t xml:space="preserve">) Massage is an effective adjunct treatment to relieve acute postoperative pain in patients who had major surgery, according to the results of a randomized controlled trial recently </w:t>
            </w:r>
            <w:r w:rsidRPr="00D61F73">
              <w:rPr>
                <w:rFonts w:ascii="Arial" w:hAnsi="Arial" w:cs="Arial"/>
              </w:rPr>
              <w:lastRenderedPageBreak/>
              <w:t xml:space="preserve">published in the </w:t>
            </w:r>
            <w:r w:rsidRPr="00D61F73">
              <w:rPr>
                <w:rFonts w:ascii="Arial" w:hAnsi="Arial" w:cs="Arial"/>
                <w:i/>
                <w:iCs/>
              </w:rPr>
              <w:t>Archives of Surgery</w:t>
            </w:r>
            <w:r w:rsidRPr="00D61F73">
              <w:rPr>
                <w:rFonts w:ascii="Arial" w:hAnsi="Arial" w:cs="Arial"/>
              </w:rPr>
              <w:t>. (</w:t>
            </w:r>
            <w:hyperlink w:anchor="Mitchinson" w:history="1">
              <w:r w:rsidRPr="00D61F73">
                <w:rPr>
                  <w:rStyle w:val="Hyperlink"/>
                  <w:rFonts w:ascii="Arial" w:hAnsi="Arial" w:cs="Arial"/>
                </w:rPr>
                <w:t>Mitchinson, 2007</w:t>
              </w:r>
            </w:hyperlink>
            <w:r w:rsidRPr="00D61F73">
              <w:rPr>
                <w:rFonts w:ascii="Arial" w:hAnsi="Arial" w:cs="Arial"/>
              </w:rPr>
              <w:t>) The efficacy of massage as a stand-alone and as multimodality treatment is uncertain, according to this Cohrane review. (</w:t>
            </w:r>
            <w:hyperlink r:id="rId106" w:anchor="Haraldsson2" w:history="1">
              <w:r w:rsidRPr="00D61F73">
                <w:rPr>
                  <w:rStyle w:val="Hyperlink"/>
                  <w:rFonts w:ascii="Arial" w:hAnsi="Arial" w:cs="Arial"/>
                </w:rPr>
                <w:t>Haraldsson, 2007</w:t>
              </w:r>
            </w:hyperlink>
            <w:r w:rsidRPr="00D61F73">
              <w:rPr>
                <w:rFonts w:ascii="Arial" w:hAnsi="Arial" w:cs="Arial"/>
              </w:rPr>
              <w:t>) A recent meta-analysis concluded that massage might be beneficial for patients with subacute and chronic non-specific low-back pain, especially when combined with exercises and education. When massage was compared to an inert therapy (sham treatment), massage was superior for pain and function on both short and long-term follow-ups. When massage was compared to other active treatments, massage was similar to exercises, and massage was superior to joint mobilization, relaxation therapy, physical therapy, acupuncture and self-care education. Reflexology on the feet had no effect on pain and functioning. The beneficial effects of massage in patients with chronic low-back pain lasted at least one year after the end of the treatment. In comparing different techniques of massage, acupuncture massage produced better results than classic (Swedish) massage and Thai massage produced similar results to classic (Swedish) massage. (</w:t>
            </w:r>
            <w:hyperlink r:id="rId107" w:anchor="Furlan3" w:history="1">
              <w:r w:rsidRPr="00D61F73">
                <w:rPr>
                  <w:rStyle w:val="Hyperlink"/>
                  <w:rFonts w:ascii="Arial" w:hAnsi="Arial" w:cs="Arial"/>
                </w:rPr>
                <w:t>Furlan-</w:t>
              </w:r>
              <w:r w:rsidRPr="00D61F73">
                <w:rPr>
                  <w:rStyle w:val="Hyperlink"/>
                  <w:rFonts w:ascii="Arial" w:hAnsi="Arial" w:cs="Arial"/>
                  <w:i/>
                  <w:iCs/>
                </w:rPr>
                <w:t>Cochrane</w:t>
              </w:r>
              <w:r w:rsidRPr="00D61F73">
                <w:rPr>
                  <w:rStyle w:val="Hyperlink"/>
                  <w:rFonts w:ascii="Arial" w:hAnsi="Arial" w:cs="Arial"/>
                </w:rPr>
                <w:t>, 2008</w:t>
              </w:r>
            </w:hyperlink>
            <w:r w:rsidRPr="00D61F73">
              <w:rPr>
                <w:rFonts w:ascii="Arial" w:hAnsi="Arial" w:cs="Arial"/>
              </w:rPr>
              <w:t>) A small controlled study showed that 10 minutes of massage therapy can help repair exercise-induced muscle damage by subduing inflammation and renewing mitochondria, similar to the way NSAIDs work. The findings suggest that the perceived positive effects of massage are a result of an attenuated production of inflammatory cytokines. (</w:t>
            </w:r>
            <w:hyperlink w:anchor="Crane2012" w:history="1">
              <w:r w:rsidRPr="00D61F73">
                <w:rPr>
                  <w:rStyle w:val="Hyperlink"/>
                  <w:rFonts w:ascii="Arial" w:hAnsi="Arial" w:cs="Arial"/>
                </w:rPr>
                <w:t>Crane, 2012</w:t>
              </w:r>
            </w:hyperlink>
            <w:r w:rsidRPr="00D61F73">
              <w:rPr>
                <w:rFonts w:ascii="Arial" w:hAnsi="Arial" w:cs="Arial"/>
              </w:rPr>
              <w:t xml:space="preserve">) </w:t>
            </w:r>
          </w:p>
          <w:p w14:paraId="25553B2C" w14:textId="77777777" w:rsidR="00E648FC" w:rsidRPr="00D61F73" w:rsidRDefault="00E648FC" w:rsidP="00D61F73">
            <w:pPr>
              <w:keepNext/>
              <w:outlineLvl w:val="5"/>
              <w:rPr>
                <w:rFonts w:ascii="Arial" w:hAnsi="Arial" w:cs="Arial"/>
                <w:b/>
              </w:rPr>
            </w:pPr>
            <w:r w:rsidRPr="00D61F73">
              <w:rPr>
                <w:rFonts w:ascii="Arial" w:hAnsi="Arial" w:cs="Arial"/>
                <w:b/>
              </w:rPr>
              <w:t>Recommended frequency and duration of treatment:</w:t>
            </w:r>
          </w:p>
          <w:p w14:paraId="51CBD762" w14:textId="77777777" w:rsidR="00E648FC" w:rsidRPr="00D61F73" w:rsidRDefault="00E648FC" w:rsidP="00D61F73">
            <w:pPr>
              <w:autoSpaceDE w:val="0"/>
              <w:autoSpaceDN w:val="0"/>
              <w:adjustRightInd w:val="0"/>
              <w:ind w:left="360"/>
              <w:rPr>
                <w:rFonts w:ascii="Arial" w:eastAsia="Wingdings-Regular" w:hAnsi="Arial" w:cs="Arial"/>
                <w:color w:val="auto"/>
              </w:rPr>
            </w:pPr>
            <w:r w:rsidRPr="00D61F73">
              <w:rPr>
                <w:rFonts w:ascii="Arial" w:eastAsia="Wingdings-Regular" w:hAnsi="Arial" w:cs="Arial"/>
                <w:color w:val="auto"/>
              </w:rPr>
              <w:t>Time to Produce Effect: Immediate.</w:t>
            </w:r>
          </w:p>
          <w:p w14:paraId="1412A09F" w14:textId="77777777" w:rsidR="00E648FC" w:rsidRPr="00D61F73" w:rsidRDefault="00E648FC" w:rsidP="00D61F73">
            <w:pPr>
              <w:autoSpaceDE w:val="0"/>
              <w:autoSpaceDN w:val="0"/>
              <w:adjustRightInd w:val="0"/>
              <w:ind w:left="360"/>
              <w:rPr>
                <w:rFonts w:ascii="Arial" w:eastAsia="Wingdings-Regular" w:hAnsi="Arial" w:cs="Arial"/>
                <w:color w:val="auto"/>
              </w:rPr>
            </w:pPr>
            <w:r w:rsidRPr="00D61F73">
              <w:rPr>
                <w:rFonts w:ascii="Arial" w:eastAsia="Wingdings-Regular" w:hAnsi="Arial" w:cs="Arial"/>
                <w:color w:val="auto"/>
              </w:rPr>
              <w:t>Frequency: 1 to 2 times per week.</w:t>
            </w:r>
          </w:p>
          <w:p w14:paraId="29A8BB52" w14:textId="77777777" w:rsidR="00E648FC" w:rsidRPr="00D61F73" w:rsidRDefault="00E648FC" w:rsidP="00D61F73">
            <w:pPr>
              <w:autoSpaceDE w:val="0"/>
              <w:autoSpaceDN w:val="0"/>
              <w:adjustRightInd w:val="0"/>
              <w:ind w:left="360"/>
              <w:rPr>
                <w:rFonts w:ascii="Arial" w:eastAsia="Wingdings-Regular" w:hAnsi="Arial" w:cs="Arial"/>
                <w:b/>
                <w:color w:val="auto"/>
              </w:rPr>
            </w:pPr>
            <w:r w:rsidRPr="00D61F73">
              <w:rPr>
                <w:rFonts w:ascii="Arial" w:eastAsia="Wingdings-Regular" w:hAnsi="Arial" w:cs="Arial"/>
                <w:color w:val="auto"/>
              </w:rPr>
              <w:t>Optimum Duration: 6 weeks.</w:t>
            </w:r>
          </w:p>
          <w:p w14:paraId="4926FE2C" w14:textId="3B5F3EAB" w:rsidR="00E648FC" w:rsidRPr="00D61F73" w:rsidRDefault="00E648FC" w:rsidP="00D61F73">
            <w:pPr>
              <w:autoSpaceDE w:val="0"/>
              <w:autoSpaceDN w:val="0"/>
              <w:adjustRightInd w:val="0"/>
              <w:rPr>
                <w:rFonts w:ascii="Arial" w:eastAsia="Wingdings-Regular" w:hAnsi="Arial" w:cs="Arial"/>
                <w:color w:val="auto"/>
              </w:rPr>
            </w:pPr>
            <w:r w:rsidRPr="00D61F73">
              <w:rPr>
                <w:rFonts w:ascii="Arial" w:eastAsia="Wingdings-Regular" w:hAnsi="Arial" w:cs="Arial"/>
                <w:color w:val="auto"/>
              </w:rPr>
              <w:t xml:space="preserve">Maximum Duration: 2 months. </w:t>
            </w:r>
            <w:r w:rsidRPr="00D61F73">
              <w:rPr>
                <w:rFonts w:ascii="Arial" w:hAnsi="Arial" w:cs="Arial"/>
              </w:rPr>
              <w:t>(</w:t>
            </w:r>
            <w:hyperlink w:anchor="Colorado" w:history="1">
              <w:r w:rsidRPr="00D61F73">
                <w:rPr>
                  <w:rStyle w:val="Hyperlink"/>
                  <w:rFonts w:ascii="Arial" w:hAnsi="Arial" w:cs="Arial"/>
                </w:rPr>
                <w:t>Colorado, 2006</w:t>
              </w:r>
            </w:hyperlink>
            <w:r w:rsidRPr="00D61F73">
              <w:rPr>
                <w:rFonts w:ascii="Arial" w:hAnsi="Arial" w:cs="Arial"/>
              </w:rPr>
              <w:t xml:space="preserve">) At 2 months, patients should be reevaluated. Care beyond 2 months may be indicated for certain chronic pain patients in whom massage is helpful in improving function, decreasing pain, and improving quality of life. In these cases, treatment may be continued at 1 treatment every other week until the patient has reached MMI and maintenance treatments have been determined. Extended durations of care beyond what is considered “maximum” may be necessary in cases of re-injury, interrupted continuity of care, exacerbation of symptoms, and in those patients with comorbidities. Such care should be re-evaluated and documented on a monthly basis. Treatment beyond 2 months should be documented with objective </w:t>
            </w:r>
            <w:hyperlink w:anchor="Functionalimprovementmeasures" w:history="1">
              <w:r w:rsidRPr="00D61F73">
                <w:rPr>
                  <w:rStyle w:val="Hyperlink"/>
                  <w:rFonts w:ascii="Arial" w:hAnsi="Arial" w:cs="Arial"/>
                </w:rPr>
                <w:t>improvement in function</w:t>
              </w:r>
            </w:hyperlink>
            <w:r w:rsidRPr="00D61F73">
              <w:rPr>
                <w:rFonts w:ascii="Arial" w:hAnsi="Arial" w:cs="Arial"/>
              </w:rPr>
              <w:t>.  Palliative care should be reevaluated and documented at each treatment session. Injured workers with complicating factors may need more treatment, if functional improvement is documented by the treating physician</w:t>
            </w:r>
            <w:r w:rsidR="00BE4A0B" w:rsidRPr="00D61F73">
              <w:rPr>
                <w:rFonts w:ascii="Arial" w:hAnsi="Arial" w:cs="Arial"/>
              </w:rPr>
              <w:t>.</w:t>
            </w:r>
          </w:p>
        </w:tc>
      </w:tr>
      <w:tr w:rsidR="00E648FC" w:rsidRPr="00D61F73" w14:paraId="3CD39F67" w14:textId="77777777" w:rsidTr="0078164D">
        <w:tc>
          <w:tcPr>
            <w:tcW w:w="1086" w:type="pct"/>
          </w:tcPr>
          <w:p w14:paraId="104B1E23"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287" w:name="Medicalfood"/>
            <w:bookmarkEnd w:id="287"/>
            <w:r w:rsidRPr="00D61F73">
              <w:rPr>
                <w:rFonts w:ascii="Arial" w:hAnsi="Arial" w:cs="Arial"/>
              </w:rPr>
              <w:t xml:space="preserve">edical foods </w:t>
            </w:r>
          </w:p>
        </w:tc>
        <w:tc>
          <w:tcPr>
            <w:tcW w:w="3914" w:type="pct"/>
          </w:tcPr>
          <w:p w14:paraId="2CCFD964" w14:textId="77777777" w:rsidR="00E648FC" w:rsidRPr="00D61F73" w:rsidRDefault="00E648FC" w:rsidP="00D61F73">
            <w:pPr>
              <w:rPr>
                <w:rFonts w:ascii="Arial" w:hAnsi="Arial" w:cs="Arial"/>
              </w:rPr>
            </w:pPr>
            <w:r w:rsidRPr="00D61F73">
              <w:rPr>
                <w:rFonts w:ascii="Arial" w:hAnsi="Arial" w:cs="Arial"/>
                <w:iCs/>
              </w:rPr>
              <w:t>Medical foods and dietary supplements are not recommended for treatment of chronic pain</w:t>
            </w:r>
            <w:r w:rsidRPr="00D61F73">
              <w:rPr>
                <w:rFonts w:ascii="Arial" w:hAnsi="Arial" w:cs="Arial"/>
                <w:bCs/>
              </w:rPr>
              <w:t xml:space="preserve"> as they have not been shown to produce meaningful benefits or improvements in functional outcomes.</w:t>
            </w:r>
            <w:r w:rsidRPr="00D61F73">
              <w:rPr>
                <w:rFonts w:ascii="Arial" w:hAnsi="Arial" w:cs="Arial"/>
                <w:iCs/>
              </w:rPr>
              <w:t xml:space="preserve">  FDA defines a medical food as “</w:t>
            </w:r>
            <w:r w:rsidRPr="00D61F73">
              <w:rPr>
                <w:rFonts w:ascii="Arial" w:hAnsi="Arial" w:cs="Arial"/>
              </w:rPr>
              <w:t xml:space="preserve">a food which is formulated to be consumed or administered enterally under the supervision of a physician and which is intended for the specific dietary management of a disease or condition for which distinctive nutritional requirements, based on recognized scientific principles, are established by medical evaluation.” </w:t>
            </w:r>
            <w:r w:rsidRPr="00D61F73">
              <w:rPr>
                <w:rFonts w:ascii="Arial" w:hAnsi="Arial" w:cs="Arial"/>
                <w:iCs/>
              </w:rPr>
              <w:t xml:space="preserve">There are no quality </w:t>
            </w:r>
            <w:r w:rsidRPr="00D61F73">
              <w:rPr>
                <w:rFonts w:ascii="Arial" w:hAnsi="Arial" w:cs="Arial"/>
                <w:iCs/>
              </w:rPr>
              <w:lastRenderedPageBreak/>
              <w:t xml:space="preserve">studies demonstrating the benefit of medical foods in the treatment of chronic pain. </w:t>
            </w:r>
            <w:r w:rsidRPr="00D61F73">
              <w:rPr>
                <w:rFonts w:ascii="Arial" w:hAnsi="Arial" w:cs="Arial"/>
              </w:rPr>
              <w:t>Medical foods (defined in section 5(b)(3) of the Orphan Drug Act, 21 U.S.C. 360ee(b)(3)), are exempted from the labeling requirements for health claims and nutrient content claims under the Nutrition Labeling and Education Act of 1990 (see 21 U.S.C. 343 (q) (5) (A) (iv)). Medical foods do not have to be registered with the FDA. (</w:t>
            </w:r>
            <w:hyperlink w:anchor="CFSAN" w:history="1">
              <w:r w:rsidRPr="00D61F73">
                <w:rPr>
                  <w:rStyle w:val="Hyperlink"/>
                  <w:rFonts w:ascii="Arial" w:hAnsi="Arial" w:cs="Arial"/>
                </w:rPr>
                <w:t>CFSAN, 2008</w:t>
              </w:r>
            </w:hyperlink>
            <w:r w:rsidRPr="00D61F73">
              <w:rPr>
                <w:rFonts w:ascii="Arial" w:hAnsi="Arial" w:cs="Arial"/>
              </w:rPr>
              <w:t xml:space="preserve">) </w:t>
            </w:r>
          </w:p>
        </w:tc>
      </w:tr>
      <w:tr w:rsidR="00E648FC" w:rsidRPr="00D61F73" w14:paraId="76ACFB9A" w14:textId="77777777" w:rsidTr="0078164D">
        <w:tc>
          <w:tcPr>
            <w:tcW w:w="1086" w:type="pct"/>
          </w:tcPr>
          <w:p w14:paraId="1D97169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288" w:name="Medicalmarijuana"/>
            <w:bookmarkEnd w:id="288"/>
            <w:r w:rsidRPr="00D61F73">
              <w:rPr>
                <w:rFonts w:ascii="Arial" w:hAnsi="Arial" w:cs="Arial"/>
              </w:rPr>
              <w:t>edical marijuana</w:t>
            </w:r>
          </w:p>
        </w:tc>
        <w:tc>
          <w:tcPr>
            <w:tcW w:w="3914" w:type="pct"/>
          </w:tcPr>
          <w:p w14:paraId="484ABFCD" w14:textId="77777777" w:rsidR="00E648FC" w:rsidRPr="00D61F73" w:rsidRDefault="00E648FC" w:rsidP="00D61F73">
            <w:pPr>
              <w:rPr>
                <w:rFonts w:ascii="Arial" w:hAnsi="Arial" w:cs="Arial"/>
                <w:iCs/>
              </w:rPr>
            </w:pPr>
            <w:r w:rsidRPr="00D61F73">
              <w:rPr>
                <w:rFonts w:ascii="Arial" w:hAnsi="Arial" w:cs="Arial"/>
                <w:iCs/>
              </w:rPr>
              <w:t xml:space="preserve">See </w:t>
            </w:r>
            <w:hyperlink w:anchor="Cannabinoids" w:history="1">
              <w:r w:rsidRPr="00D61F73">
                <w:rPr>
                  <w:rStyle w:val="Hyperlink"/>
                  <w:rFonts w:ascii="Arial" w:hAnsi="Arial" w:cs="Arial"/>
                  <w:iCs/>
                </w:rPr>
                <w:t>Cannabinoids</w:t>
              </w:r>
            </w:hyperlink>
            <w:r w:rsidRPr="00D61F73">
              <w:rPr>
                <w:rFonts w:ascii="Arial" w:hAnsi="Arial" w:cs="Arial"/>
                <w:iCs/>
              </w:rPr>
              <w:t>.</w:t>
            </w:r>
          </w:p>
        </w:tc>
      </w:tr>
      <w:tr w:rsidR="00E648FC" w:rsidRPr="00D61F73" w14:paraId="49358CB4" w14:textId="77777777" w:rsidTr="0078164D">
        <w:tc>
          <w:tcPr>
            <w:tcW w:w="1086" w:type="pct"/>
          </w:tcPr>
          <w:p w14:paraId="653D44D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89" w:name="Medicationsforacutepain"/>
            <w:bookmarkEnd w:id="289"/>
            <w:r w:rsidRPr="00D61F73">
              <w:rPr>
                <w:rFonts w:ascii="Arial" w:hAnsi="Arial" w:cs="Arial"/>
              </w:rPr>
              <w:t xml:space="preserve">edications for acute pain (analgesics) </w:t>
            </w:r>
          </w:p>
        </w:tc>
        <w:tc>
          <w:tcPr>
            <w:tcW w:w="3914" w:type="pct"/>
          </w:tcPr>
          <w:p w14:paraId="7A87F7A6" w14:textId="77777777" w:rsidR="00E648FC" w:rsidRPr="00D61F73" w:rsidRDefault="00E648FC" w:rsidP="00D61F73">
            <w:pPr>
              <w:rPr>
                <w:rFonts w:ascii="Arial" w:hAnsi="Arial" w:cs="Arial"/>
              </w:rPr>
            </w:pPr>
            <w:r w:rsidRPr="00D61F73">
              <w:rPr>
                <w:rFonts w:ascii="Arial" w:hAnsi="Arial" w:cs="Arial"/>
              </w:rPr>
              <w:t xml:space="preserve">Recommended as indicated below. </w:t>
            </w:r>
          </w:p>
          <w:p w14:paraId="4D3496F0" w14:textId="77777777" w:rsidR="00E648FC" w:rsidRPr="00D61F73" w:rsidRDefault="00E648FC" w:rsidP="00D61F73">
            <w:pPr>
              <w:rPr>
                <w:rFonts w:ascii="Arial" w:hAnsi="Arial" w:cs="Arial"/>
              </w:rPr>
            </w:pPr>
            <w:r w:rsidRPr="00D61F73">
              <w:rPr>
                <w:rFonts w:ascii="Arial" w:hAnsi="Arial" w:cs="Arial"/>
                <w:i/>
                <w:u w:val="single"/>
              </w:rPr>
              <w:t>Acetaminophen</w:t>
            </w:r>
            <w:r w:rsidRPr="00D61F73">
              <w:rPr>
                <w:rFonts w:ascii="Arial" w:hAnsi="Arial" w:cs="Arial"/>
                <w:i/>
              </w:rPr>
              <w:t xml:space="preserve"> </w:t>
            </w:r>
            <w:r w:rsidRPr="00D61F73">
              <w:rPr>
                <w:rFonts w:ascii="Arial" w:hAnsi="Arial" w:cs="Arial"/>
              </w:rPr>
              <w:t>is the initial choice for treatment of acute pain &amp; acute exacerbations of chronic pain in a dose of 1,000 mg. A recent study found that in a single dose, aspirin was similar to acetaminophen (mg to mg comparison) for treatment of acute pain, although aspirin is more likely to produce GI side effects. (</w:t>
            </w:r>
            <w:hyperlink w:anchor="Edwards" w:history="1">
              <w:r w:rsidRPr="00D61F73">
                <w:rPr>
                  <w:rStyle w:val="Hyperlink"/>
                  <w:rFonts w:ascii="Arial" w:hAnsi="Arial" w:cs="Arial"/>
                </w:rPr>
                <w:t>Edwards, 2006</w:t>
              </w:r>
            </w:hyperlink>
            <w:r w:rsidRPr="00D61F73">
              <w:rPr>
                <w:rFonts w:ascii="Arial" w:hAnsi="Arial" w:cs="Arial"/>
              </w:rPr>
              <w:t>) (</w:t>
            </w:r>
            <w:hyperlink w:anchor="Sachs" w:history="1">
              <w:r w:rsidRPr="00D61F73">
                <w:rPr>
                  <w:rStyle w:val="Hyperlink"/>
                  <w:rFonts w:ascii="Arial" w:hAnsi="Arial" w:cs="Arial"/>
                </w:rPr>
                <w:t>Sachs, 2005</w:t>
              </w:r>
            </w:hyperlink>
            <w:r w:rsidRPr="00D61F73">
              <w:rPr>
                <w:rFonts w:ascii="Arial" w:hAnsi="Arial" w:cs="Arial"/>
              </w:rPr>
              <w:t>) To help encourage appropriate acetaminophen use, the makers of Extra Strength Tylenol® (acetaminophen) have implemented new dosing instructions lowering the maximum daily dose from 4,000 mg to 3,000 mg. (</w:t>
            </w:r>
            <w:hyperlink r:id="rId108" w:history="1">
              <w:r w:rsidRPr="00D61F73">
                <w:rPr>
                  <w:rStyle w:val="Hyperlink"/>
                  <w:rFonts w:ascii="Arial" w:hAnsi="Arial" w:cs="Arial"/>
                </w:rPr>
                <w:t>McNeil, 2012</w:t>
              </w:r>
            </w:hyperlink>
            <w:r w:rsidRPr="00D61F73">
              <w:rPr>
                <w:rFonts w:ascii="Arial" w:hAnsi="Arial" w:cs="Arial"/>
              </w:rPr>
              <w:t>) There should be caution about daily doses of acetaminophen and liver disease if over 4,000 mg per day or in combination with other NSAIDs. (</w:t>
            </w:r>
            <w:hyperlink w:anchor="Watkins" w:history="1">
              <w:r w:rsidRPr="00D61F73">
                <w:rPr>
                  <w:rStyle w:val="Hyperlink"/>
                  <w:rFonts w:ascii="Arial" w:hAnsi="Arial" w:cs="Arial"/>
                </w:rPr>
                <w:t>Watkins, 2006</w:t>
              </w:r>
            </w:hyperlink>
            <w:r w:rsidRPr="00D61F73">
              <w:rPr>
                <w:rFonts w:ascii="Arial" w:hAnsi="Arial" w:cs="Arial"/>
              </w:rPr>
              <w:t>) A 2008 Cochrane review found that NSAIDs are not more effective than acetaminophen for acute low-back pain, but acetaminophen had fewer side effects, which support recommending NSAIDs as a treatment option after acetaminophen. (</w:t>
            </w:r>
            <w:hyperlink r:id="rId109" w:anchor="Roelofs2" w:history="1">
              <w:r w:rsidRPr="00D61F73">
                <w:rPr>
                  <w:rStyle w:val="Hyperlink"/>
                  <w:rFonts w:ascii="Arial" w:hAnsi="Arial" w:cs="Arial"/>
                </w:rPr>
                <w:t>Roelofs-Cochrane, 2008</w:t>
              </w:r>
            </w:hyperlink>
            <w:r w:rsidRPr="00D61F73">
              <w:rPr>
                <w:rFonts w:ascii="Arial" w:hAnsi="Arial" w:cs="Arial"/>
              </w:rPr>
              <w:t>)</w:t>
            </w:r>
          </w:p>
          <w:p w14:paraId="758F43EF" w14:textId="77777777" w:rsidR="00E648FC" w:rsidRPr="00D61F73" w:rsidRDefault="00E648FC" w:rsidP="00D61F73">
            <w:pPr>
              <w:rPr>
                <w:rFonts w:ascii="Arial" w:hAnsi="Arial" w:cs="Arial"/>
              </w:rPr>
            </w:pPr>
            <w:r w:rsidRPr="00D61F73">
              <w:rPr>
                <w:rFonts w:ascii="Arial" w:hAnsi="Arial" w:cs="Arial"/>
                <w:i/>
                <w:u w:val="single"/>
              </w:rPr>
              <w:t>NSAIDs</w:t>
            </w:r>
            <w:r w:rsidRPr="00D61F73">
              <w:rPr>
                <w:rFonts w:ascii="Arial" w:hAnsi="Arial" w:cs="Arial"/>
                <w:i/>
              </w:rPr>
              <w:t xml:space="preserve"> </w:t>
            </w:r>
            <w:r w:rsidRPr="00D61F73">
              <w:rPr>
                <w:rFonts w:ascii="Arial" w:hAnsi="Arial" w:cs="Arial"/>
              </w:rPr>
              <w:t>are superior to acetaminophen for some types of pain, and can provide analgesia similar to opioids in some settings, including post-operatively. (</w:t>
            </w:r>
            <w:hyperlink w:anchor="Mason3" w:history="1">
              <w:r w:rsidRPr="00D61F73">
                <w:rPr>
                  <w:rStyle w:val="Hyperlink"/>
                  <w:rFonts w:ascii="Arial" w:hAnsi="Arial" w:cs="Arial"/>
                  <w:u w:val="none"/>
                </w:rPr>
                <w:t>Mason, 2006</w:t>
              </w:r>
            </w:hyperlink>
            <w:r w:rsidRPr="00D61F73">
              <w:rPr>
                <w:rFonts w:ascii="Arial" w:hAnsi="Arial" w:cs="Arial"/>
              </w:rPr>
              <w:t xml:space="preserve">) An important concern is side effects such as GI disturbance, renal dysfunction, increased edema, and increased blood pressure. NSAIDs, and the Cox-2 NSAIDS in particular, also are associated with thrombotic cardiovascular events. </w:t>
            </w:r>
          </w:p>
          <w:p w14:paraId="142E245C" w14:textId="7B2D4A1C" w:rsidR="00E648FC" w:rsidRPr="00D61F73" w:rsidRDefault="00E648FC" w:rsidP="00D61F73">
            <w:pPr>
              <w:rPr>
                <w:rFonts w:ascii="Arial" w:hAnsi="Arial" w:cs="Arial"/>
              </w:rPr>
            </w:pPr>
            <w:r w:rsidRPr="00D61F73">
              <w:rPr>
                <w:rFonts w:ascii="Arial" w:hAnsi="Arial" w:cs="Arial"/>
                <w:i/>
              </w:rPr>
              <w:t xml:space="preserve">Opioids: </w:t>
            </w:r>
            <w:r w:rsidR="00A25B66" w:rsidRPr="00D61F73">
              <w:rPr>
                <w:rFonts w:ascii="Arial" w:hAnsi="Arial" w:cs="Arial"/>
              </w:rPr>
              <w:t>See</w:t>
            </w:r>
            <w:r w:rsidRPr="00D61F73">
              <w:rPr>
                <w:rFonts w:ascii="Arial" w:hAnsi="Arial" w:cs="Arial"/>
              </w:rPr>
              <w:t xml:space="preserve"> </w:t>
            </w:r>
            <w:r w:rsidR="00E93FEC" w:rsidRPr="00D61F73">
              <w:rPr>
                <w:rFonts w:ascii="Arial" w:hAnsi="Arial" w:cs="Arial"/>
              </w:rPr>
              <w:t xml:space="preserve">MTUS Opioids Treatment Guidelines </w:t>
            </w:r>
            <w:r w:rsidRPr="00D61F73">
              <w:rPr>
                <w:rFonts w:ascii="Arial" w:hAnsi="Arial" w:cs="Arial"/>
                <w:bCs/>
              </w:rPr>
              <w:t>for recommendations on the use of opioids.</w:t>
            </w:r>
            <w:r w:rsidRPr="00D61F73">
              <w:rPr>
                <w:rFonts w:ascii="Arial" w:hAnsi="Arial" w:cs="Arial"/>
              </w:rPr>
              <w:t xml:space="preserve"> </w:t>
            </w:r>
          </w:p>
        </w:tc>
      </w:tr>
      <w:tr w:rsidR="00E648FC" w:rsidRPr="00D61F73" w14:paraId="1EED07CF" w14:textId="77777777" w:rsidTr="0078164D">
        <w:tc>
          <w:tcPr>
            <w:tcW w:w="1086" w:type="pct"/>
          </w:tcPr>
          <w:p w14:paraId="2663A078"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0" w:name="Medicationoveruseheadache"/>
            <w:bookmarkEnd w:id="290"/>
            <w:r w:rsidRPr="00D61F73">
              <w:rPr>
                <w:rFonts w:ascii="Arial" w:hAnsi="Arial" w:cs="Arial"/>
              </w:rPr>
              <w:t>edication overuse headache</w:t>
            </w:r>
          </w:p>
        </w:tc>
        <w:tc>
          <w:tcPr>
            <w:tcW w:w="3914" w:type="pct"/>
          </w:tcPr>
          <w:p w14:paraId="570FF595" w14:textId="5F00BA01" w:rsidR="00E648FC" w:rsidRPr="00D61F73" w:rsidRDefault="00E648FC" w:rsidP="00D61F73">
            <w:pPr>
              <w:rPr>
                <w:rFonts w:ascii="Arial" w:hAnsi="Arial" w:cs="Arial"/>
              </w:rPr>
            </w:pPr>
            <w:r w:rsidRPr="00D61F73">
              <w:rPr>
                <w:rFonts w:ascii="Arial" w:hAnsi="Arial" w:cs="Arial"/>
                <w:i/>
              </w:rPr>
              <w:t>Definition:</w:t>
            </w:r>
            <w:r w:rsidRPr="00D61F73">
              <w:rPr>
                <w:rFonts w:ascii="Arial" w:hAnsi="Arial" w:cs="Arial"/>
              </w:rPr>
              <w:t xml:space="preserve"> (1) Headache present on ≥ 15 days a month; (2) Regular overuse for ≥ 3 months of acute treatment of symptomatic treatment drugs including opioids, combination analgesics, triptans or ergotamines (one or more of these drugs); (3) Use of these same medications on ≥ 15 days a month or a regular basis for ≥ 3 months (with no overuse of any one class alone); &amp; (4) headache that is worse during medication overuse. The prevalence of this condition may be as high as 59-64% of patients seen in tertiary headache centers in the US. A risk factor for this condition is frequent to daily use of analgesics for </w:t>
            </w:r>
            <w:r w:rsidRPr="006D66A9">
              <w:rPr>
                <w:rFonts w:ascii="Arial" w:hAnsi="Arial" w:cs="Arial"/>
              </w:rPr>
              <w:t>chronic neck pain</w:t>
            </w:r>
            <w:r w:rsidRPr="00D61F73">
              <w:rPr>
                <w:rFonts w:ascii="Arial" w:hAnsi="Arial" w:cs="Arial"/>
              </w:rPr>
              <w:t xml:space="preserve"> (RR=2.2) and </w:t>
            </w:r>
            <w:r w:rsidRPr="006D66A9">
              <w:rPr>
                <w:rFonts w:ascii="Arial" w:hAnsi="Arial" w:cs="Arial"/>
              </w:rPr>
              <w:t>chronic low back pain</w:t>
            </w:r>
            <w:r w:rsidRPr="00D61F73">
              <w:rPr>
                <w:rFonts w:ascii="Arial" w:hAnsi="Arial" w:cs="Arial"/>
              </w:rPr>
              <w:t xml:space="preserve"> (RR=2.3). Other risks include the use of opioids for other medical conditions, psychiatric comorbidity, dependence on other psychoactive substances (including alcohol and nicotine), and a family history of substance abuse. </w:t>
            </w:r>
          </w:p>
          <w:p w14:paraId="1A4D34BD" w14:textId="77777777" w:rsidR="00E648FC" w:rsidRPr="00D61F73" w:rsidRDefault="00E648FC" w:rsidP="00D61F73">
            <w:pPr>
              <w:rPr>
                <w:rFonts w:ascii="Arial" w:hAnsi="Arial" w:cs="Arial"/>
              </w:rPr>
            </w:pPr>
            <w:r w:rsidRPr="00D61F73">
              <w:rPr>
                <w:rFonts w:ascii="Arial" w:hAnsi="Arial" w:cs="Arial"/>
                <w:i/>
              </w:rPr>
              <w:t xml:space="preserve">Recommended treatment: </w:t>
            </w:r>
            <w:r w:rsidRPr="00D61F73">
              <w:rPr>
                <w:rFonts w:ascii="Arial" w:hAnsi="Arial" w:cs="Arial"/>
              </w:rPr>
              <w:t>Includes screening for medication usage via the following: interviews with the patient; interviews with other family members; contact with prescribing physicians; and pharmacy billing records. Urine drug screens are also recommended. Complex cases may require both medical and behavioral intervention. (</w:t>
            </w:r>
            <w:hyperlink w:anchor="Lake" w:history="1">
              <w:r w:rsidRPr="00D61F73">
                <w:rPr>
                  <w:rStyle w:val="Hyperlink"/>
                  <w:rFonts w:ascii="Arial" w:hAnsi="Arial" w:cs="Arial"/>
                </w:rPr>
                <w:t>Lake, 2008</w:t>
              </w:r>
            </w:hyperlink>
            <w:r w:rsidRPr="00D61F73">
              <w:rPr>
                <w:rFonts w:ascii="Arial" w:hAnsi="Arial" w:cs="Arial"/>
              </w:rPr>
              <w:t>) (</w:t>
            </w:r>
            <w:hyperlink w:anchor="Olesen" w:history="1">
              <w:r w:rsidRPr="00D61F73">
                <w:rPr>
                  <w:rStyle w:val="Hyperlink"/>
                  <w:rFonts w:ascii="Arial" w:hAnsi="Arial" w:cs="Arial"/>
                </w:rPr>
                <w:t>Olesen, 2006</w:t>
              </w:r>
            </w:hyperlink>
            <w:r w:rsidRPr="00D61F73">
              <w:rPr>
                <w:rFonts w:ascii="Arial" w:hAnsi="Arial" w:cs="Arial"/>
              </w:rPr>
              <w:t xml:space="preserve">) </w:t>
            </w:r>
          </w:p>
        </w:tc>
      </w:tr>
      <w:tr w:rsidR="00E648FC" w:rsidRPr="00D61F73" w14:paraId="409E3694" w14:textId="77777777" w:rsidTr="0078164D">
        <w:tc>
          <w:tcPr>
            <w:tcW w:w="1086" w:type="pct"/>
          </w:tcPr>
          <w:p w14:paraId="06515F2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291" w:name="Medroldosepack"/>
            <w:bookmarkEnd w:id="291"/>
            <w:r w:rsidRPr="00D61F73">
              <w:rPr>
                <w:rFonts w:ascii="Arial" w:hAnsi="Arial" w:cs="Arial"/>
              </w:rPr>
              <w:t>edrol dose pack</w:t>
            </w:r>
          </w:p>
        </w:tc>
        <w:tc>
          <w:tcPr>
            <w:tcW w:w="3914" w:type="pct"/>
          </w:tcPr>
          <w:p w14:paraId="7ABD060E" w14:textId="77777777" w:rsidR="00E648FC" w:rsidRPr="00D61F73" w:rsidRDefault="00E648FC" w:rsidP="00D61F73">
            <w:pPr>
              <w:rPr>
                <w:rFonts w:ascii="Arial" w:hAnsi="Arial" w:cs="Arial"/>
                <w:iCs/>
              </w:rPr>
            </w:pPr>
            <w:r w:rsidRPr="00D61F73">
              <w:rPr>
                <w:rFonts w:ascii="Arial" w:hAnsi="Arial" w:cs="Arial"/>
                <w:iCs/>
              </w:rPr>
              <w:t xml:space="preserve">See </w:t>
            </w:r>
            <w:hyperlink w:anchor="Oralcorticosteroids" w:history="1">
              <w:r w:rsidRPr="00D61F73">
                <w:rPr>
                  <w:rStyle w:val="Hyperlink"/>
                  <w:rFonts w:ascii="Arial" w:hAnsi="Arial" w:cs="Arial"/>
                  <w:iCs/>
                </w:rPr>
                <w:t>Oral corticosteroids</w:t>
              </w:r>
            </w:hyperlink>
            <w:r w:rsidRPr="00D61F73">
              <w:rPr>
                <w:rFonts w:ascii="Arial" w:hAnsi="Arial" w:cs="Arial"/>
                <w:iCs/>
              </w:rPr>
              <w:t>.</w:t>
            </w:r>
          </w:p>
        </w:tc>
      </w:tr>
      <w:tr w:rsidR="00E648FC" w:rsidRPr="00D61F73" w14:paraId="1B7A92D5" w14:textId="77777777" w:rsidTr="0078164D">
        <w:tc>
          <w:tcPr>
            <w:tcW w:w="1086" w:type="pct"/>
          </w:tcPr>
          <w:p w14:paraId="10A0B066"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2" w:name="MefenamicAcid"/>
            <w:bookmarkEnd w:id="292"/>
            <w:r w:rsidRPr="00D61F73">
              <w:rPr>
                <w:rFonts w:ascii="Arial" w:hAnsi="Arial" w:cs="Arial"/>
              </w:rPr>
              <w:t>efenamic Acid (Ponstel®)</w:t>
            </w:r>
          </w:p>
        </w:tc>
        <w:tc>
          <w:tcPr>
            <w:tcW w:w="3914" w:type="pct"/>
          </w:tcPr>
          <w:p w14:paraId="7F9BEA5B" w14:textId="6B85EB63" w:rsidR="00E648FC" w:rsidRPr="00D61F73" w:rsidRDefault="00E648FC"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NSAIDSmefanamic" w:history="1">
              <w:r w:rsidRPr="00D61F73">
                <w:rPr>
                  <w:rStyle w:val="Hyperlink"/>
                  <w:rFonts w:ascii="Arial" w:hAnsi="Arial" w:cs="Arial"/>
                </w:rPr>
                <w:t>Mefenamic Acid</w:t>
              </w:r>
            </w:hyperlink>
            <w:r w:rsidRPr="00D61F73">
              <w:rPr>
                <w:rFonts w:ascii="Arial" w:hAnsi="Arial" w:cs="Arial"/>
              </w:rPr>
              <w:t xml:space="preserve"> (Ponstel®) listing for more information and references.</w:t>
            </w:r>
          </w:p>
        </w:tc>
      </w:tr>
      <w:tr w:rsidR="00E648FC" w:rsidRPr="00D61F73" w14:paraId="4DD925EB" w14:textId="77777777" w:rsidTr="0078164D">
        <w:tc>
          <w:tcPr>
            <w:tcW w:w="1086" w:type="pct"/>
          </w:tcPr>
          <w:p w14:paraId="485FACE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3" w:name="Melatonin"/>
            <w:bookmarkEnd w:id="293"/>
            <w:r w:rsidRPr="00D61F73">
              <w:rPr>
                <w:rFonts w:ascii="Arial" w:hAnsi="Arial" w:cs="Arial"/>
              </w:rPr>
              <w:t>elatonin</w:t>
            </w:r>
          </w:p>
        </w:tc>
        <w:tc>
          <w:tcPr>
            <w:tcW w:w="3914" w:type="pct"/>
          </w:tcPr>
          <w:p w14:paraId="1978E440" w14:textId="77777777" w:rsidR="00E648FC" w:rsidRPr="00D61F73" w:rsidRDefault="00E648FC" w:rsidP="00D61F73">
            <w:pPr>
              <w:rPr>
                <w:rFonts w:ascii="Arial" w:hAnsi="Arial" w:cs="Arial"/>
              </w:rPr>
            </w:pPr>
            <w:r w:rsidRPr="00D61F73">
              <w:rPr>
                <w:rFonts w:ascii="Arial" w:hAnsi="Arial" w:cs="Arial"/>
              </w:rPr>
              <w:t xml:space="preserve">Recommended. See </w:t>
            </w:r>
            <w:hyperlink w:anchor="Insomniatreatment" w:history="1">
              <w:r w:rsidRPr="00D61F73">
                <w:rPr>
                  <w:rStyle w:val="Hyperlink"/>
                  <w:rFonts w:ascii="Arial" w:hAnsi="Arial" w:cs="Arial"/>
                </w:rPr>
                <w:t>Insomnia treatment</w:t>
              </w:r>
            </w:hyperlink>
            <w:r w:rsidRPr="00D61F73">
              <w:rPr>
                <w:rFonts w:ascii="Arial" w:hAnsi="Arial" w:cs="Arial"/>
              </w:rPr>
              <w:t>. There are also experimental and clinical data supporting an analgesic role of melatonin. In published studies melatonin shows potent analgesic effects in a dose-dependent manner, and melatonin has been shown to have analgesic benefits in patients with chronic pain. Also, the repeated administration of melatonin improves sleep and thereby may reduce anxiety, which leads to lower levels of pain. (</w:t>
            </w:r>
            <w:hyperlink w:anchor="Wilhelmsen2011" w:history="1">
              <w:r w:rsidRPr="00D61F73">
                <w:rPr>
                  <w:rStyle w:val="Hyperlink"/>
                  <w:rFonts w:ascii="Arial" w:hAnsi="Arial" w:cs="Arial"/>
                </w:rPr>
                <w:t>Wilhelmsen, 2011</w:t>
              </w:r>
            </w:hyperlink>
            <w:r w:rsidRPr="00D61F73">
              <w:rPr>
                <w:rFonts w:ascii="Arial" w:hAnsi="Arial" w:cs="Arial"/>
              </w:rPr>
              <w:t>)</w:t>
            </w:r>
          </w:p>
        </w:tc>
      </w:tr>
      <w:tr w:rsidR="00E648FC" w:rsidRPr="00D61F73" w14:paraId="435838B3" w14:textId="77777777" w:rsidTr="0078164D">
        <w:tc>
          <w:tcPr>
            <w:tcW w:w="1086" w:type="pct"/>
          </w:tcPr>
          <w:p w14:paraId="1E908AD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4" w:name="Meloxicam"/>
            <w:bookmarkEnd w:id="294"/>
            <w:r w:rsidRPr="00D61F73">
              <w:rPr>
                <w:rFonts w:ascii="Arial" w:hAnsi="Arial" w:cs="Arial"/>
              </w:rPr>
              <w:t>eloxicam (Mobic®)</w:t>
            </w:r>
          </w:p>
        </w:tc>
        <w:tc>
          <w:tcPr>
            <w:tcW w:w="3914" w:type="pct"/>
          </w:tcPr>
          <w:p w14:paraId="2A2AB46B" w14:textId="394342CE" w:rsidR="00E648FC" w:rsidRPr="00D61F73" w:rsidRDefault="00E648FC" w:rsidP="00D61F73">
            <w:pPr>
              <w:rPr>
                <w:rFonts w:ascii="Arial" w:hAnsi="Arial" w:cs="Arial"/>
              </w:rPr>
            </w:pPr>
            <w:r w:rsidRPr="00D61F73">
              <w:rPr>
                <w:rFonts w:ascii="Arial" w:hAnsi="Arial" w:cs="Arial"/>
              </w:rPr>
              <w:t xml:space="preserve">Meloxicam is a nonsteroidal anti-inflammatory drug (NSAID) for the relief of the signs and symptoms of osteoarthritis. 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NSAIDmeloxicam" w:history="1">
              <w:r w:rsidR="006A40CD">
                <w:rPr>
                  <w:rStyle w:val="Hyperlink"/>
                  <w:rFonts w:ascii="Arial" w:hAnsi="Arial" w:cs="Arial"/>
                </w:rPr>
                <w:t>meloxicam</w:t>
              </w:r>
            </w:hyperlink>
            <w:r w:rsidRPr="00D61F73">
              <w:rPr>
                <w:rFonts w:ascii="Arial" w:hAnsi="Arial" w:cs="Arial"/>
              </w:rPr>
              <w:t xml:space="preserve"> (Mobic®) listing for more information and references. A large systematic review of available evidence on NSAIDs confirms that naproxen and low-dose ibuprofen are least likely to increase cardiovascular risk. In the pooled analyses, meloxicam had a risk profile similar to that of ibuprofen and celecoxib. (</w:t>
            </w:r>
            <w:hyperlink w:anchor="McGettigan2011" w:history="1">
              <w:r w:rsidRPr="00D61F73">
                <w:rPr>
                  <w:rStyle w:val="Hyperlink"/>
                  <w:rFonts w:ascii="Arial" w:hAnsi="Arial" w:cs="Arial"/>
                </w:rPr>
                <w:t>McGettigan, 2011</w:t>
              </w:r>
            </w:hyperlink>
            <w:r w:rsidRPr="00D61F73">
              <w:rPr>
                <w:rFonts w:ascii="Arial" w:hAnsi="Arial" w:cs="Arial"/>
              </w:rPr>
              <w:t>)</w:t>
            </w:r>
          </w:p>
        </w:tc>
      </w:tr>
      <w:tr w:rsidR="00E648FC" w:rsidRPr="00D61F73" w14:paraId="0568373E" w14:textId="77777777" w:rsidTr="0078164D">
        <w:tc>
          <w:tcPr>
            <w:tcW w:w="1086" w:type="pct"/>
          </w:tcPr>
          <w:p w14:paraId="2A83FDF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5" w:name="Meperidine"/>
            <w:bookmarkEnd w:id="295"/>
            <w:r w:rsidRPr="00D61F73">
              <w:rPr>
                <w:rFonts w:ascii="Arial" w:hAnsi="Arial" w:cs="Arial"/>
              </w:rPr>
              <w:t xml:space="preserve">eperidine (Demerol®) </w:t>
            </w:r>
          </w:p>
        </w:tc>
        <w:tc>
          <w:tcPr>
            <w:tcW w:w="3914" w:type="pct"/>
          </w:tcPr>
          <w:p w14:paraId="24B31638" w14:textId="1AFE7679" w:rsidR="00E648FC" w:rsidRPr="00D61F73" w:rsidRDefault="00A802EC" w:rsidP="00D61F73">
            <w:pPr>
              <w:rPr>
                <w:rFonts w:ascii="Arial" w:hAnsi="Arial" w:cs="Arial"/>
              </w:rPr>
            </w:pPr>
            <w:r w:rsidRPr="00D61F73">
              <w:rPr>
                <w:rFonts w:ascii="Arial" w:hAnsi="Arial" w:cs="Arial"/>
              </w:rPr>
              <w:t>See</w:t>
            </w:r>
            <w:r w:rsidR="00FB77BE" w:rsidRPr="00D61F73">
              <w:rPr>
                <w:rFonts w:ascii="Arial" w:hAnsi="Arial" w:cs="Arial"/>
              </w:rPr>
              <w:t xml:space="preserve"> </w:t>
            </w:r>
            <w:r w:rsidR="00F875D4" w:rsidRPr="00D61F73">
              <w:rPr>
                <w:rFonts w:ascii="Arial" w:hAnsi="Arial" w:cs="Arial"/>
              </w:rPr>
              <w:t xml:space="preserve">MTUS Opioids Treatment Guidelines </w:t>
            </w:r>
            <w:r w:rsidR="00FB77BE" w:rsidRPr="00D61F73">
              <w:rPr>
                <w:rFonts w:ascii="Arial" w:hAnsi="Arial" w:cs="Arial"/>
                <w:bCs/>
              </w:rPr>
              <w:t xml:space="preserve">for recommendations on the use of opioids. </w:t>
            </w:r>
            <w:r w:rsidR="00E648FC" w:rsidRPr="00D61F73">
              <w:rPr>
                <w:rFonts w:ascii="Arial" w:hAnsi="Arial" w:cs="Arial"/>
              </w:rPr>
              <w:t>Meperidine is an opioid analgesic, similar to morphine, and has been used to relieve moderate to severe pain. The AGS updated Beers criteria for inappropriate medication use includes meperidine. (</w:t>
            </w:r>
            <w:hyperlink w:anchor="AGS2012" w:history="1">
              <w:r w:rsidR="00E648FC" w:rsidRPr="00D61F73">
                <w:rPr>
                  <w:rStyle w:val="Hyperlink"/>
                  <w:rFonts w:ascii="Arial" w:hAnsi="Arial" w:cs="Arial"/>
                  <w:u w:val="none"/>
                </w:rPr>
                <w:t>AGS, 2012</w:t>
              </w:r>
            </w:hyperlink>
            <w:r w:rsidR="00E648FC" w:rsidRPr="00D61F73">
              <w:rPr>
                <w:rFonts w:ascii="Arial" w:hAnsi="Arial" w:cs="Arial"/>
              </w:rPr>
              <w:t xml:space="preserve">)  </w:t>
            </w:r>
          </w:p>
        </w:tc>
      </w:tr>
      <w:tr w:rsidR="00E648FC" w:rsidRPr="00D61F73" w14:paraId="554B7322" w14:textId="77777777" w:rsidTr="0078164D">
        <w:tc>
          <w:tcPr>
            <w:tcW w:w="1086" w:type="pct"/>
          </w:tcPr>
          <w:p w14:paraId="0A1BF149"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6" w:name="Meprobamate"/>
            <w:bookmarkEnd w:id="296"/>
            <w:r w:rsidRPr="00D61F73">
              <w:rPr>
                <w:rFonts w:ascii="Arial" w:hAnsi="Arial" w:cs="Arial"/>
              </w:rPr>
              <w:t>eprobamate</w:t>
            </w:r>
          </w:p>
        </w:tc>
        <w:tc>
          <w:tcPr>
            <w:tcW w:w="3914" w:type="pct"/>
          </w:tcPr>
          <w:p w14:paraId="6D0433FD" w14:textId="77777777" w:rsidR="00E648FC" w:rsidRPr="00D61F73" w:rsidRDefault="00E648FC" w:rsidP="00D61F73">
            <w:pPr>
              <w:rPr>
                <w:rFonts w:ascii="Arial" w:hAnsi="Arial" w:cs="Arial"/>
              </w:rPr>
            </w:pPr>
            <w:r w:rsidRPr="00D61F73">
              <w:rPr>
                <w:rFonts w:ascii="Arial" w:hAnsi="Arial" w:cs="Arial"/>
              </w:rPr>
              <w:t xml:space="preserve">Meprobamate is the active metabolite of carisoprodol. See </w:t>
            </w:r>
            <w:hyperlink w:anchor="Carisoprodol" w:history="1">
              <w:r w:rsidRPr="00D61F73">
                <w:rPr>
                  <w:rStyle w:val="Hyperlink"/>
                  <w:rFonts w:ascii="Arial" w:hAnsi="Arial" w:cs="Arial"/>
                </w:rPr>
                <w:t>Carisoprodol</w:t>
              </w:r>
            </w:hyperlink>
            <w:r w:rsidRPr="00D61F73">
              <w:rPr>
                <w:rFonts w:ascii="Arial" w:hAnsi="Arial" w:cs="Arial"/>
              </w:rPr>
              <w:t xml:space="preserve"> (Soma®).</w:t>
            </w:r>
          </w:p>
        </w:tc>
      </w:tr>
      <w:tr w:rsidR="00E648FC" w:rsidRPr="00D61F73" w14:paraId="3D85626C" w14:textId="77777777" w:rsidTr="0078164D">
        <w:tc>
          <w:tcPr>
            <w:tcW w:w="1086" w:type="pct"/>
          </w:tcPr>
          <w:p w14:paraId="4A8CD3D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7" w:name="Metaxalone"/>
            <w:bookmarkEnd w:id="297"/>
            <w:r w:rsidRPr="00D61F73">
              <w:rPr>
                <w:rFonts w:ascii="Arial" w:hAnsi="Arial" w:cs="Arial"/>
              </w:rPr>
              <w:t>etaxalone (Skelaxin®)</w:t>
            </w:r>
          </w:p>
        </w:tc>
        <w:tc>
          <w:tcPr>
            <w:tcW w:w="3914" w:type="pct"/>
          </w:tcPr>
          <w:p w14:paraId="17A8B06F" w14:textId="77777777" w:rsidR="00E648FC" w:rsidRPr="00D61F73" w:rsidRDefault="00E648FC" w:rsidP="00D61F73">
            <w:pPr>
              <w:rPr>
                <w:rFonts w:ascii="Arial" w:hAnsi="Arial" w:cs="Arial"/>
              </w:rPr>
            </w:pPr>
            <w:r w:rsidRPr="00D61F73">
              <w:rPr>
                <w:rFonts w:ascii="Arial" w:hAnsi="Arial" w:cs="Arial"/>
              </w:rPr>
              <w:t xml:space="preserve">Recommended with caution as a second-line option for acute LBP and for short-term pain relief in patients with chronic LBP. Metaxalone (marketed by King Pharmaceuticals under the brand name Skelaxin®) is a muscle relaxant that is reported to be relatively non-sedating. See </w:t>
            </w:r>
            <w:hyperlink w:anchor="Musclerelaxants" w:history="1">
              <w:r w:rsidRPr="00D61F73">
                <w:rPr>
                  <w:rStyle w:val="Hyperlink"/>
                  <w:rFonts w:ascii="Arial" w:hAnsi="Arial" w:cs="Arial"/>
                </w:rPr>
                <w:t>Muscle relaxants</w:t>
              </w:r>
            </w:hyperlink>
            <w:r w:rsidRPr="00D61F73">
              <w:rPr>
                <w:rFonts w:ascii="Arial" w:hAnsi="Arial" w:cs="Arial"/>
              </w:rPr>
              <w:t xml:space="preserve"> for more information and references.</w:t>
            </w:r>
          </w:p>
        </w:tc>
      </w:tr>
      <w:tr w:rsidR="00E648FC" w:rsidRPr="00D61F73" w14:paraId="03A48920" w14:textId="77777777" w:rsidTr="0078164D">
        <w:tc>
          <w:tcPr>
            <w:tcW w:w="1086" w:type="pct"/>
          </w:tcPr>
          <w:p w14:paraId="411DA9BE"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298" w:name="Methadone"/>
            <w:bookmarkEnd w:id="298"/>
            <w:r w:rsidRPr="00D61F73">
              <w:rPr>
                <w:rFonts w:ascii="Arial" w:hAnsi="Arial" w:cs="Arial"/>
              </w:rPr>
              <w:t xml:space="preserve">ethadone </w:t>
            </w:r>
          </w:p>
          <w:p w14:paraId="2A05B611" w14:textId="77777777" w:rsidR="00E648FC" w:rsidRPr="00D61F73" w:rsidRDefault="00E648FC" w:rsidP="00D61F73">
            <w:pPr>
              <w:pStyle w:val="Footer"/>
              <w:tabs>
                <w:tab w:val="clear" w:pos="4320"/>
                <w:tab w:val="clear" w:pos="8640"/>
              </w:tabs>
              <w:rPr>
                <w:rFonts w:ascii="Arial" w:hAnsi="Arial" w:cs="Arial"/>
              </w:rPr>
            </w:pPr>
          </w:p>
          <w:p w14:paraId="38266E10" w14:textId="77777777" w:rsidR="00E648FC" w:rsidRPr="00D61F73" w:rsidRDefault="00E648FC" w:rsidP="00D61F73">
            <w:pPr>
              <w:pStyle w:val="Footer"/>
              <w:tabs>
                <w:tab w:val="clear" w:pos="4320"/>
                <w:tab w:val="clear" w:pos="8640"/>
              </w:tabs>
              <w:rPr>
                <w:rFonts w:ascii="Arial" w:hAnsi="Arial" w:cs="Arial"/>
              </w:rPr>
            </w:pPr>
          </w:p>
        </w:tc>
        <w:tc>
          <w:tcPr>
            <w:tcW w:w="3914" w:type="pct"/>
          </w:tcPr>
          <w:p w14:paraId="35592505" w14:textId="4A0922D8" w:rsidR="00E648FC" w:rsidRPr="00D61F73" w:rsidRDefault="0055163C" w:rsidP="00D61F73">
            <w:pPr>
              <w:rPr>
                <w:rFonts w:ascii="Arial" w:hAnsi="Arial" w:cs="Arial"/>
              </w:rPr>
            </w:pPr>
            <w:r w:rsidRPr="00D61F73">
              <w:rPr>
                <w:rFonts w:ascii="Arial" w:hAnsi="Arial" w:cs="Arial"/>
              </w:rPr>
              <w:t>See</w:t>
            </w:r>
            <w:r w:rsidR="00D63709" w:rsidRPr="00D61F73">
              <w:rPr>
                <w:rFonts w:ascii="Arial" w:hAnsi="Arial" w:cs="Arial"/>
              </w:rPr>
              <w:t xml:space="preserve"> MTUS Opioids Treatment Guidelines </w:t>
            </w:r>
            <w:r w:rsidR="00E648FC" w:rsidRPr="00D61F73">
              <w:rPr>
                <w:rFonts w:ascii="Arial" w:hAnsi="Arial" w:cs="Arial"/>
                <w:bCs/>
              </w:rPr>
              <w:t xml:space="preserve">for recommendations on use. Methadone is used </w:t>
            </w:r>
            <w:r w:rsidR="00E648FC" w:rsidRPr="00D61F73">
              <w:rPr>
                <w:rFonts w:ascii="Arial" w:hAnsi="Arial" w:cs="Arial"/>
              </w:rPr>
              <w:t xml:space="preserve">as a second-line drug for moderate to severe pain, only if the potential benefit outweighs the risk, unless methadone is prescribed by pain specialists with experience in its use and by addiction specialists, </w:t>
            </w:r>
            <w:r w:rsidR="00E648FC" w:rsidRPr="00D61F73">
              <w:rPr>
                <w:rFonts w:ascii="Arial" w:hAnsi="Arial" w:cs="Arial"/>
                <w:i/>
                <w:iCs/>
              </w:rPr>
              <w:t xml:space="preserve">Pharmacokinetics and pharmacodynamics: </w:t>
            </w:r>
            <w:r w:rsidR="00E648FC" w:rsidRPr="00D61F73">
              <w:rPr>
                <w:rFonts w:ascii="Arial" w:hAnsi="Arial" w:cs="Arial"/>
              </w:rPr>
              <w:t xml:space="preserve">Increased morbidity and mortality appears, in part, secondary to the long and variable half-life of the drug (8-59 hours; up to 110 hours in patients with cancer). Pain relief on the other hand only lasts from 4-8 hours. It may take several days to weeks to obtain adequate pain control. Genetic differences appear to influence how an individual will respond to this medication. Following oral administration, significantly different blood concentrations may be obtained. Vigilance is suggested in treatment initiation, conversion from another opioid to methadone, and when titrating the methadone dose. Frequent or large dose changes are generally not necessary after initial titration. If analgesia is lost, this may reflect the addition of a medication </w:t>
            </w:r>
            <w:r w:rsidR="00E648FC" w:rsidRPr="00D61F73">
              <w:rPr>
                <w:rFonts w:ascii="Arial" w:hAnsi="Arial" w:cs="Arial"/>
              </w:rPr>
              <w:lastRenderedPageBreak/>
              <w:t>that affects metabolism. (</w:t>
            </w:r>
            <w:hyperlink w:anchor="Weschules" w:history="1">
              <w:r w:rsidR="00E648FC" w:rsidRPr="00D61F73">
                <w:rPr>
                  <w:rStyle w:val="Hyperlink"/>
                  <w:rFonts w:ascii="Arial" w:hAnsi="Arial" w:cs="Arial"/>
                </w:rPr>
                <w:t>Weschules 2008</w:t>
              </w:r>
            </w:hyperlink>
            <w:r w:rsidR="00E648FC" w:rsidRPr="00D61F73">
              <w:rPr>
                <w:rFonts w:ascii="Arial" w:hAnsi="Arial" w:cs="Arial"/>
              </w:rPr>
              <w:t>) (</w:t>
            </w:r>
            <w:hyperlink w:anchor="Fredheim" w:history="1">
              <w:r w:rsidR="00E648FC" w:rsidRPr="00D61F73">
                <w:rPr>
                  <w:rStyle w:val="Hyperlink"/>
                  <w:rFonts w:ascii="Arial" w:hAnsi="Arial" w:cs="Arial"/>
                </w:rPr>
                <w:t>Fredheim 2008</w:t>
              </w:r>
            </w:hyperlink>
            <w:r w:rsidR="00E648FC" w:rsidRPr="00D61F73">
              <w:rPr>
                <w:rFonts w:ascii="Arial" w:hAnsi="Arial" w:cs="Arial"/>
              </w:rPr>
              <w:t>)</w:t>
            </w:r>
          </w:p>
          <w:p w14:paraId="37EDF60D" w14:textId="77777777" w:rsidR="00E648FC" w:rsidRPr="00D61F73" w:rsidRDefault="00E648FC" w:rsidP="00D61F73">
            <w:pPr>
              <w:rPr>
                <w:rFonts w:ascii="Arial" w:hAnsi="Arial" w:cs="Arial"/>
                <w:color w:val="auto"/>
              </w:rPr>
            </w:pPr>
            <w:r w:rsidRPr="00D61F73">
              <w:rPr>
                <w:rFonts w:ascii="Arial" w:hAnsi="Arial" w:cs="Arial"/>
                <w:i/>
                <w:iCs/>
              </w:rPr>
              <w:t>Adverse effects and mortality:</w:t>
            </w:r>
            <w:r w:rsidRPr="00D61F73">
              <w:rPr>
                <w:rFonts w:ascii="Arial" w:hAnsi="Arial" w:cs="Arial"/>
              </w:rPr>
              <w:t xml:space="preserve"> Methadone-related deaths are noted to be increasing at a faster rate than other poisoning deaths using data from the National Center for Health Statistics, increasing by 468% from 1999 to 2005 (total poisoning deaths increased by 66%). Methadone-related poisoning deaths had the greatest percentage increase of deaths compared with other opioids, although the actual number of deaths is less than from other opioids or cocaine. The Researched Abuse, Diversion and Addiction-Related Surveillance (RADARS®) System found that from 2003 until 2006 patients that filled prescriptions for methadone had the highest fatal poisoning rate for all people filling prescriptions. Approximately 35% of methadone deaths were characterized as resulting from an abuse situation. Two-thirds involved use of multiple drugs including antidepressants, alcohol and cocaine. Deaths can also occur with too rapid titration. Delayed adverse effects may occur due to methadone accumulation during chronic administration. (</w:t>
            </w:r>
            <w:hyperlink w:anchor="Fingerhut2008" w:history="1">
              <w:r w:rsidRPr="00D61F73">
                <w:rPr>
                  <w:rStyle w:val="Hyperlink"/>
                  <w:rFonts w:ascii="Arial" w:hAnsi="Arial" w:cs="Arial"/>
                </w:rPr>
                <w:t>Fingerhut, 2008</w:t>
              </w:r>
            </w:hyperlink>
            <w:r w:rsidRPr="00D61F73">
              <w:rPr>
                <w:rFonts w:ascii="Arial" w:hAnsi="Arial" w:cs="Arial"/>
              </w:rPr>
              <w:t>) (</w:t>
            </w:r>
            <w:hyperlink w:anchor="Dart2007" w:history="1">
              <w:r w:rsidRPr="00D61F73">
                <w:rPr>
                  <w:rStyle w:val="Hyperlink"/>
                  <w:rFonts w:ascii="Arial" w:hAnsi="Arial" w:cs="Arial"/>
                </w:rPr>
                <w:t>Dart, 2007</w:t>
              </w:r>
            </w:hyperlink>
            <w:r w:rsidRPr="00D61F73">
              <w:rPr>
                <w:rFonts w:ascii="Arial" w:hAnsi="Arial" w:cs="Arial"/>
              </w:rPr>
              <w:t>) (</w:t>
            </w:r>
            <w:hyperlink w:anchor="CenterforSubstanceAbuseTreatment2009" w:history="1">
              <w:r w:rsidRPr="00D61F73">
                <w:rPr>
                  <w:rStyle w:val="Hyperlink"/>
                  <w:rFonts w:ascii="Arial" w:hAnsi="Arial" w:cs="Arial"/>
                </w:rPr>
                <w:t>Center for Substance Abuse Treatment, 2009</w:t>
              </w:r>
            </w:hyperlink>
            <w:r w:rsidRPr="00D61F73">
              <w:rPr>
                <w:rFonts w:ascii="Arial" w:hAnsi="Arial" w:cs="Arial"/>
              </w:rPr>
              <w:t xml:space="preserve">) Systemic toxicity is more likely to occur in patients previously exposed to high doses of opioids. This may be related to tolerance that develops related to the NMDA receptor antagonism properties. Patients may respond to lower doses of methadone than would be expected based on this antagonism. One severe side effect is respiratory depression (which persists longer than the analgesic effect). </w:t>
            </w:r>
          </w:p>
          <w:p w14:paraId="3F052445" w14:textId="77777777" w:rsidR="00E648FC" w:rsidRPr="00D61F73" w:rsidRDefault="00E648FC" w:rsidP="00D61F73">
            <w:pPr>
              <w:rPr>
                <w:rFonts w:ascii="Arial" w:hAnsi="Arial" w:cs="Arial"/>
              </w:rPr>
            </w:pPr>
            <w:r w:rsidRPr="00D61F73">
              <w:rPr>
                <w:rFonts w:ascii="Arial" w:hAnsi="Arial" w:cs="Arial"/>
                <w:i/>
                <w:iCs/>
              </w:rPr>
              <w:t>Abuse potential:</w:t>
            </w:r>
            <w:r w:rsidRPr="00D61F73">
              <w:rPr>
                <w:rFonts w:ascii="Arial" w:hAnsi="Arial" w:cs="Arial"/>
              </w:rPr>
              <w:t xml:space="preserve"> Methadone does have the potential for abuse. “Street methadone” is primarily used for self-medication of detoxification and withdrawal symptoms. According to CDC, methadone has played a central role in the increase in overdose deaths from prescription painkillers. More than 30% of prescription painkiller deaths involve methadone, even though only 2% of painkiller prescriptions are for this drug. Six times as many people died of methadone overdoses in 2009 than a decade before. (</w:t>
            </w:r>
            <w:hyperlink r:id="rId110" w:history="1">
              <w:r w:rsidRPr="00D61F73">
                <w:rPr>
                  <w:rStyle w:val="Hyperlink"/>
                  <w:rFonts w:ascii="Arial" w:hAnsi="Arial" w:cs="Arial"/>
                </w:rPr>
                <w:t>CDC, 2012</w:t>
              </w:r>
            </w:hyperlink>
            <w:r w:rsidRPr="00D61F73">
              <w:rPr>
                <w:rFonts w:ascii="Arial" w:hAnsi="Arial" w:cs="Arial"/>
              </w:rPr>
              <w:t>)</w:t>
            </w:r>
          </w:p>
          <w:p w14:paraId="434D32D9" w14:textId="77777777" w:rsidR="00E648FC" w:rsidRPr="00D61F73" w:rsidRDefault="00E648FC" w:rsidP="00D61F73">
            <w:pPr>
              <w:rPr>
                <w:rFonts w:ascii="Arial" w:hAnsi="Arial" w:cs="Arial"/>
                <w:iCs/>
              </w:rPr>
            </w:pPr>
            <w:r w:rsidRPr="00D61F73">
              <w:rPr>
                <w:rFonts w:ascii="Arial" w:hAnsi="Arial" w:cs="Arial"/>
                <w:i/>
                <w:iCs/>
              </w:rPr>
              <w:t xml:space="preserve">Cardiac safety and EKG monitoring: </w:t>
            </w:r>
            <w:r w:rsidRPr="00D61F73">
              <w:rPr>
                <w:rFonts w:ascii="Arial" w:hAnsi="Arial" w:cs="Arial"/>
                <w:iCs/>
              </w:rPr>
              <w:t xml:space="preserve">Methadone use is associated with an increased risk for QT prolongation and torsade de pointes (TdP). Patients who are at most risk for TdP include those on high daily methadone doses, those who take medications that cause QTc prolongation or inhibit CYP34A enzymes, and patients with electrolyte imbalances (low magnesium or potassium). </w:t>
            </w:r>
          </w:p>
        </w:tc>
      </w:tr>
      <w:tr w:rsidR="00E648FC" w:rsidRPr="00D61F73" w14:paraId="3CB8282D" w14:textId="77777777" w:rsidTr="0078164D">
        <w:tc>
          <w:tcPr>
            <w:tcW w:w="1086" w:type="pct"/>
          </w:tcPr>
          <w:p w14:paraId="5A2D3F6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299" w:name="Methylnaltrexone"/>
            <w:bookmarkEnd w:id="299"/>
            <w:r w:rsidRPr="00D61F73">
              <w:rPr>
                <w:rFonts w:ascii="Arial" w:hAnsi="Arial" w:cs="Arial"/>
              </w:rPr>
              <w:t>ethylnaltrexone (Relistor®)</w:t>
            </w:r>
          </w:p>
        </w:tc>
        <w:tc>
          <w:tcPr>
            <w:tcW w:w="3914" w:type="pct"/>
          </w:tcPr>
          <w:p w14:paraId="14E55345" w14:textId="53B33F14" w:rsidR="00E648FC" w:rsidRPr="00D61F73" w:rsidRDefault="00E648FC" w:rsidP="00D61F73">
            <w:pPr>
              <w:rPr>
                <w:rFonts w:ascii="Arial" w:hAnsi="Arial" w:cs="Arial"/>
              </w:rPr>
            </w:pPr>
            <w:r w:rsidRPr="00D61F73">
              <w:rPr>
                <w:rFonts w:ascii="Arial" w:hAnsi="Arial" w:cs="Arial"/>
              </w:rPr>
              <w:t xml:space="preserve">Recommended only as a possible second-line treatment for opioid-induced constipation. See </w:t>
            </w:r>
            <w:hyperlink w:anchor="Opioidinducedconstiptx" w:history="1">
              <w:r w:rsidRPr="00D61F73">
                <w:rPr>
                  <w:rStyle w:val="Hyperlink"/>
                  <w:rFonts w:ascii="Arial" w:hAnsi="Arial" w:cs="Arial"/>
                  <w:u w:val="none"/>
                </w:rPr>
                <w:t>Opioid-induced constipation treatment</w:t>
              </w:r>
            </w:hyperlink>
            <w:r w:rsidRPr="00D61F73">
              <w:rPr>
                <w:rFonts w:ascii="Arial" w:hAnsi="Arial" w:cs="Arial"/>
              </w:rPr>
              <w:t>.</w:t>
            </w:r>
          </w:p>
        </w:tc>
      </w:tr>
      <w:tr w:rsidR="00E648FC" w:rsidRPr="00D61F73" w14:paraId="29C8A1F9" w14:textId="77777777" w:rsidTr="0078164D">
        <w:tc>
          <w:tcPr>
            <w:tcW w:w="1086" w:type="pct"/>
          </w:tcPr>
          <w:p w14:paraId="7FEA235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00" w:name="Microcurrentelectricalstimulation"/>
            <w:bookmarkEnd w:id="300"/>
            <w:r w:rsidRPr="00D61F73">
              <w:rPr>
                <w:rFonts w:ascii="Arial" w:hAnsi="Arial" w:cs="Arial"/>
              </w:rPr>
              <w:t>icrocurrent electrical stimulation (MENS devices)</w:t>
            </w:r>
          </w:p>
        </w:tc>
        <w:tc>
          <w:tcPr>
            <w:tcW w:w="3914" w:type="pct"/>
          </w:tcPr>
          <w:p w14:paraId="545A5DAD" w14:textId="77777777" w:rsidR="00E648FC" w:rsidRPr="00D61F73" w:rsidRDefault="00E648FC" w:rsidP="00D61F73">
            <w:pPr>
              <w:rPr>
                <w:rFonts w:ascii="Arial" w:hAnsi="Arial" w:cs="Arial"/>
              </w:rPr>
            </w:pPr>
            <w:r w:rsidRPr="00D61F73">
              <w:rPr>
                <w:rFonts w:ascii="Arial" w:hAnsi="Arial" w:cs="Arial"/>
              </w:rPr>
              <w:t>Not recommended. Based on the available evidence conclusions cannot be made concerning the effect of Microcurrent Stimulation Devices (MENS) on pain management and objective health outcomes. MENS is characterized by sub-sensory current that acts on the body's naturally occurring electrical impulses to decrease pain and facilitate the healing process. MENS differs from TENS in that it uses a significantly reduced electrical stimulation. TENS blocks pain, while MENS acts on the naturally occurring electrical impulses to decrease pain by stimulating the healing process. (</w:t>
            </w:r>
            <w:hyperlink w:anchor="BlueCrossBlueShield5" w:history="1">
              <w:r w:rsidRPr="00D61F73">
                <w:rPr>
                  <w:rStyle w:val="Hyperlink"/>
                  <w:rFonts w:ascii="Arial" w:hAnsi="Arial" w:cs="Arial"/>
                </w:rPr>
                <w:t>BlueCross BlueShield, 2005</w:t>
              </w:r>
            </w:hyperlink>
            <w:r w:rsidRPr="00D61F73">
              <w:rPr>
                <w:rFonts w:ascii="Arial" w:hAnsi="Arial" w:cs="Arial"/>
              </w:rPr>
              <w:t>)</w:t>
            </w:r>
          </w:p>
        </w:tc>
      </w:tr>
      <w:tr w:rsidR="00E648FC" w:rsidRPr="00D61F73" w14:paraId="2A25FB84" w14:textId="77777777" w:rsidTr="0078164D">
        <w:tc>
          <w:tcPr>
            <w:tcW w:w="1086" w:type="pct"/>
          </w:tcPr>
          <w:p w14:paraId="10FA850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01" w:name="Midazolam"/>
            <w:bookmarkEnd w:id="301"/>
            <w:r w:rsidRPr="00D61F73">
              <w:rPr>
                <w:rFonts w:ascii="Arial" w:hAnsi="Arial" w:cs="Arial"/>
              </w:rPr>
              <w:t>idazolam</w:t>
            </w:r>
          </w:p>
        </w:tc>
        <w:tc>
          <w:tcPr>
            <w:tcW w:w="3914" w:type="pct"/>
          </w:tcPr>
          <w:p w14:paraId="75CF3B61" w14:textId="77777777" w:rsidR="00E648FC" w:rsidRPr="00D61F73" w:rsidRDefault="00E648FC"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6B5F361E" w14:textId="77777777" w:rsidTr="0078164D">
        <w:tc>
          <w:tcPr>
            <w:tcW w:w="1086" w:type="pct"/>
          </w:tcPr>
          <w:p w14:paraId="0E2EB36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302" w:name="Milnacipran"/>
            <w:bookmarkEnd w:id="302"/>
            <w:r w:rsidRPr="00D61F73">
              <w:rPr>
                <w:rFonts w:ascii="Arial" w:hAnsi="Arial" w:cs="Arial"/>
              </w:rPr>
              <w:t>ilnacipran (Savella</w:t>
            </w:r>
            <w:r w:rsidRPr="00D61F73">
              <w:rPr>
                <w:rFonts w:ascii="Arial" w:hAnsi="Arial" w:cs="Arial"/>
                <w:vertAlign w:val="superscript"/>
              </w:rPr>
              <w:t>®</w:t>
            </w:r>
            <w:r w:rsidRPr="00D61F73">
              <w:rPr>
                <w:rFonts w:ascii="Arial" w:hAnsi="Arial" w:cs="Arial"/>
              </w:rPr>
              <w:t>)</w:t>
            </w:r>
          </w:p>
        </w:tc>
        <w:tc>
          <w:tcPr>
            <w:tcW w:w="3914" w:type="pct"/>
          </w:tcPr>
          <w:p w14:paraId="30A6001D" w14:textId="77777777" w:rsidR="00E648FC" w:rsidRPr="00D61F73" w:rsidRDefault="003D4A5F" w:rsidP="00D61F73">
            <w:pPr>
              <w:rPr>
                <w:rFonts w:ascii="Arial" w:hAnsi="Arial" w:cs="Arial"/>
              </w:rPr>
            </w:pPr>
            <w:r w:rsidRPr="00D61F73">
              <w:rPr>
                <w:rFonts w:ascii="Arial" w:hAnsi="Arial" w:cs="Arial"/>
              </w:rPr>
              <w:t xml:space="preserve">Not recommended for chronic pain. </w:t>
            </w:r>
            <w:r w:rsidR="00E648FC" w:rsidRPr="00D61F73">
              <w:rPr>
                <w:rFonts w:ascii="Arial" w:hAnsi="Arial" w:cs="Arial"/>
              </w:rPr>
              <w:t>An FDA Phase III study demonstrated "significant therapeutic effects" of milnacipran for treatment of fibromyalgia syndrome. Milnacipran has been approved for the treatment of depression outside of the U.S. and is a dual serotonin- and norepinephrine-reuptake inhibitor (SNRI). (</w:t>
            </w:r>
            <w:hyperlink w:anchor="Rooks" w:history="1">
              <w:r w:rsidR="00E648FC" w:rsidRPr="00D61F73">
                <w:rPr>
                  <w:rStyle w:val="Hyperlink"/>
                  <w:rFonts w:ascii="Arial" w:hAnsi="Arial" w:cs="Arial"/>
                </w:rPr>
                <w:t>Rooks, 2007</w:t>
              </w:r>
            </w:hyperlink>
            <w:r w:rsidR="00E648FC" w:rsidRPr="00D61F73">
              <w:rPr>
                <w:rFonts w:ascii="Arial" w:hAnsi="Arial" w:cs="Arial"/>
              </w:rPr>
              <w:t>) Milnacipran, one of the pioneer serotonin and norepinephrine reuptake inhibitors (SNRIs), was designed from theoretic considerations to be more effective than selective serotonin reuptake inhibitors (SSRIs) and better tolerated than tricyclic antidepressants (TCAs). (</w:t>
            </w:r>
            <w:hyperlink r:id="rId111" w:anchor="Kasper2010" w:history="1">
              <w:r w:rsidR="00E648FC" w:rsidRPr="00D61F73">
                <w:rPr>
                  <w:rStyle w:val="Hyperlink"/>
                  <w:rFonts w:ascii="Arial" w:hAnsi="Arial" w:cs="Arial"/>
                </w:rPr>
                <w:t>Kasper, 2010</w:t>
              </w:r>
            </w:hyperlink>
            <w:r w:rsidR="00E648FC" w:rsidRPr="00D61F73">
              <w:rPr>
                <w:rFonts w:ascii="Arial" w:hAnsi="Arial" w:cs="Arial"/>
              </w:rPr>
              <w:t>) FDA has now approved milnacipran (Savella) for the management of fibromyalgia. Milnacipran should be prescribed with caution in patients with a history of seizure disorder, mania, or controlled narrow-angle glaucoma and should ordinarily not be prescribed in patients with substantial alcohol use or evidence of chronic liver disease. (</w:t>
            </w:r>
            <w:hyperlink r:id="rId112" w:history="1">
              <w:r w:rsidR="00E648FC" w:rsidRPr="00D61F73">
                <w:rPr>
                  <w:rStyle w:val="Hyperlink"/>
                  <w:rFonts w:ascii="Arial" w:hAnsi="Arial" w:cs="Arial"/>
                </w:rPr>
                <w:t>FDA, 2009</w:t>
              </w:r>
            </w:hyperlink>
            <w:r w:rsidR="00E648FC" w:rsidRPr="00D61F73">
              <w:rPr>
                <w:rFonts w:ascii="Arial" w:hAnsi="Arial" w:cs="Arial"/>
              </w:rPr>
              <w:t>) As there is little to no evidence that the cause of fibromyalgia is related to industrial injuries, the use of Savella should be restricted to documented cases of fibromyalgia as part of an appropriate treatment plan.</w:t>
            </w:r>
          </w:p>
        </w:tc>
      </w:tr>
      <w:tr w:rsidR="00E648FC" w:rsidRPr="00D61F73" w14:paraId="786BE19C" w14:textId="77777777" w:rsidTr="0078164D">
        <w:tc>
          <w:tcPr>
            <w:tcW w:w="1086" w:type="pct"/>
          </w:tcPr>
          <w:p w14:paraId="3EAC1815"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03" w:name="Mindfulnessmeditation"/>
            <w:bookmarkEnd w:id="303"/>
            <w:r w:rsidRPr="00D61F73">
              <w:rPr>
                <w:rFonts w:ascii="Arial" w:hAnsi="Arial" w:cs="Arial"/>
              </w:rPr>
              <w:t>indfulness meditation</w:t>
            </w:r>
          </w:p>
        </w:tc>
        <w:tc>
          <w:tcPr>
            <w:tcW w:w="3914" w:type="pct"/>
          </w:tcPr>
          <w:p w14:paraId="6B24A8C8" w14:textId="77777777" w:rsidR="00E648FC" w:rsidRPr="00D61F73" w:rsidRDefault="00E648FC" w:rsidP="00D61F73">
            <w:pPr>
              <w:rPr>
                <w:rFonts w:ascii="Arial" w:hAnsi="Arial" w:cs="Arial"/>
              </w:rPr>
            </w:pPr>
            <w:r w:rsidRPr="00D61F73">
              <w:rPr>
                <w:rFonts w:ascii="Arial" w:hAnsi="Arial" w:cs="Arial"/>
              </w:rPr>
              <w:t xml:space="preserve">See </w:t>
            </w:r>
            <w:hyperlink w:anchor="Yoga" w:history="1">
              <w:r w:rsidRPr="00D61F73">
                <w:rPr>
                  <w:rStyle w:val="Hyperlink"/>
                  <w:rFonts w:ascii="Arial" w:hAnsi="Arial" w:cs="Arial"/>
                </w:rPr>
                <w:t>Yoga</w:t>
              </w:r>
            </w:hyperlink>
            <w:r w:rsidRPr="00D61F73">
              <w:rPr>
                <w:rFonts w:ascii="Arial" w:hAnsi="Arial" w:cs="Arial"/>
              </w:rPr>
              <w:t xml:space="preserve"> &amp; Mindfulness meditation. </w:t>
            </w:r>
          </w:p>
        </w:tc>
      </w:tr>
      <w:tr w:rsidR="00E648FC" w:rsidRPr="00D61F73" w14:paraId="138A2F00" w14:textId="77777777" w:rsidTr="0078164D">
        <w:tc>
          <w:tcPr>
            <w:tcW w:w="1086" w:type="pct"/>
          </w:tcPr>
          <w:p w14:paraId="5DBB1FAC"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04" w:name="Mobic"/>
            <w:bookmarkEnd w:id="304"/>
            <w:r w:rsidRPr="00D61F73">
              <w:rPr>
                <w:rFonts w:ascii="Arial" w:hAnsi="Arial" w:cs="Arial"/>
              </w:rPr>
              <w:t>obic® (meloxicam)</w:t>
            </w:r>
          </w:p>
        </w:tc>
        <w:tc>
          <w:tcPr>
            <w:tcW w:w="3914" w:type="pct"/>
          </w:tcPr>
          <w:p w14:paraId="6EBAE904" w14:textId="1E87C1BA" w:rsidR="00E648FC" w:rsidRPr="00D61F73" w:rsidRDefault="00E648FC" w:rsidP="00D61F73">
            <w:pPr>
              <w:rPr>
                <w:rFonts w:ascii="Arial" w:hAnsi="Arial" w:cs="Arial"/>
              </w:rPr>
            </w:pPr>
            <w:r w:rsidRPr="00D61F73">
              <w:rPr>
                <w:rFonts w:ascii="Arial" w:hAnsi="Arial" w:cs="Arial"/>
              </w:rPr>
              <w:t xml:space="preserve">Mobic is a brand name for meloxicam supplied by Boehringer Ingelheim Pharmaceuticals, Inc. See </w:t>
            </w:r>
            <w:hyperlink w:anchor="Mobic" w:history="1">
              <w:r w:rsidRPr="00D61F73">
                <w:rPr>
                  <w:rStyle w:val="Hyperlink"/>
                  <w:rFonts w:ascii="Arial" w:hAnsi="Arial" w:cs="Arial"/>
                </w:rPr>
                <w:t>Meloxicam</w:t>
              </w:r>
            </w:hyperlink>
            <w:r w:rsidRPr="00D61F73">
              <w:rPr>
                <w:rFonts w:ascii="Arial" w:hAnsi="Arial" w:cs="Arial"/>
              </w:rPr>
              <w:t xml:space="preserve"> (Mobic®). </w:t>
            </w:r>
          </w:p>
        </w:tc>
      </w:tr>
      <w:tr w:rsidR="00E648FC" w:rsidRPr="00D61F73" w14:paraId="688B0E48" w14:textId="77777777" w:rsidTr="0078164D">
        <w:tc>
          <w:tcPr>
            <w:tcW w:w="1086" w:type="pct"/>
          </w:tcPr>
          <w:p w14:paraId="3739BFE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05" w:name="Modafinil"/>
            <w:bookmarkEnd w:id="305"/>
            <w:r w:rsidRPr="00D61F73">
              <w:rPr>
                <w:rFonts w:ascii="Arial" w:hAnsi="Arial" w:cs="Arial"/>
              </w:rPr>
              <w:t>odafinil</w:t>
            </w:r>
            <w:r w:rsidRPr="00D61F73">
              <w:rPr>
                <w:rFonts w:ascii="Arial" w:hAnsi="Arial" w:cs="Arial"/>
                <w:u w:val="single"/>
              </w:rPr>
              <w:t xml:space="preserve"> </w:t>
            </w:r>
            <w:r w:rsidRPr="00D61F73">
              <w:rPr>
                <w:rFonts w:ascii="Arial" w:hAnsi="Arial" w:cs="Arial"/>
              </w:rPr>
              <w:t xml:space="preserve">(Provigil®) </w:t>
            </w:r>
          </w:p>
        </w:tc>
        <w:tc>
          <w:tcPr>
            <w:tcW w:w="3914" w:type="pct"/>
          </w:tcPr>
          <w:p w14:paraId="3D831360" w14:textId="77777777" w:rsidR="00E648FC" w:rsidRPr="00D61F73" w:rsidRDefault="0061527A" w:rsidP="00D61F73">
            <w:pPr>
              <w:rPr>
                <w:rFonts w:ascii="Arial" w:hAnsi="Arial" w:cs="Arial"/>
              </w:rPr>
            </w:pPr>
            <w:r w:rsidRPr="00D61F73">
              <w:rPr>
                <w:rFonts w:ascii="Arial" w:hAnsi="Arial" w:cs="Arial"/>
              </w:rPr>
              <w:t>Not recommended solely to counteract sedation effects of narcotics until after first considering reducing excessive narcotic prescribing. Use with caution as indicated below.</w:t>
            </w:r>
            <w:r w:rsidRPr="00D61F73">
              <w:rPr>
                <w:rFonts w:ascii="Arial" w:hAnsi="Arial" w:cs="Arial"/>
                <w:u w:val="single"/>
              </w:rPr>
              <w:t xml:space="preserve">  </w:t>
            </w:r>
            <w:r w:rsidR="00E648FC" w:rsidRPr="00D61F73">
              <w:rPr>
                <w:rFonts w:ascii="Arial" w:hAnsi="Arial" w:cs="Arial"/>
                <w:i/>
              </w:rPr>
              <w:t xml:space="preserve">Indications: </w:t>
            </w:r>
            <w:r w:rsidR="00E648FC" w:rsidRPr="00D61F73">
              <w:rPr>
                <w:rFonts w:ascii="Arial" w:hAnsi="Arial" w:cs="Arial"/>
              </w:rPr>
              <w:t xml:space="preserve">Provigil is indicated to improve wakefulness in adult patients with excessive sleepiness associated with narcolepsy, obstructive sleep apnea, and shift work sleep disorder. Patients should have a complete evaluation with a diagnosis made in accordance with the International Classification of Sleep Disorders or DSM diagnostic classification. </w:t>
            </w:r>
            <w:r w:rsidR="00E648FC" w:rsidRPr="00D61F73">
              <w:rPr>
                <w:rFonts w:ascii="Arial" w:hAnsi="Arial" w:cs="Arial"/>
                <w:i/>
              </w:rPr>
              <w:t xml:space="preserve">Adverse effects: </w:t>
            </w:r>
            <w:r w:rsidR="00E648FC" w:rsidRPr="00D61F73">
              <w:rPr>
                <w:rFonts w:ascii="Arial" w:hAnsi="Arial" w:cs="Arial"/>
              </w:rPr>
              <w:t xml:space="preserve">This drug has been known to be misused and/or abused, particularly by patients that have a history of drug or stimulant abuse. Common adverse effects include headache, nausea, nervousness, rhinitis, diarrhea, back pain, anxiety, insomnia, dizziness, and dyspepsia. </w:t>
            </w:r>
            <w:r w:rsidR="00E648FC" w:rsidRPr="00D61F73">
              <w:rPr>
                <w:rFonts w:ascii="Arial" w:hAnsi="Arial" w:cs="Arial"/>
                <w:i/>
              </w:rPr>
              <w:t xml:space="preserve">Dose: </w:t>
            </w:r>
            <w:r w:rsidR="00E648FC" w:rsidRPr="00D61F73">
              <w:rPr>
                <w:rFonts w:ascii="Arial" w:hAnsi="Arial" w:cs="Arial"/>
              </w:rPr>
              <w:t>The standard dose for these conditions is 200 mg a day. The dose should be reduced to ½ for patients with severe hepatic impairment. (</w:t>
            </w:r>
            <w:hyperlink w:anchor="ClinicalPharmacology" w:history="1">
              <w:r w:rsidR="00E648FC" w:rsidRPr="00D61F73">
                <w:rPr>
                  <w:rStyle w:val="Hyperlink"/>
                  <w:rFonts w:ascii="Arial" w:hAnsi="Arial" w:cs="Arial"/>
                </w:rPr>
                <w:t>Clinical Pharmacology, 2008</w:t>
              </w:r>
            </w:hyperlink>
            <w:r w:rsidR="00E648FC" w:rsidRPr="00D61F73">
              <w:rPr>
                <w:rFonts w:ascii="Arial" w:hAnsi="Arial" w:cs="Arial"/>
              </w:rPr>
              <w:t>) (</w:t>
            </w:r>
            <w:hyperlink w:anchor="Micromedex" w:history="1">
              <w:r w:rsidR="00E648FC" w:rsidRPr="00D61F73">
                <w:rPr>
                  <w:rStyle w:val="Hyperlink"/>
                  <w:rFonts w:ascii="Arial" w:hAnsi="Arial" w:cs="Arial"/>
                </w:rPr>
                <w:t>Micromedix, 2008</w:t>
              </w:r>
            </w:hyperlink>
            <w:r w:rsidR="00E648FC" w:rsidRPr="00D61F73">
              <w:rPr>
                <w:rFonts w:ascii="Arial" w:hAnsi="Arial" w:cs="Arial"/>
              </w:rPr>
              <w:t>) (</w:t>
            </w:r>
            <w:hyperlink w:anchor="LexiComp" w:history="1">
              <w:r w:rsidR="00E648FC" w:rsidRPr="00D61F73">
                <w:rPr>
                  <w:rStyle w:val="Hyperlink"/>
                  <w:rFonts w:ascii="Arial" w:hAnsi="Arial" w:cs="Arial"/>
                </w:rPr>
                <w:t>Lexi-Comp, 2008</w:t>
              </w:r>
            </w:hyperlink>
            <w:r w:rsidR="00E648FC" w:rsidRPr="00D61F73">
              <w:rPr>
                <w:rFonts w:ascii="Arial" w:hAnsi="Arial" w:cs="Arial"/>
              </w:rPr>
              <w:t>) (</w:t>
            </w:r>
            <w:hyperlink w:anchor="AHFSDrugInformation" w:history="1">
              <w:r w:rsidR="00E648FC" w:rsidRPr="00D61F73">
                <w:rPr>
                  <w:rStyle w:val="Hyperlink"/>
                  <w:rFonts w:ascii="Arial" w:hAnsi="Arial" w:cs="Arial"/>
                </w:rPr>
                <w:t>AHFS Drug Information, 2008</w:t>
              </w:r>
            </w:hyperlink>
            <w:r w:rsidR="00E648FC" w:rsidRPr="00D61F73">
              <w:rPr>
                <w:rFonts w:ascii="Arial" w:hAnsi="Arial" w:cs="Arial"/>
              </w:rPr>
              <w:t>) Modafinil is increasingly being used as a cognitive enhancer. Although initially launched as distinct from stimulants that increase extracellular dopamine by targeting dopamine transporters, recent preclinical studies suggest otherwise. There is need for heightened awareness for potential abuse of and dependence on modafinil. (</w:t>
            </w:r>
            <w:hyperlink w:anchor="Kumar9" w:history="1">
              <w:r w:rsidR="00E648FC" w:rsidRPr="00D61F73">
                <w:rPr>
                  <w:rStyle w:val="Hyperlink"/>
                  <w:rFonts w:ascii="Arial" w:hAnsi="Arial" w:cs="Arial"/>
                </w:rPr>
                <w:t>Kumar, 2008</w:t>
              </w:r>
            </w:hyperlink>
            <w:r w:rsidR="00E648FC" w:rsidRPr="00D61F73">
              <w:rPr>
                <w:rFonts w:ascii="Arial" w:hAnsi="Arial" w:cs="Arial"/>
              </w:rPr>
              <w:t>) (</w:t>
            </w:r>
            <w:hyperlink w:anchor="Volkow" w:history="1">
              <w:r w:rsidR="00E648FC" w:rsidRPr="00D61F73">
                <w:rPr>
                  <w:rStyle w:val="Hyperlink"/>
                  <w:rFonts w:ascii="Arial" w:hAnsi="Arial" w:cs="Arial"/>
                </w:rPr>
                <w:t>Volkow-</w:t>
              </w:r>
              <w:r w:rsidR="00E648FC" w:rsidRPr="00D61F73">
                <w:rPr>
                  <w:rStyle w:val="Hyperlink"/>
                  <w:rFonts w:ascii="Arial" w:hAnsi="Arial" w:cs="Arial"/>
                  <w:i/>
                  <w:iCs/>
                </w:rPr>
                <w:t>JAMA</w:t>
              </w:r>
              <w:r w:rsidR="00E648FC" w:rsidRPr="00D61F73">
                <w:rPr>
                  <w:rStyle w:val="Hyperlink"/>
                  <w:rFonts w:ascii="Arial" w:hAnsi="Arial" w:cs="Arial"/>
                </w:rPr>
                <w:t>, 2009</w:t>
              </w:r>
            </w:hyperlink>
            <w:r w:rsidR="00E648FC" w:rsidRPr="00D61F73">
              <w:rPr>
                <w:rFonts w:ascii="Arial" w:hAnsi="Arial" w:cs="Arial"/>
              </w:rPr>
              <w:t>) Prescriptions for modafinil have rapidly increased in recent years, and most of this increase is due to off-label use, according to a JAMA study, with 89% of patients prescribed modafinil not having an on-label diagnosis. The company that markets modafinil, Cephalon Inc, was sued by several US states for promoting modafinil for off-label indications and agreed to a settlement in 2008. (</w:t>
            </w:r>
            <w:hyperlink w:anchor="Peñaloza2013" w:history="1">
              <w:r w:rsidR="00E648FC" w:rsidRPr="00D61F73">
                <w:rPr>
                  <w:rStyle w:val="Hyperlink"/>
                  <w:rFonts w:ascii="Arial" w:hAnsi="Arial" w:cs="Arial"/>
                </w:rPr>
                <w:t>Peñaloza, 2013</w:t>
              </w:r>
            </w:hyperlink>
            <w:r w:rsidR="00E648FC" w:rsidRPr="00D61F73">
              <w:rPr>
                <w:rFonts w:ascii="Arial" w:hAnsi="Arial" w:cs="Arial"/>
              </w:rPr>
              <w:t>)</w:t>
            </w:r>
          </w:p>
        </w:tc>
      </w:tr>
      <w:tr w:rsidR="00E648FC" w:rsidRPr="00D61F73" w14:paraId="695F4C2E" w14:textId="77777777" w:rsidTr="0078164D">
        <w:tc>
          <w:tcPr>
            <w:tcW w:w="1086" w:type="pct"/>
          </w:tcPr>
          <w:p w14:paraId="39AFDA2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06" w:name="Monofilamenttesting"/>
            <w:bookmarkEnd w:id="306"/>
            <w:r w:rsidRPr="00D61F73">
              <w:rPr>
                <w:rFonts w:ascii="Arial" w:hAnsi="Arial" w:cs="Arial"/>
              </w:rPr>
              <w:t>onofilament testing</w:t>
            </w:r>
          </w:p>
        </w:tc>
        <w:tc>
          <w:tcPr>
            <w:tcW w:w="3914" w:type="pct"/>
          </w:tcPr>
          <w:p w14:paraId="2A5065D4" w14:textId="77777777" w:rsidR="00E648FC" w:rsidRPr="00D61F73" w:rsidRDefault="00E648FC" w:rsidP="00D61F73">
            <w:pPr>
              <w:rPr>
                <w:rFonts w:ascii="Arial" w:hAnsi="Arial" w:cs="Arial"/>
              </w:rPr>
            </w:pPr>
            <w:r w:rsidRPr="00D61F73">
              <w:rPr>
                <w:rFonts w:ascii="Arial" w:hAnsi="Arial" w:cs="Arial"/>
              </w:rPr>
              <w:t xml:space="preserve">Not recommended. The sole use of monofilament testing is not recommended to diagnose peripheral neuropathy, according to the results </w:t>
            </w:r>
            <w:r w:rsidRPr="00D61F73">
              <w:rPr>
                <w:rFonts w:ascii="Arial" w:hAnsi="Arial" w:cs="Arial"/>
              </w:rPr>
              <w:lastRenderedPageBreak/>
              <w:t>of a recent systematic review. Several tests are used to detect peripheral neuropathy, including vibration perception, application of warmth and cold, and nerve conduction studies, which are assumed to be the reference standard. Electrodiagnostic tests can be complex, expensive, and time consuming, which hampers their widespread use, especially in primary care, where for most patients peripheral neuropathy is diagnosed and treated. Monofilament testing is an inexpensive, easy-to-use, and portable test for assessing the loss of protective sensation, and it is recommended by several practice guidelines to detect peripheral neuropathy in otherwise normal feet. Sensitivity of the 5.07/10-g monofilament to detect peripheral neuropathy ranged from 41% to 93%, and specificity ranged from 68% to 100%. Despite the frequent use of monofilament testing, little can be said about the test accuracy for detecting neuropathy in feet without visible ulcers. The diagnosis of peripheral neuropathy can be made only after a careful clinical examination with more than 1 test, as recommended by the American Diabetes Association. Tests for this clinical examination are vibration perception (using a 128-Hz tuning fork), pressure sensation (using a 10-g monofilament at least at the distal halluces), ankle reflexes, and pinprick. When in doubt, a nerve conduction test might be necessary to establish a firm diagnosis. (</w:t>
            </w:r>
            <w:hyperlink w:anchor="Dros" w:history="1">
              <w:r w:rsidRPr="00D61F73">
                <w:rPr>
                  <w:rStyle w:val="Hyperlink"/>
                  <w:rFonts w:ascii="Arial" w:hAnsi="Arial" w:cs="Arial"/>
                </w:rPr>
                <w:t>Dros, 2009</w:t>
              </w:r>
            </w:hyperlink>
            <w:r w:rsidRPr="00D61F73">
              <w:rPr>
                <w:rFonts w:ascii="Arial" w:hAnsi="Arial" w:cs="Arial"/>
              </w:rPr>
              <w:t>)</w:t>
            </w:r>
          </w:p>
        </w:tc>
      </w:tr>
      <w:tr w:rsidR="00E648FC" w:rsidRPr="00D61F73" w14:paraId="4F5288F1" w14:textId="77777777" w:rsidTr="0078164D">
        <w:trPr>
          <w:trHeight w:val="926"/>
        </w:trPr>
        <w:tc>
          <w:tcPr>
            <w:tcW w:w="1086" w:type="pct"/>
          </w:tcPr>
          <w:p w14:paraId="07FA7C92"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307" w:name="Morphine"/>
            <w:bookmarkEnd w:id="307"/>
            <w:r w:rsidRPr="00D61F73">
              <w:rPr>
                <w:rFonts w:ascii="Arial" w:hAnsi="Arial" w:cs="Arial"/>
              </w:rPr>
              <w:t xml:space="preserve">orphine </w:t>
            </w:r>
          </w:p>
        </w:tc>
        <w:tc>
          <w:tcPr>
            <w:tcW w:w="3914" w:type="pct"/>
          </w:tcPr>
          <w:p w14:paraId="2F89AA2F" w14:textId="5B8A900F" w:rsidR="00E648FC" w:rsidRPr="00D61F73" w:rsidRDefault="00E648FC" w:rsidP="00D61F73">
            <w:pPr>
              <w:rPr>
                <w:rFonts w:ascii="Arial" w:hAnsi="Arial" w:cs="Arial"/>
              </w:rPr>
            </w:pPr>
            <w:r w:rsidRPr="00D61F73">
              <w:rPr>
                <w:rFonts w:ascii="Arial" w:hAnsi="Arial" w:cs="Arial"/>
              </w:rPr>
              <w:t xml:space="preserve">See specific </w:t>
            </w:r>
            <w:r w:rsidR="00BE69D6">
              <w:rPr>
                <w:rFonts w:ascii="Arial" w:hAnsi="Arial" w:cs="Arial"/>
              </w:rPr>
              <w:t>m</w:t>
            </w:r>
            <w:r w:rsidR="00BE69D6" w:rsidRPr="00BE69D6">
              <w:rPr>
                <w:rFonts w:ascii="Arial" w:hAnsi="Arial" w:cs="Arial"/>
              </w:rPr>
              <w:t>orphine sulfate</w:t>
            </w:r>
            <w:r w:rsidRPr="00D61F73">
              <w:rPr>
                <w:rFonts w:ascii="Arial" w:hAnsi="Arial" w:cs="Arial"/>
              </w:rPr>
              <w:t xml:space="preserve"> (MS Contin®; Avinza®; Kadian®; Oramorph SR®) listing for more information and references, or by the brands: </w:t>
            </w:r>
            <w:hyperlink w:anchor="Avinza" w:history="1">
              <w:r w:rsidRPr="00D61F73">
                <w:rPr>
                  <w:rStyle w:val="Hyperlink"/>
                  <w:rFonts w:ascii="Arial" w:hAnsi="Arial" w:cs="Arial"/>
                  <w:u w:val="none"/>
                </w:rPr>
                <w:t>Avinza</w:t>
              </w:r>
            </w:hyperlink>
            <w:r w:rsidRPr="00D61F73">
              <w:rPr>
                <w:rFonts w:ascii="Arial" w:hAnsi="Arial" w:cs="Arial"/>
              </w:rPr>
              <w:t xml:space="preserve">; </w:t>
            </w:r>
            <w:hyperlink w:anchor="Kadian" w:history="1">
              <w:r w:rsidRPr="00D61F73">
                <w:rPr>
                  <w:rStyle w:val="Hyperlink"/>
                  <w:rFonts w:ascii="Arial" w:hAnsi="Arial" w:cs="Arial"/>
                  <w:u w:val="none"/>
                </w:rPr>
                <w:t>Kadian</w:t>
              </w:r>
            </w:hyperlink>
            <w:r w:rsidRPr="00D61F73">
              <w:rPr>
                <w:rFonts w:ascii="Arial" w:hAnsi="Arial" w:cs="Arial"/>
              </w:rPr>
              <w:t xml:space="preserve"> &amp; </w:t>
            </w:r>
            <w:hyperlink w:anchor="Oramorph" w:history="1">
              <w:r w:rsidRPr="00D61F73">
                <w:rPr>
                  <w:rStyle w:val="Hyperlink"/>
                  <w:rFonts w:ascii="Arial" w:hAnsi="Arial" w:cs="Arial"/>
                  <w:u w:val="none"/>
                </w:rPr>
                <w:t>Oramorph</w:t>
              </w:r>
            </w:hyperlink>
            <w:r w:rsidRPr="00D61F73">
              <w:rPr>
                <w:rFonts w:ascii="Arial" w:hAnsi="Arial" w:cs="Arial"/>
              </w:rPr>
              <w:t>. See</w:t>
            </w:r>
            <w:r w:rsidR="000E7C4C" w:rsidRPr="00D61F73">
              <w:rPr>
                <w:rFonts w:ascii="Arial" w:hAnsi="Arial" w:cs="Arial"/>
              </w:rPr>
              <w:t xml:space="preserve"> MTUS Opioids Treatment Guidelines</w:t>
            </w:r>
            <w:r w:rsidRPr="00D61F73">
              <w:rPr>
                <w:rFonts w:ascii="Arial" w:hAnsi="Arial" w:cs="Arial"/>
                <w:bCs/>
              </w:rPr>
              <w:t xml:space="preserve">, </w:t>
            </w:r>
            <w:r w:rsidRPr="00D61F73">
              <w:rPr>
                <w:rFonts w:ascii="Arial" w:hAnsi="Arial" w:cs="Arial"/>
              </w:rPr>
              <w:t>Appendix F1, for dosing recommendations.</w:t>
            </w:r>
          </w:p>
        </w:tc>
      </w:tr>
      <w:tr w:rsidR="00E648FC" w:rsidRPr="00D61F73" w14:paraId="58D1FD10" w14:textId="77777777" w:rsidTr="0078164D">
        <w:tc>
          <w:tcPr>
            <w:tcW w:w="1086" w:type="pct"/>
          </w:tcPr>
          <w:p w14:paraId="2C5C6469" w14:textId="77777777" w:rsidR="00E648FC" w:rsidRPr="00D61F73" w:rsidRDefault="00E648FC" w:rsidP="00D61F73">
            <w:pPr>
              <w:pStyle w:val="Footer"/>
              <w:tabs>
                <w:tab w:val="clear" w:pos="4320"/>
                <w:tab w:val="clear" w:pos="8640"/>
              </w:tabs>
              <w:rPr>
                <w:rFonts w:ascii="Arial" w:hAnsi="Arial" w:cs="Arial"/>
                <w:i/>
                <w:u w:val="single"/>
              </w:rPr>
            </w:pPr>
            <w:r w:rsidRPr="00D61F73">
              <w:rPr>
                <w:rFonts w:ascii="Arial" w:hAnsi="Arial" w:cs="Arial"/>
              </w:rPr>
              <w:t>M</w:t>
            </w:r>
            <w:bookmarkStart w:id="308" w:name="Morphinepumps"/>
            <w:bookmarkEnd w:id="308"/>
            <w:r w:rsidRPr="00D61F73">
              <w:rPr>
                <w:rFonts w:ascii="Arial" w:hAnsi="Arial" w:cs="Arial"/>
              </w:rPr>
              <w:t>orphine pumps</w:t>
            </w:r>
            <w:r w:rsidRPr="00D61F73">
              <w:rPr>
                <w:rFonts w:ascii="Arial" w:hAnsi="Arial" w:cs="Arial"/>
                <w:i/>
                <w:u w:val="single"/>
              </w:rPr>
              <w:t xml:space="preserve"> </w:t>
            </w:r>
          </w:p>
        </w:tc>
        <w:tc>
          <w:tcPr>
            <w:tcW w:w="3914" w:type="pct"/>
          </w:tcPr>
          <w:p w14:paraId="6F84E855" w14:textId="77777777" w:rsidR="00E648FC" w:rsidRPr="00D61F73" w:rsidRDefault="00E648FC" w:rsidP="00D61F73">
            <w:pPr>
              <w:rPr>
                <w:rFonts w:ascii="Arial" w:hAnsi="Arial" w:cs="Arial"/>
                <w:i/>
                <w:u w:val="single"/>
              </w:rPr>
            </w:pPr>
            <w:r w:rsidRPr="00D61F73">
              <w:rPr>
                <w:rFonts w:ascii="Arial" w:hAnsi="Arial" w:cs="Arial"/>
                <w:i/>
                <w:u w:val="single"/>
              </w:rPr>
              <w:t xml:space="preserve">See </w:t>
            </w:r>
            <w:hyperlink w:anchor="Implantabledrugdelivery" w:history="1">
              <w:r w:rsidRPr="00D61F73">
                <w:rPr>
                  <w:rStyle w:val="Hyperlink"/>
                  <w:rFonts w:ascii="Arial" w:hAnsi="Arial" w:cs="Arial"/>
                </w:rPr>
                <w:t>Implantable drug-delivery systems/ Intrathecal drug delivery systems</w:t>
              </w:r>
            </w:hyperlink>
            <w:r w:rsidRPr="00D61F73">
              <w:rPr>
                <w:rFonts w:ascii="Arial" w:hAnsi="Arial" w:cs="Arial"/>
              </w:rPr>
              <w:t xml:space="preserve"> (IDDSs)</w:t>
            </w:r>
            <w:r w:rsidRPr="00D61F73">
              <w:rPr>
                <w:rFonts w:ascii="Arial" w:hAnsi="Arial" w:cs="Arial"/>
                <w:i/>
                <w:u w:val="single"/>
              </w:rPr>
              <w:t>.</w:t>
            </w:r>
          </w:p>
        </w:tc>
      </w:tr>
      <w:tr w:rsidR="00E648FC" w:rsidRPr="00D61F73" w14:paraId="71A93750" w14:textId="77777777" w:rsidTr="0078164D">
        <w:tc>
          <w:tcPr>
            <w:tcW w:w="1086" w:type="pct"/>
          </w:tcPr>
          <w:p w14:paraId="0AE63624" w14:textId="77777777" w:rsidR="00E648FC" w:rsidRPr="00D61F73" w:rsidRDefault="00E648FC" w:rsidP="00D61F73">
            <w:pPr>
              <w:pStyle w:val="Footer"/>
              <w:tabs>
                <w:tab w:val="clear" w:pos="4320"/>
                <w:tab w:val="clear" w:pos="8640"/>
              </w:tabs>
              <w:rPr>
                <w:rFonts w:ascii="Arial" w:hAnsi="Arial" w:cs="Arial"/>
                <w:u w:val="single"/>
              </w:rPr>
            </w:pPr>
            <w:r w:rsidRPr="00D61F73">
              <w:rPr>
                <w:rFonts w:ascii="Arial" w:hAnsi="Arial" w:cs="Arial"/>
                <w:u w:val="single"/>
              </w:rPr>
              <w:t>M</w:t>
            </w:r>
            <w:bookmarkStart w:id="309" w:name="MSContin"/>
            <w:bookmarkEnd w:id="309"/>
            <w:r w:rsidRPr="00D61F73">
              <w:rPr>
                <w:rFonts w:ascii="Arial" w:hAnsi="Arial" w:cs="Arial"/>
                <w:u w:val="single"/>
              </w:rPr>
              <w:t>S Contin®</w:t>
            </w:r>
          </w:p>
        </w:tc>
        <w:tc>
          <w:tcPr>
            <w:tcW w:w="3914" w:type="pct"/>
          </w:tcPr>
          <w:p w14:paraId="3CB7C910" w14:textId="77777777" w:rsidR="00E648FC" w:rsidRPr="00D61F73" w:rsidRDefault="00E648FC" w:rsidP="00D61F73">
            <w:pPr>
              <w:rPr>
                <w:rFonts w:ascii="Arial" w:hAnsi="Arial" w:cs="Arial"/>
                <w:u w:val="single"/>
              </w:rPr>
            </w:pPr>
            <w:r w:rsidRPr="00D61F73">
              <w:rPr>
                <w:rFonts w:ascii="Arial" w:hAnsi="Arial" w:cs="Arial"/>
                <w:u w:val="single"/>
              </w:rPr>
              <w:t xml:space="preserve">See </w:t>
            </w:r>
            <w:hyperlink w:anchor="Morphine" w:history="1">
              <w:r w:rsidRPr="00D61F73">
                <w:rPr>
                  <w:rStyle w:val="Hyperlink"/>
                  <w:rFonts w:ascii="Arial" w:hAnsi="Arial" w:cs="Arial"/>
                </w:rPr>
                <w:t>Morphine</w:t>
              </w:r>
            </w:hyperlink>
            <w:r w:rsidRPr="00D61F73">
              <w:rPr>
                <w:rFonts w:ascii="Arial" w:hAnsi="Arial" w:cs="Arial"/>
                <w:u w:val="single"/>
              </w:rPr>
              <w:t>.</w:t>
            </w:r>
          </w:p>
        </w:tc>
      </w:tr>
      <w:tr w:rsidR="00E648FC" w:rsidRPr="00D61F73" w14:paraId="6AB346C4" w14:textId="77777777" w:rsidTr="0078164D">
        <w:tc>
          <w:tcPr>
            <w:tcW w:w="1086" w:type="pct"/>
          </w:tcPr>
          <w:p w14:paraId="03BBE35D"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MSM (methylsulfonylmethane)</w:t>
            </w:r>
          </w:p>
        </w:tc>
        <w:tc>
          <w:tcPr>
            <w:tcW w:w="3914" w:type="pct"/>
          </w:tcPr>
          <w:p w14:paraId="5A0E1E75" w14:textId="77777777" w:rsidR="00E648FC" w:rsidRPr="00D61F73" w:rsidRDefault="00E648FC" w:rsidP="00D61F73">
            <w:pPr>
              <w:rPr>
                <w:rFonts w:ascii="Arial" w:hAnsi="Arial" w:cs="Arial"/>
              </w:rPr>
            </w:pPr>
            <w:r w:rsidRPr="00D61F73">
              <w:rPr>
                <w:rFonts w:ascii="Arial" w:hAnsi="Arial" w:cs="Arial"/>
              </w:rPr>
              <w:t xml:space="preserve">See </w:t>
            </w:r>
            <w:hyperlink w:anchor="CRPSmedications" w:history="1">
              <w:r w:rsidRPr="00D61F73">
                <w:rPr>
                  <w:rStyle w:val="Hyperlink"/>
                  <w:rFonts w:ascii="Arial" w:hAnsi="Arial" w:cs="Arial"/>
                </w:rPr>
                <w:t>CRPS, medications</w:t>
              </w:r>
            </w:hyperlink>
            <w:r w:rsidRPr="00D61F73">
              <w:rPr>
                <w:rFonts w:ascii="Arial" w:hAnsi="Arial" w:cs="Arial"/>
              </w:rPr>
              <w:t>, DMSO.</w:t>
            </w:r>
          </w:p>
        </w:tc>
      </w:tr>
      <w:tr w:rsidR="00E648FC" w:rsidRPr="00D61F73" w14:paraId="7777D10F" w14:textId="77777777" w:rsidTr="0078164D">
        <w:tc>
          <w:tcPr>
            <w:tcW w:w="1086" w:type="pct"/>
          </w:tcPr>
          <w:p w14:paraId="7AAECC5A"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10" w:name="Multidisciplinarytreatment"/>
            <w:bookmarkEnd w:id="310"/>
            <w:r w:rsidRPr="00D61F73">
              <w:rPr>
                <w:rFonts w:ascii="Arial" w:hAnsi="Arial" w:cs="Arial"/>
              </w:rPr>
              <w:t>ultidisciplinary pain programs</w:t>
            </w:r>
          </w:p>
        </w:tc>
        <w:tc>
          <w:tcPr>
            <w:tcW w:w="3914" w:type="pct"/>
          </w:tcPr>
          <w:p w14:paraId="1EE2A244" w14:textId="77777777" w:rsidR="00E648FC" w:rsidRPr="00D61F73" w:rsidRDefault="00E648FC" w:rsidP="00D61F73">
            <w:pPr>
              <w:rPr>
                <w:rFonts w:ascii="Arial" w:hAnsi="Arial" w:cs="Arial"/>
              </w:rPr>
            </w:pPr>
            <w:r w:rsidRPr="00D61F73">
              <w:rPr>
                <w:rFonts w:ascii="Arial" w:hAnsi="Arial" w:cs="Arial"/>
              </w:rPr>
              <w:t xml:space="preserve">See </w:t>
            </w:r>
            <w:hyperlink w:anchor="Chronicpainprograms" w:history="1">
              <w:r w:rsidRPr="00D61F73">
                <w:rPr>
                  <w:rStyle w:val="Hyperlink"/>
                  <w:rFonts w:ascii="Arial" w:hAnsi="Arial" w:cs="Arial"/>
                </w:rPr>
                <w:t>Chronic pain programs</w:t>
              </w:r>
            </w:hyperlink>
            <w:r w:rsidRPr="00D61F73">
              <w:rPr>
                <w:rFonts w:ascii="Arial" w:hAnsi="Arial" w:cs="Arial"/>
              </w:rPr>
              <w:t>.</w:t>
            </w:r>
          </w:p>
        </w:tc>
      </w:tr>
      <w:tr w:rsidR="00E648FC" w:rsidRPr="00D61F73" w14:paraId="6162605A" w14:textId="77777777" w:rsidTr="0078164D">
        <w:tc>
          <w:tcPr>
            <w:tcW w:w="1086" w:type="pct"/>
          </w:tcPr>
          <w:p w14:paraId="4A9C1BCB"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11" w:name="Musclerelaxants"/>
            <w:bookmarkEnd w:id="311"/>
            <w:r w:rsidRPr="00D61F73">
              <w:rPr>
                <w:rFonts w:ascii="Arial" w:hAnsi="Arial" w:cs="Arial"/>
              </w:rPr>
              <w:t xml:space="preserve">uscle relaxants (for pain) </w:t>
            </w:r>
          </w:p>
        </w:tc>
        <w:tc>
          <w:tcPr>
            <w:tcW w:w="3914" w:type="pct"/>
          </w:tcPr>
          <w:p w14:paraId="61E31196" w14:textId="61D62026" w:rsidR="00E648FC" w:rsidRPr="000C243F" w:rsidRDefault="00E648FC" w:rsidP="000C243F">
            <w:pPr>
              <w:rPr>
                <w:rFonts w:ascii="Calibri" w:hAnsi="Calibri"/>
                <w:color w:val="auto"/>
                <w:sz w:val="22"/>
                <w:szCs w:val="22"/>
              </w:rPr>
            </w:pPr>
            <w:r w:rsidRPr="0076339A">
              <w:rPr>
                <w:rFonts w:ascii="Arial" w:hAnsi="Arial" w:cs="Arial"/>
                <w:strike/>
              </w:rPr>
              <w:t>See recommendations in specific MTUS body part</w:t>
            </w:r>
            <w:r w:rsidR="00502106" w:rsidRPr="0076339A">
              <w:rPr>
                <w:rFonts w:ascii="Arial" w:hAnsi="Arial" w:cs="Arial"/>
                <w:strike/>
              </w:rPr>
              <w:t>s</w:t>
            </w:r>
            <w:r w:rsidRPr="0076339A">
              <w:rPr>
                <w:rFonts w:ascii="Arial" w:hAnsi="Arial" w:cs="Arial"/>
                <w:strike/>
              </w:rPr>
              <w:t xml:space="preserve"> chapters.</w:t>
            </w:r>
            <w:r w:rsidRPr="00D61F73">
              <w:rPr>
                <w:rFonts w:ascii="Arial" w:hAnsi="Arial" w:cs="Arial"/>
              </w:rPr>
              <w:t xml:space="preserve"> </w:t>
            </w:r>
            <w:r w:rsidR="000C243F" w:rsidRPr="0076339A">
              <w:rPr>
                <w:rFonts w:ascii="Arial" w:hAnsi="Arial" w:cs="Arial"/>
                <w:u w:val="single"/>
              </w:rPr>
              <w:t xml:space="preserve"> Refer to the relevant Clinical Topics section of the MTUS</w:t>
            </w:r>
            <w:r w:rsidR="00D22AF7" w:rsidRPr="0076339A">
              <w:rPr>
                <w:rFonts w:ascii="Arial" w:hAnsi="Arial" w:cs="Arial"/>
                <w:u w:val="single"/>
              </w:rPr>
              <w:t xml:space="preserve"> for recommendations</w:t>
            </w:r>
            <w:r w:rsidR="000C243F" w:rsidRPr="0076339A">
              <w:rPr>
                <w:rFonts w:ascii="Arial" w:hAnsi="Arial" w:cs="Arial"/>
                <w:u w:val="single"/>
              </w:rPr>
              <w:t>.</w:t>
            </w:r>
            <w:r w:rsidR="000C243F">
              <w:t xml:space="preserve"> </w:t>
            </w:r>
            <w:r w:rsidRPr="00D61F73">
              <w:rPr>
                <w:rFonts w:ascii="Arial" w:hAnsi="Arial" w:cs="Arial"/>
              </w:rPr>
              <w:t>Muscle relaxants may be effective in reducing pain and muscle tension, and increasing mobility. Also there is no additional benefit shown in combination with NSAIDs. Efficacy appears to diminish over time, and prolonged use of some medications in this class may lead to dependence. (</w:t>
            </w:r>
            <w:hyperlink r:id="rId113" w:anchor="Schnitzer2" w:history="1">
              <w:r w:rsidRPr="00D61F73">
                <w:rPr>
                  <w:rStyle w:val="Hyperlink"/>
                  <w:rFonts w:ascii="Arial" w:hAnsi="Arial" w:cs="Arial"/>
                </w:rPr>
                <w:t>Schnitzer, 2004</w:t>
              </w:r>
            </w:hyperlink>
            <w:r w:rsidRPr="00D61F73">
              <w:rPr>
                <w:rFonts w:ascii="Arial" w:hAnsi="Arial" w:cs="Arial"/>
              </w:rPr>
              <w:t>) (</w:t>
            </w:r>
            <w:hyperlink r:id="rId114" w:anchor="vanTulder11" w:history="1">
              <w:r w:rsidRPr="00D61F73">
                <w:rPr>
                  <w:rStyle w:val="Hyperlink"/>
                  <w:rFonts w:ascii="Arial" w:hAnsi="Arial" w:cs="Arial"/>
                </w:rPr>
                <w:t>Van Tulder, 2004</w:t>
              </w:r>
            </w:hyperlink>
            <w:r w:rsidRPr="00D61F73">
              <w:rPr>
                <w:rFonts w:ascii="Arial" w:hAnsi="Arial" w:cs="Arial"/>
              </w:rPr>
              <w:t>) (</w:t>
            </w:r>
            <w:hyperlink r:id="rId115" w:anchor="Airaksinen2" w:history="1">
              <w:r w:rsidRPr="00D61F73">
                <w:rPr>
                  <w:rStyle w:val="Hyperlink"/>
                  <w:rFonts w:ascii="Arial" w:hAnsi="Arial" w:cs="Arial"/>
                </w:rPr>
                <w:t>Airaksinen, 2006</w:t>
              </w:r>
            </w:hyperlink>
            <w:r w:rsidRPr="00D61F73">
              <w:rPr>
                <w:rFonts w:ascii="Arial" w:hAnsi="Arial" w:cs="Arial"/>
              </w:rPr>
              <w:t>) Sedation is the most commonly reported adverse effect of muscle relaxant medications. These drugs should be used with caution in patients driving motor vehicles or operating heavy machinery. Drugs with the most limited published evidence in terms of clinical effectiveness include chlorzoxazone, methocarbamol, dantrolene and baclofen. (</w:t>
            </w:r>
            <w:hyperlink w:anchor="Chou2004" w:history="1">
              <w:r w:rsidRPr="00D61F73">
                <w:rPr>
                  <w:rStyle w:val="Hyperlink"/>
                  <w:rFonts w:ascii="Arial" w:hAnsi="Arial" w:cs="Arial"/>
                </w:rPr>
                <w:t>Chou, 2004</w:t>
              </w:r>
            </w:hyperlink>
            <w:r w:rsidRPr="00D61F73">
              <w:rPr>
                <w:rFonts w:ascii="Arial" w:hAnsi="Arial" w:cs="Arial"/>
              </w:rPr>
              <w:t xml:space="preserve">) According to a recent review in </w:t>
            </w:r>
            <w:r w:rsidRPr="00D61F73">
              <w:rPr>
                <w:rFonts w:ascii="Arial" w:hAnsi="Arial" w:cs="Arial"/>
                <w:i/>
                <w:iCs/>
              </w:rPr>
              <w:t>American Family Physician</w:t>
            </w:r>
            <w:r w:rsidRPr="00D61F73">
              <w:rPr>
                <w:rFonts w:ascii="Arial" w:hAnsi="Arial" w:cs="Arial"/>
              </w:rPr>
              <w:t xml:space="preserve">, skeletal muscle relaxants are the most widely prescribed drug class for musculoskeletal conditions (18.5% of prescriptions), and the most commonly prescribed antispasmodic agents are carisoprodol, cyclobenzaprine, metaxalone, and methocarbamol, but despite their popularity, skeletal muscle relaxants </w:t>
            </w:r>
            <w:r w:rsidRPr="00D61F73">
              <w:rPr>
                <w:rFonts w:ascii="Arial" w:hAnsi="Arial" w:cs="Arial"/>
              </w:rPr>
              <w:lastRenderedPageBreak/>
              <w:t>should not be the primary drug class of choice for musculoskeletal conditions. (</w:t>
            </w:r>
            <w:hyperlink w:anchor="See2" w:history="1">
              <w:r w:rsidRPr="00D61F73">
                <w:rPr>
                  <w:rStyle w:val="Hyperlink"/>
                  <w:rFonts w:ascii="Arial" w:hAnsi="Arial" w:cs="Arial"/>
                </w:rPr>
                <w:t>See2, 2008</w:t>
              </w:r>
            </w:hyperlink>
            <w:r w:rsidRPr="00D61F73">
              <w:rPr>
                <w:rFonts w:ascii="Arial" w:hAnsi="Arial" w:cs="Arial"/>
              </w:rPr>
              <w:t>)</w:t>
            </w:r>
          </w:p>
          <w:p w14:paraId="5F269556" w14:textId="77777777" w:rsidR="00E648FC" w:rsidRPr="00D61F73" w:rsidRDefault="00E648FC" w:rsidP="00D61F73">
            <w:pPr>
              <w:rPr>
                <w:rFonts w:ascii="Arial" w:hAnsi="Arial" w:cs="Arial"/>
              </w:rPr>
            </w:pPr>
            <w:r w:rsidRPr="00D61F73">
              <w:rPr>
                <w:rFonts w:ascii="Arial" w:hAnsi="Arial" w:cs="Arial"/>
                <w:i/>
                <w:u w:val="single"/>
              </w:rPr>
              <w:t xml:space="preserve">Classifications: </w:t>
            </w:r>
            <w:r w:rsidRPr="00D61F73">
              <w:rPr>
                <w:rFonts w:ascii="Arial" w:hAnsi="Arial" w:cs="Arial"/>
              </w:rPr>
              <w:t>Muscle relaxants are a broad range of medications that are generally divided into antispasmodics, antispasticity drugs, and drugs with both actions. (</w:t>
            </w:r>
            <w:hyperlink w:anchor="See" w:history="1">
              <w:r w:rsidRPr="00D61F73">
                <w:rPr>
                  <w:rStyle w:val="Hyperlink"/>
                  <w:rFonts w:ascii="Arial" w:hAnsi="Arial" w:cs="Arial"/>
                </w:rPr>
                <w:t>See, 2008</w:t>
              </w:r>
            </w:hyperlink>
            <w:r w:rsidRPr="00D61F73">
              <w:rPr>
                <w:rFonts w:ascii="Arial" w:hAnsi="Arial" w:cs="Arial"/>
              </w:rPr>
              <w:t>) (</w:t>
            </w:r>
            <w:hyperlink w:anchor="vanTulder2" w:history="1">
              <w:r w:rsidRPr="00D61F73">
                <w:rPr>
                  <w:rStyle w:val="Hyperlink"/>
                  <w:rFonts w:ascii="Arial" w:hAnsi="Arial" w:cs="Arial"/>
                </w:rPr>
                <w:t>van Tulder, 2006</w:t>
              </w:r>
            </w:hyperlink>
            <w:r w:rsidRPr="00D61F73">
              <w:rPr>
                <w:rFonts w:ascii="Arial" w:hAnsi="Arial" w:cs="Arial"/>
              </w:rPr>
              <w:t>)</w:t>
            </w:r>
          </w:p>
          <w:p w14:paraId="663BE905" w14:textId="77777777" w:rsidR="00E648FC" w:rsidRPr="00D61F73" w:rsidRDefault="00E648FC" w:rsidP="00D61F73">
            <w:pPr>
              <w:rPr>
                <w:rFonts w:ascii="Arial" w:hAnsi="Arial" w:cs="Arial"/>
              </w:rPr>
            </w:pPr>
            <w:r w:rsidRPr="00D61F73">
              <w:rPr>
                <w:rFonts w:ascii="Arial" w:hAnsi="Arial" w:cs="Arial"/>
                <w:b/>
                <w:bCs/>
                <w:u w:val="single"/>
              </w:rPr>
              <w:t>A</w:t>
            </w:r>
            <w:bookmarkStart w:id="312" w:name="ANTISPASTICITYDRUGS_listing"/>
            <w:bookmarkEnd w:id="312"/>
            <w:r w:rsidRPr="00D61F73">
              <w:rPr>
                <w:rFonts w:ascii="Arial" w:hAnsi="Arial" w:cs="Arial"/>
                <w:b/>
                <w:bCs/>
                <w:u w:val="single"/>
              </w:rPr>
              <w:t>NTISPASTICITY DRUGS:</w:t>
            </w:r>
            <w:r w:rsidRPr="00D61F73">
              <w:rPr>
                <w:rFonts w:ascii="Arial" w:hAnsi="Arial" w:cs="Arial"/>
              </w:rPr>
              <w:t xml:space="preserve"> Used to decrease spasticity in conditions such as cerebral palsy, MS, and spinal cord injuries (upper motor neuron syndromes). Associated symptoms include exaggerated reflexes, autonomic hyperreflexia, dystonia, contractures, paresis, lack of dexterity and fatigability. (</w:t>
            </w:r>
            <w:hyperlink w:anchor="Chou2004" w:history="1">
              <w:r w:rsidRPr="00D61F73">
                <w:rPr>
                  <w:rStyle w:val="Hyperlink"/>
                  <w:rFonts w:ascii="Arial" w:hAnsi="Arial" w:cs="Arial"/>
                </w:rPr>
                <w:t>Chou, 2004</w:t>
              </w:r>
            </w:hyperlink>
            <w:r w:rsidRPr="00D61F73">
              <w:rPr>
                <w:rFonts w:ascii="Arial" w:hAnsi="Arial" w:cs="Arial"/>
              </w:rPr>
              <w:t>)</w:t>
            </w:r>
          </w:p>
          <w:p w14:paraId="23674A6C" w14:textId="77777777" w:rsidR="00E648FC" w:rsidRPr="00D61F73" w:rsidRDefault="00E648FC" w:rsidP="00D61F73">
            <w:pPr>
              <w:rPr>
                <w:rFonts w:ascii="Arial" w:hAnsi="Arial" w:cs="Arial"/>
              </w:rPr>
            </w:pPr>
            <w:r w:rsidRPr="00D61F73">
              <w:rPr>
                <w:rFonts w:ascii="Arial" w:hAnsi="Arial" w:cs="Arial"/>
                <w:b/>
                <w:u w:val="single"/>
              </w:rPr>
              <w:t>B</w:t>
            </w:r>
            <w:bookmarkStart w:id="313" w:name="Baclofen_listing"/>
            <w:bookmarkEnd w:id="313"/>
            <w:r w:rsidRPr="00D61F73">
              <w:rPr>
                <w:rFonts w:ascii="Arial" w:hAnsi="Arial" w:cs="Arial"/>
                <w:b/>
                <w:u w:val="single"/>
              </w:rPr>
              <w:t>aclofen (Lioresal®, generic available):</w:t>
            </w:r>
            <w:r w:rsidRPr="00D61F73">
              <w:rPr>
                <w:rFonts w:ascii="Arial" w:hAnsi="Arial" w:cs="Arial"/>
              </w:rPr>
              <w:t xml:space="preserve"> The mechanism of action is blockade of the pre- and post-synaptic GABA</w:t>
            </w:r>
            <w:r w:rsidRPr="00D61F73">
              <w:rPr>
                <w:rFonts w:ascii="Arial" w:hAnsi="Arial" w:cs="Arial"/>
                <w:vertAlign w:val="subscript"/>
              </w:rPr>
              <w:t xml:space="preserve">B </w:t>
            </w:r>
            <w:r w:rsidRPr="00D61F73">
              <w:rPr>
                <w:rFonts w:ascii="Arial" w:hAnsi="Arial" w:cs="Arial"/>
              </w:rPr>
              <w:t>receptors. It is recommended orally for the treatment of spasticity and muscle spasm related to multiple sclerosis and spinal cord injuries. Baclofen has been noted to have benefits for treating lancinating, paroxysmal neuropathic pain (trigeminal neuralgia, non-FDA approved). (</w:t>
            </w:r>
            <w:hyperlink w:anchor="Institute" w:history="1">
              <w:r w:rsidRPr="00D61F73">
                <w:rPr>
                  <w:rStyle w:val="Hyperlink"/>
                  <w:rFonts w:ascii="Arial" w:hAnsi="Arial" w:cs="Arial"/>
                </w:rPr>
                <w:t>ICSI, 2007</w:t>
              </w:r>
            </w:hyperlink>
            <w:r w:rsidRPr="00D61F73">
              <w:rPr>
                <w:rFonts w:ascii="Arial" w:hAnsi="Arial" w:cs="Arial"/>
              </w:rPr>
              <w:t>)</w:t>
            </w:r>
          </w:p>
          <w:p w14:paraId="4C9ED066"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Sedation, dizziness, weakness, hypotension, nausea, respiratory depression and constipation. This drug should not be discontinued abruptly (withdrawal includes the risk of hallucinations and seizures). Use with caution in patients with renal and liver impairment.</w:t>
            </w:r>
          </w:p>
          <w:p w14:paraId="03ADB79E"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Oral: 5 mg three times a day. Upward titration can be made every 3 days up to a maximum dose of 80 mg a day. (</w:t>
            </w:r>
            <w:hyperlink w:anchor="See" w:history="1">
              <w:r w:rsidRPr="00D61F73">
                <w:rPr>
                  <w:rStyle w:val="Hyperlink"/>
                  <w:rFonts w:ascii="Arial" w:hAnsi="Arial" w:cs="Arial"/>
                </w:rPr>
                <w:t>See, 2008</w:t>
              </w:r>
            </w:hyperlink>
            <w:r w:rsidRPr="00D61F73">
              <w:rPr>
                <w:rFonts w:ascii="Arial" w:hAnsi="Arial" w:cs="Arial"/>
              </w:rPr>
              <w:t>)</w:t>
            </w:r>
          </w:p>
          <w:p w14:paraId="3A69E4B7" w14:textId="77777777" w:rsidR="00E648FC" w:rsidRPr="00D61F73" w:rsidRDefault="00E648FC" w:rsidP="00D61F73">
            <w:pPr>
              <w:rPr>
                <w:rFonts w:ascii="Arial" w:hAnsi="Arial" w:cs="Arial"/>
              </w:rPr>
            </w:pPr>
            <w:r w:rsidRPr="00D61F73">
              <w:rPr>
                <w:rFonts w:ascii="Arial" w:hAnsi="Arial" w:cs="Arial"/>
                <w:b/>
                <w:u w:val="single"/>
              </w:rPr>
              <w:t>D</w:t>
            </w:r>
            <w:bookmarkStart w:id="314" w:name="Dantrolene_listing"/>
            <w:bookmarkEnd w:id="314"/>
            <w:r w:rsidRPr="00D61F73">
              <w:rPr>
                <w:rFonts w:ascii="Arial" w:hAnsi="Arial" w:cs="Arial"/>
                <w:b/>
                <w:u w:val="single"/>
              </w:rPr>
              <w:t>antrolene (Dantrium®, generic available):</w:t>
            </w:r>
            <w:r w:rsidRPr="00D61F73">
              <w:rPr>
                <w:rFonts w:ascii="Arial" w:hAnsi="Arial" w:cs="Arial"/>
              </w:rPr>
              <w:t xml:space="preserve"> Not recommended. The mechanism of action is a direct inhibition of muscle contraction by decreasing the release of calcium from the sarcoplasmic reticulum. </w:t>
            </w:r>
          </w:p>
          <w:p w14:paraId="0B7822CA"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 xml:space="preserve">A black-box warning has been issued about symptomatic fatal or nonfatal hepatitis. </w:t>
            </w:r>
          </w:p>
          <w:p w14:paraId="1ADB5EDA"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25 mg a day for 7 days, 25 mg three times a day for 7 days, 50 mg three times a day for 7 days and then 100 mg three times a day. (</w:t>
            </w:r>
            <w:hyperlink w:anchor="See" w:history="1">
              <w:r w:rsidRPr="00D61F73">
                <w:rPr>
                  <w:rStyle w:val="Hyperlink"/>
                  <w:rFonts w:ascii="Arial" w:hAnsi="Arial" w:cs="Arial"/>
                </w:rPr>
                <w:t>See, 2008</w:t>
              </w:r>
            </w:hyperlink>
            <w:r w:rsidRPr="00D61F73">
              <w:rPr>
                <w:rFonts w:ascii="Arial" w:hAnsi="Arial" w:cs="Arial"/>
              </w:rPr>
              <w:t>)</w:t>
            </w:r>
          </w:p>
          <w:p w14:paraId="6CD27EE6" w14:textId="77777777" w:rsidR="00E648FC" w:rsidRPr="00D61F73" w:rsidRDefault="00E648FC" w:rsidP="00D61F73">
            <w:pPr>
              <w:rPr>
                <w:rFonts w:ascii="Arial" w:hAnsi="Arial" w:cs="Arial"/>
              </w:rPr>
            </w:pPr>
            <w:r w:rsidRPr="00D61F73">
              <w:rPr>
                <w:rFonts w:ascii="Arial" w:hAnsi="Arial" w:cs="Arial"/>
                <w:b/>
                <w:bCs/>
                <w:u w:val="single"/>
              </w:rPr>
              <w:t>A</w:t>
            </w:r>
            <w:bookmarkStart w:id="315" w:name="ANTISPASMODICS_listing"/>
            <w:bookmarkEnd w:id="315"/>
            <w:r w:rsidRPr="00D61F73">
              <w:rPr>
                <w:rFonts w:ascii="Arial" w:hAnsi="Arial" w:cs="Arial"/>
                <w:b/>
                <w:bCs/>
                <w:u w:val="single"/>
              </w:rPr>
              <w:t>NTISPASMODICS:</w:t>
            </w:r>
            <w:r w:rsidRPr="00D61F73">
              <w:rPr>
                <w:rFonts w:ascii="Arial" w:hAnsi="Arial" w:cs="Arial"/>
                <w:b/>
                <w:bCs/>
              </w:rPr>
              <w:t xml:space="preserve"> </w:t>
            </w:r>
            <w:r w:rsidRPr="00D61F73">
              <w:rPr>
                <w:rFonts w:ascii="Arial" w:hAnsi="Arial" w:cs="Arial"/>
              </w:rPr>
              <w:t>Used to decrease muscle spasm in conditions such as LBP although it appears that these medications are often used for the treatment of musculoskeletal conditions whether spasm is present or not. The mechanism of action for most of these agents is not known. (</w:t>
            </w:r>
            <w:hyperlink w:anchor="Chou2004" w:history="1">
              <w:r w:rsidRPr="00D61F73">
                <w:rPr>
                  <w:rStyle w:val="Hyperlink"/>
                  <w:rFonts w:ascii="Arial" w:hAnsi="Arial" w:cs="Arial"/>
                </w:rPr>
                <w:t>Chou, 2004</w:t>
              </w:r>
            </w:hyperlink>
            <w:r w:rsidRPr="00D61F73">
              <w:rPr>
                <w:rFonts w:ascii="Arial" w:hAnsi="Arial" w:cs="Arial"/>
              </w:rPr>
              <w:t>)</w:t>
            </w:r>
          </w:p>
          <w:p w14:paraId="625B361D" w14:textId="77777777" w:rsidR="00E648FC" w:rsidRPr="00D61F73" w:rsidRDefault="00E648FC" w:rsidP="00D61F73">
            <w:pPr>
              <w:rPr>
                <w:rFonts w:ascii="Arial" w:hAnsi="Arial" w:cs="Arial"/>
              </w:rPr>
            </w:pPr>
            <w:r w:rsidRPr="00D61F73">
              <w:rPr>
                <w:rFonts w:ascii="Arial" w:hAnsi="Arial" w:cs="Arial"/>
                <w:b/>
                <w:u w:val="single"/>
              </w:rPr>
              <w:t>C</w:t>
            </w:r>
            <w:bookmarkStart w:id="316" w:name="Cyclobenzaprine_listing"/>
            <w:bookmarkEnd w:id="316"/>
            <w:r w:rsidRPr="00D61F73">
              <w:rPr>
                <w:rFonts w:ascii="Arial" w:hAnsi="Arial" w:cs="Arial"/>
                <w:b/>
                <w:u w:val="single"/>
              </w:rPr>
              <w:t>yclobenzaprine (Flexeril®, Fexmid™, generic available, ER as Amrix®)</w:t>
            </w:r>
            <w:r w:rsidRPr="00D61F73">
              <w:rPr>
                <w:rFonts w:ascii="Arial" w:hAnsi="Arial" w:cs="Arial"/>
                <w:u w:val="single"/>
              </w:rPr>
              <w:t>:</w:t>
            </w:r>
            <w:r w:rsidRPr="00D61F73">
              <w:rPr>
                <w:rFonts w:ascii="Arial" w:hAnsi="Arial" w:cs="Arial"/>
              </w:rPr>
              <w:t xml:space="preserve"> Recommended for a short course of therapy. Immediate release (eg, Flexeril, generic) recommended over extended release (Amrix) due to recommended short course of therapy (also note substantial increase in cost for extended release without corresponding benefit for short course of therapy). Limited, mixed-evidence does not allow for a recommendation for chronic use. Cyclobenzaprine is a skeletal muscle relaxant and a central nervous system depressant with similar effects to tricyclic antidepressants (e.g. amitriptyline). Cyclobenzaprine is more effective than placebo in the management of back pain, although the effect is modest and comes at the price of adverse effects. It has a central mechanism of action, but it is not effective in treating spasticity from cerebral palsy or spinal cord disease. Cyclobenzaprine is associated with a</w:t>
            </w:r>
            <w:hyperlink r:id="rId116" w:anchor="Numberneededtotreat#Numberneededtotreat" w:history="1">
              <w:r w:rsidRPr="00D61F73">
                <w:rPr>
                  <w:rFonts w:ascii="Arial" w:hAnsi="Arial" w:cs="Arial"/>
                </w:rPr>
                <w:t xml:space="preserve"> </w:t>
              </w:r>
              <w:hyperlink w:anchor="Numberneededtotreat" w:history="1">
                <w:r w:rsidRPr="00D61F73">
                  <w:rPr>
                    <w:rStyle w:val="Hyperlink"/>
                    <w:rFonts w:ascii="Arial" w:hAnsi="Arial" w:cs="Arial"/>
                  </w:rPr>
                  <w:t>number needed to treat</w:t>
                </w:r>
              </w:hyperlink>
            </w:hyperlink>
            <w:r w:rsidRPr="00D61F73">
              <w:rPr>
                <w:rFonts w:ascii="Arial" w:hAnsi="Arial" w:cs="Arial"/>
              </w:rPr>
              <w:t xml:space="preserve"> of 3 at 2 weeks for symptom improvement. The greatest effect appears to be in the first 4 days of treatment. (</w:t>
            </w:r>
            <w:hyperlink w:anchor="Browning" w:history="1">
              <w:r w:rsidRPr="00D61F73">
                <w:rPr>
                  <w:rStyle w:val="Hyperlink"/>
                  <w:rFonts w:ascii="Arial" w:hAnsi="Arial" w:cs="Arial"/>
                </w:rPr>
                <w:t>Browning, 2001</w:t>
              </w:r>
            </w:hyperlink>
            <w:r w:rsidRPr="00D61F73">
              <w:rPr>
                <w:rFonts w:ascii="Arial" w:hAnsi="Arial" w:cs="Arial"/>
              </w:rPr>
              <w:t>) (</w:t>
            </w:r>
            <w:hyperlink r:id="rId117" w:anchor="Kinkade" w:history="1">
              <w:r w:rsidRPr="00D61F73">
                <w:rPr>
                  <w:rFonts w:ascii="Arial" w:hAnsi="Arial" w:cs="Arial"/>
                  <w:color w:val="0000FF"/>
                  <w:u w:val="single"/>
                </w:rPr>
                <w:t>Kinkade, 2007</w:t>
              </w:r>
            </w:hyperlink>
            <w:r w:rsidRPr="00D61F73">
              <w:rPr>
                <w:rFonts w:ascii="Arial" w:hAnsi="Arial" w:cs="Arial"/>
              </w:rPr>
              <w:t>) (</w:t>
            </w:r>
            <w:hyperlink w:anchor="Toth" w:history="1">
              <w:r w:rsidRPr="00D61F73">
                <w:rPr>
                  <w:rStyle w:val="Hyperlink"/>
                  <w:rFonts w:ascii="Arial" w:hAnsi="Arial" w:cs="Arial"/>
                </w:rPr>
                <w:t>Toth, 2004</w:t>
              </w:r>
            </w:hyperlink>
            <w:r w:rsidRPr="00D61F73">
              <w:rPr>
                <w:rFonts w:ascii="Arial" w:hAnsi="Arial" w:cs="Arial"/>
              </w:rPr>
              <w:t xml:space="preserve">) </w:t>
            </w:r>
            <w:r w:rsidRPr="00D61F73">
              <w:rPr>
                <w:rFonts w:ascii="Arial" w:hAnsi="Arial" w:cs="Arial"/>
              </w:rPr>
              <w:lastRenderedPageBreak/>
              <w:t xml:space="preserve">See </w:t>
            </w:r>
            <w:hyperlink w:anchor="Cyclobenzaprine" w:history="1">
              <w:r w:rsidRPr="00D61F73">
                <w:rPr>
                  <w:rStyle w:val="Hyperlink"/>
                  <w:rFonts w:ascii="Arial" w:hAnsi="Arial" w:cs="Arial"/>
                </w:rPr>
                <w:t>Cyclobenzaprine</w:t>
              </w:r>
            </w:hyperlink>
            <w:r w:rsidRPr="00D61F73">
              <w:rPr>
                <w:rFonts w:ascii="Arial" w:hAnsi="Arial" w:cs="Arial"/>
              </w:rPr>
              <w:t>. Cyclobenzaprine has been shown to produce a modest benefit in treatment of fibromyalgia. Cyclobenzaprine-treated patients with fibromyalgia were 3 times more likely to report overall improvement and to report moderate reductions in individual symptoms (particularly sleep). A meta-analysis concluded that the number needed to treat for patients with fibromyalgia was 4.8. (</w:t>
            </w:r>
            <w:hyperlink w:anchor="Institute" w:history="1">
              <w:r w:rsidRPr="00D61F73">
                <w:rPr>
                  <w:rStyle w:val="Hyperlink"/>
                  <w:rFonts w:ascii="Arial" w:hAnsi="Arial" w:cs="Arial"/>
                </w:rPr>
                <w:t>ICSI, 2007</w:t>
              </w:r>
            </w:hyperlink>
            <w:r w:rsidRPr="00D61F73">
              <w:rPr>
                <w:rFonts w:ascii="Arial" w:hAnsi="Arial" w:cs="Arial"/>
              </w:rPr>
              <w:t>) (</w:t>
            </w:r>
            <w:hyperlink w:anchor="Tofferi" w:history="1">
              <w:r w:rsidRPr="00D61F73">
                <w:rPr>
                  <w:rStyle w:val="Hyperlink"/>
                  <w:rFonts w:ascii="Arial" w:hAnsi="Arial" w:cs="Arial"/>
                </w:rPr>
                <w:t>Tofferi, 2004</w:t>
              </w:r>
            </w:hyperlink>
            <w:r w:rsidRPr="00D61F73">
              <w:rPr>
                <w:rFonts w:ascii="Arial" w:hAnsi="Arial" w:cs="Arial"/>
              </w:rPr>
              <w:t>) A recent RCT found that time to relief was better with immediate release compared to extended release cyclobenzaprine. (</w:t>
            </w:r>
            <w:hyperlink w:anchor="Landy2011" w:history="1">
              <w:r w:rsidRPr="00D61F73">
                <w:rPr>
                  <w:rStyle w:val="Hyperlink"/>
                  <w:rFonts w:ascii="Arial" w:hAnsi="Arial" w:cs="Arial"/>
                </w:rPr>
                <w:t>Landy, 2011</w:t>
              </w:r>
            </w:hyperlink>
            <w:r w:rsidRPr="00D61F73">
              <w:rPr>
                <w:rFonts w:ascii="Arial" w:hAnsi="Arial" w:cs="Arial"/>
              </w:rPr>
              <w:t>)</w:t>
            </w:r>
          </w:p>
          <w:p w14:paraId="6037DA6A"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Include anticholinergic effects (drowsiness, urinary retention and dry mouth). Sedative effects may limit use. Headache has been noted. This medication should be avoided in patients with arrhythmias, heart block, heart failure and recent myocardial infarction. Side effects limit use in the elderly. (</w:t>
            </w:r>
            <w:hyperlink w:anchor="See" w:history="1">
              <w:r w:rsidRPr="00D61F73">
                <w:rPr>
                  <w:rStyle w:val="Hyperlink"/>
                  <w:rFonts w:ascii="Arial" w:hAnsi="Arial" w:cs="Arial"/>
                </w:rPr>
                <w:t>See, 2008</w:t>
              </w:r>
            </w:hyperlink>
            <w:r w:rsidRPr="00D61F73">
              <w:rPr>
                <w:rFonts w:ascii="Arial" w:hAnsi="Arial" w:cs="Arial"/>
              </w:rPr>
              <w:t>) (</w:t>
            </w:r>
            <w:hyperlink w:anchor="Toth" w:history="1">
              <w:r w:rsidRPr="00D61F73">
                <w:rPr>
                  <w:rStyle w:val="Hyperlink"/>
                  <w:rFonts w:ascii="Arial" w:hAnsi="Arial" w:cs="Arial"/>
                </w:rPr>
                <w:t>Toth, 2004</w:t>
              </w:r>
            </w:hyperlink>
            <w:r w:rsidRPr="00D61F73">
              <w:rPr>
                <w:rFonts w:ascii="Arial" w:hAnsi="Arial" w:cs="Arial"/>
              </w:rPr>
              <w:t xml:space="preserve">) </w:t>
            </w:r>
          </w:p>
          <w:p w14:paraId="093002E9" w14:textId="551372B0" w:rsidR="009F66E6"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5 mg three times a day. Can be increased to 10 mg three times a day. This medication is not recommended to be used for longer than 2-3 weeks. (</w:t>
            </w:r>
            <w:hyperlink w:anchor="See" w:history="1">
              <w:r w:rsidRPr="00D61F73">
                <w:rPr>
                  <w:rStyle w:val="Hyperlink"/>
                  <w:rFonts w:ascii="Arial" w:hAnsi="Arial" w:cs="Arial"/>
                </w:rPr>
                <w:t>See, 2008</w:t>
              </w:r>
            </w:hyperlink>
            <w:r w:rsidR="008B4D0F">
              <w:rPr>
                <w:rFonts w:ascii="Arial" w:hAnsi="Arial" w:cs="Arial"/>
              </w:rPr>
              <w:t>)</w:t>
            </w:r>
          </w:p>
          <w:p w14:paraId="26F97599" w14:textId="77777777" w:rsidR="00E648FC" w:rsidRPr="00D61F73" w:rsidRDefault="00E648FC" w:rsidP="00D61F73">
            <w:pPr>
              <w:rPr>
                <w:rFonts w:ascii="Arial" w:hAnsi="Arial" w:cs="Arial"/>
              </w:rPr>
            </w:pPr>
            <w:r w:rsidRPr="00D61F73">
              <w:rPr>
                <w:rFonts w:ascii="Arial" w:hAnsi="Arial" w:cs="Arial"/>
                <w:b/>
                <w:u w:val="single"/>
              </w:rPr>
              <w:t>M</w:t>
            </w:r>
            <w:bookmarkStart w:id="317" w:name="Methocarbamol_listing"/>
            <w:bookmarkEnd w:id="317"/>
            <w:r w:rsidRPr="00D61F73">
              <w:rPr>
                <w:rFonts w:ascii="Arial" w:hAnsi="Arial" w:cs="Arial"/>
                <w:b/>
                <w:u w:val="single"/>
              </w:rPr>
              <w:t>ethocarbamol (Robaxin®, Relaxin™, generic available):</w:t>
            </w:r>
            <w:r w:rsidRPr="00D61F73">
              <w:rPr>
                <w:rFonts w:ascii="Arial" w:hAnsi="Arial" w:cs="Arial"/>
                <w:b/>
              </w:rPr>
              <w:t xml:space="preserve"> </w:t>
            </w:r>
            <w:r w:rsidRPr="00D61F73">
              <w:rPr>
                <w:rFonts w:ascii="Arial" w:hAnsi="Arial" w:cs="Arial"/>
              </w:rPr>
              <w:t xml:space="preserve">The mechanism of action is unknown, but appears to be related to central nervous system depressant effects with related sedative properties. This drug was approved by the FDA in 1957. </w:t>
            </w:r>
          </w:p>
          <w:p w14:paraId="4B2148A5"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 xml:space="preserve">Drowsiness, dizziness and lightheadedness.  </w:t>
            </w:r>
          </w:p>
          <w:p w14:paraId="56ECC884"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1500 mg four times a day for the first 2-3 days, then decreased to 750 mg four times a day. (</w:t>
            </w:r>
            <w:hyperlink w:anchor="See" w:history="1">
              <w:r w:rsidRPr="00D61F73">
                <w:rPr>
                  <w:rStyle w:val="Hyperlink"/>
                  <w:rFonts w:ascii="Arial" w:hAnsi="Arial" w:cs="Arial"/>
                </w:rPr>
                <w:t>See, 2008</w:t>
              </w:r>
            </w:hyperlink>
            <w:r w:rsidRPr="00D61F73">
              <w:rPr>
                <w:rFonts w:ascii="Arial" w:hAnsi="Arial" w:cs="Arial"/>
              </w:rPr>
              <w:t>)</w:t>
            </w:r>
          </w:p>
          <w:p w14:paraId="54D56357" w14:textId="77777777" w:rsidR="00E648FC" w:rsidRPr="00D61F73" w:rsidRDefault="00E648FC" w:rsidP="00D61F73">
            <w:pPr>
              <w:rPr>
                <w:rFonts w:ascii="Arial" w:hAnsi="Arial" w:cs="Arial"/>
              </w:rPr>
            </w:pPr>
            <w:r w:rsidRPr="00D61F73">
              <w:rPr>
                <w:rFonts w:ascii="Arial" w:hAnsi="Arial" w:cs="Arial"/>
                <w:b/>
                <w:u w:val="single"/>
              </w:rPr>
              <w:t>M</w:t>
            </w:r>
            <w:bookmarkStart w:id="318" w:name="Metaxalone_listing"/>
            <w:bookmarkEnd w:id="318"/>
            <w:r w:rsidRPr="00D61F73">
              <w:rPr>
                <w:rFonts w:ascii="Arial" w:hAnsi="Arial" w:cs="Arial"/>
                <w:b/>
                <w:u w:val="single"/>
              </w:rPr>
              <w:t>etaxalone (Skelaxin®, generic available)</w:t>
            </w:r>
            <w:r w:rsidRPr="00D61F73">
              <w:rPr>
                <w:rFonts w:ascii="Arial" w:hAnsi="Arial" w:cs="Arial"/>
              </w:rPr>
              <w:t xml:space="preserve"> is reported to be a relatively non-sedating muscle relaxant. The exact mechanism of action is unknown, but the effect is presumed to be due to general depression of the central nervous system. Metaxalone was approved by the FDA in 1964 and data to support approval were published in the mid-1960s. (</w:t>
            </w:r>
            <w:hyperlink w:anchor="Toth" w:history="1">
              <w:r w:rsidRPr="00D61F73">
                <w:rPr>
                  <w:rStyle w:val="Hyperlink"/>
                  <w:rFonts w:ascii="Arial" w:hAnsi="Arial" w:cs="Arial"/>
                </w:rPr>
                <w:t>Toth, 2004</w:t>
              </w:r>
            </w:hyperlink>
            <w:r w:rsidRPr="00D61F73">
              <w:rPr>
                <w:rFonts w:ascii="Arial" w:hAnsi="Arial" w:cs="Arial"/>
              </w:rPr>
              <w:t>)</w:t>
            </w:r>
          </w:p>
          <w:p w14:paraId="1950F652"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Dizziness and drowsiness, although less than that compared to other skeletal muscle relaxants. Other side effects include headache, nervousness, nausea, vomiting, and GI upset. A hypersensitivity reaction (rash) has been reported. Use with caution in patients with renal and/or hepatic failure.</w:t>
            </w:r>
          </w:p>
          <w:p w14:paraId="520668FA"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800 mg three to four times a day (</w:t>
            </w:r>
            <w:hyperlink w:anchor="See" w:history="1">
              <w:r w:rsidRPr="00D61F73">
                <w:rPr>
                  <w:rStyle w:val="Hyperlink"/>
                  <w:rFonts w:ascii="Arial" w:hAnsi="Arial" w:cs="Arial"/>
                </w:rPr>
                <w:t>See, 2008</w:t>
              </w:r>
            </w:hyperlink>
            <w:r w:rsidRPr="00D61F73">
              <w:rPr>
                <w:rFonts w:ascii="Arial" w:hAnsi="Arial" w:cs="Arial"/>
              </w:rPr>
              <w:t>)</w:t>
            </w:r>
          </w:p>
          <w:p w14:paraId="5AF619B5" w14:textId="77777777" w:rsidR="00E648FC" w:rsidRPr="00D61F73" w:rsidRDefault="00E648FC" w:rsidP="00D61F73">
            <w:pPr>
              <w:rPr>
                <w:rFonts w:ascii="Arial" w:hAnsi="Arial" w:cs="Arial"/>
              </w:rPr>
            </w:pPr>
            <w:r w:rsidRPr="00D61F73">
              <w:rPr>
                <w:rFonts w:ascii="Arial" w:hAnsi="Arial" w:cs="Arial"/>
                <w:b/>
                <w:u w:val="single"/>
              </w:rPr>
              <w:t>C</w:t>
            </w:r>
            <w:bookmarkStart w:id="319" w:name="Chlorzoxazone_listing"/>
            <w:bookmarkEnd w:id="319"/>
            <w:r w:rsidRPr="00D61F73">
              <w:rPr>
                <w:rFonts w:ascii="Arial" w:hAnsi="Arial" w:cs="Arial"/>
                <w:b/>
                <w:u w:val="single"/>
              </w:rPr>
              <w:t>hlorzoxazone (Parafon Forte®, Paraflex®, Relax™DS, Remular S™, generic available)</w:t>
            </w:r>
            <w:r w:rsidRPr="00D61F73">
              <w:rPr>
                <w:rFonts w:ascii="Arial" w:hAnsi="Arial" w:cs="Arial"/>
                <w:b/>
              </w:rPr>
              <w:t xml:space="preserve">: </w:t>
            </w:r>
            <w:r w:rsidRPr="00D61F73">
              <w:rPr>
                <w:rFonts w:ascii="Arial" w:hAnsi="Arial" w:cs="Arial"/>
              </w:rPr>
              <w:t>this drug works primarily in the spinal cord and the subcortical areas of the brain. The mechanism of action is unknown but the effect is thought to be due to general depression of the central nervous system. Advantages over other muscle relaxants include reduced sedation and less evidence for abuse. (</w:t>
            </w:r>
            <w:hyperlink w:anchor="See" w:history="1">
              <w:r w:rsidRPr="00D61F73">
                <w:rPr>
                  <w:rStyle w:val="Hyperlink"/>
                  <w:rFonts w:ascii="Arial" w:hAnsi="Arial" w:cs="Arial"/>
                </w:rPr>
                <w:t>See, 2008</w:t>
              </w:r>
            </w:hyperlink>
            <w:r w:rsidRPr="00D61F73">
              <w:rPr>
                <w:rFonts w:ascii="Arial" w:hAnsi="Arial" w:cs="Arial"/>
              </w:rPr>
              <w:t>)</w:t>
            </w:r>
          </w:p>
          <w:p w14:paraId="2E451B42"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Drowsiness and dizziness. Urine discoloration may occur. Avoid use in patients with hepatic impairment.</w:t>
            </w:r>
          </w:p>
          <w:p w14:paraId="2C337909"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 xml:space="preserve">250-750 mg three times a day to four times a day. </w:t>
            </w:r>
          </w:p>
          <w:p w14:paraId="4DB721BD" w14:textId="77777777" w:rsidR="00E648FC" w:rsidRPr="00D61F73" w:rsidRDefault="00E648FC" w:rsidP="00D61F73">
            <w:pPr>
              <w:rPr>
                <w:rFonts w:ascii="Arial" w:hAnsi="Arial" w:cs="Arial"/>
              </w:rPr>
            </w:pPr>
            <w:r w:rsidRPr="00D61F73">
              <w:rPr>
                <w:rFonts w:ascii="Arial" w:hAnsi="Arial" w:cs="Arial"/>
                <w:b/>
                <w:u w:val="single"/>
              </w:rPr>
              <w:t>C</w:t>
            </w:r>
            <w:bookmarkStart w:id="320" w:name="Carisoprodol_listing"/>
            <w:bookmarkEnd w:id="320"/>
            <w:r w:rsidRPr="00D61F73">
              <w:rPr>
                <w:rFonts w:ascii="Arial" w:hAnsi="Arial" w:cs="Arial"/>
                <w:b/>
                <w:u w:val="single"/>
              </w:rPr>
              <w:t>arisoprodol (Soma®, Soprodal 350™, Vanadom®, generic available)</w:t>
            </w:r>
            <w:r w:rsidRPr="00D61F73">
              <w:rPr>
                <w:rFonts w:ascii="Arial" w:hAnsi="Arial" w:cs="Arial"/>
                <w:b/>
              </w:rPr>
              <w:t>:</w:t>
            </w:r>
            <w:r w:rsidRPr="00D61F73">
              <w:rPr>
                <w:rFonts w:ascii="Arial" w:hAnsi="Arial" w:cs="Arial"/>
              </w:rPr>
              <w:t xml:space="preserve"> Not recommended in ODG. Suggested by the manufacturer for use as an adjunct to rest, physical therapy, analgesics, and other measures for the relief of discomfort associated with acute, painful musculoskeletal conditions. (</w:t>
            </w:r>
            <w:hyperlink w:anchor="AHFSDrugInformation" w:history="1">
              <w:r w:rsidRPr="00D61F73">
                <w:rPr>
                  <w:rStyle w:val="Hyperlink"/>
                  <w:rFonts w:ascii="Arial" w:hAnsi="Arial" w:cs="Arial"/>
                </w:rPr>
                <w:t>AHFS, 2008</w:t>
              </w:r>
            </w:hyperlink>
            <w:r w:rsidRPr="00D61F73">
              <w:rPr>
                <w:rFonts w:ascii="Arial" w:hAnsi="Arial" w:cs="Arial"/>
              </w:rPr>
              <w:t xml:space="preserve">) A 250 mg formulation was FDA approved in 9/07 for treatment of acute, painful musculoskeletal conditions such as backache. Neither of these formulations is recommended for </w:t>
            </w:r>
            <w:r w:rsidRPr="00D61F73">
              <w:rPr>
                <w:rFonts w:ascii="Arial" w:hAnsi="Arial" w:cs="Arial"/>
              </w:rPr>
              <w:lastRenderedPageBreak/>
              <w:t>longer than a 2 to 3 week period. Carisoprodol is metabolized to meprobamate an anixolytic that is a schedule IV controlled substance. Carisoprodol is classified as a schedule IV drug in several states but not on a federal level. It is suggested that its main effect is due to generalized sedation as well as treatment of anxiety. This drug was approved for marketing before the FDA required clinical studies to prove safety and efficacy. Withdrawal symptoms may occur with abrupt discontinuation. (</w:t>
            </w:r>
            <w:hyperlink w:anchor="See" w:history="1">
              <w:r w:rsidRPr="00D61F73">
                <w:rPr>
                  <w:rStyle w:val="Hyperlink"/>
                  <w:rFonts w:ascii="Arial" w:hAnsi="Arial" w:cs="Arial"/>
                </w:rPr>
                <w:t>See, 2008</w:t>
              </w:r>
            </w:hyperlink>
            <w:r w:rsidRPr="00D61F73">
              <w:rPr>
                <w:rFonts w:ascii="Arial" w:hAnsi="Arial" w:cs="Arial"/>
              </w:rPr>
              <w:t>) (</w:t>
            </w:r>
            <w:hyperlink w:anchor="Reeves" w:history="1">
              <w:r w:rsidRPr="00D61F73">
                <w:rPr>
                  <w:rStyle w:val="Hyperlink"/>
                  <w:rFonts w:ascii="Arial" w:hAnsi="Arial" w:cs="Arial"/>
                </w:rPr>
                <w:t>Reeves, 2003</w:t>
              </w:r>
            </w:hyperlink>
            <w:r w:rsidRPr="00D61F73">
              <w:rPr>
                <w:rFonts w:ascii="Arial" w:hAnsi="Arial" w:cs="Arial"/>
              </w:rPr>
              <w:t xml:space="preserve">) For more details, see </w:t>
            </w:r>
            <w:hyperlink w:anchor="Carisoprodol" w:history="1">
              <w:r w:rsidRPr="00D61F73">
                <w:rPr>
                  <w:rStyle w:val="Hyperlink"/>
                  <w:rFonts w:ascii="Arial" w:hAnsi="Arial" w:cs="Arial"/>
                </w:rPr>
                <w:t>Carisoprodol</w:t>
              </w:r>
            </w:hyperlink>
            <w:r w:rsidRPr="00D61F73">
              <w:rPr>
                <w:rFonts w:ascii="Arial" w:hAnsi="Arial" w:cs="Arial"/>
              </w:rPr>
              <w:t xml:space="preserve">, where it is “Not recommended.” See also </w:t>
            </w:r>
            <w:hyperlink w:anchor="Weaningcarisoprodol" w:history="1">
              <w:r w:rsidRPr="00D61F73">
                <w:rPr>
                  <w:rStyle w:val="Hyperlink"/>
                  <w:rFonts w:ascii="Arial" w:hAnsi="Arial" w:cs="Arial"/>
                </w:rPr>
                <w:t>Weaning, carisoprodol</w:t>
              </w:r>
            </w:hyperlink>
            <w:r w:rsidRPr="00D61F73">
              <w:rPr>
                <w:rFonts w:ascii="Arial" w:hAnsi="Arial" w:cs="Arial"/>
              </w:rPr>
              <w:t xml:space="preserve"> (Soma®). </w:t>
            </w:r>
          </w:p>
          <w:p w14:paraId="059636D7"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drowsiness, psychological and physical dependence, &amp; withdrawal with acute discontinuation.</w:t>
            </w:r>
          </w:p>
          <w:p w14:paraId="6EC28E26"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iCs/>
              </w:rPr>
              <w:t>250 mg-</w:t>
            </w:r>
            <w:r w:rsidRPr="00D61F73">
              <w:rPr>
                <w:rFonts w:ascii="Arial" w:hAnsi="Arial" w:cs="Arial"/>
              </w:rPr>
              <w:t>350 mg four times a day. (</w:t>
            </w:r>
            <w:hyperlink w:anchor="See" w:history="1">
              <w:r w:rsidRPr="00D61F73">
                <w:rPr>
                  <w:rStyle w:val="Hyperlink"/>
                  <w:rFonts w:ascii="Arial" w:hAnsi="Arial" w:cs="Arial"/>
                </w:rPr>
                <w:t>See, 2008</w:t>
              </w:r>
            </w:hyperlink>
            <w:r w:rsidRPr="00D61F73">
              <w:rPr>
                <w:rFonts w:ascii="Arial" w:hAnsi="Arial" w:cs="Arial"/>
              </w:rPr>
              <w:t xml:space="preserve">) </w:t>
            </w:r>
          </w:p>
          <w:p w14:paraId="38D442EA" w14:textId="77777777" w:rsidR="00E648FC" w:rsidRPr="00D61F73" w:rsidRDefault="00E648FC" w:rsidP="00D61F73">
            <w:pPr>
              <w:rPr>
                <w:rFonts w:ascii="Arial" w:hAnsi="Arial" w:cs="Arial"/>
              </w:rPr>
            </w:pPr>
            <w:r w:rsidRPr="00D61F73">
              <w:rPr>
                <w:rFonts w:ascii="Arial" w:hAnsi="Arial" w:cs="Arial"/>
                <w:b/>
                <w:u w:val="single"/>
              </w:rPr>
              <w:t>O</w:t>
            </w:r>
            <w:bookmarkStart w:id="321" w:name="Orphenadrine_listing"/>
            <w:bookmarkEnd w:id="321"/>
            <w:r w:rsidRPr="00D61F73">
              <w:rPr>
                <w:rFonts w:ascii="Arial" w:hAnsi="Arial" w:cs="Arial"/>
                <w:b/>
                <w:u w:val="single"/>
              </w:rPr>
              <w:t xml:space="preserve">rphenadrine (Norflex®, Banflex®, Antiflex™, Mio-Rel™, Orphenate™, generic available): </w:t>
            </w:r>
            <w:r w:rsidRPr="00D61F73">
              <w:rPr>
                <w:rFonts w:ascii="Arial" w:hAnsi="Arial" w:cs="Arial"/>
              </w:rPr>
              <w:t>This drug is similar to diphenhydramine, but has greater anticholinergic effects. The mode of action is not clearly understood. Effects are thought to be secondary to analgesic and anticholinergic properties. This drug was approved by the FDA in 1959.</w:t>
            </w:r>
          </w:p>
          <w:p w14:paraId="4217CF45" w14:textId="77777777" w:rsidR="00E648FC" w:rsidRPr="00D61F73" w:rsidRDefault="00E648FC" w:rsidP="00D61F73">
            <w:pPr>
              <w:rPr>
                <w:rFonts w:ascii="Arial" w:hAnsi="Arial" w:cs="Arial"/>
              </w:rPr>
            </w:pPr>
            <w:r w:rsidRPr="00D61F73">
              <w:rPr>
                <w:rFonts w:ascii="Arial" w:hAnsi="Arial" w:cs="Arial"/>
                <w:i/>
              </w:rPr>
              <w:t xml:space="preserve">Side Effects: </w:t>
            </w:r>
            <w:r w:rsidRPr="00D61F73">
              <w:rPr>
                <w:rFonts w:ascii="Arial" w:hAnsi="Arial" w:cs="Arial"/>
              </w:rPr>
              <w:t>Anticholinergic effects (drowsiness, urinary retention, dry mouth). Side effects may limit use in the elderly. This medication has been reported in case studies to be abused for euphoria and to have mood elevating effects. (</w:t>
            </w:r>
            <w:hyperlink w:anchor="Shariatmadari" w:history="1">
              <w:r w:rsidRPr="00D61F73">
                <w:rPr>
                  <w:rStyle w:val="Hyperlink"/>
                  <w:rFonts w:ascii="Arial" w:hAnsi="Arial" w:cs="Arial"/>
                </w:rPr>
                <w:t>Shariatmadari, 1975</w:t>
              </w:r>
            </w:hyperlink>
            <w:r w:rsidRPr="00D61F73">
              <w:rPr>
                <w:rFonts w:ascii="Arial" w:hAnsi="Arial" w:cs="Arial"/>
              </w:rPr>
              <w:t xml:space="preserve">) </w:t>
            </w:r>
          </w:p>
          <w:p w14:paraId="26774FC0" w14:textId="77777777" w:rsidR="00E648FC" w:rsidRPr="00D61F73" w:rsidRDefault="00E648FC" w:rsidP="00D61F73">
            <w:pPr>
              <w:rPr>
                <w:rFonts w:ascii="Arial" w:hAnsi="Arial" w:cs="Arial"/>
              </w:rPr>
            </w:pPr>
            <w:r w:rsidRPr="00D61F73">
              <w:rPr>
                <w:rFonts w:ascii="Arial" w:hAnsi="Arial" w:cs="Arial"/>
                <w:i/>
              </w:rPr>
              <w:t xml:space="preserve">Dosing: </w:t>
            </w:r>
            <w:r w:rsidRPr="00D61F73">
              <w:rPr>
                <w:rFonts w:ascii="Arial" w:hAnsi="Arial" w:cs="Arial"/>
              </w:rPr>
              <w:t>100 mg twice a day; combination products are given three to four times a day. (</w:t>
            </w:r>
            <w:hyperlink w:anchor="See" w:history="1">
              <w:r w:rsidRPr="00D61F73">
                <w:rPr>
                  <w:rStyle w:val="Hyperlink"/>
                  <w:rFonts w:ascii="Arial" w:hAnsi="Arial" w:cs="Arial"/>
                </w:rPr>
                <w:t>See, 2008</w:t>
              </w:r>
            </w:hyperlink>
            <w:r w:rsidRPr="00D61F73">
              <w:rPr>
                <w:rFonts w:ascii="Arial" w:hAnsi="Arial" w:cs="Arial"/>
              </w:rPr>
              <w:t>)</w:t>
            </w:r>
          </w:p>
          <w:p w14:paraId="4A3B4FBE" w14:textId="77777777" w:rsidR="00E648FC" w:rsidRPr="00D61F73" w:rsidRDefault="00E648FC" w:rsidP="00D61F73">
            <w:pPr>
              <w:rPr>
                <w:rFonts w:ascii="Arial" w:hAnsi="Arial" w:cs="Arial"/>
                <w:b/>
                <w:bCs/>
                <w:iCs/>
                <w:u w:val="single"/>
              </w:rPr>
            </w:pPr>
            <w:r w:rsidRPr="00D61F73">
              <w:rPr>
                <w:rFonts w:ascii="Arial" w:hAnsi="Arial" w:cs="Arial"/>
                <w:b/>
                <w:bCs/>
                <w:u w:val="single"/>
              </w:rPr>
              <w:t>A</w:t>
            </w:r>
            <w:bookmarkStart w:id="322" w:name="ANTISPASTICITYANTISPASMODICDRUGS_listing"/>
            <w:bookmarkEnd w:id="322"/>
            <w:r w:rsidRPr="00D61F73">
              <w:rPr>
                <w:rFonts w:ascii="Arial" w:hAnsi="Arial" w:cs="Arial"/>
                <w:b/>
                <w:bCs/>
                <w:u w:val="single"/>
              </w:rPr>
              <w:t xml:space="preserve">NTISPASTICITY/ANTISPASMODIC DRUGS: </w:t>
            </w:r>
          </w:p>
          <w:p w14:paraId="606F0171" w14:textId="77777777" w:rsidR="00E648FC" w:rsidRPr="00D61F73" w:rsidRDefault="00E648FC" w:rsidP="00D61F73">
            <w:pPr>
              <w:rPr>
                <w:rFonts w:ascii="Arial" w:hAnsi="Arial" w:cs="Arial"/>
              </w:rPr>
            </w:pPr>
            <w:r w:rsidRPr="00D61F73">
              <w:rPr>
                <w:rFonts w:ascii="Arial" w:hAnsi="Arial" w:cs="Arial"/>
                <w:b/>
                <w:u w:val="single"/>
              </w:rPr>
              <w:t>T</w:t>
            </w:r>
            <w:bookmarkStart w:id="323" w:name="Tizanidine_listing"/>
            <w:bookmarkEnd w:id="323"/>
            <w:r w:rsidRPr="00D61F73">
              <w:rPr>
                <w:rFonts w:ascii="Arial" w:hAnsi="Arial" w:cs="Arial"/>
                <w:b/>
                <w:u w:val="single"/>
              </w:rPr>
              <w:t>izanidine (Zanaflex®, generic available)</w:t>
            </w:r>
            <w:r w:rsidRPr="00D61F73">
              <w:rPr>
                <w:rFonts w:ascii="Arial" w:hAnsi="Arial" w:cs="Arial"/>
              </w:rPr>
              <w:t xml:space="preserve"> is a centrally acting alpha2-adrenergic agonist that is FDA approved for management of spasticity. (</w:t>
            </w:r>
            <w:hyperlink w:anchor="Malanga2008" w:history="1">
              <w:r w:rsidRPr="00D61F73">
                <w:rPr>
                  <w:rStyle w:val="Hyperlink"/>
                  <w:rFonts w:ascii="Arial" w:hAnsi="Arial" w:cs="Arial"/>
                </w:rPr>
                <w:t>Malanga, 2008</w:t>
              </w:r>
            </w:hyperlink>
            <w:r w:rsidRPr="00D61F73">
              <w:rPr>
                <w:rFonts w:ascii="Arial" w:hAnsi="Arial" w:cs="Arial"/>
              </w:rPr>
              <w:t>)) One study (conducted only in females) demonstrated a significant decrease in pain associated with subacute and chronic myofascial pain syndrome and the authors recommended its use as a first-line option to treat myofascial pain. (</w:t>
            </w:r>
            <w:hyperlink w:anchor="Malanga2002" w:history="1">
              <w:r w:rsidRPr="00D61F73">
                <w:rPr>
                  <w:rStyle w:val="Hyperlink"/>
                  <w:rFonts w:ascii="Arial" w:hAnsi="Arial" w:cs="Arial"/>
                </w:rPr>
                <w:t>Malanga, 2002</w:t>
              </w:r>
            </w:hyperlink>
            <w:r w:rsidRPr="00D61F73">
              <w:rPr>
                <w:rFonts w:ascii="Arial" w:hAnsi="Arial" w:cs="Arial"/>
              </w:rPr>
              <w:t>) May also provide benefit as an adjunct treatment for fibromyalgia. (</w:t>
            </w:r>
            <w:hyperlink w:anchor="Institute" w:history="1">
              <w:r w:rsidRPr="00D61F73">
                <w:rPr>
                  <w:rStyle w:val="Hyperlink"/>
                  <w:rFonts w:ascii="Arial" w:hAnsi="Arial" w:cs="Arial"/>
                </w:rPr>
                <w:t>ICSI, 2007</w:t>
              </w:r>
            </w:hyperlink>
            <w:r w:rsidRPr="00D61F73">
              <w:rPr>
                <w:rFonts w:ascii="Arial" w:hAnsi="Arial" w:cs="Arial"/>
              </w:rPr>
              <w:t xml:space="preserve">) </w:t>
            </w:r>
          </w:p>
          <w:p w14:paraId="1D972897" w14:textId="77777777" w:rsidR="00E648FC" w:rsidRPr="00D61F73" w:rsidRDefault="00E648FC" w:rsidP="00D61F73">
            <w:pPr>
              <w:rPr>
                <w:rFonts w:ascii="Arial" w:hAnsi="Arial" w:cs="Arial"/>
              </w:rPr>
            </w:pPr>
            <w:r w:rsidRPr="00D61F73">
              <w:rPr>
                <w:rFonts w:ascii="Arial" w:hAnsi="Arial" w:cs="Arial"/>
                <w:i/>
                <w:iCs/>
              </w:rPr>
              <w:t>Side effects:</w:t>
            </w:r>
            <w:r w:rsidRPr="00D61F73">
              <w:rPr>
                <w:rFonts w:ascii="Arial" w:hAnsi="Arial" w:cs="Arial"/>
              </w:rPr>
              <w:t xml:space="preserve"> somnolence, dizziness, dry mouth, hypotension, weakness, hepatotoxicity (LFTs should be monitored baseline, 1, 3, and 6 months). (</w:t>
            </w:r>
            <w:hyperlink w:anchor="See" w:history="1">
              <w:r w:rsidRPr="00D61F73">
                <w:rPr>
                  <w:rStyle w:val="Hyperlink"/>
                  <w:rFonts w:ascii="Arial" w:hAnsi="Arial" w:cs="Arial"/>
                </w:rPr>
                <w:t>See, 2008</w:t>
              </w:r>
            </w:hyperlink>
            <w:r w:rsidRPr="00D61F73">
              <w:rPr>
                <w:rFonts w:ascii="Arial" w:hAnsi="Arial" w:cs="Arial"/>
              </w:rPr>
              <w:t>)</w:t>
            </w:r>
          </w:p>
          <w:p w14:paraId="4AFCE8D8" w14:textId="77777777" w:rsidR="00E648FC" w:rsidRPr="00D61F73" w:rsidRDefault="00E648FC" w:rsidP="00D61F73">
            <w:pPr>
              <w:rPr>
                <w:rFonts w:ascii="Arial" w:hAnsi="Arial" w:cs="Arial"/>
              </w:rPr>
            </w:pPr>
            <w:r w:rsidRPr="00D61F73">
              <w:rPr>
                <w:rFonts w:ascii="Arial" w:hAnsi="Arial" w:cs="Arial"/>
                <w:i/>
                <w:iCs/>
              </w:rPr>
              <w:t>Dosing:</w:t>
            </w:r>
            <w:r w:rsidRPr="00D61F73">
              <w:rPr>
                <w:rFonts w:ascii="Arial" w:hAnsi="Arial" w:cs="Arial"/>
              </w:rPr>
              <w:t xml:space="preserve"> 4 mg initial dose; titrate gradually by 2 – 4 mg every 6 – 8 hours until therapeutic effect with tolerable side-effects; maximum 36 mg per day. (</w:t>
            </w:r>
            <w:hyperlink w:anchor="See" w:history="1">
              <w:r w:rsidRPr="00D61F73">
                <w:rPr>
                  <w:rStyle w:val="Hyperlink"/>
                  <w:rFonts w:ascii="Arial" w:hAnsi="Arial" w:cs="Arial"/>
                </w:rPr>
                <w:t>See, 2008</w:t>
              </w:r>
            </w:hyperlink>
            <w:r w:rsidRPr="00D61F73">
              <w:rPr>
                <w:rFonts w:ascii="Arial" w:hAnsi="Arial" w:cs="Arial"/>
              </w:rPr>
              <w:t>) Use with caution in renal impairment; should be avoided in hepatic impairment. Tizanidine use has been associated with hepatic aminotransaminase elevations that are usually asymptomatic and reversible with discontinuation. This medication is related to clonidine and should not be discontinued abruptly. Weaning should occur gradually, particularly in patients that have had prolonged use. (</w:t>
            </w:r>
            <w:hyperlink r:id="rId118" w:history="1">
              <w:r w:rsidRPr="00D61F73">
                <w:rPr>
                  <w:rStyle w:val="Hyperlink"/>
                  <w:rFonts w:ascii="Arial" w:hAnsi="Arial" w:cs="Arial"/>
                </w:rPr>
                <w:t>Zanaflex-FDA, 2008</w:t>
              </w:r>
            </w:hyperlink>
            <w:r w:rsidRPr="00D61F73">
              <w:rPr>
                <w:rFonts w:ascii="Arial" w:hAnsi="Arial" w:cs="Arial"/>
              </w:rPr>
              <w:t>)</w:t>
            </w:r>
          </w:p>
          <w:p w14:paraId="637D84F4" w14:textId="77777777" w:rsidR="00E648FC" w:rsidRPr="00D61F73" w:rsidRDefault="00E648FC" w:rsidP="00D61F73">
            <w:pPr>
              <w:rPr>
                <w:rFonts w:ascii="Arial" w:hAnsi="Arial" w:cs="Arial"/>
              </w:rPr>
            </w:pPr>
            <w:r w:rsidRPr="00D61F73">
              <w:rPr>
                <w:rFonts w:ascii="Arial" w:hAnsi="Arial" w:cs="Arial"/>
                <w:b/>
                <w:u w:val="single"/>
              </w:rPr>
              <w:t xml:space="preserve">Benzodiazepines: </w:t>
            </w:r>
            <w:r w:rsidRPr="00D61F73">
              <w:rPr>
                <w:rFonts w:ascii="Arial" w:hAnsi="Arial" w:cs="Arial"/>
              </w:rPr>
              <w:t>Not recommended due to rapid development of tolerance and dependence. There appears to be little benefit for the use of this class of drugs over nonbenzodiazepines for the treatment of spasm. (</w:t>
            </w:r>
            <w:hyperlink w:anchor="See" w:history="1">
              <w:r w:rsidRPr="00D61F73">
                <w:rPr>
                  <w:rStyle w:val="Hyperlink"/>
                  <w:rFonts w:ascii="Arial" w:hAnsi="Arial" w:cs="Arial"/>
                </w:rPr>
                <w:t>See, 2008</w:t>
              </w:r>
            </w:hyperlink>
            <w:r w:rsidRPr="00D61F73">
              <w:rPr>
                <w:rFonts w:ascii="Arial" w:hAnsi="Arial" w:cs="Arial"/>
              </w:rPr>
              <w:t xml:space="preserve">)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E648FC" w:rsidRPr="00D61F73" w14:paraId="0CBE0113" w14:textId="77777777" w:rsidTr="0078164D">
        <w:tc>
          <w:tcPr>
            <w:tcW w:w="1086" w:type="pct"/>
          </w:tcPr>
          <w:p w14:paraId="16174320"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324" w:name="Myobloc"/>
            <w:bookmarkEnd w:id="324"/>
            <w:r w:rsidRPr="00D61F73">
              <w:rPr>
                <w:rFonts w:ascii="Arial" w:hAnsi="Arial" w:cs="Arial"/>
              </w:rPr>
              <w:t>yobloc</w:t>
            </w:r>
          </w:p>
        </w:tc>
        <w:tc>
          <w:tcPr>
            <w:tcW w:w="3914" w:type="pct"/>
          </w:tcPr>
          <w:p w14:paraId="1576E1B8" w14:textId="77777777" w:rsidR="00E648FC" w:rsidRPr="00D61F73" w:rsidRDefault="00E648FC" w:rsidP="00D61F73">
            <w:pPr>
              <w:rPr>
                <w:rFonts w:ascii="Arial" w:hAnsi="Arial" w:cs="Arial"/>
              </w:rPr>
            </w:pPr>
            <w:r w:rsidRPr="00D61F73">
              <w:rPr>
                <w:rFonts w:ascii="Arial" w:hAnsi="Arial" w:cs="Arial"/>
              </w:rPr>
              <w:t xml:space="preserve">See </w:t>
            </w:r>
            <w:hyperlink w:anchor="Botulinumtoxin" w:history="1">
              <w:r w:rsidRPr="00D61F73">
                <w:rPr>
                  <w:rStyle w:val="Hyperlink"/>
                  <w:rFonts w:ascii="Arial" w:hAnsi="Arial" w:cs="Arial"/>
                </w:rPr>
                <w:t>Botulinum toxin</w:t>
              </w:r>
            </w:hyperlink>
            <w:r w:rsidRPr="00D61F73">
              <w:rPr>
                <w:rFonts w:ascii="Arial" w:hAnsi="Arial" w:cs="Arial"/>
              </w:rPr>
              <w:t>.</w:t>
            </w:r>
          </w:p>
        </w:tc>
      </w:tr>
      <w:tr w:rsidR="00E648FC" w:rsidRPr="00D61F73" w14:paraId="3A1FF632" w14:textId="77777777" w:rsidTr="0078164D">
        <w:trPr>
          <w:trHeight w:val="1152"/>
        </w:trPr>
        <w:tc>
          <w:tcPr>
            <w:tcW w:w="1086" w:type="pct"/>
          </w:tcPr>
          <w:p w14:paraId="703BF657"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lastRenderedPageBreak/>
              <w:t>M</w:t>
            </w:r>
            <w:bookmarkStart w:id="325" w:name="Myofascialpain"/>
            <w:bookmarkEnd w:id="325"/>
            <w:r w:rsidRPr="00D61F73">
              <w:rPr>
                <w:rFonts w:ascii="Arial" w:hAnsi="Arial" w:cs="Arial"/>
              </w:rPr>
              <w:t xml:space="preserve">yofascial pain </w:t>
            </w:r>
          </w:p>
        </w:tc>
        <w:tc>
          <w:tcPr>
            <w:tcW w:w="3914" w:type="pct"/>
          </w:tcPr>
          <w:p w14:paraId="47664989" w14:textId="77777777" w:rsidR="00E648FC" w:rsidRPr="00D61F73" w:rsidRDefault="00E648FC" w:rsidP="00D61F73">
            <w:pPr>
              <w:rPr>
                <w:rFonts w:ascii="Arial" w:hAnsi="Arial" w:cs="Arial"/>
              </w:rPr>
            </w:pPr>
            <w:r w:rsidRPr="00D61F73">
              <w:rPr>
                <w:rFonts w:ascii="Arial" w:hAnsi="Arial" w:cs="Arial"/>
              </w:rPr>
              <w:t>Overview of this pain syndrome (not a procedure): Myofascial pain is defined as pain or autonomic phenomena referred from active trigger points, with associated dysfunction including restricted range of motion. The trigger point is a focus of hyperirritability in a palpable taut band of skeletal muscle that, when compressed, is locally tender and, if sensitized, gives rise to referred pain and tenderness. However, trigger points may be observed in up to 33-50% of adults in a general medicine practice according to the International Association for the Study of Pain. The pain quality is dull or achy and associated with autonomic changes (abnormal sweating, lacrimation, flushing and temperature changes). Active trigger points cause pain at either rest or activity. Latent trigger points are not painful but present with other signs, primarily restricted movement and weakness. The therapy for myofascial pain requires enhancing central inhibition through pharmacology or behavioral techniques and simultaneously reducing peripheral inputs through physical therapies including exercises and trigger point-specific therapy. Long-term clinical efficacy of most treatment for trigger points and myofascial pain has not been determined due to lack of research. (</w:t>
            </w:r>
            <w:hyperlink w:anchor="GraffRadford" w:history="1">
              <w:r w:rsidRPr="00D61F73">
                <w:rPr>
                  <w:rFonts w:ascii="Arial" w:hAnsi="Arial" w:cs="Arial"/>
                  <w:color w:val="0000FF"/>
                  <w:u w:val="single"/>
                </w:rPr>
                <w:t>Graff-Radford, 2004</w:t>
              </w:r>
            </w:hyperlink>
            <w:r w:rsidRPr="00D61F73">
              <w:rPr>
                <w:rFonts w:ascii="Arial" w:hAnsi="Arial" w:cs="Arial"/>
              </w:rPr>
              <w:t>) (</w:t>
            </w:r>
            <w:hyperlink w:anchor="Alvarez" w:history="1">
              <w:r w:rsidRPr="00D61F73">
                <w:rPr>
                  <w:rStyle w:val="Hyperlink"/>
                  <w:rFonts w:ascii="Arial" w:hAnsi="Arial" w:cs="Arial"/>
                </w:rPr>
                <w:t>Alvarez, 2002</w:t>
              </w:r>
            </w:hyperlink>
            <w:r w:rsidRPr="00D61F73">
              <w:rPr>
                <w:rFonts w:ascii="Arial" w:hAnsi="Arial" w:cs="Arial"/>
              </w:rPr>
              <w:t>) (</w:t>
            </w:r>
            <w:hyperlink w:anchor="BorgStein" w:history="1">
              <w:r w:rsidRPr="00D61F73">
                <w:rPr>
                  <w:rStyle w:val="Hyperlink"/>
                  <w:rFonts w:ascii="Arial" w:hAnsi="Arial" w:cs="Arial"/>
                </w:rPr>
                <w:t>Borg-Stein, 2002</w:t>
              </w:r>
            </w:hyperlink>
          </w:p>
        </w:tc>
      </w:tr>
      <w:tr w:rsidR="00E648FC" w:rsidRPr="00D61F73" w14:paraId="758BC6E5" w14:textId="77777777" w:rsidTr="0078164D">
        <w:tc>
          <w:tcPr>
            <w:tcW w:w="1086" w:type="pct"/>
          </w:tcPr>
          <w:p w14:paraId="7734A571"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M</w:t>
            </w:r>
            <w:bookmarkStart w:id="326" w:name="Myotherapy"/>
            <w:bookmarkEnd w:id="326"/>
            <w:r w:rsidRPr="00D61F73">
              <w:rPr>
                <w:rFonts w:ascii="Arial" w:hAnsi="Arial" w:cs="Arial"/>
              </w:rPr>
              <w:t>yotherapy</w:t>
            </w:r>
          </w:p>
        </w:tc>
        <w:tc>
          <w:tcPr>
            <w:tcW w:w="3914" w:type="pct"/>
          </w:tcPr>
          <w:p w14:paraId="39BBD29E" w14:textId="77777777" w:rsidR="00E648FC" w:rsidRPr="00D61F73" w:rsidRDefault="00E648FC" w:rsidP="00D61F73">
            <w:pPr>
              <w:rPr>
                <w:rFonts w:ascii="Arial" w:hAnsi="Arial" w:cs="Arial"/>
              </w:rPr>
            </w:pPr>
            <w:r w:rsidRPr="00D61F73">
              <w:rPr>
                <w:rFonts w:ascii="Arial" w:hAnsi="Arial" w:cs="Arial"/>
              </w:rPr>
              <w:t xml:space="preserve">See </w:t>
            </w:r>
            <w:hyperlink w:anchor="Massagetherapy" w:history="1">
              <w:r w:rsidRPr="00D61F73">
                <w:rPr>
                  <w:rStyle w:val="Hyperlink"/>
                  <w:rFonts w:ascii="Arial" w:hAnsi="Arial" w:cs="Arial"/>
                </w:rPr>
                <w:t>Massage therapy</w:t>
              </w:r>
            </w:hyperlink>
            <w:r w:rsidRPr="00D61F73">
              <w:rPr>
                <w:rFonts w:ascii="Arial" w:hAnsi="Arial" w:cs="Arial"/>
              </w:rPr>
              <w:t>.</w:t>
            </w:r>
          </w:p>
        </w:tc>
      </w:tr>
      <w:tr w:rsidR="00E648FC" w:rsidRPr="00D61F73" w14:paraId="6783BDCF" w14:textId="77777777" w:rsidTr="0078164D">
        <w:trPr>
          <w:trHeight w:val="3665"/>
        </w:trPr>
        <w:tc>
          <w:tcPr>
            <w:tcW w:w="1086" w:type="pct"/>
          </w:tcPr>
          <w:p w14:paraId="0E5A34AF"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N</w:t>
            </w:r>
            <w:bookmarkStart w:id="327" w:name="Nabilone"/>
            <w:bookmarkEnd w:id="327"/>
            <w:r w:rsidRPr="00D61F73">
              <w:rPr>
                <w:rFonts w:ascii="Arial" w:hAnsi="Arial" w:cs="Arial"/>
              </w:rPr>
              <w:t>abilone (Cesamet®)</w:t>
            </w:r>
          </w:p>
        </w:tc>
        <w:tc>
          <w:tcPr>
            <w:tcW w:w="3914" w:type="pct"/>
          </w:tcPr>
          <w:p w14:paraId="35A3C9DC" w14:textId="77777777" w:rsidR="00E648FC" w:rsidRPr="00D61F73" w:rsidRDefault="00E648FC" w:rsidP="00D61F73">
            <w:pPr>
              <w:rPr>
                <w:rFonts w:ascii="Arial" w:hAnsi="Arial" w:cs="Arial"/>
              </w:rPr>
            </w:pPr>
            <w:r w:rsidRPr="00D61F73">
              <w:rPr>
                <w:rFonts w:ascii="Arial" w:hAnsi="Arial" w:cs="Arial"/>
              </w:rPr>
              <w:t>Recommended for treatment of chemotherapy-induced nausea, but not recommended for pain until there is better evidence. In a preliminary, placebo-controlled, 1-month trial, the marijuana-based synthetic drug nabilone (Cesamet, Valeant Pharmaceuticals) showed promise for temporary pain relief for fibromyalgia patients. Future studies with a longer duration of treatment and a stable dose are still needed. When interpreting the study results, it is important to note that the study drug was costly, the study was done in a small number of patients, and there was a high dropout rate. In addition, the dropout patients were not included in an intention-to-treat analysis, which would have resulted in a lower improvement rate. (</w:t>
            </w:r>
            <w:hyperlink w:anchor="Skrabek" w:history="1">
              <w:r w:rsidRPr="00D61F73">
                <w:rPr>
                  <w:rStyle w:val="Hyperlink"/>
                  <w:rFonts w:ascii="Arial" w:hAnsi="Arial" w:cs="Arial"/>
                </w:rPr>
                <w:t>Skrabek, 2008</w:t>
              </w:r>
            </w:hyperlink>
            <w:r w:rsidRPr="00D61F73">
              <w:rPr>
                <w:rFonts w:ascii="Arial" w:hAnsi="Arial" w:cs="Arial"/>
              </w:rPr>
              <w:t xml:space="preserve">) Nabilone was approved in 1985 by the FDA for treatment of chemotherapy-induced nausea and vomiting that has not responded to conventional antiemetics. See also </w:t>
            </w:r>
            <w:hyperlink w:anchor="Cannabinoids" w:history="1">
              <w:r w:rsidRPr="00D61F73">
                <w:rPr>
                  <w:rStyle w:val="Hyperlink"/>
                  <w:rFonts w:ascii="Arial" w:hAnsi="Arial" w:cs="Arial"/>
                </w:rPr>
                <w:t>Cannabinoids</w:t>
              </w:r>
            </w:hyperlink>
            <w:r w:rsidRPr="00D61F73">
              <w:rPr>
                <w:rFonts w:ascii="Arial" w:hAnsi="Arial" w:cs="Arial"/>
              </w:rPr>
              <w:t>.</w:t>
            </w:r>
          </w:p>
        </w:tc>
      </w:tr>
      <w:tr w:rsidR="00E648FC" w:rsidRPr="00D61F73" w14:paraId="37FD71E3" w14:textId="77777777" w:rsidTr="0078164D">
        <w:tc>
          <w:tcPr>
            <w:tcW w:w="1086" w:type="pct"/>
          </w:tcPr>
          <w:p w14:paraId="44159394" w14:textId="77777777" w:rsidR="00E648FC" w:rsidRPr="00D61F73" w:rsidRDefault="00E648FC" w:rsidP="00D61F73">
            <w:pPr>
              <w:pStyle w:val="Footer"/>
              <w:tabs>
                <w:tab w:val="clear" w:pos="4320"/>
                <w:tab w:val="clear" w:pos="8640"/>
              </w:tabs>
              <w:rPr>
                <w:rFonts w:ascii="Arial" w:hAnsi="Arial" w:cs="Arial"/>
              </w:rPr>
            </w:pPr>
            <w:r w:rsidRPr="00D61F73">
              <w:rPr>
                <w:rFonts w:ascii="Arial" w:hAnsi="Arial" w:cs="Arial"/>
              </w:rPr>
              <w:t>N</w:t>
            </w:r>
            <w:bookmarkStart w:id="328" w:name="Nabumetone"/>
            <w:bookmarkEnd w:id="328"/>
            <w:r w:rsidRPr="00D61F73">
              <w:rPr>
                <w:rFonts w:ascii="Arial" w:hAnsi="Arial" w:cs="Arial"/>
              </w:rPr>
              <w:t>abumetone (Relafen®)</w:t>
            </w:r>
          </w:p>
        </w:tc>
        <w:tc>
          <w:tcPr>
            <w:tcW w:w="3914" w:type="pct"/>
          </w:tcPr>
          <w:p w14:paraId="0ACB6564" w14:textId="3D05A278" w:rsidR="00E648FC" w:rsidRPr="00D61F73" w:rsidRDefault="00E648FC"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r w:rsidR="008571D3" w:rsidRPr="00D61F73">
              <w:rPr>
                <w:rFonts w:ascii="Arial" w:hAnsi="Arial" w:cs="Arial"/>
              </w:rPr>
              <w:t>Nabumetone</w:t>
            </w:r>
            <w:r w:rsidRPr="00D61F73">
              <w:rPr>
                <w:rFonts w:ascii="Arial" w:hAnsi="Arial" w:cs="Arial"/>
              </w:rPr>
              <w:t xml:space="preserve"> (Relafen®) listing for more information and references.</w:t>
            </w:r>
          </w:p>
        </w:tc>
      </w:tr>
      <w:tr w:rsidR="0044213E" w:rsidRPr="00D61F73" w14:paraId="6F72FC24" w14:textId="77777777" w:rsidTr="00FB6781">
        <w:tc>
          <w:tcPr>
            <w:tcW w:w="1086" w:type="pct"/>
          </w:tcPr>
          <w:p w14:paraId="1106F306" w14:textId="77777777" w:rsidR="0044213E" w:rsidRPr="00D61F73" w:rsidRDefault="0044213E" w:rsidP="00D61F73">
            <w:pPr>
              <w:pStyle w:val="Footer"/>
              <w:tabs>
                <w:tab w:val="clear" w:pos="4320"/>
                <w:tab w:val="clear" w:pos="8640"/>
              </w:tabs>
              <w:rPr>
                <w:rFonts w:ascii="Arial" w:hAnsi="Arial" w:cs="Arial"/>
              </w:rPr>
            </w:pPr>
            <w:r w:rsidRPr="00D61F73">
              <w:rPr>
                <w:rFonts w:ascii="Arial" w:hAnsi="Arial" w:cs="Arial"/>
              </w:rPr>
              <w:t>N</w:t>
            </w:r>
            <w:bookmarkStart w:id="329" w:name="Naloxone"/>
            <w:bookmarkEnd w:id="329"/>
            <w:r w:rsidRPr="00D61F73">
              <w:rPr>
                <w:rFonts w:ascii="Arial" w:hAnsi="Arial" w:cs="Arial"/>
              </w:rPr>
              <w:t>aloxone (Narcan®)</w:t>
            </w:r>
          </w:p>
        </w:tc>
        <w:tc>
          <w:tcPr>
            <w:tcW w:w="3914" w:type="pct"/>
            <w:shd w:val="clear" w:color="auto" w:fill="auto"/>
          </w:tcPr>
          <w:p w14:paraId="52A5F3B0" w14:textId="77777777" w:rsidR="0044213E" w:rsidRPr="00D61F73" w:rsidRDefault="0044213E" w:rsidP="00D61F73">
            <w:pPr>
              <w:rPr>
                <w:rFonts w:ascii="Arial" w:hAnsi="Arial" w:cs="Arial"/>
              </w:rPr>
            </w:pPr>
            <w:r w:rsidRPr="00D61F73">
              <w:rPr>
                <w:rFonts w:ascii="Arial" w:hAnsi="Arial" w:cs="Arial"/>
              </w:rPr>
              <w:t>Recommended in hospital-based and emergency department settings as currently indicated to address opioid overdose cases. Recommended on a case-by-case basis for outpatient, pre-hospital use, to treat opioid overdose for patients who are prescribed opioids for acute and chronic pain (malignant and non-malignant) due to documented pathology. (See Criteria Below) There is little evidence-based research to guide who should receive naloxone in an outpatient medically prescribed setting. Guidance is partially dependent on risk factors for overdose. When used in these pre-hospital settings, the patient will still require emergency and perhaps long term care.</w:t>
            </w:r>
          </w:p>
          <w:p w14:paraId="43827DDB" w14:textId="77777777" w:rsidR="0044213E" w:rsidRPr="00D61F73" w:rsidRDefault="0044213E" w:rsidP="00D61F73">
            <w:pPr>
              <w:rPr>
                <w:rFonts w:ascii="Arial" w:hAnsi="Arial" w:cs="Arial"/>
              </w:rPr>
            </w:pPr>
            <w:r w:rsidRPr="00D61F73">
              <w:rPr>
                <w:rFonts w:ascii="Arial" w:hAnsi="Arial" w:cs="Arial"/>
                <w:i/>
                <w:iCs/>
              </w:rPr>
              <w:t xml:space="preserve">Overview: </w:t>
            </w:r>
            <w:r w:rsidRPr="00D61F73">
              <w:rPr>
                <w:rFonts w:ascii="Arial" w:hAnsi="Arial" w:cs="Arial"/>
              </w:rPr>
              <w:t xml:space="preserve">Naloxone (Narcan®), an opioid antagonist that has no abuse </w:t>
            </w:r>
            <w:r w:rsidRPr="00D61F73">
              <w:rPr>
                <w:rFonts w:ascii="Arial" w:hAnsi="Arial" w:cs="Arial"/>
              </w:rPr>
              <w:lastRenderedPageBreak/>
              <w:t>potential, is recommended for the complete or partial reversal of opioid depression (including respiratory depression) induced by natural and synthetic opioids. Drugs for which naloxone is not effective for treating in overdose situations include</w:t>
            </w:r>
            <w:r w:rsidRPr="00D61F73">
              <w:rPr>
                <w:rFonts w:ascii="Arial" w:hAnsi="Arial" w:cs="Arial"/>
                <w:i/>
                <w:iCs/>
              </w:rPr>
              <w:t xml:space="preserve"> </w:t>
            </w:r>
            <w:r w:rsidRPr="00D61F73">
              <w:rPr>
                <w:rFonts w:ascii="Arial" w:hAnsi="Arial" w:cs="Arial"/>
              </w:rPr>
              <w:t xml:space="preserve">benzodiazepines, barbiturates, stimulants and/or alcohol. Naloxone may be helpful if opioids are taken in combination with other sedatives or stimulants. Naloxone treatment in an outpatient setting was initially used to address individuals who </w:t>
            </w:r>
            <w:r w:rsidRPr="00D61F73">
              <w:rPr>
                <w:rFonts w:ascii="Arial" w:hAnsi="Arial" w:cs="Arial"/>
                <w:sz w:val="18"/>
                <w:szCs w:val="18"/>
              </w:rPr>
              <w:t xml:space="preserve"> </w:t>
            </w:r>
            <w:r w:rsidRPr="00D61F73">
              <w:rPr>
                <w:rFonts w:ascii="Arial" w:hAnsi="Arial" w:cs="Arial"/>
              </w:rPr>
              <w:t>experienced overdose due to heroin in programs referred to as overdose education and naloxone distribution programs (OEND). These were initially developed by community-based and public health organizations to prevent opioid overdose fatalities.</w:t>
            </w:r>
          </w:p>
          <w:p w14:paraId="00230903" w14:textId="77777777" w:rsidR="0044213E" w:rsidRPr="00D61F73" w:rsidRDefault="0044213E" w:rsidP="00D61F73">
            <w:pPr>
              <w:rPr>
                <w:rFonts w:ascii="Arial" w:hAnsi="Arial" w:cs="Arial"/>
              </w:rPr>
            </w:pPr>
            <w:r w:rsidRPr="00D61F73">
              <w:rPr>
                <w:rFonts w:ascii="Arial" w:hAnsi="Arial" w:cs="Arial"/>
              </w:rPr>
              <w:t>They have now expanded to individuals who use pharmaceutical opioids illicitly, with additional research aimed at programs to prevent pharmaceutical overdose deaths in medical practice settings. Until recently, obtaining naloxone and training in use of the drug was difficult to access (generally only available in Syringe Exchange Programs and from harm reduction organizations). (</w:t>
            </w:r>
            <w:hyperlink w:anchor="Frank2015" w:history="1">
              <w:r w:rsidRPr="00D61F73">
                <w:rPr>
                  <w:rStyle w:val="Hyperlink"/>
                  <w:rFonts w:ascii="Arial" w:hAnsi="Arial" w:cs="Arial"/>
                </w:rPr>
                <w:t>Frank 2015</w:t>
              </w:r>
            </w:hyperlink>
            <w:r w:rsidRPr="00D61F73">
              <w:rPr>
                <w:rFonts w:ascii="Arial" w:hAnsi="Arial" w:cs="Arial"/>
              </w:rPr>
              <w:t>) (</w:t>
            </w:r>
            <w:hyperlink w:anchor="Mueller2015" w:history="1">
              <w:r w:rsidRPr="00D61F73">
                <w:rPr>
                  <w:rStyle w:val="Hyperlink"/>
                  <w:rFonts w:ascii="Arial" w:hAnsi="Arial" w:cs="Arial"/>
                </w:rPr>
                <w:t>Mueller, 2015</w:t>
              </w:r>
            </w:hyperlink>
            <w:r w:rsidRPr="00D61F73">
              <w:rPr>
                <w:rFonts w:ascii="Arial" w:hAnsi="Arial" w:cs="Arial"/>
              </w:rPr>
              <w:t xml:space="preserve">) </w:t>
            </w:r>
            <w:hyperlink w:anchor="SAMHSA2014" w:history="1">
              <w:r w:rsidRPr="00D61F73">
                <w:rPr>
                  <w:rStyle w:val="Hyperlink"/>
                  <w:rFonts w:ascii="Arial" w:hAnsi="Arial" w:cs="Arial"/>
                </w:rPr>
                <w:t>(SAMHSA, 2014)</w:t>
              </w:r>
            </w:hyperlink>
            <w:r w:rsidRPr="00D61F73">
              <w:rPr>
                <w:rFonts w:ascii="Arial" w:hAnsi="Arial" w:cs="Arial"/>
              </w:rPr>
              <w:t xml:space="preserve"> (</w:t>
            </w:r>
            <w:hyperlink w:anchor="Oluwajenyo2014" w:history="1">
              <w:r w:rsidRPr="00D61F73">
                <w:rPr>
                  <w:rStyle w:val="Hyperlink"/>
                  <w:rFonts w:ascii="Arial" w:hAnsi="Arial" w:cs="Arial"/>
                </w:rPr>
                <w:t>Oluwajenyo, 2014</w:t>
              </w:r>
            </w:hyperlink>
            <w:r w:rsidRPr="00D61F73">
              <w:rPr>
                <w:rFonts w:ascii="Arial" w:hAnsi="Arial" w:cs="Arial"/>
              </w:rPr>
              <w:t>) (</w:t>
            </w:r>
            <w:hyperlink w:anchor="DoeSimkins2014" w:history="1">
              <w:r w:rsidRPr="00D61F73">
                <w:rPr>
                  <w:rStyle w:val="Hyperlink"/>
                  <w:rFonts w:ascii="Arial" w:hAnsi="Arial" w:cs="Arial"/>
                </w:rPr>
                <w:t>Doe-Simkins, 2014</w:t>
              </w:r>
            </w:hyperlink>
            <w:r w:rsidRPr="00D61F73">
              <w:rPr>
                <w:rFonts w:ascii="Arial" w:hAnsi="Arial" w:cs="Arial"/>
              </w:rPr>
              <w:t>)</w:t>
            </w:r>
          </w:p>
          <w:p w14:paraId="5B1D7262" w14:textId="77777777" w:rsidR="0044213E" w:rsidRPr="00D61F73" w:rsidRDefault="0044213E" w:rsidP="00D61F73">
            <w:pPr>
              <w:rPr>
                <w:rFonts w:ascii="Arial" w:hAnsi="Arial" w:cs="Arial"/>
              </w:rPr>
            </w:pPr>
            <w:r w:rsidRPr="00D61F73">
              <w:rPr>
                <w:rFonts w:ascii="Arial" w:hAnsi="Arial" w:cs="Arial"/>
                <w:i/>
                <w:iCs/>
              </w:rPr>
              <w:t xml:space="preserve">Available formulations: </w:t>
            </w:r>
            <w:r w:rsidRPr="00D61F73">
              <w:rPr>
                <w:rFonts w:ascii="Arial" w:hAnsi="Arial" w:cs="Arial"/>
              </w:rPr>
              <w:t>(1)</w:t>
            </w:r>
            <w:r w:rsidRPr="00D61F73">
              <w:rPr>
                <w:rFonts w:ascii="Arial" w:hAnsi="Arial" w:cs="Arial"/>
                <w:i/>
                <w:iCs/>
              </w:rPr>
              <w:t xml:space="preserve"> </w:t>
            </w:r>
            <w:r w:rsidRPr="00D61F73">
              <w:rPr>
                <w:rFonts w:ascii="Arial" w:hAnsi="Arial" w:cs="Arial"/>
              </w:rPr>
              <w:t>Naloxone 0.4 mg/ml for injection; (2) Evzio 2-Pack Auto-Injector 0.4 mg/0.4 mL solution for injection. Naloxone is approved for intravenous, intramuscular and subcutaneous administration. Off-label routes include endotracheal, sublingual, inhaled and intranasal. The product used for intranasal use is a prefilled syringe at a concentration of 2 mg/2 mL (IMS/Amphastar, prefilled syringe). The intranasal mucosal atomizer (MAD-Nasal, LMA North America) fits onto the luer-lock of the prefilled syringe or a standard syringe. Naloxone “kits” used in the naloxone distribution programs generally include 2 doses of naloxone and other items (syringes, brochures, simple rescue breathing masks, and educational materials about topics such as overdose risks). (</w:t>
            </w:r>
            <w:hyperlink w:anchor="Bailey2014" w:history="1">
              <w:r w:rsidRPr="00D61F73">
                <w:rPr>
                  <w:rStyle w:val="Hyperlink"/>
                  <w:rFonts w:ascii="Arial" w:hAnsi="Arial" w:cs="Arial"/>
                </w:rPr>
                <w:t>Bailey, 2014</w:t>
              </w:r>
            </w:hyperlink>
            <w:r w:rsidRPr="00D61F73">
              <w:rPr>
                <w:rFonts w:ascii="Arial" w:hAnsi="Arial" w:cs="Arial"/>
              </w:rPr>
              <w:t>) (</w:t>
            </w:r>
            <w:hyperlink w:anchor="Coffin2013" w:history="1">
              <w:r w:rsidRPr="00D61F73">
                <w:rPr>
                  <w:rStyle w:val="Hyperlink"/>
                  <w:rFonts w:ascii="Arial" w:hAnsi="Arial" w:cs="Arial"/>
                </w:rPr>
                <w:t>Coffin, 2013</w:t>
              </w:r>
            </w:hyperlink>
            <w:r w:rsidRPr="00D61F73">
              <w:rPr>
                <w:rFonts w:ascii="Arial" w:hAnsi="Arial" w:cs="Arial"/>
              </w:rPr>
              <w:t>) (</w:t>
            </w:r>
            <w:hyperlink w:anchor="Beletsky2015" w:history="1">
              <w:r w:rsidRPr="00D61F73">
                <w:rPr>
                  <w:rStyle w:val="Hyperlink"/>
                  <w:rFonts w:ascii="Arial" w:hAnsi="Arial" w:cs="Arial"/>
                </w:rPr>
                <w:t>Beletsky, 2015</w:t>
              </w:r>
            </w:hyperlink>
            <w:r w:rsidRPr="00D61F73">
              <w:rPr>
                <w:rFonts w:ascii="Arial" w:hAnsi="Arial" w:cs="Arial"/>
              </w:rPr>
              <w:t>) Also see Evzio® (naloxone).</w:t>
            </w:r>
          </w:p>
          <w:p w14:paraId="13B9FF95" w14:textId="77777777" w:rsidR="0044213E" w:rsidRPr="00D61F73" w:rsidRDefault="0044213E" w:rsidP="00D61F73">
            <w:pPr>
              <w:rPr>
                <w:rFonts w:ascii="Arial" w:hAnsi="Arial" w:cs="Arial"/>
              </w:rPr>
            </w:pPr>
            <w:r w:rsidRPr="00D61F73">
              <w:rPr>
                <w:rFonts w:ascii="Arial" w:hAnsi="Arial" w:cs="Arial"/>
                <w:i/>
                <w:iCs/>
              </w:rPr>
              <w:t>Education:</w:t>
            </w:r>
            <w:r w:rsidRPr="00D61F73">
              <w:rPr>
                <w:rFonts w:ascii="Arial" w:hAnsi="Arial" w:cs="Arial"/>
              </w:rPr>
              <w:t xml:space="preserve"> There is no one standard program that is suggested for education for naloxone use, although this is suggested for not only the patient, but also for family and/or friends. Components suggested include training in opioid overdose prevention, recognition, and response. Overdose response training in community programs generally involves information on how to seek help from emergency medical systems, how to perform rescue breathing, and how to administer naloxone. Staying with the victim until recovery or help arrives is emphasized. (</w:t>
            </w:r>
            <w:hyperlink w:anchor="Mueller2015" w:history="1">
              <w:r w:rsidRPr="00D61F73">
                <w:rPr>
                  <w:rStyle w:val="Hyperlink"/>
                  <w:rFonts w:ascii="Arial" w:hAnsi="Arial" w:cs="Arial"/>
                </w:rPr>
                <w:t>Mueller, 2015</w:t>
              </w:r>
            </w:hyperlink>
            <w:r w:rsidRPr="00D61F73">
              <w:rPr>
                <w:rFonts w:ascii="Arial" w:hAnsi="Arial" w:cs="Arial"/>
              </w:rPr>
              <w:t>)</w:t>
            </w:r>
          </w:p>
          <w:p w14:paraId="618EC128" w14:textId="77777777" w:rsidR="0044213E" w:rsidRPr="00D61F73" w:rsidRDefault="0044213E" w:rsidP="00D61F73">
            <w:pPr>
              <w:rPr>
                <w:rFonts w:ascii="Arial" w:hAnsi="Arial" w:cs="Arial"/>
              </w:rPr>
            </w:pPr>
            <w:r w:rsidRPr="00D61F73">
              <w:rPr>
                <w:rFonts w:ascii="Arial" w:hAnsi="Arial" w:cs="Arial"/>
                <w:i/>
                <w:iCs/>
              </w:rPr>
              <w:t xml:space="preserve">Signs of overmedication and overdose: </w:t>
            </w:r>
            <w:r w:rsidRPr="00D61F73">
              <w:rPr>
                <w:rFonts w:ascii="Arial" w:hAnsi="Arial" w:cs="Arial"/>
              </w:rPr>
              <w:t>Signs of overmedication include unusual sleepiness or drowsiness, mental confusion, slurred speech and other evidence of intoxicated behavior, slow or shallow breathing, slow heartbeat and low blood pressure. Over a period of several hours progression to overdose can occur if intervention does not occur. The victim may be unarousable at this point with evidence of extreme breathing difficulty and cyanosis. The essential finding is respiratory depression. (</w:t>
            </w:r>
            <w:hyperlink w:anchor="SAMHSA2014" w:history="1">
              <w:r w:rsidRPr="00D61F73">
                <w:rPr>
                  <w:rStyle w:val="Hyperlink"/>
                  <w:rFonts w:ascii="Arial" w:hAnsi="Arial" w:cs="Arial"/>
                </w:rPr>
                <w:t>SAMHSA, 2014</w:t>
              </w:r>
            </w:hyperlink>
            <w:r w:rsidRPr="00D61F73">
              <w:rPr>
                <w:rFonts w:ascii="Arial" w:hAnsi="Arial" w:cs="Arial"/>
              </w:rPr>
              <w:t>) (</w:t>
            </w:r>
            <w:hyperlink w:anchor="Boyer2012" w:history="1">
              <w:r w:rsidRPr="00D61F73">
                <w:rPr>
                  <w:rStyle w:val="Hyperlink"/>
                  <w:rFonts w:ascii="Arial" w:hAnsi="Arial" w:cs="Arial"/>
                </w:rPr>
                <w:t>Boyer, 2012</w:t>
              </w:r>
            </w:hyperlink>
            <w:r w:rsidRPr="00D61F73">
              <w:rPr>
                <w:rFonts w:ascii="Arial" w:hAnsi="Arial" w:cs="Arial"/>
              </w:rPr>
              <w:t>)</w:t>
            </w:r>
          </w:p>
          <w:p w14:paraId="3C95070E" w14:textId="77777777" w:rsidR="0044213E" w:rsidRPr="00D61F73" w:rsidRDefault="0044213E" w:rsidP="00D61F73">
            <w:pPr>
              <w:rPr>
                <w:rFonts w:ascii="Arial" w:hAnsi="Arial" w:cs="Arial"/>
              </w:rPr>
            </w:pPr>
            <w:r w:rsidRPr="00D61F73">
              <w:rPr>
                <w:rFonts w:ascii="Arial" w:hAnsi="Arial" w:cs="Arial"/>
                <w:i/>
                <w:iCs/>
              </w:rPr>
              <w:t xml:space="preserve">Patients at risk for overdose </w:t>
            </w:r>
            <w:r w:rsidRPr="00D61F73">
              <w:rPr>
                <w:rFonts w:ascii="Arial" w:hAnsi="Arial" w:cs="Arial"/>
              </w:rPr>
              <w:t xml:space="preserve">The following have been outlined as risk factors for overdose. </w:t>
            </w:r>
            <w:r w:rsidRPr="00D61F73">
              <w:rPr>
                <w:rFonts w:ascii="Arial" w:hAnsi="Arial" w:cs="Arial"/>
                <w:b/>
                <w:bCs/>
              </w:rPr>
              <w:t xml:space="preserve">As can be noted, some of these risk factors could be considered indicators for reconsideration of opioid treatment or possible termination as per the current ODG guideline </w:t>
            </w:r>
            <w:r w:rsidRPr="00D61F73">
              <w:rPr>
                <w:rFonts w:ascii="Arial" w:hAnsi="Arial" w:cs="Arial"/>
                <w:b/>
                <w:bCs/>
              </w:rPr>
              <w:lastRenderedPageBreak/>
              <w:t>recommendation</w:t>
            </w:r>
            <w:r w:rsidRPr="00D61F73">
              <w:rPr>
                <w:rFonts w:ascii="Arial" w:hAnsi="Arial" w:cs="Arial"/>
              </w:rPr>
              <w:t>. Patients with many of these risk factors will generally also require extensive monitoring if opioid and other scheduled drug treatment is continued</w:t>
            </w:r>
            <w:r w:rsidR="00C61983" w:rsidRPr="00D61F73">
              <w:rPr>
                <w:rFonts w:ascii="Arial" w:hAnsi="Arial" w:cs="Arial"/>
              </w:rPr>
              <w:t xml:space="preserve">.  </w:t>
            </w:r>
            <w:r w:rsidR="00B43E87" w:rsidRPr="00D61F73">
              <w:rPr>
                <w:rFonts w:ascii="Arial" w:hAnsi="Arial" w:cs="Arial"/>
              </w:rPr>
              <w:t>See</w:t>
            </w:r>
            <w:r w:rsidR="008549B9" w:rsidRPr="00D61F73">
              <w:rPr>
                <w:rFonts w:ascii="Arial" w:hAnsi="Arial" w:cs="Arial"/>
              </w:rPr>
              <w:t xml:space="preserve"> </w:t>
            </w:r>
            <w:r w:rsidR="005D175F" w:rsidRPr="00D61F73">
              <w:rPr>
                <w:rFonts w:ascii="Arial" w:hAnsi="Arial" w:cs="Arial"/>
                <w:bCs/>
              </w:rPr>
              <w:t xml:space="preserve">MTUS Opioids Medical Treatmment Guidelines </w:t>
            </w:r>
            <w:r w:rsidRPr="00D61F73">
              <w:rPr>
                <w:rFonts w:ascii="Arial" w:hAnsi="Arial" w:cs="Arial"/>
                <w:bCs/>
              </w:rPr>
              <w:t>for information and recommendations.</w:t>
            </w:r>
          </w:p>
          <w:p w14:paraId="3C3C70AA" w14:textId="77777777" w:rsidR="0044213E" w:rsidRPr="00D61F73" w:rsidRDefault="0044213E" w:rsidP="00D61F73">
            <w:pPr>
              <w:rPr>
                <w:rFonts w:ascii="Arial" w:hAnsi="Arial" w:cs="Arial"/>
              </w:rPr>
            </w:pPr>
            <w:r w:rsidRPr="00D61F73">
              <w:rPr>
                <w:rFonts w:ascii="Arial" w:hAnsi="Arial" w:cs="Arial"/>
              </w:rPr>
              <w:t>(1) Patients at high risk for overdose because of a legitimate medical need for analgesia, coupled with a suspected or confirmed history of substance abuse, dependence or non-medical use of prescriptions or illicit opioids. (2) Patients taking high doses of opioids for long-term management of chronic malignant or non-malignant pain (</w:t>
            </w:r>
            <w:r w:rsidR="008549B9" w:rsidRPr="00D61F73">
              <w:rPr>
                <w:rFonts w:ascii="Arial" w:hAnsi="Arial" w:cs="Arial"/>
              </w:rPr>
              <w:t xml:space="preserve">according to </w:t>
            </w:r>
            <w:r w:rsidRPr="00D61F73">
              <w:rPr>
                <w:rFonts w:ascii="Arial" w:hAnsi="Arial" w:cs="Arial"/>
              </w:rPr>
              <w:t>the MTUS Opioid Guideline</w:t>
            </w:r>
            <w:r w:rsidR="00835263" w:rsidRPr="00D61F73">
              <w:rPr>
                <w:rFonts w:ascii="Arial" w:hAnsi="Arial" w:cs="Arial"/>
              </w:rPr>
              <w:t>s</w:t>
            </w:r>
            <w:r w:rsidR="008549B9" w:rsidRPr="00D61F73">
              <w:rPr>
                <w:rFonts w:ascii="Arial" w:hAnsi="Arial" w:cs="Arial"/>
              </w:rPr>
              <w:t>,</w:t>
            </w:r>
            <w:r w:rsidRPr="00D61F73">
              <w:rPr>
                <w:rFonts w:ascii="Arial" w:hAnsi="Arial" w:cs="Arial"/>
              </w:rPr>
              <w:t xml:space="preserve"> this value is ≥ 80 mg of oral morphine equivalents a day</w:t>
            </w:r>
            <w:r w:rsidR="008549B9" w:rsidRPr="00D61F73">
              <w:rPr>
                <w:rFonts w:ascii="Arial" w:hAnsi="Arial" w:cs="Arial"/>
              </w:rPr>
              <w:t xml:space="preserve"> (MED)</w:t>
            </w:r>
            <w:r w:rsidRPr="00D61F73">
              <w:rPr>
                <w:rFonts w:ascii="Arial" w:hAnsi="Arial" w:cs="Arial"/>
              </w:rPr>
              <w:t>); (3) Patients who have received rotating opioid medication regimens (and are potentially at risk for incomplete tolerance); (4) Patients with a history of recent discharge from emergency medical care following opioid intoxication;</w:t>
            </w:r>
          </w:p>
          <w:p w14:paraId="75BAF5A8" w14:textId="77777777" w:rsidR="0044213E" w:rsidRPr="00D61F73" w:rsidRDefault="0044213E" w:rsidP="00D61F73">
            <w:pPr>
              <w:rPr>
                <w:rFonts w:ascii="Arial" w:hAnsi="Arial" w:cs="Arial"/>
              </w:rPr>
            </w:pPr>
            <w:r w:rsidRPr="00D61F73">
              <w:rPr>
                <w:rFonts w:ascii="Arial" w:hAnsi="Arial" w:cs="Arial"/>
              </w:rPr>
              <w:t>(5) Patients who have completed opioid detoxification or have been abstinent for a period of time, including due to incarceration (due to possible reduced opioid tolerance and high risk of relapse to opioid use); (6) Patients who inject opioids; (7) Patients who combine opioids with other central nervous system depressants (either prescribed such as sedative hypnotics, muscle relaxants and benzodiazepines, or with alcohol, marijuana, or illicit drugs); (8) Patients with comorbid mental health disease (including depression, anxiety, and/or somatization disorder), in part as they are more likely to receive higher doses of opioids and/or concomitant sedative hypnotics; (9) Patients with comorbid central nervous system, kidney, liver or lung disease (the latter including chronic obstructive pulmonary disease, emphysema, asthma and sleep apnea or those who smoke); (10) Patients with any methadone prescription who are opioid naïve; (11) Patients enrolled in a methadone or buprenorphine detoxification and/or maintenance program; (12) Patients who live remotely from medical care. (</w:t>
            </w:r>
            <w:hyperlink w:anchor="Webster2011" w:history="1">
              <w:r w:rsidRPr="00D61F73">
                <w:rPr>
                  <w:rStyle w:val="Hyperlink"/>
                  <w:rFonts w:ascii="Arial" w:hAnsi="Arial" w:cs="Arial"/>
                </w:rPr>
                <w:t>Webster, 2011</w:t>
              </w:r>
            </w:hyperlink>
            <w:r w:rsidRPr="00D61F73">
              <w:rPr>
                <w:rFonts w:ascii="Arial" w:hAnsi="Arial" w:cs="Arial"/>
              </w:rPr>
              <w:t>) (</w:t>
            </w:r>
            <w:hyperlink w:anchor="SAMHSA2014" w:history="1">
              <w:r w:rsidRPr="00D61F73">
                <w:rPr>
                  <w:rStyle w:val="Hyperlink"/>
                  <w:rFonts w:ascii="Arial" w:hAnsi="Arial" w:cs="Arial"/>
                </w:rPr>
                <w:t>SAMHSA, 2014</w:t>
              </w:r>
            </w:hyperlink>
            <w:r w:rsidRPr="00D61F73">
              <w:rPr>
                <w:rFonts w:ascii="Arial" w:hAnsi="Arial" w:cs="Arial"/>
              </w:rPr>
              <w:t>) (</w:t>
            </w:r>
            <w:hyperlink w:anchor="Brason2013" w:history="1">
              <w:r w:rsidRPr="00D61F73">
                <w:rPr>
                  <w:rStyle w:val="Hyperlink"/>
                  <w:rFonts w:ascii="Arial" w:hAnsi="Arial" w:cs="Arial"/>
                </w:rPr>
                <w:t>Brason, 2013</w:t>
              </w:r>
            </w:hyperlink>
            <w:r w:rsidRPr="00D61F73">
              <w:rPr>
                <w:rFonts w:ascii="Arial" w:hAnsi="Arial" w:cs="Arial"/>
              </w:rPr>
              <w:t>) (</w:t>
            </w:r>
            <w:hyperlink w:anchor="Albert2011" w:history="1">
              <w:r w:rsidRPr="00D61F73">
                <w:rPr>
                  <w:rStyle w:val="Hyperlink"/>
                  <w:rFonts w:ascii="Arial" w:hAnsi="Arial" w:cs="Arial"/>
                </w:rPr>
                <w:t>Albert, 2011</w:t>
              </w:r>
            </w:hyperlink>
            <w:r w:rsidRPr="00D61F73">
              <w:rPr>
                <w:rFonts w:ascii="Arial" w:hAnsi="Arial" w:cs="Arial"/>
              </w:rPr>
              <w:t>) (</w:t>
            </w:r>
            <w:hyperlink w:anchor="Boyer2012" w:history="1">
              <w:r w:rsidRPr="00D61F73">
                <w:rPr>
                  <w:rStyle w:val="Hyperlink"/>
                  <w:rFonts w:ascii="Arial" w:hAnsi="Arial" w:cs="Arial"/>
                </w:rPr>
                <w:t>Boyer, 2012</w:t>
              </w:r>
            </w:hyperlink>
            <w:r w:rsidRPr="00D61F73">
              <w:rPr>
                <w:rFonts w:ascii="Arial" w:hAnsi="Arial" w:cs="Arial"/>
              </w:rPr>
              <w:t>)</w:t>
            </w:r>
          </w:p>
          <w:p w14:paraId="206F2E50" w14:textId="77777777" w:rsidR="0044213E" w:rsidRPr="00D61F73" w:rsidRDefault="0044213E" w:rsidP="00D61F73">
            <w:pPr>
              <w:rPr>
                <w:rFonts w:ascii="Arial" w:hAnsi="Arial" w:cs="Arial"/>
              </w:rPr>
            </w:pPr>
            <w:r w:rsidRPr="00D61F73">
              <w:rPr>
                <w:rFonts w:ascii="Arial" w:hAnsi="Arial" w:cs="Arial"/>
                <w:i/>
                <w:iCs/>
              </w:rPr>
              <w:t>Adverse effects of use of naloxone (including</w:t>
            </w:r>
            <w:r w:rsidR="00BA381E" w:rsidRPr="00D61F73">
              <w:rPr>
                <w:rFonts w:ascii="Arial" w:hAnsi="Arial" w:cs="Arial"/>
                <w:i/>
                <w:iCs/>
              </w:rPr>
              <w:t xml:space="preserve"> withdrawal symptoms) with use: </w:t>
            </w:r>
            <w:r w:rsidRPr="00D61F73">
              <w:rPr>
                <w:rFonts w:ascii="Arial" w:hAnsi="Arial" w:cs="Arial"/>
              </w:rPr>
              <w:t>Adverse effects depend on dose and route of administration, with intravenous administration and higher doses producing more events and opioid withdrawal symptoms. Adverse effects after opioid depression reversal include cardiac and cardiac related disorders (arrest, rapid heartbeat, hypertension, and ventricular dysrhythmias), gastrointestinal disorders (nausea and vomiting), central nervous system disorders (seizures and tremor), and respiratory disorders (pulmonary edema). Overt withdrawal symptoms can also be seen. Acute withdrawal generally subsides in about 2 hours. Patients should be observed for at least 2 hours after the last dose of naloxone to observe for recurrence of respiratory depression and other narcotic effects. (</w:t>
            </w:r>
            <w:hyperlink w:anchor="Wermeling2015" w:history="1">
              <w:r w:rsidRPr="00D61F73">
                <w:rPr>
                  <w:rStyle w:val="Hyperlink"/>
                  <w:rFonts w:ascii="Arial" w:hAnsi="Arial" w:cs="Arial"/>
                </w:rPr>
                <w:t>Wermeling, 2015</w:t>
              </w:r>
            </w:hyperlink>
            <w:r w:rsidRPr="00D61F73">
              <w:rPr>
                <w:rFonts w:ascii="Arial" w:hAnsi="Arial" w:cs="Arial"/>
              </w:rPr>
              <w:t xml:space="preserve">) See </w:t>
            </w:r>
            <w:hyperlink r:id="rId119" w:anchor="Weaningopioids" w:history="1">
              <w:r w:rsidRPr="00D61F73">
                <w:rPr>
                  <w:rStyle w:val="Hyperlink"/>
                  <w:rFonts w:ascii="Arial" w:hAnsi="Arial" w:cs="Arial"/>
                </w:rPr>
                <w:t>Weaning, opioids</w:t>
              </w:r>
            </w:hyperlink>
            <w:r w:rsidRPr="00D61F73">
              <w:rPr>
                <w:rFonts w:ascii="Arial" w:hAnsi="Arial" w:cs="Arial"/>
              </w:rPr>
              <w:t xml:space="preserve"> (specific guidelines), Opioid withdrawal signs and symptoms.</w:t>
            </w:r>
          </w:p>
          <w:p w14:paraId="64506556" w14:textId="77777777" w:rsidR="0044213E" w:rsidRPr="00D61F73" w:rsidRDefault="0044213E" w:rsidP="00D61F73">
            <w:pPr>
              <w:rPr>
                <w:rFonts w:ascii="Arial" w:hAnsi="Arial" w:cs="Arial"/>
              </w:rPr>
            </w:pPr>
            <w:r w:rsidRPr="00D61F73">
              <w:rPr>
                <w:rFonts w:ascii="Arial" w:hAnsi="Arial" w:cs="Arial"/>
                <w:i/>
                <w:iCs/>
              </w:rPr>
              <w:t xml:space="preserve">Criticisms and concerns of use: </w:t>
            </w:r>
            <w:r w:rsidRPr="00D61F73">
              <w:rPr>
                <w:rFonts w:ascii="Arial" w:hAnsi="Arial" w:cs="Arial"/>
              </w:rPr>
              <w:t xml:space="preserve">There is concern that distribution of naloxone to reverse opioid related overdoses may increase opioid use (primarily due to removing the threat of overdose) or delay entry into addiction treatment by reducing interactions with emergency healthcare providers. Other concerns include safety of allowing lay persons to administer naloxone, the possibility that the victim of overdose may return </w:t>
            </w:r>
            <w:r w:rsidRPr="00D61F73">
              <w:rPr>
                <w:rFonts w:ascii="Arial" w:hAnsi="Arial" w:cs="Arial"/>
              </w:rPr>
              <w:lastRenderedPageBreak/>
              <w:t>to the overdose state after a naloxone injection (due to the fact that the drug has a shorter half-life than many opioids), and possible precipitation of opioid withdrawal with use of naloxone. (</w:t>
            </w:r>
            <w:hyperlink w:anchor="Oluwajenyo2014" w:history="1">
              <w:r w:rsidRPr="00D61F73">
                <w:rPr>
                  <w:rStyle w:val="Hyperlink"/>
                  <w:rFonts w:ascii="Arial" w:hAnsi="Arial" w:cs="Arial"/>
                </w:rPr>
                <w:t>Oluwajenyo, 2014</w:t>
              </w:r>
            </w:hyperlink>
            <w:r w:rsidRPr="00D61F73">
              <w:rPr>
                <w:rFonts w:ascii="Arial" w:hAnsi="Arial" w:cs="Arial"/>
              </w:rPr>
              <w:t>)</w:t>
            </w:r>
          </w:p>
          <w:p w14:paraId="7B4C8FDF" w14:textId="77777777" w:rsidR="0044213E" w:rsidRPr="00D61F73" w:rsidRDefault="0044213E" w:rsidP="00D61F73">
            <w:pPr>
              <w:rPr>
                <w:rFonts w:ascii="Arial" w:hAnsi="Arial" w:cs="Arial"/>
              </w:rPr>
            </w:pPr>
            <w:r w:rsidRPr="00D61F73">
              <w:rPr>
                <w:rFonts w:ascii="Arial" w:hAnsi="Arial" w:cs="Arial"/>
                <w:i/>
                <w:iCs/>
              </w:rPr>
              <w:t xml:space="preserve">Legal issues and fear of criminal sanctions: </w:t>
            </w:r>
            <w:r w:rsidRPr="00D61F73">
              <w:rPr>
                <w:rFonts w:ascii="Arial" w:hAnsi="Arial" w:cs="Arial"/>
              </w:rPr>
              <w:t>There are multiple legal issues involved with the prescription of naloxone. State laws generally discourage or prohibit third-party prescribing (giving a prescription to a person other than the intended recipient) or to a person who has not been examined (prescription via standing order). These prohibitions are important as the people who are often best able to use naloxone in an overdose situation (family members or friends) will fall under these categories. Some providers are reluctant to prescribe naloxone due to liability concerns. Even where naloxone is available, the fear of legal repercussion may keep bystanders with access to naloxone from administering the drug. Another more general issue is that regardless of whether naloxone is available or not, bystanders may not summon medical aid due to fear of legal consequences. Laws that address these issues include those that remove the possibility of negative legal action against prescribers and lay people who administer the drug as well as implementation of “Good Samaritan” laws (described as those that allow for the summoning of emergency responders without fear of arrest or other negative legal consequences). As of December 2014, 28 jurisdictions now have laws that address access to naloxone for people at risk for opiate overdose. Twenty-two states have passed related Good Samaritan laws as of 2014. Criminal immunity is provided in 17 jurisdictions for prescribers who prescribe, dispense, or distribute naloxone to laypersons. See below for additional information on state laws on these topics. (</w:t>
            </w:r>
            <w:hyperlink w:anchor="Straus2013" w:history="1">
              <w:r w:rsidRPr="00D61F73">
                <w:rPr>
                  <w:rStyle w:val="Hyperlink"/>
                  <w:rFonts w:ascii="Arial" w:hAnsi="Arial" w:cs="Arial"/>
                </w:rPr>
                <w:t>Straus, 2013</w:t>
              </w:r>
            </w:hyperlink>
            <w:r w:rsidRPr="00D61F73">
              <w:rPr>
                <w:rFonts w:ascii="Arial" w:hAnsi="Arial" w:cs="Arial"/>
              </w:rPr>
              <w:t>) (</w:t>
            </w:r>
            <w:hyperlink w:anchor="Beletsky2012" w:history="1">
              <w:r w:rsidRPr="00D61F73">
                <w:rPr>
                  <w:rStyle w:val="Hyperlink"/>
                  <w:rFonts w:ascii="Arial" w:hAnsi="Arial" w:cs="Arial"/>
                </w:rPr>
                <w:t>Beletsky, 2012</w:t>
              </w:r>
            </w:hyperlink>
            <w:r w:rsidRPr="00D61F73">
              <w:rPr>
                <w:rFonts w:ascii="Arial" w:hAnsi="Arial" w:cs="Arial"/>
              </w:rPr>
              <w:t>)</w:t>
            </w:r>
          </w:p>
          <w:p w14:paraId="433852FA" w14:textId="77777777" w:rsidR="0044213E" w:rsidRPr="00D61F73" w:rsidRDefault="0044213E" w:rsidP="00D61F73">
            <w:pPr>
              <w:rPr>
                <w:rFonts w:ascii="Arial" w:hAnsi="Arial" w:cs="Arial"/>
              </w:rPr>
            </w:pPr>
            <w:r w:rsidRPr="00D61F73">
              <w:rPr>
                <w:rFonts w:ascii="Arial" w:hAnsi="Arial" w:cs="Arial"/>
                <w:i/>
                <w:iCs/>
              </w:rPr>
              <w:t xml:space="preserve">Pilot programs that include pre-hospital, clinical medicine settings for distribution of naloxone: </w:t>
            </w:r>
            <w:r w:rsidRPr="00D61F73">
              <w:rPr>
                <w:rFonts w:ascii="Arial" w:hAnsi="Arial" w:cs="Arial"/>
              </w:rPr>
              <w:t>Project Lazarus was established in Wilkes County, NC in 2008 to address high drug overdose deaths. The goal of this program, in part, is to provide safe access to care for patients with chronic pain. Education of clinicians providing drugs is strongly emphasized. Patients receiving drugs watch a 20-minute DVD that covers responsibilities in pain management, storage of meds, disposal of meds, recognizing and responding to an overdose and options for substance abuse treatment. Naloxone kits in this program were free. (</w:t>
            </w:r>
            <w:hyperlink w:anchor="Albert2011" w:history="1">
              <w:r w:rsidRPr="00D61F73">
                <w:rPr>
                  <w:rStyle w:val="Hyperlink"/>
                  <w:rFonts w:ascii="Arial" w:hAnsi="Arial" w:cs="Arial"/>
                </w:rPr>
                <w:t>Albert, 2011</w:t>
              </w:r>
            </w:hyperlink>
            <w:r w:rsidRPr="00D61F73">
              <w:rPr>
                <w:rFonts w:ascii="Arial" w:hAnsi="Arial" w:cs="Arial"/>
              </w:rPr>
              <w:t>) (</w:t>
            </w:r>
            <w:hyperlink w:anchor="Brason2013" w:history="1">
              <w:r w:rsidRPr="00D61F73">
                <w:rPr>
                  <w:rStyle w:val="Hyperlink"/>
                  <w:rFonts w:ascii="Arial" w:hAnsi="Arial" w:cs="Arial"/>
                </w:rPr>
                <w:t>Brason, 2013</w:t>
              </w:r>
            </w:hyperlink>
            <w:r w:rsidRPr="00D61F73">
              <w:rPr>
                <w:rFonts w:ascii="Arial" w:hAnsi="Arial" w:cs="Arial"/>
              </w:rPr>
              <w:t>)</w:t>
            </w:r>
          </w:p>
          <w:p w14:paraId="62D40920" w14:textId="77777777" w:rsidR="0044213E" w:rsidRPr="00D61F73" w:rsidRDefault="0044213E" w:rsidP="00D61F73">
            <w:pPr>
              <w:rPr>
                <w:rFonts w:ascii="Arial" w:hAnsi="Arial" w:cs="Arial"/>
                <w:color w:val="auto"/>
              </w:rPr>
            </w:pPr>
            <w:r w:rsidRPr="00D61F73">
              <w:rPr>
                <w:rFonts w:ascii="Arial" w:hAnsi="Arial" w:cs="Arial"/>
                <w:b/>
                <w:bCs/>
                <w:color w:val="auto"/>
              </w:rPr>
              <w:t>Criteria for prescriptions for naloxone for patients receiving opioids for pain in clinical settings for potential pre-hospital rescue (consensus based):</w:t>
            </w:r>
          </w:p>
          <w:p w14:paraId="7B6EF553" w14:textId="77777777" w:rsidR="0044213E" w:rsidRPr="00D61F73" w:rsidRDefault="0044213E" w:rsidP="00D61F73">
            <w:pPr>
              <w:rPr>
                <w:rFonts w:ascii="Arial" w:hAnsi="Arial" w:cs="Arial"/>
                <w:color w:val="auto"/>
              </w:rPr>
            </w:pPr>
            <w:r w:rsidRPr="00D61F73">
              <w:rPr>
                <w:rFonts w:ascii="Arial" w:hAnsi="Arial" w:cs="Arial"/>
                <w:color w:val="auto"/>
              </w:rPr>
              <w:t xml:space="preserve">(1) There should be documentation of a complete history that includes questions about prior drug and alcohol use (including previous overdose), recent results of a screening tool for potential prescription drug abuse (such as the SOAPP-R), a complete list of chronic medical illnesses, and a complete medication list. See </w:t>
            </w:r>
            <w:hyperlink r:id="rId120" w:anchor="Opioidsscreeningtestsforriskofaddictionm" w:history="1">
              <w:r w:rsidRPr="008F6656">
                <w:rPr>
                  <w:rStyle w:val="Hyperlink"/>
                  <w:rFonts w:ascii="Arial" w:hAnsi="Arial" w:cs="Arial"/>
                </w:rPr>
                <w:t>Opioids, screening tests for risk of addiction &amp; misuse</w:t>
              </w:r>
            </w:hyperlink>
            <w:r w:rsidRPr="00D61F73">
              <w:rPr>
                <w:rFonts w:ascii="Arial" w:hAnsi="Arial" w:cs="Arial"/>
                <w:color w:val="auto"/>
              </w:rPr>
              <w:t>.</w:t>
            </w:r>
          </w:p>
          <w:p w14:paraId="6AC67626" w14:textId="77777777" w:rsidR="0044213E" w:rsidRPr="00D61F73" w:rsidRDefault="0044213E" w:rsidP="00D61F73">
            <w:pPr>
              <w:rPr>
                <w:rFonts w:ascii="Arial" w:hAnsi="Arial" w:cs="Arial"/>
                <w:color w:val="auto"/>
              </w:rPr>
            </w:pPr>
            <w:r w:rsidRPr="00D61F73">
              <w:rPr>
                <w:rFonts w:ascii="Arial" w:hAnsi="Arial" w:cs="Arial"/>
                <w:color w:val="auto"/>
              </w:rPr>
              <w:t xml:space="preserve">(2) There should be evidence that education has been provided to the patient, with encouragement that family members and/or friends participate in this. Suggested education should include information about how to administer naloxone with practice with a training device if available. Other suggested components of training should include education on opioid </w:t>
            </w:r>
            <w:r w:rsidRPr="00D61F73">
              <w:rPr>
                <w:rFonts w:ascii="Arial" w:hAnsi="Arial" w:cs="Arial"/>
                <w:color w:val="auto"/>
              </w:rPr>
              <w:lastRenderedPageBreak/>
              <w:t>overdose prevention, recognition of overdose and response to the event in addition to naloxone administration. Information on how to seek help from emergency medical systems should be made available and include an emphasis on staying with the patient until help arrives.</w:t>
            </w:r>
          </w:p>
          <w:p w14:paraId="5AAF7987" w14:textId="77777777" w:rsidR="0044213E" w:rsidRPr="00D61F73" w:rsidRDefault="0044213E" w:rsidP="00D61F73">
            <w:pPr>
              <w:rPr>
                <w:rFonts w:ascii="Arial" w:hAnsi="Arial" w:cs="Arial"/>
                <w:color w:val="auto"/>
              </w:rPr>
            </w:pPr>
            <w:r w:rsidRPr="00D61F73">
              <w:rPr>
                <w:rFonts w:ascii="Arial" w:hAnsi="Arial" w:cs="Arial"/>
                <w:color w:val="auto"/>
              </w:rPr>
              <w:t>(3) There should be evidence that the patient has been counseled about drug use including risk of self-escalation of doses, and self-monitoring of function. Patients should be advised to keep meds secure and to not share them.</w:t>
            </w:r>
          </w:p>
          <w:p w14:paraId="18D61546" w14:textId="77777777" w:rsidR="0044213E" w:rsidRPr="00D61F73" w:rsidRDefault="0044213E" w:rsidP="00D61F73">
            <w:pPr>
              <w:rPr>
                <w:rFonts w:ascii="Arial" w:hAnsi="Arial" w:cs="Arial"/>
                <w:color w:val="auto"/>
              </w:rPr>
            </w:pPr>
            <w:r w:rsidRPr="00D61F73">
              <w:rPr>
                <w:rFonts w:ascii="Arial" w:hAnsi="Arial" w:cs="Arial"/>
                <w:color w:val="auto"/>
              </w:rPr>
              <w:t>(4) There should be evidence that the patient has been given information about the risk of overdose, including risk factors for such (see the list above).</w:t>
            </w:r>
          </w:p>
          <w:p w14:paraId="67FAE11D" w14:textId="77777777" w:rsidR="0044213E" w:rsidRPr="00D61F73" w:rsidRDefault="0044213E" w:rsidP="00D61F73">
            <w:pPr>
              <w:rPr>
                <w:rFonts w:ascii="Arial" w:hAnsi="Arial" w:cs="Arial"/>
                <w:color w:val="auto"/>
              </w:rPr>
            </w:pPr>
            <w:r w:rsidRPr="00D61F73">
              <w:rPr>
                <w:rFonts w:ascii="Arial" w:hAnsi="Arial" w:cs="Arial"/>
                <w:color w:val="auto"/>
              </w:rPr>
              <w:t>(5) It is recommended that before prescribing, clinicians become knowledgeable about their states laws in terms of third-party prescribing, prescription via standing order, and “Good Samaritan” laws. This is, in part, as family members, friends, or other members of the community may be involved in the use of the drug for rescue. For additional information, the following can be accessed:</w:t>
            </w:r>
          </w:p>
          <w:p w14:paraId="1E9B08B4" w14:textId="51C4F00F" w:rsidR="0044213E" w:rsidRPr="00D61F73" w:rsidRDefault="0044213E" w:rsidP="00D61F73">
            <w:pPr>
              <w:rPr>
                <w:rFonts w:ascii="Arial" w:hAnsi="Arial" w:cs="Arial"/>
                <w:color w:val="auto"/>
              </w:rPr>
            </w:pPr>
            <w:r w:rsidRPr="00D61F73">
              <w:rPr>
                <w:rFonts w:ascii="Arial" w:hAnsi="Arial" w:cs="Arial"/>
                <w:color w:val="auto"/>
              </w:rPr>
              <w:t xml:space="preserve">    (a) Legal Interventions to Reduce Overdose Mortality; Naloxone Access and Overdose Good Samaritan Laws;” Available at: </w:t>
            </w:r>
            <w:hyperlink r:id="rId121" w:history="1">
              <w:r w:rsidR="008F6656" w:rsidRPr="005E4ACA">
                <w:rPr>
                  <w:rStyle w:val="Hyperlink"/>
                  <w:rFonts w:ascii="Arial" w:hAnsi="Arial" w:cs="Arial"/>
                </w:rPr>
                <w:t>https://www.networkforphl.org/_asset/qz5pvn/network-naloxone-10-4.pdf</w:t>
              </w:r>
            </w:hyperlink>
            <w:r w:rsidR="008F6656">
              <w:rPr>
                <w:rFonts w:ascii="Arial" w:hAnsi="Arial" w:cs="Arial"/>
                <w:color w:val="auto"/>
              </w:rPr>
              <w:t xml:space="preserve">. </w:t>
            </w:r>
          </w:p>
          <w:p w14:paraId="3CA99BD6" w14:textId="5E7AF712" w:rsidR="0044213E" w:rsidRPr="00D61F73" w:rsidRDefault="0044213E" w:rsidP="00D61F73">
            <w:pPr>
              <w:rPr>
                <w:rFonts w:ascii="Arial" w:hAnsi="Arial" w:cs="Arial"/>
                <w:color w:val="auto"/>
              </w:rPr>
            </w:pPr>
            <w:r w:rsidRPr="00D61F73">
              <w:rPr>
                <w:rFonts w:ascii="Arial" w:hAnsi="Arial" w:cs="Arial"/>
                <w:color w:val="auto"/>
              </w:rPr>
              <w:t xml:space="preserve">    (b) Overview of State Legislation to Increase Access to Treatment for Opioid Overdose. NASADAD, 2013. Available at: </w:t>
            </w:r>
            <w:hyperlink r:id="rId122" w:history="1">
              <w:r w:rsidR="008F6656" w:rsidRPr="005E4ACA">
                <w:rPr>
                  <w:rStyle w:val="Hyperlink"/>
                  <w:rFonts w:ascii="Arial" w:hAnsi="Arial" w:cs="Arial"/>
                </w:rPr>
                <w:t>http://attcnetwork.org/userfiles/file/MidAmerica/Opioid-Overdose-Policy-Brief-Final6.pdf</w:t>
              </w:r>
            </w:hyperlink>
            <w:r w:rsidR="008F6656">
              <w:rPr>
                <w:rFonts w:ascii="Arial" w:hAnsi="Arial" w:cs="Arial"/>
              </w:rPr>
              <w:t>.</w:t>
            </w:r>
            <w:r w:rsidR="008F6656">
              <w:rPr>
                <w:rFonts w:ascii="Arial" w:hAnsi="Arial" w:cs="Arial"/>
                <w:color w:val="auto"/>
              </w:rPr>
              <w:t xml:space="preserve"> </w:t>
            </w:r>
          </w:p>
          <w:p w14:paraId="51CC2E4B" w14:textId="77777777" w:rsidR="0044213E" w:rsidRPr="00D61F73" w:rsidRDefault="0044213E" w:rsidP="00D61F73">
            <w:pPr>
              <w:rPr>
                <w:rFonts w:ascii="Arial" w:hAnsi="Arial" w:cs="Arial"/>
                <w:color w:val="auto"/>
              </w:rPr>
            </w:pPr>
            <w:r w:rsidRPr="00D61F73">
              <w:rPr>
                <w:rFonts w:ascii="Arial" w:hAnsi="Arial" w:cs="Arial"/>
                <w:color w:val="auto"/>
              </w:rPr>
              <w:t>(6) A generic formulation is recommended as first-line treatment. Branded products such as Evzio® are only recommended if generic is not available.</w:t>
            </w:r>
          </w:p>
          <w:p w14:paraId="2118CD03" w14:textId="77777777" w:rsidR="0044213E" w:rsidRPr="00D61F73" w:rsidRDefault="0044213E" w:rsidP="00D61F73">
            <w:pPr>
              <w:rPr>
                <w:rFonts w:ascii="Arial" w:hAnsi="Arial" w:cs="Arial"/>
                <w:color w:val="auto"/>
              </w:rPr>
            </w:pPr>
            <w:r w:rsidRPr="00D61F73">
              <w:rPr>
                <w:rFonts w:ascii="Arial" w:hAnsi="Arial" w:cs="Arial"/>
                <w:b/>
                <w:bCs/>
                <w:color w:val="auto"/>
              </w:rPr>
              <w:t>Consideration for use should occur in the following situations:</w:t>
            </w:r>
          </w:p>
          <w:p w14:paraId="4F7DB6CB" w14:textId="77777777" w:rsidR="0044213E" w:rsidRPr="00D61F73" w:rsidRDefault="0044213E" w:rsidP="00D61F73">
            <w:pPr>
              <w:rPr>
                <w:rFonts w:ascii="Arial" w:hAnsi="Arial" w:cs="Arial"/>
                <w:color w:val="auto"/>
              </w:rPr>
            </w:pPr>
            <w:r w:rsidRPr="00D61F73">
              <w:rPr>
                <w:rFonts w:ascii="Arial" w:hAnsi="Arial" w:cs="Arial"/>
                <w:color w:val="auto"/>
              </w:rPr>
              <w:t>(1) Patients with the following problems who require opioids for legitimate medical reasons (who generally are treated for acute pain or palliative care/malignancy in a workers’ compensation setting): active abusers of scheduled drugs including opioids or those patients with a history of substance abuse; dependence or non-medical use of prescription or illicit drugs; patients recently discharged from emergency medical care following opioid intoxication; those who have been abstinent from opioids for a period due to detoxification including due to incarceration (due to possible reduced opioid tolerance and high risk of relapse to opioid use).</w:t>
            </w:r>
          </w:p>
          <w:p w14:paraId="24DA6742" w14:textId="77777777" w:rsidR="0044213E" w:rsidRPr="00D61F73" w:rsidRDefault="0044213E" w:rsidP="00D61F73">
            <w:pPr>
              <w:rPr>
                <w:rFonts w:ascii="Arial" w:hAnsi="Arial" w:cs="Arial"/>
                <w:color w:val="auto"/>
              </w:rPr>
            </w:pPr>
            <w:r w:rsidRPr="00D61F73">
              <w:rPr>
                <w:rFonts w:ascii="Arial" w:hAnsi="Arial" w:cs="Arial"/>
                <w:color w:val="auto"/>
              </w:rPr>
              <w:t>(2) Patients on methadone or buprenorphine maintenance.</w:t>
            </w:r>
          </w:p>
          <w:p w14:paraId="69B81CD3" w14:textId="77777777" w:rsidR="0044213E" w:rsidRPr="00D61F73" w:rsidRDefault="0044213E" w:rsidP="00D61F73">
            <w:pPr>
              <w:rPr>
                <w:rFonts w:ascii="Arial" w:hAnsi="Arial" w:cs="Arial"/>
                <w:color w:val="auto"/>
              </w:rPr>
            </w:pPr>
            <w:r w:rsidRPr="00D61F73">
              <w:rPr>
                <w:rFonts w:ascii="Arial" w:hAnsi="Arial" w:cs="Arial"/>
                <w:color w:val="auto"/>
              </w:rPr>
              <w:t>(3) Patients who have had their opioids rotated (particularly to methadone) and may be at risk for incomplete tolerance.</w:t>
            </w:r>
          </w:p>
          <w:p w14:paraId="5736C04A" w14:textId="77777777" w:rsidR="0044213E" w:rsidRPr="00D61F73" w:rsidRDefault="0044213E" w:rsidP="00D61F73">
            <w:pPr>
              <w:rPr>
                <w:rFonts w:ascii="Arial" w:hAnsi="Arial" w:cs="Arial"/>
                <w:color w:val="auto"/>
              </w:rPr>
            </w:pPr>
            <w:r w:rsidRPr="00D61F73">
              <w:rPr>
                <w:rFonts w:ascii="Arial" w:hAnsi="Arial" w:cs="Arial"/>
                <w:color w:val="auto"/>
              </w:rPr>
              <w:t xml:space="preserve">(4) The patient is prescribed high doses of opioids (≥ 80 mg </w:t>
            </w:r>
            <w:r w:rsidR="008549B9" w:rsidRPr="00D61F73">
              <w:rPr>
                <w:rFonts w:ascii="Arial" w:hAnsi="Arial" w:cs="Arial"/>
                <w:color w:val="auto"/>
              </w:rPr>
              <w:t xml:space="preserve">MED </w:t>
            </w:r>
            <w:r w:rsidRPr="00D61F73">
              <w:rPr>
                <w:rFonts w:ascii="Arial" w:hAnsi="Arial" w:cs="Arial"/>
                <w:color w:val="auto"/>
              </w:rPr>
              <w:t xml:space="preserve">of oral morphine equivalents </w:t>
            </w:r>
            <w:r w:rsidR="008549B9" w:rsidRPr="00D61F73">
              <w:rPr>
                <w:rFonts w:ascii="Arial" w:hAnsi="Arial" w:cs="Arial"/>
                <w:color w:val="auto"/>
              </w:rPr>
              <w:t>according to the</w:t>
            </w:r>
            <w:r w:rsidRPr="00D61F73">
              <w:rPr>
                <w:rFonts w:ascii="Arial" w:hAnsi="Arial" w:cs="Arial"/>
                <w:color w:val="auto"/>
              </w:rPr>
              <w:t xml:space="preserve"> MTUS Opioid Guidelines) and tapering to less than this value or below is not practical or contraindicated. Particular consideration of naloxone prescribing should be given if (a) the patient is on concomitant benzodiazepines, sedative hypnotics (such as sleep aids), antidepressants, or muscle relaxants, (b) the patient has a history of pulmonary disease including chronic obstructive</w:t>
            </w:r>
          </w:p>
          <w:p w14:paraId="6A7BB777" w14:textId="77777777" w:rsidR="0044213E" w:rsidRPr="00D61F73" w:rsidRDefault="0044213E" w:rsidP="00D61F73">
            <w:pPr>
              <w:rPr>
                <w:rFonts w:ascii="Arial" w:hAnsi="Arial" w:cs="Arial"/>
                <w:color w:val="auto"/>
              </w:rPr>
            </w:pPr>
            <w:r w:rsidRPr="00D61F73">
              <w:rPr>
                <w:rFonts w:ascii="Arial" w:hAnsi="Arial" w:cs="Arial"/>
                <w:color w:val="auto"/>
              </w:rPr>
              <w:t>pulmonary disease, emphysema, asthma, and/or sleep apnea, (c) the patient has a history of liver and/or kidney disease, and/or (d) the patient has a history of mental illness.</w:t>
            </w:r>
          </w:p>
          <w:p w14:paraId="273A2F3E" w14:textId="77777777" w:rsidR="0044213E" w:rsidRPr="00D61F73" w:rsidRDefault="0044213E" w:rsidP="00D61F73">
            <w:pPr>
              <w:rPr>
                <w:rFonts w:ascii="Arial" w:hAnsi="Arial" w:cs="Arial"/>
                <w:color w:val="auto"/>
              </w:rPr>
            </w:pPr>
            <w:r w:rsidRPr="00D61F73">
              <w:rPr>
                <w:rFonts w:ascii="Arial" w:hAnsi="Arial" w:cs="Arial"/>
                <w:color w:val="auto"/>
              </w:rPr>
              <w:t xml:space="preserve">(5) The patient lives remotely from emergency care and is on high dose </w:t>
            </w:r>
            <w:r w:rsidRPr="00D61F73">
              <w:rPr>
                <w:rFonts w:ascii="Arial" w:hAnsi="Arial" w:cs="Arial"/>
                <w:color w:val="auto"/>
              </w:rPr>
              <w:lastRenderedPageBreak/>
              <w:t>opioids.</w:t>
            </w:r>
          </w:p>
          <w:p w14:paraId="7E331D49" w14:textId="77777777" w:rsidR="0044213E" w:rsidRPr="00D61F73" w:rsidRDefault="0044213E" w:rsidP="00D61F73">
            <w:pPr>
              <w:rPr>
                <w:rFonts w:ascii="Arial" w:hAnsi="Arial" w:cs="Arial"/>
                <w:color w:val="auto"/>
              </w:rPr>
            </w:pPr>
            <w:r w:rsidRPr="00D61F73">
              <w:rPr>
                <w:rFonts w:ascii="Arial" w:hAnsi="Arial" w:cs="Arial"/>
                <w:color w:val="auto"/>
              </w:rPr>
              <w:t>(6) The patient voluntarily requests naloxone.</w:t>
            </w:r>
          </w:p>
          <w:p w14:paraId="09F76977" w14:textId="77777777" w:rsidR="0044213E" w:rsidRPr="00D61F73" w:rsidRDefault="0044213E" w:rsidP="00D61F73">
            <w:pPr>
              <w:rPr>
                <w:rFonts w:ascii="Arial" w:hAnsi="Arial" w:cs="Arial"/>
                <w:color w:val="auto"/>
              </w:rPr>
            </w:pPr>
            <w:r w:rsidRPr="00D61F73">
              <w:rPr>
                <w:rFonts w:ascii="Arial" w:hAnsi="Arial" w:cs="Arial"/>
                <w:b/>
                <w:bCs/>
                <w:color w:val="auto"/>
              </w:rPr>
              <w:t>Considerations once prescribed:</w:t>
            </w:r>
          </w:p>
          <w:p w14:paraId="7395BC17" w14:textId="77777777" w:rsidR="0044213E" w:rsidRPr="00D61F73" w:rsidRDefault="0044213E" w:rsidP="00D61F73">
            <w:pPr>
              <w:rPr>
                <w:rFonts w:ascii="Arial" w:hAnsi="Arial" w:cs="Arial"/>
                <w:color w:val="auto"/>
              </w:rPr>
            </w:pPr>
            <w:r w:rsidRPr="00D61F73">
              <w:rPr>
                <w:rFonts w:ascii="Arial" w:hAnsi="Arial" w:cs="Arial"/>
                <w:color w:val="auto"/>
              </w:rPr>
              <w:t>(1) Only one kit should be dispensed at any time.</w:t>
            </w:r>
          </w:p>
          <w:p w14:paraId="525DB198" w14:textId="5C72CA73" w:rsidR="0044213E" w:rsidRPr="00D61F73" w:rsidRDefault="0044213E" w:rsidP="00D61F73">
            <w:pPr>
              <w:rPr>
                <w:rFonts w:ascii="Arial" w:hAnsi="Arial" w:cs="Arial"/>
              </w:rPr>
            </w:pPr>
            <w:r w:rsidRPr="00D61F73">
              <w:rPr>
                <w:rFonts w:ascii="Arial" w:hAnsi="Arial" w:cs="Arial"/>
                <w:color w:val="auto"/>
              </w:rPr>
              <w:t xml:space="preserve">(2) Renewal should be by prescription based on medication expiration or damage. If the kit has been used, information should be provided as to why, and further treatment given as indicated based on this. </w:t>
            </w:r>
            <w:r w:rsidR="008549B9" w:rsidRPr="00D61F73">
              <w:rPr>
                <w:rFonts w:ascii="Arial" w:hAnsi="Arial" w:cs="Arial"/>
                <w:color w:val="auto"/>
              </w:rPr>
              <w:t xml:space="preserve">Refer to the </w:t>
            </w:r>
            <w:r w:rsidR="00CE5C8B" w:rsidRPr="00D61F73">
              <w:rPr>
                <w:rFonts w:ascii="Arial" w:hAnsi="Arial" w:cs="Arial"/>
              </w:rPr>
              <w:t xml:space="preserve"> MTUS Opioids Treatment Guidelines </w:t>
            </w:r>
            <w:r w:rsidRPr="00D61F73">
              <w:rPr>
                <w:rFonts w:ascii="Arial" w:hAnsi="Arial" w:cs="Arial"/>
                <w:bCs/>
                <w:color w:val="auto"/>
              </w:rPr>
              <w:t>for information and recommendations.</w:t>
            </w:r>
            <w:r w:rsidR="00DD47F7" w:rsidRPr="00D61F73">
              <w:rPr>
                <w:rFonts w:ascii="Arial" w:hAnsi="Arial" w:cs="Arial"/>
              </w:rPr>
              <w:t xml:space="preserve"> </w:t>
            </w:r>
          </w:p>
        </w:tc>
      </w:tr>
    </w:tbl>
    <w:p w14:paraId="293FEECF" w14:textId="77777777" w:rsidR="0044213E" w:rsidRPr="00D61F73" w:rsidRDefault="0044213E" w:rsidP="00D61F73">
      <w:pPr>
        <w:rPr>
          <w:rFonts w:ascii="Arial" w:hAnsi="Arial" w:cs="Arial"/>
        </w:rPr>
      </w:pPr>
    </w:p>
    <w:tbl>
      <w:tblPr>
        <w:tblpPr w:leftFromText="180" w:rightFromText="180" w:vertAnchor="text" w:horzAnchor="margin" w:tblpY="9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75"/>
        <w:gridCol w:w="8179"/>
      </w:tblGrid>
      <w:tr w:rsidR="00E90DC7" w:rsidRPr="00D61F73" w14:paraId="46FBAF19" w14:textId="77777777" w:rsidTr="0038137E">
        <w:tc>
          <w:tcPr>
            <w:tcW w:w="1088" w:type="pct"/>
            <w:shd w:val="clear" w:color="auto" w:fill="auto"/>
          </w:tcPr>
          <w:p w14:paraId="14B94D40" w14:textId="77777777" w:rsidR="00E90DC7" w:rsidRPr="00D61F73" w:rsidRDefault="00E90DC7" w:rsidP="00D61F73">
            <w:pPr>
              <w:pStyle w:val="Footer"/>
              <w:tabs>
                <w:tab w:val="clear" w:pos="4320"/>
                <w:tab w:val="clear" w:pos="8640"/>
              </w:tabs>
              <w:rPr>
                <w:rFonts w:ascii="Arial" w:hAnsi="Arial" w:cs="Arial"/>
              </w:rPr>
            </w:pPr>
            <w:r w:rsidRPr="00D61F73">
              <w:rPr>
                <w:rFonts w:ascii="Arial" w:hAnsi="Arial" w:cs="Arial"/>
              </w:rPr>
              <w:t xml:space="preserve">Naltrexone (Vivitrol® extended-release injectable suspension) </w:t>
            </w:r>
          </w:p>
        </w:tc>
        <w:tc>
          <w:tcPr>
            <w:tcW w:w="3912" w:type="pct"/>
            <w:shd w:val="clear" w:color="auto" w:fill="auto"/>
          </w:tcPr>
          <w:p w14:paraId="23D53FC2" w14:textId="77777777" w:rsidR="00E90DC7" w:rsidRPr="00D61F73" w:rsidRDefault="00E90DC7" w:rsidP="00D61F73">
            <w:pPr>
              <w:rPr>
                <w:rFonts w:ascii="Arial" w:hAnsi="Arial" w:cs="Arial"/>
              </w:rPr>
            </w:pPr>
            <w:r w:rsidRPr="00D61F73">
              <w:rPr>
                <w:rFonts w:ascii="Arial" w:hAnsi="Arial" w:cs="Arial"/>
              </w:rPr>
              <w:t>Recommended as a second-line option for opioid dependence detoxification treatment, versus methadone or buprenorphine first-line treatment. On Oct. 12, 2010, the FDA approved Vivitrol to treat and prevent relapse after patients with opioid dependence have undergone detoxification treatment. Vivitrol is an extended-release formulation of naltrexone administered by intramuscular injection once a month. Naltrexone works to block opioid receptors in the brain. It blocks the effects of drugs like morphine, heroin, alcohol, and other opioids. (</w:t>
            </w:r>
            <w:hyperlink r:id="rId123" w:history="1">
              <w:r w:rsidRPr="00D61F73">
                <w:rPr>
                  <w:rStyle w:val="Hyperlink"/>
                  <w:rFonts w:ascii="Arial" w:hAnsi="Arial" w:cs="Arial"/>
                  <w:u w:val="none"/>
                </w:rPr>
                <w:t>FDA, 2010</w:t>
              </w:r>
            </w:hyperlink>
            <w:r w:rsidRPr="00D61F73">
              <w:rPr>
                <w:rFonts w:ascii="Arial" w:hAnsi="Arial" w:cs="Arial"/>
              </w:rPr>
              <w:t xml:space="preserve">) A study in </w:t>
            </w:r>
            <w:r w:rsidRPr="00D61F73">
              <w:rPr>
                <w:rFonts w:ascii="Arial" w:hAnsi="Arial" w:cs="Arial"/>
                <w:i/>
                <w:iCs/>
              </w:rPr>
              <w:t>The Lancet</w:t>
            </w:r>
            <w:r w:rsidRPr="00D61F73">
              <w:rPr>
                <w:rFonts w:ascii="Arial" w:hAnsi="Arial" w:cs="Arial"/>
              </w:rPr>
              <w:t xml:space="preserve"> concluded that extended-release (ER) naltrexone (Vivitrol), a receptor antagonist, is a safe and effective option for treating opioid dependence disorder (ODD). Those who received once-monthly injections of ER naltrexone had significantly more opioid-free weeks during a 6-month period and fewer cravings than those who received placebo. Methadone and buprenorphine are opioid agonists that have previously been shown to be effective for managing ODD. Naltrexone, on the other hand, is a µ-opioid receptor antagonist. It has a differentiated mechanism of action that blocks opioid receptors in the brain, producing no euphoria or sedation and generating no physical opioid dependence. Vivitrol offers an antagonist or nonaddictive, nonopioid option. The once-a-month administration helps to ensure patient compliance and that therapeutic concentrations of the medication are maintained. (</w:t>
            </w:r>
            <w:hyperlink w:anchor="Krupitsky2010" w:history="1">
              <w:r w:rsidRPr="00D61F73">
                <w:rPr>
                  <w:rStyle w:val="Hyperlink"/>
                  <w:rFonts w:ascii="Arial" w:hAnsi="Arial" w:cs="Arial"/>
                  <w:u w:val="none"/>
                </w:rPr>
                <w:t>Krupitsky, 2010</w:t>
              </w:r>
            </w:hyperlink>
            <w:r w:rsidRPr="00D61F73">
              <w:rPr>
                <w:rFonts w:ascii="Arial" w:hAnsi="Arial" w:cs="Arial"/>
              </w:rPr>
              <w:t>) Continued use of once-monthly extended-release naltrexone intramuscular injection (Vivitrol) is a safe and effective method of preventing relapse to opioid dependency after detoxification. It significantly increased the number of abstinence weeks (90% vs 35% for placebo) and the likelihood of total abstinence (36% vs 23%). (</w:t>
            </w:r>
            <w:hyperlink w:anchor="Krupitsky2011" w:history="1">
              <w:r w:rsidRPr="00D61F73">
                <w:rPr>
                  <w:rStyle w:val="Hyperlink"/>
                  <w:rFonts w:ascii="Arial" w:hAnsi="Arial" w:cs="Arial"/>
                  <w:u w:val="none"/>
                </w:rPr>
                <w:t>Krupitsky, 2011</w:t>
              </w:r>
            </w:hyperlink>
            <w:r w:rsidRPr="00D61F73">
              <w:rPr>
                <w:rFonts w:ascii="Arial" w:hAnsi="Arial" w:cs="Arial"/>
              </w:rPr>
              <w:t xml:space="preserve">) See also </w:t>
            </w:r>
            <w:hyperlink w:anchor="Embeda" w:history="1">
              <w:r w:rsidRPr="00D61F73">
                <w:rPr>
                  <w:rStyle w:val="Hyperlink"/>
                  <w:rFonts w:ascii="Arial" w:hAnsi="Arial" w:cs="Arial"/>
                  <w:u w:val="none"/>
                </w:rPr>
                <w:t>Embeda</w:t>
              </w:r>
            </w:hyperlink>
            <w:r w:rsidRPr="00D61F73">
              <w:rPr>
                <w:rFonts w:ascii="Arial" w:hAnsi="Arial" w:cs="Arial"/>
              </w:rPr>
              <w:t xml:space="preserve"> (morphine sulfate &amp; naltrexone hydrochloride).</w:t>
            </w:r>
          </w:p>
        </w:tc>
      </w:tr>
      <w:tr w:rsidR="00E90DC7" w:rsidRPr="00D61F73" w14:paraId="14A3D8FF" w14:textId="77777777" w:rsidTr="0038137E">
        <w:tc>
          <w:tcPr>
            <w:tcW w:w="1088" w:type="pct"/>
            <w:shd w:val="clear" w:color="auto" w:fill="auto"/>
          </w:tcPr>
          <w:p w14:paraId="40791FB5" w14:textId="77777777" w:rsidR="00E90DC7" w:rsidRPr="00D61F73" w:rsidRDefault="00E90DC7" w:rsidP="00D61F73">
            <w:pPr>
              <w:rPr>
                <w:rFonts w:ascii="Arial" w:hAnsi="Arial" w:cs="Arial"/>
              </w:rPr>
            </w:pPr>
            <w:r w:rsidRPr="00D61F73">
              <w:rPr>
                <w:rFonts w:ascii="Arial" w:hAnsi="Arial" w:cs="Arial"/>
              </w:rPr>
              <w:t>Naproxen (Naprosyn®, EC-Naprosyn®, Anaprox®, Anaprox DS®, Aleve® [otc], Naprelan®)</w:t>
            </w:r>
          </w:p>
        </w:tc>
        <w:tc>
          <w:tcPr>
            <w:tcW w:w="3912" w:type="pct"/>
            <w:shd w:val="clear" w:color="auto" w:fill="auto"/>
          </w:tcPr>
          <w:p w14:paraId="01C2437E" w14:textId="0C7F079B" w:rsidR="00E90DC7" w:rsidRPr="00D61F73" w:rsidRDefault="00E90DC7" w:rsidP="00D61F73">
            <w:pPr>
              <w:rPr>
                <w:rFonts w:ascii="Arial" w:hAnsi="Arial" w:cs="Arial"/>
              </w:rPr>
            </w:pPr>
            <w:r w:rsidRPr="00D61F73">
              <w:rPr>
                <w:rFonts w:ascii="Arial" w:hAnsi="Arial" w:cs="Arial"/>
              </w:rPr>
              <w:t xml:space="preserve">Recommended as an option. Naproxen is a nonsteroidal anti-inflammatory drug (NSAID) for the relief of the signs and symptoms of osteoarthritis. See </w:t>
            </w:r>
            <w:hyperlink w:anchor="NSAIDs" w:history="1">
              <w:r w:rsidR="00635590" w:rsidRPr="00D61F73">
                <w:rPr>
                  <w:rStyle w:val="Hyperlink"/>
                  <w:rFonts w:ascii="Arial" w:hAnsi="Arial" w:cs="Arial"/>
                </w:rPr>
                <w:t>NSAIDS (non-steroidal anti-inflammatory drugs)</w:t>
              </w:r>
            </w:hyperlink>
            <w:r w:rsidRPr="00D61F73">
              <w:rPr>
                <w:rFonts w:ascii="Arial" w:hAnsi="Arial" w:cs="Arial"/>
              </w:rPr>
              <w:t xml:space="preserve">;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r w:rsidR="00292BFD" w:rsidRPr="00292BFD">
              <w:rPr>
                <w:rFonts w:ascii="Arial" w:hAnsi="Arial" w:cs="Arial"/>
              </w:rPr>
              <w:t>Naproxen</w:t>
            </w:r>
            <w:r w:rsidRPr="00D61F73">
              <w:rPr>
                <w:rFonts w:ascii="Arial" w:hAnsi="Arial" w:cs="Arial"/>
              </w:rPr>
              <w:t xml:space="preserve"> (Naprosyn®, EC-Naprosyn®, Anaprox®, Anaprox DS®, Aleve® [otc], Naprelan®) listing for more information and references. See also </w:t>
            </w:r>
            <w:hyperlink w:anchor="Antiinflammatorymedications" w:history="1">
              <w:r w:rsidRPr="00D61F73">
                <w:rPr>
                  <w:rStyle w:val="Hyperlink"/>
                  <w:rFonts w:ascii="Arial" w:hAnsi="Arial" w:cs="Arial"/>
                </w:rPr>
                <w:t>Anti-inflammatory medications</w:t>
              </w:r>
            </w:hyperlink>
            <w:r w:rsidRPr="00D61F73">
              <w:rPr>
                <w:rFonts w:ascii="Arial" w:hAnsi="Arial" w:cs="Arial"/>
              </w:rPr>
              <w:t>.</w:t>
            </w:r>
          </w:p>
        </w:tc>
      </w:tr>
      <w:tr w:rsidR="00E90DC7" w:rsidRPr="00D61F73" w14:paraId="3A88CD1D" w14:textId="77777777" w:rsidTr="0038137E">
        <w:tc>
          <w:tcPr>
            <w:tcW w:w="1088" w:type="pct"/>
            <w:shd w:val="clear" w:color="auto" w:fill="auto"/>
          </w:tcPr>
          <w:p w14:paraId="6CC86629" w14:textId="77777777" w:rsidR="00E90DC7" w:rsidRPr="00D61F73" w:rsidRDefault="00E90DC7" w:rsidP="00D61F73">
            <w:pPr>
              <w:rPr>
                <w:rFonts w:ascii="Arial" w:hAnsi="Arial" w:cs="Arial"/>
                <w:u w:val="single"/>
              </w:rPr>
            </w:pPr>
            <w:r w:rsidRPr="00D61F73">
              <w:rPr>
                <w:rFonts w:ascii="Arial" w:hAnsi="Arial" w:cs="Arial"/>
                <w:u w:val="single"/>
              </w:rPr>
              <w:t xml:space="preserve">Narcotics </w:t>
            </w:r>
          </w:p>
        </w:tc>
        <w:tc>
          <w:tcPr>
            <w:tcW w:w="3912" w:type="pct"/>
            <w:shd w:val="clear" w:color="auto" w:fill="auto"/>
          </w:tcPr>
          <w:p w14:paraId="5F04143A" w14:textId="79FC5CD7" w:rsidR="00E90DC7" w:rsidRPr="00D61F73" w:rsidRDefault="00E90DC7" w:rsidP="00D61F73">
            <w:pPr>
              <w:rPr>
                <w:rFonts w:ascii="Arial" w:hAnsi="Arial" w:cs="Arial"/>
                <w:u w:val="single"/>
              </w:rPr>
            </w:pPr>
            <w:r w:rsidRPr="00D61F73">
              <w:rPr>
                <w:rFonts w:ascii="Arial" w:hAnsi="Arial" w:cs="Arial"/>
              </w:rPr>
              <w:t xml:space="preserve">Refer to the </w:t>
            </w:r>
            <w:r w:rsidR="00045563" w:rsidRPr="00D61F73">
              <w:rPr>
                <w:rFonts w:ascii="Arial" w:hAnsi="Arial" w:cs="Arial"/>
              </w:rPr>
              <w:t xml:space="preserve">MTUS Opioids Treatment Guidelines </w:t>
            </w:r>
            <w:r w:rsidRPr="00D61F73">
              <w:rPr>
                <w:rFonts w:ascii="Arial" w:hAnsi="Arial" w:cs="Arial"/>
                <w:bCs/>
              </w:rPr>
              <w:t xml:space="preserve">for information and </w:t>
            </w:r>
            <w:r w:rsidRPr="00D61F73">
              <w:rPr>
                <w:rFonts w:ascii="Arial" w:hAnsi="Arial" w:cs="Arial"/>
                <w:bCs/>
              </w:rPr>
              <w:lastRenderedPageBreak/>
              <w:t>recommendations;</w:t>
            </w:r>
          </w:p>
        </w:tc>
      </w:tr>
      <w:tr w:rsidR="00E90DC7" w:rsidRPr="00D61F73" w14:paraId="0362C94A" w14:textId="77777777" w:rsidTr="0038137E">
        <w:tc>
          <w:tcPr>
            <w:tcW w:w="1088" w:type="pct"/>
            <w:shd w:val="clear" w:color="auto" w:fill="auto"/>
          </w:tcPr>
          <w:p w14:paraId="2D31956C" w14:textId="77777777" w:rsidR="00E90DC7" w:rsidRPr="00D61F73" w:rsidRDefault="00E90DC7" w:rsidP="00D61F73">
            <w:pPr>
              <w:rPr>
                <w:rFonts w:ascii="Arial" w:hAnsi="Arial" w:cs="Arial"/>
              </w:rPr>
            </w:pPr>
            <w:r w:rsidRPr="00D61F73">
              <w:rPr>
                <w:rFonts w:ascii="Arial" w:hAnsi="Arial" w:cs="Arial"/>
              </w:rPr>
              <w:lastRenderedPageBreak/>
              <w:t>Nausea</w:t>
            </w:r>
          </w:p>
        </w:tc>
        <w:tc>
          <w:tcPr>
            <w:tcW w:w="3912" w:type="pct"/>
            <w:shd w:val="clear" w:color="auto" w:fill="auto"/>
          </w:tcPr>
          <w:p w14:paraId="623E1970" w14:textId="77777777" w:rsidR="00E90DC7" w:rsidRPr="00D61F73" w:rsidRDefault="00E90DC7" w:rsidP="00D61F73">
            <w:pPr>
              <w:rPr>
                <w:rFonts w:ascii="Arial" w:hAnsi="Arial" w:cs="Arial"/>
                <w:u w:val="single"/>
              </w:rPr>
            </w:pPr>
            <w:r w:rsidRPr="00D61F73">
              <w:rPr>
                <w:rFonts w:ascii="Arial" w:hAnsi="Arial" w:cs="Arial"/>
                <w:u w:val="single"/>
              </w:rPr>
              <w:t xml:space="preserve">See </w:t>
            </w:r>
            <w:hyperlink w:anchor="Antiemetics" w:history="1">
              <w:r w:rsidRPr="00D61F73">
                <w:rPr>
                  <w:rStyle w:val="Hyperlink"/>
                  <w:rFonts w:ascii="Arial" w:hAnsi="Arial" w:cs="Arial"/>
                </w:rPr>
                <w:t>Antiemetics</w:t>
              </w:r>
            </w:hyperlink>
            <w:r w:rsidRPr="00D61F73">
              <w:rPr>
                <w:rFonts w:ascii="Arial" w:hAnsi="Arial" w:cs="Arial"/>
                <w:u w:val="single"/>
              </w:rPr>
              <w:t xml:space="preserve"> (for opioid nausea).</w:t>
            </w:r>
          </w:p>
        </w:tc>
      </w:tr>
      <w:tr w:rsidR="00E90DC7" w:rsidRPr="00D61F73" w14:paraId="2C678972" w14:textId="77777777" w:rsidTr="0038137E">
        <w:tc>
          <w:tcPr>
            <w:tcW w:w="1088" w:type="pct"/>
            <w:shd w:val="clear" w:color="auto" w:fill="auto"/>
          </w:tcPr>
          <w:p w14:paraId="7FD0C910" w14:textId="77777777" w:rsidR="00E90DC7" w:rsidRPr="00D61F73" w:rsidRDefault="00E90DC7" w:rsidP="00D61F73">
            <w:pPr>
              <w:rPr>
                <w:rFonts w:ascii="Arial" w:hAnsi="Arial" w:cs="Arial"/>
              </w:rPr>
            </w:pPr>
            <w:r w:rsidRPr="00D61F73">
              <w:rPr>
                <w:rFonts w:ascii="Arial" w:hAnsi="Arial" w:cs="Arial"/>
              </w:rPr>
              <w:t>Nerve blocks</w:t>
            </w:r>
          </w:p>
        </w:tc>
        <w:tc>
          <w:tcPr>
            <w:tcW w:w="3912" w:type="pct"/>
            <w:shd w:val="clear" w:color="auto" w:fill="auto"/>
          </w:tcPr>
          <w:p w14:paraId="07BE58F6" w14:textId="77777777" w:rsidR="00E90DC7" w:rsidRPr="00D61F73" w:rsidRDefault="00E90DC7" w:rsidP="00D61F73">
            <w:pPr>
              <w:rPr>
                <w:rFonts w:ascii="Arial" w:hAnsi="Arial" w:cs="Arial"/>
              </w:rPr>
            </w:pPr>
            <w:r w:rsidRPr="00D61F73">
              <w:rPr>
                <w:rFonts w:ascii="Arial" w:hAnsi="Arial" w:cs="Arial"/>
              </w:rPr>
              <w:t xml:space="preserve">See </w:t>
            </w:r>
            <w:hyperlink w:anchor="Intravenousregionalsympatheticblocks" w:history="1">
              <w:r w:rsidRPr="00D61F73">
                <w:rPr>
                  <w:rStyle w:val="Hyperlink"/>
                  <w:rFonts w:ascii="Arial" w:hAnsi="Arial" w:cs="Arial"/>
                </w:rPr>
                <w:t>Intravenous regional sympathetic blocks</w:t>
              </w:r>
            </w:hyperlink>
            <w:r w:rsidRPr="00D61F73">
              <w:rPr>
                <w:rFonts w:ascii="Arial" w:hAnsi="Arial" w:cs="Arial"/>
              </w:rPr>
              <w:t xml:space="preserve"> (for RSD, nerve blocks).</w:t>
            </w:r>
          </w:p>
        </w:tc>
      </w:tr>
      <w:tr w:rsidR="00E90DC7" w:rsidRPr="00D61F73" w14:paraId="1B862972" w14:textId="77777777" w:rsidTr="0038137E">
        <w:tc>
          <w:tcPr>
            <w:tcW w:w="1088" w:type="pct"/>
            <w:shd w:val="clear" w:color="auto" w:fill="auto"/>
          </w:tcPr>
          <w:p w14:paraId="1B10971C" w14:textId="77777777" w:rsidR="00E90DC7" w:rsidRPr="00D61F73" w:rsidRDefault="00E90DC7" w:rsidP="00D61F73">
            <w:pPr>
              <w:rPr>
                <w:rFonts w:ascii="Arial" w:hAnsi="Arial" w:cs="Arial"/>
              </w:rPr>
            </w:pPr>
            <w:r w:rsidRPr="00D61F73">
              <w:rPr>
                <w:rFonts w:ascii="Arial" w:hAnsi="Arial" w:cs="Arial"/>
              </w:rPr>
              <w:t>Nerve conduction studies (NCS)</w:t>
            </w:r>
          </w:p>
        </w:tc>
        <w:tc>
          <w:tcPr>
            <w:tcW w:w="3912" w:type="pct"/>
            <w:shd w:val="clear" w:color="auto" w:fill="auto"/>
          </w:tcPr>
          <w:p w14:paraId="6681C597" w14:textId="77777777" w:rsidR="00E90DC7" w:rsidRPr="00D61F73" w:rsidRDefault="00E90DC7" w:rsidP="00D61F73">
            <w:pPr>
              <w:rPr>
                <w:rFonts w:ascii="Arial" w:hAnsi="Arial" w:cs="Arial"/>
              </w:rPr>
            </w:pPr>
            <w:r w:rsidRPr="00D61F73">
              <w:rPr>
                <w:rFonts w:ascii="Arial" w:hAnsi="Arial" w:cs="Arial"/>
              </w:rPr>
              <w:t xml:space="preserve">See </w:t>
            </w:r>
            <w:hyperlink w:anchor="Electrodiagnostictesting" w:history="1">
              <w:r w:rsidRPr="00D61F73">
                <w:rPr>
                  <w:rStyle w:val="Hyperlink"/>
                  <w:rFonts w:ascii="Arial" w:hAnsi="Arial" w:cs="Arial"/>
                </w:rPr>
                <w:t>Electrodiagnostic testing</w:t>
              </w:r>
            </w:hyperlink>
            <w:r w:rsidRPr="00D61F73">
              <w:rPr>
                <w:rFonts w:ascii="Arial" w:hAnsi="Arial" w:cs="Arial"/>
              </w:rPr>
              <w:t xml:space="preserve"> (EMG/NCS).</w:t>
            </w:r>
          </w:p>
        </w:tc>
      </w:tr>
      <w:tr w:rsidR="00E90DC7" w:rsidRPr="00D61F73" w14:paraId="31FCE693" w14:textId="77777777" w:rsidTr="0038137E">
        <w:tc>
          <w:tcPr>
            <w:tcW w:w="1088" w:type="pct"/>
            <w:shd w:val="clear" w:color="auto" w:fill="auto"/>
          </w:tcPr>
          <w:p w14:paraId="04F0A9FF" w14:textId="77777777" w:rsidR="00E90DC7" w:rsidRPr="00D61F73" w:rsidRDefault="00E90DC7" w:rsidP="00D61F73">
            <w:pPr>
              <w:rPr>
                <w:rFonts w:ascii="Arial" w:hAnsi="Arial" w:cs="Arial"/>
              </w:rPr>
            </w:pPr>
            <w:r w:rsidRPr="00D61F73">
              <w:rPr>
                <w:rFonts w:ascii="Arial" w:hAnsi="Arial" w:cs="Arial"/>
              </w:rPr>
              <w:t>N</w:t>
            </w:r>
            <w:bookmarkStart w:id="330" w:name="Neuroreflexotherapy"/>
            <w:bookmarkEnd w:id="330"/>
            <w:r w:rsidRPr="00D61F73">
              <w:rPr>
                <w:rFonts w:ascii="Arial" w:hAnsi="Arial" w:cs="Arial"/>
              </w:rPr>
              <w:t xml:space="preserve">euroreflexotherapy </w:t>
            </w:r>
          </w:p>
        </w:tc>
        <w:tc>
          <w:tcPr>
            <w:tcW w:w="3912" w:type="pct"/>
            <w:shd w:val="clear" w:color="auto" w:fill="auto"/>
          </w:tcPr>
          <w:p w14:paraId="1FB65C3A" w14:textId="77777777" w:rsidR="00E90DC7" w:rsidRPr="00D61F73" w:rsidRDefault="00E90DC7" w:rsidP="00D61F73">
            <w:pPr>
              <w:rPr>
                <w:rFonts w:ascii="Arial" w:hAnsi="Arial" w:cs="Arial"/>
              </w:rPr>
            </w:pPr>
            <w:r w:rsidRPr="00D61F73">
              <w:rPr>
                <w:rFonts w:ascii="Arial" w:hAnsi="Arial" w:cs="Arial"/>
              </w:rPr>
              <w:t xml:space="preserve">Not recommended in the U.S. until specifically trained and experienced clinicians are available. </w:t>
            </w:r>
          </w:p>
        </w:tc>
      </w:tr>
      <w:tr w:rsidR="00E90DC7" w:rsidRPr="00D61F73" w14:paraId="1012C9F3" w14:textId="77777777" w:rsidTr="0038137E">
        <w:tc>
          <w:tcPr>
            <w:tcW w:w="1088" w:type="pct"/>
            <w:shd w:val="clear" w:color="auto" w:fill="auto"/>
          </w:tcPr>
          <w:p w14:paraId="4E267682" w14:textId="77777777" w:rsidR="00E90DC7" w:rsidRPr="00D61F73" w:rsidRDefault="00E90DC7" w:rsidP="00D61F73">
            <w:pPr>
              <w:rPr>
                <w:rFonts w:ascii="Arial" w:hAnsi="Arial" w:cs="Arial"/>
              </w:rPr>
            </w:pPr>
            <w:r w:rsidRPr="00D61F73">
              <w:rPr>
                <w:rFonts w:ascii="Arial" w:hAnsi="Arial" w:cs="Arial"/>
              </w:rPr>
              <w:t>Neurometer®</w:t>
            </w:r>
          </w:p>
        </w:tc>
        <w:tc>
          <w:tcPr>
            <w:tcW w:w="3912" w:type="pct"/>
            <w:shd w:val="clear" w:color="auto" w:fill="auto"/>
          </w:tcPr>
          <w:p w14:paraId="349D42A7" w14:textId="77777777" w:rsidR="00E90DC7" w:rsidRPr="00D61F73" w:rsidRDefault="00E90DC7" w:rsidP="00D61F73">
            <w:pPr>
              <w:rPr>
                <w:rFonts w:ascii="Arial" w:hAnsi="Arial" w:cs="Arial"/>
              </w:rPr>
            </w:pPr>
            <w:r w:rsidRPr="00D61F73">
              <w:rPr>
                <w:rFonts w:ascii="Arial" w:hAnsi="Arial" w:cs="Arial"/>
              </w:rPr>
              <w:t xml:space="preserve">See </w:t>
            </w:r>
            <w:hyperlink w:anchor="Currentperceptionthreshold" w:history="1">
              <w:r w:rsidRPr="00D61F73">
                <w:rPr>
                  <w:rStyle w:val="Hyperlink"/>
                  <w:rFonts w:ascii="Arial" w:hAnsi="Arial" w:cs="Arial"/>
                </w:rPr>
                <w:t>Current perception threshold</w:t>
              </w:r>
            </w:hyperlink>
            <w:r w:rsidRPr="00D61F73">
              <w:rPr>
                <w:rFonts w:ascii="Arial" w:hAnsi="Arial" w:cs="Arial"/>
              </w:rPr>
              <w:t xml:space="preserve"> (CPT) testing.</w:t>
            </w:r>
          </w:p>
        </w:tc>
      </w:tr>
      <w:tr w:rsidR="00E90DC7" w:rsidRPr="00D61F73" w14:paraId="3985D354" w14:textId="77777777" w:rsidTr="0038137E">
        <w:tc>
          <w:tcPr>
            <w:tcW w:w="1088" w:type="pct"/>
            <w:shd w:val="clear" w:color="auto" w:fill="auto"/>
          </w:tcPr>
          <w:p w14:paraId="3BDA3B7B" w14:textId="77777777" w:rsidR="00E90DC7" w:rsidRPr="00D61F73" w:rsidRDefault="00E90DC7" w:rsidP="00D61F73">
            <w:pPr>
              <w:rPr>
                <w:rFonts w:ascii="Arial" w:hAnsi="Arial" w:cs="Arial"/>
              </w:rPr>
            </w:pPr>
            <w:r w:rsidRPr="00D61F73">
              <w:rPr>
                <w:rFonts w:ascii="Arial" w:hAnsi="Arial" w:cs="Arial"/>
              </w:rPr>
              <w:t>Neuromodulation devices</w:t>
            </w:r>
          </w:p>
        </w:tc>
        <w:tc>
          <w:tcPr>
            <w:tcW w:w="3912" w:type="pct"/>
            <w:shd w:val="clear" w:color="auto" w:fill="auto"/>
          </w:tcPr>
          <w:p w14:paraId="3E28AD1C" w14:textId="77777777" w:rsidR="00E90DC7" w:rsidRPr="00D61F73" w:rsidRDefault="00E90DC7" w:rsidP="00D61F73">
            <w:pPr>
              <w:rPr>
                <w:rFonts w:ascii="Arial" w:hAnsi="Arial" w:cs="Arial"/>
              </w:rPr>
            </w:pPr>
            <w:r w:rsidRPr="00D61F73">
              <w:rPr>
                <w:rFonts w:ascii="Arial" w:hAnsi="Arial" w:cs="Arial"/>
              </w:rPr>
              <w:t xml:space="preserve">See </w:t>
            </w:r>
            <w:hyperlink w:anchor="SpinalCordStimulators" w:history="1">
              <w:r w:rsidRPr="00D61F73">
                <w:rPr>
                  <w:rStyle w:val="Hyperlink"/>
                  <w:rFonts w:ascii="Arial" w:hAnsi="Arial" w:cs="Arial"/>
                </w:rPr>
                <w:t>Spinal cord stimulators</w:t>
              </w:r>
            </w:hyperlink>
            <w:r w:rsidRPr="00D61F73">
              <w:rPr>
                <w:rFonts w:ascii="Arial" w:hAnsi="Arial" w:cs="Arial"/>
              </w:rPr>
              <w:t xml:space="preserve">. </w:t>
            </w:r>
          </w:p>
        </w:tc>
      </w:tr>
      <w:tr w:rsidR="00E90DC7" w:rsidRPr="00D61F73" w14:paraId="6BD41CCE" w14:textId="77777777" w:rsidTr="0038137E">
        <w:tc>
          <w:tcPr>
            <w:tcW w:w="1088" w:type="pct"/>
            <w:shd w:val="clear" w:color="auto" w:fill="auto"/>
          </w:tcPr>
          <w:p w14:paraId="5E091448" w14:textId="77777777" w:rsidR="00E90DC7" w:rsidRPr="00D61F73" w:rsidRDefault="00E90DC7" w:rsidP="00D61F73">
            <w:pPr>
              <w:rPr>
                <w:rFonts w:ascii="Arial" w:hAnsi="Arial" w:cs="Arial"/>
              </w:rPr>
            </w:pPr>
            <w:r w:rsidRPr="00D61F73">
              <w:rPr>
                <w:rFonts w:ascii="Arial" w:hAnsi="Arial" w:cs="Arial"/>
              </w:rPr>
              <w:t>N</w:t>
            </w:r>
            <w:bookmarkStart w:id="331" w:name="Neuromuscularelecticalstim"/>
            <w:bookmarkEnd w:id="331"/>
            <w:r w:rsidRPr="00D61F73">
              <w:rPr>
                <w:rFonts w:ascii="Arial" w:hAnsi="Arial" w:cs="Arial"/>
              </w:rPr>
              <w:t>euromuscular electrical stimulation (NMES devices)</w:t>
            </w:r>
          </w:p>
        </w:tc>
        <w:tc>
          <w:tcPr>
            <w:tcW w:w="3912" w:type="pct"/>
            <w:shd w:val="clear" w:color="auto" w:fill="auto"/>
          </w:tcPr>
          <w:p w14:paraId="1D5BF509" w14:textId="77777777" w:rsidR="00E90DC7" w:rsidRPr="00D61F73" w:rsidRDefault="00E90DC7" w:rsidP="00D61F73">
            <w:pPr>
              <w:rPr>
                <w:rFonts w:ascii="Arial" w:hAnsi="Arial" w:cs="Arial"/>
              </w:rPr>
            </w:pPr>
            <w:r w:rsidRPr="00D61F73">
              <w:rPr>
                <w:rFonts w:ascii="Arial" w:hAnsi="Arial" w:cs="Arial"/>
              </w:rPr>
              <w:t>Not recommended. NMES is used primarily as part of a rehabilitation program following stroke and there is no evidence to support its use in chronic pain. There are no intervention trials suggesting benefit from NMES for chronic pain. (</w:t>
            </w:r>
            <w:hyperlink w:anchor="Moore" w:history="1">
              <w:r w:rsidRPr="00D61F73">
                <w:rPr>
                  <w:rStyle w:val="Hyperlink"/>
                  <w:rFonts w:ascii="Arial" w:hAnsi="Arial" w:cs="Arial"/>
                </w:rPr>
                <w:t>Moore, 1997</w:t>
              </w:r>
            </w:hyperlink>
            <w:r w:rsidRPr="00D61F73">
              <w:rPr>
                <w:rFonts w:ascii="Arial" w:hAnsi="Arial" w:cs="Arial"/>
              </w:rPr>
              <w:t>) (</w:t>
            </w:r>
            <w:hyperlink w:anchor="Gaines" w:history="1">
              <w:r w:rsidRPr="00D61F73">
                <w:rPr>
                  <w:rStyle w:val="Hyperlink"/>
                  <w:rFonts w:ascii="Arial" w:hAnsi="Arial" w:cs="Arial"/>
                </w:rPr>
                <w:t>Gaines, 2004</w:t>
              </w:r>
            </w:hyperlink>
            <w:r w:rsidRPr="00D61F73">
              <w:rPr>
                <w:rFonts w:ascii="Arial" w:hAnsi="Arial" w:cs="Arial"/>
              </w:rPr>
              <w:t>) The scientific evidence related to electromyography (EMG)-triggered electrical stimulation therapy continues to evolve, and this therapy appears to be useful in a supervised physical therapy setting to rehabilitate atrophied upper extremity muscles following stroke and as part of a comprehensive PT program. Neuromuscular Electrical Stimulation Devices (NMES), NMES, through multiple channels, attempts to stimulate motor nerves and alternately causes contraction and relaxation of muscles, unlike a TENS device which is intended to alter the perception of pain. NMES devices are used to prevent or retard disuse atrophy, relax muscle spasm, increase blood circulation, maintain or increase range-of-motion, and re-educate muscles. Functional neuromuscular stimulation (also called electrical neuromuscular stimulation and EMG-triggered neuromuscular stimulation) attempts to replace stimuli from destroyed nerve pathways with computer-controlled sequential electrical stimulation of muscles to enable spinal-cord-injured or stroke patients to function independently, or at least maintain healthy muscle tone and strength. Also used to stimulate quadriceps muscles following major knee surgeries to maintain and enhance strength during rehabilitation. (</w:t>
            </w:r>
            <w:hyperlink w:anchor="BlueCrossBlueShield5" w:history="1">
              <w:r w:rsidRPr="00D61F73">
                <w:rPr>
                  <w:rStyle w:val="Hyperlink"/>
                  <w:rFonts w:ascii="Arial" w:hAnsi="Arial" w:cs="Arial"/>
                </w:rPr>
                <w:t>BlueCross BlueShield, 2005</w:t>
              </w:r>
            </w:hyperlink>
            <w:r w:rsidRPr="00D61F73">
              <w:rPr>
                <w:rFonts w:ascii="Arial" w:hAnsi="Arial" w:cs="Arial"/>
              </w:rPr>
              <w:t>) (</w:t>
            </w:r>
            <w:hyperlink w:anchor="Aetna2" w:history="1">
              <w:r w:rsidRPr="00D61F73">
                <w:rPr>
                  <w:rStyle w:val="Hyperlink"/>
                  <w:rFonts w:ascii="Arial" w:hAnsi="Arial" w:cs="Arial"/>
                </w:rPr>
                <w:t>Aetna, 2005</w:t>
              </w:r>
            </w:hyperlink>
            <w:r w:rsidRPr="00D61F73">
              <w:rPr>
                <w:rFonts w:ascii="Arial" w:hAnsi="Arial" w:cs="Arial"/>
              </w:rPr>
              <w:t>)</w:t>
            </w:r>
          </w:p>
        </w:tc>
      </w:tr>
      <w:tr w:rsidR="00E90DC7" w:rsidRPr="00D61F73" w14:paraId="7B6990F4" w14:textId="77777777" w:rsidTr="0038137E">
        <w:tc>
          <w:tcPr>
            <w:tcW w:w="1088" w:type="pct"/>
            <w:shd w:val="clear" w:color="auto" w:fill="auto"/>
          </w:tcPr>
          <w:p w14:paraId="4361F010" w14:textId="77777777" w:rsidR="00E90DC7" w:rsidRPr="00D61F73" w:rsidRDefault="00E90DC7" w:rsidP="00D61F73">
            <w:pPr>
              <w:rPr>
                <w:rFonts w:ascii="Arial" w:hAnsi="Arial" w:cs="Arial"/>
              </w:rPr>
            </w:pPr>
            <w:r w:rsidRPr="00D61F73">
              <w:rPr>
                <w:rFonts w:ascii="Arial" w:hAnsi="Arial" w:cs="Arial"/>
              </w:rPr>
              <w:t>Neurontin® (gabapentin)</w:t>
            </w:r>
          </w:p>
        </w:tc>
        <w:tc>
          <w:tcPr>
            <w:tcW w:w="3912" w:type="pct"/>
            <w:shd w:val="clear" w:color="auto" w:fill="auto"/>
          </w:tcPr>
          <w:p w14:paraId="1F437EF0" w14:textId="77777777" w:rsidR="00E90DC7" w:rsidRPr="00D61F73" w:rsidRDefault="00E90DC7" w:rsidP="00D61F73">
            <w:pPr>
              <w:rPr>
                <w:rFonts w:ascii="Arial" w:hAnsi="Arial" w:cs="Arial"/>
              </w:rPr>
            </w:pPr>
            <w:r w:rsidRPr="00D61F73">
              <w:rPr>
                <w:rFonts w:ascii="Arial" w:hAnsi="Arial" w:cs="Arial"/>
              </w:rPr>
              <w:t xml:space="preserve">Neurontin® is a brand name for gabapentin produced by Pfizer subsidiary Parke-Davis. See </w:t>
            </w:r>
            <w:hyperlink w:anchor="Gabapentin" w:history="1">
              <w:r w:rsidRPr="00D61F73">
                <w:rPr>
                  <w:rStyle w:val="Hyperlink"/>
                  <w:rFonts w:ascii="Arial" w:hAnsi="Arial" w:cs="Arial"/>
                </w:rPr>
                <w:t>Gabapentin</w:t>
              </w:r>
            </w:hyperlink>
            <w:r w:rsidRPr="00D61F73">
              <w:rPr>
                <w:rFonts w:ascii="Arial" w:hAnsi="Arial" w:cs="Arial"/>
              </w:rPr>
              <w:t xml:space="preserve">. </w:t>
            </w:r>
          </w:p>
        </w:tc>
      </w:tr>
      <w:tr w:rsidR="00E90DC7" w:rsidRPr="00D61F73" w14:paraId="00DD2630" w14:textId="77777777" w:rsidTr="0038137E">
        <w:tc>
          <w:tcPr>
            <w:tcW w:w="1088" w:type="pct"/>
            <w:shd w:val="clear" w:color="auto" w:fill="auto"/>
          </w:tcPr>
          <w:p w14:paraId="1BEAE3B1" w14:textId="77777777" w:rsidR="00E90DC7" w:rsidRPr="00D61F73" w:rsidRDefault="00E90DC7" w:rsidP="00D61F73">
            <w:pPr>
              <w:rPr>
                <w:rFonts w:ascii="Arial" w:hAnsi="Arial" w:cs="Arial"/>
              </w:rPr>
            </w:pPr>
            <w:r w:rsidRPr="00D61F73">
              <w:rPr>
                <w:rFonts w:ascii="Arial" w:hAnsi="Arial" w:cs="Arial"/>
              </w:rPr>
              <w:t>NeuroPhysiologic Pain Profile (NP3)</w:t>
            </w:r>
          </w:p>
        </w:tc>
        <w:tc>
          <w:tcPr>
            <w:tcW w:w="3912" w:type="pct"/>
            <w:shd w:val="clear" w:color="auto" w:fill="auto"/>
          </w:tcPr>
          <w:p w14:paraId="1D2DCB4E" w14:textId="57092AEB" w:rsidR="00E90DC7" w:rsidRPr="00D61F73" w:rsidRDefault="00E90DC7" w:rsidP="00D61F73">
            <w:pPr>
              <w:rPr>
                <w:rFonts w:ascii="Arial" w:hAnsi="Arial" w:cs="Arial"/>
              </w:rPr>
            </w:pPr>
            <w:r w:rsidRPr="00D61F73">
              <w:rPr>
                <w:rFonts w:ascii="Arial" w:hAnsi="Arial" w:cs="Arial"/>
              </w:rPr>
              <w:t xml:space="preserve">Not recommended. There are no published studies. A private company NeuroPAS developed the NeuroPhysiological Pain Profile, or the NP3, and is trying to market it. For other tests, see </w:t>
            </w:r>
            <w:hyperlink w:anchor="Psychologicalevaluations" w:history="1">
              <w:r w:rsidRPr="00D61F73">
                <w:rPr>
                  <w:rStyle w:val="Hyperlink"/>
                  <w:rFonts w:ascii="Arial" w:hAnsi="Arial" w:cs="Arial"/>
                </w:rPr>
                <w:t>Psychological evaluations</w:t>
              </w:r>
            </w:hyperlink>
            <w:r w:rsidRPr="00D61F73">
              <w:rPr>
                <w:rFonts w:ascii="Arial" w:hAnsi="Arial" w:cs="Arial"/>
              </w:rPr>
              <w:t xml:space="preserve">; </w:t>
            </w:r>
            <w:hyperlink w:anchor="CytokineDNAtesting" w:history="1">
              <w:r w:rsidRPr="00D61F73">
                <w:rPr>
                  <w:rStyle w:val="Hyperlink"/>
                  <w:rFonts w:ascii="Arial" w:hAnsi="Arial" w:cs="Arial"/>
                </w:rPr>
                <w:t>Cytokine DNA testing</w:t>
              </w:r>
            </w:hyperlink>
            <w:r w:rsidRPr="00D61F73">
              <w:rPr>
                <w:rFonts w:ascii="Arial" w:hAnsi="Arial" w:cs="Arial"/>
              </w:rPr>
              <w:t xml:space="preserve">; </w:t>
            </w:r>
            <w:hyperlink w:anchor="Functionalimagingofbrainresponsestopain" w:history="1">
              <w:r w:rsidRPr="00D61F73">
                <w:rPr>
                  <w:rStyle w:val="Hyperlink"/>
                  <w:rFonts w:ascii="Arial" w:hAnsi="Arial" w:cs="Arial"/>
                </w:rPr>
                <w:t>Functional imaging of brain responses to pain</w:t>
              </w:r>
            </w:hyperlink>
            <w:r w:rsidRPr="00D61F73">
              <w:rPr>
                <w:rFonts w:ascii="Arial" w:hAnsi="Arial" w:cs="Arial"/>
              </w:rPr>
              <w:t xml:space="preserve">; </w:t>
            </w:r>
            <w:hyperlink w:anchor="CRPSdiagnostictests" w:history="1">
              <w:r w:rsidRPr="00D61F73">
                <w:rPr>
                  <w:rStyle w:val="Hyperlink"/>
                  <w:rFonts w:ascii="Arial" w:hAnsi="Arial" w:cs="Arial"/>
                </w:rPr>
                <w:t>CRPS, diagnostic tests</w:t>
              </w:r>
            </w:hyperlink>
            <w:r w:rsidRPr="00D61F73">
              <w:rPr>
                <w:rFonts w:ascii="Arial" w:hAnsi="Arial" w:cs="Arial"/>
              </w:rPr>
              <w:t xml:space="preserve">; </w:t>
            </w:r>
            <w:hyperlink w:anchor="QST" w:history="1">
              <w:r w:rsidRPr="002F6455">
                <w:rPr>
                  <w:rStyle w:val="Hyperlink"/>
                  <w:rFonts w:ascii="Arial" w:hAnsi="Arial" w:cs="Arial"/>
                </w:rPr>
                <w:t>Quantitative sensory threshold</w:t>
              </w:r>
            </w:hyperlink>
            <w:r w:rsidRPr="00D61F73">
              <w:rPr>
                <w:rFonts w:ascii="Arial" w:hAnsi="Arial" w:cs="Arial"/>
              </w:rPr>
              <w:t xml:space="preserve"> (QST) testing; </w:t>
            </w:r>
            <w:hyperlink w:anchor="Currentperceptionthreshold" w:history="1">
              <w:r w:rsidRPr="00D61F73">
                <w:rPr>
                  <w:rStyle w:val="Hyperlink"/>
                  <w:rFonts w:ascii="Arial" w:hAnsi="Arial" w:cs="Arial"/>
                </w:rPr>
                <w:t>Current perception threshold</w:t>
              </w:r>
            </w:hyperlink>
            <w:r w:rsidRPr="00D61F73">
              <w:rPr>
                <w:rFonts w:ascii="Arial" w:hAnsi="Arial" w:cs="Arial"/>
              </w:rPr>
              <w:t xml:space="preserve"> (CPT) testing; </w:t>
            </w:r>
            <w:hyperlink w:anchor="Genetictestingforpotentialopioidabuse" w:history="1">
              <w:r w:rsidRPr="00D61F73">
                <w:rPr>
                  <w:rStyle w:val="Hyperlink"/>
                  <w:rFonts w:ascii="Arial" w:hAnsi="Arial" w:cs="Arial"/>
                </w:rPr>
                <w:t>Genetic testing for potential opioid abuse</w:t>
              </w:r>
            </w:hyperlink>
            <w:r w:rsidRPr="00D61F73">
              <w:rPr>
                <w:rFonts w:ascii="Arial" w:hAnsi="Arial" w:cs="Arial"/>
              </w:rPr>
              <w:t>.</w:t>
            </w:r>
          </w:p>
        </w:tc>
      </w:tr>
      <w:tr w:rsidR="00E90DC7" w:rsidRPr="00D61F73" w14:paraId="238B8E41" w14:textId="77777777" w:rsidTr="0038137E">
        <w:tc>
          <w:tcPr>
            <w:tcW w:w="1088" w:type="pct"/>
            <w:shd w:val="clear" w:color="auto" w:fill="auto"/>
          </w:tcPr>
          <w:p w14:paraId="3F0EB16A" w14:textId="77777777" w:rsidR="00E90DC7" w:rsidRPr="00D61F73" w:rsidRDefault="00E90DC7" w:rsidP="00D61F73">
            <w:pPr>
              <w:rPr>
                <w:rFonts w:ascii="Arial" w:hAnsi="Arial" w:cs="Arial"/>
              </w:rPr>
            </w:pPr>
            <w:r w:rsidRPr="00D61F73">
              <w:rPr>
                <w:rFonts w:ascii="Arial" w:hAnsi="Arial" w:cs="Arial"/>
              </w:rPr>
              <w:t>Nexium® (esomeprazole magnesium)</w:t>
            </w:r>
          </w:p>
        </w:tc>
        <w:tc>
          <w:tcPr>
            <w:tcW w:w="3912" w:type="pct"/>
            <w:shd w:val="clear" w:color="auto" w:fill="auto"/>
          </w:tcPr>
          <w:p w14:paraId="31B90F45" w14:textId="00537DCF" w:rsidR="00E90DC7" w:rsidRPr="00D61F73" w:rsidRDefault="00AF7A68" w:rsidP="00D61F73">
            <w:pPr>
              <w:rPr>
                <w:rFonts w:ascii="Arial" w:hAnsi="Arial" w:cs="Arial"/>
              </w:rPr>
            </w:pPr>
            <w:r w:rsidRPr="00D61F73">
              <w:rPr>
                <w:rFonts w:ascii="Arial" w:hAnsi="Arial" w:cs="Arial"/>
              </w:rPr>
              <w:t xml:space="preserve">Recommended since PPIs are all approximately equivalent clinically and OTC Nexium is more </w:t>
            </w:r>
            <w:r w:rsidR="00F74A0D" w:rsidRPr="00D61F73">
              <w:rPr>
                <w:rFonts w:ascii="Arial" w:hAnsi="Arial" w:cs="Arial"/>
              </w:rPr>
              <w:t>accessible</w:t>
            </w:r>
            <w:r w:rsidRPr="00D61F73">
              <w:rPr>
                <w:rFonts w:ascii="Arial" w:hAnsi="Arial" w:cs="Arial"/>
              </w:rPr>
              <w:t xml:space="preserve"> and economical than prescription PPIs. </w:t>
            </w:r>
            <w:r w:rsidR="00E90DC7" w:rsidRPr="00D61F73">
              <w:rPr>
                <w:rFonts w:ascii="Arial" w:hAnsi="Arial" w:cs="Arial"/>
              </w:rPr>
              <w:t xml:space="preserve">See </w:t>
            </w:r>
            <w:hyperlink w:anchor="Protonpumpinhibitors" w:history="1">
              <w:r w:rsidR="00E90DC7" w:rsidRPr="00D61F73">
                <w:rPr>
                  <w:rStyle w:val="Hyperlink"/>
                  <w:rFonts w:ascii="Arial" w:hAnsi="Arial" w:cs="Arial"/>
                </w:rPr>
                <w:t>Proton pump inhibitors</w:t>
              </w:r>
            </w:hyperlink>
            <w:r w:rsidRPr="00D61F73">
              <w:rPr>
                <w:rFonts w:ascii="Arial" w:hAnsi="Arial" w:cs="Arial"/>
              </w:rPr>
              <w:t xml:space="preserve"> (PPIs). The FDA has approved generic esomeprazole (</w:t>
            </w:r>
            <w:hyperlink r:id="rId124" w:history="1">
              <w:r w:rsidRPr="00D61F73">
                <w:rPr>
                  <w:rStyle w:val="Hyperlink"/>
                  <w:rFonts w:ascii="Arial" w:hAnsi="Arial" w:cs="Arial"/>
                </w:rPr>
                <w:t>FDA, 2015</w:t>
              </w:r>
            </w:hyperlink>
            <w:r w:rsidRPr="00D61F73">
              <w:rPr>
                <w:rFonts w:ascii="Arial" w:hAnsi="Arial" w:cs="Arial"/>
              </w:rPr>
              <w:t>), and they have approved prescription to over-the-counter (OTC) switch. (</w:t>
            </w:r>
            <w:hyperlink r:id="rId125" w:history="1">
              <w:r w:rsidRPr="00D61F73">
                <w:rPr>
                  <w:rStyle w:val="Hyperlink"/>
                  <w:rFonts w:ascii="Arial" w:hAnsi="Arial" w:cs="Arial"/>
                </w:rPr>
                <w:t>FDA2, 2015</w:t>
              </w:r>
            </w:hyperlink>
            <w:r w:rsidRPr="00D61F73">
              <w:rPr>
                <w:rFonts w:ascii="Arial" w:hAnsi="Arial" w:cs="Arial"/>
              </w:rPr>
              <w:t>)</w:t>
            </w:r>
          </w:p>
        </w:tc>
      </w:tr>
      <w:tr w:rsidR="00E90DC7" w:rsidRPr="00D61F73" w14:paraId="5F062488" w14:textId="77777777" w:rsidTr="0038137E">
        <w:tc>
          <w:tcPr>
            <w:tcW w:w="1088" w:type="pct"/>
            <w:shd w:val="clear" w:color="auto" w:fill="auto"/>
          </w:tcPr>
          <w:p w14:paraId="3BDD1254" w14:textId="77777777" w:rsidR="00E90DC7" w:rsidRPr="00D61F73" w:rsidRDefault="00E90DC7" w:rsidP="00D61F73">
            <w:pPr>
              <w:rPr>
                <w:rFonts w:ascii="Arial" w:hAnsi="Arial" w:cs="Arial"/>
              </w:rPr>
            </w:pPr>
            <w:bookmarkStart w:id="332" w:name="Nonprescriptionmedications"/>
            <w:bookmarkEnd w:id="332"/>
            <w:r w:rsidRPr="00D61F73">
              <w:rPr>
                <w:rFonts w:ascii="Arial" w:hAnsi="Arial" w:cs="Arial"/>
              </w:rPr>
              <w:t xml:space="preserve">Nonprescription medications </w:t>
            </w:r>
          </w:p>
        </w:tc>
        <w:tc>
          <w:tcPr>
            <w:tcW w:w="3912" w:type="pct"/>
            <w:shd w:val="clear" w:color="auto" w:fill="auto"/>
          </w:tcPr>
          <w:p w14:paraId="2B14FBA1" w14:textId="77777777" w:rsidR="00E90DC7" w:rsidRPr="00D61F73" w:rsidRDefault="00E90DC7" w:rsidP="00D61F73">
            <w:pPr>
              <w:rPr>
                <w:rFonts w:ascii="Arial" w:hAnsi="Arial" w:cs="Arial"/>
              </w:rPr>
            </w:pPr>
            <w:r w:rsidRPr="00D61F73">
              <w:rPr>
                <w:rFonts w:ascii="Arial" w:hAnsi="Arial" w:cs="Arial"/>
              </w:rPr>
              <w:t>Recommend acetaminophen (safest); NSAIDs (aspirin, ibuprofen). (</w:t>
            </w:r>
            <w:hyperlink w:anchor="EMG" w:history="1">
              <w:r w:rsidRPr="00D61F73">
                <w:rPr>
                  <w:rStyle w:val="Hyperlink"/>
                  <w:rFonts w:ascii="Arial" w:hAnsi="Arial" w:cs="Arial"/>
                </w:rPr>
                <w:t>Bigos, 1999</w:t>
              </w:r>
            </w:hyperlink>
            <w:r w:rsidRPr="00D61F73">
              <w:rPr>
                <w:rFonts w:ascii="Arial" w:hAnsi="Arial" w:cs="Arial"/>
              </w:rPr>
              <w:t xml:space="preserve">) A 2008 Cochrane review found that NSAIDs are not more effective </w:t>
            </w:r>
            <w:r w:rsidRPr="00D61F73">
              <w:rPr>
                <w:rFonts w:ascii="Arial" w:hAnsi="Arial" w:cs="Arial"/>
              </w:rPr>
              <w:lastRenderedPageBreak/>
              <w:t>than acetaminophen for acute low-back pain, but acetaminophen had fewer side effects, which support recommending NSAIDs as a treatment option after acetaminophen. (</w:t>
            </w:r>
            <w:hyperlink r:id="rId126" w:anchor="Roelofs2" w:history="1">
              <w:r w:rsidRPr="00D61F73">
                <w:rPr>
                  <w:rStyle w:val="Hyperlink"/>
                  <w:rFonts w:ascii="Arial" w:hAnsi="Arial" w:cs="Arial"/>
                </w:rPr>
                <w:t>Roelofs-Cochrane, 2008</w:t>
              </w:r>
            </w:hyperlink>
            <w:r w:rsidRPr="00D61F73">
              <w:rPr>
                <w:rFonts w:ascii="Arial" w:hAnsi="Arial" w:cs="Arial"/>
              </w:rPr>
              <w:t>) There should be caution about daily doses of acetaminophen and liver disease if over 3 g/day or in combination with other NSAIDs. (</w:t>
            </w:r>
            <w:hyperlink w:anchor="Watkins" w:history="1">
              <w:r w:rsidRPr="00D61F73">
                <w:rPr>
                  <w:rStyle w:val="Hyperlink"/>
                  <w:rFonts w:ascii="Arial" w:hAnsi="Arial" w:cs="Arial"/>
                </w:rPr>
                <w:t>Watkins, 2006</w:t>
              </w:r>
            </w:hyperlink>
            <w:r w:rsidRPr="00D61F73">
              <w:rPr>
                <w:rFonts w:ascii="Arial" w:hAnsi="Arial" w:cs="Arial"/>
              </w:rPr>
              <w:t xml:space="preserve">) See also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w:t>
            </w:r>
          </w:p>
        </w:tc>
      </w:tr>
      <w:tr w:rsidR="00E90DC7" w:rsidRPr="00D61F73" w14:paraId="2EBD9D44" w14:textId="77777777" w:rsidTr="0038137E">
        <w:tc>
          <w:tcPr>
            <w:tcW w:w="1088" w:type="pct"/>
            <w:shd w:val="clear" w:color="auto" w:fill="auto"/>
          </w:tcPr>
          <w:p w14:paraId="2A9A7173" w14:textId="3685881A" w:rsidR="00E90DC7" w:rsidRDefault="00E90DC7" w:rsidP="00D61F73">
            <w:pPr>
              <w:rPr>
                <w:rFonts w:ascii="Arial" w:hAnsi="Arial" w:cs="Arial"/>
              </w:rPr>
            </w:pPr>
            <w:r w:rsidRPr="00D61F73">
              <w:rPr>
                <w:rFonts w:ascii="Arial" w:hAnsi="Arial" w:cs="Arial"/>
              </w:rPr>
              <w:lastRenderedPageBreak/>
              <w:t>Norepinephrine serotonin reuptake inhibitors (NSRIs)</w:t>
            </w:r>
          </w:p>
          <w:p w14:paraId="09B45578" w14:textId="77777777" w:rsidR="003C6901" w:rsidRPr="00D61F73" w:rsidRDefault="003C6901" w:rsidP="00D61F73">
            <w:pPr>
              <w:rPr>
                <w:rFonts w:ascii="Arial" w:hAnsi="Arial" w:cs="Arial"/>
              </w:rPr>
            </w:pPr>
          </w:p>
        </w:tc>
        <w:tc>
          <w:tcPr>
            <w:tcW w:w="3912" w:type="pct"/>
            <w:shd w:val="clear" w:color="auto" w:fill="auto"/>
          </w:tcPr>
          <w:p w14:paraId="663F8AD3" w14:textId="77777777" w:rsidR="00E90DC7" w:rsidRPr="00D61F73" w:rsidRDefault="00E90DC7" w:rsidP="00D61F73">
            <w:pPr>
              <w:rPr>
                <w:rFonts w:ascii="Arial" w:hAnsi="Arial" w:cs="Arial"/>
              </w:rPr>
            </w:pPr>
            <w:r w:rsidRPr="00D61F73">
              <w:rPr>
                <w:rFonts w:ascii="Arial" w:hAnsi="Arial" w:cs="Arial"/>
              </w:rPr>
              <w:t xml:space="preserve">See </w:t>
            </w:r>
            <w:hyperlink w:anchor="Duloxetine" w:history="1">
              <w:r w:rsidRPr="00D61F73">
                <w:rPr>
                  <w:rStyle w:val="Hyperlink"/>
                  <w:rFonts w:ascii="Arial" w:hAnsi="Arial" w:cs="Arial"/>
                </w:rPr>
                <w:t>Duloxetine</w:t>
              </w:r>
            </w:hyperlink>
            <w:r w:rsidRPr="00D61F73">
              <w:rPr>
                <w:rFonts w:ascii="Arial" w:hAnsi="Arial" w:cs="Arial"/>
              </w:rPr>
              <w:t xml:space="preserve"> (Cymbalta®); &amp; </w:t>
            </w:r>
            <w:hyperlink w:anchor="Milnacipran" w:history="1">
              <w:r w:rsidRPr="00D61F73">
                <w:rPr>
                  <w:rStyle w:val="Hyperlink"/>
                  <w:rFonts w:ascii="Arial" w:hAnsi="Arial" w:cs="Arial"/>
                </w:rPr>
                <w:t>Milnacipran</w:t>
              </w:r>
            </w:hyperlink>
            <w:r w:rsidRPr="00D61F73">
              <w:rPr>
                <w:rFonts w:ascii="Arial" w:hAnsi="Arial" w:cs="Arial"/>
              </w:rPr>
              <w:t xml:space="preserve"> (Ixel®)</w:t>
            </w:r>
          </w:p>
        </w:tc>
      </w:tr>
      <w:tr w:rsidR="00E90DC7" w:rsidRPr="00D61F73" w14:paraId="786EB9E5" w14:textId="77777777" w:rsidTr="0038137E">
        <w:tc>
          <w:tcPr>
            <w:tcW w:w="1088" w:type="pct"/>
            <w:shd w:val="clear" w:color="auto" w:fill="auto"/>
          </w:tcPr>
          <w:p w14:paraId="3B4700A9" w14:textId="77777777" w:rsidR="00E90DC7" w:rsidRPr="00D61F73" w:rsidRDefault="00E90DC7" w:rsidP="00D61F73">
            <w:pPr>
              <w:rPr>
                <w:rFonts w:ascii="Arial" w:hAnsi="Arial" w:cs="Arial"/>
              </w:rPr>
            </w:pPr>
            <w:bookmarkStart w:id="333" w:name="NSAIDs"/>
            <w:bookmarkEnd w:id="333"/>
            <w:r w:rsidRPr="00D61F73">
              <w:rPr>
                <w:rFonts w:ascii="Arial" w:hAnsi="Arial" w:cs="Arial"/>
              </w:rPr>
              <w:t xml:space="preserve">NSAIDs (non-steroidal anti-inflammatory drugs) </w:t>
            </w:r>
          </w:p>
        </w:tc>
        <w:tc>
          <w:tcPr>
            <w:tcW w:w="3912" w:type="pct"/>
            <w:shd w:val="clear" w:color="auto" w:fill="auto"/>
          </w:tcPr>
          <w:p w14:paraId="2DF12DC2" w14:textId="77777777" w:rsidR="00E90DC7" w:rsidRPr="00D61F73" w:rsidRDefault="00E90DC7" w:rsidP="00D61F73">
            <w:pPr>
              <w:rPr>
                <w:rFonts w:ascii="Arial" w:hAnsi="Arial" w:cs="Arial"/>
              </w:rPr>
            </w:pPr>
            <w:r w:rsidRPr="00D61F73">
              <w:rPr>
                <w:rFonts w:ascii="Arial" w:hAnsi="Arial" w:cs="Arial"/>
              </w:rPr>
              <w:t>Specific recommendations:</w:t>
            </w:r>
          </w:p>
          <w:p w14:paraId="18754791" w14:textId="77777777" w:rsidR="00E90DC7" w:rsidRPr="00D61F73" w:rsidRDefault="00E90DC7" w:rsidP="00D61F73">
            <w:pPr>
              <w:rPr>
                <w:rFonts w:ascii="Arial" w:hAnsi="Arial" w:cs="Arial"/>
              </w:rPr>
            </w:pPr>
            <w:r w:rsidRPr="00D61F73">
              <w:rPr>
                <w:rFonts w:ascii="Arial" w:hAnsi="Arial" w:cs="Arial"/>
                <w:i/>
              </w:rPr>
              <w:t xml:space="preserve">Osteoarthritis (including knee and hip): </w:t>
            </w:r>
            <w:r w:rsidRPr="00D61F73">
              <w:rPr>
                <w:rFonts w:ascii="Arial" w:hAnsi="Arial" w:cs="Arial"/>
              </w:rPr>
              <w:t>Recommended at the lowest dose for the shortest period in patients with moderate to severe pain. Acetaminophen may be considered for initial therapy for patients with mild to moderate pain, and in particular, for those with gastrointestinal, cardiovascular or renovascular risk factors. NSAIDs appear to be superior to acetaminophen, particularly for patients with moderate to severe pain. There is no evidence to recommend one drug in this class over another based on efficacy. In particular, there appears to be no difference between traditional NSAIDs and COX-2 NSAIDs in terms of pain relief. The main concern of selection is based on adverse effects. COX-2 NSAIDs have fewer GI side effects at the risk of increased cardiovascular side effects, although the FDA has concluded that long-term clinical trials are best interpreted to suggest that cardiovascular risk occurs with all NSAIDs and is a class effect (with naproxyn being the safest drug). There is no evidence of long-term effectiveness for pain or function. (</w:t>
            </w:r>
            <w:hyperlink w:anchor="Chen" w:history="1">
              <w:r w:rsidRPr="00D61F73">
                <w:rPr>
                  <w:rStyle w:val="Hyperlink"/>
                  <w:rFonts w:ascii="Arial" w:hAnsi="Arial" w:cs="Arial"/>
                </w:rPr>
                <w:t>Chen, 2008</w:t>
              </w:r>
            </w:hyperlink>
            <w:r w:rsidRPr="00D61F73">
              <w:rPr>
                <w:rFonts w:ascii="Arial" w:hAnsi="Arial" w:cs="Arial"/>
              </w:rPr>
              <w:t>) (</w:t>
            </w:r>
            <w:hyperlink w:anchor="Laine2008" w:history="1">
              <w:r w:rsidRPr="00D61F73">
                <w:rPr>
                  <w:rStyle w:val="Hyperlink"/>
                  <w:rFonts w:ascii="Arial" w:hAnsi="Arial" w:cs="Arial"/>
                </w:rPr>
                <w:t>Laine, 2008</w:t>
              </w:r>
            </w:hyperlink>
            <w:r w:rsidRPr="00D61F73">
              <w:rPr>
                <w:rFonts w:ascii="Arial" w:hAnsi="Arial" w:cs="Arial"/>
              </w:rPr>
              <w:t>)</w:t>
            </w:r>
          </w:p>
          <w:p w14:paraId="66474237" w14:textId="2B9C2657" w:rsidR="00E90DC7" w:rsidRPr="00D61F73" w:rsidRDefault="00E90DC7" w:rsidP="00D61F73">
            <w:pPr>
              <w:rPr>
                <w:rFonts w:ascii="Arial" w:hAnsi="Arial" w:cs="Arial"/>
              </w:rPr>
            </w:pPr>
            <w:r w:rsidRPr="00D61F73">
              <w:rPr>
                <w:rFonts w:ascii="Arial" w:hAnsi="Arial" w:cs="Arial"/>
                <w:iCs/>
              </w:rPr>
              <w:t xml:space="preserve">See </w:t>
            </w:r>
            <w:r w:rsidRPr="000F17F5">
              <w:rPr>
                <w:rFonts w:ascii="Arial" w:hAnsi="Arial" w:cs="Arial"/>
                <w:iCs/>
              </w:rPr>
              <w:t>MTUS Low Back Complaints</w:t>
            </w:r>
            <w:r w:rsidRPr="00D61F73">
              <w:rPr>
                <w:rFonts w:ascii="Arial" w:hAnsi="Arial" w:cs="Arial"/>
                <w:iCs/>
              </w:rPr>
              <w:t xml:space="preserve">. </w:t>
            </w:r>
          </w:p>
          <w:p w14:paraId="56C42F31" w14:textId="77777777" w:rsidR="00E90DC7" w:rsidRPr="00D61F73" w:rsidRDefault="00E90DC7" w:rsidP="00D61F73">
            <w:pPr>
              <w:rPr>
                <w:rFonts w:ascii="Arial" w:hAnsi="Arial" w:cs="Arial"/>
              </w:rPr>
            </w:pPr>
            <w:r w:rsidRPr="00D61F73">
              <w:rPr>
                <w:rFonts w:ascii="Arial" w:hAnsi="Arial" w:cs="Arial"/>
                <w:i/>
              </w:rPr>
              <w:t xml:space="preserve">Neuropathic pain: </w:t>
            </w:r>
            <w:r w:rsidRPr="00D61F73">
              <w:rPr>
                <w:rFonts w:ascii="Arial" w:hAnsi="Arial" w:cs="Arial"/>
              </w:rPr>
              <w:t>There is inconsistent evidence for the use of these medications to treat long-term neuropathic pain, but they may be useful to treat breakthrough pain and mixed pain conditions such as osteoarthritis (and other nociceptive pain) in patients with neuropathic pain. (</w:t>
            </w:r>
            <w:hyperlink w:anchor="Namaka" w:history="1">
              <w:r w:rsidRPr="00D61F73">
                <w:rPr>
                  <w:rStyle w:val="Hyperlink"/>
                  <w:rFonts w:ascii="Arial" w:hAnsi="Arial" w:cs="Arial"/>
                </w:rPr>
                <w:t>Namaka, 2004</w:t>
              </w:r>
            </w:hyperlink>
            <w:r w:rsidRPr="00D61F73">
              <w:rPr>
                <w:rFonts w:ascii="Arial" w:hAnsi="Arial" w:cs="Arial"/>
              </w:rPr>
              <w:t>) (</w:t>
            </w:r>
            <w:hyperlink w:anchor="Gore" w:history="1">
              <w:r w:rsidRPr="00D61F73">
                <w:rPr>
                  <w:rStyle w:val="Hyperlink"/>
                  <w:rFonts w:ascii="Arial" w:hAnsi="Arial" w:cs="Arial"/>
                </w:rPr>
                <w:t>Gore, 2007</w:t>
              </w:r>
            </w:hyperlink>
            <w:r w:rsidRPr="00D61F73">
              <w:rPr>
                <w:rFonts w:ascii="Arial" w:hAnsi="Arial" w:cs="Arial"/>
              </w:rPr>
              <w:t xml:space="preserve">) </w:t>
            </w:r>
          </w:p>
          <w:p w14:paraId="3F534444" w14:textId="77777777" w:rsidR="00E90DC7" w:rsidRPr="00D61F73" w:rsidRDefault="00E90DC7" w:rsidP="00D61F73">
            <w:pPr>
              <w:rPr>
                <w:rFonts w:ascii="Arial" w:hAnsi="Arial" w:cs="Arial"/>
              </w:rPr>
            </w:pPr>
            <w:r w:rsidRPr="00D61F73">
              <w:rPr>
                <w:rFonts w:ascii="Arial" w:hAnsi="Arial" w:cs="Arial"/>
              </w:rPr>
              <w:t xml:space="preserve">See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Medicationsforacutepain" w:history="1">
              <w:r w:rsidRPr="00D61F73">
                <w:rPr>
                  <w:rStyle w:val="Hyperlink"/>
                  <w:rFonts w:ascii="Arial" w:hAnsi="Arial" w:cs="Arial"/>
                </w:rPr>
                <w:t>Medications for acute pain</w:t>
              </w:r>
            </w:hyperlink>
            <w:r w:rsidRPr="00D61F73">
              <w:rPr>
                <w:rFonts w:ascii="Arial" w:hAnsi="Arial" w:cs="Arial"/>
              </w:rPr>
              <w:t xml:space="preserve"> (analgesics). Besides the above well-documented side effects of NSAIDs, there are other less well-known effects of NSAIDs, and the use of NSAIDs has been shown to possibly delay and hamper healing in all the soft tissues, including muscles, ligaments, tendons, and cartilage. (</w:t>
            </w:r>
            <w:hyperlink w:anchor="Maroon" w:history="1">
              <w:r w:rsidRPr="00D61F73">
                <w:rPr>
                  <w:rStyle w:val="Hyperlink"/>
                  <w:rFonts w:ascii="Arial" w:hAnsi="Arial" w:cs="Arial"/>
                </w:rPr>
                <w:t>Maroon, 2006</w:t>
              </w:r>
            </w:hyperlink>
            <w:r w:rsidRPr="00D61F73">
              <w:rPr>
                <w:rFonts w:ascii="Arial" w:hAnsi="Arial" w:cs="Arial"/>
              </w:rPr>
              <w:t>)</w:t>
            </w:r>
            <w:r w:rsidRPr="00D61F73">
              <w:rPr>
                <w:rFonts w:ascii="Arial" w:hAnsi="Arial" w:cs="Arial"/>
                <w:iCs/>
              </w:rPr>
              <w:t xml:space="preserve"> The risks of NSAIDs in older patients, risks which include increased cardiovascular risk and gastrointestinal toxicity, may outweigh the benefits of these medications</w:t>
            </w:r>
            <w:r w:rsidRPr="00D61F73">
              <w:rPr>
                <w:rFonts w:ascii="Arial" w:hAnsi="Arial" w:cs="Arial"/>
              </w:rPr>
              <w:t>. (</w:t>
            </w:r>
            <w:hyperlink w:anchor="AGS" w:history="1">
              <w:r w:rsidRPr="00D61F73">
                <w:rPr>
                  <w:rStyle w:val="Hyperlink"/>
                  <w:rFonts w:ascii="Arial" w:hAnsi="Arial" w:cs="Arial"/>
                  <w:u w:val="none"/>
                </w:rPr>
                <w:t>AGS, 2009</w:t>
              </w:r>
            </w:hyperlink>
            <w:r w:rsidRPr="00D61F73">
              <w:rPr>
                <w:rFonts w:ascii="Arial" w:hAnsi="Arial" w:cs="Arial"/>
              </w:rPr>
              <w:t>)</w:t>
            </w:r>
          </w:p>
        </w:tc>
      </w:tr>
      <w:tr w:rsidR="00E90DC7" w:rsidRPr="00D61F73" w14:paraId="771C0C92" w14:textId="77777777" w:rsidTr="0038137E">
        <w:tc>
          <w:tcPr>
            <w:tcW w:w="1088" w:type="pct"/>
            <w:shd w:val="clear" w:color="auto" w:fill="auto"/>
          </w:tcPr>
          <w:p w14:paraId="4ADE7430" w14:textId="77777777" w:rsidR="00E90DC7" w:rsidRPr="00D61F73" w:rsidRDefault="00E90DC7" w:rsidP="00D61F73">
            <w:pPr>
              <w:rPr>
                <w:rFonts w:ascii="Arial" w:hAnsi="Arial" w:cs="Arial"/>
              </w:rPr>
            </w:pPr>
            <w:bookmarkStart w:id="334" w:name="NSAIDsGIandCV"/>
            <w:bookmarkEnd w:id="334"/>
            <w:r w:rsidRPr="00D61F73">
              <w:rPr>
                <w:rFonts w:ascii="Arial" w:hAnsi="Arial" w:cs="Arial"/>
              </w:rPr>
              <w:t xml:space="preserve">NSAIDs, GI symptoms &amp; cardiovascular risk </w:t>
            </w:r>
          </w:p>
        </w:tc>
        <w:tc>
          <w:tcPr>
            <w:tcW w:w="3912" w:type="pct"/>
            <w:shd w:val="clear" w:color="auto" w:fill="auto"/>
          </w:tcPr>
          <w:p w14:paraId="531C21CA" w14:textId="77777777" w:rsidR="00E90DC7" w:rsidRPr="00D61F73" w:rsidRDefault="00E90DC7" w:rsidP="00D61F73">
            <w:pPr>
              <w:rPr>
                <w:rFonts w:ascii="Arial" w:hAnsi="Arial" w:cs="Arial"/>
                <w:iCs/>
              </w:rPr>
            </w:pPr>
            <w:r w:rsidRPr="00D61F73">
              <w:rPr>
                <w:rFonts w:ascii="Arial" w:hAnsi="Arial" w:cs="Arial"/>
                <w:iCs/>
              </w:rPr>
              <w:t>Recommend with precautions as indicated below.</w:t>
            </w:r>
          </w:p>
          <w:p w14:paraId="79491FBE" w14:textId="77777777" w:rsidR="00E90DC7" w:rsidRPr="00D61F73" w:rsidRDefault="00E90DC7" w:rsidP="00D61F73">
            <w:pPr>
              <w:rPr>
                <w:rFonts w:ascii="Arial" w:hAnsi="Arial" w:cs="Arial"/>
                <w:i/>
                <w:iCs/>
              </w:rPr>
            </w:pPr>
            <w:r w:rsidRPr="00D61F73">
              <w:rPr>
                <w:rFonts w:ascii="Arial" w:hAnsi="Arial" w:cs="Arial"/>
                <w:i/>
                <w:iCs/>
              </w:rPr>
              <w:t>Clinicians should weight the indications for NSAIDs against both GI and cardiovascular risk factors.</w:t>
            </w:r>
          </w:p>
          <w:p w14:paraId="0553A24E" w14:textId="77777777" w:rsidR="00E90DC7" w:rsidRPr="00D61F73" w:rsidRDefault="00E90DC7" w:rsidP="00D61F73">
            <w:pPr>
              <w:rPr>
                <w:rFonts w:ascii="Arial" w:hAnsi="Arial" w:cs="Arial"/>
              </w:rPr>
            </w:pPr>
            <w:r w:rsidRPr="00D61F73">
              <w:rPr>
                <w:rFonts w:ascii="Arial" w:hAnsi="Arial" w:cs="Arial"/>
                <w:i/>
                <w:u w:val="single"/>
              </w:rPr>
              <w:t>Determine if the patient is at risk for gastrointestinal events:</w:t>
            </w:r>
            <w:r w:rsidRPr="00D61F73">
              <w:rPr>
                <w:rFonts w:ascii="Arial" w:hAnsi="Arial" w:cs="Arial"/>
                <w:iCs/>
              </w:rPr>
              <w:t xml:space="preserve"> (1) </w:t>
            </w:r>
            <w:r w:rsidRPr="00D61F73">
              <w:rPr>
                <w:rFonts w:ascii="Arial" w:hAnsi="Arial" w:cs="Arial"/>
              </w:rPr>
              <w:t xml:space="preserve">age &gt; 65 years; (2) history of peptic ulcer, GI bleeding or perforation; (3) concurrent use of ASA, corticosteroids, and/or an anticoagulant; or (4) high dose/multiple NSAID (e.g., NSAID + low-dose ASA). A history of ulcer </w:t>
            </w:r>
            <w:r w:rsidRPr="00D61F73">
              <w:rPr>
                <w:rFonts w:ascii="Arial" w:hAnsi="Arial" w:cs="Arial"/>
              </w:rPr>
              <w:lastRenderedPageBreak/>
              <w:t>complications is the most important predictor of future ulcer complications associated with NSAID use. (</w:t>
            </w:r>
            <w:hyperlink w:anchor="García" w:history="1">
              <w:r w:rsidRPr="00D61F73">
                <w:rPr>
                  <w:rStyle w:val="Hyperlink"/>
                  <w:rFonts w:ascii="Arial" w:hAnsi="Arial" w:cs="Arial"/>
                </w:rPr>
                <w:t>Garcia Rodriguez, 1994</w:t>
              </w:r>
            </w:hyperlink>
            <w:r w:rsidRPr="00D61F73">
              <w:rPr>
                <w:rFonts w:ascii="Arial" w:hAnsi="Arial" w:cs="Arial"/>
              </w:rPr>
              <w:t>) (</w:t>
            </w:r>
            <w:hyperlink w:anchor="Malfertheiner" w:history="1">
              <w:r w:rsidRPr="00D61F73">
                <w:rPr>
                  <w:rStyle w:val="Hyperlink"/>
                  <w:rFonts w:ascii="Arial" w:hAnsi="Arial" w:cs="Arial"/>
                </w:rPr>
                <w:t>Malfertheiner, 2009</w:t>
              </w:r>
            </w:hyperlink>
            <w:r w:rsidRPr="00D61F73">
              <w:rPr>
                <w:rFonts w:ascii="Arial" w:hAnsi="Arial" w:cs="Arial"/>
              </w:rPr>
              <w:t xml:space="preserve">) </w:t>
            </w:r>
          </w:p>
          <w:p w14:paraId="74863B90" w14:textId="77777777" w:rsidR="00E90DC7" w:rsidRPr="00D61F73" w:rsidRDefault="00E90DC7" w:rsidP="00D61F73">
            <w:pPr>
              <w:rPr>
                <w:rFonts w:ascii="Arial" w:hAnsi="Arial" w:cs="Arial"/>
              </w:rPr>
            </w:pPr>
            <w:r w:rsidRPr="00D61F73">
              <w:rPr>
                <w:rFonts w:ascii="Arial" w:hAnsi="Arial" w:cs="Arial"/>
                <w:i/>
                <w:u w:val="single"/>
              </w:rPr>
              <w:t xml:space="preserve">H. Pylori and NSAID use: </w:t>
            </w:r>
            <w:r w:rsidRPr="00D61F73">
              <w:rPr>
                <w:rFonts w:ascii="Arial" w:hAnsi="Arial" w:cs="Arial"/>
              </w:rPr>
              <w:t xml:space="preserve"> While routine screening for </w:t>
            </w:r>
            <w:r w:rsidRPr="00D61F73">
              <w:rPr>
                <w:rFonts w:ascii="Arial" w:hAnsi="Arial" w:cs="Arial"/>
                <w:i/>
              </w:rPr>
              <w:t xml:space="preserve">H. Pylori </w:t>
            </w:r>
            <w:r w:rsidRPr="00D61F73">
              <w:rPr>
                <w:rFonts w:ascii="Arial" w:hAnsi="Arial" w:cs="Arial"/>
              </w:rPr>
              <w:t xml:space="preserve">is not indicated in patients who are about to start NSAIDs, eradication of </w:t>
            </w:r>
            <w:r w:rsidRPr="00D61F73">
              <w:rPr>
                <w:rFonts w:ascii="Arial" w:hAnsi="Arial" w:cs="Arial"/>
                <w:i/>
                <w:iCs/>
              </w:rPr>
              <w:t>H pylori</w:t>
            </w:r>
            <w:r w:rsidRPr="00D61F73">
              <w:rPr>
                <w:rFonts w:ascii="Arial" w:hAnsi="Arial" w:cs="Arial"/>
              </w:rPr>
              <w:t xml:space="preserve"> prior to initiation of therapy has been suggested to reduce subsequent risk of GI ulceration. At best, consensus guidelines indicate pre-screening for </w:t>
            </w:r>
            <w:r w:rsidRPr="00D61F73">
              <w:rPr>
                <w:rFonts w:ascii="Arial" w:hAnsi="Arial" w:cs="Arial"/>
                <w:i/>
              </w:rPr>
              <w:t xml:space="preserve">H. Pylori </w:t>
            </w:r>
            <w:r w:rsidRPr="00D61F73">
              <w:rPr>
                <w:rFonts w:ascii="Arial" w:hAnsi="Arial" w:cs="Arial"/>
              </w:rPr>
              <w:t xml:space="preserve">prior to starting NSAID treatment for those with GI risk factors for ulceration as listed above. Eradication of </w:t>
            </w:r>
            <w:r w:rsidRPr="00D61F73">
              <w:rPr>
                <w:rFonts w:ascii="Arial" w:hAnsi="Arial" w:cs="Arial"/>
                <w:i/>
                <w:iCs/>
              </w:rPr>
              <w:t>H. pylori</w:t>
            </w:r>
            <w:r w:rsidRPr="00D61F73">
              <w:rPr>
                <w:rFonts w:ascii="Arial" w:hAnsi="Arial" w:cs="Arial"/>
              </w:rPr>
              <w:t xml:space="preserve"> alone is not sufficient to prevent ulcer bleeding in NSAID users with high gastrointestinal risk. There are no clear-cut guidelines for treatment of </w:t>
            </w:r>
            <w:r w:rsidRPr="00D61F73">
              <w:rPr>
                <w:rFonts w:ascii="Arial" w:hAnsi="Arial" w:cs="Arial"/>
                <w:i/>
              </w:rPr>
              <w:t xml:space="preserve">H. Pylori </w:t>
            </w:r>
            <w:r w:rsidRPr="00D61F73">
              <w:rPr>
                <w:rFonts w:ascii="Arial" w:hAnsi="Arial" w:cs="Arial"/>
              </w:rPr>
              <w:t xml:space="preserve">after initiation of NSAID treatment and this topic remains controversial. At this time, there is currently no evidence to support the routine use of a proton-pump inhibitor in a patient without the above GI risk factors for ulceration who has had a history of eradicated </w:t>
            </w:r>
            <w:r w:rsidRPr="00D61F73">
              <w:rPr>
                <w:rFonts w:ascii="Arial" w:hAnsi="Arial" w:cs="Arial"/>
                <w:i/>
              </w:rPr>
              <w:t xml:space="preserve">H. Pylori </w:t>
            </w:r>
            <w:r w:rsidRPr="00D61F73">
              <w:rPr>
                <w:rFonts w:ascii="Arial" w:hAnsi="Arial" w:cs="Arial"/>
              </w:rPr>
              <w:t xml:space="preserve">(i.e. a previous history of treated </w:t>
            </w:r>
            <w:r w:rsidRPr="00D61F73">
              <w:rPr>
                <w:rFonts w:ascii="Arial" w:hAnsi="Arial" w:cs="Arial"/>
                <w:i/>
              </w:rPr>
              <w:t xml:space="preserve">H. Pylori </w:t>
            </w:r>
            <w:r w:rsidRPr="00D61F73">
              <w:rPr>
                <w:rFonts w:ascii="Arial" w:hAnsi="Arial" w:cs="Arial"/>
              </w:rPr>
              <w:t xml:space="preserve">without evidence of ulceration is not an indicator for either the use of a Cox-2 NSAID or a proton-pump inhibitor). Consensus guidelines do currently indicate that patients who have a history of GI ulceration (which was determined to be secondary to </w:t>
            </w:r>
            <w:r w:rsidRPr="00D61F73">
              <w:rPr>
                <w:rFonts w:ascii="Arial" w:hAnsi="Arial" w:cs="Arial"/>
                <w:i/>
              </w:rPr>
              <w:t xml:space="preserve">H. Pylori) </w:t>
            </w:r>
            <w:r w:rsidRPr="00D61F73">
              <w:rPr>
                <w:rFonts w:ascii="Arial" w:hAnsi="Arial" w:cs="Arial"/>
              </w:rPr>
              <w:t>who develop breakthrough dyspepsia while treated with a proton-pump inhibitor should have the following: (1) NSAID therapy withheld; &amp; (2) GI evaluation undertaken. (</w:t>
            </w:r>
            <w:hyperlink w:anchor="Malfertheiner" w:history="1">
              <w:r w:rsidRPr="00D61F73">
                <w:rPr>
                  <w:rStyle w:val="Hyperlink"/>
                  <w:rFonts w:ascii="Arial" w:hAnsi="Arial" w:cs="Arial"/>
                </w:rPr>
                <w:t>Malfertheiner, 2009</w:t>
              </w:r>
            </w:hyperlink>
            <w:r w:rsidRPr="00D61F73">
              <w:rPr>
                <w:rFonts w:ascii="Arial" w:hAnsi="Arial" w:cs="Arial"/>
              </w:rPr>
              <w:t>) (</w:t>
            </w:r>
            <w:hyperlink w:anchor="Chan2001" w:history="1">
              <w:r w:rsidRPr="00D61F73">
                <w:rPr>
                  <w:rStyle w:val="Hyperlink"/>
                  <w:rFonts w:ascii="Arial" w:hAnsi="Arial" w:cs="Arial"/>
                </w:rPr>
                <w:t>Chan, 2001</w:t>
              </w:r>
            </w:hyperlink>
            <w:r w:rsidRPr="00D61F73">
              <w:rPr>
                <w:rFonts w:ascii="Arial" w:hAnsi="Arial" w:cs="Arial"/>
              </w:rPr>
              <w:t>) (</w:t>
            </w:r>
            <w:hyperlink w:anchor="Fock" w:history="1">
              <w:r w:rsidRPr="00D61F73">
                <w:rPr>
                  <w:rStyle w:val="Hyperlink"/>
                  <w:rFonts w:ascii="Arial" w:hAnsi="Arial" w:cs="Arial"/>
                </w:rPr>
                <w:t>Fock, 2009</w:t>
              </w:r>
            </w:hyperlink>
            <w:r w:rsidRPr="00D61F73">
              <w:rPr>
                <w:rFonts w:ascii="Arial" w:hAnsi="Arial" w:cs="Arial"/>
              </w:rPr>
              <w:t>) (</w:t>
            </w:r>
            <w:hyperlink w:anchor="Laine2006" w:history="1">
              <w:r w:rsidRPr="00D61F73">
                <w:rPr>
                  <w:rStyle w:val="Hyperlink"/>
                  <w:rFonts w:ascii="Arial" w:hAnsi="Arial" w:cs="Arial"/>
                </w:rPr>
                <w:t>Laine, 2006</w:t>
              </w:r>
            </w:hyperlink>
            <w:r w:rsidRPr="00D61F73">
              <w:rPr>
                <w:rFonts w:ascii="Arial" w:hAnsi="Arial" w:cs="Arial"/>
              </w:rPr>
              <w:t>) (</w:t>
            </w:r>
            <w:hyperlink w:anchor="Chan2002" w:history="1">
              <w:r w:rsidRPr="00D61F73">
                <w:rPr>
                  <w:rStyle w:val="Hyperlink"/>
                  <w:rFonts w:ascii="Arial" w:hAnsi="Arial" w:cs="Arial"/>
                </w:rPr>
                <w:t>Chan, 2002</w:t>
              </w:r>
            </w:hyperlink>
            <w:r w:rsidRPr="00D61F73">
              <w:rPr>
                <w:rFonts w:ascii="Arial" w:hAnsi="Arial" w:cs="Arial"/>
              </w:rPr>
              <w:t>) (</w:t>
            </w:r>
            <w:hyperlink w:anchor="García" w:history="1">
              <w:r w:rsidRPr="00D61F73">
                <w:rPr>
                  <w:rStyle w:val="Hyperlink"/>
                  <w:rFonts w:ascii="Arial" w:hAnsi="Arial" w:cs="Arial"/>
                </w:rPr>
                <w:t>Garcia Rodriguez, 1994</w:t>
              </w:r>
            </w:hyperlink>
            <w:r w:rsidRPr="00D61F73">
              <w:rPr>
                <w:rFonts w:ascii="Arial" w:hAnsi="Arial" w:cs="Arial"/>
              </w:rPr>
              <w:t>)</w:t>
            </w:r>
          </w:p>
          <w:p w14:paraId="5CA7EA1D" w14:textId="77777777" w:rsidR="00E90DC7" w:rsidRPr="00D61F73" w:rsidRDefault="00E90DC7" w:rsidP="00D61F73">
            <w:pPr>
              <w:rPr>
                <w:rFonts w:ascii="Arial" w:hAnsi="Arial" w:cs="Arial"/>
                <w:u w:val="single"/>
              </w:rPr>
            </w:pPr>
            <w:r w:rsidRPr="00D61F73">
              <w:rPr>
                <w:rFonts w:ascii="Arial" w:hAnsi="Arial" w:cs="Arial"/>
                <w:u w:val="single"/>
              </w:rPr>
              <w:t>Recommendations</w:t>
            </w:r>
          </w:p>
          <w:p w14:paraId="30CD3C78" w14:textId="77777777" w:rsidR="00E90DC7" w:rsidRPr="00D61F73" w:rsidRDefault="00E90DC7" w:rsidP="00D61F73">
            <w:pPr>
              <w:rPr>
                <w:rFonts w:ascii="Arial" w:hAnsi="Arial" w:cs="Arial"/>
              </w:rPr>
            </w:pPr>
            <w:r w:rsidRPr="00D61F73">
              <w:rPr>
                <w:rFonts w:ascii="Arial" w:hAnsi="Arial" w:cs="Arial"/>
                <w:i/>
                <w:u w:val="single"/>
              </w:rPr>
              <w:t>Patients with no risk factor and no cardiovascular disease:</w:t>
            </w:r>
            <w:r w:rsidRPr="00D61F73">
              <w:rPr>
                <w:rFonts w:ascii="Arial" w:hAnsi="Arial" w:cs="Arial"/>
                <w:iCs/>
              </w:rPr>
              <w:t xml:space="preserve"> Non-</w:t>
            </w:r>
            <w:r w:rsidRPr="00D61F73">
              <w:rPr>
                <w:rFonts w:ascii="Arial" w:hAnsi="Arial" w:cs="Arial"/>
              </w:rPr>
              <w:t>selective NSAIDs OK (e.g., ibuprofen, naproxen, etc.)</w:t>
            </w:r>
          </w:p>
          <w:p w14:paraId="4C958A94" w14:textId="77777777" w:rsidR="00E90DC7" w:rsidRPr="00D61F73" w:rsidRDefault="00E90DC7" w:rsidP="00D61F73">
            <w:pPr>
              <w:rPr>
                <w:rFonts w:ascii="Arial" w:hAnsi="Arial" w:cs="Arial"/>
              </w:rPr>
            </w:pPr>
            <w:r w:rsidRPr="00D61F73">
              <w:rPr>
                <w:rFonts w:ascii="Arial" w:hAnsi="Arial" w:cs="Arial"/>
                <w:i/>
                <w:u w:val="single"/>
              </w:rPr>
              <w:t>Patients at intermediate risk for gastrointestinal events and no cardiovascular disease</w:t>
            </w:r>
            <w:r w:rsidRPr="00D61F73">
              <w:rPr>
                <w:rFonts w:ascii="Arial" w:hAnsi="Arial" w:cs="Arial"/>
                <w:i/>
              </w:rPr>
              <w:t xml:space="preserve">: </w:t>
            </w:r>
            <w:r w:rsidRPr="00D61F73">
              <w:rPr>
                <w:rFonts w:ascii="Arial" w:hAnsi="Arial" w:cs="Arial"/>
                <w:iCs/>
              </w:rPr>
              <w:t>(</w:t>
            </w:r>
            <w:r w:rsidRPr="00D61F73">
              <w:rPr>
                <w:rFonts w:ascii="Arial" w:hAnsi="Arial" w:cs="Arial"/>
              </w:rPr>
              <w:t>1) A non-selective NSAID with either a PPI (Proton Pump Inhibitor, for example, 20 mg omeprazole daily) or misoprostol (200 µg four times daily) or (2) a Cox-2 selective agent. Long-term PPI use (&gt; 1 year) has been shown to increase the risk of hip fracture (adjusted odds ratio 1.44).</w:t>
            </w:r>
          </w:p>
          <w:p w14:paraId="1FF23871" w14:textId="77777777" w:rsidR="00E90DC7" w:rsidRPr="00D61F73" w:rsidRDefault="00E90DC7" w:rsidP="00D61F73">
            <w:pPr>
              <w:rPr>
                <w:rFonts w:ascii="Arial" w:hAnsi="Arial" w:cs="Arial"/>
              </w:rPr>
            </w:pPr>
            <w:r w:rsidRPr="00D61F73">
              <w:rPr>
                <w:rFonts w:ascii="Arial" w:hAnsi="Arial" w:cs="Arial"/>
                <w:i/>
                <w:u w:val="single"/>
              </w:rPr>
              <w:t>Patients at high risk for gastrointestinal events with no cardiovascular disease</w:t>
            </w:r>
            <w:r w:rsidRPr="00D61F73">
              <w:rPr>
                <w:rFonts w:ascii="Arial" w:hAnsi="Arial" w:cs="Arial"/>
                <w:i/>
              </w:rPr>
              <w:t xml:space="preserve">: </w:t>
            </w:r>
            <w:r w:rsidRPr="00D61F73">
              <w:rPr>
                <w:rFonts w:ascii="Arial" w:hAnsi="Arial" w:cs="Arial"/>
              </w:rPr>
              <w:t>A Cox-2 selective agent plus a PPI if absolutely necessary.</w:t>
            </w:r>
          </w:p>
          <w:p w14:paraId="2A6C1760" w14:textId="77777777" w:rsidR="00E90DC7" w:rsidRPr="00D61F73" w:rsidRDefault="00E90DC7" w:rsidP="00D61F73">
            <w:pPr>
              <w:rPr>
                <w:rFonts w:ascii="Arial" w:hAnsi="Arial" w:cs="Arial"/>
              </w:rPr>
            </w:pPr>
            <w:r w:rsidRPr="00D61F73">
              <w:rPr>
                <w:rFonts w:ascii="Arial" w:hAnsi="Arial" w:cs="Arial"/>
                <w:i/>
                <w:u w:val="single"/>
              </w:rPr>
              <w:t>Patients at high risk of gastrointestinal events with cardiovascular disease</w:t>
            </w:r>
            <w:r w:rsidRPr="00D61F73">
              <w:rPr>
                <w:rFonts w:ascii="Arial" w:hAnsi="Arial" w:cs="Arial"/>
                <w:i/>
              </w:rPr>
              <w:t xml:space="preserve">: </w:t>
            </w:r>
            <w:r w:rsidRPr="00D61F73">
              <w:rPr>
                <w:rFonts w:ascii="Arial" w:hAnsi="Arial" w:cs="Arial"/>
              </w:rPr>
              <w:t>If GI risk is high the suggestion is for a low-dose Cox-2 plus low dose Aspirin (for cardioprotection) and a PPI. If cardiovascular risk is greater than GI risk the suggestion is naproxyn plus low-dose aspirin plus a PPI. (</w:t>
            </w:r>
            <w:hyperlink w:anchor="Laine2006" w:history="1">
              <w:r w:rsidRPr="00D61F73">
                <w:rPr>
                  <w:rStyle w:val="Hyperlink"/>
                  <w:rFonts w:ascii="Arial" w:hAnsi="Arial" w:cs="Arial"/>
                </w:rPr>
                <w:t>Laine, 2006</w:t>
              </w:r>
            </w:hyperlink>
            <w:r w:rsidRPr="00D61F73">
              <w:rPr>
                <w:rFonts w:ascii="Arial" w:hAnsi="Arial" w:cs="Arial"/>
              </w:rPr>
              <w:t>) (</w:t>
            </w:r>
            <w:hyperlink w:anchor="Scholmerich" w:history="1">
              <w:r w:rsidRPr="00D61F73">
                <w:rPr>
                  <w:rStyle w:val="Hyperlink"/>
                  <w:rFonts w:ascii="Arial" w:hAnsi="Arial" w:cs="Arial"/>
                </w:rPr>
                <w:t>Scholmerich, 2006</w:t>
              </w:r>
            </w:hyperlink>
            <w:r w:rsidRPr="00D61F73">
              <w:rPr>
                <w:rFonts w:ascii="Arial" w:hAnsi="Arial" w:cs="Arial"/>
              </w:rPr>
              <w:t>) (</w:t>
            </w:r>
            <w:hyperlink w:anchor="Nielsen" w:history="1">
              <w:r w:rsidRPr="00D61F73">
                <w:rPr>
                  <w:rStyle w:val="Hyperlink"/>
                  <w:rFonts w:ascii="Arial" w:hAnsi="Arial" w:cs="Arial"/>
                </w:rPr>
                <w:t>Nielsen, 2006</w:t>
              </w:r>
            </w:hyperlink>
            <w:r w:rsidRPr="00D61F73">
              <w:rPr>
                <w:rFonts w:ascii="Arial" w:hAnsi="Arial" w:cs="Arial"/>
              </w:rPr>
              <w:t>) (</w:t>
            </w:r>
            <w:hyperlink w:anchor="Chan" w:history="1">
              <w:r w:rsidRPr="00D61F73">
                <w:rPr>
                  <w:rStyle w:val="Hyperlink"/>
                  <w:rFonts w:ascii="Arial" w:hAnsi="Arial" w:cs="Arial"/>
                </w:rPr>
                <w:t>Chan, 2004</w:t>
              </w:r>
            </w:hyperlink>
            <w:r w:rsidRPr="00D61F73">
              <w:rPr>
                <w:rFonts w:ascii="Arial" w:hAnsi="Arial" w:cs="Arial"/>
              </w:rPr>
              <w:t>) (</w:t>
            </w:r>
            <w:hyperlink w:anchor="Gold" w:history="1">
              <w:r w:rsidRPr="00D61F73">
                <w:rPr>
                  <w:rStyle w:val="Hyperlink"/>
                  <w:rFonts w:ascii="Arial" w:hAnsi="Arial" w:cs="Arial"/>
                </w:rPr>
                <w:t>Gold, 2007</w:t>
              </w:r>
            </w:hyperlink>
            <w:r w:rsidRPr="00D61F73">
              <w:rPr>
                <w:rFonts w:ascii="Arial" w:hAnsi="Arial" w:cs="Arial"/>
              </w:rPr>
              <w:t>) (</w:t>
            </w:r>
            <w:hyperlink w:anchor="Laine2007" w:history="1">
              <w:r w:rsidRPr="00D61F73">
                <w:rPr>
                  <w:rStyle w:val="Hyperlink"/>
                  <w:rFonts w:ascii="Arial" w:hAnsi="Arial" w:cs="Arial"/>
                </w:rPr>
                <w:t>Laine, 2007</w:t>
              </w:r>
            </w:hyperlink>
            <w:r w:rsidRPr="00D61F73">
              <w:rPr>
                <w:rFonts w:ascii="Arial" w:hAnsi="Arial" w:cs="Arial"/>
              </w:rPr>
              <w:t>)</w:t>
            </w:r>
          </w:p>
          <w:p w14:paraId="0FC98CED" w14:textId="77777777" w:rsidR="00E90DC7" w:rsidRPr="00D61F73" w:rsidRDefault="00E90DC7" w:rsidP="00D61F73">
            <w:pPr>
              <w:rPr>
                <w:rFonts w:ascii="Arial" w:hAnsi="Arial" w:cs="Arial"/>
                <w:i/>
              </w:rPr>
            </w:pPr>
            <w:r w:rsidRPr="00D61F73">
              <w:rPr>
                <w:rFonts w:ascii="Arial" w:hAnsi="Arial" w:cs="Arial"/>
                <w:i/>
                <w:u w:val="single"/>
              </w:rPr>
              <w:t>Cardiovascular disease</w:t>
            </w:r>
            <w:r w:rsidRPr="00D61F73">
              <w:rPr>
                <w:rFonts w:ascii="Arial" w:hAnsi="Arial" w:cs="Arial"/>
                <w:i/>
              </w:rPr>
              <w:t>:</w:t>
            </w:r>
            <w:r w:rsidRPr="00D61F73">
              <w:rPr>
                <w:rFonts w:ascii="Arial" w:hAnsi="Arial" w:cs="Arial"/>
              </w:rPr>
              <w:t xml:space="preserve"> A non-pharmacological choice should be the first option in patients with major cardiac risk factors. It is then suggested that acetaminophen or aspirin be used for short-term needs. </w:t>
            </w:r>
          </w:p>
          <w:p w14:paraId="42302BC7" w14:textId="77777777" w:rsidR="00E90DC7" w:rsidRPr="00D61F73" w:rsidRDefault="00E90DC7" w:rsidP="00D61F73">
            <w:pPr>
              <w:rPr>
                <w:rFonts w:ascii="Arial" w:hAnsi="Arial" w:cs="Arial"/>
              </w:rPr>
            </w:pPr>
            <w:r w:rsidRPr="00D61F73">
              <w:rPr>
                <w:rFonts w:ascii="Arial" w:hAnsi="Arial" w:cs="Arial"/>
                <w:i/>
              </w:rPr>
              <w:t>Major risk factors (recent MI, or coronary artery surgery, including recent stent placement)</w:t>
            </w:r>
            <w:r w:rsidRPr="00D61F73">
              <w:rPr>
                <w:rFonts w:ascii="Arial" w:hAnsi="Arial" w:cs="Arial"/>
              </w:rPr>
              <w:t>: If NSAID therapy is necessary, the suggested treatment is naproxyn plus low-dose aspirin plus a PPI.</w:t>
            </w:r>
          </w:p>
          <w:p w14:paraId="4D0C364D" w14:textId="77777777" w:rsidR="00E90DC7" w:rsidRPr="00D61F73" w:rsidRDefault="00E90DC7" w:rsidP="00D61F73">
            <w:pPr>
              <w:rPr>
                <w:rFonts w:ascii="Arial" w:hAnsi="Arial" w:cs="Arial"/>
              </w:rPr>
            </w:pPr>
            <w:r w:rsidRPr="00D61F73">
              <w:rPr>
                <w:rFonts w:ascii="Arial" w:hAnsi="Arial" w:cs="Arial"/>
                <w:i/>
              </w:rPr>
              <w:t>Mild to moderate risk factors:</w:t>
            </w:r>
            <w:r w:rsidRPr="00D61F73">
              <w:rPr>
                <w:rFonts w:ascii="Arial" w:hAnsi="Arial" w:cs="Arial"/>
              </w:rPr>
              <w:t xml:space="preserve"> If long-term or high-dose therapy is required, full-dose naproxen (500 mg twice a day) appears to be the preferred choice of NSAID. If naproxyn is ineffective, the suggested treatment is (1) the addition of aspirin to naproxyn plus a PPI, or (2) a low-dose Cox-2 plus </w:t>
            </w:r>
            <w:r w:rsidRPr="00D61F73">
              <w:rPr>
                <w:rFonts w:ascii="Arial" w:hAnsi="Arial" w:cs="Arial"/>
              </w:rPr>
              <w:lastRenderedPageBreak/>
              <w:t>ASA. Cardiovascular risk does appear to extend to all non-aspirin NSAIDs, with the highest risk found for the Cox-2 agents. (</w:t>
            </w:r>
            <w:hyperlink w:anchor="Johnsen" w:history="1">
              <w:r w:rsidRPr="00D61F73">
                <w:rPr>
                  <w:rStyle w:val="Hyperlink"/>
                  <w:rFonts w:ascii="Arial" w:hAnsi="Arial" w:cs="Arial"/>
                </w:rPr>
                <w:t>Johnsen, 2005</w:t>
              </w:r>
            </w:hyperlink>
            <w:r w:rsidRPr="00D61F73">
              <w:rPr>
                <w:rFonts w:ascii="Arial" w:hAnsi="Arial" w:cs="Arial"/>
              </w:rPr>
              <w:t>) (</w:t>
            </w:r>
            <w:hyperlink w:anchor="Lanas" w:history="1">
              <w:r w:rsidRPr="00D61F73">
                <w:rPr>
                  <w:rStyle w:val="Hyperlink"/>
                  <w:rFonts w:ascii="Arial" w:hAnsi="Arial" w:cs="Arial"/>
                </w:rPr>
                <w:t>Lanas, 2006</w:t>
              </w:r>
            </w:hyperlink>
            <w:r w:rsidRPr="00D61F73">
              <w:rPr>
                <w:rFonts w:ascii="Arial" w:hAnsi="Arial" w:cs="Arial"/>
              </w:rPr>
              <w:t>) (</w:t>
            </w:r>
            <w:hyperlink w:anchor="Antman" w:history="1">
              <w:r w:rsidRPr="00D61F73">
                <w:rPr>
                  <w:rStyle w:val="Hyperlink"/>
                  <w:rFonts w:ascii="Arial" w:hAnsi="Arial" w:cs="Arial"/>
                </w:rPr>
                <w:t>Antman, 2007</w:t>
              </w:r>
            </w:hyperlink>
            <w:r w:rsidRPr="00D61F73">
              <w:rPr>
                <w:rFonts w:ascii="Arial" w:hAnsi="Arial" w:cs="Arial"/>
              </w:rPr>
              <w:t>) (</w:t>
            </w:r>
            <w:hyperlink w:anchor="Laine2007" w:history="1">
              <w:r w:rsidRPr="00D61F73">
                <w:rPr>
                  <w:rStyle w:val="Hyperlink"/>
                  <w:rFonts w:ascii="Arial" w:hAnsi="Arial" w:cs="Arial"/>
                </w:rPr>
                <w:t>Laine, 2007</w:t>
              </w:r>
            </w:hyperlink>
            <w:r w:rsidRPr="00D61F73">
              <w:rPr>
                <w:rFonts w:ascii="Arial" w:hAnsi="Arial" w:cs="Arial"/>
              </w:rPr>
              <w:t>)</w:t>
            </w:r>
          </w:p>
          <w:p w14:paraId="688C0CF9" w14:textId="77777777" w:rsidR="00E90DC7" w:rsidRPr="00D61F73" w:rsidRDefault="00E90DC7" w:rsidP="00D61F73">
            <w:pPr>
              <w:rPr>
                <w:rFonts w:ascii="Arial" w:hAnsi="Arial" w:cs="Arial"/>
              </w:rPr>
            </w:pPr>
            <w:r w:rsidRPr="00D61F73">
              <w:rPr>
                <w:rFonts w:ascii="Arial" w:hAnsi="Arial" w:cs="Arial"/>
                <w:i/>
                <w:u w:val="single"/>
              </w:rPr>
              <w:t>Use with Aspirin for cardioprotective effect</w:t>
            </w:r>
            <w:r w:rsidRPr="00D61F73">
              <w:rPr>
                <w:rFonts w:ascii="Arial" w:hAnsi="Arial" w:cs="Arial"/>
                <w:i/>
              </w:rPr>
              <w:t xml:space="preserve">: </w:t>
            </w:r>
          </w:p>
          <w:p w14:paraId="5FDAA6F7" w14:textId="77777777" w:rsidR="00E90DC7" w:rsidRPr="00D61F73" w:rsidRDefault="00E90DC7" w:rsidP="00D61F73">
            <w:pPr>
              <w:rPr>
                <w:rFonts w:ascii="Arial" w:hAnsi="Arial" w:cs="Arial"/>
              </w:rPr>
            </w:pPr>
            <w:r w:rsidRPr="00D61F73">
              <w:rPr>
                <w:rFonts w:ascii="Arial" w:hAnsi="Arial" w:cs="Arial"/>
                <w:i/>
                <w:iCs/>
              </w:rPr>
              <w:t xml:space="preserve">In terms of GI protective effect: </w:t>
            </w:r>
            <w:r w:rsidRPr="00D61F73">
              <w:rPr>
                <w:rFonts w:ascii="Arial" w:hAnsi="Arial" w:cs="Arial"/>
              </w:rPr>
              <w:t>The GI protective effect of Cox-2 agents is diminished in patients taking low-dose aspirin and a PPI may be required for those patients with GI risk factors. (</w:t>
            </w:r>
            <w:hyperlink w:anchor="Laine2007" w:history="1">
              <w:r w:rsidRPr="00D61F73">
                <w:rPr>
                  <w:rStyle w:val="Hyperlink"/>
                  <w:rFonts w:ascii="Arial" w:hAnsi="Arial" w:cs="Arial"/>
                </w:rPr>
                <w:t>Laine, 2007</w:t>
              </w:r>
            </w:hyperlink>
            <w:r w:rsidRPr="00D61F73">
              <w:rPr>
                <w:rFonts w:ascii="Arial" w:hAnsi="Arial" w:cs="Arial"/>
              </w:rPr>
              <w:t xml:space="preserve">) </w:t>
            </w:r>
          </w:p>
          <w:p w14:paraId="62442AE5" w14:textId="77777777" w:rsidR="00E90DC7" w:rsidRPr="00D61F73" w:rsidRDefault="00E90DC7" w:rsidP="00D61F73">
            <w:pPr>
              <w:rPr>
                <w:rFonts w:ascii="Arial" w:hAnsi="Arial" w:cs="Arial"/>
              </w:rPr>
            </w:pPr>
            <w:r w:rsidRPr="00D61F73">
              <w:rPr>
                <w:rFonts w:ascii="Arial" w:hAnsi="Arial" w:cs="Arial"/>
                <w:i/>
              </w:rPr>
              <w:t>In terms of the actual cardioprotective effect of aspirin</w:t>
            </w:r>
            <w:r w:rsidRPr="00D61F73">
              <w:rPr>
                <w:rFonts w:ascii="Arial" w:hAnsi="Arial" w:cs="Arial"/>
              </w:rPr>
              <w:t>: Traditional NSAIDs (both ibuprofen and naproxen) appear to attenuate the antiplatelet effect of enteric-coated aspirin and should be taken 30 minutes after ASA or 8 hours before. (</w:t>
            </w:r>
            <w:hyperlink w:anchor="Antman" w:history="1">
              <w:r w:rsidRPr="00D61F73">
                <w:rPr>
                  <w:rStyle w:val="Hyperlink"/>
                  <w:rFonts w:ascii="Arial" w:hAnsi="Arial" w:cs="Arial"/>
                </w:rPr>
                <w:t>Antman, 2007</w:t>
              </w:r>
            </w:hyperlink>
            <w:r w:rsidRPr="00D61F73">
              <w:rPr>
                <w:rFonts w:ascii="Arial" w:hAnsi="Arial" w:cs="Arial"/>
              </w:rPr>
              <w:t>) Cox-2 NSAIDs and diclofenac (a traditional NSAID) do not decrease anti-platelet effect. (</w:t>
            </w:r>
            <w:hyperlink w:anchor="Laine2007" w:history="1">
              <w:r w:rsidRPr="00D61F73">
                <w:rPr>
                  <w:rStyle w:val="Hyperlink"/>
                  <w:rFonts w:ascii="Arial" w:hAnsi="Arial" w:cs="Arial"/>
                </w:rPr>
                <w:t>Laine, 2007</w:t>
              </w:r>
            </w:hyperlink>
            <w:r w:rsidRPr="00D61F73">
              <w:rPr>
                <w:rFonts w:ascii="Arial" w:hAnsi="Arial" w:cs="Arial"/>
              </w:rPr>
              <w:t>)</w:t>
            </w:r>
          </w:p>
          <w:p w14:paraId="6C2E72DF" w14:textId="3BEF2195" w:rsidR="00E90DC7" w:rsidRPr="00D61F73" w:rsidRDefault="00E90DC7" w:rsidP="00D61F73">
            <w:pPr>
              <w:rPr>
                <w:rFonts w:ascii="Arial" w:hAnsi="Arial" w:cs="Arial"/>
              </w:rPr>
            </w:pPr>
            <w:r w:rsidRPr="00D61F73">
              <w:rPr>
                <w:rFonts w:ascii="Arial" w:hAnsi="Arial" w:cs="Arial"/>
                <w:i/>
                <w:u w:val="single"/>
              </w:rPr>
              <w:t>Use of NSAIDs and SSRIs:</w:t>
            </w:r>
            <w:r w:rsidRPr="00D61F73">
              <w:rPr>
                <w:rFonts w:ascii="Arial" w:hAnsi="Arial" w:cs="Arial"/>
                <w:iCs/>
              </w:rPr>
              <w:t xml:space="preserve"> </w:t>
            </w:r>
            <w:r w:rsidRPr="00D61F73">
              <w:rPr>
                <w:rFonts w:ascii="Arial" w:hAnsi="Arial" w:cs="Arial"/>
              </w:rPr>
              <w:t>The concurrent use of SSRIs and NSAIDs is associated with moderate excess relative risk of serious upper GI events when compared to NSAIDs alone. This risk was higher for non-selective NSAIDs when compared to Cox-2 selective agents (adjusted odds ratio of 1.77 and 1.33, respectively). (</w:t>
            </w:r>
            <w:hyperlink w:anchor="Helin" w:history="1">
              <w:r w:rsidRPr="00D61F73">
                <w:rPr>
                  <w:rStyle w:val="Hyperlink"/>
                  <w:rFonts w:ascii="Arial" w:hAnsi="Arial" w:cs="Arial"/>
                </w:rPr>
                <w:t>Helin-Salmivaara, 2007</w:t>
              </w:r>
            </w:hyperlink>
            <w:r w:rsidRPr="00D61F73">
              <w:rPr>
                <w:rFonts w:ascii="Arial" w:hAnsi="Arial" w:cs="Arial"/>
              </w:rPr>
              <w:t>) In particular, it is suggested that in individuals at increased risk for GI bleeding (see above) a consideration be made to switch to an antidepressant with a lower degree of inhibition of serotonin reuptake (Intermediate reuptake: venlafaxine, amitriptyline, imipramine, citalopram; Low reuptake: desipramine, doxepin, trazodone, bupropion, mirtazapine). SSRIs with the highest degree of inhibition of serotonin reuptake include paroxetine, sertraline, and fluoxetine. (</w:t>
            </w:r>
            <w:hyperlink w:anchor="Looper" w:history="1">
              <w:r w:rsidRPr="00D61F73">
                <w:rPr>
                  <w:rStyle w:val="Hyperlink"/>
                  <w:rFonts w:ascii="Arial" w:hAnsi="Arial" w:cs="Arial"/>
                </w:rPr>
                <w:t>Looper, 2007</w:t>
              </w:r>
            </w:hyperlink>
            <w:r w:rsidRPr="00D61F73">
              <w:rPr>
                <w:rFonts w:ascii="Arial" w:hAnsi="Arial" w:cs="Arial"/>
              </w:rPr>
              <w:t>)</w:t>
            </w:r>
          </w:p>
          <w:p w14:paraId="4CF9D37D" w14:textId="77777777" w:rsidR="00E90DC7" w:rsidRPr="00D61F73" w:rsidRDefault="00E90DC7" w:rsidP="00D61F73">
            <w:pPr>
              <w:rPr>
                <w:rFonts w:ascii="Arial" w:hAnsi="Arial" w:cs="Arial"/>
              </w:rPr>
            </w:pPr>
            <w:r w:rsidRPr="00D61F73">
              <w:rPr>
                <w:rFonts w:ascii="Arial" w:hAnsi="Arial" w:cs="Arial"/>
                <w:i/>
              </w:rPr>
              <w:t xml:space="preserve">Treatment of dyspepsia secondary to NSAID therapy: </w:t>
            </w:r>
            <w:r w:rsidRPr="00D61F73">
              <w:rPr>
                <w:rFonts w:ascii="Arial" w:hAnsi="Arial" w:cs="Arial"/>
              </w:rPr>
              <w:t>Stop the NSAID, switch to a different NSAID, or consider H2-receptor antagonists or a PPI.</w:t>
            </w:r>
          </w:p>
          <w:p w14:paraId="570E3CC1" w14:textId="77777777" w:rsidR="00C00AC2" w:rsidRDefault="00E90DC7" w:rsidP="00D61F73">
            <w:pPr>
              <w:rPr>
                <w:rFonts w:ascii="Arial" w:hAnsi="Arial" w:cs="Arial"/>
              </w:rPr>
            </w:pPr>
            <w:r w:rsidRPr="00D61F73">
              <w:rPr>
                <w:rFonts w:ascii="Arial" w:hAnsi="Arial" w:cs="Arial"/>
              </w:rPr>
              <w:t>A recent systematic review concluded that slow-release formulations of NSAIDs are associated with a greater risk of upper GI bleeding/perforation, and should be used with care. The RR of upper GI bleeding/perforation was 4.50 for traditional NSAIDs, 2.69 for ibuprofen, and 1.88 for coxibs. Estimated RRs were 5.63 for naproxen immediate release, but as much as 14.54 for some slow-release formulations. (</w:t>
            </w:r>
            <w:hyperlink w:anchor="Massó2010" w:history="1">
              <w:r w:rsidRPr="00D61F73">
                <w:rPr>
                  <w:rStyle w:val="Hyperlink"/>
                  <w:rFonts w:ascii="Arial" w:hAnsi="Arial" w:cs="Arial"/>
                </w:rPr>
                <w:t>Massó, 2010</w:t>
              </w:r>
            </w:hyperlink>
            <w:r w:rsidRPr="00D61F73">
              <w:rPr>
                <w:rFonts w:ascii="Arial" w:hAnsi="Arial" w:cs="Arial"/>
              </w:rPr>
              <w:t>) In patients with prior myocardial infarction (MI), most NSAIDs are associated with an increased risk for death and recurrent MI, a large cohort study concludes. Use of NSAIDs was associated with a 45% increased risk for death or recurrent MI in the first 7 days of treatment and a 55% increased risk if treatment continued to 3 months. There is no apparent safe therapeutic window for NSAIDs in patients with prior MI and low-dose and short-term use of NSAIDs are not safe. All NSAIDs except naproxen were associated with an increased risk for death or recurrent MI, with diclofenac having the highest risk (RR in the first week of treatment, 3.26), an even higher cardiovascular risk than the selective COX-2 inhibitor rofecoxib, which was withdrawn from the market due to its unfavorable cardiovascular risk profile. (</w:t>
            </w:r>
            <w:hyperlink w:anchor="Schjerning2011" w:history="1">
              <w:r w:rsidRPr="00D61F73">
                <w:rPr>
                  <w:rStyle w:val="Hyperlink"/>
                  <w:rFonts w:ascii="Arial" w:hAnsi="Arial" w:cs="Arial"/>
                </w:rPr>
                <w:t>Schjerning, 2011</w:t>
              </w:r>
            </w:hyperlink>
            <w:r w:rsidRPr="00D61F73">
              <w:rPr>
                <w:rFonts w:ascii="Arial" w:hAnsi="Arial" w:cs="Arial"/>
              </w:rPr>
              <w:t xml:space="preserve">) A large systematic review of available evidence on NSAIDs confirms that naproxen and low-dose ibuprofen are least likely to increase cardiovascular risk. Rofecoxib (Vioxx) was associated with a significantly increased risk of cardiovascular events and was taken off the market, but diclofenac, a widely used NSAID, also poses an equivalent risk to patients. Indomethacin is an older, rather toxic drug, and the evidence on </w:t>
            </w:r>
            <w:r w:rsidRPr="00D61F73">
              <w:rPr>
                <w:rFonts w:ascii="Arial" w:hAnsi="Arial" w:cs="Arial"/>
              </w:rPr>
              <w:lastRenderedPageBreak/>
              <w:t xml:space="preserve">cardiovascular risk casts doubt on its continued clinical use. Naproxen was consistently shown to be safe, even at high doses, suggesting it should be the NSAID of choice in patients with increased cardiovascular risk. Naproxen was shown to be safer than ibuprofen, with the risk of cardiovascular events increasing with ibuprofen at daily doses ranging from 1200 mg to 1600 mg. If ibuprofen is used in high-risk patients, the dose should be kept low, but if a higher dose is needed, clinicians should switch to naproxen. Celecoxib (Celebrex), on the whole, had an increased risk of cardiovascular events at low and high doses, and should not be used in patients at high risk of cardiovascular disease. </w:t>
            </w:r>
          </w:p>
          <w:p w14:paraId="273353A1" w14:textId="583D95D9" w:rsidR="00E90DC7" w:rsidRPr="00D61F73" w:rsidRDefault="00E90DC7" w:rsidP="00D61F73">
            <w:pPr>
              <w:rPr>
                <w:rFonts w:ascii="Arial" w:hAnsi="Arial" w:cs="Arial"/>
              </w:rPr>
            </w:pPr>
            <w:r w:rsidRPr="00D61F73">
              <w:rPr>
                <w:rFonts w:ascii="Arial" w:hAnsi="Arial" w:cs="Arial"/>
              </w:rPr>
              <w:t>The authors commented that 10 years ago there were many NSAIDs in widespread use, but the number of drugs considered safe to use has declined substantially, down to just two, naproxen and low-dose ibuprofen. (</w:t>
            </w:r>
            <w:hyperlink w:anchor="McGettigan2011" w:history="1">
              <w:r w:rsidRPr="00D61F73">
                <w:rPr>
                  <w:rStyle w:val="Hyperlink"/>
                  <w:rFonts w:ascii="Arial" w:hAnsi="Arial" w:cs="Arial"/>
                </w:rPr>
                <w:t>McGettigan, 2011</w:t>
              </w:r>
            </w:hyperlink>
            <w:r w:rsidRPr="00D61F73">
              <w:rPr>
                <w:rFonts w:ascii="Arial" w:hAnsi="Arial" w:cs="Arial"/>
              </w:rPr>
              <w:t>) There is a high prevalence of current NSAID use among groups at-risk for significant drug-related adverse events or who have major chronic conditions that are relative contraindications to NSAID use. (</w:t>
            </w:r>
            <w:hyperlink w:anchor="Adams2011" w:history="1">
              <w:r w:rsidRPr="00D61F73">
                <w:rPr>
                  <w:rStyle w:val="Hyperlink"/>
                  <w:rFonts w:ascii="Arial" w:hAnsi="Arial" w:cs="Arial"/>
                </w:rPr>
                <w:t>Adams, 2011</w:t>
              </w:r>
            </w:hyperlink>
            <w:r w:rsidRPr="00D61F73">
              <w:rPr>
                <w:rFonts w:ascii="Arial" w:hAnsi="Arial" w:cs="Arial"/>
              </w:rPr>
              <w:t>) A new meta-analysis looking at the vascular and gastrointestinal effects of NSAIDs shows that the vascular risks associated with high-dose diclofenac and possibly ibuprofen are similar to the established risks associated with coxibs. High-dose naproxen, however, was associated with less vascular risk than the other NSAIDs. Further analysis suggested that these risks can be predicted for individuals. The authors found that major vascular events were increased by about one third by a coxib or diclofenac, chiefly due to an increase in major coronary events. Compared with placebo, they note, of 1000 patients allocated to a coxib or diclofenac for a year, 3 more had major vascular events, 1 of which was fatal. NSAIDs increased the risk for upper gastrointestinal complications by 2 to 4 times, although coxibs yielded the lowest risk for these complications. Long-term use of high dose NSAIDs should be reserved for those who receive considerable symptomatic benefit from the treatment and understand the risks. (</w:t>
            </w:r>
            <w:hyperlink w:anchor="Bhala2013" w:history="1">
              <w:r w:rsidRPr="00D61F73">
                <w:rPr>
                  <w:rStyle w:val="Hyperlink"/>
                  <w:rFonts w:ascii="Arial" w:hAnsi="Arial" w:cs="Arial"/>
                </w:rPr>
                <w:t>Bhala, 2013</w:t>
              </w:r>
            </w:hyperlink>
            <w:r w:rsidRPr="00D61F73">
              <w:rPr>
                <w:rFonts w:ascii="Arial" w:hAnsi="Arial" w:cs="Arial"/>
              </w:rPr>
              <w:t>)</w:t>
            </w:r>
          </w:p>
        </w:tc>
      </w:tr>
      <w:tr w:rsidR="00E90DC7" w:rsidRPr="00D61F73" w14:paraId="76F0C459" w14:textId="77777777" w:rsidTr="0038137E">
        <w:tc>
          <w:tcPr>
            <w:tcW w:w="1088" w:type="pct"/>
            <w:shd w:val="clear" w:color="auto" w:fill="auto"/>
          </w:tcPr>
          <w:p w14:paraId="0A1B2904" w14:textId="77777777" w:rsidR="00E90DC7" w:rsidRPr="00D61F73" w:rsidRDefault="00E90DC7" w:rsidP="00D61F73">
            <w:pPr>
              <w:rPr>
                <w:rFonts w:ascii="Arial" w:hAnsi="Arial" w:cs="Arial"/>
              </w:rPr>
            </w:pPr>
            <w:bookmarkStart w:id="335" w:name="NSAIDsHTNandRenal"/>
            <w:bookmarkEnd w:id="335"/>
            <w:r w:rsidRPr="00D61F73">
              <w:rPr>
                <w:rFonts w:ascii="Arial" w:hAnsi="Arial" w:cs="Arial"/>
              </w:rPr>
              <w:lastRenderedPageBreak/>
              <w:t>NSAIDs, hypertension and renal function</w:t>
            </w:r>
          </w:p>
        </w:tc>
        <w:tc>
          <w:tcPr>
            <w:tcW w:w="3912" w:type="pct"/>
            <w:shd w:val="clear" w:color="auto" w:fill="auto"/>
          </w:tcPr>
          <w:p w14:paraId="4F012830" w14:textId="77777777" w:rsidR="00E90DC7" w:rsidRPr="00D61F73" w:rsidRDefault="00E90DC7" w:rsidP="00D61F73">
            <w:pPr>
              <w:rPr>
                <w:rFonts w:ascii="Arial" w:hAnsi="Arial" w:cs="Arial"/>
              </w:rPr>
            </w:pPr>
            <w:r w:rsidRPr="00D61F73">
              <w:rPr>
                <w:rFonts w:ascii="Arial" w:hAnsi="Arial" w:cs="Arial"/>
                <w:iCs/>
              </w:rPr>
              <w:t>Recommend with precautions as indicated below.</w:t>
            </w:r>
          </w:p>
          <w:p w14:paraId="7A6F99F1" w14:textId="77777777" w:rsidR="00E90DC7" w:rsidRPr="00D61F73" w:rsidRDefault="00E90DC7" w:rsidP="00D61F73">
            <w:pPr>
              <w:rPr>
                <w:rFonts w:ascii="Arial" w:hAnsi="Arial" w:cs="Arial"/>
              </w:rPr>
            </w:pPr>
            <w:r w:rsidRPr="00D61F73">
              <w:rPr>
                <w:rFonts w:ascii="Arial" w:hAnsi="Arial" w:cs="Arial"/>
              </w:rPr>
              <w:t xml:space="preserve">NSAIDs can increase blood pressure by an average of 5 to 6 mm in patients with hypertension. They may cause fluid retention, edema, and rarely, congestive heart failure. (Sustained blood pressure elevation in the elderly is associated with increases in hemorrhagic stroke, congestive heart failure and ischemic cardiac events.) The risk appears to be higher in patients with congestive heart failure, kidney disease or liver disease. </w:t>
            </w:r>
          </w:p>
          <w:p w14:paraId="2671B0F5" w14:textId="77777777" w:rsidR="00E90DC7" w:rsidRPr="00D61F73" w:rsidRDefault="00E90DC7" w:rsidP="00D61F73">
            <w:pPr>
              <w:rPr>
                <w:rFonts w:ascii="Arial" w:hAnsi="Arial" w:cs="Arial"/>
              </w:rPr>
            </w:pPr>
            <w:r w:rsidRPr="00D61F73">
              <w:rPr>
                <w:rFonts w:ascii="Arial" w:hAnsi="Arial" w:cs="Arial"/>
                <w:i/>
              </w:rPr>
              <w:t xml:space="preserve">Normotensive patients: </w:t>
            </w:r>
            <w:r w:rsidRPr="00D61F73">
              <w:rPr>
                <w:rFonts w:ascii="Arial" w:hAnsi="Arial" w:cs="Arial"/>
              </w:rPr>
              <w:t>NSAIDs appear to have minimal effect on blood pressure in normotensive patients. (</w:t>
            </w:r>
            <w:hyperlink w:anchor="Laine2007" w:history="1">
              <w:r w:rsidRPr="00D61F73">
                <w:rPr>
                  <w:rStyle w:val="Hyperlink"/>
                  <w:rFonts w:ascii="Arial" w:hAnsi="Arial" w:cs="Arial"/>
                </w:rPr>
                <w:t>Laine, 2007</w:t>
              </w:r>
            </w:hyperlink>
            <w:r w:rsidRPr="00D61F73">
              <w:rPr>
                <w:rFonts w:ascii="Arial" w:hAnsi="Arial" w:cs="Arial"/>
              </w:rPr>
              <w:t>)</w:t>
            </w:r>
          </w:p>
          <w:p w14:paraId="729E6AF6" w14:textId="77777777" w:rsidR="00E90DC7" w:rsidRPr="00D61F73" w:rsidRDefault="00E90DC7" w:rsidP="00D61F73">
            <w:pPr>
              <w:rPr>
                <w:rFonts w:ascii="Arial" w:hAnsi="Arial" w:cs="Arial"/>
              </w:rPr>
            </w:pPr>
            <w:r w:rsidRPr="00D61F73">
              <w:rPr>
                <w:rFonts w:ascii="Arial" w:hAnsi="Arial" w:cs="Arial"/>
                <w:i/>
              </w:rPr>
              <w:t xml:space="preserve">Hypertensive patients: </w:t>
            </w:r>
            <w:r w:rsidRPr="00D61F73">
              <w:rPr>
                <w:rFonts w:ascii="Arial" w:hAnsi="Arial" w:cs="Arial"/>
              </w:rPr>
              <w:t>All NSAIDs have the potential to raise blood pressure in susceptible patients. The greatest risk appears to occur in patients taking the following anti-hypertensive therapy: angiotensin-converting enzyme (ACE) inhibitors; angiotensin receptor blockers; beta-blockers; or diuretics. In addition congestive heart failure may develop due to fluid retention.</w:t>
            </w:r>
          </w:p>
          <w:p w14:paraId="427A55E7" w14:textId="77777777" w:rsidR="00E90DC7" w:rsidRPr="00D61F73" w:rsidRDefault="00E90DC7" w:rsidP="00D61F73">
            <w:pPr>
              <w:rPr>
                <w:rFonts w:ascii="Arial" w:hAnsi="Arial" w:cs="Arial"/>
              </w:rPr>
            </w:pPr>
            <w:r w:rsidRPr="00D61F73">
              <w:rPr>
                <w:rFonts w:ascii="Arial" w:hAnsi="Arial" w:cs="Arial"/>
                <w:i/>
              </w:rPr>
              <w:t xml:space="preserve">Patients with mild to moderate renal dysfunction: </w:t>
            </w:r>
            <w:r w:rsidRPr="00D61F73">
              <w:rPr>
                <w:rFonts w:ascii="Arial" w:hAnsi="Arial" w:cs="Arial"/>
              </w:rPr>
              <w:t xml:space="preserve">All NSAIDs are relatively contraindicated in patients with renal insufficiency, congestive heart failure, or volume excess (such as cirrhosis). Oral opioids are an option for </w:t>
            </w:r>
            <w:r w:rsidRPr="00D61F73">
              <w:rPr>
                <w:rFonts w:ascii="Arial" w:hAnsi="Arial" w:cs="Arial"/>
              </w:rPr>
              <w:lastRenderedPageBreak/>
              <w:t>treatment.</w:t>
            </w:r>
          </w:p>
          <w:p w14:paraId="6A3E668B" w14:textId="77777777" w:rsidR="00E90DC7" w:rsidRPr="00D61F73" w:rsidRDefault="00E90DC7" w:rsidP="00D61F73">
            <w:pPr>
              <w:rPr>
                <w:rFonts w:ascii="Arial" w:hAnsi="Arial" w:cs="Arial"/>
                <w:iCs/>
              </w:rPr>
            </w:pPr>
            <w:r w:rsidRPr="00D61F73">
              <w:rPr>
                <w:rFonts w:ascii="Arial" w:hAnsi="Arial" w:cs="Arial"/>
                <w:i/>
                <w:u w:val="single"/>
              </w:rPr>
              <w:t xml:space="preserve">Treatment recommendations: </w:t>
            </w:r>
            <w:r w:rsidRPr="00D61F73">
              <w:rPr>
                <w:rFonts w:ascii="Arial" w:hAnsi="Arial" w:cs="Arial"/>
              </w:rPr>
              <w:t>Blood pressure should be measured as well as evidence of fluid excess in normotensive patients within 2-4 weeks of beginning treatment and on each visit.</w:t>
            </w:r>
          </w:p>
        </w:tc>
      </w:tr>
      <w:tr w:rsidR="00E90DC7" w:rsidRPr="00D61F73" w14:paraId="46B1BEE2" w14:textId="77777777" w:rsidTr="0038137E">
        <w:tc>
          <w:tcPr>
            <w:tcW w:w="1088" w:type="pct"/>
            <w:shd w:val="clear" w:color="auto" w:fill="auto"/>
          </w:tcPr>
          <w:p w14:paraId="0DA99314" w14:textId="77777777" w:rsidR="00E90DC7" w:rsidRPr="00D61F73" w:rsidRDefault="00E90DC7" w:rsidP="00D61F73">
            <w:pPr>
              <w:rPr>
                <w:rFonts w:ascii="Arial" w:hAnsi="Arial" w:cs="Arial"/>
              </w:rPr>
            </w:pPr>
            <w:bookmarkStart w:id="336" w:name="NSAIDsdruglistandadverseeffects"/>
            <w:bookmarkEnd w:id="336"/>
            <w:r w:rsidRPr="00D61F73">
              <w:rPr>
                <w:rFonts w:ascii="Arial" w:hAnsi="Arial" w:cs="Arial"/>
              </w:rPr>
              <w:lastRenderedPageBreak/>
              <w:t>NSAIDs, specific drug list &amp; adverse effects</w:t>
            </w:r>
          </w:p>
        </w:tc>
        <w:tc>
          <w:tcPr>
            <w:tcW w:w="3912" w:type="pct"/>
            <w:shd w:val="clear" w:color="auto" w:fill="auto"/>
          </w:tcPr>
          <w:p w14:paraId="3D7C2CC6" w14:textId="1E0E2007" w:rsidR="00E90DC7" w:rsidRPr="00D61F73" w:rsidRDefault="00E90DC7" w:rsidP="00D61F73">
            <w:pPr>
              <w:rPr>
                <w:rFonts w:ascii="Arial" w:hAnsi="Arial" w:cs="Arial"/>
              </w:rPr>
            </w:pPr>
            <w:r w:rsidRPr="00D61F73">
              <w:rPr>
                <w:rFonts w:ascii="Arial" w:hAnsi="Arial" w:cs="Arial"/>
                <w:bCs/>
              </w:rPr>
              <w:t xml:space="preserve">Recommended with cautions below. Disease-State Warnings for all NSAIDs: All NSAIDS have </w:t>
            </w:r>
            <w:r w:rsidRPr="00D61F73">
              <w:rPr>
                <w:rFonts w:ascii="Arial" w:hAnsi="Arial" w:cs="Arial"/>
                <w:b/>
              </w:rPr>
              <w:t>[U.S. Boxed Warning]</w:t>
            </w:r>
            <w:r w:rsidRPr="00D61F73">
              <w:rPr>
                <w:rFonts w:ascii="Arial" w:hAnsi="Arial" w:cs="Arial"/>
                <w:bCs/>
              </w:rPr>
              <w:t>: for associated risk of adverse cardiovascular events, including, MI, stroke, and new onset or worsening of pre-existing hypertension. NSAIDS should never be used right before or after a heart surgery (CABG - coronary artery bypass graft). NSAIDs can cause ulcers and bleeding in the stomach and intestines at any time during treatment</w:t>
            </w:r>
            <w:r w:rsidRPr="00D61F73">
              <w:rPr>
                <w:rFonts w:ascii="Arial" w:hAnsi="Arial" w:cs="Arial"/>
                <w:b/>
              </w:rPr>
              <w:t xml:space="preserve"> </w:t>
            </w:r>
            <w:r w:rsidRPr="00D61F73">
              <w:rPr>
                <w:rFonts w:ascii="Arial" w:hAnsi="Arial" w:cs="Arial"/>
              </w:rPr>
              <w:t xml:space="preserve">(FDA Medication Guide). </w:t>
            </w:r>
            <w:r w:rsidR="00635590" w:rsidRPr="00D61F73">
              <w:rPr>
                <w:rFonts w:ascii="Arial" w:hAnsi="Arial" w:cs="Arial"/>
              </w:rPr>
              <w:t xml:space="preserve">See </w:t>
            </w:r>
            <w:hyperlink w:anchor="NSAIDsGIandCV" w:history="1">
              <w:r w:rsidR="00635590" w:rsidRPr="00D61F73">
                <w:rPr>
                  <w:rStyle w:val="Hyperlink"/>
                  <w:rFonts w:ascii="Arial" w:hAnsi="Arial" w:cs="Arial"/>
                </w:rPr>
                <w:t>NSAIDs, GI Symptoms and Cardiovascular Risks</w:t>
              </w:r>
            </w:hyperlink>
            <w:r w:rsidRPr="00D61F73">
              <w:rPr>
                <w:rFonts w:ascii="Arial" w:hAnsi="Arial" w:cs="Arial"/>
              </w:rPr>
              <w:t xml:space="preserve">. </w:t>
            </w:r>
            <w:r w:rsidRPr="00D61F73">
              <w:rPr>
                <w:rFonts w:ascii="Arial" w:hAnsi="Arial" w:cs="Arial"/>
                <w:bCs/>
                <w:i/>
                <w:iCs/>
              </w:rPr>
              <w:t>Other disease-related concerns (non-boxed warnings)</w:t>
            </w:r>
            <w:r w:rsidRPr="00D61F73">
              <w:rPr>
                <w:rFonts w:ascii="Arial" w:hAnsi="Arial" w:cs="Arial"/>
                <w:bCs/>
              </w:rPr>
              <w:t xml:space="preserve">: </w:t>
            </w:r>
            <w:r w:rsidRPr="00D61F73">
              <w:rPr>
                <w:rFonts w:ascii="Arial" w:hAnsi="Arial" w:cs="Arial"/>
                <w:i/>
              </w:rPr>
              <w:t xml:space="preserve">Hepatic: </w:t>
            </w:r>
            <w:r w:rsidRPr="00D61F73">
              <w:rPr>
                <w:rFonts w:ascii="Arial" w:hAnsi="Arial" w:cs="Arial"/>
              </w:rPr>
              <w:t xml:space="preserve">Use with caution in patients with moderate hepatic impairment and not recommended for patients with severe hepatic impairment. Borderline elevations of one or more liver enzymes may occur in up to 15% of patients taking NSAIDs. </w:t>
            </w:r>
            <w:r w:rsidRPr="00D61F73">
              <w:rPr>
                <w:rFonts w:ascii="Arial" w:hAnsi="Arial" w:cs="Arial"/>
                <w:i/>
              </w:rPr>
              <w:t xml:space="preserve">Renal: </w:t>
            </w:r>
            <w:r w:rsidRPr="00D61F73">
              <w:rPr>
                <w:rFonts w:ascii="Arial" w:hAnsi="Arial" w:cs="Arial"/>
              </w:rPr>
              <w:t xml:space="preserve">Use of NSAIDs may compromise renal function. FDA Medication Guide is provided by FDA mandate on all prescriptions dispensed for NSAIDS. </w:t>
            </w:r>
            <w:r w:rsidRPr="00D61F73">
              <w:rPr>
                <w:rFonts w:ascii="Arial" w:hAnsi="Arial" w:cs="Arial"/>
                <w:i/>
              </w:rPr>
              <w:t>Routine Suggested Monitoring</w:t>
            </w:r>
            <w:r w:rsidRPr="00D61F73">
              <w:rPr>
                <w:rFonts w:ascii="Arial" w:hAnsi="Arial" w:cs="Arial"/>
                <w:iCs/>
              </w:rPr>
              <w:t xml:space="preserve">: </w:t>
            </w:r>
            <w:r w:rsidRPr="00D61F73">
              <w:rPr>
                <w:rFonts w:ascii="Arial" w:hAnsi="Arial" w:cs="Arial"/>
              </w:rPr>
              <w:t xml:space="preserve">Package inserts for NSAIDs recommend periodic lab monitoring of a CBC and chemistry profile (including liver and renal function tests). There has been a recommendation to measure liver transaminases within 4 to 8 weeks after starting therapy, but the interval of repeating lab tests after this treatment duration has not been established. Routine blood pressure monitoring is recommended. </w:t>
            </w:r>
            <w:r w:rsidRPr="00D61F73">
              <w:rPr>
                <w:rFonts w:ascii="Arial" w:hAnsi="Arial" w:cs="Arial"/>
                <w:i/>
              </w:rPr>
              <w:t>Overall Dosing Recommendation</w:t>
            </w:r>
            <w:r w:rsidRPr="00D61F73">
              <w:rPr>
                <w:rFonts w:ascii="Arial" w:hAnsi="Arial" w:cs="Arial"/>
                <w:iCs/>
              </w:rPr>
              <w:t xml:space="preserve">: </w:t>
            </w:r>
            <w:r w:rsidRPr="00D61F73">
              <w:rPr>
                <w:rFonts w:ascii="Arial" w:hAnsi="Arial" w:cs="Arial"/>
              </w:rPr>
              <w:t>It is generally recommended that the lowest effective dose be used for all NSAIDs for the shortest duration of time consistent with the individual patient treatment goals. Specific NSAID Classes are outlined below:</w:t>
            </w:r>
          </w:p>
          <w:p w14:paraId="5FCE7ED8" w14:textId="64CFAB7F" w:rsidR="00E90DC7" w:rsidRPr="00D61F73" w:rsidRDefault="00E90DC7" w:rsidP="00D61F73">
            <w:pPr>
              <w:rPr>
                <w:rFonts w:ascii="Arial" w:hAnsi="Arial" w:cs="Arial"/>
              </w:rPr>
            </w:pPr>
            <w:r w:rsidRPr="00D61F73">
              <w:rPr>
                <w:rFonts w:ascii="Arial" w:hAnsi="Arial" w:cs="Arial"/>
                <w:b/>
                <w:bCs/>
                <w:i/>
                <w:iCs/>
                <w:u w:val="single"/>
              </w:rPr>
              <w:t>Selective COX-2 NSAIDS</w:t>
            </w:r>
            <w:r w:rsidRPr="00D61F73">
              <w:rPr>
                <w:rFonts w:ascii="Arial" w:hAnsi="Arial" w:cs="Arial"/>
                <w:b/>
                <w:bCs/>
              </w:rPr>
              <w:t>:</w:t>
            </w:r>
            <w:r w:rsidRPr="00D61F73">
              <w:rPr>
                <w:rFonts w:ascii="Arial" w:hAnsi="Arial" w:cs="Arial"/>
              </w:rPr>
              <w:t xml:space="preserve"> Celecoxib (Celebrex®) is the only available COX-2 in the United States. No generic is available. </w:t>
            </w:r>
            <w:r w:rsidRPr="00D61F73">
              <w:rPr>
                <w:rStyle w:val="labels1"/>
                <w:b w:val="0"/>
                <w:i/>
                <w:sz w:val="24"/>
                <w:szCs w:val="24"/>
              </w:rPr>
              <w:t>Mechanism of Action:</w:t>
            </w:r>
            <w:r w:rsidRPr="00D61F73">
              <w:rPr>
                <w:rStyle w:val="labels1"/>
                <w:sz w:val="24"/>
                <w:szCs w:val="24"/>
              </w:rPr>
              <w:t xml:space="preserve"> </w:t>
            </w:r>
            <w:r w:rsidRPr="00D61F73">
              <w:rPr>
                <w:rFonts w:ascii="Arial" w:hAnsi="Arial" w:cs="Arial"/>
              </w:rPr>
              <w:t xml:space="preserve">Inhibits prostaglandin synthesis by decreasing cyclooxygenase-2 (COX-2). At therapeutic concentrations, cyclooxygenase-1 (COX-1) is not inhibited. In animal models it works as an anti-inflammatory, analgesic, and antipyretic. It does not have an anti-platelet effect and is not a substitute for aspirin for cardiac prophylaxis. </w:t>
            </w:r>
            <w:r w:rsidRPr="00D61F73">
              <w:rPr>
                <w:rFonts w:ascii="Arial" w:hAnsi="Arial" w:cs="Arial"/>
                <w:i/>
              </w:rPr>
              <w:t xml:space="preserve">Use: </w:t>
            </w:r>
            <w:r w:rsidRPr="00D61F73">
              <w:rPr>
                <w:rFonts w:ascii="Arial" w:hAnsi="Arial" w:cs="Arial"/>
              </w:rPr>
              <w:t xml:space="preserve">Relief of the signs and symptoms of osteoarthritis, rheumatoid arthritis, ankylosing spondylitis, and treatment of acute moderate pain. </w:t>
            </w:r>
            <w:r w:rsidRPr="00D61F73">
              <w:rPr>
                <w:rFonts w:ascii="Arial" w:hAnsi="Arial" w:cs="Arial"/>
                <w:i/>
              </w:rPr>
              <w:t>Side Effects:</w:t>
            </w:r>
            <w:hyperlink w:anchor="NSAIDsHTNandRenal" w:history="1">
              <w:r w:rsidRPr="00D61F73">
                <w:rPr>
                  <w:rStyle w:val="Hyperlink"/>
                  <w:rFonts w:ascii="Arial" w:hAnsi="Arial" w:cs="Arial"/>
                  <w:i/>
                </w:rPr>
                <w:t xml:space="preserve"> </w:t>
              </w:r>
              <w:r w:rsidRPr="00D61F73">
                <w:rPr>
                  <w:rStyle w:val="Hyperlink"/>
                  <w:rFonts w:ascii="Arial" w:hAnsi="Arial" w:cs="Arial"/>
                </w:rPr>
                <w:t>See NSAIDs, hypertension and renal function</w:t>
              </w:r>
            </w:hyperlink>
            <w:r w:rsidRPr="00D61F73">
              <w:rPr>
                <w:rFonts w:ascii="Arial" w:hAnsi="Arial" w:cs="Arial"/>
              </w:rPr>
              <w:t xml:space="preserve">; &amp; </w:t>
            </w:r>
            <w:hyperlink w:anchor="NSAIDsGIandCV" w:history="1">
              <w:r w:rsidRPr="00D61F73">
                <w:rPr>
                  <w:rStyle w:val="Hyperlink"/>
                  <w:rFonts w:ascii="Arial" w:hAnsi="Arial" w:cs="Arial"/>
                </w:rPr>
                <w:t>NSAIDs, GI Symptoms and Cardiovascular Risks</w:t>
              </w:r>
            </w:hyperlink>
            <w:r w:rsidRPr="00D61F73">
              <w:rPr>
                <w:rFonts w:ascii="Arial" w:hAnsi="Arial" w:cs="Arial"/>
              </w:rPr>
              <w:t xml:space="preserve">. </w:t>
            </w:r>
            <w:r w:rsidRPr="00D61F73">
              <w:rPr>
                <w:rFonts w:ascii="Arial" w:hAnsi="Arial" w:cs="Arial"/>
                <w:i/>
                <w:iCs/>
              </w:rPr>
              <w:t>Cardiovascular</w:t>
            </w:r>
            <w:r w:rsidRPr="00D61F73">
              <w:rPr>
                <w:rFonts w:ascii="Arial" w:hAnsi="Arial" w:cs="Arial"/>
              </w:rPr>
              <w:t xml:space="preserve">: Hypertension (≤13%) </w:t>
            </w:r>
            <w:r w:rsidRPr="00D61F73">
              <w:rPr>
                <w:rFonts w:ascii="Arial" w:hAnsi="Arial" w:cs="Arial"/>
                <w:i/>
                <w:iCs/>
              </w:rPr>
              <w:t>CNS</w:t>
            </w:r>
            <w:r w:rsidRPr="00D61F73">
              <w:rPr>
                <w:rFonts w:ascii="Arial" w:hAnsi="Arial" w:cs="Arial"/>
              </w:rPr>
              <w:t xml:space="preserve">: headache (15.8%), dizziness (1% - 2%), insomnia (2.3%); </w:t>
            </w:r>
            <w:r w:rsidRPr="00D61F73">
              <w:rPr>
                <w:rFonts w:ascii="Arial" w:hAnsi="Arial" w:cs="Arial"/>
                <w:i/>
                <w:iCs/>
              </w:rPr>
              <w:t>GI</w:t>
            </w:r>
            <w:r w:rsidRPr="00D61F73">
              <w:rPr>
                <w:rFonts w:ascii="Arial" w:hAnsi="Arial" w:cs="Arial"/>
              </w:rPr>
              <w:t xml:space="preserve">: diarrhea (4% to 11%), dyspepsia (8.8% vs. 12.8% for ibuprofen and 6.2% for placebo), diarrhea (5.6%), abdominal pain (4.1% vs. 9% for ibuprofen and 2.8% for placebo), N/V (3.5%), gastroesophogeal reflux (≤ 5%), flatulence (2.2%); </w:t>
            </w:r>
            <w:r w:rsidRPr="00D61F73">
              <w:rPr>
                <w:rFonts w:ascii="Arial" w:hAnsi="Arial" w:cs="Arial"/>
                <w:i/>
                <w:iCs/>
              </w:rPr>
              <w:t>Neuromuscular/ skeletal</w:t>
            </w:r>
            <w:r w:rsidRPr="00D61F73">
              <w:rPr>
                <w:rFonts w:ascii="Arial" w:hAnsi="Arial" w:cs="Arial"/>
              </w:rPr>
              <w:t xml:space="preserve">: arthralgia (7%), back pain (3%); </w:t>
            </w:r>
            <w:r w:rsidRPr="00D61F73">
              <w:rPr>
                <w:rFonts w:ascii="Arial" w:hAnsi="Arial" w:cs="Arial"/>
                <w:i/>
                <w:iCs/>
              </w:rPr>
              <w:t>Respiratory</w:t>
            </w:r>
            <w:r w:rsidRPr="00D61F73">
              <w:rPr>
                <w:rFonts w:ascii="Arial" w:hAnsi="Arial" w:cs="Arial"/>
              </w:rPr>
              <w:t xml:space="preserve">: upper respiratory tract infection (8%), cough (7%), sinusitis (5%), rhinitis (2%), pharyngitis (2%); </w:t>
            </w:r>
            <w:r w:rsidRPr="00D61F73">
              <w:rPr>
                <w:rFonts w:ascii="Arial" w:hAnsi="Arial" w:cs="Arial"/>
                <w:i/>
                <w:iCs/>
              </w:rPr>
              <w:t>Skin Rash</w:t>
            </w:r>
            <w:r w:rsidRPr="00D61F73">
              <w:rPr>
                <w:rFonts w:ascii="Arial" w:hAnsi="Arial" w:cs="Arial"/>
              </w:rPr>
              <w:t xml:space="preserve"> (2%) – discontinue if rash develops; </w:t>
            </w:r>
            <w:r w:rsidRPr="00D61F73">
              <w:rPr>
                <w:rFonts w:ascii="Arial" w:hAnsi="Arial" w:cs="Arial"/>
                <w:i/>
                <w:iCs/>
              </w:rPr>
              <w:t>Peripheral Edema</w:t>
            </w:r>
            <w:r w:rsidRPr="00D61F73">
              <w:rPr>
                <w:rFonts w:ascii="Arial" w:hAnsi="Arial" w:cs="Arial"/>
              </w:rPr>
              <w:t xml:space="preserve"> (2.1%). </w:t>
            </w:r>
            <w:r w:rsidRPr="00D61F73">
              <w:rPr>
                <w:rFonts w:ascii="Arial" w:hAnsi="Arial" w:cs="Arial"/>
                <w:i/>
              </w:rPr>
              <w:t xml:space="preserve">Recommended Dose: </w:t>
            </w:r>
            <w:r w:rsidRPr="00D61F73">
              <w:rPr>
                <w:rFonts w:ascii="Arial" w:hAnsi="Arial" w:cs="Arial"/>
              </w:rPr>
              <w:t>200 mg a day (single dose or 100 mg twice a day). (Celebrex® package insert)</w:t>
            </w:r>
          </w:p>
          <w:p w14:paraId="0FE51949" w14:textId="77777777" w:rsidR="00E90DC7" w:rsidRPr="00D61F73" w:rsidRDefault="00E90DC7" w:rsidP="00D61F73">
            <w:pPr>
              <w:pStyle w:val="NormalWeb"/>
              <w:spacing w:before="0" w:beforeAutospacing="0" w:after="0" w:afterAutospacing="0"/>
              <w:rPr>
                <w:rFonts w:ascii="Arial" w:hAnsi="Arial" w:cs="Arial"/>
              </w:rPr>
            </w:pPr>
            <w:r w:rsidRPr="00D61F73">
              <w:rPr>
                <w:rFonts w:ascii="Arial" w:hAnsi="Arial" w:cs="Arial"/>
                <w:b/>
                <w:i/>
                <w:iCs/>
                <w:u w:val="single"/>
              </w:rPr>
              <w:t>Combination (NSAID/GI protectant)</w:t>
            </w:r>
            <w:r w:rsidRPr="00D61F73">
              <w:rPr>
                <w:rFonts w:ascii="Arial" w:hAnsi="Arial" w:cs="Arial"/>
                <w:b/>
              </w:rPr>
              <w:t xml:space="preserve">: </w:t>
            </w:r>
            <w:r w:rsidRPr="00D61F73">
              <w:rPr>
                <w:rFonts w:ascii="Arial" w:hAnsi="Arial" w:cs="Arial"/>
                <w:bCs/>
                <w:iCs/>
              </w:rPr>
              <w:t xml:space="preserve">Arthrotec® (diclofenac/ </w:t>
            </w:r>
            <w:r w:rsidRPr="00D61F73">
              <w:rPr>
                <w:rFonts w:ascii="Arial" w:hAnsi="Arial" w:cs="Arial"/>
                <w:bCs/>
                <w:iCs/>
              </w:rPr>
              <w:lastRenderedPageBreak/>
              <w:t>misoprostol)</w:t>
            </w:r>
            <w:r w:rsidRPr="00D61F73">
              <w:rPr>
                <w:rFonts w:ascii="Arial" w:hAnsi="Arial" w:cs="Arial"/>
              </w:rPr>
              <w:t xml:space="preserve"> 50mg/200mcg, 75mg/20mcg. </w:t>
            </w:r>
            <w:r w:rsidRPr="00D61F73">
              <w:rPr>
                <w:rFonts w:ascii="Arial" w:hAnsi="Arial" w:cs="Arial"/>
                <w:b/>
                <w:bCs/>
              </w:rPr>
              <w:t>[Black Box Warning]</w:t>
            </w:r>
            <w:r w:rsidRPr="00D61F73">
              <w:rPr>
                <w:rFonts w:ascii="Arial" w:hAnsi="Arial" w:cs="Arial"/>
                <w:b/>
              </w:rPr>
              <w:t>:</w:t>
            </w:r>
            <w:r w:rsidRPr="00D61F73">
              <w:rPr>
                <w:rFonts w:ascii="Arial" w:hAnsi="Arial" w:cs="Arial"/>
              </w:rPr>
              <w:t xml:space="preserve"> Do not administer Arthrotec®/misoprostol to pregnant women because it can cause abortion. </w:t>
            </w:r>
            <w:r w:rsidRPr="00D61F73">
              <w:rPr>
                <w:rFonts w:ascii="Arial" w:hAnsi="Arial" w:cs="Arial"/>
                <w:i/>
              </w:rPr>
              <w:t xml:space="preserve">Mechanism of action: </w:t>
            </w:r>
            <w:r w:rsidRPr="00D61F73">
              <w:rPr>
                <w:rFonts w:ascii="Arial" w:hAnsi="Arial" w:cs="Arial"/>
              </w:rPr>
              <w:t xml:space="preserve">Combines a diclofenac (an NSAID) with misoprostol, an agent that inhibits basal and nocturnal gastric acid secretion and has some mucosal protective properties. Misoprostol is available as Cytotec®. </w:t>
            </w:r>
            <w:r w:rsidRPr="00D61F73">
              <w:rPr>
                <w:rFonts w:ascii="Arial" w:hAnsi="Arial" w:cs="Arial"/>
                <w:i/>
              </w:rPr>
              <w:t xml:space="preserve">Uses: </w:t>
            </w:r>
            <w:r w:rsidRPr="00D61F73">
              <w:rPr>
                <w:rFonts w:ascii="Arial" w:hAnsi="Arial" w:cs="Arial"/>
              </w:rPr>
              <w:t xml:space="preserve">Indicated for the treatment of the signs and symptoms of osteoarthritis in patients at high risk for developing NSAID-induced gastric or duodenal ulcers and their complications. These two products are available as separate medications if you need to individualize therapy. </w:t>
            </w:r>
            <w:r w:rsidRPr="00D61F73">
              <w:rPr>
                <w:rFonts w:ascii="Arial" w:hAnsi="Arial" w:cs="Arial"/>
                <w:i/>
              </w:rPr>
              <w:t xml:space="preserve">Side Effects: </w:t>
            </w:r>
            <w:r w:rsidRPr="00D61F73">
              <w:rPr>
                <w:rFonts w:ascii="Arial" w:hAnsi="Arial" w:cs="Arial"/>
              </w:rPr>
              <w:t xml:space="preserve">See diclofenac. </w:t>
            </w:r>
            <w:r w:rsidRPr="00D61F73">
              <w:rPr>
                <w:rFonts w:ascii="Arial" w:hAnsi="Arial" w:cs="Arial"/>
                <w:i/>
              </w:rPr>
              <w:t>Misoprostol side effects: (</w:t>
            </w:r>
            <w:r w:rsidRPr="00D61F73">
              <w:rPr>
                <w:rFonts w:ascii="Arial" w:hAnsi="Arial" w:cs="Arial"/>
              </w:rPr>
              <w:t xml:space="preserve">vs. diclofenac alone). The following symptoms were increased over and above that found for diclofenac alone with the addition of misoprostol: Abdominal pain (21% with Arthrotec and 15% with diclofenac); Diarrhea (19% with Arthrotec vs. 11% with diclofenac); Dyspepsia (14% for Arthrotec vs. 11% for diclofenac); Nausea/vomiting (11% for Arthrotec vs. 6% for diclofenac); Flatulence (9% for Arthrotec vs. 4% for diclofenac). Diarrhea and abdominal pain usually resolve in 2 to 7 days. </w:t>
            </w:r>
            <w:r w:rsidRPr="00D61F73">
              <w:rPr>
                <w:rFonts w:ascii="Arial" w:hAnsi="Arial" w:cs="Arial"/>
                <w:i/>
              </w:rPr>
              <w:t xml:space="preserve">Dosing: </w:t>
            </w:r>
            <w:r w:rsidRPr="00D61F73">
              <w:rPr>
                <w:rFonts w:ascii="Arial" w:hAnsi="Arial" w:cs="Arial"/>
              </w:rPr>
              <w:t>The recommended dose for OA is diclofenac 50mg/misoprostol 200mcg</w:t>
            </w:r>
            <w:r w:rsidRPr="00D61F73">
              <w:rPr>
                <w:rFonts w:ascii="Arial" w:hAnsi="Arial" w:cs="Arial"/>
                <w:i/>
              </w:rPr>
              <w:t xml:space="preserve"> </w:t>
            </w:r>
            <w:r w:rsidRPr="00D61F73">
              <w:rPr>
                <w:rFonts w:ascii="Arial" w:hAnsi="Arial" w:cs="Arial"/>
              </w:rPr>
              <w:t>t.i.d. In patients that may not tolerate this dose, 50mg/200mcg b.i.d and 75mg/200mcg b.i.d. may be prescribed, but are somewhat less effective in ulcer prevention. (Arthrotec® Package Insert) (</w:t>
            </w:r>
            <w:hyperlink w:anchor="Bocanegra" w:history="1">
              <w:r w:rsidRPr="00D61F73">
                <w:rPr>
                  <w:rStyle w:val="Hyperlink"/>
                  <w:rFonts w:ascii="Arial" w:hAnsi="Arial" w:cs="Arial"/>
                </w:rPr>
                <w:t>Bocanegra, 1998</w:t>
              </w:r>
            </w:hyperlink>
            <w:r w:rsidRPr="00D61F73">
              <w:rPr>
                <w:rFonts w:ascii="Arial" w:hAnsi="Arial" w:cs="Arial"/>
              </w:rPr>
              <w:t>)</w:t>
            </w:r>
          </w:p>
          <w:p w14:paraId="6307BFD0" w14:textId="77777777" w:rsidR="00E90DC7" w:rsidRPr="00D61F73" w:rsidRDefault="00E90DC7" w:rsidP="00D61F73">
            <w:pPr>
              <w:pStyle w:val="Heading1"/>
              <w:rPr>
                <w:rFonts w:ascii="Arial" w:hAnsi="Arial" w:cs="Arial"/>
                <w:bCs w:val="0"/>
                <w:iCs/>
              </w:rPr>
            </w:pPr>
            <w:r w:rsidRPr="00D61F73">
              <w:rPr>
                <w:rFonts w:ascii="Arial" w:hAnsi="Arial" w:cs="Arial"/>
                <w:i/>
                <w:iCs/>
                <w:u w:val="single"/>
              </w:rPr>
              <w:t>NONSELECTIVE NSAIDS</w:t>
            </w:r>
            <w:r w:rsidRPr="00D61F73">
              <w:rPr>
                <w:rFonts w:ascii="Arial" w:hAnsi="Arial" w:cs="Arial"/>
              </w:rPr>
              <w:t xml:space="preserve">: </w:t>
            </w:r>
            <w:r w:rsidRPr="00D61F73">
              <w:rPr>
                <w:rFonts w:ascii="Arial" w:hAnsi="Arial" w:cs="Arial"/>
                <w:b w:val="0"/>
                <w:bCs w:val="0"/>
              </w:rPr>
              <w:t xml:space="preserve">(Inhibits COX-1 and COX-2) Mechanism of action: Inhibits prostaglandin synthesis by decreasing the activity of the enzymes COX-1 and COX-2, which results in decreased formation of prostaglandins involved in the physiologic response of pain and inflammation. Side Effects: See Disease-state warnings above. Other common side effects include the following. CNS: headache, dizziness, insomnia; Skin: rash including life-threatening skin reactions (Stevens-Johnson syndrome) **Discontinue if rash develops**; GI: abdominal cramps, nausea/vomiting, diarrhea, constipation, flatulence; Otic: Tinnitus; Hematologic: Anemia. </w:t>
            </w:r>
            <w:r w:rsidRPr="00D61F73">
              <w:rPr>
                <w:rFonts w:ascii="Arial" w:hAnsi="Arial" w:cs="Arial"/>
                <w:b w:val="0"/>
                <w:iCs/>
              </w:rPr>
              <w:t>Specific NSAIDS are listed below:</w:t>
            </w:r>
          </w:p>
          <w:p w14:paraId="3B56748A" w14:textId="0DF30EB1" w:rsidR="00E90DC7" w:rsidRPr="00D61F73" w:rsidRDefault="00E90DC7" w:rsidP="00D61F73">
            <w:pPr>
              <w:rPr>
                <w:rFonts w:ascii="Arial" w:hAnsi="Arial" w:cs="Arial"/>
              </w:rPr>
            </w:pPr>
            <w:r w:rsidRPr="00D61F73">
              <w:rPr>
                <w:rFonts w:ascii="Arial" w:hAnsi="Arial" w:cs="Arial"/>
                <w:bCs/>
                <w:i/>
                <w:u w:val="single"/>
              </w:rPr>
              <w:t>Diclofenac Sodium</w:t>
            </w:r>
            <w:r w:rsidRPr="00D61F73">
              <w:rPr>
                <w:rFonts w:ascii="Arial" w:hAnsi="Arial" w:cs="Arial"/>
                <w:bCs/>
                <w:i/>
              </w:rPr>
              <w:t xml:space="preserve"> (Voltaren®, Voltaren-XR®) generic available:</w:t>
            </w:r>
            <w:r w:rsidRPr="00D61F73">
              <w:rPr>
                <w:rFonts w:ascii="Arial" w:hAnsi="Arial" w:cs="Arial"/>
                <w:b/>
                <w:i/>
              </w:rPr>
              <w:t xml:space="preserve"> </w:t>
            </w:r>
            <w:r w:rsidRPr="00D61F73">
              <w:rPr>
                <w:rFonts w:ascii="Arial" w:hAnsi="Arial" w:cs="Arial"/>
              </w:rPr>
              <w:t xml:space="preserve">(Voltaren®, diclofenac sodium enteric-coated tablet Package Insert), (Voltaren®-XR, diclofenac sodium extended-release tablets Package Insert) See also </w:t>
            </w:r>
            <w:hyperlink w:anchor="Zorvolex" w:history="1">
              <w:r w:rsidRPr="00D61F73">
                <w:rPr>
                  <w:rStyle w:val="Hyperlink"/>
                  <w:rFonts w:ascii="Arial" w:hAnsi="Arial" w:cs="Arial"/>
                </w:rPr>
                <w:t>Zorvolex</w:t>
              </w:r>
            </w:hyperlink>
            <w:r w:rsidRPr="00D61F73">
              <w:rPr>
                <w:rFonts w:ascii="Arial" w:hAnsi="Arial" w:cs="Arial"/>
              </w:rPr>
              <w:t xml:space="preserve"> (diclofenac).</w:t>
            </w:r>
          </w:p>
          <w:p w14:paraId="7EC1B423" w14:textId="77777777" w:rsidR="00E90DC7" w:rsidRPr="00D61F73" w:rsidRDefault="00E90DC7" w:rsidP="00D61F73">
            <w:pPr>
              <w:rPr>
                <w:rFonts w:ascii="Arial" w:hAnsi="Arial" w:cs="Arial"/>
              </w:rPr>
            </w:pPr>
            <w:r w:rsidRPr="00D61F73">
              <w:rPr>
                <w:rFonts w:ascii="Arial" w:hAnsi="Arial" w:cs="Arial"/>
                <w:bCs/>
                <w:i/>
                <w:u w:val="single"/>
              </w:rPr>
              <w:t xml:space="preserve">Diclofenac Potassium </w:t>
            </w:r>
            <w:r w:rsidRPr="00D61F73">
              <w:rPr>
                <w:rFonts w:ascii="Arial" w:hAnsi="Arial" w:cs="Arial"/>
                <w:bCs/>
                <w:i/>
              </w:rPr>
              <w:t>(Cataflam®, generic available):</w:t>
            </w:r>
            <w:r w:rsidRPr="00D61F73">
              <w:rPr>
                <w:rFonts w:ascii="Arial" w:hAnsi="Arial" w:cs="Arial"/>
                <w:b/>
              </w:rPr>
              <w:t xml:space="preserve"> </w:t>
            </w:r>
            <w:r w:rsidRPr="00D61F73">
              <w:rPr>
                <w:rFonts w:ascii="Arial" w:hAnsi="Arial" w:cs="Arial"/>
              </w:rPr>
              <w:t xml:space="preserve">(Cataflam®, diclofenac potassium immediate-release tablets Package Insert) Different formulations of diclofenac are not necessarily bioequivalent. </w:t>
            </w:r>
            <w:r w:rsidRPr="00D61F73">
              <w:rPr>
                <w:rFonts w:ascii="Arial" w:hAnsi="Arial" w:cs="Arial"/>
                <w:i/>
              </w:rPr>
              <w:t>Dosing:</w:t>
            </w:r>
            <w:r w:rsidRPr="00D61F73">
              <w:rPr>
                <w:rFonts w:ascii="Arial" w:hAnsi="Arial" w:cs="Arial"/>
              </w:rPr>
              <w:t xml:space="preserve"> Cataflam®:</w:t>
            </w:r>
            <w:r w:rsidRPr="00D61F73">
              <w:rPr>
                <w:rFonts w:ascii="Arial" w:hAnsi="Arial" w:cs="Arial"/>
                <w:u w:val="single"/>
              </w:rPr>
              <w:t xml:space="preserve"> </w:t>
            </w:r>
            <w:r w:rsidRPr="00D61F73">
              <w:rPr>
                <w:rFonts w:ascii="Arial" w:hAnsi="Arial" w:cs="Arial"/>
                <w:i/>
              </w:rPr>
              <w:t>O</w:t>
            </w:r>
            <w:r w:rsidRPr="00D61F73">
              <w:rPr>
                <w:rFonts w:ascii="Arial" w:hAnsi="Arial" w:cs="Arial"/>
                <w:bCs/>
                <w:i/>
              </w:rPr>
              <w:t>steoarthritis:</w:t>
            </w:r>
            <w:r w:rsidRPr="00D61F73">
              <w:rPr>
                <w:rFonts w:ascii="Arial" w:hAnsi="Arial" w:cs="Arial"/>
              </w:rPr>
              <w:t xml:space="preserve"> </w:t>
            </w:r>
            <w:r w:rsidRPr="00D61F73">
              <w:rPr>
                <w:rFonts w:ascii="Arial" w:hAnsi="Arial" w:cs="Arial"/>
                <w:i/>
                <w:iCs/>
              </w:rPr>
              <w:t>Adults:</w:t>
            </w:r>
            <w:r w:rsidRPr="00D61F73">
              <w:rPr>
                <w:rFonts w:ascii="Arial" w:hAnsi="Arial" w:cs="Arial"/>
              </w:rPr>
              <w:t xml:space="preserve"> 50 mg PO 2—3 times daily. Dosages &gt; 150 mg/day PO are not recommended. </w:t>
            </w:r>
            <w:r w:rsidRPr="00D61F73">
              <w:rPr>
                <w:rFonts w:ascii="Arial" w:hAnsi="Arial" w:cs="Arial"/>
                <w:i/>
              </w:rPr>
              <w:t>Pain</w:t>
            </w:r>
            <w:r w:rsidRPr="00D61F73">
              <w:rPr>
                <w:rFonts w:ascii="Arial" w:hAnsi="Arial" w:cs="Arial"/>
              </w:rPr>
              <w:t>: 50mg PO 3 times per day (max dose is 150mg/day). An initial dose of 100 mg PO followed by 50-mg doses may provide better relief. Voltaren®:</w:t>
            </w:r>
            <w:r w:rsidRPr="00D61F73">
              <w:rPr>
                <w:rFonts w:ascii="Arial" w:hAnsi="Arial" w:cs="Arial"/>
                <w:u w:val="single"/>
              </w:rPr>
              <w:t xml:space="preserve"> </w:t>
            </w:r>
            <w:r w:rsidRPr="00D61F73">
              <w:rPr>
                <w:rFonts w:ascii="Arial" w:hAnsi="Arial" w:cs="Arial"/>
                <w:i/>
              </w:rPr>
              <w:t xml:space="preserve">Osteoarthritis: </w:t>
            </w:r>
            <w:r w:rsidRPr="00D61F73">
              <w:rPr>
                <w:rFonts w:ascii="Arial" w:hAnsi="Arial" w:cs="Arial"/>
              </w:rPr>
              <w:t xml:space="preserve">50 mg PO 2—3 times daily or 75 mg PO twice daily. Dosages &gt; 150 mg/day PO are not recommended. </w:t>
            </w:r>
            <w:r w:rsidRPr="00D61F73">
              <w:rPr>
                <w:rFonts w:ascii="Arial" w:hAnsi="Arial" w:cs="Arial"/>
                <w:i/>
              </w:rPr>
              <w:t>Ankylosing spondylitis</w:t>
            </w:r>
            <w:r w:rsidRPr="00D61F73">
              <w:rPr>
                <w:rFonts w:ascii="Arial" w:hAnsi="Arial" w:cs="Arial"/>
              </w:rPr>
              <w:t>: 25 mg PO 4 times a day with an extra 25-mg dose at bedtime if necessary. Voltaren®-XR:</w:t>
            </w:r>
            <w:r w:rsidRPr="00D61F73">
              <w:rPr>
                <w:rFonts w:ascii="Arial" w:hAnsi="Arial" w:cs="Arial"/>
                <w:u w:val="single"/>
              </w:rPr>
              <w:t xml:space="preserve"> </w:t>
            </w:r>
            <w:r w:rsidRPr="00D61F73">
              <w:rPr>
                <w:rFonts w:ascii="Arial" w:hAnsi="Arial" w:cs="Arial"/>
              </w:rPr>
              <w:t>100 mg PO once daily for chronic therapy. Voltaren®-XR is not indicated for the management of acute pain and should only be used as chronic maintenance therapy.</w:t>
            </w:r>
          </w:p>
          <w:p w14:paraId="68289308" w14:textId="77777777" w:rsidR="00E90DC7" w:rsidRPr="00D61F73" w:rsidRDefault="00E90DC7" w:rsidP="00D61F73">
            <w:pPr>
              <w:rPr>
                <w:rFonts w:ascii="Arial" w:hAnsi="Arial" w:cs="Arial"/>
              </w:rPr>
            </w:pPr>
            <w:r w:rsidRPr="00D61F73">
              <w:rPr>
                <w:rFonts w:ascii="Arial" w:hAnsi="Arial" w:cs="Arial"/>
                <w:bCs/>
                <w:i/>
                <w:u w:val="single"/>
              </w:rPr>
              <w:t xml:space="preserve">Diflunisal </w:t>
            </w:r>
            <w:r w:rsidRPr="00D61F73">
              <w:rPr>
                <w:rFonts w:ascii="Arial" w:hAnsi="Arial" w:cs="Arial"/>
                <w:bCs/>
                <w:i/>
              </w:rPr>
              <w:t>(Dolobid®, generic available):</w:t>
            </w:r>
            <w:r w:rsidRPr="00D61F73">
              <w:rPr>
                <w:rFonts w:ascii="Arial" w:hAnsi="Arial" w:cs="Arial"/>
              </w:rPr>
              <w:t xml:space="preserve"> </w:t>
            </w:r>
            <w:r w:rsidRPr="00D61F73">
              <w:rPr>
                <w:rFonts w:ascii="Arial" w:hAnsi="Arial" w:cs="Arial"/>
                <w:i/>
              </w:rPr>
              <w:t xml:space="preserve">Dosing: </w:t>
            </w:r>
            <w:r w:rsidRPr="00D61F73">
              <w:rPr>
                <w:rFonts w:ascii="Arial" w:hAnsi="Arial" w:cs="Arial"/>
              </w:rPr>
              <w:t>M</w:t>
            </w:r>
            <w:r w:rsidRPr="00D61F73">
              <w:rPr>
                <w:rFonts w:ascii="Arial" w:hAnsi="Arial" w:cs="Arial"/>
                <w:i/>
              </w:rPr>
              <w:t>ild to moderate pain</w:t>
            </w:r>
            <w:r w:rsidRPr="00D61F73">
              <w:rPr>
                <w:rFonts w:ascii="Arial" w:hAnsi="Arial" w:cs="Arial"/>
              </w:rPr>
              <w:t xml:space="preserve"> (arthralgia, bone pain, myalgia); 1 gm initially, followed by 500mg every 12 </w:t>
            </w:r>
            <w:r w:rsidRPr="00D61F73">
              <w:rPr>
                <w:rFonts w:ascii="Arial" w:hAnsi="Arial" w:cs="Arial"/>
              </w:rPr>
              <w:lastRenderedPageBreak/>
              <w:t xml:space="preserve">hours; some patients may require 500mg PO every 8 hours (Max 1500mg/day). </w:t>
            </w:r>
            <w:r w:rsidRPr="00D61F73">
              <w:rPr>
                <w:rFonts w:ascii="Arial" w:hAnsi="Arial" w:cs="Arial"/>
                <w:i/>
              </w:rPr>
              <w:t>Osteoarthritis</w:t>
            </w:r>
            <w:r w:rsidRPr="00D61F73">
              <w:rPr>
                <w:rFonts w:ascii="Arial" w:hAnsi="Arial" w:cs="Arial"/>
              </w:rPr>
              <w:t>: 250-500mg PO twice daily (Max 1500mg/day). (Dolubid® Package Insert)</w:t>
            </w:r>
          </w:p>
          <w:p w14:paraId="779D7E88" w14:textId="77777777" w:rsidR="00E90DC7" w:rsidRPr="00D61F73" w:rsidRDefault="00E90DC7" w:rsidP="00D61F73">
            <w:pPr>
              <w:rPr>
                <w:rFonts w:ascii="Arial" w:hAnsi="Arial" w:cs="Arial"/>
              </w:rPr>
            </w:pPr>
            <w:r w:rsidRPr="00D61F73">
              <w:rPr>
                <w:rFonts w:ascii="Arial" w:hAnsi="Arial" w:cs="Arial"/>
                <w:bCs/>
                <w:i/>
                <w:iCs/>
                <w:u w:val="single"/>
              </w:rPr>
              <w:t xml:space="preserve">Etodolac </w:t>
            </w:r>
            <w:r w:rsidRPr="00D61F73">
              <w:rPr>
                <w:rFonts w:ascii="Arial" w:hAnsi="Arial" w:cs="Arial"/>
                <w:bCs/>
                <w:i/>
                <w:iCs/>
              </w:rPr>
              <w:t>(Lodine®, Lodine XL®, generic available):</w:t>
            </w:r>
            <w:r w:rsidRPr="00D61F73">
              <w:rPr>
                <w:rFonts w:ascii="Arial" w:hAnsi="Arial" w:cs="Arial"/>
                <w:b/>
              </w:rPr>
              <w:t xml:space="preserve"> </w:t>
            </w:r>
            <w:r w:rsidRPr="00D61F73">
              <w:rPr>
                <w:rFonts w:ascii="Arial" w:hAnsi="Arial" w:cs="Arial"/>
                <w:i/>
              </w:rPr>
              <w:t xml:space="preserve">Dosing: </w:t>
            </w:r>
            <w:r w:rsidRPr="00D61F73">
              <w:rPr>
                <w:rFonts w:ascii="Arial" w:hAnsi="Arial" w:cs="Arial"/>
              </w:rPr>
              <w:t>Lodine®:</w:t>
            </w:r>
            <w:r w:rsidRPr="00D61F73">
              <w:rPr>
                <w:rFonts w:ascii="Arial" w:hAnsi="Arial" w:cs="Arial"/>
                <w:u w:val="single"/>
              </w:rPr>
              <w:t xml:space="preserve"> </w:t>
            </w:r>
            <w:r w:rsidRPr="00D61F73">
              <w:rPr>
                <w:rFonts w:ascii="Arial" w:hAnsi="Arial" w:cs="Arial"/>
                <w:i/>
              </w:rPr>
              <w:t>Mild to moderate pain (acute</w:t>
            </w:r>
            <w:r w:rsidRPr="00D61F73">
              <w:rPr>
                <w:rFonts w:ascii="Arial" w:hAnsi="Arial" w:cs="Arial"/>
              </w:rPr>
              <w:t xml:space="preserve">); 200-400mg PO every 6 to 8 hours (max 1000mg daily). </w:t>
            </w:r>
            <w:r w:rsidRPr="00D61F73">
              <w:rPr>
                <w:rFonts w:ascii="Arial" w:hAnsi="Arial" w:cs="Arial"/>
                <w:i/>
              </w:rPr>
              <w:t>Osteoarthritis</w:t>
            </w:r>
            <w:r w:rsidRPr="00D61F73">
              <w:rPr>
                <w:rFonts w:ascii="Arial" w:hAnsi="Arial" w:cs="Arial"/>
              </w:rPr>
              <w:t xml:space="preserve">: 300mg PO 2-3 times daily or 400 – 500mg twice daily (doses &gt; 1000mg/day have not been evaluated). Lodine®-XL: </w:t>
            </w:r>
            <w:r w:rsidRPr="00D61F73">
              <w:rPr>
                <w:rFonts w:ascii="Arial" w:hAnsi="Arial" w:cs="Arial"/>
                <w:i/>
              </w:rPr>
              <w:t xml:space="preserve">Osteoarthritis: </w:t>
            </w:r>
            <w:r w:rsidRPr="00D61F73">
              <w:rPr>
                <w:rFonts w:ascii="Arial" w:hAnsi="Arial" w:cs="Arial"/>
              </w:rPr>
              <w:t>400 to 1000 mg once daily. A therapeutic response may not be seen for 1-2 weeks.</w:t>
            </w:r>
          </w:p>
          <w:p w14:paraId="700C256F" w14:textId="77777777" w:rsidR="00E90DC7" w:rsidRPr="00D61F73" w:rsidRDefault="00E90DC7" w:rsidP="00D61F73">
            <w:pPr>
              <w:rPr>
                <w:rFonts w:ascii="Arial" w:hAnsi="Arial" w:cs="Arial"/>
                <w:i/>
              </w:rPr>
            </w:pPr>
            <w:r w:rsidRPr="00D61F73">
              <w:rPr>
                <w:rFonts w:ascii="Arial" w:hAnsi="Arial" w:cs="Arial"/>
                <w:bCs/>
                <w:i/>
                <w:iCs/>
                <w:u w:val="single"/>
              </w:rPr>
              <w:t xml:space="preserve">Fenoprofen </w:t>
            </w:r>
            <w:r w:rsidRPr="00D61F73">
              <w:rPr>
                <w:rFonts w:ascii="Arial" w:hAnsi="Arial" w:cs="Arial"/>
                <w:bCs/>
                <w:i/>
                <w:iCs/>
              </w:rPr>
              <w:t>(Nalfon®, generic available):</w:t>
            </w:r>
            <w:r w:rsidRPr="00D61F73">
              <w:rPr>
                <w:rFonts w:ascii="Arial" w:hAnsi="Arial" w:cs="Arial"/>
              </w:rPr>
              <w:t xml:space="preserve"> 200, 600 mg. </w:t>
            </w:r>
            <w:r w:rsidRPr="00D61F73">
              <w:rPr>
                <w:rFonts w:ascii="Arial" w:hAnsi="Arial" w:cs="Arial"/>
                <w:i/>
              </w:rPr>
              <w:t>Dosing: osteoarthritis</w:t>
            </w:r>
            <w:r w:rsidRPr="00D61F73">
              <w:rPr>
                <w:rFonts w:ascii="Arial" w:hAnsi="Arial" w:cs="Arial"/>
              </w:rPr>
              <w:t xml:space="preserve">; (off-label use for ankylosing spondylitis); 300 – 600mg PO 3 to 4 times per day (Max daily dose is 3200mg). Improvement may take as long as 2 to 3 weeks. </w:t>
            </w:r>
            <w:r w:rsidRPr="00D61F73">
              <w:rPr>
                <w:rFonts w:ascii="Arial" w:hAnsi="Arial" w:cs="Arial"/>
                <w:i/>
              </w:rPr>
              <w:t xml:space="preserve">Mild to moderate pain </w:t>
            </w:r>
            <w:r w:rsidRPr="00D61F73">
              <w:rPr>
                <w:rFonts w:ascii="Arial" w:hAnsi="Arial" w:cs="Arial"/>
              </w:rPr>
              <w:t>(off-label use for bone pain</w:t>
            </w:r>
            <w:r w:rsidRPr="00D61F73">
              <w:rPr>
                <w:rFonts w:ascii="Arial" w:hAnsi="Arial" w:cs="Arial"/>
                <w:iCs/>
              </w:rPr>
              <w:t>)</w:t>
            </w:r>
            <w:r w:rsidRPr="00D61F73">
              <w:rPr>
                <w:rFonts w:ascii="Arial" w:hAnsi="Arial" w:cs="Arial"/>
              </w:rPr>
              <w:t>: 200mg PO every 4 to 6 hours as needed.</w:t>
            </w:r>
            <w:r w:rsidRPr="00D61F73">
              <w:rPr>
                <w:rFonts w:ascii="Arial" w:hAnsi="Arial" w:cs="Arial"/>
                <w:i/>
              </w:rPr>
              <w:t xml:space="preserve"> </w:t>
            </w:r>
          </w:p>
          <w:p w14:paraId="1D05013F" w14:textId="77777777" w:rsidR="00E90DC7" w:rsidRPr="00D61F73" w:rsidRDefault="00E90DC7" w:rsidP="00D61F73">
            <w:pPr>
              <w:rPr>
                <w:rFonts w:ascii="Arial" w:hAnsi="Arial" w:cs="Arial"/>
              </w:rPr>
            </w:pPr>
            <w:r w:rsidRPr="00D61F73">
              <w:rPr>
                <w:rFonts w:ascii="Arial" w:hAnsi="Arial" w:cs="Arial"/>
                <w:bCs/>
                <w:i/>
                <w:iCs/>
                <w:u w:val="single"/>
              </w:rPr>
              <w:t xml:space="preserve">Flurbiprofen </w:t>
            </w:r>
            <w:r w:rsidRPr="00D61F73">
              <w:rPr>
                <w:rFonts w:ascii="Arial" w:hAnsi="Arial" w:cs="Arial"/>
                <w:bCs/>
                <w:i/>
                <w:iCs/>
              </w:rPr>
              <w:t>(Ansaid®, generic available):</w:t>
            </w:r>
            <w:r w:rsidRPr="00D61F73">
              <w:rPr>
                <w:rFonts w:ascii="Arial" w:hAnsi="Arial" w:cs="Arial"/>
              </w:rPr>
              <w:t xml:space="preserve"> 50, 100 mg. </w:t>
            </w:r>
            <w:r w:rsidRPr="00D61F73">
              <w:rPr>
                <w:rFonts w:ascii="Arial" w:hAnsi="Arial" w:cs="Arial"/>
                <w:i/>
              </w:rPr>
              <w:t>Dosing:</w:t>
            </w:r>
            <w:r w:rsidRPr="00D61F73">
              <w:rPr>
                <w:rFonts w:ascii="Arial" w:hAnsi="Arial" w:cs="Arial"/>
              </w:rPr>
              <w:t xml:space="preserve"> </w:t>
            </w:r>
            <w:r w:rsidRPr="00D61F73">
              <w:rPr>
                <w:rFonts w:ascii="Arial" w:hAnsi="Arial" w:cs="Arial"/>
                <w:i/>
              </w:rPr>
              <w:t xml:space="preserve">Osteoarthritis and mild to moderate pain: </w:t>
            </w:r>
            <w:r w:rsidRPr="00D61F73">
              <w:rPr>
                <w:rFonts w:ascii="Arial" w:hAnsi="Arial" w:cs="Arial"/>
              </w:rPr>
              <w:t>200-300mg per day at intervals of 2 to 4 divided doses. The maximum daily dose is 300 mg/day and the maximum divided dose is 100 mg (for instance, 100 mg twice a day).</w:t>
            </w:r>
          </w:p>
          <w:p w14:paraId="640D9358" w14:textId="77777777" w:rsidR="00E90DC7" w:rsidRPr="00D61F73" w:rsidRDefault="00E90DC7" w:rsidP="00D61F73">
            <w:pPr>
              <w:rPr>
                <w:rFonts w:ascii="Arial" w:hAnsi="Arial" w:cs="Arial"/>
              </w:rPr>
            </w:pPr>
            <w:r w:rsidRPr="00D61F73">
              <w:rPr>
                <w:rFonts w:ascii="Arial" w:hAnsi="Arial" w:cs="Arial"/>
                <w:bCs/>
                <w:i/>
                <w:iCs/>
                <w:u w:val="single"/>
              </w:rPr>
              <w:t xml:space="preserve">Ibuprofen </w:t>
            </w:r>
            <w:r w:rsidRPr="00D61F73">
              <w:rPr>
                <w:rFonts w:ascii="Arial" w:hAnsi="Arial" w:cs="Arial"/>
                <w:bCs/>
                <w:i/>
                <w:iCs/>
              </w:rPr>
              <w:t>(Motrin®, Advil® [otc], generic available):</w:t>
            </w:r>
            <w:r w:rsidRPr="00D61F73">
              <w:rPr>
                <w:rFonts w:ascii="Arial" w:hAnsi="Arial" w:cs="Arial"/>
              </w:rPr>
              <w:t xml:space="preserve"> 300, 400, 600, 800 mg. </w:t>
            </w:r>
            <w:r w:rsidRPr="00D61F73">
              <w:rPr>
                <w:rFonts w:ascii="Arial" w:hAnsi="Arial" w:cs="Arial"/>
                <w:i/>
              </w:rPr>
              <w:t>Dosing: O</w:t>
            </w:r>
            <w:r w:rsidRPr="00D61F73">
              <w:rPr>
                <w:rFonts w:ascii="Arial" w:hAnsi="Arial" w:cs="Arial"/>
                <w:bCs/>
                <w:i/>
              </w:rPr>
              <w:t xml:space="preserve">steoarthritis and off-label for ankylosing spondylitis: </w:t>
            </w:r>
            <w:r w:rsidRPr="00D61F73">
              <w:rPr>
                <w:rFonts w:ascii="Arial" w:hAnsi="Arial" w:cs="Arial"/>
                <w:bCs/>
              </w:rPr>
              <w:t xml:space="preserve">1200 mg to 3200 mg daily. Individual patients may show no better response to 3200 mg as 2400 mg, and sufficient clinical improvement should be observed to offset potential risk of treatment with the increased dose. Higher doses are generally recommended for rheumatoid arthritis: </w:t>
            </w:r>
            <w:r w:rsidRPr="00D61F73">
              <w:rPr>
                <w:rFonts w:ascii="Arial" w:hAnsi="Arial" w:cs="Arial"/>
              </w:rPr>
              <w:t xml:space="preserve">400-800 mg PO 3-4 times a day, use the lowest effective dose. Higher doses are usually necessary for osteoarthritis. Doses should not exceed 3200 mg/day. </w:t>
            </w:r>
            <w:r w:rsidRPr="00D61F73">
              <w:rPr>
                <w:rFonts w:ascii="Arial" w:hAnsi="Arial" w:cs="Arial"/>
                <w:bCs/>
                <w:i/>
              </w:rPr>
              <w:t>Mild pain to moderate pain</w:t>
            </w:r>
            <w:r w:rsidRPr="00D61F73">
              <w:rPr>
                <w:rFonts w:ascii="Arial" w:hAnsi="Arial" w:cs="Arial"/>
                <w:b/>
                <w:bCs/>
              </w:rPr>
              <w:t>:</w:t>
            </w:r>
            <w:r w:rsidRPr="00D61F73">
              <w:rPr>
                <w:rFonts w:ascii="Arial" w:hAnsi="Arial" w:cs="Arial"/>
              </w:rPr>
              <w:t xml:space="preserve"> 400 mg PO every 4-6 hours as needed. Doses greater than 400 mg have not provided greater relief of pain.</w:t>
            </w:r>
          </w:p>
          <w:p w14:paraId="77DA7F6A" w14:textId="408750D3" w:rsidR="00E90DC7" w:rsidRPr="00D61F73" w:rsidRDefault="00E90DC7" w:rsidP="00D61F73">
            <w:pPr>
              <w:rPr>
                <w:rFonts w:ascii="Arial" w:hAnsi="Arial" w:cs="Arial"/>
              </w:rPr>
            </w:pPr>
            <w:r w:rsidRPr="00D61F73">
              <w:rPr>
                <w:rFonts w:ascii="Arial" w:hAnsi="Arial" w:cs="Arial"/>
                <w:bCs/>
                <w:i/>
                <w:iCs/>
                <w:u w:val="single"/>
              </w:rPr>
              <w:t xml:space="preserve">Indomethacin </w:t>
            </w:r>
            <w:r w:rsidRPr="00D61F73">
              <w:rPr>
                <w:rFonts w:ascii="Arial" w:hAnsi="Arial" w:cs="Arial"/>
                <w:bCs/>
                <w:i/>
                <w:iCs/>
              </w:rPr>
              <w:t>(Indocin®, Indocin SR®, generic available):</w:t>
            </w:r>
            <w:r w:rsidRPr="00D61F73">
              <w:rPr>
                <w:rFonts w:ascii="Arial" w:hAnsi="Arial" w:cs="Arial"/>
                <w:i/>
                <w:iCs/>
              </w:rPr>
              <w:t xml:space="preserve"> </w:t>
            </w:r>
            <w:r w:rsidRPr="00D61F73">
              <w:rPr>
                <w:rFonts w:ascii="Arial" w:hAnsi="Arial" w:cs="Arial"/>
              </w:rPr>
              <w:t xml:space="preserve">This medication is generally not recommended in the elderly due to increased risk of adverse effects. </w:t>
            </w:r>
            <w:r w:rsidRPr="00D61F73">
              <w:rPr>
                <w:rFonts w:ascii="Arial" w:hAnsi="Arial" w:cs="Arial"/>
                <w:bCs/>
              </w:rPr>
              <w:t xml:space="preserve">Indocin is not commonly used any more, now that its risks are known, so it is not recommended as a first-line NSAID. </w:t>
            </w:r>
            <w:r w:rsidRPr="00D61F73">
              <w:rPr>
                <w:rFonts w:ascii="Arial" w:hAnsi="Arial" w:cs="Arial"/>
                <w:i/>
              </w:rPr>
              <w:t>Dosing:</w:t>
            </w:r>
            <w:r w:rsidRPr="00D61F73">
              <w:rPr>
                <w:rFonts w:ascii="Arial" w:hAnsi="Arial" w:cs="Arial"/>
                <w:b/>
                <w:bCs/>
              </w:rPr>
              <w:t xml:space="preserve"> </w:t>
            </w:r>
            <w:r w:rsidRPr="00D61F73">
              <w:rPr>
                <w:rFonts w:ascii="Arial" w:hAnsi="Arial" w:cs="Arial"/>
                <w:bCs/>
                <w:i/>
              </w:rPr>
              <w:t xml:space="preserve">Osteoarthritis, or ankylosing spondylitis: </w:t>
            </w:r>
            <w:r w:rsidRPr="00D61F73">
              <w:rPr>
                <w:rFonts w:ascii="Arial" w:hAnsi="Arial" w:cs="Arial"/>
              </w:rPr>
              <w:t xml:space="preserve">NOTE: If minor adverse effects develop as the dosage is increased, rapidly reduce the dose to a tolerated dose and closely observe the patient. If severe adverse reactions occur, discontinue. </w:t>
            </w:r>
            <w:r w:rsidRPr="00D61F73">
              <w:rPr>
                <w:rFonts w:ascii="Arial" w:hAnsi="Arial" w:cs="Arial"/>
                <w:i/>
                <w:iCs/>
              </w:rPr>
              <w:t>Regular-release capsules, suspension (25 mg and 50 mg):</w:t>
            </w:r>
            <w:r w:rsidRPr="00D61F73">
              <w:rPr>
                <w:rFonts w:ascii="Arial" w:hAnsi="Arial" w:cs="Arial"/>
              </w:rPr>
              <w:t xml:space="preserve"> 25 mg PO 2—3 times a day with food or antacids; may increase dose by 25 mg/day PO every 7 days up to 150—200 mg/day. In patients who have persistent night pain and/or morning stiffness, administer a large portion of the total daily dose, up to 100 mg/dose, at bedtime. </w:t>
            </w:r>
            <w:r w:rsidRPr="00D61F73">
              <w:rPr>
                <w:rFonts w:ascii="Arial" w:hAnsi="Arial" w:cs="Arial"/>
                <w:i/>
                <w:iCs/>
              </w:rPr>
              <w:t>Sustained-release capsules (75 mg):</w:t>
            </w:r>
            <w:r w:rsidRPr="00D61F73">
              <w:rPr>
                <w:rFonts w:ascii="Arial" w:hAnsi="Arial" w:cs="Arial"/>
              </w:rPr>
              <w:t xml:space="preserve"> Initially, 75 mg PO daily. Use the regular-release capsules to provide a higher dose, if needed. If 150 mg daily is tolerated and is needed, a 75 mg sustained-release capsule PO bid may be used. After the acute phase is under control, attempt to decrease the dosage to the lowest effective dosage or discontinue the drug. </w:t>
            </w:r>
            <w:r w:rsidRPr="00D61F73">
              <w:rPr>
                <w:rFonts w:ascii="Arial" w:hAnsi="Arial" w:cs="Arial"/>
                <w:bCs/>
                <w:i/>
              </w:rPr>
              <w:t>Moderate pain to severe pain including painful shoulder (bursitis and tendinitis)</w:t>
            </w:r>
            <w:r w:rsidRPr="00D61F73">
              <w:rPr>
                <w:rFonts w:ascii="Arial" w:hAnsi="Arial" w:cs="Arial"/>
                <w:bCs/>
              </w:rPr>
              <w:t xml:space="preserve"> </w:t>
            </w:r>
            <w:r w:rsidRPr="00D61F73">
              <w:rPr>
                <w:rFonts w:ascii="Arial" w:hAnsi="Arial" w:cs="Arial"/>
                <w:bCs/>
                <w:i/>
              </w:rPr>
              <w:t xml:space="preserve">as well as off-label for bone pain: </w:t>
            </w:r>
            <w:r w:rsidRPr="00D61F73">
              <w:rPr>
                <w:rFonts w:ascii="Arial" w:hAnsi="Arial" w:cs="Arial"/>
                <w:bCs/>
                <w:i/>
                <w:iCs/>
              </w:rPr>
              <w:t>R</w:t>
            </w:r>
            <w:r w:rsidRPr="00D61F73">
              <w:rPr>
                <w:rFonts w:ascii="Arial" w:hAnsi="Arial" w:cs="Arial"/>
                <w:i/>
                <w:iCs/>
              </w:rPr>
              <w:t>egular-release capsules, suspension (25 mg and 50 mg):</w:t>
            </w:r>
            <w:r w:rsidRPr="00D61F73">
              <w:rPr>
                <w:rFonts w:ascii="Arial" w:hAnsi="Arial" w:cs="Arial"/>
              </w:rPr>
              <w:t xml:space="preserve"> 75-150 mg/day PO in 3-4 divided doses. Discontinue the drug once the signs and symptoms of the inflammation have been controlled for </w:t>
            </w:r>
            <w:r w:rsidRPr="00D61F73">
              <w:rPr>
                <w:rFonts w:ascii="Arial" w:hAnsi="Arial" w:cs="Arial"/>
              </w:rPr>
              <w:lastRenderedPageBreak/>
              <w:t xml:space="preserve">several days. The usual length of therapy is 7-14 days. </w:t>
            </w:r>
            <w:r w:rsidRPr="00D61F73">
              <w:rPr>
                <w:rFonts w:ascii="Arial" w:hAnsi="Arial" w:cs="Arial"/>
                <w:i/>
                <w:iCs/>
              </w:rPr>
              <w:t>Sustained-release capsules (75 mg):</w:t>
            </w:r>
            <w:r w:rsidRPr="00D61F73">
              <w:rPr>
                <w:rFonts w:ascii="Arial" w:hAnsi="Arial" w:cs="Arial"/>
              </w:rPr>
              <w:t xml:space="preserve"> 75 mg PO 1-2 times per day. See also </w:t>
            </w:r>
            <w:hyperlink w:anchor="Tivorbex" w:history="1">
              <w:r w:rsidRPr="00D61F73">
                <w:rPr>
                  <w:rStyle w:val="Hyperlink"/>
                  <w:rFonts w:ascii="Arial" w:hAnsi="Arial" w:cs="Arial"/>
                </w:rPr>
                <w:t>Tivorbex</w:t>
              </w:r>
            </w:hyperlink>
            <w:r w:rsidRPr="00D61F73">
              <w:rPr>
                <w:rFonts w:ascii="Arial" w:hAnsi="Arial" w:cs="Arial"/>
              </w:rPr>
              <w:t xml:space="preserve"> (indomethacin).</w:t>
            </w:r>
            <w:r w:rsidRPr="00D61F73">
              <w:rPr>
                <w:rFonts w:ascii="Arial" w:hAnsi="Arial" w:cs="Arial"/>
              </w:rPr>
              <w:br/>
            </w:r>
            <w:r w:rsidRPr="00D61F73">
              <w:rPr>
                <w:rFonts w:ascii="Arial" w:hAnsi="Arial" w:cs="Arial"/>
                <w:bCs/>
                <w:i/>
                <w:iCs/>
                <w:u w:val="single"/>
              </w:rPr>
              <w:t xml:space="preserve">Ketoprofen </w:t>
            </w:r>
            <w:r w:rsidRPr="00D61F73">
              <w:rPr>
                <w:rFonts w:ascii="Arial" w:hAnsi="Arial" w:cs="Arial"/>
                <w:bCs/>
                <w:i/>
                <w:iCs/>
              </w:rPr>
              <w:t>50, 75 mg, Ketoprofen ER 200 mg:</w:t>
            </w:r>
            <w:r w:rsidRPr="00D61F73">
              <w:rPr>
                <w:rFonts w:ascii="Arial" w:hAnsi="Arial" w:cs="Arial"/>
                <w:b/>
                <w:i/>
                <w:iCs/>
              </w:rPr>
              <w:t xml:space="preserve"> </w:t>
            </w:r>
            <w:r w:rsidRPr="00D61F73">
              <w:rPr>
                <w:rFonts w:ascii="Arial" w:hAnsi="Arial" w:cs="Arial"/>
                <w:i/>
              </w:rPr>
              <w:t xml:space="preserve">Dosing: Osteoarthritis: </w:t>
            </w:r>
            <w:r w:rsidRPr="00D61F73">
              <w:rPr>
                <w:rFonts w:ascii="Arial" w:hAnsi="Arial" w:cs="Arial"/>
              </w:rPr>
              <w:t xml:space="preserve">Regular release capsule 50mg four times per day or 75mg three times per day (max 300mg/day). XR capsule 200mg once daily. </w:t>
            </w:r>
            <w:r w:rsidRPr="00D61F73">
              <w:rPr>
                <w:rFonts w:ascii="Arial" w:hAnsi="Arial" w:cs="Arial"/>
                <w:i/>
              </w:rPr>
              <w:t xml:space="preserve">Mild to moderate pain: </w:t>
            </w:r>
            <w:r w:rsidRPr="00D61F73">
              <w:rPr>
                <w:rFonts w:ascii="Arial" w:hAnsi="Arial" w:cs="Arial"/>
              </w:rPr>
              <w:t>Regular release capsule 50mg every 6 to 8 hours (Max 300mg/day); Extended-release capsules are not recommended for acute pain.</w:t>
            </w:r>
          </w:p>
          <w:p w14:paraId="14570DA8" w14:textId="77777777" w:rsidR="00E90DC7" w:rsidRPr="00D61F73" w:rsidRDefault="00E90DC7" w:rsidP="00D61F73">
            <w:pPr>
              <w:rPr>
                <w:rFonts w:ascii="Arial" w:hAnsi="Arial" w:cs="Arial"/>
              </w:rPr>
            </w:pPr>
            <w:r w:rsidRPr="00D61F73">
              <w:rPr>
                <w:rFonts w:ascii="Arial" w:hAnsi="Arial" w:cs="Arial"/>
                <w:bCs/>
                <w:i/>
                <w:iCs/>
                <w:u w:val="single"/>
              </w:rPr>
              <w:t xml:space="preserve">Ketorolac </w:t>
            </w:r>
            <w:r w:rsidRPr="00D61F73">
              <w:rPr>
                <w:rFonts w:ascii="Arial" w:hAnsi="Arial" w:cs="Arial"/>
                <w:bCs/>
                <w:i/>
                <w:iCs/>
              </w:rPr>
              <w:t>(Toradol®, generic available):</w:t>
            </w:r>
            <w:r w:rsidRPr="00D61F73">
              <w:rPr>
                <w:rFonts w:ascii="Arial" w:hAnsi="Arial" w:cs="Arial"/>
              </w:rPr>
              <w:t xml:space="preserve"> 10 mg. </w:t>
            </w:r>
            <w:r w:rsidRPr="00D61F73">
              <w:rPr>
                <w:rFonts w:ascii="Arial" w:hAnsi="Arial" w:cs="Arial"/>
                <w:b/>
                <w:bCs/>
              </w:rPr>
              <w:t>[Boxed Warning]:</w:t>
            </w:r>
            <w:r w:rsidRPr="00D61F73">
              <w:rPr>
                <w:rFonts w:ascii="Arial" w:hAnsi="Arial" w:cs="Arial"/>
                <w:b/>
              </w:rPr>
              <w:t xml:space="preserve"> </w:t>
            </w:r>
            <w:r w:rsidRPr="00D61F73">
              <w:rPr>
                <w:rFonts w:ascii="Arial" w:hAnsi="Arial" w:cs="Arial"/>
                <w:bCs/>
              </w:rPr>
              <w:t>The oral form is only recommended for short-term (up to 5 days) in management of moderately severe acute pain that requires analgesia at the opioid level and only as continuation following IV or IM dosing, if necessary. This medication is not indicated for minor or chronic painful conditions. Increasing doses beyond a daily maximum dose of 40 mg will not provide better efficacy, and will increase the risk of serious side effects. The FDA boxed warning would relegate this drug to second-line use unless there were no safer alternatives.</w:t>
            </w:r>
            <w:r w:rsidRPr="00D61F73">
              <w:rPr>
                <w:rFonts w:ascii="Arial" w:hAnsi="Arial" w:cs="Arial"/>
                <w:b/>
              </w:rPr>
              <w:t xml:space="preserve"> </w:t>
            </w:r>
            <w:r w:rsidRPr="00D61F73">
              <w:rPr>
                <w:rFonts w:ascii="Arial" w:hAnsi="Arial" w:cs="Arial"/>
                <w:i/>
              </w:rPr>
              <w:t xml:space="preserve">Dosing: Acute pain (transition from IV or IM) for adults &lt; 65 years of age: </w:t>
            </w:r>
            <w:r w:rsidRPr="00D61F73">
              <w:rPr>
                <w:rFonts w:ascii="Arial" w:hAnsi="Arial" w:cs="Arial"/>
              </w:rPr>
              <w:t>20mg PO followed by 10mg PO every 4 to 6 hours (max 40 mg/day). An oral formulation should not be given as an initial dose. (Toradol® Package Insert) The FDA has approved a nasal formulation of ketorolac (Sprix) for short-term pain management. (</w:t>
            </w:r>
            <w:hyperlink r:id="rId127" w:history="1">
              <w:r w:rsidRPr="00D61F73">
                <w:rPr>
                  <w:rStyle w:val="Hyperlink"/>
                  <w:rFonts w:ascii="Arial" w:hAnsi="Arial" w:cs="Arial"/>
                </w:rPr>
                <w:t>FDA, 2010</w:t>
              </w:r>
            </w:hyperlink>
            <w:r w:rsidRPr="00D61F73">
              <w:rPr>
                <w:rFonts w:ascii="Arial" w:hAnsi="Arial" w:cs="Arial"/>
              </w:rPr>
              <w:t>)</w:t>
            </w:r>
          </w:p>
          <w:p w14:paraId="6AB39B27" w14:textId="77777777" w:rsidR="00E90DC7" w:rsidRPr="00D61F73" w:rsidRDefault="00E90DC7" w:rsidP="00D61F73">
            <w:pPr>
              <w:rPr>
                <w:rFonts w:ascii="Arial" w:hAnsi="Arial" w:cs="Arial"/>
              </w:rPr>
            </w:pPr>
            <w:r w:rsidRPr="00D61F73">
              <w:rPr>
                <w:rFonts w:ascii="Arial" w:hAnsi="Arial" w:cs="Arial"/>
                <w:bCs/>
                <w:i/>
                <w:iCs/>
                <w:u w:val="single"/>
              </w:rPr>
              <w:t>M</w:t>
            </w:r>
            <w:bookmarkStart w:id="337" w:name="NSAIDSmefanamic"/>
            <w:bookmarkEnd w:id="337"/>
            <w:r w:rsidRPr="00D61F73">
              <w:rPr>
                <w:rFonts w:ascii="Arial" w:hAnsi="Arial" w:cs="Arial"/>
                <w:bCs/>
                <w:i/>
                <w:iCs/>
                <w:u w:val="single"/>
              </w:rPr>
              <w:t xml:space="preserve">efenamic Acid </w:t>
            </w:r>
            <w:r w:rsidRPr="00D61F73">
              <w:rPr>
                <w:rFonts w:ascii="Arial" w:hAnsi="Arial" w:cs="Arial"/>
                <w:bCs/>
                <w:i/>
                <w:iCs/>
              </w:rPr>
              <w:t>(Ponstel®, generic available):</w:t>
            </w:r>
            <w:r w:rsidRPr="00D61F73">
              <w:rPr>
                <w:rFonts w:ascii="Arial" w:hAnsi="Arial" w:cs="Arial"/>
              </w:rPr>
              <w:t xml:space="preserve"> 250 mg. </w:t>
            </w:r>
            <w:r w:rsidRPr="00D61F73">
              <w:rPr>
                <w:rFonts w:ascii="Arial" w:hAnsi="Arial" w:cs="Arial"/>
                <w:i/>
              </w:rPr>
              <w:t>M</w:t>
            </w:r>
            <w:r w:rsidRPr="00D61F73">
              <w:rPr>
                <w:rFonts w:ascii="Arial" w:hAnsi="Arial" w:cs="Arial"/>
                <w:bCs/>
                <w:i/>
              </w:rPr>
              <w:t>ild</w:t>
            </w:r>
            <w:r w:rsidRPr="00D61F73">
              <w:rPr>
                <w:rFonts w:ascii="Arial" w:hAnsi="Arial" w:cs="Arial"/>
                <w:bCs/>
              </w:rPr>
              <w:t xml:space="preserve"> </w:t>
            </w:r>
            <w:r w:rsidRPr="00D61F73">
              <w:rPr>
                <w:rFonts w:ascii="Arial" w:hAnsi="Arial" w:cs="Arial"/>
                <w:bCs/>
                <w:i/>
              </w:rPr>
              <w:t xml:space="preserve">and moderate pain: </w:t>
            </w:r>
            <w:r w:rsidRPr="00D61F73">
              <w:rPr>
                <w:rFonts w:ascii="Arial" w:hAnsi="Arial" w:cs="Arial"/>
              </w:rPr>
              <w:t>Initially, 500 mg PO followed by 250 mg every 6 hours as needed for no longer than 7 days. (Ponstel® Package Insert)</w:t>
            </w:r>
          </w:p>
          <w:p w14:paraId="07541F0F" w14:textId="77777777" w:rsidR="00E90DC7" w:rsidRPr="00D61F73" w:rsidRDefault="00E90DC7" w:rsidP="00D61F73">
            <w:pPr>
              <w:rPr>
                <w:rFonts w:ascii="Arial" w:hAnsi="Arial" w:cs="Arial"/>
                <w:i/>
              </w:rPr>
            </w:pPr>
            <w:r w:rsidRPr="00D61F73">
              <w:rPr>
                <w:rFonts w:ascii="Arial" w:hAnsi="Arial" w:cs="Arial"/>
                <w:bCs/>
                <w:i/>
                <w:iCs/>
                <w:u w:val="single"/>
              </w:rPr>
              <w:t>Meloxi</w:t>
            </w:r>
            <w:bookmarkStart w:id="338" w:name="NSAIDmeloxicam"/>
            <w:bookmarkEnd w:id="338"/>
            <w:r w:rsidRPr="00D61F73">
              <w:rPr>
                <w:rFonts w:ascii="Arial" w:hAnsi="Arial" w:cs="Arial"/>
                <w:bCs/>
                <w:i/>
                <w:iCs/>
                <w:u w:val="single"/>
              </w:rPr>
              <w:t xml:space="preserve">cam </w:t>
            </w:r>
            <w:r w:rsidRPr="00D61F73">
              <w:rPr>
                <w:rFonts w:ascii="Arial" w:hAnsi="Arial" w:cs="Arial"/>
                <w:bCs/>
                <w:i/>
                <w:iCs/>
              </w:rPr>
              <w:t>(Mobic®, generic available):</w:t>
            </w:r>
            <w:r w:rsidRPr="00D61F73">
              <w:rPr>
                <w:rFonts w:ascii="Arial" w:hAnsi="Arial" w:cs="Arial"/>
              </w:rPr>
              <w:t xml:space="preserve"> 7.5, 15 mg. </w:t>
            </w:r>
            <w:r w:rsidRPr="00D61F73">
              <w:rPr>
                <w:rFonts w:ascii="Arial" w:hAnsi="Arial" w:cs="Arial"/>
                <w:i/>
              </w:rPr>
              <w:t xml:space="preserve">Dosing: Osteoarthritis: </w:t>
            </w:r>
            <w:r w:rsidRPr="00D61F73">
              <w:rPr>
                <w:rFonts w:ascii="Arial" w:hAnsi="Arial" w:cs="Arial"/>
              </w:rPr>
              <w:t xml:space="preserve">The usual initial dose is 7.5 mg/day, although some patients may receive additional benefit with an increase to 15 mg a day. The maximum dose is 15 mg/day. </w:t>
            </w:r>
            <w:r w:rsidRPr="00D61F73">
              <w:rPr>
                <w:rFonts w:ascii="Arial" w:hAnsi="Arial" w:cs="Arial"/>
                <w:i/>
              </w:rPr>
              <w:t xml:space="preserve">Use for mild to moderate pain is off-label. </w:t>
            </w:r>
            <w:r w:rsidRPr="00D61F73">
              <w:rPr>
                <w:rFonts w:ascii="Arial" w:hAnsi="Arial" w:cs="Arial"/>
              </w:rPr>
              <w:t>(Mobic® Package Insert)</w:t>
            </w:r>
          </w:p>
          <w:p w14:paraId="4138278A" w14:textId="77777777" w:rsidR="00E90DC7" w:rsidRPr="00D61F73" w:rsidRDefault="00E90DC7" w:rsidP="00D61F73">
            <w:pPr>
              <w:rPr>
                <w:rFonts w:ascii="Arial" w:hAnsi="Arial" w:cs="Arial"/>
                <w:bCs/>
                <w:i/>
              </w:rPr>
            </w:pPr>
            <w:r w:rsidRPr="00D61F73">
              <w:rPr>
                <w:rFonts w:ascii="Arial" w:hAnsi="Arial" w:cs="Arial"/>
                <w:bCs/>
                <w:i/>
                <w:iCs/>
                <w:u w:val="single"/>
              </w:rPr>
              <w:t xml:space="preserve">Nabumetone </w:t>
            </w:r>
            <w:r w:rsidRPr="00D61F73">
              <w:rPr>
                <w:rFonts w:ascii="Arial" w:hAnsi="Arial" w:cs="Arial"/>
                <w:bCs/>
                <w:i/>
                <w:iCs/>
              </w:rPr>
              <w:t>(Relafen®, generic available):</w:t>
            </w:r>
            <w:r w:rsidRPr="00D61F73">
              <w:rPr>
                <w:rFonts w:ascii="Arial" w:hAnsi="Arial" w:cs="Arial"/>
              </w:rPr>
              <w:t xml:space="preserve"> 500, 750 mg. </w:t>
            </w:r>
            <w:r w:rsidRPr="00D61F73">
              <w:rPr>
                <w:rFonts w:ascii="Arial" w:hAnsi="Arial" w:cs="Arial"/>
                <w:i/>
              </w:rPr>
              <w:t xml:space="preserve">Dosing: </w:t>
            </w:r>
            <w:r w:rsidRPr="00D61F73">
              <w:rPr>
                <w:rFonts w:ascii="Arial" w:hAnsi="Arial" w:cs="Arial"/>
                <w:bCs/>
                <w:i/>
              </w:rPr>
              <w:t>Osteoarthritis:</w:t>
            </w:r>
            <w:r w:rsidRPr="00D61F73">
              <w:rPr>
                <w:rFonts w:ascii="Arial" w:hAnsi="Arial" w:cs="Arial"/>
                <w:bCs/>
              </w:rPr>
              <w:t xml:space="preserve"> The recommended starting dose is 1000 mg PO. The dose can be divided into 500 mg PO twice a day. Additional relief may be obtained with a dose of 1500 mg to 2000 mg per day. The maximum dose is 2000 mg/day. </w:t>
            </w:r>
            <w:r w:rsidRPr="00D61F73">
              <w:rPr>
                <w:rFonts w:ascii="Arial" w:hAnsi="Arial" w:cs="Arial"/>
              </w:rPr>
              <w:t xml:space="preserve">Patients weighing less than 50 kg may be less likely to require doses greater than 1000 mg/day. The lowest effective dose of nabumetone should be sought for each patient. </w:t>
            </w:r>
            <w:r w:rsidRPr="00D61F73">
              <w:rPr>
                <w:rFonts w:ascii="Arial" w:hAnsi="Arial" w:cs="Arial"/>
                <w:i/>
              </w:rPr>
              <w:t xml:space="preserve">Use for moderate pain is off-label. </w:t>
            </w:r>
            <w:r w:rsidRPr="00D61F73">
              <w:rPr>
                <w:rFonts w:ascii="Arial" w:hAnsi="Arial" w:cs="Arial"/>
              </w:rPr>
              <w:t>(Relafen® Package Insert)</w:t>
            </w:r>
          </w:p>
          <w:p w14:paraId="2251AF9A" w14:textId="77777777" w:rsidR="00E90DC7" w:rsidRPr="00D61F73" w:rsidRDefault="00E90DC7" w:rsidP="00D61F73">
            <w:pPr>
              <w:rPr>
                <w:rFonts w:ascii="Arial" w:hAnsi="Arial" w:cs="Arial"/>
              </w:rPr>
            </w:pPr>
            <w:r w:rsidRPr="00D61F73">
              <w:rPr>
                <w:rFonts w:ascii="Arial" w:hAnsi="Arial" w:cs="Arial"/>
                <w:bCs/>
                <w:i/>
                <w:iCs/>
                <w:u w:val="single"/>
              </w:rPr>
              <w:t>Naproxen</w:t>
            </w:r>
            <w:r w:rsidRPr="00D61F73">
              <w:rPr>
                <w:rFonts w:ascii="Arial" w:hAnsi="Arial" w:cs="Arial"/>
                <w:bCs/>
                <w:i/>
                <w:iCs/>
              </w:rPr>
              <w:t xml:space="preserve"> (Naprosyn®):</w:t>
            </w:r>
            <w:r w:rsidRPr="00D61F73">
              <w:rPr>
                <w:rFonts w:ascii="Arial" w:hAnsi="Arial" w:cs="Arial"/>
              </w:rPr>
              <w:t xml:space="preserve"> delayed release (EC-Naprosyn®), as Sodium salt (Anaprox®, Anaprox DS®, Aleve® [otc]) Generic available; extended-release (Naprelan®): 375 mg. Different dose strengths and formulations of the drug are not necessarily bioequivalent. </w:t>
            </w:r>
            <w:r w:rsidRPr="00D61F73">
              <w:rPr>
                <w:rFonts w:ascii="Arial" w:hAnsi="Arial" w:cs="Arial"/>
                <w:i/>
              </w:rPr>
              <w:t>Dosing Information: O</w:t>
            </w:r>
            <w:r w:rsidRPr="00D61F73">
              <w:rPr>
                <w:rFonts w:ascii="Arial" w:hAnsi="Arial" w:cs="Arial"/>
                <w:bCs/>
                <w:i/>
              </w:rPr>
              <w:t>steoarthritis or ankylosing spondylitis</w:t>
            </w:r>
            <w:r w:rsidRPr="00D61F73">
              <w:rPr>
                <w:rFonts w:ascii="Arial" w:hAnsi="Arial" w:cs="Arial"/>
                <w:bCs/>
              </w:rPr>
              <w:t xml:space="preserve">: </w:t>
            </w:r>
            <w:r w:rsidRPr="00D61F73">
              <w:rPr>
                <w:rFonts w:ascii="Arial" w:hAnsi="Arial" w:cs="Arial"/>
              </w:rPr>
              <w:t xml:space="preserve">Dividing the daily dose into 3 doses versus 2 doses for immediate-release and delayed-release formulations generally does not affect response. Morning and evening doses do not have to be equal in size. The dose may be increased to 1500 mg/day of naproxyn for limited periods when a higher level of analgesic/anti-inflammatory activity is required (for up to 6 months). </w:t>
            </w:r>
            <w:r w:rsidRPr="00D61F73">
              <w:rPr>
                <w:rFonts w:ascii="Arial" w:hAnsi="Arial" w:cs="Arial"/>
                <w:i/>
                <w:iCs/>
              </w:rPr>
              <w:t>Naprosyn® or naproxyn</w:t>
            </w:r>
            <w:r w:rsidRPr="00D61F73">
              <w:rPr>
                <w:rFonts w:ascii="Arial" w:hAnsi="Arial" w:cs="Arial"/>
              </w:rPr>
              <w:t xml:space="preserve">: 250-500 mg PO twice daily. </w:t>
            </w:r>
            <w:r w:rsidRPr="00D61F73">
              <w:rPr>
                <w:rFonts w:ascii="Arial" w:hAnsi="Arial" w:cs="Arial"/>
                <w:i/>
                <w:iCs/>
              </w:rPr>
              <w:t>Anaprox</w:t>
            </w:r>
            <w:r w:rsidRPr="00D61F73">
              <w:rPr>
                <w:rFonts w:ascii="Arial" w:hAnsi="Arial" w:cs="Arial"/>
              </w:rPr>
              <w:t xml:space="preserve">: 275-550 mg PO twice daily. (total dose may be increased to 1650 mg a day for </w:t>
            </w:r>
            <w:r w:rsidRPr="00D61F73">
              <w:rPr>
                <w:rFonts w:ascii="Arial" w:hAnsi="Arial" w:cs="Arial"/>
              </w:rPr>
              <w:lastRenderedPageBreak/>
              <w:t xml:space="preserve">limited periods). </w:t>
            </w:r>
            <w:r w:rsidRPr="00D61F73">
              <w:rPr>
                <w:rFonts w:ascii="Arial" w:hAnsi="Arial" w:cs="Arial"/>
                <w:i/>
                <w:iCs/>
              </w:rPr>
              <w:t>EC-Naprosyn</w:t>
            </w:r>
            <w:r w:rsidRPr="00D61F73">
              <w:rPr>
                <w:rFonts w:ascii="Arial" w:hAnsi="Arial" w:cs="Arial"/>
              </w:rPr>
              <w:t xml:space="preserve">: 375 mg or 500 mg twice daily. The tablet should not be broken, crushed or chewed to maintain integrity of the enteric coating. </w:t>
            </w:r>
            <w:r w:rsidRPr="00D61F73">
              <w:rPr>
                <w:rFonts w:ascii="Arial" w:hAnsi="Arial" w:cs="Arial"/>
                <w:i/>
                <w:iCs/>
              </w:rPr>
              <w:t>Naprelan®</w:t>
            </w:r>
            <w:r w:rsidRPr="00D61F73">
              <w:rPr>
                <w:rFonts w:ascii="Arial" w:hAnsi="Arial" w:cs="Arial"/>
              </w:rPr>
              <w:t xml:space="preserve">: Two 375 mg tablets (750 mg) PO once daily or two 500 mg tablets (1000 mg) once daily. If required (and a lower dose was tolerated) Naprelan® can be increased to 1500 mg once daily for limited periods (when higher analgesia is required). </w:t>
            </w:r>
            <w:r w:rsidRPr="00D61F73">
              <w:rPr>
                <w:rFonts w:ascii="Arial" w:hAnsi="Arial" w:cs="Arial"/>
                <w:i/>
              </w:rPr>
              <w:t xml:space="preserve">Pain: </w:t>
            </w:r>
            <w:r w:rsidRPr="00D61F73">
              <w:rPr>
                <w:rFonts w:ascii="Arial" w:hAnsi="Arial" w:cs="Arial"/>
                <w:i/>
                <w:iCs/>
              </w:rPr>
              <w:t>Naprosyn® or naproxyn:</w:t>
            </w:r>
            <w:r w:rsidRPr="00D61F73">
              <w:rPr>
                <w:rFonts w:ascii="Arial" w:hAnsi="Arial" w:cs="Arial"/>
              </w:rPr>
              <w:t xml:space="preserve"> 250-500 mg PO twice daily. The maximum dose on day one should not exceed 1250 mg and 1000 mg on subsequent days. </w:t>
            </w:r>
            <w:r w:rsidRPr="00D61F73">
              <w:rPr>
                <w:rFonts w:ascii="Arial" w:hAnsi="Arial" w:cs="Arial"/>
                <w:i/>
                <w:iCs/>
              </w:rPr>
              <w:t>Anaprox:</w:t>
            </w:r>
            <w:r w:rsidRPr="00D61F73">
              <w:rPr>
                <w:rFonts w:ascii="Arial" w:hAnsi="Arial" w:cs="Arial"/>
              </w:rPr>
              <w:t xml:space="preserve"> 275-550 mg PO twice daily. The maximum dose on day one should not exceed 1375 mg and 1100 mg on subsequent days. Anaprox is recommended for the management of acute painful conditions because the sodium salt is more rapidly absorbed. </w:t>
            </w:r>
            <w:r w:rsidRPr="00D61F73">
              <w:rPr>
                <w:rFonts w:ascii="Arial" w:hAnsi="Arial" w:cs="Arial"/>
                <w:i/>
                <w:iCs/>
              </w:rPr>
              <w:t>EC-Naprosyn</w:t>
            </w:r>
            <w:r w:rsidRPr="00D61F73">
              <w:rPr>
                <w:rFonts w:ascii="Arial" w:hAnsi="Arial" w:cs="Arial"/>
              </w:rPr>
              <w:t xml:space="preserve">: 375 mg or 500 mg twice daily. </w:t>
            </w:r>
            <w:r w:rsidRPr="00D61F73">
              <w:rPr>
                <w:rFonts w:ascii="Arial" w:hAnsi="Arial" w:cs="Arial"/>
                <w:i/>
                <w:iCs/>
              </w:rPr>
              <w:t xml:space="preserve">Extended-release Naprelan®: </w:t>
            </w:r>
            <w:r w:rsidRPr="00D61F73">
              <w:rPr>
                <w:rFonts w:ascii="Arial" w:hAnsi="Arial" w:cs="Arial"/>
              </w:rPr>
              <w:t>Not recommended due to delay in absorption (Naprelan® Package Insert) and risk of upper GI bleeding/perforation. (</w:t>
            </w:r>
            <w:hyperlink w:anchor="Massó2010" w:history="1">
              <w:r w:rsidRPr="00D61F73">
                <w:rPr>
                  <w:rStyle w:val="Hyperlink"/>
                  <w:rFonts w:ascii="Arial" w:hAnsi="Arial" w:cs="Arial"/>
                </w:rPr>
                <w:t>Massó, 2010</w:t>
              </w:r>
            </w:hyperlink>
            <w:r w:rsidRPr="00D61F73">
              <w:rPr>
                <w:rFonts w:ascii="Arial" w:hAnsi="Arial" w:cs="Arial"/>
              </w:rPr>
              <w:t>)</w:t>
            </w:r>
          </w:p>
          <w:p w14:paraId="32CA71F3" w14:textId="77777777" w:rsidR="00E90DC7" w:rsidRPr="00D61F73" w:rsidRDefault="00E90DC7" w:rsidP="00D61F73">
            <w:pPr>
              <w:rPr>
                <w:rFonts w:ascii="Arial" w:hAnsi="Arial" w:cs="Arial"/>
                <w:bCs/>
              </w:rPr>
            </w:pPr>
            <w:r w:rsidRPr="00D61F73">
              <w:rPr>
                <w:rFonts w:ascii="Arial" w:hAnsi="Arial" w:cs="Arial"/>
                <w:bCs/>
                <w:i/>
                <w:iCs/>
                <w:u w:val="single"/>
              </w:rPr>
              <w:t>O</w:t>
            </w:r>
            <w:bookmarkStart w:id="339" w:name="NSAIDOxaprozin"/>
            <w:bookmarkEnd w:id="339"/>
            <w:r w:rsidRPr="00D61F73">
              <w:rPr>
                <w:rFonts w:ascii="Arial" w:hAnsi="Arial" w:cs="Arial"/>
                <w:bCs/>
                <w:i/>
                <w:iCs/>
                <w:u w:val="single"/>
              </w:rPr>
              <w:t xml:space="preserve">xaprozin </w:t>
            </w:r>
            <w:r w:rsidRPr="00D61F73">
              <w:rPr>
                <w:rFonts w:ascii="Arial" w:hAnsi="Arial" w:cs="Arial"/>
                <w:bCs/>
                <w:i/>
                <w:iCs/>
              </w:rPr>
              <w:t>(Daypro®, generic available):</w:t>
            </w:r>
            <w:r w:rsidRPr="00D61F73">
              <w:rPr>
                <w:rFonts w:ascii="Arial" w:hAnsi="Arial" w:cs="Arial"/>
              </w:rPr>
              <w:t xml:space="preserve"> 600 mg. </w:t>
            </w:r>
            <w:r w:rsidRPr="00D61F73">
              <w:rPr>
                <w:rFonts w:ascii="Arial" w:hAnsi="Arial" w:cs="Arial"/>
                <w:i/>
              </w:rPr>
              <w:t>Dosing:</w:t>
            </w:r>
            <w:r w:rsidRPr="00D61F73">
              <w:rPr>
                <w:rFonts w:ascii="Arial" w:hAnsi="Arial" w:cs="Arial"/>
                <w:b/>
                <w:bCs/>
              </w:rPr>
              <w:t xml:space="preserve"> </w:t>
            </w:r>
            <w:r w:rsidRPr="00D61F73">
              <w:rPr>
                <w:rFonts w:ascii="Arial" w:hAnsi="Arial" w:cs="Arial"/>
                <w:bCs/>
                <w:i/>
              </w:rPr>
              <w:t xml:space="preserve">Osteoarthritis: </w:t>
            </w:r>
            <w:r w:rsidRPr="00D61F73">
              <w:rPr>
                <w:rFonts w:ascii="Arial" w:hAnsi="Arial" w:cs="Arial"/>
                <w:bCs/>
              </w:rPr>
              <w:t xml:space="preserve">Two 600 mg caplets (1200 mg total) given PO once daily. The maximum dose is 1800 mg/day (26 mg/kg, whichever is lower). </w:t>
            </w:r>
            <w:r w:rsidRPr="00D61F73">
              <w:rPr>
                <w:rFonts w:ascii="Arial" w:hAnsi="Arial" w:cs="Arial"/>
              </w:rPr>
              <w:t xml:space="preserve">For patients with low body weight (i.e., &lt; 50 kg or 110 pounds), an initial dosage of 600 mg PO once daily is recommended. Patients with severe renal impairment should initiate therapy at 600 mg/day. An increase to 1200 mg can be cautiously increased, but only with close monitoring. For quick onset of action, a one-time loading dose of 1200 to 1800 mg can be given (do not exceed 26 mg/kg). </w:t>
            </w:r>
            <w:r w:rsidRPr="00D61F73">
              <w:rPr>
                <w:rFonts w:ascii="Arial" w:hAnsi="Arial" w:cs="Arial"/>
                <w:i/>
              </w:rPr>
              <w:t xml:space="preserve">Mild to moderate pain: </w:t>
            </w:r>
            <w:r w:rsidRPr="00D61F73">
              <w:rPr>
                <w:rFonts w:ascii="Arial" w:hAnsi="Arial" w:cs="Arial"/>
              </w:rPr>
              <w:t>Used off-label. (Daypro® Package Insert)</w:t>
            </w:r>
          </w:p>
          <w:p w14:paraId="1B824A4D" w14:textId="77777777" w:rsidR="00E90DC7" w:rsidRPr="00D61F73" w:rsidRDefault="00E90DC7" w:rsidP="00D61F73">
            <w:pPr>
              <w:rPr>
                <w:rFonts w:ascii="Arial" w:hAnsi="Arial" w:cs="Arial"/>
              </w:rPr>
            </w:pPr>
            <w:r w:rsidRPr="00D61F73">
              <w:rPr>
                <w:rFonts w:ascii="Arial" w:hAnsi="Arial" w:cs="Arial"/>
                <w:bCs/>
                <w:i/>
                <w:iCs/>
                <w:u w:val="single"/>
              </w:rPr>
              <w:t>P</w:t>
            </w:r>
            <w:bookmarkStart w:id="340" w:name="NSAIDPiroxicam"/>
            <w:bookmarkEnd w:id="340"/>
            <w:r w:rsidRPr="00D61F73">
              <w:rPr>
                <w:rFonts w:ascii="Arial" w:hAnsi="Arial" w:cs="Arial"/>
                <w:bCs/>
                <w:i/>
                <w:iCs/>
                <w:u w:val="single"/>
              </w:rPr>
              <w:t xml:space="preserve">iroxicam </w:t>
            </w:r>
            <w:r w:rsidRPr="00D61F73">
              <w:rPr>
                <w:rFonts w:ascii="Arial" w:hAnsi="Arial" w:cs="Arial"/>
                <w:bCs/>
                <w:i/>
                <w:iCs/>
              </w:rPr>
              <w:t>(Feldene®, generic available):</w:t>
            </w:r>
            <w:r w:rsidRPr="00D61F73">
              <w:rPr>
                <w:rFonts w:ascii="Arial" w:hAnsi="Arial" w:cs="Arial"/>
                <w:i/>
                <w:iCs/>
              </w:rPr>
              <w:t xml:space="preserve"> </w:t>
            </w:r>
            <w:r w:rsidRPr="00D61F73">
              <w:rPr>
                <w:rFonts w:ascii="Arial" w:hAnsi="Arial" w:cs="Arial"/>
              </w:rPr>
              <w:t xml:space="preserve">10, 20 mg. </w:t>
            </w:r>
            <w:r w:rsidRPr="00D61F73">
              <w:rPr>
                <w:rFonts w:ascii="Arial" w:hAnsi="Arial" w:cs="Arial"/>
                <w:i/>
              </w:rPr>
              <w:t>Dosing:</w:t>
            </w:r>
            <w:r w:rsidRPr="00D61F73">
              <w:rPr>
                <w:rFonts w:ascii="Arial" w:hAnsi="Arial" w:cs="Arial"/>
                <w:b/>
                <w:bCs/>
              </w:rPr>
              <w:t xml:space="preserve"> </w:t>
            </w:r>
            <w:r w:rsidRPr="00D61F73">
              <w:rPr>
                <w:rFonts w:ascii="Arial" w:hAnsi="Arial" w:cs="Arial"/>
                <w:bCs/>
                <w:i/>
              </w:rPr>
              <w:t>Osteoarthritis:</w:t>
            </w:r>
            <w:r w:rsidRPr="00D61F73">
              <w:rPr>
                <w:rFonts w:ascii="Arial" w:hAnsi="Arial" w:cs="Arial"/>
                <w:b/>
                <w:bCs/>
              </w:rPr>
              <w:t xml:space="preserve"> </w:t>
            </w:r>
            <w:r w:rsidRPr="00D61F73">
              <w:rPr>
                <w:rFonts w:ascii="Arial" w:hAnsi="Arial" w:cs="Arial"/>
              </w:rPr>
              <w:t xml:space="preserve">20 mg PO once daily. Adjust dose, as needed. The daily dose may be divided in two doses, if desired. This drug has a long half-life and steady state is not reached for 7-12 days. There is a progressive response over several weeks and therapy effect should not be assessed for two weeks after initiating therapy. </w:t>
            </w:r>
            <w:r w:rsidRPr="00D61F73">
              <w:rPr>
                <w:rFonts w:ascii="Arial" w:hAnsi="Arial" w:cs="Arial"/>
                <w:i/>
                <w:iCs/>
              </w:rPr>
              <w:t>Elderly:</w:t>
            </w:r>
            <w:r w:rsidRPr="00D61F73">
              <w:rPr>
                <w:rFonts w:ascii="Arial" w:hAnsi="Arial" w:cs="Arial"/>
              </w:rPr>
              <w:t xml:space="preserve"> Initially, 10 mg PO once daily. Adjust dose, as needed, up to 20 mg/day. </w:t>
            </w:r>
            <w:r w:rsidRPr="00D61F73">
              <w:rPr>
                <w:rFonts w:ascii="Arial" w:hAnsi="Arial" w:cs="Arial"/>
                <w:i/>
              </w:rPr>
              <w:t xml:space="preserve">Pain: </w:t>
            </w:r>
            <w:r w:rsidRPr="00D61F73">
              <w:rPr>
                <w:rFonts w:ascii="Arial" w:hAnsi="Arial" w:cs="Arial"/>
              </w:rPr>
              <w:t>Not recommended. (Feldene Package Insert)</w:t>
            </w:r>
          </w:p>
          <w:p w14:paraId="70692956" w14:textId="77777777" w:rsidR="00E90DC7" w:rsidRPr="00D61F73" w:rsidRDefault="00E90DC7" w:rsidP="00D61F73">
            <w:pPr>
              <w:rPr>
                <w:rFonts w:ascii="Arial" w:hAnsi="Arial" w:cs="Arial"/>
                <w:bCs/>
              </w:rPr>
            </w:pPr>
            <w:r w:rsidRPr="00D61F73">
              <w:rPr>
                <w:rFonts w:ascii="Arial" w:hAnsi="Arial" w:cs="Arial"/>
                <w:bCs/>
                <w:i/>
                <w:iCs/>
                <w:u w:val="single"/>
              </w:rPr>
              <w:t>S</w:t>
            </w:r>
            <w:bookmarkStart w:id="341" w:name="NSAIDSulindac"/>
            <w:bookmarkEnd w:id="341"/>
            <w:r w:rsidRPr="00D61F73">
              <w:rPr>
                <w:rFonts w:ascii="Arial" w:hAnsi="Arial" w:cs="Arial"/>
                <w:bCs/>
                <w:i/>
                <w:iCs/>
                <w:u w:val="single"/>
              </w:rPr>
              <w:t xml:space="preserve">ulindac </w:t>
            </w:r>
            <w:r w:rsidRPr="00D61F73">
              <w:rPr>
                <w:rFonts w:ascii="Arial" w:hAnsi="Arial" w:cs="Arial"/>
                <w:bCs/>
                <w:i/>
                <w:iCs/>
              </w:rPr>
              <w:t>(Clinoril®, generic available):</w:t>
            </w:r>
            <w:r w:rsidRPr="00D61F73">
              <w:rPr>
                <w:rFonts w:ascii="Arial" w:hAnsi="Arial" w:cs="Arial"/>
                <w:b/>
              </w:rPr>
              <w:t xml:space="preserve"> </w:t>
            </w:r>
            <w:r w:rsidRPr="00D61F73">
              <w:rPr>
                <w:rFonts w:ascii="Arial" w:hAnsi="Arial" w:cs="Arial"/>
              </w:rPr>
              <w:t xml:space="preserve">150, 200 mg. </w:t>
            </w:r>
            <w:r w:rsidRPr="00D61F73">
              <w:rPr>
                <w:rFonts w:ascii="Arial" w:hAnsi="Arial" w:cs="Arial"/>
                <w:i/>
              </w:rPr>
              <w:t>Dosing Information:</w:t>
            </w:r>
            <w:r w:rsidRPr="00D61F73">
              <w:rPr>
                <w:rFonts w:ascii="Arial" w:hAnsi="Arial" w:cs="Arial"/>
                <w:b/>
                <w:bCs/>
              </w:rPr>
              <w:t xml:space="preserve"> </w:t>
            </w:r>
            <w:r w:rsidRPr="00D61F73">
              <w:rPr>
                <w:rFonts w:ascii="Arial" w:hAnsi="Arial" w:cs="Arial"/>
                <w:bCs/>
                <w:i/>
              </w:rPr>
              <w:t>Osteoarthritis, ankylosing spondylitis</w:t>
            </w:r>
            <w:r w:rsidRPr="00D61F73">
              <w:rPr>
                <w:rFonts w:ascii="Arial" w:hAnsi="Arial" w:cs="Arial"/>
                <w:bCs/>
              </w:rPr>
              <w:t xml:space="preserve">: </w:t>
            </w:r>
            <w:r w:rsidRPr="00D61F73">
              <w:rPr>
                <w:rFonts w:ascii="Arial" w:hAnsi="Arial" w:cs="Arial"/>
              </w:rPr>
              <w:t xml:space="preserve">Initially, 150 mg PO twice daily. Adjust dosage as needed. May increase up to 200 mg PO twice daily depending on patient response. The maximum dose is 400 mg a day. </w:t>
            </w:r>
            <w:r w:rsidRPr="00D61F73">
              <w:rPr>
                <w:rFonts w:ascii="Arial" w:hAnsi="Arial" w:cs="Arial"/>
                <w:i/>
              </w:rPr>
              <w:t xml:space="preserve">Acute Painful Shoulder (bursitis/tendinitis): </w:t>
            </w:r>
            <w:r w:rsidRPr="00D61F73">
              <w:rPr>
                <w:rFonts w:ascii="Arial" w:hAnsi="Arial" w:cs="Arial"/>
              </w:rPr>
              <w:t xml:space="preserve">200 mg PO twice a day. Therapy for 7-14 days is usually adequate. </w:t>
            </w:r>
            <w:r w:rsidRPr="00D61F73">
              <w:rPr>
                <w:rFonts w:ascii="Arial" w:hAnsi="Arial" w:cs="Arial"/>
                <w:i/>
              </w:rPr>
              <w:t xml:space="preserve">Mild to moderate pain: </w:t>
            </w:r>
            <w:r w:rsidRPr="00D61F73">
              <w:rPr>
                <w:rFonts w:ascii="Arial" w:hAnsi="Arial" w:cs="Arial"/>
              </w:rPr>
              <w:t>Off label. (Clinoril® Package Insert)</w:t>
            </w:r>
          </w:p>
          <w:p w14:paraId="0D63BF62" w14:textId="77777777" w:rsidR="00E90DC7" w:rsidRPr="00D61F73" w:rsidRDefault="00E90DC7" w:rsidP="00D61F73">
            <w:pPr>
              <w:rPr>
                <w:rFonts w:ascii="Arial" w:hAnsi="Arial" w:cs="Arial"/>
                <w:iCs/>
              </w:rPr>
            </w:pPr>
            <w:r w:rsidRPr="00D61F73">
              <w:rPr>
                <w:rFonts w:ascii="Arial" w:hAnsi="Arial" w:cs="Arial"/>
                <w:bCs/>
                <w:i/>
                <w:iCs/>
                <w:u w:val="single"/>
              </w:rPr>
              <w:t>T</w:t>
            </w:r>
            <w:bookmarkStart w:id="342" w:name="NSAIDTolmetin"/>
            <w:bookmarkEnd w:id="342"/>
            <w:r w:rsidRPr="00D61F73">
              <w:rPr>
                <w:rFonts w:ascii="Arial" w:hAnsi="Arial" w:cs="Arial"/>
                <w:bCs/>
                <w:i/>
                <w:iCs/>
                <w:u w:val="single"/>
              </w:rPr>
              <w:t xml:space="preserve">olmetin </w:t>
            </w:r>
            <w:r w:rsidRPr="00D61F73">
              <w:rPr>
                <w:rFonts w:ascii="Arial" w:hAnsi="Arial" w:cs="Arial"/>
                <w:bCs/>
                <w:i/>
                <w:iCs/>
              </w:rPr>
              <w:t>(Tolectin®, Tolectin DS, Tolectin 600mg, generic available):</w:t>
            </w:r>
            <w:r w:rsidRPr="00D61F73">
              <w:rPr>
                <w:rFonts w:ascii="Arial" w:hAnsi="Arial" w:cs="Arial"/>
                <w:b/>
                <w:i/>
                <w:iCs/>
              </w:rPr>
              <w:t xml:space="preserve"> </w:t>
            </w:r>
            <w:r w:rsidRPr="00D61F73">
              <w:rPr>
                <w:rFonts w:ascii="Arial" w:hAnsi="Arial" w:cs="Arial"/>
                <w:i/>
              </w:rPr>
              <w:t>Dosing Information: O</w:t>
            </w:r>
            <w:r w:rsidRPr="00D61F73">
              <w:rPr>
                <w:rFonts w:ascii="Arial" w:hAnsi="Arial" w:cs="Arial"/>
                <w:bCs/>
                <w:i/>
              </w:rPr>
              <w:t>steoarthritis (acute and chronic):</w:t>
            </w:r>
            <w:r w:rsidRPr="00D61F73">
              <w:rPr>
                <w:rFonts w:ascii="Arial" w:hAnsi="Arial" w:cs="Arial"/>
              </w:rPr>
              <w:t xml:space="preserve"> Initially, 400 mg PO three times a day. If needed, adjust dose upward or downward after 1-2 weeks. Maintenance dosage is usually 600-1800 mg/day PO in 3-4 divided doses. (Max dose is 1800mg/day). Symptomatic improvement may occur within 7 days, with progressive improvement during successive weeks of therapy. (</w:t>
            </w:r>
            <w:hyperlink w:anchor="ClinicalPharmacology" w:history="1">
              <w:r w:rsidRPr="00D61F73">
                <w:rPr>
                  <w:rStyle w:val="Hyperlink"/>
                  <w:rFonts w:ascii="Arial" w:hAnsi="Arial" w:cs="Arial"/>
                </w:rPr>
                <w:t>Clinical Pharmacology, 2008</w:t>
              </w:r>
            </w:hyperlink>
            <w:r w:rsidRPr="00D61F73">
              <w:rPr>
                <w:rFonts w:ascii="Arial" w:hAnsi="Arial" w:cs="Arial"/>
              </w:rPr>
              <w:t>) (</w:t>
            </w:r>
            <w:hyperlink w:anchor="LexiComp" w:history="1">
              <w:r w:rsidRPr="00D61F73">
                <w:rPr>
                  <w:rStyle w:val="Hyperlink"/>
                  <w:rFonts w:ascii="Arial" w:hAnsi="Arial" w:cs="Arial"/>
                </w:rPr>
                <w:t>Lexi-Comp, 2008</w:t>
              </w:r>
            </w:hyperlink>
            <w:r w:rsidRPr="00D61F73">
              <w:rPr>
                <w:rFonts w:ascii="Arial" w:hAnsi="Arial" w:cs="Arial"/>
              </w:rPr>
              <w:t>)</w:t>
            </w:r>
          </w:p>
        </w:tc>
      </w:tr>
      <w:tr w:rsidR="00E90DC7" w:rsidRPr="00D61F73" w14:paraId="1043A687" w14:textId="77777777" w:rsidTr="0038137E">
        <w:tc>
          <w:tcPr>
            <w:tcW w:w="1088" w:type="pct"/>
            <w:shd w:val="clear" w:color="auto" w:fill="auto"/>
          </w:tcPr>
          <w:p w14:paraId="2BF4CB5B" w14:textId="77777777" w:rsidR="00E90DC7" w:rsidRPr="00D61F73" w:rsidRDefault="00E90DC7" w:rsidP="00D61F73">
            <w:pPr>
              <w:rPr>
                <w:rFonts w:ascii="Arial" w:hAnsi="Arial" w:cs="Arial"/>
              </w:rPr>
            </w:pPr>
            <w:r w:rsidRPr="00D61F73">
              <w:rPr>
                <w:rFonts w:ascii="Arial" w:hAnsi="Arial" w:cs="Arial"/>
              </w:rPr>
              <w:lastRenderedPageBreak/>
              <w:t xml:space="preserve">Nucleoplasty </w:t>
            </w:r>
          </w:p>
        </w:tc>
        <w:tc>
          <w:tcPr>
            <w:tcW w:w="3912" w:type="pct"/>
            <w:shd w:val="clear" w:color="auto" w:fill="auto"/>
          </w:tcPr>
          <w:p w14:paraId="692A2112" w14:textId="4E6E8B38" w:rsidR="00E90DC7" w:rsidRPr="00D61F73" w:rsidRDefault="00E90DC7" w:rsidP="00D61F73">
            <w:pPr>
              <w:rPr>
                <w:rFonts w:ascii="Arial" w:hAnsi="Arial" w:cs="Arial"/>
              </w:rPr>
            </w:pPr>
            <w:r w:rsidRPr="00D61F73">
              <w:rPr>
                <w:rFonts w:ascii="Arial" w:hAnsi="Arial" w:cs="Arial"/>
              </w:rPr>
              <w:t xml:space="preserve">Not recommended. Given the extremely low level of evidence available for Nucleoplasty (Coblation Nucleoplasty), and the lack of clinical trials, it is recommended that this procedure be regarded as experimental at this </w:t>
            </w:r>
            <w:r w:rsidRPr="00D61F73">
              <w:rPr>
                <w:rFonts w:ascii="Arial" w:hAnsi="Arial" w:cs="Arial"/>
              </w:rPr>
              <w:lastRenderedPageBreak/>
              <w:t>time. (</w:t>
            </w:r>
            <w:hyperlink w:anchor="Chen" w:history="1"/>
            <w:hyperlink w:anchor="Manchikanti" w:history="1">
              <w:r w:rsidRPr="00D61F73">
                <w:rPr>
                  <w:rStyle w:val="Hyperlink"/>
                  <w:rFonts w:ascii="Arial" w:hAnsi="Arial" w:cs="Arial"/>
                </w:rPr>
                <w:t>Manchikanti, 2003</w:t>
              </w:r>
            </w:hyperlink>
            <w:r w:rsidRPr="00D61F73">
              <w:rPr>
                <w:rFonts w:ascii="Arial" w:hAnsi="Arial" w:cs="Arial"/>
              </w:rPr>
              <w:t xml:space="preserve">) </w:t>
            </w:r>
            <w:r w:rsidRPr="00D61F73">
              <w:rPr>
                <w:rFonts w:ascii="Arial" w:hAnsi="Arial" w:cs="Arial"/>
                <w:iCs/>
              </w:rPr>
              <w:t>(</w:t>
            </w:r>
            <w:hyperlink w:anchor="Boswell3" w:history="1">
              <w:r w:rsidRPr="00D61F73">
                <w:rPr>
                  <w:rStyle w:val="Hyperlink"/>
                  <w:rFonts w:ascii="Arial" w:hAnsi="Arial" w:cs="Arial"/>
                  <w:iCs/>
                </w:rPr>
                <w:t>Boswell, 2007</w:t>
              </w:r>
            </w:hyperlink>
            <w:r w:rsidRPr="00D61F73">
              <w:rPr>
                <w:rFonts w:ascii="Arial" w:hAnsi="Arial" w:cs="Arial"/>
                <w:iCs/>
              </w:rPr>
              <w:t>)</w:t>
            </w:r>
            <w:r w:rsidRPr="00D61F73">
              <w:rPr>
                <w:rFonts w:ascii="Arial" w:hAnsi="Arial" w:cs="Arial"/>
              </w:rPr>
              <w:t xml:space="preserve"> See </w:t>
            </w:r>
            <w:r w:rsidRPr="00C17B22">
              <w:rPr>
                <w:rFonts w:ascii="Arial" w:hAnsi="Arial" w:cs="Arial"/>
              </w:rPr>
              <w:t>MTUS chapter on Low Back Complaints</w:t>
            </w:r>
            <w:r w:rsidRPr="00D61F73">
              <w:rPr>
                <w:rFonts w:ascii="Arial" w:hAnsi="Arial" w:cs="Arial"/>
              </w:rPr>
              <w:t xml:space="preserve">. </w:t>
            </w:r>
          </w:p>
        </w:tc>
      </w:tr>
      <w:tr w:rsidR="00E90DC7" w:rsidRPr="00D61F73" w14:paraId="34BB915F" w14:textId="77777777" w:rsidTr="0038137E">
        <w:tc>
          <w:tcPr>
            <w:tcW w:w="1088" w:type="pct"/>
            <w:shd w:val="clear" w:color="auto" w:fill="auto"/>
          </w:tcPr>
          <w:p w14:paraId="0E584D9B" w14:textId="77777777" w:rsidR="00E90DC7" w:rsidRPr="00D61F73" w:rsidRDefault="00E90DC7" w:rsidP="00D61F73">
            <w:pPr>
              <w:rPr>
                <w:rFonts w:ascii="Arial" w:hAnsi="Arial" w:cs="Arial"/>
              </w:rPr>
            </w:pPr>
            <w:r w:rsidRPr="00D61F73">
              <w:rPr>
                <w:rFonts w:ascii="Arial" w:hAnsi="Arial" w:cs="Arial"/>
              </w:rPr>
              <w:lastRenderedPageBreak/>
              <w:t>Nucynta™ (tapentadol)</w:t>
            </w:r>
          </w:p>
        </w:tc>
        <w:tc>
          <w:tcPr>
            <w:tcW w:w="3912" w:type="pct"/>
            <w:shd w:val="clear" w:color="auto" w:fill="auto"/>
          </w:tcPr>
          <w:p w14:paraId="6CA5EE80" w14:textId="564AE597" w:rsidR="00E90DC7" w:rsidRPr="00D61F73" w:rsidRDefault="00E90DC7" w:rsidP="00D61F73">
            <w:pPr>
              <w:rPr>
                <w:rFonts w:ascii="Arial" w:hAnsi="Arial" w:cs="Arial"/>
              </w:rPr>
            </w:pPr>
            <w:r w:rsidRPr="00D61F73">
              <w:rPr>
                <w:rFonts w:ascii="Arial" w:hAnsi="Arial" w:cs="Arial"/>
              </w:rPr>
              <w:t xml:space="preserve">See </w:t>
            </w:r>
            <w:hyperlink w:anchor="Tapentadol" w:history="1">
              <w:r w:rsidRPr="00D61F73">
                <w:rPr>
                  <w:rStyle w:val="Hyperlink"/>
                  <w:rFonts w:ascii="Arial" w:hAnsi="Arial" w:cs="Arial"/>
                </w:rPr>
                <w:t>Tapentadol</w:t>
              </w:r>
            </w:hyperlink>
            <w:r w:rsidRPr="00D61F73">
              <w:rPr>
                <w:rFonts w:ascii="Arial" w:hAnsi="Arial" w:cs="Arial"/>
              </w:rPr>
              <w:t>.</w:t>
            </w:r>
          </w:p>
        </w:tc>
      </w:tr>
      <w:tr w:rsidR="00E90DC7" w:rsidRPr="00D61F73" w14:paraId="423DA8B1" w14:textId="77777777" w:rsidTr="0038137E">
        <w:tc>
          <w:tcPr>
            <w:tcW w:w="1088" w:type="pct"/>
            <w:shd w:val="clear" w:color="auto" w:fill="auto"/>
          </w:tcPr>
          <w:p w14:paraId="1AC4C082" w14:textId="77777777" w:rsidR="00E90DC7" w:rsidRPr="00D61F73" w:rsidRDefault="00E90DC7" w:rsidP="00D61F73">
            <w:pPr>
              <w:rPr>
                <w:rFonts w:ascii="Arial" w:hAnsi="Arial" w:cs="Arial"/>
              </w:rPr>
            </w:pPr>
            <w:r w:rsidRPr="00D61F73">
              <w:rPr>
                <w:rFonts w:ascii="Arial" w:hAnsi="Arial" w:cs="Arial"/>
              </w:rPr>
              <w:t>Nuedexta</w:t>
            </w:r>
          </w:p>
        </w:tc>
        <w:tc>
          <w:tcPr>
            <w:tcW w:w="3912" w:type="pct"/>
            <w:shd w:val="clear" w:color="auto" w:fill="auto"/>
          </w:tcPr>
          <w:p w14:paraId="0919EA49" w14:textId="77777777" w:rsidR="00E90DC7" w:rsidRPr="00D61F73" w:rsidRDefault="00E90DC7" w:rsidP="00D61F73">
            <w:pPr>
              <w:pStyle w:val="CommentText"/>
              <w:rPr>
                <w:rFonts w:ascii="Arial" w:hAnsi="Arial" w:cs="Arial"/>
                <w:sz w:val="24"/>
                <w:szCs w:val="24"/>
              </w:rPr>
            </w:pPr>
            <w:r w:rsidRPr="00D61F73">
              <w:rPr>
                <w:rFonts w:ascii="Arial" w:hAnsi="Arial" w:cs="Arial"/>
                <w:sz w:val="24"/>
                <w:szCs w:val="24"/>
              </w:rPr>
              <w:t xml:space="preserve">Not recommended. </w:t>
            </w:r>
          </w:p>
        </w:tc>
      </w:tr>
      <w:tr w:rsidR="00E90DC7" w:rsidRPr="00D61F73" w14:paraId="06F8F8E2" w14:textId="77777777" w:rsidTr="0038137E">
        <w:tc>
          <w:tcPr>
            <w:tcW w:w="1088" w:type="pct"/>
            <w:shd w:val="clear" w:color="auto" w:fill="auto"/>
          </w:tcPr>
          <w:p w14:paraId="527D74A7" w14:textId="77777777" w:rsidR="00E90DC7" w:rsidRPr="00D61F73" w:rsidRDefault="00E90DC7" w:rsidP="00D61F73">
            <w:pPr>
              <w:rPr>
                <w:rFonts w:ascii="Arial" w:hAnsi="Arial" w:cs="Arial"/>
              </w:rPr>
            </w:pPr>
            <w:r w:rsidRPr="00D61F73">
              <w:rPr>
                <w:rFonts w:ascii="Arial" w:hAnsi="Arial" w:cs="Arial"/>
              </w:rPr>
              <w:t>Number needed to treat (NNT)</w:t>
            </w:r>
          </w:p>
        </w:tc>
        <w:tc>
          <w:tcPr>
            <w:tcW w:w="3912" w:type="pct"/>
            <w:shd w:val="clear" w:color="auto" w:fill="auto"/>
          </w:tcPr>
          <w:p w14:paraId="31F10927" w14:textId="77777777" w:rsidR="00E90DC7" w:rsidRPr="00D61F73" w:rsidRDefault="00E90DC7" w:rsidP="00D61F73">
            <w:pPr>
              <w:pStyle w:val="CommentText"/>
              <w:rPr>
                <w:rFonts w:ascii="Arial" w:hAnsi="Arial" w:cs="Arial"/>
                <w:sz w:val="24"/>
                <w:szCs w:val="24"/>
              </w:rPr>
            </w:pPr>
            <w:r w:rsidRPr="00D61F73">
              <w:rPr>
                <w:rFonts w:ascii="Arial" w:hAnsi="Arial" w:cs="Arial"/>
                <w:sz w:val="24"/>
                <w:szCs w:val="24"/>
              </w:rPr>
              <w:t>Recommended as a measure of absolute risk in evaluating drug therapies. This is the average number of patients that need to be treated in order to have improvement in one patient. As an example, for every 4 patients treated with neuropathic pain, pain relief described as good is found in 1 patient. The NNT is a useful and relatively simple tool for practicing evidence-based medicine. This calculation can be applied to intervention studies and reflects the number of additional patients who need to receive an intervention to prevent 1 additional outcome. In this recent study, using NNT was superior to achieve participant consent versus other explanations. (</w:t>
            </w:r>
            <w:hyperlink w:anchor="Halvorsen" w:history="1">
              <w:r w:rsidRPr="00D61F73">
                <w:rPr>
                  <w:rStyle w:val="Hyperlink"/>
                  <w:rFonts w:ascii="Arial" w:hAnsi="Arial" w:cs="Arial"/>
                  <w:sz w:val="24"/>
                  <w:szCs w:val="24"/>
                </w:rPr>
                <w:t>Halvorsen, 2007</w:t>
              </w:r>
            </w:hyperlink>
            <w:r w:rsidRPr="00D61F73">
              <w:rPr>
                <w:rFonts w:ascii="Arial" w:hAnsi="Arial" w:cs="Arial"/>
                <w:sz w:val="24"/>
                <w:szCs w:val="24"/>
              </w:rPr>
              <w:t>)</w:t>
            </w:r>
          </w:p>
        </w:tc>
      </w:tr>
      <w:tr w:rsidR="00E90DC7" w:rsidRPr="00D61F73" w14:paraId="7B1D73B5" w14:textId="77777777" w:rsidTr="0038137E">
        <w:tc>
          <w:tcPr>
            <w:tcW w:w="1088" w:type="pct"/>
            <w:shd w:val="clear" w:color="auto" w:fill="auto"/>
          </w:tcPr>
          <w:p w14:paraId="1870B62B" w14:textId="77777777" w:rsidR="00E90DC7" w:rsidRPr="00D61F73" w:rsidRDefault="00E90DC7" w:rsidP="00D61F73">
            <w:pPr>
              <w:pStyle w:val="Footer"/>
              <w:tabs>
                <w:tab w:val="clear" w:pos="4320"/>
                <w:tab w:val="clear" w:pos="8640"/>
              </w:tabs>
              <w:rPr>
                <w:rFonts w:ascii="Arial" w:hAnsi="Arial" w:cs="Arial"/>
              </w:rPr>
            </w:pPr>
            <w:r w:rsidRPr="00D61F73">
              <w:rPr>
                <w:rFonts w:ascii="Arial" w:hAnsi="Arial" w:cs="Arial"/>
              </w:rPr>
              <w:t>Nuvigil</w:t>
            </w:r>
          </w:p>
        </w:tc>
        <w:tc>
          <w:tcPr>
            <w:tcW w:w="3912" w:type="pct"/>
            <w:shd w:val="clear" w:color="auto" w:fill="auto"/>
          </w:tcPr>
          <w:p w14:paraId="37094EB6" w14:textId="77777777" w:rsidR="00E90DC7" w:rsidRPr="00D61F73" w:rsidRDefault="00E90DC7" w:rsidP="00D61F73">
            <w:pPr>
              <w:rPr>
                <w:rFonts w:ascii="Arial" w:hAnsi="Arial" w:cs="Arial"/>
              </w:rPr>
            </w:pPr>
            <w:r w:rsidRPr="00D61F73">
              <w:rPr>
                <w:rFonts w:ascii="Arial" w:hAnsi="Arial" w:cs="Arial"/>
              </w:rPr>
              <w:t xml:space="preserve">See </w:t>
            </w:r>
            <w:hyperlink w:anchor="Armodafinil" w:history="1">
              <w:r w:rsidRPr="00D61F73">
                <w:rPr>
                  <w:rStyle w:val="Hyperlink"/>
                  <w:rFonts w:ascii="Arial" w:hAnsi="Arial" w:cs="Arial"/>
                </w:rPr>
                <w:t>Armodafinil</w:t>
              </w:r>
            </w:hyperlink>
            <w:r w:rsidRPr="00D61F73">
              <w:rPr>
                <w:rFonts w:ascii="Arial" w:hAnsi="Arial" w:cs="Arial"/>
              </w:rPr>
              <w:t xml:space="preserve"> (Nuvigil).</w:t>
            </w:r>
          </w:p>
        </w:tc>
      </w:tr>
      <w:tr w:rsidR="00E90DC7" w:rsidRPr="00D61F73" w14:paraId="13E58B4E" w14:textId="77777777" w:rsidTr="0038137E">
        <w:tc>
          <w:tcPr>
            <w:tcW w:w="1088" w:type="pct"/>
            <w:shd w:val="clear" w:color="auto" w:fill="auto"/>
          </w:tcPr>
          <w:p w14:paraId="33ECCD8E" w14:textId="77777777" w:rsidR="00E90DC7" w:rsidRPr="00D61F73" w:rsidRDefault="00E90DC7" w:rsidP="00D61F73">
            <w:pPr>
              <w:pStyle w:val="Footer"/>
              <w:tabs>
                <w:tab w:val="clear" w:pos="4320"/>
                <w:tab w:val="clear" w:pos="8640"/>
              </w:tabs>
              <w:rPr>
                <w:rFonts w:ascii="Arial" w:hAnsi="Arial" w:cs="Arial"/>
              </w:rPr>
            </w:pPr>
            <w:r w:rsidRPr="00D61F73">
              <w:rPr>
                <w:rFonts w:ascii="Arial" w:hAnsi="Arial" w:cs="Arial"/>
              </w:rPr>
              <w:t>O</w:t>
            </w:r>
            <w:bookmarkStart w:id="343" w:name="Occupationaltherapy"/>
            <w:bookmarkEnd w:id="343"/>
            <w:r w:rsidRPr="00D61F73">
              <w:rPr>
                <w:rFonts w:ascii="Arial" w:hAnsi="Arial" w:cs="Arial"/>
              </w:rPr>
              <w:t>ccupational therapy (OT)</w:t>
            </w:r>
          </w:p>
        </w:tc>
        <w:tc>
          <w:tcPr>
            <w:tcW w:w="3912" w:type="pct"/>
            <w:shd w:val="clear" w:color="auto" w:fill="auto"/>
          </w:tcPr>
          <w:p w14:paraId="1E96A285" w14:textId="1256A554" w:rsidR="00E90DC7" w:rsidRPr="00D61F73" w:rsidRDefault="00E90DC7" w:rsidP="00D61F73">
            <w:pPr>
              <w:rPr>
                <w:rFonts w:ascii="Arial" w:hAnsi="Arial" w:cs="Arial"/>
              </w:rPr>
            </w:pPr>
            <w:r w:rsidRPr="00D61F73">
              <w:rPr>
                <w:rFonts w:ascii="Arial" w:hAnsi="Arial" w:cs="Arial"/>
              </w:rPr>
              <w:t xml:space="preserve">See </w:t>
            </w:r>
            <w:hyperlink w:anchor="Physicaltherapy" w:history="1">
              <w:r w:rsidRPr="00D61F73">
                <w:rPr>
                  <w:rStyle w:val="Hyperlink"/>
                  <w:rFonts w:ascii="Arial" w:hAnsi="Arial" w:cs="Arial"/>
                </w:rPr>
                <w:t>Physical therapy</w:t>
              </w:r>
            </w:hyperlink>
            <w:r w:rsidRPr="00D61F73">
              <w:rPr>
                <w:rFonts w:ascii="Arial" w:hAnsi="Arial" w:cs="Arial"/>
              </w:rPr>
              <w:t>.</w:t>
            </w:r>
          </w:p>
        </w:tc>
      </w:tr>
      <w:tr w:rsidR="00E90DC7" w:rsidRPr="00D61F73" w14:paraId="3965188A" w14:textId="77777777" w:rsidTr="0038137E">
        <w:tc>
          <w:tcPr>
            <w:tcW w:w="1088" w:type="pct"/>
            <w:shd w:val="clear" w:color="auto" w:fill="auto"/>
          </w:tcPr>
          <w:p w14:paraId="681DF1A5" w14:textId="77777777" w:rsidR="00E90DC7" w:rsidRPr="00D61F73" w:rsidRDefault="00E90DC7" w:rsidP="00D61F73">
            <w:pPr>
              <w:pStyle w:val="Footer"/>
              <w:tabs>
                <w:tab w:val="clear" w:pos="4320"/>
                <w:tab w:val="clear" w:pos="8640"/>
              </w:tabs>
              <w:rPr>
                <w:rFonts w:ascii="Arial" w:hAnsi="Arial" w:cs="Arial"/>
              </w:rPr>
            </w:pPr>
            <w:r w:rsidRPr="00D61F73">
              <w:rPr>
                <w:rFonts w:ascii="Arial" w:hAnsi="Arial" w:cs="Arial"/>
              </w:rPr>
              <w:t>O</w:t>
            </w:r>
            <w:bookmarkStart w:id="344" w:name="Officevisits"/>
            <w:bookmarkEnd w:id="344"/>
            <w:r w:rsidRPr="00D61F73">
              <w:rPr>
                <w:rFonts w:ascii="Arial" w:hAnsi="Arial" w:cs="Arial"/>
              </w:rPr>
              <w:t>ffice visits</w:t>
            </w:r>
          </w:p>
        </w:tc>
        <w:tc>
          <w:tcPr>
            <w:tcW w:w="3912" w:type="pct"/>
            <w:shd w:val="clear" w:color="auto" w:fill="auto"/>
          </w:tcPr>
          <w:p w14:paraId="5FCC3DA0" w14:textId="47DCBF0F" w:rsidR="00E90DC7" w:rsidRPr="00D61F73" w:rsidRDefault="00E90DC7" w:rsidP="00D61F73">
            <w:pPr>
              <w:rPr>
                <w:rFonts w:ascii="Arial" w:hAnsi="Arial" w:cs="Arial"/>
              </w:rPr>
            </w:pPr>
            <w:r w:rsidRPr="00D61F73">
              <w:rPr>
                <w:rFonts w:ascii="Arial" w:hAnsi="Arial" w:cs="Arial"/>
              </w:rPr>
              <w:t xml:space="preserve">Recommended as determined to be medically necessary. Evaluation and management (E&amp;M) outpatient visits to the offices of medical doctor(s) play a critical role in the proper diagnosis and return to function of an injured worker, and they should be encouraged. The need for a clinical office visit with a health care provider is individualized based upon a review of the patient concerns, signs and symptoms, clinical stability, and reasonable physician judgment. The determination is also based on what medications the patient is taking, since some medicines such as opioids, or medicines such as certain antibiotics, require close monitoring. As patient conditions are extremely varied, a set number of office visits per condition cannot be reasonably established. The determination of necessity for an office visit requires individualized case review and assessment, being ever mindful that the best patient outcomes are achieved with eventual patient independence from the health care system through self care as soon as clinically feasible. The </w:t>
            </w:r>
            <w:hyperlink w:anchor="Codes" w:history="1">
              <w:r w:rsidRPr="00D61F73">
                <w:rPr>
                  <w:rStyle w:val="Hyperlink"/>
                  <w:rFonts w:ascii="Arial" w:hAnsi="Arial" w:cs="Arial"/>
                </w:rPr>
                <w:t>ODG Codes for Automated Approval</w:t>
              </w:r>
            </w:hyperlink>
            <w:r w:rsidRPr="00D61F73">
              <w:rPr>
                <w:rFonts w:ascii="Arial" w:hAnsi="Arial" w:cs="Arial"/>
              </w:rPr>
              <w:t xml:space="preserve"> (CAA), designed to automate claims management decision-making, indicates the number of E&amp;M office visits (codes 99201-99285) reflecting the typical number of E&amp;M encounters for a diagnosis, but this is not intended to limit or cap the number of E&amp;M encounters that are medically necessary for a particular patient. Office visits that exceed the number of office visits listed in the CAA may serve as a “flag” to payors for possible evaluation, however, payors should not automatically deny payment for these if preauthorization has not been obtained. </w:t>
            </w:r>
            <w:r w:rsidRPr="00D61F73">
              <w:rPr>
                <w:rFonts w:ascii="Arial" w:hAnsi="Arial" w:cs="Arial"/>
                <w:i/>
                <w:iCs/>
              </w:rPr>
              <w:t>Note:</w:t>
            </w:r>
            <w:r w:rsidRPr="00D61F73">
              <w:rPr>
                <w:rFonts w:ascii="Arial" w:hAnsi="Arial" w:cs="Arial"/>
              </w:rPr>
              <w:t xml:space="preserve"> The high-quality medical studies required for treatment guidelines such as ODG provides guidance about specific treatments and diagnostic procedures, but not about the recommended number of E&amp;M office visits. Studies have and are being conducted as to the value of “virtual visits” compared with inpatient visits, however the value of patient/doctor interventions has not been questioned. (</w:t>
            </w:r>
            <w:hyperlink r:id="rId128" w:anchor="Dixon" w:history="1">
              <w:r w:rsidRPr="00D61F73">
                <w:rPr>
                  <w:rStyle w:val="Hyperlink"/>
                  <w:rFonts w:ascii="Arial" w:hAnsi="Arial" w:cs="Arial"/>
                </w:rPr>
                <w:t>Dixon, 2008</w:t>
              </w:r>
            </w:hyperlink>
            <w:r w:rsidRPr="00D61F73">
              <w:rPr>
                <w:rFonts w:ascii="Arial" w:hAnsi="Arial" w:cs="Arial"/>
              </w:rPr>
              <w:t>) (</w:t>
            </w:r>
            <w:hyperlink w:anchor="Wallace2004" w:history="1">
              <w:r w:rsidRPr="00D61F73">
                <w:rPr>
                  <w:rStyle w:val="Hyperlink"/>
                  <w:rFonts w:ascii="Arial" w:hAnsi="Arial" w:cs="Arial"/>
                </w:rPr>
                <w:t>Wallace, 2004</w:t>
              </w:r>
            </w:hyperlink>
            <w:r w:rsidRPr="00D61F73">
              <w:rPr>
                <w:rFonts w:ascii="Arial" w:hAnsi="Arial" w:cs="Arial"/>
              </w:rPr>
              <w:t>)  Further, ODG does provide guidance for therapeutic office visits not included among the E&amp;M codes, for example</w:t>
            </w:r>
            <w:r w:rsidRPr="00F945CB">
              <w:rPr>
                <w:rFonts w:ascii="Arial" w:hAnsi="Arial" w:cs="Arial"/>
                <w:u w:val="single"/>
              </w:rPr>
              <w:t xml:space="preserve"> </w:t>
            </w:r>
            <w:hyperlink w:anchor="Chiropractic" w:history="1">
              <w:r w:rsidRPr="00F945CB">
                <w:rPr>
                  <w:rStyle w:val="Hyperlink"/>
                  <w:rFonts w:ascii="Arial" w:hAnsi="Arial" w:cs="Arial"/>
                </w:rPr>
                <w:t>Chiropractic manipulation</w:t>
              </w:r>
            </w:hyperlink>
            <w:r w:rsidRPr="00D61F73">
              <w:rPr>
                <w:rFonts w:ascii="Arial" w:hAnsi="Arial" w:cs="Arial"/>
              </w:rPr>
              <w:t xml:space="preserve"> </w:t>
            </w:r>
            <w:r w:rsidRPr="00D61F73">
              <w:rPr>
                <w:rFonts w:ascii="Arial" w:hAnsi="Arial" w:cs="Arial"/>
              </w:rPr>
              <w:lastRenderedPageBreak/>
              <w:t xml:space="preserve">and </w:t>
            </w:r>
            <w:hyperlink w:anchor="Physicaltherapy" w:history="1">
              <w:r w:rsidRPr="00F945CB">
                <w:rPr>
                  <w:rStyle w:val="Hyperlink"/>
                  <w:rFonts w:ascii="Arial" w:hAnsi="Arial" w:cs="Arial"/>
                </w:rPr>
                <w:t>Physical/Occupational therapy</w:t>
              </w:r>
            </w:hyperlink>
            <w:r w:rsidRPr="005F6567">
              <w:rPr>
                <w:rFonts w:ascii="Arial" w:hAnsi="Arial" w:cs="Arial"/>
              </w:rPr>
              <w:t>.</w:t>
            </w:r>
            <w:r w:rsidRPr="00D61F73">
              <w:rPr>
                <w:rFonts w:ascii="Arial" w:hAnsi="Arial" w:cs="Arial"/>
              </w:rPr>
              <w:t xml:space="preserve"> </w:t>
            </w:r>
            <w:r w:rsidR="004879A3" w:rsidRPr="00D61F73">
              <w:rPr>
                <w:rFonts w:ascii="Arial" w:hAnsi="Arial" w:cs="Arial"/>
              </w:rPr>
              <w:t xml:space="preserve">See also </w:t>
            </w:r>
            <w:hyperlink w:anchor="Telehealth" w:history="1">
              <w:r w:rsidR="004879A3" w:rsidRPr="00E12B83">
                <w:rPr>
                  <w:rStyle w:val="Hyperlink"/>
                  <w:rFonts w:ascii="Arial" w:hAnsi="Arial" w:cs="Arial"/>
                </w:rPr>
                <w:t>Telehealth</w:t>
              </w:r>
            </w:hyperlink>
            <w:r w:rsidR="004879A3" w:rsidRPr="00D61F73">
              <w:rPr>
                <w:rFonts w:ascii="Arial" w:hAnsi="Arial" w:cs="Arial"/>
              </w:rPr>
              <w:t>.</w:t>
            </w:r>
          </w:p>
        </w:tc>
      </w:tr>
      <w:tr w:rsidR="00A44270" w:rsidRPr="00D61F73" w14:paraId="2C0F6F1E" w14:textId="77777777" w:rsidTr="0038137E">
        <w:tc>
          <w:tcPr>
            <w:tcW w:w="1088" w:type="pct"/>
            <w:shd w:val="clear" w:color="auto" w:fill="auto"/>
          </w:tcPr>
          <w:p w14:paraId="766B31CF" w14:textId="3E103EE3" w:rsidR="00A44270" w:rsidRPr="00D61F73" w:rsidRDefault="00A44270" w:rsidP="00D61F73">
            <w:pPr>
              <w:pStyle w:val="Footer"/>
              <w:tabs>
                <w:tab w:val="clear" w:pos="4320"/>
                <w:tab w:val="clear" w:pos="8640"/>
              </w:tabs>
              <w:rPr>
                <w:rFonts w:ascii="Arial" w:hAnsi="Arial" w:cs="Arial"/>
              </w:rPr>
            </w:pPr>
            <w:r w:rsidRPr="00D61F73">
              <w:rPr>
                <w:rFonts w:ascii="Arial" w:hAnsi="Arial" w:cs="Arial"/>
              </w:rPr>
              <w:lastRenderedPageBreak/>
              <w:t>Ondansetron (Zofran®)</w:t>
            </w:r>
          </w:p>
        </w:tc>
        <w:tc>
          <w:tcPr>
            <w:tcW w:w="3912" w:type="pct"/>
            <w:shd w:val="clear" w:color="auto" w:fill="auto"/>
          </w:tcPr>
          <w:p w14:paraId="0962BD93" w14:textId="146EF6B1" w:rsidR="00A44270" w:rsidRPr="00D61F73" w:rsidRDefault="00F050FF" w:rsidP="00D61F73">
            <w:pPr>
              <w:rPr>
                <w:rFonts w:ascii="Arial" w:hAnsi="Arial" w:cs="Arial"/>
              </w:rPr>
            </w:pPr>
            <w:r w:rsidRPr="00F050FF">
              <w:rPr>
                <w:rFonts w:ascii="Arial" w:hAnsi="Arial" w:cs="Arial"/>
              </w:rPr>
              <w:t xml:space="preserve">Not recommended for nausea and vomiting secondary to chronic opioid use. See </w:t>
            </w:r>
            <w:hyperlink w:anchor="Antiemetics" w:history="1">
              <w:r w:rsidRPr="00F945CB">
                <w:rPr>
                  <w:rStyle w:val="Hyperlink"/>
                  <w:rFonts w:ascii="Arial" w:hAnsi="Arial" w:cs="Arial"/>
                </w:rPr>
                <w:t>Antiemetics</w:t>
              </w:r>
            </w:hyperlink>
            <w:r w:rsidRPr="0021248C">
              <w:rPr>
                <w:rStyle w:val="Hyperlink"/>
                <w:u w:val="none"/>
              </w:rPr>
              <w:t xml:space="preserve"> </w:t>
            </w:r>
            <w:r w:rsidRPr="00F050FF">
              <w:rPr>
                <w:rFonts w:ascii="Arial" w:hAnsi="Arial" w:cs="Arial"/>
              </w:rPr>
              <w:t>(for opioid nausea).</w:t>
            </w:r>
          </w:p>
        </w:tc>
      </w:tr>
      <w:tr w:rsidR="0038137E" w:rsidRPr="00D61F73" w14:paraId="05ABF56A" w14:textId="77777777" w:rsidTr="0038137E">
        <w:tc>
          <w:tcPr>
            <w:tcW w:w="1088" w:type="pct"/>
            <w:shd w:val="clear" w:color="auto" w:fill="auto"/>
          </w:tcPr>
          <w:p w14:paraId="6726AD02" w14:textId="6C60019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Onsolis™ (fentanyl buccal film) </w:t>
            </w:r>
          </w:p>
        </w:tc>
        <w:tc>
          <w:tcPr>
            <w:tcW w:w="3912" w:type="pct"/>
            <w:shd w:val="clear" w:color="auto" w:fill="auto"/>
          </w:tcPr>
          <w:p w14:paraId="51C82122" w14:textId="6D61A5B6" w:rsidR="0038137E" w:rsidRPr="00D61F73" w:rsidRDefault="0038137E" w:rsidP="00D61F73">
            <w:pPr>
              <w:rPr>
                <w:rFonts w:ascii="Arial" w:hAnsi="Arial" w:cs="Arial"/>
              </w:rPr>
            </w:pPr>
            <w:r w:rsidRPr="00D61F73">
              <w:rPr>
                <w:rFonts w:ascii="Arial" w:hAnsi="Arial" w:cs="Arial"/>
              </w:rPr>
              <w:t xml:space="preserve">Not recommended for treatment of chronic musculoskeletal pain.  Refer to the MTUS Opioids Treatment Guidelines </w:t>
            </w:r>
            <w:r w:rsidRPr="00D61F73">
              <w:rPr>
                <w:rFonts w:ascii="Arial" w:hAnsi="Arial" w:cs="Arial"/>
                <w:bCs/>
              </w:rPr>
              <w:t>for information and recommendations on the use of opioids</w:t>
            </w:r>
          </w:p>
        </w:tc>
      </w:tr>
      <w:tr w:rsidR="0038137E" w:rsidRPr="00D61F73" w14:paraId="48883063" w14:textId="77777777" w:rsidTr="0038137E">
        <w:trPr>
          <w:trHeight w:val="488"/>
        </w:trPr>
        <w:tc>
          <w:tcPr>
            <w:tcW w:w="1088" w:type="pct"/>
            <w:shd w:val="clear" w:color="auto" w:fill="auto"/>
          </w:tcPr>
          <w:p w14:paraId="30F291BD" w14:textId="5B5CA13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Opana®</w:t>
            </w:r>
          </w:p>
        </w:tc>
        <w:tc>
          <w:tcPr>
            <w:tcW w:w="3912" w:type="pct"/>
            <w:shd w:val="clear" w:color="auto" w:fill="auto"/>
          </w:tcPr>
          <w:p w14:paraId="64CDDC45" w14:textId="1173ED37" w:rsidR="0038137E" w:rsidRPr="007A01F0" w:rsidRDefault="0038137E" w:rsidP="00D61F73">
            <w:pPr>
              <w:rPr>
                <w:rFonts w:ascii="Arial" w:hAnsi="Arial" w:cs="Arial"/>
              </w:rPr>
            </w:pPr>
            <w:r w:rsidRPr="007A01F0">
              <w:rPr>
                <w:rFonts w:ascii="Arial" w:hAnsi="Arial" w:cs="Arial"/>
              </w:rPr>
              <w:t xml:space="preserve">See </w:t>
            </w:r>
            <w:hyperlink w:anchor="Oxymorphone" w:history="1">
              <w:r w:rsidRPr="00F945CB">
                <w:rPr>
                  <w:rStyle w:val="Hyperlink"/>
                  <w:rFonts w:ascii="Arial" w:hAnsi="Arial" w:cs="Arial"/>
                </w:rPr>
                <w:t>Oxymorphone</w:t>
              </w:r>
            </w:hyperlink>
            <w:r w:rsidRPr="007A01F0">
              <w:rPr>
                <w:rFonts w:ascii="Arial" w:hAnsi="Arial" w:cs="Arial"/>
              </w:rPr>
              <w:t xml:space="preserve">. </w:t>
            </w:r>
          </w:p>
        </w:tc>
      </w:tr>
      <w:tr w:rsidR="0038137E" w:rsidRPr="00D61F73" w14:paraId="242480DA" w14:textId="77777777" w:rsidTr="0038137E">
        <w:tc>
          <w:tcPr>
            <w:tcW w:w="1088" w:type="pct"/>
            <w:shd w:val="clear" w:color="auto" w:fill="auto"/>
          </w:tcPr>
          <w:p w14:paraId="2BB52054" w14:textId="5123234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Opioid hyperalgesia </w:t>
            </w:r>
          </w:p>
        </w:tc>
        <w:tc>
          <w:tcPr>
            <w:tcW w:w="3912" w:type="pct"/>
            <w:shd w:val="clear" w:color="auto" w:fill="auto"/>
          </w:tcPr>
          <w:p w14:paraId="5EA6129A" w14:textId="599F3F7B" w:rsidR="0038137E" w:rsidRPr="00DC680F" w:rsidRDefault="0038137E" w:rsidP="00D61F73">
            <w:pPr>
              <w:rPr>
                <w:rFonts w:ascii="Arial" w:eastAsia="Arial Unicode MS" w:hAnsi="Arial" w:cs="Arial"/>
                <w:lang w:val="en"/>
              </w:rPr>
            </w:pPr>
            <w:r w:rsidRPr="00D61F73">
              <w:rPr>
                <w:rFonts w:ascii="Arial" w:eastAsia="Arial Unicode MS" w:hAnsi="Arial" w:cs="Arial"/>
                <w:lang w:val="en"/>
              </w:rPr>
              <w:t>Opioid-induced hyperalgesia remains a controversial subject. The only well-controlled human study of reasonable size to date failed to show its existence. (</w:t>
            </w:r>
            <w:hyperlink w:anchor="ChuLF" w:history="1">
              <w:r w:rsidRPr="00D61F73">
                <w:rPr>
                  <w:rStyle w:val="Hyperlink"/>
                  <w:rFonts w:ascii="Arial" w:eastAsia="Arial Unicode MS" w:hAnsi="Arial" w:cs="Arial"/>
                  <w:lang w:val="en"/>
                </w:rPr>
                <w:t>Chu, 2011</w:t>
              </w:r>
            </w:hyperlink>
            <w:r w:rsidRPr="00D61F73">
              <w:rPr>
                <w:rFonts w:ascii="Arial" w:eastAsia="Arial Unicode MS" w:hAnsi="Arial" w:cs="Arial"/>
                <w:lang w:val="en"/>
              </w:rPr>
              <w:t>)</w:t>
            </w:r>
          </w:p>
        </w:tc>
      </w:tr>
      <w:tr w:rsidR="0038137E" w:rsidRPr="00D61F73" w14:paraId="470A15C4" w14:textId="77777777" w:rsidTr="0038137E">
        <w:tc>
          <w:tcPr>
            <w:tcW w:w="1088" w:type="pct"/>
            <w:shd w:val="clear" w:color="auto" w:fill="auto"/>
          </w:tcPr>
          <w:p w14:paraId="231E1C79"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O</w:t>
            </w:r>
            <w:bookmarkStart w:id="345" w:name="Opioidinducedconstiptx"/>
            <w:bookmarkEnd w:id="345"/>
            <w:r w:rsidRPr="00D61F73">
              <w:rPr>
                <w:rFonts w:ascii="Arial" w:hAnsi="Arial" w:cs="Arial"/>
              </w:rPr>
              <w:t xml:space="preserve">pioid-induced constipation treatment </w:t>
            </w:r>
          </w:p>
          <w:p w14:paraId="55370B06" w14:textId="77777777" w:rsidR="0038137E" w:rsidRPr="00D61F73" w:rsidRDefault="0038137E" w:rsidP="00D61F73">
            <w:pPr>
              <w:pStyle w:val="Footer"/>
              <w:tabs>
                <w:tab w:val="clear" w:pos="4320"/>
                <w:tab w:val="clear" w:pos="8640"/>
              </w:tabs>
              <w:rPr>
                <w:rFonts w:ascii="Arial" w:hAnsi="Arial" w:cs="Arial"/>
                <w:u w:val="single"/>
              </w:rPr>
            </w:pPr>
          </w:p>
          <w:p w14:paraId="0E250B77" w14:textId="77777777" w:rsidR="0038137E" w:rsidRPr="00D61F73" w:rsidRDefault="0038137E" w:rsidP="00D61F73">
            <w:pPr>
              <w:pStyle w:val="Footer"/>
              <w:tabs>
                <w:tab w:val="clear" w:pos="4320"/>
                <w:tab w:val="clear" w:pos="8640"/>
              </w:tabs>
              <w:rPr>
                <w:rFonts w:ascii="Arial" w:hAnsi="Arial" w:cs="Arial"/>
              </w:rPr>
            </w:pPr>
          </w:p>
        </w:tc>
        <w:tc>
          <w:tcPr>
            <w:tcW w:w="3912" w:type="pct"/>
            <w:shd w:val="clear" w:color="auto" w:fill="auto"/>
          </w:tcPr>
          <w:p w14:paraId="4DD55572" w14:textId="77777777" w:rsidR="0038137E" w:rsidRPr="00D61F73" w:rsidRDefault="0038137E" w:rsidP="00D61F73">
            <w:pPr>
              <w:rPr>
                <w:rFonts w:ascii="Arial" w:hAnsi="Arial" w:cs="Arial"/>
              </w:rPr>
            </w:pPr>
            <w:r w:rsidRPr="00D61F73">
              <w:rPr>
                <w:rFonts w:ascii="Arial" w:hAnsi="Arial" w:cs="Arial"/>
              </w:rPr>
              <w:t>Recommended as indicated below. If prescribing opioids has been determined to be appropriate, then prophylactic treatment of constipation should be initiated. Opioid-induced constipation is a common adverse effect of long-term opioid use because the binding of opioids to peripheral opioid receptors in the gastrointestinal (GI) tract results in absorption of electrolytes, such as chloride, with a subsequent reduction in small intestinal fluid. Activation of enteric opioid receptors also results in abnormal GI motility. Constipation occurs commonly in patients receiving opioids and can be severe enough to cause discontinuation of therapy.</w:t>
            </w:r>
          </w:p>
          <w:p w14:paraId="0C3BCB16" w14:textId="77777777" w:rsidR="0038137E" w:rsidRPr="00D61F73" w:rsidRDefault="0038137E" w:rsidP="00D61F73">
            <w:pPr>
              <w:rPr>
                <w:rFonts w:ascii="Arial" w:hAnsi="Arial" w:cs="Arial"/>
              </w:rPr>
            </w:pPr>
            <w:r w:rsidRPr="00D61F73">
              <w:rPr>
                <w:rFonts w:ascii="Arial" w:hAnsi="Arial" w:cs="Arial"/>
                <w:i/>
                <w:iCs/>
                <w:u w:val="single"/>
              </w:rPr>
              <w:t>First-line</w:t>
            </w:r>
            <w:r w:rsidRPr="00D61F73">
              <w:rPr>
                <w:rFonts w:ascii="Arial" w:hAnsi="Arial" w:cs="Arial"/>
                <w:i/>
                <w:iCs/>
              </w:rPr>
              <w:t>:</w:t>
            </w:r>
            <w:r w:rsidRPr="00D61F73">
              <w:rPr>
                <w:rFonts w:ascii="Arial" w:hAnsi="Arial" w:cs="Arial"/>
              </w:rPr>
              <w:t xml:space="preserve"> When prescribing an opioid, and especially if it will be needed for more than a few days, there should be an open discussion with the patient that this medication may be constipating, and the first steps should be identified to correct this. Simple treatments include increasing physical activity, maintaining appropriate hydration by drinking enough water, and advising the patient to follow a proper diet, rich in fiber. These can reduce the chance and severity of opioid-induced constipation and constipation in general. In addition, some laxatives may help to stimulate gastric motility. Other over-the-counter medications can help loosen otherwise hard stools, add bulk, and increase water content of the stool. </w:t>
            </w:r>
          </w:p>
          <w:p w14:paraId="25F1C472" w14:textId="21114855" w:rsidR="0038137E" w:rsidRPr="00D61F73" w:rsidRDefault="0038137E" w:rsidP="00D61F73">
            <w:pPr>
              <w:rPr>
                <w:rFonts w:ascii="Arial" w:hAnsi="Arial" w:cs="Arial"/>
              </w:rPr>
            </w:pPr>
            <w:r w:rsidRPr="00D61F73">
              <w:rPr>
                <w:rFonts w:ascii="Arial" w:hAnsi="Arial" w:cs="Arial"/>
                <w:i/>
                <w:iCs/>
                <w:u w:val="single"/>
              </w:rPr>
              <w:t>Second-line</w:t>
            </w:r>
            <w:r w:rsidRPr="00D61F73">
              <w:rPr>
                <w:rFonts w:ascii="Arial" w:hAnsi="Arial" w:cs="Arial"/>
                <w:i/>
                <w:iCs/>
              </w:rPr>
              <w:t>:</w:t>
            </w:r>
            <w:r w:rsidRPr="00D61F73">
              <w:rPr>
                <w:rFonts w:ascii="Arial" w:hAnsi="Arial" w:cs="Arial"/>
              </w:rPr>
              <w:t xml:space="preserve"> If the first-line treatments do not work, there are other second-line options. About 20% of patients on opioids develop constipation, and some of the traditional constipation medications don't work as well with these patients, because the problem is not from the gastrointestinal tract but from the central nervous system, so treating these patients is different from treating a traditional patient with constipation. An oral formulation of methylnaltrexone (Relistor®) met the primary and key secondary end points in a study that examined its effectiveness in relieving constipation related to opioid use for noncancer-related pain. The effectiveness of oral methylnaltrexone in this study was comparable to that reported in clinical studies of subcutaneous methylnaltrexone in subjects with chronic noncancer-related pain. There was an 80% improvement in response with the 450 mg dose and a 55% improvement with 300 mg. Constipation drug lubiprostone (Amitiza®) shows efficacy and tolerability in treating opioid-induced constipation without affecting patients' analgesic response to the pain medications. Lubiprostone is a locally acting chloride channel activator that has a distinctive mechanism that counteracts the constipation associated with opioids without interfering with the opioids binding to their target receptors. (</w:t>
            </w:r>
            <w:hyperlink w:anchor="Bader2013" w:history="1">
              <w:r w:rsidRPr="00D61F73">
                <w:rPr>
                  <w:rStyle w:val="Hyperlink"/>
                  <w:rFonts w:ascii="Arial" w:hAnsi="Arial" w:cs="Arial"/>
                </w:rPr>
                <w:t>Bader, 2013</w:t>
              </w:r>
            </w:hyperlink>
            <w:r w:rsidRPr="00D61F73">
              <w:rPr>
                <w:rFonts w:ascii="Arial" w:hAnsi="Arial" w:cs="Arial"/>
              </w:rPr>
              <w:t>) (</w:t>
            </w:r>
            <w:hyperlink w:anchor="GrasMiralles" w:history="1">
              <w:r w:rsidRPr="00D61F73">
                <w:rPr>
                  <w:rStyle w:val="Hyperlink"/>
                  <w:rFonts w:ascii="Arial" w:hAnsi="Arial" w:cs="Arial"/>
                </w:rPr>
                <w:t>Gras-Miralles, 2013</w:t>
              </w:r>
            </w:hyperlink>
            <w:r w:rsidRPr="00D61F73">
              <w:rPr>
                <w:rFonts w:ascii="Arial" w:hAnsi="Arial" w:cs="Arial"/>
              </w:rPr>
              <w:t xml:space="preserve">) See also </w:t>
            </w:r>
            <w:hyperlink w:anchor="Tapentadol" w:history="1">
              <w:r w:rsidRPr="00D61F73">
                <w:rPr>
                  <w:rStyle w:val="Hyperlink"/>
                  <w:rFonts w:ascii="Arial" w:hAnsi="Arial" w:cs="Arial"/>
                </w:rPr>
                <w:t>Tapentadol</w:t>
              </w:r>
            </w:hyperlink>
            <w:r w:rsidRPr="00D61F73">
              <w:rPr>
                <w:rFonts w:ascii="Arial" w:hAnsi="Arial" w:cs="Arial"/>
              </w:rPr>
              <w:t xml:space="preserve"> (Nucynta™), which has improved gastrointestinal </w:t>
            </w:r>
            <w:r w:rsidRPr="00D61F73">
              <w:rPr>
                <w:rFonts w:ascii="Arial" w:hAnsi="Arial" w:cs="Arial"/>
              </w:rPr>
              <w:lastRenderedPageBreak/>
              <w:t>tolerability for patients complaining of constipation, nausea, and/or vomiting.</w:t>
            </w:r>
          </w:p>
        </w:tc>
      </w:tr>
      <w:tr w:rsidR="0038137E" w:rsidRPr="00D61F73" w14:paraId="7F66F477" w14:textId="77777777" w:rsidTr="0038137E">
        <w:tc>
          <w:tcPr>
            <w:tcW w:w="1088" w:type="pct"/>
            <w:shd w:val="clear" w:color="auto" w:fill="auto"/>
          </w:tcPr>
          <w:p w14:paraId="6DD54F5F" w14:textId="3BAEC071"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lastRenderedPageBreak/>
              <w:t xml:space="preserve">Opioid pumps </w:t>
            </w:r>
          </w:p>
        </w:tc>
        <w:tc>
          <w:tcPr>
            <w:tcW w:w="3912" w:type="pct"/>
            <w:shd w:val="clear" w:color="auto" w:fill="auto"/>
          </w:tcPr>
          <w:p w14:paraId="1C0C76E2" w14:textId="77777777" w:rsidR="0038137E" w:rsidRDefault="0038137E" w:rsidP="00D61F73">
            <w:pPr>
              <w:rPr>
                <w:rStyle w:val="Hyperlink"/>
                <w:rFonts w:ascii="Arial" w:hAnsi="Arial" w:cs="Arial"/>
              </w:rPr>
            </w:pPr>
            <w:r w:rsidRPr="00D61F73">
              <w:rPr>
                <w:rFonts w:ascii="Arial" w:hAnsi="Arial" w:cs="Arial"/>
              </w:rPr>
              <w:t xml:space="preserve">See </w:t>
            </w:r>
            <w:hyperlink w:anchor="Implantabledrugdelivery" w:history="1">
              <w:r w:rsidRPr="00D61F73">
                <w:rPr>
                  <w:rStyle w:val="Hyperlink"/>
                  <w:rFonts w:ascii="Arial" w:hAnsi="Arial" w:cs="Arial"/>
                </w:rPr>
                <w:t>Implantable drug-delivery systems / Intrathecal drug-delivery systems (IDDSs).</w:t>
              </w:r>
            </w:hyperlink>
          </w:p>
          <w:p w14:paraId="6AA60DA9" w14:textId="060F8275" w:rsidR="0038137E" w:rsidRPr="00D61F73" w:rsidRDefault="0038137E" w:rsidP="00D61F73">
            <w:pPr>
              <w:rPr>
                <w:rFonts w:ascii="Arial" w:hAnsi="Arial" w:cs="Arial"/>
              </w:rPr>
            </w:pPr>
          </w:p>
        </w:tc>
      </w:tr>
      <w:tr w:rsidR="0038137E" w:rsidRPr="00D61F73" w14:paraId="3D26214C" w14:textId="77777777" w:rsidTr="0038137E">
        <w:tc>
          <w:tcPr>
            <w:tcW w:w="1088" w:type="pct"/>
            <w:shd w:val="clear" w:color="auto" w:fill="auto"/>
          </w:tcPr>
          <w:p w14:paraId="020414BA"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Opioids </w:t>
            </w:r>
          </w:p>
          <w:p w14:paraId="719BD28C" w14:textId="77777777" w:rsidR="0038137E" w:rsidRPr="00D61F73" w:rsidRDefault="0038137E" w:rsidP="00D61F73">
            <w:pPr>
              <w:pStyle w:val="Footer"/>
              <w:tabs>
                <w:tab w:val="clear" w:pos="4320"/>
                <w:tab w:val="clear" w:pos="8640"/>
              </w:tabs>
              <w:rPr>
                <w:rFonts w:ascii="Arial" w:hAnsi="Arial" w:cs="Arial"/>
              </w:rPr>
            </w:pPr>
          </w:p>
          <w:p w14:paraId="2BBD84E6" w14:textId="3A199208" w:rsidR="0038137E" w:rsidRPr="00D61F73" w:rsidRDefault="0038137E" w:rsidP="00D61F73">
            <w:pPr>
              <w:pStyle w:val="Footer"/>
              <w:tabs>
                <w:tab w:val="clear" w:pos="4320"/>
                <w:tab w:val="clear" w:pos="8640"/>
              </w:tabs>
              <w:rPr>
                <w:rFonts w:ascii="Arial" w:hAnsi="Arial" w:cs="Arial"/>
              </w:rPr>
            </w:pPr>
          </w:p>
        </w:tc>
        <w:tc>
          <w:tcPr>
            <w:tcW w:w="3912" w:type="pct"/>
            <w:shd w:val="clear" w:color="auto" w:fill="auto"/>
          </w:tcPr>
          <w:p w14:paraId="20A03536" w14:textId="25396E4E" w:rsidR="0038137E" w:rsidRPr="00D61F73" w:rsidRDefault="0038137E" w:rsidP="00D61F73">
            <w:pPr>
              <w:rPr>
                <w:rFonts w:ascii="Arial" w:hAnsi="Arial" w:cs="Arial"/>
              </w:rPr>
            </w:pPr>
            <w:r w:rsidRPr="00D61F73">
              <w:rPr>
                <w:rFonts w:ascii="Arial" w:hAnsi="Arial" w:cs="Arial"/>
              </w:rPr>
              <w:t xml:space="preserve">Refer to the MTUS Opioids Treatment Guidelines </w:t>
            </w:r>
            <w:r w:rsidRPr="00D61F73">
              <w:rPr>
                <w:rFonts w:ascii="Arial" w:hAnsi="Arial" w:cs="Arial"/>
                <w:bCs/>
              </w:rPr>
              <w:t>for information and recommendations.</w:t>
            </w:r>
          </w:p>
        </w:tc>
      </w:tr>
      <w:tr w:rsidR="0038137E" w:rsidRPr="00D61F73" w14:paraId="43D2BDE5" w14:textId="77777777" w:rsidTr="00924FC6">
        <w:trPr>
          <w:trHeight w:val="443"/>
        </w:trPr>
        <w:tc>
          <w:tcPr>
            <w:tcW w:w="1088" w:type="pct"/>
            <w:shd w:val="clear" w:color="auto" w:fill="auto"/>
          </w:tcPr>
          <w:p w14:paraId="01E940CC"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Opioids, criteria for use </w:t>
            </w:r>
          </w:p>
          <w:p w14:paraId="6C6786EE" w14:textId="77777777" w:rsidR="0038137E" w:rsidRPr="00D61F73" w:rsidRDefault="0038137E" w:rsidP="00D61F73">
            <w:pPr>
              <w:pStyle w:val="Footer"/>
              <w:tabs>
                <w:tab w:val="clear" w:pos="4320"/>
                <w:tab w:val="clear" w:pos="8640"/>
              </w:tabs>
              <w:rPr>
                <w:rFonts w:ascii="Arial" w:hAnsi="Arial" w:cs="Arial"/>
              </w:rPr>
            </w:pPr>
          </w:p>
          <w:p w14:paraId="7E82E173" w14:textId="77777777" w:rsidR="0038137E" w:rsidRPr="00D61F73" w:rsidRDefault="0038137E" w:rsidP="00D61F73">
            <w:pPr>
              <w:pStyle w:val="Footer"/>
              <w:tabs>
                <w:tab w:val="clear" w:pos="4320"/>
                <w:tab w:val="clear" w:pos="8640"/>
              </w:tabs>
              <w:rPr>
                <w:rFonts w:ascii="Arial" w:hAnsi="Arial" w:cs="Arial"/>
              </w:rPr>
            </w:pPr>
          </w:p>
        </w:tc>
        <w:tc>
          <w:tcPr>
            <w:tcW w:w="3912" w:type="pct"/>
            <w:shd w:val="clear" w:color="auto" w:fill="auto"/>
          </w:tcPr>
          <w:p w14:paraId="7E0FEBB7" w14:textId="480C63EF" w:rsidR="0038137E" w:rsidRPr="00D61F73" w:rsidRDefault="0038137E" w:rsidP="00D61F73">
            <w:pPr>
              <w:rPr>
                <w:rFonts w:ascii="Arial" w:hAnsi="Arial" w:cs="Arial"/>
              </w:rPr>
            </w:pPr>
            <w:r w:rsidRPr="00D61F73">
              <w:rPr>
                <w:rFonts w:ascii="Arial" w:hAnsi="Arial" w:cs="Arial"/>
              </w:rPr>
              <w:t xml:space="preserve">Refer to the MTUS Opioids Treatment Guidelines </w:t>
            </w:r>
            <w:r w:rsidRPr="00D61F73">
              <w:rPr>
                <w:rFonts w:ascii="Arial" w:hAnsi="Arial" w:cs="Arial"/>
                <w:bCs/>
              </w:rPr>
              <w:t>for information and recommendations.</w:t>
            </w:r>
          </w:p>
        </w:tc>
      </w:tr>
      <w:tr w:rsidR="0038137E" w:rsidRPr="00D61F73" w14:paraId="5229CA99" w14:textId="77777777" w:rsidTr="0038137E">
        <w:tc>
          <w:tcPr>
            <w:tcW w:w="1088" w:type="pct"/>
            <w:shd w:val="clear" w:color="auto" w:fill="auto"/>
          </w:tcPr>
          <w:p w14:paraId="7D15B299" w14:textId="1BB0539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Opioids, dealing with misuse &amp; addiction (plus aberrant behaviors &amp; abuse) </w:t>
            </w:r>
          </w:p>
        </w:tc>
        <w:tc>
          <w:tcPr>
            <w:tcW w:w="3912" w:type="pct"/>
            <w:shd w:val="clear" w:color="auto" w:fill="auto"/>
          </w:tcPr>
          <w:p w14:paraId="447185E0" w14:textId="4BEEA541" w:rsidR="0038137E" w:rsidRPr="00D61F73" w:rsidRDefault="0038137E" w:rsidP="00D61F73">
            <w:pPr>
              <w:rPr>
                <w:rFonts w:ascii="Arial" w:hAnsi="Arial" w:cs="Arial"/>
              </w:rPr>
            </w:pPr>
            <w:r w:rsidRPr="00D61F73">
              <w:rPr>
                <w:rFonts w:ascii="Arial" w:hAnsi="Arial" w:cs="Arial"/>
              </w:rPr>
              <w:t xml:space="preserve">Refer to the MTUS Opioids Treatment Guidelines </w:t>
            </w:r>
            <w:r w:rsidRPr="00D61F73">
              <w:rPr>
                <w:rFonts w:ascii="Arial" w:hAnsi="Arial" w:cs="Arial"/>
                <w:bCs/>
              </w:rPr>
              <w:t xml:space="preserve"> for information and recommendations.</w:t>
            </w:r>
          </w:p>
        </w:tc>
      </w:tr>
      <w:tr w:rsidR="0038137E" w:rsidRPr="00D61F73" w14:paraId="454BC5F6" w14:textId="77777777" w:rsidTr="0038137E">
        <w:trPr>
          <w:trHeight w:val="632"/>
        </w:trPr>
        <w:tc>
          <w:tcPr>
            <w:tcW w:w="1088" w:type="pct"/>
            <w:shd w:val="clear" w:color="auto" w:fill="auto"/>
          </w:tcPr>
          <w:p w14:paraId="3A9A079B" w14:textId="56828B56" w:rsidR="0038137E" w:rsidRPr="003F2D86" w:rsidRDefault="0038137E" w:rsidP="00D61F73">
            <w:pPr>
              <w:pStyle w:val="Footer"/>
              <w:tabs>
                <w:tab w:val="clear" w:pos="4320"/>
                <w:tab w:val="clear" w:pos="8640"/>
              </w:tabs>
              <w:rPr>
                <w:rFonts w:ascii="Arial" w:hAnsi="Arial" w:cs="Arial"/>
              </w:rPr>
            </w:pPr>
            <w:r w:rsidRPr="00D61F73">
              <w:rPr>
                <w:rFonts w:ascii="Arial" w:hAnsi="Arial" w:cs="Arial"/>
              </w:rPr>
              <w:t xml:space="preserve">Opioids, long-acting </w:t>
            </w:r>
          </w:p>
        </w:tc>
        <w:tc>
          <w:tcPr>
            <w:tcW w:w="3912" w:type="pct"/>
            <w:shd w:val="clear" w:color="auto" w:fill="auto"/>
          </w:tcPr>
          <w:p w14:paraId="42229F73" w14:textId="349A6B13" w:rsidR="0038137E" w:rsidRPr="003F2D86" w:rsidRDefault="0038137E" w:rsidP="00D61F73">
            <w:pPr>
              <w:rPr>
                <w:rFonts w:ascii="Arial" w:hAnsi="Arial" w:cs="Arial"/>
                <w:bCs/>
              </w:rPr>
            </w:pPr>
            <w:r w:rsidRPr="00D61F73">
              <w:rPr>
                <w:rFonts w:ascii="Arial" w:hAnsi="Arial" w:cs="Arial"/>
              </w:rPr>
              <w:t xml:space="preserve">MTUS Opioids Treatment Guidelines </w:t>
            </w:r>
            <w:r w:rsidRPr="00D61F73">
              <w:rPr>
                <w:rFonts w:ascii="Arial" w:hAnsi="Arial" w:cs="Arial"/>
                <w:bCs/>
              </w:rPr>
              <w:t xml:space="preserve">for additional information and recommendations. </w:t>
            </w:r>
            <w:r w:rsidRPr="00D61F73">
              <w:rPr>
                <w:rFonts w:ascii="Arial" w:hAnsi="Arial" w:cs="Arial"/>
              </w:rPr>
              <w:t>In September 2013 the FDA announced labeling changes to reflect that extended-release and long-acting opioids are no longer indicated for merely moderate pain. Previously, the labels for ER/LA opioid analgesics stated that they were indicated for moderate to severe pain in patients requiring continuous, around-the-clock opioid treatment for an extended period of time. The labels now will state that the drugs are indicated for the management of pain severe enough to require daily, around-the-clock opioid treatment and for which alternative treatments are inadequate, and the FDA will require manufacturers to perform more studies and clinical trials to further assess the known risks of misuse, abuse, addiction, overdose, and death. However, the FDA did not take action on dose and duration limits, as had been suggested by stakeholders. (</w:t>
            </w:r>
            <w:hyperlink r:id="rId129" w:history="1">
              <w:r w:rsidRPr="00D61F73">
                <w:rPr>
                  <w:rStyle w:val="Hyperlink"/>
                  <w:rFonts w:ascii="Arial" w:hAnsi="Arial" w:cs="Arial"/>
                </w:rPr>
                <w:t>FDA, 2013</w:t>
              </w:r>
            </w:hyperlink>
            <w:r w:rsidRPr="00D61F73">
              <w:rPr>
                <w:rFonts w:ascii="Arial" w:hAnsi="Arial" w:cs="Arial"/>
              </w:rPr>
              <w:t>).</w:t>
            </w:r>
          </w:p>
        </w:tc>
      </w:tr>
      <w:tr w:rsidR="0038137E" w:rsidRPr="00D61F73" w14:paraId="25947394" w14:textId="77777777" w:rsidTr="0038137E">
        <w:trPr>
          <w:trHeight w:val="3863"/>
        </w:trPr>
        <w:tc>
          <w:tcPr>
            <w:tcW w:w="1088" w:type="pct"/>
            <w:shd w:val="clear" w:color="auto" w:fill="auto"/>
          </w:tcPr>
          <w:p w14:paraId="795E431F"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Opioids, psychological intervention </w:t>
            </w:r>
          </w:p>
          <w:p w14:paraId="3041FBA4" w14:textId="77777777" w:rsidR="0038137E" w:rsidRPr="00D61F73" w:rsidRDefault="0038137E" w:rsidP="00D61F73">
            <w:pPr>
              <w:pStyle w:val="Footer"/>
              <w:tabs>
                <w:tab w:val="clear" w:pos="4320"/>
                <w:tab w:val="clear" w:pos="8640"/>
              </w:tabs>
              <w:rPr>
                <w:rFonts w:ascii="Arial" w:hAnsi="Arial" w:cs="Arial"/>
                <w:u w:val="single"/>
              </w:rPr>
            </w:pPr>
          </w:p>
          <w:p w14:paraId="2EB34828" w14:textId="77777777" w:rsidR="0038137E" w:rsidRPr="00D61F73" w:rsidRDefault="0038137E" w:rsidP="00D61F73">
            <w:pPr>
              <w:pStyle w:val="Footer"/>
              <w:tabs>
                <w:tab w:val="clear" w:pos="4320"/>
                <w:tab w:val="clear" w:pos="8640"/>
              </w:tabs>
              <w:rPr>
                <w:rFonts w:ascii="Arial" w:hAnsi="Arial" w:cs="Arial"/>
                <w:u w:val="single"/>
              </w:rPr>
            </w:pPr>
          </w:p>
        </w:tc>
        <w:tc>
          <w:tcPr>
            <w:tcW w:w="3912" w:type="pct"/>
            <w:shd w:val="clear" w:color="auto" w:fill="auto"/>
          </w:tcPr>
          <w:p w14:paraId="77B63ECF" w14:textId="65978DF0" w:rsidR="0038137E" w:rsidRPr="00D61F73" w:rsidRDefault="0038137E" w:rsidP="00D61F73">
            <w:pPr>
              <w:rPr>
                <w:rFonts w:ascii="Arial" w:hAnsi="Arial" w:cs="Arial"/>
              </w:rPr>
            </w:pPr>
            <w:r w:rsidRPr="00D61F73">
              <w:rPr>
                <w:rFonts w:ascii="Arial" w:hAnsi="Arial" w:cs="Arial"/>
              </w:rPr>
              <w:t xml:space="preserve">Refer to the MTUS Opioids Treatment Guidelines </w:t>
            </w:r>
            <w:r w:rsidRPr="00D61F73">
              <w:rPr>
                <w:rFonts w:ascii="Arial" w:hAnsi="Arial" w:cs="Arial"/>
                <w:bCs/>
              </w:rPr>
              <w:t xml:space="preserve">for additional information and recommendations. </w:t>
            </w:r>
            <w:r w:rsidRPr="00D61F73">
              <w:rPr>
                <w:rFonts w:ascii="Arial" w:hAnsi="Arial" w:cs="Arial"/>
              </w:rPr>
              <w:t>The following steps have been suggested to improve opioid treatment: (a) Provide ongoing education on both the benefits and limitations of opioid treatment. In particular, this should be based on the patient’s experience with medication treatment and behavior regarding controlled substances in general. (b) Emphasize non-opioid care including self-management techniques. These may include relaxation, mindfulness meditation, acceptance, and distraction. (c) Emphasize realistic goals. (d) Avoid increasing dosages of medications to “chase pain.” The result may ultimately be development of tolerance. (e) Encourage development of strategies for self-regulation of medication misuse. This may also include incorporation of a support group such as friends, family, an identified group (such as a 12-step group or group counseling), and/or individual counseling. (</w:t>
            </w:r>
            <w:hyperlink w:anchor="Naliboff" w:history="1">
              <w:r w:rsidRPr="00D61F73">
                <w:rPr>
                  <w:rStyle w:val="Hyperlink"/>
                  <w:rFonts w:ascii="Arial" w:hAnsi="Arial" w:cs="Arial"/>
                </w:rPr>
                <w:t>Naliboff, 2006</w:t>
              </w:r>
            </w:hyperlink>
            <w:r w:rsidRPr="00D61F73">
              <w:rPr>
                <w:rFonts w:ascii="Arial" w:hAnsi="Arial" w:cs="Arial"/>
              </w:rPr>
              <w:t>)</w:t>
            </w:r>
          </w:p>
        </w:tc>
      </w:tr>
      <w:tr w:rsidR="0038137E" w:rsidRPr="00D61F73" w14:paraId="3CDC627B" w14:textId="77777777" w:rsidTr="0038137E">
        <w:tc>
          <w:tcPr>
            <w:tcW w:w="1088" w:type="pct"/>
            <w:shd w:val="clear" w:color="auto" w:fill="auto"/>
          </w:tcPr>
          <w:p w14:paraId="6E5F9453"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Opioids, risk evaluation &amp; mitigation strategy (REMS) </w:t>
            </w:r>
          </w:p>
          <w:p w14:paraId="63CA1482" w14:textId="77777777" w:rsidR="0038137E" w:rsidRPr="00D61F73" w:rsidRDefault="0038137E" w:rsidP="00D61F73">
            <w:pPr>
              <w:pStyle w:val="Footer"/>
              <w:tabs>
                <w:tab w:val="clear" w:pos="4320"/>
                <w:tab w:val="clear" w:pos="8640"/>
              </w:tabs>
              <w:rPr>
                <w:rFonts w:ascii="Arial" w:hAnsi="Arial" w:cs="Arial"/>
                <w:u w:val="single"/>
              </w:rPr>
            </w:pPr>
          </w:p>
          <w:p w14:paraId="2E5C3606" w14:textId="77777777" w:rsidR="0038137E" w:rsidRPr="00D61F73" w:rsidRDefault="0038137E" w:rsidP="00D61F73">
            <w:pPr>
              <w:pStyle w:val="Footer"/>
              <w:tabs>
                <w:tab w:val="clear" w:pos="4320"/>
                <w:tab w:val="clear" w:pos="8640"/>
              </w:tabs>
              <w:rPr>
                <w:rFonts w:ascii="Arial" w:hAnsi="Arial" w:cs="Arial"/>
                <w:u w:val="single"/>
              </w:rPr>
            </w:pPr>
          </w:p>
        </w:tc>
        <w:tc>
          <w:tcPr>
            <w:tcW w:w="3912" w:type="pct"/>
            <w:shd w:val="clear" w:color="auto" w:fill="auto"/>
          </w:tcPr>
          <w:p w14:paraId="229157A7" w14:textId="1792A170" w:rsidR="0038137E" w:rsidRPr="00D61F73" w:rsidRDefault="0038137E" w:rsidP="00D61F73">
            <w:pPr>
              <w:rPr>
                <w:rFonts w:ascii="Arial" w:hAnsi="Arial" w:cs="Arial"/>
              </w:rPr>
            </w:pPr>
            <w:r w:rsidRPr="00D61F73">
              <w:rPr>
                <w:rFonts w:ascii="Arial" w:hAnsi="Arial" w:cs="Arial"/>
              </w:rPr>
              <w:lastRenderedPageBreak/>
              <w:t xml:space="preserve">Refer to the MTUS Opioids Treatment Guidelines </w:t>
            </w:r>
            <w:r w:rsidRPr="00D61F73">
              <w:rPr>
                <w:rFonts w:ascii="Arial" w:hAnsi="Arial" w:cs="Arial"/>
                <w:bCs/>
              </w:rPr>
              <w:t xml:space="preserve">for additional information and recommendations on the use of opioids. </w:t>
            </w:r>
            <w:r w:rsidRPr="00D61F73">
              <w:rPr>
                <w:rFonts w:ascii="Arial" w:hAnsi="Arial" w:cs="Arial"/>
              </w:rPr>
              <w:t xml:space="preserve">The FDA announced a new Risk Evaluation and Mitigation Strategy (REMS) program and reports that it has already contacted the manufacturers of the extended-release and </w:t>
            </w:r>
            <w:r w:rsidRPr="00D61F73">
              <w:rPr>
                <w:rFonts w:ascii="Arial" w:hAnsi="Arial" w:cs="Arial"/>
              </w:rPr>
              <w:lastRenderedPageBreak/>
              <w:t>long-acting opioid medications hydromorphone, oxycodone, morphine, oxymorphine, morphone, methadone, and transdermal fentanyl, to require these manufacturers to develop and pay for programs to educate doctors on proper pain management, patient selection, and ensuring that their patients understand how to use these drugs safely. (</w:t>
            </w:r>
            <w:hyperlink r:id="rId130" w:history="1">
              <w:r w:rsidRPr="00D61F73">
                <w:rPr>
                  <w:rStyle w:val="Hyperlink"/>
                  <w:rFonts w:ascii="Arial" w:hAnsi="Arial" w:cs="Arial"/>
                </w:rPr>
                <w:t>FDA, 2011</w:t>
              </w:r>
            </w:hyperlink>
            <w:r w:rsidRPr="00D61F73">
              <w:rPr>
                <w:rFonts w:ascii="Arial" w:hAnsi="Arial" w:cs="Arial"/>
              </w:rPr>
              <w:t>) On July 9, 2012, FDA approved a risk evaluation and mitigation strategy (REMS) for extended-release and long-acting opioid medications. (</w:t>
            </w:r>
            <w:hyperlink r:id="rId131" w:history="1">
              <w:r w:rsidRPr="00D61F73">
                <w:rPr>
                  <w:rStyle w:val="Hyperlink"/>
                  <w:rFonts w:ascii="Arial" w:hAnsi="Arial" w:cs="Arial"/>
                </w:rPr>
                <w:t>FDA, 2012</w:t>
              </w:r>
            </w:hyperlink>
            <w:r w:rsidRPr="00D61F73">
              <w:rPr>
                <w:rFonts w:ascii="Arial" w:hAnsi="Arial" w:cs="Arial"/>
              </w:rPr>
              <w:t>) However, requiring drug companies to provide educational material to doctors on opioids, and making physician education under REMS voluntary are possible flaws in the plan. The propriety of having the pharmaceutical industry develop unbiased education for prescribers and patients is a concern. Another alternative would be to revise existing labeling to reflect the current clinical science and risk-benefit profile, and a black box warning might have more impact. In addition, a REMS for short-acting opioids has not been proposed despite data showing problems with these. (</w:t>
            </w:r>
            <w:hyperlink w:anchor="Nelson2012" w:history="1">
              <w:r w:rsidRPr="00D61F73">
                <w:rPr>
                  <w:rStyle w:val="Hyperlink"/>
                  <w:rFonts w:ascii="Arial" w:hAnsi="Arial" w:cs="Arial"/>
                </w:rPr>
                <w:t>Nelson, 2012</w:t>
              </w:r>
            </w:hyperlink>
            <w:r w:rsidRPr="00D61F73">
              <w:rPr>
                <w:rFonts w:ascii="Arial" w:hAnsi="Arial" w:cs="Arial"/>
              </w:rPr>
              <w:t>)</w:t>
            </w:r>
          </w:p>
        </w:tc>
      </w:tr>
      <w:tr w:rsidR="0038137E" w:rsidRPr="00D61F73" w14:paraId="0D64E380" w14:textId="77777777" w:rsidTr="0038137E">
        <w:tc>
          <w:tcPr>
            <w:tcW w:w="1088" w:type="pct"/>
            <w:shd w:val="clear" w:color="auto" w:fill="auto"/>
          </w:tcPr>
          <w:p w14:paraId="5A81AFD8"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O</w:t>
            </w:r>
            <w:bookmarkStart w:id="346" w:name="Opioidsspecificdruglist"/>
            <w:bookmarkEnd w:id="346"/>
            <w:r w:rsidRPr="00D61F73">
              <w:rPr>
                <w:rFonts w:ascii="Arial" w:hAnsi="Arial" w:cs="Arial"/>
              </w:rPr>
              <w:t xml:space="preserve">pioids, specific drug list </w:t>
            </w:r>
          </w:p>
          <w:p w14:paraId="3C43CB88" w14:textId="77777777" w:rsidR="0038137E" w:rsidRPr="00D61F73" w:rsidRDefault="0038137E" w:rsidP="00D61F73">
            <w:pPr>
              <w:pStyle w:val="Footer"/>
              <w:tabs>
                <w:tab w:val="clear" w:pos="4320"/>
                <w:tab w:val="clear" w:pos="8640"/>
              </w:tabs>
              <w:rPr>
                <w:rFonts w:ascii="Arial" w:hAnsi="Arial" w:cs="Arial"/>
              </w:rPr>
            </w:pPr>
          </w:p>
          <w:p w14:paraId="5D8E917D" w14:textId="77777777" w:rsidR="0038137E" w:rsidRPr="00D61F73" w:rsidRDefault="0038137E" w:rsidP="00D61F73">
            <w:pPr>
              <w:pStyle w:val="Footer"/>
              <w:tabs>
                <w:tab w:val="clear" w:pos="4320"/>
                <w:tab w:val="clear" w:pos="8640"/>
              </w:tabs>
              <w:rPr>
                <w:rFonts w:ascii="Arial" w:hAnsi="Arial" w:cs="Arial"/>
                <w:u w:val="single"/>
              </w:rPr>
            </w:pPr>
          </w:p>
        </w:tc>
        <w:tc>
          <w:tcPr>
            <w:tcW w:w="3912" w:type="pct"/>
            <w:shd w:val="clear" w:color="auto" w:fill="auto"/>
          </w:tcPr>
          <w:p w14:paraId="399B8D00" w14:textId="77777777" w:rsidR="0038137E" w:rsidRPr="00D61F73" w:rsidRDefault="0038137E" w:rsidP="00D61F73">
            <w:pPr>
              <w:rPr>
                <w:rFonts w:ascii="Arial" w:hAnsi="Arial" w:cs="Arial"/>
              </w:rPr>
            </w:pPr>
            <w:r w:rsidRPr="00D61F73">
              <w:rPr>
                <w:rFonts w:ascii="Arial" w:hAnsi="Arial" w:cs="Arial"/>
              </w:rPr>
              <w:t xml:space="preserve">Information on selected drugs are listed here. Refer to the MTUS Opioids Treatment Guidelines </w:t>
            </w:r>
            <w:r w:rsidRPr="00D61F73">
              <w:rPr>
                <w:rFonts w:ascii="Arial" w:hAnsi="Arial" w:cs="Arial"/>
                <w:bCs/>
              </w:rPr>
              <w:t>for additional information and recommendations.</w:t>
            </w:r>
          </w:p>
          <w:p w14:paraId="1F7D019C" w14:textId="77777777" w:rsidR="0038137E" w:rsidRPr="00D61F73" w:rsidRDefault="0038137E" w:rsidP="00D61F73">
            <w:pPr>
              <w:rPr>
                <w:rFonts w:ascii="Arial" w:hAnsi="Arial" w:cs="Arial"/>
              </w:rPr>
            </w:pPr>
            <w:r w:rsidRPr="00D61F73">
              <w:rPr>
                <w:rFonts w:ascii="Arial" w:hAnsi="Arial" w:cs="Arial"/>
                <w:b/>
                <w:i/>
                <w:iCs/>
                <w:u w:val="single"/>
              </w:rPr>
              <w:t>Hydrocodone/Ibuprofen</w:t>
            </w:r>
            <w:r w:rsidRPr="00D61F73">
              <w:rPr>
                <w:rFonts w:ascii="Arial" w:hAnsi="Arial" w:cs="Arial"/>
                <w:bCs/>
                <w:i/>
                <w:iCs/>
                <w:u w:val="single"/>
              </w:rPr>
              <w:t xml:space="preserve"> </w:t>
            </w:r>
            <w:r w:rsidRPr="00D61F73">
              <w:rPr>
                <w:rFonts w:ascii="Arial" w:hAnsi="Arial" w:cs="Arial"/>
                <w:bCs/>
                <w:i/>
                <w:iCs/>
              </w:rPr>
              <w:t>(Vicoprofen®; generic available):</w:t>
            </w:r>
            <w:r w:rsidRPr="00D61F73">
              <w:rPr>
                <w:rFonts w:ascii="Arial" w:hAnsi="Arial" w:cs="Arial"/>
                <w:b/>
              </w:rPr>
              <w:t xml:space="preserve"> </w:t>
            </w:r>
            <w:r w:rsidRPr="00D61F73">
              <w:rPr>
                <w:rFonts w:ascii="Arial" w:hAnsi="Arial" w:cs="Arial"/>
              </w:rPr>
              <w:t xml:space="preserve">7.5mg/200mg. </w:t>
            </w:r>
            <w:r w:rsidRPr="00D61F73">
              <w:rPr>
                <w:rFonts w:ascii="Arial" w:hAnsi="Arial" w:cs="Arial"/>
                <w:i/>
              </w:rPr>
              <w:t>Side Effects:</w:t>
            </w:r>
            <w:r w:rsidRPr="00D61F73">
              <w:rPr>
                <w:rFonts w:ascii="Arial" w:hAnsi="Arial" w:cs="Arial"/>
              </w:rPr>
              <w:t xml:space="preserve"> See opioid adverse effects and NSAIDS. Note: </w:t>
            </w:r>
            <w:r w:rsidRPr="00D61F73">
              <w:rPr>
                <w:rFonts w:ascii="Arial" w:hAnsi="Arial" w:cs="Arial"/>
                <w:i/>
              </w:rPr>
              <w:t>Analgesic dose</w:t>
            </w:r>
            <w:r w:rsidRPr="00D61F73">
              <w:rPr>
                <w:rFonts w:ascii="Arial" w:hAnsi="Arial" w:cs="Arial"/>
              </w:rPr>
              <w:t>: 1 tablet every 4-6 hours as needed for pain; maximum: 5 tablets/day (Product information, Abbott Laboratories).</w:t>
            </w:r>
          </w:p>
          <w:p w14:paraId="19B37186" w14:textId="77777777" w:rsidR="0038137E" w:rsidRPr="00D61F73" w:rsidRDefault="0038137E" w:rsidP="00D61F73">
            <w:pPr>
              <w:rPr>
                <w:rFonts w:ascii="Arial" w:hAnsi="Arial" w:cs="Arial"/>
              </w:rPr>
            </w:pPr>
            <w:r w:rsidRPr="00D61F73">
              <w:rPr>
                <w:rFonts w:ascii="Arial" w:hAnsi="Arial" w:cs="Arial"/>
                <w:b/>
                <w:i/>
                <w:iCs/>
                <w:u w:val="single"/>
              </w:rPr>
              <w:t>Oxycodone/acetaminophen</w:t>
            </w:r>
            <w:r w:rsidRPr="00D61F73">
              <w:rPr>
                <w:rFonts w:ascii="Arial" w:hAnsi="Arial" w:cs="Arial"/>
                <w:bCs/>
                <w:i/>
                <w:iCs/>
              </w:rPr>
              <w:t xml:space="preserve"> (Percocet®; generic available): </w:t>
            </w:r>
            <w:r w:rsidRPr="00D61F73">
              <w:rPr>
                <w:rFonts w:ascii="Arial" w:hAnsi="Arial" w:cs="Arial"/>
                <w:i/>
              </w:rPr>
              <w:t>Side Effects:</w:t>
            </w:r>
            <w:r w:rsidRPr="00D61F73">
              <w:rPr>
                <w:rFonts w:ascii="Arial" w:hAnsi="Arial" w:cs="Arial"/>
              </w:rPr>
              <w:t xml:space="preserve"> See opioid side effects and acetaminophen. </w:t>
            </w:r>
            <w:r w:rsidRPr="00D61F73">
              <w:rPr>
                <w:rFonts w:ascii="Arial" w:hAnsi="Arial" w:cs="Arial"/>
                <w:i/>
              </w:rPr>
              <w:t>Analgesic dose:</w:t>
            </w:r>
            <w:r w:rsidRPr="00D61F73">
              <w:rPr>
                <w:rFonts w:ascii="Arial" w:hAnsi="Arial" w:cs="Arial"/>
              </w:rPr>
              <w:t xml:space="preserve"> Dosage based on oxycodone content and should be administered every 4 to 6 hours as needed for pain. Initially 2.5 to 5 mg PO every 4 to 6 hours prn. Note: Maximum daily dose is based on acetaminophen content (Maximum 3000mg/day). For more severe pain the dose (based on oxycodone) is 10-30mg every 4 to 6 hours prn pain. Dose should be reduced in patients with severe liver disease.</w:t>
            </w:r>
          </w:p>
          <w:p w14:paraId="1416EFD5" w14:textId="77777777" w:rsidR="0038137E" w:rsidRPr="00D61F73" w:rsidRDefault="0038137E" w:rsidP="00D61F73">
            <w:pPr>
              <w:rPr>
                <w:rFonts w:ascii="Arial" w:hAnsi="Arial" w:cs="Arial"/>
              </w:rPr>
            </w:pPr>
            <w:r w:rsidRPr="00D61F73">
              <w:rPr>
                <w:rFonts w:ascii="Arial" w:hAnsi="Arial" w:cs="Arial"/>
                <w:b/>
                <w:bCs/>
                <w:i/>
                <w:iCs/>
                <w:u w:val="single"/>
              </w:rPr>
              <w:t>Oxycodone/ibuprofen</w:t>
            </w:r>
            <w:r w:rsidRPr="00D61F73">
              <w:rPr>
                <w:rFonts w:ascii="Arial" w:hAnsi="Arial" w:cs="Arial"/>
                <w:i/>
                <w:iCs/>
              </w:rPr>
              <w:t xml:space="preserve"> (Combunox®; </w:t>
            </w:r>
            <w:r w:rsidRPr="00D61F73">
              <w:rPr>
                <w:rFonts w:ascii="Arial" w:hAnsi="Arial" w:cs="Arial"/>
                <w:bCs/>
                <w:i/>
                <w:iCs/>
              </w:rPr>
              <w:t>generic available</w:t>
            </w:r>
            <w:r w:rsidRPr="00D61F73">
              <w:rPr>
                <w:rFonts w:ascii="Arial" w:hAnsi="Arial" w:cs="Arial"/>
                <w:i/>
                <w:iCs/>
              </w:rPr>
              <w:t>): Side Effects:</w:t>
            </w:r>
            <w:r w:rsidRPr="00D61F73">
              <w:rPr>
                <w:rFonts w:ascii="Arial" w:hAnsi="Arial" w:cs="Arial"/>
              </w:rPr>
              <w:t xml:space="preserve"> See opioid adverse effects and NSAIDS. Note: Recommended for short-term use only (generally less than 7 days). 1 tablet (ibuprofen 400mg; oxycodone 5mg) every 6 hours as needed. Do not exceed 4 tablets/24 hours. Duration of therapy should not exceed 7 days. The elderly may be more sensitive to the usual adult dosage. (</w:t>
            </w:r>
            <w:hyperlink w:anchor="ClinicalPharmacology" w:history="1">
              <w:r w:rsidRPr="00D61F73">
                <w:rPr>
                  <w:rStyle w:val="Hyperlink"/>
                  <w:rFonts w:ascii="Arial" w:hAnsi="Arial" w:cs="Arial"/>
                </w:rPr>
                <w:t>Clinical Pharmacology, 2008</w:t>
              </w:r>
            </w:hyperlink>
            <w:r w:rsidRPr="00D61F73">
              <w:rPr>
                <w:rFonts w:ascii="Arial" w:hAnsi="Arial" w:cs="Arial"/>
              </w:rPr>
              <w:t>)</w:t>
            </w:r>
          </w:p>
          <w:p w14:paraId="4EFB832A" w14:textId="77777777" w:rsidR="0038137E" w:rsidRPr="00D61F73" w:rsidRDefault="0038137E" w:rsidP="00D61F73">
            <w:pPr>
              <w:rPr>
                <w:rFonts w:ascii="Arial" w:hAnsi="Arial" w:cs="Arial"/>
              </w:rPr>
            </w:pPr>
            <w:r w:rsidRPr="00D61F73">
              <w:rPr>
                <w:rFonts w:ascii="Arial" w:hAnsi="Arial" w:cs="Arial"/>
                <w:b/>
                <w:i/>
                <w:iCs/>
                <w:u w:val="single"/>
              </w:rPr>
              <w:t>Levorphanol</w:t>
            </w:r>
            <w:r w:rsidRPr="00D61F73">
              <w:rPr>
                <w:rFonts w:ascii="Arial" w:hAnsi="Arial" w:cs="Arial"/>
                <w:bCs/>
                <w:i/>
                <w:iCs/>
              </w:rPr>
              <w:t xml:space="preserve"> (Levo-Dromoran®; generic available):</w:t>
            </w:r>
            <w:r w:rsidRPr="00D61F73">
              <w:rPr>
                <w:rFonts w:ascii="Arial" w:hAnsi="Arial" w:cs="Arial"/>
                <w:bCs/>
              </w:rPr>
              <w:t xml:space="preserve"> </w:t>
            </w:r>
            <w:r w:rsidRPr="00D61F73">
              <w:rPr>
                <w:rFonts w:ascii="Arial" w:hAnsi="Arial" w:cs="Arial"/>
              </w:rPr>
              <w:t>2mg tablets. Used for moderate to severe pain, when an opioid is appropriate for therapy. Levophornal has been shown to be effective for neuropathic pain. (</w:t>
            </w:r>
            <w:hyperlink w:anchor="Prommer" w:history="1">
              <w:r w:rsidRPr="00D61F73">
                <w:rPr>
                  <w:rStyle w:val="Hyperlink"/>
                  <w:rFonts w:ascii="Arial" w:hAnsi="Arial" w:cs="Arial"/>
                </w:rPr>
                <w:t>Prommer 2007</w:t>
              </w:r>
            </w:hyperlink>
            <w:r w:rsidRPr="00D61F73">
              <w:rPr>
                <w:rFonts w:ascii="Arial" w:hAnsi="Arial" w:cs="Arial"/>
              </w:rPr>
              <w:t xml:space="preserve">) Levorphanol is 4 to 8 times as potent as morphine and it has a much longer half-life. </w:t>
            </w:r>
            <w:r w:rsidRPr="00D61F73">
              <w:rPr>
                <w:rFonts w:ascii="Arial" w:hAnsi="Arial" w:cs="Arial"/>
                <w:i/>
              </w:rPr>
              <w:t>Side Effects:</w:t>
            </w:r>
            <w:r w:rsidRPr="00D61F73">
              <w:rPr>
                <w:rFonts w:ascii="Arial" w:hAnsi="Arial" w:cs="Arial"/>
              </w:rPr>
              <w:t xml:space="preserve"> See opioid adverse effects. </w:t>
            </w:r>
            <w:r w:rsidRPr="00D61F73">
              <w:rPr>
                <w:rFonts w:ascii="Arial" w:hAnsi="Arial" w:cs="Arial"/>
                <w:i/>
              </w:rPr>
              <w:t xml:space="preserve">Analgesic dose: </w:t>
            </w:r>
            <w:r w:rsidRPr="00D61F73">
              <w:rPr>
                <w:rFonts w:ascii="Arial" w:hAnsi="Arial" w:cs="Arial"/>
              </w:rPr>
              <w:t>The usual starting dose is 2mg PO, which may be repeated in 6 to 8 hours. Note: Assess patient for signs of hypoventilation and excessive sedation before continuing subsequent doses. Patients who tolerate dosing and need further pain management may take 3mg PO every 6 to 8 hours. Note: Levorphanol is not recommended for breakthrough pain. (</w:t>
            </w:r>
            <w:hyperlink w:anchor="Prommer" w:history="1">
              <w:r w:rsidRPr="00D61F73">
                <w:rPr>
                  <w:rStyle w:val="Hyperlink"/>
                  <w:rFonts w:ascii="Arial" w:hAnsi="Arial" w:cs="Arial"/>
                </w:rPr>
                <w:t>Prommer 2007</w:t>
              </w:r>
            </w:hyperlink>
            <w:r w:rsidRPr="00D61F73">
              <w:rPr>
                <w:rFonts w:ascii="Arial" w:hAnsi="Arial" w:cs="Arial"/>
              </w:rPr>
              <w:t xml:space="preserve">) </w:t>
            </w:r>
          </w:p>
          <w:p w14:paraId="21E3B25C" w14:textId="77777777" w:rsidR="0038137E" w:rsidRPr="00D61F73" w:rsidRDefault="0038137E" w:rsidP="00D61F73">
            <w:pPr>
              <w:rPr>
                <w:rFonts w:ascii="Arial" w:hAnsi="Arial" w:cs="Arial"/>
              </w:rPr>
            </w:pPr>
            <w:r w:rsidRPr="00D61F73">
              <w:rPr>
                <w:rFonts w:ascii="Arial" w:hAnsi="Arial" w:cs="Arial"/>
                <w:b/>
                <w:i/>
                <w:iCs/>
                <w:u w:val="single"/>
              </w:rPr>
              <w:t>Morphine sulfate,</w:t>
            </w:r>
            <w:r w:rsidRPr="00D61F73">
              <w:rPr>
                <w:rFonts w:ascii="Arial" w:hAnsi="Arial" w:cs="Arial"/>
                <w:bCs/>
                <w:i/>
                <w:iCs/>
              </w:rPr>
              <w:t xml:space="preserve"> Morphine sulfate ER, CR (Avinza®; Kadian®; MS Contin®; Oramorph SR®; generic available, except extended release </w:t>
            </w:r>
            <w:r w:rsidRPr="00D61F73">
              <w:rPr>
                <w:rFonts w:ascii="Arial" w:hAnsi="Arial" w:cs="Arial"/>
                <w:bCs/>
                <w:i/>
                <w:iCs/>
              </w:rPr>
              <w:lastRenderedPageBreak/>
              <w:t xml:space="preserve">capsules): </w:t>
            </w:r>
            <w:r w:rsidRPr="00D61F73">
              <w:rPr>
                <w:rFonts w:ascii="Arial" w:hAnsi="Arial" w:cs="Arial"/>
                <w:i/>
              </w:rPr>
              <w:t xml:space="preserve">Side Effects: </w:t>
            </w:r>
            <w:r w:rsidRPr="00D61F73">
              <w:rPr>
                <w:rFonts w:ascii="Arial" w:hAnsi="Arial" w:cs="Arial"/>
              </w:rPr>
              <w:t xml:space="preserve">See opioid adverse effects. </w:t>
            </w:r>
            <w:r w:rsidRPr="00D61F73">
              <w:rPr>
                <w:rFonts w:ascii="Arial" w:hAnsi="Arial" w:cs="Arial"/>
                <w:i/>
              </w:rPr>
              <w:t>Analgesic dose:</w:t>
            </w:r>
            <w:r w:rsidRPr="00D61F73">
              <w:rPr>
                <w:rFonts w:ascii="Arial" w:hAnsi="Arial" w:cs="Arial"/>
              </w:rPr>
              <w:t xml:space="preserve"> Immediate release tablets for acute pain (moderate to severe); Opiate naive patients should begin with 10mg PO every 4 hours as needed. Opioid tolerant patients may need higher starting doses to achieve pain relief (10-30mg every 4 hours as needed). See specific product for full prescribing information. </w:t>
            </w:r>
            <w:r w:rsidRPr="00D61F73">
              <w:rPr>
                <w:rFonts w:ascii="Arial" w:hAnsi="Arial" w:cs="Arial"/>
                <w:u w:val="single"/>
              </w:rPr>
              <w:t>Controlled, extended and sustained release</w:t>
            </w:r>
            <w:r w:rsidRPr="00D61F73">
              <w:rPr>
                <w:rFonts w:ascii="Arial" w:hAnsi="Arial" w:cs="Arial"/>
              </w:rPr>
              <w:t xml:space="preserve"> preparations should be reserved for patients with chronic pain, who are in need of continuous treatment. </w:t>
            </w:r>
            <w:r w:rsidRPr="00D61F73">
              <w:rPr>
                <w:rFonts w:ascii="Arial" w:hAnsi="Arial" w:cs="Arial"/>
                <w:u w:val="single"/>
              </w:rPr>
              <w:t>Avinza®</w:t>
            </w:r>
            <w:r w:rsidRPr="00D61F73">
              <w:rPr>
                <w:rFonts w:ascii="Arial" w:hAnsi="Arial" w:cs="Arial"/>
              </w:rPr>
              <w:t xml:space="preserve"> - morphine sulfate extended release for once daily dosing. The 60mg, 90mg and 120mg capsules are for opioid tolerant patients only. </w:t>
            </w:r>
            <w:r w:rsidRPr="00D61F73">
              <w:rPr>
                <w:rFonts w:ascii="Arial" w:hAnsi="Arial" w:cs="Arial"/>
                <w:u w:val="single"/>
              </w:rPr>
              <w:t xml:space="preserve">Kadian® - (extended release capsules) </w:t>
            </w:r>
            <w:r w:rsidRPr="00D61F73">
              <w:rPr>
                <w:rFonts w:ascii="Arial" w:hAnsi="Arial" w:cs="Arial"/>
              </w:rPr>
              <w:t xml:space="preserve">May be dosed once or twice daily. The 100mg and 200mg capsules are intended for opioid tolerant patients only. </w:t>
            </w:r>
            <w:r w:rsidRPr="00D61F73">
              <w:rPr>
                <w:rFonts w:ascii="Arial" w:hAnsi="Arial" w:cs="Arial"/>
                <w:u w:val="single"/>
              </w:rPr>
              <w:t>MS Contin®</w:t>
            </w:r>
            <w:r w:rsidRPr="00D61F73">
              <w:rPr>
                <w:rFonts w:ascii="Arial" w:hAnsi="Arial" w:cs="Arial"/>
              </w:rPr>
              <w:t xml:space="preserve"> - (controlled release tablets) Doses should be individually tailored for each patient.</w:t>
            </w:r>
          </w:p>
          <w:p w14:paraId="373E2D91" w14:textId="77777777" w:rsidR="0038137E" w:rsidRPr="00D61F73" w:rsidRDefault="0038137E" w:rsidP="00D61F73">
            <w:pPr>
              <w:rPr>
                <w:rFonts w:ascii="Arial" w:hAnsi="Arial" w:cs="Arial"/>
              </w:rPr>
            </w:pPr>
            <w:r w:rsidRPr="00D61F73">
              <w:rPr>
                <w:rFonts w:ascii="Arial" w:hAnsi="Arial" w:cs="Arial"/>
                <w:b/>
                <w:i/>
                <w:iCs/>
                <w:u w:val="single"/>
                <w:lang w:val="es-MX"/>
              </w:rPr>
              <w:t>Tramadol/Acetaminophen</w:t>
            </w:r>
            <w:r w:rsidRPr="00D61F73">
              <w:rPr>
                <w:rFonts w:ascii="Arial" w:hAnsi="Arial" w:cs="Arial"/>
                <w:bCs/>
                <w:i/>
                <w:iCs/>
                <w:lang w:val="es-MX"/>
              </w:rPr>
              <w:t xml:space="preserve"> (Ultracet®; generic available):</w:t>
            </w:r>
            <w:r w:rsidRPr="00D61F73">
              <w:rPr>
                <w:rFonts w:ascii="Arial" w:hAnsi="Arial" w:cs="Arial"/>
                <w:bCs/>
                <w:lang w:val="es-MX"/>
              </w:rPr>
              <w:t xml:space="preserve"> 37.5mg/325mg. </w:t>
            </w:r>
            <w:r w:rsidRPr="00D61F73">
              <w:rPr>
                <w:rFonts w:ascii="Arial" w:hAnsi="Arial" w:cs="Arial"/>
                <w:i/>
              </w:rPr>
              <w:t xml:space="preserve">Side Effects: </w:t>
            </w:r>
            <w:r w:rsidRPr="00D61F73">
              <w:rPr>
                <w:rFonts w:ascii="Arial" w:hAnsi="Arial" w:cs="Arial"/>
              </w:rPr>
              <w:t xml:space="preserve">See tramadol and acetaminophen. </w:t>
            </w:r>
            <w:r w:rsidRPr="00D61F73">
              <w:rPr>
                <w:rFonts w:ascii="Arial" w:hAnsi="Arial" w:cs="Arial"/>
                <w:i/>
              </w:rPr>
              <w:t>Analgesic dose:</w:t>
            </w:r>
            <w:r w:rsidRPr="00D61F73">
              <w:rPr>
                <w:rFonts w:ascii="Arial" w:hAnsi="Arial" w:cs="Arial"/>
              </w:rPr>
              <w:t xml:space="preserve"> For short-term use ≤ 5 days in acute pain management. 2 tablets PO every 4 to 6 hours as needed (max 8 tablets/day). Not recommended in patients with hepatic impairment. (Product information, Ortho-McNeil 2004)</w:t>
            </w:r>
          </w:p>
          <w:p w14:paraId="41705475" w14:textId="6766EBB7" w:rsidR="0038137E" w:rsidRPr="00D61F73" w:rsidRDefault="0038137E" w:rsidP="00D61F73">
            <w:pPr>
              <w:rPr>
                <w:rFonts w:ascii="Arial" w:hAnsi="Arial" w:cs="Arial"/>
              </w:rPr>
            </w:pPr>
            <w:r w:rsidRPr="00D61F73">
              <w:rPr>
                <w:rFonts w:ascii="Arial" w:hAnsi="Arial" w:cs="Arial"/>
                <w:b/>
                <w:i/>
                <w:iCs/>
                <w:u w:val="single"/>
              </w:rPr>
              <w:t>Propoxyphene</w:t>
            </w:r>
            <w:r w:rsidRPr="00D61F73">
              <w:rPr>
                <w:rFonts w:ascii="Arial" w:hAnsi="Arial" w:cs="Arial"/>
                <w:bCs/>
                <w:i/>
                <w:iCs/>
              </w:rPr>
              <w:t xml:space="preserve"> [Off market in U.S.] hydrochloride (Darvon®; generic available), Propoxyphene napsylate (Darvon-N®), Propoxyphene/Apap (Darvocet-N; generic available): </w:t>
            </w:r>
            <w:r w:rsidRPr="00D61F73">
              <w:rPr>
                <w:rFonts w:ascii="Arial" w:hAnsi="Arial" w:cs="Arial"/>
                <w:i/>
              </w:rPr>
              <w:t>Side Effects:</w:t>
            </w:r>
            <w:r w:rsidRPr="00D61F73">
              <w:rPr>
                <w:rFonts w:ascii="Arial" w:hAnsi="Arial" w:cs="Arial"/>
              </w:rPr>
              <w:t xml:space="preserve"> See propoxyphene and acetaminophen. As of 2010, propoxyphene is being withdrawn from US market. </w:t>
            </w:r>
            <w:r w:rsidRPr="00D61F73">
              <w:rPr>
                <w:rFonts w:ascii="Arial" w:hAnsi="Arial" w:cs="Arial"/>
                <w:u w:val="single"/>
              </w:rPr>
              <w:t>Note</w:t>
            </w:r>
            <w:r w:rsidRPr="00D61F73">
              <w:rPr>
                <w:rFonts w:ascii="Arial" w:hAnsi="Arial" w:cs="Arial"/>
              </w:rPr>
              <w:t>: On 1/30/09 an FDA advisory panel narrowly voted to recommend that propoxyphene should be pulled from the market. The committee stated that the evidence of efficacy for propoxyphene was marginally better than placebo and never greater than acetaminophen. The agency had collected reports of more than 1,400 deaths in people who had taken the drug since 1957, though experts stressed the figure does not prove the drug was the cause of death in all cases, but they concluded that the drug showed little benefit and lots of risk. (</w:t>
            </w:r>
            <w:hyperlink r:id="rId132" w:history="1">
              <w:r w:rsidRPr="00D61F73">
                <w:rPr>
                  <w:rStyle w:val="Hyperlink"/>
                  <w:rFonts w:ascii="Arial" w:hAnsi="Arial" w:cs="Arial"/>
                </w:rPr>
                <w:t>FDA, 2009</w:t>
              </w:r>
            </w:hyperlink>
          </w:p>
        </w:tc>
      </w:tr>
      <w:tr w:rsidR="0038137E" w:rsidRPr="00D61F73" w14:paraId="312AC39C" w14:textId="77777777" w:rsidTr="0038137E">
        <w:tc>
          <w:tcPr>
            <w:tcW w:w="1088" w:type="pct"/>
            <w:shd w:val="clear" w:color="auto" w:fill="auto"/>
          </w:tcPr>
          <w:p w14:paraId="0FE406FD"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Opioids, state medical boards guidelines</w:t>
            </w:r>
          </w:p>
          <w:p w14:paraId="39ECBE93" w14:textId="77777777" w:rsidR="0038137E" w:rsidRPr="00D61F73" w:rsidRDefault="0038137E" w:rsidP="00D61F73">
            <w:pPr>
              <w:pStyle w:val="Footer"/>
              <w:tabs>
                <w:tab w:val="clear" w:pos="4320"/>
                <w:tab w:val="clear" w:pos="8640"/>
              </w:tabs>
              <w:rPr>
                <w:rFonts w:ascii="Arial" w:hAnsi="Arial" w:cs="Arial"/>
                <w:u w:val="single"/>
              </w:rPr>
            </w:pPr>
          </w:p>
          <w:p w14:paraId="6A4E93B0" w14:textId="77777777" w:rsidR="0038137E" w:rsidRPr="00D61F73" w:rsidRDefault="0038137E" w:rsidP="00D61F73">
            <w:pPr>
              <w:pStyle w:val="Footer"/>
              <w:tabs>
                <w:tab w:val="clear" w:pos="4320"/>
                <w:tab w:val="clear" w:pos="8640"/>
              </w:tabs>
              <w:rPr>
                <w:rFonts w:ascii="Arial" w:hAnsi="Arial" w:cs="Arial"/>
                <w:b/>
                <w:u w:val="single"/>
              </w:rPr>
            </w:pPr>
          </w:p>
        </w:tc>
        <w:tc>
          <w:tcPr>
            <w:tcW w:w="3912" w:type="pct"/>
            <w:shd w:val="clear" w:color="auto" w:fill="auto"/>
          </w:tcPr>
          <w:p w14:paraId="29B8CA04" w14:textId="75E19023" w:rsidR="0038137E" w:rsidRPr="00D61F73" w:rsidRDefault="0038137E" w:rsidP="00D61F73">
            <w:pPr>
              <w:rPr>
                <w:rFonts w:ascii="Arial" w:hAnsi="Arial" w:cs="Arial"/>
              </w:rPr>
            </w:pPr>
            <w:r w:rsidRPr="00D61F73">
              <w:rPr>
                <w:rFonts w:ascii="Arial" w:hAnsi="Arial" w:cs="Arial"/>
              </w:rPr>
              <w:t>The Federation of State Medical Boards Model Guidelines for the Use of Controlled Substances for the Treatment of Pain say State medical boards recognize undertreatment of pain as a public health priority. Underprescribing pain medications is considered as much a breach of the appropriate standard of care as overprescribing. (</w:t>
            </w:r>
            <w:hyperlink w:anchor="Federation2" w:history="1">
              <w:r w:rsidRPr="00D61F73">
                <w:rPr>
                  <w:rStyle w:val="Hyperlink"/>
                  <w:rFonts w:ascii="Arial" w:hAnsi="Arial" w:cs="Arial"/>
                </w:rPr>
                <w:t>Federation, 2004</w:t>
              </w:r>
            </w:hyperlink>
            <w:r w:rsidRPr="00D61F73">
              <w:rPr>
                <w:rFonts w:ascii="Arial" w:hAnsi="Arial" w:cs="Arial"/>
              </w:rPr>
              <w:t xml:space="preserve"> ) </w:t>
            </w:r>
          </w:p>
        </w:tc>
      </w:tr>
      <w:tr w:rsidR="0038137E" w:rsidRPr="00D61F73" w14:paraId="1C5ADD06" w14:textId="77777777" w:rsidTr="0038137E">
        <w:tc>
          <w:tcPr>
            <w:tcW w:w="1088" w:type="pct"/>
            <w:shd w:val="clear" w:color="auto" w:fill="auto"/>
          </w:tcPr>
          <w:p w14:paraId="091D0E37" w14:textId="4A57DCC0"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t xml:space="preserve">Oral corticosteroids </w:t>
            </w:r>
          </w:p>
        </w:tc>
        <w:tc>
          <w:tcPr>
            <w:tcW w:w="3912" w:type="pct"/>
            <w:shd w:val="clear" w:color="auto" w:fill="auto"/>
          </w:tcPr>
          <w:p w14:paraId="3AB712D9" w14:textId="285B028E" w:rsidR="0038137E" w:rsidRPr="00D61F73" w:rsidRDefault="0038137E" w:rsidP="00D61F73">
            <w:pPr>
              <w:rPr>
                <w:rFonts w:ascii="Arial" w:hAnsi="Arial" w:cs="Arial"/>
              </w:rPr>
            </w:pPr>
            <w:r w:rsidRPr="00D61F73">
              <w:rPr>
                <w:rFonts w:ascii="Arial" w:hAnsi="Arial" w:cs="Arial"/>
              </w:rPr>
              <w:t>Not recommended for chronic pain. There is no data on the efficacy and safety of systemic corticosteroids in chronic pain, so given their serious adverse effects, they should be avoided. (</w:t>
            </w:r>
            <w:hyperlink w:anchor="Tarner2012" w:history="1">
              <w:r w:rsidRPr="00D61F73">
                <w:rPr>
                  <w:rStyle w:val="Hyperlink"/>
                  <w:rFonts w:ascii="Arial" w:hAnsi="Arial" w:cs="Arial"/>
                </w:rPr>
                <w:t>Tarner, 2012</w:t>
              </w:r>
            </w:hyperlink>
            <w:r w:rsidRPr="00D61F73">
              <w:rPr>
                <w:rFonts w:ascii="Arial" w:hAnsi="Arial" w:cs="Arial"/>
              </w:rPr>
              <w:t>) Multiple severe adverse effects have been associated with systemic steroid use, and this is more likely to occur after long-term use. And Medrol (methylprednisolone) tablets are not approved for pain. (</w:t>
            </w:r>
            <w:hyperlink r:id="rId133" w:anchor="nlm34067-9" w:history="1">
              <w:r w:rsidRPr="00D61F73">
                <w:rPr>
                  <w:rStyle w:val="Hyperlink"/>
                  <w:rFonts w:ascii="Arial" w:hAnsi="Arial" w:cs="Arial"/>
                </w:rPr>
                <w:t>FDA, 2013</w:t>
              </w:r>
            </w:hyperlink>
            <w:r w:rsidRPr="00D61F73">
              <w:rPr>
                <w:rFonts w:ascii="Arial" w:hAnsi="Arial" w:cs="Arial"/>
              </w:rPr>
              <w:t>)</w:t>
            </w:r>
          </w:p>
        </w:tc>
      </w:tr>
      <w:tr w:rsidR="0038137E" w:rsidRPr="00D61F73" w14:paraId="47803A7C" w14:textId="77777777" w:rsidTr="0038137E">
        <w:tc>
          <w:tcPr>
            <w:tcW w:w="1088" w:type="pct"/>
            <w:shd w:val="clear" w:color="auto" w:fill="auto"/>
          </w:tcPr>
          <w:p w14:paraId="64DDE43A" w14:textId="0951F9D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Oramorph® (morphine) </w:t>
            </w:r>
          </w:p>
        </w:tc>
        <w:tc>
          <w:tcPr>
            <w:tcW w:w="3912" w:type="pct"/>
            <w:shd w:val="clear" w:color="auto" w:fill="auto"/>
          </w:tcPr>
          <w:p w14:paraId="2F8975FD" w14:textId="63103085" w:rsidR="0038137E" w:rsidRPr="00D61F73" w:rsidRDefault="0038137E" w:rsidP="00D61F73">
            <w:pPr>
              <w:rPr>
                <w:rFonts w:ascii="Arial" w:hAnsi="Arial" w:cs="Arial"/>
              </w:rPr>
            </w:pPr>
            <w:r w:rsidRPr="00D61F73">
              <w:rPr>
                <w:rFonts w:ascii="Arial" w:hAnsi="Arial" w:cs="Arial"/>
              </w:rPr>
              <w:t xml:space="preserve">See  MTUS Opioids Treatment Guidelines </w:t>
            </w:r>
            <w:r w:rsidRPr="00D61F73">
              <w:rPr>
                <w:rFonts w:ascii="Arial" w:hAnsi="Arial" w:cs="Arial"/>
                <w:bCs/>
              </w:rPr>
              <w:t xml:space="preserve">for additional information and recommendations. </w:t>
            </w:r>
          </w:p>
        </w:tc>
      </w:tr>
      <w:tr w:rsidR="0038137E" w:rsidRPr="00D61F73" w14:paraId="57CDA792" w14:textId="77777777" w:rsidTr="0038137E">
        <w:tc>
          <w:tcPr>
            <w:tcW w:w="1088" w:type="pct"/>
            <w:shd w:val="clear" w:color="auto" w:fill="auto"/>
          </w:tcPr>
          <w:p w14:paraId="1D507D24" w14:textId="66EC42A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O</w:t>
            </w:r>
            <w:bookmarkStart w:id="347" w:name="Oxaprozin"/>
            <w:bookmarkEnd w:id="347"/>
            <w:r w:rsidRPr="00D61F73">
              <w:rPr>
                <w:rFonts w:ascii="Arial" w:hAnsi="Arial" w:cs="Arial"/>
              </w:rPr>
              <w:t>xaprozin (Daypro®)</w:t>
            </w:r>
          </w:p>
        </w:tc>
        <w:tc>
          <w:tcPr>
            <w:tcW w:w="3912" w:type="pct"/>
            <w:shd w:val="clear" w:color="auto" w:fill="auto"/>
          </w:tcPr>
          <w:p w14:paraId="33DD9C9B" w14:textId="0D108ED3" w:rsidR="0038137E" w:rsidRPr="00D61F73" w:rsidRDefault="0038137E" w:rsidP="00D61F73">
            <w:pPr>
              <w:rPr>
                <w:rFonts w:ascii="Arial" w:hAnsi="Arial" w:cs="Arial"/>
              </w:rPr>
            </w:pPr>
            <w:r w:rsidRPr="00D61F73">
              <w:rPr>
                <w:rFonts w:ascii="Arial" w:hAnsi="Arial" w:cs="Arial"/>
              </w:rPr>
              <w:t xml:space="preserve">See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NSAIDOxaprozin" w:history="1">
              <w:r w:rsidRPr="00D61F73">
                <w:rPr>
                  <w:rStyle w:val="Hyperlink"/>
                  <w:rFonts w:ascii="Arial" w:hAnsi="Arial" w:cs="Arial"/>
                </w:rPr>
                <w:t>Oxaprozin</w:t>
              </w:r>
            </w:hyperlink>
            <w:r w:rsidRPr="00D61F73">
              <w:rPr>
                <w:rFonts w:ascii="Arial" w:hAnsi="Arial" w:cs="Arial"/>
              </w:rPr>
              <w:t xml:space="preserve"> (Daypro®) listing for more information and references.</w:t>
            </w:r>
          </w:p>
        </w:tc>
      </w:tr>
      <w:tr w:rsidR="0038137E" w:rsidRPr="00D61F73" w14:paraId="38DAE9D6" w14:textId="77777777" w:rsidTr="0038137E">
        <w:tc>
          <w:tcPr>
            <w:tcW w:w="1088" w:type="pct"/>
            <w:shd w:val="clear" w:color="auto" w:fill="auto"/>
          </w:tcPr>
          <w:p w14:paraId="07A26DE6" w14:textId="1627E7A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O</w:t>
            </w:r>
            <w:bookmarkStart w:id="348" w:name="Oxazepam"/>
            <w:bookmarkEnd w:id="348"/>
            <w:r w:rsidRPr="00D61F73">
              <w:rPr>
                <w:rFonts w:ascii="Arial" w:hAnsi="Arial" w:cs="Arial"/>
              </w:rPr>
              <w:t>xazepam</w:t>
            </w:r>
          </w:p>
        </w:tc>
        <w:tc>
          <w:tcPr>
            <w:tcW w:w="3912" w:type="pct"/>
            <w:shd w:val="clear" w:color="auto" w:fill="auto"/>
          </w:tcPr>
          <w:p w14:paraId="7D5ECC92" w14:textId="7505F6C6" w:rsidR="0038137E" w:rsidRPr="00D61F73" w:rsidRDefault="0038137E"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38137E" w:rsidRPr="00D61F73" w14:paraId="5431794B" w14:textId="77777777" w:rsidTr="0038137E">
        <w:tc>
          <w:tcPr>
            <w:tcW w:w="1088" w:type="pct"/>
            <w:shd w:val="clear" w:color="auto" w:fill="auto"/>
          </w:tcPr>
          <w:p w14:paraId="414986B1" w14:textId="6E2FD6B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Oxcarbazepine (Trileptal®)</w:t>
            </w:r>
          </w:p>
        </w:tc>
        <w:tc>
          <w:tcPr>
            <w:tcW w:w="3912" w:type="pct"/>
            <w:shd w:val="clear" w:color="auto" w:fill="auto"/>
          </w:tcPr>
          <w:p w14:paraId="3CC106DF" w14:textId="2258013D" w:rsidR="0038137E" w:rsidRPr="00D61F73" w:rsidRDefault="0038137E" w:rsidP="00D61F73">
            <w:pPr>
              <w:rPr>
                <w:rFonts w:ascii="Arial" w:hAnsi="Arial" w:cs="Arial"/>
              </w:rPr>
            </w:pPr>
            <w:r w:rsidRPr="00D61F73">
              <w:rPr>
                <w:rFonts w:ascii="Arial" w:hAnsi="Arial" w:cs="Arial"/>
              </w:rPr>
              <w:t xml:space="preserve">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OxcarbazepineListing" w:history="1">
              <w:r w:rsidRPr="00D61F73">
                <w:rPr>
                  <w:rStyle w:val="Hyperlink"/>
                  <w:rFonts w:ascii="Arial" w:hAnsi="Arial" w:cs="Arial"/>
                </w:rPr>
                <w:t>Oxcarbazepine</w:t>
              </w:r>
            </w:hyperlink>
            <w:r w:rsidRPr="00D61F73">
              <w:rPr>
                <w:rFonts w:ascii="Arial" w:hAnsi="Arial" w:cs="Arial"/>
              </w:rPr>
              <w:t xml:space="preserve"> listing.</w:t>
            </w:r>
          </w:p>
        </w:tc>
      </w:tr>
      <w:tr w:rsidR="0038137E" w:rsidRPr="00D61F73" w14:paraId="1A2FBB4C" w14:textId="77777777" w:rsidTr="0038137E">
        <w:tc>
          <w:tcPr>
            <w:tcW w:w="1088" w:type="pct"/>
            <w:shd w:val="clear" w:color="auto" w:fill="auto"/>
          </w:tcPr>
          <w:p w14:paraId="09071BC0" w14:textId="79EC508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Oxecta (oxycodone) </w:t>
            </w:r>
          </w:p>
        </w:tc>
        <w:tc>
          <w:tcPr>
            <w:tcW w:w="3912" w:type="pct"/>
            <w:shd w:val="clear" w:color="auto" w:fill="auto"/>
          </w:tcPr>
          <w:p w14:paraId="70C03EA2" w14:textId="5FABC4B0" w:rsidR="0038137E" w:rsidRPr="00D61F73" w:rsidRDefault="0038137E" w:rsidP="00D61F73">
            <w:pPr>
              <w:rPr>
                <w:rFonts w:ascii="Arial" w:hAnsi="Arial" w:cs="Arial"/>
              </w:rPr>
            </w:pPr>
            <w:r w:rsidRPr="00D61F73">
              <w:rPr>
                <w:rFonts w:ascii="Arial" w:hAnsi="Arial" w:cs="Arial"/>
              </w:rPr>
              <w:t>Recommended only for selected patients with risk of abuse that has been documented, but not recommended as a first-line medication for other patients. Oxecta is a tamper resistant dosage form of oxycodone approved by the FDA in June 2011 for the management of acute and chronic moderate to severe pain when the use of an opioid analgesic is appropriate. Drug abuse and diversion are serious concerns with the use of oxycodone products. When considering Oxecta, it is important to assess the likelihood of patient abuse, and based on that assessment chose Oxecta. If no risk of abuse is present, a generic form of oxycodone would be preferred. Oxecta is an immediate-release oxycodone medication that applies Aversion Technology, which uses commonly available pharmaceutical ingredients that, for example, cause the active ingredient to gel to prevent injection or to irritate nasal passages to discourage inhalation. Pfizer is licensing the technology in this product from Acura Pharmaceuticals. However, there is no quality evidence that this formulation has a reduced abuse liability compared with immediate-release oxycodone. (</w:t>
            </w:r>
            <w:hyperlink r:id="rId134" w:history="1">
              <w:r w:rsidRPr="00B1661D">
                <w:rPr>
                  <w:rStyle w:val="Hyperlink"/>
                  <w:rFonts w:ascii="Arial" w:hAnsi="Arial" w:cs="Arial"/>
                </w:rPr>
                <w:t>FDA, 2011</w:t>
              </w:r>
            </w:hyperlink>
            <w:r w:rsidRPr="00D61F73">
              <w:rPr>
                <w:rFonts w:ascii="Arial" w:hAnsi="Arial" w:cs="Arial"/>
              </w:rPr>
              <w:t xml:space="preserve">) See MTUS Opioids Treatment Guidelines </w:t>
            </w:r>
            <w:r w:rsidRPr="00D61F73">
              <w:rPr>
                <w:rFonts w:ascii="Arial" w:hAnsi="Arial" w:cs="Arial"/>
                <w:bCs/>
              </w:rPr>
              <w:t>for additional information and recommendations.</w:t>
            </w:r>
          </w:p>
        </w:tc>
      </w:tr>
      <w:tr w:rsidR="0038137E" w:rsidRPr="00D61F73" w14:paraId="2ABFC09A" w14:textId="77777777" w:rsidTr="0038137E">
        <w:tc>
          <w:tcPr>
            <w:tcW w:w="1088" w:type="pct"/>
            <w:shd w:val="clear" w:color="auto" w:fill="auto"/>
          </w:tcPr>
          <w:p w14:paraId="3431228F" w14:textId="6B4B7A2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Oxycodone </w:t>
            </w:r>
          </w:p>
        </w:tc>
        <w:tc>
          <w:tcPr>
            <w:tcW w:w="3912" w:type="pct"/>
            <w:shd w:val="clear" w:color="auto" w:fill="auto"/>
          </w:tcPr>
          <w:p w14:paraId="5C079A85" w14:textId="763E983E" w:rsidR="0038137E" w:rsidRPr="00D61F73" w:rsidRDefault="0038137E" w:rsidP="00D61F73">
            <w:pPr>
              <w:rPr>
                <w:rFonts w:ascii="Arial" w:hAnsi="Arial" w:cs="Arial"/>
                <w:u w:val="single"/>
              </w:rPr>
            </w:pPr>
            <w:r w:rsidRPr="00D61F73">
              <w:rPr>
                <w:rFonts w:ascii="Arial" w:hAnsi="Arial" w:cs="Arial"/>
              </w:rPr>
              <w:t>See MTUS Opioids Treatment Guidelines</w:t>
            </w:r>
            <w:r w:rsidRPr="00D61F73">
              <w:rPr>
                <w:rFonts w:ascii="Arial" w:hAnsi="Arial" w:cs="Arial"/>
                <w:bCs/>
              </w:rPr>
              <w:t xml:space="preserve">, </w:t>
            </w:r>
            <w:r w:rsidRPr="00D61F73">
              <w:rPr>
                <w:rFonts w:ascii="Arial" w:hAnsi="Arial" w:cs="Arial"/>
              </w:rPr>
              <w:t xml:space="preserve">Appendix F1, for dosing recommendations. </w:t>
            </w:r>
            <w:r w:rsidRPr="00D61F73">
              <w:rPr>
                <w:rFonts w:ascii="Arial" w:hAnsi="Arial" w:cs="Arial"/>
                <w:bCs/>
              </w:rPr>
              <w:t xml:space="preserve">. </w:t>
            </w:r>
          </w:p>
        </w:tc>
      </w:tr>
      <w:tr w:rsidR="0038137E" w:rsidRPr="00D61F73" w14:paraId="5FF60FD1" w14:textId="77777777" w:rsidTr="0038137E">
        <w:tc>
          <w:tcPr>
            <w:tcW w:w="1088" w:type="pct"/>
            <w:shd w:val="clear" w:color="auto" w:fill="auto"/>
          </w:tcPr>
          <w:p w14:paraId="194C9715" w14:textId="48FCA79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OxyContin® (oxycodone) </w:t>
            </w:r>
          </w:p>
        </w:tc>
        <w:tc>
          <w:tcPr>
            <w:tcW w:w="3912" w:type="pct"/>
            <w:shd w:val="clear" w:color="auto" w:fill="auto"/>
          </w:tcPr>
          <w:p w14:paraId="2A4CD0E1" w14:textId="35AC55FA" w:rsidR="0038137E" w:rsidRPr="00D61F73" w:rsidRDefault="0038137E" w:rsidP="00D61F73">
            <w:pPr>
              <w:rPr>
                <w:rFonts w:ascii="Arial" w:hAnsi="Arial" w:cs="Arial"/>
                <w:u w:val="single"/>
              </w:rPr>
            </w:pPr>
            <w:r w:rsidRPr="00D61F73">
              <w:rPr>
                <w:rFonts w:ascii="Arial" w:hAnsi="Arial" w:cs="Arial"/>
              </w:rPr>
              <w:t>On April 2, 2010, the FDA approved a new formulation of Oxyontin designed to discourage abuse, but according to the manufacturer, there is no evidence that the reformulation is less subject to misuse, abuse, diversion, overdose or addiction. (</w:t>
            </w:r>
            <w:hyperlink r:id="rId135" w:history="1">
              <w:r w:rsidRPr="00B1661D">
                <w:rPr>
                  <w:rStyle w:val="Hyperlink"/>
                  <w:rFonts w:ascii="Arial" w:hAnsi="Arial" w:cs="Arial"/>
                </w:rPr>
                <w:t>FDA, 2010</w:t>
              </w:r>
            </w:hyperlink>
            <w:r w:rsidRPr="00D61F73">
              <w:rPr>
                <w:rFonts w:ascii="Arial" w:hAnsi="Arial" w:cs="Arial"/>
              </w:rPr>
              <w:t xml:space="preserve">)  See MTUS Opioids Treatment Guidelines </w:t>
            </w:r>
            <w:r w:rsidRPr="00D61F73">
              <w:rPr>
                <w:rFonts w:ascii="Arial" w:hAnsi="Arial" w:cs="Arial"/>
                <w:bCs/>
              </w:rPr>
              <w:t>for additional information and recommendations.</w:t>
            </w:r>
          </w:p>
        </w:tc>
      </w:tr>
      <w:tr w:rsidR="0038137E" w:rsidRPr="00D61F73" w14:paraId="0F8D4370" w14:textId="77777777" w:rsidTr="0038137E">
        <w:tc>
          <w:tcPr>
            <w:tcW w:w="1088" w:type="pct"/>
            <w:shd w:val="clear" w:color="auto" w:fill="auto"/>
          </w:tcPr>
          <w:p w14:paraId="7DC9BB16" w14:textId="529639C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Oxymorphone (Opana®) </w:t>
            </w:r>
          </w:p>
        </w:tc>
        <w:tc>
          <w:tcPr>
            <w:tcW w:w="3912" w:type="pct"/>
            <w:shd w:val="clear" w:color="auto" w:fill="auto"/>
          </w:tcPr>
          <w:p w14:paraId="3F1B25FD" w14:textId="3DD01867" w:rsidR="0038137E" w:rsidRPr="00D61F73" w:rsidRDefault="0038137E" w:rsidP="00D61F73">
            <w:pPr>
              <w:rPr>
                <w:rFonts w:ascii="Arial" w:hAnsi="Arial" w:cs="Arial"/>
                <w:u w:val="single"/>
              </w:rPr>
            </w:pPr>
            <w:r w:rsidRPr="00D61F73">
              <w:rPr>
                <w:rFonts w:ascii="Arial" w:hAnsi="Arial" w:cs="Arial"/>
              </w:rPr>
              <w:t xml:space="preserve">Refer to the  MTUS Opioids Treatment Guidelines </w:t>
            </w:r>
            <w:r w:rsidRPr="00D61F73">
              <w:rPr>
                <w:rFonts w:ascii="Arial" w:hAnsi="Arial" w:cs="Arial"/>
                <w:bCs/>
              </w:rPr>
              <w:t xml:space="preserve">, </w:t>
            </w:r>
            <w:r w:rsidRPr="00D61F73">
              <w:rPr>
                <w:rFonts w:ascii="Arial" w:hAnsi="Arial" w:cs="Arial"/>
              </w:rPr>
              <w:t xml:space="preserve">Appendix F1, </w:t>
            </w:r>
            <w:r w:rsidRPr="00D61F73">
              <w:rPr>
                <w:rFonts w:ascii="Arial" w:hAnsi="Arial" w:cs="Arial"/>
                <w:bCs/>
              </w:rPr>
              <w:t>for additional information and recommendations.</w:t>
            </w:r>
          </w:p>
        </w:tc>
      </w:tr>
      <w:tr w:rsidR="0038137E" w:rsidRPr="00D61F73" w14:paraId="75D2AB17" w14:textId="77777777" w:rsidTr="0038137E">
        <w:tc>
          <w:tcPr>
            <w:tcW w:w="1088" w:type="pct"/>
            <w:shd w:val="clear" w:color="auto" w:fill="auto"/>
          </w:tcPr>
          <w:p w14:paraId="3960E213" w14:textId="734A985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Pain management programs</w:t>
            </w:r>
          </w:p>
        </w:tc>
        <w:tc>
          <w:tcPr>
            <w:tcW w:w="3912" w:type="pct"/>
            <w:shd w:val="clear" w:color="auto" w:fill="auto"/>
          </w:tcPr>
          <w:p w14:paraId="54CDCA31" w14:textId="3AC0E1F7" w:rsidR="0038137E" w:rsidRPr="00D61F73" w:rsidRDefault="0038137E" w:rsidP="00D61F73">
            <w:pPr>
              <w:rPr>
                <w:rFonts w:ascii="Arial" w:hAnsi="Arial" w:cs="Arial"/>
                <w:u w:val="single"/>
              </w:rPr>
            </w:pPr>
            <w:r w:rsidRPr="00D61F73">
              <w:rPr>
                <w:rFonts w:ascii="Arial" w:hAnsi="Arial" w:cs="Arial"/>
              </w:rPr>
              <w:t>See</w:t>
            </w:r>
            <w:r w:rsidRPr="00DE49A7">
              <w:rPr>
                <w:rFonts w:ascii="Arial" w:hAnsi="Arial" w:cs="Arial"/>
              </w:rPr>
              <w:t xml:space="preserve"> </w:t>
            </w:r>
            <w:hyperlink w:anchor="Chronicpainprograms" w:history="1">
              <w:r w:rsidRPr="00B1661D">
                <w:rPr>
                  <w:rStyle w:val="Hyperlink"/>
                  <w:rFonts w:ascii="Arial" w:hAnsi="Arial" w:cs="Arial"/>
                </w:rPr>
                <w:t>Chronic pain programs</w:t>
              </w:r>
            </w:hyperlink>
            <w:r w:rsidRPr="00D61F73">
              <w:rPr>
                <w:rFonts w:ascii="Arial" w:hAnsi="Arial" w:cs="Arial"/>
              </w:rPr>
              <w:t>.</w:t>
            </w:r>
          </w:p>
        </w:tc>
      </w:tr>
      <w:tr w:rsidR="0038137E" w:rsidRPr="00D61F73" w14:paraId="0F1F2D25" w14:textId="77777777" w:rsidTr="0038137E">
        <w:tc>
          <w:tcPr>
            <w:tcW w:w="1088" w:type="pct"/>
            <w:shd w:val="clear" w:color="auto" w:fill="auto"/>
          </w:tcPr>
          <w:p w14:paraId="2DFA83C6" w14:textId="30168C3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Paracetamol</w:t>
            </w:r>
          </w:p>
        </w:tc>
        <w:tc>
          <w:tcPr>
            <w:tcW w:w="3912" w:type="pct"/>
            <w:shd w:val="clear" w:color="auto" w:fill="auto"/>
          </w:tcPr>
          <w:p w14:paraId="7E9E047D" w14:textId="4A5F1BEB" w:rsidR="0038137E" w:rsidRPr="00D61F73" w:rsidRDefault="0038137E" w:rsidP="00D61F73">
            <w:pPr>
              <w:rPr>
                <w:rFonts w:ascii="Arial" w:hAnsi="Arial" w:cs="Arial"/>
              </w:rPr>
            </w:pPr>
            <w:r w:rsidRPr="00D61F73">
              <w:rPr>
                <w:rFonts w:ascii="Arial" w:hAnsi="Arial" w:cs="Arial"/>
              </w:rPr>
              <w:t xml:space="preserve">See </w:t>
            </w:r>
            <w:hyperlink w:anchor="Acetaminophen" w:history="1">
              <w:r w:rsidRPr="00DE49A7">
                <w:rPr>
                  <w:rStyle w:val="Hyperlink"/>
                  <w:rFonts w:ascii="Arial" w:hAnsi="Arial" w:cs="Arial"/>
                </w:rPr>
                <w:t>Acetaminophen</w:t>
              </w:r>
            </w:hyperlink>
            <w:r w:rsidRPr="00D61F73">
              <w:rPr>
                <w:rFonts w:ascii="Arial" w:hAnsi="Arial" w:cs="Arial"/>
              </w:rPr>
              <w:t xml:space="preserve"> (APAP).</w:t>
            </w:r>
          </w:p>
        </w:tc>
      </w:tr>
      <w:tr w:rsidR="0038137E" w:rsidRPr="00D61F73" w14:paraId="09194EC3" w14:textId="77777777" w:rsidTr="0038137E">
        <w:tc>
          <w:tcPr>
            <w:tcW w:w="1088" w:type="pct"/>
            <w:shd w:val="clear" w:color="auto" w:fill="auto"/>
          </w:tcPr>
          <w:p w14:paraId="3A139020" w14:textId="0465B29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49" w:name="Paroxetine"/>
            <w:bookmarkEnd w:id="349"/>
            <w:r w:rsidRPr="00D61F73">
              <w:rPr>
                <w:rFonts w:ascii="Arial" w:hAnsi="Arial" w:cs="Arial"/>
              </w:rPr>
              <w:t>aroxetine</w:t>
            </w:r>
          </w:p>
        </w:tc>
        <w:tc>
          <w:tcPr>
            <w:tcW w:w="3912" w:type="pct"/>
            <w:shd w:val="clear" w:color="auto" w:fill="auto"/>
          </w:tcPr>
          <w:p w14:paraId="1B8CF17F" w14:textId="5CDA9E3D" w:rsidR="0038137E" w:rsidRPr="00D61F73" w:rsidRDefault="0038137E" w:rsidP="00D61F73">
            <w:pPr>
              <w:rPr>
                <w:rFonts w:ascii="Arial" w:hAnsi="Arial" w:cs="Arial"/>
              </w:rPr>
            </w:pPr>
            <w:r w:rsidRPr="00D61F73">
              <w:rPr>
                <w:rFonts w:ascii="Arial" w:hAnsi="Arial" w:cs="Arial"/>
              </w:rPr>
              <w:t>See</w:t>
            </w:r>
            <w:r w:rsidRPr="00DE49A7">
              <w:rPr>
                <w:rFonts w:ascii="Arial" w:hAnsi="Arial" w:cs="Arial"/>
              </w:rPr>
              <w:t xml:space="preserve"> </w:t>
            </w:r>
            <w:hyperlink w:anchor="SSRIs" w:history="1">
              <w:r w:rsidRPr="00B1661D">
                <w:rPr>
                  <w:rStyle w:val="Hyperlink"/>
                  <w:rFonts w:ascii="Arial" w:hAnsi="Arial" w:cs="Arial"/>
                </w:rPr>
                <w:t>SSRIs</w:t>
              </w:r>
            </w:hyperlink>
            <w:r w:rsidRPr="00DE49A7">
              <w:rPr>
                <w:rFonts w:ascii="Arial" w:hAnsi="Arial" w:cs="Arial"/>
                <w:u w:val="single"/>
              </w:rPr>
              <w:t xml:space="preserve"> </w:t>
            </w:r>
            <w:r w:rsidRPr="00D61F73">
              <w:rPr>
                <w:rFonts w:ascii="Arial" w:hAnsi="Arial" w:cs="Arial"/>
              </w:rPr>
              <w:t>(selective serotonin reuptake inhibitors).</w:t>
            </w:r>
          </w:p>
        </w:tc>
      </w:tr>
      <w:tr w:rsidR="0038137E" w:rsidRPr="00D61F73" w14:paraId="083EFF4C" w14:textId="77777777" w:rsidTr="0038137E">
        <w:tc>
          <w:tcPr>
            <w:tcW w:w="1088" w:type="pct"/>
            <w:shd w:val="clear" w:color="auto" w:fill="auto"/>
          </w:tcPr>
          <w:p w14:paraId="2AEF361B" w14:textId="7E642D69"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0" w:name="Pennsaid"/>
            <w:bookmarkEnd w:id="350"/>
            <w:r w:rsidRPr="00D61F73">
              <w:rPr>
                <w:rFonts w:ascii="Arial" w:hAnsi="Arial" w:cs="Arial"/>
              </w:rPr>
              <w:t>ennsaid® (diclofenac sodium topical solution)</w:t>
            </w:r>
          </w:p>
        </w:tc>
        <w:tc>
          <w:tcPr>
            <w:tcW w:w="3912" w:type="pct"/>
            <w:shd w:val="clear" w:color="auto" w:fill="auto"/>
          </w:tcPr>
          <w:p w14:paraId="35FB642E" w14:textId="4F43DA31" w:rsidR="0038137E" w:rsidRPr="00D61F73" w:rsidRDefault="0038137E" w:rsidP="00D61F73">
            <w:pPr>
              <w:rPr>
                <w:rFonts w:ascii="Arial" w:hAnsi="Arial" w:cs="Arial"/>
              </w:rPr>
            </w:pPr>
            <w:r w:rsidRPr="00D61F73">
              <w:rPr>
                <w:rFonts w:ascii="Arial" w:hAnsi="Arial" w:cs="Arial"/>
              </w:rPr>
              <w:t>Not recommended as a first-line treatment. See the</w:t>
            </w:r>
            <w:r w:rsidRPr="00DE49A7">
              <w:rPr>
                <w:rFonts w:ascii="Arial" w:hAnsi="Arial" w:cs="Arial"/>
              </w:rPr>
              <w:t xml:space="preserve"> </w:t>
            </w:r>
            <w:hyperlink w:anchor="DiclofenacSodium" w:history="1">
              <w:r w:rsidRPr="00B1661D">
                <w:rPr>
                  <w:rStyle w:val="Hyperlink"/>
                  <w:rFonts w:ascii="Arial" w:hAnsi="Arial" w:cs="Arial"/>
                </w:rPr>
                <w:t>Diclofenac Sodium</w:t>
              </w:r>
            </w:hyperlink>
            <w:r w:rsidRPr="00D61F73">
              <w:rPr>
                <w:rFonts w:ascii="Arial" w:hAnsi="Arial" w:cs="Arial"/>
              </w:rPr>
              <w:t xml:space="preserve"> listing, where topical diclofenac is recommended for osteoarthritis after failure of an oral NSAID or contraindications to oral NSAIDs, and after considering the increased risk profile with diclofenac, including topical formulations. In studies Pennsaid was as effective as oral diclofenac, but was much better tolerated. Compared to a vehicle control topical placebo, outcomes were all statistically significant in favor of Pennsaid, with the standardized mean differences ranging from 0.30 to 0.39. (</w:t>
            </w:r>
            <w:hyperlink w:anchor="Towheed2006" w:history="1">
              <w:r w:rsidRPr="00D61F73">
                <w:rPr>
                  <w:rStyle w:val="Hyperlink"/>
                  <w:rFonts w:ascii="Arial" w:hAnsi="Arial" w:cs="Arial"/>
                </w:rPr>
                <w:t>Towheed, 2006</w:t>
              </w:r>
            </w:hyperlink>
            <w:r w:rsidRPr="00D61F73">
              <w:rPr>
                <w:rFonts w:ascii="Arial" w:hAnsi="Arial" w:cs="Arial"/>
              </w:rPr>
              <w:t>) FDA approved Pennsaid Topical Solution in 2009 for the treatment of the signs and symptoms of osteoarthritis of the knee, and the FDA requires a Risk Evaluation and Mitigation Strategy (REMS) from the manufacturer to ensure that the benefits of this drug outweigh its risks. (</w:t>
            </w:r>
            <w:hyperlink r:id="rId136" w:history="1">
              <w:r w:rsidRPr="00D61F73">
                <w:rPr>
                  <w:rStyle w:val="Hyperlink"/>
                  <w:rFonts w:ascii="Arial" w:hAnsi="Arial" w:cs="Arial"/>
                </w:rPr>
                <w:t>FDA, 2010</w:t>
              </w:r>
            </w:hyperlink>
            <w:r w:rsidRPr="00D61F73">
              <w:rPr>
                <w:rFonts w:ascii="Arial" w:hAnsi="Arial" w:cs="Arial"/>
              </w:rPr>
              <w:t xml:space="preserve">) For more details see </w:t>
            </w:r>
            <w:hyperlink w:anchor="Topicalanalgesics" w:history="1">
              <w:r w:rsidRPr="00D61F73">
                <w:rPr>
                  <w:rStyle w:val="Hyperlink"/>
                  <w:rFonts w:ascii="Arial" w:hAnsi="Arial" w:cs="Arial"/>
                </w:rPr>
                <w:t>Topical analgesics</w:t>
              </w:r>
            </w:hyperlink>
            <w:r w:rsidRPr="00D61F73">
              <w:rPr>
                <w:rFonts w:ascii="Arial" w:hAnsi="Arial" w:cs="Arial"/>
              </w:rPr>
              <w:t xml:space="preserve">, </w:t>
            </w:r>
            <w:hyperlink w:anchor="NSAIDs" w:history="1">
              <w:r w:rsidRPr="00D61F73">
                <w:rPr>
                  <w:rStyle w:val="Hyperlink"/>
                  <w:rFonts w:ascii="Arial" w:hAnsi="Arial" w:cs="Arial"/>
                </w:rPr>
                <w:t>Non-steroidal antinflammatory agents</w:t>
              </w:r>
            </w:hyperlink>
            <w:r w:rsidRPr="00D61F73">
              <w:rPr>
                <w:rFonts w:ascii="Arial" w:hAnsi="Arial" w:cs="Arial"/>
              </w:rPr>
              <w:t xml:space="preserve"> (NSAIDs), and the </w:t>
            </w:r>
            <w:hyperlink w:anchor="Diclofenactopical" w:history="1">
              <w:r w:rsidRPr="00C254FC">
                <w:rPr>
                  <w:rStyle w:val="Hyperlink"/>
                  <w:rFonts w:ascii="Arial" w:hAnsi="Arial" w:cs="Arial"/>
                </w:rPr>
                <w:t>diclofenac topical</w:t>
              </w:r>
            </w:hyperlink>
            <w:r w:rsidRPr="00D61F73">
              <w:rPr>
                <w:rFonts w:ascii="Arial" w:hAnsi="Arial" w:cs="Arial"/>
              </w:rPr>
              <w:t xml:space="preserve"> listing.</w:t>
            </w:r>
          </w:p>
        </w:tc>
      </w:tr>
      <w:tr w:rsidR="0038137E" w:rsidRPr="00D61F73" w14:paraId="5C813C3E" w14:textId="77777777" w:rsidTr="0038137E">
        <w:tc>
          <w:tcPr>
            <w:tcW w:w="1088" w:type="pct"/>
            <w:shd w:val="clear" w:color="auto" w:fill="auto"/>
          </w:tcPr>
          <w:p w14:paraId="73D4BE21" w14:textId="7D194BA9"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Pentazocine (Talwin/Talwin NX) </w:t>
            </w:r>
          </w:p>
        </w:tc>
        <w:tc>
          <w:tcPr>
            <w:tcW w:w="3912" w:type="pct"/>
            <w:shd w:val="clear" w:color="auto" w:fill="auto"/>
          </w:tcPr>
          <w:p w14:paraId="438EE8AE" w14:textId="7DB6D826" w:rsidR="0038137E" w:rsidRPr="00D61F73" w:rsidRDefault="0038137E" w:rsidP="00D61F73">
            <w:pPr>
              <w:rPr>
                <w:rFonts w:ascii="Arial" w:hAnsi="Arial" w:cs="Arial"/>
              </w:rPr>
            </w:pPr>
            <w:r w:rsidRPr="00D61F73">
              <w:rPr>
                <w:rFonts w:ascii="Arial" w:hAnsi="Arial" w:cs="Arial"/>
              </w:rPr>
              <w:t xml:space="preserve">Not recommended for the treatment of chronic pain. </w:t>
            </w:r>
          </w:p>
        </w:tc>
      </w:tr>
      <w:tr w:rsidR="0038137E" w:rsidRPr="00D61F73" w14:paraId="287A8052" w14:textId="77777777" w:rsidTr="0038137E">
        <w:tc>
          <w:tcPr>
            <w:tcW w:w="1088" w:type="pct"/>
            <w:shd w:val="clear" w:color="auto" w:fill="auto"/>
          </w:tcPr>
          <w:p w14:paraId="64F0F8FA" w14:textId="04715454"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Percocet® (oxycodone &amp; acetaminophen)</w:t>
            </w:r>
          </w:p>
        </w:tc>
        <w:tc>
          <w:tcPr>
            <w:tcW w:w="3912" w:type="pct"/>
            <w:shd w:val="clear" w:color="auto" w:fill="auto"/>
          </w:tcPr>
          <w:p w14:paraId="12DDCE5F" w14:textId="77777777" w:rsidR="0038137E" w:rsidRPr="00D7264E" w:rsidRDefault="0038137E" w:rsidP="00D61F73">
            <w:pPr>
              <w:rPr>
                <w:rFonts w:ascii="Arial" w:hAnsi="Arial" w:cs="Arial"/>
              </w:rPr>
            </w:pPr>
            <w:r w:rsidRPr="00D7264E">
              <w:rPr>
                <w:rFonts w:ascii="Arial" w:hAnsi="Arial" w:cs="Arial"/>
              </w:rPr>
              <w:t xml:space="preserve">Percocet® is the brand name of an oxycodone and acetaminophen combination drug, produced by Endo Pharmaceuticals. </w:t>
            </w:r>
          </w:p>
          <w:p w14:paraId="0B8C8297" w14:textId="6A8F347F" w:rsidR="0038137E" w:rsidRPr="00D61F73" w:rsidRDefault="0038137E" w:rsidP="00D61F73">
            <w:pPr>
              <w:rPr>
                <w:rFonts w:ascii="Arial" w:hAnsi="Arial" w:cs="Arial"/>
              </w:rPr>
            </w:pPr>
          </w:p>
        </w:tc>
      </w:tr>
      <w:tr w:rsidR="0038137E" w:rsidRPr="00D61F73" w14:paraId="4314D57E" w14:textId="77777777" w:rsidTr="0038137E">
        <w:tc>
          <w:tcPr>
            <w:tcW w:w="1088" w:type="pct"/>
            <w:shd w:val="clear" w:color="auto" w:fill="auto"/>
          </w:tcPr>
          <w:p w14:paraId="7E999CBB" w14:textId="074E856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Percura®</w:t>
            </w:r>
          </w:p>
        </w:tc>
        <w:tc>
          <w:tcPr>
            <w:tcW w:w="3912" w:type="pct"/>
            <w:shd w:val="clear" w:color="auto" w:fill="auto"/>
          </w:tcPr>
          <w:p w14:paraId="661EB50E" w14:textId="6242CB02" w:rsidR="0038137E" w:rsidRPr="00D61F73" w:rsidRDefault="0038137E" w:rsidP="00D61F73">
            <w:pPr>
              <w:rPr>
                <w:rFonts w:ascii="Arial" w:hAnsi="Arial" w:cs="Arial"/>
                <w:u w:val="single"/>
              </w:rPr>
            </w:pPr>
            <w:r w:rsidRPr="00D61F73">
              <w:rPr>
                <w:rFonts w:ascii="Arial" w:hAnsi="Arial" w:cs="Arial"/>
              </w:rPr>
              <w:t xml:space="preserve">Not recommended. Percura® is a medical food that is a proprietary blend of gamma-aminobutyric acid, choline bitartrate, L-arginine, L-serine, and other ingredients. See </w:t>
            </w:r>
            <w:hyperlink w:anchor="Medicalfood" w:history="1">
              <w:r w:rsidRPr="00D61F73">
                <w:rPr>
                  <w:rStyle w:val="Hyperlink"/>
                  <w:rFonts w:ascii="Arial" w:hAnsi="Arial" w:cs="Arial"/>
                </w:rPr>
                <w:t>Medical food</w:t>
              </w:r>
            </w:hyperlink>
            <w:r w:rsidRPr="00D61F73">
              <w:rPr>
                <w:rStyle w:val="Hyperlink"/>
                <w:rFonts w:ascii="Arial" w:hAnsi="Arial" w:cs="Arial"/>
              </w:rPr>
              <w:t>s</w:t>
            </w:r>
            <w:r w:rsidRPr="00D61F73">
              <w:rPr>
                <w:rFonts w:ascii="Arial" w:hAnsi="Arial" w:cs="Arial"/>
              </w:rPr>
              <w:t>.</w:t>
            </w:r>
          </w:p>
        </w:tc>
      </w:tr>
      <w:tr w:rsidR="0038137E" w:rsidRPr="00D61F73" w14:paraId="00094213" w14:textId="77777777" w:rsidTr="0038137E">
        <w:tc>
          <w:tcPr>
            <w:tcW w:w="1088" w:type="pct"/>
            <w:shd w:val="clear" w:color="auto" w:fill="auto"/>
          </w:tcPr>
          <w:p w14:paraId="114F22D6" w14:textId="3200512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1" w:name="Percuaneousnervestim"/>
            <w:bookmarkEnd w:id="351"/>
            <w:r w:rsidRPr="00D61F73">
              <w:rPr>
                <w:rFonts w:ascii="Arial" w:hAnsi="Arial" w:cs="Arial"/>
              </w:rPr>
              <w:t xml:space="preserve">ercutaneous electrical nerve stimulation (PENS) </w:t>
            </w:r>
          </w:p>
        </w:tc>
        <w:tc>
          <w:tcPr>
            <w:tcW w:w="3912" w:type="pct"/>
            <w:shd w:val="clear" w:color="auto" w:fill="auto"/>
          </w:tcPr>
          <w:p w14:paraId="23F819FA" w14:textId="1AB5B352" w:rsidR="0038137E" w:rsidRPr="00D61F73" w:rsidRDefault="0038137E" w:rsidP="00D61F73">
            <w:pPr>
              <w:rPr>
                <w:rFonts w:ascii="Arial" w:hAnsi="Arial" w:cs="Arial"/>
              </w:rPr>
            </w:pPr>
            <w:r w:rsidRPr="00D61F73">
              <w:rPr>
                <w:rFonts w:ascii="Arial" w:hAnsi="Arial" w:cs="Arial"/>
              </w:rPr>
              <w:t xml:space="preserve">Not recommended as a primary treatment modality, but a trial may be considered, if used as an adjunct to a program of evidence-based </w:t>
            </w:r>
            <w:hyperlink w:anchor="Functionalimprovementmeasures" w:history="1">
              <w:r w:rsidRPr="00D61F73">
                <w:rPr>
                  <w:rStyle w:val="Hyperlink"/>
                  <w:rFonts w:ascii="Arial" w:hAnsi="Arial" w:cs="Arial"/>
                </w:rPr>
                <w:t>functional restoration</w:t>
              </w:r>
            </w:hyperlink>
            <w:r w:rsidRPr="00D61F73">
              <w:rPr>
                <w:rFonts w:ascii="Arial" w:hAnsi="Arial" w:cs="Arial"/>
              </w:rPr>
              <w:t>, after other non-surgical treatments, including therapeutic exercise and TENS, have been tried and failed or are judged to be unsuitable or contraindicated. There is a lack of high-quality evidence to prove long-term efficacy. (</w:t>
            </w:r>
            <w:hyperlink w:anchor="Ghoname" w:history="1">
              <w:r w:rsidRPr="00D61F73">
                <w:rPr>
                  <w:rStyle w:val="Hyperlink"/>
                  <w:rFonts w:ascii="Arial" w:hAnsi="Arial" w:cs="Arial"/>
                </w:rPr>
                <w:t>Ghoname-JAMA, 1999</w:t>
              </w:r>
            </w:hyperlink>
            <w:r w:rsidRPr="00D61F73">
              <w:rPr>
                <w:rFonts w:ascii="Arial" w:hAnsi="Arial" w:cs="Arial"/>
              </w:rPr>
              <w:t>) (</w:t>
            </w:r>
            <w:hyperlink w:anchor="Yokoyama" w:history="1">
              <w:r w:rsidRPr="00D61F73">
                <w:rPr>
                  <w:rStyle w:val="Hyperlink"/>
                  <w:rFonts w:ascii="Arial" w:hAnsi="Arial" w:cs="Arial"/>
                </w:rPr>
                <w:t>Yokoyama, 2004</w:t>
              </w:r>
            </w:hyperlink>
            <w:r w:rsidRPr="00D61F73">
              <w:rPr>
                <w:rFonts w:ascii="Arial" w:hAnsi="Arial" w:cs="Arial"/>
              </w:rPr>
              <w:t>) Percutaneous electrical nerve stimulation (PENS) is similar in concept to transcutaneous electrical nerve stimulation (TENS) but differs in that needles are inserted to a depth of 1 to 4 cm either around or immediately adjacent to the nerve serving the painful area and then stimulated. PENS is generally reserved for patients who fail to get pain relief from TENS, apparently due to obvious physical barriers to the conduction of the electrical stimulation (e.g., scar tissue, obesity). PENS must be distinguished from acupuncture with electrical stimulation. In PENS the location of stimulation is determined by proximity to the pain. (</w:t>
            </w:r>
            <w:hyperlink w:anchor="BlueCrossBlueShield4" w:history="1">
              <w:r w:rsidRPr="00D61F73">
                <w:rPr>
                  <w:rStyle w:val="Hyperlink"/>
                  <w:rFonts w:ascii="Arial" w:hAnsi="Arial" w:cs="Arial"/>
                </w:rPr>
                <w:t>BlueCross BlueShield, 2004</w:t>
              </w:r>
            </w:hyperlink>
            <w:r w:rsidRPr="00D61F73">
              <w:rPr>
                <w:rFonts w:ascii="Arial" w:hAnsi="Arial" w:cs="Arial"/>
              </w:rPr>
              <w:t>) (</w:t>
            </w:r>
            <w:hyperlink w:anchor="Aetna2" w:history="1">
              <w:r w:rsidRPr="00D61F73">
                <w:rPr>
                  <w:rStyle w:val="Hyperlink"/>
                  <w:rFonts w:ascii="Arial" w:hAnsi="Arial" w:cs="Arial"/>
                </w:rPr>
                <w:t>Aetna, 2005</w:t>
              </w:r>
            </w:hyperlink>
            <w:r w:rsidRPr="00D61F73">
              <w:rPr>
                <w:rFonts w:ascii="Arial" w:hAnsi="Arial" w:cs="Arial"/>
              </w:rPr>
              <w:t xml:space="preserve">) See also </w:t>
            </w:r>
            <w:hyperlink w:anchor="TENS" w:history="1">
              <w:r w:rsidRPr="00D61F73">
                <w:rPr>
                  <w:rStyle w:val="Hyperlink"/>
                  <w:rFonts w:ascii="Arial" w:hAnsi="Arial" w:cs="Arial"/>
                </w:rPr>
                <w:t>TENS</w:t>
              </w:r>
            </w:hyperlink>
            <w:r w:rsidRPr="00D61F73">
              <w:rPr>
                <w:rFonts w:ascii="Arial" w:hAnsi="Arial" w:cs="Arial"/>
              </w:rPr>
              <w:t xml:space="preserve"> and the </w:t>
            </w:r>
            <w:r w:rsidRPr="00F8597A">
              <w:rPr>
                <w:rFonts w:ascii="Arial" w:hAnsi="Arial" w:cs="Arial"/>
              </w:rPr>
              <w:t>MTUS Low Back Complaints</w:t>
            </w:r>
            <w:r w:rsidRPr="00D61F73">
              <w:rPr>
                <w:rFonts w:ascii="Arial" w:hAnsi="Arial" w:cs="Arial"/>
              </w:rPr>
              <w:t>.</w:t>
            </w:r>
          </w:p>
        </w:tc>
      </w:tr>
      <w:tr w:rsidR="0038137E" w:rsidRPr="00D61F73" w14:paraId="457A7D60" w14:textId="77777777" w:rsidTr="0038137E">
        <w:tc>
          <w:tcPr>
            <w:tcW w:w="1088" w:type="pct"/>
            <w:shd w:val="clear" w:color="auto" w:fill="auto"/>
          </w:tcPr>
          <w:p w14:paraId="7E38737E" w14:textId="0DB605B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Percutaneous neuromodulation therapy (PNT)</w:t>
            </w:r>
          </w:p>
        </w:tc>
        <w:tc>
          <w:tcPr>
            <w:tcW w:w="3912" w:type="pct"/>
            <w:shd w:val="clear" w:color="auto" w:fill="auto"/>
          </w:tcPr>
          <w:p w14:paraId="56B3A980" w14:textId="68B91AF8" w:rsidR="0038137E" w:rsidRPr="00D61F73" w:rsidRDefault="0038137E" w:rsidP="00D61F73">
            <w:pPr>
              <w:rPr>
                <w:rFonts w:ascii="Arial" w:hAnsi="Arial" w:cs="Arial"/>
              </w:rPr>
            </w:pPr>
            <w:r w:rsidRPr="00D61F73">
              <w:rPr>
                <w:rFonts w:ascii="Arial" w:hAnsi="Arial" w:cs="Arial"/>
              </w:rPr>
              <w:t>Not recommended. Percutaneous neuromodulation therapy (PNT) is considered investigational. Percutaneous neuromodulation therapy is a variant of PENS in which up to 10 fine filament electrodes are temporarily placed at specific anatomical landmarks in the back. Treatment regimens consist of 30-minute sessions, once or twice a week for eight to ten sessions. Percutaneous Neuromodulation Therapy™ (Vertis Neurosciences) received approval to market by the U.S. Food and Drug Administration (FDA) through the 510(k) process in 2002. The labeled indications reads as follows: "Percutaneous neuromodulation therapy (PNT) is indicated for the symptomatic relief and management of chronic or intractable pain and/or as an adjunct treatment in the management of post-surgical pain and post-trauma pain." (</w:t>
            </w:r>
            <w:hyperlink w:anchor="Condon" w:history="1">
              <w:r w:rsidRPr="00D61F73">
                <w:rPr>
                  <w:rStyle w:val="Hyperlink"/>
                  <w:rFonts w:ascii="Arial" w:hAnsi="Arial" w:cs="Arial"/>
                </w:rPr>
                <w:t>Condon, 2002</w:t>
              </w:r>
            </w:hyperlink>
            <w:r w:rsidRPr="00D61F73">
              <w:rPr>
                <w:rFonts w:ascii="Arial" w:hAnsi="Arial" w:cs="Arial"/>
              </w:rPr>
              <w:t>) (</w:t>
            </w:r>
            <w:hyperlink w:anchor="BlueCrossBlueShield4" w:history="1">
              <w:r w:rsidRPr="00D61F73">
                <w:rPr>
                  <w:rStyle w:val="Hyperlink"/>
                  <w:rFonts w:ascii="Arial" w:hAnsi="Arial" w:cs="Arial"/>
                </w:rPr>
                <w:t>BlueCross BlueShield, 2004</w:t>
              </w:r>
            </w:hyperlink>
            <w:r w:rsidRPr="00D61F73">
              <w:rPr>
                <w:rFonts w:ascii="Arial" w:hAnsi="Arial" w:cs="Arial"/>
              </w:rPr>
              <w:t>)</w:t>
            </w:r>
          </w:p>
        </w:tc>
      </w:tr>
      <w:tr w:rsidR="0038137E" w:rsidRPr="00D61F73" w14:paraId="4B7D61B1" w14:textId="77777777" w:rsidTr="0038137E">
        <w:tc>
          <w:tcPr>
            <w:tcW w:w="1088" w:type="pct"/>
            <w:shd w:val="clear" w:color="auto" w:fill="auto"/>
          </w:tcPr>
          <w:p w14:paraId="0728989B" w14:textId="6C08BE7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2" w:name="PGAP"/>
            <w:bookmarkEnd w:id="352"/>
            <w:r w:rsidRPr="00D61F73">
              <w:rPr>
                <w:rFonts w:ascii="Arial" w:hAnsi="Arial" w:cs="Arial"/>
              </w:rPr>
              <w:t>GAP™</w:t>
            </w:r>
          </w:p>
        </w:tc>
        <w:tc>
          <w:tcPr>
            <w:tcW w:w="3912" w:type="pct"/>
            <w:shd w:val="clear" w:color="auto" w:fill="auto"/>
          </w:tcPr>
          <w:p w14:paraId="3B7325C9" w14:textId="791663B6" w:rsidR="0038137E" w:rsidRPr="00D61F73" w:rsidRDefault="0038137E" w:rsidP="00D61F73">
            <w:pPr>
              <w:rPr>
                <w:rFonts w:ascii="Arial" w:hAnsi="Arial" w:cs="Arial"/>
              </w:rPr>
            </w:pPr>
            <w:r w:rsidRPr="00D61F73">
              <w:rPr>
                <w:rFonts w:ascii="Arial" w:hAnsi="Arial" w:cs="Arial"/>
              </w:rPr>
              <w:t xml:space="preserve">See </w:t>
            </w:r>
            <w:hyperlink w:anchor="Progressivegoalattain" w:history="1">
              <w:r w:rsidRPr="00D61F73">
                <w:rPr>
                  <w:rStyle w:val="Hyperlink"/>
                  <w:rFonts w:ascii="Arial" w:hAnsi="Arial" w:cs="Arial"/>
                </w:rPr>
                <w:t>Progressive goal attainment program</w:t>
              </w:r>
            </w:hyperlink>
            <w:r w:rsidRPr="00D61F73">
              <w:rPr>
                <w:rFonts w:ascii="Arial" w:hAnsi="Arial" w:cs="Arial"/>
              </w:rPr>
              <w:t xml:space="preserve"> (PGAP™).</w:t>
            </w:r>
          </w:p>
        </w:tc>
      </w:tr>
      <w:tr w:rsidR="0038137E" w:rsidRPr="00D61F73" w14:paraId="732A06CB" w14:textId="77777777" w:rsidTr="0038137E">
        <w:tc>
          <w:tcPr>
            <w:tcW w:w="1088" w:type="pct"/>
            <w:shd w:val="clear" w:color="auto" w:fill="auto"/>
          </w:tcPr>
          <w:p w14:paraId="24199CB1" w14:textId="147C075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Pharmaceuticals</w:t>
            </w:r>
          </w:p>
        </w:tc>
        <w:tc>
          <w:tcPr>
            <w:tcW w:w="3912" w:type="pct"/>
            <w:shd w:val="clear" w:color="auto" w:fill="auto"/>
          </w:tcPr>
          <w:p w14:paraId="059D0088" w14:textId="699B469A" w:rsidR="0038137E" w:rsidRPr="00D61F73" w:rsidRDefault="0038137E" w:rsidP="00D61F73">
            <w:pPr>
              <w:rPr>
                <w:rFonts w:ascii="Arial" w:hAnsi="Arial" w:cs="Arial"/>
              </w:rPr>
            </w:pPr>
            <w:r w:rsidRPr="00D61F73">
              <w:rPr>
                <w:rFonts w:ascii="Arial" w:hAnsi="Arial" w:cs="Arial"/>
              </w:rPr>
              <w:t xml:space="preserve">See </w:t>
            </w:r>
            <w:hyperlink w:anchor="Medicationsforacutepain" w:history="1">
              <w:r w:rsidR="0049097E">
                <w:rPr>
                  <w:rStyle w:val="Hyperlink"/>
                  <w:rFonts w:ascii="Arial" w:hAnsi="Arial" w:cs="Arial"/>
                </w:rPr>
                <w:t>Medications</w:t>
              </w:r>
            </w:hyperlink>
            <w:r w:rsidRPr="00D61F73">
              <w:rPr>
                <w:rFonts w:ascii="Arial" w:hAnsi="Arial" w:cs="Arial"/>
              </w:rPr>
              <w:t>.</w:t>
            </w:r>
          </w:p>
        </w:tc>
      </w:tr>
      <w:tr w:rsidR="0038137E" w:rsidRPr="00D61F73" w14:paraId="58910DA2" w14:textId="77777777" w:rsidTr="0038137E">
        <w:tc>
          <w:tcPr>
            <w:tcW w:w="1088" w:type="pct"/>
            <w:shd w:val="clear" w:color="auto" w:fill="auto"/>
          </w:tcPr>
          <w:p w14:paraId="2E538C17" w14:textId="2C3C6C2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Phentolamine infusion test</w:t>
            </w:r>
          </w:p>
        </w:tc>
        <w:tc>
          <w:tcPr>
            <w:tcW w:w="3912" w:type="pct"/>
            <w:shd w:val="clear" w:color="auto" w:fill="auto"/>
          </w:tcPr>
          <w:p w14:paraId="56320906" w14:textId="379DF205" w:rsidR="0038137E" w:rsidRPr="00D61F73" w:rsidRDefault="0038137E" w:rsidP="00D61F73">
            <w:pPr>
              <w:rPr>
                <w:rFonts w:ascii="Arial" w:hAnsi="Arial" w:cs="Arial"/>
              </w:rPr>
            </w:pPr>
            <w:r w:rsidRPr="00D61F73">
              <w:rPr>
                <w:rFonts w:ascii="Arial" w:hAnsi="Arial" w:cs="Arial"/>
              </w:rPr>
              <w:t>Recommended as indicated below. An intravenous infusion of phentolamine, an alpha 2 blocker, results in generalized systemic sympatholysis. The infusion begins with intravenous saline for placebo control. For a positive response, pain relief should be 50 percent or greater and associated with functional improvement. This test aids in the diagnosis of SMP (Sympathetically maintained pain). (</w:t>
            </w:r>
            <w:hyperlink w:anchor="Colorado2" w:history="1">
              <w:r w:rsidRPr="00D61F73">
                <w:rPr>
                  <w:rStyle w:val="Hyperlink"/>
                  <w:rFonts w:ascii="Arial" w:hAnsi="Arial" w:cs="Arial"/>
                </w:rPr>
                <w:t>Colorado, 2002</w:t>
              </w:r>
            </w:hyperlink>
            <w:r w:rsidRPr="00D61F73">
              <w:rPr>
                <w:rFonts w:ascii="Arial" w:hAnsi="Arial" w:cs="Arial"/>
              </w:rPr>
              <w:t xml:space="preserve">) </w:t>
            </w:r>
            <w:r w:rsidRPr="00D61F73">
              <w:rPr>
                <w:rFonts w:ascii="Arial" w:eastAsia="Arial Unicode MS" w:hAnsi="Arial" w:cs="Arial"/>
                <w:lang w:val="en"/>
              </w:rPr>
              <w:t xml:space="preserve">See also </w:t>
            </w:r>
            <w:hyperlink w:anchor="Sympatheticallymaintainedpain" w:history="1">
              <w:r w:rsidRPr="00D61F73">
                <w:rPr>
                  <w:rStyle w:val="Hyperlink"/>
                  <w:rFonts w:ascii="Arial" w:hAnsi="Arial" w:cs="Arial"/>
                </w:rPr>
                <w:t>Sympathetically maintained pain</w:t>
              </w:r>
            </w:hyperlink>
            <w:r w:rsidRPr="00D61F73">
              <w:rPr>
                <w:rFonts w:ascii="Arial" w:hAnsi="Arial" w:cs="Arial"/>
              </w:rPr>
              <w:t xml:space="preserve"> (SMP).</w:t>
            </w:r>
          </w:p>
        </w:tc>
      </w:tr>
      <w:tr w:rsidR="0038137E" w:rsidRPr="00D61F73" w14:paraId="37554404" w14:textId="77777777" w:rsidTr="0038137E">
        <w:tc>
          <w:tcPr>
            <w:tcW w:w="1088" w:type="pct"/>
            <w:shd w:val="clear" w:color="auto" w:fill="auto"/>
          </w:tcPr>
          <w:p w14:paraId="4FC4F39D" w14:textId="16785E4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Phenytoin (Dilantin®)</w:t>
            </w:r>
          </w:p>
        </w:tc>
        <w:tc>
          <w:tcPr>
            <w:tcW w:w="3912" w:type="pct"/>
            <w:shd w:val="clear" w:color="auto" w:fill="auto"/>
          </w:tcPr>
          <w:p w14:paraId="51C2C03A" w14:textId="458E3754" w:rsidR="0038137E" w:rsidRPr="00D61F73" w:rsidRDefault="0038137E" w:rsidP="00D61F73">
            <w:pPr>
              <w:rPr>
                <w:rFonts w:ascii="Arial" w:hAnsi="Arial" w:cs="Arial"/>
              </w:rPr>
            </w:pPr>
            <w:r w:rsidRPr="00D61F73">
              <w:rPr>
                <w:rFonts w:ascii="Arial" w:hAnsi="Arial" w:cs="Arial"/>
              </w:rPr>
              <w:t xml:space="preserve">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PhenytoinListing" w:history="1">
              <w:r w:rsidRPr="00D61F73">
                <w:rPr>
                  <w:rStyle w:val="Hyperlink"/>
                  <w:rFonts w:ascii="Arial" w:hAnsi="Arial" w:cs="Arial"/>
                </w:rPr>
                <w:t>Phenytoin</w:t>
              </w:r>
            </w:hyperlink>
            <w:r w:rsidRPr="00D61F73">
              <w:rPr>
                <w:rFonts w:ascii="Arial" w:hAnsi="Arial" w:cs="Arial"/>
              </w:rPr>
              <w:t xml:space="preserve"> listing.</w:t>
            </w:r>
          </w:p>
        </w:tc>
      </w:tr>
      <w:tr w:rsidR="0038137E" w:rsidRPr="00D61F73" w14:paraId="07FBE780" w14:textId="77777777" w:rsidTr="0038137E">
        <w:tc>
          <w:tcPr>
            <w:tcW w:w="1088" w:type="pct"/>
            <w:shd w:val="clear" w:color="auto" w:fill="auto"/>
          </w:tcPr>
          <w:p w14:paraId="5D1F2A37" w14:textId="7944797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Phototherapy</w:t>
            </w:r>
          </w:p>
        </w:tc>
        <w:tc>
          <w:tcPr>
            <w:tcW w:w="3912" w:type="pct"/>
            <w:shd w:val="clear" w:color="auto" w:fill="auto"/>
          </w:tcPr>
          <w:p w14:paraId="0FA354E1" w14:textId="5DC39929" w:rsidR="0038137E" w:rsidRPr="00D61F73" w:rsidRDefault="0038137E" w:rsidP="00D61F73">
            <w:pPr>
              <w:rPr>
                <w:rFonts w:ascii="Arial" w:hAnsi="Arial" w:cs="Arial"/>
              </w:rPr>
            </w:pPr>
            <w:r w:rsidRPr="00D61F73">
              <w:rPr>
                <w:rFonts w:ascii="Arial" w:hAnsi="Arial" w:cs="Arial"/>
              </w:rPr>
              <w:t xml:space="preserve">See </w:t>
            </w:r>
            <w:hyperlink w:anchor="Lowlevellasertherapy" w:history="1">
              <w:r w:rsidRPr="00D61F73">
                <w:rPr>
                  <w:rStyle w:val="Hyperlink"/>
                  <w:rFonts w:ascii="Arial" w:hAnsi="Arial" w:cs="Arial"/>
                </w:rPr>
                <w:t>Low level laser therapy</w:t>
              </w:r>
            </w:hyperlink>
            <w:r w:rsidRPr="00D61F73">
              <w:rPr>
                <w:rFonts w:ascii="Arial" w:hAnsi="Arial" w:cs="Arial"/>
              </w:rPr>
              <w:t xml:space="preserve"> (LLLT).</w:t>
            </w:r>
          </w:p>
        </w:tc>
      </w:tr>
      <w:tr w:rsidR="0038137E" w:rsidRPr="00D61F73" w14:paraId="3B9C9ACA" w14:textId="77777777" w:rsidTr="0038137E">
        <w:tc>
          <w:tcPr>
            <w:tcW w:w="1088" w:type="pct"/>
            <w:shd w:val="clear" w:color="auto" w:fill="auto"/>
          </w:tcPr>
          <w:p w14:paraId="65ECCFF9" w14:textId="33942AA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3" w:name="Physicalmedicinetreatment"/>
            <w:bookmarkEnd w:id="353"/>
            <w:r w:rsidRPr="00D61F73">
              <w:rPr>
                <w:rFonts w:ascii="Arial" w:hAnsi="Arial" w:cs="Arial"/>
              </w:rPr>
              <w:t xml:space="preserve">hysical medicine </w:t>
            </w:r>
            <w:r w:rsidRPr="00D61F73">
              <w:rPr>
                <w:rFonts w:ascii="Arial" w:hAnsi="Arial" w:cs="Arial"/>
              </w:rPr>
              <w:lastRenderedPageBreak/>
              <w:t xml:space="preserve">treatment </w:t>
            </w:r>
          </w:p>
        </w:tc>
        <w:tc>
          <w:tcPr>
            <w:tcW w:w="3912" w:type="pct"/>
            <w:shd w:val="clear" w:color="auto" w:fill="auto"/>
          </w:tcPr>
          <w:p w14:paraId="732B43DC" w14:textId="77777777" w:rsidR="0038137E" w:rsidRPr="00D61F73" w:rsidRDefault="0038137E" w:rsidP="00D61F73">
            <w:pPr>
              <w:rPr>
                <w:rFonts w:ascii="Arial" w:hAnsi="Arial" w:cs="Arial"/>
              </w:rPr>
            </w:pPr>
            <w:r w:rsidRPr="00D61F73">
              <w:rPr>
                <w:rFonts w:ascii="Arial" w:hAnsi="Arial" w:cs="Arial"/>
              </w:rPr>
              <w:lastRenderedPageBreak/>
              <w:t xml:space="preserve">Recommended as indicated below. Physical medicine encompasses </w:t>
            </w:r>
            <w:r w:rsidRPr="00D61F73">
              <w:rPr>
                <w:rFonts w:ascii="Arial" w:hAnsi="Arial" w:cs="Arial"/>
              </w:rPr>
              <w:lastRenderedPageBreak/>
              <w:t xml:space="preserve">interventions that are within the scope of various practitioners (including Physical Therapy, Occupational Therapy, Chiropractic, and MD/DO). Passive therapy (those treatment modalities that do not require energy expenditure on the part of the patient) </w:t>
            </w:r>
            <w:r w:rsidRPr="00D61F73">
              <w:rPr>
                <w:rFonts w:ascii="Arial" w:hAnsi="Arial" w:cs="Arial"/>
                <w:color w:val="auto"/>
              </w:rPr>
              <w:t>is not indicated for addressing chronic pain in most instances; refer to the specific modality within these guidelines (e.g., massage, ultrasound)</w:t>
            </w:r>
            <w:r w:rsidRPr="00D61F73">
              <w:rPr>
                <w:rFonts w:ascii="Arial" w:hAnsi="Arial" w:cs="Arial"/>
              </w:rPr>
              <w:t xml:space="preserve">  Active therapy is based on the philosophy that therapeutic exercise and/or activity are beneficial for restoring flexibility, strength, endurance, function, range of motion, and can alleviate discomfort. Active therapy requires an internal effort by the individual to complete a specific exercise or task. </w:t>
            </w:r>
            <w:r w:rsidRPr="00D61F73">
              <w:rPr>
                <w:rFonts w:ascii="Arial" w:hAnsi="Arial" w:cs="Arial"/>
                <w:color w:val="auto"/>
              </w:rPr>
              <w:t>Refer to the specific intervention within these guidelines (e.g., exercise.)</w:t>
            </w:r>
            <w:r w:rsidRPr="00D61F73">
              <w:rPr>
                <w:rFonts w:ascii="Arial" w:hAnsi="Arial" w:cs="Arial"/>
                <w:color w:val="D90B00"/>
              </w:rPr>
              <w:t xml:space="preserve"> </w:t>
            </w:r>
            <w:r w:rsidRPr="00D61F73">
              <w:rPr>
                <w:rFonts w:ascii="Arial" w:hAnsi="Arial" w:cs="Arial"/>
              </w:rPr>
              <w:t>This form of therapy may require supervision from a therapist or medical provider such as verbal, visual and/or tactile instruction(s). Patients are instructed and expected to continue active therapies at home as an extension of the treatment process in order to maintain improvement levels. Home exercise can include exercise with or without mechanical assistance or resistance and functional activities with assistive devices. (</w:t>
            </w:r>
            <w:hyperlink w:anchor="Colorado2" w:history="1">
              <w:r w:rsidRPr="00D61F73">
                <w:rPr>
                  <w:rStyle w:val="Hyperlink"/>
                  <w:rFonts w:ascii="Arial" w:hAnsi="Arial" w:cs="Arial"/>
                </w:rPr>
                <w:t>Colorado, 2002</w:t>
              </w:r>
            </w:hyperlink>
            <w:r w:rsidRPr="00D61F73">
              <w:rPr>
                <w:rFonts w:ascii="Arial" w:hAnsi="Arial" w:cs="Arial"/>
              </w:rPr>
              <w:t>) (</w:t>
            </w:r>
            <w:hyperlink w:anchor="Airaksinen2" w:history="1">
              <w:r w:rsidRPr="00D61F73">
                <w:rPr>
                  <w:rStyle w:val="Hyperlink"/>
                  <w:rFonts w:ascii="Arial" w:hAnsi="Arial" w:cs="Arial"/>
                </w:rPr>
                <w:t>Airaksinen, 2006</w:t>
              </w:r>
            </w:hyperlink>
            <w:r w:rsidRPr="00D61F73">
              <w:rPr>
                <w:rFonts w:ascii="Arial" w:hAnsi="Arial" w:cs="Arial"/>
              </w:rPr>
              <w:t>). Patient-specific hand therapy is very important in reducing swelling, decreasing pain, and improving range of motion in CRPS. (</w:t>
            </w:r>
            <w:hyperlink w:anchor="Li" w:history="1">
              <w:r w:rsidRPr="00D61F73">
                <w:rPr>
                  <w:rStyle w:val="Hyperlink"/>
                  <w:rFonts w:ascii="Arial" w:hAnsi="Arial" w:cs="Arial"/>
                </w:rPr>
                <w:t>Li, 2005</w:t>
              </w:r>
            </w:hyperlink>
            <w:r w:rsidRPr="00D61F73">
              <w:rPr>
                <w:rFonts w:ascii="Arial" w:hAnsi="Arial" w:cs="Arial"/>
              </w:rPr>
              <w:t>) The use of active treatment modalities (e.g., exercise, education, activity modification) instead of passive treatments is associated with substantially better clinical outcomes. In a large case series of patients with low back pain treated by physical therapists, those adhering to guidelines for active rather than passive treatments incurred fewer treatment visits, cost less, and had less pain and less disability. The overall success rates were 64.7% among those adhering to the active treatment recommendations versus 36.5% for passive treatment. (</w:t>
            </w:r>
            <w:hyperlink w:anchor="Fritz" w:history="1">
              <w:r w:rsidRPr="00D61F73">
                <w:rPr>
                  <w:rStyle w:val="Hyperlink"/>
                  <w:rFonts w:ascii="Arial" w:hAnsi="Arial" w:cs="Arial"/>
                </w:rPr>
                <w:t>Fritz, 2007</w:t>
              </w:r>
            </w:hyperlink>
            <w:r w:rsidRPr="00D61F73">
              <w:rPr>
                <w:rFonts w:ascii="Arial" w:hAnsi="Arial" w:cs="Arial"/>
              </w:rPr>
              <w:t>)</w:t>
            </w:r>
          </w:p>
          <w:p w14:paraId="5DD73B7E" w14:textId="77777777" w:rsidR="0038137E" w:rsidRPr="00D61F73" w:rsidRDefault="0038137E" w:rsidP="00D61F73">
            <w:pPr>
              <w:pStyle w:val="Heading7"/>
              <w:rPr>
                <w:rFonts w:ascii="Arial" w:hAnsi="Arial" w:cs="Arial"/>
                <w:sz w:val="24"/>
              </w:rPr>
            </w:pPr>
            <w:r w:rsidRPr="00D61F73">
              <w:rPr>
                <w:rFonts w:ascii="Arial" w:hAnsi="Arial" w:cs="Arial"/>
                <w:sz w:val="24"/>
              </w:rPr>
              <w:t xml:space="preserve">ODG Physical Therapy Guidelines – </w:t>
            </w:r>
          </w:p>
          <w:p w14:paraId="25123242" w14:textId="77777777" w:rsidR="0038137E" w:rsidRPr="00D61F73" w:rsidRDefault="0038137E" w:rsidP="00D61F73">
            <w:pPr>
              <w:rPr>
                <w:rFonts w:ascii="Arial" w:hAnsi="Arial" w:cs="Arial"/>
              </w:rPr>
            </w:pPr>
            <w:r w:rsidRPr="00D61F73">
              <w:rPr>
                <w:rFonts w:ascii="Arial" w:hAnsi="Arial" w:cs="Arial"/>
              </w:rPr>
              <w:t xml:space="preserve">Allow for fading of treatment frequency (from up to 3 visits per week to 1 or less), plus active self-directed home PT. Also see other general guidelines that apply to all conditions under Physical Therapy in the </w:t>
            </w:r>
            <w:hyperlink r:id="rId137" w:anchor="PhysicalTherapyGuidelines" w:history="1">
              <w:r w:rsidRPr="00D61F73">
                <w:rPr>
                  <w:rStyle w:val="Hyperlink"/>
                  <w:rFonts w:ascii="Arial" w:hAnsi="Arial" w:cs="Arial"/>
                </w:rPr>
                <w:t>ODG Preface</w:t>
              </w:r>
            </w:hyperlink>
            <w:r w:rsidRPr="00D61F73">
              <w:rPr>
                <w:rFonts w:ascii="Arial" w:hAnsi="Arial" w:cs="Arial"/>
              </w:rPr>
              <w:t>.</w:t>
            </w:r>
          </w:p>
          <w:p w14:paraId="461ECD84" w14:textId="77777777" w:rsidR="0038137E" w:rsidRPr="00D61F73" w:rsidRDefault="0038137E" w:rsidP="00D61F73">
            <w:pPr>
              <w:rPr>
                <w:rFonts w:ascii="Arial" w:hAnsi="Arial" w:cs="Arial"/>
                <w:b/>
                <w:bCs/>
              </w:rPr>
            </w:pPr>
            <w:r w:rsidRPr="00D61F73">
              <w:rPr>
                <w:rFonts w:ascii="Arial" w:hAnsi="Arial" w:cs="Arial"/>
                <w:b/>
                <w:bCs/>
              </w:rPr>
              <w:t xml:space="preserve">Myalgia and myositis, unspecified </w:t>
            </w:r>
            <w:r w:rsidRPr="00D61F73">
              <w:rPr>
                <w:rFonts w:ascii="Arial" w:hAnsi="Arial" w:cs="Arial"/>
              </w:rPr>
              <w:t>(ICD9 729.1):</w:t>
            </w:r>
          </w:p>
          <w:p w14:paraId="26BF1BFE" w14:textId="77777777" w:rsidR="0038137E" w:rsidRPr="00D61F73" w:rsidRDefault="0038137E" w:rsidP="00D61F73">
            <w:pPr>
              <w:rPr>
                <w:rFonts w:ascii="Arial" w:hAnsi="Arial" w:cs="Arial"/>
              </w:rPr>
            </w:pPr>
            <w:r w:rsidRPr="00D61F73">
              <w:rPr>
                <w:rFonts w:ascii="Arial" w:hAnsi="Arial" w:cs="Arial"/>
              </w:rPr>
              <w:t>9-10 visits over 8 weeks</w:t>
            </w:r>
          </w:p>
          <w:p w14:paraId="0CA1AD5A" w14:textId="77777777" w:rsidR="0038137E" w:rsidRPr="00D61F73" w:rsidRDefault="0038137E" w:rsidP="00D61F73">
            <w:pPr>
              <w:rPr>
                <w:rFonts w:ascii="Arial" w:hAnsi="Arial" w:cs="Arial"/>
              </w:rPr>
            </w:pPr>
            <w:r w:rsidRPr="00D61F73">
              <w:rPr>
                <w:rFonts w:ascii="Arial" w:hAnsi="Arial" w:cs="Arial"/>
                <w:b/>
                <w:bCs/>
              </w:rPr>
              <w:t>Neuralgia, neuritis, and radiculitis, unspecified</w:t>
            </w:r>
            <w:r w:rsidRPr="00D61F73">
              <w:rPr>
                <w:rFonts w:ascii="Arial" w:hAnsi="Arial" w:cs="Arial"/>
              </w:rPr>
              <w:t xml:space="preserve"> (ICD9 729.2)</w:t>
            </w:r>
          </w:p>
          <w:p w14:paraId="31841383" w14:textId="77777777" w:rsidR="0038137E" w:rsidRPr="00D61F73" w:rsidRDefault="0038137E" w:rsidP="00D61F73">
            <w:pPr>
              <w:rPr>
                <w:rFonts w:ascii="Arial" w:hAnsi="Arial" w:cs="Arial"/>
              </w:rPr>
            </w:pPr>
            <w:r w:rsidRPr="00D61F73">
              <w:rPr>
                <w:rFonts w:ascii="Arial" w:hAnsi="Arial" w:cs="Arial"/>
              </w:rPr>
              <w:t>8-10 visits over 4 weeks</w:t>
            </w:r>
          </w:p>
          <w:p w14:paraId="32ED5CCF" w14:textId="77777777" w:rsidR="0038137E" w:rsidRPr="00D61F73" w:rsidRDefault="0038137E" w:rsidP="00D61F73">
            <w:pPr>
              <w:rPr>
                <w:rFonts w:ascii="Arial" w:hAnsi="Arial" w:cs="Arial"/>
                <w:b/>
                <w:bCs/>
              </w:rPr>
            </w:pPr>
            <w:r w:rsidRPr="00D61F73">
              <w:rPr>
                <w:rFonts w:ascii="Arial" w:hAnsi="Arial" w:cs="Arial"/>
                <w:b/>
                <w:bCs/>
              </w:rPr>
              <w:t xml:space="preserve">Reflex sympathetic dystrophy (CRPS) </w:t>
            </w:r>
            <w:r w:rsidRPr="00D61F73">
              <w:rPr>
                <w:rFonts w:ascii="Arial" w:hAnsi="Arial" w:cs="Arial"/>
              </w:rPr>
              <w:t>(ICD9 337.2):</w:t>
            </w:r>
          </w:p>
          <w:p w14:paraId="570E5155" w14:textId="77777777" w:rsidR="0038137E" w:rsidRPr="00D61F73" w:rsidRDefault="0038137E" w:rsidP="00D61F73">
            <w:pPr>
              <w:rPr>
                <w:rFonts w:ascii="Arial" w:hAnsi="Arial" w:cs="Arial"/>
              </w:rPr>
            </w:pPr>
            <w:r w:rsidRPr="00D61F73">
              <w:rPr>
                <w:rFonts w:ascii="Arial" w:hAnsi="Arial" w:cs="Arial"/>
              </w:rPr>
              <w:t>26 visits over 16 weeks</w:t>
            </w:r>
          </w:p>
          <w:p w14:paraId="5B530571" w14:textId="77777777" w:rsidR="0038137E" w:rsidRPr="00D61F73" w:rsidRDefault="0038137E" w:rsidP="00D61F73">
            <w:pPr>
              <w:rPr>
                <w:rFonts w:ascii="Arial" w:hAnsi="Arial" w:cs="Arial"/>
              </w:rPr>
            </w:pPr>
            <w:r w:rsidRPr="00D61F73">
              <w:rPr>
                <w:rFonts w:ascii="Arial" w:hAnsi="Arial" w:cs="Arial"/>
                <w:b/>
                <w:bCs/>
              </w:rPr>
              <w:t>Arthritis</w:t>
            </w:r>
            <w:r w:rsidRPr="00D61F73">
              <w:rPr>
                <w:rFonts w:ascii="Arial" w:hAnsi="Arial" w:cs="Arial"/>
              </w:rPr>
              <w:t xml:space="preserve"> (ICD9 715):</w:t>
            </w:r>
          </w:p>
          <w:p w14:paraId="1B04988B" w14:textId="77777777" w:rsidR="0038137E" w:rsidRPr="00D61F73" w:rsidRDefault="0038137E" w:rsidP="00D61F73">
            <w:pPr>
              <w:rPr>
                <w:rFonts w:ascii="Arial" w:hAnsi="Arial" w:cs="Arial"/>
              </w:rPr>
            </w:pPr>
            <w:r w:rsidRPr="00D61F73">
              <w:rPr>
                <w:rFonts w:ascii="Arial" w:hAnsi="Arial" w:cs="Arial"/>
              </w:rPr>
              <w:t>9 visits over 8 weeks</w:t>
            </w:r>
          </w:p>
          <w:p w14:paraId="1A5CD3D5" w14:textId="77777777" w:rsidR="0038137E" w:rsidRPr="00D61F73" w:rsidRDefault="0038137E" w:rsidP="00D61F73">
            <w:pPr>
              <w:rPr>
                <w:rFonts w:ascii="Arial" w:hAnsi="Arial" w:cs="Arial"/>
              </w:rPr>
            </w:pPr>
            <w:r w:rsidRPr="00D61F73">
              <w:rPr>
                <w:rFonts w:ascii="Arial" w:hAnsi="Arial" w:cs="Arial"/>
              </w:rPr>
              <w:t>Post-injection treatment: 1-2 visits over 1 week</w:t>
            </w:r>
          </w:p>
          <w:p w14:paraId="763742DB" w14:textId="77777777" w:rsidR="0038137E" w:rsidRPr="00D61F73" w:rsidRDefault="0038137E" w:rsidP="00D61F73">
            <w:pPr>
              <w:rPr>
                <w:rFonts w:ascii="Arial" w:hAnsi="Arial" w:cs="Arial"/>
              </w:rPr>
            </w:pPr>
            <w:r w:rsidRPr="00D61F73">
              <w:rPr>
                <w:rFonts w:ascii="Arial" w:hAnsi="Arial" w:cs="Arial"/>
              </w:rPr>
              <w:t xml:space="preserve">Post-surgical treatment: Refer to the </w:t>
            </w:r>
            <w:hyperlink r:id="rId138" w:anchor="15" w:history="1">
              <w:r w:rsidRPr="00D61F73">
                <w:rPr>
                  <w:rStyle w:val="Hyperlink"/>
                  <w:rFonts w:ascii="Arial" w:hAnsi="Arial" w:cs="Arial"/>
                </w:rPr>
                <w:t>MTUS Postsurgical Treatment Guidelines</w:t>
              </w:r>
            </w:hyperlink>
            <w:r w:rsidRPr="00D61F73">
              <w:rPr>
                <w:rFonts w:ascii="Arial" w:hAnsi="Arial" w:cs="Arial"/>
              </w:rPr>
              <w:t xml:space="preserve"> </w:t>
            </w:r>
          </w:p>
          <w:p w14:paraId="48F35F52" w14:textId="410CB967" w:rsidR="0038137E" w:rsidRPr="00D61F73" w:rsidRDefault="0038137E" w:rsidP="00D61F73">
            <w:pPr>
              <w:rPr>
                <w:rFonts w:ascii="Arial" w:hAnsi="Arial" w:cs="Arial"/>
              </w:rPr>
            </w:pPr>
            <w:r w:rsidRPr="00D61F73">
              <w:rPr>
                <w:rFonts w:ascii="Arial" w:hAnsi="Arial" w:cs="Arial"/>
                <w:iCs/>
              </w:rPr>
              <w:t>Patients should be formally assessed after a "six-visit clinical trial" to evaluate whether PT has resulted in positive impact, no impact, or negative impact prior to continuing with or modifying the physical therapy.</w:t>
            </w:r>
          </w:p>
        </w:tc>
      </w:tr>
      <w:tr w:rsidR="0038137E" w:rsidRPr="00D61F73" w14:paraId="799114FB" w14:textId="77777777" w:rsidTr="0038137E">
        <w:tc>
          <w:tcPr>
            <w:tcW w:w="1088" w:type="pct"/>
            <w:shd w:val="clear" w:color="auto" w:fill="auto"/>
          </w:tcPr>
          <w:p w14:paraId="01EB1499" w14:textId="6287AB6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w:t>
            </w:r>
            <w:bookmarkStart w:id="354" w:name="Physicaltherapy"/>
            <w:bookmarkEnd w:id="354"/>
            <w:r w:rsidRPr="00D61F73">
              <w:rPr>
                <w:rFonts w:ascii="Arial" w:hAnsi="Arial" w:cs="Arial"/>
              </w:rPr>
              <w:t>hysical therapy (PT)</w:t>
            </w:r>
          </w:p>
        </w:tc>
        <w:tc>
          <w:tcPr>
            <w:tcW w:w="3912" w:type="pct"/>
            <w:shd w:val="clear" w:color="auto" w:fill="auto"/>
          </w:tcPr>
          <w:p w14:paraId="6A77309E" w14:textId="50F22CE3" w:rsidR="0038137E" w:rsidRPr="00D61F73" w:rsidRDefault="0038137E" w:rsidP="00D61F73">
            <w:pPr>
              <w:rPr>
                <w:rFonts w:ascii="Arial" w:hAnsi="Arial" w:cs="Arial"/>
              </w:rPr>
            </w:pPr>
            <w:r w:rsidRPr="00D61F73">
              <w:rPr>
                <w:rFonts w:ascii="Arial" w:hAnsi="Arial" w:cs="Arial"/>
              </w:rPr>
              <w:t xml:space="preserve">See </w:t>
            </w:r>
            <w:hyperlink w:anchor="Physicalmedicinetreatment" w:history="1">
              <w:r w:rsidRPr="00AE2D59">
                <w:rPr>
                  <w:rStyle w:val="Hyperlink"/>
                  <w:rFonts w:ascii="Arial" w:hAnsi="Arial" w:cs="Arial"/>
                </w:rPr>
                <w:t>Physical medicine treatment.</w:t>
              </w:r>
            </w:hyperlink>
          </w:p>
        </w:tc>
      </w:tr>
      <w:tr w:rsidR="0038137E" w:rsidRPr="00D61F73" w14:paraId="37CBF829" w14:textId="77777777" w:rsidTr="0038137E">
        <w:tc>
          <w:tcPr>
            <w:tcW w:w="1088" w:type="pct"/>
            <w:shd w:val="clear" w:color="auto" w:fill="auto"/>
          </w:tcPr>
          <w:p w14:paraId="4DDEDD7D" w14:textId="6E32203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5" w:name="Physiciandispenseddrugs"/>
            <w:bookmarkEnd w:id="355"/>
            <w:r w:rsidRPr="00D61F73">
              <w:rPr>
                <w:rFonts w:ascii="Arial" w:hAnsi="Arial" w:cs="Arial"/>
              </w:rPr>
              <w:t>hysician-</w:t>
            </w:r>
            <w:r w:rsidRPr="00D61F73">
              <w:rPr>
                <w:rFonts w:ascii="Arial" w:hAnsi="Arial" w:cs="Arial"/>
              </w:rPr>
              <w:lastRenderedPageBreak/>
              <w:t xml:space="preserve">dispensed drugs </w:t>
            </w:r>
          </w:p>
        </w:tc>
        <w:tc>
          <w:tcPr>
            <w:tcW w:w="3912" w:type="pct"/>
            <w:shd w:val="clear" w:color="auto" w:fill="auto"/>
          </w:tcPr>
          <w:p w14:paraId="52A36CEF" w14:textId="77777777" w:rsidR="0093173A" w:rsidRDefault="0038137E" w:rsidP="00D61F73">
            <w:pPr>
              <w:rPr>
                <w:rFonts w:ascii="Arial" w:hAnsi="Arial" w:cs="Arial"/>
              </w:rPr>
            </w:pPr>
            <w:r w:rsidRPr="00D61F73">
              <w:rPr>
                <w:rFonts w:ascii="Arial" w:hAnsi="Arial" w:cs="Arial"/>
              </w:rPr>
              <w:lastRenderedPageBreak/>
              <w:t xml:space="preserve">Physician dispensing is the process of distributing </w:t>
            </w:r>
            <w:hyperlink w:anchor="Repackageddrugs" w:history="1">
              <w:r w:rsidRPr="00D61F73">
                <w:rPr>
                  <w:rStyle w:val="Hyperlink"/>
                  <w:rFonts w:ascii="Arial" w:hAnsi="Arial" w:cs="Arial"/>
                </w:rPr>
                <w:t>pre-packaged</w:t>
              </w:r>
            </w:hyperlink>
            <w:r w:rsidRPr="00D61F73">
              <w:rPr>
                <w:rFonts w:ascii="Arial" w:hAnsi="Arial" w:cs="Arial"/>
              </w:rPr>
              <w:t xml:space="preserve"> </w:t>
            </w:r>
            <w:r w:rsidRPr="00D61F73">
              <w:rPr>
                <w:rFonts w:ascii="Arial" w:hAnsi="Arial" w:cs="Arial"/>
              </w:rPr>
              <w:lastRenderedPageBreak/>
              <w:t xml:space="preserve">medications directly to patients at the point of care and is generally recommended only for the initial visit to provide patients with medications for acute injuries. According to some,  the patient may prefer physician-dispensed drugs because of convenience. Physician-dispensing may create financial incentives that affect the use of </w:t>
            </w:r>
            <w:hyperlink w:anchor="Compounddrugs" w:history="1">
              <w:r w:rsidRPr="00D61F73">
                <w:rPr>
                  <w:rStyle w:val="Hyperlink"/>
                  <w:rFonts w:ascii="Arial" w:hAnsi="Arial" w:cs="Arial"/>
                </w:rPr>
                <w:t>compound drugs</w:t>
              </w:r>
            </w:hyperlink>
            <w:r w:rsidRPr="00D61F73">
              <w:rPr>
                <w:rFonts w:ascii="Arial" w:hAnsi="Arial" w:cs="Arial"/>
              </w:rPr>
              <w:t xml:space="preserve"> and other medications, due primarily to fee schedule ambiguities. In addition, physician-dispensed drugs typically do not go through the pharmacy benefit management companies (PBMs) but are submitted directly to the payer.</w:t>
            </w:r>
          </w:p>
          <w:p w14:paraId="52AB92F6" w14:textId="77777777" w:rsidR="0093173A" w:rsidRDefault="0093173A" w:rsidP="00D61F73">
            <w:pPr>
              <w:rPr>
                <w:rFonts w:ascii="Arial" w:hAnsi="Arial" w:cs="Arial"/>
              </w:rPr>
            </w:pPr>
          </w:p>
          <w:p w14:paraId="79E3EB6F" w14:textId="6296EA68" w:rsidR="0038137E" w:rsidRPr="00D61F73" w:rsidRDefault="0038137E" w:rsidP="00D61F73">
            <w:pPr>
              <w:rPr>
                <w:rFonts w:ascii="Arial" w:hAnsi="Arial" w:cs="Arial"/>
              </w:rPr>
            </w:pPr>
            <w:r w:rsidRPr="00D61F73">
              <w:rPr>
                <w:rFonts w:ascii="Arial" w:hAnsi="Arial" w:cs="Arial"/>
              </w:rPr>
              <w:t xml:space="preserve"> Physician dispensing has been found to be associated with higher costs and more lost time than pharmacy-dispensed medications. (</w:t>
            </w:r>
            <w:hyperlink w:anchor="White2014" w:history="1">
              <w:r w:rsidRPr="00D61F73">
                <w:rPr>
                  <w:rStyle w:val="Hyperlink"/>
                  <w:rFonts w:ascii="Arial" w:hAnsi="Arial" w:cs="Arial"/>
                </w:rPr>
                <w:t>White, 2014</w:t>
              </w:r>
            </w:hyperlink>
            <w:r w:rsidRPr="00D61F73">
              <w:rPr>
                <w:rFonts w:ascii="Arial" w:hAnsi="Arial" w:cs="Arial"/>
              </w:rPr>
              <w:t xml:space="preserve">). </w:t>
            </w:r>
          </w:p>
        </w:tc>
      </w:tr>
      <w:tr w:rsidR="0038137E" w:rsidRPr="00D61F73" w14:paraId="24E965AD" w14:textId="77777777" w:rsidTr="0038137E">
        <w:tc>
          <w:tcPr>
            <w:tcW w:w="1088" w:type="pct"/>
            <w:shd w:val="clear" w:color="auto" w:fill="auto"/>
          </w:tcPr>
          <w:p w14:paraId="26FC1A08" w14:textId="1621E39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w:t>
            </w:r>
            <w:bookmarkStart w:id="356" w:name="Piriformisinject"/>
            <w:bookmarkEnd w:id="356"/>
            <w:r w:rsidRPr="00D61F73">
              <w:rPr>
                <w:rFonts w:ascii="Arial" w:hAnsi="Arial" w:cs="Arial"/>
              </w:rPr>
              <w:t xml:space="preserve">iriformis injections </w:t>
            </w:r>
          </w:p>
        </w:tc>
        <w:tc>
          <w:tcPr>
            <w:tcW w:w="3912" w:type="pct"/>
            <w:shd w:val="clear" w:color="auto" w:fill="auto"/>
          </w:tcPr>
          <w:p w14:paraId="307F7648" w14:textId="61147872" w:rsidR="0038137E" w:rsidRPr="00D61F73" w:rsidRDefault="0038137E" w:rsidP="00D61F73">
            <w:pPr>
              <w:rPr>
                <w:rFonts w:ascii="Arial" w:hAnsi="Arial" w:cs="Arial"/>
              </w:rPr>
            </w:pPr>
            <w:r w:rsidRPr="00D61F73">
              <w:rPr>
                <w:rFonts w:ascii="Arial" w:hAnsi="Arial" w:cs="Arial"/>
              </w:rPr>
              <w:t xml:space="preserve">Recommended for piriformis syndrome after a one-month physical therapy trial. Piriformis syndrome is a common cause of low back pain and accounts for 6-8% of patients presenting with buttock pain, which may variably be associated with sciatica, due to a compression of the sciatic nerve by the piriformis muscle (behind the hip joint). </w:t>
            </w:r>
          </w:p>
        </w:tc>
      </w:tr>
      <w:tr w:rsidR="0038137E" w:rsidRPr="00D61F73" w14:paraId="36CA90F0" w14:textId="77777777" w:rsidTr="0038137E">
        <w:tc>
          <w:tcPr>
            <w:tcW w:w="1088" w:type="pct"/>
            <w:shd w:val="clear" w:color="auto" w:fill="auto"/>
          </w:tcPr>
          <w:p w14:paraId="28EE5632" w14:textId="77DB6A9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7" w:name="Piroxicam"/>
            <w:bookmarkEnd w:id="357"/>
            <w:r w:rsidRPr="00D61F73">
              <w:rPr>
                <w:rFonts w:ascii="Arial" w:hAnsi="Arial" w:cs="Arial"/>
              </w:rPr>
              <w:t>iroxicam (Feldene®)</w:t>
            </w:r>
          </w:p>
        </w:tc>
        <w:tc>
          <w:tcPr>
            <w:tcW w:w="3912" w:type="pct"/>
            <w:shd w:val="clear" w:color="auto" w:fill="auto"/>
          </w:tcPr>
          <w:p w14:paraId="5A6D866B" w14:textId="08D3C68C" w:rsidR="0038137E" w:rsidRPr="00D61F73" w:rsidRDefault="0038137E" w:rsidP="00D61F73">
            <w:pPr>
              <w:rPr>
                <w:rFonts w:ascii="Arial" w:hAnsi="Arial" w:cs="Arial"/>
              </w:rPr>
            </w:pPr>
            <w:r w:rsidRPr="00D61F73">
              <w:rPr>
                <w:rFonts w:ascii="Arial" w:hAnsi="Arial" w:cs="Arial"/>
              </w:rPr>
              <w:t xml:space="preserve">Not recommended. See </w:t>
            </w:r>
            <w:hyperlink w:anchor="NSAIDs" w:history="1">
              <w:r w:rsidRPr="00534CB3">
                <w:rPr>
                  <w:rStyle w:val="Hyperlink"/>
                  <w:rFonts w:ascii="Arial" w:hAnsi="Arial" w:cs="Arial"/>
                </w:rPr>
                <w:t>NSAIDs</w:t>
              </w:r>
            </w:hyperlink>
            <w:r w:rsidRPr="00D61F73">
              <w:rPr>
                <w:rFonts w:ascii="Arial" w:hAnsi="Arial" w:cs="Arial"/>
              </w:rPr>
              <w:t xml:space="preserve"> (non-steroidal anti-inflammatory drugs); </w:t>
            </w:r>
            <w:hyperlink w:anchor="NSAIDsGIandCV" w:history="1">
              <w:r w:rsidRPr="00D61F73">
                <w:rPr>
                  <w:rStyle w:val="Hyperlink"/>
                  <w:rFonts w:ascii="Arial" w:hAnsi="Arial" w:cs="Arial"/>
                </w:rPr>
                <w:t>NSAIDs, GI symptoms &amp; cardiovascular risk</w:t>
              </w:r>
            </w:hyperlink>
            <w:r w:rsidRPr="00D61F73">
              <w:rPr>
                <w:rFonts w:ascii="Arial" w:hAnsi="Arial" w:cs="Arial"/>
              </w:rPr>
              <w:t xml:space="preserve">; </w:t>
            </w:r>
            <w:hyperlink w:anchor="NSAIDsHTNandRenal" w:history="1">
              <w:r w:rsidRPr="00D61F73">
                <w:rPr>
                  <w:rStyle w:val="Hyperlink"/>
                  <w:rFonts w:ascii="Arial" w:hAnsi="Arial" w:cs="Arial"/>
                </w:rPr>
                <w:t>NSAIDs, hypertension and renal function</w:t>
              </w:r>
            </w:hyperlink>
            <w:r w:rsidRPr="00D61F73">
              <w:rPr>
                <w:rFonts w:ascii="Arial" w:hAnsi="Arial" w:cs="Arial"/>
              </w:rPr>
              <w:t xml:space="preserve">; &amp; </w:t>
            </w:r>
            <w:hyperlink w:anchor="NSAIDsdruglistandadverseeffects" w:history="1">
              <w:r w:rsidRPr="00D61F73">
                <w:rPr>
                  <w:rStyle w:val="Hyperlink"/>
                  <w:rFonts w:ascii="Arial" w:hAnsi="Arial" w:cs="Arial"/>
                </w:rPr>
                <w:t>NSAIDs, specific drug list &amp; adverse effects</w:t>
              </w:r>
            </w:hyperlink>
            <w:r w:rsidRPr="00D61F73">
              <w:rPr>
                <w:rFonts w:ascii="Arial" w:hAnsi="Arial" w:cs="Arial"/>
              </w:rPr>
              <w:t xml:space="preserve"> for general guidelines, as well as specific </w:t>
            </w:r>
            <w:hyperlink w:anchor="NSAIDPiroxicam" w:history="1">
              <w:r w:rsidRPr="00D61F73">
                <w:rPr>
                  <w:rStyle w:val="Hyperlink"/>
                  <w:rFonts w:ascii="Arial" w:hAnsi="Arial" w:cs="Arial"/>
                </w:rPr>
                <w:t>Piroxicam</w:t>
              </w:r>
            </w:hyperlink>
            <w:r w:rsidRPr="00D61F73">
              <w:rPr>
                <w:rFonts w:ascii="Arial" w:hAnsi="Arial" w:cs="Arial"/>
              </w:rPr>
              <w:t xml:space="preserve"> (Feldene®) listing for more information and references, where it is indicated that pain is not listed as an FDA approved indication. In addition, according to the AHRQ Comparative Effectiveness Report on NSAIDS, piroxicam has the highest risk of upper GI bleeding (RR of 6.3 versus 1.9 for ibuprofen), the highest risk of myocardial infarction (RR of 1.25 versus 1.06 for ibuprofen), and it was also associated with Stevens-Johnson syndrome and toxic epidermal necrolysis. (</w:t>
            </w:r>
            <w:hyperlink w:anchor="Chou" w:history="1">
              <w:r w:rsidRPr="00D61F73">
                <w:rPr>
                  <w:rStyle w:val="Hyperlink"/>
                  <w:rFonts w:ascii="Arial" w:hAnsi="Arial" w:cs="Arial"/>
                </w:rPr>
                <w:t>Chou, 2006</w:t>
              </w:r>
            </w:hyperlink>
            <w:r w:rsidRPr="00D61F73">
              <w:rPr>
                <w:rFonts w:ascii="Arial" w:hAnsi="Arial" w:cs="Arial"/>
              </w:rPr>
              <w:t>) And this high-quality systematic review also pointed out the high frequency of adverse events associated with piroxicam, including GI bleeding, renal failure, hypertension, and heart failure. In this study piroxicam was second only to ketorolac in its ability to induce gastrointestinal bleeding. Long-term use of full dosage piroxicam is potentially harmful in older adults due to its long half-life and long duration. (</w:t>
            </w:r>
            <w:hyperlink w:anchor="Massó2010" w:history="1">
              <w:r w:rsidRPr="00D61F73">
                <w:rPr>
                  <w:rStyle w:val="Hyperlink"/>
                  <w:rFonts w:ascii="Arial" w:hAnsi="Arial" w:cs="Arial"/>
                </w:rPr>
                <w:t>Massó, 2010</w:t>
              </w:r>
            </w:hyperlink>
            <w:r w:rsidRPr="00D61F73">
              <w:rPr>
                <w:rFonts w:ascii="Arial" w:hAnsi="Arial" w:cs="Arial"/>
              </w:rPr>
              <w:t>) So piroxicam is not recommended as a first-line NSAID.</w:t>
            </w:r>
          </w:p>
        </w:tc>
      </w:tr>
      <w:tr w:rsidR="0038137E" w:rsidRPr="00D61F73" w14:paraId="01172FC4" w14:textId="77777777" w:rsidTr="0038137E">
        <w:tc>
          <w:tcPr>
            <w:tcW w:w="1088" w:type="pct"/>
            <w:shd w:val="clear" w:color="auto" w:fill="auto"/>
          </w:tcPr>
          <w:p w14:paraId="14270767" w14:textId="55A9D0E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Polysomnography</w:t>
            </w:r>
          </w:p>
        </w:tc>
        <w:tc>
          <w:tcPr>
            <w:tcW w:w="3912" w:type="pct"/>
            <w:shd w:val="clear" w:color="auto" w:fill="auto"/>
          </w:tcPr>
          <w:p w14:paraId="0CF0C851" w14:textId="77777777" w:rsidR="0038137E" w:rsidRPr="00D61F73" w:rsidRDefault="0038137E" w:rsidP="00D61F73">
            <w:pPr>
              <w:rPr>
                <w:rFonts w:ascii="Arial" w:hAnsi="Arial" w:cs="Arial"/>
              </w:rPr>
            </w:pPr>
            <w:r w:rsidRPr="00D61F73">
              <w:rPr>
                <w:rFonts w:ascii="Arial" w:hAnsi="Arial" w:cs="Arial"/>
              </w:rPr>
              <w:t>Recommended after at least six months of an insomnia complaint (at least four nights a week), unresponsive to behavior intervention and sedative/sleep-promoting medications, and after psychiatric etiology has been excluded. Not recommended for the routine evaluation of transient insomnia, chronic insomnia, or insomnia associated with psychiatric disorders. Home portable monitor testing may be an option. A polysomnogram measures bodily functions during sleep, including brain waves, heart rate, nasal and oral breathing, sleep position, and levels of oxygen saturation. It is administered by a sleep specialist, a physician who is Board eligible or certified by the American Board of Sleep Medicine, or a pulmonologist or neurologist whose practice comprises at least 25% of sleep medicine. (</w:t>
            </w:r>
            <w:hyperlink w:anchor="SchneiderHelmert" w:history="1">
              <w:r w:rsidRPr="00D61F73">
                <w:rPr>
                  <w:rStyle w:val="Hyperlink"/>
                  <w:rFonts w:ascii="Arial" w:hAnsi="Arial" w:cs="Arial"/>
                </w:rPr>
                <w:t>Schneider-Helmert, 2003</w:t>
              </w:r>
            </w:hyperlink>
            <w:r w:rsidRPr="00D61F73">
              <w:rPr>
                <w:rFonts w:ascii="Arial" w:hAnsi="Arial" w:cs="Arial"/>
              </w:rPr>
              <w:t>) According to page 3-17 of the AMA Guides (5th ed), sleep disorder claims must be supported by formal studies in a sleep laboratory. (</w:t>
            </w:r>
            <w:hyperlink r:id="rId139" w:anchor="Andersson2" w:history="1">
              <w:r w:rsidRPr="00D61F73">
                <w:rPr>
                  <w:rStyle w:val="Hyperlink"/>
                  <w:rFonts w:ascii="Arial" w:hAnsi="Arial" w:cs="Arial"/>
                </w:rPr>
                <w:t>Andersson, 2000</w:t>
              </w:r>
            </w:hyperlink>
            <w:r w:rsidRPr="00D61F73">
              <w:rPr>
                <w:rFonts w:ascii="Arial" w:hAnsi="Arial" w:cs="Arial"/>
              </w:rPr>
              <w:t xml:space="preserve">) However, home portable monitor testing is increasingly being used to diagnose patients with </w:t>
            </w:r>
            <w:r w:rsidRPr="00D61F73">
              <w:rPr>
                <w:rFonts w:ascii="Arial" w:hAnsi="Arial" w:cs="Arial"/>
              </w:rPr>
              <w:lastRenderedPageBreak/>
              <w:t>obstructive sleep apnea (OSA) and to initiate them on continuous positive airway pressure (CPAP) treatment, and the latest evidence indicates that functional outcome and treatment adherence in patients evaluated according to a home testing algorithm is not clinically inferior to that in patients receiving standard in-laboratory polysomnography. (</w:t>
            </w:r>
            <w:hyperlink w:anchor="Kuna2011" w:history="1">
              <w:r w:rsidRPr="00D61F73">
                <w:rPr>
                  <w:rStyle w:val="Hyperlink"/>
                  <w:rFonts w:ascii="Arial" w:hAnsi="Arial" w:cs="Arial"/>
                </w:rPr>
                <w:t>Kuna, 2011</w:t>
              </w:r>
            </w:hyperlink>
            <w:r w:rsidRPr="00D61F73">
              <w:rPr>
                <w:rFonts w:ascii="Arial" w:hAnsi="Arial" w:cs="Arial"/>
              </w:rPr>
              <w:t>) Insomnia is primarily diagnosed clinically with a detailed medical, psychiatric, and sleep history. Polysomnography is indicated when a sleep-related breathing disorder or periodic limb movement disorder is suspected, initial diagnosis is uncertain, treatment fails, or precipitous arousals occur with violent or injurious behavior. However, polysomnography is not indicated for the routine evaluation of transient insomnia, chronic insomnia, or insomnia associated with psychiatric disorders. (</w:t>
            </w:r>
            <w:hyperlink w:anchor="Littner2003" w:history="1">
              <w:r w:rsidRPr="00D61F73">
                <w:rPr>
                  <w:rStyle w:val="Hyperlink"/>
                  <w:rFonts w:ascii="Arial" w:hAnsi="Arial" w:cs="Arial"/>
                </w:rPr>
                <w:t>Littner, 2003</w:t>
              </w:r>
            </w:hyperlink>
            <w:r w:rsidRPr="00D61F73">
              <w:rPr>
                <w:rFonts w:ascii="Arial" w:hAnsi="Arial" w:cs="Arial"/>
              </w:rPr>
              <w:t>)</w:t>
            </w:r>
          </w:p>
          <w:p w14:paraId="0C417CCF" w14:textId="77777777" w:rsidR="0038137E" w:rsidRPr="00D61F73" w:rsidRDefault="0038137E" w:rsidP="00D61F73">
            <w:pPr>
              <w:rPr>
                <w:rFonts w:ascii="Arial" w:hAnsi="Arial" w:cs="Arial"/>
                <w:b/>
                <w:bCs/>
              </w:rPr>
            </w:pPr>
            <w:r w:rsidRPr="00D61F73">
              <w:rPr>
                <w:rFonts w:ascii="Arial" w:hAnsi="Arial" w:cs="Arial"/>
                <w:b/>
                <w:bCs/>
              </w:rPr>
              <w:t>Criteria for Polysomnography:</w:t>
            </w:r>
          </w:p>
          <w:p w14:paraId="3853C772" w14:textId="475DB936" w:rsidR="0038137E" w:rsidRPr="00D61F73" w:rsidRDefault="0038137E" w:rsidP="00D61F73">
            <w:pPr>
              <w:rPr>
                <w:rFonts w:ascii="Arial" w:hAnsi="Arial" w:cs="Arial"/>
              </w:rPr>
            </w:pPr>
            <w:r w:rsidRPr="00D61F73">
              <w:rPr>
                <w:rFonts w:ascii="Arial" w:hAnsi="Arial" w:cs="Arial"/>
              </w:rPr>
              <w:t>Polysomnograms / sleep studies are recommended for the combination of indications listed below: (1) Excessive daytime somnolence; (2) Cataplexy (muscular weakness usually brought on by excitement or emotion, virtually unique to narcolepsy); (3) Morning headache (other causes have been ruled out); (4) Intellectual deterioration (sudden, without suspicion of organic dementia); (5) Personality change (not secondary to medication, cerebral mass or known psychiatric problems); (6) Sleep-related breathing disorder or periodic limb movement disorder is suspected; &amp; (7) Insomnia complaint for at least six months (at least four nights of the week), unresponsive to behavior intervention and sedative/sleep-promoting medications and psychiatric etiology has been excluded. A sleep study for the sole complaint of snoring, without one of the above mentioned symptoms, is not recommended.</w:t>
            </w:r>
          </w:p>
        </w:tc>
      </w:tr>
      <w:tr w:rsidR="0038137E" w:rsidRPr="00D61F73" w14:paraId="34882555" w14:textId="77777777" w:rsidTr="0038137E">
        <w:tc>
          <w:tcPr>
            <w:tcW w:w="1088" w:type="pct"/>
            <w:shd w:val="clear" w:color="auto" w:fill="auto"/>
          </w:tcPr>
          <w:p w14:paraId="71903363" w14:textId="77B4A18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Power mobility devices (PMDs)</w:t>
            </w:r>
          </w:p>
        </w:tc>
        <w:tc>
          <w:tcPr>
            <w:tcW w:w="3912" w:type="pct"/>
            <w:shd w:val="clear" w:color="auto" w:fill="auto"/>
          </w:tcPr>
          <w:p w14:paraId="3F22C90F" w14:textId="4EA5686F" w:rsidR="0038137E" w:rsidRPr="00D61F73" w:rsidRDefault="0038137E" w:rsidP="00D61F73">
            <w:pPr>
              <w:rPr>
                <w:rFonts w:ascii="Arial" w:hAnsi="Arial" w:cs="Arial"/>
              </w:rPr>
            </w:pPr>
            <w:r w:rsidRPr="00D61F73">
              <w:rPr>
                <w:rFonts w:ascii="Arial" w:hAnsi="Arial" w:cs="Arial"/>
              </w:rPr>
              <w:t xml:space="preserve">Not recommended if the functional mobility deficit can be sufficiently resolved by the prescription of a cane or walker, or the patient has sufficient upper extremity function to propel a manual wheelchair, or there is a caregiver who is available, willing, and able to provide assistance with a manual wheelchair. Early exercise, mobilization and independence should be encouraged at all steps of the injury recovery process, and if there is any mobility with canes or other assistive devices, a motorized scooter is not essential to care. </w:t>
            </w:r>
          </w:p>
        </w:tc>
      </w:tr>
      <w:tr w:rsidR="0038137E" w:rsidRPr="00D61F73" w14:paraId="5983161B" w14:textId="77777777" w:rsidTr="0038137E">
        <w:tc>
          <w:tcPr>
            <w:tcW w:w="1088" w:type="pct"/>
            <w:shd w:val="clear" w:color="auto" w:fill="auto"/>
          </w:tcPr>
          <w:p w14:paraId="660D0265" w14:textId="6E9F7F8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Pregabalin (Lyrica®) </w:t>
            </w:r>
          </w:p>
        </w:tc>
        <w:tc>
          <w:tcPr>
            <w:tcW w:w="3912" w:type="pct"/>
            <w:shd w:val="clear" w:color="auto" w:fill="auto"/>
          </w:tcPr>
          <w:p w14:paraId="1C21D8B3" w14:textId="4C02C37B" w:rsidR="0038137E" w:rsidRPr="00D61F73" w:rsidRDefault="0038137E" w:rsidP="00D61F73">
            <w:pPr>
              <w:rPr>
                <w:rFonts w:ascii="Arial" w:hAnsi="Arial" w:cs="Arial"/>
              </w:rPr>
            </w:pPr>
            <w:r w:rsidRPr="00D61F73">
              <w:rPr>
                <w:rFonts w:ascii="Arial" w:hAnsi="Arial" w:cs="Arial"/>
              </w:rPr>
              <w:t xml:space="preserve">Recommended in neuropathic pain conditions and fibromyalgia, but not for acute pain. Pregabalin (Lyrica®) an anticonvulsant has been documented to be effective in treatment of diabetic neuropathy and postherpetic neuralgia, has FDA approval for both indications, and is considered first-line treatment for both. Pregabalin was also approved to treat fibromyalgia. 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PregabalinListing" w:history="1">
              <w:r w:rsidRPr="00D61F73">
                <w:rPr>
                  <w:rStyle w:val="Hyperlink"/>
                  <w:rFonts w:ascii="Arial" w:hAnsi="Arial" w:cs="Arial"/>
                </w:rPr>
                <w:t>Pregabalin</w:t>
              </w:r>
            </w:hyperlink>
            <w:r w:rsidRPr="00D61F73">
              <w:rPr>
                <w:rFonts w:ascii="Arial" w:hAnsi="Arial" w:cs="Arial"/>
              </w:rPr>
              <w:t xml:space="preserve"> listing for more information and references. This Cochrane review concluded that pregabalin has proven efficacy in neuropathic pain conditions and fibromyalgia. A minority of patients will have substantial benefit with pregabalin, and more will have moderate benefit. Many will have no or trivial benefit, or will discontinue because of adverse events. Individualization of treatment is needed to maximize pain relief and minimize adverse events. There is no evidence to support the use of pregabalin in acute pain scenarios. (</w:t>
            </w:r>
            <w:hyperlink w:anchor="Moore2" w:history="1">
              <w:r w:rsidRPr="00D61F73">
                <w:rPr>
                  <w:rStyle w:val="Hyperlink"/>
                  <w:rFonts w:ascii="Arial" w:hAnsi="Arial" w:cs="Arial"/>
                </w:rPr>
                <w:t>Moore-</w:t>
              </w:r>
              <w:r w:rsidRPr="00D61F73">
                <w:rPr>
                  <w:rStyle w:val="Hyperlink"/>
                  <w:rFonts w:ascii="Arial" w:hAnsi="Arial" w:cs="Arial"/>
                  <w:i/>
                  <w:iCs/>
                </w:rPr>
                <w:t>Cochrane</w:t>
              </w:r>
              <w:r w:rsidRPr="00D61F73">
                <w:rPr>
                  <w:rStyle w:val="Hyperlink"/>
                  <w:rFonts w:ascii="Arial" w:hAnsi="Arial" w:cs="Arial"/>
                </w:rPr>
                <w:t>, 2009</w:t>
              </w:r>
            </w:hyperlink>
            <w:r w:rsidRPr="00D61F73">
              <w:rPr>
                <w:rFonts w:ascii="Arial" w:hAnsi="Arial" w:cs="Arial"/>
              </w:rPr>
              <w:t xml:space="preserve">)  In treating </w:t>
            </w:r>
            <w:r w:rsidRPr="00D61F73">
              <w:rPr>
                <w:rFonts w:ascii="Arial" w:hAnsi="Arial" w:cs="Arial"/>
              </w:rPr>
              <w:lastRenderedPageBreak/>
              <w:t>diabetic neuropathy and postherpetic neuralgia compared with placebo, pregabalin is associated with a modest increase in the number of patients experiencing meaningful pain reduction. In treating fibromyalgia, compared with placebo, pregabalin alone is associated with a small increase in the number of patients experiencing meaningful pain reduction. (</w:t>
            </w:r>
            <w:hyperlink w:anchor="Moore2014" w:history="1">
              <w:r w:rsidRPr="00D61F73">
                <w:rPr>
                  <w:rStyle w:val="Hyperlink"/>
                  <w:rFonts w:ascii="Arial" w:hAnsi="Arial" w:cs="Arial"/>
                </w:rPr>
                <w:t>Moore, 2014</w:t>
              </w:r>
            </w:hyperlink>
            <w:r w:rsidRPr="00D61F73">
              <w:rPr>
                <w:rFonts w:ascii="Arial" w:hAnsi="Arial" w:cs="Arial"/>
              </w:rPr>
              <w:t>)</w:t>
            </w:r>
          </w:p>
        </w:tc>
      </w:tr>
      <w:tr w:rsidR="0038137E" w:rsidRPr="00D61F73" w14:paraId="4BCAABFE" w14:textId="77777777" w:rsidTr="0038137E">
        <w:tc>
          <w:tcPr>
            <w:tcW w:w="1088" w:type="pct"/>
            <w:shd w:val="clear" w:color="auto" w:fill="auto"/>
          </w:tcPr>
          <w:p w14:paraId="14F3E3CD" w14:textId="65892E3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Prevacid® (lansoprazole)</w:t>
            </w:r>
          </w:p>
        </w:tc>
        <w:tc>
          <w:tcPr>
            <w:tcW w:w="3912" w:type="pct"/>
            <w:shd w:val="clear" w:color="auto" w:fill="auto"/>
          </w:tcPr>
          <w:p w14:paraId="6B76E8B7" w14:textId="4E41F582" w:rsidR="0038137E" w:rsidRPr="00D61F73" w:rsidRDefault="0038137E" w:rsidP="00D61F73">
            <w:pPr>
              <w:rPr>
                <w:rFonts w:ascii="Arial" w:hAnsi="Arial" w:cs="Arial"/>
              </w:rPr>
            </w:pPr>
            <w:r w:rsidRPr="00D61F73">
              <w:rPr>
                <w:rFonts w:ascii="Arial" w:hAnsi="Arial" w:cs="Arial"/>
              </w:rPr>
              <w:t xml:space="preserve">See </w:t>
            </w:r>
            <w:hyperlink w:anchor="Protonpumpinhibitors" w:history="1">
              <w:r w:rsidRPr="00D61F73">
                <w:rPr>
                  <w:rStyle w:val="Hyperlink"/>
                  <w:rFonts w:ascii="Arial" w:hAnsi="Arial" w:cs="Arial"/>
                </w:rPr>
                <w:t>Proton pump inhibitors</w:t>
              </w:r>
            </w:hyperlink>
            <w:r w:rsidRPr="00D61F73">
              <w:rPr>
                <w:rFonts w:ascii="Arial" w:hAnsi="Arial" w:cs="Arial"/>
              </w:rPr>
              <w:t xml:space="preserve"> (PPIs).</w:t>
            </w:r>
          </w:p>
        </w:tc>
      </w:tr>
      <w:tr w:rsidR="0038137E" w:rsidRPr="00D61F73" w14:paraId="3E3A8D63" w14:textId="77777777" w:rsidTr="0038137E">
        <w:tc>
          <w:tcPr>
            <w:tcW w:w="1088" w:type="pct"/>
            <w:shd w:val="clear" w:color="auto" w:fill="auto"/>
          </w:tcPr>
          <w:p w14:paraId="3934FE53" w14:textId="5A3A3E14" w:rsidR="0038137E" w:rsidRPr="00D61F73" w:rsidRDefault="0038137E" w:rsidP="00D61F73">
            <w:pPr>
              <w:pStyle w:val="Footer"/>
              <w:tabs>
                <w:tab w:val="clear" w:pos="4320"/>
                <w:tab w:val="clear" w:pos="8640"/>
              </w:tabs>
              <w:rPr>
                <w:rFonts w:ascii="Arial" w:hAnsi="Arial" w:cs="Arial"/>
              </w:rPr>
            </w:pPr>
            <w:r w:rsidRPr="00D61F73">
              <w:rPr>
                <w:rFonts w:ascii="Arial" w:hAnsi="Arial" w:cs="Arial"/>
                <w:u w:val="single"/>
              </w:rPr>
              <w:t>Prialt®</w:t>
            </w:r>
          </w:p>
        </w:tc>
        <w:tc>
          <w:tcPr>
            <w:tcW w:w="3912" w:type="pct"/>
            <w:shd w:val="clear" w:color="auto" w:fill="auto"/>
          </w:tcPr>
          <w:p w14:paraId="410D81D5" w14:textId="31951629" w:rsidR="0038137E" w:rsidRPr="00D61F73" w:rsidRDefault="0038137E" w:rsidP="00D61F73">
            <w:pPr>
              <w:rPr>
                <w:rFonts w:ascii="Arial" w:hAnsi="Arial" w:cs="Arial"/>
              </w:rPr>
            </w:pPr>
            <w:r w:rsidRPr="00D61F73">
              <w:rPr>
                <w:rFonts w:ascii="Arial" w:hAnsi="Arial" w:cs="Arial"/>
              </w:rPr>
              <w:t xml:space="preserve">See </w:t>
            </w:r>
            <w:hyperlink w:anchor="Ziconotide" w:history="1">
              <w:r w:rsidRPr="00D61F73">
                <w:rPr>
                  <w:rStyle w:val="Hyperlink"/>
                  <w:rFonts w:ascii="Arial" w:hAnsi="Arial" w:cs="Arial"/>
                </w:rPr>
                <w:t>Ziconotide</w:t>
              </w:r>
            </w:hyperlink>
            <w:r w:rsidRPr="00D61F73">
              <w:rPr>
                <w:rFonts w:ascii="Arial" w:hAnsi="Arial" w:cs="Arial"/>
              </w:rPr>
              <w:t xml:space="preserve"> (Prialt®).</w:t>
            </w:r>
          </w:p>
        </w:tc>
      </w:tr>
      <w:tr w:rsidR="0038137E" w:rsidRPr="00D61F73" w14:paraId="1B570E54" w14:textId="77777777" w:rsidTr="0038137E">
        <w:tc>
          <w:tcPr>
            <w:tcW w:w="1088" w:type="pct"/>
            <w:shd w:val="clear" w:color="auto" w:fill="auto"/>
          </w:tcPr>
          <w:p w14:paraId="674EF3F7" w14:textId="64FF0FAB"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t>Prilosec® (omeprazole)</w:t>
            </w:r>
          </w:p>
        </w:tc>
        <w:tc>
          <w:tcPr>
            <w:tcW w:w="3912" w:type="pct"/>
            <w:shd w:val="clear" w:color="auto" w:fill="auto"/>
          </w:tcPr>
          <w:p w14:paraId="5AF2453D" w14:textId="27D0FADB" w:rsidR="0038137E" w:rsidRPr="00D61F73" w:rsidRDefault="0038137E" w:rsidP="00D61F73">
            <w:pPr>
              <w:rPr>
                <w:rFonts w:ascii="Arial" w:hAnsi="Arial" w:cs="Arial"/>
              </w:rPr>
            </w:pPr>
            <w:r w:rsidRPr="00D61F73">
              <w:rPr>
                <w:rFonts w:ascii="Arial" w:hAnsi="Arial" w:cs="Arial"/>
              </w:rPr>
              <w:t xml:space="preserve">See </w:t>
            </w:r>
            <w:hyperlink w:anchor="Protonpumpinhibitors" w:history="1">
              <w:r w:rsidRPr="00D61F73">
                <w:rPr>
                  <w:rStyle w:val="Hyperlink"/>
                  <w:rFonts w:ascii="Arial" w:hAnsi="Arial" w:cs="Arial"/>
                </w:rPr>
                <w:t>Proton pump inhibitors</w:t>
              </w:r>
            </w:hyperlink>
            <w:r w:rsidRPr="00D61F73">
              <w:rPr>
                <w:rFonts w:ascii="Arial" w:hAnsi="Arial" w:cs="Arial"/>
              </w:rPr>
              <w:t xml:space="preserve"> (PPIs).</w:t>
            </w:r>
          </w:p>
        </w:tc>
      </w:tr>
      <w:tr w:rsidR="0038137E" w:rsidRPr="00D61F73" w14:paraId="21E9B4C7" w14:textId="77777777" w:rsidTr="0038137E">
        <w:tc>
          <w:tcPr>
            <w:tcW w:w="1088" w:type="pct"/>
            <w:shd w:val="clear" w:color="auto" w:fill="auto"/>
          </w:tcPr>
          <w:p w14:paraId="75CD65D5" w14:textId="7999E97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8" w:name="Progressivegoalattain"/>
            <w:bookmarkEnd w:id="358"/>
            <w:r w:rsidRPr="00D61F73">
              <w:rPr>
                <w:rFonts w:ascii="Arial" w:hAnsi="Arial" w:cs="Arial"/>
              </w:rPr>
              <w:t>rogressive goal attainment program (PGAP™)</w:t>
            </w:r>
          </w:p>
        </w:tc>
        <w:tc>
          <w:tcPr>
            <w:tcW w:w="3912" w:type="pct"/>
            <w:shd w:val="clear" w:color="auto" w:fill="auto"/>
          </w:tcPr>
          <w:p w14:paraId="51659EA0" w14:textId="77777777" w:rsidR="0038137E" w:rsidRPr="00D61F73" w:rsidRDefault="0038137E" w:rsidP="00D61F73">
            <w:pPr>
              <w:rPr>
                <w:rFonts w:ascii="Arial" w:hAnsi="Arial" w:cs="Arial"/>
              </w:rPr>
            </w:pPr>
            <w:r w:rsidRPr="00D61F73">
              <w:rPr>
                <w:rFonts w:ascii="Arial" w:hAnsi="Arial" w:cs="Arial"/>
              </w:rPr>
              <w:t>Recommended as an option where there is access to trained providers. PGAP is a standardized community-based intervention delivered by OTs, PTs, kinesiologists, nurses, rehabilitation counselors and psychologists, who have been trained by the PGAP program. The primary goal of PGAP is to reduce psychosocial barriers to return-to-work. PGAP has produced positive results for individuals suffering from musculoskeletal conditions, depression, cancer, and other debilitating health conditions. This study showed that participation in PGAP increased the probability of return to work following whiplash injury by more than 50%. (</w:t>
            </w:r>
            <w:hyperlink w:anchor="Sullivan2006a" w:history="1">
              <w:r w:rsidRPr="00D61F73">
                <w:rPr>
                  <w:rStyle w:val="Hyperlink"/>
                  <w:rFonts w:ascii="Arial" w:hAnsi="Arial" w:cs="Arial"/>
                </w:rPr>
                <w:t>Sullivan, 2006</w:t>
              </w:r>
            </w:hyperlink>
            <w:r w:rsidRPr="00D61F73">
              <w:rPr>
                <w:rFonts w:ascii="Arial" w:hAnsi="Arial" w:cs="Arial"/>
              </w:rPr>
              <w:t>)  Findings suggest that PGAP can be a cost-effective means of improving function and facilitating return to work in individuals at risk for prolonged disability. (</w:t>
            </w:r>
            <w:hyperlink w:anchor="Sullivan2010" w:history="1">
              <w:r w:rsidRPr="00D61F73">
                <w:rPr>
                  <w:rStyle w:val="Hyperlink"/>
                  <w:rFonts w:ascii="Arial" w:hAnsi="Arial" w:cs="Arial"/>
                </w:rPr>
                <w:t>Sullivan, 2010</w:t>
              </w:r>
            </w:hyperlink>
            <w:r w:rsidRPr="00D61F73">
              <w:rPr>
                <w:rFonts w:ascii="Arial" w:hAnsi="Arial" w:cs="Arial"/>
              </w:rPr>
              <w:t>) (</w:t>
            </w:r>
            <w:hyperlink w:anchor="Adams2007" w:history="1">
              <w:r w:rsidRPr="00D61F73">
                <w:rPr>
                  <w:rStyle w:val="Hyperlink"/>
                  <w:rFonts w:ascii="Arial" w:hAnsi="Arial" w:cs="Arial"/>
                </w:rPr>
                <w:t>Adams, 2007</w:t>
              </w:r>
            </w:hyperlink>
            <w:r w:rsidRPr="00D61F73">
              <w:rPr>
                <w:rFonts w:ascii="Arial" w:hAnsi="Arial" w:cs="Arial"/>
              </w:rPr>
              <w:t>)</w:t>
            </w:r>
          </w:p>
          <w:p w14:paraId="428346B4" w14:textId="77777777" w:rsidR="0038137E" w:rsidRPr="00D61F73" w:rsidRDefault="0038137E" w:rsidP="00D61F73">
            <w:pPr>
              <w:rPr>
                <w:rFonts w:ascii="Arial" w:hAnsi="Arial" w:cs="Arial"/>
                <w:b/>
                <w:bCs/>
              </w:rPr>
            </w:pPr>
            <w:r w:rsidRPr="00D61F73">
              <w:rPr>
                <w:rFonts w:ascii="Arial" w:hAnsi="Arial" w:cs="Arial"/>
                <w:b/>
                <w:bCs/>
              </w:rPr>
              <w:t>Criteria for the Progressive goal attainment program (PGAP™):</w:t>
            </w:r>
          </w:p>
          <w:p w14:paraId="413C346B" w14:textId="77777777" w:rsidR="0038137E" w:rsidRPr="00D61F73" w:rsidRDefault="0038137E" w:rsidP="00D61F73">
            <w:pPr>
              <w:rPr>
                <w:rFonts w:ascii="Arial" w:hAnsi="Arial" w:cs="Arial"/>
              </w:rPr>
            </w:pPr>
            <w:r w:rsidRPr="00D61F73">
              <w:rPr>
                <w:rFonts w:ascii="Arial" w:hAnsi="Arial" w:cs="Arial"/>
              </w:rPr>
              <w:t>- Lack of improvement with early active physical therapy</w:t>
            </w:r>
          </w:p>
          <w:p w14:paraId="3DB3BC38" w14:textId="77777777" w:rsidR="0038137E" w:rsidRPr="00D61F73" w:rsidRDefault="0038137E" w:rsidP="00D61F73">
            <w:pPr>
              <w:rPr>
                <w:rFonts w:ascii="Arial" w:hAnsi="Arial" w:cs="Arial"/>
              </w:rPr>
            </w:pPr>
            <w:r w:rsidRPr="00D61F73">
              <w:rPr>
                <w:rFonts w:ascii="Arial" w:hAnsi="Arial" w:cs="Arial"/>
              </w:rPr>
              <w:t>- Off work at least 5 weeks, but less than 5 months of continuous time lost</w:t>
            </w:r>
          </w:p>
          <w:p w14:paraId="334897E5" w14:textId="77777777" w:rsidR="0038137E" w:rsidRPr="00D61F73" w:rsidRDefault="0038137E" w:rsidP="00D61F73">
            <w:pPr>
              <w:rPr>
                <w:rFonts w:ascii="Arial" w:hAnsi="Arial" w:cs="Arial"/>
              </w:rPr>
            </w:pPr>
            <w:r w:rsidRPr="00D61F73">
              <w:rPr>
                <w:rFonts w:ascii="Arial" w:hAnsi="Arial" w:cs="Arial"/>
              </w:rPr>
              <w:t>- Surgery not planned or likely</w:t>
            </w:r>
          </w:p>
          <w:p w14:paraId="02F80715" w14:textId="77777777" w:rsidR="0038137E" w:rsidRPr="00D61F73" w:rsidRDefault="0038137E" w:rsidP="00D61F73">
            <w:pPr>
              <w:rPr>
                <w:rFonts w:ascii="Arial" w:hAnsi="Arial" w:cs="Arial"/>
              </w:rPr>
            </w:pPr>
            <w:r w:rsidRPr="00D61F73">
              <w:rPr>
                <w:rFonts w:ascii="Arial" w:hAnsi="Arial" w:cs="Arial"/>
              </w:rPr>
              <w:t>- No evidence of drug or alcohol problem</w:t>
            </w:r>
          </w:p>
          <w:p w14:paraId="003470C6" w14:textId="77777777" w:rsidR="0038137E" w:rsidRPr="00D61F73" w:rsidRDefault="0038137E" w:rsidP="00D61F73">
            <w:pPr>
              <w:rPr>
                <w:rFonts w:ascii="Arial" w:hAnsi="Arial" w:cs="Arial"/>
              </w:rPr>
            </w:pPr>
            <w:r w:rsidRPr="00D61F73">
              <w:rPr>
                <w:rFonts w:ascii="Arial" w:hAnsi="Arial" w:cs="Arial"/>
              </w:rPr>
              <w:t xml:space="preserve">- Not currently in work hardening </w:t>
            </w:r>
          </w:p>
          <w:p w14:paraId="63C89ADB" w14:textId="76D6FBA0" w:rsidR="0038137E" w:rsidRPr="00D61F73" w:rsidRDefault="0038137E" w:rsidP="00D61F73">
            <w:pPr>
              <w:rPr>
                <w:rFonts w:ascii="Arial" w:hAnsi="Arial" w:cs="Arial"/>
              </w:rPr>
            </w:pPr>
            <w:r w:rsidRPr="00D61F73">
              <w:rPr>
                <w:rFonts w:ascii="Arial" w:hAnsi="Arial" w:cs="Arial"/>
              </w:rPr>
              <w:t>- Maximum of 10 weeks treatment with one hour sessions on a weekly basis (</w:t>
            </w:r>
            <w:hyperlink r:id="rId140" w:history="1">
              <w:r w:rsidRPr="00D61F73">
                <w:rPr>
                  <w:rStyle w:val="Hyperlink"/>
                  <w:rFonts w:ascii="Arial" w:hAnsi="Arial" w:cs="Arial"/>
                </w:rPr>
                <w:t>L&amp;I, 2013</w:t>
              </w:r>
            </w:hyperlink>
            <w:r w:rsidRPr="00D61F73">
              <w:rPr>
                <w:rFonts w:ascii="Arial" w:hAnsi="Arial" w:cs="Arial"/>
              </w:rPr>
              <w:t>)</w:t>
            </w:r>
          </w:p>
        </w:tc>
      </w:tr>
      <w:tr w:rsidR="0038137E" w:rsidRPr="00D61F73" w14:paraId="2E4D75CB" w14:textId="77777777" w:rsidTr="0038137E">
        <w:tc>
          <w:tcPr>
            <w:tcW w:w="1088" w:type="pct"/>
            <w:shd w:val="clear" w:color="auto" w:fill="auto"/>
          </w:tcPr>
          <w:p w14:paraId="1DC8FB61" w14:textId="15CFCEE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59" w:name="Prolotherapy"/>
            <w:bookmarkEnd w:id="359"/>
            <w:r w:rsidRPr="00D61F73">
              <w:rPr>
                <w:rFonts w:ascii="Arial" w:hAnsi="Arial" w:cs="Arial"/>
              </w:rPr>
              <w:t xml:space="preserve">rolotherapy </w:t>
            </w:r>
          </w:p>
        </w:tc>
        <w:tc>
          <w:tcPr>
            <w:tcW w:w="3912" w:type="pct"/>
            <w:shd w:val="clear" w:color="auto" w:fill="auto"/>
          </w:tcPr>
          <w:p w14:paraId="1AAE5DB4" w14:textId="3C7C7C12" w:rsidR="0038137E" w:rsidRPr="00D61F73" w:rsidRDefault="0038137E" w:rsidP="00D61F73">
            <w:pPr>
              <w:rPr>
                <w:rFonts w:ascii="Arial" w:hAnsi="Arial" w:cs="Arial"/>
              </w:rPr>
            </w:pPr>
            <w:r w:rsidRPr="00D61F73">
              <w:rPr>
                <w:rFonts w:ascii="Arial" w:hAnsi="Arial" w:cs="Arial"/>
              </w:rPr>
              <w:t>Not recommended. Prolotherapy describes a procedure for strengthening lax ligaments by injecting proliferating agents/sclerosing solutions directly into torn or stretched ligaments or tendons or into a joint or adjacent structures to create scar tissue in an effort to stabilize a joint. Agents used with prolotherapy have included zinc sulfate, psyllium seed oil, combinations of dextrose, glycerine and phenol, or dextrose alone. "Proliferatives" act to promote tissue repair or growth by prompting release of growth factors, such as cytokines, or increasing the effectiveness of existing circulating growth factors.  Prolotherapy has been investigated as a treatment of various etiologies of pain, including arthritis, degenerative disc disease, fibromyalgia, tendinitis, and plantar fasciitis. In all studies the effects of prolotherapy did not significantly exceed placebo effects. (</w:t>
            </w:r>
            <w:hyperlink w:anchor="BlueCrossBlueShield991" w:history="1">
              <w:r w:rsidRPr="00D61F73">
                <w:rPr>
                  <w:rStyle w:val="Hyperlink"/>
                  <w:rFonts w:ascii="Arial" w:hAnsi="Arial" w:cs="Arial"/>
                </w:rPr>
                <w:t>Dechow, 1999</w:t>
              </w:r>
            </w:hyperlink>
            <w:r w:rsidRPr="00D61F73">
              <w:rPr>
                <w:rFonts w:ascii="Arial" w:hAnsi="Arial" w:cs="Arial"/>
              </w:rPr>
              <w:t>) (</w:t>
            </w:r>
            <w:hyperlink w:anchor="BlueCrossBlueShield991" w:history="1">
              <w:r w:rsidRPr="00D61F73">
                <w:rPr>
                  <w:rStyle w:val="Hyperlink"/>
                  <w:rFonts w:ascii="Arial" w:hAnsi="Arial" w:cs="Arial"/>
                </w:rPr>
                <w:t>Reeves, 2000</w:t>
              </w:r>
            </w:hyperlink>
            <w:r w:rsidRPr="00D61F73">
              <w:rPr>
                <w:rFonts w:ascii="Arial" w:hAnsi="Arial" w:cs="Arial"/>
              </w:rPr>
              <w:t>) (</w:t>
            </w:r>
            <w:hyperlink w:anchor="BlueCrossBlueShield991" w:history="1">
              <w:r w:rsidRPr="00D61F73">
                <w:rPr>
                  <w:rStyle w:val="Hyperlink"/>
                  <w:rFonts w:ascii="Arial" w:hAnsi="Arial" w:cs="Arial"/>
                </w:rPr>
                <w:t>Yelland, 2004</w:t>
              </w:r>
            </w:hyperlink>
            <w:r w:rsidRPr="00D61F73">
              <w:rPr>
                <w:rFonts w:ascii="Arial" w:hAnsi="Arial" w:cs="Arial"/>
              </w:rPr>
              <w:t>) (</w:t>
            </w:r>
            <w:hyperlink w:anchor="BlueCrossBlueShield991" w:history="1">
              <w:r w:rsidRPr="00D61F73">
                <w:rPr>
                  <w:rStyle w:val="Hyperlink"/>
                  <w:rFonts w:ascii="Arial" w:hAnsi="Arial" w:cs="Arial"/>
                </w:rPr>
                <w:t>BlueCross BlueShield, 2006</w:t>
              </w:r>
            </w:hyperlink>
            <w:r w:rsidRPr="00D61F73">
              <w:rPr>
                <w:rFonts w:ascii="Arial" w:hAnsi="Arial" w:cs="Arial"/>
              </w:rPr>
              <w:t>) This recent Cochrane review concluded that, when used alone, prolotherapy is not an effective treatment for chronic low-back pain, but when combined with spinal manipulation, exercise, and other co-interventions, prolotherapy may improve chronic low-back pain and disability, but this statement is confounded by co-interventions and heterogeneity of studies. (</w:t>
            </w:r>
            <w:hyperlink r:id="rId141" w:anchor="Dagenais4" w:history="1">
              <w:r w:rsidRPr="00D61F73">
                <w:rPr>
                  <w:rStyle w:val="Hyperlink"/>
                  <w:rFonts w:ascii="Arial" w:hAnsi="Arial" w:cs="Arial"/>
                </w:rPr>
                <w:t>Dagenais-</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 xml:space="preserve">) This systematic </w:t>
            </w:r>
            <w:r w:rsidRPr="00D61F73">
              <w:rPr>
                <w:rFonts w:ascii="Arial" w:hAnsi="Arial" w:cs="Arial"/>
              </w:rPr>
              <w:lastRenderedPageBreak/>
              <w:t>review concluded that despite its use for over 50 years, there is no evidence of efficacy for prolotherapy injections alone for chronic low back pain. (</w:t>
            </w:r>
            <w:hyperlink w:anchor="Dagenais3" w:history="1">
              <w:r w:rsidRPr="00D61F73">
                <w:rPr>
                  <w:rStyle w:val="Hyperlink"/>
                  <w:rFonts w:ascii="Arial" w:hAnsi="Arial" w:cs="Arial"/>
                </w:rPr>
                <w:t>Dagenais, 2008</w:t>
              </w:r>
            </w:hyperlink>
            <w:r w:rsidRPr="00D61F73">
              <w:rPr>
                <w:rFonts w:ascii="Arial" w:hAnsi="Arial" w:cs="Arial"/>
              </w:rPr>
              <w:t>) According to this review, additional larger, randomized controlled trials are needed to make specific recommendations regarding prolotherapy. (</w:t>
            </w:r>
            <w:hyperlink w:anchor="Distel2011" w:history="1">
              <w:r w:rsidRPr="00D61F73">
                <w:rPr>
                  <w:rStyle w:val="Hyperlink"/>
                  <w:rFonts w:ascii="Arial" w:hAnsi="Arial" w:cs="Arial"/>
                </w:rPr>
                <w:t>Distel, 2011</w:t>
              </w:r>
            </w:hyperlink>
            <w:r w:rsidRPr="00D61F73">
              <w:rPr>
                <w:rFonts w:ascii="Arial" w:hAnsi="Arial" w:cs="Arial"/>
              </w:rPr>
              <w:t xml:space="preserve">) </w:t>
            </w:r>
          </w:p>
        </w:tc>
      </w:tr>
      <w:tr w:rsidR="0038137E" w:rsidRPr="00D61F73" w14:paraId="4C73A8BC" w14:textId="77777777" w:rsidTr="0038137E">
        <w:tc>
          <w:tcPr>
            <w:tcW w:w="1088" w:type="pct"/>
            <w:shd w:val="clear" w:color="auto" w:fill="auto"/>
          </w:tcPr>
          <w:p w14:paraId="6CACB772" w14:textId="53E98984"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Promethazine (Phenergan®)</w:t>
            </w:r>
          </w:p>
        </w:tc>
        <w:tc>
          <w:tcPr>
            <w:tcW w:w="3912" w:type="pct"/>
            <w:shd w:val="clear" w:color="auto" w:fill="auto"/>
          </w:tcPr>
          <w:p w14:paraId="3906944A" w14:textId="263D4526" w:rsidR="0038137E" w:rsidRPr="00D61F73" w:rsidRDefault="0038137E" w:rsidP="00D61F73">
            <w:pPr>
              <w:rPr>
                <w:rFonts w:ascii="Arial" w:hAnsi="Arial" w:cs="Arial"/>
              </w:rPr>
            </w:pPr>
            <w:r w:rsidRPr="0065657C">
              <w:rPr>
                <w:rFonts w:ascii="Arial" w:hAnsi="Arial" w:cs="Arial"/>
              </w:rPr>
              <w:t xml:space="preserve">Not recommended for nausea and vomiting secondary to chronic opioid use. See </w:t>
            </w:r>
            <w:hyperlink w:anchor="Antiemetics" w:history="1">
              <w:r w:rsidRPr="0065657C">
                <w:rPr>
                  <w:rStyle w:val="Hyperlink"/>
                  <w:rFonts w:ascii="Arial" w:hAnsi="Arial" w:cs="Arial"/>
                  <w:u w:val="none"/>
                </w:rPr>
                <w:t>Antiemetics</w:t>
              </w:r>
            </w:hyperlink>
            <w:r w:rsidRPr="0065657C">
              <w:rPr>
                <w:rFonts w:ascii="Arial" w:hAnsi="Arial" w:cs="Arial"/>
              </w:rPr>
              <w:t xml:space="preserve"> (for opioid nausea).</w:t>
            </w:r>
          </w:p>
        </w:tc>
      </w:tr>
      <w:tr w:rsidR="0038137E" w:rsidRPr="00D61F73" w14:paraId="4A692AC5" w14:textId="77777777" w:rsidTr="0038137E">
        <w:tc>
          <w:tcPr>
            <w:tcW w:w="1088" w:type="pct"/>
            <w:shd w:val="clear" w:color="auto" w:fill="auto"/>
          </w:tcPr>
          <w:p w14:paraId="0C1D0393" w14:textId="5C237C1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Propoxyphene (Darvon®) </w:t>
            </w:r>
          </w:p>
        </w:tc>
        <w:tc>
          <w:tcPr>
            <w:tcW w:w="3912" w:type="pct"/>
            <w:shd w:val="clear" w:color="auto" w:fill="auto"/>
          </w:tcPr>
          <w:p w14:paraId="0753711D" w14:textId="77777777" w:rsidR="0038137E" w:rsidRDefault="0038137E" w:rsidP="00D61F73">
            <w:pPr>
              <w:rPr>
                <w:rFonts w:ascii="Arial" w:hAnsi="Arial" w:cs="Arial"/>
              </w:rPr>
            </w:pPr>
            <w:r w:rsidRPr="00D61F73">
              <w:rPr>
                <w:rFonts w:ascii="Arial" w:hAnsi="Arial" w:cs="Arial"/>
              </w:rPr>
              <w:t xml:space="preserve">Not recommended. [Off market in U.S.] </w:t>
            </w:r>
          </w:p>
          <w:p w14:paraId="7422782D" w14:textId="77777777" w:rsidR="00E02FBC" w:rsidRDefault="00E02FBC" w:rsidP="00D61F73">
            <w:pPr>
              <w:rPr>
                <w:rFonts w:ascii="Arial" w:hAnsi="Arial" w:cs="Arial"/>
              </w:rPr>
            </w:pPr>
          </w:p>
          <w:p w14:paraId="501ED89F" w14:textId="6996D0E7" w:rsidR="009E6FA2" w:rsidRPr="0065657C" w:rsidRDefault="009E6FA2" w:rsidP="00D61F73">
            <w:pPr>
              <w:rPr>
                <w:rFonts w:ascii="Arial" w:hAnsi="Arial" w:cs="Arial"/>
              </w:rPr>
            </w:pPr>
          </w:p>
        </w:tc>
      </w:tr>
      <w:tr w:rsidR="0038137E" w:rsidRPr="00D61F73" w14:paraId="248CE51F" w14:textId="77777777" w:rsidTr="0038137E">
        <w:tc>
          <w:tcPr>
            <w:tcW w:w="1088" w:type="pct"/>
            <w:shd w:val="clear" w:color="auto" w:fill="auto"/>
          </w:tcPr>
          <w:p w14:paraId="091AE59A" w14:textId="5DA06EA7"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t>P</w:t>
            </w:r>
            <w:bookmarkStart w:id="360" w:name="Protonpumpinhibitors"/>
            <w:bookmarkEnd w:id="360"/>
            <w:r w:rsidRPr="00D61F73">
              <w:rPr>
                <w:rFonts w:ascii="Arial" w:hAnsi="Arial" w:cs="Arial"/>
              </w:rPr>
              <w:t>roton pump inhibitors (PPIs)</w:t>
            </w:r>
          </w:p>
        </w:tc>
        <w:tc>
          <w:tcPr>
            <w:tcW w:w="3912" w:type="pct"/>
            <w:shd w:val="clear" w:color="auto" w:fill="auto"/>
          </w:tcPr>
          <w:p w14:paraId="67E703E2" w14:textId="795B68FE" w:rsidR="0038137E" w:rsidRPr="00D61F73" w:rsidRDefault="0038137E" w:rsidP="00D61F73">
            <w:pPr>
              <w:rPr>
                <w:rFonts w:ascii="Arial" w:hAnsi="Arial" w:cs="Arial"/>
              </w:rPr>
            </w:pPr>
            <w:r w:rsidRPr="00D61F73">
              <w:rPr>
                <w:rFonts w:ascii="Arial" w:hAnsi="Arial" w:cs="Arial"/>
              </w:rPr>
              <w:t xml:space="preserve">Recommended for patients at  risk for gastrointestinal events. See </w:t>
            </w:r>
            <w:hyperlink w:anchor="NSAIDsGIandCV" w:history="1">
              <w:r w:rsidRPr="00D61F73">
                <w:rPr>
                  <w:rStyle w:val="Hyperlink"/>
                  <w:rFonts w:ascii="Arial" w:hAnsi="Arial" w:cs="Arial"/>
                </w:rPr>
                <w:t>NSAIDs, GI symptoms &amp; cardiovascular risk</w:t>
              </w:r>
            </w:hyperlink>
            <w:r w:rsidRPr="00D61F73">
              <w:rPr>
                <w:rFonts w:ascii="Arial" w:hAnsi="Arial" w:cs="Arial"/>
              </w:rPr>
              <w:t>. Prilosec® (omeprazole), Prevacid® (lansoprazole) and Nexium® (esomeprazole magnesium) are PPIs. Omeprazole provides a statistically significantly greater acid control than lansoprazole. (</w:t>
            </w:r>
            <w:hyperlink w:anchor="Miner2010" w:history="1">
              <w:r w:rsidRPr="00D61F73">
                <w:rPr>
                  <w:rStyle w:val="Hyperlink"/>
                  <w:rFonts w:ascii="Arial" w:hAnsi="Arial" w:cs="Arial"/>
                </w:rPr>
                <w:t>Miner, 2010</w:t>
              </w:r>
            </w:hyperlink>
            <w:r w:rsidRPr="00D61F73">
              <w:rPr>
                <w:rFonts w:ascii="Arial" w:hAnsi="Arial" w:cs="Arial"/>
              </w:rPr>
              <w:t>) Healing doses of PPIs are more effective than all other therapies, although there is an increase in overall adverse effects compared to placebo. Nexium and Prilosec are very similar molecules. For many people, Prilosec is more affordable than Nexium. Nexium is not available in a generic (as is Prilosec). Also, Prilosec is available as an over-the-counter product (Prilosec OTC®), while Nexium is not. (</w:t>
            </w:r>
            <w:hyperlink w:anchor="Donnellan2010" w:history="1">
              <w:r w:rsidRPr="00D61F73">
                <w:rPr>
                  <w:rStyle w:val="Hyperlink"/>
                  <w:rFonts w:ascii="Arial" w:hAnsi="Arial" w:cs="Arial"/>
                </w:rPr>
                <w:t>Donnellan, 2010</w:t>
              </w:r>
            </w:hyperlink>
            <w:r w:rsidRPr="00D61F73">
              <w:rPr>
                <w:rFonts w:ascii="Arial" w:hAnsi="Arial" w:cs="Arial"/>
              </w:rPr>
              <w:t>) In general, the use of a PPI should be limited to the recognized indications and used at the lowest dose for the shortest possible amount of time. PPIs are highly effective for their approved indications, including preventing gastric ulcers induced by NSAIDs. Studies suggest, however, that nearly half of all PPI prescriptions are used for unapproved indications or no indications at all. Many prescribers believe that this class of drugs is innocuous, but much information is available to demonstrate otherwise. If a PPI is used, omeprazole OTC tablets or lansoprazole 24HR OTC are recommended for an equivalent clinical efficacy and significant cost savings. Products in this drug class have demonstrated equivalent clinical efficacy and safety at comparable doses, including esomeprazole (Nexium), lansoprazole (Prevacid), omeprazole (Prilosec), pantoprazole (Protonix), dexlansoprazole (Dexilant), and rabeprazole (Aciphex). (</w:t>
            </w:r>
            <w:hyperlink w:anchor="Shi2008" w:history="1">
              <w:r w:rsidRPr="00D61F73">
                <w:rPr>
                  <w:rStyle w:val="Hyperlink"/>
                  <w:rFonts w:ascii="Arial" w:hAnsi="Arial" w:cs="Arial"/>
                </w:rPr>
                <w:t>Shi, 2008</w:t>
              </w:r>
            </w:hyperlink>
            <w:r w:rsidRPr="00D61F73">
              <w:rPr>
                <w:rFonts w:ascii="Arial" w:hAnsi="Arial" w:cs="Arial"/>
              </w:rPr>
              <w:t>) A trial of omeprazole or lansoprazole had been recommended before Nexium therapy (before it went OTC). The other PPIs, Protonix, Dexilant, and Aciphex, should be second-line. According to the latest AHRQ Comparative Effectiveness Research, all of the commercially available PPIs appeared to be similarly effective. (</w:t>
            </w:r>
            <w:hyperlink r:id="rId142" w:history="1">
              <w:r w:rsidRPr="00D61F73">
                <w:rPr>
                  <w:rStyle w:val="Hyperlink"/>
                  <w:rFonts w:ascii="Arial" w:hAnsi="Arial" w:cs="Arial"/>
                </w:rPr>
                <w:t>AHRQ, 2011</w:t>
              </w:r>
            </w:hyperlink>
            <w:r w:rsidRPr="00D61F73">
              <w:rPr>
                <w:rFonts w:ascii="Arial" w:hAnsi="Arial" w:cs="Arial"/>
              </w:rPr>
              <w:t>)</w:t>
            </w:r>
          </w:p>
        </w:tc>
      </w:tr>
      <w:tr w:rsidR="0038137E" w:rsidRPr="00D61F73" w14:paraId="3B794A54" w14:textId="77777777" w:rsidTr="0038137E">
        <w:tc>
          <w:tcPr>
            <w:tcW w:w="1088" w:type="pct"/>
            <w:shd w:val="clear" w:color="auto" w:fill="auto"/>
          </w:tcPr>
          <w:p w14:paraId="4C3E9EF1" w14:textId="1D57AA8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Provigil® (modafinil)</w:t>
            </w:r>
          </w:p>
        </w:tc>
        <w:tc>
          <w:tcPr>
            <w:tcW w:w="3912" w:type="pct"/>
            <w:shd w:val="clear" w:color="auto" w:fill="auto"/>
          </w:tcPr>
          <w:p w14:paraId="196464BC" w14:textId="6F505E34" w:rsidR="0038137E" w:rsidRPr="00D61F73" w:rsidRDefault="0038137E" w:rsidP="00D61F73">
            <w:pPr>
              <w:rPr>
                <w:rFonts w:ascii="Arial" w:hAnsi="Arial" w:cs="Arial"/>
              </w:rPr>
            </w:pPr>
            <w:r w:rsidRPr="00D61F73">
              <w:rPr>
                <w:rFonts w:ascii="Arial" w:hAnsi="Arial" w:cs="Arial"/>
              </w:rPr>
              <w:t xml:space="preserve">Provigil is the brand name for modafinil, manufactured by Cephalon, and is approved by the FDA for the treatment of narcolepsy. Prescribers using Provigil for sedation effects of opiate should consider reducing the dose of opiates before adding stimulants. See </w:t>
            </w:r>
            <w:hyperlink w:anchor="Modafinil" w:history="1">
              <w:r w:rsidRPr="00D61F73">
                <w:rPr>
                  <w:rStyle w:val="Hyperlink"/>
                  <w:rFonts w:ascii="Arial" w:hAnsi="Arial" w:cs="Arial"/>
                </w:rPr>
                <w:t>Modafinil</w:t>
              </w:r>
            </w:hyperlink>
            <w:r w:rsidRPr="00D61F73">
              <w:rPr>
                <w:rFonts w:ascii="Arial" w:hAnsi="Arial" w:cs="Arial"/>
              </w:rPr>
              <w:t xml:space="preserve"> (Provigil®). </w:t>
            </w:r>
          </w:p>
        </w:tc>
      </w:tr>
      <w:tr w:rsidR="0038137E" w:rsidRPr="00D61F73" w14:paraId="28F9776A" w14:textId="77777777" w:rsidTr="0038137E">
        <w:tc>
          <w:tcPr>
            <w:tcW w:w="1088" w:type="pct"/>
            <w:shd w:val="clear" w:color="auto" w:fill="auto"/>
          </w:tcPr>
          <w:p w14:paraId="37253DAD" w14:textId="5E99CC9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P-Stim™ (pulse stimulation treatment)</w:t>
            </w:r>
          </w:p>
        </w:tc>
        <w:tc>
          <w:tcPr>
            <w:tcW w:w="3912" w:type="pct"/>
            <w:shd w:val="clear" w:color="auto" w:fill="auto"/>
          </w:tcPr>
          <w:p w14:paraId="04EA3B81" w14:textId="62ADB501" w:rsidR="0038137E" w:rsidRPr="00D61F73" w:rsidRDefault="0038137E" w:rsidP="00D61F73">
            <w:pPr>
              <w:rPr>
                <w:rFonts w:ascii="Arial" w:hAnsi="Arial" w:cs="Arial"/>
              </w:rPr>
            </w:pPr>
            <w:r w:rsidRPr="00D61F73">
              <w:rPr>
                <w:rFonts w:ascii="Arial" w:hAnsi="Arial" w:cs="Arial"/>
              </w:rPr>
              <w:t xml:space="preserve">See </w:t>
            </w:r>
            <w:hyperlink w:anchor="Auricularelectroacupuncture" w:history="1">
              <w:r w:rsidRPr="00D61F73">
                <w:rPr>
                  <w:rStyle w:val="Hyperlink"/>
                  <w:rFonts w:ascii="Arial" w:hAnsi="Arial" w:cs="Arial"/>
                </w:rPr>
                <w:t>Auricular electroacupuncture</w:t>
              </w:r>
            </w:hyperlink>
            <w:r w:rsidRPr="00D61F73">
              <w:rPr>
                <w:rFonts w:ascii="Arial" w:hAnsi="Arial" w:cs="Arial"/>
              </w:rPr>
              <w:t>.</w:t>
            </w:r>
          </w:p>
        </w:tc>
      </w:tr>
      <w:tr w:rsidR="0038137E" w:rsidRPr="00D61F73" w14:paraId="7C49D880" w14:textId="77777777" w:rsidTr="0038137E">
        <w:tc>
          <w:tcPr>
            <w:tcW w:w="1088" w:type="pct"/>
            <w:shd w:val="clear" w:color="auto" w:fill="auto"/>
          </w:tcPr>
          <w:p w14:paraId="0566F627" w14:textId="6B321C4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61" w:name="Psychologicalevaluations"/>
            <w:bookmarkEnd w:id="361"/>
            <w:r w:rsidRPr="00D61F73">
              <w:rPr>
                <w:rFonts w:ascii="Arial" w:hAnsi="Arial" w:cs="Arial"/>
              </w:rPr>
              <w:t>sychological evaluations</w:t>
            </w:r>
          </w:p>
        </w:tc>
        <w:tc>
          <w:tcPr>
            <w:tcW w:w="3912" w:type="pct"/>
            <w:shd w:val="clear" w:color="auto" w:fill="auto"/>
          </w:tcPr>
          <w:p w14:paraId="59FDE512" w14:textId="2435D282" w:rsidR="0038137E" w:rsidRPr="00D61F73" w:rsidRDefault="0038137E" w:rsidP="00D61F73">
            <w:pPr>
              <w:rPr>
                <w:rFonts w:ascii="Arial" w:hAnsi="Arial" w:cs="Arial"/>
              </w:rPr>
            </w:pPr>
            <w:r w:rsidRPr="00D61F73">
              <w:rPr>
                <w:rFonts w:ascii="Arial" w:hAnsi="Arial" w:cs="Arial"/>
              </w:rPr>
              <w:t xml:space="preserve">Recommended based upon a clinical impression of psychological condition that impacts recovery, participation in rehabilitation, or prior to specified interventions (e.g., lumbar spine fusion, spinal cord stimulator, </w:t>
            </w:r>
            <w:r w:rsidRPr="00D61F73">
              <w:rPr>
                <w:rFonts w:ascii="Arial" w:hAnsi="Arial" w:cs="Arial"/>
              </w:rPr>
              <w:lastRenderedPageBreak/>
              <w:t>implantable drug-delivery systems). (</w:t>
            </w:r>
            <w:hyperlink w:anchor="Doleys" w:history="1">
              <w:r w:rsidRPr="00D61F73">
                <w:rPr>
                  <w:rStyle w:val="Hyperlink"/>
                  <w:rFonts w:ascii="Arial" w:hAnsi="Arial" w:cs="Arial"/>
                </w:rPr>
                <w:t>Doleys, 2003</w:t>
              </w:r>
            </w:hyperlink>
            <w:r w:rsidRPr="00D61F73">
              <w:rPr>
                <w:rFonts w:ascii="Arial" w:hAnsi="Arial" w:cs="Arial"/>
              </w:rPr>
              <w:t>) Psychological evaluations are generally accepted, well-established diagnostic procedures not only with selected use in pain problems, but also with more widespread use in subacute and chronic pain populations. Diagnostic evaluations should distinguish between conditions that are preexisting, aggravated by the current injury or work related. Psychosocial evaluations should determine if further psychosocial interventions are indicated. The interpretations of the evaluation should provide clinicians with a better understanding of the patient in their social environment, thus allowing for more effective rehabilitation. (</w:t>
            </w:r>
            <w:hyperlink w:anchor="Main" w:history="1">
              <w:r w:rsidRPr="00D61F73">
                <w:rPr>
                  <w:rStyle w:val="Hyperlink"/>
                  <w:rFonts w:ascii="Arial" w:hAnsi="Arial" w:cs="Arial"/>
                </w:rPr>
                <w:t>Main-BMJ, 2002</w:t>
              </w:r>
            </w:hyperlink>
            <w:r w:rsidRPr="00D61F73">
              <w:rPr>
                <w:rFonts w:ascii="Arial" w:hAnsi="Arial" w:cs="Arial"/>
              </w:rPr>
              <w:t>) (</w:t>
            </w:r>
            <w:hyperlink w:anchor="Colorado2" w:history="1">
              <w:r w:rsidRPr="00D61F73">
                <w:rPr>
                  <w:rStyle w:val="Hyperlink"/>
                  <w:rFonts w:ascii="Arial" w:hAnsi="Arial" w:cs="Arial"/>
                </w:rPr>
                <w:t>Colorado, 2002</w:t>
              </w:r>
            </w:hyperlink>
            <w:r w:rsidRPr="00D61F73">
              <w:rPr>
                <w:rFonts w:ascii="Arial" w:hAnsi="Arial" w:cs="Arial"/>
              </w:rPr>
              <w:t>) (</w:t>
            </w:r>
            <w:hyperlink w:anchor="Gatchel2" w:history="1">
              <w:r w:rsidRPr="00D61F73">
                <w:rPr>
                  <w:rStyle w:val="Hyperlink"/>
                  <w:rFonts w:ascii="Arial" w:hAnsi="Arial" w:cs="Arial"/>
                </w:rPr>
                <w:t>Gatchel, 1995</w:t>
              </w:r>
            </w:hyperlink>
            <w:r w:rsidRPr="00D61F73">
              <w:rPr>
                <w:rFonts w:ascii="Arial" w:hAnsi="Arial" w:cs="Arial"/>
              </w:rPr>
              <w:t>) (</w:t>
            </w:r>
            <w:hyperlink w:anchor="Gatchel" w:history="1">
              <w:r w:rsidRPr="00D61F73">
                <w:rPr>
                  <w:rStyle w:val="Hyperlink"/>
                  <w:rFonts w:ascii="Arial" w:hAnsi="Arial" w:cs="Arial"/>
                </w:rPr>
                <w:t>Gatchel, 1999</w:t>
              </w:r>
            </w:hyperlink>
            <w:r w:rsidRPr="00D61F73">
              <w:rPr>
                <w:rFonts w:ascii="Arial" w:hAnsi="Arial" w:cs="Arial"/>
              </w:rPr>
              <w:t>) (</w:t>
            </w:r>
            <w:hyperlink w:anchor="Gatchel4" w:history="1">
              <w:r w:rsidRPr="00D61F73">
                <w:rPr>
                  <w:rStyle w:val="Hyperlink"/>
                  <w:rFonts w:ascii="Arial" w:hAnsi="Arial" w:cs="Arial"/>
                </w:rPr>
                <w:t>Gatchel, 2004</w:t>
              </w:r>
            </w:hyperlink>
            <w:r w:rsidRPr="00D61F73">
              <w:rPr>
                <w:rFonts w:ascii="Arial" w:hAnsi="Arial" w:cs="Arial"/>
              </w:rPr>
              <w:t>) (</w:t>
            </w:r>
            <w:hyperlink w:anchor="Gatchel3" w:history="1">
              <w:r w:rsidRPr="00D61F73">
                <w:rPr>
                  <w:rStyle w:val="Hyperlink"/>
                  <w:rFonts w:ascii="Arial" w:hAnsi="Arial" w:cs="Arial"/>
                </w:rPr>
                <w:t>Gatchel, 2005</w:t>
              </w:r>
            </w:hyperlink>
            <w:r w:rsidRPr="00D61F73">
              <w:rPr>
                <w:rFonts w:ascii="Arial" w:hAnsi="Arial" w:cs="Arial"/>
              </w:rPr>
              <w:t>) For the evaluation and prediction of patients who have a high likelihood of developing chronic pain, a study of patients who were administered a standard battery psychological assessment test found that there is a psychosocial disability variable that is associated with those injured workers who are likely to develop chronic disability problems. (</w:t>
            </w:r>
            <w:hyperlink w:anchor="Gatchel" w:history="1">
              <w:r w:rsidRPr="00D61F73">
                <w:rPr>
                  <w:rStyle w:val="Hyperlink"/>
                  <w:rFonts w:ascii="Arial" w:hAnsi="Arial" w:cs="Arial"/>
                </w:rPr>
                <w:t>Gatchel, 1999</w:t>
              </w:r>
            </w:hyperlink>
            <w:r w:rsidRPr="00D61F73">
              <w:rPr>
                <w:rFonts w:ascii="Arial" w:hAnsi="Arial" w:cs="Arial"/>
              </w:rPr>
              <w:t>) Childhood abuse and other past traumatic events were also found to be predictors of chronic pain patients. (</w:t>
            </w:r>
            <w:hyperlink w:anchor="Goldberg" w:history="1">
              <w:r w:rsidRPr="00D61F73">
                <w:rPr>
                  <w:rStyle w:val="Hyperlink"/>
                  <w:rFonts w:ascii="Arial" w:hAnsi="Arial" w:cs="Arial"/>
                </w:rPr>
                <w:t>Goldberg, 1999</w:t>
              </w:r>
            </w:hyperlink>
            <w:r w:rsidRPr="00D61F73">
              <w:rPr>
                <w:rFonts w:ascii="Arial" w:hAnsi="Arial" w:cs="Arial"/>
              </w:rPr>
              <w:t>) Another trial found that it appears to be feasible to identify patients with high levels of risk of chronic pain and to subsequently lower the risk for work disability by administering a cognitive-behavioral intervention focusing on psychological aspects of the pain problem. (</w:t>
            </w:r>
            <w:hyperlink w:anchor="Linton" w:history="1">
              <w:r w:rsidRPr="00D61F73">
                <w:rPr>
                  <w:rStyle w:val="Hyperlink"/>
                  <w:rFonts w:ascii="Arial" w:hAnsi="Arial" w:cs="Arial"/>
                </w:rPr>
                <w:t>Linton, 2002</w:t>
              </w:r>
            </w:hyperlink>
            <w:r w:rsidRPr="00D61F73">
              <w:rPr>
                <w:rFonts w:ascii="Arial" w:hAnsi="Arial" w:cs="Arial"/>
              </w:rPr>
              <w:t>) Other studies and reviews support these theories. (</w:t>
            </w:r>
            <w:hyperlink w:anchor="Perez" w:history="1">
              <w:r w:rsidRPr="00D61F73">
                <w:rPr>
                  <w:rStyle w:val="Hyperlink"/>
                  <w:rFonts w:ascii="Arial" w:hAnsi="Arial" w:cs="Arial"/>
                </w:rPr>
                <w:t>Perez, 2001</w:t>
              </w:r>
            </w:hyperlink>
            <w:r w:rsidRPr="00D61F73">
              <w:rPr>
                <w:rFonts w:ascii="Arial" w:hAnsi="Arial" w:cs="Arial"/>
              </w:rPr>
              <w:t>) (</w:t>
            </w:r>
            <w:hyperlink w:anchor="Pulliam" w:history="1">
              <w:r w:rsidRPr="00D61F73">
                <w:rPr>
                  <w:rStyle w:val="Hyperlink"/>
                  <w:rFonts w:ascii="Arial" w:hAnsi="Arial" w:cs="Arial"/>
                </w:rPr>
                <w:t>Pulliam, 2001</w:t>
              </w:r>
            </w:hyperlink>
            <w:r w:rsidRPr="00D61F73">
              <w:rPr>
                <w:rFonts w:ascii="Arial" w:hAnsi="Arial" w:cs="Arial"/>
              </w:rPr>
              <w:t>) (</w:t>
            </w:r>
            <w:hyperlink w:anchor="Severeijns" w:history="1">
              <w:r w:rsidRPr="00D61F73">
                <w:rPr>
                  <w:rStyle w:val="Hyperlink"/>
                  <w:rFonts w:ascii="Arial" w:hAnsi="Arial" w:cs="Arial"/>
                </w:rPr>
                <w:t>Severeijns, 2001</w:t>
              </w:r>
            </w:hyperlink>
            <w:r w:rsidRPr="00D61F73">
              <w:rPr>
                <w:rFonts w:ascii="Arial" w:hAnsi="Arial" w:cs="Arial"/>
              </w:rPr>
              <w:t>) (</w:t>
            </w:r>
            <w:hyperlink w:anchor="Sommer" w:history="1">
              <w:r w:rsidRPr="00D61F73">
                <w:rPr>
                  <w:rStyle w:val="Hyperlink"/>
                  <w:rFonts w:ascii="Arial" w:hAnsi="Arial" w:cs="Arial"/>
                </w:rPr>
                <w:t>Sommer, 1998</w:t>
              </w:r>
            </w:hyperlink>
            <w:r w:rsidRPr="00D61F73">
              <w:rPr>
                <w:rFonts w:ascii="Arial" w:hAnsi="Arial" w:cs="Arial"/>
              </w:rPr>
              <w:t>) In a large RCT the benefits of improved depression care (antidepressant medications and/or psychotherapy) extended beyond reduced depressive symptoms and included decreased pain as well as improved functional status. (</w:t>
            </w:r>
            <w:hyperlink w:anchor="Lin" w:history="1">
              <w:r w:rsidRPr="00D61F73">
                <w:rPr>
                  <w:rStyle w:val="Hyperlink"/>
                  <w:rFonts w:ascii="Arial" w:hAnsi="Arial" w:cs="Arial"/>
                </w:rPr>
                <w:t>Lin-JAMA, 2003</w:t>
              </w:r>
            </w:hyperlink>
            <w:r w:rsidRPr="00D61F73">
              <w:rPr>
                <w:rFonts w:ascii="Arial" w:hAnsi="Arial" w:cs="Arial"/>
              </w:rPr>
              <w:t>) See "</w:t>
            </w:r>
            <w:hyperlink w:anchor="Bruns" w:history="1">
              <w:r w:rsidRPr="00D61F73">
                <w:rPr>
                  <w:rStyle w:val="Hyperlink"/>
                  <w:rFonts w:ascii="Arial" w:hAnsi="Arial" w:cs="Arial"/>
                </w:rPr>
                <w:t>Psychological Tests Commonly Used in the Assessment of Chronic Pain Patients</w:t>
              </w:r>
            </w:hyperlink>
            <w:r w:rsidRPr="00D61F73">
              <w:rPr>
                <w:rFonts w:ascii="Arial" w:hAnsi="Arial" w:cs="Arial"/>
              </w:rPr>
              <w:t>" from the Colorado Division of Workers’ Compensation, which describes and evaluates the following 26 tests: (1) BHI 2</w:t>
            </w:r>
            <w:r w:rsidRPr="00D61F73">
              <w:rPr>
                <w:rFonts w:ascii="Arial" w:hAnsi="Arial" w:cs="Arial"/>
                <w:vertAlign w:val="superscript"/>
              </w:rPr>
              <w:t>nd</w:t>
            </w:r>
            <w:r w:rsidRPr="00D61F73">
              <w:rPr>
                <w:rFonts w:ascii="Arial" w:hAnsi="Arial" w:cs="Arial"/>
              </w:rPr>
              <w:t xml:space="preserve"> ed - Battery for Health Improvement, (2) MBHI - Millon Behavioral Health Inventory [has been superseded by the MBMD following, which should be administered instead], (3) MBMD - Millon Behavioral Medical Diagnostic, (4) PAB - Pain Assessment Battery, (5) MCMI-111 - Millon Clinical Multiaxial Inventory, (6) MMPI-2 - Minnesota Inventory, (7) PAI - Personality Assessment Inventory, (8) BBHI 2 - Brief Battery for Health Improvement, (9) MPI - Multidimensional Pain Inventory, (10) P-3 - Pain Patient Profile, (11) Pain Presentation Inventory, (12) PRIME-MD - Primary Care Evaluation for Mental Disorders, (13) PHQ - Patient Health Questionnaire, (14) SF 36, (15) SIP - Sickness Impact Profile, (16) BSI - Brief Symptom Inventory, (17) BSI 18 - Brief Symptom Inventory, (18) SCL-90 - Symptom Checklist, (19) BDI–II - Beck Depression Inventory, (20) CES-D - Center for Epidemiological Studies Depression Scale, (21) PDS - Post Traumatic Stress Diagnostic Scale, (22) Zung Depression Inventory, (23) MPQ - McGill Pain Questionnaire, (24) MPQ-SF - McGill Pain Questionnaire Short Form, (25) Oswestry Disability Questionnaire, (26) Visual Analogue Pain Scale – VAS. (</w:t>
            </w:r>
            <w:hyperlink w:anchor="Bruns" w:history="1">
              <w:r w:rsidRPr="00D61F73">
                <w:rPr>
                  <w:rStyle w:val="Hyperlink"/>
                  <w:rFonts w:ascii="Arial" w:hAnsi="Arial" w:cs="Arial"/>
                </w:rPr>
                <w:t>Bruns, 2001</w:t>
              </w:r>
            </w:hyperlink>
            <w:r w:rsidRPr="00D61F73">
              <w:rPr>
                <w:rFonts w:ascii="Arial" w:hAnsi="Arial" w:cs="Arial"/>
              </w:rPr>
              <w:t xml:space="preserve">) Chronic pain may harm the brain, based on using functional magnetic resonance imaging (fMRI), whereby investigators found individuals with chronic back pain (CBP) had alterations in the functional connectivity of their cortical regions - areas of the brain that are unrelated </w:t>
            </w:r>
            <w:r w:rsidRPr="00D61F73">
              <w:rPr>
                <w:rFonts w:ascii="Arial" w:hAnsi="Arial" w:cs="Arial"/>
              </w:rPr>
              <w:lastRenderedPageBreak/>
              <w:t>to pain - compared with healthy controls. Conditions such as depression, anxiety, sleep disturbances, and decision-making difficulties, which affect the quality of life of chronic pain patients as much as the pain itself, may be directly related to altered brain function as a result of chronic pain. (</w:t>
            </w:r>
            <w:hyperlink w:anchor="Baliki" w:history="1">
              <w:r w:rsidRPr="00D61F73">
                <w:rPr>
                  <w:rStyle w:val="Hyperlink"/>
                  <w:rFonts w:ascii="Arial" w:hAnsi="Arial" w:cs="Arial"/>
                </w:rPr>
                <w:t>Baliki, 2008</w:t>
              </w:r>
            </w:hyperlink>
            <w:r w:rsidRPr="00D61F73">
              <w:rPr>
                <w:rFonts w:ascii="Arial" w:hAnsi="Arial" w:cs="Arial"/>
              </w:rPr>
              <w:t>) Maladjusted childhood behavior is associated with the likelihood of chronic widespread pain in adulthood. (</w:t>
            </w:r>
            <w:hyperlink w:anchor="Pang" w:history="1">
              <w:r w:rsidRPr="00D61F73">
                <w:rPr>
                  <w:rStyle w:val="Hyperlink"/>
                  <w:rFonts w:ascii="Arial" w:hAnsi="Arial" w:cs="Arial"/>
                </w:rPr>
                <w:t>Pang, 2010</w:t>
              </w:r>
            </w:hyperlink>
            <w:r w:rsidRPr="00D61F73">
              <w:rPr>
                <w:rFonts w:ascii="Arial" w:hAnsi="Arial" w:cs="Arial"/>
              </w:rPr>
              <w:t>) Psychosocial factors may predict persistent pain after acute orthopedic trauma, according to a recent study. The early identification of those at risk of ongoing pain is of particular importance for injured workers and compensation systems. Significant independent predictors of pain outcomes were high levels of initial pain, external attributions of responsibility for the injury, and psychological distress. Pain-related work disability was also significantly predicted by poor recovery expectations, and pain severity was significantly predicted by being injured at work. (</w:t>
            </w:r>
            <w:hyperlink w:anchor="Clay2010" w:history="1">
              <w:r w:rsidRPr="00D61F73">
                <w:rPr>
                  <w:rStyle w:val="Hyperlink"/>
                  <w:rFonts w:ascii="Arial" w:hAnsi="Arial" w:cs="Arial"/>
                </w:rPr>
                <w:t>Clay, 2010</w:t>
              </w:r>
            </w:hyperlink>
            <w:r w:rsidRPr="00D61F73">
              <w:rPr>
                <w:rFonts w:ascii="Arial" w:hAnsi="Arial" w:cs="Arial"/>
              </w:rPr>
              <w:t xml:space="preserve">) See also </w:t>
            </w:r>
            <w:hyperlink w:anchor="Comorbidpsychiatricdisorders" w:history="1">
              <w:r w:rsidRPr="00D61F73">
                <w:rPr>
                  <w:rStyle w:val="Hyperlink"/>
                  <w:rFonts w:ascii="Arial" w:hAnsi="Arial" w:cs="Arial"/>
                </w:rPr>
                <w:t>Comorbid psychiatric disorders</w:t>
              </w:r>
            </w:hyperlink>
            <w:r w:rsidRPr="00D61F73">
              <w:rPr>
                <w:rFonts w:ascii="Arial" w:hAnsi="Arial" w:cs="Arial"/>
              </w:rPr>
              <w:t xml:space="preserve">.  </w:t>
            </w:r>
          </w:p>
        </w:tc>
      </w:tr>
      <w:tr w:rsidR="0038137E" w:rsidRPr="00D61F73" w14:paraId="2C6E1FE6" w14:textId="77777777" w:rsidTr="0038137E">
        <w:tc>
          <w:tcPr>
            <w:tcW w:w="1088" w:type="pct"/>
            <w:shd w:val="clear" w:color="auto" w:fill="auto"/>
          </w:tcPr>
          <w:p w14:paraId="38039518" w14:textId="7D9E2DD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w:t>
            </w:r>
            <w:bookmarkStart w:id="362" w:name="PsychologicalevalSCS"/>
            <w:bookmarkEnd w:id="362"/>
            <w:r w:rsidRPr="00D61F73">
              <w:rPr>
                <w:rFonts w:ascii="Arial" w:hAnsi="Arial" w:cs="Arial"/>
              </w:rPr>
              <w:t>sychological evaluations, IDDS &amp; SCS (intrathecal drug delivery systems &amp; spinal cord stimulators)</w:t>
            </w:r>
          </w:p>
        </w:tc>
        <w:tc>
          <w:tcPr>
            <w:tcW w:w="3912" w:type="pct"/>
            <w:shd w:val="clear" w:color="auto" w:fill="auto"/>
          </w:tcPr>
          <w:p w14:paraId="7C7B9773" w14:textId="181D3EDB" w:rsidR="0038137E" w:rsidRPr="00D61F73" w:rsidRDefault="0038137E" w:rsidP="00D61F73">
            <w:pPr>
              <w:rPr>
                <w:rFonts w:ascii="Arial" w:hAnsi="Arial" w:cs="Arial"/>
              </w:rPr>
            </w:pPr>
            <w:r w:rsidRPr="00D61F73">
              <w:rPr>
                <w:rFonts w:ascii="Arial" w:hAnsi="Arial" w:cs="Arial"/>
              </w:rPr>
              <w:t>Recommended pre intrathecal drug delivery systems (IDDS) and spinal cord stimulator (SCS) trial.</w:t>
            </w:r>
          </w:p>
        </w:tc>
      </w:tr>
      <w:tr w:rsidR="0038137E" w:rsidRPr="00D61F73" w14:paraId="502EE26A" w14:textId="77777777" w:rsidTr="0038137E">
        <w:tc>
          <w:tcPr>
            <w:tcW w:w="1088" w:type="pct"/>
            <w:shd w:val="clear" w:color="auto" w:fill="auto"/>
          </w:tcPr>
          <w:p w14:paraId="17CA7D9E" w14:textId="0A239E5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w:t>
            </w:r>
            <w:bookmarkStart w:id="363" w:name="Psychologicaltreatment"/>
            <w:bookmarkEnd w:id="363"/>
            <w:r w:rsidRPr="00D61F73">
              <w:rPr>
                <w:rFonts w:ascii="Arial" w:hAnsi="Arial" w:cs="Arial"/>
              </w:rPr>
              <w:t>sychological treatment</w:t>
            </w:r>
          </w:p>
        </w:tc>
        <w:tc>
          <w:tcPr>
            <w:tcW w:w="3912" w:type="pct"/>
            <w:shd w:val="clear" w:color="auto" w:fill="auto"/>
          </w:tcPr>
          <w:p w14:paraId="038CEFE5" w14:textId="77777777" w:rsidR="0038137E" w:rsidRPr="00D61F73" w:rsidRDefault="0038137E" w:rsidP="00D61F73">
            <w:pPr>
              <w:rPr>
                <w:rFonts w:ascii="Arial" w:hAnsi="Arial" w:cs="Arial"/>
              </w:rPr>
            </w:pPr>
            <w:r w:rsidRPr="00D61F73">
              <w:rPr>
                <w:rFonts w:ascii="Arial" w:hAnsi="Arial" w:cs="Arial"/>
              </w:rPr>
              <w:t>Recommended for appropriately identified patients during treatment for chronic pain. Psychological intervention for chronic pain includes setting goals, determining appropriateness of treatment, conceptualizing a patient’s pain beliefs and coping styles, assessing psychological and cognitive function, and addressing co-morbid mood disorders (such as depression, anxiety, panic disorder, and posttraumatic stress disorder). Cognitive behavioral therapy and self-regulatory treatments have been found to be particularly effective. Psychological treatment incorporated into pain treatment has been found to have a positive short-term effect on pain interference and long-term effect on return to work. The following “stepped-care” approach to pain management that involves psychological intervention has been suggested:</w:t>
            </w:r>
          </w:p>
          <w:p w14:paraId="50DBD4F8" w14:textId="77777777" w:rsidR="0038137E" w:rsidRPr="00D61F73" w:rsidRDefault="0038137E" w:rsidP="00D61F73">
            <w:pPr>
              <w:rPr>
                <w:rFonts w:ascii="Arial" w:hAnsi="Arial" w:cs="Arial"/>
              </w:rPr>
            </w:pPr>
            <w:r w:rsidRPr="00D61F73">
              <w:rPr>
                <w:rFonts w:ascii="Arial" w:hAnsi="Arial" w:cs="Arial"/>
                <w:u w:val="single"/>
              </w:rPr>
              <w:t>Step 1</w:t>
            </w:r>
            <w:r w:rsidRPr="00D61F73">
              <w:rPr>
                <w:rFonts w:ascii="Arial" w:hAnsi="Arial" w:cs="Arial"/>
              </w:rPr>
              <w:t>: Identify and address specific concerns about pain and enhance interventions that emphasize self-management. The role of the psychologist at this point includes education and training of pain care providers in how to screen for patients that may need early psychological intervention.</w:t>
            </w:r>
          </w:p>
          <w:p w14:paraId="1C861173" w14:textId="77777777" w:rsidR="0038137E" w:rsidRPr="00D61F73" w:rsidRDefault="0038137E" w:rsidP="00D61F73">
            <w:pPr>
              <w:rPr>
                <w:rFonts w:ascii="Arial" w:hAnsi="Arial" w:cs="Arial"/>
              </w:rPr>
            </w:pPr>
            <w:r w:rsidRPr="00D61F73">
              <w:rPr>
                <w:rFonts w:ascii="Arial" w:hAnsi="Arial" w:cs="Arial"/>
                <w:u w:val="single"/>
              </w:rPr>
              <w:t>Step 2</w:t>
            </w:r>
            <w:r w:rsidRPr="00D61F73">
              <w:rPr>
                <w:rFonts w:ascii="Arial" w:hAnsi="Arial" w:cs="Arial"/>
              </w:rPr>
              <w:t xml:space="preserve">: Identify patients who continue to experience pain and disability after the usual time of recovery. At this point a consultation with a psychologist allows for screening, assessment of goals, and further treatment options, including brief individual or group therapy. </w:t>
            </w:r>
          </w:p>
          <w:p w14:paraId="5E583D12" w14:textId="77777777" w:rsidR="0038137E" w:rsidRPr="00D61F73" w:rsidRDefault="0038137E" w:rsidP="00D61F73">
            <w:pPr>
              <w:rPr>
                <w:rFonts w:ascii="Arial" w:hAnsi="Arial" w:cs="Arial"/>
              </w:rPr>
            </w:pPr>
            <w:r w:rsidRPr="00D61F73">
              <w:rPr>
                <w:rFonts w:ascii="Arial" w:hAnsi="Arial" w:cs="Arial"/>
                <w:u w:val="single"/>
              </w:rPr>
              <w:t>Step 3</w:t>
            </w:r>
            <w:r w:rsidRPr="00D61F73">
              <w:rPr>
                <w:rFonts w:ascii="Arial" w:hAnsi="Arial" w:cs="Arial"/>
              </w:rPr>
              <w:t xml:space="preserve">: Pain is sustained in spite of continued therapy (including the above psychological care). Intensive care may be required from mental health professions allowing for a multidisciplinary treatment approach. See also </w:t>
            </w:r>
            <w:hyperlink w:anchor="Multidisciplinarytreatment" w:history="1">
              <w:r w:rsidRPr="00D61F73">
                <w:rPr>
                  <w:rStyle w:val="Hyperlink"/>
                  <w:rFonts w:ascii="Arial" w:hAnsi="Arial" w:cs="Arial"/>
                </w:rPr>
                <w:t>Multi-disciplinary pain programs</w:t>
              </w:r>
            </w:hyperlink>
            <w:r w:rsidRPr="00D61F73">
              <w:rPr>
                <w:rFonts w:ascii="Arial" w:hAnsi="Arial" w:cs="Arial"/>
              </w:rPr>
              <w:t xml:space="preserve">. See also </w:t>
            </w:r>
            <w:hyperlink w:anchor="ODGCBTguidelines" w:history="1">
              <w:r w:rsidRPr="00D61F73">
                <w:rPr>
                  <w:rStyle w:val="Hyperlink"/>
                  <w:rFonts w:ascii="Arial" w:hAnsi="Arial" w:cs="Arial"/>
                </w:rPr>
                <w:t>ODG Cognitive Behavioral Therapy</w:t>
              </w:r>
            </w:hyperlink>
            <w:r w:rsidRPr="00D61F73">
              <w:rPr>
                <w:rFonts w:ascii="Arial" w:hAnsi="Arial" w:cs="Arial"/>
              </w:rPr>
              <w:t xml:space="preserve"> (CBT) Guidelines. (</w:t>
            </w:r>
            <w:hyperlink w:anchor="Otis" w:history="1">
              <w:r w:rsidRPr="00D61F73">
                <w:rPr>
                  <w:rStyle w:val="Hyperlink"/>
                  <w:rFonts w:ascii="Arial" w:hAnsi="Arial" w:cs="Arial"/>
                </w:rPr>
                <w:t>Otis, 2006</w:t>
              </w:r>
            </w:hyperlink>
            <w:r w:rsidRPr="00D61F73">
              <w:rPr>
                <w:rFonts w:ascii="Arial" w:hAnsi="Arial" w:cs="Arial"/>
              </w:rPr>
              <w:t>) (</w:t>
            </w:r>
            <w:hyperlink w:anchor="Townsend" w:history="1">
              <w:r w:rsidRPr="00D61F73">
                <w:rPr>
                  <w:rStyle w:val="Hyperlink"/>
                  <w:rFonts w:ascii="Arial" w:hAnsi="Arial" w:cs="Arial"/>
                </w:rPr>
                <w:t>Townsend, 2006</w:t>
              </w:r>
            </w:hyperlink>
            <w:r w:rsidRPr="00D61F73">
              <w:rPr>
                <w:rFonts w:ascii="Arial" w:hAnsi="Arial" w:cs="Arial"/>
              </w:rPr>
              <w:t>) (</w:t>
            </w:r>
            <w:hyperlink w:anchor="Kerns" w:history="1">
              <w:r w:rsidRPr="00D61F73">
                <w:rPr>
                  <w:rStyle w:val="Hyperlink"/>
                  <w:rFonts w:ascii="Arial" w:hAnsi="Arial" w:cs="Arial"/>
                </w:rPr>
                <w:t>Kerns, 2005</w:t>
              </w:r>
            </w:hyperlink>
            <w:r w:rsidRPr="00D61F73">
              <w:rPr>
                <w:rFonts w:ascii="Arial" w:hAnsi="Arial" w:cs="Arial"/>
              </w:rPr>
              <w:t>) (</w:t>
            </w:r>
            <w:hyperlink w:anchor="Flor" w:history="1">
              <w:r w:rsidRPr="00D61F73">
                <w:rPr>
                  <w:rStyle w:val="Hyperlink"/>
                  <w:rFonts w:ascii="Arial" w:hAnsi="Arial" w:cs="Arial"/>
                </w:rPr>
                <w:t>Flor, 1992</w:t>
              </w:r>
            </w:hyperlink>
            <w:r w:rsidRPr="00D61F73">
              <w:rPr>
                <w:rFonts w:ascii="Arial" w:hAnsi="Arial" w:cs="Arial"/>
              </w:rPr>
              <w:t>) (</w:t>
            </w:r>
            <w:hyperlink w:anchor="Morley" w:history="1">
              <w:r w:rsidRPr="00D61F73">
                <w:rPr>
                  <w:rStyle w:val="Hyperlink"/>
                  <w:rFonts w:ascii="Arial" w:hAnsi="Arial" w:cs="Arial"/>
                </w:rPr>
                <w:t>Morley, 1999</w:t>
              </w:r>
            </w:hyperlink>
            <w:r w:rsidRPr="00D61F73">
              <w:rPr>
                <w:rFonts w:ascii="Arial" w:hAnsi="Arial" w:cs="Arial"/>
              </w:rPr>
              <w:t>) (</w:t>
            </w:r>
            <w:hyperlink w:anchor="Ostelo" w:history="1">
              <w:r w:rsidRPr="00D61F73">
                <w:rPr>
                  <w:rStyle w:val="Hyperlink"/>
                  <w:rFonts w:ascii="Arial" w:hAnsi="Arial" w:cs="Arial"/>
                </w:rPr>
                <w:t>Ostelo, 2005</w:t>
              </w:r>
            </w:hyperlink>
            <w:r w:rsidRPr="00D61F73">
              <w:rPr>
                <w:rFonts w:ascii="Arial" w:hAnsi="Arial" w:cs="Arial"/>
              </w:rPr>
              <w:t xml:space="preserve">) </w:t>
            </w:r>
          </w:p>
          <w:p w14:paraId="7A2BC2A3" w14:textId="77777777" w:rsidR="0038137E" w:rsidRPr="00D61F73" w:rsidRDefault="0038137E" w:rsidP="00D61F73">
            <w:pPr>
              <w:rPr>
                <w:rFonts w:ascii="Arial" w:hAnsi="Arial" w:cs="Arial"/>
              </w:rPr>
            </w:pPr>
            <w:r w:rsidRPr="00D61F73">
              <w:rPr>
                <w:rFonts w:ascii="Arial" w:hAnsi="Arial" w:cs="Arial"/>
              </w:rPr>
              <w:t>Several recent reviews support the assertion of efficacy of cognitive-</w:t>
            </w:r>
            <w:r w:rsidRPr="00D61F73">
              <w:rPr>
                <w:rFonts w:ascii="Arial" w:hAnsi="Arial" w:cs="Arial"/>
              </w:rPr>
              <w:lastRenderedPageBreak/>
              <w:t>behavioural therapy (CBT) in the treatment of pain, especially chronic back pain (CBP). (</w:t>
            </w:r>
            <w:hyperlink w:anchor="KrönerHerwig" w:history="1">
              <w:r w:rsidRPr="00D61F73">
                <w:rPr>
                  <w:rStyle w:val="Hyperlink"/>
                  <w:rFonts w:ascii="Arial" w:hAnsi="Arial" w:cs="Arial"/>
                </w:rPr>
                <w:t>Kröner-Herwig, 2009</w:t>
              </w:r>
            </w:hyperlink>
            <w:r w:rsidRPr="00D61F73">
              <w:rPr>
                <w:rFonts w:ascii="Arial" w:hAnsi="Arial" w:cs="Arial"/>
              </w:rPr>
              <w:t xml:space="preserve">) </w:t>
            </w:r>
          </w:p>
          <w:p w14:paraId="7BD6E504" w14:textId="77777777" w:rsidR="0038137E" w:rsidRPr="00D61F73" w:rsidRDefault="0038137E" w:rsidP="00D61F73">
            <w:pPr>
              <w:rPr>
                <w:rFonts w:ascii="Arial" w:hAnsi="Arial" w:cs="Arial"/>
              </w:rPr>
            </w:pPr>
            <w:r w:rsidRPr="00D61F73">
              <w:rPr>
                <w:rFonts w:ascii="Arial" w:hAnsi="Arial" w:cs="Arial"/>
                <w:b/>
                <w:bCs/>
              </w:rPr>
              <w:t>ODG Psychotherapy Guidelines:</w:t>
            </w:r>
          </w:p>
          <w:p w14:paraId="7E1CC9C1" w14:textId="77777777" w:rsidR="0038137E" w:rsidRPr="00D61F73" w:rsidRDefault="0038137E" w:rsidP="00D61F73">
            <w:pPr>
              <w:rPr>
                <w:rFonts w:ascii="Arial" w:hAnsi="Arial" w:cs="Arial"/>
              </w:rPr>
            </w:pPr>
            <w:r w:rsidRPr="00D61F73">
              <w:rPr>
                <w:rFonts w:ascii="Arial" w:hAnsi="Arial" w:cs="Arial"/>
              </w:rPr>
              <w:t>- Up to 13-20 visits over 7-20 weeks (individual sessions), if progress is being made.</w:t>
            </w:r>
          </w:p>
          <w:p w14:paraId="3174E255" w14:textId="77777777" w:rsidR="0038137E" w:rsidRPr="00D61F73" w:rsidRDefault="0038137E" w:rsidP="00D61F73">
            <w:pPr>
              <w:rPr>
                <w:rFonts w:ascii="Arial" w:hAnsi="Arial" w:cs="Arial"/>
              </w:rPr>
            </w:pPr>
            <w:r w:rsidRPr="00D61F73">
              <w:rPr>
                <w:rFonts w:ascii="Arial" w:hAnsi="Arial" w:cs="Arial"/>
              </w:rPr>
              <w:t>(The provider should evaluate symptom improvement during the process, so treatment failures can be identified early and alternative treatment strategies can be pursued if appropriate.)</w:t>
            </w:r>
          </w:p>
          <w:p w14:paraId="4E41DFAE" w14:textId="6C1B9C09" w:rsidR="0038137E" w:rsidRPr="00D61F73" w:rsidRDefault="0038137E" w:rsidP="00D61F73">
            <w:pPr>
              <w:rPr>
                <w:rFonts w:ascii="Arial" w:hAnsi="Arial" w:cs="Arial"/>
              </w:rPr>
            </w:pPr>
            <w:r w:rsidRPr="00D61F73">
              <w:rPr>
                <w:rFonts w:ascii="Arial" w:hAnsi="Arial" w:cs="Arial"/>
              </w:rPr>
              <w:t>- In cases of severe Major Depression or PTSD, up to 50 sessions if progress is being made.</w:t>
            </w:r>
          </w:p>
        </w:tc>
      </w:tr>
      <w:tr w:rsidR="0038137E" w:rsidRPr="00D61F73" w14:paraId="277AA2C5" w14:textId="77777777" w:rsidTr="0038137E">
        <w:trPr>
          <w:trHeight w:val="713"/>
        </w:trPr>
        <w:tc>
          <w:tcPr>
            <w:tcW w:w="1088" w:type="pct"/>
            <w:shd w:val="clear" w:color="auto" w:fill="auto"/>
          </w:tcPr>
          <w:p w14:paraId="31B0CBEF" w14:textId="6C0E6C0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Pulsed radiofrequency treatment (PRF)</w:t>
            </w:r>
          </w:p>
        </w:tc>
        <w:tc>
          <w:tcPr>
            <w:tcW w:w="3912" w:type="pct"/>
            <w:shd w:val="clear" w:color="auto" w:fill="auto"/>
          </w:tcPr>
          <w:p w14:paraId="367AFE4D" w14:textId="3667FB85" w:rsidR="0038137E" w:rsidRPr="00D61F73" w:rsidRDefault="0038137E" w:rsidP="00D61F73">
            <w:pPr>
              <w:rPr>
                <w:rFonts w:ascii="Arial" w:hAnsi="Arial" w:cs="Arial"/>
              </w:rPr>
            </w:pPr>
            <w:r w:rsidRPr="00D61F73">
              <w:rPr>
                <w:rFonts w:ascii="Arial" w:hAnsi="Arial" w:cs="Arial"/>
              </w:rPr>
              <w:t>Not recommended. Pulsed radiofrequency treatment (PRF) has been investigated as a potentially less harmful alternative to radiofrequency (RF) thermal neurolytic destruction (thermocoagulation) in the management of certain chronic pain syndromes such as facet joint pain and trigeminal neuralgia. Pulsed radiofrequency treatment is considered investigational/not medically necessary for the treatment of chronic pain syndromes. (</w:t>
            </w:r>
            <w:hyperlink w:anchor="BlueCross" w:history="1">
              <w:r w:rsidRPr="00D61F73">
                <w:rPr>
                  <w:rStyle w:val="Hyperlink"/>
                  <w:rFonts w:ascii="Arial" w:hAnsi="Arial" w:cs="Arial"/>
                </w:rPr>
                <w:t>BlueCross, 2005</w:t>
              </w:r>
            </w:hyperlink>
            <w:r w:rsidRPr="00D61F73">
              <w:rPr>
                <w:rFonts w:ascii="Arial" w:hAnsi="Arial" w:cs="Arial"/>
              </w:rPr>
              <w:t>) A decrease in pain was observed in patients with herniated disc and spinal stenosis, but not in those with failed back surgery syndrome. However, this option does not appear to be an ideal modality of treatment for lumbar radicular pain because neurodestructive methods for the treatment of neuropathic pain are in principle generally considered inappropriate. (</w:t>
            </w:r>
            <w:hyperlink w:anchor="Abejon" w:history="1">
              <w:r w:rsidRPr="00D61F73">
                <w:rPr>
                  <w:rStyle w:val="Hyperlink"/>
                  <w:rFonts w:ascii="Arial" w:hAnsi="Arial" w:cs="Arial"/>
                </w:rPr>
                <w:t>Abejón, 2007</w:t>
              </w:r>
            </w:hyperlink>
            <w:r w:rsidRPr="00D61F73">
              <w:rPr>
                <w:rFonts w:ascii="Arial" w:hAnsi="Arial" w:cs="Arial"/>
              </w:rPr>
              <w:t>)</w:t>
            </w:r>
          </w:p>
        </w:tc>
      </w:tr>
      <w:tr w:rsidR="0038137E" w:rsidRPr="00D61F73" w14:paraId="70A7999A" w14:textId="77777777" w:rsidTr="0038137E">
        <w:tc>
          <w:tcPr>
            <w:tcW w:w="1088" w:type="pct"/>
            <w:shd w:val="clear" w:color="auto" w:fill="auto"/>
          </w:tcPr>
          <w:p w14:paraId="26C32E65" w14:textId="135A58E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Pumps, implantable</w:t>
            </w:r>
          </w:p>
        </w:tc>
        <w:tc>
          <w:tcPr>
            <w:tcW w:w="3912" w:type="pct"/>
            <w:shd w:val="clear" w:color="auto" w:fill="auto"/>
          </w:tcPr>
          <w:p w14:paraId="28D78F77" w14:textId="14A44AF3" w:rsidR="0038137E" w:rsidRPr="00D61F73" w:rsidRDefault="0038137E" w:rsidP="00D61F73">
            <w:pPr>
              <w:rPr>
                <w:rFonts w:ascii="Arial" w:hAnsi="Arial" w:cs="Arial"/>
              </w:rPr>
            </w:pPr>
            <w:r w:rsidRPr="00D61F73">
              <w:rPr>
                <w:rFonts w:ascii="Arial" w:hAnsi="Arial" w:cs="Arial"/>
              </w:rPr>
              <w:t xml:space="preserve">See </w:t>
            </w:r>
            <w:hyperlink w:anchor="Implantabledrugdelivery" w:history="1">
              <w:r w:rsidRPr="00D61F73">
                <w:rPr>
                  <w:rStyle w:val="Hyperlink"/>
                  <w:rFonts w:ascii="Arial" w:hAnsi="Arial" w:cs="Arial"/>
                </w:rPr>
                <w:t>Implantable drug-delivery systems</w:t>
              </w:r>
            </w:hyperlink>
            <w:r w:rsidRPr="00D61F73">
              <w:rPr>
                <w:rFonts w:ascii="Arial" w:hAnsi="Arial" w:cs="Arial"/>
              </w:rPr>
              <w:t xml:space="preserve"> (IDDSs).</w:t>
            </w:r>
          </w:p>
        </w:tc>
      </w:tr>
      <w:tr w:rsidR="0038137E" w:rsidRPr="00D61F73" w14:paraId="783AEEE8" w14:textId="77777777" w:rsidTr="0038137E">
        <w:tc>
          <w:tcPr>
            <w:tcW w:w="1088" w:type="pct"/>
            <w:shd w:val="clear" w:color="auto" w:fill="auto"/>
          </w:tcPr>
          <w:p w14:paraId="68BC8CD3" w14:textId="0693FFC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Qigong</w:t>
            </w:r>
          </w:p>
        </w:tc>
        <w:tc>
          <w:tcPr>
            <w:tcW w:w="3912" w:type="pct"/>
            <w:shd w:val="clear" w:color="auto" w:fill="auto"/>
          </w:tcPr>
          <w:p w14:paraId="24735970" w14:textId="7AA1EFC9" w:rsidR="0038137E" w:rsidRPr="00D61F73" w:rsidRDefault="0038137E" w:rsidP="00D61F73">
            <w:pPr>
              <w:rPr>
                <w:rFonts w:ascii="Arial" w:hAnsi="Arial" w:cs="Arial"/>
              </w:rPr>
            </w:pPr>
            <w:r w:rsidRPr="00D61F73">
              <w:rPr>
                <w:rFonts w:ascii="Arial" w:hAnsi="Arial" w:cs="Arial"/>
              </w:rPr>
              <w:t xml:space="preserve">See </w:t>
            </w:r>
            <w:hyperlink w:anchor="Internalqigong" w:history="1">
              <w:r w:rsidRPr="00D61F73">
                <w:rPr>
                  <w:rStyle w:val="Hyperlink"/>
                  <w:rFonts w:ascii="Arial" w:hAnsi="Arial" w:cs="Arial"/>
                </w:rPr>
                <w:t>Internal qigong</w:t>
              </w:r>
            </w:hyperlink>
            <w:r w:rsidRPr="00D61F73">
              <w:rPr>
                <w:rFonts w:ascii="Arial" w:hAnsi="Arial" w:cs="Arial"/>
              </w:rPr>
              <w:t>.</w:t>
            </w:r>
          </w:p>
        </w:tc>
      </w:tr>
      <w:tr w:rsidR="0038137E" w:rsidRPr="00D61F73" w14:paraId="1DB561CB" w14:textId="77777777" w:rsidTr="0038137E">
        <w:tc>
          <w:tcPr>
            <w:tcW w:w="1088" w:type="pct"/>
            <w:shd w:val="clear" w:color="auto" w:fill="auto"/>
          </w:tcPr>
          <w:p w14:paraId="07EC3697" w14:textId="2156090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QSART</w:t>
            </w:r>
          </w:p>
        </w:tc>
        <w:tc>
          <w:tcPr>
            <w:tcW w:w="3912" w:type="pct"/>
            <w:shd w:val="clear" w:color="auto" w:fill="auto"/>
          </w:tcPr>
          <w:p w14:paraId="0BF6FF86" w14:textId="04C6AAED" w:rsidR="0038137E" w:rsidRPr="00D61F73" w:rsidRDefault="0038137E" w:rsidP="00D61F73">
            <w:pPr>
              <w:rPr>
                <w:rFonts w:ascii="Arial" w:hAnsi="Arial" w:cs="Arial"/>
              </w:rPr>
            </w:pPr>
            <w:r w:rsidRPr="00D61F73">
              <w:rPr>
                <w:rFonts w:ascii="Arial" w:hAnsi="Arial" w:cs="Arial"/>
              </w:rPr>
              <w:t xml:space="preserve">Not generally recommended as a diagnostic test for CRPS. See </w:t>
            </w:r>
            <w:hyperlink w:anchor="CRPSdiagnostictests" w:history="1">
              <w:r w:rsidRPr="00D61F73">
                <w:rPr>
                  <w:rStyle w:val="Hyperlink"/>
                  <w:rFonts w:ascii="Arial" w:hAnsi="Arial" w:cs="Arial"/>
                </w:rPr>
                <w:t>CRPS, diagnostic tests</w:t>
              </w:r>
            </w:hyperlink>
            <w:r w:rsidRPr="00D61F73">
              <w:rPr>
                <w:rFonts w:ascii="Arial" w:hAnsi="Arial" w:cs="Arial"/>
              </w:rPr>
              <w:t>.</w:t>
            </w:r>
          </w:p>
        </w:tc>
      </w:tr>
      <w:tr w:rsidR="0038137E" w:rsidRPr="00D61F73" w14:paraId="3C246A09" w14:textId="77777777" w:rsidTr="0038137E">
        <w:tc>
          <w:tcPr>
            <w:tcW w:w="1088" w:type="pct"/>
            <w:shd w:val="clear" w:color="auto" w:fill="auto"/>
          </w:tcPr>
          <w:p w14:paraId="52755F5E" w14:textId="61DB213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Q</w:t>
            </w:r>
            <w:bookmarkStart w:id="364" w:name="QST"/>
            <w:bookmarkEnd w:id="364"/>
            <w:r w:rsidRPr="00D61F73">
              <w:rPr>
                <w:rFonts w:ascii="Arial" w:hAnsi="Arial" w:cs="Arial"/>
              </w:rPr>
              <w:t>uantitative sensory threshold (QST) testing</w:t>
            </w:r>
          </w:p>
        </w:tc>
        <w:tc>
          <w:tcPr>
            <w:tcW w:w="3912" w:type="pct"/>
            <w:shd w:val="clear" w:color="auto" w:fill="auto"/>
          </w:tcPr>
          <w:p w14:paraId="7BD882F2" w14:textId="67F78F6C" w:rsidR="0038137E" w:rsidRPr="00D61F73" w:rsidRDefault="0038137E" w:rsidP="00D61F73">
            <w:pPr>
              <w:rPr>
                <w:rFonts w:ascii="Arial" w:hAnsi="Arial" w:cs="Arial"/>
              </w:rPr>
            </w:pPr>
            <w:r w:rsidRPr="00D61F73">
              <w:rPr>
                <w:rFonts w:ascii="Arial" w:hAnsi="Arial" w:cs="Arial"/>
              </w:rPr>
              <w:t xml:space="preserve">Not recommended. See also </w:t>
            </w:r>
            <w:hyperlink w:anchor="Currentperceptionthreshold" w:history="1">
              <w:r w:rsidRPr="00D61F73">
                <w:rPr>
                  <w:rStyle w:val="Hyperlink"/>
                  <w:rFonts w:ascii="Arial" w:hAnsi="Arial" w:cs="Arial"/>
                </w:rPr>
                <w:t>Current perception threshold</w:t>
              </w:r>
            </w:hyperlink>
            <w:r w:rsidRPr="00D61F73">
              <w:rPr>
                <w:rFonts w:ascii="Arial" w:hAnsi="Arial" w:cs="Arial"/>
              </w:rPr>
              <w:t xml:space="preserve"> (CPT) testing. Quantitative sensory testing (QST) has been used to assist in the diagnosis and management of a variety of conditions such as diabetic neuropathy and other neuropathies, as well as carpal tunnel syndrome and other nerve entrapment/compression disorders or damage. Because QST combines the objective physical sensory stimuli with the subjective patient response, it is psychophysical in nature and requires that its use be in patients who are alert, able to follow directions, and cooperative. Due to the subjective component of testing, psychological factors must be taken into consideration during testing and in evaluating test results, thus reducing the degree of objectivity QST can provide. QST is considered experimental or investigational, as there are no quality published studies to support any conclusions regarding the effects of this testing on health outcomes.</w:t>
            </w:r>
          </w:p>
        </w:tc>
      </w:tr>
      <w:tr w:rsidR="0038137E" w:rsidRPr="00D61F73" w14:paraId="5A8795BC" w14:textId="77777777" w:rsidTr="0038137E">
        <w:tc>
          <w:tcPr>
            <w:tcW w:w="1088" w:type="pct"/>
            <w:shd w:val="clear" w:color="auto" w:fill="auto"/>
          </w:tcPr>
          <w:p w14:paraId="5C04B94E" w14:textId="316C5EBA" w:rsidR="0038137E" w:rsidRPr="00D61F73" w:rsidRDefault="0038137E" w:rsidP="00D61F73">
            <w:pPr>
              <w:pStyle w:val="Footer"/>
              <w:tabs>
                <w:tab w:val="clear" w:pos="4320"/>
                <w:tab w:val="clear" w:pos="8640"/>
              </w:tabs>
              <w:rPr>
                <w:rFonts w:ascii="Arial" w:hAnsi="Arial" w:cs="Arial"/>
              </w:rPr>
            </w:pPr>
            <w:bookmarkStart w:id="365" w:name="Quantitativesensorythresholdtesting"/>
            <w:bookmarkStart w:id="366" w:name="Quazepam"/>
            <w:bookmarkEnd w:id="365"/>
            <w:r w:rsidRPr="00D61F73">
              <w:rPr>
                <w:rFonts w:ascii="Arial" w:hAnsi="Arial" w:cs="Arial"/>
              </w:rPr>
              <w:t>Quazepam</w:t>
            </w:r>
            <w:bookmarkEnd w:id="366"/>
          </w:p>
        </w:tc>
        <w:tc>
          <w:tcPr>
            <w:tcW w:w="3912" w:type="pct"/>
            <w:shd w:val="clear" w:color="auto" w:fill="auto"/>
          </w:tcPr>
          <w:p w14:paraId="3C45BD9A" w14:textId="5DEF3386" w:rsidR="0038137E" w:rsidRPr="00D61F73" w:rsidRDefault="0038137E"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38137E" w:rsidRPr="00D61F73" w14:paraId="0E1ED2B1" w14:textId="77777777" w:rsidTr="0038137E">
        <w:tc>
          <w:tcPr>
            <w:tcW w:w="1088" w:type="pct"/>
            <w:shd w:val="clear" w:color="auto" w:fill="auto"/>
          </w:tcPr>
          <w:p w14:paraId="1E883081" w14:textId="7435E3B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Qutenza (capsaicin) 8% patch</w:t>
            </w:r>
          </w:p>
        </w:tc>
        <w:tc>
          <w:tcPr>
            <w:tcW w:w="3912" w:type="pct"/>
            <w:shd w:val="clear" w:color="auto" w:fill="auto"/>
          </w:tcPr>
          <w:p w14:paraId="69B98B38" w14:textId="44EBE6EC" w:rsidR="0038137E" w:rsidRPr="00D61F73" w:rsidRDefault="0038137E" w:rsidP="00D61F73">
            <w:pPr>
              <w:rPr>
                <w:rFonts w:ascii="Arial" w:hAnsi="Arial" w:cs="Arial"/>
              </w:rPr>
            </w:pPr>
            <w:r w:rsidRPr="00D61F73">
              <w:rPr>
                <w:rFonts w:ascii="Arial" w:hAnsi="Arial" w:cs="Arial"/>
              </w:rPr>
              <w:t xml:space="preserve">See </w:t>
            </w:r>
            <w:hyperlink w:anchor="Capsaicin" w:history="1">
              <w:r w:rsidRPr="00D61F73">
                <w:rPr>
                  <w:rStyle w:val="Hyperlink"/>
                  <w:rFonts w:ascii="Arial" w:hAnsi="Arial" w:cs="Arial"/>
                </w:rPr>
                <w:t>Capsaicin</w:t>
              </w:r>
            </w:hyperlink>
            <w:r w:rsidRPr="00D61F73">
              <w:rPr>
                <w:rFonts w:ascii="Arial" w:hAnsi="Arial" w:cs="Arial"/>
              </w:rPr>
              <w:t xml:space="preserve">, where it is recommended only in patients who have not responded or are intolerant to other treatments. On November 17, 2009, the FDA approved an 8% capsaicin dermal patch (Qutenza, made by Lohmann Therapie-Systems AD, marketed by NeurogesX, Inc) for the management of pain associated with postherpatic neuralgia. Blood pressure should be carefully monitored for 1 hour after each application, and caution is advised when treating patients with unstable or poorly </w:t>
            </w:r>
            <w:r w:rsidRPr="00D61F73">
              <w:rPr>
                <w:rFonts w:ascii="Arial" w:hAnsi="Arial" w:cs="Arial"/>
              </w:rPr>
              <w:lastRenderedPageBreak/>
              <w:t>controlled hypertension or a recent history of cardiovascular or cerebrovascular events. (</w:t>
            </w:r>
            <w:hyperlink r:id="rId143" w:history="1">
              <w:r w:rsidRPr="00D61F73">
                <w:rPr>
                  <w:rStyle w:val="Hyperlink"/>
                  <w:rFonts w:ascii="Arial" w:hAnsi="Arial" w:cs="Arial"/>
                </w:rPr>
                <w:t>FDA, 2009</w:t>
              </w:r>
            </w:hyperlink>
            <w:r w:rsidRPr="00D61F73">
              <w:rPr>
                <w:rFonts w:ascii="Arial" w:hAnsi="Arial" w:cs="Arial"/>
              </w:rPr>
              <w:t>)</w:t>
            </w:r>
          </w:p>
        </w:tc>
      </w:tr>
      <w:tr w:rsidR="0038137E" w:rsidRPr="00D61F73" w14:paraId="74DE8FB6" w14:textId="77777777" w:rsidTr="0038137E">
        <w:tc>
          <w:tcPr>
            <w:tcW w:w="1088" w:type="pct"/>
            <w:shd w:val="clear" w:color="auto" w:fill="auto"/>
          </w:tcPr>
          <w:p w14:paraId="4F8580A1" w14:textId="3E22E31F"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Regional sympathetic blocks</w:t>
            </w:r>
          </w:p>
        </w:tc>
        <w:tc>
          <w:tcPr>
            <w:tcW w:w="3912" w:type="pct"/>
            <w:shd w:val="clear" w:color="auto" w:fill="auto"/>
          </w:tcPr>
          <w:p w14:paraId="4FA48065" w14:textId="026F1A3E" w:rsidR="0038137E" w:rsidRPr="00D61F73" w:rsidRDefault="0038137E" w:rsidP="00D61F73">
            <w:pPr>
              <w:rPr>
                <w:rFonts w:ascii="Arial" w:hAnsi="Arial" w:cs="Arial"/>
              </w:rPr>
            </w:pPr>
            <w:r w:rsidRPr="00D61F73">
              <w:rPr>
                <w:rFonts w:ascii="Arial" w:hAnsi="Arial" w:cs="Arial"/>
                <w:iCs/>
              </w:rPr>
              <w:t xml:space="preserve">See </w:t>
            </w:r>
            <w:hyperlink w:anchor="CRPSsympatheticblocks" w:history="1">
              <w:r w:rsidRPr="00D61F73">
                <w:rPr>
                  <w:rStyle w:val="Hyperlink"/>
                  <w:rFonts w:ascii="Arial" w:hAnsi="Arial" w:cs="Arial"/>
                  <w:iCs/>
                </w:rPr>
                <w:t>CRPS, sympathetic blocks</w:t>
              </w:r>
            </w:hyperlink>
            <w:r w:rsidRPr="00D61F73">
              <w:rPr>
                <w:rFonts w:ascii="Arial" w:hAnsi="Arial" w:cs="Arial"/>
                <w:iCs/>
              </w:rPr>
              <w:t xml:space="preserve"> (therapeutic).</w:t>
            </w:r>
          </w:p>
        </w:tc>
      </w:tr>
      <w:tr w:rsidR="0038137E" w:rsidRPr="00D61F73" w14:paraId="403DDDE8" w14:textId="77777777" w:rsidTr="0038137E">
        <w:tc>
          <w:tcPr>
            <w:tcW w:w="1088" w:type="pct"/>
            <w:shd w:val="clear" w:color="auto" w:fill="auto"/>
          </w:tcPr>
          <w:p w14:paraId="193C1DF9" w14:textId="728026C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R</w:t>
            </w:r>
            <w:bookmarkStart w:id="367" w:name="Repackageddrugs"/>
            <w:bookmarkEnd w:id="367"/>
            <w:r w:rsidRPr="00D61F73">
              <w:rPr>
                <w:rFonts w:ascii="Arial" w:hAnsi="Arial" w:cs="Arial"/>
              </w:rPr>
              <w:t>epackaged drugs</w:t>
            </w:r>
          </w:p>
        </w:tc>
        <w:tc>
          <w:tcPr>
            <w:tcW w:w="3912" w:type="pct"/>
            <w:shd w:val="clear" w:color="auto" w:fill="auto"/>
          </w:tcPr>
          <w:p w14:paraId="32569FD1" w14:textId="0D8FC622" w:rsidR="0038137E" w:rsidRPr="00D61F73" w:rsidRDefault="0038137E" w:rsidP="00D61F73">
            <w:pPr>
              <w:rPr>
                <w:rFonts w:ascii="Arial" w:hAnsi="Arial" w:cs="Arial"/>
                <w:iCs/>
              </w:rPr>
            </w:pPr>
            <w:r w:rsidRPr="00D61F73">
              <w:rPr>
                <w:rFonts w:ascii="Arial" w:hAnsi="Arial" w:cs="Arial"/>
              </w:rPr>
              <w:t xml:space="preserve">Repackaged drugs are prescription or over-the-counter drugs taken from initial drug producers and repackaged and repriced, usually for </w:t>
            </w:r>
            <w:hyperlink w:anchor="Physiciandispenseddrugs" w:history="1">
              <w:r w:rsidRPr="00D61F73">
                <w:rPr>
                  <w:rStyle w:val="Hyperlink"/>
                  <w:rFonts w:ascii="Arial" w:hAnsi="Arial" w:cs="Arial"/>
                </w:rPr>
                <w:t>physician dispensing</w:t>
              </w:r>
            </w:hyperlink>
            <w:r w:rsidRPr="00D61F73">
              <w:rPr>
                <w:rFonts w:ascii="Arial" w:hAnsi="Arial" w:cs="Arial"/>
              </w:rPr>
              <w:t xml:space="preserve">. Repackaged medications are difficult to price consistently, since a pharmaceutical product is removed from the original container with an original NDC and put into a new container with new quantities, therefore requiring a new NDC, with a new repackaging company label and price for the medication. There are no high-quality medical studies to evaluate physician dispensing of repackaged drugs versus pharmacy dispensing on patient outcomes so this is not addressed in ODG See also </w:t>
            </w:r>
            <w:hyperlink w:anchor="Compounddrugs" w:history="1">
              <w:r w:rsidRPr="00D61F73">
                <w:rPr>
                  <w:rStyle w:val="Hyperlink"/>
                  <w:rFonts w:ascii="Arial" w:hAnsi="Arial" w:cs="Arial"/>
                </w:rPr>
                <w:t>Compound drugs</w:t>
              </w:r>
            </w:hyperlink>
            <w:r w:rsidRPr="00D61F73">
              <w:rPr>
                <w:rFonts w:ascii="Arial" w:hAnsi="Arial" w:cs="Arial"/>
              </w:rPr>
              <w:t xml:space="preserve">; </w:t>
            </w:r>
            <w:hyperlink w:anchor="Copackdrugs" w:history="1">
              <w:r w:rsidRPr="00D61F73">
                <w:rPr>
                  <w:rStyle w:val="Hyperlink"/>
                  <w:rFonts w:ascii="Arial" w:hAnsi="Arial" w:cs="Arial"/>
                </w:rPr>
                <w:t>Co-pack drugs</w:t>
              </w:r>
            </w:hyperlink>
            <w:r w:rsidRPr="00D61F73">
              <w:rPr>
                <w:rFonts w:ascii="Arial" w:hAnsi="Arial" w:cs="Arial"/>
              </w:rPr>
              <w:t xml:space="preserve">; </w:t>
            </w:r>
            <w:hyperlink w:anchor="Medicalfood" w:history="1">
              <w:r w:rsidRPr="00D61F73">
                <w:rPr>
                  <w:rStyle w:val="Hyperlink"/>
                  <w:rFonts w:ascii="Arial" w:hAnsi="Arial" w:cs="Arial"/>
                </w:rPr>
                <w:t>Medical foods</w:t>
              </w:r>
            </w:hyperlink>
            <w:r w:rsidRPr="00D61F73">
              <w:rPr>
                <w:rFonts w:ascii="Arial" w:hAnsi="Arial" w:cs="Arial"/>
              </w:rPr>
              <w:t xml:space="preserve">; </w:t>
            </w:r>
            <w:hyperlink w:anchor="Physiciandispenseddrugs" w:history="1">
              <w:r w:rsidRPr="00D61F73">
                <w:rPr>
                  <w:rStyle w:val="Hyperlink"/>
                  <w:rFonts w:ascii="Arial" w:hAnsi="Arial" w:cs="Arial"/>
                </w:rPr>
                <w:t>Physician-dispensed drugs</w:t>
              </w:r>
            </w:hyperlink>
            <w:r w:rsidRPr="00D61F73">
              <w:rPr>
                <w:rFonts w:ascii="Arial" w:hAnsi="Arial" w:cs="Arial"/>
              </w:rPr>
              <w:t>.</w:t>
            </w:r>
          </w:p>
        </w:tc>
      </w:tr>
      <w:tr w:rsidR="0038137E" w:rsidRPr="00D61F73" w14:paraId="0F6587CF" w14:textId="77777777" w:rsidTr="0038137E">
        <w:tc>
          <w:tcPr>
            <w:tcW w:w="1088" w:type="pct"/>
            <w:shd w:val="clear" w:color="auto" w:fill="auto"/>
          </w:tcPr>
          <w:p w14:paraId="2076E3FA" w14:textId="1526209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Restless legs syndrome (RLS)</w:t>
            </w:r>
          </w:p>
        </w:tc>
        <w:tc>
          <w:tcPr>
            <w:tcW w:w="3912" w:type="pct"/>
            <w:shd w:val="clear" w:color="auto" w:fill="auto"/>
          </w:tcPr>
          <w:p w14:paraId="0C14A75E" w14:textId="18269F17" w:rsidR="0038137E" w:rsidRPr="00D61F73" w:rsidRDefault="0038137E" w:rsidP="00D61F73">
            <w:pPr>
              <w:rPr>
                <w:rFonts w:ascii="Arial" w:hAnsi="Arial" w:cs="Arial"/>
              </w:rPr>
            </w:pPr>
            <w:r w:rsidRPr="00D61F73">
              <w:rPr>
                <w:rFonts w:ascii="Arial" w:hAnsi="Arial" w:cs="Arial"/>
              </w:rPr>
              <w:t xml:space="preserve">See </w:t>
            </w:r>
            <w:hyperlink r:id="rId144" w:anchor="2" w:history="1">
              <w:r w:rsidRPr="00D61F73">
                <w:rPr>
                  <w:rStyle w:val="Hyperlink"/>
                  <w:rFonts w:ascii="Arial" w:hAnsi="Arial" w:cs="Arial"/>
                </w:rPr>
                <w:t>specific body-part chapters</w:t>
              </w:r>
            </w:hyperlink>
            <w:r w:rsidRPr="00D61F73">
              <w:rPr>
                <w:rFonts w:ascii="Arial" w:hAnsi="Arial" w:cs="Arial"/>
              </w:rPr>
              <w:t xml:space="preserve"> in the MTUS.</w:t>
            </w:r>
          </w:p>
        </w:tc>
      </w:tr>
      <w:tr w:rsidR="0038137E" w:rsidRPr="00D61F73" w14:paraId="5275B6A2" w14:textId="77777777" w:rsidTr="0038137E">
        <w:tc>
          <w:tcPr>
            <w:tcW w:w="1088" w:type="pct"/>
            <w:shd w:val="clear" w:color="auto" w:fill="auto"/>
          </w:tcPr>
          <w:p w14:paraId="4517CEB0" w14:textId="00C0E5B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R</w:t>
            </w:r>
            <w:bookmarkStart w:id="368" w:name="Returntowork"/>
            <w:bookmarkEnd w:id="368"/>
            <w:r w:rsidRPr="00D61F73">
              <w:rPr>
                <w:rFonts w:ascii="Arial" w:hAnsi="Arial" w:cs="Arial"/>
              </w:rPr>
              <w:t>eturn to work</w:t>
            </w:r>
          </w:p>
        </w:tc>
        <w:tc>
          <w:tcPr>
            <w:tcW w:w="3912" w:type="pct"/>
            <w:shd w:val="clear" w:color="auto" w:fill="auto"/>
          </w:tcPr>
          <w:p w14:paraId="3D612282" w14:textId="70D37E53" w:rsidR="0038137E" w:rsidRPr="00D61F73" w:rsidRDefault="0038137E" w:rsidP="00D61F73">
            <w:pPr>
              <w:rPr>
                <w:rFonts w:ascii="Arial" w:hAnsi="Arial" w:cs="Arial"/>
              </w:rPr>
            </w:pPr>
            <w:r w:rsidRPr="00D61F73">
              <w:rPr>
                <w:rFonts w:ascii="Arial" w:hAnsi="Arial" w:cs="Arial"/>
              </w:rPr>
              <w:t>Recommended. Expedited return-to-work has been shown to be more useful in improving function and decreasing pain than extended disability. (</w:t>
            </w:r>
            <w:hyperlink w:anchor="Bernacki1" w:history="1">
              <w:r w:rsidRPr="00D61F73">
                <w:rPr>
                  <w:rStyle w:val="Hyperlink"/>
                  <w:rFonts w:ascii="Arial" w:hAnsi="Arial" w:cs="Arial"/>
                </w:rPr>
                <w:t>Bernacki, 2000</w:t>
              </w:r>
            </w:hyperlink>
            <w:r w:rsidRPr="00D61F73">
              <w:rPr>
                <w:rFonts w:ascii="Arial" w:hAnsi="Arial" w:cs="Arial"/>
              </w:rPr>
              <w:t>) (</w:t>
            </w:r>
            <w:hyperlink w:anchor="Boseman" w:history="1">
              <w:r w:rsidRPr="00D61F73">
                <w:rPr>
                  <w:rStyle w:val="Hyperlink"/>
                  <w:rFonts w:ascii="Arial" w:hAnsi="Arial" w:cs="Arial"/>
                </w:rPr>
                <w:t>Boseman, 2001</w:t>
              </w:r>
            </w:hyperlink>
            <w:r w:rsidRPr="00D61F73">
              <w:rPr>
                <w:rFonts w:ascii="Arial" w:hAnsi="Arial" w:cs="Arial"/>
              </w:rPr>
              <w:t>) (</w:t>
            </w:r>
            <w:hyperlink w:anchor="Colorado2" w:history="1">
              <w:r w:rsidRPr="00D61F73">
                <w:rPr>
                  <w:rStyle w:val="Hyperlink"/>
                  <w:rFonts w:ascii="Arial" w:hAnsi="Arial" w:cs="Arial"/>
                </w:rPr>
                <w:t>Colorado, 2002</w:t>
              </w:r>
            </w:hyperlink>
            <w:r w:rsidRPr="00D61F73">
              <w:rPr>
                <w:rFonts w:ascii="Arial" w:hAnsi="Arial" w:cs="Arial"/>
              </w:rPr>
              <w:t>) (</w:t>
            </w:r>
            <w:hyperlink w:anchor="Melhorn" w:history="1">
              <w:r w:rsidRPr="00D61F73">
                <w:rPr>
                  <w:rStyle w:val="Hyperlink"/>
                  <w:rFonts w:ascii="Arial" w:hAnsi="Arial" w:cs="Arial"/>
                </w:rPr>
                <w:t>Melhorn, 2000</w:t>
              </w:r>
            </w:hyperlink>
            <w:r w:rsidRPr="00D61F73">
              <w:rPr>
                <w:rFonts w:ascii="Arial" w:hAnsi="Arial" w:cs="Arial"/>
              </w:rPr>
              <w:t>) Lost productive time from common pain conditions among active workers costs an estimated 61.2 billion dollars per year. The majority (76.6%) of the lost productive time was explained by reduced performance while at work and not work absence. (</w:t>
            </w:r>
            <w:hyperlink w:anchor="Stewart2" w:history="1">
              <w:r w:rsidRPr="00D61F73">
                <w:rPr>
                  <w:rStyle w:val="Hyperlink"/>
                  <w:rFonts w:ascii="Arial" w:hAnsi="Arial" w:cs="Arial"/>
                </w:rPr>
                <w:t>Stewart, 2003</w:t>
              </w:r>
            </w:hyperlink>
            <w:r w:rsidRPr="00D61F73">
              <w:rPr>
                <w:rFonts w:ascii="Arial" w:hAnsi="Arial" w:cs="Arial"/>
              </w:rPr>
              <w:t>) Chronic pain is independently related to low self-rated health in the general population. (</w:t>
            </w:r>
            <w:hyperlink w:anchor="Mantyselka" w:history="1">
              <w:r w:rsidRPr="00D61F73">
                <w:rPr>
                  <w:rStyle w:val="Hyperlink"/>
                  <w:rFonts w:ascii="Arial" w:hAnsi="Arial" w:cs="Arial"/>
                </w:rPr>
                <w:t>Mantyselka-JAMA, 2003</w:t>
              </w:r>
            </w:hyperlink>
            <w:r w:rsidRPr="00D61F73">
              <w:rPr>
                <w:rFonts w:ascii="Arial" w:hAnsi="Arial" w:cs="Arial"/>
              </w:rPr>
              <w:t>) Significant pain improvement is seen in groups that are prescribed light activity over groups that receive only medical treatment, especially in cases involving back pain. Extended bed rest is not recommended. (</w:t>
            </w:r>
            <w:hyperlink w:anchor="Naring" w:history="1">
              <w:r w:rsidRPr="00D61F73">
                <w:rPr>
                  <w:rStyle w:val="Hyperlink"/>
                  <w:rFonts w:ascii="Arial" w:hAnsi="Arial" w:cs="Arial"/>
                </w:rPr>
                <w:t>van Lankveld, 2000</w:t>
              </w:r>
            </w:hyperlink>
            <w:r w:rsidRPr="00D61F73">
              <w:rPr>
                <w:rFonts w:ascii="Arial" w:hAnsi="Arial" w:cs="Arial"/>
              </w:rPr>
              <w:t>)</w:t>
            </w:r>
          </w:p>
        </w:tc>
      </w:tr>
      <w:tr w:rsidR="0038137E" w:rsidRPr="00D61F73" w14:paraId="475D9369" w14:textId="77777777" w:rsidTr="0038137E">
        <w:tc>
          <w:tcPr>
            <w:tcW w:w="1088" w:type="pct"/>
            <w:shd w:val="clear" w:color="auto" w:fill="auto"/>
          </w:tcPr>
          <w:p w14:paraId="08EC43CA" w14:textId="29E03DE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Rotta glucosamine sulfate</w:t>
            </w:r>
          </w:p>
        </w:tc>
        <w:tc>
          <w:tcPr>
            <w:tcW w:w="3912" w:type="pct"/>
            <w:shd w:val="clear" w:color="auto" w:fill="auto"/>
          </w:tcPr>
          <w:p w14:paraId="6AF1552D" w14:textId="729C7A60" w:rsidR="0038137E" w:rsidRPr="00D61F73" w:rsidRDefault="0038137E" w:rsidP="00D61F73">
            <w:pPr>
              <w:rPr>
                <w:rFonts w:ascii="Arial" w:hAnsi="Arial" w:cs="Arial"/>
              </w:rPr>
            </w:pPr>
            <w:r w:rsidRPr="00D61F73">
              <w:rPr>
                <w:rFonts w:ascii="Arial" w:hAnsi="Arial" w:cs="Arial"/>
              </w:rPr>
              <w:t xml:space="preserve">See </w:t>
            </w:r>
            <w:hyperlink w:anchor="Glucosamine" w:history="1">
              <w:r w:rsidRPr="00D61F73">
                <w:rPr>
                  <w:rStyle w:val="Hyperlink"/>
                  <w:rFonts w:ascii="Arial" w:hAnsi="Arial" w:cs="Arial"/>
                </w:rPr>
                <w:t>Glucosamine</w:t>
              </w:r>
            </w:hyperlink>
            <w:r w:rsidRPr="00D61F73">
              <w:rPr>
                <w:rFonts w:ascii="Arial" w:hAnsi="Arial" w:cs="Arial"/>
              </w:rPr>
              <w:t xml:space="preserve"> (and Chondroitin Sulfate).</w:t>
            </w:r>
          </w:p>
        </w:tc>
      </w:tr>
      <w:tr w:rsidR="0038137E" w:rsidRPr="00D61F73" w14:paraId="54DA2A65" w14:textId="77777777" w:rsidTr="0038137E">
        <w:tc>
          <w:tcPr>
            <w:tcW w:w="1088" w:type="pct"/>
            <w:shd w:val="clear" w:color="auto" w:fill="auto"/>
          </w:tcPr>
          <w:p w14:paraId="6BED0AEB" w14:textId="4FDA0D7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Roxicodone® (oxycodone) </w:t>
            </w:r>
          </w:p>
        </w:tc>
        <w:tc>
          <w:tcPr>
            <w:tcW w:w="3912" w:type="pct"/>
            <w:shd w:val="clear" w:color="auto" w:fill="auto"/>
          </w:tcPr>
          <w:p w14:paraId="7FC8C929" w14:textId="0DE1CF2C" w:rsidR="0038137E" w:rsidRPr="00D61F73" w:rsidRDefault="0038137E" w:rsidP="00D61F73">
            <w:pPr>
              <w:rPr>
                <w:rFonts w:ascii="Arial" w:hAnsi="Arial" w:cs="Arial"/>
              </w:rPr>
            </w:pPr>
            <w:r w:rsidRPr="00D61F73">
              <w:rPr>
                <w:rFonts w:ascii="Arial" w:hAnsi="Arial" w:cs="Arial"/>
              </w:rPr>
              <w:t xml:space="preserve"> See MTUS </w:t>
            </w:r>
            <w:r w:rsidRPr="00D61F73">
              <w:rPr>
                <w:rFonts w:ascii="Arial" w:hAnsi="Arial" w:cs="Arial"/>
                <w:bCs/>
              </w:rPr>
              <w:t>Guideline for the Use of Opioids to Treat Work-Related Injuries for additional information on oxycodone.</w:t>
            </w:r>
          </w:p>
        </w:tc>
      </w:tr>
      <w:tr w:rsidR="0038137E" w:rsidRPr="00D61F73" w14:paraId="496640CA" w14:textId="77777777" w:rsidTr="0038137E">
        <w:tc>
          <w:tcPr>
            <w:tcW w:w="1088" w:type="pct"/>
            <w:shd w:val="clear" w:color="auto" w:fill="auto"/>
          </w:tcPr>
          <w:p w14:paraId="50995250" w14:textId="08E912E4"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RS-4i sequential stimulator</w:t>
            </w:r>
          </w:p>
        </w:tc>
        <w:tc>
          <w:tcPr>
            <w:tcW w:w="3912" w:type="pct"/>
            <w:shd w:val="clear" w:color="auto" w:fill="auto"/>
          </w:tcPr>
          <w:p w14:paraId="24F796F0" w14:textId="5A479336" w:rsidR="0038137E" w:rsidRPr="00D61F73" w:rsidRDefault="0038137E" w:rsidP="00D61F73">
            <w:pPr>
              <w:rPr>
                <w:rFonts w:ascii="Arial" w:hAnsi="Arial" w:cs="Arial"/>
              </w:rPr>
            </w:pPr>
            <w:r w:rsidRPr="00D61F73">
              <w:rPr>
                <w:rFonts w:ascii="Arial" w:hAnsi="Arial" w:cs="Arial"/>
              </w:rPr>
              <w:t xml:space="preserve">See </w:t>
            </w:r>
            <w:hyperlink w:anchor="Interferentialcurrentstimulation" w:history="1">
              <w:r w:rsidRPr="00D61F73">
                <w:rPr>
                  <w:rStyle w:val="Hyperlink"/>
                  <w:rFonts w:ascii="Arial" w:hAnsi="Arial" w:cs="Arial"/>
                </w:rPr>
                <w:t>Interferential current stimulation</w:t>
              </w:r>
            </w:hyperlink>
            <w:r w:rsidRPr="00D61F73">
              <w:rPr>
                <w:rFonts w:ascii="Arial" w:hAnsi="Arial" w:cs="Arial"/>
              </w:rPr>
              <w:t xml:space="preserve"> (ICS).</w:t>
            </w:r>
          </w:p>
        </w:tc>
      </w:tr>
      <w:tr w:rsidR="0038137E" w:rsidRPr="00D61F73" w14:paraId="370BB849" w14:textId="77777777" w:rsidTr="0038137E">
        <w:tc>
          <w:tcPr>
            <w:tcW w:w="1088" w:type="pct"/>
            <w:shd w:val="clear" w:color="auto" w:fill="auto"/>
          </w:tcPr>
          <w:p w14:paraId="72D069C9" w14:textId="6D4B61C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RSD (reflex sympathetic dystrophy)</w:t>
            </w:r>
          </w:p>
        </w:tc>
        <w:tc>
          <w:tcPr>
            <w:tcW w:w="3912" w:type="pct"/>
            <w:shd w:val="clear" w:color="auto" w:fill="auto"/>
          </w:tcPr>
          <w:p w14:paraId="40772D25" w14:textId="77303008" w:rsidR="0038137E" w:rsidRPr="00D61F73" w:rsidRDefault="0038137E" w:rsidP="00D61F73">
            <w:pPr>
              <w:rPr>
                <w:rFonts w:ascii="Arial" w:hAnsi="Arial" w:cs="Arial"/>
              </w:rPr>
            </w:pPr>
            <w:r w:rsidRPr="00D61F73">
              <w:rPr>
                <w:rFonts w:ascii="Arial" w:hAnsi="Arial" w:cs="Arial"/>
              </w:rPr>
              <w:t xml:space="preserve">Definition of this pain syndrome (not a procedure): New name for Reflex sympathetic dystrophy (RSD) is CRPS I. See </w:t>
            </w:r>
            <w:hyperlink w:anchor="CRPSdiagnosticcriteria" w:history="1">
              <w:r w:rsidRPr="00D61F73">
                <w:rPr>
                  <w:rStyle w:val="Hyperlink"/>
                  <w:rFonts w:ascii="Arial" w:hAnsi="Arial" w:cs="Arial"/>
                </w:rPr>
                <w:t>CRPS, diagnostic criteria</w:t>
              </w:r>
            </w:hyperlink>
            <w:r w:rsidRPr="00D61F73">
              <w:rPr>
                <w:rFonts w:ascii="Arial" w:hAnsi="Arial" w:cs="Arial"/>
              </w:rPr>
              <w:t>.</w:t>
            </w:r>
          </w:p>
        </w:tc>
      </w:tr>
      <w:tr w:rsidR="0038137E" w:rsidRPr="00D61F73" w14:paraId="438F22C9" w14:textId="77777777" w:rsidTr="0038137E">
        <w:trPr>
          <w:trHeight w:val="668"/>
        </w:trPr>
        <w:tc>
          <w:tcPr>
            <w:tcW w:w="1088" w:type="pct"/>
            <w:shd w:val="clear" w:color="auto" w:fill="auto"/>
          </w:tcPr>
          <w:p w14:paraId="57A9AC2C" w14:textId="2DA6944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Ryzolt (tramadol ER) </w:t>
            </w:r>
          </w:p>
        </w:tc>
        <w:tc>
          <w:tcPr>
            <w:tcW w:w="3912" w:type="pct"/>
            <w:shd w:val="clear" w:color="auto" w:fill="auto"/>
          </w:tcPr>
          <w:p w14:paraId="233F0427" w14:textId="45AFF22B" w:rsidR="0038137E" w:rsidRPr="00D61F73" w:rsidRDefault="0038137E" w:rsidP="00D61F73">
            <w:pPr>
              <w:rPr>
                <w:rFonts w:ascii="Arial" w:hAnsi="Arial" w:cs="Arial"/>
              </w:rPr>
            </w:pPr>
            <w:r w:rsidRPr="00D61F73">
              <w:rPr>
                <w:rFonts w:ascii="Arial" w:hAnsi="Arial" w:cs="Arial"/>
              </w:rPr>
              <w:t xml:space="preserve">See MTUS Opioids Treatment Guidelines </w:t>
            </w:r>
            <w:r w:rsidRPr="00D61F73">
              <w:rPr>
                <w:rFonts w:ascii="Arial" w:hAnsi="Arial" w:cs="Arial"/>
                <w:bCs/>
              </w:rPr>
              <w:t>for prescribing information on opioids.</w:t>
            </w:r>
            <w:r w:rsidRPr="00D61F73">
              <w:rPr>
                <w:rFonts w:ascii="Arial" w:hAnsi="Arial" w:cs="Arial"/>
              </w:rPr>
              <w:t xml:space="preserve"> The FDA has determined that Ryzolt is equivalent to generic extended release tramadol. (</w:t>
            </w:r>
            <w:hyperlink r:id="rId145" w:history="1">
              <w:r w:rsidRPr="00D61F73">
                <w:rPr>
                  <w:rStyle w:val="Hyperlink"/>
                  <w:rFonts w:ascii="Arial" w:hAnsi="Arial" w:cs="Arial"/>
                </w:rPr>
                <w:t>FDA, 2012</w:t>
              </w:r>
            </w:hyperlink>
            <w:r w:rsidRPr="00D61F73">
              <w:rPr>
                <w:rFonts w:ascii="Arial" w:hAnsi="Arial" w:cs="Arial"/>
              </w:rPr>
              <w:t>) On 12/30/08 the FDA approved an extended-release once-daily formulation of tramadol (Ryzolt) for the management of moderate to moderately severe chronic pain. Labopharm and marketing partner in the United States, Purdue Pharma, launched the product in 100-mg, 200-mg, and 300-mg dosage strengths in the second quarter of 2009. (</w:t>
            </w:r>
            <w:hyperlink r:id="rId146" w:history="1">
              <w:r w:rsidRPr="00D61F73">
                <w:rPr>
                  <w:rStyle w:val="Hyperlink"/>
                  <w:rFonts w:ascii="Arial" w:hAnsi="Arial" w:cs="Arial"/>
                </w:rPr>
                <w:t>FDA, 2008</w:t>
              </w:r>
            </w:hyperlink>
            <w:r w:rsidRPr="00D61F73">
              <w:rPr>
                <w:rFonts w:ascii="Arial" w:hAnsi="Arial" w:cs="Arial"/>
              </w:rPr>
              <w:t xml:space="preserve">) If a patient is already stabilized on a long-acting tramadol, then the immediate-release component of the biphasic product has the potential to cause a higher than desired blood level of tramadol, which might impact a patient in a negative way, but this has not </w:t>
            </w:r>
            <w:r w:rsidRPr="00D61F73">
              <w:rPr>
                <w:rFonts w:ascii="Arial" w:hAnsi="Arial" w:cs="Arial"/>
              </w:rPr>
              <w:lastRenderedPageBreak/>
              <w:t>been proven in studies. The clinical rationale for using a long-acting opioid is to maintain a stable blood level around-the-clock, so it is not entirely clear how a biphasic formulation adds to chronic, around-the-clock opioid therapy. (</w:t>
            </w:r>
            <w:hyperlink r:id="rId147" w:history="1">
              <w:r w:rsidRPr="00D61F73">
                <w:rPr>
                  <w:rStyle w:val="Hyperlink"/>
                  <w:rFonts w:ascii="Arial" w:hAnsi="Arial" w:cs="Arial"/>
                </w:rPr>
                <w:t>FDA2, 2012</w:t>
              </w:r>
            </w:hyperlink>
            <w:r w:rsidRPr="00D61F73">
              <w:rPr>
                <w:rFonts w:ascii="Arial" w:hAnsi="Arial" w:cs="Arial"/>
              </w:rPr>
              <w:t>) In addition, efficacy was demonstrated in only one of four studies that were conducted for approval of biphasic tramadol ER. (</w:t>
            </w:r>
            <w:hyperlink r:id="rId148" w:history="1">
              <w:r w:rsidRPr="00D61F73">
                <w:rPr>
                  <w:rStyle w:val="Hyperlink"/>
                  <w:rFonts w:ascii="Arial" w:hAnsi="Arial" w:cs="Arial"/>
                </w:rPr>
                <w:t>FDA3, 2012</w:t>
              </w:r>
            </w:hyperlink>
            <w:r w:rsidRPr="00D61F73">
              <w:rPr>
                <w:rFonts w:ascii="Arial" w:hAnsi="Arial" w:cs="Arial"/>
              </w:rPr>
              <w:t xml:space="preserve">) See also </w:t>
            </w:r>
            <w:hyperlink w:anchor="ConZip" w:history="1">
              <w:r w:rsidRPr="00D61F73">
                <w:rPr>
                  <w:rStyle w:val="Hyperlink"/>
                  <w:rFonts w:ascii="Arial" w:hAnsi="Arial" w:cs="Arial"/>
                </w:rPr>
                <w:t>ConZip</w:t>
              </w:r>
            </w:hyperlink>
            <w:r w:rsidRPr="00D61F73">
              <w:rPr>
                <w:rFonts w:ascii="Arial" w:hAnsi="Arial" w:cs="Arial"/>
              </w:rPr>
              <w:t xml:space="preserve"> (tramadol ER), another biphasic tramadol ER that is not available as a generic.</w:t>
            </w:r>
          </w:p>
        </w:tc>
      </w:tr>
      <w:tr w:rsidR="0038137E" w:rsidRPr="00D61F73" w14:paraId="36FD3FC0" w14:textId="77777777" w:rsidTr="0038137E">
        <w:tc>
          <w:tcPr>
            <w:tcW w:w="1088" w:type="pct"/>
            <w:shd w:val="clear" w:color="auto" w:fill="auto"/>
          </w:tcPr>
          <w:p w14:paraId="5B7F10EB" w14:textId="5CC9A099"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lastRenderedPageBreak/>
              <w:t>Salicylate topicals</w:t>
            </w:r>
          </w:p>
        </w:tc>
        <w:tc>
          <w:tcPr>
            <w:tcW w:w="3912" w:type="pct"/>
            <w:shd w:val="clear" w:color="auto" w:fill="auto"/>
          </w:tcPr>
          <w:p w14:paraId="34B8F78A" w14:textId="6ECB9280" w:rsidR="0038137E" w:rsidRPr="00D61F73" w:rsidRDefault="0038137E" w:rsidP="00D61F73">
            <w:pPr>
              <w:rPr>
                <w:rFonts w:ascii="Arial" w:hAnsi="Arial" w:cs="Arial"/>
              </w:rPr>
            </w:pPr>
            <w:r w:rsidRPr="00D61F73">
              <w:rPr>
                <w:rFonts w:ascii="Arial" w:hAnsi="Arial" w:cs="Arial"/>
              </w:rPr>
              <w:t>Recommended as an option. Topical salicylate (e.g., Ben-Gay, methyl salicylate) is significantly better than placebo in acute and chronic pain, but especially acute pain. Three double blind placebo controlled trials had information on 182 patients with acute conditions. Topical salicylate was significantly better than placebo (relative benefit 3.6; number needed to treat 2.1). Six double blind placebo controlled trials had information on 429 patients with chronic conditions. Topical salicylate was significantly better than placebo overall (relative benefit 1.5; number needed to treat 5.3), but larger, more valid studies were without significant effect. (</w:t>
            </w:r>
            <w:hyperlink w:anchor="Mason" w:history="1">
              <w:r w:rsidRPr="00D61F73">
                <w:rPr>
                  <w:rStyle w:val="Hyperlink"/>
                  <w:rFonts w:ascii="Arial" w:hAnsi="Arial" w:cs="Arial"/>
                </w:rPr>
                <w:t>Mason-BMJ, 2004</w:t>
              </w:r>
            </w:hyperlink>
            <w:r w:rsidRPr="00D61F73">
              <w:rPr>
                <w:rFonts w:ascii="Arial" w:hAnsi="Arial" w:cs="Arial"/>
              </w:rPr>
              <w:t>) This review found evidence that was limited by the quality, validity and size of the available studies, particularly for studies in acute pain conditions like strains and sprains, where there was inadequate information to support the use of topical rubefacients containing salicylates. In chronic pain conditions such as osteoarthritis the evidence was more robust, but rubefacients appear to provide useful levels of pain relief in one in six individuals over and above those who also responded to placebo. This compares poorly with topical NSAIDs where substantial amounts of good quality evidence indicate that one in every three individuals treated will experience useful levels of pain relief over and above those who also responded to placebo. (</w:t>
            </w:r>
            <w:hyperlink w:anchor="Matthews" w:history="1">
              <w:r w:rsidRPr="00D61F73">
                <w:rPr>
                  <w:rStyle w:val="Hyperlink"/>
                  <w:rFonts w:ascii="Arial" w:hAnsi="Arial" w:cs="Arial"/>
                </w:rPr>
                <w:t>Matthews-</w:t>
              </w:r>
              <w:r w:rsidRPr="00D61F73">
                <w:rPr>
                  <w:rStyle w:val="Hyperlink"/>
                  <w:rFonts w:ascii="Arial" w:hAnsi="Arial" w:cs="Arial"/>
                  <w:i/>
                  <w:iCs/>
                </w:rPr>
                <w:t>Cochrane</w:t>
              </w:r>
              <w:r w:rsidRPr="00D61F73">
                <w:rPr>
                  <w:rStyle w:val="Hyperlink"/>
                  <w:rFonts w:ascii="Arial" w:hAnsi="Arial" w:cs="Arial"/>
                </w:rPr>
                <w:t>, 2009</w:t>
              </w:r>
            </w:hyperlink>
            <w:r w:rsidRPr="00D61F73">
              <w:rPr>
                <w:rFonts w:ascii="Arial" w:hAnsi="Arial" w:cs="Arial"/>
              </w:rPr>
              <w:t>) Neither salicylates nor capsaicin have shown significant efficacy in the treatment of OA. (</w:t>
            </w:r>
            <w:hyperlink w:anchor="Altman2" w:history="1">
              <w:r w:rsidRPr="00D61F73">
                <w:rPr>
                  <w:rStyle w:val="Hyperlink"/>
                  <w:rFonts w:ascii="Arial" w:hAnsi="Arial" w:cs="Arial"/>
                </w:rPr>
                <w:t>Altman, 2009</w:t>
              </w:r>
            </w:hyperlink>
            <w:r w:rsidRPr="00D61F73">
              <w:rPr>
                <w:rFonts w:ascii="Arial" w:hAnsi="Arial" w:cs="Arial"/>
              </w:rPr>
              <w:t>) Topical OTC pain relievers that contain menthol, methyl salicylate, or capsaicin, may in rare instances cause serious burns, a new alert from the FDA warns. (</w:t>
            </w:r>
            <w:hyperlink r:id="rId149" w:history="1">
              <w:r w:rsidRPr="00D61F73">
                <w:rPr>
                  <w:rStyle w:val="Hyperlink"/>
                  <w:rFonts w:ascii="Arial" w:hAnsi="Arial" w:cs="Arial"/>
                </w:rPr>
                <w:t>FDA, 2012</w:t>
              </w:r>
            </w:hyperlink>
            <w:r w:rsidRPr="00D61F73">
              <w:rPr>
                <w:rFonts w:ascii="Arial" w:hAnsi="Arial" w:cs="Arial"/>
              </w:rPr>
              <w:t xml:space="preserve">) See also </w:t>
            </w:r>
            <w:hyperlink w:anchor="Topicalanalgesics" w:history="1">
              <w:r w:rsidRPr="00D61F73">
                <w:rPr>
                  <w:rStyle w:val="Hyperlink"/>
                  <w:rFonts w:ascii="Arial" w:hAnsi="Arial" w:cs="Arial"/>
                </w:rPr>
                <w:t>Topical analgesics</w:t>
              </w:r>
            </w:hyperlink>
            <w:r w:rsidRPr="00D61F73">
              <w:rPr>
                <w:rFonts w:ascii="Arial" w:hAnsi="Arial" w:cs="Arial"/>
              </w:rPr>
              <w:t xml:space="preserve">; &amp; also </w:t>
            </w:r>
            <w:hyperlink w:anchor="Topicalanalgesicscompounded" w:history="1">
              <w:r w:rsidRPr="00D61F73">
                <w:rPr>
                  <w:rStyle w:val="Hyperlink"/>
                  <w:rFonts w:ascii="Arial" w:hAnsi="Arial" w:cs="Arial"/>
                </w:rPr>
                <w:t>Topical analgesics, compounded</w:t>
              </w:r>
            </w:hyperlink>
            <w:r w:rsidRPr="00D61F73">
              <w:rPr>
                <w:rFonts w:ascii="Arial" w:hAnsi="Arial" w:cs="Arial"/>
              </w:rPr>
              <w:t>.</w:t>
            </w:r>
          </w:p>
        </w:tc>
      </w:tr>
      <w:tr w:rsidR="0038137E" w:rsidRPr="00D61F73" w14:paraId="16DB99BF" w14:textId="77777777" w:rsidTr="0038137E">
        <w:tc>
          <w:tcPr>
            <w:tcW w:w="1088" w:type="pct"/>
            <w:shd w:val="clear" w:color="auto" w:fill="auto"/>
          </w:tcPr>
          <w:p w14:paraId="2C8381B1" w14:textId="5B9C3156"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Savella</w:t>
            </w:r>
          </w:p>
        </w:tc>
        <w:tc>
          <w:tcPr>
            <w:tcW w:w="3912" w:type="pct"/>
            <w:shd w:val="clear" w:color="auto" w:fill="auto"/>
          </w:tcPr>
          <w:p w14:paraId="4C132E14" w14:textId="71C5401D" w:rsidR="0038137E" w:rsidRPr="00D61F73" w:rsidRDefault="0038137E" w:rsidP="00D61F73">
            <w:pPr>
              <w:rPr>
                <w:rFonts w:ascii="Arial" w:hAnsi="Arial" w:cs="Arial"/>
              </w:rPr>
            </w:pPr>
            <w:r w:rsidRPr="00D61F73">
              <w:rPr>
                <w:rFonts w:ascii="Arial" w:hAnsi="Arial" w:cs="Arial"/>
              </w:rPr>
              <w:t xml:space="preserve">See </w:t>
            </w:r>
            <w:hyperlink w:anchor="Milnacipran" w:history="1">
              <w:r w:rsidRPr="00D61F73">
                <w:rPr>
                  <w:rStyle w:val="Hyperlink"/>
                  <w:rFonts w:ascii="Arial" w:hAnsi="Arial" w:cs="Arial"/>
                </w:rPr>
                <w:t>Milnacipran</w:t>
              </w:r>
            </w:hyperlink>
            <w:r w:rsidRPr="00D61F73">
              <w:rPr>
                <w:rFonts w:ascii="Arial" w:hAnsi="Arial" w:cs="Arial"/>
              </w:rPr>
              <w:t xml:space="preserve"> (Savella®).</w:t>
            </w:r>
          </w:p>
        </w:tc>
      </w:tr>
      <w:tr w:rsidR="0038137E" w:rsidRPr="00D61F73" w14:paraId="5BD99BEC" w14:textId="77777777" w:rsidTr="0038137E">
        <w:tc>
          <w:tcPr>
            <w:tcW w:w="1088" w:type="pct"/>
            <w:shd w:val="clear" w:color="auto" w:fill="auto"/>
          </w:tcPr>
          <w:p w14:paraId="01A5FE1F" w14:textId="1526F83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Sclerotherapy (prolotherapy) </w:t>
            </w:r>
          </w:p>
        </w:tc>
        <w:tc>
          <w:tcPr>
            <w:tcW w:w="3912" w:type="pct"/>
            <w:shd w:val="clear" w:color="auto" w:fill="auto"/>
          </w:tcPr>
          <w:p w14:paraId="5812948C" w14:textId="3F74A28E" w:rsidR="0038137E" w:rsidRPr="00D61F73" w:rsidRDefault="0038137E" w:rsidP="00D61F73">
            <w:pPr>
              <w:rPr>
                <w:rFonts w:ascii="Arial" w:hAnsi="Arial" w:cs="Arial"/>
              </w:rPr>
            </w:pPr>
            <w:r w:rsidRPr="00D61F73">
              <w:rPr>
                <w:rFonts w:ascii="Arial" w:hAnsi="Arial" w:cs="Arial"/>
              </w:rPr>
              <w:t>Not recommended for treatment of chronic pain. Sclerotherapy/prolotherapy has no proven value via well-controlled, double blind studies and may have harmful effects. (</w:t>
            </w:r>
            <w:hyperlink w:anchor="Colorado" w:history="1">
              <w:r w:rsidRPr="00D61F73">
                <w:rPr>
                  <w:rStyle w:val="Hyperlink"/>
                  <w:rFonts w:ascii="Arial" w:hAnsi="Arial" w:cs="Arial"/>
                </w:rPr>
                <w:t>ChronicPain, 1998</w:t>
              </w:r>
            </w:hyperlink>
            <w:r w:rsidRPr="00D61F73">
              <w:rPr>
                <w:rFonts w:ascii="Arial" w:hAnsi="Arial" w:cs="Arial"/>
              </w:rPr>
              <w:t xml:space="preserve">)  See </w:t>
            </w:r>
            <w:hyperlink w:anchor="Prolotherapy" w:history="1">
              <w:r w:rsidRPr="00D61F73">
                <w:rPr>
                  <w:rStyle w:val="Hyperlink"/>
                  <w:rFonts w:ascii="Arial" w:hAnsi="Arial" w:cs="Arial"/>
                </w:rPr>
                <w:t>Prolotherapy.</w:t>
              </w:r>
            </w:hyperlink>
            <w:r w:rsidRPr="00D61F73">
              <w:rPr>
                <w:rFonts w:ascii="Arial" w:hAnsi="Arial" w:cs="Arial"/>
              </w:rPr>
              <w:t xml:space="preserve"> </w:t>
            </w:r>
          </w:p>
        </w:tc>
      </w:tr>
      <w:tr w:rsidR="0038137E" w:rsidRPr="00D61F73" w14:paraId="5628D116" w14:textId="77777777" w:rsidTr="0038137E">
        <w:tc>
          <w:tcPr>
            <w:tcW w:w="1088" w:type="pct"/>
            <w:shd w:val="clear" w:color="auto" w:fill="auto"/>
          </w:tcPr>
          <w:p w14:paraId="463F829A" w14:textId="5C4089E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w:t>
            </w:r>
            <w:bookmarkStart w:id="369" w:name="Scramblertherapy"/>
            <w:bookmarkEnd w:id="369"/>
            <w:r w:rsidRPr="00D61F73">
              <w:rPr>
                <w:rFonts w:ascii="Arial" w:hAnsi="Arial" w:cs="Arial"/>
              </w:rPr>
              <w:t xml:space="preserve">crambler therapy (Calmare®) </w:t>
            </w:r>
          </w:p>
        </w:tc>
        <w:tc>
          <w:tcPr>
            <w:tcW w:w="3912" w:type="pct"/>
            <w:shd w:val="clear" w:color="auto" w:fill="auto"/>
          </w:tcPr>
          <w:p w14:paraId="0D822DEF" w14:textId="2119CFD4" w:rsidR="0038137E" w:rsidRPr="00D61F73" w:rsidRDefault="0038137E" w:rsidP="00D61F73">
            <w:pPr>
              <w:rPr>
                <w:rFonts w:ascii="Arial" w:hAnsi="Arial" w:cs="Arial"/>
              </w:rPr>
            </w:pPr>
            <w:r w:rsidRPr="00D61F73">
              <w:rPr>
                <w:rFonts w:ascii="Arial" w:hAnsi="Arial" w:cs="Arial"/>
              </w:rPr>
              <w:t xml:space="preserve">Not recommended for the treatment of chronic pain. There are promising pilot studies, but higher quality studies are needed and are currently being conducted. The evidence is not yet sufficient to permit conclusions about the benefits of Scrambler therapy, also known as transcutaneous electrical modulation pain reprocessing, for the treatment of chronic pain. The device is intended to scramble pain information with no-pain information, to reduce the perception of pain intensity. Scrambler therapy interrupts transmission of pain signals by delivering electrical stimulation that is interpreted by the nervous system as no pain, and it is performed using a type of transcutaneous electrical stimulation (TENS) device that is specifically designed for this therapy. Cutaneous nerves are stimulated using 5 surface electrode pairs that are placed in the dermatomes above </w:t>
            </w:r>
            <w:r w:rsidRPr="00D61F73">
              <w:rPr>
                <w:rFonts w:ascii="Arial" w:hAnsi="Arial" w:cs="Arial"/>
              </w:rPr>
              <w:lastRenderedPageBreak/>
              <w:t>and below the pain area. Unlike conventional TENS, scrambler therapy is administered in the office setting under physician supervision. Treatment applications are interactive between the patient and the provider, with the provider attending and making adjustments approximately every 10 minutes throughout the treatment session, which typically lasts an hour. There have been pilot studies, but the preliminary findings from these pilot studies need to be validated by well-designed studies. While preliminary results suggested that cutaneous electro-stimulation with the Calmare can be hypothesized as part of a multi-modality approach to the treatment of chronic pain, further studies on larger numbers of patients are needed to assess its efficacy, to quantify the effects of inter-operator variability, and to compare results obtained from the active device versus those from a sham machine. The pilot studies are useful in informing hypothesis formation, but they do not permit conclusions on efficacy and safety due to small size, lack of a sham control group, and short-term follow-up period. (</w:t>
            </w:r>
            <w:hyperlink w:anchor="Marineo2012" w:history="1">
              <w:r w:rsidRPr="00D61F73">
                <w:rPr>
                  <w:rStyle w:val="Hyperlink"/>
                  <w:rFonts w:ascii="Arial" w:hAnsi="Arial" w:cs="Arial"/>
                </w:rPr>
                <w:t>Marineo, 2012</w:t>
              </w:r>
            </w:hyperlink>
            <w:r w:rsidRPr="00D61F73">
              <w:rPr>
                <w:rFonts w:ascii="Arial" w:hAnsi="Arial" w:cs="Arial"/>
              </w:rPr>
              <w:t>) (</w:t>
            </w:r>
            <w:hyperlink w:anchor="Ricci2012" w:history="1">
              <w:r w:rsidRPr="00D61F73">
                <w:rPr>
                  <w:rStyle w:val="Hyperlink"/>
                  <w:rFonts w:ascii="Arial" w:hAnsi="Arial" w:cs="Arial"/>
                </w:rPr>
                <w:t>Ricci, 2012</w:t>
              </w:r>
            </w:hyperlink>
            <w:r w:rsidRPr="00D61F73">
              <w:rPr>
                <w:rFonts w:ascii="Arial" w:hAnsi="Arial" w:cs="Arial"/>
              </w:rPr>
              <w:t>)</w:t>
            </w:r>
          </w:p>
        </w:tc>
      </w:tr>
      <w:tr w:rsidR="0038137E" w:rsidRPr="00D61F73" w14:paraId="5ABDA534" w14:textId="77777777" w:rsidTr="0038137E">
        <w:tc>
          <w:tcPr>
            <w:tcW w:w="1088" w:type="pct"/>
            <w:shd w:val="clear" w:color="auto" w:fill="auto"/>
          </w:tcPr>
          <w:p w14:paraId="76EA19B9" w14:textId="69A51E7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SDET</w:t>
            </w:r>
          </w:p>
        </w:tc>
        <w:tc>
          <w:tcPr>
            <w:tcW w:w="3912" w:type="pct"/>
            <w:shd w:val="clear" w:color="auto" w:fill="auto"/>
          </w:tcPr>
          <w:p w14:paraId="0DE9BB28" w14:textId="04F07DF5" w:rsidR="0038137E" w:rsidRPr="00D61F73" w:rsidRDefault="0038137E" w:rsidP="00D61F73">
            <w:pPr>
              <w:rPr>
                <w:rFonts w:ascii="Arial" w:hAnsi="Arial" w:cs="Arial"/>
              </w:rPr>
            </w:pPr>
            <w:r w:rsidRPr="00D61F73">
              <w:rPr>
                <w:rFonts w:ascii="Arial" w:hAnsi="Arial" w:cs="Arial"/>
              </w:rPr>
              <w:t xml:space="preserve">See </w:t>
            </w:r>
            <w:hyperlink w:anchor="Workconditionworkhard" w:history="1">
              <w:r w:rsidRPr="00D61F73">
                <w:rPr>
                  <w:rStyle w:val="Hyperlink"/>
                  <w:rFonts w:ascii="Arial" w:hAnsi="Arial" w:cs="Arial"/>
                </w:rPr>
                <w:t>Work conditioning, work hardening</w:t>
              </w:r>
            </w:hyperlink>
            <w:r w:rsidRPr="00D61F73">
              <w:rPr>
                <w:rFonts w:ascii="Arial" w:hAnsi="Arial" w:cs="Arial"/>
              </w:rPr>
              <w:t>. The SDET (single-discipline exercise therapy) terminology is frequently used to refer to work hardening.</w:t>
            </w:r>
          </w:p>
        </w:tc>
      </w:tr>
      <w:tr w:rsidR="0038137E" w:rsidRPr="00D61F73" w14:paraId="47027BFE" w14:textId="77777777" w:rsidTr="0038137E">
        <w:tc>
          <w:tcPr>
            <w:tcW w:w="1088" w:type="pct"/>
            <w:shd w:val="clear" w:color="auto" w:fill="auto"/>
          </w:tcPr>
          <w:p w14:paraId="38779428" w14:textId="6B25E87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Sedative hypnotics</w:t>
            </w:r>
          </w:p>
        </w:tc>
        <w:tc>
          <w:tcPr>
            <w:tcW w:w="3912" w:type="pct"/>
            <w:shd w:val="clear" w:color="auto" w:fill="auto"/>
          </w:tcPr>
          <w:p w14:paraId="5E7B9B52" w14:textId="05247ADA" w:rsidR="0038137E" w:rsidRPr="00D61F73" w:rsidRDefault="0038137E" w:rsidP="00D61F73">
            <w:pPr>
              <w:rPr>
                <w:rFonts w:ascii="Arial" w:hAnsi="Arial" w:cs="Arial"/>
              </w:rPr>
            </w:pPr>
            <w:r w:rsidRPr="00D61F73">
              <w:rPr>
                <w:rFonts w:ascii="Arial" w:hAnsi="Arial" w:cs="Arial"/>
              </w:rPr>
              <w:t xml:space="preserve">See </w:t>
            </w:r>
            <w:hyperlink w:anchor="Insomniatreatment" w:history="1">
              <w:r w:rsidRPr="00D61F73">
                <w:rPr>
                  <w:rStyle w:val="Hyperlink"/>
                  <w:rFonts w:ascii="Arial" w:hAnsi="Arial" w:cs="Arial"/>
                </w:rPr>
                <w:t>Insomnia treatment</w:t>
              </w:r>
            </w:hyperlink>
            <w:r w:rsidRPr="00D61F73">
              <w:rPr>
                <w:rFonts w:ascii="Arial" w:hAnsi="Arial" w:cs="Arial"/>
              </w:rPr>
              <w:t>.</w:t>
            </w:r>
          </w:p>
        </w:tc>
      </w:tr>
      <w:tr w:rsidR="0038137E" w:rsidRPr="00D61F73" w14:paraId="45BD6A17" w14:textId="77777777" w:rsidTr="0038137E">
        <w:tc>
          <w:tcPr>
            <w:tcW w:w="1088" w:type="pct"/>
            <w:shd w:val="clear" w:color="auto" w:fill="auto"/>
          </w:tcPr>
          <w:p w14:paraId="455BABFF" w14:textId="17FAB2B6"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Sensory nerve conduction threshold (sNCT) device</w:t>
            </w:r>
          </w:p>
        </w:tc>
        <w:tc>
          <w:tcPr>
            <w:tcW w:w="3912" w:type="pct"/>
            <w:shd w:val="clear" w:color="auto" w:fill="auto"/>
          </w:tcPr>
          <w:p w14:paraId="68E21E9D" w14:textId="365C705C" w:rsidR="0038137E" w:rsidRPr="00D61F73" w:rsidRDefault="0038137E" w:rsidP="00D61F73">
            <w:pPr>
              <w:rPr>
                <w:rFonts w:ascii="Arial" w:hAnsi="Arial" w:cs="Arial"/>
              </w:rPr>
            </w:pPr>
            <w:r w:rsidRPr="00D61F73">
              <w:rPr>
                <w:rFonts w:ascii="Arial" w:hAnsi="Arial" w:cs="Arial"/>
              </w:rPr>
              <w:t xml:space="preserve">See </w:t>
            </w:r>
            <w:hyperlink w:anchor="Currentperceptionthreshold" w:history="1">
              <w:r w:rsidRPr="00D61F73">
                <w:rPr>
                  <w:rStyle w:val="Hyperlink"/>
                  <w:rFonts w:ascii="Arial" w:hAnsi="Arial" w:cs="Arial"/>
                </w:rPr>
                <w:t>Current perception threshold</w:t>
              </w:r>
            </w:hyperlink>
            <w:r w:rsidRPr="00D61F73">
              <w:rPr>
                <w:rFonts w:ascii="Arial" w:hAnsi="Arial" w:cs="Arial"/>
              </w:rPr>
              <w:t xml:space="preserve"> (CPT) testing.</w:t>
            </w:r>
          </w:p>
        </w:tc>
      </w:tr>
      <w:tr w:rsidR="0038137E" w:rsidRPr="00D61F73" w14:paraId="0AF9DD47" w14:textId="77777777" w:rsidTr="0038137E">
        <w:tc>
          <w:tcPr>
            <w:tcW w:w="1088" w:type="pct"/>
            <w:shd w:val="clear" w:color="auto" w:fill="auto"/>
          </w:tcPr>
          <w:p w14:paraId="0E9BD444" w14:textId="22CFC28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Sentra PM™</w:t>
            </w:r>
          </w:p>
        </w:tc>
        <w:tc>
          <w:tcPr>
            <w:tcW w:w="3912" w:type="pct"/>
            <w:shd w:val="clear" w:color="auto" w:fill="auto"/>
          </w:tcPr>
          <w:p w14:paraId="0B2AFB5D" w14:textId="6681B444" w:rsidR="0038137E" w:rsidRPr="00D61F73" w:rsidRDefault="0038137E" w:rsidP="00D61F73">
            <w:pPr>
              <w:rPr>
                <w:rFonts w:ascii="Arial" w:hAnsi="Arial" w:cs="Arial"/>
              </w:rPr>
            </w:pPr>
            <w:r w:rsidRPr="00D61F73">
              <w:rPr>
                <w:rFonts w:ascii="Arial" w:hAnsi="Arial" w:cs="Arial"/>
              </w:rPr>
              <w:t xml:space="preserve">Not recommended for the treatment of chronic pain. Sentra PM™ is a medical food that is a proprietary blend of choline bitartrate, glutamate, and 5-hydroxytryptophan. See </w:t>
            </w:r>
            <w:hyperlink w:anchor="Medicalfood" w:history="1">
              <w:r w:rsidRPr="00D61F73">
                <w:rPr>
                  <w:rStyle w:val="Hyperlink"/>
                  <w:rFonts w:ascii="Arial" w:hAnsi="Arial" w:cs="Arial"/>
                </w:rPr>
                <w:t>Medical food</w:t>
              </w:r>
            </w:hyperlink>
            <w:r w:rsidRPr="00D61F73">
              <w:rPr>
                <w:rStyle w:val="Hyperlink"/>
                <w:rFonts w:ascii="Arial" w:hAnsi="Arial" w:cs="Arial"/>
              </w:rPr>
              <w:t>s</w:t>
            </w:r>
            <w:r w:rsidRPr="00D61F73">
              <w:rPr>
                <w:rFonts w:ascii="Arial" w:hAnsi="Arial" w:cs="Arial"/>
              </w:rPr>
              <w:t xml:space="preserve">. </w:t>
            </w:r>
          </w:p>
        </w:tc>
      </w:tr>
      <w:tr w:rsidR="0038137E" w:rsidRPr="00D61F73" w14:paraId="0F5DBCB8" w14:textId="77777777" w:rsidTr="0038137E">
        <w:tc>
          <w:tcPr>
            <w:tcW w:w="1088" w:type="pct"/>
            <w:shd w:val="clear" w:color="auto" w:fill="auto"/>
          </w:tcPr>
          <w:p w14:paraId="2EAAB301" w14:textId="282724B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Serotonin norepinephrine reuptake inhibitors (SNRIs)</w:t>
            </w:r>
          </w:p>
        </w:tc>
        <w:tc>
          <w:tcPr>
            <w:tcW w:w="3912" w:type="pct"/>
            <w:shd w:val="clear" w:color="auto" w:fill="auto"/>
          </w:tcPr>
          <w:p w14:paraId="65A1E868" w14:textId="6BFAEB06" w:rsidR="0038137E" w:rsidRPr="00D61F73" w:rsidRDefault="0038137E" w:rsidP="00D61F73">
            <w:pPr>
              <w:rPr>
                <w:rFonts w:ascii="Arial" w:hAnsi="Arial" w:cs="Arial"/>
              </w:rPr>
            </w:pPr>
            <w:r w:rsidRPr="00D61F73">
              <w:rPr>
                <w:rFonts w:ascii="Arial" w:hAnsi="Arial" w:cs="Arial"/>
              </w:rPr>
              <w:t xml:space="preserve">See </w:t>
            </w:r>
            <w:hyperlink w:anchor="Duloxetine" w:history="1">
              <w:r w:rsidRPr="00D61F73">
                <w:rPr>
                  <w:rStyle w:val="Hyperlink"/>
                  <w:rFonts w:ascii="Arial" w:hAnsi="Arial" w:cs="Arial"/>
                </w:rPr>
                <w:t>Duloxetine</w:t>
              </w:r>
            </w:hyperlink>
            <w:r w:rsidRPr="00D61F73">
              <w:rPr>
                <w:rFonts w:ascii="Arial" w:hAnsi="Arial" w:cs="Arial"/>
              </w:rPr>
              <w:t xml:space="preserve"> (Cymbalta®); &amp; </w:t>
            </w:r>
            <w:hyperlink w:anchor="Milnacipran" w:history="1">
              <w:r w:rsidRPr="00D61F73">
                <w:rPr>
                  <w:rStyle w:val="Hyperlink"/>
                  <w:rFonts w:ascii="Arial" w:hAnsi="Arial" w:cs="Arial"/>
                </w:rPr>
                <w:t>Milnacipran</w:t>
              </w:r>
            </w:hyperlink>
            <w:r w:rsidRPr="00D61F73">
              <w:rPr>
                <w:rFonts w:ascii="Arial" w:hAnsi="Arial" w:cs="Arial"/>
              </w:rPr>
              <w:t xml:space="preserve"> (Ixel®). See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for general guidelines, as well as specific </w:t>
            </w:r>
            <w:hyperlink w:anchor="SNRIsListing" w:history="1">
              <w:r w:rsidRPr="00D61F73">
                <w:rPr>
                  <w:rStyle w:val="Hyperlink"/>
                  <w:rFonts w:ascii="Arial" w:hAnsi="Arial" w:cs="Arial"/>
                </w:rPr>
                <w:t>SNRI</w:t>
              </w:r>
            </w:hyperlink>
            <w:r w:rsidRPr="00D61F73">
              <w:rPr>
                <w:rFonts w:ascii="Arial" w:hAnsi="Arial" w:cs="Arial"/>
              </w:rPr>
              <w:t xml:space="preserve"> listing for more information and references.</w:t>
            </w:r>
          </w:p>
        </w:tc>
      </w:tr>
      <w:tr w:rsidR="0038137E" w:rsidRPr="00D61F73" w14:paraId="06C8577F" w14:textId="77777777" w:rsidTr="0038137E">
        <w:tc>
          <w:tcPr>
            <w:tcW w:w="1088" w:type="pct"/>
            <w:shd w:val="clear" w:color="auto" w:fill="auto"/>
          </w:tcPr>
          <w:p w14:paraId="1A1D97A4" w14:textId="604AC4E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Sertraline</w:t>
            </w:r>
          </w:p>
        </w:tc>
        <w:tc>
          <w:tcPr>
            <w:tcW w:w="3912" w:type="pct"/>
            <w:shd w:val="clear" w:color="auto" w:fill="auto"/>
          </w:tcPr>
          <w:p w14:paraId="7C4F3C47" w14:textId="57050971" w:rsidR="0038137E" w:rsidRPr="00D61F73" w:rsidRDefault="0038137E" w:rsidP="00D61F73">
            <w:pPr>
              <w:rPr>
                <w:rFonts w:ascii="Arial" w:hAnsi="Arial" w:cs="Arial"/>
              </w:rPr>
            </w:pPr>
            <w:r w:rsidRPr="00D61F73">
              <w:rPr>
                <w:rFonts w:ascii="Arial" w:hAnsi="Arial" w:cs="Arial"/>
              </w:rPr>
              <w:t xml:space="preserve">See </w:t>
            </w:r>
            <w:hyperlink w:anchor="SSRIs" w:history="1">
              <w:r w:rsidRPr="00D61F73">
                <w:rPr>
                  <w:rStyle w:val="Hyperlink"/>
                  <w:rFonts w:ascii="Arial" w:hAnsi="Arial" w:cs="Arial"/>
                </w:rPr>
                <w:t>SSRIs</w:t>
              </w:r>
            </w:hyperlink>
            <w:r w:rsidRPr="00D61F73">
              <w:rPr>
                <w:rFonts w:ascii="Arial" w:hAnsi="Arial" w:cs="Arial"/>
              </w:rPr>
              <w:t xml:space="preserve"> (selective serotonin reuptake inhibitors).</w:t>
            </w:r>
          </w:p>
        </w:tc>
      </w:tr>
      <w:tr w:rsidR="0038137E" w:rsidRPr="00D61F73" w14:paraId="1C493147" w14:textId="77777777" w:rsidTr="0038137E">
        <w:tc>
          <w:tcPr>
            <w:tcW w:w="1088" w:type="pct"/>
            <w:shd w:val="clear" w:color="auto" w:fill="auto"/>
          </w:tcPr>
          <w:p w14:paraId="4ED16599" w14:textId="7595A45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Skelaxin® (metaxalone)</w:t>
            </w:r>
          </w:p>
        </w:tc>
        <w:tc>
          <w:tcPr>
            <w:tcW w:w="3912" w:type="pct"/>
            <w:shd w:val="clear" w:color="auto" w:fill="auto"/>
          </w:tcPr>
          <w:p w14:paraId="21E51A07" w14:textId="77777777" w:rsidR="0038137E" w:rsidRPr="00D61F73" w:rsidRDefault="0038137E" w:rsidP="00D61F73">
            <w:pPr>
              <w:rPr>
                <w:rFonts w:ascii="Arial" w:hAnsi="Arial" w:cs="Arial"/>
              </w:rPr>
            </w:pPr>
            <w:r w:rsidRPr="00D61F73">
              <w:rPr>
                <w:rFonts w:ascii="Arial" w:hAnsi="Arial" w:cs="Arial"/>
              </w:rPr>
              <w:t xml:space="preserve">Skelaxin® is a brand name for metaxalone marketed by King Pharmaceuticals. See </w:t>
            </w:r>
            <w:hyperlink w:anchor="Metaxalone" w:history="1">
              <w:r w:rsidRPr="00D61F73">
                <w:rPr>
                  <w:rStyle w:val="Hyperlink"/>
                  <w:rFonts w:ascii="Arial" w:hAnsi="Arial" w:cs="Arial"/>
                </w:rPr>
                <w:t>Metaxalone</w:t>
              </w:r>
            </w:hyperlink>
            <w:r w:rsidRPr="00D61F73">
              <w:rPr>
                <w:rFonts w:ascii="Arial" w:hAnsi="Arial" w:cs="Arial"/>
              </w:rPr>
              <w:t xml:space="preserve"> (Skelaxin®). </w:t>
            </w:r>
          </w:p>
          <w:p w14:paraId="52337CD7" w14:textId="77480B44" w:rsidR="0038137E" w:rsidRPr="00D61F73" w:rsidRDefault="0038137E" w:rsidP="00D61F73">
            <w:pPr>
              <w:rPr>
                <w:rFonts w:ascii="Arial" w:hAnsi="Arial" w:cs="Arial"/>
              </w:rPr>
            </w:pPr>
          </w:p>
        </w:tc>
      </w:tr>
      <w:tr w:rsidR="0038137E" w:rsidRPr="00D61F73" w14:paraId="386B2C78" w14:textId="77777777" w:rsidTr="0038137E">
        <w:tc>
          <w:tcPr>
            <w:tcW w:w="1088" w:type="pct"/>
            <w:shd w:val="clear" w:color="auto" w:fill="auto"/>
          </w:tcPr>
          <w:p w14:paraId="3EF43D38" w14:textId="7F991A1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Sleep studies</w:t>
            </w:r>
          </w:p>
        </w:tc>
        <w:tc>
          <w:tcPr>
            <w:tcW w:w="3912" w:type="pct"/>
            <w:shd w:val="clear" w:color="auto" w:fill="auto"/>
          </w:tcPr>
          <w:p w14:paraId="5C5EB5A4" w14:textId="6D244ECA" w:rsidR="0038137E" w:rsidRPr="00D61F73" w:rsidRDefault="0038137E" w:rsidP="00D61F73">
            <w:pPr>
              <w:rPr>
                <w:rFonts w:ascii="Arial" w:hAnsi="Arial" w:cs="Arial"/>
              </w:rPr>
            </w:pPr>
            <w:r w:rsidRPr="00D61F73">
              <w:rPr>
                <w:rFonts w:ascii="Arial" w:hAnsi="Arial" w:cs="Arial"/>
              </w:rPr>
              <w:t xml:space="preserve">See </w:t>
            </w:r>
            <w:hyperlink w:anchor="Polysomnography" w:history="1">
              <w:r w:rsidRPr="00D61F73">
                <w:rPr>
                  <w:rStyle w:val="Hyperlink"/>
                  <w:rFonts w:ascii="Arial" w:hAnsi="Arial" w:cs="Arial"/>
                </w:rPr>
                <w:t>Polysomnography</w:t>
              </w:r>
            </w:hyperlink>
            <w:r w:rsidRPr="00D61F73">
              <w:rPr>
                <w:rFonts w:ascii="Arial" w:hAnsi="Arial" w:cs="Arial"/>
              </w:rPr>
              <w:t>.</w:t>
            </w:r>
          </w:p>
        </w:tc>
      </w:tr>
      <w:tr w:rsidR="0038137E" w:rsidRPr="00D61F73" w14:paraId="1CF9966C" w14:textId="77777777" w:rsidTr="0038137E">
        <w:tc>
          <w:tcPr>
            <w:tcW w:w="1088" w:type="pct"/>
            <w:shd w:val="clear" w:color="auto" w:fill="auto"/>
          </w:tcPr>
          <w:p w14:paraId="0295D3E9" w14:textId="165CA02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Sleeping pills</w:t>
            </w:r>
          </w:p>
        </w:tc>
        <w:tc>
          <w:tcPr>
            <w:tcW w:w="3912" w:type="pct"/>
            <w:shd w:val="clear" w:color="auto" w:fill="auto"/>
          </w:tcPr>
          <w:p w14:paraId="48EF3CBA" w14:textId="148759D1" w:rsidR="0038137E" w:rsidRPr="00D61F73" w:rsidRDefault="0038137E" w:rsidP="00D61F73">
            <w:pPr>
              <w:rPr>
                <w:rFonts w:ascii="Arial" w:hAnsi="Arial" w:cs="Arial"/>
              </w:rPr>
            </w:pPr>
            <w:r w:rsidRPr="00D61F73">
              <w:rPr>
                <w:rFonts w:ascii="Arial" w:hAnsi="Arial" w:cs="Arial"/>
              </w:rPr>
              <w:t xml:space="preserve">See </w:t>
            </w:r>
            <w:hyperlink w:anchor="Insomniatreatment" w:history="1">
              <w:r w:rsidRPr="00D61F73">
                <w:rPr>
                  <w:rStyle w:val="Hyperlink"/>
                  <w:rFonts w:ascii="Arial" w:hAnsi="Arial" w:cs="Arial"/>
                </w:rPr>
                <w:t>Insomnia medications</w:t>
              </w:r>
            </w:hyperlink>
            <w:r w:rsidRPr="00D61F73">
              <w:rPr>
                <w:rFonts w:ascii="Arial" w:hAnsi="Arial" w:cs="Arial"/>
              </w:rPr>
              <w:t>.</w:t>
            </w:r>
          </w:p>
        </w:tc>
      </w:tr>
      <w:tr w:rsidR="0038137E" w:rsidRPr="00D61F73" w14:paraId="63EDF91C" w14:textId="77777777" w:rsidTr="0038137E">
        <w:tc>
          <w:tcPr>
            <w:tcW w:w="1088" w:type="pct"/>
            <w:shd w:val="clear" w:color="auto" w:fill="auto"/>
          </w:tcPr>
          <w:p w14:paraId="2E0C7877" w14:textId="2D1CDE4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SNRIs (serotonin noradrenaline reuptake inhibitors)</w:t>
            </w:r>
          </w:p>
        </w:tc>
        <w:tc>
          <w:tcPr>
            <w:tcW w:w="3912" w:type="pct"/>
            <w:shd w:val="clear" w:color="auto" w:fill="auto"/>
          </w:tcPr>
          <w:p w14:paraId="2F762ECB" w14:textId="77643579" w:rsidR="0038137E" w:rsidRPr="00D61F73" w:rsidRDefault="0038137E" w:rsidP="00D61F73">
            <w:pPr>
              <w:rPr>
                <w:rFonts w:ascii="Arial" w:hAnsi="Arial" w:cs="Arial"/>
              </w:rPr>
            </w:pPr>
            <w:r w:rsidRPr="00D61F73">
              <w:rPr>
                <w:rFonts w:ascii="Arial" w:hAnsi="Arial" w:cs="Arial"/>
              </w:rPr>
              <w:t xml:space="preserve">Recommended as an option in first-line treatment of neuropathic pain, especially if tricyclics are ineffective, poorly tolerated, or contraindicated. See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for general guidelines, as well as specific </w:t>
            </w:r>
            <w:hyperlink w:anchor="SNRIsListing" w:history="1">
              <w:r w:rsidRPr="00D61F73">
                <w:rPr>
                  <w:rStyle w:val="Hyperlink"/>
                  <w:rFonts w:ascii="Arial" w:hAnsi="Arial" w:cs="Arial"/>
                </w:rPr>
                <w:t>SNRI</w:t>
              </w:r>
            </w:hyperlink>
            <w:r w:rsidRPr="00D61F73">
              <w:rPr>
                <w:rFonts w:ascii="Arial" w:hAnsi="Arial" w:cs="Arial"/>
              </w:rPr>
              <w:t xml:space="preserve"> listing for more information and references. See also </w:t>
            </w:r>
            <w:hyperlink w:anchor="Venlafaxine" w:history="1">
              <w:r w:rsidRPr="00D61F73">
                <w:rPr>
                  <w:rStyle w:val="Hyperlink"/>
                  <w:rFonts w:ascii="Arial" w:hAnsi="Arial" w:cs="Arial"/>
                </w:rPr>
                <w:t>Venlafaxine</w:t>
              </w:r>
            </w:hyperlink>
            <w:r w:rsidRPr="00D61F73">
              <w:rPr>
                <w:rFonts w:ascii="Arial" w:hAnsi="Arial" w:cs="Arial"/>
              </w:rPr>
              <w:t xml:space="preserve"> (Effexor®) and </w:t>
            </w:r>
            <w:hyperlink w:anchor="Duloxetine" w:history="1">
              <w:r w:rsidRPr="00D61F73">
                <w:rPr>
                  <w:rStyle w:val="Hyperlink"/>
                  <w:rFonts w:ascii="Arial" w:hAnsi="Arial" w:cs="Arial"/>
                </w:rPr>
                <w:t>Duloxetine</w:t>
              </w:r>
            </w:hyperlink>
            <w:r w:rsidRPr="00D61F73">
              <w:rPr>
                <w:rFonts w:ascii="Arial" w:hAnsi="Arial" w:cs="Arial"/>
              </w:rPr>
              <w:t xml:space="preserve"> (Cymbalta®).</w:t>
            </w:r>
          </w:p>
        </w:tc>
      </w:tr>
      <w:tr w:rsidR="0038137E" w:rsidRPr="00D61F73" w14:paraId="2E2BFED7" w14:textId="77777777" w:rsidTr="0038137E">
        <w:tc>
          <w:tcPr>
            <w:tcW w:w="1088" w:type="pct"/>
            <w:shd w:val="clear" w:color="auto" w:fill="auto"/>
          </w:tcPr>
          <w:p w14:paraId="3B7A9F6F" w14:textId="418011A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Sodium oxybate (Xyrem)</w:t>
            </w:r>
          </w:p>
        </w:tc>
        <w:tc>
          <w:tcPr>
            <w:tcW w:w="3912" w:type="pct"/>
            <w:shd w:val="clear" w:color="auto" w:fill="auto"/>
          </w:tcPr>
          <w:p w14:paraId="6A432D41" w14:textId="54B9360B" w:rsidR="0038137E" w:rsidRPr="00D61F73" w:rsidRDefault="0038137E" w:rsidP="00D61F73">
            <w:pPr>
              <w:rPr>
                <w:rFonts w:ascii="Arial" w:hAnsi="Arial" w:cs="Arial"/>
              </w:rPr>
            </w:pPr>
            <w:r w:rsidRPr="00D61F73">
              <w:rPr>
                <w:rFonts w:ascii="Arial" w:hAnsi="Arial" w:cs="Arial"/>
              </w:rPr>
              <w:t xml:space="preserve">Not recommended for fibromyalgia. The FDA rejected sodium oxybate (Xyrem) for the treatment of fibromyalgia. There is substantial risk of abuse because the drug is the same as GHB (gamma-Hydroxybutyric acid), the "date-rape" drug. Currently, the drug is approved for the treatment of excessive daytime sleepiness and cataplexy associated with narcolepsy. The FDA said there was lack of convincing evidence that the risks involved in releasing the drug to a large population were balanced by </w:t>
            </w:r>
            <w:r w:rsidRPr="00D61F73">
              <w:rPr>
                <w:rFonts w:ascii="Arial" w:hAnsi="Arial" w:cs="Arial"/>
              </w:rPr>
              <w:lastRenderedPageBreak/>
              <w:t>its effectiveness in treating fibromyalgia-related pain and sleeping problems, because there is no data to show that it is better than existing medications. (</w:t>
            </w:r>
            <w:hyperlink r:id="rId150" w:history="1">
              <w:r w:rsidRPr="00D61F73">
                <w:rPr>
                  <w:rStyle w:val="Hyperlink"/>
                  <w:rFonts w:ascii="Arial" w:hAnsi="Arial" w:cs="Arial"/>
                </w:rPr>
                <w:t>FDA, 2014</w:t>
              </w:r>
            </w:hyperlink>
            <w:r w:rsidRPr="00D61F73">
              <w:rPr>
                <w:rFonts w:ascii="Arial" w:hAnsi="Arial" w:cs="Arial"/>
              </w:rPr>
              <w:t xml:space="preserve">) </w:t>
            </w:r>
          </w:p>
        </w:tc>
      </w:tr>
      <w:tr w:rsidR="0038137E" w:rsidRPr="00D61F73" w14:paraId="29BBB4CC" w14:textId="77777777" w:rsidTr="0038137E">
        <w:tc>
          <w:tcPr>
            <w:tcW w:w="1088" w:type="pct"/>
            <w:shd w:val="clear" w:color="auto" w:fill="auto"/>
          </w:tcPr>
          <w:p w14:paraId="68DC4AFB" w14:textId="184F51C9"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Soma® (carisoprodol)</w:t>
            </w:r>
          </w:p>
        </w:tc>
        <w:tc>
          <w:tcPr>
            <w:tcW w:w="3912" w:type="pct"/>
            <w:shd w:val="clear" w:color="auto" w:fill="auto"/>
          </w:tcPr>
          <w:p w14:paraId="663566F5" w14:textId="261823F0" w:rsidR="0038137E" w:rsidRPr="00D61F73" w:rsidRDefault="0038137E" w:rsidP="00D61F73">
            <w:pPr>
              <w:rPr>
                <w:rFonts w:ascii="Arial" w:hAnsi="Arial" w:cs="Arial"/>
              </w:rPr>
            </w:pPr>
            <w:r w:rsidRPr="00D61F73">
              <w:rPr>
                <w:rFonts w:ascii="Arial" w:hAnsi="Arial" w:cs="Arial"/>
              </w:rPr>
              <w:t xml:space="preserve">See </w:t>
            </w:r>
            <w:hyperlink w:anchor="Carisoprodol" w:history="1">
              <w:r w:rsidRPr="00D61F73">
                <w:rPr>
                  <w:rStyle w:val="Hyperlink"/>
                  <w:rFonts w:ascii="Arial" w:hAnsi="Arial" w:cs="Arial"/>
                </w:rPr>
                <w:t>Carisoprodol</w:t>
              </w:r>
            </w:hyperlink>
            <w:r w:rsidRPr="00D61F73">
              <w:rPr>
                <w:rFonts w:ascii="Arial" w:hAnsi="Arial" w:cs="Arial"/>
              </w:rPr>
              <w:t xml:space="preserve"> (Soma®).</w:t>
            </w:r>
          </w:p>
        </w:tc>
      </w:tr>
      <w:tr w:rsidR="0038137E" w:rsidRPr="00D61F73" w14:paraId="0D4FE13C" w14:textId="77777777" w:rsidTr="0038137E">
        <w:tc>
          <w:tcPr>
            <w:tcW w:w="1088" w:type="pct"/>
            <w:shd w:val="clear" w:color="auto" w:fill="auto"/>
          </w:tcPr>
          <w:p w14:paraId="2113D040" w14:textId="68D0FE1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SpeedGel RX</w:t>
            </w:r>
          </w:p>
        </w:tc>
        <w:tc>
          <w:tcPr>
            <w:tcW w:w="3912" w:type="pct"/>
            <w:shd w:val="clear" w:color="auto" w:fill="auto"/>
          </w:tcPr>
          <w:p w14:paraId="1028EE6F" w14:textId="0EF41040" w:rsidR="0038137E" w:rsidRPr="00D61F73" w:rsidRDefault="0038137E" w:rsidP="00D61F73">
            <w:pPr>
              <w:rPr>
                <w:rFonts w:ascii="Arial" w:hAnsi="Arial" w:cs="Arial"/>
              </w:rPr>
            </w:pPr>
            <w:r w:rsidRPr="00D61F73">
              <w:rPr>
                <w:rFonts w:ascii="Arial" w:hAnsi="Arial" w:cs="Arial"/>
              </w:rPr>
              <w:t>Not recommended. There are no quality published studies. SpeedGel RX is a homeopathic topical analgesic gel for pain. The exact pharmacology by which SpeedGel RX works to control aches and pains associated with arthritis or trauma is unknown. According to the FDA, there is no scientific evidence to support this treatment. (</w:t>
            </w:r>
            <w:hyperlink r:id="rId151" w:history="1">
              <w:r w:rsidRPr="00D61F73">
                <w:rPr>
                  <w:rStyle w:val="Hyperlink"/>
                  <w:rFonts w:ascii="Arial" w:hAnsi="Arial" w:cs="Arial"/>
                </w:rPr>
                <w:t>NIH, 2014</w:t>
              </w:r>
            </w:hyperlink>
            <w:r w:rsidRPr="00D61F73">
              <w:rPr>
                <w:rFonts w:ascii="Arial" w:hAnsi="Arial" w:cs="Arial"/>
              </w:rPr>
              <w:t>)</w:t>
            </w:r>
          </w:p>
        </w:tc>
      </w:tr>
      <w:tr w:rsidR="0038137E" w:rsidRPr="00D61F73" w14:paraId="352CF899" w14:textId="77777777" w:rsidTr="0038137E">
        <w:tc>
          <w:tcPr>
            <w:tcW w:w="1088" w:type="pct"/>
            <w:shd w:val="clear" w:color="auto" w:fill="auto"/>
          </w:tcPr>
          <w:p w14:paraId="06808F0F"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w:t>
            </w:r>
            <w:bookmarkStart w:id="370" w:name="Spinalcordstimulators"/>
            <w:bookmarkEnd w:id="370"/>
            <w:r w:rsidRPr="00D61F73">
              <w:rPr>
                <w:rFonts w:ascii="Arial" w:hAnsi="Arial" w:cs="Arial"/>
              </w:rPr>
              <w:t>pinal cord stimulators (SCS)</w:t>
            </w:r>
          </w:p>
          <w:p w14:paraId="0CFCD4B2" w14:textId="77777777" w:rsidR="0038137E" w:rsidRPr="00D61F73" w:rsidRDefault="0038137E" w:rsidP="00D61F73">
            <w:pPr>
              <w:pStyle w:val="Footer"/>
              <w:tabs>
                <w:tab w:val="clear" w:pos="4320"/>
                <w:tab w:val="clear" w:pos="8640"/>
              </w:tabs>
              <w:rPr>
                <w:rFonts w:ascii="Arial" w:hAnsi="Arial" w:cs="Arial"/>
              </w:rPr>
            </w:pPr>
          </w:p>
          <w:p w14:paraId="4C806428" w14:textId="34B107AF" w:rsidR="0038137E" w:rsidRPr="00D61F73" w:rsidRDefault="0038137E" w:rsidP="00D61F73">
            <w:pPr>
              <w:pStyle w:val="Footer"/>
              <w:tabs>
                <w:tab w:val="clear" w:pos="4320"/>
                <w:tab w:val="clear" w:pos="8640"/>
              </w:tabs>
              <w:rPr>
                <w:rFonts w:ascii="Arial" w:hAnsi="Arial" w:cs="Arial"/>
              </w:rPr>
            </w:pPr>
          </w:p>
        </w:tc>
        <w:tc>
          <w:tcPr>
            <w:tcW w:w="3912" w:type="pct"/>
            <w:shd w:val="clear" w:color="auto" w:fill="auto"/>
          </w:tcPr>
          <w:p w14:paraId="1E1B89D7" w14:textId="55C5BA4F" w:rsidR="0038137E" w:rsidRDefault="0038137E" w:rsidP="00D61F73">
            <w:pPr>
              <w:rPr>
                <w:rFonts w:ascii="Arial" w:hAnsi="Arial" w:cs="Arial"/>
              </w:rPr>
            </w:pPr>
            <w:r w:rsidRPr="00D61F73">
              <w:rPr>
                <w:rFonts w:ascii="Arial" w:hAnsi="Arial" w:cs="Arial"/>
              </w:rPr>
              <w:t xml:space="preserve">Recommended only for selected patients for specific conditions and in cases when less invasive procedures have failed or are contraindicated (see blue box below for criteria to be met when considering use of a spinal cord stimulator).  Spinal cord stimulators (SCS) are indicated for selected patients with Complex Regional Pain Syndrome (CRPS) Type I. For use in failed back surgery syndrome (FBSS), see the </w:t>
            </w:r>
            <w:r w:rsidRPr="00515088">
              <w:rPr>
                <w:rFonts w:ascii="Arial" w:hAnsi="Arial" w:cs="Arial"/>
              </w:rPr>
              <w:t>MTUS Low Back Complaints</w:t>
            </w:r>
            <w:r w:rsidRPr="00D61F73">
              <w:rPr>
                <w:rFonts w:ascii="Arial" w:hAnsi="Arial" w:cs="Arial"/>
              </w:rPr>
              <w:t>. More trials are needed to confirm whether SCS is an effective treatment for certain types of chronic pain. (</w:t>
            </w:r>
            <w:hyperlink w:anchor="MailisGagnon" w:history="1">
              <w:r w:rsidRPr="00D61F73">
                <w:rPr>
                  <w:rStyle w:val="Hyperlink"/>
                  <w:rFonts w:ascii="Arial" w:hAnsi="Arial" w:cs="Arial"/>
                </w:rPr>
                <w:t>Mailis-Gagnon-Cochrane, 2004</w:t>
              </w:r>
            </w:hyperlink>
            <w:r w:rsidRPr="00D61F73">
              <w:rPr>
                <w:rFonts w:ascii="Arial" w:hAnsi="Arial" w:cs="Arial"/>
              </w:rPr>
              <w:t>) (</w:t>
            </w:r>
            <w:hyperlink w:anchor="BlueCrossBlueShield97" w:history="1">
              <w:r w:rsidRPr="00D61F73">
                <w:rPr>
                  <w:rStyle w:val="Hyperlink"/>
                  <w:rFonts w:ascii="Arial" w:hAnsi="Arial" w:cs="Arial"/>
                </w:rPr>
                <w:t>BlueCross BlueShield, 2004</w:t>
              </w:r>
            </w:hyperlink>
            <w:r w:rsidRPr="00D61F73">
              <w:rPr>
                <w:rFonts w:ascii="Arial" w:hAnsi="Arial" w:cs="Arial"/>
              </w:rPr>
              <w:t xml:space="preserve">)  See Complete list of </w:t>
            </w:r>
            <w:hyperlink r:id="rId152" w:anchor="SCS_References" w:history="1">
              <w:r w:rsidRPr="00D61F73">
                <w:rPr>
                  <w:rStyle w:val="Hyperlink"/>
                  <w:rFonts w:ascii="Arial" w:hAnsi="Arial" w:cs="Arial"/>
                </w:rPr>
                <w:t>SCS References</w:t>
              </w:r>
            </w:hyperlink>
            <w:r w:rsidRPr="00D61F73">
              <w:rPr>
                <w:rFonts w:ascii="Arial" w:hAnsi="Arial" w:cs="Arial"/>
              </w:rPr>
              <w:t xml:space="preserve">  This supporting evidence is significantly supplemented and enhanced when combined with the individually based observational evidence gained through an individual trial prior to implant. This individually based observational evidence should be used to demonstrate effectiveness and to determine appropriate subsequent treatment. (</w:t>
            </w:r>
            <w:hyperlink w:anchor="Sundaraj" w:history="1">
              <w:r w:rsidRPr="00D61F73">
                <w:rPr>
                  <w:rStyle w:val="Hyperlink"/>
                  <w:rFonts w:ascii="Arial" w:hAnsi="Arial" w:cs="Arial"/>
                </w:rPr>
                <w:t>Sundaraj, 2005</w:t>
              </w:r>
            </w:hyperlink>
            <w:r w:rsidRPr="00D61F73">
              <w:rPr>
                <w:rFonts w:ascii="Arial" w:hAnsi="Arial" w:cs="Arial"/>
              </w:rPr>
              <w:t>) Further, the introduction of the percutaneous electrode implantation has enabled trial stimulation, which is now commonly recognized as an indispensable step in assessing whether the treatment is appropriate for individual patients. (</w:t>
            </w:r>
            <w:hyperlink w:anchor="Furlan" w:history="1">
              <w:r w:rsidRPr="00D61F73">
                <w:rPr>
                  <w:rStyle w:val="Hyperlink"/>
                  <w:rFonts w:ascii="Arial" w:hAnsi="Arial" w:cs="Arial"/>
                </w:rPr>
                <w:t>Furlan-Cochrane, 2004</w:t>
              </w:r>
            </w:hyperlink>
            <w:r w:rsidRPr="00D61F73">
              <w:rPr>
                <w:rFonts w:ascii="Arial" w:hAnsi="Arial" w:cs="Arial"/>
              </w:rPr>
              <w:t>) CRPS patients implanted with SCS reported pain relief of at least 50% over a median follow-up period of 33 months. (</w:t>
            </w:r>
            <w:hyperlink w:anchor="Taylor2" w:history="1">
              <w:r w:rsidRPr="00D61F73">
                <w:rPr>
                  <w:rStyle w:val="Hyperlink"/>
                  <w:rFonts w:ascii="Arial" w:hAnsi="Arial" w:cs="Arial"/>
                </w:rPr>
                <w:t>Taylor, 2006</w:t>
              </w:r>
            </w:hyperlink>
            <w:r w:rsidRPr="00D61F73">
              <w:rPr>
                <w:rFonts w:ascii="Arial" w:hAnsi="Arial" w:cs="Arial"/>
              </w:rPr>
              <w:t>) SCS appears to be an effective therapy in the management of patients with CRPS. (</w:t>
            </w:r>
            <w:hyperlink w:anchor="Kemler6" w:history="1">
              <w:r w:rsidRPr="00D61F73">
                <w:rPr>
                  <w:rStyle w:val="Hyperlink"/>
                  <w:rFonts w:ascii="Arial" w:hAnsi="Arial" w:cs="Arial"/>
                </w:rPr>
                <w:t>Kemler, 2004</w:t>
              </w:r>
            </w:hyperlink>
            <w:r w:rsidRPr="00D61F73">
              <w:rPr>
                <w:rFonts w:ascii="Arial" w:hAnsi="Arial" w:cs="Arial"/>
              </w:rPr>
              <w:t>) (</w:t>
            </w:r>
            <w:hyperlink w:anchor="Kemler4" w:history="1">
              <w:r w:rsidRPr="00D61F73">
                <w:rPr>
                  <w:rStyle w:val="Hyperlink"/>
                  <w:rFonts w:ascii="Arial" w:hAnsi="Arial" w:cs="Arial"/>
                </w:rPr>
                <w:t>Kemler, 2000</w:t>
              </w:r>
            </w:hyperlink>
            <w:r w:rsidRPr="00D61F73">
              <w:rPr>
                <w:rFonts w:ascii="Arial" w:hAnsi="Arial" w:cs="Arial"/>
              </w:rPr>
              <w:t>) Recently published 5-year data from this study showed that change in pain intensity was not significantly different between the SCS plus PT group and the PT alone group, but in the subgroup analysis of implanted SCS patients, the change in pain intensity between the two groups approached statistical significance in favor of SCS, and 95% of patients with an implant would repeat the treatment for the same result. A thorough understanding of these results including the merits of intention-to-treat and as-treated forms of analysis as they relate to this therapy (where trial stimulation may result in a large drop-out rate) should be undertaken prior to definitive conclusions being made. (</w:t>
            </w:r>
            <w:hyperlink w:anchor="Kemler7" w:history="1">
              <w:r w:rsidRPr="00D61F73">
                <w:rPr>
                  <w:rStyle w:val="Hyperlink"/>
                  <w:rFonts w:ascii="Arial" w:hAnsi="Arial" w:cs="Arial"/>
                </w:rPr>
                <w:t>Kemler, 2008</w:t>
              </w:r>
            </w:hyperlink>
            <w:r w:rsidRPr="00D61F73">
              <w:rPr>
                <w:rFonts w:ascii="Arial" w:hAnsi="Arial" w:cs="Arial"/>
              </w:rPr>
              <w:t>) Permanent pain relief in CRPS-I can be attained under long-term SCS therapy combined with physical therapy. (</w:t>
            </w:r>
            <w:hyperlink w:anchor="Harke" w:history="1">
              <w:r w:rsidRPr="00D61F73">
                <w:rPr>
                  <w:rStyle w:val="Hyperlink"/>
                  <w:rFonts w:ascii="Arial" w:hAnsi="Arial" w:cs="Arial"/>
                </w:rPr>
                <w:t>Harke, 2005</w:t>
              </w:r>
            </w:hyperlink>
            <w:r w:rsidRPr="00D61F73">
              <w:rPr>
                <w:rFonts w:ascii="Arial" w:hAnsi="Arial" w:cs="Arial"/>
              </w:rPr>
              <w:t>) As batteries for both rechargeable and nonrechargeable systems are nearing end of life, there are both early replacement indicators and end of service notifications. Typical life may be 8-9 years for rechargeable batteries, but this depends on the unit. In addition, the physician programmer can be used to interrogate the implanted device and determine the estimated remaining battery life. (</w:t>
            </w:r>
            <w:hyperlink r:id="rId153" w:history="1">
              <w:r w:rsidRPr="00D61F73">
                <w:rPr>
                  <w:rStyle w:val="Hyperlink"/>
                  <w:rFonts w:ascii="Arial" w:hAnsi="Arial" w:cs="Arial"/>
                </w:rPr>
                <w:t>Restore, 2011</w:t>
              </w:r>
            </w:hyperlink>
            <w:r w:rsidRPr="00D61F73">
              <w:rPr>
                <w:rFonts w:ascii="Arial" w:hAnsi="Arial" w:cs="Arial"/>
              </w:rPr>
              <w:t xml:space="preserve">) </w:t>
            </w:r>
          </w:p>
          <w:p w14:paraId="5F3E3C7A" w14:textId="77777777" w:rsidR="00C076A1" w:rsidRPr="00FA4A82" w:rsidRDefault="00C076A1" w:rsidP="00D61F73">
            <w:pPr>
              <w:rPr>
                <w:rFonts w:ascii="Arial" w:hAnsi="Arial" w:cs="Arial"/>
                <w:sz w:val="22"/>
                <w:szCs w:val="22"/>
              </w:rPr>
            </w:pPr>
          </w:p>
          <w:p w14:paraId="0A9E201C" w14:textId="71A2EB76" w:rsidR="008C63F5" w:rsidRPr="00D61F73" w:rsidRDefault="0038137E" w:rsidP="00D61F73">
            <w:pPr>
              <w:rPr>
                <w:rFonts w:ascii="Arial" w:hAnsi="Arial" w:cs="Arial"/>
                <w:b/>
                <w:bCs/>
              </w:rPr>
            </w:pPr>
            <w:r w:rsidRPr="00D61F73">
              <w:rPr>
                <w:rFonts w:ascii="Arial" w:hAnsi="Arial" w:cs="Arial"/>
                <w:b/>
                <w:bCs/>
              </w:rPr>
              <w:t>Indications for stimulator implantation:</w:t>
            </w:r>
          </w:p>
          <w:p w14:paraId="56C916E4" w14:textId="77777777" w:rsidR="0038137E" w:rsidRDefault="0038137E" w:rsidP="00D61F73">
            <w:pPr>
              <w:numPr>
                <w:ilvl w:val="0"/>
                <w:numId w:val="2"/>
              </w:numPr>
              <w:rPr>
                <w:rFonts w:ascii="Arial" w:hAnsi="Arial" w:cs="Arial"/>
              </w:rPr>
            </w:pPr>
            <w:r w:rsidRPr="00D61F73">
              <w:rPr>
                <w:rFonts w:ascii="Arial" w:hAnsi="Arial" w:cs="Arial"/>
              </w:rPr>
              <w:t xml:space="preserve">Complex Regional Pain Syndrome (CRPS) when all of the following are present: (1) there has been limited response to non-interventional care; (2) psychological clearance indicates realistic expectations and clearance for the procedure; (3) there is no current evidence of substance abuse issues; (4) there are no contraindications to a trial; (5) Permanent placement requires evidence of 50% pain relief and medication reduction or functional improvement after temporary trial. </w:t>
            </w:r>
          </w:p>
          <w:p w14:paraId="34EBFA4F" w14:textId="77777777" w:rsidR="008954C7" w:rsidRPr="00DD0014" w:rsidRDefault="008954C7" w:rsidP="008954C7">
            <w:pPr>
              <w:rPr>
                <w:rFonts w:ascii="Arial" w:hAnsi="Arial" w:cs="Arial"/>
              </w:rPr>
            </w:pPr>
          </w:p>
          <w:p w14:paraId="748F368F" w14:textId="73E96727" w:rsidR="0038137E" w:rsidRPr="00E62E75" w:rsidRDefault="0038137E" w:rsidP="00D61F73">
            <w:pPr>
              <w:numPr>
                <w:ilvl w:val="0"/>
                <w:numId w:val="31"/>
              </w:numPr>
              <w:rPr>
                <w:rFonts w:ascii="Arial" w:hAnsi="Arial" w:cs="Arial"/>
              </w:rPr>
            </w:pPr>
            <w:r w:rsidRPr="00D61F73">
              <w:rPr>
                <w:rFonts w:ascii="Arial" w:hAnsi="Arial" w:cs="Arial"/>
              </w:rPr>
              <w:t xml:space="preserve">For use in failed back surgery syndrome (FBSS), see </w:t>
            </w:r>
            <w:r w:rsidRPr="00C47765">
              <w:rPr>
                <w:rFonts w:ascii="Arial" w:hAnsi="Arial" w:cs="Arial"/>
              </w:rPr>
              <w:t>MTUS Low Back Complaints.</w:t>
            </w:r>
            <w:r w:rsidR="00E62E75">
              <w:rPr>
                <w:rFonts w:ascii="Arial" w:hAnsi="Arial" w:cs="Arial"/>
              </w:rPr>
              <w:t xml:space="preserve"> </w:t>
            </w:r>
            <w:r w:rsidRPr="00E62E75">
              <w:rPr>
                <w:rFonts w:ascii="Arial" w:hAnsi="Arial" w:cs="Arial"/>
                <w:lang w:val="en"/>
              </w:rPr>
              <w:t xml:space="preserve">For average hospital LOS if criteria are met, see </w:t>
            </w:r>
            <w:hyperlink r:id="rId154" w:anchor="Hospitallengthofstay" w:history="1">
              <w:r w:rsidRPr="00E62E75">
                <w:rPr>
                  <w:rStyle w:val="Hyperlink"/>
                  <w:rFonts w:ascii="Arial" w:hAnsi="Arial" w:cs="Arial"/>
                  <w:lang w:val="en"/>
                </w:rPr>
                <w:t>Hospital length of stay</w:t>
              </w:r>
            </w:hyperlink>
            <w:r w:rsidRPr="00E62E75">
              <w:rPr>
                <w:rFonts w:ascii="Arial" w:hAnsi="Arial" w:cs="Arial"/>
                <w:lang w:val="en"/>
              </w:rPr>
              <w:t xml:space="preserve"> (LOS).</w:t>
            </w:r>
          </w:p>
        </w:tc>
      </w:tr>
      <w:tr w:rsidR="0038137E" w:rsidRPr="00D61F73" w14:paraId="570DE465" w14:textId="77777777" w:rsidTr="0038137E">
        <w:tc>
          <w:tcPr>
            <w:tcW w:w="1088" w:type="pct"/>
            <w:shd w:val="clear" w:color="auto" w:fill="auto"/>
          </w:tcPr>
          <w:p w14:paraId="6970FF38" w14:textId="5A78648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Spinal cord stimulators, psychological evaluations</w:t>
            </w:r>
          </w:p>
        </w:tc>
        <w:tc>
          <w:tcPr>
            <w:tcW w:w="3912" w:type="pct"/>
            <w:shd w:val="clear" w:color="auto" w:fill="auto"/>
          </w:tcPr>
          <w:p w14:paraId="45729012" w14:textId="0BB53189" w:rsidR="0038137E" w:rsidRPr="00DD0014" w:rsidRDefault="0038137E" w:rsidP="00D61F73">
            <w:pPr>
              <w:numPr>
                <w:ilvl w:val="0"/>
                <w:numId w:val="31"/>
              </w:numPr>
              <w:rPr>
                <w:rFonts w:ascii="Arial" w:hAnsi="Arial" w:cs="Arial"/>
              </w:rPr>
            </w:pPr>
            <w:r w:rsidRPr="00D61F73">
              <w:rPr>
                <w:rFonts w:ascii="Arial" w:hAnsi="Arial" w:cs="Arial"/>
              </w:rPr>
              <w:t xml:space="preserve">See </w:t>
            </w:r>
            <w:hyperlink w:anchor="PsychologicalevalSCS" w:history="1">
              <w:r w:rsidRPr="00D61F73">
                <w:rPr>
                  <w:rStyle w:val="Hyperlink"/>
                  <w:rFonts w:ascii="Arial" w:hAnsi="Arial" w:cs="Arial"/>
                </w:rPr>
                <w:t>Psychological evaluations, SCS</w:t>
              </w:r>
            </w:hyperlink>
            <w:r w:rsidRPr="00D61F73">
              <w:rPr>
                <w:rFonts w:ascii="Arial" w:hAnsi="Arial" w:cs="Arial"/>
              </w:rPr>
              <w:t xml:space="preserve"> (spinal cord stimulators).</w:t>
            </w:r>
          </w:p>
        </w:tc>
      </w:tr>
      <w:tr w:rsidR="0038137E" w:rsidRPr="00D61F73" w14:paraId="6E76D730" w14:textId="77777777" w:rsidTr="0038137E">
        <w:tc>
          <w:tcPr>
            <w:tcW w:w="1088" w:type="pct"/>
            <w:shd w:val="clear" w:color="auto" w:fill="auto"/>
          </w:tcPr>
          <w:p w14:paraId="4AFFD912" w14:textId="5285D29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Sprix (ketorolac tromethamine nasal Spray)</w:t>
            </w:r>
          </w:p>
        </w:tc>
        <w:tc>
          <w:tcPr>
            <w:tcW w:w="3912" w:type="pct"/>
            <w:shd w:val="clear" w:color="auto" w:fill="auto"/>
          </w:tcPr>
          <w:p w14:paraId="54377456" w14:textId="69F3AF36" w:rsidR="0038137E" w:rsidRPr="00D61F73" w:rsidRDefault="0038137E" w:rsidP="00D61F73">
            <w:pPr>
              <w:rPr>
                <w:rFonts w:ascii="Arial" w:hAnsi="Arial" w:cs="Arial"/>
              </w:rPr>
            </w:pPr>
            <w:r w:rsidRPr="00D61F73">
              <w:rPr>
                <w:rFonts w:ascii="Arial" w:hAnsi="Arial" w:cs="Arial"/>
              </w:rPr>
              <w:t xml:space="preserve">See </w:t>
            </w:r>
            <w:hyperlink w:anchor="Ketorolac" w:history="1">
              <w:r w:rsidRPr="00D61F73">
                <w:rPr>
                  <w:rStyle w:val="Hyperlink"/>
                  <w:rFonts w:ascii="Arial" w:hAnsi="Arial" w:cs="Arial"/>
                </w:rPr>
                <w:t>Ketorolac</w:t>
              </w:r>
            </w:hyperlink>
            <w:r w:rsidRPr="00D61F73">
              <w:rPr>
                <w:rFonts w:ascii="Arial" w:hAnsi="Arial" w:cs="Arial"/>
              </w:rPr>
              <w:t>. In May 2010, FDA approved an intranasal formulation of ketorolac tromethamine (Sprix Nasal Spray) for the short-term management of moderate to moderately severe pain requiring analgesia at the opioid level. The total duration of use of this intranasal formulation, as with other ketorolac formulations, should be for the shortest duration possible and not exceed 5 days. Both studies used for approval were for short-term pain after abdominal surgery, so it is not recommended as a first-line medication for chronic pain. (</w:t>
            </w:r>
            <w:hyperlink r:id="rId155" w:history="1">
              <w:r w:rsidRPr="00D61F73">
                <w:rPr>
                  <w:rStyle w:val="Hyperlink"/>
                  <w:rFonts w:ascii="Arial" w:hAnsi="Arial" w:cs="Arial"/>
                </w:rPr>
                <w:t>FDA, 2010</w:t>
              </w:r>
            </w:hyperlink>
            <w:r w:rsidRPr="00D61F73">
              <w:rPr>
                <w:rFonts w:ascii="Arial" w:hAnsi="Arial" w:cs="Arial"/>
              </w:rPr>
              <w:t>)</w:t>
            </w:r>
          </w:p>
        </w:tc>
      </w:tr>
      <w:tr w:rsidR="0038137E" w:rsidRPr="00D61F73" w14:paraId="2B536DFD" w14:textId="77777777" w:rsidTr="0038137E">
        <w:tc>
          <w:tcPr>
            <w:tcW w:w="1088" w:type="pct"/>
            <w:shd w:val="clear" w:color="auto" w:fill="auto"/>
          </w:tcPr>
          <w:p w14:paraId="602A455F" w14:textId="048CC0F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w:t>
            </w:r>
            <w:bookmarkStart w:id="371" w:name="SSRIs"/>
            <w:bookmarkEnd w:id="371"/>
            <w:r w:rsidRPr="00D61F73">
              <w:rPr>
                <w:rFonts w:ascii="Arial" w:hAnsi="Arial" w:cs="Arial"/>
              </w:rPr>
              <w:t>SRIs (selective serotonin reuptake inhibitors)</w:t>
            </w:r>
          </w:p>
        </w:tc>
        <w:tc>
          <w:tcPr>
            <w:tcW w:w="3912" w:type="pct"/>
            <w:shd w:val="clear" w:color="auto" w:fill="auto"/>
          </w:tcPr>
          <w:p w14:paraId="50B42DF2" w14:textId="3BF25588" w:rsidR="0038137E" w:rsidRPr="00D61F73" w:rsidRDefault="0038137E" w:rsidP="00D61F73">
            <w:pPr>
              <w:rPr>
                <w:rFonts w:ascii="Arial" w:hAnsi="Arial" w:cs="Arial"/>
              </w:rPr>
            </w:pPr>
            <w:r w:rsidRPr="00D61F73">
              <w:rPr>
                <w:rFonts w:ascii="Arial" w:hAnsi="Arial" w:cs="Arial"/>
              </w:rPr>
              <w:t xml:space="preserve">Not recommended as a treatment for chronic pain, but SSRIs may have a role in treating secondary depression. Selective serotonin reuptake inhibitors (SSRIs), a class of antidepressants that inhibit serotonin reuptake without action on noradrenaline, are controversial based on controlled trials. It has been suggested that the main role of SSRIs may be in addressing psychological symptoms associated with chronic pain. More information is needed regarding the role of SSRIs and pain. SSRIs have not been shown to be effective for low back pain. See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for general guidelines, as well as specific </w:t>
            </w:r>
            <w:hyperlink w:anchor="SSRIListing" w:history="1">
              <w:r w:rsidRPr="00D61F73">
                <w:rPr>
                  <w:rStyle w:val="Hyperlink"/>
                  <w:rFonts w:ascii="Arial" w:hAnsi="Arial" w:cs="Arial"/>
                </w:rPr>
                <w:t>SSRI</w:t>
              </w:r>
            </w:hyperlink>
            <w:r w:rsidRPr="00D61F73">
              <w:rPr>
                <w:rFonts w:ascii="Arial" w:hAnsi="Arial" w:cs="Arial"/>
              </w:rPr>
              <w:t xml:space="preserve"> listing for more information and references. SSRIs that are commonly prescribed include the following: citalopram, escitalopram, fluoxetine, fluvoxamine, paroxetine, &amp; sertraline. (</w:t>
            </w:r>
            <w:hyperlink w:anchor="ClinicalPharmacology" w:history="1">
              <w:r w:rsidRPr="00D61F73">
                <w:rPr>
                  <w:rStyle w:val="Hyperlink"/>
                  <w:rFonts w:ascii="Arial" w:hAnsi="Arial" w:cs="Arial"/>
                </w:rPr>
                <w:t>Clinical Pharmacology, 2010</w:t>
              </w:r>
            </w:hyperlink>
            <w:r w:rsidRPr="00D61F73">
              <w:rPr>
                <w:rFonts w:ascii="Arial" w:hAnsi="Arial" w:cs="Arial"/>
              </w:rPr>
              <w:t>)</w:t>
            </w:r>
          </w:p>
        </w:tc>
      </w:tr>
      <w:tr w:rsidR="0038137E" w:rsidRPr="00D61F73" w14:paraId="4EC7ADA5" w14:textId="77777777" w:rsidTr="0038137E">
        <w:tc>
          <w:tcPr>
            <w:tcW w:w="1088" w:type="pct"/>
            <w:shd w:val="clear" w:color="auto" w:fill="auto"/>
          </w:tcPr>
          <w:p w14:paraId="3AAF4AEB" w14:textId="710DD08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w:t>
            </w:r>
            <w:bookmarkStart w:id="372" w:name="Stellateganglionblock"/>
            <w:bookmarkEnd w:id="372"/>
            <w:r w:rsidRPr="00D61F73">
              <w:rPr>
                <w:rFonts w:ascii="Arial" w:hAnsi="Arial" w:cs="Arial"/>
              </w:rPr>
              <w:t>tellate ganglion block</w:t>
            </w:r>
          </w:p>
        </w:tc>
        <w:tc>
          <w:tcPr>
            <w:tcW w:w="3912" w:type="pct"/>
            <w:shd w:val="clear" w:color="auto" w:fill="auto"/>
          </w:tcPr>
          <w:p w14:paraId="71D9E233" w14:textId="499472B2" w:rsidR="0038137E" w:rsidRPr="00D61F73" w:rsidRDefault="0038137E" w:rsidP="00D61F73">
            <w:pPr>
              <w:rPr>
                <w:rFonts w:ascii="Arial" w:hAnsi="Arial" w:cs="Arial"/>
              </w:rPr>
            </w:pPr>
            <w:r w:rsidRPr="00D61F73">
              <w:rPr>
                <w:rFonts w:ascii="Arial" w:hAnsi="Arial" w:cs="Arial"/>
              </w:rPr>
              <w:t xml:space="preserve">See </w:t>
            </w:r>
            <w:hyperlink w:anchor="CRPSsympatheticblocks" w:history="1">
              <w:r w:rsidRPr="00D61F73">
                <w:rPr>
                  <w:rStyle w:val="Hyperlink"/>
                  <w:rFonts w:ascii="Arial" w:hAnsi="Arial" w:cs="Arial"/>
                </w:rPr>
                <w:t>CRPS, sympathetic blocks</w:t>
              </w:r>
            </w:hyperlink>
            <w:r w:rsidRPr="00D61F73">
              <w:rPr>
                <w:rFonts w:ascii="Arial" w:hAnsi="Arial" w:cs="Arial"/>
              </w:rPr>
              <w:t xml:space="preserve"> (therapeutic).</w:t>
            </w:r>
          </w:p>
        </w:tc>
      </w:tr>
      <w:tr w:rsidR="0038137E" w:rsidRPr="00D61F73" w14:paraId="638608E9" w14:textId="77777777" w:rsidTr="0038137E">
        <w:tc>
          <w:tcPr>
            <w:tcW w:w="1088" w:type="pct"/>
            <w:shd w:val="clear" w:color="auto" w:fill="auto"/>
          </w:tcPr>
          <w:p w14:paraId="5D5D7B2A" w14:textId="0E949C2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Stress infrared telethermography</w:t>
            </w:r>
          </w:p>
        </w:tc>
        <w:tc>
          <w:tcPr>
            <w:tcW w:w="3912" w:type="pct"/>
            <w:shd w:val="clear" w:color="auto" w:fill="auto"/>
          </w:tcPr>
          <w:p w14:paraId="664AED7F" w14:textId="4489FA58" w:rsidR="0038137E" w:rsidRPr="00D61F73" w:rsidRDefault="0038137E" w:rsidP="00D61F73">
            <w:pPr>
              <w:rPr>
                <w:rFonts w:ascii="Arial" w:hAnsi="Arial" w:cs="Arial"/>
              </w:rPr>
            </w:pPr>
            <w:r w:rsidRPr="00D61F73">
              <w:rPr>
                <w:rFonts w:ascii="Arial" w:hAnsi="Arial" w:cs="Arial"/>
              </w:rPr>
              <w:t xml:space="preserve">See </w:t>
            </w:r>
            <w:hyperlink w:anchor="Thermography" w:history="1">
              <w:r w:rsidRPr="00D61F73">
                <w:rPr>
                  <w:rStyle w:val="Hyperlink"/>
                  <w:rFonts w:ascii="Arial" w:hAnsi="Arial" w:cs="Arial"/>
                </w:rPr>
                <w:t>Thermography</w:t>
              </w:r>
            </w:hyperlink>
            <w:r w:rsidRPr="00D61F73">
              <w:rPr>
                <w:rFonts w:ascii="Arial" w:hAnsi="Arial" w:cs="Arial"/>
              </w:rPr>
              <w:t>.</w:t>
            </w:r>
          </w:p>
        </w:tc>
      </w:tr>
      <w:tr w:rsidR="0038137E" w:rsidRPr="00D61F73" w14:paraId="6D5EB832" w14:textId="77777777" w:rsidTr="0038137E">
        <w:tc>
          <w:tcPr>
            <w:tcW w:w="1088" w:type="pct"/>
            <w:shd w:val="clear" w:color="auto" w:fill="auto"/>
          </w:tcPr>
          <w:p w14:paraId="2810C270" w14:textId="22B9B087" w:rsidR="0038137E" w:rsidRPr="00D61F73" w:rsidRDefault="0038137E" w:rsidP="00D61F73">
            <w:pPr>
              <w:pStyle w:val="Footer"/>
              <w:tabs>
                <w:tab w:val="clear" w:pos="4320"/>
                <w:tab w:val="clear" w:pos="8640"/>
              </w:tabs>
              <w:rPr>
                <w:rFonts w:ascii="Arial" w:hAnsi="Arial" w:cs="Arial"/>
              </w:rPr>
            </w:pPr>
            <w:r w:rsidRPr="00D61F73">
              <w:rPr>
                <w:rFonts w:ascii="Arial" w:hAnsi="Arial" w:cs="Arial"/>
                <w:u w:val="single"/>
              </w:rPr>
              <w:t>Suboxone® (buprenorphine)</w:t>
            </w:r>
          </w:p>
        </w:tc>
        <w:tc>
          <w:tcPr>
            <w:tcW w:w="3912" w:type="pct"/>
            <w:shd w:val="clear" w:color="auto" w:fill="auto"/>
          </w:tcPr>
          <w:p w14:paraId="26001CD4" w14:textId="02660254" w:rsidR="0038137E" w:rsidRPr="00D61F73" w:rsidRDefault="0038137E" w:rsidP="00D61F73">
            <w:pPr>
              <w:rPr>
                <w:rFonts w:ascii="Arial" w:hAnsi="Arial" w:cs="Arial"/>
              </w:rPr>
            </w:pPr>
            <w:r w:rsidRPr="00D61F73">
              <w:rPr>
                <w:rFonts w:ascii="Arial" w:hAnsi="Arial" w:cs="Arial"/>
              </w:rPr>
              <w:t xml:space="preserve">See </w:t>
            </w:r>
            <w:hyperlink w:anchor="Buprenorphine" w:history="1">
              <w:r w:rsidRPr="00D61F73">
                <w:rPr>
                  <w:rStyle w:val="Hyperlink"/>
                  <w:rFonts w:ascii="Arial" w:hAnsi="Arial" w:cs="Arial"/>
                </w:rPr>
                <w:t>Buprenorphine</w:t>
              </w:r>
            </w:hyperlink>
            <w:r w:rsidRPr="00D61F73">
              <w:rPr>
                <w:rFonts w:ascii="Arial" w:hAnsi="Arial" w:cs="Arial"/>
              </w:rPr>
              <w:t>.</w:t>
            </w:r>
          </w:p>
        </w:tc>
      </w:tr>
      <w:tr w:rsidR="0038137E" w:rsidRPr="00D61F73" w14:paraId="48CC2742" w14:textId="77777777" w:rsidTr="0038137E">
        <w:tc>
          <w:tcPr>
            <w:tcW w:w="1088" w:type="pct"/>
            <w:shd w:val="clear" w:color="auto" w:fill="auto"/>
          </w:tcPr>
          <w:p w14:paraId="65CD456E" w14:textId="0448E471"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t>Sudomotor axon reflex test</w:t>
            </w:r>
          </w:p>
        </w:tc>
        <w:tc>
          <w:tcPr>
            <w:tcW w:w="3912" w:type="pct"/>
            <w:shd w:val="clear" w:color="auto" w:fill="auto"/>
          </w:tcPr>
          <w:p w14:paraId="0EED8320" w14:textId="619C5209" w:rsidR="0038137E" w:rsidRPr="00D61F73" w:rsidRDefault="0038137E" w:rsidP="00402D57">
            <w:pPr>
              <w:pStyle w:val="Normal1"/>
              <w:framePr w:hSpace="0" w:wrap="auto" w:vAnchor="margin" w:hAnchor="text" w:yAlign="inline"/>
            </w:pPr>
            <w:r w:rsidRPr="00D61F73">
              <w:t xml:space="preserve">Not generally recommended as a diagnostic test for CRPS. See </w:t>
            </w:r>
            <w:hyperlink w:anchor="CRPSdiagnostictests" w:history="1">
              <w:r w:rsidRPr="00D61F73">
                <w:rPr>
                  <w:rStyle w:val="Hyperlink"/>
                </w:rPr>
                <w:t>CRPS, diagnostic tests</w:t>
              </w:r>
            </w:hyperlink>
            <w:r w:rsidRPr="00D61F73">
              <w:t>.</w:t>
            </w:r>
          </w:p>
        </w:tc>
      </w:tr>
      <w:tr w:rsidR="0038137E" w:rsidRPr="00D61F73" w14:paraId="161FB88B" w14:textId="77777777" w:rsidTr="0038137E">
        <w:tc>
          <w:tcPr>
            <w:tcW w:w="1088" w:type="pct"/>
            <w:shd w:val="clear" w:color="auto" w:fill="auto"/>
          </w:tcPr>
          <w:p w14:paraId="5B0AF780" w14:textId="22C53EA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Sulindac (Clinoril®)</w:t>
            </w:r>
          </w:p>
        </w:tc>
        <w:tc>
          <w:tcPr>
            <w:tcW w:w="3912" w:type="pct"/>
            <w:shd w:val="clear" w:color="auto" w:fill="auto"/>
          </w:tcPr>
          <w:p w14:paraId="4EC5D240" w14:textId="550DB76C" w:rsidR="0038137E" w:rsidRPr="00D61F73" w:rsidRDefault="0038137E" w:rsidP="00402D57">
            <w:pPr>
              <w:pStyle w:val="Normal1"/>
              <w:framePr w:hSpace="0" w:wrap="auto" w:vAnchor="margin" w:hAnchor="text" w:yAlign="inline"/>
            </w:pPr>
            <w:r w:rsidRPr="00D61F73">
              <w:t xml:space="preserve">See </w:t>
            </w:r>
            <w:hyperlink w:anchor="NSAIDs" w:history="1">
              <w:r w:rsidRPr="00D61F73">
                <w:rPr>
                  <w:rStyle w:val="Hyperlink"/>
                  <w:bCs w:val="0"/>
                </w:rPr>
                <w:t>NSAIDs</w:t>
              </w:r>
            </w:hyperlink>
            <w:r w:rsidRPr="00D61F73">
              <w:t xml:space="preserve"> (non-steroidal anti-inflammatory drugs); </w:t>
            </w:r>
            <w:hyperlink w:anchor="NSAIDsGIandCV" w:history="1">
              <w:r w:rsidRPr="00D61F73">
                <w:rPr>
                  <w:rStyle w:val="Hyperlink"/>
                  <w:bCs w:val="0"/>
                </w:rPr>
                <w:t>NSAIDs, GI symptoms &amp; cardiovascular risk</w:t>
              </w:r>
            </w:hyperlink>
            <w:r w:rsidRPr="00D61F73">
              <w:t xml:space="preserve">; </w:t>
            </w:r>
            <w:hyperlink w:anchor="NSAIDsHTNandRenal" w:history="1">
              <w:r w:rsidRPr="00D61F73">
                <w:rPr>
                  <w:rStyle w:val="Hyperlink"/>
                  <w:bCs w:val="0"/>
                </w:rPr>
                <w:t>NSAIDs, hypertension and renal function</w:t>
              </w:r>
            </w:hyperlink>
            <w:r w:rsidRPr="00D61F73">
              <w:t xml:space="preserve">; &amp; </w:t>
            </w:r>
            <w:hyperlink w:anchor="NSAIDsdruglistandadverseeffects" w:history="1">
              <w:r w:rsidRPr="00D61F73">
                <w:rPr>
                  <w:rStyle w:val="Hyperlink"/>
                  <w:bCs w:val="0"/>
                </w:rPr>
                <w:t>NSAIDs, specific drug list &amp; adverse effects</w:t>
              </w:r>
            </w:hyperlink>
            <w:r w:rsidRPr="00D61F73">
              <w:t xml:space="preserve"> for general guidelines, as well as specific </w:t>
            </w:r>
            <w:hyperlink w:anchor="NSAIDSulindac" w:history="1">
              <w:r w:rsidRPr="00D61F73">
                <w:rPr>
                  <w:rStyle w:val="Hyperlink"/>
                  <w:bCs w:val="0"/>
                </w:rPr>
                <w:t>Sulindac</w:t>
              </w:r>
            </w:hyperlink>
            <w:r w:rsidRPr="00D61F73">
              <w:t xml:space="preserve"> (Clinoril®) listing for more information and </w:t>
            </w:r>
            <w:r w:rsidRPr="00D61F73">
              <w:lastRenderedPageBreak/>
              <w:t>references.</w:t>
            </w:r>
          </w:p>
        </w:tc>
      </w:tr>
      <w:tr w:rsidR="0038137E" w:rsidRPr="00D61F73" w14:paraId="66C83427" w14:textId="77777777" w:rsidTr="0038137E">
        <w:tc>
          <w:tcPr>
            <w:tcW w:w="1088" w:type="pct"/>
            <w:shd w:val="clear" w:color="auto" w:fill="auto"/>
          </w:tcPr>
          <w:p w14:paraId="59F7776C" w14:textId="2555C50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 xml:space="preserve">Surgery </w:t>
            </w:r>
          </w:p>
        </w:tc>
        <w:tc>
          <w:tcPr>
            <w:tcW w:w="3912" w:type="pct"/>
            <w:shd w:val="clear" w:color="auto" w:fill="auto"/>
          </w:tcPr>
          <w:p w14:paraId="05AD5CA7" w14:textId="41A2B628" w:rsidR="0038137E" w:rsidRPr="00402D57" w:rsidRDefault="0038137E" w:rsidP="006466D3">
            <w:pPr>
              <w:pStyle w:val="Normal1"/>
              <w:framePr w:hSpace="0" w:wrap="auto" w:vAnchor="margin" w:hAnchor="text" w:yAlign="inline"/>
            </w:pPr>
            <w:r w:rsidRPr="006B19C5">
              <w:rPr>
                <w:strike/>
              </w:rPr>
              <w:t>See specific entries in body parts chapters in the MTUS.</w:t>
            </w:r>
            <w:r w:rsidRPr="006B19C5">
              <w:rPr>
                <w:u w:val="single"/>
              </w:rPr>
              <w:t xml:space="preserve"> </w:t>
            </w:r>
            <w:r w:rsidR="006466D3" w:rsidRPr="006B19C5">
              <w:rPr>
                <w:u w:val="single"/>
              </w:rPr>
              <w:t>Refer to the relevant Clinical Topics section of the MTUS</w:t>
            </w:r>
            <w:r w:rsidR="00D22AF7" w:rsidRPr="006B19C5">
              <w:rPr>
                <w:u w:val="single"/>
              </w:rPr>
              <w:t xml:space="preserve"> for recommendations</w:t>
            </w:r>
            <w:r w:rsidR="006466D3" w:rsidRPr="006B19C5">
              <w:rPr>
                <w:u w:val="single"/>
              </w:rPr>
              <w:t>.</w:t>
            </w:r>
            <w:r w:rsidR="006466D3">
              <w:t xml:space="preserve"> </w:t>
            </w:r>
            <w:r w:rsidRPr="00402D57">
              <w:t xml:space="preserve">See also </w:t>
            </w:r>
            <w:hyperlink w:anchor="CRPSsympathectomy" w:history="1">
              <w:r w:rsidRPr="00402D57">
                <w:rPr>
                  <w:rStyle w:val="Hyperlink"/>
                </w:rPr>
                <w:t>CRPS, sympathectomy</w:t>
              </w:r>
            </w:hyperlink>
            <w:r w:rsidRPr="00402D57">
              <w:t xml:space="preserve">; </w:t>
            </w:r>
            <w:hyperlink w:anchor="CRPSspinalcordstim" w:history="1">
              <w:r w:rsidRPr="00402D57">
                <w:rPr>
                  <w:rStyle w:val="Hyperlink"/>
                </w:rPr>
                <w:t>CRPS, spinal cord stimulators</w:t>
              </w:r>
            </w:hyperlink>
            <w:r w:rsidRPr="00402D57">
              <w:t xml:space="preserve"> (SCS); </w:t>
            </w:r>
            <w:hyperlink w:anchor="Implantabledrugdelivery" w:history="1">
              <w:r w:rsidRPr="00402D57">
                <w:rPr>
                  <w:rStyle w:val="Hyperlink"/>
                </w:rPr>
                <w:t>Implantable drug-delivery systems</w:t>
              </w:r>
            </w:hyperlink>
            <w:r w:rsidRPr="00402D57">
              <w:t xml:space="preserve"> (IDDSs); </w:t>
            </w:r>
            <w:hyperlink w:anchor="Spinalcordstimulators" w:history="1">
              <w:r w:rsidRPr="00402D57">
                <w:rPr>
                  <w:rStyle w:val="Hyperlink"/>
                </w:rPr>
                <w:t>Spinal cord stimulators</w:t>
              </w:r>
            </w:hyperlink>
            <w:r w:rsidRPr="00402D57">
              <w:t xml:space="preserve"> (SCS).</w:t>
            </w:r>
          </w:p>
        </w:tc>
      </w:tr>
      <w:tr w:rsidR="0038137E" w:rsidRPr="00D61F73" w14:paraId="4B20783D" w14:textId="77777777" w:rsidTr="0038137E">
        <w:tc>
          <w:tcPr>
            <w:tcW w:w="1088" w:type="pct"/>
            <w:shd w:val="clear" w:color="auto" w:fill="auto"/>
          </w:tcPr>
          <w:p w14:paraId="2985B2EE" w14:textId="04C29466"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Sympathectomy</w:t>
            </w:r>
          </w:p>
        </w:tc>
        <w:tc>
          <w:tcPr>
            <w:tcW w:w="3912" w:type="pct"/>
            <w:shd w:val="clear" w:color="auto" w:fill="auto"/>
          </w:tcPr>
          <w:p w14:paraId="092E2A7B" w14:textId="44711470" w:rsidR="0038137E" w:rsidRPr="00D61F73" w:rsidRDefault="0038137E" w:rsidP="00D61F73">
            <w:pPr>
              <w:rPr>
                <w:rFonts w:ascii="Arial" w:hAnsi="Arial" w:cs="Arial"/>
              </w:rPr>
            </w:pPr>
            <w:r w:rsidRPr="00D61F73">
              <w:rPr>
                <w:rFonts w:ascii="Arial" w:hAnsi="Arial" w:cs="Arial"/>
              </w:rPr>
              <w:t xml:space="preserve">See </w:t>
            </w:r>
            <w:hyperlink w:anchor="CRPSsympathectomy" w:history="1">
              <w:r w:rsidRPr="00D61F73">
                <w:rPr>
                  <w:rStyle w:val="Hyperlink"/>
                  <w:rFonts w:ascii="Arial" w:hAnsi="Arial" w:cs="Arial"/>
                </w:rPr>
                <w:t>CRPS, sympathectomy</w:t>
              </w:r>
            </w:hyperlink>
            <w:r w:rsidRPr="00D61F73">
              <w:rPr>
                <w:rFonts w:ascii="Arial" w:hAnsi="Arial" w:cs="Arial"/>
              </w:rPr>
              <w:t>.</w:t>
            </w:r>
          </w:p>
        </w:tc>
      </w:tr>
      <w:tr w:rsidR="0038137E" w:rsidRPr="00D61F73" w14:paraId="09BE2EBF" w14:textId="77777777" w:rsidTr="0038137E">
        <w:tc>
          <w:tcPr>
            <w:tcW w:w="1088" w:type="pct"/>
            <w:shd w:val="clear" w:color="auto" w:fill="auto"/>
          </w:tcPr>
          <w:p w14:paraId="37B1A7E8" w14:textId="69CF895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w:t>
            </w:r>
            <w:bookmarkStart w:id="373" w:name="Sympathetictherapy"/>
            <w:bookmarkEnd w:id="373"/>
            <w:r w:rsidRPr="00D61F73">
              <w:rPr>
                <w:rFonts w:ascii="Arial" w:hAnsi="Arial" w:cs="Arial"/>
              </w:rPr>
              <w:t>ympathetic therapy</w:t>
            </w:r>
          </w:p>
        </w:tc>
        <w:tc>
          <w:tcPr>
            <w:tcW w:w="3912" w:type="pct"/>
            <w:shd w:val="clear" w:color="auto" w:fill="auto"/>
          </w:tcPr>
          <w:p w14:paraId="358350C4" w14:textId="7EC882DC" w:rsidR="0038137E" w:rsidRPr="00D61F73" w:rsidRDefault="0038137E" w:rsidP="00D61F73">
            <w:pPr>
              <w:rPr>
                <w:rFonts w:ascii="Arial" w:hAnsi="Arial" w:cs="Arial"/>
              </w:rPr>
            </w:pPr>
            <w:r w:rsidRPr="00D61F73">
              <w:rPr>
                <w:rFonts w:ascii="Arial" w:hAnsi="Arial" w:cs="Arial"/>
              </w:rPr>
              <w:t>Not recommended. Sympathetic therapy is considered investigational. The lack of published outcomes from well-designed clinical trials prohibits scientific conclusions concerning the health outcome effects of sympathetic therapy for the treatment of pain. Sympathetic therapy describes a type of electrical stimulation of the peripheral nerves that is designed to stimulate the sympathetic nervous system in an effort to "normalize" the autonomic nervous system and alleviate chronic pain. Unlike TENS (transcutaneous electrical nerve stimulation) or interferential electrical stimulation, sympathetic therapy is not designed to treat local pain, but is designed to induce a systemic effect on sympathetically induced pain. The Dynatron STS device and a companion home device, Dynatron STS Rx, are devices that deliver sympathetic therapy. These devices received U.S. Food and Drug Administration (FDA) clearance in March 2001 through a 510(k) process. The FDA-labeled indication is as follows: "Electrical stimulation delivered by the Dynatron STS and Dynatron STS Rx is indicated for providing symptomatic relief of chronic intractable pain and/or management of post-traumatic or post-surgical pain." (</w:t>
            </w:r>
            <w:hyperlink r:id="rId156" w:anchor="Werners" w:history="1">
              <w:r w:rsidRPr="00D61F73">
                <w:rPr>
                  <w:rStyle w:val="Hyperlink"/>
                  <w:rFonts w:ascii="Arial" w:hAnsi="Arial" w:cs="Arial"/>
                </w:rPr>
                <w:t>Werners, 1999</w:t>
              </w:r>
            </w:hyperlink>
            <w:r w:rsidRPr="00D61F73">
              <w:rPr>
                <w:rFonts w:ascii="Arial" w:hAnsi="Arial" w:cs="Arial"/>
              </w:rPr>
              <w:t>) (</w:t>
            </w:r>
            <w:hyperlink w:anchor="Washington2002April" w:history="1">
              <w:r w:rsidRPr="00D61F73">
                <w:rPr>
                  <w:rStyle w:val="Hyperlink"/>
                  <w:rFonts w:ascii="Arial" w:hAnsi="Arial" w:cs="Arial"/>
                </w:rPr>
                <w:t>Washington State, 2002</w:t>
              </w:r>
            </w:hyperlink>
            <w:r w:rsidRPr="00D61F73">
              <w:rPr>
                <w:rFonts w:ascii="Arial" w:hAnsi="Arial" w:cs="Arial"/>
              </w:rPr>
              <w:t>) (</w:t>
            </w:r>
            <w:hyperlink w:anchor="BlueCrossBlueShield6" w:history="1">
              <w:r w:rsidRPr="00D61F73">
                <w:rPr>
                  <w:rStyle w:val="Hyperlink"/>
                  <w:rFonts w:ascii="Arial" w:hAnsi="Arial" w:cs="Arial"/>
                </w:rPr>
                <w:t>BlueCross BlueShield, 2005</w:t>
              </w:r>
            </w:hyperlink>
            <w:r w:rsidRPr="00D61F73">
              <w:rPr>
                <w:rFonts w:ascii="Arial" w:hAnsi="Arial" w:cs="Arial"/>
              </w:rPr>
              <w:t>) (</w:t>
            </w:r>
            <w:hyperlink w:anchor="Aetna2" w:history="1">
              <w:r w:rsidRPr="00D61F73">
                <w:rPr>
                  <w:rStyle w:val="Hyperlink"/>
                  <w:rFonts w:ascii="Arial" w:hAnsi="Arial" w:cs="Arial"/>
                </w:rPr>
                <w:t>Aetna, 2005</w:t>
              </w:r>
            </w:hyperlink>
            <w:r w:rsidRPr="00D61F73">
              <w:rPr>
                <w:rFonts w:ascii="Arial" w:hAnsi="Arial" w:cs="Arial"/>
              </w:rPr>
              <w:t xml:space="preserve">) See also </w:t>
            </w:r>
            <w:hyperlink w:anchor="Interferentialcurrentstimulation" w:history="1">
              <w:r w:rsidRPr="00D61F73">
                <w:rPr>
                  <w:rStyle w:val="Hyperlink"/>
                  <w:rFonts w:ascii="Arial" w:hAnsi="Arial" w:cs="Arial"/>
                </w:rPr>
                <w:t>Interferential therapy</w:t>
              </w:r>
            </w:hyperlink>
            <w:r w:rsidRPr="00D61F73">
              <w:rPr>
                <w:rStyle w:val="Hyperlink"/>
                <w:rFonts w:ascii="Arial" w:hAnsi="Arial" w:cs="Arial"/>
              </w:rPr>
              <w:t xml:space="preserve"> and relevant MTUS body chapters</w:t>
            </w:r>
            <w:r w:rsidRPr="00D61F73">
              <w:rPr>
                <w:rFonts w:ascii="Arial" w:hAnsi="Arial" w:cs="Arial"/>
              </w:rPr>
              <w:t>.</w:t>
            </w:r>
          </w:p>
        </w:tc>
      </w:tr>
      <w:tr w:rsidR="0038137E" w:rsidRPr="00D61F73" w14:paraId="626449A4" w14:textId="77777777" w:rsidTr="0038137E">
        <w:tc>
          <w:tcPr>
            <w:tcW w:w="1088" w:type="pct"/>
            <w:shd w:val="clear" w:color="auto" w:fill="auto"/>
          </w:tcPr>
          <w:p w14:paraId="60140A0F" w14:textId="343C5B6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Sympathetically independent pain (SIP)</w:t>
            </w:r>
          </w:p>
        </w:tc>
        <w:tc>
          <w:tcPr>
            <w:tcW w:w="3912" w:type="pct"/>
            <w:shd w:val="clear" w:color="auto" w:fill="auto"/>
          </w:tcPr>
          <w:p w14:paraId="7BD2D5E2" w14:textId="02910700" w:rsidR="0038137E" w:rsidRPr="00D61F73" w:rsidRDefault="0038137E" w:rsidP="00D61F73">
            <w:pPr>
              <w:rPr>
                <w:rFonts w:ascii="Arial" w:hAnsi="Arial" w:cs="Arial"/>
              </w:rPr>
            </w:pPr>
            <w:r w:rsidRPr="00D61F73">
              <w:rPr>
                <w:rFonts w:ascii="Arial" w:hAnsi="Arial" w:cs="Arial"/>
              </w:rPr>
              <w:t xml:space="preserve">See </w:t>
            </w:r>
            <w:hyperlink w:anchor="Sympatheticallymaintainedpain" w:history="1">
              <w:r w:rsidRPr="00D61F73">
                <w:rPr>
                  <w:rStyle w:val="Hyperlink"/>
                  <w:rFonts w:ascii="Arial" w:hAnsi="Arial" w:cs="Arial"/>
                </w:rPr>
                <w:t>Sympathetically maintained pain</w:t>
              </w:r>
            </w:hyperlink>
            <w:r w:rsidRPr="00D61F73">
              <w:rPr>
                <w:rFonts w:ascii="Arial" w:hAnsi="Arial" w:cs="Arial"/>
              </w:rPr>
              <w:t xml:space="preserve"> (SMP).</w:t>
            </w:r>
          </w:p>
        </w:tc>
      </w:tr>
      <w:tr w:rsidR="0038137E" w:rsidRPr="00D61F73" w14:paraId="1E4B0E00" w14:textId="77777777" w:rsidTr="0038137E">
        <w:tc>
          <w:tcPr>
            <w:tcW w:w="1088" w:type="pct"/>
            <w:shd w:val="clear" w:color="auto" w:fill="auto"/>
          </w:tcPr>
          <w:p w14:paraId="3C6A133C" w14:textId="7EB41F0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S</w:t>
            </w:r>
            <w:bookmarkStart w:id="374" w:name="Sympatheticallymaintainedpain"/>
            <w:bookmarkEnd w:id="374"/>
            <w:r w:rsidRPr="00D61F73">
              <w:rPr>
                <w:rFonts w:ascii="Arial" w:hAnsi="Arial" w:cs="Arial"/>
              </w:rPr>
              <w:t>ympathetically maintained pain (SMP)</w:t>
            </w:r>
          </w:p>
        </w:tc>
        <w:tc>
          <w:tcPr>
            <w:tcW w:w="3912" w:type="pct"/>
            <w:shd w:val="clear" w:color="auto" w:fill="auto"/>
          </w:tcPr>
          <w:p w14:paraId="4C70CBE6" w14:textId="1F27DC51" w:rsidR="0038137E" w:rsidRPr="00D61F73" w:rsidRDefault="0038137E" w:rsidP="00D61F73">
            <w:pPr>
              <w:rPr>
                <w:rFonts w:ascii="Arial" w:hAnsi="Arial" w:cs="Arial"/>
              </w:rPr>
            </w:pPr>
            <w:r w:rsidRPr="00D61F73">
              <w:rPr>
                <w:rFonts w:ascii="Arial" w:hAnsi="Arial" w:cs="Arial"/>
              </w:rPr>
              <w:t>Definition: Sympathetically maintained pain (SMP) is pain that is maintained by sympathetic efferent innervation or by circulating catecholamines. (</w:t>
            </w:r>
            <w:hyperlink w:anchor="StantonHicks" w:history="1">
              <w:r w:rsidRPr="00D61F73">
                <w:rPr>
                  <w:rStyle w:val="Hyperlink"/>
                  <w:rFonts w:ascii="Arial" w:hAnsi="Arial" w:cs="Arial"/>
                </w:rPr>
                <w:t>Stanton-Hicks, 1995</w:t>
              </w:r>
            </w:hyperlink>
            <w:r w:rsidRPr="00D61F73">
              <w:rPr>
                <w:rFonts w:ascii="Arial" w:hAnsi="Arial" w:cs="Arial"/>
              </w:rPr>
              <w:t>) In more chronic stages, SMP may develop into sympathetically independent pain (SIP) or there may be mixed elements. (</w:t>
            </w:r>
            <w:hyperlink w:anchor="Ribbers" w:history="1">
              <w:r w:rsidRPr="00D61F73">
                <w:rPr>
                  <w:rStyle w:val="Hyperlink"/>
                  <w:rFonts w:ascii="Arial" w:hAnsi="Arial" w:cs="Arial"/>
                </w:rPr>
                <w:t>Ribbers, 2003</w:t>
              </w:r>
            </w:hyperlink>
            <w:r w:rsidRPr="00D61F73">
              <w:rPr>
                <w:rFonts w:ascii="Arial" w:hAnsi="Arial" w:cs="Arial"/>
              </w:rPr>
              <w:t>) SMP and SIP may also be seen in almost any type of neuropathic pain disorder. Therefore, pain relief may be found after sympatholysis in multiple conditions in addition to CRPS, and may be a reflection of response to sympathetic activity found in other sympathetically maintained pain conditions. (</w:t>
            </w:r>
            <w:hyperlink w:anchor="StantonHicks3" w:history="1">
              <w:r w:rsidRPr="00D61F73">
                <w:rPr>
                  <w:rStyle w:val="Hyperlink"/>
                  <w:rFonts w:ascii="Arial" w:hAnsi="Arial" w:cs="Arial"/>
                </w:rPr>
                <w:t>Stanton-Hicks, 2004</w:t>
              </w:r>
            </w:hyperlink>
            <w:r w:rsidRPr="00D61F73">
              <w:rPr>
                <w:rFonts w:ascii="Arial" w:hAnsi="Arial" w:cs="Arial"/>
              </w:rPr>
              <w:t xml:space="preserve">) See </w:t>
            </w:r>
            <w:hyperlink w:anchor="CRPSdiagnosticcriteria" w:history="1">
              <w:r w:rsidRPr="00D61F73">
                <w:rPr>
                  <w:rStyle w:val="Hyperlink"/>
                  <w:rFonts w:ascii="Arial" w:hAnsi="Arial" w:cs="Arial"/>
                </w:rPr>
                <w:t>CRPS, diagnostic criteria</w:t>
              </w:r>
            </w:hyperlink>
            <w:r w:rsidRPr="00D61F73">
              <w:rPr>
                <w:rFonts w:ascii="Arial" w:hAnsi="Arial" w:cs="Arial"/>
              </w:rPr>
              <w:t xml:space="preserve">; </w:t>
            </w:r>
            <w:hyperlink w:anchor="CRPSmedications" w:history="1">
              <w:r w:rsidRPr="00D61F73">
                <w:rPr>
                  <w:rStyle w:val="Hyperlink"/>
                  <w:rFonts w:ascii="Arial" w:hAnsi="Arial" w:cs="Arial"/>
                </w:rPr>
                <w:t>CRPS, medications</w:t>
              </w:r>
            </w:hyperlink>
            <w:r w:rsidRPr="00D61F73">
              <w:rPr>
                <w:rFonts w:ascii="Arial" w:hAnsi="Arial" w:cs="Arial"/>
              </w:rPr>
              <w:t xml:space="preserve">; </w:t>
            </w:r>
            <w:hyperlink w:anchor="CRPSsympatheticandepiduralblocks" w:history="1">
              <w:r w:rsidRPr="00D61F73">
                <w:rPr>
                  <w:rStyle w:val="Hyperlink"/>
                  <w:rFonts w:ascii="Arial" w:hAnsi="Arial" w:cs="Arial"/>
                </w:rPr>
                <w:t>CRPS, sympathetic and epidural blocks</w:t>
              </w:r>
            </w:hyperlink>
            <w:r w:rsidRPr="00D61F73">
              <w:rPr>
                <w:rFonts w:ascii="Arial" w:hAnsi="Arial" w:cs="Arial"/>
              </w:rPr>
              <w:t xml:space="preserve">; &amp; </w:t>
            </w:r>
            <w:hyperlink w:anchor="Intravenousregionalsympatheticblocks" w:history="1">
              <w:r w:rsidRPr="00D61F73">
                <w:rPr>
                  <w:rStyle w:val="Hyperlink"/>
                  <w:rFonts w:ascii="Arial" w:hAnsi="Arial" w:cs="Arial"/>
                </w:rPr>
                <w:t>Regional sympathetic blocks</w:t>
              </w:r>
            </w:hyperlink>
            <w:r w:rsidRPr="00D61F73">
              <w:rPr>
                <w:rFonts w:ascii="Arial" w:hAnsi="Arial" w:cs="Arial"/>
              </w:rPr>
              <w:t>.</w:t>
            </w:r>
          </w:p>
        </w:tc>
      </w:tr>
      <w:tr w:rsidR="0038137E" w:rsidRPr="00D61F73" w14:paraId="68286F15" w14:textId="77777777" w:rsidTr="0038137E">
        <w:tc>
          <w:tcPr>
            <w:tcW w:w="1088" w:type="pct"/>
            <w:shd w:val="clear" w:color="auto" w:fill="auto"/>
          </w:tcPr>
          <w:p w14:paraId="4064C881" w14:textId="72E0C1D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Tai Chi </w:t>
            </w:r>
          </w:p>
        </w:tc>
        <w:tc>
          <w:tcPr>
            <w:tcW w:w="3912" w:type="pct"/>
            <w:shd w:val="clear" w:color="auto" w:fill="auto"/>
          </w:tcPr>
          <w:p w14:paraId="756CC0AC" w14:textId="52CD1F52" w:rsidR="0038137E" w:rsidRPr="00D61F73" w:rsidRDefault="0038137E" w:rsidP="00D61F73">
            <w:pPr>
              <w:rPr>
                <w:rFonts w:ascii="Arial" w:hAnsi="Arial" w:cs="Arial"/>
              </w:rPr>
            </w:pPr>
            <w:r w:rsidRPr="00D61F73">
              <w:rPr>
                <w:rFonts w:ascii="Arial" w:hAnsi="Arial" w:cs="Arial"/>
              </w:rPr>
              <w:t xml:space="preserve">Recommended as an exercise-therapy option for arthritis, and for fibromyalgia when requested by highly motivated patients. Exercise therapy such as strengthening, stretching and aerobic programs, have been shown to be effective for arthritic pain. Tai Chi is a form of exercise that is regularly practiced in China to improve overall health and well-being. It is usually preformed in a group but is also practiced individually at one’s leisure. The fact that Tai Chi is inexpensive, convenient, and enjoyable and conveys other psychological and social benefits supports the use this type of intervention for pain conditions such as arthritis. It is </w:t>
            </w:r>
            <w:r w:rsidRPr="00D61F73">
              <w:rPr>
                <w:rFonts w:ascii="Arial" w:hAnsi="Arial" w:cs="Arial"/>
              </w:rPr>
              <w:lastRenderedPageBreak/>
              <w:t>important to note that the results reported in this systematic review are indicative of the effect of Tai Chi versus minimal intervention (usual health care or health education) or wait list control, but establishing the specific effects of Tai Chi would require a placebo-controlled trial, which has not yet been undertaken. (</w:t>
            </w:r>
            <w:hyperlink w:anchor="Hall" w:history="1">
              <w:r w:rsidRPr="00D61F73">
                <w:rPr>
                  <w:rStyle w:val="Hyperlink"/>
                  <w:rFonts w:ascii="Arial" w:hAnsi="Arial" w:cs="Arial"/>
                </w:rPr>
                <w:t>Hall, 2009</w:t>
              </w:r>
            </w:hyperlink>
            <w:r w:rsidRPr="00D61F73">
              <w:rPr>
                <w:rFonts w:ascii="Arial" w:hAnsi="Arial" w:cs="Arial"/>
              </w:rPr>
              <w:t>) Tai chi may be a helpful intervention for patients with fibromyalgia. (</w:t>
            </w:r>
            <w:hyperlink w:anchor="Wang2010" w:history="1">
              <w:r w:rsidRPr="00D61F73">
                <w:rPr>
                  <w:rStyle w:val="Hyperlink"/>
                  <w:rFonts w:ascii="Arial" w:hAnsi="Arial" w:cs="Arial"/>
                </w:rPr>
                <w:t>Wang, 2010</w:t>
              </w:r>
            </w:hyperlink>
            <w:r w:rsidRPr="00D61F73">
              <w:rPr>
                <w:rFonts w:ascii="Arial" w:hAnsi="Arial" w:cs="Arial"/>
              </w:rPr>
              <w:t xml:space="preserve">) Outcomes from this therapy are very dependent on the highly motivated patient.  See </w:t>
            </w:r>
            <w:hyperlink w:anchor="Physicalmedicinetreatment" w:history="1">
              <w:r w:rsidRPr="00D61F73">
                <w:rPr>
                  <w:rStyle w:val="Hyperlink"/>
                  <w:rFonts w:ascii="Arial" w:hAnsi="Arial" w:cs="Arial"/>
                </w:rPr>
                <w:t>Physical medicine treatment</w:t>
              </w:r>
            </w:hyperlink>
            <w:r w:rsidRPr="00D61F73">
              <w:rPr>
                <w:rFonts w:ascii="Arial" w:hAnsi="Arial" w:cs="Arial"/>
              </w:rPr>
              <w:t xml:space="preserve"> for recommended number of visits if exercise training is prescribed. </w:t>
            </w:r>
          </w:p>
        </w:tc>
      </w:tr>
      <w:tr w:rsidR="0038137E" w:rsidRPr="00D61F73" w14:paraId="3C5AAD51" w14:textId="77777777" w:rsidTr="0038137E">
        <w:tc>
          <w:tcPr>
            <w:tcW w:w="1088" w:type="pct"/>
            <w:shd w:val="clear" w:color="auto" w:fill="auto"/>
          </w:tcPr>
          <w:p w14:paraId="723A6858" w14:textId="6D751F3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Talwin</w:t>
            </w:r>
          </w:p>
        </w:tc>
        <w:tc>
          <w:tcPr>
            <w:tcW w:w="3912" w:type="pct"/>
            <w:shd w:val="clear" w:color="auto" w:fill="auto"/>
          </w:tcPr>
          <w:p w14:paraId="41C95687" w14:textId="77777777" w:rsidR="0038137E" w:rsidRDefault="0038137E" w:rsidP="00D61F73">
            <w:pPr>
              <w:rPr>
                <w:rFonts w:ascii="Arial" w:hAnsi="Arial" w:cs="Arial"/>
              </w:rPr>
            </w:pPr>
            <w:r w:rsidRPr="00D61F73">
              <w:rPr>
                <w:rFonts w:ascii="Arial" w:hAnsi="Arial" w:cs="Arial"/>
              </w:rPr>
              <w:t xml:space="preserve">See </w:t>
            </w:r>
            <w:hyperlink w:anchor="Pentazocine" w:history="1">
              <w:r w:rsidRPr="00D61F73">
                <w:rPr>
                  <w:rStyle w:val="Hyperlink"/>
                  <w:rFonts w:ascii="Arial" w:hAnsi="Arial" w:cs="Arial"/>
                </w:rPr>
                <w:t>Pentazocine</w:t>
              </w:r>
            </w:hyperlink>
            <w:r w:rsidRPr="00D61F73">
              <w:rPr>
                <w:rFonts w:ascii="Arial" w:hAnsi="Arial" w:cs="Arial"/>
              </w:rPr>
              <w:t xml:space="preserve"> (Talwin/Talwin NX).</w:t>
            </w:r>
          </w:p>
          <w:p w14:paraId="45C1F181" w14:textId="31CFFD8D" w:rsidR="00AA7907" w:rsidRPr="00D61F73" w:rsidRDefault="00AA7907" w:rsidP="00D61F73">
            <w:pPr>
              <w:rPr>
                <w:rFonts w:ascii="Arial" w:hAnsi="Arial" w:cs="Arial"/>
              </w:rPr>
            </w:pPr>
          </w:p>
        </w:tc>
      </w:tr>
      <w:tr w:rsidR="0038137E" w:rsidRPr="00D61F73" w14:paraId="12B75F43" w14:textId="77777777" w:rsidTr="0038137E">
        <w:tc>
          <w:tcPr>
            <w:tcW w:w="1088" w:type="pct"/>
            <w:shd w:val="clear" w:color="auto" w:fill="auto"/>
          </w:tcPr>
          <w:p w14:paraId="7DB7D2E4" w14:textId="381CD28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75" w:name="Tapentadol"/>
            <w:bookmarkEnd w:id="375"/>
            <w:r w:rsidRPr="00D61F73">
              <w:rPr>
                <w:rFonts w:ascii="Arial" w:hAnsi="Arial" w:cs="Arial"/>
              </w:rPr>
              <w:t xml:space="preserve">apentadol (Nucynta™) </w:t>
            </w:r>
          </w:p>
        </w:tc>
        <w:tc>
          <w:tcPr>
            <w:tcW w:w="3912" w:type="pct"/>
            <w:shd w:val="clear" w:color="auto" w:fill="auto"/>
          </w:tcPr>
          <w:p w14:paraId="10226633" w14:textId="6CA3A3CC" w:rsidR="0038137E" w:rsidRPr="00D61F73" w:rsidRDefault="0038137E" w:rsidP="00D61F73">
            <w:pPr>
              <w:rPr>
                <w:rFonts w:ascii="Arial" w:hAnsi="Arial" w:cs="Arial"/>
              </w:rPr>
            </w:pPr>
            <w:r w:rsidRPr="00D61F73">
              <w:rPr>
                <w:rFonts w:ascii="Arial" w:hAnsi="Arial" w:cs="Arial"/>
              </w:rPr>
              <w:t xml:space="preserve"> See MTUS Opioids Treatment Guidelines </w:t>
            </w:r>
            <w:r w:rsidRPr="00D61F73">
              <w:rPr>
                <w:rFonts w:ascii="Arial" w:hAnsi="Arial" w:cs="Arial"/>
                <w:bCs/>
              </w:rPr>
              <w:t>for prescribing information on opioids.</w:t>
            </w:r>
            <w:r w:rsidRPr="00D61F73">
              <w:rPr>
                <w:rFonts w:ascii="Arial" w:hAnsi="Arial" w:cs="Arial"/>
              </w:rPr>
              <w:t xml:space="preserve"> Three large RCTs concluded that tapentadol was efficacious and provided efficacy that was similar to oxycodone for the management of chronic osteoarthritis knee and low back pain, with a superior gastrointestinal tolerability profile and fewer treatment discontinuations. (</w:t>
            </w:r>
            <w:hyperlink w:anchor="Afilalo2010" w:history="1">
              <w:r w:rsidRPr="00D61F73">
                <w:rPr>
                  <w:rStyle w:val="Hyperlink"/>
                  <w:rFonts w:ascii="Arial" w:hAnsi="Arial" w:cs="Arial"/>
                </w:rPr>
                <w:t>Afilalo, 2010</w:t>
              </w:r>
            </w:hyperlink>
            <w:r w:rsidRPr="00D61F73">
              <w:rPr>
                <w:rFonts w:ascii="Arial" w:hAnsi="Arial" w:cs="Arial"/>
              </w:rPr>
              <w:t>) (</w:t>
            </w:r>
            <w:hyperlink w:anchor="Buynak2010" w:history="1">
              <w:r w:rsidRPr="00D61F73">
                <w:rPr>
                  <w:rStyle w:val="Hyperlink"/>
                  <w:rFonts w:ascii="Arial" w:hAnsi="Arial" w:cs="Arial"/>
                </w:rPr>
                <w:t>Buynak, 2010</w:t>
              </w:r>
            </w:hyperlink>
            <w:r w:rsidRPr="00D61F73">
              <w:rPr>
                <w:rFonts w:ascii="Arial" w:hAnsi="Arial" w:cs="Arial"/>
              </w:rPr>
              <w:t>) (</w:t>
            </w:r>
            <w:hyperlink w:anchor="Lange2010" w:history="1">
              <w:r w:rsidRPr="00D61F73">
                <w:rPr>
                  <w:rStyle w:val="Hyperlink"/>
                  <w:rFonts w:ascii="Arial" w:hAnsi="Arial" w:cs="Arial"/>
                </w:rPr>
                <w:t>Lange, 2010</w:t>
              </w:r>
            </w:hyperlink>
            <w:r w:rsidRPr="00D61F73">
              <w:rPr>
                <w:rFonts w:ascii="Arial" w:hAnsi="Arial" w:cs="Arial"/>
              </w:rPr>
              <w:t>) Tapentadol  is a centrally acting oral analgesic. It has two mechanisms of action, combining mu-opioid receptor agonism and norepinephrine reuptake inhibition. (</w:t>
            </w:r>
            <w:hyperlink r:id="rId157" w:history="1">
              <w:r w:rsidRPr="00D61F73">
                <w:rPr>
                  <w:rStyle w:val="Hyperlink"/>
                  <w:rFonts w:ascii="Arial" w:hAnsi="Arial" w:cs="Arial"/>
                </w:rPr>
                <w:t>Johnson, 2008</w:t>
              </w:r>
            </w:hyperlink>
            <w:r w:rsidRPr="00D61F73">
              <w:rPr>
                <w:rFonts w:ascii="Arial" w:hAnsi="Arial" w:cs="Arial"/>
              </w:rPr>
              <w:t>) Nucynta™ (tapentadol) was made a Schedule II controlled substance. Nucynta™ may be abused by crushing, chewing, snorting or injecting the product. These practices pose a significant risk to the abuser that could result in overdose and death.  (</w:t>
            </w:r>
            <w:hyperlink r:id="rId158" w:history="1">
              <w:r w:rsidRPr="00D61F73">
                <w:rPr>
                  <w:rStyle w:val="Hyperlink"/>
                  <w:rFonts w:ascii="Arial" w:hAnsi="Arial" w:cs="Arial"/>
                </w:rPr>
                <w:t>FDA, 2009</w:t>
              </w:r>
            </w:hyperlink>
            <w:r w:rsidRPr="00D61F73">
              <w:rPr>
                <w:rFonts w:ascii="Arial" w:hAnsi="Arial" w:cs="Arial"/>
              </w:rPr>
              <w:t>) Nucynta has the same pain-relieving benefits of OxyIR, as well as the same risks that come with any opioid, but shows a significant improvement in gastrointestinal tolerability compared with oxycodone; if patients on OxyIR complain of constipation, nausea, and/or vomiting, Nucynta may be considered as a second-line choice. (</w:t>
            </w:r>
            <w:hyperlink w:anchor="Daniels2009" w:history="1">
              <w:r w:rsidRPr="00D61F73">
                <w:rPr>
                  <w:rStyle w:val="Hyperlink"/>
                  <w:rFonts w:ascii="Arial" w:hAnsi="Arial" w:cs="Arial"/>
                </w:rPr>
                <w:t>Daniels, 2009</w:t>
              </w:r>
            </w:hyperlink>
            <w:r w:rsidRPr="00D61F73">
              <w:rPr>
                <w:rFonts w:ascii="Arial" w:hAnsi="Arial" w:cs="Arial"/>
              </w:rPr>
              <w:t>) (</w:t>
            </w:r>
            <w:hyperlink w:anchor="Daniels22009" w:history="1">
              <w:r w:rsidRPr="00D61F73">
                <w:rPr>
                  <w:rStyle w:val="Hyperlink"/>
                  <w:rFonts w:ascii="Arial" w:hAnsi="Arial" w:cs="Arial"/>
                </w:rPr>
                <w:t>Daniels2, 2009</w:t>
              </w:r>
            </w:hyperlink>
            <w:r w:rsidRPr="00D61F73">
              <w:rPr>
                <w:rFonts w:ascii="Arial" w:hAnsi="Arial" w:cs="Arial"/>
              </w:rPr>
              <w:t>) (</w:t>
            </w:r>
            <w:hyperlink w:anchor="Hale2009" w:history="1">
              <w:r w:rsidRPr="00D61F73">
                <w:rPr>
                  <w:rStyle w:val="Hyperlink"/>
                  <w:rFonts w:ascii="Arial" w:hAnsi="Arial" w:cs="Arial"/>
                </w:rPr>
                <w:t>Hale, 2009</w:t>
              </w:r>
            </w:hyperlink>
            <w:r w:rsidRPr="00D61F73">
              <w:rPr>
                <w:rFonts w:ascii="Arial" w:hAnsi="Arial" w:cs="Arial"/>
              </w:rPr>
              <w:t>) (</w:t>
            </w:r>
            <w:hyperlink w:anchor="Hartrick2009" w:history="1">
              <w:r w:rsidRPr="00D61F73">
                <w:rPr>
                  <w:rStyle w:val="Hyperlink"/>
                  <w:rFonts w:ascii="Arial" w:hAnsi="Arial" w:cs="Arial"/>
                </w:rPr>
                <w:t>Hartrick, 2009</w:t>
              </w:r>
            </w:hyperlink>
            <w:r w:rsidRPr="00D61F73">
              <w:rPr>
                <w:rFonts w:ascii="Arial" w:hAnsi="Arial" w:cs="Arial"/>
              </w:rPr>
              <w:t>) (</w:t>
            </w:r>
            <w:hyperlink w:anchor="Stegmann2008" w:history="1">
              <w:r w:rsidRPr="00D61F73">
                <w:rPr>
                  <w:rStyle w:val="Hyperlink"/>
                  <w:rFonts w:ascii="Arial" w:hAnsi="Arial" w:cs="Arial"/>
                </w:rPr>
                <w:t>Stegmann, 2008</w:t>
              </w:r>
            </w:hyperlink>
            <w:r w:rsidRPr="00D61F73">
              <w:rPr>
                <w:rFonts w:ascii="Arial" w:hAnsi="Arial" w:cs="Arial"/>
              </w:rPr>
              <w:t>) In one study, gastrointestinal adverse events led to discontinuation in 9% of the tapentadol group versus 22% of the oxycodone group. (</w:t>
            </w:r>
            <w:hyperlink w:anchor="Wild2010" w:history="1">
              <w:r w:rsidRPr="00D61F73">
                <w:rPr>
                  <w:rStyle w:val="Hyperlink"/>
                  <w:rFonts w:ascii="Arial" w:hAnsi="Arial" w:cs="Arial"/>
                </w:rPr>
                <w:t>Wild, 2010</w:t>
              </w:r>
            </w:hyperlink>
            <w:r w:rsidRPr="00D61F73">
              <w:rPr>
                <w:rFonts w:ascii="Arial" w:hAnsi="Arial" w:cs="Arial"/>
              </w:rPr>
              <w:t xml:space="preserve">) </w:t>
            </w:r>
          </w:p>
        </w:tc>
      </w:tr>
      <w:tr w:rsidR="0038137E" w:rsidRPr="00D61F73" w14:paraId="01C89A6E" w14:textId="77777777" w:rsidTr="0038137E">
        <w:tc>
          <w:tcPr>
            <w:tcW w:w="1088" w:type="pct"/>
            <w:shd w:val="clear" w:color="auto" w:fill="auto"/>
          </w:tcPr>
          <w:p w14:paraId="7171CF5E" w14:textId="0A660312" w:rsidR="0038137E" w:rsidRPr="00D61F73" w:rsidRDefault="0038137E" w:rsidP="00D61F73">
            <w:pPr>
              <w:pStyle w:val="Footer"/>
              <w:tabs>
                <w:tab w:val="clear" w:pos="4320"/>
                <w:tab w:val="clear" w:pos="8640"/>
              </w:tabs>
              <w:rPr>
                <w:rFonts w:ascii="Arial" w:hAnsi="Arial" w:cs="Arial"/>
                <w:u w:val="single"/>
              </w:rPr>
            </w:pPr>
            <w:r w:rsidRPr="00D61F73">
              <w:rPr>
                <w:rFonts w:ascii="Arial" w:hAnsi="Arial" w:cs="Arial"/>
              </w:rPr>
              <w:t>T</w:t>
            </w:r>
            <w:bookmarkStart w:id="376" w:name="Telehealth"/>
            <w:bookmarkEnd w:id="376"/>
            <w:r w:rsidRPr="00D61F73">
              <w:rPr>
                <w:rFonts w:ascii="Arial" w:hAnsi="Arial" w:cs="Arial"/>
              </w:rPr>
              <w:t>elehealth</w:t>
            </w:r>
          </w:p>
        </w:tc>
        <w:tc>
          <w:tcPr>
            <w:tcW w:w="3912" w:type="pct"/>
            <w:shd w:val="clear" w:color="auto" w:fill="auto"/>
          </w:tcPr>
          <w:p w14:paraId="362D454E" w14:textId="22377A1D" w:rsidR="0038137E" w:rsidRPr="00D61F73" w:rsidRDefault="0038137E" w:rsidP="00D61F73">
            <w:pPr>
              <w:rPr>
                <w:rFonts w:ascii="Arial" w:hAnsi="Arial" w:cs="Arial"/>
              </w:rPr>
            </w:pPr>
            <w:r w:rsidRPr="00D61F73">
              <w:rPr>
                <w:rFonts w:ascii="Arial" w:hAnsi="Arial" w:cs="Arial"/>
              </w:rPr>
              <w:t>Recommended as an option, especially in geographically dispersed urban areas and rural areas. Current literature supports the use of telehealth in the treatment and education of patients with chronic pain. Meta-analysis shows an overall benefit of telehealth interventions over control conditions and equivalence with in-person intervention. Centralized telecare management coupled with automated symptom monitoring can result in improved pain and depression outcomes. Telecare collaborative management can increase the proportion of primary care patients with improved chronic musculoskeletal pain. Telemedicine is also cost-effective. Telehealth includes patient education, remote patient monitoring, triage, and follow-up visits and consults. Telehealth is not necessarily in lieu of traditional in clinic visits, but augments the physician patient interaction by allowing communication and monitoring outside of the clinic visit. Providers can increase contact with the patient prior to untoward events. They may also educate the patient regarding their condition, nutrition, exercise, and medication adherence. (</w:t>
            </w:r>
            <w:hyperlink w:anchor="McGeary2013" w:history="1">
              <w:r w:rsidRPr="00D61F73">
                <w:rPr>
                  <w:rStyle w:val="Hyperlink"/>
                  <w:rFonts w:ascii="Arial" w:hAnsi="Arial" w:cs="Arial"/>
                </w:rPr>
                <w:t>McGeary, 2013</w:t>
              </w:r>
            </w:hyperlink>
            <w:r w:rsidRPr="00D61F73">
              <w:rPr>
                <w:rFonts w:ascii="Arial" w:hAnsi="Arial" w:cs="Arial"/>
              </w:rPr>
              <w:t>) (</w:t>
            </w:r>
            <w:hyperlink w:anchor="Kroenke2010" w:history="1">
              <w:r w:rsidRPr="00D61F73">
                <w:rPr>
                  <w:rStyle w:val="Hyperlink"/>
                  <w:rFonts w:ascii="Arial" w:hAnsi="Arial" w:cs="Arial"/>
                </w:rPr>
                <w:t>Kroenke, 2010</w:t>
              </w:r>
            </w:hyperlink>
            <w:r w:rsidRPr="00D61F73">
              <w:rPr>
                <w:rFonts w:ascii="Arial" w:hAnsi="Arial" w:cs="Arial"/>
              </w:rPr>
              <w:t>) (</w:t>
            </w:r>
            <w:hyperlink w:anchor="Kroenke2014" w:history="1">
              <w:r w:rsidRPr="00D61F73">
                <w:rPr>
                  <w:rStyle w:val="Hyperlink"/>
                  <w:rFonts w:ascii="Arial" w:hAnsi="Arial" w:cs="Arial"/>
                </w:rPr>
                <w:t>Kroenke, 2014</w:t>
              </w:r>
            </w:hyperlink>
            <w:r w:rsidRPr="00D61F73">
              <w:rPr>
                <w:rFonts w:ascii="Arial" w:hAnsi="Arial" w:cs="Arial"/>
              </w:rPr>
              <w:t>) (</w:t>
            </w:r>
            <w:hyperlink w:anchor="Pronovost2009" w:history="1">
              <w:r w:rsidRPr="00D61F73">
                <w:rPr>
                  <w:rStyle w:val="Hyperlink"/>
                  <w:rFonts w:ascii="Arial" w:hAnsi="Arial" w:cs="Arial"/>
                </w:rPr>
                <w:t>Pronovost, 2009</w:t>
              </w:r>
            </w:hyperlink>
            <w:r w:rsidRPr="00D61F73">
              <w:rPr>
                <w:rFonts w:ascii="Arial" w:hAnsi="Arial" w:cs="Arial"/>
              </w:rPr>
              <w:t xml:space="preserve">) See also </w:t>
            </w:r>
            <w:hyperlink w:anchor="Officevisits" w:history="1">
              <w:r w:rsidRPr="00D61F73">
                <w:rPr>
                  <w:rStyle w:val="Hyperlink"/>
                  <w:rFonts w:ascii="Arial" w:hAnsi="Arial" w:cs="Arial"/>
                </w:rPr>
                <w:t>Office visits</w:t>
              </w:r>
            </w:hyperlink>
            <w:r w:rsidRPr="00D61F73">
              <w:rPr>
                <w:rFonts w:ascii="Arial" w:hAnsi="Arial" w:cs="Arial"/>
              </w:rPr>
              <w:t>.</w:t>
            </w:r>
          </w:p>
        </w:tc>
      </w:tr>
      <w:tr w:rsidR="0038137E" w:rsidRPr="00D61F73" w14:paraId="796F6071" w14:textId="77777777" w:rsidTr="0038137E">
        <w:tc>
          <w:tcPr>
            <w:tcW w:w="1088" w:type="pct"/>
            <w:shd w:val="clear" w:color="auto" w:fill="auto"/>
          </w:tcPr>
          <w:p w14:paraId="07D92051" w14:textId="6F4CBD4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Telomerase </w:t>
            </w:r>
            <w:r w:rsidRPr="00D61F73">
              <w:rPr>
                <w:rFonts w:ascii="Arial" w:hAnsi="Arial" w:cs="Arial"/>
              </w:rPr>
              <w:lastRenderedPageBreak/>
              <w:t xml:space="preserve">activators (TA-65) </w:t>
            </w:r>
          </w:p>
        </w:tc>
        <w:tc>
          <w:tcPr>
            <w:tcW w:w="3912" w:type="pct"/>
            <w:shd w:val="clear" w:color="auto" w:fill="auto"/>
          </w:tcPr>
          <w:p w14:paraId="2FB9794E" w14:textId="341E1F4C" w:rsidR="0038137E" w:rsidRPr="00D61F73" w:rsidRDefault="0038137E" w:rsidP="00D61F73">
            <w:pPr>
              <w:rPr>
                <w:rFonts w:ascii="Arial" w:hAnsi="Arial" w:cs="Arial"/>
              </w:rPr>
            </w:pPr>
            <w:r w:rsidRPr="00D61F73">
              <w:rPr>
                <w:rFonts w:ascii="Arial" w:hAnsi="Arial" w:cs="Arial"/>
              </w:rPr>
              <w:lastRenderedPageBreak/>
              <w:t xml:space="preserve">Appropriate only in a research setting until higher quality studies are </w:t>
            </w:r>
            <w:r w:rsidRPr="00D61F73">
              <w:rPr>
                <w:rFonts w:ascii="Arial" w:hAnsi="Arial" w:cs="Arial"/>
              </w:rPr>
              <w:lastRenderedPageBreak/>
              <w:t>available. Telomeres are the ends protecting each chromosome that become progressively shorter each time the cell divides until the cell can no longer divide, potentially resulting various conditions associated with old age, including pain, cancer, etc. Telomerase is an enzyme used as a template when it elongates telomeres, which are shortened after each replication cycle. Chronic pain/high stress groups have significantly shorter telomere length. (</w:t>
            </w:r>
            <w:hyperlink w:anchor="Sibille2012" w:history="1">
              <w:r w:rsidRPr="00D61F73">
                <w:rPr>
                  <w:rStyle w:val="Hyperlink"/>
                  <w:rFonts w:ascii="Arial" w:hAnsi="Arial" w:cs="Arial"/>
                </w:rPr>
                <w:t>Sibille, 2012</w:t>
              </w:r>
            </w:hyperlink>
            <w:r w:rsidRPr="00D61F73">
              <w:rPr>
                <w:rFonts w:ascii="Arial" w:hAnsi="Arial" w:cs="Arial"/>
              </w:rPr>
              <w:t>) Most human cells lack sufficient telomerase to maintain telomeres, hence these genetic elements shorten with time and stress, contributing to aging and disease. A natural product-derived telomerase activator can moderately activate telomerase. (</w:t>
            </w:r>
            <w:hyperlink w:anchor="Harley2011" w:history="1">
              <w:r w:rsidRPr="00D61F73">
                <w:rPr>
                  <w:rStyle w:val="Hyperlink"/>
                  <w:rFonts w:ascii="Arial" w:hAnsi="Arial" w:cs="Arial"/>
                </w:rPr>
                <w:t>Harley, 2011</w:t>
              </w:r>
            </w:hyperlink>
            <w:r w:rsidRPr="00D61F73">
              <w:rPr>
                <w:rFonts w:ascii="Arial" w:hAnsi="Arial" w:cs="Arial"/>
              </w:rPr>
              <w:t>) Shortening of leukocyte telomeres, the extreme ends of chromosomal DNA, is associated with risks for mortality, and may be a marker of biological aging, according to this study. (</w:t>
            </w:r>
            <w:hyperlink w:anchor="Honig2012" w:history="1">
              <w:r w:rsidRPr="00D61F73">
                <w:rPr>
                  <w:rStyle w:val="Hyperlink"/>
                  <w:rFonts w:ascii="Arial" w:hAnsi="Arial" w:cs="Arial"/>
                </w:rPr>
                <w:t>Honig, 2012</w:t>
              </w:r>
            </w:hyperlink>
            <w:r w:rsidRPr="00D61F73">
              <w:rPr>
                <w:rFonts w:ascii="Arial" w:hAnsi="Arial" w:cs="Arial"/>
              </w:rPr>
              <w:t>)</w:t>
            </w:r>
          </w:p>
        </w:tc>
      </w:tr>
      <w:tr w:rsidR="0038137E" w:rsidRPr="00D61F73" w14:paraId="33F7FF5D" w14:textId="77777777" w:rsidTr="0038137E">
        <w:tc>
          <w:tcPr>
            <w:tcW w:w="1088" w:type="pct"/>
            <w:shd w:val="clear" w:color="auto" w:fill="auto"/>
          </w:tcPr>
          <w:p w14:paraId="40D3CC12" w14:textId="28CC8E6F" w:rsidR="0038137E" w:rsidRPr="00D61F73" w:rsidRDefault="0038137E" w:rsidP="00D61F73">
            <w:pPr>
              <w:pStyle w:val="Footer"/>
              <w:tabs>
                <w:tab w:val="clear" w:pos="4320"/>
                <w:tab w:val="clear" w:pos="8640"/>
              </w:tabs>
              <w:rPr>
                <w:rFonts w:ascii="Arial" w:hAnsi="Arial" w:cs="Arial"/>
              </w:rPr>
            </w:pPr>
            <w:bookmarkStart w:id="377" w:name="Temazepam"/>
            <w:r w:rsidRPr="00D61F73">
              <w:rPr>
                <w:rFonts w:ascii="Arial" w:hAnsi="Arial" w:cs="Arial"/>
              </w:rPr>
              <w:lastRenderedPageBreak/>
              <w:t>Temazepam</w:t>
            </w:r>
            <w:bookmarkEnd w:id="377"/>
          </w:p>
        </w:tc>
        <w:tc>
          <w:tcPr>
            <w:tcW w:w="3912" w:type="pct"/>
            <w:shd w:val="clear" w:color="auto" w:fill="auto"/>
          </w:tcPr>
          <w:p w14:paraId="5597AC8B" w14:textId="77777777" w:rsidR="0038137E" w:rsidRPr="00D61F73" w:rsidRDefault="0038137E"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p w14:paraId="184897E6" w14:textId="02A380FA" w:rsidR="0038137E" w:rsidRPr="00D61F73" w:rsidRDefault="0038137E" w:rsidP="00D61F73">
            <w:pPr>
              <w:rPr>
                <w:rFonts w:ascii="Arial" w:hAnsi="Arial" w:cs="Arial"/>
              </w:rPr>
            </w:pPr>
          </w:p>
        </w:tc>
      </w:tr>
      <w:tr w:rsidR="0038137E" w:rsidRPr="00D61F73" w14:paraId="51CBB7B6" w14:textId="77777777" w:rsidTr="0038137E">
        <w:tc>
          <w:tcPr>
            <w:tcW w:w="1088" w:type="pct"/>
            <w:shd w:val="clear" w:color="auto" w:fill="auto"/>
          </w:tcPr>
          <w:p w14:paraId="4C0C5E16" w14:textId="51D9C70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78" w:name="TENS"/>
            <w:bookmarkEnd w:id="378"/>
            <w:r w:rsidRPr="00D61F73">
              <w:rPr>
                <w:rFonts w:ascii="Arial" w:hAnsi="Arial" w:cs="Arial"/>
              </w:rPr>
              <w:t>ENS, chronic pain (transcutaneous electrical nerve stimulation)</w:t>
            </w:r>
          </w:p>
        </w:tc>
        <w:tc>
          <w:tcPr>
            <w:tcW w:w="3912" w:type="pct"/>
            <w:shd w:val="clear" w:color="auto" w:fill="auto"/>
          </w:tcPr>
          <w:p w14:paraId="36C33368" w14:textId="77777777" w:rsidR="0038137E" w:rsidRPr="00D61F73" w:rsidRDefault="0038137E" w:rsidP="00D61F73">
            <w:pPr>
              <w:rPr>
                <w:rFonts w:ascii="Arial" w:hAnsi="Arial" w:cs="Arial"/>
              </w:rPr>
            </w:pPr>
            <w:r w:rsidRPr="00D61F73">
              <w:rPr>
                <w:rFonts w:ascii="Arial" w:hAnsi="Arial" w:cs="Arial"/>
              </w:rPr>
              <w:t xml:space="preserve">Not recommended as a primary treatment modality, but a one-month home-based TENS trial may be considered as a noninvasive conservative option, if used as an adjunct to a program of evidence-based </w:t>
            </w:r>
            <w:hyperlink w:anchor="Functionalimprovementmeasures" w:history="1">
              <w:r w:rsidRPr="00D61F73">
                <w:rPr>
                  <w:rStyle w:val="Hyperlink"/>
                  <w:rFonts w:ascii="Arial" w:hAnsi="Arial" w:cs="Arial"/>
                </w:rPr>
                <w:t>functional restoration</w:t>
              </w:r>
            </w:hyperlink>
            <w:r w:rsidRPr="00D61F73">
              <w:rPr>
                <w:rFonts w:ascii="Arial" w:hAnsi="Arial" w:cs="Arial"/>
              </w:rPr>
              <w:t>, including reductions in medication use, for the conditions described below. While TENS may reflect the long-standing accepted standard of care within many medical communities, the results of studies are inconclusive; the published trials do not provide information on the stimulation parameters which are most likely to provide optimum pain relief, nor do they answer questions about long-term effectiveness. (</w:t>
            </w:r>
            <w:hyperlink w:anchor="Carroll" w:history="1">
              <w:r w:rsidRPr="00D61F73">
                <w:rPr>
                  <w:rStyle w:val="Hyperlink"/>
                  <w:rFonts w:ascii="Arial" w:hAnsi="Arial" w:cs="Arial"/>
                </w:rPr>
                <w:t>Carroll-</w:t>
              </w:r>
              <w:r w:rsidRPr="00D61F73">
                <w:rPr>
                  <w:rStyle w:val="Hyperlink"/>
                  <w:rFonts w:ascii="Arial" w:hAnsi="Arial" w:cs="Arial"/>
                  <w:i/>
                  <w:iCs/>
                </w:rPr>
                <w:t>Cochrane</w:t>
              </w:r>
              <w:r w:rsidRPr="00D61F73">
                <w:rPr>
                  <w:rStyle w:val="Hyperlink"/>
                  <w:rFonts w:ascii="Arial" w:hAnsi="Arial" w:cs="Arial"/>
                </w:rPr>
                <w:t>, 2001</w:t>
              </w:r>
            </w:hyperlink>
            <w:r w:rsidRPr="00D61F73">
              <w:rPr>
                <w:rFonts w:ascii="Arial" w:hAnsi="Arial" w:cs="Arial"/>
              </w:rPr>
              <w:t xml:space="preserve">) Several published evidence-based assessments of transcutaneous electrical nerve stimulation (TENS) have found that evidence is lacking concerning effectiveness. One problem with current studies is that many only evaluated single-dose treatment, which may not reflect the use of this modality in a clinical setting. Other problems include statistical methodology, small sample size, influence of placebo effect, and difficulty comparing the different outcomes that were measured. </w:t>
            </w:r>
          </w:p>
          <w:p w14:paraId="7997DE44" w14:textId="77777777" w:rsidR="0038137E" w:rsidRPr="00D61F73" w:rsidRDefault="0038137E" w:rsidP="00D61F73">
            <w:pPr>
              <w:rPr>
                <w:rFonts w:ascii="Arial" w:hAnsi="Arial" w:cs="Arial"/>
              </w:rPr>
            </w:pPr>
            <w:r w:rsidRPr="00D61F73">
              <w:rPr>
                <w:rFonts w:ascii="Arial" w:hAnsi="Arial" w:cs="Arial"/>
                <w:b/>
                <w:bCs/>
                <w:i/>
                <w:u w:val="single"/>
              </w:rPr>
              <w:t>Recommendations by types of pain</w:t>
            </w:r>
            <w:r w:rsidRPr="00D61F73">
              <w:rPr>
                <w:rFonts w:ascii="Arial" w:hAnsi="Arial" w:cs="Arial"/>
                <w:b/>
                <w:bCs/>
                <w:i/>
              </w:rPr>
              <w:t xml:space="preserve">: </w:t>
            </w:r>
            <w:r w:rsidRPr="00D61F73">
              <w:rPr>
                <w:rFonts w:ascii="Arial" w:hAnsi="Arial" w:cs="Arial"/>
              </w:rPr>
              <w:t xml:space="preserve">A home-based treatment trial of one month may be appropriate for neuropathic pain and CRPS II (conditions that have limited published evidence for the use of TENS as noted below), and for CRPS I (with basically no literature to support use). </w:t>
            </w:r>
          </w:p>
          <w:p w14:paraId="5236CD77" w14:textId="77777777" w:rsidR="0038137E" w:rsidRPr="00D61F73" w:rsidRDefault="0038137E" w:rsidP="00D61F73">
            <w:pPr>
              <w:rPr>
                <w:rFonts w:ascii="Arial" w:hAnsi="Arial" w:cs="Arial"/>
              </w:rPr>
            </w:pPr>
            <w:r w:rsidRPr="00D61F73">
              <w:rPr>
                <w:rFonts w:ascii="Arial" w:hAnsi="Arial" w:cs="Arial"/>
                <w:i/>
              </w:rPr>
              <w:t xml:space="preserve">Neuropathic pain: </w:t>
            </w:r>
            <w:r w:rsidRPr="00D61F73">
              <w:rPr>
                <w:rFonts w:ascii="Arial" w:hAnsi="Arial" w:cs="Arial"/>
              </w:rPr>
              <w:t>Some evidence (</w:t>
            </w:r>
            <w:hyperlink w:anchor="Chong" w:history="1">
              <w:r w:rsidRPr="00D61F73">
                <w:rPr>
                  <w:rStyle w:val="Hyperlink"/>
                  <w:rFonts w:ascii="Arial" w:hAnsi="Arial" w:cs="Arial"/>
                </w:rPr>
                <w:t>Chong, 2003</w:t>
              </w:r>
            </w:hyperlink>
            <w:r w:rsidRPr="00D61F73">
              <w:rPr>
                <w:rFonts w:ascii="Arial" w:hAnsi="Arial" w:cs="Arial"/>
              </w:rPr>
              <w:t>), including diabetic neuropathy (</w:t>
            </w:r>
            <w:hyperlink w:anchor="Spruce" w:history="1">
              <w:r w:rsidRPr="00D61F73">
                <w:rPr>
                  <w:rStyle w:val="Hyperlink"/>
                  <w:rFonts w:ascii="Arial" w:hAnsi="Arial" w:cs="Arial"/>
                </w:rPr>
                <w:t>Spruce, 2002</w:t>
              </w:r>
            </w:hyperlink>
            <w:r w:rsidRPr="00D61F73">
              <w:rPr>
                <w:rFonts w:ascii="Arial" w:hAnsi="Arial" w:cs="Arial"/>
              </w:rPr>
              <w:t>) and post-herpetic neuralgia. (</w:t>
            </w:r>
            <w:hyperlink w:anchor="Niv" w:history="1">
              <w:r w:rsidRPr="00D61F73">
                <w:rPr>
                  <w:rStyle w:val="Hyperlink"/>
                  <w:rFonts w:ascii="Arial" w:hAnsi="Arial" w:cs="Arial"/>
                </w:rPr>
                <w:t>Niv, 2005</w:t>
              </w:r>
            </w:hyperlink>
            <w:r w:rsidRPr="00D61F73">
              <w:rPr>
                <w:rFonts w:ascii="Arial" w:hAnsi="Arial" w:cs="Arial"/>
              </w:rPr>
              <w:t xml:space="preserve">) </w:t>
            </w:r>
          </w:p>
          <w:p w14:paraId="1B752453" w14:textId="77777777" w:rsidR="0038137E" w:rsidRPr="00D61F73" w:rsidRDefault="0038137E" w:rsidP="00D61F73">
            <w:pPr>
              <w:rPr>
                <w:rFonts w:ascii="Arial" w:hAnsi="Arial" w:cs="Arial"/>
              </w:rPr>
            </w:pPr>
            <w:r w:rsidRPr="00D61F73">
              <w:rPr>
                <w:rFonts w:ascii="Arial" w:hAnsi="Arial" w:cs="Arial"/>
                <w:i/>
              </w:rPr>
              <w:t xml:space="preserve">Phantom limb pain and CRPS II: </w:t>
            </w:r>
            <w:r w:rsidRPr="00D61F73">
              <w:rPr>
                <w:rFonts w:ascii="Arial" w:hAnsi="Arial" w:cs="Arial"/>
              </w:rPr>
              <w:t>Some evidence to support use. (</w:t>
            </w:r>
            <w:hyperlink w:anchor="Finsen" w:history="1">
              <w:r w:rsidRPr="00D61F73">
                <w:rPr>
                  <w:rStyle w:val="Hyperlink"/>
                  <w:rFonts w:ascii="Arial" w:hAnsi="Arial" w:cs="Arial"/>
                </w:rPr>
                <w:t>Finsen, 1988</w:t>
              </w:r>
            </w:hyperlink>
            <w:r w:rsidRPr="00D61F73">
              <w:rPr>
                <w:rFonts w:ascii="Arial" w:hAnsi="Arial" w:cs="Arial"/>
              </w:rPr>
              <w:t>) (</w:t>
            </w:r>
            <w:hyperlink w:anchor="Lundeberg" w:history="1">
              <w:r w:rsidRPr="00D61F73">
                <w:rPr>
                  <w:rStyle w:val="Hyperlink"/>
                  <w:rFonts w:ascii="Arial" w:hAnsi="Arial" w:cs="Arial"/>
                </w:rPr>
                <w:t>Lundeberg, 1985</w:t>
              </w:r>
            </w:hyperlink>
            <w:r w:rsidRPr="00D61F73">
              <w:rPr>
                <w:rFonts w:ascii="Arial" w:hAnsi="Arial" w:cs="Arial"/>
              </w:rPr>
              <w:t>)</w:t>
            </w:r>
          </w:p>
          <w:p w14:paraId="77FF52AD" w14:textId="77777777" w:rsidR="0038137E" w:rsidRPr="00D61F73" w:rsidRDefault="0038137E" w:rsidP="00D61F73">
            <w:pPr>
              <w:rPr>
                <w:rFonts w:ascii="Arial" w:hAnsi="Arial" w:cs="Arial"/>
              </w:rPr>
            </w:pPr>
            <w:r w:rsidRPr="00D61F73">
              <w:rPr>
                <w:rFonts w:ascii="Arial" w:hAnsi="Arial" w:cs="Arial"/>
                <w:i/>
              </w:rPr>
              <w:t xml:space="preserve">Spasticity: </w:t>
            </w:r>
            <w:r w:rsidRPr="00D61F73">
              <w:rPr>
                <w:rFonts w:ascii="Arial" w:hAnsi="Arial" w:cs="Arial"/>
              </w:rPr>
              <w:t>TENS may be a supplement to medical treatment in the management of spasticity in spinal cord injury. (</w:t>
            </w:r>
            <w:hyperlink w:anchor="Aydin" w:history="1">
              <w:r w:rsidRPr="00D61F73">
                <w:rPr>
                  <w:rStyle w:val="Hyperlink"/>
                  <w:rFonts w:ascii="Arial" w:hAnsi="Arial" w:cs="Arial"/>
                </w:rPr>
                <w:t>Aydin, 2005</w:t>
              </w:r>
            </w:hyperlink>
            <w:r w:rsidRPr="00D61F73">
              <w:rPr>
                <w:rFonts w:ascii="Arial" w:hAnsi="Arial" w:cs="Arial"/>
              </w:rPr>
              <w:t>)</w:t>
            </w:r>
          </w:p>
          <w:p w14:paraId="19139E7A" w14:textId="77777777" w:rsidR="0038137E" w:rsidRPr="00D61F73" w:rsidRDefault="0038137E" w:rsidP="00D61F73">
            <w:pPr>
              <w:rPr>
                <w:rFonts w:ascii="Arial" w:hAnsi="Arial" w:cs="Arial"/>
              </w:rPr>
            </w:pPr>
            <w:r w:rsidRPr="00D61F73">
              <w:rPr>
                <w:rFonts w:ascii="Arial" w:hAnsi="Arial" w:cs="Arial"/>
                <w:i/>
                <w:iCs/>
              </w:rPr>
              <w:t xml:space="preserve">Multiple sclerosis (MS): </w:t>
            </w:r>
            <w:r w:rsidRPr="00D61F73">
              <w:rPr>
                <w:rFonts w:ascii="Arial" w:hAnsi="Arial" w:cs="Arial"/>
              </w:rPr>
              <w:t>While TENS does not appear to be effective in reducing spasticity in MS patients it may be useful in treating MS patients with pain and muscle spasm. (</w:t>
            </w:r>
            <w:hyperlink w:anchor="Miller" w:history="1">
              <w:r w:rsidRPr="00D61F73">
                <w:rPr>
                  <w:rStyle w:val="Hyperlink"/>
                  <w:rFonts w:ascii="Arial" w:hAnsi="Arial" w:cs="Arial"/>
                </w:rPr>
                <w:t>Miller, 2007</w:t>
              </w:r>
            </w:hyperlink>
            <w:r w:rsidRPr="00D61F73">
              <w:rPr>
                <w:rFonts w:ascii="Arial" w:hAnsi="Arial" w:cs="Arial"/>
              </w:rPr>
              <w:t>)</w:t>
            </w:r>
          </w:p>
          <w:p w14:paraId="20B369E4" w14:textId="72E7E8A5" w:rsidR="0038137E" w:rsidRPr="00DF42F3" w:rsidRDefault="0038137E" w:rsidP="00D61F73">
            <w:pPr>
              <w:rPr>
                <w:rFonts w:ascii="Arial" w:hAnsi="Arial" w:cs="Arial"/>
                <w:strike/>
              </w:rPr>
            </w:pPr>
            <w:r w:rsidRPr="006B19C5">
              <w:rPr>
                <w:rFonts w:ascii="Arial" w:hAnsi="Arial" w:cs="Arial"/>
                <w:strike/>
              </w:rPr>
              <w:t>See also MTUS chapters on specific body parts.</w:t>
            </w:r>
            <w:r w:rsidR="00DF42F3">
              <w:rPr>
                <w:rFonts w:ascii="Arial" w:hAnsi="Arial" w:cs="Arial"/>
                <w:strike/>
              </w:rPr>
              <w:t xml:space="preserve"> </w:t>
            </w:r>
            <w:r w:rsidR="00DF42F3" w:rsidRPr="000C243F">
              <w:rPr>
                <w:rFonts w:ascii="Arial" w:hAnsi="Arial" w:cs="Arial"/>
                <w:strike/>
              </w:rPr>
              <w:t xml:space="preserve"> </w:t>
            </w:r>
            <w:r w:rsidR="00DF42F3" w:rsidRPr="006B19C5">
              <w:rPr>
                <w:rFonts w:ascii="Arial" w:hAnsi="Arial" w:cs="Arial"/>
                <w:u w:val="single"/>
              </w:rPr>
              <w:t>Refer to the relevant Clinical Topics section of the MTUS</w:t>
            </w:r>
            <w:r w:rsidR="00D22AF7" w:rsidRPr="006B19C5">
              <w:rPr>
                <w:rFonts w:ascii="Arial" w:hAnsi="Arial" w:cs="Arial"/>
                <w:u w:val="single"/>
              </w:rPr>
              <w:t xml:space="preserve"> for additional recommendations</w:t>
            </w:r>
            <w:r w:rsidR="00D22AF7" w:rsidRPr="005B461D">
              <w:rPr>
                <w:rFonts w:ascii="Arial" w:hAnsi="Arial" w:cs="Arial"/>
                <w:strike/>
              </w:rPr>
              <w:t>los</w:t>
            </w:r>
            <w:r w:rsidR="00DF42F3" w:rsidRPr="006B19C5">
              <w:rPr>
                <w:rFonts w:ascii="Arial" w:hAnsi="Arial" w:cs="Arial"/>
                <w:u w:val="single"/>
              </w:rPr>
              <w:t>.</w:t>
            </w:r>
          </w:p>
          <w:p w14:paraId="1DF212D1" w14:textId="77777777" w:rsidR="0038137E" w:rsidRDefault="0038137E" w:rsidP="00D61F73">
            <w:pPr>
              <w:rPr>
                <w:rFonts w:ascii="Arial" w:hAnsi="Arial" w:cs="Arial"/>
              </w:rPr>
            </w:pPr>
            <w:r w:rsidRPr="00D61F73">
              <w:rPr>
                <w:rFonts w:ascii="Arial" w:hAnsi="Arial" w:cs="Arial"/>
                <w:i/>
                <w:u w:val="single"/>
              </w:rPr>
              <w:t>How it works</w:t>
            </w:r>
            <w:r w:rsidRPr="00D61F73">
              <w:rPr>
                <w:rFonts w:ascii="Arial" w:hAnsi="Arial" w:cs="Arial"/>
                <w:i/>
              </w:rPr>
              <w:t xml:space="preserve">: </w:t>
            </w:r>
            <w:r w:rsidRPr="00D61F73">
              <w:rPr>
                <w:rFonts w:ascii="Arial" w:hAnsi="Arial" w:cs="Arial"/>
              </w:rPr>
              <w:t xml:space="preserve">TENS consists of an electrical pulse generator connected to skin-surface electrodes that apply stimulation to peripheral nerves at well-tolerated frequencies. Electrodes can either be placed at the site of pain or </w:t>
            </w:r>
            <w:r w:rsidRPr="00D61F73">
              <w:rPr>
                <w:rFonts w:ascii="Arial" w:hAnsi="Arial" w:cs="Arial"/>
              </w:rPr>
              <w:lastRenderedPageBreak/>
              <w:t>other locations, using a trial and error methodology. A TENS unit can be varied by amplitude, pulse width (duration) and pulse rate (frequency). The most common applications include (1) high frequency or conventional TENS (40-150 Hz, with a short duration of up to 50 microseconds) and</w:t>
            </w:r>
          </w:p>
          <w:p w14:paraId="6AC89E3C" w14:textId="77777777" w:rsidR="0038137E" w:rsidRPr="00D61F73" w:rsidRDefault="0038137E" w:rsidP="00D61F73">
            <w:pPr>
              <w:rPr>
                <w:rFonts w:ascii="Arial" w:hAnsi="Arial" w:cs="Arial"/>
              </w:rPr>
            </w:pPr>
            <w:r w:rsidRPr="00D61F73">
              <w:rPr>
                <w:rFonts w:ascii="Arial" w:hAnsi="Arial" w:cs="Arial"/>
              </w:rPr>
              <w:t>(2) low frequency or acupuncture-like TENS (1-4 Hz at a high stimulus intensity). Other modes of TENS include: (1) brief-intense TENS (&gt;80 Hz); (2) burst TENS (bursts at less than 10 Hz) at high frequency; and (3) modulation TENS. The difference between clinical effectiveness of the modalities has not been well defined. (</w:t>
            </w:r>
            <w:hyperlink w:anchor="Koke" w:history="1">
              <w:r w:rsidRPr="00D61F73">
                <w:rPr>
                  <w:rStyle w:val="Hyperlink"/>
                  <w:rFonts w:ascii="Arial" w:hAnsi="Arial" w:cs="Arial"/>
                </w:rPr>
                <w:t>Koke, 2004</w:t>
              </w:r>
            </w:hyperlink>
            <w:r w:rsidRPr="00D61F73">
              <w:rPr>
                <w:rFonts w:ascii="Arial" w:hAnsi="Arial" w:cs="Arial"/>
              </w:rPr>
              <w:t xml:space="preserve">) TENS should be differentiated from other types of electrical stimulators. See </w:t>
            </w:r>
            <w:hyperlink w:anchor="Electricalstimulators" w:history="1">
              <w:r w:rsidRPr="00D61F73">
                <w:rPr>
                  <w:rStyle w:val="Hyperlink"/>
                  <w:rFonts w:ascii="Arial" w:hAnsi="Arial" w:cs="Arial"/>
                </w:rPr>
                <w:t>Electrical stimulators</w:t>
              </w:r>
            </w:hyperlink>
            <w:r w:rsidRPr="00D61F73">
              <w:rPr>
                <w:rFonts w:ascii="Arial" w:hAnsi="Arial" w:cs="Arial"/>
              </w:rPr>
              <w:t xml:space="preserve"> (E-stim) for a list of alternatives.</w:t>
            </w:r>
          </w:p>
          <w:p w14:paraId="118260E4" w14:textId="2D6B5A7C" w:rsidR="0038137E" w:rsidRPr="00D61F73" w:rsidRDefault="0038137E" w:rsidP="00D61F73">
            <w:pPr>
              <w:rPr>
                <w:rFonts w:ascii="Arial" w:hAnsi="Arial" w:cs="Arial"/>
              </w:rPr>
            </w:pPr>
            <w:r w:rsidRPr="00D61F73">
              <w:rPr>
                <w:rFonts w:ascii="Arial" w:hAnsi="Arial" w:cs="Arial"/>
                <w:i/>
                <w:u w:val="single"/>
              </w:rPr>
              <w:t>Recent studies</w:t>
            </w:r>
            <w:r w:rsidRPr="00D61F73">
              <w:rPr>
                <w:rFonts w:ascii="Arial" w:hAnsi="Arial" w:cs="Arial"/>
                <w:i/>
              </w:rPr>
              <w:t xml:space="preserve">: </w:t>
            </w:r>
            <w:r w:rsidRPr="00D61F73">
              <w:rPr>
                <w:rFonts w:ascii="Arial" w:hAnsi="Arial" w:cs="Arial"/>
              </w:rPr>
              <w:t>A meta-analysis concluded that there was a significant decrease in pain when electrical nerve stimulation (ENS) of most types was applied to any anatomic location of chronic musculoskeletal pain (back, knee, hip, neck) for any length of treatment. Of the 38 studies used in the analysis, 35 favored ENS over placebo. All locations of pain were included based on the rationale that “mechanism, rather than anatomic location of pain, is likely to be a critical factor for therapy.” The overall design of this study used questionable methodology and the results require further evaluation before application to specific clinical practice. (</w:t>
            </w:r>
            <w:hyperlink w:anchor="Johnson" w:history="1">
              <w:r w:rsidRPr="00D61F73">
                <w:rPr>
                  <w:rStyle w:val="Hyperlink"/>
                  <w:rFonts w:ascii="Arial" w:hAnsi="Arial" w:cs="Arial"/>
                </w:rPr>
                <w:t>Johnson, 2007</w:t>
              </w:r>
            </w:hyperlink>
            <w:r w:rsidRPr="00D61F73">
              <w:rPr>
                <w:rFonts w:ascii="Arial" w:hAnsi="Arial" w:cs="Arial"/>
              </w:rPr>
              <w:t>) (</w:t>
            </w:r>
            <w:hyperlink w:anchor="Novak2" w:history="1">
              <w:r w:rsidRPr="00D61F73">
                <w:rPr>
                  <w:rStyle w:val="Hyperlink"/>
                  <w:rFonts w:ascii="Arial" w:hAnsi="Arial" w:cs="Arial"/>
                </w:rPr>
                <w:t>Novak, 2007</w:t>
              </w:r>
            </w:hyperlink>
            <w:r w:rsidRPr="00D61F73">
              <w:rPr>
                <w:rFonts w:ascii="Arial" w:hAnsi="Arial" w:cs="Arial"/>
              </w:rPr>
              <w:t>) (</w:t>
            </w:r>
            <w:hyperlink w:anchor="Furlan3" w:history="1">
              <w:r w:rsidRPr="00D61F73">
                <w:rPr>
                  <w:rStyle w:val="Hyperlink"/>
                  <w:rFonts w:ascii="Arial" w:hAnsi="Arial" w:cs="Arial"/>
                </w:rPr>
                <w:t>Furlan, 2007</w:t>
              </w:r>
            </w:hyperlink>
            <w:r w:rsidRPr="00D61F73">
              <w:rPr>
                <w:rFonts w:ascii="Arial" w:hAnsi="Arial" w:cs="Arial"/>
              </w:rPr>
              <w:t>) Although electrotherapeutic modalities are frequently used in the management of CLBP, few studies were found to support their use. Most studies on TENS can be considered of relatively poor methodological quality. TENS does not appear to have an impact on perceived disability or long-term pain. High frequency TENS appears to be more effective on pain intensity when compared with low frequency, but this has to be confirmed in future comparative trials. It is also not known if adding TENS to an evidence-based intervention, such as exercise, improves even more outcomes, but studies assessing the interactions between exercise and TENS found no cumulative impact. (</w:t>
            </w:r>
            <w:hyperlink r:id="rId159" w:anchor="Poitras" w:history="1">
              <w:r w:rsidRPr="00D61F73">
                <w:rPr>
                  <w:rStyle w:val="Hyperlink"/>
                  <w:rFonts w:ascii="Arial" w:hAnsi="Arial" w:cs="Arial"/>
                </w:rPr>
                <w:t>Poitras, 2008</w:t>
              </w:r>
            </w:hyperlink>
            <w:r w:rsidRPr="00D61F73">
              <w:rPr>
                <w:rFonts w:ascii="Arial" w:hAnsi="Arial" w:cs="Arial"/>
              </w:rPr>
              <w:t>) A recent meta-analysis concluded that the evidence from the small number of placebo-controlled trials does not support the use of TENS in the routine management of chronic LBP. There was conflicting evidence about whether TENS was beneficial in reducing back pain intensity and consistent evidence that it did not improve back-specific functional status. There was moderate evidence that work status and the use of medical services did not change with treatment. Patients treated with acupuncture-like TENS responded similarly to those treated with conventional TENS. (</w:t>
            </w:r>
            <w:hyperlink r:id="rId160" w:anchor="Khadilkar3" w:history="1">
              <w:r w:rsidRPr="00D61F73">
                <w:rPr>
                  <w:rStyle w:val="Hyperlink"/>
                  <w:rFonts w:ascii="Arial" w:hAnsi="Arial" w:cs="Arial"/>
                </w:rPr>
                <w:t>Khadilkar-</w:t>
              </w:r>
              <w:r w:rsidRPr="00D61F73">
                <w:rPr>
                  <w:rStyle w:val="Hyperlink"/>
                  <w:rFonts w:ascii="Arial" w:hAnsi="Arial" w:cs="Arial"/>
                  <w:i/>
                  <w:iCs/>
                </w:rPr>
                <w:t>Cochrane</w:t>
              </w:r>
              <w:r w:rsidRPr="00D61F73">
                <w:rPr>
                  <w:rStyle w:val="Hyperlink"/>
                  <w:rFonts w:ascii="Arial" w:hAnsi="Arial" w:cs="Arial"/>
                </w:rPr>
                <w:t>, 2008</w:t>
              </w:r>
            </w:hyperlink>
            <w:r w:rsidRPr="00D61F73">
              <w:rPr>
                <w:rFonts w:ascii="Arial" w:hAnsi="Arial" w:cs="Arial"/>
              </w:rPr>
              <w:t>) An evidence-based review concluded that TENS is not recommended for use in treating chronic low-back pain (level A, 2 class 1 studies) but adds that TENS should be considered to treat diabetic neuropathy (level B, 2 class 2 studies). In the highest-quality studies of chronic low back pain, there was no benefit of TENS compared to sham or placebo TENS. In diabetic polyneuropathy, some studies showed slight benefit. The authors also point out that TENS has had a long-standing role in pain management, is easy to handle, has a favorable benefit-to-risk ratio, and can be discontinued easily if it is not efficacious. (</w:t>
            </w:r>
            <w:hyperlink w:anchor="Dubinsky" w:history="1">
              <w:r w:rsidRPr="00D61F73">
                <w:rPr>
                  <w:rStyle w:val="Hyperlink"/>
                  <w:rFonts w:ascii="Arial" w:hAnsi="Arial" w:cs="Arial"/>
                </w:rPr>
                <w:t>Dubinsky, 2010</w:t>
              </w:r>
            </w:hyperlink>
            <w:r w:rsidRPr="00D61F73">
              <w:rPr>
                <w:rFonts w:ascii="Arial" w:hAnsi="Arial" w:cs="Arial"/>
              </w:rPr>
              <w:t>)</w:t>
            </w:r>
          </w:p>
        </w:tc>
      </w:tr>
      <w:tr w:rsidR="0038137E" w:rsidRPr="00D61F73" w14:paraId="45D138EF" w14:textId="77777777" w:rsidTr="0038137E">
        <w:tc>
          <w:tcPr>
            <w:tcW w:w="1088" w:type="pct"/>
            <w:shd w:val="clear" w:color="auto" w:fill="auto"/>
          </w:tcPr>
          <w:p w14:paraId="0F539364" w14:textId="5F93B42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w:t>
            </w:r>
            <w:bookmarkStart w:id="379" w:name="TENSpostoperativepain"/>
            <w:bookmarkEnd w:id="379"/>
            <w:r w:rsidRPr="00D61F73">
              <w:rPr>
                <w:rFonts w:ascii="Arial" w:hAnsi="Arial" w:cs="Arial"/>
              </w:rPr>
              <w:t xml:space="preserve">ENS, post </w:t>
            </w:r>
            <w:r w:rsidRPr="00D61F73">
              <w:rPr>
                <w:rFonts w:ascii="Arial" w:hAnsi="Arial" w:cs="Arial"/>
              </w:rPr>
              <w:lastRenderedPageBreak/>
              <w:t>operative pain (transcutaneous electrical nerve stimulation)</w:t>
            </w:r>
          </w:p>
        </w:tc>
        <w:tc>
          <w:tcPr>
            <w:tcW w:w="3912" w:type="pct"/>
            <w:shd w:val="clear" w:color="auto" w:fill="auto"/>
          </w:tcPr>
          <w:p w14:paraId="462CF574" w14:textId="2F0B88C3" w:rsidR="0038137E" w:rsidRPr="00D61F73" w:rsidRDefault="0038137E" w:rsidP="00D61F73">
            <w:pPr>
              <w:rPr>
                <w:rFonts w:ascii="Arial" w:hAnsi="Arial" w:cs="Arial"/>
              </w:rPr>
            </w:pPr>
            <w:r w:rsidRPr="00D61F73">
              <w:rPr>
                <w:rFonts w:ascii="Arial" w:hAnsi="Arial" w:cs="Arial"/>
              </w:rPr>
              <w:lastRenderedPageBreak/>
              <w:t xml:space="preserve">Recommended as a treatment option for acute post-operative pain in the </w:t>
            </w:r>
            <w:r w:rsidRPr="00D61F73">
              <w:rPr>
                <w:rFonts w:ascii="Arial" w:hAnsi="Arial" w:cs="Arial"/>
              </w:rPr>
              <w:lastRenderedPageBreak/>
              <w:t>first 30 days post-surgery. Transcutaneous electrical nerve stimulation (TENS) appears to be most effective for mild to moderate thoracotomy pain. (</w:t>
            </w:r>
            <w:hyperlink w:anchor="Solak" w:history="1">
              <w:r w:rsidRPr="00D61F73">
                <w:rPr>
                  <w:rStyle w:val="Hyperlink"/>
                  <w:rFonts w:ascii="Arial" w:hAnsi="Arial" w:cs="Arial"/>
                </w:rPr>
                <w:t>Solak, 2007</w:t>
              </w:r>
            </w:hyperlink>
            <w:r w:rsidRPr="00D61F73">
              <w:rPr>
                <w:rFonts w:ascii="Arial" w:hAnsi="Arial" w:cs="Arial"/>
              </w:rPr>
              <w:t>) (</w:t>
            </w:r>
            <w:hyperlink w:anchor="Erdogan" w:history="1">
              <w:r w:rsidRPr="00D61F73">
                <w:rPr>
                  <w:rStyle w:val="Hyperlink"/>
                  <w:rFonts w:ascii="Arial" w:hAnsi="Arial" w:cs="Arial"/>
                </w:rPr>
                <w:t>Erdogan, 2005</w:t>
              </w:r>
            </w:hyperlink>
            <w:r w:rsidRPr="00D61F73">
              <w:rPr>
                <w:rFonts w:ascii="Arial" w:hAnsi="Arial" w:cs="Arial"/>
              </w:rPr>
              <w:t>). It has been shown to be of lesser effect, or not at all for other orthopedic surgical procedures. (</w:t>
            </w:r>
            <w:hyperlink w:anchor="Breit" w:history="1">
              <w:r w:rsidRPr="00D61F73">
                <w:rPr>
                  <w:rStyle w:val="Hyperlink"/>
                  <w:rFonts w:ascii="Arial" w:hAnsi="Arial" w:cs="Arial"/>
                </w:rPr>
                <w:t>Breit, 2004</w:t>
              </w:r>
            </w:hyperlink>
            <w:r w:rsidRPr="00D61F73">
              <w:rPr>
                <w:rFonts w:ascii="Arial" w:hAnsi="Arial" w:cs="Arial"/>
              </w:rPr>
              <w:t>) (</w:t>
            </w:r>
            <w:hyperlink w:anchor="Rosenquist" w:history="1">
              <w:r w:rsidRPr="00D61F73">
                <w:rPr>
                  <w:rStyle w:val="Hyperlink"/>
                  <w:rFonts w:ascii="Arial" w:hAnsi="Arial" w:cs="Arial"/>
                </w:rPr>
                <w:t>Rosenquist 2003</w:t>
              </w:r>
            </w:hyperlink>
            <w:r w:rsidRPr="00D61F73">
              <w:rPr>
                <w:rFonts w:ascii="Arial" w:hAnsi="Arial" w:cs="Arial"/>
              </w:rPr>
              <w:t>) The proposed necessity of the unit should be documented upon request. Rental would be preferred over purchase during this 30-day period.</w:t>
            </w:r>
          </w:p>
        </w:tc>
      </w:tr>
      <w:tr w:rsidR="0038137E" w:rsidRPr="00D61F73" w14:paraId="7FAF998D" w14:textId="77777777" w:rsidTr="0038137E">
        <w:tc>
          <w:tcPr>
            <w:tcW w:w="1088" w:type="pct"/>
            <w:shd w:val="clear" w:color="auto" w:fill="auto"/>
          </w:tcPr>
          <w:p w14:paraId="7FABCD16" w14:textId="777777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Testosterone replacement for hypogonadism (related to opioids)</w:t>
            </w:r>
          </w:p>
          <w:p w14:paraId="7CE7C80A" w14:textId="77777777" w:rsidR="0038137E" w:rsidRPr="00D61F73" w:rsidRDefault="0038137E" w:rsidP="00D61F73">
            <w:pPr>
              <w:pStyle w:val="Footer"/>
              <w:tabs>
                <w:tab w:val="clear" w:pos="4320"/>
                <w:tab w:val="clear" w:pos="8640"/>
              </w:tabs>
              <w:rPr>
                <w:rFonts w:ascii="Arial" w:hAnsi="Arial" w:cs="Arial"/>
              </w:rPr>
            </w:pPr>
          </w:p>
          <w:p w14:paraId="068201D8" w14:textId="4072657A" w:rsidR="0038137E" w:rsidRPr="00D61F73" w:rsidRDefault="0038137E" w:rsidP="00D61F73">
            <w:pPr>
              <w:pStyle w:val="Footer"/>
              <w:tabs>
                <w:tab w:val="clear" w:pos="4320"/>
                <w:tab w:val="clear" w:pos="8640"/>
              </w:tabs>
              <w:rPr>
                <w:rFonts w:ascii="Arial" w:hAnsi="Arial" w:cs="Arial"/>
              </w:rPr>
            </w:pPr>
          </w:p>
        </w:tc>
        <w:tc>
          <w:tcPr>
            <w:tcW w:w="3912" w:type="pct"/>
            <w:shd w:val="clear" w:color="auto" w:fill="auto"/>
          </w:tcPr>
          <w:p w14:paraId="20721AD6" w14:textId="77777777" w:rsidR="0038137E" w:rsidRPr="00D61F73" w:rsidRDefault="0038137E" w:rsidP="00D61F73">
            <w:pPr>
              <w:rPr>
                <w:rFonts w:ascii="Arial" w:hAnsi="Arial" w:cs="Arial"/>
              </w:rPr>
            </w:pPr>
            <w:r w:rsidRPr="00D61F73">
              <w:rPr>
                <w:rFonts w:ascii="Arial" w:hAnsi="Arial" w:cs="Arial"/>
              </w:rPr>
              <w:t>Recommended in limited circumstances for patients taking high-dose long-term opioids with documented low testosterone levels. Hypogonadism has been noted in patients receiving intrathecal opioids and long-term high dose opioids. Routine testing of testosterone levels in men taking opioids is not recommended; however, an endocrine evaluation and/or testosterone levels should be considered in men who are taking long term, high dose oral opioids or intrathecal opioids and who exhibit symptoms or signs of hypogonadism, such as gynecomastia. If needed, testosterone replacement should be done by a physician with special knowledge in this field given the potential side effects such as hepatomas. There are multiple delivery mechanisms for testosterone. Hypogonadism secondary to opioids appears to be central, although the exact mechanism has not been determined. The evidence on testosterone levels in long-term opioid users is not randomized or double-blinded, but there are studies that show that there is an increased incidence of hypogonadism in people taking opioids, either intrathecal or oral. There is also a body of literature showing that improvement in strength and other function in those who are testosterone deficient who receive replacement. (</w:t>
            </w:r>
            <w:hyperlink w:anchor="Nakazawa" w:history="1">
              <w:r w:rsidRPr="00D61F73">
                <w:rPr>
                  <w:rStyle w:val="Hyperlink"/>
                  <w:rFonts w:ascii="Arial" w:hAnsi="Arial" w:cs="Arial"/>
                </w:rPr>
                <w:t>Nakazawa, 2006</w:t>
              </w:r>
            </w:hyperlink>
            <w:r w:rsidRPr="00D61F73">
              <w:rPr>
                <w:rFonts w:ascii="Arial" w:hAnsi="Arial" w:cs="Arial"/>
              </w:rPr>
              <w:t>) (</w:t>
            </w:r>
            <w:hyperlink w:anchor="Page" w:history="1">
              <w:r w:rsidRPr="00D61F73">
                <w:rPr>
                  <w:rStyle w:val="Hyperlink"/>
                  <w:rFonts w:ascii="Arial" w:hAnsi="Arial" w:cs="Arial"/>
                </w:rPr>
                <w:t>Page, 2005</w:t>
              </w:r>
            </w:hyperlink>
            <w:r w:rsidRPr="00D61F73">
              <w:rPr>
                <w:rFonts w:ascii="Arial" w:hAnsi="Arial" w:cs="Arial"/>
              </w:rPr>
              <w:t>) (</w:t>
            </w:r>
            <w:hyperlink w:anchor="Rajagopal" w:history="1">
              <w:r w:rsidRPr="00D61F73">
                <w:rPr>
                  <w:rStyle w:val="Hyperlink"/>
                  <w:rFonts w:ascii="Arial" w:hAnsi="Arial" w:cs="Arial"/>
                </w:rPr>
                <w:t>Rajagopal, 2004</w:t>
              </w:r>
            </w:hyperlink>
            <w:r w:rsidRPr="00D61F73">
              <w:rPr>
                <w:rFonts w:ascii="Arial" w:hAnsi="Arial" w:cs="Arial"/>
              </w:rPr>
              <w:t>) This appears to be more pronounced in patients taking oral opioids than in patients receiving intrathecal opioids, and this difference seems to be related to differences in absorption. Hypogonadism secondary to opioids appears to be central, although the exact mechanism has not been determined. (</w:t>
            </w:r>
            <w:hyperlink w:anchor="Abs" w:history="1">
              <w:r w:rsidRPr="00D61F73">
                <w:rPr>
                  <w:rStyle w:val="Hyperlink"/>
                  <w:rFonts w:ascii="Arial" w:hAnsi="Arial" w:cs="Arial"/>
                </w:rPr>
                <w:t>Abs, 2000</w:t>
              </w:r>
            </w:hyperlink>
            <w:r w:rsidRPr="00D61F73">
              <w:rPr>
                <w:rFonts w:ascii="Arial" w:hAnsi="Arial" w:cs="Arial"/>
              </w:rPr>
              <w:t>) (</w:t>
            </w:r>
            <w:hyperlink w:anchor="Roberts2002" w:history="1">
              <w:r w:rsidRPr="00D61F73">
                <w:rPr>
                  <w:rStyle w:val="Hyperlink"/>
                  <w:rFonts w:ascii="Arial" w:hAnsi="Arial" w:cs="Arial"/>
                </w:rPr>
                <w:t>Roberts, 2002</w:t>
              </w:r>
            </w:hyperlink>
            <w:r w:rsidRPr="00D61F73">
              <w:rPr>
                <w:rFonts w:ascii="Arial" w:hAnsi="Arial" w:cs="Arial"/>
              </w:rPr>
              <w:t>) (</w:t>
            </w:r>
            <w:hyperlink w:anchor="Roberts2000" w:history="1">
              <w:r w:rsidRPr="00D61F73">
                <w:rPr>
                  <w:rStyle w:val="Hyperlink"/>
                  <w:rFonts w:ascii="Arial" w:hAnsi="Arial" w:cs="Arial"/>
                </w:rPr>
                <w:t>Roberts, 2000</w:t>
              </w:r>
            </w:hyperlink>
            <w:r w:rsidRPr="00D61F73">
              <w:rPr>
                <w:rFonts w:ascii="Arial" w:hAnsi="Arial" w:cs="Arial"/>
              </w:rPr>
              <w:t>) The odds of being hypogonadal on long-acting opioids may be 4-5 times higher than the odds on a short-acting equipotent dose. (</w:t>
            </w:r>
            <w:hyperlink w:anchor="Rubinstein2012" w:history="1">
              <w:r w:rsidRPr="00D61F73">
                <w:rPr>
                  <w:rStyle w:val="Hyperlink"/>
                  <w:rFonts w:ascii="Arial" w:hAnsi="Arial" w:cs="Arial"/>
                </w:rPr>
                <w:t>Rubinstein, 2012</w:t>
              </w:r>
            </w:hyperlink>
            <w:r w:rsidRPr="00D61F73">
              <w:rPr>
                <w:rFonts w:ascii="Arial" w:hAnsi="Arial" w:cs="Arial"/>
              </w:rPr>
              <w:t xml:space="preserve">) Etiology of decreased sexual function, a symptom of hypogonadism, is confounded by several factors including the following: (1) The role of chronic pain itself on sexual function; (2) The natural occurrence of decreased testosterone that occurs with aging; (3) The documented side effect of decreased sexual function that is common with other medications used to treat pain (SSRIs, tricyclic antidepressants, and certain anti-epilepsy drugs); &amp; (4) The role of comorbid conditions such as diabetes, hypertension, and vascular disease in erectile dysfunction. There is little information in peer-reviewed literature as to how to treat opioid induced androgen deficiency. </w:t>
            </w:r>
          </w:p>
          <w:p w14:paraId="547C57E3" w14:textId="77777777" w:rsidR="0038137E" w:rsidRPr="00D61F73" w:rsidRDefault="0038137E" w:rsidP="00D61F73">
            <w:pPr>
              <w:rPr>
                <w:rFonts w:ascii="Arial" w:hAnsi="Arial" w:cs="Arial"/>
              </w:rPr>
            </w:pPr>
            <w:r w:rsidRPr="00D61F73">
              <w:rPr>
                <w:rFonts w:ascii="Arial" w:hAnsi="Arial" w:cs="Arial"/>
                <w:i/>
              </w:rPr>
              <w:t xml:space="preserve">Long-term safety data of testosterone replacement (overall): </w:t>
            </w:r>
            <w:r w:rsidRPr="00D61F73">
              <w:rPr>
                <w:rFonts w:ascii="Arial" w:hAnsi="Arial" w:cs="Arial"/>
              </w:rPr>
              <w:t>Not available.</w:t>
            </w:r>
          </w:p>
          <w:p w14:paraId="414478A1" w14:textId="77777777" w:rsidR="0038137E" w:rsidRPr="00D61F73" w:rsidRDefault="0038137E" w:rsidP="00D61F73">
            <w:pPr>
              <w:rPr>
                <w:rFonts w:ascii="Arial" w:hAnsi="Arial" w:cs="Arial"/>
              </w:rPr>
            </w:pPr>
            <w:r w:rsidRPr="00D61F73">
              <w:rPr>
                <w:rFonts w:ascii="Arial" w:hAnsi="Arial" w:cs="Arial"/>
                <w:i/>
              </w:rPr>
              <w:t xml:space="preserve">Cardiovascular risk: </w:t>
            </w:r>
            <w:r w:rsidRPr="00D61F73">
              <w:rPr>
                <w:rFonts w:ascii="Arial" w:hAnsi="Arial" w:cs="Arial"/>
              </w:rPr>
              <w:t>There have been no large randomized controlled trials to evaluate the cardiovascular risk associated with long-term testosterone use, although current studies weakly support that there is no association with important cardiovascular effects. (</w:t>
            </w:r>
            <w:hyperlink w:anchor="Haddad" w:history="1">
              <w:r w:rsidRPr="00D61F73">
                <w:rPr>
                  <w:rStyle w:val="Hyperlink"/>
                  <w:rFonts w:ascii="Arial" w:hAnsi="Arial" w:cs="Arial"/>
                </w:rPr>
                <w:t>Haddad 2007</w:t>
              </w:r>
            </w:hyperlink>
            <w:r w:rsidRPr="00D61F73">
              <w:rPr>
                <w:rFonts w:ascii="Arial" w:hAnsi="Arial" w:cs="Arial"/>
              </w:rPr>
              <w:t xml:space="preserve">) </w:t>
            </w:r>
          </w:p>
          <w:p w14:paraId="7AD4982B" w14:textId="77777777" w:rsidR="0038137E" w:rsidRPr="00D61F73" w:rsidRDefault="0038137E" w:rsidP="00D61F73">
            <w:pPr>
              <w:rPr>
                <w:rFonts w:ascii="Arial" w:hAnsi="Arial" w:cs="Arial"/>
              </w:rPr>
            </w:pPr>
            <w:r w:rsidRPr="00D61F73">
              <w:rPr>
                <w:rFonts w:ascii="Arial" w:hAnsi="Arial" w:cs="Arial"/>
                <w:i/>
              </w:rPr>
              <w:t>Osteoporosis:</w:t>
            </w:r>
            <w:r w:rsidRPr="00D61F73">
              <w:rPr>
                <w:rFonts w:ascii="Arial" w:hAnsi="Arial" w:cs="Arial"/>
              </w:rPr>
              <w:t xml:space="preserve"> The extent to which testosterone can prevent and treat osteoporosis remains unclear. (</w:t>
            </w:r>
            <w:hyperlink w:anchor="Tracz" w:history="1">
              <w:r w:rsidRPr="00D61F73">
                <w:rPr>
                  <w:rStyle w:val="Hyperlink"/>
                  <w:rFonts w:ascii="Arial" w:hAnsi="Arial" w:cs="Arial"/>
                </w:rPr>
                <w:t>Tracz 2006</w:t>
              </w:r>
            </w:hyperlink>
            <w:r w:rsidRPr="00D61F73">
              <w:rPr>
                <w:rFonts w:ascii="Arial" w:hAnsi="Arial" w:cs="Arial"/>
              </w:rPr>
              <w:t>) (</w:t>
            </w:r>
            <w:hyperlink w:anchor="IsidoriB" w:history="1">
              <w:r w:rsidRPr="00D61F73">
                <w:rPr>
                  <w:rStyle w:val="Hyperlink"/>
                  <w:rFonts w:ascii="Arial" w:hAnsi="Arial" w:cs="Arial"/>
                </w:rPr>
                <w:t>Isidori, 2005</w:t>
              </w:r>
            </w:hyperlink>
            <w:r w:rsidRPr="00D61F73">
              <w:rPr>
                <w:rFonts w:ascii="Arial" w:hAnsi="Arial" w:cs="Arial"/>
              </w:rPr>
              <w:t>)</w:t>
            </w:r>
          </w:p>
          <w:p w14:paraId="48DEA81A" w14:textId="77777777" w:rsidR="0038137E" w:rsidRPr="00D61F73" w:rsidRDefault="0038137E" w:rsidP="00D61F73">
            <w:pPr>
              <w:rPr>
                <w:rFonts w:ascii="Arial" w:hAnsi="Arial" w:cs="Arial"/>
              </w:rPr>
            </w:pPr>
            <w:r w:rsidRPr="00D61F73">
              <w:rPr>
                <w:rFonts w:ascii="Arial" w:hAnsi="Arial" w:cs="Arial"/>
                <w:i/>
              </w:rPr>
              <w:lastRenderedPageBreak/>
              <w:t xml:space="preserve">Sexual function: </w:t>
            </w:r>
            <w:r w:rsidRPr="00D61F73">
              <w:rPr>
                <w:rFonts w:ascii="Arial" w:hAnsi="Arial" w:cs="Arial"/>
              </w:rPr>
              <w:t>Current trials of testosterone replacement in patients with documented low testosterone levels have shown a moderate nonsignificant and inconsistent effect of testosterone on erectile function, a large effect on libido, and no significant effect on overall sexual satisfaction. (</w:t>
            </w:r>
            <w:hyperlink w:anchor="Bolona" w:history="1">
              <w:r w:rsidRPr="00D61F73">
                <w:rPr>
                  <w:rStyle w:val="Hyperlink"/>
                  <w:rFonts w:ascii="Arial" w:hAnsi="Arial" w:cs="Arial"/>
                </w:rPr>
                <w:t>Bolona, 2007</w:t>
              </w:r>
            </w:hyperlink>
            <w:r w:rsidRPr="00D61F73">
              <w:rPr>
                <w:rFonts w:ascii="Arial" w:hAnsi="Arial" w:cs="Arial"/>
              </w:rPr>
              <w:t>) (</w:t>
            </w:r>
            <w:hyperlink w:anchor="Isidori" w:history="1">
              <w:r w:rsidRPr="00D61F73">
                <w:rPr>
                  <w:rStyle w:val="Hyperlink"/>
                  <w:rFonts w:ascii="Arial" w:hAnsi="Arial" w:cs="Arial"/>
                </w:rPr>
                <w:t>Isidori, 2005</w:t>
              </w:r>
            </w:hyperlink>
            <w:r w:rsidRPr="00D61F73">
              <w:rPr>
                <w:rFonts w:ascii="Arial" w:hAnsi="Arial" w:cs="Arial"/>
              </w:rPr>
              <w:t>)</w:t>
            </w:r>
          </w:p>
          <w:p w14:paraId="448D66DA" w14:textId="20E3B84D" w:rsidR="0038137E" w:rsidRPr="00D61F73" w:rsidRDefault="0038137E" w:rsidP="00D61F73">
            <w:pPr>
              <w:rPr>
                <w:rFonts w:ascii="Arial" w:hAnsi="Arial" w:cs="Arial"/>
              </w:rPr>
            </w:pPr>
            <w:r w:rsidRPr="00D61F73">
              <w:rPr>
                <w:rFonts w:ascii="Arial" w:hAnsi="Arial" w:cs="Arial"/>
              </w:rPr>
              <w:t>The one study (sponsored by the drug company) that has evaluated the use of testosterone replacement in patients with opioid-induced androgen deficiency, measured morning serum free testosterone levels and PSA prior to replacement. This study did not include patients taking antidepressants. (</w:t>
            </w:r>
            <w:hyperlink w:anchor="Daniell" w:history="1">
              <w:r w:rsidRPr="00D61F73">
                <w:rPr>
                  <w:rStyle w:val="Hyperlink"/>
                  <w:rFonts w:ascii="Arial" w:hAnsi="Arial" w:cs="Arial"/>
                </w:rPr>
                <w:t>Daniell, 2006</w:t>
              </w:r>
            </w:hyperlink>
            <w:r w:rsidRPr="00D61F73">
              <w:rPr>
                <w:rFonts w:ascii="Arial" w:hAnsi="Arial" w:cs="Arial"/>
              </w:rPr>
              <w:t>)</w:t>
            </w:r>
          </w:p>
        </w:tc>
      </w:tr>
      <w:tr w:rsidR="0038137E" w:rsidRPr="00D61F73" w14:paraId="18A1F89A" w14:textId="77777777" w:rsidTr="0038137E">
        <w:tc>
          <w:tcPr>
            <w:tcW w:w="1088" w:type="pct"/>
            <w:shd w:val="clear" w:color="auto" w:fill="auto"/>
          </w:tcPr>
          <w:p w14:paraId="3AD7444A" w14:textId="62F21BFF"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THC (tetrahydro-cannabinol)</w:t>
            </w:r>
          </w:p>
        </w:tc>
        <w:tc>
          <w:tcPr>
            <w:tcW w:w="3912" w:type="pct"/>
            <w:shd w:val="clear" w:color="auto" w:fill="auto"/>
          </w:tcPr>
          <w:p w14:paraId="60A442C2" w14:textId="4841300F" w:rsidR="0038137E" w:rsidRPr="00D61F73" w:rsidRDefault="0038137E" w:rsidP="00D61F73">
            <w:pPr>
              <w:rPr>
                <w:rFonts w:ascii="Arial" w:hAnsi="Arial" w:cs="Arial"/>
              </w:rPr>
            </w:pPr>
            <w:r w:rsidRPr="00D61F73">
              <w:rPr>
                <w:rFonts w:ascii="Arial" w:hAnsi="Arial" w:cs="Arial"/>
              </w:rPr>
              <w:t xml:space="preserve">See </w:t>
            </w:r>
            <w:hyperlink w:anchor="Cannabinoids" w:history="1">
              <w:r w:rsidRPr="00D61F73">
                <w:rPr>
                  <w:rStyle w:val="Hyperlink"/>
                  <w:rFonts w:ascii="Arial" w:hAnsi="Arial" w:cs="Arial"/>
                </w:rPr>
                <w:t>Cannabinoids</w:t>
              </w:r>
            </w:hyperlink>
            <w:r w:rsidRPr="00D61F73">
              <w:rPr>
                <w:rFonts w:ascii="Arial" w:hAnsi="Arial" w:cs="Arial"/>
              </w:rPr>
              <w:t>.</w:t>
            </w:r>
          </w:p>
        </w:tc>
      </w:tr>
      <w:tr w:rsidR="0038137E" w:rsidRPr="00D61F73" w14:paraId="12C574A9" w14:textId="77777777" w:rsidTr="0038137E">
        <w:tc>
          <w:tcPr>
            <w:tcW w:w="1088" w:type="pct"/>
            <w:shd w:val="clear" w:color="auto" w:fill="auto"/>
          </w:tcPr>
          <w:p w14:paraId="18CAE38B" w14:textId="2496570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Theramine® </w:t>
            </w:r>
          </w:p>
        </w:tc>
        <w:tc>
          <w:tcPr>
            <w:tcW w:w="3912" w:type="pct"/>
            <w:shd w:val="clear" w:color="auto" w:fill="auto"/>
          </w:tcPr>
          <w:p w14:paraId="3B84BD92" w14:textId="77777777" w:rsidR="0038137E" w:rsidRDefault="0038137E" w:rsidP="00D61F73">
            <w:pPr>
              <w:rPr>
                <w:rFonts w:ascii="Arial" w:hAnsi="Arial" w:cs="Arial"/>
              </w:rPr>
            </w:pPr>
            <w:r w:rsidRPr="00D61F73">
              <w:rPr>
                <w:rFonts w:ascii="Arial" w:hAnsi="Arial" w:cs="Arial"/>
              </w:rPr>
              <w:t xml:space="preserve">Not recommended for the treatment of chronic pain. See </w:t>
            </w:r>
            <w:hyperlink w:anchor="Medicalfood" w:history="1">
              <w:r w:rsidRPr="00D61F73">
                <w:rPr>
                  <w:rStyle w:val="Hyperlink"/>
                  <w:rFonts w:ascii="Arial" w:hAnsi="Arial" w:cs="Arial"/>
                </w:rPr>
                <w:t>Medical food</w:t>
              </w:r>
            </w:hyperlink>
            <w:r w:rsidRPr="00D61F73">
              <w:rPr>
                <w:rStyle w:val="Hyperlink"/>
                <w:rFonts w:ascii="Arial" w:hAnsi="Arial" w:cs="Arial"/>
              </w:rPr>
              <w:t>s</w:t>
            </w:r>
            <w:r w:rsidRPr="00D61F73">
              <w:rPr>
                <w:rFonts w:ascii="Arial" w:hAnsi="Arial" w:cs="Arial"/>
              </w:rPr>
              <w:t xml:space="preserve">. </w:t>
            </w:r>
          </w:p>
          <w:p w14:paraId="3A881CCB" w14:textId="57701E7F" w:rsidR="00A207B4" w:rsidRPr="00D61F73" w:rsidRDefault="00A207B4" w:rsidP="00D61F73">
            <w:pPr>
              <w:rPr>
                <w:rFonts w:ascii="Arial" w:hAnsi="Arial" w:cs="Arial"/>
              </w:rPr>
            </w:pPr>
          </w:p>
        </w:tc>
      </w:tr>
      <w:tr w:rsidR="0038137E" w:rsidRPr="00D61F73" w14:paraId="22A07BD8" w14:textId="77777777" w:rsidTr="0038137E">
        <w:tc>
          <w:tcPr>
            <w:tcW w:w="1088" w:type="pct"/>
            <w:shd w:val="clear" w:color="auto" w:fill="auto"/>
          </w:tcPr>
          <w:p w14:paraId="3C1933DD" w14:textId="37D5525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Thermography (infrared stress thermography)</w:t>
            </w:r>
          </w:p>
        </w:tc>
        <w:tc>
          <w:tcPr>
            <w:tcW w:w="3912" w:type="pct"/>
            <w:shd w:val="clear" w:color="auto" w:fill="auto"/>
          </w:tcPr>
          <w:p w14:paraId="2DE76F2A" w14:textId="00B3AF7D" w:rsidR="0038137E" w:rsidRPr="00D61F73" w:rsidRDefault="0038137E" w:rsidP="00D61F73">
            <w:pPr>
              <w:rPr>
                <w:rFonts w:ascii="Arial" w:hAnsi="Arial" w:cs="Arial"/>
              </w:rPr>
            </w:pPr>
            <w:r w:rsidRPr="00D61F73">
              <w:rPr>
                <w:rFonts w:ascii="Arial" w:hAnsi="Arial" w:cs="Arial"/>
              </w:rPr>
              <w:t>Not recommended. There is insufficient evidence to support the routine use of thermography for diagnosis of CRPS. Thermography is a non-invasive imaging technique, which is intended to measure temperature distribution of various organs and tissues. The infrared radiation from the tissue reveals temperature variations by producing brightly colored patterns on a liquid crystal display. Interpretation of the color patterns is claimed by some to assist in the diagnosis of many disorders such as breast cancer, Reynaud’s phenomenon, digital artery vasospasm in hand-arm vibration syndrome, impaired spermatogenesis in infertile men, degree of burns, deep vein thrombosis, gastric cancer, tear-film layer stability in dry-eye syndrome, Frey's syndrome, headaches, low-back pain, reflex sympathetic dystrophy, and vertebral subluxation. There is insufficient evidence in the peer-reviewed published literature to reach conclusions concerning the effects of thermography on health outcomes for any indication. (</w:t>
            </w:r>
            <w:hyperlink w:anchor="Krumova2008" w:history="1">
              <w:r w:rsidRPr="00D61F73">
                <w:rPr>
                  <w:rStyle w:val="Hyperlink"/>
                  <w:rFonts w:ascii="Arial" w:hAnsi="Arial" w:cs="Arial"/>
                </w:rPr>
                <w:t>Krumova, 2008</w:t>
              </w:r>
            </w:hyperlink>
            <w:r w:rsidRPr="00D61F73">
              <w:rPr>
                <w:rFonts w:ascii="Arial" w:hAnsi="Arial" w:cs="Arial"/>
              </w:rPr>
              <w:t>) (</w:t>
            </w:r>
            <w:hyperlink w:anchor="Schürmann2007" w:history="1">
              <w:r w:rsidRPr="00D61F73">
                <w:rPr>
                  <w:rStyle w:val="Hyperlink"/>
                  <w:rFonts w:ascii="Arial" w:hAnsi="Arial" w:cs="Arial"/>
                </w:rPr>
                <w:t>Schurmann, 2007</w:t>
              </w:r>
            </w:hyperlink>
            <w:r w:rsidRPr="00D61F73">
              <w:rPr>
                <w:rFonts w:ascii="Arial" w:hAnsi="Arial" w:cs="Arial"/>
              </w:rPr>
              <w:t>) (</w:t>
            </w:r>
            <w:hyperlink w:anchor="Gradl2003" w:history="1">
              <w:r w:rsidRPr="00D61F73">
                <w:rPr>
                  <w:rStyle w:val="Hyperlink"/>
                  <w:rFonts w:ascii="Arial" w:hAnsi="Arial" w:cs="Arial"/>
                </w:rPr>
                <w:t>Gradl, 2003</w:t>
              </w:r>
            </w:hyperlink>
            <w:r w:rsidRPr="00D61F73">
              <w:rPr>
                <w:rFonts w:ascii="Arial" w:hAnsi="Arial" w:cs="Arial"/>
              </w:rPr>
              <w:t xml:space="preserve">) See </w:t>
            </w:r>
            <w:hyperlink w:anchor="CRPSdiagnostictests" w:history="1">
              <w:r w:rsidRPr="00D61F73">
                <w:rPr>
                  <w:rStyle w:val="Hyperlink"/>
                  <w:rFonts w:ascii="Arial" w:hAnsi="Arial" w:cs="Arial"/>
                </w:rPr>
                <w:t>CRPS, diagnostic tests</w:t>
              </w:r>
            </w:hyperlink>
            <w:r w:rsidRPr="00D61F73">
              <w:rPr>
                <w:rFonts w:ascii="Arial" w:hAnsi="Arial" w:cs="Arial"/>
              </w:rPr>
              <w:t>.</w:t>
            </w:r>
          </w:p>
        </w:tc>
      </w:tr>
      <w:tr w:rsidR="0038137E" w:rsidRPr="00D61F73" w14:paraId="2EA5C63B" w14:textId="77777777" w:rsidTr="0038137E">
        <w:tc>
          <w:tcPr>
            <w:tcW w:w="1088" w:type="pct"/>
            <w:shd w:val="clear" w:color="auto" w:fill="auto"/>
          </w:tcPr>
          <w:p w14:paraId="01BBE24B" w14:textId="219C76A6"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Thiamine (vitamin B1)</w:t>
            </w:r>
          </w:p>
        </w:tc>
        <w:tc>
          <w:tcPr>
            <w:tcW w:w="3912" w:type="pct"/>
            <w:shd w:val="clear" w:color="auto" w:fill="auto"/>
          </w:tcPr>
          <w:p w14:paraId="1FE4FC0A" w14:textId="45545E89" w:rsidR="0038137E" w:rsidRPr="00D61F73" w:rsidRDefault="0038137E" w:rsidP="00D61F73">
            <w:pPr>
              <w:rPr>
                <w:rFonts w:ascii="Arial" w:hAnsi="Arial" w:cs="Arial"/>
              </w:rPr>
            </w:pPr>
            <w:r w:rsidRPr="00D61F73">
              <w:rPr>
                <w:rFonts w:ascii="Arial" w:hAnsi="Arial" w:cs="Arial"/>
              </w:rPr>
              <w:t xml:space="preserve">See </w:t>
            </w:r>
            <w:hyperlink w:anchor="VitaminB" w:history="1">
              <w:r w:rsidRPr="00D61F73">
                <w:rPr>
                  <w:rStyle w:val="Hyperlink"/>
                  <w:rFonts w:ascii="Arial" w:hAnsi="Arial" w:cs="Arial"/>
                </w:rPr>
                <w:t>Vitamin B</w:t>
              </w:r>
            </w:hyperlink>
            <w:r w:rsidRPr="00D61F73">
              <w:rPr>
                <w:rFonts w:ascii="Arial" w:hAnsi="Arial" w:cs="Arial"/>
              </w:rPr>
              <w:t>.</w:t>
            </w:r>
          </w:p>
        </w:tc>
      </w:tr>
      <w:tr w:rsidR="0038137E" w:rsidRPr="00D61F73" w14:paraId="088E96D9" w14:textId="77777777" w:rsidTr="0038137E">
        <w:tc>
          <w:tcPr>
            <w:tcW w:w="1088" w:type="pct"/>
            <w:shd w:val="clear" w:color="auto" w:fill="auto"/>
          </w:tcPr>
          <w:p w14:paraId="28B29190" w14:textId="7F123ADF"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Tiagabine (Gabitril®)</w:t>
            </w:r>
          </w:p>
        </w:tc>
        <w:tc>
          <w:tcPr>
            <w:tcW w:w="3912" w:type="pct"/>
            <w:shd w:val="clear" w:color="auto" w:fill="auto"/>
          </w:tcPr>
          <w:p w14:paraId="658709C4" w14:textId="2848513B" w:rsidR="0038137E" w:rsidRPr="00D61F73" w:rsidRDefault="0038137E" w:rsidP="00D61F73">
            <w:pPr>
              <w:rPr>
                <w:rFonts w:ascii="Arial" w:hAnsi="Arial" w:cs="Arial"/>
              </w:rPr>
            </w:pPr>
            <w:r w:rsidRPr="00D61F73">
              <w:rPr>
                <w:rFonts w:ascii="Arial" w:hAnsi="Arial" w:cs="Arial"/>
              </w:rPr>
              <w:t xml:space="preserve">See </w:t>
            </w:r>
            <w:hyperlink w:anchor="Antiepilepsydrugs" w:history="1">
              <w:r w:rsidRPr="00D61F73">
                <w:rPr>
                  <w:rStyle w:val="Hyperlink"/>
                  <w:rFonts w:ascii="Arial" w:hAnsi="Arial" w:cs="Arial"/>
                  <w:bCs/>
                </w:rPr>
                <w:t>Anti-epilepsy drugs</w:t>
              </w:r>
            </w:hyperlink>
            <w:r w:rsidRPr="00D61F73">
              <w:rPr>
                <w:rFonts w:ascii="Arial" w:hAnsi="Arial" w:cs="Arial"/>
              </w:rPr>
              <w:t xml:space="preserve"> (AEDs) for general guidelines, as well as specific </w:t>
            </w:r>
            <w:hyperlink w:anchor="LevetiracetamListing" w:history="1">
              <w:r w:rsidRPr="00D61F73">
                <w:rPr>
                  <w:rStyle w:val="Hyperlink"/>
                  <w:rFonts w:ascii="Arial" w:hAnsi="Arial" w:cs="Arial"/>
                  <w:bCs/>
                </w:rPr>
                <w:t>Tiagabine</w:t>
              </w:r>
            </w:hyperlink>
            <w:r w:rsidRPr="00D61F73">
              <w:rPr>
                <w:rFonts w:ascii="Arial" w:hAnsi="Arial" w:cs="Arial"/>
              </w:rPr>
              <w:t xml:space="preserve"> listing.</w:t>
            </w:r>
          </w:p>
        </w:tc>
      </w:tr>
      <w:tr w:rsidR="0038137E" w:rsidRPr="00D61F73" w14:paraId="7E2AFCED" w14:textId="77777777" w:rsidTr="0038137E">
        <w:tc>
          <w:tcPr>
            <w:tcW w:w="1088" w:type="pct"/>
            <w:shd w:val="clear" w:color="auto" w:fill="auto"/>
          </w:tcPr>
          <w:p w14:paraId="613DB2DC" w14:textId="6100A13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80" w:name="Tivorbex"/>
            <w:bookmarkEnd w:id="380"/>
            <w:r w:rsidRPr="00D61F73">
              <w:rPr>
                <w:rFonts w:ascii="Arial" w:hAnsi="Arial" w:cs="Arial"/>
              </w:rPr>
              <w:t>ivorbex (indomethacin)</w:t>
            </w:r>
          </w:p>
        </w:tc>
        <w:tc>
          <w:tcPr>
            <w:tcW w:w="3912" w:type="pct"/>
            <w:shd w:val="clear" w:color="auto" w:fill="auto"/>
          </w:tcPr>
          <w:p w14:paraId="17038C53" w14:textId="50BB89DB" w:rsidR="0038137E" w:rsidRPr="00D61F73" w:rsidRDefault="0038137E" w:rsidP="00402D57">
            <w:pPr>
              <w:pStyle w:val="Normal1"/>
              <w:framePr w:hSpace="0" w:wrap="auto" w:vAnchor="margin" w:hAnchor="text" w:yAlign="inline"/>
            </w:pPr>
            <w:r w:rsidRPr="00D61F73">
              <w:t xml:space="preserve">Not recommended except as a second-line option, because indomethacin products are not recommended as first-line choices due to potential increased adverse effects. See </w:t>
            </w:r>
            <w:hyperlink w:anchor="Indomethacin" w:history="1">
              <w:r w:rsidRPr="00D61F73">
                <w:rPr>
                  <w:rStyle w:val="Hyperlink"/>
                </w:rPr>
                <w:t>Indomethacin</w:t>
              </w:r>
            </w:hyperlink>
            <w:r w:rsidRPr="00D61F73">
              <w:t xml:space="preserve"> (Indocin®, Indocin SR®). In 2014 FDA approved indomethacin capsules (Tivorbex, Iroko Pharmaceuticals LLC) at 20-mg and 40-mg doses for the treatment of mild to moderate acute pain in adults. These dosages are only 20% lower in strength than the 25-mg and 50-mg indomethacin products already on the market. Tivorbex is Iroko's second approved lower-dose NSAID, since the FDA also approved diclofenac capsules (</w:t>
            </w:r>
            <w:hyperlink w:anchor="Zorvolex" w:history="1">
              <w:r w:rsidRPr="00D61F73">
                <w:rPr>
                  <w:rStyle w:val="Hyperlink"/>
                </w:rPr>
                <w:t>Zorvolex</w:t>
              </w:r>
            </w:hyperlink>
            <w:r w:rsidRPr="00D61F73">
              <w:t>). While indomethacin has potent anti-inflammatory and analgesic properties, research has linked this drug to sometimes serious adverse outcomes, including cardiovascular thrombotic events, myocardial infarction, stroke, gastrointestinal ulcers, gastrointestinal bleeding, and renal events (such as acute renal failure). (</w:t>
            </w:r>
            <w:hyperlink r:id="rId161" w:history="1">
              <w:r w:rsidRPr="00D61F73">
                <w:rPr>
                  <w:rStyle w:val="Hyperlink"/>
                </w:rPr>
                <w:t>FDA, 2014</w:t>
              </w:r>
            </w:hyperlink>
            <w:r w:rsidRPr="00D61F73">
              <w:t xml:space="preserve">) According to the manufacturer, Tivorbex dissolves faster in the body compared to the currently available </w:t>
            </w:r>
            <w:r w:rsidRPr="00D61F73">
              <w:lastRenderedPageBreak/>
              <w:t>indomethacin immediate-release capsules, allowing for the same efficacy to be achieved with a lower overall dose of the drug. However, compared to current products, taking Tivorbex with food lowers the peak drug concentration significantly (46%) which may reduce the proposed equivalent efficacy, there are no FDA approved indications for gouty arthritis, rheumatoid arthritis, ankylosing spondylitis, osteoarthritis, and acute painful shoulder like other NSAIDs, cost is expected to be considerably higher compared to the generically available NSAIDs, and it is not available as a suspension or extended-release formulation. It is an expensive, brand name only, second-line medication with little to no place in the treatment of workers compensation injuries. (</w:t>
            </w:r>
            <w:hyperlink w:anchor="ClinicalPharmacology" w:history="1">
              <w:r w:rsidRPr="00D61F73">
                <w:rPr>
                  <w:rStyle w:val="Hyperlink"/>
                </w:rPr>
                <w:t>Clinical Pharmacology, 2014</w:t>
              </w:r>
            </w:hyperlink>
            <w:r w:rsidRPr="00D61F73">
              <w:t>)</w:t>
            </w:r>
          </w:p>
        </w:tc>
      </w:tr>
      <w:tr w:rsidR="0038137E" w:rsidRPr="00D61F73" w14:paraId="2BB77A30" w14:textId="77777777" w:rsidTr="0038137E">
        <w:tc>
          <w:tcPr>
            <w:tcW w:w="1088" w:type="pct"/>
            <w:shd w:val="clear" w:color="auto" w:fill="auto"/>
          </w:tcPr>
          <w:p w14:paraId="523619D1" w14:textId="2DEEF45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Tizanidine (Zanaflex®)</w:t>
            </w:r>
          </w:p>
        </w:tc>
        <w:tc>
          <w:tcPr>
            <w:tcW w:w="3912" w:type="pct"/>
            <w:shd w:val="clear" w:color="auto" w:fill="auto"/>
          </w:tcPr>
          <w:p w14:paraId="00893B60" w14:textId="463CCBC7" w:rsidR="0038137E" w:rsidRPr="00D61F73" w:rsidRDefault="0038137E" w:rsidP="00402D57">
            <w:pPr>
              <w:pStyle w:val="Normal1"/>
              <w:framePr w:hSpace="0" w:wrap="auto" w:vAnchor="margin" w:hAnchor="text" w:yAlign="inline"/>
            </w:pPr>
            <w:r w:rsidRPr="00D61F73">
              <w:t xml:space="preserve">Tizanidine is a muscle relaxant. See </w:t>
            </w:r>
            <w:hyperlink w:anchor="Musclerelaxants" w:history="1">
              <w:r w:rsidRPr="00D61F73">
                <w:rPr>
                  <w:rStyle w:val="Hyperlink"/>
                  <w:bCs w:val="0"/>
                </w:rPr>
                <w:t>Muscle relaxants</w:t>
              </w:r>
            </w:hyperlink>
            <w:r w:rsidRPr="00D61F73">
              <w:t xml:space="preserve">. See also specific </w:t>
            </w:r>
            <w:hyperlink w:anchor="Tizanidine_listing" w:history="1">
              <w:r w:rsidRPr="00D61F73">
                <w:rPr>
                  <w:rStyle w:val="Hyperlink"/>
                  <w:bCs w:val="0"/>
                </w:rPr>
                <w:t>Tizanidine</w:t>
              </w:r>
            </w:hyperlink>
            <w:r w:rsidRPr="00D61F73">
              <w:t xml:space="preserve"> listing.</w:t>
            </w:r>
          </w:p>
        </w:tc>
      </w:tr>
      <w:tr w:rsidR="0038137E" w:rsidRPr="00D61F73" w14:paraId="486DB442" w14:textId="77777777" w:rsidTr="0038137E">
        <w:tc>
          <w:tcPr>
            <w:tcW w:w="1088" w:type="pct"/>
            <w:shd w:val="clear" w:color="auto" w:fill="auto"/>
          </w:tcPr>
          <w:p w14:paraId="38D752A3" w14:textId="50FBFD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Tolmetin (Tolectin®, Tolectin DS)</w:t>
            </w:r>
          </w:p>
        </w:tc>
        <w:tc>
          <w:tcPr>
            <w:tcW w:w="3912" w:type="pct"/>
            <w:shd w:val="clear" w:color="auto" w:fill="auto"/>
          </w:tcPr>
          <w:p w14:paraId="378A1C55" w14:textId="79BBD5B6" w:rsidR="0038137E" w:rsidRPr="00D61F73" w:rsidRDefault="0038137E" w:rsidP="00402D57">
            <w:pPr>
              <w:pStyle w:val="Normal1"/>
              <w:framePr w:hSpace="0" w:wrap="auto" w:vAnchor="margin" w:hAnchor="text" w:yAlign="inline"/>
            </w:pPr>
            <w:r w:rsidRPr="00D61F73">
              <w:t xml:space="preserve">See </w:t>
            </w:r>
            <w:hyperlink w:anchor="NSAIDs" w:history="1">
              <w:r w:rsidRPr="00D61F73">
                <w:rPr>
                  <w:rStyle w:val="Hyperlink"/>
                  <w:bCs w:val="0"/>
                </w:rPr>
                <w:t>NSAIDs</w:t>
              </w:r>
            </w:hyperlink>
            <w:r w:rsidRPr="00D61F73">
              <w:t xml:space="preserve"> (non-steroidal anti-inflammatory drugs); </w:t>
            </w:r>
            <w:hyperlink w:anchor="NSAIDsGIandCV" w:history="1">
              <w:r w:rsidRPr="00D61F73">
                <w:rPr>
                  <w:rStyle w:val="Hyperlink"/>
                  <w:bCs w:val="0"/>
                </w:rPr>
                <w:t>NSAIDs, GI symptoms &amp; cardiovascular risk</w:t>
              </w:r>
            </w:hyperlink>
            <w:r w:rsidRPr="00D61F73">
              <w:t xml:space="preserve">; </w:t>
            </w:r>
            <w:hyperlink w:anchor="NSAIDsHTNandRenal" w:history="1">
              <w:r w:rsidRPr="00D61F73">
                <w:rPr>
                  <w:rStyle w:val="Hyperlink"/>
                  <w:bCs w:val="0"/>
                </w:rPr>
                <w:t>NSAIDs, hypertension and renal function</w:t>
              </w:r>
            </w:hyperlink>
            <w:r w:rsidRPr="00D61F73">
              <w:t xml:space="preserve">; &amp; </w:t>
            </w:r>
            <w:hyperlink w:anchor="NSAIDsdruglistandadverseeffects" w:history="1">
              <w:r w:rsidRPr="00D61F73">
                <w:rPr>
                  <w:rStyle w:val="Hyperlink"/>
                  <w:bCs w:val="0"/>
                </w:rPr>
                <w:t>NSAIDs, specific drug list &amp; adverse effects</w:t>
              </w:r>
            </w:hyperlink>
            <w:r w:rsidRPr="00D61F73">
              <w:t xml:space="preserve"> for general guidelines, as well as specific </w:t>
            </w:r>
            <w:hyperlink w:anchor="NSAIDTolmetin" w:history="1">
              <w:r w:rsidRPr="00D61F73">
                <w:rPr>
                  <w:rStyle w:val="Hyperlink"/>
                  <w:bCs w:val="0"/>
                </w:rPr>
                <w:t>Tolmetin</w:t>
              </w:r>
            </w:hyperlink>
            <w:r w:rsidRPr="00D61F73">
              <w:t xml:space="preserve"> (Tolectin®, Tolectin DS) listing for more information and references.</w:t>
            </w:r>
          </w:p>
        </w:tc>
      </w:tr>
      <w:tr w:rsidR="0038137E" w:rsidRPr="00D61F73" w14:paraId="21915210" w14:textId="77777777" w:rsidTr="0038137E">
        <w:tc>
          <w:tcPr>
            <w:tcW w:w="1088" w:type="pct"/>
            <w:shd w:val="clear" w:color="auto" w:fill="auto"/>
          </w:tcPr>
          <w:p w14:paraId="33A9177A" w14:textId="685B5EF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81" w:name="Topamax"/>
            <w:bookmarkEnd w:id="381"/>
            <w:r w:rsidRPr="00D61F73">
              <w:rPr>
                <w:rFonts w:ascii="Arial" w:hAnsi="Arial" w:cs="Arial"/>
              </w:rPr>
              <w:t>opamax® (topiramate)</w:t>
            </w:r>
          </w:p>
        </w:tc>
        <w:tc>
          <w:tcPr>
            <w:tcW w:w="3912" w:type="pct"/>
            <w:shd w:val="clear" w:color="auto" w:fill="auto"/>
          </w:tcPr>
          <w:p w14:paraId="78F67271" w14:textId="3602A6A5" w:rsidR="0038137E" w:rsidRPr="00D61F73" w:rsidRDefault="0038137E" w:rsidP="00402D57">
            <w:pPr>
              <w:pStyle w:val="Normal1"/>
              <w:framePr w:hSpace="0" w:wrap="auto" w:vAnchor="margin" w:hAnchor="text" w:yAlign="inline"/>
            </w:pPr>
            <w:r w:rsidRPr="00D61F73">
              <w:t xml:space="preserve">See </w:t>
            </w:r>
            <w:hyperlink w:anchor="Topiramate" w:history="1">
              <w:r w:rsidRPr="00D61F73">
                <w:rPr>
                  <w:rStyle w:val="Hyperlink"/>
                  <w:bCs w:val="0"/>
                </w:rPr>
                <w:t>Topiramate</w:t>
              </w:r>
            </w:hyperlink>
            <w:r w:rsidRPr="00D61F73">
              <w:t xml:space="preserve">. </w:t>
            </w:r>
          </w:p>
        </w:tc>
      </w:tr>
      <w:tr w:rsidR="0038137E" w:rsidRPr="00D61F73" w14:paraId="6A82E08B" w14:textId="77777777" w:rsidTr="0038137E">
        <w:trPr>
          <w:trHeight w:val="398"/>
        </w:trPr>
        <w:tc>
          <w:tcPr>
            <w:tcW w:w="1088" w:type="pct"/>
            <w:shd w:val="clear" w:color="auto" w:fill="auto"/>
          </w:tcPr>
          <w:p w14:paraId="5F05F0C6" w14:textId="044611C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82" w:name="Topicalanalgesics"/>
            <w:bookmarkEnd w:id="382"/>
            <w:r w:rsidRPr="00D61F73">
              <w:rPr>
                <w:rFonts w:ascii="Arial" w:hAnsi="Arial" w:cs="Arial"/>
              </w:rPr>
              <w:t xml:space="preserve">opical analgesics </w:t>
            </w:r>
          </w:p>
        </w:tc>
        <w:tc>
          <w:tcPr>
            <w:tcW w:w="3912" w:type="pct"/>
            <w:shd w:val="clear" w:color="auto" w:fill="auto"/>
          </w:tcPr>
          <w:p w14:paraId="78D4386D" w14:textId="77777777" w:rsidR="0038137E" w:rsidRPr="00D61F73" w:rsidRDefault="0038137E" w:rsidP="00402D57">
            <w:pPr>
              <w:pStyle w:val="Normal1"/>
              <w:framePr w:hSpace="0" w:wrap="auto" w:vAnchor="margin" w:hAnchor="text" w:yAlign="inline"/>
            </w:pPr>
            <w:r w:rsidRPr="00D61F73">
              <w:t>Recommended as an option as indicated below. Largely experimental in use with few randomized controlled trials to determine efficacy or safety. Primarily recommended for neuropathic pain when trials of antidepressants and anticonvulsants have failed. (</w:t>
            </w:r>
            <w:hyperlink w:anchor="Namaka" w:history="1">
              <w:r w:rsidRPr="00D61F73">
                <w:rPr>
                  <w:rStyle w:val="Hyperlink"/>
                </w:rPr>
                <w:t>Namaka, 2004</w:t>
              </w:r>
            </w:hyperlink>
            <w:r w:rsidRPr="00D61F73">
              <w:t>) These agents are applied locally to painful areas with advantages that include lack of systemic side effects, absence of drug interactions, and no need to titrate. (</w:t>
            </w:r>
            <w:hyperlink w:anchor="Colombo" w:history="1">
              <w:r w:rsidRPr="00D61F73">
                <w:rPr>
                  <w:rStyle w:val="Hyperlink"/>
                </w:rPr>
                <w:t>Colombo, 2006</w:t>
              </w:r>
            </w:hyperlink>
            <w:r w:rsidRPr="00D61F73">
              <w:t>) Many agents are compounded as monotherapy or in combination for pain control (including NSAIDs, opioids, capsaicin, local anesthetics, antidepressants, glutamate receptor antagonists, α-adrenergic receptor agonist, adenosine, cannabinoids, cholinergic receptor agonists, γ agonists, prostanoids, bradykinin, adenosine triphosphate, biogenic amines, and nerve growth factor). (</w:t>
            </w:r>
            <w:hyperlink w:anchor="Argoff" w:history="1">
              <w:r w:rsidRPr="00D61F73">
                <w:rPr>
                  <w:rStyle w:val="Hyperlink"/>
                </w:rPr>
                <w:t>Argoff, 2006</w:t>
              </w:r>
            </w:hyperlink>
            <w:r w:rsidRPr="00D61F73">
              <w:t xml:space="preserve">) There is little to no research to support the use of many these agents. Any compounded product that contains at least one drug (or drug class) that is not recommended is not recommended. The use of these compounded agents requires knowledge of the specific analgesic effect of each agent and how it will be useful for the specific therapeutic goal required. [Note: Topical analgesics work locally underneath the skin where they are applied. These do not include transdermal analgesics that are systemic agents entering the body through a transdermal means. For example, see </w:t>
            </w:r>
            <w:hyperlink w:anchor="Duragesic" w:history="1">
              <w:r w:rsidRPr="00D61F73">
                <w:rPr>
                  <w:rStyle w:val="Hyperlink"/>
                </w:rPr>
                <w:t>Duragesic</w:t>
              </w:r>
            </w:hyperlink>
            <w:r w:rsidRPr="00D61F73">
              <w:t>® (fentanyl transdermal system).]</w:t>
            </w:r>
          </w:p>
          <w:p w14:paraId="0085A6E9" w14:textId="77777777" w:rsidR="0038137E" w:rsidRPr="00D61F73" w:rsidRDefault="0038137E" w:rsidP="00D61F73">
            <w:pPr>
              <w:rPr>
                <w:rFonts w:ascii="Arial" w:eastAsia="Calibri" w:hAnsi="Arial" w:cs="Arial"/>
                <w:bCs/>
                <w:iCs/>
                <w:color w:val="auto"/>
              </w:rPr>
            </w:pPr>
            <w:r w:rsidRPr="00D61F73">
              <w:rPr>
                <w:rFonts w:ascii="Arial" w:hAnsi="Arial" w:cs="Arial"/>
                <w:b/>
                <w:bCs/>
                <w:i/>
                <w:iCs/>
                <w:u w:val="single"/>
              </w:rPr>
              <w:t>Non-steroidal anti-inflammatory agents (NSAIDs)</w:t>
            </w:r>
            <w:r w:rsidRPr="00D61F73">
              <w:rPr>
                <w:rFonts w:ascii="Arial" w:hAnsi="Arial" w:cs="Arial"/>
                <w:b/>
                <w:bCs/>
                <w:i/>
                <w:iCs/>
              </w:rPr>
              <w:t xml:space="preserve">: </w:t>
            </w:r>
            <w:r w:rsidRPr="00D61F73">
              <w:rPr>
                <w:rFonts w:ascii="Arial" w:hAnsi="Arial" w:cs="Arial"/>
                <w:bCs/>
                <w:iCs/>
              </w:rPr>
              <w:t>Recommended for the following indications:</w:t>
            </w:r>
          </w:p>
          <w:p w14:paraId="749C0440" w14:textId="48B57222" w:rsidR="00AE2552" w:rsidRDefault="0038137E" w:rsidP="00D61F73">
            <w:pPr>
              <w:rPr>
                <w:rFonts w:ascii="Arial" w:hAnsi="Arial" w:cs="Arial"/>
                <w:bCs/>
                <w:iCs/>
              </w:rPr>
            </w:pPr>
            <w:r w:rsidRPr="00D61F73">
              <w:rPr>
                <w:rFonts w:ascii="Arial" w:hAnsi="Arial" w:cs="Arial"/>
                <w:i/>
                <w:iCs/>
              </w:rPr>
              <w:t xml:space="preserve">Acute pain: </w:t>
            </w:r>
            <w:r w:rsidRPr="00D61F73">
              <w:rPr>
                <w:rFonts w:ascii="Arial" w:hAnsi="Arial" w:cs="Arial"/>
              </w:rPr>
              <w:t xml:space="preserve">Recommended for short-term use (one to two weeks), particularly for soft tissue injuries such as sprain/strains. According to a recent review, topical NSAIDs can provide good levels of pain relief for sprains, strains, and overuse injuries, with the advantage of limited risk of systemic adverse effects as compared to those produced by oral NSAIDs. </w:t>
            </w:r>
            <w:r w:rsidRPr="00D61F73">
              <w:rPr>
                <w:rFonts w:ascii="Arial" w:hAnsi="Arial" w:cs="Arial"/>
              </w:rPr>
              <w:lastRenderedPageBreak/>
              <w:t xml:space="preserve">They are considered particularly useful for individuals unable to tolerate oral administration, or for whom it is contraindicated. There appears to be little difference in analgesic efficacy between topical diclofenac, ibuprofen, ketoprofen and piroxicam, but indomethacin is less effective, and benzydamine is no better than placebo. The number needed to treat for clinical success, defined as 50% pain relief, for all topical NSAIDs combined vs. placebo was 4.5 (95% confidence interval [CI], 3.9 - 5.3) for treatment periods of 6 to 14 days. </w:t>
            </w:r>
            <w:r w:rsidRPr="00D61F73">
              <w:rPr>
                <w:rFonts w:ascii="Arial" w:hAnsi="Arial" w:cs="Arial"/>
                <w:bCs/>
                <w:iCs/>
              </w:rPr>
              <w:t xml:space="preserve">Current studies indicate 6 or 7 out of 10 patients have effective pain control with topical agents vs. 4 out of 10 with placebo. The reason for the high placebo rate is that most sprain/strain injuries improve on their own. </w:t>
            </w:r>
            <w:r w:rsidRPr="00D61F73">
              <w:rPr>
                <w:rFonts w:ascii="Arial" w:hAnsi="Arial" w:cs="Arial"/>
              </w:rPr>
              <w:t>(</w:t>
            </w:r>
            <w:hyperlink w:anchor="Massey2010" w:history="1">
              <w:r w:rsidRPr="00D61F73">
                <w:rPr>
                  <w:rStyle w:val="Hyperlink"/>
                  <w:rFonts w:ascii="Arial" w:hAnsi="Arial" w:cs="Arial"/>
                </w:rPr>
                <w:t>Massey, 2010</w:t>
              </w:r>
            </w:hyperlink>
            <w:r w:rsidRPr="00D61F73">
              <w:rPr>
                <w:rFonts w:ascii="Arial" w:hAnsi="Arial" w:cs="Arial"/>
              </w:rPr>
              <w:t>)</w:t>
            </w:r>
            <w:r w:rsidRPr="00D61F73">
              <w:rPr>
                <w:rFonts w:ascii="Arial" w:hAnsi="Arial" w:cs="Arial"/>
                <w:bCs/>
                <w:iCs/>
              </w:rPr>
              <w:t xml:space="preserve"> (</w:t>
            </w:r>
            <w:hyperlink w:anchor="Mason4" w:history="1">
              <w:r w:rsidRPr="00D61F73">
                <w:rPr>
                  <w:rStyle w:val="Hyperlink"/>
                  <w:rFonts w:ascii="Arial" w:hAnsi="Arial" w:cs="Arial"/>
                  <w:bCs/>
                  <w:iCs/>
                </w:rPr>
                <w:t>Mason, 2004</w:t>
              </w:r>
            </w:hyperlink>
            <w:r w:rsidRPr="00D61F73">
              <w:rPr>
                <w:rFonts w:ascii="Arial" w:hAnsi="Arial" w:cs="Arial"/>
                <w:bCs/>
                <w:iCs/>
              </w:rPr>
              <w:t>)</w:t>
            </w:r>
          </w:p>
          <w:p w14:paraId="73E855F8" w14:textId="77777777" w:rsidR="0080696A" w:rsidRPr="0080696A" w:rsidRDefault="0080696A" w:rsidP="00D61F73">
            <w:pPr>
              <w:rPr>
                <w:rFonts w:ascii="Arial" w:hAnsi="Arial" w:cs="Arial"/>
                <w:bCs/>
                <w:iCs/>
              </w:rPr>
            </w:pPr>
          </w:p>
          <w:p w14:paraId="7BC22DC2" w14:textId="77777777" w:rsidR="0038137E" w:rsidRPr="00D61F73" w:rsidRDefault="0038137E" w:rsidP="00D61F73">
            <w:pPr>
              <w:rPr>
                <w:rFonts w:ascii="Arial" w:eastAsia="Calibri" w:hAnsi="Arial" w:cs="Arial"/>
              </w:rPr>
            </w:pPr>
            <w:r w:rsidRPr="00D61F73">
              <w:rPr>
                <w:rFonts w:ascii="Arial" w:hAnsi="Arial" w:cs="Arial"/>
                <w:i/>
                <w:iCs/>
              </w:rPr>
              <w:t xml:space="preserve">Osteoarthritis and tendinitis, in particular, that of the knee, elbow, and hand or other joints that are amenable to topical treatment: </w:t>
            </w:r>
            <w:r w:rsidRPr="00D61F73">
              <w:rPr>
                <w:rFonts w:ascii="Arial" w:hAnsi="Arial" w:cs="Arial"/>
              </w:rPr>
              <w:t>Recommended for short-term use (4-12 weeks). (</w:t>
            </w:r>
            <w:hyperlink r:id="rId162" w:anchor="Underwood2" w:history="1">
              <w:r w:rsidRPr="00D61F73">
                <w:rPr>
                  <w:rStyle w:val="Hyperlink"/>
                  <w:rFonts w:ascii="Arial" w:hAnsi="Arial" w:cs="Arial"/>
                </w:rPr>
                <w:t>Underwood, 2008</w:t>
              </w:r>
            </w:hyperlink>
            <w:r w:rsidRPr="00D61F73">
              <w:rPr>
                <w:rFonts w:ascii="Arial" w:hAnsi="Arial" w:cs="Arial"/>
              </w:rPr>
              <w:t xml:space="preserve">) </w:t>
            </w:r>
            <w:r w:rsidRPr="00D61F73">
              <w:rPr>
                <w:rFonts w:ascii="Arial" w:hAnsi="Arial" w:cs="Arial"/>
                <w:bCs/>
                <w:iCs/>
              </w:rPr>
              <w:t>(</w:t>
            </w:r>
            <w:hyperlink w:anchor="Mason4" w:history="1">
              <w:r w:rsidRPr="00D61F73">
                <w:rPr>
                  <w:rStyle w:val="Hyperlink"/>
                  <w:rFonts w:ascii="Arial" w:hAnsi="Arial" w:cs="Arial"/>
                  <w:bCs/>
                  <w:iCs/>
                </w:rPr>
                <w:t>Mason, 2004</w:t>
              </w:r>
            </w:hyperlink>
            <w:r w:rsidRPr="00D61F73">
              <w:rPr>
                <w:rFonts w:ascii="Arial" w:hAnsi="Arial" w:cs="Arial"/>
                <w:bCs/>
                <w:iCs/>
              </w:rPr>
              <w:t>)</w:t>
            </w:r>
            <w:r w:rsidRPr="00D61F73">
              <w:rPr>
                <w:rFonts w:ascii="Arial" w:hAnsi="Arial" w:cs="Arial"/>
              </w:rPr>
              <w:t xml:space="preserve"> (</w:t>
            </w:r>
            <w:hyperlink w:anchor="Biswal" w:history="1">
              <w:r w:rsidRPr="00D61F73">
                <w:rPr>
                  <w:rStyle w:val="Hyperlink"/>
                  <w:rFonts w:ascii="Arial" w:hAnsi="Arial" w:cs="Arial"/>
                </w:rPr>
                <w:t>Biswal, 2006</w:t>
              </w:r>
            </w:hyperlink>
            <w:r w:rsidRPr="00D61F73">
              <w:rPr>
                <w:rFonts w:ascii="Arial" w:hAnsi="Arial" w:cs="Arial"/>
              </w:rPr>
              <w:t>) (</w:t>
            </w:r>
            <w:hyperlink r:id="rId163" w:anchor="Green2" w:history="1">
              <w:r w:rsidRPr="00D61F73">
                <w:rPr>
                  <w:rStyle w:val="Hyperlink"/>
                  <w:rFonts w:ascii="Arial" w:hAnsi="Arial" w:cs="Arial"/>
                </w:rPr>
                <w:t>Green, 2002</w:t>
              </w:r>
            </w:hyperlink>
            <w:r w:rsidRPr="00D61F73">
              <w:rPr>
                <w:rFonts w:ascii="Arial" w:hAnsi="Arial" w:cs="Arial"/>
              </w:rPr>
              <w:t>) (</w:t>
            </w:r>
            <w:hyperlink w:anchor="Niethard2005" w:history="1">
              <w:r w:rsidRPr="00D61F73">
                <w:rPr>
                  <w:rStyle w:val="Hyperlink"/>
                  <w:rFonts w:ascii="Arial" w:hAnsi="Arial" w:cs="Arial"/>
                </w:rPr>
                <w:t>Niethard, 2005</w:t>
              </w:r>
            </w:hyperlink>
            <w:r w:rsidRPr="00D61F73">
              <w:rPr>
                <w:rFonts w:ascii="Arial" w:hAnsi="Arial" w:cs="Arial"/>
              </w:rPr>
              <w:t>) (</w:t>
            </w:r>
            <w:hyperlink w:anchor="Conaghan2008" w:history="1">
              <w:r w:rsidRPr="00D61F73">
                <w:rPr>
                  <w:rStyle w:val="Hyperlink"/>
                  <w:rFonts w:ascii="Arial" w:hAnsi="Arial" w:cs="Arial"/>
                </w:rPr>
                <w:t>Conaghan, 2008</w:t>
              </w:r>
            </w:hyperlink>
            <w:r w:rsidRPr="00D61F73">
              <w:rPr>
                <w:rFonts w:ascii="Arial" w:hAnsi="Arial" w:cs="Arial"/>
              </w:rPr>
              <w:t>) (</w:t>
            </w:r>
            <w:hyperlink w:anchor="Altman2" w:history="1">
              <w:r w:rsidRPr="00D61F73">
                <w:rPr>
                  <w:rStyle w:val="Hyperlink"/>
                  <w:rFonts w:ascii="Arial" w:hAnsi="Arial" w:cs="Arial"/>
                </w:rPr>
                <w:t>Altman, 2009</w:t>
              </w:r>
            </w:hyperlink>
            <w:r w:rsidRPr="00D61F73">
              <w:rPr>
                <w:rFonts w:ascii="Arial" w:hAnsi="Arial" w:cs="Arial"/>
              </w:rPr>
              <w:t>) (</w:t>
            </w:r>
            <w:hyperlink w:anchor="Wenham2010" w:history="1">
              <w:r w:rsidRPr="00D61F73">
                <w:rPr>
                  <w:rStyle w:val="Hyperlink"/>
                  <w:rFonts w:ascii="Arial" w:hAnsi="Arial" w:cs="Arial"/>
                </w:rPr>
                <w:t>Wenham, 2010</w:t>
              </w:r>
            </w:hyperlink>
            <w:r w:rsidRPr="00D61F73">
              <w:rPr>
                <w:rFonts w:ascii="Arial" w:hAnsi="Arial" w:cs="Arial"/>
              </w:rPr>
              <w:t>) (</w:t>
            </w:r>
            <w:hyperlink w:anchor="Zhang2007" w:history="1">
              <w:r w:rsidRPr="00D61F73">
                <w:rPr>
                  <w:rStyle w:val="Hyperlink"/>
                  <w:rFonts w:ascii="Arial" w:hAnsi="Arial" w:cs="Arial"/>
                </w:rPr>
                <w:t>Zhang, 2007</w:t>
              </w:r>
            </w:hyperlink>
            <w:r w:rsidRPr="00D61F73">
              <w:rPr>
                <w:rFonts w:ascii="Arial" w:hAnsi="Arial" w:cs="Arial"/>
              </w:rPr>
              <w:t>) (</w:t>
            </w:r>
            <w:hyperlink w:anchor="NCCCC2008" w:history="1">
              <w:r w:rsidRPr="00D61F73">
                <w:rPr>
                  <w:rStyle w:val="Hyperlink"/>
                  <w:rFonts w:ascii="Arial" w:hAnsi="Arial" w:cs="Arial"/>
                </w:rPr>
                <w:t>NICE, 2008</w:t>
              </w:r>
            </w:hyperlink>
            <w:r w:rsidRPr="00D61F73">
              <w:rPr>
                <w:rFonts w:ascii="Arial" w:hAnsi="Arial" w:cs="Arial"/>
              </w:rPr>
              <w:t>) (</w:t>
            </w:r>
            <w:hyperlink w:anchor="Zhang2010" w:history="1">
              <w:r w:rsidRPr="00D61F73">
                <w:rPr>
                  <w:rStyle w:val="Hyperlink"/>
                  <w:rFonts w:ascii="Arial" w:hAnsi="Arial" w:cs="Arial"/>
                </w:rPr>
                <w:t>Zhang, 2010</w:t>
              </w:r>
            </w:hyperlink>
            <w:r w:rsidRPr="00D61F73">
              <w:rPr>
                <w:rFonts w:ascii="Arial" w:hAnsi="Arial" w:cs="Arial"/>
              </w:rPr>
              <w:t>) (</w:t>
            </w:r>
            <w:hyperlink w:anchor="Altman2011" w:history="1">
              <w:r w:rsidRPr="00D61F73">
                <w:rPr>
                  <w:rStyle w:val="Hyperlink"/>
                  <w:rFonts w:ascii="Arial" w:hAnsi="Arial" w:cs="Arial"/>
                </w:rPr>
                <w:t>Altman, 2011</w:t>
              </w:r>
            </w:hyperlink>
            <w:r w:rsidRPr="00D61F73">
              <w:rPr>
                <w:rFonts w:ascii="Arial" w:hAnsi="Arial" w:cs="Arial"/>
              </w:rPr>
              <w:t>) The American Academy of Orthopedic Surgeons recommends topical NSAIDs if there is increased GI risk with use of NSAIDs as one option for treatment. (</w:t>
            </w:r>
            <w:hyperlink w:anchor="Richmond2010" w:history="1">
              <w:r w:rsidRPr="00D61F73">
                <w:rPr>
                  <w:rStyle w:val="Hyperlink"/>
                  <w:rFonts w:ascii="Arial" w:hAnsi="Arial" w:cs="Arial"/>
                </w:rPr>
                <w:t>Richmond, 2010</w:t>
              </w:r>
            </w:hyperlink>
            <w:r w:rsidRPr="00D61F73">
              <w:rPr>
                <w:rFonts w:ascii="Arial" w:hAnsi="Arial" w:cs="Arial"/>
              </w:rPr>
              <w:t>) There are no studies evaluating topical ketoprofen for treatment of hand osteoarthritis. Topical ketoprofen gel has been compared to oral celecoxib, with WOMAC physical function scores significant for the later but not the topical treatment. (</w:t>
            </w:r>
            <w:hyperlink w:anchor="Rother2007" w:history="1">
              <w:r w:rsidRPr="00D61F73">
                <w:rPr>
                  <w:rStyle w:val="Hyperlink"/>
                  <w:rFonts w:ascii="Arial" w:hAnsi="Arial" w:cs="Arial"/>
                </w:rPr>
                <w:t>Rother, 2007</w:t>
              </w:r>
            </w:hyperlink>
            <w:r w:rsidRPr="00D61F73">
              <w:rPr>
                <w:rFonts w:ascii="Arial" w:hAnsi="Arial" w:cs="Arial"/>
              </w:rPr>
              <w:t>)</w:t>
            </w:r>
          </w:p>
          <w:p w14:paraId="63626B57" w14:textId="77777777" w:rsidR="0038137E" w:rsidRPr="00D61F73" w:rsidRDefault="0038137E" w:rsidP="00D61F73">
            <w:pPr>
              <w:rPr>
                <w:rFonts w:ascii="Arial" w:eastAsia="Calibri" w:hAnsi="Arial" w:cs="Arial"/>
              </w:rPr>
            </w:pPr>
            <w:r w:rsidRPr="00D61F73">
              <w:rPr>
                <w:rFonts w:ascii="Arial" w:hAnsi="Arial" w:cs="Arial"/>
                <w:i/>
              </w:rPr>
              <w:t xml:space="preserve">Osteoarthritis of the hip and shoulder: </w:t>
            </w:r>
            <w:r w:rsidRPr="00D61F73">
              <w:rPr>
                <w:rFonts w:ascii="Arial" w:hAnsi="Arial" w:cs="Arial"/>
              </w:rPr>
              <w:t xml:space="preserve">There is little evidence to utilize topical NSAIDs for treatment of osteoarthritis of the hip or shoulder. </w:t>
            </w:r>
          </w:p>
          <w:p w14:paraId="51BCD46D" w14:textId="77777777" w:rsidR="0038137E" w:rsidRPr="00D61F73" w:rsidRDefault="0038137E" w:rsidP="00D61F73">
            <w:pPr>
              <w:rPr>
                <w:rFonts w:ascii="Arial" w:eastAsia="Calibri" w:hAnsi="Arial" w:cs="Arial"/>
              </w:rPr>
            </w:pPr>
            <w:r w:rsidRPr="00D61F73">
              <w:rPr>
                <w:rFonts w:ascii="Arial" w:hAnsi="Arial" w:cs="Arial"/>
                <w:i/>
              </w:rPr>
              <w:t xml:space="preserve">Osteoarthritis of the low back: </w:t>
            </w:r>
            <w:r w:rsidRPr="00D61F73">
              <w:rPr>
                <w:rFonts w:ascii="Arial" w:hAnsi="Arial" w:cs="Arial"/>
              </w:rPr>
              <w:t>There is no evidence to recommend a NSAID dosage form other than an oral formulation for low back pain. (</w:t>
            </w:r>
            <w:hyperlink r:id="rId164" w:anchor="Roelofs2" w:history="1">
              <w:r w:rsidRPr="00D61F73">
                <w:rPr>
                  <w:rStyle w:val="Hyperlink"/>
                  <w:rFonts w:ascii="Arial" w:hAnsi="Arial" w:cs="Arial"/>
                </w:rPr>
                <w:t>Roelofs, 2008</w:t>
              </w:r>
            </w:hyperlink>
            <w:r w:rsidRPr="00D61F73">
              <w:rPr>
                <w:rFonts w:ascii="Arial" w:hAnsi="Arial" w:cs="Arial"/>
              </w:rPr>
              <w:t>) (</w:t>
            </w:r>
            <w:hyperlink w:anchor="Haroutiunian2010" w:history="1">
              <w:r w:rsidRPr="00D61F73">
                <w:rPr>
                  <w:rStyle w:val="Hyperlink"/>
                  <w:rFonts w:ascii="Arial" w:hAnsi="Arial" w:cs="Arial"/>
                </w:rPr>
                <w:t>Haroutiunian, 2010</w:t>
              </w:r>
            </w:hyperlink>
            <w:r w:rsidRPr="00D61F73">
              <w:rPr>
                <w:rFonts w:ascii="Arial" w:hAnsi="Arial" w:cs="Arial"/>
              </w:rPr>
              <w:t>)</w:t>
            </w:r>
          </w:p>
          <w:p w14:paraId="542E420C" w14:textId="77777777" w:rsidR="0038137E" w:rsidRPr="00D61F73" w:rsidRDefault="0038137E" w:rsidP="00D61F73">
            <w:pPr>
              <w:rPr>
                <w:rFonts w:ascii="Arial" w:eastAsia="Calibri" w:hAnsi="Arial" w:cs="Arial"/>
              </w:rPr>
            </w:pPr>
            <w:r w:rsidRPr="00D61F73">
              <w:rPr>
                <w:rFonts w:ascii="Arial" w:hAnsi="Arial" w:cs="Arial"/>
                <w:i/>
              </w:rPr>
              <w:t xml:space="preserve">Widespread musculoskeletal pain: </w:t>
            </w:r>
            <w:r w:rsidRPr="00D61F73">
              <w:rPr>
                <w:rFonts w:ascii="Arial" w:hAnsi="Arial" w:cs="Arial"/>
              </w:rPr>
              <w:t>Not recommended.</w:t>
            </w:r>
          </w:p>
          <w:p w14:paraId="0DA8A825" w14:textId="77777777" w:rsidR="0038137E" w:rsidRPr="00D61F73" w:rsidRDefault="0038137E" w:rsidP="00D61F73">
            <w:pPr>
              <w:rPr>
                <w:rFonts w:ascii="Arial" w:eastAsia="Calibri" w:hAnsi="Arial" w:cs="Arial"/>
              </w:rPr>
            </w:pPr>
            <w:r w:rsidRPr="00D61F73">
              <w:rPr>
                <w:rFonts w:ascii="Arial" w:hAnsi="Arial" w:cs="Arial"/>
                <w:i/>
                <w:iCs/>
              </w:rPr>
              <w:t xml:space="preserve">Neuropathic pain: </w:t>
            </w:r>
            <w:r w:rsidRPr="00D61F73">
              <w:rPr>
                <w:rFonts w:ascii="Arial" w:hAnsi="Arial" w:cs="Arial"/>
              </w:rPr>
              <w:t>Not recommended as there is no evidence to support use. (</w:t>
            </w:r>
            <w:hyperlink w:anchor="Haroutiunian2010" w:history="1">
              <w:r w:rsidRPr="00D61F73">
                <w:rPr>
                  <w:rStyle w:val="Hyperlink"/>
                  <w:rFonts w:ascii="Arial" w:hAnsi="Arial" w:cs="Arial"/>
                </w:rPr>
                <w:t>Haroutiunian, 2010</w:t>
              </w:r>
            </w:hyperlink>
            <w:r w:rsidRPr="00D61F73">
              <w:rPr>
                <w:rFonts w:ascii="Arial" w:hAnsi="Arial" w:cs="Arial"/>
              </w:rPr>
              <w:t xml:space="preserve">) </w:t>
            </w:r>
            <w:r w:rsidRPr="00D61F73">
              <w:rPr>
                <w:rFonts w:ascii="Arial" w:hAnsi="Arial" w:cs="Arial"/>
                <w:bCs/>
              </w:rPr>
              <w:t>(</w:t>
            </w:r>
            <w:hyperlink w:anchor="Finnerup" w:history="1">
              <w:r w:rsidRPr="00D61F73">
                <w:rPr>
                  <w:rStyle w:val="Hyperlink"/>
                  <w:rFonts w:ascii="Arial" w:hAnsi="Arial" w:cs="Arial"/>
                  <w:bCs/>
                </w:rPr>
                <w:t>Finnerup, 2005</w:t>
              </w:r>
            </w:hyperlink>
            <w:r w:rsidRPr="00D61F73">
              <w:rPr>
                <w:rFonts w:ascii="Arial" w:hAnsi="Arial" w:cs="Arial"/>
                <w:bCs/>
              </w:rPr>
              <w:t>)</w:t>
            </w:r>
          </w:p>
          <w:p w14:paraId="1A47487E" w14:textId="77777777" w:rsidR="0038137E" w:rsidRPr="00D61F73" w:rsidRDefault="0038137E" w:rsidP="00D61F73">
            <w:pPr>
              <w:keepNext/>
              <w:outlineLvl w:val="0"/>
              <w:rPr>
                <w:rFonts w:ascii="Arial" w:hAnsi="Arial" w:cs="Arial"/>
                <w:bCs/>
                <w:iCs/>
              </w:rPr>
            </w:pPr>
            <w:r w:rsidRPr="00D61F73">
              <w:rPr>
                <w:rFonts w:ascii="Arial" w:hAnsi="Arial" w:cs="Arial"/>
                <w:bCs/>
                <w:i/>
                <w:iCs/>
              </w:rPr>
              <w:t xml:space="preserve">General information: </w:t>
            </w:r>
            <w:r w:rsidRPr="00D61F73">
              <w:rPr>
                <w:rFonts w:ascii="Arial" w:hAnsi="Arial" w:cs="Arial"/>
                <w:bCs/>
                <w:iCs/>
              </w:rPr>
              <w:t>The theory behind using a topical NSAID is to achieve a therapeutic concentration in the tissue adjacent to the application, allowing for safe serum concentration. This would allow for less adverse GI events, eliminate first-pass metabolism and reduce risk of other GI events associated with higher systemic doses provided with oral formulations. Overall, a high concentration of drug is observed in the dermis and muscles (equivalent to that obtained orally), with less gastrointestinal effect. Plasma concentrations are 5% to 15% of those achieved systemically. (</w:t>
            </w:r>
            <w:hyperlink w:anchor="Kienzler2010" w:history="1">
              <w:r w:rsidRPr="00D61F73">
                <w:rPr>
                  <w:rStyle w:val="Hyperlink"/>
                  <w:rFonts w:ascii="Arial" w:hAnsi="Arial" w:cs="Arial"/>
                  <w:bCs/>
                  <w:iCs/>
                </w:rPr>
                <w:t>Kienzler, 2010</w:t>
              </w:r>
            </w:hyperlink>
            <w:r w:rsidRPr="00D61F73">
              <w:rPr>
                <w:rFonts w:ascii="Arial" w:hAnsi="Arial" w:cs="Arial"/>
                <w:bCs/>
                <w:iCs/>
              </w:rPr>
              <w:t>) Topically applied NSAIDs appear to reach the synovial fluid of joints, although the mechanism for delivery remains unclear. The efficacy in clinical trials for this treatment modality has been inconsistent and most studies are small and of short duration. Topical NSAIDs have been shown in meta-analysis to be superior to placebo during the first 2 weeks of treatment for osteoarthritis, but either not afterward, or with a diminishing effect over another 2-week period. (</w:t>
            </w:r>
            <w:hyperlink w:anchor="Lin2" w:history="1">
              <w:r w:rsidRPr="00D61F73">
                <w:rPr>
                  <w:rStyle w:val="Hyperlink"/>
                  <w:rFonts w:ascii="Arial" w:hAnsi="Arial" w:cs="Arial"/>
                  <w:bCs/>
                  <w:iCs/>
                </w:rPr>
                <w:t>Lin, 2004</w:t>
              </w:r>
            </w:hyperlink>
            <w:r w:rsidRPr="00D61F73">
              <w:rPr>
                <w:rFonts w:ascii="Arial" w:hAnsi="Arial" w:cs="Arial"/>
                <w:bCs/>
                <w:iCs/>
              </w:rPr>
              <w:t>) (</w:t>
            </w:r>
            <w:hyperlink w:anchor="Bjorda" w:history="1">
              <w:r w:rsidRPr="00D61F73">
                <w:rPr>
                  <w:rStyle w:val="Hyperlink"/>
                  <w:rFonts w:ascii="Arial" w:hAnsi="Arial" w:cs="Arial"/>
                  <w:bCs/>
                  <w:iCs/>
                </w:rPr>
                <w:t>Bjordal, 2007</w:t>
              </w:r>
            </w:hyperlink>
            <w:r w:rsidRPr="00D61F73">
              <w:rPr>
                <w:rFonts w:ascii="Arial" w:hAnsi="Arial" w:cs="Arial"/>
                <w:bCs/>
                <w:iCs/>
              </w:rPr>
              <w:t>) (</w:t>
            </w:r>
            <w:hyperlink w:anchor="Mason4" w:history="1">
              <w:r w:rsidRPr="00D61F73">
                <w:rPr>
                  <w:rStyle w:val="Hyperlink"/>
                  <w:rFonts w:ascii="Arial" w:hAnsi="Arial" w:cs="Arial"/>
                  <w:bCs/>
                  <w:iCs/>
                </w:rPr>
                <w:t>Mason, 2004</w:t>
              </w:r>
            </w:hyperlink>
            <w:r w:rsidRPr="00D61F73">
              <w:rPr>
                <w:rFonts w:ascii="Arial" w:hAnsi="Arial" w:cs="Arial"/>
                <w:bCs/>
                <w:iCs/>
              </w:rPr>
              <w:t xml:space="preserve">) When investigated specifically for osteoarthritis of the knee, topical NSAIDs have been shown to be superior to placebo for 4 to 12 weeks. The effect appeared to diminish </w:t>
            </w:r>
            <w:r w:rsidRPr="00D61F73">
              <w:rPr>
                <w:rFonts w:ascii="Arial" w:hAnsi="Arial" w:cs="Arial"/>
                <w:bCs/>
                <w:iCs/>
              </w:rPr>
              <w:lastRenderedPageBreak/>
              <w:t>over time and it was stated that further research is required to determine if results were similar for all preparations. (</w:t>
            </w:r>
            <w:hyperlink w:anchor="Biswal" w:history="1">
              <w:r w:rsidRPr="00D61F73">
                <w:rPr>
                  <w:rStyle w:val="Hyperlink"/>
                  <w:rFonts w:ascii="Arial" w:hAnsi="Arial" w:cs="Arial"/>
                  <w:bCs/>
                  <w:iCs/>
                </w:rPr>
                <w:t>Biswal, 2006</w:t>
              </w:r>
            </w:hyperlink>
            <w:r w:rsidRPr="00D61F73">
              <w:rPr>
                <w:rFonts w:ascii="Arial" w:hAnsi="Arial" w:cs="Arial"/>
                <w:bCs/>
                <w:iCs/>
              </w:rPr>
              <w:t>) These medications may be useful for chronic musculoskeletal pain, but there are no long-term studies of their effectiveness or safety. In terms of acute pain, topical NSAIDs were found to produce a 50% reduction in pain at one week, with the most significant results obtained with use of ketoprofen, while indomethacin was barely distinguished from placebo. (</w:t>
            </w:r>
            <w:hyperlink w:anchor="Mason5" w:history="1">
              <w:r w:rsidRPr="00D61F73">
                <w:rPr>
                  <w:rFonts w:ascii="Arial" w:hAnsi="Arial" w:cs="Arial"/>
                  <w:bCs/>
                  <w:iCs/>
                  <w:color w:val="0000FF"/>
                  <w:u w:val="single"/>
                </w:rPr>
                <w:t>Mason, 2004</w:t>
              </w:r>
            </w:hyperlink>
            <w:r w:rsidRPr="00D61F73">
              <w:rPr>
                <w:rFonts w:ascii="Arial" w:hAnsi="Arial" w:cs="Arial"/>
                <w:bCs/>
                <w:iCs/>
              </w:rPr>
              <w:t>)</w:t>
            </w:r>
          </w:p>
          <w:p w14:paraId="3BB4D454" w14:textId="77777777" w:rsidR="0038137E" w:rsidRPr="00D61F73" w:rsidRDefault="0038137E" w:rsidP="00D61F73">
            <w:pPr>
              <w:rPr>
                <w:rFonts w:ascii="Arial" w:eastAsia="Calibri" w:hAnsi="Arial" w:cs="Arial"/>
                <w:bCs/>
                <w:iCs/>
                <w:color w:val="auto"/>
              </w:rPr>
            </w:pPr>
            <w:r w:rsidRPr="00D61F73">
              <w:rPr>
                <w:rFonts w:ascii="Arial" w:hAnsi="Arial" w:cs="Arial"/>
                <w:bCs/>
                <w:i/>
                <w:iCs/>
              </w:rPr>
              <w:t xml:space="preserve">Pharmacokinetics and systemic availability: </w:t>
            </w:r>
            <w:r w:rsidRPr="00D61F73">
              <w:rPr>
                <w:rFonts w:ascii="Arial" w:hAnsi="Arial" w:cs="Arial"/>
                <w:bCs/>
                <w:iCs/>
              </w:rPr>
              <w:t xml:space="preserve">Absorption and penetration through the skin depends on the active medication, formulation (i.e. gel vs. solution), carrier-medicated transport, and penetration enhancement. Each of these differences produces differences in systemic levels attained. The carrier may also contribute to toxicity. Toxicity by dose has not been established (especially for trials that allowed for more than one joint to be treated). Excessive amounts of topical NSAID may produce higher than desired levels, hindering the advantage of a topical formulation. </w:t>
            </w:r>
            <w:r w:rsidRPr="00D61F73">
              <w:rPr>
                <w:rFonts w:ascii="Arial" w:hAnsi="Arial" w:cs="Arial"/>
              </w:rPr>
              <w:t>(</w:t>
            </w:r>
            <w:hyperlink w:anchor="Haroutiunian2010" w:history="1">
              <w:r w:rsidRPr="00D61F73">
                <w:rPr>
                  <w:rStyle w:val="Hyperlink"/>
                  <w:rFonts w:ascii="Arial" w:hAnsi="Arial" w:cs="Arial"/>
                </w:rPr>
                <w:t>Haroutiunian, 2010</w:t>
              </w:r>
            </w:hyperlink>
            <w:r w:rsidRPr="00D61F73">
              <w:rPr>
                <w:rFonts w:ascii="Arial" w:hAnsi="Arial" w:cs="Arial"/>
              </w:rPr>
              <w:t xml:space="preserve">) </w:t>
            </w:r>
            <w:r w:rsidRPr="00D61F73">
              <w:rPr>
                <w:rFonts w:ascii="Arial" w:hAnsi="Arial" w:cs="Arial"/>
                <w:bCs/>
                <w:iCs/>
              </w:rPr>
              <w:t>(</w:t>
            </w:r>
            <w:hyperlink w:anchor="Kienzler2010" w:history="1">
              <w:r w:rsidRPr="00D61F73">
                <w:rPr>
                  <w:rStyle w:val="Hyperlink"/>
                  <w:rFonts w:ascii="Arial" w:hAnsi="Arial" w:cs="Arial"/>
                  <w:bCs/>
                  <w:iCs/>
                </w:rPr>
                <w:t>Kienzler, 2010</w:t>
              </w:r>
            </w:hyperlink>
            <w:r w:rsidRPr="00D61F73">
              <w:rPr>
                <w:rFonts w:ascii="Arial" w:hAnsi="Arial" w:cs="Arial"/>
                <w:bCs/>
                <w:iCs/>
              </w:rPr>
              <w:t>)</w:t>
            </w:r>
          </w:p>
          <w:p w14:paraId="23426A17" w14:textId="77777777" w:rsidR="0038137E" w:rsidRPr="00D61F73" w:rsidRDefault="0038137E" w:rsidP="00D61F73">
            <w:pPr>
              <w:keepNext/>
              <w:outlineLvl w:val="0"/>
              <w:rPr>
                <w:rFonts w:ascii="Arial" w:hAnsi="Arial" w:cs="Arial"/>
                <w:bCs/>
                <w:iCs/>
              </w:rPr>
            </w:pPr>
            <w:r w:rsidRPr="00D61F73">
              <w:rPr>
                <w:rFonts w:ascii="Arial" w:hAnsi="Arial" w:cs="Arial"/>
                <w:bCs/>
                <w:i/>
                <w:iCs/>
              </w:rPr>
              <w:t xml:space="preserve">Compounded formulations: </w:t>
            </w:r>
            <w:r w:rsidRPr="00D61F73">
              <w:rPr>
                <w:rFonts w:ascii="Arial" w:hAnsi="Arial" w:cs="Arial"/>
                <w:bCs/>
                <w:iCs/>
              </w:rPr>
              <w:t xml:space="preserve">There is little research available in terms of bioavailability and objective clinical endpoints for these agents. </w:t>
            </w:r>
            <w:r w:rsidRPr="00D61F73">
              <w:rPr>
                <w:rFonts w:ascii="Arial" w:hAnsi="Arial" w:cs="Arial"/>
              </w:rPr>
              <w:t>(</w:t>
            </w:r>
            <w:hyperlink w:anchor="Haroutiunian2010" w:history="1">
              <w:r w:rsidRPr="00D61F73">
                <w:rPr>
                  <w:rStyle w:val="Hyperlink"/>
                  <w:rFonts w:ascii="Arial" w:hAnsi="Arial" w:cs="Arial"/>
                </w:rPr>
                <w:t>Haroutiunian, 2010</w:t>
              </w:r>
            </w:hyperlink>
            <w:r w:rsidRPr="00D61F73">
              <w:rPr>
                <w:rFonts w:ascii="Arial" w:hAnsi="Arial" w:cs="Arial"/>
              </w:rPr>
              <w:t>)</w:t>
            </w:r>
          </w:p>
          <w:p w14:paraId="45ECCA73" w14:textId="77777777" w:rsidR="0038137E" w:rsidRPr="00D61F73" w:rsidRDefault="0038137E" w:rsidP="00D61F73">
            <w:pPr>
              <w:keepNext/>
              <w:outlineLvl w:val="0"/>
              <w:rPr>
                <w:rFonts w:ascii="Arial" w:hAnsi="Arial" w:cs="Arial"/>
              </w:rPr>
            </w:pPr>
            <w:r w:rsidRPr="00D61F73">
              <w:rPr>
                <w:rFonts w:ascii="Arial" w:hAnsi="Arial" w:cs="Arial"/>
                <w:i/>
                <w:u w:val="single"/>
              </w:rPr>
              <w:t>FDA-approved agents</w:t>
            </w:r>
            <w:r w:rsidRPr="00D61F73">
              <w:rPr>
                <w:rFonts w:ascii="Arial" w:hAnsi="Arial" w:cs="Arial"/>
                <w:i/>
              </w:rPr>
              <w:t>:</w:t>
            </w:r>
            <w:r w:rsidRPr="00D61F73">
              <w:rPr>
                <w:rFonts w:ascii="Arial" w:hAnsi="Arial" w:cs="Arial"/>
              </w:rPr>
              <w:t xml:space="preserve"> At this time, the only available FDA-approved topical NSAID is diclofenac.</w:t>
            </w:r>
          </w:p>
          <w:p w14:paraId="281F6C4E" w14:textId="77777777" w:rsidR="0038137E" w:rsidRPr="00D61F73" w:rsidRDefault="0038137E" w:rsidP="00D61F73">
            <w:pPr>
              <w:keepNext/>
              <w:outlineLvl w:val="0"/>
              <w:rPr>
                <w:rFonts w:ascii="Arial" w:hAnsi="Arial" w:cs="Arial"/>
                <w:bCs/>
                <w:iCs/>
              </w:rPr>
            </w:pPr>
            <w:r w:rsidRPr="00D61F73">
              <w:rPr>
                <w:rFonts w:ascii="Arial" w:hAnsi="Arial" w:cs="Arial"/>
                <w:i/>
              </w:rPr>
              <w:t>Voltaren® Gel 1% (diclofenac)</w:t>
            </w:r>
            <w:r w:rsidRPr="00D61F73">
              <w:rPr>
                <w:rFonts w:ascii="Arial" w:hAnsi="Arial" w:cs="Arial"/>
              </w:rPr>
              <w:t>: Indicated for relief of osteoarthritis pain in a joint that lends itself to topical treatment (ankle, elbow, foot, hand, knee, and wrist). It has not been evaluated for treatment of the spine, hip or shoulder. Maximum dose should not exceed 32 g per day (8 g per joint per day in the upper extremity and 16 g per joint per day in the lower extremity). The most common adverse reactions were dermatitis and pruritus. (Voltaren® package insert) Clinical trial data suggest that diclofenac sodium gel (the first topical NSAID approved in the US) provides clinically meaningful analgesia in OA patients with a low incidence of systemic adverse events. (</w:t>
            </w:r>
            <w:hyperlink w:anchor="Altman2" w:history="1">
              <w:r w:rsidRPr="00D61F73">
                <w:rPr>
                  <w:rStyle w:val="Hyperlink"/>
                  <w:rFonts w:ascii="Arial" w:hAnsi="Arial" w:cs="Arial"/>
                </w:rPr>
                <w:t>Altman, 2009</w:t>
              </w:r>
            </w:hyperlink>
            <w:r w:rsidRPr="00D61F73">
              <w:rPr>
                <w:rFonts w:ascii="Arial" w:hAnsi="Arial" w:cs="Arial"/>
              </w:rPr>
              <w:t>) The labeling for topical diclofenac has been updated to warn about drug-induced hepatotoxicity. (</w:t>
            </w:r>
            <w:hyperlink r:id="rId165" w:history="1">
              <w:r w:rsidRPr="00D61F73">
                <w:rPr>
                  <w:rStyle w:val="Hyperlink"/>
                  <w:rFonts w:ascii="Arial" w:hAnsi="Arial" w:cs="Arial"/>
                </w:rPr>
                <w:t>FDA, 2009</w:t>
              </w:r>
            </w:hyperlink>
            <w:r w:rsidRPr="00D61F73">
              <w:rPr>
                <w:rFonts w:ascii="Arial" w:hAnsi="Arial" w:cs="Arial"/>
              </w:rPr>
              <w:t>) Voltaren Gel was effective in adults regardless of age. Treatment-related application site dermatitis was more common with Voltaren Gel, but gastrointestinal AEs were infrequent. It is recommended for osteoarthritis after failure of an oral NSAID, or contraindications to oral NSAIDs, or for patients who cannot swallow solid oral dosage forms. (</w:t>
            </w:r>
            <w:hyperlink w:anchor="Baraf2011" w:history="1">
              <w:r w:rsidRPr="00D61F73">
                <w:rPr>
                  <w:rStyle w:val="Hyperlink"/>
                  <w:rFonts w:ascii="Arial" w:hAnsi="Arial" w:cs="Arial"/>
                </w:rPr>
                <w:t>Baraf, 2011</w:t>
              </w:r>
            </w:hyperlink>
            <w:r w:rsidRPr="00D61F73">
              <w:rPr>
                <w:rFonts w:ascii="Arial" w:hAnsi="Arial" w:cs="Arial"/>
              </w:rPr>
              <w:t xml:space="preserve">) </w:t>
            </w:r>
            <w:r w:rsidRPr="00D61F73">
              <w:rPr>
                <w:rFonts w:ascii="Arial" w:hAnsi="Arial" w:cs="Arial"/>
                <w:bCs/>
                <w:iCs/>
              </w:rPr>
              <w:t>(</w:t>
            </w:r>
            <w:hyperlink w:anchor="Kienzler2010" w:history="1">
              <w:r w:rsidRPr="00D61F73">
                <w:rPr>
                  <w:rStyle w:val="Hyperlink"/>
                  <w:rFonts w:ascii="Arial" w:hAnsi="Arial" w:cs="Arial"/>
                  <w:bCs/>
                  <w:iCs/>
                </w:rPr>
                <w:t>Kienzler, 2010</w:t>
              </w:r>
            </w:hyperlink>
            <w:r w:rsidRPr="00D61F73">
              <w:rPr>
                <w:rFonts w:ascii="Arial" w:hAnsi="Arial" w:cs="Arial"/>
                <w:bCs/>
                <w:iCs/>
              </w:rPr>
              <w:t xml:space="preserve">) See also </w:t>
            </w:r>
            <w:hyperlink w:anchor="VoltarenGel" w:history="1">
              <w:r w:rsidRPr="00D61F73">
                <w:rPr>
                  <w:rStyle w:val="Hyperlink"/>
                  <w:rFonts w:ascii="Arial" w:hAnsi="Arial" w:cs="Arial"/>
                  <w:bCs/>
                  <w:iCs/>
                </w:rPr>
                <w:t>Voltaren® Gel</w:t>
              </w:r>
            </w:hyperlink>
            <w:r w:rsidRPr="00D61F73">
              <w:rPr>
                <w:rFonts w:ascii="Arial" w:hAnsi="Arial" w:cs="Arial"/>
                <w:bCs/>
                <w:iCs/>
              </w:rPr>
              <w:t xml:space="preserve"> separate listing, where it is </w:t>
            </w:r>
            <w:r w:rsidRPr="00D61F73">
              <w:rPr>
                <w:rFonts w:ascii="Arial" w:hAnsi="Arial" w:cs="Arial"/>
              </w:rPr>
              <w:t>not recommended as a first-line treatment.</w:t>
            </w:r>
          </w:p>
          <w:p w14:paraId="588AAD99" w14:textId="0A42954F" w:rsidR="0038137E" w:rsidRPr="00D61F73" w:rsidRDefault="0038137E" w:rsidP="00D61F73">
            <w:pPr>
              <w:rPr>
                <w:rFonts w:ascii="Arial" w:hAnsi="Arial" w:cs="Arial"/>
                <w:i/>
              </w:rPr>
            </w:pPr>
            <w:r w:rsidRPr="00D61F73">
              <w:rPr>
                <w:rFonts w:ascii="Arial" w:hAnsi="Arial" w:cs="Arial"/>
                <w:i/>
              </w:rPr>
              <w:t xml:space="preserve">Pennsaid® (diclofenac topical solution 1.5% containing 45.5% dimithyl sulfoxide): </w:t>
            </w:r>
            <w:r w:rsidRPr="00D61F73">
              <w:rPr>
                <w:rFonts w:ascii="Arial" w:hAnsi="Arial" w:cs="Arial"/>
              </w:rPr>
              <w:t>FDA-approved for osteoarthritis of the knee. A recent study on adverse effects of this agent compared to oral diclofenac found that the latter formulation had significantly higher events. Gastrointestinal AEs orally were 39% vs. 25.4% topically (P&lt; 0.0001). Cardiovascular events were 3.5% orally vs. 1.5% topically (P=0.055). Liver function tests were increased more commonly in those taking oral agents. The most common adverse effect was application-site reaction. Dry skin is thought to result from the DSMO component. Long-term studies were recommended. (</w:t>
            </w:r>
            <w:hyperlink w:anchor="Roth2011" w:history="1">
              <w:r w:rsidRPr="00D61F73">
                <w:rPr>
                  <w:rStyle w:val="Hyperlink"/>
                  <w:rFonts w:ascii="Arial" w:hAnsi="Arial" w:cs="Arial"/>
                </w:rPr>
                <w:t>Roth, 2011</w:t>
              </w:r>
            </w:hyperlink>
            <w:r w:rsidRPr="00D61F73">
              <w:rPr>
                <w:rFonts w:ascii="Arial" w:hAnsi="Arial" w:cs="Arial"/>
              </w:rPr>
              <w:t xml:space="preserve">) The dose is 40 drops to the knee four times a day. </w:t>
            </w:r>
            <w:r w:rsidRPr="00D61F73">
              <w:rPr>
                <w:rFonts w:ascii="Arial" w:hAnsi="Arial" w:cs="Arial"/>
                <w:bCs/>
                <w:iCs/>
              </w:rPr>
              <w:t xml:space="preserve">See also </w:t>
            </w:r>
            <w:hyperlink w:anchor="Pennsaid" w:history="1">
              <w:r w:rsidRPr="00D61F73">
                <w:rPr>
                  <w:rStyle w:val="Hyperlink"/>
                  <w:rFonts w:ascii="Arial" w:hAnsi="Arial" w:cs="Arial"/>
                  <w:bCs/>
                  <w:iCs/>
                </w:rPr>
                <w:t>Pennsaid</w:t>
              </w:r>
            </w:hyperlink>
            <w:r w:rsidRPr="00D61F73">
              <w:rPr>
                <w:rFonts w:ascii="Arial" w:hAnsi="Arial" w:cs="Arial"/>
                <w:bCs/>
                <w:iCs/>
              </w:rPr>
              <w:t xml:space="preserve">® (diclofenac sodium topical solution) separate listing, where it is </w:t>
            </w:r>
            <w:r w:rsidRPr="00D61F73">
              <w:rPr>
                <w:rFonts w:ascii="Arial" w:hAnsi="Arial" w:cs="Arial"/>
              </w:rPr>
              <w:lastRenderedPageBreak/>
              <w:t>not recommended as a first-line treatment.</w:t>
            </w:r>
          </w:p>
          <w:p w14:paraId="5B32A870" w14:textId="77777777" w:rsidR="0038137E" w:rsidRPr="00D61F73" w:rsidRDefault="0038137E" w:rsidP="00D61F73">
            <w:pPr>
              <w:keepNext/>
              <w:outlineLvl w:val="0"/>
              <w:rPr>
                <w:rFonts w:ascii="Arial" w:hAnsi="Arial" w:cs="Arial"/>
              </w:rPr>
            </w:pPr>
            <w:r w:rsidRPr="00D61F73">
              <w:rPr>
                <w:rFonts w:ascii="Arial" w:hAnsi="Arial" w:cs="Arial"/>
                <w:i/>
              </w:rPr>
              <w:t xml:space="preserve">Flector® Patch (diclofenac epolamine topical patch 1.3%): </w:t>
            </w:r>
            <w:r w:rsidRPr="00D61F73">
              <w:rPr>
                <w:rFonts w:ascii="Arial" w:hAnsi="Arial" w:cs="Arial"/>
              </w:rPr>
              <w:t xml:space="preserve">Indicated for acute strains, sprains, and contusions. Apply one patch twice daily to most painful area. </w:t>
            </w:r>
            <w:r w:rsidRPr="00D61F73">
              <w:rPr>
                <w:rFonts w:ascii="Arial" w:hAnsi="Arial" w:cs="Arial"/>
                <w:bCs/>
                <w:iCs/>
              </w:rPr>
              <w:t xml:space="preserve">See also </w:t>
            </w:r>
            <w:hyperlink w:anchor="Flectorpatch" w:history="1">
              <w:r w:rsidRPr="00D61F73">
                <w:rPr>
                  <w:rStyle w:val="Hyperlink"/>
                  <w:rFonts w:ascii="Arial" w:hAnsi="Arial" w:cs="Arial"/>
                  <w:bCs/>
                  <w:iCs/>
                </w:rPr>
                <w:t>Flector® patch</w:t>
              </w:r>
            </w:hyperlink>
            <w:r w:rsidRPr="00D61F73">
              <w:rPr>
                <w:rFonts w:ascii="Arial" w:hAnsi="Arial" w:cs="Arial"/>
                <w:bCs/>
                <w:iCs/>
              </w:rPr>
              <w:t xml:space="preserve"> (diclofenac epolamine) separate listing, where it is </w:t>
            </w:r>
            <w:r w:rsidRPr="00D61F73">
              <w:rPr>
                <w:rFonts w:ascii="Arial" w:hAnsi="Arial" w:cs="Arial"/>
              </w:rPr>
              <w:t>not recommended as a first-line treatment.</w:t>
            </w:r>
          </w:p>
          <w:p w14:paraId="4174B312" w14:textId="77777777" w:rsidR="0038137E" w:rsidRPr="00D61F73" w:rsidRDefault="0038137E" w:rsidP="00D61F73">
            <w:pPr>
              <w:keepNext/>
              <w:outlineLvl w:val="0"/>
              <w:rPr>
                <w:rFonts w:ascii="Arial" w:hAnsi="Arial" w:cs="Arial"/>
              </w:rPr>
            </w:pPr>
            <w:r w:rsidRPr="00D61F73">
              <w:rPr>
                <w:rFonts w:ascii="Arial" w:hAnsi="Arial" w:cs="Arial"/>
                <w:i/>
                <w:u w:val="single"/>
              </w:rPr>
              <w:t>Non FDA-approved agents</w:t>
            </w:r>
            <w:r w:rsidRPr="00D61F73">
              <w:rPr>
                <w:rFonts w:ascii="Arial" w:hAnsi="Arial" w:cs="Arial"/>
                <w:i/>
              </w:rPr>
              <w:t xml:space="preserve">: Ketoprofen: </w:t>
            </w:r>
            <w:r w:rsidRPr="00D61F73">
              <w:rPr>
                <w:rFonts w:ascii="Arial" w:hAnsi="Arial" w:cs="Arial"/>
              </w:rPr>
              <w:t>This agent is not currently FDA approved for a topical application. It has an extremely high incidence of photocontact dermatitis and photosensitization reactions. (</w:t>
            </w:r>
            <w:hyperlink w:anchor="Diaz" w:history="1">
              <w:r w:rsidRPr="00D61F73">
                <w:rPr>
                  <w:rStyle w:val="Hyperlink"/>
                  <w:rFonts w:ascii="Arial" w:hAnsi="Arial" w:cs="Arial"/>
                </w:rPr>
                <w:t>Diaz, 2006</w:t>
              </w:r>
            </w:hyperlink>
            <w:r w:rsidRPr="00D61F73">
              <w:rPr>
                <w:rFonts w:ascii="Arial" w:hAnsi="Arial" w:cs="Arial"/>
              </w:rPr>
              <w:t>) (</w:t>
            </w:r>
            <w:hyperlink w:anchor="Noize2010" w:history="1">
              <w:r w:rsidRPr="00D61F73">
                <w:rPr>
                  <w:rStyle w:val="Hyperlink"/>
                  <w:rFonts w:ascii="Arial" w:hAnsi="Arial" w:cs="Arial"/>
                </w:rPr>
                <w:t>Noize, 2010</w:t>
              </w:r>
            </w:hyperlink>
            <w:r w:rsidRPr="00D61F73">
              <w:rPr>
                <w:rFonts w:ascii="Arial" w:hAnsi="Arial" w:cs="Arial"/>
              </w:rPr>
              <w:t>) (</w:t>
            </w:r>
            <w:hyperlink w:anchor="Hindsén" w:history="1">
              <w:r w:rsidRPr="00D61F73">
                <w:rPr>
                  <w:rStyle w:val="Hyperlink"/>
                  <w:rFonts w:ascii="Arial" w:hAnsi="Arial" w:cs="Arial"/>
                </w:rPr>
                <w:t>Hindsen, 2006</w:t>
              </w:r>
            </w:hyperlink>
            <w:r w:rsidRPr="00D61F73">
              <w:rPr>
                <w:rFonts w:ascii="Arial" w:hAnsi="Arial" w:cs="Arial"/>
              </w:rPr>
              <w:t>) (</w:t>
            </w:r>
            <w:hyperlink w:anchor="Devleeschouwer2008" w:history="1">
              <w:r w:rsidRPr="00D61F73">
                <w:rPr>
                  <w:rStyle w:val="Hyperlink"/>
                  <w:rFonts w:ascii="Arial" w:hAnsi="Arial" w:cs="Arial"/>
                </w:rPr>
                <w:t>Devleeschouwer, 2008</w:t>
              </w:r>
            </w:hyperlink>
            <w:r w:rsidRPr="00D61F73">
              <w:rPr>
                <w:rFonts w:ascii="Arial" w:hAnsi="Arial" w:cs="Arial"/>
              </w:rPr>
              <w:t>) (</w:t>
            </w:r>
            <w:hyperlink w:anchor="Matthieu2004" w:history="1">
              <w:r w:rsidRPr="00D61F73">
                <w:rPr>
                  <w:rStyle w:val="Hyperlink"/>
                  <w:rFonts w:ascii="Arial" w:hAnsi="Arial" w:cs="Arial"/>
                </w:rPr>
                <w:t>Matthieu, 2004</w:t>
              </w:r>
            </w:hyperlink>
            <w:r w:rsidRPr="00D61F73">
              <w:rPr>
                <w:rFonts w:ascii="Arial" w:hAnsi="Arial" w:cs="Arial"/>
              </w:rPr>
              <w:t>) (</w:t>
            </w:r>
            <w:hyperlink w:anchor="Barbaud2009" w:history="1">
              <w:r w:rsidRPr="00D61F73">
                <w:rPr>
                  <w:rStyle w:val="Hyperlink"/>
                  <w:rFonts w:ascii="Arial" w:hAnsi="Arial" w:cs="Arial"/>
                </w:rPr>
                <w:t>Barbaud, 2009</w:t>
              </w:r>
            </w:hyperlink>
            <w:r w:rsidRPr="00D61F73">
              <w:rPr>
                <w:rFonts w:ascii="Arial" w:hAnsi="Arial" w:cs="Arial"/>
              </w:rPr>
              <w:t>) Due to the high incidence of these reactions the French government removed this topical drug from the market in December 2009. This was subsequently overturned, with recommendations made to make the topical formulation available by prescription only, and by strengthening warnings as to adverse effects. (</w:t>
            </w:r>
            <w:hyperlink w:anchor="Lechat2010" w:history="1">
              <w:r w:rsidRPr="00D61F73">
                <w:rPr>
                  <w:rStyle w:val="Hyperlink"/>
                  <w:rFonts w:ascii="Arial" w:hAnsi="Arial" w:cs="Arial"/>
                </w:rPr>
                <w:t>Lechat, 2010</w:t>
              </w:r>
            </w:hyperlink>
            <w:r w:rsidRPr="00D61F73">
              <w:rPr>
                <w:rFonts w:ascii="Arial" w:hAnsi="Arial" w:cs="Arial"/>
              </w:rPr>
              <w:t>) Absorption of the drug depends on the base it is delivered in. (</w:t>
            </w:r>
            <w:hyperlink w:anchor="Gürol" w:history="1">
              <w:r w:rsidRPr="00D61F73">
                <w:rPr>
                  <w:rStyle w:val="Hyperlink"/>
                  <w:rFonts w:ascii="Arial" w:hAnsi="Arial" w:cs="Arial"/>
                </w:rPr>
                <w:t>Gurol, 1996</w:t>
              </w:r>
            </w:hyperlink>
            <w:r w:rsidRPr="00D61F73">
              <w:rPr>
                <w:rFonts w:ascii="Arial" w:hAnsi="Arial" w:cs="Arial"/>
              </w:rPr>
              <w:t>). Topical treatment can result in blood concentrations and systemic effect comparable to those from oral forms, and caution should be used for patients at risk, including those with renal failure. (</w:t>
            </w:r>
            <w:hyperlink w:anchor="Krummel" w:history="1">
              <w:r w:rsidRPr="00D61F73">
                <w:rPr>
                  <w:rStyle w:val="Hyperlink"/>
                  <w:rFonts w:ascii="Arial" w:hAnsi="Arial" w:cs="Arial"/>
                </w:rPr>
                <w:t>Krummel 2000</w:t>
              </w:r>
            </w:hyperlink>
            <w:r w:rsidRPr="00D61F73">
              <w:rPr>
                <w:rFonts w:ascii="Arial" w:hAnsi="Arial" w:cs="Arial"/>
              </w:rPr>
              <w:t xml:space="preserve">) </w:t>
            </w:r>
            <w:r w:rsidRPr="00D61F73">
              <w:rPr>
                <w:rFonts w:ascii="Arial" w:hAnsi="Arial" w:cs="Arial"/>
                <w:i/>
              </w:rPr>
              <w:t xml:space="preserve">Clinical trials: </w:t>
            </w:r>
            <w:r w:rsidRPr="00D61F73">
              <w:rPr>
                <w:rFonts w:ascii="Arial" w:hAnsi="Arial" w:cs="Arial"/>
              </w:rPr>
              <w:t>Numerous clinical trials are ongoing, including a phase III trial for a ketoprofen patch for treatment of soft tissue injury, acute sprain/strain, and non articular rheumatism, tendinitis and bursitis, a phase III trial for ketoprofen 10% cream for treatment of acute soft tissue injury, and a topical ketoprofen gel for muscle soreness. Clinical trials show similar results between Diclofenac gel and a ketoprofen patch formulation. (</w:t>
            </w:r>
            <w:hyperlink w:anchor="Esparza2007" w:history="1">
              <w:r w:rsidRPr="00D61F73">
                <w:rPr>
                  <w:rStyle w:val="Hyperlink"/>
                  <w:rFonts w:ascii="Arial" w:hAnsi="Arial" w:cs="Arial"/>
                </w:rPr>
                <w:t>Esparza, 2007</w:t>
              </w:r>
            </w:hyperlink>
            <w:r w:rsidRPr="00D61F73">
              <w:rPr>
                <w:rFonts w:ascii="Arial" w:hAnsi="Arial" w:cs="Arial"/>
              </w:rPr>
              <w:t xml:space="preserve">) </w:t>
            </w:r>
            <w:r w:rsidRPr="00D61F73">
              <w:rPr>
                <w:rFonts w:ascii="Arial" w:hAnsi="Arial" w:cs="Arial"/>
                <w:bCs/>
                <w:iCs/>
              </w:rPr>
              <w:t xml:space="preserve">See also </w:t>
            </w:r>
            <w:hyperlink w:anchor="Ketoprofentopical" w:history="1">
              <w:r w:rsidRPr="00D61F73">
                <w:rPr>
                  <w:rStyle w:val="Hyperlink"/>
                  <w:rFonts w:ascii="Arial" w:hAnsi="Arial" w:cs="Arial"/>
                  <w:bCs/>
                  <w:iCs/>
                </w:rPr>
                <w:t>Ketoprofen, topical</w:t>
              </w:r>
            </w:hyperlink>
            <w:r w:rsidRPr="00D61F73">
              <w:rPr>
                <w:rFonts w:ascii="Arial" w:hAnsi="Arial" w:cs="Arial"/>
                <w:bCs/>
                <w:iCs/>
              </w:rPr>
              <w:t xml:space="preserve"> separate listing, where it is not recommended in the U.S., as there are currently no FDA-approved versions of this product, but it is a first-line drug in Europe.</w:t>
            </w:r>
          </w:p>
          <w:p w14:paraId="35067FF9" w14:textId="77777777" w:rsidR="0038137E" w:rsidRPr="00D61F73" w:rsidRDefault="0038137E" w:rsidP="00D61F73">
            <w:pPr>
              <w:rPr>
                <w:rFonts w:ascii="Arial" w:eastAsia="Calibri" w:hAnsi="Arial" w:cs="Arial"/>
                <w:iCs/>
                <w:color w:val="auto"/>
              </w:rPr>
            </w:pPr>
            <w:r w:rsidRPr="00D61F73">
              <w:rPr>
                <w:rFonts w:ascii="Arial" w:hAnsi="Arial" w:cs="Arial"/>
                <w:i/>
                <w:iCs/>
              </w:rPr>
              <w:t>Piroxicam</w:t>
            </w:r>
            <w:r w:rsidRPr="00D61F73">
              <w:rPr>
                <w:rFonts w:ascii="Arial" w:hAnsi="Arial" w:cs="Arial"/>
                <w:iCs/>
              </w:rPr>
              <w:t>: There is no FDA-approved topical piroxicam agent. This drug also is known to produce drug-induced photosensitivity. (</w:t>
            </w:r>
            <w:hyperlink w:anchor="Drucker2011" w:history="1">
              <w:r w:rsidRPr="00D61F73">
                <w:rPr>
                  <w:rStyle w:val="Hyperlink"/>
                  <w:rFonts w:ascii="Arial" w:hAnsi="Arial" w:cs="Arial"/>
                  <w:iCs/>
                </w:rPr>
                <w:t>Drucker, 2011</w:t>
              </w:r>
            </w:hyperlink>
            <w:r w:rsidRPr="00D61F73">
              <w:rPr>
                <w:rFonts w:ascii="Arial" w:hAnsi="Arial" w:cs="Arial"/>
                <w:iCs/>
              </w:rPr>
              <w:t xml:space="preserve">) </w:t>
            </w:r>
            <w:r w:rsidRPr="00D61F73">
              <w:rPr>
                <w:rFonts w:ascii="Arial" w:hAnsi="Arial" w:cs="Arial"/>
              </w:rPr>
              <w:t>(</w:t>
            </w:r>
            <w:hyperlink w:anchor="Barbaud2009" w:history="1">
              <w:r w:rsidRPr="00D61F73">
                <w:rPr>
                  <w:rStyle w:val="Hyperlink"/>
                  <w:rFonts w:ascii="Arial" w:hAnsi="Arial" w:cs="Arial"/>
                </w:rPr>
                <w:t>Barbaud, 2009</w:t>
              </w:r>
            </w:hyperlink>
            <w:r w:rsidRPr="00D61F73">
              <w:rPr>
                <w:rFonts w:ascii="Arial" w:hAnsi="Arial" w:cs="Arial"/>
              </w:rPr>
              <w:t xml:space="preserve">) </w:t>
            </w:r>
            <w:r w:rsidRPr="00D61F73">
              <w:rPr>
                <w:rFonts w:ascii="Arial" w:hAnsi="Arial" w:cs="Arial"/>
                <w:iCs/>
              </w:rPr>
              <w:t>Numerous adverse effects are noted with systemic delivery of piroxicam including elevated hepatic enzymes in 1-10% in patients who receive the drug.</w:t>
            </w:r>
          </w:p>
          <w:p w14:paraId="55684368" w14:textId="51D49B14" w:rsidR="0038137E" w:rsidRPr="00D61F73" w:rsidRDefault="0038137E" w:rsidP="00D61F73">
            <w:pPr>
              <w:rPr>
                <w:rFonts w:ascii="Arial" w:eastAsia="Calibri" w:hAnsi="Arial" w:cs="Arial"/>
              </w:rPr>
            </w:pPr>
            <w:r w:rsidRPr="00D61F73">
              <w:rPr>
                <w:rFonts w:ascii="Arial" w:hAnsi="Arial" w:cs="Arial"/>
                <w:i/>
              </w:rPr>
              <w:t xml:space="preserve">Adverse effects of topical NSAIDs in general: </w:t>
            </w:r>
            <w:r w:rsidRPr="00D61F73">
              <w:rPr>
                <w:rFonts w:ascii="Arial" w:hAnsi="Arial" w:cs="Arial"/>
              </w:rPr>
              <w:t>Topical NSAIDs have a high safety margin with fewer severe gastrointestinal adverse effects. Adverse drug events occur on average in about 12% of individuals, with 75% of these including rash and/or pruritus at the application site. A recent systematic review of use of topical NSAIDs in older adults found the withdrawal rates from topical agents to be similar to that of oral NSAIDs. Gastrointestinal complaints and headaches were reported most frequently in both topical and oral NSAID groups. Anemia, liver function tests, renal abnormalities, and severe gastrointestinal events were higher in oral NSAID users. Examination of drug-related effects, including vehicles used and total dose is needed. (</w:t>
            </w:r>
            <w:hyperlink w:anchor="Makris2010" w:history="1">
              <w:r w:rsidRPr="00D61F73">
                <w:rPr>
                  <w:rStyle w:val="Hyperlink"/>
                  <w:rFonts w:ascii="Arial" w:hAnsi="Arial" w:cs="Arial"/>
                </w:rPr>
                <w:t>Makris, 2010</w:t>
              </w:r>
            </w:hyperlink>
            <w:r w:rsidRPr="00D61F73">
              <w:rPr>
                <w:rFonts w:ascii="Arial" w:hAnsi="Arial" w:cs="Arial"/>
              </w:rPr>
              <w:t>) The use of oral NSAIDs concomitantly with topical agents is not recommended. (</w:t>
            </w:r>
            <w:hyperlink w:anchor="Peterson2011" w:history="1">
              <w:r w:rsidRPr="00D61F73">
                <w:rPr>
                  <w:rStyle w:val="Hyperlink"/>
                  <w:rFonts w:ascii="Arial" w:hAnsi="Arial" w:cs="Arial"/>
                </w:rPr>
                <w:t>Peterson, 2011</w:t>
              </w:r>
            </w:hyperlink>
            <w:r w:rsidRPr="00D61F73">
              <w:rPr>
                <w:rFonts w:ascii="Arial" w:hAnsi="Arial" w:cs="Arial"/>
              </w:rPr>
              <w:t xml:space="preserve">) See also </w:t>
            </w:r>
            <w:hyperlink w:anchor="NSAIDsGIandCV" w:history="1">
              <w:r w:rsidRPr="00D61F73">
                <w:rPr>
                  <w:rStyle w:val="Hyperlink"/>
                  <w:rFonts w:ascii="Arial" w:hAnsi="Arial" w:cs="Arial"/>
                </w:rPr>
                <w:t>NSAIDs, GI symptoms and cardiovascular risk</w:t>
              </w:r>
            </w:hyperlink>
            <w:r w:rsidRPr="00D61F73">
              <w:rPr>
                <w:rFonts w:ascii="Arial" w:hAnsi="Arial" w:cs="Arial"/>
              </w:rPr>
              <w:t xml:space="preserve">; &amp; </w:t>
            </w:r>
            <w:hyperlink w:anchor="NSAIDshypertensionandrenalfunction" w:history="1">
              <w:r w:rsidRPr="00D61F73">
                <w:rPr>
                  <w:rStyle w:val="Hyperlink"/>
                  <w:rFonts w:ascii="Arial" w:hAnsi="Arial" w:cs="Arial"/>
                </w:rPr>
                <w:t>NSAIDs, hypertension and renal function</w:t>
              </w:r>
            </w:hyperlink>
            <w:r w:rsidRPr="00D61F73">
              <w:rPr>
                <w:rFonts w:ascii="Arial" w:hAnsi="Arial" w:cs="Arial"/>
              </w:rPr>
              <w:t>.</w:t>
            </w:r>
          </w:p>
          <w:p w14:paraId="1BEEBF5B" w14:textId="77777777" w:rsidR="0038137E" w:rsidRPr="00D61F73" w:rsidRDefault="0038137E" w:rsidP="00D61F73">
            <w:pPr>
              <w:rPr>
                <w:rFonts w:ascii="Arial" w:hAnsi="Arial" w:cs="Arial"/>
              </w:rPr>
            </w:pPr>
            <w:r w:rsidRPr="00D61F73">
              <w:rPr>
                <w:rFonts w:ascii="Arial" w:hAnsi="Arial" w:cs="Arial"/>
                <w:i/>
              </w:rPr>
              <w:t xml:space="preserve">Cost effectiveness: </w:t>
            </w:r>
            <w:r w:rsidRPr="00D61F73">
              <w:rPr>
                <w:rFonts w:ascii="Arial" w:hAnsi="Arial" w:cs="Arial"/>
              </w:rPr>
              <w:t>Current FDA-approved topical agents are approximately six to ten times more expensive than oral over-the-counter preparations. Savings may occur due to lack of serious adverse GI effects, and the lack of necessity of taking an ulcer-protection medication.</w:t>
            </w:r>
          </w:p>
          <w:p w14:paraId="312FBFFB" w14:textId="77777777" w:rsidR="0038137E" w:rsidRPr="00D61F73" w:rsidRDefault="0038137E" w:rsidP="00D61F73">
            <w:pPr>
              <w:keepNext/>
              <w:outlineLvl w:val="0"/>
              <w:rPr>
                <w:rFonts w:ascii="Arial" w:hAnsi="Arial" w:cs="Arial"/>
                <w:b/>
                <w:bCs/>
                <w:i/>
              </w:rPr>
            </w:pPr>
            <w:r w:rsidRPr="00D61F73">
              <w:rPr>
                <w:rFonts w:ascii="Arial" w:hAnsi="Arial" w:cs="Arial"/>
                <w:b/>
                <w:bCs/>
                <w:i/>
                <w:u w:val="single"/>
              </w:rPr>
              <w:lastRenderedPageBreak/>
              <w:t>Lidocaine</w:t>
            </w:r>
            <w:r w:rsidRPr="00D61F73">
              <w:rPr>
                <w:rFonts w:ascii="Arial" w:hAnsi="Arial" w:cs="Arial"/>
                <w:b/>
                <w:bCs/>
                <w:i/>
              </w:rPr>
              <w:t>:</w:t>
            </w:r>
            <w:r w:rsidRPr="00D61F73">
              <w:rPr>
                <w:rFonts w:ascii="Arial" w:hAnsi="Arial" w:cs="Arial"/>
                <w:bCs/>
              </w:rPr>
              <w:t xml:space="preserve"> Recommended for a trial if there is evidence of localized pain that is consistent with a neuropathic etiology. See </w:t>
            </w:r>
            <w:hyperlink w:anchor="CriteriaforuseofLidodermpatches" w:history="1">
              <w:r w:rsidRPr="00D61F73">
                <w:rPr>
                  <w:rStyle w:val="Hyperlink"/>
                  <w:rFonts w:ascii="Arial" w:hAnsi="Arial" w:cs="Arial"/>
                  <w:bCs/>
                </w:rPr>
                <w:t>Criteria for use</w:t>
              </w:r>
            </w:hyperlink>
            <w:r w:rsidRPr="00D61F73">
              <w:rPr>
                <w:rFonts w:ascii="Arial" w:hAnsi="Arial" w:cs="Arial"/>
                <w:bCs/>
              </w:rPr>
              <w:t xml:space="preserve"> below. Topical lidocaine, in the formulation of a dermal patch (Lidoderm</w:t>
            </w:r>
            <w:r w:rsidRPr="00D61F73">
              <w:rPr>
                <w:rFonts w:ascii="Arial" w:hAnsi="Arial" w:cs="Arial"/>
                <w:bCs/>
                <w:vertAlign w:val="superscript"/>
              </w:rPr>
              <w:t>®)</w:t>
            </w:r>
            <w:r w:rsidRPr="00D61F73">
              <w:rPr>
                <w:rFonts w:ascii="Arial" w:hAnsi="Arial" w:cs="Arial"/>
                <w:bCs/>
              </w:rPr>
              <w:t xml:space="preserve"> has been designated for orphan status by the FDA for neuropathic pain. Lidoderm is also used off-label for diabetic neuropathy. No other commercially approved topical formulations of lidocaine (whether creams, lotions or gels) are indicated for neuropathic pain. Further research is needed to recommend this treatment for chronic neuropathic pain disorders other than post-herpetic neuralgia. Formulations that do not involve a dermal-patch system are generally indicated as local anesthetics and anti-pruritics. In February 2007 the FDA notified consumers and healthcare professionals of the potential hazards of the use of topical lidocaine. Those at particular risk were individuals that applied large amounts of this substance over large areas, left the products on for long periods of time, or used the agent with occlusive dressings. Systemic exposure was highly variable among patients. Only FDA-approved products are currently recommended.</w:t>
            </w:r>
            <w:r w:rsidRPr="00D61F73">
              <w:rPr>
                <w:rFonts w:ascii="Arial" w:hAnsi="Arial" w:cs="Arial"/>
                <w:b/>
                <w:bCs/>
                <w:i/>
              </w:rPr>
              <w:t xml:space="preserve"> </w:t>
            </w:r>
          </w:p>
          <w:p w14:paraId="0FE4C353" w14:textId="77777777" w:rsidR="0038137E" w:rsidRPr="00D61F73" w:rsidRDefault="0038137E" w:rsidP="00D61F73">
            <w:pPr>
              <w:keepNext/>
              <w:outlineLvl w:val="0"/>
              <w:rPr>
                <w:rFonts w:ascii="Arial" w:hAnsi="Arial" w:cs="Arial"/>
                <w:bCs/>
              </w:rPr>
            </w:pPr>
            <w:r w:rsidRPr="00D61F73">
              <w:rPr>
                <w:rFonts w:ascii="Arial" w:hAnsi="Arial" w:cs="Arial"/>
                <w:i/>
                <w:u w:val="single"/>
              </w:rPr>
              <w:t>Indications</w:t>
            </w:r>
            <w:r w:rsidRPr="00D61F73">
              <w:rPr>
                <w:rFonts w:ascii="Arial" w:hAnsi="Arial" w:cs="Arial"/>
                <w:i/>
              </w:rPr>
              <w:t>:</w:t>
            </w:r>
            <w:r w:rsidRPr="00D61F73">
              <w:rPr>
                <w:rFonts w:ascii="Arial" w:hAnsi="Arial" w:cs="Arial"/>
                <w:b/>
                <w:bCs/>
                <w:i/>
              </w:rPr>
              <w:t xml:space="preserve"> </w:t>
            </w:r>
            <w:r w:rsidRPr="00D61F73">
              <w:rPr>
                <w:rFonts w:ascii="Arial" w:hAnsi="Arial" w:cs="Arial"/>
                <w:bCs/>
              </w:rPr>
              <w:t xml:space="preserve">Recommended for localized pain that is consistent with a neuropathic etiology after there has been evidence of a trial of first-line therapy (tri-cyclic or SNRI anti-depressants or an AED such as gabapentin or Lyrica). Topical lidocaine patches are generally not recommended for non-neuropathic pain (including osteoarthritis or myofascial pain/trigger points). See </w:t>
            </w:r>
            <w:hyperlink w:anchor="CriteriaforuseofLidodermpatches" w:history="1">
              <w:r w:rsidRPr="00D61F73">
                <w:rPr>
                  <w:rStyle w:val="Hyperlink"/>
                  <w:rFonts w:ascii="Arial" w:hAnsi="Arial" w:cs="Arial"/>
                  <w:bCs/>
                </w:rPr>
                <w:t>Criteria for use</w:t>
              </w:r>
            </w:hyperlink>
            <w:r w:rsidRPr="00D61F73">
              <w:rPr>
                <w:rFonts w:ascii="Arial" w:hAnsi="Arial" w:cs="Arial"/>
                <w:bCs/>
              </w:rPr>
              <w:t xml:space="preserve"> below. Most studies have utilized the Neuropathic Pain Scale (NPS) as measure of neuropathy when there are questions of whether this is the cause of pain. There is limited information as to long-term efficacy and continued information as to outcomes should be provided to allow for on-going use. (</w:t>
            </w:r>
            <w:hyperlink w:anchor="Argoff3" w:history="1">
              <w:r w:rsidRPr="00D61F73">
                <w:rPr>
                  <w:rStyle w:val="Hyperlink"/>
                  <w:rFonts w:ascii="Arial" w:hAnsi="Arial" w:cs="Arial"/>
                  <w:bCs/>
                </w:rPr>
                <w:t>Argoff, 2004</w:t>
              </w:r>
            </w:hyperlink>
            <w:r w:rsidRPr="00D61F73">
              <w:rPr>
                <w:rFonts w:ascii="Arial" w:hAnsi="Arial" w:cs="Arial"/>
                <w:bCs/>
              </w:rPr>
              <w:t>) (</w:t>
            </w:r>
            <w:hyperlink w:anchor="Galer2" w:history="1">
              <w:r w:rsidRPr="00D61F73">
                <w:rPr>
                  <w:rStyle w:val="Hyperlink"/>
                  <w:rFonts w:ascii="Arial" w:hAnsi="Arial" w:cs="Arial"/>
                  <w:bCs/>
                </w:rPr>
                <w:t>Galer, 2004</w:t>
              </w:r>
            </w:hyperlink>
            <w:r w:rsidRPr="00D61F73">
              <w:rPr>
                <w:rFonts w:ascii="Arial" w:hAnsi="Arial" w:cs="Arial"/>
                <w:bCs/>
              </w:rPr>
              <w:t>) (</w:t>
            </w:r>
            <w:hyperlink w:anchor="Argoff" w:history="1">
              <w:r w:rsidRPr="00D61F73">
                <w:rPr>
                  <w:rStyle w:val="Hyperlink"/>
                  <w:rFonts w:ascii="Arial" w:hAnsi="Arial" w:cs="Arial"/>
                  <w:bCs/>
                </w:rPr>
                <w:t>Argoff, 2006</w:t>
              </w:r>
            </w:hyperlink>
            <w:r w:rsidRPr="00D61F73">
              <w:rPr>
                <w:rFonts w:ascii="Arial" w:hAnsi="Arial" w:cs="Arial"/>
                <w:bCs/>
              </w:rPr>
              <w:t xml:space="preserve">) </w:t>
            </w:r>
            <w:r w:rsidRPr="00D61F73">
              <w:rPr>
                <w:rFonts w:ascii="Arial" w:hAnsi="Arial" w:cs="Arial"/>
              </w:rPr>
              <w:t>(</w:t>
            </w:r>
            <w:hyperlink w:anchor="Dworkin2" w:history="1">
              <w:r w:rsidRPr="00D61F73">
                <w:rPr>
                  <w:rStyle w:val="Hyperlink"/>
                  <w:rFonts w:ascii="Arial" w:hAnsi="Arial" w:cs="Arial"/>
                </w:rPr>
                <w:t>Dworkin, 2007</w:t>
              </w:r>
            </w:hyperlink>
            <w:r w:rsidRPr="00D61F73">
              <w:rPr>
                <w:rFonts w:ascii="Arial" w:hAnsi="Arial" w:cs="Arial"/>
              </w:rPr>
              <w:t>) (</w:t>
            </w:r>
            <w:hyperlink w:anchor="Khaliq" w:history="1">
              <w:r w:rsidRPr="00D61F73">
                <w:rPr>
                  <w:rStyle w:val="Hyperlink"/>
                  <w:rFonts w:ascii="Arial" w:hAnsi="Arial" w:cs="Arial"/>
                </w:rPr>
                <w:t>Khaliq-</w:t>
              </w:r>
              <w:r w:rsidRPr="00D61F73">
                <w:rPr>
                  <w:rStyle w:val="Hyperlink"/>
                  <w:rFonts w:ascii="Arial" w:hAnsi="Arial" w:cs="Arial"/>
                  <w:i/>
                  <w:iCs/>
                </w:rPr>
                <w:t>Cochrane</w:t>
              </w:r>
              <w:r w:rsidRPr="00D61F73">
                <w:rPr>
                  <w:rStyle w:val="Hyperlink"/>
                  <w:rFonts w:ascii="Arial" w:hAnsi="Arial" w:cs="Arial"/>
                </w:rPr>
                <w:t>, 2007</w:t>
              </w:r>
            </w:hyperlink>
            <w:r w:rsidRPr="00D61F73">
              <w:rPr>
                <w:rFonts w:ascii="Arial" w:hAnsi="Arial" w:cs="Arial"/>
              </w:rPr>
              <w:t>) (</w:t>
            </w:r>
            <w:hyperlink w:anchor="Knotkova" w:history="1">
              <w:r w:rsidRPr="00D61F73">
                <w:rPr>
                  <w:rStyle w:val="Hyperlink"/>
                  <w:rFonts w:ascii="Arial" w:hAnsi="Arial" w:cs="Arial"/>
                </w:rPr>
                <w:t>Knotkova, 2007</w:t>
              </w:r>
            </w:hyperlink>
            <w:r w:rsidRPr="00D61F73">
              <w:rPr>
                <w:rFonts w:ascii="Arial" w:hAnsi="Arial" w:cs="Arial"/>
              </w:rPr>
              <w:t>) (</w:t>
            </w:r>
            <w:hyperlink w:anchor="LexiComp" w:history="1">
              <w:r w:rsidRPr="00D61F73">
                <w:rPr>
                  <w:rStyle w:val="Hyperlink"/>
                  <w:rFonts w:ascii="Arial" w:hAnsi="Arial" w:cs="Arial"/>
                </w:rPr>
                <w:t>Lexi-Comp, 2008</w:t>
              </w:r>
            </w:hyperlink>
            <w:r w:rsidRPr="00D61F73">
              <w:rPr>
                <w:rFonts w:ascii="Arial" w:hAnsi="Arial" w:cs="Arial"/>
              </w:rPr>
              <w:t xml:space="preserve">) </w:t>
            </w:r>
            <w:r w:rsidRPr="00D61F73">
              <w:rPr>
                <w:rFonts w:ascii="Arial" w:hAnsi="Arial" w:cs="Arial"/>
                <w:bCs/>
              </w:rPr>
              <w:t>(</w:t>
            </w:r>
            <w:hyperlink w:anchor="Fishbain2" w:history="1">
              <w:r w:rsidRPr="00D61F73">
                <w:rPr>
                  <w:rStyle w:val="Hyperlink"/>
                  <w:rFonts w:ascii="Arial" w:hAnsi="Arial" w:cs="Arial"/>
                  <w:bCs/>
                </w:rPr>
                <w:t>Fishbain, 2006</w:t>
              </w:r>
            </w:hyperlink>
            <w:r w:rsidRPr="00D61F73">
              <w:rPr>
                <w:rFonts w:ascii="Arial" w:hAnsi="Arial" w:cs="Arial"/>
                <w:bCs/>
              </w:rPr>
              <w:t>) (</w:t>
            </w:r>
            <w:hyperlink w:anchor="Affaitati" w:history="1">
              <w:r w:rsidRPr="00D61F73">
                <w:rPr>
                  <w:rStyle w:val="Hyperlink"/>
                  <w:rFonts w:ascii="Arial" w:hAnsi="Arial" w:cs="Arial"/>
                  <w:bCs/>
                </w:rPr>
                <w:t>Affaitati, 2009</w:t>
              </w:r>
            </w:hyperlink>
            <w:r w:rsidRPr="00D61F73">
              <w:rPr>
                <w:rFonts w:ascii="Arial" w:hAnsi="Arial" w:cs="Arial"/>
                <w:bCs/>
              </w:rPr>
              <w:t>) (</w:t>
            </w:r>
            <w:hyperlink w:anchor="Burch2" w:history="1">
              <w:r w:rsidRPr="00D61F73">
                <w:rPr>
                  <w:rStyle w:val="Hyperlink"/>
                  <w:rFonts w:ascii="Arial" w:hAnsi="Arial" w:cs="Arial"/>
                  <w:bCs/>
                </w:rPr>
                <w:t>Burch, 2004</w:t>
              </w:r>
            </w:hyperlink>
            <w:r w:rsidRPr="00D61F73">
              <w:rPr>
                <w:rFonts w:ascii="Arial" w:hAnsi="Arial" w:cs="Arial"/>
                <w:bCs/>
              </w:rPr>
              <w:t>) (</w:t>
            </w:r>
            <w:hyperlink w:anchor="Gimbel" w:history="1">
              <w:r w:rsidRPr="00D61F73">
                <w:rPr>
                  <w:rStyle w:val="Hyperlink"/>
                  <w:rFonts w:ascii="Arial" w:hAnsi="Arial" w:cs="Arial"/>
                  <w:bCs/>
                </w:rPr>
                <w:t>Gimbel, 2005</w:t>
              </w:r>
            </w:hyperlink>
            <w:r w:rsidRPr="00D61F73">
              <w:rPr>
                <w:rFonts w:ascii="Arial" w:hAnsi="Arial" w:cs="Arial"/>
                <w:bCs/>
              </w:rPr>
              <w:t>) (</w:t>
            </w:r>
            <w:hyperlink w:anchor="Dworkin" w:history="1">
              <w:r w:rsidRPr="00D61F73">
                <w:rPr>
                  <w:rStyle w:val="Hyperlink"/>
                  <w:rFonts w:ascii="Arial" w:hAnsi="Arial" w:cs="Arial"/>
                  <w:bCs/>
                </w:rPr>
                <w:t>Dworkin, 2003</w:t>
              </w:r>
            </w:hyperlink>
            <w:r w:rsidRPr="00D61F73">
              <w:rPr>
                <w:rFonts w:ascii="Arial" w:hAnsi="Arial" w:cs="Arial"/>
                <w:bCs/>
              </w:rPr>
              <w:t>) (</w:t>
            </w:r>
            <w:hyperlink w:anchor="Finnerup" w:history="1">
              <w:r w:rsidRPr="00D61F73">
                <w:rPr>
                  <w:rStyle w:val="Hyperlink"/>
                  <w:rFonts w:ascii="Arial" w:hAnsi="Arial" w:cs="Arial"/>
                  <w:bCs/>
                </w:rPr>
                <w:t>Finnerup, 2005</w:t>
              </w:r>
            </w:hyperlink>
            <w:r w:rsidRPr="00D61F73">
              <w:rPr>
                <w:rFonts w:ascii="Arial" w:hAnsi="Arial" w:cs="Arial"/>
                <w:bCs/>
              </w:rPr>
              <w:t>) (</w:t>
            </w:r>
            <w:hyperlink w:anchor="OConnor" w:history="1">
              <w:r w:rsidRPr="00D61F73">
                <w:rPr>
                  <w:rStyle w:val="Hyperlink"/>
                  <w:rFonts w:ascii="Arial" w:hAnsi="Arial" w:cs="Arial"/>
                  <w:bCs/>
                </w:rPr>
                <w:t>O’Connor, 2009</w:t>
              </w:r>
            </w:hyperlink>
            <w:r w:rsidRPr="00D61F73">
              <w:rPr>
                <w:rFonts w:ascii="Arial" w:hAnsi="Arial" w:cs="Arial"/>
                <w:bCs/>
              </w:rPr>
              <w:t>) Discussion about specific details of these studies are given in detail with references.</w:t>
            </w:r>
          </w:p>
          <w:p w14:paraId="5625F109" w14:textId="77777777" w:rsidR="0038137E" w:rsidRPr="00D61F73" w:rsidRDefault="0038137E" w:rsidP="00D61F73">
            <w:pPr>
              <w:keepNext/>
              <w:outlineLvl w:val="0"/>
              <w:rPr>
                <w:rFonts w:ascii="Arial" w:hAnsi="Arial" w:cs="Arial"/>
                <w:bCs/>
              </w:rPr>
            </w:pPr>
            <w:r w:rsidRPr="00D61F73">
              <w:rPr>
                <w:rFonts w:ascii="Arial" w:hAnsi="Arial" w:cs="Arial"/>
                <w:bCs/>
                <w:u w:val="single"/>
              </w:rPr>
              <w:t>Trigger points &amp; myofascial pain</w:t>
            </w:r>
            <w:r w:rsidRPr="00D61F73">
              <w:rPr>
                <w:rFonts w:ascii="Arial" w:hAnsi="Arial" w:cs="Arial"/>
                <w:bCs/>
              </w:rPr>
              <w:t>: Not recommended. (</w:t>
            </w:r>
            <w:hyperlink w:anchor="Affaitati" w:history="1">
              <w:r w:rsidRPr="00D61F73">
                <w:rPr>
                  <w:rStyle w:val="Hyperlink"/>
                  <w:rFonts w:ascii="Arial" w:hAnsi="Arial" w:cs="Arial"/>
                  <w:bCs/>
                </w:rPr>
                <w:t>Affaitati, 2009</w:t>
              </w:r>
            </w:hyperlink>
            <w:r w:rsidRPr="00D61F73">
              <w:rPr>
                <w:rFonts w:ascii="Arial" w:hAnsi="Arial" w:cs="Arial"/>
                <w:bCs/>
              </w:rPr>
              <w:t>) (</w:t>
            </w:r>
            <w:hyperlink w:anchor="Dalpiaz" w:history="1">
              <w:r w:rsidRPr="00D61F73">
                <w:rPr>
                  <w:rStyle w:val="Hyperlink"/>
                  <w:rFonts w:ascii="Arial" w:hAnsi="Arial" w:cs="Arial"/>
                  <w:bCs/>
                </w:rPr>
                <w:t>Dalpaiz, 2004</w:t>
              </w:r>
            </w:hyperlink>
            <w:r w:rsidRPr="00D61F73">
              <w:rPr>
                <w:rFonts w:ascii="Arial" w:hAnsi="Arial" w:cs="Arial"/>
                <w:bCs/>
              </w:rPr>
              <w:t>)</w:t>
            </w:r>
          </w:p>
          <w:p w14:paraId="089CD4B8" w14:textId="4383EE1A" w:rsidR="0038137E" w:rsidRPr="00D61F73" w:rsidRDefault="0038137E" w:rsidP="00D61F73">
            <w:pPr>
              <w:rPr>
                <w:rFonts w:ascii="Arial" w:hAnsi="Arial" w:cs="Arial"/>
              </w:rPr>
            </w:pPr>
            <w:r w:rsidRPr="003A004B">
              <w:rPr>
                <w:rFonts w:ascii="Arial" w:hAnsi="Arial" w:cs="Arial"/>
                <w:strike/>
              </w:rPr>
              <w:t>See also MTUS chapters for recommendations on specific body parts.</w:t>
            </w:r>
            <w:r w:rsidR="00DF42F3" w:rsidRPr="00DF42F3">
              <w:rPr>
                <w:rFonts w:ascii="Arial" w:hAnsi="Arial" w:cs="Arial"/>
                <w:strike/>
              </w:rPr>
              <w:t xml:space="preserve"> </w:t>
            </w:r>
            <w:r w:rsidR="00DF42F3" w:rsidRPr="003A004B">
              <w:rPr>
                <w:rFonts w:ascii="Arial" w:hAnsi="Arial" w:cs="Arial"/>
                <w:u w:val="single"/>
              </w:rPr>
              <w:t xml:space="preserve">Refer to the relevant Clinical Topics </w:t>
            </w:r>
            <w:r w:rsidR="00950047" w:rsidRPr="003A004B">
              <w:rPr>
                <w:rFonts w:ascii="Arial" w:hAnsi="Arial" w:cs="Arial"/>
                <w:u w:val="single"/>
              </w:rPr>
              <w:t>chapter</w:t>
            </w:r>
            <w:r w:rsidR="00DF42F3" w:rsidRPr="003A004B">
              <w:rPr>
                <w:rFonts w:ascii="Arial" w:hAnsi="Arial" w:cs="Arial"/>
                <w:u w:val="single"/>
              </w:rPr>
              <w:t xml:space="preserve"> of the MTUS</w:t>
            </w:r>
            <w:r w:rsidR="00950047" w:rsidRPr="003A004B">
              <w:rPr>
                <w:rFonts w:ascii="Arial" w:hAnsi="Arial" w:cs="Arial"/>
                <w:u w:val="single"/>
              </w:rPr>
              <w:t xml:space="preserve"> for additional recommendations</w:t>
            </w:r>
            <w:r w:rsidR="00DF42F3" w:rsidRPr="003A004B">
              <w:rPr>
                <w:rFonts w:ascii="Arial" w:hAnsi="Arial" w:cs="Arial"/>
                <w:u w:val="single"/>
              </w:rPr>
              <w:t>.</w:t>
            </w:r>
          </w:p>
          <w:p w14:paraId="03994048" w14:textId="77777777" w:rsidR="0038137E" w:rsidRPr="00D61F73" w:rsidRDefault="0038137E" w:rsidP="00D61F73">
            <w:pPr>
              <w:keepNext/>
              <w:outlineLvl w:val="0"/>
              <w:rPr>
                <w:rFonts w:ascii="Arial" w:hAnsi="Arial" w:cs="Arial"/>
                <w:bCs/>
              </w:rPr>
            </w:pPr>
            <w:r w:rsidRPr="00D61F73">
              <w:rPr>
                <w:rFonts w:ascii="Arial" w:hAnsi="Arial" w:cs="Arial"/>
                <w:bCs/>
              </w:rPr>
              <w:t>The FDA has approved a lidocaine/ tetracaine cream (Pliaglis®) for local analgesia. This is only indicated for superficial aesthetic procedures, such as dermal filler injection, pulsed dye laser therapy, facial laser resurfacing, and laser-assisted tattoo removal. (</w:t>
            </w:r>
            <w:hyperlink r:id="rId166" w:history="1">
              <w:r w:rsidRPr="00D61F73">
                <w:rPr>
                  <w:rStyle w:val="Hyperlink"/>
                  <w:rFonts w:ascii="Arial" w:hAnsi="Arial" w:cs="Arial"/>
                  <w:bCs/>
                </w:rPr>
                <w:t>FDA, 2013</w:t>
              </w:r>
            </w:hyperlink>
            <w:r w:rsidRPr="00D61F73">
              <w:rPr>
                <w:rFonts w:ascii="Arial" w:hAnsi="Arial" w:cs="Arial"/>
                <w:bCs/>
              </w:rPr>
              <w:t>)</w:t>
            </w:r>
          </w:p>
          <w:p w14:paraId="2943CECB" w14:textId="77777777" w:rsidR="0038137E" w:rsidRPr="00D61F73" w:rsidRDefault="0038137E" w:rsidP="00D61F73">
            <w:pPr>
              <w:keepNext/>
              <w:outlineLvl w:val="0"/>
              <w:rPr>
                <w:rFonts w:ascii="Arial" w:hAnsi="Arial" w:cs="Arial"/>
                <w:b/>
              </w:rPr>
            </w:pPr>
            <w:r w:rsidRPr="00D61F73">
              <w:rPr>
                <w:rFonts w:ascii="Arial" w:hAnsi="Arial" w:cs="Arial"/>
                <w:b/>
              </w:rPr>
              <w:t>Criteria for use of Lidoderm patches:</w:t>
            </w:r>
          </w:p>
          <w:p w14:paraId="296103E9" w14:textId="77777777" w:rsidR="0038137E" w:rsidRPr="00D61F73" w:rsidRDefault="0038137E" w:rsidP="00D61F73">
            <w:pPr>
              <w:keepNext/>
              <w:outlineLvl w:val="0"/>
              <w:rPr>
                <w:rFonts w:ascii="Arial" w:hAnsi="Arial" w:cs="Arial"/>
                <w:bCs/>
              </w:rPr>
            </w:pPr>
            <w:r w:rsidRPr="00D61F73">
              <w:rPr>
                <w:rFonts w:ascii="Arial" w:hAnsi="Arial" w:cs="Arial"/>
                <w:bCs/>
              </w:rPr>
              <w:t xml:space="preserve">(a) Recommended for a trial if there is evidence of localized pain that is consistent with a neuropathic etiology. </w:t>
            </w:r>
          </w:p>
          <w:p w14:paraId="09DFC409" w14:textId="77777777" w:rsidR="0038137E" w:rsidRPr="00D61F73" w:rsidRDefault="0038137E" w:rsidP="00D61F73">
            <w:pPr>
              <w:keepNext/>
              <w:outlineLvl w:val="0"/>
              <w:rPr>
                <w:rFonts w:ascii="Arial" w:hAnsi="Arial" w:cs="Arial"/>
                <w:bCs/>
              </w:rPr>
            </w:pPr>
            <w:r w:rsidRPr="00D61F73">
              <w:rPr>
                <w:rFonts w:ascii="Arial" w:hAnsi="Arial" w:cs="Arial"/>
                <w:bCs/>
              </w:rPr>
              <w:t>(b) There should be evidence of a trial of first-line neuropathy medications (tri-cyclic or SNRI anti-depressants or an AED such as gabapentin or Lyrica).</w:t>
            </w:r>
          </w:p>
          <w:p w14:paraId="68703E32" w14:textId="77777777" w:rsidR="0038137E" w:rsidRPr="00D61F73" w:rsidRDefault="0038137E" w:rsidP="00D61F73">
            <w:pPr>
              <w:keepNext/>
              <w:outlineLvl w:val="0"/>
              <w:rPr>
                <w:rFonts w:ascii="Arial" w:hAnsi="Arial" w:cs="Arial"/>
                <w:bCs/>
              </w:rPr>
            </w:pPr>
            <w:r w:rsidRPr="00D61F73">
              <w:rPr>
                <w:rFonts w:ascii="Arial" w:hAnsi="Arial" w:cs="Arial"/>
                <w:bCs/>
              </w:rPr>
              <w:t>(c) This medication is not generally recommended for treatment of osteoarthritis or treatment of myofascial pain/trigger points.</w:t>
            </w:r>
          </w:p>
          <w:p w14:paraId="350EF575" w14:textId="77777777" w:rsidR="0038137E" w:rsidRPr="00D61F73" w:rsidRDefault="0038137E" w:rsidP="00D61F73">
            <w:pPr>
              <w:keepNext/>
              <w:outlineLvl w:val="0"/>
              <w:rPr>
                <w:rFonts w:ascii="Arial" w:hAnsi="Arial" w:cs="Arial"/>
                <w:bCs/>
              </w:rPr>
            </w:pPr>
            <w:r w:rsidRPr="00D61F73">
              <w:rPr>
                <w:rFonts w:ascii="Arial" w:hAnsi="Arial" w:cs="Arial"/>
                <w:bCs/>
              </w:rPr>
              <w:t xml:space="preserve">(d) An attempt to determine a neuropathic component of pain should be made if the plan is to apply this medication to areas of pain that are </w:t>
            </w:r>
            <w:r w:rsidRPr="00D61F73">
              <w:rPr>
                <w:rFonts w:ascii="Arial" w:hAnsi="Arial" w:cs="Arial"/>
                <w:bCs/>
              </w:rPr>
              <w:lastRenderedPageBreak/>
              <w:t>generally secondary to non-neuropathic mechanisms (such as the knee or isolated axial low back pain). One recognized method of testing is the use of the Neuropathic Pain Scale.</w:t>
            </w:r>
          </w:p>
          <w:p w14:paraId="19EB558F" w14:textId="77777777" w:rsidR="0038137E" w:rsidRPr="00D61F73" w:rsidRDefault="0038137E" w:rsidP="00D61F73">
            <w:pPr>
              <w:keepNext/>
              <w:outlineLvl w:val="0"/>
              <w:rPr>
                <w:rFonts w:ascii="Arial" w:hAnsi="Arial" w:cs="Arial"/>
                <w:bCs/>
              </w:rPr>
            </w:pPr>
            <w:r w:rsidRPr="00D61F73">
              <w:rPr>
                <w:rFonts w:ascii="Arial" w:hAnsi="Arial" w:cs="Arial"/>
                <w:bCs/>
              </w:rPr>
              <w:t>(e) The area for treatment should be designated as well as number of planned patches and duration for use (number of hours per day).</w:t>
            </w:r>
          </w:p>
          <w:p w14:paraId="743E106F" w14:textId="77777777" w:rsidR="0038137E" w:rsidRPr="00D61F73" w:rsidRDefault="0038137E" w:rsidP="00D61F73">
            <w:pPr>
              <w:keepNext/>
              <w:outlineLvl w:val="0"/>
              <w:rPr>
                <w:rFonts w:ascii="Arial" w:hAnsi="Arial" w:cs="Arial"/>
                <w:bCs/>
              </w:rPr>
            </w:pPr>
            <w:r w:rsidRPr="00D61F73">
              <w:rPr>
                <w:rFonts w:ascii="Arial" w:hAnsi="Arial" w:cs="Arial"/>
                <w:bCs/>
              </w:rPr>
              <w:t xml:space="preserve">(f) A Trial of patch treatment is recommended for a short-term period (no more than four weeks). </w:t>
            </w:r>
          </w:p>
          <w:p w14:paraId="0C096917" w14:textId="77777777" w:rsidR="0038137E" w:rsidRPr="00D61F73" w:rsidRDefault="0038137E" w:rsidP="00D61F73">
            <w:pPr>
              <w:keepNext/>
              <w:outlineLvl w:val="0"/>
              <w:rPr>
                <w:rFonts w:ascii="Arial" w:hAnsi="Arial" w:cs="Arial"/>
                <w:bCs/>
              </w:rPr>
            </w:pPr>
            <w:r w:rsidRPr="00D61F73">
              <w:rPr>
                <w:rFonts w:ascii="Arial" w:hAnsi="Arial" w:cs="Arial"/>
                <w:bCs/>
              </w:rPr>
              <w:t>(g) It is generally recommended that no other medication changes be made during the trial period.</w:t>
            </w:r>
          </w:p>
          <w:p w14:paraId="60114715" w14:textId="77777777" w:rsidR="0038137E" w:rsidRPr="00D61F73" w:rsidRDefault="0038137E" w:rsidP="00D61F73">
            <w:pPr>
              <w:keepNext/>
              <w:outlineLvl w:val="0"/>
              <w:rPr>
                <w:rFonts w:ascii="Arial" w:hAnsi="Arial" w:cs="Arial"/>
                <w:bCs/>
              </w:rPr>
            </w:pPr>
            <w:r w:rsidRPr="00D61F73">
              <w:rPr>
                <w:rFonts w:ascii="Arial" w:hAnsi="Arial" w:cs="Arial"/>
                <w:bCs/>
              </w:rPr>
              <w:t>(h) Outcomes should be reported at the end of the trial including improvements in pain and function, and decrease in the use of other medications. If improvements cannot be determined, the medication should be discontinued.</w:t>
            </w:r>
          </w:p>
          <w:p w14:paraId="11E0E585" w14:textId="77777777" w:rsidR="0038137E" w:rsidRPr="00D61F73" w:rsidRDefault="0038137E" w:rsidP="00D61F73">
            <w:pPr>
              <w:keepNext/>
              <w:outlineLvl w:val="0"/>
              <w:rPr>
                <w:rFonts w:ascii="Arial" w:hAnsi="Arial" w:cs="Arial"/>
                <w:bCs/>
              </w:rPr>
            </w:pPr>
            <w:r w:rsidRPr="00D61F73">
              <w:rPr>
                <w:rFonts w:ascii="Arial" w:hAnsi="Arial" w:cs="Arial"/>
                <w:bCs/>
              </w:rPr>
              <w:t>(i) Continued outcomes should be intermittently measured and if improvement does not continue, lidocaine patches should be discontinued.</w:t>
            </w:r>
          </w:p>
          <w:p w14:paraId="7BD1E093" w14:textId="77777777" w:rsidR="0038137E" w:rsidRPr="00D61F73" w:rsidRDefault="0038137E" w:rsidP="00D61F73">
            <w:pPr>
              <w:rPr>
                <w:rFonts w:ascii="Arial" w:hAnsi="Arial" w:cs="Arial"/>
                <w:b/>
                <w:bCs/>
                <w:i/>
                <w:u w:val="single"/>
              </w:rPr>
            </w:pPr>
            <w:r w:rsidRPr="00D61F73">
              <w:rPr>
                <w:rFonts w:ascii="Arial" w:hAnsi="Arial" w:cs="Arial"/>
                <w:b/>
                <w:bCs/>
                <w:i/>
                <w:u w:val="single"/>
              </w:rPr>
              <w:t>Capsaicin</w:t>
            </w:r>
            <w:r w:rsidRPr="00D61F73">
              <w:rPr>
                <w:rFonts w:ascii="Arial" w:hAnsi="Arial" w:cs="Arial"/>
                <w:b/>
                <w:bCs/>
                <w:i/>
              </w:rPr>
              <w:t>:</w:t>
            </w:r>
            <w:r w:rsidRPr="00D61F73">
              <w:rPr>
                <w:rFonts w:ascii="Arial" w:hAnsi="Arial" w:cs="Arial"/>
                <w:i/>
              </w:rPr>
              <w:t xml:space="preserve"> </w:t>
            </w:r>
            <w:r w:rsidRPr="00D61F73">
              <w:rPr>
                <w:rFonts w:ascii="Arial" w:hAnsi="Arial" w:cs="Arial"/>
              </w:rPr>
              <w:t xml:space="preserve">Recommended only as an option in patients who have not responded or are intolerant to other treatments. </w:t>
            </w:r>
            <w:r w:rsidRPr="00D61F73">
              <w:rPr>
                <w:rFonts w:ascii="Arial" w:hAnsi="Arial" w:cs="Arial"/>
                <w:i/>
              </w:rPr>
              <w:t xml:space="preserve">Formulations: </w:t>
            </w:r>
            <w:r w:rsidRPr="00D61F73">
              <w:rPr>
                <w:rFonts w:ascii="Arial" w:hAnsi="Arial" w:cs="Arial"/>
              </w:rPr>
              <w:t xml:space="preserve">Capsaicin is generally available as a 0.025% formulation (as a treatment for osteoarthritis) and a 0.075% formulation (primarily studied for post-herpetic neuralgia, diabetic neuropathy and post-mastectomy pain). There have been no studies of a 0.0375% formulation of capsaicin and there is no current indication that this increase over a 0.025% formulation would provide any further efficacy. </w:t>
            </w:r>
            <w:r w:rsidRPr="00D61F73">
              <w:rPr>
                <w:rFonts w:ascii="Arial" w:hAnsi="Arial" w:cs="Arial"/>
                <w:i/>
              </w:rPr>
              <w:t xml:space="preserve">Indications: </w:t>
            </w:r>
            <w:r w:rsidRPr="00D61F73">
              <w:rPr>
                <w:rFonts w:ascii="Arial" w:hAnsi="Arial" w:cs="Arial"/>
              </w:rPr>
              <w:t>There are positive randomized studies with capsaicin cream in patients with osteoarthritis, fibromyalgia, and chronic non-specific back pain, but it should be considered experimental in very high doses. Although topical capsaicin has moderate to poor efficacy, it may be particularly useful (alone or in conjunction with other modalities) in patients whose pain has not been controlled successfully with conventional therapy. The number needed to treat in musculoskeletal conditions was 8.1. The number needed to treat for neuropathic conditions was 5.7. (</w:t>
            </w:r>
            <w:hyperlink w:anchor="Robbins" w:history="1">
              <w:r w:rsidRPr="00D61F73">
                <w:rPr>
                  <w:rStyle w:val="Hyperlink"/>
                  <w:rFonts w:ascii="Arial" w:hAnsi="Arial" w:cs="Arial"/>
                </w:rPr>
                <w:t>Robbins, 2000</w:t>
              </w:r>
            </w:hyperlink>
            <w:r w:rsidRPr="00D61F73">
              <w:rPr>
                <w:rFonts w:ascii="Arial" w:hAnsi="Arial" w:cs="Arial"/>
              </w:rPr>
              <w:t>) (</w:t>
            </w:r>
            <w:hyperlink w:anchor="Keitel" w:history="1">
              <w:r w:rsidRPr="00D61F73">
                <w:rPr>
                  <w:rStyle w:val="Hyperlink"/>
                  <w:rFonts w:ascii="Arial" w:hAnsi="Arial" w:cs="Arial"/>
                </w:rPr>
                <w:t>Keitel, 2001</w:t>
              </w:r>
            </w:hyperlink>
            <w:r w:rsidRPr="00D61F73">
              <w:rPr>
                <w:rFonts w:ascii="Arial" w:hAnsi="Arial" w:cs="Arial"/>
              </w:rPr>
              <w:t>) (</w:t>
            </w:r>
            <w:hyperlink w:anchor="Mason2" w:history="1">
              <w:r w:rsidRPr="00D61F73">
                <w:rPr>
                  <w:rStyle w:val="Hyperlink"/>
                  <w:rFonts w:ascii="Arial" w:hAnsi="Arial" w:cs="Arial"/>
                </w:rPr>
                <w:t>Mason-</w:t>
              </w:r>
              <w:r w:rsidRPr="00D61F73">
                <w:rPr>
                  <w:rStyle w:val="Hyperlink"/>
                  <w:rFonts w:ascii="Arial" w:hAnsi="Arial" w:cs="Arial"/>
                  <w:i/>
                  <w:iCs/>
                </w:rPr>
                <w:t>BMJ</w:t>
              </w:r>
              <w:r w:rsidRPr="00D61F73">
                <w:rPr>
                  <w:rStyle w:val="Hyperlink"/>
                  <w:rFonts w:ascii="Arial" w:hAnsi="Arial" w:cs="Arial"/>
                </w:rPr>
                <w:t>, 2004</w:t>
              </w:r>
            </w:hyperlink>
            <w:r w:rsidRPr="00D61F73">
              <w:rPr>
                <w:rFonts w:ascii="Arial" w:hAnsi="Arial" w:cs="Arial"/>
              </w:rPr>
              <w:t>) Neither salicylates nor capsaicin have shown significant efficacy in the treatment of OA. (</w:t>
            </w:r>
            <w:hyperlink w:anchor="Altman2" w:history="1">
              <w:r w:rsidRPr="00D61F73">
                <w:rPr>
                  <w:rStyle w:val="Hyperlink"/>
                  <w:rFonts w:ascii="Arial" w:hAnsi="Arial" w:cs="Arial"/>
                </w:rPr>
                <w:t>Altman, 2009</w:t>
              </w:r>
            </w:hyperlink>
            <w:r w:rsidRPr="00D61F73">
              <w:rPr>
                <w:rFonts w:ascii="Arial" w:hAnsi="Arial" w:cs="Arial"/>
              </w:rPr>
              <w:t xml:space="preserve">) See also </w:t>
            </w:r>
            <w:hyperlink w:anchor="Capsaicin" w:history="1">
              <w:r w:rsidRPr="00D61F73">
                <w:rPr>
                  <w:rStyle w:val="Hyperlink"/>
                  <w:rFonts w:ascii="Arial" w:hAnsi="Arial" w:cs="Arial"/>
                </w:rPr>
                <w:t>Capsaicin</w:t>
              </w:r>
            </w:hyperlink>
            <w:r w:rsidRPr="00D61F73">
              <w:rPr>
                <w:rFonts w:ascii="Arial" w:hAnsi="Arial" w:cs="Arial"/>
              </w:rPr>
              <w:t>.</w:t>
            </w:r>
          </w:p>
          <w:p w14:paraId="3DA16F9F" w14:textId="77777777" w:rsidR="0038137E" w:rsidRPr="00D61F73" w:rsidRDefault="0038137E" w:rsidP="00D61F73">
            <w:pPr>
              <w:pStyle w:val="BodyText"/>
              <w:rPr>
                <w:rFonts w:ascii="Arial" w:hAnsi="Arial" w:cs="Arial"/>
                <w:b w:val="0"/>
              </w:rPr>
            </w:pPr>
            <w:r w:rsidRPr="00D61F73">
              <w:rPr>
                <w:rFonts w:ascii="Arial" w:hAnsi="Arial" w:cs="Arial"/>
                <w:i/>
                <w:u w:val="single"/>
              </w:rPr>
              <w:t>Baclofen</w:t>
            </w:r>
            <w:r w:rsidRPr="00D61F73">
              <w:rPr>
                <w:rFonts w:ascii="Arial" w:hAnsi="Arial" w:cs="Arial"/>
                <w:i/>
              </w:rPr>
              <w:t xml:space="preserve">: </w:t>
            </w:r>
            <w:r w:rsidRPr="00D61F73">
              <w:rPr>
                <w:rFonts w:ascii="Arial" w:hAnsi="Arial" w:cs="Arial"/>
                <w:b w:val="0"/>
              </w:rPr>
              <w:t>Not recommended. There is currently one Phase III study of Baclofen-Amitriptyline-Ketamine gel in cancer patients for treatment of chemotherapy-induced peripheral neuropathy. There is no peer-reviewed literature to support the use of topical baclofen.</w:t>
            </w:r>
          </w:p>
          <w:p w14:paraId="75440924" w14:textId="77777777" w:rsidR="0038137E" w:rsidRPr="00D61F73" w:rsidRDefault="0038137E" w:rsidP="00D61F73">
            <w:pPr>
              <w:pStyle w:val="BodyText"/>
              <w:rPr>
                <w:rFonts w:ascii="Arial" w:hAnsi="Arial" w:cs="Arial"/>
                <w:b w:val="0"/>
              </w:rPr>
            </w:pPr>
            <w:r w:rsidRPr="00D61F73">
              <w:rPr>
                <w:rFonts w:ascii="Arial" w:hAnsi="Arial" w:cs="Arial"/>
                <w:bCs w:val="0"/>
                <w:i/>
                <w:iCs/>
                <w:u w:val="single"/>
              </w:rPr>
              <w:t>Other muscle relaxants</w:t>
            </w:r>
            <w:r w:rsidRPr="00D61F73">
              <w:rPr>
                <w:rFonts w:ascii="Arial" w:hAnsi="Arial" w:cs="Arial"/>
                <w:bCs w:val="0"/>
                <w:i/>
                <w:iCs/>
              </w:rPr>
              <w:t>:</w:t>
            </w:r>
            <w:r w:rsidRPr="00D61F73">
              <w:rPr>
                <w:rFonts w:ascii="Arial" w:hAnsi="Arial" w:cs="Arial"/>
                <w:bCs w:val="0"/>
              </w:rPr>
              <w:t xml:space="preserve"> </w:t>
            </w:r>
            <w:r w:rsidRPr="00D61F73">
              <w:rPr>
                <w:rFonts w:ascii="Arial" w:hAnsi="Arial" w:cs="Arial"/>
                <w:b w:val="0"/>
              </w:rPr>
              <w:t>There is no evidence for use of any other muscle relaxant as a topical product.</w:t>
            </w:r>
          </w:p>
          <w:p w14:paraId="4E1F96E0" w14:textId="77777777" w:rsidR="0038137E" w:rsidRPr="00D61F73" w:rsidRDefault="0038137E" w:rsidP="00D61F73">
            <w:pPr>
              <w:pStyle w:val="BodyText"/>
              <w:rPr>
                <w:rFonts w:ascii="Arial" w:hAnsi="Arial" w:cs="Arial"/>
                <w:b w:val="0"/>
                <w:bCs w:val="0"/>
              </w:rPr>
            </w:pPr>
            <w:r w:rsidRPr="00D61F73">
              <w:rPr>
                <w:rFonts w:ascii="Arial" w:hAnsi="Arial" w:cs="Arial"/>
                <w:i/>
                <w:u w:val="single"/>
              </w:rPr>
              <w:t>Gabapentin</w:t>
            </w:r>
            <w:r w:rsidRPr="00D61F73">
              <w:rPr>
                <w:rFonts w:ascii="Arial" w:hAnsi="Arial" w:cs="Arial"/>
                <w:i/>
              </w:rPr>
              <w:t xml:space="preserve">: </w:t>
            </w:r>
            <w:r w:rsidRPr="00D61F73">
              <w:rPr>
                <w:rFonts w:ascii="Arial" w:hAnsi="Arial" w:cs="Arial"/>
                <w:b w:val="0"/>
                <w:bCs w:val="0"/>
              </w:rPr>
              <w:t>Not recommended. There is no peer-reviewed literature to support use.</w:t>
            </w:r>
          </w:p>
          <w:p w14:paraId="2CEBDF53" w14:textId="77777777" w:rsidR="0038137E" w:rsidRPr="00D61F73" w:rsidRDefault="0038137E" w:rsidP="00D61F73">
            <w:pPr>
              <w:pStyle w:val="BodyText"/>
              <w:rPr>
                <w:rFonts w:ascii="Arial" w:hAnsi="Arial" w:cs="Arial"/>
                <w:i/>
                <w:u w:val="single"/>
              </w:rPr>
            </w:pPr>
            <w:r w:rsidRPr="00D61F73">
              <w:rPr>
                <w:rFonts w:ascii="Arial" w:hAnsi="Arial" w:cs="Arial"/>
                <w:i/>
                <w:u w:val="single"/>
              </w:rPr>
              <w:t>Other antiepilepsy drugs</w:t>
            </w:r>
            <w:r w:rsidRPr="00D61F73">
              <w:rPr>
                <w:rFonts w:ascii="Arial" w:hAnsi="Arial" w:cs="Arial"/>
                <w:b w:val="0"/>
                <w:bCs w:val="0"/>
                <w:iCs/>
              </w:rPr>
              <w:t>: There is no evidence for use of any other antiepilepsy drug as a topical product.</w:t>
            </w:r>
          </w:p>
          <w:p w14:paraId="6FE345B9" w14:textId="77777777" w:rsidR="0038137E" w:rsidRPr="00D61F73" w:rsidRDefault="0038137E" w:rsidP="00D61F73">
            <w:pPr>
              <w:rPr>
                <w:rFonts w:ascii="Arial" w:hAnsi="Arial" w:cs="Arial"/>
              </w:rPr>
            </w:pPr>
            <w:r w:rsidRPr="00D61F73">
              <w:rPr>
                <w:rFonts w:ascii="Arial" w:hAnsi="Arial" w:cs="Arial"/>
                <w:b/>
                <w:i/>
                <w:u w:val="single"/>
              </w:rPr>
              <w:t>Ketamine</w:t>
            </w:r>
            <w:r w:rsidRPr="00D61F73">
              <w:rPr>
                <w:rFonts w:ascii="Arial" w:hAnsi="Arial" w:cs="Arial"/>
                <w:b/>
                <w:i/>
              </w:rPr>
              <w:t>:</w:t>
            </w:r>
            <w:r w:rsidRPr="00D61F73">
              <w:rPr>
                <w:rFonts w:ascii="Arial" w:hAnsi="Arial" w:cs="Arial"/>
                <w:bCs/>
                <w:i/>
              </w:rPr>
              <w:t xml:space="preserve"> </w:t>
            </w:r>
            <w:r w:rsidRPr="00D61F73">
              <w:rPr>
                <w:rFonts w:ascii="Arial" w:hAnsi="Arial" w:cs="Arial"/>
              </w:rPr>
              <w:t>Not recommended except for treatment of neuropathic pain in refractory cases in which all primary and secondary treatment has been exhausted. Topical ketamine has only been studied for use in non-controlled studies for CRPS I and post-herpetic neuralgia and both have shown encouraging results. The exact mechanism of action remains undetermined. (</w:t>
            </w:r>
            <w:hyperlink w:anchor="Gammaitoni" w:history="1">
              <w:r w:rsidRPr="00D61F73">
                <w:rPr>
                  <w:rStyle w:val="Hyperlink"/>
                  <w:rFonts w:ascii="Arial" w:hAnsi="Arial" w:cs="Arial"/>
                </w:rPr>
                <w:t>Gammaitoni, 2000</w:t>
              </w:r>
            </w:hyperlink>
            <w:r w:rsidRPr="00D61F73">
              <w:rPr>
                <w:rFonts w:ascii="Arial" w:hAnsi="Arial" w:cs="Arial"/>
              </w:rPr>
              <w:t>) (</w:t>
            </w:r>
            <w:hyperlink w:anchor="Lynch2" w:history="1">
              <w:r w:rsidRPr="00D61F73">
                <w:rPr>
                  <w:rStyle w:val="Hyperlink"/>
                  <w:rFonts w:ascii="Arial" w:hAnsi="Arial" w:cs="Arial"/>
                </w:rPr>
                <w:t>Lynch, 2005</w:t>
              </w:r>
            </w:hyperlink>
            <w:r w:rsidRPr="00D61F73">
              <w:rPr>
                <w:rFonts w:ascii="Arial" w:hAnsi="Arial" w:cs="Arial"/>
              </w:rPr>
              <w:t>)</w:t>
            </w:r>
          </w:p>
          <w:p w14:paraId="59FA184B" w14:textId="7CF6AA7D" w:rsidR="0038137E" w:rsidRPr="00D61F73" w:rsidRDefault="0038137E" w:rsidP="00402D57">
            <w:pPr>
              <w:pStyle w:val="Normal1"/>
              <w:framePr w:hSpace="0" w:wrap="auto" w:vAnchor="margin" w:hAnchor="text" w:yAlign="inline"/>
            </w:pPr>
            <w:r w:rsidRPr="00D61F73">
              <w:t xml:space="preserve">See also </w:t>
            </w:r>
            <w:hyperlink w:anchor="Salicylatetopicals" w:history="1">
              <w:r w:rsidRPr="00D61F73">
                <w:rPr>
                  <w:rStyle w:val="Hyperlink"/>
                </w:rPr>
                <w:t>Salicylate topicals</w:t>
              </w:r>
            </w:hyperlink>
            <w:r w:rsidRPr="00D61F73">
              <w:t xml:space="preserve">; &amp; </w:t>
            </w:r>
            <w:hyperlink w:anchor="Glucosamine" w:history="1">
              <w:r w:rsidRPr="00D61F73">
                <w:rPr>
                  <w:rStyle w:val="Hyperlink"/>
                </w:rPr>
                <w:t>Glucosamine</w:t>
              </w:r>
            </w:hyperlink>
            <w:r w:rsidRPr="00D61F73">
              <w:t xml:space="preserve"> (and Chondroitin Sulfate).</w:t>
            </w:r>
          </w:p>
        </w:tc>
      </w:tr>
      <w:tr w:rsidR="0038137E" w:rsidRPr="00D61F73" w14:paraId="3281F820" w14:textId="77777777" w:rsidTr="0038137E">
        <w:tc>
          <w:tcPr>
            <w:tcW w:w="1088" w:type="pct"/>
            <w:shd w:val="clear" w:color="auto" w:fill="auto"/>
          </w:tcPr>
          <w:p w14:paraId="39ED2989" w14:textId="1304068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w:t>
            </w:r>
            <w:bookmarkStart w:id="383" w:name="topicalanalgesicscompounded"/>
            <w:bookmarkEnd w:id="383"/>
            <w:r w:rsidRPr="00D61F73">
              <w:rPr>
                <w:rFonts w:ascii="Arial" w:hAnsi="Arial" w:cs="Arial"/>
              </w:rPr>
              <w:t>opical analgesics, compounded</w:t>
            </w:r>
          </w:p>
        </w:tc>
        <w:tc>
          <w:tcPr>
            <w:tcW w:w="3912" w:type="pct"/>
            <w:shd w:val="clear" w:color="auto" w:fill="auto"/>
          </w:tcPr>
          <w:p w14:paraId="3736A8D7" w14:textId="77777777" w:rsidR="0038137E" w:rsidRDefault="0038137E" w:rsidP="00402D57">
            <w:pPr>
              <w:pStyle w:val="Normal1"/>
              <w:framePr w:hSpace="0" w:wrap="auto" w:vAnchor="margin" w:hAnchor="text" w:yAlign="inline"/>
            </w:pPr>
            <w:r w:rsidRPr="00D61F73">
              <w:t xml:space="preserve">See </w:t>
            </w:r>
            <w:hyperlink w:anchor="Topicalanalgesics" w:history="1">
              <w:r w:rsidRPr="00D61F73">
                <w:rPr>
                  <w:rStyle w:val="Hyperlink"/>
                  <w:bCs w:val="0"/>
                </w:rPr>
                <w:t>Topical analgesics</w:t>
              </w:r>
            </w:hyperlink>
            <w:r w:rsidRPr="00D61F73">
              <w:t>, where it is explained that any compounded product that contains at least one drug (or drug class) that is not recommended is not recommended. The use of compounded agents requires knowledge of the specific analgesic effect of each agent and how it will be useful for the specific therapeutic goal required.</w:t>
            </w:r>
          </w:p>
          <w:p w14:paraId="44F2D27E" w14:textId="1DF766FD" w:rsidR="0038137E" w:rsidRPr="00D61F73" w:rsidRDefault="0038137E" w:rsidP="00D61F73">
            <w:pPr>
              <w:rPr>
                <w:rFonts w:ascii="Arial" w:hAnsi="Arial" w:cs="Arial"/>
              </w:rPr>
            </w:pPr>
          </w:p>
        </w:tc>
      </w:tr>
      <w:tr w:rsidR="0038137E" w:rsidRPr="00D61F73" w14:paraId="11D89B2C" w14:textId="77777777" w:rsidTr="0038137E">
        <w:tc>
          <w:tcPr>
            <w:tcW w:w="1088" w:type="pct"/>
            <w:shd w:val="clear" w:color="auto" w:fill="auto"/>
          </w:tcPr>
          <w:p w14:paraId="3F18C0FC" w14:textId="3B43DD8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Topical NSAIDs</w:t>
            </w:r>
          </w:p>
        </w:tc>
        <w:tc>
          <w:tcPr>
            <w:tcW w:w="3912" w:type="pct"/>
            <w:shd w:val="clear" w:color="auto" w:fill="auto"/>
          </w:tcPr>
          <w:p w14:paraId="33B069D3" w14:textId="46F80B09" w:rsidR="0038137E" w:rsidRPr="00D61F73" w:rsidRDefault="0038137E" w:rsidP="00402D57">
            <w:pPr>
              <w:pStyle w:val="Normal1"/>
              <w:framePr w:hSpace="0" w:wrap="auto" w:vAnchor="margin" w:hAnchor="text" w:yAlign="inline"/>
            </w:pPr>
            <w:r w:rsidRPr="00D61F73">
              <w:t xml:space="preserve">See </w:t>
            </w:r>
            <w:hyperlink w:anchor="Nonsteroidalantinflammatoryagents" w:history="1">
              <w:r w:rsidRPr="00D61F73">
                <w:rPr>
                  <w:rStyle w:val="Hyperlink"/>
                  <w:bCs w:val="0"/>
                </w:rPr>
                <w:t>Non-steroidal antinflammatory agents</w:t>
              </w:r>
            </w:hyperlink>
            <w:r w:rsidRPr="00D61F73">
              <w:t xml:space="preserve"> (NSAIDs) entry under </w:t>
            </w:r>
            <w:hyperlink w:anchor="Topicalanalgesics" w:history="1">
              <w:r w:rsidRPr="00D61F73">
                <w:rPr>
                  <w:rStyle w:val="Hyperlink"/>
                  <w:bCs w:val="0"/>
                </w:rPr>
                <w:t>Topical analgesics</w:t>
              </w:r>
            </w:hyperlink>
            <w:r w:rsidRPr="00D61F73">
              <w:t>.</w:t>
            </w:r>
          </w:p>
        </w:tc>
      </w:tr>
      <w:tr w:rsidR="0038137E" w:rsidRPr="00D61F73" w14:paraId="3B0F08C7" w14:textId="77777777" w:rsidTr="0038137E">
        <w:tc>
          <w:tcPr>
            <w:tcW w:w="1088" w:type="pct"/>
            <w:shd w:val="clear" w:color="auto" w:fill="auto"/>
          </w:tcPr>
          <w:p w14:paraId="3DC5A074" w14:textId="41DEC8E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84" w:name="Topiramate"/>
            <w:bookmarkEnd w:id="384"/>
            <w:r w:rsidRPr="00D61F73">
              <w:rPr>
                <w:rFonts w:ascii="Arial" w:hAnsi="Arial" w:cs="Arial"/>
              </w:rPr>
              <w:t>opiramate (Topamax®)</w:t>
            </w:r>
          </w:p>
        </w:tc>
        <w:tc>
          <w:tcPr>
            <w:tcW w:w="3912" w:type="pct"/>
            <w:shd w:val="clear" w:color="auto" w:fill="auto"/>
          </w:tcPr>
          <w:p w14:paraId="61A96831" w14:textId="169A45A4" w:rsidR="0038137E" w:rsidRPr="00D61F73" w:rsidRDefault="0038137E" w:rsidP="00402D57">
            <w:pPr>
              <w:pStyle w:val="Normal1"/>
              <w:framePr w:hSpace="0" w:wrap="auto" w:vAnchor="margin" w:hAnchor="text" w:yAlign="inline"/>
            </w:pPr>
            <w:r w:rsidRPr="00D61F73">
              <w:t xml:space="preserve">See </w:t>
            </w:r>
            <w:hyperlink w:anchor="Antiepilepsydrugs" w:history="1">
              <w:r w:rsidRPr="00D61F73">
                <w:rPr>
                  <w:rStyle w:val="Hyperlink"/>
                </w:rPr>
                <w:t>Anti-epilepsy drugs</w:t>
              </w:r>
            </w:hyperlink>
            <w:r w:rsidRPr="00D61F73">
              <w:t xml:space="preserve"> (AEDs) for general guidelines, as well as specific </w:t>
            </w:r>
            <w:hyperlink w:anchor="TopiramateListing" w:history="1">
              <w:r w:rsidRPr="00D61F73">
                <w:rPr>
                  <w:rStyle w:val="Hyperlink"/>
                </w:rPr>
                <w:t>Topiramate</w:t>
              </w:r>
            </w:hyperlink>
            <w:r w:rsidRPr="00D61F73">
              <w:t xml:space="preserve"> listing.</w:t>
            </w:r>
          </w:p>
        </w:tc>
      </w:tr>
      <w:tr w:rsidR="0038137E" w:rsidRPr="00D61F73" w14:paraId="3CE384C3" w14:textId="77777777" w:rsidTr="0038137E">
        <w:tc>
          <w:tcPr>
            <w:tcW w:w="1088" w:type="pct"/>
            <w:shd w:val="clear" w:color="auto" w:fill="auto"/>
          </w:tcPr>
          <w:p w14:paraId="4AD08020" w14:textId="786A4DA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Toradol</w:t>
            </w:r>
          </w:p>
        </w:tc>
        <w:tc>
          <w:tcPr>
            <w:tcW w:w="3912" w:type="pct"/>
            <w:shd w:val="clear" w:color="auto" w:fill="auto"/>
          </w:tcPr>
          <w:p w14:paraId="3BD0308E" w14:textId="238A70D7" w:rsidR="0038137E" w:rsidRPr="00D61F73" w:rsidRDefault="0038137E" w:rsidP="00D61F73">
            <w:pPr>
              <w:rPr>
                <w:rFonts w:ascii="Arial" w:hAnsi="Arial" w:cs="Arial"/>
              </w:rPr>
            </w:pPr>
            <w:r w:rsidRPr="00D61F73">
              <w:rPr>
                <w:rFonts w:ascii="Arial" w:hAnsi="Arial" w:cs="Arial"/>
              </w:rPr>
              <w:t xml:space="preserve">See </w:t>
            </w:r>
            <w:hyperlink w:anchor="Ketorolac" w:history="1">
              <w:r w:rsidRPr="00D61F73">
                <w:rPr>
                  <w:rStyle w:val="Hyperlink"/>
                  <w:rFonts w:ascii="Arial" w:hAnsi="Arial" w:cs="Arial"/>
                </w:rPr>
                <w:t>Ketorolac</w:t>
              </w:r>
            </w:hyperlink>
            <w:r w:rsidRPr="00D61F73">
              <w:rPr>
                <w:rFonts w:ascii="Arial" w:hAnsi="Arial" w:cs="Arial"/>
              </w:rPr>
              <w:t xml:space="preserve"> (Toradol®).</w:t>
            </w:r>
          </w:p>
        </w:tc>
      </w:tr>
      <w:tr w:rsidR="0038137E" w:rsidRPr="00D61F73" w14:paraId="1BB24877" w14:textId="77777777" w:rsidTr="0038137E">
        <w:tc>
          <w:tcPr>
            <w:tcW w:w="1088" w:type="pct"/>
            <w:shd w:val="clear" w:color="auto" w:fill="auto"/>
          </w:tcPr>
          <w:p w14:paraId="7F690A1F" w14:textId="143236C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Tramadol (Ultram®) </w:t>
            </w:r>
          </w:p>
        </w:tc>
        <w:tc>
          <w:tcPr>
            <w:tcW w:w="3912" w:type="pct"/>
            <w:shd w:val="clear" w:color="auto" w:fill="auto"/>
          </w:tcPr>
          <w:p w14:paraId="7BB64CEE" w14:textId="54BAD224" w:rsidR="0038137E" w:rsidRPr="00D61F73" w:rsidRDefault="0038137E" w:rsidP="00D61F73">
            <w:pPr>
              <w:rPr>
                <w:rFonts w:ascii="Arial" w:hAnsi="Arial" w:cs="Arial"/>
              </w:rPr>
            </w:pPr>
            <w:r w:rsidRPr="00D61F73">
              <w:rPr>
                <w:rFonts w:ascii="Arial" w:hAnsi="Arial" w:cs="Arial"/>
              </w:rPr>
              <w:t xml:space="preserve">See  MTUS Opioids Treatment Guidelines </w:t>
            </w:r>
            <w:r w:rsidRPr="00D61F73">
              <w:rPr>
                <w:rFonts w:ascii="Arial" w:hAnsi="Arial" w:cs="Arial"/>
                <w:bCs/>
              </w:rPr>
              <w:t xml:space="preserve">for general recommendations on the use of opioids. </w:t>
            </w:r>
            <w:r w:rsidRPr="00D61F73">
              <w:rPr>
                <w:rFonts w:ascii="Arial" w:hAnsi="Arial" w:cs="Arial"/>
              </w:rPr>
              <w:t>Tramadol is a centrally acting synthetic opioid analgesic and it provides inferior analgesia compared to a combination of Hydrocodone/ acetaminophen. (</w:t>
            </w:r>
            <w:hyperlink w:anchor="Turturro" w:history="1">
              <w:r w:rsidRPr="00D61F73">
                <w:rPr>
                  <w:rStyle w:val="Hyperlink"/>
                  <w:rFonts w:ascii="Arial" w:hAnsi="Arial" w:cs="Arial"/>
                  <w:u w:val="none"/>
                </w:rPr>
                <w:t>Turturro, 1998</w:t>
              </w:r>
            </w:hyperlink>
            <w:r w:rsidRPr="00D61F73">
              <w:rPr>
                <w:rFonts w:ascii="Arial" w:hAnsi="Arial" w:cs="Arial"/>
              </w:rPr>
              <w:t>) As of November 2013, Tramadol has been designated a Schedule IV controlled substance. (</w:t>
            </w:r>
            <w:hyperlink w:anchor="DEA2013tramadol" w:history="1">
              <w:r w:rsidRPr="00D61F73">
                <w:rPr>
                  <w:rStyle w:val="Hyperlink"/>
                  <w:rFonts w:ascii="Arial" w:hAnsi="Arial" w:cs="Arial"/>
                </w:rPr>
                <w:t>DEA, 2013</w:t>
              </w:r>
            </w:hyperlink>
            <w:r w:rsidRPr="00D61F73">
              <w:rPr>
                <w:rFonts w:ascii="Arial" w:hAnsi="Arial" w:cs="Arial"/>
              </w:rPr>
              <w:t>) Tramadol has unreliable analgesic activity and potential side effects such as serotonin syndrome. (</w:t>
            </w:r>
            <w:hyperlink w:anchor="Ray2013" w:history="1">
              <w:r w:rsidRPr="00D61F73">
                <w:rPr>
                  <w:rStyle w:val="Hyperlink"/>
                  <w:rFonts w:ascii="Arial" w:hAnsi="Arial" w:cs="Arial"/>
                  <w:u w:val="none"/>
                </w:rPr>
                <w:t>Ray, 2013</w:t>
              </w:r>
            </w:hyperlink>
            <w:r w:rsidRPr="00D61F73">
              <w:rPr>
                <w:rFonts w:ascii="Arial" w:hAnsi="Arial" w:cs="Arial"/>
              </w:rPr>
              <w:t>)</w:t>
            </w:r>
          </w:p>
        </w:tc>
      </w:tr>
      <w:tr w:rsidR="0038137E" w:rsidRPr="00D61F73" w14:paraId="1B695BAE" w14:textId="77777777" w:rsidTr="0038137E">
        <w:tc>
          <w:tcPr>
            <w:tcW w:w="1088" w:type="pct"/>
            <w:shd w:val="clear" w:color="auto" w:fill="auto"/>
          </w:tcPr>
          <w:p w14:paraId="2192B667" w14:textId="081118C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Tramadol/Acetamin-ophen (Ultracet®)</w:t>
            </w:r>
          </w:p>
        </w:tc>
        <w:tc>
          <w:tcPr>
            <w:tcW w:w="3912" w:type="pct"/>
            <w:shd w:val="clear" w:color="auto" w:fill="auto"/>
          </w:tcPr>
          <w:p w14:paraId="146C579A" w14:textId="48E2A3DA" w:rsidR="0038137E" w:rsidRPr="00D61F73" w:rsidRDefault="0038137E" w:rsidP="00D61F73">
            <w:pPr>
              <w:rPr>
                <w:rFonts w:ascii="Arial" w:hAnsi="Arial" w:cs="Arial"/>
                <w:u w:val="single"/>
              </w:rPr>
            </w:pPr>
            <w:r w:rsidRPr="00D61F73">
              <w:rPr>
                <w:rFonts w:ascii="Arial" w:hAnsi="Arial" w:cs="Arial"/>
              </w:rPr>
              <w:t xml:space="preserve">See specific </w:t>
            </w:r>
            <w:hyperlink w:anchor="TramadolAcetaminophenListing" w:history="1">
              <w:r w:rsidRPr="00D61F73">
                <w:rPr>
                  <w:rStyle w:val="Hyperlink"/>
                  <w:rFonts w:ascii="Arial" w:hAnsi="Arial" w:cs="Arial"/>
                  <w:u w:val="none"/>
                </w:rPr>
                <w:t>Tramadol/Acetaminophen</w:t>
              </w:r>
            </w:hyperlink>
            <w:r w:rsidRPr="00D61F73">
              <w:rPr>
                <w:rFonts w:ascii="Arial" w:hAnsi="Arial" w:cs="Arial"/>
              </w:rPr>
              <w:t xml:space="preserve"> (Ultracet®) listing for more information and references.</w:t>
            </w:r>
          </w:p>
        </w:tc>
      </w:tr>
      <w:tr w:rsidR="0038137E" w:rsidRPr="00D61F73" w14:paraId="3A505576" w14:textId="77777777" w:rsidTr="0038137E">
        <w:tc>
          <w:tcPr>
            <w:tcW w:w="1088" w:type="pct"/>
            <w:shd w:val="clear" w:color="auto" w:fill="auto"/>
          </w:tcPr>
          <w:p w14:paraId="33EEE68C" w14:textId="08A5EC7B"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Transcutaneous electrical nerve stimulation (TENS)</w:t>
            </w:r>
          </w:p>
        </w:tc>
        <w:tc>
          <w:tcPr>
            <w:tcW w:w="3912" w:type="pct"/>
            <w:shd w:val="clear" w:color="auto" w:fill="auto"/>
          </w:tcPr>
          <w:p w14:paraId="6F0F5582" w14:textId="65CC74DF" w:rsidR="0038137E" w:rsidRPr="00D61F73" w:rsidRDefault="0038137E" w:rsidP="00D61F73">
            <w:pPr>
              <w:rPr>
                <w:rFonts w:ascii="Arial" w:hAnsi="Arial" w:cs="Arial"/>
              </w:rPr>
            </w:pPr>
            <w:r w:rsidRPr="00D61F73">
              <w:rPr>
                <w:rFonts w:ascii="Arial" w:hAnsi="Arial" w:cs="Arial"/>
              </w:rPr>
              <w:t xml:space="preserve">See </w:t>
            </w:r>
            <w:hyperlink w:anchor="TENSchronicpain" w:history="1">
              <w:r w:rsidRPr="00D61F73">
                <w:rPr>
                  <w:rStyle w:val="Hyperlink"/>
                  <w:rFonts w:ascii="Arial" w:hAnsi="Arial" w:cs="Arial"/>
                </w:rPr>
                <w:t>TENS, chronic pain</w:t>
              </w:r>
            </w:hyperlink>
            <w:r w:rsidRPr="00D61F73">
              <w:rPr>
                <w:rFonts w:ascii="Arial" w:hAnsi="Arial" w:cs="Arial"/>
              </w:rPr>
              <w:t xml:space="preserve"> (transcutaneous electrical nerve stimulation); &amp; </w:t>
            </w:r>
            <w:hyperlink w:anchor="TENSpostoperativepain" w:history="1">
              <w:r w:rsidRPr="00D61F73">
                <w:rPr>
                  <w:rStyle w:val="Hyperlink"/>
                  <w:rFonts w:ascii="Arial" w:hAnsi="Arial" w:cs="Arial"/>
                </w:rPr>
                <w:t>TENS, post operative pain</w:t>
              </w:r>
            </w:hyperlink>
            <w:r w:rsidRPr="00D61F73">
              <w:rPr>
                <w:rFonts w:ascii="Arial" w:hAnsi="Arial" w:cs="Arial"/>
              </w:rPr>
              <w:t xml:space="preserve"> (transcutaneous electrical nerve stimulation).</w:t>
            </w:r>
          </w:p>
        </w:tc>
      </w:tr>
      <w:tr w:rsidR="0038137E" w:rsidRPr="00D61F73" w14:paraId="4272AAAC" w14:textId="77777777" w:rsidTr="0038137E">
        <w:tc>
          <w:tcPr>
            <w:tcW w:w="1088" w:type="pct"/>
            <w:shd w:val="clear" w:color="auto" w:fill="auto"/>
          </w:tcPr>
          <w:p w14:paraId="36EB65D0" w14:textId="71AE7F8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Transcutaneous electrotherapy</w:t>
            </w:r>
          </w:p>
        </w:tc>
        <w:tc>
          <w:tcPr>
            <w:tcW w:w="3912" w:type="pct"/>
            <w:shd w:val="clear" w:color="auto" w:fill="auto"/>
          </w:tcPr>
          <w:p w14:paraId="45CBF305" w14:textId="77777777" w:rsidR="0038137E" w:rsidRPr="00D61F73" w:rsidRDefault="0038137E" w:rsidP="00D61F73">
            <w:pPr>
              <w:rPr>
                <w:rFonts w:ascii="Arial" w:hAnsi="Arial" w:cs="Arial"/>
              </w:rPr>
            </w:pPr>
            <w:r w:rsidRPr="00D61F73">
              <w:rPr>
                <w:rFonts w:ascii="Arial" w:hAnsi="Arial" w:cs="Arial"/>
              </w:rPr>
              <w:t xml:space="preserve">See </w:t>
            </w:r>
            <w:hyperlink w:anchor="Electroceuticaltherapy" w:history="1">
              <w:r w:rsidRPr="00D61F73">
                <w:rPr>
                  <w:rStyle w:val="Hyperlink"/>
                  <w:rFonts w:ascii="Arial" w:hAnsi="Arial" w:cs="Arial"/>
                </w:rPr>
                <w:t>Electroceutical therapy</w:t>
              </w:r>
            </w:hyperlink>
            <w:r w:rsidRPr="00D61F73">
              <w:rPr>
                <w:rFonts w:ascii="Arial" w:hAnsi="Arial" w:cs="Arial"/>
              </w:rPr>
              <w:t xml:space="preserve"> (bioelectric nerve block); </w:t>
            </w:r>
            <w:hyperlink w:anchor="Galvanicstimulation" w:history="1">
              <w:r w:rsidRPr="00D61F73">
                <w:rPr>
                  <w:rStyle w:val="Hyperlink"/>
                  <w:rFonts w:ascii="Arial" w:hAnsi="Arial" w:cs="Arial"/>
                </w:rPr>
                <w:t>Galvanic stimulation</w:t>
              </w:r>
            </w:hyperlink>
            <w:r w:rsidRPr="00D61F73">
              <w:rPr>
                <w:rFonts w:ascii="Arial" w:hAnsi="Arial" w:cs="Arial"/>
              </w:rPr>
              <w:t xml:space="preserve">; </w:t>
            </w:r>
          </w:p>
          <w:p w14:paraId="7FAD9D26" w14:textId="25570621" w:rsidR="0038137E" w:rsidRPr="00D61F73" w:rsidRDefault="00751163" w:rsidP="00D61F73">
            <w:pPr>
              <w:rPr>
                <w:rFonts w:ascii="Arial" w:hAnsi="Arial" w:cs="Arial"/>
              </w:rPr>
            </w:pPr>
            <w:hyperlink w:anchor="Hwave" w:history="1">
              <w:r w:rsidR="0038137E" w:rsidRPr="00D61F73">
                <w:rPr>
                  <w:rStyle w:val="Hyperlink"/>
                  <w:rFonts w:ascii="Arial" w:hAnsi="Arial" w:cs="Arial"/>
                </w:rPr>
                <w:t>H-wave stimulation</w:t>
              </w:r>
            </w:hyperlink>
            <w:r w:rsidR="0038137E" w:rsidRPr="00D61F73">
              <w:rPr>
                <w:rFonts w:ascii="Arial" w:hAnsi="Arial" w:cs="Arial"/>
              </w:rPr>
              <w:t xml:space="preserve"> (devices); </w:t>
            </w:r>
            <w:hyperlink w:anchor="Interferentialcurrentstimulation" w:history="1">
              <w:r w:rsidR="0038137E" w:rsidRPr="00D61F73">
                <w:rPr>
                  <w:rStyle w:val="Hyperlink"/>
                  <w:rFonts w:ascii="Arial" w:hAnsi="Arial" w:cs="Arial"/>
                </w:rPr>
                <w:t>Interferential current stimulation</w:t>
              </w:r>
            </w:hyperlink>
            <w:r w:rsidR="0038137E" w:rsidRPr="00D61F73">
              <w:rPr>
                <w:rFonts w:ascii="Arial" w:hAnsi="Arial" w:cs="Arial"/>
              </w:rPr>
              <w:t xml:space="preserve"> (ICS); </w:t>
            </w:r>
            <w:hyperlink w:anchor="Microcurrentelectricalstimulation" w:history="1">
              <w:r w:rsidR="0038137E" w:rsidRPr="00D61F73">
                <w:rPr>
                  <w:rStyle w:val="Hyperlink"/>
                  <w:rFonts w:ascii="Arial" w:hAnsi="Arial" w:cs="Arial"/>
                </w:rPr>
                <w:t>Microcurrent electrical stimulation</w:t>
              </w:r>
            </w:hyperlink>
            <w:r w:rsidR="0038137E" w:rsidRPr="00D61F73">
              <w:rPr>
                <w:rFonts w:ascii="Arial" w:hAnsi="Arial" w:cs="Arial"/>
              </w:rPr>
              <w:t xml:space="preserve"> (MENS devices); </w:t>
            </w:r>
            <w:hyperlink w:anchor="RS4isequentialstimulator" w:history="1">
              <w:r w:rsidR="0038137E" w:rsidRPr="00D61F73">
                <w:rPr>
                  <w:rStyle w:val="Hyperlink"/>
                  <w:rFonts w:ascii="Arial" w:hAnsi="Arial" w:cs="Arial"/>
                </w:rPr>
                <w:t>RS-4i sequential stimulator</w:t>
              </w:r>
            </w:hyperlink>
            <w:r w:rsidR="0038137E" w:rsidRPr="00D61F73">
              <w:rPr>
                <w:rFonts w:ascii="Arial" w:hAnsi="Arial" w:cs="Arial"/>
              </w:rPr>
              <w:t xml:space="preserve">; </w:t>
            </w:r>
            <w:hyperlink w:anchor="Sympathetictherapy" w:history="1">
              <w:r w:rsidR="0038137E" w:rsidRPr="00D61F73">
                <w:rPr>
                  <w:rStyle w:val="Hyperlink"/>
                  <w:rFonts w:ascii="Arial" w:hAnsi="Arial" w:cs="Arial"/>
                </w:rPr>
                <w:t>Sympathetic therapy</w:t>
              </w:r>
            </w:hyperlink>
            <w:r w:rsidR="0038137E" w:rsidRPr="00D61F73">
              <w:rPr>
                <w:rFonts w:ascii="Arial" w:hAnsi="Arial" w:cs="Arial"/>
              </w:rPr>
              <w:t xml:space="preserve">; </w:t>
            </w:r>
            <w:hyperlink w:anchor="TENSchronicpain" w:history="1">
              <w:r w:rsidR="0038137E" w:rsidRPr="00D61F73">
                <w:rPr>
                  <w:rStyle w:val="Hyperlink"/>
                  <w:rFonts w:ascii="Arial" w:hAnsi="Arial" w:cs="Arial"/>
                </w:rPr>
                <w:t>TENS, chronic pain</w:t>
              </w:r>
            </w:hyperlink>
            <w:r w:rsidR="0038137E" w:rsidRPr="00D61F73">
              <w:rPr>
                <w:rFonts w:ascii="Arial" w:hAnsi="Arial" w:cs="Arial"/>
              </w:rPr>
              <w:t xml:space="preserve"> (transcutaneous electrical nerve stimulation); &amp; </w:t>
            </w:r>
            <w:hyperlink w:anchor="TENSpostoperativepain" w:history="1">
              <w:r w:rsidR="0038137E" w:rsidRPr="00D61F73">
                <w:rPr>
                  <w:rStyle w:val="Hyperlink"/>
                  <w:rFonts w:ascii="Arial" w:hAnsi="Arial" w:cs="Arial"/>
                </w:rPr>
                <w:t>TENS, post operative pain</w:t>
              </w:r>
            </w:hyperlink>
            <w:r w:rsidR="0038137E" w:rsidRPr="00D61F73">
              <w:rPr>
                <w:rFonts w:ascii="Arial" w:hAnsi="Arial" w:cs="Arial"/>
              </w:rPr>
              <w:t xml:space="preserve"> (transcutaneous electrical nerve stimulation).</w:t>
            </w:r>
          </w:p>
        </w:tc>
      </w:tr>
      <w:tr w:rsidR="0038137E" w:rsidRPr="00D61F73" w14:paraId="78D1B317" w14:textId="77777777" w:rsidTr="0038137E">
        <w:tc>
          <w:tcPr>
            <w:tcW w:w="1088" w:type="pct"/>
            <w:shd w:val="clear" w:color="auto" w:fill="auto"/>
          </w:tcPr>
          <w:p w14:paraId="440A69AB" w14:textId="49D265E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Treatment for CRPS</w:t>
            </w:r>
          </w:p>
        </w:tc>
        <w:tc>
          <w:tcPr>
            <w:tcW w:w="3912" w:type="pct"/>
            <w:shd w:val="clear" w:color="auto" w:fill="auto"/>
          </w:tcPr>
          <w:p w14:paraId="1E749054" w14:textId="3539B799" w:rsidR="0038137E" w:rsidRPr="00D61F73" w:rsidRDefault="0038137E" w:rsidP="00D61F73">
            <w:pPr>
              <w:rPr>
                <w:rFonts w:ascii="Arial" w:hAnsi="Arial" w:cs="Arial"/>
              </w:rPr>
            </w:pPr>
            <w:r w:rsidRPr="00D61F73">
              <w:rPr>
                <w:rFonts w:ascii="Arial" w:hAnsi="Arial" w:cs="Arial"/>
              </w:rPr>
              <w:t xml:space="preserve">See </w:t>
            </w:r>
            <w:hyperlink w:anchor="CRPStreatment" w:history="1">
              <w:r w:rsidRPr="00D61F73">
                <w:rPr>
                  <w:rStyle w:val="Hyperlink"/>
                  <w:rFonts w:ascii="Arial" w:hAnsi="Arial" w:cs="Arial"/>
                </w:rPr>
                <w:t>CRPS, treatment</w:t>
              </w:r>
            </w:hyperlink>
            <w:r w:rsidRPr="00D61F73">
              <w:rPr>
                <w:rFonts w:ascii="Arial" w:hAnsi="Arial" w:cs="Arial"/>
              </w:rPr>
              <w:t xml:space="preserve">. </w:t>
            </w:r>
          </w:p>
        </w:tc>
      </w:tr>
      <w:tr w:rsidR="0038137E" w:rsidRPr="00D61F73" w14:paraId="17CD815C" w14:textId="77777777" w:rsidTr="0038137E">
        <w:tc>
          <w:tcPr>
            <w:tcW w:w="1088" w:type="pct"/>
            <w:shd w:val="clear" w:color="auto" w:fill="auto"/>
          </w:tcPr>
          <w:p w14:paraId="1FD06BA0" w14:textId="16738DE6"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Trepadone™ </w:t>
            </w:r>
          </w:p>
        </w:tc>
        <w:tc>
          <w:tcPr>
            <w:tcW w:w="3912" w:type="pct"/>
            <w:shd w:val="clear" w:color="auto" w:fill="auto"/>
          </w:tcPr>
          <w:p w14:paraId="19BD8CC1" w14:textId="334BFADA" w:rsidR="0038137E" w:rsidRPr="00D61F73" w:rsidRDefault="0038137E" w:rsidP="00D61F73">
            <w:pPr>
              <w:rPr>
                <w:rFonts w:ascii="Arial" w:hAnsi="Arial" w:cs="Arial"/>
              </w:rPr>
            </w:pPr>
            <w:r w:rsidRPr="00D61F73">
              <w:rPr>
                <w:rFonts w:ascii="Arial" w:hAnsi="Arial" w:cs="Arial"/>
              </w:rPr>
              <w:t xml:space="preserve">Trepadone™ is not recommended for the treatment of chronic pain. It is a medical food that is a proprietary blend of L-arginine, L-glutamine, choline bitartrate, L-serine and gammaaminobutyricacid [GABA]. See </w:t>
            </w:r>
            <w:hyperlink w:anchor="Medicalfood" w:history="1">
              <w:r w:rsidRPr="00D61F73">
                <w:rPr>
                  <w:rStyle w:val="Hyperlink"/>
                  <w:rFonts w:ascii="Arial" w:hAnsi="Arial" w:cs="Arial"/>
                </w:rPr>
                <w:t>Medical food</w:t>
              </w:r>
            </w:hyperlink>
            <w:r w:rsidRPr="00D61F73">
              <w:rPr>
                <w:rStyle w:val="Hyperlink"/>
                <w:rFonts w:ascii="Arial" w:hAnsi="Arial" w:cs="Arial"/>
              </w:rPr>
              <w:t>s</w:t>
            </w:r>
            <w:r w:rsidRPr="00D61F73">
              <w:rPr>
                <w:rFonts w:ascii="Arial" w:hAnsi="Arial" w:cs="Arial"/>
              </w:rPr>
              <w:t>.</w:t>
            </w:r>
          </w:p>
        </w:tc>
      </w:tr>
      <w:tr w:rsidR="0038137E" w:rsidRPr="00D61F73" w14:paraId="4527BD2A" w14:textId="77777777" w:rsidTr="0038137E">
        <w:tc>
          <w:tcPr>
            <w:tcW w:w="1088" w:type="pct"/>
            <w:shd w:val="clear" w:color="auto" w:fill="auto"/>
          </w:tcPr>
          <w:p w14:paraId="41E87792" w14:textId="1EDB334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85" w:name="Triazolam"/>
            <w:bookmarkEnd w:id="385"/>
            <w:r w:rsidRPr="00D61F73">
              <w:rPr>
                <w:rFonts w:ascii="Arial" w:hAnsi="Arial" w:cs="Arial"/>
              </w:rPr>
              <w:t>riazolam</w:t>
            </w:r>
          </w:p>
        </w:tc>
        <w:tc>
          <w:tcPr>
            <w:tcW w:w="3912" w:type="pct"/>
            <w:shd w:val="clear" w:color="auto" w:fill="auto"/>
          </w:tcPr>
          <w:p w14:paraId="0E3FEB04" w14:textId="1DCE9CA2" w:rsidR="0038137E" w:rsidRPr="00D61F73" w:rsidRDefault="0038137E" w:rsidP="00D61F73">
            <w:pPr>
              <w:rPr>
                <w:rFonts w:ascii="Arial" w:hAnsi="Arial" w:cs="Arial"/>
              </w:rPr>
            </w:pPr>
            <w:r w:rsidRPr="00D61F73">
              <w:rPr>
                <w:rFonts w:ascii="Arial" w:hAnsi="Arial" w:cs="Arial"/>
              </w:rPr>
              <w:t xml:space="preserve">Not recommended. 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38137E" w:rsidRPr="00D61F73" w14:paraId="01FF95E4" w14:textId="77777777" w:rsidTr="0038137E">
        <w:tc>
          <w:tcPr>
            <w:tcW w:w="1088" w:type="pct"/>
            <w:shd w:val="clear" w:color="auto" w:fill="auto"/>
          </w:tcPr>
          <w:p w14:paraId="2090BD64" w14:textId="0899481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Tricyclics</w:t>
            </w:r>
          </w:p>
        </w:tc>
        <w:tc>
          <w:tcPr>
            <w:tcW w:w="3912" w:type="pct"/>
            <w:shd w:val="clear" w:color="auto" w:fill="auto"/>
          </w:tcPr>
          <w:p w14:paraId="6BBE6397" w14:textId="5C32D947" w:rsidR="0038137E" w:rsidRPr="00D61F73" w:rsidRDefault="0038137E" w:rsidP="00D61F73">
            <w:pPr>
              <w:rPr>
                <w:rFonts w:ascii="Arial" w:hAnsi="Arial" w:cs="Arial"/>
              </w:rPr>
            </w:pPr>
            <w:r w:rsidRPr="00D61F73">
              <w:rPr>
                <w:rFonts w:ascii="Arial" w:hAnsi="Arial" w:cs="Arial"/>
              </w:rPr>
              <w:t xml:space="preserve">Recommended. Tricyclics are generally considered a first-line agent unless they are ineffective, poorly tolerated, or contraindicated. Analgesia generally occurs within a few days to a week, whereas antidepressant effect takes longer to occur. For peripheral neuropathic pain the </w:t>
            </w:r>
            <w:r w:rsidR="00261E37" w:rsidRPr="00261E37">
              <w:rPr>
                <w:rFonts w:ascii="Arial" w:hAnsi="Arial" w:cs="Arial"/>
              </w:rPr>
              <w:t>NNT</w:t>
            </w:r>
            <w:r w:rsidRPr="00D61F73">
              <w:rPr>
                <w:rFonts w:ascii="Arial" w:hAnsi="Arial" w:cs="Arial"/>
              </w:rPr>
              <w:t xml:space="preserve"> for tricyclics is 2.3, versus SSRIs of 6.8 and SNRIs of 4.6. See </w:t>
            </w:r>
            <w:hyperlink w:anchor="Antidepressantsforchronicpain" w:history="1">
              <w:r w:rsidRPr="00D61F73">
                <w:rPr>
                  <w:rStyle w:val="Hyperlink"/>
                  <w:rFonts w:ascii="Arial" w:hAnsi="Arial" w:cs="Arial"/>
                </w:rPr>
                <w:t>Antidepressants for chronic pain</w:t>
              </w:r>
            </w:hyperlink>
            <w:r w:rsidRPr="00D61F73">
              <w:rPr>
                <w:rFonts w:ascii="Arial" w:hAnsi="Arial" w:cs="Arial"/>
              </w:rPr>
              <w:t xml:space="preserve"> for general guidelines, as well as specific </w:t>
            </w:r>
            <w:hyperlink w:anchor="TricyclicsListing" w:history="1">
              <w:r w:rsidRPr="00D61F73">
                <w:rPr>
                  <w:rStyle w:val="Hyperlink"/>
                  <w:rFonts w:ascii="Arial" w:hAnsi="Arial" w:cs="Arial"/>
                </w:rPr>
                <w:t>Tricyclics</w:t>
              </w:r>
            </w:hyperlink>
            <w:r w:rsidRPr="00D61F73">
              <w:rPr>
                <w:rFonts w:ascii="Arial" w:hAnsi="Arial" w:cs="Arial"/>
              </w:rPr>
              <w:t xml:space="preserve"> listing for more information and references.</w:t>
            </w:r>
          </w:p>
        </w:tc>
      </w:tr>
      <w:tr w:rsidR="0038137E" w:rsidRPr="00D61F73" w14:paraId="143BC0CD" w14:textId="77777777" w:rsidTr="0038137E">
        <w:tc>
          <w:tcPr>
            <w:tcW w:w="1088" w:type="pct"/>
            <w:shd w:val="clear" w:color="auto" w:fill="auto"/>
          </w:tcPr>
          <w:p w14:paraId="4525ED05" w14:textId="604A2793"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T</w:t>
            </w:r>
            <w:bookmarkStart w:id="386" w:name="Triggerpointinject"/>
            <w:bookmarkEnd w:id="386"/>
            <w:r w:rsidRPr="00D61F73">
              <w:rPr>
                <w:rFonts w:ascii="Arial" w:hAnsi="Arial" w:cs="Arial"/>
              </w:rPr>
              <w:t xml:space="preserve">rigger point injections (TPIs) </w:t>
            </w:r>
          </w:p>
        </w:tc>
        <w:tc>
          <w:tcPr>
            <w:tcW w:w="3912" w:type="pct"/>
            <w:shd w:val="clear" w:color="auto" w:fill="auto"/>
          </w:tcPr>
          <w:p w14:paraId="71E0628A" w14:textId="77777777" w:rsidR="0038137E" w:rsidRPr="00D61F73" w:rsidRDefault="0038137E" w:rsidP="00D61F73">
            <w:pPr>
              <w:rPr>
                <w:rFonts w:ascii="Arial" w:hAnsi="Arial" w:cs="Arial"/>
              </w:rPr>
            </w:pPr>
            <w:r w:rsidRPr="00D61F73">
              <w:rPr>
                <w:rFonts w:ascii="Arial" w:hAnsi="Arial" w:cs="Arial"/>
              </w:rPr>
              <w:t xml:space="preserve">Recommended for myofascial pain syndrome as indicated below, with limited lasting value. The advantage appears to be in enabling patients to undergo remedial exercise therapy more quickly. The primary goal of trigger point therapy is the short-term relief of pain and tightness of the involved muscles in order to facilitate participation in an active </w:t>
            </w:r>
            <w:r w:rsidRPr="00D61F73">
              <w:rPr>
                <w:rFonts w:ascii="Arial" w:hAnsi="Arial" w:cs="Arial"/>
              </w:rPr>
              <w:lastRenderedPageBreak/>
              <w:t>rehabilitation program and restoration of functional capacity. TPIs are generally considered an adjunct rather than a primary form of treatment and should not be offered as either a primary or a sole treatment modality. (</w:t>
            </w:r>
            <w:hyperlink r:id="rId167" w:anchor="Scott2005" w:history="1">
              <w:r w:rsidRPr="00D61F73">
                <w:rPr>
                  <w:rStyle w:val="Hyperlink"/>
                  <w:rFonts w:ascii="Arial" w:hAnsi="Arial" w:cs="Arial"/>
                </w:rPr>
                <w:t>Scott, 2005</w:t>
              </w:r>
            </w:hyperlink>
            <w:r w:rsidRPr="00D61F73">
              <w:rPr>
                <w:rFonts w:ascii="Arial" w:hAnsi="Arial" w:cs="Arial"/>
              </w:rPr>
              <w:t xml:space="preserve">) See </w:t>
            </w:r>
            <w:hyperlink w:anchor="Myofascialpain" w:history="1">
              <w:r w:rsidRPr="00D61F73">
                <w:rPr>
                  <w:rStyle w:val="Hyperlink"/>
                  <w:rFonts w:ascii="Arial" w:hAnsi="Arial" w:cs="Arial"/>
                </w:rPr>
                <w:t>Myofascial pain</w:t>
              </w:r>
            </w:hyperlink>
            <w:r w:rsidRPr="00D61F73">
              <w:rPr>
                <w:rFonts w:ascii="Arial" w:hAnsi="Arial" w:cs="Arial"/>
              </w:rPr>
              <w:t>. A recent systematic review came to the conclusion that the efficacy of TPIs was no more certain than it was a decade ago, and that there continued to be no clear cut evidence of either benefit or ineffectiveness. There is no evidence-based or consensus research to suggest an optimal technique. The mechanism of inactivation of the trigger point remains unknown. Many consider dry needling as effective as a TPI. It has been suggested that the main effect is placebo. (</w:t>
            </w:r>
            <w:hyperlink w:anchor="Cummings" w:history="1">
              <w:r w:rsidRPr="00D61F73">
                <w:rPr>
                  <w:rStyle w:val="Hyperlink"/>
                  <w:rFonts w:ascii="Arial" w:hAnsi="Arial" w:cs="Arial"/>
                </w:rPr>
                <w:t>Cummings, 2001</w:t>
              </w:r>
            </w:hyperlink>
            <w:r w:rsidRPr="00D61F73">
              <w:rPr>
                <w:rFonts w:ascii="Arial" w:hAnsi="Arial" w:cs="Arial"/>
              </w:rPr>
              <w:t>) There are no studies that compare “stretching” treatment alone or “no treatment” to TPIs. Most current studies have evaluated the use of a TPI as a stand-alone treatment. (</w:t>
            </w:r>
            <w:hyperlink r:id="rId168" w:anchor="Scott2008" w:history="1">
              <w:r w:rsidRPr="00D61F73">
                <w:rPr>
                  <w:rStyle w:val="Hyperlink"/>
                  <w:rFonts w:ascii="Arial" w:hAnsi="Arial" w:cs="Arial"/>
                </w:rPr>
                <w:t>Scott, 2008</w:t>
              </w:r>
            </w:hyperlink>
            <w:r w:rsidRPr="00D61F73">
              <w:rPr>
                <w:rFonts w:ascii="Arial" w:hAnsi="Arial" w:cs="Arial"/>
              </w:rPr>
              <w:t>) (</w:t>
            </w:r>
            <w:hyperlink w:anchor="Staal" w:history="1">
              <w:r w:rsidRPr="00D61F73">
                <w:rPr>
                  <w:rStyle w:val="Hyperlink"/>
                  <w:rFonts w:ascii="Arial" w:hAnsi="Arial" w:cs="Arial"/>
                </w:rPr>
                <w:t>Staal, 2008</w:t>
              </w:r>
            </w:hyperlink>
            <w:r w:rsidRPr="00D61F73">
              <w:rPr>
                <w:rFonts w:ascii="Arial" w:hAnsi="Arial" w:cs="Arial"/>
              </w:rPr>
              <w:t xml:space="preserve">) </w:t>
            </w:r>
          </w:p>
          <w:p w14:paraId="48312E8F" w14:textId="77777777" w:rsidR="0038137E" w:rsidRPr="00D61F73" w:rsidRDefault="0038137E" w:rsidP="00D61F73">
            <w:pPr>
              <w:rPr>
                <w:rFonts w:ascii="Arial" w:hAnsi="Arial" w:cs="Arial"/>
              </w:rPr>
            </w:pPr>
            <w:r w:rsidRPr="00D61F73">
              <w:rPr>
                <w:rFonts w:ascii="Arial" w:hAnsi="Arial" w:cs="Arial"/>
                <w:i/>
                <w:u w:val="single"/>
              </w:rPr>
              <w:t>Indications:</w:t>
            </w:r>
            <w:r w:rsidRPr="00D61F73">
              <w:rPr>
                <w:rFonts w:ascii="Arial" w:hAnsi="Arial" w:cs="Arial"/>
                <w:i/>
              </w:rPr>
              <w:t xml:space="preserve"> </w:t>
            </w:r>
            <w:r w:rsidRPr="00D61F73">
              <w:rPr>
                <w:rFonts w:ascii="Arial" w:hAnsi="Arial" w:cs="Arial"/>
              </w:rPr>
              <w:t>The main indication is to inactivate the trigger point in order to reduce pain and restore function. This may enable physical therapy. The injection is also used as a diagnostic tool. (</w:t>
            </w:r>
            <w:hyperlink r:id="rId169" w:anchor="Scott2008" w:history="1">
              <w:r w:rsidRPr="00D61F73">
                <w:rPr>
                  <w:rStyle w:val="Hyperlink"/>
                  <w:rFonts w:ascii="Arial" w:hAnsi="Arial" w:cs="Arial"/>
                </w:rPr>
                <w:t>Scott, 2008</w:t>
              </w:r>
            </w:hyperlink>
            <w:r w:rsidRPr="00D61F73">
              <w:rPr>
                <w:rFonts w:ascii="Arial" w:hAnsi="Arial" w:cs="Arial"/>
              </w:rPr>
              <w:t xml:space="preserve">) </w:t>
            </w:r>
            <w:r w:rsidRPr="00D61F73">
              <w:rPr>
                <w:rFonts w:ascii="Arial" w:hAnsi="Arial" w:cs="Arial"/>
                <w:i/>
              </w:rPr>
              <w:t xml:space="preserve">Whiplash and chronic head, neck, shoulder and back pain: </w:t>
            </w:r>
            <w:r w:rsidRPr="00D61F73">
              <w:rPr>
                <w:rFonts w:ascii="Arial" w:hAnsi="Arial" w:cs="Arial"/>
              </w:rPr>
              <w:t xml:space="preserve">The evidence for TPIs when used as a sole treatment for patients with whiplash syndrome or chronic head, neck, shoulder or back pain (regardless of injectate) is inconclusive and the treatment does not appear to be more effective than treatments such as laser or ultrasound. These injections are not recommended for typical chronic low back or neck pain, nor are they recommended for radicular pain. </w:t>
            </w:r>
            <w:r w:rsidRPr="00D61F73">
              <w:rPr>
                <w:rFonts w:ascii="Arial" w:hAnsi="Arial" w:cs="Arial"/>
                <w:i/>
              </w:rPr>
              <w:t xml:space="preserve">Fibromyalgia: </w:t>
            </w:r>
            <w:r w:rsidRPr="00D61F73">
              <w:rPr>
                <w:rFonts w:ascii="Arial" w:hAnsi="Arial" w:cs="Arial"/>
              </w:rPr>
              <w:t>There is no evidence to support trigger point injections for this condition using randomized controlled trials. Uncontrolled trials suggest that dry needling or soft-tissue injections with lidocaine are equally effective. (</w:t>
            </w:r>
            <w:hyperlink w:anchor="Goldenberg" w:history="1">
              <w:r w:rsidRPr="00D61F73">
                <w:rPr>
                  <w:rStyle w:val="Hyperlink"/>
                  <w:rFonts w:ascii="Arial" w:hAnsi="Arial" w:cs="Arial"/>
                </w:rPr>
                <w:t>Goldenberg, 2004</w:t>
              </w:r>
            </w:hyperlink>
            <w:r w:rsidRPr="00D61F73">
              <w:rPr>
                <w:rFonts w:ascii="Arial" w:hAnsi="Arial" w:cs="Arial"/>
              </w:rPr>
              <w:t xml:space="preserve">) </w:t>
            </w:r>
            <w:r w:rsidRPr="00D61F73">
              <w:rPr>
                <w:rFonts w:ascii="Arial" w:hAnsi="Arial" w:cs="Arial"/>
                <w:i/>
              </w:rPr>
              <w:t xml:space="preserve">Cervicogenic headaches: </w:t>
            </w:r>
            <w:r w:rsidRPr="00D61F73">
              <w:rPr>
                <w:rFonts w:ascii="Arial" w:hAnsi="Arial" w:cs="Arial"/>
              </w:rPr>
              <w:t>The effectiveness is unknown. (</w:t>
            </w:r>
            <w:hyperlink r:id="rId170" w:anchor="Scott2005" w:history="1">
              <w:r w:rsidRPr="00D61F73">
                <w:rPr>
                  <w:rStyle w:val="Hyperlink"/>
                  <w:rFonts w:ascii="Arial" w:hAnsi="Arial" w:cs="Arial"/>
                </w:rPr>
                <w:t>Scott, 2005</w:t>
              </w:r>
            </w:hyperlink>
            <w:r w:rsidRPr="00D61F73">
              <w:rPr>
                <w:rFonts w:ascii="Arial" w:hAnsi="Arial" w:cs="Arial"/>
              </w:rPr>
              <w:t xml:space="preserve">) </w:t>
            </w:r>
            <w:r w:rsidRPr="00D61F73">
              <w:rPr>
                <w:rFonts w:ascii="Arial" w:hAnsi="Arial" w:cs="Arial"/>
                <w:i/>
              </w:rPr>
              <w:t xml:space="preserve">Osteoarthritis: </w:t>
            </w:r>
            <w:r w:rsidRPr="00D61F73">
              <w:rPr>
                <w:rFonts w:ascii="Arial" w:hAnsi="Arial" w:cs="Arial"/>
              </w:rPr>
              <w:t>There is one randomized controlled trial that indicates that the addition of TPIs to intra-articular injections improves pain and function over and above the latter injection alone. (</w:t>
            </w:r>
            <w:hyperlink w:anchor="Yentur" w:history="1">
              <w:r w:rsidRPr="00D61F73">
                <w:rPr>
                  <w:rStyle w:val="Hyperlink"/>
                  <w:rFonts w:ascii="Arial" w:hAnsi="Arial" w:cs="Arial"/>
                </w:rPr>
                <w:t>Yentur, 2003</w:t>
              </w:r>
            </w:hyperlink>
            <w:r w:rsidRPr="00D61F73">
              <w:rPr>
                <w:rFonts w:ascii="Arial" w:hAnsi="Arial" w:cs="Arial"/>
              </w:rPr>
              <w:t>)</w:t>
            </w:r>
          </w:p>
          <w:p w14:paraId="21D4097B" w14:textId="68844E5D" w:rsidR="0038137E" w:rsidRPr="00D61F73" w:rsidRDefault="0038137E" w:rsidP="00D61F73">
            <w:pPr>
              <w:rPr>
                <w:rFonts w:ascii="Arial" w:hAnsi="Arial" w:cs="Arial"/>
              </w:rPr>
            </w:pPr>
            <w:r w:rsidRPr="00D61F73">
              <w:rPr>
                <w:rFonts w:ascii="Arial" w:hAnsi="Arial" w:cs="Arial"/>
                <w:i/>
                <w:u w:val="single"/>
              </w:rPr>
              <w:t>Needling procedures</w:t>
            </w:r>
            <w:r w:rsidRPr="00D61F73">
              <w:rPr>
                <w:rFonts w:ascii="Arial" w:hAnsi="Arial" w:cs="Arial"/>
                <w:i/>
              </w:rPr>
              <w:t xml:space="preserve">: </w:t>
            </w:r>
            <w:r w:rsidRPr="00D61F73">
              <w:rPr>
                <w:rFonts w:ascii="Arial" w:hAnsi="Arial" w:cs="Arial"/>
              </w:rPr>
              <w:t>The standard definition of TPIs (also called direct wet needling) involves injecting fluid directly into the trigger point. (</w:t>
            </w:r>
            <w:hyperlink w:anchor="Cummings" w:history="1">
              <w:r w:rsidRPr="00D61F73">
                <w:rPr>
                  <w:rStyle w:val="Hyperlink"/>
                  <w:rFonts w:ascii="Arial" w:hAnsi="Arial" w:cs="Arial"/>
                </w:rPr>
                <w:t>Cummings, 2001</w:t>
              </w:r>
            </w:hyperlink>
            <w:r w:rsidRPr="00D61F73">
              <w:rPr>
                <w:rFonts w:ascii="Arial" w:hAnsi="Arial" w:cs="Arial"/>
              </w:rPr>
              <w:t xml:space="preserve">) Other needling techniques include injection of fluid over the trigger point into the skin or subcutaneous tissue, direct dry needling, or indirect dry needling (the needle is placed superficially or deep into classic acupuncture points or over a tender spot, but not into the trigger point). See </w:t>
            </w:r>
            <w:r w:rsidRPr="00C47765">
              <w:rPr>
                <w:rFonts w:ascii="Arial" w:hAnsi="Arial" w:cs="Arial"/>
              </w:rPr>
              <w:t>Acupuncture</w:t>
            </w:r>
            <w:r w:rsidRPr="00D61F73">
              <w:rPr>
                <w:rFonts w:ascii="Arial" w:hAnsi="Arial" w:cs="Arial"/>
              </w:rPr>
              <w:t>.</w:t>
            </w:r>
          </w:p>
          <w:p w14:paraId="5E7C6BE1" w14:textId="77777777" w:rsidR="0038137E" w:rsidRPr="00D61F73" w:rsidRDefault="0038137E" w:rsidP="00D61F73">
            <w:pPr>
              <w:rPr>
                <w:rFonts w:ascii="Arial" w:hAnsi="Arial" w:cs="Arial"/>
              </w:rPr>
            </w:pPr>
            <w:r w:rsidRPr="00D61F73">
              <w:rPr>
                <w:rFonts w:ascii="Arial" w:hAnsi="Arial" w:cs="Arial"/>
                <w:i/>
                <w:u w:val="single"/>
              </w:rPr>
              <w:t>Injection fluids</w:t>
            </w:r>
            <w:r w:rsidRPr="00D61F73">
              <w:rPr>
                <w:rFonts w:ascii="Arial" w:hAnsi="Arial" w:cs="Arial"/>
                <w:i/>
              </w:rPr>
              <w:t xml:space="preserve">: </w:t>
            </w:r>
            <w:r w:rsidRPr="00D61F73">
              <w:rPr>
                <w:rFonts w:ascii="Arial" w:hAnsi="Arial" w:cs="Arial"/>
              </w:rPr>
              <w:t>The injection of a local anesthetic can reduce the pain of a trigger point. TPIs with an anesthetic such as bupivacaine are recommended for non-resolving trigger points. In addition, the addition of a local anesthetic can reduce the pain of injection. The addition of a corticosteroid is not generally recommended and there is moderate evidence that TPIs with corticosteroids do not produce significantly different results from placebo injections using short-term self reports. Current evidence does not support the use of Botulinum toxin in trigger point injections for myofascial pain. (</w:t>
            </w:r>
            <w:hyperlink r:id="rId171" w:anchor="Ho" w:history="1">
              <w:r w:rsidRPr="00D61F73">
                <w:rPr>
                  <w:rStyle w:val="Hyperlink"/>
                  <w:rFonts w:ascii="Arial" w:hAnsi="Arial" w:cs="Arial"/>
                </w:rPr>
                <w:t>Ho, 2007</w:t>
              </w:r>
            </w:hyperlink>
            <w:r w:rsidRPr="00D61F73">
              <w:rPr>
                <w:rFonts w:ascii="Arial" w:hAnsi="Arial" w:cs="Arial"/>
              </w:rPr>
              <w:t>) (</w:t>
            </w:r>
            <w:hyperlink r:id="rId172" w:anchor="Peloso3" w:history="1">
              <w:r w:rsidRPr="00D61F73">
                <w:rPr>
                  <w:rStyle w:val="Hyperlink"/>
                  <w:rFonts w:ascii="Arial" w:hAnsi="Arial" w:cs="Arial"/>
                </w:rPr>
                <w:t>Peloso, 2007</w:t>
              </w:r>
            </w:hyperlink>
            <w:r w:rsidRPr="00D61F73">
              <w:rPr>
                <w:rFonts w:ascii="Arial" w:hAnsi="Arial" w:cs="Arial"/>
              </w:rPr>
              <w:t>)</w:t>
            </w:r>
          </w:p>
          <w:p w14:paraId="6643796B" w14:textId="77777777" w:rsidR="0038137E" w:rsidRPr="00D61F73" w:rsidRDefault="0038137E" w:rsidP="00D61F73">
            <w:pPr>
              <w:rPr>
                <w:rFonts w:ascii="Arial" w:hAnsi="Arial" w:cs="Arial"/>
              </w:rPr>
            </w:pPr>
            <w:r w:rsidRPr="00D61F73">
              <w:rPr>
                <w:rFonts w:ascii="Arial" w:hAnsi="Arial" w:cs="Arial"/>
                <w:i/>
                <w:u w:val="single"/>
              </w:rPr>
              <w:t xml:space="preserve">Adverse effects: </w:t>
            </w:r>
            <w:r w:rsidRPr="00D61F73">
              <w:rPr>
                <w:rFonts w:ascii="Arial" w:hAnsi="Arial" w:cs="Arial"/>
              </w:rPr>
              <w:t xml:space="preserve">The following have been published in case reports: cervical epidural abscess; accidental intrathecal injection; muscle atrophy at the injection site; pneumothorax; development of asystole. There is also </w:t>
            </w:r>
            <w:r w:rsidRPr="00D61F73">
              <w:rPr>
                <w:rFonts w:ascii="Arial" w:hAnsi="Arial" w:cs="Arial"/>
              </w:rPr>
              <w:lastRenderedPageBreak/>
              <w:t>a concern that when used as a primary therapy patients may become dependent on this treatment, diverting from the underlying factors causing and maintaining pain. (</w:t>
            </w:r>
            <w:hyperlink w:anchor="Borg" w:history="1">
              <w:r w:rsidRPr="00D61F73">
                <w:rPr>
                  <w:rStyle w:val="Hyperlink"/>
                  <w:rFonts w:ascii="Arial" w:hAnsi="Arial" w:cs="Arial"/>
                </w:rPr>
                <w:t>Borg-Stein, 2002</w:t>
              </w:r>
            </w:hyperlink>
            <w:r w:rsidRPr="00D61F73">
              <w:rPr>
                <w:rFonts w:ascii="Arial" w:hAnsi="Arial" w:cs="Arial"/>
              </w:rPr>
              <w:t xml:space="preserve">) Vasovagal responses are the most frequent complication. Other complications include bleeding, cuts or tears to the muscle, injury to nerve fibers, damage to blood vessels, infection, and allergic reactions (including anaphylaxis). </w:t>
            </w:r>
            <w:r w:rsidRPr="00D61F73">
              <w:rPr>
                <w:rFonts w:ascii="Arial" w:hAnsi="Arial" w:cs="Arial"/>
                <w:i/>
              </w:rPr>
              <w:t xml:space="preserve">Contraindications: </w:t>
            </w:r>
            <w:r w:rsidRPr="00D61F73">
              <w:rPr>
                <w:rFonts w:ascii="Arial" w:hAnsi="Arial" w:cs="Arial"/>
              </w:rPr>
              <w:t xml:space="preserve">Acute cases of muscle trauma; Allergies to anesthetic agents; Bleeding disorders; Local or systemic infection; Anticoagulant use. </w:t>
            </w:r>
          </w:p>
          <w:p w14:paraId="4595E02D" w14:textId="77777777" w:rsidR="0038137E" w:rsidRPr="00D61F73" w:rsidRDefault="0038137E" w:rsidP="00D61F73">
            <w:pPr>
              <w:rPr>
                <w:rFonts w:ascii="Arial" w:hAnsi="Arial" w:cs="Arial"/>
              </w:rPr>
            </w:pPr>
            <w:r w:rsidRPr="00D61F73">
              <w:rPr>
                <w:rFonts w:ascii="Arial" w:hAnsi="Arial" w:cs="Arial"/>
                <w:i/>
                <w:u w:val="single"/>
              </w:rPr>
              <w:t>Trigger point definitions</w:t>
            </w:r>
            <w:r w:rsidRPr="00D61F73">
              <w:rPr>
                <w:rFonts w:ascii="Arial" w:hAnsi="Arial" w:cs="Arial"/>
                <w:i/>
              </w:rPr>
              <w:t xml:space="preserve">: </w:t>
            </w:r>
            <w:r w:rsidRPr="00D61F73">
              <w:rPr>
                <w:rFonts w:ascii="Arial" w:hAnsi="Arial" w:cs="Arial"/>
              </w:rPr>
              <w:t>A trigger point is a hyperirritable foci located in a palpable taut band of skeletal muscle, which produces a local twitch in response to stimulus to the band. Pain is generally reported on compression, with common evidence of characteristic referred pain. This may or may not be accompanied by an autonomic response. Trigger points may be present in up to 33-50% of the adult population. There is currently no satisfactory objective, biochemical, electromyographic, or diagnostic imaging test to diagnosis trigger points. (</w:t>
            </w:r>
            <w:hyperlink r:id="rId173" w:anchor="Scott2008" w:history="1">
              <w:r w:rsidRPr="00D61F73">
                <w:rPr>
                  <w:rStyle w:val="Hyperlink"/>
                  <w:rFonts w:ascii="Arial" w:hAnsi="Arial" w:cs="Arial"/>
                </w:rPr>
                <w:t>Scott, 2008</w:t>
              </w:r>
            </w:hyperlink>
            <w:r w:rsidRPr="00D61F73">
              <w:rPr>
                <w:rFonts w:ascii="Arial" w:hAnsi="Arial" w:cs="Arial"/>
              </w:rPr>
              <w:t xml:space="preserve">) </w:t>
            </w:r>
            <w:r w:rsidRPr="00D61F73">
              <w:rPr>
                <w:rFonts w:ascii="Arial" w:hAnsi="Arial" w:cs="Arial"/>
                <w:i/>
              </w:rPr>
              <w:t xml:space="preserve">Active trigger point: </w:t>
            </w:r>
            <w:r w:rsidRPr="00D61F73">
              <w:rPr>
                <w:rFonts w:ascii="Arial" w:hAnsi="Arial" w:cs="Arial"/>
              </w:rPr>
              <w:t xml:space="preserve">Continuous pain is generated in the zone of reference with or without palpitation. </w:t>
            </w:r>
            <w:r w:rsidRPr="00D61F73">
              <w:rPr>
                <w:rFonts w:ascii="Arial" w:hAnsi="Arial" w:cs="Arial"/>
                <w:i/>
              </w:rPr>
              <w:t xml:space="preserve">Latent trigger point: </w:t>
            </w:r>
            <w:r w:rsidRPr="00D61F73">
              <w:rPr>
                <w:rFonts w:ascii="Arial" w:hAnsi="Arial" w:cs="Arial"/>
              </w:rPr>
              <w:t xml:space="preserve">No evidence of spontaneous pain but evidence of restricted movement and muscle weakness. </w:t>
            </w:r>
            <w:r w:rsidRPr="00D61F73">
              <w:rPr>
                <w:rFonts w:ascii="Arial" w:hAnsi="Arial" w:cs="Arial"/>
                <w:i/>
              </w:rPr>
              <w:t xml:space="preserve">Primary trigger point: </w:t>
            </w:r>
            <w:r w:rsidRPr="00D61F73">
              <w:rPr>
                <w:rFonts w:ascii="Arial" w:hAnsi="Arial" w:cs="Arial"/>
              </w:rPr>
              <w:t xml:space="preserve">develop independently of other trigger points. </w:t>
            </w:r>
            <w:r w:rsidRPr="00D61F73">
              <w:rPr>
                <w:rFonts w:ascii="Arial" w:hAnsi="Arial" w:cs="Arial"/>
                <w:i/>
              </w:rPr>
              <w:t xml:space="preserve">Satellite trigger points: </w:t>
            </w:r>
            <w:r w:rsidRPr="00D61F73">
              <w:rPr>
                <w:rFonts w:ascii="Arial" w:hAnsi="Arial" w:cs="Arial"/>
              </w:rPr>
              <w:t>result from stress and muscle spasm caused by neighboring trigger points. (</w:t>
            </w:r>
            <w:hyperlink r:id="rId174" w:anchor="Scott2005" w:history="1">
              <w:r w:rsidRPr="00D61F73">
                <w:rPr>
                  <w:rStyle w:val="Hyperlink"/>
                  <w:rFonts w:ascii="Arial" w:hAnsi="Arial" w:cs="Arial"/>
                </w:rPr>
                <w:t>Scott, 2005</w:t>
              </w:r>
            </w:hyperlink>
            <w:r w:rsidRPr="00D61F73">
              <w:rPr>
                <w:rFonts w:ascii="Arial" w:hAnsi="Arial" w:cs="Arial"/>
              </w:rPr>
              <w:t xml:space="preserve">) </w:t>
            </w:r>
            <w:r w:rsidRPr="00D61F73">
              <w:rPr>
                <w:rFonts w:ascii="Arial" w:hAnsi="Arial" w:cs="Arial"/>
                <w:i/>
              </w:rPr>
              <w:t>Myofascial pain syndrome</w:t>
            </w:r>
            <w:r w:rsidRPr="00D61F73">
              <w:rPr>
                <w:rFonts w:ascii="Arial" w:hAnsi="Arial" w:cs="Arial"/>
              </w:rPr>
              <w:t xml:space="preserve"> is a regional painful muscle condition with a direct relationship between a specific trigger point and its associated pain region. A cluster of symptoms is noted including pain, autonomic phenomena and muscle dysfunction. Examples of primary myofascial pain syndrome include tennis elbow, frozen shoulder and chronic tension type headache. Secondary myofascial pain is found in the presence of conditions such as whiplash, TMJ dysfunction, and osteoarthritis. Psychosocial factors may contribute to muscle tension and an increase in pain, in particular, anxiety. (</w:t>
            </w:r>
            <w:hyperlink w:anchor="Esenyel" w:history="1">
              <w:r w:rsidRPr="00D61F73">
                <w:rPr>
                  <w:rStyle w:val="Hyperlink"/>
                  <w:rFonts w:ascii="Arial" w:hAnsi="Arial" w:cs="Arial"/>
                </w:rPr>
                <w:t>Esenyel, 2000</w:t>
              </w:r>
            </w:hyperlink>
            <w:r w:rsidRPr="00D61F73">
              <w:rPr>
                <w:rFonts w:ascii="Arial" w:hAnsi="Arial" w:cs="Arial"/>
              </w:rPr>
              <w:t>) (</w:t>
            </w:r>
            <w:hyperlink w:anchor="Nifosì" w:history="1">
              <w:r w:rsidRPr="00D61F73">
                <w:rPr>
                  <w:rStyle w:val="Hyperlink"/>
                  <w:rFonts w:ascii="Arial" w:hAnsi="Arial" w:cs="Arial"/>
                </w:rPr>
                <w:t>Nifosi, 2007</w:t>
              </w:r>
            </w:hyperlink>
            <w:r w:rsidRPr="00D61F73">
              <w:rPr>
                <w:rFonts w:ascii="Arial" w:hAnsi="Arial" w:cs="Arial"/>
              </w:rPr>
              <w:t>) (</w:t>
            </w:r>
            <w:hyperlink w:anchor="Altindag" w:history="1">
              <w:r w:rsidRPr="00D61F73">
                <w:rPr>
                  <w:rStyle w:val="Hyperlink"/>
                  <w:rFonts w:ascii="Arial" w:hAnsi="Arial" w:cs="Arial"/>
                </w:rPr>
                <w:t>Altindag, 2008</w:t>
              </w:r>
            </w:hyperlink>
            <w:r w:rsidRPr="00D61F73">
              <w:rPr>
                <w:rFonts w:ascii="Arial" w:hAnsi="Arial" w:cs="Arial"/>
              </w:rPr>
              <w:t>) (</w:t>
            </w:r>
            <w:hyperlink w:anchor="GraffRadford" w:history="1">
              <w:r w:rsidRPr="00D61F73">
                <w:rPr>
                  <w:rStyle w:val="Hyperlink"/>
                  <w:rFonts w:ascii="Arial" w:hAnsi="Arial" w:cs="Arial"/>
                </w:rPr>
                <w:t>Graff-Radford, 2004</w:t>
              </w:r>
            </w:hyperlink>
            <w:r w:rsidRPr="00D61F73">
              <w:rPr>
                <w:rFonts w:ascii="Arial" w:hAnsi="Arial" w:cs="Arial"/>
              </w:rPr>
              <w:t>) (</w:t>
            </w:r>
            <w:hyperlink w:anchor="BlueCrossBlueShield99" w:history="1">
              <w:r w:rsidRPr="00D61F73">
                <w:rPr>
                  <w:rStyle w:val="Hyperlink"/>
                  <w:rFonts w:ascii="Arial" w:hAnsi="Arial" w:cs="Arial"/>
                </w:rPr>
                <w:t>BlueCross BlueShield, 2004</w:t>
              </w:r>
            </w:hyperlink>
            <w:r w:rsidRPr="00D61F73">
              <w:rPr>
                <w:rFonts w:ascii="Arial" w:hAnsi="Arial" w:cs="Arial"/>
              </w:rPr>
              <w:t>) (</w:t>
            </w:r>
            <w:hyperlink w:anchor="Cochrane" w:history="1">
              <w:r w:rsidRPr="00D61F73">
                <w:rPr>
                  <w:rStyle w:val="Hyperlink"/>
                  <w:rFonts w:ascii="Arial" w:hAnsi="Arial" w:cs="Arial"/>
                </w:rPr>
                <w:t>Nelemans-Cochrane, 2002</w:t>
              </w:r>
            </w:hyperlink>
            <w:r w:rsidRPr="00D61F73">
              <w:rPr>
                <w:rFonts w:ascii="Arial" w:hAnsi="Arial" w:cs="Arial"/>
              </w:rPr>
              <w:t xml:space="preserve">) </w:t>
            </w:r>
          </w:p>
          <w:p w14:paraId="21C6042D" w14:textId="77777777" w:rsidR="0038137E" w:rsidRPr="00D61F73" w:rsidRDefault="0038137E" w:rsidP="00D61F73">
            <w:pPr>
              <w:rPr>
                <w:rFonts w:ascii="Arial" w:hAnsi="Arial" w:cs="Arial"/>
                <w:b/>
                <w:bCs/>
              </w:rPr>
            </w:pPr>
            <w:r w:rsidRPr="00D61F73">
              <w:rPr>
                <w:rFonts w:ascii="Arial" w:hAnsi="Arial" w:cs="Arial"/>
                <w:b/>
                <w:bCs/>
              </w:rPr>
              <w:t>Criteria for the use of TPIs (Trigger point injections):</w:t>
            </w:r>
          </w:p>
          <w:p w14:paraId="5B02C490" w14:textId="449B066B" w:rsidR="0038137E" w:rsidRPr="00D61F73" w:rsidRDefault="0038137E" w:rsidP="00D61F73">
            <w:pPr>
              <w:rPr>
                <w:rFonts w:ascii="Arial" w:hAnsi="Arial" w:cs="Arial"/>
              </w:rPr>
            </w:pPr>
            <w:r w:rsidRPr="00D61F73">
              <w:rPr>
                <w:rFonts w:ascii="Arial" w:hAnsi="Arial" w:cs="Arial"/>
              </w:rPr>
              <w:t xml:space="preserve">TPIs with a local anesthetic may be recommended for the treatment of myofascial pain syndrome when all of the following criteria are met: (1) Documentation of circumscribed trigger points with evidence upon palpation of a twitch response as well as referred pain; (2) Symptoms have persisted for more than three months; (3) Medical management therapies such as ongoing stretching exercises, physical therapy, NSAIDs and muscle relaxants have failed to control pain; (4) Radiculopathy is not present (by exam, imaging, or neuro-testing); (5) No more than 3-4 injections per session; (6) No repeat injections unless a greater than 50% pain relief with reduced medication use is obtained for six weeks after an injection and there is documented evidence of functional improvement; (7) Frequency should not be at an interval less than two months; (8)TPIs with any substance (e.g., saline or glucose) other than local anesthetic with or without steroid are not recommended; (9) There should be evidence of continued ongoing conservative treatment including home exercise and stretching. Use as a sole treatment is not recommended; (10) If pain persists after 2 to 3 injections the treatment plan should be reexamined as </w:t>
            </w:r>
            <w:r w:rsidRPr="00D61F73">
              <w:rPr>
                <w:rFonts w:ascii="Arial" w:hAnsi="Arial" w:cs="Arial"/>
              </w:rPr>
              <w:lastRenderedPageBreak/>
              <w:t>this may indicate a lack of appropriate diagnosis, a lack of success with this procedure, or a lack of incorporation of other more conservative treatment modalities for myofascial pain. It should be remembered that trigger point injections are considered an adjunct, not a primary treatment.</w:t>
            </w:r>
          </w:p>
        </w:tc>
      </w:tr>
      <w:tr w:rsidR="0038137E" w:rsidRPr="00D61F73" w14:paraId="0D35056C" w14:textId="77777777" w:rsidTr="0038137E">
        <w:tc>
          <w:tcPr>
            <w:tcW w:w="1088" w:type="pct"/>
            <w:shd w:val="clear" w:color="auto" w:fill="auto"/>
          </w:tcPr>
          <w:p w14:paraId="53602EF2" w14:textId="173F6BC8"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Tumor necrosis factor (TNF) modifiers</w:t>
            </w:r>
          </w:p>
        </w:tc>
        <w:tc>
          <w:tcPr>
            <w:tcW w:w="3912" w:type="pct"/>
            <w:shd w:val="clear" w:color="auto" w:fill="auto"/>
          </w:tcPr>
          <w:p w14:paraId="059A582A" w14:textId="0832B4FC" w:rsidR="0038137E" w:rsidRPr="00D61F73" w:rsidRDefault="0038137E" w:rsidP="00D61F73">
            <w:pPr>
              <w:rPr>
                <w:rFonts w:ascii="Arial" w:hAnsi="Arial" w:cs="Arial"/>
              </w:rPr>
            </w:pPr>
            <w:r w:rsidRPr="00D61F73">
              <w:rPr>
                <w:rFonts w:ascii="Arial" w:hAnsi="Arial" w:cs="Arial"/>
              </w:rPr>
              <w:t>Not recommended. This drug was recently included in a list of 20 medications identified by the FDA's Adverse Event Reporting System which are under FDA investigation. (</w:t>
            </w:r>
            <w:hyperlink w:anchor="FDA3" w:history="1">
              <w:r w:rsidRPr="00D61F73">
                <w:rPr>
                  <w:rStyle w:val="Hyperlink"/>
                  <w:rFonts w:ascii="Arial" w:hAnsi="Arial" w:cs="Arial"/>
                </w:rPr>
                <w:t>FDA, 2008</w:t>
              </w:r>
            </w:hyperlink>
            <w:r w:rsidRPr="00D61F73">
              <w:rPr>
                <w:rFonts w:ascii="Arial" w:hAnsi="Arial" w:cs="Arial"/>
              </w:rPr>
              <w:t>)  See also relevant MTUS body chapters.</w:t>
            </w:r>
          </w:p>
        </w:tc>
      </w:tr>
      <w:tr w:rsidR="0038137E" w:rsidRPr="00D61F73" w14:paraId="2C5A5504" w14:textId="77777777" w:rsidTr="0038137E">
        <w:tc>
          <w:tcPr>
            <w:tcW w:w="1088" w:type="pct"/>
            <w:shd w:val="clear" w:color="auto" w:fill="auto"/>
          </w:tcPr>
          <w:p w14:paraId="461DC29F" w14:textId="3AC6FC4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UltraClear</w:t>
            </w:r>
          </w:p>
        </w:tc>
        <w:tc>
          <w:tcPr>
            <w:tcW w:w="3912" w:type="pct"/>
            <w:shd w:val="clear" w:color="auto" w:fill="auto"/>
          </w:tcPr>
          <w:p w14:paraId="7FB39435" w14:textId="77777777" w:rsidR="0038137E" w:rsidRDefault="0038137E" w:rsidP="00D61F73">
            <w:pPr>
              <w:rPr>
                <w:rFonts w:ascii="Arial" w:hAnsi="Arial" w:cs="Arial"/>
              </w:rPr>
            </w:pPr>
            <w:r w:rsidRPr="00D61F73">
              <w:rPr>
                <w:rFonts w:ascii="Arial" w:hAnsi="Arial" w:cs="Arial"/>
              </w:rPr>
              <w:t xml:space="preserve">Not recommended for treatment of chronic pain. UltraClear is a medical food that is a proprietary blend of nutrients in a low-allergen-potential rice protein base. See </w:t>
            </w:r>
            <w:hyperlink w:anchor="Medicalfood" w:history="1">
              <w:r w:rsidRPr="00D61F73">
                <w:rPr>
                  <w:rStyle w:val="Hyperlink"/>
                  <w:rFonts w:ascii="Arial" w:hAnsi="Arial" w:cs="Arial"/>
                </w:rPr>
                <w:t>Medical food</w:t>
              </w:r>
            </w:hyperlink>
            <w:r w:rsidRPr="00D61F73">
              <w:rPr>
                <w:rStyle w:val="Hyperlink"/>
                <w:rFonts w:ascii="Arial" w:hAnsi="Arial" w:cs="Arial"/>
              </w:rPr>
              <w:t>s</w:t>
            </w:r>
            <w:r w:rsidRPr="00D61F73">
              <w:rPr>
                <w:rFonts w:ascii="Arial" w:hAnsi="Arial" w:cs="Arial"/>
              </w:rPr>
              <w:t>.</w:t>
            </w:r>
          </w:p>
          <w:p w14:paraId="7EC0250D" w14:textId="246FCA7A" w:rsidR="00C93903" w:rsidRPr="00D61F73" w:rsidRDefault="00C93903" w:rsidP="00D61F73">
            <w:pPr>
              <w:rPr>
                <w:rFonts w:ascii="Arial" w:hAnsi="Arial" w:cs="Arial"/>
              </w:rPr>
            </w:pPr>
          </w:p>
        </w:tc>
      </w:tr>
      <w:tr w:rsidR="0038137E" w:rsidRPr="00D61F73" w14:paraId="3A06FEE1" w14:textId="77777777" w:rsidTr="0038137E">
        <w:tc>
          <w:tcPr>
            <w:tcW w:w="1088" w:type="pct"/>
            <w:shd w:val="clear" w:color="auto" w:fill="auto"/>
          </w:tcPr>
          <w:p w14:paraId="207C4682" w14:textId="007AE96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Ultram® (tramadol)</w:t>
            </w:r>
          </w:p>
        </w:tc>
        <w:tc>
          <w:tcPr>
            <w:tcW w:w="3912" w:type="pct"/>
            <w:shd w:val="clear" w:color="auto" w:fill="auto"/>
          </w:tcPr>
          <w:p w14:paraId="5AA9AAB6" w14:textId="68906D0A" w:rsidR="0038137E" w:rsidRPr="00D61F73" w:rsidRDefault="0038137E" w:rsidP="00D61F73">
            <w:pPr>
              <w:rPr>
                <w:rFonts w:ascii="Arial" w:hAnsi="Arial" w:cs="Arial"/>
              </w:rPr>
            </w:pPr>
            <w:r w:rsidRPr="00D61F73">
              <w:rPr>
                <w:rFonts w:ascii="Arial" w:hAnsi="Arial" w:cs="Arial"/>
                <w:u w:val="single"/>
              </w:rPr>
              <w:t xml:space="preserve">Ultram® is a brand of tramadol supplied by Ortho-McNeil Pharmaceutical. See </w:t>
            </w:r>
            <w:hyperlink w:anchor="Tramadol" w:history="1">
              <w:r w:rsidRPr="00D61F73">
                <w:rPr>
                  <w:rStyle w:val="Hyperlink"/>
                  <w:rFonts w:ascii="Arial" w:hAnsi="Arial" w:cs="Arial"/>
                </w:rPr>
                <w:t>Tramadol</w:t>
              </w:r>
            </w:hyperlink>
            <w:r w:rsidRPr="00D61F73">
              <w:rPr>
                <w:rFonts w:ascii="Arial" w:hAnsi="Arial" w:cs="Arial"/>
                <w:u w:val="single"/>
              </w:rPr>
              <w:t xml:space="preserve"> (Ultram®). </w:t>
            </w:r>
          </w:p>
        </w:tc>
      </w:tr>
      <w:tr w:rsidR="0038137E" w:rsidRPr="00D61F73" w14:paraId="0AD6FBA8" w14:textId="77777777" w:rsidTr="0038137E">
        <w:tc>
          <w:tcPr>
            <w:tcW w:w="1088" w:type="pct"/>
            <w:shd w:val="clear" w:color="auto" w:fill="auto"/>
          </w:tcPr>
          <w:p w14:paraId="396CD3C2" w14:textId="38BFE8D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Ultrasound, therapeutic</w:t>
            </w:r>
          </w:p>
        </w:tc>
        <w:tc>
          <w:tcPr>
            <w:tcW w:w="3912" w:type="pct"/>
            <w:shd w:val="clear" w:color="auto" w:fill="auto"/>
          </w:tcPr>
          <w:p w14:paraId="1F048109" w14:textId="1E94D02E" w:rsidR="0038137E" w:rsidRPr="00D61F73" w:rsidRDefault="0038137E" w:rsidP="00D61F73">
            <w:pPr>
              <w:rPr>
                <w:rFonts w:ascii="Arial" w:hAnsi="Arial" w:cs="Arial"/>
                <w:u w:val="single"/>
              </w:rPr>
            </w:pPr>
            <w:r w:rsidRPr="00D61F73">
              <w:rPr>
                <w:rFonts w:ascii="Arial" w:hAnsi="Arial" w:cs="Arial"/>
              </w:rPr>
              <w:t>Not recommended.Therapeutic ultrasound is one of the most widely and frequently used electrophysical agents. Despite over 60 years of clinical use, the effectiveness of ultrasound for treating people with pain, musculoskeletal injuries, and soft tissue lesions remains questionable. There is little evidence that active therapeutic ultrasound is more effective than placebo ultrasound for treating people with pain or a range of musculoskeletal injuries or for promoting soft tissue healing. (</w:t>
            </w:r>
            <w:hyperlink w:anchor="Robertson" w:history="1">
              <w:r w:rsidRPr="00D61F73">
                <w:rPr>
                  <w:rStyle w:val="Hyperlink"/>
                  <w:rFonts w:ascii="Arial" w:hAnsi="Arial" w:cs="Arial"/>
                </w:rPr>
                <w:t>Robertson, 2001</w:t>
              </w:r>
            </w:hyperlink>
            <w:r w:rsidRPr="00D61F73">
              <w:rPr>
                <w:rFonts w:ascii="Arial" w:hAnsi="Arial" w:cs="Arial"/>
              </w:rPr>
              <w:t>)</w:t>
            </w:r>
          </w:p>
        </w:tc>
      </w:tr>
      <w:tr w:rsidR="0038137E" w:rsidRPr="00D61F73" w14:paraId="23A8E4CB" w14:textId="77777777" w:rsidTr="0038137E">
        <w:tc>
          <w:tcPr>
            <w:tcW w:w="1088" w:type="pct"/>
            <w:shd w:val="clear" w:color="auto" w:fill="auto"/>
          </w:tcPr>
          <w:p w14:paraId="74811726" w14:textId="123A7B2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Urine drug testing (UDT) </w:t>
            </w:r>
          </w:p>
        </w:tc>
        <w:tc>
          <w:tcPr>
            <w:tcW w:w="3912" w:type="pct"/>
            <w:shd w:val="clear" w:color="auto" w:fill="auto"/>
          </w:tcPr>
          <w:p w14:paraId="1761F2B6" w14:textId="6EDB150C" w:rsidR="0038137E" w:rsidRPr="00D61F73" w:rsidRDefault="0038137E" w:rsidP="00D61F73">
            <w:pPr>
              <w:rPr>
                <w:rFonts w:ascii="Arial" w:hAnsi="Arial" w:cs="Arial"/>
              </w:rPr>
            </w:pPr>
            <w:r w:rsidRPr="00D61F73">
              <w:rPr>
                <w:rFonts w:ascii="Arial" w:hAnsi="Arial" w:cs="Arial"/>
              </w:rPr>
              <w:t xml:space="preserve">See MTUS Opioids Treatment Guidelines </w:t>
            </w:r>
            <w:r w:rsidRPr="00D61F73">
              <w:rPr>
                <w:rFonts w:ascii="Arial" w:hAnsi="Arial" w:cs="Arial"/>
                <w:bCs/>
              </w:rPr>
              <w:t xml:space="preserve">for additional information </w:t>
            </w:r>
            <w:r w:rsidRPr="00D61F73">
              <w:rPr>
                <w:rFonts w:ascii="Arial" w:hAnsi="Arial" w:cs="Arial"/>
              </w:rPr>
              <w:t xml:space="preserve">on urine drug testing. </w:t>
            </w:r>
          </w:p>
        </w:tc>
      </w:tr>
      <w:tr w:rsidR="0038137E" w:rsidRPr="00D61F73" w14:paraId="655570D0" w14:textId="77777777" w:rsidTr="0064182F">
        <w:trPr>
          <w:trHeight w:val="335"/>
        </w:trPr>
        <w:tc>
          <w:tcPr>
            <w:tcW w:w="1088" w:type="pct"/>
            <w:shd w:val="clear" w:color="auto" w:fill="auto"/>
          </w:tcPr>
          <w:p w14:paraId="215E0DD3" w14:textId="1914A9CA"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Valium (diazepam)</w:t>
            </w:r>
          </w:p>
        </w:tc>
        <w:tc>
          <w:tcPr>
            <w:tcW w:w="3912" w:type="pct"/>
            <w:shd w:val="clear" w:color="auto" w:fill="auto"/>
          </w:tcPr>
          <w:p w14:paraId="30451578" w14:textId="15CD795F" w:rsidR="0038137E" w:rsidRPr="00D61F73" w:rsidRDefault="0038137E" w:rsidP="00D61F73">
            <w:pPr>
              <w:tabs>
                <w:tab w:val="left" w:pos="3690"/>
              </w:tabs>
              <w:rPr>
                <w:rFonts w:ascii="Arial" w:hAnsi="Arial" w:cs="Arial"/>
                <w:b/>
              </w:rPr>
            </w:pPr>
            <w:r w:rsidRPr="00D61F73">
              <w:rPr>
                <w:rFonts w:ascii="Arial" w:hAnsi="Arial" w:cs="Arial"/>
              </w:rPr>
              <w:t xml:space="preserve">See </w:t>
            </w:r>
            <w:hyperlink w:anchor="Benzodiazepines" w:history="1">
              <w:r w:rsidRPr="00D61F73">
                <w:rPr>
                  <w:rStyle w:val="Hyperlink"/>
                  <w:rFonts w:ascii="Arial" w:hAnsi="Arial" w:cs="Arial"/>
                </w:rPr>
                <w:t>Benzodiazepines</w:t>
              </w:r>
            </w:hyperlink>
            <w:r w:rsidRPr="00D61F73">
              <w:rPr>
                <w:rFonts w:ascii="Arial" w:hAnsi="Arial" w:cs="Arial"/>
              </w:rPr>
              <w:t>.</w:t>
            </w:r>
          </w:p>
        </w:tc>
      </w:tr>
      <w:tr w:rsidR="0038137E" w:rsidRPr="00D61F73" w14:paraId="6F80C48F" w14:textId="77777777" w:rsidTr="0038137E">
        <w:tc>
          <w:tcPr>
            <w:tcW w:w="1088" w:type="pct"/>
            <w:shd w:val="clear" w:color="auto" w:fill="auto"/>
          </w:tcPr>
          <w:p w14:paraId="19D5BBB3" w14:textId="6375142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Venlafaxine (Effexor®)</w:t>
            </w:r>
          </w:p>
        </w:tc>
        <w:tc>
          <w:tcPr>
            <w:tcW w:w="3912" w:type="pct"/>
            <w:shd w:val="clear" w:color="auto" w:fill="auto"/>
          </w:tcPr>
          <w:p w14:paraId="378E773A" w14:textId="0DAB123A" w:rsidR="0038137E" w:rsidRPr="00D61F73" w:rsidRDefault="0038137E" w:rsidP="00D61F73">
            <w:pPr>
              <w:pStyle w:val="CommentText"/>
              <w:rPr>
                <w:rFonts w:ascii="Arial" w:hAnsi="Arial" w:cs="Arial"/>
                <w:sz w:val="24"/>
                <w:szCs w:val="24"/>
              </w:rPr>
            </w:pPr>
            <w:r w:rsidRPr="00D61F73">
              <w:rPr>
                <w:rFonts w:ascii="Arial" w:hAnsi="Arial" w:cs="Arial"/>
                <w:sz w:val="24"/>
                <w:szCs w:val="24"/>
              </w:rPr>
              <w:t>Recommended as an option in first-line treatment of neuropathic pain. Venlafaxine (Effexor®) is a member of the Selective serotonin and norepinephrine reuptake inhibitors (SNRIs) class of antidepressants. It has FDA approval for treatment of depression and anxiety disorders. It is off-label recommended for treatment of neuropathic pain, diabetic neuropathy, fibromyalgia, and headaches. The initial dose is generally 37.5 to 75 mg/day with a usual increase to a dose of 75 mg b.i.d or 150 mg/day of the ER formula. The maximum dose of the immediate release formulation is 375 mg/day and of the ER formula is 225 mg/day. It may have an advantage over tricyclic antidepressants due to lack of anticholenergic side effects. Dosage requirements are necessary in patients with hepatic and renal impairment. (</w:t>
            </w:r>
            <w:hyperlink w:anchor="Namaka" w:history="1">
              <w:r w:rsidRPr="00D61F73">
                <w:rPr>
                  <w:rStyle w:val="Hyperlink"/>
                  <w:rFonts w:ascii="Arial" w:hAnsi="Arial" w:cs="Arial"/>
                  <w:sz w:val="24"/>
                  <w:szCs w:val="24"/>
                </w:rPr>
                <w:t>Namaka, 2004</w:t>
              </w:r>
            </w:hyperlink>
            <w:r w:rsidRPr="00D61F73">
              <w:rPr>
                <w:rFonts w:ascii="Arial" w:hAnsi="Arial" w:cs="Arial"/>
                <w:sz w:val="24"/>
                <w:szCs w:val="24"/>
              </w:rPr>
              <w:t xml:space="preserve">) See </w:t>
            </w:r>
            <w:hyperlink w:anchor="Antidepressantsforchronicpain" w:history="1">
              <w:r w:rsidRPr="00D61F73">
                <w:rPr>
                  <w:rStyle w:val="Hyperlink"/>
                  <w:rFonts w:ascii="Arial" w:hAnsi="Arial" w:cs="Arial"/>
                  <w:sz w:val="24"/>
                  <w:szCs w:val="24"/>
                </w:rPr>
                <w:t>Antidepressants for chronic pain</w:t>
              </w:r>
            </w:hyperlink>
            <w:r w:rsidRPr="00D61F73">
              <w:rPr>
                <w:rFonts w:ascii="Arial" w:hAnsi="Arial" w:cs="Arial"/>
                <w:sz w:val="24"/>
                <w:szCs w:val="24"/>
              </w:rPr>
              <w:t xml:space="preserve"> for general guidelines, as well as specific </w:t>
            </w:r>
            <w:hyperlink w:anchor="VenlafaxineListing" w:history="1">
              <w:r w:rsidRPr="00D61F73">
                <w:rPr>
                  <w:rStyle w:val="Hyperlink"/>
                  <w:rFonts w:ascii="Arial" w:hAnsi="Arial" w:cs="Arial"/>
                  <w:sz w:val="24"/>
                  <w:szCs w:val="24"/>
                </w:rPr>
                <w:t>Venlafaxine</w:t>
              </w:r>
            </w:hyperlink>
            <w:r w:rsidRPr="00D61F73">
              <w:rPr>
                <w:rFonts w:ascii="Arial" w:hAnsi="Arial" w:cs="Arial"/>
                <w:sz w:val="24"/>
                <w:szCs w:val="24"/>
              </w:rPr>
              <w:t xml:space="preserve"> listing for more information and references.</w:t>
            </w:r>
          </w:p>
        </w:tc>
      </w:tr>
      <w:tr w:rsidR="0038137E" w:rsidRPr="00D61F73" w14:paraId="6DFC7D80" w14:textId="77777777" w:rsidTr="0038137E">
        <w:tc>
          <w:tcPr>
            <w:tcW w:w="1088" w:type="pct"/>
            <w:shd w:val="clear" w:color="auto" w:fill="auto"/>
          </w:tcPr>
          <w:p w14:paraId="3A018FA5" w14:textId="200D2E77"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Vicodin® </w:t>
            </w:r>
          </w:p>
        </w:tc>
        <w:tc>
          <w:tcPr>
            <w:tcW w:w="3912" w:type="pct"/>
            <w:shd w:val="clear" w:color="auto" w:fill="auto"/>
          </w:tcPr>
          <w:p w14:paraId="68F083C8" w14:textId="17D27A93" w:rsidR="0038137E" w:rsidRPr="001E4156" w:rsidRDefault="0038137E" w:rsidP="00D61F73">
            <w:pPr>
              <w:pStyle w:val="CommentText"/>
              <w:rPr>
                <w:rFonts w:ascii="Arial" w:hAnsi="Arial" w:cs="Arial"/>
                <w:sz w:val="24"/>
                <w:szCs w:val="24"/>
              </w:rPr>
            </w:pPr>
            <w:r w:rsidRPr="001E4156">
              <w:rPr>
                <w:rFonts w:ascii="Arial" w:hAnsi="Arial" w:cs="Arial"/>
                <w:sz w:val="24"/>
                <w:szCs w:val="24"/>
              </w:rPr>
              <w:t xml:space="preserve">See MTUS Opioids Treatment Guidelines </w:t>
            </w:r>
            <w:r w:rsidRPr="001E4156">
              <w:rPr>
                <w:rFonts w:ascii="Arial" w:hAnsi="Arial" w:cs="Arial"/>
                <w:bCs/>
                <w:sz w:val="24"/>
                <w:szCs w:val="24"/>
              </w:rPr>
              <w:t xml:space="preserve">Injuries for information on opioids. Also </w:t>
            </w:r>
            <w:r w:rsidRPr="001E4156">
              <w:rPr>
                <w:rFonts w:ascii="Arial" w:hAnsi="Arial" w:cs="Arial"/>
                <w:sz w:val="24"/>
                <w:szCs w:val="24"/>
                <w:u w:val="single"/>
              </w:rPr>
              <w:t xml:space="preserve">see </w:t>
            </w:r>
            <w:hyperlink w:anchor="HydrocodoneAcetaminophen" w:history="1">
              <w:r w:rsidRPr="001E4156">
                <w:rPr>
                  <w:rStyle w:val="Hyperlink"/>
                  <w:rFonts w:ascii="Arial" w:hAnsi="Arial" w:cs="Arial"/>
                  <w:sz w:val="24"/>
                  <w:szCs w:val="24"/>
                </w:rPr>
                <w:t>Hydrocodone/Acetaminophen</w:t>
              </w:r>
            </w:hyperlink>
            <w:r w:rsidRPr="001E4156">
              <w:rPr>
                <w:rFonts w:ascii="Arial" w:hAnsi="Arial" w:cs="Arial"/>
                <w:sz w:val="24"/>
                <w:szCs w:val="24"/>
                <w:u w:val="single"/>
              </w:rPr>
              <w:t xml:space="preserve"> (Vicodin®). </w:t>
            </w:r>
          </w:p>
        </w:tc>
      </w:tr>
      <w:tr w:rsidR="0038137E" w:rsidRPr="00D61F73" w14:paraId="06CE0918" w14:textId="77777777" w:rsidTr="0038137E">
        <w:tc>
          <w:tcPr>
            <w:tcW w:w="1088" w:type="pct"/>
            <w:shd w:val="clear" w:color="auto" w:fill="auto"/>
          </w:tcPr>
          <w:p w14:paraId="0A677C48" w14:textId="38F746C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 xml:space="preserve">Vicoprofen® </w:t>
            </w:r>
          </w:p>
        </w:tc>
        <w:tc>
          <w:tcPr>
            <w:tcW w:w="3912" w:type="pct"/>
            <w:shd w:val="clear" w:color="auto" w:fill="auto"/>
          </w:tcPr>
          <w:p w14:paraId="3F179579" w14:textId="3B90F2DC" w:rsidR="0038137E" w:rsidRPr="00D61F73" w:rsidRDefault="0038137E" w:rsidP="00D61F73">
            <w:pPr>
              <w:rPr>
                <w:rFonts w:ascii="Arial" w:hAnsi="Arial" w:cs="Arial"/>
                <w:u w:val="single"/>
              </w:rPr>
            </w:pPr>
            <w:r w:rsidRPr="00D61F73">
              <w:rPr>
                <w:rFonts w:ascii="Arial" w:hAnsi="Arial" w:cs="Arial"/>
              </w:rPr>
              <w:t xml:space="preserve">See MTUS Opioids Treatment Guidelines </w:t>
            </w:r>
            <w:r w:rsidRPr="00D61F73">
              <w:rPr>
                <w:rFonts w:ascii="Arial" w:hAnsi="Arial" w:cs="Arial"/>
                <w:bCs/>
              </w:rPr>
              <w:t xml:space="preserve">for information on opioids. Also </w:t>
            </w:r>
            <w:r w:rsidRPr="00D61F73">
              <w:rPr>
                <w:rFonts w:ascii="Arial" w:hAnsi="Arial" w:cs="Arial"/>
                <w:u w:val="single"/>
              </w:rPr>
              <w:t xml:space="preserve">see </w:t>
            </w:r>
            <w:hyperlink w:anchor="HydrocodoneIbuprofen" w:history="1">
              <w:r w:rsidRPr="00D61F73">
                <w:rPr>
                  <w:rStyle w:val="Hyperlink"/>
                  <w:rFonts w:ascii="Arial" w:hAnsi="Arial" w:cs="Arial"/>
                </w:rPr>
                <w:t>Hydrocodone/Ibuprofen</w:t>
              </w:r>
            </w:hyperlink>
            <w:r w:rsidRPr="00D61F73">
              <w:rPr>
                <w:rFonts w:ascii="Arial" w:hAnsi="Arial" w:cs="Arial"/>
                <w:u w:val="single"/>
              </w:rPr>
              <w:t xml:space="preserve"> (Vicoprofen®). </w:t>
            </w:r>
          </w:p>
        </w:tc>
      </w:tr>
      <w:tr w:rsidR="0038137E" w:rsidRPr="00D61F73" w14:paraId="6770C641" w14:textId="77777777" w:rsidTr="0038137E">
        <w:tc>
          <w:tcPr>
            <w:tcW w:w="1088" w:type="pct"/>
            <w:shd w:val="clear" w:color="auto" w:fill="auto"/>
          </w:tcPr>
          <w:p w14:paraId="293F91CC" w14:textId="721CA95F"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Vimovo (esomeprazole magnesium/ naproxen)</w:t>
            </w:r>
          </w:p>
        </w:tc>
        <w:tc>
          <w:tcPr>
            <w:tcW w:w="3912" w:type="pct"/>
            <w:shd w:val="clear" w:color="auto" w:fill="auto"/>
          </w:tcPr>
          <w:p w14:paraId="06C8FBCE" w14:textId="1692E79F" w:rsidR="0038137E" w:rsidRPr="00D61F73" w:rsidRDefault="0038137E" w:rsidP="00D61F73">
            <w:pPr>
              <w:rPr>
                <w:rFonts w:ascii="Arial" w:hAnsi="Arial" w:cs="Arial"/>
                <w:u w:val="single"/>
              </w:rPr>
            </w:pPr>
            <w:r w:rsidRPr="00D61F73">
              <w:rPr>
                <w:rFonts w:ascii="Arial" w:hAnsi="Arial" w:cs="Arial"/>
              </w:rPr>
              <w:t>Not recommended as a first-line therapy.</w:t>
            </w:r>
            <w:r w:rsidR="00214E78">
              <w:rPr>
                <w:rFonts w:ascii="Arial" w:hAnsi="Arial" w:cs="Arial"/>
              </w:rPr>
              <w:t xml:space="preserve"> </w:t>
            </w:r>
            <w:r w:rsidRPr="00D61F73">
              <w:rPr>
                <w:rFonts w:ascii="Arial" w:hAnsi="Arial" w:cs="Arial"/>
              </w:rPr>
              <w:t xml:space="preserve">See </w:t>
            </w:r>
            <w:hyperlink w:anchor="Protonpumpinhibitors" w:history="1">
              <w:r w:rsidRPr="00D61F73">
                <w:rPr>
                  <w:rStyle w:val="Hyperlink"/>
                  <w:rFonts w:ascii="Arial" w:hAnsi="Arial" w:cs="Arial"/>
                </w:rPr>
                <w:t>Proton pump inhibitors</w:t>
              </w:r>
            </w:hyperlink>
            <w:r w:rsidRPr="00D61F73">
              <w:rPr>
                <w:rFonts w:ascii="Arial" w:hAnsi="Arial" w:cs="Arial"/>
              </w:rPr>
              <w:t xml:space="preserve"> (PPIs) &amp; </w:t>
            </w:r>
            <w:hyperlink w:anchor="Naproxen" w:history="1">
              <w:r w:rsidRPr="00D61F73">
                <w:rPr>
                  <w:rStyle w:val="Hyperlink"/>
                  <w:rFonts w:ascii="Arial" w:hAnsi="Arial" w:cs="Arial"/>
                </w:rPr>
                <w:t>Naproxen</w:t>
              </w:r>
            </w:hyperlink>
            <w:r w:rsidRPr="00D61F73">
              <w:rPr>
                <w:rFonts w:ascii="Arial" w:hAnsi="Arial" w:cs="Arial"/>
              </w:rPr>
              <w:t xml:space="preserve">. In May 2010 FDA approved Vimovo, a fixed-dose tablet combination of delayed-release enteric-coated naproxen and immediate-release esomeprazole magnesium (Nexium). The NSAID/PPI combo is indicated to relieve signs and symptoms of osteoarthritis, rheumatoid arthritis, and ankylosing spondylitis while decreasing the risk </w:t>
            </w:r>
            <w:r w:rsidRPr="00D61F73">
              <w:rPr>
                <w:rFonts w:ascii="Arial" w:hAnsi="Arial" w:cs="Arial"/>
              </w:rPr>
              <w:lastRenderedPageBreak/>
              <w:t>for NSAID-related gastric ulcers in susceptible patients. (</w:t>
            </w:r>
            <w:hyperlink r:id="rId175" w:history="1">
              <w:r w:rsidRPr="00D61F73">
                <w:rPr>
                  <w:rStyle w:val="Hyperlink"/>
                  <w:rFonts w:ascii="Arial" w:hAnsi="Arial" w:cs="Arial"/>
                </w:rPr>
                <w:t>FDA, 2010</w:t>
              </w:r>
            </w:hyperlink>
            <w:r w:rsidRPr="00D61F73">
              <w:rPr>
                <w:rFonts w:ascii="Arial" w:hAnsi="Arial" w:cs="Arial"/>
              </w:rPr>
              <w:t xml:space="preserve">) As with </w:t>
            </w:r>
            <w:hyperlink w:anchor="Nexium" w:history="1">
              <w:r w:rsidRPr="00D61F73">
                <w:rPr>
                  <w:rStyle w:val="Hyperlink"/>
                  <w:rFonts w:ascii="Arial" w:hAnsi="Arial" w:cs="Arial"/>
                </w:rPr>
                <w:t>Nexium</w:t>
              </w:r>
            </w:hyperlink>
            <w:r w:rsidRPr="00D61F73">
              <w:rPr>
                <w:rFonts w:ascii="Arial" w:hAnsi="Arial" w:cs="Arial"/>
              </w:rPr>
              <w:t>, a trial of omeprazole and naproxen or similar combination is recommended before Vimovo therapy.</w:t>
            </w:r>
          </w:p>
        </w:tc>
      </w:tr>
      <w:tr w:rsidR="0038137E" w:rsidRPr="00D61F73" w14:paraId="61042F9E" w14:textId="77777777" w:rsidTr="0038137E">
        <w:tc>
          <w:tcPr>
            <w:tcW w:w="1088" w:type="pct"/>
            <w:shd w:val="clear" w:color="auto" w:fill="auto"/>
          </w:tcPr>
          <w:p w14:paraId="6C72A332" w14:textId="57E73F0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Vimpat® (lacosamide)</w:t>
            </w:r>
          </w:p>
        </w:tc>
        <w:tc>
          <w:tcPr>
            <w:tcW w:w="3912" w:type="pct"/>
            <w:shd w:val="clear" w:color="auto" w:fill="auto"/>
          </w:tcPr>
          <w:p w14:paraId="04EBB179" w14:textId="5AE6384E" w:rsidR="0038137E" w:rsidRPr="00D61F73" w:rsidRDefault="0038137E" w:rsidP="00D61F73">
            <w:pPr>
              <w:rPr>
                <w:rFonts w:ascii="Arial" w:hAnsi="Arial" w:cs="Arial"/>
              </w:rPr>
            </w:pPr>
            <w:r w:rsidRPr="00D61F73">
              <w:rPr>
                <w:rFonts w:ascii="Arial" w:hAnsi="Arial" w:cs="Arial"/>
              </w:rPr>
              <w:t xml:space="preserve">See </w:t>
            </w:r>
            <w:hyperlink w:anchor="Lacosamide" w:history="1">
              <w:r w:rsidRPr="00D61F73">
                <w:rPr>
                  <w:rStyle w:val="Hyperlink"/>
                  <w:rFonts w:ascii="Arial" w:hAnsi="Arial" w:cs="Arial"/>
                </w:rPr>
                <w:t>Lacosamide</w:t>
              </w:r>
            </w:hyperlink>
            <w:r w:rsidRPr="00D61F73">
              <w:rPr>
                <w:rFonts w:ascii="Arial" w:hAnsi="Arial" w:cs="Arial"/>
              </w:rPr>
              <w:t xml:space="preserve"> (Vimpat®).</w:t>
            </w:r>
          </w:p>
        </w:tc>
      </w:tr>
      <w:tr w:rsidR="0038137E" w:rsidRPr="00D61F73" w14:paraId="501CC387" w14:textId="77777777" w:rsidTr="0038137E">
        <w:tc>
          <w:tcPr>
            <w:tcW w:w="1088" w:type="pct"/>
            <w:shd w:val="clear" w:color="auto" w:fill="auto"/>
          </w:tcPr>
          <w:p w14:paraId="78A3B73B" w14:textId="1FE34565"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Vioxx® (rofecoxib)</w:t>
            </w:r>
          </w:p>
        </w:tc>
        <w:tc>
          <w:tcPr>
            <w:tcW w:w="3912" w:type="pct"/>
            <w:shd w:val="clear" w:color="auto" w:fill="auto"/>
          </w:tcPr>
          <w:p w14:paraId="3BB955C9" w14:textId="39062DC8" w:rsidR="0038137E" w:rsidRPr="00D61F73" w:rsidRDefault="0038137E" w:rsidP="00D61F73">
            <w:pPr>
              <w:rPr>
                <w:rFonts w:ascii="Arial" w:hAnsi="Arial" w:cs="Arial"/>
              </w:rPr>
            </w:pPr>
            <w:r w:rsidRPr="00D61F73">
              <w:rPr>
                <w:rFonts w:ascii="Arial" w:hAnsi="Arial" w:cs="Arial"/>
              </w:rPr>
              <w:t xml:space="preserve">Not recommended. </w:t>
            </w:r>
            <w:r w:rsidRPr="00D61F73">
              <w:rPr>
                <w:rFonts w:ascii="Arial" w:hAnsi="Arial" w:cs="Arial"/>
                <w:i/>
                <w:iCs/>
              </w:rPr>
              <w:t>Note: Pulled from market 10/5/04.</w:t>
            </w:r>
            <w:r w:rsidRPr="00D61F73">
              <w:rPr>
                <w:rFonts w:ascii="Arial" w:hAnsi="Arial" w:cs="Arial"/>
              </w:rPr>
              <w:t xml:space="preserve"> See </w:t>
            </w:r>
            <w:hyperlink w:anchor="Antiinflammatorymedications" w:history="1">
              <w:r w:rsidRPr="00D61F73">
                <w:rPr>
                  <w:rStyle w:val="Hyperlink"/>
                  <w:rFonts w:ascii="Arial" w:hAnsi="Arial" w:cs="Arial"/>
                </w:rPr>
                <w:t>Anti-inflammatory medications</w:t>
              </w:r>
            </w:hyperlink>
            <w:r w:rsidRPr="00D61F73">
              <w:rPr>
                <w:rFonts w:ascii="Arial" w:hAnsi="Arial" w:cs="Arial"/>
              </w:rPr>
              <w:t xml:space="preserve"> and </w:t>
            </w:r>
            <w:hyperlink w:anchor="NSAIDs" w:history="1">
              <w:r w:rsidRPr="00D61F73">
                <w:rPr>
                  <w:rStyle w:val="Hyperlink"/>
                  <w:rFonts w:ascii="Arial" w:hAnsi="Arial" w:cs="Arial"/>
                </w:rPr>
                <w:t>NSAIDs</w:t>
              </w:r>
            </w:hyperlink>
            <w:r w:rsidRPr="00D61F73">
              <w:rPr>
                <w:rFonts w:ascii="Arial" w:hAnsi="Arial" w:cs="Arial"/>
              </w:rPr>
              <w:t xml:space="preserve"> (non-steroidal anti-inflammatory drugs). Recent studies have shown an increase in the risk of myocardial infarction for rofecoxib (Vioxx), compared to NSAID’s with an antiplatelet effect. (</w:t>
            </w:r>
            <w:hyperlink w:anchor="Choi" w:history="1">
              <w:r w:rsidRPr="00D61F73">
                <w:rPr>
                  <w:rStyle w:val="Hyperlink"/>
                  <w:rFonts w:ascii="Arial" w:hAnsi="Arial" w:cs="Arial"/>
                </w:rPr>
                <w:t>Choi, 2004</w:t>
              </w:r>
            </w:hyperlink>
            <w:r w:rsidRPr="00D61F73">
              <w:rPr>
                <w:rFonts w:ascii="Arial" w:hAnsi="Arial" w:cs="Arial"/>
              </w:rPr>
              <w:t>) (</w:t>
            </w:r>
            <w:hyperlink w:anchor="Solomon" w:history="1">
              <w:r w:rsidRPr="00D61F73">
                <w:rPr>
                  <w:rStyle w:val="Hyperlink"/>
                  <w:rFonts w:ascii="Arial" w:hAnsi="Arial" w:cs="Arial"/>
                </w:rPr>
                <w:t>Solomon, 2004</w:t>
              </w:r>
            </w:hyperlink>
            <w:r w:rsidRPr="00D61F73">
              <w:rPr>
                <w:rFonts w:ascii="Arial" w:hAnsi="Arial" w:cs="Arial"/>
              </w:rPr>
              <w:t>)</w:t>
            </w:r>
          </w:p>
        </w:tc>
      </w:tr>
      <w:tr w:rsidR="0038137E" w:rsidRPr="00D61F73" w14:paraId="7A70008B" w14:textId="77777777" w:rsidTr="0038137E">
        <w:tc>
          <w:tcPr>
            <w:tcW w:w="1088" w:type="pct"/>
            <w:shd w:val="clear" w:color="auto" w:fill="auto"/>
          </w:tcPr>
          <w:p w14:paraId="7A860521" w14:textId="6802240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w:t>
            </w:r>
            <w:bookmarkStart w:id="387" w:name="VitaminB"/>
            <w:bookmarkEnd w:id="387"/>
            <w:r w:rsidRPr="00D61F73">
              <w:rPr>
                <w:rFonts w:ascii="Arial" w:hAnsi="Arial" w:cs="Arial"/>
              </w:rPr>
              <w:t xml:space="preserve">itamin B </w:t>
            </w:r>
          </w:p>
        </w:tc>
        <w:tc>
          <w:tcPr>
            <w:tcW w:w="3912" w:type="pct"/>
            <w:shd w:val="clear" w:color="auto" w:fill="auto"/>
          </w:tcPr>
          <w:p w14:paraId="027FC332" w14:textId="3BC74600" w:rsidR="0038137E" w:rsidRPr="00D61F73" w:rsidRDefault="0038137E" w:rsidP="00D61F73">
            <w:pPr>
              <w:rPr>
                <w:rFonts w:ascii="Arial" w:hAnsi="Arial" w:cs="Arial"/>
              </w:rPr>
            </w:pPr>
            <w:r w:rsidRPr="00D61F73">
              <w:rPr>
                <w:rFonts w:ascii="Arial" w:hAnsi="Arial" w:cs="Arial"/>
              </w:rPr>
              <w:t>Not recommended for the treatment of chronic pain. Vitamin B is frequently used for treating peripheral neuropathy but its efficacy is not clear. A recent meta-analysis concluded that there are only limited data in randomized trials testing the efficacy of vitamin B for treating peripheral neuropathy and the evidence is insufficient to determine whether vitamin B is beneficial or harmful. In the comparison of vitamin B with placebo, there was no significant short-term benefit in pain intensity while there is a small significant benefit in vibration detection from oral benfotiamine, a derivative of thiamine. In comparing different doses of vitamin B complex, there was some evidence that higher doses resulted in a significant short-term reduction in pain and improvement in paraesthesiae, in a composite outcome combining pain, temperature and vibration, and in a composite outcome combining pain, numbness and paraesthesiae. There was some evidence that vitamin B is less efficacious than alpha-lipoic acid, cilostazol or cytidine triphosphate in the short-term improvement of clinical and nerve conduction study outcomes. Vitamin B is generally well-tolerated. (</w:t>
            </w:r>
            <w:hyperlink w:anchor="Ang" w:history="1">
              <w:r w:rsidRPr="00D61F73">
                <w:rPr>
                  <w:rStyle w:val="Hyperlink"/>
                  <w:rFonts w:ascii="Arial" w:hAnsi="Arial" w:cs="Arial"/>
                </w:rPr>
                <w:t>Ang-</w:t>
              </w:r>
              <w:r w:rsidRPr="00D61F73">
                <w:rPr>
                  <w:rStyle w:val="Hyperlink"/>
                  <w:rFonts w:ascii="Arial" w:hAnsi="Arial" w:cs="Arial"/>
                  <w:i/>
                  <w:iCs/>
                </w:rPr>
                <w:t>Cochrane</w:t>
              </w:r>
              <w:r w:rsidRPr="00D61F73">
                <w:rPr>
                  <w:rStyle w:val="Hyperlink"/>
                  <w:rFonts w:ascii="Arial" w:hAnsi="Arial" w:cs="Arial"/>
                </w:rPr>
                <w:t>, 2008</w:t>
              </w:r>
            </w:hyperlink>
            <w:r w:rsidRPr="00D61F73">
              <w:rPr>
                <w:rFonts w:ascii="Arial" w:hAnsi="Arial" w:cs="Arial"/>
              </w:rPr>
              <w:t>)</w:t>
            </w:r>
          </w:p>
        </w:tc>
      </w:tr>
      <w:tr w:rsidR="0038137E" w:rsidRPr="00D61F73" w14:paraId="2F8D0913" w14:textId="77777777" w:rsidTr="0064182F">
        <w:trPr>
          <w:trHeight w:val="4223"/>
        </w:trPr>
        <w:tc>
          <w:tcPr>
            <w:tcW w:w="1088" w:type="pct"/>
            <w:shd w:val="clear" w:color="auto" w:fill="auto"/>
          </w:tcPr>
          <w:p w14:paraId="35D1DB38" w14:textId="7646A99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w:t>
            </w:r>
            <w:bookmarkStart w:id="388" w:name="VitaminD"/>
            <w:bookmarkEnd w:id="388"/>
            <w:r w:rsidRPr="00D61F73">
              <w:rPr>
                <w:rFonts w:ascii="Arial" w:hAnsi="Arial" w:cs="Arial"/>
              </w:rPr>
              <w:t xml:space="preserve">itamin D (cholecalciferol) </w:t>
            </w:r>
          </w:p>
        </w:tc>
        <w:tc>
          <w:tcPr>
            <w:tcW w:w="3912" w:type="pct"/>
            <w:shd w:val="clear" w:color="auto" w:fill="auto"/>
          </w:tcPr>
          <w:p w14:paraId="1EE15867" w14:textId="77777777" w:rsidR="0038137E" w:rsidRPr="00D61F73" w:rsidRDefault="0038137E" w:rsidP="00D61F73">
            <w:pPr>
              <w:rPr>
                <w:rFonts w:ascii="Arial" w:hAnsi="Arial" w:cs="Arial"/>
              </w:rPr>
            </w:pPr>
            <w:r w:rsidRPr="00D61F73">
              <w:rPr>
                <w:rFonts w:ascii="Arial" w:hAnsi="Arial" w:cs="Arial"/>
              </w:rPr>
              <w:t>Not recommended for the treatment of chronic pain based on recent research below. Although it is not recommended as an isolated pain treatment, vitamin D supplementation is recommended to supplement a documented vitamin deficiency, which is not generally considered a workers' compensation condition. Musculoskeletal pain is associated with low vitamin D levels but the relationship may be explained by physical inactivity and/or other confounding factors. Adjusting for these factors attenuated the relationship, although pain remained moderately associated with increased odds of 20% of having low vitamin D levels. (</w:t>
            </w:r>
            <w:hyperlink w:anchor="McBeth" w:history="1">
              <w:r w:rsidRPr="00D61F73">
                <w:rPr>
                  <w:rStyle w:val="Hyperlink"/>
                  <w:rFonts w:ascii="Arial" w:hAnsi="Arial" w:cs="Arial"/>
                </w:rPr>
                <w:t>McBeth, 2010</w:t>
              </w:r>
            </w:hyperlink>
            <w:r w:rsidRPr="00D61F73">
              <w:rPr>
                <w:rFonts w:ascii="Arial" w:hAnsi="Arial" w:cs="Arial"/>
              </w:rPr>
              <w:t xml:space="preserve">) Inadequate vitamin D may represent an under-recognized source of nociperception and impaired neuromuscular functioning among patients with chronic pain. Physicians who care for patients with chronic, diffuse pain that seems musculoskeletal - and involves many areas of tenderness to palpation - should consider checking vitamin D level. For example, many patients who have been labeled with fibromyalgia may be suffering from symptomatic vitamin D inadequacy. Patients with inadequate vitamin D may benefit from cholecalciferol 50,000 international units dosed according to the level of deficiency, but caution is necessary for patients with calcium- or phosphate- processing disorders because increasing vitamin D levels could be problematic in patients with kidney failure or stones or primary hyperparathyroidism or sarcoidosis. For patients with adequate vitamin D looking to maintain levels, 10 to 15 minutes of sun </w:t>
            </w:r>
            <w:r w:rsidRPr="00D61F73">
              <w:rPr>
                <w:rFonts w:ascii="Arial" w:hAnsi="Arial" w:cs="Arial"/>
              </w:rPr>
              <w:lastRenderedPageBreak/>
              <w:t>exposure might be recommended with no sunscreen on the trunk and arms and legs 3 times a week. (</w:t>
            </w:r>
            <w:hyperlink w:anchor="Turner4" w:history="1">
              <w:r w:rsidRPr="00D61F73">
                <w:rPr>
                  <w:rStyle w:val="Hyperlink"/>
                  <w:rFonts w:ascii="Arial" w:hAnsi="Arial" w:cs="Arial"/>
                </w:rPr>
                <w:t>Turner, 2008</w:t>
              </w:r>
            </w:hyperlink>
            <w:r w:rsidRPr="00D61F73">
              <w:rPr>
                <w:rFonts w:ascii="Arial" w:hAnsi="Arial" w:cs="Arial"/>
              </w:rPr>
              <w:t>) Recent studies have suggested that vitamin D supplementation is a safe, well-tolerated approach to improve muscle strength and function, leading to fewer falls. This systematic review and meta-analysis demonstrated that there is a protective effect of vitamin D supplementation on fall prevention in older adults. (</w:t>
            </w:r>
            <w:hyperlink w:anchor="Kalyani2010" w:history="1">
              <w:r w:rsidRPr="00D61F73">
                <w:rPr>
                  <w:rStyle w:val="Hyperlink"/>
                  <w:rFonts w:ascii="Arial" w:hAnsi="Arial" w:cs="Arial"/>
                </w:rPr>
                <w:t>Kalyani, 2010</w:t>
              </w:r>
            </w:hyperlink>
            <w:r w:rsidRPr="00D61F73">
              <w:rPr>
                <w:rFonts w:ascii="Arial" w:hAnsi="Arial" w:cs="Arial"/>
              </w:rPr>
              <w:t>) On the other hand, most Americans already receive enough vitamin D, according to a report released by the Institute of Medicine, and they concluded that the positive effects of vitamin D haven't been nearly as clear-cut as advocates have suggested. (</w:t>
            </w:r>
            <w:hyperlink r:id="rId176" w:history="1">
              <w:r w:rsidRPr="00D61F73">
                <w:rPr>
                  <w:rStyle w:val="Hyperlink"/>
                  <w:rFonts w:ascii="Arial" w:hAnsi="Arial" w:cs="Arial"/>
                </w:rPr>
                <w:t>IOM, 2010</w:t>
              </w:r>
            </w:hyperlink>
            <w:r w:rsidRPr="00D61F73">
              <w:rPr>
                <w:rFonts w:ascii="Arial" w:hAnsi="Arial" w:cs="Arial"/>
              </w:rPr>
              <w:t>) Women who take a single high dose of vitamin D (300,000 IUs) suffer much less menstrual pain and have no need of pain medications for any reason for up to 2 months, according to a new RCT. The  authors say vitamin D may act as an anti-inflammatory and may regulate the expression of key genes involved in the prostaglandin pathway, causing decreased biological activity of prostaglandins. Although the numbers were small, there was a convincing difference between the placebo and vitamin D groups in the study, but it is premature to recommend this. The 300,000 IU dose of vitamin D used in the study is probably harmless if taken every month or two, but it could cause hypercalcemia if taken daily. (</w:t>
            </w:r>
            <w:hyperlink w:anchor="Lasco2012" w:history="1">
              <w:r w:rsidRPr="00D61F73">
                <w:rPr>
                  <w:rStyle w:val="Hyperlink"/>
                  <w:rFonts w:ascii="Arial" w:hAnsi="Arial" w:cs="Arial"/>
                </w:rPr>
                <w:t>Lasco, 2012</w:t>
              </w:r>
            </w:hyperlink>
            <w:r w:rsidRPr="00D61F73">
              <w:rPr>
                <w:rFonts w:ascii="Arial" w:hAnsi="Arial" w:cs="Arial"/>
              </w:rPr>
              <w:t>)</w:t>
            </w:r>
          </w:p>
          <w:p w14:paraId="46091ABE" w14:textId="77777777" w:rsidR="0038137E" w:rsidRPr="00D61F73" w:rsidRDefault="0038137E" w:rsidP="00D61F73">
            <w:pPr>
              <w:rPr>
                <w:rFonts w:ascii="Arial" w:hAnsi="Arial" w:cs="Arial"/>
              </w:rPr>
            </w:pPr>
            <w:r w:rsidRPr="00D61F73">
              <w:rPr>
                <w:rFonts w:ascii="Arial" w:hAnsi="Arial" w:cs="Arial"/>
                <w:i/>
                <w:iCs/>
                <w:u w:val="single"/>
              </w:rPr>
              <w:t>Recent research</w:t>
            </w:r>
            <w:r w:rsidRPr="00D61F73">
              <w:rPr>
                <w:rFonts w:ascii="Arial" w:hAnsi="Arial" w:cs="Arial"/>
                <w:i/>
                <w:iCs/>
              </w:rPr>
              <w:t>:</w:t>
            </w:r>
            <w:r w:rsidRPr="00D61F73">
              <w:rPr>
                <w:rFonts w:ascii="Arial" w:hAnsi="Arial" w:cs="Arial"/>
              </w:rPr>
              <w:t xml:space="preserve"> In this RCT, Vitamin D supplementation for 2 years at a dose sufficient to elevate 25-hydroxyvitamin D plasma levels to higher than 36 ng/mL, when compared with placebo, did not reduce knee pain or cartilage volume loss in patients with symptomatic knee OA. (</w:t>
            </w:r>
            <w:hyperlink w:anchor="McAlindon" w:history="1">
              <w:r w:rsidRPr="00D61F73">
                <w:rPr>
                  <w:rStyle w:val="Hyperlink"/>
                  <w:rFonts w:ascii="Arial" w:hAnsi="Arial" w:cs="Arial"/>
                </w:rPr>
                <w:t>McAlindon, 2013</w:t>
              </w:r>
            </w:hyperlink>
            <w:r w:rsidRPr="00D61F73">
              <w:rPr>
                <w:rFonts w:ascii="Arial" w:hAnsi="Arial" w:cs="Arial"/>
              </w:rPr>
              <w:t>) Optimization of calcifediol levels in fibromyalgia syndrome had a positive effect on the perception of pain, but further studies with larger patient numbers are needed to prove the hypothesis (</w:t>
            </w:r>
            <w:hyperlink w:anchor="Wepner2014" w:history="1">
              <w:r w:rsidRPr="00D61F73">
                <w:rPr>
                  <w:rStyle w:val="Hyperlink"/>
                  <w:rFonts w:ascii="Arial" w:hAnsi="Arial" w:cs="Arial"/>
                </w:rPr>
                <w:t>Wepner, 2014</w:t>
              </w:r>
            </w:hyperlink>
            <w:r w:rsidRPr="00D61F73">
              <w:rPr>
                <w:rFonts w:ascii="Arial" w:hAnsi="Arial" w:cs="Arial"/>
              </w:rPr>
              <w:t>).</w:t>
            </w:r>
          </w:p>
          <w:p w14:paraId="4ED3D486" w14:textId="6698E79C" w:rsidR="0038137E" w:rsidRPr="00D61F73" w:rsidRDefault="0038137E" w:rsidP="00D61F73">
            <w:pPr>
              <w:rPr>
                <w:rFonts w:ascii="Arial" w:hAnsi="Arial" w:cs="Arial"/>
              </w:rPr>
            </w:pPr>
          </w:p>
        </w:tc>
      </w:tr>
      <w:tr w:rsidR="0038137E" w:rsidRPr="00D61F73" w14:paraId="2097B0D8" w14:textId="77777777" w:rsidTr="0038137E">
        <w:tc>
          <w:tcPr>
            <w:tcW w:w="1088" w:type="pct"/>
            <w:shd w:val="clear" w:color="auto" w:fill="auto"/>
          </w:tcPr>
          <w:p w14:paraId="50A1E30F" w14:textId="7FD0527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 xml:space="preserve">Vitamin K </w:t>
            </w:r>
          </w:p>
        </w:tc>
        <w:tc>
          <w:tcPr>
            <w:tcW w:w="3912" w:type="pct"/>
            <w:shd w:val="clear" w:color="auto" w:fill="auto"/>
          </w:tcPr>
          <w:p w14:paraId="7E370A6B" w14:textId="318409AB" w:rsidR="0038137E" w:rsidRPr="00D61F73" w:rsidRDefault="0038137E" w:rsidP="00D61F73">
            <w:pPr>
              <w:rPr>
                <w:rFonts w:ascii="Arial" w:hAnsi="Arial" w:cs="Arial"/>
              </w:rPr>
            </w:pPr>
            <w:r w:rsidRPr="00D61F73">
              <w:rPr>
                <w:rFonts w:ascii="Arial" w:hAnsi="Arial" w:cs="Arial"/>
              </w:rPr>
              <w:t>Not recommended for the treatment of chronic pain. This study concluded that low dietary vitamin K intake is a risk factor for knee OA, and that vitamin K may have a protective role against knee OA and might lead to a disease-modifying treatment. (</w:t>
            </w:r>
            <w:hyperlink w:anchor="Oka2010" w:history="1">
              <w:r w:rsidRPr="00D61F73">
                <w:rPr>
                  <w:rStyle w:val="Hyperlink"/>
                  <w:rFonts w:ascii="Arial" w:hAnsi="Arial" w:cs="Arial"/>
                </w:rPr>
                <w:t>Oka, 2010</w:t>
              </w:r>
            </w:hyperlink>
            <w:r w:rsidRPr="00D61F73">
              <w:rPr>
                <w:rFonts w:ascii="Arial" w:hAnsi="Arial" w:cs="Arial"/>
              </w:rPr>
              <w:t>) But this study concluded that there was no overall effect of vitamin K on radiographic hand osteoarthritis. (</w:t>
            </w:r>
            <w:hyperlink w:anchor="Neogi2008" w:history="1">
              <w:r w:rsidRPr="00D61F73">
                <w:rPr>
                  <w:rStyle w:val="Hyperlink"/>
                  <w:rFonts w:ascii="Arial" w:hAnsi="Arial" w:cs="Arial"/>
                </w:rPr>
                <w:t>Neogi, 2008</w:t>
              </w:r>
            </w:hyperlink>
            <w:r w:rsidRPr="00D61F73">
              <w:rPr>
                <w:rFonts w:ascii="Arial" w:hAnsi="Arial" w:cs="Arial"/>
              </w:rPr>
              <w:t>) This study found an association between low plasma levels of vitamin K and increased prevalence of OA manifestations in the hand and knee. (</w:t>
            </w:r>
            <w:hyperlink w:anchor="Neogi2006" w:history="1">
              <w:r w:rsidRPr="00D61F73">
                <w:rPr>
                  <w:rStyle w:val="Hyperlink"/>
                  <w:rFonts w:ascii="Arial" w:hAnsi="Arial" w:cs="Arial"/>
                </w:rPr>
                <w:t>Neogi, 2006</w:t>
              </w:r>
            </w:hyperlink>
            <w:r w:rsidRPr="00D61F73">
              <w:rPr>
                <w:rFonts w:ascii="Arial" w:hAnsi="Arial" w:cs="Arial"/>
              </w:rPr>
              <w:t>)</w:t>
            </w:r>
          </w:p>
        </w:tc>
      </w:tr>
      <w:tr w:rsidR="0038137E" w:rsidRPr="00D61F73" w14:paraId="59678ABC" w14:textId="77777777" w:rsidTr="0038137E">
        <w:tc>
          <w:tcPr>
            <w:tcW w:w="1088" w:type="pct"/>
            <w:shd w:val="clear" w:color="auto" w:fill="auto"/>
          </w:tcPr>
          <w:p w14:paraId="76681F9D" w14:textId="07A8F7B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Vivitrol® (naltrexone)</w:t>
            </w:r>
          </w:p>
        </w:tc>
        <w:tc>
          <w:tcPr>
            <w:tcW w:w="3912" w:type="pct"/>
            <w:shd w:val="clear" w:color="auto" w:fill="auto"/>
          </w:tcPr>
          <w:p w14:paraId="1391BF60" w14:textId="3F638132" w:rsidR="0038137E" w:rsidRPr="00D61F73" w:rsidRDefault="0038137E" w:rsidP="00D61F73">
            <w:pPr>
              <w:rPr>
                <w:rFonts w:ascii="Arial" w:hAnsi="Arial" w:cs="Arial"/>
              </w:rPr>
            </w:pPr>
            <w:r w:rsidRPr="00D61F73">
              <w:rPr>
                <w:rFonts w:ascii="Arial" w:hAnsi="Arial" w:cs="Arial"/>
              </w:rPr>
              <w:t xml:space="preserve">See </w:t>
            </w:r>
            <w:hyperlink w:anchor="Naltrexone" w:history="1">
              <w:r w:rsidRPr="00D61F73">
                <w:rPr>
                  <w:rStyle w:val="Hyperlink"/>
                  <w:rFonts w:ascii="Arial" w:hAnsi="Arial" w:cs="Arial"/>
                </w:rPr>
                <w:t>Naltrexone</w:t>
              </w:r>
            </w:hyperlink>
            <w:r w:rsidRPr="00D61F73">
              <w:rPr>
                <w:rFonts w:ascii="Arial" w:hAnsi="Arial" w:cs="Arial"/>
              </w:rPr>
              <w:t xml:space="preserve"> (Vivitrol®).</w:t>
            </w:r>
          </w:p>
        </w:tc>
      </w:tr>
      <w:tr w:rsidR="0038137E" w:rsidRPr="00D61F73" w14:paraId="2657997A" w14:textId="77777777" w:rsidTr="0038137E">
        <w:tc>
          <w:tcPr>
            <w:tcW w:w="1088" w:type="pct"/>
            <w:shd w:val="clear" w:color="auto" w:fill="auto"/>
          </w:tcPr>
          <w:p w14:paraId="7442255C" w14:textId="1BB12414"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Voltaren®</w:t>
            </w:r>
          </w:p>
        </w:tc>
        <w:tc>
          <w:tcPr>
            <w:tcW w:w="3912" w:type="pct"/>
            <w:shd w:val="clear" w:color="auto" w:fill="auto"/>
          </w:tcPr>
          <w:p w14:paraId="28A03D2C" w14:textId="715CB358" w:rsidR="0038137E" w:rsidRPr="00D61F73" w:rsidRDefault="0038137E" w:rsidP="00D61F73">
            <w:pPr>
              <w:rPr>
                <w:rFonts w:ascii="Arial" w:hAnsi="Arial" w:cs="Arial"/>
              </w:rPr>
            </w:pPr>
            <w:r w:rsidRPr="00D61F73">
              <w:rPr>
                <w:rFonts w:ascii="Arial" w:hAnsi="Arial" w:cs="Arial"/>
              </w:rPr>
              <w:t xml:space="preserve">See </w:t>
            </w:r>
            <w:hyperlink w:anchor="Diclofenacsodium" w:history="1">
              <w:r w:rsidRPr="00D61F73">
                <w:rPr>
                  <w:rStyle w:val="Hyperlink"/>
                  <w:rFonts w:ascii="Arial" w:hAnsi="Arial" w:cs="Arial"/>
                </w:rPr>
                <w:t>Diclofenac Sodium</w:t>
              </w:r>
            </w:hyperlink>
            <w:r w:rsidRPr="00D61F73">
              <w:rPr>
                <w:rFonts w:ascii="Arial" w:hAnsi="Arial" w:cs="Arial"/>
              </w:rPr>
              <w:t xml:space="preserve"> (Voltaren®, Voltaren-XR®), where the oral form is </w:t>
            </w:r>
            <w:r w:rsidRPr="00D61F73">
              <w:rPr>
                <w:rFonts w:ascii="Arial" w:hAnsi="Arial" w:cs="Arial"/>
                <w:bCs/>
              </w:rPr>
              <w:t>recommended with cautions, but not as a first-line drug</w:t>
            </w:r>
            <w:r w:rsidRPr="00D61F73">
              <w:rPr>
                <w:rFonts w:ascii="Arial" w:hAnsi="Arial" w:cs="Arial"/>
              </w:rPr>
              <w:t>.</w:t>
            </w:r>
          </w:p>
        </w:tc>
      </w:tr>
      <w:tr w:rsidR="0038137E" w:rsidRPr="00D61F73" w14:paraId="4B637612" w14:textId="77777777" w:rsidTr="0038137E">
        <w:tc>
          <w:tcPr>
            <w:tcW w:w="1088" w:type="pct"/>
            <w:shd w:val="clear" w:color="auto" w:fill="auto"/>
          </w:tcPr>
          <w:p w14:paraId="09A7A4A8" w14:textId="276DA7A0"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Voltaren® Gel (diclofenac)</w:t>
            </w:r>
          </w:p>
        </w:tc>
        <w:tc>
          <w:tcPr>
            <w:tcW w:w="3912" w:type="pct"/>
            <w:shd w:val="clear" w:color="auto" w:fill="auto"/>
          </w:tcPr>
          <w:p w14:paraId="7F647182" w14:textId="3BB57EFF" w:rsidR="0038137E" w:rsidRPr="00D61F73" w:rsidRDefault="0038137E" w:rsidP="00D61F73">
            <w:pPr>
              <w:rPr>
                <w:rFonts w:ascii="Arial" w:hAnsi="Arial" w:cs="Arial"/>
              </w:rPr>
            </w:pPr>
            <w:r w:rsidRPr="00D61F73">
              <w:rPr>
                <w:rFonts w:ascii="Arial" w:hAnsi="Arial" w:cs="Arial"/>
              </w:rPr>
              <w:t xml:space="preserve">Not recommended as a first-line treatment. See </w:t>
            </w:r>
            <w:hyperlink w:anchor="Diclofenacsodium" w:history="1">
              <w:r w:rsidRPr="00D61F73">
                <w:rPr>
                  <w:rStyle w:val="Hyperlink"/>
                  <w:rFonts w:ascii="Arial" w:hAnsi="Arial" w:cs="Arial"/>
                </w:rPr>
                <w:t>Diclofenac Sodium</w:t>
              </w:r>
            </w:hyperlink>
            <w:r w:rsidRPr="00D61F73">
              <w:rPr>
                <w:rFonts w:ascii="Arial" w:hAnsi="Arial" w:cs="Arial"/>
              </w:rPr>
              <w:t xml:space="preserve"> (Voltaren®), where Voltaren Gel is recommended for osteoarthritis after failure of an oral NSAID, or contraindications to oral NSAIDs, or for patients who cannot swallow solid oral dosage forms, and after considering the increased risk profile with diclofenac, including topical formulations. According to FDA MedWatch, postmarketing surveillance of Voltaren Gel has reported cases of severe hepatic reactions, including liver necrosis, jaundice, fulminant hepatitis with and without jaundice, and </w:t>
            </w:r>
            <w:r w:rsidRPr="00D61F73">
              <w:rPr>
                <w:rFonts w:ascii="Arial" w:hAnsi="Arial" w:cs="Arial"/>
              </w:rPr>
              <w:lastRenderedPageBreak/>
              <w:t>liver failure. Some of  these reported cases resulted in fatalities or liver transplantation. (</w:t>
            </w:r>
            <w:hyperlink r:id="rId177" w:history="1">
              <w:r w:rsidRPr="00D61F73">
                <w:rPr>
                  <w:rStyle w:val="Hyperlink"/>
                  <w:rFonts w:ascii="Arial" w:hAnsi="Arial" w:cs="Arial"/>
                </w:rPr>
                <w:t>FDA, 2011</w:t>
              </w:r>
            </w:hyperlink>
            <w:r w:rsidRPr="00D61F73">
              <w:rPr>
                <w:rFonts w:ascii="Arial" w:hAnsi="Arial" w:cs="Arial"/>
              </w:rPr>
              <w:t xml:space="preserve">) For more details see </w:t>
            </w:r>
            <w:hyperlink w:anchor="Topicalanalgesics" w:history="1">
              <w:r w:rsidRPr="00D61F73">
                <w:rPr>
                  <w:rStyle w:val="Hyperlink"/>
                  <w:rFonts w:ascii="Arial" w:hAnsi="Arial" w:cs="Arial"/>
                </w:rPr>
                <w:t>Topical analgesics</w:t>
              </w:r>
            </w:hyperlink>
            <w:r w:rsidRPr="00D61F73">
              <w:rPr>
                <w:rFonts w:ascii="Arial" w:hAnsi="Arial" w:cs="Arial"/>
              </w:rPr>
              <w:t xml:space="preserve">, </w:t>
            </w:r>
            <w:hyperlink w:anchor="Nonsteroidalantinflammatoryagents" w:history="1">
              <w:r w:rsidRPr="00D61F73">
                <w:rPr>
                  <w:rStyle w:val="Hyperlink"/>
                  <w:rFonts w:ascii="Arial" w:hAnsi="Arial" w:cs="Arial"/>
                </w:rPr>
                <w:t>Non-steroidal antinflammatory agents</w:t>
              </w:r>
            </w:hyperlink>
            <w:r w:rsidRPr="00D61F73">
              <w:rPr>
                <w:rFonts w:ascii="Arial" w:hAnsi="Arial" w:cs="Arial"/>
              </w:rPr>
              <w:t xml:space="preserve"> (NSAIDs), and the </w:t>
            </w:r>
            <w:hyperlink w:anchor="Diclofenactopical" w:history="1">
              <w:r w:rsidRPr="00C254FC">
                <w:rPr>
                  <w:rStyle w:val="Hyperlink"/>
                  <w:rFonts w:ascii="Arial" w:hAnsi="Arial" w:cs="Arial"/>
                </w:rPr>
                <w:t>diclofenac topical</w:t>
              </w:r>
            </w:hyperlink>
            <w:r w:rsidRPr="00D61F73">
              <w:rPr>
                <w:rFonts w:ascii="Arial" w:hAnsi="Arial" w:cs="Arial"/>
              </w:rPr>
              <w:t xml:space="preserve"> listing.</w:t>
            </w:r>
          </w:p>
        </w:tc>
      </w:tr>
      <w:tr w:rsidR="0038137E" w:rsidRPr="00D61F73" w14:paraId="60E2E7DA" w14:textId="77777777" w:rsidTr="0038137E">
        <w:tc>
          <w:tcPr>
            <w:tcW w:w="1088" w:type="pct"/>
            <w:shd w:val="clear" w:color="auto" w:fill="auto"/>
          </w:tcPr>
          <w:p w14:paraId="41B57578" w14:textId="7033A7D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Weaning</w:t>
            </w:r>
          </w:p>
        </w:tc>
        <w:tc>
          <w:tcPr>
            <w:tcW w:w="3912" w:type="pct"/>
            <w:shd w:val="clear" w:color="auto" w:fill="auto"/>
          </w:tcPr>
          <w:p w14:paraId="696849C5" w14:textId="5FE1ACB4" w:rsidR="0038137E" w:rsidRPr="00D61F73" w:rsidRDefault="0038137E" w:rsidP="00D61F73">
            <w:pPr>
              <w:rPr>
                <w:rFonts w:ascii="Arial" w:hAnsi="Arial" w:cs="Arial"/>
              </w:rPr>
            </w:pPr>
            <w:r w:rsidRPr="00D61F73">
              <w:rPr>
                <w:rFonts w:ascii="Arial" w:hAnsi="Arial" w:cs="Arial"/>
                <w:bCs/>
              </w:rPr>
              <w:t xml:space="preserve">See </w:t>
            </w:r>
            <w:hyperlink w:anchor="Weaningbenzo" w:history="1">
              <w:r w:rsidRPr="00D61F73">
                <w:rPr>
                  <w:rStyle w:val="Hyperlink"/>
                  <w:rFonts w:ascii="Arial" w:hAnsi="Arial" w:cs="Arial"/>
                  <w:bCs/>
                </w:rPr>
                <w:t>Weaning, benzodiazepines</w:t>
              </w:r>
            </w:hyperlink>
            <w:r w:rsidRPr="00D61F73">
              <w:rPr>
                <w:rFonts w:ascii="Arial" w:hAnsi="Arial" w:cs="Arial"/>
                <w:bCs/>
              </w:rPr>
              <w:t xml:space="preserve"> (specific guidelines); </w:t>
            </w:r>
            <w:hyperlink w:anchor="Weaningcarisoprodol" w:history="1">
              <w:r w:rsidRPr="00D61F73">
                <w:rPr>
                  <w:rStyle w:val="Hyperlink"/>
                  <w:rFonts w:ascii="Arial" w:hAnsi="Arial" w:cs="Arial"/>
                  <w:bCs/>
                </w:rPr>
                <w:t>Weaning, carisoprodol</w:t>
              </w:r>
            </w:hyperlink>
            <w:r w:rsidRPr="00D61F73">
              <w:rPr>
                <w:rFonts w:ascii="Arial" w:hAnsi="Arial" w:cs="Arial"/>
                <w:bCs/>
              </w:rPr>
              <w:t xml:space="preserve">(Soma®); </w:t>
            </w:r>
            <w:hyperlink w:anchor="Weaningpregabalin" w:history="1">
              <w:r w:rsidRPr="00D61F73">
                <w:rPr>
                  <w:rStyle w:val="Hyperlink"/>
                  <w:rFonts w:ascii="Arial" w:hAnsi="Arial" w:cs="Arial"/>
                  <w:bCs/>
                </w:rPr>
                <w:t>Weaning, pregabalin</w:t>
              </w:r>
            </w:hyperlink>
            <w:r w:rsidRPr="00D61F73">
              <w:rPr>
                <w:rFonts w:ascii="Arial" w:hAnsi="Arial" w:cs="Arial"/>
                <w:bCs/>
              </w:rPr>
              <w:t xml:space="preserve"> (Lyrica®); </w:t>
            </w:r>
            <w:hyperlink w:anchor="Weaningschedmeds" w:history="1">
              <w:r w:rsidRPr="00D61F73">
                <w:rPr>
                  <w:rStyle w:val="Hyperlink"/>
                  <w:rFonts w:ascii="Arial" w:hAnsi="Arial" w:cs="Arial"/>
                  <w:bCs/>
                </w:rPr>
                <w:t>Weaning, scheduled medications</w:t>
              </w:r>
            </w:hyperlink>
            <w:r w:rsidRPr="00D61F73">
              <w:rPr>
                <w:rFonts w:ascii="Arial" w:hAnsi="Arial" w:cs="Arial"/>
                <w:bCs/>
              </w:rPr>
              <w:t xml:space="preserve"> (general guidelines); </w:t>
            </w:r>
            <w:hyperlink w:anchor="Weaningstimulants" w:history="1">
              <w:r w:rsidRPr="00D61F73">
                <w:rPr>
                  <w:rStyle w:val="Hyperlink"/>
                  <w:rFonts w:ascii="Arial" w:hAnsi="Arial" w:cs="Arial"/>
                  <w:bCs/>
                </w:rPr>
                <w:t>Weaning, stimulants</w:t>
              </w:r>
            </w:hyperlink>
            <w:r w:rsidRPr="00D61F73">
              <w:rPr>
                <w:rFonts w:ascii="Arial" w:hAnsi="Arial" w:cs="Arial"/>
                <w:bCs/>
              </w:rPr>
              <w:t>.</w:t>
            </w:r>
          </w:p>
        </w:tc>
      </w:tr>
      <w:tr w:rsidR="0038137E" w:rsidRPr="00D61F73" w14:paraId="367B5B09" w14:textId="77777777" w:rsidTr="0038137E">
        <w:trPr>
          <w:trHeight w:val="533"/>
        </w:trPr>
        <w:tc>
          <w:tcPr>
            <w:tcW w:w="1088" w:type="pct"/>
            <w:shd w:val="clear" w:color="auto" w:fill="auto"/>
          </w:tcPr>
          <w:p w14:paraId="7BE57580" w14:textId="5E2B9B08" w:rsidR="0038137E" w:rsidRPr="00D61F73" w:rsidRDefault="0038137E" w:rsidP="00D61F73">
            <w:pPr>
              <w:rPr>
                <w:rFonts w:ascii="Arial" w:hAnsi="Arial" w:cs="Arial"/>
              </w:rPr>
            </w:pPr>
            <w:r w:rsidRPr="00D61F73">
              <w:rPr>
                <w:rFonts w:ascii="Arial" w:hAnsi="Arial" w:cs="Arial"/>
              </w:rPr>
              <w:t>W</w:t>
            </w:r>
            <w:bookmarkStart w:id="389" w:name="Weaningbenzo"/>
            <w:bookmarkEnd w:id="389"/>
            <w:r w:rsidRPr="00D61F73">
              <w:rPr>
                <w:rFonts w:ascii="Arial" w:hAnsi="Arial" w:cs="Arial"/>
              </w:rPr>
              <w:t>eaning, benzodiazepines (specific guidelines)</w:t>
            </w:r>
          </w:p>
        </w:tc>
        <w:tc>
          <w:tcPr>
            <w:tcW w:w="3912" w:type="pct"/>
            <w:shd w:val="clear" w:color="auto" w:fill="auto"/>
          </w:tcPr>
          <w:p w14:paraId="1C02657A" w14:textId="77777777" w:rsidR="0038137E" w:rsidRPr="00D61F73" w:rsidRDefault="0038137E" w:rsidP="00D61F73">
            <w:pPr>
              <w:keepNext/>
              <w:outlineLvl w:val="0"/>
              <w:rPr>
                <w:rFonts w:ascii="Arial" w:eastAsia="Calibri" w:hAnsi="Arial" w:cs="Arial"/>
                <w:bCs/>
                <w:iCs/>
              </w:rPr>
            </w:pPr>
            <w:r w:rsidRPr="00D61F73">
              <w:rPr>
                <w:rFonts w:ascii="Arial" w:eastAsia="Calibri" w:hAnsi="Arial" w:cs="Arial"/>
                <w:bCs/>
              </w:rPr>
              <w:t xml:space="preserve">Recommended for selected patients. See </w:t>
            </w:r>
            <w:hyperlink w:anchor="Weaningschedmeds" w:history="1">
              <w:r w:rsidRPr="00D61F73">
                <w:rPr>
                  <w:rStyle w:val="Hyperlink"/>
                  <w:rFonts w:ascii="Arial" w:eastAsia="Calibri" w:hAnsi="Arial" w:cs="Arial"/>
                  <w:bCs/>
                </w:rPr>
                <w:t>Weaning, scheduled medications</w:t>
              </w:r>
            </w:hyperlink>
            <w:r w:rsidRPr="00D61F73">
              <w:rPr>
                <w:rFonts w:ascii="Arial" w:eastAsia="Calibri" w:hAnsi="Arial" w:cs="Arial"/>
                <w:bCs/>
              </w:rPr>
              <w:t xml:space="preserve"> (general guidelines). </w:t>
            </w:r>
            <w:r w:rsidRPr="00D61F73">
              <w:rPr>
                <w:rFonts w:ascii="Arial" w:eastAsia="Calibri" w:hAnsi="Arial" w:cs="Arial"/>
                <w:bCs/>
                <w:iCs/>
              </w:rPr>
              <w:t>There is no specific or internationally recognized treatment for dependence on this class of drugs. Researchers suggest that serious dependence involves individuals who (1) are prescribed this class of drugs for underlying pathology and progress to inappropriate use, or (2) individuals who use this class of drugs for recreational use. Serious problematic use includes evidence of mixing benzodiazepines, repeated evidence of escalating doses, or use to enhance effects of other substances. Unfortunately, most current research on weaning of benzodiazepines addresses patients who are not abusing this class of drugs (i.e. are using their medication for legitimate diagnoses with no evidence of abuse). (</w:t>
            </w:r>
            <w:hyperlink w:anchor="Liebrenz2010" w:history="1">
              <w:r w:rsidRPr="00D61F73">
                <w:rPr>
                  <w:rStyle w:val="Hyperlink"/>
                  <w:rFonts w:ascii="Arial" w:eastAsia="Calibri" w:hAnsi="Arial" w:cs="Arial"/>
                  <w:bCs/>
                  <w:iCs/>
                </w:rPr>
                <w:t>Liebrenz, 2010</w:t>
              </w:r>
            </w:hyperlink>
            <w:r w:rsidRPr="00D61F73">
              <w:rPr>
                <w:rFonts w:ascii="Arial" w:eastAsia="Calibri" w:hAnsi="Arial" w:cs="Arial"/>
                <w:bCs/>
                <w:iCs/>
              </w:rPr>
              <w:t>)</w:t>
            </w:r>
          </w:p>
          <w:p w14:paraId="22FBB424" w14:textId="77777777" w:rsidR="0038137E" w:rsidRPr="00D61F73" w:rsidRDefault="0038137E" w:rsidP="00D61F73">
            <w:pPr>
              <w:rPr>
                <w:rFonts w:ascii="Arial" w:eastAsia="Calibri" w:hAnsi="Arial" w:cs="Arial"/>
                <w:bCs/>
                <w:iCs/>
              </w:rPr>
            </w:pPr>
            <w:r w:rsidRPr="00D61F73">
              <w:rPr>
                <w:rFonts w:ascii="Arial" w:eastAsia="Calibri" w:hAnsi="Arial" w:cs="Arial"/>
                <w:bCs/>
                <w:i/>
                <w:iCs/>
                <w:u w:val="single"/>
              </w:rPr>
              <w:t>Guidelines</w:t>
            </w:r>
            <w:r w:rsidRPr="00D61F73">
              <w:rPr>
                <w:rFonts w:ascii="Arial" w:eastAsia="Calibri" w:hAnsi="Arial" w:cs="Arial"/>
                <w:bCs/>
                <w:i/>
                <w:iCs/>
              </w:rPr>
              <w:t xml:space="preserve">: </w:t>
            </w:r>
            <w:r w:rsidRPr="00D61F73">
              <w:rPr>
                <w:rFonts w:ascii="Arial" w:eastAsia="Calibri" w:hAnsi="Arial" w:cs="Arial"/>
                <w:bCs/>
              </w:rPr>
              <w:t>Tapering is generally required if used for greater than 2 weeks. The concomitant use of alcohol and/or other sedative hypnotics should be ascertained. A history of anxiety disorder (particularly panic) should be elicited. Medical supervision is recommended for withdrawal as there are significant possible complications. Withdrawal is considered more severe for benzodiazepines with shorter elimination half-life. (</w:t>
            </w:r>
            <w:hyperlink w:anchor="Rickels1999" w:history="1">
              <w:r w:rsidRPr="00D61F73">
                <w:rPr>
                  <w:rStyle w:val="Hyperlink"/>
                  <w:rFonts w:ascii="Arial" w:eastAsia="Calibri" w:hAnsi="Arial" w:cs="Arial"/>
                  <w:bCs/>
                </w:rPr>
                <w:t>Rickels, 1999</w:t>
              </w:r>
            </w:hyperlink>
            <w:r w:rsidRPr="00D61F73">
              <w:rPr>
                <w:rFonts w:ascii="Arial" w:eastAsia="Calibri" w:hAnsi="Arial" w:cs="Arial"/>
                <w:bCs/>
              </w:rPr>
              <w:t>) (</w:t>
            </w:r>
            <w:hyperlink w:anchor="Maremmani2013" w:history="1">
              <w:r w:rsidRPr="00D61F73">
                <w:rPr>
                  <w:rStyle w:val="Hyperlink"/>
                  <w:rFonts w:ascii="Arial" w:eastAsia="Calibri" w:hAnsi="Arial" w:cs="Arial"/>
                </w:rPr>
                <w:t>Maremmani, 2013</w:t>
              </w:r>
            </w:hyperlink>
            <w:r w:rsidRPr="00D61F73">
              <w:rPr>
                <w:rFonts w:ascii="Arial" w:eastAsia="Calibri" w:hAnsi="Arial" w:cs="Arial"/>
              </w:rPr>
              <w:t>) (</w:t>
            </w:r>
            <w:hyperlink w:anchor="Ashton2009" w:history="1">
              <w:r w:rsidRPr="00D61F73">
                <w:rPr>
                  <w:rStyle w:val="Hyperlink"/>
                  <w:rFonts w:ascii="Arial" w:eastAsia="Calibri" w:hAnsi="Arial" w:cs="Arial"/>
                </w:rPr>
                <w:t>Ashton, 2009</w:t>
              </w:r>
            </w:hyperlink>
            <w:r w:rsidRPr="00D61F73">
              <w:rPr>
                <w:rFonts w:ascii="Arial" w:eastAsia="Calibri" w:hAnsi="Arial" w:cs="Arial"/>
              </w:rPr>
              <w:t>) (</w:t>
            </w:r>
            <w:hyperlink w:anchor="LingfordHughes2004" w:history="1">
              <w:r w:rsidRPr="00D61F73">
                <w:rPr>
                  <w:rStyle w:val="Hyperlink"/>
                  <w:rFonts w:ascii="Arial" w:eastAsia="Calibri" w:hAnsi="Arial" w:cs="Arial"/>
                </w:rPr>
                <w:t>Lingford-Hughes, 2004</w:t>
              </w:r>
            </w:hyperlink>
            <w:r w:rsidRPr="00D61F73">
              <w:rPr>
                <w:rFonts w:ascii="Arial" w:eastAsia="Calibri" w:hAnsi="Arial" w:cs="Arial"/>
              </w:rPr>
              <w:t>) (</w:t>
            </w:r>
            <w:hyperlink w:anchor="Voshaar2006" w:history="1">
              <w:r w:rsidRPr="00D61F73">
                <w:rPr>
                  <w:rStyle w:val="Hyperlink"/>
                  <w:rFonts w:ascii="Arial" w:eastAsia="Calibri" w:hAnsi="Arial" w:cs="Arial"/>
                </w:rPr>
                <w:t>Voshaar, 2006</w:t>
              </w:r>
            </w:hyperlink>
            <w:r w:rsidRPr="00D61F73">
              <w:rPr>
                <w:rFonts w:ascii="Arial" w:eastAsia="Calibri" w:hAnsi="Arial" w:cs="Arial"/>
              </w:rPr>
              <w:t>) (</w:t>
            </w:r>
            <w:hyperlink w:anchor="Parr2009" w:history="1">
              <w:r w:rsidRPr="00D61F73">
                <w:rPr>
                  <w:rStyle w:val="Hyperlink"/>
                  <w:rFonts w:ascii="Arial" w:eastAsia="Calibri" w:hAnsi="Arial" w:cs="Arial"/>
                </w:rPr>
                <w:t>Parr, 2009</w:t>
              </w:r>
            </w:hyperlink>
            <w:r w:rsidRPr="00D61F73">
              <w:rPr>
                <w:rFonts w:ascii="Arial" w:eastAsia="Calibri" w:hAnsi="Arial" w:cs="Arial"/>
              </w:rPr>
              <w:t>)</w:t>
            </w:r>
          </w:p>
          <w:p w14:paraId="2D3A931C" w14:textId="77777777" w:rsidR="0038137E" w:rsidRPr="00D61F73" w:rsidRDefault="0038137E" w:rsidP="00D61F73">
            <w:pPr>
              <w:rPr>
                <w:rFonts w:ascii="Arial" w:eastAsia="Calibri" w:hAnsi="Arial" w:cs="Arial"/>
                <w:bCs/>
              </w:rPr>
            </w:pPr>
            <w:r w:rsidRPr="00D61F73">
              <w:rPr>
                <w:rFonts w:ascii="Arial" w:eastAsia="Calibri" w:hAnsi="Arial" w:cs="Arial"/>
                <w:bCs/>
                <w:i/>
              </w:rPr>
              <w:t xml:space="preserve">Weaning setting: </w:t>
            </w:r>
            <w:r w:rsidRPr="00D61F73">
              <w:rPr>
                <w:rFonts w:ascii="Arial" w:eastAsia="Calibri" w:hAnsi="Arial" w:cs="Arial"/>
                <w:bCs/>
              </w:rPr>
              <w:t xml:space="preserve">Outpatient weaning is generally only recommended for patients who are taking drugs in a therapeutic range, who are on monotherapy (benzodiazepines only), are considered reliable and have the help of significant others to monitor progress. </w:t>
            </w:r>
          </w:p>
          <w:p w14:paraId="3B2A5E55" w14:textId="77777777" w:rsidR="0038137E" w:rsidRPr="00D61F73" w:rsidRDefault="0038137E" w:rsidP="00D61F73">
            <w:pPr>
              <w:rPr>
                <w:rFonts w:ascii="Arial" w:eastAsia="Calibri" w:hAnsi="Arial" w:cs="Arial"/>
                <w:bCs/>
              </w:rPr>
            </w:pPr>
            <w:r w:rsidRPr="00D61F73">
              <w:rPr>
                <w:rFonts w:ascii="Arial" w:eastAsia="Calibri" w:hAnsi="Arial" w:cs="Arial"/>
                <w:bCs/>
                <w:i/>
              </w:rPr>
              <w:t xml:space="preserve">Chance of achieving long-term abstinence: </w:t>
            </w:r>
            <w:r w:rsidRPr="00D61F73">
              <w:rPr>
                <w:rFonts w:ascii="Arial" w:eastAsia="Calibri" w:hAnsi="Arial" w:cs="Arial"/>
                <w:bCs/>
              </w:rPr>
              <w:t xml:space="preserve">Due to risks of weaning the most attainable goal may be to simply achieve a lower dose of this class of medication with preference for a switch from rapid onset, short-acting formulations to slower-onset, longer-acting formulations (such as clonazepam). See </w:t>
            </w:r>
            <w:hyperlink w:anchor="Benzodiazepinedependencemaintenance" w:history="1">
              <w:r w:rsidRPr="00D61F73">
                <w:rPr>
                  <w:rStyle w:val="Hyperlink"/>
                  <w:rFonts w:ascii="Arial" w:eastAsia="Calibri" w:hAnsi="Arial" w:cs="Arial"/>
                  <w:bCs/>
                </w:rPr>
                <w:t>Benzodiazepine dependence, maintenance</w:t>
              </w:r>
            </w:hyperlink>
            <w:r w:rsidRPr="00D61F73">
              <w:rPr>
                <w:rFonts w:ascii="Arial" w:eastAsia="Calibri" w:hAnsi="Arial" w:cs="Arial"/>
                <w:bCs/>
              </w:rPr>
              <w:t>. (</w:t>
            </w:r>
            <w:hyperlink w:anchor="Obrien" w:history="1">
              <w:r w:rsidRPr="00D61F73">
                <w:rPr>
                  <w:rStyle w:val="Hyperlink"/>
                  <w:rFonts w:ascii="Arial" w:eastAsia="Calibri" w:hAnsi="Arial" w:cs="Arial"/>
                  <w:bCs/>
                </w:rPr>
                <w:t>O’Brien, 2005</w:t>
              </w:r>
            </w:hyperlink>
            <w:r w:rsidRPr="00D61F73">
              <w:rPr>
                <w:rFonts w:ascii="Arial" w:eastAsia="Calibri" w:hAnsi="Arial" w:cs="Arial"/>
                <w:bCs/>
              </w:rPr>
              <w:t>) (</w:t>
            </w:r>
            <w:hyperlink w:anchor="Liebrenz2010" w:history="1">
              <w:r w:rsidRPr="00D61F73">
                <w:rPr>
                  <w:rStyle w:val="Hyperlink"/>
                  <w:rFonts w:ascii="Arial" w:eastAsia="Calibri" w:hAnsi="Arial" w:cs="Arial"/>
                  <w:bCs/>
                </w:rPr>
                <w:t>Liebrenz, 2010</w:t>
              </w:r>
            </w:hyperlink>
            <w:r w:rsidRPr="00D61F73">
              <w:rPr>
                <w:rFonts w:ascii="Arial" w:eastAsia="Calibri" w:hAnsi="Arial" w:cs="Arial"/>
                <w:bCs/>
              </w:rPr>
              <w:t>) (</w:t>
            </w:r>
            <w:hyperlink w:anchor="Maremmani2013" w:history="1">
              <w:r w:rsidRPr="00D61F73">
                <w:rPr>
                  <w:rStyle w:val="Hyperlink"/>
                  <w:rFonts w:ascii="Arial" w:eastAsia="Calibri" w:hAnsi="Arial" w:cs="Arial"/>
                </w:rPr>
                <w:t>Maremmani, 2013</w:t>
              </w:r>
            </w:hyperlink>
            <w:r w:rsidRPr="00D61F73">
              <w:rPr>
                <w:rFonts w:ascii="Arial" w:eastAsia="Calibri" w:hAnsi="Arial" w:cs="Arial"/>
              </w:rPr>
              <w:t xml:space="preserve">) </w:t>
            </w:r>
          </w:p>
          <w:p w14:paraId="6371AF74" w14:textId="77777777" w:rsidR="0038137E" w:rsidRPr="00D61F73" w:rsidRDefault="0038137E" w:rsidP="00D61F73">
            <w:pPr>
              <w:rPr>
                <w:rFonts w:ascii="Arial" w:hAnsi="Arial" w:cs="Arial"/>
              </w:rPr>
            </w:pPr>
            <w:r w:rsidRPr="00D61F73">
              <w:rPr>
                <w:rFonts w:ascii="Arial" w:eastAsia="Calibri" w:hAnsi="Arial" w:cs="Arial"/>
                <w:bCs/>
                <w:i/>
              </w:rPr>
              <w:t xml:space="preserve">Current weaning protocol recommendations: </w:t>
            </w:r>
            <w:r w:rsidRPr="00D61F73">
              <w:rPr>
                <w:rFonts w:ascii="Arial" w:eastAsia="Calibri" w:hAnsi="Arial" w:cs="Arial"/>
                <w:bCs/>
              </w:rPr>
              <w:t>Weaning of benzodiazepines in general is more dangerous than opioid withdrawal, and takes more time.</w:t>
            </w:r>
            <w:r w:rsidRPr="00D61F73">
              <w:rPr>
                <w:rFonts w:ascii="Arial" w:eastAsia="Calibri" w:hAnsi="Arial" w:cs="Arial"/>
                <w:bCs/>
                <w:i/>
              </w:rPr>
              <w:t xml:space="preserve"> </w:t>
            </w:r>
            <w:r w:rsidRPr="00D61F73">
              <w:rPr>
                <w:rFonts w:ascii="Arial" w:eastAsia="Calibri" w:hAnsi="Arial" w:cs="Arial"/>
                <w:bCs/>
              </w:rPr>
              <w:t xml:space="preserve">A step-wise approach is indicated based on limited research. The initial recommendation is to use minimal interventions including advisory letters, education and single-visit doctor’s consults addressing use of this class of drugs. The next step is gradual drug reduction. As noted, there is no currently universal weaning protocol available. One current recommendation is the following: (1) The recommended rate of tapering is about 1/8 to 1/10 of the daily dose every 1 to 2 weeks; (2) An alternative weaning schedule is to decrease by 10% a week or 5 mg (whichever is smaller); (3) The first 50% of weaning is generally smoother than the last 50%; (4) When the final 25% to 35% of dose is reached it is suggested </w:t>
            </w:r>
            <w:r w:rsidRPr="00D61F73">
              <w:rPr>
                <w:rFonts w:ascii="Arial" w:eastAsia="Calibri" w:hAnsi="Arial" w:cs="Arial"/>
                <w:bCs/>
              </w:rPr>
              <w:lastRenderedPageBreak/>
              <w:t xml:space="preserve">that the decrease in dose be lowered to 5% at a two-week interval; (5) Rate of withdrawal should be individually tapered based on signs and symptoms; (6) Visits should occur on a weekly basis during weaning or more often if clinically indicated; (7) Recurrent assessment is required, particularly at the time of dose changes; (8) High-dose abusers or those with polydrug abuse may need in-patient detoxification; &amp; (9) Withdrawal can occur when a chronic user switches to a benzodiazepine with a different receptor activity. A recent review suggests not prolonging weaning for over six months. </w:t>
            </w:r>
            <w:r w:rsidRPr="00D61F73">
              <w:rPr>
                <w:rFonts w:ascii="Arial" w:hAnsi="Arial" w:cs="Arial"/>
              </w:rPr>
              <w:t>(</w:t>
            </w:r>
            <w:hyperlink w:anchor="Lee" w:history="1">
              <w:r w:rsidRPr="00D61F73">
                <w:rPr>
                  <w:rStyle w:val="Hyperlink"/>
                  <w:rFonts w:ascii="Arial" w:hAnsi="Arial" w:cs="Arial"/>
                </w:rPr>
                <w:t>Lee, 2002</w:t>
              </w:r>
            </w:hyperlink>
            <w:r w:rsidRPr="00D61F73">
              <w:rPr>
                <w:rFonts w:ascii="Arial" w:hAnsi="Arial" w:cs="Arial"/>
              </w:rPr>
              <w:t xml:space="preserve">) </w:t>
            </w:r>
            <w:r w:rsidRPr="00D61F73">
              <w:rPr>
                <w:rFonts w:ascii="Arial" w:eastAsia="Calibri" w:hAnsi="Arial" w:cs="Arial"/>
                <w:bCs/>
              </w:rPr>
              <w:t>(</w:t>
            </w:r>
            <w:hyperlink w:anchor="TIP45" w:history="1">
              <w:r w:rsidRPr="00D61F73">
                <w:rPr>
                  <w:rStyle w:val="Hyperlink"/>
                  <w:rFonts w:ascii="Arial" w:eastAsia="Calibri" w:hAnsi="Arial" w:cs="Arial"/>
                  <w:bCs/>
                </w:rPr>
                <w:t>TIP 45, 2006</w:t>
              </w:r>
            </w:hyperlink>
            <w:r w:rsidRPr="00D61F73">
              <w:rPr>
                <w:rFonts w:ascii="Arial" w:eastAsia="Calibri" w:hAnsi="Arial" w:cs="Arial"/>
                <w:bCs/>
              </w:rPr>
              <w:t>) (</w:t>
            </w:r>
            <w:hyperlink w:anchor="Lader" w:history="1">
              <w:r w:rsidRPr="00D61F73">
                <w:rPr>
                  <w:rStyle w:val="Hyperlink"/>
                  <w:rFonts w:ascii="Arial" w:eastAsia="Calibri" w:hAnsi="Arial" w:cs="Arial"/>
                  <w:bCs/>
                </w:rPr>
                <w:t>Lader, 2009</w:t>
              </w:r>
            </w:hyperlink>
            <w:r w:rsidRPr="00D61F73">
              <w:rPr>
                <w:rFonts w:ascii="Arial" w:eastAsia="Calibri" w:hAnsi="Arial" w:cs="Arial"/>
                <w:bCs/>
              </w:rPr>
              <w:t>) (</w:t>
            </w:r>
            <w:hyperlink w:anchor="Morin2004" w:history="1">
              <w:r w:rsidRPr="00D61F73">
                <w:rPr>
                  <w:rStyle w:val="Hyperlink"/>
                  <w:rFonts w:ascii="Arial" w:eastAsia="Calibri" w:hAnsi="Arial" w:cs="Arial"/>
                  <w:bCs/>
                </w:rPr>
                <w:t>Morin, 2004</w:t>
              </w:r>
            </w:hyperlink>
            <w:r w:rsidRPr="00D61F73">
              <w:rPr>
                <w:rFonts w:ascii="Arial" w:eastAsia="Calibri" w:hAnsi="Arial" w:cs="Arial"/>
                <w:bCs/>
              </w:rPr>
              <w:t>) (</w:t>
            </w:r>
            <w:hyperlink w:anchor="Alexander" w:history="1">
              <w:r w:rsidRPr="00D61F73">
                <w:rPr>
                  <w:rStyle w:val="Hyperlink"/>
                  <w:rFonts w:ascii="Arial" w:eastAsia="Calibri" w:hAnsi="Arial" w:cs="Arial"/>
                  <w:bCs/>
                </w:rPr>
                <w:t>Alexander, 1991</w:t>
              </w:r>
            </w:hyperlink>
            <w:r w:rsidRPr="00D61F73">
              <w:rPr>
                <w:rFonts w:ascii="Arial" w:eastAsia="Calibri" w:hAnsi="Arial" w:cs="Arial"/>
                <w:bCs/>
              </w:rPr>
              <w:t>) (</w:t>
            </w:r>
            <w:hyperlink w:anchor="Ashton1994" w:history="1">
              <w:r w:rsidRPr="00D61F73">
                <w:rPr>
                  <w:rStyle w:val="Hyperlink"/>
                  <w:rFonts w:ascii="Arial" w:eastAsia="Calibri" w:hAnsi="Arial" w:cs="Arial"/>
                  <w:bCs/>
                </w:rPr>
                <w:t>Ashton, 1994</w:t>
              </w:r>
            </w:hyperlink>
            <w:r w:rsidRPr="00D61F73">
              <w:rPr>
                <w:rFonts w:ascii="Arial" w:eastAsia="Calibri" w:hAnsi="Arial" w:cs="Arial"/>
                <w:bCs/>
              </w:rPr>
              <w:t xml:space="preserve">) It should be noted that the above recommendation for weaning is often not effective for patients taking short-acting benzodiazepines (lorazepam, oxazepam, triazolam, alprazolam and temazepam). A recommendation has been made to switch to a long-acting drug such as chlordiazepoxide or clonazepam or alternatively, phenobarbital, prior to an attempted wean from these drugs. </w:t>
            </w:r>
          </w:p>
          <w:p w14:paraId="1B64E769" w14:textId="77777777" w:rsidR="0038137E" w:rsidRPr="00D61F73" w:rsidRDefault="0038137E" w:rsidP="00D61F73">
            <w:pPr>
              <w:rPr>
                <w:rFonts w:ascii="Arial" w:hAnsi="Arial" w:cs="Arial"/>
              </w:rPr>
            </w:pPr>
            <w:r w:rsidRPr="00D61F73">
              <w:rPr>
                <w:rFonts w:ascii="Arial" w:eastAsia="Calibri" w:hAnsi="Arial" w:cs="Arial"/>
                <w:bCs/>
                <w:i/>
                <w:u w:val="single"/>
              </w:rPr>
              <w:t>Benzodiazepine withdrawal signs and symptoms</w:t>
            </w:r>
            <w:r w:rsidRPr="00D61F73">
              <w:rPr>
                <w:rFonts w:ascii="Arial" w:eastAsia="Calibri" w:hAnsi="Arial" w:cs="Arial"/>
                <w:bCs/>
                <w:i/>
              </w:rPr>
              <w:t>:</w:t>
            </w:r>
            <w:r w:rsidRPr="00D61F73">
              <w:rPr>
                <w:rFonts w:ascii="Arial" w:eastAsia="Calibri" w:hAnsi="Arial" w:cs="Arial"/>
                <w:bCs/>
              </w:rPr>
              <w:t xml:space="preserve"> These fall into four general categories: (1) Relapse of the symptoms that the drugs were first prescribed for (such as anxiety or insomnia); (2) Rebound of symptoms (a short-duration, intense phenomenon which is self-limited); (3) Pseudowithdrawal (expectations of withdrawal lead to expectations of abstinence); (4) True withdrawal. Prolonged withdrawal has also been described. Seizures are the most worrisome medical complication of withdrawal. Specific signs and symptoms include anxiety, insomnia, restlessness, agitation, irritability and muscle tension. Less frequently reported are nausea, diaphoresis, lethargy, aches and pains, blurred vision, nightmares, depression, hyperreflexia and ataxia. Elderly patients in particular are at risk for delirium, risks of falls, and myocardial infarctions. (</w:t>
            </w:r>
            <w:hyperlink w:anchor="TIP45" w:history="1">
              <w:r w:rsidRPr="00D61F73">
                <w:rPr>
                  <w:rStyle w:val="Hyperlink"/>
                  <w:rFonts w:ascii="Arial" w:eastAsia="Calibri" w:hAnsi="Arial" w:cs="Arial"/>
                  <w:bCs/>
                </w:rPr>
                <w:t>TIP 45, 2006</w:t>
              </w:r>
            </w:hyperlink>
            <w:r w:rsidRPr="00D61F73">
              <w:rPr>
                <w:rFonts w:ascii="Arial" w:eastAsia="Calibri" w:hAnsi="Arial" w:cs="Arial"/>
                <w:bCs/>
              </w:rPr>
              <w:t>) (</w:t>
            </w:r>
            <w:hyperlink w:anchor="Dickenson" w:history="1">
              <w:r w:rsidRPr="00D61F73">
                <w:rPr>
                  <w:rStyle w:val="Hyperlink"/>
                  <w:rFonts w:ascii="Arial" w:eastAsia="Calibri" w:hAnsi="Arial" w:cs="Arial"/>
                  <w:bCs/>
                </w:rPr>
                <w:t>Dickenson, 2009</w:t>
              </w:r>
            </w:hyperlink>
            <w:r w:rsidRPr="00D61F73">
              <w:rPr>
                <w:rFonts w:ascii="Arial" w:eastAsia="Calibri" w:hAnsi="Arial" w:cs="Arial"/>
                <w:bCs/>
              </w:rPr>
              <w:t>) (</w:t>
            </w:r>
            <w:hyperlink w:anchor="Petursson" w:history="1">
              <w:r w:rsidRPr="00D61F73">
                <w:rPr>
                  <w:rStyle w:val="Hyperlink"/>
                  <w:rFonts w:ascii="Arial" w:eastAsia="Calibri" w:hAnsi="Arial" w:cs="Arial"/>
                  <w:bCs/>
                </w:rPr>
                <w:t>Petursson, 1994</w:t>
              </w:r>
            </w:hyperlink>
            <w:r w:rsidRPr="00D61F73">
              <w:rPr>
                <w:rFonts w:ascii="Arial" w:eastAsia="Calibri" w:hAnsi="Arial" w:cs="Arial"/>
                <w:bCs/>
              </w:rPr>
              <w:t>)</w:t>
            </w:r>
          </w:p>
          <w:p w14:paraId="090E5AB3" w14:textId="77777777" w:rsidR="0038137E" w:rsidRPr="00D61F73" w:rsidRDefault="0038137E" w:rsidP="00D61F73">
            <w:pPr>
              <w:rPr>
                <w:rFonts w:ascii="Arial" w:eastAsia="Calibri" w:hAnsi="Arial" w:cs="Arial"/>
                <w:bCs/>
              </w:rPr>
            </w:pPr>
            <w:r w:rsidRPr="00D61F73">
              <w:rPr>
                <w:rFonts w:ascii="Arial" w:eastAsia="Calibri" w:hAnsi="Arial" w:cs="Arial"/>
                <w:bCs/>
                <w:i/>
              </w:rPr>
              <w:t xml:space="preserve">Adjunct drugs used for weaning from benzodiazepines: </w:t>
            </w:r>
            <w:r w:rsidRPr="00D61F73">
              <w:rPr>
                <w:rFonts w:ascii="Arial" w:eastAsia="Calibri" w:hAnsi="Arial" w:cs="Arial"/>
                <w:bCs/>
              </w:rPr>
              <w:t>Converting to phenobarbital or a long-acting benzodiazepine from a short-acting formulation has been recommended as a step in weaning. Conversion tables are available for specific benzodiazepines to phenobarbital equivalents with recommendations for weaning. (</w:t>
            </w:r>
            <w:hyperlink w:anchor="TIP45" w:history="1">
              <w:r w:rsidRPr="00D61F73">
                <w:rPr>
                  <w:rStyle w:val="Hyperlink"/>
                  <w:rFonts w:ascii="Arial" w:eastAsia="Calibri" w:hAnsi="Arial" w:cs="Arial"/>
                  <w:bCs/>
                </w:rPr>
                <w:t>TIP 45, 2006</w:t>
              </w:r>
            </w:hyperlink>
            <w:r w:rsidRPr="00D61F73">
              <w:rPr>
                <w:rFonts w:ascii="Arial" w:eastAsia="Calibri" w:hAnsi="Arial" w:cs="Arial"/>
                <w:bCs/>
              </w:rPr>
              <w:t xml:space="preserve"> - </w:t>
            </w:r>
            <w:hyperlink r:id="rId178" w:anchor="A85649" w:history="1">
              <w:r w:rsidRPr="00D61F73">
                <w:rPr>
                  <w:rStyle w:val="Hyperlink"/>
                  <w:rFonts w:ascii="Arial" w:eastAsia="Calibri" w:hAnsi="Arial" w:cs="Arial"/>
                  <w:bCs/>
                </w:rPr>
                <w:t>figure 4.5</w:t>
              </w:r>
            </w:hyperlink>
            <w:r w:rsidRPr="00D61F73">
              <w:rPr>
                <w:rFonts w:ascii="Arial" w:eastAsia="Calibri" w:hAnsi="Arial" w:cs="Arial"/>
                <w:bCs/>
              </w:rPr>
              <w:t>) (</w:t>
            </w:r>
            <w:hyperlink w:anchor="Dickenson" w:history="1">
              <w:r w:rsidRPr="00D61F73">
                <w:rPr>
                  <w:rStyle w:val="Hyperlink"/>
                  <w:rFonts w:ascii="Arial" w:eastAsia="Calibri" w:hAnsi="Arial" w:cs="Arial"/>
                  <w:bCs/>
                </w:rPr>
                <w:t>Dickenson, 2009</w:t>
              </w:r>
            </w:hyperlink>
            <w:r w:rsidRPr="00D61F73">
              <w:rPr>
                <w:rFonts w:ascii="Arial" w:eastAsia="Calibri" w:hAnsi="Arial" w:cs="Arial"/>
                <w:bCs/>
              </w:rPr>
              <w:t xml:space="preserve"> - p. 581) Anticonvulsants such as carbamazepine and valproate have been used. (</w:t>
            </w:r>
            <w:hyperlink w:anchor="Denis" w:history="1">
              <w:r w:rsidRPr="00D61F73">
                <w:rPr>
                  <w:rStyle w:val="Hyperlink"/>
                  <w:rFonts w:ascii="Arial" w:eastAsia="Calibri" w:hAnsi="Arial" w:cs="Arial"/>
                  <w:bCs/>
                </w:rPr>
                <w:t>Denis, 2006</w:t>
              </w:r>
            </w:hyperlink>
            <w:r w:rsidRPr="00D61F73">
              <w:rPr>
                <w:rFonts w:ascii="Arial" w:eastAsia="Calibri" w:hAnsi="Arial" w:cs="Arial"/>
                <w:bCs/>
              </w:rPr>
              <w:t>) (</w:t>
            </w:r>
            <w:hyperlink w:anchor="Cluver" w:history="1">
              <w:r w:rsidRPr="00D61F73">
                <w:rPr>
                  <w:rStyle w:val="Hyperlink"/>
                  <w:rFonts w:ascii="Arial" w:eastAsia="Calibri" w:hAnsi="Arial" w:cs="Arial"/>
                  <w:bCs/>
                </w:rPr>
                <w:t>Cluver, 2009</w:t>
              </w:r>
            </w:hyperlink>
            <w:r w:rsidRPr="00D61F73">
              <w:rPr>
                <w:rFonts w:ascii="Arial" w:eastAsia="Calibri" w:hAnsi="Arial" w:cs="Arial"/>
                <w:bCs/>
              </w:rPr>
              <w:t xml:space="preserve">) </w:t>
            </w:r>
          </w:p>
          <w:p w14:paraId="06BA374F" w14:textId="77777777" w:rsidR="0038137E" w:rsidRPr="00D61F73" w:rsidRDefault="0038137E" w:rsidP="00D61F73">
            <w:pPr>
              <w:rPr>
                <w:rFonts w:ascii="Arial" w:eastAsia="Calibri" w:hAnsi="Arial" w:cs="Arial"/>
                <w:bCs/>
              </w:rPr>
            </w:pPr>
            <w:r w:rsidRPr="00D61F73">
              <w:rPr>
                <w:rFonts w:ascii="Arial" w:eastAsia="Calibri" w:hAnsi="Arial" w:cs="Arial"/>
                <w:bCs/>
                <w:i/>
              </w:rPr>
              <w:t>Equianalgesic doses of benzodiazepines with half-life</w:t>
            </w:r>
            <w:r w:rsidRPr="00D61F73">
              <w:rPr>
                <w:rFonts w:ascii="Arial" w:eastAsia="Calibri" w:hAnsi="Arial" w:cs="Arial"/>
                <w:bCs/>
              </w:rPr>
              <w:t>:</w:t>
            </w:r>
          </w:p>
          <w:p w14:paraId="30E8809B" w14:textId="77777777" w:rsidR="0038137E" w:rsidRPr="00D61F73" w:rsidRDefault="0038137E" w:rsidP="00D61F73">
            <w:pPr>
              <w:rPr>
                <w:rFonts w:ascii="Arial" w:eastAsia="Calibri" w:hAnsi="Arial" w:cs="Arial"/>
                <w:bCs/>
              </w:rPr>
            </w:pPr>
            <w:r w:rsidRPr="00D61F73">
              <w:rPr>
                <w:rFonts w:ascii="Arial" w:eastAsia="Calibri" w:hAnsi="Arial" w:cs="Arial"/>
                <w:bCs/>
              </w:rPr>
              <w:t xml:space="preserve">Multiple tables are available suggesting approximate equianalgesic doses. </w:t>
            </w:r>
          </w:p>
          <w:p w14:paraId="629A88E8" w14:textId="77777777" w:rsidR="0038137E" w:rsidRPr="00D61F73" w:rsidRDefault="0038137E" w:rsidP="00D61F73">
            <w:pPr>
              <w:rPr>
                <w:rFonts w:ascii="Arial" w:eastAsia="Calibri" w:hAnsi="Arial" w:cs="Arial"/>
                <w:bCs/>
              </w:rPr>
            </w:pPr>
            <w:r w:rsidRPr="00D61F73">
              <w:rPr>
                <w:rFonts w:ascii="Arial" w:eastAsia="Calibri" w:hAnsi="Arial" w:cs="Arial"/>
                <w:bCs/>
              </w:rPr>
              <w:t>The expanded ranges presented in this table are noted in part where different disease pathology is addressed with the same drug (i.e. addressing anxiety vs. sedation).</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5"/>
              <w:gridCol w:w="1063"/>
              <w:gridCol w:w="1440"/>
              <w:gridCol w:w="2511"/>
            </w:tblGrid>
            <w:tr w:rsidR="0038137E" w:rsidRPr="00D61F73" w14:paraId="172BD04C"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5D831AE0" w14:textId="77777777" w:rsidR="0038137E" w:rsidRPr="00DE4576" w:rsidRDefault="0038137E" w:rsidP="00751163">
                  <w:pPr>
                    <w:keepNext/>
                    <w:framePr w:hSpace="180" w:wrap="around" w:vAnchor="text" w:hAnchor="margin" w:y="936"/>
                    <w:jc w:val="center"/>
                    <w:outlineLvl w:val="0"/>
                    <w:rPr>
                      <w:rFonts w:ascii="Arial" w:hAnsi="Arial" w:cs="Arial"/>
                      <w:b/>
                      <w:sz w:val="20"/>
                      <w:szCs w:val="20"/>
                    </w:rPr>
                  </w:pPr>
                  <w:r w:rsidRPr="00DE4576">
                    <w:rPr>
                      <w:rFonts w:ascii="Arial" w:hAnsi="Arial" w:cs="Arial"/>
                      <w:b/>
                      <w:sz w:val="20"/>
                      <w:szCs w:val="20"/>
                    </w:rPr>
                    <w:t>Drug</w:t>
                  </w:r>
                </w:p>
              </w:tc>
              <w:tc>
                <w:tcPr>
                  <w:tcW w:w="1063" w:type="dxa"/>
                  <w:tcBorders>
                    <w:top w:val="single" w:sz="4" w:space="0" w:color="auto"/>
                    <w:left w:val="single" w:sz="4" w:space="0" w:color="auto"/>
                    <w:bottom w:val="single" w:sz="4" w:space="0" w:color="auto"/>
                    <w:right w:val="single" w:sz="4" w:space="0" w:color="auto"/>
                  </w:tcBorders>
                </w:tcPr>
                <w:p w14:paraId="09AAE11D" w14:textId="77777777" w:rsidR="0038137E" w:rsidRPr="00DE4576" w:rsidRDefault="0038137E" w:rsidP="00751163">
                  <w:pPr>
                    <w:keepNext/>
                    <w:framePr w:hSpace="180" w:wrap="around" w:vAnchor="text" w:hAnchor="margin" w:y="936"/>
                    <w:jc w:val="center"/>
                    <w:outlineLvl w:val="0"/>
                    <w:rPr>
                      <w:rFonts w:ascii="Arial" w:hAnsi="Arial" w:cs="Arial"/>
                      <w:b/>
                      <w:sz w:val="20"/>
                      <w:szCs w:val="20"/>
                    </w:rPr>
                  </w:pPr>
                  <w:r w:rsidRPr="00DE4576">
                    <w:rPr>
                      <w:rFonts w:ascii="Arial" w:hAnsi="Arial" w:cs="Arial"/>
                      <w:b/>
                      <w:sz w:val="20"/>
                      <w:szCs w:val="20"/>
                    </w:rPr>
                    <w:t>Time to peak onset (hrs)</w:t>
                  </w:r>
                </w:p>
              </w:tc>
              <w:tc>
                <w:tcPr>
                  <w:tcW w:w="1440" w:type="dxa"/>
                  <w:tcBorders>
                    <w:top w:val="single" w:sz="4" w:space="0" w:color="auto"/>
                    <w:left w:val="single" w:sz="4" w:space="0" w:color="auto"/>
                    <w:bottom w:val="single" w:sz="4" w:space="0" w:color="auto"/>
                    <w:right w:val="single" w:sz="4" w:space="0" w:color="auto"/>
                  </w:tcBorders>
                </w:tcPr>
                <w:p w14:paraId="7B8AD1ED" w14:textId="77777777" w:rsidR="0038137E" w:rsidRPr="00DE4576" w:rsidRDefault="0038137E" w:rsidP="00751163">
                  <w:pPr>
                    <w:keepNext/>
                    <w:framePr w:hSpace="180" w:wrap="around" w:vAnchor="text" w:hAnchor="margin" w:y="936"/>
                    <w:jc w:val="center"/>
                    <w:outlineLvl w:val="0"/>
                    <w:rPr>
                      <w:rFonts w:ascii="Arial" w:hAnsi="Arial" w:cs="Arial"/>
                      <w:b/>
                      <w:sz w:val="20"/>
                      <w:szCs w:val="20"/>
                    </w:rPr>
                  </w:pPr>
                  <w:r w:rsidRPr="00DE4576">
                    <w:rPr>
                      <w:rFonts w:ascii="Arial" w:hAnsi="Arial" w:cs="Arial"/>
                      <w:b/>
                      <w:sz w:val="20"/>
                      <w:szCs w:val="20"/>
                    </w:rPr>
                    <w:t>Half-life (hrs)</w:t>
                  </w:r>
                </w:p>
              </w:tc>
              <w:tc>
                <w:tcPr>
                  <w:tcW w:w="2511" w:type="dxa"/>
                  <w:tcBorders>
                    <w:top w:val="single" w:sz="4" w:space="0" w:color="auto"/>
                    <w:left w:val="single" w:sz="4" w:space="0" w:color="auto"/>
                    <w:bottom w:val="single" w:sz="4" w:space="0" w:color="auto"/>
                    <w:right w:val="single" w:sz="4" w:space="0" w:color="auto"/>
                  </w:tcBorders>
                </w:tcPr>
                <w:p w14:paraId="17A45A60" w14:textId="77777777" w:rsidR="0038137E" w:rsidRPr="00DE4576" w:rsidRDefault="0038137E" w:rsidP="00751163">
                  <w:pPr>
                    <w:keepNext/>
                    <w:framePr w:hSpace="180" w:wrap="around" w:vAnchor="text" w:hAnchor="margin" w:y="936"/>
                    <w:jc w:val="center"/>
                    <w:outlineLvl w:val="0"/>
                    <w:rPr>
                      <w:rFonts w:ascii="Arial" w:hAnsi="Arial" w:cs="Arial"/>
                      <w:b/>
                      <w:sz w:val="20"/>
                      <w:szCs w:val="20"/>
                    </w:rPr>
                  </w:pPr>
                  <w:r w:rsidRPr="00DE4576">
                    <w:rPr>
                      <w:rFonts w:ascii="Arial" w:hAnsi="Arial" w:cs="Arial"/>
                      <w:b/>
                      <w:sz w:val="20"/>
                      <w:szCs w:val="20"/>
                    </w:rPr>
                    <w:t>Approximate Equivalent Oral Dose (in mgs)</w:t>
                  </w:r>
                </w:p>
              </w:tc>
            </w:tr>
            <w:tr w:rsidR="0038137E" w:rsidRPr="00D61F73" w14:paraId="798A3C68"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06E2A8AA"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Alprazolam</w:t>
                  </w:r>
                </w:p>
              </w:tc>
              <w:tc>
                <w:tcPr>
                  <w:tcW w:w="1063" w:type="dxa"/>
                  <w:tcBorders>
                    <w:top w:val="single" w:sz="4" w:space="0" w:color="auto"/>
                    <w:left w:val="single" w:sz="4" w:space="0" w:color="auto"/>
                    <w:bottom w:val="single" w:sz="4" w:space="0" w:color="auto"/>
                    <w:right w:val="single" w:sz="4" w:space="0" w:color="auto"/>
                  </w:tcBorders>
                </w:tcPr>
                <w:p w14:paraId="406D25F3"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1-2</w:t>
                  </w:r>
                </w:p>
              </w:tc>
              <w:tc>
                <w:tcPr>
                  <w:tcW w:w="1440" w:type="dxa"/>
                  <w:tcBorders>
                    <w:top w:val="single" w:sz="4" w:space="0" w:color="auto"/>
                    <w:left w:val="single" w:sz="4" w:space="0" w:color="auto"/>
                    <w:bottom w:val="single" w:sz="4" w:space="0" w:color="auto"/>
                    <w:right w:val="single" w:sz="4" w:space="0" w:color="auto"/>
                  </w:tcBorders>
                </w:tcPr>
                <w:p w14:paraId="3655AADA"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 xml:space="preserve">6-12 </w:t>
                  </w:r>
                </w:p>
              </w:tc>
              <w:tc>
                <w:tcPr>
                  <w:tcW w:w="2511" w:type="dxa"/>
                  <w:tcBorders>
                    <w:top w:val="single" w:sz="4" w:space="0" w:color="auto"/>
                    <w:left w:val="single" w:sz="4" w:space="0" w:color="auto"/>
                    <w:bottom w:val="single" w:sz="4" w:space="0" w:color="auto"/>
                    <w:right w:val="single" w:sz="4" w:space="0" w:color="auto"/>
                  </w:tcBorders>
                </w:tcPr>
                <w:p w14:paraId="0F88434B"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0.5</w:t>
                  </w:r>
                </w:p>
              </w:tc>
            </w:tr>
            <w:tr w:rsidR="0038137E" w:rsidRPr="00D61F73" w14:paraId="76C5109A"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473C4968"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Chlordiazepoxide</w:t>
                  </w:r>
                </w:p>
              </w:tc>
              <w:tc>
                <w:tcPr>
                  <w:tcW w:w="1063" w:type="dxa"/>
                  <w:tcBorders>
                    <w:top w:val="single" w:sz="4" w:space="0" w:color="auto"/>
                    <w:left w:val="single" w:sz="4" w:space="0" w:color="auto"/>
                    <w:bottom w:val="single" w:sz="4" w:space="0" w:color="auto"/>
                    <w:right w:val="single" w:sz="4" w:space="0" w:color="auto"/>
                  </w:tcBorders>
                </w:tcPr>
                <w:p w14:paraId="6ED8FCB6"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1.5-4</w:t>
                  </w:r>
                </w:p>
              </w:tc>
              <w:tc>
                <w:tcPr>
                  <w:tcW w:w="1440" w:type="dxa"/>
                  <w:tcBorders>
                    <w:top w:val="single" w:sz="4" w:space="0" w:color="auto"/>
                    <w:left w:val="single" w:sz="4" w:space="0" w:color="auto"/>
                    <w:bottom w:val="single" w:sz="4" w:space="0" w:color="auto"/>
                    <w:right w:val="single" w:sz="4" w:space="0" w:color="auto"/>
                  </w:tcBorders>
                </w:tcPr>
                <w:p w14:paraId="1563BB78"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 xml:space="preserve">5-30 </w:t>
                  </w:r>
                </w:p>
              </w:tc>
              <w:tc>
                <w:tcPr>
                  <w:tcW w:w="2511" w:type="dxa"/>
                  <w:tcBorders>
                    <w:top w:val="single" w:sz="4" w:space="0" w:color="auto"/>
                    <w:left w:val="single" w:sz="4" w:space="0" w:color="auto"/>
                    <w:bottom w:val="single" w:sz="4" w:space="0" w:color="auto"/>
                    <w:right w:val="single" w:sz="4" w:space="0" w:color="auto"/>
                  </w:tcBorders>
                </w:tcPr>
                <w:p w14:paraId="2E1BACE8"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25</w:t>
                  </w:r>
                </w:p>
              </w:tc>
            </w:tr>
            <w:tr w:rsidR="0038137E" w:rsidRPr="00D61F73" w14:paraId="4B61B2F2"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011AD95D"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Clonazepam</w:t>
                  </w:r>
                </w:p>
              </w:tc>
              <w:tc>
                <w:tcPr>
                  <w:tcW w:w="1063" w:type="dxa"/>
                  <w:tcBorders>
                    <w:top w:val="single" w:sz="4" w:space="0" w:color="auto"/>
                    <w:left w:val="single" w:sz="4" w:space="0" w:color="auto"/>
                    <w:bottom w:val="single" w:sz="4" w:space="0" w:color="auto"/>
                    <w:right w:val="single" w:sz="4" w:space="0" w:color="auto"/>
                  </w:tcBorders>
                </w:tcPr>
                <w:p w14:paraId="7E116A2C"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1-4</w:t>
                  </w:r>
                </w:p>
              </w:tc>
              <w:tc>
                <w:tcPr>
                  <w:tcW w:w="1440" w:type="dxa"/>
                  <w:tcBorders>
                    <w:top w:val="single" w:sz="4" w:space="0" w:color="auto"/>
                    <w:left w:val="single" w:sz="4" w:space="0" w:color="auto"/>
                    <w:bottom w:val="single" w:sz="4" w:space="0" w:color="auto"/>
                    <w:right w:val="single" w:sz="4" w:space="0" w:color="auto"/>
                  </w:tcBorders>
                </w:tcPr>
                <w:p w14:paraId="7D230C53"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 xml:space="preserve">18-50 </w:t>
                  </w:r>
                </w:p>
              </w:tc>
              <w:tc>
                <w:tcPr>
                  <w:tcW w:w="2511" w:type="dxa"/>
                  <w:tcBorders>
                    <w:top w:val="single" w:sz="4" w:space="0" w:color="auto"/>
                    <w:left w:val="single" w:sz="4" w:space="0" w:color="auto"/>
                    <w:bottom w:val="single" w:sz="4" w:space="0" w:color="auto"/>
                    <w:right w:val="single" w:sz="4" w:space="0" w:color="auto"/>
                  </w:tcBorders>
                </w:tcPr>
                <w:p w14:paraId="449CB893"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0.25-0.5</w:t>
                  </w:r>
                </w:p>
              </w:tc>
            </w:tr>
            <w:tr w:rsidR="0038137E" w:rsidRPr="00D61F73" w14:paraId="3DBA7127"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7E1ADC0E"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Diazepam</w:t>
                  </w:r>
                </w:p>
              </w:tc>
              <w:tc>
                <w:tcPr>
                  <w:tcW w:w="1063" w:type="dxa"/>
                  <w:tcBorders>
                    <w:top w:val="single" w:sz="4" w:space="0" w:color="auto"/>
                    <w:left w:val="single" w:sz="4" w:space="0" w:color="auto"/>
                    <w:bottom w:val="single" w:sz="4" w:space="0" w:color="auto"/>
                    <w:right w:val="single" w:sz="4" w:space="0" w:color="auto"/>
                  </w:tcBorders>
                </w:tcPr>
                <w:p w14:paraId="677905BC"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1-1.5</w:t>
                  </w:r>
                </w:p>
              </w:tc>
              <w:tc>
                <w:tcPr>
                  <w:tcW w:w="1440" w:type="dxa"/>
                  <w:tcBorders>
                    <w:top w:val="single" w:sz="4" w:space="0" w:color="auto"/>
                    <w:left w:val="single" w:sz="4" w:space="0" w:color="auto"/>
                    <w:bottom w:val="single" w:sz="4" w:space="0" w:color="auto"/>
                    <w:right w:val="single" w:sz="4" w:space="0" w:color="auto"/>
                  </w:tcBorders>
                </w:tcPr>
                <w:p w14:paraId="28DDF8DB"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 xml:space="preserve">20-100 </w:t>
                  </w:r>
                </w:p>
              </w:tc>
              <w:tc>
                <w:tcPr>
                  <w:tcW w:w="2511" w:type="dxa"/>
                  <w:tcBorders>
                    <w:top w:val="single" w:sz="4" w:space="0" w:color="auto"/>
                    <w:left w:val="single" w:sz="4" w:space="0" w:color="auto"/>
                    <w:bottom w:val="single" w:sz="4" w:space="0" w:color="auto"/>
                    <w:right w:val="single" w:sz="4" w:space="0" w:color="auto"/>
                  </w:tcBorders>
                </w:tcPr>
                <w:p w14:paraId="66A0B130"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5-10</w:t>
                  </w:r>
                </w:p>
              </w:tc>
            </w:tr>
            <w:tr w:rsidR="0038137E" w:rsidRPr="00D61F73" w14:paraId="479497C0"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3493C288"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Flurazepam</w:t>
                  </w:r>
                </w:p>
              </w:tc>
              <w:tc>
                <w:tcPr>
                  <w:tcW w:w="1063" w:type="dxa"/>
                  <w:tcBorders>
                    <w:top w:val="single" w:sz="4" w:space="0" w:color="auto"/>
                    <w:left w:val="single" w:sz="4" w:space="0" w:color="auto"/>
                    <w:bottom w:val="single" w:sz="4" w:space="0" w:color="auto"/>
                    <w:right w:val="single" w:sz="4" w:space="0" w:color="auto"/>
                  </w:tcBorders>
                </w:tcPr>
                <w:p w14:paraId="239A9B52"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1-1.5</w:t>
                  </w:r>
                </w:p>
              </w:tc>
              <w:tc>
                <w:tcPr>
                  <w:tcW w:w="1440" w:type="dxa"/>
                  <w:tcBorders>
                    <w:top w:val="single" w:sz="4" w:space="0" w:color="auto"/>
                    <w:left w:val="single" w:sz="4" w:space="0" w:color="auto"/>
                    <w:bottom w:val="single" w:sz="4" w:space="0" w:color="auto"/>
                    <w:right w:val="single" w:sz="4" w:space="0" w:color="auto"/>
                  </w:tcBorders>
                </w:tcPr>
                <w:p w14:paraId="7D45704D"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40-250</w:t>
                  </w:r>
                </w:p>
              </w:tc>
              <w:tc>
                <w:tcPr>
                  <w:tcW w:w="2511" w:type="dxa"/>
                  <w:tcBorders>
                    <w:top w:val="single" w:sz="4" w:space="0" w:color="auto"/>
                    <w:left w:val="single" w:sz="4" w:space="0" w:color="auto"/>
                    <w:bottom w:val="single" w:sz="4" w:space="0" w:color="auto"/>
                    <w:right w:val="single" w:sz="4" w:space="0" w:color="auto"/>
                  </w:tcBorders>
                </w:tcPr>
                <w:p w14:paraId="6BF2402B"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15-30</w:t>
                  </w:r>
                </w:p>
              </w:tc>
            </w:tr>
            <w:tr w:rsidR="0038137E" w:rsidRPr="00D61F73" w14:paraId="60A36D45"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2A8E6A68"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Lorazepam</w:t>
                  </w:r>
                </w:p>
              </w:tc>
              <w:tc>
                <w:tcPr>
                  <w:tcW w:w="1063" w:type="dxa"/>
                  <w:tcBorders>
                    <w:top w:val="single" w:sz="4" w:space="0" w:color="auto"/>
                    <w:left w:val="single" w:sz="4" w:space="0" w:color="auto"/>
                    <w:bottom w:val="single" w:sz="4" w:space="0" w:color="auto"/>
                    <w:right w:val="single" w:sz="4" w:space="0" w:color="auto"/>
                  </w:tcBorders>
                </w:tcPr>
                <w:p w14:paraId="3494E076"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2-4</w:t>
                  </w:r>
                </w:p>
              </w:tc>
              <w:tc>
                <w:tcPr>
                  <w:tcW w:w="1440" w:type="dxa"/>
                  <w:tcBorders>
                    <w:top w:val="single" w:sz="4" w:space="0" w:color="auto"/>
                    <w:left w:val="single" w:sz="4" w:space="0" w:color="auto"/>
                    <w:bottom w:val="single" w:sz="4" w:space="0" w:color="auto"/>
                    <w:right w:val="single" w:sz="4" w:space="0" w:color="auto"/>
                  </w:tcBorders>
                </w:tcPr>
                <w:p w14:paraId="4E73F00C"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10-20</w:t>
                  </w:r>
                </w:p>
              </w:tc>
              <w:tc>
                <w:tcPr>
                  <w:tcW w:w="2511" w:type="dxa"/>
                  <w:tcBorders>
                    <w:top w:val="single" w:sz="4" w:space="0" w:color="auto"/>
                    <w:left w:val="single" w:sz="4" w:space="0" w:color="auto"/>
                    <w:bottom w:val="single" w:sz="4" w:space="0" w:color="auto"/>
                    <w:right w:val="single" w:sz="4" w:space="0" w:color="auto"/>
                  </w:tcBorders>
                </w:tcPr>
                <w:p w14:paraId="50CCECC0"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w:t>
                  </w:r>
                </w:p>
              </w:tc>
            </w:tr>
            <w:tr w:rsidR="0038137E" w:rsidRPr="00D61F73" w14:paraId="1008BB9D"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78A3E301"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lastRenderedPageBreak/>
                    <w:t>Oxazepam</w:t>
                  </w:r>
                </w:p>
              </w:tc>
              <w:tc>
                <w:tcPr>
                  <w:tcW w:w="1063" w:type="dxa"/>
                  <w:tcBorders>
                    <w:top w:val="single" w:sz="4" w:space="0" w:color="auto"/>
                    <w:left w:val="single" w:sz="4" w:space="0" w:color="auto"/>
                    <w:bottom w:val="single" w:sz="4" w:space="0" w:color="auto"/>
                    <w:right w:val="single" w:sz="4" w:space="0" w:color="auto"/>
                  </w:tcBorders>
                </w:tcPr>
                <w:p w14:paraId="42488FA1"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3-4</w:t>
                  </w:r>
                </w:p>
              </w:tc>
              <w:tc>
                <w:tcPr>
                  <w:tcW w:w="1440" w:type="dxa"/>
                  <w:tcBorders>
                    <w:top w:val="single" w:sz="4" w:space="0" w:color="auto"/>
                    <w:left w:val="single" w:sz="4" w:space="0" w:color="auto"/>
                    <w:bottom w:val="single" w:sz="4" w:space="0" w:color="auto"/>
                    <w:right w:val="single" w:sz="4" w:space="0" w:color="auto"/>
                  </w:tcBorders>
                </w:tcPr>
                <w:p w14:paraId="74BAED79"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4-15</w:t>
                  </w:r>
                </w:p>
              </w:tc>
              <w:tc>
                <w:tcPr>
                  <w:tcW w:w="2511" w:type="dxa"/>
                  <w:tcBorders>
                    <w:top w:val="single" w:sz="4" w:space="0" w:color="auto"/>
                    <w:left w:val="single" w:sz="4" w:space="0" w:color="auto"/>
                    <w:bottom w:val="single" w:sz="4" w:space="0" w:color="auto"/>
                    <w:right w:val="single" w:sz="4" w:space="0" w:color="auto"/>
                  </w:tcBorders>
                </w:tcPr>
                <w:p w14:paraId="423540EE"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15-20</w:t>
                  </w:r>
                </w:p>
              </w:tc>
            </w:tr>
            <w:tr w:rsidR="0038137E" w:rsidRPr="00D61F73" w14:paraId="50A1EB24"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3A121EA6"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Temazepam</w:t>
                  </w:r>
                </w:p>
              </w:tc>
              <w:tc>
                <w:tcPr>
                  <w:tcW w:w="1063" w:type="dxa"/>
                  <w:tcBorders>
                    <w:top w:val="single" w:sz="4" w:space="0" w:color="auto"/>
                    <w:left w:val="single" w:sz="4" w:space="0" w:color="auto"/>
                    <w:bottom w:val="single" w:sz="4" w:space="0" w:color="auto"/>
                    <w:right w:val="single" w:sz="4" w:space="0" w:color="auto"/>
                  </w:tcBorders>
                </w:tcPr>
                <w:p w14:paraId="642E8B03"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0.5-3</w:t>
                  </w:r>
                </w:p>
              </w:tc>
              <w:tc>
                <w:tcPr>
                  <w:tcW w:w="1440" w:type="dxa"/>
                  <w:tcBorders>
                    <w:top w:val="single" w:sz="4" w:space="0" w:color="auto"/>
                    <w:left w:val="single" w:sz="4" w:space="0" w:color="auto"/>
                    <w:bottom w:val="single" w:sz="4" w:space="0" w:color="auto"/>
                    <w:right w:val="single" w:sz="4" w:space="0" w:color="auto"/>
                  </w:tcBorders>
                </w:tcPr>
                <w:p w14:paraId="6897E195"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8-22</w:t>
                  </w:r>
                </w:p>
              </w:tc>
              <w:tc>
                <w:tcPr>
                  <w:tcW w:w="2511" w:type="dxa"/>
                  <w:tcBorders>
                    <w:top w:val="single" w:sz="4" w:space="0" w:color="auto"/>
                    <w:left w:val="single" w:sz="4" w:space="0" w:color="auto"/>
                    <w:bottom w:val="single" w:sz="4" w:space="0" w:color="auto"/>
                    <w:right w:val="single" w:sz="4" w:space="0" w:color="auto"/>
                  </w:tcBorders>
                </w:tcPr>
                <w:p w14:paraId="25B5F5C2"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10-20</w:t>
                  </w:r>
                </w:p>
              </w:tc>
            </w:tr>
            <w:tr w:rsidR="0038137E" w:rsidRPr="00D61F73" w14:paraId="180490B5" w14:textId="77777777" w:rsidTr="00DE4576">
              <w:trPr>
                <w:jc w:val="center"/>
              </w:trPr>
              <w:tc>
                <w:tcPr>
                  <w:tcW w:w="2105" w:type="dxa"/>
                  <w:tcBorders>
                    <w:top w:val="single" w:sz="4" w:space="0" w:color="auto"/>
                    <w:left w:val="single" w:sz="4" w:space="0" w:color="auto"/>
                    <w:bottom w:val="single" w:sz="4" w:space="0" w:color="auto"/>
                    <w:right w:val="single" w:sz="4" w:space="0" w:color="auto"/>
                  </w:tcBorders>
                </w:tcPr>
                <w:p w14:paraId="6EC6B1D8"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Triazolam</w:t>
                  </w:r>
                </w:p>
              </w:tc>
              <w:tc>
                <w:tcPr>
                  <w:tcW w:w="1063" w:type="dxa"/>
                  <w:tcBorders>
                    <w:top w:val="single" w:sz="4" w:space="0" w:color="auto"/>
                    <w:left w:val="single" w:sz="4" w:space="0" w:color="auto"/>
                    <w:bottom w:val="single" w:sz="4" w:space="0" w:color="auto"/>
                    <w:right w:val="single" w:sz="4" w:space="0" w:color="auto"/>
                  </w:tcBorders>
                </w:tcPr>
                <w:p w14:paraId="57A1AFA4"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0.5-2</w:t>
                  </w:r>
                </w:p>
              </w:tc>
              <w:tc>
                <w:tcPr>
                  <w:tcW w:w="1440" w:type="dxa"/>
                  <w:tcBorders>
                    <w:top w:val="single" w:sz="4" w:space="0" w:color="auto"/>
                    <w:left w:val="single" w:sz="4" w:space="0" w:color="auto"/>
                    <w:bottom w:val="single" w:sz="4" w:space="0" w:color="auto"/>
                    <w:right w:val="single" w:sz="4" w:space="0" w:color="auto"/>
                  </w:tcBorders>
                </w:tcPr>
                <w:p w14:paraId="70DC104D"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2</w:t>
                  </w:r>
                </w:p>
              </w:tc>
              <w:tc>
                <w:tcPr>
                  <w:tcW w:w="2511" w:type="dxa"/>
                  <w:tcBorders>
                    <w:top w:val="single" w:sz="4" w:space="0" w:color="auto"/>
                    <w:left w:val="single" w:sz="4" w:space="0" w:color="auto"/>
                    <w:bottom w:val="single" w:sz="4" w:space="0" w:color="auto"/>
                    <w:right w:val="single" w:sz="4" w:space="0" w:color="auto"/>
                  </w:tcBorders>
                </w:tcPr>
                <w:p w14:paraId="456A3F20" w14:textId="77777777" w:rsidR="0038137E" w:rsidRPr="00D61F73" w:rsidRDefault="0038137E" w:rsidP="00751163">
                  <w:pPr>
                    <w:keepNext/>
                    <w:framePr w:hSpace="180" w:wrap="around" w:vAnchor="text" w:hAnchor="margin" w:y="936"/>
                    <w:outlineLvl w:val="0"/>
                    <w:rPr>
                      <w:rFonts w:ascii="Arial" w:hAnsi="Arial" w:cs="Arial"/>
                    </w:rPr>
                  </w:pPr>
                  <w:r w:rsidRPr="00D61F73">
                    <w:rPr>
                      <w:rFonts w:ascii="Arial" w:hAnsi="Arial" w:cs="Arial"/>
                    </w:rPr>
                    <w:t>0.25 mg</w:t>
                  </w:r>
                </w:p>
              </w:tc>
            </w:tr>
          </w:tbl>
          <w:p w14:paraId="023040AE" w14:textId="77777777" w:rsidR="0038137E" w:rsidRPr="00D61F73" w:rsidRDefault="0038137E" w:rsidP="00D61F73">
            <w:pPr>
              <w:keepNext/>
              <w:outlineLvl w:val="0"/>
              <w:rPr>
                <w:rFonts w:ascii="Arial" w:eastAsia="Calibri" w:hAnsi="Arial" w:cs="Arial"/>
                <w:bCs/>
              </w:rPr>
            </w:pPr>
            <w:r w:rsidRPr="00D61F73">
              <w:rPr>
                <w:rFonts w:ascii="Arial" w:eastAsia="Calibri" w:hAnsi="Arial" w:cs="Arial"/>
                <w:bCs/>
                <w:i/>
              </w:rPr>
              <w:t xml:space="preserve">Changing to long-acting formulations: </w:t>
            </w:r>
            <w:r w:rsidRPr="00D61F73">
              <w:rPr>
                <w:rFonts w:ascii="Arial" w:eastAsia="Calibri" w:hAnsi="Arial" w:cs="Arial"/>
                <w:bCs/>
              </w:rPr>
              <w:t>This may take several days, with substitution at intervals, generally starting with the night-time dose.</w:t>
            </w:r>
          </w:p>
          <w:p w14:paraId="102E0D49" w14:textId="77777777" w:rsidR="0038137E" w:rsidRPr="00D61F73" w:rsidRDefault="0038137E" w:rsidP="00D61F73">
            <w:pPr>
              <w:keepNext/>
              <w:outlineLvl w:val="0"/>
              <w:rPr>
                <w:rFonts w:ascii="Arial" w:hAnsi="Arial" w:cs="Arial"/>
              </w:rPr>
            </w:pPr>
            <w:r w:rsidRPr="00D61F73">
              <w:rPr>
                <w:rFonts w:ascii="Arial" w:eastAsia="Calibri" w:hAnsi="Arial" w:cs="Arial"/>
                <w:bCs/>
                <w:i/>
              </w:rPr>
              <w:t xml:space="preserve">Comorbid medical conditions and age: </w:t>
            </w:r>
            <w:r w:rsidRPr="00D61F73">
              <w:rPr>
                <w:rFonts w:ascii="Arial" w:eastAsia="Calibri" w:hAnsi="Arial" w:cs="Arial"/>
                <w:bCs/>
              </w:rPr>
              <w:t>The risk of adverse effects due to withdrawal may outweigh long-term benefits of discontinuing benzodiazepines. This is particularly a concern for patients with adrenergic stress factors (i.e. cardiac disease and asthma), or psychologic stress.</w:t>
            </w:r>
          </w:p>
          <w:p w14:paraId="51600FFF" w14:textId="77777777" w:rsidR="006746E4" w:rsidRDefault="0038137E" w:rsidP="00D61F73">
            <w:pPr>
              <w:rPr>
                <w:rFonts w:ascii="Arial" w:hAnsi="Arial" w:cs="Arial"/>
              </w:rPr>
            </w:pPr>
            <w:r w:rsidRPr="00D61F73">
              <w:rPr>
                <w:rFonts w:ascii="Arial" w:hAnsi="Arial" w:cs="Arial"/>
                <w:i/>
              </w:rPr>
              <w:t>Important points to remember</w:t>
            </w:r>
            <w:r w:rsidRPr="00D61F73">
              <w:rPr>
                <w:rFonts w:ascii="Arial" w:hAnsi="Arial" w:cs="Arial"/>
              </w:rPr>
              <w:t>: (1) There is a high risk of the use of alcohol in patients taking benzodiazepines.</w:t>
            </w:r>
          </w:p>
          <w:p w14:paraId="51C0543B" w14:textId="2FDA0999" w:rsidR="0038137E" w:rsidRPr="00D61F73" w:rsidRDefault="0038137E" w:rsidP="00D61F73">
            <w:pPr>
              <w:rPr>
                <w:rFonts w:ascii="Arial" w:hAnsi="Arial" w:cs="Arial"/>
              </w:rPr>
            </w:pPr>
            <w:r w:rsidRPr="00D61F73">
              <w:rPr>
                <w:rFonts w:ascii="Arial" w:hAnsi="Arial" w:cs="Arial"/>
              </w:rPr>
              <w:t xml:space="preserve"> (2) There is a high risk of anxiety disorders in patients taking benzodiazepines. (3) Withdrawal in elderly patients may be prolonged and the clinici</w:t>
            </w:r>
            <w:r w:rsidR="006746E4">
              <w:rPr>
                <w:rFonts w:ascii="Arial" w:hAnsi="Arial" w:cs="Arial"/>
              </w:rPr>
              <w:t xml:space="preserve">an needs to address severity of </w:t>
            </w:r>
            <w:r w:rsidRPr="00D61F73">
              <w:rPr>
                <w:rFonts w:ascii="Arial" w:hAnsi="Arial" w:cs="Arial"/>
              </w:rPr>
              <w:t>high-dose withdrawal due to pharmacokinetics. (</w:t>
            </w:r>
            <w:hyperlink w:anchor="Benzon" w:history="1">
              <w:r w:rsidRPr="00D61F73">
                <w:rPr>
                  <w:rStyle w:val="Hyperlink"/>
                  <w:rFonts w:ascii="Arial" w:hAnsi="Arial" w:cs="Arial"/>
                </w:rPr>
                <w:t>Benzon, 2005</w:t>
              </w:r>
            </w:hyperlink>
            <w:r w:rsidRPr="00D61F73">
              <w:rPr>
                <w:rFonts w:ascii="Arial" w:hAnsi="Arial" w:cs="Arial"/>
              </w:rPr>
              <w:t>) (</w:t>
            </w:r>
            <w:hyperlink w:anchor="Ashton" w:history="1">
              <w:r w:rsidRPr="00D61F73">
                <w:rPr>
                  <w:rStyle w:val="Hyperlink"/>
                  <w:rFonts w:ascii="Arial" w:hAnsi="Arial" w:cs="Arial"/>
                </w:rPr>
                <w:t>Ashton, 2005</w:t>
              </w:r>
            </w:hyperlink>
            <w:r w:rsidRPr="00D61F73">
              <w:rPr>
                <w:rFonts w:ascii="Arial" w:hAnsi="Arial" w:cs="Arial"/>
              </w:rPr>
              <w:t>) (</w:t>
            </w:r>
            <w:hyperlink w:anchor="Kahan" w:history="1">
              <w:r w:rsidRPr="00D61F73">
                <w:rPr>
                  <w:rStyle w:val="Hyperlink"/>
                  <w:rFonts w:ascii="Arial" w:hAnsi="Arial" w:cs="Arial"/>
                </w:rPr>
                <w:t>Kahan, 2006</w:t>
              </w:r>
            </w:hyperlink>
            <w:r w:rsidRPr="00D61F73">
              <w:rPr>
                <w:rFonts w:ascii="Arial" w:hAnsi="Arial" w:cs="Arial"/>
              </w:rPr>
              <w:t>) (</w:t>
            </w:r>
            <w:hyperlink w:anchor="Lader" w:history="1">
              <w:r w:rsidRPr="00D61F73">
                <w:rPr>
                  <w:rStyle w:val="Hyperlink"/>
                  <w:rFonts w:ascii="Arial" w:hAnsi="Arial" w:cs="Arial"/>
                </w:rPr>
                <w:t>Lader, 2009</w:t>
              </w:r>
            </w:hyperlink>
            <w:r w:rsidRPr="00D61F73">
              <w:rPr>
                <w:rFonts w:ascii="Arial" w:hAnsi="Arial" w:cs="Arial"/>
              </w:rPr>
              <w:t>) (</w:t>
            </w:r>
            <w:hyperlink w:anchor="Smith" w:history="1">
              <w:r w:rsidRPr="00D61F73">
                <w:rPr>
                  <w:rStyle w:val="Hyperlink"/>
                  <w:rFonts w:ascii="Arial" w:hAnsi="Arial" w:cs="Arial"/>
                </w:rPr>
                <w:t>Smith, 1990</w:t>
              </w:r>
            </w:hyperlink>
            <w:r w:rsidRPr="00D61F73">
              <w:rPr>
                <w:rFonts w:ascii="Arial" w:hAnsi="Arial" w:cs="Arial"/>
              </w:rPr>
              <w:t>) (</w:t>
            </w:r>
            <w:hyperlink w:anchor="Dickenson" w:history="1">
              <w:r w:rsidRPr="00D61F73">
                <w:rPr>
                  <w:rStyle w:val="Hyperlink"/>
                  <w:rFonts w:ascii="Arial" w:hAnsi="Arial" w:cs="Arial"/>
                </w:rPr>
                <w:t>Dickenson, 2009</w:t>
              </w:r>
            </w:hyperlink>
            <w:r w:rsidRPr="00D61F73">
              <w:rPr>
                <w:rFonts w:ascii="Arial" w:hAnsi="Arial" w:cs="Arial"/>
              </w:rPr>
              <w:t>)</w:t>
            </w:r>
          </w:p>
          <w:p w14:paraId="2CD9B181" w14:textId="5A6C3A71" w:rsidR="0038137E" w:rsidRPr="00D61F73" w:rsidRDefault="0038137E" w:rsidP="00D61F73">
            <w:pPr>
              <w:rPr>
                <w:rFonts w:ascii="Arial" w:hAnsi="Arial" w:cs="Arial"/>
                <w:bCs/>
              </w:rPr>
            </w:pPr>
            <w:r w:rsidRPr="00D61F73">
              <w:rPr>
                <w:rFonts w:ascii="Arial" w:eastAsia="Calibri" w:hAnsi="Arial" w:cs="Arial"/>
                <w:i/>
                <w:iCs/>
                <w:u w:val="single"/>
              </w:rPr>
              <w:t>Benzodiazepine dependence, maintenance treatment</w:t>
            </w:r>
            <w:r w:rsidRPr="00D61F73">
              <w:rPr>
                <w:rFonts w:ascii="Arial" w:eastAsia="Calibri" w:hAnsi="Arial" w:cs="Arial"/>
                <w:i/>
                <w:iCs/>
              </w:rPr>
              <w:t>:</w:t>
            </w:r>
            <w:r w:rsidRPr="00D61F73">
              <w:rPr>
                <w:rFonts w:ascii="Arial" w:eastAsia="Calibri" w:hAnsi="Arial" w:cs="Arial"/>
              </w:rPr>
              <w:t xml:space="preserve"> Recommended for selected patients. Early research indicates that switching from rapid-onset, short-acting benzodiazepines to slow-onset, long-acting formulations is an option. In some cases this will actually allow for ultimate discontinuation of this class of drugs. Clonazepam is the suggested drug to switch to. It has a slow onset of action, half-life of 18-50 hours, high potency and lack of active metabolites. (</w:t>
            </w:r>
            <w:hyperlink w:anchor="Liebrenz2010" w:history="1">
              <w:r w:rsidRPr="00D61F73">
                <w:rPr>
                  <w:rStyle w:val="Hyperlink"/>
                  <w:rFonts w:ascii="Arial" w:eastAsia="Calibri" w:hAnsi="Arial" w:cs="Arial"/>
                </w:rPr>
                <w:t>Liebrenz, 2010</w:t>
              </w:r>
            </w:hyperlink>
            <w:r w:rsidRPr="00D61F73">
              <w:rPr>
                <w:rFonts w:ascii="Arial" w:eastAsia="Calibri" w:hAnsi="Arial" w:cs="Arial"/>
              </w:rPr>
              <w:t>) (</w:t>
            </w:r>
            <w:hyperlink w:anchor="Maremmani2013" w:history="1">
              <w:r w:rsidRPr="00D61F73">
                <w:rPr>
                  <w:rStyle w:val="Hyperlink"/>
                  <w:rFonts w:ascii="Arial" w:eastAsia="Calibri" w:hAnsi="Arial" w:cs="Arial"/>
                </w:rPr>
                <w:t>Maremmani, 2013</w:t>
              </w:r>
            </w:hyperlink>
            <w:r w:rsidRPr="00D61F73">
              <w:rPr>
                <w:rFonts w:ascii="Arial" w:eastAsia="Calibri" w:hAnsi="Arial" w:cs="Arial"/>
              </w:rPr>
              <w:t>)</w:t>
            </w:r>
          </w:p>
        </w:tc>
      </w:tr>
      <w:tr w:rsidR="0038137E" w:rsidRPr="00D61F73" w14:paraId="3A4BBDE3" w14:textId="77777777" w:rsidTr="0038137E">
        <w:tc>
          <w:tcPr>
            <w:tcW w:w="1088" w:type="pct"/>
            <w:shd w:val="clear" w:color="auto" w:fill="auto"/>
          </w:tcPr>
          <w:p w14:paraId="35603273" w14:textId="4F52368B" w:rsidR="0038137E" w:rsidRPr="00D61F73" w:rsidRDefault="0038137E" w:rsidP="00D61F73">
            <w:pPr>
              <w:rPr>
                <w:rFonts w:ascii="Arial" w:hAnsi="Arial" w:cs="Arial"/>
              </w:rPr>
            </w:pPr>
            <w:r w:rsidRPr="00D61F73">
              <w:rPr>
                <w:rFonts w:ascii="Arial" w:hAnsi="Arial" w:cs="Arial"/>
              </w:rPr>
              <w:lastRenderedPageBreak/>
              <w:t>W</w:t>
            </w:r>
            <w:bookmarkStart w:id="390" w:name="Weaningcarisoprodol"/>
            <w:bookmarkEnd w:id="390"/>
            <w:r w:rsidRPr="00D61F73">
              <w:rPr>
                <w:rFonts w:ascii="Arial" w:hAnsi="Arial" w:cs="Arial"/>
              </w:rPr>
              <w:t>eaning, carisoprodol (Soma®)</w:t>
            </w:r>
          </w:p>
        </w:tc>
        <w:tc>
          <w:tcPr>
            <w:tcW w:w="3912" w:type="pct"/>
            <w:shd w:val="clear" w:color="auto" w:fill="auto"/>
          </w:tcPr>
          <w:p w14:paraId="0E53994B" w14:textId="77777777" w:rsidR="0038137E" w:rsidRPr="00D61F73" w:rsidRDefault="0038137E" w:rsidP="00D61F73">
            <w:pPr>
              <w:keepNext/>
              <w:outlineLvl w:val="0"/>
              <w:rPr>
                <w:rFonts w:ascii="Arial" w:eastAsia="Calibri" w:hAnsi="Arial" w:cs="Arial"/>
                <w:bCs/>
              </w:rPr>
            </w:pPr>
            <w:r w:rsidRPr="00D61F73">
              <w:rPr>
                <w:rFonts w:ascii="Arial" w:hAnsi="Arial" w:cs="Arial"/>
                <w:bCs/>
              </w:rPr>
              <w:t xml:space="preserve">Recommended for selected patients (the majority). See </w:t>
            </w:r>
            <w:hyperlink w:anchor="Weaningschedmeds" w:history="1">
              <w:r w:rsidRPr="00D61F73">
                <w:rPr>
                  <w:rStyle w:val="Hyperlink"/>
                  <w:rFonts w:ascii="Arial" w:hAnsi="Arial" w:cs="Arial"/>
                  <w:bCs/>
                </w:rPr>
                <w:t>Weaning, scheduled medications</w:t>
              </w:r>
            </w:hyperlink>
            <w:r w:rsidRPr="00D61F73">
              <w:rPr>
                <w:rFonts w:ascii="Arial" w:hAnsi="Arial" w:cs="Arial"/>
                <w:bCs/>
              </w:rPr>
              <w:t xml:space="preserve"> (general guidelines). This medication is metabolized to meprobamate, a schedule C-IV controlled anxiolytic agent. There is little research in terms of weaning of high dose carisoprodol and there is no standard treatment regimen for patients with known dependence. Most treatment includes treatment for symptomatic complaints of withdrawal. </w:t>
            </w:r>
          </w:p>
          <w:p w14:paraId="382C93F6" w14:textId="77777777" w:rsidR="0038137E" w:rsidRPr="00D61F73" w:rsidRDefault="0038137E" w:rsidP="00D61F73">
            <w:pPr>
              <w:keepNext/>
              <w:outlineLvl w:val="0"/>
              <w:rPr>
                <w:rFonts w:ascii="Arial" w:hAnsi="Arial" w:cs="Arial"/>
              </w:rPr>
            </w:pPr>
            <w:r w:rsidRPr="00D61F73">
              <w:rPr>
                <w:rFonts w:ascii="Arial" w:hAnsi="Arial" w:cs="Arial"/>
                <w:bCs/>
                <w:i/>
                <w:u w:val="single"/>
              </w:rPr>
              <w:t>Weaning</w:t>
            </w:r>
            <w:r w:rsidRPr="00D61F73">
              <w:rPr>
                <w:rFonts w:ascii="Arial" w:hAnsi="Arial" w:cs="Arial"/>
                <w:bCs/>
                <w:i/>
              </w:rPr>
              <w:t xml:space="preserve">: </w:t>
            </w:r>
            <w:r w:rsidRPr="00D61F73">
              <w:rPr>
                <w:rFonts w:ascii="Arial" w:hAnsi="Arial" w:cs="Arial"/>
                <w:bCs/>
              </w:rPr>
              <w:t xml:space="preserve">For patients on low to moderate doses of carisoprodol or for short-term duration a slow taper of 2-4 weeks is recommended. One option for withdrawal for patients using high doses of </w:t>
            </w:r>
            <w:r w:rsidRPr="00D61F73">
              <w:rPr>
                <w:rFonts w:ascii="Arial" w:hAnsi="Arial" w:cs="Arial"/>
                <w:bCs/>
                <w:iCs/>
              </w:rPr>
              <w:t>carisoprodol (particularly for those using the drug in doses over what is prescribed) or</w:t>
            </w:r>
            <w:r w:rsidRPr="00D61F73">
              <w:rPr>
                <w:rFonts w:ascii="Arial" w:hAnsi="Arial" w:cs="Arial"/>
                <w:bCs/>
              </w:rPr>
              <w:t xml:space="preserve"> for long durations is to switch to phenobarbital with subsequent tapering. A conversion table is available for Soma to phenobarbital equivalents (700 mg to 30 mg, respectively) with recommendations for weaning. (</w:t>
            </w:r>
            <w:hyperlink w:anchor="Dickenson" w:history="1">
              <w:r w:rsidRPr="00D61F73">
                <w:rPr>
                  <w:rStyle w:val="Hyperlink"/>
                  <w:rFonts w:ascii="Arial" w:hAnsi="Arial" w:cs="Arial"/>
                  <w:bCs/>
                </w:rPr>
                <w:t>Dickenson, 2009</w:t>
              </w:r>
            </w:hyperlink>
            <w:r w:rsidRPr="00D61F73">
              <w:rPr>
                <w:rFonts w:ascii="Arial" w:hAnsi="Arial" w:cs="Arial"/>
                <w:bCs/>
              </w:rPr>
              <w:t xml:space="preserve"> - p. 581) A maximum suggested dose of phenobarbital is 500 mg/day and the taper is 30 mg/day with a slower taper in an outpatient setting. Tapering should be individualized for each patient.</w:t>
            </w:r>
          </w:p>
          <w:p w14:paraId="5BA73FE9" w14:textId="2135034F" w:rsidR="0038137E" w:rsidRPr="00D61F73" w:rsidRDefault="0038137E" w:rsidP="00D61F73">
            <w:pPr>
              <w:rPr>
                <w:rFonts w:ascii="Arial" w:hAnsi="Arial" w:cs="Arial"/>
              </w:rPr>
            </w:pPr>
            <w:r w:rsidRPr="00D61F73">
              <w:rPr>
                <w:rFonts w:ascii="Arial" w:hAnsi="Arial" w:cs="Arial"/>
                <w:i/>
                <w:u w:val="single"/>
              </w:rPr>
              <w:t>Symptoms of withdrawal</w:t>
            </w:r>
            <w:r w:rsidRPr="00D61F73">
              <w:rPr>
                <w:rFonts w:ascii="Arial" w:hAnsi="Arial" w:cs="Arial"/>
                <w:i/>
              </w:rPr>
              <w:t>:</w:t>
            </w:r>
            <w:r w:rsidRPr="00D61F73">
              <w:rPr>
                <w:rFonts w:ascii="Arial" w:hAnsi="Arial" w:cs="Arial"/>
              </w:rPr>
              <w:t xml:space="preserve"> Thought to be secondary to both withdrawal for carisoprodol and meprobamate. Symptoms consist of insomnia, vomiting, tremors, muscle twitching, anxiety, and ataxia with abrupt cessation of large doses. Hallucinations and delusions may also occur. (</w:t>
            </w:r>
            <w:hyperlink w:anchor="Reeves2010" w:history="1">
              <w:r w:rsidRPr="00D61F73">
                <w:rPr>
                  <w:rStyle w:val="Hyperlink"/>
                  <w:rFonts w:ascii="Arial" w:hAnsi="Arial" w:cs="Arial"/>
                  <w:bCs/>
                </w:rPr>
                <w:t>Reeves, 2010</w:t>
              </w:r>
            </w:hyperlink>
            <w:r w:rsidRPr="00D61F73">
              <w:rPr>
                <w:rFonts w:ascii="Arial" w:hAnsi="Arial" w:cs="Arial"/>
              </w:rPr>
              <w:t>) (</w:t>
            </w:r>
            <w:hyperlink w:anchor="Reeves2007" w:history="1">
              <w:r w:rsidRPr="00D61F73">
                <w:rPr>
                  <w:rStyle w:val="Hyperlink"/>
                  <w:rFonts w:ascii="Arial" w:hAnsi="Arial" w:cs="Arial"/>
                </w:rPr>
                <w:t>Reeves, 2007</w:t>
              </w:r>
            </w:hyperlink>
            <w:r w:rsidRPr="00D61F73">
              <w:rPr>
                <w:rFonts w:ascii="Arial" w:hAnsi="Arial" w:cs="Arial"/>
              </w:rPr>
              <w:t>) (</w:t>
            </w:r>
            <w:hyperlink w:anchor="Boothby" w:history="1">
              <w:r w:rsidRPr="00D61F73">
                <w:rPr>
                  <w:rStyle w:val="Hyperlink"/>
                  <w:rFonts w:ascii="Arial" w:hAnsi="Arial" w:cs="Arial"/>
                </w:rPr>
                <w:t>Boothby, 2003</w:t>
              </w:r>
            </w:hyperlink>
            <w:r w:rsidRPr="00D61F73">
              <w:rPr>
                <w:rFonts w:ascii="Arial" w:hAnsi="Arial" w:cs="Arial"/>
              </w:rPr>
              <w:t>) (</w:t>
            </w:r>
            <w:hyperlink w:anchor="Heacock" w:history="1">
              <w:r w:rsidRPr="00D61F73">
                <w:rPr>
                  <w:rStyle w:val="Hyperlink"/>
                  <w:rFonts w:ascii="Arial" w:hAnsi="Arial" w:cs="Arial"/>
                </w:rPr>
                <w:t>Heacock, 2004</w:t>
              </w:r>
            </w:hyperlink>
            <w:r w:rsidRPr="00D61F73">
              <w:rPr>
                <w:rFonts w:ascii="Arial" w:hAnsi="Arial" w:cs="Arial"/>
              </w:rPr>
              <w:t>) (</w:t>
            </w:r>
            <w:hyperlink w:anchor="Washington" w:history="1">
              <w:r w:rsidRPr="00D61F73">
                <w:rPr>
                  <w:rStyle w:val="Hyperlink"/>
                  <w:rFonts w:ascii="Arial" w:hAnsi="Arial" w:cs="Arial"/>
                </w:rPr>
                <w:t>Washington, 2002</w:t>
              </w:r>
            </w:hyperlink>
            <w:r w:rsidRPr="00D61F73">
              <w:rPr>
                <w:rFonts w:ascii="Arial" w:hAnsi="Arial" w:cs="Arial"/>
              </w:rPr>
              <w:t>) (</w:t>
            </w:r>
            <w:hyperlink w:anchor="Wright2009" w:history="1">
              <w:r w:rsidRPr="00D61F73">
                <w:rPr>
                  <w:rStyle w:val="Hyperlink"/>
                  <w:rFonts w:ascii="Arial" w:hAnsi="Arial" w:cs="Arial"/>
                  <w:bCs/>
                </w:rPr>
                <w:t>Wright, 2009</w:t>
              </w:r>
            </w:hyperlink>
            <w:r w:rsidRPr="00D61F73">
              <w:rPr>
                <w:rFonts w:ascii="Arial" w:hAnsi="Arial" w:cs="Arial"/>
              </w:rPr>
              <w:t xml:space="preserve">) See also </w:t>
            </w:r>
            <w:hyperlink w:anchor="Weaningschedmeds" w:history="1">
              <w:r w:rsidRPr="00D61F73">
                <w:rPr>
                  <w:rStyle w:val="Hyperlink"/>
                  <w:rFonts w:ascii="Arial" w:hAnsi="Arial" w:cs="Arial"/>
                </w:rPr>
                <w:t>Weaning, scheduled medications</w:t>
              </w:r>
            </w:hyperlink>
            <w:r w:rsidRPr="00D61F73">
              <w:rPr>
                <w:rFonts w:ascii="Arial" w:hAnsi="Arial" w:cs="Arial"/>
              </w:rPr>
              <w:t xml:space="preserve"> (general guidelines); </w:t>
            </w:r>
            <w:hyperlink w:anchor="Detoxification" w:history="1">
              <w:r w:rsidRPr="00D61F73">
                <w:rPr>
                  <w:rStyle w:val="Hyperlink"/>
                  <w:rFonts w:ascii="Arial" w:hAnsi="Arial" w:cs="Arial"/>
                </w:rPr>
                <w:t>Detoxification</w:t>
              </w:r>
            </w:hyperlink>
            <w:r w:rsidRPr="00D61F73">
              <w:rPr>
                <w:rFonts w:ascii="Arial" w:hAnsi="Arial" w:cs="Arial"/>
              </w:rPr>
              <w:t>.</w:t>
            </w:r>
          </w:p>
        </w:tc>
      </w:tr>
      <w:tr w:rsidR="0038137E" w:rsidRPr="00D61F73" w14:paraId="461D37D4" w14:textId="77777777" w:rsidTr="0038137E">
        <w:tc>
          <w:tcPr>
            <w:tcW w:w="1088" w:type="pct"/>
            <w:shd w:val="clear" w:color="auto" w:fill="auto"/>
          </w:tcPr>
          <w:p w14:paraId="06C08B0E" w14:textId="3C7CCF6B" w:rsidR="0038137E" w:rsidRPr="00D61F73" w:rsidRDefault="0038137E" w:rsidP="00D61F73">
            <w:pPr>
              <w:rPr>
                <w:rFonts w:ascii="Arial" w:hAnsi="Arial" w:cs="Arial"/>
              </w:rPr>
            </w:pPr>
            <w:r w:rsidRPr="00D61F73">
              <w:rPr>
                <w:rFonts w:ascii="Arial" w:hAnsi="Arial" w:cs="Arial"/>
              </w:rPr>
              <w:t>W</w:t>
            </w:r>
            <w:bookmarkStart w:id="391" w:name="Weaningopioids"/>
            <w:bookmarkEnd w:id="391"/>
            <w:r w:rsidRPr="00D61F73">
              <w:rPr>
                <w:rFonts w:ascii="Arial" w:hAnsi="Arial" w:cs="Arial"/>
              </w:rPr>
              <w:t xml:space="preserve">eaning, opioids  </w:t>
            </w:r>
          </w:p>
        </w:tc>
        <w:tc>
          <w:tcPr>
            <w:tcW w:w="3912" w:type="pct"/>
            <w:shd w:val="clear" w:color="auto" w:fill="auto"/>
          </w:tcPr>
          <w:p w14:paraId="33D67A43" w14:textId="0DA2E6BE" w:rsidR="0038137E" w:rsidRPr="00D61F73" w:rsidRDefault="0038137E" w:rsidP="00D61F73">
            <w:pPr>
              <w:rPr>
                <w:rFonts w:ascii="Arial" w:hAnsi="Arial" w:cs="Arial"/>
                <w:bCs/>
              </w:rPr>
            </w:pPr>
            <w:r w:rsidRPr="00D61F73">
              <w:rPr>
                <w:rFonts w:ascii="Arial" w:hAnsi="Arial" w:cs="Arial"/>
              </w:rPr>
              <w:t xml:space="preserve">See MTUS Opioids Treatment Guidelines </w:t>
            </w:r>
            <w:r w:rsidRPr="00D61F73">
              <w:rPr>
                <w:rFonts w:ascii="Arial" w:hAnsi="Arial" w:cs="Arial"/>
                <w:bCs/>
              </w:rPr>
              <w:t xml:space="preserve">on weaning opioids. </w:t>
            </w:r>
          </w:p>
        </w:tc>
      </w:tr>
      <w:tr w:rsidR="0038137E" w:rsidRPr="00D61F73" w14:paraId="1F8C1EF6" w14:textId="77777777" w:rsidTr="0038137E">
        <w:tc>
          <w:tcPr>
            <w:tcW w:w="1088" w:type="pct"/>
            <w:shd w:val="clear" w:color="auto" w:fill="auto"/>
          </w:tcPr>
          <w:p w14:paraId="69F39189" w14:textId="52F80DCC" w:rsidR="0038137E" w:rsidRPr="00D61F73" w:rsidRDefault="0038137E" w:rsidP="00D61F73">
            <w:pPr>
              <w:rPr>
                <w:rFonts w:ascii="Arial" w:hAnsi="Arial" w:cs="Arial"/>
              </w:rPr>
            </w:pPr>
            <w:r w:rsidRPr="00D61F73">
              <w:rPr>
                <w:rFonts w:ascii="Arial" w:hAnsi="Arial" w:cs="Arial"/>
              </w:rPr>
              <w:t>W</w:t>
            </w:r>
            <w:bookmarkStart w:id="392" w:name="Weaningpregabalin"/>
            <w:bookmarkEnd w:id="392"/>
            <w:r w:rsidRPr="00D61F73">
              <w:rPr>
                <w:rFonts w:ascii="Arial" w:hAnsi="Arial" w:cs="Arial"/>
              </w:rPr>
              <w:t xml:space="preserve">eaning, </w:t>
            </w:r>
            <w:r w:rsidRPr="00D61F73">
              <w:rPr>
                <w:rFonts w:ascii="Arial" w:hAnsi="Arial" w:cs="Arial"/>
              </w:rPr>
              <w:lastRenderedPageBreak/>
              <w:t>pregabalin (Lyrica®)</w:t>
            </w:r>
          </w:p>
        </w:tc>
        <w:tc>
          <w:tcPr>
            <w:tcW w:w="3912" w:type="pct"/>
            <w:shd w:val="clear" w:color="auto" w:fill="auto"/>
          </w:tcPr>
          <w:p w14:paraId="40232696" w14:textId="296B4580" w:rsidR="0038137E" w:rsidRPr="00D61F73" w:rsidRDefault="0038137E" w:rsidP="00D61F73">
            <w:pPr>
              <w:rPr>
                <w:rFonts w:ascii="Arial" w:eastAsia="Calibri" w:hAnsi="Arial" w:cs="Arial"/>
                <w:bCs/>
              </w:rPr>
            </w:pPr>
            <w:r w:rsidRPr="00D61F73">
              <w:rPr>
                <w:rFonts w:ascii="Arial" w:hAnsi="Arial" w:cs="Arial"/>
                <w:bCs/>
              </w:rPr>
              <w:lastRenderedPageBreak/>
              <w:t xml:space="preserve">Recommended for selected patients. </w:t>
            </w:r>
            <w:r w:rsidRPr="00D61F73">
              <w:rPr>
                <w:rFonts w:ascii="Arial" w:hAnsi="Arial" w:cs="Arial"/>
              </w:rPr>
              <w:t xml:space="preserve">The manufacturer of this drug </w:t>
            </w:r>
            <w:r w:rsidRPr="00D61F73">
              <w:rPr>
                <w:rFonts w:ascii="Arial" w:hAnsi="Arial" w:cs="Arial"/>
              </w:rPr>
              <w:lastRenderedPageBreak/>
              <w:t xml:space="preserve">recommends weaning over at least one week when used as seizure therapy. There is no formal protocol available to guide in weaning when used for treatment of chronic pain, and the drug is rarely used as a monotherapy. A consensus recommendation of a minimum of weaning over two to four weeks is made when used for chronic pain. See also </w:t>
            </w:r>
            <w:hyperlink w:anchor="Weaningschedmeds" w:history="1">
              <w:r w:rsidRPr="00D61F73">
                <w:rPr>
                  <w:rStyle w:val="Hyperlink"/>
                  <w:rFonts w:ascii="Arial" w:hAnsi="Arial" w:cs="Arial"/>
                </w:rPr>
                <w:t>Weaning, scheduled medications</w:t>
              </w:r>
            </w:hyperlink>
            <w:r w:rsidRPr="00D61F73">
              <w:rPr>
                <w:rFonts w:ascii="Arial" w:hAnsi="Arial" w:cs="Arial"/>
              </w:rPr>
              <w:t xml:space="preserve"> (general guidelines); </w:t>
            </w:r>
            <w:hyperlink w:anchor="Detoxification" w:history="1">
              <w:r w:rsidRPr="00D61F73">
                <w:rPr>
                  <w:rStyle w:val="Hyperlink"/>
                  <w:rFonts w:ascii="Arial" w:hAnsi="Arial" w:cs="Arial"/>
                </w:rPr>
                <w:t>Detoxification</w:t>
              </w:r>
            </w:hyperlink>
            <w:r w:rsidRPr="00D61F73">
              <w:rPr>
                <w:rFonts w:ascii="Arial" w:hAnsi="Arial" w:cs="Arial"/>
              </w:rPr>
              <w:t xml:space="preserve">; &amp; </w:t>
            </w:r>
            <w:hyperlink w:anchor="Rapiddetox" w:history="1">
              <w:r w:rsidRPr="00D61F73">
                <w:rPr>
                  <w:rStyle w:val="Hyperlink"/>
                  <w:rFonts w:ascii="Arial" w:hAnsi="Arial" w:cs="Arial"/>
                </w:rPr>
                <w:t>Rapid detox</w:t>
              </w:r>
            </w:hyperlink>
            <w:r w:rsidRPr="00D61F73">
              <w:rPr>
                <w:rFonts w:ascii="Arial" w:hAnsi="Arial" w:cs="Arial"/>
              </w:rPr>
              <w:t>.</w:t>
            </w:r>
          </w:p>
        </w:tc>
      </w:tr>
      <w:tr w:rsidR="0038137E" w:rsidRPr="00D61F73" w14:paraId="22613623" w14:textId="77777777" w:rsidTr="0038137E">
        <w:tc>
          <w:tcPr>
            <w:tcW w:w="1088" w:type="pct"/>
            <w:shd w:val="clear" w:color="auto" w:fill="auto"/>
          </w:tcPr>
          <w:p w14:paraId="5D8C8E5E" w14:textId="64627963" w:rsidR="0038137E" w:rsidRPr="00D61F73" w:rsidRDefault="0038137E" w:rsidP="00D61F73">
            <w:pPr>
              <w:rPr>
                <w:rFonts w:ascii="Arial" w:hAnsi="Arial" w:cs="Arial"/>
              </w:rPr>
            </w:pPr>
            <w:r w:rsidRPr="00D61F73">
              <w:rPr>
                <w:rFonts w:ascii="Arial" w:hAnsi="Arial" w:cs="Arial"/>
              </w:rPr>
              <w:lastRenderedPageBreak/>
              <w:t>W</w:t>
            </w:r>
            <w:bookmarkStart w:id="393" w:name="Weaningschedmeds"/>
            <w:bookmarkEnd w:id="393"/>
            <w:r w:rsidRPr="00D61F73">
              <w:rPr>
                <w:rFonts w:ascii="Arial" w:hAnsi="Arial" w:cs="Arial"/>
              </w:rPr>
              <w:t>eaning, scheduled medications (general guidelines)</w:t>
            </w:r>
          </w:p>
        </w:tc>
        <w:tc>
          <w:tcPr>
            <w:tcW w:w="3912" w:type="pct"/>
            <w:shd w:val="clear" w:color="auto" w:fill="auto"/>
          </w:tcPr>
          <w:p w14:paraId="65FD93F8" w14:textId="77777777" w:rsidR="0038137E" w:rsidRPr="00D61F73" w:rsidRDefault="0038137E" w:rsidP="00D61F73">
            <w:pPr>
              <w:keepNext/>
              <w:outlineLvl w:val="0"/>
              <w:rPr>
                <w:rFonts w:ascii="Arial" w:hAnsi="Arial" w:cs="Arial"/>
                <w:color w:val="auto"/>
              </w:rPr>
            </w:pPr>
            <w:r w:rsidRPr="00D61F73">
              <w:rPr>
                <w:rFonts w:ascii="Arial" w:hAnsi="Arial" w:cs="Arial"/>
                <w:bCs/>
              </w:rPr>
              <w:t xml:space="preserve">Recommended when there is evidence of substance misuse, abuse or addiction, </w:t>
            </w:r>
            <w:r w:rsidRPr="00D61F73">
              <w:rPr>
                <w:rFonts w:ascii="Arial" w:hAnsi="Arial" w:cs="Arial"/>
              </w:rPr>
              <w:t>as indicated below</w:t>
            </w:r>
            <w:r w:rsidRPr="00D61F73">
              <w:rPr>
                <w:rFonts w:ascii="Arial" w:hAnsi="Arial" w:cs="Arial"/>
                <w:bCs/>
              </w:rPr>
              <w:t xml:space="preserve">. See </w:t>
            </w:r>
            <w:hyperlink w:anchor="Substanceabuse" w:history="1">
              <w:r w:rsidRPr="00D61F73">
                <w:rPr>
                  <w:rStyle w:val="Hyperlink"/>
                  <w:rFonts w:ascii="Arial" w:hAnsi="Arial" w:cs="Arial"/>
                  <w:bCs/>
                </w:rPr>
                <w:t>Substance abuse</w:t>
              </w:r>
            </w:hyperlink>
            <w:r w:rsidRPr="00D61F73">
              <w:rPr>
                <w:rFonts w:ascii="Arial" w:hAnsi="Arial" w:cs="Arial"/>
                <w:bCs/>
              </w:rPr>
              <w:t xml:space="preserve"> (tolerance, dependence, addiction) for definitions. While the main indication as related to substance-related disorders is evidence of aberrant drug behaviors, other indications for weaning include the following: (1) Intolerable side effects; (2) Lack of significant symptomatic response to current pain medication treatment (particularly when there is evidence of increasingly escalating doses of substances known for dependence); (3) Refractory comorbid psychiatric illness; (4) Lack of sustained </w:t>
            </w:r>
            <w:hyperlink w:anchor="Functionalimprovementmeasures" w:history="1">
              <w:r w:rsidRPr="00D61F73">
                <w:rPr>
                  <w:rStyle w:val="Hyperlink"/>
                  <w:rFonts w:ascii="Arial" w:hAnsi="Arial" w:cs="Arial"/>
                </w:rPr>
                <w:t>functional improvement</w:t>
              </w:r>
            </w:hyperlink>
            <w:r w:rsidRPr="00D61F73">
              <w:rPr>
                <w:rFonts w:ascii="Arial" w:hAnsi="Arial" w:cs="Arial"/>
              </w:rPr>
              <w:t xml:space="preserve"> </w:t>
            </w:r>
            <w:r w:rsidRPr="00D61F73">
              <w:rPr>
                <w:rFonts w:ascii="Arial" w:hAnsi="Arial" w:cs="Arial"/>
                <w:bCs/>
              </w:rPr>
              <w:t>related to opioid use; and/or  (5) Risks exceeding benefits.</w:t>
            </w:r>
          </w:p>
          <w:p w14:paraId="4C22835C" w14:textId="77777777" w:rsidR="0038137E" w:rsidRPr="00D61F73" w:rsidRDefault="0038137E" w:rsidP="00D61F73">
            <w:pPr>
              <w:keepNext/>
              <w:outlineLvl w:val="0"/>
              <w:rPr>
                <w:rFonts w:ascii="Arial" w:hAnsi="Arial" w:cs="Arial"/>
              </w:rPr>
            </w:pPr>
            <w:r w:rsidRPr="00D61F73">
              <w:rPr>
                <w:rFonts w:ascii="Arial" w:hAnsi="Arial" w:cs="Arial"/>
                <w:bCs/>
                <w:i/>
                <w:u w:val="single"/>
              </w:rPr>
              <w:t>Initial Evaluation</w:t>
            </w:r>
            <w:r w:rsidRPr="00D61F73">
              <w:rPr>
                <w:rFonts w:ascii="Arial" w:hAnsi="Arial" w:cs="Arial"/>
                <w:bCs/>
                <w:i/>
              </w:rPr>
              <w:t xml:space="preserve">: </w:t>
            </w:r>
            <w:r w:rsidRPr="00D61F73">
              <w:rPr>
                <w:rFonts w:ascii="Arial" w:hAnsi="Arial" w:cs="Arial"/>
                <w:bCs/>
              </w:rPr>
              <w:t>Patients considered for weaning should undergo an assessment of their general medical, psychiatric, surgical and pain treatment history, with education regarding rationale for weaning, symptoms and potential adjunctive agents or alternative treatments. Vital signs should be monitored throughout the weaning process. Urine toxicology screening may be indicated. If performed in a patient with substance-related disorder (abuse, misuse or addiction), a psychiatric evaluation may not reveal an accurate diagnosis until months after weaning is achieved.</w:t>
            </w:r>
          </w:p>
          <w:p w14:paraId="743EA588" w14:textId="63163A56" w:rsidR="0038137E" w:rsidRPr="00D61F73" w:rsidRDefault="0038137E" w:rsidP="00D61F73">
            <w:pPr>
              <w:keepNext/>
              <w:outlineLvl w:val="0"/>
              <w:rPr>
                <w:rFonts w:ascii="Arial" w:eastAsia="Calibri" w:hAnsi="Arial" w:cs="Arial"/>
                <w:bCs/>
              </w:rPr>
            </w:pPr>
            <w:r w:rsidRPr="00D61F73">
              <w:rPr>
                <w:rFonts w:ascii="Arial" w:hAnsi="Arial" w:cs="Arial"/>
                <w:i/>
                <w:iCs/>
                <w:u w:val="single"/>
              </w:rPr>
              <w:t>Setting for weaning</w:t>
            </w:r>
            <w:r w:rsidRPr="00D61F73">
              <w:rPr>
                <w:rFonts w:ascii="Arial" w:hAnsi="Arial" w:cs="Arial"/>
                <w:i/>
                <w:iCs/>
              </w:rPr>
              <w:t>:</w:t>
            </w:r>
            <w:r w:rsidRPr="00D61F73">
              <w:rPr>
                <w:rFonts w:ascii="Arial" w:hAnsi="Arial" w:cs="Arial"/>
              </w:rPr>
              <w:t xml:space="preserve"> Important variables as to the setting in which weaning should occur include the presence of comorbid medical and psychiatric pathology and evidence of use of poly-pharmacy. Medical conditions that may favor inpatient detoxification include a history of significant TBI or seizures (seizure risk, delirium), cardiac disease (sympathetic hypersensitivity), significant liver or kidney disease. Psychiatric conditions potentially favoring inpatient weaning include suicidal or homicidal risks, delirium, and diagnosis of bipolar disorder and other significant psychiatric disease. Patients with alcoholism and history of delirium tremens may merit inpatient treatment. Many of the patients that are recommended for inpatient weaning are using high doses and/or multiple substances that are prescribed, and may also be using other substances such as alcohol and/or illicit substances (street drugs). Benzodiazepines and sedative-hypnotics in particular contribute to increased withdrawal symptoms, including the possibility of seizures, and a less predictable course. More intensive monitoring will be necessary when these variables are present. </w:t>
            </w:r>
            <w:r w:rsidRPr="00D61F73">
              <w:rPr>
                <w:rFonts w:ascii="Arial" w:hAnsi="Arial" w:cs="Arial"/>
                <w:bCs/>
              </w:rPr>
              <w:t>(</w:t>
            </w:r>
            <w:hyperlink r:id="rId179" w:history="1">
              <w:r w:rsidRPr="00D61F73">
                <w:rPr>
                  <w:rStyle w:val="Hyperlink"/>
                  <w:rFonts w:ascii="Arial" w:hAnsi="Arial" w:cs="Arial"/>
                  <w:bCs/>
                </w:rPr>
                <w:t>TIP 40, 2004</w:t>
              </w:r>
            </w:hyperlink>
            <w:r w:rsidRPr="00D61F73">
              <w:rPr>
                <w:rFonts w:ascii="Arial" w:hAnsi="Arial" w:cs="Arial"/>
                <w:bCs/>
              </w:rPr>
              <w:t xml:space="preserve">) </w:t>
            </w:r>
            <w:r w:rsidRPr="00D61F73">
              <w:rPr>
                <w:rFonts w:ascii="Arial" w:hAnsi="Arial" w:cs="Arial"/>
              </w:rPr>
              <w:t xml:space="preserve">Weaning for specific classes of drugs are listed in the following entries in the Pain Chapter: </w:t>
            </w:r>
            <w:hyperlink w:anchor="Weaningbenzo" w:history="1">
              <w:r w:rsidRPr="00D61F73">
                <w:rPr>
                  <w:rStyle w:val="Hyperlink"/>
                  <w:rFonts w:ascii="Arial" w:hAnsi="Arial" w:cs="Arial"/>
                </w:rPr>
                <w:t>Weaning, benzodiazepines</w:t>
              </w:r>
            </w:hyperlink>
            <w:r w:rsidRPr="00D61F73">
              <w:rPr>
                <w:rFonts w:ascii="Arial" w:hAnsi="Arial" w:cs="Arial"/>
              </w:rPr>
              <w:t xml:space="preserve"> (specific guidelines); </w:t>
            </w:r>
            <w:hyperlink w:anchor="Weaningcarisoprodol" w:history="1">
              <w:r w:rsidRPr="00D61F73">
                <w:rPr>
                  <w:rStyle w:val="Hyperlink"/>
                  <w:rFonts w:ascii="Arial" w:hAnsi="Arial" w:cs="Arial"/>
                </w:rPr>
                <w:t>Weaning, carisoprodol</w:t>
              </w:r>
            </w:hyperlink>
            <w:r w:rsidRPr="00D61F73">
              <w:rPr>
                <w:rFonts w:ascii="Arial" w:hAnsi="Arial" w:cs="Arial"/>
              </w:rPr>
              <w:t xml:space="preserve"> (Soma®); Weaning, pregabalin (Lyrica®); Weaning, stimulants. </w:t>
            </w:r>
          </w:p>
        </w:tc>
      </w:tr>
      <w:tr w:rsidR="0038137E" w:rsidRPr="00D61F73" w14:paraId="7AFD8658" w14:textId="77777777" w:rsidTr="0038137E">
        <w:tc>
          <w:tcPr>
            <w:tcW w:w="1088" w:type="pct"/>
            <w:shd w:val="clear" w:color="auto" w:fill="auto"/>
          </w:tcPr>
          <w:p w14:paraId="0666AD91" w14:textId="609FED8B" w:rsidR="0038137E" w:rsidRPr="00D61F73" w:rsidRDefault="0038137E" w:rsidP="00D61F73">
            <w:pPr>
              <w:rPr>
                <w:rFonts w:ascii="Arial" w:hAnsi="Arial" w:cs="Arial"/>
              </w:rPr>
            </w:pPr>
            <w:r w:rsidRPr="00D61F73">
              <w:rPr>
                <w:rFonts w:ascii="Arial" w:hAnsi="Arial" w:cs="Arial"/>
              </w:rPr>
              <w:t>W</w:t>
            </w:r>
            <w:bookmarkStart w:id="394" w:name="Weaningstimulants"/>
            <w:bookmarkEnd w:id="394"/>
            <w:r w:rsidRPr="00D61F73">
              <w:rPr>
                <w:rFonts w:ascii="Arial" w:hAnsi="Arial" w:cs="Arial"/>
              </w:rPr>
              <w:t>eaning, stimulants</w:t>
            </w:r>
          </w:p>
        </w:tc>
        <w:tc>
          <w:tcPr>
            <w:tcW w:w="3912" w:type="pct"/>
            <w:shd w:val="clear" w:color="auto" w:fill="auto"/>
          </w:tcPr>
          <w:p w14:paraId="408F2C5F" w14:textId="77777777" w:rsidR="0038137E" w:rsidRPr="00D61F73" w:rsidRDefault="0038137E" w:rsidP="00D61F73">
            <w:pPr>
              <w:rPr>
                <w:rFonts w:ascii="Arial" w:eastAsia="Calibri" w:hAnsi="Arial" w:cs="Arial"/>
              </w:rPr>
            </w:pPr>
            <w:r w:rsidRPr="00D61F73">
              <w:rPr>
                <w:rFonts w:ascii="Arial" w:hAnsi="Arial" w:cs="Arial"/>
              </w:rPr>
              <w:t xml:space="preserve">Recommended in selected patients (consensus). The stimulant class includes armodafinil, modafinil, methylphenidate, dextroamphetamine, &amp; amphetamine salt combinations. See </w:t>
            </w:r>
            <w:hyperlink w:anchor="Weaningschedmeds" w:history="1">
              <w:r w:rsidRPr="00D61F73">
                <w:rPr>
                  <w:rStyle w:val="Hyperlink"/>
                  <w:rFonts w:ascii="Arial" w:hAnsi="Arial" w:cs="Arial"/>
                </w:rPr>
                <w:t>Weaning, scheduled medications</w:t>
              </w:r>
            </w:hyperlink>
            <w:r w:rsidRPr="00D61F73">
              <w:rPr>
                <w:rFonts w:ascii="Arial" w:hAnsi="Arial" w:cs="Arial"/>
              </w:rPr>
              <w:t xml:space="preserve"> </w:t>
            </w:r>
            <w:r w:rsidRPr="00D61F73">
              <w:rPr>
                <w:rFonts w:ascii="Arial" w:hAnsi="Arial" w:cs="Arial"/>
              </w:rPr>
              <w:lastRenderedPageBreak/>
              <w:t>(general guidelines). Stimulant withdrawal is generally not medically life threatening. The most serious problem with withdrawal is that patients may become severely depressed (to the point of suicide), and develop agitation and insomnia. Antidepressant therapy may be required. Withdrawal symptoms develop within hours to days after heavy use. In patients who are abusing this class of drugs, concomitant use of other drugs and/or alcohol should be evaluated for. Patients who are abusing stimulants or show evidence of abuse of multiple substances should be weaned under the direction of a specialist.</w:t>
            </w:r>
          </w:p>
          <w:p w14:paraId="4FA6071C" w14:textId="77777777" w:rsidR="0038137E" w:rsidRPr="00D61F73" w:rsidRDefault="0038137E" w:rsidP="00D61F73">
            <w:pPr>
              <w:rPr>
                <w:rFonts w:ascii="Arial" w:eastAsia="Calibri" w:hAnsi="Arial" w:cs="Arial"/>
              </w:rPr>
            </w:pPr>
            <w:r w:rsidRPr="00D61F73">
              <w:rPr>
                <w:rFonts w:ascii="Arial" w:hAnsi="Arial" w:cs="Arial"/>
                <w:i/>
              </w:rPr>
              <w:t xml:space="preserve">Withdrawal signs and symptoms: </w:t>
            </w:r>
            <w:r w:rsidRPr="00D61F73">
              <w:rPr>
                <w:rFonts w:ascii="Arial" w:hAnsi="Arial" w:cs="Arial"/>
              </w:rPr>
              <w:t>Jittery reactions with agitated paranoia; Intense drug craving; Weight loss; Anorexia; Dehydration; Fatigue; Dulled senses; Psychomotor lethargy and retardation with impaired memory; Hunger; Chills; Insomnia followed by hypersomnia; Dysphoric mood; Anxiety; Social withdrawal. (</w:t>
            </w:r>
            <w:hyperlink r:id="rId180" w:history="1">
              <w:r w:rsidRPr="00D61F73">
                <w:rPr>
                  <w:rStyle w:val="Hyperlink"/>
                  <w:rFonts w:ascii="Arial" w:hAnsi="Arial" w:cs="Arial"/>
                </w:rPr>
                <w:t>TIP 33, 1999</w:t>
              </w:r>
            </w:hyperlink>
            <w:r w:rsidRPr="00D61F73">
              <w:rPr>
                <w:rFonts w:ascii="Arial" w:hAnsi="Arial" w:cs="Arial"/>
              </w:rPr>
              <w:t>)</w:t>
            </w:r>
          </w:p>
          <w:p w14:paraId="2F6BABC4" w14:textId="77777777" w:rsidR="0038137E" w:rsidRPr="00D61F73" w:rsidRDefault="0038137E" w:rsidP="00D61F73">
            <w:pPr>
              <w:rPr>
                <w:rFonts w:ascii="Arial" w:eastAsia="Calibri" w:hAnsi="Arial" w:cs="Arial"/>
                <w:i/>
                <w:u w:val="single"/>
              </w:rPr>
            </w:pPr>
            <w:r w:rsidRPr="00D61F73">
              <w:rPr>
                <w:rFonts w:ascii="Arial" w:hAnsi="Arial" w:cs="Arial"/>
                <w:i/>
                <w:u w:val="single"/>
              </w:rPr>
              <w:t xml:space="preserve">Recommendations for weaning specific drugs in situations where abuse is not suspected </w:t>
            </w:r>
            <w:r w:rsidRPr="00D61F73">
              <w:rPr>
                <w:rFonts w:ascii="Arial" w:hAnsi="Arial" w:cs="Arial"/>
                <w:i/>
              </w:rPr>
              <w:t>(i.e. the drugs are taken as prescribed):</w:t>
            </w:r>
          </w:p>
          <w:p w14:paraId="50A95BF0" w14:textId="77777777" w:rsidR="0038137E" w:rsidRPr="00D61F73" w:rsidRDefault="0038137E" w:rsidP="00D61F73">
            <w:pPr>
              <w:rPr>
                <w:rFonts w:ascii="Arial" w:eastAsia="Calibri" w:hAnsi="Arial" w:cs="Arial"/>
              </w:rPr>
            </w:pPr>
            <w:r w:rsidRPr="00D61F73">
              <w:rPr>
                <w:rFonts w:ascii="Arial" w:hAnsi="Arial" w:cs="Arial"/>
                <w:i/>
              </w:rPr>
              <w:t>- Armodafinil</w:t>
            </w:r>
            <w:r w:rsidRPr="00D61F73">
              <w:rPr>
                <w:rFonts w:ascii="Arial" w:hAnsi="Arial" w:cs="Arial"/>
              </w:rPr>
              <w:t xml:space="preserve"> (Nuvigil®): There is no recommendation for weaning of this drug by the manufacturer. </w:t>
            </w:r>
          </w:p>
          <w:p w14:paraId="0C38E8F2" w14:textId="77777777" w:rsidR="0038137E" w:rsidRPr="00D61F73" w:rsidRDefault="0038137E" w:rsidP="00D61F73">
            <w:pPr>
              <w:rPr>
                <w:rFonts w:ascii="Arial" w:eastAsia="Calibri" w:hAnsi="Arial" w:cs="Arial"/>
              </w:rPr>
            </w:pPr>
            <w:r w:rsidRPr="00D61F73">
              <w:rPr>
                <w:rFonts w:ascii="Arial" w:hAnsi="Arial" w:cs="Arial"/>
                <w:i/>
              </w:rPr>
              <w:t>- Modafinil</w:t>
            </w:r>
            <w:r w:rsidRPr="00D61F73">
              <w:rPr>
                <w:rFonts w:ascii="Arial" w:hAnsi="Arial" w:cs="Arial"/>
              </w:rPr>
              <w:t xml:space="preserve"> (Provigil®): In one clinical trial withdrawal did not occur with abrupt discontinuation. If given for excessive daytime sleepiness, symptoms may return to baseline.</w:t>
            </w:r>
          </w:p>
          <w:p w14:paraId="7E4D4ED2" w14:textId="77777777" w:rsidR="0038137E" w:rsidRPr="00D61F73" w:rsidRDefault="0038137E" w:rsidP="00D61F73">
            <w:pPr>
              <w:rPr>
                <w:rFonts w:ascii="Arial" w:hAnsi="Arial" w:cs="Arial"/>
              </w:rPr>
            </w:pPr>
            <w:r w:rsidRPr="00D61F73">
              <w:rPr>
                <w:rFonts w:ascii="Arial" w:hAnsi="Arial" w:cs="Arial"/>
                <w:i/>
              </w:rPr>
              <w:t>- Stimulants requiring gradual weaning:</w:t>
            </w:r>
            <w:r w:rsidRPr="00D61F73">
              <w:rPr>
                <w:rFonts w:ascii="Arial" w:hAnsi="Arial" w:cs="Arial"/>
              </w:rPr>
              <w:t xml:space="preserve"> </w:t>
            </w:r>
            <w:r w:rsidRPr="00D61F73">
              <w:rPr>
                <w:rFonts w:ascii="Arial" w:hAnsi="Arial" w:cs="Arial"/>
                <w:i/>
              </w:rPr>
              <w:t>Methylphenidate</w:t>
            </w:r>
            <w:r w:rsidRPr="00D61F73">
              <w:rPr>
                <w:rFonts w:ascii="Arial" w:hAnsi="Arial" w:cs="Arial"/>
              </w:rPr>
              <w:t xml:space="preserve"> (Ritalin®, Methylin®, Metadate ER®, Methylin ER®, Ritalin SR®); </w:t>
            </w:r>
            <w:r w:rsidRPr="00D61F73">
              <w:rPr>
                <w:rFonts w:ascii="Arial" w:hAnsi="Arial" w:cs="Arial"/>
                <w:i/>
              </w:rPr>
              <w:t>Amphetamine salt combo</w:t>
            </w:r>
            <w:r w:rsidRPr="00D61F73">
              <w:rPr>
                <w:rFonts w:ascii="Arial" w:hAnsi="Arial" w:cs="Arial"/>
              </w:rPr>
              <w:t xml:space="preserve"> (Adderall®, Adderall XR®);</w:t>
            </w:r>
          </w:p>
          <w:p w14:paraId="76D5D65B" w14:textId="77777777" w:rsidR="0038137E" w:rsidRPr="00D61F73" w:rsidRDefault="0038137E" w:rsidP="00D61F73">
            <w:pPr>
              <w:rPr>
                <w:rFonts w:ascii="Arial" w:eastAsia="Calibri" w:hAnsi="Arial" w:cs="Arial"/>
              </w:rPr>
            </w:pPr>
            <w:r w:rsidRPr="00D61F73">
              <w:rPr>
                <w:rFonts w:ascii="Arial" w:hAnsi="Arial" w:cs="Arial"/>
              </w:rPr>
              <w:t xml:space="preserve">- </w:t>
            </w:r>
            <w:r w:rsidRPr="00D61F73">
              <w:rPr>
                <w:rFonts w:ascii="Arial" w:hAnsi="Arial" w:cs="Arial"/>
                <w:i/>
              </w:rPr>
              <w:t>Dextroamphetamine</w:t>
            </w:r>
            <w:r w:rsidRPr="00D61F73">
              <w:rPr>
                <w:rFonts w:ascii="Arial" w:hAnsi="Arial" w:cs="Arial"/>
              </w:rPr>
              <w:t xml:space="preserve"> (Dexedrine®, Dextrostat®, Dexedrine Spansules)</w:t>
            </w:r>
          </w:p>
          <w:p w14:paraId="4812240B" w14:textId="048D5BDF" w:rsidR="0038137E" w:rsidRPr="00D61F73" w:rsidRDefault="0038137E" w:rsidP="00D61F73">
            <w:pPr>
              <w:keepNext/>
              <w:outlineLvl w:val="0"/>
              <w:rPr>
                <w:rFonts w:ascii="Arial" w:eastAsia="Calibri" w:hAnsi="Arial" w:cs="Arial"/>
                <w:bCs/>
              </w:rPr>
            </w:pPr>
            <w:r w:rsidRPr="00D61F73">
              <w:rPr>
                <w:rFonts w:ascii="Arial" w:hAnsi="Arial" w:cs="Arial"/>
              </w:rPr>
              <w:t xml:space="preserve">Gradual withdrawal over two to four weeks is recommended as abrupt discontinuation can unmask severe depression and precipitate withdrawal. See </w:t>
            </w:r>
            <w:hyperlink w:anchor="Weaningschedmeds" w:history="1">
              <w:r w:rsidRPr="00D61F73">
                <w:rPr>
                  <w:rStyle w:val="Hyperlink"/>
                  <w:rFonts w:ascii="Arial" w:hAnsi="Arial" w:cs="Arial"/>
                </w:rPr>
                <w:t>Weaning, scheduled medications</w:t>
              </w:r>
            </w:hyperlink>
            <w:r w:rsidRPr="00D61F73">
              <w:rPr>
                <w:rFonts w:ascii="Arial" w:hAnsi="Arial" w:cs="Arial"/>
              </w:rPr>
              <w:t xml:space="preserve"> (general guidelines).</w:t>
            </w:r>
          </w:p>
        </w:tc>
      </w:tr>
      <w:tr w:rsidR="0038137E" w:rsidRPr="00D61F73" w14:paraId="2EB7F306" w14:textId="77777777" w:rsidTr="0038137E">
        <w:tc>
          <w:tcPr>
            <w:tcW w:w="1088" w:type="pct"/>
            <w:shd w:val="clear" w:color="auto" w:fill="auto"/>
          </w:tcPr>
          <w:p w14:paraId="6B17E1B1" w14:textId="3A9F89CD" w:rsidR="0038137E" w:rsidRPr="00D61F73" w:rsidRDefault="0038137E" w:rsidP="00D61F73">
            <w:pPr>
              <w:rPr>
                <w:rFonts w:ascii="Arial" w:hAnsi="Arial" w:cs="Arial"/>
              </w:rPr>
            </w:pPr>
            <w:r w:rsidRPr="00D61F73">
              <w:rPr>
                <w:rFonts w:ascii="Arial" w:hAnsi="Arial" w:cs="Arial"/>
              </w:rPr>
              <w:lastRenderedPageBreak/>
              <w:t>W</w:t>
            </w:r>
            <w:bookmarkStart w:id="395" w:name="Wellbutrin"/>
            <w:bookmarkEnd w:id="395"/>
            <w:r w:rsidRPr="00D61F73">
              <w:rPr>
                <w:rFonts w:ascii="Arial" w:hAnsi="Arial" w:cs="Arial"/>
              </w:rPr>
              <w:t>ellbutrin® (bupropion)</w:t>
            </w:r>
          </w:p>
        </w:tc>
        <w:tc>
          <w:tcPr>
            <w:tcW w:w="3912" w:type="pct"/>
            <w:shd w:val="clear" w:color="auto" w:fill="auto"/>
          </w:tcPr>
          <w:p w14:paraId="0710E899" w14:textId="25D67939" w:rsidR="0038137E" w:rsidRPr="00D61F73" w:rsidRDefault="0038137E" w:rsidP="00D61F73">
            <w:pPr>
              <w:keepNext/>
              <w:outlineLvl w:val="0"/>
              <w:rPr>
                <w:rFonts w:ascii="Arial" w:eastAsia="Calibri" w:hAnsi="Arial" w:cs="Arial"/>
                <w:bCs/>
              </w:rPr>
            </w:pPr>
            <w:r w:rsidRPr="00D61F73">
              <w:rPr>
                <w:rFonts w:ascii="Arial" w:hAnsi="Arial" w:cs="Arial"/>
              </w:rPr>
              <w:t xml:space="preserve">Wellbutrin® is the brand name for bupropion, an atypical antidepressant that acts as a norepinephrine and dopamine reuptake inhibitor, and is supplied by GlaxoSmithKline. See </w:t>
            </w:r>
            <w:hyperlink w:anchor="Bupropion" w:history="1">
              <w:r w:rsidRPr="00D61F73">
                <w:rPr>
                  <w:rStyle w:val="Hyperlink"/>
                  <w:rFonts w:ascii="Arial" w:hAnsi="Arial" w:cs="Arial"/>
                </w:rPr>
                <w:t>Bupropion</w:t>
              </w:r>
            </w:hyperlink>
            <w:r w:rsidRPr="00D61F73">
              <w:rPr>
                <w:rFonts w:ascii="Arial" w:hAnsi="Arial" w:cs="Arial"/>
              </w:rPr>
              <w:t xml:space="preserve"> (Wellbutrin®).</w:t>
            </w:r>
          </w:p>
        </w:tc>
      </w:tr>
      <w:tr w:rsidR="0038137E" w:rsidRPr="00D61F73" w14:paraId="6FDB2BDC" w14:textId="77777777" w:rsidTr="0038137E">
        <w:tc>
          <w:tcPr>
            <w:tcW w:w="1088" w:type="pct"/>
            <w:shd w:val="clear" w:color="auto" w:fill="auto"/>
          </w:tcPr>
          <w:p w14:paraId="61F304EB" w14:textId="75D2C2D2" w:rsidR="0038137E" w:rsidRPr="00D61F73" w:rsidRDefault="0038137E" w:rsidP="00D61F73">
            <w:pPr>
              <w:rPr>
                <w:rFonts w:ascii="Arial" w:hAnsi="Arial" w:cs="Arial"/>
              </w:rPr>
            </w:pPr>
            <w:r w:rsidRPr="00D61F73">
              <w:rPr>
                <w:rFonts w:ascii="Arial" w:hAnsi="Arial" w:cs="Arial"/>
              </w:rPr>
              <w:t>W</w:t>
            </w:r>
            <w:bookmarkStart w:id="396" w:name="Workconditionworkhard"/>
            <w:bookmarkEnd w:id="396"/>
            <w:r w:rsidRPr="00D61F73">
              <w:rPr>
                <w:rFonts w:ascii="Arial" w:hAnsi="Arial" w:cs="Arial"/>
              </w:rPr>
              <w:t xml:space="preserve">ork conditioning, work hardening </w:t>
            </w:r>
          </w:p>
        </w:tc>
        <w:tc>
          <w:tcPr>
            <w:tcW w:w="3912" w:type="pct"/>
            <w:shd w:val="clear" w:color="auto" w:fill="auto"/>
          </w:tcPr>
          <w:p w14:paraId="71D26908" w14:textId="77777777" w:rsidR="0038137E" w:rsidRPr="00D61F73" w:rsidRDefault="0038137E" w:rsidP="00402D57">
            <w:pPr>
              <w:pStyle w:val="Normal1"/>
              <w:framePr w:hSpace="0" w:wrap="auto" w:vAnchor="margin" w:hAnchor="text" w:yAlign="inline"/>
            </w:pPr>
            <w:r w:rsidRPr="00D61F73">
              <w:t xml:space="preserve">Recommended as an option for treatment of chronic pain syndromes, depending on the availability of quality programs. Work hardening is an interdisciplinary, individualized, job-specific program of activity with the goal of return to work. </w:t>
            </w:r>
            <w:r w:rsidRPr="00D61F73">
              <w:rPr>
                <w:lang w:val="en"/>
              </w:rPr>
              <w:t xml:space="preserve">The </w:t>
            </w:r>
            <w:hyperlink r:id="rId181" w:tooltip="Commission on Accreditation of Rehabilitation Facilities " w:history="1">
              <w:r w:rsidRPr="00D61F73">
                <w:rPr>
                  <w:rStyle w:val="Hyperlink"/>
                  <w:lang w:val="en"/>
                </w:rPr>
                <w:t>Commission on Accreditation of Rehabilitation Facilities</w:t>
              </w:r>
            </w:hyperlink>
            <w:r w:rsidRPr="00D61F73">
              <w:rPr>
                <w:lang w:val="en"/>
              </w:rPr>
              <w:t xml:space="preserve"> (CARF) provides accreditation to  occupational rehabilitation facilities meeting appropriate standards. </w:t>
            </w:r>
            <w:r w:rsidRPr="00D61F73">
              <w:t>The effectiveness of physical conditioning as part of a return-to-work strategy in reducing sick leave for workers with back pain, compared to usual care or exercise therapy,  remains uncertain.</w:t>
            </w:r>
            <w:r w:rsidRPr="00D61F73" w:rsidDel="00595BF3">
              <w:t xml:space="preserve"> </w:t>
            </w:r>
            <w:r w:rsidRPr="00D61F73">
              <w:t>(</w:t>
            </w:r>
            <w:hyperlink w:anchor="Schaafsma2010" w:history="1">
              <w:r w:rsidRPr="00D61F73">
                <w:rPr>
                  <w:rStyle w:val="Hyperlink"/>
                </w:rPr>
                <w:t>Schaafsma, 2010</w:t>
              </w:r>
            </w:hyperlink>
            <w:r w:rsidRPr="00D61F73">
              <w:t>)</w:t>
            </w:r>
          </w:p>
          <w:p w14:paraId="30143A23" w14:textId="77777777" w:rsidR="0038137E" w:rsidRPr="00D61F73" w:rsidRDefault="0038137E" w:rsidP="00D61F73">
            <w:pPr>
              <w:rPr>
                <w:rFonts w:ascii="Arial" w:hAnsi="Arial" w:cs="Arial"/>
                <w:b/>
                <w:bCs/>
              </w:rPr>
            </w:pPr>
            <w:r w:rsidRPr="00D61F73">
              <w:rPr>
                <w:rFonts w:ascii="Arial" w:hAnsi="Arial" w:cs="Arial"/>
              </w:rPr>
              <w:t>Criteria for admission to a Work Hardening (WH) Program (</w:t>
            </w:r>
            <w:hyperlink w:anchor="APTA" w:history="1">
              <w:r w:rsidRPr="00D61F73">
                <w:rPr>
                  <w:rStyle w:val="Hyperlink"/>
                  <w:rFonts w:ascii="Arial" w:hAnsi="Arial" w:cs="Arial"/>
                </w:rPr>
                <w:t>APTA 2011, Orthopaedic Section BOD, 2011</w:t>
              </w:r>
            </w:hyperlink>
            <w:r w:rsidRPr="00D61F73">
              <w:rPr>
                <w:rFonts w:ascii="Arial" w:hAnsi="Arial" w:cs="Arial"/>
                <w:b/>
                <w:bCs/>
              </w:rPr>
              <w:t>):</w:t>
            </w:r>
          </w:p>
          <w:p w14:paraId="13072FA7" w14:textId="77777777" w:rsidR="0038137E" w:rsidRPr="00D61F73" w:rsidRDefault="0038137E" w:rsidP="00D61F73">
            <w:pPr>
              <w:tabs>
                <w:tab w:val="left" w:pos="720"/>
              </w:tabs>
              <w:rPr>
                <w:rFonts w:ascii="Arial" w:hAnsi="Arial" w:cs="Arial"/>
              </w:rPr>
            </w:pPr>
            <w:r w:rsidRPr="00D61F73">
              <w:rPr>
                <w:rFonts w:ascii="Arial" w:hAnsi="Arial" w:cs="Arial"/>
              </w:rPr>
              <w:t xml:space="preserve">(1) </w:t>
            </w:r>
            <w:r w:rsidRPr="00D61F73">
              <w:rPr>
                <w:rFonts w:ascii="Arial" w:hAnsi="Arial" w:cs="Arial"/>
                <w:i/>
                <w:iCs/>
              </w:rPr>
              <w:t>Prescription:</w:t>
            </w:r>
            <w:r w:rsidRPr="00D61F73">
              <w:rPr>
                <w:rFonts w:ascii="Arial" w:hAnsi="Arial" w:cs="Arial"/>
              </w:rPr>
              <w:t xml:space="preserve"> The program has been recommended by a physician or nurse case manager, and a prescription has been provided. </w:t>
            </w:r>
          </w:p>
          <w:p w14:paraId="15BBD277" w14:textId="77777777" w:rsidR="0038137E" w:rsidRPr="00D61F73" w:rsidRDefault="0038137E" w:rsidP="00D61F73">
            <w:pPr>
              <w:pStyle w:val="BodyText"/>
              <w:tabs>
                <w:tab w:val="left" w:pos="720"/>
              </w:tabs>
              <w:rPr>
                <w:rFonts w:ascii="Arial" w:hAnsi="Arial" w:cs="Arial"/>
                <w:b w:val="0"/>
                <w:bCs w:val="0"/>
                <w:color w:val="000000"/>
              </w:rPr>
            </w:pPr>
            <w:r w:rsidRPr="00D61F73">
              <w:rPr>
                <w:rFonts w:ascii="Arial" w:hAnsi="Arial" w:cs="Arial"/>
                <w:b w:val="0"/>
                <w:bCs w:val="0"/>
                <w:color w:val="000000"/>
              </w:rPr>
              <w:t xml:space="preserve">(2) </w:t>
            </w:r>
            <w:r w:rsidRPr="00D61F73">
              <w:rPr>
                <w:rFonts w:ascii="Arial" w:hAnsi="Arial" w:cs="Arial"/>
                <w:b w:val="0"/>
                <w:bCs w:val="0"/>
                <w:i/>
                <w:iCs/>
                <w:color w:val="000000"/>
              </w:rPr>
              <w:t>Screening Documentation:</w:t>
            </w:r>
            <w:r w:rsidRPr="00D61F73">
              <w:rPr>
                <w:rFonts w:ascii="Arial" w:hAnsi="Arial" w:cs="Arial"/>
                <w:b w:val="0"/>
                <w:bCs w:val="0"/>
                <w:color w:val="000000"/>
              </w:rPr>
              <w:t xml:space="preserve"> Approval of the program should include evidence of a screening evaluation. This multidisciplinary examination should include the following components: (a) History including demographic information, date and description of injury, history of previous injury, diagnosis/diagnoses, work status before the injury, work status after </w:t>
            </w:r>
            <w:r w:rsidRPr="00D61F73">
              <w:rPr>
                <w:rFonts w:ascii="Arial" w:hAnsi="Arial" w:cs="Arial"/>
                <w:b w:val="0"/>
                <w:bCs w:val="0"/>
                <w:color w:val="000000"/>
              </w:rPr>
              <w:lastRenderedPageBreak/>
              <w:t xml:space="preserve">the injury, history of treatment for the injury (including medications), history of previous injury, current employability, future employability, and time off work; (b) Review of systems including other non work-related medical conditions; (c) Documentation of musculoskeletal, cardiovascular, vocational, motivational, behavioral, and cognitive status by a physician, chiropractor, or physical and/or occupational therapist (and/or assistants); (d) Diagnostic interview with a mental health provider; (e) Determination of safety issues and accommodation at the place of work injury. Screening should include adequate testing to determine if the patient has attitudinal and/or behavioral issues that are appropriately addressed in a multidisciplinary work hardening program. The testing should also be intensive enough to provide evidence that there are no psychosocial or significant pain behaviors that should be addressed in other types of programs, or will likely prevent successful participation and return-to-employment after completion of a work hardening program. Development of the patient’s program should reflect this assessment. </w:t>
            </w:r>
          </w:p>
          <w:p w14:paraId="6185ECEE" w14:textId="77777777" w:rsidR="0038137E" w:rsidRPr="00D61F73" w:rsidRDefault="0038137E" w:rsidP="00D61F73">
            <w:pPr>
              <w:tabs>
                <w:tab w:val="left" w:pos="720"/>
              </w:tabs>
              <w:rPr>
                <w:rFonts w:ascii="Arial" w:hAnsi="Arial" w:cs="Arial"/>
                <w:bCs/>
              </w:rPr>
            </w:pPr>
            <w:r w:rsidRPr="00D61F73">
              <w:rPr>
                <w:rFonts w:ascii="Arial" w:hAnsi="Arial" w:cs="Arial"/>
              </w:rPr>
              <w:t xml:space="preserve">(3) </w:t>
            </w:r>
            <w:r w:rsidRPr="00D61F73">
              <w:rPr>
                <w:rFonts w:ascii="Arial" w:hAnsi="Arial" w:cs="Arial"/>
                <w:i/>
                <w:iCs/>
              </w:rPr>
              <w:t>Job demands:</w:t>
            </w:r>
            <w:r w:rsidRPr="00D61F73">
              <w:rPr>
                <w:rFonts w:ascii="Arial" w:hAnsi="Arial" w:cs="Arial"/>
              </w:rPr>
              <w:t xml:space="preserve"> A work-related musculoskeletal deficit has been identified with the addition of evidence of physical, functional, behavioral, and/or vocational deficits that preclude ability to safely achieve current job demands. These job demands are generally reported in the medium or higher demand level (i.e., not clerical/sedentary work). There should generally be evidence of a valid mismatch between documented, specific essential job tasks and the patient’s ability to perform these required tasks (as limited by the work injury and associated deficits).</w:t>
            </w:r>
          </w:p>
          <w:p w14:paraId="69DF4E29" w14:textId="77777777" w:rsidR="0038137E" w:rsidRPr="00D61F73" w:rsidRDefault="0038137E" w:rsidP="00D61F73">
            <w:pPr>
              <w:tabs>
                <w:tab w:val="left" w:pos="720"/>
              </w:tabs>
              <w:rPr>
                <w:rFonts w:ascii="Arial" w:hAnsi="Arial" w:cs="Arial"/>
                <w:bCs/>
              </w:rPr>
            </w:pPr>
            <w:r w:rsidRPr="00D61F73">
              <w:rPr>
                <w:rFonts w:ascii="Arial" w:hAnsi="Arial" w:cs="Arial"/>
              </w:rPr>
              <w:t xml:space="preserve">(4) </w:t>
            </w:r>
            <w:r w:rsidRPr="00D61F73">
              <w:rPr>
                <w:rFonts w:ascii="Arial" w:hAnsi="Arial" w:cs="Arial"/>
                <w:i/>
                <w:iCs/>
              </w:rPr>
              <w:t>Functional capacity evaluations (FCEs):</w:t>
            </w:r>
            <w:r w:rsidRPr="00D61F73">
              <w:rPr>
                <w:rFonts w:ascii="Arial" w:hAnsi="Arial" w:cs="Arial"/>
              </w:rPr>
              <w:t xml:space="preserve"> A valid FCE should be performed, administered and interpreted by a licensed medical professional. The results should indicate consistency with maximal effort, and demonstrate capacities below an employer verified physical demands analysis (PDA). Inconsistencies and/or indication that the patient has performed below maximal effort should be addressed prior to treatment in these programs.</w:t>
            </w:r>
          </w:p>
          <w:p w14:paraId="36C663B8" w14:textId="77777777" w:rsidR="0038137E" w:rsidRPr="00D61F73" w:rsidRDefault="0038137E" w:rsidP="00D61F73">
            <w:pPr>
              <w:tabs>
                <w:tab w:val="left" w:pos="720"/>
              </w:tabs>
              <w:rPr>
                <w:rFonts w:ascii="Arial" w:hAnsi="Arial" w:cs="Arial"/>
                <w:bCs/>
              </w:rPr>
            </w:pPr>
            <w:r w:rsidRPr="00D61F73">
              <w:rPr>
                <w:rFonts w:ascii="Arial" w:hAnsi="Arial" w:cs="Arial"/>
              </w:rPr>
              <w:t xml:space="preserve">(5) </w:t>
            </w:r>
            <w:r w:rsidRPr="00D61F73">
              <w:rPr>
                <w:rFonts w:ascii="Arial" w:hAnsi="Arial" w:cs="Arial"/>
                <w:i/>
                <w:iCs/>
              </w:rPr>
              <w:t>Previous PT:</w:t>
            </w:r>
            <w:r w:rsidRPr="00D61F73">
              <w:rPr>
                <w:rFonts w:ascii="Arial" w:hAnsi="Arial" w:cs="Arial"/>
              </w:rPr>
              <w:t xml:space="preserve"> There is evidence of treatment with an adequate trial of active physical rehabilitation with improvement followed by plateau, with evidence of no likely benefit from continuation of this previous treatment. Passive physical medicine modalities are not indicated for use in any of these approaches.</w:t>
            </w:r>
          </w:p>
          <w:p w14:paraId="73EC681A" w14:textId="77777777" w:rsidR="0038137E" w:rsidRPr="00D61F73" w:rsidRDefault="0038137E" w:rsidP="00D61F73">
            <w:pPr>
              <w:tabs>
                <w:tab w:val="left" w:pos="720"/>
              </w:tabs>
              <w:rPr>
                <w:rFonts w:ascii="Arial" w:hAnsi="Arial" w:cs="Arial"/>
                <w:bCs/>
              </w:rPr>
            </w:pPr>
            <w:r w:rsidRPr="00D61F73">
              <w:rPr>
                <w:rFonts w:ascii="Arial" w:hAnsi="Arial" w:cs="Arial"/>
              </w:rPr>
              <w:t xml:space="preserve">(6) </w:t>
            </w:r>
            <w:r w:rsidRPr="00D61F73">
              <w:rPr>
                <w:rFonts w:ascii="Arial" w:hAnsi="Arial" w:cs="Arial"/>
                <w:i/>
                <w:iCs/>
              </w:rPr>
              <w:t>Rule out surgery:</w:t>
            </w:r>
            <w:r w:rsidRPr="00D61F73">
              <w:rPr>
                <w:rFonts w:ascii="Arial" w:hAnsi="Arial" w:cs="Arial"/>
              </w:rPr>
              <w:t xml:space="preserve"> The patient is not a candidate for whom surgery, injections, or other treatments would clearly be warranted to improve function (including further diagnostic evaluation in anticipation of surgery).</w:t>
            </w:r>
          </w:p>
          <w:p w14:paraId="4F629A9D" w14:textId="77777777" w:rsidR="0038137E" w:rsidRPr="00D61F73" w:rsidRDefault="0038137E" w:rsidP="00D61F73">
            <w:pPr>
              <w:tabs>
                <w:tab w:val="left" w:pos="720"/>
              </w:tabs>
              <w:rPr>
                <w:rFonts w:ascii="Arial" w:hAnsi="Arial" w:cs="Arial"/>
                <w:bCs/>
              </w:rPr>
            </w:pPr>
            <w:r w:rsidRPr="00D61F73" w:rsidDel="00AA495C">
              <w:rPr>
                <w:rFonts w:ascii="Arial" w:hAnsi="Arial" w:cs="Arial"/>
              </w:rPr>
              <w:t xml:space="preserve"> </w:t>
            </w:r>
            <w:r w:rsidRPr="00D61F73">
              <w:rPr>
                <w:rFonts w:ascii="Arial" w:hAnsi="Arial" w:cs="Arial"/>
              </w:rPr>
              <w:t xml:space="preserve">(7) </w:t>
            </w:r>
            <w:r w:rsidRPr="00D61F73">
              <w:rPr>
                <w:rFonts w:ascii="Arial" w:hAnsi="Arial" w:cs="Arial"/>
                <w:i/>
                <w:iCs/>
              </w:rPr>
              <w:t xml:space="preserve">Other contraindications: </w:t>
            </w:r>
            <w:r w:rsidRPr="00D61F73">
              <w:rPr>
                <w:rFonts w:ascii="Arial" w:hAnsi="Arial" w:cs="Arial"/>
              </w:rPr>
              <w:t>There is no evidence of other medical, behavioral, or other comorbid conditions (including those that are non work-related) that prohibits participation in the program or contradicts successful return-to-work upon program completion.</w:t>
            </w:r>
          </w:p>
          <w:p w14:paraId="14D26BE7" w14:textId="77777777" w:rsidR="0038137E" w:rsidRPr="00D61F73" w:rsidRDefault="0038137E" w:rsidP="00D61F73">
            <w:pPr>
              <w:tabs>
                <w:tab w:val="left" w:pos="720"/>
              </w:tabs>
              <w:rPr>
                <w:rFonts w:ascii="Arial" w:hAnsi="Arial" w:cs="Arial"/>
                <w:bCs/>
              </w:rPr>
            </w:pPr>
            <w:r w:rsidRPr="00D61F73">
              <w:rPr>
                <w:rFonts w:ascii="Arial" w:hAnsi="Arial" w:cs="Arial"/>
              </w:rPr>
              <w:t xml:space="preserve">(8) </w:t>
            </w:r>
            <w:r w:rsidRPr="00D61F73">
              <w:rPr>
                <w:rFonts w:ascii="Arial" w:hAnsi="Arial" w:cs="Arial"/>
                <w:i/>
                <w:iCs/>
              </w:rPr>
              <w:t>RTW plan:</w:t>
            </w:r>
            <w:r w:rsidRPr="00D61F73">
              <w:rPr>
                <w:rFonts w:ascii="Arial" w:hAnsi="Arial" w:cs="Arial"/>
              </w:rPr>
              <w:t xml:space="preserve"> A specific defined return-to-work goal or job plan has been established, communicated and documented. The ideal situation is that there is a plan agreed to by the employer and employee. The work goal to which the employee should return must have demands that exceed the claimant’s current validated abilities. </w:t>
            </w:r>
          </w:p>
          <w:p w14:paraId="678241DA" w14:textId="77777777" w:rsidR="0038137E" w:rsidRPr="00D61F73" w:rsidRDefault="0038137E" w:rsidP="00D61F73">
            <w:pPr>
              <w:tabs>
                <w:tab w:val="left" w:pos="720"/>
              </w:tabs>
              <w:rPr>
                <w:rFonts w:ascii="Arial" w:hAnsi="Arial" w:cs="Arial"/>
                <w:bCs/>
              </w:rPr>
            </w:pPr>
            <w:r w:rsidRPr="00D61F73" w:rsidDel="00AA495C">
              <w:rPr>
                <w:rFonts w:ascii="Arial" w:hAnsi="Arial" w:cs="Arial"/>
              </w:rPr>
              <w:t xml:space="preserve"> </w:t>
            </w:r>
            <w:r w:rsidRPr="00D61F73">
              <w:rPr>
                <w:rFonts w:ascii="Arial" w:hAnsi="Arial" w:cs="Arial"/>
              </w:rPr>
              <w:t xml:space="preserve">(9) </w:t>
            </w:r>
            <w:r w:rsidRPr="00D61F73">
              <w:rPr>
                <w:rFonts w:ascii="Arial" w:hAnsi="Arial" w:cs="Arial"/>
                <w:i/>
                <w:iCs/>
              </w:rPr>
              <w:t>Program documentation:</w:t>
            </w:r>
            <w:r w:rsidRPr="00D61F73">
              <w:rPr>
                <w:rFonts w:ascii="Arial" w:hAnsi="Arial" w:cs="Arial"/>
              </w:rPr>
              <w:t xml:space="preserve"> The assessment and resultant treatment should be documented and be available to the employer, insurer, and </w:t>
            </w:r>
            <w:r w:rsidRPr="00D61F73">
              <w:rPr>
                <w:rFonts w:ascii="Arial" w:hAnsi="Arial" w:cs="Arial"/>
              </w:rPr>
              <w:lastRenderedPageBreak/>
              <w:t>other providers. There should documentation of the proposed benefit from the program (including functional, vocational, and psychological improvements) and the plans to undertake this improvement. The assessment should indicate that the program providers are familiar with the expectations of the planned job, including skills necessary. Evidence of this may include site visitation, videotapes or functional job descriptions.</w:t>
            </w:r>
          </w:p>
          <w:p w14:paraId="0B25263C" w14:textId="77777777" w:rsidR="0038137E" w:rsidRPr="00D61F73" w:rsidRDefault="0038137E" w:rsidP="00D61F73">
            <w:pPr>
              <w:tabs>
                <w:tab w:val="left" w:pos="720"/>
              </w:tabs>
              <w:rPr>
                <w:rFonts w:ascii="Arial" w:hAnsi="Arial" w:cs="Arial"/>
                <w:bCs/>
              </w:rPr>
            </w:pPr>
            <w:r w:rsidRPr="00D61F73">
              <w:rPr>
                <w:rFonts w:ascii="Arial" w:hAnsi="Arial" w:cs="Arial"/>
              </w:rPr>
              <w:t xml:space="preserve">(10) </w:t>
            </w:r>
            <w:r w:rsidRPr="00D61F73">
              <w:rPr>
                <w:rFonts w:ascii="Arial" w:hAnsi="Arial" w:cs="Arial"/>
                <w:i/>
                <w:iCs/>
              </w:rPr>
              <w:t>Further mental health evaluation:</w:t>
            </w:r>
            <w:r w:rsidRPr="00D61F73">
              <w:rPr>
                <w:rFonts w:ascii="Arial" w:hAnsi="Arial" w:cs="Arial"/>
              </w:rPr>
              <w:t xml:space="preserve"> Based on the initial screening, further evaluation by a mental health professional may be recommended. The results of this evaluation may suggest that treatment options other than these approaches may be required, and all screening evaluation information should be documented prior to further treatment planning. </w:t>
            </w:r>
          </w:p>
          <w:p w14:paraId="2B387DB3" w14:textId="77777777" w:rsidR="0038137E" w:rsidRPr="00D61F73" w:rsidRDefault="0038137E" w:rsidP="00D61F73">
            <w:pPr>
              <w:tabs>
                <w:tab w:val="left" w:pos="720"/>
              </w:tabs>
              <w:rPr>
                <w:rFonts w:ascii="Arial" w:hAnsi="Arial" w:cs="Arial"/>
                <w:bCs/>
              </w:rPr>
            </w:pPr>
            <w:r w:rsidRPr="00D61F73">
              <w:rPr>
                <w:rFonts w:ascii="Arial" w:hAnsi="Arial" w:cs="Arial"/>
              </w:rPr>
              <w:t xml:space="preserve">(11) </w:t>
            </w:r>
            <w:r w:rsidRPr="00D61F73">
              <w:rPr>
                <w:rFonts w:ascii="Arial" w:hAnsi="Arial" w:cs="Arial"/>
                <w:i/>
                <w:iCs/>
              </w:rPr>
              <w:t>Supervision:</w:t>
            </w:r>
            <w:r w:rsidRPr="00D61F73">
              <w:rPr>
                <w:rFonts w:ascii="Arial" w:hAnsi="Arial" w:cs="Arial"/>
              </w:rPr>
              <w:t xml:space="preserve"> Supervision is recommended under a physician, chiropractor, occupational therapist, or physical therapist with the appropriate education, training and experience. This clinician should provide on-site supervision of daily activities, and participate in the initial and final evaluations. They should design the treatment plan and be in charge of changes required. They are also in charge of direction of the staff. </w:t>
            </w:r>
          </w:p>
          <w:p w14:paraId="313B14D2" w14:textId="77777777" w:rsidR="0038137E" w:rsidRPr="00D61F73" w:rsidRDefault="0038137E" w:rsidP="00D61F73">
            <w:pPr>
              <w:tabs>
                <w:tab w:val="left" w:pos="720"/>
              </w:tabs>
              <w:rPr>
                <w:rFonts w:ascii="Arial" w:hAnsi="Arial" w:cs="Arial"/>
                <w:bCs/>
              </w:rPr>
            </w:pPr>
            <w:r w:rsidRPr="00D61F73">
              <w:rPr>
                <w:rFonts w:ascii="Arial" w:hAnsi="Arial" w:cs="Arial"/>
              </w:rPr>
              <w:t xml:space="preserve">(12) </w:t>
            </w:r>
            <w:r w:rsidRPr="00D61F73">
              <w:rPr>
                <w:rFonts w:ascii="Arial" w:hAnsi="Arial" w:cs="Arial"/>
                <w:i/>
                <w:iCs/>
              </w:rPr>
              <w:t>Trial:</w:t>
            </w:r>
            <w:r w:rsidRPr="00D61F73">
              <w:rPr>
                <w:rFonts w:ascii="Arial" w:hAnsi="Arial" w:cs="Arial"/>
              </w:rPr>
              <w:t xml:space="preserve"> Treatment is not supported for longer than 1-2 weeks without evidence of patient compliance and demonstrated significant gains as documented by subjective and objective improvement in functional abilities. Outcomes should be presented that reflect the goals proposed upon entry, including those specifically addressing deficits identified in the screening procedure. A summary of the patient’s physical and functional activities performed in the program should be included as an assessment of progress.</w:t>
            </w:r>
          </w:p>
          <w:p w14:paraId="429A7922" w14:textId="77777777" w:rsidR="0038137E" w:rsidRPr="00D61F73" w:rsidRDefault="0038137E" w:rsidP="00D61F73">
            <w:pPr>
              <w:tabs>
                <w:tab w:val="left" w:pos="720"/>
              </w:tabs>
              <w:rPr>
                <w:rFonts w:ascii="Arial" w:hAnsi="Arial" w:cs="Arial"/>
                <w:bCs/>
              </w:rPr>
            </w:pPr>
            <w:r w:rsidRPr="00D61F73">
              <w:rPr>
                <w:rFonts w:ascii="Arial" w:hAnsi="Arial" w:cs="Arial"/>
              </w:rPr>
              <w:t xml:space="preserve">(13) </w:t>
            </w:r>
            <w:r w:rsidRPr="00D61F73">
              <w:rPr>
                <w:rFonts w:ascii="Arial" w:hAnsi="Arial" w:cs="Arial"/>
                <w:i/>
                <w:iCs/>
              </w:rPr>
              <w:t>Concurrently working:</w:t>
            </w:r>
            <w:r w:rsidRPr="00D61F73">
              <w:rPr>
                <w:rFonts w:ascii="Arial" w:hAnsi="Arial" w:cs="Arial"/>
              </w:rPr>
              <w:t xml:space="preserve"> The patient who has been released to work with specific restrictions may participate in the program while concurrently working in a restricted capacity, but the total number of daily hours should not exceed 8 per day while in treatment.</w:t>
            </w:r>
          </w:p>
          <w:p w14:paraId="3B25D3B6" w14:textId="77777777" w:rsidR="0038137E" w:rsidRPr="00D61F73" w:rsidRDefault="0038137E" w:rsidP="00D61F73">
            <w:pPr>
              <w:tabs>
                <w:tab w:val="left" w:pos="720"/>
              </w:tabs>
              <w:rPr>
                <w:rFonts w:ascii="Arial" w:hAnsi="Arial" w:cs="Arial"/>
                <w:bCs/>
              </w:rPr>
            </w:pPr>
            <w:r w:rsidRPr="00D61F73">
              <w:rPr>
                <w:rFonts w:ascii="Arial" w:hAnsi="Arial" w:cs="Arial"/>
              </w:rPr>
              <w:t xml:space="preserve">(14) </w:t>
            </w:r>
            <w:r w:rsidRPr="00D61F73">
              <w:rPr>
                <w:rFonts w:ascii="Arial" w:hAnsi="Arial" w:cs="Arial"/>
                <w:i/>
                <w:iCs/>
              </w:rPr>
              <w:t xml:space="preserve">Conferences: </w:t>
            </w:r>
            <w:r w:rsidRPr="00D61F73">
              <w:rPr>
                <w:rFonts w:ascii="Arial" w:hAnsi="Arial" w:cs="Arial"/>
              </w:rPr>
              <w:t xml:space="preserve">There should be evidence of routine staff conferencing regarding progress and plans for discharge. Daily treatment activity and response should be documented. </w:t>
            </w:r>
          </w:p>
          <w:p w14:paraId="3537B619" w14:textId="77777777" w:rsidR="0038137E" w:rsidRPr="00D61F73" w:rsidRDefault="0038137E" w:rsidP="00D61F73">
            <w:pPr>
              <w:tabs>
                <w:tab w:val="left" w:pos="720"/>
              </w:tabs>
              <w:rPr>
                <w:rFonts w:ascii="Arial" w:hAnsi="Arial" w:cs="Arial"/>
                <w:bCs/>
              </w:rPr>
            </w:pPr>
            <w:r w:rsidRPr="00D61F73">
              <w:rPr>
                <w:rFonts w:ascii="Arial" w:hAnsi="Arial" w:cs="Arial"/>
              </w:rPr>
              <w:t xml:space="preserve">(15) </w:t>
            </w:r>
            <w:r w:rsidRPr="00D61F73">
              <w:rPr>
                <w:rFonts w:ascii="Arial" w:hAnsi="Arial" w:cs="Arial"/>
                <w:i/>
                <w:iCs/>
              </w:rPr>
              <w:t>Voc rehab:</w:t>
            </w:r>
            <w:r w:rsidRPr="00D61F73">
              <w:rPr>
                <w:rFonts w:ascii="Arial" w:hAnsi="Arial" w:cs="Arial"/>
              </w:rPr>
              <w:t xml:space="preserve"> Vocational consultation should be available if this is indicated as a significant barrier. This would be required if the patient has no job to return to.</w:t>
            </w:r>
          </w:p>
          <w:p w14:paraId="3551B3C6" w14:textId="77777777" w:rsidR="0038137E" w:rsidRPr="00D61F73" w:rsidRDefault="0038137E" w:rsidP="00D61F73">
            <w:pPr>
              <w:tabs>
                <w:tab w:val="left" w:pos="720"/>
              </w:tabs>
              <w:rPr>
                <w:rFonts w:ascii="Arial" w:hAnsi="Arial" w:cs="Arial"/>
                <w:bCs/>
              </w:rPr>
            </w:pPr>
            <w:r w:rsidRPr="00D61F73">
              <w:rPr>
                <w:rFonts w:ascii="Arial" w:hAnsi="Arial" w:cs="Arial"/>
              </w:rPr>
              <w:t xml:space="preserve">(16) </w:t>
            </w:r>
            <w:r w:rsidRPr="00D61F73">
              <w:rPr>
                <w:rFonts w:ascii="Arial" w:hAnsi="Arial" w:cs="Arial"/>
                <w:i/>
                <w:iCs/>
              </w:rPr>
              <w:t>Post-injury cap:</w:t>
            </w:r>
            <w:r w:rsidRPr="00D61F73">
              <w:rPr>
                <w:rFonts w:ascii="Arial" w:hAnsi="Arial" w:cs="Arial"/>
              </w:rPr>
              <w:t xml:space="preserve"> The worker must be no more than 2 years past date of injury. Workers that have not returned to work by two-years post injury generally do not improve from intensive work hardening programs. If the worker is greater than one-year post injury a comprehensive multidisciplinary program may be warranted if there is clinical suggestion of psychological barrier to recovery (but these more complex programs may also be justified as early as 8-12 weeks, see </w:t>
            </w:r>
            <w:hyperlink w:anchor="Chronicpainprograms" w:history="1">
              <w:r w:rsidRPr="00D61F73">
                <w:rPr>
                  <w:rStyle w:val="Hyperlink"/>
                  <w:rFonts w:ascii="Arial" w:hAnsi="Arial" w:cs="Arial"/>
                </w:rPr>
                <w:t>Chronic pain programs</w:t>
              </w:r>
            </w:hyperlink>
            <w:r w:rsidRPr="00D61F73">
              <w:rPr>
                <w:rFonts w:ascii="Arial" w:hAnsi="Arial" w:cs="Arial"/>
              </w:rPr>
              <w:t>).</w:t>
            </w:r>
          </w:p>
          <w:p w14:paraId="1A6A92D7" w14:textId="77777777" w:rsidR="0038137E" w:rsidRPr="00D61F73" w:rsidRDefault="0038137E" w:rsidP="00D61F73">
            <w:pPr>
              <w:tabs>
                <w:tab w:val="left" w:pos="720"/>
              </w:tabs>
              <w:rPr>
                <w:rFonts w:ascii="Arial" w:hAnsi="Arial" w:cs="Arial"/>
                <w:bCs/>
              </w:rPr>
            </w:pPr>
            <w:r w:rsidRPr="00D61F73">
              <w:rPr>
                <w:rFonts w:ascii="Arial" w:hAnsi="Arial" w:cs="Arial"/>
              </w:rPr>
              <w:t xml:space="preserve">(17) </w:t>
            </w:r>
            <w:r w:rsidRPr="00D61F73">
              <w:rPr>
                <w:rFonts w:ascii="Arial" w:hAnsi="Arial" w:cs="Arial"/>
                <w:i/>
                <w:iCs/>
              </w:rPr>
              <w:t>Program timelines:</w:t>
            </w:r>
            <w:r w:rsidRPr="00D61F73">
              <w:rPr>
                <w:rFonts w:ascii="Arial" w:hAnsi="Arial" w:cs="Arial"/>
              </w:rPr>
              <w:t xml:space="preserve"> These approaches are highly variable in intensity, frequency and duration. APTA, AOTA and utilization guidelines for individual jurisdictions may be inconsistent. In general, the recommendations for use of such programs will fall within the following ranges: These approaches are necessarily intensive with highly variable treatment days ranging from 4-8 hours with treatment ranging from 3-5 visits per week. The entirety of this treatment should not exceed 20 full-</w:t>
            </w:r>
            <w:r w:rsidRPr="00D61F73">
              <w:rPr>
                <w:rFonts w:ascii="Arial" w:hAnsi="Arial" w:cs="Arial"/>
              </w:rPr>
              <w:lastRenderedPageBreak/>
              <w:t>day visits over 4 weeks, or no more than 160 hours (allowing for part-day sessions if required by part-time work, etc., over a longer number of weeks). A reassessment after 1-2 weeks should be made to determine whether completion of the chosen approach is appropriate, or whether treatment of greater intensity is required.</w:t>
            </w:r>
          </w:p>
          <w:p w14:paraId="059008C4" w14:textId="77777777" w:rsidR="0038137E" w:rsidRPr="00D61F73" w:rsidRDefault="0038137E" w:rsidP="00D61F73">
            <w:pPr>
              <w:tabs>
                <w:tab w:val="left" w:pos="720"/>
              </w:tabs>
              <w:rPr>
                <w:rFonts w:ascii="Arial" w:hAnsi="Arial" w:cs="Arial"/>
                <w:bCs/>
              </w:rPr>
            </w:pPr>
            <w:r w:rsidRPr="00D61F73">
              <w:rPr>
                <w:rFonts w:ascii="Arial" w:hAnsi="Arial" w:cs="Arial"/>
              </w:rPr>
              <w:t xml:space="preserve">(18) </w:t>
            </w:r>
            <w:r w:rsidRPr="00D61F73">
              <w:rPr>
                <w:rFonts w:ascii="Arial" w:hAnsi="Arial" w:cs="Arial"/>
                <w:i/>
                <w:iCs/>
              </w:rPr>
              <w:t>Discharge documentation:</w:t>
            </w:r>
            <w:r w:rsidRPr="00D61F73">
              <w:rPr>
                <w:rFonts w:ascii="Arial" w:hAnsi="Arial" w:cs="Arial"/>
              </w:rPr>
              <w:t xml:space="preserve"> At the time of discharge the referral source and other predetermined entities should be notified. This may include the employer and the insurer. There should be evidence documented of the clinical and functional status, recommendations for return to work, and recommendations for follow-up services. Patient attendance and progress should be documented including the reason(s) for termination including successful program completion or failure. This would include noncompliance, declining further services, or limited potential to benefit. There should also be documentation if the patient is unable to participate due to underlying medical conditions including substance dependence.</w:t>
            </w:r>
          </w:p>
          <w:p w14:paraId="01AD05B3" w14:textId="77777777" w:rsidR="0038137E" w:rsidRPr="00D61F73" w:rsidRDefault="0038137E" w:rsidP="00D61F73">
            <w:pPr>
              <w:rPr>
                <w:rFonts w:ascii="Arial" w:hAnsi="Arial" w:cs="Arial"/>
              </w:rPr>
            </w:pPr>
            <w:r w:rsidRPr="00D61F73">
              <w:rPr>
                <w:rFonts w:ascii="Arial" w:hAnsi="Arial" w:cs="Arial"/>
              </w:rPr>
              <w:t xml:space="preserve">(19) </w:t>
            </w:r>
            <w:r w:rsidRPr="00D61F73">
              <w:rPr>
                <w:rFonts w:ascii="Arial" w:hAnsi="Arial" w:cs="Arial"/>
                <w:i/>
                <w:iCs/>
              </w:rPr>
              <w:t>Repetition:</w:t>
            </w:r>
            <w:r w:rsidRPr="00D61F73">
              <w:rPr>
                <w:rFonts w:ascii="Arial" w:hAnsi="Arial" w:cs="Arial"/>
              </w:rPr>
              <w:t xml:space="preserve"> Upon completion of a rehabilitation program (e.g., work conditioning, work hardening, outpatient medical rehabilitation, or chronic pain/functional restoration program) neither re-enrollment in nor repetition of the same or similar rehabilitation program is medically warranted for the same condition or injury.</w:t>
            </w:r>
          </w:p>
          <w:p w14:paraId="65C043DF" w14:textId="77777777" w:rsidR="0038137E" w:rsidRPr="00D61F73" w:rsidRDefault="0038137E" w:rsidP="00D61F73">
            <w:pPr>
              <w:rPr>
                <w:rFonts w:ascii="Arial" w:hAnsi="Arial" w:cs="Arial"/>
                <w:b/>
                <w:bCs/>
              </w:rPr>
            </w:pPr>
            <w:r w:rsidRPr="00D61F73">
              <w:rPr>
                <w:rFonts w:ascii="Arial" w:hAnsi="Arial" w:cs="Arial"/>
                <w:b/>
                <w:bCs/>
              </w:rPr>
              <w:t>ODG Work Conditioning (WC) Physical Therapy Guidelines</w:t>
            </w:r>
          </w:p>
          <w:p w14:paraId="1BF8A36C" w14:textId="77777777" w:rsidR="0038137E" w:rsidRPr="00D61F73" w:rsidRDefault="0038137E" w:rsidP="00D61F73">
            <w:pPr>
              <w:rPr>
                <w:rFonts w:ascii="Arial" w:hAnsi="Arial" w:cs="Arial"/>
              </w:rPr>
            </w:pPr>
            <w:r w:rsidRPr="00D61F73">
              <w:rPr>
                <w:rFonts w:ascii="Arial" w:hAnsi="Arial" w:cs="Arial"/>
              </w:rPr>
              <w:t xml:space="preserve">WC amounts to an additional series of intensive physical therapy (PT) visits required beyond a normal course of PT, primarily for exercise training/supervision (and would be contraindicated if there are already significant psychosocial, drug or attitudinal barriers to recovery not addressed by these programs). See also </w:t>
            </w:r>
            <w:hyperlink w:anchor="Physicaltherapy" w:history="1">
              <w:r w:rsidRPr="00D61F73">
                <w:rPr>
                  <w:rStyle w:val="Hyperlink"/>
                  <w:rFonts w:ascii="Arial" w:hAnsi="Arial" w:cs="Arial"/>
                </w:rPr>
                <w:t>Physical therapy</w:t>
              </w:r>
            </w:hyperlink>
            <w:r w:rsidRPr="00D61F73">
              <w:rPr>
                <w:rFonts w:ascii="Arial" w:hAnsi="Arial" w:cs="Arial"/>
              </w:rPr>
              <w:t xml:space="preserve"> for general PT guidelines. WC visits will typically be more intensive than regular PT visits, lasting  2 or 3 times as long. And, as with all physical therapy programs, Work Conditioning participation does not preclude concurrently being at work.</w:t>
            </w:r>
          </w:p>
          <w:p w14:paraId="4310A01C" w14:textId="2CA235CF" w:rsidR="0038137E" w:rsidRPr="00D61F73" w:rsidRDefault="0038137E" w:rsidP="00402D57">
            <w:pPr>
              <w:pStyle w:val="Normal1"/>
              <w:framePr w:hSpace="0" w:wrap="auto" w:vAnchor="margin" w:hAnchor="text" w:yAlign="inline"/>
            </w:pPr>
            <w:r w:rsidRPr="00D61F73">
              <w:t>Suggested timelines: 10 visits over 4 weeks, equivalent to up to 30 hours.</w:t>
            </w:r>
          </w:p>
        </w:tc>
      </w:tr>
      <w:tr w:rsidR="0038137E" w:rsidRPr="00D61F73" w14:paraId="68C9C61F" w14:textId="77777777" w:rsidTr="0038137E">
        <w:tc>
          <w:tcPr>
            <w:tcW w:w="1088" w:type="pct"/>
            <w:shd w:val="clear" w:color="auto" w:fill="auto"/>
          </w:tcPr>
          <w:p w14:paraId="462E8105" w14:textId="6CCEA8E6" w:rsidR="0038137E" w:rsidRPr="00D61F73" w:rsidRDefault="0038137E" w:rsidP="00D61F73">
            <w:pPr>
              <w:rPr>
                <w:rFonts w:ascii="Arial" w:hAnsi="Arial" w:cs="Arial"/>
              </w:rPr>
            </w:pPr>
            <w:r w:rsidRPr="00D61F73">
              <w:rPr>
                <w:rFonts w:ascii="Arial" w:hAnsi="Arial" w:cs="Arial"/>
              </w:rPr>
              <w:lastRenderedPageBreak/>
              <w:t>X</w:t>
            </w:r>
            <w:bookmarkStart w:id="397" w:name="Xanax"/>
            <w:bookmarkEnd w:id="397"/>
            <w:r w:rsidRPr="00D61F73">
              <w:rPr>
                <w:rFonts w:ascii="Arial" w:hAnsi="Arial" w:cs="Arial"/>
              </w:rPr>
              <w:t>anax® (Alprazolam)</w:t>
            </w:r>
          </w:p>
        </w:tc>
        <w:tc>
          <w:tcPr>
            <w:tcW w:w="3912" w:type="pct"/>
            <w:shd w:val="clear" w:color="auto" w:fill="auto"/>
          </w:tcPr>
          <w:p w14:paraId="116B9F45" w14:textId="540537C5" w:rsidR="0038137E" w:rsidRPr="00D61F73" w:rsidRDefault="0038137E" w:rsidP="00402D57">
            <w:pPr>
              <w:pStyle w:val="Normal1"/>
              <w:framePr w:hSpace="0" w:wrap="auto" w:vAnchor="margin" w:hAnchor="text" w:yAlign="inline"/>
            </w:pPr>
            <w:r w:rsidRPr="00D61F73">
              <w:t xml:space="preserve">Not recommended for long-term use. See </w:t>
            </w:r>
            <w:hyperlink w:anchor="Alprazolam" w:history="1">
              <w:r w:rsidRPr="00D61F73">
                <w:rPr>
                  <w:rStyle w:val="Hyperlink"/>
                </w:rPr>
                <w:t>Alprazolam</w:t>
              </w:r>
            </w:hyperlink>
            <w:r w:rsidRPr="00D61F73">
              <w:t xml:space="preserve">; &amp; </w:t>
            </w:r>
            <w:hyperlink w:anchor="Benzodiazepines" w:history="1">
              <w:r w:rsidRPr="00D61F73">
                <w:rPr>
                  <w:rStyle w:val="Hyperlink"/>
                </w:rPr>
                <w:t>Benzodiazepines</w:t>
              </w:r>
            </w:hyperlink>
            <w:r w:rsidRPr="00D61F73">
              <w:t>. Alprazolam, also known under the trade name Xanax and available generically, is a short-acting drug of the benzodiazepine class used to treat moderate to severe anxiety disorders, panic attacks, and as an adjunctive treatment for anxiety associated with major depression.</w:t>
            </w:r>
          </w:p>
        </w:tc>
      </w:tr>
      <w:tr w:rsidR="0038137E" w:rsidRPr="00D61F73" w14:paraId="31C0D33E" w14:textId="77777777" w:rsidTr="0038137E">
        <w:tc>
          <w:tcPr>
            <w:tcW w:w="1088" w:type="pct"/>
            <w:shd w:val="clear" w:color="auto" w:fill="auto"/>
          </w:tcPr>
          <w:p w14:paraId="5D314042" w14:textId="77777777" w:rsidR="0038137E" w:rsidRPr="00D61F73" w:rsidRDefault="0038137E" w:rsidP="00D61F73">
            <w:pPr>
              <w:rPr>
                <w:rFonts w:ascii="Arial" w:hAnsi="Arial" w:cs="Arial"/>
                <w:lang w:val="es-MX"/>
              </w:rPr>
            </w:pPr>
            <w:r w:rsidRPr="00D61F73">
              <w:rPr>
                <w:rFonts w:ascii="Arial" w:hAnsi="Arial" w:cs="Arial"/>
                <w:lang w:val="es-MX"/>
              </w:rPr>
              <w:t>X</w:t>
            </w:r>
            <w:bookmarkStart w:id="398" w:name="Xartemis"/>
            <w:bookmarkEnd w:id="398"/>
            <w:r w:rsidRPr="00D61F73">
              <w:rPr>
                <w:rFonts w:ascii="Arial" w:hAnsi="Arial" w:cs="Arial"/>
                <w:lang w:val="es-MX"/>
              </w:rPr>
              <w:t xml:space="preserve">artemis XR  (oxycodone &amp; acetaminophen) </w:t>
            </w:r>
          </w:p>
          <w:p w14:paraId="457B010A" w14:textId="77777777" w:rsidR="0038137E" w:rsidRPr="00D61F73" w:rsidRDefault="0038137E" w:rsidP="00D61F73">
            <w:pPr>
              <w:rPr>
                <w:rFonts w:ascii="Arial" w:hAnsi="Arial" w:cs="Arial"/>
                <w:u w:val="single"/>
                <w:lang w:val="es-MX"/>
              </w:rPr>
            </w:pPr>
          </w:p>
          <w:p w14:paraId="1FC28BF9" w14:textId="4F32714C" w:rsidR="0038137E" w:rsidRPr="00D61F73" w:rsidRDefault="0038137E" w:rsidP="00D61F73">
            <w:pPr>
              <w:rPr>
                <w:rFonts w:ascii="Arial" w:hAnsi="Arial" w:cs="Arial"/>
              </w:rPr>
            </w:pPr>
          </w:p>
        </w:tc>
        <w:tc>
          <w:tcPr>
            <w:tcW w:w="3912" w:type="pct"/>
            <w:shd w:val="clear" w:color="auto" w:fill="auto"/>
          </w:tcPr>
          <w:p w14:paraId="05809AD7" w14:textId="205F01A9" w:rsidR="0038137E" w:rsidRPr="00D61F73" w:rsidRDefault="0038137E" w:rsidP="00D61F73">
            <w:pPr>
              <w:rPr>
                <w:rFonts w:ascii="Arial" w:hAnsi="Arial" w:cs="Arial"/>
              </w:rPr>
            </w:pPr>
            <w:r w:rsidRPr="00D61F73">
              <w:rPr>
                <w:rFonts w:ascii="Arial" w:hAnsi="Arial" w:cs="Arial"/>
              </w:rPr>
              <w:t xml:space="preserve">Refer to the MTUS Opioids Treatment Guidelines </w:t>
            </w:r>
            <w:r w:rsidRPr="00D61F73">
              <w:rPr>
                <w:rFonts w:ascii="Arial" w:hAnsi="Arial" w:cs="Arial"/>
                <w:bCs/>
              </w:rPr>
              <w:t xml:space="preserve">for recommendations on the use of opioids. </w:t>
            </w:r>
            <w:r w:rsidRPr="00D61F73">
              <w:rPr>
                <w:rFonts w:ascii="Arial" w:hAnsi="Arial" w:cs="Arial"/>
              </w:rPr>
              <w:t>The FDA has approved an extended-release combination of oxycodone and acetaminophen (Xartemis XR, Mallinckrodt plc), for patients for whom alternative treatment options are ineffective, not tolerated, or would otherwise be inadequate. The drug has both immediate- and extended-release components to allow pain relief within an hour, with twice-daily dosing. The approved label for Xartemis XR does not include abuse-deterrent language. Oxycodone exposes patients to the risks of opioid addiction, abuse, and misuse, which can lead to overdose and death. (</w:t>
            </w:r>
            <w:hyperlink r:id="rId182" w:history="1">
              <w:r w:rsidRPr="00D61F73">
                <w:rPr>
                  <w:rStyle w:val="Hyperlink"/>
                  <w:rFonts w:ascii="Arial" w:hAnsi="Arial" w:cs="Arial"/>
                </w:rPr>
                <w:t>FDA, 2014</w:t>
              </w:r>
            </w:hyperlink>
            <w:r w:rsidRPr="00D61F73">
              <w:rPr>
                <w:rFonts w:ascii="Arial" w:hAnsi="Arial" w:cs="Arial"/>
              </w:rPr>
              <w:t xml:space="preserve">) Xartemis XR is not an abuse-deterrent formulation and altering the tablets (e.g., crushing, chewing, dissolving) could lead to a potentially fatal overdose or other serious adverse effects. Xartemis XR is only approved in one strength, which is oxycodone 7.5mg/ acetaminophen </w:t>
            </w:r>
            <w:r w:rsidRPr="00D61F73">
              <w:rPr>
                <w:rFonts w:ascii="Arial" w:hAnsi="Arial" w:cs="Arial"/>
              </w:rPr>
              <w:lastRenderedPageBreak/>
              <w:t>325mg. The addition of acetaminophen may also limit its use in patients with concern for liver toxicity. (</w:t>
            </w:r>
            <w:hyperlink w:anchor="ClinicalPharmacology" w:history="1">
              <w:r w:rsidRPr="00D61F73">
                <w:rPr>
                  <w:rStyle w:val="Hyperlink"/>
                  <w:rFonts w:ascii="Arial" w:hAnsi="Arial" w:cs="Arial"/>
                </w:rPr>
                <w:t>Clinical Pharmacology, 2014</w:t>
              </w:r>
            </w:hyperlink>
            <w:r w:rsidRPr="00D61F73">
              <w:rPr>
                <w:rFonts w:ascii="Arial" w:hAnsi="Arial" w:cs="Arial"/>
              </w:rPr>
              <w:t>)</w:t>
            </w:r>
          </w:p>
        </w:tc>
      </w:tr>
      <w:tr w:rsidR="0038137E" w:rsidRPr="00D61F73" w14:paraId="78C872DB" w14:textId="77777777" w:rsidTr="0038137E">
        <w:tc>
          <w:tcPr>
            <w:tcW w:w="1088" w:type="pct"/>
            <w:shd w:val="clear" w:color="auto" w:fill="auto"/>
          </w:tcPr>
          <w:p w14:paraId="52B9BB87" w14:textId="1AE3A70A" w:rsidR="0038137E" w:rsidRPr="00D61F73" w:rsidRDefault="0038137E" w:rsidP="00D61F73">
            <w:pPr>
              <w:rPr>
                <w:rFonts w:ascii="Arial" w:hAnsi="Arial" w:cs="Arial"/>
                <w:u w:val="single"/>
                <w:lang w:val="es-MX"/>
              </w:rPr>
            </w:pPr>
            <w:r w:rsidRPr="00D61F73">
              <w:rPr>
                <w:rFonts w:ascii="Arial" w:hAnsi="Arial" w:cs="Arial"/>
              </w:rPr>
              <w:lastRenderedPageBreak/>
              <w:t>X</w:t>
            </w:r>
            <w:bookmarkStart w:id="399" w:name="Xeomin"/>
            <w:bookmarkEnd w:id="399"/>
            <w:r w:rsidRPr="00D61F73">
              <w:rPr>
                <w:rFonts w:ascii="Arial" w:hAnsi="Arial" w:cs="Arial"/>
              </w:rPr>
              <w:t>eomin</w:t>
            </w:r>
          </w:p>
        </w:tc>
        <w:tc>
          <w:tcPr>
            <w:tcW w:w="3912" w:type="pct"/>
            <w:shd w:val="clear" w:color="auto" w:fill="auto"/>
          </w:tcPr>
          <w:p w14:paraId="3A5C0F6C" w14:textId="6B7EE4F0" w:rsidR="0038137E" w:rsidRPr="00D61F73" w:rsidRDefault="0038137E" w:rsidP="00D61F73">
            <w:pPr>
              <w:rPr>
                <w:rFonts w:ascii="Arial" w:hAnsi="Arial" w:cs="Arial"/>
              </w:rPr>
            </w:pPr>
            <w:r w:rsidRPr="00D61F73">
              <w:rPr>
                <w:rFonts w:ascii="Arial" w:hAnsi="Arial" w:cs="Arial"/>
              </w:rPr>
              <w:t xml:space="preserve">See </w:t>
            </w:r>
            <w:hyperlink w:anchor="Botulinumtoxin" w:history="1">
              <w:r w:rsidRPr="00D61F73">
                <w:rPr>
                  <w:rStyle w:val="Hyperlink"/>
                  <w:rFonts w:ascii="Arial" w:hAnsi="Arial" w:cs="Arial"/>
                </w:rPr>
                <w:t>Botulinum toxin</w:t>
              </w:r>
            </w:hyperlink>
            <w:r w:rsidRPr="00D61F73">
              <w:rPr>
                <w:rFonts w:ascii="Arial" w:hAnsi="Arial" w:cs="Arial"/>
              </w:rPr>
              <w:t>.</w:t>
            </w:r>
          </w:p>
        </w:tc>
      </w:tr>
      <w:tr w:rsidR="0038137E" w:rsidRPr="00D61F73" w14:paraId="6507D6E6" w14:textId="77777777" w:rsidTr="0038137E">
        <w:tc>
          <w:tcPr>
            <w:tcW w:w="1088" w:type="pct"/>
            <w:shd w:val="clear" w:color="auto" w:fill="auto"/>
          </w:tcPr>
          <w:p w14:paraId="3CEB267B" w14:textId="54F3F166" w:rsidR="0038137E" w:rsidRPr="00D61F73" w:rsidRDefault="0038137E" w:rsidP="00D61F73">
            <w:pPr>
              <w:rPr>
                <w:rFonts w:ascii="Arial" w:hAnsi="Arial" w:cs="Arial"/>
              </w:rPr>
            </w:pPr>
            <w:r w:rsidRPr="00D61F73">
              <w:rPr>
                <w:rFonts w:ascii="Arial" w:hAnsi="Arial" w:cs="Arial"/>
              </w:rPr>
              <w:t>Y</w:t>
            </w:r>
            <w:bookmarkStart w:id="400" w:name="Yoga"/>
            <w:bookmarkEnd w:id="400"/>
            <w:r w:rsidRPr="00D61F73">
              <w:rPr>
                <w:rFonts w:ascii="Arial" w:hAnsi="Arial" w:cs="Arial"/>
              </w:rPr>
              <w:t xml:space="preserve">oga </w:t>
            </w:r>
          </w:p>
        </w:tc>
        <w:tc>
          <w:tcPr>
            <w:tcW w:w="3912" w:type="pct"/>
            <w:shd w:val="clear" w:color="auto" w:fill="auto"/>
          </w:tcPr>
          <w:p w14:paraId="70091E25" w14:textId="77777777" w:rsidR="0038137E" w:rsidRPr="00D61F73" w:rsidRDefault="0038137E" w:rsidP="00D61F73">
            <w:pPr>
              <w:rPr>
                <w:rFonts w:ascii="Arial" w:hAnsi="Arial" w:cs="Arial"/>
              </w:rPr>
            </w:pPr>
            <w:r w:rsidRPr="00D61F73">
              <w:rPr>
                <w:rFonts w:ascii="Arial" w:hAnsi="Arial" w:cs="Arial"/>
              </w:rPr>
              <w:t>Recommended as an option for motivated patients. There is considerable evidence of efficacy for mind-body therapies such as yoga in the treatment of chronic pain. Also, the impact on depression and disability could be considered as important outcomes for further study. Since outcomes from this therapy are very dependent on a motivated patient, we recommend approval where requested by a specific patient, but not adoption for use by any patient. (</w:t>
            </w:r>
            <w:hyperlink w:anchor="Astin" w:history="1">
              <w:r w:rsidRPr="00D61F73">
                <w:rPr>
                  <w:rStyle w:val="Hyperlink"/>
                  <w:rFonts w:ascii="Arial" w:hAnsi="Arial" w:cs="Arial"/>
                </w:rPr>
                <w:t>Astin, 2003</w:t>
              </w:r>
            </w:hyperlink>
            <w:r w:rsidRPr="00D61F73">
              <w:rPr>
                <w:rFonts w:ascii="Arial" w:hAnsi="Arial" w:cs="Arial"/>
              </w:rPr>
              <w:t>) (</w:t>
            </w:r>
            <w:hyperlink w:anchor="Barrows" w:history="1">
              <w:r w:rsidRPr="00D61F73">
                <w:rPr>
                  <w:rStyle w:val="Hyperlink"/>
                  <w:rFonts w:ascii="Arial" w:hAnsi="Arial" w:cs="Arial"/>
                </w:rPr>
                <w:t>Barrows, 2002</w:t>
              </w:r>
            </w:hyperlink>
            <w:r w:rsidRPr="00D61F73">
              <w:rPr>
                <w:rFonts w:ascii="Arial" w:hAnsi="Arial" w:cs="Arial"/>
              </w:rPr>
              <w:t>) (</w:t>
            </w:r>
            <w:hyperlink w:anchor="Galantino" w:history="1">
              <w:r w:rsidRPr="00D61F73">
                <w:rPr>
                  <w:rStyle w:val="Hyperlink"/>
                  <w:rFonts w:ascii="Arial" w:hAnsi="Arial" w:cs="Arial"/>
                </w:rPr>
                <w:t>Galantino, 2004</w:t>
              </w:r>
            </w:hyperlink>
            <w:r w:rsidRPr="00D61F73">
              <w:rPr>
                <w:rFonts w:ascii="Arial" w:hAnsi="Arial" w:cs="Arial"/>
              </w:rPr>
              <w:t>) Women with fibromyalgia can reduce symptoms of the disease and improve their function by practicing the mind-body techniques of yoga, a new RCT concludes. The results suggested that yoga led to a beneficial shift in how patients cope with pain, including greater use of adaptive pain-coping strategies, such as engaging in activities despite pain, acceptance of their condition, the use of religion as a coping mechanism, and the ability to relax. (</w:t>
            </w:r>
            <w:hyperlink w:anchor="Carson2010" w:history="1">
              <w:r w:rsidRPr="00D61F73">
                <w:rPr>
                  <w:rStyle w:val="Hyperlink"/>
                  <w:rFonts w:ascii="Arial" w:hAnsi="Arial" w:cs="Arial"/>
                </w:rPr>
                <w:t>Carson, 2010</w:t>
              </w:r>
            </w:hyperlink>
            <w:r w:rsidRPr="00D61F73">
              <w:rPr>
                <w:rFonts w:ascii="Arial" w:hAnsi="Arial" w:cs="Arial"/>
              </w:rPr>
              <w:t>) This meta-analysis suggests that yoga is a useful supplementary approach with moderate effect sizes on pain and associated disability, and even short-term interventions might be effective. (</w:t>
            </w:r>
            <w:hyperlink w:anchor="Büssing2012" w:history="1">
              <w:r w:rsidRPr="00D61F73">
                <w:rPr>
                  <w:rStyle w:val="Hyperlink"/>
                  <w:rFonts w:ascii="Arial" w:hAnsi="Arial" w:cs="Arial"/>
                </w:rPr>
                <w:t>Büssing, 2012</w:t>
              </w:r>
            </w:hyperlink>
            <w:r w:rsidRPr="00D61F73">
              <w:rPr>
                <w:rFonts w:ascii="Arial" w:hAnsi="Arial" w:cs="Arial"/>
              </w:rPr>
              <w:t>)</w:t>
            </w:r>
          </w:p>
          <w:p w14:paraId="24301E51" w14:textId="28D658C5" w:rsidR="0038137E" w:rsidRPr="00D61F73" w:rsidRDefault="0038137E" w:rsidP="00D61F73">
            <w:pPr>
              <w:rPr>
                <w:rFonts w:ascii="Arial" w:hAnsi="Arial" w:cs="Arial"/>
              </w:rPr>
            </w:pPr>
            <w:r w:rsidRPr="00D61F73">
              <w:rPr>
                <w:rFonts w:ascii="Arial" w:hAnsi="Arial" w:cs="Arial"/>
                <w:i/>
                <w:iCs/>
                <w:u w:val="single"/>
              </w:rPr>
              <w:t>Mindfulness meditation</w:t>
            </w:r>
            <w:r w:rsidRPr="00D61F73">
              <w:rPr>
                <w:rFonts w:ascii="Arial" w:hAnsi="Arial" w:cs="Arial"/>
                <w:i/>
                <w:iCs/>
              </w:rPr>
              <w:t>:</w:t>
            </w:r>
            <w:r w:rsidRPr="00D61F73">
              <w:rPr>
                <w:rFonts w:ascii="Arial" w:hAnsi="Arial" w:cs="Arial"/>
              </w:rPr>
              <w:t xml:space="preserve"> Mind-body medicine (MBM) therapies broadly include meditation, hypnosis, guided imagery, relaxation therapies, biofeedback, spiritual healing, yoga, tai chi, qigong, art therapy, light therapy, and others. Mindfulness is defined as a nonjudgmental moment-to-moment awareness, including mindful movement (body awareness during yoga postures). The medical literature on mindfulness-based stress reduction (MBSR) is favorable, especially for chronic pain, anxiety, and general psychologic health; however, many of the studies are self-controlled, comparing a patient's pretreatment symptoms with posttreatment. In a study examining chronic pain patients, with mean duration of pain of 8.1 years, including of low back pain, headache, and neck/shoulder pain, patients were evaluated before and after the 8-week intervention, then for 48 months in follow-up. Of patients, 60% to 72% reported moderately or greatly decreased pain, decreased psychologic symptoms, and decreased general medical complaints. 86% responded affirmatively the program. Gains in medical and psychologic symptoms were maintained at 4-year follow-up. (</w:t>
            </w:r>
            <w:hyperlink w:anchor="Barrows" w:history="1">
              <w:r w:rsidRPr="00D61F73">
                <w:rPr>
                  <w:rStyle w:val="Hyperlink"/>
                  <w:rFonts w:ascii="Arial" w:hAnsi="Arial" w:cs="Arial"/>
                </w:rPr>
                <w:t>Barrows, 2002</w:t>
              </w:r>
            </w:hyperlink>
            <w:r w:rsidRPr="00D61F73">
              <w:rPr>
                <w:rFonts w:ascii="Arial" w:hAnsi="Arial" w:cs="Arial"/>
              </w:rPr>
              <w:t xml:space="preserve">) For mindfulness meditation, see </w:t>
            </w:r>
            <w:hyperlink w:anchor="Behavioralinterventions" w:history="1">
              <w:r w:rsidRPr="00D61F73">
                <w:rPr>
                  <w:rStyle w:val="Hyperlink"/>
                  <w:rFonts w:ascii="Arial" w:hAnsi="Arial" w:cs="Arial"/>
                </w:rPr>
                <w:t>Behavioral interventions/Cognitive Behavioral Therapy (CBT)</w:t>
              </w:r>
            </w:hyperlink>
            <w:r w:rsidRPr="00D61F73">
              <w:rPr>
                <w:rFonts w:ascii="Arial" w:hAnsi="Arial" w:cs="Arial"/>
              </w:rPr>
              <w:t>. Also see relevant MTUS body chapters</w:t>
            </w:r>
          </w:p>
        </w:tc>
      </w:tr>
      <w:tr w:rsidR="0038137E" w:rsidRPr="00D61F73" w14:paraId="6D0A6554" w14:textId="77777777" w:rsidTr="0038137E">
        <w:tc>
          <w:tcPr>
            <w:tcW w:w="1088" w:type="pct"/>
            <w:shd w:val="clear" w:color="auto" w:fill="auto"/>
          </w:tcPr>
          <w:p w14:paraId="78CC2EB6" w14:textId="40D9A878" w:rsidR="0038137E" w:rsidRPr="00D61F73" w:rsidRDefault="0038137E" w:rsidP="00D61F73">
            <w:pPr>
              <w:rPr>
                <w:rFonts w:ascii="Arial" w:hAnsi="Arial" w:cs="Arial"/>
              </w:rPr>
            </w:pPr>
            <w:r w:rsidRPr="00D61F73">
              <w:rPr>
                <w:rFonts w:ascii="Arial" w:hAnsi="Arial" w:cs="Arial"/>
              </w:rPr>
              <w:t>Z</w:t>
            </w:r>
            <w:bookmarkStart w:id="401" w:name="Zanaflex"/>
            <w:bookmarkEnd w:id="401"/>
            <w:r w:rsidRPr="00D61F73">
              <w:rPr>
                <w:rFonts w:ascii="Arial" w:hAnsi="Arial" w:cs="Arial"/>
              </w:rPr>
              <w:t>anaflex® (tizanidine)</w:t>
            </w:r>
          </w:p>
        </w:tc>
        <w:tc>
          <w:tcPr>
            <w:tcW w:w="3912" w:type="pct"/>
            <w:shd w:val="clear" w:color="auto" w:fill="auto"/>
          </w:tcPr>
          <w:p w14:paraId="59BE1A78" w14:textId="37E72499" w:rsidR="0038137E" w:rsidRPr="00D61F73" w:rsidRDefault="0038137E" w:rsidP="00D61F73">
            <w:pPr>
              <w:rPr>
                <w:rFonts w:ascii="Arial" w:hAnsi="Arial" w:cs="Arial"/>
              </w:rPr>
            </w:pPr>
            <w:r w:rsidRPr="00D61F73">
              <w:rPr>
                <w:rFonts w:ascii="Arial" w:hAnsi="Arial" w:cs="Arial"/>
              </w:rPr>
              <w:t xml:space="preserve">Zanaflex® is a muscle relaxant. See </w:t>
            </w:r>
            <w:hyperlink w:anchor="Musclerelaxants" w:history="1">
              <w:r w:rsidRPr="00D61F73">
                <w:rPr>
                  <w:rStyle w:val="Hyperlink"/>
                  <w:rFonts w:ascii="Arial" w:hAnsi="Arial" w:cs="Arial"/>
                </w:rPr>
                <w:t>Muscle relaxants</w:t>
              </w:r>
            </w:hyperlink>
            <w:r w:rsidRPr="00D61F73">
              <w:rPr>
                <w:rFonts w:ascii="Arial" w:hAnsi="Arial" w:cs="Arial"/>
              </w:rPr>
              <w:t xml:space="preserve">. See also specific </w:t>
            </w:r>
            <w:hyperlink w:anchor="Tizanidine_listing" w:history="1">
              <w:r w:rsidRPr="00D61F73">
                <w:rPr>
                  <w:rStyle w:val="Hyperlink"/>
                  <w:rFonts w:ascii="Arial" w:hAnsi="Arial" w:cs="Arial"/>
                </w:rPr>
                <w:t>Tizanidine</w:t>
              </w:r>
            </w:hyperlink>
            <w:r w:rsidRPr="00D61F73">
              <w:rPr>
                <w:rFonts w:ascii="Arial" w:hAnsi="Arial" w:cs="Arial"/>
              </w:rPr>
              <w:t xml:space="preserve"> (Zanaflex®) listing. </w:t>
            </w:r>
          </w:p>
        </w:tc>
      </w:tr>
      <w:tr w:rsidR="0038137E" w:rsidRPr="00D61F73" w14:paraId="37A0398B" w14:textId="77777777" w:rsidTr="0038137E">
        <w:tc>
          <w:tcPr>
            <w:tcW w:w="1088" w:type="pct"/>
            <w:shd w:val="clear" w:color="auto" w:fill="auto"/>
          </w:tcPr>
          <w:p w14:paraId="42DE2B65" w14:textId="7E7C8A3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Z</w:t>
            </w:r>
            <w:bookmarkStart w:id="402" w:name="ZococotidePrialt"/>
            <w:bookmarkEnd w:id="402"/>
            <w:r w:rsidRPr="00D61F73">
              <w:rPr>
                <w:rFonts w:ascii="Arial" w:hAnsi="Arial" w:cs="Arial"/>
              </w:rPr>
              <w:t xml:space="preserve">iconotide (Prialt®) </w:t>
            </w:r>
          </w:p>
        </w:tc>
        <w:tc>
          <w:tcPr>
            <w:tcW w:w="3912" w:type="pct"/>
            <w:shd w:val="clear" w:color="auto" w:fill="auto"/>
          </w:tcPr>
          <w:p w14:paraId="28F57B1A" w14:textId="77777777" w:rsidR="0038137E" w:rsidRPr="00D61F73" w:rsidRDefault="0038137E" w:rsidP="00D61F73">
            <w:pPr>
              <w:rPr>
                <w:rFonts w:ascii="Arial" w:hAnsi="Arial" w:cs="Arial"/>
              </w:rPr>
            </w:pPr>
            <w:r w:rsidRPr="00D61F73">
              <w:rPr>
                <w:rFonts w:ascii="Arial" w:hAnsi="Arial" w:cs="Arial"/>
              </w:rPr>
              <w:t>Recommended for use after there is evidence of failure of a trial of intrathecal morphine or hydromorphone (Dilaudid). Indicated for the management of severe chronic pain in patients for whom intrathecal therapy is warranted, and who are intolerant of or refractory to other treatment, such as systemic analgesics, adjunctive therapies or IT morphine, and only in individuals for whom the potential benefits outweigh the risks of serious neuropsychiatric adverse effects.</w:t>
            </w:r>
            <w:r w:rsidRPr="00D61F73">
              <w:rPr>
                <w:rStyle w:val="apple-converted-space"/>
                <w:rFonts w:ascii="Arial" w:hAnsi="Arial" w:cs="Arial"/>
              </w:rPr>
              <w:t> </w:t>
            </w:r>
            <w:r w:rsidRPr="00D61F73">
              <w:rPr>
                <w:rFonts w:ascii="Arial" w:hAnsi="Arial" w:cs="Arial"/>
              </w:rPr>
              <w:t xml:space="preserve"> Ziconotide (Prialt®) is a synthetic calcium channel blocker that is delivered intrathecally, </w:t>
            </w:r>
            <w:r w:rsidRPr="00D61F73">
              <w:rPr>
                <w:rFonts w:ascii="Arial" w:hAnsi="Arial" w:cs="Arial"/>
              </w:rPr>
              <w:lastRenderedPageBreak/>
              <w:t>offering a non-opioid option for treatment of chronic pain, and possibly, spasticity associated with spinal cord trauma.   It is FDA-approved for the management of severe chronic pain in patients for whom intrathecal therapy is warranted and who are intolerant of other treatments, such as systemic analgesics or adjunctive therapies. This medication is meant to be an option for patients who are intolerant and/or refractory to intrathecal morphine. The advantage of the medication is that it is considered non-addictive. Current case reports have described many challenges in converting from morphine to ziconotide, including inadequate analgesia, adverse medication effects, and opioid withdrawal symptoms</w:t>
            </w:r>
          </w:p>
          <w:p w14:paraId="6C806930" w14:textId="77777777" w:rsidR="0038137E" w:rsidRPr="00D61F73" w:rsidRDefault="0038137E" w:rsidP="00D61F73">
            <w:pPr>
              <w:rPr>
                <w:rFonts w:ascii="Arial" w:hAnsi="Arial" w:cs="Arial"/>
              </w:rPr>
            </w:pPr>
            <w:r w:rsidRPr="00D61F73">
              <w:rPr>
                <w:rFonts w:ascii="Arial" w:hAnsi="Arial" w:cs="Arial"/>
                <w:i/>
              </w:rPr>
              <w:t xml:space="preserve">Adverse effects: </w:t>
            </w:r>
            <w:r w:rsidRPr="00D61F73">
              <w:rPr>
                <w:rFonts w:ascii="Arial" w:hAnsi="Arial" w:cs="Arial"/>
              </w:rPr>
              <w:t xml:space="preserve">Prialt has been associated with severe CNS-related adverse effects, and a “black-box” warning has been issued in this regard. Neurological warnings include hallucinations, paranoid ideation, hostility, delirium, psychosis, manic reactions and decreased alertness. Certain patients may be at increased risk for psychiatric side effects including those with pre-existing history of depression with risk of suicide and patients with pre-existing psychosis. Cognitive impairment was noted in approximately 30% of patients in clinical trials, and this symptom was found to be reversible within about two weeks of discontinuation. Prialt is contraindicated in patients with a pre-existing history of psychosis. Prialt can be discontinued abruptly without evidence of withdrawal effects in the presence of serious adverse events. </w:t>
            </w:r>
          </w:p>
          <w:p w14:paraId="155040FD" w14:textId="77777777" w:rsidR="0038137E" w:rsidRPr="00D61F73" w:rsidRDefault="0038137E" w:rsidP="00D61F73">
            <w:pPr>
              <w:rPr>
                <w:rFonts w:ascii="Arial" w:hAnsi="Arial" w:cs="Arial"/>
              </w:rPr>
            </w:pPr>
            <w:r w:rsidRPr="00D61F73">
              <w:rPr>
                <w:rFonts w:ascii="Arial" w:hAnsi="Arial" w:cs="Arial"/>
                <w:i/>
              </w:rPr>
              <w:t xml:space="preserve">Dosage requirements: </w:t>
            </w:r>
            <w:r w:rsidRPr="00D61F73">
              <w:rPr>
                <w:rFonts w:ascii="Arial" w:hAnsi="Arial" w:cs="Arial"/>
              </w:rPr>
              <w:t xml:space="preserve">The current recommendations suggested by the manufacturer for this medication include a low initial infusion rate (0.1 mcg/hour for a total of 2.4 mcg/day) and limiting infusion increases to 2-3 times a week. Current drug trials have evaluated the efficacy of the medication for a 3-week duration only, but preliminary trials suggested that analgesic efficacy would be maintained long-term in open label trials. </w:t>
            </w:r>
          </w:p>
          <w:p w14:paraId="42D9E8A0" w14:textId="77777777" w:rsidR="0038137E" w:rsidRPr="00D61F73" w:rsidRDefault="0038137E" w:rsidP="00D61F73">
            <w:pPr>
              <w:rPr>
                <w:rFonts w:ascii="Arial" w:hAnsi="Arial" w:cs="Arial"/>
              </w:rPr>
            </w:pPr>
            <w:r w:rsidRPr="00D61F73">
              <w:rPr>
                <w:rFonts w:ascii="Arial" w:hAnsi="Arial" w:cs="Arial"/>
                <w:i/>
              </w:rPr>
              <w:t xml:space="preserve">Post-marketing dose recommendations: </w:t>
            </w:r>
            <w:r w:rsidRPr="00D61F73">
              <w:rPr>
                <w:rFonts w:ascii="Arial" w:hAnsi="Arial" w:cs="Arial"/>
              </w:rPr>
              <w:t>Post-marketing, an expert consensus panel recommended a starting dose of 0.5 mcg/24 hours with upward titration of no more than 0.5 mcg/week due to increased risk of adverse effects with higher doses. (</w:t>
            </w:r>
            <w:hyperlink w:anchor="Fisher" w:history="1">
              <w:r w:rsidRPr="00D61F73">
                <w:rPr>
                  <w:rStyle w:val="Hyperlink"/>
                  <w:rFonts w:ascii="Arial" w:hAnsi="Arial" w:cs="Arial"/>
                </w:rPr>
                <w:t>Fisher, 2005</w:t>
              </w:r>
            </w:hyperlink>
            <w:r w:rsidRPr="00D61F73">
              <w:rPr>
                <w:rFonts w:ascii="Arial" w:hAnsi="Arial" w:cs="Arial"/>
              </w:rPr>
              <w:t>)</w:t>
            </w:r>
          </w:p>
          <w:p w14:paraId="3CBE1D3D" w14:textId="77777777" w:rsidR="0038137E" w:rsidRPr="00D61F73" w:rsidRDefault="0038137E" w:rsidP="00D61F73">
            <w:pPr>
              <w:rPr>
                <w:rFonts w:ascii="Arial" w:hAnsi="Arial" w:cs="Arial"/>
              </w:rPr>
            </w:pPr>
            <w:r w:rsidRPr="00D61F73">
              <w:rPr>
                <w:rFonts w:ascii="Arial" w:hAnsi="Arial" w:cs="Arial"/>
                <w:i/>
              </w:rPr>
              <w:t xml:space="preserve">Filling intervals: </w:t>
            </w:r>
            <w:r w:rsidRPr="00D61F73">
              <w:rPr>
                <w:rFonts w:ascii="Arial" w:hAnsi="Arial" w:cs="Arial"/>
              </w:rPr>
              <w:t>The reservoir should be refilled initially at 14 days. For subsequent pump refills, fill the pump at least every 40 days if used diluted.  For undiluted Prialt, fill the pump at least every 84 days.</w:t>
            </w:r>
          </w:p>
          <w:p w14:paraId="6033A079" w14:textId="548D53D2" w:rsidR="0038137E" w:rsidRPr="00D61F73" w:rsidRDefault="0038137E" w:rsidP="00D61F73">
            <w:pPr>
              <w:rPr>
                <w:rFonts w:ascii="Arial" w:hAnsi="Arial" w:cs="Arial"/>
              </w:rPr>
            </w:pPr>
            <w:r w:rsidRPr="00D61F73">
              <w:rPr>
                <w:rFonts w:ascii="Arial" w:hAnsi="Arial" w:cs="Arial"/>
                <w:i/>
              </w:rPr>
              <w:t xml:space="preserve">Other precautions: </w:t>
            </w:r>
            <w:r w:rsidRPr="00D61F73">
              <w:rPr>
                <w:rFonts w:ascii="Arial" w:hAnsi="Arial" w:cs="Arial"/>
              </w:rPr>
              <w:t>This medication is associated with elevation of serum creatinine kinase, with risk factors including male gender and concomitant use of anti-depressants, anti-convulsants and intrathecal morphine. This lab value should be monitored at least bi-weekly for the first month and at monthly intervals thereafter. Symptoms of myalgia include myasthenia, muscle cramps and unusual fatigue. (</w:t>
            </w:r>
            <w:hyperlink w:anchor="Thompson" w:history="1">
              <w:r w:rsidRPr="00D61F73">
                <w:rPr>
                  <w:rStyle w:val="Hyperlink"/>
                  <w:rFonts w:ascii="Arial" w:hAnsi="Arial" w:cs="Arial"/>
                </w:rPr>
                <w:t>Thompson, 2006</w:t>
              </w:r>
            </w:hyperlink>
            <w:r w:rsidRPr="00D61F73">
              <w:rPr>
                <w:rFonts w:ascii="Arial" w:hAnsi="Arial" w:cs="Arial"/>
              </w:rPr>
              <w:t>) (</w:t>
            </w:r>
            <w:hyperlink w:anchor="Wermeling" w:history="1">
              <w:r w:rsidRPr="00D61F73">
                <w:rPr>
                  <w:rStyle w:val="Hyperlink"/>
                  <w:rFonts w:ascii="Arial" w:hAnsi="Arial" w:cs="Arial"/>
                </w:rPr>
                <w:t>Wermeling 2005</w:t>
              </w:r>
            </w:hyperlink>
            <w:r w:rsidRPr="00D61F73">
              <w:rPr>
                <w:rFonts w:ascii="Arial" w:hAnsi="Arial" w:cs="Arial"/>
              </w:rPr>
              <w:t>) (</w:t>
            </w:r>
            <w:hyperlink w:anchor="Lyseng" w:history="1">
              <w:r w:rsidRPr="00D61F73">
                <w:rPr>
                  <w:rStyle w:val="Hyperlink"/>
                  <w:rFonts w:ascii="Arial" w:hAnsi="Arial" w:cs="Arial"/>
                </w:rPr>
                <w:t>Lyseng-Williamson, 2006</w:t>
              </w:r>
            </w:hyperlink>
            <w:r w:rsidRPr="00D61F73">
              <w:rPr>
                <w:rFonts w:ascii="Arial" w:hAnsi="Arial" w:cs="Arial"/>
              </w:rPr>
              <w:t>) (</w:t>
            </w:r>
            <w:hyperlink w:anchor="Lynch" w:history="1">
              <w:r w:rsidRPr="00D61F73">
                <w:rPr>
                  <w:rStyle w:val="Hyperlink"/>
                  <w:rFonts w:ascii="Arial" w:hAnsi="Arial" w:cs="Arial"/>
                </w:rPr>
                <w:t>Lynch, 2006</w:t>
              </w:r>
            </w:hyperlink>
            <w:r w:rsidRPr="00D61F73">
              <w:rPr>
                <w:rFonts w:ascii="Arial" w:hAnsi="Arial" w:cs="Arial"/>
              </w:rPr>
              <w:t>) (</w:t>
            </w:r>
            <w:hyperlink w:anchor="Rauck" w:history="1">
              <w:r w:rsidRPr="00D61F73">
                <w:rPr>
                  <w:rStyle w:val="Hyperlink"/>
                  <w:rFonts w:ascii="Arial" w:hAnsi="Arial" w:cs="Arial"/>
                </w:rPr>
                <w:t>Rauck, 2006</w:t>
              </w:r>
            </w:hyperlink>
            <w:r w:rsidRPr="00D61F73">
              <w:rPr>
                <w:rFonts w:ascii="Arial" w:hAnsi="Arial" w:cs="Arial"/>
              </w:rPr>
              <w:t>) (</w:t>
            </w:r>
            <w:hyperlink w:anchor="Deer3" w:history="1">
              <w:r w:rsidRPr="00D61F73">
                <w:rPr>
                  <w:rStyle w:val="Hyperlink"/>
                  <w:rFonts w:ascii="Arial" w:hAnsi="Arial" w:cs="Arial"/>
                </w:rPr>
                <w:t>Deer, 2007</w:t>
              </w:r>
            </w:hyperlink>
            <w:r w:rsidRPr="00D61F73">
              <w:rPr>
                <w:rFonts w:ascii="Arial" w:hAnsi="Arial" w:cs="Arial"/>
              </w:rPr>
              <w:t>) Intrathecal ziconotide may increase risk for suicide. Researchers are calling for a comprehensive psychiatric evaluation in all patients before and during treatment, but ziconotide may pose a threat even in symptom-free patients with pain. Better monitoring of all patients on this medication is necessary, and strict compliance to the contradictions such as a history of depression is key. Ziconotide not only suppresses the transmission of pain stimuli but may also reduce impulse control, promoting suicidal tendencies in vulnerable patients. (</w:t>
            </w:r>
            <w:hyperlink w:anchor="Maier2010" w:history="1">
              <w:r w:rsidRPr="00D61F73">
                <w:rPr>
                  <w:rStyle w:val="Hyperlink"/>
                  <w:rFonts w:ascii="Arial" w:hAnsi="Arial" w:cs="Arial"/>
                </w:rPr>
                <w:t>Maier, 2010</w:t>
              </w:r>
            </w:hyperlink>
            <w:r w:rsidRPr="00D61F73">
              <w:rPr>
                <w:rFonts w:ascii="Arial" w:hAnsi="Arial" w:cs="Arial"/>
              </w:rPr>
              <w:t xml:space="preserve">). </w:t>
            </w:r>
          </w:p>
        </w:tc>
      </w:tr>
      <w:tr w:rsidR="0038137E" w:rsidRPr="00D61F73" w14:paraId="2DCD94FB" w14:textId="77777777" w:rsidTr="0038137E">
        <w:tc>
          <w:tcPr>
            <w:tcW w:w="1088" w:type="pct"/>
            <w:shd w:val="clear" w:color="auto" w:fill="auto"/>
          </w:tcPr>
          <w:p w14:paraId="18CC5F71" w14:textId="7589941D"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Zipsor (diclofenac potassium liquid-filled capsules)</w:t>
            </w:r>
          </w:p>
        </w:tc>
        <w:tc>
          <w:tcPr>
            <w:tcW w:w="3912" w:type="pct"/>
            <w:shd w:val="clear" w:color="auto" w:fill="auto"/>
          </w:tcPr>
          <w:p w14:paraId="299E1F13" w14:textId="77777777" w:rsidR="0038137E" w:rsidRDefault="0038137E" w:rsidP="00D61F73">
            <w:pPr>
              <w:rPr>
                <w:rFonts w:ascii="Arial" w:hAnsi="Arial" w:cs="Arial"/>
              </w:rPr>
            </w:pPr>
            <w:r w:rsidRPr="00D61F73">
              <w:rPr>
                <w:rFonts w:ascii="Arial" w:hAnsi="Arial" w:cs="Arial"/>
              </w:rPr>
              <w:t xml:space="preserve">Not recommend diclofenac as first line due to increased risk profile. See </w:t>
            </w:r>
            <w:hyperlink w:anchor="Diclofenac" w:history="1">
              <w:r w:rsidRPr="00D61F73">
                <w:rPr>
                  <w:rStyle w:val="Hyperlink"/>
                  <w:rFonts w:ascii="Arial" w:hAnsi="Arial" w:cs="Arial"/>
                </w:rPr>
                <w:t>Diclofenac</w:t>
              </w:r>
            </w:hyperlink>
            <w:r w:rsidRPr="00D61F73">
              <w:rPr>
                <w:rFonts w:ascii="Arial" w:hAnsi="Arial" w:cs="Arial"/>
              </w:rPr>
              <w:t xml:space="preserve"> listing. Zipsor diclofenac potassium liquid-filled capsules (Xanodyne) were approved by the FDA in June 2009. (</w:t>
            </w:r>
            <w:hyperlink r:id="rId183" w:history="1">
              <w:r w:rsidRPr="00D61F73">
                <w:rPr>
                  <w:rStyle w:val="Hyperlink"/>
                  <w:rFonts w:ascii="Arial" w:hAnsi="Arial" w:cs="Arial"/>
                </w:rPr>
                <w:t>FDA, 2009</w:t>
              </w:r>
            </w:hyperlink>
            <w:r w:rsidRPr="00D61F73">
              <w:rPr>
                <w:rFonts w:ascii="Arial" w:hAnsi="Arial" w:cs="Arial"/>
              </w:rPr>
              <w:t>) When compared with absorption characteristics of diclofenac potassium tablets, Zipsor was more rapidly absorbed after bunionectomy, which may be advantageous if rapid pain relief is required, but there were no other advantages over the tablets. (</w:t>
            </w:r>
            <w:hyperlink w:anchor="Kowalski" w:history="1">
              <w:r w:rsidRPr="00D61F73">
                <w:rPr>
                  <w:rStyle w:val="Hyperlink"/>
                  <w:rFonts w:ascii="Arial" w:hAnsi="Arial" w:cs="Arial"/>
                </w:rPr>
                <w:t>Kowalski, 2009</w:t>
              </w:r>
            </w:hyperlink>
            <w:r w:rsidRPr="00D61F73">
              <w:rPr>
                <w:rFonts w:ascii="Arial" w:hAnsi="Arial" w:cs="Arial"/>
              </w:rPr>
              <w:t>) In dental surgery patients Zipsor provided rapid onset of confirmed perceptible pain relief within 30 minutes of administration. (</w:t>
            </w:r>
            <w:hyperlink w:anchor="Zuniga2011" w:history="1">
              <w:r w:rsidRPr="00D61F73">
                <w:rPr>
                  <w:rStyle w:val="Hyperlink"/>
                  <w:rFonts w:ascii="Arial" w:hAnsi="Arial" w:cs="Arial"/>
                </w:rPr>
                <w:t>Zuniga, 2011</w:t>
              </w:r>
            </w:hyperlink>
            <w:r w:rsidRPr="00D61F73">
              <w:rPr>
                <w:rFonts w:ascii="Arial" w:hAnsi="Arial" w:cs="Arial"/>
              </w:rPr>
              <w:t xml:space="preserve">) See </w:t>
            </w:r>
            <w:hyperlink w:anchor="DiclofenacPotassium" w:history="1">
              <w:r w:rsidRPr="00D61F73">
                <w:rPr>
                  <w:rStyle w:val="Hyperlink"/>
                  <w:rFonts w:ascii="Arial" w:hAnsi="Arial" w:cs="Arial"/>
                </w:rPr>
                <w:t>Diclofenac Potassium</w:t>
              </w:r>
            </w:hyperlink>
            <w:r w:rsidRPr="00D61F73">
              <w:rPr>
                <w:rFonts w:ascii="Arial" w:hAnsi="Arial" w:cs="Arial"/>
              </w:rPr>
              <w:t xml:space="preserve">. </w:t>
            </w:r>
          </w:p>
          <w:p w14:paraId="4F41E3D0" w14:textId="64B3E4F2" w:rsidR="00C93903" w:rsidRPr="00D61F73" w:rsidRDefault="00C93903" w:rsidP="00D61F73">
            <w:pPr>
              <w:rPr>
                <w:rFonts w:ascii="Arial" w:hAnsi="Arial" w:cs="Arial"/>
              </w:rPr>
            </w:pPr>
          </w:p>
        </w:tc>
      </w:tr>
      <w:tr w:rsidR="0038137E" w:rsidRPr="00D61F73" w14:paraId="5B0CE41E" w14:textId="77777777" w:rsidTr="0038137E">
        <w:tc>
          <w:tcPr>
            <w:tcW w:w="1088" w:type="pct"/>
            <w:shd w:val="clear" w:color="auto" w:fill="auto"/>
          </w:tcPr>
          <w:p w14:paraId="42D922AC" w14:textId="47571872"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Z</w:t>
            </w:r>
            <w:bookmarkStart w:id="403" w:name="Zohydro"/>
            <w:bookmarkEnd w:id="403"/>
            <w:r w:rsidRPr="00D61F73">
              <w:rPr>
                <w:rFonts w:ascii="Arial" w:hAnsi="Arial" w:cs="Arial"/>
              </w:rPr>
              <w:t xml:space="preserve">ohydro® </w:t>
            </w:r>
          </w:p>
        </w:tc>
        <w:tc>
          <w:tcPr>
            <w:tcW w:w="3912" w:type="pct"/>
            <w:shd w:val="clear" w:color="auto" w:fill="auto"/>
          </w:tcPr>
          <w:p w14:paraId="1F13F0E3" w14:textId="47D7D19F" w:rsidR="0038137E" w:rsidRPr="00D61F73" w:rsidRDefault="0038137E" w:rsidP="00D61F73">
            <w:pPr>
              <w:rPr>
                <w:rFonts w:ascii="Arial" w:hAnsi="Arial" w:cs="Arial"/>
              </w:rPr>
            </w:pPr>
            <w:r w:rsidRPr="00D61F73">
              <w:rPr>
                <w:rFonts w:ascii="Arial" w:hAnsi="Arial" w:cs="Arial"/>
              </w:rPr>
              <w:t xml:space="preserve">Not recommended.  Refer to the MTUS Opioids Treatment Guidelines </w:t>
            </w:r>
            <w:r w:rsidRPr="00D61F73">
              <w:rPr>
                <w:rFonts w:ascii="Arial" w:hAnsi="Arial" w:cs="Arial"/>
                <w:bCs/>
              </w:rPr>
              <w:t>for recommendations on the use of opioids.</w:t>
            </w:r>
            <w:r w:rsidRPr="00D61F73">
              <w:rPr>
                <w:rFonts w:ascii="Arial" w:hAnsi="Arial" w:cs="Arial"/>
              </w:rPr>
              <w:t xml:space="preserve"> See </w:t>
            </w:r>
            <w:hyperlink w:anchor="Hydrocodone" w:history="1">
              <w:r w:rsidRPr="00D61F73">
                <w:rPr>
                  <w:rStyle w:val="Hyperlink"/>
                  <w:rFonts w:ascii="Arial" w:hAnsi="Arial" w:cs="Arial"/>
                  <w:u w:val="none"/>
                </w:rPr>
                <w:t>Hydrocodone</w:t>
              </w:r>
            </w:hyperlink>
            <w:r w:rsidRPr="00D61F73">
              <w:rPr>
                <w:rFonts w:ascii="Arial" w:hAnsi="Arial" w:cs="Arial"/>
              </w:rPr>
              <w:t xml:space="preserve">. Zohydro ER (Zogenix Inc) is the first single-entity extended-release (ER) formulation of hydrocodone approved by the FDA; unlike Vicodin, Lortab and Norco, it is not buffered with acetaminophen or some other OTC medication. Each pill will be very potent, but Zohydro does not have abuse-deterrent technology. According to the FDA, Zohydro ER should be reserved for use in patients for whom alternative treatment options are ineffective. FDA's Drug Advisory Committee of independent experts voted 11 to 2 to recommended against approval of Zohydro for the treatment of moderate to severe chronic pain because of the potential for abuse of this drug.  </w:t>
            </w:r>
          </w:p>
        </w:tc>
      </w:tr>
      <w:tr w:rsidR="0038137E" w:rsidRPr="00D61F73" w14:paraId="021110F8" w14:textId="77777777" w:rsidTr="0038137E">
        <w:tc>
          <w:tcPr>
            <w:tcW w:w="1088" w:type="pct"/>
            <w:shd w:val="clear" w:color="auto" w:fill="auto"/>
          </w:tcPr>
          <w:p w14:paraId="189840D2" w14:textId="1BEC786C"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Zolpidem (Ambien®)</w:t>
            </w:r>
          </w:p>
        </w:tc>
        <w:tc>
          <w:tcPr>
            <w:tcW w:w="3912" w:type="pct"/>
            <w:shd w:val="clear" w:color="auto" w:fill="auto"/>
          </w:tcPr>
          <w:p w14:paraId="23FB7DAD" w14:textId="18D035FF" w:rsidR="0038137E" w:rsidRPr="00D61F73" w:rsidRDefault="0038137E" w:rsidP="00D61F73">
            <w:pPr>
              <w:rPr>
                <w:rFonts w:ascii="Arial" w:hAnsi="Arial" w:cs="Arial"/>
              </w:rPr>
            </w:pPr>
            <w:r w:rsidRPr="00D61F73">
              <w:rPr>
                <w:rFonts w:ascii="Arial" w:hAnsi="Arial" w:cs="Arial"/>
              </w:rPr>
              <w:t>Zolpidem is a prescription short-acting nonbenzodiazepine hypnotic, which is approved for the short-term (usually two to six weeks) treatment of insomnia. Proper sleep hygiene is critical to the individual with chronic pain and often is hard to obtain. Various medications may provide short-term benefit. While sleeping pills, so-called minor tranquilizers, and anti-anxiety agents are commonly prescribed in chronic pain, pain specialists rarely, if ever, recommend them for long-term use. They can be habit-forming, and they may impair function and memory more than opioid pain relievers. There is also concern that they may increase pain and depression over the long-term. (</w:t>
            </w:r>
            <w:hyperlink w:anchor="Feinberg" w:history="1">
              <w:r w:rsidRPr="00D61F73">
                <w:rPr>
                  <w:rStyle w:val="Hyperlink"/>
                  <w:rFonts w:ascii="Arial" w:hAnsi="Arial" w:cs="Arial"/>
                </w:rPr>
                <w:t>Feinberg, 2008</w:t>
              </w:r>
            </w:hyperlink>
            <w:r w:rsidRPr="00D61F73">
              <w:rPr>
                <w:rFonts w:ascii="Arial" w:hAnsi="Arial" w:cs="Arial"/>
              </w:rPr>
              <w:t xml:space="preserve">) See </w:t>
            </w:r>
            <w:hyperlink w:anchor="Insomniatreatment" w:history="1">
              <w:r w:rsidRPr="00D61F73">
                <w:rPr>
                  <w:rStyle w:val="Hyperlink"/>
                  <w:rFonts w:ascii="Arial" w:hAnsi="Arial" w:cs="Arial"/>
                </w:rPr>
                <w:t>Insomnia treatment</w:t>
              </w:r>
            </w:hyperlink>
            <w:r w:rsidRPr="00D61F73">
              <w:rPr>
                <w:rFonts w:ascii="Arial" w:hAnsi="Arial" w:cs="Arial"/>
              </w:rPr>
              <w:t xml:space="preserve">. Ambien CR offers no significant clinical advantage over regular release zolpidem. Ambien CR is approved for chronic use, but chronic use of hypnotics in general is discouraged, as outlined in </w:t>
            </w:r>
            <w:hyperlink w:anchor="Insomniatreatment" w:history="1">
              <w:r w:rsidRPr="00D61F73">
                <w:rPr>
                  <w:rStyle w:val="Hyperlink"/>
                  <w:rFonts w:ascii="Arial" w:hAnsi="Arial" w:cs="Arial"/>
                </w:rPr>
                <w:t>Insomnia treatment</w:t>
              </w:r>
            </w:hyperlink>
            <w:r w:rsidRPr="00D61F73">
              <w:rPr>
                <w:rFonts w:ascii="Arial" w:hAnsi="Arial" w:cs="Arial"/>
              </w:rPr>
              <w:t>. Ambien CR causes a greater frequency of dizziness, drowsiness, and headache compared to immediate release zolpidem. (</w:t>
            </w:r>
            <w:hyperlink r:id="rId184" w:history="1">
              <w:r w:rsidRPr="00D61F73">
                <w:rPr>
                  <w:rStyle w:val="Hyperlink"/>
                  <w:rFonts w:ascii="Arial" w:hAnsi="Arial" w:cs="Arial"/>
                </w:rPr>
                <w:t>Ambien</w:t>
              </w:r>
            </w:hyperlink>
            <w:r w:rsidRPr="00D61F73">
              <w:rPr>
                <w:rFonts w:ascii="Arial" w:hAnsi="Arial" w:cs="Arial"/>
              </w:rPr>
              <w:t xml:space="preserve"> &amp; </w:t>
            </w:r>
            <w:hyperlink r:id="rId185" w:history="1">
              <w:r w:rsidRPr="00D61F73">
                <w:rPr>
                  <w:rStyle w:val="Hyperlink"/>
                  <w:rFonts w:ascii="Arial" w:hAnsi="Arial" w:cs="Arial"/>
                </w:rPr>
                <w:t>Ambien CR package insert</w:t>
              </w:r>
            </w:hyperlink>
            <w:r w:rsidRPr="00D61F73">
              <w:rPr>
                <w:rFonts w:ascii="Arial" w:hAnsi="Arial" w:cs="Arial"/>
              </w:rPr>
              <w:t>) Cognitive behavioral therapy (CBT) should be an important part of an insomnia treatment plan. A study of patients with persistent insomnia found that the addition of zolpidem immediate release to CBT was modestly beneficial during acute (first 6 weeks) therapy, but better long-term outcomes were achieved when zolpidem IR was discontinued and maintenance CBT continued. (</w:t>
            </w:r>
            <w:hyperlink w:anchor="Morin2" w:history="1">
              <w:r w:rsidRPr="00D61F73">
                <w:rPr>
                  <w:rStyle w:val="Hyperlink"/>
                  <w:rFonts w:ascii="Arial" w:hAnsi="Arial" w:cs="Arial"/>
                </w:rPr>
                <w:t>Morin, 2009</w:t>
              </w:r>
            </w:hyperlink>
            <w:r w:rsidRPr="00D61F73">
              <w:rPr>
                <w:rFonts w:ascii="Arial" w:hAnsi="Arial" w:cs="Arial"/>
              </w:rPr>
              <w:t xml:space="preserve">) Due to adverse effects, FDA now requires lower doses for zolpidem. The dose of zolpidem for women should be lowered from 10 mg to 5 mg for IR products (Ambien, Edluar, Zolpimist, and generic) and from 12.5 mg to 6.25 mg for ER products (Ambien CR). The ER product is still more risky than IR. In laboratory studies, 15% of women and 3% of men who took a 10-milligram dose of Ambien had potentially dangerous concentrations of the drug in their blood eight hours later. Among those who took Ambien CR, the problem was </w:t>
            </w:r>
            <w:r w:rsidRPr="00D61F73">
              <w:rPr>
                <w:rFonts w:ascii="Arial" w:hAnsi="Arial" w:cs="Arial"/>
              </w:rPr>
              <w:lastRenderedPageBreak/>
              <w:t>more common: 33% of women and 25% of men had blood concentrations that would raise the risk of a motor vehicle accident eight hours later. Even at the lower dose of Ambien CR now recommended by the FDA, 15% of women and 5% of men still had high levels of the drug in their system in the morning. (</w:t>
            </w:r>
            <w:hyperlink r:id="rId186" w:history="1">
              <w:r w:rsidRPr="00D61F73">
                <w:rPr>
                  <w:rStyle w:val="Hyperlink"/>
                  <w:rFonts w:ascii="Arial" w:hAnsi="Arial" w:cs="Arial"/>
                </w:rPr>
                <w:t>FDA, 2013</w:t>
              </w:r>
            </w:hyperlink>
            <w:r w:rsidRPr="00D61F73">
              <w:rPr>
                <w:rFonts w:ascii="Arial" w:hAnsi="Arial" w:cs="Arial"/>
              </w:rPr>
              <w:t xml:space="preserve">) According to SAMHSA, zolpidem is linked to a sharp increase in ED visits, so it should be used safely for only a short period of time. </w:t>
            </w:r>
          </w:p>
        </w:tc>
      </w:tr>
      <w:tr w:rsidR="0038137E" w:rsidRPr="00D61F73" w14:paraId="139C4DE9" w14:textId="77777777" w:rsidTr="0038137E">
        <w:tc>
          <w:tcPr>
            <w:tcW w:w="1088" w:type="pct"/>
            <w:shd w:val="clear" w:color="auto" w:fill="auto"/>
          </w:tcPr>
          <w:p w14:paraId="63C4B9A2" w14:textId="4791287F"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lastRenderedPageBreak/>
              <w:t>Zonisamide (Zonegran®)</w:t>
            </w:r>
          </w:p>
        </w:tc>
        <w:tc>
          <w:tcPr>
            <w:tcW w:w="3912" w:type="pct"/>
            <w:shd w:val="clear" w:color="auto" w:fill="auto"/>
          </w:tcPr>
          <w:p w14:paraId="321AE1A9" w14:textId="77777777" w:rsidR="0038137E" w:rsidRDefault="0038137E" w:rsidP="00D61F73">
            <w:pPr>
              <w:rPr>
                <w:rFonts w:ascii="Arial" w:hAnsi="Arial" w:cs="Arial"/>
              </w:rPr>
            </w:pPr>
            <w:r w:rsidRPr="00D61F73">
              <w:rPr>
                <w:rFonts w:ascii="Arial" w:hAnsi="Arial" w:cs="Arial"/>
              </w:rPr>
              <w:t xml:space="preserve">See </w:t>
            </w:r>
            <w:hyperlink w:anchor="Antiepilepsydrugs" w:history="1">
              <w:r w:rsidRPr="00D61F73">
                <w:rPr>
                  <w:rStyle w:val="Hyperlink"/>
                  <w:rFonts w:ascii="Arial" w:hAnsi="Arial" w:cs="Arial"/>
                </w:rPr>
                <w:t>Anti-epilepsy drugs</w:t>
              </w:r>
            </w:hyperlink>
            <w:r w:rsidRPr="00D61F73">
              <w:rPr>
                <w:rFonts w:ascii="Arial" w:hAnsi="Arial" w:cs="Arial"/>
              </w:rPr>
              <w:t xml:space="preserve"> (AEDs) for general guidelines, as well as specific </w:t>
            </w:r>
            <w:hyperlink w:anchor="LevetiracetamListing" w:history="1">
              <w:r w:rsidRPr="00D61F73">
                <w:rPr>
                  <w:rStyle w:val="Hyperlink"/>
                  <w:rFonts w:ascii="Arial" w:hAnsi="Arial" w:cs="Arial"/>
                </w:rPr>
                <w:t>Zonisamide</w:t>
              </w:r>
            </w:hyperlink>
            <w:r w:rsidRPr="00D61F73">
              <w:rPr>
                <w:rFonts w:ascii="Arial" w:hAnsi="Arial" w:cs="Arial"/>
              </w:rPr>
              <w:t xml:space="preserve"> listing.</w:t>
            </w:r>
          </w:p>
          <w:p w14:paraId="0D1256E5" w14:textId="493D0554" w:rsidR="00C93903" w:rsidRPr="00D61F73" w:rsidRDefault="00C93903" w:rsidP="00D61F73">
            <w:pPr>
              <w:rPr>
                <w:rFonts w:ascii="Arial" w:hAnsi="Arial" w:cs="Arial"/>
              </w:rPr>
            </w:pPr>
          </w:p>
        </w:tc>
      </w:tr>
      <w:tr w:rsidR="0038137E" w:rsidRPr="00D61F73" w14:paraId="31F81F6E" w14:textId="77777777" w:rsidTr="0038137E">
        <w:tc>
          <w:tcPr>
            <w:tcW w:w="1088" w:type="pct"/>
            <w:shd w:val="clear" w:color="auto" w:fill="auto"/>
          </w:tcPr>
          <w:p w14:paraId="6E659864" w14:textId="642EF32E"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Z</w:t>
            </w:r>
            <w:bookmarkStart w:id="404" w:name="Zorvolex"/>
            <w:bookmarkEnd w:id="404"/>
            <w:r w:rsidRPr="00D61F73">
              <w:rPr>
                <w:rFonts w:ascii="Arial" w:hAnsi="Arial" w:cs="Arial"/>
              </w:rPr>
              <w:t>orvolex® (diclofenac)</w:t>
            </w:r>
          </w:p>
        </w:tc>
        <w:tc>
          <w:tcPr>
            <w:tcW w:w="3912" w:type="pct"/>
            <w:shd w:val="clear" w:color="auto" w:fill="auto"/>
          </w:tcPr>
          <w:p w14:paraId="4A942FBC" w14:textId="1CCC8B1E" w:rsidR="0038137E" w:rsidRPr="00D61F73" w:rsidRDefault="0038137E" w:rsidP="00D61F73">
            <w:pPr>
              <w:rPr>
                <w:rFonts w:ascii="Arial" w:hAnsi="Arial" w:cs="Arial"/>
              </w:rPr>
            </w:pPr>
            <w:r w:rsidRPr="00D61F73">
              <w:rPr>
                <w:rFonts w:ascii="Arial" w:hAnsi="Arial" w:cs="Arial"/>
              </w:rPr>
              <w:t xml:space="preserve">Not recommended except as a second-line option, because diclofenac products are not recommended as first-line choices due to potential increased adverse effects.  See </w:t>
            </w:r>
            <w:hyperlink w:anchor="Diclofenac" w:history="1">
              <w:r w:rsidRPr="00D61F73">
                <w:rPr>
                  <w:rStyle w:val="Hyperlink"/>
                  <w:rFonts w:ascii="Arial" w:hAnsi="Arial" w:cs="Arial"/>
                </w:rPr>
                <w:t>Diclofenac</w:t>
              </w:r>
            </w:hyperlink>
            <w:r w:rsidRPr="00D61F73">
              <w:rPr>
                <w:rFonts w:ascii="Arial" w:hAnsi="Arial" w:cs="Arial"/>
              </w:rPr>
              <w:t>. In late 2013 FDA approved diclofenac capsules (Zorvolex, Iroko Pharmaceuticals LLC) at 18-mg and 35-mg doses for the treatment of mild to moderate acute pain in adults. These dosages are 30% lower in strength than the 25-mg and 50-mg diclofenac products already on the market. The FDA also approved another lower-dose NSAID from Iroko Pharmaceuticals, indomethacin capsules (</w:t>
            </w:r>
            <w:hyperlink w:anchor="Tivorbex" w:history="1">
              <w:r w:rsidRPr="00D61F73">
                <w:rPr>
                  <w:rStyle w:val="Hyperlink"/>
                  <w:rFonts w:ascii="Arial" w:hAnsi="Arial" w:cs="Arial"/>
                </w:rPr>
                <w:t>Tivorbex</w:t>
              </w:r>
            </w:hyperlink>
            <w:r w:rsidRPr="00D61F73">
              <w:rPr>
                <w:rFonts w:ascii="Arial" w:hAnsi="Arial" w:cs="Arial"/>
              </w:rPr>
              <w:t>). While diclofenac has potent anti-inflammatory and analgesic properties, research has linked this drug to sometimes serious adverse outcomes, including cardiovascular thrombotic events, myocardial infarction, stroke, gastrointestinal ulcers, gastrointestinal bleeding, and renal events (such as acute renal failure). (</w:t>
            </w:r>
            <w:hyperlink r:id="rId187" w:history="1">
              <w:r w:rsidRPr="00D61F73">
                <w:rPr>
                  <w:rStyle w:val="Hyperlink"/>
                  <w:rFonts w:ascii="Arial" w:hAnsi="Arial" w:cs="Arial"/>
                </w:rPr>
                <w:t>FDA, 2014</w:t>
              </w:r>
            </w:hyperlink>
            <w:r w:rsidRPr="00D61F73">
              <w:rPr>
                <w:rFonts w:ascii="Arial" w:hAnsi="Arial" w:cs="Arial"/>
              </w:rPr>
              <w:t>) This new formulation of diclofenac does not present any apparent advantages versus other medications of the class. Zorvolex is pure acid versus salt in other formulations, resulting in faster dissolution using SoluMatrix Fine Particle Technology. However, it has the same side effect profile while more expensive than other NSAIDs that are available as generics. It is an expensive, brand name only, second-line medication with little to no place in the treatment of workers compensation injuries. (</w:t>
            </w:r>
            <w:hyperlink r:id="rId188" w:history="1">
              <w:r w:rsidRPr="00D61F73">
                <w:rPr>
                  <w:rStyle w:val="Hyperlink"/>
                  <w:rFonts w:ascii="Arial" w:hAnsi="Arial" w:cs="Arial"/>
                </w:rPr>
                <w:t>FDA, 2013</w:t>
              </w:r>
            </w:hyperlink>
            <w:r w:rsidRPr="00D61F73">
              <w:rPr>
                <w:rFonts w:ascii="Arial" w:hAnsi="Arial" w:cs="Arial"/>
              </w:rPr>
              <w:t>)</w:t>
            </w:r>
          </w:p>
        </w:tc>
      </w:tr>
      <w:tr w:rsidR="0038137E" w:rsidRPr="00D61F73" w14:paraId="7777F9A3" w14:textId="77777777" w:rsidTr="0038137E">
        <w:tc>
          <w:tcPr>
            <w:tcW w:w="1088" w:type="pct"/>
            <w:shd w:val="clear" w:color="auto" w:fill="auto"/>
          </w:tcPr>
          <w:p w14:paraId="16DA9A87" w14:textId="02E1D491" w:rsidR="0038137E" w:rsidRPr="00D61F73" w:rsidRDefault="0038137E" w:rsidP="00D61F73">
            <w:pPr>
              <w:pStyle w:val="Footer"/>
              <w:tabs>
                <w:tab w:val="clear" w:pos="4320"/>
                <w:tab w:val="clear" w:pos="8640"/>
              </w:tabs>
              <w:rPr>
                <w:rFonts w:ascii="Arial" w:hAnsi="Arial" w:cs="Arial"/>
              </w:rPr>
            </w:pPr>
            <w:r w:rsidRPr="00D61F73">
              <w:rPr>
                <w:rFonts w:ascii="Arial" w:hAnsi="Arial" w:cs="Arial"/>
              </w:rPr>
              <w:t>Zubsolv® (buprenorphine/ naloxone)</w:t>
            </w:r>
          </w:p>
        </w:tc>
        <w:tc>
          <w:tcPr>
            <w:tcW w:w="3912" w:type="pct"/>
            <w:shd w:val="clear" w:color="auto" w:fill="auto"/>
          </w:tcPr>
          <w:p w14:paraId="0CD8E28D" w14:textId="6B5EAE88" w:rsidR="00035C79" w:rsidRPr="00035C79" w:rsidRDefault="0038137E" w:rsidP="00D61F73">
            <w:pPr>
              <w:rPr>
                <w:rFonts w:ascii="Arial" w:hAnsi="Arial" w:cs="Arial"/>
                <w:color w:val="0000FF"/>
              </w:rPr>
            </w:pPr>
            <w:r w:rsidRPr="00D61F73">
              <w:rPr>
                <w:rFonts w:ascii="Arial" w:hAnsi="Arial" w:cs="Arial"/>
              </w:rPr>
              <w:t>Zubsolv (buprenorphine and naloxone), a recently FDA-approved medication for maintenance treatment of opioid dependence, is a once-daily sublingual tablet that offers higher bioavailability that allows patients to use lower strength and reduce the amount of available drug for potential misuse and diversion. (</w:t>
            </w:r>
            <w:hyperlink r:id="rId189" w:history="1">
              <w:r w:rsidRPr="00D61F73">
                <w:rPr>
                  <w:rStyle w:val="Hyperlink"/>
                  <w:rFonts w:ascii="Arial" w:hAnsi="Arial" w:cs="Arial"/>
                  <w:u w:val="none"/>
                </w:rPr>
                <w:t>FDA, 2013</w:t>
              </w:r>
            </w:hyperlink>
            <w:r w:rsidRPr="00D61F73">
              <w:rPr>
                <w:rFonts w:ascii="Arial" w:hAnsi="Arial" w:cs="Arial"/>
              </w:rPr>
              <w:t xml:space="preserve">) See </w:t>
            </w:r>
            <w:hyperlink w:anchor="Buprenorphine" w:history="1">
              <w:r w:rsidRPr="00D61F73">
                <w:rPr>
                  <w:rStyle w:val="Hyperlink"/>
                  <w:rFonts w:ascii="Arial" w:hAnsi="Arial" w:cs="Arial"/>
                  <w:u w:val="none"/>
                </w:rPr>
                <w:t>Buprenorphine.</w:t>
              </w:r>
            </w:hyperlink>
          </w:p>
        </w:tc>
      </w:tr>
    </w:tbl>
    <w:p w14:paraId="05AB8D10" w14:textId="77777777" w:rsidR="00E90DC7" w:rsidRPr="00D61F73" w:rsidRDefault="00E90DC7" w:rsidP="00D61F73">
      <w:pPr>
        <w:rPr>
          <w:rFonts w:ascii="Arial" w:hAnsi="Arial" w:cs="Arial"/>
        </w:rPr>
      </w:pPr>
    </w:p>
    <w:p w14:paraId="6FA37864" w14:textId="77777777" w:rsidR="000B3E21" w:rsidRPr="00D61F73" w:rsidRDefault="000B3E21" w:rsidP="00D61F73">
      <w:pPr>
        <w:rPr>
          <w:rFonts w:ascii="Arial" w:hAnsi="Arial" w:cs="Arial"/>
        </w:rPr>
      </w:pPr>
    </w:p>
    <w:p w14:paraId="7AB647DC" w14:textId="5FB02650" w:rsidR="0064182F" w:rsidRDefault="0064182F">
      <w:pPr>
        <w:rPr>
          <w:rFonts w:ascii="Arial" w:hAnsi="Arial" w:cs="Arial"/>
        </w:rPr>
      </w:pPr>
      <w:r>
        <w:rPr>
          <w:rFonts w:ascii="Arial" w:hAnsi="Arial" w:cs="Arial"/>
        </w:rPr>
        <w:br w:type="page"/>
      </w:r>
    </w:p>
    <w:p w14:paraId="03BABD7B" w14:textId="77777777" w:rsidR="004412B2" w:rsidRPr="00D61F73" w:rsidRDefault="004412B2" w:rsidP="00D61F73">
      <w:pPr>
        <w:rPr>
          <w:rFonts w:ascii="Arial" w:hAnsi="Arial" w:cs="Arial"/>
        </w:rPr>
      </w:pPr>
    </w:p>
    <w:p w14:paraId="3EFBBE06" w14:textId="77777777" w:rsidR="00345A91" w:rsidRPr="00D61F73" w:rsidRDefault="00345A91" w:rsidP="00D61F73">
      <w:pPr>
        <w:rPr>
          <w:rFonts w:ascii="Arial" w:hAnsi="Arial" w:cs="Arial"/>
        </w:rPr>
      </w:pPr>
      <w:bookmarkStart w:id="405" w:name="SCS_Procedure"/>
      <w:bookmarkStart w:id="406" w:name="HigherPriority"/>
      <w:bookmarkEnd w:id="405"/>
      <w:bookmarkEnd w:id="406"/>
    </w:p>
    <w:p w14:paraId="5AB5B66F" w14:textId="74C3590B" w:rsidR="008D0565" w:rsidRPr="00D61F73" w:rsidRDefault="008D0565" w:rsidP="00D61F73">
      <w:pPr>
        <w:rPr>
          <w:rFonts w:ascii="Arial" w:hAnsi="Arial" w:cs="Arial"/>
          <w:b/>
          <w:bCs/>
          <w:sz w:val="28"/>
          <w:szCs w:val="28"/>
        </w:rPr>
      </w:pPr>
      <w:bookmarkStart w:id="407" w:name="REFERENCES"/>
      <w:r w:rsidRPr="00D61F73">
        <w:rPr>
          <w:rFonts w:ascii="Arial" w:hAnsi="Arial" w:cs="Arial"/>
          <w:b/>
          <w:bCs/>
          <w:sz w:val="28"/>
          <w:szCs w:val="28"/>
        </w:rPr>
        <w:t>R</w:t>
      </w:r>
      <w:r w:rsidR="00A72ADB" w:rsidRPr="00D61F73">
        <w:rPr>
          <w:rFonts w:ascii="Arial" w:hAnsi="Arial" w:cs="Arial"/>
          <w:b/>
          <w:bCs/>
          <w:sz w:val="28"/>
          <w:szCs w:val="28"/>
        </w:rPr>
        <w:t>eferences for High Priority Sections of the Procedure Summary</w:t>
      </w:r>
    </w:p>
    <w:bookmarkEnd w:id="407"/>
    <w:p w14:paraId="08249A64" w14:textId="77777777" w:rsidR="008D0565" w:rsidRPr="00D61F73" w:rsidRDefault="008D0565" w:rsidP="00D61F73">
      <w:pPr>
        <w:rPr>
          <w:rFonts w:ascii="Arial" w:hAnsi="Arial" w:cs="Arial"/>
          <w:b/>
          <w:bCs/>
        </w:rPr>
      </w:pPr>
    </w:p>
    <w:p w14:paraId="7F43AE8A" w14:textId="77777777" w:rsidR="008D0565" w:rsidRPr="00D61F73" w:rsidRDefault="00C02872" w:rsidP="00D61F73">
      <w:pPr>
        <w:rPr>
          <w:rStyle w:val="Hyperlink"/>
          <w:rFonts w:ascii="Arial" w:hAnsi="Arial" w:cs="Arial"/>
        </w:rPr>
      </w:pPr>
      <w:r w:rsidRPr="00D61F73">
        <w:rPr>
          <w:rFonts w:ascii="Arial" w:hAnsi="Arial" w:cs="Arial"/>
        </w:rPr>
        <w:fldChar w:fldCharType="begin"/>
      </w:r>
      <w:r w:rsidRPr="00D61F73">
        <w:rPr>
          <w:rFonts w:ascii="Arial" w:hAnsi="Arial" w:cs="Arial"/>
        </w:rPr>
        <w:instrText xml:space="preserve"> HYPERLINK  \l "BEHAVIORALINTERVENTIONSL" </w:instrText>
      </w:r>
      <w:r w:rsidRPr="00D61F73">
        <w:rPr>
          <w:rFonts w:ascii="Arial" w:hAnsi="Arial" w:cs="Arial"/>
        </w:rPr>
        <w:fldChar w:fldCharType="separate"/>
      </w:r>
      <w:r w:rsidR="008D0565" w:rsidRPr="00D61F73">
        <w:rPr>
          <w:rStyle w:val="Hyperlink"/>
          <w:rFonts w:ascii="Arial" w:hAnsi="Arial" w:cs="Arial"/>
        </w:rPr>
        <w:t>Behavioral Interventions</w:t>
      </w:r>
    </w:p>
    <w:p w14:paraId="628BD785" w14:textId="43292ABD" w:rsidR="008D0565" w:rsidRPr="00BA5AF8" w:rsidRDefault="00C02872" w:rsidP="00D61F73">
      <w:pPr>
        <w:pStyle w:val="Footer"/>
        <w:tabs>
          <w:tab w:val="clear" w:pos="4320"/>
          <w:tab w:val="clear" w:pos="8640"/>
        </w:tabs>
        <w:rPr>
          <w:rStyle w:val="Hyperlink"/>
          <w:rFonts w:ascii="Arial" w:hAnsi="Arial" w:cs="Arial"/>
        </w:rPr>
      </w:pPr>
      <w:r w:rsidRPr="00D61F73">
        <w:rPr>
          <w:rFonts w:ascii="Arial" w:hAnsi="Arial" w:cs="Arial"/>
        </w:rPr>
        <w:fldChar w:fldCharType="end"/>
      </w:r>
      <w:r w:rsidR="00BA5AF8">
        <w:rPr>
          <w:rFonts w:ascii="Arial" w:hAnsi="Arial" w:cs="Arial"/>
        </w:rPr>
        <w:fldChar w:fldCharType="begin"/>
      </w:r>
      <w:r w:rsidR="00BA5AF8">
        <w:rPr>
          <w:rFonts w:ascii="Arial" w:hAnsi="Arial" w:cs="Arial"/>
        </w:rPr>
        <w:instrText xml:space="preserve"> HYPERLINK  \l "COMPLEMENTARYALTERNATIVEMEDICINE" </w:instrText>
      </w:r>
      <w:r w:rsidR="00BA5AF8">
        <w:rPr>
          <w:rFonts w:ascii="Arial" w:hAnsi="Arial" w:cs="Arial"/>
        </w:rPr>
        <w:fldChar w:fldCharType="separate"/>
      </w:r>
      <w:r w:rsidR="008D0565" w:rsidRPr="00BA5AF8">
        <w:rPr>
          <w:rStyle w:val="Hyperlink"/>
          <w:rFonts w:ascii="Arial" w:hAnsi="Arial" w:cs="Arial"/>
        </w:rPr>
        <w:t>Complementary Alternative Medicine</w:t>
      </w:r>
    </w:p>
    <w:p w14:paraId="29D7FF08" w14:textId="11D0822D" w:rsidR="008D0565" w:rsidRPr="00D61F73" w:rsidRDefault="00BA5AF8" w:rsidP="00D61F73">
      <w:pPr>
        <w:rPr>
          <w:rStyle w:val="Hyperlink"/>
          <w:rFonts w:ascii="Arial" w:hAnsi="Arial" w:cs="Arial"/>
        </w:rPr>
      </w:pPr>
      <w:r>
        <w:rPr>
          <w:rFonts w:ascii="Arial" w:hAnsi="Arial" w:cs="Arial"/>
        </w:rPr>
        <w:fldChar w:fldCharType="end"/>
      </w:r>
      <w:hyperlink w:anchor="EARLYRETURNTOWORK" w:history="1">
        <w:r w:rsidR="008D0565" w:rsidRPr="00D61F73">
          <w:rPr>
            <w:rStyle w:val="Hyperlink"/>
            <w:rFonts w:ascii="Arial" w:hAnsi="Arial" w:cs="Arial"/>
          </w:rPr>
          <w:t>Early Return-To-Work</w:t>
        </w:r>
      </w:hyperlink>
    </w:p>
    <w:p w14:paraId="5E5F9718" w14:textId="77777777" w:rsidR="000A2571" w:rsidRPr="00D61F73" w:rsidRDefault="00751163" w:rsidP="00D61F73">
      <w:pPr>
        <w:rPr>
          <w:rFonts w:ascii="Arial" w:hAnsi="Arial" w:cs="Arial"/>
        </w:rPr>
      </w:pPr>
      <w:hyperlink w:anchor="homehealthservicesrefs" w:history="1">
        <w:r w:rsidR="000A2571" w:rsidRPr="00D61F73">
          <w:rPr>
            <w:rStyle w:val="Hyperlink"/>
            <w:rFonts w:ascii="Arial" w:hAnsi="Arial" w:cs="Arial"/>
          </w:rPr>
          <w:t>Home Health Services</w:t>
        </w:r>
      </w:hyperlink>
    </w:p>
    <w:p w14:paraId="14344E9C" w14:textId="77777777" w:rsidR="008D0565" w:rsidRPr="00D61F73" w:rsidRDefault="00751163" w:rsidP="00D61F73">
      <w:pPr>
        <w:rPr>
          <w:rFonts w:ascii="Arial" w:hAnsi="Arial" w:cs="Arial"/>
        </w:rPr>
      </w:pPr>
      <w:hyperlink w:anchor="INJECTIONS" w:history="1">
        <w:r w:rsidR="008D0565" w:rsidRPr="00D61F73">
          <w:rPr>
            <w:rStyle w:val="Hyperlink"/>
            <w:rFonts w:ascii="Arial" w:hAnsi="Arial" w:cs="Arial"/>
          </w:rPr>
          <w:t>Injections</w:t>
        </w:r>
      </w:hyperlink>
    </w:p>
    <w:p w14:paraId="35B876D0" w14:textId="77777777" w:rsidR="008D0565" w:rsidRPr="00D61F73" w:rsidRDefault="00751163" w:rsidP="00D61F73">
      <w:pPr>
        <w:rPr>
          <w:rFonts w:ascii="Arial" w:hAnsi="Arial" w:cs="Arial"/>
        </w:rPr>
      </w:pPr>
      <w:hyperlink w:anchor="MEDICALTREATMENTGUIDELINES" w:history="1">
        <w:r w:rsidR="008D0565" w:rsidRPr="00D61F73">
          <w:rPr>
            <w:rStyle w:val="Hyperlink"/>
            <w:rFonts w:ascii="Arial" w:hAnsi="Arial" w:cs="Arial"/>
          </w:rPr>
          <w:t>Medical Treatment Guidelines</w:t>
        </w:r>
      </w:hyperlink>
    </w:p>
    <w:p w14:paraId="00B2CFA0" w14:textId="77777777" w:rsidR="008D0565" w:rsidRPr="00D61F73" w:rsidRDefault="00751163" w:rsidP="00D61F73">
      <w:pPr>
        <w:rPr>
          <w:rFonts w:ascii="Arial" w:hAnsi="Arial" w:cs="Arial"/>
        </w:rPr>
      </w:pPr>
      <w:hyperlink w:anchor="MEDICATIONSL" w:history="1">
        <w:r w:rsidR="008D0565" w:rsidRPr="00D61F73">
          <w:rPr>
            <w:rStyle w:val="Hyperlink"/>
            <w:rFonts w:ascii="Arial" w:hAnsi="Arial" w:cs="Arial"/>
          </w:rPr>
          <w:t>Medications</w:t>
        </w:r>
      </w:hyperlink>
    </w:p>
    <w:p w14:paraId="66D3DA3B" w14:textId="77777777" w:rsidR="008D0565" w:rsidRPr="00D61F73" w:rsidRDefault="00751163" w:rsidP="00D61F73">
      <w:pPr>
        <w:rPr>
          <w:rFonts w:ascii="Arial" w:hAnsi="Arial" w:cs="Arial"/>
        </w:rPr>
      </w:pPr>
      <w:hyperlink w:anchor="PAINASSESSMENTANDMANAGEMENT" w:history="1">
        <w:r w:rsidR="008D0565" w:rsidRPr="00D61F73">
          <w:rPr>
            <w:rStyle w:val="Hyperlink"/>
            <w:rFonts w:ascii="Arial" w:hAnsi="Arial" w:cs="Arial"/>
          </w:rPr>
          <w:t>Pain – Assessment and Management</w:t>
        </w:r>
      </w:hyperlink>
    </w:p>
    <w:p w14:paraId="6867F09C" w14:textId="77777777" w:rsidR="008D0565" w:rsidRPr="00D61F73" w:rsidRDefault="00751163" w:rsidP="00D61F73">
      <w:pPr>
        <w:rPr>
          <w:rFonts w:ascii="Arial" w:hAnsi="Arial" w:cs="Arial"/>
        </w:rPr>
      </w:pPr>
      <w:hyperlink w:anchor="PAINCHRONIC" w:history="1">
        <w:r w:rsidR="008D0565" w:rsidRPr="00D61F73">
          <w:rPr>
            <w:rStyle w:val="Hyperlink"/>
            <w:rFonts w:ascii="Arial" w:hAnsi="Arial" w:cs="Arial"/>
          </w:rPr>
          <w:t>Pain – Chronic</w:t>
        </w:r>
      </w:hyperlink>
    </w:p>
    <w:p w14:paraId="76867A8B" w14:textId="77777777" w:rsidR="008D0565" w:rsidRPr="00D61F73" w:rsidRDefault="00751163" w:rsidP="00D61F73">
      <w:pPr>
        <w:rPr>
          <w:rFonts w:ascii="Arial" w:hAnsi="Arial" w:cs="Arial"/>
        </w:rPr>
      </w:pPr>
      <w:hyperlink w:anchor="PAINMISCELLANEOUS" w:history="1">
        <w:r w:rsidR="008D0565" w:rsidRPr="00D61F73">
          <w:rPr>
            <w:rStyle w:val="Hyperlink"/>
            <w:rFonts w:ascii="Arial" w:hAnsi="Arial" w:cs="Arial"/>
          </w:rPr>
          <w:t>Pain – Miscellaneous</w:t>
        </w:r>
      </w:hyperlink>
    </w:p>
    <w:p w14:paraId="20181997" w14:textId="77777777" w:rsidR="008D0565" w:rsidRPr="00D61F73" w:rsidRDefault="00751163" w:rsidP="00D61F73">
      <w:pPr>
        <w:rPr>
          <w:rFonts w:ascii="Arial" w:hAnsi="Arial" w:cs="Arial"/>
        </w:rPr>
      </w:pPr>
      <w:hyperlink w:anchor="PSYCHOSOCIALEVALUATIONANDTREATMENT" w:history="1">
        <w:r w:rsidR="008D0565" w:rsidRPr="00D61F73">
          <w:rPr>
            <w:rStyle w:val="Hyperlink"/>
            <w:rFonts w:ascii="Arial" w:hAnsi="Arial" w:cs="Arial"/>
          </w:rPr>
          <w:t>Psychosocial Evaluation and Treatment</w:t>
        </w:r>
      </w:hyperlink>
    </w:p>
    <w:p w14:paraId="579A6955" w14:textId="77777777" w:rsidR="008D0565" w:rsidRPr="00D61F73" w:rsidRDefault="00751163" w:rsidP="00D61F73">
      <w:pPr>
        <w:rPr>
          <w:rFonts w:ascii="Arial" w:hAnsi="Arial" w:cs="Arial"/>
        </w:rPr>
      </w:pPr>
      <w:hyperlink w:anchor="REFLEXSYMPATHETICDYSTROPHYCOMPLEXRE" w:history="1">
        <w:r w:rsidR="008D0565" w:rsidRPr="00D61F73">
          <w:rPr>
            <w:rStyle w:val="Hyperlink"/>
            <w:rFonts w:ascii="Arial" w:hAnsi="Arial" w:cs="Arial"/>
          </w:rPr>
          <w:t>Reflex Sympathetic Dystrophy/ Complex Regional Pain Syndrome</w:t>
        </w:r>
      </w:hyperlink>
    </w:p>
    <w:p w14:paraId="59C7B38D" w14:textId="54D7B225" w:rsidR="008D0565" w:rsidRPr="00BA5AF8" w:rsidRDefault="00BA5AF8" w:rsidP="00D61F73">
      <w:pPr>
        <w:rPr>
          <w:rStyle w:val="Hyperlink"/>
          <w:rFonts w:ascii="Arial" w:hAnsi="Arial" w:cs="Arial"/>
        </w:rPr>
      </w:pPr>
      <w:r>
        <w:rPr>
          <w:rFonts w:ascii="Arial" w:hAnsi="Arial" w:cs="Arial"/>
        </w:rPr>
        <w:fldChar w:fldCharType="begin"/>
      </w:r>
      <w:r>
        <w:rPr>
          <w:rFonts w:ascii="Arial" w:hAnsi="Arial" w:cs="Arial"/>
        </w:rPr>
        <w:instrText xml:space="preserve"> HYPERLINK  \l "THERAPEUTICINTERVENTION" </w:instrText>
      </w:r>
      <w:r>
        <w:rPr>
          <w:rFonts w:ascii="Arial" w:hAnsi="Arial" w:cs="Arial"/>
        </w:rPr>
        <w:fldChar w:fldCharType="separate"/>
      </w:r>
      <w:r w:rsidR="008D0565" w:rsidRPr="00BA5AF8">
        <w:rPr>
          <w:rStyle w:val="Hyperlink"/>
          <w:rFonts w:ascii="Arial" w:hAnsi="Arial" w:cs="Arial"/>
        </w:rPr>
        <w:t>Therapeutic Intervention</w:t>
      </w:r>
    </w:p>
    <w:p w14:paraId="5D40019C" w14:textId="0C442432" w:rsidR="008D0565" w:rsidRPr="00D61F73" w:rsidRDefault="00BA5AF8" w:rsidP="00D61F73">
      <w:pPr>
        <w:rPr>
          <w:rFonts w:ascii="Arial" w:hAnsi="Arial" w:cs="Arial"/>
        </w:rPr>
      </w:pPr>
      <w:r>
        <w:rPr>
          <w:rFonts w:ascii="Arial" w:hAnsi="Arial" w:cs="Arial"/>
        </w:rPr>
        <w:fldChar w:fldCharType="end"/>
      </w:r>
      <w:hyperlink w:anchor="SPINALCORDSTIMULATION" w:history="1">
        <w:r w:rsidR="008D0565" w:rsidRPr="00D61F73">
          <w:rPr>
            <w:rStyle w:val="Hyperlink"/>
            <w:rFonts w:ascii="Arial" w:hAnsi="Arial" w:cs="Arial"/>
          </w:rPr>
          <w:t>Spinal Cord Stimulation</w:t>
        </w:r>
      </w:hyperlink>
    </w:p>
    <w:p w14:paraId="7B8AB242" w14:textId="77777777" w:rsidR="008D0565" w:rsidRPr="00D61F73" w:rsidRDefault="008D0565" w:rsidP="00D61F73">
      <w:pPr>
        <w:rPr>
          <w:rFonts w:ascii="Arial" w:hAnsi="Arial" w:cs="Arial"/>
          <w:b/>
          <w:bCs/>
          <w:sz w:val="28"/>
          <w:szCs w:val="28"/>
        </w:rPr>
      </w:pPr>
    </w:p>
    <w:p w14:paraId="12E58018" w14:textId="77777777" w:rsidR="008D0565" w:rsidRPr="00D61F73" w:rsidRDefault="008D0565" w:rsidP="00D61F73">
      <w:pPr>
        <w:rPr>
          <w:rFonts w:ascii="Arial" w:hAnsi="Arial" w:cs="Arial"/>
          <w:b/>
          <w:bCs/>
        </w:rPr>
      </w:pPr>
      <w:r w:rsidRPr="00D61F73">
        <w:rPr>
          <w:rFonts w:ascii="Arial" w:hAnsi="Arial" w:cs="Arial"/>
          <w:b/>
          <w:bCs/>
        </w:rPr>
        <w:t>B</w:t>
      </w:r>
      <w:bookmarkStart w:id="408" w:name="BEHAVIORALINTERVENTIONSL"/>
      <w:bookmarkEnd w:id="408"/>
      <w:r w:rsidRPr="00D61F73">
        <w:rPr>
          <w:rFonts w:ascii="Arial" w:hAnsi="Arial" w:cs="Arial"/>
          <w:b/>
          <w:bCs/>
        </w:rPr>
        <w:t>EHAVIORAL INTERVENTIONS</w:t>
      </w:r>
    </w:p>
    <w:p w14:paraId="096FE4C6" w14:textId="77777777" w:rsidR="008D0565" w:rsidRPr="00D61F73" w:rsidRDefault="008D0565" w:rsidP="00D61F73">
      <w:pPr>
        <w:rPr>
          <w:rFonts w:ascii="Arial" w:hAnsi="Arial" w:cs="Arial"/>
          <w:b/>
          <w:bCs/>
        </w:rPr>
      </w:pPr>
    </w:p>
    <w:p w14:paraId="24A8416B" w14:textId="77777777" w:rsidR="008D0565" w:rsidRPr="00D61F73" w:rsidRDefault="00751163" w:rsidP="00D61F73">
      <w:pPr>
        <w:rPr>
          <w:rFonts w:ascii="Arial" w:hAnsi="Arial" w:cs="Arial"/>
        </w:rPr>
      </w:pPr>
      <w:hyperlink w:anchor="Aetna" w:history="1">
        <w:r w:rsidR="008D0565" w:rsidRPr="00D61F73">
          <w:rPr>
            <w:rStyle w:val="Hyperlink"/>
            <w:rFonts w:ascii="Arial" w:hAnsi="Arial" w:cs="Arial"/>
          </w:rPr>
          <w:t>Aetna Clinical Policy Bulletins.</w:t>
        </w:r>
      </w:hyperlink>
      <w:r w:rsidR="008D0565" w:rsidRPr="00D61F73">
        <w:rPr>
          <w:rFonts w:ascii="Arial" w:hAnsi="Arial" w:cs="Arial"/>
        </w:rPr>
        <w:t xml:space="preserve"> Chronic Pain Programs Number 0237. Reviewed: May 5, 2006</w:t>
      </w:r>
    </w:p>
    <w:p w14:paraId="65E27644" w14:textId="77777777" w:rsidR="008D0565" w:rsidRPr="00D61F73" w:rsidRDefault="008D0565" w:rsidP="00D61F73">
      <w:pPr>
        <w:rPr>
          <w:rFonts w:ascii="Arial" w:hAnsi="Arial" w:cs="Arial"/>
        </w:rPr>
      </w:pPr>
    </w:p>
    <w:p w14:paraId="3BE00B16" w14:textId="77777777" w:rsidR="008D0565" w:rsidRPr="00D61F73" w:rsidRDefault="00751163" w:rsidP="00D61F73">
      <w:pPr>
        <w:pStyle w:val="NormalWeb"/>
        <w:spacing w:before="0" w:beforeAutospacing="0" w:after="0" w:afterAutospacing="0"/>
        <w:rPr>
          <w:rFonts w:ascii="Arial" w:hAnsi="Arial" w:cs="Arial"/>
        </w:rPr>
      </w:pPr>
      <w:hyperlink w:anchor="Altmaier" w:history="1">
        <w:r w:rsidR="008D0565" w:rsidRPr="00D61F73">
          <w:rPr>
            <w:rStyle w:val="Hyperlink"/>
            <w:rFonts w:ascii="Arial" w:hAnsi="Arial" w:cs="Arial"/>
          </w:rPr>
          <w:t>Altmaier EM, Lehmann TR, Russell DW, Weinstein JN, Kao CF</w:t>
        </w:r>
      </w:hyperlink>
      <w:r w:rsidR="008D0565" w:rsidRPr="00D61F73">
        <w:rPr>
          <w:rFonts w:ascii="Arial" w:hAnsi="Arial" w:cs="Arial"/>
        </w:rPr>
        <w:t xml:space="preserve">. The effectiveness of psychological interventions for the rehabilitation of low back pain: a randomized controlled trial evaluation. </w:t>
      </w:r>
      <w:r w:rsidR="008D0565" w:rsidRPr="00D61F73">
        <w:rPr>
          <w:rFonts w:ascii="Arial" w:hAnsi="Arial" w:cs="Arial"/>
          <w:i/>
          <w:iCs/>
        </w:rPr>
        <w:t>Pain</w:t>
      </w:r>
      <w:r w:rsidR="008D0565" w:rsidRPr="00D61F73">
        <w:rPr>
          <w:rFonts w:ascii="Arial" w:hAnsi="Arial" w:cs="Arial"/>
        </w:rPr>
        <w:t>. 1992 Jun;49(3):329-35.</w:t>
      </w:r>
    </w:p>
    <w:p w14:paraId="1D16128D" w14:textId="77777777" w:rsidR="007B598C" w:rsidRPr="00D61F73" w:rsidRDefault="007B598C" w:rsidP="00D61F73">
      <w:pPr>
        <w:pStyle w:val="NormalWeb"/>
        <w:spacing w:before="0" w:beforeAutospacing="0" w:after="0" w:afterAutospacing="0"/>
        <w:rPr>
          <w:rFonts w:ascii="Arial" w:hAnsi="Arial" w:cs="Arial"/>
        </w:rPr>
      </w:pPr>
    </w:p>
    <w:p w14:paraId="72D2709A" w14:textId="77777777" w:rsidR="007B598C" w:rsidRPr="00D61F73" w:rsidRDefault="00751163" w:rsidP="00D61F73">
      <w:pPr>
        <w:autoSpaceDE w:val="0"/>
        <w:autoSpaceDN w:val="0"/>
        <w:adjustRightInd w:val="0"/>
        <w:rPr>
          <w:rFonts w:ascii="Arial" w:hAnsi="Arial" w:cs="Arial"/>
        </w:rPr>
      </w:pPr>
      <w:hyperlink w:anchor="APTA" w:history="1">
        <w:r w:rsidR="007B598C" w:rsidRPr="00D61F73">
          <w:rPr>
            <w:rStyle w:val="Hyperlink"/>
            <w:rFonts w:ascii="Arial" w:hAnsi="Arial" w:cs="Arial"/>
          </w:rPr>
          <w:t>American Physical Therapy Association(APTA). Orthopaedic Section BOD.</w:t>
        </w:r>
      </w:hyperlink>
      <w:r w:rsidR="007B598C" w:rsidRPr="00D61F73">
        <w:rPr>
          <w:rFonts w:ascii="Arial" w:hAnsi="Arial" w:cs="Arial"/>
        </w:rPr>
        <w:t xml:space="preserve"> </w:t>
      </w:r>
      <w:r w:rsidR="007B598C" w:rsidRPr="00D61F73">
        <w:rPr>
          <w:rFonts w:ascii="Arial" w:hAnsi="Arial" w:cs="Arial"/>
          <w:i/>
        </w:rPr>
        <w:t>Occupational Health Physical Therapy: Evaluating Functional Capacity Guidelines</w:t>
      </w:r>
      <w:r w:rsidR="007B598C" w:rsidRPr="00D61F73">
        <w:rPr>
          <w:rFonts w:ascii="Arial" w:hAnsi="Arial" w:cs="Arial"/>
        </w:rPr>
        <w:t>. 2011.</w:t>
      </w:r>
    </w:p>
    <w:p w14:paraId="0E36CBCB" w14:textId="77777777" w:rsidR="008D0565" w:rsidRPr="00D61F73" w:rsidRDefault="008D0565" w:rsidP="00D61F73">
      <w:pPr>
        <w:pStyle w:val="Footer"/>
        <w:tabs>
          <w:tab w:val="clear" w:pos="4320"/>
          <w:tab w:val="clear" w:pos="8640"/>
        </w:tabs>
        <w:rPr>
          <w:rFonts w:ascii="Arial" w:hAnsi="Arial" w:cs="Arial"/>
        </w:rPr>
      </w:pPr>
    </w:p>
    <w:p w14:paraId="6734EA5C" w14:textId="77777777" w:rsidR="008D0565" w:rsidRPr="00D61F73" w:rsidRDefault="00751163" w:rsidP="00D61F73">
      <w:pPr>
        <w:pStyle w:val="NormalWeb"/>
        <w:spacing w:before="0" w:beforeAutospacing="0" w:after="0" w:afterAutospacing="0"/>
        <w:rPr>
          <w:rFonts w:ascii="Arial" w:hAnsi="Arial" w:cs="Arial"/>
        </w:rPr>
      </w:pPr>
      <w:hyperlink w:anchor="Asfour" w:history="1">
        <w:r w:rsidR="008D0565" w:rsidRPr="00D61F73">
          <w:rPr>
            <w:rStyle w:val="Hyperlink"/>
            <w:rFonts w:ascii="Arial" w:hAnsi="Arial" w:cs="Arial"/>
          </w:rPr>
          <w:t>Asfour SS, Khalil TM, Waly SM, Goldberg ML, Rosomoff RS, Rosomoff HL</w:t>
        </w:r>
      </w:hyperlink>
      <w:r w:rsidR="008D0565" w:rsidRPr="00D61F73">
        <w:rPr>
          <w:rFonts w:ascii="Arial" w:hAnsi="Arial" w:cs="Arial"/>
        </w:rPr>
        <w:t xml:space="preserve">. Biofeedback in back muscle strengthening. </w:t>
      </w:r>
      <w:r w:rsidR="008D0565" w:rsidRPr="00D61F73">
        <w:rPr>
          <w:rFonts w:ascii="Arial" w:hAnsi="Arial" w:cs="Arial"/>
          <w:i/>
          <w:iCs/>
        </w:rPr>
        <w:t>Spine</w:t>
      </w:r>
      <w:r w:rsidR="008D0565" w:rsidRPr="00D61F73">
        <w:rPr>
          <w:rFonts w:ascii="Arial" w:hAnsi="Arial" w:cs="Arial"/>
        </w:rPr>
        <w:t>. 1990 Jun;15(6):510-3.</w:t>
      </w:r>
    </w:p>
    <w:p w14:paraId="740FAD6D" w14:textId="77777777" w:rsidR="008D0565" w:rsidRPr="00D61F73" w:rsidRDefault="008D0565" w:rsidP="00D61F73">
      <w:pPr>
        <w:pStyle w:val="Footer"/>
        <w:tabs>
          <w:tab w:val="clear" w:pos="4320"/>
          <w:tab w:val="clear" w:pos="8640"/>
        </w:tabs>
        <w:rPr>
          <w:rFonts w:ascii="Arial" w:hAnsi="Arial" w:cs="Arial"/>
        </w:rPr>
      </w:pPr>
    </w:p>
    <w:p w14:paraId="187D1EEB" w14:textId="77777777" w:rsidR="008D0565" w:rsidRPr="00D61F73" w:rsidRDefault="00751163" w:rsidP="00D61F73">
      <w:pPr>
        <w:pStyle w:val="Footer"/>
        <w:tabs>
          <w:tab w:val="clear" w:pos="4320"/>
          <w:tab w:val="clear" w:pos="8640"/>
        </w:tabs>
        <w:rPr>
          <w:rFonts w:ascii="Arial" w:hAnsi="Arial" w:cs="Arial"/>
        </w:rPr>
      </w:pPr>
      <w:hyperlink w:anchor="Bendix" w:history="1">
        <w:r w:rsidR="008D0565" w:rsidRPr="00D61F73">
          <w:rPr>
            <w:rStyle w:val="Hyperlink"/>
            <w:rFonts w:ascii="Arial" w:hAnsi="Arial" w:cs="Arial"/>
            <w:lang w:val="fr-FR"/>
          </w:rPr>
          <w:t>Bendix AF, Bendix T, Labriola M, Boekgaard P</w:t>
        </w:r>
      </w:hyperlink>
      <w:r w:rsidR="008D0565" w:rsidRPr="00D61F73">
        <w:rPr>
          <w:rFonts w:ascii="Arial" w:hAnsi="Arial" w:cs="Arial"/>
          <w:lang w:val="fr-FR"/>
        </w:rPr>
        <w:t xml:space="preserve">. </w:t>
      </w:r>
      <w:r w:rsidR="008D0565" w:rsidRPr="00D61F73">
        <w:rPr>
          <w:rFonts w:ascii="Arial" w:hAnsi="Arial" w:cs="Arial"/>
        </w:rPr>
        <w:t xml:space="preserve">Functional restoration for chronic low back pain. Two-year follow-up of two randomized clinical trials. </w:t>
      </w:r>
      <w:r w:rsidR="008D0565" w:rsidRPr="00D61F73">
        <w:rPr>
          <w:rFonts w:ascii="Arial" w:hAnsi="Arial" w:cs="Arial"/>
          <w:i/>
        </w:rPr>
        <w:t>Spine</w:t>
      </w:r>
      <w:r w:rsidR="008D0565" w:rsidRPr="00D61F73">
        <w:rPr>
          <w:rFonts w:ascii="Arial" w:hAnsi="Arial" w:cs="Arial"/>
        </w:rPr>
        <w:t>.1998 Mar 15;23(6):717-25.</w:t>
      </w:r>
    </w:p>
    <w:p w14:paraId="1317DBA4" w14:textId="77777777" w:rsidR="008D0565" w:rsidRPr="00D61F73" w:rsidRDefault="008D0565" w:rsidP="00D61F73">
      <w:pPr>
        <w:pStyle w:val="Footer"/>
        <w:tabs>
          <w:tab w:val="clear" w:pos="4320"/>
          <w:tab w:val="clear" w:pos="8640"/>
        </w:tabs>
        <w:rPr>
          <w:rFonts w:ascii="Arial" w:hAnsi="Arial" w:cs="Arial"/>
        </w:rPr>
      </w:pPr>
    </w:p>
    <w:p w14:paraId="1551D3E2" w14:textId="77777777" w:rsidR="008D0565" w:rsidRPr="00D61F73" w:rsidRDefault="00751163" w:rsidP="00D61F73">
      <w:pPr>
        <w:rPr>
          <w:rFonts w:ascii="Arial" w:hAnsi="Arial" w:cs="Arial"/>
        </w:rPr>
      </w:pPr>
      <w:hyperlink w:anchor="BlueCrossBlueShield96" w:history="1">
        <w:r w:rsidR="008D0565" w:rsidRPr="00D61F73">
          <w:rPr>
            <w:rStyle w:val="Hyperlink"/>
            <w:rFonts w:ascii="Arial" w:hAnsi="Arial" w:cs="Arial"/>
          </w:rPr>
          <w:t>BlueCross BlueShield</w:t>
        </w:r>
      </w:hyperlink>
      <w:r w:rsidR="008D0565" w:rsidRPr="00D61F73">
        <w:rPr>
          <w:rFonts w:ascii="Arial" w:hAnsi="Arial" w:cs="Arial"/>
        </w:rPr>
        <w:t>. Utilization Management Section - Pain Rehabilitation Programs. Policy No: 5, Effective Date: 06/01/2004</w:t>
      </w:r>
    </w:p>
    <w:p w14:paraId="7F3A4C81" w14:textId="77777777" w:rsidR="008D0565" w:rsidRPr="00D61F73" w:rsidRDefault="008D0565" w:rsidP="00D61F73">
      <w:pPr>
        <w:rPr>
          <w:rFonts w:ascii="Arial" w:hAnsi="Arial" w:cs="Arial"/>
        </w:rPr>
      </w:pPr>
    </w:p>
    <w:p w14:paraId="7A95F509" w14:textId="77777777" w:rsidR="008D0565" w:rsidRPr="00D61F73" w:rsidRDefault="00751163" w:rsidP="00D61F73">
      <w:pPr>
        <w:rPr>
          <w:rFonts w:ascii="Arial" w:hAnsi="Arial" w:cs="Arial"/>
        </w:rPr>
      </w:pPr>
      <w:hyperlink w:anchor="BlueCrossBlueShield98" w:history="1">
        <w:r w:rsidR="008D0565" w:rsidRPr="00D61F73">
          <w:rPr>
            <w:rStyle w:val="Hyperlink"/>
            <w:rFonts w:ascii="Arial" w:hAnsi="Arial" w:cs="Arial"/>
          </w:rPr>
          <w:t>BlueCross BlueShield</w:t>
        </w:r>
      </w:hyperlink>
      <w:r w:rsidR="008D0565" w:rsidRPr="00D61F73">
        <w:rPr>
          <w:rFonts w:ascii="Arial" w:hAnsi="Arial" w:cs="Arial"/>
        </w:rPr>
        <w:t>. Allied Health - Biofeedback as a Treatment of Chronic Pain. Policy No: 28. Effective Date: 08/03/2004</w:t>
      </w:r>
    </w:p>
    <w:p w14:paraId="65E643FE" w14:textId="77777777" w:rsidR="008D0565" w:rsidRPr="00D61F73" w:rsidRDefault="008D0565" w:rsidP="00D61F73">
      <w:pPr>
        <w:rPr>
          <w:rFonts w:ascii="Arial" w:hAnsi="Arial" w:cs="Arial"/>
        </w:rPr>
      </w:pPr>
    </w:p>
    <w:p w14:paraId="4DCB4C80" w14:textId="77777777" w:rsidR="008D0565" w:rsidRPr="00D61F73" w:rsidRDefault="00751163" w:rsidP="00D61F73">
      <w:pPr>
        <w:rPr>
          <w:rFonts w:ascii="Arial" w:hAnsi="Arial" w:cs="Arial"/>
        </w:rPr>
      </w:pPr>
      <w:hyperlink w:anchor="McKee" w:history="1">
        <w:r w:rsidR="008D0565" w:rsidRPr="00D61F73">
          <w:rPr>
            <w:rStyle w:val="Hyperlink"/>
            <w:rFonts w:ascii="Arial" w:hAnsi="Arial" w:cs="Arial"/>
          </w:rPr>
          <w:t>Bigos SJ, McKee JE, Holland JP, Holland CL, Hildebrandt J</w:t>
        </w:r>
      </w:hyperlink>
      <w:r w:rsidR="008D0565" w:rsidRPr="00D61F73">
        <w:rPr>
          <w:rFonts w:ascii="Arial" w:hAnsi="Arial" w:cs="Arial"/>
        </w:rPr>
        <w:t>. Back pain, the uncomfortable truth - assurance and activity problem. Schmerz 2001 Dec;15(6):430-4.</w:t>
      </w:r>
    </w:p>
    <w:p w14:paraId="0B42B38E" w14:textId="77777777" w:rsidR="008D0565" w:rsidRPr="00D61F73" w:rsidRDefault="008D0565" w:rsidP="00D61F73">
      <w:pPr>
        <w:rPr>
          <w:rFonts w:ascii="Arial" w:eastAsia="Arial Unicode MS" w:hAnsi="Arial" w:cs="Arial"/>
          <w:color w:val="auto"/>
        </w:rPr>
      </w:pPr>
    </w:p>
    <w:p w14:paraId="18EEF507" w14:textId="77777777" w:rsidR="008D0565" w:rsidRPr="00D61F73" w:rsidRDefault="00751163" w:rsidP="00D61F73">
      <w:pPr>
        <w:rPr>
          <w:rFonts w:ascii="Arial" w:eastAsia="Arial Unicode MS" w:hAnsi="Arial" w:cs="Arial"/>
          <w:color w:val="auto"/>
        </w:rPr>
      </w:pPr>
      <w:hyperlink w:anchor="Busch" w:history="1">
        <w:r w:rsidR="008D0565" w:rsidRPr="00D61F73">
          <w:rPr>
            <w:rStyle w:val="Hyperlink"/>
            <w:rFonts w:ascii="Arial" w:eastAsia="Arial Unicode MS" w:hAnsi="Arial" w:cs="Arial"/>
          </w:rPr>
          <w:t>Busch AJ, Barber KA, Overend TJ, Peloso PM, Schachter CL</w:t>
        </w:r>
      </w:hyperlink>
      <w:r w:rsidR="008D0565" w:rsidRPr="00D61F73">
        <w:rPr>
          <w:rFonts w:ascii="Arial" w:eastAsia="Arial Unicode MS" w:hAnsi="Arial" w:cs="Arial"/>
          <w:color w:val="auto"/>
        </w:rPr>
        <w:t xml:space="preserve">. Exercise for treating fibromyalgia syndrome. </w:t>
      </w:r>
      <w:r w:rsidR="008D0565" w:rsidRPr="00D61F73">
        <w:rPr>
          <w:rFonts w:ascii="Arial" w:eastAsia="Arial Unicode MS" w:hAnsi="Arial" w:cs="Arial"/>
          <w:i/>
          <w:iCs/>
          <w:color w:val="auto"/>
        </w:rPr>
        <w:t>Cochrane Database Syst Rev</w:t>
      </w:r>
      <w:r w:rsidR="008D0565" w:rsidRPr="00D61F73">
        <w:rPr>
          <w:rFonts w:ascii="Arial" w:eastAsia="Arial Unicode MS" w:hAnsi="Arial" w:cs="Arial"/>
          <w:color w:val="auto"/>
        </w:rPr>
        <w:t>. 2007 Oct 17;(4):CD003786.</w:t>
      </w:r>
    </w:p>
    <w:p w14:paraId="223AC7FD" w14:textId="77777777" w:rsidR="008D0565" w:rsidRPr="00D61F73" w:rsidRDefault="008D0565" w:rsidP="00D61F73">
      <w:pPr>
        <w:rPr>
          <w:rFonts w:ascii="Arial" w:eastAsia="Arial Unicode MS" w:hAnsi="Arial" w:cs="Arial"/>
          <w:color w:val="auto"/>
        </w:rPr>
      </w:pPr>
    </w:p>
    <w:p w14:paraId="44170276" w14:textId="77777777" w:rsidR="008D0565" w:rsidRPr="00D61F73" w:rsidRDefault="00751163" w:rsidP="00D61F73">
      <w:pPr>
        <w:rPr>
          <w:rFonts w:ascii="Arial" w:eastAsia="Arial Unicode MS" w:hAnsi="Arial" w:cs="Arial"/>
          <w:color w:val="auto"/>
        </w:rPr>
      </w:pPr>
      <w:hyperlink w:anchor="Bush" w:history="1">
        <w:r w:rsidR="008D0565" w:rsidRPr="00D61F73">
          <w:rPr>
            <w:rStyle w:val="Hyperlink"/>
            <w:rFonts w:ascii="Arial" w:eastAsia="Arial Unicode MS" w:hAnsi="Arial" w:cs="Arial"/>
          </w:rPr>
          <w:t>Bush C, Ditto B, Feuerstein M</w:t>
        </w:r>
      </w:hyperlink>
      <w:r w:rsidR="008D0565" w:rsidRPr="00D61F73">
        <w:rPr>
          <w:rFonts w:ascii="Arial" w:eastAsia="Arial Unicode MS" w:hAnsi="Arial" w:cs="Arial"/>
          <w:color w:val="auto"/>
        </w:rPr>
        <w:t xml:space="preserve">. A controlled evaluation of paraspinal EMG biofeedback in the treatment of chronic low back pain. </w:t>
      </w:r>
      <w:r w:rsidR="008D0565" w:rsidRPr="00D61F73">
        <w:rPr>
          <w:rFonts w:ascii="Arial" w:eastAsia="Arial Unicode MS" w:hAnsi="Arial" w:cs="Arial"/>
          <w:i/>
          <w:iCs/>
          <w:color w:val="auto"/>
        </w:rPr>
        <w:t>Health Psychol.</w:t>
      </w:r>
      <w:r w:rsidR="008D0565" w:rsidRPr="00D61F73">
        <w:rPr>
          <w:rFonts w:ascii="Arial" w:eastAsia="Arial Unicode MS" w:hAnsi="Arial" w:cs="Arial"/>
          <w:color w:val="auto"/>
        </w:rPr>
        <w:t xml:space="preserve"> 1985;4(4):307-21.</w:t>
      </w:r>
    </w:p>
    <w:p w14:paraId="41C642A2" w14:textId="77777777" w:rsidR="008D0565" w:rsidRPr="00D61F73" w:rsidRDefault="008D0565" w:rsidP="00D61F73">
      <w:pPr>
        <w:rPr>
          <w:rFonts w:ascii="Arial" w:hAnsi="Arial" w:cs="Arial"/>
          <w:b/>
          <w:bCs/>
        </w:rPr>
      </w:pPr>
    </w:p>
    <w:p w14:paraId="6DF70B8D" w14:textId="77777777" w:rsidR="008D0565" w:rsidRPr="00D61F73" w:rsidRDefault="00751163" w:rsidP="00D61F73">
      <w:pPr>
        <w:pStyle w:val="NormalWeb"/>
        <w:spacing w:before="0" w:beforeAutospacing="0" w:after="0" w:afterAutospacing="0"/>
        <w:rPr>
          <w:rFonts w:ascii="Arial" w:hAnsi="Arial" w:cs="Arial"/>
        </w:rPr>
      </w:pPr>
      <w:hyperlink w:anchor="Croce" w:history="1">
        <w:r w:rsidR="008D0565" w:rsidRPr="00D61F73">
          <w:rPr>
            <w:rStyle w:val="Hyperlink"/>
            <w:rFonts w:ascii="Arial" w:hAnsi="Arial" w:cs="Arial"/>
          </w:rPr>
          <w:t>Croce RV</w:t>
        </w:r>
      </w:hyperlink>
      <w:r w:rsidR="008D0565" w:rsidRPr="00D61F73">
        <w:rPr>
          <w:rFonts w:ascii="Arial" w:hAnsi="Arial" w:cs="Arial"/>
        </w:rPr>
        <w:t xml:space="preserve">. The effects of EMG biofeedback on strength acquisition. </w:t>
      </w:r>
      <w:r w:rsidR="008D0565" w:rsidRPr="00D61F73">
        <w:rPr>
          <w:rFonts w:ascii="Arial" w:hAnsi="Arial" w:cs="Arial"/>
          <w:i/>
          <w:iCs/>
        </w:rPr>
        <w:t>Biofeedback Self Regul</w:t>
      </w:r>
      <w:r w:rsidR="008D0565" w:rsidRPr="00D61F73">
        <w:rPr>
          <w:rFonts w:ascii="Arial" w:hAnsi="Arial" w:cs="Arial"/>
        </w:rPr>
        <w:t>. 1986 Dec;11(4):299-310.</w:t>
      </w:r>
    </w:p>
    <w:p w14:paraId="39832419" w14:textId="77777777" w:rsidR="008D0565" w:rsidRPr="00D61F73" w:rsidRDefault="008D0565" w:rsidP="00D61F73">
      <w:pPr>
        <w:rPr>
          <w:rFonts w:ascii="Arial" w:hAnsi="Arial" w:cs="Arial"/>
        </w:rPr>
      </w:pPr>
    </w:p>
    <w:p w14:paraId="770CA0EE" w14:textId="77777777" w:rsidR="008D0565" w:rsidRPr="00D61F73" w:rsidRDefault="00751163" w:rsidP="00D61F73">
      <w:pPr>
        <w:pStyle w:val="NormalWeb"/>
        <w:spacing w:before="0" w:beforeAutospacing="0" w:after="0" w:afterAutospacing="0"/>
        <w:rPr>
          <w:rFonts w:ascii="Arial" w:hAnsi="Arial" w:cs="Arial"/>
        </w:rPr>
      </w:pPr>
      <w:hyperlink w:anchor="Dysvik" w:history="1">
        <w:r w:rsidR="008D0565" w:rsidRPr="00D61F73">
          <w:rPr>
            <w:rStyle w:val="Hyperlink"/>
            <w:rFonts w:ascii="Arial" w:hAnsi="Arial" w:cs="Arial"/>
          </w:rPr>
          <w:t>Dysvik E, Natvig GK, Eikeland OJ, Brattberg G.</w:t>
        </w:r>
      </w:hyperlink>
      <w:r w:rsidR="008D0565" w:rsidRPr="00D61F73">
        <w:rPr>
          <w:rFonts w:ascii="Arial" w:hAnsi="Arial" w:cs="Arial"/>
        </w:rPr>
        <w:t xml:space="preserve"> Results of a multidisciplinary pain management program: a 6- and 12-month follow-up study. Rehabil Nurs. 2005 Sep-Oct;30(5):198-206.</w:t>
      </w:r>
    </w:p>
    <w:p w14:paraId="3A86C019" w14:textId="77777777" w:rsidR="008D0565" w:rsidRPr="00D61F73" w:rsidRDefault="008D0565" w:rsidP="00D61F73">
      <w:pPr>
        <w:rPr>
          <w:rFonts w:ascii="Arial" w:hAnsi="Arial" w:cs="Arial"/>
        </w:rPr>
      </w:pPr>
    </w:p>
    <w:p w14:paraId="5E845FD0" w14:textId="77777777" w:rsidR="008D0565" w:rsidRPr="00D61F73" w:rsidRDefault="00751163" w:rsidP="00D61F73">
      <w:pPr>
        <w:rPr>
          <w:rFonts w:ascii="Arial" w:hAnsi="Arial" w:cs="Arial"/>
        </w:rPr>
      </w:pPr>
      <w:hyperlink w:anchor="Flor2" w:history="1">
        <w:r w:rsidR="008D0565" w:rsidRPr="00D61F73">
          <w:rPr>
            <w:rStyle w:val="Hyperlink"/>
            <w:rFonts w:ascii="Arial" w:hAnsi="Arial" w:cs="Arial"/>
          </w:rPr>
          <w:t>Flor H, Birbaumer N.</w:t>
        </w:r>
      </w:hyperlink>
      <w:r w:rsidR="008D0565" w:rsidRPr="00D61F73">
        <w:rPr>
          <w:rFonts w:ascii="Arial" w:hAnsi="Arial" w:cs="Arial"/>
        </w:rPr>
        <w:t xml:space="preserve"> Comparison of the efficacy of electromyographic biofeedback, cognitive-behavioral therapy, and conservative medical interventions in the treatment of chronic musculoskeletal pain. </w:t>
      </w:r>
      <w:r w:rsidR="008D0565" w:rsidRPr="00D61F73">
        <w:rPr>
          <w:rFonts w:ascii="Arial" w:hAnsi="Arial" w:cs="Arial"/>
          <w:i/>
          <w:iCs/>
        </w:rPr>
        <w:t>J Consult Clin Psychol</w:t>
      </w:r>
      <w:r w:rsidR="008D0565" w:rsidRPr="00D61F73">
        <w:rPr>
          <w:rFonts w:ascii="Arial" w:hAnsi="Arial" w:cs="Arial"/>
        </w:rPr>
        <w:t>. 1993 Aug;61(4):653-8.</w:t>
      </w:r>
    </w:p>
    <w:p w14:paraId="175C9B83" w14:textId="77777777" w:rsidR="008D0565" w:rsidRPr="00D61F73" w:rsidRDefault="008D0565" w:rsidP="00D61F73">
      <w:pPr>
        <w:rPr>
          <w:rFonts w:ascii="Arial" w:hAnsi="Arial" w:cs="Arial"/>
        </w:rPr>
      </w:pPr>
    </w:p>
    <w:p w14:paraId="56C6A81C" w14:textId="77777777" w:rsidR="008D0565" w:rsidRPr="00D61F73" w:rsidRDefault="00751163" w:rsidP="00D61F73">
      <w:pPr>
        <w:rPr>
          <w:rFonts w:ascii="Arial" w:hAnsi="Arial" w:cs="Arial"/>
        </w:rPr>
      </w:pPr>
      <w:hyperlink w:anchor="Gatchel2" w:history="1">
        <w:r w:rsidR="008D0565" w:rsidRPr="00D61F73">
          <w:rPr>
            <w:rStyle w:val="Hyperlink"/>
            <w:rFonts w:ascii="Arial" w:hAnsi="Arial" w:cs="Arial"/>
          </w:rPr>
          <w:t>Gatchel R., Polatin P. and Kinney R</w:t>
        </w:r>
      </w:hyperlink>
      <w:r w:rsidR="008D0565" w:rsidRPr="00D61F73">
        <w:rPr>
          <w:rFonts w:ascii="Arial" w:hAnsi="Arial" w:cs="Arial"/>
        </w:rPr>
        <w:t xml:space="preserve">. Predicting Outcome of Chronic Back Pain Using Clinical Predictors of Psychopathology: A Prospective Analysis. </w:t>
      </w:r>
      <w:r w:rsidR="008D0565" w:rsidRPr="00D61F73">
        <w:rPr>
          <w:rFonts w:ascii="Arial" w:hAnsi="Arial" w:cs="Arial"/>
          <w:i/>
          <w:iCs/>
        </w:rPr>
        <w:t>Health Psychology</w:t>
      </w:r>
      <w:r w:rsidR="008D0565" w:rsidRPr="00D61F73">
        <w:rPr>
          <w:rFonts w:ascii="Arial" w:hAnsi="Arial" w:cs="Arial"/>
        </w:rPr>
        <w:t xml:space="preserve"> 1995:14 (5);415-20.</w:t>
      </w:r>
    </w:p>
    <w:p w14:paraId="1E2C2ADE" w14:textId="77777777" w:rsidR="008D0565" w:rsidRPr="00D61F73" w:rsidRDefault="008D0565" w:rsidP="00D61F73">
      <w:pPr>
        <w:rPr>
          <w:rFonts w:ascii="Arial" w:hAnsi="Arial" w:cs="Arial"/>
        </w:rPr>
      </w:pPr>
    </w:p>
    <w:p w14:paraId="1F754152" w14:textId="77777777" w:rsidR="008D0565" w:rsidRPr="00D61F73" w:rsidRDefault="00751163" w:rsidP="00D61F73">
      <w:pPr>
        <w:rPr>
          <w:rFonts w:ascii="Arial" w:hAnsi="Arial" w:cs="Arial"/>
        </w:rPr>
      </w:pPr>
      <w:hyperlink w:anchor="Gatchel2003" w:history="1">
        <w:r w:rsidR="008D0565" w:rsidRPr="00D61F73">
          <w:rPr>
            <w:rStyle w:val="Hyperlink"/>
            <w:rFonts w:ascii="Arial" w:hAnsi="Arial" w:cs="Arial"/>
          </w:rPr>
          <w:t>Gatchel RJ, Polatin PB, Noe C, Gardea M, Pulliam C, Thompson J</w:t>
        </w:r>
      </w:hyperlink>
      <w:r w:rsidR="008D0565" w:rsidRPr="00D61F73">
        <w:rPr>
          <w:rFonts w:ascii="Arial" w:hAnsi="Arial" w:cs="Arial"/>
        </w:rPr>
        <w:t xml:space="preserve">. Treatment- and cost-effectiveness of early intervention for acute low-back pain patients: a one-year prospective study. </w:t>
      </w:r>
      <w:r w:rsidR="008D0565" w:rsidRPr="00D61F73">
        <w:rPr>
          <w:rFonts w:ascii="Arial" w:hAnsi="Arial" w:cs="Arial"/>
          <w:i/>
        </w:rPr>
        <w:t>J Occup Rehabil</w:t>
      </w:r>
      <w:r w:rsidR="008D0565" w:rsidRPr="00D61F73">
        <w:rPr>
          <w:rFonts w:ascii="Arial" w:hAnsi="Arial" w:cs="Arial"/>
        </w:rPr>
        <w:t>. 2003 Mar;13(1):1-9.</w:t>
      </w:r>
    </w:p>
    <w:p w14:paraId="7057A2E1" w14:textId="77777777" w:rsidR="008D0565" w:rsidRPr="00D61F73" w:rsidRDefault="008D0565" w:rsidP="00D61F73">
      <w:pPr>
        <w:rPr>
          <w:rFonts w:ascii="Arial" w:hAnsi="Arial" w:cs="Arial"/>
        </w:rPr>
      </w:pPr>
    </w:p>
    <w:p w14:paraId="6D108580" w14:textId="77777777" w:rsidR="008D0565" w:rsidRPr="00D61F73" w:rsidRDefault="00751163" w:rsidP="00D61F73">
      <w:pPr>
        <w:rPr>
          <w:rFonts w:ascii="Arial" w:hAnsi="Arial" w:cs="Arial"/>
        </w:rPr>
      </w:pPr>
      <w:hyperlink w:anchor="Gatchel12005" w:history="1">
        <w:r w:rsidR="008D0565" w:rsidRPr="00D61F73">
          <w:rPr>
            <w:rStyle w:val="Hyperlink"/>
            <w:rFonts w:ascii="Arial" w:hAnsi="Arial" w:cs="Arial"/>
          </w:rPr>
          <w:t>Gatchel RJ,</w:t>
        </w:r>
      </w:hyperlink>
      <w:r w:rsidR="008D0565" w:rsidRPr="00D61F73">
        <w:rPr>
          <w:rFonts w:ascii="Arial" w:hAnsi="Arial" w:cs="Arial"/>
        </w:rPr>
        <w:t xml:space="preserve"> </w:t>
      </w:r>
      <w:r w:rsidR="008D0565" w:rsidRPr="00D61F73">
        <w:rPr>
          <w:rFonts w:ascii="Arial" w:hAnsi="Arial" w:cs="Arial"/>
          <w:i/>
          <w:iCs/>
        </w:rPr>
        <w:t>Clinical Essentials of Pain Management</w:t>
      </w:r>
      <w:r w:rsidR="008D0565" w:rsidRPr="00D61F73">
        <w:rPr>
          <w:rFonts w:ascii="Arial" w:hAnsi="Arial" w:cs="Arial"/>
        </w:rPr>
        <w:t>. Washington, DC: American Psychological Association; 2005.</w:t>
      </w:r>
    </w:p>
    <w:p w14:paraId="2DDE71C4" w14:textId="77777777" w:rsidR="008D0565" w:rsidRPr="00D61F73" w:rsidRDefault="008D0565" w:rsidP="00D61F73">
      <w:pPr>
        <w:rPr>
          <w:rFonts w:ascii="Arial" w:hAnsi="Arial" w:cs="Arial"/>
        </w:rPr>
      </w:pPr>
    </w:p>
    <w:p w14:paraId="49BF4631" w14:textId="77777777" w:rsidR="008D0565" w:rsidRPr="00D61F73" w:rsidRDefault="00751163" w:rsidP="00D61F73">
      <w:pPr>
        <w:rPr>
          <w:rFonts w:ascii="Arial" w:hAnsi="Arial" w:cs="Arial"/>
        </w:rPr>
      </w:pPr>
      <w:hyperlink w:anchor="Gatchel2006" w:history="1">
        <w:r w:rsidR="008D0565" w:rsidRPr="00D61F73">
          <w:rPr>
            <w:rStyle w:val="Hyperlink"/>
            <w:rFonts w:ascii="Arial" w:hAnsi="Arial" w:cs="Arial"/>
          </w:rPr>
          <w:t>Gatchel RJ, Mayer TG, Theodore BR.</w:t>
        </w:r>
      </w:hyperlink>
      <w:r w:rsidR="008D0565" w:rsidRPr="00D61F73">
        <w:rPr>
          <w:rFonts w:ascii="Arial" w:hAnsi="Arial" w:cs="Arial"/>
        </w:rPr>
        <w:t xml:space="preserve"> The pain disability questionnaire: relationship to one-year functional and psychosocial rehabilitation outcomes. </w:t>
      </w:r>
      <w:r w:rsidR="008D0565" w:rsidRPr="00D61F73">
        <w:rPr>
          <w:rFonts w:ascii="Arial" w:hAnsi="Arial" w:cs="Arial"/>
          <w:i/>
        </w:rPr>
        <w:t>J Occup Rehabil</w:t>
      </w:r>
      <w:r w:rsidR="008D0565" w:rsidRPr="00D61F73">
        <w:rPr>
          <w:rFonts w:ascii="Arial" w:hAnsi="Arial" w:cs="Arial"/>
        </w:rPr>
        <w:t>. 2006 Mar;16(1):75-94.</w:t>
      </w:r>
    </w:p>
    <w:p w14:paraId="49F4A569" w14:textId="77777777" w:rsidR="008D0565" w:rsidRPr="00D61F73" w:rsidRDefault="008D0565" w:rsidP="00D61F73">
      <w:pPr>
        <w:rPr>
          <w:rFonts w:ascii="Arial" w:hAnsi="Arial" w:cs="Arial"/>
        </w:rPr>
      </w:pPr>
    </w:p>
    <w:p w14:paraId="497A7E4B" w14:textId="77777777" w:rsidR="008D0565" w:rsidRPr="00D61F73" w:rsidRDefault="00751163" w:rsidP="00D61F73">
      <w:pPr>
        <w:pStyle w:val="NormalWeb"/>
        <w:spacing w:before="0" w:beforeAutospacing="0" w:after="0" w:afterAutospacing="0"/>
        <w:rPr>
          <w:rFonts w:ascii="Arial" w:hAnsi="Arial" w:cs="Arial"/>
        </w:rPr>
      </w:pPr>
      <w:hyperlink w:anchor="Gross" w:history="1">
        <w:r w:rsidR="008D0565" w:rsidRPr="00D61F73">
          <w:rPr>
            <w:rStyle w:val="Hyperlink"/>
            <w:rFonts w:ascii="Arial" w:hAnsi="Arial" w:cs="Arial"/>
          </w:rPr>
          <w:t>Gross DP, Battie MC.</w:t>
        </w:r>
      </w:hyperlink>
      <w:r w:rsidR="008D0565" w:rsidRPr="00D61F73">
        <w:rPr>
          <w:rFonts w:ascii="Arial" w:hAnsi="Arial" w:cs="Arial"/>
        </w:rPr>
        <w:t xml:space="preserve"> Predicting timely recovery and recurrence following multidisciplinary rehabilitation in patients with compensated low back pain. Spine. 2005 Jan 15;30(2):235-40.</w:t>
      </w:r>
    </w:p>
    <w:p w14:paraId="7B4BD238" w14:textId="77777777" w:rsidR="008D0565" w:rsidRPr="00D61F73" w:rsidRDefault="008D0565" w:rsidP="00D61F73">
      <w:pPr>
        <w:rPr>
          <w:rFonts w:ascii="Arial" w:hAnsi="Arial" w:cs="Arial"/>
        </w:rPr>
      </w:pPr>
    </w:p>
    <w:p w14:paraId="26CC996B" w14:textId="77777777" w:rsidR="008D0565" w:rsidRPr="00D61F73" w:rsidRDefault="00751163" w:rsidP="00D61F73">
      <w:pPr>
        <w:rPr>
          <w:rFonts w:ascii="Arial" w:hAnsi="Arial" w:cs="Arial"/>
        </w:rPr>
      </w:pPr>
      <w:hyperlink w:anchor="Haldorsen" w:history="1">
        <w:r w:rsidR="008D0565" w:rsidRPr="00D61F73">
          <w:rPr>
            <w:rStyle w:val="Hyperlink"/>
            <w:rFonts w:ascii="Arial" w:hAnsi="Arial" w:cs="Arial"/>
          </w:rPr>
          <w:t>Haldorsen EM, Grasdal AL, Skouen JS, Risa AE, Kronholm K, Ursin H.</w:t>
        </w:r>
      </w:hyperlink>
      <w:r w:rsidR="008D0565" w:rsidRPr="00D61F73">
        <w:rPr>
          <w:rFonts w:ascii="Arial" w:hAnsi="Arial" w:cs="Arial"/>
        </w:rPr>
        <w:t xml:space="preserve"> Is there a right treatment for a particular patient group? Comparison of ordinary treatment, light multidisciplinary treatment, and extensive multidisciplinary treatment for long-term sick-listed employees with musculoskeletal pain. </w:t>
      </w:r>
      <w:r w:rsidR="008D0565" w:rsidRPr="00D61F73">
        <w:rPr>
          <w:rFonts w:ascii="Arial" w:hAnsi="Arial" w:cs="Arial"/>
          <w:i/>
        </w:rPr>
        <w:t>Pain.</w:t>
      </w:r>
      <w:r w:rsidR="008D0565" w:rsidRPr="00D61F73">
        <w:rPr>
          <w:rFonts w:ascii="Arial" w:hAnsi="Arial" w:cs="Arial"/>
        </w:rPr>
        <w:t xml:space="preserve"> 2002 Jan;95(1-2):49-63.</w:t>
      </w:r>
    </w:p>
    <w:p w14:paraId="12266714" w14:textId="77777777" w:rsidR="008D0565" w:rsidRPr="00D61F73" w:rsidRDefault="008D0565" w:rsidP="00D61F73">
      <w:pPr>
        <w:rPr>
          <w:rFonts w:ascii="Arial" w:hAnsi="Arial" w:cs="Arial"/>
        </w:rPr>
      </w:pPr>
    </w:p>
    <w:p w14:paraId="664D2F7F" w14:textId="77777777" w:rsidR="008D0565" w:rsidRPr="00D61F73" w:rsidRDefault="00751163" w:rsidP="00D61F73">
      <w:pPr>
        <w:rPr>
          <w:rFonts w:ascii="Arial" w:hAnsi="Arial" w:cs="Arial"/>
        </w:rPr>
      </w:pPr>
      <w:hyperlink w:anchor="Hasenbring" w:history="1">
        <w:r w:rsidR="008D0565" w:rsidRPr="00D61F73">
          <w:rPr>
            <w:rStyle w:val="Hyperlink"/>
            <w:rFonts w:ascii="Arial" w:hAnsi="Arial" w:cs="Arial"/>
          </w:rPr>
          <w:t>Hasenbring M, Ulrich HW, Hartmann M, Soyka D</w:t>
        </w:r>
      </w:hyperlink>
      <w:r w:rsidR="008D0565" w:rsidRPr="00D61F73">
        <w:rPr>
          <w:rFonts w:ascii="Arial" w:hAnsi="Arial" w:cs="Arial"/>
        </w:rPr>
        <w:t xml:space="preserve">. The efficacy of a risk factor-based cognitive behavioral intervention and electromyographic biofeedback in patients with acute sciatic pain. An attempt to prevent chronicity. </w:t>
      </w:r>
      <w:r w:rsidR="008D0565" w:rsidRPr="00D61F73">
        <w:rPr>
          <w:rFonts w:ascii="Arial" w:hAnsi="Arial" w:cs="Arial"/>
          <w:i/>
          <w:iCs/>
        </w:rPr>
        <w:t>Spine.</w:t>
      </w:r>
      <w:r w:rsidR="008D0565" w:rsidRPr="00D61F73">
        <w:rPr>
          <w:rFonts w:ascii="Arial" w:hAnsi="Arial" w:cs="Arial"/>
        </w:rPr>
        <w:t xml:space="preserve"> 1999 Dec 1;24(23):2525-35.</w:t>
      </w:r>
    </w:p>
    <w:p w14:paraId="3A24150C" w14:textId="77777777" w:rsidR="008D0565" w:rsidRPr="00D61F73" w:rsidRDefault="008D0565" w:rsidP="00D61F73">
      <w:pPr>
        <w:pStyle w:val="Footer"/>
        <w:tabs>
          <w:tab w:val="clear" w:pos="4320"/>
          <w:tab w:val="clear" w:pos="8640"/>
        </w:tabs>
        <w:rPr>
          <w:rFonts w:ascii="Arial" w:hAnsi="Arial" w:cs="Arial"/>
        </w:rPr>
      </w:pPr>
    </w:p>
    <w:p w14:paraId="15483525" w14:textId="77777777" w:rsidR="008D0565" w:rsidRPr="00D61F73" w:rsidRDefault="00751163" w:rsidP="00D61F73">
      <w:pPr>
        <w:rPr>
          <w:rFonts w:ascii="Arial" w:hAnsi="Arial" w:cs="Arial"/>
        </w:rPr>
      </w:pPr>
      <w:hyperlink w:anchor="Jordan" w:history="1">
        <w:r w:rsidR="008D0565" w:rsidRPr="00D61F73">
          <w:rPr>
            <w:rStyle w:val="Hyperlink"/>
            <w:rFonts w:ascii="Arial" w:hAnsi="Arial" w:cs="Arial"/>
          </w:rPr>
          <w:t>Jordan KD, Mayer TG, Gatchel RJ.</w:t>
        </w:r>
      </w:hyperlink>
      <w:r w:rsidR="008D0565" w:rsidRPr="00D61F73">
        <w:rPr>
          <w:rFonts w:ascii="Arial" w:hAnsi="Arial" w:cs="Arial"/>
        </w:rPr>
        <w:t xml:space="preserve"> Should extended disability be an exclusion criterion for tertiary rehabilitation? Socioeconomic outcomes of early versus late functional restoration in compensation spinal disorders. </w:t>
      </w:r>
      <w:r w:rsidR="008D0565" w:rsidRPr="00D61F73">
        <w:rPr>
          <w:rFonts w:ascii="Arial" w:hAnsi="Arial" w:cs="Arial"/>
          <w:i/>
          <w:iCs/>
        </w:rPr>
        <w:t>Spine.</w:t>
      </w:r>
      <w:r w:rsidR="008D0565" w:rsidRPr="00D61F73">
        <w:rPr>
          <w:rFonts w:ascii="Arial" w:hAnsi="Arial" w:cs="Arial"/>
        </w:rPr>
        <w:t xml:space="preserve"> 1998 Oct 1;23(19):2110-6; discussion 2117.</w:t>
      </w:r>
    </w:p>
    <w:p w14:paraId="0E2B805F" w14:textId="77777777" w:rsidR="008D0565" w:rsidRPr="00D61F73" w:rsidRDefault="008D0565" w:rsidP="00D61F73">
      <w:pPr>
        <w:rPr>
          <w:rFonts w:ascii="Arial" w:hAnsi="Arial" w:cs="Arial"/>
        </w:rPr>
      </w:pPr>
    </w:p>
    <w:p w14:paraId="35E86B45" w14:textId="77777777" w:rsidR="008D0565" w:rsidRPr="00D61F73" w:rsidRDefault="00751163" w:rsidP="00D61F73">
      <w:pPr>
        <w:rPr>
          <w:rFonts w:ascii="Arial" w:hAnsi="Arial" w:cs="Arial"/>
        </w:rPr>
      </w:pPr>
      <w:hyperlink w:anchor="Keefe2" w:history="1">
        <w:r w:rsidR="008D0565" w:rsidRPr="00D61F73">
          <w:rPr>
            <w:rStyle w:val="Hyperlink"/>
            <w:rFonts w:ascii="Arial" w:hAnsi="Arial" w:cs="Arial"/>
          </w:rPr>
          <w:t>Keefe FJ, Block AR, Williams RB Jr, Surwit RS</w:t>
        </w:r>
      </w:hyperlink>
      <w:r w:rsidR="008D0565" w:rsidRPr="00D61F73">
        <w:rPr>
          <w:rFonts w:ascii="Arial" w:hAnsi="Arial" w:cs="Arial"/>
        </w:rPr>
        <w:t xml:space="preserve">. Behavioral treatment of chronic low back pain: clinical outcome and individual differences in pain relief. </w:t>
      </w:r>
      <w:r w:rsidR="008D0565" w:rsidRPr="00D61F73">
        <w:rPr>
          <w:rFonts w:ascii="Arial" w:hAnsi="Arial" w:cs="Arial"/>
          <w:i/>
          <w:iCs/>
        </w:rPr>
        <w:t>Pain</w:t>
      </w:r>
      <w:r w:rsidR="008D0565" w:rsidRPr="00D61F73">
        <w:rPr>
          <w:rFonts w:ascii="Arial" w:hAnsi="Arial" w:cs="Arial"/>
        </w:rPr>
        <w:t>. 1981 Oct;11(2):221-31.</w:t>
      </w:r>
    </w:p>
    <w:p w14:paraId="3067F6BB" w14:textId="77777777" w:rsidR="008D0565" w:rsidRPr="00D61F73" w:rsidRDefault="008D0565" w:rsidP="00D61F73">
      <w:pPr>
        <w:pStyle w:val="Footer"/>
        <w:tabs>
          <w:tab w:val="clear" w:pos="4320"/>
          <w:tab w:val="clear" w:pos="8640"/>
        </w:tabs>
        <w:rPr>
          <w:rFonts w:ascii="Arial" w:hAnsi="Arial" w:cs="Arial"/>
        </w:rPr>
      </w:pPr>
    </w:p>
    <w:p w14:paraId="1F713469" w14:textId="77777777" w:rsidR="008D0565" w:rsidRPr="00D61F73" w:rsidRDefault="00751163" w:rsidP="00D61F73">
      <w:pPr>
        <w:pStyle w:val="Footer"/>
        <w:tabs>
          <w:tab w:val="clear" w:pos="4320"/>
          <w:tab w:val="clear" w:pos="8640"/>
        </w:tabs>
        <w:rPr>
          <w:rFonts w:ascii="Arial" w:hAnsi="Arial" w:cs="Arial"/>
        </w:rPr>
      </w:pPr>
      <w:hyperlink w:anchor="Keel" w:history="1">
        <w:r w:rsidR="008D0565" w:rsidRPr="00D61F73">
          <w:rPr>
            <w:rStyle w:val="Hyperlink"/>
            <w:rFonts w:ascii="Arial" w:hAnsi="Arial" w:cs="Arial"/>
          </w:rPr>
          <w:t>Keel PJ, Wittig R, Deutschmann R, Diethelm U, Knüsel O, Löschmann C, Matathia R, Rudolf T, Spring H</w:t>
        </w:r>
      </w:hyperlink>
      <w:r w:rsidR="008D0565" w:rsidRPr="00D61F73">
        <w:rPr>
          <w:rFonts w:ascii="Arial" w:hAnsi="Arial" w:cs="Arial"/>
        </w:rPr>
        <w:t xml:space="preserve">. Effectiveness of in-patient rehabilitation for sub-chronic and chronic low back pain by an integrative group treatment program (Swiss Multicentre Study). </w:t>
      </w:r>
      <w:r w:rsidR="008D0565" w:rsidRPr="00D61F73">
        <w:rPr>
          <w:rFonts w:ascii="Arial" w:hAnsi="Arial" w:cs="Arial"/>
          <w:i/>
          <w:iCs/>
        </w:rPr>
        <w:t>Scand J Rehabil Med</w:t>
      </w:r>
      <w:r w:rsidR="008D0565" w:rsidRPr="00D61F73">
        <w:rPr>
          <w:rFonts w:ascii="Arial" w:hAnsi="Arial" w:cs="Arial"/>
        </w:rPr>
        <w:t>. 1998 Dec;30(4):211-9.</w:t>
      </w:r>
    </w:p>
    <w:p w14:paraId="54F456C4" w14:textId="77777777" w:rsidR="008D0565" w:rsidRDefault="008D0565" w:rsidP="00D61F73">
      <w:pPr>
        <w:pStyle w:val="Footer"/>
        <w:tabs>
          <w:tab w:val="clear" w:pos="4320"/>
          <w:tab w:val="clear" w:pos="8640"/>
        </w:tabs>
        <w:rPr>
          <w:rFonts w:ascii="Arial" w:hAnsi="Arial" w:cs="Arial"/>
        </w:rPr>
      </w:pPr>
    </w:p>
    <w:p w14:paraId="14FBF7A9" w14:textId="77777777" w:rsidR="00351CDE" w:rsidRDefault="00351CDE" w:rsidP="00D61F73">
      <w:pPr>
        <w:pStyle w:val="Footer"/>
        <w:tabs>
          <w:tab w:val="clear" w:pos="4320"/>
          <w:tab w:val="clear" w:pos="8640"/>
        </w:tabs>
        <w:rPr>
          <w:rFonts w:ascii="Arial" w:hAnsi="Arial" w:cs="Arial"/>
        </w:rPr>
      </w:pPr>
    </w:p>
    <w:p w14:paraId="2158DA73" w14:textId="77777777" w:rsidR="00351CDE" w:rsidRPr="00D61F73" w:rsidRDefault="00351CDE" w:rsidP="00D61F73">
      <w:pPr>
        <w:pStyle w:val="Footer"/>
        <w:tabs>
          <w:tab w:val="clear" w:pos="4320"/>
          <w:tab w:val="clear" w:pos="8640"/>
        </w:tabs>
        <w:rPr>
          <w:rFonts w:ascii="Arial" w:hAnsi="Arial" w:cs="Arial"/>
        </w:rPr>
      </w:pPr>
    </w:p>
    <w:p w14:paraId="3CB18701" w14:textId="77777777" w:rsidR="008D0565" w:rsidRPr="00D61F73" w:rsidRDefault="00751163" w:rsidP="00D61F73">
      <w:pPr>
        <w:pStyle w:val="NormalWeb"/>
        <w:spacing w:before="0" w:beforeAutospacing="0" w:after="0" w:afterAutospacing="0"/>
        <w:rPr>
          <w:rFonts w:ascii="Arial" w:hAnsi="Arial" w:cs="Arial"/>
        </w:rPr>
      </w:pPr>
      <w:hyperlink w:anchor="Kool" w:history="1">
        <w:r w:rsidR="008D0565" w:rsidRPr="00D61F73">
          <w:rPr>
            <w:rStyle w:val="Hyperlink"/>
            <w:rFonts w:ascii="Arial" w:hAnsi="Arial" w:cs="Arial"/>
          </w:rPr>
          <w:t>Kool J, Bachmann S, Oesch P, Knuesel O, Ambergen T, de Bie R, van den Brandt P</w:t>
        </w:r>
      </w:hyperlink>
      <w:r w:rsidR="008D0565" w:rsidRPr="00D61F73">
        <w:rPr>
          <w:rFonts w:ascii="Arial" w:hAnsi="Arial" w:cs="Arial"/>
        </w:rPr>
        <w:t xml:space="preserve">. Function-centered rehabilitation increases work days in patients with nonacute nonspecific low back pain: 1-year results from a randomized controlled trial. </w:t>
      </w:r>
      <w:r w:rsidR="008D0565" w:rsidRPr="00D61F73">
        <w:rPr>
          <w:rFonts w:ascii="Arial" w:hAnsi="Arial" w:cs="Arial"/>
          <w:i/>
          <w:iCs/>
        </w:rPr>
        <w:t>Arch Phys Med Rehabil</w:t>
      </w:r>
      <w:r w:rsidR="008D0565" w:rsidRPr="00D61F73">
        <w:rPr>
          <w:rFonts w:ascii="Arial" w:hAnsi="Arial" w:cs="Arial"/>
        </w:rPr>
        <w:t>. 2007 Sep;88(9):1089-94.</w:t>
      </w:r>
    </w:p>
    <w:p w14:paraId="0194F720" w14:textId="77777777" w:rsidR="008D0565" w:rsidRPr="00D61F73" w:rsidRDefault="008D0565" w:rsidP="00D61F73">
      <w:pPr>
        <w:pStyle w:val="Footer"/>
        <w:tabs>
          <w:tab w:val="clear" w:pos="4320"/>
          <w:tab w:val="clear" w:pos="8640"/>
        </w:tabs>
        <w:rPr>
          <w:rFonts w:ascii="Arial" w:hAnsi="Arial" w:cs="Arial"/>
        </w:rPr>
      </w:pPr>
    </w:p>
    <w:p w14:paraId="4AD93E39" w14:textId="77777777" w:rsidR="008D0565" w:rsidRPr="00D61F73" w:rsidRDefault="00751163" w:rsidP="00D61F73">
      <w:pPr>
        <w:pStyle w:val="NormalWeb"/>
        <w:spacing w:before="0" w:beforeAutospacing="0" w:after="0" w:afterAutospacing="0"/>
        <w:rPr>
          <w:rFonts w:ascii="Arial" w:hAnsi="Arial" w:cs="Arial"/>
        </w:rPr>
      </w:pPr>
      <w:hyperlink w:anchor="Kool2" w:history="1">
        <w:r w:rsidR="008D0565" w:rsidRPr="00D61F73">
          <w:rPr>
            <w:rStyle w:val="Hyperlink"/>
            <w:rFonts w:ascii="Arial" w:hAnsi="Arial" w:cs="Arial"/>
          </w:rPr>
          <w:t>Kool JP, Oesch PR, Bachmann S, Knuesel O, Dierkes JG, Russo M, de Bie RA, van den Brandt PA</w:t>
        </w:r>
      </w:hyperlink>
      <w:r w:rsidR="008D0565" w:rsidRPr="00D61F73">
        <w:rPr>
          <w:rFonts w:ascii="Arial" w:hAnsi="Arial" w:cs="Arial"/>
        </w:rPr>
        <w:t xml:space="preserve">. Increasing days at work using function-centered rehabilitation in nonacute nonspecific low back pain: a randomized controlled trial. </w:t>
      </w:r>
      <w:r w:rsidR="008D0565" w:rsidRPr="00D61F73">
        <w:rPr>
          <w:rFonts w:ascii="Arial" w:hAnsi="Arial" w:cs="Arial"/>
          <w:i/>
          <w:iCs/>
        </w:rPr>
        <w:t>Arch Phys Med Rehabil</w:t>
      </w:r>
      <w:r w:rsidR="008D0565" w:rsidRPr="00D61F73">
        <w:rPr>
          <w:rFonts w:ascii="Arial" w:hAnsi="Arial" w:cs="Arial"/>
        </w:rPr>
        <w:t>. 2005 May;86(5):857-64.</w:t>
      </w:r>
    </w:p>
    <w:p w14:paraId="0B34E202" w14:textId="77777777" w:rsidR="008D0565" w:rsidRPr="00D61F73" w:rsidRDefault="008D0565" w:rsidP="00D61F73">
      <w:pPr>
        <w:pStyle w:val="Footer"/>
        <w:tabs>
          <w:tab w:val="clear" w:pos="4320"/>
          <w:tab w:val="clear" w:pos="8640"/>
        </w:tabs>
        <w:rPr>
          <w:rFonts w:ascii="Arial" w:hAnsi="Arial" w:cs="Arial"/>
        </w:rPr>
      </w:pPr>
    </w:p>
    <w:p w14:paraId="06CF28BE" w14:textId="77777777" w:rsidR="008D0565" w:rsidRPr="00D61F73" w:rsidRDefault="00751163" w:rsidP="00D61F73">
      <w:pPr>
        <w:rPr>
          <w:rFonts w:ascii="Arial" w:hAnsi="Arial" w:cs="Arial"/>
        </w:rPr>
      </w:pPr>
      <w:hyperlink w:anchor="Lin" w:history="1">
        <w:r w:rsidR="008D0565" w:rsidRPr="00D61F73">
          <w:rPr>
            <w:rStyle w:val="Hyperlink"/>
            <w:rFonts w:ascii="Arial" w:hAnsi="Arial" w:cs="Arial"/>
          </w:rPr>
          <w:t>Lin EH, Katon W, Von Korff M, Tang L, Williams JW Jr, Kroenke K, Hunkeler E, Harpole L, Hegel M, Arean P, Hoffing M, Della Penna R, Langston C, Unutzer J;</w:t>
        </w:r>
      </w:hyperlink>
      <w:r w:rsidR="008D0565" w:rsidRPr="00D61F73">
        <w:rPr>
          <w:rFonts w:ascii="Arial" w:hAnsi="Arial" w:cs="Arial"/>
        </w:rPr>
        <w:t xml:space="preserve"> IMPACT Investigators. Effect of improving depression care on pain and functional outcomes among older adults with arthritis: a randomized controlled trial. </w:t>
      </w:r>
      <w:r w:rsidR="008D0565" w:rsidRPr="00D61F73">
        <w:rPr>
          <w:rFonts w:ascii="Arial" w:hAnsi="Arial" w:cs="Arial"/>
          <w:i/>
          <w:iCs/>
        </w:rPr>
        <w:t>JAMA</w:t>
      </w:r>
      <w:r w:rsidR="008D0565" w:rsidRPr="00D61F73">
        <w:rPr>
          <w:rFonts w:ascii="Arial" w:hAnsi="Arial" w:cs="Arial"/>
        </w:rPr>
        <w:t>. 2003 Nov 12;290(18):2428-9.</w:t>
      </w:r>
    </w:p>
    <w:p w14:paraId="545AB579" w14:textId="77777777" w:rsidR="008D0565" w:rsidRPr="00D61F73" w:rsidRDefault="008D0565" w:rsidP="00D61F73">
      <w:pPr>
        <w:rPr>
          <w:rFonts w:ascii="Arial" w:hAnsi="Arial" w:cs="Arial"/>
        </w:rPr>
      </w:pPr>
    </w:p>
    <w:p w14:paraId="36F0C27E" w14:textId="77777777" w:rsidR="008D0565" w:rsidRPr="00D61F73" w:rsidRDefault="00751163" w:rsidP="00D61F73">
      <w:pPr>
        <w:rPr>
          <w:rFonts w:ascii="Arial" w:hAnsi="Arial" w:cs="Arial"/>
        </w:rPr>
      </w:pPr>
      <w:hyperlink w:anchor="Linton2" w:history="1">
        <w:r w:rsidR="008D0565" w:rsidRPr="00D61F73">
          <w:rPr>
            <w:rStyle w:val="Hyperlink"/>
            <w:rFonts w:ascii="Arial" w:hAnsi="Arial" w:cs="Arial"/>
          </w:rPr>
          <w:t>Linton SJ.</w:t>
        </w:r>
      </w:hyperlink>
      <w:r w:rsidR="008D0565" w:rsidRPr="00D61F73">
        <w:rPr>
          <w:rFonts w:ascii="Arial" w:hAnsi="Arial" w:cs="Arial"/>
        </w:rPr>
        <w:t xml:space="preserve"> Occupational psychological factors increase the risk for back pain: a systematic review. </w:t>
      </w:r>
      <w:r w:rsidR="008D0565" w:rsidRPr="00D61F73">
        <w:rPr>
          <w:rFonts w:ascii="Arial" w:hAnsi="Arial" w:cs="Arial"/>
          <w:i/>
        </w:rPr>
        <w:t>J Occup Rehabil</w:t>
      </w:r>
      <w:r w:rsidR="008D0565" w:rsidRPr="00D61F73">
        <w:rPr>
          <w:rFonts w:ascii="Arial" w:hAnsi="Arial" w:cs="Arial"/>
        </w:rPr>
        <w:t>. 2001 Mar;11(1):53-66.</w:t>
      </w:r>
    </w:p>
    <w:p w14:paraId="4D6225F4" w14:textId="77777777" w:rsidR="008D0565" w:rsidRPr="00D61F73" w:rsidRDefault="008D0565" w:rsidP="00D61F73">
      <w:pPr>
        <w:rPr>
          <w:rFonts w:ascii="Arial" w:hAnsi="Arial" w:cs="Arial"/>
        </w:rPr>
      </w:pPr>
    </w:p>
    <w:p w14:paraId="4956D4BC" w14:textId="77777777" w:rsidR="008D0565" w:rsidRPr="00D61F73" w:rsidRDefault="00751163" w:rsidP="00D61F73">
      <w:pPr>
        <w:rPr>
          <w:rFonts w:ascii="Arial" w:hAnsi="Arial" w:cs="Arial"/>
        </w:rPr>
      </w:pPr>
      <w:hyperlink w:anchor="Maclaren" w:history="1">
        <w:r w:rsidR="008D0565" w:rsidRPr="00D61F73">
          <w:rPr>
            <w:rStyle w:val="Hyperlink"/>
            <w:rFonts w:ascii="Arial" w:hAnsi="Arial" w:cs="Arial"/>
          </w:rPr>
          <w:t>Maclaren JE, Gross RT, Sperry JA, Boggess JT</w:t>
        </w:r>
      </w:hyperlink>
      <w:r w:rsidR="008D0565" w:rsidRPr="00D61F73">
        <w:rPr>
          <w:rFonts w:ascii="Arial" w:hAnsi="Arial" w:cs="Arial"/>
        </w:rPr>
        <w:t xml:space="preserve">. Impact of opioid use on outcomes of functional restoration. </w:t>
      </w:r>
      <w:r w:rsidR="008D0565" w:rsidRPr="00D61F73">
        <w:rPr>
          <w:rFonts w:ascii="Arial" w:hAnsi="Arial" w:cs="Arial"/>
          <w:i/>
        </w:rPr>
        <w:t>Clin J Pain</w:t>
      </w:r>
      <w:r w:rsidR="008D0565" w:rsidRPr="00D61F73">
        <w:rPr>
          <w:rFonts w:ascii="Arial" w:hAnsi="Arial" w:cs="Arial"/>
        </w:rPr>
        <w:t>. 2006 May;22(4):392-8.</w:t>
      </w:r>
    </w:p>
    <w:p w14:paraId="232C1AFF" w14:textId="77777777" w:rsidR="008D0565" w:rsidRPr="00D61F73" w:rsidRDefault="008D0565" w:rsidP="00D61F73">
      <w:pPr>
        <w:rPr>
          <w:rFonts w:ascii="Arial" w:hAnsi="Arial" w:cs="Arial"/>
        </w:rPr>
      </w:pPr>
    </w:p>
    <w:p w14:paraId="6E147549" w14:textId="77777777" w:rsidR="008D0565" w:rsidRPr="00D61F73" w:rsidRDefault="00751163" w:rsidP="00D61F73">
      <w:pPr>
        <w:rPr>
          <w:rFonts w:ascii="Arial" w:hAnsi="Arial" w:cs="Arial"/>
        </w:rPr>
      </w:pPr>
      <w:hyperlink w:anchor="Mayer1985" w:history="1">
        <w:r w:rsidR="008D0565" w:rsidRPr="00D61F73">
          <w:rPr>
            <w:rStyle w:val="Hyperlink"/>
            <w:rFonts w:ascii="Arial" w:hAnsi="Arial" w:cs="Arial"/>
          </w:rPr>
          <w:t>Mayer TG, Gatchel RJ, Kishino N, Keeley J, Capra P, Mayer H, Barnett J, Mooney V.</w:t>
        </w:r>
      </w:hyperlink>
      <w:r w:rsidR="008D0565" w:rsidRPr="00D61F73">
        <w:rPr>
          <w:rFonts w:ascii="Arial" w:hAnsi="Arial" w:cs="Arial"/>
        </w:rPr>
        <w:t xml:space="preserve"> Objective assessment of spine function following industrial injury. A prospective study with comparison group and one-year follow-up. </w:t>
      </w:r>
      <w:r w:rsidR="008D0565" w:rsidRPr="00D61F73">
        <w:rPr>
          <w:rFonts w:ascii="Arial" w:hAnsi="Arial" w:cs="Arial"/>
          <w:i/>
        </w:rPr>
        <w:t>Spine</w:t>
      </w:r>
      <w:r w:rsidR="008D0565" w:rsidRPr="00D61F73">
        <w:rPr>
          <w:rFonts w:ascii="Arial" w:hAnsi="Arial" w:cs="Arial"/>
        </w:rPr>
        <w:t>. 1985 Jul-Aug;10(6):482-93.</w:t>
      </w:r>
    </w:p>
    <w:p w14:paraId="21E46AC1" w14:textId="77777777" w:rsidR="008D0565" w:rsidRPr="00D61F73" w:rsidRDefault="008D0565" w:rsidP="00D61F73">
      <w:pPr>
        <w:rPr>
          <w:rFonts w:ascii="Arial" w:hAnsi="Arial" w:cs="Arial"/>
        </w:rPr>
      </w:pPr>
    </w:p>
    <w:p w14:paraId="52E0440E" w14:textId="77777777" w:rsidR="008D0565" w:rsidRPr="00D61F73" w:rsidRDefault="00751163" w:rsidP="00D61F73">
      <w:pPr>
        <w:rPr>
          <w:rFonts w:ascii="Arial" w:hAnsi="Arial" w:cs="Arial"/>
        </w:rPr>
      </w:pPr>
      <w:hyperlink w:anchor="Mayer1987" w:history="1">
        <w:r w:rsidR="008D0565" w:rsidRPr="00D61F73">
          <w:rPr>
            <w:rStyle w:val="Hyperlink"/>
            <w:rFonts w:ascii="Arial" w:hAnsi="Arial" w:cs="Arial"/>
          </w:rPr>
          <w:t>Mayer TG, Gatchel RJ, Mayer H, Kishino ND, Keeley J, Mooney V.</w:t>
        </w:r>
      </w:hyperlink>
      <w:r w:rsidR="008D0565" w:rsidRPr="00D61F73">
        <w:rPr>
          <w:rFonts w:ascii="Arial" w:hAnsi="Arial" w:cs="Arial"/>
        </w:rPr>
        <w:t xml:space="preserve"> A prospective two-year study of functional restoration in industrial low back injury. An objective assessment procedure. </w:t>
      </w:r>
      <w:r w:rsidR="008D0565" w:rsidRPr="00D61F73">
        <w:rPr>
          <w:rFonts w:ascii="Arial" w:hAnsi="Arial" w:cs="Arial"/>
          <w:i/>
        </w:rPr>
        <w:t>JAMA</w:t>
      </w:r>
      <w:r w:rsidR="008D0565" w:rsidRPr="00D61F73">
        <w:rPr>
          <w:rFonts w:ascii="Arial" w:hAnsi="Arial" w:cs="Arial"/>
        </w:rPr>
        <w:t>. 1987 Oct 2;258(13):1763-7.</w:t>
      </w:r>
    </w:p>
    <w:p w14:paraId="009FB40B" w14:textId="77777777" w:rsidR="008D0565" w:rsidRPr="00D61F73" w:rsidRDefault="008D0565" w:rsidP="00D61F73">
      <w:pPr>
        <w:rPr>
          <w:rFonts w:ascii="Arial" w:hAnsi="Arial" w:cs="Arial"/>
        </w:rPr>
      </w:pPr>
    </w:p>
    <w:p w14:paraId="09CAAD24" w14:textId="77777777" w:rsidR="008D0565" w:rsidRPr="00D61F73" w:rsidRDefault="00751163" w:rsidP="00D61F73">
      <w:pPr>
        <w:rPr>
          <w:rFonts w:ascii="Arial" w:hAnsi="Arial" w:cs="Arial"/>
        </w:rPr>
      </w:pPr>
      <w:hyperlink w:anchor="Mayer2" w:history="1">
        <w:r w:rsidR="008D0565" w:rsidRPr="00D61F73">
          <w:rPr>
            <w:rStyle w:val="Hyperlink"/>
            <w:rFonts w:ascii="Arial" w:hAnsi="Arial" w:cs="Arial"/>
          </w:rPr>
          <w:t xml:space="preserve">Mayer T, Polatin P, Smith B, Gatchel R, Fardon D, Herring S, Smith C, Donelson R, Wong D; North American Spine Society Committee; Contemporary Concepts Review Committee. </w:t>
        </w:r>
      </w:hyperlink>
      <w:r w:rsidR="008D0565" w:rsidRPr="00D61F73">
        <w:rPr>
          <w:rFonts w:ascii="Arial" w:hAnsi="Arial" w:cs="Arial"/>
        </w:rPr>
        <w:t xml:space="preserve">Spine rehabilitation: secondary and tertiary nonoperative care. </w:t>
      </w:r>
      <w:r w:rsidR="008D0565" w:rsidRPr="00D61F73">
        <w:rPr>
          <w:rFonts w:ascii="Arial" w:hAnsi="Arial" w:cs="Arial"/>
          <w:i/>
        </w:rPr>
        <w:t>Spine J.</w:t>
      </w:r>
      <w:r w:rsidR="008D0565" w:rsidRPr="00D61F73">
        <w:rPr>
          <w:rFonts w:ascii="Arial" w:hAnsi="Arial" w:cs="Arial"/>
        </w:rPr>
        <w:t xml:space="preserve"> 2003 May-Jun;3(3 Suppl):28S-36S.</w:t>
      </w:r>
    </w:p>
    <w:p w14:paraId="3F60F8D3" w14:textId="77777777" w:rsidR="008D0565" w:rsidRPr="00D61F73" w:rsidRDefault="008D0565" w:rsidP="00D61F73">
      <w:pPr>
        <w:rPr>
          <w:rFonts w:ascii="Arial" w:hAnsi="Arial" w:cs="Arial"/>
        </w:rPr>
      </w:pPr>
    </w:p>
    <w:p w14:paraId="06368538" w14:textId="77777777" w:rsidR="008D0565" w:rsidRPr="00D61F73" w:rsidRDefault="00751163" w:rsidP="00D61F73">
      <w:pPr>
        <w:rPr>
          <w:rFonts w:ascii="Arial" w:hAnsi="Arial" w:cs="Arial"/>
        </w:rPr>
      </w:pPr>
      <w:hyperlink w:anchor="McBeth2014" w:history="1">
        <w:r w:rsidR="008D0565" w:rsidRPr="00D61F73">
          <w:rPr>
            <w:rStyle w:val="Hyperlink"/>
            <w:rFonts w:ascii="Arial" w:hAnsi="Arial" w:cs="Arial"/>
          </w:rPr>
          <w:t>McBeth J, Lacey RJ, Wilkie R</w:t>
        </w:r>
      </w:hyperlink>
      <w:r w:rsidR="008D0565" w:rsidRPr="00D61F73">
        <w:rPr>
          <w:rFonts w:ascii="Arial" w:hAnsi="Arial" w:cs="Arial"/>
        </w:rPr>
        <w:t xml:space="preserve">. Predictors of New-Onset Widespread Pain in Older Adults: Results From a Population-Based Prospective Cohort Study in the UK. </w:t>
      </w:r>
      <w:r w:rsidR="008D0565" w:rsidRPr="00D61F73">
        <w:rPr>
          <w:rFonts w:ascii="Arial" w:hAnsi="Arial" w:cs="Arial"/>
          <w:i/>
          <w:iCs/>
        </w:rPr>
        <w:t>Arthritis Rheumatol</w:t>
      </w:r>
      <w:r w:rsidR="008D0565" w:rsidRPr="00D61F73">
        <w:rPr>
          <w:rFonts w:ascii="Arial" w:hAnsi="Arial" w:cs="Arial"/>
        </w:rPr>
        <w:t>. 2014 Mar;66(3):757-67. doi: 10.1002/art.38284.</w:t>
      </w:r>
    </w:p>
    <w:p w14:paraId="74A166F2" w14:textId="77777777" w:rsidR="008D0565" w:rsidRPr="00D61F73" w:rsidRDefault="008D0565" w:rsidP="00D61F73">
      <w:pPr>
        <w:rPr>
          <w:rFonts w:ascii="Arial" w:hAnsi="Arial" w:cs="Arial"/>
        </w:rPr>
      </w:pPr>
    </w:p>
    <w:p w14:paraId="6EF73531" w14:textId="77777777" w:rsidR="008D0565" w:rsidRPr="00D61F73" w:rsidRDefault="00751163" w:rsidP="00D61F73">
      <w:pPr>
        <w:rPr>
          <w:rFonts w:ascii="Arial" w:hAnsi="Arial" w:cs="Arial"/>
        </w:rPr>
      </w:pPr>
      <w:hyperlink w:anchor="McGeary" w:history="1">
        <w:r w:rsidR="008D0565" w:rsidRPr="00D61F73">
          <w:rPr>
            <w:rStyle w:val="Hyperlink"/>
            <w:rFonts w:ascii="Arial" w:hAnsi="Arial" w:cs="Arial"/>
          </w:rPr>
          <w:t>McGeary DD, Mayer TG, Gatchel RJ</w:t>
        </w:r>
      </w:hyperlink>
      <w:r w:rsidR="008D0565" w:rsidRPr="00D61F73">
        <w:rPr>
          <w:rFonts w:ascii="Arial" w:hAnsi="Arial" w:cs="Arial"/>
        </w:rPr>
        <w:t xml:space="preserve">. High pain ratings predict treatment failure in chronic occupational musculoskeletal disorders. </w:t>
      </w:r>
      <w:r w:rsidR="008D0565" w:rsidRPr="00D61F73">
        <w:rPr>
          <w:rFonts w:ascii="Arial" w:hAnsi="Arial" w:cs="Arial"/>
          <w:i/>
        </w:rPr>
        <w:t>J Bone Joint Surg Am</w:t>
      </w:r>
      <w:r w:rsidR="008D0565" w:rsidRPr="00D61F73">
        <w:rPr>
          <w:rFonts w:ascii="Arial" w:hAnsi="Arial" w:cs="Arial"/>
        </w:rPr>
        <w:t>. 2006 Feb;88(2):317-25.</w:t>
      </w:r>
    </w:p>
    <w:p w14:paraId="1CC08C91" w14:textId="77777777" w:rsidR="008D0565" w:rsidRPr="00D61F73" w:rsidRDefault="008D0565" w:rsidP="00D61F73">
      <w:pPr>
        <w:rPr>
          <w:rFonts w:ascii="Arial" w:hAnsi="Arial" w:cs="Arial"/>
        </w:rPr>
      </w:pPr>
    </w:p>
    <w:p w14:paraId="21DD6295" w14:textId="77777777" w:rsidR="008D0565" w:rsidRPr="00D61F73" w:rsidRDefault="00751163" w:rsidP="00D61F73">
      <w:pPr>
        <w:rPr>
          <w:rFonts w:ascii="Arial" w:hAnsi="Arial" w:cs="Arial"/>
        </w:rPr>
      </w:pPr>
      <w:hyperlink w:anchor="McGeary2004" w:history="1">
        <w:r w:rsidR="008D0565" w:rsidRPr="00D61F73">
          <w:rPr>
            <w:rStyle w:val="Hyperlink"/>
            <w:rFonts w:ascii="Arial" w:hAnsi="Arial" w:cs="Arial"/>
          </w:rPr>
          <w:t>McGeary DD, Mayer TG, Gatchel RJ, Anagnostis C.</w:t>
        </w:r>
      </w:hyperlink>
      <w:r w:rsidR="008D0565" w:rsidRPr="00D61F73">
        <w:rPr>
          <w:rFonts w:ascii="Arial" w:hAnsi="Arial" w:cs="Arial"/>
        </w:rPr>
        <w:t xml:space="preserve"> Smoking status and psychosocioeconomic outcomes of functional restoration in patients with chronic spinal disability. </w:t>
      </w:r>
      <w:r w:rsidR="008D0565" w:rsidRPr="00D61F73">
        <w:rPr>
          <w:rFonts w:ascii="Arial" w:hAnsi="Arial" w:cs="Arial"/>
          <w:i/>
        </w:rPr>
        <w:t>Spine J</w:t>
      </w:r>
      <w:r w:rsidR="008D0565" w:rsidRPr="00D61F73">
        <w:rPr>
          <w:rFonts w:ascii="Arial" w:hAnsi="Arial" w:cs="Arial"/>
        </w:rPr>
        <w:t>. 2004 Mar-Apr;4(2):170-5.</w:t>
      </w:r>
    </w:p>
    <w:p w14:paraId="451BA1AE" w14:textId="77777777" w:rsidR="008D0565" w:rsidRPr="00D61F73" w:rsidRDefault="008D0565" w:rsidP="00D61F73">
      <w:pPr>
        <w:rPr>
          <w:rFonts w:ascii="Arial" w:hAnsi="Arial" w:cs="Arial"/>
        </w:rPr>
      </w:pPr>
    </w:p>
    <w:p w14:paraId="501668DA" w14:textId="77777777" w:rsidR="008D0565" w:rsidRPr="00D61F73" w:rsidRDefault="00751163" w:rsidP="00D61F73">
      <w:pPr>
        <w:rPr>
          <w:rFonts w:ascii="Arial" w:hAnsi="Arial" w:cs="Arial"/>
        </w:rPr>
      </w:pPr>
      <w:hyperlink w:anchor="Morin2" w:history="1">
        <w:r w:rsidR="008D0565" w:rsidRPr="00D61F73">
          <w:rPr>
            <w:rStyle w:val="Hyperlink"/>
            <w:rFonts w:ascii="Arial" w:hAnsi="Arial" w:cs="Arial"/>
          </w:rPr>
          <w:t>Morin CM, Vallières A, Guay B, Ivers H, Savard J, Mérette C, Bastien C, Baillargeon L</w:t>
        </w:r>
      </w:hyperlink>
      <w:r w:rsidR="008D0565" w:rsidRPr="00D61F73">
        <w:rPr>
          <w:rFonts w:ascii="Arial" w:hAnsi="Arial" w:cs="Arial"/>
        </w:rPr>
        <w:t xml:space="preserve">. Cognitive behavioral therapy, singly and combined with medication, for persistent insomnia: a randomized controlled trial. </w:t>
      </w:r>
      <w:r w:rsidR="008D0565" w:rsidRPr="00D61F73">
        <w:rPr>
          <w:rFonts w:ascii="Arial" w:hAnsi="Arial" w:cs="Arial"/>
          <w:i/>
          <w:iCs/>
        </w:rPr>
        <w:t>JAMA</w:t>
      </w:r>
      <w:r w:rsidR="008D0565" w:rsidRPr="00D61F73">
        <w:rPr>
          <w:rFonts w:ascii="Arial" w:hAnsi="Arial" w:cs="Arial"/>
        </w:rPr>
        <w:t>. 2009 May 20;301(19):2005-15.</w:t>
      </w:r>
    </w:p>
    <w:p w14:paraId="06C14878" w14:textId="77777777" w:rsidR="008D0565" w:rsidRPr="00D61F73" w:rsidRDefault="008D0565" w:rsidP="00D61F73">
      <w:pPr>
        <w:rPr>
          <w:rFonts w:ascii="Arial" w:hAnsi="Arial" w:cs="Arial"/>
        </w:rPr>
      </w:pPr>
    </w:p>
    <w:p w14:paraId="4005CBD5" w14:textId="77777777" w:rsidR="008D0565" w:rsidRPr="00D61F73" w:rsidRDefault="00751163" w:rsidP="00D61F73">
      <w:pPr>
        <w:rPr>
          <w:rFonts w:ascii="Arial" w:hAnsi="Arial" w:cs="Arial"/>
        </w:rPr>
      </w:pPr>
      <w:hyperlink w:anchor="NewtonJohn" w:history="1">
        <w:r w:rsidR="008D0565" w:rsidRPr="00D61F73">
          <w:rPr>
            <w:rStyle w:val="Hyperlink"/>
            <w:rFonts w:ascii="Arial" w:hAnsi="Arial" w:cs="Arial"/>
          </w:rPr>
          <w:t>Newton-John TR, Spence SH, Schotte D.</w:t>
        </w:r>
      </w:hyperlink>
      <w:r w:rsidR="008D0565" w:rsidRPr="00D61F73">
        <w:rPr>
          <w:rFonts w:ascii="Arial" w:hAnsi="Arial" w:cs="Arial"/>
        </w:rPr>
        <w:t xml:space="preserve"> Cognitive-behavioural therapy versus EMG biofeedback in the treatment of chronic low back pain. </w:t>
      </w:r>
      <w:r w:rsidR="008D0565" w:rsidRPr="00D61F73">
        <w:rPr>
          <w:rFonts w:ascii="Arial" w:hAnsi="Arial" w:cs="Arial"/>
          <w:i/>
          <w:iCs/>
        </w:rPr>
        <w:t>Behav Res Ther</w:t>
      </w:r>
      <w:r w:rsidR="008D0565" w:rsidRPr="00D61F73">
        <w:rPr>
          <w:rFonts w:ascii="Arial" w:hAnsi="Arial" w:cs="Arial"/>
        </w:rPr>
        <w:t>. 1995 Jul;33(6):691-7.</w:t>
      </w:r>
    </w:p>
    <w:p w14:paraId="3969729C" w14:textId="77777777" w:rsidR="008D0565" w:rsidRPr="00D61F73" w:rsidRDefault="008D0565" w:rsidP="00D61F73">
      <w:pPr>
        <w:rPr>
          <w:rFonts w:ascii="Arial" w:hAnsi="Arial" w:cs="Arial"/>
        </w:rPr>
      </w:pPr>
    </w:p>
    <w:p w14:paraId="1D5EA869" w14:textId="77777777" w:rsidR="008D0565" w:rsidRPr="00D61F73" w:rsidRDefault="00751163" w:rsidP="00D61F73">
      <w:pPr>
        <w:rPr>
          <w:rFonts w:ascii="Arial" w:hAnsi="Arial" w:cs="Arial"/>
        </w:rPr>
      </w:pPr>
      <w:hyperlink w:anchor="Nouwen" w:history="1">
        <w:r w:rsidR="008D0565" w:rsidRPr="00D61F73">
          <w:rPr>
            <w:rStyle w:val="Hyperlink"/>
            <w:rFonts w:ascii="Arial" w:hAnsi="Arial" w:cs="Arial"/>
          </w:rPr>
          <w:t>Nouwen A</w:t>
        </w:r>
      </w:hyperlink>
      <w:r w:rsidR="008D0565" w:rsidRPr="00D61F73">
        <w:rPr>
          <w:rFonts w:ascii="Arial" w:hAnsi="Arial" w:cs="Arial"/>
        </w:rPr>
        <w:t xml:space="preserve">. EMG biofeedback used to reduce standing levels of paraspinal muscle tension in chronic low back pain. </w:t>
      </w:r>
      <w:r w:rsidR="008D0565" w:rsidRPr="00D61F73">
        <w:rPr>
          <w:rFonts w:ascii="Arial" w:hAnsi="Arial" w:cs="Arial"/>
          <w:i/>
          <w:iCs/>
        </w:rPr>
        <w:t>Pain</w:t>
      </w:r>
      <w:r w:rsidR="008D0565" w:rsidRPr="00D61F73">
        <w:rPr>
          <w:rFonts w:ascii="Arial" w:hAnsi="Arial" w:cs="Arial"/>
        </w:rPr>
        <w:t>. 1983 Dec;17(4):353-60.</w:t>
      </w:r>
    </w:p>
    <w:p w14:paraId="536F8089" w14:textId="77777777" w:rsidR="0092597C" w:rsidRPr="00D61F73" w:rsidRDefault="0092597C" w:rsidP="00D61F73">
      <w:pPr>
        <w:rPr>
          <w:rFonts w:ascii="Arial" w:hAnsi="Arial" w:cs="Arial"/>
        </w:rPr>
      </w:pPr>
    </w:p>
    <w:p w14:paraId="77A2F10A" w14:textId="77777777" w:rsidR="0092597C" w:rsidRPr="00D61F73" w:rsidRDefault="00751163" w:rsidP="00D61F73">
      <w:pPr>
        <w:rPr>
          <w:rFonts w:ascii="Arial" w:hAnsi="Arial" w:cs="Arial"/>
        </w:rPr>
      </w:pPr>
      <w:hyperlink w:anchor="APTA" w:history="1">
        <w:r w:rsidR="0092597C" w:rsidRPr="00D61F73">
          <w:rPr>
            <w:rStyle w:val="Hyperlink"/>
            <w:rFonts w:ascii="Arial" w:hAnsi="Arial" w:cs="Arial"/>
          </w:rPr>
          <w:t>Orthopaedic Section BOD</w:t>
        </w:r>
      </w:hyperlink>
      <w:r w:rsidR="0092597C" w:rsidRPr="00D61F73">
        <w:rPr>
          <w:rFonts w:ascii="Arial" w:hAnsi="Arial" w:cs="Arial"/>
        </w:rPr>
        <w:t xml:space="preserve">. </w:t>
      </w:r>
      <w:r w:rsidR="0092597C" w:rsidRPr="00D61F73">
        <w:rPr>
          <w:rFonts w:ascii="Arial" w:hAnsi="Arial" w:cs="Arial"/>
          <w:i/>
        </w:rPr>
        <w:t xml:space="preserve">Guideline: Occupational Health Physical Therapy: Advanced Work Rehabilitation Guidelines. </w:t>
      </w:r>
      <w:r w:rsidR="0092597C" w:rsidRPr="00D61F73">
        <w:rPr>
          <w:rFonts w:ascii="Arial" w:hAnsi="Arial" w:cs="Arial"/>
        </w:rPr>
        <w:t>Approved July 11, 2011. (Formerly the APTA guideline, rescinded in May 2011)</w:t>
      </w:r>
    </w:p>
    <w:p w14:paraId="410614B4" w14:textId="77777777" w:rsidR="008D0565" w:rsidRPr="00D61F73" w:rsidRDefault="008D0565" w:rsidP="00D61F73">
      <w:pPr>
        <w:rPr>
          <w:rFonts w:ascii="Arial" w:hAnsi="Arial" w:cs="Arial"/>
        </w:rPr>
      </w:pPr>
    </w:p>
    <w:p w14:paraId="215511D6" w14:textId="77777777" w:rsidR="008D0565" w:rsidRPr="00D61F73" w:rsidRDefault="00751163" w:rsidP="00D61F73">
      <w:pPr>
        <w:rPr>
          <w:rFonts w:ascii="Arial" w:hAnsi="Arial" w:cs="Arial"/>
        </w:rPr>
      </w:pPr>
      <w:hyperlink w:anchor="Rome" w:history="1">
        <w:r w:rsidR="008D0565" w:rsidRPr="00D61F73">
          <w:rPr>
            <w:rStyle w:val="Hyperlink"/>
            <w:rFonts w:ascii="Arial" w:hAnsi="Arial" w:cs="Arial"/>
          </w:rPr>
          <w:t>Rome JD, Townsend CO, Bruce BK, Sletten CD, Luedtke CA, Hodgson JE</w:t>
        </w:r>
      </w:hyperlink>
      <w:r w:rsidR="008D0565" w:rsidRPr="00D61F73">
        <w:rPr>
          <w:rFonts w:ascii="Arial" w:hAnsi="Arial" w:cs="Arial"/>
        </w:rPr>
        <w:t xml:space="preserve">. Chronic noncancer pain rehabilitation with opioid withdrawal: comparison of treatment outcomes based on opioid use status at admission. </w:t>
      </w:r>
      <w:r w:rsidR="008D0565" w:rsidRPr="00D61F73">
        <w:rPr>
          <w:rFonts w:ascii="Arial" w:hAnsi="Arial" w:cs="Arial"/>
          <w:i/>
        </w:rPr>
        <w:t>Mayo Clin Proc</w:t>
      </w:r>
      <w:r w:rsidR="008D0565" w:rsidRPr="00D61F73">
        <w:rPr>
          <w:rFonts w:ascii="Arial" w:hAnsi="Arial" w:cs="Arial"/>
        </w:rPr>
        <w:t>. 2004 Jun;79(6):759-68.</w:t>
      </w:r>
    </w:p>
    <w:p w14:paraId="579A0D6A" w14:textId="77777777" w:rsidR="0092597C" w:rsidRPr="00D61F73" w:rsidRDefault="0092597C" w:rsidP="00D61F73">
      <w:pPr>
        <w:rPr>
          <w:rFonts w:ascii="Arial" w:hAnsi="Arial" w:cs="Arial"/>
        </w:rPr>
      </w:pPr>
    </w:p>
    <w:p w14:paraId="4C019112" w14:textId="77777777" w:rsidR="002D4783" w:rsidRPr="00D61F73" w:rsidRDefault="00751163" w:rsidP="00D61F73">
      <w:pPr>
        <w:rPr>
          <w:rFonts w:ascii="Arial" w:hAnsi="Arial" w:cs="Arial"/>
        </w:rPr>
      </w:pPr>
      <w:hyperlink r:id="rId190" w:history="1">
        <w:r w:rsidR="002D4783" w:rsidRPr="00D61F73">
          <w:rPr>
            <w:rStyle w:val="Hyperlink"/>
            <w:rFonts w:ascii="Arial" w:hAnsi="Arial" w:cs="Arial"/>
          </w:rPr>
          <w:t>Schaafsma F, Schonstein E, Whelan KM, Ulvestad E, Kenny DT, Verbeek JH.</w:t>
        </w:r>
      </w:hyperlink>
      <w:r w:rsidR="002D4783" w:rsidRPr="00D61F73">
        <w:rPr>
          <w:rFonts w:ascii="Arial" w:hAnsi="Arial" w:cs="Arial"/>
        </w:rPr>
        <w:t xml:space="preserve"> Physical conditioning programs for improving work outcomes in workers with back pain. Cochrane Database Syst Rev. 2010 Jan 20;(1):CD001822. doi: 10.1002/14651858.CD001822.pub2. Review.</w:t>
      </w:r>
    </w:p>
    <w:p w14:paraId="73273927" w14:textId="77777777" w:rsidR="008D0565" w:rsidRPr="00D61F73" w:rsidRDefault="008D0565" w:rsidP="00D61F73">
      <w:pPr>
        <w:rPr>
          <w:rFonts w:ascii="Arial" w:hAnsi="Arial" w:cs="Arial"/>
        </w:rPr>
      </w:pPr>
    </w:p>
    <w:p w14:paraId="42C8704C" w14:textId="77777777" w:rsidR="008D0565" w:rsidRPr="00D61F73" w:rsidRDefault="00751163" w:rsidP="00D61F73">
      <w:pPr>
        <w:rPr>
          <w:rFonts w:ascii="Arial" w:hAnsi="Arial" w:cs="Arial"/>
        </w:rPr>
      </w:pPr>
      <w:hyperlink w:anchor="Schonstein" w:history="1">
        <w:r w:rsidR="008D0565" w:rsidRPr="00D61F73">
          <w:rPr>
            <w:rStyle w:val="Hyperlink"/>
            <w:rFonts w:ascii="Arial" w:hAnsi="Arial" w:cs="Arial"/>
          </w:rPr>
          <w:t>Schonstein E, Kenny D, Keating J, Koes B, Herbert RD</w:t>
        </w:r>
      </w:hyperlink>
      <w:r w:rsidR="008D0565" w:rsidRPr="00D61F73">
        <w:rPr>
          <w:rFonts w:ascii="Arial" w:hAnsi="Arial" w:cs="Arial"/>
        </w:rPr>
        <w:t xml:space="preserve">. Physical conditioning programs for workers with back and neck pain: a cochrane systematic review. </w:t>
      </w:r>
      <w:r w:rsidR="008D0565" w:rsidRPr="00D61F73">
        <w:rPr>
          <w:rFonts w:ascii="Arial" w:hAnsi="Arial" w:cs="Arial"/>
          <w:i/>
        </w:rPr>
        <w:t>Spine</w:t>
      </w:r>
      <w:r w:rsidR="008D0565" w:rsidRPr="00D61F73">
        <w:rPr>
          <w:rFonts w:ascii="Arial" w:hAnsi="Arial" w:cs="Arial"/>
        </w:rPr>
        <w:t>. 2003 Oct 1;28(19):E391-5.</w:t>
      </w:r>
    </w:p>
    <w:p w14:paraId="1E88F970" w14:textId="77777777" w:rsidR="008D0565" w:rsidRPr="00D61F73" w:rsidRDefault="008D0565" w:rsidP="00D61F73">
      <w:pPr>
        <w:rPr>
          <w:rFonts w:ascii="Arial" w:hAnsi="Arial" w:cs="Arial"/>
        </w:rPr>
      </w:pPr>
    </w:p>
    <w:p w14:paraId="07D611C3" w14:textId="77777777" w:rsidR="008D0565" w:rsidRPr="00D61F73" w:rsidRDefault="00751163" w:rsidP="00D61F73">
      <w:pPr>
        <w:rPr>
          <w:rFonts w:ascii="Arial" w:hAnsi="Arial" w:cs="Arial"/>
        </w:rPr>
      </w:pPr>
      <w:hyperlink w:anchor="Schultz" w:history="1">
        <w:r w:rsidR="008D0565" w:rsidRPr="00D61F73">
          <w:rPr>
            <w:rStyle w:val="Hyperlink"/>
            <w:rFonts w:ascii="Arial" w:hAnsi="Arial" w:cs="Arial"/>
          </w:rPr>
          <w:t>Schultz IZ, Crook J, Berkowitz J, Milner R, Meloche GR, Lewis ML.</w:t>
        </w:r>
      </w:hyperlink>
      <w:r w:rsidR="008D0565" w:rsidRPr="00D61F73">
        <w:rPr>
          <w:rFonts w:ascii="Arial" w:hAnsi="Arial" w:cs="Arial"/>
        </w:rPr>
        <w:t xml:space="preserve"> A Prospective Study of the Effectiveness of Early Intervention with High-risk Back-injured Workers-A Pilot Study. </w:t>
      </w:r>
      <w:r w:rsidR="008D0565" w:rsidRPr="00D61F73">
        <w:rPr>
          <w:rFonts w:ascii="Arial" w:hAnsi="Arial" w:cs="Arial"/>
          <w:i/>
          <w:iCs/>
        </w:rPr>
        <w:t>J Occup Rehabil.</w:t>
      </w:r>
      <w:r w:rsidR="008D0565" w:rsidRPr="00D61F73">
        <w:rPr>
          <w:rFonts w:ascii="Arial" w:hAnsi="Arial" w:cs="Arial"/>
        </w:rPr>
        <w:t xml:space="preserve"> 2008 Jun;18(2):140-51. Epub 2008 Apr 11.</w:t>
      </w:r>
    </w:p>
    <w:p w14:paraId="3A7411AC" w14:textId="77777777" w:rsidR="008D0565" w:rsidRPr="00D61F73" w:rsidRDefault="008D0565" w:rsidP="00D61F73">
      <w:pPr>
        <w:rPr>
          <w:rFonts w:ascii="Arial" w:hAnsi="Arial" w:cs="Arial"/>
        </w:rPr>
      </w:pPr>
    </w:p>
    <w:p w14:paraId="11D6D74B" w14:textId="77777777" w:rsidR="008D0565" w:rsidRPr="00D61F73" w:rsidRDefault="00751163" w:rsidP="00D61F73">
      <w:pPr>
        <w:rPr>
          <w:rFonts w:ascii="Arial" w:hAnsi="Arial" w:cs="Arial"/>
        </w:rPr>
      </w:pPr>
      <w:hyperlink w:anchor="Skouen" w:history="1">
        <w:r w:rsidR="008D0565" w:rsidRPr="00D61F73">
          <w:rPr>
            <w:rStyle w:val="Hyperlink"/>
            <w:rFonts w:ascii="Arial" w:hAnsi="Arial" w:cs="Arial"/>
          </w:rPr>
          <w:t>Skouen JS, Grasdal AL, Haldorsen EM, Ursin H</w:t>
        </w:r>
      </w:hyperlink>
      <w:r w:rsidR="008D0565" w:rsidRPr="00D61F73">
        <w:rPr>
          <w:rFonts w:ascii="Arial" w:hAnsi="Arial" w:cs="Arial"/>
        </w:rPr>
        <w:t xml:space="preserve">. Relative cost-effectiveness of extensive and light multidisciplinary treatment programs versus treatment as usual for patients with chronic low back pain on long-term sick leave: randomized controlled study. </w:t>
      </w:r>
      <w:r w:rsidR="008D0565" w:rsidRPr="00D61F73">
        <w:rPr>
          <w:rFonts w:ascii="Arial" w:hAnsi="Arial" w:cs="Arial"/>
          <w:i/>
        </w:rPr>
        <w:t>Spine.</w:t>
      </w:r>
      <w:r w:rsidR="008D0565" w:rsidRPr="00D61F73">
        <w:rPr>
          <w:rFonts w:ascii="Arial" w:hAnsi="Arial" w:cs="Arial"/>
        </w:rPr>
        <w:t xml:space="preserve"> 2002 May 1;27(9):901-9; discussion 909-10.</w:t>
      </w:r>
    </w:p>
    <w:p w14:paraId="7A0E099F" w14:textId="77777777" w:rsidR="008D0565" w:rsidRPr="00D61F73" w:rsidRDefault="008D0565" w:rsidP="00D61F73">
      <w:pPr>
        <w:rPr>
          <w:rFonts w:ascii="Arial" w:hAnsi="Arial" w:cs="Arial"/>
        </w:rPr>
      </w:pPr>
    </w:p>
    <w:p w14:paraId="07940D81" w14:textId="77777777" w:rsidR="008D0565" w:rsidRPr="00D61F73" w:rsidRDefault="00751163" w:rsidP="00D61F73">
      <w:pPr>
        <w:rPr>
          <w:rFonts w:ascii="Arial" w:hAnsi="Arial" w:cs="Arial"/>
        </w:rPr>
      </w:pPr>
      <w:hyperlink w:anchor="Spence" w:history="1">
        <w:r w:rsidR="008D0565" w:rsidRPr="00D61F73">
          <w:rPr>
            <w:rStyle w:val="Hyperlink"/>
            <w:rFonts w:ascii="Arial" w:hAnsi="Arial" w:cs="Arial"/>
          </w:rPr>
          <w:t>Spence SH, Sharpe L, Newton-John T, Champion D</w:t>
        </w:r>
      </w:hyperlink>
      <w:r w:rsidR="008D0565" w:rsidRPr="00D61F73">
        <w:rPr>
          <w:rFonts w:ascii="Arial" w:hAnsi="Arial" w:cs="Arial"/>
        </w:rPr>
        <w:t xml:space="preserve">. Effect of EMG biofeedback compared to applied relaxation training with chronic, upper extremity cumulative trauma disorders. </w:t>
      </w:r>
      <w:r w:rsidR="008D0565" w:rsidRPr="00D61F73">
        <w:rPr>
          <w:rFonts w:ascii="Arial" w:hAnsi="Arial" w:cs="Arial"/>
          <w:i/>
          <w:iCs/>
        </w:rPr>
        <w:t>Pain.</w:t>
      </w:r>
      <w:r w:rsidR="008D0565" w:rsidRPr="00D61F73">
        <w:rPr>
          <w:rFonts w:ascii="Arial" w:hAnsi="Arial" w:cs="Arial"/>
        </w:rPr>
        <w:t xml:space="preserve"> 1995 Nov;63(2):199-206.</w:t>
      </w:r>
    </w:p>
    <w:p w14:paraId="55D6C157" w14:textId="77777777" w:rsidR="008D0565" w:rsidRPr="00D61F73" w:rsidRDefault="008D0565" w:rsidP="00D61F73">
      <w:pPr>
        <w:rPr>
          <w:rFonts w:ascii="Arial" w:hAnsi="Arial" w:cs="Arial"/>
        </w:rPr>
      </w:pPr>
    </w:p>
    <w:p w14:paraId="2AC3F847" w14:textId="77777777" w:rsidR="008D0565" w:rsidRPr="00D61F73" w:rsidRDefault="00751163" w:rsidP="00D61F73">
      <w:pPr>
        <w:rPr>
          <w:rFonts w:ascii="Arial" w:hAnsi="Arial" w:cs="Arial"/>
        </w:rPr>
      </w:pPr>
      <w:hyperlink w:anchor="Stanos" w:history="1">
        <w:r w:rsidR="008D0565" w:rsidRPr="00D61F73">
          <w:rPr>
            <w:rStyle w:val="Hyperlink"/>
            <w:rFonts w:ascii="Arial" w:hAnsi="Arial" w:cs="Arial"/>
          </w:rPr>
          <w:t>Stanos S, Houle TT</w:t>
        </w:r>
      </w:hyperlink>
      <w:r w:rsidR="008D0565" w:rsidRPr="00D61F73">
        <w:rPr>
          <w:rFonts w:ascii="Arial" w:hAnsi="Arial" w:cs="Arial"/>
        </w:rPr>
        <w:t xml:space="preserve">. Multidisciplinary and interdisciplinary management of chronic pain. </w:t>
      </w:r>
      <w:r w:rsidR="008D0565" w:rsidRPr="00D61F73">
        <w:rPr>
          <w:rFonts w:ascii="Arial" w:hAnsi="Arial" w:cs="Arial"/>
          <w:i/>
        </w:rPr>
        <w:t>Phys Med Rehabil Clin N Am.</w:t>
      </w:r>
      <w:r w:rsidR="008D0565" w:rsidRPr="00D61F73">
        <w:rPr>
          <w:rFonts w:ascii="Arial" w:hAnsi="Arial" w:cs="Arial"/>
        </w:rPr>
        <w:t xml:space="preserve"> 2006 May;17(2):435-50, vii.</w:t>
      </w:r>
    </w:p>
    <w:p w14:paraId="3B18952F" w14:textId="77777777" w:rsidR="008D0565" w:rsidRPr="00D61F73" w:rsidRDefault="008D0565" w:rsidP="00D61F73">
      <w:pPr>
        <w:rPr>
          <w:rFonts w:ascii="Arial" w:hAnsi="Arial" w:cs="Arial"/>
        </w:rPr>
      </w:pPr>
    </w:p>
    <w:p w14:paraId="391FFA4D" w14:textId="77777777" w:rsidR="008D0565" w:rsidRPr="00D61F73" w:rsidRDefault="00751163" w:rsidP="00D61F73">
      <w:pPr>
        <w:rPr>
          <w:rFonts w:ascii="Arial" w:hAnsi="Arial" w:cs="Arial"/>
        </w:rPr>
      </w:pPr>
      <w:hyperlink w:anchor="Stuckey" w:history="1">
        <w:r w:rsidR="008D0565" w:rsidRPr="00D61F73">
          <w:rPr>
            <w:rStyle w:val="Hyperlink"/>
            <w:rFonts w:ascii="Arial" w:hAnsi="Arial" w:cs="Arial"/>
          </w:rPr>
          <w:t>Stuckey SJ, Jacobs A, Goldfarb J.</w:t>
        </w:r>
      </w:hyperlink>
      <w:r w:rsidR="008D0565" w:rsidRPr="00D61F73">
        <w:rPr>
          <w:rFonts w:ascii="Arial" w:hAnsi="Arial" w:cs="Arial"/>
        </w:rPr>
        <w:t xml:space="preserve"> EMG biofeedback training, relaxation training, and placebo for the relief of chronic back pain. </w:t>
      </w:r>
      <w:r w:rsidR="008D0565" w:rsidRPr="00D61F73">
        <w:rPr>
          <w:rFonts w:ascii="Arial" w:hAnsi="Arial" w:cs="Arial"/>
          <w:i/>
          <w:iCs/>
        </w:rPr>
        <w:t>Percept Mot Skills</w:t>
      </w:r>
      <w:r w:rsidR="008D0565" w:rsidRPr="00D61F73">
        <w:rPr>
          <w:rFonts w:ascii="Arial" w:hAnsi="Arial" w:cs="Arial"/>
        </w:rPr>
        <w:t>. 1986 Dec;63(3):1023-36.</w:t>
      </w:r>
    </w:p>
    <w:p w14:paraId="1AD227BA" w14:textId="77777777" w:rsidR="008D0565" w:rsidRPr="00D61F73" w:rsidRDefault="008D0565" w:rsidP="00D61F73">
      <w:pPr>
        <w:rPr>
          <w:rFonts w:ascii="Arial" w:hAnsi="Arial" w:cs="Arial"/>
        </w:rPr>
      </w:pPr>
    </w:p>
    <w:p w14:paraId="0B4AD68D" w14:textId="77777777" w:rsidR="008D0565" w:rsidRPr="00D61F73" w:rsidRDefault="00751163" w:rsidP="00D61F73">
      <w:pPr>
        <w:rPr>
          <w:rFonts w:ascii="Arial" w:hAnsi="Arial" w:cs="Arial"/>
        </w:rPr>
      </w:pPr>
      <w:hyperlink w:anchor="Sullivan" w:history="1">
        <w:r w:rsidR="008D0565" w:rsidRPr="00D61F73">
          <w:rPr>
            <w:rStyle w:val="Hyperlink"/>
            <w:rFonts w:ascii="Arial" w:hAnsi="Arial" w:cs="Arial"/>
          </w:rPr>
          <w:t>Sullivan MJ, Ward LC, Tripp D, French DJ, Adams H, Stanish WD.</w:t>
        </w:r>
      </w:hyperlink>
      <w:r w:rsidR="008D0565" w:rsidRPr="00D61F73">
        <w:rPr>
          <w:rFonts w:ascii="Arial" w:hAnsi="Arial" w:cs="Arial"/>
        </w:rPr>
        <w:t xml:space="preserve"> Secondary prevention of work disability: community-based psychosocial intervention for musculoskeletal disorders. J Occup Rehabil. 2005 Sep;15(3):377-92.</w:t>
      </w:r>
    </w:p>
    <w:p w14:paraId="511599BE" w14:textId="77777777" w:rsidR="008D0565" w:rsidRPr="00D61F73" w:rsidRDefault="008D0565" w:rsidP="00D61F73">
      <w:pPr>
        <w:rPr>
          <w:rFonts w:ascii="Arial" w:hAnsi="Arial" w:cs="Arial"/>
          <w:b/>
          <w:bCs/>
        </w:rPr>
      </w:pPr>
    </w:p>
    <w:p w14:paraId="44B7E28B" w14:textId="77777777" w:rsidR="008D0565" w:rsidRPr="00D61F73" w:rsidRDefault="00751163" w:rsidP="00D61F73">
      <w:pPr>
        <w:rPr>
          <w:rFonts w:ascii="Arial" w:hAnsi="Arial" w:cs="Arial"/>
        </w:rPr>
      </w:pPr>
      <w:hyperlink w:anchor="Vlaeyen" w:history="1">
        <w:r w:rsidR="008D0565" w:rsidRPr="00D61F73">
          <w:rPr>
            <w:rStyle w:val="Hyperlink"/>
            <w:rFonts w:ascii="Arial" w:hAnsi="Arial" w:cs="Arial"/>
          </w:rPr>
          <w:t>Vlaeyen JW, Haazen IW, Schuerman JA, Kole-Snijders AM, van Eek H</w:t>
        </w:r>
      </w:hyperlink>
      <w:r w:rsidR="008D0565" w:rsidRPr="00D61F73">
        <w:rPr>
          <w:rFonts w:ascii="Arial" w:hAnsi="Arial" w:cs="Arial"/>
        </w:rPr>
        <w:t xml:space="preserve">. Behavioural rehabilitation of chronic low back pain: comparison of an operant treatment, an operant-cognitive treatment and an operant-respondent treatment. </w:t>
      </w:r>
      <w:r w:rsidR="008D0565" w:rsidRPr="00D61F73">
        <w:rPr>
          <w:rFonts w:ascii="Arial" w:hAnsi="Arial" w:cs="Arial"/>
          <w:i/>
          <w:iCs/>
        </w:rPr>
        <w:t>Br J Clin Psychol</w:t>
      </w:r>
      <w:r w:rsidR="008D0565" w:rsidRPr="00D61F73">
        <w:rPr>
          <w:rFonts w:ascii="Arial" w:hAnsi="Arial" w:cs="Arial"/>
        </w:rPr>
        <w:t>. 1995 Feb;34 ( Pt 1):95-118.</w:t>
      </w:r>
    </w:p>
    <w:p w14:paraId="5D7AC423" w14:textId="77777777" w:rsidR="008D0565" w:rsidRPr="00D61F73" w:rsidRDefault="008D0565" w:rsidP="00D61F73">
      <w:pPr>
        <w:rPr>
          <w:rFonts w:ascii="Arial" w:hAnsi="Arial" w:cs="Arial"/>
        </w:rPr>
      </w:pPr>
    </w:p>
    <w:p w14:paraId="49C36428" w14:textId="77777777" w:rsidR="008D0565" w:rsidRPr="00D61F73" w:rsidRDefault="00751163" w:rsidP="00D61F73">
      <w:pPr>
        <w:rPr>
          <w:rFonts w:ascii="Arial" w:hAnsi="Arial" w:cs="Arial"/>
        </w:rPr>
      </w:pPr>
      <w:hyperlink w:anchor="Voerman" w:history="1">
        <w:r w:rsidR="008D0565" w:rsidRPr="00D61F73">
          <w:rPr>
            <w:rStyle w:val="Hyperlink"/>
            <w:rFonts w:ascii="Arial" w:hAnsi="Arial" w:cs="Arial"/>
          </w:rPr>
          <w:t>Voerman GE, Vollenbroek-Hutten MM, Hermens HJ.</w:t>
        </w:r>
      </w:hyperlink>
      <w:r w:rsidR="008D0565" w:rsidRPr="00D61F73">
        <w:rPr>
          <w:rFonts w:ascii="Arial" w:hAnsi="Arial" w:cs="Arial"/>
        </w:rPr>
        <w:t xml:space="preserve"> Changes in pain, disability, and muscle activation patterns in chronic whiplash patients after ambulant myofeedback training. </w:t>
      </w:r>
      <w:r w:rsidR="008D0565" w:rsidRPr="00D61F73">
        <w:rPr>
          <w:rFonts w:ascii="Arial" w:hAnsi="Arial" w:cs="Arial"/>
          <w:i/>
          <w:iCs/>
        </w:rPr>
        <w:t>Clin J Pain.</w:t>
      </w:r>
      <w:r w:rsidR="008D0565" w:rsidRPr="00D61F73">
        <w:rPr>
          <w:rFonts w:ascii="Arial" w:hAnsi="Arial" w:cs="Arial"/>
        </w:rPr>
        <w:t xml:space="preserve"> 2006 Sep;22(7):656-63. Links</w:t>
      </w:r>
    </w:p>
    <w:p w14:paraId="67E62C85" w14:textId="77777777" w:rsidR="008D0565" w:rsidRPr="00D61F73" w:rsidRDefault="008D0565" w:rsidP="00D61F73">
      <w:pPr>
        <w:rPr>
          <w:rFonts w:ascii="Arial" w:hAnsi="Arial" w:cs="Arial"/>
          <w:b/>
          <w:bCs/>
        </w:rPr>
      </w:pPr>
    </w:p>
    <w:p w14:paraId="0446C9EE" w14:textId="77777777" w:rsidR="008D0565" w:rsidRPr="00D61F73" w:rsidRDefault="008D0565" w:rsidP="00D61F73">
      <w:pPr>
        <w:rPr>
          <w:rFonts w:ascii="Arial" w:hAnsi="Arial" w:cs="Arial"/>
        </w:rPr>
      </w:pPr>
      <w:r w:rsidRPr="00D61F73">
        <w:rPr>
          <w:rFonts w:ascii="Arial" w:hAnsi="Arial" w:cs="Arial"/>
          <w:b/>
          <w:bCs/>
        </w:rPr>
        <w:t>C</w:t>
      </w:r>
      <w:bookmarkStart w:id="409" w:name="COMPLEMENTARYALTERNATIVEMEDICINE"/>
      <w:bookmarkEnd w:id="409"/>
      <w:r w:rsidRPr="00D61F73">
        <w:rPr>
          <w:rFonts w:ascii="Arial" w:hAnsi="Arial" w:cs="Arial"/>
          <w:b/>
          <w:bCs/>
        </w:rPr>
        <w:t>OMPLEMENTARY ALTERNATIVE MEDICINE</w:t>
      </w:r>
    </w:p>
    <w:p w14:paraId="2ABD5A3F" w14:textId="77777777" w:rsidR="008D0565" w:rsidRPr="00D61F73" w:rsidRDefault="008D0565" w:rsidP="00D61F73">
      <w:pPr>
        <w:rPr>
          <w:rFonts w:ascii="Arial" w:hAnsi="Arial" w:cs="Arial"/>
        </w:rPr>
      </w:pPr>
    </w:p>
    <w:p w14:paraId="3D3BF1DD" w14:textId="77777777" w:rsidR="008D0565" w:rsidRPr="00D61F73" w:rsidRDefault="00751163" w:rsidP="00D61F73">
      <w:pPr>
        <w:rPr>
          <w:rFonts w:ascii="Arial" w:hAnsi="Arial" w:cs="Arial"/>
        </w:rPr>
      </w:pPr>
      <w:hyperlink w:anchor="BlueCrossBlueShield8" w:history="1">
        <w:r w:rsidR="008D0565" w:rsidRPr="00D61F73">
          <w:rPr>
            <w:rStyle w:val="Hyperlink"/>
            <w:rFonts w:ascii="Arial" w:hAnsi="Arial" w:cs="Arial"/>
          </w:rPr>
          <w:t>BlueCross BlueShield</w:t>
        </w:r>
      </w:hyperlink>
      <w:r w:rsidR="008D0565" w:rsidRPr="00D61F73">
        <w:rPr>
          <w:rFonts w:ascii="Arial" w:hAnsi="Arial" w:cs="Arial"/>
        </w:rPr>
        <w:t>, Durable Medical Equipment Section - Biomagnetic Therapy, DME Policy No: 55, Effective Date: 03/01/2005</w:t>
      </w:r>
    </w:p>
    <w:p w14:paraId="3FBA6FFF" w14:textId="77777777" w:rsidR="008D0565" w:rsidRPr="00D61F73" w:rsidRDefault="008D0565" w:rsidP="00D61F73">
      <w:pPr>
        <w:rPr>
          <w:rFonts w:ascii="Arial" w:hAnsi="Arial" w:cs="Arial"/>
        </w:rPr>
      </w:pPr>
    </w:p>
    <w:p w14:paraId="6E6752C4" w14:textId="77777777" w:rsidR="008D0565" w:rsidRPr="00D61F73" w:rsidRDefault="00751163" w:rsidP="00D61F73">
      <w:pPr>
        <w:rPr>
          <w:rFonts w:ascii="Arial" w:eastAsia="Arial Unicode MS" w:hAnsi="Arial" w:cs="Arial"/>
          <w:color w:val="auto"/>
        </w:rPr>
      </w:pPr>
      <w:hyperlink w:anchor="Büssing2012" w:history="1">
        <w:r w:rsidR="008D0565" w:rsidRPr="00D61F73">
          <w:rPr>
            <w:rStyle w:val="Hyperlink"/>
            <w:rFonts w:ascii="Arial" w:eastAsia="Arial Unicode MS" w:hAnsi="Arial" w:cs="Arial"/>
          </w:rPr>
          <w:t>Büssing A, Ostermann T, Lüdtke R, Michalsen A</w:t>
        </w:r>
      </w:hyperlink>
      <w:r w:rsidR="008D0565" w:rsidRPr="00D61F73">
        <w:rPr>
          <w:rFonts w:ascii="Arial" w:eastAsia="Arial Unicode MS" w:hAnsi="Arial" w:cs="Arial"/>
          <w:color w:val="auto"/>
        </w:rPr>
        <w:t xml:space="preserve">. Effects of yoga interventions on pain and pain-associated disability: a meta-analysis. </w:t>
      </w:r>
      <w:r w:rsidR="008D0565" w:rsidRPr="00D61F73">
        <w:rPr>
          <w:rFonts w:ascii="Arial" w:eastAsia="Arial Unicode MS" w:hAnsi="Arial" w:cs="Arial"/>
          <w:i/>
          <w:iCs/>
          <w:color w:val="auto"/>
        </w:rPr>
        <w:t>J Pain.</w:t>
      </w:r>
      <w:r w:rsidR="008D0565" w:rsidRPr="00D61F73">
        <w:rPr>
          <w:rFonts w:ascii="Arial" w:eastAsia="Arial Unicode MS" w:hAnsi="Arial" w:cs="Arial"/>
          <w:color w:val="auto"/>
        </w:rPr>
        <w:t xml:space="preserve"> 2012 Jan;13(1):1-9.</w:t>
      </w:r>
    </w:p>
    <w:p w14:paraId="0CDF0DD6" w14:textId="77777777" w:rsidR="008D0565" w:rsidRPr="00D61F73" w:rsidRDefault="008D0565" w:rsidP="00D61F73">
      <w:pPr>
        <w:rPr>
          <w:rFonts w:ascii="Arial" w:hAnsi="Arial" w:cs="Arial"/>
        </w:rPr>
      </w:pPr>
    </w:p>
    <w:p w14:paraId="64227C1E" w14:textId="77777777" w:rsidR="008D0565" w:rsidRPr="00D61F73" w:rsidRDefault="00751163" w:rsidP="00D61F73">
      <w:pPr>
        <w:rPr>
          <w:rFonts w:ascii="Arial" w:hAnsi="Arial" w:cs="Arial"/>
          <w:b/>
          <w:bCs/>
        </w:rPr>
      </w:pPr>
      <w:hyperlink w:anchor="Carson2010" w:history="1">
        <w:r w:rsidR="008D0565" w:rsidRPr="00D61F73">
          <w:rPr>
            <w:rStyle w:val="Hyperlink"/>
            <w:rFonts w:ascii="Arial" w:hAnsi="Arial" w:cs="Arial"/>
          </w:rPr>
          <w:t>Carson JW, Carson KM, Jones KD, Bennett RM, Wright CL, Mist SD</w:t>
        </w:r>
      </w:hyperlink>
      <w:r w:rsidR="008D0565" w:rsidRPr="00D61F73">
        <w:rPr>
          <w:rFonts w:ascii="Arial" w:hAnsi="Arial" w:cs="Arial"/>
        </w:rPr>
        <w:t xml:space="preserve">. A pilot randomized controlled trial of the Yoga of Awareness program in the management of fibromyalgia. </w:t>
      </w:r>
      <w:r w:rsidR="008D0565" w:rsidRPr="00D61F73">
        <w:rPr>
          <w:rFonts w:ascii="Arial" w:hAnsi="Arial" w:cs="Arial"/>
          <w:i/>
          <w:iCs/>
        </w:rPr>
        <w:t>Pain</w:t>
      </w:r>
      <w:r w:rsidR="008D0565" w:rsidRPr="00D61F73">
        <w:rPr>
          <w:rFonts w:ascii="Arial" w:hAnsi="Arial" w:cs="Arial"/>
        </w:rPr>
        <w:t>. 2010 Nov;151(2):530-9.</w:t>
      </w:r>
    </w:p>
    <w:p w14:paraId="1A007FA4" w14:textId="77777777" w:rsidR="008D0565" w:rsidRPr="00D61F73" w:rsidRDefault="008D0565" w:rsidP="00D61F73">
      <w:pPr>
        <w:rPr>
          <w:rFonts w:ascii="Arial" w:hAnsi="Arial" w:cs="Arial"/>
          <w:b/>
          <w:bCs/>
        </w:rPr>
      </w:pPr>
    </w:p>
    <w:p w14:paraId="202D69E8" w14:textId="77777777" w:rsidR="008D0565" w:rsidRPr="00D61F73" w:rsidRDefault="00751163" w:rsidP="00D61F73">
      <w:pPr>
        <w:pStyle w:val="NormalWeb"/>
        <w:spacing w:before="0" w:beforeAutospacing="0" w:after="0" w:afterAutospacing="0"/>
        <w:rPr>
          <w:rFonts w:ascii="Arial" w:hAnsi="Arial" w:cs="Arial"/>
        </w:rPr>
      </w:pPr>
      <w:hyperlink w:anchor="Corbin" w:history="1">
        <w:r w:rsidR="008D0565" w:rsidRPr="00D61F73">
          <w:rPr>
            <w:rStyle w:val="Hyperlink"/>
            <w:rFonts w:ascii="Arial" w:hAnsi="Arial" w:cs="Arial"/>
          </w:rPr>
          <w:t>Corbin L.</w:t>
        </w:r>
      </w:hyperlink>
      <w:r w:rsidR="008D0565" w:rsidRPr="00D61F73">
        <w:rPr>
          <w:rFonts w:ascii="Arial" w:hAnsi="Arial" w:cs="Arial"/>
        </w:rPr>
        <w:t xml:space="preserve"> Safety and efficacy of massage therapy for patients with cancer. </w:t>
      </w:r>
      <w:r w:rsidR="008D0565" w:rsidRPr="00D61F73">
        <w:rPr>
          <w:rFonts w:ascii="Arial" w:hAnsi="Arial" w:cs="Arial"/>
          <w:i/>
          <w:iCs/>
        </w:rPr>
        <w:t>Cancer Control</w:t>
      </w:r>
      <w:r w:rsidR="008D0565" w:rsidRPr="00D61F73">
        <w:rPr>
          <w:rFonts w:ascii="Arial" w:hAnsi="Arial" w:cs="Arial"/>
        </w:rPr>
        <w:t>. 2005 Jul;12(3):158-64.</w:t>
      </w:r>
    </w:p>
    <w:p w14:paraId="0944AD05" w14:textId="77777777" w:rsidR="008D0565" w:rsidRPr="00D61F73" w:rsidRDefault="008D0565" w:rsidP="00D61F73">
      <w:pPr>
        <w:rPr>
          <w:rFonts w:ascii="Arial" w:hAnsi="Arial" w:cs="Arial"/>
          <w:b/>
          <w:bCs/>
        </w:rPr>
      </w:pPr>
    </w:p>
    <w:p w14:paraId="2AAE5416" w14:textId="77777777" w:rsidR="008D0565" w:rsidRPr="00D61F73" w:rsidRDefault="00751163" w:rsidP="00D61F73">
      <w:pPr>
        <w:rPr>
          <w:rFonts w:ascii="Arial" w:hAnsi="Arial" w:cs="Arial"/>
        </w:rPr>
      </w:pPr>
      <w:hyperlink w:anchor="Crane2012" w:history="1">
        <w:r w:rsidR="008D0565" w:rsidRPr="00D61F73">
          <w:rPr>
            <w:rStyle w:val="Hyperlink"/>
            <w:rFonts w:ascii="Arial" w:hAnsi="Arial" w:cs="Arial"/>
          </w:rPr>
          <w:t>Crane JD, Ogborn DI, Cupido C, Melov S, Hubbard A, Bourgeois JM, Tarnopolsky MA</w:t>
        </w:r>
      </w:hyperlink>
      <w:r w:rsidR="008D0565" w:rsidRPr="00D61F73">
        <w:rPr>
          <w:rFonts w:ascii="Arial" w:hAnsi="Arial" w:cs="Arial"/>
        </w:rPr>
        <w:t xml:space="preserve">. Massage therapy attenuates inflammatory signaling after exercise-induced muscle damage. </w:t>
      </w:r>
      <w:r w:rsidR="008D0565" w:rsidRPr="00D61F73">
        <w:rPr>
          <w:rFonts w:ascii="Arial" w:hAnsi="Arial" w:cs="Arial"/>
          <w:i/>
          <w:iCs/>
        </w:rPr>
        <w:t>Sci Transl Med.</w:t>
      </w:r>
      <w:r w:rsidR="008D0565" w:rsidRPr="00D61F73">
        <w:rPr>
          <w:rFonts w:ascii="Arial" w:hAnsi="Arial" w:cs="Arial"/>
        </w:rPr>
        <w:t xml:space="preserve"> 2012 Feb 1;4(119):119ra13.</w:t>
      </w:r>
    </w:p>
    <w:p w14:paraId="7CDC9D77" w14:textId="77777777" w:rsidR="008D0565" w:rsidRPr="00D61F73" w:rsidRDefault="008D0565" w:rsidP="00D61F73">
      <w:pPr>
        <w:rPr>
          <w:rFonts w:ascii="Arial" w:hAnsi="Arial" w:cs="Arial"/>
          <w:b/>
          <w:bCs/>
        </w:rPr>
      </w:pPr>
    </w:p>
    <w:p w14:paraId="3691D764" w14:textId="77777777" w:rsidR="008D0565" w:rsidRPr="00D61F73" w:rsidRDefault="00751163" w:rsidP="00D61F73">
      <w:pPr>
        <w:rPr>
          <w:rFonts w:ascii="Arial" w:hAnsi="Arial" w:cs="Arial"/>
        </w:rPr>
      </w:pPr>
      <w:hyperlink w:anchor="Hall" w:history="1">
        <w:r w:rsidR="008D0565" w:rsidRPr="00D61F73">
          <w:rPr>
            <w:rStyle w:val="Hyperlink"/>
            <w:rFonts w:ascii="Arial" w:hAnsi="Arial" w:cs="Arial"/>
          </w:rPr>
          <w:t>Hall A, Maher C, Latimer J, Ferreira M.</w:t>
        </w:r>
      </w:hyperlink>
      <w:r w:rsidR="008D0565" w:rsidRPr="00D61F73">
        <w:rPr>
          <w:rFonts w:ascii="Arial" w:hAnsi="Arial" w:cs="Arial"/>
        </w:rPr>
        <w:t xml:space="preserve"> The effectiveness of Tai Chi for chronic musculoskeletal pain conditions: a systematic review and meta-analysis. </w:t>
      </w:r>
      <w:r w:rsidR="008D0565" w:rsidRPr="00D61F73">
        <w:rPr>
          <w:rFonts w:ascii="Arial" w:hAnsi="Arial" w:cs="Arial"/>
          <w:i/>
          <w:iCs/>
        </w:rPr>
        <w:t>Arthritis Rheum</w:t>
      </w:r>
      <w:r w:rsidR="008D0565" w:rsidRPr="00D61F73">
        <w:rPr>
          <w:rFonts w:ascii="Arial" w:hAnsi="Arial" w:cs="Arial"/>
        </w:rPr>
        <w:t>. 2009 Jun 15;61(6):717-24.</w:t>
      </w:r>
    </w:p>
    <w:p w14:paraId="1400E63B" w14:textId="77777777" w:rsidR="008D0565" w:rsidRPr="00D61F73" w:rsidRDefault="008D0565" w:rsidP="00D61F73">
      <w:pPr>
        <w:rPr>
          <w:rFonts w:ascii="Arial" w:hAnsi="Arial" w:cs="Arial"/>
          <w:b/>
          <w:bCs/>
        </w:rPr>
      </w:pPr>
    </w:p>
    <w:p w14:paraId="018D232E" w14:textId="77777777" w:rsidR="008D0565" w:rsidRPr="00D61F73" w:rsidRDefault="00751163" w:rsidP="00D61F73">
      <w:pPr>
        <w:rPr>
          <w:rFonts w:ascii="Arial" w:hAnsi="Arial" w:cs="Arial"/>
        </w:rPr>
      </w:pPr>
      <w:hyperlink w:anchor="Hasson" w:history="1">
        <w:r w:rsidR="008D0565" w:rsidRPr="00D61F73">
          <w:rPr>
            <w:rStyle w:val="Hyperlink"/>
            <w:rFonts w:ascii="Arial" w:hAnsi="Arial" w:cs="Arial"/>
          </w:rPr>
          <w:t>Hasson D, Arnetz B, Jelveus L, Edelstam B.</w:t>
        </w:r>
      </w:hyperlink>
      <w:r w:rsidR="008D0565" w:rsidRPr="00D61F73">
        <w:rPr>
          <w:rFonts w:ascii="Arial" w:hAnsi="Arial" w:cs="Arial"/>
        </w:rPr>
        <w:t xml:space="preserve"> A randomized clinical trial of the treatment effects of massage compared to relaxation tape recordings on diffuse long-term pain. Psychother Psychosom. 2004 Jan-Feb;73(1):17-24.</w:t>
      </w:r>
    </w:p>
    <w:p w14:paraId="1E8B429A" w14:textId="77777777" w:rsidR="008D0565" w:rsidRPr="00D61F73" w:rsidRDefault="008D0565" w:rsidP="00D61F73">
      <w:pPr>
        <w:pStyle w:val="StyleHeading2Bold"/>
        <w:shd w:val="clear" w:color="auto" w:fill="auto"/>
        <w:rPr>
          <w:rFonts w:ascii="Arial" w:hAnsi="Arial"/>
        </w:rPr>
      </w:pPr>
    </w:p>
    <w:p w14:paraId="5F86CBD6" w14:textId="77777777" w:rsidR="008010DF" w:rsidRPr="00D61F73" w:rsidRDefault="00751163" w:rsidP="00D61F73">
      <w:pPr>
        <w:pStyle w:val="StyleHeading2Bold"/>
        <w:shd w:val="clear" w:color="auto" w:fill="auto"/>
        <w:rPr>
          <w:rFonts w:ascii="Arial" w:hAnsi="Arial"/>
        </w:rPr>
      </w:pPr>
      <w:hyperlink w:anchor="Jensen2011" w:history="1">
        <w:r w:rsidR="008D0565" w:rsidRPr="00D61F73">
          <w:rPr>
            <w:rStyle w:val="Hyperlink"/>
            <w:rFonts w:ascii="Arial" w:hAnsi="Arial"/>
            <w:b w:val="0"/>
            <w:bCs w:val="0"/>
          </w:rPr>
          <w:t>Jensen MP, Ehde DM, Gertz KJ, Stoelb BL, Dillworth TM, Hirsh AT, Molton IR, Kraft GH</w:t>
        </w:r>
      </w:hyperlink>
      <w:r w:rsidR="008D0565" w:rsidRPr="00D61F73">
        <w:rPr>
          <w:rFonts w:ascii="Arial" w:hAnsi="Arial"/>
        </w:rPr>
        <w:t xml:space="preserve">. </w:t>
      </w:r>
      <w:r w:rsidR="008D0565" w:rsidRPr="00D61F73">
        <w:rPr>
          <w:rFonts w:ascii="Arial" w:hAnsi="Arial"/>
          <w:b w:val="0"/>
          <w:bCs w:val="0"/>
          <w:iCs w:val="0"/>
        </w:rPr>
        <w:t xml:space="preserve">Effects of self-hypnosis training and cognitive restructuring on daily pain intensity and catastrophizing in individuals with multiple sclerosis and chronic pain. </w:t>
      </w:r>
      <w:r w:rsidR="008D0565" w:rsidRPr="00D61F73">
        <w:rPr>
          <w:rFonts w:ascii="Arial" w:hAnsi="Arial"/>
          <w:b w:val="0"/>
          <w:bCs w:val="0"/>
          <w:i/>
          <w:iCs w:val="0"/>
        </w:rPr>
        <w:t>Int J Clin Exp Hypn</w:t>
      </w:r>
      <w:r w:rsidR="008D0565" w:rsidRPr="00D61F73">
        <w:rPr>
          <w:rFonts w:ascii="Arial" w:hAnsi="Arial"/>
          <w:b w:val="0"/>
          <w:bCs w:val="0"/>
          <w:iCs w:val="0"/>
        </w:rPr>
        <w:t>. 2011 Jan;59(1):45-63.</w:t>
      </w:r>
    </w:p>
    <w:p w14:paraId="5146B76E" w14:textId="77777777" w:rsidR="008D0565" w:rsidRPr="00D61F73" w:rsidRDefault="008D0565" w:rsidP="00D61F73">
      <w:pPr>
        <w:pStyle w:val="StyleHeading2Bold"/>
        <w:shd w:val="clear" w:color="auto" w:fill="auto"/>
        <w:rPr>
          <w:rFonts w:ascii="Arial" w:hAnsi="Arial"/>
        </w:rPr>
      </w:pPr>
    </w:p>
    <w:p w14:paraId="20F7E1A9" w14:textId="77777777" w:rsidR="008D0565" w:rsidRPr="00D61F73" w:rsidRDefault="00751163" w:rsidP="00D61F73">
      <w:pPr>
        <w:rPr>
          <w:rFonts w:ascii="Arial" w:hAnsi="Arial" w:cs="Arial"/>
        </w:rPr>
      </w:pPr>
      <w:hyperlink w:anchor="Lee2" w:history="1">
        <w:r w:rsidR="008D0565" w:rsidRPr="00D61F73">
          <w:rPr>
            <w:rStyle w:val="Hyperlink"/>
            <w:rFonts w:ascii="Arial" w:hAnsi="Arial" w:cs="Arial"/>
          </w:rPr>
          <w:t>Lee MS, Pittler MH, Ernst E</w:t>
        </w:r>
      </w:hyperlink>
      <w:r w:rsidR="008D0565" w:rsidRPr="00D61F73">
        <w:rPr>
          <w:rFonts w:ascii="Arial" w:hAnsi="Arial" w:cs="Arial"/>
        </w:rPr>
        <w:t xml:space="preserve">. Internal Qigong for Pain Conditions: A Systematic Review. </w:t>
      </w:r>
      <w:r w:rsidR="008D0565" w:rsidRPr="00D61F73">
        <w:rPr>
          <w:rFonts w:ascii="Arial" w:hAnsi="Arial" w:cs="Arial"/>
          <w:i/>
          <w:iCs/>
        </w:rPr>
        <w:t>J Pain</w:t>
      </w:r>
      <w:r w:rsidR="008D0565" w:rsidRPr="00D61F73">
        <w:rPr>
          <w:rFonts w:ascii="Arial" w:hAnsi="Arial" w:cs="Arial"/>
        </w:rPr>
        <w:t>. 2009 Jun 24. [Epub ahead of print]</w:t>
      </w:r>
    </w:p>
    <w:p w14:paraId="6098DD0B" w14:textId="77777777" w:rsidR="008D0565" w:rsidRPr="00D61F73" w:rsidRDefault="008D0565" w:rsidP="00D61F73">
      <w:pPr>
        <w:pStyle w:val="StyleHeading2Bold"/>
        <w:shd w:val="clear" w:color="auto" w:fill="auto"/>
        <w:rPr>
          <w:rFonts w:ascii="Arial" w:hAnsi="Arial"/>
        </w:rPr>
      </w:pPr>
    </w:p>
    <w:p w14:paraId="6364E83A" w14:textId="77777777" w:rsidR="008D0565" w:rsidRPr="00D61F73" w:rsidRDefault="00751163" w:rsidP="00D61F73">
      <w:pPr>
        <w:rPr>
          <w:rFonts w:ascii="Arial" w:hAnsi="Arial" w:cs="Arial"/>
          <w:b/>
          <w:bCs/>
        </w:rPr>
      </w:pPr>
      <w:hyperlink w:anchor="Mitchinson" w:history="1">
        <w:r w:rsidR="008D0565" w:rsidRPr="00D61F73">
          <w:rPr>
            <w:rStyle w:val="Hyperlink"/>
            <w:rFonts w:ascii="Arial" w:hAnsi="Arial" w:cs="Arial"/>
          </w:rPr>
          <w:t>Mitchinson AR, Kim HM, Rosenberg JM, Geisser M, Kirsh M, Cikrit D, Hinshaw DB.</w:t>
        </w:r>
      </w:hyperlink>
      <w:r w:rsidR="008D0565" w:rsidRPr="00D61F73">
        <w:rPr>
          <w:rFonts w:ascii="Arial" w:hAnsi="Arial" w:cs="Arial"/>
        </w:rPr>
        <w:t xml:space="preserve"> Acute postoperative pain management using massage as an adjuvant therapy: a randomized trial. </w:t>
      </w:r>
      <w:r w:rsidR="008D0565" w:rsidRPr="00D61F73">
        <w:rPr>
          <w:rFonts w:ascii="Arial" w:hAnsi="Arial" w:cs="Arial"/>
          <w:i/>
          <w:iCs/>
        </w:rPr>
        <w:t>Arch Surg.</w:t>
      </w:r>
      <w:r w:rsidR="008D0565" w:rsidRPr="00D61F73">
        <w:rPr>
          <w:rFonts w:ascii="Arial" w:hAnsi="Arial" w:cs="Arial"/>
        </w:rPr>
        <w:t xml:space="preserve"> 2007 Dec;142(12):1158-67.</w:t>
      </w:r>
    </w:p>
    <w:p w14:paraId="7A559CBC" w14:textId="77777777" w:rsidR="008D0565" w:rsidRPr="00D61F73" w:rsidRDefault="008D0565" w:rsidP="00D61F73">
      <w:pPr>
        <w:rPr>
          <w:rFonts w:ascii="Arial" w:hAnsi="Arial" w:cs="Arial"/>
        </w:rPr>
      </w:pPr>
    </w:p>
    <w:p w14:paraId="416ADF05" w14:textId="77777777" w:rsidR="008D0565" w:rsidRPr="00D61F73" w:rsidRDefault="00751163" w:rsidP="00D61F73">
      <w:pPr>
        <w:rPr>
          <w:rFonts w:ascii="Arial" w:hAnsi="Arial" w:cs="Arial"/>
        </w:rPr>
      </w:pPr>
      <w:hyperlink w:anchor="Uher" w:history="1">
        <w:r w:rsidR="008D0565" w:rsidRPr="00D61F73">
          <w:rPr>
            <w:rStyle w:val="Hyperlink"/>
            <w:rFonts w:ascii="Arial" w:hAnsi="Arial" w:cs="Arial"/>
          </w:rPr>
          <w:t>Uher EM, Vacariu G, Schneider B, Fialka V.</w:t>
        </w:r>
      </w:hyperlink>
      <w:r w:rsidR="008D0565" w:rsidRPr="00D61F73">
        <w:rPr>
          <w:rFonts w:ascii="Arial" w:hAnsi="Arial" w:cs="Arial"/>
        </w:rPr>
        <w:t xml:space="preserve"> Comparison of manual lymph drainage with physical therapy in complex regional pain syndrome, type I. A comparative randomized controlled therapy study. </w:t>
      </w:r>
      <w:r w:rsidR="008D0565" w:rsidRPr="00D61F73">
        <w:rPr>
          <w:rFonts w:ascii="Arial" w:hAnsi="Arial" w:cs="Arial"/>
          <w:i/>
          <w:iCs/>
        </w:rPr>
        <w:t>Wien Klin Wochenschr</w:t>
      </w:r>
      <w:r w:rsidR="008D0565" w:rsidRPr="00D61F73">
        <w:rPr>
          <w:rFonts w:ascii="Arial" w:hAnsi="Arial" w:cs="Arial"/>
        </w:rPr>
        <w:t>. 2000 Feb 11;112(3):133-7.</w:t>
      </w:r>
    </w:p>
    <w:p w14:paraId="3BFA8D12" w14:textId="77777777" w:rsidR="008D0565" w:rsidRPr="00D61F73" w:rsidRDefault="008D0565" w:rsidP="00D61F73">
      <w:pPr>
        <w:rPr>
          <w:rFonts w:ascii="Arial" w:hAnsi="Arial" w:cs="Arial"/>
        </w:rPr>
      </w:pPr>
    </w:p>
    <w:p w14:paraId="1602C59B" w14:textId="77777777" w:rsidR="008D0565" w:rsidRPr="00D61F73" w:rsidRDefault="00751163" w:rsidP="00D61F73">
      <w:pPr>
        <w:pStyle w:val="BodyText"/>
        <w:rPr>
          <w:rFonts w:ascii="Arial" w:hAnsi="Arial" w:cs="Arial"/>
          <w:b w:val="0"/>
          <w:bCs w:val="0"/>
        </w:rPr>
      </w:pPr>
      <w:hyperlink w:anchor="Walach" w:history="1">
        <w:r w:rsidR="008D0565" w:rsidRPr="00D61F73">
          <w:rPr>
            <w:rStyle w:val="Hyperlink"/>
            <w:rFonts w:ascii="Arial" w:hAnsi="Arial" w:cs="Arial"/>
            <w:b w:val="0"/>
            <w:bCs w:val="0"/>
          </w:rPr>
          <w:t>Walach H, Guthlin C, Konig M.</w:t>
        </w:r>
      </w:hyperlink>
      <w:r w:rsidR="008D0565" w:rsidRPr="00D61F73">
        <w:rPr>
          <w:rFonts w:ascii="Arial" w:hAnsi="Arial" w:cs="Arial"/>
          <w:b w:val="0"/>
          <w:bCs w:val="0"/>
        </w:rPr>
        <w:t xml:space="preserve"> Efficacy of massage therapy in chronic pain: a pragmatic randomized trial. J Altern Complement Med. 2003 Dec;9(6):837-46.</w:t>
      </w:r>
    </w:p>
    <w:p w14:paraId="03638B87" w14:textId="77777777" w:rsidR="008D0565" w:rsidRPr="00D61F73" w:rsidRDefault="008D0565" w:rsidP="00D61F73">
      <w:pPr>
        <w:pStyle w:val="BodyText"/>
        <w:rPr>
          <w:rFonts w:ascii="Arial" w:hAnsi="Arial" w:cs="Arial"/>
          <w:b w:val="0"/>
          <w:bCs w:val="0"/>
        </w:rPr>
      </w:pPr>
    </w:p>
    <w:p w14:paraId="1CEC60B5" w14:textId="77777777" w:rsidR="008D0565" w:rsidRPr="00D61F73" w:rsidRDefault="00751163" w:rsidP="00D61F73">
      <w:pPr>
        <w:pStyle w:val="BodyText"/>
        <w:rPr>
          <w:rFonts w:ascii="Arial" w:hAnsi="Arial" w:cs="Arial"/>
          <w:b w:val="0"/>
          <w:bCs w:val="0"/>
        </w:rPr>
      </w:pPr>
      <w:hyperlink w:anchor="Wang2010" w:history="1">
        <w:r w:rsidR="008D0565" w:rsidRPr="00D61F73">
          <w:rPr>
            <w:rStyle w:val="Hyperlink"/>
            <w:rFonts w:ascii="Arial" w:hAnsi="Arial" w:cs="Arial"/>
            <w:b w:val="0"/>
            <w:bCs w:val="0"/>
          </w:rPr>
          <w:t>Wang C, Schmid CH, Rones R, Kalish R, Yinh J, Goldenberg DL, Lee Y, McAlindon T</w:t>
        </w:r>
      </w:hyperlink>
      <w:r w:rsidR="008D0565" w:rsidRPr="00D61F73">
        <w:rPr>
          <w:rFonts w:ascii="Arial" w:hAnsi="Arial" w:cs="Arial"/>
          <w:b w:val="0"/>
          <w:bCs w:val="0"/>
        </w:rPr>
        <w:t xml:space="preserve">. A Randomized Trial of Tai Chi for Fibromyalgia. </w:t>
      </w:r>
      <w:r w:rsidR="008D0565" w:rsidRPr="00D61F73">
        <w:rPr>
          <w:rFonts w:ascii="Arial" w:hAnsi="Arial" w:cs="Arial"/>
          <w:b w:val="0"/>
          <w:bCs w:val="0"/>
          <w:i/>
          <w:iCs/>
        </w:rPr>
        <w:t>N Engl J Med</w:t>
      </w:r>
      <w:r w:rsidR="008D0565" w:rsidRPr="00D61F73">
        <w:rPr>
          <w:rFonts w:ascii="Arial" w:hAnsi="Arial" w:cs="Arial"/>
          <w:b w:val="0"/>
          <w:bCs w:val="0"/>
        </w:rPr>
        <w:t xml:space="preserve"> 2010; 363:743-754, August 19, 2010</w:t>
      </w:r>
    </w:p>
    <w:p w14:paraId="3346CF1B" w14:textId="77777777" w:rsidR="008D0565" w:rsidRPr="00D61F73" w:rsidRDefault="008D0565" w:rsidP="00D61F73">
      <w:pPr>
        <w:pStyle w:val="BodyText"/>
        <w:rPr>
          <w:rFonts w:ascii="Arial" w:hAnsi="Arial" w:cs="Arial"/>
          <w:b w:val="0"/>
          <w:bCs w:val="0"/>
        </w:rPr>
      </w:pPr>
    </w:p>
    <w:p w14:paraId="3E83FFFF" w14:textId="77777777" w:rsidR="008D0565" w:rsidRPr="00D61F73" w:rsidRDefault="00751163" w:rsidP="00D61F73">
      <w:pPr>
        <w:pStyle w:val="BodyText"/>
        <w:rPr>
          <w:rFonts w:ascii="Arial" w:hAnsi="Arial" w:cs="Arial"/>
          <w:b w:val="0"/>
          <w:bCs w:val="0"/>
        </w:rPr>
      </w:pPr>
      <w:hyperlink w:anchor="Witt2011" w:history="1">
        <w:r w:rsidR="008D0565" w:rsidRPr="00D61F73">
          <w:rPr>
            <w:rStyle w:val="Hyperlink"/>
            <w:rFonts w:ascii="Arial" w:hAnsi="Arial" w:cs="Arial"/>
            <w:b w:val="0"/>
            <w:bCs w:val="0"/>
          </w:rPr>
          <w:t>Witt CM, Schützler L, Lüdtke R, Wegscheider K, Willich SN</w:t>
        </w:r>
      </w:hyperlink>
      <w:r w:rsidR="008D0565" w:rsidRPr="00D61F73">
        <w:rPr>
          <w:rFonts w:ascii="Arial" w:hAnsi="Arial" w:cs="Arial"/>
          <w:b w:val="0"/>
          <w:bCs w:val="0"/>
        </w:rPr>
        <w:t xml:space="preserve">. Patient Characteristics and Variation in Treatment Outcomes: Which Patients Benefit Most From Acupuncture for Chronic Pain? </w:t>
      </w:r>
      <w:r w:rsidR="008D0565" w:rsidRPr="00D61F73">
        <w:rPr>
          <w:rFonts w:ascii="Arial" w:hAnsi="Arial" w:cs="Arial"/>
          <w:b w:val="0"/>
          <w:bCs w:val="0"/>
          <w:i/>
          <w:iCs/>
        </w:rPr>
        <w:t>Clin J Pain.</w:t>
      </w:r>
      <w:r w:rsidR="008D0565" w:rsidRPr="00D61F73">
        <w:rPr>
          <w:rFonts w:ascii="Arial" w:hAnsi="Arial" w:cs="Arial"/>
          <w:b w:val="0"/>
          <w:bCs w:val="0"/>
        </w:rPr>
        <w:t xml:space="preserve"> 2011 Feb 11. [Epub ahead of print]</w:t>
      </w:r>
    </w:p>
    <w:p w14:paraId="3C0316AF" w14:textId="77777777" w:rsidR="00482856" w:rsidRPr="00D61F73" w:rsidRDefault="00482856" w:rsidP="00D61F73">
      <w:pPr>
        <w:pStyle w:val="Heading1"/>
        <w:rPr>
          <w:rFonts w:ascii="Arial" w:hAnsi="Arial" w:cs="Arial"/>
        </w:rPr>
      </w:pPr>
    </w:p>
    <w:p w14:paraId="5B1A5F2E" w14:textId="77777777" w:rsidR="008D0565" w:rsidRPr="00D61F73" w:rsidRDefault="008D0565" w:rsidP="00D61F73">
      <w:pPr>
        <w:pStyle w:val="Heading1"/>
        <w:rPr>
          <w:rFonts w:ascii="Arial" w:hAnsi="Arial" w:cs="Arial"/>
        </w:rPr>
      </w:pPr>
      <w:r w:rsidRPr="00D61F73">
        <w:rPr>
          <w:rFonts w:ascii="Arial" w:hAnsi="Arial" w:cs="Arial"/>
        </w:rPr>
        <w:t>E</w:t>
      </w:r>
      <w:bookmarkStart w:id="410" w:name="EARLYRETURNTOWORK"/>
      <w:bookmarkEnd w:id="410"/>
      <w:r w:rsidRPr="00D61F73">
        <w:rPr>
          <w:rFonts w:ascii="Arial" w:hAnsi="Arial" w:cs="Arial"/>
        </w:rPr>
        <w:t>ARLY RETURN-TO-WORK</w:t>
      </w:r>
    </w:p>
    <w:p w14:paraId="1DC25422" w14:textId="77777777" w:rsidR="008D0565" w:rsidRPr="00D61F73" w:rsidRDefault="008D0565" w:rsidP="00D61F73">
      <w:pPr>
        <w:rPr>
          <w:rFonts w:ascii="Arial" w:hAnsi="Arial" w:cs="Arial"/>
          <w:b/>
          <w:bCs/>
        </w:rPr>
      </w:pPr>
    </w:p>
    <w:p w14:paraId="43226FD2" w14:textId="77777777" w:rsidR="008D0565" w:rsidRPr="00D61F73" w:rsidRDefault="00751163" w:rsidP="00D61F73">
      <w:pPr>
        <w:rPr>
          <w:rFonts w:ascii="Arial" w:hAnsi="Arial" w:cs="Arial"/>
        </w:rPr>
      </w:pPr>
      <w:hyperlink w:anchor="facilitated" w:history="1">
        <w:r w:rsidR="008D0565" w:rsidRPr="00D61F73">
          <w:rPr>
            <w:rStyle w:val="Hyperlink"/>
            <w:rFonts w:ascii="Arial" w:hAnsi="Arial" w:cs="Arial"/>
          </w:rPr>
          <w:t>Bernacki EJ, Guidera JA, Schaefer JA, Tsai S,</w:t>
        </w:r>
      </w:hyperlink>
      <w:r w:rsidR="008D0565" w:rsidRPr="00D61F73">
        <w:rPr>
          <w:rFonts w:ascii="Arial" w:hAnsi="Arial" w:cs="Arial"/>
        </w:rPr>
        <w:t xml:space="preserve"> A facilitated early return to work program at a large urban medical center, </w:t>
      </w:r>
      <w:r w:rsidR="008D0565" w:rsidRPr="00D61F73">
        <w:rPr>
          <w:rFonts w:ascii="Arial" w:hAnsi="Arial" w:cs="Arial"/>
          <w:i/>
          <w:iCs/>
        </w:rPr>
        <w:t>J Occup Environ Med</w:t>
      </w:r>
      <w:r w:rsidR="008D0565" w:rsidRPr="00D61F73">
        <w:rPr>
          <w:rFonts w:ascii="Arial" w:hAnsi="Arial" w:cs="Arial"/>
        </w:rPr>
        <w:t xml:space="preserve"> 2000 Dec;42(12):1172-7.</w:t>
      </w:r>
    </w:p>
    <w:p w14:paraId="1B28B278" w14:textId="77777777" w:rsidR="008D0565" w:rsidRPr="00D61F73" w:rsidRDefault="008D0565" w:rsidP="00D61F73">
      <w:pPr>
        <w:rPr>
          <w:rFonts w:ascii="Arial" w:hAnsi="Arial" w:cs="Arial"/>
        </w:rPr>
      </w:pPr>
    </w:p>
    <w:p w14:paraId="03535DA5" w14:textId="77777777" w:rsidR="008D0565" w:rsidRPr="00D61F73" w:rsidRDefault="00751163" w:rsidP="00D61F73">
      <w:pPr>
        <w:rPr>
          <w:rFonts w:ascii="Arial" w:hAnsi="Arial" w:cs="Arial"/>
        </w:rPr>
      </w:pPr>
      <w:hyperlink w:anchor="Boseman" w:history="1">
        <w:r w:rsidR="008D0565" w:rsidRPr="00D61F73">
          <w:rPr>
            <w:rStyle w:val="Hyperlink"/>
            <w:rFonts w:ascii="Arial" w:hAnsi="Arial" w:cs="Arial"/>
          </w:rPr>
          <w:t>Boseman J</w:t>
        </w:r>
      </w:hyperlink>
      <w:r w:rsidR="008D0565" w:rsidRPr="00D61F73">
        <w:rPr>
          <w:rFonts w:ascii="Arial" w:hAnsi="Arial" w:cs="Arial"/>
        </w:rPr>
        <w:t xml:space="preserve">. Disability management. Application of a nurse based model in a large corporation, </w:t>
      </w:r>
      <w:r w:rsidR="008D0565" w:rsidRPr="00D61F73">
        <w:rPr>
          <w:rFonts w:ascii="Arial" w:hAnsi="Arial" w:cs="Arial"/>
          <w:i/>
          <w:iCs/>
        </w:rPr>
        <w:t>AAOHN J</w:t>
      </w:r>
      <w:r w:rsidR="008D0565" w:rsidRPr="00D61F73">
        <w:rPr>
          <w:rFonts w:ascii="Arial" w:hAnsi="Arial" w:cs="Arial"/>
        </w:rPr>
        <w:t xml:space="preserve"> 2001 Apr;49(4):176-86.</w:t>
      </w:r>
    </w:p>
    <w:p w14:paraId="303C3153" w14:textId="77777777" w:rsidR="008D0565" w:rsidRPr="00D61F73" w:rsidRDefault="008D0565" w:rsidP="00D61F73">
      <w:pPr>
        <w:rPr>
          <w:rFonts w:ascii="Arial" w:hAnsi="Arial" w:cs="Arial"/>
        </w:rPr>
      </w:pPr>
    </w:p>
    <w:p w14:paraId="103D0158" w14:textId="77777777" w:rsidR="008D0565" w:rsidRPr="00D61F73" w:rsidRDefault="00751163" w:rsidP="00D61F73">
      <w:pPr>
        <w:rPr>
          <w:rFonts w:ascii="Arial" w:eastAsia="Arial Unicode MS" w:hAnsi="Arial" w:cs="Arial"/>
          <w:color w:val="auto"/>
        </w:rPr>
      </w:pPr>
      <w:hyperlink w:anchor="Burleson" w:history="1">
        <w:r w:rsidR="008D0565" w:rsidRPr="00D61F73">
          <w:rPr>
            <w:rStyle w:val="Hyperlink"/>
            <w:rFonts w:ascii="Arial" w:eastAsia="Arial Unicode MS" w:hAnsi="Arial" w:cs="Arial"/>
          </w:rPr>
          <w:t>Burleson AM</w:t>
        </w:r>
      </w:hyperlink>
      <w:r w:rsidR="008D0565" w:rsidRPr="00D61F73">
        <w:rPr>
          <w:rFonts w:ascii="Arial" w:eastAsia="Arial Unicode MS" w:hAnsi="Arial" w:cs="Arial"/>
          <w:color w:val="auto"/>
        </w:rPr>
        <w:t>. American Academy of Pain Medicine 24th Annual Meeting (Kissimmee, FL): Abstract 105. February 15, 2008.</w:t>
      </w:r>
    </w:p>
    <w:p w14:paraId="0F693C54" w14:textId="77777777" w:rsidR="008D0565" w:rsidRPr="00D61F73" w:rsidRDefault="008D0565" w:rsidP="00D61F73">
      <w:pPr>
        <w:rPr>
          <w:rFonts w:ascii="Arial" w:hAnsi="Arial" w:cs="Arial"/>
        </w:rPr>
      </w:pPr>
    </w:p>
    <w:p w14:paraId="533C0E33" w14:textId="77777777" w:rsidR="008D0565" w:rsidRPr="00D61F73" w:rsidRDefault="00751163" w:rsidP="00D61F73">
      <w:pPr>
        <w:rPr>
          <w:rFonts w:ascii="Arial" w:hAnsi="Arial" w:cs="Arial"/>
        </w:rPr>
      </w:pPr>
      <w:hyperlink w:anchor="Melhorn" w:history="1">
        <w:r w:rsidR="008D0565" w:rsidRPr="00D61F73">
          <w:rPr>
            <w:rStyle w:val="Hyperlink"/>
            <w:rFonts w:ascii="Arial" w:hAnsi="Arial" w:cs="Arial"/>
          </w:rPr>
          <w:t>Melhorn JM.</w:t>
        </w:r>
      </w:hyperlink>
      <w:r w:rsidR="008D0565" w:rsidRPr="00D61F73">
        <w:rPr>
          <w:rFonts w:ascii="Arial" w:hAnsi="Arial" w:cs="Arial"/>
        </w:rPr>
        <w:t xml:space="preserve"> Workers' compensation: avoiding work-related disability. </w:t>
      </w:r>
      <w:r w:rsidR="008D0565" w:rsidRPr="00D61F73">
        <w:rPr>
          <w:rFonts w:ascii="Arial" w:hAnsi="Arial" w:cs="Arial"/>
          <w:i/>
          <w:iCs/>
        </w:rPr>
        <w:t>J Bone Joint Surg Am.</w:t>
      </w:r>
      <w:r w:rsidR="008D0565" w:rsidRPr="00D61F73">
        <w:rPr>
          <w:rFonts w:ascii="Arial" w:hAnsi="Arial" w:cs="Arial"/>
        </w:rPr>
        <w:t xml:space="preserve"> 2000 Oct;82-A(10):1490-3.</w:t>
      </w:r>
    </w:p>
    <w:p w14:paraId="41F99065" w14:textId="77777777" w:rsidR="008D0565" w:rsidRPr="00D61F73" w:rsidRDefault="008D0565" w:rsidP="00D61F73">
      <w:pPr>
        <w:rPr>
          <w:rFonts w:ascii="Arial" w:hAnsi="Arial" w:cs="Arial"/>
        </w:rPr>
      </w:pPr>
    </w:p>
    <w:p w14:paraId="1E2552AD" w14:textId="77777777" w:rsidR="000A2571" w:rsidRPr="00D61F73" w:rsidRDefault="00751163" w:rsidP="00D61F73">
      <w:pPr>
        <w:rPr>
          <w:rFonts w:ascii="Arial" w:hAnsi="Arial" w:cs="Arial"/>
        </w:rPr>
      </w:pPr>
      <w:hyperlink w:anchor="Stewart2" w:history="1">
        <w:r w:rsidR="008D0565" w:rsidRPr="00D61F73">
          <w:rPr>
            <w:rStyle w:val="Hyperlink"/>
            <w:rFonts w:ascii="Arial" w:hAnsi="Arial" w:cs="Arial"/>
          </w:rPr>
          <w:t>Stewart WF, Ricci JA, Chee E, Morganstein D, Lipton R,</w:t>
        </w:r>
      </w:hyperlink>
      <w:r w:rsidR="008D0565" w:rsidRPr="00D61F73">
        <w:rPr>
          <w:rFonts w:ascii="Arial" w:hAnsi="Arial" w:cs="Arial"/>
        </w:rPr>
        <w:t xml:space="preserve"> Lost productive time and cost due to common pain conditions in the US workforce, </w:t>
      </w:r>
      <w:r w:rsidR="008D0565" w:rsidRPr="00D61F73">
        <w:rPr>
          <w:rFonts w:ascii="Arial" w:hAnsi="Arial" w:cs="Arial"/>
          <w:i/>
          <w:iCs/>
        </w:rPr>
        <w:t>JAMA</w:t>
      </w:r>
      <w:r w:rsidR="008D0565" w:rsidRPr="00D61F73">
        <w:rPr>
          <w:rFonts w:ascii="Arial" w:hAnsi="Arial" w:cs="Arial"/>
        </w:rPr>
        <w:t>. 2003 Nov 12;290(18):2443-54.</w:t>
      </w:r>
    </w:p>
    <w:p w14:paraId="18E1847A" w14:textId="77777777" w:rsidR="000A2571" w:rsidRPr="00D61F73" w:rsidRDefault="000A2571" w:rsidP="00D61F73">
      <w:pPr>
        <w:rPr>
          <w:rFonts w:ascii="Arial" w:hAnsi="Arial" w:cs="Arial"/>
        </w:rPr>
      </w:pPr>
    </w:p>
    <w:p w14:paraId="1EA3F6B1" w14:textId="77777777" w:rsidR="000A2571" w:rsidRPr="00D61F73" w:rsidRDefault="000A2571" w:rsidP="00D61F73">
      <w:pPr>
        <w:rPr>
          <w:rFonts w:ascii="Arial" w:hAnsi="Arial" w:cs="Arial"/>
          <w:b/>
        </w:rPr>
      </w:pPr>
      <w:bookmarkStart w:id="411" w:name="homehealthservicesrefs"/>
      <w:bookmarkEnd w:id="411"/>
      <w:r w:rsidRPr="00D61F73">
        <w:rPr>
          <w:rFonts w:ascii="Arial" w:hAnsi="Arial" w:cs="Arial"/>
          <w:b/>
        </w:rPr>
        <w:t>HOME HEALTH SERVICES</w:t>
      </w:r>
    </w:p>
    <w:p w14:paraId="133BAAE3" w14:textId="77777777" w:rsidR="000A2571" w:rsidRPr="00D61F73" w:rsidRDefault="000A2571" w:rsidP="00D61F73">
      <w:pPr>
        <w:rPr>
          <w:rFonts w:ascii="Arial" w:hAnsi="Arial" w:cs="Arial"/>
          <w:b/>
        </w:rPr>
      </w:pPr>
    </w:p>
    <w:p w14:paraId="73177DFC" w14:textId="77777777" w:rsidR="000A2571" w:rsidRPr="00D61F73" w:rsidRDefault="00751163" w:rsidP="00D61F73">
      <w:pPr>
        <w:rPr>
          <w:rFonts w:ascii="Arial" w:hAnsi="Arial" w:cs="Arial"/>
          <w:b/>
        </w:rPr>
      </w:pPr>
      <w:hyperlink w:anchor="ACMQ" w:history="1">
        <w:r w:rsidR="000A2571" w:rsidRPr="00D61F73">
          <w:rPr>
            <w:rStyle w:val="Hyperlink"/>
            <w:rFonts w:ascii="Arial" w:hAnsi="Arial" w:cs="Arial"/>
          </w:rPr>
          <w:t>American College of Medical Quality,</w:t>
        </w:r>
      </w:hyperlink>
      <w:r w:rsidR="000A2571" w:rsidRPr="00D61F73">
        <w:rPr>
          <w:rFonts w:ascii="Arial" w:hAnsi="Arial" w:cs="Arial"/>
        </w:rPr>
        <w:t xml:space="preserve"> </w:t>
      </w:r>
      <w:hyperlink r:id="rId191" w:history="1">
        <w:r w:rsidR="000A2571" w:rsidRPr="00D61F73">
          <w:rPr>
            <w:rStyle w:val="Hyperlink"/>
            <w:rFonts w:ascii="Arial" w:hAnsi="Arial" w:cs="Arial"/>
            <w:u w:val="none"/>
          </w:rPr>
          <w:t>acmq.org</w:t>
        </w:r>
      </w:hyperlink>
      <w:r w:rsidR="000A2571" w:rsidRPr="00D61F73">
        <w:rPr>
          <w:rFonts w:ascii="Arial" w:hAnsi="Arial" w:cs="Arial"/>
        </w:rPr>
        <w:t>, Policy 30 Skilled vs. Custodial Care, 2005</w:t>
      </w:r>
      <w:r w:rsidR="000A2571" w:rsidRPr="00D61F73">
        <w:rPr>
          <w:rFonts w:ascii="Arial" w:hAnsi="Arial" w:cs="Arial"/>
          <w:b/>
        </w:rPr>
        <w:t xml:space="preserve">. </w:t>
      </w:r>
    </w:p>
    <w:p w14:paraId="67491D3D" w14:textId="77777777" w:rsidR="000A2571" w:rsidRPr="00D61F73" w:rsidRDefault="000A2571" w:rsidP="00D61F73">
      <w:pPr>
        <w:rPr>
          <w:rFonts w:ascii="Arial" w:hAnsi="Arial" w:cs="Arial"/>
          <w:b/>
        </w:rPr>
      </w:pPr>
    </w:p>
    <w:p w14:paraId="7AF38E30" w14:textId="77777777" w:rsidR="005F7F3E" w:rsidRPr="00D61F73" w:rsidRDefault="00751163" w:rsidP="00D61F73">
      <w:pPr>
        <w:rPr>
          <w:rFonts w:ascii="Arial" w:hAnsi="Arial" w:cs="Arial"/>
        </w:rPr>
      </w:pPr>
      <w:hyperlink w:anchor="CMS2014homebound" w:history="1">
        <w:r w:rsidR="005F7F3E" w:rsidRPr="00D61F73">
          <w:rPr>
            <w:rStyle w:val="Hyperlink"/>
            <w:rFonts w:ascii="Arial" w:hAnsi="Arial" w:cs="Arial"/>
          </w:rPr>
          <w:t>CMS, 2014</w:t>
        </w:r>
      </w:hyperlink>
      <w:r w:rsidR="005F7F3E" w:rsidRPr="00D61F73">
        <w:rPr>
          <w:rFonts w:ascii="Arial" w:hAnsi="Arial" w:cs="Arial"/>
        </w:rPr>
        <w:t>. Clarification of the Confined to the Home Definition in Chapter 15, Covered Medical and Other Health Services, of the Medicare Benefit Policy Manual. Centers for Medicare and Medicaid (CMS), Pub.100-02, Transmittal: 192, August 1, 2014.</w:t>
      </w:r>
    </w:p>
    <w:p w14:paraId="6CA2D041" w14:textId="77777777" w:rsidR="005F7F3E" w:rsidRPr="00D61F73" w:rsidRDefault="005F7F3E" w:rsidP="00D61F73">
      <w:pPr>
        <w:rPr>
          <w:rFonts w:ascii="Arial" w:hAnsi="Arial" w:cs="Arial"/>
        </w:rPr>
      </w:pPr>
    </w:p>
    <w:p w14:paraId="3D1C4187" w14:textId="77777777" w:rsidR="005F7F3E" w:rsidRPr="00D61F73" w:rsidRDefault="00751163" w:rsidP="00D61F73">
      <w:pPr>
        <w:rPr>
          <w:rFonts w:ascii="Arial" w:hAnsi="Arial" w:cs="Arial"/>
          <w:b/>
        </w:rPr>
      </w:pPr>
      <w:hyperlink w:anchor="CMS2015Homehealth" w:history="1">
        <w:r w:rsidR="005F7F3E" w:rsidRPr="00D61F73">
          <w:rPr>
            <w:rStyle w:val="Hyperlink"/>
            <w:rFonts w:ascii="Arial" w:hAnsi="Arial" w:cs="Arial"/>
          </w:rPr>
          <w:t>CMS, 2015</w:t>
        </w:r>
      </w:hyperlink>
      <w:r w:rsidR="005F7F3E" w:rsidRPr="00D61F73">
        <w:rPr>
          <w:rFonts w:ascii="Arial" w:hAnsi="Arial" w:cs="Arial"/>
        </w:rPr>
        <w:t xml:space="preserve">. </w:t>
      </w:r>
      <w:r w:rsidR="0078150B" w:rsidRPr="00D61F73">
        <w:rPr>
          <w:rFonts w:ascii="Arial" w:hAnsi="Arial" w:cs="Arial"/>
        </w:rPr>
        <w:t>OASIS-C1/ICD-9 Guidance Manual, Centers for Medicare and Medicaid Services, Chapter 1, January 1, 2015.</w:t>
      </w:r>
      <w:r w:rsidR="0078150B" w:rsidRPr="00D61F73">
        <w:rPr>
          <w:rFonts w:ascii="Arial" w:hAnsi="Arial" w:cs="Arial"/>
          <w:b/>
        </w:rPr>
        <w:t xml:space="preserve"> </w:t>
      </w:r>
    </w:p>
    <w:p w14:paraId="000AB1E3" w14:textId="77777777" w:rsidR="005F7F3E" w:rsidRPr="00D61F73" w:rsidRDefault="005F7F3E" w:rsidP="00D61F73">
      <w:pPr>
        <w:rPr>
          <w:rFonts w:ascii="Arial" w:hAnsi="Arial" w:cs="Arial"/>
          <w:b/>
        </w:rPr>
      </w:pPr>
    </w:p>
    <w:p w14:paraId="3556FCC6" w14:textId="77777777" w:rsidR="000A2571" w:rsidRPr="00D61F73" w:rsidRDefault="00751163" w:rsidP="00D61F73">
      <w:pPr>
        <w:rPr>
          <w:rFonts w:ascii="Arial" w:hAnsi="Arial" w:cs="Arial"/>
        </w:rPr>
      </w:pPr>
      <w:hyperlink w:anchor="Ellenbecker" w:history="1">
        <w:r w:rsidR="000A2571" w:rsidRPr="00D61F73">
          <w:rPr>
            <w:rStyle w:val="Hyperlink"/>
            <w:rFonts w:ascii="Arial" w:hAnsi="Arial" w:cs="Arial"/>
          </w:rPr>
          <w:t>Ellenbecker CH, Samia L, Cushman MJ, et al. Patient Safety and Quality in Home Health Care.</w:t>
        </w:r>
      </w:hyperlink>
      <w:r w:rsidR="000A2571" w:rsidRPr="00D61F73">
        <w:rPr>
          <w:rFonts w:ascii="Arial" w:hAnsi="Arial" w:cs="Arial"/>
        </w:rPr>
        <w:t xml:space="preserve"> In: Hughes RG, editor. </w:t>
      </w:r>
      <w:r w:rsidR="000A2571" w:rsidRPr="00D61F73">
        <w:rPr>
          <w:rFonts w:ascii="Arial" w:hAnsi="Arial" w:cs="Arial"/>
          <w:i/>
        </w:rPr>
        <w:t>Patient Safety and Quality: An Evidence-Based Handbook for Nurses.</w:t>
      </w:r>
      <w:r w:rsidR="000A2571" w:rsidRPr="00D61F73">
        <w:rPr>
          <w:rFonts w:ascii="Arial" w:hAnsi="Arial" w:cs="Arial"/>
        </w:rPr>
        <w:t xml:space="preserve"> Rockville (MD): Agency for Healthcare Research and Quality (US); 2008 Apr. Chapter 13. </w:t>
      </w:r>
    </w:p>
    <w:p w14:paraId="652C1152" w14:textId="77777777" w:rsidR="008D0565" w:rsidRPr="00D61F73" w:rsidRDefault="008D0565" w:rsidP="00D61F73">
      <w:pPr>
        <w:rPr>
          <w:rFonts w:ascii="Arial" w:hAnsi="Arial" w:cs="Arial"/>
          <w:b/>
        </w:rPr>
      </w:pPr>
    </w:p>
    <w:p w14:paraId="66A152A6" w14:textId="77777777" w:rsidR="008D0565" w:rsidRPr="00D61F73" w:rsidRDefault="008D0565" w:rsidP="00D61F73">
      <w:pPr>
        <w:pStyle w:val="xl23"/>
        <w:spacing w:before="0" w:beforeAutospacing="0" w:after="0" w:afterAutospacing="0"/>
        <w:rPr>
          <w:b/>
          <w:bCs/>
          <w:lang w:val="es-MX"/>
        </w:rPr>
      </w:pPr>
      <w:r w:rsidRPr="00D61F73">
        <w:rPr>
          <w:b/>
          <w:bCs/>
          <w:lang w:val="es-MX"/>
        </w:rPr>
        <w:t>I</w:t>
      </w:r>
      <w:bookmarkStart w:id="412" w:name="INJECTIONS"/>
      <w:bookmarkEnd w:id="412"/>
      <w:r w:rsidRPr="00D61F73">
        <w:rPr>
          <w:b/>
          <w:bCs/>
          <w:lang w:val="es-MX"/>
        </w:rPr>
        <w:t>NJECTIONS</w:t>
      </w:r>
    </w:p>
    <w:p w14:paraId="55EC9EAB" w14:textId="77777777" w:rsidR="008D0565" w:rsidRPr="00D61F73" w:rsidRDefault="008D0565" w:rsidP="00D61F73">
      <w:pPr>
        <w:pStyle w:val="xl23"/>
        <w:spacing w:before="0" w:beforeAutospacing="0" w:after="0" w:afterAutospacing="0"/>
        <w:rPr>
          <w:lang w:val="es-MX"/>
        </w:rPr>
      </w:pPr>
    </w:p>
    <w:p w14:paraId="718FE354" w14:textId="77777777" w:rsidR="008D0565" w:rsidRPr="00D61F73" w:rsidRDefault="00751163" w:rsidP="00D61F73">
      <w:pPr>
        <w:rPr>
          <w:rFonts w:ascii="Arial" w:hAnsi="Arial" w:cs="Arial"/>
        </w:rPr>
      </w:pPr>
      <w:hyperlink w:anchor="Abejon" w:history="1">
        <w:r w:rsidR="008D0565" w:rsidRPr="00D61F73">
          <w:rPr>
            <w:rStyle w:val="Hyperlink"/>
            <w:rFonts w:ascii="Arial" w:hAnsi="Arial" w:cs="Arial"/>
            <w:lang w:val="es-MX"/>
          </w:rPr>
          <w:t>Abejón D, Garcia-del-Valle S, Fuentes ML, Gómez-Arnau JI, Reig E, van Zundert J.</w:t>
        </w:r>
      </w:hyperlink>
      <w:r w:rsidR="008D0565" w:rsidRPr="00D61F73">
        <w:rPr>
          <w:rFonts w:ascii="Arial" w:hAnsi="Arial" w:cs="Arial"/>
          <w:lang w:val="es-MX"/>
        </w:rPr>
        <w:t xml:space="preserve"> </w:t>
      </w:r>
      <w:r w:rsidR="008D0565" w:rsidRPr="00D61F73">
        <w:rPr>
          <w:rFonts w:ascii="Arial" w:hAnsi="Arial" w:cs="Arial"/>
        </w:rPr>
        <w:t xml:space="preserve">Pulsed radiofrequency in lumbar radicular pain: clinical effects in various etiological groups. </w:t>
      </w:r>
      <w:r w:rsidR="008D0565" w:rsidRPr="00D61F73">
        <w:rPr>
          <w:rFonts w:ascii="Arial" w:hAnsi="Arial" w:cs="Arial"/>
          <w:i/>
          <w:iCs/>
        </w:rPr>
        <w:t>Pain Pract</w:t>
      </w:r>
      <w:r w:rsidR="008D0565" w:rsidRPr="00D61F73">
        <w:rPr>
          <w:rFonts w:ascii="Arial" w:hAnsi="Arial" w:cs="Arial"/>
        </w:rPr>
        <w:t>. 2007 Mar;7(1):21-6.</w:t>
      </w:r>
    </w:p>
    <w:p w14:paraId="38110C38" w14:textId="77777777" w:rsidR="008D0565" w:rsidRPr="00D61F73" w:rsidRDefault="008D0565" w:rsidP="00D61F73">
      <w:pPr>
        <w:pStyle w:val="xl23"/>
        <w:spacing w:before="0" w:beforeAutospacing="0" w:after="0" w:afterAutospacing="0"/>
      </w:pPr>
    </w:p>
    <w:p w14:paraId="010EA02E" w14:textId="77777777" w:rsidR="008D0565" w:rsidRPr="00D61F73" w:rsidRDefault="00751163" w:rsidP="00D61F73">
      <w:pPr>
        <w:pStyle w:val="xl23"/>
        <w:spacing w:before="0" w:beforeAutospacing="0" w:after="0" w:afterAutospacing="0"/>
      </w:pPr>
      <w:hyperlink w:anchor="Ackerman2" w:history="1">
        <w:r w:rsidR="008D0565" w:rsidRPr="00D61F73">
          <w:rPr>
            <w:rStyle w:val="Hyperlink"/>
          </w:rPr>
          <w:t>Ackerman WE, Zhang JM</w:t>
        </w:r>
      </w:hyperlink>
      <w:r w:rsidR="008D0565" w:rsidRPr="00D61F73">
        <w:t xml:space="preserve">. Efficacy of stellate ganglion blockade for the management of type 1 complex regional pain syndrome. </w:t>
      </w:r>
      <w:r w:rsidR="008D0565" w:rsidRPr="00D61F73">
        <w:rPr>
          <w:i/>
          <w:iCs/>
        </w:rPr>
        <w:t xml:space="preserve">South Med J. </w:t>
      </w:r>
      <w:r w:rsidR="008D0565" w:rsidRPr="00D61F73">
        <w:t>2006 Oct;99(10):1084-8.</w:t>
      </w:r>
    </w:p>
    <w:p w14:paraId="2923C467" w14:textId="77777777" w:rsidR="008D0565" w:rsidRPr="00D61F73" w:rsidRDefault="008D0565" w:rsidP="00D61F73">
      <w:pPr>
        <w:pStyle w:val="xl23"/>
        <w:spacing w:before="0" w:beforeAutospacing="0" w:after="0" w:afterAutospacing="0"/>
      </w:pPr>
    </w:p>
    <w:p w14:paraId="5C326607" w14:textId="77777777" w:rsidR="008D0565" w:rsidRPr="00D61F73" w:rsidRDefault="00751163" w:rsidP="00D61F73">
      <w:pPr>
        <w:pStyle w:val="xl23"/>
        <w:spacing w:before="0" w:beforeAutospacing="0" w:after="0" w:afterAutospacing="0"/>
      </w:pPr>
      <w:hyperlink w:anchor="Aetna2" w:history="1">
        <w:r w:rsidR="008D0565" w:rsidRPr="00D61F73">
          <w:rPr>
            <w:rStyle w:val="Hyperlink"/>
          </w:rPr>
          <w:t>Aetna Clinical Policy Bulletins</w:t>
        </w:r>
      </w:hyperlink>
      <w:r w:rsidR="008D0565" w:rsidRPr="00D61F73">
        <w:t>. Electrical Stimulation for Pain. Number 0011. February 22, 2005</w:t>
      </w:r>
    </w:p>
    <w:p w14:paraId="1481123E" w14:textId="77777777" w:rsidR="008D0565" w:rsidRPr="00D61F73" w:rsidRDefault="008D0565" w:rsidP="00D61F73">
      <w:pPr>
        <w:pStyle w:val="xl23"/>
        <w:spacing w:before="0" w:beforeAutospacing="0" w:after="0" w:afterAutospacing="0"/>
      </w:pPr>
    </w:p>
    <w:p w14:paraId="36A5A1B3" w14:textId="77777777" w:rsidR="008D0565" w:rsidRPr="00D61F73" w:rsidRDefault="00751163" w:rsidP="00D61F73">
      <w:pPr>
        <w:pStyle w:val="xl23"/>
        <w:spacing w:before="0" w:beforeAutospacing="0" w:after="0" w:afterAutospacing="0"/>
        <w:rPr>
          <w:color w:val="000000"/>
        </w:rPr>
      </w:pPr>
      <w:hyperlink w:anchor="Altindag" w:history="1">
        <w:r w:rsidR="008D0565" w:rsidRPr="00D61F73">
          <w:rPr>
            <w:rStyle w:val="Hyperlink"/>
          </w:rPr>
          <w:t>Altindag O, Gur A, Altindag A</w:t>
        </w:r>
      </w:hyperlink>
      <w:r w:rsidR="008D0565" w:rsidRPr="00D61F73">
        <w:rPr>
          <w:color w:val="000000"/>
        </w:rPr>
        <w:t xml:space="preserve">. The relationship between clinical parameters and depression level in patients with myofascial pain syndrome. </w:t>
      </w:r>
      <w:r w:rsidR="008D0565" w:rsidRPr="00D61F73">
        <w:rPr>
          <w:i/>
          <w:color w:val="000000"/>
        </w:rPr>
        <w:t>Pain Med</w:t>
      </w:r>
      <w:r w:rsidR="008D0565" w:rsidRPr="00D61F73">
        <w:rPr>
          <w:color w:val="000000"/>
        </w:rPr>
        <w:t>. 2008;9:161-5.</w:t>
      </w:r>
    </w:p>
    <w:p w14:paraId="0B392D51" w14:textId="77777777" w:rsidR="008D0565" w:rsidRPr="00D61F73" w:rsidRDefault="008D0565" w:rsidP="00D61F73">
      <w:pPr>
        <w:pStyle w:val="xl23"/>
        <w:spacing w:before="0" w:beforeAutospacing="0" w:after="0" w:afterAutospacing="0"/>
      </w:pPr>
    </w:p>
    <w:p w14:paraId="2B8C355F" w14:textId="77777777" w:rsidR="008D0565" w:rsidRPr="00D61F73" w:rsidRDefault="00751163" w:rsidP="00D61F73">
      <w:pPr>
        <w:pStyle w:val="xl23"/>
        <w:spacing w:before="0" w:beforeAutospacing="0" w:after="0" w:afterAutospacing="0"/>
      </w:pPr>
      <w:hyperlink w:anchor="Alvarez" w:history="1">
        <w:r w:rsidR="008D0565" w:rsidRPr="00D61F73">
          <w:rPr>
            <w:rStyle w:val="Hyperlink"/>
          </w:rPr>
          <w:t>Alvarez DJ, Rockwell PG</w:t>
        </w:r>
      </w:hyperlink>
      <w:r w:rsidR="008D0565" w:rsidRPr="00D61F73">
        <w:t xml:space="preserve">. Trigger points: diagnosis and management. </w:t>
      </w:r>
      <w:r w:rsidR="008D0565" w:rsidRPr="00D61F73">
        <w:rPr>
          <w:i/>
        </w:rPr>
        <w:t>Am Fam Physician</w:t>
      </w:r>
      <w:r w:rsidR="008D0565" w:rsidRPr="00D61F73">
        <w:t>. 2002 Feb 15;65(4):653-60.</w:t>
      </w:r>
    </w:p>
    <w:p w14:paraId="3CE85926" w14:textId="77777777" w:rsidR="008D0565" w:rsidRPr="00D61F73" w:rsidRDefault="008D0565" w:rsidP="00D61F73">
      <w:pPr>
        <w:pStyle w:val="xl23"/>
        <w:spacing w:before="0" w:beforeAutospacing="0" w:after="0" w:afterAutospacing="0"/>
      </w:pPr>
    </w:p>
    <w:p w14:paraId="38B0E644" w14:textId="77777777" w:rsidR="008D0565" w:rsidRPr="00D61F73" w:rsidRDefault="00751163" w:rsidP="00D61F73">
      <w:pPr>
        <w:pStyle w:val="xl23"/>
        <w:spacing w:before="0" w:beforeAutospacing="0" w:after="0" w:afterAutospacing="0"/>
      </w:pPr>
      <w:hyperlink w:anchor="Aydin" w:history="1">
        <w:r w:rsidR="008D0565" w:rsidRPr="00D61F73">
          <w:rPr>
            <w:rStyle w:val="Hyperlink"/>
          </w:rPr>
          <w:t>Aydin G, Tomruk S, Keles I, Demir SO, Orkun S</w:t>
        </w:r>
      </w:hyperlink>
      <w:r w:rsidR="008D0565" w:rsidRPr="00D61F73">
        <w:t xml:space="preserve">. Transcutaneous electrical nerve stimulation versus baclofen in spasticity: clinical and electrophysiologic comparison. </w:t>
      </w:r>
      <w:r w:rsidR="008D0565" w:rsidRPr="00D61F73">
        <w:rPr>
          <w:i/>
        </w:rPr>
        <w:t>Am J Phys Med Rehabil.</w:t>
      </w:r>
      <w:r w:rsidR="008D0565" w:rsidRPr="00D61F73">
        <w:t xml:space="preserve"> 2005 Aug;84(8):584-92.</w:t>
      </w:r>
    </w:p>
    <w:p w14:paraId="757E81E9" w14:textId="77777777" w:rsidR="008D0565" w:rsidRPr="00D61F73" w:rsidRDefault="008D0565" w:rsidP="00D61F73">
      <w:pPr>
        <w:pStyle w:val="xl23"/>
        <w:spacing w:before="0" w:beforeAutospacing="0" w:after="0" w:afterAutospacing="0"/>
      </w:pPr>
    </w:p>
    <w:p w14:paraId="114AC53A" w14:textId="77777777" w:rsidR="008D0565" w:rsidRPr="00D61F73" w:rsidRDefault="00751163" w:rsidP="00D61F73">
      <w:pPr>
        <w:rPr>
          <w:rFonts w:ascii="Arial" w:hAnsi="Arial" w:cs="Arial"/>
        </w:rPr>
      </w:pPr>
      <w:hyperlink w:anchor="BlueCrossBlueShield4" w:history="1">
        <w:r w:rsidR="008D0565" w:rsidRPr="00D61F73">
          <w:rPr>
            <w:rStyle w:val="Hyperlink"/>
            <w:rFonts w:ascii="Arial" w:hAnsi="Arial" w:cs="Arial"/>
          </w:rPr>
          <w:t>BlueCross BlueShield</w:t>
        </w:r>
      </w:hyperlink>
      <w:r w:rsidR="008D0565" w:rsidRPr="00D61F73">
        <w:rPr>
          <w:rFonts w:ascii="Arial" w:hAnsi="Arial" w:cs="Arial"/>
        </w:rPr>
        <w:t xml:space="preserve">, Surgery Section - Percutaneous Electrical Nerve Stimulation (PENS), Policy No: 44, 08/03/2004 </w:t>
      </w:r>
    </w:p>
    <w:p w14:paraId="7C7D0607" w14:textId="77777777" w:rsidR="008D0565" w:rsidRPr="00D61F73" w:rsidRDefault="008D0565" w:rsidP="00D61F73">
      <w:pPr>
        <w:rPr>
          <w:rFonts w:ascii="Arial" w:hAnsi="Arial" w:cs="Arial"/>
        </w:rPr>
      </w:pPr>
    </w:p>
    <w:p w14:paraId="635D3114" w14:textId="77777777" w:rsidR="008D0565" w:rsidRPr="00D61F73" w:rsidRDefault="00751163" w:rsidP="00D61F73">
      <w:pPr>
        <w:rPr>
          <w:rFonts w:ascii="Arial" w:hAnsi="Arial" w:cs="Arial"/>
        </w:rPr>
      </w:pPr>
      <w:hyperlink w:anchor="BlueCrossBlueShield5" w:history="1">
        <w:r w:rsidR="008D0565" w:rsidRPr="00D61F73">
          <w:rPr>
            <w:rStyle w:val="Hyperlink"/>
            <w:rFonts w:ascii="Arial" w:hAnsi="Arial" w:cs="Arial"/>
          </w:rPr>
          <w:t>BlueCross BlueShield</w:t>
        </w:r>
      </w:hyperlink>
      <w:r w:rsidR="008D0565" w:rsidRPr="00D61F73">
        <w:rPr>
          <w:rFonts w:ascii="Arial" w:hAnsi="Arial" w:cs="Arial"/>
        </w:rPr>
        <w:t>, Durable Medical Equipment Section - Electrical Stimulation Devices for Home Use, DME Policy No: 11, Approved Date: 04/05/2005</w:t>
      </w:r>
    </w:p>
    <w:p w14:paraId="0930B3E5" w14:textId="77777777" w:rsidR="008D0565" w:rsidRPr="00D61F73" w:rsidRDefault="008D0565" w:rsidP="00D61F73">
      <w:pPr>
        <w:rPr>
          <w:rFonts w:ascii="Arial" w:hAnsi="Arial" w:cs="Arial"/>
        </w:rPr>
      </w:pPr>
    </w:p>
    <w:p w14:paraId="2C7213B0" w14:textId="77777777" w:rsidR="008D0565" w:rsidRPr="00D61F73" w:rsidRDefault="00751163" w:rsidP="00D61F73">
      <w:pPr>
        <w:rPr>
          <w:rFonts w:ascii="Arial" w:hAnsi="Arial" w:cs="Arial"/>
        </w:rPr>
      </w:pPr>
      <w:hyperlink w:anchor="BlueCrossBlueShield6" w:history="1">
        <w:r w:rsidR="008D0565" w:rsidRPr="00D61F73">
          <w:rPr>
            <w:rStyle w:val="Hyperlink"/>
            <w:rFonts w:ascii="Arial" w:hAnsi="Arial" w:cs="Arial"/>
          </w:rPr>
          <w:t>BlueCross BlueShield</w:t>
        </w:r>
      </w:hyperlink>
      <w:r w:rsidR="008D0565" w:rsidRPr="00D61F73">
        <w:rPr>
          <w:rFonts w:ascii="Arial" w:hAnsi="Arial" w:cs="Arial"/>
        </w:rPr>
        <w:t>, Durable Medical Equipment Section - Sympathetic Therapy for the Treatment of Pain, DME Policy No: 65. Effective Date: 03/01/2005</w:t>
      </w:r>
    </w:p>
    <w:p w14:paraId="2F6A02F5" w14:textId="77777777" w:rsidR="008D0565" w:rsidRPr="00D61F73" w:rsidRDefault="008D0565" w:rsidP="00D61F73">
      <w:pPr>
        <w:rPr>
          <w:rFonts w:ascii="Arial" w:hAnsi="Arial" w:cs="Arial"/>
        </w:rPr>
      </w:pPr>
    </w:p>
    <w:p w14:paraId="11003771" w14:textId="77777777" w:rsidR="008D0565" w:rsidRPr="00D61F73" w:rsidRDefault="00751163" w:rsidP="00D61F73">
      <w:pPr>
        <w:rPr>
          <w:rFonts w:ascii="Arial" w:hAnsi="Arial" w:cs="Arial"/>
        </w:rPr>
      </w:pPr>
      <w:hyperlink w:anchor="BlueCrossBlueShield7" w:history="1">
        <w:r w:rsidR="008D0565" w:rsidRPr="00D61F73">
          <w:rPr>
            <w:rStyle w:val="Hyperlink"/>
            <w:rFonts w:ascii="Arial" w:hAnsi="Arial" w:cs="Arial"/>
          </w:rPr>
          <w:t>BlueCross BlueShield</w:t>
        </w:r>
      </w:hyperlink>
      <w:r w:rsidR="008D0565" w:rsidRPr="00D61F73">
        <w:rPr>
          <w:rFonts w:ascii="Arial" w:hAnsi="Arial" w:cs="Arial"/>
        </w:rPr>
        <w:t>, Durable Medical Equipment Section - Interferential Stimulation, DME Policy No: 66. Effective Date: 03/01/2005</w:t>
      </w:r>
    </w:p>
    <w:p w14:paraId="505B93A3" w14:textId="77777777" w:rsidR="008D0565" w:rsidRPr="00D61F73" w:rsidRDefault="008D0565" w:rsidP="00D61F73">
      <w:pPr>
        <w:rPr>
          <w:rFonts w:ascii="Arial" w:hAnsi="Arial" w:cs="Arial"/>
        </w:rPr>
      </w:pPr>
    </w:p>
    <w:p w14:paraId="643BA6C9" w14:textId="77777777" w:rsidR="008D0565" w:rsidRPr="00D61F73" w:rsidRDefault="00751163" w:rsidP="00D61F73">
      <w:pPr>
        <w:rPr>
          <w:rFonts w:ascii="Arial" w:hAnsi="Arial" w:cs="Arial"/>
        </w:rPr>
      </w:pPr>
      <w:hyperlink w:anchor="BlueCrossBlueShield99" w:history="1">
        <w:r w:rsidR="008D0565" w:rsidRPr="00D61F73">
          <w:rPr>
            <w:rStyle w:val="Hyperlink"/>
            <w:rFonts w:ascii="Arial" w:hAnsi="Arial" w:cs="Arial"/>
          </w:rPr>
          <w:t>BlueCross BlueShield</w:t>
        </w:r>
      </w:hyperlink>
      <w:r w:rsidR="008D0565" w:rsidRPr="00D61F73">
        <w:rPr>
          <w:rFonts w:ascii="Arial" w:hAnsi="Arial" w:cs="Arial"/>
        </w:rPr>
        <w:t>. Medicine Section - Trigger Point Therapy. Policy No: 39. Effective Date: 11/01/2004</w:t>
      </w:r>
    </w:p>
    <w:p w14:paraId="5F7A4D4D" w14:textId="77777777" w:rsidR="008D0565" w:rsidRPr="00D61F73" w:rsidRDefault="008D0565" w:rsidP="00D61F73">
      <w:pPr>
        <w:rPr>
          <w:rFonts w:ascii="Arial" w:hAnsi="Arial" w:cs="Arial"/>
        </w:rPr>
      </w:pPr>
    </w:p>
    <w:p w14:paraId="71F46C78" w14:textId="77777777" w:rsidR="008D0565" w:rsidRPr="00D61F73" w:rsidRDefault="00751163" w:rsidP="00D61F73">
      <w:pPr>
        <w:rPr>
          <w:rFonts w:ascii="Arial" w:hAnsi="Arial" w:cs="Arial"/>
        </w:rPr>
      </w:pPr>
      <w:hyperlink w:anchor="BlueCrossBlueShield991" w:history="1">
        <w:r w:rsidR="008D0565" w:rsidRPr="00D61F73">
          <w:rPr>
            <w:rStyle w:val="Hyperlink"/>
            <w:rFonts w:ascii="Arial" w:hAnsi="Arial" w:cs="Arial"/>
          </w:rPr>
          <w:t>BlueCross BlueShield</w:t>
        </w:r>
      </w:hyperlink>
      <w:r w:rsidR="008D0565" w:rsidRPr="00D61F73">
        <w:rPr>
          <w:rFonts w:ascii="Arial" w:hAnsi="Arial" w:cs="Arial"/>
        </w:rPr>
        <w:t>. Medicine Section - Prolotherapy. Policy No: 40. Effective Date: 06/01/2004</w:t>
      </w:r>
    </w:p>
    <w:p w14:paraId="48F22E34" w14:textId="77777777" w:rsidR="008D0565" w:rsidRPr="00D61F73" w:rsidRDefault="008D0565" w:rsidP="00D61F73">
      <w:pPr>
        <w:rPr>
          <w:rFonts w:ascii="Arial" w:hAnsi="Arial" w:cs="Arial"/>
        </w:rPr>
      </w:pPr>
    </w:p>
    <w:p w14:paraId="0DE36F6A" w14:textId="77777777" w:rsidR="008D0565" w:rsidRPr="00D61F73" w:rsidRDefault="00751163" w:rsidP="00D61F73">
      <w:pPr>
        <w:rPr>
          <w:rFonts w:ascii="Arial" w:hAnsi="Arial" w:cs="Arial"/>
        </w:rPr>
      </w:pPr>
      <w:hyperlink w:anchor="Breit" w:history="1">
        <w:r w:rsidR="008D0565" w:rsidRPr="00D61F73">
          <w:rPr>
            <w:rStyle w:val="Hyperlink"/>
            <w:rFonts w:ascii="Arial" w:hAnsi="Arial" w:cs="Arial"/>
          </w:rPr>
          <w:t>Breit R, Van der Wall H</w:t>
        </w:r>
      </w:hyperlink>
      <w:r w:rsidR="008D0565" w:rsidRPr="00D61F73">
        <w:rPr>
          <w:rFonts w:ascii="Arial" w:hAnsi="Arial" w:cs="Arial"/>
        </w:rPr>
        <w:t xml:space="preserve">. Transcutaneous electrical nerve stimulation for postoperative pain relief after total knee arthroplasty. </w:t>
      </w:r>
      <w:r w:rsidR="008D0565" w:rsidRPr="00D61F73">
        <w:rPr>
          <w:rFonts w:ascii="Arial" w:hAnsi="Arial" w:cs="Arial"/>
          <w:i/>
        </w:rPr>
        <w:t>J Arthroplasty</w:t>
      </w:r>
      <w:r w:rsidR="008D0565" w:rsidRPr="00D61F73">
        <w:rPr>
          <w:rFonts w:ascii="Arial" w:hAnsi="Arial" w:cs="Arial"/>
        </w:rPr>
        <w:t>. 2004 Jan;19(1):45-8.</w:t>
      </w:r>
    </w:p>
    <w:p w14:paraId="6935E5E9" w14:textId="77777777" w:rsidR="008D0565" w:rsidRPr="00D61F73" w:rsidRDefault="008D0565" w:rsidP="00D61F73">
      <w:pPr>
        <w:rPr>
          <w:rFonts w:ascii="Arial" w:hAnsi="Arial" w:cs="Arial"/>
          <w:b/>
          <w:bCs/>
        </w:rPr>
      </w:pPr>
    </w:p>
    <w:p w14:paraId="53C20285" w14:textId="77777777" w:rsidR="008D0565" w:rsidRPr="00D61F73" w:rsidRDefault="00751163" w:rsidP="00D61F73">
      <w:pPr>
        <w:rPr>
          <w:rFonts w:ascii="Arial" w:hAnsi="Arial" w:cs="Arial"/>
        </w:rPr>
      </w:pPr>
      <w:hyperlink w:anchor="Burton" w:history="1">
        <w:r w:rsidR="008D0565" w:rsidRPr="00D61F73">
          <w:rPr>
            <w:rStyle w:val="Hyperlink"/>
            <w:rFonts w:ascii="Arial" w:hAnsi="Arial" w:cs="Arial"/>
          </w:rPr>
          <w:t>Burton AW</w:t>
        </w:r>
      </w:hyperlink>
      <w:r w:rsidR="008D0565" w:rsidRPr="00D61F73">
        <w:rPr>
          <w:rFonts w:ascii="Arial" w:hAnsi="Arial" w:cs="Arial"/>
        </w:rPr>
        <w:t>, Interventional Therapies. In: Complex Regional Pain Syndrome: Treatment Guidelines. Ed. Harden N. Reflex Sympathetic Dystrophy Syndrome Association. 2006. Retrieved July 2008.</w:t>
      </w:r>
    </w:p>
    <w:p w14:paraId="54E79137" w14:textId="77777777" w:rsidR="008D0565" w:rsidRPr="00D61F73" w:rsidRDefault="008D0565" w:rsidP="00D61F73">
      <w:pPr>
        <w:rPr>
          <w:rFonts w:ascii="Arial" w:hAnsi="Arial" w:cs="Arial"/>
          <w:b/>
          <w:bCs/>
        </w:rPr>
      </w:pPr>
    </w:p>
    <w:p w14:paraId="52BAD035" w14:textId="77777777" w:rsidR="008D0565" w:rsidRPr="00D61F73" w:rsidRDefault="00751163" w:rsidP="00D61F73">
      <w:pPr>
        <w:rPr>
          <w:rFonts w:ascii="Arial" w:hAnsi="Arial" w:cs="Arial"/>
        </w:rPr>
      </w:pPr>
      <w:hyperlink w:anchor="CaliforniaTech" w:history="1">
        <w:r w:rsidR="008D0565" w:rsidRPr="00D61F73">
          <w:rPr>
            <w:rStyle w:val="Hyperlink"/>
            <w:rFonts w:ascii="Arial" w:hAnsi="Arial" w:cs="Arial"/>
          </w:rPr>
          <w:t>California Technology Assessment Forum</w:t>
        </w:r>
      </w:hyperlink>
      <w:r w:rsidR="008D0565" w:rsidRPr="00D61F73">
        <w:rPr>
          <w:rFonts w:ascii="Arial" w:hAnsi="Arial" w:cs="Arial"/>
        </w:rPr>
        <w:t>. Interferential stimulation for the treatment of musculoskeletal pain. 2005.</w:t>
      </w:r>
    </w:p>
    <w:p w14:paraId="63D26A4D" w14:textId="77777777" w:rsidR="008D0565" w:rsidRPr="00D61F73" w:rsidRDefault="008D0565" w:rsidP="00D61F73">
      <w:pPr>
        <w:rPr>
          <w:rFonts w:ascii="Arial" w:hAnsi="Arial" w:cs="Arial"/>
          <w:b/>
          <w:bCs/>
        </w:rPr>
      </w:pPr>
    </w:p>
    <w:p w14:paraId="1A44FF24" w14:textId="77777777" w:rsidR="008D0565" w:rsidRPr="00D61F73" w:rsidRDefault="00751163" w:rsidP="00D61F73">
      <w:pPr>
        <w:rPr>
          <w:rFonts w:ascii="Arial" w:hAnsi="Arial" w:cs="Arial"/>
          <w:b/>
          <w:bCs/>
        </w:rPr>
      </w:pPr>
      <w:hyperlink w:anchor="Cepeda2002" w:history="1">
        <w:r w:rsidR="008D0565" w:rsidRPr="00D61F73">
          <w:rPr>
            <w:rStyle w:val="Hyperlink"/>
            <w:rFonts w:ascii="Arial" w:hAnsi="Arial" w:cs="Arial"/>
          </w:rPr>
          <w:t>Cepeda MS, Lau J, Carr DB</w:t>
        </w:r>
      </w:hyperlink>
      <w:r w:rsidR="008D0565" w:rsidRPr="00D61F73">
        <w:rPr>
          <w:rFonts w:ascii="Arial" w:hAnsi="Arial" w:cs="Arial"/>
        </w:rPr>
        <w:t xml:space="preserve">. Defining the therapeutic role of local anesthetic sympathetic blockade in complex regional pain syndrome: a narrative and systematic review. </w:t>
      </w:r>
      <w:r w:rsidR="008D0565" w:rsidRPr="00D61F73">
        <w:rPr>
          <w:rFonts w:ascii="Arial" w:hAnsi="Arial" w:cs="Arial"/>
          <w:i/>
        </w:rPr>
        <w:t>Clin J Pain</w:t>
      </w:r>
      <w:r w:rsidR="008D0565" w:rsidRPr="00D61F73">
        <w:rPr>
          <w:rFonts w:ascii="Arial" w:hAnsi="Arial" w:cs="Arial"/>
        </w:rPr>
        <w:t>. 2002;18:216-33.</w:t>
      </w:r>
    </w:p>
    <w:p w14:paraId="63FCC285" w14:textId="77777777" w:rsidR="008D0565" w:rsidRPr="00D61F73" w:rsidRDefault="008D0565" w:rsidP="00D61F73">
      <w:pPr>
        <w:rPr>
          <w:rFonts w:ascii="Arial" w:hAnsi="Arial" w:cs="Arial"/>
        </w:rPr>
      </w:pPr>
    </w:p>
    <w:p w14:paraId="72BF5C3A" w14:textId="77777777" w:rsidR="008D0565" w:rsidRPr="00D61F73" w:rsidRDefault="00751163" w:rsidP="00D61F73">
      <w:pPr>
        <w:rPr>
          <w:rFonts w:ascii="Arial" w:hAnsi="Arial" w:cs="Arial"/>
        </w:rPr>
      </w:pPr>
      <w:hyperlink w:anchor="Chong" w:history="1">
        <w:r w:rsidR="008D0565" w:rsidRPr="00D61F73">
          <w:rPr>
            <w:rStyle w:val="Hyperlink"/>
            <w:rFonts w:ascii="Arial" w:hAnsi="Arial" w:cs="Arial"/>
          </w:rPr>
          <w:t>Chong MS, Bajwa ZH</w:t>
        </w:r>
      </w:hyperlink>
      <w:r w:rsidR="008D0565" w:rsidRPr="00D61F73">
        <w:rPr>
          <w:rFonts w:ascii="Arial" w:hAnsi="Arial" w:cs="Arial"/>
        </w:rPr>
        <w:t xml:space="preserve">. Diagnosis and treatment of neuropathic pain. </w:t>
      </w:r>
      <w:r w:rsidR="008D0565" w:rsidRPr="00D61F73">
        <w:rPr>
          <w:rFonts w:ascii="Arial" w:hAnsi="Arial" w:cs="Arial"/>
          <w:i/>
        </w:rPr>
        <w:t>J Pain Symptom Manage.</w:t>
      </w:r>
      <w:r w:rsidR="008D0565" w:rsidRPr="00D61F73">
        <w:rPr>
          <w:rFonts w:ascii="Arial" w:hAnsi="Arial" w:cs="Arial"/>
        </w:rPr>
        <w:t xml:space="preserve"> 2003 May;25(5 Suppl):S4-S11.</w:t>
      </w:r>
      <w:r w:rsidR="008D0565" w:rsidRPr="00D61F73">
        <w:rPr>
          <w:rFonts w:ascii="Arial" w:hAnsi="Arial" w:cs="Arial"/>
        </w:rPr>
        <w:br/>
      </w:r>
    </w:p>
    <w:p w14:paraId="32421D33" w14:textId="77777777" w:rsidR="008D0565" w:rsidRPr="00D61F73" w:rsidRDefault="00751163" w:rsidP="00D61F73">
      <w:pPr>
        <w:rPr>
          <w:rFonts w:ascii="Arial" w:hAnsi="Arial" w:cs="Arial"/>
        </w:rPr>
      </w:pPr>
      <w:hyperlink w:anchor="Condon" w:history="1">
        <w:r w:rsidR="008D0565" w:rsidRPr="00D61F73">
          <w:rPr>
            <w:rStyle w:val="Hyperlink"/>
            <w:rFonts w:ascii="Arial" w:hAnsi="Arial" w:cs="Arial"/>
          </w:rPr>
          <w:t>Condon JE, Borg-Stein J, Revord J et al.</w:t>
        </w:r>
      </w:hyperlink>
      <w:r w:rsidR="008D0565" w:rsidRPr="00D61F73">
        <w:rPr>
          <w:rFonts w:ascii="Arial" w:hAnsi="Arial" w:cs="Arial"/>
        </w:rPr>
        <w:t xml:space="preserve"> A multicenter trial of percutaneous neuromodulation therapy for low back pain patients with a subacute duration of lower extremity pan. Presented at the American Academy of Pain Medicine Annual Meeting. San Francisco, CA, March 1, 2002</w:t>
      </w:r>
    </w:p>
    <w:p w14:paraId="2D66F862" w14:textId="77777777" w:rsidR="008D0565" w:rsidRPr="00D61F73" w:rsidRDefault="008D0565" w:rsidP="00D61F73">
      <w:pPr>
        <w:rPr>
          <w:rFonts w:ascii="Arial" w:hAnsi="Arial" w:cs="Arial"/>
        </w:rPr>
      </w:pPr>
    </w:p>
    <w:p w14:paraId="62538CAF" w14:textId="77777777" w:rsidR="008D0565" w:rsidRPr="00D61F73" w:rsidRDefault="00751163" w:rsidP="00D61F73">
      <w:pPr>
        <w:rPr>
          <w:rFonts w:ascii="Arial" w:hAnsi="Arial" w:cs="Arial"/>
        </w:rPr>
      </w:pPr>
      <w:hyperlink w:anchor="Cummings" w:history="1">
        <w:r w:rsidR="008D0565" w:rsidRPr="00D61F73">
          <w:rPr>
            <w:rStyle w:val="Hyperlink"/>
            <w:rFonts w:ascii="Arial" w:hAnsi="Arial" w:cs="Arial"/>
          </w:rPr>
          <w:t>Cummings TM, White AR</w:t>
        </w:r>
      </w:hyperlink>
      <w:r w:rsidR="008D0565" w:rsidRPr="00D61F73">
        <w:rPr>
          <w:rFonts w:ascii="Arial" w:hAnsi="Arial" w:cs="Arial"/>
        </w:rPr>
        <w:t xml:space="preserve">. Needling therapies in the management of myofascial trigger point pain: a systematic review. </w:t>
      </w:r>
      <w:r w:rsidR="008D0565" w:rsidRPr="00D61F73">
        <w:rPr>
          <w:rFonts w:ascii="Arial" w:hAnsi="Arial" w:cs="Arial"/>
          <w:i/>
        </w:rPr>
        <w:t>Arch Phys Med Rehabil</w:t>
      </w:r>
      <w:r w:rsidR="008D0565" w:rsidRPr="00D61F73">
        <w:rPr>
          <w:rFonts w:ascii="Arial" w:hAnsi="Arial" w:cs="Arial"/>
        </w:rPr>
        <w:t>. 2001;82:986-92</w:t>
      </w:r>
    </w:p>
    <w:p w14:paraId="3A49018C" w14:textId="77777777" w:rsidR="008D0565" w:rsidRPr="00D61F73" w:rsidRDefault="008D0565" w:rsidP="00D61F73">
      <w:pPr>
        <w:rPr>
          <w:rFonts w:ascii="Arial" w:hAnsi="Arial" w:cs="Arial"/>
        </w:rPr>
      </w:pPr>
    </w:p>
    <w:p w14:paraId="1DCD27E3" w14:textId="77777777" w:rsidR="008D0565" w:rsidRPr="00D61F73" w:rsidRDefault="00751163" w:rsidP="00D61F73">
      <w:pPr>
        <w:shd w:val="clear" w:color="auto" w:fill="FFFFFF"/>
        <w:rPr>
          <w:rFonts w:ascii="Arial" w:hAnsi="Arial" w:cs="Arial"/>
          <w:lang w:val="es-MX"/>
        </w:rPr>
      </w:pPr>
      <w:hyperlink w:anchor="Distel2011" w:history="1">
        <w:r w:rsidR="008D0565" w:rsidRPr="00D61F73">
          <w:rPr>
            <w:rStyle w:val="Hyperlink"/>
            <w:rFonts w:ascii="Arial" w:hAnsi="Arial" w:cs="Arial"/>
          </w:rPr>
          <w:t>Distel LM, Best TM</w:t>
        </w:r>
      </w:hyperlink>
      <w:r w:rsidR="008D0565" w:rsidRPr="00D61F73">
        <w:rPr>
          <w:rFonts w:ascii="Arial" w:hAnsi="Arial" w:cs="Arial"/>
        </w:rPr>
        <w:t xml:space="preserve">. Prolotherapy: a clinical review of its role in treating chronic musculoskeletal pain. </w:t>
      </w:r>
      <w:r w:rsidR="008D0565" w:rsidRPr="00D61F73">
        <w:rPr>
          <w:rFonts w:ascii="Arial" w:hAnsi="Arial" w:cs="Arial"/>
          <w:i/>
          <w:iCs/>
          <w:lang w:val="es-MX"/>
        </w:rPr>
        <w:t>PM R</w:t>
      </w:r>
      <w:r w:rsidR="008D0565" w:rsidRPr="00D61F73">
        <w:rPr>
          <w:rFonts w:ascii="Arial" w:hAnsi="Arial" w:cs="Arial"/>
          <w:lang w:val="es-MX"/>
        </w:rPr>
        <w:t>. 2011 Jun;3(6 Suppl 1):S78-81.</w:t>
      </w:r>
    </w:p>
    <w:p w14:paraId="627FE2A4" w14:textId="77777777" w:rsidR="008D0565" w:rsidRPr="00D61F73" w:rsidRDefault="008D0565" w:rsidP="00D61F73">
      <w:pPr>
        <w:shd w:val="clear" w:color="auto" w:fill="FFFFFF"/>
        <w:rPr>
          <w:rFonts w:ascii="Arial" w:hAnsi="Arial" w:cs="Arial"/>
          <w:lang w:val="es-MX"/>
        </w:rPr>
      </w:pPr>
    </w:p>
    <w:p w14:paraId="5F2689BD" w14:textId="77777777" w:rsidR="008D0565" w:rsidRPr="00D61F73" w:rsidRDefault="00751163" w:rsidP="00D61F73">
      <w:pPr>
        <w:shd w:val="clear" w:color="auto" w:fill="FFFFFF"/>
        <w:rPr>
          <w:rFonts w:ascii="Arial" w:hAnsi="Arial" w:cs="Arial"/>
        </w:rPr>
      </w:pPr>
      <w:hyperlink w:anchor="Erdogan" w:history="1">
        <w:r w:rsidR="008D0565" w:rsidRPr="00D61F73">
          <w:rPr>
            <w:rStyle w:val="Hyperlink"/>
            <w:rFonts w:ascii="Arial" w:hAnsi="Arial" w:cs="Arial"/>
            <w:lang w:val="es-MX"/>
          </w:rPr>
          <w:t>Erdogan M, Erdogan A, Erbil N, Karakaya HK, Demircan A</w:t>
        </w:r>
      </w:hyperlink>
      <w:r w:rsidR="008D0565" w:rsidRPr="00D61F73">
        <w:rPr>
          <w:rFonts w:ascii="Arial" w:hAnsi="Arial" w:cs="Arial"/>
          <w:lang w:val="es-MX"/>
        </w:rPr>
        <w:t xml:space="preserve">. </w:t>
      </w:r>
      <w:r w:rsidR="008D0565" w:rsidRPr="00D61F73">
        <w:rPr>
          <w:rFonts w:ascii="Arial" w:hAnsi="Arial" w:cs="Arial"/>
        </w:rPr>
        <w:t xml:space="preserve">Prospective, Randomized, Placebo-controlled Study of the Effect of TENS on postthoracotomy pain and pulmonary function. </w:t>
      </w:r>
      <w:r w:rsidR="008D0565" w:rsidRPr="00D61F73">
        <w:rPr>
          <w:rFonts w:ascii="Arial" w:hAnsi="Arial" w:cs="Arial"/>
          <w:i/>
        </w:rPr>
        <w:t>World J Surg</w:t>
      </w:r>
      <w:r w:rsidR="008D0565" w:rsidRPr="00D61F73">
        <w:rPr>
          <w:rFonts w:ascii="Arial" w:hAnsi="Arial" w:cs="Arial"/>
        </w:rPr>
        <w:t>. 2005 Dec;29(12):1563-70.</w:t>
      </w:r>
    </w:p>
    <w:p w14:paraId="647F0188" w14:textId="77777777" w:rsidR="008D0565" w:rsidRPr="00D61F73" w:rsidRDefault="008D0565" w:rsidP="00D61F73">
      <w:pPr>
        <w:rPr>
          <w:rFonts w:ascii="Arial" w:hAnsi="Arial" w:cs="Arial"/>
        </w:rPr>
      </w:pPr>
    </w:p>
    <w:p w14:paraId="776AB17E" w14:textId="77777777" w:rsidR="008D0565" w:rsidRPr="00D61F73" w:rsidRDefault="00751163" w:rsidP="00D61F73">
      <w:pPr>
        <w:rPr>
          <w:rFonts w:ascii="Arial" w:hAnsi="Arial" w:cs="Arial"/>
        </w:rPr>
      </w:pPr>
      <w:hyperlink w:anchor="Esenyel" w:history="1">
        <w:r w:rsidR="008D0565" w:rsidRPr="00D61F73">
          <w:rPr>
            <w:rStyle w:val="Hyperlink"/>
            <w:rFonts w:ascii="Arial" w:hAnsi="Arial" w:cs="Arial"/>
          </w:rPr>
          <w:t>Esenyel M, Caglar N, Aldemir T</w:t>
        </w:r>
      </w:hyperlink>
      <w:r w:rsidR="008D0565" w:rsidRPr="00D61F73">
        <w:rPr>
          <w:rFonts w:ascii="Arial" w:hAnsi="Arial" w:cs="Arial"/>
        </w:rPr>
        <w:t xml:space="preserve">. Treatment of myofascial pain. </w:t>
      </w:r>
      <w:r w:rsidR="008D0565" w:rsidRPr="00D61F73">
        <w:rPr>
          <w:rFonts w:ascii="Arial" w:hAnsi="Arial" w:cs="Arial"/>
          <w:i/>
        </w:rPr>
        <w:t>Am J Phys Med Rehabil</w:t>
      </w:r>
      <w:r w:rsidR="008D0565" w:rsidRPr="00D61F73">
        <w:rPr>
          <w:rFonts w:ascii="Arial" w:hAnsi="Arial" w:cs="Arial"/>
        </w:rPr>
        <w:t>. 2000;79:48-52.</w:t>
      </w:r>
    </w:p>
    <w:p w14:paraId="53282EFA" w14:textId="77777777" w:rsidR="008D0565" w:rsidRPr="00D61F73" w:rsidRDefault="008D0565" w:rsidP="00D61F73">
      <w:pPr>
        <w:shd w:val="clear" w:color="auto" w:fill="FFFFFF"/>
        <w:rPr>
          <w:rFonts w:ascii="Arial" w:hAnsi="Arial" w:cs="Arial"/>
        </w:rPr>
      </w:pPr>
    </w:p>
    <w:p w14:paraId="479EFE91" w14:textId="77777777" w:rsidR="008D0565" w:rsidRPr="00D61F73" w:rsidRDefault="00751163" w:rsidP="00D61F73">
      <w:pPr>
        <w:shd w:val="clear" w:color="auto" w:fill="FFFFFF"/>
        <w:rPr>
          <w:rFonts w:ascii="Arial" w:hAnsi="Arial" w:cs="Arial"/>
        </w:rPr>
      </w:pPr>
      <w:hyperlink w:anchor="Finsen" w:history="1">
        <w:r w:rsidR="008D0565" w:rsidRPr="00D61F73">
          <w:rPr>
            <w:rStyle w:val="Hyperlink"/>
            <w:rFonts w:ascii="Arial" w:hAnsi="Arial" w:cs="Arial"/>
          </w:rPr>
          <w:t xml:space="preserve">Finsen V, Persen L, Lovlien M, Veslegaard EK, Simensen M, Gasvann AK, Benum P. </w:t>
        </w:r>
      </w:hyperlink>
      <w:r w:rsidR="008D0565" w:rsidRPr="00D61F73">
        <w:rPr>
          <w:rFonts w:ascii="Arial" w:hAnsi="Arial" w:cs="Arial"/>
        </w:rPr>
        <w:t xml:space="preserve"> Transcutaneous electrical nerve stimulation after major amputation. </w:t>
      </w:r>
      <w:r w:rsidR="008D0565" w:rsidRPr="00D61F73">
        <w:rPr>
          <w:rFonts w:ascii="Arial" w:hAnsi="Arial" w:cs="Arial"/>
          <w:i/>
        </w:rPr>
        <w:t>J Bone Joint Surg Br</w:t>
      </w:r>
      <w:r w:rsidR="008D0565" w:rsidRPr="00D61F73">
        <w:rPr>
          <w:rFonts w:ascii="Arial" w:hAnsi="Arial" w:cs="Arial"/>
        </w:rPr>
        <w:t>. 1988 Jan;70(1):109-12.</w:t>
      </w:r>
    </w:p>
    <w:p w14:paraId="3998E109" w14:textId="77777777" w:rsidR="008D0565" w:rsidRPr="00D61F73" w:rsidRDefault="008D0565" w:rsidP="00D61F73">
      <w:pPr>
        <w:shd w:val="clear" w:color="auto" w:fill="FFFFFF"/>
        <w:rPr>
          <w:rFonts w:ascii="Arial" w:hAnsi="Arial" w:cs="Arial"/>
        </w:rPr>
      </w:pPr>
    </w:p>
    <w:p w14:paraId="38FDE060" w14:textId="77777777" w:rsidR="008D0565" w:rsidRPr="00D61F73" w:rsidRDefault="00751163" w:rsidP="00D61F73">
      <w:pPr>
        <w:rPr>
          <w:rFonts w:ascii="Arial" w:hAnsi="Arial" w:cs="Arial"/>
        </w:rPr>
      </w:pPr>
      <w:hyperlink w:anchor="Forouzanfar2" w:history="1">
        <w:r w:rsidR="008D0565" w:rsidRPr="00D61F73">
          <w:rPr>
            <w:rStyle w:val="Hyperlink"/>
            <w:rFonts w:ascii="Arial" w:hAnsi="Arial" w:cs="Arial"/>
          </w:rPr>
          <w:t>Forouzanfar T, Köke AJ, van Kleef M, Weber WE</w:t>
        </w:r>
      </w:hyperlink>
      <w:r w:rsidR="008D0565" w:rsidRPr="00D61F73">
        <w:rPr>
          <w:rFonts w:ascii="Arial" w:hAnsi="Arial" w:cs="Arial"/>
        </w:rPr>
        <w:t xml:space="preserve">. Treatment of complex regional pain syndrome type I. </w:t>
      </w:r>
      <w:r w:rsidR="008D0565" w:rsidRPr="00D61F73">
        <w:rPr>
          <w:rFonts w:ascii="Arial" w:hAnsi="Arial" w:cs="Arial"/>
          <w:i/>
        </w:rPr>
        <w:t>Eur J Pain</w:t>
      </w:r>
      <w:r w:rsidR="008D0565" w:rsidRPr="00D61F73">
        <w:rPr>
          <w:rFonts w:ascii="Arial" w:hAnsi="Arial" w:cs="Arial"/>
        </w:rPr>
        <w:t>. 2002;6:105-22.</w:t>
      </w:r>
    </w:p>
    <w:p w14:paraId="7E958F00" w14:textId="77777777" w:rsidR="008D0565" w:rsidRPr="00D61F73" w:rsidRDefault="008D0565" w:rsidP="00D61F73">
      <w:pPr>
        <w:rPr>
          <w:rFonts w:ascii="Arial" w:hAnsi="Arial" w:cs="Arial"/>
        </w:rPr>
      </w:pPr>
    </w:p>
    <w:p w14:paraId="4A9BE1D2" w14:textId="77777777" w:rsidR="008D0565" w:rsidRPr="00D61F73" w:rsidRDefault="00751163" w:rsidP="00D61F73">
      <w:pPr>
        <w:rPr>
          <w:rFonts w:ascii="Arial" w:hAnsi="Arial" w:cs="Arial"/>
        </w:rPr>
      </w:pPr>
      <w:hyperlink w:anchor="Furlan3" w:history="1">
        <w:r w:rsidR="008D0565" w:rsidRPr="00D61F73">
          <w:rPr>
            <w:rStyle w:val="Hyperlink"/>
            <w:rFonts w:ascii="Arial" w:hAnsi="Arial" w:cs="Arial"/>
          </w:rPr>
          <w:t>Furlan AD, Sjölund BH</w:t>
        </w:r>
      </w:hyperlink>
      <w:r w:rsidR="008D0565" w:rsidRPr="00D61F73">
        <w:rPr>
          <w:rFonts w:ascii="Arial" w:hAnsi="Arial" w:cs="Arial"/>
        </w:rPr>
        <w:t>. Igniting the spark? Pain. 2007 Jul;130(1-2):1-3. Epub 2007 May 22.</w:t>
      </w:r>
    </w:p>
    <w:p w14:paraId="593301A4" w14:textId="77777777" w:rsidR="008D0565" w:rsidRPr="00D61F73" w:rsidRDefault="008D0565" w:rsidP="00D61F73">
      <w:pPr>
        <w:rPr>
          <w:rFonts w:ascii="Arial" w:hAnsi="Arial" w:cs="Arial"/>
        </w:rPr>
      </w:pPr>
    </w:p>
    <w:bookmarkStart w:id="413" w:name="Percutaneous3"/>
    <w:bookmarkEnd w:id="413"/>
    <w:p w14:paraId="14D2CDF1" w14:textId="77777777" w:rsidR="008D0565" w:rsidRPr="00D61F73" w:rsidRDefault="008D0565" w:rsidP="00D61F73">
      <w:pPr>
        <w:rPr>
          <w:rFonts w:ascii="Arial" w:hAnsi="Arial" w:cs="Arial"/>
        </w:rPr>
      </w:pPr>
      <w:r w:rsidRPr="00D61F73">
        <w:rPr>
          <w:rFonts w:ascii="Arial" w:hAnsi="Arial" w:cs="Arial"/>
        </w:rPr>
        <w:fldChar w:fldCharType="begin"/>
      </w:r>
      <w:r w:rsidRPr="00D61F73">
        <w:rPr>
          <w:rFonts w:ascii="Arial" w:hAnsi="Arial" w:cs="Arial"/>
        </w:rPr>
        <w:instrText xml:space="preserve"> HYPERLINK  \l "Ghoname" </w:instrText>
      </w:r>
      <w:r w:rsidRPr="00D61F73">
        <w:rPr>
          <w:rFonts w:ascii="Arial" w:hAnsi="Arial" w:cs="Arial"/>
        </w:rPr>
        <w:fldChar w:fldCharType="separate"/>
      </w:r>
      <w:r w:rsidRPr="00D61F73">
        <w:rPr>
          <w:rStyle w:val="Hyperlink"/>
          <w:rFonts w:ascii="Arial" w:hAnsi="Arial" w:cs="Arial"/>
        </w:rPr>
        <w:t>Ghoname EA, Craig WF, White PF, Ahmed HE, Hamza MA, Henderson BN, Gajraj NM, Huber PJ, Gatchel RJ</w:t>
      </w:r>
      <w:r w:rsidRPr="00D61F73">
        <w:rPr>
          <w:rFonts w:ascii="Arial" w:hAnsi="Arial" w:cs="Arial"/>
        </w:rPr>
        <w:fldChar w:fldCharType="end"/>
      </w:r>
      <w:r w:rsidRPr="00D61F73">
        <w:rPr>
          <w:rFonts w:ascii="Arial" w:hAnsi="Arial" w:cs="Arial"/>
        </w:rPr>
        <w:t xml:space="preserve">, Percutaneous electrical nerve stimulation for low back pain: a randomized crossover study, </w:t>
      </w:r>
      <w:r w:rsidRPr="00D61F73">
        <w:rPr>
          <w:rFonts w:ascii="Arial" w:hAnsi="Arial" w:cs="Arial"/>
          <w:i/>
          <w:iCs/>
        </w:rPr>
        <w:t>JAMA</w:t>
      </w:r>
      <w:r w:rsidRPr="00D61F73">
        <w:rPr>
          <w:rFonts w:ascii="Arial" w:hAnsi="Arial" w:cs="Arial"/>
        </w:rPr>
        <w:t xml:space="preserve"> 1999 Mar 3;281(9):818-23</w:t>
      </w:r>
      <w:r w:rsidRPr="00D61F73">
        <w:rPr>
          <w:rFonts w:ascii="Arial" w:hAnsi="Arial" w:cs="Arial"/>
        </w:rPr>
        <w:br/>
      </w:r>
    </w:p>
    <w:p w14:paraId="76335676" w14:textId="77777777" w:rsidR="008D0565" w:rsidRPr="00D61F73" w:rsidRDefault="00751163" w:rsidP="00D61F73">
      <w:pPr>
        <w:rPr>
          <w:rFonts w:ascii="Arial" w:hAnsi="Arial" w:cs="Arial"/>
        </w:rPr>
      </w:pPr>
      <w:hyperlink w:anchor="Hartrick" w:history="1">
        <w:r w:rsidR="008D0565" w:rsidRPr="00D61F73">
          <w:rPr>
            <w:rStyle w:val="Hyperlink"/>
            <w:rFonts w:ascii="Arial" w:hAnsi="Arial" w:cs="Arial"/>
          </w:rPr>
          <w:t>Hartrick CT, Kovan JP, Naismith P</w:t>
        </w:r>
      </w:hyperlink>
      <w:r w:rsidR="008D0565" w:rsidRPr="00D61F73">
        <w:rPr>
          <w:rFonts w:ascii="Arial" w:hAnsi="Arial" w:cs="Arial"/>
        </w:rPr>
        <w:t xml:space="preserve">. Outcome prediction following sympathetic block for complex regional pain syndrome. </w:t>
      </w:r>
      <w:r w:rsidR="008D0565" w:rsidRPr="00D61F73">
        <w:rPr>
          <w:rFonts w:ascii="Arial" w:hAnsi="Arial" w:cs="Arial"/>
          <w:i/>
        </w:rPr>
        <w:t>Pain Pract</w:t>
      </w:r>
      <w:r w:rsidR="008D0565" w:rsidRPr="00D61F73">
        <w:rPr>
          <w:rFonts w:ascii="Arial" w:hAnsi="Arial" w:cs="Arial"/>
        </w:rPr>
        <w:t>. 2004;4:222-8.</w:t>
      </w:r>
    </w:p>
    <w:p w14:paraId="2A88EAC0" w14:textId="77777777" w:rsidR="008D0565" w:rsidRPr="00D61F73" w:rsidRDefault="008D0565" w:rsidP="00D61F73">
      <w:pPr>
        <w:shd w:val="clear" w:color="auto" w:fill="FFFFFF"/>
        <w:rPr>
          <w:rFonts w:ascii="Arial" w:hAnsi="Arial" w:cs="Arial"/>
        </w:rPr>
      </w:pPr>
    </w:p>
    <w:p w14:paraId="61A28138" w14:textId="77777777" w:rsidR="008D0565" w:rsidRPr="00D61F73" w:rsidRDefault="00751163" w:rsidP="00D61F73">
      <w:pPr>
        <w:shd w:val="clear" w:color="auto" w:fill="FFFFFF"/>
        <w:rPr>
          <w:rFonts w:ascii="Arial" w:hAnsi="Arial" w:cs="Arial"/>
        </w:rPr>
      </w:pPr>
      <w:hyperlink w:anchor="Holzer2011" w:history="1">
        <w:r w:rsidR="008D0565" w:rsidRPr="00D61F73">
          <w:rPr>
            <w:rStyle w:val="Hyperlink"/>
            <w:rFonts w:ascii="Arial" w:hAnsi="Arial" w:cs="Arial"/>
          </w:rPr>
          <w:t>Holzer A, Leitgeb U, Spacek A, Wenzl R, Herkner H, Kettner S.</w:t>
        </w:r>
      </w:hyperlink>
      <w:r w:rsidR="008D0565" w:rsidRPr="00D61F73">
        <w:rPr>
          <w:rFonts w:ascii="Arial" w:hAnsi="Arial" w:cs="Arial"/>
        </w:rPr>
        <w:t xml:space="preserve"> Auricular acupuncture for postoperative pain after gynecological surgery: a randomized controlled trail. </w:t>
      </w:r>
      <w:r w:rsidR="008D0565" w:rsidRPr="00D61F73">
        <w:rPr>
          <w:rFonts w:ascii="Arial" w:hAnsi="Arial" w:cs="Arial"/>
          <w:i/>
          <w:iCs/>
        </w:rPr>
        <w:t>Minerva Anestesiol</w:t>
      </w:r>
      <w:r w:rsidR="008D0565" w:rsidRPr="00D61F73">
        <w:rPr>
          <w:rFonts w:ascii="Arial" w:hAnsi="Arial" w:cs="Arial"/>
        </w:rPr>
        <w:t>. 2011 Mar;77(3):298-304.</w:t>
      </w:r>
    </w:p>
    <w:p w14:paraId="32442766" w14:textId="77777777" w:rsidR="008D0565" w:rsidRPr="00D61F73" w:rsidRDefault="008D0565" w:rsidP="00D61F73">
      <w:pPr>
        <w:shd w:val="clear" w:color="auto" w:fill="FFFFFF"/>
        <w:rPr>
          <w:rFonts w:ascii="Arial" w:hAnsi="Arial" w:cs="Arial"/>
        </w:rPr>
      </w:pPr>
    </w:p>
    <w:p w14:paraId="7BA836AA" w14:textId="77777777" w:rsidR="008D0565" w:rsidRPr="00D61F73" w:rsidRDefault="00751163" w:rsidP="00D61F73">
      <w:pPr>
        <w:shd w:val="clear" w:color="auto" w:fill="FFFFFF"/>
        <w:rPr>
          <w:rFonts w:ascii="Arial" w:hAnsi="Arial" w:cs="Arial"/>
          <w:lang w:val="en"/>
        </w:rPr>
      </w:pPr>
      <w:hyperlink w:anchor="International" w:history="1">
        <w:r w:rsidR="008D0565" w:rsidRPr="00D61F73">
          <w:rPr>
            <w:rStyle w:val="Hyperlink"/>
            <w:rFonts w:ascii="Arial" w:hAnsi="Arial" w:cs="Arial"/>
            <w:lang w:val="en"/>
          </w:rPr>
          <w:t>International Research Foundation for RSD/CRPS</w:t>
        </w:r>
      </w:hyperlink>
      <w:r w:rsidR="008D0565" w:rsidRPr="00D61F73">
        <w:rPr>
          <w:rFonts w:ascii="Arial" w:hAnsi="Arial" w:cs="Arial"/>
          <w:lang w:val="en"/>
        </w:rPr>
        <w:t>. Reflex sympathetic dystrophy/complex regional pain syndrome. 3rd ed. Tampa (FL): International Research Foundation for RSD/CRPS; 2003 Jan 1. Retreived July 2008.</w:t>
      </w:r>
    </w:p>
    <w:p w14:paraId="7F4603F3" w14:textId="77777777" w:rsidR="008D0565" w:rsidRPr="00D61F73" w:rsidRDefault="008D0565" w:rsidP="00D61F73">
      <w:pPr>
        <w:rPr>
          <w:rFonts w:ascii="Arial" w:hAnsi="Arial" w:cs="Arial"/>
        </w:rPr>
      </w:pPr>
    </w:p>
    <w:p w14:paraId="3C128C92" w14:textId="77777777" w:rsidR="008D0565" w:rsidRPr="00D61F73" w:rsidRDefault="00751163" w:rsidP="00D61F73">
      <w:pPr>
        <w:rPr>
          <w:rFonts w:ascii="Arial" w:hAnsi="Arial" w:cs="Arial"/>
        </w:rPr>
      </w:pPr>
      <w:hyperlink w:anchor="Johnson" w:history="1">
        <w:r w:rsidR="008D0565" w:rsidRPr="00D61F73">
          <w:rPr>
            <w:rStyle w:val="Hyperlink"/>
            <w:rFonts w:ascii="Arial" w:hAnsi="Arial" w:cs="Arial"/>
          </w:rPr>
          <w:t>Johnson M, Martinson M</w:t>
        </w:r>
      </w:hyperlink>
      <w:r w:rsidR="008D0565" w:rsidRPr="00D61F73">
        <w:rPr>
          <w:rFonts w:ascii="Arial" w:hAnsi="Arial" w:cs="Arial"/>
        </w:rPr>
        <w:t xml:space="preserve">. Efficacy of electrical nerve stimulation for chronic musculoskeletal pain: A meta-analysis of randomized controlled trials. </w:t>
      </w:r>
      <w:r w:rsidR="008D0565" w:rsidRPr="00D61F73">
        <w:rPr>
          <w:rFonts w:ascii="Arial" w:hAnsi="Arial" w:cs="Arial"/>
          <w:i/>
        </w:rPr>
        <w:t>Pain</w:t>
      </w:r>
      <w:r w:rsidR="008D0565" w:rsidRPr="00D61F73">
        <w:rPr>
          <w:rFonts w:ascii="Arial" w:hAnsi="Arial" w:cs="Arial"/>
        </w:rPr>
        <w:t>. 2007 Jul;130(1-2):157-65. Epub 2007 Mar 23.</w:t>
      </w:r>
    </w:p>
    <w:p w14:paraId="2EA78A4B" w14:textId="77777777" w:rsidR="008D0565" w:rsidRPr="00D61F73" w:rsidRDefault="008D0565" w:rsidP="00D61F73">
      <w:pPr>
        <w:rPr>
          <w:rFonts w:ascii="Arial" w:hAnsi="Arial" w:cs="Arial"/>
        </w:rPr>
      </w:pPr>
    </w:p>
    <w:p w14:paraId="6C711D22" w14:textId="77777777" w:rsidR="008D0565" w:rsidRPr="00D61F73" w:rsidRDefault="00751163" w:rsidP="00D61F73">
      <w:pPr>
        <w:pStyle w:val="Footer"/>
        <w:tabs>
          <w:tab w:val="clear" w:pos="4320"/>
          <w:tab w:val="clear" w:pos="8640"/>
        </w:tabs>
        <w:rPr>
          <w:rFonts w:ascii="Arial" w:hAnsi="Arial" w:cs="Arial"/>
        </w:rPr>
      </w:pPr>
      <w:hyperlink w:anchor="Koke" w:history="1">
        <w:r w:rsidR="008D0565" w:rsidRPr="00D61F73">
          <w:rPr>
            <w:rStyle w:val="Hyperlink"/>
            <w:rFonts w:ascii="Arial" w:hAnsi="Arial" w:cs="Arial"/>
          </w:rPr>
          <w:t>Koke AJ, Schouten JS, Lamerichs-Geelen MJ, Lipsch JS, Waltje EM, van Kleef M, Patijn J</w:t>
        </w:r>
      </w:hyperlink>
      <w:r w:rsidR="008D0565" w:rsidRPr="00D61F73">
        <w:rPr>
          <w:rFonts w:ascii="Arial" w:hAnsi="Arial" w:cs="Arial"/>
        </w:rPr>
        <w:t xml:space="preserve">. Pain reducing effect of three types of transcutaneous electrical nerve stimulation in patients with chronic pain: a randomized crossover trial. </w:t>
      </w:r>
      <w:r w:rsidR="008D0565" w:rsidRPr="00D61F73">
        <w:rPr>
          <w:rFonts w:ascii="Arial" w:hAnsi="Arial" w:cs="Arial"/>
          <w:i/>
        </w:rPr>
        <w:t>Pain.</w:t>
      </w:r>
      <w:r w:rsidR="008D0565" w:rsidRPr="00D61F73">
        <w:rPr>
          <w:rFonts w:ascii="Arial" w:hAnsi="Arial" w:cs="Arial"/>
        </w:rPr>
        <w:t xml:space="preserve"> 2004;108:36-42.</w:t>
      </w:r>
    </w:p>
    <w:p w14:paraId="4A77A2E7" w14:textId="77777777" w:rsidR="008D0565" w:rsidRPr="00D61F73" w:rsidRDefault="008D0565" w:rsidP="00D61F73">
      <w:pPr>
        <w:pStyle w:val="Footer"/>
        <w:tabs>
          <w:tab w:val="clear" w:pos="4320"/>
          <w:tab w:val="clear" w:pos="8640"/>
        </w:tabs>
        <w:rPr>
          <w:rFonts w:ascii="Arial" w:hAnsi="Arial" w:cs="Arial"/>
        </w:rPr>
      </w:pPr>
    </w:p>
    <w:p w14:paraId="6AB15401" w14:textId="77777777" w:rsidR="008D0565" w:rsidRPr="00D61F73" w:rsidRDefault="00751163" w:rsidP="00D61F73">
      <w:pPr>
        <w:pStyle w:val="Footer"/>
        <w:tabs>
          <w:tab w:val="clear" w:pos="4320"/>
          <w:tab w:val="clear" w:pos="8640"/>
        </w:tabs>
        <w:rPr>
          <w:rFonts w:ascii="Arial" w:hAnsi="Arial" w:cs="Arial"/>
        </w:rPr>
      </w:pPr>
      <w:hyperlink w:anchor="Lundeberg" w:history="1">
        <w:r w:rsidR="008D0565" w:rsidRPr="00D61F73">
          <w:rPr>
            <w:rStyle w:val="Hyperlink"/>
            <w:rFonts w:ascii="Arial" w:hAnsi="Arial" w:cs="Arial"/>
          </w:rPr>
          <w:t>Lundeberg T</w:t>
        </w:r>
      </w:hyperlink>
      <w:r w:rsidR="008D0565" w:rsidRPr="00D61F73">
        <w:rPr>
          <w:rFonts w:ascii="Arial" w:hAnsi="Arial" w:cs="Arial"/>
        </w:rPr>
        <w:t xml:space="preserve">. Relief of pain from a phantom limb by peripheral stimulation. </w:t>
      </w:r>
      <w:r w:rsidR="008D0565" w:rsidRPr="00D61F73">
        <w:rPr>
          <w:rFonts w:ascii="Arial" w:hAnsi="Arial" w:cs="Arial"/>
          <w:i/>
        </w:rPr>
        <w:t>J Neurol</w:t>
      </w:r>
      <w:r w:rsidR="008D0565" w:rsidRPr="00D61F73">
        <w:rPr>
          <w:rFonts w:ascii="Arial" w:hAnsi="Arial" w:cs="Arial"/>
        </w:rPr>
        <w:t xml:space="preserve">. 1985;232(2):79-82. </w:t>
      </w:r>
    </w:p>
    <w:p w14:paraId="2FF08D45" w14:textId="77777777" w:rsidR="008D0565" w:rsidRPr="00D61F73" w:rsidRDefault="008D0565" w:rsidP="00D61F73">
      <w:pPr>
        <w:pStyle w:val="Footer"/>
        <w:tabs>
          <w:tab w:val="clear" w:pos="4320"/>
          <w:tab w:val="clear" w:pos="8640"/>
        </w:tabs>
        <w:rPr>
          <w:rFonts w:ascii="Arial" w:hAnsi="Arial" w:cs="Arial"/>
        </w:rPr>
      </w:pPr>
    </w:p>
    <w:p w14:paraId="3A6860EA" w14:textId="77777777" w:rsidR="008D0565" w:rsidRPr="00D61F73" w:rsidRDefault="00751163" w:rsidP="00D61F73">
      <w:pPr>
        <w:pStyle w:val="Footer"/>
        <w:tabs>
          <w:tab w:val="clear" w:pos="4320"/>
          <w:tab w:val="clear" w:pos="8640"/>
        </w:tabs>
        <w:rPr>
          <w:rFonts w:ascii="Arial" w:hAnsi="Arial" w:cs="Arial"/>
        </w:rPr>
      </w:pPr>
      <w:hyperlink w:anchor="Miller" w:history="1">
        <w:r w:rsidR="008D0565" w:rsidRPr="00D61F73">
          <w:rPr>
            <w:rStyle w:val="Hyperlink"/>
            <w:rFonts w:ascii="Arial" w:hAnsi="Arial" w:cs="Arial"/>
          </w:rPr>
          <w:t>Miller L, Mattison P, Paul L, Wood L</w:t>
        </w:r>
      </w:hyperlink>
      <w:r w:rsidR="008D0565" w:rsidRPr="00D61F73">
        <w:rPr>
          <w:rFonts w:ascii="Arial" w:hAnsi="Arial" w:cs="Arial"/>
        </w:rPr>
        <w:t>. The effects of transcutaneous electrical nerve stimulation (TENS) on spasticity in multiple sclerosis. Mult Scler. 2007 May;13(4):527-33. Epub 2007 Jan 29</w:t>
      </w:r>
      <w:r w:rsidR="008D0565" w:rsidRPr="00D61F73">
        <w:rPr>
          <w:rFonts w:ascii="Arial" w:hAnsi="Arial" w:cs="Arial"/>
          <w:b/>
        </w:rPr>
        <w:t xml:space="preserve">. </w:t>
      </w:r>
    </w:p>
    <w:p w14:paraId="515ACA79" w14:textId="77777777" w:rsidR="008D0565" w:rsidRPr="00D61F73" w:rsidRDefault="008D0565" w:rsidP="00D61F73">
      <w:pPr>
        <w:pStyle w:val="Footer"/>
        <w:tabs>
          <w:tab w:val="clear" w:pos="4320"/>
          <w:tab w:val="clear" w:pos="8640"/>
        </w:tabs>
        <w:rPr>
          <w:rFonts w:ascii="Arial" w:hAnsi="Arial" w:cs="Arial"/>
        </w:rPr>
      </w:pPr>
    </w:p>
    <w:p w14:paraId="23165927" w14:textId="77777777" w:rsidR="008D0565" w:rsidRPr="00D61F73" w:rsidRDefault="00751163" w:rsidP="00D61F73">
      <w:pPr>
        <w:rPr>
          <w:rFonts w:ascii="Arial" w:hAnsi="Arial" w:cs="Arial"/>
        </w:rPr>
      </w:pPr>
      <w:hyperlink w:anchor="Cochrane" w:history="1">
        <w:r w:rsidR="008D0565" w:rsidRPr="00D61F73">
          <w:rPr>
            <w:rStyle w:val="Hyperlink"/>
            <w:rFonts w:ascii="Arial" w:hAnsi="Arial" w:cs="Arial"/>
          </w:rPr>
          <w:t>Nelemans PJ, Bie RA de, Vet HCW de, Sturmans F</w:t>
        </w:r>
      </w:hyperlink>
      <w:r w:rsidR="008D0565" w:rsidRPr="00D61F73">
        <w:rPr>
          <w:rFonts w:ascii="Arial" w:hAnsi="Arial" w:cs="Arial"/>
        </w:rPr>
        <w:t xml:space="preserve">. Injection therapy for subacute and chronic benign low back pain (Cochrane Review). In: </w:t>
      </w:r>
      <w:r w:rsidR="008D0565" w:rsidRPr="00D61F73">
        <w:rPr>
          <w:rStyle w:val="HTMLCite"/>
          <w:rFonts w:ascii="Arial" w:hAnsi="Arial" w:cs="Arial"/>
        </w:rPr>
        <w:t xml:space="preserve">The Cochrane Library, </w:t>
      </w:r>
      <w:r w:rsidR="008D0565" w:rsidRPr="00D61F73">
        <w:rPr>
          <w:rFonts w:ascii="Arial" w:hAnsi="Arial" w:cs="Arial"/>
        </w:rPr>
        <w:t>Issue 2, 2002. Oxford: Update Software.</w:t>
      </w:r>
    </w:p>
    <w:p w14:paraId="2B66F4CD" w14:textId="77777777" w:rsidR="008D0565" w:rsidRPr="00D61F73" w:rsidRDefault="008D0565" w:rsidP="00D61F73">
      <w:pPr>
        <w:rPr>
          <w:rFonts w:ascii="Arial" w:hAnsi="Arial" w:cs="Arial"/>
        </w:rPr>
      </w:pPr>
    </w:p>
    <w:p w14:paraId="27CA28D4" w14:textId="77777777" w:rsidR="008D0565" w:rsidRPr="00D61F73" w:rsidRDefault="00751163" w:rsidP="00D61F73">
      <w:pPr>
        <w:rPr>
          <w:rFonts w:ascii="Arial" w:hAnsi="Arial" w:cs="Arial"/>
          <w:lang w:val="es-MX"/>
        </w:rPr>
      </w:pPr>
      <w:hyperlink w:anchor="Nelson" w:history="1">
        <w:r w:rsidR="008D0565" w:rsidRPr="00D61F73">
          <w:rPr>
            <w:rStyle w:val="Hyperlink"/>
            <w:rFonts w:ascii="Arial" w:hAnsi="Arial" w:cs="Arial"/>
          </w:rPr>
          <w:t>Nelson DV</w:t>
        </w:r>
      </w:hyperlink>
      <w:r w:rsidR="008D0565" w:rsidRPr="00D61F73">
        <w:rPr>
          <w:rFonts w:ascii="Arial" w:hAnsi="Arial" w:cs="Arial"/>
        </w:rPr>
        <w:t xml:space="preserve">. Pieces of the puzzle: management of complex regional pain syndrome. </w:t>
      </w:r>
      <w:r w:rsidR="008D0565" w:rsidRPr="00D61F73">
        <w:rPr>
          <w:rFonts w:ascii="Arial" w:hAnsi="Arial" w:cs="Arial"/>
          <w:i/>
          <w:lang w:val="es-MX"/>
        </w:rPr>
        <w:t>Clin J Pain</w:t>
      </w:r>
      <w:r w:rsidR="008D0565" w:rsidRPr="00D61F73">
        <w:rPr>
          <w:rFonts w:ascii="Arial" w:hAnsi="Arial" w:cs="Arial"/>
          <w:lang w:val="es-MX"/>
        </w:rPr>
        <w:t>. 2006;22:413-4.</w:t>
      </w:r>
    </w:p>
    <w:p w14:paraId="118D0404" w14:textId="77777777" w:rsidR="008D0565" w:rsidRPr="00D61F73" w:rsidRDefault="008D0565" w:rsidP="00D61F73">
      <w:pPr>
        <w:rPr>
          <w:rFonts w:ascii="Arial" w:hAnsi="Arial" w:cs="Arial"/>
          <w:lang w:val="es-MX"/>
        </w:rPr>
      </w:pPr>
    </w:p>
    <w:p w14:paraId="69DFCD5D" w14:textId="77777777" w:rsidR="008D0565" w:rsidRPr="00D61F73" w:rsidRDefault="00751163" w:rsidP="00D61F73">
      <w:pPr>
        <w:rPr>
          <w:rFonts w:ascii="Arial" w:hAnsi="Arial" w:cs="Arial"/>
        </w:rPr>
      </w:pPr>
      <w:hyperlink w:anchor="Nifosì" w:history="1">
        <w:r w:rsidR="008D0565" w:rsidRPr="00D61F73">
          <w:rPr>
            <w:rStyle w:val="Hyperlink"/>
            <w:rFonts w:ascii="Arial" w:hAnsi="Arial" w:cs="Arial"/>
            <w:lang w:val="es-MX"/>
          </w:rPr>
          <w:t>Nifosì F, Violato E, Pavan C, Sifari L, Novello G, Guarda Nardini L, Manfredini D, Semenzin M, Pavan L, Marini M.</w:t>
        </w:r>
      </w:hyperlink>
      <w:r w:rsidR="008D0565" w:rsidRPr="00D61F73">
        <w:rPr>
          <w:rFonts w:ascii="Arial" w:hAnsi="Arial" w:cs="Arial"/>
          <w:lang w:val="es-MX"/>
        </w:rPr>
        <w:t xml:space="preserve"> </w:t>
      </w:r>
      <w:r w:rsidR="008D0565" w:rsidRPr="00D61F73">
        <w:rPr>
          <w:rFonts w:ascii="Arial" w:hAnsi="Arial" w:cs="Arial"/>
        </w:rPr>
        <w:t xml:space="preserve">Psychopathology and clinical features in an Italian sample of patients with myofascial and temporomandibular joint pain: preliminary data. </w:t>
      </w:r>
      <w:r w:rsidR="008D0565" w:rsidRPr="00D61F73">
        <w:rPr>
          <w:rFonts w:ascii="Arial" w:hAnsi="Arial" w:cs="Arial"/>
          <w:i/>
        </w:rPr>
        <w:t>Int J Psychiatry Med</w:t>
      </w:r>
      <w:r w:rsidR="008D0565" w:rsidRPr="00D61F73">
        <w:rPr>
          <w:rFonts w:ascii="Arial" w:hAnsi="Arial" w:cs="Arial"/>
        </w:rPr>
        <w:t>. 2007;37:283-300.</w:t>
      </w:r>
    </w:p>
    <w:p w14:paraId="49D666AA" w14:textId="77777777" w:rsidR="008D0565" w:rsidRPr="00D61F73" w:rsidRDefault="008D0565" w:rsidP="00D61F73">
      <w:pPr>
        <w:rPr>
          <w:rFonts w:ascii="Arial" w:hAnsi="Arial" w:cs="Arial"/>
        </w:rPr>
      </w:pPr>
    </w:p>
    <w:p w14:paraId="412D6797" w14:textId="77777777" w:rsidR="008D0565" w:rsidRPr="00D61F73" w:rsidRDefault="00751163" w:rsidP="00D61F73">
      <w:pPr>
        <w:rPr>
          <w:rFonts w:ascii="Arial" w:hAnsi="Arial" w:cs="Arial"/>
        </w:rPr>
      </w:pPr>
      <w:hyperlink w:anchor="Niv" w:history="1">
        <w:r w:rsidR="008D0565" w:rsidRPr="00D61F73">
          <w:rPr>
            <w:rStyle w:val="Hyperlink"/>
            <w:rFonts w:ascii="Arial" w:hAnsi="Arial" w:cs="Arial"/>
          </w:rPr>
          <w:t>Niv D, Maltsman-Tseikhin A</w:t>
        </w:r>
      </w:hyperlink>
      <w:r w:rsidR="008D0565" w:rsidRPr="00D61F73">
        <w:rPr>
          <w:rFonts w:ascii="Arial" w:hAnsi="Arial" w:cs="Arial"/>
        </w:rPr>
        <w:t xml:space="preserve">. Postherpetic neuralgia: the never-ending challenge. </w:t>
      </w:r>
      <w:r w:rsidR="008D0565" w:rsidRPr="00D61F73">
        <w:rPr>
          <w:rFonts w:ascii="Arial" w:hAnsi="Arial" w:cs="Arial"/>
          <w:i/>
        </w:rPr>
        <w:t>Pain Pract</w:t>
      </w:r>
      <w:r w:rsidR="008D0565" w:rsidRPr="00D61F73">
        <w:rPr>
          <w:rFonts w:ascii="Arial" w:hAnsi="Arial" w:cs="Arial"/>
        </w:rPr>
        <w:t xml:space="preserve">. 2005 Dec;5(4):327-40. </w:t>
      </w:r>
    </w:p>
    <w:p w14:paraId="05EBF1E9" w14:textId="77777777" w:rsidR="008D0565" w:rsidRPr="00D61F73" w:rsidRDefault="008D0565" w:rsidP="00D61F73">
      <w:pPr>
        <w:rPr>
          <w:rFonts w:ascii="Arial" w:hAnsi="Arial" w:cs="Arial"/>
        </w:rPr>
      </w:pPr>
    </w:p>
    <w:p w14:paraId="47AC3A41" w14:textId="77777777" w:rsidR="008D0565" w:rsidRPr="00D61F73" w:rsidRDefault="00751163" w:rsidP="00D61F73">
      <w:pPr>
        <w:rPr>
          <w:rFonts w:ascii="Arial" w:hAnsi="Arial" w:cs="Arial"/>
        </w:rPr>
      </w:pPr>
      <w:hyperlink w:anchor="Novak2" w:history="1">
        <w:r w:rsidR="008D0565" w:rsidRPr="00D61F73">
          <w:rPr>
            <w:rStyle w:val="Hyperlink"/>
            <w:rFonts w:ascii="Arial" w:hAnsi="Arial" w:cs="Arial"/>
          </w:rPr>
          <w:t>Novak S, Nemeth WC</w:t>
        </w:r>
      </w:hyperlink>
      <w:r w:rsidR="008D0565" w:rsidRPr="00D61F73">
        <w:rPr>
          <w:rFonts w:ascii="Arial" w:hAnsi="Arial" w:cs="Arial"/>
        </w:rPr>
        <w:t>. How clinically relevant is a meta-analysis of electrical nerve stimulation when based on heterogeneous disease states? Pain. 2007 Sep;131(1-2):228-9; author reply 229-30. Epub 2007 Jul 26.</w:t>
      </w:r>
    </w:p>
    <w:p w14:paraId="3543BBD0" w14:textId="77777777" w:rsidR="008D0565" w:rsidRPr="00D61F73" w:rsidRDefault="008D0565" w:rsidP="00D61F73">
      <w:pPr>
        <w:rPr>
          <w:rFonts w:ascii="Arial" w:hAnsi="Arial" w:cs="Arial"/>
        </w:rPr>
      </w:pPr>
    </w:p>
    <w:p w14:paraId="0288D922" w14:textId="77777777" w:rsidR="008D0565" w:rsidRPr="00D61F73" w:rsidRDefault="00751163" w:rsidP="00D61F73">
      <w:pPr>
        <w:rPr>
          <w:rFonts w:ascii="Arial" w:hAnsi="Arial" w:cs="Arial"/>
        </w:rPr>
      </w:pPr>
      <w:hyperlink w:anchor="Rosenquist" w:history="1">
        <w:r w:rsidR="008D0565" w:rsidRPr="00D61F73">
          <w:rPr>
            <w:rStyle w:val="Hyperlink"/>
            <w:rFonts w:ascii="Arial" w:hAnsi="Arial" w:cs="Arial"/>
          </w:rPr>
          <w:t>Rosenquist RW, Rosenberg J; United States Veterans Administration</w:t>
        </w:r>
      </w:hyperlink>
      <w:r w:rsidR="008D0565" w:rsidRPr="00D61F73">
        <w:rPr>
          <w:rFonts w:ascii="Arial" w:hAnsi="Arial" w:cs="Arial"/>
        </w:rPr>
        <w:t xml:space="preserve">. Postoperative pain guidelines. </w:t>
      </w:r>
      <w:r w:rsidR="008D0565" w:rsidRPr="00D61F73">
        <w:rPr>
          <w:rFonts w:ascii="Arial" w:hAnsi="Arial" w:cs="Arial"/>
          <w:i/>
        </w:rPr>
        <w:t>Reg Anesth Pain Med</w:t>
      </w:r>
      <w:r w:rsidR="008D0565" w:rsidRPr="00D61F73">
        <w:rPr>
          <w:rFonts w:ascii="Arial" w:hAnsi="Arial" w:cs="Arial"/>
        </w:rPr>
        <w:t>. 2003 Jul-Aug;28(4):279-88.</w:t>
      </w:r>
    </w:p>
    <w:p w14:paraId="56FE942A" w14:textId="77777777" w:rsidR="008D0565" w:rsidRPr="00D61F73" w:rsidRDefault="008D0565" w:rsidP="00D61F73">
      <w:pPr>
        <w:rPr>
          <w:rFonts w:ascii="Arial" w:hAnsi="Arial" w:cs="Arial"/>
        </w:rPr>
      </w:pPr>
    </w:p>
    <w:p w14:paraId="7F86EC8B" w14:textId="77777777" w:rsidR="008D0565" w:rsidRPr="00D61F73" w:rsidRDefault="00751163" w:rsidP="00D61F73">
      <w:pPr>
        <w:pStyle w:val="NormalWeb"/>
        <w:spacing w:before="0" w:beforeAutospacing="0" w:after="0" w:afterAutospacing="0"/>
        <w:rPr>
          <w:rFonts w:ascii="Arial" w:hAnsi="Arial" w:cs="Arial"/>
        </w:rPr>
      </w:pPr>
      <w:hyperlink w:anchor="SatorKatzenschlager" w:history="1">
        <w:r w:rsidR="008D0565" w:rsidRPr="00D61F73">
          <w:rPr>
            <w:rStyle w:val="Hyperlink"/>
            <w:rFonts w:ascii="Arial" w:hAnsi="Arial" w:cs="Arial"/>
          </w:rPr>
          <w:t>Sator-Katzenschlager SM, Michalek-Sauberer A.</w:t>
        </w:r>
      </w:hyperlink>
      <w:r w:rsidR="008D0565" w:rsidRPr="00D61F73">
        <w:rPr>
          <w:rFonts w:ascii="Arial" w:hAnsi="Arial" w:cs="Arial"/>
        </w:rPr>
        <w:t xml:space="preserve"> P-Stim auricular electroacupuncture stimulation device for pain relief. </w:t>
      </w:r>
      <w:r w:rsidR="008D0565" w:rsidRPr="00D61F73">
        <w:rPr>
          <w:rFonts w:ascii="Arial" w:hAnsi="Arial" w:cs="Arial"/>
          <w:i/>
          <w:iCs/>
        </w:rPr>
        <w:t>Expert Rev Med Devices</w:t>
      </w:r>
      <w:r w:rsidR="008D0565" w:rsidRPr="00D61F73">
        <w:rPr>
          <w:rFonts w:ascii="Arial" w:hAnsi="Arial" w:cs="Arial"/>
        </w:rPr>
        <w:t>. 2007 Jan;4(1):23-32.</w:t>
      </w:r>
    </w:p>
    <w:p w14:paraId="762D86CE" w14:textId="77777777" w:rsidR="008D0565" w:rsidRPr="00D61F73" w:rsidRDefault="008D0565" w:rsidP="00D61F73">
      <w:pPr>
        <w:rPr>
          <w:rFonts w:ascii="Arial" w:hAnsi="Arial" w:cs="Arial"/>
        </w:rPr>
      </w:pPr>
    </w:p>
    <w:p w14:paraId="4B9985D8" w14:textId="77777777" w:rsidR="008D0565" w:rsidRPr="00D61F73" w:rsidRDefault="00751163" w:rsidP="00D61F73">
      <w:pPr>
        <w:rPr>
          <w:rFonts w:ascii="Arial" w:hAnsi="Arial" w:cs="Arial"/>
        </w:rPr>
      </w:pPr>
      <w:hyperlink w:anchor="Solak" w:history="1">
        <w:r w:rsidR="008D0565" w:rsidRPr="00D61F73">
          <w:rPr>
            <w:rStyle w:val="Hyperlink"/>
            <w:rFonts w:ascii="Arial" w:hAnsi="Arial" w:cs="Arial"/>
          </w:rPr>
          <w:t xml:space="preserve">Solak O, Turna A, Pekcolaklar A, Metin M, Sayar A, Solak O, Gurses A. </w:t>
        </w:r>
      </w:hyperlink>
      <w:r w:rsidR="008D0565" w:rsidRPr="00D61F73">
        <w:rPr>
          <w:rFonts w:ascii="Arial" w:hAnsi="Arial" w:cs="Arial"/>
        </w:rPr>
        <w:t xml:space="preserve"> Transcutaneous electric nerve stimulation for the treatment of postthoracotomy pain: a randomized prospective study. </w:t>
      </w:r>
      <w:r w:rsidR="008D0565" w:rsidRPr="00D61F73">
        <w:rPr>
          <w:rFonts w:ascii="Arial" w:hAnsi="Arial" w:cs="Arial"/>
          <w:i/>
        </w:rPr>
        <w:t>Thorac Cardiovasc Surg</w:t>
      </w:r>
      <w:r w:rsidR="008D0565" w:rsidRPr="00D61F73">
        <w:rPr>
          <w:rFonts w:ascii="Arial" w:hAnsi="Arial" w:cs="Arial"/>
        </w:rPr>
        <w:t>. 2007 Apr;55(3):182-5.</w:t>
      </w:r>
    </w:p>
    <w:p w14:paraId="5BB096CB" w14:textId="77777777" w:rsidR="008D0565" w:rsidRPr="00D61F73" w:rsidRDefault="008D0565" w:rsidP="00D61F73">
      <w:pPr>
        <w:rPr>
          <w:rFonts w:ascii="Arial" w:hAnsi="Arial" w:cs="Arial"/>
        </w:rPr>
      </w:pPr>
    </w:p>
    <w:p w14:paraId="2095D618" w14:textId="77777777" w:rsidR="008D0565" w:rsidRPr="00D61F73" w:rsidRDefault="00751163" w:rsidP="00D61F73">
      <w:pPr>
        <w:rPr>
          <w:rFonts w:ascii="Arial" w:hAnsi="Arial" w:cs="Arial"/>
        </w:rPr>
      </w:pPr>
      <w:hyperlink w:anchor="Spruce" w:history="1">
        <w:r w:rsidR="008D0565" w:rsidRPr="00D61F73">
          <w:rPr>
            <w:rStyle w:val="Hyperlink"/>
            <w:rFonts w:ascii="Arial" w:hAnsi="Arial" w:cs="Arial"/>
          </w:rPr>
          <w:t>Spruce MC, Potter J, Coppini DV</w:t>
        </w:r>
      </w:hyperlink>
      <w:r w:rsidR="008D0565" w:rsidRPr="00D61F73">
        <w:rPr>
          <w:rFonts w:ascii="Arial" w:hAnsi="Arial" w:cs="Arial"/>
        </w:rPr>
        <w:t xml:space="preserve">. The pathogenesis and management of painful diabetic neuropathy: a review. </w:t>
      </w:r>
      <w:r w:rsidR="008D0565" w:rsidRPr="00D61F73">
        <w:rPr>
          <w:rFonts w:ascii="Arial" w:hAnsi="Arial" w:cs="Arial"/>
          <w:i/>
        </w:rPr>
        <w:t>Diabet Med</w:t>
      </w:r>
      <w:r w:rsidR="008D0565" w:rsidRPr="00D61F73">
        <w:rPr>
          <w:rFonts w:ascii="Arial" w:hAnsi="Arial" w:cs="Arial"/>
        </w:rPr>
        <w:t>. 2003 Feb;20(2):88-98.</w:t>
      </w:r>
    </w:p>
    <w:p w14:paraId="2F432339" w14:textId="77777777" w:rsidR="008D0565" w:rsidRPr="00D61F73" w:rsidRDefault="008D0565" w:rsidP="00D61F73">
      <w:pPr>
        <w:rPr>
          <w:rFonts w:ascii="Arial" w:hAnsi="Arial" w:cs="Arial"/>
        </w:rPr>
      </w:pPr>
    </w:p>
    <w:p w14:paraId="3DAB06A4" w14:textId="77777777" w:rsidR="008D0565" w:rsidRPr="00D61F73" w:rsidRDefault="00751163" w:rsidP="00D61F73">
      <w:pPr>
        <w:rPr>
          <w:rFonts w:ascii="Arial" w:hAnsi="Arial" w:cs="Arial"/>
        </w:rPr>
      </w:pPr>
      <w:hyperlink w:anchor="Staal" w:history="1">
        <w:r w:rsidR="008D0565" w:rsidRPr="00D61F73">
          <w:rPr>
            <w:rStyle w:val="Hyperlink"/>
            <w:rFonts w:ascii="Arial" w:hAnsi="Arial" w:cs="Arial"/>
          </w:rPr>
          <w:t>Staal JB, de Bie R, de Vet HC, Hildebrandt J, Nelemans P</w:t>
        </w:r>
      </w:hyperlink>
      <w:r w:rsidR="008D0565" w:rsidRPr="00D61F73">
        <w:rPr>
          <w:rFonts w:ascii="Arial" w:hAnsi="Arial" w:cs="Arial"/>
        </w:rPr>
        <w:t xml:space="preserve">. Injection therapy for subacute and chronic low-back pain. </w:t>
      </w:r>
      <w:r w:rsidR="008D0565" w:rsidRPr="00D61F73">
        <w:rPr>
          <w:rFonts w:ascii="Arial" w:hAnsi="Arial" w:cs="Arial"/>
          <w:i/>
        </w:rPr>
        <w:t>Cochrane Database Syst Rev</w:t>
      </w:r>
      <w:r w:rsidR="008D0565" w:rsidRPr="00D61F73">
        <w:rPr>
          <w:rFonts w:ascii="Arial" w:hAnsi="Arial" w:cs="Arial"/>
        </w:rPr>
        <w:t>. 2008;(3):CD001824.</w:t>
      </w:r>
    </w:p>
    <w:p w14:paraId="652A9F9C" w14:textId="77777777" w:rsidR="008D0565" w:rsidRPr="00D61F73" w:rsidRDefault="008D0565" w:rsidP="00D61F73">
      <w:pPr>
        <w:rPr>
          <w:rFonts w:ascii="Arial" w:hAnsi="Arial" w:cs="Arial"/>
        </w:rPr>
      </w:pPr>
    </w:p>
    <w:p w14:paraId="2F3A224D" w14:textId="77777777" w:rsidR="008D0565" w:rsidRPr="00D61F73" w:rsidRDefault="00751163" w:rsidP="00D61F73">
      <w:pPr>
        <w:rPr>
          <w:rFonts w:ascii="Arial" w:hAnsi="Arial" w:cs="Arial"/>
        </w:rPr>
      </w:pPr>
      <w:hyperlink w:anchor="Varrassi" w:history="1">
        <w:r w:rsidR="008D0565" w:rsidRPr="00D61F73">
          <w:rPr>
            <w:rStyle w:val="Hyperlink"/>
            <w:rFonts w:ascii="Arial" w:hAnsi="Arial" w:cs="Arial"/>
          </w:rPr>
          <w:t>Varrassi G, Paladini A, Marinangeli F, Racz G</w:t>
        </w:r>
      </w:hyperlink>
      <w:r w:rsidR="008D0565" w:rsidRPr="00D61F73">
        <w:rPr>
          <w:rFonts w:ascii="Arial" w:hAnsi="Arial" w:cs="Arial"/>
        </w:rPr>
        <w:t xml:space="preserve">. Neural modulation by blocks and infusions. </w:t>
      </w:r>
      <w:r w:rsidR="008D0565" w:rsidRPr="00D61F73">
        <w:rPr>
          <w:rFonts w:ascii="Arial" w:hAnsi="Arial" w:cs="Arial"/>
          <w:i/>
        </w:rPr>
        <w:t>Pain Pract</w:t>
      </w:r>
      <w:r w:rsidR="008D0565" w:rsidRPr="00D61F73">
        <w:rPr>
          <w:rFonts w:ascii="Arial" w:hAnsi="Arial" w:cs="Arial"/>
        </w:rPr>
        <w:t>. 2006;6:34-8.</w:t>
      </w:r>
    </w:p>
    <w:p w14:paraId="6442BCC3" w14:textId="77777777" w:rsidR="008D0565" w:rsidRPr="00D61F73" w:rsidRDefault="008D0565" w:rsidP="00D61F73">
      <w:pPr>
        <w:pStyle w:val="xl23"/>
        <w:spacing w:before="0" w:beforeAutospacing="0" w:after="0" w:afterAutospacing="0"/>
      </w:pPr>
    </w:p>
    <w:p w14:paraId="6F50680B" w14:textId="77777777" w:rsidR="008D0565" w:rsidRPr="00D61F73" w:rsidRDefault="00751163" w:rsidP="00D61F73">
      <w:pPr>
        <w:pStyle w:val="xl23"/>
        <w:spacing w:before="0" w:beforeAutospacing="0" w:after="0" w:afterAutospacing="0"/>
      </w:pPr>
      <w:hyperlink w:anchor="Yentur" w:history="1">
        <w:r w:rsidR="008D0565" w:rsidRPr="00D61F73">
          <w:rPr>
            <w:rStyle w:val="Hyperlink"/>
          </w:rPr>
          <w:t>Yentur EA, Okcu G, Yegul I.</w:t>
        </w:r>
      </w:hyperlink>
      <w:r w:rsidR="008D0565" w:rsidRPr="00D61F73">
        <w:t xml:space="preserve"> The role of trigger point therapy in knee osteoarthritis</w:t>
      </w:r>
      <w:r w:rsidR="008D0565" w:rsidRPr="00D61F73">
        <w:rPr>
          <w:i/>
        </w:rPr>
        <w:t>. Pain Clinic</w:t>
      </w:r>
      <w:r w:rsidR="008D0565" w:rsidRPr="00D61F73">
        <w:t xml:space="preserve"> 2003;15:385-90.</w:t>
      </w:r>
    </w:p>
    <w:p w14:paraId="7AB45AB7" w14:textId="77777777" w:rsidR="008D0565" w:rsidRPr="00D61F73" w:rsidRDefault="008D0565" w:rsidP="00D61F73">
      <w:pPr>
        <w:pStyle w:val="xl23"/>
        <w:spacing w:before="0" w:beforeAutospacing="0" w:after="0" w:afterAutospacing="0"/>
      </w:pPr>
    </w:p>
    <w:p w14:paraId="74090DE5" w14:textId="77777777" w:rsidR="008D0565" w:rsidRPr="00D61F73" w:rsidRDefault="00751163" w:rsidP="00D61F73">
      <w:pPr>
        <w:pStyle w:val="xl23"/>
        <w:spacing w:before="0" w:beforeAutospacing="0" w:after="0" w:afterAutospacing="0"/>
      </w:pPr>
      <w:hyperlink w:anchor="Zhang2014" w:history="1">
        <w:r w:rsidR="008D0565" w:rsidRPr="00D61F73">
          <w:rPr>
            <w:rStyle w:val="Hyperlink"/>
          </w:rPr>
          <w:t>Zhang CS, Yang AW, Zhang AL, May BH, Xue CC</w:t>
        </w:r>
      </w:hyperlink>
      <w:r w:rsidR="008D0565" w:rsidRPr="00D61F73">
        <w:t xml:space="preserve">. Sham control methods used in ear-acupuncture/ear-acupressure randomized controlled trials: a systematic review. </w:t>
      </w:r>
      <w:r w:rsidR="008D0565" w:rsidRPr="00D61F73">
        <w:rPr>
          <w:i/>
          <w:iCs/>
        </w:rPr>
        <w:t>J Altern Complement Med</w:t>
      </w:r>
      <w:r w:rsidR="008D0565" w:rsidRPr="00D61F73">
        <w:t>. 2014 Mar;20(3):147-61. doi: 10.1089/acm.2013.0238.</w:t>
      </w:r>
    </w:p>
    <w:p w14:paraId="1A670E4B" w14:textId="77777777" w:rsidR="00D36C35" w:rsidRPr="00D61F73" w:rsidRDefault="00D36C35" w:rsidP="00D61F73">
      <w:pPr>
        <w:rPr>
          <w:rFonts w:ascii="Arial" w:hAnsi="Arial" w:cs="Arial"/>
          <w:b/>
          <w:bCs/>
        </w:rPr>
      </w:pPr>
    </w:p>
    <w:p w14:paraId="799DF3EF" w14:textId="77777777" w:rsidR="006F70E6" w:rsidRPr="00D61F73" w:rsidRDefault="006F70E6" w:rsidP="00D61F73">
      <w:pPr>
        <w:rPr>
          <w:rFonts w:ascii="Arial" w:hAnsi="Arial" w:cs="Arial"/>
          <w:b/>
          <w:bCs/>
        </w:rPr>
      </w:pPr>
    </w:p>
    <w:p w14:paraId="7E9C0FB6" w14:textId="77777777" w:rsidR="008D0565" w:rsidRPr="00D61F73" w:rsidRDefault="008D0565" w:rsidP="00D61F73">
      <w:pPr>
        <w:rPr>
          <w:rFonts w:ascii="Arial" w:hAnsi="Arial" w:cs="Arial"/>
          <w:b/>
          <w:bCs/>
        </w:rPr>
      </w:pPr>
      <w:r w:rsidRPr="00D61F73">
        <w:rPr>
          <w:rFonts w:ascii="Arial" w:hAnsi="Arial" w:cs="Arial"/>
          <w:b/>
          <w:bCs/>
        </w:rPr>
        <w:lastRenderedPageBreak/>
        <w:t>L</w:t>
      </w:r>
      <w:bookmarkStart w:id="414" w:name="LOWBACKPAIN"/>
      <w:bookmarkEnd w:id="414"/>
      <w:r w:rsidRPr="00D61F73">
        <w:rPr>
          <w:rFonts w:ascii="Arial" w:hAnsi="Arial" w:cs="Arial"/>
          <w:b/>
          <w:bCs/>
        </w:rPr>
        <w:t>OW BACK PAIN</w:t>
      </w:r>
    </w:p>
    <w:p w14:paraId="4413A95C" w14:textId="77777777" w:rsidR="008D0565" w:rsidRPr="00D61F73" w:rsidRDefault="008D0565" w:rsidP="00D61F73">
      <w:pPr>
        <w:rPr>
          <w:rFonts w:ascii="Arial" w:hAnsi="Arial" w:cs="Arial"/>
        </w:rPr>
      </w:pPr>
    </w:p>
    <w:p w14:paraId="41550C28" w14:textId="77777777" w:rsidR="008D0565" w:rsidRPr="00D61F73" w:rsidRDefault="00751163" w:rsidP="00D61F73">
      <w:pPr>
        <w:rPr>
          <w:rFonts w:ascii="Arial" w:hAnsi="Arial" w:cs="Arial"/>
        </w:rPr>
      </w:pPr>
      <w:hyperlink w:anchor="Fritz" w:history="1">
        <w:r w:rsidR="008D0565" w:rsidRPr="00D61F73">
          <w:rPr>
            <w:rStyle w:val="Hyperlink"/>
            <w:rFonts w:ascii="Arial" w:hAnsi="Arial" w:cs="Arial"/>
          </w:rPr>
          <w:t>Fritz JM, Cleland JA, Brennan GP</w:t>
        </w:r>
      </w:hyperlink>
      <w:r w:rsidR="008D0565" w:rsidRPr="00D61F73">
        <w:rPr>
          <w:rFonts w:ascii="Arial" w:hAnsi="Arial" w:cs="Arial"/>
        </w:rPr>
        <w:t xml:space="preserve">. Does adherence to the guideline recommendation for active treatments improve the quality of care for patients with acute low back pain delivered by physical therapists? </w:t>
      </w:r>
      <w:r w:rsidR="008D0565" w:rsidRPr="00D61F73">
        <w:rPr>
          <w:rFonts w:ascii="Arial" w:hAnsi="Arial" w:cs="Arial"/>
          <w:i/>
          <w:iCs/>
        </w:rPr>
        <w:t>Med Care.</w:t>
      </w:r>
      <w:r w:rsidR="008D0565" w:rsidRPr="00D61F73">
        <w:rPr>
          <w:rFonts w:ascii="Arial" w:hAnsi="Arial" w:cs="Arial"/>
        </w:rPr>
        <w:t xml:space="preserve"> 2007 Oct;45(10):973-80.</w:t>
      </w:r>
    </w:p>
    <w:p w14:paraId="76C03D49" w14:textId="77777777" w:rsidR="008D0565" w:rsidRPr="00D61F73" w:rsidRDefault="008D0565" w:rsidP="00D61F73">
      <w:pPr>
        <w:rPr>
          <w:rFonts w:ascii="Arial" w:hAnsi="Arial" w:cs="Arial"/>
        </w:rPr>
      </w:pPr>
    </w:p>
    <w:p w14:paraId="47FC02CB" w14:textId="77777777" w:rsidR="008D0565" w:rsidRPr="00D61F73" w:rsidRDefault="00751163" w:rsidP="00D61F73">
      <w:pPr>
        <w:rPr>
          <w:rFonts w:ascii="Arial" w:hAnsi="Arial" w:cs="Arial"/>
        </w:rPr>
      </w:pPr>
      <w:hyperlink w:anchor="Schnitzer2" w:history="1">
        <w:r w:rsidR="008D0565" w:rsidRPr="00D61F73">
          <w:rPr>
            <w:rStyle w:val="Hyperlink"/>
            <w:rFonts w:ascii="Arial" w:hAnsi="Arial" w:cs="Arial"/>
          </w:rPr>
          <w:t>Schnitzer TJ, Ferraro A, Hunsche E, Kong SX.</w:t>
        </w:r>
      </w:hyperlink>
      <w:r w:rsidR="008D0565" w:rsidRPr="00D61F73">
        <w:rPr>
          <w:rFonts w:ascii="Arial" w:hAnsi="Arial" w:cs="Arial"/>
        </w:rPr>
        <w:t xml:space="preserve"> A comprehensive review of clinical trials on the efficacy and safety of drugs for the treatment of low back pain. </w:t>
      </w:r>
      <w:r w:rsidR="008D0565" w:rsidRPr="00D61F73">
        <w:rPr>
          <w:rFonts w:ascii="Arial" w:hAnsi="Arial" w:cs="Arial"/>
          <w:i/>
          <w:iCs/>
        </w:rPr>
        <w:t>J Pain Symptom Manage</w:t>
      </w:r>
      <w:r w:rsidR="008D0565" w:rsidRPr="00D61F73">
        <w:rPr>
          <w:rFonts w:ascii="Arial" w:hAnsi="Arial" w:cs="Arial"/>
        </w:rPr>
        <w:t>. 2004 Jul;28(1):72-95.</w:t>
      </w:r>
    </w:p>
    <w:p w14:paraId="2A040787" w14:textId="77777777" w:rsidR="008D0565" w:rsidRPr="00D61F73" w:rsidRDefault="008D0565" w:rsidP="00D61F73">
      <w:pPr>
        <w:rPr>
          <w:rFonts w:ascii="Arial" w:hAnsi="Arial" w:cs="Arial"/>
        </w:rPr>
      </w:pPr>
    </w:p>
    <w:p w14:paraId="77A1A174" w14:textId="77777777" w:rsidR="008D0565" w:rsidRPr="00D61F73" w:rsidRDefault="00751163" w:rsidP="00D61F73">
      <w:pPr>
        <w:rPr>
          <w:rFonts w:ascii="Arial" w:hAnsi="Arial" w:cs="Arial"/>
        </w:rPr>
      </w:pPr>
      <w:hyperlink w:anchor="Tulder" w:history="1">
        <w:r w:rsidR="008D0565" w:rsidRPr="00D61F73">
          <w:rPr>
            <w:rStyle w:val="Hyperlink"/>
            <w:rFonts w:ascii="Arial" w:hAnsi="Arial" w:cs="Arial"/>
          </w:rPr>
          <w:t>van Tulder M, Koes B, Bouter L</w:t>
        </w:r>
      </w:hyperlink>
      <w:r w:rsidR="008D0565" w:rsidRPr="00D61F73">
        <w:rPr>
          <w:rFonts w:ascii="Arial" w:hAnsi="Arial" w:cs="Arial"/>
        </w:rPr>
        <w:t xml:space="preserve">. Conservative Treatment of Acute and Chronic Nonspecific Low Back Pain: A Systematic Review of Randomized Controlled Trials of the Most Common Interventions. </w:t>
      </w:r>
      <w:r w:rsidR="008D0565" w:rsidRPr="00D61F73">
        <w:rPr>
          <w:rFonts w:ascii="Arial" w:hAnsi="Arial" w:cs="Arial"/>
          <w:i/>
          <w:iCs/>
        </w:rPr>
        <w:t>Spine</w:t>
      </w:r>
      <w:r w:rsidR="008D0565" w:rsidRPr="00D61F73">
        <w:rPr>
          <w:rFonts w:ascii="Arial" w:hAnsi="Arial" w:cs="Arial"/>
        </w:rPr>
        <w:t xml:space="preserve"> 1997; 22(18):2128-2156.</w:t>
      </w:r>
    </w:p>
    <w:p w14:paraId="0EBBD010" w14:textId="77777777" w:rsidR="008D0565" w:rsidRPr="00D61F73" w:rsidRDefault="008D0565" w:rsidP="00D61F73">
      <w:pPr>
        <w:rPr>
          <w:rFonts w:ascii="Arial" w:hAnsi="Arial" w:cs="Arial"/>
        </w:rPr>
      </w:pPr>
    </w:p>
    <w:p w14:paraId="56299F19" w14:textId="77777777" w:rsidR="008D0565" w:rsidRPr="00D61F73" w:rsidRDefault="00751163" w:rsidP="00D61F73">
      <w:pPr>
        <w:rPr>
          <w:rFonts w:ascii="Arial" w:hAnsi="Arial" w:cs="Arial"/>
        </w:rPr>
      </w:pPr>
      <w:hyperlink w:anchor="Yokoyama" w:history="1">
        <w:r w:rsidR="008D0565" w:rsidRPr="00D61F73">
          <w:rPr>
            <w:rStyle w:val="Hyperlink"/>
            <w:rFonts w:ascii="Arial" w:hAnsi="Arial" w:cs="Arial"/>
          </w:rPr>
          <w:t>Yokoyama M, Sun X, Oku S, Taga N, Sato K, Mizobuchi S, Takahashi T, Morita K.</w:t>
        </w:r>
      </w:hyperlink>
      <w:r w:rsidR="008D0565" w:rsidRPr="00D61F73">
        <w:rPr>
          <w:rFonts w:ascii="Arial" w:hAnsi="Arial" w:cs="Arial"/>
        </w:rPr>
        <w:t xml:space="preserve"> Comparison of percutaneous electrical nerve stimulation with transcutaneous electrical nerve stimulation for long-term pain relief in patients with chronic low back pain. </w:t>
      </w:r>
      <w:r w:rsidR="008D0565" w:rsidRPr="00D61F73">
        <w:rPr>
          <w:rFonts w:ascii="Arial" w:hAnsi="Arial" w:cs="Arial"/>
          <w:i/>
          <w:iCs/>
        </w:rPr>
        <w:t xml:space="preserve">Anesth Analg. </w:t>
      </w:r>
      <w:r w:rsidR="008D0565" w:rsidRPr="00D61F73">
        <w:rPr>
          <w:rFonts w:ascii="Arial" w:hAnsi="Arial" w:cs="Arial"/>
        </w:rPr>
        <w:t>2004 Jun;98(6):1552-6, table of contents.</w:t>
      </w:r>
    </w:p>
    <w:p w14:paraId="15C95F25" w14:textId="77777777" w:rsidR="008D0565" w:rsidRPr="00D61F73" w:rsidRDefault="008D0565" w:rsidP="00D61F73">
      <w:pPr>
        <w:rPr>
          <w:rFonts w:ascii="Arial" w:hAnsi="Arial" w:cs="Arial"/>
        </w:rPr>
      </w:pPr>
    </w:p>
    <w:p w14:paraId="6953D8D8" w14:textId="77777777" w:rsidR="008D0565" w:rsidRPr="00D61F73" w:rsidRDefault="00751163" w:rsidP="00D61F73">
      <w:pPr>
        <w:rPr>
          <w:rFonts w:ascii="Arial" w:hAnsi="Arial" w:cs="Arial"/>
        </w:rPr>
      </w:pPr>
      <w:hyperlink w:anchor="YousefiNooraie" w:history="1">
        <w:r w:rsidR="008D0565" w:rsidRPr="00D61F73">
          <w:rPr>
            <w:rStyle w:val="Hyperlink"/>
            <w:rFonts w:ascii="Arial" w:hAnsi="Arial" w:cs="Arial"/>
          </w:rPr>
          <w:t>Yousefi-Nooraie R, Schonstein E, Heidari K, Rashidian A, Akbari-Kamrani M, Irani S, Shakiba B, Mortaz Hejri S, Mortaz Hejri S, Jonaidi A.</w:t>
        </w:r>
      </w:hyperlink>
      <w:r w:rsidR="008D0565" w:rsidRPr="00D61F73">
        <w:rPr>
          <w:rFonts w:ascii="Arial" w:hAnsi="Arial" w:cs="Arial"/>
        </w:rPr>
        <w:t xml:space="preserve"> Low level laser therapy for nonspecific low-back pain. </w:t>
      </w:r>
      <w:r w:rsidR="008D0565" w:rsidRPr="00D61F73">
        <w:rPr>
          <w:rFonts w:ascii="Arial" w:hAnsi="Arial" w:cs="Arial"/>
          <w:i/>
          <w:iCs/>
        </w:rPr>
        <w:t>Cochrane Database Syst Rev.</w:t>
      </w:r>
      <w:r w:rsidR="008D0565" w:rsidRPr="00D61F73">
        <w:rPr>
          <w:rFonts w:ascii="Arial" w:hAnsi="Arial" w:cs="Arial"/>
        </w:rPr>
        <w:t xml:space="preserve"> 2007 Apr 18;(2):CD005107.</w:t>
      </w:r>
    </w:p>
    <w:p w14:paraId="50B2BE78" w14:textId="77777777" w:rsidR="008D0565" w:rsidRPr="00D61F73" w:rsidRDefault="008D0565" w:rsidP="00D61F73">
      <w:pPr>
        <w:rPr>
          <w:rFonts w:ascii="Arial" w:hAnsi="Arial" w:cs="Arial"/>
        </w:rPr>
      </w:pPr>
    </w:p>
    <w:p w14:paraId="7441DFED" w14:textId="77777777" w:rsidR="008D0565" w:rsidRPr="00D61F73" w:rsidRDefault="008D0565" w:rsidP="00D61F73">
      <w:pPr>
        <w:pStyle w:val="xl23"/>
        <w:spacing w:before="0" w:beforeAutospacing="0" w:after="0" w:afterAutospacing="0"/>
      </w:pPr>
      <w:r w:rsidRPr="00D61F73">
        <w:rPr>
          <w:b/>
          <w:bCs/>
        </w:rPr>
        <w:t>M</w:t>
      </w:r>
      <w:bookmarkStart w:id="415" w:name="MEDICALTREATMENTGUIDELINES"/>
      <w:bookmarkEnd w:id="415"/>
      <w:r w:rsidRPr="00D61F73">
        <w:rPr>
          <w:b/>
          <w:bCs/>
        </w:rPr>
        <w:t>EDICAL TREATMENT GUIDELINES</w:t>
      </w:r>
    </w:p>
    <w:p w14:paraId="1E387B3D" w14:textId="77777777" w:rsidR="008D0565" w:rsidRPr="00D61F73" w:rsidRDefault="008D0565" w:rsidP="00D61F73">
      <w:pPr>
        <w:pStyle w:val="Footer"/>
        <w:tabs>
          <w:tab w:val="clear" w:pos="4320"/>
          <w:tab w:val="clear" w:pos="8640"/>
        </w:tabs>
        <w:rPr>
          <w:rFonts w:ascii="Arial" w:hAnsi="Arial" w:cs="Arial"/>
        </w:rPr>
      </w:pPr>
    </w:p>
    <w:p w14:paraId="77DC9B9D" w14:textId="77777777" w:rsidR="008D0565" w:rsidRPr="00D61F73" w:rsidRDefault="00751163" w:rsidP="00D61F73">
      <w:pPr>
        <w:rPr>
          <w:rFonts w:ascii="Arial" w:hAnsi="Arial" w:cs="Arial"/>
        </w:rPr>
      </w:pPr>
      <w:hyperlink w:anchor="Airaksinen2" w:history="1">
        <w:r w:rsidR="008D0565" w:rsidRPr="00D61F73">
          <w:rPr>
            <w:rStyle w:val="Hyperlink"/>
            <w:rFonts w:ascii="Arial" w:hAnsi="Arial" w:cs="Arial"/>
          </w:rPr>
          <w:t>Airaksinen O, Brox JI, Cedraschi C, Hildebrandt J, Klaber-Moffett J, Kovacs F, Mannion AF, Reis S, Staal JB, Ursin H, Zanoli G;</w:t>
        </w:r>
      </w:hyperlink>
      <w:r w:rsidR="008D0565" w:rsidRPr="00D61F73">
        <w:rPr>
          <w:rFonts w:ascii="Arial" w:hAnsi="Arial" w:cs="Arial"/>
        </w:rPr>
        <w:t xml:space="preserve"> On behalf of the COST B13 Working Group on Guidelines for Chronic Low Back Pain. Chapter 4 European guidelines for the management of chronic nonspecific low back pain. </w:t>
      </w:r>
      <w:r w:rsidR="008D0565" w:rsidRPr="00D61F73">
        <w:rPr>
          <w:rFonts w:ascii="Arial" w:hAnsi="Arial" w:cs="Arial"/>
          <w:i/>
          <w:iCs/>
        </w:rPr>
        <w:t>Eur Spine J</w:t>
      </w:r>
      <w:r w:rsidR="008D0565" w:rsidRPr="00D61F73">
        <w:rPr>
          <w:rFonts w:ascii="Arial" w:hAnsi="Arial" w:cs="Arial"/>
        </w:rPr>
        <w:t>. 2006 Mar;15(Supplement 2):s192-s300.</w:t>
      </w:r>
    </w:p>
    <w:p w14:paraId="654AC8AC" w14:textId="77777777" w:rsidR="008D0565" w:rsidRPr="00D61F73" w:rsidRDefault="008D0565" w:rsidP="00D61F73">
      <w:pPr>
        <w:rPr>
          <w:rFonts w:ascii="Arial" w:hAnsi="Arial" w:cs="Arial"/>
        </w:rPr>
      </w:pPr>
    </w:p>
    <w:p w14:paraId="01016B65" w14:textId="77777777" w:rsidR="008D0565" w:rsidRPr="00D61F73" w:rsidRDefault="00751163" w:rsidP="00D61F73">
      <w:pPr>
        <w:rPr>
          <w:rFonts w:ascii="Arial" w:hAnsi="Arial" w:cs="Arial"/>
        </w:rPr>
      </w:pPr>
      <w:hyperlink w:anchor="Atkins" w:history="1">
        <w:r w:rsidR="008D0565" w:rsidRPr="00D61F73">
          <w:rPr>
            <w:rStyle w:val="Hyperlink"/>
            <w:rFonts w:ascii="Arial" w:hAnsi="Arial" w:cs="Arial"/>
          </w:rPr>
          <w:t>Atkins D, Best D, Briss PA, Eccles M, Falck-Ytter Y, Flottorp S, Guyatt GH, Harbour RT, Haugh MC, Henry D, Hill S, Jaeschke R, Leng G, Liberati A, Magrini N, Mason J, Middleton P, Mrukowicz J, O'Connell D, Oxman AD, Phillips B, Schunemann HJ, Edejer TT, Varonen H, Vist GE, Williams JW Jr, Zaza S</w:t>
        </w:r>
      </w:hyperlink>
      <w:r w:rsidR="008D0565" w:rsidRPr="00D61F73">
        <w:rPr>
          <w:rFonts w:ascii="Arial" w:hAnsi="Arial" w:cs="Arial"/>
        </w:rPr>
        <w:t xml:space="preserve">; GRADE Working Group. Grading quality of evidence and strength of recommendations. </w:t>
      </w:r>
      <w:r w:rsidR="008D0565" w:rsidRPr="00D61F73">
        <w:rPr>
          <w:rFonts w:ascii="Arial" w:hAnsi="Arial" w:cs="Arial"/>
          <w:i/>
          <w:iCs/>
        </w:rPr>
        <w:t>BMJ</w:t>
      </w:r>
      <w:r w:rsidR="008D0565" w:rsidRPr="00D61F73">
        <w:rPr>
          <w:rFonts w:ascii="Arial" w:hAnsi="Arial" w:cs="Arial"/>
        </w:rPr>
        <w:t>. 2004 Jun 19;328(7454):1490.</w:t>
      </w:r>
      <w:r w:rsidR="006F3909" w:rsidRPr="00D61F73">
        <w:rPr>
          <w:rFonts w:ascii="Arial" w:hAnsi="Arial" w:cs="Arial"/>
        </w:rPr>
        <w:t xml:space="preserve"> </w:t>
      </w:r>
    </w:p>
    <w:p w14:paraId="2E81AD4D" w14:textId="77777777" w:rsidR="008D0565" w:rsidRPr="00D61F73" w:rsidRDefault="008D0565" w:rsidP="00D61F73">
      <w:pPr>
        <w:rPr>
          <w:rFonts w:ascii="Arial" w:hAnsi="Arial" w:cs="Arial"/>
        </w:rPr>
      </w:pPr>
    </w:p>
    <w:p w14:paraId="3FE231E0" w14:textId="77777777" w:rsidR="008D0565" w:rsidRPr="00D61F73" w:rsidRDefault="00751163" w:rsidP="00D61F73">
      <w:pPr>
        <w:rPr>
          <w:rStyle w:val="Strong"/>
          <w:rFonts w:ascii="Arial" w:hAnsi="Arial" w:cs="Arial"/>
          <w:b w:val="0"/>
          <w:bCs w:val="0"/>
        </w:rPr>
      </w:pPr>
      <w:hyperlink w:anchor="Federation2" w:history="1">
        <w:r w:rsidR="008D0565" w:rsidRPr="00D61F73">
          <w:rPr>
            <w:rStyle w:val="Hyperlink"/>
            <w:rFonts w:ascii="Arial" w:hAnsi="Arial" w:cs="Arial"/>
          </w:rPr>
          <w:t>Federation of State Medical Boards</w:t>
        </w:r>
      </w:hyperlink>
      <w:r w:rsidR="008D0565" w:rsidRPr="00D61F73">
        <w:rPr>
          <w:rFonts w:ascii="Arial" w:hAnsi="Arial" w:cs="Arial"/>
        </w:rPr>
        <w:t xml:space="preserve">, </w:t>
      </w:r>
      <w:r w:rsidR="008D0565" w:rsidRPr="00D61F73">
        <w:rPr>
          <w:rStyle w:val="Emphasis"/>
          <w:rFonts w:ascii="Arial" w:hAnsi="Arial" w:cs="Arial"/>
        </w:rPr>
        <w:t xml:space="preserve">Model Guidelines for the Use of Controlled Substances for the Treatment of Pain, </w:t>
      </w:r>
      <w:r w:rsidR="008D0565" w:rsidRPr="00D61F73">
        <w:rPr>
          <w:rStyle w:val="Strong"/>
          <w:rFonts w:ascii="Arial" w:hAnsi="Arial" w:cs="Arial"/>
          <w:b w:val="0"/>
          <w:bCs w:val="0"/>
        </w:rPr>
        <w:t>March 23, 2004</w:t>
      </w:r>
    </w:p>
    <w:p w14:paraId="63A0279E" w14:textId="77777777" w:rsidR="008D0565" w:rsidRPr="00D61F73" w:rsidRDefault="008D0565" w:rsidP="00D61F73">
      <w:pPr>
        <w:rPr>
          <w:rFonts w:ascii="Arial" w:hAnsi="Arial" w:cs="Arial"/>
        </w:rPr>
      </w:pPr>
    </w:p>
    <w:p w14:paraId="121CB443" w14:textId="77777777" w:rsidR="008D0565" w:rsidRPr="00D61F73" w:rsidRDefault="00751163" w:rsidP="00D61F73">
      <w:pPr>
        <w:pStyle w:val="BodyText"/>
        <w:rPr>
          <w:rFonts w:ascii="Arial" w:hAnsi="Arial" w:cs="Arial"/>
          <w:b w:val="0"/>
          <w:bCs w:val="0"/>
        </w:rPr>
      </w:pPr>
      <w:hyperlink w:anchor="ICSI" w:history="1">
        <w:r w:rsidR="008D0565" w:rsidRPr="00D61F73">
          <w:rPr>
            <w:rStyle w:val="Hyperlink"/>
            <w:rFonts w:ascii="Arial" w:hAnsi="Arial" w:cs="Arial"/>
            <w:b w:val="0"/>
            <w:bCs w:val="0"/>
          </w:rPr>
          <w:t>Institute for Clinical Systems Improvement</w:t>
        </w:r>
      </w:hyperlink>
      <w:r w:rsidR="008D0565" w:rsidRPr="00D61F73">
        <w:rPr>
          <w:rFonts w:ascii="Arial" w:hAnsi="Arial" w:cs="Arial"/>
          <w:b w:val="0"/>
          <w:bCs w:val="0"/>
        </w:rPr>
        <w:t xml:space="preserve"> (ICSI). Assessment and management of chronic pain. Bloomington (MN). 2005 Nov.</w:t>
      </w:r>
    </w:p>
    <w:p w14:paraId="723C3C56" w14:textId="77777777" w:rsidR="008D0565" w:rsidRPr="00D61F73" w:rsidRDefault="008D0565" w:rsidP="00D61F73">
      <w:pPr>
        <w:rPr>
          <w:rFonts w:ascii="Arial" w:hAnsi="Arial" w:cs="Arial"/>
        </w:rPr>
      </w:pPr>
    </w:p>
    <w:p w14:paraId="0BE3B2D2" w14:textId="77777777" w:rsidR="008D0565" w:rsidRPr="00D61F73" w:rsidRDefault="00751163" w:rsidP="00D61F73">
      <w:pPr>
        <w:rPr>
          <w:rFonts w:ascii="Arial" w:hAnsi="Arial" w:cs="Arial"/>
        </w:rPr>
      </w:pPr>
      <w:hyperlink w:anchor="Littner2003" w:history="1">
        <w:r w:rsidR="008D0565" w:rsidRPr="00D61F73">
          <w:rPr>
            <w:rStyle w:val="Hyperlink"/>
            <w:rFonts w:ascii="Arial" w:hAnsi="Arial" w:cs="Arial"/>
          </w:rPr>
          <w:t>Littner M, Hirshkowitz M, Kramer M, Kapen S, Anderson WM, Bailey D, Berry RB, Davila D, Johnson S, Kushida C, Loube DI, Wise M, Woodson BT</w:t>
        </w:r>
      </w:hyperlink>
      <w:r w:rsidR="008D0565" w:rsidRPr="00D61F73">
        <w:rPr>
          <w:rFonts w:ascii="Arial" w:hAnsi="Arial" w:cs="Arial"/>
        </w:rPr>
        <w:t xml:space="preserve">; American Academy of Sleep Medicine; Standards of Practice Committe. Practice parameters for using polysomnography to evaluate insomnia: an update. </w:t>
      </w:r>
      <w:r w:rsidR="008D0565" w:rsidRPr="00D61F73">
        <w:rPr>
          <w:rFonts w:ascii="Arial" w:hAnsi="Arial" w:cs="Arial"/>
          <w:i/>
          <w:iCs/>
        </w:rPr>
        <w:t>Sleep</w:t>
      </w:r>
      <w:r w:rsidR="008D0565" w:rsidRPr="00D61F73">
        <w:rPr>
          <w:rFonts w:ascii="Arial" w:hAnsi="Arial" w:cs="Arial"/>
        </w:rPr>
        <w:t>. 2003 Sep;26(6):754-60.</w:t>
      </w:r>
    </w:p>
    <w:p w14:paraId="394FD444" w14:textId="77777777" w:rsidR="008D0565" w:rsidRPr="00D61F73" w:rsidRDefault="008D0565" w:rsidP="00D61F73">
      <w:pPr>
        <w:rPr>
          <w:rFonts w:ascii="Arial" w:hAnsi="Arial" w:cs="Arial"/>
        </w:rPr>
      </w:pPr>
    </w:p>
    <w:p w14:paraId="468F1476" w14:textId="77777777" w:rsidR="008D0565" w:rsidRPr="00D61F73" w:rsidRDefault="00751163" w:rsidP="00D61F73">
      <w:pPr>
        <w:rPr>
          <w:rFonts w:ascii="Arial" w:hAnsi="Arial" w:cs="Arial"/>
        </w:rPr>
      </w:pPr>
      <w:hyperlink w:anchor="Manchikanti" w:history="1">
        <w:r w:rsidR="008D0565" w:rsidRPr="00D61F73">
          <w:rPr>
            <w:rStyle w:val="Hyperlink"/>
            <w:rFonts w:ascii="Arial" w:hAnsi="Arial" w:cs="Arial"/>
          </w:rPr>
          <w:t xml:space="preserve">Manchikanti L, Staats PS, Singh V, Schultz DM, Vilims BD, Jasper JF, Kloth DS, Trescot AM, Hansen HC, Falasca TD, Racz GB, Deer TR, Burton AW, Helm S, Lou L, Bakhit CE, Dunbar </w:t>
        </w:r>
        <w:r w:rsidR="008D0565" w:rsidRPr="00D61F73">
          <w:rPr>
            <w:rStyle w:val="Hyperlink"/>
            <w:rFonts w:ascii="Arial" w:hAnsi="Arial" w:cs="Arial"/>
          </w:rPr>
          <w:lastRenderedPageBreak/>
          <w:t>EE, Atluri SL, Calodney AK, et al.</w:t>
        </w:r>
      </w:hyperlink>
      <w:r w:rsidR="008D0565" w:rsidRPr="00D61F73">
        <w:rPr>
          <w:rFonts w:ascii="Arial" w:hAnsi="Arial" w:cs="Arial"/>
        </w:rPr>
        <w:t xml:space="preserve"> Evidence-based practice guidelines for interventional techniques in the management of chronic spinal pain. </w:t>
      </w:r>
      <w:r w:rsidR="008D0565" w:rsidRPr="00D61F73">
        <w:rPr>
          <w:rFonts w:ascii="Arial" w:hAnsi="Arial" w:cs="Arial"/>
          <w:i/>
          <w:iCs/>
        </w:rPr>
        <w:t>Pain Phys</w:t>
      </w:r>
      <w:r w:rsidR="008D0565" w:rsidRPr="00D61F73">
        <w:rPr>
          <w:rFonts w:ascii="Arial" w:hAnsi="Arial" w:cs="Arial"/>
        </w:rPr>
        <w:t xml:space="preserve"> 2003;6:3-81.</w:t>
      </w:r>
    </w:p>
    <w:p w14:paraId="7A10D1F3" w14:textId="77777777" w:rsidR="008D0565" w:rsidRPr="00D61F73" w:rsidRDefault="008D0565" w:rsidP="00D61F73">
      <w:pPr>
        <w:rPr>
          <w:rFonts w:ascii="Arial" w:hAnsi="Arial" w:cs="Arial"/>
        </w:rPr>
      </w:pPr>
    </w:p>
    <w:p w14:paraId="7253445F" w14:textId="77777777" w:rsidR="008D0565" w:rsidRPr="00D61F73" w:rsidRDefault="00751163" w:rsidP="00D61F73">
      <w:pPr>
        <w:rPr>
          <w:rFonts w:ascii="Arial" w:hAnsi="Arial" w:cs="Arial"/>
        </w:rPr>
      </w:pPr>
      <w:hyperlink w:anchor="Perrot" w:history="1">
        <w:r w:rsidR="008D0565" w:rsidRPr="00D61F73">
          <w:rPr>
            <w:rStyle w:val="Hyperlink"/>
            <w:rFonts w:ascii="Arial" w:hAnsi="Arial" w:cs="Arial"/>
          </w:rPr>
          <w:t>Perrot S, Maheu E, Javier RM, Eschalier A, Coutaux A, LeBars M, Bertin P, Bannwarth B, Treves R.</w:t>
        </w:r>
      </w:hyperlink>
      <w:r w:rsidR="008D0565" w:rsidRPr="00D61F73">
        <w:rPr>
          <w:rFonts w:ascii="Arial" w:hAnsi="Arial" w:cs="Arial"/>
        </w:rPr>
        <w:t xml:space="preserve"> Guidelines for the use of antidepressants in painful rheumatic conditions. </w:t>
      </w:r>
      <w:r w:rsidR="008D0565" w:rsidRPr="00D61F73">
        <w:rPr>
          <w:rFonts w:ascii="Arial" w:hAnsi="Arial" w:cs="Arial"/>
          <w:i/>
          <w:iCs/>
        </w:rPr>
        <w:t>Eur J Pain.</w:t>
      </w:r>
      <w:r w:rsidR="008D0565" w:rsidRPr="00D61F73">
        <w:rPr>
          <w:rFonts w:ascii="Arial" w:hAnsi="Arial" w:cs="Arial"/>
        </w:rPr>
        <w:t xml:space="preserve"> 2006 Apr;10(3):185-92. Epub 2005 Apr 18.</w:t>
      </w:r>
    </w:p>
    <w:p w14:paraId="7F72DC54" w14:textId="77777777" w:rsidR="008D0565" w:rsidRPr="00D61F73" w:rsidRDefault="008D0565" w:rsidP="00D61F73">
      <w:pPr>
        <w:rPr>
          <w:rFonts w:ascii="Arial" w:hAnsi="Arial" w:cs="Arial"/>
        </w:rPr>
      </w:pPr>
    </w:p>
    <w:p w14:paraId="747B9167" w14:textId="77777777" w:rsidR="008D0565" w:rsidRPr="00D61F73" w:rsidRDefault="008D0565" w:rsidP="00D61F73">
      <w:pPr>
        <w:pStyle w:val="xl23"/>
        <w:spacing w:before="0" w:beforeAutospacing="0" w:after="0" w:afterAutospacing="0"/>
        <w:rPr>
          <w:b/>
          <w:bCs/>
        </w:rPr>
      </w:pPr>
      <w:r w:rsidRPr="00D61F73">
        <w:rPr>
          <w:b/>
          <w:bCs/>
        </w:rPr>
        <w:t>M</w:t>
      </w:r>
      <w:bookmarkStart w:id="416" w:name="MEDICATIONSL"/>
      <w:bookmarkEnd w:id="416"/>
      <w:r w:rsidRPr="00D61F73">
        <w:rPr>
          <w:b/>
          <w:bCs/>
        </w:rPr>
        <w:t>EDICATIONS</w:t>
      </w:r>
    </w:p>
    <w:p w14:paraId="4386053E" w14:textId="77777777" w:rsidR="008D0565" w:rsidRPr="00D61F73" w:rsidRDefault="008D0565" w:rsidP="00D61F73">
      <w:pPr>
        <w:pStyle w:val="xl23"/>
        <w:spacing w:before="0" w:beforeAutospacing="0" w:after="0" w:afterAutospacing="0"/>
        <w:rPr>
          <w:b/>
          <w:bCs/>
        </w:rPr>
      </w:pPr>
    </w:p>
    <w:p w14:paraId="0783F9DD" w14:textId="77777777" w:rsidR="008D0565" w:rsidRPr="00D61F73" w:rsidRDefault="00751163" w:rsidP="00D61F73">
      <w:pPr>
        <w:rPr>
          <w:rFonts w:ascii="Arial" w:hAnsi="Arial" w:cs="Arial"/>
        </w:rPr>
      </w:pPr>
      <w:hyperlink w:anchor="Abrams2011" w:history="1">
        <w:r w:rsidR="008D0565" w:rsidRPr="00D61F73">
          <w:rPr>
            <w:rStyle w:val="Hyperlink"/>
            <w:rFonts w:ascii="Arial" w:hAnsi="Arial" w:cs="Arial"/>
          </w:rPr>
          <w:t>Abrams DI, Couey P, Shade SB, Kelly ME, Benowitz NL</w:t>
        </w:r>
      </w:hyperlink>
      <w:r w:rsidR="008D0565" w:rsidRPr="00D61F73">
        <w:rPr>
          <w:rFonts w:ascii="Arial" w:hAnsi="Arial" w:cs="Arial"/>
        </w:rPr>
        <w:t xml:space="preserve">. Cannabinoid-opioid interaction in chronic pain. </w:t>
      </w:r>
      <w:r w:rsidR="008D0565" w:rsidRPr="00D61F73">
        <w:rPr>
          <w:rFonts w:ascii="Arial" w:hAnsi="Arial" w:cs="Arial"/>
          <w:i/>
          <w:iCs/>
        </w:rPr>
        <w:t>Clin Pharmacol Ther</w:t>
      </w:r>
      <w:r w:rsidR="008D0565" w:rsidRPr="00D61F73">
        <w:rPr>
          <w:rFonts w:ascii="Arial" w:hAnsi="Arial" w:cs="Arial"/>
        </w:rPr>
        <w:t>. 2011 Dec;90(6):844-51. doi: 10.1038/clpt.2011.188. Epub 2011 Nov 2.</w:t>
      </w:r>
    </w:p>
    <w:p w14:paraId="6D153AB2" w14:textId="77777777" w:rsidR="008D0565" w:rsidRPr="00D61F73" w:rsidRDefault="008D0565" w:rsidP="00D61F73">
      <w:pPr>
        <w:pStyle w:val="xl23"/>
        <w:spacing w:before="0" w:beforeAutospacing="0" w:after="0" w:afterAutospacing="0"/>
        <w:rPr>
          <w:b/>
          <w:bCs/>
        </w:rPr>
      </w:pPr>
    </w:p>
    <w:p w14:paraId="6279AD55" w14:textId="77777777" w:rsidR="008D0565" w:rsidRPr="00D61F73" w:rsidRDefault="00751163" w:rsidP="00D61F73">
      <w:pPr>
        <w:pStyle w:val="xl23"/>
        <w:spacing w:before="0" w:beforeAutospacing="0" w:after="0" w:afterAutospacing="0"/>
      </w:pPr>
      <w:hyperlink w:anchor="Abs" w:history="1">
        <w:r w:rsidR="008D0565" w:rsidRPr="00D61F73">
          <w:rPr>
            <w:rStyle w:val="Hyperlink"/>
          </w:rPr>
          <w:t>Abs R, Verhelst J, Maeyaert J, Van Buyten JP, Opsomer F, Adriaensen H, Verlooy J, Van Havenbergh T, Smet M, Van Acker K.</w:t>
        </w:r>
      </w:hyperlink>
      <w:r w:rsidR="008D0565" w:rsidRPr="00D61F73">
        <w:t xml:space="preserve"> Endocrine consequences of long-term intrathecal administration of opioids. </w:t>
      </w:r>
      <w:r w:rsidR="008D0565" w:rsidRPr="00D61F73">
        <w:rPr>
          <w:i/>
        </w:rPr>
        <w:t>J Clin Endocrinol Metab</w:t>
      </w:r>
      <w:r w:rsidR="008D0565" w:rsidRPr="00D61F73">
        <w:t>. 2000;85:2215-22.</w:t>
      </w:r>
    </w:p>
    <w:p w14:paraId="70FB7AA8" w14:textId="77777777" w:rsidR="008D0565" w:rsidRPr="00D61F73" w:rsidRDefault="008D0565" w:rsidP="00D61F73">
      <w:pPr>
        <w:pStyle w:val="xl23"/>
        <w:spacing w:before="0" w:beforeAutospacing="0" w:after="0" w:afterAutospacing="0"/>
        <w:rPr>
          <w:b/>
          <w:bCs/>
        </w:rPr>
      </w:pPr>
    </w:p>
    <w:p w14:paraId="7A9D64A1" w14:textId="77777777" w:rsidR="008D0565" w:rsidRPr="00D61F73" w:rsidRDefault="00751163" w:rsidP="00D61F73">
      <w:pPr>
        <w:pStyle w:val="xl23"/>
        <w:spacing w:before="0" w:beforeAutospacing="0" w:after="0" w:afterAutospacing="0"/>
      </w:pPr>
      <w:hyperlink w:anchor="Ackerman" w:history="1">
        <w:r w:rsidR="008D0565" w:rsidRPr="00D61F73">
          <w:rPr>
            <w:rStyle w:val="Hyperlink"/>
          </w:rPr>
          <w:t>Ackerman</w:t>
        </w:r>
        <w:r w:rsidR="00263321" w:rsidRPr="00D61F73">
          <w:rPr>
            <w:rStyle w:val="Hyperlink"/>
          </w:rPr>
          <w:t>n</w:t>
        </w:r>
        <w:r w:rsidR="008D0565" w:rsidRPr="00D61F73">
          <w:rPr>
            <w:rStyle w:val="Hyperlink"/>
          </w:rPr>
          <w:t xml:space="preserve"> LL, Follett KA, Rosenquist RW</w:t>
        </w:r>
      </w:hyperlink>
      <w:r w:rsidR="008D0565" w:rsidRPr="00D61F73">
        <w:t xml:space="preserve">. Long-term outcomes during treatment of chronic pain with intrathecal clonidine or clonidine/opioid combinations. </w:t>
      </w:r>
      <w:r w:rsidR="008D0565" w:rsidRPr="00D61F73">
        <w:rPr>
          <w:i/>
        </w:rPr>
        <w:t>J Pain Symptom Manage</w:t>
      </w:r>
      <w:r w:rsidR="008D0565" w:rsidRPr="00D61F73">
        <w:t>. 2003 Jul;26(1):668-77.</w:t>
      </w:r>
    </w:p>
    <w:p w14:paraId="032A8062" w14:textId="77777777" w:rsidR="008D0565" w:rsidRPr="00D61F73" w:rsidRDefault="008D0565" w:rsidP="00D61F73">
      <w:pPr>
        <w:rPr>
          <w:rFonts w:ascii="Arial" w:hAnsi="Arial" w:cs="Arial"/>
        </w:rPr>
      </w:pPr>
    </w:p>
    <w:p w14:paraId="108BE7E0" w14:textId="77777777" w:rsidR="008D0565" w:rsidRPr="00D61F73" w:rsidRDefault="00751163" w:rsidP="00D61F73">
      <w:pPr>
        <w:rPr>
          <w:rFonts w:ascii="Arial" w:hAnsi="Arial" w:cs="Arial"/>
        </w:rPr>
      </w:pPr>
      <w:hyperlink w:anchor="Adams2011" w:history="1">
        <w:r w:rsidR="008D0565" w:rsidRPr="00D61F73">
          <w:rPr>
            <w:rStyle w:val="Hyperlink"/>
            <w:rFonts w:ascii="Arial" w:hAnsi="Arial" w:cs="Arial"/>
          </w:rPr>
          <w:t>Adams RJ, Appleton SL, Gill TK, Taylor AW, Wilson DH, Hill CL</w:t>
        </w:r>
      </w:hyperlink>
      <w:r w:rsidR="008D0565" w:rsidRPr="00D61F73">
        <w:rPr>
          <w:rFonts w:ascii="Arial" w:hAnsi="Arial" w:cs="Arial"/>
        </w:rPr>
        <w:t xml:space="preserve">. Cause for concern in the use of non-steroidal anti-inflammatory medications in the community--a population-based study. </w:t>
      </w:r>
      <w:r w:rsidR="008D0565" w:rsidRPr="00D61F73">
        <w:rPr>
          <w:rFonts w:ascii="Arial" w:hAnsi="Arial" w:cs="Arial"/>
          <w:i/>
          <w:iCs/>
        </w:rPr>
        <w:t>BMC Fam Pract</w:t>
      </w:r>
      <w:r w:rsidR="008D0565" w:rsidRPr="00D61F73">
        <w:rPr>
          <w:rFonts w:ascii="Arial" w:hAnsi="Arial" w:cs="Arial"/>
        </w:rPr>
        <w:t>. 2011 Jul 7;12:70.</w:t>
      </w:r>
    </w:p>
    <w:p w14:paraId="624B3FA9" w14:textId="77777777" w:rsidR="008D0565" w:rsidRPr="00D61F73" w:rsidRDefault="008D0565" w:rsidP="00D61F73">
      <w:pPr>
        <w:rPr>
          <w:rFonts w:ascii="Arial" w:hAnsi="Arial" w:cs="Arial"/>
        </w:rPr>
      </w:pPr>
    </w:p>
    <w:p w14:paraId="7BD62B94" w14:textId="77777777" w:rsidR="008D0565" w:rsidRPr="00D61F73" w:rsidRDefault="00751163" w:rsidP="00D61F73">
      <w:pPr>
        <w:rPr>
          <w:rFonts w:ascii="Arial" w:hAnsi="Arial" w:cs="Arial"/>
        </w:rPr>
      </w:pPr>
      <w:hyperlink w:anchor="Affaitati" w:history="1">
        <w:r w:rsidR="008D0565" w:rsidRPr="00D61F73">
          <w:rPr>
            <w:rStyle w:val="Hyperlink"/>
            <w:rFonts w:ascii="Arial" w:hAnsi="Arial" w:cs="Arial"/>
          </w:rPr>
          <w:t>Affaitati G, Fabrizio A, Savini A, Lerza R, Tafuri E, Costantini R, Lapenna D, Giamberardino MA</w:t>
        </w:r>
      </w:hyperlink>
      <w:r w:rsidR="008D0565" w:rsidRPr="00D61F73">
        <w:rPr>
          <w:rFonts w:ascii="Arial" w:hAnsi="Arial" w:cs="Arial"/>
        </w:rPr>
        <w:t>. A randomized, controlled study comparing a lidocaine patch, a placebo patch, and anesthetic injection for treatment of trigger points in patients with myofascial pain syndrome: evaluation of pain and somatic pain thresholds</w:t>
      </w:r>
      <w:r w:rsidR="008D0565" w:rsidRPr="00D61F73">
        <w:rPr>
          <w:rFonts w:ascii="Arial" w:hAnsi="Arial" w:cs="Arial"/>
          <w:i/>
        </w:rPr>
        <w:t>. Clin Ther</w:t>
      </w:r>
      <w:r w:rsidR="008D0565" w:rsidRPr="00D61F73">
        <w:rPr>
          <w:rFonts w:ascii="Arial" w:hAnsi="Arial" w:cs="Arial"/>
        </w:rPr>
        <w:t>. 2009;31:705-20.</w:t>
      </w:r>
    </w:p>
    <w:p w14:paraId="6252D043" w14:textId="77777777" w:rsidR="008D0565" w:rsidRPr="00D61F73" w:rsidRDefault="008D0565" w:rsidP="00D61F73">
      <w:pPr>
        <w:pStyle w:val="Footer"/>
        <w:tabs>
          <w:tab w:val="clear" w:pos="4320"/>
          <w:tab w:val="clear" w:pos="8640"/>
        </w:tabs>
        <w:rPr>
          <w:rFonts w:ascii="Arial" w:hAnsi="Arial" w:cs="Arial"/>
        </w:rPr>
      </w:pPr>
    </w:p>
    <w:p w14:paraId="1E0C9227" w14:textId="77777777" w:rsidR="008D0565" w:rsidRPr="00D61F73" w:rsidRDefault="00751163" w:rsidP="00D61F73">
      <w:pPr>
        <w:pStyle w:val="Footer"/>
        <w:tabs>
          <w:tab w:val="clear" w:pos="4320"/>
          <w:tab w:val="clear" w:pos="8640"/>
        </w:tabs>
        <w:rPr>
          <w:rFonts w:ascii="Arial" w:hAnsi="Arial" w:cs="Arial"/>
        </w:rPr>
      </w:pPr>
      <w:hyperlink w:anchor="Afilalo2010" w:history="1">
        <w:r w:rsidR="008D0565" w:rsidRPr="00D61F73">
          <w:rPr>
            <w:rStyle w:val="Hyperlink"/>
            <w:rFonts w:ascii="Arial" w:hAnsi="Arial" w:cs="Arial"/>
          </w:rPr>
          <w:t>Afilalo M, Etropolski MS, Kuperwasser B, Kelly K, Okamoto A, Van Hove I, Steup A, Lange B, Rauschkolb C, Haeussler J</w:t>
        </w:r>
      </w:hyperlink>
      <w:r w:rsidR="008D0565" w:rsidRPr="00D61F73">
        <w:rPr>
          <w:rFonts w:ascii="Arial" w:hAnsi="Arial" w:cs="Arial"/>
        </w:rPr>
        <w:t xml:space="preserve">. Efficacy and safety of Tapentadol extended release compared with oxycodone controlled release for the management of moderate to severe chronic pain related to osteoarthritis of the knee: a randomized, double-blind, placebo- and active-controlled phase III study. </w:t>
      </w:r>
      <w:r w:rsidR="008D0565" w:rsidRPr="00D61F73">
        <w:rPr>
          <w:rFonts w:ascii="Arial" w:hAnsi="Arial" w:cs="Arial"/>
          <w:i/>
          <w:iCs/>
        </w:rPr>
        <w:t xml:space="preserve">Clin Drug Investig. </w:t>
      </w:r>
      <w:r w:rsidR="008D0565" w:rsidRPr="00D61F73">
        <w:rPr>
          <w:rFonts w:ascii="Arial" w:hAnsi="Arial" w:cs="Arial"/>
        </w:rPr>
        <w:t>2010;30(8):489-505.</w:t>
      </w:r>
    </w:p>
    <w:p w14:paraId="634FA6A7" w14:textId="77777777" w:rsidR="008D0565" w:rsidRPr="00D61F73" w:rsidRDefault="008D0565" w:rsidP="00D61F73">
      <w:pPr>
        <w:pStyle w:val="Footer"/>
        <w:tabs>
          <w:tab w:val="clear" w:pos="4320"/>
          <w:tab w:val="clear" w:pos="8640"/>
        </w:tabs>
        <w:rPr>
          <w:rFonts w:ascii="Arial" w:hAnsi="Arial" w:cs="Arial"/>
        </w:rPr>
      </w:pPr>
    </w:p>
    <w:p w14:paraId="01B92F43" w14:textId="77777777" w:rsidR="008D0565" w:rsidRPr="00D61F73" w:rsidRDefault="00751163" w:rsidP="00D61F73">
      <w:pPr>
        <w:pStyle w:val="Footer"/>
        <w:tabs>
          <w:tab w:val="clear" w:pos="4320"/>
          <w:tab w:val="clear" w:pos="8640"/>
        </w:tabs>
        <w:rPr>
          <w:rFonts w:ascii="Arial" w:hAnsi="Arial" w:cs="Arial"/>
        </w:rPr>
      </w:pPr>
      <w:hyperlink w:anchor="AGS2012" w:history="1">
        <w:r w:rsidR="008D0565" w:rsidRPr="00D61F73">
          <w:rPr>
            <w:rStyle w:val="Hyperlink"/>
            <w:rFonts w:ascii="Arial" w:hAnsi="Arial" w:cs="Arial"/>
          </w:rPr>
          <w:t>AGS (American Geriatrics Society) 2012 Beers Criteria Update Expert Panel</w:t>
        </w:r>
      </w:hyperlink>
      <w:r w:rsidR="008D0565" w:rsidRPr="00D61F73">
        <w:rPr>
          <w:rFonts w:ascii="Arial" w:hAnsi="Arial" w:cs="Arial"/>
        </w:rPr>
        <w:t xml:space="preserve">. American Geriatrics Society updated Beers Criteria for potentially inappropriate medication use in older adults. </w:t>
      </w:r>
      <w:r w:rsidR="008D0565" w:rsidRPr="00D61F73">
        <w:rPr>
          <w:rFonts w:ascii="Arial" w:hAnsi="Arial" w:cs="Arial"/>
          <w:i/>
          <w:iCs/>
        </w:rPr>
        <w:t xml:space="preserve">J Am Geriatr Soc. </w:t>
      </w:r>
      <w:r w:rsidR="008D0565" w:rsidRPr="00D61F73">
        <w:rPr>
          <w:rFonts w:ascii="Arial" w:hAnsi="Arial" w:cs="Arial"/>
        </w:rPr>
        <w:t>2012 Apr;60(4):616-31.</w:t>
      </w:r>
    </w:p>
    <w:p w14:paraId="3856C19B" w14:textId="77777777" w:rsidR="008D0565" w:rsidRPr="00D61F73" w:rsidRDefault="008D0565" w:rsidP="00D61F73">
      <w:pPr>
        <w:pStyle w:val="Footer"/>
        <w:tabs>
          <w:tab w:val="clear" w:pos="4320"/>
          <w:tab w:val="clear" w:pos="8640"/>
        </w:tabs>
        <w:rPr>
          <w:rFonts w:ascii="Arial" w:hAnsi="Arial" w:cs="Arial"/>
        </w:rPr>
      </w:pPr>
    </w:p>
    <w:p w14:paraId="734E2DDA" w14:textId="77777777" w:rsidR="008D0565" w:rsidRPr="00D61F73" w:rsidRDefault="00751163" w:rsidP="00D61F73">
      <w:pPr>
        <w:rPr>
          <w:rFonts w:ascii="Arial" w:hAnsi="Arial" w:cs="Arial"/>
        </w:rPr>
      </w:pPr>
      <w:hyperlink w:anchor="AHFSDrugInformation" w:history="1">
        <w:r w:rsidR="008D0565" w:rsidRPr="00D61F73">
          <w:rPr>
            <w:rStyle w:val="Hyperlink"/>
            <w:rFonts w:ascii="Arial" w:hAnsi="Arial" w:cs="Arial"/>
          </w:rPr>
          <w:t>AHFS Drug Information</w:t>
        </w:r>
      </w:hyperlink>
      <w:r w:rsidR="008D0565" w:rsidRPr="00D61F73">
        <w:rPr>
          <w:rFonts w:ascii="Arial" w:hAnsi="Arial" w:cs="Arial"/>
        </w:rPr>
        <w:t>. © Copyright, 1959-2008, Selected Revisions March 2008, American Society of Health-System Pharmacists, Inc. Bethesda, MD. 2008.</w:t>
      </w:r>
    </w:p>
    <w:p w14:paraId="1941ED2C" w14:textId="77777777" w:rsidR="008D0565" w:rsidRPr="00D61F73" w:rsidRDefault="008D0565" w:rsidP="00D61F73">
      <w:pPr>
        <w:pStyle w:val="xl23"/>
        <w:spacing w:before="0" w:beforeAutospacing="0" w:after="0" w:afterAutospacing="0"/>
        <w:rPr>
          <w:b/>
          <w:bCs/>
        </w:rPr>
      </w:pPr>
    </w:p>
    <w:p w14:paraId="113476E5" w14:textId="77777777" w:rsidR="000E10A1" w:rsidRPr="00D61F73" w:rsidRDefault="00751163" w:rsidP="00D61F73">
      <w:pPr>
        <w:pStyle w:val="xl23"/>
        <w:spacing w:before="0" w:beforeAutospacing="0" w:after="0" w:afterAutospacing="0"/>
        <w:rPr>
          <w:bCs/>
        </w:rPr>
      </w:pPr>
      <w:hyperlink w:anchor="Albert2011" w:history="1">
        <w:r w:rsidR="000E10A1" w:rsidRPr="00D61F73">
          <w:rPr>
            <w:rStyle w:val="Hyperlink"/>
            <w:bCs/>
          </w:rPr>
          <w:t>Albert S, Brason FW 2nd, Sanford CK, Dasgupta N, Graham J, Lovette B. Project Lazarus</w:t>
        </w:r>
      </w:hyperlink>
      <w:r w:rsidR="000E10A1" w:rsidRPr="00D61F73">
        <w:rPr>
          <w:bCs/>
        </w:rPr>
        <w:t>: Community-based overdose prevention in rural North Carolina. Pain Med. 2011;12:S77-85.</w:t>
      </w:r>
    </w:p>
    <w:p w14:paraId="24C1F4BA" w14:textId="77777777" w:rsidR="000E10A1" w:rsidRPr="00D61F73" w:rsidRDefault="000E10A1" w:rsidP="00D61F73">
      <w:pPr>
        <w:pStyle w:val="xl23"/>
        <w:spacing w:before="0" w:beforeAutospacing="0" w:after="0" w:afterAutospacing="0"/>
        <w:rPr>
          <w:b/>
          <w:bCs/>
        </w:rPr>
      </w:pPr>
    </w:p>
    <w:p w14:paraId="3FD64CA0" w14:textId="77777777" w:rsidR="008D0565" w:rsidRPr="00D61F73" w:rsidRDefault="00751163" w:rsidP="00D61F73">
      <w:pPr>
        <w:pStyle w:val="xl23"/>
        <w:spacing w:before="0" w:beforeAutospacing="0" w:after="0" w:afterAutospacing="0"/>
      </w:pPr>
      <w:hyperlink w:anchor="Alexander" w:history="1">
        <w:r w:rsidR="008D0565" w:rsidRPr="00D61F73">
          <w:rPr>
            <w:rStyle w:val="Hyperlink"/>
          </w:rPr>
          <w:t>Alexander B, Perry PJ</w:t>
        </w:r>
      </w:hyperlink>
      <w:r w:rsidR="008D0565" w:rsidRPr="00D61F73">
        <w:t xml:space="preserve">. Detoxification from benzodiazepines: schedules and strategies. </w:t>
      </w:r>
      <w:r w:rsidR="008D0565" w:rsidRPr="00D61F73">
        <w:rPr>
          <w:i/>
        </w:rPr>
        <w:t>J Subst Abuse Treat</w:t>
      </w:r>
      <w:r w:rsidR="008D0565" w:rsidRPr="00D61F73">
        <w:t>. 1991;8:9-17.</w:t>
      </w:r>
    </w:p>
    <w:p w14:paraId="1B4673CA" w14:textId="77777777" w:rsidR="008D0565" w:rsidRPr="00D61F73" w:rsidRDefault="008D0565" w:rsidP="00D61F73">
      <w:pPr>
        <w:pStyle w:val="xl23"/>
        <w:spacing w:before="0" w:beforeAutospacing="0" w:after="0" w:afterAutospacing="0"/>
        <w:rPr>
          <w:b/>
          <w:bCs/>
        </w:rPr>
      </w:pPr>
    </w:p>
    <w:p w14:paraId="78D4C1CE" w14:textId="77777777" w:rsidR="008D0565" w:rsidRPr="00D61F73" w:rsidRDefault="00751163" w:rsidP="00D61F73">
      <w:pPr>
        <w:pStyle w:val="NormalWeb"/>
        <w:spacing w:before="0" w:beforeAutospacing="0" w:after="0" w:afterAutospacing="0"/>
        <w:rPr>
          <w:rFonts w:ascii="Arial" w:hAnsi="Arial" w:cs="Arial"/>
        </w:rPr>
      </w:pPr>
      <w:hyperlink w:anchor="Alford2011" w:history="1">
        <w:r w:rsidR="008D0565" w:rsidRPr="00D61F73">
          <w:rPr>
            <w:rStyle w:val="Hyperlink"/>
            <w:rFonts w:ascii="Arial" w:hAnsi="Arial" w:cs="Arial"/>
          </w:rPr>
          <w:t>Alford DP, Labelle CT, Kretsch N, Bergeron A, Winter M, Botticelli M, Samet JH</w:t>
        </w:r>
      </w:hyperlink>
      <w:r w:rsidR="008D0565" w:rsidRPr="00D61F73">
        <w:rPr>
          <w:rFonts w:ascii="Arial" w:hAnsi="Arial" w:cs="Arial"/>
        </w:rPr>
        <w:t xml:space="preserve">. Collaborative care of opioid-addicted patients in primary care using buprenorphine: five-year experience. </w:t>
      </w:r>
      <w:r w:rsidR="008D0565" w:rsidRPr="00D61F73">
        <w:rPr>
          <w:rFonts w:ascii="Arial" w:hAnsi="Arial" w:cs="Arial"/>
          <w:i/>
          <w:iCs/>
        </w:rPr>
        <w:t>Arch Intern Med.</w:t>
      </w:r>
      <w:r w:rsidR="008D0565" w:rsidRPr="00D61F73">
        <w:rPr>
          <w:rFonts w:ascii="Arial" w:hAnsi="Arial" w:cs="Arial"/>
        </w:rPr>
        <w:t xml:space="preserve"> 2011 Mar 14;171(5):425-31.</w:t>
      </w:r>
    </w:p>
    <w:p w14:paraId="151BE93C" w14:textId="77777777" w:rsidR="008D0565" w:rsidRPr="00D61F73" w:rsidRDefault="008D0565" w:rsidP="00D61F73">
      <w:pPr>
        <w:pStyle w:val="xl23"/>
        <w:spacing w:before="0" w:beforeAutospacing="0" w:after="0" w:afterAutospacing="0"/>
        <w:rPr>
          <w:b/>
          <w:bCs/>
        </w:rPr>
      </w:pPr>
    </w:p>
    <w:p w14:paraId="6ACF5DC3" w14:textId="77777777" w:rsidR="008D0565" w:rsidRPr="00D61F73" w:rsidRDefault="00751163" w:rsidP="00D61F73">
      <w:pPr>
        <w:pStyle w:val="xl23"/>
        <w:spacing w:before="0" w:beforeAutospacing="0" w:after="0" w:afterAutospacing="0"/>
      </w:pPr>
      <w:hyperlink w:anchor="Altman" w:history="1">
        <w:r w:rsidR="008D0565" w:rsidRPr="00D61F73">
          <w:rPr>
            <w:rStyle w:val="Hyperlink"/>
          </w:rPr>
          <w:t>Altman RD, Aven A, Holmburg CE, Pfeifer LM, Sack M, Young GT</w:t>
        </w:r>
      </w:hyperlink>
      <w:r w:rsidR="008D0565" w:rsidRPr="00D61F73">
        <w:t xml:space="preserve">. Capsaicin Cream 0.025% as Monotherapy for Osteoarthritis: A Double-Blind Study. </w:t>
      </w:r>
      <w:r w:rsidR="008D0565" w:rsidRPr="00D61F73">
        <w:rPr>
          <w:i/>
          <w:iCs/>
        </w:rPr>
        <w:t>Seminars in Arthritis and Rheumatism</w:t>
      </w:r>
      <w:r w:rsidR="008D0565" w:rsidRPr="00D61F73">
        <w:t>, June 1994;23: Suppl 3:25-33.</w:t>
      </w:r>
    </w:p>
    <w:p w14:paraId="304D002C" w14:textId="77777777" w:rsidR="008D0565" w:rsidRPr="00D61F73" w:rsidRDefault="008D0565" w:rsidP="00D61F73">
      <w:pPr>
        <w:pStyle w:val="xl23"/>
        <w:spacing w:before="0" w:beforeAutospacing="0" w:after="0" w:afterAutospacing="0"/>
      </w:pPr>
    </w:p>
    <w:p w14:paraId="150C550E" w14:textId="77777777" w:rsidR="008D0565" w:rsidRPr="00D61F73" w:rsidRDefault="00751163" w:rsidP="00D61F73">
      <w:pPr>
        <w:rPr>
          <w:rFonts w:ascii="Arial" w:hAnsi="Arial" w:cs="Arial"/>
        </w:rPr>
      </w:pPr>
      <w:hyperlink w:anchor="Altman2" w:history="1">
        <w:r w:rsidR="008D0565" w:rsidRPr="00D61F73">
          <w:rPr>
            <w:rStyle w:val="Hyperlink"/>
            <w:rFonts w:ascii="Arial" w:hAnsi="Arial" w:cs="Arial"/>
          </w:rPr>
          <w:t>Altman R, Barkin RL</w:t>
        </w:r>
      </w:hyperlink>
      <w:r w:rsidR="008D0565" w:rsidRPr="00D61F73">
        <w:rPr>
          <w:rFonts w:ascii="Arial" w:hAnsi="Arial" w:cs="Arial"/>
        </w:rPr>
        <w:t xml:space="preserve">. Topical therapy for osteoarthritis: clinical and pharmacologic perspectives. </w:t>
      </w:r>
      <w:r w:rsidR="008D0565" w:rsidRPr="00D61F73">
        <w:rPr>
          <w:rFonts w:ascii="Arial" w:hAnsi="Arial" w:cs="Arial"/>
          <w:i/>
          <w:iCs/>
        </w:rPr>
        <w:t>Postgrad Med</w:t>
      </w:r>
      <w:r w:rsidR="008D0565" w:rsidRPr="00D61F73">
        <w:rPr>
          <w:rFonts w:ascii="Arial" w:hAnsi="Arial" w:cs="Arial"/>
        </w:rPr>
        <w:t>. 2009 Mar;121(2):139-47.</w:t>
      </w:r>
    </w:p>
    <w:p w14:paraId="1527AEFD" w14:textId="77777777" w:rsidR="008D0565" w:rsidRPr="00D61F73" w:rsidRDefault="008D0565" w:rsidP="00D61F73">
      <w:pPr>
        <w:pStyle w:val="xl23"/>
        <w:spacing w:before="0" w:beforeAutospacing="0" w:after="0" w:afterAutospacing="0"/>
      </w:pPr>
    </w:p>
    <w:p w14:paraId="2E70DC87" w14:textId="77777777" w:rsidR="008D0565" w:rsidRPr="00D61F73" w:rsidRDefault="00751163" w:rsidP="00D61F73">
      <w:pPr>
        <w:pStyle w:val="xl23"/>
        <w:spacing w:before="0" w:beforeAutospacing="0" w:after="0" w:afterAutospacing="0"/>
      </w:pPr>
      <w:hyperlink w:anchor="Altman2011" w:history="1">
        <w:r w:rsidR="008D0565" w:rsidRPr="00D61F73">
          <w:rPr>
            <w:rStyle w:val="Hyperlink"/>
          </w:rPr>
          <w:t>Altman RD, Barthel HR</w:t>
        </w:r>
      </w:hyperlink>
      <w:r w:rsidR="008D0565" w:rsidRPr="00D61F73">
        <w:t>. Topical therapies for osteoarthritis</w:t>
      </w:r>
      <w:r w:rsidR="008D0565" w:rsidRPr="00D61F73">
        <w:rPr>
          <w:i/>
        </w:rPr>
        <w:t>. Drugs</w:t>
      </w:r>
      <w:r w:rsidR="008D0565" w:rsidRPr="00D61F73">
        <w:t>. 2011;71:1259-79.</w:t>
      </w:r>
    </w:p>
    <w:p w14:paraId="3AC8FEDC" w14:textId="77777777" w:rsidR="002D1A84" w:rsidRPr="00D61F73" w:rsidRDefault="002D1A84" w:rsidP="00D61F73">
      <w:pPr>
        <w:pStyle w:val="xl23"/>
        <w:spacing w:before="0" w:beforeAutospacing="0" w:after="0" w:afterAutospacing="0"/>
      </w:pPr>
    </w:p>
    <w:p w14:paraId="4BE61344" w14:textId="77777777" w:rsidR="002D1A84" w:rsidRPr="00D61F73" w:rsidRDefault="00751163" w:rsidP="00D61F73">
      <w:pPr>
        <w:rPr>
          <w:rFonts w:ascii="Arial" w:hAnsi="Arial" w:cs="Arial"/>
          <w:iCs/>
        </w:rPr>
      </w:pPr>
      <w:hyperlink w:anchor="AGS" w:history="1">
        <w:r w:rsidR="008D0565" w:rsidRPr="00D61F73">
          <w:rPr>
            <w:rStyle w:val="Hyperlink"/>
            <w:rFonts w:ascii="Arial" w:hAnsi="Arial" w:cs="Arial"/>
            <w:iCs/>
          </w:rPr>
          <w:t>American Geriatrics Society (AGS).</w:t>
        </w:r>
      </w:hyperlink>
      <w:r w:rsidR="008D0565" w:rsidRPr="00D61F73">
        <w:rPr>
          <w:rFonts w:ascii="Arial" w:hAnsi="Arial" w:cs="Arial"/>
          <w:iCs/>
        </w:rPr>
        <w:t xml:space="preserve"> 2009 Annual Scientific Meeting. April 29 - May 03, 2009; Chicago, Illinois. AGS Panel on Pharmacological Management of Persistent Pain in Older Persons.</w:t>
      </w:r>
    </w:p>
    <w:p w14:paraId="547DED45" w14:textId="77777777" w:rsidR="002D1A84" w:rsidRPr="00D61F73" w:rsidRDefault="002D1A84" w:rsidP="00D61F73">
      <w:pPr>
        <w:rPr>
          <w:rFonts w:ascii="Arial" w:hAnsi="Arial" w:cs="Arial"/>
          <w:iCs/>
        </w:rPr>
      </w:pPr>
    </w:p>
    <w:p w14:paraId="7E045A89" w14:textId="77777777" w:rsidR="002D1A84" w:rsidRPr="00D61F73" w:rsidRDefault="00751163" w:rsidP="00D61F73">
      <w:pPr>
        <w:pStyle w:val="Footer"/>
        <w:tabs>
          <w:tab w:val="clear" w:pos="4320"/>
          <w:tab w:val="clear" w:pos="8640"/>
        </w:tabs>
        <w:rPr>
          <w:rFonts w:ascii="Arial" w:hAnsi="Arial" w:cs="Arial"/>
        </w:rPr>
      </w:pPr>
      <w:hyperlink w:anchor="ASAM" w:history="1">
        <w:r w:rsidR="002D1A84" w:rsidRPr="00D61F73">
          <w:rPr>
            <w:rStyle w:val="Hyperlink"/>
            <w:rFonts w:ascii="Arial" w:hAnsi="Arial" w:cs="Arial"/>
          </w:rPr>
          <w:t>American Society of Addiction Medicine (ASAM)</w:t>
        </w:r>
      </w:hyperlink>
      <w:r w:rsidR="002D1A84" w:rsidRPr="00D61F73">
        <w:rPr>
          <w:rFonts w:ascii="Arial" w:hAnsi="Arial" w:cs="Arial"/>
        </w:rPr>
        <w:t>. Public policy statement on rapid and ultra rapid opioid detoxification ( Formerly Public Policy Statement on Opioid Antagonist Agent Detoxification under Sedation or Anesthesia (OADUSA ). www.asam.org. April 2005.</w:t>
      </w:r>
    </w:p>
    <w:p w14:paraId="08123E3F" w14:textId="77777777" w:rsidR="008D0565" w:rsidRPr="00D61F73" w:rsidRDefault="008D0565" w:rsidP="00D61F73">
      <w:pPr>
        <w:rPr>
          <w:rFonts w:ascii="Arial" w:hAnsi="Arial" w:cs="Arial"/>
        </w:rPr>
      </w:pPr>
    </w:p>
    <w:p w14:paraId="3EEAAFC2" w14:textId="77777777" w:rsidR="008D0565" w:rsidRPr="00D61F73" w:rsidRDefault="00751163" w:rsidP="00D61F73">
      <w:pPr>
        <w:rPr>
          <w:rFonts w:ascii="Arial" w:hAnsi="Arial" w:cs="Arial"/>
        </w:rPr>
      </w:pPr>
      <w:hyperlink w:anchor="Ang" w:history="1">
        <w:r w:rsidR="008D0565" w:rsidRPr="00D61F73">
          <w:rPr>
            <w:rStyle w:val="Hyperlink"/>
            <w:rFonts w:ascii="Arial" w:hAnsi="Arial" w:cs="Arial"/>
            <w:lang w:val="es-MX"/>
          </w:rPr>
          <w:t>Ang CD, Alviar MJ, Dans AL, Bautista-Velez GG, Villaruz-Sulit MV, Tan JJ, Co HU, Bautista MR, Roxas AA.</w:t>
        </w:r>
      </w:hyperlink>
      <w:r w:rsidR="008D0565" w:rsidRPr="00D61F73">
        <w:rPr>
          <w:rFonts w:ascii="Arial" w:hAnsi="Arial" w:cs="Arial"/>
          <w:lang w:val="es-MX"/>
        </w:rPr>
        <w:t xml:space="preserve"> </w:t>
      </w:r>
      <w:r w:rsidR="008D0565" w:rsidRPr="00D61F73">
        <w:rPr>
          <w:rFonts w:ascii="Arial" w:hAnsi="Arial" w:cs="Arial"/>
        </w:rPr>
        <w:t xml:space="preserve">Vitamin B for treating peripheral neuropathy. </w:t>
      </w:r>
      <w:r w:rsidR="008D0565" w:rsidRPr="00D61F73">
        <w:rPr>
          <w:rFonts w:ascii="Arial" w:hAnsi="Arial" w:cs="Arial"/>
          <w:i/>
          <w:iCs/>
        </w:rPr>
        <w:t>Cochrane Database Syst Rev</w:t>
      </w:r>
      <w:r w:rsidR="008D0565" w:rsidRPr="00D61F73">
        <w:rPr>
          <w:rFonts w:ascii="Arial" w:hAnsi="Arial" w:cs="Arial"/>
        </w:rPr>
        <w:t>. 2008 Jul 16;(3):CD004573.</w:t>
      </w:r>
    </w:p>
    <w:p w14:paraId="4C657A25" w14:textId="77777777" w:rsidR="008D0565" w:rsidRPr="00D61F73" w:rsidRDefault="008D0565" w:rsidP="00D61F73">
      <w:pPr>
        <w:rPr>
          <w:rFonts w:ascii="Arial" w:hAnsi="Arial" w:cs="Arial"/>
        </w:rPr>
      </w:pPr>
    </w:p>
    <w:p w14:paraId="6C0BC105" w14:textId="77777777" w:rsidR="008D0565" w:rsidRPr="00D61F73" w:rsidRDefault="00751163" w:rsidP="00D61F73">
      <w:pPr>
        <w:rPr>
          <w:rFonts w:ascii="Arial" w:hAnsi="Arial" w:cs="Arial"/>
        </w:rPr>
      </w:pPr>
      <w:hyperlink w:anchor="Antman" w:history="1">
        <w:r w:rsidR="008D0565" w:rsidRPr="00D61F73">
          <w:rPr>
            <w:rStyle w:val="Hyperlink"/>
            <w:rFonts w:ascii="Arial" w:hAnsi="Arial" w:cs="Arial"/>
          </w:rPr>
          <w:t>Antman EM, Bennett JS, Daugherty A, Furberg C, Roberts H, Taubert KA</w:t>
        </w:r>
      </w:hyperlink>
      <w:r w:rsidR="008D0565" w:rsidRPr="00D61F73">
        <w:rPr>
          <w:rFonts w:ascii="Arial" w:hAnsi="Arial" w:cs="Arial"/>
        </w:rPr>
        <w:t xml:space="preserve">. Use of Nonsteroidal Antiinflammatory Drugs. An Update for Clinicians. A Scientific Statement From the American Heart Association. </w:t>
      </w:r>
      <w:r w:rsidR="008D0565" w:rsidRPr="00D61F73">
        <w:rPr>
          <w:rFonts w:ascii="Arial" w:hAnsi="Arial" w:cs="Arial"/>
          <w:i/>
        </w:rPr>
        <w:t>Circulation</w:t>
      </w:r>
      <w:r w:rsidR="008D0565" w:rsidRPr="00D61F73">
        <w:rPr>
          <w:rFonts w:ascii="Arial" w:hAnsi="Arial" w:cs="Arial"/>
        </w:rPr>
        <w:t>. 2007 Feb 26.</w:t>
      </w:r>
    </w:p>
    <w:p w14:paraId="19F8C605" w14:textId="77777777" w:rsidR="008D0565" w:rsidRPr="00D61F73" w:rsidRDefault="008D0565" w:rsidP="00D61F73">
      <w:pPr>
        <w:rPr>
          <w:rFonts w:ascii="Arial" w:hAnsi="Arial" w:cs="Arial"/>
        </w:rPr>
      </w:pPr>
    </w:p>
    <w:p w14:paraId="77D16230" w14:textId="77777777" w:rsidR="008D0565" w:rsidRPr="00D61F73" w:rsidRDefault="00751163" w:rsidP="00D61F73">
      <w:pPr>
        <w:rPr>
          <w:rFonts w:ascii="Arial" w:hAnsi="Arial" w:cs="Arial"/>
        </w:rPr>
      </w:pPr>
      <w:hyperlink w:anchor="Appelboom" w:history="1">
        <w:r w:rsidR="008D0565" w:rsidRPr="00D61F73">
          <w:rPr>
            <w:rStyle w:val="Hyperlink"/>
            <w:rFonts w:ascii="Arial" w:hAnsi="Arial" w:cs="Arial"/>
          </w:rPr>
          <w:t>Appelboom T</w:t>
        </w:r>
      </w:hyperlink>
      <w:r w:rsidR="008D0565" w:rsidRPr="00D61F73">
        <w:rPr>
          <w:rFonts w:ascii="Arial" w:hAnsi="Arial" w:cs="Arial"/>
        </w:rPr>
        <w:t xml:space="preserve">. Calcitonin in reflex sympathetic dystrophy syndrome and other painful conditions. </w:t>
      </w:r>
      <w:r w:rsidR="008D0565" w:rsidRPr="00D61F73">
        <w:rPr>
          <w:rFonts w:ascii="Arial" w:hAnsi="Arial" w:cs="Arial"/>
          <w:i/>
          <w:iCs/>
        </w:rPr>
        <w:t>Bone</w:t>
      </w:r>
      <w:r w:rsidR="008D0565" w:rsidRPr="00D61F73">
        <w:rPr>
          <w:rFonts w:ascii="Arial" w:hAnsi="Arial" w:cs="Arial"/>
        </w:rPr>
        <w:t>. 2002 May;30(5 Suppl):84S-86S.</w:t>
      </w:r>
    </w:p>
    <w:p w14:paraId="36B0CA5E" w14:textId="77777777" w:rsidR="008D0565" w:rsidRPr="00D61F73" w:rsidRDefault="008D0565" w:rsidP="00D61F73">
      <w:pPr>
        <w:rPr>
          <w:rFonts w:ascii="Arial" w:hAnsi="Arial" w:cs="Arial"/>
        </w:rPr>
      </w:pPr>
    </w:p>
    <w:p w14:paraId="37504699" w14:textId="77777777" w:rsidR="008D0565" w:rsidRPr="00D61F73" w:rsidRDefault="00751163" w:rsidP="00D61F73">
      <w:pPr>
        <w:pStyle w:val="NormalWeb"/>
        <w:spacing w:before="0" w:beforeAutospacing="0" w:after="0" w:afterAutospacing="0"/>
        <w:rPr>
          <w:rFonts w:ascii="Arial" w:hAnsi="Arial" w:cs="Arial"/>
        </w:rPr>
      </w:pPr>
      <w:hyperlink w:anchor="Argoff" w:history="1">
        <w:r w:rsidR="008D0565" w:rsidRPr="00D61F73">
          <w:rPr>
            <w:rStyle w:val="Hyperlink"/>
            <w:rFonts w:ascii="Arial" w:hAnsi="Arial" w:cs="Arial"/>
          </w:rPr>
          <w:t>Argoff CE</w:t>
        </w:r>
      </w:hyperlink>
      <w:r w:rsidR="008D0565" w:rsidRPr="00D61F73">
        <w:rPr>
          <w:rFonts w:ascii="Arial" w:hAnsi="Arial" w:cs="Arial"/>
        </w:rPr>
        <w:t xml:space="preserve">. Topical agents for the treatment of chronic pain. </w:t>
      </w:r>
      <w:r w:rsidR="008D0565" w:rsidRPr="00D61F73">
        <w:rPr>
          <w:rFonts w:ascii="Arial" w:hAnsi="Arial" w:cs="Arial"/>
          <w:i/>
          <w:iCs/>
        </w:rPr>
        <w:t>Curr Pain Headache Rep</w:t>
      </w:r>
      <w:r w:rsidR="008D0565" w:rsidRPr="00D61F73">
        <w:rPr>
          <w:rFonts w:ascii="Arial" w:hAnsi="Arial" w:cs="Arial"/>
        </w:rPr>
        <w:t>. 2006 Feb;10(1):11-9.</w:t>
      </w:r>
    </w:p>
    <w:p w14:paraId="1DB13C3E" w14:textId="77777777" w:rsidR="008D0565" w:rsidRPr="00D61F73" w:rsidRDefault="008D0565" w:rsidP="00D61F73">
      <w:pPr>
        <w:pStyle w:val="Footer"/>
        <w:tabs>
          <w:tab w:val="clear" w:pos="4320"/>
          <w:tab w:val="clear" w:pos="8640"/>
        </w:tabs>
        <w:rPr>
          <w:rFonts w:ascii="Arial" w:hAnsi="Arial" w:cs="Arial"/>
        </w:rPr>
      </w:pPr>
    </w:p>
    <w:p w14:paraId="3360D623" w14:textId="77777777" w:rsidR="008D0565" w:rsidRPr="00D61F73" w:rsidRDefault="00751163" w:rsidP="00D61F73">
      <w:pPr>
        <w:pStyle w:val="Footer"/>
        <w:tabs>
          <w:tab w:val="clear" w:pos="4320"/>
          <w:tab w:val="clear" w:pos="8640"/>
        </w:tabs>
        <w:rPr>
          <w:rStyle w:val="ti"/>
          <w:rFonts w:ascii="Arial" w:hAnsi="Arial" w:cs="Arial"/>
        </w:rPr>
      </w:pPr>
      <w:hyperlink w:anchor="Argoff2" w:history="1">
        <w:r w:rsidR="008D0565" w:rsidRPr="00D61F73">
          <w:rPr>
            <w:rStyle w:val="Hyperlink"/>
            <w:rFonts w:ascii="Arial" w:hAnsi="Arial" w:cs="Arial"/>
            <w:bCs/>
          </w:rPr>
          <w:t>Argoff CE</w:t>
        </w:r>
        <w:r w:rsidR="008D0565" w:rsidRPr="00D61F73">
          <w:rPr>
            <w:rStyle w:val="Hyperlink"/>
            <w:rFonts w:ascii="Arial" w:hAnsi="Arial" w:cs="Arial"/>
          </w:rPr>
          <w:t xml:space="preserve">, </w:t>
        </w:r>
        <w:r w:rsidR="008D0565" w:rsidRPr="00D61F73">
          <w:rPr>
            <w:rStyle w:val="Hyperlink"/>
            <w:rFonts w:ascii="Arial" w:hAnsi="Arial" w:cs="Arial"/>
            <w:bCs/>
          </w:rPr>
          <w:t>Katz N</w:t>
        </w:r>
        <w:r w:rsidR="008D0565" w:rsidRPr="00D61F73">
          <w:rPr>
            <w:rStyle w:val="Hyperlink"/>
            <w:rFonts w:ascii="Arial" w:hAnsi="Arial" w:cs="Arial"/>
          </w:rPr>
          <w:t xml:space="preserve">, </w:t>
        </w:r>
        <w:r w:rsidR="008D0565" w:rsidRPr="00D61F73">
          <w:rPr>
            <w:rStyle w:val="Hyperlink"/>
            <w:rFonts w:ascii="Arial" w:hAnsi="Arial" w:cs="Arial"/>
            <w:bCs/>
          </w:rPr>
          <w:t>Backonja M</w:t>
        </w:r>
      </w:hyperlink>
      <w:r w:rsidR="008D0565" w:rsidRPr="00D61F73">
        <w:rPr>
          <w:rFonts w:ascii="Arial" w:hAnsi="Arial" w:cs="Arial"/>
        </w:rPr>
        <w:t>. Treatment of postherpetic neuralgia: a review of therapeutic options.</w:t>
      </w:r>
      <w:r w:rsidR="008D0565" w:rsidRPr="00D61F73">
        <w:rPr>
          <w:rStyle w:val="Hyperlink"/>
          <w:rFonts w:ascii="Arial" w:hAnsi="Arial" w:cs="Arial"/>
        </w:rPr>
        <w:t xml:space="preserve"> </w:t>
      </w:r>
      <w:r w:rsidR="008D0565" w:rsidRPr="00D61F73">
        <w:rPr>
          <w:rStyle w:val="ti"/>
          <w:rFonts w:ascii="Arial" w:hAnsi="Arial" w:cs="Arial"/>
          <w:i/>
        </w:rPr>
        <w:t>J Pain Symptom Manage</w:t>
      </w:r>
      <w:r w:rsidR="008D0565" w:rsidRPr="00D61F73">
        <w:rPr>
          <w:rStyle w:val="ti"/>
          <w:rFonts w:ascii="Arial" w:hAnsi="Arial" w:cs="Arial"/>
        </w:rPr>
        <w:t>. 2004;28:396-411.</w:t>
      </w:r>
    </w:p>
    <w:p w14:paraId="2503DEB9" w14:textId="77777777" w:rsidR="008D0565" w:rsidRPr="00D61F73" w:rsidRDefault="008D0565" w:rsidP="00D61F73">
      <w:pPr>
        <w:pStyle w:val="Footer"/>
        <w:tabs>
          <w:tab w:val="clear" w:pos="4320"/>
          <w:tab w:val="clear" w:pos="8640"/>
        </w:tabs>
        <w:rPr>
          <w:rFonts w:ascii="Arial" w:hAnsi="Arial" w:cs="Arial"/>
        </w:rPr>
      </w:pPr>
    </w:p>
    <w:p w14:paraId="2084292A" w14:textId="77777777" w:rsidR="008D0565" w:rsidRPr="00D61F73" w:rsidRDefault="00751163" w:rsidP="00D61F73">
      <w:pPr>
        <w:pStyle w:val="Footer"/>
        <w:tabs>
          <w:tab w:val="clear" w:pos="4320"/>
          <w:tab w:val="clear" w:pos="8640"/>
        </w:tabs>
        <w:rPr>
          <w:rFonts w:ascii="Arial" w:hAnsi="Arial" w:cs="Arial"/>
        </w:rPr>
      </w:pPr>
      <w:hyperlink w:anchor="Argoff3" w:history="1">
        <w:r w:rsidR="008D0565" w:rsidRPr="00D61F73">
          <w:rPr>
            <w:rStyle w:val="Hyperlink"/>
            <w:rFonts w:ascii="Arial" w:hAnsi="Arial" w:cs="Arial"/>
          </w:rPr>
          <w:t>Argoff CE, Galer BS, Jensen MP, Oleka N, Gammaitoni AR</w:t>
        </w:r>
      </w:hyperlink>
      <w:r w:rsidR="008D0565" w:rsidRPr="00D61F73">
        <w:rPr>
          <w:rFonts w:ascii="Arial" w:hAnsi="Arial" w:cs="Arial"/>
        </w:rPr>
        <w:t xml:space="preserve">. Effectiveness of the lidocaine patch 5% on pain qualities in three chronic pain states: assessment with the Neuropathic Pain Scale. </w:t>
      </w:r>
      <w:r w:rsidR="008D0565" w:rsidRPr="00D61F73">
        <w:rPr>
          <w:rFonts w:ascii="Arial" w:hAnsi="Arial" w:cs="Arial"/>
          <w:i/>
        </w:rPr>
        <w:t>Curr Med Res Opin</w:t>
      </w:r>
      <w:r w:rsidR="008D0565" w:rsidRPr="00D61F73">
        <w:rPr>
          <w:rFonts w:ascii="Arial" w:hAnsi="Arial" w:cs="Arial"/>
        </w:rPr>
        <w:t>. 2004;20 Suppl 2:S21-8.</w:t>
      </w:r>
    </w:p>
    <w:p w14:paraId="092BEE74" w14:textId="77777777" w:rsidR="008D0565" w:rsidRPr="00D61F73" w:rsidRDefault="008D0565" w:rsidP="00D61F73">
      <w:pPr>
        <w:pStyle w:val="Footer"/>
        <w:tabs>
          <w:tab w:val="clear" w:pos="4320"/>
          <w:tab w:val="clear" w:pos="8640"/>
        </w:tabs>
        <w:rPr>
          <w:rFonts w:ascii="Arial" w:hAnsi="Arial" w:cs="Arial"/>
        </w:rPr>
      </w:pPr>
    </w:p>
    <w:p w14:paraId="75678279" w14:textId="77777777" w:rsidR="008D0565" w:rsidRPr="00D61F73" w:rsidRDefault="00751163" w:rsidP="00D61F73">
      <w:pPr>
        <w:pStyle w:val="Footer"/>
        <w:tabs>
          <w:tab w:val="clear" w:pos="4320"/>
          <w:tab w:val="clear" w:pos="8640"/>
        </w:tabs>
        <w:rPr>
          <w:rFonts w:ascii="Arial" w:hAnsi="Arial" w:cs="Arial"/>
        </w:rPr>
      </w:pPr>
      <w:hyperlink w:anchor="Arnold" w:history="1">
        <w:r w:rsidR="008D0565" w:rsidRPr="00D61F73">
          <w:rPr>
            <w:rStyle w:val="Hyperlink"/>
            <w:rFonts w:ascii="Arial" w:hAnsi="Arial" w:cs="Arial"/>
          </w:rPr>
          <w:t>Arnold LM, Goldenberg DL, Stanford SB, Lalonde JK, Sandhu HS, Keck PE Jr, Welge JA, Bishop F, Stanford KE, Hess EV, Hudson JI.</w:t>
        </w:r>
      </w:hyperlink>
      <w:r w:rsidR="008D0565" w:rsidRPr="00D61F73">
        <w:rPr>
          <w:rFonts w:ascii="Arial" w:hAnsi="Arial" w:cs="Arial"/>
        </w:rPr>
        <w:t xml:space="preserve"> Gabapentin in the treatment of fibromyalgia: a randomized, double-blind, placebo-controlled, multicenter trial. </w:t>
      </w:r>
      <w:r w:rsidR="008D0565" w:rsidRPr="00D61F73">
        <w:rPr>
          <w:rFonts w:ascii="Arial" w:hAnsi="Arial" w:cs="Arial"/>
          <w:i/>
          <w:iCs/>
        </w:rPr>
        <w:t>Arthritis Rheum.</w:t>
      </w:r>
      <w:r w:rsidR="008D0565" w:rsidRPr="00D61F73">
        <w:rPr>
          <w:rFonts w:ascii="Arial" w:hAnsi="Arial" w:cs="Arial"/>
        </w:rPr>
        <w:t xml:space="preserve"> 2007 Apr;56(4):1336-44.</w:t>
      </w:r>
    </w:p>
    <w:p w14:paraId="1F054DDA" w14:textId="77777777" w:rsidR="008D0565" w:rsidRPr="00D61F73" w:rsidRDefault="008D0565" w:rsidP="00D61F73">
      <w:pPr>
        <w:pStyle w:val="Footer"/>
        <w:tabs>
          <w:tab w:val="clear" w:pos="4320"/>
          <w:tab w:val="clear" w:pos="8640"/>
        </w:tabs>
        <w:rPr>
          <w:rFonts w:ascii="Arial" w:hAnsi="Arial" w:cs="Arial"/>
        </w:rPr>
      </w:pPr>
    </w:p>
    <w:p w14:paraId="29885B45" w14:textId="77777777" w:rsidR="008D0565" w:rsidRPr="00D61F73" w:rsidRDefault="00751163" w:rsidP="00D61F73">
      <w:pPr>
        <w:pStyle w:val="NormalWeb"/>
        <w:spacing w:before="0" w:beforeAutospacing="0" w:after="0" w:afterAutospacing="0"/>
        <w:rPr>
          <w:rFonts w:ascii="Arial" w:hAnsi="Arial" w:cs="Arial"/>
        </w:rPr>
      </w:pPr>
      <w:hyperlink w:anchor="Arnold2" w:history="1">
        <w:r w:rsidR="008D0565" w:rsidRPr="00D61F73">
          <w:rPr>
            <w:rStyle w:val="Hyperlink"/>
            <w:rFonts w:ascii="Arial" w:hAnsi="Arial" w:cs="Arial"/>
          </w:rPr>
          <w:t>Arnold LM, Rosen A, Pritchett YL, D'Souza DN, Goldstein DJ, Iyengar S, Wernicke JF.</w:t>
        </w:r>
      </w:hyperlink>
      <w:r w:rsidR="008D0565" w:rsidRPr="00D61F73">
        <w:rPr>
          <w:rFonts w:ascii="Arial" w:hAnsi="Arial" w:cs="Arial"/>
        </w:rPr>
        <w:t xml:space="preserve"> A randomized, double-blind, placebo-controlled trial of duloxetine in the treatment of women with fibromyalgia with or without major depressive disorder. </w:t>
      </w:r>
      <w:r w:rsidR="008D0565" w:rsidRPr="00D61F73">
        <w:rPr>
          <w:rFonts w:ascii="Arial" w:hAnsi="Arial" w:cs="Arial"/>
          <w:i/>
          <w:iCs/>
        </w:rPr>
        <w:t>Pain.</w:t>
      </w:r>
      <w:r w:rsidR="008D0565" w:rsidRPr="00D61F73">
        <w:rPr>
          <w:rFonts w:ascii="Arial" w:hAnsi="Arial" w:cs="Arial"/>
        </w:rPr>
        <w:t xml:space="preserve"> 2005 Dec 15;119(1-3):5-15.</w:t>
      </w:r>
    </w:p>
    <w:p w14:paraId="6F222CF2" w14:textId="77777777" w:rsidR="008D0565" w:rsidRPr="00D61F73" w:rsidRDefault="008D0565" w:rsidP="00D61F73">
      <w:pPr>
        <w:pStyle w:val="Footer"/>
        <w:tabs>
          <w:tab w:val="clear" w:pos="4320"/>
          <w:tab w:val="clear" w:pos="8640"/>
        </w:tabs>
        <w:rPr>
          <w:rFonts w:ascii="Arial" w:hAnsi="Arial" w:cs="Arial"/>
        </w:rPr>
      </w:pPr>
    </w:p>
    <w:p w14:paraId="0D2339AD" w14:textId="77777777" w:rsidR="008D0565" w:rsidRPr="00D61F73" w:rsidRDefault="00751163" w:rsidP="00D61F73">
      <w:pPr>
        <w:pStyle w:val="Footer"/>
        <w:tabs>
          <w:tab w:val="clear" w:pos="4320"/>
          <w:tab w:val="clear" w:pos="8640"/>
        </w:tabs>
        <w:rPr>
          <w:rStyle w:val="ti"/>
          <w:rFonts w:ascii="Arial" w:hAnsi="Arial" w:cs="Arial"/>
          <w:b/>
        </w:rPr>
      </w:pPr>
      <w:hyperlink w:anchor="Arnold3" w:history="1">
        <w:r w:rsidR="008D0565" w:rsidRPr="00D61F73">
          <w:rPr>
            <w:rStyle w:val="Hyperlink"/>
            <w:rFonts w:ascii="Arial" w:hAnsi="Arial" w:cs="Arial"/>
          </w:rPr>
          <w:t>Arnold LM</w:t>
        </w:r>
      </w:hyperlink>
      <w:r w:rsidR="008D0565" w:rsidRPr="00D61F73">
        <w:rPr>
          <w:rFonts w:ascii="Arial" w:hAnsi="Arial" w:cs="Arial"/>
        </w:rPr>
        <w:t xml:space="preserve">. Duloxetine and other antidepressants in the treatment of patients with fibromyalgia. </w:t>
      </w:r>
      <w:r w:rsidR="008D0565" w:rsidRPr="00D61F73">
        <w:rPr>
          <w:rStyle w:val="ti"/>
          <w:rFonts w:ascii="Arial" w:hAnsi="Arial" w:cs="Arial"/>
          <w:i/>
        </w:rPr>
        <w:t>Pain Med</w:t>
      </w:r>
      <w:r w:rsidR="008D0565" w:rsidRPr="00D61F73">
        <w:rPr>
          <w:rStyle w:val="ti"/>
          <w:rFonts w:ascii="Arial" w:hAnsi="Arial" w:cs="Arial"/>
        </w:rPr>
        <w:t>. 2007 Sep;8:S63-74</w:t>
      </w:r>
      <w:r w:rsidR="008D0565" w:rsidRPr="00D61F73">
        <w:rPr>
          <w:rStyle w:val="ti"/>
          <w:rFonts w:ascii="Arial" w:hAnsi="Arial" w:cs="Arial"/>
          <w:b/>
        </w:rPr>
        <w:t>.</w:t>
      </w:r>
    </w:p>
    <w:p w14:paraId="1B685BC5" w14:textId="77777777" w:rsidR="008D0565" w:rsidRPr="00D61F73" w:rsidRDefault="008D0565" w:rsidP="00D61F73">
      <w:pPr>
        <w:pStyle w:val="Footer"/>
        <w:tabs>
          <w:tab w:val="clear" w:pos="4320"/>
          <w:tab w:val="clear" w:pos="8640"/>
        </w:tabs>
        <w:rPr>
          <w:rFonts w:ascii="Arial" w:hAnsi="Arial" w:cs="Arial"/>
        </w:rPr>
      </w:pPr>
    </w:p>
    <w:p w14:paraId="0D9557B5" w14:textId="77777777" w:rsidR="008D0565" w:rsidRPr="00D61F73" w:rsidRDefault="00751163" w:rsidP="00D61F73">
      <w:pPr>
        <w:pStyle w:val="NormalWeb"/>
        <w:spacing w:before="0" w:beforeAutospacing="0" w:after="0" w:afterAutospacing="0"/>
        <w:rPr>
          <w:rFonts w:ascii="Arial" w:hAnsi="Arial" w:cs="Arial"/>
        </w:rPr>
      </w:pPr>
      <w:hyperlink w:anchor="Ashton" w:history="1">
        <w:r w:rsidR="008D0565" w:rsidRPr="00D61F73">
          <w:rPr>
            <w:rStyle w:val="Hyperlink"/>
            <w:rFonts w:ascii="Arial" w:hAnsi="Arial" w:cs="Arial"/>
          </w:rPr>
          <w:t>Ashton H.</w:t>
        </w:r>
      </w:hyperlink>
      <w:r w:rsidR="008D0565" w:rsidRPr="00D61F73">
        <w:rPr>
          <w:rFonts w:ascii="Arial" w:hAnsi="Arial" w:cs="Arial"/>
        </w:rPr>
        <w:t xml:space="preserve"> The diagnosis and management of benzodiazepine dependence. </w:t>
      </w:r>
      <w:r w:rsidR="008D0565" w:rsidRPr="00D61F73">
        <w:rPr>
          <w:rFonts w:ascii="Arial" w:hAnsi="Arial" w:cs="Arial"/>
          <w:i/>
          <w:iCs/>
        </w:rPr>
        <w:t>Curr Opin Psychiatry</w:t>
      </w:r>
      <w:r w:rsidR="008D0565" w:rsidRPr="00D61F73">
        <w:rPr>
          <w:rFonts w:ascii="Arial" w:hAnsi="Arial" w:cs="Arial"/>
        </w:rPr>
        <w:t>. 2005 May;18(3):249-55.</w:t>
      </w:r>
    </w:p>
    <w:p w14:paraId="355264A4" w14:textId="77777777" w:rsidR="008D0565" w:rsidRPr="00D61F73" w:rsidRDefault="008D0565" w:rsidP="00D61F73">
      <w:pPr>
        <w:pStyle w:val="Footer"/>
        <w:tabs>
          <w:tab w:val="clear" w:pos="4320"/>
          <w:tab w:val="clear" w:pos="8640"/>
        </w:tabs>
        <w:rPr>
          <w:rFonts w:ascii="Arial" w:hAnsi="Arial" w:cs="Arial"/>
        </w:rPr>
      </w:pPr>
    </w:p>
    <w:p w14:paraId="34EBAFA9" w14:textId="77777777" w:rsidR="008D0565" w:rsidRPr="00D61F73" w:rsidRDefault="00751163" w:rsidP="00D61F73">
      <w:pPr>
        <w:pStyle w:val="Footer"/>
        <w:tabs>
          <w:tab w:val="clear" w:pos="4320"/>
          <w:tab w:val="clear" w:pos="8640"/>
        </w:tabs>
        <w:rPr>
          <w:rFonts w:ascii="Arial" w:hAnsi="Arial" w:cs="Arial"/>
        </w:rPr>
      </w:pPr>
      <w:hyperlink w:anchor="Ashton1994" w:history="1">
        <w:r w:rsidR="008D0565" w:rsidRPr="00D61F73">
          <w:rPr>
            <w:rStyle w:val="Hyperlink"/>
            <w:rFonts w:ascii="Arial" w:hAnsi="Arial" w:cs="Arial"/>
          </w:rPr>
          <w:t>Ashton H</w:t>
        </w:r>
      </w:hyperlink>
      <w:r w:rsidR="008D0565" w:rsidRPr="00D61F73">
        <w:rPr>
          <w:rFonts w:ascii="Arial" w:hAnsi="Arial" w:cs="Arial"/>
        </w:rPr>
        <w:t xml:space="preserve">. The treatment of benzodiazepine dependence. </w:t>
      </w:r>
      <w:r w:rsidR="008D0565" w:rsidRPr="00D61F73">
        <w:rPr>
          <w:rFonts w:ascii="Arial" w:hAnsi="Arial" w:cs="Arial"/>
          <w:i/>
        </w:rPr>
        <w:t>Addiction.</w:t>
      </w:r>
      <w:r w:rsidR="008D0565" w:rsidRPr="00D61F73">
        <w:rPr>
          <w:rFonts w:ascii="Arial" w:hAnsi="Arial" w:cs="Arial"/>
        </w:rPr>
        <w:t xml:space="preserve"> 1994;89:1535-41.</w:t>
      </w:r>
    </w:p>
    <w:p w14:paraId="50BEB631" w14:textId="77777777" w:rsidR="008D0565" w:rsidRPr="00D61F73" w:rsidRDefault="008D0565" w:rsidP="00D61F73">
      <w:pPr>
        <w:pStyle w:val="Footer"/>
        <w:tabs>
          <w:tab w:val="clear" w:pos="4320"/>
          <w:tab w:val="clear" w:pos="8640"/>
        </w:tabs>
        <w:rPr>
          <w:rFonts w:ascii="Arial" w:hAnsi="Arial" w:cs="Arial"/>
        </w:rPr>
      </w:pPr>
    </w:p>
    <w:p w14:paraId="3F6060CC" w14:textId="77777777" w:rsidR="008D0565" w:rsidRPr="00D61F73" w:rsidRDefault="00751163" w:rsidP="00D61F73">
      <w:pPr>
        <w:pStyle w:val="Footer"/>
        <w:tabs>
          <w:tab w:val="clear" w:pos="4320"/>
          <w:tab w:val="clear" w:pos="8640"/>
        </w:tabs>
        <w:rPr>
          <w:rFonts w:ascii="Arial" w:hAnsi="Arial" w:cs="Arial"/>
        </w:rPr>
      </w:pPr>
      <w:hyperlink w:anchor="Ashton2009" w:history="1">
        <w:r w:rsidR="008D0565" w:rsidRPr="00D61F73">
          <w:rPr>
            <w:rStyle w:val="Hyperlink"/>
            <w:rFonts w:ascii="Arial" w:hAnsi="Arial" w:cs="Arial"/>
          </w:rPr>
          <w:t>Ashton CH</w:t>
        </w:r>
      </w:hyperlink>
      <w:r w:rsidR="008D0565" w:rsidRPr="00D61F73">
        <w:rPr>
          <w:rFonts w:ascii="Arial" w:hAnsi="Arial" w:cs="Arial"/>
        </w:rPr>
        <w:t xml:space="preserve">. Review: brief interventions, gradual dose reduction and psychological interventions increase benzodiazepine cessation compared with routine care. </w:t>
      </w:r>
      <w:r w:rsidR="008D0565" w:rsidRPr="00D61F73">
        <w:rPr>
          <w:rFonts w:ascii="Arial" w:hAnsi="Arial" w:cs="Arial"/>
          <w:i/>
        </w:rPr>
        <w:t>Evid Based Ment Health.</w:t>
      </w:r>
      <w:r w:rsidR="008D0565" w:rsidRPr="00D61F73">
        <w:rPr>
          <w:rFonts w:ascii="Arial" w:hAnsi="Arial" w:cs="Arial"/>
        </w:rPr>
        <w:t xml:space="preserve"> 2009;12:91. doi: 10.1136/ebmh.12.3.91.</w:t>
      </w:r>
    </w:p>
    <w:p w14:paraId="6F6E5AA2" w14:textId="77777777" w:rsidR="008D0565" w:rsidRPr="00D61F73" w:rsidRDefault="008D0565" w:rsidP="00D61F73">
      <w:pPr>
        <w:pStyle w:val="Footer"/>
        <w:tabs>
          <w:tab w:val="clear" w:pos="4320"/>
          <w:tab w:val="clear" w:pos="8640"/>
        </w:tabs>
        <w:rPr>
          <w:rFonts w:ascii="Arial" w:hAnsi="Arial" w:cs="Arial"/>
        </w:rPr>
      </w:pPr>
    </w:p>
    <w:p w14:paraId="7797E199" w14:textId="77777777" w:rsidR="008D0565" w:rsidRPr="00D61F73" w:rsidRDefault="00751163" w:rsidP="00D61F73">
      <w:pPr>
        <w:rPr>
          <w:rFonts w:ascii="Arial" w:hAnsi="Arial" w:cs="Arial"/>
        </w:rPr>
      </w:pPr>
      <w:hyperlink w:anchor="Asnis" w:history="1">
        <w:r w:rsidR="008D0565" w:rsidRPr="00D61F73">
          <w:rPr>
            <w:rStyle w:val="Hyperlink"/>
            <w:rFonts w:ascii="Arial" w:hAnsi="Arial" w:cs="Arial"/>
          </w:rPr>
          <w:t>Asnis GM, Kohn SR, Henderson M, Brown NL</w:t>
        </w:r>
      </w:hyperlink>
      <w:r w:rsidR="008D0565" w:rsidRPr="00D61F73">
        <w:rPr>
          <w:rFonts w:ascii="Arial" w:hAnsi="Arial" w:cs="Arial"/>
        </w:rPr>
        <w:t xml:space="preserve">. SSRIs versus non-SSRIs in post-traumatic stress disorder: an update with recommendations. </w:t>
      </w:r>
      <w:r w:rsidR="008D0565" w:rsidRPr="00D61F73">
        <w:rPr>
          <w:rFonts w:ascii="Arial" w:hAnsi="Arial" w:cs="Arial"/>
          <w:i/>
          <w:iCs/>
        </w:rPr>
        <w:t>Drugs</w:t>
      </w:r>
      <w:r w:rsidR="008D0565" w:rsidRPr="00D61F73">
        <w:rPr>
          <w:rFonts w:ascii="Arial" w:hAnsi="Arial" w:cs="Arial"/>
        </w:rPr>
        <w:t>. 2004;64(4):383-404.</w:t>
      </w:r>
    </w:p>
    <w:p w14:paraId="18B6A864" w14:textId="77777777" w:rsidR="008D0565" w:rsidRPr="00D61F73" w:rsidRDefault="008D0565" w:rsidP="00D61F73">
      <w:pPr>
        <w:rPr>
          <w:rFonts w:ascii="Arial" w:hAnsi="Arial" w:cs="Arial"/>
        </w:rPr>
      </w:pPr>
    </w:p>
    <w:p w14:paraId="3266B6E8" w14:textId="77777777" w:rsidR="008D0565" w:rsidRPr="00D61F73" w:rsidRDefault="00751163" w:rsidP="00D61F73">
      <w:pPr>
        <w:rPr>
          <w:rFonts w:ascii="Arial" w:hAnsi="Arial" w:cs="Arial"/>
        </w:rPr>
      </w:pPr>
      <w:hyperlink w:anchor="Attal" w:history="1">
        <w:r w:rsidR="008D0565" w:rsidRPr="00D61F73">
          <w:rPr>
            <w:rStyle w:val="Hyperlink"/>
            <w:rFonts w:ascii="Arial" w:hAnsi="Arial" w:cs="Arial"/>
          </w:rPr>
          <w:t>Attal N, Cruccu G, Haanpää M, Hansson P, Jensen TS, Nurmikko T, Sampaio C, Sindrup S, Wiffen P; EFNS Task Force</w:t>
        </w:r>
      </w:hyperlink>
      <w:r w:rsidR="008D0565" w:rsidRPr="00D61F73">
        <w:rPr>
          <w:rFonts w:ascii="Arial" w:hAnsi="Arial" w:cs="Arial"/>
        </w:rPr>
        <w:t xml:space="preserve">. EFNS guidelines on pharmacological treatment of neuropathic pain. </w:t>
      </w:r>
      <w:r w:rsidR="008D0565" w:rsidRPr="00D61F73">
        <w:rPr>
          <w:rFonts w:ascii="Arial" w:hAnsi="Arial" w:cs="Arial"/>
          <w:i/>
        </w:rPr>
        <w:t>Eur J Neurol</w:t>
      </w:r>
      <w:r w:rsidR="008D0565" w:rsidRPr="00D61F73">
        <w:rPr>
          <w:rFonts w:ascii="Arial" w:hAnsi="Arial" w:cs="Arial"/>
        </w:rPr>
        <w:t xml:space="preserve"> 2006;13:1153-69.</w:t>
      </w:r>
    </w:p>
    <w:p w14:paraId="2983AD10" w14:textId="77777777" w:rsidR="008D0565" w:rsidRPr="00D61F73" w:rsidRDefault="008D0565" w:rsidP="00D61F73">
      <w:pPr>
        <w:rPr>
          <w:rFonts w:ascii="Arial" w:hAnsi="Arial" w:cs="Arial"/>
        </w:rPr>
      </w:pPr>
    </w:p>
    <w:p w14:paraId="3B92FCEE" w14:textId="77777777" w:rsidR="008D0565" w:rsidRPr="00D61F73" w:rsidRDefault="00751163" w:rsidP="00D61F73">
      <w:pPr>
        <w:rPr>
          <w:rFonts w:ascii="Arial" w:hAnsi="Arial" w:cs="Arial"/>
        </w:rPr>
      </w:pPr>
      <w:hyperlink w:anchor="Backonja2004" w:history="1">
        <w:r w:rsidR="008D0565" w:rsidRPr="00D61F73">
          <w:rPr>
            <w:rStyle w:val="Hyperlink"/>
            <w:rFonts w:ascii="Arial" w:hAnsi="Arial" w:cs="Arial"/>
          </w:rPr>
          <w:t>Backonja MM, Serra J</w:t>
        </w:r>
      </w:hyperlink>
      <w:r w:rsidR="008D0565" w:rsidRPr="00D61F73">
        <w:rPr>
          <w:rFonts w:ascii="Arial" w:hAnsi="Arial" w:cs="Arial"/>
        </w:rPr>
        <w:t xml:space="preserve">. Pharmacologic management part 1: better-studied neuropathic pain diseases. </w:t>
      </w:r>
      <w:r w:rsidR="008D0565" w:rsidRPr="00D61F73">
        <w:rPr>
          <w:rFonts w:ascii="Arial" w:hAnsi="Arial" w:cs="Arial"/>
          <w:i/>
        </w:rPr>
        <w:t>Pain Med</w:t>
      </w:r>
      <w:r w:rsidR="008D0565" w:rsidRPr="00D61F73">
        <w:rPr>
          <w:rFonts w:ascii="Arial" w:hAnsi="Arial" w:cs="Arial"/>
        </w:rPr>
        <w:t>. 2004;5:S28-47.</w:t>
      </w:r>
    </w:p>
    <w:p w14:paraId="10FE0032" w14:textId="77777777" w:rsidR="008D0565" w:rsidRPr="00D61F73" w:rsidRDefault="008D0565" w:rsidP="00D61F73">
      <w:pPr>
        <w:rPr>
          <w:rFonts w:ascii="Arial" w:hAnsi="Arial" w:cs="Arial"/>
        </w:rPr>
      </w:pPr>
    </w:p>
    <w:p w14:paraId="7B5A2772" w14:textId="77777777" w:rsidR="008D0565" w:rsidRPr="00D61F73" w:rsidRDefault="00751163" w:rsidP="00D61F73">
      <w:pPr>
        <w:rPr>
          <w:rFonts w:ascii="Arial" w:hAnsi="Arial" w:cs="Arial"/>
        </w:rPr>
      </w:pPr>
      <w:hyperlink w:anchor="Backonja2002" w:history="1">
        <w:r w:rsidR="008D0565" w:rsidRPr="00D61F73">
          <w:rPr>
            <w:rStyle w:val="Hyperlink"/>
            <w:rFonts w:ascii="Arial" w:hAnsi="Arial" w:cs="Arial"/>
            <w:bCs/>
          </w:rPr>
          <w:t>Backonja MM</w:t>
        </w:r>
        <w:r w:rsidR="008D0565" w:rsidRPr="00D61F73">
          <w:rPr>
            <w:rStyle w:val="Hyperlink"/>
            <w:rFonts w:ascii="Arial" w:hAnsi="Arial" w:cs="Arial"/>
          </w:rPr>
          <w:t>.</w:t>
        </w:r>
      </w:hyperlink>
      <w:r w:rsidR="008D0565" w:rsidRPr="00D61F73">
        <w:rPr>
          <w:rFonts w:ascii="Arial" w:hAnsi="Arial" w:cs="Arial"/>
        </w:rPr>
        <w:t xml:space="preserve"> Use of anticonvulsants for treatment of neuropathic pain. </w:t>
      </w:r>
      <w:r w:rsidR="008D0565" w:rsidRPr="00D61F73">
        <w:rPr>
          <w:rFonts w:ascii="Arial" w:hAnsi="Arial" w:cs="Arial"/>
          <w:i/>
        </w:rPr>
        <w:t>Neurology</w:t>
      </w:r>
      <w:r w:rsidR="008D0565" w:rsidRPr="00D61F73">
        <w:rPr>
          <w:rFonts w:ascii="Arial" w:hAnsi="Arial" w:cs="Arial"/>
        </w:rPr>
        <w:t xml:space="preserve"> 2002;10:59:s14-7.</w:t>
      </w:r>
    </w:p>
    <w:p w14:paraId="4CA843D6" w14:textId="77777777" w:rsidR="008D0565" w:rsidRPr="00D61F73" w:rsidRDefault="008D0565" w:rsidP="00D61F73">
      <w:pPr>
        <w:rPr>
          <w:rFonts w:ascii="Arial" w:hAnsi="Arial" w:cs="Arial"/>
        </w:rPr>
      </w:pPr>
    </w:p>
    <w:p w14:paraId="6E3F59A8" w14:textId="77777777" w:rsidR="008D0565" w:rsidRPr="00D61F73" w:rsidRDefault="00751163" w:rsidP="00D61F73">
      <w:pPr>
        <w:rPr>
          <w:rFonts w:ascii="Arial" w:hAnsi="Arial" w:cs="Arial"/>
        </w:rPr>
      </w:pPr>
      <w:hyperlink w:anchor="Backonja1998" w:history="1">
        <w:r w:rsidR="008D0565" w:rsidRPr="00D61F73">
          <w:rPr>
            <w:rStyle w:val="Hyperlink"/>
            <w:rFonts w:ascii="Arial" w:hAnsi="Arial" w:cs="Arial"/>
          </w:rPr>
          <w:t>Backonja M, Beydoun A, Edwards KR, Schwartz SL, Fonseca V, Hes M, LaMoreaux L, Garofalo E.</w:t>
        </w:r>
      </w:hyperlink>
      <w:r w:rsidR="008D0565" w:rsidRPr="00D61F73">
        <w:rPr>
          <w:rFonts w:ascii="Arial" w:hAnsi="Arial" w:cs="Arial"/>
        </w:rPr>
        <w:t xml:space="preserve"> Gabapentin for the symptomatic treatment of painful neuropathy in patients with diabetes mellitus: a randomized controlled trial. </w:t>
      </w:r>
      <w:r w:rsidR="008D0565" w:rsidRPr="00D61F73">
        <w:rPr>
          <w:rFonts w:ascii="Arial" w:hAnsi="Arial" w:cs="Arial"/>
          <w:i/>
          <w:iCs/>
        </w:rPr>
        <w:t>JAMA</w:t>
      </w:r>
      <w:r w:rsidR="008D0565" w:rsidRPr="00D61F73">
        <w:rPr>
          <w:rFonts w:ascii="Arial" w:hAnsi="Arial" w:cs="Arial"/>
        </w:rPr>
        <w:t>. 1998 Dec 2;280(21):1831-6.</w:t>
      </w:r>
    </w:p>
    <w:p w14:paraId="0F5F77F9" w14:textId="77777777" w:rsidR="008D0565" w:rsidRPr="00D61F73" w:rsidRDefault="008D0565" w:rsidP="00D61F73">
      <w:pPr>
        <w:rPr>
          <w:rFonts w:ascii="Arial" w:hAnsi="Arial" w:cs="Arial"/>
        </w:rPr>
      </w:pPr>
    </w:p>
    <w:p w14:paraId="5C8A3B56" w14:textId="77777777" w:rsidR="008D0565" w:rsidRPr="00D61F73" w:rsidRDefault="00751163" w:rsidP="00D61F73">
      <w:pPr>
        <w:rPr>
          <w:rFonts w:ascii="Arial" w:hAnsi="Arial" w:cs="Arial"/>
        </w:rPr>
      </w:pPr>
      <w:hyperlink w:anchor="Bader2013" w:history="1">
        <w:r w:rsidR="008D0565" w:rsidRPr="00D61F73">
          <w:rPr>
            <w:rStyle w:val="Hyperlink"/>
            <w:rFonts w:ascii="Arial" w:hAnsi="Arial" w:cs="Arial"/>
          </w:rPr>
          <w:t>Bader S, Dürk T, Becker G.</w:t>
        </w:r>
      </w:hyperlink>
      <w:r w:rsidR="008D0565" w:rsidRPr="00D61F73">
        <w:rPr>
          <w:rFonts w:ascii="Arial" w:hAnsi="Arial" w:cs="Arial"/>
        </w:rPr>
        <w:t xml:space="preserve"> Methylnaltrexone for the treatment of opioid-induced constipation. </w:t>
      </w:r>
      <w:r w:rsidR="008D0565" w:rsidRPr="00D61F73">
        <w:rPr>
          <w:rFonts w:ascii="Arial" w:hAnsi="Arial" w:cs="Arial"/>
          <w:i/>
          <w:iCs/>
        </w:rPr>
        <w:t>Expert Rev Gastroenterol Hepatol</w:t>
      </w:r>
      <w:r w:rsidR="008D0565" w:rsidRPr="00D61F73">
        <w:rPr>
          <w:rFonts w:ascii="Arial" w:hAnsi="Arial" w:cs="Arial"/>
        </w:rPr>
        <w:t>. 2013 Jan;7(1):13-26. doi: 10.1586/egh.12.63.</w:t>
      </w:r>
    </w:p>
    <w:p w14:paraId="3E132EB4" w14:textId="77777777" w:rsidR="008D0565" w:rsidRPr="00D61F73" w:rsidRDefault="008D0565" w:rsidP="00D61F73">
      <w:pPr>
        <w:rPr>
          <w:rFonts w:ascii="Arial" w:hAnsi="Arial" w:cs="Arial"/>
        </w:rPr>
      </w:pPr>
    </w:p>
    <w:p w14:paraId="00F38EC7" w14:textId="77777777" w:rsidR="00BF4343" w:rsidRPr="00D61F73" w:rsidRDefault="00751163" w:rsidP="00D61F73">
      <w:pPr>
        <w:rPr>
          <w:rFonts w:ascii="Arial" w:hAnsi="Arial" w:cs="Arial"/>
        </w:rPr>
      </w:pPr>
      <w:hyperlink w:anchor="Bailey2014" w:history="1">
        <w:r w:rsidR="00BF4343" w:rsidRPr="00D61F73">
          <w:rPr>
            <w:rStyle w:val="Hyperlink"/>
            <w:rFonts w:ascii="Arial" w:hAnsi="Arial" w:cs="Arial"/>
          </w:rPr>
          <w:t>Bailey AM, Wermeling DP</w:t>
        </w:r>
      </w:hyperlink>
      <w:r w:rsidR="00BF4343" w:rsidRPr="00D61F73">
        <w:rPr>
          <w:rFonts w:ascii="Arial" w:hAnsi="Arial" w:cs="Arial"/>
        </w:rPr>
        <w:t>. Naloxone for opioid overdose prevention: pharmacists' role in community-based practice settings. Ann Pharmacother. 2014; 48:601-6.</w:t>
      </w:r>
    </w:p>
    <w:p w14:paraId="1AB9248A" w14:textId="77777777" w:rsidR="00BF4343" w:rsidRPr="00D61F73" w:rsidRDefault="00BF4343" w:rsidP="00D61F73">
      <w:pPr>
        <w:rPr>
          <w:rFonts w:ascii="Arial" w:hAnsi="Arial" w:cs="Arial"/>
        </w:rPr>
      </w:pPr>
    </w:p>
    <w:p w14:paraId="4BBB771C" w14:textId="77777777" w:rsidR="008D0565" w:rsidRPr="00D61F73" w:rsidRDefault="00751163" w:rsidP="00D61F73">
      <w:pPr>
        <w:rPr>
          <w:rFonts w:ascii="Arial" w:hAnsi="Arial" w:cs="Arial"/>
        </w:rPr>
      </w:pPr>
      <w:hyperlink w:anchor="Baillargeon" w:history="1">
        <w:r w:rsidR="008D0565" w:rsidRPr="00D61F73">
          <w:rPr>
            <w:rStyle w:val="Hyperlink"/>
            <w:rFonts w:ascii="Arial" w:hAnsi="Arial" w:cs="Arial"/>
          </w:rPr>
          <w:t>Baillargeon L, Landreville P, Verreault R, Beauchemin JP, Gregoire JP, Morin CM</w:t>
        </w:r>
      </w:hyperlink>
      <w:r w:rsidR="008D0565" w:rsidRPr="00D61F73">
        <w:rPr>
          <w:rFonts w:ascii="Arial" w:hAnsi="Arial" w:cs="Arial"/>
        </w:rPr>
        <w:t xml:space="preserve">. Discontinuation of benzodiazepines among older insomniac adults treated with cognitive-behavioural therapy combined with gradual tapering: a randomized trial. </w:t>
      </w:r>
      <w:r w:rsidR="008D0565" w:rsidRPr="00D61F73">
        <w:rPr>
          <w:rFonts w:ascii="Arial" w:hAnsi="Arial" w:cs="Arial"/>
          <w:i/>
          <w:iCs/>
        </w:rPr>
        <w:t>CMAJ</w:t>
      </w:r>
      <w:r w:rsidR="008D0565" w:rsidRPr="00D61F73">
        <w:rPr>
          <w:rFonts w:ascii="Arial" w:hAnsi="Arial" w:cs="Arial"/>
        </w:rPr>
        <w:t>. 2003 Nov 11;169(10):1015-20.</w:t>
      </w:r>
    </w:p>
    <w:p w14:paraId="71D53C42" w14:textId="77777777" w:rsidR="008D0565" w:rsidRPr="00D61F73" w:rsidRDefault="008D0565" w:rsidP="00D61F73">
      <w:pPr>
        <w:rPr>
          <w:rFonts w:ascii="Arial" w:hAnsi="Arial" w:cs="Arial"/>
        </w:rPr>
      </w:pPr>
    </w:p>
    <w:p w14:paraId="1C759249" w14:textId="77777777" w:rsidR="008D0565" w:rsidRPr="00D61F73" w:rsidRDefault="00751163" w:rsidP="00D61F73">
      <w:pPr>
        <w:rPr>
          <w:rFonts w:ascii="Arial" w:hAnsi="Arial" w:cs="Arial"/>
        </w:rPr>
      </w:pPr>
      <w:hyperlink w:anchor="Baldwin" w:history="1">
        <w:r w:rsidR="008D0565" w:rsidRPr="00D61F73">
          <w:rPr>
            <w:rStyle w:val="Hyperlink"/>
            <w:rFonts w:ascii="Arial" w:hAnsi="Arial" w:cs="Arial"/>
          </w:rPr>
          <w:t>Baldwin DS, Anderson IM, Nutt DJ, Bandelow B, Bond A, Davidson JR, den Boer JA, Fineberg NA, Knapp M, Scott J, Wittchen HU; British Association for Psychopharmacology.</w:t>
        </w:r>
      </w:hyperlink>
      <w:r w:rsidR="008D0565" w:rsidRPr="00D61F73">
        <w:rPr>
          <w:rFonts w:ascii="Arial" w:hAnsi="Arial" w:cs="Arial"/>
        </w:rPr>
        <w:t xml:space="preserve"> Evidence-based guidelines for the pharmacological treatment of anxiety disorders: recommendations from the British Association for Psychopharmacology. </w:t>
      </w:r>
      <w:r w:rsidR="008D0565" w:rsidRPr="00D61F73">
        <w:rPr>
          <w:rFonts w:ascii="Arial" w:hAnsi="Arial" w:cs="Arial"/>
          <w:i/>
        </w:rPr>
        <w:t>J Psychopharmacol</w:t>
      </w:r>
      <w:r w:rsidR="008D0565" w:rsidRPr="00D61F73">
        <w:rPr>
          <w:rFonts w:ascii="Arial" w:hAnsi="Arial" w:cs="Arial"/>
        </w:rPr>
        <w:t>. 2005;19:567-96.</w:t>
      </w:r>
    </w:p>
    <w:p w14:paraId="6579B9FB" w14:textId="77777777" w:rsidR="008D0565" w:rsidRPr="00D61F73" w:rsidRDefault="008D0565" w:rsidP="00D61F73">
      <w:pPr>
        <w:rPr>
          <w:rFonts w:ascii="Arial" w:hAnsi="Arial" w:cs="Arial"/>
        </w:rPr>
      </w:pPr>
    </w:p>
    <w:p w14:paraId="09E0CC9F" w14:textId="77777777" w:rsidR="008D0565" w:rsidRPr="00D61F73" w:rsidRDefault="00751163" w:rsidP="00D61F73">
      <w:pPr>
        <w:rPr>
          <w:rFonts w:ascii="Arial" w:hAnsi="Arial" w:cs="Arial"/>
        </w:rPr>
      </w:pPr>
      <w:hyperlink w:anchor="Bandelow" w:history="1">
        <w:r w:rsidR="008D0565" w:rsidRPr="00D61F73">
          <w:rPr>
            <w:rStyle w:val="Hyperlink"/>
            <w:rFonts w:ascii="Arial" w:hAnsi="Arial" w:cs="Arial"/>
          </w:rPr>
          <w:t>Bandelow B, Zohar J, Hollander E, Kasper S, Möller HJ; World Federation of Societies of Biological Psychiatry Task Force on Treatment Guidelines for Anxiety, Obsessive-Compulsive and Posttraumatic Stress Disorders.</w:t>
        </w:r>
      </w:hyperlink>
      <w:r w:rsidR="008D0565" w:rsidRPr="00D61F73">
        <w:rPr>
          <w:rFonts w:ascii="Arial" w:hAnsi="Arial" w:cs="Arial"/>
        </w:rPr>
        <w:t xml:space="preserve"> World Federation of Societies of Biological Psychiatry </w:t>
      </w:r>
      <w:r w:rsidR="008D0565" w:rsidRPr="00D61F73">
        <w:rPr>
          <w:rFonts w:ascii="Arial" w:hAnsi="Arial" w:cs="Arial"/>
        </w:rPr>
        <w:lastRenderedPageBreak/>
        <w:t xml:space="preserve">(WFSBP) guidelines for the pharmacological treatment of anxiety, obsessive-compulsive and posttraumatic stress disorders. </w:t>
      </w:r>
      <w:r w:rsidR="008D0565" w:rsidRPr="00D61F73">
        <w:rPr>
          <w:rFonts w:ascii="Arial" w:hAnsi="Arial" w:cs="Arial"/>
          <w:i/>
        </w:rPr>
        <w:t>World J Biol Psychiatry</w:t>
      </w:r>
      <w:r w:rsidR="008D0565" w:rsidRPr="00D61F73">
        <w:rPr>
          <w:rFonts w:ascii="Arial" w:hAnsi="Arial" w:cs="Arial"/>
        </w:rPr>
        <w:t>. 2002;3:171-99</w:t>
      </w:r>
    </w:p>
    <w:p w14:paraId="10169B99" w14:textId="77777777" w:rsidR="008D0565" w:rsidRPr="00D61F73" w:rsidRDefault="008D0565" w:rsidP="00D61F73">
      <w:pPr>
        <w:rPr>
          <w:rFonts w:ascii="Arial" w:hAnsi="Arial" w:cs="Arial"/>
        </w:rPr>
      </w:pPr>
    </w:p>
    <w:p w14:paraId="4E5BFA06" w14:textId="77777777" w:rsidR="008D0565" w:rsidRPr="00D61F73" w:rsidRDefault="00751163" w:rsidP="00D61F73">
      <w:pPr>
        <w:rPr>
          <w:rFonts w:ascii="Arial" w:hAnsi="Arial" w:cs="Arial"/>
        </w:rPr>
      </w:pPr>
      <w:hyperlink w:anchor="Baraf2011" w:history="1">
        <w:r w:rsidR="008D0565" w:rsidRPr="00D61F73">
          <w:rPr>
            <w:rStyle w:val="Hyperlink"/>
            <w:rFonts w:ascii="Arial" w:hAnsi="Arial" w:cs="Arial"/>
          </w:rPr>
          <w:t>Baraf HS, Gloth FM, Barthel HR, Gold MS, Altman RD.</w:t>
        </w:r>
      </w:hyperlink>
      <w:r w:rsidR="008D0565" w:rsidRPr="00D61F73">
        <w:rPr>
          <w:rFonts w:ascii="Arial" w:hAnsi="Arial" w:cs="Arial"/>
        </w:rPr>
        <w:t xml:space="preserve"> Safety and efficacy of topical diclofenac sodium gel for knee osteoarthritis in elderly and younger patients: pooled data from three randomized, double-blind, parallel-group, placebo-controlled, multicentre trials. </w:t>
      </w:r>
      <w:r w:rsidR="008D0565" w:rsidRPr="00D61F73">
        <w:rPr>
          <w:rFonts w:ascii="Arial" w:hAnsi="Arial" w:cs="Arial"/>
          <w:i/>
          <w:iCs/>
        </w:rPr>
        <w:t>Drugs Aging</w:t>
      </w:r>
      <w:r w:rsidR="008D0565" w:rsidRPr="00D61F73">
        <w:rPr>
          <w:rFonts w:ascii="Arial" w:hAnsi="Arial" w:cs="Arial"/>
        </w:rPr>
        <w:t>. 2011 Jan 1;28(1):27-40.</w:t>
      </w:r>
    </w:p>
    <w:p w14:paraId="39938FEC" w14:textId="77777777" w:rsidR="008D0565" w:rsidRPr="00D61F73" w:rsidRDefault="008D0565" w:rsidP="00D61F73">
      <w:pPr>
        <w:rPr>
          <w:rFonts w:ascii="Arial" w:hAnsi="Arial" w:cs="Arial"/>
        </w:rPr>
      </w:pPr>
    </w:p>
    <w:p w14:paraId="6D051F1B" w14:textId="77777777" w:rsidR="008D0565" w:rsidRPr="00D61F73" w:rsidRDefault="00751163" w:rsidP="00D61F73">
      <w:pPr>
        <w:rPr>
          <w:rFonts w:ascii="Arial" w:hAnsi="Arial" w:cs="Arial"/>
        </w:rPr>
      </w:pPr>
      <w:hyperlink w:anchor="Barbaud2009" w:history="1">
        <w:r w:rsidR="008D0565" w:rsidRPr="00D61F73">
          <w:rPr>
            <w:rStyle w:val="Hyperlink"/>
            <w:rFonts w:ascii="Arial" w:hAnsi="Arial" w:cs="Arial"/>
          </w:rPr>
          <w:t>Barbaud A</w:t>
        </w:r>
      </w:hyperlink>
      <w:r w:rsidR="008D0565" w:rsidRPr="00D61F73">
        <w:rPr>
          <w:rFonts w:ascii="Arial" w:hAnsi="Arial" w:cs="Arial"/>
        </w:rPr>
        <w:t xml:space="preserve">. Contact dermatitis due to topical drugs. </w:t>
      </w:r>
      <w:r w:rsidR="008D0565" w:rsidRPr="00D61F73">
        <w:rPr>
          <w:rFonts w:ascii="Arial" w:hAnsi="Arial" w:cs="Arial"/>
          <w:i/>
        </w:rPr>
        <w:t>G Ital Dermatol Venereol</w:t>
      </w:r>
      <w:r w:rsidR="008D0565" w:rsidRPr="00D61F73">
        <w:rPr>
          <w:rFonts w:ascii="Arial" w:hAnsi="Arial" w:cs="Arial"/>
        </w:rPr>
        <w:t>. 2009;144:527-36.</w:t>
      </w:r>
    </w:p>
    <w:p w14:paraId="78874EDC" w14:textId="77777777" w:rsidR="008D0565" w:rsidRPr="00D61F73" w:rsidRDefault="008D0565" w:rsidP="00D61F73">
      <w:pPr>
        <w:rPr>
          <w:rFonts w:ascii="Arial" w:hAnsi="Arial" w:cs="Arial"/>
        </w:rPr>
      </w:pPr>
    </w:p>
    <w:p w14:paraId="79E93818" w14:textId="77777777" w:rsidR="008D0565" w:rsidRPr="00D61F73" w:rsidRDefault="00751163" w:rsidP="00D61F73">
      <w:pPr>
        <w:rPr>
          <w:rFonts w:ascii="Arial" w:hAnsi="Arial" w:cs="Arial"/>
        </w:rPr>
      </w:pPr>
      <w:hyperlink w:anchor="Barbui" w:history="1">
        <w:r w:rsidR="008D0565" w:rsidRPr="00D61F73">
          <w:rPr>
            <w:rStyle w:val="Hyperlink"/>
            <w:rFonts w:ascii="Arial" w:hAnsi="Arial" w:cs="Arial"/>
          </w:rPr>
          <w:t>Barbui C, Guaiana G, Hotopf M</w:t>
        </w:r>
      </w:hyperlink>
      <w:r w:rsidR="008D0565" w:rsidRPr="00D61F73">
        <w:rPr>
          <w:rFonts w:ascii="Arial" w:hAnsi="Arial" w:cs="Arial"/>
        </w:rPr>
        <w:t xml:space="preserve">. Amitriptyline for inpatients and SSRIs for outpatients with depression? Systematic review and meta-regression analysis. </w:t>
      </w:r>
      <w:r w:rsidR="008D0565" w:rsidRPr="00D61F73">
        <w:rPr>
          <w:rFonts w:ascii="Arial" w:hAnsi="Arial" w:cs="Arial"/>
          <w:i/>
          <w:iCs/>
        </w:rPr>
        <w:t>Pharmacopsychiatry.</w:t>
      </w:r>
      <w:r w:rsidR="008D0565" w:rsidRPr="00D61F73">
        <w:rPr>
          <w:rFonts w:ascii="Arial" w:hAnsi="Arial" w:cs="Arial"/>
        </w:rPr>
        <w:t xml:space="preserve"> 2004 May;37(3):93-7.</w:t>
      </w:r>
    </w:p>
    <w:p w14:paraId="0319D966" w14:textId="77777777" w:rsidR="008D0565" w:rsidRPr="00D61F73" w:rsidRDefault="008D0565" w:rsidP="00D61F73">
      <w:pPr>
        <w:rPr>
          <w:rFonts w:ascii="Arial" w:hAnsi="Arial" w:cs="Arial"/>
        </w:rPr>
      </w:pPr>
    </w:p>
    <w:p w14:paraId="11B5C818" w14:textId="77777777" w:rsidR="008D0565" w:rsidRPr="00D61F73" w:rsidRDefault="00751163" w:rsidP="00D61F73">
      <w:pPr>
        <w:rPr>
          <w:rFonts w:ascii="Arial" w:hAnsi="Arial" w:cs="Arial"/>
        </w:rPr>
      </w:pPr>
      <w:hyperlink w:anchor="Bart2012" w:history="1">
        <w:r w:rsidR="008D0565" w:rsidRPr="00D61F73">
          <w:rPr>
            <w:rStyle w:val="Hyperlink"/>
            <w:rFonts w:ascii="Arial" w:hAnsi="Arial" w:cs="Arial"/>
          </w:rPr>
          <w:t>Bart G</w:t>
        </w:r>
      </w:hyperlink>
      <w:r w:rsidR="008D0565" w:rsidRPr="00D61F73">
        <w:rPr>
          <w:rFonts w:ascii="Arial" w:hAnsi="Arial" w:cs="Arial"/>
        </w:rPr>
        <w:t xml:space="preserve">. Maintenance medication for opiate addiction: the foundation of recovery. </w:t>
      </w:r>
      <w:r w:rsidR="008D0565" w:rsidRPr="00D61F73">
        <w:rPr>
          <w:rFonts w:ascii="Arial" w:hAnsi="Arial" w:cs="Arial"/>
          <w:i/>
          <w:iCs/>
        </w:rPr>
        <w:t xml:space="preserve">J Addict Dis. </w:t>
      </w:r>
      <w:r w:rsidR="008D0565" w:rsidRPr="00D61F73">
        <w:rPr>
          <w:rFonts w:ascii="Arial" w:hAnsi="Arial" w:cs="Arial"/>
        </w:rPr>
        <w:t>2012;31(3):207-25.</w:t>
      </w:r>
    </w:p>
    <w:p w14:paraId="05C9F061" w14:textId="77777777" w:rsidR="008D0565" w:rsidRPr="00D61F73" w:rsidRDefault="008D0565" w:rsidP="00D61F73">
      <w:pPr>
        <w:rPr>
          <w:rFonts w:ascii="Arial" w:hAnsi="Arial" w:cs="Arial"/>
        </w:rPr>
      </w:pPr>
    </w:p>
    <w:p w14:paraId="2F177170" w14:textId="77777777" w:rsidR="008D0565" w:rsidRPr="00D61F73" w:rsidRDefault="00751163" w:rsidP="00D61F73">
      <w:pPr>
        <w:rPr>
          <w:rFonts w:ascii="Arial" w:hAnsi="Arial" w:cs="Arial"/>
        </w:rPr>
      </w:pPr>
      <w:hyperlink w:anchor="Bartels" w:history="1">
        <w:r w:rsidR="008D0565" w:rsidRPr="00D61F73">
          <w:rPr>
            <w:rStyle w:val="Hyperlink"/>
            <w:rFonts w:ascii="Arial" w:hAnsi="Arial" w:cs="Arial"/>
          </w:rPr>
          <w:t>Bartels S, Sivilotti M, Crosby D, Richard J</w:t>
        </w:r>
      </w:hyperlink>
      <w:r w:rsidR="008D0565" w:rsidRPr="00D61F73">
        <w:rPr>
          <w:rFonts w:ascii="Arial" w:hAnsi="Arial" w:cs="Arial"/>
        </w:rPr>
        <w:t xml:space="preserve">. Are recommended doses of acetaminophen hepatotoxic for recently abstinent alcoholics? A randomized trial. </w:t>
      </w:r>
      <w:r w:rsidR="008D0565" w:rsidRPr="00D61F73">
        <w:rPr>
          <w:rFonts w:ascii="Arial" w:hAnsi="Arial" w:cs="Arial"/>
          <w:i/>
        </w:rPr>
        <w:t>Clin Toxicol (Phila).</w:t>
      </w:r>
      <w:r w:rsidR="008D0565" w:rsidRPr="00D61F73">
        <w:rPr>
          <w:rFonts w:ascii="Arial" w:hAnsi="Arial" w:cs="Arial"/>
        </w:rPr>
        <w:t xml:space="preserve"> 2008;46:243-9.</w:t>
      </w:r>
    </w:p>
    <w:p w14:paraId="31679202" w14:textId="77777777" w:rsidR="008D0565" w:rsidRPr="00D61F73" w:rsidRDefault="00751163" w:rsidP="00D61F73">
      <w:pPr>
        <w:rPr>
          <w:rFonts w:ascii="Arial" w:hAnsi="Arial" w:cs="Arial"/>
        </w:rPr>
      </w:pPr>
      <w:hyperlink w:anchor="Beletsky2015" w:history="1">
        <w:r w:rsidR="0074677D" w:rsidRPr="00D61F73">
          <w:rPr>
            <w:rStyle w:val="Hyperlink"/>
            <w:rFonts w:ascii="Arial" w:hAnsi="Arial" w:cs="Arial"/>
          </w:rPr>
          <w:t>Beletsky L.</w:t>
        </w:r>
      </w:hyperlink>
      <w:r w:rsidR="0074677D" w:rsidRPr="00D61F73">
        <w:rPr>
          <w:rFonts w:ascii="Arial" w:hAnsi="Arial" w:cs="Arial"/>
        </w:rPr>
        <w:t xml:space="preserve"> The Benefits and Potential Drawbacks in the Approval of EVZIO for Lay Reversal of Opioid Overdose. Am J Prev Med. 2015;48:357-359.</w:t>
      </w:r>
    </w:p>
    <w:p w14:paraId="6D5912AB" w14:textId="77777777" w:rsidR="0074677D" w:rsidRPr="00D61F73" w:rsidRDefault="0074677D" w:rsidP="00D61F73">
      <w:pPr>
        <w:rPr>
          <w:rFonts w:ascii="Arial" w:hAnsi="Arial" w:cs="Arial"/>
        </w:rPr>
      </w:pPr>
    </w:p>
    <w:p w14:paraId="0D2E0FF4" w14:textId="77777777" w:rsidR="008D0565" w:rsidRPr="00D61F73" w:rsidRDefault="00751163" w:rsidP="00D61F73">
      <w:pPr>
        <w:rPr>
          <w:rFonts w:ascii="Arial" w:hAnsi="Arial" w:cs="Arial"/>
        </w:rPr>
      </w:pPr>
      <w:hyperlink w:anchor="Benca" w:history="1">
        <w:r w:rsidR="008D0565" w:rsidRPr="00D61F73">
          <w:rPr>
            <w:rStyle w:val="Hyperlink"/>
            <w:rFonts w:ascii="Arial" w:hAnsi="Arial" w:cs="Arial"/>
          </w:rPr>
          <w:t>Benca RM</w:t>
        </w:r>
      </w:hyperlink>
      <w:r w:rsidR="008D0565" w:rsidRPr="00D61F73">
        <w:rPr>
          <w:rFonts w:ascii="Arial" w:hAnsi="Arial" w:cs="Arial"/>
        </w:rPr>
        <w:t xml:space="preserve">. Diagnosis and treatment of chronic insomnia: a review. </w:t>
      </w:r>
      <w:r w:rsidR="008D0565" w:rsidRPr="00D61F73">
        <w:rPr>
          <w:rFonts w:ascii="Arial" w:hAnsi="Arial" w:cs="Arial"/>
          <w:i/>
        </w:rPr>
        <w:t>Psychiatr Serv</w:t>
      </w:r>
      <w:r w:rsidR="008D0565" w:rsidRPr="00D61F73">
        <w:rPr>
          <w:rFonts w:ascii="Arial" w:hAnsi="Arial" w:cs="Arial"/>
        </w:rPr>
        <w:t>. 2005;56:332-43.</w:t>
      </w:r>
    </w:p>
    <w:p w14:paraId="3B26B16C" w14:textId="77777777" w:rsidR="008D0565" w:rsidRPr="00D61F73" w:rsidRDefault="008D0565" w:rsidP="00D61F73">
      <w:pPr>
        <w:rPr>
          <w:rFonts w:ascii="Arial" w:hAnsi="Arial" w:cs="Arial"/>
        </w:rPr>
      </w:pPr>
    </w:p>
    <w:p w14:paraId="56715566" w14:textId="77777777" w:rsidR="008D0565" w:rsidRPr="00D61F73" w:rsidRDefault="00751163" w:rsidP="00D61F73">
      <w:pPr>
        <w:rPr>
          <w:rFonts w:ascii="Arial" w:hAnsi="Arial" w:cs="Arial"/>
        </w:rPr>
      </w:pPr>
      <w:hyperlink w:anchor="Benzon" w:history="1">
        <w:r w:rsidR="008D0565" w:rsidRPr="00D61F73">
          <w:rPr>
            <w:rStyle w:val="Hyperlink"/>
            <w:rFonts w:ascii="Arial" w:hAnsi="Arial" w:cs="Arial"/>
          </w:rPr>
          <w:t>Benzon HT, Raja SN, Molloy RE, Liu SS, Fishman SM</w:t>
        </w:r>
      </w:hyperlink>
      <w:r w:rsidR="008D0565" w:rsidRPr="00D61F73">
        <w:rPr>
          <w:rFonts w:ascii="Arial" w:hAnsi="Arial" w:cs="Arial"/>
        </w:rPr>
        <w:t>. Essentials of Pain Medicine and Regional Anesthesia. 2nd ed.Elisevier 2005, p. 215.</w:t>
      </w:r>
    </w:p>
    <w:p w14:paraId="54E609BD" w14:textId="77777777" w:rsidR="008D0565" w:rsidRPr="00D61F73" w:rsidRDefault="008D0565" w:rsidP="00D61F73">
      <w:pPr>
        <w:rPr>
          <w:rFonts w:ascii="Arial" w:hAnsi="Arial" w:cs="Arial"/>
        </w:rPr>
      </w:pPr>
    </w:p>
    <w:p w14:paraId="18106FC7" w14:textId="77777777" w:rsidR="008D0565" w:rsidRPr="00D61F73" w:rsidRDefault="00751163" w:rsidP="00D61F73">
      <w:pPr>
        <w:rPr>
          <w:rFonts w:ascii="Arial" w:hAnsi="Arial" w:cs="Arial"/>
        </w:rPr>
      </w:pPr>
      <w:hyperlink w:anchor="Berlach2006" w:history="1">
        <w:r w:rsidR="008D0565" w:rsidRPr="00D61F73">
          <w:rPr>
            <w:rStyle w:val="Hyperlink"/>
            <w:rFonts w:ascii="Arial" w:hAnsi="Arial" w:cs="Arial"/>
          </w:rPr>
          <w:t>Berlach DM, Shir Y, Ware MA</w:t>
        </w:r>
      </w:hyperlink>
      <w:r w:rsidR="008D0565" w:rsidRPr="00D61F73">
        <w:rPr>
          <w:rFonts w:ascii="Arial" w:hAnsi="Arial" w:cs="Arial"/>
        </w:rPr>
        <w:t xml:space="preserve">. Experience with the synthetic cannabinoid nabilone in chronic noncancer pain. </w:t>
      </w:r>
      <w:r w:rsidR="008D0565" w:rsidRPr="00D61F73">
        <w:rPr>
          <w:rFonts w:ascii="Arial" w:hAnsi="Arial" w:cs="Arial"/>
          <w:i/>
          <w:iCs/>
        </w:rPr>
        <w:t>Pain Med</w:t>
      </w:r>
      <w:r w:rsidR="008D0565" w:rsidRPr="00D61F73">
        <w:rPr>
          <w:rFonts w:ascii="Arial" w:hAnsi="Arial" w:cs="Arial"/>
        </w:rPr>
        <w:t>. 2006 Jan-Feb;7(1):25-9.</w:t>
      </w:r>
    </w:p>
    <w:p w14:paraId="499CF025" w14:textId="77777777" w:rsidR="008D0565" w:rsidRPr="00D61F73" w:rsidRDefault="008D0565" w:rsidP="00D61F73">
      <w:pPr>
        <w:pStyle w:val="Footer"/>
        <w:tabs>
          <w:tab w:val="clear" w:pos="4320"/>
          <w:tab w:val="clear" w:pos="8640"/>
        </w:tabs>
        <w:rPr>
          <w:rFonts w:ascii="Arial" w:hAnsi="Arial" w:cs="Arial"/>
        </w:rPr>
      </w:pPr>
    </w:p>
    <w:p w14:paraId="24B5A6E4" w14:textId="77777777" w:rsidR="008D0565" w:rsidRPr="00D61F73" w:rsidRDefault="00751163" w:rsidP="00D61F73">
      <w:pPr>
        <w:pStyle w:val="Footer"/>
        <w:tabs>
          <w:tab w:val="clear" w:pos="4320"/>
          <w:tab w:val="clear" w:pos="8640"/>
        </w:tabs>
        <w:rPr>
          <w:rFonts w:ascii="Arial" w:hAnsi="Arial" w:cs="Arial"/>
        </w:rPr>
      </w:pPr>
      <w:hyperlink w:anchor="Bhala2013" w:history="1">
        <w:r w:rsidR="008D0565" w:rsidRPr="00D61F73">
          <w:rPr>
            <w:rStyle w:val="Hyperlink"/>
            <w:rFonts w:ascii="Arial" w:hAnsi="Arial" w:cs="Arial"/>
          </w:rPr>
          <w:t>Bhala N, Emberson J, Merhi A, Abramson S, Arber N, Baron JA, Bombardier C, Cannon C, Farkouh ME, FitzGerald GA, Goss P, Halls H, Hawk E, Hawkey C, Hennekens C, Hochberg M, Holland LE, Kearney PM, Laine L, Lanas A, Lance P, Laupacis A, Oates J, Patrono C, Schnitzer TJ, Solomon S, Tugwell P, Wilson K, Wittes J, Baigent C</w:t>
        </w:r>
      </w:hyperlink>
      <w:r w:rsidR="008D0565" w:rsidRPr="00D61F73">
        <w:rPr>
          <w:rFonts w:ascii="Arial" w:hAnsi="Arial" w:cs="Arial"/>
        </w:rPr>
        <w:t xml:space="preserve">. Vascular and upper gastrointestinal effects of non-steroidal anti-inflammatory drugs: meta-analyses of individual participant data from randomised trials. </w:t>
      </w:r>
      <w:r w:rsidR="008D0565" w:rsidRPr="00D61F73">
        <w:rPr>
          <w:rFonts w:ascii="Arial" w:hAnsi="Arial" w:cs="Arial"/>
          <w:i/>
          <w:iCs/>
        </w:rPr>
        <w:t>Lancet</w:t>
      </w:r>
      <w:r w:rsidR="008D0565" w:rsidRPr="00D61F73">
        <w:rPr>
          <w:rFonts w:ascii="Arial" w:hAnsi="Arial" w:cs="Arial"/>
        </w:rPr>
        <w:t>. 2013 Aug 31;382(9894):769-79. doi: 10.1016/S0140-6736(13)60900-9.</w:t>
      </w:r>
    </w:p>
    <w:p w14:paraId="67D03E6F" w14:textId="77777777" w:rsidR="008D0565" w:rsidRPr="00D61F73" w:rsidRDefault="008D0565" w:rsidP="00D61F73">
      <w:pPr>
        <w:pStyle w:val="Footer"/>
        <w:tabs>
          <w:tab w:val="clear" w:pos="4320"/>
          <w:tab w:val="clear" w:pos="8640"/>
        </w:tabs>
        <w:rPr>
          <w:rFonts w:ascii="Arial" w:hAnsi="Arial" w:cs="Arial"/>
        </w:rPr>
      </w:pPr>
    </w:p>
    <w:p w14:paraId="3AF81EB6" w14:textId="77777777" w:rsidR="008D0565" w:rsidRPr="00D61F73" w:rsidRDefault="00751163" w:rsidP="00D61F73">
      <w:pPr>
        <w:pStyle w:val="Footer"/>
        <w:tabs>
          <w:tab w:val="clear" w:pos="4320"/>
          <w:tab w:val="clear" w:pos="8640"/>
        </w:tabs>
        <w:rPr>
          <w:rFonts w:ascii="Arial" w:hAnsi="Arial" w:cs="Arial"/>
        </w:rPr>
      </w:pPr>
      <w:hyperlink w:anchor="Bhattacharyya2012" w:history="1">
        <w:r w:rsidR="008D0565" w:rsidRPr="00D61F73">
          <w:rPr>
            <w:rStyle w:val="Hyperlink"/>
            <w:rFonts w:ascii="Arial" w:hAnsi="Arial" w:cs="Arial"/>
          </w:rPr>
          <w:t>Bhattacharyya S, Crippa JA, Allen P, Martin-Santos R, Borgwardt S, Fusar-Poli P, Rubia K, Kambeitz J, O'Carroll C, Seal ML, Giampietro V, Brammer M, Zuardi AW, Atakan Z, McGuire PK</w:t>
        </w:r>
      </w:hyperlink>
      <w:r w:rsidR="008D0565" w:rsidRPr="00D61F73">
        <w:rPr>
          <w:rFonts w:ascii="Arial" w:hAnsi="Arial" w:cs="Arial"/>
        </w:rPr>
        <w:t xml:space="preserve">. Induction of psychosis by {delta}9-tetrahydrocannabinol reflects modulation of prefrontal and striatal function during attentional salience processing. </w:t>
      </w:r>
      <w:r w:rsidR="008D0565" w:rsidRPr="00D61F73">
        <w:rPr>
          <w:rFonts w:ascii="Arial" w:hAnsi="Arial" w:cs="Arial"/>
          <w:i/>
          <w:iCs/>
        </w:rPr>
        <w:t>Arch Gen Psychiatry</w:t>
      </w:r>
      <w:r w:rsidR="008D0565" w:rsidRPr="00D61F73">
        <w:rPr>
          <w:rFonts w:ascii="Arial" w:hAnsi="Arial" w:cs="Arial"/>
        </w:rPr>
        <w:t>. 2012 Jan;69(1):27-36.</w:t>
      </w:r>
    </w:p>
    <w:p w14:paraId="5BBF05A8" w14:textId="77777777" w:rsidR="008D0565" w:rsidRPr="00D61F73" w:rsidRDefault="008D0565" w:rsidP="00D61F73">
      <w:pPr>
        <w:pStyle w:val="Footer"/>
        <w:tabs>
          <w:tab w:val="clear" w:pos="4320"/>
          <w:tab w:val="clear" w:pos="8640"/>
        </w:tabs>
        <w:rPr>
          <w:rFonts w:ascii="Arial" w:hAnsi="Arial" w:cs="Arial"/>
        </w:rPr>
      </w:pPr>
    </w:p>
    <w:p w14:paraId="4A48DA31" w14:textId="77777777" w:rsidR="008D0565" w:rsidRPr="00D61F73" w:rsidRDefault="00751163" w:rsidP="00D61F73">
      <w:pPr>
        <w:rPr>
          <w:rFonts w:ascii="Arial" w:hAnsi="Arial" w:cs="Arial"/>
        </w:rPr>
      </w:pPr>
      <w:hyperlink w:anchor="Biswal" w:history="1">
        <w:r w:rsidR="008D0565" w:rsidRPr="00D61F73">
          <w:rPr>
            <w:rStyle w:val="Hyperlink"/>
            <w:rFonts w:ascii="Arial" w:hAnsi="Arial" w:cs="Arial"/>
          </w:rPr>
          <w:t>Biswal S, Medhi B, Pandhi P</w:t>
        </w:r>
      </w:hyperlink>
      <w:r w:rsidR="008D0565" w:rsidRPr="00D61F73">
        <w:rPr>
          <w:rFonts w:ascii="Arial" w:hAnsi="Arial" w:cs="Arial"/>
        </w:rPr>
        <w:t xml:space="preserve">. Long-term efficacy of topical nonsteroidal antiinflammatory drugs in knee osteoarthritis: metaanalysis of randomized placebo controlled clinical trials. </w:t>
      </w:r>
      <w:r w:rsidR="008D0565" w:rsidRPr="00D61F73">
        <w:rPr>
          <w:rFonts w:ascii="Arial" w:hAnsi="Arial" w:cs="Arial"/>
          <w:i/>
        </w:rPr>
        <w:t>J Rheumatol</w:t>
      </w:r>
      <w:r w:rsidR="008D0565" w:rsidRPr="00D61F73">
        <w:rPr>
          <w:rFonts w:ascii="Arial" w:hAnsi="Arial" w:cs="Arial"/>
        </w:rPr>
        <w:t>. 2006;33:1841-4.</w:t>
      </w:r>
    </w:p>
    <w:p w14:paraId="67E773AC" w14:textId="77777777" w:rsidR="008D0565" w:rsidRPr="00D61F73" w:rsidRDefault="008D0565" w:rsidP="00D61F73">
      <w:pPr>
        <w:rPr>
          <w:rFonts w:ascii="Arial" w:hAnsi="Arial" w:cs="Arial"/>
        </w:rPr>
      </w:pPr>
    </w:p>
    <w:p w14:paraId="354D8093" w14:textId="77777777" w:rsidR="008D0565" w:rsidRPr="00D61F73" w:rsidRDefault="00751163" w:rsidP="00D61F73">
      <w:pPr>
        <w:rPr>
          <w:rFonts w:ascii="Arial" w:hAnsi="Arial" w:cs="Arial"/>
        </w:rPr>
      </w:pPr>
      <w:hyperlink w:anchor="Bjorda" w:history="1">
        <w:r w:rsidR="008D0565" w:rsidRPr="00D61F73">
          <w:rPr>
            <w:rStyle w:val="Hyperlink"/>
            <w:rFonts w:ascii="Arial" w:hAnsi="Arial" w:cs="Arial"/>
          </w:rPr>
          <w:t>Bjordal JM, Klovning A, Ljunggren AE, Slørdal L</w:t>
        </w:r>
      </w:hyperlink>
      <w:r w:rsidR="008D0565" w:rsidRPr="00D61F73">
        <w:rPr>
          <w:rFonts w:ascii="Arial" w:hAnsi="Arial" w:cs="Arial"/>
        </w:rPr>
        <w:t xml:space="preserve">. Short-term efficacy of pharmacotherapeutic interventions in osteoarthritic knee pain: A meta-analysis of randomised placebo-controlled trials. </w:t>
      </w:r>
      <w:r w:rsidR="008D0565" w:rsidRPr="00D61F73">
        <w:rPr>
          <w:rFonts w:ascii="Arial" w:hAnsi="Arial" w:cs="Arial"/>
          <w:i/>
        </w:rPr>
        <w:t xml:space="preserve">Eur J Pain. </w:t>
      </w:r>
      <w:r w:rsidR="008D0565" w:rsidRPr="00D61F73">
        <w:rPr>
          <w:rFonts w:ascii="Arial" w:hAnsi="Arial" w:cs="Arial"/>
        </w:rPr>
        <w:t>2007;11:125-38.</w:t>
      </w:r>
    </w:p>
    <w:p w14:paraId="794A613D" w14:textId="77777777" w:rsidR="008D0565" w:rsidRPr="00D61F73" w:rsidRDefault="008D0565" w:rsidP="00D61F73">
      <w:pPr>
        <w:rPr>
          <w:rFonts w:ascii="Arial" w:hAnsi="Arial" w:cs="Arial"/>
        </w:rPr>
      </w:pPr>
    </w:p>
    <w:p w14:paraId="35815932" w14:textId="77777777" w:rsidR="008D0565" w:rsidRPr="00D61F73" w:rsidRDefault="00751163" w:rsidP="00D61F73">
      <w:pPr>
        <w:rPr>
          <w:rFonts w:ascii="Arial" w:hAnsi="Arial" w:cs="Arial"/>
        </w:rPr>
      </w:pPr>
      <w:hyperlink w:anchor="Blommel" w:history="1">
        <w:r w:rsidR="008D0565" w:rsidRPr="00D61F73">
          <w:rPr>
            <w:rStyle w:val="Hyperlink"/>
            <w:rFonts w:ascii="Arial" w:hAnsi="Arial" w:cs="Arial"/>
          </w:rPr>
          <w:t>Blommel ML, Blommel AL</w:t>
        </w:r>
      </w:hyperlink>
      <w:r w:rsidR="008D0565" w:rsidRPr="00D61F73">
        <w:rPr>
          <w:rFonts w:ascii="Arial" w:hAnsi="Arial" w:cs="Arial"/>
        </w:rPr>
        <w:t xml:space="preserve">. Pregabalin: an antiepileptic agent useful for neuropathic pain. </w:t>
      </w:r>
      <w:r w:rsidR="008D0565" w:rsidRPr="00D61F73">
        <w:rPr>
          <w:rFonts w:ascii="Arial" w:hAnsi="Arial" w:cs="Arial"/>
          <w:i/>
        </w:rPr>
        <w:t>Am J Health Syst Pharm</w:t>
      </w:r>
      <w:r w:rsidR="008D0565" w:rsidRPr="00D61F73">
        <w:rPr>
          <w:rFonts w:ascii="Arial" w:hAnsi="Arial" w:cs="Arial"/>
        </w:rPr>
        <w:t>. 2007;15;64:1475-82.</w:t>
      </w:r>
    </w:p>
    <w:p w14:paraId="3E47ACB4" w14:textId="77777777" w:rsidR="008D0565" w:rsidRPr="00D61F73" w:rsidRDefault="008D0565" w:rsidP="00D61F73">
      <w:pPr>
        <w:shd w:val="clear" w:color="auto" w:fill="FFFFFF"/>
        <w:rPr>
          <w:rFonts w:ascii="Arial" w:hAnsi="Arial" w:cs="Arial"/>
        </w:rPr>
      </w:pPr>
    </w:p>
    <w:p w14:paraId="5EB9518D" w14:textId="77777777" w:rsidR="008D0565" w:rsidRPr="00D61F73" w:rsidRDefault="00751163" w:rsidP="00D61F73">
      <w:pPr>
        <w:rPr>
          <w:rFonts w:ascii="Arial" w:hAnsi="Arial" w:cs="Arial"/>
        </w:rPr>
      </w:pPr>
      <w:hyperlink w:anchor="BlueCrossBlueShield9" w:history="1">
        <w:r w:rsidR="008D0565" w:rsidRPr="00D61F73">
          <w:rPr>
            <w:rStyle w:val="Hyperlink"/>
            <w:rFonts w:ascii="Arial" w:hAnsi="Arial" w:cs="Arial"/>
          </w:rPr>
          <w:t>BlueCross BlueShield.</w:t>
        </w:r>
      </w:hyperlink>
      <w:r w:rsidR="008D0565" w:rsidRPr="00D61F73">
        <w:rPr>
          <w:rFonts w:ascii="Arial" w:hAnsi="Arial" w:cs="Arial"/>
        </w:rPr>
        <w:t xml:space="preserve"> Surgery Section - Fully Implantable Infusion Pump. Policy No: 18. Effective Date: 04/05/2005</w:t>
      </w:r>
    </w:p>
    <w:p w14:paraId="067A781A" w14:textId="77777777" w:rsidR="008D0565" w:rsidRPr="00D61F73" w:rsidRDefault="008D0565" w:rsidP="00D61F73">
      <w:pPr>
        <w:rPr>
          <w:rFonts w:ascii="Arial" w:hAnsi="Arial" w:cs="Arial"/>
        </w:rPr>
      </w:pPr>
    </w:p>
    <w:p w14:paraId="235E23D0" w14:textId="77777777" w:rsidR="008D0565" w:rsidRPr="00D61F73" w:rsidRDefault="00751163" w:rsidP="00D61F73">
      <w:pPr>
        <w:rPr>
          <w:rFonts w:ascii="Arial" w:hAnsi="Arial" w:cs="Arial"/>
        </w:rPr>
      </w:pPr>
      <w:hyperlink w:anchor="Bocanegra" w:history="1">
        <w:r w:rsidR="008D0565" w:rsidRPr="00D61F73">
          <w:rPr>
            <w:rStyle w:val="Hyperlink"/>
            <w:rFonts w:ascii="Arial" w:hAnsi="Arial" w:cs="Arial"/>
          </w:rPr>
          <w:t>Bocanegra TS, Weaver AL, Tindall EA, Sikes DH, Ball JA, Wallemark CB, Geis GS, Fort JG.</w:t>
        </w:r>
      </w:hyperlink>
      <w:r w:rsidR="008D0565" w:rsidRPr="00D61F73">
        <w:rPr>
          <w:rFonts w:ascii="Arial" w:hAnsi="Arial" w:cs="Arial"/>
        </w:rPr>
        <w:t xml:space="preserve"> Diclofenac/misoprostol compared with diclofenac in the treatment of osteoarthritis of the knee or hip: a randomized, placebo controlled trial. Arthrotec Osteoarthritis Study Group. </w:t>
      </w:r>
      <w:r w:rsidR="008D0565" w:rsidRPr="00D61F73">
        <w:rPr>
          <w:rFonts w:ascii="Arial" w:hAnsi="Arial" w:cs="Arial"/>
          <w:i/>
        </w:rPr>
        <w:t>J Rheumatol.</w:t>
      </w:r>
      <w:r w:rsidR="008D0565" w:rsidRPr="00D61F73">
        <w:rPr>
          <w:rFonts w:ascii="Arial" w:hAnsi="Arial" w:cs="Arial"/>
        </w:rPr>
        <w:t xml:space="preserve"> 1998;25:1602-11.</w:t>
      </w:r>
    </w:p>
    <w:p w14:paraId="6D909609" w14:textId="77777777" w:rsidR="008D0565" w:rsidRPr="00D61F73" w:rsidRDefault="008D0565" w:rsidP="00D61F73">
      <w:pPr>
        <w:pStyle w:val="Footer"/>
        <w:tabs>
          <w:tab w:val="clear" w:pos="4320"/>
          <w:tab w:val="clear" w:pos="8640"/>
        </w:tabs>
        <w:rPr>
          <w:rFonts w:ascii="Arial" w:hAnsi="Arial" w:cs="Arial"/>
        </w:rPr>
      </w:pPr>
    </w:p>
    <w:p w14:paraId="5ED8CF4E" w14:textId="77777777" w:rsidR="008D0565" w:rsidRPr="00D61F73" w:rsidRDefault="00751163" w:rsidP="00D61F73">
      <w:pPr>
        <w:rPr>
          <w:rFonts w:ascii="Arial" w:hAnsi="Arial" w:cs="Arial"/>
        </w:rPr>
      </w:pPr>
      <w:hyperlink w:anchor="Bolona" w:history="1">
        <w:r w:rsidR="008D0565" w:rsidRPr="00D61F73">
          <w:rPr>
            <w:rStyle w:val="Hyperlink"/>
            <w:rFonts w:ascii="Arial" w:hAnsi="Arial" w:cs="Arial"/>
          </w:rPr>
          <w:t>Bolona ER, Uraga MV, Haddad RM, Tracz MJ, Sideras K, Kennedy CC, Caples SM, Erwin PJ, Montori VM.</w:t>
        </w:r>
      </w:hyperlink>
      <w:r w:rsidR="008D0565" w:rsidRPr="00D61F73">
        <w:rPr>
          <w:rFonts w:ascii="Arial" w:hAnsi="Arial" w:cs="Arial"/>
        </w:rPr>
        <w:t xml:space="preserve"> Testosterone use in men with sexual dysfunction: a systematic review and meta-analysis of randomized placebo-controlled trials. </w:t>
      </w:r>
      <w:r w:rsidR="008D0565" w:rsidRPr="00D61F73">
        <w:rPr>
          <w:rFonts w:ascii="Arial" w:hAnsi="Arial" w:cs="Arial"/>
          <w:i/>
        </w:rPr>
        <w:t>Mayo Clin Proc</w:t>
      </w:r>
      <w:r w:rsidR="008D0565" w:rsidRPr="00D61F73">
        <w:rPr>
          <w:rFonts w:ascii="Arial" w:hAnsi="Arial" w:cs="Arial"/>
        </w:rPr>
        <w:t>. 2007;82:20-8.</w:t>
      </w:r>
    </w:p>
    <w:p w14:paraId="3E95BCE0" w14:textId="77777777" w:rsidR="008D0565" w:rsidRPr="00D61F73" w:rsidRDefault="008D0565" w:rsidP="00D61F73">
      <w:pPr>
        <w:rPr>
          <w:rFonts w:ascii="Arial" w:hAnsi="Arial" w:cs="Arial"/>
        </w:rPr>
      </w:pPr>
    </w:p>
    <w:p w14:paraId="117BB98A" w14:textId="77777777" w:rsidR="0074677D" w:rsidRPr="00D61F73" w:rsidRDefault="00751163" w:rsidP="00D61F73">
      <w:pPr>
        <w:rPr>
          <w:rFonts w:ascii="Arial" w:hAnsi="Arial" w:cs="Arial"/>
        </w:rPr>
      </w:pPr>
      <w:hyperlink w:anchor="Boyer2012" w:history="1">
        <w:r w:rsidR="0074677D" w:rsidRPr="00D61F73">
          <w:rPr>
            <w:rStyle w:val="Hyperlink"/>
            <w:rFonts w:ascii="Arial" w:hAnsi="Arial" w:cs="Arial"/>
          </w:rPr>
          <w:t>Boyer EW</w:t>
        </w:r>
      </w:hyperlink>
      <w:r w:rsidR="0074677D" w:rsidRPr="00D61F73">
        <w:rPr>
          <w:rFonts w:ascii="Arial" w:hAnsi="Arial" w:cs="Arial"/>
        </w:rPr>
        <w:t>. Management of opioid analgesic overdose. N Engl J Med. 2012;367:146-55.</w:t>
      </w:r>
    </w:p>
    <w:p w14:paraId="5289A6A4" w14:textId="77777777" w:rsidR="0074677D" w:rsidRPr="00D61F73" w:rsidRDefault="0074677D" w:rsidP="00D61F73">
      <w:pPr>
        <w:rPr>
          <w:rFonts w:ascii="Arial" w:hAnsi="Arial" w:cs="Arial"/>
        </w:rPr>
      </w:pPr>
    </w:p>
    <w:p w14:paraId="05CAD4AC" w14:textId="77777777" w:rsidR="008D0565" w:rsidRPr="00D61F73" w:rsidRDefault="00751163" w:rsidP="00D61F73">
      <w:pPr>
        <w:rPr>
          <w:rFonts w:ascii="Arial" w:hAnsi="Arial" w:cs="Arial"/>
        </w:rPr>
      </w:pPr>
      <w:hyperlink w:anchor="Braham" w:history="1">
        <w:r w:rsidR="008D0565" w:rsidRPr="00D61F73">
          <w:rPr>
            <w:rStyle w:val="Hyperlink"/>
            <w:rFonts w:ascii="Arial" w:hAnsi="Arial" w:cs="Arial"/>
          </w:rPr>
          <w:t>Braham R, Dawson B, Goodman C,</w:t>
        </w:r>
      </w:hyperlink>
      <w:r w:rsidR="008D0565" w:rsidRPr="00D61F73">
        <w:rPr>
          <w:rFonts w:ascii="Arial" w:hAnsi="Arial" w:cs="Arial"/>
        </w:rPr>
        <w:t xml:space="preserve"> The effect of glucosamine supplementation on people experiencing regular knee pain, </w:t>
      </w:r>
      <w:r w:rsidR="008D0565" w:rsidRPr="00D61F73">
        <w:rPr>
          <w:rFonts w:ascii="Arial" w:hAnsi="Arial" w:cs="Arial"/>
          <w:i/>
          <w:iCs/>
        </w:rPr>
        <w:t>Br J Sports Med</w:t>
      </w:r>
      <w:r w:rsidR="008D0565" w:rsidRPr="00D61F73">
        <w:rPr>
          <w:rFonts w:ascii="Arial" w:hAnsi="Arial" w:cs="Arial"/>
        </w:rPr>
        <w:t>. 2003 Feb;37(1):45-9; discussion 49</w:t>
      </w:r>
    </w:p>
    <w:p w14:paraId="514D7DF6" w14:textId="77777777" w:rsidR="008D0565" w:rsidRPr="00D61F73" w:rsidRDefault="008D0565" w:rsidP="00D61F73">
      <w:pPr>
        <w:rPr>
          <w:rFonts w:ascii="Arial" w:hAnsi="Arial" w:cs="Arial"/>
        </w:rPr>
      </w:pPr>
    </w:p>
    <w:p w14:paraId="24E6180A" w14:textId="77777777" w:rsidR="008D0565" w:rsidRPr="00D61F73" w:rsidRDefault="00751163" w:rsidP="00D61F73">
      <w:pPr>
        <w:rPr>
          <w:rFonts w:ascii="Arial" w:hAnsi="Arial" w:cs="Arial"/>
        </w:rPr>
      </w:pPr>
      <w:hyperlink w:anchor="Bramness" w:history="1">
        <w:r w:rsidR="008D0565" w:rsidRPr="00D61F73">
          <w:rPr>
            <w:rStyle w:val="Hyperlink"/>
            <w:rFonts w:ascii="Arial" w:hAnsi="Arial" w:cs="Arial"/>
          </w:rPr>
          <w:t>Bramness JG, Skurtveit S, Mørland J, Engeland A</w:t>
        </w:r>
      </w:hyperlink>
      <w:r w:rsidR="008D0565" w:rsidRPr="00D61F73">
        <w:rPr>
          <w:rFonts w:ascii="Arial" w:hAnsi="Arial" w:cs="Arial"/>
        </w:rPr>
        <w:t>. The risk of traffic accidents after prescriptions of carisoprodol.</w:t>
      </w:r>
      <w:r w:rsidR="008D0565" w:rsidRPr="00D61F73">
        <w:rPr>
          <w:rFonts w:ascii="Arial" w:hAnsi="Arial" w:cs="Arial"/>
          <w:i/>
        </w:rPr>
        <w:t xml:space="preserve"> Accid Anal Prev</w:t>
      </w:r>
      <w:r w:rsidR="008D0565" w:rsidRPr="00D61F73">
        <w:rPr>
          <w:rFonts w:ascii="Arial" w:hAnsi="Arial" w:cs="Arial"/>
        </w:rPr>
        <w:t>. 2007;39:1050-5.</w:t>
      </w:r>
    </w:p>
    <w:p w14:paraId="2A351106" w14:textId="77777777" w:rsidR="008D0565" w:rsidRPr="00D61F73" w:rsidRDefault="008D0565" w:rsidP="00D61F73">
      <w:pPr>
        <w:rPr>
          <w:rFonts w:ascii="Arial" w:hAnsi="Arial" w:cs="Arial"/>
        </w:rPr>
      </w:pPr>
    </w:p>
    <w:p w14:paraId="50DAE167" w14:textId="77777777" w:rsidR="008D0565" w:rsidRPr="00D61F73" w:rsidRDefault="00751163" w:rsidP="00D61F73">
      <w:pPr>
        <w:rPr>
          <w:rFonts w:ascii="Arial" w:hAnsi="Arial" w:cs="Arial"/>
        </w:rPr>
      </w:pPr>
      <w:hyperlink w:anchor="Bramness2004" w:history="1">
        <w:r w:rsidR="008D0565" w:rsidRPr="00D61F73">
          <w:rPr>
            <w:rStyle w:val="Hyperlink"/>
            <w:rFonts w:ascii="Arial" w:hAnsi="Arial" w:cs="Arial"/>
          </w:rPr>
          <w:t>Bramness JG, Skurtveit S, Mørland J</w:t>
        </w:r>
      </w:hyperlink>
      <w:r w:rsidR="008D0565" w:rsidRPr="00D61F73">
        <w:rPr>
          <w:rFonts w:ascii="Arial" w:hAnsi="Arial" w:cs="Arial"/>
        </w:rPr>
        <w:t xml:space="preserve">. Impairment due to intake of carisoprodol. </w:t>
      </w:r>
      <w:r w:rsidR="008D0565" w:rsidRPr="00D61F73">
        <w:rPr>
          <w:rFonts w:ascii="Arial" w:hAnsi="Arial" w:cs="Arial"/>
          <w:i/>
        </w:rPr>
        <w:t>Drug Alcohol Depend</w:t>
      </w:r>
      <w:r w:rsidR="008D0565" w:rsidRPr="00D61F73">
        <w:rPr>
          <w:rFonts w:ascii="Arial" w:hAnsi="Arial" w:cs="Arial"/>
        </w:rPr>
        <w:t>. 2004;74:311-8.</w:t>
      </w:r>
    </w:p>
    <w:p w14:paraId="78061E88" w14:textId="77777777" w:rsidR="008D0565" w:rsidRPr="00D61F73" w:rsidRDefault="008D0565" w:rsidP="00D61F73">
      <w:pPr>
        <w:rPr>
          <w:rFonts w:ascii="Arial" w:hAnsi="Arial" w:cs="Arial"/>
        </w:rPr>
      </w:pPr>
    </w:p>
    <w:p w14:paraId="1DCE39C0" w14:textId="77777777" w:rsidR="00307BCD" w:rsidRPr="00D61F73" w:rsidRDefault="00751163" w:rsidP="00D61F73">
      <w:pPr>
        <w:rPr>
          <w:rFonts w:ascii="Arial" w:hAnsi="Arial" w:cs="Arial"/>
        </w:rPr>
      </w:pPr>
      <w:hyperlink w:anchor="Brason2013" w:history="1">
        <w:r w:rsidR="00307BCD" w:rsidRPr="00D61F73">
          <w:rPr>
            <w:rStyle w:val="Hyperlink"/>
            <w:rFonts w:ascii="Arial" w:hAnsi="Arial" w:cs="Arial"/>
          </w:rPr>
          <w:t>Brason FW 2nd, Roe C, Dasgupta N.</w:t>
        </w:r>
      </w:hyperlink>
      <w:r w:rsidR="00307BCD" w:rsidRPr="00D61F73">
        <w:rPr>
          <w:rFonts w:ascii="Arial" w:hAnsi="Arial" w:cs="Arial"/>
        </w:rPr>
        <w:t xml:space="preserve"> Project Lazarus: an innovative community response to prescription drug overdose. N C Med J. 2013;74:259-61.</w:t>
      </w:r>
    </w:p>
    <w:p w14:paraId="0B8A356C" w14:textId="77777777" w:rsidR="00307BCD" w:rsidRPr="00D61F73" w:rsidRDefault="00307BCD" w:rsidP="00D61F73">
      <w:pPr>
        <w:rPr>
          <w:rFonts w:ascii="Arial" w:hAnsi="Arial" w:cs="Arial"/>
        </w:rPr>
      </w:pPr>
    </w:p>
    <w:p w14:paraId="50302C54" w14:textId="77777777" w:rsidR="008D0565" w:rsidRPr="00D61F73" w:rsidRDefault="00751163" w:rsidP="00D61F73">
      <w:pPr>
        <w:rPr>
          <w:rFonts w:ascii="Arial" w:hAnsi="Arial" w:cs="Arial"/>
          <w:color w:val="auto"/>
        </w:rPr>
      </w:pPr>
      <w:hyperlink w:anchor="Broomhead1997" w:history="1">
        <w:r w:rsidR="008D0565" w:rsidRPr="00D61F73">
          <w:rPr>
            <w:rStyle w:val="Hyperlink"/>
            <w:rFonts w:ascii="Arial" w:hAnsi="Arial" w:cs="Arial"/>
          </w:rPr>
          <w:t>Broomhead A, Kerr R, Tester W, O'Meara P, Maccarrone C, Bowles R, Hodsman P.</w:t>
        </w:r>
      </w:hyperlink>
      <w:r w:rsidR="008D0565" w:rsidRPr="00D61F73">
        <w:rPr>
          <w:rFonts w:ascii="Arial" w:hAnsi="Arial" w:cs="Arial"/>
        </w:rPr>
        <w:t xml:space="preserve"> Comparison of a once-a-day sustained-release morphine formulation with standard oral morphine treatment for cancer pain. </w:t>
      </w:r>
      <w:r w:rsidR="008D0565" w:rsidRPr="00D61F73">
        <w:rPr>
          <w:rFonts w:ascii="Arial" w:hAnsi="Arial" w:cs="Arial"/>
          <w:i/>
        </w:rPr>
        <w:t>J Pain Symptom Manage</w:t>
      </w:r>
      <w:r w:rsidR="008D0565" w:rsidRPr="00D61F73">
        <w:rPr>
          <w:rFonts w:ascii="Arial" w:hAnsi="Arial" w:cs="Arial"/>
        </w:rPr>
        <w:t>. 1997;14:63-73.</w:t>
      </w:r>
    </w:p>
    <w:p w14:paraId="63215FEA" w14:textId="77777777" w:rsidR="008D0565" w:rsidRPr="00D61F73" w:rsidRDefault="008D0565" w:rsidP="00D61F73">
      <w:pPr>
        <w:rPr>
          <w:rFonts w:ascii="Arial" w:hAnsi="Arial" w:cs="Arial"/>
        </w:rPr>
      </w:pPr>
    </w:p>
    <w:p w14:paraId="12698634" w14:textId="77777777" w:rsidR="008D0565" w:rsidRPr="00D61F73" w:rsidRDefault="00751163" w:rsidP="00D61F73">
      <w:pPr>
        <w:rPr>
          <w:rFonts w:ascii="Arial" w:hAnsi="Arial" w:cs="Arial"/>
        </w:rPr>
      </w:pPr>
      <w:hyperlink w:anchor="Browning" w:history="1">
        <w:r w:rsidR="008D0565" w:rsidRPr="00D61F73">
          <w:rPr>
            <w:rStyle w:val="Hyperlink"/>
            <w:rFonts w:ascii="Arial" w:hAnsi="Arial" w:cs="Arial"/>
          </w:rPr>
          <w:t>Browning R, Jackson JL, O'Malley PG,</w:t>
        </w:r>
      </w:hyperlink>
      <w:r w:rsidR="008D0565" w:rsidRPr="00D61F73">
        <w:rPr>
          <w:rFonts w:ascii="Arial" w:hAnsi="Arial" w:cs="Arial"/>
        </w:rPr>
        <w:t xml:space="preserve"> Cyclobenzaprine and back pain: a meta-analysis, </w:t>
      </w:r>
      <w:r w:rsidR="008D0565" w:rsidRPr="00D61F73">
        <w:rPr>
          <w:rFonts w:ascii="Arial" w:hAnsi="Arial" w:cs="Arial"/>
          <w:i/>
          <w:iCs/>
        </w:rPr>
        <w:t>Arch Intern Med.</w:t>
      </w:r>
      <w:r w:rsidR="008D0565" w:rsidRPr="00D61F73">
        <w:rPr>
          <w:rFonts w:ascii="Arial" w:hAnsi="Arial" w:cs="Arial"/>
        </w:rPr>
        <w:t xml:space="preserve"> 2001 Jul 9;161(13):1613-20.</w:t>
      </w:r>
    </w:p>
    <w:p w14:paraId="754E2578" w14:textId="77777777" w:rsidR="008D0565" w:rsidRPr="00D61F73" w:rsidRDefault="008D0565" w:rsidP="00D61F73">
      <w:pPr>
        <w:rPr>
          <w:rFonts w:ascii="Arial" w:hAnsi="Arial" w:cs="Arial"/>
        </w:rPr>
      </w:pPr>
    </w:p>
    <w:p w14:paraId="52006FB8" w14:textId="77777777" w:rsidR="008D0565" w:rsidRPr="00D61F73" w:rsidRDefault="00751163" w:rsidP="00D61F73">
      <w:pPr>
        <w:rPr>
          <w:rFonts w:ascii="Arial" w:hAnsi="Arial" w:cs="Arial"/>
          <w:color w:val="auto"/>
        </w:rPr>
      </w:pPr>
      <w:hyperlink w:anchor="Burch2" w:history="1">
        <w:r w:rsidR="008D0565" w:rsidRPr="00D61F73">
          <w:rPr>
            <w:rStyle w:val="Hyperlink"/>
            <w:rFonts w:ascii="Arial" w:hAnsi="Arial" w:cs="Arial"/>
          </w:rPr>
          <w:t>Burch F, Codding C, Patel N, Sheldon E.</w:t>
        </w:r>
      </w:hyperlink>
      <w:r w:rsidR="008D0565" w:rsidRPr="00D61F73">
        <w:rPr>
          <w:rFonts w:ascii="Arial" w:hAnsi="Arial" w:cs="Arial"/>
        </w:rPr>
        <w:t xml:space="preserve"> Lidocaine patch 5% improves pain, stiffness, and physical function in osteoarthritis pain patients. A prospective, multicenter, open-label effectiveness trial. </w:t>
      </w:r>
      <w:r w:rsidR="008D0565" w:rsidRPr="00D61F73">
        <w:rPr>
          <w:rFonts w:ascii="Arial" w:hAnsi="Arial" w:cs="Arial"/>
          <w:i/>
        </w:rPr>
        <w:t>Osteoarthritis Cartilage</w:t>
      </w:r>
      <w:r w:rsidR="008D0565" w:rsidRPr="00D61F73">
        <w:rPr>
          <w:rFonts w:ascii="Arial" w:hAnsi="Arial" w:cs="Arial"/>
        </w:rPr>
        <w:t>. 2004;12:253-5.</w:t>
      </w:r>
    </w:p>
    <w:p w14:paraId="75CABAE2" w14:textId="77777777" w:rsidR="008D0565" w:rsidRPr="00D61F73" w:rsidRDefault="008D0565" w:rsidP="00D61F73">
      <w:pPr>
        <w:rPr>
          <w:rFonts w:ascii="Arial" w:hAnsi="Arial" w:cs="Arial"/>
        </w:rPr>
      </w:pPr>
    </w:p>
    <w:p w14:paraId="7D707685" w14:textId="77777777" w:rsidR="008D0565" w:rsidRPr="00D61F73" w:rsidRDefault="00751163" w:rsidP="00D61F73">
      <w:pPr>
        <w:rPr>
          <w:rFonts w:ascii="Arial" w:hAnsi="Arial" w:cs="Arial"/>
        </w:rPr>
      </w:pPr>
      <w:hyperlink w:anchor="Buscemi2005" w:history="1">
        <w:r w:rsidR="008D0565" w:rsidRPr="00D61F73">
          <w:rPr>
            <w:rStyle w:val="Hyperlink"/>
            <w:rFonts w:ascii="Arial" w:hAnsi="Arial" w:cs="Arial"/>
          </w:rPr>
          <w:t>Buscemi N, Vandermeer B, Friesen C et al.</w:t>
        </w:r>
      </w:hyperlink>
      <w:r w:rsidR="008D0565" w:rsidRPr="00D61F73">
        <w:rPr>
          <w:rFonts w:ascii="Arial" w:hAnsi="Arial" w:cs="Arial"/>
        </w:rPr>
        <w:t xml:space="preserve"> Manifestations and Management of Chronic Insomnia in Adults. Summary, Evidence Report/Technology Assessment No. 125. (Prepared by the University of Alberta Evidence-based Practice Center, under Contract No. C400000021.) AHRQ Publication No.05-E021-1. Rockville, MD: Agency for Healthcare Research and Quality. June 2005.</w:t>
      </w:r>
    </w:p>
    <w:p w14:paraId="5E7FC76C" w14:textId="77777777" w:rsidR="008D0565" w:rsidRPr="00D61F73" w:rsidRDefault="008D0565" w:rsidP="00D61F73">
      <w:pPr>
        <w:rPr>
          <w:rFonts w:ascii="Arial" w:hAnsi="Arial" w:cs="Arial"/>
        </w:rPr>
      </w:pPr>
    </w:p>
    <w:p w14:paraId="671264DB" w14:textId="77777777" w:rsidR="008D0565" w:rsidRPr="00D61F73" w:rsidRDefault="00751163" w:rsidP="00D61F73">
      <w:pPr>
        <w:rPr>
          <w:rFonts w:ascii="Arial" w:hAnsi="Arial" w:cs="Arial"/>
        </w:rPr>
      </w:pPr>
      <w:hyperlink w:anchor="Buscemi" w:history="1">
        <w:r w:rsidR="008D0565" w:rsidRPr="00D61F73">
          <w:rPr>
            <w:rStyle w:val="Hyperlink"/>
            <w:rFonts w:ascii="Arial" w:hAnsi="Arial" w:cs="Arial"/>
          </w:rPr>
          <w:t>Buscemi N, Vandermeer B, Friesen C, Bialy L, Tubman M, Ospina M, Klassen TP, Witmans M.</w:t>
        </w:r>
      </w:hyperlink>
      <w:r w:rsidR="008D0565" w:rsidRPr="00D61F73">
        <w:rPr>
          <w:rFonts w:ascii="Arial" w:hAnsi="Arial" w:cs="Arial"/>
        </w:rPr>
        <w:t xml:space="preserve"> The efficacy and safety of drug treatments for chronic insomnia in adults: a meta-analysis of RCTs. </w:t>
      </w:r>
      <w:r w:rsidR="008D0565" w:rsidRPr="00D61F73">
        <w:rPr>
          <w:rFonts w:ascii="Arial" w:hAnsi="Arial" w:cs="Arial"/>
          <w:i/>
        </w:rPr>
        <w:t>J Gen Intern Med</w:t>
      </w:r>
      <w:r w:rsidR="008D0565" w:rsidRPr="00D61F73">
        <w:rPr>
          <w:rFonts w:ascii="Arial" w:hAnsi="Arial" w:cs="Arial"/>
        </w:rPr>
        <w:t>. 2007 Sep;22(9):1335-50.</w:t>
      </w:r>
    </w:p>
    <w:p w14:paraId="47B4119B" w14:textId="77777777" w:rsidR="008D0565" w:rsidRPr="00D61F73" w:rsidRDefault="008D0565" w:rsidP="00D61F73">
      <w:pPr>
        <w:pStyle w:val="Footer"/>
        <w:tabs>
          <w:tab w:val="clear" w:pos="4320"/>
          <w:tab w:val="clear" w:pos="8640"/>
        </w:tabs>
        <w:rPr>
          <w:rFonts w:ascii="Arial" w:hAnsi="Arial" w:cs="Arial"/>
        </w:rPr>
      </w:pPr>
    </w:p>
    <w:p w14:paraId="62143E4C" w14:textId="77777777" w:rsidR="008D0565" w:rsidRPr="00D61F73" w:rsidRDefault="00751163" w:rsidP="00D61F73">
      <w:pPr>
        <w:rPr>
          <w:rFonts w:ascii="Arial" w:eastAsia="Arial Unicode MS" w:hAnsi="Arial" w:cs="Arial"/>
          <w:color w:val="auto"/>
        </w:rPr>
      </w:pPr>
      <w:hyperlink w:anchor="Buvanendran" w:history="1">
        <w:r w:rsidR="008D0565" w:rsidRPr="00D61F73">
          <w:rPr>
            <w:rStyle w:val="Hyperlink"/>
            <w:rFonts w:ascii="Arial" w:eastAsia="Arial Unicode MS" w:hAnsi="Arial" w:cs="Arial"/>
          </w:rPr>
          <w:t>Buvanendran A, Kroin JS</w:t>
        </w:r>
      </w:hyperlink>
      <w:r w:rsidR="008D0565" w:rsidRPr="00D61F73">
        <w:rPr>
          <w:rFonts w:ascii="Arial" w:eastAsia="Arial Unicode MS" w:hAnsi="Arial" w:cs="Arial"/>
          <w:color w:val="auto"/>
        </w:rPr>
        <w:t xml:space="preserve">. Useful adjuvants for postoperative pain management. </w:t>
      </w:r>
      <w:r w:rsidR="008D0565" w:rsidRPr="00D61F73">
        <w:rPr>
          <w:rFonts w:ascii="Arial" w:eastAsia="Arial Unicode MS" w:hAnsi="Arial" w:cs="Arial"/>
          <w:i/>
          <w:iCs/>
          <w:color w:val="auto"/>
        </w:rPr>
        <w:t>Best Pract Res Clin Anaesthesiol.</w:t>
      </w:r>
      <w:r w:rsidR="008D0565" w:rsidRPr="00D61F73">
        <w:rPr>
          <w:rFonts w:ascii="Arial" w:eastAsia="Arial Unicode MS" w:hAnsi="Arial" w:cs="Arial"/>
          <w:color w:val="auto"/>
        </w:rPr>
        <w:t xml:space="preserve"> 2007 Mar;21(1):31-49.</w:t>
      </w:r>
    </w:p>
    <w:p w14:paraId="3DA6E564" w14:textId="77777777" w:rsidR="008D0565" w:rsidRPr="00D61F73" w:rsidRDefault="008D0565" w:rsidP="00D61F73">
      <w:pPr>
        <w:rPr>
          <w:rFonts w:ascii="Arial" w:hAnsi="Arial" w:cs="Arial"/>
        </w:rPr>
      </w:pPr>
    </w:p>
    <w:p w14:paraId="46BB09DD" w14:textId="77777777" w:rsidR="008D0565" w:rsidRPr="00D61F73" w:rsidRDefault="00751163" w:rsidP="00D61F73">
      <w:pPr>
        <w:rPr>
          <w:rFonts w:ascii="Arial" w:hAnsi="Arial" w:cs="Arial"/>
          <w:lang w:val="es-MX"/>
        </w:rPr>
      </w:pPr>
      <w:hyperlink w:anchor="Buynak2010" w:history="1">
        <w:r w:rsidR="008D0565" w:rsidRPr="00D61F73">
          <w:rPr>
            <w:rStyle w:val="Hyperlink"/>
            <w:rFonts w:ascii="Arial" w:hAnsi="Arial" w:cs="Arial"/>
          </w:rPr>
          <w:t>Buynak R, Shapiro DY, Okamoto A, Van Hove I, Rauschkolb C, Steup A, Lange B, Lange C, Etropolski M</w:t>
        </w:r>
      </w:hyperlink>
      <w:r w:rsidR="008D0565" w:rsidRPr="00D61F73">
        <w:rPr>
          <w:rFonts w:ascii="Arial" w:hAnsi="Arial" w:cs="Arial"/>
        </w:rPr>
        <w:t xml:space="preserve">. Efficacy and safety of tapentadol extended release for the management of chronic low back pain: results of a prospective, randomized, double-blind, placebo- and active-controlled Phase III study. </w:t>
      </w:r>
      <w:r w:rsidR="008D0565" w:rsidRPr="00D61F73">
        <w:rPr>
          <w:rFonts w:ascii="Arial" w:hAnsi="Arial" w:cs="Arial"/>
          <w:i/>
          <w:iCs/>
          <w:lang w:val="es-MX"/>
        </w:rPr>
        <w:t>Expert Opin Pharmacother.</w:t>
      </w:r>
      <w:r w:rsidR="008D0565" w:rsidRPr="00D61F73">
        <w:rPr>
          <w:rFonts w:ascii="Arial" w:hAnsi="Arial" w:cs="Arial"/>
          <w:lang w:val="es-MX"/>
        </w:rPr>
        <w:t xml:space="preserve"> 2010 Aug;11(11):1787-804.</w:t>
      </w:r>
    </w:p>
    <w:p w14:paraId="107649A4" w14:textId="77777777" w:rsidR="008D0565" w:rsidRPr="00D61F73" w:rsidRDefault="008D0565" w:rsidP="00D61F73">
      <w:pPr>
        <w:rPr>
          <w:rFonts w:ascii="Arial" w:hAnsi="Arial" w:cs="Arial"/>
          <w:lang w:val="es-MX"/>
        </w:rPr>
      </w:pPr>
    </w:p>
    <w:p w14:paraId="24F3D0B4" w14:textId="77777777" w:rsidR="008D0565" w:rsidRPr="00D61F73" w:rsidRDefault="00751163" w:rsidP="00D61F73">
      <w:pPr>
        <w:rPr>
          <w:rFonts w:ascii="Arial" w:hAnsi="Arial" w:cs="Arial"/>
        </w:rPr>
      </w:pPr>
      <w:hyperlink w:anchor="Calandre2011" w:history="1">
        <w:r w:rsidR="008D0565" w:rsidRPr="00D61F73">
          <w:rPr>
            <w:rStyle w:val="Hyperlink"/>
            <w:rFonts w:ascii="Arial" w:hAnsi="Arial" w:cs="Arial"/>
            <w:lang w:val="es-MX"/>
          </w:rPr>
          <w:t>Calandre EP, Morillas-Arques P, Molina-Barea R, Rodriguez-Lopez CM, Rico-Villademoros F.</w:t>
        </w:r>
      </w:hyperlink>
      <w:r w:rsidR="008D0565" w:rsidRPr="00D61F73">
        <w:rPr>
          <w:rFonts w:ascii="Arial" w:hAnsi="Arial" w:cs="Arial"/>
          <w:lang w:val="es-MX"/>
        </w:rPr>
        <w:t xml:space="preserve"> </w:t>
      </w:r>
      <w:r w:rsidR="008D0565" w:rsidRPr="00D61F73">
        <w:rPr>
          <w:rFonts w:ascii="Arial" w:hAnsi="Arial" w:cs="Arial"/>
        </w:rPr>
        <w:t xml:space="preserve">Trazodone plus pregabalin combination in the treatment of fibromyalgia: a two-phase, 24-week, open-label uncontrolled study. </w:t>
      </w:r>
      <w:r w:rsidR="008D0565" w:rsidRPr="00D61F73">
        <w:rPr>
          <w:rFonts w:ascii="Arial" w:hAnsi="Arial" w:cs="Arial"/>
          <w:i/>
          <w:iCs/>
        </w:rPr>
        <w:t>BMC Musculoskelet Disord</w:t>
      </w:r>
      <w:r w:rsidR="008D0565" w:rsidRPr="00D61F73">
        <w:rPr>
          <w:rFonts w:ascii="Arial" w:hAnsi="Arial" w:cs="Arial"/>
        </w:rPr>
        <w:t>. 2011 May 16;12:95.</w:t>
      </w:r>
    </w:p>
    <w:p w14:paraId="389A3EBE" w14:textId="77777777" w:rsidR="008D0565" w:rsidRPr="00D61F73" w:rsidRDefault="008D0565" w:rsidP="00D61F73">
      <w:pPr>
        <w:rPr>
          <w:rFonts w:ascii="Arial" w:hAnsi="Arial" w:cs="Arial"/>
        </w:rPr>
      </w:pPr>
    </w:p>
    <w:p w14:paraId="1065BF17" w14:textId="77777777" w:rsidR="008D0565" w:rsidRPr="00D61F73" w:rsidRDefault="00751163" w:rsidP="00D61F73">
      <w:pPr>
        <w:rPr>
          <w:rFonts w:ascii="Arial" w:hAnsi="Arial" w:cs="Arial"/>
        </w:rPr>
      </w:pPr>
      <w:hyperlink w:anchor="Caldwell2004" w:history="1">
        <w:r w:rsidR="008D0565" w:rsidRPr="00D61F73">
          <w:rPr>
            <w:rStyle w:val="Hyperlink"/>
            <w:rFonts w:ascii="Arial" w:hAnsi="Arial" w:cs="Arial"/>
          </w:rPr>
          <w:t>Caldwell JR</w:t>
        </w:r>
      </w:hyperlink>
      <w:r w:rsidR="008D0565" w:rsidRPr="00D61F73">
        <w:rPr>
          <w:rFonts w:ascii="Arial" w:hAnsi="Arial" w:cs="Arial"/>
        </w:rPr>
        <w:t xml:space="preserve">. Avinza - 24-h sustained-release oral morphine therapy. Expert </w:t>
      </w:r>
      <w:r w:rsidR="008D0565" w:rsidRPr="00D61F73">
        <w:rPr>
          <w:rFonts w:ascii="Arial" w:hAnsi="Arial" w:cs="Arial"/>
          <w:i/>
        </w:rPr>
        <w:t>Opin Pharmacother</w:t>
      </w:r>
      <w:r w:rsidR="008D0565" w:rsidRPr="00D61F73">
        <w:rPr>
          <w:rFonts w:ascii="Arial" w:hAnsi="Arial" w:cs="Arial"/>
        </w:rPr>
        <w:t>. 2004;5:469-72</w:t>
      </w:r>
    </w:p>
    <w:p w14:paraId="2A609472" w14:textId="77777777" w:rsidR="008D0565" w:rsidRPr="00D61F73" w:rsidRDefault="008D0565" w:rsidP="00D61F73">
      <w:pPr>
        <w:rPr>
          <w:rFonts w:ascii="Arial" w:hAnsi="Arial" w:cs="Arial"/>
        </w:rPr>
      </w:pPr>
    </w:p>
    <w:p w14:paraId="562BB101" w14:textId="77777777" w:rsidR="008D0565" w:rsidRPr="00D61F73" w:rsidRDefault="00751163" w:rsidP="00D61F73">
      <w:pPr>
        <w:rPr>
          <w:rFonts w:ascii="Arial" w:hAnsi="Arial" w:cs="Arial"/>
        </w:rPr>
      </w:pPr>
      <w:hyperlink w:anchor="CDC2012" w:history="1">
        <w:r w:rsidR="008D0565" w:rsidRPr="00D61F73">
          <w:rPr>
            <w:rStyle w:val="Hyperlink"/>
            <w:rFonts w:ascii="Arial" w:hAnsi="Arial" w:cs="Arial"/>
          </w:rPr>
          <w:t>Centers for Disease Control and Prevention (CDC).</w:t>
        </w:r>
      </w:hyperlink>
      <w:r w:rsidR="008D0565" w:rsidRPr="00D61F73">
        <w:rPr>
          <w:rFonts w:ascii="Arial" w:hAnsi="Arial" w:cs="Arial"/>
        </w:rPr>
        <w:t xml:space="preserve"> CDC Grand Rounds: Prescription Drug Overdoses - a U.S. Epidemic.MMWR Morb Mortal Wkly Rep. 2012 Jan 13;61:10-3.</w:t>
      </w:r>
    </w:p>
    <w:p w14:paraId="65325A2A" w14:textId="77777777" w:rsidR="008D0565" w:rsidRPr="00D61F73" w:rsidRDefault="008D0565" w:rsidP="00D61F73">
      <w:pPr>
        <w:rPr>
          <w:rFonts w:ascii="Arial" w:hAnsi="Arial" w:cs="Arial"/>
        </w:rPr>
      </w:pPr>
    </w:p>
    <w:p w14:paraId="57B9DF30" w14:textId="77777777" w:rsidR="008D0565" w:rsidRPr="00D61F73" w:rsidRDefault="00751163" w:rsidP="00D61F73">
      <w:pPr>
        <w:rPr>
          <w:rFonts w:ascii="Arial" w:hAnsi="Arial" w:cs="Arial"/>
        </w:rPr>
      </w:pPr>
      <w:hyperlink w:anchor="CenterforSubstanceAbuseTreatment2009" w:history="1">
        <w:r w:rsidR="008D0565" w:rsidRPr="00D61F73">
          <w:rPr>
            <w:rStyle w:val="Hyperlink"/>
            <w:rFonts w:ascii="Arial" w:hAnsi="Arial" w:cs="Arial"/>
          </w:rPr>
          <w:t>Center for Substance Abuse Treatment</w:t>
        </w:r>
      </w:hyperlink>
      <w:r w:rsidR="008D0565" w:rsidRPr="00D61F73">
        <w:rPr>
          <w:rFonts w:ascii="Arial" w:hAnsi="Arial" w:cs="Arial"/>
        </w:rPr>
        <w:t xml:space="preserve"> (2009). Emerging Issues in the Use of Methadone. HHS Publication No. (SMA) 09-4368. </w:t>
      </w:r>
      <w:r w:rsidR="008D0565" w:rsidRPr="00D61F73">
        <w:rPr>
          <w:rFonts w:ascii="Arial" w:hAnsi="Arial" w:cs="Arial"/>
          <w:i/>
        </w:rPr>
        <w:t xml:space="preserve">Substance Abuse Treatment Advisory, </w:t>
      </w:r>
      <w:r w:rsidR="008D0565" w:rsidRPr="00D61F73">
        <w:rPr>
          <w:rFonts w:ascii="Arial" w:hAnsi="Arial" w:cs="Arial"/>
        </w:rPr>
        <w:t>Volume 8, Issue 1.</w:t>
      </w:r>
    </w:p>
    <w:p w14:paraId="10B41DCA" w14:textId="77777777" w:rsidR="008D0565" w:rsidRPr="00D61F73" w:rsidRDefault="008D0565" w:rsidP="00D61F73">
      <w:pPr>
        <w:rPr>
          <w:rFonts w:ascii="Arial" w:hAnsi="Arial" w:cs="Arial"/>
        </w:rPr>
      </w:pPr>
    </w:p>
    <w:p w14:paraId="68E790B1" w14:textId="77777777" w:rsidR="008D0565" w:rsidRPr="00D61F73" w:rsidRDefault="00751163" w:rsidP="00D61F73">
      <w:pPr>
        <w:pStyle w:val="BodyText"/>
        <w:rPr>
          <w:rFonts w:ascii="Arial" w:hAnsi="Arial" w:cs="Arial"/>
          <w:b w:val="0"/>
          <w:bCs w:val="0"/>
        </w:rPr>
      </w:pPr>
      <w:hyperlink w:anchor="Cepeda" w:history="1">
        <w:r w:rsidR="008D0565" w:rsidRPr="00D61F73">
          <w:rPr>
            <w:rStyle w:val="Hyperlink"/>
            <w:rFonts w:ascii="Arial" w:hAnsi="Arial" w:cs="Arial"/>
            <w:b w:val="0"/>
            <w:bCs w:val="0"/>
          </w:rPr>
          <w:t>Cepeda M, Carr D, Lau J.</w:t>
        </w:r>
      </w:hyperlink>
      <w:r w:rsidR="008D0565" w:rsidRPr="00D61F73">
        <w:rPr>
          <w:rFonts w:ascii="Arial" w:hAnsi="Arial" w:cs="Arial"/>
          <w:b w:val="0"/>
          <w:bCs w:val="0"/>
        </w:rPr>
        <w:t xml:space="preserve"> Local anesthetic sympathetic blockade for complex regional pain syndrome. Cochrane Database Syst Rev. 2005 Oct 19;4:CD004598. </w:t>
      </w:r>
    </w:p>
    <w:p w14:paraId="16A6CCFD" w14:textId="77777777" w:rsidR="008D0565" w:rsidRPr="00D61F73" w:rsidRDefault="008D0565" w:rsidP="00D61F73">
      <w:pPr>
        <w:rPr>
          <w:rFonts w:ascii="Arial" w:hAnsi="Arial" w:cs="Arial"/>
        </w:rPr>
      </w:pPr>
    </w:p>
    <w:p w14:paraId="1812D4F6" w14:textId="77777777" w:rsidR="008D0565" w:rsidRPr="00D61F73" w:rsidRDefault="00751163" w:rsidP="00D61F73">
      <w:pPr>
        <w:rPr>
          <w:rFonts w:ascii="Arial" w:hAnsi="Arial" w:cs="Arial"/>
        </w:rPr>
      </w:pPr>
      <w:hyperlink w:anchor="Cepeda2" w:history="1">
        <w:r w:rsidR="008D0565" w:rsidRPr="00D61F73">
          <w:rPr>
            <w:rStyle w:val="Hyperlink"/>
            <w:rFonts w:ascii="Arial" w:hAnsi="Arial" w:cs="Arial"/>
          </w:rPr>
          <w:t>Cepeda MS, Camargo F, Zea C, Valencia L</w:t>
        </w:r>
      </w:hyperlink>
      <w:r w:rsidR="008D0565" w:rsidRPr="00D61F73">
        <w:rPr>
          <w:rFonts w:ascii="Arial" w:hAnsi="Arial" w:cs="Arial"/>
        </w:rPr>
        <w:t xml:space="preserve">. Tramadol for osteoarthritis. </w:t>
      </w:r>
      <w:r w:rsidR="008D0565" w:rsidRPr="00D61F73">
        <w:rPr>
          <w:rFonts w:ascii="Arial" w:hAnsi="Arial" w:cs="Arial"/>
          <w:i/>
        </w:rPr>
        <w:t>Cochrane Database Syst Rev</w:t>
      </w:r>
      <w:r w:rsidR="008D0565" w:rsidRPr="00D61F73">
        <w:rPr>
          <w:rFonts w:ascii="Arial" w:hAnsi="Arial" w:cs="Arial"/>
        </w:rPr>
        <w:t>. 2006 ;19;3:CD005522.</w:t>
      </w:r>
    </w:p>
    <w:p w14:paraId="2580AD0C" w14:textId="77777777" w:rsidR="008D0565" w:rsidRPr="00D61F73" w:rsidRDefault="008D0565" w:rsidP="00D61F73">
      <w:pPr>
        <w:rPr>
          <w:rFonts w:ascii="Arial" w:hAnsi="Arial" w:cs="Arial"/>
        </w:rPr>
      </w:pPr>
    </w:p>
    <w:p w14:paraId="547B6A5E" w14:textId="77777777" w:rsidR="008D0565" w:rsidRPr="00D61F73" w:rsidRDefault="00751163" w:rsidP="00D61F73">
      <w:pPr>
        <w:rPr>
          <w:rFonts w:ascii="Arial" w:hAnsi="Arial" w:cs="Arial"/>
        </w:rPr>
      </w:pPr>
      <w:hyperlink w:anchor="CFSAN" w:history="1">
        <w:r w:rsidR="008D0565" w:rsidRPr="00D61F73">
          <w:rPr>
            <w:rStyle w:val="Hyperlink"/>
            <w:rFonts w:ascii="Arial" w:hAnsi="Arial" w:cs="Arial"/>
          </w:rPr>
          <w:t>CFSAN/Office of Nutritional Products, Labeling, and Dietary Supplements.</w:t>
        </w:r>
      </w:hyperlink>
      <w:r w:rsidR="008D0565" w:rsidRPr="00D61F73">
        <w:rPr>
          <w:rFonts w:ascii="Arial" w:hAnsi="Arial" w:cs="Arial"/>
        </w:rPr>
        <w:t xml:space="preserve"> Guidance for Industry: Frequently Asked Questions About Medical Foods. Center for Food and Safety and Applied Nutrition, FDA. Accessed: July 2008</w:t>
      </w:r>
    </w:p>
    <w:p w14:paraId="1DAC7D27" w14:textId="77777777" w:rsidR="008D0565" w:rsidRPr="00D61F73" w:rsidRDefault="008D0565" w:rsidP="00D61F73">
      <w:pPr>
        <w:rPr>
          <w:rFonts w:ascii="Arial" w:hAnsi="Arial" w:cs="Arial"/>
        </w:rPr>
      </w:pPr>
    </w:p>
    <w:p w14:paraId="7D4A154F" w14:textId="77777777" w:rsidR="008D0565" w:rsidRPr="00D61F73" w:rsidRDefault="00751163" w:rsidP="00D61F73">
      <w:pPr>
        <w:rPr>
          <w:rFonts w:ascii="Arial" w:hAnsi="Arial" w:cs="Arial"/>
        </w:rPr>
      </w:pPr>
      <w:hyperlink w:anchor="Chan" w:history="1">
        <w:r w:rsidR="008D0565" w:rsidRPr="00D61F73">
          <w:rPr>
            <w:rStyle w:val="Hyperlink"/>
            <w:rFonts w:ascii="Arial" w:hAnsi="Arial" w:cs="Arial"/>
          </w:rPr>
          <w:t>Chan FK, Graham DY</w:t>
        </w:r>
      </w:hyperlink>
      <w:r w:rsidR="008D0565" w:rsidRPr="00D61F73">
        <w:rPr>
          <w:rFonts w:ascii="Arial" w:hAnsi="Arial" w:cs="Arial"/>
        </w:rPr>
        <w:t xml:space="preserve">. Review article: prevention of non-steroidal anti-inflammatory drug gastrointestinal complications--review and recommendations based on risk assessment. </w:t>
      </w:r>
      <w:r w:rsidR="008D0565" w:rsidRPr="00D61F73">
        <w:rPr>
          <w:rFonts w:ascii="Arial" w:hAnsi="Arial" w:cs="Arial"/>
          <w:i/>
        </w:rPr>
        <w:t>Aliment Pharmacol Ther</w:t>
      </w:r>
      <w:r w:rsidR="008D0565" w:rsidRPr="00D61F73">
        <w:rPr>
          <w:rFonts w:ascii="Arial" w:hAnsi="Arial" w:cs="Arial"/>
        </w:rPr>
        <w:t>. 2004;19:1051-61.</w:t>
      </w:r>
    </w:p>
    <w:p w14:paraId="1E20773B" w14:textId="77777777" w:rsidR="008D0565" w:rsidRPr="00D61F73" w:rsidRDefault="008D0565" w:rsidP="00D61F73">
      <w:pPr>
        <w:rPr>
          <w:rFonts w:ascii="Arial" w:hAnsi="Arial" w:cs="Arial"/>
        </w:rPr>
      </w:pPr>
    </w:p>
    <w:p w14:paraId="5E8ACBE7" w14:textId="77777777" w:rsidR="008D0565" w:rsidRPr="00D61F73" w:rsidRDefault="00751163" w:rsidP="00D61F73">
      <w:pPr>
        <w:rPr>
          <w:rFonts w:ascii="Arial" w:hAnsi="Arial" w:cs="Arial"/>
        </w:rPr>
      </w:pPr>
      <w:hyperlink w:anchor="Chan2" w:history="1">
        <w:r w:rsidR="008D0565" w:rsidRPr="00D61F73">
          <w:rPr>
            <w:rStyle w:val="Hyperlink"/>
            <w:rFonts w:ascii="Arial" w:hAnsi="Arial" w:cs="Arial"/>
          </w:rPr>
          <w:t>Chan AT, Manson JE, Albert CM, Chae CU, Rexrode KM, Curhan GC, Rimm EB, Willett WC, Fuchs CS</w:t>
        </w:r>
      </w:hyperlink>
      <w:r w:rsidR="008D0565" w:rsidRPr="00D61F73">
        <w:rPr>
          <w:rFonts w:ascii="Arial" w:hAnsi="Arial" w:cs="Arial"/>
        </w:rPr>
        <w:t>. Nonsteroidal antiinflammatory drugs, acetaminophen, and the risk of cardiovascular events. Circulation. 2006;113:1578-87.</w:t>
      </w:r>
    </w:p>
    <w:p w14:paraId="0DBD42F9" w14:textId="77777777" w:rsidR="008D0565" w:rsidRPr="00D61F73" w:rsidRDefault="008D0565" w:rsidP="00D61F73">
      <w:pPr>
        <w:rPr>
          <w:rFonts w:ascii="Arial" w:hAnsi="Arial" w:cs="Arial"/>
        </w:rPr>
      </w:pPr>
    </w:p>
    <w:p w14:paraId="30BF0D12" w14:textId="77777777" w:rsidR="008D0565" w:rsidRPr="00D61F73" w:rsidRDefault="00751163" w:rsidP="00D61F73">
      <w:pPr>
        <w:rPr>
          <w:rFonts w:ascii="Arial" w:hAnsi="Arial" w:cs="Arial"/>
          <w:color w:val="auto"/>
        </w:rPr>
      </w:pPr>
      <w:hyperlink w:anchor="Chan2002" w:history="1">
        <w:r w:rsidR="008D0565" w:rsidRPr="00D61F73">
          <w:rPr>
            <w:rStyle w:val="Hyperlink"/>
            <w:rFonts w:ascii="Arial" w:hAnsi="Arial" w:cs="Arial"/>
          </w:rPr>
          <w:t>Chan FK, To KF, Wu JC, Yung MY, Leung WK, Kwok T, Hui Y, Chan HL, Chan CS, Hui E, Woo J, Sung JJ.</w:t>
        </w:r>
      </w:hyperlink>
      <w:r w:rsidR="008D0565" w:rsidRPr="00D61F73">
        <w:rPr>
          <w:rFonts w:ascii="Arial" w:hAnsi="Arial" w:cs="Arial"/>
        </w:rPr>
        <w:t xml:space="preserve"> Eradication of Helicobacter pylori and risk of peptic ulcers in patients starting long-term treatment with non-steroidal anti-inflammatory drugs: a randomised trial</w:t>
      </w:r>
      <w:r w:rsidR="008D0565" w:rsidRPr="00D61F73">
        <w:rPr>
          <w:rFonts w:ascii="Arial" w:hAnsi="Arial" w:cs="Arial"/>
          <w:i/>
        </w:rPr>
        <w:t>. Lancet</w:t>
      </w:r>
      <w:r w:rsidR="008D0565" w:rsidRPr="00D61F73">
        <w:rPr>
          <w:rFonts w:ascii="Arial" w:hAnsi="Arial" w:cs="Arial"/>
        </w:rPr>
        <w:t>. 2002;359:9-13.</w:t>
      </w:r>
    </w:p>
    <w:p w14:paraId="2C653160" w14:textId="77777777" w:rsidR="008D0565" w:rsidRPr="00D61F73" w:rsidRDefault="008D0565" w:rsidP="00D61F73">
      <w:pPr>
        <w:rPr>
          <w:rFonts w:ascii="Arial" w:eastAsia="Calibri" w:hAnsi="Arial" w:cs="Arial"/>
        </w:rPr>
      </w:pPr>
    </w:p>
    <w:p w14:paraId="4123EE71" w14:textId="77777777" w:rsidR="008D0565" w:rsidRPr="00D61F73" w:rsidRDefault="00751163" w:rsidP="00D61F73">
      <w:pPr>
        <w:rPr>
          <w:rFonts w:ascii="Arial" w:hAnsi="Arial" w:cs="Arial"/>
        </w:rPr>
      </w:pPr>
      <w:hyperlink w:anchor="Chan2001" w:history="1">
        <w:r w:rsidR="008D0565" w:rsidRPr="00D61F73">
          <w:rPr>
            <w:rStyle w:val="Hyperlink"/>
            <w:rFonts w:ascii="Arial" w:hAnsi="Arial" w:cs="Arial"/>
          </w:rPr>
          <w:t>Chan FK, Chung SC, Suen BY, Lee YT, Leung WK, Leung VK, Wu JC, Lau JY, Hui Y, Lai MS, Chan HL, Sung JJ</w:t>
        </w:r>
      </w:hyperlink>
      <w:r w:rsidR="008D0565" w:rsidRPr="00D61F73">
        <w:rPr>
          <w:rFonts w:ascii="Arial" w:hAnsi="Arial" w:cs="Arial"/>
        </w:rPr>
        <w:t xml:space="preserve">. Preventing recurrent upper gastrointestinal bleeding in patients with </w:t>
      </w:r>
      <w:r w:rsidR="008D0565" w:rsidRPr="00D61F73">
        <w:rPr>
          <w:rFonts w:ascii="Arial" w:hAnsi="Arial" w:cs="Arial"/>
        </w:rPr>
        <w:lastRenderedPageBreak/>
        <w:t xml:space="preserve">Helicobacter pylori infection who are taking low-dose aspirin or naproxen. </w:t>
      </w:r>
      <w:r w:rsidR="008D0565" w:rsidRPr="00D61F73">
        <w:rPr>
          <w:rFonts w:ascii="Arial" w:hAnsi="Arial" w:cs="Arial"/>
          <w:i/>
        </w:rPr>
        <w:t>N Engl J Med</w:t>
      </w:r>
      <w:r w:rsidR="008D0565" w:rsidRPr="00D61F73">
        <w:rPr>
          <w:rFonts w:ascii="Arial" w:hAnsi="Arial" w:cs="Arial"/>
        </w:rPr>
        <w:t>. 2001;344:967-73.</w:t>
      </w:r>
    </w:p>
    <w:p w14:paraId="1A7F323B" w14:textId="77777777" w:rsidR="008D0565" w:rsidRPr="00D61F73" w:rsidRDefault="008D0565" w:rsidP="00D61F73">
      <w:pPr>
        <w:pStyle w:val="Footer"/>
        <w:tabs>
          <w:tab w:val="clear" w:pos="4320"/>
          <w:tab w:val="clear" w:pos="8640"/>
        </w:tabs>
        <w:rPr>
          <w:rFonts w:ascii="Arial" w:hAnsi="Arial" w:cs="Arial"/>
        </w:rPr>
      </w:pPr>
    </w:p>
    <w:p w14:paraId="1CB6B85C" w14:textId="77777777" w:rsidR="008D0565" w:rsidRPr="00D61F73" w:rsidRDefault="00751163" w:rsidP="00D61F73">
      <w:pPr>
        <w:rPr>
          <w:rFonts w:ascii="Arial" w:hAnsi="Arial" w:cs="Arial"/>
        </w:rPr>
      </w:pPr>
      <w:hyperlink w:anchor="Chang2014" w:history="1">
        <w:r w:rsidR="008D0565" w:rsidRPr="00D61F73">
          <w:rPr>
            <w:rStyle w:val="Hyperlink"/>
            <w:rFonts w:ascii="Arial" w:hAnsi="Arial" w:cs="Arial"/>
          </w:rPr>
          <w:t>Chang AK</w:t>
        </w:r>
      </w:hyperlink>
      <w:r w:rsidR="008D0565" w:rsidRPr="00D61F73">
        <w:rPr>
          <w:rFonts w:ascii="Arial" w:hAnsi="Arial" w:cs="Arial"/>
        </w:rPr>
        <w:t>. Hydrocodone/Acetaminophen Not Superior to Codeine/Acetaminophen for Acute Pain. American Academy of Pain Medicine (AAPM) 30th Annual Meeting. Abstract 163. Presented March 8, 2014.</w:t>
      </w:r>
    </w:p>
    <w:p w14:paraId="28CB5A5E" w14:textId="77777777" w:rsidR="008D0565" w:rsidRPr="00D61F73" w:rsidRDefault="008D0565" w:rsidP="00D61F73">
      <w:pPr>
        <w:rPr>
          <w:rFonts w:ascii="Arial" w:hAnsi="Arial" w:cs="Arial"/>
        </w:rPr>
      </w:pPr>
    </w:p>
    <w:p w14:paraId="1C56A3CA" w14:textId="77777777" w:rsidR="008D0565" w:rsidRPr="00D61F73" w:rsidRDefault="00751163" w:rsidP="00D61F73">
      <w:pPr>
        <w:rPr>
          <w:rFonts w:ascii="Arial" w:hAnsi="Arial" w:cs="Arial"/>
        </w:rPr>
      </w:pPr>
      <w:hyperlink w:anchor="Chen" w:history="1">
        <w:r w:rsidR="008D0565" w:rsidRPr="00D61F73">
          <w:rPr>
            <w:rStyle w:val="Hyperlink"/>
            <w:rFonts w:ascii="Arial" w:hAnsi="Arial" w:cs="Arial"/>
          </w:rPr>
          <w:t>Chen YF, Jobanputra P, Barton P, Bryan S, Fry-Smith A, Harris G, Taylor RS.</w:t>
        </w:r>
      </w:hyperlink>
      <w:r w:rsidR="008D0565" w:rsidRPr="00D61F73">
        <w:rPr>
          <w:rFonts w:ascii="Arial" w:hAnsi="Arial" w:cs="Arial"/>
        </w:rPr>
        <w:t xml:space="preserve"> Cyclooxygenase-2 selective non-steroidal anti-inflammatory drugs (etodolac, meloxicam, celecoxib, rofecoxib, etoricoxib, valdecoxib and lumiracoxib) for osteoarthritis and rheumatoid arthritis: a systematic review and economic evaluation. </w:t>
      </w:r>
      <w:r w:rsidR="008D0565" w:rsidRPr="00D61F73">
        <w:rPr>
          <w:rFonts w:ascii="Arial" w:hAnsi="Arial" w:cs="Arial"/>
          <w:i/>
          <w:iCs/>
        </w:rPr>
        <w:t>Health Technol Assess</w:t>
      </w:r>
      <w:r w:rsidR="008D0565" w:rsidRPr="00D61F73">
        <w:rPr>
          <w:rFonts w:ascii="Arial" w:hAnsi="Arial" w:cs="Arial"/>
        </w:rPr>
        <w:t>. 2008 Apr;12(11):1-178.</w:t>
      </w:r>
    </w:p>
    <w:p w14:paraId="42D6357A" w14:textId="77777777" w:rsidR="008D0565" w:rsidRPr="00D61F73" w:rsidRDefault="008D0565" w:rsidP="00D61F73">
      <w:pPr>
        <w:rPr>
          <w:rFonts w:ascii="Arial" w:hAnsi="Arial" w:cs="Arial"/>
        </w:rPr>
      </w:pPr>
    </w:p>
    <w:p w14:paraId="2ECE72E5" w14:textId="77777777" w:rsidR="008D0565" w:rsidRPr="00D61F73" w:rsidRDefault="00751163" w:rsidP="00D61F73">
      <w:pPr>
        <w:rPr>
          <w:rFonts w:ascii="Arial" w:hAnsi="Arial" w:cs="Arial"/>
        </w:rPr>
      </w:pPr>
      <w:hyperlink w:anchor="Chessick" w:history="1">
        <w:r w:rsidR="008D0565" w:rsidRPr="00D61F73">
          <w:rPr>
            <w:rStyle w:val="Hyperlink"/>
            <w:rFonts w:ascii="Arial" w:hAnsi="Arial" w:cs="Arial"/>
          </w:rPr>
          <w:t>Chessick CA, Allen MH, Thase M, Batista Miralha da Cunha AB, Kapczinski FF, de Lima MS, dos Santos Souza JJ</w:t>
        </w:r>
      </w:hyperlink>
      <w:r w:rsidR="008D0565" w:rsidRPr="00D61F73">
        <w:rPr>
          <w:rFonts w:ascii="Arial" w:hAnsi="Arial" w:cs="Arial"/>
        </w:rPr>
        <w:t xml:space="preserve">. Azapirones for generalized anxiety disorder. </w:t>
      </w:r>
      <w:r w:rsidR="008D0565" w:rsidRPr="00D61F73">
        <w:rPr>
          <w:rFonts w:ascii="Arial" w:hAnsi="Arial" w:cs="Arial"/>
          <w:i/>
        </w:rPr>
        <w:t>Cochrane Database Syst Rev</w:t>
      </w:r>
      <w:r w:rsidR="008D0565" w:rsidRPr="00D61F73">
        <w:rPr>
          <w:rFonts w:ascii="Arial" w:hAnsi="Arial" w:cs="Arial"/>
        </w:rPr>
        <w:t>. 2006; 3: CD006115.</w:t>
      </w:r>
    </w:p>
    <w:p w14:paraId="411A9268" w14:textId="77777777" w:rsidR="008D0565" w:rsidRPr="00D61F73" w:rsidRDefault="008D0565" w:rsidP="00D61F73">
      <w:pPr>
        <w:rPr>
          <w:rFonts w:ascii="Arial" w:hAnsi="Arial" w:cs="Arial"/>
        </w:rPr>
      </w:pPr>
    </w:p>
    <w:p w14:paraId="336F8A1B" w14:textId="77777777" w:rsidR="00154FB8" w:rsidRPr="00D61F73" w:rsidRDefault="00751163" w:rsidP="00D61F73">
      <w:pPr>
        <w:rPr>
          <w:rFonts w:ascii="Arial" w:hAnsi="Arial" w:cs="Arial"/>
        </w:rPr>
      </w:pPr>
      <w:hyperlink w:anchor="Choi" w:history="1">
        <w:r w:rsidR="008D0565" w:rsidRPr="00D61F73">
          <w:rPr>
            <w:rStyle w:val="Hyperlink"/>
            <w:rFonts w:ascii="Arial" w:hAnsi="Arial" w:cs="Arial"/>
          </w:rPr>
          <w:t>Choi HK, Seeger JD, Kuntz KM</w:t>
        </w:r>
      </w:hyperlink>
      <w:r w:rsidR="008D0565" w:rsidRPr="00D61F73">
        <w:rPr>
          <w:rFonts w:ascii="Arial" w:hAnsi="Arial" w:cs="Arial"/>
        </w:rPr>
        <w:t xml:space="preserve">, Effects of rofecoxib and naproxen on life expectancy among patients with rheumatoid arthritis: a decision analysis, </w:t>
      </w:r>
      <w:r w:rsidR="008D0565" w:rsidRPr="00D61F73">
        <w:rPr>
          <w:rFonts w:ascii="Arial" w:hAnsi="Arial" w:cs="Arial"/>
          <w:i/>
          <w:iCs/>
        </w:rPr>
        <w:t>Am J Med</w:t>
      </w:r>
      <w:r w:rsidR="008D0565" w:rsidRPr="00D61F73">
        <w:rPr>
          <w:rFonts w:ascii="Arial" w:hAnsi="Arial" w:cs="Arial"/>
        </w:rPr>
        <w:t>. 2004 May 1;116(9):621-9.</w:t>
      </w:r>
    </w:p>
    <w:p w14:paraId="5911FDFB" w14:textId="77777777" w:rsidR="008D0565" w:rsidRPr="00D61F73" w:rsidRDefault="008D0565" w:rsidP="00D61F73">
      <w:pPr>
        <w:rPr>
          <w:rFonts w:ascii="Arial" w:hAnsi="Arial" w:cs="Arial"/>
        </w:rPr>
      </w:pPr>
    </w:p>
    <w:p w14:paraId="22496DA9" w14:textId="77777777" w:rsidR="008D0565" w:rsidRPr="00D61F73" w:rsidRDefault="00751163" w:rsidP="00D61F73">
      <w:pPr>
        <w:rPr>
          <w:rFonts w:ascii="Arial" w:hAnsi="Arial" w:cs="Arial"/>
        </w:rPr>
      </w:pPr>
      <w:hyperlink w:anchor="Chou" w:history="1">
        <w:r w:rsidR="008D0565" w:rsidRPr="00D61F73">
          <w:rPr>
            <w:rStyle w:val="Hyperlink"/>
            <w:rFonts w:ascii="Arial" w:hAnsi="Arial" w:cs="Arial"/>
          </w:rPr>
          <w:t>Chou R, Helfand M, Peterson K, Dana T, Roberts C.</w:t>
        </w:r>
      </w:hyperlink>
      <w:r w:rsidR="008D0565" w:rsidRPr="00D61F73">
        <w:rPr>
          <w:rFonts w:ascii="Arial" w:hAnsi="Arial" w:cs="Arial"/>
        </w:rPr>
        <w:t xml:space="preserve"> Comparative Effectiveness and Safety of Analgesics for Osteoarthritis. Comparative Effectiveness Review No. 4. (Prepared by the Oregon Evidence-based Practice Center under Contract No. 290-02-0024.) Rockville, MD: Agency for Healthcare Research and Quality. September 2006.</w:t>
      </w:r>
    </w:p>
    <w:p w14:paraId="7600C050" w14:textId="77777777" w:rsidR="008D0565" w:rsidRPr="00D61F73" w:rsidRDefault="008D0565" w:rsidP="00D61F73">
      <w:pPr>
        <w:rPr>
          <w:rFonts w:ascii="Arial" w:hAnsi="Arial" w:cs="Arial"/>
        </w:rPr>
      </w:pPr>
    </w:p>
    <w:p w14:paraId="15DEA7B0" w14:textId="77777777" w:rsidR="008D0565" w:rsidRPr="00D61F73" w:rsidRDefault="00751163" w:rsidP="00D61F73">
      <w:pPr>
        <w:rPr>
          <w:rFonts w:ascii="Arial" w:hAnsi="Arial" w:cs="Arial"/>
        </w:rPr>
      </w:pPr>
      <w:hyperlink w:anchor="Chou2004" w:history="1">
        <w:r w:rsidR="008D0565" w:rsidRPr="00D61F73">
          <w:rPr>
            <w:rStyle w:val="Hyperlink"/>
            <w:rFonts w:ascii="Arial" w:hAnsi="Arial" w:cs="Arial"/>
          </w:rPr>
          <w:t>Chou R, Peterson K, Helfand M</w:t>
        </w:r>
      </w:hyperlink>
      <w:r w:rsidR="008D0565" w:rsidRPr="00D61F73">
        <w:rPr>
          <w:rFonts w:ascii="Arial" w:hAnsi="Arial" w:cs="Arial"/>
        </w:rPr>
        <w:t>. Comparative efficacy and safety of skeletal muscle relaxants for spasticity and musculoskeletal conditions: a systematic review</w:t>
      </w:r>
      <w:r w:rsidR="008D0565" w:rsidRPr="00D61F73">
        <w:rPr>
          <w:rFonts w:ascii="Arial" w:hAnsi="Arial" w:cs="Arial"/>
          <w:i/>
          <w:iCs/>
        </w:rPr>
        <w:t>. J Pain Symptom Manage.</w:t>
      </w:r>
      <w:r w:rsidR="008D0565" w:rsidRPr="00D61F73">
        <w:rPr>
          <w:rFonts w:ascii="Arial" w:hAnsi="Arial" w:cs="Arial"/>
        </w:rPr>
        <w:t xml:space="preserve"> 2004;28:140-75.</w:t>
      </w:r>
    </w:p>
    <w:p w14:paraId="19D3D0B3" w14:textId="77777777" w:rsidR="00BB6C11" w:rsidRPr="00D61F73" w:rsidRDefault="00BB6C11" w:rsidP="00D61F73">
      <w:pPr>
        <w:rPr>
          <w:rFonts w:ascii="Arial" w:hAnsi="Arial" w:cs="Arial"/>
          <w:color w:val="auto"/>
        </w:rPr>
      </w:pPr>
    </w:p>
    <w:p w14:paraId="6DFA1A9F" w14:textId="77777777" w:rsidR="008D0565" w:rsidRPr="00D61F73" w:rsidRDefault="00751163" w:rsidP="00D61F73">
      <w:pPr>
        <w:rPr>
          <w:rFonts w:ascii="Arial" w:hAnsi="Arial" w:cs="Arial"/>
        </w:rPr>
      </w:pPr>
      <w:hyperlink w:anchor="Chu" w:history="1">
        <w:r w:rsidR="008D0565" w:rsidRPr="00D61F73">
          <w:rPr>
            <w:rStyle w:val="Hyperlink"/>
            <w:rFonts w:ascii="Arial" w:hAnsi="Arial" w:cs="Arial"/>
          </w:rPr>
          <w:t>Chu PS, Ma WK, Wong SC, Chu RW, Cheng CH, Wong S, Tse JM, Lau FL, Yiu MK, Man CW</w:t>
        </w:r>
      </w:hyperlink>
      <w:r w:rsidR="008D0565" w:rsidRPr="00D61F73">
        <w:rPr>
          <w:rFonts w:ascii="Arial" w:hAnsi="Arial" w:cs="Arial"/>
        </w:rPr>
        <w:t xml:space="preserve">. The destruction of the lower urinary tract by ketamine abuse: a new syndrome? </w:t>
      </w:r>
      <w:r w:rsidR="008D0565" w:rsidRPr="00D61F73">
        <w:rPr>
          <w:rFonts w:ascii="Arial" w:hAnsi="Arial" w:cs="Arial"/>
          <w:i/>
          <w:iCs/>
        </w:rPr>
        <w:t>BJU Int</w:t>
      </w:r>
      <w:r w:rsidR="008D0565" w:rsidRPr="00D61F73">
        <w:rPr>
          <w:rFonts w:ascii="Arial" w:hAnsi="Arial" w:cs="Arial"/>
        </w:rPr>
        <w:t>. 2008 Dec;102(11):1616-22. Epub 2008 Aug 1.</w:t>
      </w:r>
    </w:p>
    <w:p w14:paraId="2EDC3D6C" w14:textId="77777777" w:rsidR="008D0565" w:rsidRPr="00D61F73" w:rsidRDefault="008D0565" w:rsidP="00D61F73">
      <w:pPr>
        <w:rPr>
          <w:rFonts w:ascii="Arial" w:hAnsi="Arial" w:cs="Arial"/>
        </w:rPr>
      </w:pPr>
    </w:p>
    <w:p w14:paraId="522D3538" w14:textId="77777777" w:rsidR="008D0565" w:rsidRPr="00D61F73" w:rsidRDefault="00751163" w:rsidP="00D61F73">
      <w:pPr>
        <w:rPr>
          <w:rFonts w:ascii="Arial" w:hAnsi="Arial" w:cs="Arial"/>
        </w:rPr>
      </w:pPr>
      <w:hyperlink w:anchor="Clark2011" w:history="1">
        <w:r w:rsidR="008D0565" w:rsidRPr="00D61F73">
          <w:rPr>
            <w:rStyle w:val="Hyperlink"/>
            <w:rFonts w:ascii="Arial" w:hAnsi="Arial" w:cs="Arial"/>
          </w:rPr>
          <w:t>Clark RE, Samnaliev M, Baxter JD, Leung GY</w:t>
        </w:r>
      </w:hyperlink>
      <w:r w:rsidR="008D0565" w:rsidRPr="00D61F73">
        <w:rPr>
          <w:rFonts w:ascii="Arial" w:hAnsi="Arial" w:cs="Arial"/>
        </w:rPr>
        <w:t xml:space="preserve">. The Evidence Doesn't Justify Steps By State Medicaid Programs To Restrict Opioid Addiction Treatment With Buprenorphine. </w:t>
      </w:r>
      <w:r w:rsidR="008D0565" w:rsidRPr="00D61F73">
        <w:rPr>
          <w:rFonts w:ascii="Arial" w:hAnsi="Arial" w:cs="Arial"/>
          <w:i/>
          <w:iCs/>
        </w:rPr>
        <w:t xml:space="preserve">Health Aff (Millwood). </w:t>
      </w:r>
      <w:r w:rsidR="008D0565" w:rsidRPr="00D61F73">
        <w:rPr>
          <w:rFonts w:ascii="Arial" w:hAnsi="Arial" w:cs="Arial"/>
        </w:rPr>
        <w:t>2011 Aug;30(8):1425-33.</w:t>
      </w:r>
    </w:p>
    <w:p w14:paraId="2B5F8F25" w14:textId="77777777" w:rsidR="008D0565" w:rsidRPr="00D61F73" w:rsidRDefault="008D0565" w:rsidP="00D61F73">
      <w:pPr>
        <w:rPr>
          <w:rFonts w:ascii="Arial" w:hAnsi="Arial" w:cs="Arial"/>
        </w:rPr>
      </w:pPr>
    </w:p>
    <w:p w14:paraId="0C034434" w14:textId="77777777" w:rsidR="008D0565" w:rsidRPr="00D61F73" w:rsidRDefault="00751163" w:rsidP="00D61F73">
      <w:pPr>
        <w:rPr>
          <w:rFonts w:ascii="Arial" w:hAnsi="Arial" w:cs="Arial"/>
        </w:rPr>
      </w:pPr>
      <w:hyperlink w:anchor="ClinicalPharmacology" w:history="1">
        <w:r w:rsidR="008D0565" w:rsidRPr="00D61F73">
          <w:rPr>
            <w:rStyle w:val="Hyperlink"/>
            <w:rFonts w:ascii="Arial" w:hAnsi="Arial" w:cs="Arial"/>
          </w:rPr>
          <w:t>Clinical Pharmacology</w:t>
        </w:r>
      </w:hyperlink>
      <w:r w:rsidR="008D0565" w:rsidRPr="00D61F73">
        <w:rPr>
          <w:rFonts w:ascii="Arial" w:hAnsi="Arial" w:cs="Arial"/>
        </w:rPr>
        <w:t>. Gold Standard Inc. Tampa, FL. 2008.</w:t>
      </w:r>
    </w:p>
    <w:p w14:paraId="745C367C" w14:textId="77777777" w:rsidR="008D0565" w:rsidRPr="00D61F73" w:rsidRDefault="008D0565" w:rsidP="00D61F73">
      <w:pPr>
        <w:rPr>
          <w:rFonts w:ascii="Arial" w:hAnsi="Arial" w:cs="Arial"/>
        </w:rPr>
      </w:pPr>
    </w:p>
    <w:p w14:paraId="10A32AB6" w14:textId="77777777" w:rsidR="008D0565" w:rsidRPr="00D61F73" w:rsidRDefault="00751163" w:rsidP="00D61F73">
      <w:pPr>
        <w:rPr>
          <w:rFonts w:ascii="Arial" w:hAnsi="Arial" w:cs="Arial"/>
        </w:rPr>
      </w:pPr>
      <w:hyperlink w:anchor="Cluver" w:history="1">
        <w:r w:rsidR="008D0565" w:rsidRPr="00D61F73">
          <w:rPr>
            <w:rStyle w:val="Hyperlink"/>
            <w:rFonts w:ascii="Arial" w:hAnsi="Arial" w:cs="Arial"/>
          </w:rPr>
          <w:t>Cluver JS, Wright TM, Myrick H</w:t>
        </w:r>
      </w:hyperlink>
      <w:r w:rsidR="008D0565" w:rsidRPr="00D61F73">
        <w:rPr>
          <w:rFonts w:ascii="Arial" w:hAnsi="Arial" w:cs="Arial"/>
        </w:rPr>
        <w:t xml:space="preserve">. Pharmacologic interventions for sedative-hypnotic addiction. In Reis RK, Fiellin DA, Miller SC, Saitz R. eds. </w:t>
      </w:r>
      <w:r w:rsidR="008D0565" w:rsidRPr="00D61F73">
        <w:rPr>
          <w:rFonts w:ascii="Arial" w:hAnsi="Arial" w:cs="Arial"/>
          <w:i/>
        </w:rPr>
        <w:t>Principles of Addiction Medicine</w:t>
      </w:r>
      <w:r w:rsidR="008D0565" w:rsidRPr="00D61F73">
        <w:rPr>
          <w:rFonts w:ascii="Arial" w:hAnsi="Arial" w:cs="Arial"/>
        </w:rPr>
        <w:t>, 4</w:t>
      </w:r>
      <w:r w:rsidR="008D0565" w:rsidRPr="00D61F73">
        <w:rPr>
          <w:rFonts w:ascii="Arial" w:hAnsi="Arial" w:cs="Arial"/>
          <w:vertAlign w:val="superscript"/>
        </w:rPr>
        <w:t>th</w:t>
      </w:r>
      <w:r w:rsidR="008D0565" w:rsidRPr="00D61F73">
        <w:rPr>
          <w:rFonts w:ascii="Arial" w:hAnsi="Arial" w:cs="Arial"/>
        </w:rPr>
        <w:t xml:space="preserve"> edition. Lippincott Williams &amp; Wilkins, 2009.</w:t>
      </w:r>
    </w:p>
    <w:p w14:paraId="5EAA3EBD" w14:textId="77777777" w:rsidR="008D0565" w:rsidRPr="00D61F73" w:rsidRDefault="008D0565" w:rsidP="00D61F73">
      <w:pPr>
        <w:rPr>
          <w:rFonts w:ascii="Arial" w:hAnsi="Arial" w:cs="Arial"/>
        </w:rPr>
      </w:pPr>
    </w:p>
    <w:p w14:paraId="4435C275" w14:textId="77777777" w:rsidR="0062661D" w:rsidRPr="00D61F73" w:rsidRDefault="00751163" w:rsidP="00D61F73">
      <w:pPr>
        <w:rPr>
          <w:rFonts w:ascii="Arial" w:hAnsi="Arial" w:cs="Arial"/>
        </w:rPr>
      </w:pPr>
      <w:hyperlink w:anchor="Coffin2013" w:history="1">
        <w:r w:rsidR="0062661D" w:rsidRPr="00D61F73">
          <w:rPr>
            <w:rStyle w:val="Hyperlink"/>
            <w:rFonts w:ascii="Arial" w:hAnsi="Arial" w:cs="Arial"/>
          </w:rPr>
          <w:t>Coffin PO, Sullivan SD.</w:t>
        </w:r>
      </w:hyperlink>
      <w:r w:rsidR="0062661D" w:rsidRPr="00D61F73">
        <w:rPr>
          <w:rFonts w:ascii="Arial" w:hAnsi="Arial" w:cs="Arial"/>
        </w:rPr>
        <w:t xml:space="preserve"> Cost-effectiveness of distributing naloxone to heroin users for lay overdose reversal. Ann Intern Med. 2013;158:1-9.</w:t>
      </w:r>
    </w:p>
    <w:p w14:paraId="5D71EEA0" w14:textId="77777777" w:rsidR="0062661D" w:rsidRPr="00D61F73" w:rsidRDefault="0062661D" w:rsidP="00D61F73">
      <w:pPr>
        <w:rPr>
          <w:rFonts w:ascii="Arial" w:hAnsi="Arial" w:cs="Arial"/>
        </w:rPr>
      </w:pPr>
    </w:p>
    <w:p w14:paraId="76DC4E15" w14:textId="77777777" w:rsidR="008D0565" w:rsidRPr="00D61F73" w:rsidRDefault="00751163" w:rsidP="00D61F73">
      <w:pPr>
        <w:rPr>
          <w:rFonts w:ascii="Arial" w:hAnsi="Arial" w:cs="Arial"/>
        </w:rPr>
      </w:pPr>
      <w:hyperlink w:anchor="Collins" w:history="1">
        <w:r w:rsidR="008D0565" w:rsidRPr="00D61F73">
          <w:rPr>
            <w:rStyle w:val="Hyperlink"/>
            <w:rFonts w:ascii="Arial" w:hAnsi="Arial" w:cs="Arial"/>
          </w:rPr>
          <w:t>Collins SL, Moore RA, McQuayHJ, Wiffen P</w:t>
        </w:r>
      </w:hyperlink>
      <w:r w:rsidR="008D0565" w:rsidRPr="00D61F73">
        <w:rPr>
          <w:rFonts w:ascii="Arial" w:hAnsi="Arial" w:cs="Arial"/>
        </w:rPr>
        <w:t xml:space="preserve">. Antidepressants and anticonvulsants for diabetic neuropathy and postherpetic neuralgia: a quantitative systematic review. </w:t>
      </w:r>
      <w:r w:rsidR="008D0565" w:rsidRPr="00D61F73">
        <w:rPr>
          <w:rFonts w:ascii="Arial" w:hAnsi="Arial" w:cs="Arial"/>
          <w:i/>
          <w:iCs/>
        </w:rPr>
        <w:t>J Pain Symptom Manage.</w:t>
      </w:r>
      <w:r w:rsidR="008D0565" w:rsidRPr="00D61F73">
        <w:rPr>
          <w:rFonts w:ascii="Arial" w:hAnsi="Arial" w:cs="Arial"/>
        </w:rPr>
        <w:t xml:space="preserve"> 2000 Dec;20(6):449-58.</w:t>
      </w:r>
    </w:p>
    <w:p w14:paraId="7CAC7349" w14:textId="77777777" w:rsidR="008D0565" w:rsidRPr="00D61F73" w:rsidRDefault="008D0565" w:rsidP="00D61F73">
      <w:pPr>
        <w:rPr>
          <w:rFonts w:ascii="Arial" w:hAnsi="Arial" w:cs="Arial"/>
        </w:rPr>
      </w:pPr>
    </w:p>
    <w:p w14:paraId="7ECFBADE" w14:textId="77777777" w:rsidR="008D0565" w:rsidRPr="00D61F73" w:rsidRDefault="00751163" w:rsidP="00D61F73">
      <w:pPr>
        <w:rPr>
          <w:rFonts w:ascii="Arial" w:hAnsi="Arial" w:cs="Arial"/>
        </w:rPr>
      </w:pPr>
      <w:hyperlink w:anchor="Colombo" w:history="1">
        <w:r w:rsidR="008D0565" w:rsidRPr="00D61F73">
          <w:rPr>
            <w:rStyle w:val="Hyperlink"/>
            <w:rFonts w:ascii="Arial" w:hAnsi="Arial" w:cs="Arial"/>
          </w:rPr>
          <w:t>Colombo B, Annovazzi PO, Comi G.</w:t>
        </w:r>
      </w:hyperlink>
      <w:r w:rsidR="008D0565" w:rsidRPr="00D61F73">
        <w:rPr>
          <w:rFonts w:ascii="Arial" w:hAnsi="Arial" w:cs="Arial"/>
        </w:rPr>
        <w:t xml:space="preserve"> Medications for neuropathic pain: current trends. </w:t>
      </w:r>
      <w:r w:rsidR="008D0565" w:rsidRPr="00D61F73">
        <w:rPr>
          <w:rFonts w:ascii="Arial" w:hAnsi="Arial" w:cs="Arial"/>
          <w:i/>
          <w:iCs/>
        </w:rPr>
        <w:t>Neurol Sci.</w:t>
      </w:r>
      <w:r w:rsidR="008D0565" w:rsidRPr="00D61F73">
        <w:rPr>
          <w:rFonts w:ascii="Arial" w:hAnsi="Arial" w:cs="Arial"/>
        </w:rPr>
        <w:t xml:space="preserve"> 2006 May;27 Suppl 2:s183-9.</w:t>
      </w:r>
    </w:p>
    <w:p w14:paraId="0240C087" w14:textId="77777777" w:rsidR="008D0565" w:rsidRPr="00D61F73" w:rsidRDefault="008D0565" w:rsidP="00D61F73">
      <w:pPr>
        <w:rPr>
          <w:rFonts w:ascii="Arial" w:hAnsi="Arial" w:cs="Arial"/>
        </w:rPr>
      </w:pPr>
    </w:p>
    <w:p w14:paraId="0926A17C" w14:textId="77777777" w:rsidR="008D0565" w:rsidRPr="00D61F73" w:rsidRDefault="00751163" w:rsidP="00D61F73">
      <w:pPr>
        <w:rPr>
          <w:rFonts w:ascii="Arial" w:hAnsi="Arial" w:cs="Arial"/>
        </w:rPr>
      </w:pPr>
      <w:hyperlink w:anchor="Colson2012" w:history="1">
        <w:r w:rsidR="008D0565" w:rsidRPr="00D61F73">
          <w:rPr>
            <w:rStyle w:val="Hyperlink"/>
            <w:rFonts w:ascii="Arial" w:hAnsi="Arial" w:cs="Arial"/>
          </w:rPr>
          <w:t>Colson J, Helm S, Silverman SM</w:t>
        </w:r>
      </w:hyperlink>
      <w:r w:rsidR="008D0565" w:rsidRPr="00D61F73">
        <w:rPr>
          <w:rFonts w:ascii="Arial" w:hAnsi="Arial" w:cs="Arial"/>
        </w:rPr>
        <w:t xml:space="preserve">. Office-based opioid dependence treatment. </w:t>
      </w:r>
      <w:r w:rsidR="008D0565" w:rsidRPr="00D61F73">
        <w:rPr>
          <w:rFonts w:ascii="Arial" w:hAnsi="Arial" w:cs="Arial"/>
          <w:i/>
          <w:iCs/>
        </w:rPr>
        <w:t>Pain Physician</w:t>
      </w:r>
      <w:r w:rsidR="008D0565" w:rsidRPr="00D61F73">
        <w:rPr>
          <w:rFonts w:ascii="Arial" w:hAnsi="Arial" w:cs="Arial"/>
        </w:rPr>
        <w:t>. 2012;15:ES231-6.</w:t>
      </w:r>
    </w:p>
    <w:p w14:paraId="2A0DCC7F" w14:textId="77777777" w:rsidR="008D0565" w:rsidRPr="00D61F73" w:rsidRDefault="008D0565" w:rsidP="00D61F73">
      <w:pPr>
        <w:rPr>
          <w:rFonts w:ascii="Arial" w:hAnsi="Arial" w:cs="Arial"/>
        </w:rPr>
      </w:pPr>
    </w:p>
    <w:p w14:paraId="6E6AE251" w14:textId="77777777" w:rsidR="008D0565" w:rsidRPr="00D61F73" w:rsidRDefault="00751163" w:rsidP="00D61F73">
      <w:pPr>
        <w:rPr>
          <w:rFonts w:ascii="Arial" w:hAnsi="Arial" w:cs="Arial"/>
        </w:rPr>
      </w:pPr>
      <w:hyperlink w:anchor="Conaghan2008" w:history="1">
        <w:r w:rsidR="008D0565" w:rsidRPr="00D61F73">
          <w:rPr>
            <w:rStyle w:val="Hyperlink"/>
            <w:rFonts w:ascii="Arial" w:hAnsi="Arial" w:cs="Arial"/>
          </w:rPr>
          <w:t>Conaghan PG, Dickson J, Grant RL;</w:t>
        </w:r>
      </w:hyperlink>
      <w:r w:rsidR="008D0565" w:rsidRPr="00D61F73">
        <w:rPr>
          <w:rFonts w:ascii="Arial" w:hAnsi="Arial" w:cs="Arial"/>
        </w:rPr>
        <w:t xml:space="preserve"> Guideline Development Group. Care and management of osteoarthritis in adults: summary of NICE guidance. </w:t>
      </w:r>
      <w:r w:rsidR="008D0565" w:rsidRPr="00D61F73">
        <w:rPr>
          <w:rFonts w:ascii="Arial" w:hAnsi="Arial" w:cs="Arial"/>
          <w:i/>
        </w:rPr>
        <w:t>BMJ</w:t>
      </w:r>
      <w:r w:rsidR="008D0565" w:rsidRPr="00D61F73">
        <w:rPr>
          <w:rFonts w:ascii="Arial" w:hAnsi="Arial" w:cs="Arial"/>
        </w:rPr>
        <w:t>. 2008;336:502-3.</w:t>
      </w:r>
    </w:p>
    <w:p w14:paraId="1579253E" w14:textId="77777777" w:rsidR="008D0565" w:rsidRPr="00D61F73" w:rsidRDefault="008D0565" w:rsidP="00D61F73">
      <w:pPr>
        <w:rPr>
          <w:rFonts w:ascii="Arial" w:hAnsi="Arial" w:cs="Arial"/>
        </w:rPr>
      </w:pPr>
    </w:p>
    <w:p w14:paraId="6396754B" w14:textId="77777777" w:rsidR="008D0565" w:rsidRPr="00D61F73" w:rsidRDefault="00751163" w:rsidP="00D61F73">
      <w:pPr>
        <w:pStyle w:val="NormalWeb"/>
        <w:spacing w:before="0" w:beforeAutospacing="0" w:after="0" w:afterAutospacing="0"/>
        <w:rPr>
          <w:rFonts w:ascii="Arial" w:hAnsi="Arial" w:cs="Arial"/>
        </w:rPr>
      </w:pPr>
      <w:hyperlink w:anchor="Cooper2013" w:history="1">
        <w:r w:rsidR="008D0565" w:rsidRPr="00D61F73">
          <w:rPr>
            <w:rStyle w:val="Hyperlink"/>
            <w:rFonts w:ascii="Arial" w:hAnsi="Arial" w:cs="Arial"/>
          </w:rPr>
          <w:t>Cooper ZD, Comer SD, Haney M.</w:t>
        </w:r>
      </w:hyperlink>
      <w:r w:rsidR="008D0565" w:rsidRPr="00D61F73">
        <w:rPr>
          <w:rFonts w:ascii="Arial" w:hAnsi="Arial" w:cs="Arial"/>
        </w:rPr>
        <w:t xml:space="preserve"> Comparison of the Analgesic Effects of Dronabinol and Smoked Marijuana In Daily Marijuana Smokers. </w:t>
      </w:r>
      <w:r w:rsidR="008D0565" w:rsidRPr="00D61F73">
        <w:rPr>
          <w:rFonts w:ascii="Arial" w:hAnsi="Arial" w:cs="Arial"/>
          <w:i/>
          <w:iCs/>
        </w:rPr>
        <w:t>Neuropsychopharmacology.</w:t>
      </w:r>
      <w:r w:rsidR="008D0565" w:rsidRPr="00D61F73">
        <w:rPr>
          <w:rFonts w:ascii="Arial" w:hAnsi="Arial" w:cs="Arial"/>
        </w:rPr>
        <w:t xml:space="preserve"> 2013 Apr 22. doi: 10.1038/npp.2013.97.</w:t>
      </w:r>
    </w:p>
    <w:p w14:paraId="1E1E99D0" w14:textId="77777777" w:rsidR="008D0565" w:rsidRPr="00D61F73" w:rsidRDefault="008D0565" w:rsidP="00D61F73">
      <w:pPr>
        <w:rPr>
          <w:rFonts w:ascii="Arial" w:hAnsi="Arial" w:cs="Arial"/>
        </w:rPr>
      </w:pPr>
    </w:p>
    <w:p w14:paraId="16FF72B1" w14:textId="77777777" w:rsidR="008D0565" w:rsidRPr="00D61F73" w:rsidRDefault="00751163" w:rsidP="00D61F73">
      <w:pPr>
        <w:rPr>
          <w:rFonts w:ascii="Arial" w:hAnsi="Arial" w:cs="Arial"/>
        </w:rPr>
      </w:pPr>
      <w:hyperlink w:anchor="Correll" w:history="1">
        <w:r w:rsidR="008D0565" w:rsidRPr="00D61F73">
          <w:rPr>
            <w:rStyle w:val="Hyperlink"/>
            <w:rFonts w:ascii="Arial" w:hAnsi="Arial" w:cs="Arial"/>
          </w:rPr>
          <w:t>Correll GE, Maleki J, Gracely EJ, Muir JJ, Harbut RE.</w:t>
        </w:r>
      </w:hyperlink>
      <w:r w:rsidR="008D0565" w:rsidRPr="00D61F73">
        <w:rPr>
          <w:rFonts w:ascii="Arial" w:hAnsi="Arial" w:cs="Arial"/>
        </w:rPr>
        <w:t xml:space="preserve"> Subanesthetic ketamine infusion therapy: a retrospective analysis of a novel therapeutic approach to complex regional pain syndrome. Pain Med. 2004 Sep;5(3):263-75.</w:t>
      </w:r>
    </w:p>
    <w:p w14:paraId="60DFB7A1" w14:textId="77777777" w:rsidR="008D0565" w:rsidRPr="00D61F73" w:rsidRDefault="008D0565" w:rsidP="00D61F73">
      <w:pPr>
        <w:rPr>
          <w:rFonts w:ascii="Arial" w:hAnsi="Arial" w:cs="Arial"/>
        </w:rPr>
      </w:pPr>
    </w:p>
    <w:p w14:paraId="019498B3" w14:textId="77777777" w:rsidR="008D0565" w:rsidRPr="00D61F73" w:rsidRDefault="00751163" w:rsidP="00D61F73">
      <w:pPr>
        <w:rPr>
          <w:rFonts w:ascii="Arial" w:hAnsi="Arial" w:cs="Arial"/>
        </w:rPr>
      </w:pPr>
      <w:hyperlink w:anchor="Crisostomo" w:history="1">
        <w:r w:rsidR="008D0565" w:rsidRPr="00D61F73">
          <w:rPr>
            <w:rStyle w:val="Hyperlink"/>
            <w:rFonts w:ascii="Arial" w:hAnsi="Arial" w:cs="Arial"/>
          </w:rPr>
          <w:t>Crisostomo RA, Schmidt JE, Hooten WM, Kerkvliet JL, Townsend CO, Bruce BK.</w:t>
        </w:r>
      </w:hyperlink>
      <w:r w:rsidR="008D0565" w:rsidRPr="00D61F73">
        <w:rPr>
          <w:rFonts w:ascii="Arial" w:hAnsi="Arial" w:cs="Arial"/>
        </w:rPr>
        <w:t xml:space="preserve"> Withdrawal of analgesic medication for chronic low-back pain patients: improvement in outcomes of multidisciplinary rehabilitation regardless of surgical history. </w:t>
      </w:r>
      <w:r w:rsidR="008D0565" w:rsidRPr="00D61F73">
        <w:rPr>
          <w:rFonts w:ascii="Arial" w:hAnsi="Arial" w:cs="Arial"/>
          <w:i/>
        </w:rPr>
        <w:t>Am J Phys Med Rehabil</w:t>
      </w:r>
      <w:r w:rsidR="008D0565" w:rsidRPr="00D61F73">
        <w:rPr>
          <w:rFonts w:ascii="Arial" w:hAnsi="Arial" w:cs="Arial"/>
        </w:rPr>
        <w:t>. 2008;87:527-36.</w:t>
      </w:r>
    </w:p>
    <w:p w14:paraId="3CB2AC25" w14:textId="77777777" w:rsidR="008D0565" w:rsidRPr="00D61F73" w:rsidRDefault="008D0565" w:rsidP="00D61F73">
      <w:pPr>
        <w:rPr>
          <w:rFonts w:ascii="Arial" w:hAnsi="Arial" w:cs="Arial"/>
        </w:rPr>
      </w:pPr>
    </w:p>
    <w:p w14:paraId="2D82EC39" w14:textId="77777777" w:rsidR="008D0565" w:rsidRPr="00D61F73" w:rsidRDefault="00751163" w:rsidP="00D61F73">
      <w:pPr>
        <w:rPr>
          <w:rFonts w:ascii="Arial" w:hAnsi="Arial" w:cs="Arial"/>
        </w:rPr>
      </w:pPr>
      <w:hyperlink w:anchor="Crofford" w:history="1">
        <w:r w:rsidR="008D0565" w:rsidRPr="00D61F73">
          <w:rPr>
            <w:rStyle w:val="Hyperlink"/>
            <w:rFonts w:ascii="Arial" w:hAnsi="Arial" w:cs="Arial"/>
          </w:rPr>
          <w:t>Crofford LJ, Rowbotham MC, Mease PJ, Russell IJ, Dworkin RH, Corbin AE, Young JP Jr, LaMoreaux LK, Martin SA, Sharma U</w:t>
        </w:r>
      </w:hyperlink>
      <w:r w:rsidR="008D0565" w:rsidRPr="00D61F73">
        <w:rPr>
          <w:rFonts w:ascii="Arial" w:hAnsi="Arial" w:cs="Arial"/>
        </w:rPr>
        <w:t xml:space="preserve">; Pregabalin 1008-105 Study Group.Pregabalin for the treatment of fibromyalgia syndrome: results of a randomized, double-blind, placebo-controlled trial. </w:t>
      </w:r>
      <w:r w:rsidR="008D0565" w:rsidRPr="00D61F73">
        <w:rPr>
          <w:rFonts w:ascii="Arial" w:hAnsi="Arial" w:cs="Arial"/>
          <w:i/>
        </w:rPr>
        <w:t>Arthritis Rheum</w:t>
      </w:r>
      <w:r w:rsidR="008D0565" w:rsidRPr="00D61F73">
        <w:rPr>
          <w:rFonts w:ascii="Arial" w:hAnsi="Arial" w:cs="Arial"/>
        </w:rPr>
        <w:t>. 2005;52:1264-73.</w:t>
      </w:r>
    </w:p>
    <w:p w14:paraId="12AD116A" w14:textId="77777777" w:rsidR="008D0565" w:rsidRPr="00D61F73" w:rsidRDefault="008D0565" w:rsidP="00D61F73">
      <w:pPr>
        <w:rPr>
          <w:rFonts w:ascii="Arial" w:hAnsi="Arial" w:cs="Arial"/>
        </w:rPr>
      </w:pPr>
    </w:p>
    <w:p w14:paraId="1481C6A8" w14:textId="77777777" w:rsidR="008D0565" w:rsidRPr="00D61F73" w:rsidRDefault="00751163" w:rsidP="00D61F73">
      <w:pPr>
        <w:rPr>
          <w:rFonts w:ascii="Arial" w:hAnsi="Arial" w:cs="Arial"/>
        </w:rPr>
      </w:pPr>
      <w:hyperlink w:anchor="Daniell" w:history="1">
        <w:r w:rsidR="008D0565" w:rsidRPr="00D61F73">
          <w:rPr>
            <w:rStyle w:val="Hyperlink"/>
            <w:rFonts w:ascii="Arial" w:hAnsi="Arial" w:cs="Arial"/>
          </w:rPr>
          <w:t>Daniell HW, Lentz R, Mazer NA</w:t>
        </w:r>
      </w:hyperlink>
      <w:r w:rsidR="008D0565" w:rsidRPr="00D61F73">
        <w:rPr>
          <w:rFonts w:ascii="Arial" w:hAnsi="Arial" w:cs="Arial"/>
        </w:rPr>
        <w:t xml:space="preserve">. Open-label pilot study of testosterone patch therapy in men with opioid-induced androgen deficiency. </w:t>
      </w:r>
      <w:r w:rsidR="008D0565" w:rsidRPr="00D61F73">
        <w:rPr>
          <w:rFonts w:ascii="Arial" w:hAnsi="Arial" w:cs="Arial"/>
          <w:i/>
        </w:rPr>
        <w:t>J Pain</w:t>
      </w:r>
      <w:r w:rsidR="008D0565" w:rsidRPr="00D61F73">
        <w:rPr>
          <w:rFonts w:ascii="Arial" w:hAnsi="Arial" w:cs="Arial"/>
        </w:rPr>
        <w:t>. 2006;7:200-10.</w:t>
      </w:r>
    </w:p>
    <w:p w14:paraId="51AEE8E2" w14:textId="77777777" w:rsidR="008D0565" w:rsidRPr="00D61F73" w:rsidRDefault="008D0565" w:rsidP="00D61F73">
      <w:pPr>
        <w:rPr>
          <w:rFonts w:ascii="Arial" w:hAnsi="Arial" w:cs="Arial"/>
        </w:rPr>
      </w:pPr>
    </w:p>
    <w:p w14:paraId="3E28F560" w14:textId="77777777" w:rsidR="008D0565" w:rsidRPr="00D61F73" w:rsidRDefault="00751163" w:rsidP="00D61F73">
      <w:pPr>
        <w:rPr>
          <w:rFonts w:ascii="Arial" w:hAnsi="Arial" w:cs="Arial"/>
        </w:rPr>
      </w:pPr>
      <w:hyperlink w:anchor="Daniels2009" w:history="1">
        <w:r w:rsidR="008D0565" w:rsidRPr="00D61F73">
          <w:rPr>
            <w:rStyle w:val="Hyperlink"/>
            <w:rFonts w:ascii="Arial" w:hAnsi="Arial" w:cs="Arial"/>
          </w:rPr>
          <w:t>Daniels S, Casson E, Stegmann JU, Oh C, Okamoto A, Rauschkolb C, Upmalis D</w:t>
        </w:r>
      </w:hyperlink>
      <w:r w:rsidR="008D0565" w:rsidRPr="00D61F73">
        <w:rPr>
          <w:rFonts w:ascii="Arial" w:hAnsi="Arial" w:cs="Arial"/>
        </w:rPr>
        <w:t xml:space="preserve">. A randomized, double-blind, placebo-controlled phase 3 study of the relative efficacy and tolerability of tapentadol IR and oxycodone IR for acute pain. </w:t>
      </w:r>
      <w:r w:rsidR="008D0565" w:rsidRPr="00D61F73">
        <w:rPr>
          <w:rFonts w:ascii="Arial" w:hAnsi="Arial" w:cs="Arial"/>
          <w:i/>
          <w:iCs/>
        </w:rPr>
        <w:t>Curr Med Res Opin</w:t>
      </w:r>
      <w:r w:rsidR="008D0565" w:rsidRPr="00D61F73">
        <w:rPr>
          <w:rFonts w:ascii="Arial" w:hAnsi="Arial" w:cs="Arial"/>
        </w:rPr>
        <w:t>. 2009 Jun;25(6):1551-61.</w:t>
      </w:r>
    </w:p>
    <w:p w14:paraId="445A4475" w14:textId="77777777" w:rsidR="008D0565" w:rsidRPr="00D61F73" w:rsidRDefault="008D0565" w:rsidP="00D61F73">
      <w:pPr>
        <w:rPr>
          <w:rFonts w:ascii="Arial" w:hAnsi="Arial" w:cs="Arial"/>
        </w:rPr>
      </w:pPr>
    </w:p>
    <w:p w14:paraId="56011B83" w14:textId="77777777" w:rsidR="008D0565" w:rsidRPr="00D61F73" w:rsidRDefault="00751163" w:rsidP="00D61F73">
      <w:pPr>
        <w:rPr>
          <w:rFonts w:ascii="Arial" w:hAnsi="Arial" w:cs="Arial"/>
        </w:rPr>
      </w:pPr>
      <w:hyperlink w:anchor="Daniels22009" w:history="1">
        <w:r w:rsidR="008D0565" w:rsidRPr="00D61F73">
          <w:rPr>
            <w:rStyle w:val="Hyperlink"/>
            <w:rFonts w:ascii="Arial" w:hAnsi="Arial" w:cs="Arial"/>
          </w:rPr>
          <w:t>Daniels SE, Upmalis D, Okamoto A, Lange C, Häeussler J</w:t>
        </w:r>
      </w:hyperlink>
      <w:r w:rsidR="008D0565" w:rsidRPr="00D61F73">
        <w:rPr>
          <w:rFonts w:ascii="Arial" w:hAnsi="Arial" w:cs="Arial"/>
        </w:rPr>
        <w:t xml:space="preserve">. A randomized, double-blind, phase III study comparing multiple doses of tapentadol IR, oxycodone IR, and placebo for postoperative (bunionectomy) pain. </w:t>
      </w:r>
      <w:r w:rsidR="008D0565" w:rsidRPr="00D61F73">
        <w:rPr>
          <w:rFonts w:ascii="Arial" w:hAnsi="Arial" w:cs="Arial"/>
          <w:i/>
          <w:iCs/>
        </w:rPr>
        <w:t>Curr Med Res Opin</w:t>
      </w:r>
      <w:r w:rsidR="008D0565" w:rsidRPr="00D61F73">
        <w:rPr>
          <w:rFonts w:ascii="Arial" w:hAnsi="Arial" w:cs="Arial"/>
        </w:rPr>
        <w:t>. 2009 Mar;25(3):765-76.</w:t>
      </w:r>
    </w:p>
    <w:p w14:paraId="038956B9" w14:textId="77777777" w:rsidR="008D0565" w:rsidRPr="00D61F73" w:rsidRDefault="008D0565" w:rsidP="00D61F73">
      <w:pPr>
        <w:rPr>
          <w:rFonts w:ascii="Arial" w:hAnsi="Arial" w:cs="Arial"/>
        </w:rPr>
      </w:pPr>
    </w:p>
    <w:p w14:paraId="46D09A6C" w14:textId="77777777" w:rsidR="00F677D2" w:rsidRPr="00D61F73" w:rsidRDefault="00751163" w:rsidP="00D61F73">
      <w:pPr>
        <w:rPr>
          <w:rFonts w:ascii="Arial" w:hAnsi="Arial" w:cs="Arial"/>
        </w:rPr>
      </w:pPr>
      <w:hyperlink w:anchor="Dart" w:history="1">
        <w:r w:rsidR="008D0565" w:rsidRPr="00D61F73">
          <w:rPr>
            <w:rStyle w:val="Hyperlink"/>
            <w:rFonts w:ascii="Arial" w:hAnsi="Arial" w:cs="Arial"/>
          </w:rPr>
          <w:t>Dart RC, Bailey E</w:t>
        </w:r>
      </w:hyperlink>
      <w:r w:rsidR="008D0565" w:rsidRPr="00D61F73">
        <w:rPr>
          <w:rFonts w:ascii="Arial" w:hAnsi="Arial" w:cs="Arial"/>
        </w:rPr>
        <w:t>. Does therapeutic use of acetaminophen cause acute liver failure? Pharmacotherapy. 2007;27:1219-30.</w:t>
      </w:r>
    </w:p>
    <w:p w14:paraId="4BC1094F" w14:textId="77777777" w:rsidR="00F677D2" w:rsidRPr="00D61F73" w:rsidRDefault="00F677D2" w:rsidP="00D61F73">
      <w:pPr>
        <w:rPr>
          <w:rFonts w:ascii="Arial" w:hAnsi="Arial" w:cs="Arial"/>
        </w:rPr>
      </w:pPr>
    </w:p>
    <w:p w14:paraId="478F0101" w14:textId="77777777" w:rsidR="008D0565" w:rsidRPr="00D61F73" w:rsidRDefault="00751163" w:rsidP="00D61F73">
      <w:pPr>
        <w:rPr>
          <w:rFonts w:ascii="Arial" w:hAnsi="Arial" w:cs="Arial"/>
        </w:rPr>
      </w:pPr>
      <w:hyperlink w:anchor="DEA2013tramadol" w:history="1">
        <w:r w:rsidR="00212530" w:rsidRPr="00D61F73">
          <w:rPr>
            <w:rStyle w:val="Hyperlink"/>
            <w:rFonts w:ascii="Arial" w:hAnsi="Arial" w:cs="Arial"/>
          </w:rPr>
          <w:t>DEA</w:t>
        </w:r>
      </w:hyperlink>
      <w:r w:rsidR="00212530" w:rsidRPr="00D61F73">
        <w:rPr>
          <w:rFonts w:ascii="Arial" w:hAnsi="Arial" w:cs="Arial"/>
        </w:rPr>
        <w:t>. Proposed Rules. Schedules of Controlled Substances: Placement of Tramadol into Schedule IV. Federal Register. 2013 Nov 4; v 78:213:65923-65932.</w:t>
      </w:r>
    </w:p>
    <w:p w14:paraId="54264D04" w14:textId="77777777" w:rsidR="008D0565" w:rsidRPr="00D61F73" w:rsidRDefault="008D0565" w:rsidP="00D61F73">
      <w:pPr>
        <w:rPr>
          <w:rFonts w:ascii="Arial" w:hAnsi="Arial" w:cs="Arial"/>
        </w:rPr>
      </w:pPr>
    </w:p>
    <w:p w14:paraId="5C65817F" w14:textId="77777777" w:rsidR="008D0565" w:rsidRPr="00D61F73" w:rsidRDefault="00751163" w:rsidP="00D61F73">
      <w:pPr>
        <w:rPr>
          <w:rFonts w:ascii="Arial" w:hAnsi="Arial" w:cs="Arial"/>
        </w:rPr>
      </w:pPr>
      <w:hyperlink w:anchor="DeAndrade1994" w:history="1">
        <w:r w:rsidR="008D0565" w:rsidRPr="00D61F73">
          <w:rPr>
            <w:rStyle w:val="Hyperlink"/>
            <w:rFonts w:ascii="Arial" w:hAnsi="Arial" w:cs="Arial"/>
          </w:rPr>
          <w:t>DeAndrade JR, Maslanka M, Maneatis T, Bynum L, Burchmore M</w:t>
        </w:r>
      </w:hyperlink>
      <w:r w:rsidR="008D0565" w:rsidRPr="00D61F73">
        <w:rPr>
          <w:rFonts w:ascii="Arial" w:hAnsi="Arial" w:cs="Arial"/>
        </w:rPr>
        <w:t xml:space="preserve">. The use of ketorolac in the management of postoperative pain. </w:t>
      </w:r>
      <w:r w:rsidR="008D0565" w:rsidRPr="00D61F73">
        <w:rPr>
          <w:rFonts w:ascii="Arial" w:hAnsi="Arial" w:cs="Arial"/>
          <w:i/>
          <w:iCs/>
        </w:rPr>
        <w:t>Orthopedics</w:t>
      </w:r>
      <w:r w:rsidR="008D0565" w:rsidRPr="00D61F73">
        <w:rPr>
          <w:rFonts w:ascii="Arial" w:hAnsi="Arial" w:cs="Arial"/>
        </w:rPr>
        <w:t>. 1994 Feb;17(2):157-66.</w:t>
      </w:r>
    </w:p>
    <w:p w14:paraId="3D25C652" w14:textId="77777777" w:rsidR="008D0565" w:rsidRDefault="008D0565" w:rsidP="00D61F73">
      <w:pPr>
        <w:rPr>
          <w:rFonts w:ascii="Arial" w:hAnsi="Arial" w:cs="Arial"/>
        </w:rPr>
      </w:pPr>
    </w:p>
    <w:p w14:paraId="2E03D92C" w14:textId="77777777" w:rsidR="0064182F" w:rsidRDefault="0064182F" w:rsidP="00D61F73">
      <w:pPr>
        <w:rPr>
          <w:rFonts w:ascii="Arial" w:hAnsi="Arial" w:cs="Arial"/>
        </w:rPr>
      </w:pPr>
    </w:p>
    <w:p w14:paraId="64AF3D61" w14:textId="77777777" w:rsidR="0064182F" w:rsidRPr="00D61F73" w:rsidRDefault="0064182F" w:rsidP="00D61F73">
      <w:pPr>
        <w:rPr>
          <w:rFonts w:ascii="Arial" w:hAnsi="Arial" w:cs="Arial"/>
        </w:rPr>
      </w:pPr>
    </w:p>
    <w:p w14:paraId="6D3601D1" w14:textId="77777777" w:rsidR="008D0565" w:rsidRPr="00D61F73" w:rsidRDefault="008D0565" w:rsidP="00D61F73">
      <w:pPr>
        <w:rPr>
          <w:rStyle w:val="Hyperlink"/>
          <w:rFonts w:ascii="Arial" w:hAnsi="Arial" w:cs="Arial"/>
        </w:rPr>
      </w:pPr>
      <w:r w:rsidRPr="00D61F73">
        <w:rPr>
          <w:rFonts w:ascii="Arial" w:hAnsi="Arial" w:cs="Arial"/>
        </w:rPr>
        <w:lastRenderedPageBreak/>
        <w:fldChar w:fldCharType="begin"/>
      </w:r>
      <w:r w:rsidRPr="00D61F73">
        <w:rPr>
          <w:rFonts w:ascii="Arial" w:hAnsi="Arial" w:cs="Arial"/>
        </w:rPr>
        <w:instrText xml:space="preserve"> HYPERLINK  \l "Deer3" </w:instrText>
      </w:r>
      <w:r w:rsidRPr="00D61F73">
        <w:rPr>
          <w:rFonts w:ascii="Arial" w:hAnsi="Arial" w:cs="Arial"/>
        </w:rPr>
        <w:fldChar w:fldCharType="separate"/>
      </w:r>
      <w:r w:rsidRPr="00D61F73">
        <w:rPr>
          <w:rStyle w:val="Hyperlink"/>
          <w:rFonts w:ascii="Arial" w:hAnsi="Arial" w:cs="Arial"/>
        </w:rPr>
        <w:t>Deer T, Krames ES, Hassenbusch SJ, Burton A, Caraway D, Dupen S, Eisenach J,</w:t>
      </w:r>
    </w:p>
    <w:p w14:paraId="4BF09A73" w14:textId="77777777" w:rsidR="008D0565" w:rsidRPr="00D61F73" w:rsidRDefault="008D0565" w:rsidP="00D61F73">
      <w:pPr>
        <w:rPr>
          <w:rFonts w:ascii="Arial" w:hAnsi="Arial" w:cs="Arial"/>
        </w:rPr>
      </w:pPr>
      <w:r w:rsidRPr="00D61F73">
        <w:rPr>
          <w:rStyle w:val="Hyperlink"/>
          <w:rFonts w:ascii="Arial" w:hAnsi="Arial" w:cs="Arial"/>
        </w:rPr>
        <w:t>Erdek M, Grigsby E, Kim P, Levy R, McDowell G, Mekhail N, Panchal S, Prager J, Rauck R, Saulino M, Sitzman T, Staats P, Stanton-Hicks M, Stearns L, Willis KD, Witt W, Follett K, Huntoon M, Liem L, Rathmell J, Wallace M, Buchser E, Cousins M, Ver Donck A.</w:t>
      </w:r>
      <w:r w:rsidRPr="00D61F73">
        <w:rPr>
          <w:rFonts w:ascii="Arial" w:hAnsi="Arial" w:cs="Arial"/>
        </w:rPr>
        <w:fldChar w:fldCharType="end"/>
      </w:r>
      <w:r w:rsidRPr="00D61F73">
        <w:rPr>
          <w:rFonts w:ascii="Arial" w:hAnsi="Arial" w:cs="Arial"/>
        </w:rPr>
        <w:t xml:space="preserve"> Polyanalgesic Consensus Conference 2007: Recommendations for the Management of Pain by Intrathecal (Intraspinal) Drug Delivery: Report of an Interdisciplinary Expert Panel. </w:t>
      </w:r>
      <w:r w:rsidRPr="00D61F73">
        <w:rPr>
          <w:rFonts w:ascii="Arial" w:hAnsi="Arial" w:cs="Arial"/>
          <w:i/>
          <w:iCs/>
        </w:rPr>
        <w:t>Neuromodulation: Technology At The Neural Interface</w:t>
      </w:r>
      <w:r w:rsidRPr="00D61F73">
        <w:rPr>
          <w:rFonts w:ascii="Arial" w:hAnsi="Arial" w:cs="Arial"/>
        </w:rPr>
        <w:t>. Volume 10, Number 4, 2007, p. 300-328.</w:t>
      </w:r>
    </w:p>
    <w:p w14:paraId="6861FA6D" w14:textId="77777777" w:rsidR="008D0565" w:rsidRPr="00D61F73" w:rsidRDefault="008D0565" w:rsidP="00D61F73">
      <w:pPr>
        <w:rPr>
          <w:rFonts w:ascii="Arial" w:hAnsi="Arial" w:cs="Arial"/>
        </w:rPr>
      </w:pPr>
    </w:p>
    <w:p w14:paraId="11D120D6" w14:textId="77777777" w:rsidR="008D0565" w:rsidRPr="00D61F73" w:rsidRDefault="00751163" w:rsidP="00D61F73">
      <w:pPr>
        <w:rPr>
          <w:rFonts w:ascii="Arial" w:hAnsi="Arial" w:cs="Arial"/>
        </w:rPr>
      </w:pPr>
      <w:hyperlink w:anchor="Dell" w:history="1">
        <w:r w:rsidR="008D0565" w:rsidRPr="00D61F73">
          <w:rPr>
            <w:rStyle w:val="Hyperlink"/>
            <w:rFonts w:ascii="Arial" w:hAnsi="Arial" w:cs="Arial"/>
          </w:rPr>
          <w:t>Dell'Osso B, Altamura AC, Mundo E, Marazziti D, Hollander E</w:t>
        </w:r>
      </w:hyperlink>
      <w:r w:rsidR="008D0565" w:rsidRPr="00D61F73">
        <w:rPr>
          <w:rFonts w:ascii="Arial" w:hAnsi="Arial" w:cs="Arial"/>
        </w:rPr>
        <w:t xml:space="preserve">. Diagnosis and treatment of obsessive-compulsive disorder and related disorders. </w:t>
      </w:r>
      <w:r w:rsidR="008D0565" w:rsidRPr="00D61F73">
        <w:rPr>
          <w:rFonts w:ascii="Arial" w:hAnsi="Arial" w:cs="Arial"/>
          <w:i/>
        </w:rPr>
        <w:t>Int J Clin Pract</w:t>
      </w:r>
      <w:r w:rsidR="008D0565" w:rsidRPr="00D61F73">
        <w:rPr>
          <w:rFonts w:ascii="Arial" w:hAnsi="Arial" w:cs="Arial"/>
        </w:rPr>
        <w:t>. 2007;61:98-104.</w:t>
      </w:r>
    </w:p>
    <w:p w14:paraId="1EE5612D" w14:textId="77777777" w:rsidR="008D0565" w:rsidRPr="00D61F73" w:rsidRDefault="008D0565" w:rsidP="00D61F73">
      <w:pPr>
        <w:rPr>
          <w:rFonts w:ascii="Arial" w:hAnsi="Arial" w:cs="Arial"/>
        </w:rPr>
      </w:pPr>
    </w:p>
    <w:p w14:paraId="60CDADFF" w14:textId="77777777" w:rsidR="008D0565" w:rsidRPr="00D61F73" w:rsidRDefault="00751163" w:rsidP="00D61F73">
      <w:pPr>
        <w:rPr>
          <w:rFonts w:ascii="Arial" w:hAnsi="Arial" w:cs="Arial"/>
        </w:rPr>
      </w:pPr>
      <w:hyperlink w:anchor="Denis" w:history="1">
        <w:r w:rsidR="008D0565" w:rsidRPr="00D61F73">
          <w:rPr>
            <w:rStyle w:val="Hyperlink"/>
            <w:rFonts w:ascii="Arial" w:hAnsi="Arial" w:cs="Arial"/>
          </w:rPr>
          <w:t>Denis C, Fatséas M, Lavie E, Auriacombe M.</w:t>
        </w:r>
      </w:hyperlink>
      <w:r w:rsidR="008D0565" w:rsidRPr="00D61F73">
        <w:rPr>
          <w:rFonts w:ascii="Arial" w:hAnsi="Arial" w:cs="Arial"/>
        </w:rPr>
        <w:t xml:space="preserve"> Pharmacological interventions for benzodiazepine mono-dependence management in outpatient settings</w:t>
      </w:r>
      <w:r w:rsidR="008D0565" w:rsidRPr="00D61F73">
        <w:rPr>
          <w:rFonts w:ascii="Arial" w:hAnsi="Arial" w:cs="Arial"/>
          <w:i/>
        </w:rPr>
        <w:t>. Cochrane Database Syst Rev</w:t>
      </w:r>
      <w:r w:rsidR="008D0565" w:rsidRPr="00D61F73">
        <w:rPr>
          <w:rFonts w:ascii="Arial" w:hAnsi="Arial" w:cs="Arial"/>
        </w:rPr>
        <w:t>. 2006;3:CD005194.</w:t>
      </w:r>
    </w:p>
    <w:p w14:paraId="4D9907BF" w14:textId="77777777" w:rsidR="008D0565" w:rsidRPr="00D61F73" w:rsidRDefault="008D0565" w:rsidP="00D61F73">
      <w:pPr>
        <w:rPr>
          <w:rFonts w:ascii="Arial" w:hAnsi="Arial" w:cs="Arial"/>
        </w:rPr>
      </w:pPr>
    </w:p>
    <w:p w14:paraId="02CB0AC0" w14:textId="77777777" w:rsidR="008D0565" w:rsidRPr="00D61F73" w:rsidRDefault="00751163" w:rsidP="00D61F73">
      <w:pPr>
        <w:rPr>
          <w:rFonts w:ascii="Arial" w:hAnsi="Arial" w:cs="Arial"/>
        </w:rPr>
      </w:pPr>
      <w:hyperlink w:anchor="Dersh2008" w:history="1">
        <w:r w:rsidR="008D0565" w:rsidRPr="00D61F73">
          <w:rPr>
            <w:rStyle w:val="Hyperlink"/>
            <w:rFonts w:ascii="Arial" w:hAnsi="Arial" w:cs="Arial"/>
          </w:rPr>
          <w:t>Dersh J, Mayer TG, Gatchel RJ, Polatin PB, Theodore BR, Mayer EA.</w:t>
        </w:r>
      </w:hyperlink>
      <w:r w:rsidR="008D0565" w:rsidRPr="00D61F73">
        <w:rPr>
          <w:rFonts w:ascii="Arial" w:hAnsi="Arial" w:cs="Arial"/>
        </w:rPr>
        <w:t xml:space="preserve"> Prescription opioid dependence is associated with poorer outcomes in disabling spinal disorders. </w:t>
      </w:r>
      <w:r w:rsidR="008D0565" w:rsidRPr="00D61F73">
        <w:rPr>
          <w:rFonts w:ascii="Arial" w:hAnsi="Arial" w:cs="Arial"/>
          <w:i/>
        </w:rPr>
        <w:t>Spine</w:t>
      </w:r>
      <w:r w:rsidR="008D0565" w:rsidRPr="00D61F73">
        <w:rPr>
          <w:rFonts w:ascii="Arial" w:hAnsi="Arial" w:cs="Arial"/>
        </w:rPr>
        <w:t>. 2008;33:2219-27.</w:t>
      </w:r>
    </w:p>
    <w:p w14:paraId="42680B7E" w14:textId="77777777" w:rsidR="008D0565" w:rsidRPr="00D61F73" w:rsidRDefault="008D0565" w:rsidP="00D61F73">
      <w:pPr>
        <w:rPr>
          <w:rFonts w:ascii="Arial" w:hAnsi="Arial" w:cs="Arial"/>
        </w:rPr>
      </w:pPr>
    </w:p>
    <w:p w14:paraId="2C8DACE8" w14:textId="77777777" w:rsidR="008D0565" w:rsidRPr="00D61F73" w:rsidRDefault="00751163" w:rsidP="00D61F73">
      <w:pPr>
        <w:rPr>
          <w:rFonts w:ascii="Arial" w:hAnsi="Arial" w:cs="Arial"/>
          <w:lang w:val="es-MX"/>
        </w:rPr>
      </w:pPr>
      <w:hyperlink w:anchor="Devleeschouwer2008" w:history="1">
        <w:r w:rsidR="008D0565" w:rsidRPr="00D61F73">
          <w:rPr>
            <w:rStyle w:val="Hyperlink"/>
            <w:rFonts w:ascii="Arial" w:hAnsi="Arial" w:cs="Arial"/>
          </w:rPr>
          <w:t>Devleeschouwer V, Roelandts R, Garmyn M, Goossens A</w:t>
        </w:r>
      </w:hyperlink>
      <w:r w:rsidR="008D0565" w:rsidRPr="00D61F73">
        <w:rPr>
          <w:rFonts w:ascii="Arial" w:hAnsi="Arial" w:cs="Arial"/>
        </w:rPr>
        <w:t xml:space="preserve">. Allergic and photoallergic contact dermatitis from ketoprofen: results of (photo) patch testing and follow-up of 42 patients. </w:t>
      </w:r>
      <w:r w:rsidR="008D0565" w:rsidRPr="00D61F73">
        <w:rPr>
          <w:rFonts w:ascii="Arial" w:hAnsi="Arial" w:cs="Arial"/>
          <w:i/>
          <w:lang w:val="es-MX"/>
        </w:rPr>
        <w:t>Contact Dermatitis</w:t>
      </w:r>
      <w:r w:rsidR="008D0565" w:rsidRPr="00D61F73">
        <w:rPr>
          <w:rFonts w:ascii="Arial" w:hAnsi="Arial" w:cs="Arial"/>
          <w:lang w:val="es-MX"/>
        </w:rPr>
        <w:t>. 2008;58:159-66</w:t>
      </w:r>
    </w:p>
    <w:p w14:paraId="522EF960" w14:textId="77777777" w:rsidR="008D0565" w:rsidRPr="00D61F73" w:rsidRDefault="008D0565" w:rsidP="00D61F73">
      <w:pPr>
        <w:rPr>
          <w:rFonts w:ascii="Arial" w:hAnsi="Arial" w:cs="Arial"/>
          <w:lang w:val="es-MX"/>
        </w:rPr>
      </w:pPr>
    </w:p>
    <w:p w14:paraId="6F21C172" w14:textId="77777777" w:rsidR="008D0565" w:rsidRPr="00D61F73" w:rsidRDefault="00751163" w:rsidP="00D61F73">
      <w:pPr>
        <w:rPr>
          <w:rFonts w:ascii="Arial" w:hAnsi="Arial" w:cs="Arial"/>
        </w:rPr>
      </w:pPr>
      <w:hyperlink w:anchor="Diaz" w:history="1">
        <w:r w:rsidR="008D0565" w:rsidRPr="00D61F73">
          <w:rPr>
            <w:rStyle w:val="Hyperlink"/>
            <w:rFonts w:ascii="Arial" w:hAnsi="Arial" w:cs="Arial"/>
            <w:lang w:val="es-MX"/>
          </w:rPr>
          <w:t>Diaz RL, Gardeazabal J, Manrique P, Ratón JA, Urrutia I, Rodríguez-Sasiain JM, Aguirre C.</w:t>
        </w:r>
      </w:hyperlink>
      <w:r w:rsidR="008D0565" w:rsidRPr="00D61F73">
        <w:rPr>
          <w:rFonts w:ascii="Arial" w:hAnsi="Arial" w:cs="Arial"/>
          <w:lang w:val="es-MX"/>
        </w:rPr>
        <w:t xml:space="preserve"> </w:t>
      </w:r>
      <w:r w:rsidR="008D0565" w:rsidRPr="00D61F73">
        <w:rPr>
          <w:rFonts w:ascii="Arial" w:hAnsi="Arial" w:cs="Arial"/>
        </w:rPr>
        <w:t xml:space="preserve">Greater allergenicity of topical ketoprofen in contact dermatitis confirmed by use. </w:t>
      </w:r>
      <w:r w:rsidR="008D0565" w:rsidRPr="00D61F73">
        <w:rPr>
          <w:rFonts w:ascii="Arial" w:hAnsi="Arial" w:cs="Arial"/>
          <w:i/>
        </w:rPr>
        <w:t>Contact Dermatitis</w:t>
      </w:r>
      <w:r w:rsidR="008D0565" w:rsidRPr="00D61F73">
        <w:rPr>
          <w:rFonts w:ascii="Arial" w:hAnsi="Arial" w:cs="Arial"/>
        </w:rPr>
        <w:t>. 2006;54:239-43.</w:t>
      </w:r>
    </w:p>
    <w:p w14:paraId="7D072FFE" w14:textId="77777777" w:rsidR="008D0565" w:rsidRPr="00D61F73" w:rsidRDefault="008D0565" w:rsidP="00D61F73">
      <w:pPr>
        <w:rPr>
          <w:rFonts w:ascii="Arial" w:hAnsi="Arial" w:cs="Arial"/>
        </w:rPr>
      </w:pPr>
    </w:p>
    <w:p w14:paraId="17C90D99" w14:textId="77777777" w:rsidR="008D0565" w:rsidRPr="00D61F73" w:rsidRDefault="00751163" w:rsidP="00D61F73">
      <w:pPr>
        <w:rPr>
          <w:rFonts w:ascii="Arial" w:hAnsi="Arial" w:cs="Arial"/>
        </w:rPr>
      </w:pPr>
      <w:hyperlink w:anchor="Dickenson" w:history="1">
        <w:r w:rsidR="008D0565" w:rsidRPr="00D61F73">
          <w:rPr>
            <w:rStyle w:val="Hyperlink"/>
            <w:rFonts w:ascii="Arial" w:hAnsi="Arial" w:cs="Arial"/>
          </w:rPr>
          <w:t>Dickenson WE, Eickelberg SJ</w:t>
        </w:r>
      </w:hyperlink>
      <w:r w:rsidR="008D0565" w:rsidRPr="00D61F73">
        <w:rPr>
          <w:rFonts w:ascii="Arial" w:hAnsi="Arial" w:cs="Arial"/>
        </w:rPr>
        <w:t xml:space="preserve">. Management of sedative-hypnotic intoxication and withdrawal. In Reis RK, Fiellin DA, Miller SC, Saitz R. eds. </w:t>
      </w:r>
      <w:r w:rsidR="008D0565" w:rsidRPr="00D61F73">
        <w:rPr>
          <w:rFonts w:ascii="Arial" w:hAnsi="Arial" w:cs="Arial"/>
          <w:i/>
        </w:rPr>
        <w:t>Principles of Addiction Medicine</w:t>
      </w:r>
      <w:r w:rsidR="008D0565" w:rsidRPr="00D61F73">
        <w:rPr>
          <w:rFonts w:ascii="Arial" w:hAnsi="Arial" w:cs="Arial"/>
        </w:rPr>
        <w:t>, 4</w:t>
      </w:r>
      <w:r w:rsidR="008D0565" w:rsidRPr="00D61F73">
        <w:rPr>
          <w:rFonts w:ascii="Arial" w:hAnsi="Arial" w:cs="Arial"/>
          <w:vertAlign w:val="superscript"/>
        </w:rPr>
        <w:t>th</w:t>
      </w:r>
      <w:r w:rsidR="008D0565" w:rsidRPr="00D61F73">
        <w:rPr>
          <w:rFonts w:ascii="Arial" w:hAnsi="Arial" w:cs="Arial"/>
        </w:rPr>
        <w:t xml:space="preserve"> edition. Lippincott Williams &amp; Wilkins, 2009.</w:t>
      </w:r>
    </w:p>
    <w:p w14:paraId="171B76D5" w14:textId="77777777" w:rsidR="008D0565" w:rsidRPr="00D61F73" w:rsidRDefault="008D0565" w:rsidP="00D61F73">
      <w:pPr>
        <w:rPr>
          <w:rFonts w:ascii="Arial" w:hAnsi="Arial" w:cs="Arial"/>
        </w:rPr>
      </w:pPr>
    </w:p>
    <w:p w14:paraId="13AA9177" w14:textId="77777777" w:rsidR="00827A93" w:rsidRPr="00D61F73" w:rsidRDefault="00751163" w:rsidP="00D61F73">
      <w:pPr>
        <w:rPr>
          <w:rFonts w:ascii="Arial" w:hAnsi="Arial" w:cs="Arial"/>
        </w:rPr>
      </w:pPr>
      <w:hyperlink w:anchor="DoeSimkins2014" w:history="1">
        <w:r w:rsidR="00827A93" w:rsidRPr="00D61F73">
          <w:rPr>
            <w:rStyle w:val="Hyperlink"/>
            <w:rFonts w:ascii="Arial" w:hAnsi="Arial" w:cs="Arial"/>
          </w:rPr>
          <w:t>Doe-Simkins M, Quinn E, Xuan Z, Sorensen-Alawad A, Hackman H, Ozonoff A, Walley AY.</w:t>
        </w:r>
      </w:hyperlink>
      <w:r w:rsidR="00827A93" w:rsidRPr="00D61F73">
        <w:rPr>
          <w:rFonts w:ascii="Arial" w:hAnsi="Arial" w:cs="Arial"/>
        </w:rPr>
        <w:t xml:space="preserve"> Overdose rescues by trained and untrained participants and change in opioid use among substance-using participants in overdose education and naloxone distribution programs: a retrospective cohort study. BMC Public Health. 2014;14:297.</w:t>
      </w:r>
    </w:p>
    <w:p w14:paraId="119B2BAB" w14:textId="77777777" w:rsidR="00827A93" w:rsidRPr="00D61F73" w:rsidRDefault="00827A93" w:rsidP="00D61F73">
      <w:pPr>
        <w:rPr>
          <w:rFonts w:ascii="Arial" w:hAnsi="Arial" w:cs="Arial"/>
        </w:rPr>
      </w:pPr>
    </w:p>
    <w:p w14:paraId="08E703C2" w14:textId="77777777" w:rsidR="008D0565" w:rsidRPr="00D61F73" w:rsidRDefault="00751163" w:rsidP="00D61F73">
      <w:pPr>
        <w:rPr>
          <w:rFonts w:ascii="Arial" w:hAnsi="Arial" w:cs="Arial"/>
        </w:rPr>
      </w:pPr>
      <w:hyperlink w:anchor="Donnellan2010" w:history="1">
        <w:r w:rsidR="008D0565" w:rsidRPr="00D61F73">
          <w:rPr>
            <w:rStyle w:val="Hyperlink"/>
            <w:rFonts w:ascii="Arial" w:hAnsi="Arial" w:cs="Arial"/>
          </w:rPr>
          <w:t>Donnellan C, Preston C, Moayyedi P, Sharma N</w:t>
        </w:r>
      </w:hyperlink>
      <w:r w:rsidR="008D0565" w:rsidRPr="00D61F73">
        <w:rPr>
          <w:rFonts w:ascii="Arial" w:hAnsi="Arial" w:cs="Arial"/>
        </w:rPr>
        <w:t xml:space="preserve">. Medical treatments for the maintenance therapy of reflux oesophagitis and endoscopic negative reflux disease. </w:t>
      </w:r>
      <w:r w:rsidR="008D0565" w:rsidRPr="00D61F73">
        <w:rPr>
          <w:rFonts w:ascii="Arial" w:hAnsi="Arial" w:cs="Arial"/>
          <w:i/>
          <w:iCs/>
        </w:rPr>
        <w:t>Cochrane Database Syst Rev.</w:t>
      </w:r>
      <w:r w:rsidR="008D0565" w:rsidRPr="00D61F73">
        <w:rPr>
          <w:rFonts w:ascii="Arial" w:hAnsi="Arial" w:cs="Arial"/>
        </w:rPr>
        <w:t xml:space="preserve"> 2010 Feb 17;2:CD003245.</w:t>
      </w:r>
    </w:p>
    <w:p w14:paraId="2187EBA4" w14:textId="77777777" w:rsidR="008D0565" w:rsidRPr="00D61F73" w:rsidRDefault="008D0565" w:rsidP="00D61F73">
      <w:pPr>
        <w:pStyle w:val="Footer"/>
        <w:tabs>
          <w:tab w:val="clear" w:pos="4320"/>
          <w:tab w:val="clear" w:pos="8640"/>
        </w:tabs>
        <w:rPr>
          <w:rFonts w:ascii="Arial" w:hAnsi="Arial" w:cs="Arial"/>
        </w:rPr>
      </w:pPr>
    </w:p>
    <w:p w14:paraId="7667B4F6" w14:textId="77777777" w:rsidR="008D0565" w:rsidRPr="00D61F73" w:rsidRDefault="00751163" w:rsidP="00D61F73">
      <w:pPr>
        <w:pStyle w:val="Footer"/>
        <w:tabs>
          <w:tab w:val="clear" w:pos="4320"/>
          <w:tab w:val="clear" w:pos="8640"/>
        </w:tabs>
        <w:rPr>
          <w:rFonts w:ascii="Arial" w:hAnsi="Arial" w:cs="Arial"/>
        </w:rPr>
      </w:pPr>
      <w:hyperlink w:anchor="Drucker2011" w:history="1">
        <w:r w:rsidR="008D0565" w:rsidRPr="00D61F73">
          <w:rPr>
            <w:rStyle w:val="Hyperlink"/>
            <w:rFonts w:ascii="Arial" w:hAnsi="Arial" w:cs="Arial"/>
          </w:rPr>
          <w:t>Drucker AM, Rosen CF</w:t>
        </w:r>
      </w:hyperlink>
      <w:r w:rsidR="008D0565" w:rsidRPr="00D61F73">
        <w:rPr>
          <w:rFonts w:ascii="Arial" w:hAnsi="Arial" w:cs="Arial"/>
        </w:rPr>
        <w:t xml:space="preserve">. Drug-induced photosensitivity: culprit drugs, management and prevention. </w:t>
      </w:r>
      <w:r w:rsidR="008D0565" w:rsidRPr="00D61F73">
        <w:rPr>
          <w:rFonts w:ascii="Arial" w:hAnsi="Arial" w:cs="Arial"/>
          <w:i/>
        </w:rPr>
        <w:t>Drug Saf</w:t>
      </w:r>
      <w:r w:rsidR="008D0565" w:rsidRPr="00D61F73">
        <w:rPr>
          <w:rFonts w:ascii="Arial" w:hAnsi="Arial" w:cs="Arial"/>
        </w:rPr>
        <w:t>. 2011;34:821-37</w:t>
      </w:r>
    </w:p>
    <w:p w14:paraId="03963F07" w14:textId="77777777" w:rsidR="008D0565" w:rsidRPr="00D61F73" w:rsidRDefault="008D0565" w:rsidP="00D61F73">
      <w:pPr>
        <w:pStyle w:val="Footer"/>
        <w:tabs>
          <w:tab w:val="clear" w:pos="4320"/>
          <w:tab w:val="clear" w:pos="8640"/>
        </w:tabs>
        <w:rPr>
          <w:rFonts w:ascii="Arial" w:hAnsi="Arial" w:cs="Arial"/>
        </w:rPr>
      </w:pPr>
    </w:p>
    <w:p w14:paraId="35FC942F" w14:textId="77777777" w:rsidR="008D0565" w:rsidRPr="00D61F73" w:rsidRDefault="00751163" w:rsidP="00D61F73">
      <w:pPr>
        <w:rPr>
          <w:rFonts w:ascii="Arial" w:hAnsi="Arial" w:cs="Arial"/>
        </w:rPr>
      </w:pPr>
      <w:hyperlink w:anchor="Ducharme2012" w:history="1">
        <w:r w:rsidR="008D0565" w:rsidRPr="00D61F73">
          <w:rPr>
            <w:rStyle w:val="Hyperlink"/>
            <w:rFonts w:ascii="Arial" w:hAnsi="Arial" w:cs="Arial"/>
          </w:rPr>
          <w:t>Ducharme S, Fraser R, Gill K</w:t>
        </w:r>
      </w:hyperlink>
      <w:r w:rsidR="008D0565" w:rsidRPr="00D61F73">
        <w:rPr>
          <w:rFonts w:ascii="Arial" w:hAnsi="Arial" w:cs="Arial"/>
        </w:rPr>
        <w:t xml:space="preserve">. Update on the clinical use of buprenorphine: in opioid-related disorders. </w:t>
      </w:r>
      <w:r w:rsidR="008D0565" w:rsidRPr="00D61F73">
        <w:rPr>
          <w:rFonts w:ascii="Arial" w:hAnsi="Arial" w:cs="Arial"/>
          <w:i/>
          <w:iCs/>
        </w:rPr>
        <w:t>Can Fam Physician.</w:t>
      </w:r>
      <w:r w:rsidR="008D0565" w:rsidRPr="00D61F73">
        <w:rPr>
          <w:rFonts w:ascii="Arial" w:hAnsi="Arial" w:cs="Arial"/>
        </w:rPr>
        <w:t xml:space="preserve"> 2012 Jan;58(1):37-41.</w:t>
      </w:r>
    </w:p>
    <w:p w14:paraId="35CDA219" w14:textId="77777777" w:rsidR="008D0565" w:rsidRPr="00D61F73" w:rsidRDefault="008D0565" w:rsidP="00D61F73">
      <w:pPr>
        <w:rPr>
          <w:rFonts w:ascii="Arial" w:hAnsi="Arial" w:cs="Arial"/>
        </w:rPr>
      </w:pPr>
    </w:p>
    <w:p w14:paraId="2CD05673" w14:textId="77777777" w:rsidR="008D0565" w:rsidRPr="00D61F73" w:rsidRDefault="00751163" w:rsidP="00D61F73">
      <w:pPr>
        <w:pStyle w:val="NormalWeb"/>
        <w:spacing w:before="0" w:beforeAutospacing="0" w:after="0" w:afterAutospacing="0"/>
        <w:rPr>
          <w:rFonts w:ascii="Arial" w:hAnsi="Arial" w:cs="Arial"/>
        </w:rPr>
      </w:pPr>
      <w:hyperlink w:anchor="Dworkin" w:history="1">
        <w:r w:rsidR="008D0565" w:rsidRPr="00D61F73">
          <w:rPr>
            <w:rStyle w:val="Hyperlink"/>
            <w:rFonts w:ascii="Arial" w:hAnsi="Arial" w:cs="Arial"/>
          </w:rPr>
          <w:t>Dworkin RH, Backonja M, Rowbotham MC, Allen RR, Argoff CR, Bennett GJ, Bushnell MC, Farrar JT, Galer BS, Haythornthwaite JA, Hewitt DJ, Loeser JD, Max MB, Saltarelli M, Schmader KE, Stein C, Thompson D, Turk DC, Wallace MS, Watkins LR, Weinstein SM.</w:t>
        </w:r>
      </w:hyperlink>
      <w:r w:rsidR="008D0565" w:rsidRPr="00D61F73">
        <w:rPr>
          <w:rFonts w:ascii="Arial" w:hAnsi="Arial" w:cs="Arial"/>
        </w:rPr>
        <w:t xml:space="preserve"> </w:t>
      </w:r>
      <w:r w:rsidR="008D0565" w:rsidRPr="00D61F73">
        <w:rPr>
          <w:rFonts w:ascii="Arial" w:hAnsi="Arial" w:cs="Arial"/>
        </w:rPr>
        <w:lastRenderedPageBreak/>
        <w:t xml:space="preserve">Advances in neuropathic pain: diagnosis, mechanisms, and treatment recommendations. </w:t>
      </w:r>
      <w:r w:rsidR="008D0565" w:rsidRPr="00D61F73">
        <w:rPr>
          <w:rFonts w:ascii="Arial" w:hAnsi="Arial" w:cs="Arial"/>
          <w:i/>
          <w:iCs/>
        </w:rPr>
        <w:t>Arch Neurol.</w:t>
      </w:r>
      <w:r w:rsidR="008D0565" w:rsidRPr="00D61F73">
        <w:rPr>
          <w:rFonts w:ascii="Arial" w:hAnsi="Arial" w:cs="Arial"/>
        </w:rPr>
        <w:t xml:space="preserve"> 2003 Nov;60(11):1524-34.</w:t>
      </w:r>
    </w:p>
    <w:p w14:paraId="4F914A8D" w14:textId="77777777" w:rsidR="008D0565" w:rsidRPr="00D61F73" w:rsidRDefault="008D0565" w:rsidP="00D61F73">
      <w:pPr>
        <w:pStyle w:val="NormalWeb"/>
        <w:spacing w:before="0" w:beforeAutospacing="0" w:after="0" w:afterAutospacing="0"/>
        <w:rPr>
          <w:rFonts w:ascii="Arial" w:hAnsi="Arial" w:cs="Arial"/>
        </w:rPr>
      </w:pPr>
    </w:p>
    <w:p w14:paraId="13E5D5B9" w14:textId="77777777" w:rsidR="008D0565" w:rsidRPr="00D61F73" w:rsidRDefault="00751163" w:rsidP="00D61F73">
      <w:pPr>
        <w:pStyle w:val="NormalWeb"/>
        <w:spacing w:before="0" w:beforeAutospacing="0" w:after="0" w:afterAutospacing="0"/>
        <w:rPr>
          <w:rStyle w:val="ti"/>
          <w:rFonts w:ascii="Arial" w:hAnsi="Arial" w:cs="Arial"/>
        </w:rPr>
      </w:pPr>
      <w:hyperlink w:anchor="Dworkin2" w:history="1">
        <w:r w:rsidR="008D0565" w:rsidRPr="00D61F73">
          <w:rPr>
            <w:rStyle w:val="Hyperlink"/>
            <w:rFonts w:ascii="Arial" w:hAnsi="Arial" w:cs="Arial"/>
          </w:rPr>
          <w:t>Dworkin RH, O'connor AB, Backonja M, Farrar JT, Finnerup NB, Jensen TS, Kalso EA, Loeser JD, Miaskowski C, Nurmikko TJ, Portenoy RK, Rice AS, Stacey BR, Treede RD, Turk DC, Wallace MS.</w:t>
        </w:r>
      </w:hyperlink>
      <w:r w:rsidR="008D0565" w:rsidRPr="00D61F73">
        <w:rPr>
          <w:rFonts w:ascii="Arial" w:hAnsi="Arial" w:cs="Arial"/>
        </w:rPr>
        <w:t xml:space="preserve"> Pharmacologic management of neuropathic pain: Evidence-based recommendations.</w:t>
      </w:r>
      <w:r w:rsidR="008D0565" w:rsidRPr="00D61F73">
        <w:rPr>
          <w:rStyle w:val="Hyperlink"/>
          <w:rFonts w:ascii="Arial" w:hAnsi="Arial" w:cs="Arial"/>
        </w:rPr>
        <w:t xml:space="preserve"> </w:t>
      </w:r>
      <w:r w:rsidR="008D0565" w:rsidRPr="00D61F73">
        <w:rPr>
          <w:rStyle w:val="ti"/>
          <w:rFonts w:ascii="Arial" w:hAnsi="Arial" w:cs="Arial"/>
          <w:i/>
        </w:rPr>
        <w:t>Pain.</w:t>
      </w:r>
      <w:r w:rsidR="008D0565" w:rsidRPr="00D61F73">
        <w:rPr>
          <w:rStyle w:val="ti"/>
          <w:rFonts w:ascii="Arial" w:hAnsi="Arial" w:cs="Arial"/>
        </w:rPr>
        <w:t xml:space="preserve"> 2007 Oct 5; [Epub ahead of print]</w:t>
      </w:r>
    </w:p>
    <w:p w14:paraId="7344CD28" w14:textId="77777777" w:rsidR="008D0565" w:rsidRPr="00D61F73" w:rsidRDefault="008D0565" w:rsidP="00D61F73">
      <w:pPr>
        <w:pStyle w:val="NormalWeb"/>
        <w:spacing w:before="0" w:beforeAutospacing="0" w:after="0" w:afterAutospacing="0"/>
        <w:rPr>
          <w:rFonts w:ascii="Arial" w:hAnsi="Arial" w:cs="Arial"/>
        </w:rPr>
      </w:pPr>
    </w:p>
    <w:p w14:paraId="317F6527" w14:textId="77777777" w:rsidR="008D0565" w:rsidRPr="00D61F73" w:rsidRDefault="00751163" w:rsidP="00D61F73">
      <w:pPr>
        <w:pStyle w:val="NormalWeb"/>
        <w:spacing w:before="0" w:beforeAutospacing="0" w:after="0" w:afterAutospacing="0"/>
        <w:rPr>
          <w:rFonts w:ascii="Arial" w:hAnsi="Arial" w:cs="Arial"/>
        </w:rPr>
      </w:pPr>
      <w:hyperlink w:anchor="Dworkin2010" w:history="1">
        <w:r w:rsidR="008D0565" w:rsidRPr="00D61F73">
          <w:rPr>
            <w:rStyle w:val="Hyperlink"/>
            <w:rFonts w:ascii="Arial" w:hAnsi="Arial" w:cs="Arial"/>
          </w:rPr>
          <w:t>Dworkin RH, O'Connor AB, Audette J, Baron R, Gourlay GK, Haanpää ML, Kent JL, Krane EJ, Lebel AA, Levy RM, Mackey SC, Mayer J, Miaskowski C, Raja SN, Rice AS, Schmader KE, Stacey B, Stanos S, Treede RD, Turk DC, Walco GA, Wells CD</w:t>
        </w:r>
      </w:hyperlink>
      <w:r w:rsidR="008D0565" w:rsidRPr="00D61F73">
        <w:rPr>
          <w:rFonts w:ascii="Arial" w:hAnsi="Arial" w:cs="Arial"/>
        </w:rPr>
        <w:t xml:space="preserve">. Recommendations for the pharmacological management of neuropathic pain: an overview and literature update. </w:t>
      </w:r>
      <w:r w:rsidR="008D0565" w:rsidRPr="00D61F73">
        <w:rPr>
          <w:rFonts w:ascii="Arial" w:hAnsi="Arial" w:cs="Arial"/>
          <w:i/>
          <w:iCs/>
        </w:rPr>
        <w:t>Mayo Clin Proc</w:t>
      </w:r>
      <w:r w:rsidR="008D0565" w:rsidRPr="00D61F73">
        <w:rPr>
          <w:rFonts w:ascii="Arial" w:hAnsi="Arial" w:cs="Arial"/>
        </w:rPr>
        <w:t>. 2010;85:S3-14.</w:t>
      </w:r>
    </w:p>
    <w:p w14:paraId="7F58591D" w14:textId="77777777" w:rsidR="008D0565" w:rsidRPr="00D61F73" w:rsidRDefault="008D0565" w:rsidP="00D61F73">
      <w:pPr>
        <w:pStyle w:val="NormalWeb"/>
        <w:spacing w:before="0" w:beforeAutospacing="0" w:after="0" w:afterAutospacing="0"/>
        <w:rPr>
          <w:rFonts w:ascii="Arial" w:hAnsi="Arial" w:cs="Arial"/>
        </w:rPr>
      </w:pPr>
    </w:p>
    <w:p w14:paraId="7B5FA677" w14:textId="77777777" w:rsidR="008D0565" w:rsidRPr="00D61F73" w:rsidRDefault="00751163" w:rsidP="00D61F73">
      <w:pPr>
        <w:rPr>
          <w:rFonts w:ascii="Arial" w:hAnsi="Arial" w:cs="Arial"/>
        </w:rPr>
      </w:pPr>
      <w:hyperlink w:anchor="Edwards" w:history="1">
        <w:r w:rsidR="008D0565" w:rsidRPr="00D61F73">
          <w:rPr>
            <w:rStyle w:val="Hyperlink"/>
            <w:rFonts w:ascii="Arial" w:hAnsi="Arial" w:cs="Arial"/>
          </w:rPr>
          <w:t>Edwards JE, Oldman A, Smith L, Collins SL, Carroll D, Wiffen PJ, McQuay HJ, Moore RA</w:t>
        </w:r>
      </w:hyperlink>
      <w:r w:rsidR="008D0565" w:rsidRPr="00D61F73">
        <w:rPr>
          <w:rFonts w:ascii="Arial" w:hAnsi="Arial" w:cs="Arial"/>
        </w:rPr>
        <w:t xml:space="preserve">. Single dose oral aspirin for acute pain. </w:t>
      </w:r>
      <w:r w:rsidR="008D0565" w:rsidRPr="00D61F73">
        <w:rPr>
          <w:rFonts w:ascii="Arial" w:hAnsi="Arial" w:cs="Arial"/>
          <w:i/>
        </w:rPr>
        <w:t>The Cochrane Database of Systematic Reviews</w:t>
      </w:r>
      <w:r w:rsidR="008D0565" w:rsidRPr="00D61F73">
        <w:rPr>
          <w:rFonts w:ascii="Arial" w:hAnsi="Arial" w:cs="Arial"/>
        </w:rPr>
        <w:t xml:space="preserve"> 2006 Issue 3</w:t>
      </w:r>
    </w:p>
    <w:p w14:paraId="1F822A07" w14:textId="77777777" w:rsidR="008D0565" w:rsidRPr="00D61F73" w:rsidRDefault="008D0565" w:rsidP="00D61F73">
      <w:pPr>
        <w:rPr>
          <w:rFonts w:ascii="Arial" w:hAnsi="Arial" w:cs="Arial"/>
        </w:rPr>
      </w:pPr>
    </w:p>
    <w:p w14:paraId="5F931FB0" w14:textId="77777777" w:rsidR="008D0565" w:rsidRPr="00D61F73" w:rsidRDefault="00751163" w:rsidP="00D61F73">
      <w:pPr>
        <w:rPr>
          <w:rFonts w:ascii="Arial" w:hAnsi="Arial" w:cs="Arial"/>
        </w:rPr>
      </w:pPr>
      <w:hyperlink w:anchor="Eisenberg2007" w:history="1">
        <w:r w:rsidR="008D0565" w:rsidRPr="00D61F73">
          <w:rPr>
            <w:rStyle w:val="Hyperlink"/>
            <w:rFonts w:ascii="Arial" w:hAnsi="Arial" w:cs="Arial"/>
            <w:bCs/>
          </w:rPr>
          <w:t>Eisenberg E</w:t>
        </w:r>
        <w:r w:rsidR="008D0565" w:rsidRPr="00D61F73">
          <w:rPr>
            <w:rStyle w:val="Hyperlink"/>
            <w:rFonts w:ascii="Arial" w:hAnsi="Arial" w:cs="Arial"/>
          </w:rPr>
          <w:t xml:space="preserve">, </w:t>
        </w:r>
        <w:r w:rsidR="008D0565" w:rsidRPr="00D61F73">
          <w:rPr>
            <w:rStyle w:val="Hyperlink"/>
            <w:rFonts w:ascii="Arial" w:hAnsi="Arial" w:cs="Arial"/>
            <w:bCs/>
          </w:rPr>
          <w:t>River Y</w:t>
        </w:r>
        <w:r w:rsidR="008D0565" w:rsidRPr="00D61F73">
          <w:rPr>
            <w:rStyle w:val="Hyperlink"/>
            <w:rFonts w:ascii="Arial" w:hAnsi="Arial" w:cs="Arial"/>
          </w:rPr>
          <w:t xml:space="preserve">, </w:t>
        </w:r>
        <w:r w:rsidR="008D0565" w:rsidRPr="00D61F73">
          <w:rPr>
            <w:rStyle w:val="Hyperlink"/>
            <w:rFonts w:ascii="Arial" w:hAnsi="Arial" w:cs="Arial"/>
            <w:bCs/>
          </w:rPr>
          <w:t>Shifrin A</w:t>
        </w:r>
        <w:r w:rsidR="008D0565" w:rsidRPr="00D61F73">
          <w:rPr>
            <w:rStyle w:val="Hyperlink"/>
            <w:rFonts w:ascii="Arial" w:hAnsi="Arial" w:cs="Arial"/>
          </w:rPr>
          <w:t xml:space="preserve">, </w:t>
        </w:r>
        <w:r w:rsidR="008D0565" w:rsidRPr="00D61F73">
          <w:rPr>
            <w:rStyle w:val="Hyperlink"/>
            <w:rFonts w:ascii="Arial" w:hAnsi="Arial" w:cs="Arial"/>
            <w:bCs/>
          </w:rPr>
          <w:t>Krivoy N</w:t>
        </w:r>
      </w:hyperlink>
      <w:r w:rsidR="008D0565" w:rsidRPr="00D61F73">
        <w:rPr>
          <w:rFonts w:ascii="Arial" w:hAnsi="Arial" w:cs="Arial"/>
        </w:rPr>
        <w:t xml:space="preserve">. Antiepileptic drugs in the treatment of neuropathic pain. </w:t>
      </w:r>
      <w:r w:rsidR="008D0565" w:rsidRPr="00D61F73">
        <w:rPr>
          <w:rFonts w:ascii="Arial" w:hAnsi="Arial" w:cs="Arial"/>
          <w:i/>
        </w:rPr>
        <w:t>Drugs</w:t>
      </w:r>
      <w:r w:rsidR="008D0565" w:rsidRPr="00D61F73">
        <w:rPr>
          <w:rFonts w:ascii="Arial" w:hAnsi="Arial" w:cs="Arial"/>
        </w:rPr>
        <w:t>. 2007:67(9):1265-89.</w:t>
      </w:r>
    </w:p>
    <w:p w14:paraId="2A339847" w14:textId="77777777" w:rsidR="008D0565" w:rsidRPr="00D61F73" w:rsidRDefault="008D0565" w:rsidP="00D61F73">
      <w:pPr>
        <w:rPr>
          <w:rFonts w:ascii="Arial" w:hAnsi="Arial" w:cs="Arial"/>
        </w:rPr>
      </w:pPr>
    </w:p>
    <w:p w14:paraId="1865A081" w14:textId="77777777" w:rsidR="008D0565" w:rsidRPr="00D61F73" w:rsidRDefault="00751163" w:rsidP="00D61F73">
      <w:pPr>
        <w:rPr>
          <w:rStyle w:val="ti"/>
          <w:rFonts w:ascii="Arial" w:hAnsi="Arial" w:cs="Arial"/>
        </w:rPr>
      </w:pPr>
      <w:hyperlink w:anchor="Erman" w:history="1">
        <w:r w:rsidR="008D0565" w:rsidRPr="00D61F73">
          <w:rPr>
            <w:rStyle w:val="Hyperlink"/>
            <w:rFonts w:ascii="Arial" w:hAnsi="Arial" w:cs="Arial"/>
            <w:bCs/>
          </w:rPr>
          <w:t>Erman MK</w:t>
        </w:r>
        <w:r w:rsidR="008D0565" w:rsidRPr="00D61F73">
          <w:rPr>
            <w:rStyle w:val="Hyperlink"/>
            <w:rFonts w:ascii="Arial" w:hAnsi="Arial" w:cs="Arial"/>
          </w:rPr>
          <w:t>.</w:t>
        </w:r>
      </w:hyperlink>
      <w:r w:rsidR="008D0565" w:rsidRPr="00D61F73">
        <w:rPr>
          <w:rFonts w:ascii="Arial" w:hAnsi="Arial" w:cs="Arial"/>
        </w:rPr>
        <w:t xml:space="preserve"> Therapeutic options in the treatment of insomnia. </w:t>
      </w:r>
      <w:hyperlink r:id="rId192" w:history="1">
        <w:r w:rsidR="008D0565" w:rsidRPr="00D61F73">
          <w:rPr>
            <w:rStyle w:val="Hyperlink"/>
            <w:rFonts w:ascii="Arial" w:hAnsi="Arial" w:cs="Arial"/>
            <w:i/>
          </w:rPr>
          <w:t>J Clin Psychiatry</w:t>
        </w:r>
        <w:r w:rsidR="008D0565" w:rsidRPr="00D61F73">
          <w:rPr>
            <w:rStyle w:val="Hyperlink"/>
            <w:rFonts w:ascii="Arial" w:hAnsi="Arial" w:cs="Arial"/>
          </w:rPr>
          <w:t>.</w:t>
        </w:r>
      </w:hyperlink>
      <w:r w:rsidR="008D0565" w:rsidRPr="00D61F73">
        <w:rPr>
          <w:rStyle w:val="ti"/>
          <w:rFonts w:ascii="Arial" w:hAnsi="Arial" w:cs="Arial"/>
        </w:rPr>
        <w:t xml:space="preserve"> 2005;66 Suppl 9:18-23.</w:t>
      </w:r>
    </w:p>
    <w:p w14:paraId="0DCB3DFF" w14:textId="77777777" w:rsidR="008D0565" w:rsidRPr="00D61F73" w:rsidRDefault="008D0565" w:rsidP="00D61F73">
      <w:pPr>
        <w:rPr>
          <w:rFonts w:ascii="Arial" w:hAnsi="Arial" w:cs="Arial"/>
        </w:rPr>
      </w:pPr>
    </w:p>
    <w:p w14:paraId="49161DE7" w14:textId="77777777" w:rsidR="008D0565" w:rsidRPr="00D61F73" w:rsidRDefault="00751163" w:rsidP="00D61F73">
      <w:pPr>
        <w:rPr>
          <w:rFonts w:ascii="Arial" w:hAnsi="Arial" w:cs="Arial"/>
        </w:rPr>
      </w:pPr>
      <w:hyperlink w:anchor="Esparza2007" w:history="1">
        <w:r w:rsidR="008D0565" w:rsidRPr="00D61F73">
          <w:rPr>
            <w:rStyle w:val="Hyperlink"/>
            <w:rFonts w:ascii="Arial" w:hAnsi="Arial" w:cs="Arial"/>
          </w:rPr>
          <w:t>Esparza F, Cobián C, Jiménez JF, García-Cota JJ, Sánchez C, Maestro A;</w:t>
        </w:r>
      </w:hyperlink>
      <w:r w:rsidR="008D0565" w:rsidRPr="00D61F73">
        <w:rPr>
          <w:rFonts w:ascii="Arial" w:hAnsi="Arial" w:cs="Arial"/>
        </w:rPr>
        <w:t xml:space="preserve"> Working group for the acute pain study of SETRADE. Topical ketoprofen TDS patch versus diclofenac gel: efficacy and tolerability in benign sport related soft-tissue injuries. </w:t>
      </w:r>
      <w:r w:rsidR="008D0565" w:rsidRPr="00D61F73">
        <w:rPr>
          <w:rFonts w:ascii="Arial" w:hAnsi="Arial" w:cs="Arial"/>
          <w:i/>
        </w:rPr>
        <w:t>Br J Sports Med</w:t>
      </w:r>
      <w:r w:rsidR="008D0565" w:rsidRPr="00D61F73">
        <w:rPr>
          <w:rFonts w:ascii="Arial" w:hAnsi="Arial" w:cs="Arial"/>
        </w:rPr>
        <w:t>. 2007;41:134-9.</w:t>
      </w:r>
    </w:p>
    <w:p w14:paraId="7085FE95" w14:textId="77777777" w:rsidR="008D0565" w:rsidRPr="00D61F73" w:rsidRDefault="008D0565" w:rsidP="00D61F73">
      <w:pPr>
        <w:rPr>
          <w:rFonts w:ascii="Arial" w:hAnsi="Arial" w:cs="Arial"/>
        </w:rPr>
      </w:pPr>
    </w:p>
    <w:p w14:paraId="5F8487E6" w14:textId="77777777" w:rsidR="00FA2E96" w:rsidRPr="00D61F73" w:rsidRDefault="00751163" w:rsidP="00D61F73">
      <w:pPr>
        <w:rPr>
          <w:rFonts w:ascii="Arial" w:hAnsi="Arial" w:cs="Arial"/>
        </w:rPr>
      </w:pPr>
      <w:hyperlink w:anchor="Ettinger" w:history="1">
        <w:r w:rsidR="008D0565" w:rsidRPr="00D61F73">
          <w:rPr>
            <w:rStyle w:val="Hyperlink"/>
            <w:rFonts w:ascii="Arial" w:hAnsi="Arial" w:cs="Arial"/>
          </w:rPr>
          <w:t>Ettinger AB, Argoff CE</w:t>
        </w:r>
      </w:hyperlink>
      <w:r w:rsidR="008D0565" w:rsidRPr="00D61F73">
        <w:rPr>
          <w:rFonts w:ascii="Arial" w:hAnsi="Arial" w:cs="Arial"/>
        </w:rPr>
        <w:t xml:space="preserve">. Use of antiepileptic drugs for nonepileptic conditions: psychiatric disorders and chronic pain. </w:t>
      </w:r>
      <w:r w:rsidR="008D0565" w:rsidRPr="00D61F73">
        <w:rPr>
          <w:rFonts w:ascii="Arial" w:hAnsi="Arial" w:cs="Arial"/>
          <w:i/>
          <w:iCs/>
        </w:rPr>
        <w:t>Neurotherapeutics</w:t>
      </w:r>
      <w:r w:rsidR="008D0565" w:rsidRPr="00D61F73">
        <w:rPr>
          <w:rFonts w:ascii="Arial" w:hAnsi="Arial" w:cs="Arial"/>
        </w:rPr>
        <w:t>. 2007 Jan;4(1):75-83.</w:t>
      </w:r>
    </w:p>
    <w:p w14:paraId="7A5E6070" w14:textId="77777777" w:rsidR="00546445" w:rsidRPr="00D61F73" w:rsidRDefault="00751163" w:rsidP="00D61F73">
      <w:pPr>
        <w:pStyle w:val="pagetitle"/>
        <w:jc w:val="left"/>
        <w:rPr>
          <w:rFonts w:ascii="Arial" w:hAnsi="Arial" w:cs="Arial"/>
          <w:sz w:val="24"/>
          <w:szCs w:val="24"/>
        </w:rPr>
      </w:pPr>
      <w:hyperlink w:anchor="FDAFEB2008" w:history="1">
        <w:r w:rsidR="00FA2E96" w:rsidRPr="00D61F73">
          <w:rPr>
            <w:rStyle w:val="Hyperlink"/>
            <w:rFonts w:ascii="Arial" w:hAnsi="Arial" w:cs="Arial"/>
            <w:sz w:val="24"/>
            <w:szCs w:val="24"/>
          </w:rPr>
          <w:t>FDA.</w:t>
        </w:r>
      </w:hyperlink>
      <w:r w:rsidR="00FA2E96" w:rsidRPr="00D61F73">
        <w:rPr>
          <w:rFonts w:ascii="Arial" w:hAnsi="Arial" w:cs="Arial"/>
          <w:color w:val="000000"/>
          <w:sz w:val="24"/>
          <w:szCs w:val="24"/>
        </w:rPr>
        <w:t xml:space="preserve"> The Acetaminophen Hepatotoxicity Working Group Center for Drug Evaluation and Research. Recommendations for FDA Interventions to Decrease the Occurrence of Acetaminophen Hepatotoxicity. February 26, 2008.</w:t>
      </w:r>
    </w:p>
    <w:p w14:paraId="11A69962" w14:textId="77777777" w:rsidR="00546445" w:rsidRPr="00D61F73" w:rsidRDefault="00751163" w:rsidP="00D61F73">
      <w:pPr>
        <w:pStyle w:val="pagetitle"/>
        <w:spacing w:before="0" w:beforeAutospacing="0" w:after="0" w:afterAutospacing="0"/>
        <w:jc w:val="left"/>
        <w:rPr>
          <w:rFonts w:ascii="Arial" w:hAnsi="Arial" w:cs="Arial"/>
          <w:color w:val="000000"/>
          <w:sz w:val="24"/>
          <w:szCs w:val="24"/>
        </w:rPr>
      </w:pPr>
      <w:hyperlink w:anchor="FDAMarch2008" w:history="1">
        <w:r w:rsidR="00546445" w:rsidRPr="00D61F73">
          <w:rPr>
            <w:rStyle w:val="Hyperlink"/>
            <w:rFonts w:ascii="Arial" w:hAnsi="Arial" w:cs="Arial"/>
            <w:sz w:val="24"/>
            <w:szCs w:val="24"/>
          </w:rPr>
          <w:t>FDA.</w:t>
        </w:r>
      </w:hyperlink>
      <w:r w:rsidR="00546445" w:rsidRPr="00D61F73">
        <w:rPr>
          <w:rFonts w:ascii="Arial" w:hAnsi="Arial" w:cs="Arial"/>
          <w:color w:val="000000"/>
          <w:sz w:val="24"/>
          <w:szCs w:val="24"/>
        </w:rPr>
        <w:t xml:space="preserve"> Potential Signals of Serious Risks/New Safety Information Identified by the Adverse Event Reporting System (AERS). January - March 2008.</w:t>
      </w:r>
      <w:r w:rsidR="00CB2046" w:rsidRPr="00D61F73">
        <w:rPr>
          <w:rFonts w:ascii="Arial" w:hAnsi="Arial" w:cs="Arial"/>
          <w:color w:val="000000"/>
          <w:sz w:val="24"/>
          <w:szCs w:val="24"/>
        </w:rPr>
        <w:t xml:space="preserve"> </w:t>
      </w:r>
    </w:p>
    <w:p w14:paraId="3F56FF45" w14:textId="77777777" w:rsidR="008D0565" w:rsidRPr="00D61F73" w:rsidRDefault="008D0565" w:rsidP="00D61F73">
      <w:pPr>
        <w:rPr>
          <w:rFonts w:ascii="Arial" w:hAnsi="Arial" w:cs="Arial"/>
        </w:rPr>
      </w:pPr>
    </w:p>
    <w:p w14:paraId="078BDC87" w14:textId="77777777" w:rsidR="008D0565" w:rsidRPr="00D61F73" w:rsidRDefault="00751163" w:rsidP="00D61F73">
      <w:pPr>
        <w:pStyle w:val="Footer"/>
        <w:tabs>
          <w:tab w:val="clear" w:pos="4320"/>
          <w:tab w:val="clear" w:pos="8640"/>
        </w:tabs>
        <w:rPr>
          <w:rFonts w:ascii="Arial" w:hAnsi="Arial" w:cs="Arial"/>
        </w:rPr>
      </w:pPr>
      <w:hyperlink w:anchor="FDAnews2007" w:history="1">
        <w:r w:rsidR="00546445" w:rsidRPr="00D61F73">
          <w:rPr>
            <w:rStyle w:val="Hyperlink"/>
            <w:rFonts w:ascii="Arial" w:hAnsi="Arial" w:cs="Arial"/>
          </w:rPr>
          <w:t>FDA News</w:t>
        </w:r>
        <w:r w:rsidR="008D0565" w:rsidRPr="00D61F73">
          <w:rPr>
            <w:rStyle w:val="Hyperlink"/>
            <w:rFonts w:ascii="Arial" w:hAnsi="Arial" w:cs="Arial"/>
          </w:rPr>
          <w:t>.</w:t>
        </w:r>
      </w:hyperlink>
      <w:r w:rsidR="008D0565" w:rsidRPr="00D61F73">
        <w:rPr>
          <w:rFonts w:ascii="Arial" w:hAnsi="Arial" w:cs="Arial"/>
        </w:rPr>
        <w:t xml:space="preserve"> FDA Approves First Drug for Treating Fibromyalgia. June 21, 2007</w:t>
      </w:r>
      <w:r w:rsidR="00F47EC3" w:rsidRPr="00D61F73">
        <w:rPr>
          <w:rFonts w:ascii="Arial" w:hAnsi="Arial" w:cs="Arial"/>
        </w:rPr>
        <w:t>.</w:t>
      </w:r>
    </w:p>
    <w:p w14:paraId="1B97CE15" w14:textId="77777777" w:rsidR="00546445" w:rsidRPr="00D61F73" w:rsidRDefault="00546445" w:rsidP="00D61F73">
      <w:pPr>
        <w:pStyle w:val="pagetitle"/>
        <w:spacing w:before="0" w:beforeAutospacing="0" w:after="0" w:afterAutospacing="0"/>
        <w:jc w:val="left"/>
        <w:rPr>
          <w:rFonts w:ascii="Arial" w:hAnsi="Arial" w:cs="Arial"/>
          <w:color w:val="000000"/>
          <w:sz w:val="24"/>
          <w:szCs w:val="24"/>
        </w:rPr>
      </w:pPr>
    </w:p>
    <w:p w14:paraId="29C9C775" w14:textId="77777777" w:rsidR="002D1A84" w:rsidRPr="00D61F73" w:rsidRDefault="00751163" w:rsidP="00D61F73">
      <w:pPr>
        <w:rPr>
          <w:rFonts w:ascii="Arial" w:hAnsi="Arial" w:cs="Arial"/>
        </w:rPr>
      </w:pPr>
      <w:hyperlink w:anchor="Feinberg" w:history="1">
        <w:r w:rsidR="008D0565" w:rsidRPr="00D61F73">
          <w:rPr>
            <w:rStyle w:val="Hyperlink"/>
            <w:rFonts w:ascii="Arial" w:hAnsi="Arial" w:cs="Arial"/>
          </w:rPr>
          <w:t>Feinberg SD</w:t>
        </w:r>
      </w:hyperlink>
      <w:r w:rsidR="008D0565" w:rsidRPr="00D61F73">
        <w:rPr>
          <w:rFonts w:ascii="Arial" w:hAnsi="Arial" w:cs="Arial"/>
        </w:rPr>
        <w:t>. ACPA Chronic Pain Medications Supplement. American Chronic Pain Association, Inc. 2008</w:t>
      </w:r>
    </w:p>
    <w:p w14:paraId="3CF5A673" w14:textId="77777777" w:rsidR="008D0565" w:rsidRPr="00D61F73" w:rsidRDefault="008D0565" w:rsidP="00D61F73">
      <w:pPr>
        <w:rPr>
          <w:rFonts w:ascii="Arial" w:hAnsi="Arial" w:cs="Arial"/>
        </w:rPr>
      </w:pPr>
    </w:p>
    <w:p w14:paraId="36FF668A" w14:textId="77777777" w:rsidR="008D0565" w:rsidRPr="00D61F73" w:rsidRDefault="00751163" w:rsidP="00D61F73">
      <w:pPr>
        <w:rPr>
          <w:rFonts w:ascii="Arial" w:hAnsi="Arial" w:cs="Arial"/>
        </w:rPr>
      </w:pPr>
      <w:hyperlink w:anchor="Feuerstein2" w:history="1">
        <w:r w:rsidR="008D0565" w:rsidRPr="00D61F73">
          <w:rPr>
            <w:rStyle w:val="Hyperlink"/>
            <w:rFonts w:ascii="Arial" w:hAnsi="Arial" w:cs="Arial"/>
          </w:rPr>
          <w:t>Feuerstein TJ,</w:t>
        </w:r>
      </w:hyperlink>
      <w:r w:rsidR="008D0565" w:rsidRPr="00D61F73">
        <w:rPr>
          <w:rFonts w:ascii="Arial" w:hAnsi="Arial" w:cs="Arial"/>
        </w:rPr>
        <w:t xml:space="preserve"> [Chronic pain treatment with antidepressants - Metaanalysis] [Article in German], </w:t>
      </w:r>
      <w:r w:rsidR="008D0565" w:rsidRPr="00D61F73">
        <w:rPr>
          <w:rFonts w:ascii="Arial" w:hAnsi="Arial" w:cs="Arial"/>
          <w:i/>
          <w:iCs/>
        </w:rPr>
        <w:t>Schmerz.</w:t>
      </w:r>
      <w:r w:rsidR="008D0565" w:rsidRPr="00D61F73">
        <w:rPr>
          <w:rFonts w:ascii="Arial" w:hAnsi="Arial" w:cs="Arial"/>
        </w:rPr>
        <w:t xml:space="preserve"> 1997 Jun 13;11(3):213-26.</w:t>
      </w:r>
    </w:p>
    <w:p w14:paraId="7F0D9106" w14:textId="77777777" w:rsidR="00CB2046" w:rsidRPr="00D61F73" w:rsidRDefault="00CB2046" w:rsidP="00D61F73">
      <w:pPr>
        <w:rPr>
          <w:rFonts w:ascii="Arial" w:hAnsi="Arial" w:cs="Arial"/>
        </w:rPr>
      </w:pPr>
    </w:p>
    <w:p w14:paraId="46818BAA" w14:textId="77777777" w:rsidR="008D0565" w:rsidRPr="00D61F73" w:rsidRDefault="00751163" w:rsidP="00D61F73">
      <w:pPr>
        <w:rPr>
          <w:rFonts w:ascii="Arial" w:hAnsi="Arial" w:cs="Arial"/>
        </w:rPr>
      </w:pPr>
      <w:hyperlink w:anchor="Fingerhut2008" w:history="1">
        <w:r w:rsidR="008D0565" w:rsidRPr="00D61F73">
          <w:rPr>
            <w:rStyle w:val="Hyperlink"/>
            <w:rFonts w:ascii="Arial" w:hAnsi="Arial" w:cs="Arial"/>
          </w:rPr>
          <w:t>Fingerhut L</w:t>
        </w:r>
      </w:hyperlink>
      <w:r w:rsidR="008D0565" w:rsidRPr="00D61F73">
        <w:rPr>
          <w:rFonts w:ascii="Arial" w:hAnsi="Arial" w:cs="Arial"/>
        </w:rPr>
        <w:t>. Increases in poisoning and methadone-related deaths: United States, 1999-2005. Hyattsville, MD: Centers for Disease Control and Prevention’s National Center for Health Statistics. 2008.</w:t>
      </w:r>
    </w:p>
    <w:p w14:paraId="72D7D597" w14:textId="77777777" w:rsidR="008D0565" w:rsidRPr="00D61F73" w:rsidRDefault="008D0565" w:rsidP="00D61F73">
      <w:pPr>
        <w:rPr>
          <w:rFonts w:ascii="Arial" w:hAnsi="Arial" w:cs="Arial"/>
        </w:rPr>
      </w:pPr>
    </w:p>
    <w:p w14:paraId="5D2A0414" w14:textId="77777777" w:rsidR="008D0565" w:rsidRPr="00D61F73" w:rsidRDefault="00751163" w:rsidP="00D61F73">
      <w:pPr>
        <w:rPr>
          <w:rFonts w:ascii="Arial" w:hAnsi="Arial" w:cs="Arial"/>
        </w:rPr>
      </w:pPr>
      <w:hyperlink w:anchor="Finnerup" w:history="1">
        <w:r w:rsidR="008D0565" w:rsidRPr="00D61F73">
          <w:rPr>
            <w:rStyle w:val="Hyperlink"/>
            <w:rFonts w:ascii="Arial" w:hAnsi="Arial" w:cs="Arial"/>
          </w:rPr>
          <w:t>Finnerup NB, Otto M, McQuay HJ, Jensen TS, Sindrup SH.</w:t>
        </w:r>
      </w:hyperlink>
      <w:r w:rsidR="008D0565" w:rsidRPr="00D61F73">
        <w:rPr>
          <w:rFonts w:ascii="Arial" w:hAnsi="Arial" w:cs="Arial"/>
        </w:rPr>
        <w:t xml:space="preserve"> Algorithm for neuropathic pain treatment: an evidence based proposal. </w:t>
      </w:r>
      <w:r w:rsidR="008D0565" w:rsidRPr="00D61F73">
        <w:rPr>
          <w:rFonts w:ascii="Arial" w:hAnsi="Arial" w:cs="Arial"/>
          <w:i/>
          <w:iCs/>
        </w:rPr>
        <w:t>Pain.</w:t>
      </w:r>
      <w:r w:rsidR="008D0565" w:rsidRPr="00D61F73">
        <w:rPr>
          <w:rFonts w:ascii="Arial" w:hAnsi="Arial" w:cs="Arial"/>
        </w:rPr>
        <w:t xml:space="preserve"> 2005 Dec 5;118(3):289-305. Epub 2005 Oct 6. </w:t>
      </w:r>
    </w:p>
    <w:p w14:paraId="2FEB67C8" w14:textId="77777777" w:rsidR="008D0565" w:rsidRPr="00D61F73" w:rsidRDefault="008D0565" w:rsidP="00D61F73">
      <w:pPr>
        <w:rPr>
          <w:rFonts w:ascii="Arial" w:hAnsi="Arial" w:cs="Arial"/>
        </w:rPr>
      </w:pPr>
    </w:p>
    <w:p w14:paraId="74F92870" w14:textId="77777777" w:rsidR="008D0565" w:rsidRPr="00D61F73" w:rsidRDefault="00751163" w:rsidP="00D61F73">
      <w:pPr>
        <w:rPr>
          <w:rFonts w:ascii="Arial" w:hAnsi="Arial" w:cs="Arial"/>
        </w:rPr>
      </w:pPr>
      <w:hyperlink w:anchor="Finnerup2" w:history="1">
        <w:r w:rsidR="008D0565" w:rsidRPr="00D61F73">
          <w:rPr>
            <w:rStyle w:val="Hyperlink"/>
            <w:rFonts w:ascii="Arial" w:hAnsi="Arial" w:cs="Arial"/>
          </w:rPr>
          <w:t>Finnerup NB, Otto M, Jensen TS, Sindrup SH</w:t>
        </w:r>
      </w:hyperlink>
      <w:r w:rsidR="008D0565" w:rsidRPr="00D61F73">
        <w:rPr>
          <w:rFonts w:ascii="Arial" w:hAnsi="Arial" w:cs="Arial"/>
        </w:rPr>
        <w:t>. An evidence-based algorithm for the treatment of neuropathic pain.</w:t>
      </w:r>
      <w:r w:rsidR="008D0565" w:rsidRPr="00D61F73">
        <w:rPr>
          <w:rStyle w:val="Hyperlink"/>
          <w:rFonts w:ascii="Arial" w:hAnsi="Arial" w:cs="Arial"/>
        </w:rPr>
        <w:t xml:space="preserve"> </w:t>
      </w:r>
      <w:r w:rsidR="008D0565" w:rsidRPr="00D61F73">
        <w:rPr>
          <w:rStyle w:val="ti"/>
          <w:rFonts w:ascii="Arial" w:hAnsi="Arial" w:cs="Arial"/>
          <w:i/>
        </w:rPr>
        <w:t>MedGenMed</w:t>
      </w:r>
      <w:r w:rsidR="008D0565" w:rsidRPr="00D61F73">
        <w:rPr>
          <w:rStyle w:val="ti"/>
          <w:rFonts w:ascii="Arial" w:hAnsi="Arial" w:cs="Arial"/>
        </w:rPr>
        <w:t>. 2007; 15;9:36.</w:t>
      </w:r>
    </w:p>
    <w:p w14:paraId="15914727" w14:textId="77777777" w:rsidR="008D0565" w:rsidRPr="00D61F73" w:rsidRDefault="008D0565" w:rsidP="00D61F73">
      <w:pPr>
        <w:rPr>
          <w:rFonts w:ascii="Arial" w:hAnsi="Arial" w:cs="Arial"/>
        </w:rPr>
      </w:pPr>
    </w:p>
    <w:p w14:paraId="01635D64" w14:textId="77777777" w:rsidR="008D0565" w:rsidRPr="00D61F73" w:rsidRDefault="00751163" w:rsidP="00D61F73">
      <w:pPr>
        <w:rPr>
          <w:rFonts w:ascii="Arial" w:hAnsi="Arial" w:cs="Arial"/>
        </w:rPr>
      </w:pPr>
      <w:hyperlink w:anchor="Fishbain" w:history="1">
        <w:r w:rsidR="008D0565" w:rsidRPr="00D61F73">
          <w:rPr>
            <w:rStyle w:val="Hyperlink"/>
            <w:rFonts w:ascii="Arial" w:hAnsi="Arial" w:cs="Arial"/>
          </w:rPr>
          <w:t>Fishbain D,</w:t>
        </w:r>
      </w:hyperlink>
      <w:r w:rsidR="008D0565" w:rsidRPr="00D61F73">
        <w:rPr>
          <w:rFonts w:ascii="Arial" w:hAnsi="Arial" w:cs="Arial"/>
        </w:rPr>
        <w:t xml:space="preserve"> Evidence-based data on pain relief with antidepressants, </w:t>
      </w:r>
      <w:r w:rsidR="008D0565" w:rsidRPr="00D61F73">
        <w:rPr>
          <w:rFonts w:ascii="Arial" w:hAnsi="Arial" w:cs="Arial"/>
          <w:i/>
          <w:iCs/>
        </w:rPr>
        <w:t>Ann Med.</w:t>
      </w:r>
      <w:r w:rsidR="008D0565" w:rsidRPr="00D61F73">
        <w:rPr>
          <w:rFonts w:ascii="Arial" w:hAnsi="Arial" w:cs="Arial"/>
        </w:rPr>
        <w:t xml:space="preserve"> 2000 Jul;32(5):305-16.</w:t>
      </w:r>
      <w:r w:rsidR="008D0565" w:rsidRPr="00D61F73">
        <w:rPr>
          <w:rFonts w:ascii="Arial" w:hAnsi="Arial" w:cs="Arial"/>
        </w:rPr>
        <w:br/>
      </w:r>
    </w:p>
    <w:p w14:paraId="5C027DF9" w14:textId="77777777" w:rsidR="008D0565" w:rsidRPr="00D61F73" w:rsidRDefault="00751163" w:rsidP="00D61F73">
      <w:pPr>
        <w:rPr>
          <w:rFonts w:ascii="Arial" w:hAnsi="Arial" w:cs="Arial"/>
        </w:rPr>
      </w:pPr>
      <w:hyperlink w:anchor="Fishbain2" w:history="1">
        <w:r w:rsidR="008D0565" w:rsidRPr="00D61F73">
          <w:rPr>
            <w:rStyle w:val="Hyperlink"/>
            <w:rFonts w:ascii="Arial" w:hAnsi="Arial" w:cs="Arial"/>
          </w:rPr>
          <w:t>Fishbain DA, Lewis JE, Cole B, Cutler B, Rosomoff HL, Rosomoff RS</w:t>
        </w:r>
      </w:hyperlink>
      <w:r w:rsidR="008D0565" w:rsidRPr="00D61F73">
        <w:rPr>
          <w:rFonts w:ascii="Arial" w:hAnsi="Arial" w:cs="Arial"/>
        </w:rPr>
        <w:t xml:space="preserve">. Lidocaine 5% patch: an open-label naturalistic chronic pain treatment trial and prediction of response. </w:t>
      </w:r>
      <w:r w:rsidR="008D0565" w:rsidRPr="00D61F73">
        <w:rPr>
          <w:rFonts w:ascii="Arial" w:hAnsi="Arial" w:cs="Arial"/>
          <w:i/>
        </w:rPr>
        <w:t>Pain Med</w:t>
      </w:r>
      <w:r w:rsidR="008D0565" w:rsidRPr="00D61F73">
        <w:rPr>
          <w:rFonts w:ascii="Arial" w:hAnsi="Arial" w:cs="Arial"/>
        </w:rPr>
        <w:t>. 2006;7:135-42.</w:t>
      </w:r>
    </w:p>
    <w:p w14:paraId="66A79F95" w14:textId="77777777" w:rsidR="008D0565" w:rsidRPr="00D61F73" w:rsidRDefault="008D0565" w:rsidP="00D61F73">
      <w:pPr>
        <w:rPr>
          <w:rFonts w:ascii="Arial" w:hAnsi="Arial" w:cs="Arial"/>
        </w:rPr>
      </w:pPr>
    </w:p>
    <w:p w14:paraId="47A21289" w14:textId="77777777" w:rsidR="008D0565" w:rsidRPr="00D61F73" w:rsidRDefault="00751163" w:rsidP="00D61F73">
      <w:pPr>
        <w:rPr>
          <w:rFonts w:ascii="Arial" w:hAnsi="Arial" w:cs="Arial"/>
        </w:rPr>
      </w:pPr>
      <w:hyperlink w:anchor="Fisher" w:history="1">
        <w:r w:rsidR="008D0565" w:rsidRPr="00D61F73">
          <w:rPr>
            <w:rStyle w:val="Hyperlink"/>
            <w:rFonts w:ascii="Arial" w:hAnsi="Arial" w:cs="Arial"/>
          </w:rPr>
          <w:t>Fisher R, Hassenbusch S, Krames E, Leong M, Minehart M, Prager J, Staats P, Webster L, Willis KD</w:t>
        </w:r>
      </w:hyperlink>
      <w:r w:rsidR="008D0565" w:rsidRPr="00D61F73">
        <w:rPr>
          <w:rFonts w:ascii="Arial" w:hAnsi="Arial" w:cs="Arial"/>
        </w:rPr>
        <w:t xml:space="preserve">.A Consensus Statement Regarding the Present Suggested Titration for Prialt (Ziconotide). </w:t>
      </w:r>
      <w:r w:rsidR="008D0565" w:rsidRPr="00D61F73">
        <w:rPr>
          <w:rFonts w:ascii="Arial" w:hAnsi="Arial" w:cs="Arial"/>
          <w:i/>
        </w:rPr>
        <w:t xml:space="preserve">Neuromodulation </w:t>
      </w:r>
      <w:r w:rsidR="008D0565" w:rsidRPr="00D61F73">
        <w:rPr>
          <w:rFonts w:ascii="Arial" w:hAnsi="Arial" w:cs="Arial"/>
        </w:rPr>
        <w:t>2005; 8:153–154.</w:t>
      </w:r>
    </w:p>
    <w:p w14:paraId="2FADF1D4" w14:textId="77777777" w:rsidR="008D0565" w:rsidRPr="00D61F73" w:rsidRDefault="008D0565" w:rsidP="00D61F73">
      <w:pPr>
        <w:rPr>
          <w:rFonts w:ascii="Arial" w:hAnsi="Arial" w:cs="Arial"/>
        </w:rPr>
      </w:pPr>
    </w:p>
    <w:p w14:paraId="3F23269C" w14:textId="77777777" w:rsidR="008D0565" w:rsidRPr="00D61F73" w:rsidRDefault="00751163" w:rsidP="00D61F73">
      <w:pPr>
        <w:rPr>
          <w:rFonts w:ascii="Arial" w:hAnsi="Arial" w:cs="Arial"/>
        </w:rPr>
      </w:pPr>
      <w:hyperlink w:anchor="Fock" w:history="1">
        <w:r w:rsidR="008D0565" w:rsidRPr="00D61F73">
          <w:rPr>
            <w:rStyle w:val="Hyperlink"/>
            <w:rFonts w:ascii="Arial" w:hAnsi="Arial" w:cs="Arial"/>
          </w:rPr>
          <w:t>Fock KM, Katelaris P, Sugano K, Ang TL, Hunt R, Talley NJ, Lam SK, Xiao SD, Tan HJ, Wu CY, Jung HC, Hoang BH, Kachintorn U, Goh KL, Chiba T, Rani AA</w:t>
        </w:r>
      </w:hyperlink>
      <w:r w:rsidR="008D0565" w:rsidRPr="00D61F73">
        <w:rPr>
          <w:rFonts w:ascii="Arial" w:hAnsi="Arial" w:cs="Arial"/>
        </w:rPr>
        <w:t xml:space="preserve">; Second Asia-Pacific Conference.Second Asia-Pacific Consensus Guidelines for Helicobacter pylori infection. </w:t>
      </w:r>
      <w:r w:rsidR="008D0565" w:rsidRPr="00D61F73">
        <w:rPr>
          <w:rFonts w:ascii="Arial" w:hAnsi="Arial" w:cs="Arial"/>
          <w:i/>
        </w:rPr>
        <w:t>J Gastroenterol Hepatol</w:t>
      </w:r>
      <w:r w:rsidR="008D0565" w:rsidRPr="00D61F73">
        <w:rPr>
          <w:rFonts w:ascii="Arial" w:hAnsi="Arial" w:cs="Arial"/>
        </w:rPr>
        <w:t>. 2009;24:1587-600.</w:t>
      </w:r>
    </w:p>
    <w:p w14:paraId="428D0B49" w14:textId="77777777" w:rsidR="008D0565" w:rsidRPr="00D61F73" w:rsidRDefault="008D0565" w:rsidP="00D61F73">
      <w:pPr>
        <w:rPr>
          <w:rFonts w:ascii="Arial" w:hAnsi="Arial" w:cs="Arial"/>
        </w:rPr>
      </w:pPr>
    </w:p>
    <w:p w14:paraId="37F6B67A" w14:textId="77777777" w:rsidR="008D0565" w:rsidRPr="00D61F73" w:rsidRDefault="00751163" w:rsidP="00D61F73">
      <w:pPr>
        <w:rPr>
          <w:rFonts w:ascii="Arial" w:hAnsi="Arial" w:cs="Arial"/>
        </w:rPr>
      </w:pPr>
      <w:hyperlink w:anchor="Forman" w:history="1">
        <w:r w:rsidR="008D0565" w:rsidRPr="00D61F73">
          <w:rPr>
            <w:rStyle w:val="Hyperlink"/>
            <w:rFonts w:ascii="Arial" w:hAnsi="Arial" w:cs="Arial"/>
          </w:rPr>
          <w:t>Forman JP, Rimm EB, Curhan GC.</w:t>
        </w:r>
      </w:hyperlink>
      <w:r w:rsidR="008D0565" w:rsidRPr="00D61F73">
        <w:rPr>
          <w:rFonts w:ascii="Arial" w:hAnsi="Arial" w:cs="Arial"/>
        </w:rPr>
        <w:t xml:space="preserve"> Frequency of analgesic use and risk of hypertension among men. </w:t>
      </w:r>
      <w:r w:rsidR="008D0565" w:rsidRPr="00D61F73">
        <w:rPr>
          <w:rFonts w:ascii="Arial" w:hAnsi="Arial" w:cs="Arial"/>
          <w:i/>
        </w:rPr>
        <w:t>Arch Intern Med.</w:t>
      </w:r>
      <w:r w:rsidR="008D0565" w:rsidRPr="00D61F73">
        <w:rPr>
          <w:rFonts w:ascii="Arial" w:hAnsi="Arial" w:cs="Arial"/>
        </w:rPr>
        <w:t xml:space="preserve"> 2007;167:394-9.</w:t>
      </w:r>
    </w:p>
    <w:p w14:paraId="0EC340B0" w14:textId="77777777" w:rsidR="002A18BE" w:rsidRPr="00D61F73" w:rsidRDefault="002A18BE" w:rsidP="00D61F73">
      <w:pPr>
        <w:rPr>
          <w:rFonts w:ascii="Arial" w:hAnsi="Arial" w:cs="Arial"/>
        </w:rPr>
      </w:pPr>
    </w:p>
    <w:p w14:paraId="739555A9" w14:textId="77777777" w:rsidR="002A18BE" w:rsidRPr="00D61F73" w:rsidRDefault="00751163" w:rsidP="00D61F73">
      <w:pPr>
        <w:rPr>
          <w:rFonts w:ascii="Arial" w:hAnsi="Arial" w:cs="Arial"/>
        </w:rPr>
      </w:pPr>
      <w:hyperlink w:anchor="Frank2015" w:history="1">
        <w:r w:rsidR="002A18BE" w:rsidRPr="00D61F73">
          <w:rPr>
            <w:rStyle w:val="Hyperlink"/>
            <w:rFonts w:ascii="Arial" w:hAnsi="Arial" w:cs="Arial"/>
          </w:rPr>
          <w:t>Frank D, Mateu-Gelabert P, Guarino H, Bennett A, Wendel T, Jessell L, Teper A</w:t>
        </w:r>
      </w:hyperlink>
      <w:r w:rsidR="002A18BE" w:rsidRPr="00D61F73">
        <w:rPr>
          <w:rFonts w:ascii="Arial" w:hAnsi="Arial" w:cs="Arial"/>
        </w:rPr>
        <w:t>. High risk and little knowledge: overdose experiences and knowledge among young adult nonmedical prescription opioid users. Int J Drug Policy. 2015;26:84-91.</w:t>
      </w:r>
    </w:p>
    <w:p w14:paraId="4304174D" w14:textId="77777777" w:rsidR="008D0565" w:rsidRPr="00D61F73" w:rsidRDefault="008D0565" w:rsidP="00D61F73">
      <w:pPr>
        <w:rPr>
          <w:rFonts w:ascii="Arial" w:hAnsi="Arial" w:cs="Arial"/>
        </w:rPr>
      </w:pPr>
    </w:p>
    <w:p w14:paraId="0EFEB5D3" w14:textId="77777777" w:rsidR="008D0565" w:rsidRPr="00D61F73" w:rsidRDefault="00751163" w:rsidP="00D61F73">
      <w:pPr>
        <w:rPr>
          <w:rFonts w:ascii="Arial" w:hAnsi="Arial" w:cs="Arial"/>
        </w:rPr>
      </w:pPr>
      <w:hyperlink w:anchor="Fredheim" w:history="1">
        <w:r w:rsidR="008D0565" w:rsidRPr="00D61F73">
          <w:rPr>
            <w:rStyle w:val="Hyperlink"/>
            <w:rFonts w:ascii="Arial" w:hAnsi="Arial" w:cs="Arial"/>
          </w:rPr>
          <w:t>Fredheim OM, Moksnes K, Borchgrevink PC, Kaasa S, Dale O</w:t>
        </w:r>
      </w:hyperlink>
      <w:r w:rsidR="008D0565" w:rsidRPr="00D61F73">
        <w:rPr>
          <w:rFonts w:ascii="Arial" w:hAnsi="Arial" w:cs="Arial"/>
        </w:rPr>
        <w:t xml:space="preserve">. Clinical pharmacology of methadone for pain. </w:t>
      </w:r>
      <w:r w:rsidR="008D0565" w:rsidRPr="00D61F73">
        <w:rPr>
          <w:rFonts w:ascii="Arial" w:hAnsi="Arial" w:cs="Arial"/>
          <w:i/>
        </w:rPr>
        <w:t>Acta Anaesthesiol Scand.</w:t>
      </w:r>
      <w:r w:rsidR="008D0565" w:rsidRPr="00D61F73">
        <w:rPr>
          <w:rFonts w:ascii="Arial" w:hAnsi="Arial" w:cs="Arial"/>
        </w:rPr>
        <w:t xml:space="preserve"> 2008 Mar 6; [Epub ahead of print].</w:t>
      </w:r>
    </w:p>
    <w:p w14:paraId="5C9212C1" w14:textId="77777777" w:rsidR="008D0565" w:rsidRPr="00D61F73" w:rsidRDefault="008D0565" w:rsidP="00D61F73">
      <w:pPr>
        <w:rPr>
          <w:rFonts w:ascii="Arial" w:hAnsi="Arial" w:cs="Arial"/>
        </w:rPr>
      </w:pPr>
    </w:p>
    <w:p w14:paraId="6AE64B4E" w14:textId="77777777" w:rsidR="008D0565" w:rsidRPr="00D61F73" w:rsidRDefault="00751163" w:rsidP="00D61F73">
      <w:pPr>
        <w:rPr>
          <w:rFonts w:ascii="Arial" w:hAnsi="Arial" w:cs="Arial"/>
        </w:rPr>
      </w:pPr>
      <w:hyperlink w:anchor="Freeman" w:history="1">
        <w:r w:rsidR="008D0565" w:rsidRPr="00D61F73">
          <w:rPr>
            <w:rStyle w:val="Hyperlink"/>
            <w:rFonts w:ascii="Arial" w:hAnsi="Arial" w:cs="Arial"/>
            <w:lang w:val="es-MX"/>
          </w:rPr>
          <w:t>Freeman R, Durso-Decruz E, Emir B</w:t>
        </w:r>
      </w:hyperlink>
      <w:r w:rsidR="008D0565" w:rsidRPr="00D61F73">
        <w:rPr>
          <w:rFonts w:ascii="Arial" w:hAnsi="Arial" w:cs="Arial"/>
          <w:lang w:val="es-MX"/>
        </w:rPr>
        <w:t xml:space="preserve">. </w:t>
      </w:r>
      <w:r w:rsidR="008D0565" w:rsidRPr="00D61F73">
        <w:rPr>
          <w:rFonts w:ascii="Arial" w:hAnsi="Arial" w:cs="Arial"/>
        </w:rPr>
        <w:t>Efficacy, safety and tolerability of pregabalin treatment of painful diabetic peripheral neuropathy: findings from 7 randomized, controlled trials across a range of doses. Diabetes Care. 2008 Mar 20 [Epub ahead of print].</w:t>
      </w:r>
    </w:p>
    <w:p w14:paraId="1FE3DD55" w14:textId="77777777" w:rsidR="008D0565" w:rsidRPr="00D61F73" w:rsidRDefault="008D0565" w:rsidP="00D61F73">
      <w:pPr>
        <w:rPr>
          <w:rFonts w:ascii="Arial" w:hAnsi="Arial" w:cs="Arial"/>
        </w:rPr>
      </w:pPr>
    </w:p>
    <w:p w14:paraId="03AED23C" w14:textId="77777777" w:rsidR="008D0565" w:rsidRPr="00D61F73" w:rsidRDefault="00751163" w:rsidP="00D61F73">
      <w:pPr>
        <w:rPr>
          <w:rFonts w:ascii="Arial" w:hAnsi="Arial" w:cs="Arial"/>
        </w:rPr>
      </w:pPr>
      <w:hyperlink w:anchor="Friedman" w:history="1">
        <w:r w:rsidR="008D0565" w:rsidRPr="00D61F73">
          <w:rPr>
            <w:rStyle w:val="Hyperlink"/>
            <w:rFonts w:ascii="Arial" w:hAnsi="Arial" w:cs="Arial"/>
          </w:rPr>
          <w:t>Friedman AP, DiSerio FJ</w:t>
        </w:r>
      </w:hyperlink>
      <w:r w:rsidR="008D0565" w:rsidRPr="00D61F73">
        <w:rPr>
          <w:rFonts w:ascii="Arial" w:hAnsi="Arial" w:cs="Arial"/>
        </w:rPr>
        <w:t xml:space="preserve">. Symptomatic treatment of chronically recurring tension headache: a placebo-controlled, multicenter investigation of Fioricet and acetaminophen with codeine. </w:t>
      </w:r>
      <w:r w:rsidR="008D0565" w:rsidRPr="00D61F73">
        <w:rPr>
          <w:rFonts w:ascii="Arial" w:hAnsi="Arial" w:cs="Arial"/>
          <w:i/>
          <w:iCs/>
        </w:rPr>
        <w:t>Clin Ther.</w:t>
      </w:r>
      <w:r w:rsidR="008D0565" w:rsidRPr="00D61F73">
        <w:rPr>
          <w:rFonts w:ascii="Arial" w:hAnsi="Arial" w:cs="Arial"/>
        </w:rPr>
        <w:t xml:space="preserve"> 1987;10(1):69-81.</w:t>
      </w:r>
    </w:p>
    <w:p w14:paraId="64C3FECB" w14:textId="77777777" w:rsidR="008D0565" w:rsidRPr="00D61F73" w:rsidRDefault="008D0565" w:rsidP="00D61F73">
      <w:pPr>
        <w:rPr>
          <w:rFonts w:ascii="Arial" w:hAnsi="Arial" w:cs="Arial"/>
        </w:rPr>
      </w:pPr>
    </w:p>
    <w:p w14:paraId="4E129806" w14:textId="77777777" w:rsidR="00871C57" w:rsidRPr="00D61F73" w:rsidRDefault="00751163" w:rsidP="00D61F73">
      <w:pPr>
        <w:rPr>
          <w:rFonts w:ascii="Arial" w:hAnsi="Arial" w:cs="Arial"/>
        </w:rPr>
      </w:pPr>
      <w:hyperlink w:anchor="Friedman2013" w:history="1">
        <w:r w:rsidR="00871C57" w:rsidRPr="00D61F73">
          <w:rPr>
            <w:rStyle w:val="Hyperlink"/>
            <w:rFonts w:ascii="Arial" w:hAnsi="Arial" w:cs="Arial"/>
          </w:rPr>
          <w:t>Friedman MJ.</w:t>
        </w:r>
      </w:hyperlink>
      <w:r w:rsidR="00871C57" w:rsidRPr="00D61F73">
        <w:rPr>
          <w:rFonts w:ascii="Arial" w:hAnsi="Arial" w:cs="Arial"/>
        </w:rPr>
        <w:t xml:space="preserve"> PTSD: Pharmacotherapeutic Approaches.</w:t>
      </w:r>
      <w:r w:rsidR="00871C57" w:rsidRPr="00D61F73">
        <w:rPr>
          <w:rStyle w:val="journalname"/>
          <w:rFonts w:ascii="Arial" w:hAnsi="Arial" w:cs="Arial"/>
          <w:lang w:val="en"/>
        </w:rPr>
        <w:t xml:space="preserve"> </w:t>
      </w:r>
      <w:r w:rsidR="00871C57" w:rsidRPr="00D61F73">
        <w:rPr>
          <w:rStyle w:val="journalname"/>
          <w:rFonts w:ascii="Arial" w:hAnsi="Arial" w:cs="Arial"/>
          <w:i/>
          <w:lang w:val="en"/>
        </w:rPr>
        <w:t>Focus.</w:t>
      </w:r>
      <w:r w:rsidR="00871C57" w:rsidRPr="00D61F73">
        <w:rPr>
          <w:rFonts w:ascii="Arial" w:hAnsi="Arial" w:cs="Arial"/>
          <w:lang w:val="en"/>
        </w:rPr>
        <w:t xml:space="preserve"> </w:t>
      </w:r>
      <w:r w:rsidR="00871C57" w:rsidRPr="00D61F73">
        <w:rPr>
          <w:rStyle w:val="year"/>
          <w:rFonts w:ascii="Arial" w:hAnsi="Arial" w:cs="Arial"/>
          <w:lang w:val="en"/>
        </w:rPr>
        <w:t>2013;</w:t>
      </w:r>
      <w:r w:rsidR="00871C57" w:rsidRPr="00D61F73">
        <w:rPr>
          <w:rStyle w:val="volume"/>
          <w:rFonts w:ascii="Arial" w:hAnsi="Arial" w:cs="Arial"/>
          <w:lang w:val="en"/>
        </w:rPr>
        <w:t>11</w:t>
      </w:r>
      <w:r w:rsidR="00871C57" w:rsidRPr="00D61F73">
        <w:rPr>
          <w:rFonts w:ascii="Arial" w:hAnsi="Arial" w:cs="Arial"/>
          <w:lang w:val="en"/>
        </w:rPr>
        <w:t>(</w:t>
      </w:r>
      <w:r w:rsidR="00871C57" w:rsidRPr="00D61F73">
        <w:rPr>
          <w:rStyle w:val="issue3"/>
          <w:rFonts w:ascii="Arial" w:hAnsi="Arial" w:cs="Arial"/>
          <w:lang w:val="en"/>
        </w:rPr>
        <w:t>3</w:t>
      </w:r>
      <w:r w:rsidR="00871C57" w:rsidRPr="00D61F73">
        <w:rPr>
          <w:rFonts w:ascii="Arial" w:hAnsi="Arial" w:cs="Arial"/>
          <w:lang w:val="en"/>
        </w:rPr>
        <w:t>):</w:t>
      </w:r>
      <w:r w:rsidR="00871C57" w:rsidRPr="00D61F73">
        <w:rPr>
          <w:rStyle w:val="page"/>
          <w:rFonts w:ascii="Arial" w:hAnsi="Arial" w:cs="Arial"/>
          <w:lang w:val="en"/>
        </w:rPr>
        <w:t>315-320.</w:t>
      </w:r>
    </w:p>
    <w:p w14:paraId="3A5EF5B2" w14:textId="77777777" w:rsidR="008D0565" w:rsidRPr="00D61F73" w:rsidRDefault="008D0565" w:rsidP="00D61F73">
      <w:pPr>
        <w:rPr>
          <w:rFonts w:ascii="Arial" w:hAnsi="Arial" w:cs="Arial"/>
        </w:rPr>
      </w:pPr>
    </w:p>
    <w:p w14:paraId="68048D7F" w14:textId="77777777" w:rsidR="008D0565" w:rsidRPr="00D61F73" w:rsidRDefault="00751163" w:rsidP="00D61F73">
      <w:pPr>
        <w:rPr>
          <w:rFonts w:ascii="Arial" w:hAnsi="Arial" w:cs="Arial"/>
        </w:rPr>
      </w:pPr>
      <w:hyperlink w:anchor="Furukawa" w:history="1">
        <w:r w:rsidR="008D0565" w:rsidRPr="00D61F73">
          <w:rPr>
            <w:rStyle w:val="Hyperlink"/>
            <w:rFonts w:ascii="Arial" w:hAnsi="Arial" w:cs="Arial"/>
          </w:rPr>
          <w:t>Furukawa TA, Watanabe N, Churchill R</w:t>
        </w:r>
      </w:hyperlink>
      <w:r w:rsidR="008D0565" w:rsidRPr="00D61F73">
        <w:rPr>
          <w:rFonts w:ascii="Arial" w:hAnsi="Arial" w:cs="Arial"/>
        </w:rPr>
        <w:t xml:space="preserve">. Combined psychotherapy plus antidepressants for panic disorder with or without agoraphobia. </w:t>
      </w:r>
      <w:r w:rsidR="008D0565" w:rsidRPr="00D61F73">
        <w:rPr>
          <w:rFonts w:ascii="Arial" w:hAnsi="Arial" w:cs="Arial"/>
          <w:i/>
        </w:rPr>
        <w:t>Cochrane Database Syst Rev</w:t>
      </w:r>
      <w:r w:rsidR="008D0565" w:rsidRPr="00D61F73">
        <w:rPr>
          <w:rFonts w:ascii="Arial" w:hAnsi="Arial" w:cs="Arial"/>
        </w:rPr>
        <w:t>. 2007;(1):CD004364.</w:t>
      </w:r>
    </w:p>
    <w:p w14:paraId="11B52731" w14:textId="77777777" w:rsidR="008D0565" w:rsidRPr="00D61F73" w:rsidRDefault="008D0565" w:rsidP="00D61F73">
      <w:pPr>
        <w:rPr>
          <w:rFonts w:ascii="Arial" w:hAnsi="Arial" w:cs="Arial"/>
        </w:rPr>
      </w:pPr>
    </w:p>
    <w:p w14:paraId="6DAD4569" w14:textId="77777777" w:rsidR="008D0565" w:rsidRPr="00D61F73" w:rsidRDefault="00751163" w:rsidP="00D61F73">
      <w:pPr>
        <w:rPr>
          <w:rFonts w:ascii="Arial" w:hAnsi="Arial" w:cs="Arial"/>
        </w:rPr>
      </w:pPr>
      <w:hyperlink w:anchor="Galer2" w:history="1">
        <w:r w:rsidR="008D0565" w:rsidRPr="00D61F73">
          <w:rPr>
            <w:rStyle w:val="Hyperlink"/>
            <w:rFonts w:ascii="Arial" w:hAnsi="Arial" w:cs="Arial"/>
          </w:rPr>
          <w:t>Galer BS, Gammaitoni AR, Oleka N, Jensen MP, Argoff CE</w:t>
        </w:r>
      </w:hyperlink>
      <w:r w:rsidR="008D0565" w:rsidRPr="00D61F73">
        <w:rPr>
          <w:rFonts w:ascii="Arial" w:hAnsi="Arial" w:cs="Arial"/>
        </w:rPr>
        <w:t xml:space="preserve">. Use of the lidocaine patch 5% in reducing intensity of various pain qualities reported by patients with low-back pain. </w:t>
      </w:r>
      <w:r w:rsidR="008D0565" w:rsidRPr="00D61F73">
        <w:rPr>
          <w:rFonts w:ascii="Arial" w:hAnsi="Arial" w:cs="Arial"/>
          <w:i/>
        </w:rPr>
        <w:t>Curr Med Res Opin</w:t>
      </w:r>
      <w:r w:rsidR="008D0565" w:rsidRPr="00D61F73">
        <w:rPr>
          <w:rFonts w:ascii="Arial" w:hAnsi="Arial" w:cs="Arial"/>
        </w:rPr>
        <w:t>. 2004;20 Suppl 2:S5-12.</w:t>
      </w:r>
    </w:p>
    <w:p w14:paraId="2B4CB958" w14:textId="77777777" w:rsidR="008D0565" w:rsidRPr="00D61F73" w:rsidRDefault="008D0565" w:rsidP="00D61F73">
      <w:pPr>
        <w:rPr>
          <w:rFonts w:ascii="Arial" w:hAnsi="Arial" w:cs="Arial"/>
        </w:rPr>
      </w:pPr>
    </w:p>
    <w:p w14:paraId="396F2389" w14:textId="77777777" w:rsidR="008D0565" w:rsidRPr="00D61F73" w:rsidRDefault="00751163" w:rsidP="00D61F73">
      <w:pPr>
        <w:rPr>
          <w:rFonts w:ascii="Arial" w:hAnsi="Arial" w:cs="Arial"/>
        </w:rPr>
      </w:pPr>
      <w:hyperlink w:anchor="Gammaitoni" w:history="1">
        <w:r w:rsidR="008D0565" w:rsidRPr="00D61F73">
          <w:rPr>
            <w:rStyle w:val="Hyperlink"/>
            <w:rFonts w:ascii="Arial" w:hAnsi="Arial" w:cs="Arial"/>
          </w:rPr>
          <w:t>Gammaitoni A, Gallagher RM, Welz-Bosna M</w:t>
        </w:r>
      </w:hyperlink>
      <w:r w:rsidR="008D0565" w:rsidRPr="00D61F73">
        <w:rPr>
          <w:rFonts w:ascii="Arial" w:hAnsi="Arial" w:cs="Arial"/>
        </w:rPr>
        <w:t xml:space="preserve">. Topical ketamine gel: possible role in treating neuropathic pain. </w:t>
      </w:r>
      <w:r w:rsidR="008D0565" w:rsidRPr="00D61F73">
        <w:rPr>
          <w:rFonts w:ascii="Arial" w:hAnsi="Arial" w:cs="Arial"/>
          <w:i/>
        </w:rPr>
        <w:t>Pain Med</w:t>
      </w:r>
      <w:r w:rsidR="008D0565" w:rsidRPr="00D61F73">
        <w:rPr>
          <w:rFonts w:ascii="Arial" w:hAnsi="Arial" w:cs="Arial"/>
        </w:rPr>
        <w:t>. 2000;1:97-100.</w:t>
      </w:r>
    </w:p>
    <w:p w14:paraId="77B30BF1" w14:textId="77777777" w:rsidR="008D0565" w:rsidRPr="00D61F73" w:rsidRDefault="008D0565" w:rsidP="00D61F73">
      <w:pPr>
        <w:rPr>
          <w:rFonts w:ascii="Arial" w:hAnsi="Arial" w:cs="Arial"/>
        </w:rPr>
      </w:pPr>
    </w:p>
    <w:p w14:paraId="2ADE2034" w14:textId="77777777" w:rsidR="008D0565" w:rsidRPr="00D61F73" w:rsidRDefault="00751163" w:rsidP="00D61F73">
      <w:pPr>
        <w:rPr>
          <w:rFonts w:ascii="Arial" w:hAnsi="Arial" w:cs="Arial"/>
        </w:rPr>
      </w:pPr>
      <w:hyperlink w:anchor="García" w:history="1">
        <w:r w:rsidR="008D0565" w:rsidRPr="00D61F73">
          <w:rPr>
            <w:rStyle w:val="Hyperlink"/>
            <w:rFonts w:ascii="Arial" w:hAnsi="Arial" w:cs="Arial"/>
            <w:lang w:val="es-MX"/>
          </w:rPr>
          <w:t>García Rodríguez LA, Jick H</w:t>
        </w:r>
      </w:hyperlink>
      <w:r w:rsidR="008D0565" w:rsidRPr="00D61F73">
        <w:rPr>
          <w:rFonts w:ascii="Arial" w:hAnsi="Arial" w:cs="Arial"/>
          <w:lang w:val="es-MX"/>
        </w:rPr>
        <w:t xml:space="preserve">. </w:t>
      </w:r>
      <w:r w:rsidR="008D0565" w:rsidRPr="00D61F73">
        <w:rPr>
          <w:rFonts w:ascii="Arial" w:hAnsi="Arial" w:cs="Arial"/>
        </w:rPr>
        <w:t xml:space="preserve">Risk of upper gastrointestinal bleeding and perforation associated with individual non-steroidal anti-inflammatory drugs. </w:t>
      </w:r>
      <w:r w:rsidR="008D0565" w:rsidRPr="00D61F73">
        <w:rPr>
          <w:rFonts w:ascii="Arial" w:hAnsi="Arial" w:cs="Arial"/>
          <w:i/>
        </w:rPr>
        <w:t>Lancet</w:t>
      </w:r>
      <w:r w:rsidR="008D0565" w:rsidRPr="00D61F73">
        <w:rPr>
          <w:rFonts w:ascii="Arial" w:hAnsi="Arial" w:cs="Arial"/>
        </w:rPr>
        <w:t xml:space="preserve">. 1994;343:769-72. Erratum in: </w:t>
      </w:r>
      <w:r w:rsidR="008D0565" w:rsidRPr="00D61F73">
        <w:rPr>
          <w:rFonts w:ascii="Arial" w:hAnsi="Arial" w:cs="Arial"/>
          <w:i/>
        </w:rPr>
        <w:t>Lancet</w:t>
      </w:r>
      <w:r w:rsidR="008D0565" w:rsidRPr="00D61F73">
        <w:rPr>
          <w:rFonts w:ascii="Arial" w:hAnsi="Arial" w:cs="Arial"/>
        </w:rPr>
        <w:t xml:space="preserve"> 1994 Apr 23;343(8904):1048.</w:t>
      </w:r>
    </w:p>
    <w:p w14:paraId="268623EA" w14:textId="77777777" w:rsidR="008D0565" w:rsidRPr="00D61F73" w:rsidRDefault="008D0565" w:rsidP="00D61F73">
      <w:pPr>
        <w:rPr>
          <w:rFonts w:ascii="Arial" w:hAnsi="Arial" w:cs="Arial"/>
        </w:rPr>
      </w:pPr>
    </w:p>
    <w:p w14:paraId="031C8441" w14:textId="77777777" w:rsidR="008D0565" w:rsidRPr="00D61F73" w:rsidRDefault="00751163" w:rsidP="00D61F73">
      <w:pPr>
        <w:rPr>
          <w:rFonts w:ascii="Arial" w:hAnsi="Arial" w:cs="Arial"/>
        </w:rPr>
      </w:pPr>
      <w:hyperlink w:anchor="Gijsman" w:history="1">
        <w:r w:rsidR="008D0565" w:rsidRPr="00D61F73">
          <w:rPr>
            <w:rStyle w:val="Hyperlink"/>
            <w:rFonts w:ascii="Arial" w:hAnsi="Arial" w:cs="Arial"/>
          </w:rPr>
          <w:t>Gijsman HJ, Geddes JR, Rendell JM, Nolen WA, Goodwin GM</w:t>
        </w:r>
      </w:hyperlink>
      <w:r w:rsidR="008D0565" w:rsidRPr="00D61F73">
        <w:rPr>
          <w:rFonts w:ascii="Arial" w:hAnsi="Arial" w:cs="Arial"/>
        </w:rPr>
        <w:t xml:space="preserve">. Antidepressants for bipolar depression: a systematic review of randomized, controlled trials. </w:t>
      </w:r>
      <w:r w:rsidR="008D0565" w:rsidRPr="00D61F73">
        <w:rPr>
          <w:rFonts w:ascii="Arial" w:hAnsi="Arial" w:cs="Arial"/>
          <w:i/>
          <w:iCs/>
        </w:rPr>
        <w:t>Am J Psychiatry</w:t>
      </w:r>
      <w:r w:rsidR="008D0565" w:rsidRPr="00D61F73">
        <w:rPr>
          <w:rFonts w:ascii="Arial" w:hAnsi="Arial" w:cs="Arial"/>
        </w:rPr>
        <w:t>. 2004 Sep;161(9):1537-47.</w:t>
      </w:r>
      <w:r w:rsidR="008D0565" w:rsidRPr="00D61F73">
        <w:rPr>
          <w:rFonts w:ascii="Arial" w:hAnsi="Arial" w:cs="Arial"/>
        </w:rPr>
        <w:br/>
      </w:r>
    </w:p>
    <w:p w14:paraId="780A6696" w14:textId="77777777" w:rsidR="008D0565" w:rsidRPr="00D61F73" w:rsidRDefault="00751163" w:rsidP="00D61F73">
      <w:pPr>
        <w:rPr>
          <w:rFonts w:ascii="Arial" w:hAnsi="Arial" w:cs="Arial"/>
        </w:rPr>
      </w:pPr>
      <w:hyperlink w:anchor="Gilron" w:history="1">
        <w:r w:rsidR="008D0565" w:rsidRPr="00D61F73">
          <w:rPr>
            <w:rStyle w:val="Hyperlink"/>
            <w:rFonts w:ascii="Arial" w:hAnsi="Arial" w:cs="Arial"/>
          </w:rPr>
          <w:t>Gilron I, Bailey JM, Tu D, Holden RR, Weaver DF, Houlden RL.</w:t>
        </w:r>
      </w:hyperlink>
      <w:r w:rsidR="008D0565" w:rsidRPr="00D61F73">
        <w:rPr>
          <w:rFonts w:ascii="Arial" w:hAnsi="Arial" w:cs="Arial"/>
        </w:rPr>
        <w:t xml:space="preserve"> Morphine, gabapentin, or their combination for neuropathic pain. </w:t>
      </w:r>
      <w:r w:rsidR="008D0565" w:rsidRPr="00D61F73">
        <w:rPr>
          <w:rFonts w:ascii="Arial" w:hAnsi="Arial" w:cs="Arial"/>
          <w:i/>
        </w:rPr>
        <w:t>N Engl J Med.</w:t>
      </w:r>
      <w:r w:rsidR="008D0565" w:rsidRPr="00D61F73">
        <w:rPr>
          <w:rFonts w:ascii="Arial" w:hAnsi="Arial" w:cs="Arial"/>
        </w:rPr>
        <w:t xml:space="preserve"> 2005 Mar 31;352(13):1324-34.</w:t>
      </w:r>
    </w:p>
    <w:p w14:paraId="420E7271" w14:textId="77777777" w:rsidR="008D0565" w:rsidRPr="00D61F73" w:rsidRDefault="008D0565" w:rsidP="00D61F73">
      <w:pPr>
        <w:rPr>
          <w:rFonts w:ascii="Arial" w:hAnsi="Arial" w:cs="Arial"/>
        </w:rPr>
      </w:pPr>
    </w:p>
    <w:p w14:paraId="3F4943D3" w14:textId="77777777" w:rsidR="008D0565" w:rsidRPr="00D61F73" w:rsidRDefault="00751163" w:rsidP="00D61F73">
      <w:pPr>
        <w:rPr>
          <w:rFonts w:ascii="Arial" w:hAnsi="Arial" w:cs="Arial"/>
        </w:rPr>
      </w:pPr>
      <w:hyperlink w:anchor="Gilron2006" w:history="1">
        <w:r w:rsidR="008D0565" w:rsidRPr="00D61F73">
          <w:rPr>
            <w:rStyle w:val="Hyperlink"/>
            <w:rFonts w:ascii="Arial" w:hAnsi="Arial" w:cs="Arial"/>
          </w:rPr>
          <w:t>Gilron I, Watson CP, Cahill CM, Moulin DE</w:t>
        </w:r>
      </w:hyperlink>
      <w:r w:rsidR="008D0565" w:rsidRPr="00D61F73">
        <w:rPr>
          <w:rFonts w:ascii="Arial" w:hAnsi="Arial" w:cs="Arial"/>
        </w:rPr>
        <w:t xml:space="preserve">. Neuropathic pain: a practical guide for the clinician. </w:t>
      </w:r>
      <w:r w:rsidR="008D0565" w:rsidRPr="00D61F73">
        <w:rPr>
          <w:rFonts w:ascii="Arial" w:hAnsi="Arial" w:cs="Arial"/>
          <w:i/>
        </w:rPr>
        <w:t>CMAJ</w:t>
      </w:r>
      <w:r w:rsidR="008D0565" w:rsidRPr="00D61F73">
        <w:rPr>
          <w:rFonts w:ascii="Arial" w:hAnsi="Arial" w:cs="Arial"/>
        </w:rPr>
        <w:t>. 2006;175:265-75.</w:t>
      </w:r>
    </w:p>
    <w:p w14:paraId="78BBC945" w14:textId="77777777" w:rsidR="008D0565" w:rsidRPr="00D61F73" w:rsidRDefault="008D0565" w:rsidP="00D61F73">
      <w:pPr>
        <w:rPr>
          <w:rFonts w:ascii="Arial" w:hAnsi="Arial" w:cs="Arial"/>
        </w:rPr>
      </w:pPr>
    </w:p>
    <w:p w14:paraId="5725512E" w14:textId="77777777" w:rsidR="008D0565" w:rsidRPr="00D61F73" w:rsidRDefault="00751163" w:rsidP="00D61F73">
      <w:pPr>
        <w:rPr>
          <w:rFonts w:ascii="Arial" w:hAnsi="Arial" w:cs="Arial"/>
        </w:rPr>
      </w:pPr>
      <w:hyperlink w:anchor="Gilron2007" w:history="1">
        <w:r w:rsidR="008D0565" w:rsidRPr="00D61F73">
          <w:rPr>
            <w:rStyle w:val="Hyperlink"/>
            <w:rFonts w:ascii="Arial" w:hAnsi="Arial" w:cs="Arial"/>
          </w:rPr>
          <w:t>Gilron I, Coderre TJ</w:t>
        </w:r>
      </w:hyperlink>
      <w:r w:rsidR="008D0565" w:rsidRPr="00D61F73">
        <w:rPr>
          <w:rFonts w:ascii="Arial" w:hAnsi="Arial" w:cs="Arial"/>
        </w:rPr>
        <w:t xml:space="preserve">. Emerging drugs in neuropathic pain. </w:t>
      </w:r>
      <w:r w:rsidR="008D0565" w:rsidRPr="00D61F73">
        <w:rPr>
          <w:rFonts w:ascii="Arial" w:hAnsi="Arial" w:cs="Arial"/>
          <w:i/>
        </w:rPr>
        <w:t>Expert Opin Emerg Drugs</w:t>
      </w:r>
      <w:r w:rsidR="008D0565" w:rsidRPr="00D61F73">
        <w:rPr>
          <w:rFonts w:ascii="Arial" w:hAnsi="Arial" w:cs="Arial"/>
        </w:rPr>
        <w:t>. 2007;12:113-26.</w:t>
      </w:r>
    </w:p>
    <w:p w14:paraId="4DA827F4" w14:textId="77777777" w:rsidR="008D0565" w:rsidRPr="00D61F73" w:rsidRDefault="008D0565" w:rsidP="00D61F73">
      <w:pPr>
        <w:rPr>
          <w:rFonts w:ascii="Arial" w:hAnsi="Arial" w:cs="Arial"/>
        </w:rPr>
      </w:pPr>
    </w:p>
    <w:p w14:paraId="4711981A" w14:textId="77777777" w:rsidR="008D0565" w:rsidRPr="00D61F73" w:rsidRDefault="00751163" w:rsidP="00D61F73">
      <w:pPr>
        <w:rPr>
          <w:rFonts w:ascii="Arial" w:hAnsi="Arial" w:cs="Arial"/>
        </w:rPr>
      </w:pPr>
      <w:hyperlink w:anchor="Gimbel" w:history="1">
        <w:r w:rsidR="008D0565" w:rsidRPr="00D61F73">
          <w:rPr>
            <w:rStyle w:val="Hyperlink"/>
            <w:rFonts w:ascii="Arial" w:hAnsi="Arial" w:cs="Arial"/>
          </w:rPr>
          <w:t>Gimbel J, Linn R, Hale M, Nicholson B</w:t>
        </w:r>
      </w:hyperlink>
      <w:r w:rsidR="008D0565" w:rsidRPr="00D61F73">
        <w:rPr>
          <w:rFonts w:ascii="Arial" w:hAnsi="Arial" w:cs="Arial"/>
        </w:rPr>
        <w:t xml:space="preserve">. Lidocaine patch treatment in patients with low back pain: results of an open-label, nonrandomized pilot study. </w:t>
      </w:r>
      <w:r w:rsidR="008D0565" w:rsidRPr="00D61F73">
        <w:rPr>
          <w:rFonts w:ascii="Arial" w:hAnsi="Arial" w:cs="Arial"/>
          <w:i/>
        </w:rPr>
        <w:t>Am J Ther</w:t>
      </w:r>
      <w:r w:rsidR="008D0565" w:rsidRPr="00D61F73">
        <w:rPr>
          <w:rFonts w:ascii="Arial" w:hAnsi="Arial" w:cs="Arial"/>
        </w:rPr>
        <w:t>. 2005;12:311-9.</w:t>
      </w:r>
    </w:p>
    <w:p w14:paraId="0904FCD5" w14:textId="77777777" w:rsidR="008D0565" w:rsidRPr="00D61F73" w:rsidRDefault="008D0565" w:rsidP="00D61F73">
      <w:pPr>
        <w:rPr>
          <w:rFonts w:ascii="Arial" w:hAnsi="Arial" w:cs="Arial"/>
        </w:rPr>
      </w:pPr>
    </w:p>
    <w:p w14:paraId="1F6433A0" w14:textId="77777777" w:rsidR="008D0565" w:rsidRPr="00D61F73" w:rsidRDefault="00751163" w:rsidP="00D61F73">
      <w:pPr>
        <w:rPr>
          <w:rFonts w:ascii="Arial" w:hAnsi="Arial" w:cs="Arial"/>
        </w:rPr>
      </w:pPr>
      <w:hyperlink w:anchor="Gitlow2013" w:history="1">
        <w:r w:rsidR="008D0565" w:rsidRPr="00D61F73">
          <w:rPr>
            <w:rStyle w:val="Hyperlink"/>
            <w:rFonts w:ascii="Arial" w:hAnsi="Arial" w:cs="Arial"/>
          </w:rPr>
          <w:t>Gitlow S, Barthwell A</w:t>
        </w:r>
      </w:hyperlink>
      <w:r w:rsidR="008D0565" w:rsidRPr="00D61F73">
        <w:rPr>
          <w:rFonts w:ascii="Arial" w:hAnsi="Arial" w:cs="Arial"/>
        </w:rPr>
        <w:t>. Marijuana Is Not Medicine. American Society of Addiction Medicine (ASAM) 44th Annual Medical-Scientific Conference. Press Conference. Presented April 25, 2013.</w:t>
      </w:r>
    </w:p>
    <w:p w14:paraId="621D3619" w14:textId="77777777" w:rsidR="008D0565" w:rsidRPr="00D61F73" w:rsidRDefault="008D0565" w:rsidP="00D61F73">
      <w:pPr>
        <w:rPr>
          <w:rStyle w:val="Hyperlink"/>
          <w:rFonts w:ascii="Arial" w:hAnsi="Arial" w:cs="Arial"/>
        </w:rPr>
      </w:pPr>
      <w:r w:rsidRPr="00D61F73">
        <w:rPr>
          <w:rFonts w:ascii="Arial" w:hAnsi="Arial" w:cs="Arial"/>
        </w:rPr>
        <w:fldChar w:fldCharType="begin"/>
      </w:r>
      <w:r w:rsidRPr="00D61F73">
        <w:rPr>
          <w:rFonts w:ascii="Arial" w:hAnsi="Arial" w:cs="Arial"/>
        </w:rPr>
        <w:instrText xml:space="preserve"> HYPERLINK  \l "Gold" </w:instrText>
      </w:r>
      <w:r w:rsidRPr="00D61F73">
        <w:rPr>
          <w:rFonts w:ascii="Arial" w:hAnsi="Arial" w:cs="Arial"/>
        </w:rPr>
        <w:fldChar w:fldCharType="separate"/>
      </w:r>
    </w:p>
    <w:p w14:paraId="15B14709" w14:textId="77777777" w:rsidR="008D0565" w:rsidRPr="00D61F73" w:rsidRDefault="008D0565" w:rsidP="00D61F73">
      <w:pPr>
        <w:rPr>
          <w:rFonts w:ascii="Arial" w:hAnsi="Arial" w:cs="Arial"/>
        </w:rPr>
      </w:pPr>
      <w:r w:rsidRPr="00D61F73">
        <w:rPr>
          <w:rStyle w:val="Hyperlink"/>
          <w:rFonts w:ascii="Arial" w:hAnsi="Arial" w:cs="Arial"/>
        </w:rPr>
        <w:t>Gold BD, Scheiman JM, Sabesin SM, Vitat P</w:t>
      </w:r>
      <w:r w:rsidRPr="00D61F73">
        <w:rPr>
          <w:rFonts w:ascii="Arial" w:hAnsi="Arial" w:cs="Arial"/>
        </w:rPr>
        <w:fldChar w:fldCharType="end"/>
      </w:r>
      <w:r w:rsidRPr="00D61F73">
        <w:rPr>
          <w:rFonts w:ascii="Arial" w:hAnsi="Arial" w:cs="Arial"/>
        </w:rPr>
        <w:t xml:space="preserve">. Updates on the management of upper gastrointestinal disorders in the primary care setting: NSAID-related gastropathies and pediatric reflux diseases. </w:t>
      </w:r>
      <w:r w:rsidRPr="00D61F73">
        <w:rPr>
          <w:rFonts w:ascii="Arial" w:hAnsi="Arial" w:cs="Arial"/>
          <w:i/>
        </w:rPr>
        <w:t>J Fam Pract</w:t>
      </w:r>
      <w:r w:rsidRPr="00D61F73">
        <w:rPr>
          <w:rFonts w:ascii="Arial" w:hAnsi="Arial" w:cs="Arial"/>
        </w:rPr>
        <w:t>. 2007;56:S1-S12.</w:t>
      </w:r>
    </w:p>
    <w:p w14:paraId="4CFED19A" w14:textId="77777777" w:rsidR="008D0565" w:rsidRPr="00D61F73" w:rsidRDefault="008D0565" w:rsidP="00D61F73">
      <w:pPr>
        <w:rPr>
          <w:rFonts w:ascii="Arial" w:hAnsi="Arial" w:cs="Arial"/>
        </w:rPr>
      </w:pPr>
    </w:p>
    <w:p w14:paraId="66BBD6A9" w14:textId="77777777" w:rsidR="008D0565" w:rsidRPr="00D61F73" w:rsidRDefault="00751163" w:rsidP="00D61F73">
      <w:pPr>
        <w:rPr>
          <w:rFonts w:ascii="Arial" w:hAnsi="Arial" w:cs="Arial"/>
        </w:rPr>
      </w:pPr>
      <w:hyperlink w:anchor="Goldenberg" w:history="1">
        <w:r w:rsidR="008D0565" w:rsidRPr="00D61F73">
          <w:rPr>
            <w:rStyle w:val="Hyperlink"/>
            <w:rFonts w:ascii="Arial" w:hAnsi="Arial" w:cs="Arial"/>
          </w:rPr>
          <w:t>Goldenberg DL, Burckhardt C, Crofford L.</w:t>
        </w:r>
      </w:hyperlink>
      <w:r w:rsidR="008D0565" w:rsidRPr="00D61F73">
        <w:rPr>
          <w:rFonts w:ascii="Arial" w:hAnsi="Arial" w:cs="Arial"/>
        </w:rPr>
        <w:t xml:space="preserve"> Management of fibromyalgia syndrome. </w:t>
      </w:r>
      <w:r w:rsidR="008D0565" w:rsidRPr="00D61F73">
        <w:rPr>
          <w:rFonts w:ascii="Arial" w:hAnsi="Arial" w:cs="Arial"/>
          <w:i/>
          <w:iCs/>
        </w:rPr>
        <w:t>JAMA</w:t>
      </w:r>
      <w:r w:rsidR="008D0565" w:rsidRPr="00D61F73">
        <w:rPr>
          <w:rFonts w:ascii="Arial" w:hAnsi="Arial" w:cs="Arial"/>
        </w:rPr>
        <w:t>. 2004 Nov 17;292(19):2388-95.</w:t>
      </w:r>
    </w:p>
    <w:p w14:paraId="4F2709CE" w14:textId="77777777" w:rsidR="008D0565" w:rsidRPr="00D61F73" w:rsidRDefault="008D0565" w:rsidP="00D61F73">
      <w:pPr>
        <w:rPr>
          <w:rFonts w:ascii="Arial" w:hAnsi="Arial" w:cs="Arial"/>
        </w:rPr>
      </w:pPr>
    </w:p>
    <w:p w14:paraId="27AFF9B5" w14:textId="77777777" w:rsidR="008D0565" w:rsidRPr="00D61F73" w:rsidRDefault="00751163" w:rsidP="00D61F73">
      <w:pPr>
        <w:rPr>
          <w:rStyle w:val="ti"/>
          <w:rFonts w:ascii="Arial" w:hAnsi="Arial" w:cs="Arial"/>
        </w:rPr>
      </w:pPr>
      <w:hyperlink w:anchor="Goldenberg2" w:history="1">
        <w:r w:rsidR="008D0565" w:rsidRPr="00D61F73">
          <w:rPr>
            <w:rStyle w:val="Hyperlink"/>
            <w:rFonts w:ascii="Arial" w:hAnsi="Arial" w:cs="Arial"/>
            <w:bCs/>
          </w:rPr>
          <w:t>Goldenberg DL</w:t>
        </w:r>
      </w:hyperlink>
      <w:r w:rsidR="008D0565" w:rsidRPr="00D61F73">
        <w:rPr>
          <w:rFonts w:ascii="Arial" w:hAnsi="Arial" w:cs="Arial"/>
        </w:rPr>
        <w:t>. Pharmacological treatment of fibromyalgia and other chronic musculoskeletal pain.</w:t>
      </w:r>
      <w:r w:rsidR="008D0565" w:rsidRPr="00D61F73">
        <w:rPr>
          <w:rStyle w:val="Hyperlink"/>
          <w:rFonts w:ascii="Arial" w:hAnsi="Arial" w:cs="Arial"/>
        </w:rPr>
        <w:t xml:space="preserve"> </w:t>
      </w:r>
      <w:r w:rsidR="008D0565" w:rsidRPr="00D61F73">
        <w:rPr>
          <w:rStyle w:val="ti"/>
          <w:rFonts w:ascii="Arial" w:hAnsi="Arial" w:cs="Arial"/>
        </w:rPr>
        <w:t>Best Pract Res Clin Rheumatol. 2007 Jun;21(3):499-511.</w:t>
      </w:r>
    </w:p>
    <w:p w14:paraId="250B4E60" w14:textId="77777777" w:rsidR="00EE5719" w:rsidRPr="00D61F73" w:rsidRDefault="00EE5719" w:rsidP="00D61F73">
      <w:pPr>
        <w:rPr>
          <w:rFonts w:ascii="Arial" w:hAnsi="Arial" w:cs="Arial"/>
        </w:rPr>
      </w:pPr>
    </w:p>
    <w:p w14:paraId="3DCA8680" w14:textId="77777777" w:rsidR="008D0565" w:rsidRPr="00D61F73" w:rsidRDefault="00751163" w:rsidP="00D61F73">
      <w:pPr>
        <w:rPr>
          <w:rFonts w:ascii="Arial" w:hAnsi="Arial" w:cs="Arial"/>
        </w:rPr>
      </w:pPr>
      <w:hyperlink w:anchor="Gore" w:history="1">
        <w:r w:rsidR="008D0565" w:rsidRPr="00D61F73">
          <w:rPr>
            <w:rStyle w:val="Hyperlink"/>
            <w:rFonts w:ascii="Arial" w:hAnsi="Arial" w:cs="Arial"/>
          </w:rPr>
          <w:t>Gore M, Dukes E, Rowbotham DJ, Tai KS, Leslie D.</w:t>
        </w:r>
      </w:hyperlink>
      <w:r w:rsidR="008D0565" w:rsidRPr="00D61F73">
        <w:rPr>
          <w:rFonts w:ascii="Arial" w:hAnsi="Arial" w:cs="Arial"/>
        </w:rPr>
        <w:t xml:space="preserve"> Clinical characteristics and pain management among patients with painful peripheral neuropathic disorders in general practice settings</w:t>
      </w:r>
      <w:r w:rsidR="008D0565" w:rsidRPr="00D61F73">
        <w:rPr>
          <w:rFonts w:ascii="Arial" w:hAnsi="Arial" w:cs="Arial"/>
          <w:i/>
        </w:rPr>
        <w:t>. Eur J Pain</w:t>
      </w:r>
      <w:r w:rsidR="008D0565" w:rsidRPr="00D61F73">
        <w:rPr>
          <w:rFonts w:ascii="Arial" w:hAnsi="Arial" w:cs="Arial"/>
        </w:rPr>
        <w:t>. 2007;11:652-64.</w:t>
      </w:r>
      <w:r w:rsidR="00C73C3F" w:rsidRPr="00D61F73">
        <w:rPr>
          <w:rFonts w:ascii="Arial" w:hAnsi="Arial" w:cs="Arial"/>
        </w:rPr>
        <w:t xml:space="preserve"> </w:t>
      </w:r>
    </w:p>
    <w:p w14:paraId="1D96BD3C" w14:textId="77777777" w:rsidR="008D0565" w:rsidRPr="00D61F73" w:rsidRDefault="008D0565" w:rsidP="00D61F73">
      <w:pPr>
        <w:pStyle w:val="Footer"/>
        <w:tabs>
          <w:tab w:val="clear" w:pos="4320"/>
          <w:tab w:val="clear" w:pos="8640"/>
        </w:tabs>
        <w:rPr>
          <w:rFonts w:ascii="Arial" w:hAnsi="Arial" w:cs="Arial"/>
        </w:rPr>
      </w:pPr>
    </w:p>
    <w:p w14:paraId="3AE66D61" w14:textId="77777777" w:rsidR="008D0565" w:rsidRPr="00D61F73" w:rsidRDefault="00751163" w:rsidP="00D61F73">
      <w:pPr>
        <w:pStyle w:val="Footer"/>
        <w:tabs>
          <w:tab w:val="clear" w:pos="4320"/>
          <w:tab w:val="clear" w:pos="8640"/>
        </w:tabs>
        <w:rPr>
          <w:rFonts w:ascii="Arial" w:hAnsi="Arial" w:cs="Arial"/>
        </w:rPr>
      </w:pPr>
      <w:hyperlink w:anchor="Gourlay1997" w:history="1">
        <w:r w:rsidR="008D0565" w:rsidRPr="00D61F73">
          <w:rPr>
            <w:rStyle w:val="Hyperlink"/>
            <w:rFonts w:ascii="Arial" w:hAnsi="Arial" w:cs="Arial"/>
          </w:rPr>
          <w:t>Gourlay GK, Cherry DA, Onley MM, Tordoff SG, Conn DA, Hood GM, Plummer JL</w:t>
        </w:r>
      </w:hyperlink>
      <w:r w:rsidR="008D0565" w:rsidRPr="00D61F73">
        <w:rPr>
          <w:rFonts w:ascii="Arial" w:hAnsi="Arial" w:cs="Arial"/>
        </w:rPr>
        <w:t xml:space="preserve">. Pharmacokinetics and pharmacodynamics of twenty-four-hourly Kapanol compared to twelve-hourly MS Contin in the treatment of severe cancer pain. </w:t>
      </w:r>
      <w:r w:rsidR="008D0565" w:rsidRPr="00D61F73">
        <w:rPr>
          <w:rFonts w:ascii="Arial" w:hAnsi="Arial" w:cs="Arial"/>
          <w:i/>
        </w:rPr>
        <w:t>Pain.</w:t>
      </w:r>
      <w:r w:rsidR="008D0565" w:rsidRPr="00D61F73">
        <w:rPr>
          <w:rFonts w:ascii="Arial" w:hAnsi="Arial" w:cs="Arial"/>
        </w:rPr>
        <w:t xml:space="preserve"> 1997;69:295-302.</w:t>
      </w:r>
    </w:p>
    <w:p w14:paraId="34FF0020" w14:textId="77777777" w:rsidR="008D0565" w:rsidRPr="00D61F73" w:rsidRDefault="008D0565" w:rsidP="00D61F73">
      <w:pPr>
        <w:pStyle w:val="Footer"/>
        <w:tabs>
          <w:tab w:val="clear" w:pos="4320"/>
          <w:tab w:val="clear" w:pos="8640"/>
        </w:tabs>
        <w:rPr>
          <w:rFonts w:ascii="Arial" w:hAnsi="Arial" w:cs="Arial"/>
        </w:rPr>
      </w:pPr>
    </w:p>
    <w:p w14:paraId="35B495F4" w14:textId="77777777" w:rsidR="008D0565" w:rsidRPr="00D61F73" w:rsidRDefault="00751163" w:rsidP="00D61F73">
      <w:pPr>
        <w:pStyle w:val="Footer"/>
        <w:tabs>
          <w:tab w:val="clear" w:pos="4320"/>
          <w:tab w:val="clear" w:pos="8640"/>
        </w:tabs>
        <w:rPr>
          <w:rFonts w:ascii="Arial" w:hAnsi="Arial" w:cs="Arial"/>
        </w:rPr>
      </w:pPr>
      <w:hyperlink w:anchor="GrasMiralles" w:history="1">
        <w:r w:rsidR="008D0565" w:rsidRPr="00D61F73">
          <w:rPr>
            <w:rStyle w:val="Hyperlink"/>
            <w:rFonts w:ascii="Arial" w:hAnsi="Arial" w:cs="Arial"/>
          </w:rPr>
          <w:t>Gras-Miralles B, Cremonini F</w:t>
        </w:r>
      </w:hyperlink>
      <w:r w:rsidR="008D0565" w:rsidRPr="00D61F73">
        <w:rPr>
          <w:rFonts w:ascii="Arial" w:hAnsi="Arial" w:cs="Arial"/>
        </w:rPr>
        <w:t xml:space="preserve">. A critical appraisal of lubiprostone in the treatment of chronic constipation in the elderly. </w:t>
      </w:r>
      <w:r w:rsidR="008D0565" w:rsidRPr="00D61F73">
        <w:rPr>
          <w:rFonts w:ascii="Arial" w:hAnsi="Arial" w:cs="Arial"/>
          <w:i/>
          <w:iCs/>
        </w:rPr>
        <w:t>Clin Interv Aging</w:t>
      </w:r>
      <w:r w:rsidR="008D0565" w:rsidRPr="00D61F73">
        <w:rPr>
          <w:rFonts w:ascii="Arial" w:hAnsi="Arial" w:cs="Arial"/>
        </w:rPr>
        <w:t>. 2013;8:191-200. doi: 10.2147/CIA.S30729.</w:t>
      </w:r>
    </w:p>
    <w:p w14:paraId="6BE992AC" w14:textId="77777777" w:rsidR="008D0565" w:rsidRPr="00D61F73" w:rsidRDefault="008D0565" w:rsidP="00D61F73">
      <w:pPr>
        <w:pStyle w:val="Footer"/>
        <w:tabs>
          <w:tab w:val="clear" w:pos="4320"/>
          <w:tab w:val="clear" w:pos="8640"/>
        </w:tabs>
        <w:rPr>
          <w:rFonts w:ascii="Arial" w:hAnsi="Arial" w:cs="Arial"/>
        </w:rPr>
      </w:pPr>
    </w:p>
    <w:p w14:paraId="7AACB2F0" w14:textId="77777777" w:rsidR="008D0565" w:rsidRPr="00D61F73" w:rsidRDefault="00751163" w:rsidP="00D61F73">
      <w:pPr>
        <w:rPr>
          <w:rFonts w:ascii="Arial" w:hAnsi="Arial" w:cs="Arial"/>
        </w:rPr>
      </w:pPr>
      <w:hyperlink w:anchor="Guay" w:history="1">
        <w:r w:rsidR="008D0565" w:rsidRPr="00D61F73">
          <w:rPr>
            <w:rStyle w:val="Hyperlink"/>
            <w:rFonts w:ascii="Arial" w:hAnsi="Arial" w:cs="Arial"/>
          </w:rPr>
          <w:t>Guay DR</w:t>
        </w:r>
      </w:hyperlink>
      <w:r w:rsidR="008D0565" w:rsidRPr="00D61F73">
        <w:rPr>
          <w:rFonts w:ascii="Arial" w:hAnsi="Arial" w:cs="Arial"/>
        </w:rPr>
        <w:t xml:space="preserve">. Oxcarbazepine, topiramate, zonisamide, and levetiracetam: potential use in neuropathic pain. </w:t>
      </w:r>
      <w:r w:rsidR="008D0565" w:rsidRPr="00D61F73">
        <w:rPr>
          <w:rFonts w:ascii="Arial" w:hAnsi="Arial" w:cs="Arial"/>
          <w:i/>
          <w:iCs/>
        </w:rPr>
        <w:t>Am J Geriatr Pharmacother.</w:t>
      </w:r>
      <w:r w:rsidR="008D0565" w:rsidRPr="00D61F73">
        <w:rPr>
          <w:rFonts w:ascii="Arial" w:hAnsi="Arial" w:cs="Arial"/>
        </w:rPr>
        <w:t xml:space="preserve"> 2003 Sep;1(1):18-37.</w:t>
      </w:r>
    </w:p>
    <w:p w14:paraId="4E59951A" w14:textId="75F4FD67" w:rsidR="008D0565" w:rsidRPr="00D61F73" w:rsidRDefault="008D0565" w:rsidP="00D61F73">
      <w:pPr>
        <w:pStyle w:val="Footer"/>
        <w:tabs>
          <w:tab w:val="clear" w:pos="4320"/>
          <w:tab w:val="clear" w:pos="8640"/>
        </w:tabs>
        <w:rPr>
          <w:rFonts w:ascii="Arial" w:hAnsi="Arial" w:cs="Arial"/>
        </w:rPr>
      </w:pPr>
    </w:p>
    <w:p w14:paraId="5DB9E048" w14:textId="77777777" w:rsidR="008D0565" w:rsidRPr="00D61F73" w:rsidRDefault="00751163" w:rsidP="00D61F73">
      <w:pPr>
        <w:rPr>
          <w:rFonts w:ascii="Arial" w:hAnsi="Arial" w:cs="Arial"/>
        </w:rPr>
      </w:pPr>
      <w:hyperlink w:anchor="Guillaume" w:history="1">
        <w:r w:rsidR="008D0565" w:rsidRPr="007F3D6C">
          <w:rPr>
            <w:rStyle w:val="Hyperlink"/>
            <w:rFonts w:ascii="Arial" w:hAnsi="Arial" w:cs="Arial"/>
          </w:rPr>
          <w:t>Guillaume D, Van Havenbergh A, Vloeberghs M, Vidal J, Roeste G</w:t>
        </w:r>
      </w:hyperlink>
      <w:r w:rsidR="008D0565" w:rsidRPr="007F3D6C">
        <w:rPr>
          <w:rFonts w:ascii="Arial" w:hAnsi="Arial" w:cs="Arial"/>
        </w:rPr>
        <w:t xml:space="preserve">. </w:t>
      </w:r>
      <w:r w:rsidR="008D0565" w:rsidRPr="00D61F73">
        <w:rPr>
          <w:rFonts w:ascii="Arial" w:hAnsi="Arial" w:cs="Arial"/>
        </w:rPr>
        <w:t xml:space="preserve">A clinical study of intrathecal baclofen using a programmable pump for intractable spasticity. Arch Phys </w:t>
      </w:r>
      <w:r w:rsidR="008D0565" w:rsidRPr="00D61F73">
        <w:rPr>
          <w:rFonts w:ascii="Arial" w:hAnsi="Arial" w:cs="Arial"/>
          <w:i/>
        </w:rPr>
        <w:t>Med Rehabil</w:t>
      </w:r>
      <w:r w:rsidR="008D0565" w:rsidRPr="00D61F73">
        <w:rPr>
          <w:rFonts w:ascii="Arial" w:hAnsi="Arial" w:cs="Arial"/>
        </w:rPr>
        <w:t>. 2005;86:2165-71.</w:t>
      </w:r>
    </w:p>
    <w:p w14:paraId="3EDE2231" w14:textId="77777777" w:rsidR="008D0565" w:rsidRPr="00D61F73" w:rsidRDefault="008D0565" w:rsidP="00D61F73">
      <w:pPr>
        <w:rPr>
          <w:rFonts w:ascii="Arial" w:hAnsi="Arial" w:cs="Arial"/>
        </w:rPr>
      </w:pPr>
    </w:p>
    <w:p w14:paraId="6AD28B30" w14:textId="77777777" w:rsidR="008D0565" w:rsidRPr="00D61F73" w:rsidRDefault="00751163" w:rsidP="00D61F73">
      <w:pPr>
        <w:rPr>
          <w:rFonts w:ascii="Arial" w:hAnsi="Arial" w:cs="Arial"/>
        </w:rPr>
      </w:pPr>
      <w:hyperlink w:anchor="Gürol" w:history="1">
        <w:r w:rsidR="008D0565" w:rsidRPr="00D61F73">
          <w:rPr>
            <w:rStyle w:val="Hyperlink"/>
            <w:rFonts w:ascii="Arial" w:hAnsi="Arial" w:cs="Arial"/>
          </w:rPr>
          <w:t>Gürol Z, Hekimoğlu S, Demirdamar R, Sumnu M</w:t>
        </w:r>
      </w:hyperlink>
      <w:r w:rsidR="008D0565" w:rsidRPr="00D61F73">
        <w:rPr>
          <w:rFonts w:ascii="Arial" w:hAnsi="Arial" w:cs="Arial"/>
        </w:rPr>
        <w:t xml:space="preserve">. Percutaneous absorption of ketoprofen. I. In vitro release and percutaneous absorption of ketoprofen from different ointment bases. </w:t>
      </w:r>
      <w:r w:rsidR="008D0565" w:rsidRPr="00D61F73">
        <w:rPr>
          <w:rFonts w:ascii="Arial" w:hAnsi="Arial" w:cs="Arial"/>
          <w:i/>
        </w:rPr>
        <w:t>Pharm Acta Helv</w:t>
      </w:r>
      <w:r w:rsidR="008D0565" w:rsidRPr="00D61F73">
        <w:rPr>
          <w:rFonts w:ascii="Arial" w:hAnsi="Arial" w:cs="Arial"/>
        </w:rPr>
        <w:t>. 1996;71:205-12.</w:t>
      </w:r>
    </w:p>
    <w:p w14:paraId="2A32A507" w14:textId="77777777" w:rsidR="008D0565" w:rsidRPr="00D61F73" w:rsidRDefault="008D0565" w:rsidP="00D61F73">
      <w:pPr>
        <w:rPr>
          <w:rFonts w:ascii="Arial" w:hAnsi="Arial" w:cs="Arial"/>
        </w:rPr>
      </w:pPr>
    </w:p>
    <w:p w14:paraId="73F1C94B" w14:textId="77777777" w:rsidR="008D0565" w:rsidRPr="00D61F73" w:rsidRDefault="00751163" w:rsidP="00D61F73">
      <w:pPr>
        <w:rPr>
          <w:rFonts w:ascii="Arial" w:hAnsi="Arial" w:cs="Arial"/>
        </w:rPr>
      </w:pPr>
      <w:hyperlink w:anchor="Haddad" w:history="1">
        <w:r w:rsidR="008D0565" w:rsidRPr="00D61F73">
          <w:rPr>
            <w:rStyle w:val="Hyperlink"/>
            <w:rFonts w:ascii="Arial" w:hAnsi="Arial" w:cs="Arial"/>
          </w:rPr>
          <w:t>Haddad RM, Kennedy CC, Caples SM, Tracz MJ, Bolona ER, Sideras K, Uraga MV, Erwin PJ, Montori VM.</w:t>
        </w:r>
      </w:hyperlink>
      <w:r w:rsidR="008D0565" w:rsidRPr="00D61F73">
        <w:rPr>
          <w:rFonts w:ascii="Arial" w:hAnsi="Arial" w:cs="Arial"/>
        </w:rPr>
        <w:t xml:space="preserve"> Testosterone and cardiovascular risk in men: a systematic review and meta-analysis of randomized placebo-controlled trials. </w:t>
      </w:r>
      <w:r w:rsidR="008D0565" w:rsidRPr="00D61F73">
        <w:rPr>
          <w:rFonts w:ascii="Arial" w:hAnsi="Arial" w:cs="Arial"/>
          <w:i/>
        </w:rPr>
        <w:t>Mayo Clin Proc</w:t>
      </w:r>
      <w:r w:rsidR="008D0565" w:rsidRPr="00D61F73">
        <w:rPr>
          <w:rFonts w:ascii="Arial" w:hAnsi="Arial" w:cs="Arial"/>
        </w:rPr>
        <w:t>. 2007;82:29-39.</w:t>
      </w:r>
    </w:p>
    <w:p w14:paraId="1DC43497" w14:textId="77777777" w:rsidR="008D0565" w:rsidRPr="00D61F73" w:rsidRDefault="008D0565" w:rsidP="00D61F73">
      <w:pPr>
        <w:rPr>
          <w:rFonts w:ascii="Arial" w:hAnsi="Arial" w:cs="Arial"/>
        </w:rPr>
      </w:pPr>
    </w:p>
    <w:p w14:paraId="0B223F87" w14:textId="77777777" w:rsidR="008D0565" w:rsidRPr="00D61F73" w:rsidRDefault="00751163" w:rsidP="00D61F73">
      <w:pPr>
        <w:rPr>
          <w:rStyle w:val="ti"/>
          <w:rFonts w:ascii="Arial" w:hAnsi="Arial" w:cs="Arial"/>
        </w:rPr>
      </w:pPr>
      <w:hyperlink w:anchor="Halas" w:history="1">
        <w:r w:rsidR="008D0565" w:rsidRPr="00D61F73">
          <w:rPr>
            <w:rStyle w:val="Hyperlink"/>
            <w:rFonts w:ascii="Arial" w:hAnsi="Arial" w:cs="Arial"/>
          </w:rPr>
          <w:t>Halas CJ</w:t>
        </w:r>
      </w:hyperlink>
      <w:r w:rsidR="008D0565" w:rsidRPr="00D61F73">
        <w:rPr>
          <w:rStyle w:val="ti"/>
          <w:rFonts w:ascii="Arial" w:hAnsi="Arial" w:cs="Arial"/>
        </w:rPr>
        <w:t xml:space="preserve">. Eszopiclone. </w:t>
      </w:r>
      <w:r w:rsidR="008D0565" w:rsidRPr="00D61F73">
        <w:rPr>
          <w:rStyle w:val="ti"/>
          <w:rFonts w:ascii="Arial" w:hAnsi="Arial" w:cs="Arial"/>
          <w:i/>
        </w:rPr>
        <w:t>Am J Health Syst Pharm</w:t>
      </w:r>
      <w:r w:rsidR="008D0565" w:rsidRPr="00D61F73">
        <w:rPr>
          <w:rStyle w:val="ti"/>
          <w:rFonts w:ascii="Arial" w:hAnsi="Arial" w:cs="Arial"/>
        </w:rPr>
        <w:t>. 2006;63:41-8.</w:t>
      </w:r>
    </w:p>
    <w:p w14:paraId="3BEBDA23" w14:textId="77777777" w:rsidR="008D0565" w:rsidRPr="00D61F73" w:rsidRDefault="008D0565" w:rsidP="00D61F73">
      <w:pPr>
        <w:pStyle w:val="Footer"/>
        <w:tabs>
          <w:tab w:val="clear" w:pos="4320"/>
          <w:tab w:val="clear" w:pos="8640"/>
        </w:tabs>
        <w:rPr>
          <w:rFonts w:ascii="Arial" w:hAnsi="Arial" w:cs="Arial"/>
        </w:rPr>
      </w:pPr>
    </w:p>
    <w:p w14:paraId="621C3E1D" w14:textId="77777777" w:rsidR="008D0565" w:rsidRPr="00D61F73" w:rsidRDefault="00751163" w:rsidP="00D61F73">
      <w:pPr>
        <w:pStyle w:val="Footer"/>
        <w:tabs>
          <w:tab w:val="clear" w:pos="4320"/>
          <w:tab w:val="clear" w:pos="8640"/>
        </w:tabs>
        <w:rPr>
          <w:rFonts w:ascii="Arial" w:hAnsi="Arial" w:cs="Arial"/>
        </w:rPr>
      </w:pPr>
      <w:hyperlink w:anchor="Hale2009" w:history="1">
        <w:r w:rsidR="008D0565" w:rsidRPr="00D61F73">
          <w:rPr>
            <w:rStyle w:val="Hyperlink"/>
            <w:rFonts w:ascii="Arial" w:hAnsi="Arial" w:cs="Arial"/>
          </w:rPr>
          <w:t>Hale M, Upmalis D, Okamoto A, Lange C, Rauschkolb C</w:t>
        </w:r>
      </w:hyperlink>
      <w:r w:rsidR="008D0565" w:rsidRPr="00D61F73">
        <w:rPr>
          <w:rFonts w:ascii="Arial" w:hAnsi="Arial" w:cs="Arial"/>
        </w:rPr>
        <w:t xml:space="preserve">. Tolerability of tapentadol immediate release in patients with lower back pain or osteoarthritis of the hip or knee over 90 days: a randomized, double-blind study. </w:t>
      </w:r>
      <w:r w:rsidR="008D0565" w:rsidRPr="00D61F73">
        <w:rPr>
          <w:rFonts w:ascii="Arial" w:hAnsi="Arial" w:cs="Arial"/>
          <w:i/>
          <w:iCs/>
        </w:rPr>
        <w:t>Curr Med Res Opin</w:t>
      </w:r>
      <w:r w:rsidR="008D0565" w:rsidRPr="00D61F73">
        <w:rPr>
          <w:rFonts w:ascii="Arial" w:hAnsi="Arial" w:cs="Arial"/>
        </w:rPr>
        <w:t>. 2009 May;25(5):1095-104.</w:t>
      </w:r>
    </w:p>
    <w:p w14:paraId="7087D0B9" w14:textId="77777777" w:rsidR="008D0565" w:rsidRPr="00D61F73" w:rsidRDefault="008D0565" w:rsidP="00D61F73">
      <w:pPr>
        <w:pStyle w:val="Footer"/>
        <w:tabs>
          <w:tab w:val="clear" w:pos="4320"/>
          <w:tab w:val="clear" w:pos="8640"/>
        </w:tabs>
        <w:rPr>
          <w:rFonts w:ascii="Arial" w:hAnsi="Arial" w:cs="Arial"/>
        </w:rPr>
      </w:pPr>
    </w:p>
    <w:p w14:paraId="255F4285" w14:textId="77777777" w:rsidR="008D0565" w:rsidRPr="00D61F73" w:rsidRDefault="00751163" w:rsidP="00D61F73">
      <w:pPr>
        <w:rPr>
          <w:rFonts w:ascii="Arial" w:hAnsi="Arial" w:cs="Arial"/>
        </w:rPr>
      </w:pPr>
      <w:hyperlink w:anchor="Halvorsen" w:history="1">
        <w:r w:rsidR="008D0565" w:rsidRPr="00D61F73">
          <w:rPr>
            <w:rStyle w:val="Hyperlink"/>
            <w:rFonts w:ascii="Arial" w:hAnsi="Arial" w:cs="Arial"/>
          </w:rPr>
          <w:t>Halvorsen PA, Selmer R, Kristiansen IS.</w:t>
        </w:r>
      </w:hyperlink>
      <w:r w:rsidR="008D0565" w:rsidRPr="00D61F73">
        <w:rPr>
          <w:rFonts w:ascii="Arial" w:hAnsi="Arial" w:cs="Arial"/>
        </w:rPr>
        <w:t xml:space="preserve"> Different ways to describe the benefits of risk-reducing treatments: a randomized trial. </w:t>
      </w:r>
      <w:r w:rsidR="008D0565" w:rsidRPr="00D61F73">
        <w:rPr>
          <w:rFonts w:ascii="Arial" w:hAnsi="Arial" w:cs="Arial"/>
          <w:i/>
          <w:iCs/>
        </w:rPr>
        <w:t>Ann Intern Med.</w:t>
      </w:r>
      <w:r w:rsidR="008D0565" w:rsidRPr="00D61F73">
        <w:rPr>
          <w:rFonts w:ascii="Arial" w:hAnsi="Arial" w:cs="Arial"/>
        </w:rPr>
        <w:t xml:space="preserve"> 2007 Jun 19;146(12):848-56.</w:t>
      </w:r>
    </w:p>
    <w:p w14:paraId="52879ECA" w14:textId="77777777" w:rsidR="008D0565" w:rsidRPr="00D61F73" w:rsidRDefault="008D0565" w:rsidP="00D61F73">
      <w:pPr>
        <w:rPr>
          <w:rFonts w:ascii="Arial" w:hAnsi="Arial" w:cs="Arial"/>
        </w:rPr>
      </w:pPr>
    </w:p>
    <w:p w14:paraId="37E3873F" w14:textId="77777777" w:rsidR="008D0565" w:rsidRPr="00D61F73" w:rsidRDefault="00751163" w:rsidP="00D61F73">
      <w:pPr>
        <w:rPr>
          <w:rFonts w:ascii="Arial" w:hAnsi="Arial" w:cs="Arial"/>
        </w:rPr>
      </w:pPr>
      <w:hyperlink w:anchor="Hardy2012" w:history="1">
        <w:r w:rsidR="008D0565" w:rsidRPr="00D61F73">
          <w:rPr>
            <w:rStyle w:val="Hyperlink"/>
            <w:rFonts w:ascii="Arial" w:hAnsi="Arial" w:cs="Arial"/>
          </w:rPr>
          <w:t>Hardy J, Quinn S, Fazekas B, Plummer J, Eckermann S, Agar M, Spruyt O, Rowett D, Currow DC</w:t>
        </w:r>
      </w:hyperlink>
      <w:r w:rsidR="008D0565" w:rsidRPr="00D61F73">
        <w:rPr>
          <w:rFonts w:ascii="Arial" w:hAnsi="Arial" w:cs="Arial"/>
        </w:rPr>
        <w:t xml:space="preserve">. Randomized, double-blind, placebo-controlled study to assess the efficacy and toxicity of subcutaneous ketamine in the management of cancer pain. </w:t>
      </w:r>
      <w:r w:rsidR="008D0565" w:rsidRPr="00D61F73">
        <w:rPr>
          <w:rFonts w:ascii="Arial" w:hAnsi="Arial" w:cs="Arial"/>
          <w:i/>
          <w:iCs/>
        </w:rPr>
        <w:t>J Clin Oncol.</w:t>
      </w:r>
      <w:r w:rsidR="008D0565" w:rsidRPr="00D61F73">
        <w:rPr>
          <w:rFonts w:ascii="Arial" w:hAnsi="Arial" w:cs="Arial"/>
        </w:rPr>
        <w:t xml:space="preserve"> 2012 Oct 10;30(29):3611-7. doi: 10.1200/JCO.2012.42.1081.</w:t>
      </w:r>
    </w:p>
    <w:p w14:paraId="2EC849E3" w14:textId="77777777" w:rsidR="008D0565" w:rsidRPr="00D61F73" w:rsidRDefault="008D0565" w:rsidP="00D61F73">
      <w:pPr>
        <w:rPr>
          <w:rFonts w:ascii="Arial" w:hAnsi="Arial" w:cs="Arial"/>
        </w:rPr>
      </w:pPr>
    </w:p>
    <w:p w14:paraId="54C766AD" w14:textId="77777777" w:rsidR="008D0565" w:rsidRPr="00D61F73" w:rsidRDefault="00751163" w:rsidP="00D61F73">
      <w:pPr>
        <w:rPr>
          <w:rFonts w:ascii="Arial" w:hAnsi="Arial" w:cs="Arial"/>
        </w:rPr>
      </w:pPr>
      <w:hyperlink w:anchor="Harley2011" w:history="1">
        <w:r w:rsidR="008D0565" w:rsidRPr="00D61F73">
          <w:rPr>
            <w:rStyle w:val="Hyperlink"/>
            <w:rFonts w:ascii="Arial" w:hAnsi="Arial" w:cs="Arial"/>
          </w:rPr>
          <w:t>Harley CB, Liu W, Blasco M, Vera E, Andrews WH, Briggs LA, Raffaele JM</w:t>
        </w:r>
      </w:hyperlink>
      <w:r w:rsidR="008D0565" w:rsidRPr="00D61F73">
        <w:rPr>
          <w:rFonts w:ascii="Arial" w:hAnsi="Arial" w:cs="Arial"/>
        </w:rPr>
        <w:t xml:space="preserve">. A natural product telomerase activator as part of a health maintenance program. </w:t>
      </w:r>
      <w:r w:rsidR="008D0565" w:rsidRPr="00D61F73">
        <w:rPr>
          <w:rFonts w:ascii="Arial" w:hAnsi="Arial" w:cs="Arial"/>
          <w:i/>
          <w:iCs/>
        </w:rPr>
        <w:t>Rejuvenation Res</w:t>
      </w:r>
      <w:r w:rsidR="008D0565" w:rsidRPr="00D61F73">
        <w:rPr>
          <w:rFonts w:ascii="Arial" w:hAnsi="Arial" w:cs="Arial"/>
        </w:rPr>
        <w:t>. 2011 Feb;14(1):45-56.</w:t>
      </w:r>
    </w:p>
    <w:p w14:paraId="00BAD331" w14:textId="77777777" w:rsidR="008D0565" w:rsidRPr="00D61F73" w:rsidRDefault="008D0565" w:rsidP="00D61F73">
      <w:pPr>
        <w:rPr>
          <w:rFonts w:ascii="Arial" w:hAnsi="Arial" w:cs="Arial"/>
        </w:rPr>
      </w:pPr>
    </w:p>
    <w:p w14:paraId="1A44B833" w14:textId="77777777" w:rsidR="008D0565" w:rsidRPr="00D61F73" w:rsidRDefault="00751163" w:rsidP="00D61F73">
      <w:pPr>
        <w:rPr>
          <w:rFonts w:ascii="Arial" w:hAnsi="Arial" w:cs="Arial"/>
        </w:rPr>
      </w:pPr>
      <w:hyperlink w:anchor="Haroutiunian2010" w:history="1">
        <w:r w:rsidR="008D0565" w:rsidRPr="00D61F73">
          <w:rPr>
            <w:rStyle w:val="Hyperlink"/>
            <w:rFonts w:ascii="Arial" w:hAnsi="Arial" w:cs="Arial"/>
          </w:rPr>
          <w:t>Haroutiunian S, Drennan DA, Lipman AG</w:t>
        </w:r>
      </w:hyperlink>
      <w:r w:rsidR="008D0565" w:rsidRPr="00D61F73">
        <w:rPr>
          <w:rFonts w:ascii="Arial" w:hAnsi="Arial" w:cs="Arial"/>
        </w:rPr>
        <w:t xml:space="preserve">. Topical NSAID therapy for musculoskeletal pain. </w:t>
      </w:r>
      <w:r w:rsidR="008D0565" w:rsidRPr="00D61F73">
        <w:rPr>
          <w:rFonts w:ascii="Arial" w:hAnsi="Arial" w:cs="Arial"/>
          <w:i/>
        </w:rPr>
        <w:t>Pain Med</w:t>
      </w:r>
      <w:r w:rsidR="008D0565" w:rsidRPr="00D61F73">
        <w:rPr>
          <w:rFonts w:ascii="Arial" w:hAnsi="Arial" w:cs="Arial"/>
        </w:rPr>
        <w:t>. 2010;11:535-49.</w:t>
      </w:r>
    </w:p>
    <w:p w14:paraId="595B353F" w14:textId="77777777" w:rsidR="008D0565" w:rsidRPr="00D61F73" w:rsidRDefault="008D0565" w:rsidP="00D61F73">
      <w:pPr>
        <w:rPr>
          <w:rFonts w:ascii="Arial" w:hAnsi="Arial" w:cs="Arial"/>
        </w:rPr>
      </w:pPr>
    </w:p>
    <w:p w14:paraId="1B16AA7D" w14:textId="77777777" w:rsidR="008D0565" w:rsidRPr="00D61F73" w:rsidRDefault="00751163" w:rsidP="00D61F73">
      <w:pPr>
        <w:rPr>
          <w:rFonts w:ascii="Arial" w:hAnsi="Arial" w:cs="Arial"/>
        </w:rPr>
      </w:pPr>
      <w:hyperlink w:anchor="Hartrick2009" w:history="1">
        <w:r w:rsidR="008D0565" w:rsidRPr="00D61F73">
          <w:rPr>
            <w:rStyle w:val="Hyperlink"/>
            <w:rFonts w:ascii="Arial" w:hAnsi="Arial" w:cs="Arial"/>
          </w:rPr>
          <w:t>Hartrick C, Van Hove I, Stegmann JU, Oh C, Upmalis D</w:t>
        </w:r>
      </w:hyperlink>
      <w:r w:rsidR="008D0565" w:rsidRPr="00D61F73">
        <w:rPr>
          <w:rFonts w:ascii="Arial" w:hAnsi="Arial" w:cs="Arial"/>
        </w:rPr>
        <w:t xml:space="preserve">. Efficacy and tolerability of tapentadol immediate release and oxycodone HCl immediate release in patients awaiting primary joint replacement surgery for end-stage joint disease: a 10-day, phase III, randomized, double-blind, active- and placebo-controlled study. </w:t>
      </w:r>
      <w:r w:rsidR="008D0565" w:rsidRPr="00D61F73">
        <w:rPr>
          <w:rFonts w:ascii="Arial" w:hAnsi="Arial" w:cs="Arial"/>
          <w:i/>
          <w:iCs/>
        </w:rPr>
        <w:t>Clin Ther</w:t>
      </w:r>
      <w:r w:rsidR="008D0565" w:rsidRPr="00D61F73">
        <w:rPr>
          <w:rFonts w:ascii="Arial" w:hAnsi="Arial" w:cs="Arial"/>
        </w:rPr>
        <w:t>. 2009 Feb;31(2):260-71.</w:t>
      </w:r>
    </w:p>
    <w:p w14:paraId="4F972B1E" w14:textId="77777777" w:rsidR="008D0565" w:rsidRPr="00D61F73" w:rsidRDefault="008D0565" w:rsidP="00D61F73">
      <w:pPr>
        <w:rPr>
          <w:rFonts w:ascii="Arial" w:hAnsi="Arial" w:cs="Arial"/>
        </w:rPr>
      </w:pPr>
    </w:p>
    <w:p w14:paraId="755DF018" w14:textId="77777777" w:rsidR="008D0565" w:rsidRPr="00D61F73" w:rsidRDefault="00751163" w:rsidP="00D61F73">
      <w:pPr>
        <w:rPr>
          <w:rFonts w:ascii="Arial" w:hAnsi="Arial" w:cs="Arial"/>
        </w:rPr>
      </w:pPr>
      <w:hyperlink w:anchor="Hassenbusch2" w:history="1">
        <w:r w:rsidR="008D0565" w:rsidRPr="00D61F73">
          <w:rPr>
            <w:rStyle w:val="Hyperlink"/>
            <w:rFonts w:ascii="Arial" w:hAnsi="Arial" w:cs="Arial"/>
          </w:rPr>
          <w:t>Hassenbusch, S</w:t>
        </w:r>
      </w:hyperlink>
      <w:r w:rsidR="008D0565" w:rsidRPr="00D61F73">
        <w:rPr>
          <w:rFonts w:ascii="Arial" w:hAnsi="Arial" w:cs="Arial"/>
        </w:rPr>
        <w:t>. Intrathecal Clonidine in the Treatment of Intractable Pain: A Phase I/II Study” Pain Medicine. 2002; Volume 3, Number 2: 85-91.</w:t>
      </w:r>
    </w:p>
    <w:p w14:paraId="2FD0AC86" w14:textId="77777777" w:rsidR="008D0565" w:rsidRPr="00D61F73" w:rsidRDefault="008D0565" w:rsidP="00D61F73">
      <w:pPr>
        <w:rPr>
          <w:rFonts w:ascii="Arial" w:hAnsi="Arial" w:cs="Arial"/>
        </w:rPr>
      </w:pPr>
    </w:p>
    <w:p w14:paraId="7377686B" w14:textId="77777777" w:rsidR="008D0565" w:rsidRPr="00D61F73" w:rsidRDefault="00751163" w:rsidP="00D61F73">
      <w:pPr>
        <w:rPr>
          <w:rFonts w:ascii="Arial" w:hAnsi="Arial" w:cs="Arial"/>
        </w:rPr>
      </w:pPr>
      <w:hyperlink w:anchor="Hauser2013" w:history="1">
        <w:r w:rsidR="008D0565" w:rsidRPr="00D61F73">
          <w:rPr>
            <w:rStyle w:val="Hyperlink"/>
            <w:rFonts w:ascii="Arial" w:hAnsi="Arial" w:cs="Arial"/>
          </w:rPr>
          <w:t>Häuser W, Urrútia G, Tort S, Uçeyler N, Walitt B</w:t>
        </w:r>
      </w:hyperlink>
      <w:r w:rsidR="008D0565" w:rsidRPr="00D61F73">
        <w:rPr>
          <w:rFonts w:ascii="Arial" w:hAnsi="Arial" w:cs="Arial"/>
        </w:rPr>
        <w:t xml:space="preserve">. Serotonin and noradrenaline reuptake inhibitors (SNRIs) for fibromyalgia syndrome. </w:t>
      </w:r>
      <w:r w:rsidR="008D0565" w:rsidRPr="00D61F73">
        <w:rPr>
          <w:rFonts w:ascii="Arial" w:hAnsi="Arial" w:cs="Arial"/>
          <w:i/>
          <w:iCs/>
        </w:rPr>
        <w:t>Cochrane Database Syst Rev.</w:t>
      </w:r>
      <w:r w:rsidR="008D0565" w:rsidRPr="00D61F73">
        <w:rPr>
          <w:rFonts w:ascii="Arial" w:hAnsi="Arial" w:cs="Arial"/>
        </w:rPr>
        <w:t xml:space="preserve"> 2013 Jan 31;1:CD010292. doi: 10.1002/14651858.CD010292.</w:t>
      </w:r>
    </w:p>
    <w:p w14:paraId="46EDC59C" w14:textId="77777777" w:rsidR="008D0565" w:rsidRPr="00D61F73" w:rsidRDefault="008D0565" w:rsidP="00D61F73">
      <w:pPr>
        <w:pStyle w:val="Footer"/>
        <w:tabs>
          <w:tab w:val="clear" w:pos="4320"/>
          <w:tab w:val="clear" w:pos="8640"/>
        </w:tabs>
        <w:rPr>
          <w:rFonts w:ascii="Arial" w:hAnsi="Arial" w:cs="Arial"/>
        </w:rPr>
      </w:pPr>
    </w:p>
    <w:p w14:paraId="2AC2CB83" w14:textId="77777777" w:rsidR="008D0565" w:rsidRPr="00D61F73" w:rsidRDefault="00751163" w:rsidP="00D61F73">
      <w:pPr>
        <w:rPr>
          <w:rFonts w:ascii="Arial" w:hAnsi="Arial" w:cs="Arial"/>
        </w:rPr>
      </w:pPr>
      <w:hyperlink w:anchor="Heacock" w:history="1">
        <w:r w:rsidR="008D0565" w:rsidRPr="00D61F73">
          <w:rPr>
            <w:rStyle w:val="Hyperlink"/>
            <w:rFonts w:ascii="Arial" w:hAnsi="Arial" w:cs="Arial"/>
          </w:rPr>
          <w:t>Heacock C, Bauer MS</w:t>
        </w:r>
      </w:hyperlink>
      <w:r w:rsidR="008D0565" w:rsidRPr="00D61F73">
        <w:rPr>
          <w:rFonts w:ascii="Arial" w:hAnsi="Arial" w:cs="Arial"/>
        </w:rPr>
        <w:t>. Tolerance and dependence risk with the use of carisoprodol. Am Fam Physician. 2004 Apr 1;69(7):1622-3.</w:t>
      </w:r>
    </w:p>
    <w:p w14:paraId="0E063244" w14:textId="77777777" w:rsidR="008D0565" w:rsidRPr="00D61F73" w:rsidRDefault="008D0565" w:rsidP="00D61F73">
      <w:pPr>
        <w:rPr>
          <w:rFonts w:ascii="Arial" w:hAnsi="Arial" w:cs="Arial"/>
        </w:rPr>
      </w:pPr>
    </w:p>
    <w:p w14:paraId="1EC30DBB" w14:textId="77777777" w:rsidR="008D0565" w:rsidRPr="00D61F73" w:rsidRDefault="00751163" w:rsidP="00D61F73">
      <w:pPr>
        <w:rPr>
          <w:rFonts w:ascii="Arial" w:hAnsi="Arial" w:cs="Arial"/>
        </w:rPr>
      </w:pPr>
      <w:hyperlink w:anchor="Hedges" w:history="1">
        <w:r w:rsidR="008D0565" w:rsidRPr="00D61F73">
          <w:rPr>
            <w:rStyle w:val="Hyperlink"/>
            <w:rFonts w:ascii="Arial" w:hAnsi="Arial" w:cs="Arial"/>
          </w:rPr>
          <w:t>Hedges DW, Brown BL, Shwalb DA, Godfrey K, Larcher AM</w:t>
        </w:r>
      </w:hyperlink>
      <w:r w:rsidR="008D0565" w:rsidRPr="00D61F73">
        <w:rPr>
          <w:rFonts w:ascii="Arial" w:hAnsi="Arial" w:cs="Arial"/>
        </w:rPr>
        <w:t xml:space="preserve">. The efficacy of selective serotonin reuptake inhibitors in adult social anxiety disorder: a meta-analysis of double-blind, placebo-controlled trials. </w:t>
      </w:r>
      <w:r w:rsidR="008D0565" w:rsidRPr="00D61F73">
        <w:rPr>
          <w:rFonts w:ascii="Arial" w:hAnsi="Arial" w:cs="Arial"/>
          <w:i/>
        </w:rPr>
        <w:t>J Psychopharmacol</w:t>
      </w:r>
      <w:r w:rsidR="008D0565" w:rsidRPr="00D61F73">
        <w:rPr>
          <w:rFonts w:ascii="Arial" w:hAnsi="Arial" w:cs="Arial"/>
        </w:rPr>
        <w:t>. 2007;21:102-11.</w:t>
      </w:r>
    </w:p>
    <w:p w14:paraId="3BF28D29" w14:textId="77777777" w:rsidR="008D0565" w:rsidRPr="00D61F73" w:rsidRDefault="008D0565" w:rsidP="00D61F73">
      <w:pPr>
        <w:rPr>
          <w:rFonts w:ascii="Arial" w:hAnsi="Arial" w:cs="Arial"/>
        </w:rPr>
      </w:pPr>
    </w:p>
    <w:p w14:paraId="631E29A5" w14:textId="77777777" w:rsidR="008D0565" w:rsidRPr="00D61F73" w:rsidRDefault="00751163" w:rsidP="00D61F73">
      <w:pPr>
        <w:rPr>
          <w:rFonts w:ascii="Arial" w:hAnsi="Arial" w:cs="Arial"/>
        </w:rPr>
      </w:pPr>
      <w:hyperlink w:anchor="Helin" w:history="1">
        <w:r w:rsidR="008D0565" w:rsidRPr="00D61F73">
          <w:rPr>
            <w:rStyle w:val="Hyperlink"/>
            <w:rFonts w:ascii="Arial" w:hAnsi="Arial" w:cs="Arial"/>
          </w:rPr>
          <w:t>Helin-Salmivaara A, Huttunen T, Gronroos JM, Klaukka T, Huupponen R</w:t>
        </w:r>
      </w:hyperlink>
      <w:r w:rsidR="008D0565" w:rsidRPr="00D61F73">
        <w:rPr>
          <w:rFonts w:ascii="Arial" w:hAnsi="Arial" w:cs="Arial"/>
        </w:rPr>
        <w:t>. Risk of serious upper gastrointestinal events with concurrent use of NSAIDs and SSRIs: a case-control study in the general population</w:t>
      </w:r>
      <w:r w:rsidR="008D0565" w:rsidRPr="00D61F73">
        <w:rPr>
          <w:rFonts w:ascii="Arial" w:hAnsi="Arial" w:cs="Arial"/>
          <w:i/>
        </w:rPr>
        <w:t>. Eur J Clin Pharmacol</w:t>
      </w:r>
      <w:r w:rsidR="008D0565" w:rsidRPr="00D61F73">
        <w:rPr>
          <w:rFonts w:ascii="Arial" w:hAnsi="Arial" w:cs="Arial"/>
        </w:rPr>
        <w:t>. 2007;63:403-8.</w:t>
      </w:r>
    </w:p>
    <w:p w14:paraId="17309149" w14:textId="77777777" w:rsidR="008D0565" w:rsidRPr="00D61F73" w:rsidRDefault="008D0565" w:rsidP="00D61F73">
      <w:pPr>
        <w:rPr>
          <w:rFonts w:ascii="Arial" w:hAnsi="Arial" w:cs="Arial"/>
        </w:rPr>
      </w:pPr>
    </w:p>
    <w:p w14:paraId="3D42580A" w14:textId="77777777" w:rsidR="008D0565" w:rsidRPr="00D61F73" w:rsidRDefault="00751163" w:rsidP="00D61F73">
      <w:pPr>
        <w:rPr>
          <w:rFonts w:ascii="Arial" w:hAnsi="Arial" w:cs="Arial"/>
        </w:rPr>
      </w:pPr>
      <w:hyperlink w:anchor="Hindsén" w:history="1">
        <w:r w:rsidR="008D0565" w:rsidRPr="00D61F73">
          <w:rPr>
            <w:rStyle w:val="Hyperlink"/>
            <w:rFonts w:ascii="Arial" w:hAnsi="Arial" w:cs="Arial"/>
          </w:rPr>
          <w:t>Hindsén M, Zimerson E, Bruze M</w:t>
        </w:r>
      </w:hyperlink>
      <w:r w:rsidR="008D0565" w:rsidRPr="00D61F73">
        <w:rPr>
          <w:rFonts w:ascii="Arial" w:hAnsi="Arial" w:cs="Arial"/>
        </w:rPr>
        <w:t xml:space="preserve">. Photoallergic contact dermatitis from ketoprofen in southern Sweden. </w:t>
      </w:r>
      <w:r w:rsidR="008D0565" w:rsidRPr="00D61F73">
        <w:rPr>
          <w:rFonts w:ascii="Arial" w:hAnsi="Arial" w:cs="Arial"/>
          <w:i/>
        </w:rPr>
        <w:t>Contact Dermatitis</w:t>
      </w:r>
      <w:r w:rsidR="008D0565" w:rsidRPr="00D61F73">
        <w:rPr>
          <w:rFonts w:ascii="Arial" w:hAnsi="Arial" w:cs="Arial"/>
        </w:rPr>
        <w:t>. 2006;54:150-7.</w:t>
      </w:r>
    </w:p>
    <w:p w14:paraId="35384C27" w14:textId="77777777" w:rsidR="008D0565" w:rsidRPr="00D61F73" w:rsidRDefault="008D0565" w:rsidP="00D61F73">
      <w:pPr>
        <w:pStyle w:val="Footer"/>
        <w:tabs>
          <w:tab w:val="clear" w:pos="4320"/>
          <w:tab w:val="clear" w:pos="8640"/>
        </w:tabs>
        <w:rPr>
          <w:rFonts w:ascii="Arial" w:hAnsi="Arial" w:cs="Arial"/>
        </w:rPr>
      </w:pPr>
    </w:p>
    <w:p w14:paraId="4BCE49D0" w14:textId="77777777" w:rsidR="008D0565" w:rsidRPr="00D61F73" w:rsidRDefault="00751163" w:rsidP="00D61F73">
      <w:pPr>
        <w:rPr>
          <w:rFonts w:ascii="Arial" w:hAnsi="Arial" w:cs="Arial"/>
        </w:rPr>
      </w:pPr>
      <w:hyperlink w:anchor="Hoffman" w:history="1">
        <w:r w:rsidR="008D0565" w:rsidRPr="00D61F73">
          <w:rPr>
            <w:rStyle w:val="Hyperlink"/>
            <w:rFonts w:ascii="Arial" w:hAnsi="Arial" w:cs="Arial"/>
          </w:rPr>
          <w:t>Hoffman EJ, Mathew SJ</w:t>
        </w:r>
      </w:hyperlink>
      <w:r w:rsidR="008D0565" w:rsidRPr="00D61F73">
        <w:rPr>
          <w:rFonts w:ascii="Arial" w:hAnsi="Arial" w:cs="Arial"/>
        </w:rPr>
        <w:t xml:space="preserve">. Anxiety disorders: a comprehensive review of pharmacotherapies. </w:t>
      </w:r>
      <w:r w:rsidR="008D0565" w:rsidRPr="00D61F73">
        <w:rPr>
          <w:rFonts w:ascii="Arial" w:hAnsi="Arial" w:cs="Arial"/>
          <w:i/>
        </w:rPr>
        <w:t>Mt Sinai J Med</w:t>
      </w:r>
      <w:r w:rsidR="008D0565" w:rsidRPr="00D61F73">
        <w:rPr>
          <w:rFonts w:ascii="Arial" w:hAnsi="Arial" w:cs="Arial"/>
        </w:rPr>
        <w:t>. 2008;75:248-62.</w:t>
      </w:r>
    </w:p>
    <w:p w14:paraId="43F27BA4" w14:textId="77777777" w:rsidR="008D0565" w:rsidRPr="00D61F73" w:rsidRDefault="008D0565" w:rsidP="00D61F73">
      <w:pPr>
        <w:rPr>
          <w:rFonts w:ascii="Arial" w:hAnsi="Arial" w:cs="Arial"/>
        </w:rPr>
      </w:pPr>
    </w:p>
    <w:p w14:paraId="487E1C91" w14:textId="77777777" w:rsidR="008D0565" w:rsidRPr="00D61F73" w:rsidRDefault="00751163" w:rsidP="00D61F73">
      <w:pPr>
        <w:rPr>
          <w:rFonts w:ascii="Arial" w:hAnsi="Arial" w:cs="Arial"/>
        </w:rPr>
      </w:pPr>
      <w:hyperlink w:anchor="Holbrook" w:history="1">
        <w:r w:rsidR="008D0565" w:rsidRPr="00D61F73">
          <w:rPr>
            <w:rStyle w:val="Hyperlink"/>
            <w:rFonts w:ascii="Arial" w:hAnsi="Arial" w:cs="Arial"/>
          </w:rPr>
          <w:t>Holbrook AM, Crowther R, Lotter A, Cheng C, King D.</w:t>
        </w:r>
      </w:hyperlink>
      <w:r w:rsidR="008D0565" w:rsidRPr="00D61F73">
        <w:rPr>
          <w:rFonts w:ascii="Arial" w:hAnsi="Arial" w:cs="Arial"/>
        </w:rPr>
        <w:t xml:space="preserve"> Meta-analysis of benzodiazepine use in the treatment of insomnia. </w:t>
      </w:r>
      <w:r w:rsidR="008D0565" w:rsidRPr="00D61F73">
        <w:rPr>
          <w:rFonts w:ascii="Arial" w:hAnsi="Arial" w:cs="Arial"/>
          <w:i/>
        </w:rPr>
        <w:t>CMAJ</w:t>
      </w:r>
      <w:r w:rsidR="008D0565" w:rsidRPr="00D61F73">
        <w:rPr>
          <w:rFonts w:ascii="Arial" w:hAnsi="Arial" w:cs="Arial"/>
        </w:rPr>
        <w:t>. 2000;162:225-33.</w:t>
      </w:r>
    </w:p>
    <w:p w14:paraId="291AC649" w14:textId="77777777" w:rsidR="008D0565" w:rsidRPr="00D61F73" w:rsidRDefault="008D0565" w:rsidP="00D61F73">
      <w:pPr>
        <w:rPr>
          <w:rFonts w:ascii="Arial" w:hAnsi="Arial" w:cs="Arial"/>
        </w:rPr>
      </w:pPr>
    </w:p>
    <w:p w14:paraId="0335AFAC" w14:textId="77777777" w:rsidR="008D0565" w:rsidRPr="00D61F73" w:rsidRDefault="00751163" w:rsidP="00D61F73">
      <w:pPr>
        <w:rPr>
          <w:rFonts w:ascii="Arial" w:hAnsi="Arial" w:cs="Arial"/>
        </w:rPr>
      </w:pPr>
      <w:hyperlink w:anchor="Homik" w:history="1">
        <w:r w:rsidR="008D0565" w:rsidRPr="00D61F73">
          <w:rPr>
            <w:rStyle w:val="Hyperlink"/>
            <w:rFonts w:ascii="Arial" w:hAnsi="Arial" w:cs="Arial"/>
          </w:rPr>
          <w:t>Homik JE, Suarez-Almazor M</w:t>
        </w:r>
      </w:hyperlink>
      <w:r w:rsidR="008D0565" w:rsidRPr="00D61F73">
        <w:rPr>
          <w:rFonts w:ascii="Arial" w:hAnsi="Arial" w:cs="Arial"/>
        </w:rPr>
        <w:t xml:space="preserve">. An economic approach to health care. </w:t>
      </w:r>
      <w:r w:rsidR="008D0565" w:rsidRPr="00D61F73">
        <w:rPr>
          <w:rFonts w:ascii="Arial" w:hAnsi="Arial" w:cs="Arial"/>
          <w:i/>
          <w:iCs/>
        </w:rPr>
        <w:t>Best Pract Res Clin Rheumatol.</w:t>
      </w:r>
      <w:r w:rsidR="008D0565" w:rsidRPr="00D61F73">
        <w:rPr>
          <w:rFonts w:ascii="Arial" w:hAnsi="Arial" w:cs="Arial"/>
        </w:rPr>
        <w:t xml:space="preserve"> 2004 Apr;18(2):203-18.</w:t>
      </w:r>
      <w:r w:rsidR="008D0565" w:rsidRPr="00D61F73">
        <w:rPr>
          <w:rFonts w:ascii="Arial" w:hAnsi="Arial" w:cs="Arial"/>
        </w:rPr>
        <w:br/>
      </w:r>
    </w:p>
    <w:p w14:paraId="3DA10219" w14:textId="77777777" w:rsidR="008D0565" w:rsidRPr="00D61F73" w:rsidRDefault="00751163" w:rsidP="00D61F73">
      <w:pPr>
        <w:pStyle w:val="NormalWeb"/>
        <w:spacing w:before="0" w:beforeAutospacing="0" w:after="0" w:afterAutospacing="0"/>
        <w:rPr>
          <w:rFonts w:ascii="Arial" w:hAnsi="Arial" w:cs="Arial"/>
        </w:rPr>
      </w:pPr>
      <w:hyperlink w:anchor="Honig2012" w:history="1">
        <w:r w:rsidR="008D0565" w:rsidRPr="00D61F73">
          <w:rPr>
            <w:rStyle w:val="Hyperlink"/>
            <w:rFonts w:ascii="Arial" w:hAnsi="Arial" w:cs="Arial"/>
          </w:rPr>
          <w:t>Honig LS, Kang MS, Schupf N, Lee JH, Mayeux R</w:t>
        </w:r>
      </w:hyperlink>
      <w:r w:rsidR="008D0565" w:rsidRPr="00D61F73">
        <w:rPr>
          <w:rFonts w:ascii="Arial" w:hAnsi="Arial" w:cs="Arial"/>
        </w:rPr>
        <w:t xml:space="preserve">. Association of Shorter Leukocyte Telomere Repeat Length With Dementia and Mortality. </w:t>
      </w:r>
      <w:r w:rsidR="008D0565" w:rsidRPr="00D61F73">
        <w:rPr>
          <w:rFonts w:ascii="Arial" w:hAnsi="Arial" w:cs="Arial"/>
          <w:i/>
          <w:iCs/>
        </w:rPr>
        <w:t>Arch Neurol.</w:t>
      </w:r>
      <w:r w:rsidR="008D0565" w:rsidRPr="00D61F73">
        <w:rPr>
          <w:rFonts w:ascii="Arial" w:hAnsi="Arial" w:cs="Arial"/>
        </w:rPr>
        <w:t xml:space="preserve"> 2012 Jul 23:1-8. doi: 10.1001/archneurol.2012.1541. </w:t>
      </w:r>
    </w:p>
    <w:p w14:paraId="64DA3DCB" w14:textId="77777777" w:rsidR="008D0565" w:rsidRPr="00D61F73" w:rsidRDefault="008D0565" w:rsidP="00D61F73">
      <w:pPr>
        <w:rPr>
          <w:rFonts w:ascii="Arial" w:hAnsi="Arial" w:cs="Arial"/>
        </w:rPr>
      </w:pPr>
    </w:p>
    <w:p w14:paraId="238174E2" w14:textId="77777777" w:rsidR="008D0565" w:rsidRPr="00D61F73" w:rsidRDefault="00751163" w:rsidP="00D61F73">
      <w:pPr>
        <w:rPr>
          <w:rFonts w:ascii="Arial" w:hAnsi="Arial" w:cs="Arial"/>
        </w:rPr>
      </w:pPr>
      <w:hyperlink w:anchor="Hunt" w:history="1">
        <w:r w:rsidR="008D0565" w:rsidRPr="00D61F73">
          <w:rPr>
            <w:rStyle w:val="Hyperlink"/>
            <w:rFonts w:ascii="Arial" w:hAnsi="Arial" w:cs="Arial"/>
          </w:rPr>
          <w:t>Hunt RH, Choquette D, Craig BN, De Angelis C, Habal F, Fulthorpe G, Stewart JI, Turpie AG, Davis P</w:t>
        </w:r>
      </w:hyperlink>
      <w:r w:rsidR="008D0565" w:rsidRPr="00D61F73">
        <w:rPr>
          <w:rFonts w:ascii="Arial" w:hAnsi="Arial" w:cs="Arial"/>
        </w:rPr>
        <w:t xml:space="preserve">. Approach to managing musculoskeletal pain: acetaminophen, cyclooxygenase-2 inhibitors, or traditional NSAIDs? </w:t>
      </w:r>
      <w:r w:rsidR="008D0565" w:rsidRPr="00D61F73">
        <w:rPr>
          <w:rFonts w:ascii="Arial" w:hAnsi="Arial" w:cs="Arial"/>
          <w:i/>
        </w:rPr>
        <w:t>Can Fam Physician</w:t>
      </w:r>
      <w:r w:rsidR="008D0565" w:rsidRPr="00D61F73">
        <w:rPr>
          <w:rFonts w:ascii="Arial" w:hAnsi="Arial" w:cs="Arial"/>
        </w:rPr>
        <w:t>. 2007;53:1177-84.</w:t>
      </w:r>
    </w:p>
    <w:p w14:paraId="386DB74D" w14:textId="77777777" w:rsidR="008D0565" w:rsidRPr="00D61F73" w:rsidRDefault="008D0565" w:rsidP="00D61F73">
      <w:pPr>
        <w:rPr>
          <w:rFonts w:ascii="Arial" w:hAnsi="Arial" w:cs="Arial"/>
        </w:rPr>
      </w:pPr>
    </w:p>
    <w:p w14:paraId="641DDD76" w14:textId="77777777" w:rsidR="008D0565" w:rsidRPr="00D61F73" w:rsidRDefault="00751163" w:rsidP="00D61F73">
      <w:pPr>
        <w:rPr>
          <w:rFonts w:ascii="Arial" w:hAnsi="Arial" w:cs="Arial"/>
          <w:bCs/>
        </w:rPr>
      </w:pPr>
      <w:hyperlink w:anchor="ICSI2007" w:history="1">
        <w:r w:rsidR="008D0565" w:rsidRPr="00D61F73">
          <w:rPr>
            <w:rStyle w:val="Hyperlink"/>
            <w:rFonts w:ascii="Arial" w:hAnsi="Arial" w:cs="Arial"/>
            <w:bCs/>
          </w:rPr>
          <w:t>Institute for Clinical Systems Improvement (ICSI).</w:t>
        </w:r>
      </w:hyperlink>
      <w:r w:rsidR="008D0565" w:rsidRPr="00D61F73">
        <w:rPr>
          <w:rFonts w:ascii="Arial" w:hAnsi="Arial" w:cs="Arial"/>
          <w:bCs/>
        </w:rPr>
        <w:t xml:space="preserve"> Assessment and management of chronic pain (2</w:t>
      </w:r>
      <w:r w:rsidR="008D0565" w:rsidRPr="00D61F73">
        <w:rPr>
          <w:rFonts w:ascii="Arial" w:hAnsi="Arial" w:cs="Arial"/>
          <w:bCs/>
          <w:vertAlign w:val="superscript"/>
        </w:rPr>
        <w:t>nd</w:t>
      </w:r>
      <w:r w:rsidR="008D0565" w:rsidRPr="00D61F73">
        <w:rPr>
          <w:rFonts w:ascii="Arial" w:hAnsi="Arial" w:cs="Arial"/>
          <w:bCs/>
        </w:rPr>
        <w:t xml:space="preserve"> edition). Bloomington (MN). 2007 Mar.</w:t>
      </w:r>
    </w:p>
    <w:p w14:paraId="68C5E58F" w14:textId="77777777" w:rsidR="008D0565" w:rsidRPr="00D61F73" w:rsidRDefault="008D0565" w:rsidP="00D61F73">
      <w:pPr>
        <w:rPr>
          <w:rFonts w:ascii="Arial" w:hAnsi="Arial" w:cs="Arial"/>
        </w:rPr>
      </w:pPr>
    </w:p>
    <w:p w14:paraId="0B049C28" w14:textId="77777777" w:rsidR="008D0565" w:rsidRPr="00D61F73" w:rsidRDefault="00751163" w:rsidP="00D61F73">
      <w:pPr>
        <w:rPr>
          <w:rFonts w:ascii="Arial" w:hAnsi="Arial" w:cs="Arial"/>
        </w:rPr>
      </w:pPr>
      <w:hyperlink w:anchor="ICSI2009" w:history="1">
        <w:r w:rsidR="008D0565" w:rsidRPr="00D61F73">
          <w:rPr>
            <w:rStyle w:val="Hyperlink"/>
            <w:rFonts w:ascii="Arial" w:hAnsi="Arial" w:cs="Arial"/>
          </w:rPr>
          <w:t>Institute for Clinical Systems Improvement (ICSI).</w:t>
        </w:r>
      </w:hyperlink>
      <w:r w:rsidR="008D0565" w:rsidRPr="00D61F73">
        <w:rPr>
          <w:rFonts w:ascii="Arial" w:hAnsi="Arial" w:cs="Arial"/>
        </w:rPr>
        <w:t xml:space="preserve"> Assessment and management of chronic pain (2nd edition). Bloomington (MN). 2009.</w:t>
      </w:r>
    </w:p>
    <w:p w14:paraId="4AE77203" w14:textId="77777777" w:rsidR="008D0565" w:rsidRPr="00D61F73" w:rsidRDefault="008D0565" w:rsidP="00D61F73">
      <w:pPr>
        <w:rPr>
          <w:rFonts w:ascii="Arial" w:hAnsi="Arial" w:cs="Arial"/>
        </w:rPr>
      </w:pPr>
    </w:p>
    <w:p w14:paraId="2C0DC1DF" w14:textId="77777777" w:rsidR="008D0565" w:rsidRPr="00D61F73" w:rsidRDefault="00751163" w:rsidP="00D61F73">
      <w:pPr>
        <w:rPr>
          <w:rFonts w:ascii="Arial" w:hAnsi="Arial" w:cs="Arial"/>
        </w:rPr>
      </w:pPr>
      <w:hyperlink w:anchor="Ipser" w:history="1">
        <w:r w:rsidR="008D0565" w:rsidRPr="00D61F73">
          <w:rPr>
            <w:rStyle w:val="Hyperlink"/>
            <w:rFonts w:ascii="Arial" w:hAnsi="Arial" w:cs="Arial"/>
          </w:rPr>
          <w:t>Ipser JC, Kariuki CM, Stein DJ</w:t>
        </w:r>
      </w:hyperlink>
      <w:r w:rsidR="008D0565" w:rsidRPr="00D61F73">
        <w:rPr>
          <w:rFonts w:ascii="Arial" w:hAnsi="Arial" w:cs="Arial"/>
        </w:rPr>
        <w:t xml:space="preserve">. Pharmacotherapy for social anxiety disorder: a systematic review. </w:t>
      </w:r>
      <w:r w:rsidR="008D0565" w:rsidRPr="00D61F73">
        <w:rPr>
          <w:rFonts w:ascii="Arial" w:hAnsi="Arial" w:cs="Arial"/>
          <w:i/>
        </w:rPr>
        <w:t>Expert Rev Neurother</w:t>
      </w:r>
      <w:r w:rsidR="008D0565" w:rsidRPr="00D61F73">
        <w:rPr>
          <w:rFonts w:ascii="Arial" w:hAnsi="Arial" w:cs="Arial"/>
        </w:rPr>
        <w:t>. 2008;8:235-57.</w:t>
      </w:r>
    </w:p>
    <w:p w14:paraId="26D34741" w14:textId="77777777" w:rsidR="008D0565" w:rsidRPr="00D61F73" w:rsidRDefault="008D0565" w:rsidP="00D61F73">
      <w:pPr>
        <w:rPr>
          <w:rFonts w:ascii="Arial" w:hAnsi="Arial" w:cs="Arial"/>
        </w:rPr>
      </w:pPr>
    </w:p>
    <w:p w14:paraId="126147C8" w14:textId="77777777" w:rsidR="008D0565" w:rsidRPr="00D61F73" w:rsidRDefault="00751163" w:rsidP="00D61F73">
      <w:pPr>
        <w:rPr>
          <w:rFonts w:ascii="Arial" w:hAnsi="Arial" w:cs="Arial"/>
        </w:rPr>
      </w:pPr>
      <w:hyperlink w:anchor="Isidori" w:history="1">
        <w:r w:rsidR="008D0565" w:rsidRPr="00D61F73">
          <w:rPr>
            <w:rStyle w:val="Hyperlink"/>
            <w:rFonts w:ascii="Arial" w:hAnsi="Arial" w:cs="Arial"/>
          </w:rPr>
          <w:t>Isidori AM, Giannetta E, Gianfrilli D, Greco EA, Bonifacio V, Aversa A, Isidori A, Fabbri A, Lenzi A.</w:t>
        </w:r>
      </w:hyperlink>
      <w:r w:rsidR="008D0565" w:rsidRPr="00D61F73">
        <w:rPr>
          <w:rFonts w:ascii="Arial" w:hAnsi="Arial" w:cs="Arial"/>
        </w:rPr>
        <w:t xml:space="preserve"> Clin Endocrinol (Oxf). 2005 Dec;63(6):601-2. Effects of testosterone on sexual function in men: results of a meta-analysis. </w:t>
      </w:r>
      <w:r w:rsidR="008D0565" w:rsidRPr="00D61F73">
        <w:rPr>
          <w:rFonts w:ascii="Arial" w:hAnsi="Arial" w:cs="Arial"/>
          <w:i/>
        </w:rPr>
        <w:t>Clin Endocrinol</w:t>
      </w:r>
      <w:r w:rsidR="008D0565" w:rsidRPr="00D61F73">
        <w:rPr>
          <w:rFonts w:ascii="Arial" w:hAnsi="Arial" w:cs="Arial"/>
        </w:rPr>
        <w:t xml:space="preserve"> (Oxf). 2005;63:381-94.</w:t>
      </w:r>
    </w:p>
    <w:p w14:paraId="390B7BDA" w14:textId="77777777" w:rsidR="008D0565" w:rsidRPr="00D61F73" w:rsidRDefault="008D0565" w:rsidP="00D61F73">
      <w:pPr>
        <w:rPr>
          <w:rFonts w:ascii="Arial" w:hAnsi="Arial" w:cs="Arial"/>
        </w:rPr>
      </w:pPr>
    </w:p>
    <w:p w14:paraId="089B3CE1" w14:textId="77777777" w:rsidR="00F8476F" w:rsidRPr="00D61F73" w:rsidRDefault="00751163" w:rsidP="00D61F73">
      <w:pPr>
        <w:rPr>
          <w:rFonts w:ascii="Arial" w:hAnsi="Arial" w:cs="Arial"/>
        </w:rPr>
      </w:pPr>
      <w:hyperlink w:anchor="IsidoriB" w:history="1">
        <w:r w:rsidR="008D0565" w:rsidRPr="00D61F73">
          <w:rPr>
            <w:rStyle w:val="Hyperlink"/>
            <w:rFonts w:ascii="Arial" w:hAnsi="Arial" w:cs="Arial"/>
          </w:rPr>
          <w:t>Isidori AM, Giannetta E, Greco EA, Gianfrilli D, Bonifacio V, Isidori A, Lenzi A, Fabbri A.</w:t>
        </w:r>
      </w:hyperlink>
      <w:r w:rsidR="008D0565" w:rsidRPr="00D61F73">
        <w:rPr>
          <w:rFonts w:ascii="Arial" w:hAnsi="Arial" w:cs="Arial"/>
        </w:rPr>
        <w:t xml:space="preserve"> Effects of testosterone on body composition, bone metabolism and serum lipid profile in middle-aged men: a meta-analysis. </w:t>
      </w:r>
      <w:r w:rsidR="008D0565" w:rsidRPr="00D61F73">
        <w:rPr>
          <w:rFonts w:ascii="Arial" w:hAnsi="Arial" w:cs="Arial"/>
          <w:i/>
        </w:rPr>
        <w:t>Clin Endocrinol</w:t>
      </w:r>
      <w:r w:rsidR="008D0565" w:rsidRPr="00D61F73">
        <w:rPr>
          <w:rFonts w:ascii="Arial" w:hAnsi="Arial" w:cs="Arial"/>
        </w:rPr>
        <w:t xml:space="preserve"> (Oxf). 2005;63:280-93.</w:t>
      </w:r>
    </w:p>
    <w:p w14:paraId="467B3FAE" w14:textId="77777777" w:rsidR="00F8476F" w:rsidRPr="00D61F73" w:rsidRDefault="00F8476F" w:rsidP="00D61F73">
      <w:pPr>
        <w:rPr>
          <w:rFonts w:ascii="Arial" w:hAnsi="Arial" w:cs="Arial"/>
        </w:rPr>
      </w:pPr>
    </w:p>
    <w:p w14:paraId="0146DC0B" w14:textId="77777777" w:rsidR="00F8476F" w:rsidRPr="00D61F73" w:rsidRDefault="00751163" w:rsidP="00D61F73">
      <w:pPr>
        <w:rPr>
          <w:rFonts w:ascii="Arial" w:hAnsi="Arial" w:cs="Arial"/>
          <w:lang w:val="es-MX"/>
        </w:rPr>
      </w:pPr>
      <w:hyperlink w:anchor="JACKSON2012b" w:history="1">
        <w:r w:rsidR="00F8476F" w:rsidRPr="00D61F73">
          <w:rPr>
            <w:rStyle w:val="Hyperlink"/>
            <w:rFonts w:ascii="Arial" w:hAnsi="Arial" w:cs="Arial"/>
          </w:rPr>
          <w:t>Jackson JL, Kuriyama A, Hayashino Y.</w:t>
        </w:r>
      </w:hyperlink>
      <w:r w:rsidR="00F8476F" w:rsidRPr="00D61F73">
        <w:rPr>
          <w:rFonts w:ascii="Arial" w:hAnsi="Arial" w:cs="Arial"/>
        </w:rPr>
        <w:t xml:space="preserve"> Botulinum toxin A for prophylactic treatment of migraine and tension headaches in adults: a meta-analysis. </w:t>
      </w:r>
      <w:r w:rsidR="00F8476F" w:rsidRPr="00D61F73">
        <w:rPr>
          <w:rFonts w:ascii="Arial" w:hAnsi="Arial" w:cs="Arial"/>
          <w:lang w:val="es-MX"/>
        </w:rPr>
        <w:t>JAMA. 2012 Apr 25;307(16):1736-45. doi: 10.1001/jama.2012.505.</w:t>
      </w:r>
    </w:p>
    <w:p w14:paraId="16743FB5" w14:textId="77777777" w:rsidR="008D0565" w:rsidRPr="00D61F73" w:rsidRDefault="008D0565" w:rsidP="00D61F73">
      <w:pPr>
        <w:rPr>
          <w:rFonts w:ascii="Arial" w:hAnsi="Arial" w:cs="Arial"/>
          <w:lang w:val="es-MX"/>
        </w:rPr>
      </w:pPr>
    </w:p>
    <w:p w14:paraId="04BCAE98" w14:textId="77777777" w:rsidR="008D0565" w:rsidRPr="00D61F73" w:rsidRDefault="00751163" w:rsidP="00D61F73">
      <w:pPr>
        <w:rPr>
          <w:rFonts w:ascii="Arial" w:hAnsi="Arial" w:cs="Arial"/>
        </w:rPr>
      </w:pPr>
      <w:hyperlink w:anchor="Jensen2006" w:history="1">
        <w:r w:rsidR="008D0565" w:rsidRPr="00D61F73">
          <w:rPr>
            <w:rStyle w:val="Hyperlink"/>
            <w:rFonts w:ascii="Arial" w:hAnsi="Arial" w:cs="Arial"/>
            <w:lang w:val="es-MX"/>
          </w:rPr>
          <w:t>Jensen TS, Backonja MM, Hernández Jiménez S, Tesfaye S, Valensi P, Ziegler D</w:t>
        </w:r>
      </w:hyperlink>
      <w:r w:rsidR="008D0565" w:rsidRPr="00D61F73">
        <w:rPr>
          <w:rFonts w:ascii="Arial" w:hAnsi="Arial" w:cs="Arial"/>
          <w:lang w:val="es-MX"/>
        </w:rPr>
        <w:t xml:space="preserve">. </w:t>
      </w:r>
      <w:r w:rsidR="008D0565" w:rsidRPr="00D61F73">
        <w:rPr>
          <w:rFonts w:ascii="Arial" w:hAnsi="Arial" w:cs="Arial"/>
        </w:rPr>
        <w:t xml:space="preserve">New perspectives on the management of diabetic peripheral neuropathic pain. </w:t>
      </w:r>
      <w:r w:rsidR="008D0565" w:rsidRPr="00D61F73">
        <w:rPr>
          <w:rFonts w:ascii="Arial" w:hAnsi="Arial" w:cs="Arial"/>
          <w:i/>
        </w:rPr>
        <w:t>Diab Vasc Dis Res</w:t>
      </w:r>
      <w:r w:rsidR="008D0565" w:rsidRPr="00D61F73">
        <w:rPr>
          <w:rFonts w:ascii="Arial" w:hAnsi="Arial" w:cs="Arial"/>
        </w:rPr>
        <w:t>. 2006;3:108-19.</w:t>
      </w:r>
    </w:p>
    <w:p w14:paraId="55829FCC" w14:textId="77777777" w:rsidR="008D0565" w:rsidRPr="00D61F73" w:rsidRDefault="008D0565" w:rsidP="00D61F73">
      <w:pPr>
        <w:rPr>
          <w:rFonts w:ascii="Arial" w:hAnsi="Arial" w:cs="Arial"/>
        </w:rPr>
      </w:pPr>
    </w:p>
    <w:p w14:paraId="0F393B81" w14:textId="77777777" w:rsidR="008D0565" w:rsidRPr="00D61F73" w:rsidRDefault="00751163" w:rsidP="00D61F73">
      <w:pPr>
        <w:rPr>
          <w:rFonts w:ascii="Arial" w:hAnsi="Arial" w:cs="Arial"/>
        </w:rPr>
      </w:pPr>
      <w:hyperlink w:anchor="Jick" w:history="1">
        <w:r w:rsidR="008D0565" w:rsidRPr="00D61F73">
          <w:rPr>
            <w:rStyle w:val="Hyperlink"/>
            <w:rFonts w:ascii="Arial" w:hAnsi="Arial" w:cs="Arial"/>
          </w:rPr>
          <w:t>Jick H, Kaye JA, Jick SS</w:t>
        </w:r>
      </w:hyperlink>
      <w:r w:rsidR="008D0565" w:rsidRPr="00D61F73">
        <w:rPr>
          <w:rFonts w:ascii="Arial" w:hAnsi="Arial" w:cs="Arial"/>
        </w:rPr>
        <w:t xml:space="preserve">. Antidepressants and the risk of suicidal behaviors. </w:t>
      </w:r>
      <w:r w:rsidR="008D0565" w:rsidRPr="00D61F73">
        <w:rPr>
          <w:rFonts w:ascii="Arial" w:hAnsi="Arial" w:cs="Arial"/>
          <w:i/>
          <w:iCs/>
        </w:rPr>
        <w:t>JAMA</w:t>
      </w:r>
      <w:r w:rsidR="008D0565" w:rsidRPr="00D61F73">
        <w:rPr>
          <w:rFonts w:ascii="Arial" w:hAnsi="Arial" w:cs="Arial"/>
        </w:rPr>
        <w:t>. 2004 Jul 21;292(3):338-43.</w:t>
      </w:r>
      <w:r w:rsidR="008D0565" w:rsidRPr="00D61F73">
        <w:rPr>
          <w:rFonts w:ascii="Arial" w:hAnsi="Arial" w:cs="Arial"/>
        </w:rPr>
        <w:br/>
      </w:r>
    </w:p>
    <w:p w14:paraId="21AC6C54" w14:textId="77777777" w:rsidR="008D0565" w:rsidRPr="00D61F73" w:rsidRDefault="00751163" w:rsidP="00D61F73">
      <w:pPr>
        <w:rPr>
          <w:rFonts w:ascii="Arial" w:hAnsi="Arial" w:cs="Arial"/>
        </w:rPr>
      </w:pPr>
      <w:hyperlink w:anchor="Johnsen" w:history="1">
        <w:r w:rsidR="008D0565" w:rsidRPr="00D61F73">
          <w:rPr>
            <w:rStyle w:val="Hyperlink"/>
            <w:rFonts w:ascii="Arial" w:hAnsi="Arial" w:cs="Arial"/>
          </w:rPr>
          <w:t>Johnsen SP, Larsson H, Tarone RE, McLaughlin JK, Norgard B, Friis S, Sorensen HT.</w:t>
        </w:r>
      </w:hyperlink>
      <w:r w:rsidR="008D0565" w:rsidRPr="00D61F73">
        <w:rPr>
          <w:rFonts w:ascii="Arial" w:hAnsi="Arial" w:cs="Arial"/>
        </w:rPr>
        <w:t xml:space="preserve"> Risk of hospitalization for myocardial infarction among users of rofecoxib, celecoxib, and other NSAIDs: a population-based case-control study. </w:t>
      </w:r>
      <w:r w:rsidR="008D0565" w:rsidRPr="00D61F73">
        <w:rPr>
          <w:rFonts w:ascii="Arial" w:hAnsi="Arial" w:cs="Arial"/>
          <w:i/>
          <w:iCs/>
        </w:rPr>
        <w:t>Arch Intern Med.</w:t>
      </w:r>
      <w:r w:rsidR="008D0565" w:rsidRPr="00D61F73">
        <w:rPr>
          <w:rFonts w:ascii="Arial" w:hAnsi="Arial" w:cs="Arial"/>
        </w:rPr>
        <w:t xml:space="preserve"> 2005 May 9;165(9):978-84.</w:t>
      </w:r>
    </w:p>
    <w:p w14:paraId="6EC48949" w14:textId="77777777" w:rsidR="008D0565" w:rsidRPr="00D61F73" w:rsidRDefault="008D0565" w:rsidP="00D61F73">
      <w:pPr>
        <w:rPr>
          <w:rFonts w:ascii="Arial" w:hAnsi="Arial" w:cs="Arial"/>
        </w:rPr>
      </w:pPr>
    </w:p>
    <w:p w14:paraId="04D3AD42" w14:textId="77777777" w:rsidR="008D0565" w:rsidRPr="00D61F73" w:rsidRDefault="00751163" w:rsidP="00D61F73">
      <w:pPr>
        <w:rPr>
          <w:rFonts w:ascii="Arial" w:hAnsi="Arial" w:cs="Arial"/>
        </w:rPr>
      </w:pPr>
      <w:hyperlink w:anchor="Kahan" w:history="1">
        <w:r w:rsidR="008D0565" w:rsidRPr="00D61F73">
          <w:rPr>
            <w:rStyle w:val="Hyperlink"/>
            <w:rFonts w:ascii="Arial" w:hAnsi="Arial" w:cs="Arial"/>
          </w:rPr>
          <w:t>Kahan M, Srivastava A, Wilson L, Gourlay D, Midmer D</w:t>
        </w:r>
      </w:hyperlink>
      <w:r w:rsidR="008D0565" w:rsidRPr="00D61F73">
        <w:rPr>
          <w:rFonts w:ascii="Arial" w:hAnsi="Arial" w:cs="Arial"/>
        </w:rPr>
        <w:t xml:space="preserve">. Misuse of and dependence on opioids: study of chronic pain patients. </w:t>
      </w:r>
      <w:r w:rsidR="008D0565" w:rsidRPr="00D61F73">
        <w:rPr>
          <w:rFonts w:ascii="Arial" w:hAnsi="Arial" w:cs="Arial"/>
          <w:i/>
        </w:rPr>
        <w:t>Can Fam Physician</w:t>
      </w:r>
      <w:r w:rsidR="008D0565" w:rsidRPr="00D61F73">
        <w:rPr>
          <w:rFonts w:ascii="Arial" w:hAnsi="Arial" w:cs="Arial"/>
        </w:rPr>
        <w:t>. 2006;52:1081-7.</w:t>
      </w:r>
    </w:p>
    <w:p w14:paraId="47AA7AA4" w14:textId="77777777" w:rsidR="008D0565" w:rsidRPr="00D61F73" w:rsidRDefault="008D0565" w:rsidP="00D61F73">
      <w:pPr>
        <w:rPr>
          <w:rFonts w:ascii="Arial" w:hAnsi="Arial" w:cs="Arial"/>
        </w:rPr>
      </w:pPr>
    </w:p>
    <w:p w14:paraId="722FD239" w14:textId="77777777" w:rsidR="008D0565" w:rsidRPr="00D61F73" w:rsidRDefault="00751163" w:rsidP="00D61F73">
      <w:pPr>
        <w:rPr>
          <w:rFonts w:ascii="Arial" w:hAnsi="Arial" w:cs="Arial"/>
        </w:rPr>
      </w:pPr>
      <w:hyperlink w:anchor="Kapczinski" w:history="1">
        <w:r w:rsidR="008D0565" w:rsidRPr="00D61F73">
          <w:rPr>
            <w:rStyle w:val="Hyperlink"/>
            <w:rFonts w:ascii="Arial" w:hAnsi="Arial" w:cs="Arial"/>
          </w:rPr>
          <w:t>Kapczinski F, Lima MS, Souza JS, Schmitt R</w:t>
        </w:r>
      </w:hyperlink>
      <w:r w:rsidR="008D0565" w:rsidRPr="00D61F73">
        <w:rPr>
          <w:rFonts w:ascii="Arial" w:hAnsi="Arial" w:cs="Arial"/>
        </w:rPr>
        <w:t xml:space="preserve">. Antidepressants for generalized anxiety disorder. </w:t>
      </w:r>
      <w:r w:rsidR="008D0565" w:rsidRPr="00D61F73">
        <w:rPr>
          <w:rFonts w:ascii="Arial" w:hAnsi="Arial" w:cs="Arial"/>
          <w:i/>
        </w:rPr>
        <w:t>Cochrane Database Syst Rev</w:t>
      </w:r>
      <w:r w:rsidR="008D0565" w:rsidRPr="00D61F73">
        <w:rPr>
          <w:rFonts w:ascii="Arial" w:hAnsi="Arial" w:cs="Arial"/>
        </w:rPr>
        <w:t>. 2003;(2):CD003592.</w:t>
      </w:r>
    </w:p>
    <w:p w14:paraId="2FA0BD15" w14:textId="77777777" w:rsidR="008D0565" w:rsidRPr="00D61F73" w:rsidRDefault="008D0565" w:rsidP="00D61F73">
      <w:pPr>
        <w:rPr>
          <w:rFonts w:ascii="Arial" w:hAnsi="Arial" w:cs="Arial"/>
        </w:rPr>
      </w:pPr>
    </w:p>
    <w:p w14:paraId="4482A984" w14:textId="77777777" w:rsidR="008D0565" w:rsidRPr="00D61F73" w:rsidRDefault="00751163" w:rsidP="00D61F73">
      <w:pPr>
        <w:rPr>
          <w:rFonts w:ascii="Arial" w:hAnsi="Arial" w:cs="Arial"/>
        </w:rPr>
      </w:pPr>
      <w:hyperlink w:anchor="Katz" w:history="1">
        <w:r w:rsidR="008D0565" w:rsidRPr="00D61F73">
          <w:rPr>
            <w:rStyle w:val="Hyperlink"/>
            <w:rFonts w:ascii="Arial" w:hAnsi="Arial" w:cs="Arial"/>
          </w:rPr>
          <w:t>Katz J, Pennella-Vaughan J, Hetzel RD, Kanazi GE, Dworkin RH.</w:t>
        </w:r>
      </w:hyperlink>
      <w:r w:rsidR="008D0565" w:rsidRPr="00D61F73">
        <w:rPr>
          <w:rFonts w:ascii="Arial" w:hAnsi="Arial" w:cs="Arial"/>
        </w:rPr>
        <w:t xml:space="preserve"> A randomized, placebo-controlled trial of bupropion sustained release in chronic low back pain. </w:t>
      </w:r>
      <w:r w:rsidR="008D0565" w:rsidRPr="00D61F73">
        <w:rPr>
          <w:rFonts w:ascii="Arial" w:hAnsi="Arial" w:cs="Arial"/>
          <w:i/>
          <w:iCs/>
        </w:rPr>
        <w:t>J Pain.</w:t>
      </w:r>
      <w:r w:rsidR="008D0565" w:rsidRPr="00D61F73">
        <w:rPr>
          <w:rFonts w:ascii="Arial" w:hAnsi="Arial" w:cs="Arial"/>
        </w:rPr>
        <w:t xml:space="preserve"> 2005 Oct;6(10):656-61.</w:t>
      </w:r>
    </w:p>
    <w:p w14:paraId="63AE1374" w14:textId="77777777" w:rsidR="008D0565" w:rsidRPr="00D61F73" w:rsidRDefault="008D0565" w:rsidP="00D61F73">
      <w:pPr>
        <w:pStyle w:val="Footer"/>
        <w:tabs>
          <w:tab w:val="clear" w:pos="4320"/>
          <w:tab w:val="clear" w:pos="8640"/>
        </w:tabs>
        <w:rPr>
          <w:rFonts w:ascii="Arial" w:hAnsi="Arial" w:cs="Arial"/>
        </w:rPr>
      </w:pPr>
    </w:p>
    <w:p w14:paraId="282D3590" w14:textId="77777777" w:rsidR="008D0565" w:rsidRPr="00D61F73" w:rsidRDefault="00751163" w:rsidP="00D61F73">
      <w:pPr>
        <w:rPr>
          <w:rFonts w:ascii="Arial" w:hAnsi="Arial" w:cs="Arial"/>
        </w:rPr>
      </w:pPr>
      <w:hyperlink w:anchor="Keitel" w:history="1">
        <w:r w:rsidR="008D0565" w:rsidRPr="00D61F73">
          <w:rPr>
            <w:rStyle w:val="Hyperlink"/>
            <w:rFonts w:ascii="Arial" w:hAnsi="Arial" w:cs="Arial"/>
          </w:rPr>
          <w:t>Keitel W, Frerick H, Kuhn U, Schmidt U, Kuhlmann M, Bredehorst A.</w:t>
        </w:r>
      </w:hyperlink>
      <w:r w:rsidR="008D0565" w:rsidRPr="00D61F73">
        <w:rPr>
          <w:rFonts w:ascii="Arial" w:hAnsi="Arial" w:cs="Arial"/>
        </w:rPr>
        <w:t xml:space="preserve"> Capsicum pain plaster in chronic non-specific low back pain. </w:t>
      </w:r>
      <w:r w:rsidR="008D0565" w:rsidRPr="00D61F73">
        <w:rPr>
          <w:rFonts w:ascii="Arial" w:hAnsi="Arial" w:cs="Arial"/>
          <w:i/>
          <w:iCs/>
        </w:rPr>
        <w:t>Arzneimittelforschung</w:t>
      </w:r>
      <w:r w:rsidR="008D0565" w:rsidRPr="00D61F73">
        <w:rPr>
          <w:rFonts w:ascii="Arial" w:hAnsi="Arial" w:cs="Arial"/>
        </w:rPr>
        <w:t>. 2001 Nov;51(11):896-903.</w:t>
      </w:r>
    </w:p>
    <w:p w14:paraId="696CA8C8" w14:textId="77777777" w:rsidR="008D0565" w:rsidRPr="00D61F73" w:rsidRDefault="008D0565" w:rsidP="00D61F73">
      <w:pPr>
        <w:rPr>
          <w:rFonts w:ascii="Arial" w:hAnsi="Arial" w:cs="Arial"/>
        </w:rPr>
      </w:pPr>
    </w:p>
    <w:p w14:paraId="0893E7D6" w14:textId="77777777" w:rsidR="008D0565" w:rsidRPr="00D61F73" w:rsidRDefault="00751163" w:rsidP="00D61F73">
      <w:pPr>
        <w:rPr>
          <w:rFonts w:ascii="Arial" w:hAnsi="Arial" w:cs="Arial"/>
        </w:rPr>
      </w:pPr>
      <w:hyperlink w:anchor="Khaliq" w:history="1">
        <w:r w:rsidR="008D0565" w:rsidRPr="00D61F73">
          <w:rPr>
            <w:rStyle w:val="Hyperlink"/>
            <w:rFonts w:ascii="Arial" w:hAnsi="Arial" w:cs="Arial"/>
          </w:rPr>
          <w:t>Khaliq W, Alam S, Puri N</w:t>
        </w:r>
      </w:hyperlink>
      <w:r w:rsidR="008D0565" w:rsidRPr="00D61F73">
        <w:rPr>
          <w:rFonts w:ascii="Arial" w:hAnsi="Arial" w:cs="Arial"/>
        </w:rPr>
        <w:t xml:space="preserve">. Topical lidocaine for the treatment of postherpetic neuralgia. </w:t>
      </w:r>
      <w:r w:rsidR="008D0565" w:rsidRPr="00D61F73">
        <w:rPr>
          <w:rFonts w:ascii="Arial" w:hAnsi="Arial" w:cs="Arial"/>
          <w:i/>
        </w:rPr>
        <w:t>Cochrane Database Syst Rev</w:t>
      </w:r>
      <w:r w:rsidR="008D0565" w:rsidRPr="00D61F73">
        <w:rPr>
          <w:rFonts w:ascii="Arial" w:hAnsi="Arial" w:cs="Arial"/>
        </w:rPr>
        <w:t>. 2007; 18:CD004846.</w:t>
      </w:r>
    </w:p>
    <w:p w14:paraId="2D31B4CA" w14:textId="77777777" w:rsidR="008D0565" w:rsidRPr="00D61F73" w:rsidRDefault="008D0565" w:rsidP="00D61F73">
      <w:pPr>
        <w:rPr>
          <w:rFonts w:ascii="Arial" w:hAnsi="Arial" w:cs="Arial"/>
        </w:rPr>
      </w:pPr>
    </w:p>
    <w:p w14:paraId="66F17E20" w14:textId="77777777" w:rsidR="008D0565" w:rsidRPr="00D61F73" w:rsidRDefault="00751163" w:rsidP="00D61F73">
      <w:pPr>
        <w:rPr>
          <w:rFonts w:ascii="Arial" w:hAnsi="Arial" w:cs="Arial"/>
        </w:rPr>
      </w:pPr>
      <w:hyperlink w:anchor="Kienzler2010" w:history="1">
        <w:r w:rsidR="008D0565" w:rsidRPr="00D61F73">
          <w:rPr>
            <w:rStyle w:val="Hyperlink"/>
            <w:rFonts w:ascii="Arial" w:hAnsi="Arial" w:cs="Arial"/>
          </w:rPr>
          <w:t>Kienzler JL, Gold M, Nollevaux F</w:t>
        </w:r>
      </w:hyperlink>
      <w:r w:rsidR="008D0565" w:rsidRPr="00D61F73">
        <w:rPr>
          <w:rFonts w:ascii="Arial" w:hAnsi="Arial" w:cs="Arial"/>
        </w:rPr>
        <w:t xml:space="preserve">. Systemic bioavailability of topical diclofenac sodium gel 1% versus oral diclofenac sodium in healthy volunteers. </w:t>
      </w:r>
      <w:r w:rsidR="008D0565" w:rsidRPr="00D61F73">
        <w:rPr>
          <w:rFonts w:ascii="Arial" w:hAnsi="Arial" w:cs="Arial"/>
          <w:i/>
        </w:rPr>
        <w:t>J Clin Pharmacol</w:t>
      </w:r>
      <w:r w:rsidR="008D0565" w:rsidRPr="00D61F73">
        <w:rPr>
          <w:rFonts w:ascii="Arial" w:hAnsi="Arial" w:cs="Arial"/>
        </w:rPr>
        <w:t>. 2010 ;50:50-61.</w:t>
      </w:r>
    </w:p>
    <w:p w14:paraId="59807C2C" w14:textId="77777777" w:rsidR="008D0565" w:rsidRPr="00D61F73" w:rsidRDefault="008D0565" w:rsidP="00D61F73">
      <w:pPr>
        <w:rPr>
          <w:rFonts w:ascii="Arial" w:hAnsi="Arial" w:cs="Arial"/>
        </w:rPr>
      </w:pPr>
    </w:p>
    <w:p w14:paraId="31288910" w14:textId="77777777" w:rsidR="008D0565" w:rsidRPr="00D61F73" w:rsidRDefault="00751163" w:rsidP="00D61F73">
      <w:pPr>
        <w:rPr>
          <w:rStyle w:val="ti"/>
          <w:rFonts w:ascii="Arial" w:hAnsi="Arial" w:cs="Arial"/>
        </w:rPr>
      </w:pPr>
      <w:hyperlink w:anchor="Knotkova" w:history="1">
        <w:r w:rsidR="008D0565" w:rsidRPr="00D61F73">
          <w:rPr>
            <w:rStyle w:val="Hyperlink"/>
            <w:rFonts w:ascii="Arial" w:hAnsi="Arial" w:cs="Arial"/>
            <w:bCs/>
          </w:rPr>
          <w:t>Knotkova H</w:t>
        </w:r>
        <w:r w:rsidR="008D0565" w:rsidRPr="00D61F73">
          <w:rPr>
            <w:rStyle w:val="Hyperlink"/>
            <w:rFonts w:ascii="Arial" w:hAnsi="Arial" w:cs="Arial"/>
          </w:rPr>
          <w:t xml:space="preserve">, </w:t>
        </w:r>
        <w:r w:rsidR="008D0565" w:rsidRPr="00D61F73">
          <w:rPr>
            <w:rStyle w:val="Hyperlink"/>
            <w:rFonts w:ascii="Arial" w:hAnsi="Arial" w:cs="Arial"/>
            <w:bCs/>
          </w:rPr>
          <w:t>Pappagallo M</w:t>
        </w:r>
      </w:hyperlink>
      <w:r w:rsidR="008D0565" w:rsidRPr="00D61F73">
        <w:rPr>
          <w:rFonts w:ascii="Arial" w:hAnsi="Arial" w:cs="Arial"/>
        </w:rPr>
        <w:t xml:space="preserve">. Adjuvant analgesics. </w:t>
      </w:r>
      <w:r w:rsidR="008D0565" w:rsidRPr="00D61F73">
        <w:rPr>
          <w:rStyle w:val="ti"/>
          <w:rFonts w:ascii="Arial" w:hAnsi="Arial" w:cs="Arial"/>
          <w:i/>
        </w:rPr>
        <w:t>Med Clin North Am</w:t>
      </w:r>
      <w:r w:rsidR="008D0565" w:rsidRPr="00D61F73">
        <w:rPr>
          <w:rStyle w:val="ti"/>
          <w:rFonts w:ascii="Arial" w:hAnsi="Arial" w:cs="Arial"/>
        </w:rPr>
        <w:t>. 2007;91:113-24.</w:t>
      </w:r>
    </w:p>
    <w:p w14:paraId="7B1F05EC" w14:textId="77777777" w:rsidR="008D0565" w:rsidRPr="00D61F73" w:rsidRDefault="008D0565" w:rsidP="00D61F73">
      <w:pPr>
        <w:rPr>
          <w:rFonts w:ascii="Arial" w:hAnsi="Arial" w:cs="Arial"/>
        </w:rPr>
      </w:pPr>
    </w:p>
    <w:p w14:paraId="70332A23" w14:textId="77777777" w:rsidR="008D0565" w:rsidRPr="00D61F73" w:rsidRDefault="00751163" w:rsidP="00D61F73">
      <w:pPr>
        <w:pStyle w:val="NormalWeb"/>
        <w:spacing w:before="0" w:beforeAutospacing="0" w:after="0" w:afterAutospacing="0"/>
        <w:rPr>
          <w:rFonts w:ascii="Arial" w:hAnsi="Arial" w:cs="Arial"/>
        </w:rPr>
      </w:pPr>
      <w:hyperlink w:anchor="Kowalski" w:history="1">
        <w:r w:rsidR="008D0565" w:rsidRPr="00D61F73">
          <w:rPr>
            <w:rStyle w:val="Hyperlink"/>
            <w:rFonts w:ascii="Arial" w:hAnsi="Arial" w:cs="Arial"/>
          </w:rPr>
          <w:t>Kowalski M, Stoker DG, Bon C, Moore KA, Boesing SE</w:t>
        </w:r>
      </w:hyperlink>
      <w:r w:rsidR="008D0565" w:rsidRPr="00D61F73">
        <w:rPr>
          <w:rFonts w:ascii="Arial" w:hAnsi="Arial" w:cs="Arial"/>
        </w:rPr>
        <w:t xml:space="preserve">. A Pharmacokinetic Analysis of Diclofenac Potassium Soft-Gelatin Capsule in Patients After Bunionectomy. </w:t>
      </w:r>
      <w:r w:rsidR="008D0565" w:rsidRPr="00D61F73">
        <w:rPr>
          <w:rFonts w:ascii="Arial" w:hAnsi="Arial" w:cs="Arial"/>
          <w:i/>
          <w:iCs/>
        </w:rPr>
        <w:t>Am J Ther</w:t>
      </w:r>
      <w:r w:rsidR="008D0565" w:rsidRPr="00D61F73">
        <w:rPr>
          <w:rFonts w:ascii="Arial" w:hAnsi="Arial" w:cs="Arial"/>
        </w:rPr>
        <w:t>. 2009 Jun 13.</w:t>
      </w:r>
    </w:p>
    <w:p w14:paraId="75E48735" w14:textId="77777777" w:rsidR="008D0565" w:rsidRPr="00D61F73" w:rsidRDefault="008D0565" w:rsidP="00D61F73">
      <w:pPr>
        <w:rPr>
          <w:rFonts w:ascii="Arial" w:hAnsi="Arial" w:cs="Arial"/>
        </w:rPr>
      </w:pPr>
    </w:p>
    <w:p w14:paraId="5B23FE41" w14:textId="77777777" w:rsidR="008D0565" w:rsidRPr="00D61F73" w:rsidRDefault="00751163" w:rsidP="00D61F73">
      <w:pPr>
        <w:rPr>
          <w:rFonts w:ascii="Arial" w:hAnsi="Arial" w:cs="Arial"/>
        </w:rPr>
      </w:pPr>
      <w:hyperlink w:anchor="Krantz2009" w:history="1">
        <w:r w:rsidR="008D0565" w:rsidRPr="00D61F73">
          <w:rPr>
            <w:rStyle w:val="Hyperlink"/>
            <w:rFonts w:ascii="Arial" w:hAnsi="Arial" w:cs="Arial"/>
          </w:rPr>
          <w:t>Krantz MJ, Martin J, Stimmel B, Mehta D, Haigney MC</w:t>
        </w:r>
      </w:hyperlink>
      <w:r w:rsidR="008D0565" w:rsidRPr="00D61F73">
        <w:rPr>
          <w:rFonts w:ascii="Arial" w:hAnsi="Arial" w:cs="Arial"/>
        </w:rPr>
        <w:t xml:space="preserve">. QTc interval screening in methadone treatment. </w:t>
      </w:r>
      <w:r w:rsidR="008D0565" w:rsidRPr="00D61F73">
        <w:rPr>
          <w:rFonts w:ascii="Arial" w:hAnsi="Arial" w:cs="Arial"/>
          <w:i/>
        </w:rPr>
        <w:t>Ann Intern Med</w:t>
      </w:r>
      <w:r w:rsidR="008D0565" w:rsidRPr="00D61F73">
        <w:rPr>
          <w:rFonts w:ascii="Arial" w:hAnsi="Arial" w:cs="Arial"/>
        </w:rPr>
        <w:t>. 2009;150:387-95.</w:t>
      </w:r>
    </w:p>
    <w:p w14:paraId="0EDDE326" w14:textId="77777777" w:rsidR="008D0565" w:rsidRPr="00D61F73" w:rsidRDefault="008D0565" w:rsidP="00D61F73">
      <w:pPr>
        <w:rPr>
          <w:rFonts w:ascii="Arial" w:hAnsi="Arial" w:cs="Arial"/>
        </w:rPr>
      </w:pPr>
    </w:p>
    <w:p w14:paraId="715FF2FB" w14:textId="77777777" w:rsidR="008D0565" w:rsidRPr="00D61F73" w:rsidRDefault="00751163" w:rsidP="00D61F73">
      <w:pPr>
        <w:rPr>
          <w:rFonts w:ascii="Arial" w:hAnsi="Arial" w:cs="Arial"/>
        </w:rPr>
      </w:pPr>
      <w:hyperlink w:anchor="Kripke2012" w:history="1">
        <w:r w:rsidR="008D0565" w:rsidRPr="00D61F73">
          <w:rPr>
            <w:rStyle w:val="Hyperlink"/>
            <w:rFonts w:ascii="Arial" w:hAnsi="Arial" w:cs="Arial"/>
          </w:rPr>
          <w:t>Kripke DF, Langer RD, Kline LE</w:t>
        </w:r>
      </w:hyperlink>
      <w:r w:rsidR="008D0565" w:rsidRPr="00D61F73">
        <w:rPr>
          <w:rFonts w:ascii="Arial" w:hAnsi="Arial" w:cs="Arial"/>
        </w:rPr>
        <w:t xml:space="preserve">. Hypnotics' association with mortality or cancer: a matched cohort study. </w:t>
      </w:r>
      <w:r w:rsidR="008D0565" w:rsidRPr="00D61F73">
        <w:rPr>
          <w:rFonts w:ascii="Arial" w:hAnsi="Arial" w:cs="Arial"/>
          <w:i/>
          <w:iCs/>
        </w:rPr>
        <w:t>BMJ Open</w:t>
      </w:r>
      <w:r w:rsidR="008D0565" w:rsidRPr="00D61F73">
        <w:rPr>
          <w:rFonts w:ascii="Arial" w:hAnsi="Arial" w:cs="Arial"/>
        </w:rPr>
        <w:t xml:space="preserve"> 2012;2:e000850 doi:10.1136/bmjopen-2012-000850.</w:t>
      </w:r>
    </w:p>
    <w:p w14:paraId="08F980A5" w14:textId="77777777" w:rsidR="008D0565" w:rsidRPr="00D61F73" w:rsidRDefault="008D0565" w:rsidP="00D61F73">
      <w:pPr>
        <w:rPr>
          <w:rFonts w:ascii="Arial" w:hAnsi="Arial" w:cs="Arial"/>
        </w:rPr>
      </w:pPr>
    </w:p>
    <w:p w14:paraId="66C8FE59" w14:textId="77777777" w:rsidR="008D0565" w:rsidRPr="00D61F73" w:rsidRDefault="00751163" w:rsidP="00D61F73">
      <w:pPr>
        <w:rPr>
          <w:rFonts w:ascii="Arial" w:hAnsi="Arial" w:cs="Arial"/>
        </w:rPr>
      </w:pPr>
      <w:hyperlink w:anchor="Krummel" w:history="1">
        <w:r w:rsidR="008D0565" w:rsidRPr="00D61F73">
          <w:rPr>
            <w:rStyle w:val="Hyperlink"/>
            <w:rFonts w:ascii="Arial" w:hAnsi="Arial" w:cs="Arial"/>
          </w:rPr>
          <w:t>Krummel T, Dimitrov Y, Moulin B, Hannedouche T</w:t>
        </w:r>
      </w:hyperlink>
      <w:r w:rsidR="008D0565" w:rsidRPr="00D61F73">
        <w:rPr>
          <w:rFonts w:ascii="Arial" w:hAnsi="Arial" w:cs="Arial"/>
        </w:rPr>
        <w:t xml:space="preserve">. Drug points: Acute renal failure induced by topical ketoprofen. </w:t>
      </w:r>
      <w:r w:rsidR="008D0565" w:rsidRPr="00D61F73">
        <w:rPr>
          <w:rFonts w:ascii="Arial" w:hAnsi="Arial" w:cs="Arial"/>
          <w:i/>
        </w:rPr>
        <w:t>BMJ.</w:t>
      </w:r>
      <w:r w:rsidR="008D0565" w:rsidRPr="00D61F73">
        <w:rPr>
          <w:rFonts w:ascii="Arial" w:hAnsi="Arial" w:cs="Arial"/>
        </w:rPr>
        <w:t xml:space="preserve"> 2000 Jan 8;320(7227):93.</w:t>
      </w:r>
    </w:p>
    <w:p w14:paraId="47D29651" w14:textId="77777777" w:rsidR="008D0565" w:rsidRPr="00D61F73" w:rsidRDefault="008D0565" w:rsidP="00D61F73">
      <w:pPr>
        <w:rPr>
          <w:rFonts w:ascii="Arial" w:hAnsi="Arial" w:cs="Arial"/>
        </w:rPr>
      </w:pPr>
    </w:p>
    <w:p w14:paraId="74DD702C" w14:textId="77777777" w:rsidR="008D0565" w:rsidRPr="00D61F73" w:rsidRDefault="00751163" w:rsidP="00D61F73">
      <w:pPr>
        <w:rPr>
          <w:rFonts w:ascii="Arial" w:hAnsi="Arial" w:cs="Arial"/>
          <w:color w:val="auto"/>
        </w:rPr>
      </w:pPr>
      <w:hyperlink w:anchor="Krupitsky2010" w:history="1">
        <w:r w:rsidR="008D0565" w:rsidRPr="00D61F73">
          <w:rPr>
            <w:rStyle w:val="Hyperlink"/>
            <w:rFonts w:ascii="Arial" w:hAnsi="Arial" w:cs="Arial"/>
            <w:lang w:val="es-MX"/>
          </w:rPr>
          <w:t>Krupitsky E, Zvartau E, Woody G</w:t>
        </w:r>
      </w:hyperlink>
      <w:r w:rsidR="008D0565" w:rsidRPr="00D61F73">
        <w:rPr>
          <w:rFonts w:ascii="Arial" w:hAnsi="Arial" w:cs="Arial"/>
          <w:color w:val="auto"/>
          <w:lang w:val="es-MX"/>
        </w:rPr>
        <w:t xml:space="preserve">. </w:t>
      </w:r>
      <w:r w:rsidR="008D0565" w:rsidRPr="00D61F73">
        <w:rPr>
          <w:rFonts w:ascii="Arial" w:hAnsi="Arial" w:cs="Arial"/>
          <w:color w:val="auto"/>
        </w:rPr>
        <w:t xml:space="preserve">Use of naltrexone to treat opioid addiction in a country in which methadone and buprenorphine are not available. </w:t>
      </w:r>
      <w:r w:rsidR="008D0565" w:rsidRPr="00D61F73">
        <w:rPr>
          <w:rFonts w:ascii="Arial" w:hAnsi="Arial" w:cs="Arial"/>
          <w:i/>
          <w:iCs/>
          <w:color w:val="auto"/>
        </w:rPr>
        <w:t>Curr Psychiatry Rep</w:t>
      </w:r>
      <w:r w:rsidR="008D0565" w:rsidRPr="00D61F73">
        <w:rPr>
          <w:rFonts w:ascii="Arial" w:hAnsi="Arial" w:cs="Arial"/>
          <w:color w:val="auto"/>
        </w:rPr>
        <w:t>. 2010 Oct;12(5):448-53.</w:t>
      </w:r>
    </w:p>
    <w:p w14:paraId="6E254483" w14:textId="77777777" w:rsidR="008D0565" w:rsidRPr="00D61F73" w:rsidRDefault="008D0565" w:rsidP="00D61F73">
      <w:pPr>
        <w:rPr>
          <w:rFonts w:ascii="Arial" w:hAnsi="Arial" w:cs="Arial"/>
        </w:rPr>
      </w:pPr>
    </w:p>
    <w:p w14:paraId="26C25199" w14:textId="77777777" w:rsidR="008D0565" w:rsidRPr="00D61F73" w:rsidRDefault="00751163" w:rsidP="00D61F73">
      <w:pPr>
        <w:rPr>
          <w:rFonts w:ascii="Arial" w:hAnsi="Arial" w:cs="Arial"/>
        </w:rPr>
      </w:pPr>
      <w:hyperlink w:anchor="Krupitsky2011" w:history="1">
        <w:r w:rsidR="008D0565" w:rsidRPr="00D61F73">
          <w:rPr>
            <w:rStyle w:val="Hyperlink"/>
            <w:rFonts w:ascii="Arial" w:hAnsi="Arial" w:cs="Arial"/>
          </w:rPr>
          <w:t>Krupitsky E</w:t>
        </w:r>
      </w:hyperlink>
      <w:r w:rsidR="008D0565" w:rsidRPr="00D61F73">
        <w:rPr>
          <w:rFonts w:ascii="Arial" w:hAnsi="Arial" w:cs="Arial"/>
        </w:rPr>
        <w:t>. Continued Naltrexone Use Prevents Opioid Dependency Relapse. 24th Annual US Psychiatric and Mental Health Congress in Las Vegas, Nevada. November 10, 2011.</w:t>
      </w:r>
    </w:p>
    <w:p w14:paraId="07C125BD" w14:textId="77777777" w:rsidR="008D0565" w:rsidRPr="00D61F73" w:rsidRDefault="008D0565" w:rsidP="00D61F73">
      <w:pPr>
        <w:rPr>
          <w:rFonts w:ascii="Arial" w:hAnsi="Arial" w:cs="Arial"/>
        </w:rPr>
      </w:pPr>
    </w:p>
    <w:p w14:paraId="17D17E42" w14:textId="77777777" w:rsidR="008D0565" w:rsidRPr="00D61F73" w:rsidRDefault="00751163" w:rsidP="00D61F73">
      <w:pPr>
        <w:rPr>
          <w:rFonts w:ascii="Arial" w:hAnsi="Arial" w:cs="Arial"/>
        </w:rPr>
      </w:pPr>
      <w:hyperlink w:anchor="Kuffner" w:history="1">
        <w:r w:rsidR="008D0565" w:rsidRPr="00D61F73">
          <w:rPr>
            <w:rStyle w:val="Hyperlink"/>
            <w:rFonts w:ascii="Arial" w:hAnsi="Arial" w:cs="Arial"/>
          </w:rPr>
          <w:t>Kuffner EK, Green JL, Bogdan GM, Knox PC, Palmer RB, Heard K, Slattery JT, Dart RC.</w:t>
        </w:r>
      </w:hyperlink>
      <w:r w:rsidR="008D0565" w:rsidRPr="00D61F73">
        <w:rPr>
          <w:rFonts w:ascii="Arial" w:hAnsi="Arial" w:cs="Arial"/>
        </w:rPr>
        <w:t xml:space="preserve"> The effect of acetaminophen (four grams a day for three consecutive days) on hepatic tests in alcoholic patients--a multicenter randomized study. </w:t>
      </w:r>
      <w:r w:rsidR="008D0565" w:rsidRPr="00D61F73">
        <w:rPr>
          <w:rFonts w:ascii="Arial" w:hAnsi="Arial" w:cs="Arial"/>
          <w:i/>
        </w:rPr>
        <w:t>BMC Med.</w:t>
      </w:r>
      <w:r w:rsidR="008D0565" w:rsidRPr="00D61F73">
        <w:rPr>
          <w:rFonts w:ascii="Arial" w:hAnsi="Arial" w:cs="Arial"/>
        </w:rPr>
        <w:t xml:space="preserve"> 2007;5:13.</w:t>
      </w:r>
    </w:p>
    <w:p w14:paraId="5AE55F19" w14:textId="77777777" w:rsidR="008D0565" w:rsidRPr="00D61F73" w:rsidRDefault="008D0565" w:rsidP="00D61F73">
      <w:pPr>
        <w:rPr>
          <w:rFonts w:ascii="Arial" w:hAnsi="Arial" w:cs="Arial"/>
        </w:rPr>
      </w:pPr>
    </w:p>
    <w:p w14:paraId="2C7E39F8" w14:textId="77777777" w:rsidR="008D0565" w:rsidRPr="00D61F73" w:rsidRDefault="00751163" w:rsidP="00D61F73">
      <w:pPr>
        <w:pStyle w:val="NormalWeb"/>
        <w:spacing w:before="0" w:beforeAutospacing="0" w:after="0" w:afterAutospacing="0"/>
        <w:rPr>
          <w:rFonts w:ascii="Arial" w:hAnsi="Arial" w:cs="Arial"/>
        </w:rPr>
      </w:pPr>
      <w:hyperlink w:anchor="Kumar9" w:history="1">
        <w:r w:rsidR="008D0565" w:rsidRPr="00D61F73">
          <w:rPr>
            <w:rStyle w:val="Hyperlink"/>
            <w:rFonts w:ascii="Arial" w:hAnsi="Arial" w:cs="Arial"/>
          </w:rPr>
          <w:t>Kumar R</w:t>
        </w:r>
      </w:hyperlink>
      <w:r w:rsidR="008D0565" w:rsidRPr="00D61F73">
        <w:rPr>
          <w:rFonts w:ascii="Arial" w:hAnsi="Arial" w:cs="Arial"/>
        </w:rPr>
        <w:t xml:space="preserve">. Approved and investigational uses of modafinil: an evidence-based review. </w:t>
      </w:r>
      <w:r w:rsidR="008D0565" w:rsidRPr="00D61F73">
        <w:rPr>
          <w:rFonts w:ascii="Arial" w:hAnsi="Arial" w:cs="Arial"/>
          <w:i/>
          <w:iCs/>
        </w:rPr>
        <w:t>Drugs</w:t>
      </w:r>
      <w:r w:rsidR="008D0565" w:rsidRPr="00D61F73">
        <w:rPr>
          <w:rFonts w:ascii="Arial" w:hAnsi="Arial" w:cs="Arial"/>
        </w:rPr>
        <w:t>. 2008;68(13):1803-39.</w:t>
      </w:r>
    </w:p>
    <w:p w14:paraId="0182AA8D" w14:textId="77777777" w:rsidR="008D0565" w:rsidRPr="00D61F73" w:rsidRDefault="008D0565" w:rsidP="00D61F73">
      <w:pPr>
        <w:rPr>
          <w:rFonts w:ascii="Arial" w:hAnsi="Arial" w:cs="Arial"/>
        </w:rPr>
      </w:pPr>
    </w:p>
    <w:p w14:paraId="0CD59354" w14:textId="77777777" w:rsidR="008D0565" w:rsidRPr="00D61F73" w:rsidRDefault="00751163" w:rsidP="00D61F73">
      <w:pPr>
        <w:rPr>
          <w:rFonts w:ascii="Arial" w:hAnsi="Arial" w:cs="Arial"/>
        </w:rPr>
      </w:pPr>
      <w:hyperlink w:anchor="Lader" w:history="1">
        <w:r w:rsidR="008D0565" w:rsidRPr="00D61F73">
          <w:rPr>
            <w:rStyle w:val="Hyperlink"/>
            <w:rFonts w:ascii="Arial" w:hAnsi="Arial" w:cs="Arial"/>
          </w:rPr>
          <w:t>Lader M, Tylee A, Donoghue J</w:t>
        </w:r>
      </w:hyperlink>
      <w:r w:rsidR="008D0565" w:rsidRPr="00D61F73">
        <w:rPr>
          <w:rFonts w:ascii="Arial" w:hAnsi="Arial" w:cs="Arial"/>
        </w:rPr>
        <w:t xml:space="preserve">. Withdrawing benzodiazepines in primary care. </w:t>
      </w:r>
      <w:r w:rsidR="008D0565" w:rsidRPr="00D61F73">
        <w:rPr>
          <w:rFonts w:ascii="Arial" w:hAnsi="Arial" w:cs="Arial"/>
          <w:i/>
        </w:rPr>
        <w:t>CNS Drugs</w:t>
      </w:r>
      <w:r w:rsidR="008D0565" w:rsidRPr="00D61F73">
        <w:rPr>
          <w:rFonts w:ascii="Arial" w:hAnsi="Arial" w:cs="Arial"/>
        </w:rPr>
        <w:t>. 2009;23:19-34.</w:t>
      </w:r>
    </w:p>
    <w:p w14:paraId="7881C884" w14:textId="77777777" w:rsidR="008D0565" w:rsidRPr="00D61F73" w:rsidRDefault="008D0565" w:rsidP="00D61F73">
      <w:pPr>
        <w:rPr>
          <w:rFonts w:ascii="Arial" w:hAnsi="Arial" w:cs="Arial"/>
        </w:rPr>
      </w:pPr>
    </w:p>
    <w:p w14:paraId="25F674D7" w14:textId="77777777" w:rsidR="008D0565" w:rsidRPr="00D61F73" w:rsidRDefault="00751163" w:rsidP="00D61F73">
      <w:pPr>
        <w:rPr>
          <w:rFonts w:ascii="Arial" w:hAnsi="Arial" w:cs="Arial"/>
        </w:rPr>
      </w:pPr>
      <w:hyperlink w:anchor="Laine2007" w:history="1">
        <w:r w:rsidR="008D0565" w:rsidRPr="00D61F73">
          <w:rPr>
            <w:rStyle w:val="Hyperlink"/>
            <w:rFonts w:ascii="Arial" w:hAnsi="Arial" w:cs="Arial"/>
          </w:rPr>
          <w:t>Laine L, Curtis SP, Cryer B, Kaur A, Cannon CP; MEDAL Steering Committee</w:t>
        </w:r>
      </w:hyperlink>
      <w:r w:rsidR="008D0565" w:rsidRPr="00D61F73">
        <w:rPr>
          <w:rFonts w:ascii="Arial" w:hAnsi="Arial" w:cs="Arial"/>
        </w:rPr>
        <w:t>. Assessment of upper gastrointestinal safety of etoricoxib and diclofenac in patients with osteoarthritis and rheumatoid arthritis in the Multinational Etoricoxib and Diclofenac Arthritis Long-term (MEDAL) programme: a randomised comparison</w:t>
      </w:r>
      <w:r w:rsidR="008D0565" w:rsidRPr="00D61F73">
        <w:rPr>
          <w:rFonts w:ascii="Arial" w:hAnsi="Arial" w:cs="Arial"/>
          <w:i/>
        </w:rPr>
        <w:t>. Lancet</w:t>
      </w:r>
      <w:r w:rsidR="008D0565" w:rsidRPr="00D61F73">
        <w:rPr>
          <w:rFonts w:ascii="Arial" w:hAnsi="Arial" w:cs="Arial"/>
        </w:rPr>
        <w:t>. 2007;369:465-73.</w:t>
      </w:r>
    </w:p>
    <w:p w14:paraId="7AED2828" w14:textId="77777777" w:rsidR="008D0565" w:rsidRPr="00D61F73" w:rsidRDefault="008D0565" w:rsidP="00D61F73">
      <w:pPr>
        <w:rPr>
          <w:rFonts w:ascii="Arial" w:hAnsi="Arial" w:cs="Arial"/>
        </w:rPr>
      </w:pPr>
    </w:p>
    <w:p w14:paraId="772A6E61" w14:textId="77777777" w:rsidR="008D0565" w:rsidRPr="00D61F73" w:rsidRDefault="00751163" w:rsidP="00D61F73">
      <w:pPr>
        <w:rPr>
          <w:rFonts w:ascii="Arial" w:hAnsi="Arial" w:cs="Arial"/>
        </w:rPr>
      </w:pPr>
      <w:hyperlink w:anchor="Laine2006" w:history="1">
        <w:r w:rsidR="008D0565" w:rsidRPr="00D61F73">
          <w:rPr>
            <w:rStyle w:val="Hyperlink"/>
            <w:rFonts w:ascii="Arial" w:hAnsi="Arial" w:cs="Arial"/>
          </w:rPr>
          <w:t>Laine L</w:t>
        </w:r>
      </w:hyperlink>
      <w:r w:rsidR="008D0565" w:rsidRPr="00D61F73">
        <w:rPr>
          <w:rFonts w:ascii="Arial" w:hAnsi="Arial" w:cs="Arial"/>
        </w:rPr>
        <w:t xml:space="preserve">. GI risk and risk factors of NSAIDs. </w:t>
      </w:r>
      <w:r w:rsidR="008D0565" w:rsidRPr="00D61F73">
        <w:rPr>
          <w:rFonts w:ascii="Arial" w:hAnsi="Arial" w:cs="Arial"/>
          <w:i/>
        </w:rPr>
        <w:t>J Cardiovasc Pharmacol</w:t>
      </w:r>
      <w:r w:rsidR="008D0565" w:rsidRPr="00D61F73">
        <w:rPr>
          <w:rFonts w:ascii="Arial" w:hAnsi="Arial" w:cs="Arial"/>
        </w:rPr>
        <w:t>. 2006;47 Suppl 1:S60-6.</w:t>
      </w:r>
    </w:p>
    <w:p w14:paraId="31D97627" w14:textId="77777777" w:rsidR="008D0565" w:rsidRPr="00D61F73" w:rsidRDefault="008D0565" w:rsidP="00D61F73">
      <w:pPr>
        <w:rPr>
          <w:rFonts w:ascii="Arial" w:hAnsi="Arial" w:cs="Arial"/>
        </w:rPr>
      </w:pPr>
    </w:p>
    <w:p w14:paraId="7E9673D5" w14:textId="77777777" w:rsidR="008D0565" w:rsidRPr="00D61F73" w:rsidRDefault="00751163" w:rsidP="00D61F73">
      <w:pPr>
        <w:rPr>
          <w:rFonts w:ascii="Arial" w:hAnsi="Arial" w:cs="Arial"/>
        </w:rPr>
      </w:pPr>
      <w:hyperlink w:anchor="Laine2008" w:history="1">
        <w:r w:rsidR="008D0565" w:rsidRPr="00D61F73">
          <w:rPr>
            <w:rStyle w:val="Hyperlink"/>
            <w:rFonts w:ascii="Arial" w:hAnsi="Arial" w:cs="Arial"/>
          </w:rPr>
          <w:t>Laine L, White WB, Rostom A, Hochberg M</w:t>
        </w:r>
      </w:hyperlink>
      <w:r w:rsidR="008D0565" w:rsidRPr="00D61F73">
        <w:rPr>
          <w:rFonts w:ascii="Arial" w:hAnsi="Arial" w:cs="Arial"/>
        </w:rPr>
        <w:t xml:space="preserve">. COX-2 Selective Inhibitors in the Treatment of Osteoarthritis. </w:t>
      </w:r>
      <w:r w:rsidR="008D0565" w:rsidRPr="00D61F73">
        <w:rPr>
          <w:rFonts w:ascii="Arial" w:hAnsi="Arial" w:cs="Arial"/>
          <w:i/>
          <w:iCs/>
        </w:rPr>
        <w:t>Semin Arthritis Rheum</w:t>
      </w:r>
      <w:r w:rsidR="008D0565" w:rsidRPr="00D61F73">
        <w:rPr>
          <w:rFonts w:ascii="Arial" w:hAnsi="Arial" w:cs="Arial"/>
        </w:rPr>
        <w:t>. 2008 Jan 3 [Epub ahead of print].</w:t>
      </w:r>
    </w:p>
    <w:p w14:paraId="6CE69F06" w14:textId="77777777" w:rsidR="008D0565" w:rsidRPr="00D61F73" w:rsidRDefault="008D0565" w:rsidP="00D61F73">
      <w:pPr>
        <w:rPr>
          <w:rFonts w:ascii="Arial" w:hAnsi="Arial" w:cs="Arial"/>
        </w:rPr>
      </w:pPr>
    </w:p>
    <w:p w14:paraId="666F91B4" w14:textId="77777777" w:rsidR="008D0565" w:rsidRPr="00D61F73" w:rsidRDefault="00751163" w:rsidP="00D61F73">
      <w:pPr>
        <w:rPr>
          <w:rFonts w:ascii="Arial" w:hAnsi="Arial" w:cs="Arial"/>
        </w:rPr>
      </w:pPr>
      <w:hyperlink w:anchor="Laine2008a" w:history="1">
        <w:r w:rsidR="008D0565" w:rsidRPr="00D61F73">
          <w:rPr>
            <w:rStyle w:val="Hyperlink"/>
            <w:rFonts w:ascii="Arial" w:hAnsi="Arial" w:cs="Arial"/>
          </w:rPr>
          <w:t>Laine L, White WB, Rostom A, Hochberg M</w:t>
        </w:r>
      </w:hyperlink>
      <w:r w:rsidR="008D0565" w:rsidRPr="00D61F73">
        <w:rPr>
          <w:rFonts w:ascii="Arial" w:hAnsi="Arial" w:cs="Arial"/>
        </w:rPr>
        <w:t xml:space="preserve">. COX-2 Selective Inhibitors in the Treatment of Osteoarthritis. </w:t>
      </w:r>
      <w:r w:rsidR="008D0565" w:rsidRPr="00D61F73">
        <w:rPr>
          <w:rFonts w:ascii="Arial" w:hAnsi="Arial" w:cs="Arial"/>
          <w:i/>
        </w:rPr>
        <w:t>Semin Arthritis Rheum</w:t>
      </w:r>
      <w:r w:rsidR="008D0565" w:rsidRPr="00D61F73">
        <w:rPr>
          <w:rFonts w:ascii="Arial" w:hAnsi="Arial" w:cs="Arial"/>
        </w:rPr>
        <w:t>. 2008 Jan 3. [Epub ahead of print]</w:t>
      </w:r>
    </w:p>
    <w:p w14:paraId="61358F37" w14:textId="77777777" w:rsidR="008D0565" w:rsidRPr="00D61F73" w:rsidRDefault="008D0565" w:rsidP="00D61F73">
      <w:pPr>
        <w:rPr>
          <w:rFonts w:ascii="Arial" w:hAnsi="Arial" w:cs="Arial"/>
        </w:rPr>
      </w:pPr>
    </w:p>
    <w:p w14:paraId="5EC40F3D" w14:textId="77777777" w:rsidR="008D0565" w:rsidRPr="00D61F73" w:rsidRDefault="00751163" w:rsidP="00D61F73">
      <w:pPr>
        <w:rPr>
          <w:rFonts w:ascii="Arial" w:hAnsi="Arial" w:cs="Arial"/>
        </w:rPr>
      </w:pPr>
      <w:hyperlink w:anchor="Lake" w:history="1">
        <w:r w:rsidR="008D0565" w:rsidRPr="00D61F73">
          <w:rPr>
            <w:rStyle w:val="Hyperlink"/>
            <w:rFonts w:ascii="Arial" w:hAnsi="Arial" w:cs="Arial"/>
          </w:rPr>
          <w:t>Lake AE 3rd</w:t>
        </w:r>
      </w:hyperlink>
      <w:r w:rsidR="008D0565" w:rsidRPr="00D61F73">
        <w:rPr>
          <w:rFonts w:ascii="Arial" w:hAnsi="Arial" w:cs="Arial"/>
        </w:rPr>
        <w:t xml:space="preserve">. Screening and behavioral management: medication overuse headache--the complex case. </w:t>
      </w:r>
      <w:r w:rsidR="008D0565" w:rsidRPr="00D61F73">
        <w:rPr>
          <w:rFonts w:ascii="Arial" w:hAnsi="Arial" w:cs="Arial"/>
          <w:i/>
        </w:rPr>
        <w:t>Headache</w:t>
      </w:r>
      <w:r w:rsidR="008D0565" w:rsidRPr="00D61F73">
        <w:rPr>
          <w:rFonts w:ascii="Arial" w:hAnsi="Arial" w:cs="Arial"/>
        </w:rPr>
        <w:t>. 2008;48:26-31.</w:t>
      </w:r>
    </w:p>
    <w:p w14:paraId="22898455" w14:textId="77777777" w:rsidR="008D0565" w:rsidRPr="00D61F73" w:rsidRDefault="008D0565" w:rsidP="00D61F73">
      <w:pPr>
        <w:rPr>
          <w:rFonts w:ascii="Arial" w:hAnsi="Arial" w:cs="Arial"/>
        </w:rPr>
      </w:pPr>
    </w:p>
    <w:p w14:paraId="10A67D4F" w14:textId="77777777" w:rsidR="008D0565" w:rsidRPr="00D61F73" w:rsidRDefault="00751163" w:rsidP="00D61F73">
      <w:pPr>
        <w:rPr>
          <w:rFonts w:ascii="Arial" w:hAnsi="Arial" w:cs="Arial"/>
        </w:rPr>
      </w:pPr>
      <w:hyperlink w:anchor="Lanas" w:history="1">
        <w:r w:rsidR="008D0565" w:rsidRPr="00D61F73">
          <w:rPr>
            <w:rStyle w:val="Hyperlink"/>
            <w:rFonts w:ascii="Arial" w:hAnsi="Arial" w:cs="Arial"/>
          </w:rPr>
          <w:t>Lanas A, Hunt R</w:t>
        </w:r>
      </w:hyperlink>
      <w:r w:rsidR="008D0565" w:rsidRPr="00D61F73">
        <w:rPr>
          <w:rFonts w:ascii="Arial" w:hAnsi="Arial" w:cs="Arial"/>
        </w:rPr>
        <w:t xml:space="preserve">. Prevention of anti-inflammatory drug-induced gastrointestinal damage: benefits and risks of therapeutic strategies. </w:t>
      </w:r>
      <w:r w:rsidR="008D0565" w:rsidRPr="00D61F73">
        <w:rPr>
          <w:rFonts w:ascii="Arial" w:hAnsi="Arial" w:cs="Arial"/>
          <w:i/>
        </w:rPr>
        <w:t>Ann Med</w:t>
      </w:r>
      <w:r w:rsidR="008D0565" w:rsidRPr="00D61F73">
        <w:rPr>
          <w:rFonts w:ascii="Arial" w:hAnsi="Arial" w:cs="Arial"/>
        </w:rPr>
        <w:t>. 2006;38:415-28.</w:t>
      </w:r>
    </w:p>
    <w:p w14:paraId="5E21FDAA" w14:textId="77777777" w:rsidR="008D0565" w:rsidRPr="00D61F73" w:rsidRDefault="008D0565" w:rsidP="00D61F73">
      <w:pPr>
        <w:pStyle w:val="Footer"/>
        <w:tabs>
          <w:tab w:val="clear" w:pos="4320"/>
          <w:tab w:val="clear" w:pos="8640"/>
        </w:tabs>
        <w:rPr>
          <w:rFonts w:ascii="Arial" w:hAnsi="Arial" w:cs="Arial"/>
        </w:rPr>
      </w:pPr>
    </w:p>
    <w:p w14:paraId="590D44EA" w14:textId="77777777" w:rsidR="008D0565" w:rsidRPr="00D61F73" w:rsidRDefault="00751163" w:rsidP="00D61F73">
      <w:pPr>
        <w:pStyle w:val="NormalWeb"/>
        <w:spacing w:before="0" w:beforeAutospacing="0" w:after="0" w:afterAutospacing="0"/>
        <w:rPr>
          <w:rFonts w:ascii="Arial" w:hAnsi="Arial" w:cs="Arial"/>
        </w:rPr>
      </w:pPr>
      <w:hyperlink w:anchor="Landy2011" w:history="1">
        <w:r w:rsidR="008D0565" w:rsidRPr="00D61F73">
          <w:rPr>
            <w:rStyle w:val="Hyperlink"/>
            <w:rFonts w:ascii="Arial" w:hAnsi="Arial" w:cs="Arial"/>
          </w:rPr>
          <w:t>Landy S, Altman CA, Xie F</w:t>
        </w:r>
      </w:hyperlink>
      <w:r w:rsidR="008D0565" w:rsidRPr="00D61F73">
        <w:rPr>
          <w:rFonts w:ascii="Arial" w:hAnsi="Arial" w:cs="Arial"/>
        </w:rPr>
        <w:t xml:space="preserve">. Time to recovery in patients with acute painful musculoskeletal conditions treated with extended-release or immediate-release cyclobenzaprine. </w:t>
      </w:r>
      <w:r w:rsidR="008D0565" w:rsidRPr="00D61F73">
        <w:rPr>
          <w:rFonts w:ascii="Arial" w:hAnsi="Arial" w:cs="Arial"/>
          <w:i/>
          <w:iCs/>
        </w:rPr>
        <w:t>Adv Ther</w:t>
      </w:r>
      <w:r w:rsidR="008D0565" w:rsidRPr="00D61F73">
        <w:rPr>
          <w:rFonts w:ascii="Arial" w:hAnsi="Arial" w:cs="Arial"/>
        </w:rPr>
        <w:t>. 2011 Mar 18. [Epub ahead of print]</w:t>
      </w:r>
    </w:p>
    <w:p w14:paraId="6D199CE5" w14:textId="77777777" w:rsidR="008D0565" w:rsidRPr="00D61F73" w:rsidRDefault="008D0565" w:rsidP="00D61F73">
      <w:pPr>
        <w:pStyle w:val="Footer"/>
        <w:tabs>
          <w:tab w:val="clear" w:pos="4320"/>
          <w:tab w:val="clear" w:pos="8640"/>
        </w:tabs>
        <w:rPr>
          <w:rFonts w:ascii="Arial" w:hAnsi="Arial" w:cs="Arial"/>
        </w:rPr>
      </w:pPr>
    </w:p>
    <w:p w14:paraId="0AA4FFDF" w14:textId="77777777" w:rsidR="008D0565" w:rsidRPr="00D61F73" w:rsidRDefault="00751163" w:rsidP="00D61F73">
      <w:pPr>
        <w:pStyle w:val="Footer"/>
        <w:tabs>
          <w:tab w:val="clear" w:pos="4320"/>
          <w:tab w:val="clear" w:pos="8640"/>
        </w:tabs>
        <w:rPr>
          <w:rFonts w:ascii="Arial" w:hAnsi="Arial" w:cs="Arial"/>
        </w:rPr>
      </w:pPr>
      <w:hyperlink w:anchor="Lange2010" w:history="1">
        <w:r w:rsidR="008D0565" w:rsidRPr="00D61F73">
          <w:rPr>
            <w:rStyle w:val="Hyperlink"/>
            <w:rFonts w:ascii="Arial" w:hAnsi="Arial" w:cs="Arial"/>
          </w:rPr>
          <w:t>Lange B, Kuperwasser B, Okamoto A, Steup A, Häufel T, Ashworth J, Etropolski M</w:t>
        </w:r>
      </w:hyperlink>
      <w:r w:rsidR="008D0565" w:rsidRPr="00D61F73">
        <w:rPr>
          <w:rFonts w:ascii="Arial" w:hAnsi="Arial" w:cs="Arial"/>
        </w:rPr>
        <w:t xml:space="preserve">. Efficacy and safety of tapentadol prolonged release for chronic osteoarthritis pain and low back pain. </w:t>
      </w:r>
      <w:r w:rsidR="008D0565" w:rsidRPr="00D61F73">
        <w:rPr>
          <w:rFonts w:ascii="Arial" w:hAnsi="Arial" w:cs="Arial"/>
          <w:i/>
          <w:iCs/>
        </w:rPr>
        <w:t>Adv Ther</w:t>
      </w:r>
      <w:r w:rsidR="008D0565" w:rsidRPr="00D61F73">
        <w:rPr>
          <w:rFonts w:ascii="Arial" w:hAnsi="Arial" w:cs="Arial"/>
        </w:rPr>
        <w:t>. 2010 Jun;27(6):381-99. Epub 2010 Jun 11.</w:t>
      </w:r>
    </w:p>
    <w:p w14:paraId="76F8B918" w14:textId="77777777" w:rsidR="008D0565" w:rsidRPr="00D61F73" w:rsidRDefault="008D0565" w:rsidP="00D61F73">
      <w:pPr>
        <w:pStyle w:val="Footer"/>
        <w:tabs>
          <w:tab w:val="clear" w:pos="4320"/>
          <w:tab w:val="clear" w:pos="8640"/>
        </w:tabs>
        <w:rPr>
          <w:rFonts w:ascii="Arial" w:hAnsi="Arial" w:cs="Arial"/>
        </w:rPr>
      </w:pPr>
    </w:p>
    <w:p w14:paraId="3EE1B891" w14:textId="77777777" w:rsidR="008D0565" w:rsidRPr="00D61F73" w:rsidRDefault="00751163" w:rsidP="00D61F73">
      <w:pPr>
        <w:pStyle w:val="Footer"/>
        <w:tabs>
          <w:tab w:val="clear" w:pos="4320"/>
          <w:tab w:val="clear" w:pos="8640"/>
        </w:tabs>
        <w:rPr>
          <w:rFonts w:ascii="Arial" w:hAnsi="Arial" w:cs="Arial"/>
        </w:rPr>
      </w:pPr>
      <w:hyperlink w:anchor="Lechat2010" w:history="1">
        <w:r w:rsidR="008D0565" w:rsidRPr="00D61F73">
          <w:rPr>
            <w:rStyle w:val="Hyperlink"/>
            <w:rFonts w:ascii="Arial" w:hAnsi="Arial" w:cs="Arial"/>
          </w:rPr>
          <w:t>Lechat P, Slanar O</w:t>
        </w:r>
      </w:hyperlink>
      <w:r w:rsidR="008D0565" w:rsidRPr="00D61F73">
        <w:rPr>
          <w:rFonts w:ascii="Arial" w:hAnsi="Arial" w:cs="Arial"/>
        </w:rPr>
        <w:t>. Ketoprofen Topical. European Medicines Agency. 2010.</w:t>
      </w:r>
    </w:p>
    <w:p w14:paraId="74726D69" w14:textId="77777777" w:rsidR="008D0565" w:rsidRPr="00D61F73" w:rsidRDefault="008D0565" w:rsidP="00D61F73">
      <w:pPr>
        <w:pStyle w:val="Footer"/>
        <w:tabs>
          <w:tab w:val="clear" w:pos="4320"/>
          <w:tab w:val="clear" w:pos="8640"/>
        </w:tabs>
        <w:rPr>
          <w:rFonts w:ascii="Arial" w:hAnsi="Arial" w:cs="Arial"/>
        </w:rPr>
      </w:pPr>
    </w:p>
    <w:p w14:paraId="64DC5412" w14:textId="77777777" w:rsidR="008D0565" w:rsidRPr="00D61F73" w:rsidRDefault="00751163" w:rsidP="00D61F73">
      <w:pPr>
        <w:rPr>
          <w:rFonts w:ascii="Arial" w:hAnsi="Arial" w:cs="Arial"/>
        </w:rPr>
      </w:pPr>
      <w:hyperlink w:anchor="Lederman2011" w:history="1">
        <w:r w:rsidR="008D0565" w:rsidRPr="00D61F73">
          <w:rPr>
            <w:rStyle w:val="Hyperlink"/>
            <w:rFonts w:ascii="Arial" w:hAnsi="Arial" w:cs="Arial"/>
          </w:rPr>
          <w:t>Lederman S, Moldofsky H, Harris HW, Archambault WT, Kwong T</w:t>
        </w:r>
      </w:hyperlink>
      <w:r w:rsidR="008D0565" w:rsidRPr="00D61F73">
        <w:rPr>
          <w:rFonts w:ascii="Arial" w:hAnsi="Arial" w:cs="Arial"/>
        </w:rPr>
        <w:t xml:space="preserve">. Effects of Bedtime Very Low Dose Cyclobenzaprine on Symptoms and Sleep Physiology in Patients with Fibromyalgia Syndrome: A Double-blind Randomized Placebo-controlled Study. </w:t>
      </w:r>
      <w:r w:rsidR="008D0565" w:rsidRPr="00D61F73">
        <w:rPr>
          <w:rFonts w:ascii="Arial" w:hAnsi="Arial" w:cs="Arial"/>
          <w:i/>
          <w:iCs/>
        </w:rPr>
        <w:t>J Rheumatol.</w:t>
      </w:r>
      <w:r w:rsidR="008D0565" w:rsidRPr="00D61F73">
        <w:rPr>
          <w:rFonts w:ascii="Arial" w:hAnsi="Arial" w:cs="Arial"/>
        </w:rPr>
        <w:t xml:space="preserve"> 2011 Sep 1. [Epub ahead of print]</w:t>
      </w:r>
    </w:p>
    <w:p w14:paraId="73922B59" w14:textId="77777777" w:rsidR="008D0565" w:rsidRPr="00D61F73" w:rsidRDefault="008D0565" w:rsidP="00D61F73">
      <w:pPr>
        <w:pStyle w:val="Footer"/>
        <w:tabs>
          <w:tab w:val="clear" w:pos="4320"/>
          <w:tab w:val="clear" w:pos="8640"/>
        </w:tabs>
        <w:rPr>
          <w:rFonts w:ascii="Arial" w:hAnsi="Arial" w:cs="Arial"/>
        </w:rPr>
      </w:pPr>
    </w:p>
    <w:p w14:paraId="4995FC5A" w14:textId="77777777" w:rsidR="008D0565" w:rsidRPr="00D61F73" w:rsidRDefault="00751163" w:rsidP="00D61F73">
      <w:pPr>
        <w:rPr>
          <w:rFonts w:ascii="Arial" w:hAnsi="Arial" w:cs="Arial"/>
        </w:rPr>
      </w:pPr>
      <w:hyperlink w:anchor="Lee" w:history="1">
        <w:r w:rsidR="008D0565" w:rsidRPr="00D61F73">
          <w:rPr>
            <w:rStyle w:val="Hyperlink"/>
            <w:rFonts w:ascii="Arial" w:hAnsi="Arial" w:cs="Arial"/>
          </w:rPr>
          <w:t>Lee DC</w:t>
        </w:r>
      </w:hyperlink>
      <w:r w:rsidR="008D0565" w:rsidRPr="00D61F73">
        <w:rPr>
          <w:rFonts w:ascii="Arial" w:hAnsi="Arial" w:cs="Arial"/>
        </w:rPr>
        <w:t>. Sedative Hypnotic Agents. In: Goldfrank’s Toxicological Emergencies, 7th ed. 2002. McGraw-Hill.</w:t>
      </w:r>
    </w:p>
    <w:p w14:paraId="19FEEED3" w14:textId="77777777" w:rsidR="008D0565" w:rsidRPr="00D61F73" w:rsidRDefault="008D0565" w:rsidP="00D61F73">
      <w:pPr>
        <w:rPr>
          <w:rFonts w:ascii="Arial" w:hAnsi="Arial" w:cs="Arial"/>
        </w:rPr>
      </w:pPr>
    </w:p>
    <w:p w14:paraId="641CDE3B" w14:textId="77777777" w:rsidR="008D0565" w:rsidRPr="00D61F73" w:rsidRDefault="00751163" w:rsidP="00D61F73">
      <w:pPr>
        <w:rPr>
          <w:rFonts w:ascii="Arial" w:hAnsi="Arial" w:cs="Arial"/>
        </w:rPr>
      </w:pPr>
      <w:hyperlink w:anchor="Levendoglu" w:history="1">
        <w:r w:rsidR="008D0565" w:rsidRPr="00D61F73">
          <w:rPr>
            <w:rStyle w:val="Hyperlink"/>
            <w:rFonts w:ascii="Arial" w:hAnsi="Arial" w:cs="Arial"/>
          </w:rPr>
          <w:t>Levendoglu F, Ogun CO, Ozerbil O, Ogun TC, Ugurlu H</w:t>
        </w:r>
      </w:hyperlink>
      <w:r w:rsidR="008D0565" w:rsidRPr="00D61F73">
        <w:rPr>
          <w:rFonts w:ascii="Arial" w:hAnsi="Arial" w:cs="Arial"/>
        </w:rPr>
        <w:t xml:space="preserve">, Gabapentin is a first line drug for the treatment of neuropathic pain in spinal cord injury, </w:t>
      </w:r>
      <w:r w:rsidR="008D0565" w:rsidRPr="00D61F73">
        <w:rPr>
          <w:rFonts w:ascii="Arial" w:hAnsi="Arial" w:cs="Arial"/>
          <w:i/>
          <w:iCs/>
        </w:rPr>
        <w:t>Spine</w:t>
      </w:r>
      <w:r w:rsidR="008D0565" w:rsidRPr="00D61F73">
        <w:rPr>
          <w:rFonts w:ascii="Arial" w:hAnsi="Arial" w:cs="Arial"/>
        </w:rPr>
        <w:t>. 2004 Apr 16;29(7):743-51.</w:t>
      </w:r>
    </w:p>
    <w:p w14:paraId="42866582" w14:textId="77777777" w:rsidR="008D0565" w:rsidRPr="00D61F73" w:rsidRDefault="008D0565" w:rsidP="00D61F73">
      <w:pPr>
        <w:rPr>
          <w:rFonts w:ascii="Arial" w:hAnsi="Arial" w:cs="Arial"/>
        </w:rPr>
      </w:pPr>
    </w:p>
    <w:p w14:paraId="38F11188" w14:textId="77777777" w:rsidR="008D0565" w:rsidRPr="00D61F73" w:rsidRDefault="00751163" w:rsidP="00D61F73">
      <w:pPr>
        <w:rPr>
          <w:rFonts w:ascii="Arial" w:hAnsi="Arial" w:cs="Arial"/>
        </w:rPr>
      </w:pPr>
      <w:hyperlink w:anchor="Levran2012" w:history="1">
        <w:r w:rsidR="008D0565" w:rsidRPr="00D61F73">
          <w:rPr>
            <w:rStyle w:val="Hyperlink"/>
            <w:rFonts w:ascii="Arial" w:hAnsi="Arial" w:cs="Arial"/>
          </w:rPr>
          <w:t>Levran O, Yuferov V, Kreek MJ.</w:t>
        </w:r>
      </w:hyperlink>
      <w:r w:rsidR="008D0565" w:rsidRPr="00D61F73">
        <w:rPr>
          <w:rFonts w:ascii="Arial" w:hAnsi="Arial" w:cs="Arial"/>
        </w:rPr>
        <w:t xml:space="preserve"> The genetics of the opioid system and specific drug addictions. </w:t>
      </w:r>
      <w:r w:rsidR="008D0565" w:rsidRPr="00D61F73">
        <w:rPr>
          <w:rFonts w:ascii="Arial" w:hAnsi="Arial" w:cs="Arial"/>
          <w:i/>
          <w:iCs/>
        </w:rPr>
        <w:t>Hum Genet</w:t>
      </w:r>
      <w:r w:rsidR="008D0565" w:rsidRPr="00D61F73">
        <w:rPr>
          <w:rFonts w:ascii="Arial" w:hAnsi="Arial" w:cs="Arial"/>
        </w:rPr>
        <w:t>. 2012;131:823-42.</w:t>
      </w:r>
    </w:p>
    <w:p w14:paraId="133A5810" w14:textId="77777777" w:rsidR="008D0565" w:rsidRPr="00D61F73" w:rsidRDefault="008D0565" w:rsidP="00D61F73">
      <w:pPr>
        <w:rPr>
          <w:rFonts w:ascii="Arial" w:hAnsi="Arial" w:cs="Arial"/>
        </w:rPr>
      </w:pPr>
    </w:p>
    <w:p w14:paraId="4051267E" w14:textId="77777777" w:rsidR="008D0565" w:rsidRPr="00D61F73" w:rsidRDefault="00751163" w:rsidP="00D61F73">
      <w:pPr>
        <w:rPr>
          <w:rFonts w:ascii="Arial" w:hAnsi="Arial" w:cs="Arial"/>
        </w:rPr>
      </w:pPr>
      <w:hyperlink w:anchor="LexiComp" w:history="1">
        <w:r w:rsidR="008D0565" w:rsidRPr="00D61F73">
          <w:rPr>
            <w:rStyle w:val="Hyperlink"/>
            <w:rFonts w:ascii="Arial" w:hAnsi="Arial" w:cs="Arial"/>
          </w:rPr>
          <w:t>Lexi-Comp Inc</w:t>
        </w:r>
      </w:hyperlink>
      <w:r w:rsidR="008D0565" w:rsidRPr="00D61F73">
        <w:rPr>
          <w:rFonts w:ascii="Arial" w:hAnsi="Arial" w:cs="Arial"/>
        </w:rPr>
        <w:t>. Lexi-Drugs OnlineTM , Hudson, Ohio: Lexi-Comp, Inc. 2008.</w:t>
      </w:r>
    </w:p>
    <w:p w14:paraId="043E90F6" w14:textId="77777777" w:rsidR="008D0565" w:rsidRPr="00D61F73" w:rsidRDefault="008D0565" w:rsidP="00D61F73">
      <w:pPr>
        <w:rPr>
          <w:rFonts w:ascii="Arial" w:hAnsi="Arial" w:cs="Arial"/>
        </w:rPr>
      </w:pPr>
    </w:p>
    <w:p w14:paraId="6F4BD108" w14:textId="77777777" w:rsidR="008D0565" w:rsidRPr="00D61F73" w:rsidRDefault="00751163" w:rsidP="00D61F73">
      <w:pPr>
        <w:rPr>
          <w:rFonts w:ascii="Arial" w:hAnsi="Arial" w:cs="Arial"/>
        </w:rPr>
      </w:pPr>
      <w:hyperlink w:anchor="Liebrenz2010" w:history="1">
        <w:r w:rsidR="008D0565" w:rsidRPr="00D61F73">
          <w:rPr>
            <w:rStyle w:val="Hyperlink"/>
            <w:rFonts w:ascii="Arial" w:hAnsi="Arial" w:cs="Arial"/>
          </w:rPr>
          <w:t>Liebrenz M, Boesch L, Stohler R, Caflisch C</w:t>
        </w:r>
      </w:hyperlink>
      <w:r w:rsidR="008D0565" w:rsidRPr="00D61F73">
        <w:rPr>
          <w:rFonts w:ascii="Arial" w:hAnsi="Arial" w:cs="Arial"/>
        </w:rPr>
        <w:t xml:space="preserve">. Agonist substitution--a treatment alternative for high-dose benzodiazepine-dependent patients? </w:t>
      </w:r>
      <w:r w:rsidR="008D0565" w:rsidRPr="00D61F73">
        <w:rPr>
          <w:rFonts w:ascii="Arial" w:hAnsi="Arial" w:cs="Arial"/>
          <w:i/>
        </w:rPr>
        <w:t>Addiction</w:t>
      </w:r>
      <w:r w:rsidR="008D0565" w:rsidRPr="00D61F73">
        <w:rPr>
          <w:rFonts w:ascii="Arial" w:hAnsi="Arial" w:cs="Arial"/>
        </w:rPr>
        <w:t>. 2010;105:1870-4.</w:t>
      </w:r>
    </w:p>
    <w:p w14:paraId="4A9F0B6E" w14:textId="77777777" w:rsidR="008D0565" w:rsidRPr="00D61F73" w:rsidRDefault="008D0565" w:rsidP="00D61F73">
      <w:pPr>
        <w:rPr>
          <w:rFonts w:ascii="Arial" w:hAnsi="Arial" w:cs="Arial"/>
        </w:rPr>
      </w:pPr>
    </w:p>
    <w:p w14:paraId="5286479D" w14:textId="77777777" w:rsidR="008D0565" w:rsidRPr="00D61F73" w:rsidRDefault="00751163" w:rsidP="00D61F73">
      <w:pPr>
        <w:pStyle w:val="NormalWeb"/>
        <w:spacing w:before="0" w:beforeAutospacing="0" w:after="0" w:afterAutospacing="0"/>
        <w:rPr>
          <w:rFonts w:ascii="Arial" w:hAnsi="Arial" w:cs="Arial"/>
        </w:rPr>
      </w:pPr>
      <w:hyperlink w:anchor="Lin2" w:history="1">
        <w:r w:rsidR="008D0565" w:rsidRPr="00D61F73">
          <w:rPr>
            <w:rStyle w:val="Hyperlink"/>
            <w:rFonts w:ascii="Arial" w:hAnsi="Arial" w:cs="Arial"/>
          </w:rPr>
          <w:t>Lin J, Zhang W, Jones A, Doherty M.</w:t>
        </w:r>
      </w:hyperlink>
      <w:r w:rsidR="008D0565" w:rsidRPr="00D61F73">
        <w:rPr>
          <w:rFonts w:ascii="Arial" w:hAnsi="Arial" w:cs="Arial"/>
        </w:rPr>
        <w:t xml:space="preserve"> Efficacy of topical non-steroidal anti-inflammatory drugs in the treatment of osteoarthritis: meta-analysis of randomised controlled trials. </w:t>
      </w:r>
      <w:r w:rsidR="008D0565" w:rsidRPr="00D61F73">
        <w:rPr>
          <w:rFonts w:ascii="Arial" w:hAnsi="Arial" w:cs="Arial"/>
          <w:i/>
          <w:iCs/>
        </w:rPr>
        <w:t>BMJ</w:t>
      </w:r>
      <w:r w:rsidR="008D0565" w:rsidRPr="00D61F73">
        <w:rPr>
          <w:rFonts w:ascii="Arial" w:hAnsi="Arial" w:cs="Arial"/>
        </w:rPr>
        <w:t>. 2004 Aug 7;329(7461):324.</w:t>
      </w:r>
    </w:p>
    <w:p w14:paraId="047624E9" w14:textId="77777777" w:rsidR="008D0565" w:rsidRPr="00D61F73" w:rsidRDefault="008D0565" w:rsidP="00D61F73">
      <w:pPr>
        <w:pStyle w:val="Footer"/>
        <w:tabs>
          <w:tab w:val="clear" w:pos="4320"/>
          <w:tab w:val="clear" w:pos="8640"/>
        </w:tabs>
        <w:rPr>
          <w:rFonts w:ascii="Arial" w:hAnsi="Arial" w:cs="Arial"/>
        </w:rPr>
      </w:pPr>
    </w:p>
    <w:p w14:paraId="4372AE13" w14:textId="77777777" w:rsidR="008D0565" w:rsidRPr="00D61F73" w:rsidRDefault="00751163" w:rsidP="00D61F73">
      <w:pPr>
        <w:pStyle w:val="Footer"/>
        <w:tabs>
          <w:tab w:val="clear" w:pos="4320"/>
          <w:tab w:val="clear" w:pos="8640"/>
        </w:tabs>
        <w:rPr>
          <w:rFonts w:ascii="Arial" w:hAnsi="Arial" w:cs="Arial"/>
        </w:rPr>
      </w:pPr>
      <w:hyperlink w:anchor="LingfordHughes2004" w:history="1">
        <w:r w:rsidR="008D0565" w:rsidRPr="00D61F73">
          <w:rPr>
            <w:rStyle w:val="Hyperlink"/>
            <w:rFonts w:ascii="Arial" w:hAnsi="Arial" w:cs="Arial"/>
          </w:rPr>
          <w:t>Lingford-Hughes AR, Welch S, Nutt DJ; British Association for Psychopharmacology</w:t>
        </w:r>
      </w:hyperlink>
      <w:r w:rsidR="008D0565" w:rsidRPr="00D61F73">
        <w:rPr>
          <w:rFonts w:ascii="Arial" w:hAnsi="Arial" w:cs="Arial"/>
        </w:rPr>
        <w:t xml:space="preserve">.Evidence-based guidelines for the pharmacological management of substance misuse, addiction and comorbidity: recommendations from the British Association for Psychopharmacology. </w:t>
      </w:r>
      <w:r w:rsidR="008D0565" w:rsidRPr="00D61F73">
        <w:rPr>
          <w:rFonts w:ascii="Arial" w:hAnsi="Arial" w:cs="Arial"/>
          <w:i/>
        </w:rPr>
        <w:t>J Psychopharmacol</w:t>
      </w:r>
      <w:r w:rsidR="008D0565" w:rsidRPr="00D61F73">
        <w:rPr>
          <w:rFonts w:ascii="Arial" w:hAnsi="Arial" w:cs="Arial"/>
        </w:rPr>
        <w:t>. 2004 Sep;18:293-335</w:t>
      </w:r>
    </w:p>
    <w:p w14:paraId="218CE7EB" w14:textId="77777777" w:rsidR="008D0565" w:rsidRPr="00D61F73" w:rsidRDefault="008D0565" w:rsidP="00D61F73">
      <w:pPr>
        <w:pStyle w:val="Footer"/>
        <w:tabs>
          <w:tab w:val="clear" w:pos="4320"/>
          <w:tab w:val="clear" w:pos="8640"/>
        </w:tabs>
        <w:rPr>
          <w:rFonts w:ascii="Arial" w:hAnsi="Arial" w:cs="Arial"/>
        </w:rPr>
      </w:pPr>
    </w:p>
    <w:p w14:paraId="35A9F41E" w14:textId="77777777" w:rsidR="008D0565" w:rsidRPr="00D61F73" w:rsidRDefault="00751163" w:rsidP="00D61F73">
      <w:pPr>
        <w:pStyle w:val="Footer"/>
        <w:tabs>
          <w:tab w:val="clear" w:pos="4320"/>
          <w:tab w:val="clear" w:pos="8640"/>
        </w:tabs>
        <w:rPr>
          <w:rFonts w:ascii="Arial" w:hAnsi="Arial" w:cs="Arial"/>
        </w:rPr>
      </w:pPr>
      <w:hyperlink w:anchor="Lorberg" w:history="1">
        <w:r w:rsidR="008D0565" w:rsidRPr="00D61F73">
          <w:rPr>
            <w:rStyle w:val="Hyperlink"/>
            <w:rFonts w:ascii="Arial" w:hAnsi="Arial" w:cs="Arial"/>
          </w:rPr>
          <w:t>Lorberg B, Youssef NA, Bhagwagar Z.</w:t>
        </w:r>
      </w:hyperlink>
      <w:r w:rsidR="008D0565" w:rsidRPr="00D61F73">
        <w:rPr>
          <w:rFonts w:ascii="Arial" w:hAnsi="Arial" w:cs="Arial"/>
        </w:rPr>
        <w:t xml:space="preserve"> Lamotrigine-associated rash: to rechallenge or not to rechallenge? </w:t>
      </w:r>
      <w:r w:rsidR="008D0565" w:rsidRPr="00D61F73">
        <w:rPr>
          <w:rFonts w:ascii="Arial" w:hAnsi="Arial" w:cs="Arial"/>
          <w:i/>
          <w:iCs/>
        </w:rPr>
        <w:t>Int J Neuropsychopharmacol</w:t>
      </w:r>
      <w:r w:rsidR="008D0565" w:rsidRPr="00D61F73">
        <w:rPr>
          <w:rFonts w:ascii="Arial" w:hAnsi="Arial" w:cs="Arial"/>
        </w:rPr>
        <w:t>. 2008 Oct 10:1-9. [Epub ahead of print].</w:t>
      </w:r>
    </w:p>
    <w:p w14:paraId="54070341" w14:textId="77777777" w:rsidR="008D0565" w:rsidRPr="00D61F73" w:rsidRDefault="008D0565" w:rsidP="00D61F73">
      <w:pPr>
        <w:pStyle w:val="Footer"/>
        <w:tabs>
          <w:tab w:val="clear" w:pos="4320"/>
          <w:tab w:val="clear" w:pos="8640"/>
        </w:tabs>
        <w:rPr>
          <w:rFonts w:ascii="Arial" w:hAnsi="Arial" w:cs="Arial"/>
        </w:rPr>
      </w:pPr>
    </w:p>
    <w:p w14:paraId="2C14C515" w14:textId="77777777" w:rsidR="008D0565" w:rsidRPr="00D61F73" w:rsidRDefault="00751163" w:rsidP="00D61F73">
      <w:pPr>
        <w:pStyle w:val="Footer"/>
        <w:tabs>
          <w:tab w:val="clear" w:pos="4320"/>
          <w:tab w:val="clear" w:pos="8640"/>
        </w:tabs>
        <w:rPr>
          <w:rFonts w:ascii="Arial" w:hAnsi="Arial" w:cs="Arial"/>
          <w:lang w:val="en"/>
        </w:rPr>
      </w:pPr>
      <w:hyperlink w:anchor="Lynch" w:history="1">
        <w:r w:rsidR="008D0565" w:rsidRPr="00D61F73">
          <w:rPr>
            <w:rStyle w:val="Hyperlink"/>
            <w:rFonts w:ascii="Arial" w:hAnsi="Arial" w:cs="Arial"/>
            <w:lang w:val="en"/>
          </w:rPr>
          <w:t>Lynch SS, Cheng CM, Yee JL</w:t>
        </w:r>
      </w:hyperlink>
      <w:r w:rsidR="008D0565" w:rsidRPr="00D61F73">
        <w:rPr>
          <w:rFonts w:ascii="Arial" w:hAnsi="Arial" w:cs="Arial"/>
          <w:lang w:val="en"/>
        </w:rPr>
        <w:t>.Intrathecal ziconotide for refractory chronic pain.</w:t>
      </w:r>
      <w:r w:rsidR="008D0565" w:rsidRPr="00D61F73">
        <w:rPr>
          <w:rFonts w:ascii="Arial" w:hAnsi="Arial" w:cs="Arial"/>
          <w:i/>
          <w:lang w:val="en"/>
        </w:rPr>
        <w:t>Ann Pharmacothe</w:t>
      </w:r>
      <w:r w:rsidR="008D0565" w:rsidRPr="00D61F73">
        <w:rPr>
          <w:rFonts w:ascii="Arial" w:hAnsi="Arial" w:cs="Arial"/>
          <w:lang w:val="en"/>
        </w:rPr>
        <w:t>r. 2006;;40:1293-300.</w:t>
      </w:r>
    </w:p>
    <w:p w14:paraId="33D982C2" w14:textId="77777777" w:rsidR="008D0565" w:rsidRPr="00D61F73" w:rsidRDefault="008D0565" w:rsidP="00D61F73">
      <w:pPr>
        <w:pStyle w:val="Footer"/>
        <w:tabs>
          <w:tab w:val="clear" w:pos="4320"/>
          <w:tab w:val="clear" w:pos="8640"/>
        </w:tabs>
        <w:rPr>
          <w:rFonts w:ascii="Arial" w:hAnsi="Arial" w:cs="Arial"/>
        </w:rPr>
      </w:pPr>
    </w:p>
    <w:p w14:paraId="3A7A14EF" w14:textId="77777777" w:rsidR="008D0565" w:rsidRPr="00D61F73" w:rsidRDefault="00751163" w:rsidP="00D61F73">
      <w:pPr>
        <w:pStyle w:val="Footer"/>
        <w:tabs>
          <w:tab w:val="clear" w:pos="4320"/>
          <w:tab w:val="clear" w:pos="8640"/>
        </w:tabs>
        <w:rPr>
          <w:rFonts w:ascii="Arial" w:hAnsi="Arial" w:cs="Arial"/>
        </w:rPr>
      </w:pPr>
      <w:hyperlink w:anchor="Lynch2" w:history="1">
        <w:r w:rsidR="008D0565" w:rsidRPr="00D61F73">
          <w:rPr>
            <w:rStyle w:val="Hyperlink"/>
            <w:rFonts w:ascii="Arial" w:hAnsi="Arial" w:cs="Arial"/>
          </w:rPr>
          <w:t>Lynch ME, Clark AJ, Sawynok J, Sullivan MJ</w:t>
        </w:r>
      </w:hyperlink>
      <w:r w:rsidR="008D0565" w:rsidRPr="00D61F73">
        <w:rPr>
          <w:rFonts w:ascii="Arial" w:hAnsi="Arial" w:cs="Arial"/>
        </w:rPr>
        <w:t xml:space="preserve">. Topical 2% amitriptyline and 1% ketamine in neuropathic pain syndromes: a randomized, double-blind, placebo-controlled trial. </w:t>
      </w:r>
      <w:r w:rsidR="008D0565" w:rsidRPr="00D61F73">
        <w:rPr>
          <w:rFonts w:ascii="Arial" w:hAnsi="Arial" w:cs="Arial"/>
          <w:i/>
        </w:rPr>
        <w:t>Anesthesiology</w:t>
      </w:r>
      <w:r w:rsidR="008D0565" w:rsidRPr="00D61F73">
        <w:rPr>
          <w:rFonts w:ascii="Arial" w:hAnsi="Arial" w:cs="Arial"/>
        </w:rPr>
        <w:t>. 2005;103:140-6.</w:t>
      </w:r>
    </w:p>
    <w:p w14:paraId="7881E119" w14:textId="77777777" w:rsidR="008D0565" w:rsidRPr="00D61F73" w:rsidRDefault="008D0565" w:rsidP="00D61F73">
      <w:pPr>
        <w:pStyle w:val="Footer"/>
        <w:tabs>
          <w:tab w:val="clear" w:pos="4320"/>
          <w:tab w:val="clear" w:pos="8640"/>
        </w:tabs>
        <w:rPr>
          <w:rFonts w:ascii="Arial" w:hAnsi="Arial" w:cs="Arial"/>
        </w:rPr>
      </w:pPr>
    </w:p>
    <w:p w14:paraId="29A578D7" w14:textId="77777777" w:rsidR="008D0565" w:rsidRPr="00D61F73" w:rsidRDefault="00751163" w:rsidP="00D61F73">
      <w:pPr>
        <w:pStyle w:val="Footer"/>
        <w:tabs>
          <w:tab w:val="clear" w:pos="4320"/>
          <w:tab w:val="clear" w:pos="8640"/>
        </w:tabs>
        <w:rPr>
          <w:rFonts w:ascii="Arial" w:hAnsi="Arial" w:cs="Arial"/>
        </w:rPr>
      </w:pPr>
      <w:hyperlink w:anchor="Lyseng" w:history="1">
        <w:r w:rsidR="008D0565" w:rsidRPr="00D61F73">
          <w:rPr>
            <w:rStyle w:val="Hyperlink"/>
            <w:rFonts w:ascii="Arial" w:hAnsi="Arial" w:cs="Arial"/>
          </w:rPr>
          <w:t>Lyseng-Williamson KA, Perry C</w:t>
        </w:r>
      </w:hyperlink>
      <w:r w:rsidR="008D0565" w:rsidRPr="00D61F73">
        <w:rPr>
          <w:rFonts w:ascii="Arial" w:hAnsi="Arial" w:cs="Arial"/>
        </w:rPr>
        <w:t xml:space="preserve">. Ziconotide. </w:t>
      </w:r>
      <w:r w:rsidR="008D0565" w:rsidRPr="00D61F73">
        <w:rPr>
          <w:rFonts w:ascii="Arial" w:hAnsi="Arial" w:cs="Arial"/>
          <w:i/>
          <w:iCs/>
        </w:rPr>
        <w:t>CNS Drugs</w:t>
      </w:r>
      <w:r w:rsidR="008D0565" w:rsidRPr="00D61F73">
        <w:rPr>
          <w:rFonts w:ascii="Arial" w:hAnsi="Arial" w:cs="Arial"/>
        </w:rPr>
        <w:t>. 2006;20(4):331-8</w:t>
      </w:r>
    </w:p>
    <w:p w14:paraId="4C199437" w14:textId="77777777" w:rsidR="008D0565" w:rsidRPr="00D61F73" w:rsidRDefault="008D0565" w:rsidP="00D61F73">
      <w:pPr>
        <w:pStyle w:val="Footer"/>
        <w:tabs>
          <w:tab w:val="clear" w:pos="4320"/>
          <w:tab w:val="clear" w:pos="8640"/>
        </w:tabs>
        <w:rPr>
          <w:rFonts w:ascii="Arial" w:hAnsi="Arial" w:cs="Arial"/>
        </w:rPr>
      </w:pPr>
    </w:p>
    <w:p w14:paraId="0C57E018" w14:textId="77777777" w:rsidR="008D0565" w:rsidRPr="00D61F73" w:rsidRDefault="00751163" w:rsidP="00D61F73">
      <w:pPr>
        <w:rPr>
          <w:rFonts w:ascii="Arial" w:hAnsi="Arial" w:cs="Arial"/>
        </w:rPr>
      </w:pPr>
      <w:hyperlink w:anchor="Mackie" w:history="1">
        <w:r w:rsidR="008D0565" w:rsidRPr="00D61F73">
          <w:rPr>
            <w:rStyle w:val="Hyperlink"/>
            <w:rFonts w:ascii="Arial" w:hAnsi="Arial" w:cs="Arial"/>
          </w:rPr>
          <w:t>Mackie K, Huestis MA, Ratcliffe S, Mead AP.</w:t>
        </w:r>
      </w:hyperlink>
      <w:r w:rsidR="008D0565" w:rsidRPr="00D61F73">
        <w:rPr>
          <w:rFonts w:ascii="Arial" w:hAnsi="Arial" w:cs="Arial"/>
        </w:rPr>
        <w:t xml:space="preserve"> Cannabinoids -- a new class of analgesics. Presentation of the 23rd Annual Meeting of the American Academy of Pain Medicine; February 8, 2007; New Orleans, Louisiana.</w:t>
      </w:r>
    </w:p>
    <w:p w14:paraId="223CB197" w14:textId="77777777" w:rsidR="008D0565" w:rsidRPr="00D61F73" w:rsidRDefault="008D0565" w:rsidP="00D61F73">
      <w:pPr>
        <w:rPr>
          <w:rFonts w:ascii="Arial" w:hAnsi="Arial" w:cs="Arial"/>
        </w:rPr>
      </w:pPr>
    </w:p>
    <w:p w14:paraId="0D75C287" w14:textId="77777777" w:rsidR="008D0565" w:rsidRPr="00D61F73" w:rsidRDefault="00751163" w:rsidP="00D61F73">
      <w:pPr>
        <w:rPr>
          <w:rFonts w:ascii="Arial" w:hAnsi="Arial" w:cs="Arial"/>
        </w:rPr>
      </w:pPr>
      <w:hyperlink w:anchor="Maier2010" w:history="1">
        <w:r w:rsidR="008D0565" w:rsidRPr="00D61F73">
          <w:rPr>
            <w:rStyle w:val="Hyperlink"/>
            <w:rFonts w:ascii="Arial" w:hAnsi="Arial" w:cs="Arial"/>
          </w:rPr>
          <w:t>Maier C, Gockel HH, Gruhn K, Krumova EK, Edel MA</w:t>
        </w:r>
      </w:hyperlink>
      <w:r w:rsidR="008D0565" w:rsidRPr="00D61F73">
        <w:rPr>
          <w:rFonts w:ascii="Arial" w:hAnsi="Arial" w:cs="Arial"/>
        </w:rPr>
        <w:t xml:space="preserve">. Increased risk of suicide under intrathecal ziconotide treatment? - A warning. </w:t>
      </w:r>
      <w:r w:rsidR="008D0565" w:rsidRPr="00D61F73">
        <w:rPr>
          <w:rFonts w:ascii="Arial" w:hAnsi="Arial" w:cs="Arial"/>
          <w:i/>
          <w:iCs/>
        </w:rPr>
        <w:t>Pain.</w:t>
      </w:r>
      <w:r w:rsidR="008D0565" w:rsidRPr="00D61F73">
        <w:rPr>
          <w:rFonts w:ascii="Arial" w:hAnsi="Arial" w:cs="Arial"/>
        </w:rPr>
        <w:t xml:space="preserve"> 2010 Oct 30. [Epub ahead of print]</w:t>
      </w:r>
    </w:p>
    <w:p w14:paraId="79B47242" w14:textId="77777777" w:rsidR="008D0565" w:rsidRPr="00D61F73" w:rsidRDefault="008D0565" w:rsidP="00D61F73">
      <w:pPr>
        <w:pStyle w:val="Footer"/>
        <w:tabs>
          <w:tab w:val="clear" w:pos="4320"/>
          <w:tab w:val="clear" w:pos="8640"/>
        </w:tabs>
        <w:rPr>
          <w:rFonts w:ascii="Arial" w:hAnsi="Arial" w:cs="Arial"/>
        </w:rPr>
      </w:pPr>
    </w:p>
    <w:p w14:paraId="1A90372E" w14:textId="77777777" w:rsidR="008D0565" w:rsidRPr="00D61F73" w:rsidRDefault="00751163" w:rsidP="00D61F73">
      <w:pPr>
        <w:pStyle w:val="NormalWeb"/>
        <w:spacing w:before="0" w:beforeAutospacing="0" w:after="0" w:afterAutospacing="0"/>
        <w:rPr>
          <w:rFonts w:ascii="Arial" w:hAnsi="Arial" w:cs="Arial"/>
        </w:rPr>
      </w:pPr>
      <w:hyperlink w:anchor="Maizels" w:history="1">
        <w:r w:rsidR="008D0565" w:rsidRPr="00D61F73">
          <w:rPr>
            <w:rStyle w:val="Hyperlink"/>
            <w:rFonts w:ascii="Arial" w:hAnsi="Arial" w:cs="Arial"/>
          </w:rPr>
          <w:t>Maizels M, McCarberg B</w:t>
        </w:r>
      </w:hyperlink>
      <w:r w:rsidR="008D0565" w:rsidRPr="00D61F73">
        <w:rPr>
          <w:rFonts w:ascii="Arial" w:hAnsi="Arial" w:cs="Arial"/>
        </w:rPr>
        <w:t xml:space="preserve">. Antidepressants and antiepileptic drugs for chronic non-cancer pain. </w:t>
      </w:r>
      <w:r w:rsidR="008D0565" w:rsidRPr="00D61F73">
        <w:rPr>
          <w:rFonts w:ascii="Arial" w:hAnsi="Arial" w:cs="Arial"/>
          <w:i/>
          <w:iCs/>
        </w:rPr>
        <w:t>Am Fam Physician</w:t>
      </w:r>
      <w:r w:rsidR="008D0565" w:rsidRPr="00D61F73">
        <w:rPr>
          <w:rFonts w:ascii="Arial" w:hAnsi="Arial" w:cs="Arial"/>
        </w:rPr>
        <w:t>. 2005 Feb 1;71(3):483-90.</w:t>
      </w:r>
    </w:p>
    <w:p w14:paraId="29A19416" w14:textId="77777777" w:rsidR="008D0565" w:rsidRPr="00D61F73" w:rsidRDefault="008D0565" w:rsidP="00D61F73">
      <w:pPr>
        <w:rPr>
          <w:rFonts w:ascii="Arial" w:hAnsi="Arial" w:cs="Arial"/>
        </w:rPr>
      </w:pPr>
    </w:p>
    <w:p w14:paraId="36BAE88F" w14:textId="77777777" w:rsidR="008D0565" w:rsidRPr="00D61F73" w:rsidRDefault="00751163" w:rsidP="00D61F73">
      <w:pPr>
        <w:rPr>
          <w:rFonts w:ascii="Arial" w:hAnsi="Arial" w:cs="Arial"/>
        </w:rPr>
      </w:pPr>
      <w:hyperlink w:anchor="Makris2010" w:history="1">
        <w:r w:rsidR="008D0565" w:rsidRPr="00D61F73">
          <w:rPr>
            <w:rStyle w:val="Hyperlink"/>
            <w:rFonts w:ascii="Arial" w:hAnsi="Arial" w:cs="Arial"/>
          </w:rPr>
          <w:t>Makris UE, Kohler MJ, Fraenkel L</w:t>
        </w:r>
      </w:hyperlink>
      <w:r w:rsidR="008D0565" w:rsidRPr="00D61F73">
        <w:rPr>
          <w:rFonts w:ascii="Arial" w:hAnsi="Arial" w:cs="Arial"/>
        </w:rPr>
        <w:t xml:space="preserve">. Adverse effects of topical nonsteroidal antiinflammatory drugs in older adults with osteoarthritis: a systematic literature review. </w:t>
      </w:r>
      <w:r w:rsidR="008D0565" w:rsidRPr="00D61F73">
        <w:rPr>
          <w:rFonts w:ascii="Arial" w:hAnsi="Arial" w:cs="Arial"/>
          <w:i/>
        </w:rPr>
        <w:t>J Rheumatol</w:t>
      </w:r>
      <w:r w:rsidR="008D0565" w:rsidRPr="00D61F73">
        <w:rPr>
          <w:rFonts w:ascii="Arial" w:hAnsi="Arial" w:cs="Arial"/>
        </w:rPr>
        <w:t>. 2010;37:1236-43. Review.</w:t>
      </w:r>
    </w:p>
    <w:p w14:paraId="3B788440" w14:textId="77777777" w:rsidR="008D0565" w:rsidRPr="00D61F73" w:rsidRDefault="008D0565" w:rsidP="00D61F73">
      <w:pPr>
        <w:rPr>
          <w:rFonts w:ascii="Arial" w:hAnsi="Arial" w:cs="Arial"/>
        </w:rPr>
      </w:pPr>
    </w:p>
    <w:p w14:paraId="19765DF9" w14:textId="77777777" w:rsidR="008D0565" w:rsidRPr="00D61F73" w:rsidRDefault="00751163" w:rsidP="00D61F73">
      <w:pPr>
        <w:rPr>
          <w:rFonts w:ascii="Arial" w:hAnsi="Arial" w:cs="Arial"/>
        </w:rPr>
      </w:pPr>
      <w:hyperlink w:anchor="Malanga2008" w:history="1">
        <w:r w:rsidR="008D0565" w:rsidRPr="00D61F73">
          <w:rPr>
            <w:rStyle w:val="Hyperlink"/>
            <w:rFonts w:ascii="Arial" w:hAnsi="Arial" w:cs="Arial"/>
          </w:rPr>
          <w:t>Malanga G, Wolff E</w:t>
        </w:r>
      </w:hyperlink>
      <w:r w:rsidR="008D0565" w:rsidRPr="00D61F73">
        <w:rPr>
          <w:rFonts w:ascii="Arial" w:hAnsi="Arial" w:cs="Arial"/>
        </w:rPr>
        <w:t xml:space="preserve">. Evidence-informed management of chronic low back pain with nonsteroidal anti-inflammatory drugs, muscle relaxants, and simple analgesics. </w:t>
      </w:r>
      <w:r w:rsidR="008D0565" w:rsidRPr="00D61F73">
        <w:rPr>
          <w:rFonts w:ascii="Arial" w:hAnsi="Arial" w:cs="Arial"/>
          <w:i/>
        </w:rPr>
        <w:t>Spine J</w:t>
      </w:r>
      <w:r w:rsidR="008D0565" w:rsidRPr="00D61F73">
        <w:rPr>
          <w:rFonts w:ascii="Arial" w:hAnsi="Arial" w:cs="Arial"/>
        </w:rPr>
        <w:t>. 2008;8:173-84.</w:t>
      </w:r>
    </w:p>
    <w:p w14:paraId="6CFFE150" w14:textId="77777777" w:rsidR="008D0565" w:rsidRPr="00D61F73" w:rsidRDefault="008D0565" w:rsidP="00D61F73">
      <w:pPr>
        <w:rPr>
          <w:rFonts w:ascii="Arial" w:hAnsi="Arial" w:cs="Arial"/>
        </w:rPr>
      </w:pPr>
    </w:p>
    <w:p w14:paraId="2F739B52" w14:textId="77777777" w:rsidR="008D0565" w:rsidRPr="00D61F73" w:rsidRDefault="00751163" w:rsidP="00D61F73">
      <w:pPr>
        <w:rPr>
          <w:rFonts w:ascii="Arial" w:hAnsi="Arial" w:cs="Arial"/>
        </w:rPr>
      </w:pPr>
      <w:hyperlink w:anchor="Malanga2002" w:history="1">
        <w:r w:rsidR="008D0565" w:rsidRPr="00D61F73">
          <w:rPr>
            <w:rStyle w:val="Hyperlink"/>
            <w:rFonts w:ascii="Arial" w:hAnsi="Arial" w:cs="Arial"/>
          </w:rPr>
          <w:t>Malanga GA, Gwynn MW, Smith R, Miller D</w:t>
        </w:r>
      </w:hyperlink>
      <w:r w:rsidR="008D0565" w:rsidRPr="00D61F73">
        <w:rPr>
          <w:rFonts w:ascii="Arial" w:hAnsi="Arial" w:cs="Arial"/>
        </w:rPr>
        <w:t xml:space="preserve">. Tizanidine is effective in the treatment of myofascial pain syndrome. </w:t>
      </w:r>
      <w:r w:rsidR="008D0565" w:rsidRPr="00D61F73">
        <w:rPr>
          <w:rFonts w:ascii="Arial" w:hAnsi="Arial" w:cs="Arial"/>
          <w:i/>
        </w:rPr>
        <w:t>Pain Physician</w:t>
      </w:r>
      <w:r w:rsidR="008D0565" w:rsidRPr="00D61F73">
        <w:rPr>
          <w:rFonts w:ascii="Arial" w:hAnsi="Arial" w:cs="Arial"/>
        </w:rPr>
        <w:t>. 2002;5:422-32.</w:t>
      </w:r>
    </w:p>
    <w:p w14:paraId="011A69F1" w14:textId="77777777" w:rsidR="008D0565" w:rsidRPr="00D61F73" w:rsidRDefault="008D0565" w:rsidP="00D61F73">
      <w:pPr>
        <w:rPr>
          <w:rFonts w:ascii="Arial" w:hAnsi="Arial" w:cs="Arial"/>
        </w:rPr>
      </w:pPr>
    </w:p>
    <w:p w14:paraId="6D5EEB29" w14:textId="77777777" w:rsidR="008D0565" w:rsidRPr="00D61F73" w:rsidRDefault="00751163" w:rsidP="00D61F73">
      <w:pPr>
        <w:rPr>
          <w:rFonts w:ascii="Arial" w:hAnsi="Arial" w:cs="Arial"/>
        </w:rPr>
      </w:pPr>
      <w:hyperlink w:anchor="Malfertheiner" w:history="1">
        <w:r w:rsidR="008D0565" w:rsidRPr="00D61F73">
          <w:rPr>
            <w:rStyle w:val="Hyperlink"/>
            <w:rFonts w:ascii="Arial" w:hAnsi="Arial" w:cs="Arial"/>
          </w:rPr>
          <w:t>Malfertheiner P, Chan FK, McColl KE</w:t>
        </w:r>
      </w:hyperlink>
      <w:r w:rsidR="008D0565" w:rsidRPr="00D61F73">
        <w:rPr>
          <w:rFonts w:ascii="Arial" w:hAnsi="Arial" w:cs="Arial"/>
        </w:rPr>
        <w:t xml:space="preserve">. Peptic ulcer disease. </w:t>
      </w:r>
      <w:r w:rsidR="008D0565" w:rsidRPr="00D61F73">
        <w:rPr>
          <w:rFonts w:ascii="Arial" w:hAnsi="Arial" w:cs="Arial"/>
          <w:i/>
        </w:rPr>
        <w:t>Lancet</w:t>
      </w:r>
      <w:r w:rsidR="008D0565" w:rsidRPr="00D61F73">
        <w:rPr>
          <w:rFonts w:ascii="Arial" w:hAnsi="Arial" w:cs="Arial"/>
        </w:rPr>
        <w:t xml:space="preserve"> 2009;374:1449-61.</w:t>
      </w:r>
    </w:p>
    <w:p w14:paraId="6D706EF7" w14:textId="77777777" w:rsidR="008D0565" w:rsidRPr="00D61F73" w:rsidRDefault="008D0565" w:rsidP="00D61F73">
      <w:pPr>
        <w:rPr>
          <w:rFonts w:ascii="Arial" w:hAnsi="Arial" w:cs="Arial"/>
        </w:rPr>
      </w:pPr>
    </w:p>
    <w:p w14:paraId="0D5DF4D7" w14:textId="77777777" w:rsidR="008D0565" w:rsidRPr="00D61F73" w:rsidRDefault="00751163" w:rsidP="00D61F73">
      <w:pPr>
        <w:pStyle w:val="Footer"/>
        <w:rPr>
          <w:rFonts w:ascii="Arial" w:hAnsi="Arial" w:cs="Arial"/>
        </w:rPr>
      </w:pPr>
      <w:hyperlink w:anchor="Manicourt" w:history="1">
        <w:r w:rsidR="008D0565" w:rsidRPr="00D61F73">
          <w:rPr>
            <w:rStyle w:val="Hyperlink"/>
            <w:rFonts w:ascii="Arial" w:hAnsi="Arial" w:cs="Arial"/>
          </w:rPr>
          <w:t>Manicourt DH, Brasseur JP, Boutsen Y, Depreseux G, Devogelaer JP.</w:t>
        </w:r>
      </w:hyperlink>
      <w:r w:rsidR="008D0565" w:rsidRPr="00D61F73">
        <w:rPr>
          <w:rFonts w:ascii="Arial" w:hAnsi="Arial" w:cs="Arial"/>
        </w:rPr>
        <w:t xml:space="preserve"> Role of alendronate in therapy for posttraumatic complex regional pain syndrome type I of the lower extremity. </w:t>
      </w:r>
      <w:r w:rsidR="008D0565" w:rsidRPr="00D61F73">
        <w:rPr>
          <w:rFonts w:ascii="Arial" w:hAnsi="Arial" w:cs="Arial"/>
          <w:i/>
          <w:iCs/>
        </w:rPr>
        <w:t>Arthritis Rheum</w:t>
      </w:r>
      <w:r w:rsidR="008D0565" w:rsidRPr="00D61F73">
        <w:rPr>
          <w:rFonts w:ascii="Arial" w:hAnsi="Arial" w:cs="Arial"/>
        </w:rPr>
        <w:t>. 2004 Nov;50(11):3690-7.</w:t>
      </w:r>
    </w:p>
    <w:p w14:paraId="6886A05D" w14:textId="77777777" w:rsidR="008D0565" w:rsidRPr="00D61F73" w:rsidRDefault="008D0565" w:rsidP="00D61F73">
      <w:pPr>
        <w:rPr>
          <w:rFonts w:ascii="Arial" w:hAnsi="Arial" w:cs="Arial"/>
        </w:rPr>
      </w:pPr>
    </w:p>
    <w:p w14:paraId="0FC2FBD6" w14:textId="77777777" w:rsidR="008D0565" w:rsidRPr="00D61F73" w:rsidRDefault="00751163" w:rsidP="00D61F73">
      <w:pPr>
        <w:rPr>
          <w:rFonts w:ascii="Arial" w:hAnsi="Arial" w:cs="Arial"/>
        </w:rPr>
      </w:pPr>
      <w:hyperlink w:anchor="Maremmani2013" w:history="1">
        <w:r w:rsidR="008D0565" w:rsidRPr="00D61F73">
          <w:rPr>
            <w:rStyle w:val="Hyperlink"/>
            <w:rFonts w:ascii="Arial" w:hAnsi="Arial" w:cs="Arial"/>
          </w:rPr>
          <w:t>Maremmani AG, Rovai L, Rugani F, Bacciardi S, Pacini M, Dell'osso L, Maremmani I.</w:t>
        </w:r>
      </w:hyperlink>
      <w:r w:rsidR="008D0565" w:rsidRPr="00D61F73">
        <w:rPr>
          <w:rFonts w:ascii="Arial" w:hAnsi="Arial" w:cs="Arial"/>
        </w:rPr>
        <w:t xml:space="preserve"> Clonazepam as agonist substitution treatment for benzodiazepine dependence: a case report</w:t>
      </w:r>
      <w:r w:rsidR="008D0565" w:rsidRPr="00D61F73">
        <w:rPr>
          <w:rFonts w:ascii="Arial" w:hAnsi="Arial" w:cs="Arial"/>
          <w:i/>
        </w:rPr>
        <w:t>. Case Rep Psychiatry</w:t>
      </w:r>
      <w:r w:rsidR="008D0565" w:rsidRPr="00D61F73">
        <w:rPr>
          <w:rFonts w:ascii="Arial" w:hAnsi="Arial" w:cs="Arial"/>
        </w:rPr>
        <w:t>. 2013;2013:367594.</w:t>
      </w:r>
    </w:p>
    <w:p w14:paraId="4643F15F" w14:textId="77777777" w:rsidR="008D0565" w:rsidRPr="00D61F73" w:rsidRDefault="008D0565" w:rsidP="00D61F73">
      <w:pPr>
        <w:rPr>
          <w:rFonts w:ascii="Arial" w:hAnsi="Arial" w:cs="Arial"/>
        </w:rPr>
      </w:pPr>
    </w:p>
    <w:p w14:paraId="378F9EEE" w14:textId="77777777" w:rsidR="008D0565" w:rsidRPr="00D61F73" w:rsidRDefault="00751163" w:rsidP="00D61F73">
      <w:pPr>
        <w:rPr>
          <w:rFonts w:ascii="Arial" w:hAnsi="Arial" w:cs="Arial"/>
        </w:rPr>
      </w:pPr>
      <w:hyperlink w:anchor="Mark2012" w:history="1">
        <w:r w:rsidR="008D0565" w:rsidRPr="00D61F73">
          <w:rPr>
            <w:rStyle w:val="Hyperlink"/>
            <w:rFonts w:ascii="Arial" w:hAnsi="Arial" w:cs="Arial"/>
          </w:rPr>
          <w:t>Mark TL, Dilonardo J, Vandivort R, Miller K</w:t>
        </w:r>
      </w:hyperlink>
      <w:r w:rsidR="008D0565" w:rsidRPr="00D61F73">
        <w:rPr>
          <w:rFonts w:ascii="Arial" w:hAnsi="Arial" w:cs="Arial"/>
        </w:rPr>
        <w:t xml:space="preserve">. Psychiatric and medical comorbidities, associated pain, and health care utilization of patients prescribed buprenorphine. </w:t>
      </w:r>
      <w:r w:rsidR="008D0565" w:rsidRPr="00D61F73">
        <w:rPr>
          <w:rFonts w:ascii="Arial" w:hAnsi="Arial" w:cs="Arial"/>
          <w:i/>
          <w:iCs/>
        </w:rPr>
        <w:t>J Subst Abuse Treat</w:t>
      </w:r>
      <w:r w:rsidR="008D0565" w:rsidRPr="00D61F73">
        <w:rPr>
          <w:rFonts w:ascii="Arial" w:hAnsi="Arial" w:cs="Arial"/>
        </w:rPr>
        <w:t>. 2012 Dec 21. doi:pii: S0740-5472(12)00426-6.</w:t>
      </w:r>
    </w:p>
    <w:p w14:paraId="1BD0ED00" w14:textId="77777777" w:rsidR="008D0565" w:rsidRPr="00D61F73" w:rsidRDefault="008D0565" w:rsidP="00D61F73">
      <w:pPr>
        <w:rPr>
          <w:rFonts w:ascii="Arial" w:hAnsi="Arial" w:cs="Arial"/>
        </w:rPr>
      </w:pPr>
    </w:p>
    <w:p w14:paraId="3920D8FD" w14:textId="77777777" w:rsidR="008D0565" w:rsidRPr="00D61F73" w:rsidRDefault="00751163" w:rsidP="00D61F73">
      <w:pPr>
        <w:rPr>
          <w:rFonts w:ascii="Arial" w:hAnsi="Arial" w:cs="Arial"/>
        </w:rPr>
      </w:pPr>
      <w:hyperlink w:anchor="Maroon" w:history="1">
        <w:r w:rsidR="008D0565" w:rsidRPr="00D61F73">
          <w:rPr>
            <w:rStyle w:val="Hyperlink"/>
            <w:rFonts w:ascii="Arial" w:hAnsi="Arial" w:cs="Arial"/>
          </w:rPr>
          <w:t>Maroon JC, Bost JW, Borden MK, Lorenz KM, Ross NA</w:t>
        </w:r>
      </w:hyperlink>
      <w:r w:rsidR="008D0565" w:rsidRPr="00D61F73">
        <w:rPr>
          <w:rFonts w:ascii="Arial" w:hAnsi="Arial" w:cs="Arial"/>
        </w:rPr>
        <w:t xml:space="preserve">. Natural antiinflammatory agents for pain relief in athletes. </w:t>
      </w:r>
      <w:r w:rsidR="008D0565" w:rsidRPr="00D61F73">
        <w:rPr>
          <w:rFonts w:ascii="Arial" w:hAnsi="Arial" w:cs="Arial"/>
          <w:i/>
          <w:iCs/>
        </w:rPr>
        <w:t>Neurosurg Focus</w:t>
      </w:r>
      <w:r w:rsidR="008D0565" w:rsidRPr="00D61F73">
        <w:rPr>
          <w:rFonts w:ascii="Arial" w:hAnsi="Arial" w:cs="Arial"/>
        </w:rPr>
        <w:t>. 2006 Oct 15;21(4):E11.</w:t>
      </w:r>
    </w:p>
    <w:p w14:paraId="3C314065" w14:textId="77777777" w:rsidR="008D0565" w:rsidRPr="00D61F73" w:rsidRDefault="008D0565" w:rsidP="00D61F73">
      <w:pPr>
        <w:pStyle w:val="Footer"/>
        <w:tabs>
          <w:tab w:val="clear" w:pos="4320"/>
          <w:tab w:val="clear" w:pos="8640"/>
        </w:tabs>
        <w:rPr>
          <w:rFonts w:ascii="Arial" w:hAnsi="Arial" w:cs="Arial"/>
        </w:rPr>
      </w:pPr>
    </w:p>
    <w:p w14:paraId="48803E67" w14:textId="77777777" w:rsidR="008D0565" w:rsidRPr="00D61F73" w:rsidRDefault="00751163" w:rsidP="00D61F73">
      <w:pPr>
        <w:rPr>
          <w:rFonts w:ascii="Arial" w:hAnsi="Arial" w:cs="Arial"/>
        </w:rPr>
      </w:pPr>
      <w:hyperlink w:anchor="Martin" w:history="1">
        <w:r w:rsidR="008D0565" w:rsidRPr="00D61F73">
          <w:rPr>
            <w:rStyle w:val="Hyperlink"/>
            <w:rFonts w:ascii="Arial" w:hAnsi="Arial" w:cs="Arial"/>
          </w:rPr>
          <w:t>Martin, T., et al</w:t>
        </w:r>
      </w:hyperlink>
      <w:r w:rsidR="008D0565" w:rsidRPr="00D61F73">
        <w:rPr>
          <w:rFonts w:ascii="Arial" w:hAnsi="Arial" w:cs="Arial"/>
        </w:rPr>
        <w:t>. Pharmacology of Opioid and Nonopioid Analgesics in Chronic Pain. The Journal of Pharmacology and Experimental Therapeutics. 2001;Volume 299, Number 3: 811-7.</w:t>
      </w:r>
    </w:p>
    <w:p w14:paraId="7AE6DBD7" w14:textId="77777777" w:rsidR="008D0565" w:rsidRPr="00D61F73" w:rsidRDefault="008D0565" w:rsidP="00D61F73">
      <w:pPr>
        <w:rPr>
          <w:rFonts w:ascii="Arial" w:hAnsi="Arial" w:cs="Arial"/>
        </w:rPr>
      </w:pPr>
    </w:p>
    <w:p w14:paraId="058CD2ED" w14:textId="77777777" w:rsidR="008D0565" w:rsidRPr="00D61F73" w:rsidRDefault="00751163" w:rsidP="00D61F73">
      <w:pPr>
        <w:rPr>
          <w:rFonts w:ascii="Arial" w:hAnsi="Arial" w:cs="Arial"/>
        </w:rPr>
      </w:pPr>
      <w:hyperlink w:anchor="Mason" w:history="1">
        <w:r w:rsidR="008D0565" w:rsidRPr="00D61F73">
          <w:rPr>
            <w:rStyle w:val="Hyperlink"/>
            <w:rFonts w:ascii="Arial" w:hAnsi="Arial" w:cs="Arial"/>
          </w:rPr>
          <w:t>Mason L, Moore RA, Edwards JE, McQuay HJ, Derry S, Wiffen PJ.</w:t>
        </w:r>
      </w:hyperlink>
      <w:r w:rsidR="008D0565" w:rsidRPr="00D61F73">
        <w:rPr>
          <w:rFonts w:ascii="Arial" w:hAnsi="Arial" w:cs="Arial"/>
        </w:rPr>
        <w:t xml:space="preserve"> Systematic review of efficacy of topical rubefacients containing salicylates for the treatment of acute and chronic pain. </w:t>
      </w:r>
      <w:r w:rsidR="008D0565" w:rsidRPr="00D61F73">
        <w:rPr>
          <w:rFonts w:ascii="Arial" w:hAnsi="Arial" w:cs="Arial"/>
          <w:i/>
          <w:iCs/>
        </w:rPr>
        <w:t>BMJ.</w:t>
      </w:r>
      <w:r w:rsidR="008D0565" w:rsidRPr="00D61F73">
        <w:rPr>
          <w:rFonts w:ascii="Arial" w:hAnsi="Arial" w:cs="Arial"/>
        </w:rPr>
        <w:t xml:space="preserve"> 2004 Apr 24;328(7446):995. Epub 2004 Mar 19.</w:t>
      </w:r>
      <w:r w:rsidR="008D0565" w:rsidRPr="00D61F73">
        <w:rPr>
          <w:rFonts w:ascii="Arial" w:hAnsi="Arial" w:cs="Arial"/>
        </w:rPr>
        <w:br/>
      </w:r>
    </w:p>
    <w:p w14:paraId="06847F7B" w14:textId="77777777" w:rsidR="008D0565" w:rsidRPr="00D61F73" w:rsidRDefault="00751163" w:rsidP="00D61F73">
      <w:pPr>
        <w:rPr>
          <w:rFonts w:ascii="Arial" w:hAnsi="Arial" w:cs="Arial"/>
        </w:rPr>
      </w:pPr>
      <w:hyperlink w:anchor="Mason2" w:history="1">
        <w:r w:rsidR="008D0565" w:rsidRPr="00D61F73">
          <w:rPr>
            <w:rStyle w:val="Hyperlink"/>
            <w:rFonts w:ascii="Arial" w:hAnsi="Arial" w:cs="Arial"/>
          </w:rPr>
          <w:t>Mason L, Moore RA, Derry S, Edwards JE, McQuay HJ.</w:t>
        </w:r>
      </w:hyperlink>
      <w:r w:rsidR="008D0565" w:rsidRPr="00D61F73">
        <w:rPr>
          <w:rFonts w:ascii="Arial" w:hAnsi="Arial" w:cs="Arial"/>
        </w:rPr>
        <w:t xml:space="preserve"> Systematic review of topical capsaicin for the treatment of chronic pain. </w:t>
      </w:r>
      <w:r w:rsidR="008D0565" w:rsidRPr="00D61F73">
        <w:rPr>
          <w:rFonts w:ascii="Arial" w:hAnsi="Arial" w:cs="Arial"/>
          <w:i/>
          <w:iCs/>
        </w:rPr>
        <w:t>BMJ.</w:t>
      </w:r>
      <w:r w:rsidR="008D0565" w:rsidRPr="00D61F73">
        <w:rPr>
          <w:rFonts w:ascii="Arial" w:hAnsi="Arial" w:cs="Arial"/>
        </w:rPr>
        <w:t xml:space="preserve"> 2004 Apr 24;328(7446):991. Epub 2004 Mar 19.</w:t>
      </w:r>
      <w:r w:rsidR="008D0565" w:rsidRPr="00D61F73">
        <w:rPr>
          <w:rFonts w:ascii="Arial" w:hAnsi="Arial" w:cs="Arial"/>
        </w:rPr>
        <w:br/>
      </w:r>
    </w:p>
    <w:p w14:paraId="241B39B3" w14:textId="77777777" w:rsidR="008D0565" w:rsidRPr="00D61F73" w:rsidRDefault="00751163" w:rsidP="00D61F73">
      <w:pPr>
        <w:rPr>
          <w:rFonts w:ascii="Arial" w:hAnsi="Arial" w:cs="Arial"/>
        </w:rPr>
      </w:pPr>
      <w:hyperlink w:anchor="Mason3" w:history="1">
        <w:r w:rsidR="008D0565" w:rsidRPr="00D61F73">
          <w:rPr>
            <w:rStyle w:val="Hyperlink"/>
            <w:rFonts w:ascii="Arial" w:hAnsi="Arial" w:cs="Arial"/>
          </w:rPr>
          <w:t xml:space="preserve">Mason L, Edwards JE, Moore RA, McQuay HJ. </w:t>
        </w:r>
      </w:hyperlink>
      <w:r w:rsidR="008D0565" w:rsidRPr="00D61F73">
        <w:rPr>
          <w:rFonts w:ascii="Arial" w:hAnsi="Arial" w:cs="Arial"/>
        </w:rPr>
        <w:t xml:space="preserve">Single dose oral naproxen and naproxen sodium for acute postoperative pain. </w:t>
      </w:r>
      <w:r w:rsidR="008D0565" w:rsidRPr="00D61F73">
        <w:rPr>
          <w:rFonts w:ascii="Arial" w:hAnsi="Arial" w:cs="Arial"/>
          <w:i/>
        </w:rPr>
        <w:t xml:space="preserve">The Cochrane Database of Systematic Reviews </w:t>
      </w:r>
      <w:r w:rsidR="008D0565" w:rsidRPr="00D61F73">
        <w:rPr>
          <w:rFonts w:ascii="Arial" w:hAnsi="Arial" w:cs="Arial"/>
        </w:rPr>
        <w:t>2006 Issue 3</w:t>
      </w:r>
    </w:p>
    <w:p w14:paraId="43813B5A" w14:textId="77777777" w:rsidR="008D0565" w:rsidRPr="00D61F73" w:rsidRDefault="008D0565" w:rsidP="00D61F73">
      <w:pPr>
        <w:rPr>
          <w:rFonts w:ascii="Arial" w:hAnsi="Arial" w:cs="Arial"/>
        </w:rPr>
      </w:pPr>
    </w:p>
    <w:p w14:paraId="4FCED5CB" w14:textId="77777777" w:rsidR="008D0565" w:rsidRPr="00D61F73" w:rsidRDefault="00751163" w:rsidP="00D61F73">
      <w:pPr>
        <w:rPr>
          <w:rFonts w:ascii="Arial" w:hAnsi="Arial" w:cs="Arial"/>
        </w:rPr>
      </w:pPr>
      <w:hyperlink w:anchor="Mason4" w:history="1">
        <w:r w:rsidR="008D0565" w:rsidRPr="00D61F73">
          <w:rPr>
            <w:rStyle w:val="Hyperlink"/>
            <w:rFonts w:ascii="Arial" w:hAnsi="Arial" w:cs="Arial"/>
          </w:rPr>
          <w:t>Mason L, Moore RA, Edwards JE, Derry S, McQuay HJ</w:t>
        </w:r>
      </w:hyperlink>
      <w:r w:rsidR="008D0565" w:rsidRPr="00D61F73">
        <w:rPr>
          <w:rFonts w:ascii="Arial" w:hAnsi="Arial" w:cs="Arial"/>
        </w:rPr>
        <w:t xml:space="preserve">. Topical NSAIDs for chronic musculoskeletal pain: systematic review and meta-analysis. </w:t>
      </w:r>
      <w:r w:rsidR="008D0565" w:rsidRPr="00D61F73">
        <w:rPr>
          <w:rFonts w:ascii="Arial" w:hAnsi="Arial" w:cs="Arial"/>
          <w:i/>
        </w:rPr>
        <w:t>BMC Musculoskelet Disord</w:t>
      </w:r>
      <w:r w:rsidR="008D0565" w:rsidRPr="00D61F73">
        <w:rPr>
          <w:rFonts w:ascii="Arial" w:hAnsi="Arial" w:cs="Arial"/>
        </w:rPr>
        <w:t>. 2004;5:28.</w:t>
      </w:r>
    </w:p>
    <w:p w14:paraId="4CECAE61" w14:textId="77777777" w:rsidR="008D0565" w:rsidRPr="00D61F73" w:rsidRDefault="008D0565" w:rsidP="00D61F73">
      <w:pPr>
        <w:rPr>
          <w:rFonts w:ascii="Arial" w:hAnsi="Arial" w:cs="Arial"/>
        </w:rPr>
      </w:pPr>
    </w:p>
    <w:p w14:paraId="2EEA8CB7" w14:textId="77777777" w:rsidR="008D0565" w:rsidRPr="00D61F73" w:rsidRDefault="00751163" w:rsidP="00D61F73">
      <w:pPr>
        <w:rPr>
          <w:rFonts w:ascii="Arial" w:hAnsi="Arial" w:cs="Arial"/>
        </w:rPr>
      </w:pPr>
      <w:hyperlink w:anchor="Mason5" w:history="1">
        <w:r w:rsidR="008D0565" w:rsidRPr="00D61F73">
          <w:rPr>
            <w:rStyle w:val="Hyperlink"/>
            <w:rFonts w:ascii="Arial" w:hAnsi="Arial" w:cs="Arial"/>
          </w:rPr>
          <w:t>Mason L, Moore RA, Edwards JE, Derry S, McQuay HJ</w:t>
        </w:r>
      </w:hyperlink>
      <w:r w:rsidR="008D0565" w:rsidRPr="00D61F73">
        <w:rPr>
          <w:rFonts w:ascii="Arial" w:hAnsi="Arial" w:cs="Arial"/>
        </w:rPr>
        <w:t xml:space="preserve">. Topical NSAIDs for acute pain: a meta-analysis. </w:t>
      </w:r>
      <w:r w:rsidR="008D0565" w:rsidRPr="00D61F73">
        <w:rPr>
          <w:rFonts w:ascii="Arial" w:hAnsi="Arial" w:cs="Arial"/>
          <w:i/>
        </w:rPr>
        <w:t>BMC Fam Pract</w:t>
      </w:r>
      <w:r w:rsidR="008D0565" w:rsidRPr="00D61F73">
        <w:rPr>
          <w:rFonts w:ascii="Arial" w:hAnsi="Arial" w:cs="Arial"/>
        </w:rPr>
        <w:t>. 2004;5:10.</w:t>
      </w:r>
    </w:p>
    <w:p w14:paraId="77251B46" w14:textId="77777777" w:rsidR="008D0565" w:rsidRPr="00D61F73" w:rsidRDefault="008D0565" w:rsidP="00D61F73">
      <w:pPr>
        <w:rPr>
          <w:rFonts w:ascii="Arial" w:hAnsi="Arial" w:cs="Arial"/>
        </w:rPr>
      </w:pPr>
    </w:p>
    <w:p w14:paraId="6594419E" w14:textId="77777777" w:rsidR="008D0565" w:rsidRPr="00D61F73" w:rsidRDefault="00751163" w:rsidP="00D61F73">
      <w:pPr>
        <w:rPr>
          <w:rFonts w:ascii="Arial" w:hAnsi="Arial" w:cs="Arial"/>
          <w:lang w:val="es-MX"/>
        </w:rPr>
      </w:pPr>
      <w:hyperlink w:anchor="Massey2010" w:history="1">
        <w:r w:rsidR="008D0565" w:rsidRPr="00D61F73">
          <w:rPr>
            <w:rStyle w:val="Hyperlink"/>
            <w:rFonts w:ascii="Arial" w:hAnsi="Arial" w:cs="Arial"/>
          </w:rPr>
          <w:t>Massey T, Derry S, Moore RA, McQuay HJ</w:t>
        </w:r>
      </w:hyperlink>
      <w:r w:rsidR="008D0565" w:rsidRPr="00D61F73">
        <w:rPr>
          <w:rFonts w:ascii="Arial" w:hAnsi="Arial" w:cs="Arial"/>
        </w:rPr>
        <w:t xml:space="preserve">. Topical NSAIDs for acute pain in adults. </w:t>
      </w:r>
      <w:r w:rsidR="008D0565" w:rsidRPr="00D61F73">
        <w:rPr>
          <w:rFonts w:ascii="Arial" w:hAnsi="Arial" w:cs="Arial"/>
          <w:i/>
          <w:iCs/>
          <w:lang w:val="es-MX"/>
        </w:rPr>
        <w:t>Cochrane Database Syst Rev.</w:t>
      </w:r>
      <w:r w:rsidR="008D0565" w:rsidRPr="00D61F73">
        <w:rPr>
          <w:rFonts w:ascii="Arial" w:hAnsi="Arial" w:cs="Arial"/>
          <w:lang w:val="es-MX"/>
        </w:rPr>
        <w:t xml:space="preserve"> 2010 Jun 16;6:CD007402.</w:t>
      </w:r>
    </w:p>
    <w:p w14:paraId="03A6278A" w14:textId="77777777" w:rsidR="008D0565" w:rsidRPr="00D61F73" w:rsidRDefault="008D0565" w:rsidP="00D61F73">
      <w:pPr>
        <w:rPr>
          <w:rFonts w:ascii="Arial" w:hAnsi="Arial" w:cs="Arial"/>
          <w:lang w:val="es-MX"/>
        </w:rPr>
      </w:pPr>
    </w:p>
    <w:p w14:paraId="18478425" w14:textId="77777777" w:rsidR="008D0565" w:rsidRPr="00D61F73" w:rsidRDefault="00751163" w:rsidP="00D61F73">
      <w:pPr>
        <w:pStyle w:val="Heading3"/>
        <w:spacing w:before="0" w:beforeAutospacing="0" w:after="0" w:afterAutospacing="0"/>
        <w:rPr>
          <w:rFonts w:ascii="Arial" w:hAnsi="Arial" w:cs="Arial"/>
          <w:b w:val="0"/>
          <w:bCs w:val="0"/>
          <w:sz w:val="24"/>
          <w:szCs w:val="24"/>
        </w:rPr>
      </w:pPr>
      <w:hyperlink w:anchor="Massó2010" w:history="1">
        <w:r w:rsidR="008D0565" w:rsidRPr="00D61F73">
          <w:rPr>
            <w:rStyle w:val="Hyperlink"/>
            <w:rFonts w:ascii="Arial" w:hAnsi="Arial" w:cs="Arial"/>
            <w:b w:val="0"/>
            <w:bCs w:val="0"/>
            <w:sz w:val="24"/>
            <w:szCs w:val="24"/>
            <w:lang w:val="es-MX"/>
          </w:rPr>
          <w:t>Massó González EL, Patrignani P, Tacconelli S, García Rodríguez LA.</w:t>
        </w:r>
      </w:hyperlink>
      <w:r w:rsidR="008D0565" w:rsidRPr="00D61F73">
        <w:rPr>
          <w:rFonts w:ascii="Arial" w:hAnsi="Arial" w:cs="Arial"/>
          <w:b w:val="0"/>
          <w:bCs w:val="0"/>
          <w:sz w:val="24"/>
          <w:szCs w:val="24"/>
          <w:lang w:val="es-MX"/>
        </w:rPr>
        <w:t xml:space="preserve"> </w:t>
      </w:r>
      <w:r w:rsidR="008D0565" w:rsidRPr="00D61F73">
        <w:rPr>
          <w:rFonts w:ascii="Arial" w:hAnsi="Arial" w:cs="Arial"/>
          <w:b w:val="0"/>
          <w:bCs w:val="0"/>
          <w:sz w:val="24"/>
          <w:szCs w:val="24"/>
        </w:rPr>
        <w:t xml:space="preserve">Variability among nonsteroidal antiinflammatory drugs in risk of upper gastrointestinal bleeding. </w:t>
      </w:r>
      <w:r w:rsidR="008D0565" w:rsidRPr="00D61F73">
        <w:rPr>
          <w:rFonts w:ascii="Arial" w:hAnsi="Arial" w:cs="Arial"/>
          <w:b w:val="0"/>
          <w:bCs w:val="0"/>
          <w:i/>
          <w:iCs/>
          <w:sz w:val="24"/>
          <w:szCs w:val="24"/>
        </w:rPr>
        <w:t>Arthritis Rheum</w:t>
      </w:r>
      <w:r w:rsidR="008D0565" w:rsidRPr="00D61F73">
        <w:rPr>
          <w:rFonts w:ascii="Arial" w:hAnsi="Arial" w:cs="Arial"/>
          <w:b w:val="0"/>
          <w:bCs w:val="0"/>
          <w:sz w:val="24"/>
          <w:szCs w:val="24"/>
        </w:rPr>
        <w:t>. 2010 Jun;62(6):1592-601.</w:t>
      </w:r>
    </w:p>
    <w:p w14:paraId="0AA53CF6" w14:textId="77777777" w:rsidR="008D0565" w:rsidRPr="00D61F73" w:rsidRDefault="008D0565" w:rsidP="00D61F73">
      <w:pPr>
        <w:rPr>
          <w:rFonts w:ascii="Arial" w:hAnsi="Arial" w:cs="Arial"/>
        </w:rPr>
      </w:pPr>
    </w:p>
    <w:p w14:paraId="002061B8" w14:textId="77777777" w:rsidR="008D0565" w:rsidRPr="00D61F73" w:rsidRDefault="00751163" w:rsidP="00D61F73">
      <w:pPr>
        <w:pStyle w:val="Heading3"/>
        <w:spacing w:before="0" w:beforeAutospacing="0" w:after="0" w:afterAutospacing="0"/>
        <w:rPr>
          <w:rFonts w:ascii="Arial" w:hAnsi="Arial" w:cs="Arial"/>
          <w:b w:val="0"/>
          <w:bCs w:val="0"/>
          <w:sz w:val="24"/>
          <w:szCs w:val="24"/>
        </w:rPr>
      </w:pPr>
      <w:hyperlink w:anchor="Matthews" w:history="1">
        <w:r w:rsidR="008D0565" w:rsidRPr="00D61F73">
          <w:rPr>
            <w:rStyle w:val="Hyperlink"/>
            <w:rFonts w:ascii="Arial" w:hAnsi="Arial" w:cs="Arial"/>
            <w:b w:val="0"/>
            <w:bCs w:val="0"/>
            <w:sz w:val="24"/>
            <w:szCs w:val="24"/>
          </w:rPr>
          <w:t>Matthews P, Derry S, Moore RA, McQuay HJ</w:t>
        </w:r>
      </w:hyperlink>
      <w:r w:rsidR="008D0565" w:rsidRPr="00D61F73">
        <w:rPr>
          <w:rFonts w:ascii="Arial" w:hAnsi="Arial" w:cs="Arial"/>
          <w:b w:val="0"/>
          <w:bCs w:val="0"/>
          <w:sz w:val="24"/>
          <w:szCs w:val="24"/>
        </w:rPr>
        <w:t xml:space="preserve">. Topical rubefacients for acute and chronic pain in adults. </w:t>
      </w:r>
      <w:r w:rsidR="008D0565" w:rsidRPr="00D61F73">
        <w:rPr>
          <w:rFonts w:ascii="Arial" w:hAnsi="Arial" w:cs="Arial"/>
          <w:b w:val="0"/>
          <w:bCs w:val="0"/>
          <w:i/>
          <w:iCs/>
          <w:sz w:val="24"/>
          <w:szCs w:val="24"/>
        </w:rPr>
        <w:t>Cochrane Database Syst Rev</w:t>
      </w:r>
      <w:r w:rsidR="008D0565" w:rsidRPr="00D61F73">
        <w:rPr>
          <w:rFonts w:ascii="Arial" w:hAnsi="Arial" w:cs="Arial"/>
          <w:b w:val="0"/>
          <w:bCs w:val="0"/>
          <w:sz w:val="24"/>
          <w:szCs w:val="24"/>
        </w:rPr>
        <w:t>. 2009 Jul 8;(3):CD007403.</w:t>
      </w:r>
    </w:p>
    <w:p w14:paraId="755173BB" w14:textId="77777777" w:rsidR="008D0565" w:rsidRPr="00D61F73" w:rsidRDefault="008D0565" w:rsidP="00D61F73">
      <w:pPr>
        <w:rPr>
          <w:rFonts w:ascii="Arial" w:hAnsi="Arial" w:cs="Arial"/>
        </w:rPr>
      </w:pPr>
    </w:p>
    <w:p w14:paraId="50D1CD5D" w14:textId="77777777" w:rsidR="008D0565" w:rsidRPr="00D61F73" w:rsidRDefault="00751163" w:rsidP="00D61F73">
      <w:pPr>
        <w:tabs>
          <w:tab w:val="left" w:pos="7200"/>
        </w:tabs>
        <w:rPr>
          <w:rFonts w:ascii="Arial" w:hAnsi="Arial" w:cs="Arial"/>
        </w:rPr>
      </w:pPr>
      <w:hyperlink w:anchor="Matthieu2004" w:history="1">
        <w:r w:rsidR="008D0565" w:rsidRPr="00D61F73">
          <w:rPr>
            <w:rStyle w:val="Hyperlink"/>
            <w:rFonts w:ascii="Arial" w:hAnsi="Arial" w:cs="Arial"/>
          </w:rPr>
          <w:t>Matthieu L, Meuleman L, Van Hecke E, Blondeel A, Dezfoulian B, Constandt L, Goossens A.</w:t>
        </w:r>
      </w:hyperlink>
      <w:r w:rsidR="008D0565" w:rsidRPr="00D61F73">
        <w:rPr>
          <w:rFonts w:ascii="Arial" w:hAnsi="Arial" w:cs="Arial"/>
        </w:rPr>
        <w:t xml:space="preserve"> Contact and photocontact allergy to ketoprofen. The Belgian experience. </w:t>
      </w:r>
      <w:r w:rsidR="008D0565" w:rsidRPr="00D61F73">
        <w:rPr>
          <w:rFonts w:ascii="Arial" w:hAnsi="Arial" w:cs="Arial"/>
          <w:i/>
        </w:rPr>
        <w:t>Contact Dermatitis.</w:t>
      </w:r>
      <w:r w:rsidR="008D0565" w:rsidRPr="00D61F73">
        <w:rPr>
          <w:rFonts w:ascii="Arial" w:hAnsi="Arial" w:cs="Arial"/>
        </w:rPr>
        <w:t xml:space="preserve"> 2004;50:238-41.</w:t>
      </w:r>
    </w:p>
    <w:p w14:paraId="1BC03763" w14:textId="77777777" w:rsidR="008D0565" w:rsidRPr="00D61F73" w:rsidRDefault="008D0565" w:rsidP="00D61F73">
      <w:pPr>
        <w:rPr>
          <w:rFonts w:ascii="Arial" w:hAnsi="Arial" w:cs="Arial"/>
        </w:rPr>
      </w:pPr>
    </w:p>
    <w:p w14:paraId="38199932" w14:textId="77777777" w:rsidR="008D0565" w:rsidRPr="00D61F73" w:rsidRDefault="00751163" w:rsidP="00D61F73">
      <w:pPr>
        <w:rPr>
          <w:rFonts w:ascii="Arial" w:hAnsi="Arial" w:cs="Arial"/>
        </w:rPr>
      </w:pPr>
      <w:hyperlink w:anchor="Mazer" w:history="1">
        <w:r w:rsidR="008D0565" w:rsidRPr="00D61F73">
          <w:rPr>
            <w:rStyle w:val="Hyperlink"/>
            <w:rFonts w:ascii="Arial" w:hAnsi="Arial" w:cs="Arial"/>
          </w:rPr>
          <w:t>Mazer M, Perrone J.</w:t>
        </w:r>
      </w:hyperlink>
      <w:r w:rsidR="008D0565" w:rsidRPr="00D61F73">
        <w:rPr>
          <w:rFonts w:ascii="Arial" w:hAnsi="Arial" w:cs="Arial"/>
        </w:rPr>
        <w:t xml:space="preserve"> Acetaminophen-induced nephrotoxicity: pathophysiology, clinical manifestations, and management. </w:t>
      </w:r>
      <w:r w:rsidR="008D0565" w:rsidRPr="00D61F73">
        <w:rPr>
          <w:rFonts w:ascii="Arial" w:hAnsi="Arial" w:cs="Arial"/>
          <w:i/>
        </w:rPr>
        <w:t>J Med Toxicol</w:t>
      </w:r>
      <w:r w:rsidR="008D0565" w:rsidRPr="00D61F73">
        <w:rPr>
          <w:rFonts w:ascii="Arial" w:hAnsi="Arial" w:cs="Arial"/>
        </w:rPr>
        <w:t>. 2008;4:2-6.</w:t>
      </w:r>
    </w:p>
    <w:p w14:paraId="4916F0E6" w14:textId="77777777" w:rsidR="008D0565" w:rsidRPr="00D61F73" w:rsidRDefault="008D0565" w:rsidP="00D61F73">
      <w:pPr>
        <w:rPr>
          <w:rFonts w:ascii="Arial" w:hAnsi="Arial" w:cs="Arial"/>
        </w:rPr>
      </w:pPr>
    </w:p>
    <w:p w14:paraId="10248A50" w14:textId="77777777" w:rsidR="008D0565" w:rsidRPr="00D61F73" w:rsidRDefault="00751163" w:rsidP="00D61F73">
      <w:pPr>
        <w:rPr>
          <w:rFonts w:ascii="Arial" w:hAnsi="Arial" w:cs="Arial"/>
        </w:rPr>
      </w:pPr>
      <w:hyperlink w:anchor="McBeth" w:history="1">
        <w:r w:rsidR="008D0565" w:rsidRPr="00D61F73">
          <w:rPr>
            <w:rStyle w:val="Hyperlink"/>
            <w:rFonts w:ascii="Arial" w:hAnsi="Arial" w:cs="Arial"/>
          </w:rPr>
          <w:t>McBeth J, Pye SR, O'Neill TW, Macfarlane GJ, Tajar A, Bartfai G, Boonen S, Bouillon R, Casanueva F, Finn JD, Forti G, Giwercman A, Han TS, Huhtaniemi IT, Kula K, Lean ME, Pendleton N, Punab M, Silman AJ, Vanderschueren D, Wu FC; EMAS Group</w:t>
        </w:r>
      </w:hyperlink>
      <w:r w:rsidR="008D0565" w:rsidRPr="00D61F73">
        <w:rPr>
          <w:rFonts w:ascii="Arial" w:hAnsi="Arial" w:cs="Arial"/>
        </w:rPr>
        <w:t xml:space="preserve">. Musculoskeletal pain is associated with very low levels of vitamin D in men: results from the European Male Ageing Study. </w:t>
      </w:r>
      <w:r w:rsidR="008D0565" w:rsidRPr="00D61F73">
        <w:rPr>
          <w:rFonts w:ascii="Arial" w:hAnsi="Arial" w:cs="Arial"/>
          <w:i/>
          <w:iCs/>
        </w:rPr>
        <w:t>Ann Rheum Dis</w:t>
      </w:r>
      <w:r w:rsidR="008D0565" w:rsidRPr="00D61F73">
        <w:rPr>
          <w:rFonts w:ascii="Arial" w:hAnsi="Arial" w:cs="Arial"/>
        </w:rPr>
        <w:t>. 2010 May 24. [Epub ahead of print]</w:t>
      </w:r>
    </w:p>
    <w:p w14:paraId="64DAE1F9" w14:textId="77777777" w:rsidR="008D0565" w:rsidRPr="00D61F73" w:rsidRDefault="008D0565" w:rsidP="00D61F73">
      <w:pPr>
        <w:rPr>
          <w:rFonts w:ascii="Arial" w:hAnsi="Arial" w:cs="Arial"/>
        </w:rPr>
      </w:pPr>
    </w:p>
    <w:p w14:paraId="3C1BEF2A" w14:textId="77777777" w:rsidR="008D0565" w:rsidRPr="00D61F73" w:rsidRDefault="00751163" w:rsidP="00D61F73">
      <w:pPr>
        <w:rPr>
          <w:rFonts w:ascii="Arial" w:hAnsi="Arial" w:cs="Arial"/>
        </w:rPr>
      </w:pPr>
      <w:hyperlink w:anchor="McCarberg" w:history="1">
        <w:r w:rsidR="008D0565" w:rsidRPr="00D61F73">
          <w:rPr>
            <w:rStyle w:val="Hyperlink"/>
            <w:rFonts w:ascii="Arial" w:hAnsi="Arial" w:cs="Arial"/>
          </w:rPr>
          <w:t>McCarberg BH, Barkin RL</w:t>
        </w:r>
      </w:hyperlink>
      <w:r w:rsidR="008D0565" w:rsidRPr="00D61F73">
        <w:rPr>
          <w:rFonts w:ascii="Arial" w:hAnsi="Arial" w:cs="Arial"/>
        </w:rPr>
        <w:t xml:space="preserve">. The future of cannabinoids as analgesic agents: a pharmacologic, pharmacokinetic, and pharmacodynamic overview. </w:t>
      </w:r>
      <w:r w:rsidR="008D0565" w:rsidRPr="00D61F73">
        <w:rPr>
          <w:rFonts w:ascii="Arial" w:hAnsi="Arial" w:cs="Arial"/>
          <w:i/>
          <w:iCs/>
        </w:rPr>
        <w:t>Am J Ther.</w:t>
      </w:r>
      <w:r w:rsidR="008D0565" w:rsidRPr="00D61F73">
        <w:rPr>
          <w:rFonts w:ascii="Arial" w:hAnsi="Arial" w:cs="Arial"/>
        </w:rPr>
        <w:t xml:space="preserve"> 2007 Sep-Oct;14(5):475-83.</w:t>
      </w:r>
    </w:p>
    <w:p w14:paraId="16B2F2B4" w14:textId="77777777" w:rsidR="00031F56" w:rsidRPr="00D61F73" w:rsidRDefault="00031F56" w:rsidP="00D61F73">
      <w:pPr>
        <w:rPr>
          <w:rFonts w:ascii="Arial" w:hAnsi="Arial" w:cs="Arial"/>
        </w:rPr>
      </w:pPr>
    </w:p>
    <w:p w14:paraId="6A15B210" w14:textId="77777777" w:rsidR="008D0565" w:rsidRPr="00D61F73" w:rsidRDefault="00751163" w:rsidP="00D61F73">
      <w:pPr>
        <w:rPr>
          <w:rFonts w:ascii="Arial" w:hAnsi="Arial" w:cs="Arial"/>
        </w:rPr>
      </w:pPr>
      <w:hyperlink w:anchor="McGettigan2011" w:history="1">
        <w:r w:rsidR="008D0565" w:rsidRPr="00D61F73">
          <w:rPr>
            <w:rStyle w:val="Hyperlink"/>
            <w:rFonts w:ascii="Arial" w:hAnsi="Arial" w:cs="Arial"/>
          </w:rPr>
          <w:t>McGettigan P, Henry D</w:t>
        </w:r>
      </w:hyperlink>
      <w:r w:rsidR="008D0565" w:rsidRPr="00D61F73">
        <w:rPr>
          <w:rFonts w:ascii="Arial" w:hAnsi="Arial" w:cs="Arial"/>
        </w:rPr>
        <w:t xml:space="preserve">. Cardiovascular risk with nonsteroidal anti-inflammatory drugs: systematic review of population-based controlled observational studies. </w:t>
      </w:r>
      <w:r w:rsidR="008D0565" w:rsidRPr="00D61F73">
        <w:rPr>
          <w:rFonts w:ascii="Arial" w:hAnsi="Arial" w:cs="Arial"/>
          <w:i/>
          <w:iCs/>
        </w:rPr>
        <w:t>PLoS Med</w:t>
      </w:r>
      <w:r w:rsidR="008D0565" w:rsidRPr="00D61F73">
        <w:rPr>
          <w:rFonts w:ascii="Arial" w:hAnsi="Arial" w:cs="Arial"/>
        </w:rPr>
        <w:t xml:space="preserve"> 2011; DOI:10.1371/ Journal.pmed.1001098. Available at: http://www.plosmedicine.org. </w:t>
      </w:r>
    </w:p>
    <w:p w14:paraId="5D5D0560" w14:textId="77777777" w:rsidR="008D0565" w:rsidRPr="00D61F73" w:rsidRDefault="008D0565" w:rsidP="00D61F73">
      <w:pPr>
        <w:pStyle w:val="Footer"/>
        <w:tabs>
          <w:tab w:val="clear" w:pos="4320"/>
          <w:tab w:val="clear" w:pos="8640"/>
        </w:tabs>
        <w:rPr>
          <w:rFonts w:ascii="Arial" w:hAnsi="Arial" w:cs="Arial"/>
        </w:rPr>
      </w:pPr>
    </w:p>
    <w:p w14:paraId="54A40D7D" w14:textId="77777777" w:rsidR="008D0565" w:rsidRPr="00D61F73" w:rsidRDefault="00751163" w:rsidP="00D61F73">
      <w:pPr>
        <w:pStyle w:val="Footer"/>
        <w:tabs>
          <w:tab w:val="clear" w:pos="4320"/>
          <w:tab w:val="clear" w:pos="8640"/>
        </w:tabs>
        <w:rPr>
          <w:rFonts w:ascii="Arial" w:hAnsi="Arial" w:cs="Arial"/>
        </w:rPr>
      </w:pPr>
      <w:hyperlink w:anchor="McGettigan2013" w:history="1">
        <w:r w:rsidR="008D0565" w:rsidRPr="00D61F73">
          <w:rPr>
            <w:rStyle w:val="Hyperlink"/>
            <w:rFonts w:ascii="Arial" w:hAnsi="Arial" w:cs="Arial"/>
          </w:rPr>
          <w:t>McGettigan P, Henry D</w:t>
        </w:r>
      </w:hyperlink>
      <w:r w:rsidR="008D0565" w:rsidRPr="00D61F73">
        <w:rPr>
          <w:rFonts w:ascii="Arial" w:hAnsi="Arial" w:cs="Arial"/>
        </w:rPr>
        <w:t xml:space="preserve">. Use of non-steroidal anti-inflammatory drugs that elevate cardiovascular risk: An examination of sales and essential medicine lists in low-, middle-, and high-income countries. </w:t>
      </w:r>
      <w:r w:rsidR="008D0565" w:rsidRPr="00D61F73">
        <w:rPr>
          <w:rFonts w:ascii="Arial" w:hAnsi="Arial" w:cs="Arial"/>
          <w:i/>
          <w:iCs/>
        </w:rPr>
        <w:t xml:space="preserve">PLoS Med </w:t>
      </w:r>
      <w:r w:rsidR="008D0565" w:rsidRPr="00D61F73">
        <w:rPr>
          <w:rFonts w:ascii="Arial" w:hAnsi="Arial" w:cs="Arial"/>
        </w:rPr>
        <w:t>2013; DOI:10.1371/journal.pmed.1001388.</w:t>
      </w:r>
    </w:p>
    <w:p w14:paraId="34A6578B" w14:textId="77777777" w:rsidR="008D0565" w:rsidRPr="00D61F73" w:rsidRDefault="008D0565" w:rsidP="00D61F73">
      <w:pPr>
        <w:pStyle w:val="Footer"/>
        <w:tabs>
          <w:tab w:val="clear" w:pos="4320"/>
          <w:tab w:val="clear" w:pos="8640"/>
        </w:tabs>
        <w:rPr>
          <w:rFonts w:ascii="Arial" w:hAnsi="Arial" w:cs="Arial"/>
        </w:rPr>
      </w:pPr>
    </w:p>
    <w:p w14:paraId="6C792EE2" w14:textId="77777777" w:rsidR="008D0565" w:rsidRPr="00D61F73" w:rsidRDefault="00751163" w:rsidP="00D61F73">
      <w:pPr>
        <w:rPr>
          <w:rFonts w:ascii="Arial" w:hAnsi="Arial" w:cs="Arial"/>
        </w:rPr>
      </w:pPr>
      <w:hyperlink w:anchor="McLean" w:history="1">
        <w:r w:rsidR="008D0565" w:rsidRPr="00D61F73">
          <w:rPr>
            <w:rStyle w:val="Hyperlink"/>
            <w:rFonts w:ascii="Arial" w:hAnsi="Arial" w:cs="Arial"/>
          </w:rPr>
          <w:t>McLean W, Boucher E, Brennan M. et al</w:t>
        </w:r>
      </w:hyperlink>
      <w:r w:rsidR="008D0565" w:rsidRPr="00D61F73">
        <w:rPr>
          <w:rFonts w:ascii="Arial" w:hAnsi="Arial" w:cs="Arial"/>
        </w:rPr>
        <w:t xml:space="preserve">. Is there An Indication for the Use of Barbituate-Containing Analgesic Agents in the Treatment of Pain. Guidelines for Their Safe Use and Withdrawl Management. </w:t>
      </w:r>
      <w:r w:rsidR="008D0565" w:rsidRPr="00D61F73">
        <w:rPr>
          <w:rFonts w:ascii="Arial" w:hAnsi="Arial" w:cs="Arial"/>
          <w:i/>
          <w:iCs/>
        </w:rPr>
        <w:t>Canadian Journal of Clin Pharm</w:t>
      </w:r>
      <w:r w:rsidR="008D0565" w:rsidRPr="00D61F73">
        <w:rPr>
          <w:rFonts w:ascii="Arial" w:hAnsi="Arial" w:cs="Arial"/>
        </w:rPr>
        <w:t xml:space="preserve"> 2000;(7)4:191-197. </w:t>
      </w:r>
      <w:hyperlink r:id="rId193" w:history="1">
        <w:r w:rsidR="008D0565" w:rsidRPr="00D61F73">
          <w:rPr>
            <w:rStyle w:val="Hyperlink"/>
            <w:rFonts w:ascii="Arial" w:hAnsi="Arial" w:cs="Arial"/>
          </w:rPr>
          <w:t>http://www.pulsus.com/clin-phi/07_04/mcle_ed.htm</w:t>
        </w:r>
      </w:hyperlink>
      <w:r w:rsidR="008D0565" w:rsidRPr="00D61F73">
        <w:rPr>
          <w:rFonts w:ascii="Arial" w:hAnsi="Arial" w:cs="Arial"/>
        </w:rPr>
        <w:t xml:space="preserve"> (February 20, 2001).</w:t>
      </w:r>
    </w:p>
    <w:p w14:paraId="00088792" w14:textId="77777777" w:rsidR="008D0565" w:rsidRPr="00D61F73" w:rsidRDefault="008D0565" w:rsidP="00D61F73">
      <w:pPr>
        <w:rPr>
          <w:rFonts w:ascii="Arial" w:hAnsi="Arial" w:cs="Arial"/>
        </w:rPr>
      </w:pPr>
    </w:p>
    <w:p w14:paraId="62459C11" w14:textId="77777777" w:rsidR="008D0565" w:rsidRPr="00D61F73" w:rsidRDefault="00751163" w:rsidP="00D61F73">
      <w:pPr>
        <w:rPr>
          <w:rFonts w:ascii="Arial" w:hAnsi="Arial" w:cs="Arial"/>
        </w:rPr>
      </w:pPr>
      <w:hyperlink w:anchor="McQuay2" w:history="1">
        <w:r w:rsidR="008D0565" w:rsidRPr="00D61F73">
          <w:rPr>
            <w:rStyle w:val="Hyperlink"/>
            <w:rFonts w:ascii="Arial" w:hAnsi="Arial" w:cs="Arial"/>
          </w:rPr>
          <w:t>McQuay HJ, Tramer M, Nye BA, Carroll D, Wiffen PJ, Moore RA</w:t>
        </w:r>
      </w:hyperlink>
      <w:r w:rsidR="008D0565" w:rsidRPr="00D61F73">
        <w:rPr>
          <w:rFonts w:ascii="Arial" w:hAnsi="Arial" w:cs="Arial"/>
        </w:rPr>
        <w:t xml:space="preserve">. A systematic review of antidepressants in neuropathic pain. </w:t>
      </w:r>
      <w:r w:rsidR="008D0565" w:rsidRPr="00D61F73">
        <w:rPr>
          <w:rFonts w:ascii="Arial" w:hAnsi="Arial" w:cs="Arial"/>
          <w:i/>
          <w:iCs/>
        </w:rPr>
        <w:t>Pain.</w:t>
      </w:r>
      <w:r w:rsidR="008D0565" w:rsidRPr="00D61F73">
        <w:rPr>
          <w:rFonts w:ascii="Arial" w:hAnsi="Arial" w:cs="Arial"/>
        </w:rPr>
        <w:t xml:space="preserve"> 1996 Dec;68(2-3):217-27.</w:t>
      </w:r>
    </w:p>
    <w:p w14:paraId="23812294" w14:textId="77777777" w:rsidR="008D0565" w:rsidRPr="00D61F73" w:rsidRDefault="008D0565" w:rsidP="00D61F73">
      <w:pPr>
        <w:rPr>
          <w:rFonts w:ascii="Arial" w:hAnsi="Arial" w:cs="Arial"/>
        </w:rPr>
      </w:pPr>
    </w:p>
    <w:p w14:paraId="2C18462F" w14:textId="77777777" w:rsidR="008D0565" w:rsidRPr="00D61F73" w:rsidRDefault="00751163" w:rsidP="00D61F73">
      <w:pPr>
        <w:rPr>
          <w:rFonts w:ascii="Arial" w:hAnsi="Arial" w:cs="Arial"/>
        </w:rPr>
      </w:pPr>
      <w:hyperlink w:anchor="Mehrotra2006" w:history="1">
        <w:r w:rsidR="008D0565" w:rsidRPr="00D61F73">
          <w:rPr>
            <w:rStyle w:val="Hyperlink"/>
            <w:rFonts w:ascii="Arial" w:hAnsi="Arial" w:cs="Arial"/>
          </w:rPr>
          <w:t>Mehrotra B, Ruggiero S</w:t>
        </w:r>
      </w:hyperlink>
      <w:r w:rsidR="008D0565" w:rsidRPr="00D61F73">
        <w:rPr>
          <w:rFonts w:ascii="Arial" w:hAnsi="Arial" w:cs="Arial"/>
        </w:rPr>
        <w:t xml:space="preserve">. Bisphosphonate complications including osteonecrosis of the jaw. </w:t>
      </w:r>
      <w:r w:rsidR="008D0565" w:rsidRPr="00D61F73">
        <w:rPr>
          <w:rFonts w:ascii="Arial" w:hAnsi="Arial" w:cs="Arial"/>
          <w:i/>
          <w:iCs/>
        </w:rPr>
        <w:t>Hematology Am Soc Hematol Educ Program</w:t>
      </w:r>
      <w:r w:rsidR="008D0565" w:rsidRPr="00D61F73">
        <w:rPr>
          <w:rFonts w:ascii="Arial" w:hAnsi="Arial" w:cs="Arial"/>
        </w:rPr>
        <w:t>. 2006:356-60, 515.</w:t>
      </w:r>
    </w:p>
    <w:p w14:paraId="3A493850" w14:textId="77777777" w:rsidR="008D0565" w:rsidRPr="00D61F73" w:rsidRDefault="008D0565" w:rsidP="00D61F73">
      <w:pPr>
        <w:rPr>
          <w:rFonts w:ascii="Arial" w:hAnsi="Arial" w:cs="Arial"/>
        </w:rPr>
      </w:pPr>
    </w:p>
    <w:p w14:paraId="26023A98" w14:textId="77777777" w:rsidR="008D0565" w:rsidRPr="00D61F73" w:rsidRDefault="00751163" w:rsidP="00D61F73">
      <w:pPr>
        <w:rPr>
          <w:rFonts w:ascii="Arial" w:hAnsi="Arial" w:cs="Arial"/>
        </w:rPr>
      </w:pPr>
      <w:hyperlink w:anchor="Meier2013" w:history="1">
        <w:r w:rsidR="008D0565" w:rsidRPr="00D61F73">
          <w:rPr>
            <w:rStyle w:val="Hyperlink"/>
            <w:rFonts w:ascii="Arial" w:hAnsi="Arial" w:cs="Arial"/>
          </w:rPr>
          <w:t>Meier MH, Murray RM.</w:t>
        </w:r>
      </w:hyperlink>
      <w:r w:rsidR="008D0565" w:rsidRPr="00D61F73">
        <w:rPr>
          <w:rFonts w:ascii="Arial" w:hAnsi="Arial" w:cs="Arial"/>
        </w:rPr>
        <w:t xml:space="preserve"> Cannabis Use in Teens Linked to Irreparable Drop in IQ. 14th International Congress on Schizophrenia Research (ICOSR). Abstract S267. Presented April 25, 2013.</w:t>
      </w:r>
    </w:p>
    <w:p w14:paraId="3E8E916A" w14:textId="77777777" w:rsidR="008D0565" w:rsidRPr="00D61F73" w:rsidRDefault="008D0565" w:rsidP="00D61F73">
      <w:pPr>
        <w:rPr>
          <w:rFonts w:ascii="Arial" w:hAnsi="Arial" w:cs="Arial"/>
        </w:rPr>
      </w:pPr>
    </w:p>
    <w:p w14:paraId="7E6D722F" w14:textId="77777777" w:rsidR="008D0565" w:rsidRPr="00D61F73" w:rsidRDefault="00751163" w:rsidP="00D61F73">
      <w:pPr>
        <w:rPr>
          <w:rFonts w:ascii="Arial" w:hAnsi="Arial" w:cs="Arial"/>
        </w:rPr>
      </w:pPr>
      <w:hyperlink w:anchor="Menigaux" w:history="1">
        <w:r w:rsidR="008D0565" w:rsidRPr="00D61F73">
          <w:rPr>
            <w:rStyle w:val="Hyperlink"/>
            <w:rFonts w:ascii="Arial" w:hAnsi="Arial" w:cs="Arial"/>
          </w:rPr>
          <w:t>Menigaux C, Adam F, Guignard B, Sessler DI, Chauvin M.</w:t>
        </w:r>
      </w:hyperlink>
      <w:r w:rsidR="008D0565" w:rsidRPr="00D61F73">
        <w:rPr>
          <w:rFonts w:ascii="Arial" w:hAnsi="Arial" w:cs="Arial"/>
        </w:rPr>
        <w:t xml:space="preserve"> Preoperative gabapentin decreases anxiety and improves early functional recovery from knee surgery. </w:t>
      </w:r>
      <w:r w:rsidR="008D0565" w:rsidRPr="00D61F73">
        <w:rPr>
          <w:rFonts w:ascii="Arial" w:hAnsi="Arial" w:cs="Arial"/>
          <w:i/>
        </w:rPr>
        <w:t>Anesth Analg</w:t>
      </w:r>
      <w:r w:rsidR="008D0565" w:rsidRPr="00D61F73">
        <w:rPr>
          <w:rFonts w:ascii="Arial" w:hAnsi="Arial" w:cs="Arial"/>
        </w:rPr>
        <w:t>. 2005 May;100(5):1394-9, table of contents.</w:t>
      </w:r>
    </w:p>
    <w:p w14:paraId="47C27DBE" w14:textId="77777777" w:rsidR="008D0565" w:rsidRPr="00D61F73" w:rsidRDefault="008D0565" w:rsidP="00D61F73">
      <w:pPr>
        <w:rPr>
          <w:rFonts w:ascii="Arial" w:hAnsi="Arial" w:cs="Arial"/>
        </w:rPr>
      </w:pPr>
    </w:p>
    <w:p w14:paraId="0B5EC7DB" w14:textId="77777777" w:rsidR="008D0565" w:rsidRPr="00D61F73" w:rsidRDefault="00751163" w:rsidP="00D61F73">
      <w:pPr>
        <w:rPr>
          <w:rFonts w:ascii="Arial" w:hAnsi="Arial" w:cs="Arial"/>
        </w:rPr>
      </w:pPr>
      <w:hyperlink w:anchor="Miner2010" w:history="1">
        <w:r w:rsidR="008D0565" w:rsidRPr="00D61F73">
          <w:rPr>
            <w:rStyle w:val="Hyperlink"/>
            <w:rFonts w:ascii="Arial" w:hAnsi="Arial" w:cs="Arial"/>
          </w:rPr>
          <w:t>Miner PB Jr, McKean LA, Gibb RD, Erasala GN, Ramsey DL, McRorie JW</w:t>
        </w:r>
      </w:hyperlink>
      <w:r w:rsidR="008D0565" w:rsidRPr="00D61F73">
        <w:rPr>
          <w:rFonts w:ascii="Arial" w:hAnsi="Arial" w:cs="Arial"/>
        </w:rPr>
        <w:t xml:space="preserve">. Omeprazole-Mg 20.6 mg is superior to lansoprazole 15 mg for control of gastric acid: a comparison of over-the-counter doses of proton pump inhibitors. </w:t>
      </w:r>
      <w:r w:rsidR="008D0565" w:rsidRPr="00D61F73">
        <w:rPr>
          <w:rFonts w:ascii="Arial" w:hAnsi="Arial" w:cs="Arial"/>
          <w:i/>
          <w:iCs/>
        </w:rPr>
        <w:t>Aliment Pharmacol Ther.</w:t>
      </w:r>
      <w:r w:rsidR="008D0565" w:rsidRPr="00D61F73">
        <w:rPr>
          <w:rFonts w:ascii="Arial" w:hAnsi="Arial" w:cs="Arial"/>
        </w:rPr>
        <w:t xml:space="preserve"> 2010 Apr;31(8):846-51. Epub 2010 Feb 8.</w:t>
      </w:r>
    </w:p>
    <w:p w14:paraId="4E25CA44" w14:textId="77777777" w:rsidR="008D0565" w:rsidRPr="00D61F73" w:rsidRDefault="008D0565" w:rsidP="00D61F73">
      <w:pPr>
        <w:pStyle w:val="Footer"/>
        <w:tabs>
          <w:tab w:val="clear" w:pos="4320"/>
          <w:tab w:val="clear" w:pos="8640"/>
        </w:tabs>
        <w:rPr>
          <w:rFonts w:ascii="Arial" w:hAnsi="Arial" w:cs="Arial"/>
        </w:rPr>
      </w:pPr>
    </w:p>
    <w:p w14:paraId="1ACD64E7" w14:textId="77777777" w:rsidR="008D0565" w:rsidRPr="00D61F73" w:rsidRDefault="00751163" w:rsidP="00D61F73">
      <w:pPr>
        <w:rPr>
          <w:rFonts w:ascii="Arial" w:hAnsi="Arial" w:cs="Arial"/>
        </w:rPr>
      </w:pPr>
      <w:hyperlink w:anchor="Mitte" w:history="1">
        <w:r w:rsidR="008D0565" w:rsidRPr="00D61F73">
          <w:rPr>
            <w:rStyle w:val="Hyperlink"/>
            <w:rFonts w:ascii="Arial" w:hAnsi="Arial" w:cs="Arial"/>
          </w:rPr>
          <w:t>Mitte K</w:t>
        </w:r>
      </w:hyperlink>
      <w:r w:rsidR="008D0565" w:rsidRPr="00D61F73">
        <w:rPr>
          <w:rFonts w:ascii="Arial" w:hAnsi="Arial" w:cs="Arial"/>
        </w:rPr>
        <w:t xml:space="preserve">. A meta-analysis of the efficacy of psycho- and pharmacotherapy in panic disorder with and without agoraphobia. </w:t>
      </w:r>
      <w:r w:rsidR="008D0565" w:rsidRPr="00D61F73">
        <w:rPr>
          <w:rFonts w:ascii="Arial" w:hAnsi="Arial" w:cs="Arial"/>
          <w:i/>
        </w:rPr>
        <w:t>J Affect Disord</w:t>
      </w:r>
      <w:r w:rsidR="008D0565" w:rsidRPr="00D61F73">
        <w:rPr>
          <w:rFonts w:ascii="Arial" w:hAnsi="Arial" w:cs="Arial"/>
        </w:rPr>
        <w:t>. 2005;88:27-45.</w:t>
      </w:r>
    </w:p>
    <w:p w14:paraId="54A4AF5C" w14:textId="77777777" w:rsidR="008D0565" w:rsidRPr="00D61F73" w:rsidRDefault="008D0565" w:rsidP="00D61F73">
      <w:pPr>
        <w:rPr>
          <w:rFonts w:ascii="Arial" w:hAnsi="Arial" w:cs="Arial"/>
        </w:rPr>
      </w:pPr>
    </w:p>
    <w:p w14:paraId="4CE8342A" w14:textId="77777777" w:rsidR="008D0565" w:rsidRPr="00D61F73" w:rsidRDefault="00751163" w:rsidP="00D61F73">
      <w:pPr>
        <w:rPr>
          <w:rFonts w:ascii="Arial" w:hAnsi="Arial" w:cs="Arial"/>
        </w:rPr>
      </w:pPr>
      <w:hyperlink w:anchor="Morgan2012" w:history="1">
        <w:r w:rsidR="008D0565" w:rsidRPr="00D61F73">
          <w:rPr>
            <w:rStyle w:val="Hyperlink"/>
            <w:rFonts w:ascii="Arial" w:hAnsi="Arial" w:cs="Arial"/>
          </w:rPr>
          <w:t>Morgan CJ, Curran HV</w:t>
        </w:r>
      </w:hyperlink>
      <w:r w:rsidR="008D0565" w:rsidRPr="00D61F73">
        <w:rPr>
          <w:rFonts w:ascii="Arial" w:hAnsi="Arial" w:cs="Arial"/>
        </w:rPr>
        <w:t xml:space="preserve">; Independent Scientific Committee on Drugs. Ketamine use: a review. </w:t>
      </w:r>
      <w:r w:rsidR="008D0565" w:rsidRPr="00D61F73">
        <w:rPr>
          <w:rFonts w:ascii="Arial" w:hAnsi="Arial" w:cs="Arial"/>
          <w:i/>
          <w:iCs/>
        </w:rPr>
        <w:t>Addiction</w:t>
      </w:r>
      <w:r w:rsidR="008D0565" w:rsidRPr="00D61F73">
        <w:rPr>
          <w:rFonts w:ascii="Arial" w:hAnsi="Arial" w:cs="Arial"/>
        </w:rPr>
        <w:t>. 2012;107:27-38.</w:t>
      </w:r>
    </w:p>
    <w:p w14:paraId="0325FDA3" w14:textId="77777777" w:rsidR="008D0565" w:rsidRPr="00D61F73" w:rsidRDefault="008D0565" w:rsidP="00D61F73">
      <w:pPr>
        <w:rPr>
          <w:rFonts w:ascii="Arial" w:hAnsi="Arial" w:cs="Arial"/>
        </w:rPr>
      </w:pPr>
    </w:p>
    <w:p w14:paraId="6380098A" w14:textId="77777777" w:rsidR="008D0565" w:rsidRPr="00D61F73" w:rsidRDefault="00751163" w:rsidP="00D61F73">
      <w:pPr>
        <w:rPr>
          <w:rFonts w:ascii="Arial" w:hAnsi="Arial" w:cs="Arial"/>
        </w:rPr>
      </w:pPr>
      <w:hyperlink w:anchor="Morin" w:history="1">
        <w:r w:rsidR="008D0565" w:rsidRPr="00D61F73">
          <w:rPr>
            <w:rStyle w:val="Hyperlink"/>
            <w:rFonts w:ascii="Arial" w:hAnsi="Arial" w:cs="Arial"/>
          </w:rPr>
          <w:t>Morin AK, Jarvis CI, Lynch AM</w:t>
        </w:r>
      </w:hyperlink>
      <w:r w:rsidR="008D0565" w:rsidRPr="00D61F73">
        <w:rPr>
          <w:rFonts w:ascii="Arial" w:hAnsi="Arial" w:cs="Arial"/>
        </w:rPr>
        <w:t xml:space="preserve">. Therapeutic options for sleep-maintenance and sleep-onset insomnia. </w:t>
      </w:r>
      <w:r w:rsidR="008D0565" w:rsidRPr="00D61F73">
        <w:rPr>
          <w:rFonts w:ascii="Arial" w:hAnsi="Arial" w:cs="Arial"/>
          <w:i/>
        </w:rPr>
        <w:t>Pharmacotherapy</w:t>
      </w:r>
      <w:r w:rsidR="008D0565" w:rsidRPr="00D61F73">
        <w:rPr>
          <w:rFonts w:ascii="Arial" w:hAnsi="Arial" w:cs="Arial"/>
        </w:rPr>
        <w:t>. 2007;27:89-110.</w:t>
      </w:r>
    </w:p>
    <w:p w14:paraId="41FADD3C" w14:textId="77777777" w:rsidR="008D0565" w:rsidRPr="00D61F73" w:rsidRDefault="008D0565" w:rsidP="00D61F73">
      <w:pPr>
        <w:rPr>
          <w:rFonts w:ascii="Arial" w:hAnsi="Arial" w:cs="Arial"/>
        </w:rPr>
      </w:pPr>
    </w:p>
    <w:p w14:paraId="50061911" w14:textId="77777777" w:rsidR="008D0565" w:rsidRPr="00D61F73" w:rsidRDefault="00751163" w:rsidP="00D61F73">
      <w:pPr>
        <w:rPr>
          <w:rFonts w:ascii="Arial" w:hAnsi="Arial" w:cs="Arial"/>
        </w:rPr>
      </w:pPr>
      <w:hyperlink w:anchor="Montgomery" w:history="1">
        <w:r w:rsidR="008D0565" w:rsidRPr="00D61F73">
          <w:rPr>
            <w:rStyle w:val="Hyperlink"/>
            <w:rFonts w:ascii="Arial" w:hAnsi="Arial" w:cs="Arial"/>
          </w:rPr>
          <w:t>Montgomery B.</w:t>
        </w:r>
      </w:hyperlink>
      <w:r w:rsidR="008D0565" w:rsidRPr="00D61F73">
        <w:rPr>
          <w:rFonts w:ascii="Arial" w:hAnsi="Arial" w:cs="Arial"/>
        </w:rPr>
        <w:t xml:space="preserve"> Does paracetamol cause hypertension? </w:t>
      </w:r>
      <w:r w:rsidR="008D0565" w:rsidRPr="00D61F73">
        <w:rPr>
          <w:rFonts w:ascii="Arial" w:hAnsi="Arial" w:cs="Arial"/>
          <w:i/>
        </w:rPr>
        <w:t>BMJ</w:t>
      </w:r>
      <w:r w:rsidR="008D0565" w:rsidRPr="00D61F73">
        <w:rPr>
          <w:rFonts w:ascii="Arial" w:hAnsi="Arial" w:cs="Arial"/>
        </w:rPr>
        <w:t>. 2008;336:1190-1.</w:t>
      </w:r>
    </w:p>
    <w:p w14:paraId="14FC8BF4" w14:textId="77777777" w:rsidR="008D0565" w:rsidRPr="00D61F73" w:rsidRDefault="008D0565" w:rsidP="00D61F73">
      <w:pPr>
        <w:rPr>
          <w:rFonts w:ascii="Arial" w:hAnsi="Arial" w:cs="Arial"/>
        </w:rPr>
      </w:pPr>
    </w:p>
    <w:p w14:paraId="3791BCE6" w14:textId="77777777" w:rsidR="008D0565" w:rsidRPr="00D61F73" w:rsidRDefault="00751163" w:rsidP="00D61F73">
      <w:pPr>
        <w:rPr>
          <w:rFonts w:ascii="Arial" w:hAnsi="Arial" w:cs="Arial"/>
        </w:rPr>
      </w:pPr>
      <w:hyperlink w:anchor="Moore2" w:history="1">
        <w:r w:rsidR="008D0565" w:rsidRPr="00D61F73">
          <w:rPr>
            <w:rStyle w:val="Hyperlink"/>
            <w:rFonts w:ascii="Arial" w:hAnsi="Arial" w:cs="Arial"/>
          </w:rPr>
          <w:t>Moore RA, Straube S, Wiffen PJ, Derry S, McQuay HJ</w:t>
        </w:r>
      </w:hyperlink>
      <w:r w:rsidR="008D0565" w:rsidRPr="00D61F73">
        <w:rPr>
          <w:rFonts w:ascii="Arial" w:hAnsi="Arial" w:cs="Arial"/>
        </w:rPr>
        <w:t xml:space="preserve">. Pregabalin for acute and chronic pain in adults. </w:t>
      </w:r>
      <w:r w:rsidR="008D0565" w:rsidRPr="00D61F73">
        <w:rPr>
          <w:rFonts w:ascii="Arial" w:hAnsi="Arial" w:cs="Arial"/>
          <w:i/>
          <w:iCs/>
        </w:rPr>
        <w:t>Cochrane Database Syst Rev</w:t>
      </w:r>
      <w:r w:rsidR="008D0565" w:rsidRPr="00D61F73">
        <w:rPr>
          <w:rFonts w:ascii="Arial" w:hAnsi="Arial" w:cs="Arial"/>
        </w:rPr>
        <w:t xml:space="preserve">. 2009 Jul 8;(3):CD007076. </w:t>
      </w:r>
    </w:p>
    <w:p w14:paraId="6D08924D" w14:textId="77777777" w:rsidR="008D0565" w:rsidRPr="00D61F73" w:rsidRDefault="008D0565" w:rsidP="00D61F73">
      <w:pPr>
        <w:rPr>
          <w:rFonts w:ascii="Arial" w:hAnsi="Arial" w:cs="Arial"/>
        </w:rPr>
      </w:pPr>
    </w:p>
    <w:p w14:paraId="7CE19080" w14:textId="77777777" w:rsidR="008D0565" w:rsidRPr="00D61F73" w:rsidRDefault="00751163" w:rsidP="00D61F73">
      <w:pPr>
        <w:rPr>
          <w:rFonts w:ascii="Arial" w:hAnsi="Arial" w:cs="Arial"/>
        </w:rPr>
      </w:pPr>
      <w:hyperlink w:anchor="Moore2009" w:history="1">
        <w:r w:rsidR="008D0565" w:rsidRPr="00D61F73">
          <w:rPr>
            <w:rStyle w:val="Hyperlink"/>
            <w:rFonts w:ascii="Arial" w:hAnsi="Arial" w:cs="Arial"/>
          </w:rPr>
          <w:t>Moore TM, Jones T, Browder JH, Daffron S, Passik SD</w:t>
        </w:r>
      </w:hyperlink>
      <w:r w:rsidR="008D0565" w:rsidRPr="00D61F73">
        <w:rPr>
          <w:rFonts w:ascii="Arial" w:hAnsi="Arial" w:cs="Arial"/>
        </w:rPr>
        <w:t xml:space="preserve">. A comparison of common screening methods for predicting aberrant drug-related behavior among patients receiving opioids for chronic pain management. </w:t>
      </w:r>
      <w:r w:rsidR="008D0565" w:rsidRPr="00D61F73">
        <w:rPr>
          <w:rFonts w:ascii="Arial" w:hAnsi="Arial" w:cs="Arial"/>
          <w:i/>
        </w:rPr>
        <w:t>Pain Med.</w:t>
      </w:r>
      <w:r w:rsidR="008D0565" w:rsidRPr="00D61F73">
        <w:rPr>
          <w:rFonts w:ascii="Arial" w:hAnsi="Arial" w:cs="Arial"/>
        </w:rPr>
        <w:t xml:space="preserve"> 2009;10:1426-33.</w:t>
      </w:r>
    </w:p>
    <w:p w14:paraId="74717A81" w14:textId="77777777" w:rsidR="008D0565" w:rsidRPr="00D61F73" w:rsidRDefault="008D0565" w:rsidP="00D61F73">
      <w:pPr>
        <w:ind w:firstLine="720"/>
        <w:rPr>
          <w:rFonts w:ascii="Arial" w:hAnsi="Arial" w:cs="Arial"/>
        </w:rPr>
      </w:pPr>
    </w:p>
    <w:p w14:paraId="40759861" w14:textId="77777777" w:rsidR="008D0565" w:rsidRPr="00D61F73" w:rsidRDefault="00751163" w:rsidP="00D61F73">
      <w:pPr>
        <w:rPr>
          <w:rFonts w:ascii="Arial" w:hAnsi="Arial" w:cs="Arial"/>
        </w:rPr>
      </w:pPr>
      <w:hyperlink w:anchor="Moore2005" w:history="1">
        <w:r w:rsidR="008D0565" w:rsidRPr="00D61F73">
          <w:rPr>
            <w:rStyle w:val="Hyperlink"/>
            <w:rFonts w:ascii="Arial" w:hAnsi="Arial" w:cs="Arial"/>
          </w:rPr>
          <w:t>Moore RA, McQuay HJ</w:t>
        </w:r>
      </w:hyperlink>
      <w:r w:rsidR="008D0565" w:rsidRPr="00D61F73">
        <w:rPr>
          <w:rFonts w:ascii="Arial" w:hAnsi="Arial" w:cs="Arial"/>
        </w:rPr>
        <w:t xml:space="preserve">. Prevalence of opioid adverse events in chronic non-malignant pain: systematic review of randomised trials of oral opioids. </w:t>
      </w:r>
      <w:r w:rsidR="008D0565" w:rsidRPr="00D61F73">
        <w:rPr>
          <w:rFonts w:ascii="Arial" w:hAnsi="Arial" w:cs="Arial"/>
          <w:i/>
        </w:rPr>
        <w:t>Arthritis Res Ther</w:t>
      </w:r>
      <w:r w:rsidR="008D0565" w:rsidRPr="00D61F73">
        <w:rPr>
          <w:rFonts w:ascii="Arial" w:hAnsi="Arial" w:cs="Arial"/>
        </w:rPr>
        <w:t>. 2005;7:R1046-51.</w:t>
      </w:r>
    </w:p>
    <w:p w14:paraId="7A63A244" w14:textId="77777777" w:rsidR="008D0565" w:rsidRPr="00D61F73" w:rsidRDefault="008D0565" w:rsidP="00D61F73">
      <w:pPr>
        <w:rPr>
          <w:rFonts w:ascii="Arial" w:hAnsi="Arial" w:cs="Arial"/>
        </w:rPr>
      </w:pPr>
    </w:p>
    <w:p w14:paraId="5B551385" w14:textId="77777777" w:rsidR="008D0565" w:rsidRPr="00D61F73" w:rsidRDefault="00751163" w:rsidP="00D61F73">
      <w:pPr>
        <w:rPr>
          <w:rFonts w:ascii="Arial" w:hAnsi="Arial" w:cs="Arial"/>
        </w:rPr>
      </w:pPr>
      <w:hyperlink w:anchor="Morin2004" w:history="1">
        <w:r w:rsidR="008D0565" w:rsidRPr="00D61F73">
          <w:rPr>
            <w:rStyle w:val="Hyperlink"/>
            <w:rFonts w:ascii="Arial" w:hAnsi="Arial" w:cs="Arial"/>
          </w:rPr>
          <w:t>Morin CM, Bastien C, Guay B, Radouco-Thomas M, Leblanc J, Vallières A.</w:t>
        </w:r>
      </w:hyperlink>
      <w:r w:rsidR="008D0565" w:rsidRPr="00D61F73">
        <w:rPr>
          <w:rFonts w:ascii="Arial" w:hAnsi="Arial" w:cs="Arial"/>
        </w:rPr>
        <w:t xml:space="preserve"> Randomized clinical trial of supervised tapering and cognitive behavior therapy to facilitate benzodiazepine discontinuation in older adults with chronic insomnia</w:t>
      </w:r>
      <w:r w:rsidR="008D0565" w:rsidRPr="00D61F73">
        <w:rPr>
          <w:rFonts w:ascii="Arial" w:hAnsi="Arial" w:cs="Arial"/>
          <w:i/>
        </w:rPr>
        <w:t>. Am J Psychiatry</w:t>
      </w:r>
      <w:r w:rsidR="008D0565" w:rsidRPr="00D61F73">
        <w:rPr>
          <w:rFonts w:ascii="Arial" w:hAnsi="Arial" w:cs="Arial"/>
        </w:rPr>
        <w:t>. 2004;161:332-42.</w:t>
      </w:r>
    </w:p>
    <w:p w14:paraId="69DAC93A" w14:textId="77777777" w:rsidR="008D0565" w:rsidRPr="00D61F73" w:rsidRDefault="008D0565" w:rsidP="00D61F73">
      <w:pPr>
        <w:rPr>
          <w:rFonts w:ascii="Arial" w:hAnsi="Arial" w:cs="Arial"/>
        </w:rPr>
      </w:pPr>
    </w:p>
    <w:p w14:paraId="0966B634" w14:textId="77777777" w:rsidR="008D0565" w:rsidRPr="00D61F73" w:rsidRDefault="00751163" w:rsidP="00D61F73">
      <w:pPr>
        <w:pStyle w:val="BodyText"/>
        <w:rPr>
          <w:rFonts w:ascii="Arial" w:hAnsi="Arial" w:cs="Arial"/>
          <w:b w:val="0"/>
          <w:bCs w:val="0"/>
        </w:rPr>
      </w:pPr>
      <w:hyperlink w:anchor="Moskowitz" w:history="1">
        <w:r w:rsidR="008D0565" w:rsidRPr="00D61F73">
          <w:rPr>
            <w:rStyle w:val="Hyperlink"/>
            <w:rFonts w:ascii="Arial" w:hAnsi="Arial" w:cs="Arial"/>
            <w:b w:val="0"/>
            <w:bCs w:val="0"/>
          </w:rPr>
          <w:t>Moskowitz M, Mackie K, Huestis MA, Ratcliffe S, Mead AP, Fishman SM.</w:t>
        </w:r>
      </w:hyperlink>
      <w:r w:rsidR="008D0565" w:rsidRPr="00D61F73">
        <w:rPr>
          <w:rFonts w:ascii="Arial" w:hAnsi="Arial" w:cs="Arial"/>
          <w:b w:val="0"/>
          <w:bCs w:val="0"/>
        </w:rPr>
        <w:t xml:space="preserve"> Cannabinoids - a new class of analgesics. Program and abstracts of the American Academy of Pain Medicine 23rd Annual Meeting; February 7-10, 2007; New Orleans, Louisiana.</w:t>
      </w:r>
    </w:p>
    <w:p w14:paraId="44688D3B" w14:textId="77777777" w:rsidR="008D0565" w:rsidRPr="00D61F73" w:rsidRDefault="008D0565" w:rsidP="00D61F73">
      <w:pPr>
        <w:rPr>
          <w:rFonts w:ascii="Arial" w:hAnsi="Arial" w:cs="Arial"/>
        </w:rPr>
      </w:pPr>
    </w:p>
    <w:p w14:paraId="79FEEDF1" w14:textId="77777777" w:rsidR="008D0565" w:rsidRPr="00D61F73" w:rsidRDefault="00751163" w:rsidP="00D61F73">
      <w:pPr>
        <w:rPr>
          <w:rFonts w:ascii="Arial" w:hAnsi="Arial" w:cs="Arial"/>
        </w:rPr>
      </w:pPr>
      <w:hyperlink w:anchor="Moulin2" w:history="1">
        <w:r w:rsidR="008D0565" w:rsidRPr="00D61F73">
          <w:rPr>
            <w:rStyle w:val="Hyperlink"/>
            <w:rFonts w:ascii="Arial" w:hAnsi="Arial" w:cs="Arial"/>
          </w:rPr>
          <w:t>Moulin DE,</w:t>
        </w:r>
      </w:hyperlink>
      <w:r w:rsidR="008D0565" w:rsidRPr="00D61F73">
        <w:rPr>
          <w:rFonts w:ascii="Arial" w:hAnsi="Arial" w:cs="Arial"/>
        </w:rPr>
        <w:t xml:space="preserve"> Systemic drug treatment for chronic musculoskeletal pain, </w:t>
      </w:r>
      <w:r w:rsidR="008D0565" w:rsidRPr="00D61F73">
        <w:rPr>
          <w:rFonts w:ascii="Arial" w:hAnsi="Arial" w:cs="Arial"/>
          <w:i/>
          <w:iCs/>
        </w:rPr>
        <w:t>Clin J Pain</w:t>
      </w:r>
      <w:r w:rsidR="008D0565" w:rsidRPr="00D61F73">
        <w:rPr>
          <w:rFonts w:ascii="Arial" w:hAnsi="Arial" w:cs="Arial"/>
        </w:rPr>
        <w:t>. 2001 Dec;17(4 Suppl):S86-93.</w:t>
      </w:r>
    </w:p>
    <w:p w14:paraId="43FB2AC4" w14:textId="77777777" w:rsidR="008D0565" w:rsidRPr="00D61F73" w:rsidRDefault="008D0565" w:rsidP="00D61F73">
      <w:pPr>
        <w:rPr>
          <w:rFonts w:ascii="Arial" w:hAnsi="Arial" w:cs="Arial"/>
        </w:rPr>
      </w:pPr>
    </w:p>
    <w:p w14:paraId="15A4708E" w14:textId="77777777" w:rsidR="00A371CF" w:rsidRPr="00D61F73" w:rsidRDefault="00751163" w:rsidP="00D61F73">
      <w:pPr>
        <w:rPr>
          <w:rFonts w:ascii="Arial" w:hAnsi="Arial" w:cs="Arial"/>
        </w:rPr>
      </w:pPr>
      <w:hyperlink w:anchor="Mueller2015" w:history="1">
        <w:r w:rsidR="00A371CF" w:rsidRPr="00D61F73">
          <w:rPr>
            <w:rStyle w:val="Hyperlink"/>
            <w:rFonts w:ascii="Arial" w:hAnsi="Arial" w:cs="Arial"/>
          </w:rPr>
          <w:t>Mueller SR, Walley AY, Calcaterra SL, Glanz JM, Binswanger IA.</w:t>
        </w:r>
      </w:hyperlink>
      <w:r w:rsidR="00A371CF" w:rsidRPr="00D61F73">
        <w:rPr>
          <w:rFonts w:ascii="Arial" w:hAnsi="Arial" w:cs="Arial"/>
        </w:rPr>
        <w:t xml:space="preserve"> A Review of</w:t>
      </w:r>
      <w:r w:rsidR="007A550B" w:rsidRPr="00D61F73">
        <w:rPr>
          <w:rFonts w:ascii="Arial" w:hAnsi="Arial" w:cs="Arial"/>
        </w:rPr>
        <w:t xml:space="preserve"> Opioid Overdose Prevention and Naloxone </w:t>
      </w:r>
      <w:r w:rsidR="00A371CF" w:rsidRPr="00D61F73">
        <w:rPr>
          <w:rFonts w:ascii="Arial" w:hAnsi="Arial" w:cs="Arial"/>
        </w:rPr>
        <w:t>Prescribing: Implications for Translating Community Prog</w:t>
      </w:r>
      <w:r w:rsidR="007A550B" w:rsidRPr="00D61F73">
        <w:rPr>
          <w:rFonts w:ascii="Arial" w:hAnsi="Arial" w:cs="Arial"/>
        </w:rPr>
        <w:t xml:space="preserve">ramming into Clinical Practice. </w:t>
      </w:r>
      <w:r w:rsidR="00A371CF" w:rsidRPr="00D61F73">
        <w:rPr>
          <w:rFonts w:ascii="Arial" w:hAnsi="Arial" w:cs="Arial"/>
        </w:rPr>
        <w:t>Subst Abus. 2015:0.</w:t>
      </w:r>
    </w:p>
    <w:p w14:paraId="607EB8C6" w14:textId="77777777" w:rsidR="00A371CF" w:rsidRPr="00D61F73" w:rsidRDefault="00A371CF" w:rsidP="00D61F73">
      <w:pPr>
        <w:rPr>
          <w:rFonts w:ascii="Arial" w:hAnsi="Arial" w:cs="Arial"/>
        </w:rPr>
      </w:pPr>
    </w:p>
    <w:p w14:paraId="78835ED1" w14:textId="77777777" w:rsidR="008D0565" w:rsidRPr="00D61F73" w:rsidRDefault="00751163" w:rsidP="00D61F73">
      <w:pPr>
        <w:pStyle w:val="Footer"/>
        <w:tabs>
          <w:tab w:val="clear" w:pos="4320"/>
          <w:tab w:val="clear" w:pos="8640"/>
        </w:tabs>
        <w:rPr>
          <w:rFonts w:ascii="Arial" w:hAnsi="Arial" w:cs="Arial"/>
        </w:rPr>
      </w:pPr>
      <w:hyperlink w:anchor="Nakazawa" w:history="1">
        <w:r w:rsidR="008D0565" w:rsidRPr="00D61F73">
          <w:rPr>
            <w:rStyle w:val="Hyperlink"/>
            <w:rFonts w:ascii="Arial" w:hAnsi="Arial" w:cs="Arial"/>
          </w:rPr>
          <w:t>Nakazawa, R., et al</w:t>
        </w:r>
      </w:hyperlink>
      <w:r w:rsidR="008D0565" w:rsidRPr="00D61F73">
        <w:rPr>
          <w:rFonts w:ascii="Arial" w:hAnsi="Arial" w:cs="Arial"/>
        </w:rPr>
        <w:t>. Hormone Profiles after Intramuscular Injection of Testosterone Enanthate in Patients with Hypogonadism. Endocrine Journal, 2006; Volume 53, Number 3, 305-103.</w:t>
      </w:r>
    </w:p>
    <w:p w14:paraId="62D95E6D" w14:textId="77777777" w:rsidR="008D0565" w:rsidRPr="00D61F73" w:rsidRDefault="008D0565" w:rsidP="00D61F73">
      <w:pPr>
        <w:pStyle w:val="Footer"/>
        <w:tabs>
          <w:tab w:val="clear" w:pos="4320"/>
          <w:tab w:val="clear" w:pos="8640"/>
        </w:tabs>
        <w:rPr>
          <w:rFonts w:ascii="Arial" w:hAnsi="Arial" w:cs="Arial"/>
        </w:rPr>
      </w:pPr>
    </w:p>
    <w:p w14:paraId="48086805" w14:textId="77777777" w:rsidR="008D0565" w:rsidRPr="00D61F73" w:rsidRDefault="00751163" w:rsidP="00D61F73">
      <w:pPr>
        <w:rPr>
          <w:rFonts w:ascii="Arial" w:hAnsi="Arial" w:cs="Arial"/>
        </w:rPr>
      </w:pPr>
      <w:hyperlink w:anchor="Naliboff" w:history="1">
        <w:r w:rsidR="008D0565" w:rsidRPr="00D61F73">
          <w:rPr>
            <w:rStyle w:val="Hyperlink"/>
            <w:rFonts w:ascii="Arial" w:hAnsi="Arial" w:cs="Arial"/>
          </w:rPr>
          <w:t>Naliboff BD, Wu SM, Pham Q.</w:t>
        </w:r>
      </w:hyperlink>
      <w:r w:rsidR="008D0565" w:rsidRPr="00D61F73">
        <w:rPr>
          <w:rFonts w:ascii="Arial" w:hAnsi="Arial" w:cs="Arial"/>
        </w:rPr>
        <w:t xml:space="preserve"> Clinical considerations in the treatment of chronic pain with opiates</w:t>
      </w:r>
      <w:r w:rsidR="008D0565" w:rsidRPr="00D61F73">
        <w:rPr>
          <w:rFonts w:ascii="Arial" w:hAnsi="Arial" w:cs="Arial"/>
          <w:i/>
        </w:rPr>
        <w:t>. J Clin Psychol</w:t>
      </w:r>
      <w:r w:rsidR="008D0565" w:rsidRPr="00D61F73">
        <w:rPr>
          <w:rFonts w:ascii="Arial" w:hAnsi="Arial" w:cs="Arial"/>
        </w:rPr>
        <w:t>. 2006 Aug 25; [Epub ahead of print]</w:t>
      </w:r>
    </w:p>
    <w:p w14:paraId="058B5B4A" w14:textId="77777777" w:rsidR="008D0565" w:rsidRPr="00D61F73" w:rsidRDefault="008D0565" w:rsidP="00D61F73">
      <w:pPr>
        <w:pStyle w:val="Footer"/>
        <w:tabs>
          <w:tab w:val="clear" w:pos="4320"/>
          <w:tab w:val="clear" w:pos="8640"/>
        </w:tabs>
        <w:rPr>
          <w:rFonts w:ascii="Arial" w:hAnsi="Arial" w:cs="Arial"/>
        </w:rPr>
      </w:pPr>
    </w:p>
    <w:p w14:paraId="4E39E6B2" w14:textId="77777777" w:rsidR="008D0565" w:rsidRPr="00D61F73" w:rsidRDefault="00751163" w:rsidP="00D61F73">
      <w:pPr>
        <w:pStyle w:val="NormalWeb"/>
        <w:spacing w:before="0" w:beforeAutospacing="0" w:after="0" w:afterAutospacing="0"/>
        <w:rPr>
          <w:rFonts w:ascii="Arial" w:hAnsi="Arial" w:cs="Arial"/>
        </w:rPr>
      </w:pPr>
      <w:hyperlink w:anchor="Namaka" w:history="1">
        <w:r w:rsidR="008D0565" w:rsidRPr="00D61F73">
          <w:rPr>
            <w:rStyle w:val="Hyperlink"/>
            <w:rFonts w:ascii="Arial" w:hAnsi="Arial" w:cs="Arial"/>
          </w:rPr>
          <w:t>Namaka M, Gramlich CR, Ruhlen D, Melanson M, Sutton I, Major J</w:t>
        </w:r>
      </w:hyperlink>
      <w:r w:rsidR="008D0565" w:rsidRPr="00D61F73">
        <w:rPr>
          <w:rFonts w:ascii="Arial" w:hAnsi="Arial" w:cs="Arial"/>
        </w:rPr>
        <w:t xml:space="preserve">. A treatment algorithm for neuropathic pain. </w:t>
      </w:r>
      <w:r w:rsidR="008D0565" w:rsidRPr="00D61F73">
        <w:rPr>
          <w:rFonts w:ascii="Arial" w:hAnsi="Arial" w:cs="Arial"/>
          <w:i/>
          <w:iCs/>
        </w:rPr>
        <w:t>Clin Ther</w:t>
      </w:r>
      <w:r w:rsidR="008D0565" w:rsidRPr="00D61F73">
        <w:rPr>
          <w:rFonts w:ascii="Arial" w:hAnsi="Arial" w:cs="Arial"/>
        </w:rPr>
        <w:t>. 2004 Jul;26(7):951-79.</w:t>
      </w:r>
    </w:p>
    <w:p w14:paraId="1E541913" w14:textId="77777777" w:rsidR="008D0565" w:rsidRPr="00D61F73" w:rsidRDefault="008D0565" w:rsidP="00D61F73">
      <w:pPr>
        <w:rPr>
          <w:rFonts w:ascii="Arial" w:hAnsi="Arial" w:cs="Arial"/>
        </w:rPr>
      </w:pPr>
    </w:p>
    <w:p w14:paraId="1B52C2A6" w14:textId="77777777" w:rsidR="008D0565" w:rsidRPr="00D61F73" w:rsidRDefault="00751163" w:rsidP="00D61F73">
      <w:pPr>
        <w:rPr>
          <w:rFonts w:ascii="Arial" w:hAnsi="Arial" w:cs="Arial"/>
        </w:rPr>
      </w:pPr>
      <w:hyperlink w:anchor="Narang2008" w:history="1">
        <w:r w:rsidR="008D0565" w:rsidRPr="00D61F73">
          <w:rPr>
            <w:rStyle w:val="Hyperlink"/>
            <w:rFonts w:ascii="Arial" w:hAnsi="Arial" w:cs="Arial"/>
          </w:rPr>
          <w:t>Narang S, Gibson D, Wasan AD, Ross EL, Michna E, Nedeljkovic SS, Jamison RN</w:t>
        </w:r>
      </w:hyperlink>
      <w:r w:rsidR="008D0565" w:rsidRPr="00D61F73">
        <w:rPr>
          <w:rFonts w:ascii="Arial" w:hAnsi="Arial" w:cs="Arial"/>
        </w:rPr>
        <w:t xml:space="preserve">. Efficacy of dronabinol as an adjuvant treatment for chronic pain patients on opioid therapy. </w:t>
      </w:r>
      <w:r w:rsidR="008D0565" w:rsidRPr="00D61F73">
        <w:rPr>
          <w:rFonts w:ascii="Arial" w:hAnsi="Arial" w:cs="Arial"/>
          <w:i/>
          <w:iCs/>
        </w:rPr>
        <w:t>J Pain</w:t>
      </w:r>
      <w:r w:rsidR="008D0565" w:rsidRPr="00D61F73">
        <w:rPr>
          <w:rFonts w:ascii="Arial" w:hAnsi="Arial" w:cs="Arial"/>
        </w:rPr>
        <w:t>. 2008 Mar;9(3):254-64. Epub 2007 Dec 21.</w:t>
      </w:r>
    </w:p>
    <w:p w14:paraId="51021E7D" w14:textId="77777777" w:rsidR="008D0565" w:rsidRPr="00D61F73" w:rsidRDefault="008D0565" w:rsidP="00D61F73">
      <w:pPr>
        <w:rPr>
          <w:rFonts w:ascii="Arial" w:hAnsi="Arial" w:cs="Arial"/>
        </w:rPr>
      </w:pPr>
    </w:p>
    <w:p w14:paraId="5958867D" w14:textId="77777777" w:rsidR="008D0565" w:rsidRPr="00D61F73" w:rsidRDefault="00751163" w:rsidP="00D61F73">
      <w:pPr>
        <w:rPr>
          <w:rFonts w:ascii="Arial" w:hAnsi="Arial" w:cs="Arial"/>
        </w:rPr>
      </w:pPr>
      <w:hyperlink w:anchor="Nelson2012" w:history="1">
        <w:r w:rsidR="008D0565" w:rsidRPr="00D61F73">
          <w:rPr>
            <w:rStyle w:val="Hyperlink"/>
            <w:rFonts w:ascii="Arial" w:hAnsi="Arial" w:cs="Arial"/>
          </w:rPr>
          <w:t>Nelson LS, Perrone J</w:t>
        </w:r>
      </w:hyperlink>
      <w:r w:rsidR="008D0565" w:rsidRPr="00D61F73">
        <w:rPr>
          <w:rFonts w:ascii="Arial" w:hAnsi="Arial" w:cs="Arial"/>
        </w:rPr>
        <w:t xml:space="preserve">. Curbing the opioid epidemic in the United States: the risk evaluation and mitigation strategy (REMS). </w:t>
      </w:r>
      <w:r w:rsidR="008D0565" w:rsidRPr="00D61F73">
        <w:rPr>
          <w:rFonts w:ascii="Arial" w:hAnsi="Arial" w:cs="Arial"/>
          <w:i/>
          <w:iCs/>
        </w:rPr>
        <w:t>JAMA</w:t>
      </w:r>
      <w:r w:rsidR="008D0565" w:rsidRPr="00D61F73">
        <w:rPr>
          <w:rFonts w:ascii="Arial" w:hAnsi="Arial" w:cs="Arial"/>
        </w:rPr>
        <w:t>. 2012 Aug 1;308(5):457-8.</w:t>
      </w:r>
    </w:p>
    <w:p w14:paraId="342C4486" w14:textId="77777777" w:rsidR="008D0565" w:rsidRPr="00D61F73" w:rsidRDefault="008D0565" w:rsidP="00D61F73">
      <w:pPr>
        <w:rPr>
          <w:rFonts w:ascii="Arial" w:hAnsi="Arial" w:cs="Arial"/>
        </w:rPr>
      </w:pPr>
    </w:p>
    <w:p w14:paraId="214D9DBA" w14:textId="77777777" w:rsidR="008D0565" w:rsidRPr="00D61F73" w:rsidRDefault="00751163" w:rsidP="00D61F73">
      <w:pPr>
        <w:rPr>
          <w:rFonts w:ascii="Arial" w:hAnsi="Arial" w:cs="Arial"/>
        </w:rPr>
      </w:pPr>
      <w:hyperlink w:anchor="Nielsen" w:history="1">
        <w:r w:rsidR="008D0565" w:rsidRPr="00D61F73">
          <w:rPr>
            <w:rStyle w:val="Hyperlink"/>
            <w:rFonts w:ascii="Arial" w:hAnsi="Arial" w:cs="Arial"/>
          </w:rPr>
          <w:t>Nielsen OH, Ainsworth M, Csillag C, Rask-Madsen J.</w:t>
        </w:r>
      </w:hyperlink>
      <w:r w:rsidR="008D0565" w:rsidRPr="00D61F73">
        <w:rPr>
          <w:rFonts w:ascii="Arial" w:hAnsi="Arial" w:cs="Arial"/>
        </w:rPr>
        <w:t xml:space="preserve"> Systematic review: coxibs, non-steroidal anti-inflammatory drugs or no cyclooxygenase inhibitors in gastroenterological high-risk patients? </w:t>
      </w:r>
      <w:r w:rsidR="008D0565" w:rsidRPr="00D61F73">
        <w:rPr>
          <w:rFonts w:ascii="Arial" w:hAnsi="Arial" w:cs="Arial"/>
          <w:i/>
          <w:iCs/>
        </w:rPr>
        <w:t>Aliment Pharmacol Ther</w:t>
      </w:r>
      <w:r w:rsidR="008D0565" w:rsidRPr="00D61F73">
        <w:rPr>
          <w:rFonts w:ascii="Arial" w:hAnsi="Arial" w:cs="Arial"/>
        </w:rPr>
        <w:t xml:space="preserve">. 2006 Jan 1;23(1):27-33. </w:t>
      </w:r>
    </w:p>
    <w:p w14:paraId="39A8A244" w14:textId="77777777" w:rsidR="008D0565" w:rsidRPr="00D61F73" w:rsidRDefault="008D0565" w:rsidP="00D61F73">
      <w:pPr>
        <w:pStyle w:val="Footer"/>
        <w:tabs>
          <w:tab w:val="clear" w:pos="4320"/>
          <w:tab w:val="clear" w:pos="8640"/>
        </w:tabs>
        <w:rPr>
          <w:rFonts w:ascii="Arial" w:hAnsi="Arial" w:cs="Arial"/>
        </w:rPr>
      </w:pPr>
    </w:p>
    <w:p w14:paraId="1565DF4D" w14:textId="77777777" w:rsidR="008D0565" w:rsidRPr="00D61F73" w:rsidRDefault="00751163" w:rsidP="00D61F73">
      <w:pPr>
        <w:pStyle w:val="Footer"/>
        <w:tabs>
          <w:tab w:val="clear" w:pos="4320"/>
          <w:tab w:val="clear" w:pos="8640"/>
        </w:tabs>
        <w:rPr>
          <w:rFonts w:ascii="Arial" w:hAnsi="Arial" w:cs="Arial"/>
        </w:rPr>
      </w:pPr>
      <w:hyperlink w:anchor="Niethard2005" w:history="1">
        <w:r w:rsidR="008D0565" w:rsidRPr="00D61F73">
          <w:rPr>
            <w:rStyle w:val="Hyperlink"/>
            <w:rFonts w:ascii="Arial" w:hAnsi="Arial" w:cs="Arial"/>
          </w:rPr>
          <w:t>Niethard FU, Gold MS, Solomon GS, Liu JM, Unkauf M, Albrecht HH, Elkik F.</w:t>
        </w:r>
      </w:hyperlink>
      <w:r w:rsidR="008D0565" w:rsidRPr="00D61F73">
        <w:rPr>
          <w:rFonts w:ascii="Arial" w:hAnsi="Arial" w:cs="Arial"/>
        </w:rPr>
        <w:t xml:space="preserve"> Efficacy of topical diclofenac diethylamine gel in osteoarthritis of the knee. </w:t>
      </w:r>
      <w:r w:rsidR="008D0565" w:rsidRPr="00D61F73">
        <w:rPr>
          <w:rFonts w:ascii="Arial" w:hAnsi="Arial" w:cs="Arial"/>
          <w:i/>
        </w:rPr>
        <w:t>J Rheumatol</w:t>
      </w:r>
      <w:r w:rsidR="008D0565" w:rsidRPr="00D61F73">
        <w:rPr>
          <w:rFonts w:ascii="Arial" w:hAnsi="Arial" w:cs="Arial"/>
        </w:rPr>
        <w:t>. 2005;32:2384-92.</w:t>
      </w:r>
    </w:p>
    <w:p w14:paraId="0034433A" w14:textId="77777777" w:rsidR="008D0565" w:rsidRPr="00D61F73" w:rsidRDefault="008D0565" w:rsidP="00D61F73">
      <w:pPr>
        <w:rPr>
          <w:rFonts w:ascii="Arial" w:hAnsi="Arial" w:cs="Arial"/>
        </w:rPr>
      </w:pPr>
    </w:p>
    <w:p w14:paraId="7003A8A9" w14:textId="77777777" w:rsidR="008D0565" w:rsidRPr="00D61F73" w:rsidRDefault="00751163" w:rsidP="00D61F73">
      <w:pPr>
        <w:rPr>
          <w:rFonts w:ascii="Arial" w:hAnsi="Arial" w:cs="Arial"/>
        </w:rPr>
      </w:pPr>
      <w:hyperlink w:anchor="Noize2010" w:history="1">
        <w:r w:rsidR="008D0565" w:rsidRPr="00D61F73">
          <w:rPr>
            <w:rStyle w:val="Hyperlink"/>
            <w:rFonts w:ascii="Arial" w:hAnsi="Arial" w:cs="Arial"/>
          </w:rPr>
          <w:t>Noize P, Bénard-Laribière A, Aulois-Griot M, Moore N, Miremont-Salamé G, Haramburu F.</w:t>
        </w:r>
      </w:hyperlink>
      <w:r w:rsidR="008D0565" w:rsidRPr="00D61F73">
        <w:rPr>
          <w:rFonts w:ascii="Arial" w:hAnsi="Arial" w:cs="Arial"/>
        </w:rPr>
        <w:t xml:space="preserve"> Cutaneous adverse effects of ketoprofen for topical use: clinical patterns and costs. </w:t>
      </w:r>
      <w:r w:rsidR="008D0565" w:rsidRPr="00D61F73">
        <w:rPr>
          <w:rFonts w:ascii="Arial" w:hAnsi="Arial" w:cs="Arial"/>
          <w:i/>
        </w:rPr>
        <w:t xml:space="preserve">Am J Clin Dermatol. </w:t>
      </w:r>
      <w:r w:rsidR="008D0565" w:rsidRPr="00D61F73">
        <w:rPr>
          <w:rFonts w:ascii="Arial" w:hAnsi="Arial" w:cs="Arial"/>
        </w:rPr>
        <w:t>2010;11:131-6.</w:t>
      </w:r>
    </w:p>
    <w:p w14:paraId="576A5C1F" w14:textId="77777777" w:rsidR="008D0565" w:rsidRPr="00D61F73" w:rsidRDefault="008D0565" w:rsidP="00D61F73">
      <w:pPr>
        <w:rPr>
          <w:rFonts w:ascii="Arial" w:hAnsi="Arial" w:cs="Arial"/>
        </w:rPr>
      </w:pPr>
    </w:p>
    <w:p w14:paraId="265CFBBD" w14:textId="77777777" w:rsidR="008D0565" w:rsidRPr="00D61F73" w:rsidRDefault="00751163" w:rsidP="00D61F73">
      <w:pPr>
        <w:rPr>
          <w:rFonts w:ascii="Arial" w:hAnsi="Arial" w:cs="Arial"/>
        </w:rPr>
      </w:pPr>
      <w:hyperlink w:anchor="Noppers2011" w:history="1">
        <w:r w:rsidR="008D0565" w:rsidRPr="00D61F73">
          <w:rPr>
            <w:rStyle w:val="Hyperlink"/>
            <w:rFonts w:ascii="Arial" w:hAnsi="Arial" w:cs="Arial"/>
          </w:rPr>
          <w:t>Noppers IM, Niesters M, Aarts LP, Bauer MC, Drewes AM, Dahan A, Sarton EY</w:t>
        </w:r>
      </w:hyperlink>
      <w:r w:rsidR="008D0565" w:rsidRPr="00D61F73">
        <w:rPr>
          <w:rFonts w:ascii="Arial" w:hAnsi="Arial" w:cs="Arial"/>
        </w:rPr>
        <w:t xml:space="preserve">. Drug-induced liver injury following a repeated course of ketamine treatment for chronic pain in CRPS type 1 patients: a report of 3 cases. </w:t>
      </w:r>
      <w:r w:rsidR="008D0565" w:rsidRPr="00D61F73">
        <w:rPr>
          <w:rFonts w:ascii="Arial" w:hAnsi="Arial" w:cs="Arial"/>
          <w:i/>
          <w:iCs/>
        </w:rPr>
        <w:t>Pain.</w:t>
      </w:r>
      <w:r w:rsidR="008D0565" w:rsidRPr="00D61F73">
        <w:rPr>
          <w:rFonts w:ascii="Arial" w:hAnsi="Arial" w:cs="Arial"/>
        </w:rPr>
        <w:t xml:space="preserve"> 2011 Sep;152(9):2173-8.</w:t>
      </w:r>
    </w:p>
    <w:p w14:paraId="58323968" w14:textId="77777777" w:rsidR="008D0565" w:rsidRPr="00D61F73" w:rsidRDefault="008D0565" w:rsidP="00D61F73">
      <w:pPr>
        <w:rPr>
          <w:rFonts w:ascii="Arial" w:hAnsi="Arial" w:cs="Arial"/>
        </w:rPr>
      </w:pPr>
    </w:p>
    <w:p w14:paraId="19D12A05" w14:textId="77777777" w:rsidR="008D0565" w:rsidRPr="00D61F73" w:rsidRDefault="00751163" w:rsidP="00D61F73">
      <w:pPr>
        <w:rPr>
          <w:rFonts w:ascii="Arial" w:hAnsi="Arial" w:cs="Arial"/>
        </w:rPr>
      </w:pPr>
      <w:hyperlink w:anchor="Novak" w:history="1">
        <w:r w:rsidR="008D0565" w:rsidRPr="00D61F73">
          <w:rPr>
            <w:rStyle w:val="Hyperlink"/>
            <w:rFonts w:ascii="Arial" w:hAnsi="Arial" w:cs="Arial"/>
          </w:rPr>
          <w:t>Novak S, Nemeth WC, Lawson KA.</w:t>
        </w:r>
      </w:hyperlink>
      <w:r w:rsidR="008D0565" w:rsidRPr="00D61F73">
        <w:rPr>
          <w:rFonts w:ascii="Arial" w:hAnsi="Arial" w:cs="Arial"/>
        </w:rPr>
        <w:t xml:space="preserve"> Trends in medical use and abuse of sustained-release opioid analgesics: a revisit. </w:t>
      </w:r>
      <w:r w:rsidR="008D0565" w:rsidRPr="00D61F73">
        <w:rPr>
          <w:rFonts w:ascii="Arial" w:hAnsi="Arial" w:cs="Arial"/>
          <w:i/>
          <w:iCs/>
        </w:rPr>
        <w:t>Pain Med</w:t>
      </w:r>
      <w:r w:rsidR="008D0565" w:rsidRPr="00D61F73">
        <w:rPr>
          <w:rFonts w:ascii="Arial" w:hAnsi="Arial" w:cs="Arial"/>
        </w:rPr>
        <w:t>. 2004 Mar;5(1):59-65.</w:t>
      </w:r>
    </w:p>
    <w:p w14:paraId="0845B020" w14:textId="77777777" w:rsidR="008D0565" w:rsidRPr="00D61F73" w:rsidRDefault="008D0565" w:rsidP="00D61F73">
      <w:pPr>
        <w:rPr>
          <w:rFonts w:ascii="Arial" w:hAnsi="Arial" w:cs="Arial"/>
        </w:rPr>
      </w:pPr>
    </w:p>
    <w:p w14:paraId="748278D7" w14:textId="77777777" w:rsidR="008D0565" w:rsidRPr="00D61F73" w:rsidRDefault="00751163" w:rsidP="00D61F73">
      <w:pPr>
        <w:rPr>
          <w:rFonts w:ascii="Arial" w:hAnsi="Arial" w:cs="Arial"/>
        </w:rPr>
      </w:pPr>
      <w:hyperlink w:anchor="Obrien" w:history="1">
        <w:r w:rsidR="008D0565" w:rsidRPr="00D61F73">
          <w:rPr>
            <w:rStyle w:val="Hyperlink"/>
            <w:rFonts w:ascii="Arial" w:hAnsi="Arial" w:cs="Arial"/>
          </w:rPr>
          <w:t>O'brien CP</w:t>
        </w:r>
      </w:hyperlink>
      <w:r w:rsidR="008D0565" w:rsidRPr="00D61F73">
        <w:rPr>
          <w:rFonts w:ascii="Arial" w:hAnsi="Arial" w:cs="Arial"/>
        </w:rPr>
        <w:t>. Benzodiazepine use, abuse, and dependence.</w:t>
      </w:r>
      <w:r w:rsidR="008D0565" w:rsidRPr="00D61F73">
        <w:rPr>
          <w:rFonts w:ascii="Arial" w:hAnsi="Arial" w:cs="Arial"/>
          <w:i/>
        </w:rPr>
        <w:t xml:space="preserve"> J Clin Psychiatry</w:t>
      </w:r>
      <w:r w:rsidR="008D0565" w:rsidRPr="00D61F73">
        <w:rPr>
          <w:rFonts w:ascii="Arial" w:hAnsi="Arial" w:cs="Arial"/>
        </w:rPr>
        <w:t>. 2005;66 :28-33</w:t>
      </w:r>
    </w:p>
    <w:p w14:paraId="4C62B94E" w14:textId="77777777" w:rsidR="008D0565" w:rsidRPr="00D61F73" w:rsidRDefault="008D0565" w:rsidP="00D61F73">
      <w:pPr>
        <w:rPr>
          <w:rFonts w:ascii="Arial" w:hAnsi="Arial" w:cs="Arial"/>
        </w:rPr>
      </w:pPr>
    </w:p>
    <w:p w14:paraId="026BC014" w14:textId="77777777" w:rsidR="008D0565" w:rsidRPr="00D61F73" w:rsidRDefault="00751163" w:rsidP="00D61F73">
      <w:pPr>
        <w:rPr>
          <w:rFonts w:ascii="Arial" w:hAnsi="Arial" w:cs="Arial"/>
        </w:rPr>
      </w:pPr>
      <w:hyperlink w:anchor="OConnor" w:history="1">
        <w:r w:rsidR="008D0565" w:rsidRPr="00D61F73">
          <w:rPr>
            <w:rStyle w:val="Hyperlink"/>
            <w:rFonts w:ascii="Arial" w:hAnsi="Arial" w:cs="Arial"/>
          </w:rPr>
          <w:t>O'Connor AB, Dworkin RH</w:t>
        </w:r>
      </w:hyperlink>
      <w:r w:rsidR="008D0565" w:rsidRPr="00D61F73">
        <w:rPr>
          <w:rFonts w:ascii="Arial" w:hAnsi="Arial" w:cs="Arial"/>
        </w:rPr>
        <w:t xml:space="preserve">. Treatment of neuropathic pain: an overview of recent guidelines. </w:t>
      </w:r>
      <w:r w:rsidR="008D0565" w:rsidRPr="00D61F73">
        <w:rPr>
          <w:rFonts w:ascii="Arial" w:hAnsi="Arial" w:cs="Arial"/>
          <w:i/>
        </w:rPr>
        <w:t>Am J Med</w:t>
      </w:r>
      <w:r w:rsidR="008D0565" w:rsidRPr="00D61F73">
        <w:rPr>
          <w:rFonts w:ascii="Arial" w:hAnsi="Arial" w:cs="Arial"/>
        </w:rPr>
        <w:t>. 2009;122:S22-32.</w:t>
      </w:r>
    </w:p>
    <w:p w14:paraId="7AB47177" w14:textId="77777777" w:rsidR="008D0565" w:rsidRPr="00D61F73" w:rsidRDefault="008D0565" w:rsidP="00D61F73">
      <w:pPr>
        <w:rPr>
          <w:rFonts w:ascii="Arial" w:hAnsi="Arial" w:cs="Arial"/>
        </w:rPr>
      </w:pPr>
    </w:p>
    <w:p w14:paraId="7771D6E5" w14:textId="77777777" w:rsidR="008D0565" w:rsidRPr="00D61F73" w:rsidRDefault="00751163" w:rsidP="00D61F73">
      <w:pPr>
        <w:rPr>
          <w:rFonts w:ascii="Arial" w:hAnsi="Arial" w:cs="Arial"/>
        </w:rPr>
      </w:pPr>
      <w:hyperlink w:anchor="OLenic2012" w:history="1">
        <w:r w:rsidR="008D0565" w:rsidRPr="00D61F73">
          <w:rPr>
            <w:rStyle w:val="Hyperlink"/>
            <w:rFonts w:ascii="Arial" w:hAnsi="Arial" w:cs="Arial"/>
          </w:rPr>
          <w:t>O'Lenic K</w:t>
        </w:r>
      </w:hyperlink>
      <w:r w:rsidR="008D0565" w:rsidRPr="00D61F73">
        <w:rPr>
          <w:rFonts w:ascii="Arial" w:hAnsi="Arial" w:cs="Arial"/>
        </w:rPr>
        <w:t>. Vimpat for neuropathic pain. April 09, 2012.</w:t>
      </w:r>
    </w:p>
    <w:p w14:paraId="654DF8EA" w14:textId="77777777" w:rsidR="008D0565" w:rsidRPr="00D61F73" w:rsidRDefault="008D0565" w:rsidP="00D61F73">
      <w:pPr>
        <w:rPr>
          <w:rFonts w:ascii="Arial" w:hAnsi="Arial" w:cs="Arial"/>
        </w:rPr>
      </w:pPr>
    </w:p>
    <w:p w14:paraId="7B530E3C" w14:textId="77777777" w:rsidR="008D0565" w:rsidRPr="00D61F73" w:rsidRDefault="00751163" w:rsidP="00D61F73">
      <w:pPr>
        <w:rPr>
          <w:rFonts w:ascii="Arial" w:hAnsi="Arial" w:cs="Arial"/>
        </w:rPr>
      </w:pPr>
      <w:hyperlink w:anchor="Olesen" w:history="1">
        <w:r w:rsidR="008D0565" w:rsidRPr="00D61F73">
          <w:rPr>
            <w:rStyle w:val="Hyperlink"/>
            <w:rFonts w:ascii="Arial" w:hAnsi="Arial" w:cs="Arial"/>
          </w:rPr>
          <w:t>Olesen J, Bousser MG, Diener HC, Dodick D, First M, Goadsby PJ, Göbel H, Lainez MJ, Lance JW, Lipton RB, Nappi G, Sakai F, Schoenen J, Silberstein SD, Steiner TJ</w:t>
        </w:r>
      </w:hyperlink>
      <w:r w:rsidR="008D0565" w:rsidRPr="00D61F73">
        <w:rPr>
          <w:rFonts w:ascii="Arial" w:hAnsi="Arial" w:cs="Arial"/>
        </w:rPr>
        <w:t xml:space="preserve">, Headache Classification Committee. New appendix criteria open for a broader concept of chronic migraine. </w:t>
      </w:r>
      <w:r w:rsidR="008D0565" w:rsidRPr="00D61F73">
        <w:rPr>
          <w:rFonts w:ascii="Arial" w:hAnsi="Arial" w:cs="Arial"/>
          <w:i/>
        </w:rPr>
        <w:t>Cephalalgia</w:t>
      </w:r>
      <w:r w:rsidR="008D0565" w:rsidRPr="00D61F73">
        <w:rPr>
          <w:rFonts w:ascii="Arial" w:hAnsi="Arial" w:cs="Arial"/>
        </w:rPr>
        <w:t>. 2006;26:742-6.</w:t>
      </w:r>
    </w:p>
    <w:p w14:paraId="3C55FCD9" w14:textId="77777777" w:rsidR="008D0565" w:rsidRPr="00D61F73" w:rsidRDefault="00751163" w:rsidP="00D61F73">
      <w:pPr>
        <w:rPr>
          <w:rFonts w:ascii="Arial" w:hAnsi="Arial" w:cs="Arial"/>
        </w:rPr>
      </w:pPr>
      <w:hyperlink w:anchor="Oluwajenyo2014" w:history="1">
        <w:r w:rsidR="007A550B" w:rsidRPr="00D61F73">
          <w:rPr>
            <w:rStyle w:val="Hyperlink"/>
            <w:rFonts w:ascii="Arial" w:hAnsi="Arial" w:cs="Arial"/>
          </w:rPr>
          <w:t>Oluwajenyo Banjo MPHc, Tzemis D, Al-Qutub D, Amlani A, Kesselring S, Buxton JA.</w:t>
        </w:r>
      </w:hyperlink>
      <w:r w:rsidR="007A550B" w:rsidRPr="00D61F73">
        <w:rPr>
          <w:rFonts w:ascii="Arial" w:hAnsi="Arial" w:cs="Arial"/>
        </w:rPr>
        <w:t xml:space="preserve"> A quantitative and qualitative evaluation of the British Columbia Take Home Naloxone program. CMAJ Open. 2014; 2:E153-61.</w:t>
      </w:r>
    </w:p>
    <w:p w14:paraId="49D1DDC8" w14:textId="77777777" w:rsidR="007A550B" w:rsidRPr="00D61F73" w:rsidRDefault="007A550B" w:rsidP="00D61F73">
      <w:pPr>
        <w:rPr>
          <w:rFonts w:ascii="Arial" w:hAnsi="Arial" w:cs="Arial"/>
        </w:rPr>
      </w:pPr>
    </w:p>
    <w:p w14:paraId="13363067" w14:textId="77777777" w:rsidR="008D0565" w:rsidRPr="00D61F73" w:rsidRDefault="00751163" w:rsidP="00D61F73">
      <w:pPr>
        <w:rPr>
          <w:rFonts w:ascii="Arial" w:hAnsi="Arial" w:cs="Arial"/>
        </w:rPr>
      </w:pPr>
      <w:hyperlink w:anchor="Otto" w:history="1">
        <w:r w:rsidR="008D0565" w:rsidRPr="00D61F73">
          <w:rPr>
            <w:rStyle w:val="Hyperlink"/>
            <w:rFonts w:ascii="Arial" w:hAnsi="Arial" w:cs="Arial"/>
          </w:rPr>
          <w:t>Otto MW, Tuby KS, Gould RA, McLean RY, Pollack MH</w:t>
        </w:r>
      </w:hyperlink>
      <w:r w:rsidR="008D0565" w:rsidRPr="00D61F73">
        <w:rPr>
          <w:rFonts w:ascii="Arial" w:hAnsi="Arial" w:cs="Arial"/>
        </w:rPr>
        <w:t xml:space="preserve">. An effect-size analysis of the relative efficacy and tolerability of serotonin selective reuptake inhibitors for panic disorder. </w:t>
      </w:r>
      <w:r w:rsidR="008D0565" w:rsidRPr="00D61F73">
        <w:rPr>
          <w:rFonts w:ascii="Arial" w:hAnsi="Arial" w:cs="Arial"/>
          <w:i/>
        </w:rPr>
        <w:t>Am J Psychiatry</w:t>
      </w:r>
      <w:r w:rsidR="008D0565" w:rsidRPr="00D61F73">
        <w:rPr>
          <w:rFonts w:ascii="Arial" w:hAnsi="Arial" w:cs="Arial"/>
        </w:rPr>
        <w:t>. 2001;158:1989-92.</w:t>
      </w:r>
    </w:p>
    <w:p w14:paraId="20EBA4BB" w14:textId="77777777" w:rsidR="008D0565" w:rsidRPr="00D61F73" w:rsidRDefault="008D0565" w:rsidP="00D61F73">
      <w:pPr>
        <w:rPr>
          <w:rFonts w:ascii="Arial" w:hAnsi="Arial" w:cs="Arial"/>
        </w:rPr>
      </w:pPr>
    </w:p>
    <w:p w14:paraId="0B1B4E16" w14:textId="77777777" w:rsidR="008D0565" w:rsidRPr="00D61F73" w:rsidRDefault="00751163" w:rsidP="00D61F73">
      <w:pPr>
        <w:rPr>
          <w:rFonts w:ascii="Arial" w:hAnsi="Arial" w:cs="Arial"/>
        </w:rPr>
      </w:pPr>
      <w:hyperlink w:anchor="Owens" w:history="1">
        <w:r w:rsidR="008D0565" w:rsidRPr="00D61F73">
          <w:rPr>
            <w:rStyle w:val="Hyperlink"/>
            <w:rFonts w:ascii="Arial" w:hAnsi="Arial" w:cs="Arial"/>
          </w:rPr>
          <w:t>Owens C, Pugmire B, Salness T, Culbertson V, Force R, Cady P, Steiner J</w:t>
        </w:r>
      </w:hyperlink>
      <w:r w:rsidR="008D0565" w:rsidRPr="00D61F73">
        <w:rPr>
          <w:rFonts w:ascii="Arial" w:hAnsi="Arial" w:cs="Arial"/>
        </w:rPr>
        <w:t>. Abuse potential of carisoprodol: a retrospective review of Idaho Medicaid pharmacy and medical claims data</w:t>
      </w:r>
      <w:r w:rsidR="008D0565" w:rsidRPr="00D61F73">
        <w:rPr>
          <w:rFonts w:ascii="Arial" w:hAnsi="Arial" w:cs="Arial"/>
          <w:i/>
        </w:rPr>
        <w:t>. Clin Ther.</w:t>
      </w:r>
      <w:r w:rsidR="008D0565" w:rsidRPr="00D61F73">
        <w:rPr>
          <w:rFonts w:ascii="Arial" w:hAnsi="Arial" w:cs="Arial"/>
        </w:rPr>
        <w:t xml:space="preserve"> 2007;29:2222-5.</w:t>
      </w:r>
    </w:p>
    <w:p w14:paraId="318F65A7" w14:textId="77777777" w:rsidR="008D0565" w:rsidRPr="00D61F73" w:rsidRDefault="008D0565" w:rsidP="00D61F73">
      <w:pPr>
        <w:rPr>
          <w:rFonts w:ascii="Arial" w:hAnsi="Arial" w:cs="Arial"/>
        </w:rPr>
      </w:pPr>
    </w:p>
    <w:p w14:paraId="653B9254" w14:textId="77777777" w:rsidR="008D0565" w:rsidRPr="00D61F73" w:rsidRDefault="00751163" w:rsidP="00D61F73">
      <w:pPr>
        <w:rPr>
          <w:rFonts w:ascii="Arial" w:hAnsi="Arial" w:cs="Arial"/>
        </w:rPr>
      </w:pPr>
      <w:hyperlink w:anchor="Page" w:history="1">
        <w:r w:rsidR="008D0565" w:rsidRPr="00D61F73">
          <w:rPr>
            <w:rStyle w:val="Hyperlink"/>
            <w:rFonts w:ascii="Arial" w:hAnsi="Arial" w:cs="Arial"/>
          </w:rPr>
          <w:t>Page, S., et al.</w:t>
        </w:r>
      </w:hyperlink>
      <w:r w:rsidR="008D0565" w:rsidRPr="00D61F73">
        <w:rPr>
          <w:rFonts w:ascii="Arial" w:hAnsi="Arial" w:cs="Arial"/>
        </w:rPr>
        <w:t xml:space="preserve"> Exogenous Testosterone (T) alone or with Finasteride Increases Physical Performance, Grip Strength, and Lean Body Mass in Older Men with Low Serum T. </w:t>
      </w:r>
      <w:r w:rsidR="008D0565" w:rsidRPr="00D61F73">
        <w:rPr>
          <w:rFonts w:ascii="Arial" w:hAnsi="Arial" w:cs="Arial"/>
          <w:i/>
          <w:iCs/>
        </w:rPr>
        <w:t>Journal of Clinical Endocrinology &amp; Metabolism</w:t>
      </w:r>
      <w:r w:rsidR="008D0565" w:rsidRPr="00D61F73">
        <w:rPr>
          <w:rFonts w:ascii="Arial" w:hAnsi="Arial" w:cs="Arial"/>
        </w:rPr>
        <w:t>, Volume 90, Number 3, 1502-1510. 2005.</w:t>
      </w:r>
    </w:p>
    <w:p w14:paraId="3969987A" w14:textId="77777777" w:rsidR="008D0565" w:rsidRPr="00D61F73" w:rsidRDefault="008D0565" w:rsidP="00D61F73">
      <w:pPr>
        <w:pStyle w:val="Footer"/>
        <w:tabs>
          <w:tab w:val="clear" w:pos="4320"/>
          <w:tab w:val="clear" w:pos="8640"/>
        </w:tabs>
        <w:rPr>
          <w:rFonts w:ascii="Arial" w:hAnsi="Arial" w:cs="Arial"/>
        </w:rPr>
      </w:pPr>
    </w:p>
    <w:p w14:paraId="230B52BE" w14:textId="77777777" w:rsidR="008D0565" w:rsidRPr="00D61F73" w:rsidRDefault="00751163" w:rsidP="00D61F73">
      <w:pPr>
        <w:rPr>
          <w:rFonts w:ascii="Arial" w:hAnsi="Arial" w:cs="Arial"/>
        </w:rPr>
      </w:pPr>
      <w:hyperlink w:anchor="Pandey" w:history="1">
        <w:r w:rsidR="008D0565" w:rsidRPr="00D61F73">
          <w:rPr>
            <w:rStyle w:val="Hyperlink"/>
            <w:rFonts w:ascii="Arial" w:hAnsi="Arial" w:cs="Arial"/>
          </w:rPr>
          <w:t>Pandey CK, Navkar DV, Giri PJ, Raza M, Behari S, Singh RB, Singh U, Singh PK</w:t>
        </w:r>
      </w:hyperlink>
      <w:r w:rsidR="008D0565" w:rsidRPr="00D61F73">
        <w:rPr>
          <w:rFonts w:ascii="Arial" w:hAnsi="Arial" w:cs="Arial"/>
        </w:rPr>
        <w:t xml:space="preserve">. Evaluation of the optimal preemptive dose of gabapentin for postoperative pain relief after lumbar diskectomy: </w:t>
      </w:r>
      <w:r w:rsidR="008D0565" w:rsidRPr="00D61F73">
        <w:rPr>
          <w:rFonts w:ascii="Arial" w:hAnsi="Arial" w:cs="Arial"/>
        </w:rPr>
        <w:lastRenderedPageBreak/>
        <w:t>a randomized, double-blind, placebo-controlled study. J Neurosurg Anesthesiol. 2005 Apr;17(2):65-8.</w:t>
      </w:r>
      <w:r w:rsidR="008D0565" w:rsidRPr="00D61F73">
        <w:rPr>
          <w:rFonts w:ascii="Arial" w:hAnsi="Arial" w:cs="Arial"/>
        </w:rPr>
        <w:br/>
      </w:r>
    </w:p>
    <w:p w14:paraId="04721560" w14:textId="77777777" w:rsidR="008D0565" w:rsidRPr="00D61F73" w:rsidRDefault="00751163" w:rsidP="00D61F73">
      <w:pPr>
        <w:rPr>
          <w:rFonts w:ascii="Arial" w:hAnsi="Arial" w:cs="Arial"/>
        </w:rPr>
      </w:pPr>
      <w:hyperlink w:anchor="Parr2009" w:history="1">
        <w:r w:rsidR="008D0565" w:rsidRPr="00D61F73">
          <w:rPr>
            <w:rStyle w:val="Hyperlink"/>
            <w:rFonts w:ascii="Arial" w:hAnsi="Arial" w:cs="Arial"/>
          </w:rPr>
          <w:t>Parr JM, Kavanagh DJ, Cahill L, Mitchell G, McD Young R</w:t>
        </w:r>
      </w:hyperlink>
      <w:r w:rsidR="008D0565" w:rsidRPr="00D61F73">
        <w:rPr>
          <w:rFonts w:ascii="Arial" w:hAnsi="Arial" w:cs="Arial"/>
        </w:rPr>
        <w:t xml:space="preserve">. Effectiveness of current treatment approaches for benzodiazepine discontinuation: a meta-analysis. </w:t>
      </w:r>
      <w:r w:rsidR="008D0565" w:rsidRPr="00D61F73">
        <w:rPr>
          <w:rFonts w:ascii="Arial" w:hAnsi="Arial" w:cs="Arial"/>
          <w:i/>
        </w:rPr>
        <w:t>Addiction</w:t>
      </w:r>
      <w:r w:rsidR="008D0565" w:rsidRPr="00D61F73">
        <w:rPr>
          <w:rFonts w:ascii="Arial" w:hAnsi="Arial" w:cs="Arial"/>
        </w:rPr>
        <w:t>. 2009;104:13-24.</w:t>
      </w:r>
    </w:p>
    <w:p w14:paraId="27AAA8E4" w14:textId="77777777" w:rsidR="008D0565" w:rsidRPr="00D61F73" w:rsidRDefault="008D0565" w:rsidP="00D61F73">
      <w:pPr>
        <w:rPr>
          <w:rFonts w:ascii="Arial" w:hAnsi="Arial" w:cs="Arial"/>
        </w:rPr>
      </w:pPr>
    </w:p>
    <w:p w14:paraId="591E0253" w14:textId="77777777" w:rsidR="008D0565" w:rsidRPr="00D61F73" w:rsidRDefault="00751163" w:rsidP="00D61F73">
      <w:pPr>
        <w:rPr>
          <w:rFonts w:ascii="Arial" w:hAnsi="Arial" w:cs="Arial"/>
        </w:rPr>
      </w:pPr>
      <w:hyperlink w:anchor="Patil2011" w:history="1">
        <w:r w:rsidR="008D0565" w:rsidRPr="00D61F73">
          <w:rPr>
            <w:rStyle w:val="Hyperlink"/>
            <w:rFonts w:ascii="Arial" w:hAnsi="Arial" w:cs="Arial"/>
          </w:rPr>
          <w:t>Patil S, Anitescu M</w:t>
        </w:r>
      </w:hyperlink>
      <w:r w:rsidR="008D0565" w:rsidRPr="00D61F73">
        <w:rPr>
          <w:rFonts w:ascii="Arial" w:hAnsi="Arial" w:cs="Arial"/>
        </w:rPr>
        <w:t xml:space="preserve">. Efficacy of Outpatient Ketamine Infusions in Refractory Chronic Pain Syndromes: A 5-Year Retrospective Analysis. </w:t>
      </w:r>
      <w:r w:rsidR="008D0565" w:rsidRPr="00D61F73">
        <w:rPr>
          <w:rFonts w:ascii="Arial" w:hAnsi="Arial" w:cs="Arial"/>
          <w:i/>
          <w:iCs/>
        </w:rPr>
        <w:t>Pain Med.</w:t>
      </w:r>
      <w:r w:rsidR="008D0565" w:rsidRPr="00D61F73">
        <w:rPr>
          <w:rFonts w:ascii="Arial" w:hAnsi="Arial" w:cs="Arial"/>
        </w:rPr>
        <w:t xml:space="preserve"> 2011 Sep 21. doi: 10.1111/j.1526-4637.2011.01241.x.</w:t>
      </w:r>
    </w:p>
    <w:p w14:paraId="6F4C1FA3" w14:textId="77777777" w:rsidR="008D0565" w:rsidRPr="00D61F73" w:rsidRDefault="008D0565" w:rsidP="00D61F73">
      <w:pPr>
        <w:pStyle w:val="Footer"/>
        <w:tabs>
          <w:tab w:val="clear" w:pos="4320"/>
          <w:tab w:val="clear" w:pos="8640"/>
        </w:tabs>
        <w:rPr>
          <w:rFonts w:ascii="Arial" w:hAnsi="Arial" w:cs="Arial"/>
        </w:rPr>
      </w:pPr>
    </w:p>
    <w:p w14:paraId="5666A939" w14:textId="77777777" w:rsidR="008D0565" w:rsidRPr="00D61F73" w:rsidRDefault="00751163" w:rsidP="00D61F73">
      <w:pPr>
        <w:rPr>
          <w:rFonts w:ascii="Arial" w:hAnsi="Arial" w:cs="Arial"/>
        </w:rPr>
      </w:pPr>
      <w:hyperlink w:anchor="Pavelka" w:history="1">
        <w:r w:rsidR="008D0565" w:rsidRPr="00D61F73">
          <w:rPr>
            <w:rStyle w:val="Hyperlink"/>
            <w:rFonts w:ascii="Arial" w:hAnsi="Arial" w:cs="Arial"/>
          </w:rPr>
          <w:t>Pavelka K, Gatterova J, Olejarova M, Machacek S, Giacovelli G, Rovati LC,</w:t>
        </w:r>
      </w:hyperlink>
      <w:r w:rsidR="008D0565" w:rsidRPr="00D61F73">
        <w:rPr>
          <w:rFonts w:ascii="Arial" w:hAnsi="Arial" w:cs="Arial"/>
        </w:rPr>
        <w:t xml:space="preserve"> Glucosamine sulfate use and delay of progression of knee osteoarthritis: a 3-year, randomized, placebo-controlled, double-blind study, </w:t>
      </w:r>
      <w:r w:rsidR="008D0565" w:rsidRPr="00D61F73">
        <w:rPr>
          <w:rFonts w:ascii="Arial" w:hAnsi="Arial" w:cs="Arial"/>
          <w:i/>
          <w:iCs/>
        </w:rPr>
        <w:t>Arch Intern Med</w:t>
      </w:r>
      <w:r w:rsidR="008D0565" w:rsidRPr="00D61F73">
        <w:rPr>
          <w:rFonts w:ascii="Arial" w:hAnsi="Arial" w:cs="Arial"/>
        </w:rPr>
        <w:t>. 2002 Oct 14;162(18):2113-23.</w:t>
      </w:r>
      <w:r w:rsidR="008D0565" w:rsidRPr="00D61F73">
        <w:rPr>
          <w:rFonts w:ascii="Arial" w:hAnsi="Arial" w:cs="Arial"/>
        </w:rPr>
        <w:br/>
      </w:r>
    </w:p>
    <w:p w14:paraId="3B76D709" w14:textId="77777777" w:rsidR="008D0565" w:rsidRPr="00D61F73" w:rsidRDefault="00751163" w:rsidP="00D61F73">
      <w:pPr>
        <w:rPr>
          <w:rFonts w:ascii="Arial" w:hAnsi="Arial" w:cs="Arial"/>
        </w:rPr>
      </w:pPr>
      <w:hyperlink w:anchor="PCodreaTigaran" w:history="1">
        <w:r w:rsidR="008D0565" w:rsidRPr="00D61F73">
          <w:rPr>
            <w:rStyle w:val="Hyperlink"/>
            <w:rFonts w:ascii="Arial" w:hAnsi="Arial" w:cs="Arial"/>
          </w:rPr>
          <w:t>P-Codrea Tigaran S, Sidenius P, Dam M</w:t>
        </w:r>
      </w:hyperlink>
      <w:r w:rsidR="008D0565" w:rsidRPr="00D61F73">
        <w:rPr>
          <w:rFonts w:ascii="Arial" w:hAnsi="Arial" w:cs="Arial"/>
        </w:rPr>
        <w:t xml:space="preserve">. Lamotrigine-induced rash--worth a rechallenge. </w:t>
      </w:r>
      <w:r w:rsidR="008D0565" w:rsidRPr="00D61F73">
        <w:rPr>
          <w:rFonts w:ascii="Arial" w:hAnsi="Arial" w:cs="Arial"/>
          <w:i/>
          <w:iCs/>
        </w:rPr>
        <w:t>Acta Neurol Scand.</w:t>
      </w:r>
      <w:r w:rsidR="008D0565" w:rsidRPr="00D61F73">
        <w:rPr>
          <w:rFonts w:ascii="Arial" w:hAnsi="Arial" w:cs="Arial"/>
        </w:rPr>
        <w:t xml:space="preserve"> 2005 Mar;111(3):191-4.</w:t>
      </w:r>
    </w:p>
    <w:p w14:paraId="59243A40" w14:textId="77777777" w:rsidR="00D352D1" w:rsidRPr="00D61F73" w:rsidRDefault="00D352D1" w:rsidP="00D61F73">
      <w:pPr>
        <w:rPr>
          <w:rFonts w:ascii="Arial" w:hAnsi="Arial" w:cs="Arial"/>
        </w:rPr>
      </w:pPr>
    </w:p>
    <w:p w14:paraId="5DDB9C1D" w14:textId="77777777" w:rsidR="008D0565" w:rsidRPr="00D61F73" w:rsidRDefault="00751163" w:rsidP="00D61F73">
      <w:pPr>
        <w:pStyle w:val="NormalWeb"/>
        <w:spacing w:before="0" w:beforeAutospacing="0" w:after="0" w:afterAutospacing="0"/>
        <w:rPr>
          <w:rFonts w:ascii="Arial" w:hAnsi="Arial" w:cs="Arial"/>
        </w:rPr>
      </w:pPr>
      <w:hyperlink w:anchor="Peng" w:history="1">
        <w:r w:rsidR="008D0565" w:rsidRPr="00D61F73">
          <w:rPr>
            <w:rStyle w:val="Hyperlink"/>
            <w:rFonts w:ascii="Arial" w:hAnsi="Arial" w:cs="Arial"/>
          </w:rPr>
          <w:t>Peng PW</w:t>
        </w:r>
      </w:hyperlink>
      <w:r w:rsidR="008D0565" w:rsidRPr="00D61F73">
        <w:rPr>
          <w:rFonts w:ascii="Arial" w:hAnsi="Arial" w:cs="Arial"/>
        </w:rPr>
        <w:t xml:space="preserve">, Wijeysundera DN, Li CC. Use of gabapentin for perioperative pain control -- a meta-analysis. </w:t>
      </w:r>
      <w:r w:rsidR="008D0565" w:rsidRPr="00D61F73">
        <w:rPr>
          <w:rFonts w:ascii="Arial" w:hAnsi="Arial" w:cs="Arial"/>
          <w:i/>
          <w:iCs/>
        </w:rPr>
        <w:t>Pain Res Manag</w:t>
      </w:r>
      <w:r w:rsidR="008D0565" w:rsidRPr="00D61F73">
        <w:rPr>
          <w:rFonts w:ascii="Arial" w:hAnsi="Arial" w:cs="Arial"/>
        </w:rPr>
        <w:t>. 2007 Summer;12(2):85-92.</w:t>
      </w:r>
    </w:p>
    <w:p w14:paraId="4D00EFD5" w14:textId="77777777" w:rsidR="008D0565" w:rsidRPr="00D61F73" w:rsidRDefault="008D0565" w:rsidP="00D61F73">
      <w:pPr>
        <w:rPr>
          <w:rFonts w:ascii="Arial" w:hAnsi="Arial" w:cs="Arial"/>
        </w:rPr>
      </w:pPr>
    </w:p>
    <w:p w14:paraId="37FD9C6A" w14:textId="77777777" w:rsidR="008D0565" w:rsidRPr="00D61F73" w:rsidRDefault="00751163" w:rsidP="00D61F73">
      <w:pPr>
        <w:rPr>
          <w:rFonts w:ascii="Arial" w:hAnsi="Arial" w:cs="Arial"/>
        </w:rPr>
      </w:pPr>
      <w:hyperlink w:anchor="Peng2" w:history="1">
        <w:r w:rsidR="008D0565" w:rsidRPr="00D61F73">
          <w:rPr>
            <w:rStyle w:val="Hyperlink"/>
            <w:rFonts w:ascii="Arial" w:hAnsi="Arial" w:cs="Arial"/>
          </w:rPr>
          <w:t>Peng P, Tumber P, Stafford M, Gourlay D, Wong P, Galonski M, Evans D, Gordon A</w:t>
        </w:r>
      </w:hyperlink>
      <w:r w:rsidR="008D0565" w:rsidRPr="00D61F73">
        <w:rPr>
          <w:rFonts w:ascii="Arial" w:hAnsi="Arial" w:cs="Arial"/>
        </w:rPr>
        <w:t xml:space="preserve">. Experience of methadone therapy in 100 consecutive chronic pain patients in a multidisciplinary pain center. </w:t>
      </w:r>
      <w:r w:rsidR="008D0565" w:rsidRPr="00D61F73">
        <w:rPr>
          <w:rFonts w:ascii="Arial" w:hAnsi="Arial" w:cs="Arial"/>
          <w:i/>
        </w:rPr>
        <w:t>Pain Med</w:t>
      </w:r>
      <w:r w:rsidR="008D0565" w:rsidRPr="00D61F73">
        <w:rPr>
          <w:rFonts w:ascii="Arial" w:hAnsi="Arial" w:cs="Arial"/>
        </w:rPr>
        <w:t>. 2008;9:786-94</w:t>
      </w:r>
    </w:p>
    <w:p w14:paraId="176666C7" w14:textId="77777777" w:rsidR="008D0565" w:rsidRPr="00D61F73" w:rsidRDefault="008D0565" w:rsidP="00D61F73">
      <w:pPr>
        <w:rPr>
          <w:rFonts w:ascii="Arial" w:hAnsi="Arial" w:cs="Arial"/>
        </w:rPr>
      </w:pPr>
    </w:p>
    <w:p w14:paraId="4E8192B8" w14:textId="77777777" w:rsidR="008D0565" w:rsidRPr="00D61F73" w:rsidRDefault="00751163" w:rsidP="00D61F73">
      <w:pPr>
        <w:rPr>
          <w:rFonts w:ascii="Arial" w:hAnsi="Arial" w:cs="Arial"/>
        </w:rPr>
      </w:pPr>
      <w:hyperlink w:anchor="Perrot2" w:history="1">
        <w:r w:rsidR="008D0565" w:rsidRPr="00D61F73">
          <w:rPr>
            <w:rStyle w:val="Hyperlink"/>
            <w:rFonts w:ascii="Arial" w:hAnsi="Arial" w:cs="Arial"/>
          </w:rPr>
          <w:t>Perrot S, Javier RM, Marty M, Le Jeunne C, Laroche F</w:t>
        </w:r>
      </w:hyperlink>
      <w:r w:rsidR="008D0565" w:rsidRPr="00D61F73">
        <w:rPr>
          <w:rFonts w:ascii="Arial" w:hAnsi="Arial" w:cs="Arial"/>
        </w:rPr>
        <w:t xml:space="preserve">. Antidepressant use in painful rheumatic conditions. </w:t>
      </w:r>
      <w:r w:rsidR="008D0565" w:rsidRPr="00D61F73">
        <w:rPr>
          <w:rFonts w:ascii="Arial" w:hAnsi="Arial" w:cs="Arial"/>
          <w:i/>
        </w:rPr>
        <w:t>Rheum Dis Clin North Am</w:t>
      </w:r>
      <w:r w:rsidR="008D0565" w:rsidRPr="00D61F73">
        <w:rPr>
          <w:rFonts w:ascii="Arial" w:hAnsi="Arial" w:cs="Arial"/>
        </w:rPr>
        <w:t>. 2008;34:433-53.</w:t>
      </w:r>
    </w:p>
    <w:p w14:paraId="5BE6800C" w14:textId="77777777" w:rsidR="008D0565" w:rsidRPr="00D61F73" w:rsidRDefault="008D0565" w:rsidP="00D61F73">
      <w:pPr>
        <w:rPr>
          <w:rFonts w:ascii="Arial" w:hAnsi="Arial" w:cs="Arial"/>
        </w:rPr>
      </w:pPr>
    </w:p>
    <w:p w14:paraId="34CB3915" w14:textId="77777777" w:rsidR="008D0565" w:rsidRPr="00D61F73" w:rsidRDefault="00751163" w:rsidP="00D61F73">
      <w:pPr>
        <w:rPr>
          <w:rFonts w:ascii="Arial" w:hAnsi="Arial" w:cs="Arial"/>
        </w:rPr>
      </w:pPr>
      <w:hyperlink w:anchor="Peterson2011" w:history="1">
        <w:r w:rsidR="008D0565" w:rsidRPr="00D61F73">
          <w:rPr>
            <w:rStyle w:val="Hyperlink"/>
            <w:rFonts w:ascii="Arial" w:hAnsi="Arial" w:cs="Arial"/>
          </w:rPr>
          <w:t>Peterson K, McDonagh M, Thakurta S, Dana T, Roberts C, Chou R, Helfand M</w:t>
        </w:r>
      </w:hyperlink>
      <w:r w:rsidR="008D0565" w:rsidRPr="00D61F73">
        <w:rPr>
          <w:rFonts w:ascii="Arial" w:hAnsi="Arial" w:cs="Arial"/>
        </w:rPr>
        <w:t>. Drug class review: Nonsteroidal antiinflammatory drugs (NSAIDs). Update 4 final report. Accessed 10/2011.</w:t>
      </w:r>
    </w:p>
    <w:p w14:paraId="7359A39B" w14:textId="77777777" w:rsidR="008D0565" w:rsidRPr="00D61F73" w:rsidRDefault="008D0565" w:rsidP="00D61F73">
      <w:pPr>
        <w:rPr>
          <w:rFonts w:ascii="Arial" w:hAnsi="Arial" w:cs="Arial"/>
        </w:rPr>
      </w:pPr>
    </w:p>
    <w:p w14:paraId="50E66E5D" w14:textId="77777777" w:rsidR="008D0565" w:rsidRPr="00D61F73" w:rsidRDefault="00751163" w:rsidP="00D61F73">
      <w:pPr>
        <w:rPr>
          <w:rFonts w:ascii="Arial" w:hAnsi="Arial" w:cs="Arial"/>
        </w:rPr>
      </w:pPr>
      <w:hyperlink w:anchor="Petursson" w:history="1">
        <w:r w:rsidR="008D0565" w:rsidRPr="00D61F73">
          <w:rPr>
            <w:rStyle w:val="Hyperlink"/>
            <w:rFonts w:ascii="Arial" w:hAnsi="Arial" w:cs="Arial"/>
          </w:rPr>
          <w:t>Pétursson H.</w:t>
        </w:r>
      </w:hyperlink>
      <w:r w:rsidR="008D0565" w:rsidRPr="00D61F73">
        <w:rPr>
          <w:rFonts w:ascii="Arial" w:hAnsi="Arial" w:cs="Arial"/>
        </w:rPr>
        <w:t xml:space="preserve"> The benzodiazepine withdrawal syndrome. </w:t>
      </w:r>
      <w:r w:rsidR="008D0565" w:rsidRPr="00D61F73">
        <w:rPr>
          <w:rFonts w:ascii="Arial" w:hAnsi="Arial" w:cs="Arial"/>
          <w:i/>
        </w:rPr>
        <w:t>Addiction.</w:t>
      </w:r>
      <w:r w:rsidR="008D0565" w:rsidRPr="00D61F73">
        <w:rPr>
          <w:rFonts w:ascii="Arial" w:hAnsi="Arial" w:cs="Arial"/>
        </w:rPr>
        <w:t xml:space="preserve"> 1994;89:1455-9.</w:t>
      </w:r>
    </w:p>
    <w:p w14:paraId="3324C5C5" w14:textId="77777777" w:rsidR="008D0565" w:rsidRPr="00D61F73" w:rsidRDefault="00751163" w:rsidP="00D61F73">
      <w:pPr>
        <w:rPr>
          <w:rFonts w:ascii="Arial" w:hAnsi="Arial" w:cs="Arial"/>
        </w:rPr>
      </w:pPr>
      <w:hyperlink w:anchor="Pollack" w:history="1">
        <w:r w:rsidR="008D0565" w:rsidRPr="00D61F73">
          <w:rPr>
            <w:rStyle w:val="Hyperlink"/>
            <w:rFonts w:ascii="Arial" w:hAnsi="Arial" w:cs="Arial"/>
          </w:rPr>
          <w:t>Pollack MH, Allgulander C, Bandelow B, Cassano GB, Greist JH, Hollander E, Nutt DJ, Okasha A, Swinson RP;</w:t>
        </w:r>
      </w:hyperlink>
      <w:r w:rsidR="008D0565" w:rsidRPr="00D61F73">
        <w:rPr>
          <w:rFonts w:ascii="Arial" w:hAnsi="Arial" w:cs="Arial"/>
        </w:rPr>
        <w:t xml:space="preserve"> World Council of Anxiety. WCA recommendations for the long-term treatment of panic disorder. </w:t>
      </w:r>
      <w:r w:rsidR="008D0565" w:rsidRPr="00D61F73">
        <w:rPr>
          <w:rFonts w:ascii="Arial" w:hAnsi="Arial" w:cs="Arial"/>
          <w:i/>
          <w:iCs/>
        </w:rPr>
        <w:t>CNS Spectr</w:t>
      </w:r>
      <w:r w:rsidR="008D0565" w:rsidRPr="00D61F73">
        <w:rPr>
          <w:rFonts w:ascii="Arial" w:hAnsi="Arial" w:cs="Arial"/>
        </w:rPr>
        <w:t>. 2003 Aug;8(8 Suppl 1):17-30</w:t>
      </w:r>
    </w:p>
    <w:p w14:paraId="24C3E432" w14:textId="77777777" w:rsidR="008D0565" w:rsidRPr="00D61F73" w:rsidRDefault="008D0565" w:rsidP="00D61F73">
      <w:pPr>
        <w:rPr>
          <w:rFonts w:ascii="Arial" w:hAnsi="Arial" w:cs="Arial"/>
        </w:rPr>
      </w:pPr>
    </w:p>
    <w:p w14:paraId="0A160C89" w14:textId="77777777" w:rsidR="008D0565" w:rsidRPr="00D61F73" w:rsidRDefault="00751163" w:rsidP="00D61F73">
      <w:pPr>
        <w:rPr>
          <w:rFonts w:ascii="Arial" w:hAnsi="Arial" w:cs="Arial"/>
          <w:color w:val="auto"/>
        </w:rPr>
      </w:pPr>
      <w:hyperlink w:anchor="Portenoy2002" w:history="1">
        <w:r w:rsidR="008D0565" w:rsidRPr="00D61F73">
          <w:rPr>
            <w:rStyle w:val="Hyperlink"/>
            <w:rFonts w:ascii="Arial" w:hAnsi="Arial" w:cs="Arial"/>
          </w:rPr>
          <w:t>Portenoy RK, Sciberras A, Eliot L, Loewen G, Butler J, Devane J</w:t>
        </w:r>
      </w:hyperlink>
      <w:r w:rsidR="008D0565" w:rsidRPr="00D61F73">
        <w:rPr>
          <w:rFonts w:ascii="Arial" w:hAnsi="Arial" w:cs="Arial"/>
        </w:rPr>
        <w:t xml:space="preserve">. Steady-state pharmacokinetic comparison of a new, extended-release, once-daily morphine formulation, Avinza, and a twice-daily controlled-release morphine formulation in patients with chronic moderate-to-severe pain. </w:t>
      </w:r>
      <w:r w:rsidR="008D0565" w:rsidRPr="00D61F73">
        <w:rPr>
          <w:rFonts w:ascii="Arial" w:hAnsi="Arial" w:cs="Arial"/>
          <w:i/>
        </w:rPr>
        <w:t>J Pain Symptom Manage</w:t>
      </w:r>
      <w:r w:rsidR="008D0565" w:rsidRPr="00D61F73">
        <w:rPr>
          <w:rFonts w:ascii="Arial" w:hAnsi="Arial" w:cs="Arial"/>
        </w:rPr>
        <w:t>. 2002 ;23:292-300.</w:t>
      </w:r>
    </w:p>
    <w:p w14:paraId="0AEBAA5B" w14:textId="77777777" w:rsidR="008D0565" w:rsidRPr="00D61F73" w:rsidRDefault="008D0565" w:rsidP="00D61F73">
      <w:pPr>
        <w:rPr>
          <w:rFonts w:ascii="Arial" w:hAnsi="Arial" w:cs="Arial"/>
        </w:rPr>
      </w:pPr>
    </w:p>
    <w:p w14:paraId="0DF31C95" w14:textId="77777777" w:rsidR="008D0565" w:rsidRPr="00D61F73" w:rsidRDefault="00751163" w:rsidP="00D61F73">
      <w:pPr>
        <w:rPr>
          <w:rFonts w:ascii="Arial" w:hAnsi="Arial" w:cs="Arial"/>
        </w:rPr>
      </w:pPr>
      <w:hyperlink w:anchor="Prommer" w:history="1">
        <w:r w:rsidR="008D0565" w:rsidRPr="00D61F73">
          <w:rPr>
            <w:rStyle w:val="Hyperlink"/>
            <w:rFonts w:ascii="Arial" w:hAnsi="Arial" w:cs="Arial"/>
          </w:rPr>
          <w:t>Prommer E</w:t>
        </w:r>
      </w:hyperlink>
      <w:r w:rsidR="008D0565" w:rsidRPr="00D61F73">
        <w:rPr>
          <w:rFonts w:ascii="Arial" w:hAnsi="Arial" w:cs="Arial"/>
        </w:rPr>
        <w:t xml:space="preserve">. Levorphanol: the forgotten opioid. </w:t>
      </w:r>
      <w:r w:rsidR="008D0565" w:rsidRPr="00D61F73">
        <w:rPr>
          <w:rFonts w:ascii="Arial" w:hAnsi="Arial" w:cs="Arial"/>
          <w:i/>
        </w:rPr>
        <w:t>Support Care Cancer</w:t>
      </w:r>
      <w:r w:rsidR="008D0565" w:rsidRPr="00D61F73">
        <w:rPr>
          <w:rFonts w:ascii="Arial" w:hAnsi="Arial" w:cs="Arial"/>
        </w:rPr>
        <w:t>. 2007;15:259-64.</w:t>
      </w:r>
    </w:p>
    <w:p w14:paraId="429C4A75" w14:textId="77777777" w:rsidR="008D0565" w:rsidRPr="00D61F73" w:rsidRDefault="008D0565" w:rsidP="00D61F73">
      <w:pPr>
        <w:rPr>
          <w:rFonts w:ascii="Arial" w:hAnsi="Arial" w:cs="Arial"/>
        </w:rPr>
      </w:pPr>
    </w:p>
    <w:p w14:paraId="00E14B8A" w14:textId="77777777" w:rsidR="008D0565" w:rsidRPr="00D61F73" w:rsidRDefault="00751163" w:rsidP="00D61F73">
      <w:pPr>
        <w:pStyle w:val="BodyText"/>
        <w:rPr>
          <w:rFonts w:ascii="Arial" w:hAnsi="Arial" w:cs="Arial"/>
          <w:b w:val="0"/>
          <w:bCs w:val="0"/>
        </w:rPr>
      </w:pPr>
      <w:hyperlink w:anchor="Quisel" w:history="1">
        <w:r w:rsidR="008D0565" w:rsidRPr="00D61F73">
          <w:rPr>
            <w:rStyle w:val="Hyperlink"/>
            <w:rFonts w:ascii="Arial" w:hAnsi="Arial" w:cs="Arial"/>
            <w:b w:val="0"/>
            <w:bCs w:val="0"/>
          </w:rPr>
          <w:t>Quisel A, Gill JM, Witherell P.</w:t>
        </w:r>
      </w:hyperlink>
      <w:r w:rsidR="008D0565" w:rsidRPr="00D61F73">
        <w:rPr>
          <w:rFonts w:ascii="Arial" w:hAnsi="Arial" w:cs="Arial"/>
          <w:b w:val="0"/>
          <w:bCs w:val="0"/>
        </w:rPr>
        <w:t xml:space="preserve"> Complex regional pain syndrome: which treatments show promise? </w:t>
      </w:r>
      <w:r w:rsidR="008D0565" w:rsidRPr="00D61F73">
        <w:rPr>
          <w:rFonts w:ascii="Arial" w:hAnsi="Arial" w:cs="Arial"/>
          <w:b w:val="0"/>
          <w:bCs w:val="0"/>
          <w:i/>
          <w:iCs/>
        </w:rPr>
        <w:t>J Fam Pract</w:t>
      </w:r>
      <w:r w:rsidR="008D0565" w:rsidRPr="00D61F73">
        <w:rPr>
          <w:rFonts w:ascii="Arial" w:hAnsi="Arial" w:cs="Arial"/>
          <w:b w:val="0"/>
          <w:bCs w:val="0"/>
        </w:rPr>
        <w:t>. 2005 Jul;54(7):599-603.</w:t>
      </w:r>
    </w:p>
    <w:p w14:paraId="5E1BA939" w14:textId="77777777" w:rsidR="008D0565" w:rsidRPr="00D61F73" w:rsidRDefault="00751163" w:rsidP="00D61F73">
      <w:pPr>
        <w:rPr>
          <w:rFonts w:ascii="Arial" w:hAnsi="Arial" w:cs="Arial"/>
        </w:rPr>
      </w:pPr>
      <w:hyperlink w:anchor="Rajagopal" w:history="1">
        <w:r w:rsidR="008D0565" w:rsidRPr="00D61F73">
          <w:rPr>
            <w:rStyle w:val="Hyperlink"/>
            <w:rFonts w:ascii="Arial" w:hAnsi="Arial" w:cs="Arial"/>
          </w:rPr>
          <w:t>Rajagopal, A., et al</w:t>
        </w:r>
      </w:hyperlink>
      <w:r w:rsidR="008D0565" w:rsidRPr="00D61F73">
        <w:rPr>
          <w:rFonts w:ascii="Arial" w:hAnsi="Arial" w:cs="Arial"/>
        </w:rPr>
        <w:t xml:space="preserve">. Symptomatic Hypogonadism in Male Survivors of Cancer with Chronic Exposure to Opioids. </w:t>
      </w:r>
      <w:r w:rsidR="008D0565" w:rsidRPr="00D61F73">
        <w:rPr>
          <w:rFonts w:ascii="Arial" w:hAnsi="Arial" w:cs="Arial"/>
          <w:i/>
          <w:iCs/>
        </w:rPr>
        <w:t>Cancer</w:t>
      </w:r>
      <w:r w:rsidR="008D0565" w:rsidRPr="00D61F73">
        <w:rPr>
          <w:rFonts w:ascii="Arial" w:hAnsi="Arial" w:cs="Arial"/>
        </w:rPr>
        <w:t>. 2004; Volume 100, Number 4, 851-858.</w:t>
      </w:r>
    </w:p>
    <w:p w14:paraId="6637E378" w14:textId="77777777" w:rsidR="008D0565" w:rsidRPr="00D61F73" w:rsidRDefault="008D0565" w:rsidP="00D61F73">
      <w:pPr>
        <w:pStyle w:val="Footer"/>
        <w:tabs>
          <w:tab w:val="clear" w:pos="4320"/>
          <w:tab w:val="clear" w:pos="8640"/>
        </w:tabs>
        <w:rPr>
          <w:rFonts w:ascii="Arial" w:hAnsi="Arial" w:cs="Arial"/>
        </w:rPr>
      </w:pPr>
    </w:p>
    <w:p w14:paraId="091E7041" w14:textId="77777777" w:rsidR="008D0565" w:rsidRPr="00D61F73" w:rsidRDefault="00751163" w:rsidP="00D61F73">
      <w:pPr>
        <w:rPr>
          <w:rFonts w:ascii="Arial" w:hAnsi="Arial" w:cs="Arial"/>
        </w:rPr>
      </w:pPr>
      <w:hyperlink w:anchor="Ramakrishnan" w:history="1">
        <w:r w:rsidR="008D0565" w:rsidRPr="00D61F73">
          <w:rPr>
            <w:rStyle w:val="Hyperlink"/>
            <w:rFonts w:ascii="Arial" w:hAnsi="Arial" w:cs="Arial"/>
          </w:rPr>
          <w:t>Ramakrishnan K, Scheid DC</w:t>
        </w:r>
      </w:hyperlink>
      <w:r w:rsidR="008D0565" w:rsidRPr="00D61F73">
        <w:rPr>
          <w:rFonts w:ascii="Arial" w:hAnsi="Arial" w:cs="Arial"/>
        </w:rPr>
        <w:t xml:space="preserve">. Treatment options for insomnia. </w:t>
      </w:r>
      <w:r w:rsidR="008D0565" w:rsidRPr="00D61F73">
        <w:rPr>
          <w:rFonts w:ascii="Arial" w:hAnsi="Arial" w:cs="Arial"/>
          <w:i/>
        </w:rPr>
        <w:t>Am Fam Physician.</w:t>
      </w:r>
      <w:r w:rsidR="008D0565" w:rsidRPr="00D61F73">
        <w:rPr>
          <w:rFonts w:ascii="Arial" w:hAnsi="Arial" w:cs="Arial"/>
        </w:rPr>
        <w:t xml:space="preserve"> 2007;76:517-26.</w:t>
      </w:r>
    </w:p>
    <w:p w14:paraId="6FC5122D" w14:textId="77777777" w:rsidR="008D0565" w:rsidRPr="00D61F73" w:rsidRDefault="008D0565" w:rsidP="00D61F73">
      <w:pPr>
        <w:pStyle w:val="Footer"/>
        <w:tabs>
          <w:tab w:val="clear" w:pos="4320"/>
          <w:tab w:val="clear" w:pos="8640"/>
        </w:tabs>
        <w:rPr>
          <w:rFonts w:ascii="Arial" w:hAnsi="Arial" w:cs="Arial"/>
        </w:rPr>
      </w:pPr>
    </w:p>
    <w:p w14:paraId="76573AC3" w14:textId="77777777" w:rsidR="008D0565" w:rsidRPr="00D61F73" w:rsidRDefault="00751163" w:rsidP="00D61F73">
      <w:pPr>
        <w:rPr>
          <w:rFonts w:ascii="Arial" w:hAnsi="Arial" w:cs="Arial"/>
        </w:rPr>
      </w:pPr>
      <w:hyperlink w:anchor="Raphael" w:history="1">
        <w:r w:rsidR="008D0565" w:rsidRPr="00D61F73">
          <w:rPr>
            <w:rStyle w:val="Hyperlink"/>
            <w:rFonts w:ascii="Arial" w:hAnsi="Arial" w:cs="Arial"/>
          </w:rPr>
          <w:t>Raphael, J., et al</w:t>
        </w:r>
      </w:hyperlink>
      <w:r w:rsidR="008D0565" w:rsidRPr="00D61F73">
        <w:rPr>
          <w:rFonts w:ascii="Arial" w:hAnsi="Arial" w:cs="Arial"/>
        </w:rPr>
        <w:t xml:space="preserve">. Long-term experience with implanted intrathecal drug administration systems for failed back syndrome and chronic mechanical low back pain. </w:t>
      </w:r>
      <w:r w:rsidR="008D0565" w:rsidRPr="00D61F73">
        <w:rPr>
          <w:rFonts w:ascii="Arial" w:hAnsi="Arial" w:cs="Arial"/>
          <w:i/>
          <w:iCs/>
        </w:rPr>
        <w:t>BMC Musculoskeletal Disorders.</w:t>
      </w:r>
      <w:r w:rsidR="008D0565" w:rsidRPr="00D61F73">
        <w:rPr>
          <w:rFonts w:ascii="Arial" w:hAnsi="Arial" w:cs="Arial"/>
        </w:rPr>
        <w:t xml:space="preserve"> 2002; Volume 3, Number 17.</w:t>
      </w:r>
    </w:p>
    <w:p w14:paraId="0B7632C5" w14:textId="77777777" w:rsidR="008D0565" w:rsidRPr="00D61F73" w:rsidRDefault="008D0565" w:rsidP="00D61F73">
      <w:pPr>
        <w:rPr>
          <w:rFonts w:ascii="Arial" w:hAnsi="Arial" w:cs="Arial"/>
        </w:rPr>
      </w:pPr>
    </w:p>
    <w:p w14:paraId="508660A5" w14:textId="77777777" w:rsidR="008D0565" w:rsidRPr="00D61F73" w:rsidRDefault="00751163" w:rsidP="00D61F73">
      <w:pPr>
        <w:rPr>
          <w:rFonts w:ascii="Arial" w:hAnsi="Arial" w:cs="Arial"/>
        </w:rPr>
      </w:pPr>
      <w:hyperlink w:anchor="Rauck" w:history="1">
        <w:r w:rsidR="008D0565" w:rsidRPr="00D61F73">
          <w:rPr>
            <w:rStyle w:val="Hyperlink"/>
            <w:rFonts w:ascii="Arial" w:hAnsi="Arial" w:cs="Arial"/>
          </w:rPr>
          <w:t>Rauck RL, Wallace MS, Leong MS, Minehart M, Webster LR, Charapata SG, Abraham JE, Buffington DE, Ellis D, Kartzinel R</w:t>
        </w:r>
      </w:hyperlink>
      <w:r w:rsidR="008D0565" w:rsidRPr="00D61F73">
        <w:rPr>
          <w:rFonts w:ascii="Arial" w:hAnsi="Arial" w:cs="Arial"/>
        </w:rPr>
        <w:t>; Ziconotide 301 Study Group. A randomized, double-blind, placebo-controlled study of intrathecal ziconotide in adults with severe chronic pain</w:t>
      </w:r>
      <w:r w:rsidR="008D0565" w:rsidRPr="00D61F73">
        <w:rPr>
          <w:rFonts w:ascii="Arial" w:hAnsi="Arial" w:cs="Arial"/>
          <w:i/>
        </w:rPr>
        <w:t>. J Pain Symptom Manage</w:t>
      </w:r>
      <w:r w:rsidR="008D0565" w:rsidRPr="00D61F73">
        <w:rPr>
          <w:rFonts w:ascii="Arial" w:hAnsi="Arial" w:cs="Arial"/>
        </w:rPr>
        <w:t>. 2006;31:393-406.</w:t>
      </w:r>
    </w:p>
    <w:p w14:paraId="4E3672CE" w14:textId="77777777" w:rsidR="008D0565" w:rsidRPr="00D61F73" w:rsidRDefault="008D0565" w:rsidP="00D61F73">
      <w:pPr>
        <w:rPr>
          <w:rFonts w:ascii="Arial" w:hAnsi="Arial" w:cs="Arial"/>
        </w:rPr>
      </w:pPr>
    </w:p>
    <w:p w14:paraId="19DF3303" w14:textId="77777777" w:rsidR="008D0565" w:rsidRPr="00D61F73" w:rsidRDefault="00751163" w:rsidP="00D61F73">
      <w:pPr>
        <w:rPr>
          <w:rFonts w:ascii="Arial" w:hAnsi="Arial" w:cs="Arial"/>
        </w:rPr>
      </w:pPr>
      <w:hyperlink w:anchor="Ray2013" w:history="1">
        <w:r w:rsidR="008D0565" w:rsidRPr="00D61F73">
          <w:rPr>
            <w:rStyle w:val="Hyperlink"/>
            <w:rFonts w:ascii="Arial" w:hAnsi="Arial" w:cs="Arial"/>
          </w:rPr>
          <w:t>Ray JB, Kalra R</w:t>
        </w:r>
      </w:hyperlink>
      <w:r w:rsidR="008D0565" w:rsidRPr="00D61F73">
        <w:rPr>
          <w:rFonts w:ascii="Arial" w:hAnsi="Arial" w:cs="Arial"/>
        </w:rPr>
        <w:t>. Opioid Alternatives Urged Postoperatively. PAINWeek 2013. Presented September 6, 2013.</w:t>
      </w:r>
    </w:p>
    <w:p w14:paraId="22B4BC54" w14:textId="77777777" w:rsidR="008D0565" w:rsidRPr="00D61F73" w:rsidRDefault="008D0565" w:rsidP="00D61F73">
      <w:pPr>
        <w:rPr>
          <w:rFonts w:ascii="Arial" w:hAnsi="Arial" w:cs="Arial"/>
        </w:rPr>
      </w:pPr>
    </w:p>
    <w:p w14:paraId="0AA9ABE0" w14:textId="77777777" w:rsidR="008D0565" w:rsidRPr="00D61F73" w:rsidRDefault="00751163" w:rsidP="00D61F73">
      <w:pPr>
        <w:rPr>
          <w:rFonts w:ascii="Arial" w:hAnsi="Arial" w:cs="Arial"/>
        </w:rPr>
      </w:pPr>
      <w:hyperlink w:anchor="Reeder" w:history="1">
        <w:r w:rsidR="008D0565" w:rsidRPr="00D61F73">
          <w:rPr>
            <w:rStyle w:val="Hyperlink"/>
            <w:rFonts w:ascii="Arial" w:hAnsi="Arial" w:cs="Arial"/>
          </w:rPr>
          <w:t>Reeder CE, Franklin M, Bramley TJ.</w:t>
        </w:r>
      </w:hyperlink>
      <w:r w:rsidR="008D0565" w:rsidRPr="00D61F73">
        <w:rPr>
          <w:rFonts w:ascii="Arial" w:hAnsi="Arial" w:cs="Arial"/>
        </w:rPr>
        <w:t xml:space="preserve"> Current landscape of insomnia in managed care. </w:t>
      </w:r>
      <w:r w:rsidR="008D0565" w:rsidRPr="00D61F73">
        <w:rPr>
          <w:rFonts w:ascii="Arial" w:hAnsi="Arial" w:cs="Arial"/>
          <w:i/>
        </w:rPr>
        <w:t>Am J Manag Care</w:t>
      </w:r>
      <w:r w:rsidR="008D0565" w:rsidRPr="00D61F73">
        <w:rPr>
          <w:rFonts w:ascii="Arial" w:hAnsi="Arial" w:cs="Arial"/>
        </w:rPr>
        <w:t>. 2007;13:S112-6.</w:t>
      </w:r>
    </w:p>
    <w:p w14:paraId="2A335D2F" w14:textId="77777777" w:rsidR="008D0565" w:rsidRPr="00D61F73" w:rsidRDefault="008D0565" w:rsidP="00D61F73">
      <w:pPr>
        <w:rPr>
          <w:rFonts w:ascii="Arial" w:hAnsi="Arial" w:cs="Arial"/>
        </w:rPr>
      </w:pPr>
    </w:p>
    <w:p w14:paraId="0F8A9F61" w14:textId="77777777" w:rsidR="008D0565" w:rsidRPr="00D61F73" w:rsidRDefault="00751163" w:rsidP="00D61F73">
      <w:pPr>
        <w:rPr>
          <w:rFonts w:ascii="Arial" w:hAnsi="Arial" w:cs="Arial"/>
        </w:rPr>
      </w:pPr>
      <w:hyperlink w:anchor="Reeves" w:history="1">
        <w:r w:rsidR="008D0565" w:rsidRPr="00D61F73">
          <w:rPr>
            <w:rStyle w:val="Hyperlink"/>
            <w:rFonts w:ascii="Arial" w:hAnsi="Arial" w:cs="Arial"/>
          </w:rPr>
          <w:t>Reeves RR, Parker JD.</w:t>
        </w:r>
      </w:hyperlink>
      <w:r w:rsidR="008D0565" w:rsidRPr="00D61F73">
        <w:rPr>
          <w:rFonts w:ascii="Arial" w:hAnsi="Arial" w:cs="Arial"/>
        </w:rPr>
        <w:t xml:space="preserve"> Somatic dysfunction during carisoprodol cessation: evidence for a carisoprodol withdrawal syndrome. </w:t>
      </w:r>
      <w:r w:rsidR="008D0565" w:rsidRPr="00D61F73">
        <w:rPr>
          <w:rFonts w:ascii="Arial" w:hAnsi="Arial" w:cs="Arial"/>
          <w:i/>
          <w:iCs/>
        </w:rPr>
        <w:t>J Am Osteopath Assoc.</w:t>
      </w:r>
      <w:r w:rsidR="008D0565" w:rsidRPr="00D61F73">
        <w:rPr>
          <w:rFonts w:ascii="Arial" w:hAnsi="Arial" w:cs="Arial"/>
        </w:rPr>
        <w:t xml:space="preserve"> 2003 Feb;103(2):75-80.</w:t>
      </w:r>
    </w:p>
    <w:p w14:paraId="541114C5" w14:textId="77777777" w:rsidR="008D0565" w:rsidRPr="00D61F73" w:rsidRDefault="008D0565" w:rsidP="00D61F73">
      <w:pPr>
        <w:rPr>
          <w:rFonts w:ascii="Arial" w:hAnsi="Arial" w:cs="Arial"/>
        </w:rPr>
      </w:pPr>
    </w:p>
    <w:p w14:paraId="2E569CD0" w14:textId="77777777" w:rsidR="008D0565" w:rsidRPr="00D61F73" w:rsidRDefault="00751163" w:rsidP="00D61F73">
      <w:pPr>
        <w:rPr>
          <w:rFonts w:ascii="Arial" w:hAnsi="Arial" w:cs="Arial"/>
        </w:rPr>
      </w:pPr>
      <w:hyperlink w:anchor="Reeves2008" w:history="1">
        <w:r w:rsidR="008D0565" w:rsidRPr="00D61F73">
          <w:rPr>
            <w:rStyle w:val="Hyperlink"/>
            <w:rFonts w:ascii="Arial" w:hAnsi="Arial" w:cs="Arial"/>
          </w:rPr>
          <w:t>Reeves RR, Burke RS.</w:t>
        </w:r>
      </w:hyperlink>
      <w:r w:rsidR="008D0565" w:rsidRPr="00D61F73">
        <w:rPr>
          <w:rFonts w:ascii="Arial" w:hAnsi="Arial" w:cs="Arial"/>
        </w:rPr>
        <w:t xml:space="preserve"> Is it time for carisoprodol to become a controlled substance at the federal level? </w:t>
      </w:r>
      <w:r w:rsidR="008D0565" w:rsidRPr="00D61F73">
        <w:rPr>
          <w:rFonts w:ascii="Arial" w:hAnsi="Arial" w:cs="Arial"/>
          <w:i/>
        </w:rPr>
        <w:t>South Med J</w:t>
      </w:r>
      <w:r w:rsidR="008D0565" w:rsidRPr="00D61F73">
        <w:rPr>
          <w:rFonts w:ascii="Arial" w:hAnsi="Arial" w:cs="Arial"/>
        </w:rPr>
        <w:t>. 2008;101:127-8.</w:t>
      </w:r>
    </w:p>
    <w:p w14:paraId="4BCAA9D5" w14:textId="77777777" w:rsidR="008D0565" w:rsidRPr="00D61F73" w:rsidRDefault="008D0565" w:rsidP="00D61F73">
      <w:pPr>
        <w:rPr>
          <w:rFonts w:ascii="Arial" w:hAnsi="Arial" w:cs="Arial"/>
        </w:rPr>
      </w:pPr>
    </w:p>
    <w:p w14:paraId="38E23B27" w14:textId="77777777" w:rsidR="008D0565" w:rsidRPr="00D61F73" w:rsidRDefault="00751163" w:rsidP="00D61F73">
      <w:pPr>
        <w:rPr>
          <w:rFonts w:ascii="Arial" w:hAnsi="Arial" w:cs="Arial"/>
        </w:rPr>
      </w:pPr>
      <w:hyperlink w:anchor="Reeves2007" w:history="1">
        <w:r w:rsidR="008D0565" w:rsidRPr="00D61F73">
          <w:rPr>
            <w:rStyle w:val="Hyperlink"/>
            <w:rFonts w:ascii="Arial" w:hAnsi="Arial" w:cs="Arial"/>
          </w:rPr>
          <w:t>Reeves RR, Hammer JS, Pendarvis RO</w:t>
        </w:r>
      </w:hyperlink>
      <w:r w:rsidR="008D0565" w:rsidRPr="00D61F73">
        <w:rPr>
          <w:rFonts w:ascii="Arial" w:hAnsi="Arial" w:cs="Arial"/>
        </w:rPr>
        <w:t xml:space="preserve">. Is the frequency of carisoprodol withdrawal syndrome increasing? </w:t>
      </w:r>
      <w:r w:rsidR="008D0565" w:rsidRPr="00D61F73">
        <w:rPr>
          <w:rFonts w:ascii="Arial" w:hAnsi="Arial" w:cs="Arial"/>
          <w:i/>
        </w:rPr>
        <w:t>Pharmacotherapy</w:t>
      </w:r>
      <w:r w:rsidR="008D0565" w:rsidRPr="00D61F73">
        <w:rPr>
          <w:rFonts w:ascii="Arial" w:hAnsi="Arial" w:cs="Arial"/>
        </w:rPr>
        <w:t>. 2007;27:1462-6.</w:t>
      </w:r>
    </w:p>
    <w:p w14:paraId="5A041AC9" w14:textId="77777777" w:rsidR="008D0565" w:rsidRPr="00D61F73" w:rsidRDefault="008D0565" w:rsidP="00D61F73">
      <w:pPr>
        <w:rPr>
          <w:rFonts w:ascii="Arial" w:hAnsi="Arial" w:cs="Arial"/>
        </w:rPr>
      </w:pPr>
    </w:p>
    <w:p w14:paraId="6A848621" w14:textId="77777777" w:rsidR="008D0565" w:rsidRPr="00D61F73" w:rsidRDefault="00751163" w:rsidP="00D61F73">
      <w:pPr>
        <w:rPr>
          <w:rFonts w:ascii="Arial" w:hAnsi="Arial" w:cs="Arial"/>
        </w:rPr>
      </w:pPr>
      <w:hyperlink w:anchor="Reeves2004" w:history="1">
        <w:r w:rsidR="008D0565" w:rsidRPr="00D61F73">
          <w:rPr>
            <w:rStyle w:val="Hyperlink"/>
            <w:rFonts w:ascii="Arial" w:hAnsi="Arial" w:cs="Arial"/>
          </w:rPr>
          <w:t>Reeves RR, Beddingfield JJ, Mack JE</w:t>
        </w:r>
      </w:hyperlink>
      <w:r w:rsidR="008D0565" w:rsidRPr="00D61F73">
        <w:rPr>
          <w:rFonts w:ascii="Arial" w:hAnsi="Arial" w:cs="Arial"/>
        </w:rPr>
        <w:t xml:space="preserve">. Carisoprodol withdrawal syndrome. </w:t>
      </w:r>
      <w:r w:rsidR="008D0565" w:rsidRPr="00D61F73">
        <w:rPr>
          <w:rFonts w:ascii="Arial" w:hAnsi="Arial" w:cs="Arial"/>
          <w:i/>
        </w:rPr>
        <w:t>Pharmacotherapy</w:t>
      </w:r>
      <w:r w:rsidR="008D0565" w:rsidRPr="00D61F73">
        <w:rPr>
          <w:rFonts w:ascii="Arial" w:hAnsi="Arial" w:cs="Arial"/>
        </w:rPr>
        <w:t>. 2004;24:1804-6.</w:t>
      </w:r>
    </w:p>
    <w:p w14:paraId="791A9C84" w14:textId="77777777" w:rsidR="008D0565" w:rsidRPr="00D61F73" w:rsidRDefault="008D0565" w:rsidP="00D61F73">
      <w:pPr>
        <w:rPr>
          <w:rFonts w:ascii="Arial" w:hAnsi="Arial" w:cs="Arial"/>
        </w:rPr>
      </w:pPr>
    </w:p>
    <w:p w14:paraId="0CF36FD0" w14:textId="77777777" w:rsidR="008D0565" w:rsidRPr="00D61F73" w:rsidRDefault="00751163" w:rsidP="00D61F73">
      <w:pPr>
        <w:rPr>
          <w:rFonts w:ascii="Arial" w:hAnsi="Arial" w:cs="Arial"/>
        </w:rPr>
      </w:pPr>
      <w:hyperlink w:anchor="Reeves2001" w:history="1">
        <w:r w:rsidR="008D0565" w:rsidRPr="00D61F73">
          <w:rPr>
            <w:rStyle w:val="Hyperlink"/>
            <w:rFonts w:ascii="Arial" w:hAnsi="Arial" w:cs="Arial"/>
          </w:rPr>
          <w:t>Reeves RR, Liberto V</w:t>
        </w:r>
      </w:hyperlink>
      <w:r w:rsidR="008D0565" w:rsidRPr="00D61F73">
        <w:rPr>
          <w:rFonts w:ascii="Arial" w:hAnsi="Arial" w:cs="Arial"/>
        </w:rPr>
        <w:t xml:space="preserve">. Abuse of combinations of carisoprodol and tramadol. </w:t>
      </w:r>
      <w:r w:rsidR="008D0565" w:rsidRPr="00D61F73">
        <w:rPr>
          <w:rFonts w:ascii="Arial" w:hAnsi="Arial" w:cs="Arial"/>
          <w:i/>
        </w:rPr>
        <w:t xml:space="preserve">South Med J. </w:t>
      </w:r>
      <w:r w:rsidR="008D0565" w:rsidRPr="00D61F73">
        <w:rPr>
          <w:rFonts w:ascii="Arial" w:hAnsi="Arial" w:cs="Arial"/>
        </w:rPr>
        <w:t>2001;94:512-4.</w:t>
      </w:r>
    </w:p>
    <w:p w14:paraId="72153BC7" w14:textId="77777777" w:rsidR="008D0565" w:rsidRPr="00D61F73" w:rsidRDefault="008D0565" w:rsidP="00D61F73">
      <w:pPr>
        <w:rPr>
          <w:rFonts w:ascii="Arial" w:hAnsi="Arial" w:cs="Arial"/>
        </w:rPr>
      </w:pPr>
    </w:p>
    <w:p w14:paraId="33A32A7E" w14:textId="77777777" w:rsidR="008D0565" w:rsidRPr="00D61F73" w:rsidRDefault="00751163" w:rsidP="00D61F73">
      <w:pPr>
        <w:rPr>
          <w:rFonts w:ascii="Arial" w:hAnsi="Arial" w:cs="Arial"/>
        </w:rPr>
      </w:pPr>
      <w:hyperlink w:anchor="Reeves1999a" w:history="1">
        <w:r w:rsidR="008D0565" w:rsidRPr="00D61F73">
          <w:rPr>
            <w:rStyle w:val="Hyperlink"/>
            <w:rFonts w:ascii="Arial" w:hAnsi="Arial" w:cs="Arial"/>
          </w:rPr>
          <w:t>Reeves RR, Carter OS, Pinkofsky HB, Struve FA, Bennett DM</w:t>
        </w:r>
      </w:hyperlink>
      <w:r w:rsidR="008D0565" w:rsidRPr="00D61F73">
        <w:rPr>
          <w:rFonts w:ascii="Arial" w:hAnsi="Arial" w:cs="Arial"/>
        </w:rPr>
        <w:t>. Carisoprodol (soma): abuse potential and physician unawareness</w:t>
      </w:r>
      <w:r w:rsidR="008D0565" w:rsidRPr="00D61F73">
        <w:rPr>
          <w:rFonts w:ascii="Arial" w:hAnsi="Arial" w:cs="Arial"/>
          <w:i/>
        </w:rPr>
        <w:t>. J Addict Dis.</w:t>
      </w:r>
      <w:r w:rsidR="008D0565" w:rsidRPr="00D61F73">
        <w:rPr>
          <w:rFonts w:ascii="Arial" w:hAnsi="Arial" w:cs="Arial"/>
        </w:rPr>
        <w:t xml:space="preserve"> 1999;18:51-6.</w:t>
      </w:r>
    </w:p>
    <w:p w14:paraId="15A1FE84" w14:textId="77777777" w:rsidR="008D0565" w:rsidRPr="00D61F73" w:rsidRDefault="008D0565" w:rsidP="00D61F73">
      <w:pPr>
        <w:rPr>
          <w:rFonts w:ascii="Arial" w:hAnsi="Arial" w:cs="Arial"/>
        </w:rPr>
      </w:pPr>
    </w:p>
    <w:p w14:paraId="02ADC029" w14:textId="77777777" w:rsidR="008D0565" w:rsidRPr="00D61F73" w:rsidRDefault="00751163" w:rsidP="00D61F73">
      <w:pPr>
        <w:rPr>
          <w:rFonts w:ascii="Arial" w:hAnsi="Arial" w:cs="Arial"/>
        </w:rPr>
      </w:pPr>
      <w:hyperlink w:anchor="Reeves2010" w:history="1">
        <w:r w:rsidR="008D0565" w:rsidRPr="00D61F73">
          <w:rPr>
            <w:rStyle w:val="Hyperlink"/>
            <w:rFonts w:ascii="Arial" w:hAnsi="Arial" w:cs="Arial"/>
          </w:rPr>
          <w:t>Reeves RR, Burke RS</w:t>
        </w:r>
      </w:hyperlink>
      <w:r w:rsidR="008D0565" w:rsidRPr="00D61F73">
        <w:rPr>
          <w:rFonts w:ascii="Arial" w:hAnsi="Arial" w:cs="Arial"/>
        </w:rPr>
        <w:t xml:space="preserve">. Carisoprodol: Abuse Potential and Withdrawal Syndrome. </w:t>
      </w:r>
      <w:r w:rsidR="008D0565" w:rsidRPr="00D61F73">
        <w:rPr>
          <w:rFonts w:ascii="Arial" w:hAnsi="Arial" w:cs="Arial"/>
          <w:i/>
        </w:rPr>
        <w:t>Curr Drug Abuse Rev</w:t>
      </w:r>
      <w:r w:rsidR="008D0565" w:rsidRPr="00D61F73">
        <w:rPr>
          <w:rFonts w:ascii="Arial" w:hAnsi="Arial" w:cs="Arial"/>
        </w:rPr>
        <w:t>. 2010</w:t>
      </w:r>
    </w:p>
    <w:p w14:paraId="5EB18CD4" w14:textId="77777777" w:rsidR="008D0565" w:rsidRPr="00D61F73" w:rsidRDefault="008D0565" w:rsidP="00D61F73">
      <w:pPr>
        <w:rPr>
          <w:rFonts w:ascii="Arial" w:hAnsi="Arial" w:cs="Arial"/>
        </w:rPr>
      </w:pPr>
    </w:p>
    <w:p w14:paraId="5C749A1A" w14:textId="77777777" w:rsidR="008D0565" w:rsidRPr="00D61F73" w:rsidRDefault="00751163" w:rsidP="00D61F73">
      <w:pPr>
        <w:rPr>
          <w:rFonts w:ascii="Arial" w:hAnsi="Arial" w:cs="Arial"/>
        </w:rPr>
      </w:pPr>
      <w:hyperlink w:anchor="Reeves2012" w:history="1">
        <w:r w:rsidR="008D0565" w:rsidRPr="00D61F73">
          <w:rPr>
            <w:rStyle w:val="Hyperlink"/>
            <w:rFonts w:ascii="Arial" w:hAnsi="Arial" w:cs="Arial"/>
          </w:rPr>
          <w:t>Reeves RR, Burke RS, Kose S</w:t>
        </w:r>
      </w:hyperlink>
      <w:r w:rsidR="008D0565" w:rsidRPr="00D61F73">
        <w:rPr>
          <w:rFonts w:ascii="Arial" w:hAnsi="Arial" w:cs="Arial"/>
        </w:rPr>
        <w:t xml:space="preserve">. Carisoprodol: update on abuse potential and legal status. </w:t>
      </w:r>
      <w:r w:rsidR="008D0565" w:rsidRPr="00D61F73">
        <w:rPr>
          <w:rFonts w:ascii="Arial" w:hAnsi="Arial" w:cs="Arial"/>
          <w:i/>
        </w:rPr>
        <w:t>South Med J</w:t>
      </w:r>
      <w:r w:rsidR="008D0565" w:rsidRPr="00D61F73">
        <w:rPr>
          <w:rFonts w:ascii="Arial" w:hAnsi="Arial" w:cs="Arial"/>
        </w:rPr>
        <w:t>. 2012;105:619-23.</w:t>
      </w:r>
    </w:p>
    <w:p w14:paraId="0048B64F" w14:textId="77777777" w:rsidR="008D0565" w:rsidRPr="00D61F73" w:rsidRDefault="008D0565" w:rsidP="00D61F73">
      <w:pPr>
        <w:rPr>
          <w:rFonts w:ascii="Arial" w:hAnsi="Arial" w:cs="Arial"/>
        </w:rPr>
      </w:pPr>
    </w:p>
    <w:p w14:paraId="0086A688" w14:textId="77777777" w:rsidR="008D0565" w:rsidRPr="00D61F73" w:rsidRDefault="00751163" w:rsidP="00D61F73">
      <w:pPr>
        <w:rPr>
          <w:rFonts w:ascii="Arial" w:hAnsi="Arial" w:cs="Arial"/>
        </w:rPr>
      </w:pPr>
      <w:hyperlink w:anchor="Reginster" w:history="1">
        <w:r w:rsidR="008D0565" w:rsidRPr="00D61F73">
          <w:rPr>
            <w:rStyle w:val="Hyperlink"/>
            <w:rFonts w:ascii="Arial" w:hAnsi="Arial" w:cs="Arial"/>
          </w:rPr>
          <w:t>Reginster JY, Deroisy R, Rovati LC, Lee RL, Lejeune E, Bruyere O, Giacovelli G, Henrotin Y, Dacre JE, Gossett C.</w:t>
        </w:r>
      </w:hyperlink>
      <w:r w:rsidR="008D0565" w:rsidRPr="00D61F73">
        <w:rPr>
          <w:rFonts w:ascii="Arial" w:hAnsi="Arial" w:cs="Arial"/>
        </w:rPr>
        <w:t xml:space="preserve"> Long-term effects of glucosamine sulphate on osteoarthritis progression: a randomised, placebo-controlled clinical trial. </w:t>
      </w:r>
      <w:r w:rsidR="008D0565" w:rsidRPr="00D61F73">
        <w:rPr>
          <w:rFonts w:ascii="Arial" w:hAnsi="Arial" w:cs="Arial"/>
          <w:i/>
          <w:iCs/>
        </w:rPr>
        <w:t>Lancet</w:t>
      </w:r>
      <w:r w:rsidR="008D0565" w:rsidRPr="00D61F73">
        <w:rPr>
          <w:rFonts w:ascii="Arial" w:hAnsi="Arial" w:cs="Arial"/>
        </w:rPr>
        <w:t>. 2001 Jan 27;357(9252):251-6.</w:t>
      </w:r>
    </w:p>
    <w:p w14:paraId="48AF5ADE" w14:textId="77777777" w:rsidR="008D0565" w:rsidRPr="00D61F73" w:rsidRDefault="008D0565" w:rsidP="00D61F73">
      <w:pPr>
        <w:rPr>
          <w:rFonts w:ascii="Arial" w:hAnsi="Arial" w:cs="Arial"/>
        </w:rPr>
      </w:pPr>
    </w:p>
    <w:p w14:paraId="0A3DC5FD" w14:textId="77777777" w:rsidR="008D0565" w:rsidRPr="00D61F73" w:rsidRDefault="00751163" w:rsidP="00D61F73">
      <w:pPr>
        <w:rPr>
          <w:rFonts w:ascii="Arial" w:hAnsi="Arial" w:cs="Arial"/>
        </w:rPr>
      </w:pPr>
      <w:hyperlink w:anchor="Reichenbach" w:history="1">
        <w:r w:rsidR="008D0565" w:rsidRPr="00D61F73">
          <w:rPr>
            <w:rStyle w:val="Hyperlink"/>
            <w:rFonts w:ascii="Arial" w:hAnsi="Arial" w:cs="Arial"/>
          </w:rPr>
          <w:t>Reichenbach S, Sterchi R, Scherer M, Trelle S, Burgi E, Burgi U, Dieppe PA, Juni P.</w:t>
        </w:r>
      </w:hyperlink>
      <w:r w:rsidR="008D0565" w:rsidRPr="00D61F73">
        <w:rPr>
          <w:rFonts w:ascii="Arial" w:hAnsi="Arial" w:cs="Arial"/>
        </w:rPr>
        <w:t xml:space="preserve"> Meta-analysis: chondroitin for osteoarthritis of the knee or hip. </w:t>
      </w:r>
      <w:r w:rsidR="008D0565" w:rsidRPr="00D61F73">
        <w:rPr>
          <w:rFonts w:ascii="Arial" w:hAnsi="Arial" w:cs="Arial"/>
          <w:i/>
          <w:iCs/>
        </w:rPr>
        <w:t>Ann Intern Med</w:t>
      </w:r>
      <w:r w:rsidR="008D0565" w:rsidRPr="00D61F73">
        <w:rPr>
          <w:rFonts w:ascii="Arial" w:hAnsi="Arial" w:cs="Arial"/>
        </w:rPr>
        <w:t>. 2007 Apr 17;146(8):580-90.</w:t>
      </w:r>
    </w:p>
    <w:p w14:paraId="7EE130B5" w14:textId="77777777" w:rsidR="008D0565" w:rsidRPr="00D61F73" w:rsidRDefault="008D0565" w:rsidP="00D61F73">
      <w:pPr>
        <w:rPr>
          <w:rFonts w:ascii="Arial" w:hAnsi="Arial" w:cs="Arial"/>
        </w:rPr>
      </w:pPr>
    </w:p>
    <w:p w14:paraId="201679A1" w14:textId="77777777" w:rsidR="008D0565" w:rsidRPr="00D61F73" w:rsidRDefault="00751163" w:rsidP="00D61F73">
      <w:pPr>
        <w:rPr>
          <w:rFonts w:ascii="Arial" w:hAnsi="Arial" w:cs="Arial"/>
        </w:rPr>
      </w:pPr>
      <w:hyperlink w:anchor="Reynoldson" w:history="1">
        <w:r w:rsidR="008D0565" w:rsidRPr="00D61F73">
          <w:rPr>
            <w:rStyle w:val="Hyperlink"/>
            <w:rFonts w:ascii="Arial" w:hAnsi="Arial" w:cs="Arial"/>
          </w:rPr>
          <w:t>Reynoldson JN, Elliott ES, Nelson LA. Ramelteon</w:t>
        </w:r>
      </w:hyperlink>
      <w:r w:rsidR="008D0565" w:rsidRPr="00D61F73">
        <w:rPr>
          <w:rFonts w:ascii="Arial" w:hAnsi="Arial" w:cs="Arial"/>
        </w:rPr>
        <w:t xml:space="preserve">: A Novel Approach in the Treatment of Insomnia (CE). </w:t>
      </w:r>
      <w:r w:rsidR="008D0565" w:rsidRPr="00D61F73">
        <w:rPr>
          <w:rFonts w:ascii="Arial" w:hAnsi="Arial" w:cs="Arial"/>
          <w:i/>
        </w:rPr>
        <w:t>Ann Pharmacother</w:t>
      </w:r>
      <w:r w:rsidR="008D0565" w:rsidRPr="00D61F73">
        <w:rPr>
          <w:rFonts w:ascii="Arial" w:hAnsi="Arial" w:cs="Arial"/>
        </w:rPr>
        <w:t>. 2008 Jul 23.</w:t>
      </w:r>
    </w:p>
    <w:p w14:paraId="1944E24B" w14:textId="77777777" w:rsidR="008D0565" w:rsidRPr="00D61F73" w:rsidRDefault="008D0565" w:rsidP="00D61F73">
      <w:pPr>
        <w:rPr>
          <w:rFonts w:ascii="Arial" w:hAnsi="Arial" w:cs="Arial"/>
        </w:rPr>
      </w:pPr>
    </w:p>
    <w:p w14:paraId="02AA11B2" w14:textId="77777777" w:rsidR="008D0565" w:rsidRPr="00D61F73" w:rsidRDefault="00751163" w:rsidP="00D61F73">
      <w:pPr>
        <w:rPr>
          <w:rFonts w:ascii="Arial" w:hAnsi="Arial" w:cs="Arial"/>
        </w:rPr>
      </w:pPr>
      <w:hyperlink w:anchor="Rho" w:history="1">
        <w:r w:rsidR="008D0565" w:rsidRPr="00D61F73">
          <w:rPr>
            <w:rStyle w:val="Hyperlink"/>
            <w:rFonts w:ascii="Arial" w:hAnsi="Arial" w:cs="Arial"/>
          </w:rPr>
          <w:t>Rho RH, Brewer RP, Lamer TJ, Wilson PR</w:t>
        </w:r>
      </w:hyperlink>
      <w:r w:rsidR="008D0565" w:rsidRPr="00D61F73">
        <w:rPr>
          <w:rFonts w:ascii="Arial" w:hAnsi="Arial" w:cs="Arial"/>
        </w:rPr>
        <w:t xml:space="preserve">. Complex regional pain syndrome. </w:t>
      </w:r>
      <w:r w:rsidR="008D0565" w:rsidRPr="00D61F73">
        <w:rPr>
          <w:rFonts w:ascii="Arial" w:hAnsi="Arial" w:cs="Arial"/>
          <w:i/>
          <w:iCs/>
        </w:rPr>
        <w:t>Mayo Clin Proc</w:t>
      </w:r>
      <w:r w:rsidR="008D0565" w:rsidRPr="00D61F73">
        <w:rPr>
          <w:rFonts w:ascii="Arial" w:hAnsi="Arial" w:cs="Arial"/>
        </w:rPr>
        <w:t>. 2002 Feb;77(2):174-80.</w:t>
      </w:r>
    </w:p>
    <w:p w14:paraId="517580DA" w14:textId="77777777" w:rsidR="008D0565" w:rsidRPr="00D61F73" w:rsidRDefault="008D0565" w:rsidP="00D61F73">
      <w:pPr>
        <w:rPr>
          <w:rFonts w:ascii="Arial" w:hAnsi="Arial" w:cs="Arial"/>
        </w:rPr>
      </w:pPr>
    </w:p>
    <w:p w14:paraId="23DD04F7" w14:textId="77777777" w:rsidR="008D0565" w:rsidRPr="00D61F73" w:rsidRDefault="00751163" w:rsidP="00D61F73">
      <w:pPr>
        <w:rPr>
          <w:rFonts w:ascii="Arial" w:hAnsi="Arial" w:cs="Arial"/>
        </w:rPr>
      </w:pPr>
      <w:hyperlink w:anchor="Richmond2010" w:history="1">
        <w:r w:rsidR="008D0565" w:rsidRPr="00D61F73">
          <w:rPr>
            <w:rStyle w:val="Hyperlink"/>
            <w:rFonts w:ascii="Arial" w:hAnsi="Arial" w:cs="Arial"/>
          </w:rPr>
          <w:t>Richmond J, Hunter D, Irrgang J, Jones MH, Snyder-Mackler L, Van Durme D, Rubin C, Matzkin EG, Marx RG, Levy BA, Watters WC 3rd, Goldberg MJ, Keith M, Haralson RH 3rd, Turkelson CM, Wies JL, Anderson S, Boyer K, Sluka P, St Andre J, McGowan R.</w:t>
        </w:r>
      </w:hyperlink>
      <w:r w:rsidR="008D0565" w:rsidRPr="00D61F73">
        <w:rPr>
          <w:rFonts w:ascii="Arial" w:hAnsi="Arial" w:cs="Arial"/>
        </w:rPr>
        <w:t xml:space="preserve"> American Academy of Orthopaedic Surgeons clinical practice guideline on the treatment of osteoarthritis (OA) of the knee. </w:t>
      </w:r>
      <w:r w:rsidR="008D0565" w:rsidRPr="00D61F73">
        <w:rPr>
          <w:rFonts w:ascii="Arial" w:hAnsi="Arial" w:cs="Arial"/>
          <w:i/>
        </w:rPr>
        <w:t>J Bone Joint Surg Am</w:t>
      </w:r>
      <w:r w:rsidR="008D0565" w:rsidRPr="00D61F73">
        <w:rPr>
          <w:rFonts w:ascii="Arial" w:hAnsi="Arial" w:cs="Arial"/>
        </w:rPr>
        <w:t>. 2010;92:990-3.</w:t>
      </w:r>
    </w:p>
    <w:p w14:paraId="71143312" w14:textId="77777777" w:rsidR="008D0565" w:rsidRPr="00D61F73" w:rsidRDefault="008D0565" w:rsidP="00D61F73">
      <w:pPr>
        <w:rPr>
          <w:rFonts w:ascii="Arial" w:hAnsi="Arial" w:cs="Arial"/>
        </w:rPr>
      </w:pPr>
    </w:p>
    <w:p w14:paraId="2EF83459" w14:textId="77777777" w:rsidR="008D0565" w:rsidRPr="00D61F73" w:rsidRDefault="00751163" w:rsidP="00D61F73">
      <w:pPr>
        <w:rPr>
          <w:rFonts w:ascii="Arial" w:hAnsi="Arial" w:cs="Arial"/>
        </w:rPr>
      </w:pPr>
      <w:hyperlink w:anchor="Richy" w:history="1">
        <w:r w:rsidR="008D0565" w:rsidRPr="00D61F73">
          <w:rPr>
            <w:rStyle w:val="Hyperlink"/>
            <w:rFonts w:ascii="Arial" w:hAnsi="Arial" w:cs="Arial"/>
          </w:rPr>
          <w:t>Richy F, Bruyere O, Ethgen O, Cucherat M, Henrotin Y, Reginster JY</w:t>
        </w:r>
      </w:hyperlink>
      <w:r w:rsidR="008D0565" w:rsidRPr="00D61F73">
        <w:rPr>
          <w:rFonts w:ascii="Arial" w:hAnsi="Arial" w:cs="Arial"/>
        </w:rPr>
        <w:t xml:space="preserve">, Structural and symptomatic efficacy of glucosamine and chondroitin in knee osteoarthritis: a comprehensive meta-analysis, </w:t>
      </w:r>
      <w:r w:rsidR="008D0565" w:rsidRPr="00D61F73">
        <w:rPr>
          <w:rFonts w:ascii="Arial" w:hAnsi="Arial" w:cs="Arial"/>
          <w:i/>
          <w:iCs/>
        </w:rPr>
        <w:t>Arch</w:t>
      </w:r>
      <w:r w:rsidR="008D0565" w:rsidRPr="00D61F73">
        <w:rPr>
          <w:rFonts w:ascii="Arial" w:hAnsi="Arial" w:cs="Arial"/>
          <w:i/>
          <w:iCs/>
          <w:shd w:val="clear" w:color="auto" w:fill="D9D9D9"/>
        </w:rPr>
        <w:t xml:space="preserve"> </w:t>
      </w:r>
      <w:r w:rsidR="008D0565" w:rsidRPr="00D61F73">
        <w:rPr>
          <w:rFonts w:ascii="Arial" w:hAnsi="Arial" w:cs="Arial"/>
          <w:i/>
          <w:iCs/>
        </w:rPr>
        <w:t>Intern Med</w:t>
      </w:r>
      <w:r w:rsidR="008D0565" w:rsidRPr="00D61F73">
        <w:rPr>
          <w:rFonts w:ascii="Arial" w:hAnsi="Arial" w:cs="Arial"/>
        </w:rPr>
        <w:t>. 2003 Jul 14;163(13):1514-22.</w:t>
      </w:r>
      <w:r w:rsidR="008D0565" w:rsidRPr="00D61F73">
        <w:rPr>
          <w:rFonts w:ascii="Arial" w:hAnsi="Arial" w:cs="Arial"/>
        </w:rPr>
        <w:br/>
      </w:r>
    </w:p>
    <w:p w14:paraId="02FD0916" w14:textId="77777777" w:rsidR="008D0565" w:rsidRPr="00D61F73" w:rsidRDefault="00751163" w:rsidP="00D61F73">
      <w:pPr>
        <w:rPr>
          <w:rFonts w:ascii="Arial" w:hAnsi="Arial" w:cs="Arial"/>
        </w:rPr>
      </w:pPr>
      <w:hyperlink w:anchor="Rickels1999" w:history="1">
        <w:r w:rsidR="008D0565" w:rsidRPr="00D61F73">
          <w:rPr>
            <w:rStyle w:val="Hyperlink"/>
            <w:rFonts w:ascii="Arial" w:hAnsi="Arial" w:cs="Arial"/>
          </w:rPr>
          <w:t>Rickels K, DeMartinis N, Rynn M, Mandos L</w:t>
        </w:r>
      </w:hyperlink>
      <w:r w:rsidR="008D0565" w:rsidRPr="00D61F73">
        <w:rPr>
          <w:rFonts w:ascii="Arial" w:hAnsi="Arial" w:cs="Arial"/>
        </w:rPr>
        <w:t xml:space="preserve">. Pharmacologic strategies for discontinuing benzodiazepine treatment. </w:t>
      </w:r>
      <w:r w:rsidR="008D0565" w:rsidRPr="00D61F73">
        <w:rPr>
          <w:rFonts w:ascii="Arial" w:hAnsi="Arial" w:cs="Arial"/>
          <w:i/>
        </w:rPr>
        <w:t>J Clin Psychopharmacol.</w:t>
      </w:r>
      <w:r w:rsidR="008D0565" w:rsidRPr="00D61F73">
        <w:rPr>
          <w:rFonts w:ascii="Arial" w:hAnsi="Arial" w:cs="Arial"/>
        </w:rPr>
        <w:t xml:space="preserve"> 1999;19:12S-16S.</w:t>
      </w:r>
    </w:p>
    <w:p w14:paraId="405240CC" w14:textId="77777777" w:rsidR="008D0565" w:rsidRPr="00D61F73" w:rsidRDefault="008D0565" w:rsidP="00D61F73">
      <w:pPr>
        <w:rPr>
          <w:rFonts w:ascii="Arial" w:hAnsi="Arial" w:cs="Arial"/>
        </w:rPr>
      </w:pPr>
    </w:p>
    <w:p w14:paraId="2E8CA79B" w14:textId="77777777" w:rsidR="008D0565" w:rsidRPr="00D61F73" w:rsidRDefault="00751163" w:rsidP="00D61F73">
      <w:pPr>
        <w:rPr>
          <w:rFonts w:ascii="Arial" w:hAnsi="Arial" w:cs="Arial"/>
        </w:rPr>
      </w:pPr>
      <w:hyperlink w:anchor="Robbins" w:history="1">
        <w:r w:rsidR="008D0565" w:rsidRPr="00D61F73">
          <w:rPr>
            <w:rStyle w:val="Hyperlink"/>
            <w:rFonts w:ascii="Arial" w:hAnsi="Arial" w:cs="Arial"/>
          </w:rPr>
          <w:t>Robbins W,</w:t>
        </w:r>
      </w:hyperlink>
      <w:r w:rsidR="008D0565" w:rsidRPr="00D61F73">
        <w:rPr>
          <w:rFonts w:ascii="Arial" w:hAnsi="Arial" w:cs="Arial"/>
        </w:rPr>
        <w:t xml:space="preserve"> Clinical applications of capsaicinoids, </w:t>
      </w:r>
      <w:r w:rsidR="008D0565" w:rsidRPr="00D61F73">
        <w:rPr>
          <w:rFonts w:ascii="Arial" w:hAnsi="Arial" w:cs="Arial"/>
          <w:i/>
          <w:iCs/>
        </w:rPr>
        <w:t>Clin J Pain</w:t>
      </w:r>
      <w:r w:rsidR="008D0565" w:rsidRPr="00D61F73">
        <w:rPr>
          <w:rFonts w:ascii="Arial" w:hAnsi="Arial" w:cs="Arial"/>
        </w:rPr>
        <w:t>. 2000 Jun;16(2 Suppl):S86-9.</w:t>
      </w:r>
      <w:r w:rsidR="008D0565" w:rsidRPr="00D61F73">
        <w:rPr>
          <w:rFonts w:ascii="Arial" w:hAnsi="Arial" w:cs="Arial"/>
        </w:rPr>
        <w:br/>
      </w:r>
    </w:p>
    <w:p w14:paraId="6506B973" w14:textId="77777777" w:rsidR="008D0565" w:rsidRPr="00D61F73" w:rsidRDefault="00751163" w:rsidP="00D61F73">
      <w:pPr>
        <w:rPr>
          <w:rFonts w:ascii="Arial" w:hAnsi="Arial" w:cs="Arial"/>
        </w:rPr>
      </w:pPr>
      <w:hyperlink w:anchor="Roberts2002" w:history="1">
        <w:r w:rsidR="008D0565" w:rsidRPr="00D61F73">
          <w:rPr>
            <w:rStyle w:val="Hyperlink"/>
            <w:rFonts w:ascii="Arial" w:hAnsi="Arial" w:cs="Arial"/>
          </w:rPr>
          <w:t>Roberts LJ, Finch PM, Pullan PT, Bhagat CI, Price LM.</w:t>
        </w:r>
      </w:hyperlink>
      <w:r w:rsidR="008D0565" w:rsidRPr="00D61F73">
        <w:rPr>
          <w:rFonts w:ascii="Arial" w:hAnsi="Arial" w:cs="Arial"/>
        </w:rPr>
        <w:t xml:space="preserve"> Sex hormone suppression by intrathecal opioids: a prospective study. </w:t>
      </w:r>
      <w:r w:rsidR="008D0565" w:rsidRPr="00D61F73">
        <w:rPr>
          <w:rFonts w:ascii="Arial" w:hAnsi="Arial" w:cs="Arial"/>
          <w:i/>
        </w:rPr>
        <w:t>Clin J Pain</w:t>
      </w:r>
      <w:r w:rsidR="008D0565" w:rsidRPr="00D61F73">
        <w:rPr>
          <w:rFonts w:ascii="Arial" w:hAnsi="Arial" w:cs="Arial"/>
        </w:rPr>
        <w:t>. 2002 ;18:144-8.</w:t>
      </w:r>
    </w:p>
    <w:p w14:paraId="4E05704E" w14:textId="77777777" w:rsidR="008D0565" w:rsidRPr="00D61F73" w:rsidRDefault="008D0565" w:rsidP="00D61F73">
      <w:pPr>
        <w:rPr>
          <w:rFonts w:ascii="Arial" w:hAnsi="Arial" w:cs="Arial"/>
        </w:rPr>
      </w:pPr>
    </w:p>
    <w:p w14:paraId="41B24005" w14:textId="77777777" w:rsidR="008D0565" w:rsidRPr="00D61F73" w:rsidRDefault="00751163" w:rsidP="00D61F73">
      <w:pPr>
        <w:rPr>
          <w:rFonts w:ascii="Arial" w:hAnsi="Arial" w:cs="Arial"/>
        </w:rPr>
      </w:pPr>
      <w:hyperlink w:anchor="Roberts2000" w:history="1">
        <w:r w:rsidR="008D0565" w:rsidRPr="00D61F73">
          <w:rPr>
            <w:rStyle w:val="Hyperlink"/>
            <w:rFonts w:ascii="Arial" w:hAnsi="Arial" w:cs="Arial"/>
          </w:rPr>
          <w:t>Roberts LJ, Price L, Hadlow NC, Pullan PT</w:t>
        </w:r>
      </w:hyperlink>
      <w:r w:rsidR="008D0565" w:rsidRPr="00D61F73">
        <w:rPr>
          <w:rFonts w:ascii="Arial" w:hAnsi="Arial" w:cs="Arial"/>
        </w:rPr>
        <w:t xml:space="preserve">. Hypogonadism in patients treated with intrathecal morphine. </w:t>
      </w:r>
      <w:r w:rsidR="008D0565" w:rsidRPr="00D61F73">
        <w:rPr>
          <w:rFonts w:ascii="Arial" w:hAnsi="Arial" w:cs="Arial"/>
          <w:i/>
        </w:rPr>
        <w:t>Clin J Pain</w:t>
      </w:r>
      <w:r w:rsidR="008D0565" w:rsidRPr="00D61F73">
        <w:rPr>
          <w:rFonts w:ascii="Arial" w:hAnsi="Arial" w:cs="Arial"/>
        </w:rPr>
        <w:t>. 2000;16:251-4.</w:t>
      </w:r>
    </w:p>
    <w:p w14:paraId="6E4ED7EE" w14:textId="77777777" w:rsidR="008D0565" w:rsidRPr="00D61F73" w:rsidRDefault="008D0565" w:rsidP="00D61F73">
      <w:pPr>
        <w:rPr>
          <w:rFonts w:ascii="Arial" w:hAnsi="Arial" w:cs="Arial"/>
        </w:rPr>
      </w:pPr>
    </w:p>
    <w:p w14:paraId="61BEB6AD" w14:textId="77777777" w:rsidR="008D0565" w:rsidRPr="00D61F73" w:rsidRDefault="00751163" w:rsidP="00D61F73">
      <w:pPr>
        <w:rPr>
          <w:rFonts w:ascii="Arial" w:hAnsi="Arial" w:cs="Arial"/>
        </w:rPr>
      </w:pPr>
      <w:hyperlink w:anchor="Roberts" w:history="1">
        <w:r w:rsidR="008D0565" w:rsidRPr="00D61F73">
          <w:rPr>
            <w:rStyle w:val="Hyperlink"/>
            <w:rFonts w:ascii="Arial" w:hAnsi="Arial" w:cs="Arial"/>
          </w:rPr>
          <w:t>Roberts, L. J., et al</w:t>
        </w:r>
      </w:hyperlink>
      <w:r w:rsidR="008D0565" w:rsidRPr="00D61F73">
        <w:rPr>
          <w:rFonts w:ascii="Arial" w:hAnsi="Arial" w:cs="Arial"/>
        </w:rPr>
        <w:t xml:space="preserve">. Outcome of intrathecal opioids in chronic non-cancer pain </w:t>
      </w:r>
      <w:r w:rsidR="008D0565" w:rsidRPr="00D61F73">
        <w:rPr>
          <w:rFonts w:ascii="Arial" w:hAnsi="Arial" w:cs="Arial"/>
          <w:i/>
          <w:iCs/>
        </w:rPr>
        <w:t>European Journal of Pain.</w:t>
      </w:r>
      <w:r w:rsidR="008D0565" w:rsidRPr="00D61F73">
        <w:rPr>
          <w:rFonts w:ascii="Arial" w:hAnsi="Arial" w:cs="Arial"/>
        </w:rPr>
        <w:t xml:space="preserve"> 2001; Number 5: 353-361.</w:t>
      </w:r>
    </w:p>
    <w:p w14:paraId="6C72F65E" w14:textId="77777777" w:rsidR="008D0565" w:rsidRPr="00D61F73" w:rsidRDefault="008D0565" w:rsidP="00D61F73">
      <w:pPr>
        <w:pStyle w:val="Footer"/>
        <w:tabs>
          <w:tab w:val="clear" w:pos="4320"/>
          <w:tab w:val="clear" w:pos="8640"/>
        </w:tabs>
        <w:rPr>
          <w:rFonts w:ascii="Arial" w:hAnsi="Arial" w:cs="Arial"/>
        </w:rPr>
      </w:pPr>
    </w:p>
    <w:p w14:paraId="11626717" w14:textId="77777777" w:rsidR="008D0565" w:rsidRPr="00D61F73" w:rsidRDefault="00751163" w:rsidP="00D61F73">
      <w:pPr>
        <w:rPr>
          <w:rFonts w:ascii="Arial" w:eastAsia="Arial Unicode MS" w:hAnsi="Arial" w:cs="Arial"/>
          <w:color w:val="auto"/>
        </w:rPr>
      </w:pPr>
      <w:hyperlink w:anchor="Robson2014" w:history="1">
        <w:r w:rsidR="008D0565" w:rsidRPr="00D61F73">
          <w:rPr>
            <w:rStyle w:val="Hyperlink"/>
            <w:rFonts w:ascii="Arial" w:eastAsia="Arial Unicode MS" w:hAnsi="Arial" w:cs="Arial"/>
          </w:rPr>
          <w:t>Robson PJ</w:t>
        </w:r>
      </w:hyperlink>
      <w:r w:rsidR="008D0565" w:rsidRPr="00D61F73">
        <w:rPr>
          <w:rFonts w:ascii="Arial" w:eastAsia="Arial Unicode MS" w:hAnsi="Arial" w:cs="Arial"/>
          <w:color w:val="auto"/>
        </w:rPr>
        <w:t xml:space="preserve">. Therapeutic potential of cannabinoid medicines. </w:t>
      </w:r>
      <w:r w:rsidR="008D0565" w:rsidRPr="00D61F73">
        <w:rPr>
          <w:rFonts w:ascii="Arial" w:eastAsia="Arial Unicode MS" w:hAnsi="Arial" w:cs="Arial"/>
          <w:i/>
          <w:iCs/>
          <w:color w:val="auto"/>
        </w:rPr>
        <w:t>Drug Test Anal.</w:t>
      </w:r>
      <w:r w:rsidR="008D0565" w:rsidRPr="00D61F73">
        <w:rPr>
          <w:rFonts w:ascii="Arial" w:eastAsia="Arial Unicode MS" w:hAnsi="Arial" w:cs="Arial"/>
          <w:color w:val="auto"/>
        </w:rPr>
        <w:t xml:space="preserve"> 2014 Jan-Feb;6(1-2):24-30. doi: 10.1002/dta.1529.</w:t>
      </w:r>
    </w:p>
    <w:p w14:paraId="0719A969" w14:textId="77777777" w:rsidR="008D0565" w:rsidRPr="00D61F73" w:rsidRDefault="008D0565" w:rsidP="00D61F73">
      <w:pPr>
        <w:pStyle w:val="Footer"/>
        <w:tabs>
          <w:tab w:val="clear" w:pos="4320"/>
          <w:tab w:val="clear" w:pos="8640"/>
        </w:tabs>
        <w:rPr>
          <w:rFonts w:ascii="Arial" w:hAnsi="Arial" w:cs="Arial"/>
        </w:rPr>
      </w:pPr>
    </w:p>
    <w:p w14:paraId="7E84E2A1" w14:textId="77777777" w:rsidR="008D0565" w:rsidRPr="00D61F73" w:rsidRDefault="00751163" w:rsidP="00D61F73">
      <w:pPr>
        <w:pStyle w:val="Title"/>
        <w:jc w:val="left"/>
        <w:rPr>
          <w:rFonts w:ascii="Arial" w:hAnsi="Arial" w:cs="Arial"/>
          <w:b w:val="0"/>
          <w:bCs w:val="0"/>
          <w:sz w:val="24"/>
        </w:rPr>
      </w:pPr>
      <w:hyperlink w:anchor="Rooks" w:history="1">
        <w:r w:rsidR="008D0565" w:rsidRPr="00D61F73">
          <w:rPr>
            <w:rStyle w:val="Hyperlink"/>
            <w:rFonts w:ascii="Arial" w:hAnsi="Arial" w:cs="Arial"/>
            <w:b w:val="0"/>
            <w:bCs w:val="0"/>
            <w:sz w:val="24"/>
          </w:rPr>
          <w:t>Rooks DS.</w:t>
        </w:r>
      </w:hyperlink>
      <w:r w:rsidR="008D0565" w:rsidRPr="00D61F73">
        <w:rPr>
          <w:rFonts w:ascii="Arial" w:hAnsi="Arial" w:cs="Arial"/>
          <w:b w:val="0"/>
          <w:bCs w:val="0"/>
          <w:sz w:val="24"/>
        </w:rPr>
        <w:t xml:space="preserve"> Fibromyalgia treatment update. </w:t>
      </w:r>
      <w:r w:rsidR="008D0565" w:rsidRPr="00D61F73">
        <w:rPr>
          <w:rFonts w:ascii="Arial" w:hAnsi="Arial" w:cs="Arial"/>
          <w:b w:val="0"/>
          <w:bCs w:val="0"/>
          <w:i/>
          <w:iCs/>
          <w:sz w:val="24"/>
        </w:rPr>
        <w:t>Curr Opin Rheumatol</w:t>
      </w:r>
      <w:r w:rsidR="008D0565" w:rsidRPr="00D61F73">
        <w:rPr>
          <w:rFonts w:ascii="Arial" w:hAnsi="Arial" w:cs="Arial"/>
          <w:b w:val="0"/>
          <w:bCs w:val="0"/>
          <w:sz w:val="24"/>
        </w:rPr>
        <w:t xml:space="preserve">. 2007 Mar;19(2):111-7. </w:t>
      </w:r>
    </w:p>
    <w:p w14:paraId="4AF73140" w14:textId="77777777" w:rsidR="00835B17" w:rsidRPr="00D61F73" w:rsidRDefault="00835B17" w:rsidP="00D61F73">
      <w:pPr>
        <w:rPr>
          <w:rFonts w:ascii="Arial" w:hAnsi="Arial" w:cs="Arial"/>
        </w:rPr>
      </w:pPr>
    </w:p>
    <w:p w14:paraId="08293A59" w14:textId="77777777" w:rsidR="008D0565" w:rsidRPr="00D61F73" w:rsidRDefault="00751163" w:rsidP="00D61F73">
      <w:pPr>
        <w:rPr>
          <w:rFonts w:ascii="Arial" w:hAnsi="Arial" w:cs="Arial"/>
        </w:rPr>
      </w:pPr>
      <w:hyperlink w:anchor="Rosenstock" w:history="1">
        <w:r w:rsidR="008D0565" w:rsidRPr="00D61F73">
          <w:rPr>
            <w:rStyle w:val="Hyperlink"/>
            <w:rFonts w:ascii="Arial" w:hAnsi="Arial" w:cs="Arial"/>
          </w:rPr>
          <w:t>Rosenstock J, Hollander P, Gadde KM, Sun X, Strauss R, Leung A; OBD-202 Study Group</w:t>
        </w:r>
      </w:hyperlink>
      <w:r w:rsidR="008D0565" w:rsidRPr="00D61F73">
        <w:rPr>
          <w:rFonts w:ascii="Arial" w:hAnsi="Arial" w:cs="Arial"/>
        </w:rPr>
        <w:t xml:space="preserve">. A randomized, double-blind, placebo-controlled, multicenter study to assess the efficacy and safety of topiramate controlled release in the treatment of obese type 2 diabetic patients. </w:t>
      </w:r>
      <w:r w:rsidR="008D0565" w:rsidRPr="00D61F73">
        <w:rPr>
          <w:rFonts w:ascii="Arial" w:hAnsi="Arial" w:cs="Arial"/>
          <w:i/>
        </w:rPr>
        <w:t>Diabetes Care</w:t>
      </w:r>
      <w:r w:rsidR="008D0565" w:rsidRPr="00D61F73">
        <w:rPr>
          <w:rFonts w:ascii="Arial" w:hAnsi="Arial" w:cs="Arial"/>
        </w:rPr>
        <w:t>. 2007;30:1480-6.</w:t>
      </w:r>
    </w:p>
    <w:p w14:paraId="30B0107F" w14:textId="77777777" w:rsidR="008D0565" w:rsidRPr="00D61F73" w:rsidRDefault="008D0565" w:rsidP="00D61F73">
      <w:pPr>
        <w:rPr>
          <w:rFonts w:ascii="Arial" w:hAnsi="Arial" w:cs="Arial"/>
        </w:rPr>
      </w:pPr>
    </w:p>
    <w:p w14:paraId="6D759966" w14:textId="77777777" w:rsidR="008D0565" w:rsidRPr="00D61F73" w:rsidRDefault="00751163" w:rsidP="00D61F73">
      <w:pPr>
        <w:rPr>
          <w:rFonts w:ascii="Arial" w:hAnsi="Arial" w:cs="Arial"/>
        </w:rPr>
      </w:pPr>
      <w:hyperlink w:anchor="Roth2011" w:history="1">
        <w:r w:rsidR="008D0565" w:rsidRPr="00D61F73">
          <w:rPr>
            <w:rStyle w:val="Hyperlink"/>
            <w:rFonts w:ascii="Arial" w:hAnsi="Arial" w:cs="Arial"/>
          </w:rPr>
          <w:t>Roth SH, Fuller P</w:t>
        </w:r>
      </w:hyperlink>
      <w:r w:rsidR="008D0565" w:rsidRPr="00D61F73">
        <w:rPr>
          <w:rFonts w:ascii="Arial" w:hAnsi="Arial" w:cs="Arial"/>
        </w:rPr>
        <w:t xml:space="preserve">. Diclofenac topical solution compared with oral diclofenac: a pooled safety analysis. </w:t>
      </w:r>
      <w:r w:rsidR="008D0565" w:rsidRPr="00D61F73">
        <w:rPr>
          <w:rFonts w:ascii="Arial" w:hAnsi="Arial" w:cs="Arial"/>
          <w:i/>
        </w:rPr>
        <w:t>J Pain Res</w:t>
      </w:r>
      <w:r w:rsidR="008D0565" w:rsidRPr="00D61F73">
        <w:rPr>
          <w:rFonts w:ascii="Arial" w:hAnsi="Arial" w:cs="Arial"/>
        </w:rPr>
        <w:t>. 2011;4:159-67.</w:t>
      </w:r>
    </w:p>
    <w:p w14:paraId="538ABFE9" w14:textId="77777777" w:rsidR="008D0565" w:rsidRPr="00D61F73" w:rsidRDefault="008D0565" w:rsidP="00D61F73">
      <w:pPr>
        <w:rPr>
          <w:rFonts w:ascii="Arial" w:hAnsi="Arial" w:cs="Arial"/>
        </w:rPr>
      </w:pPr>
    </w:p>
    <w:p w14:paraId="0CF1302E" w14:textId="77777777" w:rsidR="008D0565" w:rsidRPr="00D61F73" w:rsidRDefault="00751163" w:rsidP="00D61F73">
      <w:pPr>
        <w:rPr>
          <w:rFonts w:ascii="Arial" w:hAnsi="Arial" w:cs="Arial"/>
        </w:rPr>
      </w:pPr>
      <w:hyperlink w:anchor="Rother2007" w:history="1">
        <w:r w:rsidR="008D0565" w:rsidRPr="00D61F73">
          <w:rPr>
            <w:rStyle w:val="Hyperlink"/>
            <w:rFonts w:ascii="Arial" w:hAnsi="Arial" w:cs="Arial"/>
          </w:rPr>
          <w:t>Rother M, Lavins BJ, Kneer W, Lehnhardt K, Seidel EJ, Mazgareanu S</w:t>
        </w:r>
      </w:hyperlink>
      <w:r w:rsidR="008D0565" w:rsidRPr="00D61F73">
        <w:rPr>
          <w:rFonts w:ascii="Arial" w:hAnsi="Arial" w:cs="Arial"/>
        </w:rPr>
        <w:t xml:space="preserve">. Efficacy and safety of epicutaneous ketoprofen in Transfersome (IDEA-033) versus oral celecoxib and placebo in osteoarthritis of the knee: multicentre randomised controlled trial. </w:t>
      </w:r>
      <w:r w:rsidR="008D0565" w:rsidRPr="00D61F73">
        <w:rPr>
          <w:rFonts w:ascii="Arial" w:hAnsi="Arial" w:cs="Arial"/>
          <w:i/>
        </w:rPr>
        <w:t>Ann Rheum Dis</w:t>
      </w:r>
      <w:r w:rsidR="008D0565" w:rsidRPr="00D61F73">
        <w:rPr>
          <w:rFonts w:ascii="Arial" w:hAnsi="Arial" w:cs="Arial"/>
        </w:rPr>
        <w:t>. 2007;66:1178-83.</w:t>
      </w:r>
    </w:p>
    <w:p w14:paraId="1BD202B8" w14:textId="77777777" w:rsidR="008D0565" w:rsidRPr="00D61F73" w:rsidRDefault="008D0565" w:rsidP="00D61F73">
      <w:pPr>
        <w:rPr>
          <w:rStyle w:val="Hyperlink"/>
          <w:rFonts w:ascii="Arial" w:hAnsi="Arial" w:cs="Arial"/>
        </w:rPr>
      </w:pPr>
      <w:r w:rsidRPr="00D61F73">
        <w:rPr>
          <w:rFonts w:ascii="Arial" w:hAnsi="Arial" w:cs="Arial"/>
        </w:rPr>
        <w:fldChar w:fldCharType="begin"/>
      </w:r>
      <w:r w:rsidRPr="00D61F73">
        <w:rPr>
          <w:rFonts w:ascii="Arial" w:hAnsi="Arial" w:cs="Arial"/>
        </w:rPr>
        <w:instrText xml:space="preserve"> HYPERLINK  \l "Roy" </w:instrText>
      </w:r>
      <w:r w:rsidRPr="00D61F73">
        <w:rPr>
          <w:rFonts w:ascii="Arial" w:hAnsi="Arial" w:cs="Arial"/>
        </w:rPr>
        <w:fldChar w:fldCharType="separate"/>
      </w:r>
    </w:p>
    <w:p w14:paraId="62BF148C" w14:textId="77777777" w:rsidR="008D0565" w:rsidRPr="00D61F73" w:rsidRDefault="008D0565" w:rsidP="00D61F73">
      <w:pPr>
        <w:rPr>
          <w:rFonts w:ascii="Arial" w:hAnsi="Arial" w:cs="Arial"/>
        </w:rPr>
      </w:pPr>
      <w:r w:rsidRPr="00D61F73">
        <w:rPr>
          <w:rStyle w:val="Hyperlink"/>
          <w:rFonts w:ascii="Arial" w:hAnsi="Arial" w:cs="Arial"/>
        </w:rPr>
        <w:t>Roy-Byrne PP, Davidson KW, Kessler RC, Asmundson GJ, Goodwin RD, Kubzansky L, Lydiard RB, Massie MJ, Katon W, Laden SK, Stein MB</w:t>
      </w:r>
      <w:r w:rsidRPr="00D61F73">
        <w:rPr>
          <w:rFonts w:ascii="Arial" w:hAnsi="Arial" w:cs="Arial"/>
        </w:rPr>
        <w:fldChar w:fldCharType="end"/>
      </w:r>
      <w:r w:rsidRPr="00D61F73">
        <w:rPr>
          <w:rFonts w:ascii="Arial" w:hAnsi="Arial" w:cs="Arial"/>
        </w:rPr>
        <w:t xml:space="preserve">. Anxiety disorders and comorbid medical illness. </w:t>
      </w:r>
      <w:r w:rsidRPr="00D61F73">
        <w:rPr>
          <w:rFonts w:ascii="Arial" w:hAnsi="Arial" w:cs="Arial"/>
          <w:i/>
        </w:rPr>
        <w:t>Gen Hosp Psychiatry</w:t>
      </w:r>
      <w:r w:rsidRPr="00D61F73">
        <w:rPr>
          <w:rFonts w:ascii="Arial" w:hAnsi="Arial" w:cs="Arial"/>
        </w:rPr>
        <w:t>. 2008;30:208-25.</w:t>
      </w:r>
    </w:p>
    <w:p w14:paraId="5784388B" w14:textId="77777777" w:rsidR="008D0565" w:rsidRPr="00D61F73" w:rsidRDefault="008D0565" w:rsidP="00D61F73">
      <w:pPr>
        <w:rPr>
          <w:rFonts w:ascii="Arial" w:hAnsi="Arial" w:cs="Arial"/>
        </w:rPr>
      </w:pPr>
    </w:p>
    <w:p w14:paraId="067A05BD" w14:textId="77777777" w:rsidR="008D0565" w:rsidRPr="00D61F73" w:rsidRDefault="00751163" w:rsidP="00D61F73">
      <w:pPr>
        <w:rPr>
          <w:rFonts w:ascii="Arial" w:hAnsi="Arial" w:cs="Arial"/>
        </w:rPr>
      </w:pPr>
      <w:hyperlink w:anchor="Rozenfeld2004" w:history="1">
        <w:r w:rsidR="008D0565" w:rsidRPr="00D61F73">
          <w:rPr>
            <w:rStyle w:val="Hyperlink"/>
            <w:rFonts w:ascii="Arial" w:hAnsi="Arial" w:cs="Arial"/>
          </w:rPr>
          <w:t>Rozenfeld V, Crain JL, Callahan AK</w:t>
        </w:r>
      </w:hyperlink>
      <w:r w:rsidR="008D0565" w:rsidRPr="00D61F73">
        <w:rPr>
          <w:rFonts w:ascii="Arial" w:hAnsi="Arial" w:cs="Arial"/>
        </w:rPr>
        <w:t xml:space="preserve">.Possible augmentation of warfarin effect by glucosamine-chondroitin. </w:t>
      </w:r>
      <w:r w:rsidR="008D0565" w:rsidRPr="00D61F73">
        <w:rPr>
          <w:rFonts w:ascii="Arial" w:hAnsi="Arial" w:cs="Arial"/>
          <w:i/>
          <w:iCs/>
        </w:rPr>
        <w:t>Am J Health Syst Pharm</w:t>
      </w:r>
      <w:r w:rsidR="008D0565" w:rsidRPr="00D61F73">
        <w:rPr>
          <w:rFonts w:ascii="Arial" w:hAnsi="Arial" w:cs="Arial"/>
        </w:rPr>
        <w:t>. 2004 Feb 1;61(3):306-7.</w:t>
      </w:r>
    </w:p>
    <w:p w14:paraId="123AE3F4" w14:textId="77777777" w:rsidR="008D0565" w:rsidRPr="00D61F73" w:rsidRDefault="008D0565" w:rsidP="00D61F73">
      <w:pPr>
        <w:rPr>
          <w:rFonts w:ascii="Arial" w:hAnsi="Arial" w:cs="Arial"/>
        </w:rPr>
      </w:pPr>
    </w:p>
    <w:p w14:paraId="7847B545" w14:textId="77777777" w:rsidR="008D0565" w:rsidRPr="00D61F73" w:rsidRDefault="00751163" w:rsidP="00D61F73">
      <w:pPr>
        <w:rPr>
          <w:rFonts w:ascii="Arial" w:hAnsi="Arial" w:cs="Arial"/>
        </w:rPr>
      </w:pPr>
      <w:hyperlink w:anchor="Ruane" w:history="1">
        <w:r w:rsidR="008D0565" w:rsidRPr="00D61F73">
          <w:rPr>
            <w:rStyle w:val="Hyperlink"/>
            <w:rFonts w:ascii="Arial" w:hAnsi="Arial" w:cs="Arial"/>
          </w:rPr>
          <w:t>Ruane R, Griffiths P,</w:t>
        </w:r>
      </w:hyperlink>
      <w:r w:rsidR="008D0565" w:rsidRPr="00D61F73">
        <w:rPr>
          <w:rFonts w:ascii="Arial" w:hAnsi="Arial" w:cs="Arial"/>
        </w:rPr>
        <w:t xml:space="preserve"> Glucosamine therapy compared to ibuprofen for joint pain, </w:t>
      </w:r>
      <w:r w:rsidR="008D0565" w:rsidRPr="00D61F73">
        <w:rPr>
          <w:rFonts w:ascii="Arial" w:hAnsi="Arial" w:cs="Arial"/>
          <w:i/>
          <w:iCs/>
        </w:rPr>
        <w:t>Br J Community Nurs</w:t>
      </w:r>
      <w:r w:rsidR="008D0565" w:rsidRPr="00D61F73">
        <w:rPr>
          <w:rFonts w:ascii="Arial" w:hAnsi="Arial" w:cs="Arial"/>
        </w:rPr>
        <w:t>. 2002 Mar;7(3):148-52.</w:t>
      </w:r>
      <w:r w:rsidR="008D0565" w:rsidRPr="00D61F73">
        <w:rPr>
          <w:rFonts w:ascii="Arial" w:hAnsi="Arial" w:cs="Arial"/>
        </w:rPr>
        <w:br/>
      </w:r>
    </w:p>
    <w:p w14:paraId="720209A8" w14:textId="77777777" w:rsidR="008D0565" w:rsidRPr="00D61F73" w:rsidRDefault="00751163" w:rsidP="00D61F73">
      <w:pPr>
        <w:rPr>
          <w:rFonts w:ascii="Arial" w:hAnsi="Arial" w:cs="Arial"/>
        </w:rPr>
      </w:pPr>
      <w:hyperlink w:anchor="Rubinstein2012" w:history="1">
        <w:r w:rsidR="008D0565" w:rsidRPr="00D61F73">
          <w:rPr>
            <w:rStyle w:val="Hyperlink"/>
            <w:rFonts w:ascii="Arial" w:hAnsi="Arial" w:cs="Arial"/>
          </w:rPr>
          <w:t>Rubinstein A, Watson J</w:t>
        </w:r>
      </w:hyperlink>
      <w:r w:rsidR="008D0565" w:rsidRPr="00D61F73">
        <w:rPr>
          <w:rFonts w:ascii="Arial" w:hAnsi="Arial" w:cs="Arial"/>
        </w:rPr>
        <w:t>. Hypogonadism Risk Higher With Long vs Short-Acting Opioids. American Academy of Pain Medicine (AAPM) 28th Annual Meeting: Abstract 229. Presented February 24, 2012.</w:t>
      </w:r>
    </w:p>
    <w:p w14:paraId="533959F5" w14:textId="77777777" w:rsidR="008D0565" w:rsidRPr="00D61F73" w:rsidRDefault="008D0565" w:rsidP="00D61F73">
      <w:pPr>
        <w:rPr>
          <w:rFonts w:ascii="Arial" w:hAnsi="Arial" w:cs="Arial"/>
        </w:rPr>
      </w:pPr>
    </w:p>
    <w:p w14:paraId="5A3CE372" w14:textId="77777777" w:rsidR="008D0565" w:rsidRPr="00D61F73" w:rsidRDefault="00751163" w:rsidP="00D61F73">
      <w:pPr>
        <w:rPr>
          <w:rFonts w:ascii="Arial" w:hAnsi="Arial" w:cs="Arial"/>
        </w:rPr>
      </w:pPr>
      <w:hyperlink w:anchor="Saarto" w:history="1">
        <w:r w:rsidR="008D0565" w:rsidRPr="00D61F73">
          <w:rPr>
            <w:rStyle w:val="Hyperlink"/>
            <w:rFonts w:ascii="Arial" w:hAnsi="Arial" w:cs="Arial"/>
          </w:rPr>
          <w:t>Saarto T, Wiffen PJ</w:t>
        </w:r>
      </w:hyperlink>
      <w:r w:rsidR="008D0565" w:rsidRPr="00D61F73">
        <w:rPr>
          <w:rFonts w:ascii="Arial" w:hAnsi="Arial" w:cs="Arial"/>
        </w:rPr>
        <w:t xml:space="preserve">. Antidepressants for neuropathic pain. </w:t>
      </w:r>
      <w:r w:rsidR="008D0565" w:rsidRPr="00D61F73">
        <w:rPr>
          <w:rFonts w:ascii="Arial" w:hAnsi="Arial" w:cs="Arial"/>
          <w:i/>
          <w:iCs/>
        </w:rPr>
        <w:t>Cochrane Database Syst Rev</w:t>
      </w:r>
      <w:r w:rsidR="008D0565" w:rsidRPr="00D61F73">
        <w:rPr>
          <w:rFonts w:ascii="Arial" w:hAnsi="Arial" w:cs="Arial"/>
        </w:rPr>
        <w:t>. 2005 Jul 20;(3):CD005454.</w:t>
      </w:r>
    </w:p>
    <w:p w14:paraId="6CEE6547" w14:textId="77777777" w:rsidR="008D0565" w:rsidRPr="00D61F73" w:rsidRDefault="008D0565" w:rsidP="00D61F73">
      <w:pPr>
        <w:rPr>
          <w:rFonts w:ascii="Arial" w:hAnsi="Arial" w:cs="Arial"/>
        </w:rPr>
      </w:pPr>
    </w:p>
    <w:p w14:paraId="10B03EF8" w14:textId="77777777" w:rsidR="008D0565" w:rsidRPr="00D61F73" w:rsidRDefault="00751163" w:rsidP="00D61F73">
      <w:pPr>
        <w:rPr>
          <w:rStyle w:val="ti"/>
          <w:rFonts w:ascii="Arial" w:hAnsi="Arial" w:cs="Arial"/>
        </w:rPr>
      </w:pPr>
      <w:hyperlink w:anchor="Saarto2" w:history="1">
        <w:r w:rsidR="008D0565" w:rsidRPr="00D61F73">
          <w:rPr>
            <w:rStyle w:val="Hyperlink"/>
            <w:rFonts w:ascii="Arial" w:hAnsi="Arial" w:cs="Arial"/>
          </w:rPr>
          <w:t>Saarto T, Wiffen P</w:t>
        </w:r>
      </w:hyperlink>
      <w:r w:rsidR="008D0565" w:rsidRPr="00D61F73">
        <w:rPr>
          <w:rFonts w:ascii="Arial" w:hAnsi="Arial" w:cs="Arial"/>
        </w:rPr>
        <w:t xml:space="preserve">. Antidepressants for neuropathic pain. </w:t>
      </w:r>
      <w:r w:rsidR="008D0565" w:rsidRPr="00D61F73">
        <w:rPr>
          <w:rStyle w:val="ti"/>
          <w:rFonts w:ascii="Arial" w:hAnsi="Arial" w:cs="Arial"/>
          <w:i/>
          <w:iCs/>
        </w:rPr>
        <w:t>Cochrane Database Syst Rev</w:t>
      </w:r>
      <w:r w:rsidR="008D0565" w:rsidRPr="00D61F73">
        <w:rPr>
          <w:rStyle w:val="ti"/>
          <w:rFonts w:ascii="Arial" w:hAnsi="Arial" w:cs="Arial"/>
        </w:rPr>
        <w:t>. 2007 Oct 17;(4):CD005454</w:t>
      </w:r>
    </w:p>
    <w:p w14:paraId="546C7268" w14:textId="77777777" w:rsidR="008D0565" w:rsidRPr="00D61F73" w:rsidRDefault="008D0565" w:rsidP="00D61F73">
      <w:pPr>
        <w:rPr>
          <w:rFonts w:ascii="Arial" w:hAnsi="Arial" w:cs="Arial"/>
        </w:rPr>
      </w:pPr>
    </w:p>
    <w:p w14:paraId="5F6DD01A" w14:textId="77777777" w:rsidR="008D0565" w:rsidRPr="00D61F73" w:rsidRDefault="00751163" w:rsidP="00D61F73">
      <w:pPr>
        <w:rPr>
          <w:rFonts w:ascii="Arial" w:hAnsi="Arial" w:cs="Arial"/>
        </w:rPr>
      </w:pPr>
      <w:hyperlink w:anchor="Sachs" w:history="1">
        <w:r w:rsidR="008D0565" w:rsidRPr="00D61F73">
          <w:rPr>
            <w:rStyle w:val="Hyperlink"/>
            <w:rFonts w:ascii="Arial" w:hAnsi="Arial" w:cs="Arial"/>
          </w:rPr>
          <w:t>Sachs CJ</w:t>
        </w:r>
      </w:hyperlink>
      <w:r w:rsidR="008D0565" w:rsidRPr="00D61F73">
        <w:rPr>
          <w:rFonts w:ascii="Arial" w:hAnsi="Arial" w:cs="Arial"/>
        </w:rPr>
        <w:t xml:space="preserve">. Oral analgesics for acute nonspecific pain. </w:t>
      </w:r>
      <w:r w:rsidR="008D0565" w:rsidRPr="00D61F73">
        <w:rPr>
          <w:rFonts w:ascii="Arial" w:hAnsi="Arial" w:cs="Arial"/>
          <w:i/>
        </w:rPr>
        <w:t>Am Fam Physician</w:t>
      </w:r>
      <w:r w:rsidR="008D0565" w:rsidRPr="00D61F73">
        <w:rPr>
          <w:rFonts w:ascii="Arial" w:hAnsi="Arial" w:cs="Arial"/>
        </w:rPr>
        <w:t>. 2005 Mar 1;71(5):913-8.</w:t>
      </w:r>
    </w:p>
    <w:p w14:paraId="12D56ADC" w14:textId="77777777" w:rsidR="008D0565" w:rsidRPr="00D61F73" w:rsidRDefault="008D0565" w:rsidP="00D61F73">
      <w:pPr>
        <w:rPr>
          <w:rFonts w:ascii="Arial" w:hAnsi="Arial" w:cs="Arial"/>
        </w:rPr>
      </w:pPr>
    </w:p>
    <w:p w14:paraId="2071459A" w14:textId="77777777" w:rsidR="008D0565" w:rsidRPr="00D61F73" w:rsidRDefault="00751163" w:rsidP="00D61F73">
      <w:pPr>
        <w:rPr>
          <w:rFonts w:ascii="Arial" w:hAnsi="Arial" w:cs="Arial"/>
        </w:rPr>
      </w:pPr>
      <w:hyperlink w:anchor="Sahin" w:history="1">
        <w:r w:rsidR="008D0565" w:rsidRPr="00D61F73">
          <w:rPr>
            <w:rStyle w:val="Hyperlink"/>
            <w:rFonts w:ascii="Arial" w:hAnsi="Arial" w:cs="Arial"/>
          </w:rPr>
          <w:t>Sahin F, Yilmaz F, Kotevoglu N, Kuran B</w:t>
        </w:r>
      </w:hyperlink>
      <w:r w:rsidR="008D0565" w:rsidRPr="00D61F73">
        <w:rPr>
          <w:rFonts w:ascii="Arial" w:hAnsi="Arial" w:cs="Arial"/>
        </w:rPr>
        <w:t>. Efficacy of salmon calcitonin in complex regional pain syndrome (type 1) in addition to physical therapy. Clin Rheumatol. 2005 Jun 25.</w:t>
      </w:r>
    </w:p>
    <w:p w14:paraId="3487E9F5" w14:textId="77777777" w:rsidR="008D0565" w:rsidRPr="00D61F73" w:rsidRDefault="008D0565" w:rsidP="00D61F73">
      <w:pPr>
        <w:rPr>
          <w:rFonts w:ascii="Arial" w:hAnsi="Arial" w:cs="Arial"/>
        </w:rPr>
      </w:pPr>
    </w:p>
    <w:p w14:paraId="5D271AA4" w14:textId="77777777" w:rsidR="008D0565" w:rsidRPr="00D61F73" w:rsidRDefault="00751163" w:rsidP="00D61F73">
      <w:pPr>
        <w:rPr>
          <w:rFonts w:ascii="Arial" w:hAnsi="Arial" w:cs="Arial"/>
        </w:rPr>
      </w:pPr>
      <w:hyperlink w:anchor="Salerno" w:history="1">
        <w:r w:rsidR="008D0565" w:rsidRPr="00D61F73">
          <w:rPr>
            <w:rStyle w:val="Hyperlink"/>
            <w:rFonts w:ascii="Arial" w:hAnsi="Arial" w:cs="Arial"/>
          </w:rPr>
          <w:t>Salerno SM, Browning R, Jackson JL,</w:t>
        </w:r>
      </w:hyperlink>
      <w:r w:rsidR="008D0565" w:rsidRPr="00D61F73">
        <w:rPr>
          <w:rFonts w:ascii="Arial" w:hAnsi="Arial" w:cs="Arial"/>
        </w:rPr>
        <w:t xml:space="preserve"> The effect of antidepressant treatment on chronic back pain: a meta-analysis, </w:t>
      </w:r>
      <w:r w:rsidR="008D0565" w:rsidRPr="00D61F73">
        <w:rPr>
          <w:rFonts w:ascii="Arial" w:hAnsi="Arial" w:cs="Arial"/>
          <w:i/>
          <w:iCs/>
        </w:rPr>
        <w:t>Arch Intern Med</w:t>
      </w:r>
      <w:r w:rsidR="008D0565" w:rsidRPr="00D61F73">
        <w:rPr>
          <w:rFonts w:ascii="Arial" w:hAnsi="Arial" w:cs="Arial"/>
        </w:rPr>
        <w:t>. 2002 Jan 14;162(1):19-24.</w:t>
      </w:r>
      <w:r w:rsidR="008D0565" w:rsidRPr="00D61F73">
        <w:rPr>
          <w:rFonts w:ascii="Arial" w:hAnsi="Arial" w:cs="Arial"/>
        </w:rPr>
        <w:br/>
      </w:r>
    </w:p>
    <w:p w14:paraId="40360016" w14:textId="77777777" w:rsidR="008D0565" w:rsidRPr="00D61F73" w:rsidRDefault="00751163" w:rsidP="00D61F73">
      <w:pPr>
        <w:rPr>
          <w:rFonts w:ascii="Arial" w:hAnsi="Arial" w:cs="Arial"/>
        </w:rPr>
      </w:pPr>
      <w:hyperlink w:anchor="Salinsky2010" w:history="1">
        <w:r w:rsidR="008D0565" w:rsidRPr="00D61F73">
          <w:rPr>
            <w:rStyle w:val="Hyperlink"/>
            <w:rFonts w:ascii="Arial" w:hAnsi="Arial" w:cs="Arial"/>
          </w:rPr>
          <w:t>Salinsky M, Storzbach D, Munoz S</w:t>
        </w:r>
      </w:hyperlink>
      <w:r w:rsidR="008D0565" w:rsidRPr="00D61F73">
        <w:rPr>
          <w:rFonts w:ascii="Arial" w:hAnsi="Arial" w:cs="Arial"/>
        </w:rPr>
        <w:t xml:space="preserve">. Cognitive effects of pregabalin in healthy volunteers: a double-blind, placebo-controlled trial. </w:t>
      </w:r>
      <w:r w:rsidR="008D0565" w:rsidRPr="00D61F73">
        <w:rPr>
          <w:rFonts w:ascii="Arial" w:hAnsi="Arial" w:cs="Arial"/>
          <w:i/>
          <w:iCs/>
        </w:rPr>
        <w:t>Neurology</w:t>
      </w:r>
      <w:r w:rsidR="008D0565" w:rsidRPr="00D61F73">
        <w:rPr>
          <w:rFonts w:ascii="Arial" w:hAnsi="Arial" w:cs="Arial"/>
        </w:rPr>
        <w:t>. 2010 Mar 2;74(9):755-61.</w:t>
      </w:r>
    </w:p>
    <w:p w14:paraId="72AE2527" w14:textId="77777777" w:rsidR="008D0565" w:rsidRPr="00D61F73" w:rsidRDefault="008D0565" w:rsidP="00D61F73">
      <w:pPr>
        <w:rPr>
          <w:rFonts w:ascii="Arial" w:hAnsi="Arial" w:cs="Arial"/>
        </w:rPr>
      </w:pPr>
    </w:p>
    <w:p w14:paraId="1DD44F38" w14:textId="77777777" w:rsidR="00CE243E" w:rsidRPr="00D61F73" w:rsidRDefault="00751163" w:rsidP="00D61F73">
      <w:pPr>
        <w:rPr>
          <w:rFonts w:ascii="Arial" w:hAnsi="Arial" w:cs="Arial"/>
          <w:bCs/>
        </w:rPr>
      </w:pPr>
      <w:hyperlink w:anchor="SAMHSA" w:history="1">
        <w:r w:rsidR="00CE243E" w:rsidRPr="00D61F73">
          <w:rPr>
            <w:rStyle w:val="Hyperlink"/>
            <w:rFonts w:ascii="Arial" w:hAnsi="Arial" w:cs="Arial"/>
            <w:bCs/>
          </w:rPr>
          <w:t>SAMHSA</w:t>
        </w:r>
      </w:hyperlink>
      <w:r w:rsidR="00CE243E" w:rsidRPr="00D61F73">
        <w:rPr>
          <w:rFonts w:ascii="Arial" w:hAnsi="Arial" w:cs="Arial"/>
          <w:bCs/>
        </w:rPr>
        <w:t xml:space="preserve"> (Substance Abuse and Mental Health Services Administration). Center for Behavioral Health Statistics and Quality. (October 27, 2011). The DAWN Report: ED Visits Involving the Muscle Relaxant Carisoprodol. Rockville, MD.</w:t>
      </w:r>
    </w:p>
    <w:p w14:paraId="74EFC92B" w14:textId="77777777" w:rsidR="00CE243E" w:rsidRPr="00D61F73" w:rsidRDefault="00CE243E" w:rsidP="00D61F73">
      <w:pPr>
        <w:rPr>
          <w:rFonts w:ascii="Arial" w:hAnsi="Arial" w:cs="Arial"/>
          <w:b/>
          <w:bCs/>
        </w:rPr>
      </w:pPr>
    </w:p>
    <w:p w14:paraId="2E056ECF" w14:textId="77777777" w:rsidR="00EF3DC3" w:rsidRPr="00D61F73" w:rsidRDefault="00751163" w:rsidP="00D61F73">
      <w:pPr>
        <w:rPr>
          <w:rFonts w:ascii="Arial" w:hAnsi="Arial" w:cs="Arial"/>
          <w:bCs/>
        </w:rPr>
      </w:pPr>
      <w:hyperlink w:anchor="SAMHSA2014" w:history="1">
        <w:r w:rsidR="00EF3DC3" w:rsidRPr="00D61F73">
          <w:rPr>
            <w:rStyle w:val="Hyperlink"/>
            <w:rFonts w:ascii="Arial" w:hAnsi="Arial" w:cs="Arial"/>
            <w:bCs/>
          </w:rPr>
          <w:t>Substance Abuse and Mental Health Services Administration.</w:t>
        </w:r>
      </w:hyperlink>
      <w:r w:rsidR="00EF3DC3" w:rsidRPr="00D61F73">
        <w:rPr>
          <w:rFonts w:ascii="Arial" w:hAnsi="Arial" w:cs="Arial"/>
          <w:bCs/>
        </w:rPr>
        <w:t xml:space="preserve"> SAMHSA Opioid   </w:t>
      </w:r>
    </w:p>
    <w:p w14:paraId="2178BC2A" w14:textId="77777777" w:rsidR="00EF3DC3" w:rsidRPr="00D61F73" w:rsidRDefault="00EF3DC3" w:rsidP="00D61F73">
      <w:pPr>
        <w:rPr>
          <w:rFonts w:ascii="Arial" w:hAnsi="Arial" w:cs="Arial"/>
          <w:bCs/>
        </w:rPr>
      </w:pPr>
      <w:r w:rsidRPr="00D61F73">
        <w:rPr>
          <w:rFonts w:ascii="Arial" w:hAnsi="Arial" w:cs="Arial"/>
          <w:bCs/>
        </w:rPr>
        <w:t>Overdose Prevention Toolkit. HHS Publication No. (SMA) 1 -4742. Rockville,</w:t>
      </w:r>
    </w:p>
    <w:p w14:paraId="2FD75D3E" w14:textId="77777777" w:rsidR="00EF3DC3" w:rsidRPr="00D61F73" w:rsidRDefault="00EF3DC3" w:rsidP="00D61F73">
      <w:pPr>
        <w:rPr>
          <w:rFonts w:ascii="Arial" w:hAnsi="Arial" w:cs="Arial"/>
          <w:bCs/>
        </w:rPr>
      </w:pPr>
      <w:r w:rsidRPr="00D61F73">
        <w:rPr>
          <w:rFonts w:ascii="Arial" w:hAnsi="Arial" w:cs="Arial"/>
          <w:bCs/>
        </w:rPr>
        <w:t>MD: Substance Abuse and Mental Health Services Administration, 201 .</w:t>
      </w:r>
    </w:p>
    <w:p w14:paraId="7420E006" w14:textId="77777777" w:rsidR="00EF3DC3" w:rsidRPr="00D61F73" w:rsidRDefault="00EF3DC3" w:rsidP="00D61F73">
      <w:pPr>
        <w:rPr>
          <w:rFonts w:ascii="Arial" w:hAnsi="Arial" w:cs="Arial"/>
          <w:b/>
          <w:bCs/>
        </w:rPr>
      </w:pPr>
    </w:p>
    <w:p w14:paraId="2C3F317B" w14:textId="77777777" w:rsidR="008D0565" w:rsidRPr="00D61F73" w:rsidRDefault="00751163" w:rsidP="00D61F73">
      <w:pPr>
        <w:rPr>
          <w:rFonts w:ascii="Arial" w:hAnsi="Arial" w:cs="Arial"/>
        </w:rPr>
      </w:pPr>
      <w:hyperlink w:anchor="Schears" w:history="1">
        <w:r w:rsidR="008D0565" w:rsidRPr="00D61F73">
          <w:rPr>
            <w:rStyle w:val="Hyperlink"/>
            <w:rFonts w:ascii="Arial" w:hAnsi="Arial" w:cs="Arial"/>
          </w:rPr>
          <w:t>Schears RM</w:t>
        </w:r>
      </w:hyperlink>
      <w:r w:rsidR="008D0565" w:rsidRPr="00D61F73">
        <w:rPr>
          <w:rFonts w:ascii="Arial" w:hAnsi="Arial" w:cs="Arial"/>
        </w:rPr>
        <w:t>. Nonbenzodiazepine hypnosedatives. In: Emergency Medicine: A Comprehensive Study Guide, 6th ed. McGraw-Hill 2004.</w:t>
      </w:r>
    </w:p>
    <w:p w14:paraId="0F59F35C" w14:textId="77777777" w:rsidR="008D0565" w:rsidRPr="00D61F73" w:rsidRDefault="008D0565" w:rsidP="00D61F73">
      <w:pPr>
        <w:rPr>
          <w:rFonts w:ascii="Arial" w:hAnsi="Arial" w:cs="Arial"/>
        </w:rPr>
      </w:pPr>
    </w:p>
    <w:p w14:paraId="08D9C254" w14:textId="77777777" w:rsidR="008D0565" w:rsidRPr="00D61F73" w:rsidRDefault="00751163" w:rsidP="00D61F73">
      <w:pPr>
        <w:rPr>
          <w:rFonts w:ascii="Arial" w:hAnsi="Arial" w:cs="Arial"/>
        </w:rPr>
      </w:pPr>
      <w:hyperlink w:anchor="Schjerning2011" w:history="1">
        <w:r w:rsidR="008D0565" w:rsidRPr="00D61F73">
          <w:rPr>
            <w:rStyle w:val="Hyperlink"/>
            <w:rFonts w:ascii="Arial" w:hAnsi="Arial" w:cs="Arial"/>
          </w:rPr>
          <w:t>Schjerning Olsen AM, Fosbøl EL, Lindhardsen J, Folke F, Charlot M, Selmer C, Lamberts M, Bjerring Olesen J, Køber L, Hansen PR, Torp-Pedersen C, Gislason GH</w:t>
        </w:r>
      </w:hyperlink>
      <w:r w:rsidR="008D0565" w:rsidRPr="00D61F73">
        <w:rPr>
          <w:rFonts w:ascii="Arial" w:hAnsi="Arial" w:cs="Arial"/>
        </w:rPr>
        <w:t xml:space="preserve">. Duration of Treatment With Nonsteroidal Anti-Inflammatory Drugs and Impact on Risk of Death and Recurrent Myocardial Infarction in Patients With Prior Myocardial Infarction: A Nationwide Cohort Study. </w:t>
      </w:r>
      <w:r w:rsidR="008D0565" w:rsidRPr="00D61F73">
        <w:rPr>
          <w:rFonts w:ascii="Arial" w:hAnsi="Arial" w:cs="Arial"/>
          <w:i/>
          <w:iCs/>
        </w:rPr>
        <w:t>Circulation</w:t>
      </w:r>
      <w:r w:rsidR="008D0565" w:rsidRPr="00D61F73">
        <w:rPr>
          <w:rFonts w:ascii="Arial" w:hAnsi="Arial" w:cs="Arial"/>
        </w:rPr>
        <w:t>. 2011 May 9. [Epub ahead of print]</w:t>
      </w:r>
    </w:p>
    <w:p w14:paraId="2500C2F2" w14:textId="77777777" w:rsidR="008D0565" w:rsidRPr="00D61F73" w:rsidRDefault="008D0565" w:rsidP="00D61F73">
      <w:pPr>
        <w:rPr>
          <w:rFonts w:ascii="Arial" w:hAnsi="Arial" w:cs="Arial"/>
        </w:rPr>
      </w:pPr>
    </w:p>
    <w:p w14:paraId="29437AC2" w14:textId="77777777" w:rsidR="008D0565" w:rsidRPr="00D61F73" w:rsidRDefault="00751163" w:rsidP="00D61F73">
      <w:pPr>
        <w:rPr>
          <w:rFonts w:ascii="Arial" w:hAnsi="Arial" w:cs="Arial"/>
        </w:rPr>
      </w:pPr>
      <w:hyperlink w:anchor="Schmitt" w:history="1">
        <w:r w:rsidR="008D0565" w:rsidRPr="00D61F73">
          <w:rPr>
            <w:rStyle w:val="Hyperlink"/>
            <w:rFonts w:ascii="Arial" w:hAnsi="Arial" w:cs="Arial"/>
          </w:rPr>
          <w:t>Schmitt R, Gazalle FK, Lima MS, Cunha A, Souza J, Kapczinski F</w:t>
        </w:r>
      </w:hyperlink>
      <w:r w:rsidR="008D0565" w:rsidRPr="00D61F73">
        <w:rPr>
          <w:rFonts w:ascii="Arial" w:hAnsi="Arial" w:cs="Arial"/>
        </w:rPr>
        <w:t xml:space="preserve">. The efficacy of antidepressants for generalized anxiety disorder: a systematic review and meta-analysis. </w:t>
      </w:r>
      <w:r w:rsidR="008D0565" w:rsidRPr="00D61F73">
        <w:rPr>
          <w:rFonts w:ascii="Arial" w:hAnsi="Arial" w:cs="Arial"/>
          <w:i/>
        </w:rPr>
        <w:t>Rev Bras Psiquiatr</w:t>
      </w:r>
      <w:r w:rsidR="008D0565" w:rsidRPr="00D61F73">
        <w:rPr>
          <w:rFonts w:ascii="Arial" w:hAnsi="Arial" w:cs="Arial"/>
        </w:rPr>
        <w:t>. 2005;27:18-24.</w:t>
      </w:r>
    </w:p>
    <w:p w14:paraId="1CC92AD6" w14:textId="77777777" w:rsidR="008D0565" w:rsidRPr="00D61F73" w:rsidRDefault="008D0565" w:rsidP="00D61F73">
      <w:pPr>
        <w:shd w:val="clear" w:color="auto" w:fill="FFFFFF"/>
        <w:rPr>
          <w:rFonts w:ascii="Arial" w:hAnsi="Arial" w:cs="Arial"/>
        </w:rPr>
      </w:pPr>
    </w:p>
    <w:p w14:paraId="6C7D1CB8" w14:textId="77777777" w:rsidR="008D0565" w:rsidRPr="00D61F73" w:rsidRDefault="00751163" w:rsidP="00D61F73">
      <w:pPr>
        <w:shd w:val="clear" w:color="auto" w:fill="FFFFFF"/>
        <w:rPr>
          <w:rFonts w:ascii="Arial" w:hAnsi="Arial" w:cs="Arial"/>
        </w:rPr>
      </w:pPr>
      <w:hyperlink w:anchor="Schneier" w:history="1">
        <w:r w:rsidR="008D0565" w:rsidRPr="00D61F73">
          <w:rPr>
            <w:rStyle w:val="Hyperlink"/>
            <w:rFonts w:ascii="Arial" w:hAnsi="Arial" w:cs="Arial"/>
          </w:rPr>
          <w:t>Schneier FR</w:t>
        </w:r>
      </w:hyperlink>
      <w:r w:rsidR="008D0565" w:rsidRPr="00D61F73">
        <w:rPr>
          <w:rFonts w:ascii="Arial" w:hAnsi="Arial" w:cs="Arial"/>
        </w:rPr>
        <w:t xml:space="preserve">. Clinical practice. Social anxiety disorder. </w:t>
      </w:r>
      <w:r w:rsidR="008D0565" w:rsidRPr="00D61F73">
        <w:rPr>
          <w:rFonts w:ascii="Arial" w:hAnsi="Arial" w:cs="Arial"/>
          <w:i/>
        </w:rPr>
        <w:t>N Engl J Med</w:t>
      </w:r>
      <w:r w:rsidR="008D0565" w:rsidRPr="00D61F73">
        <w:rPr>
          <w:rFonts w:ascii="Arial" w:hAnsi="Arial" w:cs="Arial"/>
        </w:rPr>
        <w:t>. 2006;355:1029-36.</w:t>
      </w:r>
    </w:p>
    <w:p w14:paraId="16C3BBE7" w14:textId="77777777" w:rsidR="008D0565" w:rsidRPr="00D61F73" w:rsidRDefault="008D0565" w:rsidP="00D61F73">
      <w:pPr>
        <w:rPr>
          <w:rFonts w:ascii="Arial" w:hAnsi="Arial" w:cs="Arial"/>
        </w:rPr>
      </w:pPr>
    </w:p>
    <w:p w14:paraId="6E0C4689" w14:textId="77777777" w:rsidR="008D0565" w:rsidRPr="00D61F73" w:rsidRDefault="00751163" w:rsidP="00D61F73">
      <w:pPr>
        <w:rPr>
          <w:rFonts w:ascii="Arial" w:hAnsi="Arial" w:cs="Arial"/>
        </w:rPr>
      </w:pPr>
      <w:hyperlink w:anchor="Scholmerich" w:history="1">
        <w:r w:rsidR="008D0565" w:rsidRPr="00D61F73">
          <w:rPr>
            <w:rStyle w:val="Hyperlink"/>
            <w:rFonts w:ascii="Arial" w:hAnsi="Arial" w:cs="Arial"/>
          </w:rPr>
          <w:t>Scholmerich J</w:t>
        </w:r>
      </w:hyperlink>
      <w:r w:rsidR="008D0565" w:rsidRPr="00D61F73">
        <w:rPr>
          <w:rFonts w:ascii="Arial" w:hAnsi="Arial" w:cs="Arial"/>
        </w:rPr>
        <w:t xml:space="preserve">. Nonsteroidal anti-inflammatory drugs versus selective COX-2 inhibitors in the upper gastrointestinal tract. </w:t>
      </w:r>
      <w:r w:rsidR="008D0565" w:rsidRPr="00D61F73">
        <w:rPr>
          <w:rFonts w:ascii="Arial" w:hAnsi="Arial" w:cs="Arial"/>
          <w:i/>
        </w:rPr>
        <w:t>J Cardiovasc Pharmacol</w:t>
      </w:r>
      <w:r w:rsidR="008D0565" w:rsidRPr="00D61F73">
        <w:rPr>
          <w:rFonts w:ascii="Arial" w:hAnsi="Arial" w:cs="Arial"/>
        </w:rPr>
        <w:t>. 2006;47 Suppl 1:S67-71.</w:t>
      </w:r>
    </w:p>
    <w:p w14:paraId="67FAE9C2" w14:textId="77777777" w:rsidR="008D0565" w:rsidRPr="00D61F73" w:rsidRDefault="008D0565" w:rsidP="00D61F73">
      <w:pPr>
        <w:rPr>
          <w:rFonts w:ascii="Arial" w:hAnsi="Arial" w:cs="Arial"/>
        </w:rPr>
      </w:pPr>
    </w:p>
    <w:p w14:paraId="1FE69836" w14:textId="77777777" w:rsidR="008D0565" w:rsidRPr="00D61F73" w:rsidRDefault="00751163" w:rsidP="00D61F73">
      <w:pPr>
        <w:rPr>
          <w:rFonts w:ascii="Arial" w:hAnsi="Arial" w:cs="Arial"/>
        </w:rPr>
      </w:pPr>
      <w:hyperlink w:anchor="Schwartzman2009" w:history="1">
        <w:r w:rsidR="008D0565" w:rsidRPr="00D61F73">
          <w:rPr>
            <w:rStyle w:val="Hyperlink"/>
            <w:rFonts w:ascii="Arial" w:hAnsi="Arial" w:cs="Arial"/>
          </w:rPr>
          <w:t>Schwartzman RJ, Alexander GM, Grothusen JR, Paylor T, Reichenberger E, Perreault M</w:t>
        </w:r>
      </w:hyperlink>
      <w:r w:rsidR="008D0565" w:rsidRPr="00D61F73">
        <w:rPr>
          <w:rFonts w:ascii="Arial" w:hAnsi="Arial" w:cs="Arial"/>
        </w:rPr>
        <w:t xml:space="preserve">. Outpatient intravenous ketamine for the treatment of complex regional pain syndrome: a double-blind placebo controlled study. </w:t>
      </w:r>
      <w:r w:rsidR="008D0565" w:rsidRPr="00D61F73">
        <w:rPr>
          <w:rFonts w:ascii="Arial" w:hAnsi="Arial" w:cs="Arial"/>
          <w:i/>
          <w:iCs/>
        </w:rPr>
        <w:t>Pain</w:t>
      </w:r>
      <w:r w:rsidR="008D0565" w:rsidRPr="00D61F73">
        <w:rPr>
          <w:rFonts w:ascii="Arial" w:hAnsi="Arial" w:cs="Arial"/>
        </w:rPr>
        <w:t>. 2009 Dec 15;147(1-3):107-15.</w:t>
      </w:r>
    </w:p>
    <w:p w14:paraId="6C6A1632" w14:textId="77777777" w:rsidR="008D0565" w:rsidRPr="00D61F73" w:rsidRDefault="008D0565" w:rsidP="00D61F73">
      <w:pPr>
        <w:rPr>
          <w:rFonts w:ascii="Arial" w:hAnsi="Arial" w:cs="Arial"/>
        </w:rPr>
      </w:pPr>
    </w:p>
    <w:p w14:paraId="3CE2806A" w14:textId="77777777" w:rsidR="008D0565" w:rsidRPr="00D61F73" w:rsidRDefault="00751163" w:rsidP="00D61F73">
      <w:pPr>
        <w:rPr>
          <w:rFonts w:ascii="Arial" w:hAnsi="Arial" w:cs="Arial"/>
        </w:rPr>
      </w:pPr>
      <w:hyperlink w:anchor="See" w:history="1">
        <w:r w:rsidR="008D0565" w:rsidRPr="00D61F73">
          <w:rPr>
            <w:rStyle w:val="Hyperlink"/>
            <w:rFonts w:ascii="Arial" w:hAnsi="Arial" w:cs="Arial"/>
          </w:rPr>
          <w:t>See S, Ginzburg R</w:t>
        </w:r>
      </w:hyperlink>
      <w:r w:rsidR="008D0565" w:rsidRPr="00D61F73">
        <w:rPr>
          <w:rFonts w:ascii="Arial" w:hAnsi="Arial" w:cs="Arial"/>
        </w:rPr>
        <w:t xml:space="preserve">. Skeletal muscle relaxants. </w:t>
      </w:r>
      <w:r w:rsidR="008D0565" w:rsidRPr="00D61F73">
        <w:rPr>
          <w:rFonts w:ascii="Arial" w:hAnsi="Arial" w:cs="Arial"/>
          <w:i/>
        </w:rPr>
        <w:t>Pharmacotherapy</w:t>
      </w:r>
      <w:r w:rsidR="008D0565" w:rsidRPr="00D61F73">
        <w:rPr>
          <w:rFonts w:ascii="Arial" w:hAnsi="Arial" w:cs="Arial"/>
        </w:rPr>
        <w:t>. 2008;28:207-13.</w:t>
      </w:r>
    </w:p>
    <w:p w14:paraId="58652CE9" w14:textId="77777777" w:rsidR="008D0565" w:rsidRPr="00D61F73" w:rsidRDefault="008D0565" w:rsidP="00D61F73">
      <w:pPr>
        <w:rPr>
          <w:rFonts w:ascii="Arial" w:hAnsi="Arial" w:cs="Arial"/>
        </w:rPr>
      </w:pPr>
    </w:p>
    <w:p w14:paraId="3C78CEA5" w14:textId="77777777" w:rsidR="008D0565" w:rsidRPr="00D61F73" w:rsidRDefault="00751163" w:rsidP="00D61F73">
      <w:pPr>
        <w:pStyle w:val="pmid"/>
        <w:spacing w:before="0" w:beforeAutospacing="0" w:after="0" w:afterAutospacing="0"/>
        <w:rPr>
          <w:rFonts w:ascii="Arial" w:hAnsi="Arial" w:cs="Arial"/>
        </w:rPr>
      </w:pPr>
      <w:hyperlink w:anchor="See2" w:history="1">
        <w:r w:rsidR="008D0565" w:rsidRPr="00D61F73">
          <w:rPr>
            <w:rStyle w:val="Hyperlink"/>
            <w:rFonts w:ascii="Arial" w:hAnsi="Arial" w:cs="Arial"/>
          </w:rPr>
          <w:t>See S, Ginzburg R</w:t>
        </w:r>
      </w:hyperlink>
      <w:r w:rsidR="008D0565" w:rsidRPr="00D61F73">
        <w:rPr>
          <w:rFonts w:ascii="Arial" w:hAnsi="Arial" w:cs="Arial"/>
        </w:rPr>
        <w:t xml:space="preserve">. Use of Muscle Relaxants for Musculoskeletal Conditions Reviewed. </w:t>
      </w:r>
      <w:r w:rsidR="008D0565" w:rsidRPr="00D61F73">
        <w:rPr>
          <w:rFonts w:ascii="Arial" w:hAnsi="Arial" w:cs="Arial"/>
          <w:i/>
          <w:iCs/>
        </w:rPr>
        <w:t>Am Fam Physician</w:t>
      </w:r>
      <w:r w:rsidR="008D0565" w:rsidRPr="00D61F73">
        <w:rPr>
          <w:rFonts w:ascii="Arial" w:hAnsi="Arial" w:cs="Arial"/>
        </w:rPr>
        <w:t>. August 1, 2008; 78:365-370.</w:t>
      </w:r>
    </w:p>
    <w:p w14:paraId="019C6E48" w14:textId="77777777" w:rsidR="008D0565" w:rsidRPr="00D61F73" w:rsidRDefault="008D0565" w:rsidP="00D61F73">
      <w:pPr>
        <w:rPr>
          <w:rFonts w:ascii="Arial" w:hAnsi="Arial" w:cs="Arial"/>
        </w:rPr>
      </w:pPr>
    </w:p>
    <w:p w14:paraId="693F6791" w14:textId="77777777" w:rsidR="008D0565" w:rsidRPr="00D61F73" w:rsidRDefault="00751163" w:rsidP="00D61F73">
      <w:pPr>
        <w:pStyle w:val="pmid"/>
        <w:spacing w:before="0" w:beforeAutospacing="0" w:after="0" w:afterAutospacing="0"/>
        <w:rPr>
          <w:rFonts w:ascii="Arial" w:hAnsi="Arial" w:cs="Arial"/>
        </w:rPr>
      </w:pPr>
      <w:hyperlink w:anchor="Sengupta" w:history="1">
        <w:r w:rsidR="008D0565" w:rsidRPr="00D61F73">
          <w:rPr>
            <w:rStyle w:val="Hyperlink"/>
            <w:rFonts w:ascii="Arial" w:hAnsi="Arial" w:cs="Arial"/>
          </w:rPr>
          <w:t>Sengupta K, Alluri KV, Satish AR, Mishra S, Golakoti T, Sarma KV, Dey D, Raychaudhuri SP</w:t>
        </w:r>
      </w:hyperlink>
      <w:r w:rsidR="008D0565" w:rsidRPr="00D61F73">
        <w:rPr>
          <w:rFonts w:ascii="Arial" w:hAnsi="Arial" w:cs="Arial"/>
        </w:rPr>
        <w:t xml:space="preserve">. A double blind, randomized, placebo controlled study of the efficacy and safety of 5-Loxin(R) for treatment of osteoarthritis of the knee. </w:t>
      </w:r>
      <w:r w:rsidR="008D0565" w:rsidRPr="00D61F73">
        <w:rPr>
          <w:rFonts w:ascii="Arial" w:hAnsi="Arial" w:cs="Arial"/>
          <w:i/>
          <w:iCs/>
        </w:rPr>
        <w:t>Arthritis Res Ther</w:t>
      </w:r>
      <w:r w:rsidR="008D0565" w:rsidRPr="00D61F73">
        <w:rPr>
          <w:rFonts w:ascii="Arial" w:hAnsi="Arial" w:cs="Arial"/>
        </w:rPr>
        <w:t>. 2008 Jul 30;10(4):R85. [Epub ahead of print]</w:t>
      </w:r>
    </w:p>
    <w:p w14:paraId="40751459" w14:textId="77777777" w:rsidR="008D0565" w:rsidRPr="00D61F73" w:rsidRDefault="008D0565" w:rsidP="00D61F73">
      <w:pPr>
        <w:rPr>
          <w:rFonts w:ascii="Arial" w:hAnsi="Arial" w:cs="Arial"/>
        </w:rPr>
      </w:pPr>
    </w:p>
    <w:p w14:paraId="669A6422" w14:textId="77777777" w:rsidR="008D0565" w:rsidRPr="00D61F73" w:rsidRDefault="00751163" w:rsidP="00D61F73">
      <w:pPr>
        <w:rPr>
          <w:rFonts w:ascii="Arial" w:hAnsi="Arial" w:cs="Arial"/>
        </w:rPr>
      </w:pPr>
      <w:hyperlink w:anchor="Serpell" w:history="1">
        <w:r w:rsidR="008D0565" w:rsidRPr="00D61F73">
          <w:rPr>
            <w:rStyle w:val="Hyperlink"/>
            <w:rFonts w:ascii="Arial" w:hAnsi="Arial" w:cs="Arial"/>
          </w:rPr>
          <w:t>Serpell MG;</w:t>
        </w:r>
      </w:hyperlink>
      <w:r w:rsidR="008D0565" w:rsidRPr="00D61F73">
        <w:rPr>
          <w:rFonts w:ascii="Arial" w:hAnsi="Arial" w:cs="Arial"/>
        </w:rPr>
        <w:t xml:space="preserve"> Neuropathic pain study group. Gabapentin in neuropathic pain syndromes: a randomised, double-blind, placebo-controlled trial. </w:t>
      </w:r>
      <w:r w:rsidR="008D0565" w:rsidRPr="00D61F73">
        <w:rPr>
          <w:rFonts w:ascii="Arial" w:hAnsi="Arial" w:cs="Arial"/>
          <w:i/>
        </w:rPr>
        <w:t>Pain</w:t>
      </w:r>
      <w:r w:rsidR="008D0565" w:rsidRPr="00D61F73">
        <w:rPr>
          <w:rFonts w:ascii="Arial" w:hAnsi="Arial" w:cs="Arial"/>
        </w:rPr>
        <w:t>. 2002;99:557-66.</w:t>
      </w:r>
    </w:p>
    <w:p w14:paraId="4C006955" w14:textId="77777777" w:rsidR="008D0565" w:rsidRPr="00D61F73" w:rsidRDefault="008D0565" w:rsidP="00D61F73">
      <w:pPr>
        <w:rPr>
          <w:rFonts w:ascii="Arial" w:hAnsi="Arial" w:cs="Arial"/>
        </w:rPr>
      </w:pPr>
    </w:p>
    <w:p w14:paraId="46D5BAD2" w14:textId="77777777" w:rsidR="008D0565" w:rsidRPr="00D61F73" w:rsidRDefault="00751163" w:rsidP="00D61F73">
      <w:pPr>
        <w:rPr>
          <w:rFonts w:ascii="Arial" w:hAnsi="Arial" w:cs="Arial"/>
        </w:rPr>
      </w:pPr>
      <w:hyperlink w:anchor="Shariatmadari" w:history="1">
        <w:r w:rsidR="008D0565" w:rsidRPr="00D61F73">
          <w:rPr>
            <w:rStyle w:val="Hyperlink"/>
            <w:rFonts w:ascii="Arial" w:hAnsi="Arial" w:cs="Arial"/>
          </w:rPr>
          <w:t>Shariatmadari ME.</w:t>
        </w:r>
      </w:hyperlink>
      <w:r w:rsidR="008D0565" w:rsidRPr="00D61F73">
        <w:rPr>
          <w:rFonts w:ascii="Arial" w:hAnsi="Arial" w:cs="Arial"/>
        </w:rPr>
        <w:t xml:space="preserve"> Letter: Orphenadrine dependence. </w:t>
      </w:r>
      <w:r w:rsidR="008D0565" w:rsidRPr="00D61F73">
        <w:rPr>
          <w:rFonts w:ascii="Arial" w:hAnsi="Arial" w:cs="Arial"/>
          <w:i/>
        </w:rPr>
        <w:t>Br Med J</w:t>
      </w:r>
      <w:r w:rsidR="008D0565" w:rsidRPr="00D61F73">
        <w:rPr>
          <w:rFonts w:ascii="Arial" w:hAnsi="Arial" w:cs="Arial"/>
        </w:rPr>
        <w:t>. 1975;3:486.</w:t>
      </w:r>
    </w:p>
    <w:p w14:paraId="106CD512" w14:textId="77777777" w:rsidR="008D0565" w:rsidRPr="00D61F73" w:rsidRDefault="008D0565" w:rsidP="00D61F73">
      <w:pPr>
        <w:rPr>
          <w:rFonts w:ascii="Arial" w:hAnsi="Arial" w:cs="Arial"/>
        </w:rPr>
      </w:pPr>
    </w:p>
    <w:p w14:paraId="3A36D1A8" w14:textId="77777777" w:rsidR="008D0565" w:rsidRPr="00D61F73" w:rsidRDefault="00751163" w:rsidP="00D61F73">
      <w:pPr>
        <w:rPr>
          <w:rFonts w:ascii="Arial" w:eastAsia="Arial Unicode MS" w:hAnsi="Arial" w:cs="Arial"/>
          <w:lang w:val="en"/>
        </w:rPr>
      </w:pPr>
      <w:hyperlink w:anchor="Sharma" w:history="1">
        <w:r w:rsidR="008D0565" w:rsidRPr="00D61F73">
          <w:rPr>
            <w:rStyle w:val="Hyperlink"/>
            <w:rFonts w:ascii="Arial" w:eastAsia="Arial Unicode MS" w:hAnsi="Arial" w:cs="Arial"/>
            <w:lang w:val="en"/>
          </w:rPr>
          <w:t>Sharma A, Williams K, Raja SN</w:t>
        </w:r>
      </w:hyperlink>
      <w:r w:rsidR="008D0565" w:rsidRPr="00D61F73">
        <w:rPr>
          <w:rFonts w:ascii="Arial" w:eastAsia="Arial Unicode MS" w:hAnsi="Arial" w:cs="Arial"/>
          <w:lang w:val="en"/>
        </w:rPr>
        <w:t xml:space="preserve">. Advances in treatment of complex regional pain syndrome: recent insights on a perplexing disease. </w:t>
      </w:r>
      <w:r w:rsidR="008D0565" w:rsidRPr="00D61F73">
        <w:rPr>
          <w:rFonts w:ascii="Arial" w:eastAsia="Arial Unicode MS" w:hAnsi="Arial" w:cs="Arial"/>
          <w:i/>
          <w:lang w:val="en"/>
        </w:rPr>
        <w:t>Curr Opin Anaesthesiol</w:t>
      </w:r>
      <w:r w:rsidR="008D0565" w:rsidRPr="00D61F73">
        <w:rPr>
          <w:rFonts w:ascii="Arial" w:eastAsia="Arial Unicode MS" w:hAnsi="Arial" w:cs="Arial"/>
          <w:lang w:val="en"/>
        </w:rPr>
        <w:t>. 2006;19:566-72.</w:t>
      </w:r>
    </w:p>
    <w:p w14:paraId="6415E3C2" w14:textId="77777777" w:rsidR="008D0565" w:rsidRPr="00D61F73" w:rsidRDefault="008D0565" w:rsidP="00D61F73">
      <w:pPr>
        <w:rPr>
          <w:rFonts w:ascii="Arial" w:hAnsi="Arial" w:cs="Arial"/>
        </w:rPr>
      </w:pPr>
    </w:p>
    <w:p w14:paraId="36CF7F7D" w14:textId="77777777" w:rsidR="008D0565" w:rsidRPr="00D61F73" w:rsidRDefault="00751163" w:rsidP="00D61F73">
      <w:pPr>
        <w:rPr>
          <w:rFonts w:ascii="Arial" w:hAnsi="Arial" w:cs="Arial"/>
        </w:rPr>
      </w:pPr>
      <w:hyperlink w:anchor="Shell" w:history="1">
        <w:r w:rsidR="008D0565" w:rsidRPr="00D61F73">
          <w:rPr>
            <w:rStyle w:val="Hyperlink"/>
            <w:rFonts w:ascii="Arial" w:hAnsi="Arial" w:cs="Arial"/>
          </w:rPr>
          <w:t>Shell W, Bullias D, Charuvastra E, May LA, Silver DS</w:t>
        </w:r>
      </w:hyperlink>
      <w:r w:rsidR="008D0565" w:rsidRPr="00D61F73">
        <w:rPr>
          <w:rFonts w:ascii="Arial" w:hAnsi="Arial" w:cs="Arial"/>
        </w:rPr>
        <w:t xml:space="preserve">. A Randomized, Placebo-Controlled Trial of an Amino Acid Preparation on Timing and Quality of Sleep. </w:t>
      </w:r>
      <w:r w:rsidR="008D0565" w:rsidRPr="00D61F73">
        <w:rPr>
          <w:rFonts w:ascii="Arial" w:hAnsi="Arial" w:cs="Arial"/>
          <w:i/>
          <w:iCs/>
        </w:rPr>
        <w:t xml:space="preserve">Am J Ther. </w:t>
      </w:r>
      <w:r w:rsidR="008D0565" w:rsidRPr="00D61F73">
        <w:rPr>
          <w:rFonts w:ascii="Arial" w:hAnsi="Arial" w:cs="Arial"/>
        </w:rPr>
        <w:t>2009 May 15. [Epub ahead of print]</w:t>
      </w:r>
    </w:p>
    <w:p w14:paraId="515ABB78" w14:textId="77777777" w:rsidR="008D0565" w:rsidRPr="00D61F73" w:rsidRDefault="008D0565" w:rsidP="00D61F73">
      <w:pPr>
        <w:rPr>
          <w:rFonts w:ascii="Arial" w:hAnsi="Arial" w:cs="Arial"/>
        </w:rPr>
      </w:pPr>
    </w:p>
    <w:p w14:paraId="20D6DB5D" w14:textId="574FAD0A" w:rsidR="008D0565" w:rsidRPr="00D61F73" w:rsidRDefault="00751163" w:rsidP="00D61F73">
      <w:pPr>
        <w:pStyle w:val="NormalWeb"/>
        <w:spacing w:before="0" w:beforeAutospacing="0" w:after="0" w:afterAutospacing="0"/>
        <w:rPr>
          <w:rFonts w:ascii="Arial" w:hAnsi="Arial" w:cs="Arial"/>
        </w:rPr>
      </w:pPr>
      <w:hyperlink w:anchor="Shi2008" w:history="1">
        <w:r w:rsidR="008D0565" w:rsidRPr="00D61F73">
          <w:rPr>
            <w:rStyle w:val="Hyperlink"/>
            <w:rFonts w:ascii="Arial" w:hAnsi="Arial" w:cs="Arial"/>
          </w:rPr>
          <w:t>Shi S, Klotz U</w:t>
        </w:r>
      </w:hyperlink>
      <w:r w:rsidR="008D0565" w:rsidRPr="00D61F73">
        <w:rPr>
          <w:rFonts w:ascii="Arial" w:hAnsi="Arial" w:cs="Arial"/>
        </w:rPr>
        <w:t xml:space="preserve">. Proton pump inhibitors: an update of their clinical use and pharmacokinetics. </w:t>
      </w:r>
      <w:r w:rsidR="008D0565" w:rsidRPr="00D61F73">
        <w:rPr>
          <w:rFonts w:ascii="Arial" w:hAnsi="Arial" w:cs="Arial"/>
          <w:i/>
          <w:iCs/>
        </w:rPr>
        <w:t>Eur J Clin Pharmacol.</w:t>
      </w:r>
      <w:r w:rsidR="008D0565" w:rsidRPr="00D61F73">
        <w:rPr>
          <w:rFonts w:ascii="Arial" w:hAnsi="Arial" w:cs="Arial"/>
        </w:rPr>
        <w:t xml:space="preserve"> 2008 Oct;64(10):935-51.</w:t>
      </w:r>
    </w:p>
    <w:p w14:paraId="6DAA406B" w14:textId="77777777" w:rsidR="008D0565" w:rsidRPr="00D61F73" w:rsidRDefault="008D0565" w:rsidP="00D61F73">
      <w:pPr>
        <w:pStyle w:val="Footer"/>
        <w:tabs>
          <w:tab w:val="clear" w:pos="4320"/>
          <w:tab w:val="clear" w:pos="8640"/>
        </w:tabs>
        <w:rPr>
          <w:rFonts w:ascii="Arial" w:hAnsi="Arial" w:cs="Arial"/>
        </w:rPr>
      </w:pPr>
    </w:p>
    <w:p w14:paraId="37764D92" w14:textId="77777777" w:rsidR="008D0565" w:rsidRPr="00D61F73" w:rsidRDefault="00751163" w:rsidP="00D61F73">
      <w:pPr>
        <w:pStyle w:val="NormalWeb"/>
        <w:spacing w:before="0" w:beforeAutospacing="0" w:after="0" w:afterAutospacing="0"/>
        <w:rPr>
          <w:rFonts w:ascii="Arial" w:hAnsi="Arial" w:cs="Arial"/>
        </w:rPr>
      </w:pPr>
      <w:hyperlink w:anchor="Sibille2012" w:history="1">
        <w:r w:rsidR="008D0565" w:rsidRPr="00D61F73">
          <w:rPr>
            <w:rStyle w:val="Hyperlink"/>
            <w:rFonts w:ascii="Arial" w:hAnsi="Arial" w:cs="Arial"/>
          </w:rPr>
          <w:t>Sibille KT, Langaee T, Burkley B, Gong Y, Glover TL, King C, Riley JL 3rd, Leeuwenburgh C, Staud R, Bradley LA, Fillingim RB</w:t>
        </w:r>
      </w:hyperlink>
      <w:r w:rsidR="008D0565" w:rsidRPr="00D61F73">
        <w:rPr>
          <w:rFonts w:ascii="Arial" w:hAnsi="Arial" w:cs="Arial"/>
        </w:rPr>
        <w:t xml:space="preserve">. Chronic pain, perceived stress, and cellular aging: an exploratory study. </w:t>
      </w:r>
      <w:r w:rsidR="008D0565" w:rsidRPr="00D61F73">
        <w:rPr>
          <w:rFonts w:ascii="Arial" w:hAnsi="Arial" w:cs="Arial"/>
          <w:i/>
          <w:iCs/>
        </w:rPr>
        <w:t>Mol Pain.</w:t>
      </w:r>
      <w:r w:rsidR="008D0565" w:rsidRPr="00D61F73">
        <w:rPr>
          <w:rFonts w:ascii="Arial" w:hAnsi="Arial" w:cs="Arial"/>
        </w:rPr>
        <w:t xml:space="preserve"> 2012 Feb 12;8:12.</w:t>
      </w:r>
    </w:p>
    <w:p w14:paraId="508AA7E4" w14:textId="77777777" w:rsidR="008D0565" w:rsidRPr="00D61F73" w:rsidRDefault="008D0565" w:rsidP="00D61F73">
      <w:pPr>
        <w:pStyle w:val="Footer"/>
        <w:tabs>
          <w:tab w:val="clear" w:pos="4320"/>
          <w:tab w:val="clear" w:pos="8640"/>
        </w:tabs>
        <w:rPr>
          <w:rFonts w:ascii="Arial" w:hAnsi="Arial" w:cs="Arial"/>
        </w:rPr>
      </w:pPr>
    </w:p>
    <w:p w14:paraId="7257A519" w14:textId="77777777" w:rsidR="008D0565" w:rsidRPr="00D61F73" w:rsidRDefault="00751163" w:rsidP="00D61F73">
      <w:pPr>
        <w:pStyle w:val="NormalWeb"/>
        <w:spacing w:before="0" w:beforeAutospacing="0" w:after="0" w:afterAutospacing="0"/>
        <w:rPr>
          <w:rFonts w:ascii="Arial" w:hAnsi="Arial" w:cs="Arial"/>
        </w:rPr>
      </w:pPr>
      <w:hyperlink w:anchor="Siddall" w:history="1">
        <w:r w:rsidR="008D0565" w:rsidRPr="00D61F73">
          <w:rPr>
            <w:rStyle w:val="Hyperlink"/>
            <w:rFonts w:ascii="Arial" w:hAnsi="Arial" w:cs="Arial"/>
          </w:rPr>
          <w:t>Siddall, P., et al</w:t>
        </w:r>
      </w:hyperlink>
      <w:r w:rsidR="008D0565" w:rsidRPr="00D61F73">
        <w:rPr>
          <w:rFonts w:ascii="Arial" w:hAnsi="Arial" w:cs="Arial"/>
        </w:rPr>
        <w:t xml:space="preserve">. The efficacy of Intrathecal Morphine and Clonidine in the Treatment of Pain After Spinal Cord Injury. </w:t>
      </w:r>
      <w:r w:rsidR="008D0565" w:rsidRPr="00D61F73">
        <w:rPr>
          <w:rFonts w:ascii="Arial" w:hAnsi="Arial" w:cs="Arial"/>
          <w:i/>
          <w:iCs/>
        </w:rPr>
        <w:t>Anesh. Analg</w:t>
      </w:r>
      <w:r w:rsidR="008D0565" w:rsidRPr="00D61F73">
        <w:rPr>
          <w:rFonts w:ascii="Arial" w:hAnsi="Arial" w:cs="Arial"/>
        </w:rPr>
        <w:t>, 2000; Number 91:1493-8.</w:t>
      </w:r>
    </w:p>
    <w:p w14:paraId="2765B708" w14:textId="77777777" w:rsidR="008D0565" w:rsidRPr="00D61F73" w:rsidRDefault="008D0565" w:rsidP="00D61F73">
      <w:pPr>
        <w:pStyle w:val="Footer"/>
        <w:tabs>
          <w:tab w:val="clear" w:pos="4320"/>
          <w:tab w:val="clear" w:pos="8640"/>
        </w:tabs>
        <w:rPr>
          <w:rFonts w:ascii="Arial" w:hAnsi="Arial" w:cs="Arial"/>
        </w:rPr>
      </w:pPr>
    </w:p>
    <w:p w14:paraId="042B66A2" w14:textId="77777777" w:rsidR="008D0565" w:rsidRPr="00D61F73" w:rsidRDefault="00751163" w:rsidP="00D61F73">
      <w:pPr>
        <w:pStyle w:val="Footer"/>
        <w:tabs>
          <w:tab w:val="clear" w:pos="4320"/>
          <w:tab w:val="clear" w:pos="8640"/>
        </w:tabs>
        <w:rPr>
          <w:rFonts w:ascii="Arial" w:hAnsi="Arial" w:cs="Arial"/>
        </w:rPr>
      </w:pPr>
      <w:hyperlink w:anchor="Sigtermans2009" w:history="1">
        <w:r w:rsidR="008D0565" w:rsidRPr="00D61F73">
          <w:rPr>
            <w:rStyle w:val="Hyperlink"/>
            <w:rFonts w:ascii="Arial" w:hAnsi="Arial" w:cs="Arial"/>
          </w:rPr>
          <w:t>Sigtermans MJ, van Hilten JJ, Bauer MC, Arbous MS, Marinus J, Sarton EY, Dahan A</w:t>
        </w:r>
      </w:hyperlink>
      <w:r w:rsidR="008D0565" w:rsidRPr="00D61F73">
        <w:rPr>
          <w:rFonts w:ascii="Arial" w:hAnsi="Arial" w:cs="Arial"/>
        </w:rPr>
        <w:t xml:space="preserve">. Ketamine produces effective and long-term pain relief in patients with Complex Regional Pain Syndrome Type 1. </w:t>
      </w:r>
      <w:r w:rsidR="008D0565" w:rsidRPr="00D61F73">
        <w:rPr>
          <w:rFonts w:ascii="Arial" w:hAnsi="Arial" w:cs="Arial"/>
          <w:i/>
          <w:iCs/>
        </w:rPr>
        <w:t>Pain.</w:t>
      </w:r>
      <w:r w:rsidR="008D0565" w:rsidRPr="00D61F73">
        <w:rPr>
          <w:rFonts w:ascii="Arial" w:hAnsi="Arial" w:cs="Arial"/>
        </w:rPr>
        <w:t xml:space="preserve"> 2009 Oct;145(3):304-11.</w:t>
      </w:r>
    </w:p>
    <w:p w14:paraId="100CF539" w14:textId="77777777" w:rsidR="008D0565" w:rsidRPr="00D61F73" w:rsidRDefault="008D0565" w:rsidP="00D61F73">
      <w:pPr>
        <w:pStyle w:val="Footer"/>
        <w:tabs>
          <w:tab w:val="clear" w:pos="4320"/>
          <w:tab w:val="clear" w:pos="8640"/>
        </w:tabs>
        <w:rPr>
          <w:rFonts w:ascii="Arial" w:hAnsi="Arial" w:cs="Arial"/>
        </w:rPr>
      </w:pPr>
    </w:p>
    <w:p w14:paraId="5C28512A" w14:textId="77777777" w:rsidR="008D0565" w:rsidRPr="00D61F73" w:rsidRDefault="00751163" w:rsidP="00D61F73">
      <w:pPr>
        <w:rPr>
          <w:rFonts w:ascii="Arial" w:hAnsi="Arial" w:cs="Arial"/>
        </w:rPr>
      </w:pPr>
      <w:hyperlink w:anchor="Sindrup" w:history="1">
        <w:r w:rsidR="008D0565" w:rsidRPr="00D61F73">
          <w:rPr>
            <w:rStyle w:val="Hyperlink"/>
            <w:rFonts w:ascii="Arial" w:hAnsi="Arial" w:cs="Arial"/>
          </w:rPr>
          <w:t>Sindrup SH, Otto M, Finnerup NB, Jensen TS.</w:t>
        </w:r>
      </w:hyperlink>
      <w:r w:rsidR="008D0565" w:rsidRPr="00D61F73">
        <w:rPr>
          <w:rFonts w:ascii="Arial" w:hAnsi="Arial" w:cs="Arial"/>
        </w:rPr>
        <w:t xml:space="preserve"> Antidepressants in the treatment of neuropathic pain. </w:t>
      </w:r>
      <w:r w:rsidR="008D0565" w:rsidRPr="00D61F73">
        <w:rPr>
          <w:rFonts w:ascii="Arial" w:hAnsi="Arial" w:cs="Arial"/>
          <w:i/>
          <w:iCs/>
        </w:rPr>
        <w:t>Basic Clin Pharmacol Toxicol</w:t>
      </w:r>
      <w:r w:rsidR="008D0565" w:rsidRPr="00D61F73">
        <w:rPr>
          <w:rFonts w:ascii="Arial" w:hAnsi="Arial" w:cs="Arial"/>
        </w:rPr>
        <w:t>. 2005 Jun;96(6):399-409.</w:t>
      </w:r>
    </w:p>
    <w:p w14:paraId="11BEA0B6" w14:textId="77777777" w:rsidR="008D0565" w:rsidRPr="00D61F73" w:rsidRDefault="008D0565" w:rsidP="00D61F73">
      <w:pPr>
        <w:rPr>
          <w:rFonts w:ascii="Arial" w:hAnsi="Arial" w:cs="Arial"/>
        </w:rPr>
      </w:pPr>
    </w:p>
    <w:p w14:paraId="59282189" w14:textId="77777777" w:rsidR="008D0565" w:rsidRPr="00D61F73" w:rsidRDefault="00751163" w:rsidP="00D61F73">
      <w:pPr>
        <w:rPr>
          <w:rFonts w:ascii="Arial" w:hAnsi="Arial" w:cs="Arial"/>
        </w:rPr>
      </w:pPr>
      <w:hyperlink w:anchor="Sindrup2" w:history="1">
        <w:r w:rsidR="008D0565" w:rsidRPr="00D61F73">
          <w:rPr>
            <w:rStyle w:val="Hyperlink"/>
            <w:rFonts w:ascii="Arial" w:hAnsi="Arial" w:cs="Arial"/>
          </w:rPr>
          <w:t>Sindrup SH, Jensen TS</w:t>
        </w:r>
      </w:hyperlink>
      <w:r w:rsidR="008D0565" w:rsidRPr="00D61F73">
        <w:rPr>
          <w:rFonts w:ascii="Arial" w:hAnsi="Arial" w:cs="Arial"/>
        </w:rPr>
        <w:t xml:space="preserve">. Efficacy of pharmacological treatments of neuropathic pain: an update and effect related to mechanism of drug action. </w:t>
      </w:r>
      <w:r w:rsidR="008D0565" w:rsidRPr="00D61F73">
        <w:rPr>
          <w:rFonts w:ascii="Arial" w:hAnsi="Arial" w:cs="Arial"/>
          <w:i/>
          <w:iCs/>
        </w:rPr>
        <w:t>Pain</w:t>
      </w:r>
      <w:r w:rsidR="008D0565" w:rsidRPr="00D61F73">
        <w:rPr>
          <w:rFonts w:ascii="Arial" w:hAnsi="Arial" w:cs="Arial"/>
        </w:rPr>
        <w:t>. 1999 Dec;83(3):389-400.</w:t>
      </w:r>
    </w:p>
    <w:p w14:paraId="739B602E" w14:textId="77777777" w:rsidR="008D0565" w:rsidRPr="00D61F73" w:rsidRDefault="008D0565" w:rsidP="00D61F73">
      <w:pPr>
        <w:pStyle w:val="Footer"/>
        <w:tabs>
          <w:tab w:val="clear" w:pos="4320"/>
          <w:tab w:val="clear" w:pos="8640"/>
        </w:tabs>
        <w:rPr>
          <w:rFonts w:ascii="Arial" w:hAnsi="Arial" w:cs="Arial"/>
        </w:rPr>
      </w:pPr>
    </w:p>
    <w:p w14:paraId="2AC5B5A1" w14:textId="77777777" w:rsidR="008D0565" w:rsidRPr="00D61F73" w:rsidRDefault="00751163" w:rsidP="00D61F73">
      <w:pPr>
        <w:rPr>
          <w:rFonts w:ascii="Arial" w:hAnsi="Arial" w:cs="Arial"/>
        </w:rPr>
      </w:pPr>
      <w:hyperlink w:anchor="Skrabek" w:history="1">
        <w:r w:rsidR="008D0565" w:rsidRPr="00D61F73">
          <w:rPr>
            <w:rStyle w:val="Hyperlink"/>
            <w:rFonts w:ascii="Arial" w:hAnsi="Arial" w:cs="Arial"/>
          </w:rPr>
          <w:t>Skrabek RQ, Galimova L, Ethans K, Perry D</w:t>
        </w:r>
      </w:hyperlink>
      <w:r w:rsidR="008D0565" w:rsidRPr="00D61F73">
        <w:rPr>
          <w:rFonts w:ascii="Arial" w:hAnsi="Arial" w:cs="Arial"/>
        </w:rPr>
        <w:t xml:space="preserve">. Nabilone for the treatment of pain in fibromyalgia. </w:t>
      </w:r>
      <w:r w:rsidR="008D0565" w:rsidRPr="00D61F73">
        <w:rPr>
          <w:rFonts w:ascii="Arial" w:hAnsi="Arial" w:cs="Arial"/>
          <w:i/>
          <w:iCs/>
        </w:rPr>
        <w:t>J Pain</w:t>
      </w:r>
      <w:r w:rsidR="008D0565" w:rsidRPr="00D61F73">
        <w:rPr>
          <w:rFonts w:ascii="Arial" w:hAnsi="Arial" w:cs="Arial"/>
        </w:rPr>
        <w:t>. 2008 Feb;9(2):164-73.</w:t>
      </w:r>
    </w:p>
    <w:p w14:paraId="7DD5B122" w14:textId="77777777" w:rsidR="008D0565" w:rsidRPr="00D61F73" w:rsidRDefault="008D0565" w:rsidP="00D61F73">
      <w:pPr>
        <w:pStyle w:val="Footer"/>
        <w:tabs>
          <w:tab w:val="clear" w:pos="4320"/>
          <w:tab w:val="clear" w:pos="8640"/>
        </w:tabs>
        <w:rPr>
          <w:rFonts w:ascii="Arial" w:hAnsi="Arial" w:cs="Arial"/>
        </w:rPr>
      </w:pPr>
    </w:p>
    <w:p w14:paraId="09F968C8" w14:textId="77777777" w:rsidR="008D0565" w:rsidRPr="00D61F73" w:rsidRDefault="00751163" w:rsidP="00D61F73">
      <w:pPr>
        <w:pStyle w:val="Footer"/>
        <w:tabs>
          <w:tab w:val="clear" w:pos="4320"/>
          <w:tab w:val="clear" w:pos="8640"/>
        </w:tabs>
        <w:rPr>
          <w:rFonts w:ascii="Arial" w:hAnsi="Arial" w:cs="Arial"/>
        </w:rPr>
      </w:pPr>
      <w:hyperlink w:anchor="Smith" w:history="1">
        <w:r w:rsidR="008D0565" w:rsidRPr="00D61F73">
          <w:rPr>
            <w:rStyle w:val="Hyperlink"/>
            <w:rFonts w:ascii="Arial" w:hAnsi="Arial" w:cs="Arial"/>
          </w:rPr>
          <w:t>Smith DE, Landry MJ</w:t>
        </w:r>
      </w:hyperlink>
      <w:r w:rsidR="008D0565" w:rsidRPr="00D61F73">
        <w:rPr>
          <w:rFonts w:ascii="Arial" w:hAnsi="Arial" w:cs="Arial"/>
        </w:rPr>
        <w:t xml:space="preserve">. Benzodiazepine dependency discontinuation: focus on the chemical dependency detoxification setting and benzodiazepine-polydrug abuse. </w:t>
      </w:r>
      <w:r w:rsidR="008D0565" w:rsidRPr="00D61F73">
        <w:rPr>
          <w:rFonts w:ascii="Arial" w:hAnsi="Arial" w:cs="Arial"/>
          <w:i/>
        </w:rPr>
        <w:t>J Psychiatr Res.</w:t>
      </w:r>
      <w:r w:rsidR="008D0565" w:rsidRPr="00D61F73">
        <w:rPr>
          <w:rFonts w:ascii="Arial" w:hAnsi="Arial" w:cs="Arial"/>
        </w:rPr>
        <w:t xml:space="preserve"> 1990;24:145-56.</w:t>
      </w:r>
    </w:p>
    <w:p w14:paraId="403564D9" w14:textId="77777777" w:rsidR="008D0565" w:rsidRPr="00D61F73" w:rsidRDefault="008D0565" w:rsidP="00D61F73">
      <w:pPr>
        <w:pStyle w:val="Footer"/>
        <w:tabs>
          <w:tab w:val="clear" w:pos="4320"/>
          <w:tab w:val="clear" w:pos="8640"/>
        </w:tabs>
        <w:rPr>
          <w:rFonts w:ascii="Arial" w:hAnsi="Arial" w:cs="Arial"/>
        </w:rPr>
      </w:pPr>
    </w:p>
    <w:p w14:paraId="5B6AA868" w14:textId="77777777" w:rsidR="008D0565" w:rsidRPr="00D61F73" w:rsidRDefault="00751163" w:rsidP="00D61F73">
      <w:pPr>
        <w:pStyle w:val="Footer"/>
        <w:tabs>
          <w:tab w:val="clear" w:pos="4320"/>
          <w:tab w:val="clear" w:pos="8640"/>
        </w:tabs>
        <w:rPr>
          <w:rFonts w:ascii="Arial" w:hAnsi="Arial" w:cs="Arial"/>
        </w:rPr>
      </w:pPr>
      <w:hyperlink w:anchor="Smith2010" w:history="1">
        <w:r w:rsidR="008D0565" w:rsidRPr="00D61F73">
          <w:rPr>
            <w:rStyle w:val="Hyperlink"/>
            <w:rFonts w:ascii="Arial" w:hAnsi="Arial" w:cs="Arial"/>
          </w:rPr>
          <w:t>Smith PC, Schmidt SM, Allensworth-Davies D, Saitz R</w:t>
        </w:r>
      </w:hyperlink>
      <w:r w:rsidR="008D0565" w:rsidRPr="00D61F73">
        <w:rPr>
          <w:rFonts w:ascii="Arial" w:hAnsi="Arial" w:cs="Arial"/>
        </w:rPr>
        <w:t xml:space="preserve">. A single-question screening test for drug use in primary care. </w:t>
      </w:r>
      <w:r w:rsidR="008D0565" w:rsidRPr="00D61F73">
        <w:rPr>
          <w:rFonts w:ascii="Arial" w:hAnsi="Arial" w:cs="Arial"/>
          <w:i/>
          <w:iCs/>
        </w:rPr>
        <w:t>Arch Intern Med</w:t>
      </w:r>
      <w:r w:rsidR="008D0565" w:rsidRPr="00D61F73">
        <w:rPr>
          <w:rFonts w:ascii="Arial" w:hAnsi="Arial" w:cs="Arial"/>
        </w:rPr>
        <w:t>. 2010 Jul 12;170(13):1155-60.</w:t>
      </w:r>
    </w:p>
    <w:p w14:paraId="25CB73E0" w14:textId="77777777" w:rsidR="008D0565" w:rsidRPr="00D61F73" w:rsidRDefault="008D0565" w:rsidP="00D61F73">
      <w:pPr>
        <w:pStyle w:val="Footer"/>
        <w:tabs>
          <w:tab w:val="clear" w:pos="4320"/>
          <w:tab w:val="clear" w:pos="8640"/>
        </w:tabs>
        <w:rPr>
          <w:rFonts w:ascii="Arial" w:hAnsi="Arial" w:cs="Arial"/>
        </w:rPr>
      </w:pPr>
    </w:p>
    <w:p w14:paraId="092926E7" w14:textId="77777777" w:rsidR="008D0565" w:rsidRPr="00D61F73" w:rsidRDefault="00751163" w:rsidP="00D61F73">
      <w:pPr>
        <w:pStyle w:val="Footer"/>
        <w:tabs>
          <w:tab w:val="clear" w:pos="4320"/>
          <w:tab w:val="clear" w:pos="8640"/>
        </w:tabs>
        <w:rPr>
          <w:rFonts w:ascii="Arial" w:hAnsi="Arial" w:cs="Arial"/>
        </w:rPr>
      </w:pPr>
      <w:hyperlink w:anchor="Smith2013" w:history="1">
        <w:r w:rsidR="008D0565" w:rsidRPr="00D61F73">
          <w:rPr>
            <w:rStyle w:val="Hyperlink"/>
            <w:rFonts w:ascii="Arial" w:hAnsi="Arial" w:cs="Arial"/>
          </w:rPr>
          <w:t>Smith MJ, Cobia DJ, Wang L, Alpert KI, J Cronenwett W, B Goldman M, Mamah D, Barch DM, Breiter HC, Csernansky JG</w:t>
        </w:r>
      </w:hyperlink>
      <w:r w:rsidR="008D0565" w:rsidRPr="00D61F73">
        <w:rPr>
          <w:rFonts w:ascii="Arial" w:hAnsi="Arial" w:cs="Arial"/>
        </w:rPr>
        <w:t xml:space="preserve">. Cannabis-Related Working Memory Deficits and Associated Subcortical Morphological Differences in Healthy Individuals and Schizophrenia Subjects. </w:t>
      </w:r>
      <w:r w:rsidR="008D0565" w:rsidRPr="00D61F73">
        <w:rPr>
          <w:rFonts w:ascii="Arial" w:hAnsi="Arial" w:cs="Arial"/>
          <w:i/>
          <w:iCs/>
        </w:rPr>
        <w:t>Schizophr Bull</w:t>
      </w:r>
      <w:r w:rsidR="008D0565" w:rsidRPr="00D61F73">
        <w:rPr>
          <w:rFonts w:ascii="Arial" w:hAnsi="Arial" w:cs="Arial"/>
        </w:rPr>
        <w:t>. 2013 Dec 15.</w:t>
      </w:r>
    </w:p>
    <w:p w14:paraId="0AC62D2F" w14:textId="77777777" w:rsidR="008D0565" w:rsidRPr="00D61F73" w:rsidRDefault="008D0565" w:rsidP="00D61F73">
      <w:pPr>
        <w:pStyle w:val="Footer"/>
        <w:tabs>
          <w:tab w:val="clear" w:pos="4320"/>
          <w:tab w:val="clear" w:pos="8640"/>
        </w:tabs>
        <w:rPr>
          <w:rFonts w:ascii="Arial" w:hAnsi="Arial" w:cs="Arial"/>
        </w:rPr>
      </w:pPr>
    </w:p>
    <w:p w14:paraId="6FC01F91" w14:textId="77777777" w:rsidR="008D0565" w:rsidRPr="00D61F73" w:rsidRDefault="00751163" w:rsidP="00D61F73">
      <w:pPr>
        <w:rPr>
          <w:rFonts w:ascii="Arial" w:hAnsi="Arial" w:cs="Arial"/>
        </w:rPr>
      </w:pPr>
      <w:hyperlink w:anchor="Solomon" w:history="1">
        <w:r w:rsidR="008D0565" w:rsidRPr="00D61F73">
          <w:rPr>
            <w:rStyle w:val="Hyperlink"/>
            <w:rFonts w:ascii="Arial" w:hAnsi="Arial" w:cs="Arial"/>
          </w:rPr>
          <w:t>Solomon DH, Schneeweiss S, Glynn RJ, Kiyota Y, Levin R, Mogun H, Avorn J,</w:t>
        </w:r>
      </w:hyperlink>
      <w:r w:rsidR="008D0565" w:rsidRPr="00D61F73">
        <w:rPr>
          <w:rFonts w:ascii="Arial" w:hAnsi="Arial" w:cs="Arial"/>
        </w:rPr>
        <w:t xml:space="preserve"> Relationship between selective cyclooxygenase-2 inhibitors and acute myocardial infarction in older adults, </w:t>
      </w:r>
      <w:r w:rsidR="008D0565" w:rsidRPr="00D61F73">
        <w:rPr>
          <w:rFonts w:ascii="Arial" w:hAnsi="Arial" w:cs="Arial"/>
          <w:i/>
          <w:iCs/>
        </w:rPr>
        <w:t>Circulation</w:t>
      </w:r>
      <w:r w:rsidR="008D0565" w:rsidRPr="00D61F73">
        <w:rPr>
          <w:rFonts w:ascii="Arial" w:hAnsi="Arial" w:cs="Arial"/>
        </w:rPr>
        <w:t>. 2004 May 4;109(17):2068-73. Epub 2004 Apr 19.</w:t>
      </w:r>
      <w:r w:rsidR="008D0565" w:rsidRPr="00D61F73">
        <w:rPr>
          <w:rFonts w:ascii="Arial" w:hAnsi="Arial" w:cs="Arial"/>
        </w:rPr>
        <w:br/>
      </w:r>
    </w:p>
    <w:p w14:paraId="3887E00F" w14:textId="77777777" w:rsidR="008D0565" w:rsidRPr="00D61F73" w:rsidRDefault="00751163" w:rsidP="00D61F73">
      <w:pPr>
        <w:rPr>
          <w:rFonts w:ascii="Arial" w:hAnsi="Arial" w:cs="Arial"/>
        </w:rPr>
      </w:pPr>
      <w:hyperlink w:anchor="Soomro" w:history="1">
        <w:r w:rsidR="008D0565" w:rsidRPr="00D61F73">
          <w:rPr>
            <w:rStyle w:val="Hyperlink"/>
            <w:rFonts w:ascii="Arial" w:hAnsi="Arial" w:cs="Arial"/>
          </w:rPr>
          <w:t>Soomro GM, Altman D, Rajagopal S, Oakley-Browne M</w:t>
        </w:r>
      </w:hyperlink>
      <w:r w:rsidR="008D0565" w:rsidRPr="00D61F73">
        <w:rPr>
          <w:rFonts w:ascii="Arial" w:hAnsi="Arial" w:cs="Arial"/>
        </w:rPr>
        <w:t xml:space="preserve">. Selective serotonin re-uptake inhibitors (SSRIs) versus placebo for obsessive compulsive disorder (OCD). </w:t>
      </w:r>
      <w:r w:rsidR="008D0565" w:rsidRPr="00D61F73">
        <w:rPr>
          <w:rFonts w:ascii="Arial" w:hAnsi="Arial" w:cs="Arial"/>
          <w:i/>
        </w:rPr>
        <w:t>Cochrane Database Syst Rev</w:t>
      </w:r>
      <w:r w:rsidR="008D0565" w:rsidRPr="00D61F73">
        <w:rPr>
          <w:rFonts w:ascii="Arial" w:hAnsi="Arial" w:cs="Arial"/>
        </w:rPr>
        <w:t>. 2008;(1):CD001765.</w:t>
      </w:r>
    </w:p>
    <w:p w14:paraId="4FAB65F5" w14:textId="77777777" w:rsidR="008D0565" w:rsidRPr="00D61F73" w:rsidRDefault="008D0565" w:rsidP="00D61F73">
      <w:pPr>
        <w:rPr>
          <w:rFonts w:ascii="Arial" w:hAnsi="Arial" w:cs="Arial"/>
        </w:rPr>
      </w:pPr>
    </w:p>
    <w:p w14:paraId="7D733EEB" w14:textId="77777777" w:rsidR="008D0565" w:rsidRPr="00D61F73" w:rsidRDefault="00751163" w:rsidP="00D61F73">
      <w:pPr>
        <w:rPr>
          <w:rFonts w:ascii="Arial" w:hAnsi="Arial" w:cs="Arial"/>
        </w:rPr>
      </w:pPr>
      <w:hyperlink w:anchor="Stacey" w:history="1">
        <w:r w:rsidR="008D0565" w:rsidRPr="00D61F73">
          <w:rPr>
            <w:rStyle w:val="Hyperlink"/>
            <w:rFonts w:ascii="Arial" w:hAnsi="Arial" w:cs="Arial"/>
          </w:rPr>
          <w:t>Stacey BR, Dworkin RH, Murphy K, Sharma U, Emir B, Griesing T.</w:t>
        </w:r>
      </w:hyperlink>
      <w:r w:rsidR="008D0565" w:rsidRPr="00D61F73">
        <w:rPr>
          <w:rFonts w:ascii="Arial" w:hAnsi="Arial" w:cs="Arial"/>
        </w:rPr>
        <w:t xml:space="preserve"> Pregabalin in the Treatment of Refractory Neuropathic Pain: Results of a 15-Month Open-Label Trial. </w:t>
      </w:r>
      <w:r w:rsidR="008D0565" w:rsidRPr="00D61F73">
        <w:rPr>
          <w:rFonts w:ascii="Arial" w:hAnsi="Arial" w:cs="Arial"/>
          <w:i/>
        </w:rPr>
        <w:t xml:space="preserve">Pain Med. </w:t>
      </w:r>
      <w:r w:rsidR="008D0565" w:rsidRPr="00D61F73">
        <w:rPr>
          <w:rFonts w:ascii="Arial" w:hAnsi="Arial" w:cs="Arial"/>
        </w:rPr>
        <w:t>2008 Mar 11.</w:t>
      </w:r>
    </w:p>
    <w:p w14:paraId="4941B22F" w14:textId="77777777" w:rsidR="008D0565" w:rsidRPr="00D61F73" w:rsidRDefault="008D0565" w:rsidP="00D61F73">
      <w:pPr>
        <w:rPr>
          <w:rFonts w:ascii="Arial" w:hAnsi="Arial" w:cs="Arial"/>
        </w:rPr>
      </w:pPr>
    </w:p>
    <w:p w14:paraId="785D95CE" w14:textId="77777777" w:rsidR="008D0565" w:rsidRPr="00D61F73" w:rsidRDefault="00751163" w:rsidP="00D61F73">
      <w:pPr>
        <w:rPr>
          <w:rFonts w:ascii="Arial" w:hAnsi="Arial" w:cs="Arial"/>
        </w:rPr>
      </w:pPr>
      <w:hyperlink w:anchor="Staiger" w:history="1">
        <w:r w:rsidR="008D0565" w:rsidRPr="00D61F73">
          <w:rPr>
            <w:rStyle w:val="Hyperlink"/>
            <w:rFonts w:ascii="Arial" w:hAnsi="Arial" w:cs="Arial"/>
          </w:rPr>
          <w:t>Staiger TO, Gaster B, Sullivan MD, Deyo RA</w:t>
        </w:r>
      </w:hyperlink>
      <w:r w:rsidR="008D0565" w:rsidRPr="00D61F73">
        <w:rPr>
          <w:rFonts w:ascii="Arial" w:hAnsi="Arial" w:cs="Arial"/>
        </w:rPr>
        <w:t xml:space="preserve">, Systematic review of antidepressants in the treatment of chronic low back pain, </w:t>
      </w:r>
      <w:r w:rsidR="008D0565" w:rsidRPr="00D61F73">
        <w:rPr>
          <w:rFonts w:ascii="Arial" w:hAnsi="Arial" w:cs="Arial"/>
          <w:i/>
          <w:iCs/>
        </w:rPr>
        <w:t>Spine</w:t>
      </w:r>
      <w:r w:rsidR="008D0565" w:rsidRPr="00D61F73">
        <w:rPr>
          <w:rFonts w:ascii="Arial" w:hAnsi="Arial" w:cs="Arial"/>
        </w:rPr>
        <w:t>. 2003 Nov 15;28(22):2540-5</w:t>
      </w:r>
    </w:p>
    <w:p w14:paraId="3948ECC8" w14:textId="77777777" w:rsidR="008D0565" w:rsidRPr="00D61F73" w:rsidRDefault="008D0565" w:rsidP="00D61F73">
      <w:pPr>
        <w:rPr>
          <w:rFonts w:ascii="Arial" w:hAnsi="Arial" w:cs="Arial"/>
        </w:rPr>
      </w:pPr>
    </w:p>
    <w:p w14:paraId="3DB092B1" w14:textId="77777777" w:rsidR="008D0565" w:rsidRPr="00D61F73" w:rsidRDefault="00751163" w:rsidP="00D61F73">
      <w:pPr>
        <w:rPr>
          <w:rFonts w:ascii="Arial" w:hAnsi="Arial" w:cs="Arial"/>
        </w:rPr>
      </w:pPr>
      <w:hyperlink w:anchor="Stegmann2008" w:history="1">
        <w:r w:rsidR="008D0565" w:rsidRPr="00D61F73">
          <w:rPr>
            <w:rStyle w:val="Hyperlink"/>
            <w:rFonts w:ascii="Arial" w:hAnsi="Arial" w:cs="Arial"/>
          </w:rPr>
          <w:t>Stegmann JU, Weber H, Steup A, Okamoto A, Upmalis D, Daniels S</w:t>
        </w:r>
      </w:hyperlink>
      <w:r w:rsidR="008D0565" w:rsidRPr="00D61F73">
        <w:rPr>
          <w:rFonts w:ascii="Arial" w:hAnsi="Arial" w:cs="Arial"/>
        </w:rPr>
        <w:t xml:space="preserve">. The efficacy and tolerability of multiple-dose tapentadol immediate release for the relief of acute pain following orthopedic (bunionectomy) surgery. </w:t>
      </w:r>
      <w:r w:rsidR="008D0565" w:rsidRPr="00D61F73">
        <w:rPr>
          <w:rFonts w:ascii="Arial" w:hAnsi="Arial" w:cs="Arial"/>
          <w:i/>
          <w:iCs/>
        </w:rPr>
        <w:t>Curr Med Res Opin</w:t>
      </w:r>
      <w:r w:rsidR="008D0565" w:rsidRPr="00D61F73">
        <w:rPr>
          <w:rFonts w:ascii="Arial" w:hAnsi="Arial" w:cs="Arial"/>
        </w:rPr>
        <w:t>. 2008 Oct 10. [Epub ahead of print]</w:t>
      </w:r>
    </w:p>
    <w:p w14:paraId="39F86891" w14:textId="77777777" w:rsidR="008D0565" w:rsidRPr="00D61F73" w:rsidRDefault="008D0565" w:rsidP="00D61F73">
      <w:pPr>
        <w:rPr>
          <w:rFonts w:ascii="Arial" w:hAnsi="Arial" w:cs="Arial"/>
        </w:rPr>
      </w:pPr>
    </w:p>
    <w:p w14:paraId="09D05B78" w14:textId="77777777" w:rsidR="008D0565" w:rsidRPr="00D61F73" w:rsidRDefault="00751163" w:rsidP="00D61F73">
      <w:pPr>
        <w:rPr>
          <w:rFonts w:ascii="Arial" w:hAnsi="Arial" w:cs="Arial"/>
        </w:rPr>
      </w:pPr>
      <w:hyperlink w:anchor="Stein" w:history="1">
        <w:r w:rsidR="008D0565" w:rsidRPr="00D61F73">
          <w:rPr>
            <w:rStyle w:val="Hyperlink"/>
            <w:rFonts w:ascii="Arial" w:hAnsi="Arial" w:cs="Arial"/>
          </w:rPr>
          <w:t>Stein DJ, Bandelow B, Hollander E, Nutt DJ, Okasha A, Pollack MH, Swinson RP, Zohar J</w:t>
        </w:r>
      </w:hyperlink>
      <w:r w:rsidR="008D0565" w:rsidRPr="00D61F73">
        <w:rPr>
          <w:rFonts w:ascii="Arial" w:hAnsi="Arial" w:cs="Arial"/>
        </w:rPr>
        <w:t xml:space="preserve">; World Council of Anxiety. WCA Recommendations for the long-term treatment of posttraumatic stress disorder. </w:t>
      </w:r>
      <w:r w:rsidR="008D0565" w:rsidRPr="00D61F73">
        <w:rPr>
          <w:rFonts w:ascii="Arial" w:hAnsi="Arial" w:cs="Arial"/>
          <w:i/>
          <w:iCs/>
        </w:rPr>
        <w:t>CNS Spectr</w:t>
      </w:r>
      <w:r w:rsidR="008D0565" w:rsidRPr="00D61F73">
        <w:rPr>
          <w:rFonts w:ascii="Arial" w:hAnsi="Arial" w:cs="Arial"/>
        </w:rPr>
        <w:t>. 2003 Aug;8(8 Suppl 1):31-9.</w:t>
      </w:r>
    </w:p>
    <w:p w14:paraId="1951C770" w14:textId="77777777" w:rsidR="008D0565" w:rsidRPr="00D61F73" w:rsidRDefault="008D0565" w:rsidP="00D61F73">
      <w:pPr>
        <w:rPr>
          <w:rFonts w:ascii="Arial" w:hAnsi="Arial" w:cs="Arial"/>
        </w:rPr>
      </w:pPr>
    </w:p>
    <w:p w14:paraId="715CDA0B" w14:textId="77777777" w:rsidR="00EF3DC3" w:rsidRPr="00D61F73" w:rsidRDefault="00751163" w:rsidP="00D61F73">
      <w:pPr>
        <w:rPr>
          <w:rFonts w:ascii="Arial" w:hAnsi="Arial" w:cs="Arial"/>
        </w:rPr>
      </w:pPr>
      <w:hyperlink w:anchor="Straus2013" w:history="1">
        <w:r w:rsidR="00EF3DC3" w:rsidRPr="00D61F73">
          <w:rPr>
            <w:rStyle w:val="Hyperlink"/>
            <w:rFonts w:ascii="Arial" w:hAnsi="Arial" w:cs="Arial"/>
          </w:rPr>
          <w:t>Straus MM, Ghitza UE, Tai B.</w:t>
        </w:r>
      </w:hyperlink>
      <w:r w:rsidR="00EF3DC3" w:rsidRPr="00D61F73">
        <w:rPr>
          <w:rFonts w:ascii="Arial" w:hAnsi="Arial" w:cs="Arial"/>
        </w:rPr>
        <w:t xml:space="preserve"> Preventing deaths from rising opioid overdose in the US - the promise of naloxone antidote in community-based naloxone take-home programs. Subst Abuse Rehabil. 2013; 2013.</w:t>
      </w:r>
    </w:p>
    <w:p w14:paraId="1225C758" w14:textId="77777777" w:rsidR="00EF3DC3" w:rsidRPr="00D61F73" w:rsidRDefault="00EF3DC3" w:rsidP="00D61F73">
      <w:pPr>
        <w:rPr>
          <w:rFonts w:ascii="Arial" w:hAnsi="Arial" w:cs="Arial"/>
        </w:rPr>
      </w:pPr>
    </w:p>
    <w:p w14:paraId="4E5D2B72" w14:textId="77777777" w:rsidR="008D0565" w:rsidRPr="00D61F73" w:rsidRDefault="00751163" w:rsidP="00D61F73">
      <w:pPr>
        <w:rPr>
          <w:rFonts w:ascii="Arial" w:hAnsi="Arial" w:cs="Arial"/>
        </w:rPr>
      </w:pPr>
      <w:hyperlink w:anchor="Sullivan2006" w:history="1">
        <w:r w:rsidR="008D0565" w:rsidRPr="00D61F73">
          <w:rPr>
            <w:rStyle w:val="Hyperlink"/>
            <w:rFonts w:ascii="Arial" w:hAnsi="Arial" w:cs="Arial"/>
          </w:rPr>
          <w:t>Sullivan MD, Edlund MJ, Zhang L, Unützer J, Wells KB</w:t>
        </w:r>
      </w:hyperlink>
      <w:r w:rsidR="008D0565" w:rsidRPr="00D61F73">
        <w:rPr>
          <w:rFonts w:ascii="Arial" w:hAnsi="Arial" w:cs="Arial"/>
        </w:rPr>
        <w:t xml:space="preserve">. Association between mental health disorders, problem drug use, and regular prescription opioid use. </w:t>
      </w:r>
      <w:r w:rsidR="008D0565" w:rsidRPr="00D61F73">
        <w:rPr>
          <w:rFonts w:ascii="Arial" w:hAnsi="Arial" w:cs="Arial"/>
          <w:i/>
        </w:rPr>
        <w:t>Arch Intern Med</w:t>
      </w:r>
      <w:r w:rsidR="008D0565" w:rsidRPr="00D61F73">
        <w:rPr>
          <w:rFonts w:ascii="Arial" w:hAnsi="Arial" w:cs="Arial"/>
        </w:rPr>
        <w:t>. 2006;166:2087-93.</w:t>
      </w:r>
    </w:p>
    <w:p w14:paraId="6758A242" w14:textId="77777777" w:rsidR="008D0565" w:rsidRPr="00D61F73" w:rsidRDefault="008D0565" w:rsidP="00D61F73">
      <w:pPr>
        <w:rPr>
          <w:rFonts w:ascii="Arial" w:hAnsi="Arial" w:cs="Arial"/>
        </w:rPr>
      </w:pPr>
    </w:p>
    <w:p w14:paraId="4E55A2C1" w14:textId="77777777" w:rsidR="008D0565" w:rsidRPr="00D61F73" w:rsidRDefault="00751163" w:rsidP="00D61F73">
      <w:pPr>
        <w:rPr>
          <w:rFonts w:ascii="Arial" w:hAnsi="Arial" w:cs="Arial"/>
        </w:rPr>
      </w:pPr>
      <w:hyperlink w:anchor="Sullivan2005" w:history="1">
        <w:r w:rsidR="008D0565" w:rsidRPr="00D61F73">
          <w:rPr>
            <w:rStyle w:val="Hyperlink"/>
            <w:rFonts w:ascii="Arial" w:hAnsi="Arial" w:cs="Arial"/>
          </w:rPr>
          <w:t>Sullivan MD, Edlund MJ, Steffick D, Unützer J</w:t>
        </w:r>
      </w:hyperlink>
      <w:r w:rsidR="008D0565" w:rsidRPr="00D61F73">
        <w:rPr>
          <w:rFonts w:ascii="Arial" w:hAnsi="Arial" w:cs="Arial"/>
        </w:rPr>
        <w:t xml:space="preserve">. Regular use of prescribed opioids: association with common psychiatric disorders. </w:t>
      </w:r>
      <w:r w:rsidR="008D0565" w:rsidRPr="00D61F73">
        <w:rPr>
          <w:rFonts w:ascii="Arial" w:hAnsi="Arial" w:cs="Arial"/>
          <w:i/>
        </w:rPr>
        <w:t>Pain</w:t>
      </w:r>
      <w:r w:rsidR="008D0565" w:rsidRPr="00D61F73">
        <w:rPr>
          <w:rFonts w:ascii="Arial" w:hAnsi="Arial" w:cs="Arial"/>
        </w:rPr>
        <w:t>. 2005;119:95-103.</w:t>
      </w:r>
    </w:p>
    <w:p w14:paraId="4651ABB7" w14:textId="77777777" w:rsidR="008D0565" w:rsidRPr="00D61F73" w:rsidRDefault="008D0565" w:rsidP="00D61F73">
      <w:pPr>
        <w:rPr>
          <w:rFonts w:ascii="Arial" w:hAnsi="Arial" w:cs="Arial"/>
        </w:rPr>
      </w:pPr>
    </w:p>
    <w:p w14:paraId="46357102" w14:textId="77777777" w:rsidR="008D0565" w:rsidRPr="00D61F73" w:rsidRDefault="00751163" w:rsidP="00D61F73">
      <w:pPr>
        <w:rPr>
          <w:rFonts w:ascii="Arial" w:hAnsi="Arial" w:cs="Arial"/>
        </w:rPr>
      </w:pPr>
      <w:hyperlink w:anchor="Taricco" w:history="1">
        <w:r w:rsidR="008D0565" w:rsidRPr="00D61F73">
          <w:rPr>
            <w:rStyle w:val="Hyperlink"/>
            <w:rFonts w:ascii="Arial" w:hAnsi="Arial" w:cs="Arial"/>
          </w:rPr>
          <w:t>Taricco, M., et al</w:t>
        </w:r>
      </w:hyperlink>
      <w:r w:rsidR="008D0565" w:rsidRPr="00D61F73">
        <w:rPr>
          <w:rFonts w:ascii="Arial" w:hAnsi="Arial" w:cs="Arial"/>
        </w:rPr>
        <w:t xml:space="preserve">. Pharmacological interventions for spasticity following spinal cord injury: results of a Cochrane systematic review. </w:t>
      </w:r>
      <w:r w:rsidR="008D0565" w:rsidRPr="00D61F73">
        <w:rPr>
          <w:rFonts w:ascii="Arial" w:hAnsi="Arial" w:cs="Arial"/>
          <w:i/>
          <w:iCs/>
        </w:rPr>
        <w:t>Eura Medicophys</w:t>
      </w:r>
      <w:r w:rsidR="008D0565" w:rsidRPr="00D61F73">
        <w:rPr>
          <w:rFonts w:ascii="Arial" w:hAnsi="Arial" w:cs="Arial"/>
        </w:rPr>
        <w:t>. 2006; Volume 42: 5-15.</w:t>
      </w:r>
    </w:p>
    <w:p w14:paraId="0B3D384A" w14:textId="77777777" w:rsidR="008D0565" w:rsidRPr="00D61F73" w:rsidRDefault="008D0565" w:rsidP="00D61F73">
      <w:pPr>
        <w:pStyle w:val="Footer"/>
        <w:tabs>
          <w:tab w:val="clear" w:pos="4320"/>
          <w:tab w:val="clear" w:pos="8640"/>
        </w:tabs>
        <w:rPr>
          <w:rFonts w:ascii="Arial" w:hAnsi="Arial" w:cs="Arial"/>
        </w:rPr>
      </w:pPr>
    </w:p>
    <w:p w14:paraId="46A52B33" w14:textId="77777777" w:rsidR="008D0565" w:rsidRPr="00D61F73" w:rsidRDefault="00751163" w:rsidP="00D61F73">
      <w:pPr>
        <w:pStyle w:val="Footer"/>
        <w:tabs>
          <w:tab w:val="clear" w:pos="4320"/>
          <w:tab w:val="clear" w:pos="8640"/>
        </w:tabs>
        <w:rPr>
          <w:rFonts w:ascii="Arial" w:hAnsi="Arial" w:cs="Arial"/>
        </w:rPr>
      </w:pPr>
      <w:hyperlink w:anchor="Tarner2012" w:history="1">
        <w:r w:rsidR="008D0565" w:rsidRPr="00D61F73">
          <w:rPr>
            <w:rStyle w:val="Hyperlink"/>
            <w:rFonts w:ascii="Arial" w:hAnsi="Arial" w:cs="Arial"/>
          </w:rPr>
          <w:t>Tarner IH, Englbrecht M, Schneider M, van der Heijde DM, Müller-Ladner U</w:t>
        </w:r>
      </w:hyperlink>
      <w:r w:rsidR="008D0565" w:rsidRPr="00D61F73">
        <w:rPr>
          <w:rFonts w:ascii="Arial" w:hAnsi="Arial" w:cs="Arial"/>
        </w:rPr>
        <w:t xml:space="preserve">. The role of corticosteroids for pain relief in persistent pain of inflammatory arthritis: a systematic literature review. </w:t>
      </w:r>
      <w:r w:rsidR="008D0565" w:rsidRPr="00D61F73">
        <w:rPr>
          <w:rFonts w:ascii="Arial" w:hAnsi="Arial" w:cs="Arial"/>
          <w:i/>
          <w:iCs/>
        </w:rPr>
        <w:t>J Rheumatol Suppl.</w:t>
      </w:r>
      <w:r w:rsidR="008D0565" w:rsidRPr="00D61F73">
        <w:rPr>
          <w:rFonts w:ascii="Arial" w:hAnsi="Arial" w:cs="Arial"/>
        </w:rPr>
        <w:t xml:space="preserve"> 2012 Sep;90:17-20. doi: 10.3899/jrheum.120337.</w:t>
      </w:r>
    </w:p>
    <w:p w14:paraId="497725D5" w14:textId="77777777" w:rsidR="008D0565" w:rsidRPr="00D61F73" w:rsidRDefault="008D0565" w:rsidP="00D61F73">
      <w:pPr>
        <w:pStyle w:val="Footer"/>
        <w:tabs>
          <w:tab w:val="clear" w:pos="4320"/>
          <w:tab w:val="clear" w:pos="8640"/>
        </w:tabs>
        <w:rPr>
          <w:rFonts w:ascii="Arial" w:hAnsi="Arial" w:cs="Arial"/>
        </w:rPr>
      </w:pPr>
    </w:p>
    <w:p w14:paraId="7AF34234" w14:textId="77777777" w:rsidR="008D0565" w:rsidRPr="00D61F73" w:rsidRDefault="00751163" w:rsidP="00D61F73">
      <w:pPr>
        <w:rPr>
          <w:rFonts w:ascii="Arial" w:hAnsi="Arial" w:cs="Arial"/>
        </w:rPr>
      </w:pPr>
      <w:hyperlink w:anchor="Tassone" w:history="1">
        <w:r w:rsidR="008D0565" w:rsidRPr="00D61F73">
          <w:rPr>
            <w:rStyle w:val="Hyperlink"/>
            <w:rFonts w:ascii="Arial" w:hAnsi="Arial" w:cs="Arial"/>
            <w:bCs/>
            <w:lang w:val="de-DE"/>
          </w:rPr>
          <w:t>Tassone DM</w:t>
        </w:r>
        <w:r w:rsidR="008D0565" w:rsidRPr="00D61F73">
          <w:rPr>
            <w:rStyle w:val="Hyperlink"/>
            <w:rFonts w:ascii="Arial" w:hAnsi="Arial" w:cs="Arial"/>
            <w:lang w:val="de-DE"/>
          </w:rPr>
          <w:t xml:space="preserve">, </w:t>
        </w:r>
        <w:r w:rsidR="008D0565" w:rsidRPr="00D61F73">
          <w:rPr>
            <w:rStyle w:val="Hyperlink"/>
            <w:rFonts w:ascii="Arial" w:hAnsi="Arial" w:cs="Arial"/>
            <w:bCs/>
            <w:lang w:val="de-DE"/>
          </w:rPr>
          <w:t>Boyce E</w:t>
        </w:r>
        <w:r w:rsidR="008D0565" w:rsidRPr="00D61F73">
          <w:rPr>
            <w:rStyle w:val="Hyperlink"/>
            <w:rFonts w:ascii="Arial" w:hAnsi="Arial" w:cs="Arial"/>
            <w:lang w:val="de-DE"/>
          </w:rPr>
          <w:t xml:space="preserve">, </w:t>
        </w:r>
        <w:r w:rsidR="008D0565" w:rsidRPr="00D61F73">
          <w:rPr>
            <w:rStyle w:val="Hyperlink"/>
            <w:rFonts w:ascii="Arial" w:hAnsi="Arial" w:cs="Arial"/>
            <w:bCs/>
            <w:lang w:val="de-DE"/>
          </w:rPr>
          <w:t>Guyer J</w:t>
        </w:r>
        <w:r w:rsidR="008D0565" w:rsidRPr="00D61F73">
          <w:rPr>
            <w:rStyle w:val="Hyperlink"/>
            <w:rFonts w:ascii="Arial" w:hAnsi="Arial" w:cs="Arial"/>
            <w:lang w:val="de-DE"/>
          </w:rPr>
          <w:t xml:space="preserve">, </w:t>
        </w:r>
        <w:r w:rsidR="008D0565" w:rsidRPr="00D61F73">
          <w:rPr>
            <w:rStyle w:val="Hyperlink"/>
            <w:rFonts w:ascii="Arial" w:hAnsi="Arial" w:cs="Arial"/>
            <w:bCs/>
            <w:lang w:val="de-DE"/>
          </w:rPr>
          <w:t>Nuzum D</w:t>
        </w:r>
        <w:r w:rsidR="008D0565" w:rsidRPr="00D61F73">
          <w:rPr>
            <w:rStyle w:val="Hyperlink"/>
            <w:rFonts w:ascii="Arial" w:hAnsi="Arial" w:cs="Arial"/>
            <w:lang w:val="de-DE"/>
          </w:rPr>
          <w:t>.</w:t>
        </w:r>
      </w:hyperlink>
      <w:r w:rsidR="008D0565" w:rsidRPr="00D61F73">
        <w:rPr>
          <w:rFonts w:ascii="Arial" w:hAnsi="Arial" w:cs="Arial"/>
          <w:lang w:val="de-DE"/>
        </w:rPr>
        <w:t xml:space="preserve"> </w:t>
      </w:r>
      <w:r w:rsidR="008D0565" w:rsidRPr="00D61F73">
        <w:rPr>
          <w:rFonts w:ascii="Arial" w:hAnsi="Arial" w:cs="Arial"/>
        </w:rPr>
        <w:t xml:space="preserve">Pregabalin: a novel gamma-aminobutyric acid analogue in the treatment of neuropathic pain, partial-onset seizures, and anxiety disorders. </w:t>
      </w:r>
      <w:r w:rsidR="008D0565" w:rsidRPr="00D61F73">
        <w:rPr>
          <w:rFonts w:ascii="Arial" w:hAnsi="Arial" w:cs="Arial"/>
          <w:i/>
        </w:rPr>
        <w:t>Clin Ther</w:t>
      </w:r>
      <w:r w:rsidR="008D0565" w:rsidRPr="00D61F73">
        <w:rPr>
          <w:rFonts w:ascii="Arial" w:hAnsi="Arial" w:cs="Arial"/>
        </w:rPr>
        <w:t>. 2007. Jan:29(1):26-48.</w:t>
      </w:r>
    </w:p>
    <w:p w14:paraId="613FBF52" w14:textId="77777777" w:rsidR="008D0565" w:rsidRPr="00D61F73" w:rsidRDefault="008D0565" w:rsidP="00D61F73">
      <w:pPr>
        <w:rPr>
          <w:rFonts w:ascii="Arial" w:hAnsi="Arial" w:cs="Arial"/>
        </w:rPr>
      </w:pPr>
    </w:p>
    <w:p w14:paraId="659BA57F" w14:textId="77777777" w:rsidR="008D0565" w:rsidRPr="00D61F73" w:rsidRDefault="00751163" w:rsidP="00D61F73">
      <w:pPr>
        <w:rPr>
          <w:rFonts w:ascii="Arial" w:hAnsi="Arial" w:cs="Arial"/>
        </w:rPr>
      </w:pPr>
      <w:hyperlink w:anchor="Taylor" w:history="1">
        <w:r w:rsidR="008D0565" w:rsidRPr="00D61F73">
          <w:rPr>
            <w:rStyle w:val="Hyperlink"/>
            <w:rFonts w:ascii="Arial" w:hAnsi="Arial" w:cs="Arial"/>
          </w:rPr>
          <w:t>Taylor WD, Doraiswamy PM</w:t>
        </w:r>
      </w:hyperlink>
      <w:r w:rsidR="008D0565" w:rsidRPr="00D61F73">
        <w:rPr>
          <w:rFonts w:ascii="Arial" w:hAnsi="Arial" w:cs="Arial"/>
        </w:rPr>
        <w:t xml:space="preserve">. A Systematic Review of Antidepressant Placebo-Controlled Trials for Geriatric Depression: Limitations of Current Data and Directions for the Future, </w:t>
      </w:r>
      <w:r w:rsidR="008D0565" w:rsidRPr="00D61F73">
        <w:rPr>
          <w:rFonts w:ascii="Arial" w:hAnsi="Arial" w:cs="Arial"/>
          <w:i/>
          <w:iCs/>
        </w:rPr>
        <w:t>Neuropsychopharmacology</w:t>
      </w:r>
      <w:r w:rsidR="008D0565" w:rsidRPr="00D61F73">
        <w:rPr>
          <w:rFonts w:ascii="Arial" w:hAnsi="Arial" w:cs="Arial"/>
        </w:rPr>
        <w:t>. 2004 Sep 1</w:t>
      </w:r>
    </w:p>
    <w:p w14:paraId="1F28EAE1" w14:textId="77777777" w:rsidR="008D0565" w:rsidRPr="00D61F73" w:rsidRDefault="008D0565" w:rsidP="00D61F73">
      <w:pPr>
        <w:rPr>
          <w:rFonts w:ascii="Arial" w:hAnsi="Arial" w:cs="Arial"/>
        </w:rPr>
      </w:pPr>
    </w:p>
    <w:p w14:paraId="7FC7893C" w14:textId="77777777" w:rsidR="008D0565" w:rsidRPr="00D61F73" w:rsidRDefault="00751163" w:rsidP="00D61F73">
      <w:pPr>
        <w:rPr>
          <w:rFonts w:ascii="Arial" w:hAnsi="Arial" w:cs="Arial"/>
        </w:rPr>
      </w:pPr>
      <w:hyperlink w:anchor="Tembe2011" w:history="1">
        <w:r w:rsidR="008D0565" w:rsidRPr="00D61F73">
          <w:rPr>
            <w:rStyle w:val="Hyperlink"/>
            <w:rFonts w:ascii="Arial" w:hAnsi="Arial" w:cs="Arial"/>
          </w:rPr>
          <w:t>Tembe DV, Dhavale A, Desai H, Mane DN, Raut SK, Dhingra G, Sardesai U, Saoji S, Rohra M, Shinde VG, Padsalge M, Paliwal A, Abbasi K, Devnani P, Papinwar S, Phadke S, Mehta H, Bhailume V.</w:t>
        </w:r>
      </w:hyperlink>
      <w:r w:rsidR="008D0565" w:rsidRPr="00D61F73">
        <w:rPr>
          <w:rFonts w:ascii="Arial" w:hAnsi="Arial" w:cs="Arial"/>
        </w:rPr>
        <w:t xml:space="preserve"> Armodafinil versus Modafinil in Patients of Excessive Sleepiness Associated with Shift Work Sleep Disorder: A Randomized Double Blind Multicentric Clinical Trial. </w:t>
      </w:r>
      <w:r w:rsidR="008D0565" w:rsidRPr="00D61F73">
        <w:rPr>
          <w:rFonts w:ascii="Arial" w:hAnsi="Arial" w:cs="Arial"/>
          <w:i/>
          <w:iCs/>
        </w:rPr>
        <w:t>Neurol Res Int.</w:t>
      </w:r>
      <w:r w:rsidR="008D0565" w:rsidRPr="00D61F73">
        <w:rPr>
          <w:rFonts w:ascii="Arial" w:hAnsi="Arial" w:cs="Arial"/>
        </w:rPr>
        <w:t xml:space="preserve"> 2011;2011:514351.</w:t>
      </w:r>
    </w:p>
    <w:p w14:paraId="24E8B849" w14:textId="77777777" w:rsidR="008D0565" w:rsidRPr="00D61F73" w:rsidRDefault="008D0565" w:rsidP="00D61F73">
      <w:pPr>
        <w:rPr>
          <w:rFonts w:ascii="Arial" w:hAnsi="Arial" w:cs="Arial"/>
        </w:rPr>
      </w:pPr>
    </w:p>
    <w:p w14:paraId="0EF29B2B" w14:textId="77777777" w:rsidR="008D0565" w:rsidRPr="00D61F73" w:rsidRDefault="00751163" w:rsidP="00D61F73">
      <w:pPr>
        <w:rPr>
          <w:rFonts w:ascii="Arial" w:hAnsi="Arial" w:cs="Arial"/>
        </w:rPr>
      </w:pPr>
      <w:hyperlink w:anchor="Thompson" w:history="1">
        <w:r w:rsidR="008D0565" w:rsidRPr="00D61F73">
          <w:rPr>
            <w:rStyle w:val="Hyperlink"/>
            <w:rFonts w:ascii="Arial" w:hAnsi="Arial" w:cs="Arial"/>
          </w:rPr>
          <w:t>Thompson JC, Dunbar E, Laye RR.</w:t>
        </w:r>
      </w:hyperlink>
      <w:r w:rsidR="008D0565" w:rsidRPr="00D61F73">
        <w:rPr>
          <w:rFonts w:ascii="Arial" w:hAnsi="Arial" w:cs="Arial"/>
        </w:rPr>
        <w:t xml:space="preserve"> Treatment challenges and complications with ziconotide monotherapy in established pump patients. </w:t>
      </w:r>
      <w:r w:rsidR="008D0565" w:rsidRPr="00D61F73">
        <w:rPr>
          <w:rFonts w:ascii="Arial" w:hAnsi="Arial" w:cs="Arial"/>
          <w:i/>
        </w:rPr>
        <w:t>Pain Physician</w:t>
      </w:r>
      <w:r w:rsidR="008D0565" w:rsidRPr="00D61F73">
        <w:rPr>
          <w:rFonts w:ascii="Arial" w:hAnsi="Arial" w:cs="Arial"/>
        </w:rPr>
        <w:t>. 2006 Apr;9(2):147-52.</w:t>
      </w:r>
    </w:p>
    <w:p w14:paraId="0C378183" w14:textId="77777777" w:rsidR="008D0565" w:rsidRPr="00D61F73" w:rsidRDefault="008D0565" w:rsidP="00D61F73">
      <w:pPr>
        <w:rPr>
          <w:rFonts w:ascii="Arial" w:hAnsi="Arial" w:cs="Arial"/>
        </w:rPr>
      </w:pPr>
    </w:p>
    <w:p w14:paraId="48703D9B" w14:textId="77777777" w:rsidR="008D0565" w:rsidRPr="00D61F73" w:rsidRDefault="00751163" w:rsidP="00D61F73">
      <w:pPr>
        <w:rPr>
          <w:rFonts w:ascii="Arial" w:hAnsi="Arial" w:cs="Arial"/>
        </w:rPr>
      </w:pPr>
      <w:hyperlink w:anchor="Ticknor" w:history="1">
        <w:r w:rsidR="008D0565" w:rsidRPr="00D61F73">
          <w:rPr>
            <w:rStyle w:val="Hyperlink"/>
            <w:rFonts w:ascii="Arial" w:hAnsi="Arial" w:cs="Arial"/>
          </w:rPr>
          <w:t>Ticknor CB,</w:t>
        </w:r>
      </w:hyperlink>
      <w:r w:rsidR="008D0565" w:rsidRPr="00D61F73">
        <w:rPr>
          <w:rFonts w:ascii="Arial" w:hAnsi="Arial" w:cs="Arial"/>
        </w:rPr>
        <w:t xml:space="preserve"> Pharmacologic considerations in treating depression: a patient-centered approach</w:t>
      </w:r>
      <w:r w:rsidR="008D0565" w:rsidRPr="00D61F73">
        <w:rPr>
          <w:rFonts w:ascii="Arial" w:hAnsi="Arial" w:cs="Arial"/>
          <w:i/>
          <w:iCs/>
        </w:rPr>
        <w:t>. J Manag Care Pharm.</w:t>
      </w:r>
      <w:r w:rsidR="008D0565" w:rsidRPr="00D61F73">
        <w:rPr>
          <w:rFonts w:ascii="Arial" w:hAnsi="Arial" w:cs="Arial"/>
        </w:rPr>
        <w:t xml:space="preserve"> 2004 Mar;10(2 Suppl):S8-15.</w:t>
      </w:r>
      <w:r w:rsidR="008D0565" w:rsidRPr="00D61F73">
        <w:rPr>
          <w:rFonts w:ascii="Arial" w:hAnsi="Arial" w:cs="Arial"/>
        </w:rPr>
        <w:br/>
      </w:r>
    </w:p>
    <w:p w14:paraId="14F833EF" w14:textId="77777777" w:rsidR="008D0565" w:rsidRPr="00D61F73" w:rsidRDefault="00751163" w:rsidP="00D61F73">
      <w:pPr>
        <w:rPr>
          <w:rFonts w:ascii="Arial" w:hAnsi="Arial" w:cs="Arial"/>
        </w:rPr>
      </w:pPr>
      <w:hyperlink w:anchor="Tofferi" w:history="1">
        <w:r w:rsidR="008D0565" w:rsidRPr="00D61F73">
          <w:rPr>
            <w:rStyle w:val="Hyperlink"/>
            <w:rFonts w:ascii="Arial" w:hAnsi="Arial" w:cs="Arial"/>
          </w:rPr>
          <w:t>Tofferi JK, Jackson JL, O'Malley PG,</w:t>
        </w:r>
      </w:hyperlink>
      <w:r w:rsidR="008D0565" w:rsidRPr="00D61F73">
        <w:rPr>
          <w:rFonts w:ascii="Arial" w:hAnsi="Arial" w:cs="Arial"/>
        </w:rPr>
        <w:t xml:space="preserve"> Treatment of fibromyalgia with cyclobenzaprine: A meta-analysis, </w:t>
      </w:r>
      <w:r w:rsidR="008D0565" w:rsidRPr="00D61F73">
        <w:rPr>
          <w:rFonts w:ascii="Arial" w:hAnsi="Arial" w:cs="Arial"/>
          <w:i/>
          <w:iCs/>
        </w:rPr>
        <w:t>Arthritis Rheum</w:t>
      </w:r>
      <w:r w:rsidR="008D0565" w:rsidRPr="00D61F73">
        <w:rPr>
          <w:rFonts w:ascii="Arial" w:hAnsi="Arial" w:cs="Arial"/>
        </w:rPr>
        <w:t>. 2004 Feb 15;51(1):9-13.</w:t>
      </w:r>
      <w:r w:rsidR="008D0565" w:rsidRPr="00D61F73">
        <w:rPr>
          <w:rFonts w:ascii="Arial" w:hAnsi="Arial" w:cs="Arial"/>
        </w:rPr>
        <w:br/>
      </w:r>
    </w:p>
    <w:p w14:paraId="10ED1C63" w14:textId="77777777" w:rsidR="008D0565" w:rsidRPr="00D61F73" w:rsidRDefault="00751163" w:rsidP="00D61F73">
      <w:pPr>
        <w:rPr>
          <w:rFonts w:ascii="Arial" w:hAnsi="Arial" w:cs="Arial"/>
        </w:rPr>
      </w:pPr>
      <w:hyperlink w:anchor="Towheed" w:history="1">
        <w:r w:rsidR="008D0565" w:rsidRPr="00D61F73">
          <w:rPr>
            <w:rStyle w:val="Hyperlink"/>
            <w:rFonts w:ascii="Arial" w:hAnsi="Arial" w:cs="Arial"/>
          </w:rPr>
          <w:t>Towheed TE, Anastassiades TP, Shea B, Houpt J, Welch V, Hochberg MC,</w:t>
        </w:r>
      </w:hyperlink>
      <w:r w:rsidR="008D0565" w:rsidRPr="00D61F73">
        <w:rPr>
          <w:rFonts w:ascii="Arial" w:hAnsi="Arial" w:cs="Arial"/>
        </w:rPr>
        <w:t xml:space="preserve"> Glucosamine therapy for treating osteoarthritis, </w:t>
      </w:r>
      <w:r w:rsidR="008D0565" w:rsidRPr="00D61F73">
        <w:rPr>
          <w:rFonts w:ascii="Arial" w:hAnsi="Arial" w:cs="Arial"/>
          <w:i/>
          <w:iCs/>
        </w:rPr>
        <w:t>Cochrane Database Syst Rev</w:t>
      </w:r>
      <w:r w:rsidR="008D0565" w:rsidRPr="00D61F73">
        <w:rPr>
          <w:rFonts w:ascii="Arial" w:hAnsi="Arial" w:cs="Arial"/>
        </w:rPr>
        <w:t>. 2001;(1):CD002946.</w:t>
      </w:r>
    </w:p>
    <w:p w14:paraId="7366BD28" w14:textId="77777777" w:rsidR="008D0565" w:rsidRPr="00D61F73" w:rsidRDefault="008D0565" w:rsidP="00D61F73">
      <w:pPr>
        <w:rPr>
          <w:rFonts w:ascii="Arial" w:hAnsi="Arial" w:cs="Arial"/>
        </w:rPr>
      </w:pPr>
    </w:p>
    <w:p w14:paraId="47739467" w14:textId="77777777" w:rsidR="008D0565" w:rsidRPr="00D61F73" w:rsidRDefault="00751163" w:rsidP="00D61F73">
      <w:pPr>
        <w:rPr>
          <w:rFonts w:ascii="Arial" w:hAnsi="Arial" w:cs="Arial"/>
        </w:rPr>
      </w:pPr>
      <w:hyperlink w:anchor="Towheed2" w:history="1">
        <w:r w:rsidR="008D0565" w:rsidRPr="00D61F73">
          <w:rPr>
            <w:rStyle w:val="Hyperlink"/>
            <w:rFonts w:ascii="Arial" w:hAnsi="Arial" w:cs="Arial"/>
          </w:rPr>
          <w:t>Towheed TE, Maxwell L, Judd MG, Catton M, Hochberg MC, Wells G</w:t>
        </w:r>
      </w:hyperlink>
      <w:r w:rsidR="008D0565" w:rsidRPr="00D61F73">
        <w:rPr>
          <w:rFonts w:ascii="Arial" w:hAnsi="Arial" w:cs="Arial"/>
        </w:rPr>
        <w:t xml:space="preserve">. Acetaminophen for osteoarthritis. </w:t>
      </w:r>
      <w:r w:rsidR="008D0565" w:rsidRPr="00D61F73">
        <w:rPr>
          <w:rFonts w:ascii="Arial" w:hAnsi="Arial" w:cs="Arial"/>
          <w:i/>
        </w:rPr>
        <w:t>Cochrane Database Syst Rev</w:t>
      </w:r>
      <w:r w:rsidR="008D0565" w:rsidRPr="00D61F73">
        <w:rPr>
          <w:rFonts w:ascii="Arial" w:hAnsi="Arial" w:cs="Arial"/>
        </w:rPr>
        <w:t>. 2006 ;(1):CD004257.</w:t>
      </w:r>
    </w:p>
    <w:p w14:paraId="38110A69" w14:textId="77777777" w:rsidR="008D0565" w:rsidRPr="00D61F73" w:rsidRDefault="008D0565" w:rsidP="00D61F73">
      <w:pPr>
        <w:rPr>
          <w:rFonts w:ascii="Arial" w:hAnsi="Arial" w:cs="Arial"/>
        </w:rPr>
      </w:pPr>
    </w:p>
    <w:p w14:paraId="00C93391" w14:textId="77777777" w:rsidR="008D0565" w:rsidRPr="00D61F73" w:rsidRDefault="00751163" w:rsidP="00D61F73">
      <w:pPr>
        <w:rPr>
          <w:rFonts w:ascii="Arial" w:hAnsi="Arial" w:cs="Arial"/>
        </w:rPr>
      </w:pPr>
      <w:hyperlink w:anchor="Towheed2006" w:history="1">
        <w:r w:rsidR="008D0565" w:rsidRPr="00D61F73">
          <w:rPr>
            <w:rStyle w:val="Hyperlink"/>
            <w:rFonts w:ascii="Arial" w:hAnsi="Arial" w:cs="Arial"/>
          </w:rPr>
          <w:t>Towheed TE.</w:t>
        </w:r>
      </w:hyperlink>
      <w:r w:rsidR="008D0565" w:rsidRPr="00D61F73">
        <w:rPr>
          <w:rFonts w:ascii="Arial" w:hAnsi="Arial" w:cs="Arial"/>
        </w:rPr>
        <w:t xml:space="preserve"> Pennsaid therapy for osteoarthritis of the knee: a systematic review and metaanalysis of randomized controlled trials. </w:t>
      </w:r>
      <w:r w:rsidR="008D0565" w:rsidRPr="00D61F73">
        <w:rPr>
          <w:rFonts w:ascii="Arial" w:hAnsi="Arial" w:cs="Arial"/>
          <w:i/>
          <w:iCs/>
        </w:rPr>
        <w:t>J Rheumatol</w:t>
      </w:r>
      <w:r w:rsidR="008D0565" w:rsidRPr="00D61F73">
        <w:rPr>
          <w:rFonts w:ascii="Arial" w:hAnsi="Arial" w:cs="Arial"/>
        </w:rPr>
        <w:t>. 2006 Mar;33(3):567-73.</w:t>
      </w:r>
    </w:p>
    <w:p w14:paraId="41CBF7D9" w14:textId="77777777" w:rsidR="008D0565" w:rsidRPr="00D61F73" w:rsidRDefault="008D0565" w:rsidP="00D61F73">
      <w:pPr>
        <w:rPr>
          <w:rFonts w:ascii="Arial" w:hAnsi="Arial" w:cs="Arial"/>
        </w:rPr>
      </w:pPr>
    </w:p>
    <w:p w14:paraId="48F0262F" w14:textId="77777777" w:rsidR="008D0565" w:rsidRPr="00D61F73" w:rsidRDefault="00751163" w:rsidP="00D61F73">
      <w:pPr>
        <w:rPr>
          <w:rFonts w:ascii="Arial" w:hAnsi="Arial" w:cs="Arial"/>
          <w:bCs/>
        </w:rPr>
      </w:pPr>
      <w:hyperlink w:anchor="Townsend2008" w:history="1">
        <w:r w:rsidR="008D0565" w:rsidRPr="00D61F73">
          <w:rPr>
            <w:rStyle w:val="Hyperlink"/>
            <w:rFonts w:ascii="Arial" w:hAnsi="Arial" w:cs="Arial"/>
            <w:bCs/>
          </w:rPr>
          <w:t>Townsend CO, Kerkvliet JL, Bruce BK, Rome JD, Hooten WM, Luedtke CA, Hodgson JE.</w:t>
        </w:r>
      </w:hyperlink>
      <w:r w:rsidR="008D0565" w:rsidRPr="00D61F73">
        <w:rPr>
          <w:rFonts w:ascii="Arial" w:hAnsi="Arial" w:cs="Arial"/>
          <w:bCs/>
        </w:rPr>
        <w:t xml:space="preserve"> A longitudinal study of the efficacy of a comprehensive pain rehabilitation program with opioid withdrawal: comparison of treatment outcomes based on opioid use status at admission. </w:t>
      </w:r>
      <w:r w:rsidR="008D0565" w:rsidRPr="00D61F73">
        <w:rPr>
          <w:rFonts w:ascii="Arial" w:hAnsi="Arial" w:cs="Arial"/>
          <w:bCs/>
          <w:i/>
        </w:rPr>
        <w:t>Pain</w:t>
      </w:r>
      <w:r w:rsidR="008D0565" w:rsidRPr="00D61F73">
        <w:rPr>
          <w:rFonts w:ascii="Arial" w:hAnsi="Arial" w:cs="Arial"/>
          <w:bCs/>
        </w:rPr>
        <w:t>. 2008;140:177-89.</w:t>
      </w:r>
    </w:p>
    <w:p w14:paraId="3FF5C306" w14:textId="77777777" w:rsidR="008D0565" w:rsidRPr="00D61F73" w:rsidRDefault="008D0565" w:rsidP="00D61F73">
      <w:pPr>
        <w:rPr>
          <w:rFonts w:ascii="Arial" w:hAnsi="Arial" w:cs="Arial"/>
        </w:rPr>
      </w:pPr>
    </w:p>
    <w:p w14:paraId="524790E0" w14:textId="77777777" w:rsidR="008D0565" w:rsidRPr="00D61F73" w:rsidRDefault="00751163" w:rsidP="00D61F73">
      <w:pPr>
        <w:rPr>
          <w:rFonts w:ascii="Arial" w:hAnsi="Arial" w:cs="Arial"/>
        </w:rPr>
      </w:pPr>
      <w:hyperlink w:anchor="Tracz" w:history="1">
        <w:r w:rsidR="008D0565" w:rsidRPr="00D61F73">
          <w:rPr>
            <w:rStyle w:val="Hyperlink"/>
            <w:rFonts w:ascii="Arial" w:hAnsi="Arial" w:cs="Arial"/>
          </w:rPr>
          <w:t>Tracz MJ, Sideras K, Bolona ER, Haddad RM, Kennedy CC, Uraga MV, Caples SM, Erwin PJ, Montori VM</w:t>
        </w:r>
      </w:hyperlink>
      <w:r w:rsidR="008D0565" w:rsidRPr="00D61F73">
        <w:rPr>
          <w:rFonts w:ascii="Arial" w:hAnsi="Arial" w:cs="Arial"/>
        </w:rPr>
        <w:t xml:space="preserve">. Testosterone use in men and its effects on bone health. A systematic review and meta-analysis of randomized placebo-controlled trials. </w:t>
      </w:r>
      <w:r w:rsidR="008D0565" w:rsidRPr="00D61F73">
        <w:rPr>
          <w:rFonts w:ascii="Arial" w:hAnsi="Arial" w:cs="Arial"/>
          <w:i/>
        </w:rPr>
        <w:t>J Clin Endocrinol Metab</w:t>
      </w:r>
      <w:r w:rsidR="008D0565" w:rsidRPr="00D61F73">
        <w:rPr>
          <w:rFonts w:ascii="Arial" w:hAnsi="Arial" w:cs="Arial"/>
        </w:rPr>
        <w:t>. 2006;91:2011-6.</w:t>
      </w:r>
    </w:p>
    <w:p w14:paraId="1E8DB718" w14:textId="77777777" w:rsidR="008D0565" w:rsidRPr="00D61F73" w:rsidRDefault="008D0565" w:rsidP="00D61F73">
      <w:pPr>
        <w:rPr>
          <w:rFonts w:ascii="Arial" w:hAnsi="Arial" w:cs="Arial"/>
        </w:rPr>
      </w:pPr>
    </w:p>
    <w:p w14:paraId="3DB5E5C4" w14:textId="77777777" w:rsidR="008D0565" w:rsidRPr="00D61F73" w:rsidRDefault="00751163" w:rsidP="00D61F73">
      <w:pPr>
        <w:rPr>
          <w:rFonts w:ascii="Arial" w:hAnsi="Arial" w:cs="Arial"/>
        </w:rPr>
      </w:pPr>
      <w:hyperlink w:anchor="Trevino" w:history="1">
        <w:r w:rsidR="008D0565" w:rsidRPr="00D61F73">
          <w:rPr>
            <w:rStyle w:val="Hyperlink"/>
            <w:rFonts w:ascii="Arial" w:hAnsi="Arial" w:cs="Arial"/>
          </w:rPr>
          <w:t>Trevino ME. Grasso AR.</w:t>
        </w:r>
      </w:hyperlink>
      <w:r w:rsidR="008D0565" w:rsidRPr="00D61F73">
        <w:rPr>
          <w:rFonts w:ascii="Arial" w:hAnsi="Arial" w:cs="Arial"/>
        </w:rPr>
        <w:t xml:space="preserve"> ALO-KNT-301: A Multicenter, Randomized, Double-Blind, Placebo-Controlled, Phase 3 Efficacy Study of Morphine Sulfate Plus Naltrexone Hydrochloride </w:t>
      </w:r>
      <w:r w:rsidR="008D0565" w:rsidRPr="00D61F73">
        <w:rPr>
          <w:rFonts w:ascii="Arial" w:hAnsi="Arial" w:cs="Arial"/>
        </w:rPr>
        <w:lastRenderedPageBreak/>
        <w:t>Extended-Release Capsules in Subjects with Moderate to Severe Chronic Pain Due to Osteoarthritis of theHip or Knee. Aug 13, 2009</w:t>
      </w:r>
    </w:p>
    <w:p w14:paraId="063C6613" w14:textId="77777777" w:rsidR="008D0565" w:rsidRPr="00D61F73" w:rsidRDefault="008D0565" w:rsidP="00D61F73">
      <w:pPr>
        <w:rPr>
          <w:rFonts w:ascii="Arial" w:hAnsi="Arial" w:cs="Arial"/>
        </w:rPr>
      </w:pPr>
    </w:p>
    <w:p w14:paraId="5624A085" w14:textId="77777777" w:rsidR="008D0565" w:rsidRPr="00D61F73" w:rsidRDefault="00751163" w:rsidP="00D61F73">
      <w:pPr>
        <w:rPr>
          <w:rFonts w:ascii="Arial" w:hAnsi="Arial" w:cs="Arial"/>
        </w:rPr>
      </w:pPr>
      <w:hyperlink w:anchor="Turk2008" w:history="1">
        <w:r w:rsidR="008D0565" w:rsidRPr="00D61F73">
          <w:rPr>
            <w:rStyle w:val="Hyperlink"/>
            <w:rFonts w:ascii="Arial" w:hAnsi="Arial" w:cs="Arial"/>
          </w:rPr>
          <w:t>Turk DC, Swanson KS, Gatchel RJ</w:t>
        </w:r>
      </w:hyperlink>
      <w:r w:rsidR="008D0565" w:rsidRPr="00D61F73">
        <w:rPr>
          <w:rFonts w:ascii="Arial" w:hAnsi="Arial" w:cs="Arial"/>
        </w:rPr>
        <w:t xml:space="preserve">. Predicting opioid misuse by chronic pain patients: a systematic review and literature synthesis. </w:t>
      </w:r>
      <w:r w:rsidR="008D0565" w:rsidRPr="00D61F73">
        <w:rPr>
          <w:rFonts w:ascii="Arial" w:hAnsi="Arial" w:cs="Arial"/>
          <w:i/>
        </w:rPr>
        <w:t>Clin J Pain</w:t>
      </w:r>
      <w:r w:rsidR="008D0565" w:rsidRPr="00D61F73">
        <w:rPr>
          <w:rFonts w:ascii="Arial" w:hAnsi="Arial" w:cs="Arial"/>
        </w:rPr>
        <w:t>. 2008;24:497-508.</w:t>
      </w:r>
    </w:p>
    <w:p w14:paraId="562F024E" w14:textId="77777777" w:rsidR="008D0565" w:rsidRPr="00D61F73" w:rsidRDefault="008D0565" w:rsidP="00D61F73">
      <w:pPr>
        <w:rPr>
          <w:rFonts w:ascii="Arial" w:hAnsi="Arial" w:cs="Arial"/>
        </w:rPr>
      </w:pPr>
    </w:p>
    <w:p w14:paraId="64784B11" w14:textId="77777777" w:rsidR="008D0565" w:rsidRPr="00D61F73" w:rsidRDefault="00751163" w:rsidP="00D61F73">
      <w:pPr>
        <w:rPr>
          <w:rFonts w:ascii="Arial" w:hAnsi="Arial" w:cs="Arial"/>
        </w:rPr>
      </w:pPr>
      <w:hyperlink w:anchor="Turner4" w:history="1">
        <w:r w:rsidR="008D0565" w:rsidRPr="00D61F73">
          <w:rPr>
            <w:rStyle w:val="Hyperlink"/>
            <w:rFonts w:ascii="Arial" w:hAnsi="Arial" w:cs="Arial"/>
          </w:rPr>
          <w:t>Turner MK, Hooten WM, Schmidt JE, Kerkvliet JL, Townsend CO, Bruce BK</w:t>
        </w:r>
      </w:hyperlink>
      <w:r w:rsidR="008D0565" w:rsidRPr="00D61F73">
        <w:rPr>
          <w:rFonts w:ascii="Arial" w:hAnsi="Arial" w:cs="Arial"/>
        </w:rPr>
        <w:t xml:space="preserve">. Prevalence and clinical correlates of vitamin D inadequacy among patients with chronic pain. </w:t>
      </w:r>
      <w:r w:rsidR="008D0565" w:rsidRPr="00D61F73">
        <w:rPr>
          <w:rFonts w:ascii="Arial" w:hAnsi="Arial" w:cs="Arial"/>
          <w:i/>
          <w:iCs/>
        </w:rPr>
        <w:t>Pain Med</w:t>
      </w:r>
      <w:r w:rsidR="008D0565" w:rsidRPr="00D61F73">
        <w:rPr>
          <w:rFonts w:ascii="Arial" w:hAnsi="Arial" w:cs="Arial"/>
        </w:rPr>
        <w:t xml:space="preserve">. 2008 Nov;9(8):979-84.  </w:t>
      </w:r>
    </w:p>
    <w:p w14:paraId="75E4B81E" w14:textId="77777777" w:rsidR="008D0565" w:rsidRPr="00D61F73" w:rsidRDefault="008D0565" w:rsidP="00D61F73">
      <w:pPr>
        <w:rPr>
          <w:rFonts w:ascii="Arial" w:hAnsi="Arial" w:cs="Arial"/>
        </w:rPr>
      </w:pPr>
    </w:p>
    <w:p w14:paraId="62785B25" w14:textId="77777777" w:rsidR="008D0565" w:rsidRPr="00D61F73" w:rsidRDefault="00751163" w:rsidP="00D61F73">
      <w:pPr>
        <w:rPr>
          <w:rFonts w:ascii="Arial" w:hAnsi="Arial" w:cs="Arial"/>
        </w:rPr>
      </w:pPr>
      <w:hyperlink w:anchor="Turturro" w:history="1">
        <w:r w:rsidR="008D0565" w:rsidRPr="00D61F73">
          <w:rPr>
            <w:rStyle w:val="Hyperlink"/>
            <w:rFonts w:ascii="Arial" w:hAnsi="Arial" w:cs="Arial"/>
          </w:rPr>
          <w:t>Turturro MA, Paris PM, Larkin GL</w:t>
        </w:r>
      </w:hyperlink>
      <w:r w:rsidR="008D0565" w:rsidRPr="00D61F73">
        <w:rPr>
          <w:rFonts w:ascii="Arial" w:hAnsi="Arial" w:cs="Arial"/>
        </w:rPr>
        <w:t xml:space="preserve">. Tramadol versus hydrocodone-acetaminophen in acute musculoskeletal pain: a randomized, double-blind clinical trial. </w:t>
      </w:r>
      <w:r w:rsidR="008D0565" w:rsidRPr="00D61F73">
        <w:rPr>
          <w:rFonts w:ascii="Arial" w:hAnsi="Arial" w:cs="Arial"/>
          <w:i/>
        </w:rPr>
        <w:t>Ann Emerg Med.</w:t>
      </w:r>
      <w:r w:rsidR="008D0565" w:rsidRPr="00D61F73">
        <w:rPr>
          <w:rFonts w:ascii="Arial" w:hAnsi="Arial" w:cs="Arial"/>
        </w:rPr>
        <w:t xml:space="preserve"> 1998 Aug;32(2):139-43.</w:t>
      </w:r>
    </w:p>
    <w:p w14:paraId="3E4D8B35" w14:textId="77777777" w:rsidR="00F964F3" w:rsidRPr="00D61F73" w:rsidRDefault="00F964F3" w:rsidP="00D61F73">
      <w:pPr>
        <w:rPr>
          <w:rFonts w:ascii="Arial" w:hAnsi="Arial" w:cs="Arial"/>
        </w:rPr>
      </w:pPr>
    </w:p>
    <w:p w14:paraId="3FE25841" w14:textId="77777777" w:rsidR="00F964F3" w:rsidRPr="00D61F73" w:rsidRDefault="00751163" w:rsidP="00D61F73">
      <w:pPr>
        <w:rPr>
          <w:rFonts w:ascii="Arial" w:hAnsi="Arial" w:cs="Arial"/>
        </w:rPr>
      </w:pPr>
      <w:hyperlink w:anchor="TYLENOL" w:history="1">
        <w:r w:rsidR="00F964F3" w:rsidRPr="00D61F73">
          <w:rPr>
            <w:rStyle w:val="Hyperlink"/>
            <w:rFonts w:ascii="Arial" w:hAnsi="Arial" w:cs="Arial"/>
          </w:rPr>
          <w:t>Tylenol</w:t>
        </w:r>
        <w:r w:rsidR="00F964F3" w:rsidRPr="00D61F73">
          <w:rPr>
            <w:rStyle w:val="Hyperlink"/>
            <w:rFonts w:ascii="Arial" w:hAnsi="Arial" w:cs="Arial"/>
            <w:vertAlign w:val="superscript"/>
          </w:rPr>
          <w:t xml:space="preserve">® </w:t>
        </w:r>
        <w:r w:rsidR="00F964F3" w:rsidRPr="00D61F73">
          <w:rPr>
            <w:rStyle w:val="Hyperlink"/>
            <w:rFonts w:ascii="Arial" w:hAnsi="Arial" w:cs="Arial"/>
          </w:rPr>
          <w:t>website.</w:t>
        </w:r>
      </w:hyperlink>
      <w:r w:rsidR="00F964F3" w:rsidRPr="00D61F73">
        <w:rPr>
          <w:rFonts w:ascii="Arial" w:hAnsi="Arial" w:cs="Arial"/>
        </w:rPr>
        <w:t xml:space="preserve"> Tylenol Dosage for Adults. (Accessed October 31, 2014) </w:t>
      </w:r>
    </w:p>
    <w:p w14:paraId="696093F2" w14:textId="77777777" w:rsidR="008D0565" w:rsidRPr="00D61F73" w:rsidRDefault="008D0565" w:rsidP="00D61F73">
      <w:pPr>
        <w:rPr>
          <w:rFonts w:ascii="Arial" w:hAnsi="Arial" w:cs="Arial"/>
        </w:rPr>
      </w:pPr>
    </w:p>
    <w:p w14:paraId="39189F0E" w14:textId="77777777" w:rsidR="008D0565" w:rsidRPr="00D61F73" w:rsidRDefault="00751163" w:rsidP="00D61F73">
      <w:pPr>
        <w:rPr>
          <w:rFonts w:ascii="Arial" w:hAnsi="Arial" w:cs="Arial"/>
        </w:rPr>
      </w:pPr>
      <w:hyperlink w:anchor="vanTulder" w:history="1">
        <w:r w:rsidR="008D0565" w:rsidRPr="00D61F73">
          <w:rPr>
            <w:rStyle w:val="Hyperlink"/>
            <w:rFonts w:ascii="Arial" w:hAnsi="Arial" w:cs="Arial"/>
          </w:rPr>
          <w:t>van Tulder MW, Scholten RJ, Koes BW, Deyo RA,</w:t>
        </w:r>
      </w:hyperlink>
      <w:r w:rsidR="008D0565" w:rsidRPr="00D61F73">
        <w:rPr>
          <w:rFonts w:ascii="Arial" w:hAnsi="Arial" w:cs="Arial"/>
        </w:rPr>
        <w:t xml:space="preserve"> Nonsteroidal anti-inflammatory drugs for low back pain: a systematic review within the framework of the Cochrane Collaboration Back Review Group, </w:t>
      </w:r>
      <w:r w:rsidR="008D0565" w:rsidRPr="00D61F73">
        <w:rPr>
          <w:rFonts w:ascii="Arial" w:hAnsi="Arial" w:cs="Arial"/>
          <w:i/>
          <w:iCs/>
        </w:rPr>
        <w:t>Spine</w:t>
      </w:r>
      <w:r w:rsidR="008D0565" w:rsidRPr="00D61F73">
        <w:rPr>
          <w:rFonts w:ascii="Arial" w:hAnsi="Arial" w:cs="Arial"/>
        </w:rPr>
        <w:t>. 2000 Oct 1;25(19):2501-13.</w:t>
      </w:r>
    </w:p>
    <w:p w14:paraId="009AA465" w14:textId="77777777" w:rsidR="008D0565" w:rsidRPr="00D61F73" w:rsidRDefault="008D0565" w:rsidP="00D61F73">
      <w:pPr>
        <w:rPr>
          <w:rFonts w:ascii="Arial" w:hAnsi="Arial" w:cs="Arial"/>
        </w:rPr>
      </w:pPr>
    </w:p>
    <w:p w14:paraId="47A17508" w14:textId="77777777" w:rsidR="008D0565" w:rsidRPr="00D61F73" w:rsidRDefault="00751163" w:rsidP="00D61F73">
      <w:pPr>
        <w:rPr>
          <w:rFonts w:ascii="Arial" w:hAnsi="Arial" w:cs="Arial"/>
        </w:rPr>
      </w:pPr>
      <w:hyperlink w:anchor="vanTulder2" w:history="1">
        <w:r w:rsidR="008D0565" w:rsidRPr="00D61F73">
          <w:rPr>
            <w:rStyle w:val="Hyperlink"/>
            <w:rFonts w:ascii="Arial" w:hAnsi="Arial" w:cs="Arial"/>
          </w:rPr>
          <w:t>van Tulder MW, Koes B, Malmivaara A.</w:t>
        </w:r>
      </w:hyperlink>
      <w:r w:rsidR="008D0565" w:rsidRPr="00D61F73">
        <w:rPr>
          <w:rFonts w:ascii="Arial" w:hAnsi="Arial" w:cs="Arial"/>
        </w:rPr>
        <w:t xml:space="preserve"> Outcome of non-invasive treatment modalities on back pain: an evidence-based review. </w:t>
      </w:r>
      <w:r w:rsidR="008D0565" w:rsidRPr="00D61F73">
        <w:rPr>
          <w:rFonts w:ascii="Arial" w:hAnsi="Arial" w:cs="Arial"/>
          <w:i/>
          <w:iCs/>
        </w:rPr>
        <w:t>Eur Spine J.</w:t>
      </w:r>
      <w:r w:rsidR="008D0565" w:rsidRPr="00D61F73">
        <w:rPr>
          <w:rFonts w:ascii="Arial" w:hAnsi="Arial" w:cs="Arial"/>
        </w:rPr>
        <w:t xml:space="preserve"> 2006 Jan;15 Suppl 1:S64-81.</w:t>
      </w:r>
    </w:p>
    <w:p w14:paraId="1813928B" w14:textId="77777777" w:rsidR="008D0565" w:rsidRPr="00D61F73" w:rsidRDefault="008D0565" w:rsidP="00D61F73">
      <w:pPr>
        <w:rPr>
          <w:rFonts w:ascii="Arial" w:hAnsi="Arial" w:cs="Arial"/>
        </w:rPr>
      </w:pPr>
    </w:p>
    <w:p w14:paraId="41E9AD3F" w14:textId="77777777" w:rsidR="008D0565" w:rsidRPr="00D61F73" w:rsidRDefault="00751163" w:rsidP="00D61F73">
      <w:pPr>
        <w:rPr>
          <w:rFonts w:ascii="Arial" w:hAnsi="Arial" w:cs="Arial"/>
        </w:rPr>
      </w:pPr>
      <w:hyperlink w:anchor="VarasLorenzo2011" w:history="1">
        <w:r w:rsidR="008D0565" w:rsidRPr="00D61F73">
          <w:rPr>
            <w:rStyle w:val="Hyperlink"/>
            <w:rFonts w:ascii="Arial" w:hAnsi="Arial" w:cs="Arial"/>
          </w:rPr>
          <w:t>Varas-Lorenzo C, Riera-Guardia N, Calingaert B, Castellsague J, Pariente A, Scotti L, Sturkenboom M, Perez-Gutthann S</w:t>
        </w:r>
      </w:hyperlink>
      <w:r w:rsidR="008D0565" w:rsidRPr="00D61F73">
        <w:rPr>
          <w:rFonts w:ascii="Arial" w:hAnsi="Arial" w:cs="Arial"/>
        </w:rPr>
        <w:t xml:space="preserve">. Stroke risk and NSAIDs: a systematic review of observational studies. </w:t>
      </w:r>
      <w:r w:rsidR="008D0565" w:rsidRPr="00D61F73">
        <w:rPr>
          <w:rFonts w:ascii="Arial" w:hAnsi="Arial" w:cs="Arial"/>
          <w:i/>
          <w:iCs/>
        </w:rPr>
        <w:t>Pharmacoepidemiol Drug Saf</w:t>
      </w:r>
      <w:r w:rsidR="008D0565" w:rsidRPr="00D61F73">
        <w:rPr>
          <w:rFonts w:ascii="Arial" w:hAnsi="Arial" w:cs="Arial"/>
        </w:rPr>
        <w:t>. 2011 Oct 3. doi: 10.1002/pds.2227. [Epub ahead of print]</w:t>
      </w:r>
    </w:p>
    <w:p w14:paraId="3CA8200E" w14:textId="77777777" w:rsidR="008D0565" w:rsidRPr="00D61F73" w:rsidRDefault="008D0565" w:rsidP="00D61F73">
      <w:pPr>
        <w:rPr>
          <w:rFonts w:ascii="Arial" w:hAnsi="Arial" w:cs="Arial"/>
        </w:rPr>
      </w:pPr>
    </w:p>
    <w:p w14:paraId="18E28E95" w14:textId="77777777" w:rsidR="008D0565" w:rsidRPr="00D61F73" w:rsidRDefault="00751163" w:rsidP="00D61F73">
      <w:pPr>
        <w:rPr>
          <w:rFonts w:ascii="Arial" w:hAnsi="Arial" w:cs="Arial"/>
          <w:lang w:val="es-MX"/>
        </w:rPr>
      </w:pPr>
      <w:hyperlink w:anchor="Volkow" w:history="1">
        <w:r w:rsidR="008D0565" w:rsidRPr="00D61F73">
          <w:rPr>
            <w:rStyle w:val="Hyperlink"/>
            <w:rFonts w:ascii="Arial" w:hAnsi="Arial" w:cs="Arial"/>
          </w:rPr>
          <w:t>Volkow ND, Fowler JS, Logan J, Alexoff D, Zhu W, Telang F, Wang GJ, Jayne M, Hooker JM, Wong C, Hubbard B, Carter P, Warner D, King P, Shea C, Xu Y, Muench L, Apelskog-Torres K</w:t>
        </w:r>
      </w:hyperlink>
      <w:r w:rsidR="008D0565" w:rsidRPr="00D61F73">
        <w:rPr>
          <w:rFonts w:ascii="Arial" w:hAnsi="Arial" w:cs="Arial"/>
        </w:rPr>
        <w:t xml:space="preserve">. Effects of modafinil on dopamine and dopamine transporters in the male human brain: clinical implications. </w:t>
      </w:r>
      <w:r w:rsidR="008D0565" w:rsidRPr="00D61F73">
        <w:rPr>
          <w:rFonts w:ascii="Arial" w:hAnsi="Arial" w:cs="Arial"/>
          <w:i/>
          <w:iCs/>
          <w:lang w:val="es-MX"/>
        </w:rPr>
        <w:t>JAMA</w:t>
      </w:r>
      <w:r w:rsidR="008D0565" w:rsidRPr="00D61F73">
        <w:rPr>
          <w:rFonts w:ascii="Arial" w:hAnsi="Arial" w:cs="Arial"/>
          <w:lang w:val="es-MX"/>
        </w:rPr>
        <w:t>. 2009 Mar 18;301(11):1148-54.</w:t>
      </w:r>
    </w:p>
    <w:p w14:paraId="4684A745" w14:textId="77777777" w:rsidR="008D0565" w:rsidRPr="00D61F73" w:rsidRDefault="008D0565" w:rsidP="00D61F73">
      <w:pPr>
        <w:rPr>
          <w:rFonts w:ascii="Arial" w:hAnsi="Arial" w:cs="Arial"/>
          <w:lang w:val="es-MX"/>
        </w:rPr>
      </w:pPr>
    </w:p>
    <w:p w14:paraId="6A11E44C" w14:textId="77777777" w:rsidR="008D0565" w:rsidRPr="00D61F73" w:rsidRDefault="00751163" w:rsidP="00D61F73">
      <w:pPr>
        <w:rPr>
          <w:rFonts w:ascii="Arial" w:hAnsi="Arial" w:cs="Arial"/>
        </w:rPr>
      </w:pPr>
      <w:hyperlink w:anchor="Voshaar2006" w:history="1">
        <w:r w:rsidR="008D0565" w:rsidRPr="00D61F73">
          <w:rPr>
            <w:rStyle w:val="Hyperlink"/>
            <w:rFonts w:ascii="Arial" w:hAnsi="Arial" w:cs="Arial"/>
            <w:lang w:val="es-MX"/>
          </w:rPr>
          <w:t>Voshaar RC, Couvée JE, van Balkom AJ, Mulder PG, Zitman FG</w:t>
        </w:r>
      </w:hyperlink>
      <w:r w:rsidR="008D0565" w:rsidRPr="00D61F73">
        <w:rPr>
          <w:rFonts w:ascii="Arial" w:hAnsi="Arial" w:cs="Arial"/>
          <w:lang w:val="es-MX"/>
        </w:rPr>
        <w:t xml:space="preserve">. </w:t>
      </w:r>
      <w:r w:rsidR="008D0565" w:rsidRPr="00D61F73">
        <w:rPr>
          <w:rFonts w:ascii="Arial" w:hAnsi="Arial" w:cs="Arial"/>
        </w:rPr>
        <w:t xml:space="preserve">Strategies for discontinuing long-term benzodiazepine use: meta-analysis. </w:t>
      </w:r>
      <w:r w:rsidR="008D0565" w:rsidRPr="00D61F73">
        <w:rPr>
          <w:rFonts w:ascii="Arial" w:hAnsi="Arial" w:cs="Arial"/>
          <w:i/>
        </w:rPr>
        <w:t>Br J Psychiatry</w:t>
      </w:r>
      <w:r w:rsidR="008D0565" w:rsidRPr="00D61F73">
        <w:rPr>
          <w:rFonts w:ascii="Arial" w:hAnsi="Arial" w:cs="Arial"/>
        </w:rPr>
        <w:t>. 2006 ;189:213-20.</w:t>
      </w:r>
    </w:p>
    <w:p w14:paraId="4B701678" w14:textId="77777777" w:rsidR="008D0565" w:rsidRPr="00D61F73" w:rsidRDefault="008D0565" w:rsidP="00D61F73">
      <w:pPr>
        <w:rPr>
          <w:rFonts w:ascii="Arial" w:hAnsi="Arial" w:cs="Arial"/>
        </w:rPr>
      </w:pPr>
    </w:p>
    <w:p w14:paraId="261AD1C9" w14:textId="77777777" w:rsidR="008D0565" w:rsidRPr="00D61F73" w:rsidRDefault="00751163" w:rsidP="00D61F73">
      <w:pPr>
        <w:rPr>
          <w:rFonts w:ascii="Arial" w:hAnsi="Arial" w:cs="Arial"/>
        </w:rPr>
      </w:pPr>
      <w:hyperlink w:anchor="Vuilleumier2012" w:history="1">
        <w:r w:rsidR="008D0565" w:rsidRPr="00D61F73">
          <w:rPr>
            <w:rStyle w:val="Hyperlink"/>
            <w:rFonts w:ascii="Arial" w:hAnsi="Arial" w:cs="Arial"/>
          </w:rPr>
          <w:t>Vuilleumier PH, Stamer UM, Landau R.</w:t>
        </w:r>
      </w:hyperlink>
      <w:r w:rsidR="008D0565" w:rsidRPr="00D61F73">
        <w:rPr>
          <w:rFonts w:ascii="Arial" w:hAnsi="Arial" w:cs="Arial"/>
        </w:rPr>
        <w:t xml:space="preserve"> Pharmacogenomic considerations in opioid analgesia. </w:t>
      </w:r>
      <w:r w:rsidR="008D0565" w:rsidRPr="00D61F73">
        <w:rPr>
          <w:rFonts w:ascii="Arial" w:hAnsi="Arial" w:cs="Arial"/>
          <w:i/>
          <w:iCs/>
        </w:rPr>
        <w:t>Pharmgenomics Pers Med.</w:t>
      </w:r>
      <w:r w:rsidR="008D0565" w:rsidRPr="00D61F73">
        <w:rPr>
          <w:rFonts w:ascii="Arial" w:hAnsi="Arial" w:cs="Arial"/>
        </w:rPr>
        <w:t xml:space="preserve"> 2012;5:73-87. doi: 10.2147/PGPM.S23422.</w:t>
      </w:r>
    </w:p>
    <w:p w14:paraId="6DEEDDD7" w14:textId="77777777" w:rsidR="008D0565" w:rsidRPr="00D61F73" w:rsidRDefault="008D0565" w:rsidP="00D61F73">
      <w:pPr>
        <w:pStyle w:val="Footer"/>
        <w:tabs>
          <w:tab w:val="clear" w:pos="4320"/>
          <w:tab w:val="clear" w:pos="8640"/>
        </w:tabs>
        <w:rPr>
          <w:rFonts w:ascii="Arial" w:hAnsi="Arial" w:cs="Arial"/>
        </w:rPr>
      </w:pPr>
    </w:p>
    <w:p w14:paraId="7FC1686E" w14:textId="77777777" w:rsidR="008D0565" w:rsidRPr="00D61F73" w:rsidRDefault="00751163" w:rsidP="00D61F73">
      <w:pPr>
        <w:rPr>
          <w:rFonts w:ascii="Arial" w:hAnsi="Arial" w:cs="Arial"/>
        </w:rPr>
      </w:pPr>
      <w:hyperlink w:anchor="Waara" w:history="1">
        <w:r w:rsidR="008D0565" w:rsidRPr="00D61F73">
          <w:rPr>
            <w:rStyle w:val="Hyperlink"/>
            <w:rFonts w:ascii="Arial" w:hAnsi="Arial" w:cs="Arial"/>
          </w:rPr>
          <w:t>Waara-Wolleat KL, Hildebrand KR, Stewart GR</w:t>
        </w:r>
      </w:hyperlink>
      <w:r w:rsidR="008D0565" w:rsidRPr="00D61F73">
        <w:rPr>
          <w:rFonts w:ascii="Arial" w:hAnsi="Arial" w:cs="Arial"/>
        </w:rPr>
        <w:t xml:space="preserve">. A review of intrathecal fentanyl and sufentanil for the treatment of chronic pain. </w:t>
      </w:r>
      <w:r w:rsidR="008D0565" w:rsidRPr="00D61F73">
        <w:rPr>
          <w:rFonts w:ascii="Arial" w:hAnsi="Arial" w:cs="Arial"/>
          <w:i/>
        </w:rPr>
        <w:t>Pain Med</w:t>
      </w:r>
      <w:r w:rsidR="008D0565" w:rsidRPr="00D61F73">
        <w:rPr>
          <w:rFonts w:ascii="Arial" w:hAnsi="Arial" w:cs="Arial"/>
        </w:rPr>
        <w:t>. 2006;7:251-9.</w:t>
      </w:r>
    </w:p>
    <w:p w14:paraId="39D03062" w14:textId="77777777" w:rsidR="008D0565" w:rsidRPr="00D61F73" w:rsidRDefault="008D0565" w:rsidP="00D61F73">
      <w:pPr>
        <w:rPr>
          <w:rFonts w:ascii="Arial" w:hAnsi="Arial" w:cs="Arial"/>
        </w:rPr>
      </w:pPr>
    </w:p>
    <w:p w14:paraId="02DCF327" w14:textId="77777777" w:rsidR="008D0565" w:rsidRPr="00D61F73" w:rsidRDefault="00751163" w:rsidP="00D61F73">
      <w:pPr>
        <w:rPr>
          <w:rFonts w:ascii="Arial" w:hAnsi="Arial" w:cs="Arial"/>
        </w:rPr>
      </w:pPr>
      <w:hyperlink w:anchor="Wafford" w:history="1">
        <w:r w:rsidR="008D0565" w:rsidRPr="00D61F73">
          <w:rPr>
            <w:rStyle w:val="Hyperlink"/>
            <w:rFonts w:ascii="Arial" w:hAnsi="Arial" w:cs="Arial"/>
          </w:rPr>
          <w:t>Wafford KA, Ebert B</w:t>
        </w:r>
      </w:hyperlink>
      <w:r w:rsidR="008D0565" w:rsidRPr="00D61F73">
        <w:rPr>
          <w:rFonts w:ascii="Arial" w:hAnsi="Arial" w:cs="Arial"/>
        </w:rPr>
        <w:t xml:space="preserve">. Emerging anti-insomnia drugs: tackling sleeplessness and the quality of wake time. </w:t>
      </w:r>
      <w:r w:rsidR="008D0565" w:rsidRPr="00D61F73">
        <w:rPr>
          <w:rFonts w:ascii="Arial" w:hAnsi="Arial" w:cs="Arial"/>
          <w:i/>
        </w:rPr>
        <w:t>Nat Rev Drug Discov</w:t>
      </w:r>
      <w:r w:rsidR="008D0565" w:rsidRPr="00D61F73">
        <w:rPr>
          <w:rFonts w:ascii="Arial" w:hAnsi="Arial" w:cs="Arial"/>
        </w:rPr>
        <w:t>. 2008;7:530-40. Epub 2008 May 23.</w:t>
      </w:r>
    </w:p>
    <w:p w14:paraId="7168C095" w14:textId="77777777" w:rsidR="008D0565" w:rsidRPr="00D61F73" w:rsidRDefault="008D0565" w:rsidP="00D61F73">
      <w:pPr>
        <w:rPr>
          <w:rFonts w:ascii="Arial" w:hAnsi="Arial" w:cs="Arial"/>
        </w:rPr>
      </w:pPr>
    </w:p>
    <w:p w14:paraId="5AB114C8" w14:textId="77777777" w:rsidR="008D0565" w:rsidRPr="00D61F73" w:rsidRDefault="00751163" w:rsidP="00D61F73">
      <w:pPr>
        <w:pStyle w:val="BodyText"/>
        <w:rPr>
          <w:rFonts w:ascii="Arial" w:hAnsi="Arial" w:cs="Arial"/>
          <w:b w:val="0"/>
          <w:bCs w:val="0"/>
        </w:rPr>
      </w:pPr>
      <w:hyperlink w:anchor="Waknine" w:history="1">
        <w:r w:rsidR="008D0565" w:rsidRPr="00D61F73">
          <w:rPr>
            <w:rStyle w:val="Hyperlink"/>
            <w:rFonts w:ascii="Arial" w:hAnsi="Arial" w:cs="Arial"/>
            <w:b w:val="0"/>
            <w:bCs w:val="0"/>
          </w:rPr>
          <w:t>Waknine Y</w:t>
        </w:r>
      </w:hyperlink>
      <w:r w:rsidR="008D0565" w:rsidRPr="00D61F73">
        <w:rPr>
          <w:rFonts w:ascii="Arial" w:hAnsi="Arial" w:cs="Arial"/>
          <w:b w:val="0"/>
          <w:bCs w:val="0"/>
        </w:rPr>
        <w:t>. Duloxetine HCl (Cymbalta) Approved for Management of Fibromyalgia. Medscape, LLC. Release Date: June 19, 2008.</w:t>
      </w:r>
    </w:p>
    <w:p w14:paraId="567728C7" w14:textId="77777777" w:rsidR="008D0565" w:rsidRPr="00D61F73" w:rsidRDefault="008D0565" w:rsidP="00D61F73">
      <w:pPr>
        <w:rPr>
          <w:rFonts w:ascii="Arial" w:hAnsi="Arial" w:cs="Arial"/>
        </w:rPr>
      </w:pPr>
    </w:p>
    <w:p w14:paraId="34643841" w14:textId="77777777" w:rsidR="008D0565" w:rsidRPr="00D61F73" w:rsidRDefault="00751163" w:rsidP="00D61F73">
      <w:pPr>
        <w:pStyle w:val="BodyText"/>
        <w:rPr>
          <w:rFonts w:ascii="Arial" w:hAnsi="Arial" w:cs="Arial"/>
          <w:b w:val="0"/>
          <w:bCs w:val="0"/>
        </w:rPr>
      </w:pPr>
      <w:hyperlink w:anchor="Wallace" w:history="1">
        <w:r w:rsidR="008D0565" w:rsidRPr="00D61F73">
          <w:rPr>
            <w:rStyle w:val="Hyperlink"/>
            <w:rFonts w:ascii="Arial" w:hAnsi="Arial" w:cs="Arial"/>
            <w:b w:val="0"/>
            <w:bCs w:val="0"/>
          </w:rPr>
          <w:t>Wallace M, Schulteis G, Atkinson JH, Wolfson T, Lazzaretto D, Bentley H, Gouaux B, Abramson I.</w:t>
        </w:r>
      </w:hyperlink>
      <w:r w:rsidR="008D0565" w:rsidRPr="00D61F73">
        <w:rPr>
          <w:rFonts w:ascii="Arial" w:hAnsi="Arial" w:cs="Arial"/>
          <w:b w:val="0"/>
          <w:bCs w:val="0"/>
        </w:rPr>
        <w:t xml:space="preserve"> Dose-dependent Effects of Smoked Cannabis on Capsaicin-induced Pain and Hyperalgesia in Healthy Volunteers. </w:t>
      </w:r>
      <w:r w:rsidR="008D0565" w:rsidRPr="00D61F73">
        <w:rPr>
          <w:rFonts w:ascii="Arial" w:hAnsi="Arial" w:cs="Arial"/>
          <w:b w:val="0"/>
          <w:bCs w:val="0"/>
          <w:i/>
          <w:iCs/>
        </w:rPr>
        <w:t>Anesthesiology.</w:t>
      </w:r>
      <w:r w:rsidR="008D0565" w:rsidRPr="00D61F73">
        <w:rPr>
          <w:rFonts w:ascii="Arial" w:hAnsi="Arial" w:cs="Arial"/>
          <w:b w:val="0"/>
          <w:bCs w:val="0"/>
        </w:rPr>
        <w:t xml:space="preserve"> 107(5):785-796, November 2007.</w:t>
      </w:r>
    </w:p>
    <w:p w14:paraId="03CEE6EA" w14:textId="77777777" w:rsidR="008D0565" w:rsidRPr="00D61F73" w:rsidRDefault="008D0565" w:rsidP="00D61F73">
      <w:pPr>
        <w:rPr>
          <w:rFonts w:ascii="Arial" w:hAnsi="Arial" w:cs="Arial"/>
        </w:rPr>
      </w:pPr>
    </w:p>
    <w:p w14:paraId="337D558F" w14:textId="77777777" w:rsidR="00CC3002" w:rsidRPr="00D61F73" w:rsidRDefault="00751163" w:rsidP="00D61F73">
      <w:pPr>
        <w:rPr>
          <w:rFonts w:ascii="Arial" w:hAnsi="Arial" w:cs="Arial"/>
        </w:rPr>
      </w:pPr>
      <w:hyperlink w:anchor="Wallace2004" w:history="1">
        <w:r w:rsidR="00CC3002" w:rsidRPr="00D61F73">
          <w:rPr>
            <w:rStyle w:val="Hyperlink"/>
            <w:rFonts w:ascii="Arial" w:hAnsi="Arial" w:cs="Arial"/>
          </w:rPr>
          <w:t>Wallace P, Barber J, Clayton W, Currell R, Fleming K, Garner P, Haines A, Harrison R, Jacklin P, Jarrett C, Jayasuriya R, Lewis L, Parker S, Roberts J, Thompson S, Wainwright P.</w:t>
        </w:r>
      </w:hyperlink>
      <w:r w:rsidR="00CC3002" w:rsidRPr="00D61F73">
        <w:rPr>
          <w:rFonts w:ascii="Arial" w:hAnsi="Arial" w:cs="Arial"/>
        </w:rPr>
        <w:t xml:space="preserve"> Virtual outreach: a randomised controlled trial and economic evaluation of joint teleconferenced medical consultations. Health Technol Assess. 2004 Dec;8(50):1-106, iii-iv.  </w:t>
      </w:r>
    </w:p>
    <w:p w14:paraId="6A480B6A" w14:textId="77777777" w:rsidR="00F81AE5" w:rsidRPr="00D61F73" w:rsidRDefault="00F81AE5" w:rsidP="00D61F73">
      <w:pPr>
        <w:rPr>
          <w:rFonts w:ascii="Arial" w:hAnsi="Arial" w:cs="Arial"/>
        </w:rPr>
      </w:pPr>
    </w:p>
    <w:p w14:paraId="68EAD1C0" w14:textId="77777777" w:rsidR="008D0565" w:rsidRPr="00D61F73" w:rsidRDefault="00751163" w:rsidP="00D61F73">
      <w:pPr>
        <w:rPr>
          <w:rFonts w:ascii="Arial" w:hAnsi="Arial" w:cs="Arial"/>
        </w:rPr>
      </w:pPr>
      <w:hyperlink w:anchor="Walsh" w:history="1">
        <w:r w:rsidR="008D0565" w:rsidRPr="00D61F73">
          <w:rPr>
            <w:rStyle w:val="Hyperlink"/>
            <w:rFonts w:ascii="Arial" w:hAnsi="Arial" w:cs="Arial"/>
          </w:rPr>
          <w:t>Walsh JK, Krystal AD, Amato DA, Rubens R, Caron J, Wessel TC, Schaefer K, Roach J, Wallenstein G, Roth T.</w:t>
        </w:r>
      </w:hyperlink>
      <w:r w:rsidR="008D0565" w:rsidRPr="00D61F73">
        <w:rPr>
          <w:rFonts w:ascii="Arial" w:hAnsi="Arial" w:cs="Arial"/>
        </w:rPr>
        <w:t xml:space="preserve"> Nightly treatment of primary insomnia with eszopiclone for six months: effect on sleep, quality of life, and work limitations</w:t>
      </w:r>
      <w:r w:rsidR="008D0565" w:rsidRPr="00D61F73">
        <w:rPr>
          <w:rFonts w:ascii="Arial" w:hAnsi="Arial" w:cs="Arial"/>
          <w:i/>
        </w:rPr>
        <w:t>. Sleep</w:t>
      </w:r>
      <w:r w:rsidR="008D0565" w:rsidRPr="00D61F73">
        <w:rPr>
          <w:rFonts w:ascii="Arial" w:hAnsi="Arial" w:cs="Arial"/>
        </w:rPr>
        <w:t>. 2007;30:959-68.</w:t>
      </w:r>
    </w:p>
    <w:p w14:paraId="137D9057" w14:textId="77777777" w:rsidR="008D0565" w:rsidRPr="00D61F73" w:rsidRDefault="008D0565" w:rsidP="00D61F73">
      <w:pPr>
        <w:rPr>
          <w:rFonts w:ascii="Arial" w:hAnsi="Arial" w:cs="Arial"/>
        </w:rPr>
      </w:pPr>
    </w:p>
    <w:p w14:paraId="5317080F" w14:textId="77777777" w:rsidR="008D0565" w:rsidRPr="00D61F73" w:rsidRDefault="00751163" w:rsidP="00D61F73">
      <w:pPr>
        <w:pStyle w:val="BodyText"/>
        <w:rPr>
          <w:rFonts w:ascii="Arial" w:hAnsi="Arial" w:cs="Arial"/>
          <w:b w:val="0"/>
          <w:bCs w:val="0"/>
        </w:rPr>
      </w:pPr>
      <w:hyperlink w:anchor="Washington" w:history="1">
        <w:r w:rsidR="008D0565" w:rsidRPr="00D61F73">
          <w:rPr>
            <w:rStyle w:val="Hyperlink"/>
            <w:rFonts w:ascii="Arial" w:hAnsi="Arial" w:cs="Arial"/>
            <w:b w:val="0"/>
            <w:bCs w:val="0"/>
          </w:rPr>
          <w:t>Washington State Department of Labor and Industries</w:t>
        </w:r>
      </w:hyperlink>
      <w:r w:rsidR="008D0565" w:rsidRPr="00D61F73">
        <w:rPr>
          <w:rFonts w:ascii="Arial" w:hAnsi="Arial" w:cs="Arial"/>
          <w:b w:val="0"/>
          <w:bCs w:val="0"/>
        </w:rPr>
        <w:t>. Guidelines for outpatient prescription of oral opioids for injured workers with chronic, noncancer pain. Olympia (WA): Washington State Department of Labor and Industries; 2002 Aug.</w:t>
      </w:r>
      <w:r w:rsidR="008D6C76" w:rsidRPr="00D61F73">
        <w:rPr>
          <w:rFonts w:ascii="Arial" w:hAnsi="Arial" w:cs="Arial"/>
          <w:b w:val="0"/>
          <w:bCs w:val="0"/>
        </w:rPr>
        <w:t xml:space="preserve"> </w:t>
      </w:r>
    </w:p>
    <w:p w14:paraId="359D18F7" w14:textId="77777777" w:rsidR="008D0565" w:rsidRPr="00D61F73" w:rsidRDefault="008D0565" w:rsidP="00D61F73">
      <w:pPr>
        <w:rPr>
          <w:rFonts w:ascii="Arial" w:hAnsi="Arial" w:cs="Arial"/>
        </w:rPr>
      </w:pPr>
    </w:p>
    <w:p w14:paraId="66D39CB0" w14:textId="77777777" w:rsidR="008D0565" w:rsidRPr="00D61F73" w:rsidRDefault="00751163" w:rsidP="00D61F73">
      <w:pPr>
        <w:rPr>
          <w:rFonts w:ascii="Arial" w:hAnsi="Arial" w:cs="Arial"/>
        </w:rPr>
      </w:pPr>
      <w:hyperlink w:anchor="Washington2" w:history="1">
        <w:r w:rsidR="008D0565" w:rsidRPr="00D61F73">
          <w:rPr>
            <w:rStyle w:val="Hyperlink"/>
            <w:rFonts w:ascii="Arial" w:hAnsi="Arial" w:cs="Arial"/>
          </w:rPr>
          <w:t>Washington State Department of Labor and Industries</w:t>
        </w:r>
      </w:hyperlink>
      <w:r w:rsidR="008D0565" w:rsidRPr="00D61F73">
        <w:rPr>
          <w:rFonts w:ascii="Arial" w:hAnsi="Arial" w:cs="Arial"/>
        </w:rPr>
        <w:t xml:space="preserve">. Antiepileptic drugs guideline for chronic pain. </w:t>
      </w:r>
      <w:r w:rsidR="008D0565" w:rsidRPr="00D61F73">
        <w:rPr>
          <w:rFonts w:ascii="Arial" w:hAnsi="Arial" w:cs="Arial"/>
          <w:i/>
          <w:iCs/>
        </w:rPr>
        <w:t>Provider Bull</w:t>
      </w:r>
      <w:r w:rsidR="008D0565" w:rsidRPr="00D61F73">
        <w:rPr>
          <w:rFonts w:ascii="Arial" w:hAnsi="Arial" w:cs="Arial"/>
        </w:rPr>
        <w:t xml:space="preserve"> 2005 Aug;(PB 05-10):1-3.</w:t>
      </w:r>
    </w:p>
    <w:p w14:paraId="5F2EE76C" w14:textId="77777777" w:rsidR="008D0565" w:rsidRPr="00D61F73" w:rsidRDefault="008D0565" w:rsidP="00D61F73">
      <w:pPr>
        <w:rPr>
          <w:rFonts w:ascii="Arial" w:hAnsi="Arial" w:cs="Arial"/>
        </w:rPr>
      </w:pPr>
    </w:p>
    <w:p w14:paraId="2571121F" w14:textId="77777777" w:rsidR="008D0565" w:rsidRPr="00D61F73" w:rsidRDefault="00751163" w:rsidP="00D61F73">
      <w:pPr>
        <w:rPr>
          <w:rFonts w:ascii="Arial" w:hAnsi="Arial" w:cs="Arial"/>
        </w:rPr>
      </w:pPr>
      <w:hyperlink w:anchor="Watkins" w:history="1">
        <w:r w:rsidR="008D0565" w:rsidRPr="00D61F73">
          <w:rPr>
            <w:rStyle w:val="Hyperlink"/>
            <w:rFonts w:ascii="Arial" w:hAnsi="Arial" w:cs="Arial"/>
          </w:rPr>
          <w:t>Watkins PB, Kaplowitz N, Slattery JT, Colonese CR, Colucci SV, Stewart PW, Harris SC.</w:t>
        </w:r>
      </w:hyperlink>
      <w:r w:rsidR="008D0565" w:rsidRPr="00D61F73">
        <w:rPr>
          <w:rFonts w:ascii="Arial" w:hAnsi="Arial" w:cs="Arial"/>
        </w:rPr>
        <w:t xml:space="preserve"> Aminotransferase elevations in healthy adults receiving 4 grams of acetaminophen daily: a randomized controlled trial. </w:t>
      </w:r>
      <w:r w:rsidR="008D0565" w:rsidRPr="00D61F73">
        <w:rPr>
          <w:rFonts w:ascii="Arial" w:hAnsi="Arial" w:cs="Arial"/>
          <w:i/>
          <w:iCs/>
        </w:rPr>
        <w:t>JAMA</w:t>
      </w:r>
      <w:r w:rsidR="008D0565" w:rsidRPr="00D61F73">
        <w:rPr>
          <w:rFonts w:ascii="Arial" w:hAnsi="Arial" w:cs="Arial"/>
        </w:rPr>
        <w:t>. 2006 Jul 5;296(1):87-93.</w:t>
      </w:r>
    </w:p>
    <w:p w14:paraId="7DD0FAB6" w14:textId="77777777" w:rsidR="008D0565" w:rsidRPr="00D61F73" w:rsidRDefault="008D0565" w:rsidP="00D61F73">
      <w:pPr>
        <w:rPr>
          <w:rFonts w:ascii="Arial" w:hAnsi="Arial" w:cs="Arial"/>
        </w:rPr>
      </w:pPr>
    </w:p>
    <w:p w14:paraId="552F14F2" w14:textId="77777777" w:rsidR="00EF3DC3" w:rsidRPr="00D61F73" w:rsidRDefault="00751163" w:rsidP="00D61F73">
      <w:pPr>
        <w:rPr>
          <w:rFonts w:ascii="Arial" w:hAnsi="Arial" w:cs="Arial"/>
        </w:rPr>
      </w:pPr>
      <w:hyperlink w:anchor="Webster2011" w:history="1">
        <w:r w:rsidR="00EF3DC3" w:rsidRPr="00D61F73">
          <w:rPr>
            <w:rStyle w:val="Hyperlink"/>
            <w:rFonts w:ascii="Arial" w:hAnsi="Arial" w:cs="Arial"/>
          </w:rPr>
          <w:t>Webster LR, Cochella S, Dasgupta N, Fakata KL, Fine PG, Fishman SM, Grey T, Johnson EM, Lee LK, Passik SD, Peppin J, Porucznik CA, Ray A, Schnoll SH, Stieg RL, Wakeland W.</w:t>
        </w:r>
      </w:hyperlink>
      <w:r w:rsidR="00EF3DC3" w:rsidRPr="00D61F73">
        <w:rPr>
          <w:rFonts w:ascii="Arial" w:hAnsi="Arial" w:cs="Arial"/>
        </w:rPr>
        <w:t xml:space="preserve"> An analysis of the root causes for opioid-related overdose deaths in the United States. Pain Med. 2011;12:S26-35.</w:t>
      </w:r>
    </w:p>
    <w:p w14:paraId="0A43796F" w14:textId="77777777" w:rsidR="00EF3DC3" w:rsidRPr="00D61F73" w:rsidRDefault="00EF3DC3" w:rsidP="00D61F73">
      <w:pPr>
        <w:rPr>
          <w:rFonts w:ascii="Arial" w:hAnsi="Arial" w:cs="Arial"/>
        </w:rPr>
      </w:pPr>
    </w:p>
    <w:p w14:paraId="599651EB" w14:textId="77777777" w:rsidR="008D0565" w:rsidRPr="00D61F73" w:rsidRDefault="00751163" w:rsidP="00D61F73">
      <w:pPr>
        <w:rPr>
          <w:rFonts w:ascii="Arial" w:hAnsi="Arial" w:cs="Arial"/>
        </w:rPr>
      </w:pPr>
      <w:hyperlink w:anchor="Weiss2011" w:history="1">
        <w:r w:rsidR="008D0565" w:rsidRPr="00D61F73">
          <w:rPr>
            <w:rStyle w:val="Hyperlink"/>
            <w:rFonts w:ascii="Arial" w:hAnsi="Arial" w:cs="Arial"/>
          </w:rPr>
          <w:t>Weiss RD, Potter JS, Fiellin DA, Byrne M, Connery HS, Dickinson W, Gardin J, Griffin ML, Gourevitch MN, Haller DL, Hasson AL, Huang Z, Jacobs P, Kosinski AS, Lindblad R, McCance-Katz EF, Provost SE, Selzer J, Somoza EC, Sonne SC, Ling W</w:t>
        </w:r>
      </w:hyperlink>
      <w:r w:rsidR="008D0565" w:rsidRPr="00D61F73">
        <w:rPr>
          <w:rFonts w:ascii="Arial" w:hAnsi="Arial" w:cs="Arial"/>
        </w:rPr>
        <w:t xml:space="preserve">. Adjunctive Counseling During Brief and Extended Buprenorphine-Naloxone Treatment for Prescription Opioid Dependence: A 2-Phase Randomized Controlled Trial. </w:t>
      </w:r>
      <w:r w:rsidR="008D0565" w:rsidRPr="00D61F73">
        <w:rPr>
          <w:rFonts w:ascii="Arial" w:hAnsi="Arial" w:cs="Arial"/>
          <w:i/>
          <w:iCs/>
        </w:rPr>
        <w:t>Arch Gen Psychiatry.</w:t>
      </w:r>
      <w:r w:rsidR="008D0565" w:rsidRPr="00D61F73">
        <w:rPr>
          <w:rFonts w:ascii="Arial" w:hAnsi="Arial" w:cs="Arial"/>
        </w:rPr>
        <w:t xml:space="preserve"> 2011 Nov 7. [Epub ahead of print]</w:t>
      </w:r>
    </w:p>
    <w:p w14:paraId="76D17FDB" w14:textId="77777777" w:rsidR="008D0565" w:rsidRPr="00D61F73" w:rsidRDefault="008D0565" w:rsidP="00D61F73">
      <w:pPr>
        <w:rPr>
          <w:rFonts w:ascii="Arial" w:hAnsi="Arial" w:cs="Arial"/>
        </w:rPr>
      </w:pPr>
    </w:p>
    <w:p w14:paraId="5E22EC71" w14:textId="77777777" w:rsidR="008D0565" w:rsidRPr="00D61F73" w:rsidRDefault="00751163" w:rsidP="00D61F73">
      <w:pPr>
        <w:rPr>
          <w:rFonts w:ascii="Arial" w:hAnsi="Arial" w:cs="Arial"/>
        </w:rPr>
      </w:pPr>
      <w:hyperlink w:anchor="Wenham2010" w:history="1">
        <w:r w:rsidR="008D0565" w:rsidRPr="00D61F73">
          <w:rPr>
            <w:rStyle w:val="Hyperlink"/>
            <w:rFonts w:ascii="Arial" w:hAnsi="Arial" w:cs="Arial"/>
          </w:rPr>
          <w:t>Wenham CY, Conaghan PG</w:t>
        </w:r>
      </w:hyperlink>
      <w:r w:rsidR="008D0565" w:rsidRPr="00D61F73">
        <w:rPr>
          <w:rFonts w:ascii="Arial" w:hAnsi="Arial" w:cs="Arial"/>
        </w:rPr>
        <w:t xml:space="preserve">. Optimising pain control in osteoarthritis. </w:t>
      </w:r>
      <w:r w:rsidR="008D0565" w:rsidRPr="00D61F73">
        <w:rPr>
          <w:rFonts w:ascii="Arial" w:hAnsi="Arial" w:cs="Arial"/>
          <w:i/>
        </w:rPr>
        <w:t>Practitioner</w:t>
      </w:r>
      <w:r w:rsidR="008D0565" w:rsidRPr="00D61F73">
        <w:rPr>
          <w:rFonts w:ascii="Arial" w:hAnsi="Arial" w:cs="Arial"/>
        </w:rPr>
        <w:t>. 2010;254:23-6, 2-3.</w:t>
      </w:r>
    </w:p>
    <w:p w14:paraId="7CD59CDD" w14:textId="77777777" w:rsidR="008D0565" w:rsidRPr="00D61F73" w:rsidRDefault="008D0565" w:rsidP="00D61F73">
      <w:pPr>
        <w:rPr>
          <w:rFonts w:ascii="Arial" w:hAnsi="Arial" w:cs="Arial"/>
        </w:rPr>
      </w:pPr>
    </w:p>
    <w:p w14:paraId="29EFC71E" w14:textId="77777777" w:rsidR="008D0565" w:rsidRPr="00D61F73" w:rsidRDefault="00751163" w:rsidP="00D61F73">
      <w:pPr>
        <w:rPr>
          <w:rFonts w:ascii="Arial" w:hAnsi="Arial" w:cs="Arial"/>
        </w:rPr>
      </w:pPr>
      <w:hyperlink w:anchor="Wermeling" w:history="1">
        <w:r w:rsidR="008D0565" w:rsidRPr="00D61F73">
          <w:rPr>
            <w:rStyle w:val="Hyperlink"/>
            <w:rFonts w:ascii="Arial" w:hAnsi="Arial" w:cs="Arial"/>
          </w:rPr>
          <w:t>Wermeling DP.</w:t>
        </w:r>
      </w:hyperlink>
      <w:r w:rsidR="008D0565" w:rsidRPr="00D61F73">
        <w:rPr>
          <w:rFonts w:ascii="Arial" w:hAnsi="Arial" w:cs="Arial"/>
        </w:rPr>
        <w:t xml:space="preserve"> Ziconotide, an intrathecally administered N-type calcium channel antagonist for the treatment of chronic pain. </w:t>
      </w:r>
      <w:r w:rsidR="008D0565" w:rsidRPr="00D61F73">
        <w:rPr>
          <w:rFonts w:ascii="Arial" w:hAnsi="Arial" w:cs="Arial"/>
          <w:i/>
        </w:rPr>
        <w:t>Pharmacotherapy.</w:t>
      </w:r>
      <w:r w:rsidR="008D0565" w:rsidRPr="00D61F73">
        <w:rPr>
          <w:rFonts w:ascii="Arial" w:hAnsi="Arial" w:cs="Arial"/>
        </w:rPr>
        <w:t xml:space="preserve"> 2005 Aug;25(8):1084-94.</w:t>
      </w:r>
    </w:p>
    <w:p w14:paraId="6EB6950D" w14:textId="77777777" w:rsidR="000B5E8C" w:rsidRPr="00D61F73" w:rsidRDefault="000B5E8C" w:rsidP="00D61F73">
      <w:pPr>
        <w:rPr>
          <w:rFonts w:ascii="Arial" w:hAnsi="Arial" w:cs="Arial"/>
        </w:rPr>
      </w:pPr>
    </w:p>
    <w:p w14:paraId="6D80F4AD" w14:textId="77777777" w:rsidR="000B5E8C" w:rsidRPr="00D61F73" w:rsidRDefault="00751163" w:rsidP="00D61F73">
      <w:pPr>
        <w:rPr>
          <w:rFonts w:ascii="Arial" w:hAnsi="Arial" w:cs="Arial"/>
        </w:rPr>
      </w:pPr>
      <w:hyperlink w:anchor="Wermeling2015" w:history="1">
        <w:r w:rsidR="000B5E8C" w:rsidRPr="00D61F73">
          <w:rPr>
            <w:rStyle w:val="Hyperlink"/>
            <w:rFonts w:ascii="Arial" w:hAnsi="Arial" w:cs="Arial"/>
          </w:rPr>
          <w:t>Wermeling DP.</w:t>
        </w:r>
      </w:hyperlink>
      <w:r w:rsidR="000B5E8C" w:rsidRPr="00D61F73">
        <w:rPr>
          <w:rFonts w:ascii="Arial" w:hAnsi="Arial" w:cs="Arial"/>
        </w:rPr>
        <w:t xml:space="preserve"> Review of naloxone safety for opioid overdose: practical considerations for new technology and expanded public access. Ther Adv Drug Saf. 2015;6:20-31.</w:t>
      </w:r>
    </w:p>
    <w:p w14:paraId="073792DA" w14:textId="77777777" w:rsidR="008D0565" w:rsidRPr="00D61F73" w:rsidRDefault="008D0565" w:rsidP="00D61F73">
      <w:pPr>
        <w:pStyle w:val="Footer"/>
        <w:tabs>
          <w:tab w:val="clear" w:pos="4320"/>
          <w:tab w:val="clear" w:pos="8640"/>
        </w:tabs>
        <w:rPr>
          <w:rFonts w:ascii="Arial" w:hAnsi="Arial" w:cs="Arial"/>
        </w:rPr>
      </w:pPr>
    </w:p>
    <w:p w14:paraId="7A096E5D" w14:textId="77777777" w:rsidR="0082278B" w:rsidRPr="00D61F73" w:rsidRDefault="00751163" w:rsidP="00D61F73">
      <w:pPr>
        <w:pStyle w:val="Footer"/>
        <w:tabs>
          <w:tab w:val="clear" w:pos="4320"/>
          <w:tab w:val="clear" w:pos="8640"/>
        </w:tabs>
        <w:rPr>
          <w:rFonts w:ascii="Arial" w:hAnsi="Arial" w:cs="Arial"/>
        </w:rPr>
      </w:pPr>
      <w:hyperlink w:anchor="Weschules" w:history="1">
        <w:r w:rsidR="008D0565" w:rsidRPr="00D61F73">
          <w:rPr>
            <w:rStyle w:val="Hyperlink"/>
            <w:rFonts w:ascii="Arial" w:hAnsi="Arial" w:cs="Arial"/>
          </w:rPr>
          <w:t>Weschules DJ, Bain KT, Richeimer S</w:t>
        </w:r>
      </w:hyperlink>
      <w:r w:rsidR="008D0565" w:rsidRPr="00D61F73">
        <w:rPr>
          <w:rFonts w:ascii="Arial" w:hAnsi="Arial" w:cs="Arial"/>
        </w:rPr>
        <w:t xml:space="preserve">. Actual and potential drug interactions associated with methadone. </w:t>
      </w:r>
      <w:r w:rsidR="008D0565" w:rsidRPr="00D61F73">
        <w:rPr>
          <w:rFonts w:ascii="Arial" w:hAnsi="Arial" w:cs="Arial"/>
          <w:i/>
        </w:rPr>
        <w:t>Pain Med</w:t>
      </w:r>
      <w:r w:rsidR="008D0565" w:rsidRPr="00D61F73">
        <w:rPr>
          <w:rFonts w:ascii="Arial" w:hAnsi="Arial" w:cs="Arial"/>
        </w:rPr>
        <w:t>. 2008;9:315-44.</w:t>
      </w:r>
    </w:p>
    <w:p w14:paraId="56DBD654" w14:textId="77777777" w:rsidR="008D0565" w:rsidRPr="00D61F73" w:rsidRDefault="008D0565" w:rsidP="00D61F73">
      <w:pPr>
        <w:pStyle w:val="Footer"/>
        <w:tabs>
          <w:tab w:val="clear" w:pos="4320"/>
          <w:tab w:val="clear" w:pos="8640"/>
        </w:tabs>
        <w:rPr>
          <w:rFonts w:ascii="Arial" w:hAnsi="Arial" w:cs="Arial"/>
        </w:rPr>
      </w:pPr>
    </w:p>
    <w:p w14:paraId="4ABA27C3" w14:textId="77777777" w:rsidR="0082278B" w:rsidRPr="00D61F73" w:rsidRDefault="00751163" w:rsidP="00D61F73">
      <w:pPr>
        <w:pStyle w:val="Footer"/>
        <w:tabs>
          <w:tab w:val="clear" w:pos="4320"/>
          <w:tab w:val="clear" w:pos="8640"/>
        </w:tabs>
        <w:rPr>
          <w:rFonts w:ascii="Arial" w:hAnsi="Arial" w:cs="Arial"/>
        </w:rPr>
      </w:pPr>
      <w:hyperlink w:anchor="White2011" w:history="1">
        <w:r w:rsidR="008D0565" w:rsidRPr="00D61F73">
          <w:rPr>
            <w:rStyle w:val="Hyperlink"/>
            <w:rFonts w:ascii="Arial" w:hAnsi="Arial" w:cs="Arial"/>
          </w:rPr>
          <w:t>White AP, Arnold PM, Norvell DC, Ecker E, Fehlings MG</w:t>
        </w:r>
      </w:hyperlink>
      <w:r w:rsidR="008D0565" w:rsidRPr="00D61F73">
        <w:rPr>
          <w:rFonts w:ascii="Arial" w:hAnsi="Arial" w:cs="Arial"/>
        </w:rPr>
        <w:t xml:space="preserve">. Pharmacologic management of chronic low back pain: synthesis of the evidence. </w:t>
      </w:r>
      <w:r w:rsidR="008D0565" w:rsidRPr="00D61F73">
        <w:rPr>
          <w:rFonts w:ascii="Arial" w:hAnsi="Arial" w:cs="Arial"/>
          <w:i/>
        </w:rPr>
        <w:t>Spine</w:t>
      </w:r>
      <w:r w:rsidR="008D0565" w:rsidRPr="00D61F73">
        <w:rPr>
          <w:rFonts w:ascii="Arial" w:hAnsi="Arial" w:cs="Arial"/>
        </w:rPr>
        <w:t xml:space="preserve"> </w:t>
      </w:r>
      <w:r w:rsidR="008D0565" w:rsidRPr="00D61F73">
        <w:rPr>
          <w:rFonts w:ascii="Arial" w:hAnsi="Arial" w:cs="Arial"/>
          <w:i/>
          <w:iCs/>
        </w:rPr>
        <w:t>(Phila Pa 1976).</w:t>
      </w:r>
      <w:r w:rsidR="008D0565" w:rsidRPr="00D61F73">
        <w:rPr>
          <w:rFonts w:ascii="Arial" w:hAnsi="Arial" w:cs="Arial"/>
        </w:rPr>
        <w:t xml:space="preserve"> 2011;36:S131-43.</w:t>
      </w:r>
    </w:p>
    <w:p w14:paraId="6294361C" w14:textId="77777777" w:rsidR="0082278B" w:rsidRPr="00D61F73" w:rsidRDefault="0082278B" w:rsidP="00D61F73">
      <w:pPr>
        <w:pStyle w:val="Footer"/>
        <w:tabs>
          <w:tab w:val="clear" w:pos="4320"/>
          <w:tab w:val="clear" w:pos="8640"/>
        </w:tabs>
        <w:rPr>
          <w:rFonts w:ascii="Arial" w:hAnsi="Arial" w:cs="Arial"/>
        </w:rPr>
      </w:pPr>
    </w:p>
    <w:p w14:paraId="6AECBAF1" w14:textId="77777777" w:rsidR="0082278B" w:rsidRPr="00D61F73" w:rsidRDefault="00751163" w:rsidP="00D61F73">
      <w:pPr>
        <w:rPr>
          <w:rFonts w:ascii="Arial" w:hAnsi="Arial" w:cs="Arial"/>
        </w:rPr>
      </w:pPr>
      <w:hyperlink w:anchor="White2014" w:history="1">
        <w:r w:rsidR="0082278B" w:rsidRPr="00D61F73">
          <w:rPr>
            <w:rStyle w:val="Hyperlink"/>
            <w:rFonts w:ascii="Arial" w:hAnsi="Arial" w:cs="Arial"/>
          </w:rPr>
          <w:t>White JA, Tao X, Artuso RD, Bilinski C, Rademacher J, Bernacki EJ.</w:t>
        </w:r>
      </w:hyperlink>
      <w:r w:rsidR="0082278B" w:rsidRPr="00D61F73">
        <w:rPr>
          <w:rFonts w:ascii="Arial" w:hAnsi="Arial" w:cs="Arial"/>
        </w:rPr>
        <w:t xml:space="preserve"> Effect of physician-dispensed medication on workers' compensation claim outcomes in the state of Illinois. </w:t>
      </w:r>
      <w:r w:rsidR="0082278B" w:rsidRPr="00D61F73">
        <w:rPr>
          <w:rFonts w:ascii="Arial" w:hAnsi="Arial" w:cs="Arial"/>
          <w:i/>
        </w:rPr>
        <w:t>J Occup Environ Med</w:t>
      </w:r>
      <w:r w:rsidR="0082278B" w:rsidRPr="00D61F73">
        <w:rPr>
          <w:rFonts w:ascii="Arial" w:hAnsi="Arial" w:cs="Arial"/>
        </w:rPr>
        <w:t>. 2014 May;56(5):459-64.</w:t>
      </w:r>
    </w:p>
    <w:p w14:paraId="16CCA989" w14:textId="77777777" w:rsidR="008D0565" w:rsidRPr="00D61F73" w:rsidRDefault="008D0565" w:rsidP="00D61F73">
      <w:pPr>
        <w:pStyle w:val="Footer"/>
        <w:tabs>
          <w:tab w:val="clear" w:pos="4320"/>
          <w:tab w:val="clear" w:pos="8640"/>
        </w:tabs>
        <w:rPr>
          <w:rFonts w:ascii="Arial" w:hAnsi="Arial" w:cs="Arial"/>
        </w:rPr>
      </w:pPr>
    </w:p>
    <w:p w14:paraId="4490BB85" w14:textId="77777777" w:rsidR="008D0565" w:rsidRPr="00D61F73" w:rsidRDefault="00751163" w:rsidP="00D61F73">
      <w:pPr>
        <w:rPr>
          <w:rFonts w:ascii="Arial" w:hAnsi="Arial" w:cs="Arial"/>
        </w:rPr>
      </w:pPr>
      <w:hyperlink w:anchor="Wiffen" w:history="1">
        <w:r w:rsidR="008D0565" w:rsidRPr="00D61F73">
          <w:rPr>
            <w:rStyle w:val="Hyperlink"/>
            <w:rFonts w:ascii="Arial" w:hAnsi="Arial" w:cs="Arial"/>
          </w:rPr>
          <w:t>Wiffen P, Collins S, McQuay H, Carroll D, Jadad A, Moore A.</w:t>
        </w:r>
      </w:hyperlink>
      <w:r w:rsidR="008D0565" w:rsidRPr="00D61F73">
        <w:rPr>
          <w:rFonts w:ascii="Arial" w:hAnsi="Arial" w:cs="Arial"/>
        </w:rPr>
        <w:t xml:space="preserve"> Anticonvulsant drugs for acute and chronic pain. </w:t>
      </w:r>
      <w:r w:rsidR="008D0565" w:rsidRPr="00D61F73">
        <w:rPr>
          <w:rFonts w:ascii="Arial" w:hAnsi="Arial" w:cs="Arial"/>
          <w:i/>
          <w:iCs/>
        </w:rPr>
        <w:t>Cochrane Database Syst Rev.</w:t>
      </w:r>
      <w:r w:rsidR="008D0565" w:rsidRPr="00D61F73">
        <w:rPr>
          <w:rFonts w:ascii="Arial" w:hAnsi="Arial" w:cs="Arial"/>
        </w:rPr>
        <w:t xml:space="preserve"> 2005 Jul 20;(3):CD001133.</w:t>
      </w:r>
    </w:p>
    <w:p w14:paraId="7F76B37B" w14:textId="77777777" w:rsidR="008D0565" w:rsidRPr="00D61F73" w:rsidRDefault="008D0565" w:rsidP="00D61F73">
      <w:pPr>
        <w:rPr>
          <w:rFonts w:ascii="Arial" w:hAnsi="Arial" w:cs="Arial"/>
        </w:rPr>
      </w:pPr>
    </w:p>
    <w:p w14:paraId="07D0718B" w14:textId="77777777" w:rsidR="008D0565" w:rsidRPr="00D61F73" w:rsidRDefault="00751163" w:rsidP="00D61F73">
      <w:pPr>
        <w:rPr>
          <w:rFonts w:ascii="Arial" w:hAnsi="Arial" w:cs="Arial"/>
        </w:rPr>
      </w:pPr>
      <w:hyperlink w:anchor="Wiffen2" w:history="1">
        <w:r w:rsidR="008D0565" w:rsidRPr="00D61F73">
          <w:rPr>
            <w:rStyle w:val="Hyperlink"/>
            <w:rFonts w:ascii="Arial" w:hAnsi="Arial" w:cs="Arial"/>
          </w:rPr>
          <w:t>Wiffen PJ, McQuay HJ, Edwards JE, Moore RA.</w:t>
        </w:r>
      </w:hyperlink>
      <w:r w:rsidR="008D0565" w:rsidRPr="00D61F73">
        <w:rPr>
          <w:rFonts w:ascii="Arial" w:hAnsi="Arial" w:cs="Arial"/>
        </w:rPr>
        <w:t xml:space="preserve"> Gabapentin for acute and chronic pain. </w:t>
      </w:r>
      <w:r w:rsidR="008D0565" w:rsidRPr="00D61F73">
        <w:rPr>
          <w:rFonts w:ascii="Arial" w:hAnsi="Arial" w:cs="Arial"/>
          <w:i/>
          <w:iCs/>
        </w:rPr>
        <w:t>Cochrane Database Syst Rev</w:t>
      </w:r>
      <w:r w:rsidR="008D0565" w:rsidRPr="00D61F73">
        <w:rPr>
          <w:rFonts w:ascii="Arial" w:hAnsi="Arial" w:cs="Arial"/>
        </w:rPr>
        <w:t>. 2005 Jul 20;(3):CD005452.</w:t>
      </w:r>
    </w:p>
    <w:p w14:paraId="62A09EB6" w14:textId="77777777" w:rsidR="008D0565" w:rsidRPr="00D61F73" w:rsidRDefault="008D0565" w:rsidP="00D61F73">
      <w:pPr>
        <w:rPr>
          <w:rFonts w:ascii="Arial" w:hAnsi="Arial" w:cs="Arial"/>
        </w:rPr>
      </w:pPr>
    </w:p>
    <w:p w14:paraId="46F59551" w14:textId="77777777" w:rsidR="008D0565" w:rsidRPr="00D61F73" w:rsidRDefault="00751163" w:rsidP="00D61F73">
      <w:pPr>
        <w:rPr>
          <w:rFonts w:ascii="Arial" w:hAnsi="Arial" w:cs="Arial"/>
        </w:rPr>
      </w:pPr>
      <w:hyperlink w:anchor="Wiffen3" w:history="1">
        <w:r w:rsidR="008D0565" w:rsidRPr="00D61F73">
          <w:rPr>
            <w:rStyle w:val="Hyperlink"/>
            <w:rFonts w:ascii="Arial" w:hAnsi="Arial" w:cs="Arial"/>
          </w:rPr>
          <w:t>Wiffen PJ, Rees J.</w:t>
        </w:r>
      </w:hyperlink>
      <w:r w:rsidR="008D0565" w:rsidRPr="00D61F73">
        <w:rPr>
          <w:rFonts w:ascii="Arial" w:hAnsi="Arial" w:cs="Arial"/>
        </w:rPr>
        <w:t xml:space="preserve"> Lamotrigine for acute and chronic pain. </w:t>
      </w:r>
      <w:r w:rsidR="008D0565" w:rsidRPr="00D61F73">
        <w:rPr>
          <w:rFonts w:ascii="Arial" w:hAnsi="Arial" w:cs="Arial"/>
          <w:i/>
          <w:iCs/>
        </w:rPr>
        <w:t>Cochrane Database Syst Rev</w:t>
      </w:r>
      <w:r w:rsidR="008D0565" w:rsidRPr="00D61F73">
        <w:rPr>
          <w:rFonts w:ascii="Arial" w:hAnsi="Arial" w:cs="Arial"/>
        </w:rPr>
        <w:t>. 2007 Apr 18;(2):CD006044.</w:t>
      </w:r>
    </w:p>
    <w:p w14:paraId="566E1F2A" w14:textId="77777777" w:rsidR="00AB3F94" w:rsidRPr="00D61F73" w:rsidRDefault="00AB3F94" w:rsidP="00D61F73">
      <w:pPr>
        <w:rPr>
          <w:rFonts w:ascii="Arial" w:hAnsi="Arial" w:cs="Arial"/>
        </w:rPr>
      </w:pPr>
    </w:p>
    <w:p w14:paraId="59AE66D2" w14:textId="77777777" w:rsidR="00AB3F94" w:rsidRPr="00D61F73" w:rsidRDefault="00751163" w:rsidP="00D61F73">
      <w:pPr>
        <w:rPr>
          <w:rFonts w:ascii="Arial" w:hAnsi="Arial" w:cs="Arial"/>
        </w:rPr>
      </w:pPr>
      <w:hyperlink w:anchor="WIFFEN2013SUMMARY" w:history="1">
        <w:r w:rsidR="00AB3F94" w:rsidRPr="00D61F73">
          <w:rPr>
            <w:rStyle w:val="Hyperlink"/>
            <w:rFonts w:ascii="Arial" w:hAnsi="Arial" w:cs="Arial"/>
          </w:rPr>
          <w:t>Wiffen PJ, Derry S, Moore RA, Aldington D, Cole P, Rice ASC, Lunn MPT, Hamunen K, Haanpaa M, Kalso EA.</w:t>
        </w:r>
      </w:hyperlink>
      <w:r w:rsidR="00AB3F94" w:rsidRPr="00D61F73">
        <w:rPr>
          <w:rFonts w:ascii="Arial" w:hAnsi="Arial" w:cs="Arial"/>
        </w:rPr>
        <w:t xml:space="preserve"> Antiepileptic drugs for neuropathic pain and fibromyalgia – an overview of Cochrane reviews (Review). Cochrane Database Syst Rev. 2013 Nov 11;(11):CD010567.</w:t>
      </w:r>
    </w:p>
    <w:p w14:paraId="12AB7AF5" w14:textId="77777777" w:rsidR="001B4FD1" w:rsidRPr="00D61F73" w:rsidRDefault="001B4FD1" w:rsidP="00D61F73">
      <w:pPr>
        <w:rPr>
          <w:rFonts w:ascii="Arial" w:hAnsi="Arial" w:cs="Arial"/>
        </w:rPr>
      </w:pPr>
    </w:p>
    <w:p w14:paraId="5798B55C" w14:textId="77777777" w:rsidR="008D0565" w:rsidRPr="00D61F73" w:rsidRDefault="00751163" w:rsidP="00D61F73">
      <w:pPr>
        <w:rPr>
          <w:rFonts w:ascii="Arial" w:hAnsi="Arial" w:cs="Arial"/>
        </w:rPr>
      </w:pPr>
      <w:hyperlink w:anchor="Wild2010" w:history="1">
        <w:r w:rsidR="008D0565" w:rsidRPr="00D61F73">
          <w:rPr>
            <w:rStyle w:val="Hyperlink"/>
            <w:rFonts w:ascii="Arial" w:hAnsi="Arial" w:cs="Arial"/>
          </w:rPr>
          <w:t>Wild JE, Grond S, Kuperwasser B, Gilbert J, McCann B, Lange B, Steup A, Häufel T, Etropolski MS, Rauschkolb C, Lange R</w:t>
        </w:r>
      </w:hyperlink>
      <w:r w:rsidR="008D0565" w:rsidRPr="00D61F73">
        <w:rPr>
          <w:rFonts w:ascii="Arial" w:hAnsi="Arial" w:cs="Arial"/>
        </w:rPr>
        <w:t xml:space="preserve">. Long-term Safety and Tolerability of Tapentadol Extended Release for the Management of Chronic Low Back Pain or Osteoarthritis Pain. </w:t>
      </w:r>
      <w:r w:rsidR="008D0565" w:rsidRPr="00D61F73">
        <w:rPr>
          <w:rFonts w:ascii="Arial" w:hAnsi="Arial" w:cs="Arial"/>
          <w:i/>
          <w:iCs/>
        </w:rPr>
        <w:t>Pain Pract.</w:t>
      </w:r>
      <w:r w:rsidR="008D0565" w:rsidRPr="00D61F73">
        <w:rPr>
          <w:rFonts w:ascii="Arial" w:hAnsi="Arial" w:cs="Arial"/>
        </w:rPr>
        <w:t xml:space="preserve"> 2010 Jun 29. [Epub ahead of print]</w:t>
      </w:r>
    </w:p>
    <w:p w14:paraId="187278A5" w14:textId="77777777" w:rsidR="008D0565" w:rsidRPr="00D61F73" w:rsidRDefault="008D0565" w:rsidP="00D61F73">
      <w:pPr>
        <w:rPr>
          <w:rFonts w:ascii="Arial" w:hAnsi="Arial" w:cs="Arial"/>
        </w:rPr>
      </w:pPr>
    </w:p>
    <w:p w14:paraId="7A8B0CD5" w14:textId="77777777" w:rsidR="008D0565" w:rsidRPr="00D61F73" w:rsidRDefault="00751163" w:rsidP="00D61F73">
      <w:pPr>
        <w:rPr>
          <w:rFonts w:ascii="Arial" w:hAnsi="Arial" w:cs="Arial"/>
        </w:rPr>
      </w:pPr>
      <w:hyperlink w:anchor="Wilhelmsen2011" w:history="1">
        <w:r w:rsidR="008D0565" w:rsidRPr="00D61F73">
          <w:rPr>
            <w:rStyle w:val="Hyperlink"/>
            <w:rFonts w:ascii="Arial" w:hAnsi="Arial" w:cs="Arial"/>
          </w:rPr>
          <w:t>Wilhelmsen M, Amirian I, Reiter RJ, Rosenberg J, Gögenur I.</w:t>
        </w:r>
      </w:hyperlink>
      <w:r w:rsidR="008D0565" w:rsidRPr="00D61F73">
        <w:rPr>
          <w:rFonts w:ascii="Arial" w:hAnsi="Arial" w:cs="Arial"/>
        </w:rPr>
        <w:t xml:space="preserve"> Analgesic effects of melatonin: a review of current evidence from experimental and clinical studies. </w:t>
      </w:r>
      <w:r w:rsidR="008D0565" w:rsidRPr="00D61F73">
        <w:rPr>
          <w:rFonts w:ascii="Arial" w:hAnsi="Arial" w:cs="Arial"/>
          <w:i/>
          <w:iCs/>
        </w:rPr>
        <w:t>J Pineal Res</w:t>
      </w:r>
      <w:r w:rsidR="008D0565" w:rsidRPr="00D61F73">
        <w:rPr>
          <w:rFonts w:ascii="Arial" w:hAnsi="Arial" w:cs="Arial"/>
        </w:rPr>
        <w:t>. 2011 Oct;51(3):270-7. doi: 10.1111/j.1600-079X.2011.00895.x.</w:t>
      </w:r>
    </w:p>
    <w:p w14:paraId="43783EBD" w14:textId="77777777" w:rsidR="008D0565" w:rsidRPr="00D61F73" w:rsidRDefault="008D0565" w:rsidP="00D61F73">
      <w:pPr>
        <w:rPr>
          <w:rFonts w:ascii="Arial" w:hAnsi="Arial" w:cs="Arial"/>
        </w:rPr>
      </w:pPr>
    </w:p>
    <w:p w14:paraId="770BC022" w14:textId="77777777" w:rsidR="008D0565" w:rsidRPr="00D61F73" w:rsidRDefault="00751163" w:rsidP="00D61F73">
      <w:pPr>
        <w:rPr>
          <w:rFonts w:ascii="Arial" w:hAnsi="Arial" w:cs="Arial"/>
        </w:rPr>
      </w:pPr>
      <w:hyperlink w:anchor="Wilsey" w:history="1">
        <w:r w:rsidR="008D0565" w:rsidRPr="00D61F73">
          <w:rPr>
            <w:rStyle w:val="Hyperlink"/>
            <w:rFonts w:ascii="Arial" w:hAnsi="Arial" w:cs="Arial"/>
          </w:rPr>
          <w:t>Wilsey B, Marcotte T, Tsodikov A, Millman J, Bentley H, Gouaux B, Fishman S.</w:t>
        </w:r>
      </w:hyperlink>
      <w:r w:rsidR="008D0565" w:rsidRPr="00D61F73">
        <w:rPr>
          <w:rFonts w:ascii="Arial" w:hAnsi="Arial" w:cs="Arial"/>
        </w:rPr>
        <w:t xml:space="preserve"> A randomized, placebo-controlled, crossover trial of cannabis cigarettes in neuropathic pain. </w:t>
      </w:r>
      <w:r w:rsidR="008D0565" w:rsidRPr="00D61F73">
        <w:rPr>
          <w:rFonts w:ascii="Arial" w:hAnsi="Arial" w:cs="Arial"/>
          <w:i/>
          <w:iCs/>
        </w:rPr>
        <w:t>J Pain.</w:t>
      </w:r>
      <w:r w:rsidR="008D0565" w:rsidRPr="00D61F73">
        <w:rPr>
          <w:rFonts w:ascii="Arial" w:hAnsi="Arial" w:cs="Arial"/>
        </w:rPr>
        <w:t xml:space="preserve"> 2008 Jun;9(6):506-21. Epub 2008 Apr 10</w:t>
      </w:r>
    </w:p>
    <w:p w14:paraId="18D6D2A3" w14:textId="77777777" w:rsidR="008D0565" w:rsidRPr="00D61F73" w:rsidRDefault="008D0565" w:rsidP="00D61F73">
      <w:pPr>
        <w:rPr>
          <w:rFonts w:ascii="Arial" w:hAnsi="Arial" w:cs="Arial"/>
        </w:rPr>
      </w:pPr>
    </w:p>
    <w:p w14:paraId="045B7B7A" w14:textId="77777777" w:rsidR="008D0565" w:rsidRPr="00D61F73" w:rsidRDefault="00751163" w:rsidP="00D61F73">
      <w:pPr>
        <w:rPr>
          <w:rFonts w:ascii="Arial" w:hAnsi="Arial" w:cs="Arial"/>
        </w:rPr>
      </w:pPr>
      <w:hyperlink w:anchor="Wolfe2004" w:history="1">
        <w:r w:rsidR="008D0565" w:rsidRPr="00D61F73">
          <w:rPr>
            <w:rStyle w:val="Hyperlink"/>
            <w:rFonts w:ascii="Arial" w:hAnsi="Arial" w:cs="Arial"/>
          </w:rPr>
          <w:t>Wolfe GI, Trivedi JR</w:t>
        </w:r>
      </w:hyperlink>
      <w:r w:rsidR="008D0565" w:rsidRPr="00D61F73">
        <w:rPr>
          <w:rFonts w:ascii="Arial" w:hAnsi="Arial" w:cs="Arial"/>
        </w:rPr>
        <w:t xml:space="preserve">. Painful peripheral neuropathy and its nonsurgical treatment. </w:t>
      </w:r>
      <w:r w:rsidR="008D0565" w:rsidRPr="00D61F73">
        <w:rPr>
          <w:rFonts w:ascii="Arial" w:hAnsi="Arial" w:cs="Arial"/>
          <w:i/>
        </w:rPr>
        <w:t>Muscle Nerve</w:t>
      </w:r>
      <w:r w:rsidR="008D0565" w:rsidRPr="00D61F73">
        <w:rPr>
          <w:rFonts w:ascii="Arial" w:hAnsi="Arial" w:cs="Arial"/>
        </w:rPr>
        <w:t>. 2004;30:3-19.</w:t>
      </w:r>
    </w:p>
    <w:p w14:paraId="449CBD01" w14:textId="77777777" w:rsidR="008D0565" w:rsidRPr="00D61F73" w:rsidRDefault="008D0565" w:rsidP="00D61F73">
      <w:pPr>
        <w:rPr>
          <w:rFonts w:ascii="Arial" w:hAnsi="Arial" w:cs="Arial"/>
        </w:rPr>
      </w:pPr>
    </w:p>
    <w:p w14:paraId="4C0BA65B" w14:textId="77777777" w:rsidR="008D0565" w:rsidRPr="00D61F73" w:rsidRDefault="00751163" w:rsidP="00D61F73">
      <w:pPr>
        <w:rPr>
          <w:rStyle w:val="ti"/>
          <w:rFonts w:ascii="Arial" w:hAnsi="Arial" w:cs="Arial"/>
        </w:rPr>
      </w:pPr>
      <w:hyperlink w:anchor="Wong" w:history="1">
        <w:r w:rsidR="008D0565" w:rsidRPr="00D61F73">
          <w:rPr>
            <w:rStyle w:val="Hyperlink"/>
            <w:rFonts w:ascii="Arial" w:hAnsi="Arial" w:cs="Arial"/>
            <w:bCs/>
          </w:rPr>
          <w:t>Wong MC</w:t>
        </w:r>
        <w:r w:rsidR="008D0565" w:rsidRPr="00D61F73">
          <w:rPr>
            <w:rStyle w:val="Hyperlink"/>
            <w:rFonts w:ascii="Arial" w:hAnsi="Arial" w:cs="Arial"/>
          </w:rPr>
          <w:t xml:space="preserve">, </w:t>
        </w:r>
        <w:r w:rsidR="008D0565" w:rsidRPr="00D61F73">
          <w:rPr>
            <w:rStyle w:val="Hyperlink"/>
            <w:rFonts w:ascii="Arial" w:hAnsi="Arial" w:cs="Arial"/>
            <w:bCs/>
          </w:rPr>
          <w:t>Chung JW</w:t>
        </w:r>
        <w:r w:rsidR="008D0565" w:rsidRPr="00D61F73">
          <w:rPr>
            <w:rStyle w:val="Hyperlink"/>
            <w:rFonts w:ascii="Arial" w:hAnsi="Arial" w:cs="Arial"/>
          </w:rPr>
          <w:t xml:space="preserve">, </w:t>
        </w:r>
        <w:r w:rsidR="008D0565" w:rsidRPr="00D61F73">
          <w:rPr>
            <w:rStyle w:val="Hyperlink"/>
            <w:rFonts w:ascii="Arial" w:hAnsi="Arial" w:cs="Arial"/>
            <w:bCs/>
          </w:rPr>
          <w:t>Wong TK</w:t>
        </w:r>
        <w:r w:rsidR="008D0565" w:rsidRPr="00D61F73">
          <w:rPr>
            <w:rStyle w:val="Hyperlink"/>
            <w:rFonts w:ascii="Arial" w:hAnsi="Arial" w:cs="Arial"/>
          </w:rPr>
          <w:t>.</w:t>
        </w:r>
      </w:hyperlink>
      <w:r w:rsidR="008D0565" w:rsidRPr="00D61F73">
        <w:rPr>
          <w:rFonts w:ascii="Arial" w:hAnsi="Arial" w:cs="Arial"/>
        </w:rPr>
        <w:t xml:space="preserve"> Effects of treatments for symptoms of painful diabetic neuropathy: systematic review.</w:t>
      </w:r>
      <w:r w:rsidR="008D0565" w:rsidRPr="00D61F73">
        <w:rPr>
          <w:rStyle w:val="Hyperlink"/>
          <w:rFonts w:ascii="Arial" w:hAnsi="Arial" w:cs="Arial"/>
        </w:rPr>
        <w:t xml:space="preserve"> </w:t>
      </w:r>
      <w:r w:rsidR="008D0565" w:rsidRPr="00D61F73">
        <w:rPr>
          <w:rStyle w:val="ti"/>
          <w:rFonts w:ascii="Arial" w:hAnsi="Arial" w:cs="Arial"/>
          <w:i/>
        </w:rPr>
        <w:t>BMJ</w:t>
      </w:r>
      <w:r w:rsidR="008D0565" w:rsidRPr="00D61F73">
        <w:rPr>
          <w:rStyle w:val="ti"/>
          <w:rFonts w:ascii="Arial" w:hAnsi="Arial" w:cs="Arial"/>
        </w:rPr>
        <w:t>. 2007;335:87. Epub 2007 Jun 11.</w:t>
      </w:r>
    </w:p>
    <w:p w14:paraId="75F9C679" w14:textId="77777777" w:rsidR="008D0565" w:rsidRPr="00D61F73" w:rsidRDefault="008D0565" w:rsidP="00D61F73">
      <w:pPr>
        <w:rPr>
          <w:rFonts w:ascii="Arial" w:hAnsi="Arial" w:cs="Arial"/>
        </w:rPr>
      </w:pPr>
    </w:p>
    <w:p w14:paraId="0A4012DC" w14:textId="77777777" w:rsidR="008D0565" w:rsidRPr="00D61F73" w:rsidRDefault="00751163" w:rsidP="00D61F73">
      <w:pPr>
        <w:rPr>
          <w:rFonts w:ascii="Arial" w:hAnsi="Arial" w:cs="Arial"/>
        </w:rPr>
      </w:pPr>
      <w:hyperlink w:anchor="Wright2009" w:history="1">
        <w:r w:rsidR="008D0565" w:rsidRPr="00D61F73">
          <w:rPr>
            <w:rStyle w:val="Hyperlink"/>
            <w:rFonts w:ascii="Arial" w:hAnsi="Arial" w:cs="Arial"/>
          </w:rPr>
          <w:t>Wright TM, Cluver JS, Myrick H</w:t>
        </w:r>
      </w:hyperlink>
      <w:r w:rsidR="008D0565" w:rsidRPr="00D61F73">
        <w:rPr>
          <w:rFonts w:ascii="Arial" w:hAnsi="Arial" w:cs="Arial"/>
        </w:rPr>
        <w:t>. Management of intoxication and withdrawal: General principles. In Reis RK, Fiellin DA, Miller SC, Saitz R. eds. Principles of Addiction Medicine, 4</w:t>
      </w:r>
      <w:r w:rsidR="008D0565" w:rsidRPr="00D61F73">
        <w:rPr>
          <w:rFonts w:ascii="Arial" w:hAnsi="Arial" w:cs="Arial"/>
          <w:vertAlign w:val="superscript"/>
        </w:rPr>
        <w:t>th</w:t>
      </w:r>
      <w:r w:rsidR="008D0565" w:rsidRPr="00D61F73">
        <w:rPr>
          <w:rFonts w:ascii="Arial" w:hAnsi="Arial" w:cs="Arial"/>
        </w:rPr>
        <w:t xml:space="preserve"> edition. Lippincott Williams &amp; Wilkins, 2009.</w:t>
      </w:r>
    </w:p>
    <w:p w14:paraId="572041FC" w14:textId="77777777" w:rsidR="008D0565" w:rsidRPr="00D61F73" w:rsidRDefault="008D0565" w:rsidP="00D61F73">
      <w:pPr>
        <w:rPr>
          <w:rFonts w:ascii="Arial" w:hAnsi="Arial" w:cs="Arial"/>
        </w:rPr>
      </w:pPr>
    </w:p>
    <w:p w14:paraId="0B904601" w14:textId="77777777" w:rsidR="008D0565" w:rsidRPr="00D61F73" w:rsidRDefault="00751163" w:rsidP="00D61F73">
      <w:pPr>
        <w:rPr>
          <w:rFonts w:ascii="Arial" w:hAnsi="Arial" w:cs="Arial"/>
        </w:rPr>
      </w:pPr>
      <w:hyperlink w:anchor="Wynn2011" w:history="1">
        <w:r w:rsidR="008D0565" w:rsidRPr="00D61F73">
          <w:rPr>
            <w:rStyle w:val="Hyperlink"/>
            <w:rFonts w:ascii="Arial" w:hAnsi="Arial" w:cs="Arial"/>
          </w:rPr>
          <w:t>Wynn BO</w:t>
        </w:r>
      </w:hyperlink>
      <w:r w:rsidR="008D0565" w:rsidRPr="00D61F73">
        <w:rPr>
          <w:rFonts w:ascii="Arial" w:hAnsi="Arial" w:cs="Arial"/>
        </w:rPr>
        <w:t>. Use of Compound Drugs, Medical Foods, and Co-Packs in California’s Workers’ Compensation Program, An Overview of the Issues. WR-828-CHSWC. RAND Institute for Civil Justice. Prepared for the Commission on Health, Safety and Workers’ Compensation. January 2011.</w:t>
      </w:r>
    </w:p>
    <w:p w14:paraId="38DA4598" w14:textId="77777777" w:rsidR="008D0565" w:rsidRPr="00D61F73" w:rsidRDefault="008D0565" w:rsidP="00D61F73">
      <w:pPr>
        <w:rPr>
          <w:rFonts w:ascii="Arial" w:hAnsi="Arial" w:cs="Arial"/>
        </w:rPr>
      </w:pPr>
    </w:p>
    <w:p w14:paraId="28AC98A9" w14:textId="77777777" w:rsidR="008D0565" w:rsidRPr="00D61F73" w:rsidRDefault="00751163" w:rsidP="00D61F73">
      <w:pPr>
        <w:rPr>
          <w:rStyle w:val="ti"/>
          <w:rFonts w:ascii="Arial" w:hAnsi="Arial" w:cs="Arial"/>
        </w:rPr>
      </w:pPr>
      <w:hyperlink w:anchor="Zammit" w:history="1">
        <w:r w:rsidR="008D0565" w:rsidRPr="00D61F73">
          <w:rPr>
            <w:rStyle w:val="Hyperlink"/>
            <w:rFonts w:ascii="Arial" w:hAnsi="Arial" w:cs="Arial"/>
          </w:rPr>
          <w:t>Zammit G, Erman M, Wang-Weigand S, Sainati S, Zhang J, Roth T.</w:t>
        </w:r>
      </w:hyperlink>
      <w:r w:rsidR="008D0565" w:rsidRPr="00D61F73">
        <w:rPr>
          <w:rStyle w:val="ti"/>
          <w:rFonts w:ascii="Arial" w:hAnsi="Arial" w:cs="Arial"/>
        </w:rPr>
        <w:t xml:space="preserve"> Evaluation of the efficacy and safety of ramelteon in subjects with chronic insomnia. J Clin Sleep Med. 2007 Aug 15;3(5):495-504.</w:t>
      </w:r>
    </w:p>
    <w:p w14:paraId="006946F7" w14:textId="77777777" w:rsidR="008D0565" w:rsidRPr="00D61F73" w:rsidRDefault="008D0565" w:rsidP="00D61F73">
      <w:pPr>
        <w:rPr>
          <w:rFonts w:ascii="Arial" w:hAnsi="Arial" w:cs="Arial"/>
        </w:rPr>
      </w:pPr>
    </w:p>
    <w:p w14:paraId="61D434B7" w14:textId="77777777" w:rsidR="008D0565" w:rsidRPr="00D61F73" w:rsidRDefault="00751163" w:rsidP="00D61F73">
      <w:pPr>
        <w:rPr>
          <w:rFonts w:ascii="Arial" w:hAnsi="Arial" w:cs="Arial"/>
        </w:rPr>
      </w:pPr>
      <w:hyperlink w:anchor="Zaremba" w:history="1">
        <w:r w:rsidR="008D0565" w:rsidRPr="00D61F73">
          <w:rPr>
            <w:rStyle w:val="Hyperlink"/>
            <w:rFonts w:ascii="Arial" w:hAnsi="Arial" w:cs="Arial"/>
          </w:rPr>
          <w:t>Zaremba PD, Białek M, Błaszczyk B, Cioczek P, Czuczwar SJ</w:t>
        </w:r>
      </w:hyperlink>
      <w:r w:rsidR="008D0565" w:rsidRPr="00D61F73">
        <w:rPr>
          <w:rFonts w:ascii="Arial" w:hAnsi="Arial" w:cs="Arial"/>
        </w:rPr>
        <w:t xml:space="preserve">. Non-epilepsy uses of antiepilepsy drugs. </w:t>
      </w:r>
      <w:r w:rsidR="008D0565" w:rsidRPr="00D61F73">
        <w:rPr>
          <w:rFonts w:ascii="Arial" w:hAnsi="Arial" w:cs="Arial"/>
          <w:i/>
        </w:rPr>
        <w:t>Pharmacol Rep</w:t>
      </w:r>
      <w:r w:rsidR="008D0565" w:rsidRPr="00D61F73">
        <w:rPr>
          <w:rFonts w:ascii="Arial" w:hAnsi="Arial" w:cs="Arial"/>
        </w:rPr>
        <w:t>. 2006;58:1-12.</w:t>
      </w:r>
    </w:p>
    <w:p w14:paraId="24F73929" w14:textId="77777777" w:rsidR="008D0565" w:rsidRPr="00D61F73" w:rsidRDefault="008D0565" w:rsidP="00D61F73">
      <w:pPr>
        <w:rPr>
          <w:rFonts w:ascii="Arial" w:hAnsi="Arial" w:cs="Arial"/>
        </w:rPr>
      </w:pPr>
    </w:p>
    <w:p w14:paraId="3B58923E" w14:textId="77777777" w:rsidR="008D0565" w:rsidRPr="00D61F73" w:rsidRDefault="00751163" w:rsidP="00D61F73">
      <w:pPr>
        <w:rPr>
          <w:rFonts w:ascii="Arial" w:hAnsi="Arial" w:cs="Arial"/>
        </w:rPr>
      </w:pPr>
      <w:hyperlink w:anchor="Zhang2008" w:history="1">
        <w:r w:rsidR="008D0565" w:rsidRPr="00D61F73">
          <w:rPr>
            <w:rStyle w:val="Hyperlink"/>
            <w:rFonts w:ascii="Arial" w:hAnsi="Arial" w:cs="Arial"/>
          </w:rPr>
          <w:t>Zhang W, Moskowitz RW, Nuki G, Abramson S, Altman RD, Arden N, Bierma-Zeinstra S, Brandt KD, Croft P, Doherty M, Dougados M, Hochberg M, Hunter DJ, Kwoh K, Lohmander LS, Tugwell P.</w:t>
        </w:r>
      </w:hyperlink>
      <w:r w:rsidR="008D0565" w:rsidRPr="00D61F73">
        <w:rPr>
          <w:rFonts w:ascii="Arial" w:hAnsi="Arial" w:cs="Arial"/>
        </w:rPr>
        <w:t xml:space="preserve"> OARSI recommendations for the management of hip and knee osteoarthritis, Part II: OARSI evidence-based, expert consensus guidelines. </w:t>
      </w:r>
      <w:r w:rsidR="008D0565" w:rsidRPr="00D61F73">
        <w:rPr>
          <w:rFonts w:ascii="Arial" w:hAnsi="Arial" w:cs="Arial"/>
          <w:i/>
        </w:rPr>
        <w:t>Osteoarthritis Cartilage</w:t>
      </w:r>
      <w:r w:rsidR="008D0565" w:rsidRPr="00D61F73">
        <w:rPr>
          <w:rFonts w:ascii="Arial" w:hAnsi="Arial" w:cs="Arial"/>
        </w:rPr>
        <w:t>. 2008;16:137-62.</w:t>
      </w:r>
    </w:p>
    <w:p w14:paraId="4FEF1EC7" w14:textId="77777777" w:rsidR="008D0565" w:rsidRPr="00D61F73" w:rsidRDefault="008D0565" w:rsidP="00D61F73">
      <w:pPr>
        <w:rPr>
          <w:rFonts w:ascii="Arial" w:hAnsi="Arial" w:cs="Arial"/>
        </w:rPr>
      </w:pPr>
    </w:p>
    <w:p w14:paraId="237C925C" w14:textId="77777777" w:rsidR="008D0565" w:rsidRPr="00D61F73" w:rsidRDefault="00751163" w:rsidP="00D61F73">
      <w:pPr>
        <w:rPr>
          <w:rFonts w:ascii="Arial" w:hAnsi="Arial" w:cs="Arial"/>
        </w:rPr>
      </w:pPr>
      <w:hyperlink w:anchor="Zhang2007" w:history="1">
        <w:r w:rsidR="008D0565" w:rsidRPr="00D61F73">
          <w:rPr>
            <w:rStyle w:val="Hyperlink"/>
            <w:rFonts w:ascii="Arial" w:hAnsi="Arial" w:cs="Arial"/>
          </w:rPr>
          <w:t>Zhang W, Doherty M, Leeb BF, Alekseeva L, Arden NK, Bijlsma JW, Dinçer F, Dziedzic K, Häuselmann HJ, Herrero-Beaumont G, Kaklamanis P, Lohmander S, Maheu E, Martín-Mola E, Pavelka K, Punzi L, Reiter S, Sautner J, Smolen J, Verbruggen G, Zimmermann-Górska I.</w:t>
        </w:r>
      </w:hyperlink>
      <w:r w:rsidR="008D0565" w:rsidRPr="00D61F73">
        <w:rPr>
          <w:rFonts w:ascii="Arial" w:hAnsi="Arial" w:cs="Arial"/>
        </w:rPr>
        <w:t xml:space="preserve"> EULAR evidence based recommendations for the management of hand osteoarthritis: report of a Task Force of the EULAR Standing Committee for International Clinical Studies Including Therapeutics (ESCISIT). </w:t>
      </w:r>
      <w:r w:rsidR="008D0565" w:rsidRPr="00D61F73">
        <w:rPr>
          <w:rFonts w:ascii="Arial" w:hAnsi="Arial" w:cs="Arial"/>
          <w:i/>
        </w:rPr>
        <w:t>Ann Rheum Dis</w:t>
      </w:r>
      <w:r w:rsidR="008D0565" w:rsidRPr="00D61F73">
        <w:rPr>
          <w:rFonts w:ascii="Arial" w:hAnsi="Arial" w:cs="Arial"/>
        </w:rPr>
        <w:t>. 2007;66:377-88.</w:t>
      </w:r>
    </w:p>
    <w:p w14:paraId="7D0793A2" w14:textId="77777777" w:rsidR="008D0565" w:rsidRPr="00D61F73" w:rsidRDefault="008D0565" w:rsidP="00D61F73">
      <w:pPr>
        <w:rPr>
          <w:rFonts w:ascii="Arial" w:hAnsi="Arial" w:cs="Arial"/>
        </w:rPr>
      </w:pPr>
    </w:p>
    <w:p w14:paraId="26B7A13E" w14:textId="77777777" w:rsidR="008D0565" w:rsidRPr="00D61F73" w:rsidRDefault="00751163" w:rsidP="00D61F73">
      <w:pPr>
        <w:rPr>
          <w:rFonts w:ascii="Arial" w:hAnsi="Arial" w:cs="Arial"/>
        </w:rPr>
      </w:pPr>
      <w:hyperlink w:anchor="Zhang2010" w:history="1">
        <w:r w:rsidR="008D0565" w:rsidRPr="00D61F73">
          <w:rPr>
            <w:rStyle w:val="Hyperlink"/>
            <w:rFonts w:ascii="Arial" w:hAnsi="Arial" w:cs="Arial"/>
          </w:rPr>
          <w:t>Zhang W, Nuki G, Moskowitz RW, Abramson S, Altman RD, Arden NK, Bierma-Zeinstra S, Brandt KD, Croft P, Doherty M, Dougados M, Hochberg M, Hunter DJ, Kwoh K, Lohmander LS, Tugwell P.</w:t>
        </w:r>
      </w:hyperlink>
      <w:r w:rsidR="008D0565" w:rsidRPr="00D61F73">
        <w:rPr>
          <w:rFonts w:ascii="Arial" w:hAnsi="Arial" w:cs="Arial"/>
        </w:rPr>
        <w:t xml:space="preserve"> OARSI recommendations for the management of hip and knee osteoarthritis: part III: Changes in evidence following systematic cumulative update of research published through January 2009. </w:t>
      </w:r>
      <w:r w:rsidR="008D0565" w:rsidRPr="00D61F73">
        <w:rPr>
          <w:rFonts w:ascii="Arial" w:hAnsi="Arial" w:cs="Arial"/>
          <w:i/>
        </w:rPr>
        <w:t>Osteoarthritis Cartilage</w:t>
      </w:r>
      <w:r w:rsidR="008D0565" w:rsidRPr="00D61F73">
        <w:rPr>
          <w:rFonts w:ascii="Arial" w:hAnsi="Arial" w:cs="Arial"/>
        </w:rPr>
        <w:t>. 2010;18:476-99.</w:t>
      </w:r>
    </w:p>
    <w:p w14:paraId="6DB196DF" w14:textId="77777777" w:rsidR="008D0565" w:rsidRPr="00D61F73" w:rsidRDefault="008D0565" w:rsidP="00D61F73">
      <w:pPr>
        <w:rPr>
          <w:rFonts w:ascii="Arial" w:hAnsi="Arial" w:cs="Arial"/>
        </w:rPr>
      </w:pPr>
    </w:p>
    <w:p w14:paraId="50F5D090" w14:textId="77777777" w:rsidR="008D0565" w:rsidRPr="00D61F73" w:rsidRDefault="00751163" w:rsidP="00D61F73">
      <w:pPr>
        <w:rPr>
          <w:rFonts w:ascii="Arial" w:hAnsi="Arial" w:cs="Arial"/>
        </w:rPr>
      </w:pPr>
      <w:hyperlink w:anchor="Zuniga2011" w:history="1">
        <w:r w:rsidR="008D0565" w:rsidRPr="00D61F73">
          <w:rPr>
            <w:rStyle w:val="Hyperlink"/>
            <w:rFonts w:ascii="Arial" w:hAnsi="Arial" w:cs="Arial"/>
          </w:rPr>
          <w:t>Zuniga JR, Noveck RJ, Schmidt WK, Boesing SE, Hersh EV</w:t>
        </w:r>
      </w:hyperlink>
      <w:r w:rsidR="008D0565" w:rsidRPr="00D61F73">
        <w:rPr>
          <w:rFonts w:ascii="Arial" w:hAnsi="Arial" w:cs="Arial"/>
        </w:rPr>
        <w:t xml:space="preserve">. Onset of action of diclofenac potassium liquid-filled capsules in dental surgery patients. </w:t>
      </w:r>
      <w:r w:rsidR="008D0565" w:rsidRPr="00D61F73">
        <w:rPr>
          <w:rFonts w:ascii="Arial" w:hAnsi="Arial" w:cs="Arial"/>
          <w:i/>
          <w:iCs/>
        </w:rPr>
        <w:t>Curr Med Res Opin</w:t>
      </w:r>
      <w:r w:rsidR="008D0565" w:rsidRPr="00D61F73">
        <w:rPr>
          <w:rFonts w:ascii="Arial" w:hAnsi="Arial" w:cs="Arial"/>
        </w:rPr>
        <w:t>. 2011 Sep;27(9):1733-9.</w:t>
      </w:r>
    </w:p>
    <w:p w14:paraId="014EFF5B" w14:textId="77777777" w:rsidR="008D0565" w:rsidRPr="00D61F73" w:rsidRDefault="008D0565" w:rsidP="00D61F73">
      <w:pPr>
        <w:rPr>
          <w:rFonts w:ascii="Arial" w:hAnsi="Arial" w:cs="Arial"/>
        </w:rPr>
      </w:pPr>
    </w:p>
    <w:p w14:paraId="4EA6EDC5" w14:textId="77777777" w:rsidR="008D0565" w:rsidRPr="00D61F73" w:rsidRDefault="00751163" w:rsidP="00D61F73">
      <w:pPr>
        <w:rPr>
          <w:rFonts w:ascii="Arial" w:hAnsi="Arial" w:cs="Arial"/>
        </w:rPr>
      </w:pPr>
      <w:hyperlink w:anchor="Zwanzger" w:history="1">
        <w:r w:rsidR="008D0565" w:rsidRPr="00D61F73">
          <w:rPr>
            <w:rStyle w:val="Hyperlink"/>
            <w:rFonts w:ascii="Arial" w:hAnsi="Arial" w:cs="Arial"/>
          </w:rPr>
          <w:t>Zwanzger P, Diemer J, Jabs B.</w:t>
        </w:r>
      </w:hyperlink>
      <w:r w:rsidR="008D0565" w:rsidRPr="00D61F73">
        <w:rPr>
          <w:rFonts w:ascii="Arial" w:hAnsi="Arial" w:cs="Arial"/>
        </w:rPr>
        <w:t xml:space="preserve"> Comparison of combined psycho- and pharmacotherapy with monotherapy in anxiety disorders: controversial viewpoints and clinical perspectives. </w:t>
      </w:r>
      <w:r w:rsidR="008D0565" w:rsidRPr="00D61F73">
        <w:rPr>
          <w:rFonts w:ascii="Arial" w:hAnsi="Arial" w:cs="Arial"/>
          <w:i/>
        </w:rPr>
        <w:t>J Neural Transm</w:t>
      </w:r>
      <w:r w:rsidR="008D0565" w:rsidRPr="00D61F73">
        <w:rPr>
          <w:rFonts w:ascii="Arial" w:hAnsi="Arial" w:cs="Arial"/>
        </w:rPr>
        <w:t>. 2008 Sep 23. [Epub ahead of print]</w:t>
      </w:r>
    </w:p>
    <w:p w14:paraId="74FC82BE" w14:textId="77777777" w:rsidR="008D0565" w:rsidRPr="00D61F73" w:rsidRDefault="008D0565" w:rsidP="00D61F73">
      <w:pPr>
        <w:pStyle w:val="Footer"/>
        <w:tabs>
          <w:tab w:val="clear" w:pos="4320"/>
          <w:tab w:val="clear" w:pos="8640"/>
        </w:tabs>
        <w:rPr>
          <w:rFonts w:ascii="Arial" w:hAnsi="Arial" w:cs="Arial"/>
        </w:rPr>
      </w:pPr>
    </w:p>
    <w:p w14:paraId="1630B913" w14:textId="77777777" w:rsidR="008D0565" w:rsidRPr="00D61F73" w:rsidRDefault="008D0565" w:rsidP="00D61F73">
      <w:pPr>
        <w:pStyle w:val="xl23"/>
        <w:spacing w:before="0" w:beforeAutospacing="0" w:after="0" w:afterAutospacing="0"/>
      </w:pPr>
      <w:r w:rsidRPr="00D61F73">
        <w:rPr>
          <w:b/>
          <w:bCs/>
        </w:rPr>
        <w:t>P</w:t>
      </w:r>
      <w:bookmarkStart w:id="417" w:name="PAINASSESSMENTANDMANAGEMENT"/>
      <w:bookmarkEnd w:id="417"/>
      <w:r w:rsidRPr="00D61F73">
        <w:rPr>
          <w:b/>
          <w:bCs/>
        </w:rPr>
        <w:t>AIN – ASSESSMENT AND MANAGEMENT</w:t>
      </w:r>
    </w:p>
    <w:p w14:paraId="6638BFBA" w14:textId="77777777" w:rsidR="008D0565" w:rsidRPr="00D61F73" w:rsidRDefault="008D0565" w:rsidP="00D61F73">
      <w:pPr>
        <w:rPr>
          <w:rFonts w:ascii="Arial" w:hAnsi="Arial" w:cs="Arial"/>
        </w:rPr>
      </w:pPr>
    </w:p>
    <w:p w14:paraId="2A203AC2" w14:textId="77777777" w:rsidR="008D0565" w:rsidRPr="00D61F73" w:rsidRDefault="00751163" w:rsidP="00D61F73">
      <w:pPr>
        <w:rPr>
          <w:rFonts w:ascii="Arial" w:hAnsi="Arial" w:cs="Arial"/>
        </w:rPr>
      </w:pPr>
      <w:hyperlink w:anchor="ADA" w:history="1">
        <w:r w:rsidR="008D0565" w:rsidRPr="00D61F73">
          <w:rPr>
            <w:rStyle w:val="Hyperlink"/>
            <w:rFonts w:ascii="Arial" w:hAnsi="Arial" w:cs="Arial"/>
          </w:rPr>
          <w:t>American Diabetes Association American Academy of Neurology</w:t>
        </w:r>
      </w:hyperlink>
      <w:r w:rsidR="008D0565" w:rsidRPr="00D61F73">
        <w:rPr>
          <w:rFonts w:ascii="Arial" w:hAnsi="Arial" w:cs="Arial"/>
        </w:rPr>
        <w:t xml:space="preserve">. Consensus statement: Report and recommendations of the San Antonio conference on diabetic neuropathy. </w:t>
      </w:r>
      <w:r w:rsidR="008D0565" w:rsidRPr="00D61F73">
        <w:rPr>
          <w:rFonts w:ascii="Arial" w:hAnsi="Arial" w:cs="Arial"/>
          <w:i/>
          <w:iCs/>
        </w:rPr>
        <w:t>Diabetes Care.</w:t>
      </w:r>
      <w:r w:rsidR="008D0565" w:rsidRPr="00D61F73">
        <w:rPr>
          <w:rFonts w:ascii="Arial" w:hAnsi="Arial" w:cs="Arial"/>
        </w:rPr>
        <w:t xml:space="preserve"> 1988 Jul-Aug;11(7):592-7.</w:t>
      </w:r>
    </w:p>
    <w:p w14:paraId="317AE571" w14:textId="77777777" w:rsidR="008D0565" w:rsidRPr="00D61F73" w:rsidRDefault="008D0565" w:rsidP="00D61F73">
      <w:pPr>
        <w:rPr>
          <w:rFonts w:ascii="Arial" w:hAnsi="Arial" w:cs="Arial"/>
        </w:rPr>
      </w:pPr>
    </w:p>
    <w:p w14:paraId="52C0E608" w14:textId="77777777" w:rsidR="008D0565" w:rsidRPr="00D61F73" w:rsidRDefault="00751163" w:rsidP="00D61F73">
      <w:pPr>
        <w:rPr>
          <w:rFonts w:ascii="Arial" w:hAnsi="Arial" w:cs="Arial"/>
        </w:rPr>
      </w:pPr>
      <w:hyperlink w:anchor="Bansal" w:history="1">
        <w:r w:rsidR="008D0565" w:rsidRPr="00D61F73">
          <w:rPr>
            <w:rStyle w:val="Hyperlink"/>
            <w:rFonts w:ascii="Arial" w:hAnsi="Arial" w:cs="Arial"/>
          </w:rPr>
          <w:t>Bansal V, Kalita J, Misra UK.</w:t>
        </w:r>
      </w:hyperlink>
      <w:r w:rsidR="008D0565" w:rsidRPr="00D61F73">
        <w:rPr>
          <w:rFonts w:ascii="Arial" w:hAnsi="Arial" w:cs="Arial"/>
        </w:rPr>
        <w:t xml:space="preserve"> Diabetic neuropathy. </w:t>
      </w:r>
      <w:r w:rsidR="008D0565" w:rsidRPr="00D61F73">
        <w:rPr>
          <w:rFonts w:ascii="Arial" w:hAnsi="Arial" w:cs="Arial"/>
          <w:i/>
          <w:iCs/>
        </w:rPr>
        <w:t>Postgrad Med J.</w:t>
      </w:r>
      <w:r w:rsidR="008D0565" w:rsidRPr="00D61F73">
        <w:rPr>
          <w:rFonts w:ascii="Arial" w:hAnsi="Arial" w:cs="Arial"/>
        </w:rPr>
        <w:t xml:space="preserve"> 2006 Feb;82(964):95-100.</w:t>
      </w:r>
    </w:p>
    <w:p w14:paraId="4D45B3C5" w14:textId="77777777" w:rsidR="008D0565" w:rsidRPr="00D61F73" w:rsidRDefault="008D0565" w:rsidP="00D61F73">
      <w:pPr>
        <w:rPr>
          <w:rFonts w:ascii="Arial" w:hAnsi="Arial" w:cs="Arial"/>
        </w:rPr>
      </w:pPr>
    </w:p>
    <w:p w14:paraId="060E77DE" w14:textId="77777777" w:rsidR="008D0565" w:rsidRPr="00D61F73" w:rsidRDefault="00751163" w:rsidP="00D61F73">
      <w:pPr>
        <w:rPr>
          <w:rFonts w:ascii="Arial" w:hAnsi="Arial" w:cs="Arial"/>
        </w:rPr>
      </w:pPr>
      <w:hyperlink w:anchor="BlueCrossBlueShield992" w:history="1">
        <w:r w:rsidR="008D0565" w:rsidRPr="00D61F73">
          <w:rPr>
            <w:rStyle w:val="Hyperlink"/>
            <w:rFonts w:ascii="Arial" w:hAnsi="Arial" w:cs="Arial"/>
          </w:rPr>
          <w:t>BlueCross BlueShield</w:t>
        </w:r>
      </w:hyperlink>
      <w:r w:rsidR="008D0565" w:rsidRPr="00D61F73">
        <w:rPr>
          <w:rFonts w:ascii="Arial" w:hAnsi="Arial" w:cs="Arial"/>
        </w:rPr>
        <w:t>. Radiology Section - Thermography. Policy No: 17. Effective Date: 04/05/2005</w:t>
      </w:r>
    </w:p>
    <w:p w14:paraId="74193751" w14:textId="77777777" w:rsidR="008D0565" w:rsidRPr="00D61F73" w:rsidRDefault="008D0565" w:rsidP="00D61F73">
      <w:pPr>
        <w:rPr>
          <w:rFonts w:ascii="Arial" w:hAnsi="Arial" w:cs="Arial"/>
        </w:rPr>
      </w:pPr>
    </w:p>
    <w:p w14:paraId="066C1D0F" w14:textId="77777777" w:rsidR="008D0565" w:rsidRPr="00D61F73" w:rsidRDefault="00751163" w:rsidP="00D61F73">
      <w:pPr>
        <w:rPr>
          <w:rFonts w:ascii="Arial" w:hAnsi="Arial" w:cs="Arial"/>
        </w:rPr>
      </w:pPr>
      <w:hyperlink w:anchor="Borchers2013" w:history="1">
        <w:r w:rsidR="008D0565" w:rsidRPr="00D61F73">
          <w:rPr>
            <w:rStyle w:val="Hyperlink"/>
            <w:rFonts w:ascii="Arial" w:hAnsi="Arial" w:cs="Arial"/>
          </w:rPr>
          <w:t>Borchers AT, Gershwin ME</w:t>
        </w:r>
      </w:hyperlink>
      <w:r w:rsidR="008D0565" w:rsidRPr="00D61F73">
        <w:rPr>
          <w:rFonts w:ascii="Arial" w:hAnsi="Arial" w:cs="Arial"/>
        </w:rPr>
        <w:t xml:space="preserve">. Complex regional pain syndrome: A comprehensive and critical review. </w:t>
      </w:r>
      <w:r w:rsidR="008D0565" w:rsidRPr="00D61F73">
        <w:rPr>
          <w:rFonts w:ascii="Arial" w:hAnsi="Arial" w:cs="Arial"/>
          <w:i/>
          <w:iCs/>
        </w:rPr>
        <w:t>Autoimmun Rev</w:t>
      </w:r>
      <w:r w:rsidR="008D0565" w:rsidRPr="00D61F73">
        <w:rPr>
          <w:rFonts w:ascii="Arial" w:hAnsi="Arial" w:cs="Arial"/>
        </w:rPr>
        <w:t>. 2013 Oct 23. pii: S1568-9972(13)00181-X. doi: 10.1016/j.autrev.2013.10.006.</w:t>
      </w:r>
    </w:p>
    <w:p w14:paraId="7CA37B06" w14:textId="77777777" w:rsidR="008D0565" w:rsidRPr="00D61F73" w:rsidRDefault="008D0565" w:rsidP="00D61F73">
      <w:pPr>
        <w:rPr>
          <w:rFonts w:ascii="Arial" w:hAnsi="Arial" w:cs="Arial"/>
        </w:rPr>
      </w:pPr>
    </w:p>
    <w:p w14:paraId="26B38653" w14:textId="77777777" w:rsidR="008D0565" w:rsidRPr="00D61F73" w:rsidRDefault="00751163" w:rsidP="00D61F73">
      <w:pPr>
        <w:rPr>
          <w:rFonts w:ascii="Arial" w:hAnsi="Arial" w:cs="Arial"/>
        </w:rPr>
      </w:pPr>
      <w:hyperlink w:anchor="BorgStein" w:history="1">
        <w:r w:rsidR="008D0565" w:rsidRPr="00D61F73">
          <w:rPr>
            <w:rStyle w:val="Hyperlink"/>
            <w:rFonts w:ascii="Arial" w:hAnsi="Arial" w:cs="Arial"/>
          </w:rPr>
          <w:t>Borg-Stein J, Simons DG</w:t>
        </w:r>
      </w:hyperlink>
      <w:r w:rsidR="008D0565" w:rsidRPr="00D61F73">
        <w:rPr>
          <w:rFonts w:ascii="Arial" w:hAnsi="Arial" w:cs="Arial"/>
        </w:rPr>
        <w:t xml:space="preserve">. Focused review: myofascial pain. </w:t>
      </w:r>
      <w:r w:rsidR="008D0565" w:rsidRPr="00D61F73">
        <w:rPr>
          <w:rFonts w:ascii="Arial" w:hAnsi="Arial" w:cs="Arial"/>
          <w:i/>
        </w:rPr>
        <w:t>Arch Phys Med Rehabil</w:t>
      </w:r>
      <w:r w:rsidR="008D0565" w:rsidRPr="00D61F73">
        <w:rPr>
          <w:rFonts w:ascii="Arial" w:hAnsi="Arial" w:cs="Arial"/>
        </w:rPr>
        <w:t>. 2002 Mar;83(3 Suppl 1):S40-7, S48-9.</w:t>
      </w:r>
    </w:p>
    <w:p w14:paraId="5034DC6B" w14:textId="77777777" w:rsidR="008D0565" w:rsidRPr="00D61F73" w:rsidRDefault="008D0565" w:rsidP="00D61F73">
      <w:pPr>
        <w:rPr>
          <w:rFonts w:ascii="Arial" w:hAnsi="Arial" w:cs="Arial"/>
        </w:rPr>
      </w:pPr>
    </w:p>
    <w:p w14:paraId="16F8CC8A" w14:textId="77777777" w:rsidR="008D0565" w:rsidRPr="00D61F73" w:rsidRDefault="00751163" w:rsidP="00D61F73">
      <w:pPr>
        <w:rPr>
          <w:rFonts w:ascii="Arial" w:hAnsi="Arial" w:cs="Arial"/>
        </w:rPr>
      </w:pPr>
      <w:hyperlink w:anchor="Borsook" w:history="1">
        <w:r w:rsidR="008D0565" w:rsidRPr="00D61F73">
          <w:rPr>
            <w:rStyle w:val="Hyperlink"/>
            <w:rFonts w:ascii="Arial" w:hAnsi="Arial" w:cs="Arial"/>
          </w:rPr>
          <w:t>Borsook D, Becerra LR</w:t>
        </w:r>
      </w:hyperlink>
      <w:r w:rsidR="008D0565" w:rsidRPr="00D61F73">
        <w:rPr>
          <w:rFonts w:ascii="Arial" w:hAnsi="Arial" w:cs="Arial"/>
        </w:rPr>
        <w:t xml:space="preserve">. Breaking down the barriers: fMRI applications in pain, analgesia and analgesics. </w:t>
      </w:r>
      <w:r w:rsidR="008D0565" w:rsidRPr="00D61F73">
        <w:rPr>
          <w:rFonts w:ascii="Arial" w:hAnsi="Arial" w:cs="Arial"/>
          <w:i/>
          <w:iCs/>
        </w:rPr>
        <w:t>Mol Pain</w:t>
      </w:r>
      <w:r w:rsidR="008D0565" w:rsidRPr="00D61F73">
        <w:rPr>
          <w:rFonts w:ascii="Arial" w:hAnsi="Arial" w:cs="Arial"/>
        </w:rPr>
        <w:t>. 2006 Sep 18;2:30.</w:t>
      </w:r>
    </w:p>
    <w:p w14:paraId="61CB918A" w14:textId="77777777" w:rsidR="008D0565" w:rsidRPr="00D61F73" w:rsidRDefault="008D0565" w:rsidP="00D61F73">
      <w:pPr>
        <w:pStyle w:val="Footer"/>
        <w:tabs>
          <w:tab w:val="clear" w:pos="4320"/>
          <w:tab w:val="clear" w:pos="8640"/>
        </w:tabs>
        <w:rPr>
          <w:rFonts w:ascii="Arial" w:hAnsi="Arial" w:cs="Arial"/>
        </w:rPr>
      </w:pPr>
    </w:p>
    <w:p w14:paraId="599B38F1" w14:textId="77777777" w:rsidR="008D0565" w:rsidRPr="00D61F73" w:rsidRDefault="00751163" w:rsidP="00D61F73">
      <w:pPr>
        <w:rPr>
          <w:rFonts w:ascii="Arial" w:hAnsi="Arial" w:cs="Arial"/>
        </w:rPr>
      </w:pPr>
      <w:hyperlink w:anchor="Borsook2" w:history="1">
        <w:r w:rsidR="008D0565" w:rsidRPr="00D61F73">
          <w:rPr>
            <w:rStyle w:val="Hyperlink"/>
            <w:rFonts w:ascii="Arial" w:hAnsi="Arial" w:cs="Arial"/>
          </w:rPr>
          <w:t>Borsook, D., et al</w:t>
        </w:r>
      </w:hyperlink>
      <w:r w:rsidR="008D0565" w:rsidRPr="00D61F73">
        <w:rPr>
          <w:rFonts w:ascii="Arial" w:hAnsi="Arial" w:cs="Arial"/>
        </w:rPr>
        <w:t xml:space="preserve">. Neuroimaging revolutionizes therapeutic approaches to chronic pain. </w:t>
      </w:r>
      <w:r w:rsidR="008D0565" w:rsidRPr="00D61F73">
        <w:rPr>
          <w:rFonts w:ascii="Arial" w:hAnsi="Arial" w:cs="Arial"/>
          <w:i/>
          <w:iCs/>
        </w:rPr>
        <w:t>Molecular Pain</w:t>
      </w:r>
      <w:r w:rsidR="008D0565" w:rsidRPr="00D61F73">
        <w:rPr>
          <w:rFonts w:ascii="Arial" w:hAnsi="Arial" w:cs="Arial"/>
        </w:rPr>
        <w:t>. 2000; Volume 3, Number 25.</w:t>
      </w:r>
    </w:p>
    <w:p w14:paraId="32E45F47" w14:textId="77777777" w:rsidR="008D0565" w:rsidRPr="00D61F73" w:rsidRDefault="008D0565" w:rsidP="00D61F73">
      <w:pPr>
        <w:pStyle w:val="Footer"/>
        <w:tabs>
          <w:tab w:val="clear" w:pos="4320"/>
          <w:tab w:val="clear" w:pos="8640"/>
        </w:tabs>
        <w:rPr>
          <w:rFonts w:ascii="Arial" w:hAnsi="Arial" w:cs="Arial"/>
        </w:rPr>
      </w:pPr>
    </w:p>
    <w:p w14:paraId="7E27E594" w14:textId="77777777" w:rsidR="008D0565" w:rsidRPr="00D61F73" w:rsidRDefault="00751163" w:rsidP="00D61F73">
      <w:pPr>
        <w:pStyle w:val="Footer"/>
        <w:tabs>
          <w:tab w:val="clear" w:pos="4320"/>
          <w:tab w:val="clear" w:pos="8640"/>
        </w:tabs>
        <w:rPr>
          <w:rFonts w:ascii="Arial" w:hAnsi="Arial" w:cs="Arial"/>
        </w:rPr>
      </w:pPr>
      <w:hyperlink w:anchor="Brown2011" w:history="1">
        <w:r w:rsidR="008D0565" w:rsidRPr="00D61F73">
          <w:rPr>
            <w:rStyle w:val="Hyperlink"/>
            <w:rFonts w:ascii="Arial" w:hAnsi="Arial" w:cs="Arial"/>
          </w:rPr>
          <w:t>Brown JE, Chatterjee N, Younger J, Mackey S</w:t>
        </w:r>
      </w:hyperlink>
      <w:r w:rsidR="008D0565" w:rsidRPr="00D61F73">
        <w:rPr>
          <w:rFonts w:ascii="Arial" w:hAnsi="Arial" w:cs="Arial"/>
        </w:rPr>
        <w:t xml:space="preserve">. Towards a Physiology-Based Measure of Pain: Patterns of Human Brain Activity Distinguish Painful from Non-Painful Thermal Stimulation. </w:t>
      </w:r>
      <w:r w:rsidR="008D0565" w:rsidRPr="00D61F73">
        <w:rPr>
          <w:rFonts w:ascii="Arial" w:hAnsi="Arial" w:cs="Arial"/>
          <w:i/>
          <w:iCs/>
        </w:rPr>
        <w:t xml:space="preserve">PLoS ONE </w:t>
      </w:r>
      <w:r w:rsidR="008D0565" w:rsidRPr="00D61F73">
        <w:rPr>
          <w:rFonts w:ascii="Arial" w:hAnsi="Arial" w:cs="Arial"/>
        </w:rPr>
        <w:t>6(9): e24124. Sept. 13, 2011.</w:t>
      </w:r>
    </w:p>
    <w:p w14:paraId="5B9F6735" w14:textId="77777777" w:rsidR="008D0565" w:rsidRPr="00D61F73" w:rsidRDefault="008D0565" w:rsidP="00D61F73">
      <w:pPr>
        <w:pStyle w:val="Footer"/>
        <w:tabs>
          <w:tab w:val="clear" w:pos="4320"/>
          <w:tab w:val="clear" w:pos="8640"/>
        </w:tabs>
        <w:rPr>
          <w:rFonts w:ascii="Arial" w:hAnsi="Arial" w:cs="Arial"/>
        </w:rPr>
      </w:pPr>
    </w:p>
    <w:p w14:paraId="0D47539E" w14:textId="77777777" w:rsidR="008D0565" w:rsidRPr="00D61F73" w:rsidRDefault="00751163" w:rsidP="00D61F73">
      <w:pPr>
        <w:pStyle w:val="Footer"/>
        <w:tabs>
          <w:tab w:val="clear" w:pos="4320"/>
          <w:tab w:val="clear" w:pos="8640"/>
        </w:tabs>
        <w:rPr>
          <w:rFonts w:ascii="Arial" w:hAnsi="Arial" w:cs="Arial"/>
        </w:rPr>
      </w:pPr>
      <w:hyperlink w:anchor="California2" w:history="1">
        <w:r w:rsidR="008D0565" w:rsidRPr="00D61F73">
          <w:rPr>
            <w:rStyle w:val="Hyperlink"/>
            <w:rFonts w:ascii="Arial" w:hAnsi="Arial" w:cs="Arial"/>
          </w:rPr>
          <w:t>California</w:t>
        </w:r>
      </w:hyperlink>
      <w:r w:rsidR="008D0565" w:rsidRPr="00D61F73">
        <w:rPr>
          <w:rFonts w:ascii="Arial" w:hAnsi="Arial" w:cs="Arial"/>
        </w:rPr>
        <w:t>. Division of Workers’ Compensation. Functional Improvement Report. October 2007.</w:t>
      </w:r>
    </w:p>
    <w:p w14:paraId="045F9571" w14:textId="77777777" w:rsidR="00F632E4" w:rsidRPr="00D61F73" w:rsidRDefault="00F632E4" w:rsidP="00D61F73">
      <w:pPr>
        <w:pStyle w:val="Footer"/>
        <w:tabs>
          <w:tab w:val="clear" w:pos="4320"/>
          <w:tab w:val="clear" w:pos="8640"/>
        </w:tabs>
        <w:rPr>
          <w:rFonts w:ascii="Arial" w:hAnsi="Arial" w:cs="Arial"/>
        </w:rPr>
      </w:pPr>
    </w:p>
    <w:p w14:paraId="61F4B6A3" w14:textId="77777777" w:rsidR="0099006A" w:rsidRPr="00D61F73" w:rsidRDefault="00751163" w:rsidP="00D61F73">
      <w:pPr>
        <w:pStyle w:val="Footer"/>
        <w:tabs>
          <w:tab w:val="clear" w:pos="4320"/>
          <w:tab w:val="clear" w:pos="8640"/>
        </w:tabs>
        <w:rPr>
          <w:rFonts w:ascii="Arial" w:hAnsi="Arial" w:cs="Arial"/>
        </w:rPr>
      </w:pPr>
      <w:hyperlink w:anchor="ChuLF" w:history="1">
        <w:r w:rsidR="0099006A" w:rsidRPr="00D61F73">
          <w:rPr>
            <w:rStyle w:val="Hyperlink"/>
            <w:rFonts w:ascii="Arial" w:hAnsi="Arial" w:cs="Arial"/>
          </w:rPr>
          <w:t>Chu LF, D'Arcy N, Brady C, Zamora AK, Young CA, Kim JE, Clemenson AM, Angst MS, Clark JD.</w:t>
        </w:r>
      </w:hyperlink>
    </w:p>
    <w:p w14:paraId="040F79F6" w14:textId="77777777" w:rsidR="00F632E4" w:rsidRPr="00D61F73" w:rsidRDefault="00F632E4" w:rsidP="00D61F73">
      <w:pPr>
        <w:pStyle w:val="Footer"/>
        <w:tabs>
          <w:tab w:val="clear" w:pos="4320"/>
          <w:tab w:val="clear" w:pos="8640"/>
        </w:tabs>
        <w:rPr>
          <w:rFonts w:ascii="Arial" w:hAnsi="Arial" w:cs="Arial"/>
        </w:rPr>
      </w:pPr>
      <w:r w:rsidRPr="00D61F73">
        <w:rPr>
          <w:rFonts w:ascii="Arial" w:hAnsi="Arial" w:cs="Arial"/>
          <w:color w:val="auto"/>
        </w:rPr>
        <w:t>Analgesic tolerance without demonstrable opioid-induced hyperalgesia</w:t>
      </w:r>
      <w:r w:rsidRPr="00D61F73">
        <w:rPr>
          <w:rFonts w:ascii="Arial" w:hAnsi="Arial" w:cs="Arial"/>
        </w:rPr>
        <w:t xml:space="preserve">. </w:t>
      </w:r>
      <w:r w:rsidRPr="00D61F73">
        <w:rPr>
          <w:rFonts w:ascii="Arial" w:hAnsi="Arial" w:cs="Arial"/>
          <w:i/>
        </w:rPr>
        <w:t>J Pain</w:t>
      </w:r>
      <w:r w:rsidRPr="00D61F73">
        <w:rPr>
          <w:rFonts w:ascii="Arial" w:hAnsi="Arial" w:cs="Arial"/>
        </w:rPr>
        <w:t>.</w:t>
      </w:r>
      <w:r w:rsidRPr="00D61F73">
        <w:rPr>
          <w:rFonts w:ascii="Arial" w:hAnsi="Arial" w:cs="Arial"/>
          <w:color w:val="auto"/>
        </w:rPr>
        <w:t xml:space="preserve"> </w:t>
      </w:r>
      <w:r w:rsidRPr="00D61F73">
        <w:rPr>
          <w:rFonts w:ascii="Arial" w:hAnsi="Arial" w:cs="Arial"/>
        </w:rPr>
        <w:t>2012 Aug;153(8):1583-92. doi: 10.1016/j.pain.2012.02.028. Epub 2012 Jun 16.</w:t>
      </w:r>
    </w:p>
    <w:p w14:paraId="60C697AD" w14:textId="77777777" w:rsidR="008D0565" w:rsidRPr="00D61F73" w:rsidRDefault="008D0565" w:rsidP="00D61F73">
      <w:pPr>
        <w:pStyle w:val="Footer"/>
        <w:tabs>
          <w:tab w:val="clear" w:pos="4320"/>
          <w:tab w:val="clear" w:pos="8640"/>
        </w:tabs>
        <w:rPr>
          <w:rFonts w:ascii="Arial" w:hAnsi="Arial" w:cs="Arial"/>
        </w:rPr>
      </w:pPr>
    </w:p>
    <w:p w14:paraId="3DB5A25D" w14:textId="77777777" w:rsidR="008D0565" w:rsidRPr="00D61F73" w:rsidRDefault="00751163" w:rsidP="00D61F73">
      <w:pPr>
        <w:pStyle w:val="NormalWeb"/>
        <w:spacing w:before="0" w:beforeAutospacing="0" w:after="0" w:afterAutospacing="0"/>
        <w:rPr>
          <w:rFonts w:ascii="Arial" w:hAnsi="Arial" w:cs="Arial"/>
        </w:rPr>
      </w:pPr>
      <w:hyperlink w:anchor="Cowan" w:history="1">
        <w:r w:rsidR="008D0565" w:rsidRPr="00D61F73">
          <w:rPr>
            <w:rStyle w:val="Hyperlink"/>
            <w:rFonts w:ascii="Arial" w:hAnsi="Arial" w:cs="Arial"/>
          </w:rPr>
          <w:t>Cowan P, Kelly N.</w:t>
        </w:r>
      </w:hyperlink>
      <w:r w:rsidR="008D0565" w:rsidRPr="00D61F73">
        <w:rPr>
          <w:rFonts w:ascii="Arial" w:hAnsi="Arial" w:cs="Arial"/>
        </w:rPr>
        <w:t xml:space="preserve"> Quality Of Life Scale, A Measure Of Function For People With Pain. The American Chronic Pain Association. 2008</w:t>
      </w:r>
    </w:p>
    <w:p w14:paraId="7C228D71" w14:textId="77777777" w:rsidR="008D0565" w:rsidRPr="00D61F73" w:rsidRDefault="008D0565" w:rsidP="00D61F73">
      <w:pPr>
        <w:pStyle w:val="Footer"/>
        <w:tabs>
          <w:tab w:val="clear" w:pos="4320"/>
          <w:tab w:val="clear" w:pos="8640"/>
        </w:tabs>
        <w:rPr>
          <w:rFonts w:ascii="Arial" w:hAnsi="Arial" w:cs="Arial"/>
        </w:rPr>
      </w:pPr>
    </w:p>
    <w:p w14:paraId="54992914" w14:textId="77777777" w:rsidR="008D0565" w:rsidRPr="00D61F73" w:rsidRDefault="00751163" w:rsidP="00D61F73">
      <w:pPr>
        <w:rPr>
          <w:rFonts w:ascii="Arial" w:hAnsi="Arial" w:cs="Arial"/>
        </w:rPr>
      </w:pPr>
      <w:hyperlink w:anchor="Dros" w:history="1">
        <w:r w:rsidR="008D0565" w:rsidRPr="00D61F73">
          <w:rPr>
            <w:rStyle w:val="Hyperlink"/>
            <w:rFonts w:ascii="Arial" w:hAnsi="Arial" w:cs="Arial"/>
          </w:rPr>
          <w:t>Dros J, Wewerinke A, Bindels PJ, van Weert HC.</w:t>
        </w:r>
      </w:hyperlink>
      <w:r w:rsidR="008D0565" w:rsidRPr="00D61F73">
        <w:rPr>
          <w:rFonts w:ascii="Arial" w:hAnsi="Arial" w:cs="Arial"/>
        </w:rPr>
        <w:t xml:space="preserve"> Accuracy of monofilament testing to diagnose peripheral neuropathy: a systematic review. </w:t>
      </w:r>
      <w:r w:rsidR="008D0565" w:rsidRPr="00D61F73">
        <w:rPr>
          <w:rFonts w:ascii="Arial" w:hAnsi="Arial" w:cs="Arial"/>
          <w:i/>
          <w:iCs/>
        </w:rPr>
        <w:t>Ann Fam Med.</w:t>
      </w:r>
      <w:r w:rsidR="008D0565" w:rsidRPr="00D61F73">
        <w:rPr>
          <w:rFonts w:ascii="Arial" w:hAnsi="Arial" w:cs="Arial"/>
        </w:rPr>
        <w:t xml:space="preserve"> 2009 Nov-Dec;7(6):555-8.</w:t>
      </w:r>
    </w:p>
    <w:p w14:paraId="12C9B604" w14:textId="77777777" w:rsidR="008D0565" w:rsidRPr="00D61F73" w:rsidRDefault="008D0565" w:rsidP="00D61F73">
      <w:pPr>
        <w:pStyle w:val="Footer"/>
        <w:tabs>
          <w:tab w:val="clear" w:pos="4320"/>
          <w:tab w:val="clear" w:pos="8640"/>
        </w:tabs>
        <w:rPr>
          <w:rFonts w:ascii="Arial" w:hAnsi="Arial" w:cs="Arial"/>
        </w:rPr>
      </w:pPr>
    </w:p>
    <w:p w14:paraId="5F587172" w14:textId="77777777" w:rsidR="008D0565" w:rsidRPr="00D61F73" w:rsidRDefault="00751163" w:rsidP="00D61F73">
      <w:pPr>
        <w:pStyle w:val="NormalWeb"/>
        <w:spacing w:before="0" w:beforeAutospacing="0" w:after="0" w:afterAutospacing="0"/>
        <w:rPr>
          <w:rFonts w:ascii="Arial" w:hAnsi="Arial" w:cs="Arial"/>
        </w:rPr>
      </w:pPr>
      <w:hyperlink w:anchor="Dyck" w:history="1">
        <w:r w:rsidR="008D0565" w:rsidRPr="00D61F73">
          <w:rPr>
            <w:rStyle w:val="Hyperlink"/>
            <w:rFonts w:ascii="Arial" w:hAnsi="Arial" w:cs="Arial"/>
          </w:rPr>
          <w:t>Dyck PJ, Norell JE, Dyck PJ.</w:t>
        </w:r>
      </w:hyperlink>
      <w:r w:rsidR="008D0565" w:rsidRPr="00D61F73">
        <w:rPr>
          <w:rFonts w:ascii="Arial" w:hAnsi="Arial" w:cs="Arial"/>
        </w:rPr>
        <w:t xml:space="preserve"> Non-diabetic lumbosacral radiculoplexus neuropathy: natural history, outcome and comparison with the diabetic variety. </w:t>
      </w:r>
      <w:r w:rsidR="008D0565" w:rsidRPr="00D61F73">
        <w:rPr>
          <w:rFonts w:ascii="Arial" w:hAnsi="Arial" w:cs="Arial"/>
          <w:i/>
          <w:iCs/>
        </w:rPr>
        <w:t>Brain.</w:t>
      </w:r>
      <w:r w:rsidR="008D0565" w:rsidRPr="00D61F73">
        <w:rPr>
          <w:rFonts w:ascii="Arial" w:hAnsi="Arial" w:cs="Arial"/>
        </w:rPr>
        <w:t xml:space="preserve"> 2001 Jun;124(Pt 6):1197-207.</w:t>
      </w:r>
    </w:p>
    <w:p w14:paraId="5F0512E1" w14:textId="77777777" w:rsidR="008D0565" w:rsidRPr="00D61F73" w:rsidRDefault="008D0565" w:rsidP="00D61F73">
      <w:pPr>
        <w:pStyle w:val="Footer"/>
        <w:tabs>
          <w:tab w:val="clear" w:pos="4320"/>
          <w:tab w:val="clear" w:pos="8640"/>
        </w:tabs>
        <w:rPr>
          <w:rFonts w:ascii="Arial" w:hAnsi="Arial" w:cs="Arial"/>
        </w:rPr>
      </w:pPr>
    </w:p>
    <w:p w14:paraId="60B2343A" w14:textId="77777777" w:rsidR="008D0565" w:rsidRPr="00D61F73" w:rsidRDefault="00751163" w:rsidP="00D61F73">
      <w:pPr>
        <w:rPr>
          <w:rFonts w:ascii="Arial" w:hAnsi="Arial" w:cs="Arial"/>
        </w:rPr>
      </w:pPr>
      <w:hyperlink w:anchor="Polatin" w:history="1">
        <w:r w:rsidR="008D0565" w:rsidRPr="00D61F73">
          <w:rPr>
            <w:rStyle w:val="Hyperlink"/>
            <w:rFonts w:ascii="Arial" w:hAnsi="Arial" w:cs="Arial"/>
          </w:rPr>
          <w:t>Gatchel R., Polatin P</w:t>
        </w:r>
      </w:hyperlink>
      <w:r w:rsidR="008D0565" w:rsidRPr="00D61F73">
        <w:rPr>
          <w:rFonts w:ascii="Arial" w:hAnsi="Arial" w:cs="Arial"/>
        </w:rPr>
        <w:t xml:space="preserve">. and Kinney R. Predicting Outcome of Chronic Back Pain Using Clinical Predictors of Psychopathology: A Prospective Analysis. </w:t>
      </w:r>
      <w:r w:rsidR="008D0565" w:rsidRPr="00D61F73">
        <w:rPr>
          <w:rFonts w:ascii="Arial" w:hAnsi="Arial" w:cs="Arial"/>
          <w:i/>
          <w:iCs/>
        </w:rPr>
        <w:t>Health Psychology</w:t>
      </w:r>
      <w:r w:rsidR="008D0565" w:rsidRPr="00D61F73">
        <w:rPr>
          <w:rFonts w:ascii="Arial" w:hAnsi="Arial" w:cs="Arial"/>
        </w:rPr>
        <w:t xml:space="preserve"> 1995:14 (5);415-20.</w:t>
      </w:r>
    </w:p>
    <w:p w14:paraId="2F8A83E4" w14:textId="77777777" w:rsidR="008D0565" w:rsidRPr="00D61F73" w:rsidRDefault="008D0565" w:rsidP="00D61F73">
      <w:pPr>
        <w:rPr>
          <w:rFonts w:ascii="Arial" w:hAnsi="Arial" w:cs="Arial"/>
        </w:rPr>
      </w:pPr>
    </w:p>
    <w:p w14:paraId="6FF28E1A" w14:textId="77777777" w:rsidR="008D0565" w:rsidRPr="00D61F73" w:rsidRDefault="00751163" w:rsidP="00D61F73">
      <w:pPr>
        <w:rPr>
          <w:rFonts w:ascii="Arial" w:hAnsi="Arial" w:cs="Arial"/>
        </w:rPr>
      </w:pPr>
      <w:hyperlink w:anchor="Gavin" w:history="1">
        <w:r w:rsidR="008D0565" w:rsidRPr="00D61F73">
          <w:rPr>
            <w:rStyle w:val="Hyperlink"/>
            <w:rFonts w:ascii="Arial" w:hAnsi="Arial" w:cs="Arial"/>
          </w:rPr>
          <w:t>Gavin, I., et al</w:t>
        </w:r>
      </w:hyperlink>
      <w:r w:rsidR="008D0565" w:rsidRPr="00D61F73">
        <w:rPr>
          <w:rFonts w:ascii="Arial" w:hAnsi="Arial" w:cs="Arial"/>
        </w:rPr>
        <w:t xml:space="preserve">. Identification of Human Cell Responses to Hexavalent Chromium. </w:t>
      </w:r>
      <w:r w:rsidR="008D0565" w:rsidRPr="00D61F73">
        <w:rPr>
          <w:rFonts w:ascii="Arial" w:hAnsi="Arial" w:cs="Arial"/>
          <w:i/>
          <w:iCs/>
        </w:rPr>
        <w:t>Environmental and Molecular Mutagenesis</w:t>
      </w:r>
      <w:r w:rsidR="008D0565" w:rsidRPr="00D61F73">
        <w:rPr>
          <w:rFonts w:ascii="Arial" w:hAnsi="Arial" w:cs="Arial"/>
        </w:rPr>
        <w:t>. 2007. Volume 48: 650-57.</w:t>
      </w:r>
    </w:p>
    <w:p w14:paraId="47427833" w14:textId="77777777" w:rsidR="008D0565" w:rsidRPr="00D61F73" w:rsidRDefault="008D0565" w:rsidP="00D61F73">
      <w:pPr>
        <w:rPr>
          <w:rFonts w:ascii="Arial" w:hAnsi="Arial" w:cs="Arial"/>
        </w:rPr>
      </w:pPr>
    </w:p>
    <w:p w14:paraId="5C0A2700" w14:textId="77777777" w:rsidR="008D0565" w:rsidRPr="00D61F73" w:rsidRDefault="00751163" w:rsidP="00D61F73">
      <w:pPr>
        <w:rPr>
          <w:rFonts w:ascii="Arial" w:hAnsi="Arial" w:cs="Arial"/>
        </w:rPr>
      </w:pPr>
      <w:hyperlink w:anchor="Giesecke" w:history="1">
        <w:r w:rsidR="008D0565" w:rsidRPr="00D61F73">
          <w:rPr>
            <w:rStyle w:val="Hyperlink"/>
            <w:rFonts w:ascii="Arial" w:hAnsi="Arial" w:cs="Arial"/>
          </w:rPr>
          <w:t>Giesecke T, Williams DA, Harris RE, Cupps TR, Tian X, Tian TX, Gracely RH, Clauw DJ.</w:t>
        </w:r>
      </w:hyperlink>
      <w:r w:rsidR="008D0565" w:rsidRPr="00D61F73">
        <w:rPr>
          <w:rFonts w:ascii="Arial" w:hAnsi="Arial" w:cs="Arial"/>
        </w:rPr>
        <w:t xml:space="preserve"> Subgrouping of fibromyalgia patients on the basis of pressure-pain thresholds and psychological factors. </w:t>
      </w:r>
      <w:r w:rsidR="008D0565" w:rsidRPr="00D61F73">
        <w:rPr>
          <w:rFonts w:ascii="Arial" w:hAnsi="Arial" w:cs="Arial"/>
          <w:i/>
          <w:iCs/>
        </w:rPr>
        <w:t>Arthritis Rheum</w:t>
      </w:r>
      <w:r w:rsidR="008D0565" w:rsidRPr="00D61F73">
        <w:rPr>
          <w:rFonts w:ascii="Arial" w:hAnsi="Arial" w:cs="Arial"/>
        </w:rPr>
        <w:t>. 2003 Oct;48(10):2916-22.</w:t>
      </w:r>
    </w:p>
    <w:p w14:paraId="0C87091D" w14:textId="77777777" w:rsidR="008D0565" w:rsidRPr="00D61F73" w:rsidRDefault="008D0565" w:rsidP="00D61F73">
      <w:pPr>
        <w:rPr>
          <w:rFonts w:ascii="Arial" w:hAnsi="Arial" w:cs="Arial"/>
        </w:rPr>
      </w:pPr>
    </w:p>
    <w:p w14:paraId="33755668" w14:textId="77777777" w:rsidR="008D0565" w:rsidRPr="00D61F73" w:rsidRDefault="00751163" w:rsidP="00D61F73">
      <w:pPr>
        <w:rPr>
          <w:rFonts w:ascii="Arial" w:hAnsi="Arial" w:cs="Arial"/>
        </w:rPr>
      </w:pPr>
      <w:hyperlink w:anchor="Gillis" w:history="1">
        <w:r w:rsidR="008D0565" w:rsidRPr="00D61F73">
          <w:rPr>
            <w:rStyle w:val="Hyperlink"/>
            <w:rFonts w:ascii="Arial" w:hAnsi="Arial" w:cs="Arial"/>
          </w:rPr>
          <w:t>Gillis, B., et al</w:t>
        </w:r>
      </w:hyperlink>
      <w:r w:rsidR="008D0565" w:rsidRPr="00D61F73">
        <w:rPr>
          <w:rFonts w:ascii="Arial" w:hAnsi="Arial" w:cs="Arial"/>
        </w:rPr>
        <w:t xml:space="preserve">. Identification of Human cell responses to benzene and benzene metabolites. </w:t>
      </w:r>
      <w:r w:rsidR="008D0565" w:rsidRPr="00D61F73">
        <w:rPr>
          <w:rFonts w:ascii="Arial" w:hAnsi="Arial" w:cs="Arial"/>
          <w:i/>
          <w:iCs/>
        </w:rPr>
        <w:t>Genomics</w:t>
      </w:r>
      <w:r w:rsidR="008D0565" w:rsidRPr="00D61F73">
        <w:rPr>
          <w:rFonts w:ascii="Arial" w:hAnsi="Arial" w:cs="Arial"/>
        </w:rPr>
        <w:t>. 2007. Number 90: 324-33.</w:t>
      </w:r>
    </w:p>
    <w:p w14:paraId="3780A873" w14:textId="77777777" w:rsidR="008D0565" w:rsidRPr="00D61F73" w:rsidRDefault="008D0565" w:rsidP="00D61F73">
      <w:pPr>
        <w:pStyle w:val="Footer"/>
        <w:tabs>
          <w:tab w:val="clear" w:pos="4320"/>
          <w:tab w:val="clear" w:pos="8640"/>
        </w:tabs>
        <w:rPr>
          <w:rFonts w:ascii="Arial" w:hAnsi="Arial" w:cs="Arial"/>
        </w:rPr>
      </w:pPr>
    </w:p>
    <w:p w14:paraId="5DCB275B" w14:textId="77777777" w:rsidR="008D0565" w:rsidRPr="00D61F73" w:rsidRDefault="00751163" w:rsidP="00D61F73">
      <w:pPr>
        <w:rPr>
          <w:rFonts w:ascii="Arial" w:hAnsi="Arial" w:cs="Arial"/>
        </w:rPr>
      </w:pPr>
      <w:hyperlink w:anchor="GraffRadford" w:history="1">
        <w:r w:rsidR="008D0565" w:rsidRPr="00D61F73">
          <w:rPr>
            <w:rStyle w:val="Hyperlink"/>
            <w:rFonts w:ascii="Arial" w:hAnsi="Arial" w:cs="Arial"/>
          </w:rPr>
          <w:t>Graff-Radford SB.</w:t>
        </w:r>
      </w:hyperlink>
      <w:r w:rsidR="008D0565" w:rsidRPr="00D61F73">
        <w:rPr>
          <w:rFonts w:ascii="Arial" w:hAnsi="Arial" w:cs="Arial"/>
        </w:rPr>
        <w:t xml:space="preserve"> Myofascial pain: diagnosis and management. </w:t>
      </w:r>
      <w:r w:rsidR="008D0565" w:rsidRPr="00D61F73">
        <w:rPr>
          <w:rFonts w:ascii="Arial" w:hAnsi="Arial" w:cs="Arial"/>
          <w:i/>
          <w:iCs/>
        </w:rPr>
        <w:t>Curr Pain Headache Rep</w:t>
      </w:r>
      <w:r w:rsidR="008D0565" w:rsidRPr="00D61F73">
        <w:rPr>
          <w:rFonts w:ascii="Arial" w:hAnsi="Arial" w:cs="Arial"/>
        </w:rPr>
        <w:t>. 2004 Dec;8(6):463-7.</w:t>
      </w:r>
      <w:r w:rsidR="008D0565" w:rsidRPr="00D61F73">
        <w:rPr>
          <w:rFonts w:ascii="Arial" w:hAnsi="Arial" w:cs="Arial"/>
        </w:rPr>
        <w:br/>
      </w:r>
    </w:p>
    <w:p w14:paraId="55B1B742" w14:textId="77777777" w:rsidR="008D0565" w:rsidRPr="00D61F73" w:rsidRDefault="00751163" w:rsidP="00D61F73">
      <w:pPr>
        <w:pStyle w:val="NormalWeb"/>
        <w:spacing w:before="0" w:beforeAutospacing="0" w:after="0" w:afterAutospacing="0"/>
        <w:rPr>
          <w:rFonts w:ascii="Arial" w:hAnsi="Arial" w:cs="Arial"/>
        </w:rPr>
      </w:pPr>
      <w:hyperlink w:anchor="Gusi" w:history="1">
        <w:r w:rsidR="008D0565" w:rsidRPr="00D61F73">
          <w:rPr>
            <w:rStyle w:val="Hyperlink"/>
            <w:rFonts w:ascii="Arial" w:hAnsi="Arial" w:cs="Arial"/>
          </w:rPr>
          <w:t>Gusi N, Tomas-Carus P.</w:t>
        </w:r>
      </w:hyperlink>
      <w:r w:rsidR="008D0565" w:rsidRPr="00D61F73">
        <w:rPr>
          <w:rFonts w:ascii="Arial" w:hAnsi="Arial" w:cs="Arial"/>
        </w:rPr>
        <w:t xml:space="preserve"> Cost-utility of an 8-month aquatic training for women with fibromyalgia: a randomized controlled trial. </w:t>
      </w:r>
      <w:r w:rsidR="008D0565" w:rsidRPr="00D61F73">
        <w:rPr>
          <w:rFonts w:ascii="Arial" w:hAnsi="Arial" w:cs="Arial"/>
          <w:i/>
          <w:iCs/>
        </w:rPr>
        <w:t>Arthritis Res Ther</w:t>
      </w:r>
      <w:r w:rsidR="008D0565" w:rsidRPr="00D61F73">
        <w:rPr>
          <w:rFonts w:ascii="Arial" w:hAnsi="Arial" w:cs="Arial"/>
        </w:rPr>
        <w:t>. 2008 Feb 22;10(1):R24.</w:t>
      </w:r>
    </w:p>
    <w:p w14:paraId="1DD039B8" w14:textId="77777777" w:rsidR="008D0565" w:rsidRPr="00D61F73" w:rsidRDefault="008D0565" w:rsidP="00D61F73">
      <w:pPr>
        <w:rPr>
          <w:rFonts w:ascii="Arial" w:hAnsi="Arial" w:cs="Arial"/>
        </w:rPr>
      </w:pPr>
    </w:p>
    <w:p w14:paraId="5842FA0B" w14:textId="77777777" w:rsidR="008D0565" w:rsidRPr="00D61F73" w:rsidRDefault="00751163" w:rsidP="00D61F73">
      <w:pPr>
        <w:rPr>
          <w:rFonts w:ascii="Arial" w:hAnsi="Arial" w:cs="Arial"/>
        </w:rPr>
      </w:pPr>
      <w:hyperlink w:anchor="Kokkonen2010" w:history="1">
        <w:r w:rsidR="008D0565" w:rsidRPr="00D61F73">
          <w:rPr>
            <w:rStyle w:val="Hyperlink"/>
            <w:rFonts w:ascii="Arial" w:hAnsi="Arial" w:cs="Arial"/>
          </w:rPr>
          <w:t>Kokkonen H, Söderström I, Rocklöv J, Hallmans G, Lejon K, Rantapää Dahlqvist S</w:t>
        </w:r>
      </w:hyperlink>
      <w:r w:rsidR="008D0565" w:rsidRPr="00D61F73">
        <w:rPr>
          <w:rFonts w:ascii="Arial" w:hAnsi="Arial" w:cs="Arial"/>
        </w:rPr>
        <w:t xml:space="preserve">. Up-regulation of cytokines and chemokines predates the onset of rheumatoid arthritis. </w:t>
      </w:r>
      <w:r w:rsidR="008D0565" w:rsidRPr="00D61F73">
        <w:rPr>
          <w:rFonts w:ascii="Arial" w:hAnsi="Arial" w:cs="Arial"/>
          <w:i/>
          <w:iCs/>
        </w:rPr>
        <w:t>Arthritis Rheum</w:t>
      </w:r>
      <w:r w:rsidR="008D0565" w:rsidRPr="00D61F73">
        <w:rPr>
          <w:rFonts w:ascii="Arial" w:hAnsi="Arial" w:cs="Arial"/>
        </w:rPr>
        <w:t>. 2010 Feb;62(2):383-91.</w:t>
      </w:r>
    </w:p>
    <w:p w14:paraId="1C7F6CA9" w14:textId="77777777" w:rsidR="008D0565" w:rsidRPr="00D61F73" w:rsidRDefault="008D0565" w:rsidP="00D61F73">
      <w:pPr>
        <w:rPr>
          <w:rFonts w:ascii="Arial" w:hAnsi="Arial" w:cs="Arial"/>
        </w:rPr>
      </w:pPr>
    </w:p>
    <w:p w14:paraId="5F78621D" w14:textId="77777777" w:rsidR="008D0565" w:rsidRPr="00D61F73" w:rsidRDefault="00751163" w:rsidP="00D61F73">
      <w:pPr>
        <w:rPr>
          <w:rFonts w:ascii="Arial" w:hAnsi="Arial" w:cs="Arial"/>
        </w:rPr>
      </w:pPr>
      <w:hyperlink w:anchor="Kuna2011" w:history="1">
        <w:r w:rsidR="008D0565" w:rsidRPr="00D61F73">
          <w:rPr>
            <w:rStyle w:val="Hyperlink"/>
            <w:rFonts w:ascii="Arial" w:hAnsi="Arial" w:cs="Arial"/>
          </w:rPr>
          <w:t>Kuna ST, Gurubhagavatula I, Maislin G, Hin S, Hartwig KC, McCloskey S, Hachadoorian R, Hurley S, Gupta R, Staley B, Atwood CW</w:t>
        </w:r>
      </w:hyperlink>
      <w:r w:rsidR="008D0565" w:rsidRPr="00D61F73">
        <w:rPr>
          <w:rFonts w:ascii="Arial" w:hAnsi="Arial" w:cs="Arial"/>
        </w:rPr>
        <w:t xml:space="preserve">. Noninferiority of functional outcome in ambulatory management of obstructive sleep apnea. </w:t>
      </w:r>
      <w:r w:rsidR="008D0565" w:rsidRPr="00D61F73">
        <w:rPr>
          <w:rFonts w:ascii="Arial" w:hAnsi="Arial" w:cs="Arial"/>
          <w:i/>
          <w:iCs/>
        </w:rPr>
        <w:t>Am J Respir Crit Care Med.</w:t>
      </w:r>
      <w:r w:rsidR="008D0565" w:rsidRPr="00D61F73">
        <w:rPr>
          <w:rFonts w:ascii="Arial" w:hAnsi="Arial" w:cs="Arial"/>
        </w:rPr>
        <w:t xml:space="preserve"> 2011 May 1;183(9):1238-44. doi: 10.1164/rccm.201011-1770OC.</w:t>
      </w:r>
    </w:p>
    <w:p w14:paraId="2858E0C2" w14:textId="77777777" w:rsidR="008D0565" w:rsidRPr="00D61F73" w:rsidRDefault="008D0565" w:rsidP="00D61F73">
      <w:pPr>
        <w:rPr>
          <w:rFonts w:ascii="Arial" w:hAnsi="Arial" w:cs="Arial"/>
        </w:rPr>
      </w:pPr>
    </w:p>
    <w:p w14:paraId="74B32D5E" w14:textId="77777777" w:rsidR="008D0565" w:rsidRPr="00D61F73" w:rsidRDefault="00751163" w:rsidP="00D61F73">
      <w:pPr>
        <w:rPr>
          <w:rFonts w:ascii="Arial" w:hAnsi="Arial" w:cs="Arial"/>
        </w:rPr>
      </w:pPr>
      <w:hyperlink w:anchor="Linton" w:history="1">
        <w:r w:rsidR="008D0565" w:rsidRPr="00D61F73">
          <w:rPr>
            <w:rStyle w:val="Hyperlink"/>
            <w:rFonts w:ascii="Arial" w:hAnsi="Arial" w:cs="Arial"/>
          </w:rPr>
          <w:t>Linton SJ</w:t>
        </w:r>
      </w:hyperlink>
      <w:r w:rsidR="008D0565" w:rsidRPr="00D61F73">
        <w:rPr>
          <w:rFonts w:ascii="Arial" w:hAnsi="Arial" w:cs="Arial"/>
        </w:rPr>
        <w:t xml:space="preserve">. Early identification and intervention in the prevention of musculoskeletal pain. </w:t>
      </w:r>
      <w:r w:rsidR="008D0565" w:rsidRPr="00D61F73">
        <w:rPr>
          <w:rFonts w:ascii="Arial" w:hAnsi="Arial" w:cs="Arial"/>
          <w:i/>
          <w:iCs/>
        </w:rPr>
        <w:t>American Journal of Independent Medicine</w:t>
      </w:r>
      <w:r w:rsidR="008D0565" w:rsidRPr="00D61F73">
        <w:rPr>
          <w:rFonts w:ascii="Arial" w:hAnsi="Arial" w:cs="Arial"/>
        </w:rPr>
        <w:t>. 2002 May.</w:t>
      </w:r>
    </w:p>
    <w:p w14:paraId="18E06683" w14:textId="77777777" w:rsidR="008D0565" w:rsidRPr="00D61F73" w:rsidRDefault="008D0565" w:rsidP="00D61F73">
      <w:pPr>
        <w:rPr>
          <w:rFonts w:ascii="Arial" w:hAnsi="Arial" w:cs="Arial"/>
        </w:rPr>
      </w:pPr>
    </w:p>
    <w:p w14:paraId="73C970B3" w14:textId="77777777" w:rsidR="008D0565" w:rsidRPr="00D61F73" w:rsidRDefault="00751163" w:rsidP="00D61F73">
      <w:pPr>
        <w:rPr>
          <w:rFonts w:ascii="Arial" w:hAnsi="Arial" w:cs="Arial"/>
        </w:rPr>
      </w:pPr>
      <w:hyperlink w:anchor="Liu2011" w:history="1">
        <w:r w:rsidR="008D0565" w:rsidRPr="00D61F73">
          <w:rPr>
            <w:rStyle w:val="Hyperlink"/>
            <w:rFonts w:ascii="Arial" w:hAnsi="Arial" w:cs="Arial"/>
          </w:rPr>
          <w:t>Liu C, Bayer A, Cosgrove SE, Daum RS, Fridkin SK, Gorwitz RJ, Kaplan SL, Karchmer AW, Levine DP, Murray BE, J Rybak M, Talan DA, Chambers HF</w:t>
        </w:r>
      </w:hyperlink>
      <w:r w:rsidR="008D0565" w:rsidRPr="00D61F73">
        <w:rPr>
          <w:rFonts w:ascii="Arial" w:hAnsi="Arial" w:cs="Arial"/>
        </w:rPr>
        <w:t xml:space="preserve">; Infectious Diseases Society of America. Clinical practice guidelines by the infectious diseases society of america for the treatment of methicillin-resistant Staphylococcus aureus infections in adults and children. </w:t>
      </w:r>
      <w:r w:rsidR="008D0565" w:rsidRPr="00D61F73">
        <w:rPr>
          <w:rFonts w:ascii="Arial" w:hAnsi="Arial" w:cs="Arial"/>
          <w:i/>
          <w:iCs/>
        </w:rPr>
        <w:t>Clin Infect Dis.</w:t>
      </w:r>
      <w:r w:rsidR="008D0565" w:rsidRPr="00D61F73">
        <w:rPr>
          <w:rFonts w:ascii="Arial" w:hAnsi="Arial" w:cs="Arial"/>
        </w:rPr>
        <w:t xml:space="preserve"> 2011 Feb 1;52(3):e18-55.</w:t>
      </w:r>
    </w:p>
    <w:p w14:paraId="11F57D50" w14:textId="77777777" w:rsidR="008D0565" w:rsidRPr="00D61F73" w:rsidRDefault="008D0565" w:rsidP="00D61F73">
      <w:pPr>
        <w:rPr>
          <w:rFonts w:ascii="Arial" w:hAnsi="Arial" w:cs="Arial"/>
        </w:rPr>
      </w:pPr>
    </w:p>
    <w:p w14:paraId="11D52A53" w14:textId="77777777" w:rsidR="008D0565" w:rsidRPr="00D61F73" w:rsidRDefault="00751163" w:rsidP="00D61F73">
      <w:pPr>
        <w:rPr>
          <w:rFonts w:ascii="Arial" w:hAnsi="Arial" w:cs="Arial"/>
        </w:rPr>
      </w:pPr>
      <w:hyperlink w:anchor="Mackey" w:history="1">
        <w:r w:rsidR="008D0565" w:rsidRPr="00D61F73">
          <w:rPr>
            <w:rStyle w:val="Hyperlink"/>
            <w:rFonts w:ascii="Arial" w:hAnsi="Arial" w:cs="Arial"/>
          </w:rPr>
          <w:t>Mackey SC, Maeda F.</w:t>
        </w:r>
      </w:hyperlink>
      <w:r w:rsidR="008D0565" w:rsidRPr="00D61F73">
        <w:rPr>
          <w:rFonts w:ascii="Arial" w:hAnsi="Arial" w:cs="Arial"/>
        </w:rPr>
        <w:t xml:space="preserve"> Functional imaging and the neural systems of chronic pain. </w:t>
      </w:r>
      <w:r w:rsidR="008D0565" w:rsidRPr="00D61F73">
        <w:rPr>
          <w:rFonts w:ascii="Arial" w:hAnsi="Arial" w:cs="Arial"/>
          <w:i/>
          <w:iCs/>
        </w:rPr>
        <w:t>Neurosurg Clin N Am</w:t>
      </w:r>
      <w:r w:rsidR="008D0565" w:rsidRPr="00D61F73">
        <w:rPr>
          <w:rFonts w:ascii="Arial" w:hAnsi="Arial" w:cs="Arial"/>
        </w:rPr>
        <w:t>. 2004 Jul;15(3):269-88.</w:t>
      </w:r>
    </w:p>
    <w:p w14:paraId="39C577D6" w14:textId="77777777" w:rsidR="008D0565" w:rsidRPr="00D61F73" w:rsidRDefault="008D0565" w:rsidP="00D61F73">
      <w:pPr>
        <w:rPr>
          <w:rFonts w:ascii="Arial" w:hAnsi="Arial" w:cs="Arial"/>
        </w:rPr>
      </w:pPr>
    </w:p>
    <w:p w14:paraId="679323BB" w14:textId="77777777" w:rsidR="008D0565" w:rsidRPr="00D61F73" w:rsidRDefault="00751163" w:rsidP="00D61F73">
      <w:pPr>
        <w:rPr>
          <w:rFonts w:ascii="Arial" w:hAnsi="Arial" w:cs="Arial"/>
        </w:rPr>
      </w:pPr>
      <w:hyperlink w:anchor="Mantyselka" w:history="1">
        <w:r w:rsidR="008D0565" w:rsidRPr="00D61F73">
          <w:rPr>
            <w:rStyle w:val="Hyperlink"/>
            <w:rFonts w:ascii="Arial" w:hAnsi="Arial" w:cs="Arial"/>
          </w:rPr>
          <w:t>Mantyselka PT, Turunen JH, Ahonen RS, Kumpusalo EA</w:t>
        </w:r>
      </w:hyperlink>
      <w:r w:rsidR="008D0565" w:rsidRPr="00D61F73">
        <w:rPr>
          <w:rFonts w:ascii="Arial" w:hAnsi="Arial" w:cs="Arial"/>
        </w:rPr>
        <w:t>. Chronic pain and poor self-rated health</w:t>
      </w:r>
      <w:r w:rsidR="008D0565" w:rsidRPr="00D61F73">
        <w:rPr>
          <w:rFonts w:ascii="Arial" w:hAnsi="Arial" w:cs="Arial"/>
          <w:i/>
          <w:iCs/>
        </w:rPr>
        <w:t>. JAMA</w:t>
      </w:r>
      <w:r w:rsidR="008D0565" w:rsidRPr="00D61F73">
        <w:rPr>
          <w:rFonts w:ascii="Arial" w:hAnsi="Arial" w:cs="Arial"/>
        </w:rPr>
        <w:t>. 2003 Nov 12;290(18):2435-42.</w:t>
      </w:r>
      <w:r w:rsidR="008D0565" w:rsidRPr="00D61F73">
        <w:rPr>
          <w:rFonts w:ascii="Arial" w:hAnsi="Arial" w:cs="Arial"/>
        </w:rPr>
        <w:br/>
      </w:r>
    </w:p>
    <w:p w14:paraId="12CEB8B8" w14:textId="77777777" w:rsidR="008D0565" w:rsidRPr="00D61F73" w:rsidRDefault="00751163" w:rsidP="00D61F73">
      <w:pPr>
        <w:rPr>
          <w:rFonts w:ascii="Arial" w:hAnsi="Arial" w:cs="Arial"/>
        </w:rPr>
      </w:pPr>
      <w:hyperlink w:anchor="Mork" w:history="1">
        <w:r w:rsidR="008D0565" w:rsidRPr="00D61F73">
          <w:rPr>
            <w:rStyle w:val="Hyperlink"/>
            <w:rFonts w:ascii="Arial" w:hAnsi="Arial" w:cs="Arial"/>
          </w:rPr>
          <w:t>Mork PJ, Vasseljen O, Nilsen TI</w:t>
        </w:r>
      </w:hyperlink>
      <w:r w:rsidR="008D0565" w:rsidRPr="00D61F73">
        <w:rPr>
          <w:rFonts w:ascii="Arial" w:hAnsi="Arial" w:cs="Arial"/>
        </w:rPr>
        <w:t xml:space="preserve">. Association between physical exercise, body mass index, and risk of fibromyalgia: longitudinal data from the Norwegian Nord-Trøndelag Health Study. </w:t>
      </w:r>
      <w:r w:rsidR="008D0565" w:rsidRPr="00D61F73">
        <w:rPr>
          <w:rFonts w:ascii="Arial" w:hAnsi="Arial" w:cs="Arial"/>
          <w:i/>
          <w:iCs/>
        </w:rPr>
        <w:t>Arthritis Care Res (Hoboken)</w:t>
      </w:r>
      <w:r w:rsidR="008D0565" w:rsidRPr="00D61F73">
        <w:rPr>
          <w:rFonts w:ascii="Arial" w:hAnsi="Arial" w:cs="Arial"/>
        </w:rPr>
        <w:t>. 2010 May;62(5):611-7.</w:t>
      </w:r>
    </w:p>
    <w:p w14:paraId="1F912105" w14:textId="77777777" w:rsidR="008D0565" w:rsidRPr="00D61F73" w:rsidRDefault="008D0565" w:rsidP="00D61F73">
      <w:pPr>
        <w:rPr>
          <w:rFonts w:ascii="Arial" w:hAnsi="Arial" w:cs="Arial"/>
        </w:rPr>
      </w:pPr>
    </w:p>
    <w:p w14:paraId="1DAC7CCF" w14:textId="77777777" w:rsidR="008D0565" w:rsidRPr="00D61F73" w:rsidRDefault="00751163" w:rsidP="00D61F73">
      <w:pPr>
        <w:rPr>
          <w:rFonts w:ascii="Arial" w:hAnsi="Arial" w:cs="Arial"/>
        </w:rPr>
      </w:pPr>
      <w:hyperlink w:anchor="Pang" w:history="1">
        <w:r w:rsidR="008D0565" w:rsidRPr="00D61F73">
          <w:rPr>
            <w:rStyle w:val="Hyperlink"/>
            <w:rFonts w:ascii="Arial" w:hAnsi="Arial" w:cs="Arial"/>
          </w:rPr>
          <w:t>Pang D, Jones GT, Power C, Macfarlane GJ</w:t>
        </w:r>
      </w:hyperlink>
      <w:r w:rsidR="008D0565" w:rsidRPr="00D61F73">
        <w:rPr>
          <w:rFonts w:ascii="Arial" w:hAnsi="Arial" w:cs="Arial"/>
        </w:rPr>
        <w:t>. Influence of childhood behaviour on the reporting of chronic widespread pain in adulthood: results from the 1958 British Birth Cohort Study. Rheumatology (Oxford). 2010 Mar 9. [Epub ahead of print]</w:t>
      </w:r>
    </w:p>
    <w:p w14:paraId="7D3CC951" w14:textId="77777777" w:rsidR="008D0565" w:rsidRPr="00D61F73" w:rsidRDefault="008D0565" w:rsidP="00D61F73">
      <w:pPr>
        <w:rPr>
          <w:rFonts w:ascii="Arial" w:hAnsi="Arial" w:cs="Arial"/>
        </w:rPr>
      </w:pPr>
    </w:p>
    <w:p w14:paraId="20042A81" w14:textId="77777777" w:rsidR="008D0565" w:rsidRPr="00D61F73" w:rsidRDefault="00751163" w:rsidP="00D61F73">
      <w:pPr>
        <w:pStyle w:val="NormalWeb"/>
        <w:spacing w:before="0" w:beforeAutospacing="0" w:after="0" w:afterAutospacing="0"/>
        <w:rPr>
          <w:rFonts w:ascii="Arial" w:hAnsi="Arial" w:cs="Arial"/>
        </w:rPr>
      </w:pPr>
      <w:hyperlink w:anchor="Peyron" w:history="1">
        <w:r w:rsidR="008D0565" w:rsidRPr="00D61F73">
          <w:rPr>
            <w:rStyle w:val="Hyperlink"/>
            <w:rFonts w:ascii="Arial" w:hAnsi="Arial" w:cs="Arial"/>
          </w:rPr>
          <w:t>Peyron R, Laurent B, Garcia-Larrea L</w:t>
        </w:r>
      </w:hyperlink>
      <w:r w:rsidR="008D0565" w:rsidRPr="00D61F73">
        <w:rPr>
          <w:rFonts w:ascii="Arial" w:hAnsi="Arial" w:cs="Arial"/>
        </w:rPr>
        <w:t xml:space="preserve">. Functional imaging of brain responses to pain. A review and meta-analysis (2000). </w:t>
      </w:r>
      <w:r w:rsidR="008D0565" w:rsidRPr="00D61F73">
        <w:rPr>
          <w:rFonts w:ascii="Arial" w:hAnsi="Arial" w:cs="Arial"/>
          <w:i/>
          <w:iCs/>
        </w:rPr>
        <w:t>Neurophysiol Clin.</w:t>
      </w:r>
      <w:r w:rsidR="008D0565" w:rsidRPr="00D61F73">
        <w:rPr>
          <w:rFonts w:ascii="Arial" w:hAnsi="Arial" w:cs="Arial"/>
        </w:rPr>
        <w:t xml:space="preserve"> 2000 Oct;30(5):263-88.</w:t>
      </w:r>
    </w:p>
    <w:p w14:paraId="5ADF56ED" w14:textId="77777777" w:rsidR="008D0565" w:rsidRPr="00D61F73" w:rsidRDefault="008D0565" w:rsidP="00D61F73">
      <w:pPr>
        <w:rPr>
          <w:rFonts w:ascii="Arial" w:hAnsi="Arial" w:cs="Arial"/>
        </w:rPr>
      </w:pPr>
    </w:p>
    <w:p w14:paraId="4516A78D" w14:textId="77777777" w:rsidR="008D0565" w:rsidRPr="00D61F73" w:rsidRDefault="00751163" w:rsidP="00D61F73">
      <w:pPr>
        <w:pStyle w:val="NormalWeb"/>
        <w:spacing w:before="0" w:beforeAutospacing="0" w:after="0" w:afterAutospacing="0"/>
        <w:rPr>
          <w:rFonts w:ascii="Arial" w:hAnsi="Arial" w:cs="Arial"/>
        </w:rPr>
      </w:pPr>
      <w:hyperlink w:anchor="Prager" w:history="1">
        <w:r w:rsidR="008D0565" w:rsidRPr="00D61F73">
          <w:rPr>
            <w:rStyle w:val="Hyperlink"/>
            <w:rFonts w:ascii="Arial" w:hAnsi="Arial" w:cs="Arial"/>
          </w:rPr>
          <w:t>Prager JP, Mackey S, Alexander G, Schwartzman R.</w:t>
        </w:r>
      </w:hyperlink>
      <w:r w:rsidR="008D0565" w:rsidRPr="00D61F73">
        <w:rPr>
          <w:rFonts w:ascii="Arial" w:hAnsi="Arial" w:cs="Arial"/>
        </w:rPr>
        <w:t xml:space="preserve"> Breaking concepts in diagnosis and treatment of complex regional pain syndromes. Program and abstracts of the American Academy of Pain Medicine 23rd Annual Meeting; February 7-10, 2007; New Orleans, Louisiana.</w:t>
      </w:r>
    </w:p>
    <w:p w14:paraId="1126A3D1" w14:textId="77777777" w:rsidR="008D0565" w:rsidRPr="00D61F73" w:rsidRDefault="008D0565" w:rsidP="00D61F73">
      <w:pPr>
        <w:rPr>
          <w:rFonts w:ascii="Arial" w:hAnsi="Arial" w:cs="Arial"/>
        </w:rPr>
      </w:pPr>
    </w:p>
    <w:p w14:paraId="1267495E" w14:textId="77777777" w:rsidR="008D0565" w:rsidRPr="00D61F73" w:rsidRDefault="00751163" w:rsidP="00D61F73">
      <w:pPr>
        <w:rPr>
          <w:rFonts w:ascii="Arial" w:hAnsi="Arial" w:cs="Arial"/>
        </w:rPr>
      </w:pPr>
      <w:hyperlink w:anchor="Rooks2" w:history="1">
        <w:r w:rsidR="008D0565" w:rsidRPr="00D61F73">
          <w:rPr>
            <w:rStyle w:val="Hyperlink"/>
            <w:rFonts w:ascii="Arial" w:hAnsi="Arial" w:cs="Arial"/>
          </w:rPr>
          <w:t>Rooks DS, Gautam S, Romeling M, Cross ML, Stratigakis D, Evans B, Goldenberg DL, Iversen MD, Katz JN.</w:t>
        </w:r>
      </w:hyperlink>
      <w:r w:rsidR="008D0565" w:rsidRPr="00D61F73">
        <w:rPr>
          <w:rFonts w:ascii="Arial" w:hAnsi="Arial" w:cs="Arial"/>
        </w:rPr>
        <w:t xml:space="preserve"> Group Exercise, Education, and Combination Self-management in Women With Fibromyalgia: A Randomized Trial. </w:t>
      </w:r>
      <w:r w:rsidR="008D0565" w:rsidRPr="00D61F73">
        <w:rPr>
          <w:rFonts w:ascii="Arial" w:hAnsi="Arial" w:cs="Arial"/>
          <w:i/>
          <w:iCs/>
        </w:rPr>
        <w:t>Arch Intern Med</w:t>
      </w:r>
      <w:r w:rsidR="008D0565" w:rsidRPr="00D61F73">
        <w:rPr>
          <w:rFonts w:ascii="Arial" w:hAnsi="Arial" w:cs="Arial"/>
        </w:rPr>
        <w:t>. 2007 Nov 12;167(20):2192-200.</w:t>
      </w:r>
    </w:p>
    <w:p w14:paraId="1F7656B8" w14:textId="77777777" w:rsidR="008D0565" w:rsidRPr="00D61F73" w:rsidRDefault="008D0565" w:rsidP="00D61F73">
      <w:pPr>
        <w:rPr>
          <w:rFonts w:ascii="Arial" w:hAnsi="Arial" w:cs="Arial"/>
        </w:rPr>
      </w:pPr>
    </w:p>
    <w:p w14:paraId="19E993D5" w14:textId="77777777" w:rsidR="008D0565" w:rsidRPr="00D61F73" w:rsidRDefault="00751163" w:rsidP="00D61F73">
      <w:pPr>
        <w:rPr>
          <w:rFonts w:ascii="Arial" w:hAnsi="Arial" w:cs="Arial"/>
        </w:rPr>
      </w:pPr>
      <w:hyperlink w:anchor="SchneiderHelmert" w:history="1">
        <w:r w:rsidR="008D0565" w:rsidRPr="00D61F73">
          <w:rPr>
            <w:rStyle w:val="Hyperlink"/>
            <w:rFonts w:ascii="Arial" w:hAnsi="Arial" w:cs="Arial"/>
          </w:rPr>
          <w:t>Schneider-Helmert D</w:t>
        </w:r>
      </w:hyperlink>
      <w:r w:rsidR="008D0565" w:rsidRPr="00D61F73">
        <w:rPr>
          <w:rFonts w:ascii="Arial" w:hAnsi="Arial" w:cs="Arial"/>
        </w:rPr>
        <w:t xml:space="preserve">. Do we need polysomnography in insomnia? </w:t>
      </w:r>
      <w:r w:rsidR="008D0565" w:rsidRPr="00D61F73">
        <w:rPr>
          <w:rFonts w:ascii="Arial" w:hAnsi="Arial" w:cs="Arial"/>
          <w:i/>
          <w:iCs/>
        </w:rPr>
        <w:t xml:space="preserve">Praxis </w:t>
      </w:r>
      <w:r w:rsidR="008D0565" w:rsidRPr="00D61F73">
        <w:rPr>
          <w:rFonts w:ascii="Arial" w:hAnsi="Arial" w:cs="Arial"/>
        </w:rPr>
        <w:t>(Bern 1994). 2003 Nov 26;92(48):2061-6.</w:t>
      </w:r>
    </w:p>
    <w:p w14:paraId="30D914B1" w14:textId="77777777" w:rsidR="008D0565" w:rsidRPr="00D61F73" w:rsidRDefault="008D0565" w:rsidP="00D61F73">
      <w:pPr>
        <w:rPr>
          <w:rFonts w:ascii="Arial" w:hAnsi="Arial" w:cs="Arial"/>
        </w:rPr>
      </w:pPr>
    </w:p>
    <w:p w14:paraId="12FB9AA1" w14:textId="77777777" w:rsidR="008D0565" w:rsidRPr="00D61F73" w:rsidRDefault="00751163" w:rsidP="00D61F73">
      <w:pPr>
        <w:pStyle w:val="NormalWeb"/>
        <w:spacing w:before="0" w:beforeAutospacing="0" w:after="0" w:afterAutospacing="0"/>
        <w:rPr>
          <w:rFonts w:ascii="Arial" w:hAnsi="Arial" w:cs="Arial"/>
        </w:rPr>
      </w:pPr>
      <w:hyperlink w:anchor="Stevens2005" w:history="1">
        <w:r w:rsidR="008D0565" w:rsidRPr="00D61F73">
          <w:rPr>
            <w:rStyle w:val="Hyperlink"/>
            <w:rFonts w:ascii="Arial" w:hAnsi="Arial" w:cs="Arial"/>
          </w:rPr>
          <w:t>Stevens DL, Bisno AL, Chambers HF, Everett ED, Dellinger P, Goldstein EJ, Gorbach SL, Hirschmann JV, Kaplan EL, Montoya JG, Wade JC</w:t>
        </w:r>
      </w:hyperlink>
      <w:r w:rsidR="008D0565" w:rsidRPr="00D61F73">
        <w:rPr>
          <w:rFonts w:ascii="Arial" w:hAnsi="Arial" w:cs="Arial"/>
        </w:rPr>
        <w:t xml:space="preserve">; Infectious Diseases Society of America. Practice guidelines for the diagnosis and management of skin and soft-tissue infections. </w:t>
      </w:r>
      <w:r w:rsidR="008D0565" w:rsidRPr="00D61F73">
        <w:rPr>
          <w:rFonts w:ascii="Arial" w:hAnsi="Arial" w:cs="Arial"/>
          <w:i/>
          <w:iCs/>
        </w:rPr>
        <w:t>Clin Infect Dis.</w:t>
      </w:r>
      <w:r w:rsidR="008D0565" w:rsidRPr="00D61F73">
        <w:rPr>
          <w:rFonts w:ascii="Arial" w:hAnsi="Arial" w:cs="Arial"/>
        </w:rPr>
        <w:t xml:space="preserve"> 2005 Nov 15;41(10):1373-406.</w:t>
      </w:r>
    </w:p>
    <w:p w14:paraId="5967BB2C" w14:textId="77777777" w:rsidR="008D0565" w:rsidRPr="00D61F73" w:rsidRDefault="008D0565" w:rsidP="00D61F73">
      <w:pPr>
        <w:rPr>
          <w:rFonts w:ascii="Arial" w:hAnsi="Arial" w:cs="Arial"/>
        </w:rPr>
      </w:pPr>
    </w:p>
    <w:p w14:paraId="7B847906" w14:textId="77777777" w:rsidR="008D0565" w:rsidRPr="00D61F73" w:rsidRDefault="00751163" w:rsidP="00D61F73">
      <w:pPr>
        <w:rPr>
          <w:rFonts w:ascii="Arial" w:hAnsi="Arial" w:cs="Arial"/>
        </w:rPr>
      </w:pPr>
      <w:hyperlink w:anchor="Ung2012" w:history="1">
        <w:r w:rsidR="008D0565" w:rsidRPr="00D61F73">
          <w:rPr>
            <w:rStyle w:val="Hyperlink"/>
            <w:rFonts w:ascii="Arial" w:hAnsi="Arial" w:cs="Arial"/>
          </w:rPr>
          <w:t>Ung H, Brown JE, Johnson KA, Younger J, Hush J, Mackey S</w:t>
        </w:r>
      </w:hyperlink>
      <w:r w:rsidR="008D0565" w:rsidRPr="00D61F73">
        <w:rPr>
          <w:rFonts w:ascii="Arial" w:hAnsi="Arial" w:cs="Arial"/>
        </w:rPr>
        <w:t xml:space="preserve">. Multivariate Classification of Structural MRI Data Detects Chronic Low Back Pain. </w:t>
      </w:r>
      <w:r w:rsidR="008D0565" w:rsidRPr="00D61F73">
        <w:rPr>
          <w:rFonts w:ascii="Arial" w:hAnsi="Arial" w:cs="Arial"/>
          <w:i/>
          <w:iCs/>
        </w:rPr>
        <w:t>Cereb Cortex</w:t>
      </w:r>
      <w:r w:rsidR="008D0565" w:rsidRPr="00D61F73">
        <w:rPr>
          <w:rFonts w:ascii="Arial" w:hAnsi="Arial" w:cs="Arial"/>
        </w:rPr>
        <w:t>. 2012 Dec 17.</w:t>
      </w:r>
    </w:p>
    <w:p w14:paraId="2423C68E" w14:textId="77777777" w:rsidR="008D0565" w:rsidRPr="00D61F73" w:rsidRDefault="008D0565" w:rsidP="00D61F73">
      <w:pPr>
        <w:rPr>
          <w:rFonts w:ascii="Arial" w:hAnsi="Arial" w:cs="Arial"/>
        </w:rPr>
      </w:pPr>
    </w:p>
    <w:p w14:paraId="0B84F44E" w14:textId="77777777" w:rsidR="008D0565" w:rsidRPr="00D61F73" w:rsidRDefault="00751163" w:rsidP="00D61F73">
      <w:pPr>
        <w:pStyle w:val="BodyText"/>
        <w:rPr>
          <w:rFonts w:ascii="Arial" w:hAnsi="Arial" w:cs="Arial"/>
        </w:rPr>
      </w:pPr>
      <w:hyperlink w:anchor="Wager2013" w:history="1">
        <w:r w:rsidR="008D0565" w:rsidRPr="00D61F73">
          <w:rPr>
            <w:rStyle w:val="Hyperlink"/>
            <w:rFonts w:ascii="Arial" w:hAnsi="Arial" w:cs="Arial"/>
            <w:b w:val="0"/>
            <w:bCs w:val="0"/>
          </w:rPr>
          <w:t>Wager TD, Atlas LY, Lindquist MA, Roy M, Woo CW, Kross E</w:t>
        </w:r>
      </w:hyperlink>
      <w:r w:rsidR="008D0565" w:rsidRPr="00D61F73">
        <w:rPr>
          <w:rFonts w:ascii="Arial" w:hAnsi="Arial" w:cs="Arial"/>
          <w:b w:val="0"/>
          <w:bCs w:val="0"/>
        </w:rPr>
        <w:t xml:space="preserve">. An fMRI-based neurologic signature of physical pain. </w:t>
      </w:r>
      <w:r w:rsidR="008D0565" w:rsidRPr="00D61F73">
        <w:rPr>
          <w:rFonts w:ascii="Arial" w:hAnsi="Arial" w:cs="Arial"/>
          <w:b w:val="0"/>
          <w:bCs w:val="0"/>
          <w:i/>
          <w:iCs/>
        </w:rPr>
        <w:t>N Engl J Med</w:t>
      </w:r>
      <w:r w:rsidR="008D0565" w:rsidRPr="00D61F73">
        <w:rPr>
          <w:rFonts w:ascii="Arial" w:hAnsi="Arial" w:cs="Arial"/>
          <w:b w:val="0"/>
          <w:bCs w:val="0"/>
        </w:rPr>
        <w:t>. 2013 Apr 11;368(15):1388-97. doi: 10.1056/NEJMoa1204471.</w:t>
      </w:r>
    </w:p>
    <w:p w14:paraId="069D0917" w14:textId="77777777" w:rsidR="008D0565" w:rsidRPr="00D61F73" w:rsidRDefault="008D0565" w:rsidP="00D61F73">
      <w:pPr>
        <w:pStyle w:val="Footer"/>
        <w:tabs>
          <w:tab w:val="clear" w:pos="4320"/>
          <w:tab w:val="clear" w:pos="8640"/>
        </w:tabs>
        <w:rPr>
          <w:rFonts w:ascii="Arial" w:hAnsi="Arial" w:cs="Arial"/>
        </w:rPr>
      </w:pPr>
    </w:p>
    <w:p w14:paraId="51726609" w14:textId="77777777" w:rsidR="008D0565" w:rsidRPr="00D61F73" w:rsidRDefault="00751163" w:rsidP="00D61F73">
      <w:pPr>
        <w:rPr>
          <w:rFonts w:ascii="Arial" w:hAnsi="Arial" w:cs="Arial"/>
        </w:rPr>
      </w:pPr>
      <w:hyperlink w:anchor="Wolfe" w:history="1">
        <w:r w:rsidR="008D0565" w:rsidRPr="00D61F73">
          <w:rPr>
            <w:rStyle w:val="Hyperlink"/>
            <w:rFonts w:ascii="Arial" w:hAnsi="Arial" w:cs="Arial"/>
          </w:rPr>
          <w:t>Wolfe F, Smythe HA, Yunus MB, Bennett RM, Bombardier C, Goldenberg DL, et al.</w:t>
        </w:r>
      </w:hyperlink>
      <w:r w:rsidR="008D0565" w:rsidRPr="00D61F73">
        <w:rPr>
          <w:rFonts w:ascii="Arial" w:hAnsi="Arial" w:cs="Arial"/>
        </w:rPr>
        <w:t xml:space="preserve"> The American College of Rheumatology 1990 criteria for the classification of fibromyalgia: report of the multicenter criteria committee. Arthritis Rheum 1990;33:160---72.</w:t>
      </w:r>
    </w:p>
    <w:p w14:paraId="2CC14754" w14:textId="77777777" w:rsidR="008D0565" w:rsidRPr="00D61F73" w:rsidRDefault="008D0565" w:rsidP="00D61F73">
      <w:pPr>
        <w:rPr>
          <w:rFonts w:ascii="Arial" w:hAnsi="Arial" w:cs="Arial"/>
        </w:rPr>
      </w:pPr>
    </w:p>
    <w:p w14:paraId="0DDA361D" w14:textId="77777777" w:rsidR="008D0565" w:rsidRPr="00D61F73" w:rsidRDefault="00751163" w:rsidP="00D61F73">
      <w:pPr>
        <w:rPr>
          <w:rFonts w:ascii="Arial" w:hAnsi="Arial" w:cs="Arial"/>
        </w:rPr>
      </w:pPr>
      <w:hyperlink w:anchor="Wolfe2010" w:history="1">
        <w:r w:rsidR="008D0565" w:rsidRPr="00D61F73">
          <w:rPr>
            <w:rStyle w:val="Hyperlink"/>
            <w:rFonts w:ascii="Arial" w:hAnsi="Arial" w:cs="Arial"/>
          </w:rPr>
          <w:t>Wolfe F, Clauw DJ, Fitzcharles MA, Goldenberg DL, Katz RS, Mease P, Russell AS, Russell IJ, Winfield JB, Yunus MB</w:t>
        </w:r>
      </w:hyperlink>
      <w:r w:rsidR="008D0565" w:rsidRPr="00D61F73">
        <w:rPr>
          <w:rFonts w:ascii="Arial" w:hAnsi="Arial" w:cs="Arial"/>
        </w:rPr>
        <w:t xml:space="preserve">. The American College of Rheumatology preliminary diagnostic criteria for fibromyalgia and measurement of symptom severity. </w:t>
      </w:r>
      <w:r w:rsidR="008D0565" w:rsidRPr="00D61F73">
        <w:rPr>
          <w:rFonts w:ascii="Arial" w:hAnsi="Arial" w:cs="Arial"/>
          <w:i/>
          <w:iCs/>
        </w:rPr>
        <w:t>Arthritis Care Res (Hoboken).</w:t>
      </w:r>
      <w:r w:rsidR="008D0565" w:rsidRPr="00D61F73">
        <w:rPr>
          <w:rFonts w:ascii="Arial" w:hAnsi="Arial" w:cs="Arial"/>
        </w:rPr>
        <w:t xml:space="preserve"> 2010 May;62(5):600-10.</w:t>
      </w:r>
    </w:p>
    <w:p w14:paraId="075AACC9" w14:textId="77777777" w:rsidR="008D0565" w:rsidRPr="00D61F73" w:rsidRDefault="008D0565" w:rsidP="00D61F73">
      <w:pPr>
        <w:rPr>
          <w:rFonts w:ascii="Arial" w:hAnsi="Arial" w:cs="Arial"/>
        </w:rPr>
      </w:pPr>
    </w:p>
    <w:p w14:paraId="3CA361FA" w14:textId="77777777" w:rsidR="008D0565" w:rsidRPr="00D61F73" w:rsidRDefault="008D0565" w:rsidP="00D61F73">
      <w:pPr>
        <w:pStyle w:val="xl23"/>
        <w:spacing w:before="0" w:beforeAutospacing="0" w:after="0" w:afterAutospacing="0"/>
        <w:rPr>
          <w:b/>
          <w:bCs/>
        </w:rPr>
      </w:pPr>
      <w:r w:rsidRPr="00D61F73">
        <w:rPr>
          <w:b/>
          <w:bCs/>
        </w:rPr>
        <w:t>P</w:t>
      </w:r>
      <w:bookmarkStart w:id="418" w:name="PAINCHRONIC"/>
      <w:bookmarkEnd w:id="418"/>
      <w:r w:rsidRPr="00D61F73">
        <w:rPr>
          <w:b/>
          <w:bCs/>
        </w:rPr>
        <w:t>AIN – CHRONIC</w:t>
      </w:r>
    </w:p>
    <w:p w14:paraId="62F28E2F" w14:textId="77777777" w:rsidR="008D0565" w:rsidRPr="00D61F73" w:rsidRDefault="008D0565" w:rsidP="00D61F73">
      <w:pPr>
        <w:rPr>
          <w:rFonts w:ascii="Arial" w:hAnsi="Arial" w:cs="Arial"/>
        </w:rPr>
      </w:pPr>
    </w:p>
    <w:p w14:paraId="0E457D2A" w14:textId="77777777" w:rsidR="006C5308" w:rsidRPr="00D61F73" w:rsidRDefault="00751163" w:rsidP="00D61F73">
      <w:pPr>
        <w:rPr>
          <w:rFonts w:ascii="Arial" w:hAnsi="Arial" w:cs="Arial"/>
        </w:rPr>
      </w:pPr>
      <w:hyperlink w:anchor="Carroll" w:history="1">
        <w:r w:rsidR="008D0565" w:rsidRPr="00D61F73">
          <w:rPr>
            <w:rStyle w:val="Hyperlink"/>
            <w:rFonts w:ascii="Arial" w:hAnsi="Arial" w:cs="Arial"/>
          </w:rPr>
          <w:t>Carroll D, Moore RA, McQuay HJ, Fairman F, Tramer M, Leijon G</w:t>
        </w:r>
      </w:hyperlink>
      <w:r w:rsidR="008D0565" w:rsidRPr="00D61F73">
        <w:rPr>
          <w:rFonts w:ascii="Arial" w:hAnsi="Arial" w:cs="Arial"/>
        </w:rPr>
        <w:t xml:space="preserve">, Transcutaneous electrical nerve stimulation (TENS) for chronic pain, </w:t>
      </w:r>
      <w:r w:rsidR="008D0565" w:rsidRPr="00D61F73">
        <w:rPr>
          <w:rFonts w:ascii="Arial" w:hAnsi="Arial" w:cs="Arial"/>
          <w:i/>
          <w:iCs/>
        </w:rPr>
        <w:t>Cochrane Database Syst Rev.</w:t>
      </w:r>
      <w:r w:rsidR="008D0565" w:rsidRPr="00D61F73">
        <w:rPr>
          <w:rFonts w:ascii="Arial" w:hAnsi="Arial" w:cs="Arial"/>
        </w:rPr>
        <w:t xml:space="preserve"> 2001;(3):CD003222.</w:t>
      </w:r>
      <w:r w:rsidR="00935F3B" w:rsidRPr="00D61F73">
        <w:rPr>
          <w:rFonts w:ascii="Arial" w:hAnsi="Arial" w:cs="Arial"/>
        </w:rPr>
        <w:br/>
      </w:r>
    </w:p>
    <w:p w14:paraId="1ADF70CD" w14:textId="77777777" w:rsidR="008D0565" w:rsidRPr="00D61F73" w:rsidRDefault="008D0565" w:rsidP="00D61F73">
      <w:pPr>
        <w:pStyle w:val="xl23"/>
        <w:spacing w:before="0" w:beforeAutospacing="0" w:after="0" w:afterAutospacing="0"/>
        <w:rPr>
          <w:b/>
          <w:bCs/>
        </w:rPr>
      </w:pPr>
      <w:r w:rsidRPr="00D61F73">
        <w:rPr>
          <w:b/>
          <w:bCs/>
        </w:rPr>
        <w:t>P</w:t>
      </w:r>
      <w:bookmarkStart w:id="419" w:name="PAINMISCELLANEOUS"/>
      <w:bookmarkEnd w:id="419"/>
      <w:r w:rsidRPr="00D61F73">
        <w:rPr>
          <w:b/>
          <w:bCs/>
        </w:rPr>
        <w:t>AIN – MISCELLANEOUS</w:t>
      </w:r>
    </w:p>
    <w:p w14:paraId="08F73953" w14:textId="77777777" w:rsidR="008D0565" w:rsidRPr="00D61F73" w:rsidRDefault="008D0565" w:rsidP="00D61F73">
      <w:pPr>
        <w:rPr>
          <w:rFonts w:ascii="Arial" w:hAnsi="Arial" w:cs="Arial"/>
        </w:rPr>
      </w:pPr>
    </w:p>
    <w:p w14:paraId="0F5ED842" w14:textId="77777777" w:rsidR="008D0565" w:rsidRPr="00D61F73" w:rsidRDefault="00751163" w:rsidP="00D61F73">
      <w:pPr>
        <w:rPr>
          <w:rFonts w:ascii="Arial" w:hAnsi="Arial" w:cs="Arial"/>
        </w:rPr>
      </w:pPr>
      <w:hyperlink w:anchor="BlueCrossBlueShield95" w:history="1">
        <w:r w:rsidR="008D0565" w:rsidRPr="00D61F73">
          <w:rPr>
            <w:rStyle w:val="Hyperlink"/>
            <w:rFonts w:ascii="Arial" w:hAnsi="Arial" w:cs="Arial"/>
          </w:rPr>
          <w:t>BlueCross BlueShield.</w:t>
        </w:r>
      </w:hyperlink>
      <w:r w:rsidR="008D0565" w:rsidRPr="00D61F73">
        <w:rPr>
          <w:rFonts w:ascii="Arial" w:hAnsi="Arial" w:cs="Arial"/>
        </w:rPr>
        <w:t xml:space="preserve"> Medicine Section - Low Level Laser Treatment of Neuromuscular Pain Disorders. Policy No: 105, Effective Date: 03/01/2005</w:t>
      </w:r>
    </w:p>
    <w:p w14:paraId="449B0ACF" w14:textId="77777777" w:rsidR="008D0565" w:rsidRPr="00D61F73" w:rsidRDefault="008D0565" w:rsidP="00D61F73">
      <w:pPr>
        <w:rPr>
          <w:rFonts w:ascii="Arial" w:hAnsi="Arial" w:cs="Arial"/>
        </w:rPr>
      </w:pPr>
    </w:p>
    <w:p w14:paraId="0AFA6ED6" w14:textId="77777777" w:rsidR="008D0565" w:rsidRPr="00D61F73" w:rsidRDefault="00751163" w:rsidP="00D61F73">
      <w:pPr>
        <w:rPr>
          <w:rFonts w:ascii="Arial" w:hAnsi="Arial" w:cs="Arial"/>
        </w:rPr>
      </w:pPr>
      <w:hyperlink w:anchor="Brosseau3" w:history="1">
        <w:r w:rsidR="008D0565" w:rsidRPr="00D61F73">
          <w:rPr>
            <w:rStyle w:val="Hyperlink"/>
            <w:rFonts w:ascii="Arial" w:hAnsi="Arial" w:cs="Arial"/>
          </w:rPr>
          <w:t>Brosseau L, Welch V, Wells G, DeBie R, Gam A, Harman K, Morin M, Shea B, Tugwell P</w:t>
        </w:r>
      </w:hyperlink>
      <w:r w:rsidR="008D0565" w:rsidRPr="00D61F73">
        <w:rPr>
          <w:rFonts w:ascii="Arial" w:hAnsi="Arial" w:cs="Arial"/>
        </w:rPr>
        <w:t xml:space="preserve">, Low level laser therapy (Classes I, II and III) for treating osteoarthritis, </w:t>
      </w:r>
      <w:r w:rsidR="008D0565" w:rsidRPr="00D61F73">
        <w:rPr>
          <w:rFonts w:ascii="Arial" w:hAnsi="Arial" w:cs="Arial"/>
          <w:i/>
          <w:iCs/>
        </w:rPr>
        <w:t>Cochrane Database Syst Rev.</w:t>
      </w:r>
      <w:r w:rsidR="008D0565" w:rsidRPr="00D61F73">
        <w:rPr>
          <w:rFonts w:ascii="Arial" w:hAnsi="Arial" w:cs="Arial"/>
        </w:rPr>
        <w:t xml:space="preserve"> 2004;(3):CD002046</w:t>
      </w:r>
    </w:p>
    <w:p w14:paraId="447AADBB" w14:textId="77777777" w:rsidR="008D0565" w:rsidRPr="00D61F73" w:rsidRDefault="008D0565" w:rsidP="00D61F73">
      <w:pPr>
        <w:rPr>
          <w:rFonts w:ascii="Arial" w:hAnsi="Arial" w:cs="Arial"/>
        </w:rPr>
      </w:pPr>
    </w:p>
    <w:p w14:paraId="3167BC4C" w14:textId="77777777" w:rsidR="008D0565" w:rsidRPr="00D61F73" w:rsidRDefault="00751163" w:rsidP="00D61F73">
      <w:pPr>
        <w:pStyle w:val="Heading2"/>
        <w:rPr>
          <w:rFonts w:ascii="Arial" w:hAnsi="Arial" w:cs="Arial"/>
          <w:b w:val="0"/>
          <w:bCs/>
          <w:sz w:val="24"/>
          <w:szCs w:val="24"/>
        </w:rPr>
      </w:pPr>
      <w:hyperlink w:anchor="Bruce" w:history="1">
        <w:r w:rsidR="008D0565" w:rsidRPr="00D61F73">
          <w:rPr>
            <w:rStyle w:val="Hyperlink"/>
            <w:rFonts w:ascii="Arial" w:hAnsi="Arial" w:cs="Arial"/>
            <w:b w:val="0"/>
            <w:bCs/>
            <w:sz w:val="24"/>
            <w:szCs w:val="24"/>
          </w:rPr>
          <w:t xml:space="preserve">Bruce B, Fries J, Lubeck D. </w:t>
        </w:r>
      </w:hyperlink>
      <w:r w:rsidR="008D0565" w:rsidRPr="00D61F73">
        <w:rPr>
          <w:rFonts w:ascii="Arial" w:hAnsi="Arial" w:cs="Arial"/>
          <w:b w:val="0"/>
          <w:bCs/>
          <w:sz w:val="24"/>
          <w:szCs w:val="24"/>
        </w:rPr>
        <w:t xml:space="preserve"> Aerobic exercise and its impact on musculoskeletal pain in older adults: a 14 year prospective, longitudinal study. Arthritis Res Ther 2005 Sept 19; R1263-R1270</w:t>
      </w:r>
    </w:p>
    <w:p w14:paraId="73AF6F85" w14:textId="77777777" w:rsidR="008D0565" w:rsidRPr="00D61F73" w:rsidRDefault="008D0565" w:rsidP="00D61F73">
      <w:pPr>
        <w:rPr>
          <w:rFonts w:ascii="Arial" w:hAnsi="Arial" w:cs="Arial"/>
        </w:rPr>
      </w:pPr>
    </w:p>
    <w:p w14:paraId="2C563F33" w14:textId="77777777" w:rsidR="008D0565" w:rsidRPr="00D61F73" w:rsidRDefault="008D0565" w:rsidP="00D61F73">
      <w:pPr>
        <w:pStyle w:val="xl23"/>
        <w:spacing w:before="0" w:beforeAutospacing="0" w:after="0" w:afterAutospacing="0"/>
      </w:pPr>
      <w:r w:rsidRPr="00D61F73">
        <w:rPr>
          <w:b/>
          <w:bCs/>
        </w:rPr>
        <w:t>P</w:t>
      </w:r>
      <w:bookmarkStart w:id="420" w:name="PSYCHOSOCIALEVALUATIONANDTREATMENT"/>
      <w:bookmarkEnd w:id="420"/>
      <w:r w:rsidRPr="00D61F73">
        <w:rPr>
          <w:b/>
          <w:bCs/>
        </w:rPr>
        <w:t>SYCHOSOCIAL EVALUATION AND TREATMENT</w:t>
      </w:r>
    </w:p>
    <w:p w14:paraId="03C34100" w14:textId="77777777" w:rsidR="008D0565" w:rsidRPr="00D61F73" w:rsidRDefault="008D0565" w:rsidP="00D61F73">
      <w:pPr>
        <w:pStyle w:val="xl23"/>
        <w:spacing w:before="0" w:beforeAutospacing="0" w:after="0" w:afterAutospacing="0"/>
      </w:pPr>
    </w:p>
    <w:p w14:paraId="74A15CB0" w14:textId="77777777" w:rsidR="008D0565" w:rsidRPr="00D61F73" w:rsidRDefault="00751163" w:rsidP="00D61F73">
      <w:pPr>
        <w:rPr>
          <w:rFonts w:ascii="Arial" w:hAnsi="Arial" w:cs="Arial"/>
        </w:rPr>
      </w:pPr>
      <w:hyperlink w:anchor="Adams2007" w:history="1">
        <w:r w:rsidR="008D0565" w:rsidRPr="00D61F73">
          <w:rPr>
            <w:rStyle w:val="Hyperlink"/>
            <w:rFonts w:ascii="Arial" w:hAnsi="Arial" w:cs="Arial"/>
          </w:rPr>
          <w:t>Adams H, Ellis T, Stanish WD, Sullivan MJ.</w:t>
        </w:r>
      </w:hyperlink>
      <w:r w:rsidR="008D0565" w:rsidRPr="00D61F73">
        <w:rPr>
          <w:rFonts w:ascii="Arial" w:hAnsi="Arial" w:cs="Arial"/>
        </w:rPr>
        <w:t xml:space="preserve"> Psychosocial factors related to return to work following rehabilitation of whiplash injuries. </w:t>
      </w:r>
      <w:r w:rsidR="008D0565" w:rsidRPr="00D61F73">
        <w:rPr>
          <w:rFonts w:ascii="Arial" w:hAnsi="Arial" w:cs="Arial"/>
          <w:i/>
          <w:iCs/>
        </w:rPr>
        <w:t>J Occup Rehabil.</w:t>
      </w:r>
      <w:r w:rsidR="008D0565" w:rsidRPr="00D61F73">
        <w:rPr>
          <w:rFonts w:ascii="Arial" w:hAnsi="Arial" w:cs="Arial"/>
        </w:rPr>
        <w:t xml:space="preserve"> 2007 Jun;17(2):305-15.</w:t>
      </w:r>
    </w:p>
    <w:p w14:paraId="6D6DB4E9" w14:textId="77777777" w:rsidR="008D0565" w:rsidRPr="00D61F73" w:rsidRDefault="008D0565" w:rsidP="00D61F73">
      <w:pPr>
        <w:pStyle w:val="xl23"/>
        <w:spacing w:before="0" w:beforeAutospacing="0" w:after="0" w:afterAutospacing="0"/>
      </w:pPr>
    </w:p>
    <w:p w14:paraId="24C23AEB" w14:textId="77777777" w:rsidR="008D0565" w:rsidRPr="00D61F73" w:rsidRDefault="00751163" w:rsidP="00D61F73">
      <w:pPr>
        <w:pStyle w:val="xl23"/>
        <w:spacing w:before="0" w:beforeAutospacing="0" w:after="0" w:afterAutospacing="0"/>
      </w:pPr>
      <w:hyperlink w:anchor="Astin" w:history="1">
        <w:r w:rsidR="008D0565" w:rsidRPr="00D61F73">
          <w:rPr>
            <w:rStyle w:val="Hyperlink"/>
          </w:rPr>
          <w:t>Astin JA, Shapiro SL, Eisenberg DM, Forys KL</w:t>
        </w:r>
      </w:hyperlink>
      <w:r w:rsidR="008D0565" w:rsidRPr="00D61F73">
        <w:t xml:space="preserve">, Mind-body medicine: state of the science, implications for practice, </w:t>
      </w:r>
      <w:r w:rsidR="008D0565" w:rsidRPr="00D61F73">
        <w:rPr>
          <w:i/>
          <w:iCs/>
        </w:rPr>
        <w:t>J Am Board Fam Pract.</w:t>
      </w:r>
      <w:r w:rsidR="008D0565" w:rsidRPr="00D61F73">
        <w:t xml:space="preserve"> 2003 Mar-Apr;16(2):131-47.</w:t>
      </w:r>
    </w:p>
    <w:p w14:paraId="4A5B0EFB" w14:textId="77777777" w:rsidR="008D0565" w:rsidRPr="00D61F73" w:rsidRDefault="008D0565" w:rsidP="00D61F73">
      <w:pPr>
        <w:pStyle w:val="xl23"/>
        <w:spacing w:before="0" w:beforeAutospacing="0" w:after="0" w:afterAutospacing="0"/>
      </w:pPr>
    </w:p>
    <w:p w14:paraId="225A8336" w14:textId="77777777" w:rsidR="008D0565" w:rsidRPr="00D61F73" w:rsidRDefault="00751163" w:rsidP="00D61F73">
      <w:pPr>
        <w:pStyle w:val="xl23"/>
        <w:spacing w:before="0" w:beforeAutospacing="0" w:after="0" w:afterAutospacing="0"/>
      </w:pPr>
      <w:hyperlink w:anchor="Bair" w:history="1">
        <w:r w:rsidR="008D0565" w:rsidRPr="00D61F73">
          <w:rPr>
            <w:rStyle w:val="Hyperlink"/>
          </w:rPr>
          <w:t>Bair MJ, Wu J, Damush TM, Sutherland JM, Kroenke K</w:t>
        </w:r>
      </w:hyperlink>
      <w:r w:rsidR="008D0565" w:rsidRPr="00D61F73">
        <w:t xml:space="preserve">. Association of depression and anxiety alone and in combination with chronic musculoskeletal pain in primary care patients. </w:t>
      </w:r>
      <w:r w:rsidR="008D0565" w:rsidRPr="00D61F73">
        <w:rPr>
          <w:i/>
        </w:rPr>
        <w:t>Psychosom Med</w:t>
      </w:r>
      <w:r w:rsidR="008D0565" w:rsidRPr="00D61F73">
        <w:t>. 2008;70:890-7.</w:t>
      </w:r>
    </w:p>
    <w:p w14:paraId="056861CC" w14:textId="77777777" w:rsidR="008D0565" w:rsidRPr="00D61F73" w:rsidRDefault="008D0565" w:rsidP="00D61F73">
      <w:pPr>
        <w:pStyle w:val="xl23"/>
        <w:spacing w:before="0" w:beforeAutospacing="0" w:after="0" w:afterAutospacing="0"/>
      </w:pPr>
    </w:p>
    <w:p w14:paraId="107C84E9" w14:textId="77777777" w:rsidR="008D0565" w:rsidRPr="00D61F73" w:rsidRDefault="00751163" w:rsidP="00D61F73">
      <w:pPr>
        <w:pStyle w:val="xl23"/>
        <w:spacing w:before="0" w:beforeAutospacing="0" w:after="0" w:afterAutospacing="0"/>
      </w:pPr>
      <w:hyperlink w:anchor="Baliki" w:history="1">
        <w:r w:rsidR="008D0565" w:rsidRPr="00D61F73">
          <w:rPr>
            <w:rStyle w:val="Hyperlink"/>
          </w:rPr>
          <w:t>Baliki MN, Geha PY, Apkarian AV, Chialvo DR.</w:t>
        </w:r>
      </w:hyperlink>
      <w:r w:rsidR="008D0565" w:rsidRPr="00D61F73">
        <w:t xml:space="preserve"> Beyond feeling: chronic pain hurts the brain, disrupting the default-mode network dynamics. </w:t>
      </w:r>
      <w:r w:rsidR="008D0565" w:rsidRPr="00D61F73">
        <w:rPr>
          <w:i/>
          <w:iCs/>
        </w:rPr>
        <w:t>J Neurosci</w:t>
      </w:r>
      <w:r w:rsidR="008D0565" w:rsidRPr="00D61F73">
        <w:t>. 2008 Feb 6;28(6):1398-403.</w:t>
      </w:r>
    </w:p>
    <w:p w14:paraId="1403A228" w14:textId="77777777" w:rsidR="008D0565" w:rsidRPr="00D61F73" w:rsidRDefault="008D0565" w:rsidP="00D61F73">
      <w:pPr>
        <w:pStyle w:val="xl23"/>
        <w:spacing w:before="0" w:beforeAutospacing="0" w:after="0" w:afterAutospacing="0"/>
      </w:pPr>
    </w:p>
    <w:p w14:paraId="6A70A541" w14:textId="77777777" w:rsidR="008D0565" w:rsidRPr="00D61F73" w:rsidRDefault="00751163" w:rsidP="00D61F73">
      <w:pPr>
        <w:rPr>
          <w:rFonts w:ascii="Arial" w:hAnsi="Arial" w:cs="Arial"/>
        </w:rPr>
      </w:pPr>
      <w:hyperlink w:anchor="Barrows" w:history="1">
        <w:r w:rsidR="008D0565" w:rsidRPr="00D61F73">
          <w:rPr>
            <w:rStyle w:val="Hyperlink"/>
            <w:rFonts w:ascii="Arial" w:hAnsi="Arial" w:cs="Arial"/>
          </w:rPr>
          <w:t>Barrows KA, Jacobs BP</w:t>
        </w:r>
      </w:hyperlink>
      <w:r w:rsidR="008D0565" w:rsidRPr="00D61F73">
        <w:rPr>
          <w:rFonts w:ascii="Arial" w:hAnsi="Arial" w:cs="Arial"/>
        </w:rPr>
        <w:t xml:space="preserve">. Mind-body medicine. An introduction and review of the literature. </w:t>
      </w:r>
      <w:r w:rsidR="008D0565" w:rsidRPr="00D61F73">
        <w:rPr>
          <w:rStyle w:val="HTMLCite"/>
          <w:rFonts w:ascii="Arial" w:hAnsi="Arial" w:cs="Arial"/>
        </w:rPr>
        <w:t xml:space="preserve">Medical Clinics of North America. </w:t>
      </w:r>
      <w:r w:rsidR="008D0565" w:rsidRPr="00D61F73">
        <w:rPr>
          <w:rFonts w:ascii="Arial" w:hAnsi="Arial" w:cs="Arial"/>
        </w:rPr>
        <w:t xml:space="preserve">01-Jan-2002; 86(1): 11-31. </w:t>
      </w:r>
    </w:p>
    <w:p w14:paraId="7E80AED0" w14:textId="77777777" w:rsidR="008D0565" w:rsidRPr="00D61F73" w:rsidRDefault="008D0565" w:rsidP="00D61F73">
      <w:pPr>
        <w:rPr>
          <w:rFonts w:ascii="Arial" w:hAnsi="Arial" w:cs="Arial"/>
        </w:rPr>
      </w:pPr>
    </w:p>
    <w:p w14:paraId="29BF5999" w14:textId="77777777" w:rsidR="008D0565" w:rsidRPr="00D61F73" w:rsidRDefault="00751163" w:rsidP="00D61F73">
      <w:pPr>
        <w:rPr>
          <w:rFonts w:ascii="Arial" w:hAnsi="Arial" w:cs="Arial"/>
        </w:rPr>
      </w:pPr>
      <w:hyperlink w:anchor="Beals" w:history="1">
        <w:r w:rsidR="008D0565" w:rsidRPr="00D61F73">
          <w:rPr>
            <w:rStyle w:val="Hyperlink"/>
            <w:rFonts w:ascii="Arial" w:hAnsi="Arial" w:cs="Arial"/>
          </w:rPr>
          <w:t>Beals RK, Hickman NW</w:t>
        </w:r>
      </w:hyperlink>
      <w:r w:rsidR="008D0565" w:rsidRPr="00D61F73">
        <w:rPr>
          <w:rFonts w:ascii="Arial" w:hAnsi="Arial" w:cs="Arial"/>
        </w:rPr>
        <w:t xml:space="preserve">. Industrial injuries of the back and extremities. Comprehensive evaluation--an aid in prognosis and management: a study of one hundred and eighty patients. </w:t>
      </w:r>
      <w:r w:rsidR="008D0565" w:rsidRPr="00D61F73">
        <w:rPr>
          <w:rFonts w:ascii="Arial" w:hAnsi="Arial" w:cs="Arial"/>
          <w:i/>
        </w:rPr>
        <w:t>J Bone Joint Surg Am.</w:t>
      </w:r>
      <w:r w:rsidR="008D0565" w:rsidRPr="00D61F73">
        <w:rPr>
          <w:rFonts w:ascii="Arial" w:hAnsi="Arial" w:cs="Arial"/>
        </w:rPr>
        <w:t xml:space="preserve"> 1972;54:1593-611.</w:t>
      </w:r>
    </w:p>
    <w:p w14:paraId="2CDD1C1F" w14:textId="77777777" w:rsidR="008D0565" w:rsidRPr="00D61F73" w:rsidRDefault="008D0565" w:rsidP="00D61F73">
      <w:pPr>
        <w:rPr>
          <w:rFonts w:ascii="Arial" w:hAnsi="Arial" w:cs="Arial"/>
        </w:rPr>
      </w:pPr>
    </w:p>
    <w:p w14:paraId="398CAD6D" w14:textId="77777777" w:rsidR="008D0565" w:rsidRPr="00D61F73" w:rsidRDefault="00751163" w:rsidP="00D61F73">
      <w:pPr>
        <w:rPr>
          <w:rFonts w:ascii="Arial" w:hAnsi="Arial" w:cs="Arial"/>
        </w:rPr>
      </w:pPr>
      <w:hyperlink w:anchor="Bendix1997" w:history="1">
        <w:r w:rsidR="008D0565" w:rsidRPr="00D61F73">
          <w:rPr>
            <w:rStyle w:val="Hyperlink"/>
            <w:rFonts w:ascii="Arial" w:hAnsi="Arial" w:cs="Arial"/>
          </w:rPr>
          <w:t>Bendix AF, Bendix T, Lund C, Kirkbak S, Ostenfeld S</w:t>
        </w:r>
      </w:hyperlink>
      <w:r w:rsidR="008D0565" w:rsidRPr="00D61F73">
        <w:rPr>
          <w:rFonts w:ascii="Arial" w:hAnsi="Arial" w:cs="Arial"/>
        </w:rPr>
        <w:t xml:space="preserve">. Comparison of three intensive programs for chronic low back pain patients: a prospective, randomized, observer-blinded study with one-year follow-up. </w:t>
      </w:r>
      <w:r w:rsidR="008D0565" w:rsidRPr="00D61F73">
        <w:rPr>
          <w:rFonts w:ascii="Arial" w:hAnsi="Arial" w:cs="Arial"/>
          <w:i/>
        </w:rPr>
        <w:t>Scand J Rehabil Med</w:t>
      </w:r>
      <w:r w:rsidR="008D0565" w:rsidRPr="00D61F73">
        <w:rPr>
          <w:rFonts w:ascii="Arial" w:hAnsi="Arial" w:cs="Arial"/>
        </w:rPr>
        <w:t>. 1997;29:81-9.</w:t>
      </w:r>
    </w:p>
    <w:p w14:paraId="64E5F21B" w14:textId="77777777" w:rsidR="008D0565" w:rsidRPr="00D61F73" w:rsidRDefault="008D0565" w:rsidP="00D61F73">
      <w:pPr>
        <w:rPr>
          <w:rFonts w:ascii="Arial" w:hAnsi="Arial" w:cs="Arial"/>
        </w:rPr>
      </w:pPr>
    </w:p>
    <w:p w14:paraId="6485E8E6" w14:textId="77777777" w:rsidR="008D0565" w:rsidRPr="00D61F73" w:rsidRDefault="00751163" w:rsidP="00D61F73">
      <w:pPr>
        <w:rPr>
          <w:rFonts w:ascii="Arial" w:hAnsi="Arial" w:cs="Arial"/>
        </w:rPr>
      </w:pPr>
      <w:hyperlink w:anchor="Bendix1998a" w:history="1">
        <w:r w:rsidR="008D0565" w:rsidRPr="00D61F73">
          <w:rPr>
            <w:rStyle w:val="Hyperlink"/>
            <w:rFonts w:ascii="Arial" w:hAnsi="Arial" w:cs="Arial"/>
          </w:rPr>
          <w:t>Bendix AF, Bendix T, Haestrup C</w:t>
        </w:r>
      </w:hyperlink>
      <w:r w:rsidR="008D0565" w:rsidRPr="00D61F73">
        <w:rPr>
          <w:rFonts w:ascii="Arial" w:hAnsi="Arial" w:cs="Arial"/>
        </w:rPr>
        <w:t xml:space="preserve">. Can it be predicted which patients with chronic low back pain should be offered tertiary rehabilitation in a functional restoration program? A search for demographic, socioeconomic, and physical predictors. </w:t>
      </w:r>
      <w:r w:rsidR="008D0565" w:rsidRPr="00D61F73">
        <w:rPr>
          <w:rFonts w:ascii="Arial" w:hAnsi="Arial" w:cs="Arial"/>
          <w:i/>
        </w:rPr>
        <w:t>Spine</w:t>
      </w:r>
      <w:r w:rsidR="008D0565" w:rsidRPr="00D61F73">
        <w:rPr>
          <w:rFonts w:ascii="Arial" w:hAnsi="Arial" w:cs="Arial"/>
        </w:rPr>
        <w:t>. 1998;23:1775-83; discussion 1783-4.</w:t>
      </w:r>
    </w:p>
    <w:p w14:paraId="00449966" w14:textId="77777777" w:rsidR="008D0565" w:rsidRPr="00D61F73" w:rsidRDefault="008D0565" w:rsidP="00D61F73">
      <w:pPr>
        <w:rPr>
          <w:rFonts w:ascii="Arial" w:hAnsi="Arial" w:cs="Arial"/>
        </w:rPr>
      </w:pPr>
    </w:p>
    <w:p w14:paraId="62BD895D" w14:textId="77777777" w:rsidR="008D0565" w:rsidRPr="00D61F73" w:rsidRDefault="00751163" w:rsidP="00D61F73">
      <w:pPr>
        <w:rPr>
          <w:rFonts w:ascii="Arial" w:hAnsi="Arial" w:cs="Arial"/>
        </w:rPr>
      </w:pPr>
      <w:hyperlink w:anchor="BendixT" w:history="1">
        <w:r w:rsidR="008D0565" w:rsidRPr="00D61F73">
          <w:rPr>
            <w:rStyle w:val="Hyperlink"/>
            <w:rFonts w:ascii="Arial" w:hAnsi="Arial" w:cs="Arial"/>
          </w:rPr>
          <w:t>Bendix T, Bendix A, Labriola M, Haestrup C, Ebbehøj N</w:t>
        </w:r>
      </w:hyperlink>
      <w:r w:rsidR="008D0565" w:rsidRPr="00D61F73">
        <w:rPr>
          <w:rFonts w:ascii="Arial" w:hAnsi="Arial" w:cs="Arial"/>
        </w:rPr>
        <w:t xml:space="preserve">. Functional restoration versus outpatient physical training in chronic low back pain: a randomized comparative study. </w:t>
      </w:r>
      <w:r w:rsidR="008D0565" w:rsidRPr="00D61F73">
        <w:rPr>
          <w:rFonts w:ascii="Arial" w:hAnsi="Arial" w:cs="Arial"/>
          <w:i/>
        </w:rPr>
        <w:t>Spine</w:t>
      </w:r>
      <w:r w:rsidR="008D0565" w:rsidRPr="00D61F73">
        <w:rPr>
          <w:rFonts w:ascii="Arial" w:hAnsi="Arial" w:cs="Arial"/>
        </w:rPr>
        <w:t>. 2000;25:2494-500.</w:t>
      </w:r>
    </w:p>
    <w:p w14:paraId="1C4B8E2E" w14:textId="77777777" w:rsidR="008D0565" w:rsidRPr="00D61F73" w:rsidRDefault="008D0565" w:rsidP="00D61F73">
      <w:pPr>
        <w:rPr>
          <w:rFonts w:ascii="Arial" w:hAnsi="Arial" w:cs="Arial"/>
        </w:rPr>
      </w:pPr>
    </w:p>
    <w:p w14:paraId="199A30F6" w14:textId="77777777" w:rsidR="008D0565" w:rsidRPr="00D61F73" w:rsidRDefault="00751163" w:rsidP="00D61F73">
      <w:pPr>
        <w:pStyle w:val="NormalWeb"/>
        <w:spacing w:before="0" w:beforeAutospacing="0" w:after="0" w:afterAutospacing="0"/>
        <w:rPr>
          <w:rFonts w:ascii="Arial" w:hAnsi="Arial" w:cs="Arial"/>
        </w:rPr>
      </w:pPr>
      <w:hyperlink w:anchor="Bruns" w:history="1">
        <w:r w:rsidR="008D0565" w:rsidRPr="00D61F73">
          <w:rPr>
            <w:rStyle w:val="Hyperlink"/>
            <w:rFonts w:ascii="Arial" w:hAnsi="Arial" w:cs="Arial"/>
          </w:rPr>
          <w:t>Bruns D</w:t>
        </w:r>
      </w:hyperlink>
      <w:r w:rsidR="008D0565" w:rsidRPr="00D61F73">
        <w:rPr>
          <w:rFonts w:ascii="Arial" w:hAnsi="Arial" w:cs="Arial"/>
        </w:rPr>
        <w:t>. Colorado Division of Workers’ Compensation, Comprehensive Psychological Testing: Psychological Tests Commonly Used in the Assessment of Chronic Pain Patients. 2001</w:t>
      </w:r>
    </w:p>
    <w:p w14:paraId="4B551453" w14:textId="77777777" w:rsidR="008D0565" w:rsidRPr="00D61F73" w:rsidRDefault="008D0565" w:rsidP="00D61F73">
      <w:pPr>
        <w:rPr>
          <w:rFonts w:ascii="Arial" w:hAnsi="Arial" w:cs="Arial"/>
        </w:rPr>
      </w:pPr>
    </w:p>
    <w:p w14:paraId="19F98E85" w14:textId="77777777" w:rsidR="008D0565" w:rsidRPr="00D61F73" w:rsidRDefault="00751163" w:rsidP="00D61F73">
      <w:pPr>
        <w:rPr>
          <w:rFonts w:ascii="Arial" w:eastAsia="Arial Unicode MS" w:hAnsi="Arial" w:cs="Arial"/>
          <w:color w:val="auto"/>
        </w:rPr>
      </w:pPr>
      <w:hyperlink w:anchor="Buchner" w:history="1">
        <w:r w:rsidR="008D0565" w:rsidRPr="00D61F73">
          <w:rPr>
            <w:rStyle w:val="Hyperlink"/>
            <w:rFonts w:ascii="Arial" w:eastAsia="Arial Unicode MS" w:hAnsi="Arial" w:cs="Arial"/>
          </w:rPr>
          <w:t>Buchner M, Zahlten-Hinguranage A, Schiltenwolf M, Neubauer E.</w:t>
        </w:r>
      </w:hyperlink>
      <w:r w:rsidR="008D0565" w:rsidRPr="00D61F73">
        <w:rPr>
          <w:rFonts w:ascii="Arial" w:eastAsia="Arial Unicode MS" w:hAnsi="Arial" w:cs="Arial"/>
          <w:color w:val="auto"/>
        </w:rPr>
        <w:t xml:space="preserve"> Therapy outcome after multidisciplinary treatment for chronic neck and chronic low back pain: a prospective clinical study in 365 patients. </w:t>
      </w:r>
      <w:r w:rsidR="008D0565" w:rsidRPr="00D61F73">
        <w:rPr>
          <w:rFonts w:ascii="Arial" w:eastAsia="Arial Unicode MS" w:hAnsi="Arial" w:cs="Arial"/>
          <w:i/>
          <w:iCs/>
          <w:color w:val="auto"/>
        </w:rPr>
        <w:t>Scand J Rheumatol.</w:t>
      </w:r>
      <w:r w:rsidR="008D0565" w:rsidRPr="00D61F73">
        <w:rPr>
          <w:rFonts w:ascii="Arial" w:eastAsia="Arial Unicode MS" w:hAnsi="Arial" w:cs="Arial"/>
          <w:color w:val="auto"/>
        </w:rPr>
        <w:t xml:space="preserve"> 2006 Sep-Oct;35(5):363-7.</w:t>
      </w:r>
    </w:p>
    <w:p w14:paraId="15DD3A0B" w14:textId="77777777" w:rsidR="008D0565" w:rsidRPr="00D61F73" w:rsidRDefault="008D0565" w:rsidP="00D61F73">
      <w:pPr>
        <w:rPr>
          <w:rFonts w:ascii="Arial" w:hAnsi="Arial" w:cs="Arial"/>
        </w:rPr>
      </w:pPr>
    </w:p>
    <w:p w14:paraId="63087489" w14:textId="77777777" w:rsidR="008D0565" w:rsidRPr="00D61F73" w:rsidRDefault="00751163" w:rsidP="00D61F73">
      <w:pPr>
        <w:rPr>
          <w:rFonts w:ascii="Arial" w:hAnsi="Arial" w:cs="Arial"/>
        </w:rPr>
      </w:pPr>
      <w:hyperlink w:anchor="Clay2010" w:history="1">
        <w:r w:rsidR="008D0565" w:rsidRPr="00D61F73">
          <w:rPr>
            <w:rStyle w:val="Hyperlink"/>
            <w:rFonts w:ascii="Arial" w:hAnsi="Arial" w:cs="Arial"/>
          </w:rPr>
          <w:t>Clay FJ, Newstead SV, Watson WL, Ozanne-Smith J, Guy J, McClure RJ</w:t>
        </w:r>
      </w:hyperlink>
      <w:r w:rsidR="008D0565" w:rsidRPr="00D61F73">
        <w:rPr>
          <w:rFonts w:ascii="Arial" w:hAnsi="Arial" w:cs="Arial"/>
        </w:rPr>
        <w:t xml:space="preserve">. Bio-psychosocial determinants of persistent pain 6 months after non-life-threatening acute orthopaedic trauma. </w:t>
      </w:r>
      <w:r w:rsidR="008D0565" w:rsidRPr="00D61F73">
        <w:rPr>
          <w:rFonts w:ascii="Arial" w:hAnsi="Arial" w:cs="Arial"/>
          <w:i/>
          <w:iCs/>
        </w:rPr>
        <w:t>J Pain</w:t>
      </w:r>
      <w:r w:rsidR="008D0565" w:rsidRPr="00D61F73">
        <w:rPr>
          <w:rFonts w:ascii="Arial" w:hAnsi="Arial" w:cs="Arial"/>
        </w:rPr>
        <w:t>. 2010 May;11(5):420-30.</w:t>
      </w:r>
    </w:p>
    <w:p w14:paraId="566BA2FB" w14:textId="77777777" w:rsidR="008D0565" w:rsidRPr="00D61F73" w:rsidRDefault="008D0565" w:rsidP="00D61F73">
      <w:pPr>
        <w:rPr>
          <w:rFonts w:ascii="Arial" w:hAnsi="Arial" w:cs="Arial"/>
        </w:rPr>
      </w:pPr>
    </w:p>
    <w:p w14:paraId="7A5850A5" w14:textId="77777777" w:rsidR="008D0565" w:rsidRPr="00D61F73" w:rsidRDefault="00751163" w:rsidP="00D61F73">
      <w:pPr>
        <w:rPr>
          <w:rFonts w:ascii="Arial" w:hAnsi="Arial" w:cs="Arial"/>
        </w:rPr>
      </w:pPr>
      <w:hyperlink w:anchor="Dersh" w:history="1">
        <w:r w:rsidR="008D0565" w:rsidRPr="00D61F73">
          <w:rPr>
            <w:rStyle w:val="Hyperlink"/>
            <w:rFonts w:ascii="Arial" w:hAnsi="Arial" w:cs="Arial"/>
          </w:rPr>
          <w:t>Dersh J, Gatchel RJ, Mayer T, Polatin P, Temple OR</w:t>
        </w:r>
      </w:hyperlink>
      <w:r w:rsidR="008D0565" w:rsidRPr="00D61F73">
        <w:rPr>
          <w:rFonts w:ascii="Arial" w:hAnsi="Arial" w:cs="Arial"/>
        </w:rPr>
        <w:t xml:space="preserve">. Prevalence of psychiatric disorders in patients with chronic disabling occupational spinal disorders. </w:t>
      </w:r>
      <w:r w:rsidR="008D0565" w:rsidRPr="00D61F73">
        <w:rPr>
          <w:rFonts w:ascii="Arial" w:hAnsi="Arial" w:cs="Arial"/>
          <w:i/>
          <w:iCs/>
        </w:rPr>
        <w:t>Spine</w:t>
      </w:r>
      <w:r w:rsidR="008D0565" w:rsidRPr="00D61F73">
        <w:rPr>
          <w:rFonts w:ascii="Arial" w:hAnsi="Arial" w:cs="Arial"/>
        </w:rPr>
        <w:t>. 2006 May 1;31(10):1156-62.</w:t>
      </w:r>
    </w:p>
    <w:p w14:paraId="291AC580" w14:textId="77777777" w:rsidR="008D0565" w:rsidRPr="00D61F73" w:rsidRDefault="008D0565" w:rsidP="00D61F73">
      <w:pPr>
        <w:rPr>
          <w:rFonts w:ascii="Arial" w:hAnsi="Arial" w:cs="Arial"/>
        </w:rPr>
      </w:pPr>
    </w:p>
    <w:p w14:paraId="03178736" w14:textId="77777777" w:rsidR="008D0565" w:rsidRPr="00D61F73" w:rsidRDefault="00751163" w:rsidP="00D61F73">
      <w:pPr>
        <w:rPr>
          <w:rFonts w:ascii="Arial" w:hAnsi="Arial" w:cs="Arial"/>
        </w:rPr>
      </w:pPr>
      <w:hyperlink w:anchor="Dersh2" w:history="1">
        <w:r w:rsidR="008D0565" w:rsidRPr="00D61F73">
          <w:rPr>
            <w:rStyle w:val="Hyperlink"/>
            <w:rFonts w:ascii="Arial" w:hAnsi="Arial" w:cs="Arial"/>
          </w:rPr>
          <w:t>Dersh J, Gatchel RJ, Polatin P, Mayer T.</w:t>
        </w:r>
      </w:hyperlink>
      <w:r w:rsidR="008D0565" w:rsidRPr="00D61F73">
        <w:rPr>
          <w:rFonts w:ascii="Arial" w:hAnsi="Arial" w:cs="Arial"/>
        </w:rPr>
        <w:t xml:space="preserve"> Prevalence of psychiatric disorders in patients with chronic work-related musculoskeletal pain disability. </w:t>
      </w:r>
      <w:r w:rsidR="008D0565" w:rsidRPr="00D61F73">
        <w:rPr>
          <w:rFonts w:ascii="Arial" w:hAnsi="Arial" w:cs="Arial"/>
          <w:i/>
          <w:iCs/>
        </w:rPr>
        <w:t>J Occup Environ Med</w:t>
      </w:r>
      <w:r w:rsidR="008D0565" w:rsidRPr="00D61F73">
        <w:rPr>
          <w:rFonts w:ascii="Arial" w:hAnsi="Arial" w:cs="Arial"/>
        </w:rPr>
        <w:t>. 2002 May;44(5):459-68.</w:t>
      </w:r>
    </w:p>
    <w:p w14:paraId="38AACF93" w14:textId="77777777" w:rsidR="008D0565" w:rsidRPr="00D61F73" w:rsidRDefault="008D0565" w:rsidP="00D61F73">
      <w:pPr>
        <w:rPr>
          <w:rFonts w:ascii="Arial" w:hAnsi="Arial" w:cs="Arial"/>
        </w:rPr>
      </w:pPr>
    </w:p>
    <w:p w14:paraId="0BEA13A6" w14:textId="77777777" w:rsidR="008D0565" w:rsidRPr="00D61F73" w:rsidRDefault="00751163" w:rsidP="00D61F73">
      <w:pPr>
        <w:rPr>
          <w:rFonts w:ascii="Arial" w:hAnsi="Arial" w:cs="Arial"/>
        </w:rPr>
      </w:pPr>
      <w:hyperlink w:anchor="Dersh2007" w:history="1">
        <w:r w:rsidR="008D0565" w:rsidRPr="00D61F73">
          <w:rPr>
            <w:rStyle w:val="Hyperlink"/>
            <w:rFonts w:ascii="Arial" w:hAnsi="Arial" w:cs="Arial"/>
          </w:rPr>
          <w:t>Dersh J, Mayer T, Gatchel RJ, Towns B, Theodore B, Polatin P</w:t>
        </w:r>
      </w:hyperlink>
      <w:r w:rsidR="008D0565" w:rsidRPr="00D61F73">
        <w:rPr>
          <w:rFonts w:ascii="Arial" w:hAnsi="Arial" w:cs="Arial"/>
        </w:rPr>
        <w:t xml:space="preserve">. Psychiatric comorbidity in chronic disabling occupational spinal disorders has minimal impact on functional restoration socioeconomic outcomes. </w:t>
      </w:r>
      <w:r w:rsidR="008D0565" w:rsidRPr="00D61F73">
        <w:rPr>
          <w:rFonts w:ascii="Arial" w:hAnsi="Arial" w:cs="Arial"/>
          <w:i/>
        </w:rPr>
        <w:t>Spine.</w:t>
      </w:r>
      <w:r w:rsidR="008D0565" w:rsidRPr="00D61F73">
        <w:rPr>
          <w:rFonts w:ascii="Arial" w:hAnsi="Arial" w:cs="Arial"/>
        </w:rPr>
        <w:t xml:space="preserve"> 2007;32:1917-25.</w:t>
      </w:r>
    </w:p>
    <w:p w14:paraId="2E00783C" w14:textId="77777777" w:rsidR="008D0565" w:rsidRPr="00D61F73" w:rsidRDefault="008D0565" w:rsidP="00D61F73">
      <w:pPr>
        <w:rPr>
          <w:rFonts w:ascii="Arial" w:hAnsi="Arial" w:cs="Arial"/>
        </w:rPr>
      </w:pPr>
    </w:p>
    <w:p w14:paraId="631160B9" w14:textId="77777777" w:rsidR="008D0565" w:rsidRPr="00D61F73" w:rsidRDefault="00751163" w:rsidP="00D61F73">
      <w:pPr>
        <w:rPr>
          <w:rFonts w:ascii="Arial" w:hAnsi="Arial" w:cs="Arial"/>
        </w:rPr>
      </w:pPr>
      <w:hyperlink w:anchor="Doleys" w:history="1">
        <w:r w:rsidR="008D0565" w:rsidRPr="00D61F73">
          <w:rPr>
            <w:rStyle w:val="Hyperlink"/>
            <w:rFonts w:ascii="Arial" w:hAnsi="Arial" w:cs="Arial"/>
          </w:rPr>
          <w:t>Doleys DM, Dinoff BL</w:t>
        </w:r>
      </w:hyperlink>
      <w:r w:rsidR="008D0565" w:rsidRPr="00D61F73">
        <w:rPr>
          <w:rFonts w:ascii="Arial" w:hAnsi="Arial" w:cs="Arial"/>
        </w:rPr>
        <w:t xml:space="preserve">. Psychological aspects of interventional therapy. </w:t>
      </w:r>
      <w:r w:rsidR="008D0565" w:rsidRPr="00D61F73">
        <w:rPr>
          <w:rFonts w:ascii="Arial" w:hAnsi="Arial" w:cs="Arial"/>
          <w:i/>
          <w:iCs/>
        </w:rPr>
        <w:t>Anesthesiol Clin North America</w:t>
      </w:r>
      <w:r w:rsidR="008D0565" w:rsidRPr="00D61F73">
        <w:rPr>
          <w:rFonts w:ascii="Arial" w:hAnsi="Arial" w:cs="Arial"/>
        </w:rPr>
        <w:t>. 2003 Dec;21(4):767-83.</w:t>
      </w:r>
    </w:p>
    <w:p w14:paraId="2CB88BA0" w14:textId="77777777" w:rsidR="008D0565" w:rsidRPr="00D61F73" w:rsidRDefault="008D0565" w:rsidP="00D61F73">
      <w:pPr>
        <w:pStyle w:val="Footer"/>
        <w:tabs>
          <w:tab w:val="clear" w:pos="4320"/>
          <w:tab w:val="clear" w:pos="8640"/>
        </w:tabs>
        <w:rPr>
          <w:rFonts w:ascii="Arial" w:hAnsi="Arial" w:cs="Arial"/>
        </w:rPr>
      </w:pPr>
    </w:p>
    <w:p w14:paraId="3ED13A9D" w14:textId="77777777" w:rsidR="008D0565" w:rsidRPr="00D61F73" w:rsidRDefault="00751163" w:rsidP="00D61F73">
      <w:pPr>
        <w:rPr>
          <w:rFonts w:ascii="Arial" w:hAnsi="Arial" w:cs="Arial"/>
        </w:rPr>
      </w:pPr>
      <w:hyperlink w:anchor="Flor" w:history="1">
        <w:r w:rsidR="008D0565" w:rsidRPr="00D61F73">
          <w:rPr>
            <w:rStyle w:val="Hyperlink"/>
            <w:rFonts w:ascii="Arial" w:hAnsi="Arial" w:cs="Arial"/>
          </w:rPr>
          <w:t>Flor H, Fydrich T, Turk DC</w:t>
        </w:r>
      </w:hyperlink>
      <w:r w:rsidR="008D0565" w:rsidRPr="00D61F73">
        <w:rPr>
          <w:rFonts w:ascii="Arial" w:hAnsi="Arial" w:cs="Arial"/>
        </w:rPr>
        <w:t xml:space="preserve">. Efficacy of multidisciplinary pain treatment centers: a meta-analytic review. </w:t>
      </w:r>
      <w:r w:rsidR="008D0565" w:rsidRPr="00D61F73">
        <w:rPr>
          <w:rFonts w:ascii="Arial" w:hAnsi="Arial" w:cs="Arial"/>
          <w:i/>
        </w:rPr>
        <w:t>Pain.</w:t>
      </w:r>
      <w:r w:rsidR="008D0565" w:rsidRPr="00D61F73">
        <w:rPr>
          <w:rFonts w:ascii="Arial" w:hAnsi="Arial" w:cs="Arial"/>
        </w:rPr>
        <w:t xml:space="preserve"> 1992 May;49(2):221-30.</w:t>
      </w:r>
    </w:p>
    <w:p w14:paraId="7BC2696E" w14:textId="77777777" w:rsidR="008D0565" w:rsidRPr="00D61F73" w:rsidRDefault="008D0565" w:rsidP="00D61F73">
      <w:pPr>
        <w:rPr>
          <w:rFonts w:ascii="Arial" w:hAnsi="Arial" w:cs="Arial"/>
        </w:rPr>
      </w:pPr>
    </w:p>
    <w:p w14:paraId="6C539D57" w14:textId="77777777" w:rsidR="008D0565" w:rsidRPr="00D61F73" w:rsidRDefault="00751163" w:rsidP="00D61F73">
      <w:pPr>
        <w:rPr>
          <w:rFonts w:ascii="Arial" w:hAnsi="Arial" w:cs="Arial"/>
        </w:rPr>
      </w:pPr>
      <w:hyperlink w:anchor="Frost" w:history="1">
        <w:r w:rsidR="008D0565" w:rsidRPr="00D61F73">
          <w:rPr>
            <w:rStyle w:val="Hyperlink"/>
            <w:rFonts w:ascii="Arial" w:hAnsi="Arial" w:cs="Arial"/>
          </w:rPr>
          <w:t>Frost H, Lamb SE, Klaber Moffett JA, Fairbank JC, Moser JS.</w:t>
        </w:r>
      </w:hyperlink>
      <w:r w:rsidR="008D0565" w:rsidRPr="00D61F73">
        <w:rPr>
          <w:rFonts w:ascii="Arial" w:hAnsi="Arial" w:cs="Arial"/>
        </w:rPr>
        <w:t xml:space="preserve"> A fitness programme for patients with chronic low back pain: 2-year follow-up of a randomised controlled trial. </w:t>
      </w:r>
      <w:r w:rsidR="008D0565" w:rsidRPr="00D61F73">
        <w:rPr>
          <w:rFonts w:ascii="Arial" w:hAnsi="Arial" w:cs="Arial"/>
          <w:i/>
        </w:rPr>
        <w:t>Pain.</w:t>
      </w:r>
      <w:r w:rsidR="008D0565" w:rsidRPr="00D61F73">
        <w:rPr>
          <w:rFonts w:ascii="Arial" w:hAnsi="Arial" w:cs="Arial"/>
        </w:rPr>
        <w:t xml:space="preserve"> 1998;75:273-9.</w:t>
      </w:r>
    </w:p>
    <w:p w14:paraId="5EC80086" w14:textId="77777777" w:rsidR="008D0565" w:rsidRPr="00D61F73" w:rsidRDefault="008D0565" w:rsidP="00D61F73">
      <w:pPr>
        <w:rPr>
          <w:rFonts w:ascii="Arial" w:hAnsi="Arial" w:cs="Arial"/>
        </w:rPr>
      </w:pPr>
    </w:p>
    <w:p w14:paraId="39C90081" w14:textId="77777777" w:rsidR="008D0565" w:rsidRPr="00D61F73" w:rsidRDefault="00751163" w:rsidP="00D61F73">
      <w:pPr>
        <w:rPr>
          <w:rFonts w:ascii="Arial" w:hAnsi="Arial" w:cs="Arial"/>
        </w:rPr>
      </w:pPr>
      <w:hyperlink w:anchor="Galantino" w:history="1">
        <w:r w:rsidR="008D0565" w:rsidRPr="00D61F73">
          <w:rPr>
            <w:rStyle w:val="Hyperlink"/>
            <w:rFonts w:ascii="Arial" w:hAnsi="Arial" w:cs="Arial"/>
          </w:rPr>
          <w:t>Galantino ML, Bzdewka TM, Eissler-Russo JL, Holbrook ML, Mogck EP, Geigle P, Farrar JT,</w:t>
        </w:r>
      </w:hyperlink>
      <w:r w:rsidR="008D0565" w:rsidRPr="00D61F73">
        <w:rPr>
          <w:rFonts w:ascii="Arial" w:hAnsi="Arial" w:cs="Arial"/>
        </w:rPr>
        <w:t xml:space="preserve"> The impact of modified Hatha yoga on chronic low back pain: a pilot study, </w:t>
      </w:r>
      <w:r w:rsidR="008D0565" w:rsidRPr="00D61F73">
        <w:rPr>
          <w:rFonts w:ascii="Arial" w:hAnsi="Arial" w:cs="Arial"/>
          <w:i/>
          <w:iCs/>
        </w:rPr>
        <w:t>Altern Ther Health Med.</w:t>
      </w:r>
      <w:r w:rsidR="008D0565" w:rsidRPr="00D61F73">
        <w:rPr>
          <w:rFonts w:ascii="Arial" w:hAnsi="Arial" w:cs="Arial"/>
        </w:rPr>
        <w:t xml:space="preserve"> 2004 Mar-Apr;10(2):56-9.</w:t>
      </w:r>
    </w:p>
    <w:p w14:paraId="6F2516F3" w14:textId="77777777" w:rsidR="008D0565" w:rsidRPr="00D61F73" w:rsidRDefault="008D0565" w:rsidP="00D61F73">
      <w:pPr>
        <w:rPr>
          <w:rFonts w:ascii="Arial" w:hAnsi="Arial" w:cs="Arial"/>
        </w:rPr>
      </w:pPr>
    </w:p>
    <w:p w14:paraId="7CEE4A0E" w14:textId="77777777" w:rsidR="008D0565" w:rsidRPr="00D61F73" w:rsidRDefault="00751163" w:rsidP="00D61F73">
      <w:pPr>
        <w:rPr>
          <w:rFonts w:ascii="Arial" w:hAnsi="Arial" w:cs="Arial"/>
        </w:rPr>
      </w:pPr>
      <w:hyperlink w:anchor="Gallagher1989" w:history="1">
        <w:r w:rsidR="008D0565" w:rsidRPr="00D61F73">
          <w:rPr>
            <w:rStyle w:val="Hyperlink"/>
            <w:rFonts w:ascii="Arial" w:hAnsi="Arial" w:cs="Arial"/>
          </w:rPr>
          <w:t>Gallagher RM, Rauh V, Haugh LD, Milhous R, Callas PW, Langelier R, McClallen JM, Frymoyer J.</w:t>
        </w:r>
      </w:hyperlink>
      <w:r w:rsidR="008D0565" w:rsidRPr="00D61F73">
        <w:rPr>
          <w:rFonts w:ascii="Arial" w:hAnsi="Arial" w:cs="Arial"/>
        </w:rPr>
        <w:t xml:space="preserve"> Determinants of return-to-work among low back pain patients. </w:t>
      </w:r>
      <w:r w:rsidR="008D0565" w:rsidRPr="00D61F73">
        <w:rPr>
          <w:rFonts w:ascii="Arial" w:hAnsi="Arial" w:cs="Arial"/>
          <w:i/>
        </w:rPr>
        <w:t>Pain</w:t>
      </w:r>
      <w:r w:rsidR="008D0565" w:rsidRPr="00D61F73">
        <w:rPr>
          <w:rFonts w:ascii="Arial" w:hAnsi="Arial" w:cs="Arial"/>
        </w:rPr>
        <w:t>. 1989;39(1):55-67.</w:t>
      </w:r>
    </w:p>
    <w:p w14:paraId="5C9BFCEF" w14:textId="77777777" w:rsidR="008D0565" w:rsidRPr="00D61F73" w:rsidRDefault="008D0565" w:rsidP="00D61F73">
      <w:pPr>
        <w:rPr>
          <w:rFonts w:ascii="Arial" w:hAnsi="Arial" w:cs="Arial"/>
        </w:rPr>
      </w:pPr>
    </w:p>
    <w:p w14:paraId="674354C8" w14:textId="77777777" w:rsidR="008D0565" w:rsidRPr="00D61F73" w:rsidRDefault="00751163" w:rsidP="00D61F73">
      <w:pPr>
        <w:rPr>
          <w:rFonts w:ascii="Arial" w:hAnsi="Arial" w:cs="Arial"/>
        </w:rPr>
      </w:pPr>
      <w:hyperlink w:anchor="Gatchel" w:history="1">
        <w:r w:rsidR="008D0565" w:rsidRPr="00D61F73">
          <w:rPr>
            <w:rStyle w:val="Hyperlink"/>
            <w:rFonts w:ascii="Arial" w:hAnsi="Arial" w:cs="Arial"/>
          </w:rPr>
          <w:t>Gatchel RJ; Gardea MA</w:t>
        </w:r>
      </w:hyperlink>
      <w:r w:rsidR="008D0565" w:rsidRPr="00D61F73">
        <w:rPr>
          <w:rFonts w:ascii="Arial" w:hAnsi="Arial" w:cs="Arial"/>
        </w:rPr>
        <w:t xml:space="preserve">. Psychosocial issues: their importance in predicting disability, response to treatment, and search for compensation. </w:t>
      </w:r>
      <w:r w:rsidR="008D0565" w:rsidRPr="00D61F73">
        <w:rPr>
          <w:rStyle w:val="HTMLCite"/>
          <w:rFonts w:ascii="Arial" w:hAnsi="Arial" w:cs="Arial"/>
        </w:rPr>
        <w:t xml:space="preserve">Neurologic Clinics. </w:t>
      </w:r>
      <w:r w:rsidR="008D0565" w:rsidRPr="00D61F73">
        <w:rPr>
          <w:rFonts w:ascii="Arial" w:hAnsi="Arial" w:cs="Arial"/>
        </w:rPr>
        <w:t>01-Feb-1999; 17(1): 149-66.</w:t>
      </w:r>
    </w:p>
    <w:p w14:paraId="1D187571" w14:textId="77777777" w:rsidR="008D0565" w:rsidRPr="00D61F73" w:rsidRDefault="008D0565" w:rsidP="00D61F73">
      <w:pPr>
        <w:rPr>
          <w:rFonts w:ascii="Arial" w:hAnsi="Arial" w:cs="Arial"/>
        </w:rPr>
      </w:pPr>
    </w:p>
    <w:p w14:paraId="4E5E4265" w14:textId="77777777" w:rsidR="008D0565" w:rsidRPr="00D61F73" w:rsidRDefault="00751163" w:rsidP="00D61F73">
      <w:pPr>
        <w:rPr>
          <w:rFonts w:ascii="Arial" w:hAnsi="Arial" w:cs="Arial"/>
        </w:rPr>
      </w:pPr>
      <w:hyperlink w:anchor="Gatchel3" w:history="1">
        <w:r w:rsidR="008D0565" w:rsidRPr="00D61F73">
          <w:rPr>
            <w:rStyle w:val="Hyperlink"/>
            <w:rFonts w:ascii="Arial" w:hAnsi="Arial" w:cs="Arial"/>
          </w:rPr>
          <w:t>Gatchel RJ, Mayer TG, Kidner CL, McGeary DD.</w:t>
        </w:r>
      </w:hyperlink>
      <w:r w:rsidR="008D0565" w:rsidRPr="00D61F73">
        <w:rPr>
          <w:rFonts w:ascii="Arial" w:hAnsi="Arial" w:cs="Arial"/>
        </w:rPr>
        <w:t xml:space="preserve"> Are gender, marital status or parenthood risk factors for outcome of treatment for chronic disabling spinal disorders? </w:t>
      </w:r>
      <w:r w:rsidR="008D0565" w:rsidRPr="00D61F73">
        <w:rPr>
          <w:rFonts w:ascii="Arial" w:hAnsi="Arial" w:cs="Arial"/>
          <w:i/>
          <w:iCs/>
        </w:rPr>
        <w:t>J Occup Rehabil.</w:t>
      </w:r>
      <w:r w:rsidR="008D0565" w:rsidRPr="00D61F73">
        <w:rPr>
          <w:rFonts w:ascii="Arial" w:hAnsi="Arial" w:cs="Arial"/>
        </w:rPr>
        <w:t xml:space="preserve"> 2005 Jun; 15(2):191-201.</w:t>
      </w:r>
    </w:p>
    <w:p w14:paraId="11260E70" w14:textId="77777777" w:rsidR="008D0565" w:rsidRPr="00D61F73" w:rsidRDefault="008D0565" w:rsidP="00D61F73">
      <w:pPr>
        <w:rPr>
          <w:rFonts w:ascii="Arial" w:hAnsi="Arial" w:cs="Arial"/>
        </w:rPr>
      </w:pPr>
    </w:p>
    <w:p w14:paraId="7C0487D2" w14:textId="77777777" w:rsidR="008D0565" w:rsidRPr="00D61F73" w:rsidRDefault="00751163" w:rsidP="00D61F73">
      <w:pPr>
        <w:rPr>
          <w:rFonts w:ascii="Arial" w:hAnsi="Arial" w:cs="Arial"/>
        </w:rPr>
      </w:pPr>
      <w:hyperlink w:anchor="Gatchel4" w:history="1">
        <w:r w:rsidR="008D0565" w:rsidRPr="00D61F73">
          <w:rPr>
            <w:rStyle w:val="Hyperlink"/>
            <w:rFonts w:ascii="Arial" w:hAnsi="Arial" w:cs="Arial"/>
          </w:rPr>
          <w:t>Gatchel RJ</w:t>
        </w:r>
      </w:hyperlink>
      <w:r w:rsidR="008D0565" w:rsidRPr="00D61F73">
        <w:rPr>
          <w:rFonts w:ascii="Arial" w:hAnsi="Arial" w:cs="Arial"/>
        </w:rPr>
        <w:t xml:space="preserve">. Psychosocial factors that can influence the self-assessment of function. </w:t>
      </w:r>
      <w:r w:rsidR="008D0565" w:rsidRPr="00D61F73">
        <w:rPr>
          <w:rFonts w:ascii="Arial" w:hAnsi="Arial" w:cs="Arial"/>
          <w:i/>
          <w:iCs/>
        </w:rPr>
        <w:t>J Occup Rehabil.</w:t>
      </w:r>
      <w:r w:rsidR="008D0565" w:rsidRPr="00D61F73">
        <w:rPr>
          <w:rFonts w:ascii="Arial" w:hAnsi="Arial" w:cs="Arial"/>
        </w:rPr>
        <w:t xml:space="preserve"> 2004 Sep;14(3):197-206.</w:t>
      </w:r>
    </w:p>
    <w:p w14:paraId="54DB78C7" w14:textId="77777777" w:rsidR="008D0565" w:rsidRPr="00D61F73" w:rsidRDefault="008D0565" w:rsidP="00D61F73">
      <w:pPr>
        <w:pStyle w:val="Footer"/>
        <w:tabs>
          <w:tab w:val="clear" w:pos="4320"/>
          <w:tab w:val="clear" w:pos="8640"/>
        </w:tabs>
        <w:rPr>
          <w:rFonts w:ascii="Arial" w:hAnsi="Arial" w:cs="Arial"/>
        </w:rPr>
      </w:pPr>
    </w:p>
    <w:p w14:paraId="02B53CF1" w14:textId="77777777" w:rsidR="008D0565" w:rsidRPr="00D61F73" w:rsidRDefault="00751163" w:rsidP="00D61F73">
      <w:pPr>
        <w:pStyle w:val="NormalWeb"/>
        <w:spacing w:before="0" w:beforeAutospacing="0" w:after="0" w:afterAutospacing="0"/>
        <w:rPr>
          <w:rFonts w:ascii="Arial" w:hAnsi="Arial" w:cs="Arial"/>
        </w:rPr>
      </w:pPr>
      <w:hyperlink w:anchor="Grøndahl" w:history="1">
        <w:r w:rsidR="008D0565" w:rsidRPr="00D61F73">
          <w:rPr>
            <w:rStyle w:val="Hyperlink"/>
            <w:rFonts w:ascii="Arial" w:hAnsi="Arial" w:cs="Arial"/>
          </w:rPr>
          <w:t>Grøndahl JR, Rosvold EO</w:t>
        </w:r>
      </w:hyperlink>
      <w:r w:rsidR="008D0565" w:rsidRPr="00D61F73">
        <w:rPr>
          <w:rFonts w:ascii="Arial" w:hAnsi="Arial" w:cs="Arial"/>
        </w:rPr>
        <w:t xml:space="preserve">. Hypnosis as a treatment of chronic widespread pain in general practice: a randomized controlled pilot trial. </w:t>
      </w:r>
      <w:r w:rsidR="008D0565" w:rsidRPr="00D61F73">
        <w:rPr>
          <w:rFonts w:ascii="Arial" w:hAnsi="Arial" w:cs="Arial"/>
          <w:i/>
          <w:iCs/>
        </w:rPr>
        <w:t>BMC Musculoskelet Disord</w:t>
      </w:r>
      <w:r w:rsidR="008D0565" w:rsidRPr="00D61F73">
        <w:rPr>
          <w:rFonts w:ascii="Arial" w:hAnsi="Arial" w:cs="Arial"/>
        </w:rPr>
        <w:t>. 2008 Sep 18;9:124.</w:t>
      </w:r>
    </w:p>
    <w:p w14:paraId="7DEFAA6F" w14:textId="77777777" w:rsidR="008D0565" w:rsidRPr="00D61F73" w:rsidRDefault="008D0565" w:rsidP="00D61F73">
      <w:pPr>
        <w:pStyle w:val="Footer"/>
        <w:tabs>
          <w:tab w:val="clear" w:pos="4320"/>
          <w:tab w:val="clear" w:pos="8640"/>
        </w:tabs>
        <w:rPr>
          <w:rFonts w:ascii="Arial" w:hAnsi="Arial" w:cs="Arial"/>
        </w:rPr>
      </w:pPr>
    </w:p>
    <w:p w14:paraId="6E6A7011" w14:textId="77777777" w:rsidR="008D0565" w:rsidRPr="00D61F73" w:rsidRDefault="00751163" w:rsidP="00D61F73">
      <w:pPr>
        <w:pStyle w:val="Footer"/>
        <w:tabs>
          <w:tab w:val="clear" w:pos="4320"/>
          <w:tab w:val="clear" w:pos="8640"/>
        </w:tabs>
        <w:rPr>
          <w:rFonts w:ascii="Arial" w:hAnsi="Arial" w:cs="Arial"/>
        </w:rPr>
      </w:pPr>
      <w:hyperlink w:anchor="Guzmán" w:history="1">
        <w:r w:rsidR="008D0565" w:rsidRPr="00D61F73">
          <w:rPr>
            <w:rStyle w:val="Hyperlink"/>
            <w:rFonts w:ascii="Arial" w:hAnsi="Arial" w:cs="Arial"/>
          </w:rPr>
          <w:t>Guzmán J, Esmail R, Karjalainen K, Malmivaara A, Irvin E, Bombardier C</w:t>
        </w:r>
      </w:hyperlink>
      <w:r w:rsidR="008D0565" w:rsidRPr="00D61F73">
        <w:rPr>
          <w:rFonts w:ascii="Arial" w:hAnsi="Arial" w:cs="Arial"/>
        </w:rPr>
        <w:t xml:space="preserve">. Multidisciplinary bio-psycho-social rehabilitation for chronic low back pain. </w:t>
      </w:r>
      <w:r w:rsidR="008D0565" w:rsidRPr="00D61F73">
        <w:rPr>
          <w:rFonts w:ascii="Arial" w:hAnsi="Arial" w:cs="Arial"/>
          <w:i/>
        </w:rPr>
        <w:t>Cochrane Database Syst Rev</w:t>
      </w:r>
      <w:r w:rsidR="008D0565" w:rsidRPr="00D61F73">
        <w:rPr>
          <w:rFonts w:ascii="Arial" w:hAnsi="Arial" w:cs="Arial"/>
        </w:rPr>
        <w:t>. 2002;(1):CD000963.</w:t>
      </w:r>
    </w:p>
    <w:p w14:paraId="045A23CE" w14:textId="77777777" w:rsidR="008D0565" w:rsidRPr="00D61F73" w:rsidRDefault="008D0565" w:rsidP="00D61F73">
      <w:pPr>
        <w:pStyle w:val="Footer"/>
        <w:tabs>
          <w:tab w:val="clear" w:pos="4320"/>
          <w:tab w:val="clear" w:pos="8640"/>
        </w:tabs>
        <w:rPr>
          <w:rFonts w:ascii="Arial" w:hAnsi="Arial" w:cs="Arial"/>
        </w:rPr>
      </w:pPr>
    </w:p>
    <w:p w14:paraId="111C5168" w14:textId="77777777" w:rsidR="008D0565" w:rsidRPr="00D61F73" w:rsidRDefault="00751163" w:rsidP="00D61F73">
      <w:pPr>
        <w:rPr>
          <w:rFonts w:ascii="Arial" w:hAnsi="Arial" w:cs="Arial"/>
        </w:rPr>
      </w:pPr>
      <w:hyperlink w:anchor="Härkäpää" w:history="1">
        <w:r w:rsidR="008D0565" w:rsidRPr="00D61F73">
          <w:rPr>
            <w:rStyle w:val="Hyperlink"/>
            <w:rFonts w:ascii="Arial" w:hAnsi="Arial" w:cs="Arial"/>
          </w:rPr>
          <w:t>Härkäpää K, Mellin G, Järvikoski A, Hurri H.</w:t>
        </w:r>
      </w:hyperlink>
      <w:r w:rsidR="008D0565" w:rsidRPr="00D61F73">
        <w:rPr>
          <w:rFonts w:ascii="Arial" w:hAnsi="Arial" w:cs="Arial"/>
        </w:rPr>
        <w:t xml:space="preserve"> A controlled study on the outcome of inpatient and outpatient treatment of low back pain. Part III. Long-term follow-up of pain, disability, and compliance. </w:t>
      </w:r>
      <w:r w:rsidR="008D0565" w:rsidRPr="00D61F73">
        <w:rPr>
          <w:rFonts w:ascii="Arial" w:hAnsi="Arial" w:cs="Arial"/>
          <w:i/>
        </w:rPr>
        <w:t>Scand J Rehabil Med</w:t>
      </w:r>
      <w:r w:rsidR="008D0565" w:rsidRPr="00D61F73">
        <w:rPr>
          <w:rFonts w:ascii="Arial" w:hAnsi="Arial" w:cs="Arial"/>
        </w:rPr>
        <w:t>. 1990;22:181-8.</w:t>
      </w:r>
    </w:p>
    <w:p w14:paraId="066BC5C5" w14:textId="77777777" w:rsidR="008D0565" w:rsidRPr="00D61F73" w:rsidRDefault="008D0565" w:rsidP="00D61F73">
      <w:pPr>
        <w:rPr>
          <w:rFonts w:ascii="Arial" w:hAnsi="Arial" w:cs="Arial"/>
        </w:rPr>
      </w:pPr>
    </w:p>
    <w:p w14:paraId="6F8ED8E0" w14:textId="77777777" w:rsidR="008D0565" w:rsidRPr="00D61F73" w:rsidRDefault="00751163" w:rsidP="00D61F73">
      <w:pPr>
        <w:rPr>
          <w:rFonts w:ascii="Arial" w:hAnsi="Arial" w:cs="Arial"/>
        </w:rPr>
      </w:pPr>
      <w:hyperlink w:anchor="Karjalainen03" w:history="1">
        <w:r w:rsidR="008D0565" w:rsidRPr="00D61F73">
          <w:rPr>
            <w:rStyle w:val="Hyperlink"/>
            <w:rFonts w:ascii="Arial" w:hAnsi="Arial" w:cs="Arial"/>
          </w:rPr>
          <w:t>Karjalainen K, Malmivaara A, van Tulder M, Roine R, Jauhiainen M, Hurri H, Koes B.</w:t>
        </w:r>
      </w:hyperlink>
      <w:r w:rsidR="008D0565" w:rsidRPr="00D61F73">
        <w:rPr>
          <w:rFonts w:ascii="Arial" w:hAnsi="Arial" w:cs="Arial"/>
        </w:rPr>
        <w:t xml:space="preserve"> Multidisciplinary biopsychosocial rehabilitation for neck and shoulder pain among working age adults. </w:t>
      </w:r>
      <w:r w:rsidR="008D0565" w:rsidRPr="00D61F73">
        <w:rPr>
          <w:rFonts w:ascii="Arial" w:hAnsi="Arial" w:cs="Arial"/>
          <w:i/>
          <w:iCs/>
        </w:rPr>
        <w:t>Cochrane Database Syst Rev</w:t>
      </w:r>
      <w:r w:rsidR="008D0565" w:rsidRPr="00D61F73">
        <w:rPr>
          <w:rFonts w:ascii="Arial" w:hAnsi="Arial" w:cs="Arial"/>
        </w:rPr>
        <w:t>. 2003;(2):CD002194.</w:t>
      </w:r>
    </w:p>
    <w:p w14:paraId="5623000F" w14:textId="77777777" w:rsidR="008D0565" w:rsidRPr="00D61F73" w:rsidRDefault="008D0565" w:rsidP="00D61F73">
      <w:pPr>
        <w:rPr>
          <w:rFonts w:ascii="Arial" w:hAnsi="Arial" w:cs="Arial"/>
        </w:rPr>
      </w:pPr>
    </w:p>
    <w:p w14:paraId="17C634DD" w14:textId="77777777" w:rsidR="008D0565" w:rsidRPr="00D61F73" w:rsidRDefault="00751163" w:rsidP="00D61F73">
      <w:pPr>
        <w:rPr>
          <w:rFonts w:ascii="Arial" w:hAnsi="Arial" w:cs="Arial"/>
        </w:rPr>
      </w:pPr>
      <w:hyperlink w:anchor="Kerns" w:history="1">
        <w:r w:rsidR="008D0565" w:rsidRPr="00D61F73">
          <w:rPr>
            <w:rStyle w:val="Hyperlink"/>
            <w:rFonts w:ascii="Arial" w:hAnsi="Arial" w:cs="Arial"/>
          </w:rPr>
          <w:t>Kerns RD, Thorn BE, Dixon KE</w:t>
        </w:r>
      </w:hyperlink>
      <w:r w:rsidR="008D0565" w:rsidRPr="00D61F73">
        <w:rPr>
          <w:rFonts w:ascii="Arial" w:hAnsi="Arial" w:cs="Arial"/>
        </w:rPr>
        <w:t xml:space="preserve">. Psychological treatments for persistent pain: An introduction. </w:t>
      </w:r>
      <w:r w:rsidR="008D0565" w:rsidRPr="00D61F73">
        <w:rPr>
          <w:rFonts w:ascii="Arial" w:hAnsi="Arial" w:cs="Arial"/>
          <w:i/>
        </w:rPr>
        <w:t>J Clin Psychol</w:t>
      </w:r>
      <w:r w:rsidR="008D0565" w:rsidRPr="00D61F73">
        <w:rPr>
          <w:rFonts w:ascii="Arial" w:hAnsi="Arial" w:cs="Arial"/>
        </w:rPr>
        <w:t>. 2006 Aug 25; [Epub ahead of print]</w:t>
      </w:r>
    </w:p>
    <w:p w14:paraId="29E6CDF7" w14:textId="77777777" w:rsidR="008D0565" w:rsidRPr="00D61F73" w:rsidRDefault="008D0565" w:rsidP="00D61F73">
      <w:pPr>
        <w:rPr>
          <w:rFonts w:ascii="Arial" w:hAnsi="Arial" w:cs="Arial"/>
        </w:rPr>
      </w:pPr>
    </w:p>
    <w:p w14:paraId="167841BE" w14:textId="77777777" w:rsidR="008D0565" w:rsidRPr="00D61F73" w:rsidRDefault="00751163" w:rsidP="00D61F73">
      <w:pPr>
        <w:rPr>
          <w:rFonts w:ascii="Arial" w:hAnsi="Arial" w:cs="Arial"/>
        </w:rPr>
      </w:pPr>
      <w:hyperlink w:anchor="Krause" w:history="1">
        <w:r w:rsidR="008D0565" w:rsidRPr="00D61F73">
          <w:rPr>
            <w:rStyle w:val="Hyperlink"/>
            <w:rFonts w:ascii="Arial" w:hAnsi="Arial" w:cs="Arial"/>
          </w:rPr>
          <w:t>Krause N, Ragland DR</w:t>
        </w:r>
      </w:hyperlink>
      <w:r w:rsidR="008D0565" w:rsidRPr="00D61F73">
        <w:rPr>
          <w:rFonts w:ascii="Arial" w:hAnsi="Arial" w:cs="Arial"/>
        </w:rPr>
        <w:t xml:space="preserve">. Occupational disability due to low back pain: a new interdisciplinary classification based on a phase model of disability. </w:t>
      </w:r>
      <w:r w:rsidR="008D0565" w:rsidRPr="00D61F73">
        <w:rPr>
          <w:rFonts w:ascii="Arial" w:hAnsi="Arial" w:cs="Arial"/>
          <w:i/>
          <w:iCs/>
        </w:rPr>
        <w:t>Spine</w:t>
      </w:r>
      <w:r w:rsidR="008D0565" w:rsidRPr="00D61F73">
        <w:rPr>
          <w:rFonts w:ascii="Arial" w:hAnsi="Arial" w:cs="Arial"/>
        </w:rPr>
        <w:t>. 1994;19:1011-20.</w:t>
      </w:r>
    </w:p>
    <w:p w14:paraId="1E7ED4AA" w14:textId="77777777" w:rsidR="008D0565" w:rsidRPr="00D61F73" w:rsidRDefault="008D0565" w:rsidP="00D61F73">
      <w:pPr>
        <w:rPr>
          <w:rFonts w:ascii="Arial" w:hAnsi="Arial" w:cs="Arial"/>
        </w:rPr>
      </w:pPr>
    </w:p>
    <w:p w14:paraId="02B151E8" w14:textId="77777777" w:rsidR="008D0565" w:rsidRPr="00D61F73" w:rsidRDefault="00751163" w:rsidP="00D61F73">
      <w:pPr>
        <w:rPr>
          <w:rFonts w:ascii="Arial" w:hAnsi="Arial" w:cs="Arial"/>
        </w:rPr>
      </w:pPr>
      <w:hyperlink w:anchor="KrönerHerwig" w:history="1">
        <w:r w:rsidR="008D0565" w:rsidRPr="00D61F73">
          <w:rPr>
            <w:rStyle w:val="Hyperlink"/>
            <w:rFonts w:ascii="Arial" w:hAnsi="Arial" w:cs="Arial"/>
          </w:rPr>
          <w:t>Kröner-Herwig B</w:t>
        </w:r>
      </w:hyperlink>
      <w:r w:rsidR="008D0565" w:rsidRPr="00D61F73">
        <w:rPr>
          <w:rFonts w:ascii="Arial" w:hAnsi="Arial" w:cs="Arial"/>
        </w:rPr>
        <w:t xml:space="preserve">. Chronic pain syndromes and their treatment by psychological interventions. </w:t>
      </w:r>
      <w:r w:rsidR="008D0565" w:rsidRPr="00D61F73">
        <w:rPr>
          <w:rFonts w:ascii="Arial" w:hAnsi="Arial" w:cs="Arial"/>
          <w:i/>
          <w:iCs/>
        </w:rPr>
        <w:t>Curr Opin Psychiatry</w:t>
      </w:r>
      <w:r w:rsidR="008D0565" w:rsidRPr="00D61F73">
        <w:rPr>
          <w:rFonts w:ascii="Arial" w:hAnsi="Arial" w:cs="Arial"/>
        </w:rPr>
        <w:t>. 2009 Mar;22(2):200-4.</w:t>
      </w:r>
    </w:p>
    <w:p w14:paraId="679FE415" w14:textId="77777777" w:rsidR="008D0565" w:rsidRPr="00D61F73" w:rsidRDefault="008D0565" w:rsidP="00D61F73">
      <w:pPr>
        <w:rPr>
          <w:rFonts w:ascii="Arial" w:hAnsi="Arial" w:cs="Arial"/>
        </w:rPr>
      </w:pPr>
    </w:p>
    <w:p w14:paraId="7BFDD950" w14:textId="77777777" w:rsidR="008D0565" w:rsidRPr="00D61F73" w:rsidRDefault="00751163" w:rsidP="00D61F73">
      <w:pPr>
        <w:rPr>
          <w:rFonts w:ascii="Arial" w:hAnsi="Arial" w:cs="Arial"/>
        </w:rPr>
      </w:pPr>
      <w:hyperlink w:anchor="Main" w:history="1">
        <w:r w:rsidR="008D0565" w:rsidRPr="00D61F73">
          <w:rPr>
            <w:rStyle w:val="Hyperlink"/>
            <w:rFonts w:ascii="Arial" w:hAnsi="Arial" w:cs="Arial"/>
          </w:rPr>
          <w:t>Main CJ, Williams AC,</w:t>
        </w:r>
      </w:hyperlink>
      <w:r w:rsidR="008D0565" w:rsidRPr="00D61F73">
        <w:rPr>
          <w:rFonts w:ascii="Arial" w:hAnsi="Arial" w:cs="Arial"/>
        </w:rPr>
        <w:t xml:space="preserve"> Clinical review ABC of psychological medicine Musculoskeletal pain, </w:t>
      </w:r>
      <w:r w:rsidR="008D0565" w:rsidRPr="00D61F73">
        <w:rPr>
          <w:rFonts w:ascii="Arial" w:hAnsi="Arial" w:cs="Arial"/>
          <w:i/>
          <w:iCs/>
        </w:rPr>
        <w:t xml:space="preserve">BMJ </w:t>
      </w:r>
      <w:r w:rsidR="008D0565" w:rsidRPr="00D61F73">
        <w:rPr>
          <w:rFonts w:ascii="Arial" w:hAnsi="Arial" w:cs="Arial"/>
        </w:rPr>
        <w:t>2002;325:534-537 ( 7 September )</w:t>
      </w:r>
    </w:p>
    <w:p w14:paraId="5486C12E" w14:textId="77777777" w:rsidR="008D0565" w:rsidRPr="00D61F73" w:rsidRDefault="008D0565" w:rsidP="00D61F73">
      <w:pPr>
        <w:pStyle w:val="Footer"/>
        <w:tabs>
          <w:tab w:val="clear" w:pos="4320"/>
          <w:tab w:val="clear" w:pos="8640"/>
        </w:tabs>
        <w:rPr>
          <w:rFonts w:ascii="Arial" w:hAnsi="Arial" w:cs="Arial"/>
        </w:rPr>
      </w:pPr>
    </w:p>
    <w:p w14:paraId="50ADE9EF" w14:textId="77777777" w:rsidR="008D0565" w:rsidRPr="00D61F73" w:rsidRDefault="00751163" w:rsidP="00D61F73">
      <w:pPr>
        <w:pStyle w:val="Footer"/>
        <w:tabs>
          <w:tab w:val="clear" w:pos="4320"/>
          <w:tab w:val="clear" w:pos="8640"/>
        </w:tabs>
        <w:rPr>
          <w:rFonts w:ascii="Arial" w:hAnsi="Arial" w:cs="Arial"/>
        </w:rPr>
      </w:pPr>
      <w:hyperlink w:anchor="Mellin" w:history="1">
        <w:r w:rsidR="008D0565" w:rsidRPr="00D61F73">
          <w:rPr>
            <w:rStyle w:val="Hyperlink"/>
            <w:rFonts w:ascii="Arial" w:hAnsi="Arial" w:cs="Arial"/>
          </w:rPr>
          <w:t>Mellin G, Härkäpää K, Hurri H, Järvikoski A</w:t>
        </w:r>
      </w:hyperlink>
      <w:r w:rsidR="008D0565" w:rsidRPr="00D61F73">
        <w:rPr>
          <w:rFonts w:ascii="Arial" w:hAnsi="Arial" w:cs="Arial"/>
        </w:rPr>
        <w:t xml:space="preserve">. A controlled study on the outcome of inpatient and outpatient treatment of low back pain. Part IV. Long-term effects on physical measurements. </w:t>
      </w:r>
      <w:r w:rsidR="008D0565" w:rsidRPr="00D61F73">
        <w:rPr>
          <w:rFonts w:ascii="Arial" w:hAnsi="Arial" w:cs="Arial"/>
          <w:i/>
        </w:rPr>
        <w:t>Scand J Rehabil Med</w:t>
      </w:r>
      <w:r w:rsidR="008D0565" w:rsidRPr="00D61F73">
        <w:rPr>
          <w:rFonts w:ascii="Arial" w:hAnsi="Arial" w:cs="Arial"/>
        </w:rPr>
        <w:t>. 1990;22:189-94.</w:t>
      </w:r>
    </w:p>
    <w:p w14:paraId="3AF46911" w14:textId="77777777" w:rsidR="008D0565" w:rsidRPr="00D61F73" w:rsidRDefault="008D0565" w:rsidP="00D61F73">
      <w:pPr>
        <w:pStyle w:val="Footer"/>
        <w:tabs>
          <w:tab w:val="clear" w:pos="4320"/>
          <w:tab w:val="clear" w:pos="8640"/>
        </w:tabs>
        <w:rPr>
          <w:rFonts w:ascii="Arial" w:hAnsi="Arial" w:cs="Arial"/>
        </w:rPr>
      </w:pPr>
    </w:p>
    <w:p w14:paraId="4D6F7296" w14:textId="77777777" w:rsidR="008D0565" w:rsidRPr="00D61F73" w:rsidRDefault="00751163" w:rsidP="00D61F73">
      <w:pPr>
        <w:pStyle w:val="Footer"/>
        <w:tabs>
          <w:tab w:val="clear" w:pos="4320"/>
          <w:tab w:val="clear" w:pos="8640"/>
        </w:tabs>
        <w:rPr>
          <w:rFonts w:ascii="Arial" w:hAnsi="Arial" w:cs="Arial"/>
        </w:rPr>
      </w:pPr>
      <w:hyperlink w:anchor="Morley" w:history="1">
        <w:r w:rsidR="008D0565" w:rsidRPr="00D61F73">
          <w:rPr>
            <w:rStyle w:val="Hyperlink"/>
            <w:rFonts w:ascii="Arial" w:hAnsi="Arial" w:cs="Arial"/>
          </w:rPr>
          <w:t>Morley S, Eccleston C, Williams A</w:t>
        </w:r>
      </w:hyperlink>
      <w:r w:rsidR="008D0565" w:rsidRPr="00D61F73">
        <w:rPr>
          <w:rFonts w:ascii="Arial" w:hAnsi="Arial" w:cs="Arial"/>
        </w:rPr>
        <w:t xml:space="preserve">. Systematic review and meta-analysis of randomized controlled trials of cognitive behaviour therapy and behaviour therapy for chronic pain in adults, excluding headache. </w:t>
      </w:r>
      <w:r w:rsidR="008D0565" w:rsidRPr="00D61F73">
        <w:rPr>
          <w:rFonts w:ascii="Arial" w:hAnsi="Arial" w:cs="Arial"/>
          <w:i/>
        </w:rPr>
        <w:t>Pain</w:t>
      </w:r>
      <w:r w:rsidR="008D0565" w:rsidRPr="00D61F73">
        <w:rPr>
          <w:rFonts w:ascii="Arial" w:hAnsi="Arial" w:cs="Arial"/>
        </w:rPr>
        <w:t>. 1999 Mar;80(1-2):1-13.</w:t>
      </w:r>
    </w:p>
    <w:p w14:paraId="478BD449" w14:textId="77777777" w:rsidR="008D0565" w:rsidRPr="00D61F73" w:rsidRDefault="008D0565" w:rsidP="00D61F73">
      <w:pPr>
        <w:rPr>
          <w:rFonts w:ascii="Arial" w:hAnsi="Arial" w:cs="Arial"/>
        </w:rPr>
      </w:pPr>
    </w:p>
    <w:p w14:paraId="5A5BCEA8" w14:textId="77777777" w:rsidR="008D0565" w:rsidRPr="00D61F73" w:rsidRDefault="00751163" w:rsidP="00D61F73">
      <w:pPr>
        <w:pStyle w:val="Footer"/>
        <w:tabs>
          <w:tab w:val="clear" w:pos="4320"/>
          <w:tab w:val="clear" w:pos="8640"/>
        </w:tabs>
        <w:rPr>
          <w:rFonts w:ascii="Arial" w:hAnsi="Arial" w:cs="Arial"/>
        </w:rPr>
      </w:pPr>
      <w:hyperlink w:anchor="Ostelo" w:history="1">
        <w:r w:rsidR="008D0565" w:rsidRPr="00D61F73">
          <w:rPr>
            <w:rStyle w:val="Hyperlink"/>
            <w:rFonts w:ascii="Arial" w:hAnsi="Arial" w:cs="Arial"/>
          </w:rPr>
          <w:t>Ostelo RW, van Tulder MW, Vlaeyen JW, Linton SJ, Morley SJ, Assendelft WJ.</w:t>
        </w:r>
      </w:hyperlink>
      <w:r w:rsidR="008D0565" w:rsidRPr="00D61F73">
        <w:rPr>
          <w:rFonts w:ascii="Arial" w:hAnsi="Arial" w:cs="Arial"/>
        </w:rPr>
        <w:t xml:space="preserve"> Behavioural treatment for chronic low-back pain. </w:t>
      </w:r>
      <w:r w:rsidR="008D0565" w:rsidRPr="00D61F73">
        <w:rPr>
          <w:rFonts w:ascii="Arial" w:hAnsi="Arial" w:cs="Arial"/>
          <w:i/>
        </w:rPr>
        <w:t>Cochrane Database Syst Rev</w:t>
      </w:r>
      <w:r w:rsidR="008D0565" w:rsidRPr="00D61F73">
        <w:rPr>
          <w:rFonts w:ascii="Arial" w:hAnsi="Arial" w:cs="Arial"/>
        </w:rPr>
        <w:t>. 2005 Jan 25;(1):CD002014.</w:t>
      </w:r>
    </w:p>
    <w:p w14:paraId="0F13F094" w14:textId="77777777" w:rsidR="008D0565" w:rsidRPr="00D61F73" w:rsidRDefault="008D0565" w:rsidP="00D61F73">
      <w:pPr>
        <w:pStyle w:val="Footer"/>
        <w:tabs>
          <w:tab w:val="clear" w:pos="4320"/>
          <w:tab w:val="clear" w:pos="8640"/>
        </w:tabs>
        <w:rPr>
          <w:rFonts w:ascii="Arial" w:hAnsi="Arial" w:cs="Arial"/>
        </w:rPr>
      </w:pPr>
    </w:p>
    <w:p w14:paraId="0B0126AD" w14:textId="77777777" w:rsidR="008D0565" w:rsidRPr="00D61F73" w:rsidRDefault="00751163" w:rsidP="00D61F73">
      <w:pPr>
        <w:pStyle w:val="Footer"/>
        <w:tabs>
          <w:tab w:val="clear" w:pos="4320"/>
          <w:tab w:val="clear" w:pos="8640"/>
        </w:tabs>
        <w:rPr>
          <w:rFonts w:ascii="Arial" w:hAnsi="Arial" w:cs="Arial"/>
          <w:b/>
        </w:rPr>
      </w:pPr>
      <w:hyperlink w:anchor="Otis" w:history="1">
        <w:r w:rsidR="008D0565" w:rsidRPr="00D61F73">
          <w:rPr>
            <w:rStyle w:val="Hyperlink"/>
            <w:rFonts w:ascii="Arial" w:hAnsi="Arial" w:cs="Arial"/>
          </w:rPr>
          <w:t>Otis JD, Macdonald A, Dobscha SK</w:t>
        </w:r>
      </w:hyperlink>
      <w:r w:rsidR="008D0565" w:rsidRPr="00D61F73">
        <w:rPr>
          <w:rFonts w:ascii="Arial" w:hAnsi="Arial" w:cs="Arial"/>
        </w:rPr>
        <w:t xml:space="preserve">. Integration and coordination of pain management in primary care. </w:t>
      </w:r>
      <w:r w:rsidR="008D0565" w:rsidRPr="00D61F73">
        <w:rPr>
          <w:rFonts w:ascii="Arial" w:hAnsi="Arial" w:cs="Arial"/>
          <w:i/>
        </w:rPr>
        <w:t>J Clin Psychol</w:t>
      </w:r>
      <w:r w:rsidR="008D0565" w:rsidRPr="00D61F73">
        <w:rPr>
          <w:rFonts w:ascii="Arial" w:hAnsi="Arial" w:cs="Arial"/>
        </w:rPr>
        <w:t>. 2006 Aug 25; [Epub ahead of print</w:t>
      </w:r>
      <w:r w:rsidR="008D0565" w:rsidRPr="00D61F73">
        <w:rPr>
          <w:rFonts w:ascii="Arial" w:hAnsi="Arial" w:cs="Arial"/>
          <w:b/>
        </w:rPr>
        <w:t>]</w:t>
      </w:r>
    </w:p>
    <w:p w14:paraId="46356435" w14:textId="77777777" w:rsidR="008D0565" w:rsidRPr="00D61F73" w:rsidRDefault="008D0565" w:rsidP="00D61F73">
      <w:pPr>
        <w:pStyle w:val="Footer"/>
        <w:tabs>
          <w:tab w:val="clear" w:pos="4320"/>
          <w:tab w:val="clear" w:pos="8640"/>
        </w:tabs>
        <w:rPr>
          <w:rFonts w:ascii="Arial" w:hAnsi="Arial" w:cs="Arial"/>
        </w:rPr>
      </w:pPr>
    </w:p>
    <w:p w14:paraId="09522949" w14:textId="77777777" w:rsidR="008D0565" w:rsidRPr="00D61F73" w:rsidRDefault="00751163" w:rsidP="00D61F73">
      <w:pPr>
        <w:rPr>
          <w:rFonts w:ascii="Arial" w:hAnsi="Arial" w:cs="Arial"/>
          <w:lang w:val="es-MX"/>
        </w:rPr>
      </w:pPr>
      <w:hyperlink w:anchor="Patrick" w:history="1">
        <w:r w:rsidR="008D0565" w:rsidRPr="00D61F73">
          <w:rPr>
            <w:rStyle w:val="Hyperlink"/>
            <w:rFonts w:ascii="Arial" w:hAnsi="Arial" w:cs="Arial"/>
          </w:rPr>
          <w:t>Patrick LE, Altmaier EM, Found EM</w:t>
        </w:r>
      </w:hyperlink>
      <w:r w:rsidR="008D0565" w:rsidRPr="00D61F73">
        <w:rPr>
          <w:rFonts w:ascii="Arial" w:hAnsi="Arial" w:cs="Arial"/>
        </w:rPr>
        <w:t xml:space="preserve">. Long-term outcomes in multidisciplinary treatment of chronic low back pain: results of a 13-year follow-up. </w:t>
      </w:r>
      <w:r w:rsidR="008D0565" w:rsidRPr="00D61F73">
        <w:rPr>
          <w:rFonts w:ascii="Arial" w:hAnsi="Arial" w:cs="Arial"/>
          <w:i/>
          <w:iCs/>
          <w:lang w:val="es-MX"/>
        </w:rPr>
        <w:t>Spine.</w:t>
      </w:r>
      <w:r w:rsidR="008D0565" w:rsidRPr="00D61F73">
        <w:rPr>
          <w:rFonts w:ascii="Arial" w:hAnsi="Arial" w:cs="Arial"/>
          <w:lang w:val="es-MX"/>
        </w:rPr>
        <w:t xml:space="preserve"> 2004 Apr 15;29(8):850-5.</w:t>
      </w:r>
    </w:p>
    <w:p w14:paraId="30069BCE" w14:textId="77777777" w:rsidR="008D0565" w:rsidRPr="00D61F73" w:rsidRDefault="008D0565" w:rsidP="00D61F73">
      <w:pPr>
        <w:pStyle w:val="Footer"/>
        <w:tabs>
          <w:tab w:val="clear" w:pos="4320"/>
          <w:tab w:val="clear" w:pos="8640"/>
        </w:tabs>
        <w:rPr>
          <w:rFonts w:ascii="Arial" w:hAnsi="Arial" w:cs="Arial"/>
          <w:lang w:val="es-MX"/>
        </w:rPr>
      </w:pPr>
    </w:p>
    <w:p w14:paraId="0893EFDA" w14:textId="77777777" w:rsidR="008D0565" w:rsidRPr="00D61F73" w:rsidRDefault="00751163" w:rsidP="00D61F73">
      <w:pPr>
        <w:pStyle w:val="Footer"/>
        <w:tabs>
          <w:tab w:val="clear" w:pos="4320"/>
          <w:tab w:val="clear" w:pos="8640"/>
        </w:tabs>
        <w:rPr>
          <w:rFonts w:ascii="Arial" w:hAnsi="Arial" w:cs="Arial"/>
        </w:rPr>
      </w:pPr>
      <w:hyperlink w:anchor="Poleshuck" w:history="1">
        <w:r w:rsidR="008D0565" w:rsidRPr="00D61F73">
          <w:rPr>
            <w:rStyle w:val="Hyperlink"/>
            <w:rFonts w:ascii="Arial" w:hAnsi="Arial" w:cs="Arial"/>
            <w:lang w:val="es-MX"/>
          </w:rPr>
          <w:t>Poleshuck EL, Bair MJ, Kroenke K, Damush TM, Tu W, Wu J, Krebs EE, Giles DE.</w:t>
        </w:r>
      </w:hyperlink>
      <w:r w:rsidR="008D0565" w:rsidRPr="00D61F73">
        <w:rPr>
          <w:rFonts w:ascii="Arial" w:hAnsi="Arial" w:cs="Arial"/>
          <w:lang w:val="es-MX"/>
        </w:rPr>
        <w:t xml:space="preserve"> </w:t>
      </w:r>
      <w:r w:rsidR="008D0565" w:rsidRPr="00D61F73">
        <w:rPr>
          <w:rFonts w:ascii="Arial" w:hAnsi="Arial" w:cs="Arial"/>
        </w:rPr>
        <w:t xml:space="preserve">Psychosocial stress and anxiety in musculoskeletal pain patients with and without depression. </w:t>
      </w:r>
      <w:r w:rsidR="008D0565" w:rsidRPr="00D61F73">
        <w:rPr>
          <w:rFonts w:ascii="Arial" w:hAnsi="Arial" w:cs="Arial"/>
          <w:i/>
        </w:rPr>
        <w:t>Gen Hosp Psychiatry</w:t>
      </w:r>
      <w:r w:rsidR="008D0565" w:rsidRPr="00D61F73">
        <w:rPr>
          <w:rFonts w:ascii="Arial" w:hAnsi="Arial" w:cs="Arial"/>
        </w:rPr>
        <w:t>. 2009;31:116-22.</w:t>
      </w:r>
    </w:p>
    <w:p w14:paraId="2E6532A6" w14:textId="77777777" w:rsidR="008D0565" w:rsidRPr="00D61F73" w:rsidRDefault="008D0565" w:rsidP="00D61F73">
      <w:pPr>
        <w:pStyle w:val="Footer"/>
        <w:tabs>
          <w:tab w:val="clear" w:pos="4320"/>
          <w:tab w:val="clear" w:pos="8640"/>
        </w:tabs>
        <w:rPr>
          <w:rFonts w:ascii="Arial" w:hAnsi="Arial" w:cs="Arial"/>
        </w:rPr>
      </w:pPr>
    </w:p>
    <w:p w14:paraId="7B54C379" w14:textId="77777777" w:rsidR="008D0565" w:rsidRPr="00D61F73" w:rsidRDefault="00751163" w:rsidP="00D61F73">
      <w:pPr>
        <w:pStyle w:val="Footer"/>
        <w:tabs>
          <w:tab w:val="clear" w:pos="4320"/>
          <w:tab w:val="clear" w:pos="8640"/>
        </w:tabs>
        <w:rPr>
          <w:rFonts w:ascii="Arial" w:hAnsi="Arial" w:cs="Arial"/>
        </w:rPr>
      </w:pPr>
      <w:hyperlink w:anchor="Proctor" w:history="1">
        <w:r w:rsidR="008D0565" w:rsidRPr="00D61F73">
          <w:rPr>
            <w:rStyle w:val="Hyperlink"/>
            <w:rFonts w:ascii="Arial" w:hAnsi="Arial" w:cs="Arial"/>
          </w:rPr>
          <w:t>Proctor TJ, Mayer TG, Gatchel RJ, McGeary DD</w:t>
        </w:r>
      </w:hyperlink>
      <w:r w:rsidR="008D0565" w:rsidRPr="00D61F73">
        <w:rPr>
          <w:rFonts w:ascii="Arial" w:hAnsi="Arial" w:cs="Arial"/>
        </w:rPr>
        <w:t xml:space="preserve">. Unremitting health-care-utilization outcomes of tertiary rehabilitation of patients with chronic musculoskeletal disorders. </w:t>
      </w:r>
      <w:r w:rsidR="008D0565" w:rsidRPr="00D61F73">
        <w:rPr>
          <w:rFonts w:ascii="Arial" w:hAnsi="Arial" w:cs="Arial"/>
          <w:i/>
        </w:rPr>
        <w:t>J Bone Joint Surg Am</w:t>
      </w:r>
      <w:r w:rsidR="008D0565" w:rsidRPr="00D61F73">
        <w:rPr>
          <w:rFonts w:ascii="Arial" w:hAnsi="Arial" w:cs="Arial"/>
        </w:rPr>
        <w:t>. 2004;86:62-9.</w:t>
      </w:r>
    </w:p>
    <w:p w14:paraId="7DDBE97F" w14:textId="77777777" w:rsidR="008D0565" w:rsidRPr="00D61F73" w:rsidRDefault="008D0565" w:rsidP="00D61F73">
      <w:pPr>
        <w:pStyle w:val="Footer"/>
        <w:tabs>
          <w:tab w:val="clear" w:pos="4320"/>
          <w:tab w:val="clear" w:pos="8640"/>
        </w:tabs>
        <w:rPr>
          <w:rFonts w:ascii="Arial" w:hAnsi="Arial" w:cs="Arial"/>
        </w:rPr>
      </w:pPr>
    </w:p>
    <w:p w14:paraId="7899A6BE" w14:textId="77777777" w:rsidR="008D0565" w:rsidRPr="00D61F73" w:rsidRDefault="00751163" w:rsidP="00D61F73">
      <w:pPr>
        <w:pStyle w:val="Footer"/>
        <w:tabs>
          <w:tab w:val="clear" w:pos="4320"/>
          <w:tab w:val="clear" w:pos="8640"/>
        </w:tabs>
        <w:rPr>
          <w:rFonts w:ascii="Arial" w:hAnsi="Arial" w:cs="Arial"/>
        </w:rPr>
      </w:pPr>
      <w:hyperlink w:anchor="Robinson2" w:history="1">
        <w:r w:rsidR="008D0565" w:rsidRPr="00D61F73">
          <w:rPr>
            <w:rStyle w:val="Hyperlink"/>
            <w:rFonts w:ascii="Arial" w:hAnsi="Arial" w:cs="Arial"/>
          </w:rPr>
          <w:t>Robinson JP, Fulton-Kehoe D, Franklin GM, Wu R,</w:t>
        </w:r>
      </w:hyperlink>
      <w:r w:rsidR="008D0565" w:rsidRPr="00D61F73">
        <w:rPr>
          <w:rFonts w:ascii="Arial" w:hAnsi="Arial" w:cs="Arial"/>
        </w:rPr>
        <w:t xml:space="preserve"> Multidisciplinary pain center outcomes in Washington State Workers' Compensation, </w:t>
      </w:r>
      <w:r w:rsidR="008D0565" w:rsidRPr="00D61F73">
        <w:rPr>
          <w:rFonts w:ascii="Arial" w:hAnsi="Arial" w:cs="Arial"/>
          <w:i/>
          <w:iCs/>
        </w:rPr>
        <w:t>J Occup Environ Med</w:t>
      </w:r>
      <w:r w:rsidR="008D0565" w:rsidRPr="00D61F73">
        <w:rPr>
          <w:rFonts w:ascii="Arial" w:hAnsi="Arial" w:cs="Arial"/>
        </w:rPr>
        <w:t>. 2004 May;46(5):473-8.</w:t>
      </w:r>
      <w:r w:rsidR="008D0565" w:rsidRPr="00D61F73">
        <w:rPr>
          <w:rFonts w:ascii="Arial" w:hAnsi="Arial" w:cs="Arial"/>
        </w:rPr>
        <w:br/>
      </w:r>
    </w:p>
    <w:p w14:paraId="399EBFBC" w14:textId="77777777" w:rsidR="008D0565" w:rsidRPr="00D61F73" w:rsidRDefault="00751163" w:rsidP="00D61F73">
      <w:pPr>
        <w:pStyle w:val="Footer"/>
        <w:tabs>
          <w:tab w:val="clear" w:pos="4320"/>
          <w:tab w:val="clear" w:pos="8640"/>
        </w:tabs>
        <w:rPr>
          <w:rFonts w:ascii="Arial" w:hAnsi="Arial" w:cs="Arial"/>
        </w:rPr>
      </w:pPr>
      <w:hyperlink w:anchor="Sanders" w:history="1">
        <w:r w:rsidR="008D0565" w:rsidRPr="00D61F73">
          <w:rPr>
            <w:rStyle w:val="Hyperlink"/>
            <w:rFonts w:ascii="Arial" w:hAnsi="Arial" w:cs="Arial"/>
          </w:rPr>
          <w:t>Sanders SH, Harden RN, Vicente PJ.</w:t>
        </w:r>
      </w:hyperlink>
      <w:r w:rsidR="008D0565" w:rsidRPr="00D61F73">
        <w:rPr>
          <w:rFonts w:ascii="Arial" w:hAnsi="Arial" w:cs="Arial"/>
        </w:rPr>
        <w:t xml:space="preserve"> Evidence-Based Clinical Practice Guidelines for Interdisciplinary Rehabilitation of Chronic Nonmalignant Pain Syndrome Patients. World Institute of Pain, </w:t>
      </w:r>
      <w:r w:rsidR="008D0565" w:rsidRPr="00D61F73">
        <w:rPr>
          <w:rFonts w:ascii="Arial" w:hAnsi="Arial" w:cs="Arial"/>
          <w:i/>
          <w:iCs/>
        </w:rPr>
        <w:t>Pain Practice</w:t>
      </w:r>
      <w:r w:rsidR="008D0565" w:rsidRPr="00D61F73">
        <w:rPr>
          <w:rFonts w:ascii="Arial" w:hAnsi="Arial" w:cs="Arial"/>
        </w:rPr>
        <w:t>, Volume 5, Issue 4, 2005 303–315.</w:t>
      </w:r>
    </w:p>
    <w:p w14:paraId="1A2E5AC1" w14:textId="77777777" w:rsidR="008D0565" w:rsidRPr="00D61F73" w:rsidRDefault="008D0565" w:rsidP="00D61F73">
      <w:pPr>
        <w:pStyle w:val="Footer"/>
        <w:tabs>
          <w:tab w:val="clear" w:pos="4320"/>
          <w:tab w:val="clear" w:pos="8640"/>
        </w:tabs>
        <w:rPr>
          <w:rFonts w:ascii="Arial" w:hAnsi="Arial" w:cs="Arial"/>
        </w:rPr>
      </w:pPr>
    </w:p>
    <w:p w14:paraId="7F5C4E37" w14:textId="77777777" w:rsidR="008D0565" w:rsidRPr="00D61F73" w:rsidRDefault="00751163" w:rsidP="00D61F73">
      <w:pPr>
        <w:pStyle w:val="Footer"/>
        <w:tabs>
          <w:tab w:val="clear" w:pos="4320"/>
          <w:tab w:val="clear" w:pos="8640"/>
        </w:tabs>
        <w:rPr>
          <w:rFonts w:ascii="Arial" w:hAnsi="Arial" w:cs="Arial"/>
        </w:rPr>
      </w:pPr>
      <w:hyperlink w:anchor="Schmidt2011" w:history="1">
        <w:r w:rsidR="008D0565" w:rsidRPr="00D61F73">
          <w:rPr>
            <w:rStyle w:val="Hyperlink"/>
            <w:rFonts w:ascii="Arial" w:hAnsi="Arial" w:cs="Arial"/>
          </w:rPr>
          <w:t>Schmidt S, Grossman P, Schwarzer B, Jena S, Naumann J, Walach H.</w:t>
        </w:r>
      </w:hyperlink>
      <w:r w:rsidR="008D0565" w:rsidRPr="00D61F73">
        <w:rPr>
          <w:rFonts w:ascii="Arial" w:hAnsi="Arial" w:cs="Arial"/>
        </w:rPr>
        <w:t xml:space="preserve"> Treating fibromyalgia with mindfulness-based stress reduction: results from a 3-armed randomized controlled trial. </w:t>
      </w:r>
      <w:r w:rsidR="008D0565" w:rsidRPr="00D61F73">
        <w:rPr>
          <w:rFonts w:ascii="Arial" w:hAnsi="Arial" w:cs="Arial"/>
          <w:i/>
          <w:iCs/>
        </w:rPr>
        <w:t>Pain.</w:t>
      </w:r>
      <w:r w:rsidR="008D0565" w:rsidRPr="00D61F73">
        <w:rPr>
          <w:rFonts w:ascii="Arial" w:hAnsi="Arial" w:cs="Arial"/>
        </w:rPr>
        <w:t xml:space="preserve"> 2011 Feb;152(2):361-9. Epub 2010 Dec 13.</w:t>
      </w:r>
    </w:p>
    <w:p w14:paraId="1331855A" w14:textId="77777777" w:rsidR="008D0565" w:rsidRPr="00D61F73" w:rsidRDefault="008D0565" w:rsidP="00D61F73">
      <w:pPr>
        <w:pStyle w:val="Footer"/>
        <w:tabs>
          <w:tab w:val="clear" w:pos="4320"/>
          <w:tab w:val="clear" w:pos="8640"/>
        </w:tabs>
        <w:rPr>
          <w:rFonts w:ascii="Arial" w:hAnsi="Arial" w:cs="Arial"/>
        </w:rPr>
      </w:pPr>
    </w:p>
    <w:p w14:paraId="6DD57A6D" w14:textId="77777777" w:rsidR="008D0565" w:rsidRPr="00D61F73" w:rsidRDefault="00751163" w:rsidP="00D61F73">
      <w:pPr>
        <w:rPr>
          <w:rFonts w:ascii="Arial" w:hAnsi="Arial" w:cs="Arial"/>
        </w:rPr>
      </w:pPr>
      <w:hyperlink w:anchor="Smeets" w:history="1">
        <w:r w:rsidR="008D0565" w:rsidRPr="00D61F73">
          <w:rPr>
            <w:rStyle w:val="Hyperlink"/>
            <w:rFonts w:ascii="Arial" w:hAnsi="Arial" w:cs="Arial"/>
          </w:rPr>
          <w:t>Smeets RJ, Vlaeyen JW, Hidding A, Kester AD, van der Heijden GJ, van Geel AC, Knottnerus JA.</w:t>
        </w:r>
      </w:hyperlink>
      <w:r w:rsidR="008D0565" w:rsidRPr="00D61F73">
        <w:rPr>
          <w:rFonts w:ascii="Arial" w:hAnsi="Arial" w:cs="Arial"/>
        </w:rPr>
        <w:t xml:space="preserve"> Active rehabilitation for chronic low back pain: Cognitive-behavioral, physical, or both? First direct post-treatment results from a randomized controlled trial. </w:t>
      </w:r>
      <w:r w:rsidR="008D0565" w:rsidRPr="00D61F73">
        <w:rPr>
          <w:rFonts w:ascii="Arial" w:hAnsi="Arial" w:cs="Arial"/>
          <w:i/>
          <w:iCs/>
        </w:rPr>
        <w:t>BMC Musculoskelet Disord</w:t>
      </w:r>
      <w:r w:rsidR="008D0565" w:rsidRPr="00D61F73">
        <w:rPr>
          <w:rFonts w:ascii="Arial" w:hAnsi="Arial" w:cs="Arial"/>
        </w:rPr>
        <w:t>. 2006 Jan 20;7(1):5.</w:t>
      </w:r>
    </w:p>
    <w:p w14:paraId="31C6924C" w14:textId="77777777" w:rsidR="008D0565" w:rsidRPr="00D61F73" w:rsidRDefault="008D0565" w:rsidP="00D61F73">
      <w:pPr>
        <w:pStyle w:val="Footer"/>
        <w:tabs>
          <w:tab w:val="clear" w:pos="4320"/>
          <w:tab w:val="clear" w:pos="8640"/>
        </w:tabs>
        <w:rPr>
          <w:rFonts w:ascii="Arial" w:hAnsi="Arial" w:cs="Arial"/>
        </w:rPr>
      </w:pPr>
    </w:p>
    <w:p w14:paraId="29E73A43" w14:textId="77777777" w:rsidR="008D0565" w:rsidRPr="00D61F73" w:rsidRDefault="00751163" w:rsidP="00D61F73">
      <w:pPr>
        <w:rPr>
          <w:rFonts w:ascii="Arial" w:hAnsi="Arial" w:cs="Arial"/>
        </w:rPr>
      </w:pPr>
      <w:hyperlink w:anchor="Sullivan2006a" w:history="1">
        <w:r w:rsidR="008D0565" w:rsidRPr="00D61F73">
          <w:rPr>
            <w:rStyle w:val="Hyperlink"/>
            <w:rFonts w:ascii="Arial" w:hAnsi="Arial" w:cs="Arial"/>
          </w:rPr>
          <w:t>Sullivan MJ, Adams H, Rhodenizer T, Stanish WD</w:t>
        </w:r>
      </w:hyperlink>
      <w:r w:rsidR="008D0565" w:rsidRPr="00D61F73">
        <w:rPr>
          <w:rFonts w:ascii="Arial" w:hAnsi="Arial" w:cs="Arial"/>
        </w:rPr>
        <w:t xml:space="preserve">. A psychosocial risk factor--targeted intervention for the prevention of chronic pain and disability following whiplash injury. </w:t>
      </w:r>
      <w:r w:rsidR="008D0565" w:rsidRPr="00D61F73">
        <w:rPr>
          <w:rFonts w:ascii="Arial" w:hAnsi="Arial" w:cs="Arial"/>
          <w:i/>
          <w:iCs/>
        </w:rPr>
        <w:t>Phys Ther</w:t>
      </w:r>
      <w:r w:rsidR="008D0565" w:rsidRPr="00D61F73">
        <w:rPr>
          <w:rFonts w:ascii="Arial" w:hAnsi="Arial" w:cs="Arial"/>
        </w:rPr>
        <w:t>. 2006 Jan;86(1):8-18.</w:t>
      </w:r>
    </w:p>
    <w:p w14:paraId="26B2EF36" w14:textId="77777777" w:rsidR="008D0565" w:rsidRPr="00D61F73" w:rsidRDefault="008D0565" w:rsidP="00D61F73">
      <w:pPr>
        <w:pStyle w:val="Footer"/>
        <w:tabs>
          <w:tab w:val="clear" w:pos="4320"/>
          <w:tab w:val="clear" w:pos="8640"/>
        </w:tabs>
        <w:rPr>
          <w:rFonts w:ascii="Arial" w:hAnsi="Arial" w:cs="Arial"/>
        </w:rPr>
      </w:pPr>
    </w:p>
    <w:p w14:paraId="398FC069" w14:textId="77777777" w:rsidR="008D0565" w:rsidRPr="00D61F73" w:rsidRDefault="00751163" w:rsidP="00D61F73">
      <w:pPr>
        <w:rPr>
          <w:rFonts w:ascii="Arial" w:hAnsi="Arial" w:cs="Arial"/>
        </w:rPr>
      </w:pPr>
      <w:hyperlink w:anchor="Sullivan2010" w:history="1">
        <w:r w:rsidR="008D0565" w:rsidRPr="00D61F73">
          <w:rPr>
            <w:rStyle w:val="Hyperlink"/>
            <w:rFonts w:ascii="Arial" w:hAnsi="Arial" w:cs="Arial"/>
          </w:rPr>
          <w:t>Sullivan MJ, Adams H</w:t>
        </w:r>
      </w:hyperlink>
      <w:r w:rsidR="008D0565" w:rsidRPr="00D61F73">
        <w:rPr>
          <w:rFonts w:ascii="Arial" w:hAnsi="Arial" w:cs="Arial"/>
        </w:rPr>
        <w:t xml:space="preserve">. Psychosocial treatment techniques to augment the impact of physiotherapy interventions for low back pain. </w:t>
      </w:r>
      <w:r w:rsidR="008D0565" w:rsidRPr="00D61F73">
        <w:rPr>
          <w:rFonts w:ascii="Arial" w:hAnsi="Arial" w:cs="Arial"/>
          <w:i/>
          <w:iCs/>
        </w:rPr>
        <w:t>Physiother Can</w:t>
      </w:r>
      <w:r w:rsidR="008D0565" w:rsidRPr="00D61F73">
        <w:rPr>
          <w:rFonts w:ascii="Arial" w:hAnsi="Arial" w:cs="Arial"/>
        </w:rPr>
        <w:t>. 2010 Summer;62(3):180-9. doi: 10.3138/physio.62.3.180.</w:t>
      </w:r>
    </w:p>
    <w:p w14:paraId="5AD55528" w14:textId="77777777" w:rsidR="008D0565" w:rsidRPr="00D61F73" w:rsidRDefault="008D0565" w:rsidP="00D61F73">
      <w:pPr>
        <w:pStyle w:val="Footer"/>
        <w:tabs>
          <w:tab w:val="clear" w:pos="4320"/>
          <w:tab w:val="clear" w:pos="8640"/>
        </w:tabs>
        <w:rPr>
          <w:rFonts w:ascii="Arial" w:hAnsi="Arial" w:cs="Arial"/>
        </w:rPr>
      </w:pPr>
    </w:p>
    <w:p w14:paraId="4530D7A4" w14:textId="77777777" w:rsidR="008D0565" w:rsidRPr="00D61F73" w:rsidRDefault="00751163" w:rsidP="00D61F73">
      <w:pPr>
        <w:pStyle w:val="Footer"/>
        <w:tabs>
          <w:tab w:val="clear" w:pos="4320"/>
          <w:tab w:val="clear" w:pos="8640"/>
        </w:tabs>
        <w:rPr>
          <w:rFonts w:ascii="Arial" w:hAnsi="Arial" w:cs="Arial"/>
        </w:rPr>
      </w:pPr>
      <w:hyperlink w:anchor="Townsend" w:history="1">
        <w:r w:rsidR="008D0565" w:rsidRPr="00D61F73">
          <w:rPr>
            <w:rStyle w:val="Hyperlink"/>
            <w:rFonts w:ascii="Arial" w:hAnsi="Arial" w:cs="Arial"/>
          </w:rPr>
          <w:t>Townsend CO, Bruce BK, Hooten WM, Rome JD</w:t>
        </w:r>
      </w:hyperlink>
      <w:r w:rsidR="008D0565" w:rsidRPr="00D61F73">
        <w:rPr>
          <w:rFonts w:ascii="Arial" w:hAnsi="Arial" w:cs="Arial"/>
        </w:rPr>
        <w:t xml:space="preserve">. The role of mental health professionals in multidisciplinary pain rehabilitation programs. </w:t>
      </w:r>
      <w:r w:rsidR="008D0565" w:rsidRPr="00D61F73">
        <w:rPr>
          <w:rFonts w:ascii="Arial" w:hAnsi="Arial" w:cs="Arial"/>
          <w:i/>
        </w:rPr>
        <w:t>J Clin Psychol</w:t>
      </w:r>
      <w:r w:rsidR="008D0565" w:rsidRPr="00D61F73">
        <w:rPr>
          <w:rFonts w:ascii="Arial" w:hAnsi="Arial" w:cs="Arial"/>
        </w:rPr>
        <w:t xml:space="preserve">. 2006 Aug 25; [Epub ahead of print] </w:t>
      </w:r>
    </w:p>
    <w:p w14:paraId="7DCD8EEF" w14:textId="77777777" w:rsidR="008D0565" w:rsidRPr="00D61F73" w:rsidRDefault="008D0565" w:rsidP="00D61F73">
      <w:pPr>
        <w:pStyle w:val="Footer"/>
        <w:tabs>
          <w:tab w:val="clear" w:pos="4320"/>
          <w:tab w:val="clear" w:pos="8640"/>
        </w:tabs>
        <w:rPr>
          <w:rFonts w:ascii="Arial" w:hAnsi="Arial" w:cs="Arial"/>
        </w:rPr>
      </w:pPr>
    </w:p>
    <w:p w14:paraId="51F1574A" w14:textId="77777777" w:rsidR="008D0565" w:rsidRPr="00D61F73" w:rsidRDefault="00751163" w:rsidP="00D61F73">
      <w:pPr>
        <w:pStyle w:val="Footer"/>
        <w:tabs>
          <w:tab w:val="clear" w:pos="4320"/>
          <w:tab w:val="clear" w:pos="8640"/>
        </w:tabs>
        <w:rPr>
          <w:rFonts w:ascii="Arial" w:hAnsi="Arial" w:cs="Arial"/>
        </w:rPr>
      </w:pPr>
      <w:hyperlink w:anchor="van" w:history="1">
        <w:r w:rsidR="008D0565" w:rsidRPr="007F3D6C">
          <w:rPr>
            <w:rStyle w:val="Hyperlink"/>
            <w:rFonts w:ascii="Arial" w:hAnsi="Arial" w:cs="Arial"/>
          </w:rPr>
          <w:t>van Geen JW, Edelaar MJ, Janssen M, van Eijk JT</w:t>
        </w:r>
      </w:hyperlink>
      <w:r w:rsidR="008D0565" w:rsidRPr="007F3D6C">
        <w:rPr>
          <w:rFonts w:ascii="Arial" w:hAnsi="Arial" w:cs="Arial"/>
        </w:rPr>
        <w:t xml:space="preserve">. </w:t>
      </w:r>
      <w:r w:rsidR="008D0565" w:rsidRPr="00D61F73">
        <w:rPr>
          <w:rFonts w:ascii="Arial" w:hAnsi="Arial" w:cs="Arial"/>
        </w:rPr>
        <w:t xml:space="preserve">The long-term effect of multidisciplinary back training: a systematic review. </w:t>
      </w:r>
      <w:r w:rsidR="008D0565" w:rsidRPr="00D61F73">
        <w:rPr>
          <w:rFonts w:ascii="Arial" w:hAnsi="Arial" w:cs="Arial"/>
          <w:i/>
        </w:rPr>
        <w:t>Spine</w:t>
      </w:r>
      <w:r w:rsidR="008D0565" w:rsidRPr="00D61F73">
        <w:rPr>
          <w:rFonts w:ascii="Arial" w:hAnsi="Arial" w:cs="Arial"/>
        </w:rPr>
        <w:t>. 2007;32:249-55.</w:t>
      </w:r>
    </w:p>
    <w:p w14:paraId="32AEA473" w14:textId="77777777" w:rsidR="008D0565" w:rsidRPr="00D61F73" w:rsidRDefault="008D0565" w:rsidP="00D61F73">
      <w:pPr>
        <w:pStyle w:val="Footer"/>
        <w:tabs>
          <w:tab w:val="clear" w:pos="4320"/>
          <w:tab w:val="clear" w:pos="8640"/>
        </w:tabs>
        <w:rPr>
          <w:rFonts w:ascii="Arial" w:hAnsi="Arial" w:cs="Arial"/>
        </w:rPr>
      </w:pPr>
    </w:p>
    <w:p w14:paraId="70E79F33" w14:textId="77777777" w:rsidR="008D0565" w:rsidRPr="00D61F73" w:rsidRDefault="00751163" w:rsidP="00D61F73">
      <w:pPr>
        <w:rPr>
          <w:rFonts w:ascii="Arial" w:hAnsi="Arial" w:cs="Arial"/>
        </w:rPr>
      </w:pPr>
      <w:hyperlink w:anchor="Lankveld" w:history="1">
        <w:r w:rsidR="008D0565" w:rsidRPr="00D61F73">
          <w:rPr>
            <w:rStyle w:val="Hyperlink"/>
            <w:rFonts w:ascii="Arial" w:hAnsi="Arial" w:cs="Arial"/>
          </w:rPr>
          <w:t>van Lankveld W, Naring G, van’t Pad Bosch P, et al</w:t>
        </w:r>
      </w:hyperlink>
      <w:r w:rsidR="008D0565" w:rsidRPr="00D61F73">
        <w:rPr>
          <w:rFonts w:ascii="Arial" w:hAnsi="Arial" w:cs="Arial"/>
        </w:rPr>
        <w:t xml:space="preserve">. The Negative Effect of Decreasing the Level of Activity in Coping with Pain in Rheumatoid Arthritis: An Increase in Psychological Distress and Disease Impact. </w:t>
      </w:r>
      <w:r w:rsidR="008D0565" w:rsidRPr="00D61F73">
        <w:rPr>
          <w:rFonts w:ascii="Arial" w:hAnsi="Arial" w:cs="Arial"/>
          <w:i/>
          <w:iCs/>
        </w:rPr>
        <w:t>Journal of Behav Med</w:t>
      </w:r>
      <w:r w:rsidR="008D0565" w:rsidRPr="00D61F73">
        <w:rPr>
          <w:rFonts w:ascii="Arial" w:hAnsi="Arial" w:cs="Arial"/>
        </w:rPr>
        <w:t xml:space="preserve"> 2000;23(4):377-391.</w:t>
      </w:r>
    </w:p>
    <w:p w14:paraId="4F7FD21F" w14:textId="77777777" w:rsidR="0020680F" w:rsidRPr="00D61F73" w:rsidRDefault="0020680F" w:rsidP="00D61F73">
      <w:pPr>
        <w:rPr>
          <w:rFonts w:ascii="Arial" w:hAnsi="Arial" w:cs="Arial"/>
        </w:rPr>
      </w:pPr>
    </w:p>
    <w:p w14:paraId="00D3560D" w14:textId="77777777" w:rsidR="008D0565" w:rsidRPr="00D61F73" w:rsidRDefault="008D0565" w:rsidP="00D61F73">
      <w:pPr>
        <w:rPr>
          <w:rFonts w:ascii="Arial" w:hAnsi="Arial" w:cs="Arial"/>
        </w:rPr>
      </w:pPr>
    </w:p>
    <w:p w14:paraId="4698E134" w14:textId="77777777" w:rsidR="008D0565" w:rsidRPr="00D61F73" w:rsidRDefault="008D0565" w:rsidP="00D61F73">
      <w:pPr>
        <w:pStyle w:val="xl23"/>
        <w:spacing w:before="0" w:beforeAutospacing="0" w:after="0" w:afterAutospacing="0"/>
      </w:pPr>
      <w:r w:rsidRPr="00D61F73">
        <w:rPr>
          <w:b/>
          <w:bCs/>
        </w:rPr>
        <w:lastRenderedPageBreak/>
        <w:t>R</w:t>
      </w:r>
      <w:bookmarkStart w:id="421" w:name="REFLEXSYMPATHETICDYSTROPHYCOMPLEXRE"/>
      <w:bookmarkEnd w:id="421"/>
      <w:r w:rsidRPr="00D61F73">
        <w:rPr>
          <w:b/>
          <w:bCs/>
        </w:rPr>
        <w:t>EFLEX SYMPATHETIC DYSTROPHY/ COMPLEX REGIONAL PAIN SYNDROME</w:t>
      </w:r>
    </w:p>
    <w:p w14:paraId="72044F5F" w14:textId="77777777" w:rsidR="008D0565" w:rsidRPr="00D61F73" w:rsidRDefault="008D0565" w:rsidP="00D61F73">
      <w:pPr>
        <w:rPr>
          <w:rFonts w:ascii="Arial" w:hAnsi="Arial" w:cs="Arial"/>
        </w:rPr>
      </w:pPr>
    </w:p>
    <w:p w14:paraId="2A65DFC2" w14:textId="77777777" w:rsidR="008D0565" w:rsidRPr="00D61F73" w:rsidRDefault="00751163" w:rsidP="00D61F73">
      <w:pPr>
        <w:rPr>
          <w:rFonts w:ascii="Arial" w:hAnsi="Arial" w:cs="Arial"/>
        </w:rPr>
      </w:pPr>
      <w:hyperlink w:anchor="Akeson1987" w:history="1">
        <w:r w:rsidR="008D0565" w:rsidRPr="00D61F73">
          <w:rPr>
            <w:rStyle w:val="Hyperlink"/>
            <w:rFonts w:ascii="Arial" w:hAnsi="Arial" w:cs="Arial"/>
          </w:rPr>
          <w:t>Akeson WH, Amiel D, Abel MF, Garfin SR, Woo SL</w:t>
        </w:r>
      </w:hyperlink>
      <w:r w:rsidR="008D0565" w:rsidRPr="00D61F73">
        <w:rPr>
          <w:rFonts w:ascii="Arial" w:hAnsi="Arial" w:cs="Arial"/>
        </w:rPr>
        <w:t xml:space="preserve">. Effects of immobilization on joints. </w:t>
      </w:r>
      <w:r w:rsidR="008D0565" w:rsidRPr="00D61F73">
        <w:rPr>
          <w:rFonts w:ascii="Arial" w:hAnsi="Arial" w:cs="Arial"/>
          <w:i/>
        </w:rPr>
        <w:t>Clin Orthop Relat Res</w:t>
      </w:r>
      <w:r w:rsidR="008D0565" w:rsidRPr="00D61F73">
        <w:rPr>
          <w:rFonts w:ascii="Arial" w:hAnsi="Arial" w:cs="Arial"/>
        </w:rPr>
        <w:t>. 1987:28-37.</w:t>
      </w:r>
    </w:p>
    <w:p w14:paraId="2145CCDA" w14:textId="77777777" w:rsidR="008D0565" w:rsidRPr="00D61F73" w:rsidRDefault="008D0565" w:rsidP="00D61F73">
      <w:pPr>
        <w:rPr>
          <w:rFonts w:ascii="Arial" w:hAnsi="Arial" w:cs="Arial"/>
        </w:rPr>
      </w:pPr>
    </w:p>
    <w:p w14:paraId="0DD08397" w14:textId="77777777" w:rsidR="008D0565" w:rsidRPr="00D61F73" w:rsidRDefault="00751163" w:rsidP="00D61F73">
      <w:pPr>
        <w:rPr>
          <w:rFonts w:ascii="Arial" w:hAnsi="Arial" w:cs="Arial"/>
          <w:color w:val="auto"/>
        </w:rPr>
      </w:pPr>
      <w:hyperlink w:anchor="Albazaz2008" w:history="1">
        <w:r w:rsidR="008D0565" w:rsidRPr="00D61F73">
          <w:rPr>
            <w:rStyle w:val="Hyperlink"/>
            <w:rFonts w:ascii="Arial" w:hAnsi="Arial" w:cs="Arial"/>
          </w:rPr>
          <w:t>Albazaz R, Wong YT, Homer-Vanniasinkam S</w:t>
        </w:r>
      </w:hyperlink>
      <w:r w:rsidR="008D0565" w:rsidRPr="00D61F73">
        <w:rPr>
          <w:rFonts w:ascii="Arial" w:hAnsi="Arial" w:cs="Arial"/>
        </w:rPr>
        <w:t xml:space="preserve">. Complex regional pain syndrome: a review. </w:t>
      </w:r>
      <w:r w:rsidR="008D0565" w:rsidRPr="00D61F73">
        <w:rPr>
          <w:rFonts w:ascii="Arial" w:hAnsi="Arial" w:cs="Arial"/>
          <w:i/>
        </w:rPr>
        <w:t>Ann Vasc Surg.</w:t>
      </w:r>
      <w:r w:rsidR="008D0565" w:rsidRPr="00D61F73">
        <w:rPr>
          <w:rFonts w:ascii="Arial" w:hAnsi="Arial" w:cs="Arial"/>
        </w:rPr>
        <w:t xml:space="preserve"> 2008;22:297-306. </w:t>
      </w:r>
    </w:p>
    <w:p w14:paraId="1354FAC5" w14:textId="77777777" w:rsidR="008D0565" w:rsidRPr="00D61F73" w:rsidRDefault="008D0565" w:rsidP="00D61F73">
      <w:pPr>
        <w:rPr>
          <w:rFonts w:ascii="Arial" w:hAnsi="Arial" w:cs="Arial"/>
        </w:rPr>
      </w:pPr>
    </w:p>
    <w:p w14:paraId="3E2512E9" w14:textId="77777777" w:rsidR="008D0565" w:rsidRPr="00D61F73" w:rsidRDefault="00751163" w:rsidP="00D61F73">
      <w:pPr>
        <w:rPr>
          <w:rFonts w:ascii="Arial" w:hAnsi="Arial" w:cs="Arial"/>
        </w:rPr>
      </w:pPr>
      <w:hyperlink w:anchor="Beerthuizen2009" w:history="1">
        <w:r w:rsidR="008D0565" w:rsidRPr="00D61F73">
          <w:rPr>
            <w:rStyle w:val="Hyperlink"/>
            <w:rFonts w:ascii="Arial" w:hAnsi="Arial" w:cs="Arial"/>
          </w:rPr>
          <w:t>Beerthuizen A, van 't Spijker A, Huygen FJ, Klein J, de Wit R</w:t>
        </w:r>
      </w:hyperlink>
      <w:r w:rsidR="008D0565" w:rsidRPr="00D61F73">
        <w:rPr>
          <w:rFonts w:ascii="Arial" w:hAnsi="Arial" w:cs="Arial"/>
        </w:rPr>
        <w:t xml:space="preserve">. Is there an association between psychological factors and the Complex Regional Pain Syndrome type 1 (CRPS1) in adults? A systematic review. </w:t>
      </w:r>
      <w:r w:rsidR="008D0565" w:rsidRPr="00D61F73">
        <w:rPr>
          <w:rFonts w:ascii="Arial" w:hAnsi="Arial" w:cs="Arial"/>
          <w:i/>
        </w:rPr>
        <w:t>Pain.</w:t>
      </w:r>
      <w:r w:rsidR="008D0565" w:rsidRPr="00D61F73">
        <w:rPr>
          <w:rFonts w:ascii="Arial" w:hAnsi="Arial" w:cs="Arial"/>
        </w:rPr>
        <w:t xml:space="preserve"> 2009;145:52-9.</w:t>
      </w:r>
    </w:p>
    <w:p w14:paraId="2F534917" w14:textId="77777777" w:rsidR="008D0565" w:rsidRPr="00D61F73" w:rsidRDefault="008D0565" w:rsidP="00D61F73">
      <w:pPr>
        <w:rPr>
          <w:rFonts w:ascii="Arial" w:hAnsi="Arial" w:cs="Arial"/>
        </w:rPr>
      </w:pPr>
    </w:p>
    <w:p w14:paraId="2927C608" w14:textId="77777777" w:rsidR="008D0565" w:rsidRPr="00D61F73" w:rsidRDefault="00751163" w:rsidP="00D61F73">
      <w:pPr>
        <w:rPr>
          <w:rFonts w:ascii="Arial" w:hAnsi="Arial" w:cs="Arial"/>
        </w:rPr>
      </w:pPr>
      <w:hyperlink w:anchor="Beerthuizen2011" w:history="1">
        <w:r w:rsidR="008D0565" w:rsidRPr="00D61F73">
          <w:rPr>
            <w:rStyle w:val="Hyperlink"/>
            <w:rFonts w:ascii="Arial" w:hAnsi="Arial" w:cs="Arial"/>
          </w:rPr>
          <w:t>Beerthuizen A, Stronks DL, Huygen FJ, Passchier J, Klein J, Spijker AV</w:t>
        </w:r>
      </w:hyperlink>
      <w:r w:rsidR="008D0565" w:rsidRPr="00D61F73">
        <w:rPr>
          <w:rFonts w:ascii="Arial" w:hAnsi="Arial" w:cs="Arial"/>
        </w:rPr>
        <w:t xml:space="preserve">. The association between psychological factors and the development of complex regional pain syndrome type 1 (CRPS1)--a prospective multicenter study. </w:t>
      </w:r>
      <w:r w:rsidR="008D0565" w:rsidRPr="00D61F73">
        <w:rPr>
          <w:rFonts w:ascii="Arial" w:hAnsi="Arial" w:cs="Arial"/>
          <w:i/>
        </w:rPr>
        <w:t>Eur J Pain</w:t>
      </w:r>
      <w:r w:rsidR="008D0565" w:rsidRPr="00D61F73">
        <w:rPr>
          <w:rFonts w:ascii="Arial" w:hAnsi="Arial" w:cs="Arial"/>
        </w:rPr>
        <w:t>. 2011;15:971-5.</w:t>
      </w:r>
    </w:p>
    <w:p w14:paraId="75E4F01A" w14:textId="77777777" w:rsidR="008D0565" w:rsidRPr="00D61F73" w:rsidRDefault="008D0565" w:rsidP="00D61F73">
      <w:pPr>
        <w:rPr>
          <w:rFonts w:ascii="Arial" w:hAnsi="Arial" w:cs="Arial"/>
        </w:rPr>
      </w:pPr>
    </w:p>
    <w:p w14:paraId="6ADC156C" w14:textId="77777777" w:rsidR="008D0565" w:rsidRPr="00D61F73" w:rsidRDefault="00751163" w:rsidP="00D61F73">
      <w:pPr>
        <w:rPr>
          <w:rFonts w:ascii="Arial" w:hAnsi="Arial" w:cs="Arial"/>
        </w:rPr>
      </w:pPr>
      <w:hyperlink w:anchor="Birklein" w:history="1">
        <w:r w:rsidR="008D0565" w:rsidRPr="00D61F73">
          <w:rPr>
            <w:rStyle w:val="Hyperlink"/>
            <w:rFonts w:ascii="Arial" w:hAnsi="Arial" w:cs="Arial"/>
          </w:rPr>
          <w:t>Birklein F.</w:t>
        </w:r>
      </w:hyperlink>
      <w:r w:rsidR="008D0565" w:rsidRPr="00D61F73">
        <w:rPr>
          <w:rFonts w:ascii="Arial" w:hAnsi="Arial" w:cs="Arial"/>
        </w:rPr>
        <w:t xml:space="preserve"> Complex regional pain syndrome. </w:t>
      </w:r>
      <w:r w:rsidR="008D0565" w:rsidRPr="00D61F73">
        <w:rPr>
          <w:rFonts w:ascii="Arial" w:hAnsi="Arial" w:cs="Arial"/>
          <w:i/>
          <w:iCs/>
        </w:rPr>
        <w:t>J Neurol</w:t>
      </w:r>
      <w:r w:rsidR="008D0565" w:rsidRPr="00D61F73">
        <w:rPr>
          <w:rFonts w:ascii="Arial" w:hAnsi="Arial" w:cs="Arial"/>
        </w:rPr>
        <w:t>. 2005 Feb;252(2):131-8.</w:t>
      </w:r>
    </w:p>
    <w:p w14:paraId="182EB35E" w14:textId="77777777" w:rsidR="008D0565" w:rsidRPr="00D61F73" w:rsidRDefault="008D0565" w:rsidP="00D61F73">
      <w:pPr>
        <w:pStyle w:val="NormalWeb"/>
        <w:spacing w:before="0" w:beforeAutospacing="0" w:after="0" w:afterAutospacing="0"/>
        <w:rPr>
          <w:rFonts w:ascii="Arial" w:hAnsi="Arial" w:cs="Arial"/>
        </w:rPr>
      </w:pPr>
    </w:p>
    <w:p w14:paraId="52A3DC9D" w14:textId="77777777" w:rsidR="008D0565" w:rsidRPr="00D61F73" w:rsidRDefault="00751163" w:rsidP="00D61F73">
      <w:pPr>
        <w:pStyle w:val="NormalWeb"/>
        <w:spacing w:before="0" w:beforeAutospacing="0" w:after="0" w:afterAutospacing="0"/>
        <w:rPr>
          <w:rFonts w:ascii="Arial" w:hAnsi="Arial" w:cs="Arial"/>
        </w:rPr>
      </w:pPr>
      <w:hyperlink w:anchor="Bruehl2" w:history="1">
        <w:r w:rsidR="008D0565" w:rsidRPr="00D61F73">
          <w:rPr>
            <w:rStyle w:val="Hyperlink"/>
            <w:rFonts w:ascii="Arial" w:hAnsi="Arial" w:cs="Arial"/>
          </w:rPr>
          <w:t>Bruehl S, Harden RN, Galer BS, Saltz S, Bertram M, Backonja M, Gayles R, Rudin N, Bhugra MK, Stanton-Hicks M.</w:t>
        </w:r>
      </w:hyperlink>
      <w:r w:rsidR="008D0565" w:rsidRPr="00D61F73">
        <w:rPr>
          <w:rFonts w:ascii="Arial" w:hAnsi="Arial" w:cs="Arial"/>
        </w:rPr>
        <w:t xml:space="preserve"> External validation of IASP diagnostic criteria for Complex Regional Pain Syndrome and proposed research diagnostic criteria. International Association for the Study of Pain. </w:t>
      </w:r>
      <w:r w:rsidR="008D0565" w:rsidRPr="00D61F73">
        <w:rPr>
          <w:rFonts w:ascii="Arial" w:hAnsi="Arial" w:cs="Arial"/>
          <w:i/>
          <w:iCs/>
        </w:rPr>
        <w:t>Pain.</w:t>
      </w:r>
      <w:r w:rsidR="008D0565" w:rsidRPr="00D61F73">
        <w:rPr>
          <w:rFonts w:ascii="Arial" w:hAnsi="Arial" w:cs="Arial"/>
        </w:rPr>
        <w:t xml:space="preserve"> 1999 May;81(1-2):147-54.</w:t>
      </w:r>
    </w:p>
    <w:p w14:paraId="7353471A" w14:textId="77777777" w:rsidR="008D0565" w:rsidRPr="00D61F73" w:rsidRDefault="008D0565" w:rsidP="00D61F73">
      <w:pPr>
        <w:pStyle w:val="xl23"/>
        <w:spacing w:before="0" w:beforeAutospacing="0" w:after="0" w:afterAutospacing="0"/>
      </w:pPr>
    </w:p>
    <w:p w14:paraId="5CDBA901" w14:textId="77777777" w:rsidR="008D0565" w:rsidRPr="00D61F73" w:rsidRDefault="00751163" w:rsidP="00D61F73">
      <w:pPr>
        <w:pStyle w:val="xl23"/>
        <w:spacing w:before="0" w:beforeAutospacing="0" w:after="0" w:afterAutospacing="0"/>
      </w:pPr>
      <w:hyperlink w:anchor="Bruehl2010" w:history="1">
        <w:r w:rsidR="008D0565" w:rsidRPr="00D61F73">
          <w:rPr>
            <w:rStyle w:val="Hyperlink"/>
          </w:rPr>
          <w:t>Bruehl S</w:t>
        </w:r>
      </w:hyperlink>
      <w:r w:rsidR="008D0565" w:rsidRPr="00D61F73">
        <w:t xml:space="preserve">. An update on the pathophysiology of complex regional pain syndrome. </w:t>
      </w:r>
      <w:r w:rsidR="008D0565" w:rsidRPr="00D61F73">
        <w:rPr>
          <w:i/>
        </w:rPr>
        <w:t>Anesthesiology</w:t>
      </w:r>
      <w:r w:rsidR="008D0565" w:rsidRPr="00D61F73">
        <w:t>. 2010;113:713-25.</w:t>
      </w:r>
    </w:p>
    <w:p w14:paraId="71EF6F3D" w14:textId="77777777" w:rsidR="008D0565" w:rsidRPr="00D61F73" w:rsidRDefault="008D0565" w:rsidP="00D61F73">
      <w:pPr>
        <w:rPr>
          <w:rFonts w:ascii="Arial" w:eastAsia="Calibri" w:hAnsi="Arial" w:cs="Arial"/>
          <w:color w:val="auto"/>
        </w:rPr>
      </w:pPr>
    </w:p>
    <w:p w14:paraId="098B7C3D" w14:textId="77777777" w:rsidR="008D0565" w:rsidRPr="00D61F73" w:rsidRDefault="00751163" w:rsidP="00D61F73">
      <w:pPr>
        <w:rPr>
          <w:rFonts w:ascii="Arial" w:eastAsia="Calibri" w:hAnsi="Arial" w:cs="Arial"/>
        </w:rPr>
      </w:pPr>
      <w:hyperlink w:anchor="Cappello2012" w:history="1">
        <w:r w:rsidR="008D0565" w:rsidRPr="00D61F73">
          <w:rPr>
            <w:rStyle w:val="Hyperlink"/>
            <w:rFonts w:ascii="Arial" w:hAnsi="Arial" w:cs="Arial"/>
          </w:rPr>
          <w:t>Cappello ZJ, Kasdan ML, Louis DS.</w:t>
        </w:r>
      </w:hyperlink>
      <w:r w:rsidR="008D0565" w:rsidRPr="00D61F73">
        <w:rPr>
          <w:rFonts w:ascii="Arial" w:hAnsi="Arial" w:cs="Arial"/>
        </w:rPr>
        <w:t xml:space="preserve"> Meta-analysis of imaging techniques for the diagnosis of complex regional pain syndrome type I. </w:t>
      </w:r>
      <w:r w:rsidR="008D0565" w:rsidRPr="00D61F73">
        <w:rPr>
          <w:rFonts w:ascii="Arial" w:hAnsi="Arial" w:cs="Arial"/>
          <w:i/>
        </w:rPr>
        <w:t>J Hand Surg Am</w:t>
      </w:r>
      <w:r w:rsidR="008D0565" w:rsidRPr="00D61F73">
        <w:rPr>
          <w:rFonts w:ascii="Arial" w:hAnsi="Arial" w:cs="Arial"/>
        </w:rPr>
        <w:t>. 2012 ;37:288-96.</w:t>
      </w:r>
    </w:p>
    <w:p w14:paraId="4729D40D" w14:textId="77777777" w:rsidR="008D0565" w:rsidRPr="00D61F73" w:rsidRDefault="008D0565" w:rsidP="00D61F73">
      <w:pPr>
        <w:pStyle w:val="xl23"/>
        <w:spacing w:before="0" w:beforeAutospacing="0" w:after="0" w:afterAutospacing="0"/>
      </w:pPr>
    </w:p>
    <w:p w14:paraId="2AB8D0CA" w14:textId="77777777" w:rsidR="008D0565" w:rsidRPr="00D61F73" w:rsidRDefault="00751163" w:rsidP="00D61F73">
      <w:pPr>
        <w:pStyle w:val="xl23"/>
        <w:spacing w:before="0" w:beforeAutospacing="0" w:after="0" w:afterAutospacing="0"/>
      </w:pPr>
      <w:hyperlink w:anchor="Cooper2013a" w:history="1">
        <w:r w:rsidR="008D0565" w:rsidRPr="00D61F73">
          <w:rPr>
            <w:rStyle w:val="Hyperlink"/>
          </w:rPr>
          <w:t>Cooper MS, Clark VP.</w:t>
        </w:r>
      </w:hyperlink>
      <w:r w:rsidR="008D0565" w:rsidRPr="00D61F73">
        <w:t xml:space="preserve"> Neuroinflammation, neuroautoimmunity, and the co-morbidities of complex regional pain syndrome. </w:t>
      </w:r>
      <w:r w:rsidR="008D0565" w:rsidRPr="00D61F73">
        <w:rPr>
          <w:i/>
        </w:rPr>
        <w:t>J Neuroimmune Pharmacol</w:t>
      </w:r>
      <w:r w:rsidR="008D0565" w:rsidRPr="00D61F73">
        <w:t>. 2013;8:452-69.</w:t>
      </w:r>
    </w:p>
    <w:p w14:paraId="0F2E959A" w14:textId="77777777" w:rsidR="008D0565" w:rsidRPr="00D61F73" w:rsidRDefault="008D0565" w:rsidP="00D61F73">
      <w:pPr>
        <w:pStyle w:val="xl23"/>
        <w:spacing w:before="0" w:beforeAutospacing="0" w:after="0" w:afterAutospacing="0"/>
      </w:pPr>
    </w:p>
    <w:p w14:paraId="092DDB9D" w14:textId="77777777" w:rsidR="008D0565" w:rsidRPr="00D61F73" w:rsidRDefault="00751163" w:rsidP="00D61F73">
      <w:pPr>
        <w:pStyle w:val="xl23"/>
        <w:spacing w:before="0" w:beforeAutospacing="0" w:after="0" w:afterAutospacing="0"/>
      </w:pPr>
      <w:hyperlink w:anchor="deMos2009" w:history="1">
        <w:r w:rsidR="008D0565" w:rsidRPr="00D61F73">
          <w:rPr>
            <w:rStyle w:val="Hyperlink"/>
          </w:rPr>
          <w:t>de Mos M, Sturkenboom MC, Huygen FJ</w:t>
        </w:r>
      </w:hyperlink>
      <w:r w:rsidR="008D0565" w:rsidRPr="00D61F73">
        <w:t xml:space="preserve">. Current understandings on complex regional pain syndrome. </w:t>
      </w:r>
      <w:r w:rsidR="008D0565" w:rsidRPr="00D61F73">
        <w:rPr>
          <w:i/>
        </w:rPr>
        <w:t>Pain Pract</w:t>
      </w:r>
      <w:r w:rsidR="008D0565" w:rsidRPr="00D61F73">
        <w:t>. 2009;9:86-99.</w:t>
      </w:r>
    </w:p>
    <w:p w14:paraId="3F4EBF05" w14:textId="77777777" w:rsidR="008D0565" w:rsidRPr="00D61F73" w:rsidRDefault="008D0565" w:rsidP="00D61F73">
      <w:pPr>
        <w:rPr>
          <w:rFonts w:ascii="Arial" w:eastAsia="Calibri" w:hAnsi="Arial" w:cs="Arial"/>
          <w:color w:val="auto"/>
        </w:rPr>
      </w:pPr>
    </w:p>
    <w:p w14:paraId="4B030A5E" w14:textId="77777777" w:rsidR="008D0565" w:rsidRPr="00D61F73" w:rsidRDefault="00751163" w:rsidP="00D61F73">
      <w:pPr>
        <w:rPr>
          <w:rFonts w:ascii="Arial" w:eastAsia="Calibri" w:hAnsi="Arial" w:cs="Arial"/>
        </w:rPr>
      </w:pPr>
      <w:hyperlink w:anchor="Dworkin2013" w:history="1">
        <w:r w:rsidR="008D0565" w:rsidRPr="00D61F73">
          <w:rPr>
            <w:rStyle w:val="Hyperlink"/>
            <w:rFonts w:ascii="Arial" w:hAnsi="Arial" w:cs="Arial"/>
          </w:rPr>
          <w:t>Dworkin RH, O'Connor AB, Kent J, Mackey SC, Raja SN, Stacey BR, Levy RM, Backonja M, Baron R, Harke H, Loeser JD, Treede RD, Turk DC, Wells CD</w:t>
        </w:r>
      </w:hyperlink>
      <w:r w:rsidR="008D0565" w:rsidRPr="00D61F73">
        <w:rPr>
          <w:rFonts w:ascii="Arial" w:hAnsi="Arial" w:cs="Arial"/>
        </w:rPr>
        <w:t xml:space="preserve">. Interventional management of neuropathic pain: NeuPSIG recommendations. </w:t>
      </w:r>
      <w:r w:rsidR="008D0565" w:rsidRPr="00D61F73">
        <w:rPr>
          <w:rFonts w:ascii="Arial" w:hAnsi="Arial" w:cs="Arial"/>
          <w:i/>
        </w:rPr>
        <w:t>Pain</w:t>
      </w:r>
      <w:r w:rsidR="008D0565" w:rsidRPr="00D61F73">
        <w:rPr>
          <w:rFonts w:ascii="Arial" w:hAnsi="Arial" w:cs="Arial"/>
        </w:rPr>
        <w:t>. 2013. doi:pii: S0304-3959(13)00297-2.</w:t>
      </w:r>
    </w:p>
    <w:p w14:paraId="4EB19309" w14:textId="77777777" w:rsidR="008D0565" w:rsidRPr="00D61F73" w:rsidRDefault="008D0565" w:rsidP="00D61F73">
      <w:pPr>
        <w:pStyle w:val="xl23"/>
        <w:spacing w:before="0" w:beforeAutospacing="0" w:after="0" w:afterAutospacing="0"/>
      </w:pPr>
    </w:p>
    <w:p w14:paraId="0D62A6C6" w14:textId="77777777" w:rsidR="008D0565" w:rsidRPr="00D61F73" w:rsidRDefault="00751163" w:rsidP="00D61F73">
      <w:pPr>
        <w:pStyle w:val="NormalWeb"/>
        <w:spacing w:before="0" w:beforeAutospacing="0" w:after="0" w:afterAutospacing="0"/>
        <w:rPr>
          <w:rFonts w:ascii="Arial" w:hAnsi="Arial" w:cs="Arial"/>
        </w:rPr>
      </w:pPr>
      <w:hyperlink w:anchor="Galer" w:history="1">
        <w:r w:rsidR="008D0565" w:rsidRPr="00D61F73">
          <w:rPr>
            <w:rStyle w:val="Hyperlink"/>
            <w:rFonts w:ascii="Arial" w:hAnsi="Arial" w:cs="Arial"/>
          </w:rPr>
          <w:t>Galer BS, Bruehl S, Harden RN.</w:t>
        </w:r>
      </w:hyperlink>
      <w:r w:rsidR="008D0565" w:rsidRPr="00D61F73">
        <w:rPr>
          <w:rFonts w:ascii="Arial" w:hAnsi="Arial" w:cs="Arial"/>
        </w:rPr>
        <w:t xml:space="preserve"> IASP diagnostic criteria for complex regional pain syndrome: a preliminary empirical validation study. International Association for the Study of Pain. </w:t>
      </w:r>
      <w:r w:rsidR="008D0565" w:rsidRPr="00D61F73">
        <w:rPr>
          <w:rFonts w:ascii="Arial" w:hAnsi="Arial" w:cs="Arial"/>
          <w:i/>
          <w:iCs/>
        </w:rPr>
        <w:t>Clin J Pain.</w:t>
      </w:r>
      <w:r w:rsidR="008D0565" w:rsidRPr="00D61F73">
        <w:rPr>
          <w:rFonts w:ascii="Arial" w:hAnsi="Arial" w:cs="Arial"/>
        </w:rPr>
        <w:t xml:space="preserve"> 1998 Mar;14(1):48-54.</w:t>
      </w:r>
    </w:p>
    <w:p w14:paraId="1CA4BFFD" w14:textId="77777777" w:rsidR="008D0565" w:rsidRPr="00D61F73" w:rsidRDefault="008D0565" w:rsidP="00D61F73">
      <w:pPr>
        <w:pStyle w:val="xl23"/>
        <w:spacing w:before="0" w:beforeAutospacing="0" w:after="0" w:afterAutospacing="0"/>
      </w:pPr>
    </w:p>
    <w:p w14:paraId="77662061" w14:textId="77777777" w:rsidR="008D0565" w:rsidRPr="00D61F73" w:rsidRDefault="00751163" w:rsidP="00D61F73">
      <w:pPr>
        <w:rPr>
          <w:rFonts w:ascii="Arial" w:hAnsi="Arial" w:cs="Arial"/>
        </w:rPr>
      </w:pPr>
      <w:hyperlink w:anchor="Goebel2012" w:history="1">
        <w:r w:rsidR="008D0565" w:rsidRPr="00D61F73">
          <w:rPr>
            <w:rStyle w:val="Hyperlink"/>
            <w:rFonts w:ascii="Arial" w:hAnsi="Arial" w:cs="Arial"/>
          </w:rPr>
          <w:t>Goebel A, Barker CH, Turner-Stokes L, et al.</w:t>
        </w:r>
      </w:hyperlink>
      <w:r w:rsidR="008D0565" w:rsidRPr="00D61F73">
        <w:rPr>
          <w:rFonts w:ascii="Arial" w:hAnsi="Arial" w:cs="Arial"/>
        </w:rPr>
        <w:t xml:space="preserve"> Complex regional pain syndrome in adults: UK guidelines for diagnosis, referral and management in primary and secondary care. London: RCP, 2012.</w:t>
      </w:r>
    </w:p>
    <w:p w14:paraId="23F5106B" w14:textId="77777777" w:rsidR="008D0565" w:rsidRPr="00D61F73" w:rsidRDefault="008D0565" w:rsidP="00D61F73">
      <w:pPr>
        <w:rPr>
          <w:rFonts w:ascii="Arial" w:hAnsi="Arial" w:cs="Arial"/>
        </w:rPr>
      </w:pPr>
    </w:p>
    <w:p w14:paraId="0B8390FF" w14:textId="77777777" w:rsidR="008D0565" w:rsidRPr="00D61F73" w:rsidRDefault="00751163" w:rsidP="00D61F73">
      <w:pPr>
        <w:rPr>
          <w:rFonts w:ascii="Arial" w:hAnsi="Arial" w:cs="Arial"/>
        </w:rPr>
      </w:pPr>
      <w:hyperlink w:anchor="Grabow2" w:history="1">
        <w:r w:rsidR="008D0565" w:rsidRPr="00D61F73">
          <w:rPr>
            <w:rStyle w:val="Hyperlink"/>
            <w:rFonts w:ascii="Arial" w:hAnsi="Arial" w:cs="Arial"/>
          </w:rPr>
          <w:t>Grabow TS, Guarino Ah, Raja SN</w:t>
        </w:r>
      </w:hyperlink>
      <w:r w:rsidR="008D0565" w:rsidRPr="00D61F73">
        <w:rPr>
          <w:rFonts w:ascii="Arial" w:hAnsi="Arial" w:cs="Arial"/>
        </w:rPr>
        <w:t>. Complex regional pain syndromes: Diagnosis and treatment. In: Benzon HT, Raja SN, Molloy RE, Liu SS, Fishman SM. Essentials of Pain Medicine and Regional Anesthesia. 2nd ed. Elisevier, 2005.</w:t>
      </w:r>
    </w:p>
    <w:p w14:paraId="515E3BFC" w14:textId="77777777" w:rsidR="008D0565" w:rsidRPr="00D61F73" w:rsidRDefault="008D0565" w:rsidP="00D61F73">
      <w:pPr>
        <w:pStyle w:val="xl23"/>
        <w:spacing w:before="0" w:beforeAutospacing="0" w:after="0" w:afterAutospacing="0"/>
      </w:pPr>
    </w:p>
    <w:p w14:paraId="273018FA" w14:textId="77777777" w:rsidR="008D0565" w:rsidRPr="00D61F73" w:rsidRDefault="00751163" w:rsidP="00D61F73">
      <w:pPr>
        <w:rPr>
          <w:rFonts w:ascii="Arial" w:hAnsi="Arial" w:cs="Arial"/>
        </w:rPr>
      </w:pPr>
      <w:hyperlink w:anchor="Gradl2003" w:history="1">
        <w:r w:rsidR="008D0565" w:rsidRPr="00D61F73">
          <w:rPr>
            <w:rStyle w:val="Hyperlink"/>
            <w:rFonts w:ascii="Arial" w:hAnsi="Arial" w:cs="Arial"/>
          </w:rPr>
          <w:t>Gradl G, Steinborn M, Wizgall I, Mittlmeier T, Schürmann M.</w:t>
        </w:r>
      </w:hyperlink>
      <w:r w:rsidR="008D0565" w:rsidRPr="00D61F73">
        <w:rPr>
          <w:rFonts w:ascii="Arial" w:hAnsi="Arial" w:cs="Arial"/>
        </w:rPr>
        <w:t xml:space="preserve"> Acute CRPS I (morbus sudeck) following distal radial fractures--methods for early diagnosis. </w:t>
      </w:r>
      <w:r w:rsidR="008D0565" w:rsidRPr="00D61F73">
        <w:rPr>
          <w:rFonts w:ascii="Arial" w:hAnsi="Arial" w:cs="Arial"/>
          <w:i/>
          <w:iCs/>
        </w:rPr>
        <w:t>Zentralbl Chir.</w:t>
      </w:r>
      <w:r w:rsidR="008D0565" w:rsidRPr="00D61F73">
        <w:rPr>
          <w:rFonts w:ascii="Arial" w:hAnsi="Arial" w:cs="Arial"/>
        </w:rPr>
        <w:t xml:space="preserve"> 2003 Dec;128(12):1020-6.</w:t>
      </w:r>
    </w:p>
    <w:p w14:paraId="7B3AEDE8" w14:textId="77777777" w:rsidR="008D0565" w:rsidRPr="00D61F73" w:rsidRDefault="008D0565" w:rsidP="00D61F73">
      <w:pPr>
        <w:rPr>
          <w:rFonts w:ascii="Arial" w:hAnsi="Arial" w:cs="Arial"/>
        </w:rPr>
      </w:pPr>
    </w:p>
    <w:p w14:paraId="1EC5DB3D" w14:textId="77777777" w:rsidR="008D0565" w:rsidRPr="00D61F73" w:rsidRDefault="00751163" w:rsidP="00D61F73">
      <w:pPr>
        <w:rPr>
          <w:rFonts w:ascii="Arial" w:hAnsi="Arial" w:cs="Arial"/>
        </w:rPr>
      </w:pPr>
      <w:hyperlink w:anchor="Harden2" w:history="1">
        <w:r w:rsidR="008D0565" w:rsidRPr="00D61F73">
          <w:rPr>
            <w:rStyle w:val="Hyperlink"/>
            <w:rFonts w:ascii="Arial" w:hAnsi="Arial" w:cs="Arial"/>
          </w:rPr>
          <w:t>Harden RN, Bruehl S, Stanton-Hicks M, Wilson PR.</w:t>
        </w:r>
      </w:hyperlink>
      <w:r w:rsidR="008D0565" w:rsidRPr="00D61F73">
        <w:rPr>
          <w:rFonts w:ascii="Arial" w:hAnsi="Arial" w:cs="Arial"/>
        </w:rPr>
        <w:t xml:space="preserve"> Proposed new diagnostic criteria for complex regional pain syndrome. </w:t>
      </w:r>
      <w:r w:rsidR="008D0565" w:rsidRPr="00D61F73">
        <w:rPr>
          <w:rFonts w:ascii="Arial" w:hAnsi="Arial" w:cs="Arial"/>
          <w:i/>
          <w:iCs/>
        </w:rPr>
        <w:t>Pain Med</w:t>
      </w:r>
      <w:r w:rsidR="008D0565" w:rsidRPr="00D61F73">
        <w:rPr>
          <w:rFonts w:ascii="Arial" w:hAnsi="Arial" w:cs="Arial"/>
        </w:rPr>
        <w:t>. 2007 May-Jun;8(4):326-31.</w:t>
      </w:r>
    </w:p>
    <w:p w14:paraId="277873AD" w14:textId="77777777" w:rsidR="008D0565" w:rsidRPr="00D61F73" w:rsidRDefault="008D0565" w:rsidP="00D61F73">
      <w:pPr>
        <w:rPr>
          <w:rFonts w:ascii="Arial" w:hAnsi="Arial" w:cs="Arial"/>
          <w:color w:val="auto"/>
        </w:rPr>
      </w:pPr>
    </w:p>
    <w:p w14:paraId="52FA7662" w14:textId="77777777" w:rsidR="008D0565" w:rsidRPr="00D61F73" w:rsidRDefault="00751163" w:rsidP="00D61F73">
      <w:pPr>
        <w:rPr>
          <w:rFonts w:ascii="Arial" w:hAnsi="Arial" w:cs="Arial"/>
        </w:rPr>
      </w:pPr>
      <w:hyperlink w:anchor="Harden2013" w:history="1">
        <w:r w:rsidR="008D0565" w:rsidRPr="00D61F73">
          <w:rPr>
            <w:rStyle w:val="Hyperlink"/>
            <w:rFonts w:ascii="Arial" w:hAnsi="Arial" w:cs="Arial"/>
          </w:rPr>
          <w:t>Harden RN, Oaklander AL, Burton AW, Perez RS, Richardson K, Swan M, Barthel J, Costa B, Graciosa JR, Bruehl S.</w:t>
        </w:r>
      </w:hyperlink>
      <w:r w:rsidR="008D0565" w:rsidRPr="00D61F73">
        <w:rPr>
          <w:rFonts w:ascii="Arial" w:hAnsi="Arial" w:cs="Arial"/>
        </w:rPr>
        <w:t xml:space="preserve"> Complex regional pain syndrome: practical diagnostic and treatment guidelines, 4th edition. </w:t>
      </w:r>
      <w:r w:rsidR="008D0565" w:rsidRPr="00D61F73">
        <w:rPr>
          <w:rFonts w:ascii="Arial" w:hAnsi="Arial" w:cs="Arial"/>
          <w:i/>
          <w:iCs/>
        </w:rPr>
        <w:t>Pain Med.</w:t>
      </w:r>
      <w:r w:rsidR="008D0565" w:rsidRPr="00D61F73">
        <w:rPr>
          <w:rFonts w:ascii="Arial" w:hAnsi="Arial" w:cs="Arial"/>
        </w:rPr>
        <w:t xml:space="preserve"> 2013;14:180-229.</w:t>
      </w:r>
    </w:p>
    <w:p w14:paraId="6D9C72D4" w14:textId="77777777" w:rsidR="008D0565" w:rsidRPr="00D61F73" w:rsidRDefault="008D0565" w:rsidP="00D61F73">
      <w:pPr>
        <w:rPr>
          <w:rFonts w:ascii="Arial" w:hAnsi="Arial" w:cs="Arial"/>
          <w:color w:val="auto"/>
        </w:rPr>
      </w:pPr>
    </w:p>
    <w:p w14:paraId="25EE1811" w14:textId="77777777" w:rsidR="008D0565" w:rsidRPr="00D61F73" w:rsidRDefault="00751163" w:rsidP="00D61F73">
      <w:pPr>
        <w:rPr>
          <w:rFonts w:ascii="Arial" w:hAnsi="Arial" w:cs="Arial"/>
        </w:rPr>
      </w:pPr>
      <w:hyperlink w:anchor="Harden2010" w:history="1">
        <w:r w:rsidR="008D0565" w:rsidRPr="00D61F73">
          <w:rPr>
            <w:rStyle w:val="Hyperlink"/>
            <w:rFonts w:ascii="Arial" w:hAnsi="Arial" w:cs="Arial"/>
          </w:rPr>
          <w:t>Harden RN, Bruehl S, Perez RS, Birklein F, Marinus J, Maihofner C, Lubenow T, Buvanendran A, Mackey S, Graciosa J, Mogilevski M, Ramsden C, Chont M, Vatine JJ</w:t>
        </w:r>
      </w:hyperlink>
      <w:r w:rsidR="008D0565" w:rsidRPr="00D61F73">
        <w:rPr>
          <w:rFonts w:ascii="Arial" w:hAnsi="Arial" w:cs="Arial"/>
        </w:rPr>
        <w:t xml:space="preserve">. Validation of proposed diagnostic criteria (the "Budapest Criteria") for Complex Regional Pain Syndrome. </w:t>
      </w:r>
      <w:r w:rsidR="008D0565" w:rsidRPr="00D61F73">
        <w:rPr>
          <w:rFonts w:ascii="Arial" w:hAnsi="Arial" w:cs="Arial"/>
          <w:i/>
        </w:rPr>
        <w:t>Pain.</w:t>
      </w:r>
      <w:r w:rsidR="008D0565" w:rsidRPr="00D61F73">
        <w:rPr>
          <w:rFonts w:ascii="Arial" w:hAnsi="Arial" w:cs="Arial"/>
        </w:rPr>
        <w:t xml:space="preserve"> 2010;150:268-74.</w:t>
      </w:r>
    </w:p>
    <w:p w14:paraId="3A1E1121" w14:textId="77777777" w:rsidR="008D0565" w:rsidRPr="00D61F73" w:rsidRDefault="008D0565" w:rsidP="00D61F73">
      <w:pPr>
        <w:rPr>
          <w:rFonts w:ascii="Arial" w:eastAsia="Calibri" w:hAnsi="Arial" w:cs="Arial"/>
          <w:color w:val="auto"/>
        </w:rPr>
      </w:pPr>
    </w:p>
    <w:p w14:paraId="2E83E75F" w14:textId="77777777" w:rsidR="008D0565" w:rsidRPr="00D61F73" w:rsidRDefault="00751163" w:rsidP="00D61F73">
      <w:pPr>
        <w:rPr>
          <w:rFonts w:ascii="Arial" w:eastAsia="Calibri" w:hAnsi="Arial" w:cs="Arial"/>
        </w:rPr>
      </w:pPr>
      <w:hyperlink w:anchor="Harden2010a" w:history="1">
        <w:r w:rsidR="008D0565" w:rsidRPr="00D61F73">
          <w:rPr>
            <w:rStyle w:val="Hyperlink"/>
            <w:rFonts w:ascii="Arial" w:hAnsi="Arial" w:cs="Arial"/>
          </w:rPr>
          <w:t>Harden RN.</w:t>
        </w:r>
      </w:hyperlink>
      <w:r w:rsidR="008D0565" w:rsidRPr="00D61F73">
        <w:rPr>
          <w:rFonts w:ascii="Arial" w:hAnsi="Arial" w:cs="Arial"/>
        </w:rPr>
        <w:t xml:space="preserve"> Objectification of the diagnostic criteria for CRPS. </w:t>
      </w:r>
      <w:r w:rsidR="008D0565" w:rsidRPr="00D61F73">
        <w:rPr>
          <w:rFonts w:ascii="Arial" w:hAnsi="Arial" w:cs="Arial"/>
          <w:i/>
          <w:iCs/>
        </w:rPr>
        <w:t>Pain Med.</w:t>
      </w:r>
      <w:r w:rsidR="008D0565" w:rsidRPr="00D61F73">
        <w:rPr>
          <w:rFonts w:ascii="Arial" w:hAnsi="Arial" w:cs="Arial"/>
        </w:rPr>
        <w:t xml:space="preserve"> 2010;11:1212-5.</w:t>
      </w:r>
    </w:p>
    <w:p w14:paraId="154FECD3" w14:textId="77777777" w:rsidR="008D0565" w:rsidRPr="00D61F73" w:rsidRDefault="008D0565" w:rsidP="00D61F73">
      <w:pPr>
        <w:rPr>
          <w:rFonts w:ascii="Arial" w:hAnsi="Arial" w:cs="Arial"/>
          <w:color w:val="auto"/>
        </w:rPr>
      </w:pPr>
    </w:p>
    <w:p w14:paraId="363D0ECE" w14:textId="77777777" w:rsidR="008D0565" w:rsidRPr="00D61F73" w:rsidRDefault="00751163" w:rsidP="00D61F73">
      <w:pPr>
        <w:rPr>
          <w:rFonts w:ascii="Arial" w:hAnsi="Arial" w:cs="Arial"/>
        </w:rPr>
      </w:pPr>
      <w:hyperlink w:anchor="Hawley2011" w:history="1">
        <w:r w:rsidR="008D0565" w:rsidRPr="00D61F73">
          <w:rPr>
            <w:rStyle w:val="Hyperlink"/>
            <w:rFonts w:ascii="Arial" w:hAnsi="Arial" w:cs="Arial"/>
          </w:rPr>
          <w:t>Hawley JS, Weiner WJ</w:t>
        </w:r>
      </w:hyperlink>
      <w:r w:rsidR="008D0565" w:rsidRPr="00D61F73">
        <w:rPr>
          <w:rFonts w:ascii="Arial" w:hAnsi="Arial" w:cs="Arial"/>
        </w:rPr>
        <w:t>. Psychogenic dystonia and peripheral trauma</w:t>
      </w:r>
      <w:r w:rsidR="008D0565" w:rsidRPr="00D61F73">
        <w:rPr>
          <w:rFonts w:ascii="Arial" w:hAnsi="Arial" w:cs="Arial"/>
          <w:i/>
        </w:rPr>
        <w:t>. Neurology</w:t>
      </w:r>
      <w:r w:rsidR="008D0565" w:rsidRPr="00D61F73">
        <w:rPr>
          <w:rFonts w:ascii="Arial" w:hAnsi="Arial" w:cs="Arial"/>
        </w:rPr>
        <w:t>. 2011;77:496-502.</w:t>
      </w:r>
    </w:p>
    <w:p w14:paraId="5F6DB87F" w14:textId="77777777" w:rsidR="008D0565" w:rsidRPr="00D61F73" w:rsidRDefault="008D0565" w:rsidP="00D61F73">
      <w:pPr>
        <w:rPr>
          <w:rFonts w:ascii="Arial" w:eastAsia="Calibri" w:hAnsi="Arial" w:cs="Arial"/>
          <w:bCs/>
          <w:color w:val="auto"/>
        </w:rPr>
      </w:pPr>
    </w:p>
    <w:p w14:paraId="0F4BBACE" w14:textId="77777777" w:rsidR="008D0565" w:rsidRPr="00D61F73" w:rsidRDefault="00751163" w:rsidP="00D61F73">
      <w:pPr>
        <w:rPr>
          <w:rFonts w:ascii="Arial" w:eastAsia="Calibri" w:hAnsi="Arial" w:cs="Arial"/>
          <w:bCs/>
        </w:rPr>
      </w:pPr>
      <w:hyperlink w:anchor="Hsu2009" w:history="1">
        <w:r w:rsidR="008D0565" w:rsidRPr="00D61F73">
          <w:rPr>
            <w:rStyle w:val="Hyperlink"/>
            <w:rFonts w:ascii="Arial" w:hAnsi="Arial" w:cs="Arial"/>
            <w:bCs/>
          </w:rPr>
          <w:t>Hsu ES</w:t>
        </w:r>
      </w:hyperlink>
      <w:r w:rsidR="008D0565" w:rsidRPr="00D61F73">
        <w:rPr>
          <w:rFonts w:ascii="Arial" w:hAnsi="Arial" w:cs="Arial"/>
          <w:bCs/>
        </w:rPr>
        <w:t xml:space="preserve">. Practical management of complex regional pain syndrome. </w:t>
      </w:r>
      <w:r w:rsidR="008D0565" w:rsidRPr="00D61F73">
        <w:rPr>
          <w:rFonts w:ascii="Arial" w:hAnsi="Arial" w:cs="Arial"/>
          <w:bCs/>
          <w:i/>
          <w:iCs/>
        </w:rPr>
        <w:t>Am J Ther</w:t>
      </w:r>
      <w:r w:rsidR="008D0565" w:rsidRPr="00D61F73">
        <w:rPr>
          <w:rFonts w:ascii="Arial" w:hAnsi="Arial" w:cs="Arial"/>
          <w:bCs/>
        </w:rPr>
        <w:t>. 2009;16:147-54.</w:t>
      </w:r>
    </w:p>
    <w:p w14:paraId="674A1C11" w14:textId="77777777" w:rsidR="008D0565" w:rsidRPr="00D61F73" w:rsidRDefault="008D0565" w:rsidP="00D61F73">
      <w:pPr>
        <w:rPr>
          <w:rFonts w:ascii="Arial" w:hAnsi="Arial" w:cs="Arial"/>
          <w:color w:val="auto"/>
        </w:rPr>
      </w:pPr>
    </w:p>
    <w:p w14:paraId="2123B0F6" w14:textId="77777777" w:rsidR="008D0565" w:rsidRPr="00D61F73" w:rsidRDefault="00751163" w:rsidP="00D61F73">
      <w:pPr>
        <w:rPr>
          <w:rFonts w:ascii="Arial" w:hAnsi="Arial" w:cs="Arial"/>
        </w:rPr>
      </w:pPr>
      <w:hyperlink w:anchor="Jänig2004" w:history="1">
        <w:r w:rsidR="008D0565" w:rsidRPr="00D61F73">
          <w:rPr>
            <w:rStyle w:val="Hyperlink"/>
            <w:rFonts w:ascii="Arial" w:hAnsi="Arial" w:cs="Arial"/>
          </w:rPr>
          <w:t>Jänig W, Baron R.</w:t>
        </w:r>
      </w:hyperlink>
      <w:r w:rsidR="008D0565" w:rsidRPr="00D61F73">
        <w:rPr>
          <w:rFonts w:ascii="Arial" w:hAnsi="Arial" w:cs="Arial"/>
        </w:rPr>
        <w:t xml:space="preserve"> Experimental approach to CRPS. </w:t>
      </w:r>
      <w:r w:rsidR="008D0565" w:rsidRPr="00D61F73">
        <w:rPr>
          <w:rFonts w:ascii="Arial" w:hAnsi="Arial" w:cs="Arial"/>
          <w:i/>
        </w:rPr>
        <w:t>Pain</w:t>
      </w:r>
      <w:r w:rsidR="008D0565" w:rsidRPr="00D61F73">
        <w:rPr>
          <w:rFonts w:ascii="Arial" w:hAnsi="Arial" w:cs="Arial"/>
        </w:rPr>
        <w:t>. 2004;108:3-7.</w:t>
      </w:r>
      <w:r w:rsidR="00872EF1" w:rsidRPr="00D61F73">
        <w:rPr>
          <w:rFonts w:ascii="Arial" w:hAnsi="Arial" w:cs="Arial"/>
        </w:rPr>
        <w:t xml:space="preserve"> </w:t>
      </w:r>
    </w:p>
    <w:p w14:paraId="71489FB6" w14:textId="77777777" w:rsidR="008D0565" w:rsidRPr="00D61F73" w:rsidRDefault="008D0565" w:rsidP="00D61F73">
      <w:pPr>
        <w:rPr>
          <w:rFonts w:ascii="Arial" w:eastAsia="Calibri" w:hAnsi="Arial" w:cs="Arial"/>
          <w:color w:val="auto"/>
        </w:rPr>
      </w:pPr>
    </w:p>
    <w:p w14:paraId="0A23FADD" w14:textId="77777777" w:rsidR="008D0565" w:rsidRPr="00D61F73" w:rsidRDefault="00751163" w:rsidP="00D61F73">
      <w:pPr>
        <w:rPr>
          <w:rFonts w:ascii="Arial" w:eastAsia="Calibri" w:hAnsi="Arial" w:cs="Arial"/>
        </w:rPr>
      </w:pPr>
      <w:hyperlink w:anchor="Krumova2011" w:history="1">
        <w:r w:rsidR="008D0565" w:rsidRPr="00D61F73">
          <w:rPr>
            <w:rStyle w:val="Hyperlink"/>
            <w:rFonts w:ascii="Arial" w:hAnsi="Arial" w:cs="Arial"/>
          </w:rPr>
          <w:t>Krumova EK, Gussone C, Regeniter S, Westermann A, Zenz M, Maier C</w:t>
        </w:r>
      </w:hyperlink>
      <w:r w:rsidR="008D0565" w:rsidRPr="00D61F73">
        <w:rPr>
          <w:rFonts w:ascii="Arial" w:hAnsi="Arial" w:cs="Arial"/>
        </w:rPr>
        <w:t xml:space="preserve">. Are sympathetic blocks useful for diagnostic purposes? </w:t>
      </w:r>
      <w:r w:rsidR="008D0565" w:rsidRPr="00D61F73">
        <w:rPr>
          <w:rFonts w:ascii="Arial" w:hAnsi="Arial" w:cs="Arial"/>
          <w:i/>
        </w:rPr>
        <w:t>Reg Anesth Pain Med</w:t>
      </w:r>
      <w:r w:rsidR="008D0565" w:rsidRPr="00D61F73">
        <w:rPr>
          <w:rFonts w:ascii="Arial" w:hAnsi="Arial" w:cs="Arial"/>
        </w:rPr>
        <w:t>. 2011 ;36:560-7.</w:t>
      </w:r>
    </w:p>
    <w:p w14:paraId="215B9993" w14:textId="77777777" w:rsidR="008D0565" w:rsidRPr="00D61F73" w:rsidRDefault="008D0565" w:rsidP="00D61F73">
      <w:pPr>
        <w:rPr>
          <w:rFonts w:ascii="Arial" w:eastAsia="Calibri" w:hAnsi="Arial" w:cs="Arial"/>
          <w:color w:val="auto"/>
        </w:rPr>
      </w:pPr>
    </w:p>
    <w:p w14:paraId="521F5319" w14:textId="77777777" w:rsidR="008D0565" w:rsidRPr="00D61F73" w:rsidRDefault="00751163" w:rsidP="00D61F73">
      <w:pPr>
        <w:rPr>
          <w:rFonts w:ascii="Arial" w:eastAsia="Calibri" w:hAnsi="Arial" w:cs="Arial"/>
        </w:rPr>
      </w:pPr>
      <w:hyperlink w:anchor="Krumova2008" w:history="1">
        <w:r w:rsidR="008D0565" w:rsidRPr="00D61F73">
          <w:rPr>
            <w:rStyle w:val="Hyperlink"/>
            <w:rFonts w:ascii="Arial" w:hAnsi="Arial" w:cs="Arial"/>
          </w:rPr>
          <w:t>Krumova EK, Frettlöh J, Klauenberg S, Richter H, Wasner G, Maier C.</w:t>
        </w:r>
      </w:hyperlink>
      <w:r w:rsidR="008D0565" w:rsidRPr="00D61F73">
        <w:rPr>
          <w:rFonts w:ascii="Arial" w:hAnsi="Arial" w:cs="Arial"/>
        </w:rPr>
        <w:t xml:space="preserve"> Long-term skin temperature measurements - a practical diagnostic tool in complex regional pain syndrome. </w:t>
      </w:r>
      <w:r w:rsidR="008D0565" w:rsidRPr="00D61F73">
        <w:rPr>
          <w:rFonts w:ascii="Arial" w:hAnsi="Arial" w:cs="Arial"/>
          <w:i/>
        </w:rPr>
        <w:t>Pain</w:t>
      </w:r>
      <w:r w:rsidR="008D0565" w:rsidRPr="00D61F73">
        <w:rPr>
          <w:rFonts w:ascii="Arial" w:hAnsi="Arial" w:cs="Arial"/>
        </w:rPr>
        <w:t xml:space="preserve">. 2008;140:8-22.  </w:t>
      </w:r>
    </w:p>
    <w:p w14:paraId="16C3D6DA" w14:textId="77777777" w:rsidR="008D0565" w:rsidRPr="00D61F73" w:rsidRDefault="008D0565" w:rsidP="00D61F73">
      <w:pPr>
        <w:rPr>
          <w:rFonts w:ascii="Arial" w:hAnsi="Arial" w:cs="Arial"/>
          <w:color w:val="auto"/>
        </w:rPr>
      </w:pPr>
    </w:p>
    <w:p w14:paraId="72162AD4" w14:textId="77777777" w:rsidR="008D0565" w:rsidRPr="00D61F73" w:rsidRDefault="00751163" w:rsidP="00D61F73">
      <w:pPr>
        <w:rPr>
          <w:rFonts w:ascii="Arial" w:hAnsi="Arial" w:cs="Arial"/>
        </w:rPr>
      </w:pPr>
      <w:hyperlink w:anchor="Lang2010a" w:history="1">
        <w:r w:rsidR="008D0565" w:rsidRPr="00D61F73">
          <w:rPr>
            <w:rStyle w:val="Hyperlink"/>
            <w:rFonts w:ascii="Arial" w:hAnsi="Arial" w:cs="Arial"/>
          </w:rPr>
          <w:t>Lang AE, Chen R</w:t>
        </w:r>
      </w:hyperlink>
      <w:r w:rsidR="008D0565" w:rsidRPr="00D61F73">
        <w:rPr>
          <w:rFonts w:ascii="Arial" w:hAnsi="Arial" w:cs="Arial"/>
        </w:rPr>
        <w:t xml:space="preserve">. Dystonia in complex regional pain syndrome type I. </w:t>
      </w:r>
      <w:r w:rsidR="008D0565" w:rsidRPr="00D61F73">
        <w:rPr>
          <w:rFonts w:ascii="Arial" w:hAnsi="Arial" w:cs="Arial"/>
          <w:i/>
        </w:rPr>
        <w:t>Ann Neurol</w:t>
      </w:r>
      <w:r w:rsidR="008D0565" w:rsidRPr="00D61F73">
        <w:rPr>
          <w:rFonts w:ascii="Arial" w:hAnsi="Arial" w:cs="Arial"/>
        </w:rPr>
        <w:t>. 2010;67:412-4.</w:t>
      </w:r>
    </w:p>
    <w:p w14:paraId="57760BB6" w14:textId="77777777" w:rsidR="008D0565" w:rsidRPr="00D61F73" w:rsidRDefault="008D0565" w:rsidP="00D61F73">
      <w:pPr>
        <w:rPr>
          <w:rFonts w:ascii="Arial" w:hAnsi="Arial" w:cs="Arial"/>
        </w:rPr>
      </w:pPr>
    </w:p>
    <w:p w14:paraId="66AC3954" w14:textId="77777777" w:rsidR="008D0565" w:rsidRPr="00D61F73" w:rsidRDefault="00751163" w:rsidP="00D61F73">
      <w:pPr>
        <w:rPr>
          <w:rFonts w:ascii="Arial" w:hAnsi="Arial" w:cs="Arial"/>
        </w:rPr>
      </w:pPr>
      <w:hyperlink w:anchor="Lee1995" w:history="1">
        <w:r w:rsidR="008D0565" w:rsidRPr="00D61F73">
          <w:rPr>
            <w:rStyle w:val="Hyperlink"/>
            <w:rFonts w:ascii="Arial" w:hAnsi="Arial" w:cs="Arial"/>
          </w:rPr>
          <w:t>Lee GW, Weeks PM</w:t>
        </w:r>
      </w:hyperlink>
      <w:r w:rsidR="008D0565" w:rsidRPr="00D61F73">
        <w:rPr>
          <w:rFonts w:ascii="Arial" w:hAnsi="Arial" w:cs="Arial"/>
        </w:rPr>
        <w:t xml:space="preserve">. The role of bone scintigraphy in diagnosing reflex sympathetic dystrophy. </w:t>
      </w:r>
      <w:r w:rsidR="008D0565" w:rsidRPr="00D61F73">
        <w:rPr>
          <w:rFonts w:ascii="Arial" w:hAnsi="Arial" w:cs="Arial"/>
          <w:i/>
          <w:iCs/>
        </w:rPr>
        <w:t xml:space="preserve">J Hand Surg Am. </w:t>
      </w:r>
      <w:r w:rsidR="008D0565" w:rsidRPr="00D61F73">
        <w:rPr>
          <w:rFonts w:ascii="Arial" w:hAnsi="Arial" w:cs="Arial"/>
        </w:rPr>
        <w:t>1995 May;20(3):458-63.</w:t>
      </w:r>
    </w:p>
    <w:p w14:paraId="78204126" w14:textId="77777777" w:rsidR="008D0565" w:rsidRPr="00D61F73" w:rsidRDefault="008D0565" w:rsidP="00D61F73">
      <w:pPr>
        <w:rPr>
          <w:rFonts w:ascii="Arial" w:hAnsi="Arial" w:cs="Arial"/>
        </w:rPr>
      </w:pPr>
    </w:p>
    <w:p w14:paraId="087055C1" w14:textId="77777777" w:rsidR="008D0565" w:rsidRPr="00D61F73" w:rsidRDefault="00751163" w:rsidP="00D61F73">
      <w:pPr>
        <w:rPr>
          <w:rFonts w:ascii="Arial" w:hAnsi="Arial" w:cs="Arial"/>
          <w:color w:val="auto"/>
        </w:rPr>
      </w:pPr>
      <w:hyperlink w:anchor="Mailis" w:history="1">
        <w:r w:rsidR="008D0565" w:rsidRPr="00D61F73">
          <w:rPr>
            <w:rStyle w:val="Hyperlink"/>
            <w:rFonts w:ascii="Arial" w:hAnsi="Arial" w:cs="Arial"/>
          </w:rPr>
          <w:t>Mailis A, Furlan A,</w:t>
        </w:r>
      </w:hyperlink>
      <w:r w:rsidR="008D0565" w:rsidRPr="00D61F73">
        <w:rPr>
          <w:rFonts w:ascii="Arial" w:hAnsi="Arial" w:cs="Arial"/>
        </w:rPr>
        <w:t xml:space="preserve"> Sympathectomy for neuropathic pain (Cochrane Review), Cochrane Database Syst Rev. 2003;(2):CD002918</w:t>
      </w:r>
      <w:r w:rsidR="008D0565" w:rsidRPr="00D61F73">
        <w:rPr>
          <w:rFonts w:ascii="Arial" w:hAnsi="Arial" w:cs="Arial"/>
        </w:rPr>
        <w:br/>
      </w:r>
    </w:p>
    <w:p w14:paraId="589685D5" w14:textId="77777777" w:rsidR="008D0565" w:rsidRPr="00D61F73" w:rsidRDefault="00751163" w:rsidP="00D61F73">
      <w:pPr>
        <w:rPr>
          <w:rFonts w:ascii="Arial" w:hAnsi="Arial" w:cs="Arial"/>
        </w:rPr>
      </w:pPr>
      <w:hyperlink w:anchor="Marinus2011" w:history="1">
        <w:r w:rsidR="008D0565" w:rsidRPr="00D61F73">
          <w:rPr>
            <w:rStyle w:val="Hyperlink"/>
            <w:rFonts w:ascii="Arial" w:hAnsi="Arial" w:cs="Arial"/>
          </w:rPr>
          <w:t>Marinus J, Moseley GL, Birklein F, Baron R, Maihöfner C, Kingery WS, van Hilten JJ</w:t>
        </w:r>
      </w:hyperlink>
      <w:r w:rsidR="008D0565" w:rsidRPr="00D61F73">
        <w:rPr>
          <w:rFonts w:ascii="Arial" w:hAnsi="Arial" w:cs="Arial"/>
        </w:rPr>
        <w:t xml:space="preserve">. Clinical features and pathophysiology of complex regional pain syndrome. </w:t>
      </w:r>
      <w:r w:rsidR="008D0565" w:rsidRPr="00D61F73">
        <w:rPr>
          <w:rFonts w:ascii="Arial" w:hAnsi="Arial" w:cs="Arial"/>
          <w:i/>
        </w:rPr>
        <w:t>Lancet Neurol.</w:t>
      </w:r>
      <w:r w:rsidR="008D0565" w:rsidRPr="00D61F73">
        <w:rPr>
          <w:rFonts w:ascii="Arial" w:hAnsi="Arial" w:cs="Arial"/>
        </w:rPr>
        <w:t xml:space="preserve"> 2011;10:637-48.</w:t>
      </w:r>
    </w:p>
    <w:p w14:paraId="2199297A" w14:textId="77777777" w:rsidR="008D0565" w:rsidRPr="00D61F73" w:rsidRDefault="008D0565" w:rsidP="00D61F73">
      <w:pPr>
        <w:rPr>
          <w:rFonts w:ascii="Arial" w:eastAsia="Calibri" w:hAnsi="Arial" w:cs="Arial"/>
          <w:color w:val="auto"/>
        </w:rPr>
      </w:pPr>
    </w:p>
    <w:p w14:paraId="0BD8F2C8" w14:textId="77777777" w:rsidR="008D0565" w:rsidRPr="00D61F73" w:rsidRDefault="00751163" w:rsidP="00D61F73">
      <w:pPr>
        <w:rPr>
          <w:rFonts w:ascii="Arial" w:eastAsia="Calibri" w:hAnsi="Arial" w:cs="Arial"/>
        </w:rPr>
      </w:pPr>
      <w:hyperlink w:anchor="Moon2012" w:history="1">
        <w:r w:rsidR="008D0565" w:rsidRPr="00D61F73">
          <w:rPr>
            <w:rStyle w:val="Hyperlink"/>
            <w:rFonts w:ascii="Arial" w:hAnsi="Arial" w:cs="Arial"/>
          </w:rPr>
          <w:t>Moon JY, Park SY, Kim YC, Lee SC, Nahm FS, Kim JH, Kim H, Oh SW</w:t>
        </w:r>
      </w:hyperlink>
      <w:r w:rsidR="008D0565" w:rsidRPr="00D61F73">
        <w:rPr>
          <w:rFonts w:ascii="Arial" w:hAnsi="Arial" w:cs="Arial"/>
        </w:rPr>
        <w:t xml:space="preserve">. Analysis of patterns of three-phase bone scintigraphy for patients with complex regional pain syndrome diagnosed using the proposed research criteria (the 'Budapest Criteria'). </w:t>
      </w:r>
      <w:r w:rsidR="008D0565" w:rsidRPr="00D61F73">
        <w:rPr>
          <w:rFonts w:ascii="Arial" w:hAnsi="Arial" w:cs="Arial"/>
          <w:i/>
        </w:rPr>
        <w:t>Br J Anaesth</w:t>
      </w:r>
      <w:r w:rsidR="008D0565" w:rsidRPr="00D61F73">
        <w:rPr>
          <w:rFonts w:ascii="Arial" w:hAnsi="Arial" w:cs="Arial"/>
        </w:rPr>
        <w:t>. 2012;108:655-61.</w:t>
      </w:r>
    </w:p>
    <w:p w14:paraId="1CE6A4BF" w14:textId="77777777" w:rsidR="008D0565" w:rsidRPr="00D61F73" w:rsidRDefault="008D0565" w:rsidP="00D61F73">
      <w:pPr>
        <w:rPr>
          <w:rFonts w:ascii="Arial" w:eastAsia="Calibri" w:hAnsi="Arial" w:cs="Arial"/>
          <w:color w:val="auto"/>
        </w:rPr>
      </w:pPr>
    </w:p>
    <w:p w14:paraId="574AEECE" w14:textId="77777777" w:rsidR="008D0565" w:rsidRPr="00D61F73" w:rsidRDefault="00751163" w:rsidP="00D61F73">
      <w:pPr>
        <w:rPr>
          <w:rFonts w:ascii="Arial" w:eastAsia="Calibri" w:hAnsi="Arial" w:cs="Arial"/>
        </w:rPr>
      </w:pPr>
      <w:hyperlink w:anchor="Murray2004" w:history="1">
        <w:r w:rsidR="008D0565" w:rsidRPr="00D61F73">
          <w:rPr>
            <w:rStyle w:val="Hyperlink"/>
            <w:rFonts w:ascii="Arial" w:hAnsi="Arial" w:cs="Arial"/>
          </w:rPr>
          <w:t>Murray AK, Herrick AL, King TA.</w:t>
        </w:r>
      </w:hyperlink>
      <w:r w:rsidR="008D0565" w:rsidRPr="00D61F73">
        <w:rPr>
          <w:rFonts w:ascii="Arial" w:hAnsi="Arial" w:cs="Arial"/>
        </w:rPr>
        <w:t xml:space="preserve"> Laser Doppler imaging: a developing technique for application in the rheumatic diseases. </w:t>
      </w:r>
      <w:r w:rsidR="008D0565" w:rsidRPr="00D61F73">
        <w:rPr>
          <w:rFonts w:ascii="Arial" w:hAnsi="Arial" w:cs="Arial"/>
          <w:i/>
        </w:rPr>
        <w:t>Rheumatology (Oxford</w:t>
      </w:r>
      <w:r w:rsidR="008D0565" w:rsidRPr="00D61F73">
        <w:rPr>
          <w:rFonts w:ascii="Arial" w:hAnsi="Arial" w:cs="Arial"/>
        </w:rPr>
        <w:t>). 2004;43:1210-8.</w:t>
      </w:r>
    </w:p>
    <w:p w14:paraId="70B8303F" w14:textId="77777777" w:rsidR="008D0565" w:rsidRPr="00D61F73" w:rsidRDefault="008D0565" w:rsidP="00D61F73">
      <w:pPr>
        <w:rPr>
          <w:rFonts w:ascii="Arial" w:hAnsi="Arial" w:cs="Arial"/>
        </w:rPr>
      </w:pPr>
    </w:p>
    <w:p w14:paraId="651FD1CD" w14:textId="77777777" w:rsidR="008D0565" w:rsidRPr="00D61F73" w:rsidRDefault="00751163" w:rsidP="00D61F73">
      <w:pPr>
        <w:rPr>
          <w:rFonts w:ascii="Arial" w:hAnsi="Arial" w:cs="Arial"/>
          <w:color w:val="auto"/>
        </w:rPr>
      </w:pPr>
      <w:hyperlink w:anchor="Oaklander2009" w:history="1">
        <w:r w:rsidR="008D0565" w:rsidRPr="00D61F73">
          <w:rPr>
            <w:rStyle w:val="Hyperlink"/>
            <w:rFonts w:ascii="Arial" w:hAnsi="Arial" w:cs="Arial"/>
          </w:rPr>
          <w:t>Oaklander AL, Fields HL</w:t>
        </w:r>
      </w:hyperlink>
      <w:r w:rsidR="008D0565" w:rsidRPr="00D61F73">
        <w:rPr>
          <w:rFonts w:ascii="Arial" w:hAnsi="Arial" w:cs="Arial"/>
        </w:rPr>
        <w:t xml:space="preserve">. Is reflex sympathetic dystrophy/complex regional pain syndrome type I a small-fiber neuropathy? </w:t>
      </w:r>
      <w:r w:rsidR="008D0565" w:rsidRPr="00D61F73">
        <w:rPr>
          <w:rFonts w:ascii="Arial" w:hAnsi="Arial" w:cs="Arial"/>
          <w:i/>
        </w:rPr>
        <w:t>Ann Neurol</w:t>
      </w:r>
      <w:r w:rsidR="008D0565" w:rsidRPr="00D61F73">
        <w:rPr>
          <w:rFonts w:ascii="Arial" w:hAnsi="Arial" w:cs="Arial"/>
        </w:rPr>
        <w:t>. 2009;65:629-38.</w:t>
      </w:r>
    </w:p>
    <w:p w14:paraId="10C09B7D" w14:textId="77777777" w:rsidR="008D0565" w:rsidRPr="00D61F73" w:rsidRDefault="008D0565" w:rsidP="00D61F73">
      <w:pPr>
        <w:rPr>
          <w:rFonts w:ascii="Arial" w:eastAsia="Calibri" w:hAnsi="Arial" w:cs="Arial"/>
          <w:color w:val="auto"/>
        </w:rPr>
      </w:pPr>
    </w:p>
    <w:p w14:paraId="4819C11C" w14:textId="77777777" w:rsidR="008D0565" w:rsidRPr="00D61F73" w:rsidRDefault="00751163" w:rsidP="00D61F73">
      <w:pPr>
        <w:rPr>
          <w:rFonts w:ascii="Arial" w:eastAsia="Calibri" w:hAnsi="Arial" w:cs="Arial"/>
        </w:rPr>
      </w:pPr>
      <w:hyperlink w:anchor="Oaklander2006" w:history="1">
        <w:r w:rsidR="008D0565" w:rsidRPr="00D61F73">
          <w:rPr>
            <w:rStyle w:val="Hyperlink"/>
            <w:rFonts w:ascii="Arial" w:hAnsi="Arial" w:cs="Arial"/>
          </w:rPr>
          <w:t>Oaklander AL, Rissmiller JG, Gelman LB, Zheng L, Chang Y, Gott R.</w:t>
        </w:r>
      </w:hyperlink>
      <w:r w:rsidR="008D0565" w:rsidRPr="00D61F73">
        <w:rPr>
          <w:rFonts w:ascii="Arial" w:hAnsi="Arial" w:cs="Arial"/>
        </w:rPr>
        <w:t xml:space="preserve"> Evidence of focal small-fiber axonal degeneration in complex regional pain syndrome-I (reflex sympathetic dystrophy). </w:t>
      </w:r>
      <w:r w:rsidR="008D0565" w:rsidRPr="00D61F73">
        <w:rPr>
          <w:rFonts w:ascii="Arial" w:hAnsi="Arial" w:cs="Arial"/>
          <w:i/>
        </w:rPr>
        <w:t>Pain.</w:t>
      </w:r>
      <w:r w:rsidR="008D0565" w:rsidRPr="00D61F73">
        <w:rPr>
          <w:rFonts w:ascii="Arial" w:hAnsi="Arial" w:cs="Arial"/>
        </w:rPr>
        <w:t xml:space="preserve"> 2006 ;120:235-43.</w:t>
      </w:r>
    </w:p>
    <w:p w14:paraId="1F121994" w14:textId="77777777" w:rsidR="008D0565" w:rsidRPr="00D61F73" w:rsidRDefault="008D0565" w:rsidP="00D61F73">
      <w:pPr>
        <w:rPr>
          <w:rFonts w:ascii="Arial" w:eastAsia="Calibri" w:hAnsi="Arial" w:cs="Arial"/>
        </w:rPr>
      </w:pPr>
    </w:p>
    <w:p w14:paraId="146C0468" w14:textId="77777777" w:rsidR="008D0565" w:rsidRPr="00D61F73" w:rsidRDefault="00751163" w:rsidP="00D61F73">
      <w:pPr>
        <w:rPr>
          <w:rFonts w:ascii="Arial" w:eastAsia="Calibri" w:hAnsi="Arial" w:cs="Arial"/>
        </w:rPr>
      </w:pPr>
      <w:hyperlink w:anchor="Oaklander2013" w:history="1">
        <w:r w:rsidR="008D0565" w:rsidRPr="00D61F73">
          <w:rPr>
            <w:rStyle w:val="Hyperlink"/>
            <w:rFonts w:ascii="Arial" w:hAnsi="Arial" w:cs="Arial"/>
          </w:rPr>
          <w:t>Oaklander AL, Herzog ZD, Downs H, Klein MM.</w:t>
        </w:r>
      </w:hyperlink>
      <w:r w:rsidR="008D0565" w:rsidRPr="00D61F73">
        <w:rPr>
          <w:rFonts w:ascii="Arial" w:hAnsi="Arial" w:cs="Arial"/>
        </w:rPr>
        <w:t xml:space="preserve"> Objective evidence that small-fiber polyneuropathy underlies some illnesses currently labeled as fibromyalgia. </w:t>
      </w:r>
      <w:r w:rsidR="008D0565" w:rsidRPr="00D61F73">
        <w:rPr>
          <w:rFonts w:ascii="Arial" w:hAnsi="Arial" w:cs="Arial"/>
          <w:i/>
        </w:rPr>
        <w:t>Pain.</w:t>
      </w:r>
      <w:r w:rsidR="008D0565" w:rsidRPr="00D61F73">
        <w:rPr>
          <w:rFonts w:ascii="Arial" w:hAnsi="Arial" w:cs="Arial"/>
        </w:rPr>
        <w:t xml:space="preserve"> 2013. doi:pii: S0304-3959(13)00294-7. 10.1016/j.pain.2013.06.001.</w:t>
      </w:r>
    </w:p>
    <w:p w14:paraId="0EF1C1C2" w14:textId="77777777" w:rsidR="008D0565" w:rsidRPr="00D61F73" w:rsidRDefault="008D0565" w:rsidP="00D61F73">
      <w:pPr>
        <w:rPr>
          <w:rFonts w:ascii="Arial" w:hAnsi="Arial" w:cs="Arial"/>
          <w:color w:val="auto"/>
        </w:rPr>
      </w:pPr>
    </w:p>
    <w:p w14:paraId="6BA2D6E3" w14:textId="77777777" w:rsidR="008D0565" w:rsidRPr="00D61F73" w:rsidRDefault="00751163" w:rsidP="00D61F73">
      <w:pPr>
        <w:rPr>
          <w:rFonts w:ascii="Arial" w:hAnsi="Arial" w:cs="Arial"/>
        </w:rPr>
      </w:pPr>
      <w:hyperlink w:anchor="Ochoa2010" w:history="1">
        <w:r w:rsidR="008D0565" w:rsidRPr="00D61F73">
          <w:rPr>
            <w:rStyle w:val="Hyperlink"/>
            <w:rFonts w:ascii="Arial" w:hAnsi="Arial" w:cs="Arial"/>
          </w:rPr>
          <w:t>Ochoa JL, Verdugo RJ.</w:t>
        </w:r>
      </w:hyperlink>
      <w:r w:rsidR="008D0565" w:rsidRPr="00D61F73">
        <w:rPr>
          <w:rFonts w:ascii="Arial" w:hAnsi="Arial" w:cs="Arial"/>
        </w:rPr>
        <w:t xml:space="preserve"> Neuropathic pain syndrome displayed by malingerers</w:t>
      </w:r>
      <w:r w:rsidR="008D0565" w:rsidRPr="00D61F73">
        <w:rPr>
          <w:rFonts w:ascii="Arial" w:hAnsi="Arial" w:cs="Arial"/>
          <w:i/>
        </w:rPr>
        <w:t>. J Neuropsychiatry Clin Neurosci.</w:t>
      </w:r>
      <w:r w:rsidR="008D0565" w:rsidRPr="00D61F73">
        <w:rPr>
          <w:rFonts w:ascii="Arial" w:hAnsi="Arial" w:cs="Arial"/>
        </w:rPr>
        <w:t xml:space="preserve"> 2010;22:278-86.</w:t>
      </w:r>
    </w:p>
    <w:p w14:paraId="611AB122" w14:textId="77777777" w:rsidR="008D0565" w:rsidRPr="00D61F73" w:rsidRDefault="008D0565" w:rsidP="00D61F73">
      <w:pPr>
        <w:rPr>
          <w:rFonts w:ascii="Arial" w:eastAsia="Calibri" w:hAnsi="Arial" w:cs="Arial"/>
          <w:color w:val="auto"/>
        </w:rPr>
      </w:pPr>
    </w:p>
    <w:p w14:paraId="580A4A21" w14:textId="77777777" w:rsidR="008D0565" w:rsidRPr="00D61F73" w:rsidRDefault="00751163" w:rsidP="00D61F73">
      <w:pPr>
        <w:rPr>
          <w:rFonts w:ascii="Arial" w:eastAsia="Calibri" w:hAnsi="Arial" w:cs="Arial"/>
        </w:rPr>
      </w:pPr>
      <w:hyperlink w:anchor="OConnell2013" w:history="1">
        <w:r w:rsidR="008D0565" w:rsidRPr="00D61F73">
          <w:rPr>
            <w:rStyle w:val="Hyperlink"/>
            <w:rFonts w:ascii="Arial" w:hAnsi="Arial" w:cs="Arial"/>
          </w:rPr>
          <w:t>O'Connell NE, Wand BM, McAuley J, Marston L, Moseley GL.</w:t>
        </w:r>
      </w:hyperlink>
      <w:r w:rsidR="008D0565" w:rsidRPr="00D61F73">
        <w:rPr>
          <w:rFonts w:ascii="Arial" w:hAnsi="Arial" w:cs="Arial"/>
        </w:rPr>
        <w:t xml:space="preserve"> Interventions for treating pain and disability in adults with complex regional pain syndrome. </w:t>
      </w:r>
      <w:r w:rsidR="008D0565" w:rsidRPr="00D61F73">
        <w:rPr>
          <w:rFonts w:ascii="Arial" w:hAnsi="Arial" w:cs="Arial"/>
          <w:i/>
        </w:rPr>
        <w:t>Cochrane Database Syst Rev</w:t>
      </w:r>
      <w:r w:rsidR="008D0565" w:rsidRPr="00D61F73">
        <w:rPr>
          <w:rFonts w:ascii="Arial" w:hAnsi="Arial" w:cs="Arial"/>
        </w:rPr>
        <w:t>. 2013;4:CD009416. doi: 10.1002/14651858.CD009416.pub2.</w:t>
      </w:r>
    </w:p>
    <w:p w14:paraId="1DCAB998" w14:textId="77777777" w:rsidR="008D0565" w:rsidRPr="00D61F73" w:rsidRDefault="008D0565" w:rsidP="00D61F73">
      <w:pPr>
        <w:rPr>
          <w:rFonts w:ascii="Arial" w:hAnsi="Arial" w:cs="Arial"/>
          <w:color w:val="auto"/>
        </w:rPr>
      </w:pPr>
    </w:p>
    <w:p w14:paraId="053EBB63" w14:textId="77777777" w:rsidR="008D0565" w:rsidRPr="00D61F73" w:rsidRDefault="00751163" w:rsidP="00D61F73">
      <w:pPr>
        <w:rPr>
          <w:rFonts w:ascii="Arial" w:hAnsi="Arial" w:cs="Arial"/>
        </w:rPr>
      </w:pPr>
      <w:hyperlink w:anchor="Okun2002" w:history="1">
        <w:r w:rsidR="008D0565" w:rsidRPr="00D61F73">
          <w:rPr>
            <w:rStyle w:val="Hyperlink"/>
            <w:rFonts w:ascii="Arial" w:hAnsi="Arial" w:cs="Arial"/>
          </w:rPr>
          <w:t>Okun MS, Nadeau SE, Rossi F, Triggs WJ</w:t>
        </w:r>
      </w:hyperlink>
      <w:r w:rsidR="008D0565" w:rsidRPr="00D61F73">
        <w:rPr>
          <w:rFonts w:ascii="Arial" w:hAnsi="Arial" w:cs="Arial"/>
        </w:rPr>
        <w:t>. Immobilization dystonia</w:t>
      </w:r>
      <w:r w:rsidR="008D0565" w:rsidRPr="00D61F73">
        <w:rPr>
          <w:rFonts w:ascii="Arial" w:hAnsi="Arial" w:cs="Arial"/>
          <w:i/>
        </w:rPr>
        <w:t>. J Neurol Sci</w:t>
      </w:r>
      <w:r w:rsidR="008D0565" w:rsidRPr="00D61F73">
        <w:rPr>
          <w:rFonts w:ascii="Arial" w:hAnsi="Arial" w:cs="Arial"/>
        </w:rPr>
        <w:t>. 2002 15;201:79-83.</w:t>
      </w:r>
    </w:p>
    <w:p w14:paraId="52A77D29" w14:textId="77777777" w:rsidR="008D0565" w:rsidRPr="00D61F73" w:rsidRDefault="008D0565" w:rsidP="00D61F73">
      <w:pPr>
        <w:rPr>
          <w:rFonts w:ascii="Arial" w:eastAsia="Calibri" w:hAnsi="Arial" w:cs="Arial"/>
          <w:color w:val="auto"/>
        </w:rPr>
      </w:pPr>
    </w:p>
    <w:p w14:paraId="7E797092" w14:textId="77777777" w:rsidR="008D0565" w:rsidRPr="00D61F73" w:rsidRDefault="00751163" w:rsidP="00D61F73">
      <w:pPr>
        <w:rPr>
          <w:rFonts w:ascii="Arial" w:eastAsia="Calibri" w:hAnsi="Arial" w:cs="Arial"/>
        </w:rPr>
      </w:pPr>
      <w:hyperlink w:anchor="Pankaj2006" w:history="1">
        <w:r w:rsidR="008D0565" w:rsidRPr="00D61F73">
          <w:rPr>
            <w:rStyle w:val="Hyperlink"/>
            <w:rFonts w:ascii="Arial" w:hAnsi="Arial" w:cs="Arial"/>
          </w:rPr>
          <w:t>Pankaj A, Kotwal PP, Mittal R, Deepak KK, Bal CS</w:t>
        </w:r>
      </w:hyperlink>
      <w:r w:rsidR="008D0565" w:rsidRPr="00D61F73">
        <w:rPr>
          <w:rFonts w:ascii="Arial" w:hAnsi="Arial" w:cs="Arial"/>
        </w:rPr>
        <w:t xml:space="preserve">. Diagnosis of post-traumatic complex regional pain syndrome of the hand: current role of sympathetic skin response and three-phase bone scintigraphy. </w:t>
      </w:r>
      <w:r w:rsidR="008D0565" w:rsidRPr="00D61F73">
        <w:rPr>
          <w:rFonts w:ascii="Arial" w:hAnsi="Arial" w:cs="Arial"/>
          <w:i/>
        </w:rPr>
        <w:t>J Orthop Surg (Hong Kong).</w:t>
      </w:r>
      <w:r w:rsidR="008D0565" w:rsidRPr="00D61F73">
        <w:rPr>
          <w:rFonts w:ascii="Arial" w:hAnsi="Arial" w:cs="Arial"/>
        </w:rPr>
        <w:t xml:space="preserve"> 2006;14:284-90.</w:t>
      </w:r>
    </w:p>
    <w:p w14:paraId="13E099B6" w14:textId="77777777" w:rsidR="008D0565" w:rsidRPr="00D61F73" w:rsidRDefault="008D0565" w:rsidP="00D61F73">
      <w:pPr>
        <w:rPr>
          <w:rFonts w:ascii="Arial" w:hAnsi="Arial" w:cs="Arial"/>
        </w:rPr>
      </w:pPr>
    </w:p>
    <w:p w14:paraId="2A759A95" w14:textId="77777777" w:rsidR="008D0565" w:rsidRPr="00D61F73" w:rsidRDefault="00751163" w:rsidP="00D61F73">
      <w:pPr>
        <w:rPr>
          <w:rFonts w:ascii="Arial" w:hAnsi="Arial" w:cs="Arial"/>
        </w:rPr>
      </w:pPr>
      <w:hyperlink w:anchor="Perez" w:history="1">
        <w:r w:rsidR="008D0565" w:rsidRPr="00D61F73">
          <w:rPr>
            <w:rStyle w:val="Hyperlink"/>
            <w:rFonts w:ascii="Arial" w:hAnsi="Arial" w:cs="Arial"/>
          </w:rPr>
          <w:t>Perez R, Kwakkel G, Zuurmond W, et al</w:t>
        </w:r>
      </w:hyperlink>
      <w:r w:rsidR="008D0565" w:rsidRPr="00D61F73">
        <w:rPr>
          <w:rFonts w:ascii="Arial" w:hAnsi="Arial" w:cs="Arial"/>
        </w:rPr>
        <w:t xml:space="preserve">. Treatment of Reflex Sympathetic Dystrophy (CRPS Type 1): A Research Synthesis of 21 Randomized Clinical Trials. </w:t>
      </w:r>
      <w:r w:rsidR="008D0565" w:rsidRPr="00D61F73">
        <w:rPr>
          <w:rFonts w:ascii="Arial" w:hAnsi="Arial" w:cs="Arial"/>
          <w:i/>
          <w:iCs/>
        </w:rPr>
        <w:t>J Pain Symptom Manage</w:t>
      </w:r>
      <w:r w:rsidR="008D0565" w:rsidRPr="00D61F73">
        <w:rPr>
          <w:rFonts w:ascii="Arial" w:hAnsi="Arial" w:cs="Arial"/>
        </w:rPr>
        <w:t xml:space="preserve"> 2001:21:511-526.</w:t>
      </w:r>
    </w:p>
    <w:p w14:paraId="7CB81A32" w14:textId="77777777" w:rsidR="008D0565" w:rsidRPr="00D61F73" w:rsidRDefault="008D0565" w:rsidP="00D61F73">
      <w:pPr>
        <w:rPr>
          <w:rFonts w:ascii="Arial" w:hAnsi="Arial" w:cs="Arial"/>
        </w:rPr>
      </w:pPr>
    </w:p>
    <w:p w14:paraId="3DD1E8B9" w14:textId="77777777" w:rsidR="008D0565" w:rsidRPr="00D61F73" w:rsidRDefault="00751163" w:rsidP="00D61F73">
      <w:pPr>
        <w:pStyle w:val="NormalWeb"/>
        <w:spacing w:before="0" w:beforeAutospacing="0" w:after="0" w:afterAutospacing="0"/>
        <w:rPr>
          <w:rFonts w:ascii="Arial" w:hAnsi="Arial" w:cs="Arial"/>
        </w:rPr>
      </w:pPr>
      <w:hyperlink w:anchor="Perez2" w:history="1">
        <w:r w:rsidR="008D0565" w:rsidRPr="00D61F73">
          <w:rPr>
            <w:rStyle w:val="Hyperlink"/>
            <w:rFonts w:ascii="Arial" w:hAnsi="Arial" w:cs="Arial"/>
          </w:rPr>
          <w:t>Perez RS, Keijzer C, Bezemer PD, Zuurmond WW, de Lange JJ.</w:t>
        </w:r>
      </w:hyperlink>
      <w:r w:rsidR="008D0565" w:rsidRPr="00D61F73">
        <w:rPr>
          <w:rFonts w:ascii="Arial" w:hAnsi="Arial" w:cs="Arial"/>
        </w:rPr>
        <w:t xml:space="preserve"> Predictive value of symptom level measurements for complex regional pain syndrome type I. Eur J Pain. 2005 Feb;9(1):49-56.</w:t>
      </w:r>
    </w:p>
    <w:p w14:paraId="38D9E516" w14:textId="77777777" w:rsidR="008D0565" w:rsidRPr="00D61F73" w:rsidRDefault="008D0565" w:rsidP="00D61F73">
      <w:pPr>
        <w:rPr>
          <w:rFonts w:ascii="Arial" w:eastAsia="Calibri" w:hAnsi="Arial" w:cs="Arial"/>
          <w:color w:val="auto"/>
        </w:rPr>
      </w:pPr>
    </w:p>
    <w:p w14:paraId="1A365BB4" w14:textId="77777777" w:rsidR="008D0565" w:rsidRPr="00D61F73" w:rsidRDefault="00751163" w:rsidP="00D61F73">
      <w:pPr>
        <w:rPr>
          <w:rFonts w:ascii="Arial" w:eastAsia="Calibri" w:hAnsi="Arial" w:cs="Arial"/>
        </w:rPr>
      </w:pPr>
      <w:hyperlink w:anchor="Perez2010" w:history="1">
        <w:r w:rsidR="008D0565" w:rsidRPr="00D61F73">
          <w:rPr>
            <w:rStyle w:val="Hyperlink"/>
            <w:rFonts w:ascii="Arial" w:hAnsi="Arial" w:cs="Arial"/>
          </w:rPr>
          <w:t>Perez RS, Zollinger PE, Dijkstra PU, Thomassen-Hilgersom IL, Zuurmond WW, Rosenbrand KC, Geertzen JH;</w:t>
        </w:r>
      </w:hyperlink>
      <w:r w:rsidR="008D0565" w:rsidRPr="00D61F73">
        <w:rPr>
          <w:rFonts w:ascii="Arial" w:hAnsi="Arial" w:cs="Arial"/>
        </w:rPr>
        <w:t xml:space="preserve"> CRPS I task force. Evidence based guidelines for complex regional pain syndrome type 1. </w:t>
      </w:r>
      <w:r w:rsidR="008D0565" w:rsidRPr="00D61F73">
        <w:rPr>
          <w:rFonts w:ascii="Arial" w:hAnsi="Arial" w:cs="Arial"/>
          <w:i/>
        </w:rPr>
        <w:t>BMC Neurol</w:t>
      </w:r>
      <w:r w:rsidR="008D0565" w:rsidRPr="00D61F73">
        <w:rPr>
          <w:rFonts w:ascii="Arial" w:hAnsi="Arial" w:cs="Arial"/>
        </w:rPr>
        <w:t>. 2010;10:20. doi: 10.1186/1471-2377-10-20.</w:t>
      </w:r>
    </w:p>
    <w:p w14:paraId="3268D2A5" w14:textId="77777777" w:rsidR="008D0565" w:rsidRPr="00D61F73" w:rsidRDefault="008D0565" w:rsidP="00D61F73">
      <w:pPr>
        <w:rPr>
          <w:rFonts w:ascii="Arial" w:hAnsi="Arial" w:cs="Arial"/>
        </w:rPr>
      </w:pPr>
    </w:p>
    <w:p w14:paraId="7A65DE01" w14:textId="77777777" w:rsidR="008D0565" w:rsidRPr="00D61F73" w:rsidRDefault="00751163" w:rsidP="00D61F73">
      <w:pPr>
        <w:pStyle w:val="BodyText"/>
        <w:rPr>
          <w:rFonts w:ascii="Arial" w:hAnsi="Arial" w:cs="Arial"/>
          <w:b w:val="0"/>
          <w:bCs w:val="0"/>
        </w:rPr>
      </w:pPr>
      <w:hyperlink w:anchor="Quisel2" w:history="1">
        <w:r w:rsidR="008D0565" w:rsidRPr="00D61F73">
          <w:rPr>
            <w:rStyle w:val="Hyperlink"/>
            <w:rFonts w:ascii="Arial" w:hAnsi="Arial" w:cs="Arial"/>
            <w:b w:val="0"/>
            <w:bCs w:val="0"/>
          </w:rPr>
          <w:t>Quisel A, Gill JM, Witherell P</w:t>
        </w:r>
      </w:hyperlink>
      <w:r w:rsidR="008D0565" w:rsidRPr="00D61F73">
        <w:rPr>
          <w:rFonts w:ascii="Arial" w:hAnsi="Arial" w:cs="Arial"/>
          <w:b w:val="0"/>
          <w:bCs w:val="0"/>
        </w:rPr>
        <w:t xml:space="preserve">. Complex regional pain syndrome underdiagnosed. </w:t>
      </w:r>
      <w:r w:rsidR="008D0565" w:rsidRPr="00D61F73">
        <w:rPr>
          <w:rFonts w:ascii="Arial" w:hAnsi="Arial" w:cs="Arial"/>
          <w:b w:val="0"/>
          <w:bCs w:val="0"/>
          <w:i/>
          <w:iCs/>
        </w:rPr>
        <w:t>J Fam Pract</w:t>
      </w:r>
      <w:r w:rsidR="008D0565" w:rsidRPr="00D61F73">
        <w:rPr>
          <w:rFonts w:ascii="Arial" w:hAnsi="Arial" w:cs="Arial"/>
          <w:b w:val="0"/>
          <w:bCs w:val="0"/>
        </w:rPr>
        <w:t>. 2005 Jun;54(6):524-32.</w:t>
      </w:r>
    </w:p>
    <w:p w14:paraId="3102B2F1" w14:textId="77777777" w:rsidR="008D0565" w:rsidRPr="00D61F73" w:rsidRDefault="008D0565" w:rsidP="00D61F73">
      <w:pPr>
        <w:rPr>
          <w:rFonts w:ascii="Arial" w:hAnsi="Arial" w:cs="Arial"/>
          <w:color w:val="auto"/>
        </w:rPr>
      </w:pPr>
    </w:p>
    <w:p w14:paraId="4F9794A7" w14:textId="77777777" w:rsidR="008D0565" w:rsidRPr="00D61F73" w:rsidRDefault="00751163" w:rsidP="00D61F73">
      <w:pPr>
        <w:rPr>
          <w:rFonts w:ascii="Arial" w:hAnsi="Arial" w:cs="Arial"/>
        </w:rPr>
      </w:pPr>
      <w:hyperlink w:anchor="Rauck1993" w:history="1">
        <w:r w:rsidR="008D0565" w:rsidRPr="00D61F73">
          <w:rPr>
            <w:rStyle w:val="Hyperlink"/>
            <w:rFonts w:ascii="Arial" w:hAnsi="Arial" w:cs="Arial"/>
          </w:rPr>
          <w:t>Rauck RL, Eisenach JC, Jackson K, Young LD, Southern J</w:t>
        </w:r>
      </w:hyperlink>
      <w:r w:rsidR="008D0565" w:rsidRPr="00D61F73">
        <w:rPr>
          <w:rFonts w:ascii="Arial" w:hAnsi="Arial" w:cs="Arial"/>
        </w:rPr>
        <w:t xml:space="preserve">. Epidural clonidine treatment for refractory reflex sympathetic dystrophy. </w:t>
      </w:r>
      <w:r w:rsidR="008D0565" w:rsidRPr="00D61F73">
        <w:rPr>
          <w:rFonts w:ascii="Arial" w:hAnsi="Arial" w:cs="Arial"/>
          <w:i/>
        </w:rPr>
        <w:t>Anesthesiology</w:t>
      </w:r>
      <w:r w:rsidR="008D0565" w:rsidRPr="00D61F73">
        <w:rPr>
          <w:rFonts w:ascii="Arial" w:hAnsi="Arial" w:cs="Arial"/>
        </w:rPr>
        <w:t>. 1993 ;79:1163-9.</w:t>
      </w:r>
    </w:p>
    <w:p w14:paraId="052EA0FD" w14:textId="77777777" w:rsidR="008D0565" w:rsidRPr="00D61F73" w:rsidRDefault="008D0565" w:rsidP="00D61F73">
      <w:pPr>
        <w:rPr>
          <w:rFonts w:ascii="Arial" w:hAnsi="Arial" w:cs="Arial"/>
        </w:rPr>
      </w:pPr>
    </w:p>
    <w:p w14:paraId="68E2C6F9" w14:textId="77777777" w:rsidR="008D0565" w:rsidRPr="00D61F73" w:rsidRDefault="00751163" w:rsidP="00D61F73">
      <w:pPr>
        <w:rPr>
          <w:rFonts w:ascii="Arial" w:hAnsi="Arial" w:cs="Arial"/>
        </w:rPr>
      </w:pPr>
      <w:hyperlink w:anchor="Ribbers" w:history="1">
        <w:r w:rsidR="008D0565" w:rsidRPr="00D61F73">
          <w:rPr>
            <w:rStyle w:val="Hyperlink"/>
            <w:rFonts w:ascii="Arial" w:hAnsi="Arial" w:cs="Arial"/>
          </w:rPr>
          <w:t>Ribbers GM, Geurts AC, Stam HJ, Mulder T</w:t>
        </w:r>
      </w:hyperlink>
      <w:r w:rsidR="008D0565" w:rsidRPr="00D61F73">
        <w:rPr>
          <w:rFonts w:ascii="Arial" w:hAnsi="Arial" w:cs="Arial"/>
        </w:rPr>
        <w:t xml:space="preserve">. Pharmacologic treatment of complex regional pain syndrome I: a conceptual framework. </w:t>
      </w:r>
      <w:r w:rsidR="008D0565" w:rsidRPr="00D61F73">
        <w:rPr>
          <w:rFonts w:ascii="Arial" w:hAnsi="Arial" w:cs="Arial"/>
          <w:i/>
          <w:iCs/>
        </w:rPr>
        <w:t>Arch Phys Med Rehabil.</w:t>
      </w:r>
      <w:r w:rsidR="008D0565" w:rsidRPr="00D61F73">
        <w:rPr>
          <w:rFonts w:ascii="Arial" w:hAnsi="Arial" w:cs="Arial"/>
        </w:rPr>
        <w:t xml:space="preserve"> 2003 Jan;84(1):141-6. </w:t>
      </w:r>
    </w:p>
    <w:p w14:paraId="5EF84015" w14:textId="77777777" w:rsidR="008D0565" w:rsidRPr="00D61F73" w:rsidRDefault="008D0565" w:rsidP="00D61F73">
      <w:pPr>
        <w:rPr>
          <w:rFonts w:ascii="Arial" w:eastAsia="Calibri" w:hAnsi="Arial" w:cs="Arial"/>
          <w:color w:val="auto"/>
        </w:rPr>
      </w:pPr>
    </w:p>
    <w:p w14:paraId="74BF489B" w14:textId="77777777" w:rsidR="008D0565" w:rsidRPr="00D61F73" w:rsidRDefault="00751163" w:rsidP="00D61F73">
      <w:pPr>
        <w:rPr>
          <w:rFonts w:ascii="Arial" w:eastAsia="Calibri" w:hAnsi="Arial" w:cs="Arial"/>
          <w:lang w:val="es-MX"/>
        </w:rPr>
      </w:pPr>
      <w:hyperlink w:anchor="Ringer2012" w:history="1">
        <w:r w:rsidR="008D0565" w:rsidRPr="00D61F73">
          <w:rPr>
            <w:rStyle w:val="Hyperlink"/>
            <w:rFonts w:ascii="Arial" w:hAnsi="Arial" w:cs="Arial"/>
          </w:rPr>
          <w:t>Ringer R, Wertli M, Bachmann LM, Buck FM, Brunner F</w:t>
        </w:r>
      </w:hyperlink>
      <w:r w:rsidR="008D0565" w:rsidRPr="00D61F73">
        <w:rPr>
          <w:rFonts w:ascii="Arial" w:hAnsi="Arial" w:cs="Arial"/>
        </w:rPr>
        <w:t xml:space="preserve">. Concordance of qualitative bone scintigraphy results with presence of clinical complex regional pain syndrome 1: meta-analysis of test accuracy studies. </w:t>
      </w:r>
      <w:r w:rsidR="008D0565" w:rsidRPr="00D61F73">
        <w:rPr>
          <w:rFonts w:ascii="Arial" w:hAnsi="Arial" w:cs="Arial"/>
          <w:i/>
          <w:lang w:val="es-MX"/>
        </w:rPr>
        <w:t>Eur J Pain.</w:t>
      </w:r>
      <w:r w:rsidR="008D0565" w:rsidRPr="00D61F73">
        <w:rPr>
          <w:rFonts w:ascii="Arial" w:hAnsi="Arial" w:cs="Arial"/>
          <w:lang w:val="es-MX"/>
        </w:rPr>
        <w:t xml:space="preserve"> 2012;16:1347-56.</w:t>
      </w:r>
    </w:p>
    <w:p w14:paraId="6951607C" w14:textId="77777777" w:rsidR="008D0565" w:rsidRPr="00D61F73" w:rsidRDefault="008D0565" w:rsidP="00D61F73">
      <w:pPr>
        <w:rPr>
          <w:rFonts w:ascii="Arial" w:hAnsi="Arial" w:cs="Arial"/>
          <w:color w:val="auto"/>
          <w:lang w:val="es-MX"/>
        </w:rPr>
      </w:pPr>
    </w:p>
    <w:p w14:paraId="71EF70C0" w14:textId="77777777" w:rsidR="008D0565" w:rsidRPr="00D61F73" w:rsidRDefault="00751163" w:rsidP="00D61F73">
      <w:pPr>
        <w:rPr>
          <w:rFonts w:ascii="Arial" w:hAnsi="Arial" w:cs="Arial"/>
        </w:rPr>
      </w:pPr>
      <w:hyperlink w:anchor="RodriguezMoreno1990" w:history="1">
        <w:r w:rsidR="008D0565" w:rsidRPr="00D61F73">
          <w:rPr>
            <w:rStyle w:val="Hyperlink"/>
            <w:rFonts w:ascii="Arial" w:hAnsi="Arial" w:cs="Arial"/>
            <w:lang w:val="es-MX"/>
          </w:rPr>
          <w:t>Rodriguez-Moreno J, Ruiz-Martin JM, Mateo-Soria L, Rozadilla A, Roig-Escofet D</w:t>
        </w:r>
      </w:hyperlink>
      <w:r w:rsidR="008D0565" w:rsidRPr="00D61F73">
        <w:rPr>
          <w:rFonts w:ascii="Arial" w:hAnsi="Arial" w:cs="Arial"/>
          <w:lang w:val="es-MX"/>
        </w:rPr>
        <w:t xml:space="preserve">. </w:t>
      </w:r>
      <w:r w:rsidR="008D0565" w:rsidRPr="00D61F73">
        <w:rPr>
          <w:rFonts w:ascii="Arial" w:hAnsi="Arial" w:cs="Arial"/>
        </w:rPr>
        <w:t xml:space="preserve">Munchausen's syndrome simulating reflex sympathetic dystrophy. </w:t>
      </w:r>
      <w:r w:rsidR="008D0565" w:rsidRPr="00D61F73">
        <w:rPr>
          <w:rFonts w:ascii="Arial" w:hAnsi="Arial" w:cs="Arial"/>
          <w:i/>
          <w:iCs/>
        </w:rPr>
        <w:t>Ann Rheum Dis.</w:t>
      </w:r>
      <w:r w:rsidR="008D0565" w:rsidRPr="00D61F73">
        <w:rPr>
          <w:rFonts w:ascii="Arial" w:hAnsi="Arial" w:cs="Arial"/>
        </w:rPr>
        <w:t xml:space="preserve"> 1990 Dec;49(12):1010-2.</w:t>
      </w:r>
    </w:p>
    <w:p w14:paraId="09C571AF" w14:textId="77777777" w:rsidR="008D0565" w:rsidRPr="00D61F73" w:rsidRDefault="008D0565" w:rsidP="00D61F73">
      <w:pPr>
        <w:rPr>
          <w:rFonts w:ascii="Arial" w:hAnsi="Arial" w:cs="Arial"/>
          <w:color w:val="auto"/>
        </w:rPr>
      </w:pPr>
    </w:p>
    <w:p w14:paraId="76A70AD5" w14:textId="77777777" w:rsidR="008D0565" w:rsidRPr="00D61F73" w:rsidRDefault="00751163" w:rsidP="00D61F73">
      <w:pPr>
        <w:rPr>
          <w:rFonts w:ascii="Arial" w:hAnsi="Arial" w:cs="Arial"/>
        </w:rPr>
      </w:pPr>
      <w:hyperlink w:anchor="Scarano1998" w:history="1">
        <w:r w:rsidR="008D0565" w:rsidRPr="00D61F73">
          <w:rPr>
            <w:rStyle w:val="Hyperlink"/>
            <w:rFonts w:ascii="Arial" w:hAnsi="Arial" w:cs="Arial"/>
          </w:rPr>
          <w:t>Scarano VR, Jankovic J</w:t>
        </w:r>
      </w:hyperlink>
      <w:r w:rsidR="008D0565" w:rsidRPr="00D61F73">
        <w:rPr>
          <w:rFonts w:ascii="Arial" w:hAnsi="Arial" w:cs="Arial"/>
        </w:rPr>
        <w:t xml:space="preserve">. Post-traumatic movement disorders: effect of the legal system on outcome. </w:t>
      </w:r>
      <w:r w:rsidR="008D0565" w:rsidRPr="00D61F73">
        <w:rPr>
          <w:rFonts w:ascii="Arial" w:hAnsi="Arial" w:cs="Arial"/>
          <w:i/>
        </w:rPr>
        <w:t>J Forensic Sci</w:t>
      </w:r>
      <w:r w:rsidR="008D0565" w:rsidRPr="00D61F73">
        <w:rPr>
          <w:rFonts w:ascii="Arial" w:hAnsi="Arial" w:cs="Arial"/>
        </w:rPr>
        <w:t>. 1998;43:334-9.</w:t>
      </w:r>
    </w:p>
    <w:p w14:paraId="0157796E" w14:textId="77777777" w:rsidR="006A33A8" w:rsidRPr="00D61F73" w:rsidRDefault="006A33A8" w:rsidP="00D61F73">
      <w:pPr>
        <w:rPr>
          <w:rFonts w:ascii="Arial" w:hAnsi="Arial" w:cs="Arial"/>
        </w:rPr>
      </w:pPr>
    </w:p>
    <w:p w14:paraId="13DA21BE" w14:textId="77777777" w:rsidR="006A33A8" w:rsidRPr="00D61F73" w:rsidRDefault="00751163" w:rsidP="00D61F73">
      <w:pPr>
        <w:rPr>
          <w:rFonts w:ascii="Arial" w:hAnsi="Arial" w:cs="Arial"/>
        </w:rPr>
      </w:pPr>
      <w:hyperlink w:anchor="Schürmann2007" w:history="1">
        <w:r w:rsidR="008D0565" w:rsidRPr="00D61F73">
          <w:rPr>
            <w:rStyle w:val="Hyperlink"/>
            <w:rFonts w:ascii="Arial" w:hAnsi="Arial" w:cs="Arial"/>
          </w:rPr>
          <w:t>Schürmann M, Zaspel J, Löhr P, Wizgall I, Tutic M, Manthey N, Steinborn M, Gradl G</w:t>
        </w:r>
      </w:hyperlink>
      <w:r w:rsidR="008D0565" w:rsidRPr="00D61F73">
        <w:rPr>
          <w:rFonts w:ascii="Arial" w:hAnsi="Arial" w:cs="Arial"/>
        </w:rPr>
        <w:t xml:space="preserve">. Imaging in early posttraumatic complex regional pain syndrome: a comparison of diagnostic methods. </w:t>
      </w:r>
      <w:r w:rsidR="008D0565" w:rsidRPr="00D61F73">
        <w:rPr>
          <w:rFonts w:ascii="Arial" w:hAnsi="Arial" w:cs="Arial"/>
          <w:i/>
        </w:rPr>
        <w:t>Clin J Pain</w:t>
      </w:r>
      <w:r w:rsidR="008D0565" w:rsidRPr="00D61F73">
        <w:rPr>
          <w:rFonts w:ascii="Arial" w:hAnsi="Arial" w:cs="Arial"/>
        </w:rPr>
        <w:t>. 2007;23:449-57</w:t>
      </w:r>
    </w:p>
    <w:p w14:paraId="324D3304" w14:textId="77777777" w:rsidR="008D0565" w:rsidRPr="00D61F73" w:rsidRDefault="008D0565" w:rsidP="00D61F73">
      <w:pPr>
        <w:rPr>
          <w:rFonts w:ascii="Arial" w:eastAsia="Calibri" w:hAnsi="Arial" w:cs="Arial"/>
        </w:rPr>
      </w:pPr>
      <w:r w:rsidRPr="00D61F73">
        <w:rPr>
          <w:rFonts w:ascii="Arial" w:hAnsi="Arial" w:cs="Arial"/>
        </w:rPr>
        <w:t>.</w:t>
      </w:r>
    </w:p>
    <w:p w14:paraId="56AB003F" w14:textId="77777777" w:rsidR="008D0565" w:rsidRPr="00D61F73" w:rsidRDefault="00751163" w:rsidP="00D61F73">
      <w:pPr>
        <w:rPr>
          <w:rFonts w:ascii="Arial" w:eastAsia="Calibri" w:hAnsi="Arial" w:cs="Arial"/>
        </w:rPr>
      </w:pPr>
      <w:hyperlink w:anchor="Schürmann2001" w:history="1">
        <w:r w:rsidR="008D0565" w:rsidRPr="00D61F73">
          <w:rPr>
            <w:rStyle w:val="Hyperlink"/>
            <w:rFonts w:ascii="Arial" w:hAnsi="Arial" w:cs="Arial"/>
          </w:rPr>
          <w:t>Schürmann M, Gradl G, Wizgal I, Tutic M, Moser C, Azad S, Beyer A.</w:t>
        </w:r>
      </w:hyperlink>
      <w:r w:rsidR="008D0565" w:rsidRPr="00D61F73">
        <w:rPr>
          <w:rFonts w:ascii="Arial" w:hAnsi="Arial" w:cs="Arial"/>
        </w:rPr>
        <w:t xml:space="preserve"> Clinical and physiologic evaluation of stellate ganglion blockade for complex regional pain syndrome type I. </w:t>
      </w:r>
      <w:r w:rsidR="008D0565" w:rsidRPr="00D61F73">
        <w:rPr>
          <w:rFonts w:ascii="Arial" w:hAnsi="Arial" w:cs="Arial"/>
          <w:i/>
        </w:rPr>
        <w:t>Clin J Pain</w:t>
      </w:r>
      <w:r w:rsidR="008D0565" w:rsidRPr="00D61F73">
        <w:rPr>
          <w:rFonts w:ascii="Arial" w:hAnsi="Arial" w:cs="Arial"/>
        </w:rPr>
        <w:t xml:space="preserve">. 2001;17:94- </w:t>
      </w:r>
    </w:p>
    <w:p w14:paraId="793566A2" w14:textId="77777777" w:rsidR="008D0565" w:rsidRPr="00D61F73" w:rsidRDefault="008D0565" w:rsidP="00D61F73">
      <w:pPr>
        <w:rPr>
          <w:rFonts w:ascii="Arial" w:eastAsia="Calibri" w:hAnsi="Arial" w:cs="Arial"/>
          <w:color w:val="auto"/>
        </w:rPr>
      </w:pPr>
    </w:p>
    <w:p w14:paraId="10AF5309" w14:textId="77777777" w:rsidR="008D0565" w:rsidRPr="00D61F73" w:rsidRDefault="00751163" w:rsidP="00D61F73">
      <w:pPr>
        <w:rPr>
          <w:rFonts w:ascii="Arial" w:eastAsia="Calibri" w:hAnsi="Arial" w:cs="Arial"/>
        </w:rPr>
      </w:pPr>
      <w:hyperlink w:anchor="Sherman1994" w:history="1">
        <w:r w:rsidR="008D0565" w:rsidRPr="00D61F73">
          <w:rPr>
            <w:rStyle w:val="Hyperlink"/>
            <w:rFonts w:ascii="Arial" w:hAnsi="Arial" w:cs="Arial"/>
            <w:lang w:val="da-DK"/>
          </w:rPr>
          <w:t>Sherman RA, Karstetter KW, Damiano M, Evans CB.</w:t>
        </w:r>
      </w:hyperlink>
      <w:r w:rsidR="008D0565" w:rsidRPr="00D61F73">
        <w:rPr>
          <w:rFonts w:ascii="Arial" w:hAnsi="Arial" w:cs="Arial"/>
          <w:lang w:val="da-DK"/>
        </w:rPr>
        <w:t xml:space="preserve"> </w:t>
      </w:r>
      <w:r w:rsidR="008D0565" w:rsidRPr="00D61F73">
        <w:rPr>
          <w:rFonts w:ascii="Arial" w:hAnsi="Arial" w:cs="Arial"/>
        </w:rPr>
        <w:t xml:space="preserve">Stability of temperature asymmetries in reflex sympathetic dystrophy over time and changes in pain. </w:t>
      </w:r>
      <w:r w:rsidR="008D0565" w:rsidRPr="00D61F73">
        <w:rPr>
          <w:rFonts w:ascii="Arial" w:hAnsi="Arial" w:cs="Arial"/>
          <w:i/>
        </w:rPr>
        <w:t>Clin J Pain</w:t>
      </w:r>
      <w:r w:rsidR="008D0565" w:rsidRPr="00D61F73">
        <w:rPr>
          <w:rFonts w:ascii="Arial" w:hAnsi="Arial" w:cs="Arial"/>
        </w:rPr>
        <w:t>. 1994;10:71-7.</w:t>
      </w:r>
    </w:p>
    <w:p w14:paraId="31112F40" w14:textId="77777777" w:rsidR="008D0565" w:rsidRPr="00D61F73" w:rsidRDefault="008D0565" w:rsidP="00D61F73">
      <w:pPr>
        <w:rPr>
          <w:rFonts w:ascii="Arial" w:eastAsia="Calibri" w:hAnsi="Arial" w:cs="Arial"/>
          <w:color w:val="auto"/>
        </w:rPr>
      </w:pPr>
    </w:p>
    <w:p w14:paraId="7B4E7FD1" w14:textId="77777777" w:rsidR="008D0565" w:rsidRPr="00D61F73" w:rsidRDefault="00751163" w:rsidP="00D61F73">
      <w:pPr>
        <w:rPr>
          <w:rFonts w:ascii="Arial" w:eastAsia="Calibri" w:hAnsi="Arial" w:cs="Arial"/>
        </w:rPr>
      </w:pPr>
      <w:hyperlink w:anchor="Singh2006" w:history="1">
        <w:r w:rsidR="008D0565" w:rsidRPr="00D61F73">
          <w:rPr>
            <w:rStyle w:val="Hyperlink"/>
            <w:rFonts w:ascii="Arial" w:hAnsi="Arial" w:cs="Arial"/>
          </w:rPr>
          <w:t>Singh HP, Davis TR</w:t>
        </w:r>
      </w:hyperlink>
      <w:r w:rsidR="008D0565" w:rsidRPr="00D61F73">
        <w:rPr>
          <w:rFonts w:ascii="Arial" w:hAnsi="Arial" w:cs="Arial"/>
        </w:rPr>
        <w:t xml:space="preserve">. The effect of short-term dependency and immobility on skin temperature and colour in the hand. </w:t>
      </w:r>
      <w:r w:rsidR="008D0565" w:rsidRPr="00D61F73">
        <w:rPr>
          <w:rFonts w:ascii="Arial" w:hAnsi="Arial" w:cs="Arial"/>
          <w:i/>
        </w:rPr>
        <w:t>J Hand Surg Br</w:t>
      </w:r>
      <w:r w:rsidR="008D0565" w:rsidRPr="00D61F73">
        <w:rPr>
          <w:rFonts w:ascii="Arial" w:hAnsi="Arial" w:cs="Arial"/>
        </w:rPr>
        <w:t>. 2006;31:611-5.</w:t>
      </w:r>
    </w:p>
    <w:p w14:paraId="0D8A5F67" w14:textId="77777777" w:rsidR="008D0565" w:rsidRPr="00D61F73" w:rsidRDefault="008D0565" w:rsidP="00D61F73">
      <w:pPr>
        <w:rPr>
          <w:rFonts w:ascii="Arial" w:hAnsi="Arial" w:cs="Arial"/>
          <w:color w:val="auto"/>
        </w:rPr>
      </w:pPr>
    </w:p>
    <w:p w14:paraId="107AAA3E" w14:textId="77777777" w:rsidR="008D0565" w:rsidRPr="00D61F73" w:rsidRDefault="00751163" w:rsidP="00D61F73">
      <w:pPr>
        <w:rPr>
          <w:rFonts w:ascii="Arial" w:hAnsi="Arial" w:cs="Arial"/>
        </w:rPr>
      </w:pPr>
      <w:hyperlink w:anchor="Singh2004" w:history="1">
        <w:r w:rsidR="008D0565" w:rsidRPr="00D61F73">
          <w:rPr>
            <w:rStyle w:val="Hyperlink"/>
            <w:rFonts w:ascii="Arial" w:hAnsi="Arial" w:cs="Arial"/>
          </w:rPr>
          <w:t>Singh G, Willen SN, Boswell MV, Janata JW, Chelimsky TC</w:t>
        </w:r>
      </w:hyperlink>
      <w:r w:rsidR="008D0565" w:rsidRPr="00D61F73">
        <w:rPr>
          <w:rFonts w:ascii="Arial" w:hAnsi="Arial" w:cs="Arial"/>
        </w:rPr>
        <w:t xml:space="preserve">. The value of interdisciplinary pain management in complex regional pain syndrome type I: a prospective outcome study. </w:t>
      </w:r>
      <w:r w:rsidR="008D0565" w:rsidRPr="00D61F73">
        <w:rPr>
          <w:rFonts w:ascii="Arial" w:hAnsi="Arial" w:cs="Arial"/>
          <w:i/>
        </w:rPr>
        <w:t>Pain Physician.</w:t>
      </w:r>
      <w:r w:rsidR="008D0565" w:rsidRPr="00D61F73">
        <w:rPr>
          <w:rFonts w:ascii="Arial" w:hAnsi="Arial" w:cs="Arial"/>
        </w:rPr>
        <w:t xml:space="preserve"> 2004;7:203-9. </w:t>
      </w:r>
    </w:p>
    <w:p w14:paraId="4CE1CC5D" w14:textId="77777777" w:rsidR="008D0565" w:rsidRPr="00D61F73" w:rsidRDefault="008D0565" w:rsidP="00D61F73">
      <w:pPr>
        <w:rPr>
          <w:rFonts w:ascii="Arial" w:hAnsi="Arial" w:cs="Arial"/>
        </w:rPr>
      </w:pPr>
    </w:p>
    <w:p w14:paraId="0D69DC56" w14:textId="77777777" w:rsidR="008D0565" w:rsidRPr="00D61F73" w:rsidRDefault="00751163" w:rsidP="00D61F73">
      <w:pPr>
        <w:pStyle w:val="NormalWeb"/>
        <w:spacing w:before="0" w:beforeAutospacing="0" w:after="0" w:afterAutospacing="0"/>
        <w:rPr>
          <w:rFonts w:ascii="Arial" w:hAnsi="Arial" w:cs="Arial"/>
        </w:rPr>
      </w:pPr>
      <w:hyperlink w:anchor="StantonHicks" w:history="1">
        <w:r w:rsidR="008D0565" w:rsidRPr="00D61F73">
          <w:rPr>
            <w:rStyle w:val="Hyperlink"/>
            <w:rFonts w:ascii="Arial" w:hAnsi="Arial" w:cs="Arial"/>
          </w:rPr>
          <w:t>Stanton-Hicks M, Janig W, Hassenbusch S, Haddox JD, Boas R, Wilson P.</w:t>
        </w:r>
      </w:hyperlink>
      <w:r w:rsidR="008D0565" w:rsidRPr="00D61F73">
        <w:rPr>
          <w:rFonts w:ascii="Arial" w:hAnsi="Arial" w:cs="Arial"/>
        </w:rPr>
        <w:t xml:space="preserve"> Reflex sympathetic dystrophy: changing concepts and taxonomy. </w:t>
      </w:r>
      <w:r w:rsidR="008D0565" w:rsidRPr="00D61F73">
        <w:rPr>
          <w:rFonts w:ascii="Arial" w:hAnsi="Arial" w:cs="Arial"/>
          <w:i/>
          <w:iCs/>
        </w:rPr>
        <w:t>Pain</w:t>
      </w:r>
      <w:r w:rsidR="008D0565" w:rsidRPr="00D61F73">
        <w:rPr>
          <w:rFonts w:ascii="Arial" w:hAnsi="Arial" w:cs="Arial"/>
        </w:rPr>
        <w:t xml:space="preserve">. 1995 Oct;63(1):127-33. </w:t>
      </w:r>
    </w:p>
    <w:p w14:paraId="31368CD6" w14:textId="77777777" w:rsidR="008D0565" w:rsidRPr="00D61F73" w:rsidRDefault="008D0565" w:rsidP="00D61F73">
      <w:pPr>
        <w:pStyle w:val="Footer"/>
        <w:tabs>
          <w:tab w:val="clear" w:pos="4320"/>
          <w:tab w:val="clear" w:pos="8640"/>
        </w:tabs>
        <w:rPr>
          <w:rFonts w:ascii="Arial" w:hAnsi="Arial" w:cs="Arial"/>
        </w:rPr>
      </w:pPr>
    </w:p>
    <w:p w14:paraId="14C5AD0F" w14:textId="77777777" w:rsidR="008D0565" w:rsidRPr="00D61F73" w:rsidRDefault="00751163" w:rsidP="00D61F73">
      <w:pPr>
        <w:pStyle w:val="NormalWeb"/>
        <w:spacing w:before="0" w:beforeAutospacing="0" w:after="0" w:afterAutospacing="0"/>
        <w:rPr>
          <w:rFonts w:ascii="Arial" w:hAnsi="Arial" w:cs="Arial"/>
        </w:rPr>
      </w:pPr>
      <w:hyperlink w:anchor="StantonHicks3" w:history="1">
        <w:r w:rsidR="008D0565" w:rsidRPr="00D61F73">
          <w:rPr>
            <w:rStyle w:val="Hyperlink"/>
            <w:rFonts w:ascii="Arial" w:hAnsi="Arial" w:cs="Arial"/>
          </w:rPr>
          <w:t>Stanton-Hicks M</w:t>
        </w:r>
      </w:hyperlink>
      <w:r w:rsidR="008D0565" w:rsidRPr="00D61F73">
        <w:rPr>
          <w:rFonts w:ascii="Arial" w:hAnsi="Arial" w:cs="Arial"/>
        </w:rPr>
        <w:t>. Complex Regional Pain Syndrome. In: Warfield CA, Bajwa JH. Principles and Practice of Pain Medicine. 2nd ed. McGraw-Hill; 2004.</w:t>
      </w:r>
    </w:p>
    <w:p w14:paraId="7E8CDE94" w14:textId="77777777" w:rsidR="008D0565" w:rsidRPr="00D61F73" w:rsidRDefault="008D0565" w:rsidP="00D61F73">
      <w:pPr>
        <w:rPr>
          <w:rFonts w:ascii="Arial" w:hAnsi="Arial" w:cs="Arial"/>
        </w:rPr>
      </w:pPr>
    </w:p>
    <w:p w14:paraId="7D43D490" w14:textId="77777777" w:rsidR="008D0565" w:rsidRPr="00D61F73" w:rsidRDefault="00751163" w:rsidP="00D61F73">
      <w:pPr>
        <w:rPr>
          <w:rFonts w:ascii="Arial" w:hAnsi="Arial" w:cs="Arial"/>
        </w:rPr>
      </w:pPr>
      <w:hyperlink w:anchor="Colorado2" w:history="1">
        <w:r w:rsidR="008D0565" w:rsidRPr="00D61F73">
          <w:rPr>
            <w:rStyle w:val="Hyperlink"/>
            <w:rFonts w:ascii="Arial" w:hAnsi="Arial" w:cs="Arial"/>
          </w:rPr>
          <w:t>State of Colorado Department of Labor and Employment</w:t>
        </w:r>
      </w:hyperlink>
      <w:r w:rsidR="008D0565" w:rsidRPr="00D61F73">
        <w:rPr>
          <w:rFonts w:ascii="Arial" w:hAnsi="Arial" w:cs="Arial"/>
        </w:rPr>
        <w:t>, Division of Workers’ Compensation. Colorado Rule XVII, Exhibit 7, Complex Regional Pain Syndrome Medical Treatment Guideline. 01/01/06</w:t>
      </w:r>
    </w:p>
    <w:p w14:paraId="2E3EA1CF" w14:textId="77777777" w:rsidR="008D0565" w:rsidRPr="00D61F73" w:rsidRDefault="008D0565" w:rsidP="00D61F73">
      <w:pPr>
        <w:rPr>
          <w:rFonts w:ascii="Arial" w:hAnsi="Arial" w:cs="Arial"/>
          <w:color w:val="auto"/>
        </w:rPr>
      </w:pPr>
    </w:p>
    <w:p w14:paraId="33D241AA" w14:textId="77777777" w:rsidR="008D0565" w:rsidRPr="00D61F73" w:rsidRDefault="00751163" w:rsidP="00D61F73">
      <w:pPr>
        <w:rPr>
          <w:rFonts w:ascii="Arial" w:hAnsi="Arial" w:cs="Arial"/>
        </w:rPr>
      </w:pPr>
      <w:hyperlink w:anchor="Terkelsen2008" w:history="1">
        <w:r w:rsidR="008D0565" w:rsidRPr="00D61F73">
          <w:rPr>
            <w:rStyle w:val="Hyperlink"/>
            <w:rFonts w:ascii="Arial" w:hAnsi="Arial" w:cs="Arial"/>
          </w:rPr>
          <w:t>Terkelsen AJ, Bach FW, Jensen TS</w:t>
        </w:r>
      </w:hyperlink>
      <w:r w:rsidR="008D0565" w:rsidRPr="00D61F73">
        <w:rPr>
          <w:rFonts w:ascii="Arial" w:hAnsi="Arial" w:cs="Arial"/>
        </w:rPr>
        <w:t>. Experimental forearm immobilization in humans induces cold and mechanical hyperalgesia</w:t>
      </w:r>
      <w:r w:rsidR="008D0565" w:rsidRPr="00D61F73">
        <w:rPr>
          <w:rFonts w:ascii="Arial" w:hAnsi="Arial" w:cs="Arial"/>
          <w:i/>
        </w:rPr>
        <w:t>. Anesthesiology</w:t>
      </w:r>
      <w:r w:rsidR="008D0565" w:rsidRPr="00D61F73">
        <w:rPr>
          <w:rFonts w:ascii="Arial" w:hAnsi="Arial" w:cs="Arial"/>
        </w:rPr>
        <w:t>. 2008;109:297-307.</w:t>
      </w:r>
    </w:p>
    <w:p w14:paraId="242DEAD4" w14:textId="77777777" w:rsidR="008D0565" w:rsidRPr="00D61F73" w:rsidRDefault="008D0565" w:rsidP="00D61F73">
      <w:pPr>
        <w:rPr>
          <w:rFonts w:ascii="Arial" w:hAnsi="Arial" w:cs="Arial"/>
          <w:color w:val="auto"/>
        </w:rPr>
      </w:pPr>
    </w:p>
    <w:p w14:paraId="10969937" w14:textId="77777777" w:rsidR="008D0565" w:rsidRPr="00D61F73" w:rsidRDefault="00751163" w:rsidP="00D61F73">
      <w:pPr>
        <w:rPr>
          <w:rFonts w:ascii="Arial" w:hAnsi="Arial" w:cs="Arial"/>
        </w:rPr>
      </w:pPr>
      <w:hyperlink w:anchor="Tran2010" w:history="1">
        <w:r w:rsidR="008D0565" w:rsidRPr="00D61F73">
          <w:rPr>
            <w:rStyle w:val="Hyperlink"/>
            <w:rFonts w:ascii="Arial" w:hAnsi="Arial" w:cs="Arial"/>
          </w:rPr>
          <w:t>Tran de QH, Duong S, Bertini P, Finlayson RJ</w:t>
        </w:r>
      </w:hyperlink>
      <w:r w:rsidR="008D0565" w:rsidRPr="00D61F73">
        <w:rPr>
          <w:rFonts w:ascii="Arial" w:hAnsi="Arial" w:cs="Arial"/>
        </w:rPr>
        <w:t xml:space="preserve">. Treatment of complex regional pain syndrome: a review of the evidence. </w:t>
      </w:r>
      <w:r w:rsidR="008D0565" w:rsidRPr="00D61F73">
        <w:rPr>
          <w:rFonts w:ascii="Arial" w:hAnsi="Arial" w:cs="Arial"/>
          <w:i/>
          <w:iCs/>
        </w:rPr>
        <w:t>Can J Anaesth</w:t>
      </w:r>
      <w:r w:rsidR="008D0565" w:rsidRPr="00D61F73">
        <w:rPr>
          <w:rFonts w:ascii="Arial" w:hAnsi="Arial" w:cs="Arial"/>
        </w:rPr>
        <w:t>. 2010 Feb;57(2):149-66. doi: 10.1007/s12630-009-9237-0.</w:t>
      </w:r>
    </w:p>
    <w:p w14:paraId="7C80906B" w14:textId="77777777" w:rsidR="008D0565" w:rsidRPr="00D61F73" w:rsidRDefault="008D0565" w:rsidP="00D61F73">
      <w:pPr>
        <w:rPr>
          <w:rFonts w:ascii="Arial" w:hAnsi="Arial" w:cs="Arial"/>
          <w:color w:val="auto"/>
        </w:rPr>
      </w:pPr>
    </w:p>
    <w:p w14:paraId="6B3156F9" w14:textId="77777777" w:rsidR="008D0565" w:rsidRPr="00D61F73" w:rsidRDefault="00751163" w:rsidP="00D61F73">
      <w:pPr>
        <w:rPr>
          <w:rFonts w:ascii="Arial" w:hAnsi="Arial" w:cs="Arial"/>
        </w:rPr>
      </w:pPr>
      <w:hyperlink w:anchor="vanderPlas2013" w:history="1">
        <w:r w:rsidR="008D0565" w:rsidRPr="00D61F73">
          <w:rPr>
            <w:rStyle w:val="Hyperlink"/>
            <w:rFonts w:ascii="Arial" w:hAnsi="Arial" w:cs="Arial"/>
          </w:rPr>
          <w:t>van der Plas AA, van Rijn MA, Marinus J, Putter H, van Hilten JJ</w:t>
        </w:r>
      </w:hyperlink>
      <w:r w:rsidR="008D0565" w:rsidRPr="00D61F73">
        <w:rPr>
          <w:rFonts w:ascii="Arial" w:hAnsi="Arial" w:cs="Arial"/>
        </w:rPr>
        <w:t xml:space="preserve">. Efficacy of intrathecal baclofen on different pain qualities in complex regional pain syndrome. </w:t>
      </w:r>
      <w:r w:rsidR="008D0565" w:rsidRPr="00D61F73">
        <w:rPr>
          <w:rFonts w:ascii="Arial" w:hAnsi="Arial" w:cs="Arial"/>
          <w:i/>
        </w:rPr>
        <w:t>Anesth Analg</w:t>
      </w:r>
      <w:r w:rsidR="008D0565" w:rsidRPr="00D61F73">
        <w:rPr>
          <w:rFonts w:ascii="Arial" w:hAnsi="Arial" w:cs="Arial"/>
        </w:rPr>
        <w:t>. 2013;116:211-5.</w:t>
      </w:r>
    </w:p>
    <w:p w14:paraId="5EE28345" w14:textId="77777777" w:rsidR="008D0565" w:rsidRPr="00D61F73" w:rsidRDefault="008D0565" w:rsidP="00D61F73">
      <w:pPr>
        <w:rPr>
          <w:rFonts w:ascii="Arial" w:hAnsi="Arial" w:cs="Arial"/>
          <w:color w:val="auto"/>
        </w:rPr>
      </w:pPr>
    </w:p>
    <w:p w14:paraId="32D2CECD" w14:textId="77777777" w:rsidR="008D0565" w:rsidRPr="00D61F73" w:rsidRDefault="00751163" w:rsidP="00D61F73">
      <w:pPr>
        <w:rPr>
          <w:rFonts w:ascii="Arial" w:hAnsi="Arial" w:cs="Arial"/>
        </w:rPr>
      </w:pPr>
      <w:hyperlink w:anchor="vanEijs2011" w:history="1">
        <w:r w:rsidR="008D0565" w:rsidRPr="00D61F73">
          <w:rPr>
            <w:rStyle w:val="Hyperlink"/>
            <w:rFonts w:ascii="Arial" w:hAnsi="Arial" w:cs="Arial"/>
          </w:rPr>
          <w:t>van Eijs F, Stanton-Hicks M, Van Zundert J, Faber CG, Lubenow TR, Mekhail N, van Kleef M, Huygen F.</w:t>
        </w:r>
      </w:hyperlink>
      <w:r w:rsidR="008D0565" w:rsidRPr="00D61F73">
        <w:rPr>
          <w:rFonts w:ascii="Arial" w:hAnsi="Arial" w:cs="Arial"/>
        </w:rPr>
        <w:t xml:space="preserve"> Evidence-based interventional pain medicine according to clinical diagnoses. 16. Complex regional pain syndrome. </w:t>
      </w:r>
      <w:r w:rsidR="008D0565" w:rsidRPr="00D61F73">
        <w:rPr>
          <w:rFonts w:ascii="Arial" w:hAnsi="Arial" w:cs="Arial"/>
          <w:i/>
        </w:rPr>
        <w:t>Pain Pract</w:t>
      </w:r>
      <w:r w:rsidR="008D0565" w:rsidRPr="00D61F73">
        <w:rPr>
          <w:rFonts w:ascii="Arial" w:hAnsi="Arial" w:cs="Arial"/>
        </w:rPr>
        <w:t>. 2011;11:70-87.</w:t>
      </w:r>
    </w:p>
    <w:p w14:paraId="5C54550E" w14:textId="77777777" w:rsidR="008D0565" w:rsidRPr="00D61F73" w:rsidRDefault="008D0565" w:rsidP="00D61F73">
      <w:pPr>
        <w:rPr>
          <w:rFonts w:ascii="Arial" w:eastAsia="Calibri" w:hAnsi="Arial" w:cs="Arial"/>
          <w:color w:val="auto"/>
        </w:rPr>
      </w:pPr>
    </w:p>
    <w:p w14:paraId="2A4FD7F9" w14:textId="77777777" w:rsidR="008D0565" w:rsidRPr="00D61F73" w:rsidRDefault="00751163" w:rsidP="00D61F73">
      <w:pPr>
        <w:rPr>
          <w:rFonts w:ascii="Arial" w:hAnsi="Arial" w:cs="Arial"/>
          <w:lang w:val="en"/>
        </w:rPr>
      </w:pPr>
      <w:hyperlink w:anchor="vanEijs2012" w:history="1">
        <w:r w:rsidR="008D0565" w:rsidRPr="00D61F73">
          <w:rPr>
            <w:rStyle w:val="Hyperlink"/>
            <w:rFonts w:ascii="Arial" w:hAnsi="Arial" w:cs="Arial"/>
            <w:lang w:val="en"/>
          </w:rPr>
          <w:t>van Eijs F, Geurts J, van Kleef M, Faber CG, Perez RS, Kessels AG, Van Zundert J</w:t>
        </w:r>
      </w:hyperlink>
      <w:r w:rsidR="008D0565" w:rsidRPr="00D61F73">
        <w:rPr>
          <w:rFonts w:ascii="Arial" w:hAnsi="Arial" w:cs="Arial"/>
          <w:lang w:val="en"/>
        </w:rPr>
        <w:t xml:space="preserve">. Predictors of pain relieving response to sympathetic blockade in complex regional pain syndrome type 1. </w:t>
      </w:r>
      <w:r w:rsidR="008D0565" w:rsidRPr="00D61F73">
        <w:rPr>
          <w:rFonts w:ascii="Arial" w:hAnsi="Arial" w:cs="Arial"/>
          <w:i/>
          <w:lang w:val="en"/>
        </w:rPr>
        <w:t>Anesthesiology</w:t>
      </w:r>
      <w:r w:rsidR="008D0565" w:rsidRPr="00D61F73">
        <w:rPr>
          <w:rFonts w:ascii="Arial" w:hAnsi="Arial" w:cs="Arial"/>
          <w:lang w:val="en"/>
        </w:rPr>
        <w:t>. 2012 ;116:113-21.</w:t>
      </w:r>
    </w:p>
    <w:p w14:paraId="541D35C9" w14:textId="77777777" w:rsidR="008D0565" w:rsidRPr="00D61F73" w:rsidRDefault="008D0565" w:rsidP="00D61F73">
      <w:pPr>
        <w:rPr>
          <w:rFonts w:ascii="Arial" w:hAnsi="Arial" w:cs="Arial"/>
          <w:color w:val="auto"/>
        </w:rPr>
      </w:pPr>
    </w:p>
    <w:p w14:paraId="7FA5410C" w14:textId="77777777" w:rsidR="008D0565" w:rsidRPr="00D61F73" w:rsidRDefault="00751163" w:rsidP="00D61F73">
      <w:pPr>
        <w:rPr>
          <w:rFonts w:ascii="Arial" w:hAnsi="Arial" w:cs="Arial"/>
        </w:rPr>
      </w:pPr>
      <w:hyperlink w:anchor="vanRijn2009" w:history="1">
        <w:r w:rsidR="008D0565" w:rsidRPr="00D61F73">
          <w:rPr>
            <w:rStyle w:val="Hyperlink"/>
            <w:rFonts w:ascii="Arial" w:hAnsi="Arial" w:cs="Arial"/>
          </w:rPr>
          <w:t>van Rijn MA, Munts AG, Marinus J, Voormolen JH, de Boer KS, Teepe-Twiss IM, van Dasselaar NT, Delhaas EM, van Hilten JJ.</w:t>
        </w:r>
      </w:hyperlink>
      <w:r w:rsidR="008D0565" w:rsidRPr="00D61F73">
        <w:rPr>
          <w:rFonts w:ascii="Arial" w:hAnsi="Arial" w:cs="Arial"/>
        </w:rPr>
        <w:t xml:space="preserve"> Intrathecal baclofen for dystonia of complex regional pain syndrome</w:t>
      </w:r>
      <w:r w:rsidR="008D0565" w:rsidRPr="00D61F73">
        <w:rPr>
          <w:rFonts w:ascii="Arial" w:hAnsi="Arial" w:cs="Arial"/>
          <w:i/>
        </w:rPr>
        <w:t>. Pain</w:t>
      </w:r>
      <w:r w:rsidR="008D0565" w:rsidRPr="00D61F73">
        <w:rPr>
          <w:rFonts w:ascii="Arial" w:hAnsi="Arial" w:cs="Arial"/>
        </w:rPr>
        <w:t>. 2009;143:41-7.</w:t>
      </w:r>
    </w:p>
    <w:p w14:paraId="01BD722F" w14:textId="77777777" w:rsidR="008D0565" w:rsidRPr="00D61F73" w:rsidRDefault="008D0565" w:rsidP="00D61F73">
      <w:pPr>
        <w:rPr>
          <w:rFonts w:ascii="Arial" w:hAnsi="Arial" w:cs="Arial"/>
          <w:color w:val="auto"/>
        </w:rPr>
      </w:pPr>
    </w:p>
    <w:p w14:paraId="5BD21C43" w14:textId="77777777" w:rsidR="008D0565" w:rsidRPr="00D61F73" w:rsidRDefault="00751163" w:rsidP="00D61F73">
      <w:pPr>
        <w:rPr>
          <w:rFonts w:ascii="Arial" w:hAnsi="Arial" w:cs="Arial"/>
        </w:rPr>
      </w:pPr>
      <w:hyperlink w:anchor="Veldhuizen1993" w:history="1">
        <w:r w:rsidR="008D0565" w:rsidRPr="00D61F73">
          <w:rPr>
            <w:rStyle w:val="Hyperlink"/>
            <w:rFonts w:ascii="Arial" w:hAnsi="Arial" w:cs="Arial"/>
          </w:rPr>
          <w:t>Veldhuizen JW, Verstappen FT, Vroemen JP, Kuipers H, Greep JM</w:t>
        </w:r>
      </w:hyperlink>
      <w:r w:rsidR="008D0565" w:rsidRPr="00D61F73">
        <w:rPr>
          <w:rFonts w:ascii="Arial" w:hAnsi="Arial" w:cs="Arial"/>
        </w:rPr>
        <w:t xml:space="preserve">. Functional and morphological adaptations following four weeks of knee immobilization. </w:t>
      </w:r>
      <w:r w:rsidR="008D0565" w:rsidRPr="00D61F73">
        <w:rPr>
          <w:rFonts w:ascii="Arial" w:hAnsi="Arial" w:cs="Arial"/>
          <w:i/>
        </w:rPr>
        <w:t>Int J Sports Med</w:t>
      </w:r>
      <w:r w:rsidR="008D0565" w:rsidRPr="00D61F73">
        <w:rPr>
          <w:rFonts w:ascii="Arial" w:hAnsi="Arial" w:cs="Arial"/>
        </w:rPr>
        <w:t>. 1993;14:283-7.</w:t>
      </w:r>
    </w:p>
    <w:p w14:paraId="2693101C" w14:textId="77777777" w:rsidR="008D0565" w:rsidRPr="00D61F73" w:rsidRDefault="008D0565" w:rsidP="00D61F73">
      <w:pPr>
        <w:rPr>
          <w:rFonts w:ascii="Arial" w:hAnsi="Arial" w:cs="Arial"/>
        </w:rPr>
      </w:pPr>
    </w:p>
    <w:p w14:paraId="72DDBD83" w14:textId="77777777" w:rsidR="008D0565" w:rsidRPr="00D61F73" w:rsidRDefault="00751163" w:rsidP="00D61F73">
      <w:pPr>
        <w:rPr>
          <w:rFonts w:ascii="Arial" w:hAnsi="Arial" w:cs="Arial"/>
        </w:rPr>
      </w:pPr>
      <w:hyperlink w:anchor="Veldman1993" w:history="1">
        <w:r w:rsidR="008D0565" w:rsidRPr="00D61F73">
          <w:rPr>
            <w:rStyle w:val="Hyperlink"/>
            <w:rFonts w:ascii="Arial" w:hAnsi="Arial" w:cs="Arial"/>
          </w:rPr>
          <w:t>Veldman PH, Reynen HM, Arntz IE, Goris RJ.</w:t>
        </w:r>
      </w:hyperlink>
      <w:r w:rsidR="008D0565" w:rsidRPr="00D61F73">
        <w:rPr>
          <w:rFonts w:ascii="Arial" w:hAnsi="Arial" w:cs="Arial"/>
        </w:rPr>
        <w:t xml:space="preserve"> Signs and symptoms of reflex sympathetic dystrophy: prospective study of 829 patients. </w:t>
      </w:r>
      <w:r w:rsidR="008D0565" w:rsidRPr="00D61F73">
        <w:rPr>
          <w:rFonts w:ascii="Arial" w:hAnsi="Arial" w:cs="Arial"/>
          <w:i/>
        </w:rPr>
        <w:t>Lancet.</w:t>
      </w:r>
      <w:r w:rsidR="008D0565" w:rsidRPr="00D61F73">
        <w:rPr>
          <w:rFonts w:ascii="Arial" w:hAnsi="Arial" w:cs="Arial"/>
        </w:rPr>
        <w:t xml:space="preserve"> 1993;342:1012-6.</w:t>
      </w:r>
    </w:p>
    <w:p w14:paraId="3FBC4566" w14:textId="77777777" w:rsidR="008D0565" w:rsidRPr="00D61F73" w:rsidRDefault="008D0565" w:rsidP="00D61F73">
      <w:pPr>
        <w:rPr>
          <w:rFonts w:ascii="Arial" w:hAnsi="Arial" w:cs="Arial"/>
          <w:color w:val="auto"/>
        </w:rPr>
      </w:pPr>
    </w:p>
    <w:p w14:paraId="34BF28CE" w14:textId="77777777" w:rsidR="008D0565" w:rsidRPr="00D61F73" w:rsidRDefault="00751163" w:rsidP="00D61F73">
      <w:pPr>
        <w:rPr>
          <w:rFonts w:ascii="Arial" w:hAnsi="Arial" w:cs="Arial"/>
        </w:rPr>
      </w:pPr>
      <w:hyperlink w:anchor="Verdugo2000" w:history="1">
        <w:r w:rsidR="008D0565" w:rsidRPr="00D61F73">
          <w:rPr>
            <w:rStyle w:val="Hyperlink"/>
            <w:rFonts w:ascii="Arial" w:hAnsi="Arial" w:cs="Arial"/>
          </w:rPr>
          <w:t>Verdugo RJ, Ochoa JL</w:t>
        </w:r>
      </w:hyperlink>
      <w:r w:rsidR="008D0565" w:rsidRPr="00D61F73">
        <w:rPr>
          <w:rFonts w:ascii="Arial" w:hAnsi="Arial" w:cs="Arial"/>
        </w:rPr>
        <w:t xml:space="preserve">. Abnormal movements in complex regional pain syndrome: assessment of their nature. </w:t>
      </w:r>
      <w:r w:rsidR="008D0565" w:rsidRPr="00D61F73">
        <w:rPr>
          <w:rFonts w:ascii="Arial" w:hAnsi="Arial" w:cs="Arial"/>
          <w:i/>
        </w:rPr>
        <w:t>Muscle Nerve</w:t>
      </w:r>
      <w:r w:rsidR="008D0565" w:rsidRPr="00D61F73">
        <w:rPr>
          <w:rFonts w:ascii="Arial" w:hAnsi="Arial" w:cs="Arial"/>
        </w:rPr>
        <w:t>. 2000;23:198-205.</w:t>
      </w:r>
    </w:p>
    <w:p w14:paraId="248D3D01" w14:textId="77777777" w:rsidR="008D0565" w:rsidRPr="00D61F73" w:rsidRDefault="008D0565" w:rsidP="00D61F73">
      <w:pPr>
        <w:rPr>
          <w:rFonts w:ascii="Arial" w:hAnsi="Arial" w:cs="Arial"/>
        </w:rPr>
      </w:pPr>
    </w:p>
    <w:p w14:paraId="596A24DB" w14:textId="77777777" w:rsidR="008D0565" w:rsidRPr="00D61F73" w:rsidRDefault="00751163" w:rsidP="00D61F73">
      <w:pPr>
        <w:rPr>
          <w:rFonts w:ascii="Arial" w:hAnsi="Arial" w:cs="Arial"/>
        </w:rPr>
      </w:pPr>
      <w:hyperlink w:anchor="Washington3" w:history="1">
        <w:r w:rsidR="008D0565" w:rsidRPr="00D61F73">
          <w:rPr>
            <w:rStyle w:val="Hyperlink"/>
            <w:rFonts w:ascii="Arial" w:hAnsi="Arial" w:cs="Arial"/>
          </w:rPr>
          <w:t>Washington State Department of Labor and Industries</w:t>
        </w:r>
      </w:hyperlink>
      <w:r w:rsidR="008D0565" w:rsidRPr="00D61F73">
        <w:rPr>
          <w:rFonts w:ascii="Arial" w:hAnsi="Arial" w:cs="Arial"/>
        </w:rPr>
        <w:t>. Complex regional pain syndrome (CRPS). Olympia (WA): Washington State Department of Labor and Industries; 2002 Aug.</w:t>
      </w:r>
    </w:p>
    <w:p w14:paraId="5814C910" w14:textId="77777777" w:rsidR="008D0565" w:rsidRPr="00D61F73" w:rsidRDefault="008D0565" w:rsidP="00D61F73">
      <w:pPr>
        <w:rPr>
          <w:rFonts w:ascii="Arial" w:hAnsi="Arial" w:cs="Arial"/>
        </w:rPr>
      </w:pPr>
    </w:p>
    <w:p w14:paraId="30724D0B" w14:textId="77777777" w:rsidR="008D0565" w:rsidRPr="00D61F73" w:rsidRDefault="00751163" w:rsidP="00D61F73">
      <w:pPr>
        <w:rPr>
          <w:rFonts w:ascii="Arial" w:hAnsi="Arial" w:cs="Arial"/>
        </w:rPr>
      </w:pPr>
      <w:hyperlink w:anchor="Wasner" w:history="1">
        <w:r w:rsidR="008D0565" w:rsidRPr="00D61F73">
          <w:rPr>
            <w:rStyle w:val="Hyperlink"/>
            <w:rFonts w:ascii="Arial" w:hAnsi="Arial" w:cs="Arial"/>
          </w:rPr>
          <w:t>Wasner G, Schattschneider J, Baron R.</w:t>
        </w:r>
      </w:hyperlink>
      <w:r w:rsidR="008D0565" w:rsidRPr="00D61F73">
        <w:rPr>
          <w:rFonts w:ascii="Arial" w:hAnsi="Arial" w:cs="Arial"/>
        </w:rPr>
        <w:t xml:space="preserve"> Skin temperature side differences--a diagnostic tool for CRPS? </w:t>
      </w:r>
      <w:r w:rsidR="008D0565" w:rsidRPr="00D61F73">
        <w:rPr>
          <w:rFonts w:ascii="Arial" w:hAnsi="Arial" w:cs="Arial"/>
          <w:i/>
          <w:iCs/>
        </w:rPr>
        <w:t>Pain</w:t>
      </w:r>
      <w:r w:rsidR="008D0565" w:rsidRPr="00D61F73">
        <w:rPr>
          <w:rFonts w:ascii="Arial" w:hAnsi="Arial" w:cs="Arial"/>
        </w:rPr>
        <w:t>. 2002 Jul;98(1-2):19-26.</w:t>
      </w:r>
    </w:p>
    <w:p w14:paraId="2C027DDB" w14:textId="77777777" w:rsidR="008D0565" w:rsidRPr="00D61F73" w:rsidRDefault="008D0565" w:rsidP="00D61F73">
      <w:pPr>
        <w:rPr>
          <w:rFonts w:ascii="Arial" w:eastAsia="Calibri" w:hAnsi="Arial" w:cs="Arial"/>
          <w:color w:val="auto"/>
        </w:rPr>
      </w:pPr>
    </w:p>
    <w:p w14:paraId="76A312BF" w14:textId="77777777" w:rsidR="008D0565" w:rsidRPr="00D61F73" w:rsidRDefault="00751163" w:rsidP="00D61F73">
      <w:pPr>
        <w:rPr>
          <w:rFonts w:ascii="Arial" w:eastAsia="Calibri" w:hAnsi="Arial" w:cs="Arial"/>
        </w:rPr>
      </w:pPr>
      <w:hyperlink w:anchor="Wasner2010" w:history="1">
        <w:r w:rsidR="008D0565" w:rsidRPr="00D61F73">
          <w:rPr>
            <w:rStyle w:val="Hyperlink"/>
            <w:rFonts w:ascii="Arial" w:hAnsi="Arial" w:cs="Arial"/>
          </w:rPr>
          <w:t>Wasner G.</w:t>
        </w:r>
      </w:hyperlink>
      <w:r w:rsidR="008D0565" w:rsidRPr="00D61F73">
        <w:rPr>
          <w:rFonts w:ascii="Arial" w:hAnsi="Arial" w:cs="Arial"/>
        </w:rPr>
        <w:t xml:space="preserve"> Vasomotor disturbances in complex regional pain syndrome--a review. </w:t>
      </w:r>
      <w:r w:rsidR="008D0565" w:rsidRPr="00D61F73">
        <w:rPr>
          <w:rFonts w:ascii="Arial" w:hAnsi="Arial" w:cs="Arial"/>
          <w:i/>
        </w:rPr>
        <w:t>Pain Med</w:t>
      </w:r>
      <w:r w:rsidR="008D0565" w:rsidRPr="00D61F73">
        <w:rPr>
          <w:rFonts w:ascii="Arial" w:hAnsi="Arial" w:cs="Arial"/>
        </w:rPr>
        <w:t>. 2010;11:1267-73.</w:t>
      </w:r>
    </w:p>
    <w:p w14:paraId="69132192" w14:textId="77777777" w:rsidR="008D0565" w:rsidRPr="00D61F73" w:rsidRDefault="008D0565" w:rsidP="00D61F73">
      <w:pPr>
        <w:rPr>
          <w:rFonts w:ascii="Arial" w:eastAsia="Calibri" w:hAnsi="Arial" w:cs="Arial"/>
          <w:color w:val="auto"/>
        </w:rPr>
      </w:pPr>
    </w:p>
    <w:p w14:paraId="1DFBC55E" w14:textId="77777777" w:rsidR="008D0565" w:rsidRPr="00D61F73" w:rsidRDefault="00751163" w:rsidP="00D61F73">
      <w:pPr>
        <w:rPr>
          <w:rFonts w:ascii="Arial" w:eastAsia="Calibri" w:hAnsi="Arial" w:cs="Arial"/>
        </w:rPr>
      </w:pPr>
      <w:hyperlink w:anchor="Wasner2001" w:history="1">
        <w:r w:rsidR="008D0565" w:rsidRPr="00D61F73">
          <w:rPr>
            <w:rStyle w:val="Hyperlink"/>
            <w:rFonts w:ascii="Arial" w:hAnsi="Arial" w:cs="Arial"/>
          </w:rPr>
          <w:t>Wasner G, Schattschneider J, Heckmann K, Maier C, Baron R</w:t>
        </w:r>
      </w:hyperlink>
      <w:r w:rsidR="008D0565" w:rsidRPr="00D61F73">
        <w:rPr>
          <w:rFonts w:ascii="Arial" w:hAnsi="Arial" w:cs="Arial"/>
        </w:rPr>
        <w:t xml:space="preserve">. Vascular abnormalities in reflex sympathetic dystrophy (CRPS I): mechanisms and diagnostic value. </w:t>
      </w:r>
      <w:r w:rsidR="008D0565" w:rsidRPr="00D61F73">
        <w:rPr>
          <w:rFonts w:ascii="Arial" w:hAnsi="Arial" w:cs="Arial"/>
          <w:i/>
        </w:rPr>
        <w:t>Brain.</w:t>
      </w:r>
      <w:r w:rsidR="008D0565" w:rsidRPr="00D61F73">
        <w:rPr>
          <w:rFonts w:ascii="Arial" w:hAnsi="Arial" w:cs="Arial"/>
        </w:rPr>
        <w:t xml:space="preserve"> 2001;124:587-99.</w:t>
      </w:r>
    </w:p>
    <w:p w14:paraId="5ECF6D21" w14:textId="77777777" w:rsidR="008D0565" w:rsidRPr="00D61F73" w:rsidRDefault="008D0565" w:rsidP="00D61F73">
      <w:pPr>
        <w:rPr>
          <w:rFonts w:ascii="Arial" w:eastAsia="Calibri" w:hAnsi="Arial" w:cs="Arial"/>
          <w:color w:val="auto"/>
        </w:rPr>
      </w:pPr>
    </w:p>
    <w:p w14:paraId="569A7DDA" w14:textId="77777777" w:rsidR="008D0565" w:rsidRPr="00D61F73" w:rsidRDefault="00751163" w:rsidP="00D61F73">
      <w:pPr>
        <w:rPr>
          <w:rFonts w:ascii="Arial" w:hAnsi="Arial" w:cs="Arial"/>
        </w:rPr>
      </w:pPr>
      <w:hyperlink w:anchor="Wüppenhorst2010" w:history="1">
        <w:r w:rsidR="008D0565" w:rsidRPr="00D61F73">
          <w:rPr>
            <w:rStyle w:val="Hyperlink"/>
            <w:rFonts w:ascii="Arial" w:hAnsi="Arial" w:cs="Arial"/>
          </w:rPr>
          <w:t>Wüppenhorst N, Maier C, Frettlöh J, Pennekamp W, Nicolas V.</w:t>
        </w:r>
      </w:hyperlink>
      <w:r w:rsidR="008D0565" w:rsidRPr="00D61F73">
        <w:rPr>
          <w:rFonts w:ascii="Arial" w:hAnsi="Arial" w:cs="Arial"/>
        </w:rPr>
        <w:t xml:space="preserve"> Sensitivity and specificity of 3-phase bone scintigraphy in the diagnosis of complex regional pain syndrome of the upper extremity. </w:t>
      </w:r>
      <w:r w:rsidR="008D0565" w:rsidRPr="00D61F73">
        <w:rPr>
          <w:rFonts w:ascii="Arial" w:hAnsi="Arial" w:cs="Arial"/>
          <w:i/>
        </w:rPr>
        <w:t>Clin J Pain</w:t>
      </w:r>
      <w:r w:rsidR="008D0565" w:rsidRPr="00D61F73">
        <w:rPr>
          <w:rFonts w:ascii="Arial" w:hAnsi="Arial" w:cs="Arial"/>
        </w:rPr>
        <w:t>. 2010;26:182-9.</w:t>
      </w:r>
      <w:r w:rsidR="008D0565" w:rsidRPr="00D61F73">
        <w:rPr>
          <w:rFonts w:ascii="Arial" w:hAnsi="Arial" w:cs="Arial"/>
        </w:rPr>
        <w:br/>
      </w:r>
    </w:p>
    <w:p w14:paraId="7FDAFF7D" w14:textId="77777777" w:rsidR="008D0565" w:rsidRPr="00D61F73" w:rsidRDefault="00751163" w:rsidP="00D61F73">
      <w:pPr>
        <w:rPr>
          <w:rFonts w:ascii="Arial" w:hAnsi="Arial" w:cs="Arial"/>
        </w:rPr>
      </w:pPr>
      <w:hyperlink w:anchor="Yung" w:history="1">
        <w:r w:rsidR="008D0565" w:rsidRPr="00D61F73">
          <w:rPr>
            <w:rStyle w:val="Hyperlink"/>
            <w:rFonts w:ascii="Arial" w:hAnsi="Arial" w:cs="Arial"/>
          </w:rPr>
          <w:t>Yung Chung O, Bruehl SP.</w:t>
        </w:r>
      </w:hyperlink>
      <w:r w:rsidR="008D0565" w:rsidRPr="00D61F73">
        <w:rPr>
          <w:rFonts w:ascii="Arial" w:hAnsi="Arial" w:cs="Arial"/>
        </w:rPr>
        <w:t xml:space="preserve"> Complex Regional Pain Syndrome. </w:t>
      </w:r>
      <w:r w:rsidR="008D0565" w:rsidRPr="00D61F73">
        <w:rPr>
          <w:rFonts w:ascii="Arial" w:hAnsi="Arial" w:cs="Arial"/>
          <w:i/>
          <w:iCs/>
        </w:rPr>
        <w:t>Curr Treat Options Neurol</w:t>
      </w:r>
      <w:r w:rsidR="008D0565" w:rsidRPr="00D61F73">
        <w:rPr>
          <w:rFonts w:ascii="Arial" w:hAnsi="Arial" w:cs="Arial"/>
        </w:rPr>
        <w:t>. 2003 Nov;5(6):499-511.</w:t>
      </w:r>
    </w:p>
    <w:p w14:paraId="0F8862D0" w14:textId="77777777" w:rsidR="008D0565" w:rsidRPr="00D61F73" w:rsidRDefault="008D0565" w:rsidP="00D61F73">
      <w:pPr>
        <w:rPr>
          <w:rFonts w:ascii="Arial" w:hAnsi="Arial" w:cs="Arial"/>
          <w:color w:val="auto"/>
        </w:rPr>
      </w:pPr>
    </w:p>
    <w:p w14:paraId="7E437789" w14:textId="77777777" w:rsidR="008D0565" w:rsidRPr="00D61F73" w:rsidRDefault="00751163" w:rsidP="00D61F73">
      <w:pPr>
        <w:rPr>
          <w:rFonts w:ascii="Arial" w:hAnsi="Arial" w:cs="Arial"/>
        </w:rPr>
      </w:pPr>
      <w:hyperlink w:anchor="Zyluk2013" w:history="1">
        <w:r w:rsidR="008D0565" w:rsidRPr="00D61F73">
          <w:rPr>
            <w:rStyle w:val="Hyperlink"/>
            <w:rFonts w:ascii="Arial" w:hAnsi="Arial" w:cs="Arial"/>
          </w:rPr>
          <w:t>Zyluk A, Puchalski P.</w:t>
        </w:r>
      </w:hyperlink>
      <w:r w:rsidR="008D0565" w:rsidRPr="00D61F73">
        <w:rPr>
          <w:rFonts w:ascii="Arial" w:hAnsi="Arial" w:cs="Arial"/>
        </w:rPr>
        <w:t xml:space="preserve"> Complex regional pain syndrome: observations on diagnosis, treatment and definition of a new subgroup. </w:t>
      </w:r>
      <w:r w:rsidR="008D0565" w:rsidRPr="00D61F73">
        <w:rPr>
          <w:rFonts w:ascii="Arial" w:hAnsi="Arial" w:cs="Arial"/>
          <w:i/>
        </w:rPr>
        <w:t>J Hand Surg Eur</w:t>
      </w:r>
      <w:r w:rsidR="008D0565" w:rsidRPr="00D61F73">
        <w:rPr>
          <w:rFonts w:ascii="Arial" w:hAnsi="Arial" w:cs="Arial"/>
        </w:rPr>
        <w:t>. 2013;38:599-606.</w:t>
      </w:r>
    </w:p>
    <w:p w14:paraId="7D4DC8E3" w14:textId="77777777" w:rsidR="0078150B" w:rsidRPr="00D61F73" w:rsidRDefault="0078150B" w:rsidP="00D61F73">
      <w:pPr>
        <w:pStyle w:val="xl23"/>
        <w:spacing w:before="0" w:beforeAutospacing="0" w:after="0" w:afterAutospacing="0"/>
        <w:rPr>
          <w:b/>
          <w:bCs/>
        </w:rPr>
      </w:pPr>
    </w:p>
    <w:p w14:paraId="2C20B210" w14:textId="77777777" w:rsidR="008D0565" w:rsidRPr="00D61F73" w:rsidRDefault="008D0565" w:rsidP="00D61F73">
      <w:pPr>
        <w:pStyle w:val="xl23"/>
        <w:spacing w:before="0" w:beforeAutospacing="0" w:after="0" w:afterAutospacing="0"/>
      </w:pPr>
      <w:r w:rsidRPr="00D61F73">
        <w:rPr>
          <w:b/>
          <w:bCs/>
        </w:rPr>
        <w:t>T</w:t>
      </w:r>
      <w:bookmarkStart w:id="422" w:name="THERAPEUTICINTERVENTION"/>
      <w:bookmarkEnd w:id="422"/>
      <w:r w:rsidRPr="00D61F73">
        <w:rPr>
          <w:b/>
          <w:bCs/>
        </w:rPr>
        <w:t>HERAPEUTIC INTERVENTION</w:t>
      </w:r>
    </w:p>
    <w:p w14:paraId="7D5BE48E" w14:textId="77777777" w:rsidR="008D0565" w:rsidRPr="00D61F73" w:rsidRDefault="008D0565" w:rsidP="00D61F73">
      <w:pPr>
        <w:rPr>
          <w:rFonts w:ascii="Arial" w:hAnsi="Arial" w:cs="Arial"/>
        </w:rPr>
      </w:pPr>
    </w:p>
    <w:p w14:paraId="495C0622" w14:textId="77777777" w:rsidR="008D0565" w:rsidRPr="00D61F73" w:rsidRDefault="00751163" w:rsidP="00D61F73">
      <w:pPr>
        <w:rPr>
          <w:rFonts w:ascii="Arial" w:hAnsi="Arial" w:cs="Arial"/>
        </w:rPr>
      </w:pPr>
      <w:hyperlink w:anchor="Angel" w:history="1">
        <w:r w:rsidR="008D0565" w:rsidRPr="00D61F73">
          <w:rPr>
            <w:rStyle w:val="Hyperlink"/>
            <w:rFonts w:ascii="Arial" w:hAnsi="Arial" w:cs="Arial"/>
          </w:rPr>
          <w:t>Angel IF, Gould HJ Jr, Carey ME.</w:t>
        </w:r>
      </w:hyperlink>
      <w:r w:rsidR="008D0565" w:rsidRPr="00D61F73">
        <w:rPr>
          <w:rFonts w:ascii="Arial" w:hAnsi="Arial" w:cs="Arial"/>
        </w:rPr>
        <w:t xml:space="preserve"> Intrathecal morphine pump as a treatment option in chronic pain of nonmalignant origin. </w:t>
      </w:r>
      <w:r w:rsidR="008D0565" w:rsidRPr="00D61F73">
        <w:rPr>
          <w:rFonts w:ascii="Arial" w:hAnsi="Arial" w:cs="Arial"/>
          <w:i/>
          <w:iCs/>
        </w:rPr>
        <w:t>Surg Neurol</w:t>
      </w:r>
      <w:r w:rsidR="008D0565" w:rsidRPr="00D61F73">
        <w:rPr>
          <w:rFonts w:ascii="Arial" w:hAnsi="Arial" w:cs="Arial"/>
        </w:rPr>
        <w:t>. 1998 Jan;49(1):92-8; discussion 98-9.</w:t>
      </w:r>
    </w:p>
    <w:p w14:paraId="6A642B94" w14:textId="77777777" w:rsidR="008D0565" w:rsidRPr="00D61F73" w:rsidRDefault="008D0565" w:rsidP="00D61F73">
      <w:pPr>
        <w:rPr>
          <w:rFonts w:ascii="Arial" w:hAnsi="Arial" w:cs="Arial"/>
        </w:rPr>
      </w:pPr>
    </w:p>
    <w:p w14:paraId="1FE8B5D1" w14:textId="77777777" w:rsidR="008D0565" w:rsidRPr="00D61F73" w:rsidRDefault="00751163" w:rsidP="00D61F73">
      <w:pPr>
        <w:rPr>
          <w:rFonts w:ascii="Arial" w:hAnsi="Arial" w:cs="Arial"/>
        </w:rPr>
      </w:pPr>
      <w:hyperlink w:anchor="Bennett2000" w:history="1">
        <w:r w:rsidR="008D0565" w:rsidRPr="00D61F73">
          <w:rPr>
            <w:rStyle w:val="Hyperlink"/>
            <w:rFonts w:ascii="Arial" w:hAnsi="Arial" w:cs="Arial"/>
          </w:rPr>
          <w:t>Bennett G, Burchiel K, Buchser E, Classen A, Deer T, Du Pen S, Ferrante FM, Hassenbusch SJ, Lou L, Maeyaert J, Penn R, Portenoy RK, Rauck R, Serafini M, Willis KD, Yaksh T</w:t>
        </w:r>
      </w:hyperlink>
      <w:r w:rsidR="008D0565" w:rsidRPr="00D61F73">
        <w:rPr>
          <w:rFonts w:ascii="Arial" w:hAnsi="Arial" w:cs="Arial"/>
        </w:rPr>
        <w:t xml:space="preserve">. Clinical guidelines for intraspinal infusion: report of an expert panel. PolyAnalgesic Consensus Conference 2000. </w:t>
      </w:r>
      <w:r w:rsidR="008D0565" w:rsidRPr="00D61F73">
        <w:rPr>
          <w:rFonts w:ascii="Arial" w:hAnsi="Arial" w:cs="Arial"/>
          <w:i/>
          <w:iCs/>
        </w:rPr>
        <w:t>J Pain Symptom Manage</w:t>
      </w:r>
      <w:r w:rsidR="008D0565" w:rsidRPr="00D61F73">
        <w:rPr>
          <w:rFonts w:ascii="Arial" w:hAnsi="Arial" w:cs="Arial"/>
        </w:rPr>
        <w:t>. 2000 Aug;20(2):S37-43.</w:t>
      </w:r>
    </w:p>
    <w:p w14:paraId="3D93DFBA" w14:textId="77777777" w:rsidR="008D0565" w:rsidRPr="00D61F73" w:rsidRDefault="008D0565" w:rsidP="00D61F73">
      <w:pPr>
        <w:rPr>
          <w:rFonts w:ascii="Arial" w:hAnsi="Arial" w:cs="Arial"/>
        </w:rPr>
      </w:pPr>
    </w:p>
    <w:p w14:paraId="6CFAC360" w14:textId="77777777" w:rsidR="008D0565" w:rsidRPr="00D61F73" w:rsidRDefault="00751163" w:rsidP="00D61F73">
      <w:pPr>
        <w:rPr>
          <w:rFonts w:ascii="Arial" w:hAnsi="Arial" w:cs="Arial"/>
        </w:rPr>
      </w:pPr>
      <w:hyperlink w:anchor="BlueCross" w:history="1">
        <w:r w:rsidR="008D0565" w:rsidRPr="00D61F73">
          <w:rPr>
            <w:rStyle w:val="Hyperlink"/>
            <w:rFonts w:ascii="Arial" w:hAnsi="Arial" w:cs="Arial"/>
          </w:rPr>
          <w:t>BlueCross</w:t>
        </w:r>
      </w:hyperlink>
      <w:r w:rsidR="008D0565" w:rsidRPr="00D61F73">
        <w:rPr>
          <w:rFonts w:ascii="Arial" w:hAnsi="Arial" w:cs="Arial"/>
        </w:rPr>
        <w:t xml:space="preserve">. Pulsed Radiofrequency (PRF) Treatment for Chronic Pain Syndromes. Policy #: MED.00071. Current Effective Date: 09/22/2005 </w:t>
      </w:r>
    </w:p>
    <w:p w14:paraId="6B262DC9" w14:textId="77777777" w:rsidR="008D0565" w:rsidRPr="00D61F73" w:rsidRDefault="008D0565" w:rsidP="00D61F73">
      <w:pPr>
        <w:rPr>
          <w:rFonts w:ascii="Arial" w:hAnsi="Arial" w:cs="Arial"/>
        </w:rPr>
      </w:pPr>
    </w:p>
    <w:p w14:paraId="32B77839" w14:textId="77777777" w:rsidR="008D0565" w:rsidRPr="00D61F73" w:rsidRDefault="00751163" w:rsidP="00D61F73">
      <w:pPr>
        <w:rPr>
          <w:rFonts w:ascii="Arial" w:hAnsi="Arial" w:cs="Arial"/>
        </w:rPr>
      </w:pPr>
      <w:hyperlink w:anchor="BlueCross2" w:history="1">
        <w:r w:rsidR="008D0565" w:rsidRPr="00D61F73">
          <w:rPr>
            <w:rStyle w:val="Hyperlink"/>
            <w:rFonts w:ascii="Arial" w:hAnsi="Arial" w:cs="Arial"/>
          </w:rPr>
          <w:t>BlueCross of California</w:t>
        </w:r>
      </w:hyperlink>
      <w:r w:rsidR="008D0565" w:rsidRPr="00D61F73">
        <w:rPr>
          <w:rFonts w:ascii="Arial" w:hAnsi="Arial" w:cs="Arial"/>
        </w:rPr>
        <w:t xml:space="preserve">. Implantable Infusion Pumps. Policy #: SURG.00068. Current Effective Date: 07/14/2005 </w:t>
      </w:r>
    </w:p>
    <w:p w14:paraId="438BF474" w14:textId="77777777" w:rsidR="008D0565" w:rsidRPr="00D61F73" w:rsidRDefault="008D0565" w:rsidP="00D61F73">
      <w:pPr>
        <w:rPr>
          <w:rFonts w:ascii="Arial" w:hAnsi="Arial" w:cs="Arial"/>
        </w:rPr>
      </w:pPr>
    </w:p>
    <w:p w14:paraId="6B2DE67F" w14:textId="77777777" w:rsidR="008D0565" w:rsidRPr="00D61F73" w:rsidRDefault="00751163" w:rsidP="00D61F73">
      <w:pPr>
        <w:rPr>
          <w:rFonts w:ascii="Arial" w:hAnsi="Arial" w:cs="Arial"/>
        </w:rPr>
      </w:pPr>
      <w:hyperlink w:anchor="Blum" w:history="1">
        <w:r w:rsidR="008D0565" w:rsidRPr="00D61F73">
          <w:rPr>
            <w:rStyle w:val="Hyperlink"/>
            <w:rFonts w:ascii="Arial" w:hAnsi="Arial" w:cs="Arial"/>
          </w:rPr>
          <w:t>Blum K, Chen TJ, Martinez-Pons M, Dinubile NA, Waite RL, Schoolfield J, Blum SH, Mengucci J, Downs BW, Meshkin B</w:t>
        </w:r>
      </w:hyperlink>
      <w:r w:rsidR="008D0565" w:rsidRPr="00D61F73">
        <w:rPr>
          <w:rFonts w:ascii="Arial" w:hAnsi="Arial" w:cs="Arial"/>
        </w:rPr>
        <w:t xml:space="preserve">. The H-Wave small muscle fiber stimulator, a nonpharmacologic alternative for the treatment of chronic soft-tissue injury and neuropathic pain: an extended population observational study. </w:t>
      </w:r>
      <w:r w:rsidR="008D0565" w:rsidRPr="00D61F73">
        <w:rPr>
          <w:rFonts w:ascii="Arial" w:hAnsi="Arial" w:cs="Arial"/>
          <w:i/>
          <w:iCs/>
        </w:rPr>
        <w:t>Adv Ther</w:t>
      </w:r>
      <w:r w:rsidR="008D0565" w:rsidRPr="00D61F73">
        <w:rPr>
          <w:rFonts w:ascii="Arial" w:hAnsi="Arial" w:cs="Arial"/>
        </w:rPr>
        <w:t>. 2006 Sep-Oct;23(5):739-49.</w:t>
      </w:r>
    </w:p>
    <w:p w14:paraId="5AF0869A" w14:textId="77777777" w:rsidR="00E55348" w:rsidRPr="00D61F73" w:rsidRDefault="00E55348" w:rsidP="00D61F73">
      <w:pPr>
        <w:rPr>
          <w:rFonts w:ascii="Arial" w:hAnsi="Arial" w:cs="Arial"/>
        </w:rPr>
      </w:pPr>
    </w:p>
    <w:p w14:paraId="5868B482" w14:textId="77777777" w:rsidR="00E55348" w:rsidRPr="00D61F73" w:rsidRDefault="00751163" w:rsidP="00D61F73">
      <w:pPr>
        <w:rPr>
          <w:rFonts w:ascii="Arial" w:hAnsi="Arial" w:cs="Arial"/>
          <w:bCs/>
        </w:rPr>
      </w:pPr>
      <w:hyperlink w:anchor="Blum2" w:history="1">
        <w:r w:rsidR="00E55348" w:rsidRPr="00D61F73">
          <w:rPr>
            <w:rStyle w:val="Hyperlink"/>
            <w:rFonts w:ascii="Arial" w:hAnsi="Arial" w:cs="Arial"/>
          </w:rPr>
          <w:t>Blum K, DiNubile NA, Tekten T, Chen TJ, Waite RL, Schoolfield J, Martinez-Pons M, Callahan MF, Smith TL, Mengucci J, Blum SH, Meshkin B.</w:t>
        </w:r>
      </w:hyperlink>
      <w:r w:rsidR="00E55348" w:rsidRPr="00D61F73">
        <w:rPr>
          <w:rFonts w:ascii="Arial" w:hAnsi="Arial" w:cs="Arial"/>
          <w:bCs/>
        </w:rPr>
        <w:t xml:space="preserve"> H-Wave, a nonpharmacologic alternative for the treatment of patients with chronic soft tissue inflammation and neuropathic pain: a preliminary statistical outcome study. </w:t>
      </w:r>
      <w:r w:rsidR="00E55348" w:rsidRPr="00D61F73">
        <w:rPr>
          <w:rFonts w:ascii="Arial" w:hAnsi="Arial" w:cs="Arial"/>
          <w:bCs/>
          <w:i/>
          <w:iCs/>
        </w:rPr>
        <w:t>Adv Ther</w:t>
      </w:r>
      <w:r w:rsidR="00E55348" w:rsidRPr="00D61F73">
        <w:rPr>
          <w:rFonts w:ascii="Arial" w:hAnsi="Arial" w:cs="Arial"/>
          <w:bCs/>
        </w:rPr>
        <w:t xml:space="preserve">. 2006 May-Jun;23(3):446-55. </w:t>
      </w:r>
    </w:p>
    <w:p w14:paraId="43E1D504" w14:textId="77777777" w:rsidR="008D0565" w:rsidRPr="00D61F73" w:rsidRDefault="008D0565" w:rsidP="00D61F73">
      <w:pPr>
        <w:rPr>
          <w:rFonts w:ascii="Arial" w:hAnsi="Arial" w:cs="Arial"/>
        </w:rPr>
      </w:pPr>
    </w:p>
    <w:p w14:paraId="49B5C29C" w14:textId="77777777" w:rsidR="00E55348" w:rsidRPr="00D61F73" w:rsidRDefault="00751163" w:rsidP="00D61F73">
      <w:pPr>
        <w:rPr>
          <w:rFonts w:ascii="Arial" w:hAnsi="Arial" w:cs="Arial"/>
          <w:bCs/>
        </w:rPr>
      </w:pPr>
      <w:hyperlink w:anchor="Blum3" w:history="1">
        <w:r w:rsidR="008D0565" w:rsidRPr="00D61F73">
          <w:rPr>
            <w:rStyle w:val="Hyperlink"/>
            <w:rFonts w:ascii="Arial" w:hAnsi="Arial" w:cs="Arial"/>
            <w:bCs/>
          </w:rPr>
          <w:t>Blum K, Chen AL, Chen TJ, Prihoda TJ, Schoolfield J, Dinubile N, Waite RL, Arcuri V, Kerner M, Braverman ER, Rhoades P, Tung H.</w:t>
        </w:r>
      </w:hyperlink>
      <w:r w:rsidR="008D0565" w:rsidRPr="00D61F73">
        <w:rPr>
          <w:rFonts w:ascii="Arial" w:hAnsi="Arial" w:cs="Arial"/>
          <w:bCs/>
        </w:rPr>
        <w:t xml:space="preserve"> The H-Wave(R) device is an effective and safe non-pharmacological analgesic for chronic pain: a meta-analysis. </w:t>
      </w:r>
      <w:r w:rsidR="008D0565" w:rsidRPr="00D61F73">
        <w:rPr>
          <w:rFonts w:ascii="Arial" w:hAnsi="Arial" w:cs="Arial"/>
          <w:bCs/>
          <w:i/>
          <w:iCs/>
        </w:rPr>
        <w:t>Adv Ther.</w:t>
      </w:r>
      <w:r w:rsidR="008D0565" w:rsidRPr="00D61F73">
        <w:rPr>
          <w:rFonts w:ascii="Arial" w:hAnsi="Arial" w:cs="Arial"/>
          <w:bCs/>
        </w:rPr>
        <w:t xml:space="preserve"> 2008 Jul;25(7):644-57.</w:t>
      </w:r>
    </w:p>
    <w:p w14:paraId="5CF7B170" w14:textId="77777777" w:rsidR="006F631E" w:rsidRPr="00D61F73" w:rsidRDefault="006F631E" w:rsidP="00D61F73">
      <w:pPr>
        <w:rPr>
          <w:rFonts w:ascii="Arial" w:hAnsi="Arial" w:cs="Arial"/>
          <w:bCs/>
        </w:rPr>
      </w:pPr>
    </w:p>
    <w:p w14:paraId="255EFC91" w14:textId="77777777" w:rsidR="006F631E" w:rsidRPr="00D61F73" w:rsidRDefault="00751163" w:rsidP="00D61F73">
      <w:pPr>
        <w:pStyle w:val="ListParagraph"/>
        <w:ind w:left="0"/>
        <w:rPr>
          <w:rFonts w:ascii="Arial" w:hAnsi="Arial" w:cs="Arial"/>
          <w:sz w:val="24"/>
          <w:szCs w:val="24"/>
        </w:rPr>
      </w:pPr>
      <w:hyperlink w:anchor="Blum2009" w:history="1">
        <w:r w:rsidR="006F631E" w:rsidRPr="00D61F73">
          <w:rPr>
            <w:rStyle w:val="Hyperlink"/>
            <w:rFonts w:ascii="Arial" w:hAnsi="Arial" w:cs="Arial"/>
            <w:sz w:val="24"/>
            <w:szCs w:val="24"/>
          </w:rPr>
          <w:t>Blum K, Chen AL, Chen TJ, Waite, RL, Downs BW, Braverman ER, Mallory MK, Savarimuthu SM, DiNubile N.</w:t>
        </w:r>
      </w:hyperlink>
      <w:r w:rsidR="006F631E" w:rsidRPr="00D61F73">
        <w:rPr>
          <w:rFonts w:ascii="Arial" w:hAnsi="Arial" w:cs="Arial"/>
          <w:sz w:val="24"/>
          <w:szCs w:val="24"/>
        </w:rPr>
        <w:t xml:space="preserve"> Repetitive H-Wave® device stimulation and program induces significant increases in the range of motion of post operative rotator cuff reconstruction in a double-blinded randomized placebo controlled human study. BMC Musculoskelet Disord. 2009 Oct 29;10:132.</w:t>
      </w:r>
    </w:p>
    <w:p w14:paraId="480C0936" w14:textId="77777777" w:rsidR="008D0565" w:rsidRPr="00D61F73" w:rsidRDefault="008D0565" w:rsidP="00D61F73">
      <w:pPr>
        <w:rPr>
          <w:rFonts w:ascii="Arial" w:hAnsi="Arial" w:cs="Arial"/>
        </w:rPr>
      </w:pPr>
    </w:p>
    <w:p w14:paraId="10CA41D9" w14:textId="77777777" w:rsidR="008D0565" w:rsidRPr="00D61F73" w:rsidRDefault="00751163" w:rsidP="00D61F73">
      <w:pPr>
        <w:rPr>
          <w:rFonts w:ascii="Arial" w:hAnsi="Arial" w:cs="Arial"/>
        </w:rPr>
      </w:pPr>
      <w:hyperlink w:anchor="Boswell" w:history="1">
        <w:r w:rsidR="008D0565" w:rsidRPr="00D61F73">
          <w:rPr>
            <w:rStyle w:val="Hyperlink"/>
            <w:rFonts w:ascii="Arial" w:hAnsi="Arial" w:cs="Arial"/>
          </w:rPr>
          <w:t>Boswell MV, Shah RV, Everett CR, Sehgal N, Mckenzie-Brown AM, Abdi S, Bowman RC, Deer TR, Datta S, Colson JD, Spillane WF, Smith HS, Lucas LF, Burton AW, Chopra P, Staats PS, Wasserman RA, Manchikanti L</w:t>
        </w:r>
      </w:hyperlink>
      <w:r w:rsidR="008D0565" w:rsidRPr="00D61F73">
        <w:rPr>
          <w:rFonts w:ascii="Arial" w:hAnsi="Arial" w:cs="Arial"/>
        </w:rPr>
        <w:t xml:space="preserve">. Interventional Techniques in The Management of Chronic Spinal Pain: Evidence-Based Practice Guidelines. </w:t>
      </w:r>
      <w:r w:rsidR="008D0565" w:rsidRPr="00D61F73">
        <w:rPr>
          <w:rFonts w:ascii="Arial" w:hAnsi="Arial" w:cs="Arial"/>
          <w:i/>
          <w:iCs/>
        </w:rPr>
        <w:t>Pain Physician.</w:t>
      </w:r>
      <w:r w:rsidR="008D0565" w:rsidRPr="00D61F73">
        <w:rPr>
          <w:rFonts w:ascii="Arial" w:hAnsi="Arial" w:cs="Arial"/>
        </w:rPr>
        <w:t xml:space="preserve"> 2005;8:1-47</w:t>
      </w:r>
    </w:p>
    <w:p w14:paraId="3A4CE485" w14:textId="77777777" w:rsidR="008D0565" w:rsidRPr="00D61F73" w:rsidRDefault="008D0565" w:rsidP="00D61F73">
      <w:pPr>
        <w:rPr>
          <w:rFonts w:ascii="Arial" w:hAnsi="Arial" w:cs="Arial"/>
        </w:rPr>
      </w:pPr>
    </w:p>
    <w:p w14:paraId="32E78F1E" w14:textId="77777777" w:rsidR="008D0565" w:rsidRPr="00D61F73" w:rsidRDefault="00751163" w:rsidP="00D61F73">
      <w:pPr>
        <w:rPr>
          <w:rFonts w:ascii="Arial" w:hAnsi="Arial" w:cs="Arial"/>
        </w:rPr>
      </w:pPr>
      <w:hyperlink w:anchor="Boswell3" w:history="1">
        <w:r w:rsidR="008D0565" w:rsidRPr="00D61F73">
          <w:rPr>
            <w:rStyle w:val="Hyperlink"/>
            <w:rFonts w:ascii="Arial" w:hAnsi="Arial" w:cs="Arial"/>
          </w:rPr>
          <w:t>Boswell MV, Trescot AM, Datta S, Schultz DM, Hansen HC, Abdi S, Sehgal N, Shah RV, Singh V, Benyamin RM, Patel VB, Buenaventura RM, Colson JD, Cordner HJ, Epter RS, Jasper JF, Dunbar EE, Atluri SL, Bowman RC, Deer TR, Swicegood JR, Staats PS, Smith HS, Burton AW, Kloth DS, Giordano J, Manchikanti L</w:t>
        </w:r>
      </w:hyperlink>
      <w:r w:rsidR="008D0565" w:rsidRPr="00D61F73">
        <w:rPr>
          <w:rFonts w:ascii="Arial" w:hAnsi="Arial" w:cs="Arial"/>
        </w:rPr>
        <w:t xml:space="preserve">. Interventional Techniques: Evidence-based Practice Guidelines in the Management of Chronic Spinal Pain. </w:t>
      </w:r>
      <w:r w:rsidR="008D0565" w:rsidRPr="00D61F73">
        <w:rPr>
          <w:rFonts w:ascii="Arial" w:hAnsi="Arial" w:cs="Arial"/>
          <w:i/>
        </w:rPr>
        <w:t>Pain Physician</w:t>
      </w:r>
      <w:r w:rsidR="008D0565" w:rsidRPr="00D61F73">
        <w:rPr>
          <w:rFonts w:ascii="Arial" w:hAnsi="Arial" w:cs="Arial"/>
        </w:rPr>
        <w:t xml:space="preserve">. 2007;10:7-111. </w:t>
      </w:r>
    </w:p>
    <w:p w14:paraId="786A52B4" w14:textId="77777777" w:rsidR="00AA6004" w:rsidRPr="00D61F73" w:rsidRDefault="00AA6004" w:rsidP="00D61F73">
      <w:pPr>
        <w:rPr>
          <w:rFonts w:ascii="Arial" w:hAnsi="Arial" w:cs="Arial"/>
        </w:rPr>
      </w:pPr>
    </w:p>
    <w:p w14:paraId="21F3B74F" w14:textId="77777777" w:rsidR="00AA6004" w:rsidRPr="00D61F73" w:rsidRDefault="00751163" w:rsidP="00D61F73">
      <w:pPr>
        <w:rPr>
          <w:rFonts w:ascii="Arial" w:hAnsi="Arial" w:cs="Arial"/>
        </w:rPr>
      </w:pPr>
      <w:hyperlink w:anchor="Burch" w:history="1">
        <w:r w:rsidR="00AA6004" w:rsidRPr="00D61F73">
          <w:rPr>
            <w:rStyle w:val="Hyperlink"/>
            <w:rFonts w:ascii="Arial" w:hAnsi="Arial" w:cs="Arial"/>
          </w:rPr>
          <w:t>Burch FX, Tarro JN, Greenberg JJ, Carroll WJ.</w:t>
        </w:r>
      </w:hyperlink>
      <w:r w:rsidR="00AA6004" w:rsidRPr="00D61F73">
        <w:rPr>
          <w:rFonts w:ascii="Arial" w:hAnsi="Arial" w:cs="Arial"/>
        </w:rPr>
        <w:t xml:space="preserve"> Evaluating the benefits of patterned stimulation in the treatment of osteoarthritis of the knee: a multi-center, randomized, single-blind, controlled study with an independent masked evaluator. Osteoarthritis Cartilage. 2008 Aug;16(8):865-72. Epub 2008 Feb 8. </w:t>
      </w:r>
    </w:p>
    <w:p w14:paraId="1DCC052D" w14:textId="77777777" w:rsidR="008D0565" w:rsidRPr="00D61F73" w:rsidRDefault="008D0565" w:rsidP="00D61F73">
      <w:pPr>
        <w:rPr>
          <w:rFonts w:ascii="Arial" w:hAnsi="Arial" w:cs="Arial"/>
        </w:rPr>
      </w:pPr>
    </w:p>
    <w:p w14:paraId="36EF6105" w14:textId="77777777" w:rsidR="008D0565" w:rsidRPr="00D61F73" w:rsidRDefault="00751163" w:rsidP="00D61F73">
      <w:pPr>
        <w:rPr>
          <w:rFonts w:ascii="Arial" w:hAnsi="Arial" w:cs="Arial"/>
        </w:rPr>
      </w:pPr>
      <w:hyperlink w:anchor="Coffey" w:history="1">
        <w:r w:rsidR="008D0565" w:rsidRPr="00D61F73">
          <w:rPr>
            <w:rStyle w:val="Hyperlink"/>
            <w:rFonts w:ascii="Arial" w:hAnsi="Arial" w:cs="Arial"/>
          </w:rPr>
          <w:t>Coffey RJ, Owens ML, Broste SK, Dubois MY, Ferrante FM, Schultz DM</w:t>
        </w:r>
      </w:hyperlink>
      <w:r w:rsidR="008D0565" w:rsidRPr="00D61F73">
        <w:rPr>
          <w:rFonts w:ascii="Arial" w:hAnsi="Arial" w:cs="Arial"/>
        </w:rPr>
        <w:t xml:space="preserve">, et al. Mortality associated with implantation and management of intrathecal opioid drug infusion systems to treat non-cancer pain. </w:t>
      </w:r>
      <w:r w:rsidR="008D0565" w:rsidRPr="00D61F73">
        <w:rPr>
          <w:rFonts w:ascii="Arial" w:hAnsi="Arial" w:cs="Arial"/>
          <w:i/>
          <w:iCs/>
        </w:rPr>
        <w:t>Anesthesiology</w:t>
      </w:r>
      <w:r w:rsidR="008D0565" w:rsidRPr="00D61F73">
        <w:rPr>
          <w:rFonts w:ascii="Arial" w:hAnsi="Arial" w:cs="Arial"/>
        </w:rPr>
        <w:t xml:space="preserve"> 2009;111(4):881-891.</w:t>
      </w:r>
    </w:p>
    <w:p w14:paraId="1869D635" w14:textId="77777777" w:rsidR="008D0565" w:rsidRPr="00D61F73" w:rsidRDefault="008D0565" w:rsidP="00D61F73">
      <w:pPr>
        <w:rPr>
          <w:rFonts w:ascii="Arial" w:hAnsi="Arial" w:cs="Arial"/>
        </w:rPr>
      </w:pPr>
    </w:p>
    <w:p w14:paraId="2F4B7D7B" w14:textId="77777777" w:rsidR="008D0565" w:rsidRPr="00D61F73" w:rsidRDefault="00751163" w:rsidP="00D61F73">
      <w:pPr>
        <w:rPr>
          <w:rFonts w:ascii="Arial" w:hAnsi="Arial" w:cs="Arial"/>
        </w:rPr>
      </w:pPr>
      <w:hyperlink w:anchor="Deer2" w:history="1">
        <w:r w:rsidR="008D0565" w:rsidRPr="00D61F73">
          <w:rPr>
            <w:rStyle w:val="Hyperlink"/>
            <w:rFonts w:ascii="Arial" w:hAnsi="Arial" w:cs="Arial"/>
          </w:rPr>
          <w:t>Deer T, Chapple I, Classen A, et al</w:t>
        </w:r>
      </w:hyperlink>
      <w:r w:rsidR="008D0565" w:rsidRPr="00D61F73">
        <w:rPr>
          <w:rFonts w:ascii="Arial" w:hAnsi="Arial" w:cs="Arial"/>
        </w:rPr>
        <w:t xml:space="preserve">. Intrathecal Drug Delivery for Treatment of Chronic Low Back Pain: Report From the National Outcomes Registry for Low Back Pain. </w:t>
      </w:r>
      <w:r w:rsidR="008D0565" w:rsidRPr="00D61F73">
        <w:rPr>
          <w:rFonts w:ascii="Arial" w:hAnsi="Arial" w:cs="Arial"/>
          <w:i/>
          <w:iCs/>
        </w:rPr>
        <w:t>Pain Med</w:t>
      </w:r>
      <w:r w:rsidR="008D0565" w:rsidRPr="00D61F73">
        <w:rPr>
          <w:rFonts w:ascii="Arial" w:hAnsi="Arial" w:cs="Arial"/>
        </w:rPr>
        <w:t xml:space="preserve"> 2004;5:6-13.</w:t>
      </w:r>
    </w:p>
    <w:p w14:paraId="7E19A36F" w14:textId="77777777" w:rsidR="008D0565" w:rsidRPr="00D61F73" w:rsidRDefault="008D0565" w:rsidP="00D61F73">
      <w:pPr>
        <w:rPr>
          <w:rFonts w:ascii="Arial" w:hAnsi="Arial" w:cs="Arial"/>
        </w:rPr>
      </w:pPr>
    </w:p>
    <w:p w14:paraId="389FCBAA" w14:textId="77777777" w:rsidR="008D0565" w:rsidRPr="00D61F73" w:rsidRDefault="00751163" w:rsidP="00D61F73">
      <w:pPr>
        <w:rPr>
          <w:rFonts w:ascii="Arial" w:hAnsi="Arial" w:cs="Arial"/>
        </w:rPr>
      </w:pPr>
      <w:hyperlink w:anchor="Dubinsky" w:history="1">
        <w:r w:rsidR="008D0565" w:rsidRPr="00D61F73">
          <w:rPr>
            <w:rStyle w:val="Hyperlink"/>
            <w:rFonts w:ascii="Arial" w:hAnsi="Arial" w:cs="Arial"/>
          </w:rPr>
          <w:t>Dubinsky RM, Miyasaki J</w:t>
        </w:r>
      </w:hyperlink>
      <w:r w:rsidR="008D0565" w:rsidRPr="00D61F73">
        <w:rPr>
          <w:rFonts w:ascii="Arial" w:hAnsi="Arial" w:cs="Arial"/>
        </w:rPr>
        <w:t xml:space="preserve">. Assessment: efficacy of transcutaneous electric nerve stimulation in the treatment of pain in neurologic disorders (an evidence-based review): report of the Therapeutics and Technology Assessment Subcommittee of the American Academy of Neurology. </w:t>
      </w:r>
      <w:r w:rsidR="008D0565" w:rsidRPr="00D61F73">
        <w:rPr>
          <w:rFonts w:ascii="Arial" w:hAnsi="Arial" w:cs="Arial"/>
          <w:i/>
          <w:iCs/>
        </w:rPr>
        <w:t>Neurology.</w:t>
      </w:r>
      <w:r w:rsidR="008D0565" w:rsidRPr="00D61F73">
        <w:rPr>
          <w:rFonts w:ascii="Arial" w:hAnsi="Arial" w:cs="Arial"/>
        </w:rPr>
        <w:t xml:space="preserve"> 2010 Jan 12;74(2):173-6. Epub 2009 Dec 30.</w:t>
      </w:r>
    </w:p>
    <w:p w14:paraId="655519CA" w14:textId="77777777" w:rsidR="00D42E10" w:rsidRPr="00D61F73" w:rsidRDefault="00D42E10" w:rsidP="00D61F73">
      <w:pPr>
        <w:rPr>
          <w:rFonts w:ascii="Arial" w:hAnsi="Arial" w:cs="Arial"/>
          <w:shd w:val="clear" w:color="auto" w:fill="D9D9D9"/>
        </w:rPr>
      </w:pPr>
    </w:p>
    <w:p w14:paraId="0CCB3CD8" w14:textId="77777777" w:rsidR="00D42E10" w:rsidRPr="00D61F73" w:rsidRDefault="00751163" w:rsidP="00D61F73">
      <w:pPr>
        <w:rPr>
          <w:rFonts w:ascii="Arial" w:hAnsi="Arial" w:cs="Arial"/>
        </w:rPr>
      </w:pPr>
      <w:hyperlink w:anchor="Furlan2" w:history="1">
        <w:r w:rsidR="00D42E10" w:rsidRPr="00D61F73">
          <w:rPr>
            <w:rStyle w:val="Hyperlink"/>
            <w:rFonts w:ascii="Arial" w:hAnsi="Arial" w:cs="Arial"/>
          </w:rPr>
          <w:t>Furlan AD, Mailis A, Papagapiou M.</w:t>
        </w:r>
      </w:hyperlink>
      <w:r w:rsidR="00D42E10" w:rsidRPr="00D61F73">
        <w:rPr>
          <w:rFonts w:ascii="Arial" w:hAnsi="Arial" w:cs="Arial"/>
        </w:rPr>
        <w:t xml:space="preserve"> Are we paying a high price for surgical sympathectomy? A systematic literature review of late complications. </w:t>
      </w:r>
      <w:r w:rsidR="00D42E10" w:rsidRPr="00D61F73">
        <w:rPr>
          <w:rFonts w:ascii="Arial" w:hAnsi="Arial" w:cs="Arial"/>
          <w:i/>
          <w:iCs/>
        </w:rPr>
        <w:t>J Pain</w:t>
      </w:r>
      <w:r w:rsidR="00D42E10" w:rsidRPr="00D61F73">
        <w:rPr>
          <w:rFonts w:ascii="Arial" w:hAnsi="Arial" w:cs="Arial"/>
        </w:rPr>
        <w:t>. 2000 Winter;1(4):245-57.</w:t>
      </w:r>
    </w:p>
    <w:p w14:paraId="6BE9D181" w14:textId="77777777" w:rsidR="008D0565" w:rsidRPr="00D61F73" w:rsidRDefault="008D0565" w:rsidP="00D61F73">
      <w:pPr>
        <w:rPr>
          <w:rFonts w:ascii="Arial" w:hAnsi="Arial" w:cs="Arial"/>
        </w:rPr>
      </w:pPr>
    </w:p>
    <w:p w14:paraId="0417340F" w14:textId="77777777" w:rsidR="008D0565" w:rsidRPr="00D61F73" w:rsidRDefault="00751163" w:rsidP="00D61F73">
      <w:pPr>
        <w:rPr>
          <w:rFonts w:ascii="Arial" w:hAnsi="Arial" w:cs="Arial"/>
        </w:rPr>
      </w:pPr>
      <w:hyperlink w:anchor="Gaines" w:history="1">
        <w:r w:rsidR="008D0565" w:rsidRPr="00D61F73">
          <w:rPr>
            <w:rStyle w:val="Hyperlink"/>
            <w:rFonts w:ascii="Arial" w:hAnsi="Arial" w:cs="Arial"/>
          </w:rPr>
          <w:t>Gaines, J., et al</w:t>
        </w:r>
      </w:hyperlink>
      <w:r w:rsidR="008D0565" w:rsidRPr="00D61F73">
        <w:rPr>
          <w:rFonts w:ascii="Arial" w:hAnsi="Arial" w:cs="Arial"/>
        </w:rPr>
        <w:t xml:space="preserve">. The Effect of Neuromuscular Electrical Stimulation on Arthritis Knee Pain in Older Adults with Osteoarthritis of the Knee. </w:t>
      </w:r>
      <w:r w:rsidR="008D0565" w:rsidRPr="00D61F73">
        <w:rPr>
          <w:rFonts w:ascii="Arial" w:hAnsi="Arial" w:cs="Arial"/>
          <w:i/>
          <w:iCs/>
        </w:rPr>
        <w:t>Applied Nursing Research</w:t>
      </w:r>
      <w:r w:rsidR="008D0565" w:rsidRPr="00D61F73">
        <w:rPr>
          <w:rFonts w:ascii="Arial" w:hAnsi="Arial" w:cs="Arial"/>
        </w:rPr>
        <w:t xml:space="preserve"> 2004. August; Volume 17, Number 3: 201-06.</w:t>
      </w:r>
    </w:p>
    <w:p w14:paraId="0934D009" w14:textId="77777777" w:rsidR="008D0565" w:rsidRPr="00D61F73" w:rsidRDefault="008D0565" w:rsidP="00D61F73">
      <w:pPr>
        <w:pStyle w:val="Footer"/>
        <w:tabs>
          <w:tab w:val="clear" w:pos="4320"/>
          <w:tab w:val="clear" w:pos="8640"/>
        </w:tabs>
        <w:rPr>
          <w:rFonts w:ascii="Arial" w:hAnsi="Arial" w:cs="Arial"/>
        </w:rPr>
      </w:pPr>
    </w:p>
    <w:p w14:paraId="4A1D9FAB" w14:textId="77777777" w:rsidR="008D0565" w:rsidRPr="00D61F73" w:rsidRDefault="00751163" w:rsidP="00D61F73">
      <w:pPr>
        <w:rPr>
          <w:rFonts w:ascii="Arial" w:hAnsi="Arial" w:cs="Arial"/>
        </w:rPr>
      </w:pPr>
      <w:hyperlink w:anchor="Guzman" w:history="1">
        <w:r w:rsidR="008D0565" w:rsidRPr="00D61F73">
          <w:rPr>
            <w:rStyle w:val="Hyperlink"/>
            <w:rFonts w:ascii="Arial" w:hAnsi="Arial" w:cs="Arial"/>
          </w:rPr>
          <w:t>Guzman J, Esmail R, Karjalainen K. et al</w:t>
        </w:r>
      </w:hyperlink>
      <w:r w:rsidR="008D0565" w:rsidRPr="00D61F73">
        <w:rPr>
          <w:rFonts w:ascii="Arial" w:hAnsi="Arial" w:cs="Arial"/>
        </w:rPr>
        <w:t xml:space="preserve">. Multidisciplinary Rehabilitation for Chronic Low Back Pain: Systematic Review. </w:t>
      </w:r>
      <w:r w:rsidR="008D0565" w:rsidRPr="00D61F73">
        <w:rPr>
          <w:rFonts w:ascii="Arial" w:hAnsi="Arial" w:cs="Arial"/>
          <w:i/>
          <w:iCs/>
        </w:rPr>
        <w:t>BMJ</w:t>
      </w:r>
      <w:r w:rsidR="008D0565" w:rsidRPr="00D61F73">
        <w:rPr>
          <w:rFonts w:ascii="Arial" w:hAnsi="Arial" w:cs="Arial"/>
        </w:rPr>
        <w:t xml:space="preserve"> 2001;322:1511-1516.</w:t>
      </w:r>
    </w:p>
    <w:p w14:paraId="6D833803" w14:textId="77777777" w:rsidR="008D0565" w:rsidRPr="00D61F73" w:rsidRDefault="008D0565" w:rsidP="00D61F73">
      <w:pPr>
        <w:rPr>
          <w:rFonts w:ascii="Arial" w:hAnsi="Arial" w:cs="Arial"/>
        </w:rPr>
      </w:pPr>
    </w:p>
    <w:p w14:paraId="5E08C393" w14:textId="77777777" w:rsidR="008D0565" w:rsidRPr="00D61F73" w:rsidRDefault="00751163" w:rsidP="00D61F73">
      <w:pPr>
        <w:rPr>
          <w:rFonts w:ascii="Arial" w:hAnsi="Arial" w:cs="Arial"/>
        </w:rPr>
      </w:pPr>
      <w:hyperlink w:anchor="Hassenbusch" w:history="1">
        <w:r w:rsidR="008D0565" w:rsidRPr="00D61F73">
          <w:rPr>
            <w:rStyle w:val="Hyperlink"/>
            <w:rFonts w:ascii="Arial" w:hAnsi="Arial" w:cs="Arial"/>
          </w:rPr>
          <w:t>Hassenbusch SJ, Portenoy RK, Cousins M, Buchser E, Deer TR, Du Pen SL, Eisenach J, Follett KA, Hildebrand KR, Krames ES, Levy RM, Palmer PP, Rathmell JP, Rauck RL, Staats PS, Stearns L, Willis KD</w:t>
        </w:r>
      </w:hyperlink>
      <w:r w:rsidR="008D0565" w:rsidRPr="00D61F73">
        <w:rPr>
          <w:rFonts w:ascii="Arial" w:hAnsi="Arial" w:cs="Arial"/>
        </w:rPr>
        <w:t xml:space="preserve">. Polyanalgesic Consensus Conference 2003: an update on the management of pain by intraspinal drug delivery-- report of an expert panel. </w:t>
      </w:r>
      <w:r w:rsidR="008D0565" w:rsidRPr="00D61F73">
        <w:rPr>
          <w:rFonts w:ascii="Arial" w:hAnsi="Arial" w:cs="Arial"/>
          <w:i/>
          <w:iCs/>
        </w:rPr>
        <w:t>J Pain Symptom Manage</w:t>
      </w:r>
      <w:r w:rsidR="008D0565" w:rsidRPr="00D61F73">
        <w:rPr>
          <w:rFonts w:ascii="Arial" w:hAnsi="Arial" w:cs="Arial"/>
        </w:rPr>
        <w:t>. 2004 Jun;27(6):540-63.</w:t>
      </w:r>
    </w:p>
    <w:p w14:paraId="1143BB3E" w14:textId="77777777" w:rsidR="008D0565" w:rsidRPr="00D61F73" w:rsidRDefault="008D0565" w:rsidP="00D61F73">
      <w:pPr>
        <w:rPr>
          <w:rFonts w:ascii="Arial" w:hAnsi="Arial" w:cs="Arial"/>
        </w:rPr>
      </w:pPr>
    </w:p>
    <w:p w14:paraId="6E72EF05" w14:textId="77777777" w:rsidR="008D0565" w:rsidRPr="00D61F73" w:rsidRDefault="00751163" w:rsidP="00D61F73">
      <w:pPr>
        <w:rPr>
          <w:rFonts w:ascii="Arial" w:hAnsi="Arial" w:cs="Arial"/>
        </w:rPr>
      </w:pPr>
      <w:hyperlink w:anchor="Kumar3" w:history="1">
        <w:r w:rsidR="008D0565" w:rsidRPr="00D61F73">
          <w:rPr>
            <w:rStyle w:val="Hyperlink"/>
            <w:rFonts w:ascii="Arial" w:hAnsi="Arial" w:cs="Arial"/>
          </w:rPr>
          <w:t>Kumar K, Hunter G, Demeria DD</w:t>
        </w:r>
      </w:hyperlink>
      <w:r w:rsidR="008D0565" w:rsidRPr="00D61F73">
        <w:rPr>
          <w:rFonts w:ascii="Arial" w:hAnsi="Arial" w:cs="Arial"/>
        </w:rPr>
        <w:t xml:space="preserve">. Treatment of chronic pain by using intrathecal drug therapy compared with conventional pain therapies: a cost-effectiveness analysis. </w:t>
      </w:r>
      <w:r w:rsidR="008D0565" w:rsidRPr="00D61F73">
        <w:rPr>
          <w:rFonts w:ascii="Arial" w:hAnsi="Arial" w:cs="Arial"/>
          <w:i/>
          <w:iCs/>
        </w:rPr>
        <w:t>J Neurosurg</w:t>
      </w:r>
      <w:r w:rsidR="008D0565" w:rsidRPr="00D61F73">
        <w:rPr>
          <w:rFonts w:ascii="Arial" w:hAnsi="Arial" w:cs="Arial"/>
        </w:rPr>
        <w:t>. 2002 Oct;97(4):803-10.</w:t>
      </w:r>
    </w:p>
    <w:p w14:paraId="4A48872E" w14:textId="77777777" w:rsidR="008D0565" w:rsidRPr="00D61F73" w:rsidRDefault="008D0565" w:rsidP="00D61F73">
      <w:pPr>
        <w:rPr>
          <w:rFonts w:ascii="Arial" w:hAnsi="Arial" w:cs="Arial"/>
        </w:rPr>
      </w:pPr>
    </w:p>
    <w:p w14:paraId="5B76CCFF" w14:textId="77777777" w:rsidR="008D0565" w:rsidRPr="00D61F73" w:rsidRDefault="00751163" w:rsidP="00D61F73">
      <w:pPr>
        <w:rPr>
          <w:rFonts w:ascii="Arial" w:hAnsi="Arial" w:cs="Arial"/>
        </w:rPr>
      </w:pPr>
      <w:hyperlink w:anchor="Lange2011" w:history="1">
        <w:r w:rsidR="008D0565" w:rsidRPr="00D61F73">
          <w:rPr>
            <w:rStyle w:val="Hyperlink"/>
            <w:rFonts w:ascii="Arial" w:hAnsi="Arial" w:cs="Arial"/>
          </w:rPr>
          <w:t>Lange G, Janal MN, Maniker A, Fitzgibbons J, Fobler M, Cook D, Natelson BH</w:t>
        </w:r>
      </w:hyperlink>
      <w:r w:rsidR="008D0565" w:rsidRPr="00D61F73">
        <w:rPr>
          <w:rFonts w:ascii="Arial" w:hAnsi="Arial" w:cs="Arial"/>
        </w:rPr>
        <w:t xml:space="preserve">. Safety and Efficacy of Vagus Nerve Stimulation in Fibromyalgia: A Phase I/II Proof of Concept Trial. </w:t>
      </w:r>
      <w:r w:rsidR="008D0565" w:rsidRPr="00D61F73">
        <w:rPr>
          <w:rFonts w:ascii="Arial" w:hAnsi="Arial" w:cs="Arial"/>
          <w:i/>
          <w:iCs/>
        </w:rPr>
        <w:t>Pain Med.</w:t>
      </w:r>
      <w:r w:rsidR="008D0565" w:rsidRPr="00D61F73">
        <w:rPr>
          <w:rFonts w:ascii="Arial" w:hAnsi="Arial" w:cs="Arial"/>
        </w:rPr>
        <w:t xml:space="preserve"> 2011 Sep;12(9):1406-1413. Epub 2011 Aug 3.</w:t>
      </w:r>
    </w:p>
    <w:p w14:paraId="77A331F1" w14:textId="77777777" w:rsidR="008D0565" w:rsidRPr="00D61F73" w:rsidRDefault="008D0565" w:rsidP="00D61F73">
      <w:pPr>
        <w:pStyle w:val="Footer"/>
        <w:tabs>
          <w:tab w:val="clear" w:pos="4320"/>
          <w:tab w:val="clear" w:pos="8640"/>
        </w:tabs>
        <w:rPr>
          <w:rFonts w:ascii="Arial" w:hAnsi="Arial" w:cs="Arial"/>
        </w:rPr>
      </w:pPr>
    </w:p>
    <w:p w14:paraId="4ABFEC8D" w14:textId="77777777" w:rsidR="008D0565" w:rsidRPr="00D61F73" w:rsidRDefault="00751163" w:rsidP="00D61F73">
      <w:pPr>
        <w:rPr>
          <w:rFonts w:ascii="Arial" w:hAnsi="Arial" w:cs="Arial"/>
        </w:rPr>
      </w:pPr>
      <w:hyperlink w:anchor="Li" w:history="1">
        <w:r w:rsidR="008D0565" w:rsidRPr="00D61F73">
          <w:rPr>
            <w:rStyle w:val="Hyperlink"/>
            <w:rFonts w:ascii="Arial" w:hAnsi="Arial" w:cs="Arial"/>
          </w:rPr>
          <w:t>Li Z, Smith BP, Smith TL, Koman LA</w:t>
        </w:r>
      </w:hyperlink>
      <w:r w:rsidR="008D0565" w:rsidRPr="00D61F73">
        <w:rPr>
          <w:rFonts w:ascii="Arial" w:hAnsi="Arial" w:cs="Arial"/>
        </w:rPr>
        <w:t>. Diagnosis and management of complex regional pain syndrome complicating upper extremity recovery. J Hand Ther. 2005 Apr-Jun;18(2):270-6.</w:t>
      </w:r>
    </w:p>
    <w:p w14:paraId="3FE2BCC2" w14:textId="77777777" w:rsidR="008D0565" w:rsidRPr="00D61F73" w:rsidRDefault="008D0565" w:rsidP="00D61F73">
      <w:pPr>
        <w:rPr>
          <w:rFonts w:ascii="Arial" w:hAnsi="Arial" w:cs="Arial"/>
        </w:rPr>
      </w:pPr>
    </w:p>
    <w:p w14:paraId="787028A7" w14:textId="77777777" w:rsidR="008D0565" w:rsidRPr="00D61F73" w:rsidRDefault="00751163" w:rsidP="00D61F73">
      <w:pPr>
        <w:rPr>
          <w:rFonts w:ascii="Arial" w:hAnsi="Arial" w:cs="Arial"/>
        </w:rPr>
      </w:pPr>
      <w:hyperlink w:anchor="Marineo2012" w:history="1">
        <w:r w:rsidR="008D0565" w:rsidRPr="00D61F73">
          <w:rPr>
            <w:rStyle w:val="Hyperlink"/>
            <w:rFonts w:ascii="Arial" w:hAnsi="Arial" w:cs="Arial"/>
          </w:rPr>
          <w:t>Marineo G, Iorno V, Gandini C, Moschini V, Smith TJ</w:t>
        </w:r>
      </w:hyperlink>
      <w:r w:rsidR="008D0565" w:rsidRPr="00D61F73">
        <w:rPr>
          <w:rFonts w:ascii="Arial" w:hAnsi="Arial" w:cs="Arial"/>
        </w:rPr>
        <w:t xml:space="preserve">. Scrambler therapy may relieve chronic neuropathic pain more effectively than guideline-based drug management: results of a pilot, randomized, controlled trial. </w:t>
      </w:r>
      <w:r w:rsidR="008D0565" w:rsidRPr="00D61F73">
        <w:rPr>
          <w:rFonts w:ascii="Arial" w:hAnsi="Arial" w:cs="Arial"/>
          <w:i/>
          <w:iCs/>
        </w:rPr>
        <w:t>J Pain Symptom Manage</w:t>
      </w:r>
      <w:r w:rsidR="008D0565" w:rsidRPr="00D61F73">
        <w:rPr>
          <w:rFonts w:ascii="Arial" w:hAnsi="Arial" w:cs="Arial"/>
        </w:rPr>
        <w:t>. 2012 Jan;43(1):87-95. doi: 10.1016/ j.jpainsymman.2011.03.015.</w:t>
      </w:r>
    </w:p>
    <w:p w14:paraId="01D48821" w14:textId="77777777" w:rsidR="008D0565" w:rsidRPr="00D61F73" w:rsidRDefault="008D0565" w:rsidP="00D61F73">
      <w:pPr>
        <w:rPr>
          <w:rFonts w:ascii="Arial" w:hAnsi="Arial" w:cs="Arial"/>
        </w:rPr>
      </w:pPr>
    </w:p>
    <w:p w14:paraId="51771E66" w14:textId="77777777" w:rsidR="00031F56" w:rsidRPr="00D61F73" w:rsidRDefault="00751163" w:rsidP="00D61F73">
      <w:pPr>
        <w:rPr>
          <w:rFonts w:ascii="Arial" w:hAnsi="Arial" w:cs="Arial"/>
        </w:rPr>
      </w:pPr>
      <w:hyperlink w:anchor="McDowell1995" w:history="1">
        <w:r w:rsidR="00031F56" w:rsidRPr="00D61F73">
          <w:rPr>
            <w:rStyle w:val="Hyperlink"/>
            <w:rFonts w:ascii="Arial" w:hAnsi="Arial" w:cs="Arial"/>
          </w:rPr>
          <w:t>McDowell BC, Lowe AS, Walsh DM, Baxter DG, Allen JM.</w:t>
        </w:r>
      </w:hyperlink>
      <w:r w:rsidR="00031F56" w:rsidRPr="00D61F73">
        <w:rPr>
          <w:rFonts w:ascii="Arial" w:hAnsi="Arial" w:cs="Arial"/>
        </w:rPr>
        <w:t xml:space="preserve"> The lack of hypoalgesic efficacy of H-wave therapy on experimental ischemic pain. </w:t>
      </w:r>
      <w:r w:rsidR="00031F56" w:rsidRPr="00D61F73">
        <w:rPr>
          <w:rFonts w:ascii="Arial" w:hAnsi="Arial" w:cs="Arial"/>
          <w:i/>
        </w:rPr>
        <w:t>Pain</w:t>
      </w:r>
      <w:r w:rsidR="00031F56" w:rsidRPr="00D61F73">
        <w:rPr>
          <w:rFonts w:ascii="Arial" w:hAnsi="Arial" w:cs="Arial"/>
        </w:rPr>
        <w:t>. 1995 Apr;61(1):27-32.</w:t>
      </w:r>
    </w:p>
    <w:p w14:paraId="61D602AD" w14:textId="77777777" w:rsidR="00031F56" w:rsidRPr="00D61F73" w:rsidRDefault="00031F56" w:rsidP="00D61F73">
      <w:pPr>
        <w:rPr>
          <w:rFonts w:ascii="Arial" w:hAnsi="Arial" w:cs="Arial"/>
        </w:rPr>
      </w:pPr>
    </w:p>
    <w:p w14:paraId="6A318C99" w14:textId="77777777" w:rsidR="008D0565" w:rsidRPr="00D61F73" w:rsidRDefault="00751163" w:rsidP="00D61F73">
      <w:pPr>
        <w:rPr>
          <w:rFonts w:ascii="Arial" w:hAnsi="Arial" w:cs="Arial"/>
        </w:rPr>
      </w:pPr>
      <w:hyperlink w:anchor="McDowell" w:history="1">
        <w:r w:rsidR="008D0565" w:rsidRPr="00D61F73">
          <w:rPr>
            <w:rStyle w:val="Hyperlink"/>
            <w:rFonts w:ascii="Arial" w:hAnsi="Arial" w:cs="Arial"/>
          </w:rPr>
          <w:t>McDowell BC, McElduff C, Lowe AS, Walsh DM, Baxter GD</w:t>
        </w:r>
      </w:hyperlink>
      <w:r w:rsidR="008D0565" w:rsidRPr="00D61F73">
        <w:rPr>
          <w:rFonts w:ascii="Arial" w:hAnsi="Arial" w:cs="Arial"/>
        </w:rPr>
        <w:t xml:space="preserve">. The effect of high- and low-frequency H-wave therapy upon skin blood perfusion: evidence of frequency-specific effects. </w:t>
      </w:r>
      <w:r w:rsidR="008D0565" w:rsidRPr="00D61F73">
        <w:rPr>
          <w:rFonts w:ascii="Arial" w:hAnsi="Arial" w:cs="Arial"/>
          <w:i/>
          <w:iCs/>
        </w:rPr>
        <w:t>Clin Physiol.</w:t>
      </w:r>
      <w:r w:rsidR="008D0565" w:rsidRPr="00D61F73">
        <w:rPr>
          <w:rFonts w:ascii="Arial" w:hAnsi="Arial" w:cs="Arial"/>
        </w:rPr>
        <w:t xml:space="preserve"> 1999 Nov;19(6):450-7.</w:t>
      </w:r>
    </w:p>
    <w:p w14:paraId="2A0AB487" w14:textId="77777777" w:rsidR="00397C02" w:rsidRDefault="00397C02" w:rsidP="00D61F73">
      <w:pPr>
        <w:rPr>
          <w:rFonts w:ascii="Arial" w:hAnsi="Arial" w:cs="Arial"/>
        </w:rPr>
      </w:pPr>
    </w:p>
    <w:p w14:paraId="33C04BAE" w14:textId="77777777" w:rsidR="008D0565" w:rsidRPr="00D61F73" w:rsidRDefault="00751163" w:rsidP="00D61F73">
      <w:pPr>
        <w:rPr>
          <w:rFonts w:ascii="Arial" w:hAnsi="Arial" w:cs="Arial"/>
        </w:rPr>
      </w:pPr>
      <w:hyperlink w:anchor="McDowell2" w:history="1">
        <w:r w:rsidR="008D0565" w:rsidRPr="00D61F73">
          <w:rPr>
            <w:rStyle w:val="Hyperlink"/>
            <w:rFonts w:ascii="Arial" w:hAnsi="Arial" w:cs="Arial"/>
          </w:rPr>
          <w:t>McDowell BC, McCormack K, Walsh DM, Baxter DG, Allen JM</w:t>
        </w:r>
      </w:hyperlink>
      <w:r w:rsidR="008D0565" w:rsidRPr="00D61F73">
        <w:rPr>
          <w:rFonts w:ascii="Arial" w:hAnsi="Arial" w:cs="Arial"/>
        </w:rPr>
        <w:t xml:space="preserve">. Comparative analgesic effects of H-wave therapy and transcutaneous electrical nerve stimulation on pain threshold in humans. </w:t>
      </w:r>
      <w:r w:rsidR="008D0565" w:rsidRPr="00D61F73">
        <w:rPr>
          <w:rFonts w:ascii="Arial" w:hAnsi="Arial" w:cs="Arial"/>
          <w:i/>
          <w:iCs/>
        </w:rPr>
        <w:t>Arch Phys Med Rehabil.</w:t>
      </w:r>
      <w:r w:rsidR="008D0565" w:rsidRPr="00D61F73">
        <w:rPr>
          <w:rFonts w:ascii="Arial" w:hAnsi="Arial" w:cs="Arial"/>
        </w:rPr>
        <w:t xml:space="preserve"> 1999 Sep;80(9):1001-4.</w:t>
      </w:r>
    </w:p>
    <w:p w14:paraId="73240F46" w14:textId="77777777" w:rsidR="008D0565" w:rsidRPr="00D61F73" w:rsidRDefault="008D0565" w:rsidP="00D61F73">
      <w:pPr>
        <w:rPr>
          <w:rFonts w:ascii="Arial" w:hAnsi="Arial" w:cs="Arial"/>
        </w:rPr>
      </w:pPr>
    </w:p>
    <w:p w14:paraId="496AF20E" w14:textId="77777777" w:rsidR="008D0565" w:rsidRPr="00D61F73" w:rsidRDefault="00751163" w:rsidP="00D61F73">
      <w:pPr>
        <w:rPr>
          <w:rFonts w:ascii="Arial" w:hAnsi="Arial" w:cs="Arial"/>
        </w:rPr>
      </w:pPr>
      <w:hyperlink w:anchor="Moore" w:history="1">
        <w:r w:rsidR="008D0565" w:rsidRPr="00D61F73">
          <w:rPr>
            <w:rStyle w:val="Hyperlink"/>
            <w:rFonts w:ascii="Arial" w:hAnsi="Arial" w:cs="Arial"/>
          </w:rPr>
          <w:t>Moore, S and Shurman J.</w:t>
        </w:r>
      </w:hyperlink>
      <w:r w:rsidR="008D0565" w:rsidRPr="00D61F73">
        <w:rPr>
          <w:rFonts w:ascii="Arial" w:hAnsi="Arial" w:cs="Arial"/>
        </w:rPr>
        <w:t xml:space="preserve"> Combined Neuromuscular Electrical Stimulation and Transcutaneous Electrical Nerve Stimulation for Treatment of Chronic Back Pain: A Double-Blind, Repeated Measures Comparison. </w:t>
      </w:r>
      <w:r w:rsidR="008D0565" w:rsidRPr="00D61F73">
        <w:rPr>
          <w:rFonts w:ascii="Arial" w:hAnsi="Arial" w:cs="Arial"/>
          <w:i/>
          <w:iCs/>
        </w:rPr>
        <w:t>Archive of Physical Medicine and Rehabilitation</w:t>
      </w:r>
      <w:r w:rsidR="008D0565" w:rsidRPr="00D61F73">
        <w:rPr>
          <w:rFonts w:ascii="Arial" w:hAnsi="Arial" w:cs="Arial"/>
        </w:rPr>
        <w:t xml:space="preserve">. 1997; Volume 78, January: 55-60. </w:t>
      </w:r>
    </w:p>
    <w:p w14:paraId="26D4E638" w14:textId="77777777" w:rsidR="008D0565" w:rsidRPr="00D61F73" w:rsidRDefault="008D0565" w:rsidP="00D61F73">
      <w:pPr>
        <w:pStyle w:val="Footer"/>
        <w:tabs>
          <w:tab w:val="clear" w:pos="4320"/>
          <w:tab w:val="clear" w:pos="8640"/>
        </w:tabs>
        <w:rPr>
          <w:rFonts w:ascii="Arial" w:hAnsi="Arial" w:cs="Arial"/>
        </w:rPr>
      </w:pPr>
    </w:p>
    <w:p w14:paraId="5090B1BB" w14:textId="77777777" w:rsidR="008D0565" w:rsidRPr="00D61F73" w:rsidRDefault="00751163" w:rsidP="00D61F73">
      <w:pPr>
        <w:rPr>
          <w:rFonts w:ascii="Arial" w:hAnsi="Arial" w:cs="Arial"/>
        </w:rPr>
      </w:pPr>
      <w:hyperlink w:anchor="Osenbach" w:history="1">
        <w:r w:rsidR="008D0565" w:rsidRPr="00D61F73">
          <w:rPr>
            <w:rStyle w:val="Hyperlink"/>
            <w:rFonts w:ascii="Arial" w:hAnsi="Arial" w:cs="Arial"/>
          </w:rPr>
          <w:t xml:space="preserve">Osenbach RK, Harvey S. </w:t>
        </w:r>
      </w:hyperlink>
      <w:r w:rsidR="008D0565" w:rsidRPr="00D61F73">
        <w:rPr>
          <w:rFonts w:ascii="Arial" w:hAnsi="Arial" w:cs="Arial"/>
        </w:rPr>
        <w:t xml:space="preserve"> Neuraxial infusion in patients with chronic intractable cancer and noncancer pain. </w:t>
      </w:r>
      <w:r w:rsidR="008D0565" w:rsidRPr="00D61F73">
        <w:rPr>
          <w:rFonts w:ascii="Arial" w:hAnsi="Arial" w:cs="Arial"/>
          <w:i/>
          <w:iCs/>
        </w:rPr>
        <w:t>Curr Pain Headache Rep</w:t>
      </w:r>
      <w:r w:rsidR="008D0565" w:rsidRPr="00D61F73">
        <w:rPr>
          <w:rFonts w:ascii="Arial" w:hAnsi="Arial" w:cs="Arial"/>
        </w:rPr>
        <w:t>. 2001 Jun;5(3):241-9.</w:t>
      </w:r>
    </w:p>
    <w:p w14:paraId="59FF4666" w14:textId="77777777" w:rsidR="008D0565" w:rsidRPr="00D61F73" w:rsidRDefault="008D0565" w:rsidP="00D61F73">
      <w:pPr>
        <w:rPr>
          <w:rFonts w:ascii="Arial" w:hAnsi="Arial" w:cs="Arial"/>
        </w:rPr>
      </w:pPr>
    </w:p>
    <w:p w14:paraId="313C8D60" w14:textId="77777777" w:rsidR="008D0565" w:rsidRPr="00D61F73" w:rsidRDefault="00751163" w:rsidP="00D61F73">
      <w:pPr>
        <w:rPr>
          <w:rFonts w:ascii="Arial" w:hAnsi="Arial" w:cs="Arial"/>
        </w:rPr>
      </w:pPr>
      <w:hyperlink w:anchor="Paice" w:history="1">
        <w:r w:rsidR="008D0565" w:rsidRPr="00D61F73">
          <w:rPr>
            <w:rStyle w:val="Hyperlink"/>
            <w:rFonts w:ascii="Arial" w:hAnsi="Arial" w:cs="Arial"/>
          </w:rPr>
          <w:t>Paice JA, Winkelmuller W, Burchiel K, Racz GB, Prager JP</w:t>
        </w:r>
      </w:hyperlink>
      <w:r w:rsidR="008D0565" w:rsidRPr="00D61F73">
        <w:rPr>
          <w:rFonts w:ascii="Arial" w:hAnsi="Arial" w:cs="Arial"/>
        </w:rPr>
        <w:t xml:space="preserve">. Clinical realities and economic considerations: efficacy of intrathecal pain therapy. </w:t>
      </w:r>
      <w:r w:rsidR="008D0565" w:rsidRPr="00D61F73">
        <w:rPr>
          <w:rFonts w:ascii="Arial" w:hAnsi="Arial" w:cs="Arial"/>
          <w:i/>
          <w:iCs/>
        </w:rPr>
        <w:t>J Pain Symptom Manage.</w:t>
      </w:r>
      <w:r w:rsidR="008D0565" w:rsidRPr="00D61F73">
        <w:rPr>
          <w:rFonts w:ascii="Arial" w:hAnsi="Arial" w:cs="Arial"/>
        </w:rPr>
        <w:t xml:space="preserve"> 1997 Sep;14(3 Suppl):S14-26. </w:t>
      </w:r>
    </w:p>
    <w:p w14:paraId="7B0858F0" w14:textId="77777777" w:rsidR="008D0565" w:rsidRPr="00D61F73" w:rsidRDefault="008D0565" w:rsidP="00D61F73">
      <w:pPr>
        <w:rPr>
          <w:rFonts w:ascii="Arial" w:hAnsi="Arial" w:cs="Arial"/>
        </w:rPr>
      </w:pPr>
    </w:p>
    <w:p w14:paraId="0A48F0D1" w14:textId="77777777" w:rsidR="008D0565" w:rsidRPr="00D61F73" w:rsidRDefault="00751163" w:rsidP="00D61F73">
      <w:pPr>
        <w:pStyle w:val="NormalWeb"/>
        <w:spacing w:before="0" w:beforeAutospacing="0" w:after="0" w:afterAutospacing="0"/>
        <w:rPr>
          <w:rFonts w:ascii="Arial" w:hAnsi="Arial" w:cs="Arial"/>
        </w:rPr>
      </w:pPr>
      <w:hyperlink w:anchor="Phillips" w:history="1">
        <w:r w:rsidR="008D0565" w:rsidRPr="00D61F73">
          <w:rPr>
            <w:rStyle w:val="Hyperlink"/>
            <w:rFonts w:ascii="Arial" w:hAnsi="Arial" w:cs="Arial"/>
          </w:rPr>
          <w:t>Phillips DP, Barker GE, Eguchi MM</w:t>
        </w:r>
      </w:hyperlink>
      <w:r w:rsidR="008D0565" w:rsidRPr="00D61F73">
        <w:rPr>
          <w:rFonts w:ascii="Arial" w:hAnsi="Arial" w:cs="Arial"/>
        </w:rPr>
        <w:t xml:space="preserve">. A steep increase in domestic fatal medication errors with use of alcohol and/or street drugs. </w:t>
      </w:r>
      <w:r w:rsidR="008D0565" w:rsidRPr="00D61F73">
        <w:rPr>
          <w:rFonts w:ascii="Arial" w:hAnsi="Arial" w:cs="Arial"/>
          <w:i/>
          <w:iCs/>
        </w:rPr>
        <w:t>Arch Intern Med</w:t>
      </w:r>
      <w:r w:rsidR="008D0565" w:rsidRPr="00D61F73">
        <w:rPr>
          <w:rFonts w:ascii="Arial" w:hAnsi="Arial" w:cs="Arial"/>
        </w:rPr>
        <w:t>. 2008 Jul 28;168(14):1561-6.</w:t>
      </w:r>
    </w:p>
    <w:p w14:paraId="2B4B3EB2" w14:textId="77777777" w:rsidR="008D0565" w:rsidRPr="00D61F73" w:rsidRDefault="008D0565" w:rsidP="00D61F73">
      <w:pPr>
        <w:pStyle w:val="Footer"/>
        <w:tabs>
          <w:tab w:val="clear" w:pos="4320"/>
          <w:tab w:val="clear" w:pos="8640"/>
        </w:tabs>
        <w:rPr>
          <w:rFonts w:ascii="Arial" w:hAnsi="Arial" w:cs="Arial"/>
        </w:rPr>
      </w:pPr>
    </w:p>
    <w:p w14:paraId="00B0F20F" w14:textId="77777777" w:rsidR="008D0565" w:rsidRPr="00D61F73" w:rsidRDefault="00751163" w:rsidP="00D61F73">
      <w:pPr>
        <w:rPr>
          <w:rFonts w:ascii="Arial" w:hAnsi="Arial" w:cs="Arial"/>
        </w:rPr>
      </w:pPr>
      <w:hyperlink w:anchor="Ricci2012" w:history="1">
        <w:r w:rsidR="008D0565" w:rsidRPr="00D61F73">
          <w:rPr>
            <w:rStyle w:val="Hyperlink"/>
            <w:rFonts w:ascii="Arial" w:hAnsi="Arial" w:cs="Arial"/>
          </w:rPr>
          <w:t>Ricci M, Pirotti S, Scarpi E, Burgio M, Maltoni M, Sansoni E, Amadori D</w:t>
        </w:r>
      </w:hyperlink>
      <w:r w:rsidR="008D0565" w:rsidRPr="00D61F73">
        <w:rPr>
          <w:rFonts w:ascii="Arial" w:hAnsi="Arial" w:cs="Arial"/>
        </w:rPr>
        <w:t xml:space="preserve">. Managing chronic pain: results from an open-label study using MC5-A Calmare® device. </w:t>
      </w:r>
      <w:r w:rsidR="008D0565" w:rsidRPr="00D61F73">
        <w:rPr>
          <w:rFonts w:ascii="Arial" w:hAnsi="Arial" w:cs="Arial"/>
          <w:i/>
          <w:iCs/>
        </w:rPr>
        <w:t>Support Care Cancer</w:t>
      </w:r>
      <w:r w:rsidR="008D0565" w:rsidRPr="00D61F73">
        <w:rPr>
          <w:rFonts w:ascii="Arial" w:hAnsi="Arial" w:cs="Arial"/>
        </w:rPr>
        <w:t>. 2012 Feb;20(2):405-12. doi: 10.1007/s00520-011-1128-6.</w:t>
      </w:r>
    </w:p>
    <w:p w14:paraId="1F42D031" w14:textId="77777777" w:rsidR="008D0565" w:rsidRPr="00D61F73" w:rsidRDefault="008D0565" w:rsidP="00D61F73">
      <w:pPr>
        <w:pStyle w:val="Footer"/>
        <w:tabs>
          <w:tab w:val="clear" w:pos="4320"/>
          <w:tab w:val="clear" w:pos="8640"/>
        </w:tabs>
        <w:rPr>
          <w:rFonts w:ascii="Arial" w:hAnsi="Arial" w:cs="Arial"/>
        </w:rPr>
      </w:pPr>
    </w:p>
    <w:p w14:paraId="613997C1" w14:textId="77777777" w:rsidR="008D0565" w:rsidRPr="00D61F73" w:rsidRDefault="00751163" w:rsidP="00D61F73">
      <w:pPr>
        <w:rPr>
          <w:rFonts w:ascii="Arial" w:hAnsi="Arial" w:cs="Arial"/>
        </w:rPr>
      </w:pPr>
      <w:hyperlink w:anchor="Robertson" w:history="1">
        <w:r w:rsidR="008D0565" w:rsidRPr="00D61F73">
          <w:rPr>
            <w:rStyle w:val="Hyperlink"/>
            <w:rFonts w:ascii="Arial" w:hAnsi="Arial" w:cs="Arial"/>
          </w:rPr>
          <w:t>Robertson VJ, Baker KG</w:t>
        </w:r>
      </w:hyperlink>
      <w:r w:rsidR="008D0565" w:rsidRPr="00D61F73">
        <w:rPr>
          <w:rFonts w:ascii="Arial" w:hAnsi="Arial" w:cs="Arial"/>
        </w:rPr>
        <w:t xml:space="preserve">. A review of therapeutic ultrasound: effectiveness studies. </w:t>
      </w:r>
      <w:r w:rsidR="008D0565" w:rsidRPr="00D61F73">
        <w:rPr>
          <w:rFonts w:ascii="Arial" w:hAnsi="Arial" w:cs="Arial"/>
          <w:i/>
          <w:iCs/>
        </w:rPr>
        <w:t xml:space="preserve">Phys Ther. </w:t>
      </w:r>
      <w:r w:rsidR="008D0565" w:rsidRPr="00D61F73">
        <w:rPr>
          <w:rFonts w:ascii="Arial" w:hAnsi="Arial" w:cs="Arial"/>
        </w:rPr>
        <w:t>2001 Jul;81(7):1339-50.</w:t>
      </w:r>
    </w:p>
    <w:p w14:paraId="797FB60B" w14:textId="77777777" w:rsidR="00E55348" w:rsidRPr="00D61F73" w:rsidRDefault="00E55348" w:rsidP="00D61F73">
      <w:pPr>
        <w:rPr>
          <w:rFonts w:ascii="Arial" w:hAnsi="Arial" w:cs="Arial"/>
        </w:rPr>
      </w:pPr>
    </w:p>
    <w:p w14:paraId="3377ADF2" w14:textId="77777777" w:rsidR="00E55348" w:rsidRPr="00D61F73" w:rsidRDefault="00751163" w:rsidP="00D61F73">
      <w:pPr>
        <w:rPr>
          <w:rFonts w:ascii="Arial" w:hAnsi="Arial" w:cs="Arial"/>
          <w:lang w:val="es-MX"/>
        </w:rPr>
      </w:pPr>
      <w:hyperlink w:anchor="Thiese2013" w:history="1">
        <w:r w:rsidR="00E55348" w:rsidRPr="00D61F73">
          <w:rPr>
            <w:rStyle w:val="Hyperlink"/>
            <w:rFonts w:ascii="Arial" w:hAnsi="Arial" w:cs="Arial"/>
          </w:rPr>
          <w:t>Thiese MS, Hughes M, Biggs J.</w:t>
        </w:r>
      </w:hyperlink>
      <w:r w:rsidR="00E55348" w:rsidRPr="00D61F73">
        <w:rPr>
          <w:rFonts w:ascii="Arial" w:hAnsi="Arial" w:cs="Arial"/>
        </w:rPr>
        <w:t xml:space="preserve"> Electrical stimulation for chronic non-specific low back pain in a working-age population: a 12-week double blinded randomized controlled trial. </w:t>
      </w:r>
      <w:r w:rsidR="00E55348" w:rsidRPr="00D61F73">
        <w:rPr>
          <w:rFonts w:ascii="Arial" w:hAnsi="Arial" w:cs="Arial"/>
          <w:lang w:val="es-MX"/>
        </w:rPr>
        <w:t>BMC Musculoskelet Disord. 2013 Mar 28;14:117. doi: 10.1186/1471-2474-14-117.</w:t>
      </w:r>
    </w:p>
    <w:p w14:paraId="1158F0C3" w14:textId="77777777" w:rsidR="008D0565" w:rsidRPr="00D61F73" w:rsidRDefault="008D0565" w:rsidP="00D61F73">
      <w:pPr>
        <w:rPr>
          <w:rFonts w:ascii="Arial" w:hAnsi="Arial" w:cs="Arial"/>
          <w:lang w:val="es-MX"/>
        </w:rPr>
      </w:pPr>
    </w:p>
    <w:p w14:paraId="1C192622" w14:textId="77777777" w:rsidR="008D0565" w:rsidRPr="00D61F73" w:rsidRDefault="00751163" w:rsidP="00D61F73">
      <w:pPr>
        <w:rPr>
          <w:rFonts w:ascii="Arial" w:hAnsi="Arial" w:cs="Arial"/>
        </w:rPr>
      </w:pPr>
      <w:hyperlink w:anchor="TomasCarus" w:history="1">
        <w:r w:rsidR="008D0565" w:rsidRPr="00D61F73">
          <w:rPr>
            <w:rStyle w:val="Hyperlink"/>
            <w:rFonts w:ascii="Arial" w:hAnsi="Arial" w:cs="Arial"/>
            <w:lang w:val="es-MX"/>
          </w:rPr>
          <w:t>Tomas-Carus P, Häkkinen A, Gusi N, Leal A, Häkkinen K, Ortega-Alonso A</w:t>
        </w:r>
      </w:hyperlink>
      <w:r w:rsidR="008D0565" w:rsidRPr="00D61F73">
        <w:rPr>
          <w:rFonts w:ascii="Arial" w:hAnsi="Arial" w:cs="Arial"/>
          <w:lang w:val="es-MX"/>
        </w:rPr>
        <w:t xml:space="preserve">. </w:t>
      </w:r>
      <w:r w:rsidR="008D0565" w:rsidRPr="00D61F73">
        <w:rPr>
          <w:rFonts w:ascii="Arial" w:hAnsi="Arial" w:cs="Arial"/>
        </w:rPr>
        <w:t xml:space="preserve">Aquatic training and detraining on fitness and quality of life in fibromyalgia. </w:t>
      </w:r>
      <w:r w:rsidR="008D0565" w:rsidRPr="00D61F73">
        <w:rPr>
          <w:rFonts w:ascii="Arial" w:hAnsi="Arial" w:cs="Arial"/>
          <w:i/>
          <w:iCs/>
        </w:rPr>
        <w:t>Med Sci Sports Exerc.</w:t>
      </w:r>
      <w:r w:rsidR="008D0565" w:rsidRPr="00D61F73">
        <w:rPr>
          <w:rFonts w:ascii="Arial" w:hAnsi="Arial" w:cs="Arial"/>
        </w:rPr>
        <w:t xml:space="preserve"> 2007 Jul;39(7):1044-50.</w:t>
      </w:r>
    </w:p>
    <w:p w14:paraId="0BD8B029" w14:textId="77777777" w:rsidR="008D0565" w:rsidRPr="00D61F73" w:rsidRDefault="008D0565" w:rsidP="00D61F73">
      <w:pPr>
        <w:rPr>
          <w:rFonts w:ascii="Arial" w:hAnsi="Arial" w:cs="Arial"/>
        </w:rPr>
      </w:pPr>
    </w:p>
    <w:p w14:paraId="12EAC527" w14:textId="77777777" w:rsidR="008D0565" w:rsidRPr="00D61F73" w:rsidRDefault="00751163" w:rsidP="00D61F73">
      <w:pPr>
        <w:rPr>
          <w:rFonts w:ascii="Arial" w:hAnsi="Arial" w:cs="Arial"/>
        </w:rPr>
      </w:pPr>
      <w:hyperlink w:anchor="Tutak" w:history="1">
        <w:r w:rsidR="008D0565" w:rsidRPr="00D61F73">
          <w:rPr>
            <w:rStyle w:val="Hyperlink"/>
            <w:rFonts w:ascii="Arial" w:hAnsi="Arial" w:cs="Arial"/>
          </w:rPr>
          <w:t>Tutak U, Doleys DM</w:t>
        </w:r>
      </w:hyperlink>
      <w:r w:rsidR="008D0565" w:rsidRPr="00D61F73">
        <w:rPr>
          <w:rFonts w:ascii="Arial" w:hAnsi="Arial" w:cs="Arial"/>
        </w:rPr>
        <w:t xml:space="preserve">. Intrathecal infusion systems for treatment of chronic low back and leg pain of noncancer origin. </w:t>
      </w:r>
      <w:r w:rsidR="008D0565" w:rsidRPr="00D61F73">
        <w:rPr>
          <w:rFonts w:ascii="Arial" w:hAnsi="Arial" w:cs="Arial"/>
          <w:i/>
          <w:iCs/>
        </w:rPr>
        <w:t>South Med J.</w:t>
      </w:r>
      <w:r w:rsidR="008D0565" w:rsidRPr="00D61F73">
        <w:rPr>
          <w:rFonts w:ascii="Arial" w:hAnsi="Arial" w:cs="Arial"/>
        </w:rPr>
        <w:t xml:space="preserve"> 1996 Mar;89(3):295-300.</w:t>
      </w:r>
    </w:p>
    <w:p w14:paraId="539A1BBE" w14:textId="77777777" w:rsidR="008D0565" w:rsidRPr="00D61F73" w:rsidRDefault="008D0565" w:rsidP="00D61F73">
      <w:pPr>
        <w:rPr>
          <w:rFonts w:ascii="Arial" w:hAnsi="Arial" w:cs="Arial"/>
        </w:rPr>
      </w:pPr>
    </w:p>
    <w:p w14:paraId="5A27392A" w14:textId="77777777" w:rsidR="008C16EF" w:rsidRPr="00D61F73" w:rsidRDefault="00751163" w:rsidP="00D61F73">
      <w:pPr>
        <w:rPr>
          <w:rFonts w:ascii="Arial" w:hAnsi="Arial" w:cs="Arial"/>
        </w:rPr>
      </w:pPr>
      <w:hyperlink w:anchor="United" w:history="1">
        <w:r w:rsidR="008D0565" w:rsidRPr="00D61F73">
          <w:rPr>
            <w:rStyle w:val="Hyperlink"/>
            <w:rFonts w:ascii="Arial" w:hAnsi="Arial" w:cs="Arial"/>
          </w:rPr>
          <w:t>United Health Care</w:t>
        </w:r>
      </w:hyperlink>
      <w:r w:rsidR="008D0565" w:rsidRPr="00D61F73">
        <w:rPr>
          <w:rFonts w:ascii="Arial" w:hAnsi="Arial" w:cs="Arial"/>
        </w:rPr>
        <w:t>. Technology Assessment: Intrathecal Pump for Chronic Nonmalignant Pain. Number 2005T0060C, Approved By Medical Technology Assessment Committee 11/17/2005.</w:t>
      </w:r>
    </w:p>
    <w:p w14:paraId="2DC8E4BD" w14:textId="77777777" w:rsidR="008C16EF" w:rsidRPr="00D61F73" w:rsidRDefault="008C16EF" w:rsidP="00D61F73">
      <w:pPr>
        <w:rPr>
          <w:rFonts w:ascii="Arial" w:hAnsi="Arial" w:cs="Arial"/>
        </w:rPr>
      </w:pPr>
    </w:p>
    <w:p w14:paraId="0EFBF065" w14:textId="77777777" w:rsidR="008C16EF" w:rsidRPr="00D61F73" w:rsidRDefault="00751163" w:rsidP="00D61F73">
      <w:pPr>
        <w:rPr>
          <w:rFonts w:ascii="Arial" w:hAnsi="Arial" w:cs="Arial"/>
        </w:rPr>
      </w:pPr>
      <w:hyperlink w:anchor="Washington2008" w:history="1">
        <w:r w:rsidR="008C16EF" w:rsidRPr="00D61F73">
          <w:rPr>
            <w:rStyle w:val="Hyperlink"/>
            <w:rFonts w:ascii="Arial" w:hAnsi="Arial" w:cs="Arial"/>
          </w:rPr>
          <w:t>Washington State Health Care Authority.</w:t>
        </w:r>
      </w:hyperlink>
      <w:r w:rsidR="008C16EF" w:rsidRPr="00D61F73">
        <w:rPr>
          <w:rFonts w:ascii="Arial" w:hAnsi="Arial" w:cs="Arial"/>
        </w:rPr>
        <w:t xml:space="preserve"> Health Technology Clinical Committee Findings and Coverage Decision, Implantable Drug Delivery System. Number and Coverage Topic 20080815A, Approved By Health Technology Clinical Committee 11/14/2008.</w:t>
      </w:r>
      <w:r w:rsidR="00F677D2" w:rsidRPr="00D61F73">
        <w:rPr>
          <w:rFonts w:ascii="Arial" w:hAnsi="Arial" w:cs="Arial"/>
        </w:rPr>
        <w:t xml:space="preserve"> </w:t>
      </w:r>
    </w:p>
    <w:p w14:paraId="7241FBF9" w14:textId="77777777" w:rsidR="008D0565" w:rsidRPr="00D61F73" w:rsidRDefault="008D0565" w:rsidP="00D61F73">
      <w:pPr>
        <w:pStyle w:val="StyleHeading2Bold"/>
        <w:shd w:val="clear" w:color="auto" w:fill="auto"/>
        <w:rPr>
          <w:rFonts w:ascii="Arial" w:hAnsi="Arial"/>
        </w:rPr>
      </w:pPr>
    </w:p>
    <w:p w14:paraId="686C82E1" w14:textId="77777777" w:rsidR="008D0565" w:rsidRPr="00D61F73" w:rsidRDefault="00751163" w:rsidP="00D61F73">
      <w:pPr>
        <w:rPr>
          <w:rFonts w:ascii="Arial" w:hAnsi="Arial" w:cs="Arial"/>
        </w:rPr>
      </w:pPr>
      <w:hyperlink w:anchor="Winkelmuller" w:history="1">
        <w:r w:rsidR="008D0565" w:rsidRPr="00D61F73">
          <w:rPr>
            <w:rStyle w:val="Hyperlink"/>
            <w:rFonts w:ascii="Arial" w:hAnsi="Arial" w:cs="Arial"/>
          </w:rPr>
          <w:t>Winkelmuller M, Winkelmuller W</w:t>
        </w:r>
      </w:hyperlink>
      <w:r w:rsidR="008D0565" w:rsidRPr="00D61F73">
        <w:rPr>
          <w:rFonts w:ascii="Arial" w:hAnsi="Arial" w:cs="Arial"/>
        </w:rPr>
        <w:t xml:space="preserve">. Long-term effects of continuous intrathecal opioid treatment in chronic pain of nonmalignant etiology. </w:t>
      </w:r>
      <w:r w:rsidR="008D0565" w:rsidRPr="00D61F73">
        <w:rPr>
          <w:rFonts w:ascii="Arial" w:hAnsi="Arial" w:cs="Arial"/>
          <w:i/>
          <w:iCs/>
        </w:rPr>
        <w:t>J Neurosurg</w:t>
      </w:r>
      <w:r w:rsidR="008D0565" w:rsidRPr="00D61F73">
        <w:rPr>
          <w:rFonts w:ascii="Arial" w:hAnsi="Arial" w:cs="Arial"/>
        </w:rPr>
        <w:t>. 1996 Sep;85(3):458-67.</w:t>
      </w:r>
    </w:p>
    <w:p w14:paraId="25E5E2A8" w14:textId="77777777" w:rsidR="008D0565" w:rsidRPr="00D61F73" w:rsidRDefault="008D0565" w:rsidP="00D61F73">
      <w:pPr>
        <w:rPr>
          <w:rFonts w:ascii="Arial" w:hAnsi="Arial" w:cs="Arial"/>
        </w:rPr>
      </w:pPr>
    </w:p>
    <w:p w14:paraId="7F35169A" w14:textId="77777777" w:rsidR="008D0565" w:rsidRPr="00D61F73" w:rsidRDefault="00751163" w:rsidP="00D61F73">
      <w:pPr>
        <w:rPr>
          <w:rFonts w:ascii="Arial" w:hAnsi="Arial" w:cs="Arial"/>
        </w:rPr>
      </w:pPr>
      <w:hyperlink w:anchor="Yoshida" w:history="1">
        <w:r w:rsidR="008D0565" w:rsidRPr="00D61F73">
          <w:rPr>
            <w:rStyle w:val="Hyperlink"/>
            <w:rFonts w:ascii="Arial" w:hAnsi="Arial" w:cs="Arial"/>
          </w:rPr>
          <w:t>Yoshida GM, Nelson RW, Capen DA, Nagelberg S, Thomas JC, Rimoldi RL, Haye W.</w:t>
        </w:r>
      </w:hyperlink>
      <w:r w:rsidR="008D0565" w:rsidRPr="00D61F73">
        <w:rPr>
          <w:rFonts w:ascii="Arial" w:hAnsi="Arial" w:cs="Arial"/>
        </w:rPr>
        <w:t xml:space="preserve"> Evaluation of continuous intraspinal narcotic analgesia for chronic pain from benign causes. </w:t>
      </w:r>
      <w:r w:rsidR="008D0565" w:rsidRPr="00D61F73">
        <w:rPr>
          <w:rFonts w:ascii="Arial" w:hAnsi="Arial" w:cs="Arial"/>
          <w:i/>
          <w:iCs/>
        </w:rPr>
        <w:t>Am J Orthop.</w:t>
      </w:r>
      <w:r w:rsidR="008D0565" w:rsidRPr="00D61F73">
        <w:rPr>
          <w:rFonts w:ascii="Arial" w:hAnsi="Arial" w:cs="Arial"/>
        </w:rPr>
        <w:t xml:space="preserve"> 1996 Oct;25(10):693-4.</w:t>
      </w:r>
    </w:p>
    <w:p w14:paraId="32B10E67" w14:textId="77777777" w:rsidR="008D0565" w:rsidRPr="00D61F73" w:rsidRDefault="008D0565" w:rsidP="00D61F73">
      <w:pPr>
        <w:rPr>
          <w:rFonts w:ascii="Arial" w:hAnsi="Arial" w:cs="Arial"/>
        </w:rPr>
      </w:pPr>
    </w:p>
    <w:p w14:paraId="4D825404" w14:textId="77777777" w:rsidR="008D0565" w:rsidRPr="00D61F73" w:rsidRDefault="00751163" w:rsidP="00D61F73">
      <w:pPr>
        <w:rPr>
          <w:rFonts w:ascii="Arial" w:hAnsi="Arial" w:cs="Arial"/>
        </w:rPr>
      </w:pPr>
      <w:hyperlink w:anchor="Zambito" w:history="1">
        <w:r w:rsidR="008D0565" w:rsidRPr="00D61F73">
          <w:rPr>
            <w:rStyle w:val="Hyperlink"/>
            <w:rFonts w:ascii="Arial" w:hAnsi="Arial" w:cs="Arial"/>
          </w:rPr>
          <w:t>Zambito A, Bianchini D, Gatti D, Viapiana O, Rossini M, Adami S.</w:t>
        </w:r>
      </w:hyperlink>
      <w:r w:rsidR="008D0565" w:rsidRPr="00D61F73">
        <w:rPr>
          <w:rFonts w:ascii="Arial" w:hAnsi="Arial" w:cs="Arial"/>
        </w:rPr>
        <w:t xml:space="preserve"> Interferential and horizontal therapies in chronic low back pain: a randomized, double blind, clinical study. </w:t>
      </w:r>
      <w:r w:rsidR="008D0565" w:rsidRPr="00D61F73">
        <w:rPr>
          <w:rFonts w:ascii="Arial" w:hAnsi="Arial" w:cs="Arial"/>
          <w:i/>
          <w:iCs/>
        </w:rPr>
        <w:t>Clin Exp Rheumatol.</w:t>
      </w:r>
      <w:r w:rsidR="008D0565" w:rsidRPr="00D61F73">
        <w:rPr>
          <w:rFonts w:ascii="Arial" w:hAnsi="Arial" w:cs="Arial"/>
        </w:rPr>
        <w:t xml:space="preserve"> 2006 Sep-Oct;24(5):534-9.</w:t>
      </w:r>
    </w:p>
    <w:p w14:paraId="1BDE0C0D" w14:textId="77777777" w:rsidR="008D0565" w:rsidRPr="00D61F73" w:rsidRDefault="008D0565" w:rsidP="00D61F73">
      <w:pPr>
        <w:rPr>
          <w:rFonts w:ascii="Arial" w:hAnsi="Arial" w:cs="Arial"/>
        </w:rPr>
      </w:pPr>
    </w:p>
    <w:p w14:paraId="30810619" w14:textId="77777777" w:rsidR="008D0565" w:rsidRPr="00D61F73" w:rsidRDefault="00751163" w:rsidP="00D61F73">
      <w:pPr>
        <w:rPr>
          <w:rFonts w:ascii="Arial" w:hAnsi="Arial" w:cs="Arial"/>
        </w:rPr>
      </w:pPr>
      <w:hyperlink w:anchor="Zambito2" w:history="1">
        <w:r w:rsidR="008D0565" w:rsidRPr="00D61F73">
          <w:rPr>
            <w:rStyle w:val="Hyperlink"/>
            <w:rFonts w:ascii="Arial" w:hAnsi="Arial" w:cs="Arial"/>
          </w:rPr>
          <w:t>Zambito A, Bianchini D, Gatti D, Rossini M, Adami S, Viapiana O</w:t>
        </w:r>
      </w:hyperlink>
      <w:r w:rsidR="008D0565" w:rsidRPr="00D61F73">
        <w:rPr>
          <w:rFonts w:ascii="Arial" w:hAnsi="Arial" w:cs="Arial"/>
        </w:rPr>
        <w:t xml:space="preserve">. Interferential and horizontal therapies in chronic low back pain due to multiple vertebral fractures: a randomized, double blind, clinical study. </w:t>
      </w:r>
      <w:r w:rsidR="008D0565" w:rsidRPr="00D61F73">
        <w:rPr>
          <w:rFonts w:ascii="Arial" w:hAnsi="Arial" w:cs="Arial"/>
          <w:i/>
          <w:iCs/>
        </w:rPr>
        <w:t>Osteoporos Int.</w:t>
      </w:r>
      <w:r w:rsidR="008D0565" w:rsidRPr="00D61F73">
        <w:rPr>
          <w:rFonts w:ascii="Arial" w:hAnsi="Arial" w:cs="Arial"/>
        </w:rPr>
        <w:t xml:space="preserve"> 2007 Nov;18(11):1541-5. Epub 2007 Jul 4.</w:t>
      </w:r>
    </w:p>
    <w:p w14:paraId="60D3A979" w14:textId="77777777" w:rsidR="008D0565" w:rsidRPr="00D61F73" w:rsidRDefault="008D0565" w:rsidP="00D61F73">
      <w:pPr>
        <w:rPr>
          <w:rFonts w:ascii="Arial" w:hAnsi="Arial" w:cs="Arial"/>
        </w:rPr>
      </w:pPr>
    </w:p>
    <w:p w14:paraId="3319703B" w14:textId="77777777" w:rsidR="008D0565" w:rsidRPr="00D61F73" w:rsidRDefault="008D0565" w:rsidP="00D61F73">
      <w:pPr>
        <w:rPr>
          <w:rFonts w:ascii="Arial" w:hAnsi="Arial" w:cs="Arial"/>
          <w:b/>
          <w:bCs/>
        </w:rPr>
      </w:pPr>
      <w:bookmarkStart w:id="423" w:name="SCS_References"/>
      <w:bookmarkEnd w:id="423"/>
      <w:r w:rsidRPr="00D61F73">
        <w:rPr>
          <w:rFonts w:ascii="Arial" w:hAnsi="Arial" w:cs="Arial"/>
          <w:b/>
          <w:bCs/>
        </w:rPr>
        <w:t>S</w:t>
      </w:r>
      <w:bookmarkStart w:id="424" w:name="SPINALCORDSTIMULATION"/>
      <w:bookmarkEnd w:id="424"/>
      <w:r w:rsidRPr="00D61F73">
        <w:rPr>
          <w:rFonts w:ascii="Arial" w:hAnsi="Arial" w:cs="Arial"/>
          <w:b/>
          <w:bCs/>
        </w:rPr>
        <w:t>PINAL CORD STIMULATION</w:t>
      </w:r>
    </w:p>
    <w:p w14:paraId="71F36923" w14:textId="77777777" w:rsidR="008D0565" w:rsidRPr="00D61F73" w:rsidRDefault="008D0565" w:rsidP="00D61F73">
      <w:pPr>
        <w:pStyle w:val="Footer"/>
        <w:tabs>
          <w:tab w:val="clear" w:pos="4320"/>
          <w:tab w:val="clear" w:pos="8640"/>
        </w:tabs>
        <w:rPr>
          <w:rFonts w:ascii="Arial" w:hAnsi="Arial" w:cs="Arial"/>
        </w:rPr>
      </w:pPr>
    </w:p>
    <w:p w14:paraId="22155E86" w14:textId="77777777" w:rsidR="008D0565" w:rsidRPr="00D61F73" w:rsidRDefault="00751163" w:rsidP="00D61F73">
      <w:pPr>
        <w:rPr>
          <w:rFonts w:ascii="Arial" w:hAnsi="Arial" w:cs="Arial"/>
        </w:rPr>
      </w:pPr>
      <w:hyperlink w:anchor="BlueCrossBlueShield97" w:history="1">
        <w:r w:rsidR="008D0565" w:rsidRPr="00D61F73">
          <w:rPr>
            <w:rStyle w:val="Hyperlink"/>
            <w:rFonts w:ascii="Arial" w:hAnsi="Arial" w:cs="Arial"/>
          </w:rPr>
          <w:t>BlueCross BlueShield.</w:t>
        </w:r>
      </w:hyperlink>
      <w:r w:rsidR="008D0565" w:rsidRPr="00D61F73">
        <w:rPr>
          <w:rFonts w:ascii="Arial" w:hAnsi="Arial" w:cs="Arial"/>
        </w:rPr>
        <w:t xml:space="preserve"> Surgery Section - Spinal Cord Stimulation for Treatment of Pain. Policy No: 45, Effective Date: 07/06/2004</w:t>
      </w:r>
    </w:p>
    <w:p w14:paraId="28D8096E" w14:textId="77777777" w:rsidR="008D0565" w:rsidRPr="00D61F73" w:rsidRDefault="008D0565" w:rsidP="00D61F73">
      <w:pPr>
        <w:rPr>
          <w:rFonts w:ascii="Arial" w:hAnsi="Arial" w:cs="Arial"/>
        </w:rPr>
      </w:pPr>
    </w:p>
    <w:p w14:paraId="02EE9722" w14:textId="77777777" w:rsidR="008D0565" w:rsidRPr="00D61F73" w:rsidRDefault="00751163" w:rsidP="00D61F73">
      <w:pPr>
        <w:rPr>
          <w:rFonts w:ascii="Arial" w:hAnsi="Arial" w:cs="Arial"/>
        </w:rPr>
      </w:pPr>
      <w:hyperlink w:anchor="Cole2003" w:history="1">
        <w:r w:rsidR="008D0565" w:rsidRPr="00D61F73">
          <w:rPr>
            <w:rStyle w:val="Hyperlink"/>
            <w:rFonts w:ascii="Arial" w:hAnsi="Arial" w:cs="Arial"/>
          </w:rPr>
          <w:t>Cole AJ, Herring SA</w:t>
        </w:r>
      </w:hyperlink>
      <w:r w:rsidR="008D0565" w:rsidRPr="00D61F73">
        <w:rPr>
          <w:rFonts w:ascii="Arial" w:hAnsi="Arial" w:cs="Arial"/>
        </w:rPr>
        <w:t>, eds. The low back pain handbook. 2nd ed. Philadelphia: Hanley &amp; Belfus; 2003: page 362.</w:t>
      </w:r>
    </w:p>
    <w:p w14:paraId="1628A27C" w14:textId="77777777" w:rsidR="008D0565" w:rsidRPr="00D61F73" w:rsidRDefault="008D0565" w:rsidP="00D61F73">
      <w:pPr>
        <w:rPr>
          <w:rFonts w:ascii="Arial" w:hAnsi="Arial" w:cs="Arial"/>
        </w:rPr>
      </w:pPr>
    </w:p>
    <w:p w14:paraId="2FEE2C31" w14:textId="77777777" w:rsidR="008D0565" w:rsidRPr="00D61F73" w:rsidRDefault="00751163" w:rsidP="00D61F73">
      <w:pPr>
        <w:rPr>
          <w:rFonts w:ascii="Arial" w:hAnsi="Arial" w:cs="Arial"/>
        </w:rPr>
      </w:pPr>
      <w:hyperlink w:anchor="Deer4" w:history="1">
        <w:r w:rsidR="008D0565" w:rsidRPr="00D61F73">
          <w:rPr>
            <w:rStyle w:val="Hyperlink"/>
            <w:rFonts w:ascii="Arial" w:hAnsi="Arial" w:cs="Arial"/>
          </w:rPr>
          <w:t>Deer T, Kapural L, Sitzman T.</w:t>
        </w:r>
      </w:hyperlink>
      <w:r w:rsidR="008D0565" w:rsidRPr="00D61F73">
        <w:rPr>
          <w:rFonts w:ascii="Arial" w:hAnsi="Arial" w:cs="Arial"/>
        </w:rPr>
        <w:t xml:space="preserve"> AAPM 2009: Specialists Endorse Intrathecal Pain Therapies but Urge Caution. American Academy of Pain Medicine 25th Annual Meeting, Honolulu, Hawaii. Plenary session 112. Presented January 28, 2009.</w:t>
      </w:r>
    </w:p>
    <w:p w14:paraId="5F2226AB" w14:textId="77777777" w:rsidR="008D0565" w:rsidRPr="00D61F73" w:rsidRDefault="008D0565" w:rsidP="00D61F73">
      <w:pPr>
        <w:rPr>
          <w:rFonts w:ascii="Arial" w:hAnsi="Arial" w:cs="Arial"/>
        </w:rPr>
      </w:pPr>
    </w:p>
    <w:p w14:paraId="3C326A47" w14:textId="77777777" w:rsidR="008D0565" w:rsidRPr="00D61F73" w:rsidRDefault="00751163" w:rsidP="00D61F73">
      <w:pPr>
        <w:rPr>
          <w:rFonts w:ascii="Arial" w:hAnsi="Arial" w:cs="Arial"/>
        </w:rPr>
      </w:pPr>
      <w:hyperlink w:anchor="Forouzanfar" w:history="1">
        <w:r w:rsidR="008D0565" w:rsidRPr="00D61F73">
          <w:rPr>
            <w:rStyle w:val="Hyperlink"/>
            <w:rFonts w:ascii="Arial" w:hAnsi="Arial" w:cs="Arial"/>
          </w:rPr>
          <w:t>Forouzanfar T, Kemler MA, Weber WE, Kessels AG, Van Kleef M</w:t>
        </w:r>
      </w:hyperlink>
      <w:r w:rsidR="008D0565" w:rsidRPr="00D61F73">
        <w:rPr>
          <w:rFonts w:ascii="Arial" w:hAnsi="Arial" w:cs="Arial"/>
        </w:rPr>
        <w:t xml:space="preserve">, Spinal cord stimulation in complex regional pain syndrome: cervical and lumbar devices are comparably effective, </w:t>
      </w:r>
      <w:r w:rsidR="008D0565" w:rsidRPr="00D61F73">
        <w:rPr>
          <w:rFonts w:ascii="Arial" w:hAnsi="Arial" w:cs="Arial"/>
          <w:i/>
          <w:iCs/>
        </w:rPr>
        <w:t>Br J Anaesth</w:t>
      </w:r>
      <w:r w:rsidR="008D0565" w:rsidRPr="00D61F73">
        <w:rPr>
          <w:rFonts w:ascii="Arial" w:hAnsi="Arial" w:cs="Arial"/>
        </w:rPr>
        <w:t>. 2004 Jan 22</w:t>
      </w:r>
      <w:r w:rsidR="008D0565" w:rsidRPr="00D61F73">
        <w:rPr>
          <w:rFonts w:ascii="Arial" w:hAnsi="Arial" w:cs="Arial"/>
        </w:rPr>
        <w:br/>
      </w:r>
    </w:p>
    <w:p w14:paraId="7523FECE" w14:textId="77777777" w:rsidR="008D0565" w:rsidRPr="00D61F73" w:rsidRDefault="00751163" w:rsidP="00D61F73">
      <w:pPr>
        <w:rPr>
          <w:rFonts w:ascii="Arial" w:hAnsi="Arial" w:cs="Arial"/>
        </w:rPr>
      </w:pPr>
      <w:hyperlink w:anchor="Furlan" w:history="1">
        <w:r w:rsidR="008D0565" w:rsidRPr="00D61F73">
          <w:rPr>
            <w:rStyle w:val="Hyperlink"/>
            <w:rFonts w:ascii="Arial" w:hAnsi="Arial" w:cs="Arial"/>
          </w:rPr>
          <w:t>Furlan AD, Sandoval JAS, Mailis A</w:t>
        </w:r>
      </w:hyperlink>
      <w:r w:rsidR="008D0565" w:rsidRPr="00D61F73">
        <w:rPr>
          <w:rFonts w:ascii="Arial" w:hAnsi="Arial" w:cs="Arial"/>
        </w:rPr>
        <w:t xml:space="preserve">. Spinal cord stimulation for chronic pain (Protocol for a Cochrane Review). In: </w:t>
      </w:r>
      <w:r w:rsidR="008D0565" w:rsidRPr="00D61F73">
        <w:rPr>
          <w:rFonts w:ascii="Arial" w:hAnsi="Arial" w:cs="Arial"/>
          <w:i/>
          <w:iCs/>
        </w:rPr>
        <w:t>The Cochrane Library</w:t>
      </w:r>
      <w:r w:rsidR="008D0565" w:rsidRPr="00D61F73">
        <w:rPr>
          <w:rFonts w:ascii="Arial" w:hAnsi="Arial" w:cs="Arial"/>
        </w:rPr>
        <w:t>, Issue 1, 2004. Chichester, UK: John Wiley &amp; Sons, Ltd.</w:t>
      </w:r>
    </w:p>
    <w:p w14:paraId="00F31CF3" w14:textId="77777777" w:rsidR="008D0565" w:rsidRPr="00D61F73" w:rsidRDefault="008D0565" w:rsidP="00D61F73">
      <w:pPr>
        <w:rPr>
          <w:rFonts w:ascii="Arial" w:hAnsi="Arial" w:cs="Arial"/>
        </w:rPr>
      </w:pPr>
    </w:p>
    <w:p w14:paraId="09AA505A" w14:textId="77777777" w:rsidR="008D0565" w:rsidRPr="00D61F73" w:rsidRDefault="00751163" w:rsidP="00D61F73">
      <w:pPr>
        <w:rPr>
          <w:rFonts w:ascii="Arial" w:hAnsi="Arial" w:cs="Arial"/>
        </w:rPr>
      </w:pPr>
      <w:hyperlink w:anchor="Harke" w:history="1">
        <w:r w:rsidR="008D0565" w:rsidRPr="00D61F73">
          <w:rPr>
            <w:rStyle w:val="Hyperlink"/>
            <w:rFonts w:ascii="Arial" w:hAnsi="Arial" w:cs="Arial"/>
          </w:rPr>
          <w:t>Harke H, Gretenkort P, Ladleif HU, Rahman S.</w:t>
        </w:r>
      </w:hyperlink>
      <w:r w:rsidR="008D0565" w:rsidRPr="00D61F73">
        <w:rPr>
          <w:rFonts w:ascii="Arial" w:hAnsi="Arial" w:cs="Arial"/>
        </w:rPr>
        <w:t xml:space="preserve"> Spinal cord stimulation in sympathetically maintained complex regional pain syndrome type I with severe disability. A prospective clinical study. </w:t>
      </w:r>
      <w:r w:rsidR="008D0565" w:rsidRPr="00D61F73">
        <w:rPr>
          <w:rFonts w:ascii="Arial" w:hAnsi="Arial" w:cs="Arial"/>
          <w:i/>
          <w:iCs/>
        </w:rPr>
        <w:t>Eur J Pain</w:t>
      </w:r>
      <w:r w:rsidR="008D0565" w:rsidRPr="00D61F73">
        <w:rPr>
          <w:rFonts w:ascii="Arial" w:hAnsi="Arial" w:cs="Arial"/>
        </w:rPr>
        <w:t>. 2005 Aug;9(4):363-73.</w:t>
      </w:r>
    </w:p>
    <w:p w14:paraId="65D93767" w14:textId="77777777" w:rsidR="008D0565" w:rsidRPr="00D61F73" w:rsidRDefault="008D0565" w:rsidP="00D61F73">
      <w:pPr>
        <w:rPr>
          <w:rFonts w:ascii="Arial" w:hAnsi="Arial" w:cs="Arial"/>
        </w:rPr>
      </w:pPr>
    </w:p>
    <w:p w14:paraId="592F644A" w14:textId="77777777" w:rsidR="008D0565" w:rsidRPr="00D61F73" w:rsidRDefault="00751163" w:rsidP="00D61F73">
      <w:pPr>
        <w:rPr>
          <w:rFonts w:ascii="Arial" w:hAnsi="Arial" w:cs="Arial"/>
        </w:rPr>
      </w:pPr>
      <w:hyperlink w:anchor="Kemler2" w:history="1">
        <w:r w:rsidR="008D0565" w:rsidRPr="00D61F73">
          <w:rPr>
            <w:rStyle w:val="Hyperlink"/>
            <w:rFonts w:ascii="Arial" w:hAnsi="Arial" w:cs="Arial"/>
          </w:rPr>
          <w:t>Kemler MA, Barendse GA, van Kleef M, de Vet HC, Rijks CP, Furnee CA, van den Wildenberg FA</w:t>
        </w:r>
      </w:hyperlink>
      <w:r w:rsidR="008D0565" w:rsidRPr="00D61F73">
        <w:rPr>
          <w:rFonts w:ascii="Arial" w:hAnsi="Arial" w:cs="Arial"/>
        </w:rPr>
        <w:t xml:space="preserve">, Spinal cord stimulation in patients with chronic reflex sympathetic dystrophy, </w:t>
      </w:r>
      <w:r w:rsidR="008D0565" w:rsidRPr="00D61F73">
        <w:rPr>
          <w:rFonts w:ascii="Arial" w:hAnsi="Arial" w:cs="Arial"/>
          <w:i/>
          <w:iCs/>
        </w:rPr>
        <w:t>N Engl J Med</w:t>
      </w:r>
      <w:r w:rsidR="008D0565" w:rsidRPr="00D61F73">
        <w:rPr>
          <w:rFonts w:ascii="Arial" w:hAnsi="Arial" w:cs="Arial"/>
        </w:rPr>
        <w:t>. 2000 Aug 31;343(9):618-24.</w:t>
      </w:r>
      <w:r w:rsidR="008D0565" w:rsidRPr="00D61F73">
        <w:rPr>
          <w:rFonts w:ascii="Arial" w:hAnsi="Arial" w:cs="Arial"/>
        </w:rPr>
        <w:br/>
      </w:r>
    </w:p>
    <w:p w14:paraId="0A274267" w14:textId="77777777" w:rsidR="008D0565" w:rsidRPr="00D61F73" w:rsidRDefault="00751163" w:rsidP="00D61F73">
      <w:pPr>
        <w:rPr>
          <w:rFonts w:ascii="Arial" w:hAnsi="Arial" w:cs="Arial"/>
        </w:rPr>
      </w:pPr>
      <w:hyperlink w:anchor="Kemler3" w:history="1">
        <w:r w:rsidR="008D0565" w:rsidRPr="00D61F73">
          <w:rPr>
            <w:rStyle w:val="Hyperlink"/>
            <w:rFonts w:ascii="Arial" w:hAnsi="Arial" w:cs="Arial"/>
          </w:rPr>
          <w:t>Kemler MA, Furnee CA,</w:t>
        </w:r>
      </w:hyperlink>
      <w:r w:rsidR="008D0565" w:rsidRPr="00D61F73">
        <w:rPr>
          <w:rFonts w:ascii="Arial" w:hAnsi="Arial" w:cs="Arial"/>
        </w:rPr>
        <w:t xml:space="preserve"> Economic evaluation of spinal cord stimulation for chronic reflex sympathetic dystrophy, </w:t>
      </w:r>
      <w:r w:rsidR="008D0565" w:rsidRPr="00D61F73">
        <w:rPr>
          <w:rFonts w:ascii="Arial" w:hAnsi="Arial" w:cs="Arial"/>
          <w:i/>
          <w:iCs/>
        </w:rPr>
        <w:t>Neurology.</w:t>
      </w:r>
      <w:r w:rsidR="008D0565" w:rsidRPr="00D61F73">
        <w:rPr>
          <w:rFonts w:ascii="Arial" w:hAnsi="Arial" w:cs="Arial"/>
        </w:rPr>
        <w:t xml:space="preserve"> 2002 Oct 22;59(8):1203-9</w:t>
      </w:r>
    </w:p>
    <w:p w14:paraId="1F2B22E4" w14:textId="77777777" w:rsidR="008D0565" w:rsidRPr="00D61F73" w:rsidRDefault="008D0565" w:rsidP="00D61F73">
      <w:pPr>
        <w:rPr>
          <w:rFonts w:ascii="Arial" w:hAnsi="Arial" w:cs="Arial"/>
        </w:rPr>
      </w:pPr>
    </w:p>
    <w:p w14:paraId="54E64484" w14:textId="77777777" w:rsidR="008D0565" w:rsidRPr="00D61F73" w:rsidRDefault="00751163" w:rsidP="00D61F73">
      <w:pPr>
        <w:rPr>
          <w:rFonts w:ascii="Arial" w:hAnsi="Arial" w:cs="Arial"/>
        </w:rPr>
      </w:pPr>
      <w:hyperlink w:anchor="Kemler4" w:history="1">
        <w:r w:rsidR="008D0565" w:rsidRPr="00D61F73">
          <w:rPr>
            <w:rStyle w:val="Hyperlink"/>
            <w:rFonts w:ascii="Arial" w:hAnsi="Arial" w:cs="Arial"/>
          </w:rPr>
          <w:t>Kemler MA, Barendse GA, van Kleef M, de Vet HC, Rijks CP, Furnee CA, van den Wildenberg FA</w:t>
        </w:r>
      </w:hyperlink>
      <w:r w:rsidR="008D0565" w:rsidRPr="00D61F73">
        <w:rPr>
          <w:rFonts w:ascii="Arial" w:hAnsi="Arial" w:cs="Arial"/>
        </w:rPr>
        <w:t xml:space="preserve">. Spinal cord stimulation in patients with chronic reflex sympathetic dystrophy. </w:t>
      </w:r>
      <w:r w:rsidR="008D0565" w:rsidRPr="00D61F73">
        <w:rPr>
          <w:rFonts w:ascii="Arial" w:hAnsi="Arial" w:cs="Arial"/>
          <w:i/>
          <w:iCs/>
        </w:rPr>
        <w:t>N Engl J Med</w:t>
      </w:r>
      <w:r w:rsidR="008D0565" w:rsidRPr="00D61F73">
        <w:rPr>
          <w:rFonts w:ascii="Arial" w:hAnsi="Arial" w:cs="Arial"/>
        </w:rPr>
        <w:t>. 2000 Aug 31;343(9):618-24.</w:t>
      </w:r>
      <w:r w:rsidR="0086493D" w:rsidRPr="00D61F73">
        <w:rPr>
          <w:rFonts w:ascii="Arial" w:hAnsi="Arial" w:cs="Arial"/>
        </w:rPr>
        <w:t xml:space="preserve"> </w:t>
      </w:r>
    </w:p>
    <w:p w14:paraId="20DF64EE" w14:textId="77777777" w:rsidR="008D0565" w:rsidRPr="00D61F73" w:rsidRDefault="008D0565" w:rsidP="00D61F73">
      <w:pPr>
        <w:pStyle w:val="Footer"/>
        <w:tabs>
          <w:tab w:val="clear" w:pos="4320"/>
          <w:tab w:val="clear" w:pos="8640"/>
        </w:tabs>
        <w:rPr>
          <w:rFonts w:ascii="Arial" w:hAnsi="Arial" w:cs="Arial"/>
        </w:rPr>
      </w:pPr>
    </w:p>
    <w:p w14:paraId="352FC44C" w14:textId="77777777" w:rsidR="008D0565" w:rsidRPr="00D61F73" w:rsidRDefault="00751163" w:rsidP="00D61F73">
      <w:pPr>
        <w:rPr>
          <w:rFonts w:ascii="Arial" w:hAnsi="Arial" w:cs="Arial"/>
        </w:rPr>
      </w:pPr>
      <w:hyperlink w:anchor="Kemler6" w:history="1">
        <w:r w:rsidR="008D0565" w:rsidRPr="00D61F73">
          <w:rPr>
            <w:rStyle w:val="Hyperlink"/>
            <w:rFonts w:ascii="Arial" w:hAnsi="Arial" w:cs="Arial"/>
          </w:rPr>
          <w:t>Kemler MA, De Vet HC, Barendse GA, Van Den Wildenberg FA, Van Kleef M.</w:t>
        </w:r>
      </w:hyperlink>
      <w:r w:rsidR="008D0565" w:rsidRPr="00D61F73">
        <w:rPr>
          <w:rFonts w:ascii="Arial" w:hAnsi="Arial" w:cs="Arial"/>
        </w:rPr>
        <w:t xml:space="preserve"> The effect of spinal cord stimulation in patients with chronic reflex sympathetic dystrophy: two years' follow-up of the randomized controlled trial. </w:t>
      </w:r>
      <w:r w:rsidR="008D0565" w:rsidRPr="00D61F73">
        <w:rPr>
          <w:rFonts w:ascii="Arial" w:hAnsi="Arial" w:cs="Arial"/>
          <w:i/>
          <w:iCs/>
        </w:rPr>
        <w:t>Ann Neurol.</w:t>
      </w:r>
      <w:r w:rsidR="008D0565" w:rsidRPr="00D61F73">
        <w:rPr>
          <w:rFonts w:ascii="Arial" w:hAnsi="Arial" w:cs="Arial"/>
        </w:rPr>
        <w:t xml:space="preserve"> 2004 Jan;55(1):13-8.</w:t>
      </w:r>
    </w:p>
    <w:p w14:paraId="048A562E" w14:textId="77777777" w:rsidR="008D0565" w:rsidRPr="00D61F73" w:rsidRDefault="008D0565" w:rsidP="00D61F73">
      <w:pPr>
        <w:pStyle w:val="Footer"/>
        <w:tabs>
          <w:tab w:val="clear" w:pos="4320"/>
          <w:tab w:val="clear" w:pos="8640"/>
        </w:tabs>
        <w:rPr>
          <w:rFonts w:ascii="Arial" w:hAnsi="Arial" w:cs="Arial"/>
        </w:rPr>
      </w:pPr>
    </w:p>
    <w:p w14:paraId="4A18C986" w14:textId="77777777" w:rsidR="008D0565" w:rsidRPr="00D61F73" w:rsidRDefault="00751163" w:rsidP="00D61F73">
      <w:pPr>
        <w:rPr>
          <w:rFonts w:ascii="Arial" w:hAnsi="Arial" w:cs="Arial"/>
        </w:rPr>
      </w:pPr>
      <w:hyperlink w:anchor="Kemler7" w:history="1">
        <w:r w:rsidR="008D0565" w:rsidRPr="00D61F73">
          <w:rPr>
            <w:rStyle w:val="Hyperlink"/>
            <w:rFonts w:ascii="Arial" w:hAnsi="Arial" w:cs="Arial"/>
          </w:rPr>
          <w:t>Kemler MA, de Vet HC, Barendse GA, van den Wildenberg FA, van Kleef M.</w:t>
        </w:r>
      </w:hyperlink>
      <w:r w:rsidR="008D0565" w:rsidRPr="00D61F73">
        <w:rPr>
          <w:rFonts w:ascii="Arial" w:hAnsi="Arial" w:cs="Arial"/>
        </w:rPr>
        <w:t xml:space="preserve"> Effect of spinal cord stimulation for chronic complex regional pain syndrome Type I: five-year final follow-up of patients in a randomized controlled trial. </w:t>
      </w:r>
      <w:r w:rsidR="008D0565" w:rsidRPr="00D61F73">
        <w:rPr>
          <w:rFonts w:ascii="Arial" w:hAnsi="Arial" w:cs="Arial"/>
          <w:i/>
          <w:iCs/>
        </w:rPr>
        <w:t>J Neurosurg</w:t>
      </w:r>
      <w:r w:rsidR="008D0565" w:rsidRPr="00D61F73">
        <w:rPr>
          <w:rFonts w:ascii="Arial" w:hAnsi="Arial" w:cs="Arial"/>
        </w:rPr>
        <w:t>. 2008 Feb;108(2):292-8.</w:t>
      </w:r>
    </w:p>
    <w:p w14:paraId="33F7F6F7" w14:textId="77777777" w:rsidR="008D0565" w:rsidRPr="00D61F73" w:rsidRDefault="008D0565" w:rsidP="00D61F73">
      <w:pPr>
        <w:pStyle w:val="Footer"/>
        <w:tabs>
          <w:tab w:val="clear" w:pos="4320"/>
          <w:tab w:val="clear" w:pos="8640"/>
        </w:tabs>
        <w:rPr>
          <w:rFonts w:ascii="Arial" w:hAnsi="Arial" w:cs="Arial"/>
        </w:rPr>
      </w:pPr>
    </w:p>
    <w:p w14:paraId="4ACA410A" w14:textId="77777777" w:rsidR="008D0565" w:rsidRPr="00D61F73" w:rsidRDefault="00751163" w:rsidP="00D61F73">
      <w:pPr>
        <w:rPr>
          <w:rFonts w:ascii="Arial" w:hAnsi="Arial" w:cs="Arial"/>
        </w:rPr>
      </w:pPr>
      <w:hyperlink w:anchor="Kumar2" w:history="1">
        <w:r w:rsidR="008D0565" w:rsidRPr="00D61F73">
          <w:rPr>
            <w:rStyle w:val="Hyperlink"/>
            <w:rFonts w:ascii="Arial" w:hAnsi="Arial" w:cs="Arial"/>
          </w:rPr>
          <w:t>Kumar K, Malik S, Demeria D</w:t>
        </w:r>
      </w:hyperlink>
      <w:r w:rsidR="008D0565" w:rsidRPr="00D61F73">
        <w:rPr>
          <w:rFonts w:ascii="Arial" w:hAnsi="Arial" w:cs="Arial"/>
        </w:rPr>
        <w:t xml:space="preserve">, Treatment of chronic pain with spinal cord stimulation versus alternative therapies: cost-effectiveness analysis, </w:t>
      </w:r>
      <w:r w:rsidR="008D0565" w:rsidRPr="00D61F73">
        <w:rPr>
          <w:rFonts w:ascii="Arial" w:hAnsi="Arial" w:cs="Arial"/>
          <w:i/>
          <w:iCs/>
        </w:rPr>
        <w:t>Neurosurgery.</w:t>
      </w:r>
      <w:r w:rsidR="008D0565" w:rsidRPr="00D61F73">
        <w:rPr>
          <w:rFonts w:ascii="Arial" w:hAnsi="Arial" w:cs="Arial"/>
        </w:rPr>
        <w:t xml:space="preserve"> 2002 Jul;51(1):106-15; discussion 115-6.</w:t>
      </w:r>
    </w:p>
    <w:p w14:paraId="4C2DF845" w14:textId="77777777" w:rsidR="008D0565" w:rsidRPr="00D61F73" w:rsidRDefault="008D0565" w:rsidP="00D61F73">
      <w:pPr>
        <w:rPr>
          <w:rFonts w:ascii="Arial" w:hAnsi="Arial" w:cs="Arial"/>
        </w:rPr>
      </w:pPr>
    </w:p>
    <w:p w14:paraId="1A9A4E87" w14:textId="77777777" w:rsidR="008D0565" w:rsidRPr="00D61F73" w:rsidRDefault="00751163" w:rsidP="00D61F73">
      <w:pPr>
        <w:rPr>
          <w:rFonts w:ascii="Arial" w:hAnsi="Arial" w:cs="Arial"/>
        </w:rPr>
      </w:pPr>
      <w:hyperlink w:anchor="MailisGagnon" w:history="1">
        <w:r w:rsidR="008D0565" w:rsidRPr="00D61F73">
          <w:rPr>
            <w:rStyle w:val="Hyperlink"/>
            <w:rFonts w:ascii="Arial" w:hAnsi="Arial" w:cs="Arial"/>
          </w:rPr>
          <w:t>Mailis-Gagnon A, Furlan A, Sandoval J, Taylor R,</w:t>
        </w:r>
      </w:hyperlink>
      <w:r w:rsidR="008D0565" w:rsidRPr="00D61F73">
        <w:rPr>
          <w:rFonts w:ascii="Arial" w:hAnsi="Arial" w:cs="Arial"/>
        </w:rPr>
        <w:t xml:space="preserve"> Spinal cord stimulation for chronic pain, </w:t>
      </w:r>
      <w:r w:rsidR="008D0565" w:rsidRPr="00D61F73">
        <w:rPr>
          <w:rFonts w:ascii="Arial" w:hAnsi="Arial" w:cs="Arial"/>
          <w:i/>
          <w:iCs/>
        </w:rPr>
        <w:t>Cochrane Database Syst Rev</w:t>
      </w:r>
      <w:r w:rsidR="008D0565" w:rsidRPr="00D61F73">
        <w:rPr>
          <w:rFonts w:ascii="Arial" w:hAnsi="Arial" w:cs="Arial"/>
        </w:rPr>
        <w:t>. 2004;3:CD003783</w:t>
      </w:r>
    </w:p>
    <w:p w14:paraId="2CC35441" w14:textId="77777777" w:rsidR="008D0565" w:rsidRPr="00D61F73" w:rsidRDefault="008D0565" w:rsidP="00D61F73">
      <w:pPr>
        <w:rPr>
          <w:rFonts w:ascii="Arial" w:hAnsi="Arial" w:cs="Arial"/>
        </w:rPr>
      </w:pPr>
    </w:p>
    <w:p w14:paraId="5C8418D4" w14:textId="77777777" w:rsidR="008D0565" w:rsidRPr="00D61F73" w:rsidRDefault="00751163" w:rsidP="00D61F73">
      <w:pPr>
        <w:rPr>
          <w:rFonts w:ascii="Arial" w:hAnsi="Arial" w:cs="Arial"/>
        </w:rPr>
      </w:pPr>
      <w:hyperlink w:anchor="Medtronic" w:history="1">
        <w:r w:rsidR="008D0565" w:rsidRPr="00D61F73">
          <w:rPr>
            <w:rStyle w:val="Hyperlink"/>
            <w:rFonts w:ascii="Arial" w:hAnsi="Arial" w:cs="Arial"/>
          </w:rPr>
          <w:t>Medtronic</w:t>
        </w:r>
      </w:hyperlink>
      <w:r w:rsidR="008D0565" w:rsidRPr="00D61F73">
        <w:rPr>
          <w:rFonts w:ascii="Arial" w:hAnsi="Arial" w:cs="Arial"/>
        </w:rPr>
        <w:t>, MDT Webpage, Indications for stimulator (medtronic) implantation, 2008</w:t>
      </w:r>
    </w:p>
    <w:p w14:paraId="52B96757" w14:textId="77777777" w:rsidR="008D0565" w:rsidRPr="00D61F73" w:rsidRDefault="008D0565" w:rsidP="00D61F73">
      <w:pPr>
        <w:rPr>
          <w:rFonts w:ascii="Arial" w:hAnsi="Arial" w:cs="Arial"/>
        </w:rPr>
      </w:pPr>
    </w:p>
    <w:p w14:paraId="2DBE44C8" w14:textId="77777777" w:rsidR="008D0565" w:rsidRPr="00D61F73" w:rsidRDefault="00751163" w:rsidP="00D61F73">
      <w:pPr>
        <w:rPr>
          <w:rFonts w:ascii="Arial" w:hAnsi="Arial" w:cs="Arial"/>
        </w:rPr>
      </w:pPr>
      <w:hyperlink w:anchor="NICE" w:history="1">
        <w:r w:rsidR="008D0565" w:rsidRPr="00D61F73">
          <w:rPr>
            <w:rStyle w:val="Hyperlink"/>
            <w:rFonts w:ascii="Arial" w:hAnsi="Arial" w:cs="Arial"/>
          </w:rPr>
          <w:t>NICE (National Institute for Health and Clinical Excellence)</w:t>
        </w:r>
      </w:hyperlink>
      <w:r w:rsidR="008D0565" w:rsidRPr="00D61F73">
        <w:rPr>
          <w:rFonts w:ascii="Arial" w:hAnsi="Arial" w:cs="Arial"/>
        </w:rPr>
        <w:t>. Pain (chronic neuropathic or ischaemic) - spinal cord stimulation: final appraisal determination. 01 September 2008.</w:t>
      </w:r>
    </w:p>
    <w:p w14:paraId="77616DC4" w14:textId="77777777" w:rsidR="008D0565" w:rsidRPr="00D61F73" w:rsidRDefault="008D0565" w:rsidP="00D61F73">
      <w:pPr>
        <w:rPr>
          <w:rFonts w:ascii="Arial" w:hAnsi="Arial" w:cs="Arial"/>
        </w:rPr>
      </w:pPr>
    </w:p>
    <w:p w14:paraId="6FBCF27C" w14:textId="77777777" w:rsidR="008D0565" w:rsidRPr="00D61F73" w:rsidRDefault="00751163" w:rsidP="00D61F73">
      <w:pPr>
        <w:pStyle w:val="NormalWeb"/>
        <w:spacing w:before="0" w:beforeAutospacing="0" w:after="0" w:afterAutospacing="0"/>
        <w:rPr>
          <w:rFonts w:ascii="Arial" w:hAnsi="Arial" w:cs="Arial"/>
        </w:rPr>
      </w:pPr>
      <w:hyperlink w:anchor="Prager2" w:history="1">
        <w:r w:rsidR="008D0565" w:rsidRPr="00D61F73">
          <w:rPr>
            <w:rStyle w:val="Hyperlink"/>
            <w:rFonts w:ascii="Arial" w:hAnsi="Arial" w:cs="Arial"/>
          </w:rPr>
          <w:t>Prager J</w:t>
        </w:r>
      </w:hyperlink>
      <w:r w:rsidR="008D0565" w:rsidRPr="00D61F73">
        <w:rPr>
          <w:rFonts w:ascii="Arial" w:hAnsi="Arial" w:cs="Arial"/>
        </w:rPr>
        <w:t>. Four decades of neuromodulation. Program and abstracts of the American Academy of Pain Medicine 23rd Annual Meeting; February 7-10, 2007; New Orleans, Louisiana.</w:t>
      </w:r>
    </w:p>
    <w:p w14:paraId="3EAF69AC" w14:textId="77777777" w:rsidR="008D0565" w:rsidRPr="00D61F73" w:rsidRDefault="008D0565" w:rsidP="00D61F73">
      <w:pPr>
        <w:pStyle w:val="NormalWeb"/>
        <w:spacing w:before="0" w:beforeAutospacing="0" w:after="0" w:afterAutospacing="0"/>
        <w:rPr>
          <w:rFonts w:ascii="Arial" w:hAnsi="Arial" w:cs="Arial"/>
        </w:rPr>
      </w:pPr>
    </w:p>
    <w:p w14:paraId="6A75B13E" w14:textId="77777777" w:rsidR="008D0565" w:rsidRPr="00D61F73" w:rsidRDefault="00751163" w:rsidP="00D61F73">
      <w:pPr>
        <w:rPr>
          <w:rFonts w:ascii="Arial" w:hAnsi="Arial" w:cs="Arial"/>
        </w:rPr>
      </w:pPr>
      <w:hyperlink w:anchor="StantonHicks2" w:history="1">
        <w:r w:rsidR="008D0565" w:rsidRPr="00D61F73">
          <w:rPr>
            <w:rStyle w:val="Hyperlink"/>
            <w:rFonts w:ascii="Arial" w:hAnsi="Arial" w:cs="Arial"/>
          </w:rPr>
          <w:t>Stanton-Hicks M.</w:t>
        </w:r>
      </w:hyperlink>
      <w:r w:rsidR="008D0565" w:rsidRPr="00D61F73">
        <w:rPr>
          <w:rFonts w:ascii="Arial" w:hAnsi="Arial" w:cs="Arial"/>
        </w:rPr>
        <w:t xml:space="preserve"> Complex regional pain syndrome: manifestations and the role of neurostimulation in its management. </w:t>
      </w:r>
      <w:r w:rsidR="008D0565" w:rsidRPr="00D61F73">
        <w:rPr>
          <w:rFonts w:ascii="Arial" w:hAnsi="Arial" w:cs="Arial"/>
          <w:i/>
          <w:iCs/>
        </w:rPr>
        <w:t>J Pain Symptom Manage</w:t>
      </w:r>
      <w:r w:rsidR="008D0565" w:rsidRPr="00D61F73">
        <w:rPr>
          <w:rFonts w:ascii="Arial" w:hAnsi="Arial" w:cs="Arial"/>
        </w:rPr>
        <w:t>. 2006 Apr;31(4 Suppl):S20-4.</w:t>
      </w:r>
    </w:p>
    <w:p w14:paraId="401D757C" w14:textId="77777777" w:rsidR="008D0565" w:rsidRPr="00D61F73" w:rsidRDefault="008D0565" w:rsidP="00D61F73">
      <w:pPr>
        <w:rPr>
          <w:rFonts w:ascii="Arial" w:hAnsi="Arial" w:cs="Arial"/>
        </w:rPr>
      </w:pPr>
    </w:p>
    <w:p w14:paraId="4530E758" w14:textId="77777777" w:rsidR="008D0565" w:rsidRPr="00D61F73" w:rsidRDefault="00751163" w:rsidP="00D61F73">
      <w:pPr>
        <w:rPr>
          <w:rFonts w:ascii="Arial" w:hAnsi="Arial" w:cs="Arial"/>
        </w:rPr>
      </w:pPr>
      <w:hyperlink w:anchor="Sundaraj" w:history="1">
        <w:r w:rsidR="008D0565" w:rsidRPr="00D61F73">
          <w:rPr>
            <w:rStyle w:val="Hyperlink"/>
            <w:rFonts w:ascii="Arial" w:hAnsi="Arial" w:cs="Arial"/>
          </w:rPr>
          <w:t>Sundaraj SR, Johnstone C, Noore F, Wynn P, Castro M</w:t>
        </w:r>
      </w:hyperlink>
      <w:r w:rsidR="008D0565" w:rsidRPr="00D61F73">
        <w:rPr>
          <w:rFonts w:ascii="Arial" w:hAnsi="Arial" w:cs="Arial"/>
        </w:rPr>
        <w:t xml:space="preserve">. Spinal cord stimulation: a seven-year audit. </w:t>
      </w:r>
      <w:r w:rsidR="008D0565" w:rsidRPr="00D61F73">
        <w:rPr>
          <w:rFonts w:ascii="Arial" w:hAnsi="Arial" w:cs="Arial"/>
          <w:i/>
          <w:iCs/>
        </w:rPr>
        <w:t>J Clin Neurosci.</w:t>
      </w:r>
      <w:r w:rsidR="008D0565" w:rsidRPr="00D61F73">
        <w:rPr>
          <w:rFonts w:ascii="Arial" w:hAnsi="Arial" w:cs="Arial"/>
        </w:rPr>
        <w:t xml:space="preserve"> 2005 Apr;12(3):264-70.</w:t>
      </w:r>
    </w:p>
    <w:p w14:paraId="0027F7E2" w14:textId="77777777" w:rsidR="008D0565" w:rsidRPr="00D61F73" w:rsidRDefault="008D0565" w:rsidP="00D61F73">
      <w:pPr>
        <w:rPr>
          <w:rFonts w:ascii="Arial" w:hAnsi="Arial" w:cs="Arial"/>
        </w:rPr>
      </w:pPr>
    </w:p>
    <w:p w14:paraId="185D5592" w14:textId="77777777" w:rsidR="008D0565" w:rsidRPr="00D61F73" w:rsidRDefault="00751163" w:rsidP="00D61F73">
      <w:pPr>
        <w:rPr>
          <w:rFonts w:ascii="Arial" w:hAnsi="Arial" w:cs="Arial"/>
        </w:rPr>
      </w:pPr>
      <w:hyperlink w:anchor="Taylor2" w:history="1">
        <w:r w:rsidR="008D0565" w:rsidRPr="00D61F73">
          <w:rPr>
            <w:rStyle w:val="Hyperlink"/>
            <w:rFonts w:ascii="Arial" w:hAnsi="Arial" w:cs="Arial"/>
          </w:rPr>
          <w:t>Taylor RS, Buyten JP, Buchser E.</w:t>
        </w:r>
      </w:hyperlink>
      <w:r w:rsidR="008D0565" w:rsidRPr="00D61F73">
        <w:rPr>
          <w:rFonts w:ascii="Arial" w:hAnsi="Arial" w:cs="Arial"/>
        </w:rPr>
        <w:t xml:space="preserve"> Spinal cord stimulation for complex regional pain syndrome: A systematic review of the clinical and cost-effectiveness literature and assessment of prognostic factors. </w:t>
      </w:r>
      <w:r w:rsidR="008D0565" w:rsidRPr="00D61F73">
        <w:rPr>
          <w:rFonts w:ascii="Arial" w:hAnsi="Arial" w:cs="Arial"/>
          <w:i/>
          <w:iCs/>
        </w:rPr>
        <w:t>Eur J Pain</w:t>
      </w:r>
      <w:r w:rsidR="008D0565" w:rsidRPr="00D61F73">
        <w:rPr>
          <w:rFonts w:ascii="Arial" w:hAnsi="Arial" w:cs="Arial"/>
        </w:rPr>
        <w:t>. 2006 Feb;10(2):91-101.</w:t>
      </w:r>
    </w:p>
    <w:p w14:paraId="4FA88BEB" w14:textId="77777777" w:rsidR="008D0565" w:rsidRPr="00D61F73" w:rsidRDefault="008D0565" w:rsidP="00D61F73">
      <w:pPr>
        <w:rPr>
          <w:rFonts w:ascii="Arial" w:hAnsi="Arial" w:cs="Arial"/>
        </w:rPr>
      </w:pPr>
    </w:p>
    <w:p w14:paraId="100CA254" w14:textId="053BE76C" w:rsidR="008D0565" w:rsidRPr="00D61F73" w:rsidRDefault="008D0565" w:rsidP="00D61F73">
      <w:pPr>
        <w:rPr>
          <w:rFonts w:ascii="Arial" w:hAnsi="Arial" w:cs="Arial"/>
          <w:sz w:val="28"/>
          <w:szCs w:val="28"/>
        </w:rPr>
      </w:pPr>
      <w:r w:rsidRPr="00D61F73">
        <w:rPr>
          <w:rFonts w:ascii="Arial" w:hAnsi="Arial" w:cs="Arial"/>
          <w:b/>
          <w:bCs/>
        </w:rPr>
        <w:br w:type="page"/>
      </w:r>
      <w:bookmarkStart w:id="425" w:name="Low"/>
      <w:r w:rsidRPr="00D61F73">
        <w:rPr>
          <w:rFonts w:ascii="Arial" w:hAnsi="Arial" w:cs="Arial"/>
          <w:b/>
          <w:bCs/>
          <w:sz w:val="28"/>
          <w:szCs w:val="28"/>
        </w:rPr>
        <w:lastRenderedPageBreak/>
        <w:t>L</w:t>
      </w:r>
      <w:r w:rsidR="009D6033" w:rsidRPr="00D61F73">
        <w:rPr>
          <w:rFonts w:ascii="Arial" w:hAnsi="Arial" w:cs="Arial"/>
          <w:b/>
          <w:bCs/>
          <w:sz w:val="28"/>
          <w:szCs w:val="28"/>
        </w:rPr>
        <w:t>ow</w:t>
      </w:r>
      <w:bookmarkEnd w:id="425"/>
      <w:r w:rsidRPr="00D61F73">
        <w:rPr>
          <w:rFonts w:ascii="Arial" w:hAnsi="Arial" w:cs="Arial"/>
          <w:b/>
          <w:bCs/>
          <w:sz w:val="28"/>
          <w:szCs w:val="28"/>
        </w:rPr>
        <w:t xml:space="preserve"> P</w:t>
      </w:r>
      <w:r w:rsidR="009D6033" w:rsidRPr="00D61F73">
        <w:rPr>
          <w:rFonts w:ascii="Arial" w:hAnsi="Arial" w:cs="Arial"/>
          <w:b/>
          <w:bCs/>
          <w:sz w:val="28"/>
          <w:szCs w:val="28"/>
        </w:rPr>
        <w:t>riority</w:t>
      </w:r>
      <w:r w:rsidRPr="00D61F73">
        <w:rPr>
          <w:rFonts w:ascii="Arial" w:hAnsi="Arial" w:cs="Arial"/>
          <w:b/>
          <w:bCs/>
          <w:sz w:val="28"/>
          <w:szCs w:val="28"/>
        </w:rPr>
        <w:t xml:space="preserve"> R</w:t>
      </w:r>
      <w:r w:rsidR="009D6033" w:rsidRPr="00D61F73">
        <w:rPr>
          <w:rFonts w:ascii="Arial" w:hAnsi="Arial" w:cs="Arial"/>
          <w:b/>
          <w:bCs/>
          <w:sz w:val="28"/>
          <w:szCs w:val="28"/>
        </w:rPr>
        <w:t>eferences</w:t>
      </w:r>
    </w:p>
    <w:p w14:paraId="4FBC220B" w14:textId="77777777" w:rsidR="008D0565" w:rsidRPr="00D61F73" w:rsidRDefault="008D0565" w:rsidP="00D61F73">
      <w:pPr>
        <w:rPr>
          <w:rFonts w:ascii="Arial" w:hAnsi="Arial" w:cs="Arial"/>
        </w:rPr>
      </w:pPr>
    </w:p>
    <w:p w14:paraId="7F72DC4E" w14:textId="77777777" w:rsidR="008D0565" w:rsidRPr="00D61F73" w:rsidRDefault="008D0565" w:rsidP="00D61F73">
      <w:pPr>
        <w:pStyle w:val="xl23"/>
        <w:spacing w:before="0" w:beforeAutospacing="0" w:after="0" w:afterAutospacing="0"/>
        <w:rPr>
          <w:b/>
          <w:bCs/>
        </w:rPr>
      </w:pPr>
      <w:r w:rsidRPr="00D61F73">
        <w:rPr>
          <w:b/>
          <w:bCs/>
        </w:rPr>
        <w:t>LOW BACK PAIN</w:t>
      </w:r>
    </w:p>
    <w:p w14:paraId="747A9425" w14:textId="77777777" w:rsidR="008D0565" w:rsidRPr="00D61F73" w:rsidRDefault="008D0565" w:rsidP="00D61F73">
      <w:pPr>
        <w:rPr>
          <w:rFonts w:ascii="Arial" w:hAnsi="Arial" w:cs="Arial"/>
        </w:rPr>
      </w:pPr>
    </w:p>
    <w:p w14:paraId="1D923A5E" w14:textId="77777777" w:rsidR="008D0565" w:rsidRPr="00D61F73" w:rsidRDefault="00751163" w:rsidP="00D61F73">
      <w:pPr>
        <w:rPr>
          <w:rFonts w:ascii="Arial" w:hAnsi="Arial" w:cs="Arial"/>
        </w:rPr>
      </w:pPr>
      <w:hyperlink w:anchor="Sommer" w:history="1">
        <w:r w:rsidR="008D0565" w:rsidRPr="00D61F73">
          <w:rPr>
            <w:rStyle w:val="Hyperlink"/>
            <w:rFonts w:ascii="Arial" w:hAnsi="Arial" w:cs="Arial"/>
          </w:rPr>
          <w:t xml:space="preserve">Sommer HM. </w:t>
        </w:r>
      </w:hyperlink>
      <w:r w:rsidR="008D0565" w:rsidRPr="00D61F73">
        <w:rPr>
          <w:rFonts w:ascii="Arial" w:hAnsi="Arial" w:cs="Arial"/>
        </w:rPr>
        <w:t xml:space="preserve"> The Patient in Jeopardy: How the Low Back Pain Patient Becomes Disabled. </w:t>
      </w:r>
      <w:r w:rsidR="008D0565" w:rsidRPr="00D61F73">
        <w:rPr>
          <w:rFonts w:ascii="Arial" w:hAnsi="Arial" w:cs="Arial"/>
          <w:i/>
          <w:iCs/>
        </w:rPr>
        <w:t>Occupational</w:t>
      </w:r>
      <w:r w:rsidR="008D0565" w:rsidRPr="00D61F73">
        <w:rPr>
          <w:rFonts w:ascii="Arial" w:hAnsi="Arial" w:cs="Arial"/>
        </w:rPr>
        <w:t xml:space="preserve"> </w:t>
      </w:r>
      <w:r w:rsidR="008D0565" w:rsidRPr="00D61F73">
        <w:rPr>
          <w:rFonts w:ascii="Arial" w:hAnsi="Arial" w:cs="Arial"/>
          <w:i/>
          <w:iCs/>
        </w:rPr>
        <w:t xml:space="preserve">Medicine </w:t>
      </w:r>
      <w:r w:rsidR="008D0565" w:rsidRPr="00D61F73">
        <w:rPr>
          <w:rFonts w:ascii="Arial" w:hAnsi="Arial" w:cs="Arial"/>
        </w:rPr>
        <w:t>1998;(13)1:23-31.</w:t>
      </w:r>
    </w:p>
    <w:p w14:paraId="0DD5E36C" w14:textId="77777777" w:rsidR="008D0565" w:rsidRPr="00D61F73" w:rsidRDefault="008D0565" w:rsidP="00D61F73">
      <w:pPr>
        <w:rPr>
          <w:rFonts w:ascii="Arial" w:hAnsi="Arial" w:cs="Arial"/>
        </w:rPr>
      </w:pPr>
    </w:p>
    <w:p w14:paraId="61824D58" w14:textId="77777777" w:rsidR="008D0565" w:rsidRPr="00D61F73" w:rsidRDefault="008D0565" w:rsidP="00D61F73">
      <w:pPr>
        <w:pStyle w:val="xl23"/>
        <w:spacing w:before="0" w:beforeAutospacing="0" w:after="0" w:afterAutospacing="0"/>
      </w:pPr>
      <w:r w:rsidRPr="00D61F73">
        <w:rPr>
          <w:b/>
          <w:bCs/>
        </w:rPr>
        <w:t>PAIN – CHRONIC</w:t>
      </w:r>
    </w:p>
    <w:p w14:paraId="5EDE2220" w14:textId="77777777" w:rsidR="008D0565" w:rsidRPr="00D61F73" w:rsidRDefault="008D0565" w:rsidP="00D61F73">
      <w:pPr>
        <w:pStyle w:val="xl23"/>
        <w:spacing w:before="0" w:beforeAutospacing="0" w:after="0" w:afterAutospacing="0"/>
      </w:pPr>
    </w:p>
    <w:p w14:paraId="0AD01AD1" w14:textId="77777777" w:rsidR="008D0565" w:rsidRPr="00D61F73" w:rsidRDefault="00751163" w:rsidP="00D61F73">
      <w:pPr>
        <w:pStyle w:val="xl23"/>
        <w:spacing w:before="0" w:beforeAutospacing="0" w:after="0" w:afterAutospacing="0"/>
      </w:pPr>
      <w:hyperlink w:anchor="Gallagher" w:history="1">
        <w:r w:rsidR="008D0565" w:rsidRPr="00D61F73">
          <w:rPr>
            <w:rStyle w:val="Hyperlink"/>
          </w:rPr>
          <w:t>Gallagher RM</w:t>
        </w:r>
      </w:hyperlink>
      <w:r w:rsidR="008D0565" w:rsidRPr="00D61F73">
        <w:t xml:space="preserve">. Primary care and pain medicine. A community solution to the public health problem of chronic pain. </w:t>
      </w:r>
      <w:r w:rsidR="008D0565" w:rsidRPr="00D61F73">
        <w:rPr>
          <w:rStyle w:val="HTMLCite"/>
        </w:rPr>
        <w:t>Medical Clinics of North America</w:t>
      </w:r>
      <w:r w:rsidR="008D0565" w:rsidRPr="00D61F73">
        <w:t>. 01-May-1999; 83(3): 555-83, v.</w:t>
      </w:r>
    </w:p>
    <w:p w14:paraId="6CA17AB2" w14:textId="77777777" w:rsidR="008D0565" w:rsidRPr="00D61F73" w:rsidRDefault="008D0565" w:rsidP="00D61F73">
      <w:pPr>
        <w:rPr>
          <w:rFonts w:ascii="Arial" w:hAnsi="Arial" w:cs="Arial"/>
        </w:rPr>
      </w:pPr>
    </w:p>
    <w:p w14:paraId="09ECF667" w14:textId="77777777" w:rsidR="008D0565" w:rsidRPr="00D61F73" w:rsidRDefault="008D0565" w:rsidP="00D61F73">
      <w:pPr>
        <w:pStyle w:val="xl23"/>
        <w:spacing w:before="0" w:beforeAutospacing="0" w:after="0" w:afterAutospacing="0"/>
        <w:rPr>
          <w:b/>
          <w:bCs/>
        </w:rPr>
      </w:pPr>
      <w:r w:rsidRPr="00D61F73">
        <w:rPr>
          <w:b/>
          <w:bCs/>
        </w:rPr>
        <w:t>PAIN – MISCELLANEOUS</w:t>
      </w:r>
    </w:p>
    <w:p w14:paraId="62B58B15" w14:textId="77777777" w:rsidR="008D0565" w:rsidRPr="00D61F73" w:rsidRDefault="008D0565" w:rsidP="00D61F73">
      <w:pPr>
        <w:rPr>
          <w:rFonts w:ascii="Arial" w:hAnsi="Arial" w:cs="Arial"/>
        </w:rPr>
      </w:pPr>
    </w:p>
    <w:p w14:paraId="69A59146" w14:textId="77777777" w:rsidR="008D0565" w:rsidRPr="00D61F73" w:rsidRDefault="00751163" w:rsidP="00D61F73">
      <w:pPr>
        <w:rPr>
          <w:rFonts w:ascii="Arial" w:hAnsi="Arial" w:cs="Arial"/>
        </w:rPr>
      </w:pPr>
      <w:hyperlink w:anchor="Robinson" w:history="1">
        <w:r w:rsidR="008D0565" w:rsidRPr="00D61F73">
          <w:rPr>
            <w:rStyle w:val="Hyperlink"/>
            <w:rFonts w:ascii="Arial" w:hAnsi="Arial" w:cs="Arial"/>
          </w:rPr>
          <w:t>Robinson JP, Fulton-Keohe D, Martin C, Franklin GM</w:t>
        </w:r>
      </w:hyperlink>
      <w:r w:rsidR="008D0565" w:rsidRPr="00D61F73">
        <w:rPr>
          <w:rFonts w:ascii="Arial" w:hAnsi="Arial" w:cs="Arial"/>
        </w:rPr>
        <w:t>. Outcomes of Pain Center Treatment in Washington State Workers’ Compensation. Am J Ind Med 2001;227-236.</w:t>
      </w:r>
    </w:p>
    <w:p w14:paraId="0FC312CF" w14:textId="77777777" w:rsidR="008D0565" w:rsidRPr="00D61F73" w:rsidRDefault="008D0565" w:rsidP="00D61F73">
      <w:pPr>
        <w:rPr>
          <w:rFonts w:ascii="Arial" w:hAnsi="Arial" w:cs="Arial"/>
        </w:rPr>
      </w:pPr>
    </w:p>
    <w:p w14:paraId="49B543A6" w14:textId="77777777" w:rsidR="008D0565" w:rsidRPr="00D61F73" w:rsidRDefault="008D0565" w:rsidP="00D61F73">
      <w:pPr>
        <w:pStyle w:val="xl23"/>
        <w:spacing w:before="0" w:beforeAutospacing="0" w:after="0" w:afterAutospacing="0"/>
      </w:pPr>
      <w:r w:rsidRPr="00D61F73">
        <w:rPr>
          <w:b/>
          <w:bCs/>
        </w:rPr>
        <w:t>PSYCHOSOCIAL EVALUATION AND TREATMENT</w:t>
      </w:r>
    </w:p>
    <w:p w14:paraId="49F116D7" w14:textId="77777777" w:rsidR="008D0565" w:rsidRPr="00D61F73" w:rsidRDefault="008D0565" w:rsidP="00D61F73">
      <w:pPr>
        <w:rPr>
          <w:rFonts w:ascii="Arial" w:hAnsi="Arial" w:cs="Arial"/>
        </w:rPr>
      </w:pPr>
    </w:p>
    <w:p w14:paraId="41060049" w14:textId="77777777" w:rsidR="008D0565" w:rsidRPr="00D61F73" w:rsidRDefault="00751163" w:rsidP="00D61F73">
      <w:pPr>
        <w:rPr>
          <w:rFonts w:ascii="Arial" w:hAnsi="Arial" w:cs="Arial"/>
        </w:rPr>
      </w:pPr>
      <w:hyperlink w:anchor="Goldberg" w:history="1">
        <w:r w:rsidR="008D0565" w:rsidRPr="00D61F73">
          <w:rPr>
            <w:rStyle w:val="Hyperlink"/>
            <w:rFonts w:ascii="Arial" w:hAnsi="Arial" w:cs="Arial"/>
          </w:rPr>
          <w:t>Goldberg RT; Pachas WN; Keith D</w:t>
        </w:r>
      </w:hyperlink>
      <w:r w:rsidR="008D0565" w:rsidRPr="00D61F73">
        <w:rPr>
          <w:rFonts w:ascii="Arial" w:hAnsi="Arial" w:cs="Arial"/>
        </w:rPr>
        <w:t xml:space="preserve">. Relationship between traumatic events in childhood and chronic pain. </w:t>
      </w:r>
      <w:r w:rsidR="008D0565" w:rsidRPr="00D61F73">
        <w:rPr>
          <w:rFonts w:ascii="Arial" w:hAnsi="Arial" w:cs="Arial"/>
          <w:i/>
          <w:iCs/>
        </w:rPr>
        <w:t xml:space="preserve">Disability Rehabilitation. </w:t>
      </w:r>
      <w:r w:rsidR="008D0565" w:rsidRPr="00D61F73">
        <w:rPr>
          <w:rFonts w:ascii="Arial" w:hAnsi="Arial" w:cs="Arial"/>
        </w:rPr>
        <w:t>01-Jan-1999; 21(1): 23-30.</w:t>
      </w:r>
    </w:p>
    <w:p w14:paraId="1E45C39E" w14:textId="77777777" w:rsidR="008D0565" w:rsidRPr="00D61F73" w:rsidRDefault="008D0565" w:rsidP="00D61F73">
      <w:pPr>
        <w:rPr>
          <w:rFonts w:ascii="Arial" w:hAnsi="Arial" w:cs="Arial"/>
        </w:rPr>
      </w:pPr>
    </w:p>
    <w:p w14:paraId="756E48BB" w14:textId="77777777" w:rsidR="008D0565" w:rsidRPr="00D61F73" w:rsidRDefault="00751163" w:rsidP="00D61F73">
      <w:pPr>
        <w:rPr>
          <w:rFonts w:ascii="Arial" w:hAnsi="Arial" w:cs="Arial"/>
        </w:rPr>
      </w:pPr>
      <w:hyperlink w:anchor="McCracken" w:history="1">
        <w:r w:rsidR="008D0565" w:rsidRPr="00D61F73">
          <w:rPr>
            <w:rStyle w:val="Hyperlink"/>
            <w:rFonts w:ascii="Arial" w:hAnsi="Arial" w:cs="Arial"/>
          </w:rPr>
          <w:t>McCracken LM, Matthews AK, Tang TS, Cuba SL</w:t>
        </w:r>
      </w:hyperlink>
      <w:r w:rsidR="008D0565" w:rsidRPr="00D61F73">
        <w:rPr>
          <w:rFonts w:ascii="Arial" w:hAnsi="Arial" w:cs="Arial"/>
        </w:rPr>
        <w:t xml:space="preserve">. A comparison of blacks and whites seeking treatment for chronic pain. </w:t>
      </w:r>
      <w:r w:rsidR="008D0565" w:rsidRPr="00D61F73">
        <w:rPr>
          <w:rFonts w:ascii="Arial" w:hAnsi="Arial" w:cs="Arial"/>
          <w:i/>
          <w:iCs/>
        </w:rPr>
        <w:t>Clinical Journal of Pain</w:t>
      </w:r>
      <w:r w:rsidR="008D0565" w:rsidRPr="00D61F73">
        <w:rPr>
          <w:rFonts w:ascii="Arial" w:hAnsi="Arial" w:cs="Arial"/>
        </w:rPr>
        <w:t>. 2001 Sep;17(3):249-55.</w:t>
      </w:r>
    </w:p>
    <w:p w14:paraId="22E920F3" w14:textId="77777777" w:rsidR="008D0565" w:rsidRPr="00D61F73" w:rsidRDefault="008D0565" w:rsidP="00D61F73">
      <w:pPr>
        <w:rPr>
          <w:rFonts w:ascii="Arial" w:hAnsi="Arial" w:cs="Arial"/>
        </w:rPr>
      </w:pPr>
    </w:p>
    <w:p w14:paraId="64A1DD39" w14:textId="77777777" w:rsidR="008D0565" w:rsidRPr="00D61F73" w:rsidRDefault="00751163" w:rsidP="00D61F73">
      <w:pPr>
        <w:rPr>
          <w:rFonts w:ascii="Arial" w:hAnsi="Arial" w:cs="Arial"/>
        </w:rPr>
      </w:pPr>
      <w:hyperlink w:anchor="Pulliam" w:history="1">
        <w:r w:rsidR="008D0565" w:rsidRPr="00D61F73">
          <w:rPr>
            <w:rStyle w:val="Hyperlink"/>
            <w:rFonts w:ascii="Arial" w:hAnsi="Arial" w:cs="Arial"/>
          </w:rPr>
          <w:t>Pulliam CB, Gatchel RJ, Gardea MA</w:t>
        </w:r>
      </w:hyperlink>
      <w:r w:rsidR="008D0565" w:rsidRPr="00D61F73">
        <w:rPr>
          <w:rFonts w:ascii="Arial" w:hAnsi="Arial" w:cs="Arial"/>
        </w:rPr>
        <w:t>. Psychosocial differences in high risk versus low risk acute low-back pain patients. Journal of Occupational Rehabilitation. 2001 Mar;11(1):43-52.</w:t>
      </w:r>
    </w:p>
    <w:p w14:paraId="30B0B078" w14:textId="77777777" w:rsidR="008D0565" w:rsidRPr="00D61F73" w:rsidRDefault="008D0565" w:rsidP="00D61F73">
      <w:pPr>
        <w:rPr>
          <w:rFonts w:ascii="Arial" w:hAnsi="Arial" w:cs="Arial"/>
        </w:rPr>
      </w:pPr>
    </w:p>
    <w:p w14:paraId="056EC07E" w14:textId="77777777" w:rsidR="008D0565" w:rsidRPr="00D61F73" w:rsidRDefault="00751163" w:rsidP="00D61F73">
      <w:pPr>
        <w:rPr>
          <w:rFonts w:ascii="Arial" w:hAnsi="Arial" w:cs="Arial"/>
        </w:rPr>
      </w:pPr>
      <w:hyperlink w:anchor="Severeijns" w:history="1">
        <w:r w:rsidR="008D0565" w:rsidRPr="00D61F73">
          <w:rPr>
            <w:rStyle w:val="Hyperlink"/>
            <w:rFonts w:ascii="Arial" w:hAnsi="Arial" w:cs="Arial"/>
          </w:rPr>
          <w:t>Severeijns R; Vlaeyen JW; van den Hout MA; Weber WE</w:t>
        </w:r>
      </w:hyperlink>
      <w:r w:rsidR="008D0565" w:rsidRPr="00D61F73">
        <w:rPr>
          <w:rFonts w:ascii="Arial" w:hAnsi="Arial" w:cs="Arial"/>
        </w:rPr>
        <w:t xml:space="preserve">. Pain catastrophizing predicts pain intensity, disability, and psychological distress independent of the level of physical impairment. </w:t>
      </w:r>
      <w:r w:rsidR="008D0565" w:rsidRPr="00D61F73">
        <w:rPr>
          <w:rStyle w:val="HTMLCite"/>
          <w:rFonts w:ascii="Arial" w:hAnsi="Arial" w:cs="Arial"/>
        </w:rPr>
        <w:t xml:space="preserve">Clinical Journal of Pain. </w:t>
      </w:r>
      <w:r w:rsidR="008D0565" w:rsidRPr="00D61F73">
        <w:rPr>
          <w:rFonts w:ascii="Arial" w:hAnsi="Arial" w:cs="Arial"/>
        </w:rPr>
        <w:t>01-Jun-2001; 17(2): 165-72.</w:t>
      </w:r>
    </w:p>
    <w:p w14:paraId="04DB4D89" w14:textId="77777777" w:rsidR="008D0565" w:rsidRPr="00D61F73" w:rsidRDefault="008D0565" w:rsidP="00D61F73">
      <w:pPr>
        <w:rPr>
          <w:rFonts w:ascii="Arial" w:hAnsi="Arial" w:cs="Arial"/>
        </w:rPr>
      </w:pPr>
    </w:p>
    <w:p w14:paraId="6C3A373D" w14:textId="77777777" w:rsidR="008D0565" w:rsidRPr="00D61F73" w:rsidRDefault="008D0565" w:rsidP="00D61F73">
      <w:pPr>
        <w:pStyle w:val="xl23"/>
        <w:spacing w:before="0" w:beforeAutospacing="0" w:after="0" w:afterAutospacing="0"/>
      </w:pPr>
      <w:r w:rsidRPr="00D61F73">
        <w:rPr>
          <w:b/>
          <w:bCs/>
        </w:rPr>
        <w:t>THERAPEUTIC INTERVENTION</w:t>
      </w:r>
    </w:p>
    <w:p w14:paraId="10662164" w14:textId="77777777" w:rsidR="008D0565" w:rsidRPr="00D61F73" w:rsidRDefault="008D0565" w:rsidP="00D61F73">
      <w:pPr>
        <w:pStyle w:val="xl23"/>
        <w:spacing w:before="0" w:beforeAutospacing="0" w:after="0" w:afterAutospacing="0"/>
      </w:pPr>
    </w:p>
    <w:p w14:paraId="391BA11E" w14:textId="77777777" w:rsidR="008D0565" w:rsidRPr="00D61F73" w:rsidRDefault="00751163" w:rsidP="00D61F73">
      <w:pPr>
        <w:rPr>
          <w:rFonts w:ascii="Arial" w:hAnsi="Arial" w:cs="Arial"/>
        </w:rPr>
      </w:pPr>
      <w:hyperlink w:anchor="planning" w:history="1">
        <w:r w:rsidR="008D0565" w:rsidRPr="00D61F73">
          <w:rPr>
            <w:rStyle w:val="Hyperlink"/>
            <w:rFonts w:ascii="Arial" w:hAnsi="Arial" w:cs="Arial"/>
          </w:rPr>
          <w:t>Gallagher RM</w:t>
        </w:r>
      </w:hyperlink>
      <w:r w:rsidR="008D0565" w:rsidRPr="00D61F73">
        <w:rPr>
          <w:rFonts w:ascii="Arial" w:hAnsi="Arial" w:cs="Arial"/>
        </w:rPr>
        <w:t xml:space="preserve">. Treatment planning in pain medicine. Integrating medical, physical, and behavioral therapies. </w:t>
      </w:r>
      <w:r w:rsidR="008D0565" w:rsidRPr="00D61F73">
        <w:rPr>
          <w:rStyle w:val="HTMLCite"/>
          <w:rFonts w:ascii="Arial" w:hAnsi="Arial" w:cs="Arial"/>
        </w:rPr>
        <w:t xml:space="preserve">Medical Clinics of North America. </w:t>
      </w:r>
      <w:r w:rsidR="008D0565" w:rsidRPr="00D61F73">
        <w:rPr>
          <w:rFonts w:ascii="Arial" w:hAnsi="Arial" w:cs="Arial"/>
        </w:rPr>
        <w:t>01-May-1999; 83(3): 823-49, viii.</w:t>
      </w:r>
    </w:p>
    <w:p w14:paraId="7400C0AE" w14:textId="6629C76A" w:rsidR="008D0565" w:rsidRPr="00D61F73" w:rsidRDefault="008D0565" w:rsidP="00D61F73">
      <w:pPr>
        <w:rPr>
          <w:rFonts w:ascii="Arial" w:hAnsi="Arial" w:cs="Arial"/>
          <w:b/>
          <w:bCs/>
          <w:sz w:val="28"/>
          <w:szCs w:val="28"/>
        </w:rPr>
      </w:pPr>
      <w:r w:rsidRPr="00D61F73">
        <w:rPr>
          <w:rFonts w:ascii="Arial" w:hAnsi="Arial" w:cs="Arial"/>
        </w:rPr>
        <w:br w:type="page"/>
      </w:r>
      <w:bookmarkStart w:id="426" w:name="Referencesforproceduresummary"/>
      <w:r w:rsidR="00853940" w:rsidRPr="00D61F73">
        <w:rPr>
          <w:rFonts w:ascii="Arial" w:hAnsi="Arial" w:cs="Arial"/>
          <w:b/>
          <w:bCs/>
          <w:sz w:val="28"/>
          <w:szCs w:val="28"/>
        </w:rPr>
        <w:lastRenderedPageBreak/>
        <w:t>References for Procedure Summary</w:t>
      </w:r>
      <w:bookmarkEnd w:id="426"/>
    </w:p>
    <w:p w14:paraId="259E7F17" w14:textId="77777777" w:rsidR="00AA2119" w:rsidRPr="00D61F73" w:rsidRDefault="00AA2119" w:rsidP="00D61F73">
      <w:pPr>
        <w:rPr>
          <w:rFonts w:ascii="Arial" w:hAnsi="Arial" w:cs="Arial"/>
          <w:b/>
          <w:bCs/>
        </w:rPr>
      </w:pPr>
    </w:p>
    <w:bookmarkStart w:id="427" w:name="ExplanationofODGMedicalLiteratureRatings"/>
    <w:p w14:paraId="7739D159" w14:textId="55E6BBAD" w:rsidR="00AA2119" w:rsidRPr="00C86310" w:rsidRDefault="00C86310" w:rsidP="00D61F73">
      <w:pPr>
        <w:rPr>
          <w:rStyle w:val="Hyperlink"/>
          <w:rFonts w:ascii="Arial" w:hAnsi="Arial" w:cs="Arial"/>
          <w:b/>
          <w:bCs/>
        </w:rPr>
      </w:pPr>
      <w:r>
        <w:rPr>
          <w:rFonts w:ascii="Arial" w:hAnsi="Arial" w:cs="Arial"/>
          <w:b/>
          <w:bCs/>
        </w:rPr>
        <w:fldChar w:fldCharType="begin"/>
      </w:r>
      <w:r>
        <w:rPr>
          <w:rFonts w:ascii="Arial" w:hAnsi="Arial" w:cs="Arial"/>
          <w:b/>
          <w:bCs/>
        </w:rPr>
        <w:instrText xml:space="preserve"> HYPERLINK  \l "ODGliteratureRatings" </w:instrText>
      </w:r>
      <w:r>
        <w:rPr>
          <w:rFonts w:ascii="Arial" w:hAnsi="Arial" w:cs="Arial"/>
          <w:b/>
          <w:bCs/>
        </w:rPr>
        <w:fldChar w:fldCharType="separate"/>
      </w:r>
      <w:r w:rsidR="00AA2119" w:rsidRPr="00C86310">
        <w:rPr>
          <w:rStyle w:val="Hyperlink"/>
          <w:rFonts w:ascii="Arial" w:hAnsi="Arial" w:cs="Arial"/>
          <w:b/>
          <w:bCs/>
        </w:rPr>
        <w:t xml:space="preserve">NOTE: Refer to </w:t>
      </w:r>
      <w:r w:rsidR="00AA2119" w:rsidRPr="00C86310">
        <w:rPr>
          <w:rStyle w:val="Hyperlink"/>
          <w:rFonts w:ascii="Arial" w:hAnsi="Arial" w:cs="Arial"/>
          <w:b/>
        </w:rPr>
        <w:t>Explanation of ODG Medical Literature Ratings for a description of ODG’s evidence rating.</w:t>
      </w:r>
    </w:p>
    <w:bookmarkEnd w:id="427"/>
    <w:p w14:paraId="5BECC9AC" w14:textId="70164751" w:rsidR="008D0565" w:rsidRPr="00D61F73" w:rsidRDefault="00C86310" w:rsidP="00D61F73">
      <w:pPr>
        <w:pStyle w:val="Heading3"/>
        <w:spacing w:before="0" w:beforeAutospacing="0" w:after="0" w:afterAutospacing="0"/>
        <w:rPr>
          <w:rFonts w:ascii="Arial" w:hAnsi="Arial" w:cs="Arial"/>
          <w:sz w:val="24"/>
          <w:szCs w:val="24"/>
        </w:rPr>
      </w:pPr>
      <w:r>
        <w:rPr>
          <w:rFonts w:ascii="Arial" w:eastAsia="Times New Roman" w:hAnsi="Arial" w:cs="Arial"/>
          <w:sz w:val="24"/>
          <w:szCs w:val="24"/>
        </w:rPr>
        <w:fldChar w:fldCharType="end"/>
      </w:r>
    </w:p>
    <w:p w14:paraId="2601AC12" w14:textId="77777777" w:rsidR="008D0565" w:rsidRPr="00D61F73" w:rsidRDefault="008D0565" w:rsidP="00D61F73">
      <w:pPr>
        <w:rPr>
          <w:rFonts w:ascii="Arial" w:hAnsi="Arial" w:cs="Arial"/>
          <w:b/>
          <w:bCs/>
        </w:rPr>
      </w:pPr>
      <w:r w:rsidRPr="00D61F73">
        <w:rPr>
          <w:rFonts w:ascii="Arial" w:hAnsi="Arial" w:cs="Arial"/>
          <w:b/>
          <w:bCs/>
        </w:rPr>
        <w:t>A</w:t>
      </w:r>
      <w:bookmarkStart w:id="428" w:name="Abejon"/>
      <w:bookmarkEnd w:id="428"/>
      <w:r w:rsidRPr="00D61F73">
        <w:rPr>
          <w:rFonts w:ascii="Arial" w:hAnsi="Arial" w:cs="Arial"/>
          <w:b/>
          <w:bCs/>
        </w:rPr>
        <w:t xml:space="preserve">bejón D, Garcia-del-Valle S, Fuentes ML, Gómez-Arnau JI, Reig E, van Zundert J. Pulsed radiofrequency in lumbar radicular pain: clinical effects in various etiological groups. </w:t>
      </w:r>
      <w:r w:rsidRPr="00D61F73">
        <w:rPr>
          <w:rFonts w:ascii="Arial" w:hAnsi="Arial" w:cs="Arial"/>
          <w:b/>
          <w:bCs/>
          <w:i/>
          <w:iCs/>
        </w:rPr>
        <w:t>Pain Pract</w:t>
      </w:r>
      <w:r w:rsidRPr="00D61F73">
        <w:rPr>
          <w:rFonts w:ascii="Arial" w:hAnsi="Arial" w:cs="Arial"/>
          <w:b/>
          <w:bCs/>
        </w:rPr>
        <w:t>. 2007 Mar;7(1):21-6.</w:t>
      </w:r>
    </w:p>
    <w:p w14:paraId="2932E730" w14:textId="77777777" w:rsidR="008D0565" w:rsidRPr="00D61F73" w:rsidRDefault="008D0565" w:rsidP="00D61F73">
      <w:pPr>
        <w:rPr>
          <w:rFonts w:ascii="Arial" w:hAnsi="Arial" w:cs="Arial"/>
        </w:rPr>
      </w:pPr>
    </w:p>
    <w:p w14:paraId="20DBDC34" w14:textId="77777777" w:rsidR="008D0565" w:rsidRPr="00D61F73" w:rsidRDefault="008D0565" w:rsidP="00D61F73">
      <w:pPr>
        <w:rPr>
          <w:rFonts w:ascii="Arial" w:hAnsi="Arial" w:cs="Arial"/>
        </w:rPr>
      </w:pPr>
      <w:r w:rsidRPr="00D61F73">
        <w:rPr>
          <w:rFonts w:ascii="Arial" w:hAnsi="Arial" w:cs="Arial"/>
        </w:rPr>
        <w:t xml:space="preserve">METHODS: A retrospective analysis of 54 consecutive patients. RESULTS: A decrease in the NRS score was observed in patients with HD (P &lt; 0.05) and SS (P &lt; 0.001), but not in those with FBSS. </w:t>
      </w:r>
    </w:p>
    <w:p w14:paraId="2D9B8079" w14:textId="77777777" w:rsidR="008D0565" w:rsidRPr="00D61F73" w:rsidRDefault="008D0565" w:rsidP="00D61F73">
      <w:pPr>
        <w:rPr>
          <w:rFonts w:ascii="Arial" w:hAnsi="Arial" w:cs="Arial"/>
        </w:rPr>
      </w:pPr>
    </w:p>
    <w:p w14:paraId="419C63AB"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194" w:history="1">
        <w:r w:rsidRPr="00D61F73">
          <w:rPr>
            <w:rStyle w:val="Hyperlink"/>
            <w:rFonts w:ascii="Arial" w:hAnsi="Arial" w:cs="Arial"/>
          </w:rPr>
          <w:t>17305674</w:t>
        </w:r>
      </w:hyperlink>
      <w:r w:rsidRPr="00D61F73">
        <w:rPr>
          <w:rFonts w:ascii="Arial" w:hAnsi="Arial" w:cs="Arial"/>
        </w:rPr>
        <w:t xml:space="preserve"> </w:t>
      </w:r>
    </w:p>
    <w:p w14:paraId="27A87C6D" w14:textId="77777777" w:rsidR="008D0565" w:rsidRPr="00D61F73" w:rsidRDefault="008D0565" w:rsidP="00D61F73">
      <w:pPr>
        <w:rPr>
          <w:rFonts w:ascii="Arial" w:hAnsi="Arial" w:cs="Arial"/>
        </w:rPr>
      </w:pPr>
    </w:p>
    <w:p w14:paraId="05BA2B42"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4c</w:t>
      </w:r>
    </w:p>
    <w:p w14:paraId="521A254B"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0158F6D"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"this option does not appear to be an ideal modality of treatment for LRP because neurodestructive methods for the treatment of neuropathic pain are in principle generally considered inappropriate.... Authors noted this is a small retrospective study and prospective randomized studies are needed to confirm the findings before adding pulsed radiofrequency to the armamentarium for lumbar radicular pain treatment. </w:t>
      </w:r>
    </w:p>
    <w:p w14:paraId="662C38FD"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sz w:val="24"/>
          <w:szCs w:val="24"/>
        </w:rPr>
        <w:br w:type="page"/>
      </w:r>
      <w:r w:rsidRPr="00D61F73">
        <w:rPr>
          <w:rFonts w:ascii="Arial" w:hAnsi="Arial" w:cs="Arial"/>
          <w:bCs w:val="0"/>
          <w:sz w:val="24"/>
          <w:szCs w:val="24"/>
        </w:rPr>
        <w:lastRenderedPageBreak/>
        <w:t>A</w:t>
      </w:r>
      <w:bookmarkStart w:id="429" w:name="Ackerman2"/>
      <w:bookmarkEnd w:id="429"/>
      <w:r w:rsidRPr="00D61F73">
        <w:rPr>
          <w:rFonts w:ascii="Arial" w:hAnsi="Arial" w:cs="Arial"/>
          <w:bCs w:val="0"/>
          <w:sz w:val="24"/>
          <w:szCs w:val="24"/>
        </w:rPr>
        <w:t xml:space="preserve">ckerman WE, Zhang JM. Efficacy of stellate ganglion blockade for the management of type 1 complex regional pain syndrome. </w:t>
      </w:r>
      <w:r w:rsidRPr="00D61F73">
        <w:rPr>
          <w:rFonts w:ascii="Arial" w:hAnsi="Arial" w:cs="Arial"/>
          <w:bCs w:val="0"/>
          <w:i/>
          <w:iCs/>
          <w:sz w:val="24"/>
          <w:szCs w:val="24"/>
        </w:rPr>
        <w:t xml:space="preserve">South Med J. </w:t>
      </w:r>
      <w:r w:rsidRPr="00D61F73">
        <w:rPr>
          <w:rFonts w:ascii="Arial" w:hAnsi="Arial" w:cs="Arial"/>
          <w:bCs w:val="0"/>
          <w:sz w:val="24"/>
          <w:szCs w:val="24"/>
        </w:rPr>
        <w:t>2006 Oct;99(10):1084-8.</w:t>
      </w:r>
    </w:p>
    <w:p w14:paraId="49932D6F" w14:textId="77777777" w:rsidR="008D0565" w:rsidRPr="00D61F73" w:rsidRDefault="008D0565" w:rsidP="00D61F73">
      <w:pPr>
        <w:rPr>
          <w:rFonts w:ascii="Arial" w:hAnsi="Arial" w:cs="Arial"/>
        </w:rPr>
      </w:pPr>
    </w:p>
    <w:p w14:paraId="2E42C7E7" w14:textId="77777777" w:rsidR="008D0565" w:rsidRPr="00D61F73" w:rsidRDefault="008D0565" w:rsidP="00D61F73">
      <w:pPr>
        <w:rPr>
          <w:rFonts w:ascii="Arial" w:hAnsi="Arial" w:cs="Arial"/>
        </w:rPr>
      </w:pPr>
      <w:r w:rsidRPr="00D61F73">
        <w:rPr>
          <w:rFonts w:ascii="Arial" w:hAnsi="Arial" w:cs="Arial"/>
        </w:rPr>
        <w:t>Pain Medicine Consultants PA, Little Rock, AR, USA. William.Ackerman@bhsi.com</w:t>
      </w:r>
    </w:p>
    <w:p w14:paraId="52FBB4D2" w14:textId="77777777" w:rsidR="008D0565" w:rsidRPr="00D61F73" w:rsidRDefault="008D0565" w:rsidP="00D61F73">
      <w:pPr>
        <w:rPr>
          <w:rFonts w:ascii="Arial" w:hAnsi="Arial" w:cs="Arial"/>
        </w:rPr>
      </w:pPr>
    </w:p>
    <w:p w14:paraId="1D54B635" w14:textId="77777777" w:rsidR="008D0565" w:rsidRPr="00D61F73" w:rsidRDefault="008D0565" w:rsidP="00D61F73">
      <w:pPr>
        <w:rPr>
          <w:rFonts w:ascii="Arial" w:hAnsi="Arial" w:cs="Arial"/>
        </w:rPr>
      </w:pPr>
      <w:r w:rsidRPr="00D61F73">
        <w:rPr>
          <w:rFonts w:ascii="Arial" w:hAnsi="Arial" w:cs="Arial"/>
        </w:rPr>
        <w:t>METHODS: 25 subjects. RESULTS: Compared with the normal control hand, the skin perfusion in the CRPS I affected hand was greater in group I and decreased in groups II and III. DISCUSSION: The results of our study demonstrate that an inverse relationship exists between hand perfusion and the duration of symptoms of CRPS I. On the other hand, a positive correlation exists between SGB efficacy and how soon SGB therapy is initiated. A duration of symptoms greater than 16 weeks before the initial SGB and/or a decrease in skin perfusion of 22% between the normal and affected hands adversely affects the efficacy of SGB therapy.</w:t>
      </w:r>
    </w:p>
    <w:p w14:paraId="55DEC188" w14:textId="77777777" w:rsidR="008D0565" w:rsidRPr="00D61F73" w:rsidRDefault="008D0565" w:rsidP="00D61F73">
      <w:pPr>
        <w:rPr>
          <w:rFonts w:ascii="Arial" w:hAnsi="Arial" w:cs="Arial"/>
        </w:rPr>
      </w:pPr>
    </w:p>
    <w:p w14:paraId="5DB353AC" w14:textId="77777777" w:rsidR="008D0565" w:rsidRPr="00D61F73" w:rsidRDefault="008D0565" w:rsidP="00D61F73">
      <w:pPr>
        <w:rPr>
          <w:rFonts w:ascii="Arial" w:hAnsi="Arial" w:cs="Arial"/>
        </w:rPr>
      </w:pPr>
      <w:r w:rsidRPr="00D61F73">
        <w:rPr>
          <w:rFonts w:ascii="Arial" w:hAnsi="Arial" w:cs="Arial"/>
        </w:rPr>
        <w:t xml:space="preserve">PMID: </w:t>
      </w:r>
      <w:hyperlink r:id="rId195" w:history="1">
        <w:r w:rsidRPr="00D61F73">
          <w:rPr>
            <w:rStyle w:val="Hyperlink"/>
            <w:rFonts w:ascii="Arial" w:hAnsi="Arial" w:cs="Arial"/>
          </w:rPr>
          <w:t>17100029</w:t>
        </w:r>
      </w:hyperlink>
      <w:r w:rsidRPr="00D61F73">
        <w:rPr>
          <w:rFonts w:ascii="Arial" w:hAnsi="Arial" w:cs="Arial"/>
        </w:rPr>
        <w:t xml:space="preserve"> </w:t>
      </w:r>
    </w:p>
    <w:p w14:paraId="439DE273" w14:textId="77777777" w:rsidR="008D0565" w:rsidRPr="00D61F73" w:rsidRDefault="008D0565" w:rsidP="00D61F73">
      <w:pPr>
        <w:rPr>
          <w:rFonts w:ascii="Arial" w:hAnsi="Arial" w:cs="Arial"/>
        </w:rPr>
      </w:pPr>
    </w:p>
    <w:p w14:paraId="1B051E03" w14:textId="77777777" w:rsidR="008D0565" w:rsidRPr="00D61F73" w:rsidRDefault="008D0565" w:rsidP="00D61F73">
      <w:pPr>
        <w:rPr>
          <w:rFonts w:ascii="Arial" w:hAnsi="Arial" w:cs="Arial"/>
        </w:rPr>
      </w:pPr>
      <w:r w:rsidRPr="00D61F73">
        <w:rPr>
          <w:rFonts w:ascii="Arial" w:hAnsi="Arial" w:cs="Arial"/>
        </w:rPr>
        <w:t>Rating: 4c</w:t>
      </w:r>
    </w:p>
    <w:p w14:paraId="2E5D107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30" w:name="Adams2007"/>
      <w:bookmarkEnd w:id="430"/>
      <w:r w:rsidRPr="00D61F73">
        <w:rPr>
          <w:rFonts w:ascii="Arial" w:hAnsi="Arial" w:cs="Arial"/>
          <w:b/>
          <w:bCs/>
        </w:rPr>
        <w:t xml:space="preserve">dams H, Ellis T, Stanish WD, Sullivan MJ. Psychosocial factors related to return to work following rehabilitation of whiplash injuries. </w:t>
      </w:r>
      <w:r w:rsidRPr="00D61F73">
        <w:rPr>
          <w:rFonts w:ascii="Arial" w:hAnsi="Arial" w:cs="Arial"/>
          <w:b/>
          <w:bCs/>
          <w:i/>
          <w:iCs/>
        </w:rPr>
        <w:t>J Occup Rehabil.</w:t>
      </w:r>
      <w:r w:rsidRPr="00D61F73">
        <w:rPr>
          <w:rFonts w:ascii="Arial" w:hAnsi="Arial" w:cs="Arial"/>
          <w:b/>
          <w:bCs/>
        </w:rPr>
        <w:t xml:space="preserve"> 2007 Jun;17(2):305-15.</w:t>
      </w:r>
    </w:p>
    <w:p w14:paraId="434D619F" w14:textId="77777777" w:rsidR="008D0565" w:rsidRPr="00D61F73" w:rsidRDefault="008D0565" w:rsidP="00D61F73">
      <w:pPr>
        <w:rPr>
          <w:rFonts w:ascii="Arial" w:hAnsi="Arial" w:cs="Arial"/>
        </w:rPr>
      </w:pPr>
    </w:p>
    <w:p w14:paraId="0AA6FA0A" w14:textId="77777777" w:rsidR="008D0565" w:rsidRPr="00D61F73" w:rsidRDefault="008D0565" w:rsidP="00D61F73">
      <w:pPr>
        <w:rPr>
          <w:rFonts w:ascii="Arial" w:hAnsi="Arial" w:cs="Arial"/>
        </w:rPr>
      </w:pPr>
      <w:r w:rsidRPr="00D61F73">
        <w:rPr>
          <w:rFonts w:ascii="Arial" w:hAnsi="Arial" w:cs="Arial"/>
        </w:rPr>
        <w:t xml:space="preserve">PMID: </w:t>
      </w:r>
      <w:hyperlink r:id="rId196" w:history="1">
        <w:r w:rsidRPr="00D61F73">
          <w:rPr>
            <w:rStyle w:val="Hyperlink"/>
            <w:rFonts w:ascii="Arial" w:hAnsi="Arial" w:cs="Arial"/>
          </w:rPr>
          <w:t>17486435</w:t>
        </w:r>
      </w:hyperlink>
    </w:p>
    <w:p w14:paraId="42D30CFA" w14:textId="77777777" w:rsidR="008D0565" w:rsidRPr="00D61F73" w:rsidRDefault="008D0565" w:rsidP="00D61F73">
      <w:pPr>
        <w:rPr>
          <w:rFonts w:ascii="Arial" w:hAnsi="Arial" w:cs="Arial"/>
        </w:rPr>
      </w:pPr>
    </w:p>
    <w:p w14:paraId="35A5A744" w14:textId="77777777" w:rsidR="008D0565" w:rsidRPr="00D61F73" w:rsidRDefault="008D0565" w:rsidP="00D61F73">
      <w:pPr>
        <w:rPr>
          <w:rFonts w:ascii="Arial" w:hAnsi="Arial" w:cs="Arial"/>
        </w:rPr>
      </w:pPr>
      <w:r w:rsidRPr="00D61F73">
        <w:rPr>
          <w:rFonts w:ascii="Arial" w:hAnsi="Arial" w:cs="Arial"/>
        </w:rPr>
        <w:t>Rating: 3b</w:t>
      </w:r>
    </w:p>
    <w:p w14:paraId="2F0EAA61"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A</w:t>
      </w:r>
      <w:bookmarkStart w:id="431" w:name="Aetna"/>
      <w:bookmarkEnd w:id="431"/>
      <w:r w:rsidRPr="00D61F73">
        <w:rPr>
          <w:rFonts w:ascii="Arial" w:hAnsi="Arial" w:cs="Arial"/>
          <w:b/>
        </w:rPr>
        <w:t>etna Clinical Policy Bulletins. Chronic Pain Programs Number 0237. Reviewed: May 5, 2006</w:t>
      </w:r>
      <w:r w:rsidRPr="00D61F73">
        <w:rPr>
          <w:rFonts w:ascii="Arial" w:hAnsi="Arial" w:cs="Arial"/>
        </w:rPr>
        <w:t>.</w:t>
      </w:r>
    </w:p>
    <w:p w14:paraId="60AB1A70" w14:textId="77777777" w:rsidR="008D0565" w:rsidRPr="00D61F73" w:rsidRDefault="008D0565" w:rsidP="00D61F73">
      <w:pPr>
        <w:rPr>
          <w:rFonts w:ascii="Arial" w:hAnsi="Arial" w:cs="Arial"/>
        </w:rPr>
      </w:pPr>
    </w:p>
    <w:p w14:paraId="1F22144E" w14:textId="77777777" w:rsidR="008D0565" w:rsidRPr="00D61F73" w:rsidRDefault="008D0565" w:rsidP="00D61F73">
      <w:pPr>
        <w:rPr>
          <w:rFonts w:ascii="Arial" w:hAnsi="Arial" w:cs="Arial"/>
        </w:rPr>
      </w:pPr>
      <w:r w:rsidRPr="00D61F73">
        <w:rPr>
          <w:rFonts w:ascii="Arial" w:hAnsi="Arial" w:cs="Arial"/>
        </w:rPr>
        <w:t>Aetna considers a screening examination medically necessary for members who are being considered for admission into a chronic pain program.</w:t>
      </w:r>
    </w:p>
    <w:p w14:paraId="7971B119" w14:textId="77777777" w:rsidR="008D0565" w:rsidRPr="00D61F73" w:rsidRDefault="008D0565" w:rsidP="00D61F73">
      <w:pPr>
        <w:rPr>
          <w:rFonts w:ascii="Arial" w:hAnsi="Arial" w:cs="Arial"/>
        </w:rPr>
      </w:pPr>
    </w:p>
    <w:p w14:paraId="19A41833" w14:textId="77777777" w:rsidR="008D0565" w:rsidRPr="00D61F73" w:rsidRDefault="008D0565" w:rsidP="00D61F73">
      <w:pPr>
        <w:rPr>
          <w:rFonts w:ascii="Arial" w:hAnsi="Arial" w:cs="Arial"/>
        </w:rPr>
      </w:pPr>
      <w:r w:rsidRPr="00D61F73">
        <w:rPr>
          <w:rFonts w:ascii="Arial" w:hAnsi="Arial" w:cs="Arial"/>
        </w:rPr>
        <w:t>Rating: 8b</w:t>
      </w:r>
    </w:p>
    <w:p w14:paraId="474129C7" w14:textId="77777777" w:rsidR="008D0565" w:rsidRPr="00D61F73" w:rsidRDefault="008D0565" w:rsidP="00D61F73">
      <w:pPr>
        <w:rPr>
          <w:rFonts w:ascii="Arial" w:hAnsi="Arial" w:cs="Arial"/>
        </w:rPr>
      </w:pPr>
    </w:p>
    <w:p w14:paraId="29EC9B8C" w14:textId="77777777" w:rsidR="008D0565" w:rsidRPr="00D61F73" w:rsidRDefault="008D0565" w:rsidP="00D61F73">
      <w:pPr>
        <w:rPr>
          <w:rFonts w:ascii="Arial" w:hAnsi="Arial" w:cs="Arial"/>
          <w:b/>
          <w:bCs/>
        </w:rPr>
      </w:pPr>
      <w:r w:rsidRPr="00D61F73">
        <w:rPr>
          <w:rFonts w:ascii="Arial" w:hAnsi="Arial" w:cs="Arial"/>
          <w:b/>
          <w:bCs/>
        </w:rPr>
        <w:br w:type="page"/>
      </w:r>
      <w:hyperlink r:id="rId197" w:history="1">
        <w:r w:rsidRPr="00D61F73">
          <w:rPr>
            <w:rStyle w:val="Hyperlink"/>
            <w:rFonts w:ascii="Arial" w:hAnsi="Arial" w:cs="Arial"/>
            <w:b/>
            <w:bCs/>
          </w:rPr>
          <w:t>A</w:t>
        </w:r>
        <w:bookmarkStart w:id="432" w:name="Aetna2"/>
        <w:bookmarkEnd w:id="432"/>
        <w:r w:rsidRPr="00D61F73">
          <w:rPr>
            <w:rStyle w:val="Hyperlink"/>
            <w:rFonts w:ascii="Arial" w:hAnsi="Arial" w:cs="Arial"/>
            <w:b/>
            <w:bCs/>
          </w:rPr>
          <w:t>etna Clinical Policy Bulletins</w:t>
        </w:r>
      </w:hyperlink>
      <w:r w:rsidRPr="00D61F73">
        <w:rPr>
          <w:rFonts w:ascii="Arial" w:hAnsi="Arial" w:cs="Arial"/>
          <w:b/>
          <w:bCs/>
        </w:rPr>
        <w:t>. Electrical Stimulation for Pain. Number 0011. February 22, 2005. Updated 2007.</w:t>
      </w:r>
    </w:p>
    <w:p w14:paraId="7518250B" w14:textId="77777777" w:rsidR="008D0565" w:rsidRPr="00D61F73" w:rsidRDefault="008D0565" w:rsidP="00D61F73">
      <w:pPr>
        <w:rPr>
          <w:rFonts w:ascii="Arial" w:hAnsi="Arial" w:cs="Arial"/>
        </w:rPr>
      </w:pPr>
    </w:p>
    <w:p w14:paraId="3A52195F" w14:textId="77777777" w:rsidR="008D0565" w:rsidRPr="00D61F73" w:rsidRDefault="008D0565" w:rsidP="00D61F73">
      <w:pPr>
        <w:rPr>
          <w:rFonts w:ascii="Arial" w:hAnsi="Arial" w:cs="Arial"/>
        </w:rPr>
      </w:pPr>
      <w:r w:rsidRPr="00D61F73">
        <w:rPr>
          <w:rFonts w:ascii="Arial" w:hAnsi="Arial" w:cs="Arial"/>
        </w:rPr>
        <w:t xml:space="preserve">Aetna considers transcutaneous electrical nerve stimulators (TENS) medically necessary durable medical equipment (DME) when used as an adjunct or as an alternative to the use of drugs in the treatment of acute post-operative pain in the first 30 days after surgery, or chronic, intractable pain not responsive to other methods of treatment. </w:t>
      </w:r>
    </w:p>
    <w:p w14:paraId="7AA42D72" w14:textId="77777777" w:rsidR="008D0565" w:rsidRPr="00D61F73" w:rsidRDefault="008D0565" w:rsidP="00D61F73">
      <w:pPr>
        <w:rPr>
          <w:rFonts w:ascii="Arial" w:hAnsi="Arial" w:cs="Arial"/>
        </w:rPr>
      </w:pPr>
    </w:p>
    <w:p w14:paraId="077069C0"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Rating: 8b</w:t>
      </w:r>
      <w:r w:rsidRPr="00D61F73">
        <w:rPr>
          <w:rFonts w:ascii="Arial" w:hAnsi="Arial" w:cs="Arial"/>
          <w:b w:val="0"/>
          <w:bCs/>
          <w:sz w:val="24"/>
          <w:szCs w:val="24"/>
        </w:rPr>
        <w:br w:type="page"/>
      </w:r>
      <w:hyperlink r:id="rId198" w:history="1">
        <w:r w:rsidRPr="00D61F73">
          <w:rPr>
            <w:rStyle w:val="Hyperlink"/>
            <w:rFonts w:ascii="Arial" w:hAnsi="Arial" w:cs="Arial"/>
            <w:bCs/>
            <w:sz w:val="24"/>
            <w:szCs w:val="24"/>
          </w:rPr>
          <w:t>A</w:t>
        </w:r>
        <w:bookmarkStart w:id="433" w:name="Airaksinen2"/>
        <w:bookmarkEnd w:id="433"/>
        <w:r w:rsidRPr="00D61F73">
          <w:rPr>
            <w:rStyle w:val="Hyperlink"/>
            <w:rFonts w:ascii="Arial" w:hAnsi="Arial" w:cs="Arial"/>
            <w:bCs/>
            <w:sz w:val="24"/>
            <w:szCs w:val="24"/>
          </w:rPr>
          <w:t>iraksinen O, Brox JI, Cedraschi C, Hildebrandt J, Klaber-Moffett J, Kovacs F, Mannion AF, Reis S, Staal JB, Ursin H, Zanoli G</w:t>
        </w:r>
      </w:hyperlink>
      <w:r w:rsidRPr="00D61F73">
        <w:rPr>
          <w:rFonts w:ascii="Arial" w:hAnsi="Arial" w:cs="Arial"/>
          <w:bCs/>
          <w:sz w:val="24"/>
          <w:szCs w:val="24"/>
        </w:rPr>
        <w:t xml:space="preserve">; On behalf of the COST B13 Working Group on Guidelines for Chronic Low Back Pain. Chapter 4 European guidelines for the management of chronic nonspecific low back pain. </w:t>
      </w:r>
      <w:r w:rsidRPr="00D61F73">
        <w:rPr>
          <w:rFonts w:ascii="Arial" w:hAnsi="Arial" w:cs="Arial"/>
          <w:bCs/>
          <w:i/>
          <w:iCs/>
          <w:sz w:val="24"/>
          <w:szCs w:val="24"/>
        </w:rPr>
        <w:t>Eur Spine J</w:t>
      </w:r>
      <w:r w:rsidRPr="00D61F73">
        <w:rPr>
          <w:rFonts w:ascii="Arial" w:hAnsi="Arial" w:cs="Arial"/>
          <w:bCs/>
          <w:sz w:val="24"/>
          <w:szCs w:val="24"/>
        </w:rPr>
        <w:t xml:space="preserve">. 2006 Mar;15(Supplement 2):s192-s300. </w:t>
      </w:r>
    </w:p>
    <w:p w14:paraId="7E959D9F" w14:textId="77777777" w:rsidR="008D0565" w:rsidRPr="00D61F73" w:rsidRDefault="008D0565" w:rsidP="00D61F73">
      <w:pPr>
        <w:pStyle w:val="Footer"/>
        <w:tabs>
          <w:tab w:val="clear" w:pos="4320"/>
          <w:tab w:val="clear" w:pos="8640"/>
        </w:tabs>
        <w:rPr>
          <w:rFonts w:ascii="Arial" w:hAnsi="Arial" w:cs="Arial"/>
          <w:b/>
        </w:rPr>
      </w:pPr>
    </w:p>
    <w:p w14:paraId="4CCCE9C7" w14:textId="77777777" w:rsidR="008D0565" w:rsidRPr="00D61F73" w:rsidRDefault="008D0565" w:rsidP="00D61F73">
      <w:pPr>
        <w:rPr>
          <w:rFonts w:ascii="Arial" w:hAnsi="Arial" w:cs="Arial"/>
        </w:rPr>
      </w:pPr>
      <w:r w:rsidRPr="00D61F73">
        <w:rPr>
          <w:rFonts w:ascii="Arial" w:hAnsi="Arial" w:cs="Arial"/>
        </w:rPr>
        <w:t xml:space="preserve">PMID: </w:t>
      </w:r>
      <w:hyperlink r:id="rId199" w:history="1">
        <w:r w:rsidRPr="00D61F73">
          <w:rPr>
            <w:rStyle w:val="Hyperlink"/>
            <w:rFonts w:ascii="Arial" w:hAnsi="Arial" w:cs="Arial"/>
          </w:rPr>
          <w:t>16550448</w:t>
        </w:r>
      </w:hyperlink>
      <w:r w:rsidRPr="00D61F73">
        <w:rPr>
          <w:rFonts w:ascii="Arial" w:hAnsi="Arial" w:cs="Arial"/>
        </w:rPr>
        <w:t xml:space="preserve"> </w:t>
      </w:r>
    </w:p>
    <w:p w14:paraId="6C314B6F" w14:textId="77777777" w:rsidR="008D0565" w:rsidRPr="00D61F73" w:rsidRDefault="008D0565" w:rsidP="00D61F73">
      <w:pPr>
        <w:rPr>
          <w:rFonts w:ascii="Arial" w:hAnsi="Arial" w:cs="Arial"/>
        </w:rPr>
      </w:pPr>
    </w:p>
    <w:p w14:paraId="3A27E0DA" w14:textId="77777777" w:rsidR="008D0565" w:rsidRPr="00D61F73" w:rsidRDefault="008D0565" w:rsidP="00D61F73">
      <w:pPr>
        <w:rPr>
          <w:rFonts w:ascii="Arial" w:hAnsi="Arial" w:cs="Arial"/>
        </w:rPr>
      </w:pPr>
      <w:r w:rsidRPr="00D61F73">
        <w:rPr>
          <w:rFonts w:ascii="Arial" w:hAnsi="Arial" w:cs="Arial"/>
        </w:rPr>
        <w:t>Rating: 8a</w:t>
      </w:r>
    </w:p>
    <w:p w14:paraId="26E9EB0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34" w:name="Altindag"/>
      <w:bookmarkEnd w:id="434"/>
      <w:r w:rsidRPr="00D61F73">
        <w:rPr>
          <w:rFonts w:ascii="Arial" w:hAnsi="Arial" w:cs="Arial"/>
          <w:b/>
        </w:rPr>
        <w:t xml:space="preserve">ltindag O, Gur A, Altindag A. The relationship between clinical parameters and depression level in patients with myofascial pain syndrome. </w:t>
      </w:r>
      <w:r w:rsidRPr="00D61F73">
        <w:rPr>
          <w:rFonts w:ascii="Arial" w:hAnsi="Arial" w:cs="Arial"/>
          <w:b/>
          <w:i/>
        </w:rPr>
        <w:t>Pain Med</w:t>
      </w:r>
      <w:r w:rsidRPr="00D61F73">
        <w:rPr>
          <w:rFonts w:ascii="Arial" w:hAnsi="Arial" w:cs="Arial"/>
          <w:b/>
        </w:rPr>
        <w:t>. 2008;9:161-5.</w:t>
      </w:r>
    </w:p>
    <w:p w14:paraId="76EA5198" w14:textId="77777777" w:rsidR="008D0565" w:rsidRPr="00D61F73" w:rsidRDefault="008D0565" w:rsidP="00D61F73">
      <w:pPr>
        <w:rPr>
          <w:rFonts w:ascii="Arial" w:hAnsi="Arial" w:cs="Arial"/>
          <w:b/>
        </w:rPr>
      </w:pPr>
    </w:p>
    <w:p w14:paraId="16491D32" w14:textId="77777777" w:rsidR="008D0565" w:rsidRPr="00D61F73" w:rsidRDefault="008D0565" w:rsidP="00D61F73">
      <w:pPr>
        <w:rPr>
          <w:rFonts w:ascii="Arial" w:hAnsi="Arial" w:cs="Arial"/>
        </w:rPr>
      </w:pPr>
      <w:r w:rsidRPr="00D61F73">
        <w:rPr>
          <w:rFonts w:ascii="Arial" w:hAnsi="Arial" w:cs="Arial"/>
        </w:rPr>
        <w:t xml:space="preserve">RESULTS: Major depression was more frequently found in CPPs with MPS (P &lt; 0.001). BDI scores were higher in the MPS group than in controls (P &lt; 0.001). There was a significant correlation between the severity of pain and depression level in patients with MPS (r = 0.654, P &lt; 0.001). </w:t>
      </w:r>
    </w:p>
    <w:p w14:paraId="0DF1CD13" w14:textId="77777777" w:rsidR="008D0565" w:rsidRPr="00D61F73" w:rsidRDefault="008D0565" w:rsidP="00D61F73">
      <w:pPr>
        <w:rPr>
          <w:rFonts w:ascii="Arial" w:hAnsi="Arial" w:cs="Arial"/>
        </w:rPr>
      </w:pPr>
    </w:p>
    <w:p w14:paraId="10551770" w14:textId="77777777" w:rsidR="008D0565" w:rsidRPr="00D61F73" w:rsidRDefault="008D0565" w:rsidP="00D61F73">
      <w:pPr>
        <w:rPr>
          <w:rFonts w:ascii="Arial" w:hAnsi="Arial" w:cs="Arial"/>
        </w:rPr>
      </w:pPr>
      <w:r w:rsidRPr="00D61F73">
        <w:rPr>
          <w:rFonts w:ascii="Arial" w:hAnsi="Arial" w:cs="Arial"/>
        </w:rPr>
        <w:t xml:space="preserve">PMID: </w:t>
      </w:r>
      <w:hyperlink r:id="rId200" w:history="1">
        <w:r w:rsidRPr="00D61F73">
          <w:rPr>
            <w:rStyle w:val="Hyperlink"/>
            <w:rFonts w:ascii="Arial" w:hAnsi="Arial" w:cs="Arial"/>
          </w:rPr>
          <w:t>18298698</w:t>
        </w:r>
      </w:hyperlink>
    </w:p>
    <w:p w14:paraId="2B70ECBF" w14:textId="77777777" w:rsidR="008D0565" w:rsidRPr="00D61F73" w:rsidRDefault="008D0565" w:rsidP="00D61F73">
      <w:pPr>
        <w:rPr>
          <w:rFonts w:ascii="Arial" w:hAnsi="Arial" w:cs="Arial"/>
        </w:rPr>
      </w:pPr>
    </w:p>
    <w:p w14:paraId="263712B0" w14:textId="77777777" w:rsidR="008D0565" w:rsidRPr="00D61F73" w:rsidRDefault="008D0565" w:rsidP="00D61F73">
      <w:pPr>
        <w:rPr>
          <w:rFonts w:ascii="Arial" w:hAnsi="Arial" w:cs="Arial"/>
        </w:rPr>
      </w:pPr>
      <w:r w:rsidRPr="00D61F73">
        <w:rPr>
          <w:rFonts w:ascii="Arial" w:hAnsi="Arial" w:cs="Arial"/>
        </w:rPr>
        <w:t>Rating 3b</w:t>
      </w:r>
    </w:p>
    <w:p w14:paraId="29D49F5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35" w:name="Alvarez"/>
      <w:bookmarkEnd w:id="435"/>
      <w:r w:rsidRPr="00D61F73">
        <w:rPr>
          <w:rFonts w:ascii="Arial" w:hAnsi="Arial" w:cs="Arial"/>
          <w:b/>
        </w:rPr>
        <w:t xml:space="preserve">lvarez DJ, Rockwell PG. Trigger points: diagnosis and management. </w:t>
      </w:r>
      <w:r w:rsidRPr="00D61F73">
        <w:rPr>
          <w:rFonts w:ascii="Arial" w:hAnsi="Arial" w:cs="Arial"/>
          <w:b/>
          <w:i/>
        </w:rPr>
        <w:t>Am Fam Physician</w:t>
      </w:r>
      <w:r w:rsidRPr="00D61F73">
        <w:rPr>
          <w:rFonts w:ascii="Arial" w:hAnsi="Arial" w:cs="Arial"/>
          <w:b/>
        </w:rPr>
        <w:t>. 2002 Feb 15;65(4):653-60.</w:t>
      </w:r>
    </w:p>
    <w:p w14:paraId="5CF279D1" w14:textId="77777777" w:rsidR="008D0565" w:rsidRPr="00D61F73" w:rsidRDefault="008D0565" w:rsidP="00D61F73">
      <w:pPr>
        <w:rPr>
          <w:rFonts w:ascii="Arial" w:hAnsi="Arial" w:cs="Arial"/>
        </w:rPr>
      </w:pPr>
    </w:p>
    <w:p w14:paraId="5D382842" w14:textId="77777777" w:rsidR="008D0565" w:rsidRPr="00D61F73" w:rsidRDefault="008D0565" w:rsidP="00D61F73">
      <w:pPr>
        <w:rPr>
          <w:rFonts w:ascii="Arial" w:hAnsi="Arial" w:cs="Arial"/>
        </w:rPr>
      </w:pPr>
      <w:r w:rsidRPr="00D61F73">
        <w:rPr>
          <w:rFonts w:ascii="Arial" w:hAnsi="Arial" w:cs="Arial"/>
        </w:rPr>
        <w:t>Trigger-point injection has been shown to be one of the most effective treatment modalities to inactivate trigger points and provide prompt relief of symptoms.</w:t>
      </w:r>
    </w:p>
    <w:p w14:paraId="4E6D43F1" w14:textId="77777777" w:rsidR="008D0565" w:rsidRPr="00D61F73" w:rsidRDefault="008D0565" w:rsidP="00D61F73">
      <w:pPr>
        <w:rPr>
          <w:rFonts w:ascii="Arial" w:hAnsi="Arial" w:cs="Arial"/>
        </w:rPr>
      </w:pPr>
    </w:p>
    <w:p w14:paraId="50D457D4" w14:textId="77777777" w:rsidR="008D0565" w:rsidRPr="00D61F73" w:rsidRDefault="008D0565" w:rsidP="00D61F73">
      <w:pPr>
        <w:rPr>
          <w:rFonts w:ascii="Arial" w:hAnsi="Arial" w:cs="Arial"/>
        </w:rPr>
      </w:pPr>
      <w:r w:rsidRPr="00D61F73">
        <w:rPr>
          <w:rFonts w:ascii="Arial" w:hAnsi="Arial" w:cs="Arial"/>
        </w:rPr>
        <w:t xml:space="preserve">PMID: </w:t>
      </w:r>
      <w:hyperlink r:id="rId201" w:history="1">
        <w:r w:rsidRPr="00D61F73">
          <w:rPr>
            <w:rStyle w:val="Hyperlink"/>
            <w:rFonts w:ascii="Arial" w:hAnsi="Arial" w:cs="Arial"/>
          </w:rPr>
          <w:t>11871683</w:t>
        </w:r>
      </w:hyperlink>
    </w:p>
    <w:p w14:paraId="7D3A53B4" w14:textId="77777777" w:rsidR="008D0565" w:rsidRPr="00D61F73" w:rsidRDefault="008D0565" w:rsidP="00D61F73">
      <w:pPr>
        <w:rPr>
          <w:rFonts w:ascii="Arial" w:hAnsi="Arial" w:cs="Arial"/>
        </w:rPr>
      </w:pPr>
    </w:p>
    <w:p w14:paraId="41AA0B9D" w14:textId="77777777" w:rsidR="008D0565" w:rsidRPr="00D61F73" w:rsidRDefault="008D0565" w:rsidP="00D61F73">
      <w:pPr>
        <w:rPr>
          <w:rFonts w:ascii="Arial" w:hAnsi="Arial" w:cs="Arial"/>
        </w:rPr>
      </w:pPr>
      <w:r w:rsidRPr="00D61F73">
        <w:rPr>
          <w:rFonts w:ascii="Arial" w:hAnsi="Arial" w:cs="Arial"/>
        </w:rPr>
        <w:t>Rating: 5b</w:t>
      </w:r>
    </w:p>
    <w:p w14:paraId="338C5D2E" w14:textId="77777777" w:rsidR="008D0565" w:rsidRPr="00D61F73" w:rsidRDefault="008D0565" w:rsidP="00D61F73">
      <w:pPr>
        <w:rPr>
          <w:rFonts w:ascii="Arial" w:hAnsi="Arial" w:cs="Arial"/>
        </w:rPr>
      </w:pPr>
    </w:p>
    <w:p w14:paraId="2ADF6AB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br w:type="page"/>
      </w:r>
      <w:r w:rsidRPr="00D61F73">
        <w:rPr>
          <w:rFonts w:ascii="Arial" w:hAnsi="Arial" w:cs="Arial"/>
          <w:b/>
          <w:bCs/>
        </w:rPr>
        <w:lastRenderedPageBreak/>
        <w:t>A</w:t>
      </w:r>
      <w:bookmarkStart w:id="436" w:name="AAPM2"/>
      <w:bookmarkEnd w:id="436"/>
      <w:r w:rsidRPr="00D61F73">
        <w:rPr>
          <w:rFonts w:ascii="Arial" w:hAnsi="Arial" w:cs="Arial"/>
          <w:b/>
          <w:bCs/>
        </w:rPr>
        <w:t>merican Academy of Pain Medicine. Use of Opioids for the Treatment of Chronic Pain. (February 6, 2001).</w:t>
      </w:r>
      <w:r w:rsidRPr="00D61F73">
        <w:rPr>
          <w:rFonts w:ascii="Arial" w:hAnsi="Arial" w:cs="Arial"/>
        </w:rPr>
        <w:t xml:space="preserve"> </w:t>
      </w:r>
    </w:p>
    <w:p w14:paraId="580D4FAF" w14:textId="77777777" w:rsidR="008D0565" w:rsidRPr="00D61F73" w:rsidRDefault="008D0565" w:rsidP="00D61F73">
      <w:pPr>
        <w:pStyle w:val="NormalWeb"/>
        <w:spacing w:before="0" w:beforeAutospacing="0" w:after="0" w:afterAutospacing="0"/>
        <w:rPr>
          <w:rFonts w:ascii="Arial" w:hAnsi="Arial" w:cs="Arial"/>
          <w:b/>
          <w:bCs/>
        </w:rPr>
      </w:pPr>
    </w:p>
    <w:p w14:paraId="11B6D3A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These publications, which have been endorsed by AAPM and APS, state that opioids, sometimes called "narcotic analgesics", are an essential part of a pain management plan. There is currently no nationally accepted consensus for the treatment of chronic pain not due to cancer, yet the economic and social costs of chronic pain are substantial, with estimates ranging in the tens of billions of dollars annually.</w:t>
      </w:r>
    </w:p>
    <w:p w14:paraId="2DE36B4A" w14:textId="77777777" w:rsidR="008D0565" w:rsidRPr="00D61F73" w:rsidRDefault="008D0565" w:rsidP="00D61F73">
      <w:pPr>
        <w:pStyle w:val="NormalWeb"/>
        <w:spacing w:before="0" w:beforeAutospacing="0" w:after="0" w:afterAutospacing="0"/>
        <w:rPr>
          <w:rFonts w:ascii="Arial" w:hAnsi="Arial" w:cs="Arial"/>
        </w:rPr>
      </w:pPr>
    </w:p>
    <w:p w14:paraId="0897CEC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42E35F8F" w14:textId="77777777" w:rsidR="008D0565" w:rsidRPr="00D61F73" w:rsidRDefault="008D0565" w:rsidP="00D61F73">
      <w:pPr>
        <w:pStyle w:val="NormalWeb"/>
        <w:spacing w:before="0" w:beforeAutospacing="0" w:after="0" w:afterAutospacing="0"/>
        <w:rPr>
          <w:rFonts w:ascii="Arial" w:hAnsi="Arial" w:cs="Arial"/>
        </w:rPr>
      </w:pPr>
    </w:p>
    <w:p w14:paraId="27D5D98D"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37" w:name="Abrams2011"/>
      <w:bookmarkEnd w:id="437"/>
      <w:r w:rsidRPr="00D61F73">
        <w:rPr>
          <w:rFonts w:ascii="Arial" w:hAnsi="Arial" w:cs="Arial"/>
          <w:b/>
          <w:bCs/>
        </w:rPr>
        <w:t xml:space="preserve">brams DI, Couey P, Shade SB, Kelly ME, Benowitz NL. Cannabinoid-opioid interaction in chronic pain. </w:t>
      </w:r>
      <w:r w:rsidRPr="00D61F73">
        <w:rPr>
          <w:rFonts w:ascii="Arial" w:hAnsi="Arial" w:cs="Arial"/>
          <w:b/>
          <w:bCs/>
          <w:i/>
          <w:iCs/>
        </w:rPr>
        <w:t>Clin Pharmacol Ther</w:t>
      </w:r>
      <w:r w:rsidRPr="00D61F73">
        <w:rPr>
          <w:rFonts w:ascii="Arial" w:hAnsi="Arial" w:cs="Arial"/>
          <w:b/>
          <w:bCs/>
        </w:rPr>
        <w:t>. 2011 Dec;90(6):844-51. doi: 10.1038/clpt.2011.188. Epub 2011 Nov 2.</w:t>
      </w:r>
    </w:p>
    <w:p w14:paraId="5207BF94" w14:textId="77777777" w:rsidR="008D0565" w:rsidRPr="00D61F73" w:rsidRDefault="008D0565" w:rsidP="00D61F73">
      <w:pPr>
        <w:rPr>
          <w:rFonts w:ascii="Arial" w:hAnsi="Arial" w:cs="Arial"/>
        </w:rPr>
      </w:pPr>
    </w:p>
    <w:p w14:paraId="0E4D63F0" w14:textId="77777777" w:rsidR="008D0565" w:rsidRPr="00D61F73" w:rsidRDefault="008D0565" w:rsidP="00D61F73">
      <w:pPr>
        <w:rPr>
          <w:rFonts w:ascii="Arial" w:hAnsi="Arial" w:cs="Arial"/>
        </w:rPr>
      </w:pPr>
      <w:r w:rsidRPr="00D61F73">
        <w:rPr>
          <w:rFonts w:ascii="Arial" w:hAnsi="Arial" w:cs="Arial"/>
        </w:rPr>
        <w:t>Cannabis augments the analgesic effects of opioids without significantly altering plasma opioid levels. The combination may allow for opioid treatment at lower doses with fewer side effects.</w:t>
      </w:r>
    </w:p>
    <w:p w14:paraId="49FFB97D" w14:textId="77777777" w:rsidR="008D0565" w:rsidRPr="00D61F73" w:rsidRDefault="008D0565" w:rsidP="00D61F73">
      <w:pPr>
        <w:rPr>
          <w:rFonts w:ascii="Arial" w:hAnsi="Arial" w:cs="Arial"/>
        </w:rPr>
      </w:pPr>
    </w:p>
    <w:p w14:paraId="727BDF4D" w14:textId="77777777" w:rsidR="008D0565" w:rsidRPr="00D61F73" w:rsidRDefault="008D0565" w:rsidP="00D61F73">
      <w:pPr>
        <w:rPr>
          <w:rFonts w:ascii="Arial" w:hAnsi="Arial" w:cs="Arial"/>
        </w:rPr>
      </w:pPr>
      <w:r w:rsidRPr="00D61F73">
        <w:rPr>
          <w:rFonts w:ascii="Arial" w:hAnsi="Arial" w:cs="Arial"/>
        </w:rPr>
        <w:t xml:space="preserve">PMID: </w:t>
      </w:r>
      <w:hyperlink r:id="rId202" w:history="1">
        <w:r w:rsidRPr="00D61F73">
          <w:rPr>
            <w:rStyle w:val="Hyperlink"/>
            <w:rFonts w:ascii="Arial" w:hAnsi="Arial" w:cs="Arial"/>
          </w:rPr>
          <w:t>22048225</w:t>
        </w:r>
      </w:hyperlink>
      <w:r w:rsidRPr="00D61F73">
        <w:rPr>
          <w:rFonts w:ascii="Arial" w:hAnsi="Arial" w:cs="Arial"/>
        </w:rPr>
        <w:t xml:space="preserve"> </w:t>
      </w:r>
    </w:p>
    <w:p w14:paraId="15328696" w14:textId="77777777" w:rsidR="008D0565" w:rsidRPr="00D61F73" w:rsidRDefault="008D0565" w:rsidP="00D61F73">
      <w:pPr>
        <w:rPr>
          <w:rFonts w:ascii="Arial" w:hAnsi="Arial" w:cs="Arial"/>
        </w:rPr>
      </w:pPr>
    </w:p>
    <w:p w14:paraId="4E61D479" w14:textId="77777777" w:rsidR="008D0565" w:rsidRPr="00D61F73" w:rsidRDefault="008D0565" w:rsidP="00D61F73">
      <w:pPr>
        <w:rPr>
          <w:rFonts w:ascii="Arial" w:hAnsi="Arial" w:cs="Arial"/>
        </w:rPr>
      </w:pPr>
      <w:r w:rsidRPr="00D61F73">
        <w:rPr>
          <w:rFonts w:ascii="Arial" w:hAnsi="Arial" w:cs="Arial"/>
        </w:rPr>
        <w:t>Rating: 3c</w:t>
      </w:r>
    </w:p>
    <w:p w14:paraId="1A2117B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38" w:name="Abs"/>
      <w:bookmarkEnd w:id="438"/>
      <w:r w:rsidRPr="00D61F73">
        <w:rPr>
          <w:rFonts w:ascii="Arial" w:hAnsi="Arial" w:cs="Arial"/>
          <w:b/>
        </w:rPr>
        <w:t xml:space="preserve">bs R, Verhelst J, Maeyaert J, Van Buyten JP, Opsomer F, Adriaensen H, Verlooy J, Van Havenbergh T, Smet M, Van Acker K. Endocrine consequences of long-term intrathecal administration of opioids. </w:t>
      </w:r>
      <w:r w:rsidRPr="00D61F73">
        <w:rPr>
          <w:rFonts w:ascii="Arial" w:hAnsi="Arial" w:cs="Arial"/>
          <w:b/>
          <w:i/>
        </w:rPr>
        <w:t>J Clin Endocrinol Metab</w:t>
      </w:r>
      <w:r w:rsidRPr="00D61F73">
        <w:rPr>
          <w:rFonts w:ascii="Arial" w:hAnsi="Arial" w:cs="Arial"/>
          <w:b/>
        </w:rPr>
        <w:t xml:space="preserve">. 2000;85:2215-22. </w:t>
      </w:r>
    </w:p>
    <w:p w14:paraId="0296FD88" w14:textId="77777777" w:rsidR="008D0565" w:rsidRPr="00D61F73" w:rsidRDefault="008D0565" w:rsidP="00D61F73">
      <w:pPr>
        <w:rPr>
          <w:rFonts w:ascii="Arial" w:hAnsi="Arial" w:cs="Arial"/>
        </w:rPr>
      </w:pPr>
    </w:p>
    <w:p w14:paraId="7588F32A" w14:textId="77777777" w:rsidR="008D0565" w:rsidRPr="00D61F73" w:rsidRDefault="008D0565" w:rsidP="00D61F73">
      <w:pPr>
        <w:rPr>
          <w:rFonts w:ascii="Arial" w:hAnsi="Arial" w:cs="Arial"/>
        </w:rPr>
      </w:pPr>
      <w:r w:rsidRPr="00D61F73">
        <w:rPr>
          <w:rFonts w:ascii="Arial" w:hAnsi="Arial" w:cs="Arial"/>
        </w:rPr>
        <w:t>Decreased libido or impotency was present in 23 of 24 men receiving opioids. The serum testosterone level was below 9 nmol/L in 25 of 29 men and was significantly lower than that in the control group (P &lt; 0.001). The serum LH level was less than 2 U/L in 20 of 29 men and was significantly lower than that in the control group (P &lt; 0.001). Serum FSH was comparable in both groups. Decreased libido was present in 22 of 32 women receiving opioids. All 21 premenopausal females developed either amenorrhea or an irregular menstrual cycle, with ovulation in only 1. Supplementation with gonadal steroids improved sexual function in most patients. These findings suggest that further investigations are required to determine the need for systematic endocrine work-up in these patients and the necessity for substitutive therapy.</w:t>
      </w:r>
    </w:p>
    <w:p w14:paraId="21E58B46" w14:textId="77777777" w:rsidR="008D0565" w:rsidRPr="00D61F73" w:rsidRDefault="008D0565" w:rsidP="00D61F73">
      <w:pPr>
        <w:rPr>
          <w:rFonts w:ascii="Arial" w:hAnsi="Arial" w:cs="Arial"/>
        </w:rPr>
      </w:pPr>
    </w:p>
    <w:p w14:paraId="7E1CADF4" w14:textId="77777777" w:rsidR="008D0565" w:rsidRPr="00D61F73" w:rsidRDefault="008D0565" w:rsidP="00D61F73">
      <w:pPr>
        <w:rPr>
          <w:rFonts w:ascii="Arial" w:hAnsi="Arial" w:cs="Arial"/>
        </w:rPr>
      </w:pPr>
      <w:r w:rsidRPr="00D61F73">
        <w:rPr>
          <w:rFonts w:ascii="Arial" w:hAnsi="Arial" w:cs="Arial"/>
        </w:rPr>
        <w:t xml:space="preserve">PMID: </w:t>
      </w:r>
      <w:hyperlink r:id="rId203" w:history="1">
        <w:r w:rsidRPr="00D61F73">
          <w:rPr>
            <w:rStyle w:val="Hyperlink"/>
            <w:rFonts w:ascii="Arial" w:hAnsi="Arial" w:cs="Arial"/>
          </w:rPr>
          <w:t>10852454</w:t>
        </w:r>
      </w:hyperlink>
    </w:p>
    <w:p w14:paraId="2D4A6C51" w14:textId="77777777" w:rsidR="008D0565" w:rsidRPr="00D61F73" w:rsidRDefault="008D0565" w:rsidP="00D61F73">
      <w:pPr>
        <w:rPr>
          <w:rFonts w:ascii="Arial" w:hAnsi="Arial" w:cs="Arial"/>
        </w:rPr>
      </w:pPr>
    </w:p>
    <w:p w14:paraId="1B2A30E0" w14:textId="77777777" w:rsidR="008D0565" w:rsidRPr="00D61F73" w:rsidRDefault="008D0565" w:rsidP="00D61F73">
      <w:pPr>
        <w:rPr>
          <w:rFonts w:ascii="Arial" w:hAnsi="Arial" w:cs="Arial"/>
        </w:rPr>
      </w:pPr>
      <w:r w:rsidRPr="00D61F73">
        <w:rPr>
          <w:rFonts w:ascii="Arial" w:hAnsi="Arial" w:cs="Arial"/>
        </w:rPr>
        <w:t>Rating: 3c</w:t>
      </w:r>
    </w:p>
    <w:p w14:paraId="3CA1C5DC" w14:textId="77777777" w:rsidR="008D0565" w:rsidRPr="00D61F73" w:rsidRDefault="008D0565" w:rsidP="00D61F73">
      <w:pPr>
        <w:rPr>
          <w:rFonts w:ascii="Arial" w:hAnsi="Arial" w:cs="Arial"/>
        </w:rPr>
      </w:pPr>
    </w:p>
    <w:p w14:paraId="2530638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39" w:name="Ackerman"/>
      <w:bookmarkEnd w:id="439"/>
      <w:r w:rsidRPr="00D61F73">
        <w:rPr>
          <w:rFonts w:ascii="Arial" w:hAnsi="Arial" w:cs="Arial"/>
          <w:b/>
        </w:rPr>
        <w:t xml:space="preserve">ckerman LL, Follett KA, Rosenquist RW. Long-term outcomes during treatment of chronic pain with intrathecal clonidine or clonidine/opioid combinations. </w:t>
      </w:r>
      <w:r w:rsidRPr="00D61F73">
        <w:rPr>
          <w:rFonts w:ascii="Arial" w:hAnsi="Arial" w:cs="Arial"/>
          <w:b/>
          <w:i/>
        </w:rPr>
        <w:t>J Pain Symptom Manage</w:t>
      </w:r>
      <w:r w:rsidRPr="00D61F73">
        <w:rPr>
          <w:rFonts w:ascii="Arial" w:hAnsi="Arial" w:cs="Arial"/>
          <w:b/>
        </w:rPr>
        <w:t xml:space="preserve">. 2003 Jul;26(1):668-77. </w:t>
      </w:r>
    </w:p>
    <w:p w14:paraId="4C666338" w14:textId="77777777" w:rsidR="008D0565" w:rsidRPr="00D61F73" w:rsidRDefault="008D0565" w:rsidP="00D61F73">
      <w:pPr>
        <w:rPr>
          <w:rFonts w:ascii="Arial" w:hAnsi="Arial" w:cs="Arial"/>
        </w:rPr>
      </w:pPr>
    </w:p>
    <w:p w14:paraId="0EF931E4" w14:textId="77777777" w:rsidR="008D0565" w:rsidRPr="00D61F73" w:rsidRDefault="008D0565" w:rsidP="00D61F73">
      <w:pPr>
        <w:rPr>
          <w:rFonts w:ascii="Arial" w:hAnsi="Arial" w:cs="Arial"/>
        </w:rPr>
      </w:pPr>
      <w:r w:rsidRPr="00D61F73">
        <w:rPr>
          <w:rFonts w:ascii="Arial" w:hAnsi="Arial" w:cs="Arial"/>
        </w:rPr>
        <w:t>Department of Neurosurgery, University of Iowa Hospitals and Clinics, Iowa City, Iowa 52242, USA.</w:t>
      </w:r>
    </w:p>
    <w:p w14:paraId="08FBA371" w14:textId="77777777" w:rsidR="008D0565" w:rsidRPr="00D61F73" w:rsidRDefault="008D0565" w:rsidP="00D61F73">
      <w:pPr>
        <w:rPr>
          <w:rFonts w:ascii="Arial" w:hAnsi="Arial" w:cs="Arial"/>
        </w:rPr>
      </w:pPr>
    </w:p>
    <w:p w14:paraId="38B9CE96" w14:textId="77777777" w:rsidR="008D0565" w:rsidRPr="00D61F73" w:rsidRDefault="008D0565" w:rsidP="00D61F73">
      <w:pPr>
        <w:rPr>
          <w:rFonts w:ascii="Arial" w:hAnsi="Arial" w:cs="Arial"/>
        </w:rPr>
      </w:pPr>
      <w:r w:rsidRPr="00D61F73">
        <w:rPr>
          <w:rFonts w:ascii="Arial" w:hAnsi="Arial" w:cs="Arial"/>
        </w:rPr>
        <w:t>15 patients. In this population, intrathecal clonidine was of limited utility for most patients.</w:t>
      </w:r>
    </w:p>
    <w:p w14:paraId="4B373499" w14:textId="77777777" w:rsidR="008D0565" w:rsidRPr="00D61F73" w:rsidRDefault="008D0565" w:rsidP="00D61F73">
      <w:pPr>
        <w:rPr>
          <w:rFonts w:ascii="Arial" w:hAnsi="Arial" w:cs="Arial"/>
        </w:rPr>
      </w:pPr>
    </w:p>
    <w:p w14:paraId="1FE99ED6" w14:textId="77777777" w:rsidR="008D0565" w:rsidRPr="00D61F73" w:rsidRDefault="008D0565" w:rsidP="00D61F73">
      <w:pPr>
        <w:rPr>
          <w:rFonts w:ascii="Arial" w:hAnsi="Arial" w:cs="Arial"/>
        </w:rPr>
      </w:pPr>
      <w:r w:rsidRPr="00D61F73">
        <w:rPr>
          <w:rFonts w:ascii="Arial" w:hAnsi="Arial" w:cs="Arial"/>
        </w:rPr>
        <w:t xml:space="preserve">PMID: </w:t>
      </w:r>
      <w:hyperlink r:id="rId204" w:history="1">
        <w:r w:rsidRPr="00D61F73">
          <w:rPr>
            <w:rStyle w:val="Hyperlink"/>
            <w:rFonts w:ascii="Arial" w:hAnsi="Arial" w:cs="Arial"/>
          </w:rPr>
          <w:t>12850649</w:t>
        </w:r>
      </w:hyperlink>
    </w:p>
    <w:p w14:paraId="607F35A2" w14:textId="77777777" w:rsidR="008D0565" w:rsidRPr="00D61F73" w:rsidRDefault="008D0565" w:rsidP="00D61F73">
      <w:pPr>
        <w:rPr>
          <w:rFonts w:ascii="Arial" w:hAnsi="Arial" w:cs="Arial"/>
        </w:rPr>
      </w:pPr>
    </w:p>
    <w:p w14:paraId="0B39630B" w14:textId="77777777" w:rsidR="008D0565" w:rsidRPr="00D61F73" w:rsidRDefault="008D0565" w:rsidP="00D61F73">
      <w:pPr>
        <w:rPr>
          <w:rFonts w:ascii="Arial" w:hAnsi="Arial" w:cs="Arial"/>
        </w:rPr>
      </w:pPr>
      <w:r w:rsidRPr="00D61F73">
        <w:rPr>
          <w:rFonts w:ascii="Arial" w:hAnsi="Arial" w:cs="Arial"/>
        </w:rPr>
        <w:t>Rating: 5b</w:t>
      </w:r>
    </w:p>
    <w:p w14:paraId="339952A5" w14:textId="77777777" w:rsidR="008D0565" w:rsidRPr="00D61F73" w:rsidRDefault="008D0565" w:rsidP="00D61F73">
      <w:pPr>
        <w:pStyle w:val="xl23"/>
        <w:spacing w:before="0" w:beforeAutospacing="0" w:after="0" w:afterAutospacing="0"/>
        <w:rPr>
          <w:b/>
          <w:bCs/>
        </w:rPr>
      </w:pPr>
      <w:r w:rsidRPr="00D61F73">
        <w:br w:type="page"/>
      </w:r>
      <w:r w:rsidRPr="00D61F73">
        <w:rPr>
          <w:b/>
          <w:bCs/>
        </w:rPr>
        <w:lastRenderedPageBreak/>
        <w:t>A</w:t>
      </w:r>
      <w:bookmarkStart w:id="440" w:name="Ackermann"/>
      <w:bookmarkEnd w:id="440"/>
      <w:r w:rsidRPr="00D61F73">
        <w:rPr>
          <w:b/>
          <w:bCs/>
        </w:rPr>
        <w:t xml:space="preserve">ckermann, L., Follett, K., Rosenquist, R. “Long-Term Outcomes During Treatment of Chronic Pain with Intrathecal Clonidine or Clonidine/Opioid Combinations” </w:t>
      </w:r>
      <w:r w:rsidRPr="00D61F73">
        <w:rPr>
          <w:b/>
          <w:bCs/>
          <w:i/>
          <w:iCs/>
        </w:rPr>
        <w:t>Journal of Pain and Symptom Management.</w:t>
      </w:r>
      <w:r w:rsidRPr="00D61F73">
        <w:rPr>
          <w:b/>
          <w:bCs/>
        </w:rPr>
        <w:t xml:space="preserve"> 2003; July, Volume 26: 668-76.</w:t>
      </w:r>
    </w:p>
    <w:p w14:paraId="1C045FE2" w14:textId="77777777" w:rsidR="008D0565" w:rsidRPr="00D61F73" w:rsidRDefault="008D0565" w:rsidP="00D61F73">
      <w:pPr>
        <w:pStyle w:val="xl23"/>
        <w:spacing w:before="0" w:beforeAutospacing="0" w:after="0" w:afterAutospacing="0"/>
      </w:pPr>
    </w:p>
    <w:p w14:paraId="6EDF0FB4" w14:textId="77777777" w:rsidR="00483DDD" w:rsidRPr="00D61F73" w:rsidRDefault="00483DDD" w:rsidP="00D61F73">
      <w:pPr>
        <w:pStyle w:val="xl23"/>
        <w:spacing w:before="0" w:beforeAutospacing="0" w:after="0" w:afterAutospacing="0"/>
      </w:pPr>
      <w:r w:rsidRPr="00D61F73">
        <w:t xml:space="preserve">PMID: </w:t>
      </w:r>
      <w:hyperlink r:id="rId205" w:history="1">
        <w:r w:rsidRPr="00D61F73">
          <w:rPr>
            <w:rStyle w:val="Hyperlink"/>
          </w:rPr>
          <w:t>12850649</w:t>
        </w:r>
      </w:hyperlink>
    </w:p>
    <w:p w14:paraId="7E6A6BD7" w14:textId="77777777" w:rsidR="00483DDD" w:rsidRPr="00D61F73" w:rsidRDefault="00483DDD" w:rsidP="00D61F73">
      <w:pPr>
        <w:pStyle w:val="xl23"/>
        <w:spacing w:before="0" w:beforeAutospacing="0" w:after="0" w:afterAutospacing="0"/>
      </w:pPr>
    </w:p>
    <w:p w14:paraId="53B81642" w14:textId="77777777" w:rsidR="008D0565" w:rsidRPr="00D61F73" w:rsidRDefault="008D0565" w:rsidP="00D61F73">
      <w:pPr>
        <w:pStyle w:val="xl23"/>
        <w:spacing w:before="0" w:beforeAutospacing="0" w:after="0" w:afterAutospacing="0"/>
      </w:pPr>
      <w:r w:rsidRPr="00D61F73">
        <w:t>Rating: 2c</w:t>
      </w:r>
    </w:p>
    <w:p w14:paraId="583AC541" w14:textId="77777777" w:rsidR="008D0565" w:rsidRPr="00D61F73" w:rsidRDefault="008D0565" w:rsidP="00D61F73">
      <w:pPr>
        <w:pStyle w:val="xl23"/>
        <w:spacing w:before="0" w:beforeAutospacing="0" w:after="0" w:afterAutospacing="0"/>
      </w:pPr>
    </w:p>
    <w:p w14:paraId="61AE424D" w14:textId="77777777" w:rsidR="008D0565" w:rsidRPr="00D61F73" w:rsidRDefault="008D0565" w:rsidP="00D61F73">
      <w:pPr>
        <w:pStyle w:val="xl23"/>
        <w:spacing w:before="0" w:beforeAutospacing="0" w:after="0" w:afterAutospacing="0"/>
      </w:pPr>
      <w:r w:rsidRPr="00D61F73">
        <w:t xml:space="preserve">Quality: Low. Total Rating: 1.0. Comment: Does not meet inclusion criteria for evidence-based review. </w:t>
      </w:r>
    </w:p>
    <w:p w14:paraId="75326F3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41" w:name="Adams2011"/>
      <w:bookmarkEnd w:id="441"/>
      <w:r w:rsidRPr="00D61F73">
        <w:rPr>
          <w:rFonts w:ascii="Arial" w:hAnsi="Arial" w:cs="Arial"/>
          <w:b/>
          <w:bCs/>
        </w:rPr>
        <w:t xml:space="preserve">dams RJ, Appleton SL, Gill TK, Taylor AW, Wilson DH, Hill CL. Cause for concern in the use of non-steroidal anti-inflammatory medications in the community--a population-based study. </w:t>
      </w:r>
      <w:r w:rsidRPr="00D61F73">
        <w:rPr>
          <w:rFonts w:ascii="Arial" w:hAnsi="Arial" w:cs="Arial"/>
          <w:b/>
          <w:bCs/>
          <w:i/>
          <w:iCs/>
        </w:rPr>
        <w:t>BMC Fam Pract</w:t>
      </w:r>
      <w:r w:rsidRPr="00D61F73">
        <w:rPr>
          <w:rFonts w:ascii="Arial" w:hAnsi="Arial" w:cs="Arial"/>
          <w:b/>
          <w:bCs/>
        </w:rPr>
        <w:t>. 2011 Jul 7;12:70.</w:t>
      </w:r>
    </w:p>
    <w:p w14:paraId="2AE0A83B" w14:textId="77777777" w:rsidR="008D0565" w:rsidRPr="00D61F73" w:rsidRDefault="008D0565" w:rsidP="00D61F73">
      <w:pPr>
        <w:rPr>
          <w:rFonts w:ascii="Arial" w:hAnsi="Arial" w:cs="Arial"/>
        </w:rPr>
      </w:pPr>
    </w:p>
    <w:p w14:paraId="07A2BBF9" w14:textId="77777777" w:rsidR="008D0565" w:rsidRPr="00D61F73" w:rsidRDefault="008D0565" w:rsidP="00D61F73">
      <w:pPr>
        <w:rPr>
          <w:rFonts w:ascii="Arial" w:hAnsi="Arial" w:cs="Arial"/>
        </w:rPr>
      </w:pPr>
      <w:r w:rsidRPr="00D61F73">
        <w:rPr>
          <w:rFonts w:ascii="Arial" w:hAnsi="Arial" w:cs="Arial"/>
        </w:rPr>
        <w:t xml:space="preserve">There is a high prevalence of current NSAID use among groups at-risk for significant drug-related adverse events or who have major chronic conditions that are relative contraindications to NSAID use. </w:t>
      </w:r>
    </w:p>
    <w:p w14:paraId="0911FF73" w14:textId="77777777" w:rsidR="008D0565" w:rsidRPr="00D61F73" w:rsidRDefault="008D0565" w:rsidP="00D61F73">
      <w:pPr>
        <w:rPr>
          <w:rFonts w:ascii="Arial" w:hAnsi="Arial" w:cs="Arial"/>
        </w:rPr>
      </w:pPr>
    </w:p>
    <w:p w14:paraId="128196E7" w14:textId="77777777" w:rsidR="008D0565" w:rsidRPr="00D61F73" w:rsidRDefault="008D0565" w:rsidP="00D61F73">
      <w:pPr>
        <w:rPr>
          <w:rFonts w:ascii="Arial" w:hAnsi="Arial" w:cs="Arial"/>
        </w:rPr>
      </w:pPr>
      <w:r w:rsidRPr="00D61F73">
        <w:rPr>
          <w:rFonts w:ascii="Arial" w:hAnsi="Arial" w:cs="Arial"/>
        </w:rPr>
        <w:t xml:space="preserve">PMID: </w:t>
      </w:r>
      <w:hyperlink r:id="rId206" w:history="1">
        <w:r w:rsidRPr="00D61F73">
          <w:rPr>
            <w:rStyle w:val="Hyperlink"/>
            <w:rFonts w:ascii="Arial" w:hAnsi="Arial" w:cs="Arial"/>
          </w:rPr>
          <w:t>21733195</w:t>
        </w:r>
      </w:hyperlink>
      <w:r w:rsidRPr="00D61F73">
        <w:rPr>
          <w:rFonts w:ascii="Arial" w:hAnsi="Arial" w:cs="Arial"/>
        </w:rPr>
        <w:t xml:space="preserve"> </w:t>
      </w:r>
    </w:p>
    <w:p w14:paraId="1086D145" w14:textId="77777777" w:rsidR="008D0565" w:rsidRPr="00D61F73" w:rsidRDefault="008D0565" w:rsidP="00D61F73">
      <w:pPr>
        <w:rPr>
          <w:rFonts w:ascii="Arial" w:hAnsi="Arial" w:cs="Arial"/>
        </w:rPr>
      </w:pPr>
    </w:p>
    <w:p w14:paraId="1F170422"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3a</w:t>
      </w:r>
    </w:p>
    <w:p w14:paraId="51064B7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42" w:name="Affaitati"/>
      <w:bookmarkEnd w:id="442"/>
      <w:r w:rsidRPr="00D61F73">
        <w:rPr>
          <w:rFonts w:ascii="Arial" w:hAnsi="Arial" w:cs="Arial"/>
          <w:b/>
        </w:rPr>
        <w:t>ffaitati G, Fabrizio A, Savini A, Lerza R, Tafuri E, Costantini R, Lapenna D, Giamberardino MA. A randomized, controlled study comparing a lidocaine patch, a placebo patch, and anesthetic injection for treatment of trigger points in patients with myofascial pain syndrome: evaluation of pain and somatic pain thresholds</w:t>
      </w:r>
      <w:r w:rsidRPr="00D61F73">
        <w:rPr>
          <w:rFonts w:ascii="Arial" w:hAnsi="Arial" w:cs="Arial"/>
          <w:b/>
          <w:i/>
        </w:rPr>
        <w:t>. Clin Ther</w:t>
      </w:r>
      <w:r w:rsidRPr="00D61F73">
        <w:rPr>
          <w:rFonts w:ascii="Arial" w:hAnsi="Arial" w:cs="Arial"/>
          <w:b/>
        </w:rPr>
        <w:t>. 2009;31:705-20.</w:t>
      </w:r>
    </w:p>
    <w:p w14:paraId="798905A4" w14:textId="77777777" w:rsidR="008D0565" w:rsidRPr="00D61F73" w:rsidRDefault="008D0565" w:rsidP="00D61F73">
      <w:pPr>
        <w:pStyle w:val="aff"/>
        <w:spacing w:before="0" w:beforeAutospacing="0" w:after="0" w:afterAutospacing="0"/>
        <w:rPr>
          <w:rFonts w:ascii="Arial" w:hAnsi="Arial" w:cs="Arial"/>
        </w:rPr>
      </w:pPr>
    </w:p>
    <w:p w14:paraId="18AA4B62" w14:textId="77777777" w:rsidR="008D0565" w:rsidRPr="00D61F73" w:rsidRDefault="008D0565" w:rsidP="00D61F73">
      <w:pPr>
        <w:pStyle w:val="NormalWeb"/>
        <w:spacing w:before="0" w:beforeAutospacing="0" w:after="0" w:afterAutospacing="0"/>
        <w:rPr>
          <w:rFonts w:ascii="Arial" w:eastAsia="Times New Roman" w:hAnsi="Arial" w:cs="Arial"/>
        </w:rPr>
      </w:pPr>
      <w:r w:rsidRPr="00D61F73">
        <w:rPr>
          <w:rFonts w:ascii="Arial" w:hAnsi="Arial" w:cs="Arial"/>
        </w:rPr>
        <w:t>RESULTS: Sixty white patients were studied. Subjective symptoms did not change with placebo, but decreased significantly with the lidocaine patch and infiltration relative to baseline.</w:t>
      </w:r>
    </w:p>
    <w:p w14:paraId="581AAA2B" w14:textId="77777777" w:rsidR="008D0565" w:rsidRPr="00D61F73" w:rsidRDefault="008D0565" w:rsidP="00D61F73">
      <w:pPr>
        <w:pStyle w:val="pmid"/>
        <w:spacing w:before="0" w:beforeAutospacing="0" w:after="0" w:afterAutospacing="0"/>
        <w:rPr>
          <w:rFonts w:ascii="Arial" w:hAnsi="Arial" w:cs="Arial"/>
        </w:rPr>
      </w:pPr>
    </w:p>
    <w:p w14:paraId="11FF1CF9"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207" w:history="1">
        <w:r w:rsidRPr="00D61F73">
          <w:rPr>
            <w:rStyle w:val="Hyperlink"/>
            <w:rFonts w:ascii="Arial" w:hAnsi="Arial" w:cs="Arial"/>
          </w:rPr>
          <w:t>19446144</w:t>
        </w:r>
      </w:hyperlink>
    </w:p>
    <w:p w14:paraId="03073EC6" w14:textId="77777777" w:rsidR="008D0565" w:rsidRPr="00D61F73" w:rsidRDefault="008D0565" w:rsidP="00D61F73">
      <w:pPr>
        <w:pStyle w:val="pmid"/>
        <w:spacing w:before="0" w:beforeAutospacing="0" w:after="0" w:afterAutospacing="0"/>
        <w:rPr>
          <w:rFonts w:ascii="Arial" w:hAnsi="Arial" w:cs="Arial"/>
        </w:rPr>
      </w:pPr>
    </w:p>
    <w:p w14:paraId="47FFDBE4"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2b</w:t>
      </w:r>
    </w:p>
    <w:p w14:paraId="3DA388E1" w14:textId="77777777" w:rsidR="008D0565" w:rsidRPr="00D61F73" w:rsidRDefault="008D0565" w:rsidP="00D61F73">
      <w:pPr>
        <w:pStyle w:val="pmid"/>
        <w:spacing w:before="0" w:beforeAutospacing="0" w:after="0" w:afterAutospacing="0"/>
        <w:rPr>
          <w:rFonts w:ascii="Arial" w:hAnsi="Arial" w:cs="Arial"/>
        </w:rPr>
      </w:pPr>
    </w:p>
    <w:p w14:paraId="45C7026B" w14:textId="77777777" w:rsidR="008D0565" w:rsidRPr="00D61F73" w:rsidRDefault="008D0565" w:rsidP="00D61F73">
      <w:pPr>
        <w:rPr>
          <w:rFonts w:ascii="Arial" w:hAnsi="Arial" w:cs="Arial"/>
        </w:rPr>
      </w:pPr>
      <w:r w:rsidRPr="00D61F73">
        <w:rPr>
          <w:rFonts w:ascii="Arial" w:hAnsi="Arial" w:cs="Arial"/>
        </w:rPr>
        <w:t>The authors indicated that long-term effect remained to be determined</w:t>
      </w:r>
    </w:p>
    <w:p w14:paraId="7EB4A52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43" w:name="Afilalo2010"/>
      <w:bookmarkEnd w:id="443"/>
      <w:r w:rsidRPr="00D61F73">
        <w:rPr>
          <w:rFonts w:ascii="Arial" w:hAnsi="Arial" w:cs="Arial"/>
          <w:b/>
          <w:bCs/>
        </w:rPr>
        <w:t xml:space="preserve">filalo M, Etropolski MS, Kuperwasser B, Kelly K, Okamoto A, Van Hove I, Steup A, Lange B, Rauschkolb C, Haeussler J. Efficacy and safety of Tapentadol extended release compared with oxycodone controlled release for the management of moderate to severe chronic pain related to osteoarthritis of the knee: a randomized, double-blind, placebo- and active-controlled phase III study. </w:t>
      </w:r>
      <w:r w:rsidRPr="00D61F73">
        <w:rPr>
          <w:rFonts w:ascii="Arial" w:hAnsi="Arial" w:cs="Arial"/>
          <w:b/>
          <w:bCs/>
          <w:i/>
          <w:iCs/>
        </w:rPr>
        <w:t xml:space="preserve">Clin Drug Investig. </w:t>
      </w:r>
      <w:r w:rsidRPr="00D61F73">
        <w:rPr>
          <w:rFonts w:ascii="Arial" w:hAnsi="Arial" w:cs="Arial"/>
          <w:b/>
          <w:bCs/>
        </w:rPr>
        <w:t>2010;30(8):489-505.</w:t>
      </w:r>
    </w:p>
    <w:p w14:paraId="7331952C" w14:textId="77777777" w:rsidR="008D0565" w:rsidRPr="00D61F73" w:rsidRDefault="008D0565" w:rsidP="00D61F73">
      <w:pPr>
        <w:rPr>
          <w:rFonts w:ascii="Arial" w:hAnsi="Arial" w:cs="Arial"/>
        </w:rPr>
      </w:pPr>
    </w:p>
    <w:p w14:paraId="5034B37E" w14:textId="77777777" w:rsidR="008D0565" w:rsidRPr="00D61F73" w:rsidRDefault="008D0565" w:rsidP="00D61F73">
      <w:pPr>
        <w:rPr>
          <w:rFonts w:ascii="Arial" w:hAnsi="Arial" w:cs="Arial"/>
        </w:rPr>
      </w:pPr>
      <w:r w:rsidRPr="00D61F73">
        <w:rPr>
          <w:rFonts w:ascii="Arial" w:hAnsi="Arial" w:cs="Arial"/>
        </w:rPr>
        <w:t>METHODS: A total of 1030 patients. CONCLUSION: treatment with Tapentadol ER 100-250 mg twice daily or oxycodone HCl CR 20-50 mg twice daily was effective for the management of moderate to severe chronic osteoarthritis-related knee pain, with substantially lower incidences of gastrointestinal-related TEAEs associated with treatment with Tapentadol ER than with oxycodone CR.</w:t>
      </w:r>
    </w:p>
    <w:p w14:paraId="10D6C204" w14:textId="77777777" w:rsidR="008D0565" w:rsidRPr="00D61F73" w:rsidRDefault="008D0565" w:rsidP="00D61F73">
      <w:pPr>
        <w:rPr>
          <w:rFonts w:ascii="Arial" w:hAnsi="Arial" w:cs="Arial"/>
        </w:rPr>
      </w:pPr>
    </w:p>
    <w:p w14:paraId="19DDD3BF" w14:textId="77777777" w:rsidR="008D0565" w:rsidRPr="00D61F73" w:rsidRDefault="008D0565" w:rsidP="00D61F73">
      <w:pPr>
        <w:rPr>
          <w:rFonts w:ascii="Arial" w:hAnsi="Arial" w:cs="Arial"/>
        </w:rPr>
      </w:pPr>
      <w:r w:rsidRPr="00D61F73">
        <w:rPr>
          <w:rFonts w:ascii="Arial" w:hAnsi="Arial" w:cs="Arial"/>
        </w:rPr>
        <w:t xml:space="preserve">PMID: </w:t>
      </w:r>
      <w:hyperlink r:id="rId208" w:history="1">
        <w:r w:rsidRPr="00D61F73">
          <w:rPr>
            <w:rStyle w:val="Hyperlink"/>
            <w:rFonts w:ascii="Arial" w:hAnsi="Arial" w:cs="Arial"/>
          </w:rPr>
          <w:t>20586515</w:t>
        </w:r>
      </w:hyperlink>
      <w:r w:rsidRPr="00D61F73">
        <w:rPr>
          <w:rFonts w:ascii="Arial" w:hAnsi="Arial" w:cs="Arial"/>
        </w:rPr>
        <w:t xml:space="preserve"> </w:t>
      </w:r>
    </w:p>
    <w:p w14:paraId="6E10F404" w14:textId="77777777" w:rsidR="008D0565" w:rsidRPr="00D61F73" w:rsidRDefault="008D0565" w:rsidP="00D61F73">
      <w:pPr>
        <w:rPr>
          <w:rFonts w:ascii="Arial" w:hAnsi="Arial" w:cs="Arial"/>
        </w:rPr>
      </w:pPr>
    </w:p>
    <w:p w14:paraId="1B6E2F0C" w14:textId="77777777" w:rsidR="008D0565" w:rsidRPr="00D61F73" w:rsidRDefault="008D0565" w:rsidP="00D61F73">
      <w:pPr>
        <w:rPr>
          <w:rFonts w:ascii="Arial" w:hAnsi="Arial" w:cs="Arial"/>
        </w:rPr>
      </w:pPr>
      <w:r w:rsidRPr="00D61F73">
        <w:rPr>
          <w:rFonts w:ascii="Arial" w:hAnsi="Arial" w:cs="Arial"/>
        </w:rPr>
        <w:t>Rating: 2a</w:t>
      </w:r>
    </w:p>
    <w:p w14:paraId="6D0FA0E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44" w:name="AGS2012"/>
      <w:bookmarkEnd w:id="444"/>
      <w:r w:rsidRPr="00D61F73">
        <w:rPr>
          <w:rFonts w:ascii="Arial" w:hAnsi="Arial" w:cs="Arial"/>
          <w:b/>
          <w:bCs/>
        </w:rPr>
        <w:t xml:space="preserve">GS (American Geriatrics Society) 2012 Beers Criteria Update Expert Panel. American Geriatrics Society updated Beers Criteria for potentially inappropriate medication use in older adults. </w:t>
      </w:r>
      <w:r w:rsidRPr="00D61F73">
        <w:rPr>
          <w:rFonts w:ascii="Arial" w:hAnsi="Arial" w:cs="Arial"/>
          <w:b/>
          <w:bCs/>
          <w:i/>
          <w:iCs/>
        </w:rPr>
        <w:t xml:space="preserve">J Am Geriatr Soc. </w:t>
      </w:r>
      <w:r w:rsidRPr="00D61F73">
        <w:rPr>
          <w:rFonts w:ascii="Arial" w:hAnsi="Arial" w:cs="Arial"/>
          <w:b/>
          <w:bCs/>
        </w:rPr>
        <w:t>2012 Apr;60(4):616-31. doi: 10.1111/j.1532-5415.2012.03923.x.</w:t>
      </w:r>
    </w:p>
    <w:p w14:paraId="0B9D551B" w14:textId="77777777" w:rsidR="008D0565" w:rsidRPr="00D61F73" w:rsidRDefault="008D0565" w:rsidP="00D61F73">
      <w:pPr>
        <w:rPr>
          <w:rFonts w:ascii="Arial" w:hAnsi="Arial" w:cs="Arial"/>
        </w:rPr>
      </w:pPr>
    </w:p>
    <w:p w14:paraId="2DD6987E" w14:textId="77777777" w:rsidR="008D0565" w:rsidRPr="00D61F73" w:rsidRDefault="008D0565" w:rsidP="00D61F73">
      <w:pPr>
        <w:rPr>
          <w:rFonts w:ascii="Arial" w:hAnsi="Arial" w:cs="Arial"/>
        </w:rPr>
      </w:pPr>
      <w:r w:rsidRPr="00D61F73">
        <w:rPr>
          <w:rFonts w:ascii="Arial" w:hAnsi="Arial" w:cs="Arial"/>
        </w:rPr>
        <w:t xml:space="preserve">Potentially inappropriate medications (PIMs) continue to be prescribed and used as first-line treatment for the most vulnerable of older adults, despite evidence of poor outcomes from the use of PIMs in older adults. </w:t>
      </w:r>
    </w:p>
    <w:p w14:paraId="1CA4EFA5" w14:textId="77777777" w:rsidR="008D0565" w:rsidRPr="00D61F73" w:rsidRDefault="008D0565" w:rsidP="00D61F73">
      <w:pPr>
        <w:rPr>
          <w:rFonts w:ascii="Arial" w:hAnsi="Arial" w:cs="Arial"/>
        </w:rPr>
      </w:pPr>
    </w:p>
    <w:p w14:paraId="7E8A468F" w14:textId="77777777" w:rsidR="008D0565" w:rsidRPr="00D61F73" w:rsidRDefault="008D0565" w:rsidP="00D61F73">
      <w:pPr>
        <w:rPr>
          <w:rFonts w:ascii="Arial" w:hAnsi="Arial" w:cs="Arial"/>
        </w:rPr>
      </w:pPr>
      <w:r w:rsidRPr="00D61F73">
        <w:rPr>
          <w:rFonts w:ascii="Arial" w:hAnsi="Arial" w:cs="Arial"/>
        </w:rPr>
        <w:t xml:space="preserve">PMID: </w:t>
      </w:r>
      <w:hyperlink r:id="rId209" w:history="1">
        <w:r w:rsidRPr="00D61F73">
          <w:rPr>
            <w:rStyle w:val="Hyperlink"/>
            <w:rFonts w:ascii="Arial" w:hAnsi="Arial" w:cs="Arial"/>
          </w:rPr>
          <w:t>22376048</w:t>
        </w:r>
      </w:hyperlink>
    </w:p>
    <w:p w14:paraId="19C1CFF1" w14:textId="77777777" w:rsidR="008D0565" w:rsidRPr="00D61F73" w:rsidRDefault="008D0565" w:rsidP="00D61F73">
      <w:pPr>
        <w:rPr>
          <w:rFonts w:ascii="Arial" w:hAnsi="Arial" w:cs="Arial"/>
        </w:rPr>
      </w:pPr>
    </w:p>
    <w:p w14:paraId="3B530AEC" w14:textId="77777777" w:rsidR="008D0565" w:rsidRPr="00D61F73" w:rsidRDefault="008D0565" w:rsidP="00D61F73">
      <w:pPr>
        <w:rPr>
          <w:rFonts w:ascii="Arial" w:hAnsi="Arial" w:cs="Arial"/>
        </w:rPr>
      </w:pPr>
      <w:r w:rsidRPr="00D61F73">
        <w:rPr>
          <w:rFonts w:ascii="Arial" w:hAnsi="Arial" w:cs="Arial"/>
        </w:rPr>
        <w:t>Rating: 1a</w:t>
      </w:r>
    </w:p>
    <w:p w14:paraId="7BD6C65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i/>
        </w:rPr>
        <w:lastRenderedPageBreak/>
        <w:t>A</w:t>
      </w:r>
      <w:bookmarkStart w:id="445" w:name="AHFSDrugInformation"/>
      <w:bookmarkEnd w:id="445"/>
      <w:r w:rsidRPr="00D61F73">
        <w:rPr>
          <w:rFonts w:ascii="Arial" w:hAnsi="Arial" w:cs="Arial"/>
          <w:b/>
          <w:bCs/>
          <w:i/>
        </w:rPr>
        <w:t>HFS Drug Information</w:t>
      </w:r>
      <w:r w:rsidRPr="00D61F73">
        <w:rPr>
          <w:rFonts w:ascii="Arial" w:hAnsi="Arial" w:cs="Arial"/>
          <w:b/>
          <w:bCs/>
        </w:rPr>
        <w:t>. © Copyright, 1959-2008, Selected Revisions March 2008, American Society of Health-System Pharmacists, Inc. Bethesda, MD. 2008.</w:t>
      </w:r>
    </w:p>
    <w:p w14:paraId="7982EF4F" w14:textId="77777777" w:rsidR="008D0565" w:rsidRPr="00D61F73" w:rsidRDefault="008D0565" w:rsidP="00D61F73">
      <w:pPr>
        <w:rPr>
          <w:rFonts w:ascii="Arial" w:hAnsi="Arial" w:cs="Arial"/>
        </w:rPr>
      </w:pPr>
    </w:p>
    <w:p w14:paraId="2F239A78" w14:textId="77777777" w:rsidR="008D0565" w:rsidRPr="00D61F73" w:rsidRDefault="008D0565" w:rsidP="00D61F73">
      <w:pPr>
        <w:rPr>
          <w:rFonts w:ascii="Arial" w:hAnsi="Arial" w:cs="Arial"/>
        </w:rPr>
      </w:pPr>
      <w:r w:rsidRPr="00D61F73">
        <w:rPr>
          <w:rFonts w:ascii="Arial" w:hAnsi="Arial" w:cs="Arial"/>
        </w:rPr>
        <w:t>Rating: 9a</w:t>
      </w:r>
    </w:p>
    <w:p w14:paraId="03E9AF4F"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A</w:t>
      </w:r>
      <w:bookmarkStart w:id="446" w:name="Akeson1987"/>
      <w:bookmarkEnd w:id="446"/>
      <w:r w:rsidRPr="00D61F73">
        <w:rPr>
          <w:rFonts w:ascii="Arial" w:hAnsi="Arial" w:cs="Arial"/>
          <w:b/>
        </w:rPr>
        <w:t xml:space="preserve">keson WH, Amiel D, Abel MF, Garfin SR, Woo SL. Effects of immobilization on joints. </w:t>
      </w:r>
      <w:r w:rsidRPr="00D61F73">
        <w:rPr>
          <w:rFonts w:ascii="Arial" w:hAnsi="Arial" w:cs="Arial"/>
          <w:b/>
          <w:i/>
        </w:rPr>
        <w:t>Clin Orthop Relat Res</w:t>
      </w:r>
      <w:r w:rsidRPr="00D61F73">
        <w:rPr>
          <w:rFonts w:ascii="Arial" w:hAnsi="Arial" w:cs="Arial"/>
          <w:b/>
        </w:rPr>
        <w:t>. 1987;:28-37.</w:t>
      </w:r>
    </w:p>
    <w:p w14:paraId="36F728A4" w14:textId="77777777" w:rsidR="008D0565" w:rsidRPr="00D61F73" w:rsidRDefault="008D0565" w:rsidP="00D61F73">
      <w:pPr>
        <w:pStyle w:val="Footer"/>
        <w:tabs>
          <w:tab w:val="clear" w:pos="4320"/>
          <w:tab w:val="clear" w:pos="8640"/>
        </w:tabs>
        <w:rPr>
          <w:rFonts w:ascii="Arial" w:hAnsi="Arial" w:cs="Arial"/>
        </w:rPr>
      </w:pPr>
    </w:p>
    <w:p w14:paraId="42DEE53C" w14:textId="77777777" w:rsidR="008D0565" w:rsidRPr="00D61F73" w:rsidRDefault="008D0565" w:rsidP="00D61F73">
      <w:pPr>
        <w:rPr>
          <w:rFonts w:ascii="Arial" w:hAnsi="Arial" w:cs="Arial"/>
        </w:rPr>
      </w:pPr>
      <w:r w:rsidRPr="00D61F73">
        <w:rPr>
          <w:rFonts w:ascii="Arial" w:hAnsi="Arial" w:cs="Arial"/>
        </w:rPr>
        <w:t xml:space="preserve">PMID: </w:t>
      </w:r>
      <w:hyperlink r:id="rId210" w:history="1">
        <w:r w:rsidRPr="00D61F73">
          <w:rPr>
            <w:rStyle w:val="Hyperlink"/>
            <w:rFonts w:ascii="Arial" w:hAnsi="Arial" w:cs="Arial"/>
          </w:rPr>
          <w:t>3581580</w:t>
        </w:r>
      </w:hyperlink>
    </w:p>
    <w:p w14:paraId="7C0CF779" w14:textId="77777777" w:rsidR="008D0565" w:rsidRPr="00D61F73" w:rsidRDefault="008D0565" w:rsidP="00D61F73">
      <w:pPr>
        <w:rPr>
          <w:rFonts w:ascii="Arial" w:hAnsi="Arial" w:cs="Arial"/>
        </w:rPr>
      </w:pPr>
    </w:p>
    <w:p w14:paraId="187EE481" w14:textId="77777777" w:rsidR="008D0565" w:rsidRPr="00D61F73" w:rsidRDefault="008D0565" w:rsidP="00D61F73">
      <w:pPr>
        <w:rPr>
          <w:rFonts w:ascii="Arial" w:hAnsi="Arial" w:cs="Arial"/>
        </w:rPr>
      </w:pPr>
      <w:r w:rsidRPr="00D61F73">
        <w:rPr>
          <w:rFonts w:ascii="Arial" w:hAnsi="Arial" w:cs="Arial"/>
        </w:rPr>
        <w:t>Rating: 5c</w:t>
      </w:r>
    </w:p>
    <w:p w14:paraId="5710F2F7" w14:textId="77777777" w:rsidR="008D0565" w:rsidRPr="00D61F73" w:rsidRDefault="008D0565" w:rsidP="00D61F73">
      <w:pPr>
        <w:rPr>
          <w:rFonts w:ascii="Arial" w:hAnsi="Arial" w:cs="Arial"/>
          <w:color w:val="auto"/>
        </w:rPr>
      </w:pPr>
      <w:r w:rsidRPr="00D61F73">
        <w:rPr>
          <w:rFonts w:ascii="Arial" w:hAnsi="Arial" w:cs="Arial"/>
        </w:rPr>
        <w:br w:type="page"/>
      </w:r>
      <w:r w:rsidRPr="00D61F73">
        <w:rPr>
          <w:rFonts w:ascii="Arial" w:hAnsi="Arial" w:cs="Arial"/>
          <w:b/>
        </w:rPr>
        <w:lastRenderedPageBreak/>
        <w:t>A</w:t>
      </w:r>
      <w:bookmarkStart w:id="447" w:name="Albazaz2008"/>
      <w:bookmarkEnd w:id="447"/>
      <w:r w:rsidRPr="00D61F73">
        <w:rPr>
          <w:rFonts w:ascii="Arial" w:hAnsi="Arial" w:cs="Arial"/>
          <w:b/>
        </w:rPr>
        <w:t xml:space="preserve">lbazaz R, Wong YT, Homer-Vanniasinkam S. Complex regional pain syndrome: a review. </w:t>
      </w:r>
      <w:r w:rsidRPr="00D61F73">
        <w:rPr>
          <w:rFonts w:ascii="Arial" w:hAnsi="Arial" w:cs="Arial"/>
          <w:b/>
          <w:i/>
        </w:rPr>
        <w:t>Ann Vasc Surg.</w:t>
      </w:r>
      <w:r w:rsidRPr="00D61F73">
        <w:rPr>
          <w:rFonts w:ascii="Arial" w:hAnsi="Arial" w:cs="Arial"/>
          <w:b/>
        </w:rPr>
        <w:t xml:space="preserve"> 2008;22:297-306. </w:t>
      </w:r>
    </w:p>
    <w:p w14:paraId="4045E039" w14:textId="77777777" w:rsidR="008D0565" w:rsidRPr="00D61F73" w:rsidRDefault="008D0565" w:rsidP="00D61F73">
      <w:pPr>
        <w:rPr>
          <w:rFonts w:ascii="Arial" w:hAnsi="Arial" w:cs="Arial"/>
        </w:rPr>
      </w:pPr>
    </w:p>
    <w:p w14:paraId="53B7B329" w14:textId="77777777" w:rsidR="008D0565" w:rsidRPr="00D61F73" w:rsidRDefault="008D0565" w:rsidP="00D61F73">
      <w:pPr>
        <w:rPr>
          <w:rFonts w:ascii="Arial" w:hAnsi="Arial" w:cs="Arial"/>
        </w:rPr>
      </w:pPr>
      <w:r w:rsidRPr="00D61F73">
        <w:rPr>
          <w:rFonts w:ascii="Arial" w:hAnsi="Arial" w:cs="Arial"/>
        </w:rPr>
        <w:t xml:space="preserve">PMID: </w:t>
      </w:r>
      <w:hyperlink r:id="rId211" w:history="1">
        <w:r w:rsidRPr="00D61F73">
          <w:rPr>
            <w:rStyle w:val="Hyperlink"/>
            <w:rFonts w:ascii="Arial" w:hAnsi="Arial" w:cs="Arial"/>
          </w:rPr>
          <w:t>18346583</w:t>
        </w:r>
      </w:hyperlink>
    </w:p>
    <w:p w14:paraId="49611E89" w14:textId="77777777" w:rsidR="008D0565" w:rsidRPr="00D61F73" w:rsidRDefault="008D0565" w:rsidP="00D61F73">
      <w:pPr>
        <w:rPr>
          <w:rFonts w:ascii="Arial" w:hAnsi="Arial" w:cs="Arial"/>
        </w:rPr>
      </w:pPr>
    </w:p>
    <w:p w14:paraId="2DDD442A" w14:textId="77777777" w:rsidR="008D0565" w:rsidRPr="00D61F73" w:rsidRDefault="008D0565" w:rsidP="00D61F73">
      <w:pPr>
        <w:rPr>
          <w:rFonts w:ascii="Arial" w:hAnsi="Arial" w:cs="Arial"/>
        </w:rPr>
      </w:pPr>
      <w:r w:rsidRPr="00D61F73">
        <w:rPr>
          <w:rFonts w:ascii="Arial" w:hAnsi="Arial" w:cs="Arial"/>
        </w:rPr>
        <w:t>Rating: 1b</w:t>
      </w:r>
    </w:p>
    <w:p w14:paraId="1C8CC34C" w14:textId="77777777" w:rsidR="00C41ACB" w:rsidRPr="00D61F73" w:rsidRDefault="00C41ACB" w:rsidP="00D61F73">
      <w:pPr>
        <w:rPr>
          <w:rFonts w:ascii="Arial" w:hAnsi="Arial" w:cs="Arial"/>
        </w:rPr>
      </w:pPr>
      <w:r w:rsidRPr="00D61F73">
        <w:rPr>
          <w:rFonts w:ascii="Arial" w:hAnsi="Arial" w:cs="Arial"/>
        </w:rPr>
        <w:br w:type="page"/>
      </w:r>
      <w:bookmarkStart w:id="448" w:name="Albert2011"/>
      <w:r w:rsidRPr="00D61F73">
        <w:rPr>
          <w:rFonts w:ascii="Arial" w:hAnsi="Arial" w:cs="Arial"/>
          <w:b/>
        </w:rPr>
        <w:lastRenderedPageBreak/>
        <w:t xml:space="preserve">Albert S, </w:t>
      </w:r>
      <w:bookmarkEnd w:id="448"/>
      <w:r w:rsidRPr="00D61F73">
        <w:rPr>
          <w:rFonts w:ascii="Arial" w:hAnsi="Arial" w:cs="Arial"/>
          <w:b/>
        </w:rPr>
        <w:t>Brason FW 2nd, Sanford CK, Dasgupta N, Graham J, Lovette B. Project Lazarus: community-based overdose prevention in rural North Carolina. Pain Med. 2011;12:S77-85.</w:t>
      </w:r>
      <w:r w:rsidRPr="00D61F73">
        <w:rPr>
          <w:rFonts w:ascii="Arial" w:hAnsi="Arial" w:cs="Arial"/>
          <w:b/>
        </w:rPr>
        <w:br/>
      </w:r>
      <w:r w:rsidRPr="00D61F73">
        <w:rPr>
          <w:rFonts w:ascii="Arial" w:hAnsi="Arial" w:cs="Arial"/>
        </w:rPr>
        <w:t xml:space="preserve"> </w:t>
      </w:r>
      <w:r w:rsidRPr="00D61F73">
        <w:rPr>
          <w:rFonts w:ascii="Arial" w:hAnsi="Arial" w:cs="Arial"/>
        </w:rPr>
        <w:br/>
        <w:t xml:space="preserve">PMID: </w:t>
      </w:r>
      <w:hyperlink r:id="rId212" w:history="1">
        <w:r w:rsidRPr="00D61F73">
          <w:rPr>
            <w:rStyle w:val="Hyperlink"/>
            <w:rFonts w:ascii="Arial" w:hAnsi="Arial" w:cs="Arial"/>
          </w:rPr>
          <w:t>21668761</w:t>
        </w:r>
      </w:hyperlink>
      <w:r w:rsidRPr="00D61F73">
        <w:rPr>
          <w:rFonts w:ascii="Arial" w:hAnsi="Arial" w:cs="Arial"/>
        </w:rPr>
        <w:br/>
        <w:t xml:space="preserve"> </w:t>
      </w:r>
      <w:r w:rsidRPr="00D61F73">
        <w:rPr>
          <w:rFonts w:ascii="Arial" w:hAnsi="Arial" w:cs="Arial"/>
        </w:rPr>
        <w:br/>
        <w:t>Rating: 11a</w:t>
      </w:r>
    </w:p>
    <w:p w14:paraId="5F2CEB63"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A</w:t>
      </w:r>
      <w:bookmarkStart w:id="449" w:name="Alexander"/>
      <w:bookmarkEnd w:id="449"/>
      <w:r w:rsidRPr="00D61F73">
        <w:rPr>
          <w:rFonts w:ascii="Arial" w:hAnsi="Arial" w:cs="Arial"/>
          <w:b/>
        </w:rPr>
        <w:t>lexander B, Perry PJ. Detoxification from benzodiazepines: schedules and strategies</w:t>
      </w:r>
      <w:r w:rsidRPr="00D61F73">
        <w:rPr>
          <w:rFonts w:ascii="Arial" w:hAnsi="Arial" w:cs="Arial"/>
          <w:b/>
          <w:i/>
        </w:rPr>
        <w:t>. J Subst Abuse Treat</w:t>
      </w:r>
      <w:r w:rsidRPr="00D61F73">
        <w:rPr>
          <w:rFonts w:ascii="Arial" w:hAnsi="Arial" w:cs="Arial"/>
          <w:b/>
        </w:rPr>
        <w:t>. 1991;8:9-17.</w:t>
      </w:r>
    </w:p>
    <w:p w14:paraId="594F1852" w14:textId="77777777" w:rsidR="008D0565" w:rsidRPr="00D61F73" w:rsidRDefault="008D0565" w:rsidP="00D61F73">
      <w:pPr>
        <w:rPr>
          <w:rFonts w:ascii="Arial" w:eastAsia="Calibri" w:hAnsi="Arial" w:cs="Arial"/>
          <w:b/>
        </w:rPr>
      </w:pPr>
    </w:p>
    <w:p w14:paraId="4A64D615" w14:textId="77777777" w:rsidR="008D0565" w:rsidRPr="00D61F73" w:rsidRDefault="008D0565" w:rsidP="00D61F73">
      <w:pPr>
        <w:rPr>
          <w:rFonts w:ascii="Arial" w:eastAsia="Calibri" w:hAnsi="Arial" w:cs="Arial"/>
        </w:rPr>
      </w:pPr>
      <w:r w:rsidRPr="00D61F73">
        <w:rPr>
          <w:rFonts w:ascii="Arial" w:hAnsi="Arial" w:cs="Arial"/>
        </w:rPr>
        <w:t xml:space="preserve">Low-dose withdrawal includes patients who have received manufacturer-recommended doses of BZD on a daily basis for longer than 1 month. Gradual tapering of the BZD over 4 weeks on an outpatient basis is suggested. High-dose withdrawal includes patients who have been ingesting doses of BZD greater than the equivalent of diazepam 40 mg/d for longer than 8 months. It is recommended that the patients be tolerance tested with diazepam and, if tolerant, tapered off medication as inpatients at a rate of 10% per day. </w:t>
      </w:r>
    </w:p>
    <w:p w14:paraId="1975CABC" w14:textId="77777777" w:rsidR="008D0565" w:rsidRPr="00D61F73" w:rsidRDefault="008D0565" w:rsidP="00D61F73">
      <w:pPr>
        <w:rPr>
          <w:rFonts w:ascii="Arial" w:eastAsia="Calibri" w:hAnsi="Arial" w:cs="Arial"/>
        </w:rPr>
      </w:pPr>
    </w:p>
    <w:p w14:paraId="56EF3F60"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213" w:history="1">
        <w:r w:rsidRPr="00D61F73">
          <w:rPr>
            <w:rStyle w:val="Hyperlink"/>
            <w:rFonts w:ascii="Arial" w:hAnsi="Arial" w:cs="Arial"/>
          </w:rPr>
          <w:t>1675694</w:t>
        </w:r>
      </w:hyperlink>
    </w:p>
    <w:p w14:paraId="335F1EBE" w14:textId="77777777" w:rsidR="008D0565" w:rsidRPr="00D61F73" w:rsidRDefault="008D0565" w:rsidP="00D61F73">
      <w:pPr>
        <w:rPr>
          <w:rFonts w:ascii="Arial" w:eastAsia="Calibri" w:hAnsi="Arial" w:cs="Arial"/>
        </w:rPr>
      </w:pPr>
    </w:p>
    <w:p w14:paraId="632B22D5" w14:textId="77777777" w:rsidR="008D0565" w:rsidRPr="00D61F73" w:rsidRDefault="008D0565" w:rsidP="00D61F73">
      <w:pPr>
        <w:rPr>
          <w:rFonts w:ascii="Arial" w:eastAsia="Calibri" w:hAnsi="Arial" w:cs="Arial"/>
        </w:rPr>
      </w:pPr>
      <w:r w:rsidRPr="00D61F73">
        <w:rPr>
          <w:rFonts w:ascii="Arial" w:hAnsi="Arial" w:cs="Arial"/>
        </w:rPr>
        <w:t>Rating: 5c</w:t>
      </w:r>
    </w:p>
    <w:p w14:paraId="08E42DF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50" w:name="Alford2011"/>
      <w:bookmarkEnd w:id="450"/>
      <w:r w:rsidRPr="00D61F73">
        <w:rPr>
          <w:rFonts w:ascii="Arial" w:hAnsi="Arial" w:cs="Arial"/>
          <w:b/>
          <w:bCs/>
        </w:rPr>
        <w:t xml:space="preserve">lford DP, Labelle CT, Kretsch N, Bergeron A, Winter M, Botticelli M, Samet JH. Collaborative care of opioid-addicted patients in primary care using buprenorphine: five-year experience. </w:t>
      </w:r>
      <w:r w:rsidRPr="00D61F73">
        <w:rPr>
          <w:rFonts w:ascii="Arial" w:hAnsi="Arial" w:cs="Arial"/>
          <w:b/>
          <w:bCs/>
          <w:i/>
          <w:iCs/>
        </w:rPr>
        <w:t>Arch Intern Med.</w:t>
      </w:r>
      <w:r w:rsidRPr="00D61F73">
        <w:rPr>
          <w:rFonts w:ascii="Arial" w:hAnsi="Arial" w:cs="Arial"/>
          <w:b/>
          <w:bCs/>
        </w:rPr>
        <w:t xml:space="preserve"> 2011 Mar 14;171(5):425-31.</w:t>
      </w:r>
    </w:p>
    <w:p w14:paraId="34C4BF8A" w14:textId="77777777" w:rsidR="008D0565" w:rsidRPr="00D61F73" w:rsidRDefault="008D0565" w:rsidP="00D61F73">
      <w:pPr>
        <w:pStyle w:val="NormalWeb"/>
        <w:spacing w:before="0" w:beforeAutospacing="0" w:after="0" w:afterAutospacing="0"/>
        <w:rPr>
          <w:rFonts w:ascii="Arial" w:hAnsi="Arial" w:cs="Arial"/>
        </w:rPr>
      </w:pPr>
    </w:p>
    <w:p w14:paraId="7AF4E44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RESULTS: From September 1, 2003, through September 30, 2008, 408 patients with opioid addiction were treated with buprenorphine. At 1 year, 51.3% underwent successful treatment. Of patients remaining in treatment at 12 months, 91.1% were no longer using illicit opioids or cocaine based on urine drug test results. </w:t>
      </w:r>
    </w:p>
    <w:p w14:paraId="1FE74FA4" w14:textId="77777777" w:rsidR="008D0565" w:rsidRPr="00D61F73" w:rsidRDefault="008D0565" w:rsidP="00D61F73">
      <w:pPr>
        <w:pStyle w:val="NormalWeb"/>
        <w:spacing w:before="0" w:beforeAutospacing="0" w:after="0" w:afterAutospacing="0"/>
        <w:rPr>
          <w:rFonts w:ascii="Arial" w:hAnsi="Arial" w:cs="Arial"/>
        </w:rPr>
      </w:pPr>
    </w:p>
    <w:p w14:paraId="07E70F3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14" w:history="1">
        <w:r w:rsidRPr="00D61F73">
          <w:rPr>
            <w:rStyle w:val="Hyperlink"/>
            <w:rFonts w:ascii="Arial" w:hAnsi="Arial" w:cs="Arial"/>
          </w:rPr>
          <w:t>21403039</w:t>
        </w:r>
      </w:hyperlink>
      <w:r w:rsidRPr="00D61F73">
        <w:rPr>
          <w:rFonts w:ascii="Arial" w:hAnsi="Arial" w:cs="Arial"/>
        </w:rPr>
        <w:t xml:space="preserve"> </w:t>
      </w:r>
    </w:p>
    <w:p w14:paraId="463E584A" w14:textId="77777777" w:rsidR="008D0565" w:rsidRPr="00D61F73" w:rsidRDefault="008D0565" w:rsidP="00D61F73">
      <w:pPr>
        <w:pStyle w:val="NormalWeb"/>
        <w:spacing w:before="0" w:beforeAutospacing="0" w:after="0" w:afterAutospacing="0"/>
        <w:rPr>
          <w:rFonts w:ascii="Arial" w:hAnsi="Arial" w:cs="Arial"/>
        </w:rPr>
      </w:pPr>
    </w:p>
    <w:p w14:paraId="60CDDD0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3a</w:t>
      </w:r>
    </w:p>
    <w:p w14:paraId="54A5670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51" w:name="Altmaier"/>
      <w:bookmarkEnd w:id="451"/>
      <w:r w:rsidRPr="00D61F73">
        <w:rPr>
          <w:rFonts w:ascii="Arial" w:hAnsi="Arial" w:cs="Arial"/>
          <w:b/>
          <w:bCs/>
        </w:rPr>
        <w:t xml:space="preserve">ltmaier EM, Lehmann TR, Russell DW, Weinstein JN, Kao CF. The effectiveness of psychological interventions for the rehabilitation of low back pain: a randomized controlled trial evaluation. </w:t>
      </w:r>
      <w:r w:rsidRPr="00D61F73">
        <w:rPr>
          <w:rFonts w:ascii="Arial" w:hAnsi="Arial" w:cs="Arial"/>
          <w:b/>
          <w:bCs/>
          <w:i/>
          <w:iCs/>
        </w:rPr>
        <w:t>Pain</w:t>
      </w:r>
      <w:r w:rsidRPr="00D61F73">
        <w:rPr>
          <w:rFonts w:ascii="Arial" w:hAnsi="Arial" w:cs="Arial"/>
          <w:b/>
          <w:bCs/>
        </w:rPr>
        <w:t>. 1992 Jun;49(3):329-35.</w:t>
      </w:r>
    </w:p>
    <w:p w14:paraId="686F542F" w14:textId="77777777" w:rsidR="008D0565" w:rsidRPr="00D61F73" w:rsidRDefault="008D0565" w:rsidP="00D61F73">
      <w:pPr>
        <w:pStyle w:val="NormalWeb"/>
        <w:spacing w:before="0" w:beforeAutospacing="0" w:after="0" w:afterAutospacing="0"/>
        <w:rPr>
          <w:rFonts w:ascii="Arial" w:hAnsi="Arial" w:cs="Arial"/>
        </w:rPr>
      </w:pPr>
    </w:p>
    <w:p w14:paraId="11FD6F9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Division of Psychological and Quantitative Foundations, University of Iowa, Iowa City 52242.</w:t>
      </w:r>
    </w:p>
    <w:p w14:paraId="42AE7F2B" w14:textId="77777777" w:rsidR="008D0565" w:rsidRPr="00D61F73" w:rsidRDefault="008D0565" w:rsidP="00D61F73">
      <w:pPr>
        <w:pStyle w:val="NormalWeb"/>
        <w:spacing w:before="0" w:beforeAutospacing="0" w:after="0" w:afterAutospacing="0"/>
        <w:rPr>
          <w:rFonts w:ascii="Arial" w:hAnsi="Arial" w:cs="Arial"/>
        </w:rPr>
      </w:pPr>
    </w:p>
    <w:p w14:paraId="3B517ED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Forty-five low back pain patients. 81% of the patients had returned to work or were engaged in active job retraining by the follow-up. Patient improvement, however, was not differentially affected by treatment group assignment, suggesting that the psychological treatment failed to add to the effectiveness obtained by the standard rehabilitation program. </w:t>
      </w:r>
    </w:p>
    <w:p w14:paraId="407CFA38" w14:textId="77777777" w:rsidR="008D0565" w:rsidRPr="00D61F73" w:rsidRDefault="008D0565" w:rsidP="00D61F73">
      <w:pPr>
        <w:pStyle w:val="NormalWeb"/>
        <w:spacing w:before="0" w:beforeAutospacing="0" w:after="0" w:afterAutospacing="0"/>
        <w:rPr>
          <w:rFonts w:ascii="Arial" w:hAnsi="Arial" w:cs="Arial"/>
        </w:rPr>
      </w:pPr>
    </w:p>
    <w:p w14:paraId="1597FB9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15" w:history="1">
        <w:r w:rsidRPr="00D61F73">
          <w:rPr>
            <w:rStyle w:val="Hyperlink"/>
            <w:rFonts w:ascii="Arial" w:hAnsi="Arial" w:cs="Arial"/>
          </w:rPr>
          <w:t>1408299</w:t>
        </w:r>
      </w:hyperlink>
      <w:r w:rsidRPr="00D61F73">
        <w:rPr>
          <w:rFonts w:ascii="Arial" w:hAnsi="Arial" w:cs="Arial"/>
        </w:rPr>
        <w:t xml:space="preserve"> </w:t>
      </w:r>
    </w:p>
    <w:p w14:paraId="029B3051" w14:textId="77777777" w:rsidR="008D0565" w:rsidRPr="00D61F73" w:rsidRDefault="008D0565" w:rsidP="00D61F73">
      <w:pPr>
        <w:pStyle w:val="NormalWeb"/>
        <w:spacing w:before="0" w:beforeAutospacing="0" w:after="0" w:afterAutospacing="0"/>
        <w:rPr>
          <w:rFonts w:ascii="Arial" w:hAnsi="Arial" w:cs="Arial"/>
        </w:rPr>
      </w:pPr>
    </w:p>
    <w:p w14:paraId="169934D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0E8D1CC3"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52" w:name="Altman"/>
      <w:bookmarkEnd w:id="452"/>
      <w:r w:rsidRPr="00D61F73">
        <w:rPr>
          <w:rFonts w:ascii="Arial" w:hAnsi="Arial" w:cs="Arial"/>
          <w:b/>
          <w:bCs/>
        </w:rPr>
        <w:t xml:space="preserve">ltman RD, Aven A, Holmburg CE, Pfeifer LM, Sack M, Young GT. Capsaicin Cream 0.025% as Monotherapy for Osteoarthritis: A Double-Blind Study. </w:t>
      </w:r>
      <w:r w:rsidRPr="00D61F73">
        <w:rPr>
          <w:rFonts w:ascii="Arial" w:hAnsi="Arial" w:cs="Arial"/>
          <w:b/>
          <w:bCs/>
          <w:i/>
          <w:iCs/>
        </w:rPr>
        <w:t>Seminars in Arthritis and Rheumatism</w:t>
      </w:r>
      <w:r w:rsidRPr="00D61F73">
        <w:rPr>
          <w:rFonts w:ascii="Arial" w:hAnsi="Arial" w:cs="Arial"/>
          <w:b/>
          <w:bCs/>
        </w:rPr>
        <w:t>, June 1994;23: Suppl 3:25-33.</w:t>
      </w:r>
    </w:p>
    <w:p w14:paraId="56952A99" w14:textId="77777777" w:rsidR="008D0565" w:rsidRPr="00D61F73" w:rsidRDefault="008D0565" w:rsidP="00D61F73">
      <w:pPr>
        <w:pStyle w:val="NormalWeb"/>
        <w:spacing w:before="0" w:beforeAutospacing="0" w:after="0" w:afterAutospacing="0"/>
        <w:rPr>
          <w:rFonts w:ascii="Arial" w:hAnsi="Arial" w:cs="Arial"/>
        </w:rPr>
      </w:pPr>
    </w:p>
    <w:p w14:paraId="33900D8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Patients (113). These results support the beneficial effects of 0.025% capsaicin cream as a first-line therapy for OA pain.</w:t>
      </w:r>
    </w:p>
    <w:p w14:paraId="38645ECB" w14:textId="77777777" w:rsidR="008D0565" w:rsidRPr="00D61F73" w:rsidRDefault="008D0565" w:rsidP="00D61F73">
      <w:pPr>
        <w:pStyle w:val="NormalWeb"/>
        <w:spacing w:before="0" w:beforeAutospacing="0" w:after="0" w:afterAutospacing="0"/>
        <w:rPr>
          <w:rFonts w:ascii="Arial" w:hAnsi="Arial" w:cs="Arial"/>
        </w:rPr>
      </w:pPr>
    </w:p>
    <w:p w14:paraId="7D956EA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68C305DC" w14:textId="77777777" w:rsidR="008D0565" w:rsidRPr="00D61F73" w:rsidRDefault="008D0565" w:rsidP="00D61F73">
      <w:pPr>
        <w:pStyle w:val="NormalWeb"/>
        <w:spacing w:before="0" w:beforeAutospacing="0" w:after="0" w:afterAutospacing="0"/>
        <w:rPr>
          <w:rFonts w:ascii="Arial" w:hAnsi="Arial" w:cs="Arial"/>
        </w:rPr>
      </w:pPr>
    </w:p>
    <w:p w14:paraId="1CC4B93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53" w:name="Altman2"/>
      <w:bookmarkEnd w:id="453"/>
      <w:r w:rsidRPr="00D61F73">
        <w:rPr>
          <w:rFonts w:ascii="Arial" w:hAnsi="Arial" w:cs="Arial"/>
          <w:b/>
          <w:bCs/>
        </w:rPr>
        <w:t xml:space="preserve">ltman R, Barkin RL. Topical therapy for osteoarthritis: clinical and pharmacologic perspectives. </w:t>
      </w:r>
      <w:r w:rsidRPr="00D61F73">
        <w:rPr>
          <w:rFonts w:ascii="Arial" w:hAnsi="Arial" w:cs="Arial"/>
          <w:b/>
          <w:bCs/>
          <w:i/>
          <w:iCs/>
        </w:rPr>
        <w:t>Postgrad Med</w:t>
      </w:r>
      <w:r w:rsidRPr="00D61F73">
        <w:rPr>
          <w:rFonts w:ascii="Arial" w:hAnsi="Arial" w:cs="Arial"/>
          <w:b/>
          <w:bCs/>
        </w:rPr>
        <w:t>. 2009 Mar;121(2):139-47.</w:t>
      </w:r>
    </w:p>
    <w:p w14:paraId="42033DB7" w14:textId="77777777" w:rsidR="008D0565" w:rsidRPr="00D61F73" w:rsidRDefault="008D0565" w:rsidP="00D61F73">
      <w:pPr>
        <w:rPr>
          <w:rFonts w:ascii="Arial" w:hAnsi="Arial" w:cs="Arial"/>
        </w:rPr>
      </w:pPr>
    </w:p>
    <w:p w14:paraId="1163662E" w14:textId="77777777" w:rsidR="008D0565" w:rsidRPr="00D61F73" w:rsidRDefault="008D0565" w:rsidP="00D61F73">
      <w:pPr>
        <w:rPr>
          <w:rFonts w:ascii="Arial" w:hAnsi="Arial" w:cs="Arial"/>
        </w:rPr>
      </w:pPr>
      <w:r w:rsidRPr="00D61F73">
        <w:rPr>
          <w:rFonts w:ascii="Arial" w:hAnsi="Arial" w:cs="Arial"/>
        </w:rPr>
        <w:t xml:space="preserve">Neither salicylates nor capsaicin have shown significant efficacy in the treatment of OA. Topical diclofenac sodium 1% gel delivers effective diclofenac concentrations in the affected joint with limited systemic exposure. </w:t>
      </w:r>
    </w:p>
    <w:p w14:paraId="2D53BE3D" w14:textId="77777777" w:rsidR="008D0565" w:rsidRPr="00D61F73" w:rsidRDefault="008D0565" w:rsidP="00D61F73">
      <w:pPr>
        <w:rPr>
          <w:rFonts w:ascii="Arial" w:hAnsi="Arial" w:cs="Arial"/>
        </w:rPr>
      </w:pPr>
    </w:p>
    <w:p w14:paraId="00B6079A" w14:textId="77777777" w:rsidR="008D0565" w:rsidRPr="00D61F73" w:rsidRDefault="008D0565" w:rsidP="00D61F73">
      <w:pPr>
        <w:rPr>
          <w:rFonts w:ascii="Arial" w:hAnsi="Arial" w:cs="Arial"/>
        </w:rPr>
      </w:pPr>
      <w:r w:rsidRPr="00D61F73">
        <w:rPr>
          <w:rFonts w:ascii="Arial" w:hAnsi="Arial" w:cs="Arial"/>
        </w:rPr>
        <w:t xml:space="preserve">PMID: </w:t>
      </w:r>
      <w:hyperlink r:id="rId216" w:history="1">
        <w:r w:rsidRPr="00D61F73">
          <w:rPr>
            <w:rStyle w:val="Hyperlink"/>
            <w:rFonts w:ascii="Arial" w:hAnsi="Arial" w:cs="Arial"/>
          </w:rPr>
          <w:t>19332972</w:t>
        </w:r>
      </w:hyperlink>
      <w:r w:rsidRPr="00D61F73">
        <w:rPr>
          <w:rFonts w:ascii="Arial" w:hAnsi="Arial" w:cs="Arial"/>
        </w:rPr>
        <w:t xml:space="preserve"> </w:t>
      </w:r>
    </w:p>
    <w:p w14:paraId="624E3F76" w14:textId="77777777" w:rsidR="008D0565" w:rsidRPr="00D61F73" w:rsidRDefault="008D0565" w:rsidP="00D61F73">
      <w:pPr>
        <w:rPr>
          <w:rFonts w:ascii="Arial" w:hAnsi="Arial" w:cs="Arial"/>
        </w:rPr>
      </w:pPr>
    </w:p>
    <w:p w14:paraId="6EE58BA0" w14:textId="77777777" w:rsidR="008D0565" w:rsidRPr="00D61F73" w:rsidRDefault="008D0565" w:rsidP="00D61F73">
      <w:pPr>
        <w:rPr>
          <w:rFonts w:ascii="Arial" w:hAnsi="Arial" w:cs="Arial"/>
        </w:rPr>
      </w:pPr>
      <w:r w:rsidRPr="00D61F73">
        <w:rPr>
          <w:rFonts w:ascii="Arial" w:hAnsi="Arial" w:cs="Arial"/>
        </w:rPr>
        <w:t>Rating: 5b</w:t>
      </w:r>
    </w:p>
    <w:p w14:paraId="772A64CB"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A</w:t>
      </w:r>
      <w:bookmarkStart w:id="454" w:name="Altman2011"/>
      <w:bookmarkEnd w:id="454"/>
      <w:r w:rsidRPr="00D61F73">
        <w:rPr>
          <w:rFonts w:ascii="Arial" w:hAnsi="Arial" w:cs="Arial"/>
          <w:b/>
        </w:rPr>
        <w:t>ltman RD, Barthel HR. Topical therapies for osteoarthritis</w:t>
      </w:r>
      <w:r w:rsidRPr="00D61F73">
        <w:rPr>
          <w:rFonts w:ascii="Arial" w:hAnsi="Arial" w:cs="Arial"/>
          <w:b/>
          <w:i/>
        </w:rPr>
        <w:t>. Drugs</w:t>
      </w:r>
      <w:r w:rsidRPr="00D61F73">
        <w:rPr>
          <w:rFonts w:ascii="Arial" w:hAnsi="Arial" w:cs="Arial"/>
          <w:b/>
        </w:rPr>
        <w:t>. 2011;71:1259-79.</w:t>
      </w:r>
    </w:p>
    <w:p w14:paraId="3069C0B3" w14:textId="77777777" w:rsidR="008D0565" w:rsidRPr="00D61F73" w:rsidRDefault="008D0565" w:rsidP="00D61F73">
      <w:pPr>
        <w:tabs>
          <w:tab w:val="left" w:pos="7200"/>
        </w:tabs>
        <w:rPr>
          <w:rFonts w:ascii="Arial" w:eastAsia="Calibri" w:hAnsi="Arial" w:cs="Arial"/>
        </w:rPr>
      </w:pPr>
    </w:p>
    <w:p w14:paraId="64125DBB"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The EULAR and NICE guidelines state that topical NSAIDs should be considered before oral therapies. </w:t>
      </w:r>
    </w:p>
    <w:p w14:paraId="2FA2AC72" w14:textId="77777777" w:rsidR="008D0565" w:rsidRPr="00D61F73" w:rsidRDefault="008D0565" w:rsidP="00D61F73">
      <w:pPr>
        <w:tabs>
          <w:tab w:val="left" w:pos="7200"/>
        </w:tabs>
        <w:rPr>
          <w:rFonts w:ascii="Arial" w:eastAsia="Calibri" w:hAnsi="Arial" w:cs="Arial"/>
        </w:rPr>
      </w:pPr>
    </w:p>
    <w:p w14:paraId="0EBE5F45"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217" w:history="1">
        <w:r w:rsidRPr="00D61F73">
          <w:rPr>
            <w:rStyle w:val="Hyperlink"/>
            <w:rFonts w:ascii="Arial" w:hAnsi="Arial" w:cs="Arial"/>
          </w:rPr>
          <w:t>21770475</w:t>
        </w:r>
      </w:hyperlink>
    </w:p>
    <w:p w14:paraId="385982FA" w14:textId="77777777" w:rsidR="008D0565" w:rsidRPr="00D61F73" w:rsidRDefault="008D0565" w:rsidP="00D61F73">
      <w:pPr>
        <w:tabs>
          <w:tab w:val="left" w:pos="7200"/>
        </w:tabs>
        <w:rPr>
          <w:rFonts w:ascii="Arial" w:eastAsia="Calibri" w:hAnsi="Arial" w:cs="Arial"/>
        </w:rPr>
      </w:pPr>
    </w:p>
    <w:p w14:paraId="5D029167" w14:textId="77777777" w:rsidR="0019257B" w:rsidRPr="00D61F73" w:rsidRDefault="008D0565" w:rsidP="00D61F73">
      <w:pPr>
        <w:tabs>
          <w:tab w:val="left" w:pos="7200"/>
        </w:tabs>
        <w:rPr>
          <w:rFonts w:ascii="Arial" w:hAnsi="Arial" w:cs="Arial"/>
        </w:rPr>
      </w:pPr>
      <w:r w:rsidRPr="00D61F73">
        <w:rPr>
          <w:rFonts w:ascii="Arial" w:hAnsi="Arial" w:cs="Arial"/>
        </w:rPr>
        <w:t>Rating: 5c</w:t>
      </w:r>
    </w:p>
    <w:p w14:paraId="4690FB6D" w14:textId="77777777" w:rsidR="0019257B" w:rsidRPr="00D61F73" w:rsidRDefault="0019257B" w:rsidP="00D61F73">
      <w:pPr>
        <w:pStyle w:val="xl23"/>
        <w:spacing w:before="0" w:beforeAutospacing="0" w:after="0" w:afterAutospacing="0"/>
      </w:pPr>
      <w:r w:rsidRPr="00D61F73">
        <w:br w:type="page"/>
      </w:r>
      <w:bookmarkStart w:id="455" w:name="ACMQ"/>
      <w:bookmarkEnd w:id="455"/>
      <w:r w:rsidRPr="00D61F73">
        <w:rPr>
          <w:b/>
        </w:rPr>
        <w:lastRenderedPageBreak/>
        <w:fldChar w:fldCharType="begin"/>
      </w:r>
      <w:r w:rsidRPr="00D61F73">
        <w:rPr>
          <w:b/>
        </w:rPr>
        <w:instrText xml:space="preserve"> HYPERLINK "http://www.acmq.org/policies/policy30.pdf" </w:instrText>
      </w:r>
      <w:r w:rsidRPr="00D61F73">
        <w:rPr>
          <w:b/>
        </w:rPr>
        <w:fldChar w:fldCharType="separate"/>
      </w:r>
      <w:r w:rsidRPr="00D61F73">
        <w:rPr>
          <w:rStyle w:val="Hyperlink"/>
          <w:b/>
        </w:rPr>
        <w:t>American College of Medical Quality</w:t>
      </w:r>
      <w:r w:rsidRPr="00D61F73">
        <w:rPr>
          <w:b/>
        </w:rPr>
        <w:fldChar w:fldCharType="end"/>
      </w:r>
      <w:r w:rsidRPr="00D61F73">
        <w:rPr>
          <w:b/>
        </w:rPr>
        <w:t>, acmq.org , Policy 30: Skilled vs. Custodial Care, 2005.</w:t>
      </w:r>
      <w:r w:rsidRPr="00D61F73">
        <w:t xml:space="preserve"> </w:t>
      </w:r>
    </w:p>
    <w:p w14:paraId="430A6ABA" w14:textId="77777777" w:rsidR="007575DA" w:rsidRPr="00D61F73" w:rsidRDefault="007575DA" w:rsidP="00D61F73">
      <w:pPr>
        <w:pStyle w:val="xl23"/>
        <w:spacing w:before="0" w:beforeAutospacing="0" w:after="0" w:afterAutospacing="0"/>
      </w:pPr>
    </w:p>
    <w:p w14:paraId="01AD2B27" w14:textId="77777777" w:rsidR="007575DA" w:rsidRPr="00D61F73" w:rsidRDefault="007575DA" w:rsidP="00D61F73">
      <w:pPr>
        <w:pStyle w:val="xl23"/>
        <w:spacing w:before="0" w:beforeAutospacing="0" w:after="0" w:afterAutospacing="0"/>
      </w:pPr>
      <w:r w:rsidRPr="00D61F73">
        <w:t>Rating: 8a</w:t>
      </w:r>
    </w:p>
    <w:p w14:paraId="6B5D38E1" w14:textId="77777777" w:rsidR="0019257B" w:rsidRPr="00D61F73" w:rsidRDefault="0019257B" w:rsidP="00D61F73">
      <w:pPr>
        <w:rPr>
          <w:rFonts w:ascii="Arial" w:hAnsi="Arial" w:cs="Arial"/>
        </w:rPr>
      </w:pPr>
    </w:p>
    <w:p w14:paraId="725BF50A" w14:textId="77777777" w:rsidR="00711BF8" w:rsidRPr="00D61F73" w:rsidRDefault="00711BF8" w:rsidP="00D61F73">
      <w:pPr>
        <w:rPr>
          <w:rFonts w:ascii="Arial" w:hAnsi="Arial" w:cs="Arial"/>
        </w:rPr>
      </w:pPr>
    </w:p>
    <w:p w14:paraId="4CD487BA" w14:textId="77777777" w:rsidR="00711BF8" w:rsidRPr="00D61F73" w:rsidRDefault="00711BF8" w:rsidP="00D61F73">
      <w:pPr>
        <w:tabs>
          <w:tab w:val="left" w:pos="7200"/>
        </w:tabs>
        <w:rPr>
          <w:rFonts w:ascii="Arial" w:hAnsi="Arial" w:cs="Arial"/>
        </w:rPr>
      </w:pPr>
    </w:p>
    <w:p w14:paraId="1067D798" w14:textId="77777777" w:rsidR="008D0565" w:rsidRPr="00D61F73" w:rsidRDefault="00711BF8" w:rsidP="00D61F73">
      <w:pPr>
        <w:tabs>
          <w:tab w:val="left" w:pos="7200"/>
        </w:tabs>
        <w:rPr>
          <w:rFonts w:ascii="Arial" w:hAnsi="Arial" w:cs="Arial"/>
          <w:b/>
          <w:bCs/>
        </w:rPr>
      </w:pPr>
      <w:r w:rsidRPr="00D61F73">
        <w:rPr>
          <w:rFonts w:ascii="Arial" w:hAnsi="Arial" w:cs="Arial"/>
        </w:rPr>
        <w:br w:type="page"/>
      </w:r>
      <w:r w:rsidR="008D0565" w:rsidRPr="00D61F73">
        <w:rPr>
          <w:rFonts w:ascii="Arial" w:hAnsi="Arial" w:cs="Arial"/>
          <w:b/>
          <w:bCs/>
        </w:rPr>
        <w:lastRenderedPageBreak/>
        <w:t>A</w:t>
      </w:r>
      <w:bookmarkStart w:id="456" w:name="ADA"/>
      <w:bookmarkEnd w:id="456"/>
      <w:r w:rsidR="008D0565" w:rsidRPr="00D61F73">
        <w:rPr>
          <w:rFonts w:ascii="Arial" w:hAnsi="Arial" w:cs="Arial"/>
          <w:b/>
          <w:bCs/>
        </w:rPr>
        <w:t xml:space="preserve">merican Diabetes Association American Academy of Neurology. Consensus statement: Report and recommendations of the San Antonio conference on diabetic neuropathy. </w:t>
      </w:r>
      <w:r w:rsidR="008D0565" w:rsidRPr="00D61F73">
        <w:rPr>
          <w:rFonts w:ascii="Arial" w:hAnsi="Arial" w:cs="Arial"/>
          <w:b/>
          <w:bCs/>
          <w:i/>
          <w:iCs/>
        </w:rPr>
        <w:t>Diabetes Care.</w:t>
      </w:r>
      <w:r w:rsidR="008D0565" w:rsidRPr="00D61F73">
        <w:rPr>
          <w:rFonts w:ascii="Arial" w:hAnsi="Arial" w:cs="Arial"/>
          <w:b/>
          <w:bCs/>
        </w:rPr>
        <w:t xml:space="preserve"> 1988 Jul-Aug;11(7):592-7.</w:t>
      </w:r>
    </w:p>
    <w:p w14:paraId="7AC6A0B5" w14:textId="77777777" w:rsidR="008D0565" w:rsidRPr="00D61F73" w:rsidRDefault="008D0565" w:rsidP="00D61F73">
      <w:pPr>
        <w:pStyle w:val="NormalWeb"/>
        <w:spacing w:before="0" w:beforeAutospacing="0" w:after="0" w:afterAutospacing="0"/>
        <w:rPr>
          <w:rFonts w:ascii="Arial" w:hAnsi="Arial" w:cs="Arial"/>
        </w:rPr>
      </w:pPr>
    </w:p>
    <w:p w14:paraId="31102C5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What Is Diabetic Neuropathy? Diabetic neuropathy is a nerve disorder caused by diabetes. Symptoms of neuropathy include numbness and sometimes pain in the hands, feet, or legs. </w:t>
      </w:r>
    </w:p>
    <w:p w14:paraId="54814DA2" w14:textId="77777777" w:rsidR="008D0565" w:rsidRPr="00D61F73" w:rsidRDefault="008D0565" w:rsidP="00D61F73">
      <w:pPr>
        <w:pStyle w:val="NormalWeb"/>
        <w:spacing w:before="0" w:beforeAutospacing="0" w:after="0" w:afterAutospacing="0"/>
        <w:rPr>
          <w:rFonts w:ascii="Arial" w:hAnsi="Arial" w:cs="Arial"/>
        </w:rPr>
      </w:pPr>
    </w:p>
    <w:p w14:paraId="7F8C25C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18" w:history="1">
        <w:r w:rsidRPr="00D61F73">
          <w:rPr>
            <w:rStyle w:val="Hyperlink"/>
            <w:rFonts w:ascii="Arial" w:hAnsi="Arial" w:cs="Arial"/>
          </w:rPr>
          <w:t>3060328</w:t>
        </w:r>
      </w:hyperlink>
    </w:p>
    <w:p w14:paraId="3E913827" w14:textId="77777777" w:rsidR="008D0565" w:rsidRPr="00D61F73" w:rsidRDefault="008D0565" w:rsidP="00D61F73">
      <w:pPr>
        <w:pStyle w:val="NormalWeb"/>
        <w:spacing w:before="0" w:beforeAutospacing="0" w:after="0" w:afterAutospacing="0"/>
        <w:rPr>
          <w:rFonts w:ascii="Arial" w:hAnsi="Arial" w:cs="Arial"/>
        </w:rPr>
      </w:pPr>
    </w:p>
    <w:p w14:paraId="6423FE5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53E05493" w14:textId="77777777" w:rsidR="00711BF8" w:rsidRPr="00D61F73" w:rsidRDefault="00711BF8" w:rsidP="00D61F73">
      <w:pPr>
        <w:pStyle w:val="NormalWeb"/>
        <w:spacing w:before="0" w:beforeAutospacing="0" w:after="0" w:afterAutospacing="0"/>
        <w:rPr>
          <w:rFonts w:ascii="Arial" w:hAnsi="Arial" w:cs="Arial"/>
        </w:rPr>
      </w:pPr>
    </w:p>
    <w:p w14:paraId="60195B80" w14:textId="77777777" w:rsidR="008D0565" w:rsidRPr="00D61F73" w:rsidRDefault="00711BF8" w:rsidP="00D61F73">
      <w:pPr>
        <w:rPr>
          <w:rFonts w:ascii="Arial" w:hAnsi="Arial" w:cs="Arial"/>
          <w:b/>
          <w:bCs/>
          <w:iCs/>
          <w:color w:val="auto"/>
        </w:rPr>
      </w:pPr>
      <w:r w:rsidRPr="00D61F73">
        <w:rPr>
          <w:rFonts w:ascii="Arial" w:hAnsi="Arial" w:cs="Arial"/>
        </w:rPr>
        <w:br w:type="page"/>
      </w:r>
      <w:r w:rsidR="008D0565" w:rsidRPr="00D61F73">
        <w:rPr>
          <w:rFonts w:ascii="Arial" w:hAnsi="Arial" w:cs="Arial"/>
          <w:b/>
          <w:bCs/>
          <w:iCs/>
        </w:rPr>
        <w:lastRenderedPageBreak/>
        <w:t>A</w:t>
      </w:r>
      <w:bookmarkStart w:id="457" w:name="AGS"/>
      <w:bookmarkEnd w:id="457"/>
      <w:r w:rsidR="008D0565" w:rsidRPr="00D61F73">
        <w:rPr>
          <w:rFonts w:ascii="Arial" w:hAnsi="Arial" w:cs="Arial"/>
          <w:b/>
          <w:bCs/>
          <w:iCs/>
        </w:rPr>
        <w:t>merican Geriatrics Society (AGS). 2009 Annual Scientific Meeting. April 29 - May 03, 2009; Chicago, Illinois. AGS Panel on Pharmacological Management of Persistent Pain in Older Persons.</w:t>
      </w:r>
    </w:p>
    <w:p w14:paraId="47D81E02" w14:textId="77777777" w:rsidR="008D0565" w:rsidRPr="00D61F73" w:rsidRDefault="008D0565" w:rsidP="00D61F73">
      <w:pPr>
        <w:rPr>
          <w:rFonts w:ascii="Arial" w:hAnsi="Arial" w:cs="Arial"/>
          <w:iCs/>
        </w:rPr>
      </w:pPr>
    </w:p>
    <w:p w14:paraId="49040AC4" w14:textId="77777777" w:rsidR="008D0565" w:rsidRPr="00D61F73" w:rsidRDefault="008D0565" w:rsidP="00D61F73">
      <w:pPr>
        <w:rPr>
          <w:rFonts w:ascii="Arial" w:hAnsi="Arial" w:cs="Arial"/>
          <w:iCs/>
        </w:rPr>
      </w:pPr>
      <w:r w:rsidRPr="00D61F73">
        <w:rPr>
          <w:rFonts w:ascii="Arial" w:hAnsi="Arial" w:cs="Arial"/>
          <w:iCs/>
        </w:rPr>
        <w:t>Revised practice guidelines on the management of persistent pain in the elderly issued by the American Geriatrics Society (AGS) advise physicians to have their patients avoid non-steroidal anti-inflammatory drugs (NSAIDs) and COX-2 inhibitors and consider the use of low-dose opioid therapy instead. The panel concluded that the risks of NSAIDs in older patients, which include increased cardiovascular risk and gastrointestinal toxicity, usually outweigh the benefits and the revised guidelines reflect this. The author pointed out that "a lot of physicians are frightened sometimes to start down that road of giving opioids for chronic pain, especially noncancer-related pain, so in some circles it is controversial."</w:t>
      </w:r>
    </w:p>
    <w:p w14:paraId="3B1DEB74" w14:textId="77777777" w:rsidR="008D0565" w:rsidRPr="00D61F73" w:rsidRDefault="008D0565" w:rsidP="00D61F73">
      <w:pPr>
        <w:rPr>
          <w:rFonts w:ascii="Arial" w:hAnsi="Arial" w:cs="Arial"/>
          <w:iCs/>
        </w:rPr>
      </w:pPr>
    </w:p>
    <w:p w14:paraId="05DE8A59" w14:textId="77777777" w:rsidR="00711BF8" w:rsidRPr="00D61F73" w:rsidRDefault="008D0565" w:rsidP="00D61F73">
      <w:pPr>
        <w:rPr>
          <w:rFonts w:ascii="Arial" w:hAnsi="Arial" w:cs="Arial"/>
          <w:iCs/>
          <w:lang w:val="es-MX"/>
        </w:rPr>
      </w:pPr>
      <w:r w:rsidRPr="00D61F73">
        <w:rPr>
          <w:rFonts w:ascii="Arial" w:hAnsi="Arial" w:cs="Arial"/>
          <w:iCs/>
          <w:lang w:val="es-MX"/>
        </w:rPr>
        <w:t>Rating: 10a</w:t>
      </w:r>
    </w:p>
    <w:p w14:paraId="456E3D91" w14:textId="77777777" w:rsidR="00711BF8" w:rsidRPr="00D61F73" w:rsidRDefault="00711BF8" w:rsidP="00D61F73">
      <w:pPr>
        <w:rPr>
          <w:rFonts w:ascii="Arial" w:hAnsi="Arial" w:cs="Arial"/>
          <w:iCs/>
          <w:lang w:val="es-MX"/>
        </w:rPr>
      </w:pPr>
    </w:p>
    <w:p w14:paraId="313CB739" w14:textId="77777777" w:rsidR="008D0565" w:rsidRPr="00D61F73" w:rsidRDefault="00711BF8" w:rsidP="00D61F73">
      <w:pPr>
        <w:rPr>
          <w:rFonts w:ascii="Arial" w:hAnsi="Arial" w:cs="Arial"/>
          <w:b/>
          <w:bCs/>
        </w:rPr>
      </w:pPr>
      <w:r w:rsidRPr="00D61F73">
        <w:rPr>
          <w:rFonts w:ascii="Arial" w:hAnsi="Arial" w:cs="Arial"/>
          <w:b/>
          <w:bCs/>
          <w:lang w:val="es-MX"/>
        </w:rPr>
        <w:br w:type="page"/>
      </w:r>
      <w:r w:rsidR="008D0565" w:rsidRPr="00D61F73">
        <w:rPr>
          <w:rFonts w:ascii="Arial" w:hAnsi="Arial" w:cs="Arial"/>
          <w:b/>
          <w:bCs/>
          <w:lang w:val="es-MX"/>
        </w:rPr>
        <w:lastRenderedPageBreak/>
        <w:t>A</w:t>
      </w:r>
      <w:bookmarkStart w:id="458" w:name="Ang"/>
      <w:bookmarkEnd w:id="458"/>
      <w:r w:rsidR="008D0565" w:rsidRPr="00D61F73">
        <w:rPr>
          <w:rFonts w:ascii="Arial" w:hAnsi="Arial" w:cs="Arial"/>
          <w:b/>
          <w:bCs/>
          <w:lang w:val="es-MX"/>
        </w:rPr>
        <w:t xml:space="preserve">ng CD, Alviar MJ, Dans AL, Bautista-Velez GG, Villaruz-Sulit MV, Tan JJ, Co HU, Bautista MR, Roxas AA. </w:t>
      </w:r>
      <w:r w:rsidR="008D0565" w:rsidRPr="00D61F73">
        <w:rPr>
          <w:rFonts w:ascii="Arial" w:hAnsi="Arial" w:cs="Arial"/>
          <w:b/>
          <w:bCs/>
        </w:rPr>
        <w:t xml:space="preserve">Vitamin B for treating peripheral neuropathy. </w:t>
      </w:r>
      <w:r w:rsidR="008D0565" w:rsidRPr="00D61F73">
        <w:rPr>
          <w:rFonts w:ascii="Arial" w:hAnsi="Arial" w:cs="Arial"/>
          <w:b/>
          <w:bCs/>
          <w:i/>
          <w:iCs/>
        </w:rPr>
        <w:t>Cochrane Database Syst Rev</w:t>
      </w:r>
      <w:r w:rsidR="008D0565" w:rsidRPr="00D61F73">
        <w:rPr>
          <w:rFonts w:ascii="Arial" w:hAnsi="Arial" w:cs="Arial"/>
          <w:b/>
          <w:bCs/>
        </w:rPr>
        <w:t>. 2008 Jul 16;(3):CD004573.</w:t>
      </w:r>
    </w:p>
    <w:p w14:paraId="014DCD7E" w14:textId="77777777" w:rsidR="008D0565" w:rsidRPr="00D61F73" w:rsidRDefault="008D0565" w:rsidP="00D61F73">
      <w:pPr>
        <w:rPr>
          <w:rFonts w:ascii="Arial" w:hAnsi="Arial" w:cs="Arial"/>
        </w:rPr>
      </w:pPr>
    </w:p>
    <w:p w14:paraId="20D10EB3" w14:textId="77777777" w:rsidR="008D0565" w:rsidRPr="00D61F73" w:rsidRDefault="008D0565" w:rsidP="00D61F73">
      <w:pPr>
        <w:rPr>
          <w:rFonts w:ascii="Arial" w:hAnsi="Arial" w:cs="Arial"/>
        </w:rPr>
      </w:pPr>
      <w:r w:rsidRPr="00D61F73">
        <w:rPr>
          <w:rFonts w:ascii="Arial" w:hAnsi="Arial" w:cs="Arial"/>
        </w:rPr>
        <w:t>BACKGROUND: Vitamin B is frequently used for treating peripheral neuropathy but its efficacy is not clear. RESULTS: Thirteen studies involving 741 participants with alcoholic or diabetic neuropathy were included. CONCLUSIONS: There are only limited data in randomised trials testing the efficacy of vitamin B for treating peripheral neuropathy and the evidence is insufficient to determine whether vitamin B is beneficial or harmful.</w:t>
      </w:r>
    </w:p>
    <w:p w14:paraId="0F2DBE26" w14:textId="77777777" w:rsidR="008D0565" w:rsidRPr="00D61F73" w:rsidRDefault="008D0565" w:rsidP="00D61F73">
      <w:pPr>
        <w:rPr>
          <w:rFonts w:ascii="Arial" w:hAnsi="Arial" w:cs="Arial"/>
        </w:rPr>
      </w:pPr>
    </w:p>
    <w:p w14:paraId="68E483F8" w14:textId="77777777" w:rsidR="008D0565" w:rsidRPr="00D61F73" w:rsidRDefault="008D0565" w:rsidP="00D61F73">
      <w:pPr>
        <w:rPr>
          <w:rFonts w:ascii="Arial" w:hAnsi="Arial" w:cs="Arial"/>
        </w:rPr>
      </w:pPr>
      <w:r w:rsidRPr="00D61F73">
        <w:rPr>
          <w:rFonts w:ascii="Arial" w:hAnsi="Arial" w:cs="Arial"/>
        </w:rPr>
        <w:t xml:space="preserve">PMID: </w:t>
      </w:r>
      <w:hyperlink r:id="rId219" w:history="1">
        <w:r w:rsidRPr="00D61F73">
          <w:rPr>
            <w:rStyle w:val="Hyperlink"/>
            <w:rFonts w:ascii="Arial" w:hAnsi="Arial" w:cs="Arial"/>
          </w:rPr>
          <w:t>18646107</w:t>
        </w:r>
      </w:hyperlink>
      <w:r w:rsidRPr="00D61F73">
        <w:rPr>
          <w:rFonts w:ascii="Arial" w:hAnsi="Arial" w:cs="Arial"/>
        </w:rPr>
        <w:t xml:space="preserve"> </w:t>
      </w:r>
    </w:p>
    <w:p w14:paraId="21A7A038" w14:textId="77777777" w:rsidR="008D0565" w:rsidRPr="00D61F73" w:rsidRDefault="008D0565" w:rsidP="00D61F73">
      <w:pPr>
        <w:rPr>
          <w:rFonts w:ascii="Arial" w:hAnsi="Arial" w:cs="Arial"/>
        </w:rPr>
      </w:pPr>
    </w:p>
    <w:p w14:paraId="36BA3B58" w14:textId="77777777" w:rsidR="008D0565" w:rsidRPr="00D61F73" w:rsidRDefault="008D0565" w:rsidP="00D61F73">
      <w:pPr>
        <w:rPr>
          <w:rFonts w:ascii="Arial" w:hAnsi="Arial" w:cs="Arial"/>
        </w:rPr>
      </w:pPr>
      <w:r w:rsidRPr="00D61F73">
        <w:rPr>
          <w:rFonts w:ascii="Arial" w:hAnsi="Arial" w:cs="Arial"/>
        </w:rPr>
        <w:t>Rating: 1b</w:t>
      </w:r>
    </w:p>
    <w:p w14:paraId="21835EE3"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A</w:t>
      </w:r>
      <w:bookmarkStart w:id="459" w:name="Angel"/>
      <w:bookmarkEnd w:id="459"/>
      <w:r w:rsidRPr="00D61F73">
        <w:rPr>
          <w:rFonts w:ascii="Arial" w:hAnsi="Arial" w:cs="Arial"/>
          <w:b/>
          <w:bCs/>
        </w:rPr>
        <w:t xml:space="preserve">ngel IF, Gould HJ Jr, Carey ME. Intrathecal morphine pump as a treatment option in chronic pain of nonmalignant origin. </w:t>
      </w:r>
      <w:r w:rsidRPr="00D61F73">
        <w:rPr>
          <w:rFonts w:ascii="Arial" w:hAnsi="Arial" w:cs="Arial"/>
          <w:b/>
          <w:bCs/>
          <w:i/>
          <w:iCs/>
        </w:rPr>
        <w:t>Surg Neurol</w:t>
      </w:r>
      <w:r w:rsidRPr="00D61F73">
        <w:rPr>
          <w:rFonts w:ascii="Arial" w:hAnsi="Arial" w:cs="Arial"/>
          <w:b/>
          <w:bCs/>
        </w:rPr>
        <w:t>. 1998 Jan;49(1):92-8; discussion 98-9.</w:t>
      </w:r>
    </w:p>
    <w:p w14:paraId="47DBDB9E" w14:textId="77777777" w:rsidR="008D0565" w:rsidRPr="00D61F73" w:rsidRDefault="008D0565" w:rsidP="00D61F73">
      <w:pPr>
        <w:rPr>
          <w:rFonts w:ascii="Arial" w:hAnsi="Arial" w:cs="Arial"/>
        </w:rPr>
      </w:pPr>
    </w:p>
    <w:p w14:paraId="58851C3B" w14:textId="77777777" w:rsidR="008D0565" w:rsidRPr="00D61F73" w:rsidRDefault="008D0565" w:rsidP="00D61F73">
      <w:pPr>
        <w:rPr>
          <w:rFonts w:ascii="Arial" w:hAnsi="Arial" w:cs="Arial"/>
        </w:rPr>
      </w:pPr>
      <w:r w:rsidRPr="00D61F73">
        <w:rPr>
          <w:rFonts w:ascii="Arial" w:hAnsi="Arial" w:cs="Arial"/>
        </w:rPr>
        <w:t>BACKGROUND: Implantable pumps for the delivery of intrathecal morphine have become a common option for administering opiate medication for the management of pain in patients with terminal cancer. Options for treating chronic pain of non-malignant origin are more controversial. METHODS: Eleven patients. CONCLUSIONS: The morphine pump was found to be a viable alternative in the management of failed back syndrome. Its use in long-term therapy, however, is not without limitations and should be a last choice option.</w:t>
      </w:r>
    </w:p>
    <w:p w14:paraId="0598E97D" w14:textId="77777777" w:rsidR="008D0565" w:rsidRPr="00D61F73" w:rsidRDefault="008D0565" w:rsidP="00D61F73">
      <w:pPr>
        <w:rPr>
          <w:rFonts w:ascii="Arial" w:hAnsi="Arial" w:cs="Arial"/>
        </w:rPr>
      </w:pPr>
    </w:p>
    <w:p w14:paraId="56422305" w14:textId="77777777" w:rsidR="008D0565" w:rsidRPr="00D61F73" w:rsidRDefault="008D0565" w:rsidP="00D61F73">
      <w:pPr>
        <w:rPr>
          <w:rFonts w:ascii="Arial" w:hAnsi="Arial" w:cs="Arial"/>
        </w:rPr>
      </w:pPr>
      <w:r w:rsidRPr="00D61F73">
        <w:rPr>
          <w:rFonts w:ascii="Arial" w:hAnsi="Arial" w:cs="Arial"/>
        </w:rPr>
        <w:t xml:space="preserve">PMID: </w:t>
      </w:r>
      <w:hyperlink r:id="rId220" w:history="1">
        <w:r w:rsidRPr="00D61F73">
          <w:rPr>
            <w:rStyle w:val="Hyperlink"/>
            <w:rFonts w:ascii="Arial" w:hAnsi="Arial" w:cs="Arial"/>
          </w:rPr>
          <w:t>9428901</w:t>
        </w:r>
      </w:hyperlink>
      <w:r w:rsidRPr="00D61F73">
        <w:rPr>
          <w:rFonts w:ascii="Arial" w:hAnsi="Arial" w:cs="Arial"/>
        </w:rPr>
        <w:t xml:space="preserve"> </w:t>
      </w:r>
    </w:p>
    <w:p w14:paraId="42466303" w14:textId="77777777" w:rsidR="008D0565" w:rsidRPr="00D61F73" w:rsidRDefault="008D0565" w:rsidP="00D61F73">
      <w:pPr>
        <w:rPr>
          <w:rFonts w:ascii="Arial" w:hAnsi="Arial" w:cs="Arial"/>
        </w:rPr>
      </w:pPr>
    </w:p>
    <w:p w14:paraId="21514F05" w14:textId="77777777" w:rsidR="008D0565" w:rsidRPr="00D61F73" w:rsidRDefault="008D0565" w:rsidP="00D61F73">
      <w:pPr>
        <w:rPr>
          <w:rFonts w:ascii="Arial" w:hAnsi="Arial" w:cs="Arial"/>
        </w:rPr>
      </w:pPr>
      <w:r w:rsidRPr="00D61F73">
        <w:rPr>
          <w:rFonts w:ascii="Arial" w:hAnsi="Arial" w:cs="Arial"/>
        </w:rPr>
        <w:t>Rating: 4c</w:t>
      </w:r>
    </w:p>
    <w:p w14:paraId="47513FFE" w14:textId="77777777" w:rsidR="008D0565" w:rsidRPr="00D61F73" w:rsidRDefault="008D0565" w:rsidP="00D61F73">
      <w:pPr>
        <w:rPr>
          <w:rFonts w:ascii="Arial" w:hAnsi="Arial" w:cs="Arial"/>
          <w:b/>
        </w:rPr>
      </w:pPr>
      <w:r w:rsidRPr="00D61F73">
        <w:rPr>
          <w:rFonts w:ascii="Arial" w:hAnsi="Arial" w:cs="Arial"/>
        </w:rPr>
        <w:br w:type="page"/>
      </w:r>
      <w:bookmarkStart w:id="460" w:name="ANS"/>
      <w:bookmarkEnd w:id="460"/>
      <w:r w:rsidRPr="00D61F73">
        <w:rPr>
          <w:rFonts w:ascii="Arial" w:hAnsi="Arial" w:cs="Arial"/>
          <w:b/>
        </w:rPr>
        <w:lastRenderedPageBreak/>
        <w:t>A</w:t>
      </w:r>
      <w:bookmarkStart w:id="461" w:name="Antman"/>
      <w:bookmarkEnd w:id="461"/>
      <w:r w:rsidRPr="00D61F73">
        <w:rPr>
          <w:rFonts w:ascii="Arial" w:hAnsi="Arial" w:cs="Arial"/>
          <w:b/>
        </w:rPr>
        <w:t xml:space="preserve">ntman EM, Bennett JS, Daugherty A, Furberg C, Roberts H, Taubert KA. Use of Nonsteroidal Antiinflammatory Drugs. An Update for Clinicians. A Scientific Statement From the American Heart Association. </w:t>
      </w:r>
      <w:r w:rsidRPr="00D61F73">
        <w:rPr>
          <w:rFonts w:ascii="Arial" w:hAnsi="Arial" w:cs="Arial"/>
          <w:b/>
          <w:i/>
        </w:rPr>
        <w:t>Circulation</w:t>
      </w:r>
      <w:r w:rsidRPr="00D61F73">
        <w:rPr>
          <w:rFonts w:ascii="Arial" w:hAnsi="Arial" w:cs="Arial"/>
          <w:b/>
        </w:rPr>
        <w:t xml:space="preserve">. 2007 Feb 26. </w:t>
      </w:r>
    </w:p>
    <w:p w14:paraId="1310D090" w14:textId="77777777" w:rsidR="008D0565" w:rsidRPr="00D61F73" w:rsidRDefault="008D0565" w:rsidP="00D61F73">
      <w:pPr>
        <w:rPr>
          <w:rFonts w:ascii="Arial" w:hAnsi="Arial" w:cs="Arial"/>
        </w:rPr>
      </w:pPr>
    </w:p>
    <w:p w14:paraId="071DDD43"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t xml:space="preserve">PMID: </w:t>
      </w:r>
      <w:hyperlink r:id="rId221" w:history="1">
        <w:r w:rsidRPr="00D61F73">
          <w:rPr>
            <w:rStyle w:val="Hyperlink"/>
            <w:rFonts w:ascii="Arial" w:hAnsi="Arial" w:cs="Arial"/>
          </w:rPr>
          <w:t>17325246</w:t>
        </w:r>
      </w:hyperlink>
      <w:r w:rsidRPr="00D61F73">
        <w:rPr>
          <w:rFonts w:ascii="Arial" w:hAnsi="Arial" w:cs="Arial"/>
          <w:b/>
        </w:rPr>
        <w:t xml:space="preserve"> </w:t>
      </w:r>
    </w:p>
    <w:p w14:paraId="1FBE089E" w14:textId="77777777" w:rsidR="008D0565" w:rsidRPr="00D61F73" w:rsidRDefault="008D0565" w:rsidP="00D61F73">
      <w:pPr>
        <w:pStyle w:val="NormalWeb"/>
        <w:spacing w:before="0" w:beforeAutospacing="0" w:after="0" w:afterAutospacing="0"/>
        <w:rPr>
          <w:rFonts w:ascii="Arial" w:hAnsi="Arial" w:cs="Arial"/>
          <w:b/>
        </w:rPr>
      </w:pPr>
    </w:p>
    <w:p w14:paraId="585D4E7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bCs/>
        </w:rPr>
        <w:t xml:space="preserve">Rating: </w:t>
      </w:r>
      <w:r w:rsidRPr="00D61F73">
        <w:rPr>
          <w:rFonts w:ascii="Arial" w:hAnsi="Arial" w:cs="Arial"/>
        </w:rPr>
        <w:t>6a</w:t>
      </w:r>
    </w:p>
    <w:p w14:paraId="0E99215A" w14:textId="77777777" w:rsidR="008D0565" w:rsidRPr="00D61F73" w:rsidRDefault="008D0565" w:rsidP="00D61F73">
      <w:pPr>
        <w:pStyle w:val="NormalWeb"/>
        <w:spacing w:before="0" w:beforeAutospacing="0" w:after="0" w:afterAutospacing="0"/>
        <w:rPr>
          <w:rFonts w:ascii="Arial" w:hAnsi="Arial" w:cs="Arial"/>
        </w:rPr>
      </w:pPr>
    </w:p>
    <w:p w14:paraId="23A12A8D"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b/>
          <w:bCs/>
        </w:rPr>
        <w:t>From Medscape:</w:t>
      </w:r>
    </w:p>
    <w:p w14:paraId="78EA272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AHA recommends acetaminophen and aspirin as the best initial choices for analgesia of musculoskeletal pain. NSAIDs should be used at the smallest dose for the shortest course possible, and COX-2 inhibitors should be avoided if there is an alternative analgesic available. </w:t>
      </w:r>
    </w:p>
    <w:p w14:paraId="49EE063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starting with nonpharmacologic treatments, such as physical therapy and exercise, weight loss to reduce stress on joints, and heat or cold therapy. If this does not provide enough pain relief, acetaminophen, aspirin, and even short-term use of narcotic analgesics are recommended as first-line drugs. Then, </w:t>
      </w:r>
    </w:p>
    <w:p w14:paraId="4B728683" w14:textId="77777777" w:rsidR="008D0565" w:rsidRPr="00D61F73" w:rsidRDefault="008D0565" w:rsidP="00D61F73">
      <w:pPr>
        <w:pStyle w:val="NormalWeb"/>
        <w:spacing w:before="0" w:beforeAutospacing="0" w:after="0" w:afterAutospacing="0"/>
        <w:rPr>
          <w:rFonts w:ascii="Arial" w:hAnsi="Arial" w:cs="Arial"/>
          <w:u w:val="single"/>
        </w:rPr>
      </w:pPr>
      <w:r w:rsidRPr="00D61F73">
        <w:rPr>
          <w:rFonts w:ascii="Arial" w:hAnsi="Arial" w:cs="Arial"/>
          <w:u w:val="single"/>
        </w:rPr>
        <w:t>Some Question Narcotics as First-Line Treatment</w:t>
      </w:r>
    </w:p>
    <w:p w14:paraId="039F3173"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u w:val="single"/>
        </w:rPr>
        <w:t>While all appear to support the recommendation that COX-2 inhibitors should be last on the list, some experts have questioned the advice to give a narcotic before a non-COX-2 selective NSAID, particularly naproxen.</w:t>
      </w:r>
      <w:r w:rsidRPr="00D61F73">
        <w:rPr>
          <w:rFonts w:ascii="Arial" w:hAnsi="Arial" w:cs="Arial"/>
        </w:rPr>
        <w:t xml:space="preserve"> </w:t>
      </w:r>
      <w:r w:rsidRPr="00D61F73">
        <w:rPr>
          <w:rFonts w:ascii="Arial" w:hAnsi="Arial" w:cs="Arial"/>
        </w:rPr>
        <w:br w:type="page"/>
      </w:r>
      <w:r w:rsidRPr="00D61F73">
        <w:rPr>
          <w:rFonts w:ascii="Arial" w:hAnsi="Arial" w:cs="Arial"/>
          <w:b/>
          <w:bCs/>
        </w:rPr>
        <w:lastRenderedPageBreak/>
        <w:t>A</w:t>
      </w:r>
      <w:bookmarkStart w:id="462" w:name="Appelboom"/>
      <w:bookmarkEnd w:id="462"/>
      <w:r w:rsidRPr="00D61F73">
        <w:rPr>
          <w:rFonts w:ascii="Arial" w:hAnsi="Arial" w:cs="Arial"/>
          <w:b/>
          <w:bCs/>
        </w:rPr>
        <w:t xml:space="preserve">ppelboom T. Calcitonin in reflex sympathetic dystrophy syndrome and other painful conditions. </w:t>
      </w:r>
      <w:r w:rsidRPr="00D61F73">
        <w:rPr>
          <w:rFonts w:ascii="Arial" w:hAnsi="Arial" w:cs="Arial"/>
          <w:b/>
          <w:bCs/>
          <w:i/>
          <w:iCs/>
        </w:rPr>
        <w:t>Bone</w:t>
      </w:r>
      <w:r w:rsidRPr="00D61F73">
        <w:rPr>
          <w:rFonts w:ascii="Arial" w:hAnsi="Arial" w:cs="Arial"/>
          <w:b/>
          <w:bCs/>
        </w:rPr>
        <w:t>. 2002 May;30(5 Suppl):84S-86S.</w:t>
      </w:r>
    </w:p>
    <w:p w14:paraId="0D38C4CC" w14:textId="77777777" w:rsidR="008D0565" w:rsidRPr="00D61F73" w:rsidRDefault="008D0565" w:rsidP="00D61F73">
      <w:pPr>
        <w:pStyle w:val="NormalWeb"/>
        <w:spacing w:before="0" w:beforeAutospacing="0" w:after="0" w:afterAutospacing="0"/>
        <w:rPr>
          <w:rFonts w:ascii="Arial" w:hAnsi="Arial" w:cs="Arial"/>
        </w:rPr>
      </w:pPr>
    </w:p>
    <w:p w14:paraId="55E28C8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Division of Rheumatology and Physical Medicine, Erasmus University Hospital, University of Brussels, Brussels, Belgium. tappelbo@ulb.ac.be</w:t>
      </w:r>
    </w:p>
    <w:p w14:paraId="6F368071" w14:textId="77777777" w:rsidR="008D0565" w:rsidRPr="00D61F73" w:rsidRDefault="008D0565" w:rsidP="00D61F73">
      <w:pPr>
        <w:pStyle w:val="NormalWeb"/>
        <w:spacing w:before="0" w:beforeAutospacing="0" w:after="0" w:afterAutospacing="0"/>
        <w:rPr>
          <w:rFonts w:ascii="Arial" w:hAnsi="Arial" w:cs="Arial"/>
        </w:rPr>
      </w:pPr>
    </w:p>
    <w:p w14:paraId="18EA67F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Salmon calcitonin (especially intranasal) provides an interesting analgesic effect in a series of painful conditions including reflex sympathetic dystrophy syndrome.</w:t>
      </w:r>
    </w:p>
    <w:p w14:paraId="73A40EFA" w14:textId="77777777" w:rsidR="008D0565" w:rsidRPr="00D61F73" w:rsidRDefault="008D0565" w:rsidP="00D61F73">
      <w:pPr>
        <w:pStyle w:val="NormalWeb"/>
        <w:spacing w:before="0" w:beforeAutospacing="0" w:after="0" w:afterAutospacing="0"/>
        <w:rPr>
          <w:rFonts w:ascii="Arial" w:hAnsi="Arial" w:cs="Arial"/>
        </w:rPr>
      </w:pPr>
    </w:p>
    <w:p w14:paraId="77DF844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22" w:history="1">
        <w:r w:rsidRPr="00D61F73">
          <w:rPr>
            <w:rStyle w:val="Hyperlink"/>
            <w:rFonts w:ascii="Arial" w:hAnsi="Arial" w:cs="Arial"/>
          </w:rPr>
          <w:t>12008165</w:t>
        </w:r>
      </w:hyperlink>
    </w:p>
    <w:p w14:paraId="54E1A022" w14:textId="77777777" w:rsidR="008D0565" w:rsidRPr="00D61F73" w:rsidRDefault="008D0565" w:rsidP="00D61F73">
      <w:pPr>
        <w:pStyle w:val="NormalWeb"/>
        <w:spacing w:before="0" w:beforeAutospacing="0" w:after="0" w:afterAutospacing="0"/>
        <w:rPr>
          <w:rFonts w:ascii="Arial" w:hAnsi="Arial" w:cs="Arial"/>
        </w:rPr>
      </w:pPr>
    </w:p>
    <w:p w14:paraId="6EC90F3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3258B8A6" w14:textId="77777777" w:rsidR="004A5097" w:rsidRPr="00D61F73" w:rsidRDefault="004A5097" w:rsidP="00D61F73">
      <w:pPr>
        <w:pStyle w:val="NormalWeb"/>
        <w:spacing w:before="0" w:beforeAutospacing="0" w:after="0" w:afterAutospacing="0"/>
        <w:rPr>
          <w:rFonts w:ascii="Arial" w:hAnsi="Arial" w:cs="Arial"/>
        </w:rPr>
      </w:pPr>
    </w:p>
    <w:p w14:paraId="10B076DF" w14:textId="77777777" w:rsidR="004A5097" w:rsidRPr="00D61F73" w:rsidRDefault="004A5097" w:rsidP="00D61F73">
      <w:pPr>
        <w:autoSpaceDE w:val="0"/>
        <w:autoSpaceDN w:val="0"/>
        <w:adjustRightInd w:val="0"/>
        <w:rPr>
          <w:rFonts w:ascii="Arial" w:hAnsi="Arial" w:cs="Arial"/>
        </w:rPr>
      </w:pPr>
      <w:r w:rsidRPr="00D61F73">
        <w:rPr>
          <w:rFonts w:ascii="Arial" w:hAnsi="Arial" w:cs="Arial"/>
        </w:rPr>
        <w:br w:type="page"/>
      </w:r>
      <w:bookmarkStart w:id="463" w:name="APTA"/>
      <w:bookmarkEnd w:id="463"/>
      <w:r w:rsidRPr="00D61F73">
        <w:rPr>
          <w:rFonts w:ascii="Arial" w:hAnsi="Arial" w:cs="Arial"/>
        </w:rPr>
        <w:lastRenderedPageBreak/>
        <w:fldChar w:fldCharType="begin"/>
      </w:r>
      <w:r w:rsidRPr="00D61F73">
        <w:rPr>
          <w:rFonts w:ascii="Arial" w:hAnsi="Arial" w:cs="Arial"/>
        </w:rPr>
        <w:instrText xml:space="preserve"> HYPERLINK "http://www.orthopt.org/uploads/content_files/OHSIG_Guidelines/Occupational_Hlth_PT_Evaluating_Functional_Capacity_040610__2_.pdf" </w:instrText>
      </w:r>
      <w:r w:rsidRPr="00D61F73">
        <w:rPr>
          <w:rFonts w:ascii="Arial" w:hAnsi="Arial" w:cs="Arial"/>
        </w:rPr>
        <w:fldChar w:fldCharType="separate"/>
      </w:r>
      <w:r w:rsidRPr="00D61F73">
        <w:rPr>
          <w:rStyle w:val="Hyperlink"/>
          <w:rFonts w:ascii="Arial" w:hAnsi="Arial" w:cs="Arial"/>
        </w:rPr>
        <w:t>American Physical Therapy Association (APTA). Orthopaedic Section BOD.</w:t>
      </w:r>
      <w:r w:rsidRPr="00D61F73">
        <w:rPr>
          <w:rFonts w:ascii="Arial" w:hAnsi="Arial" w:cs="Arial"/>
        </w:rPr>
        <w:fldChar w:fldCharType="end"/>
      </w:r>
      <w:r w:rsidRPr="00D61F73">
        <w:rPr>
          <w:rFonts w:ascii="Arial" w:hAnsi="Arial" w:cs="Arial"/>
        </w:rPr>
        <w:t xml:space="preserve"> </w:t>
      </w:r>
      <w:r w:rsidRPr="00D61F73">
        <w:rPr>
          <w:rFonts w:ascii="Arial" w:hAnsi="Arial" w:cs="Arial"/>
          <w:i/>
        </w:rPr>
        <w:t>Occupational Health Physical Therapy: Evaluating Functional Capacity Guidelines</w:t>
      </w:r>
      <w:r w:rsidRPr="00D61F73">
        <w:rPr>
          <w:rFonts w:ascii="Arial" w:hAnsi="Arial" w:cs="Arial"/>
        </w:rPr>
        <w:t xml:space="preserve">. 2011 </w:t>
      </w:r>
    </w:p>
    <w:p w14:paraId="5CCD1630" w14:textId="77777777" w:rsidR="004A5097" w:rsidRPr="00D61F73" w:rsidRDefault="004A5097" w:rsidP="00D61F73">
      <w:pPr>
        <w:pStyle w:val="NormalWeb"/>
        <w:spacing w:before="0" w:beforeAutospacing="0" w:after="0" w:afterAutospacing="0"/>
        <w:rPr>
          <w:rFonts w:ascii="Arial" w:hAnsi="Arial" w:cs="Arial"/>
        </w:rPr>
      </w:pPr>
    </w:p>
    <w:p w14:paraId="42D90CB9" w14:textId="77777777" w:rsidR="004A5097" w:rsidRPr="00D61F73" w:rsidRDefault="004A5097" w:rsidP="00D61F73">
      <w:pPr>
        <w:pStyle w:val="NormalWeb"/>
        <w:spacing w:before="0" w:beforeAutospacing="0" w:after="0" w:afterAutospacing="0"/>
        <w:rPr>
          <w:rFonts w:ascii="Arial" w:hAnsi="Arial" w:cs="Arial"/>
        </w:rPr>
      </w:pPr>
    </w:p>
    <w:p w14:paraId="1BC9F485" w14:textId="77777777" w:rsidR="008D0565" w:rsidRPr="00D61F73" w:rsidRDefault="004A5097" w:rsidP="00D61F73">
      <w:pPr>
        <w:pStyle w:val="NormalWeb"/>
        <w:spacing w:before="0" w:beforeAutospacing="0" w:after="0" w:afterAutospacing="0"/>
        <w:rPr>
          <w:rFonts w:ascii="Arial" w:hAnsi="Arial" w:cs="Arial"/>
          <w:b/>
          <w:bCs/>
        </w:rPr>
      </w:pPr>
      <w:r w:rsidRPr="00D61F73">
        <w:rPr>
          <w:rFonts w:ascii="Arial" w:hAnsi="Arial" w:cs="Arial"/>
        </w:rPr>
        <w:t>Rating:  8</w:t>
      </w:r>
      <w:r w:rsidR="00E36039" w:rsidRPr="00D61F73">
        <w:rPr>
          <w:rFonts w:ascii="Arial" w:hAnsi="Arial" w:cs="Arial"/>
        </w:rPr>
        <w:t>a</w:t>
      </w:r>
      <w:r w:rsidR="008D0565" w:rsidRPr="00D61F73">
        <w:rPr>
          <w:rFonts w:ascii="Arial" w:hAnsi="Arial" w:cs="Arial"/>
        </w:rPr>
        <w:br w:type="page"/>
      </w:r>
      <w:r w:rsidR="008D0565" w:rsidRPr="00D61F73">
        <w:rPr>
          <w:rFonts w:ascii="Arial" w:hAnsi="Arial" w:cs="Arial"/>
          <w:b/>
          <w:bCs/>
        </w:rPr>
        <w:lastRenderedPageBreak/>
        <w:t>A</w:t>
      </w:r>
      <w:bookmarkStart w:id="464" w:name="Argoff"/>
      <w:bookmarkEnd w:id="464"/>
      <w:r w:rsidR="008D0565" w:rsidRPr="00D61F73">
        <w:rPr>
          <w:rFonts w:ascii="Arial" w:hAnsi="Arial" w:cs="Arial"/>
          <w:b/>
          <w:bCs/>
        </w:rPr>
        <w:t xml:space="preserve">rgoff CE. Topical agents for the treatment of chronic pain. </w:t>
      </w:r>
      <w:r w:rsidR="008D0565" w:rsidRPr="00D61F73">
        <w:rPr>
          <w:rFonts w:ascii="Arial" w:hAnsi="Arial" w:cs="Arial"/>
          <w:b/>
          <w:bCs/>
          <w:i/>
          <w:iCs/>
        </w:rPr>
        <w:t>Curr Pain Headache Rep</w:t>
      </w:r>
      <w:r w:rsidR="008D0565" w:rsidRPr="00D61F73">
        <w:rPr>
          <w:rFonts w:ascii="Arial" w:hAnsi="Arial" w:cs="Arial"/>
          <w:b/>
          <w:bCs/>
        </w:rPr>
        <w:t>. 2006 Feb;10(1):11-9.</w:t>
      </w:r>
    </w:p>
    <w:p w14:paraId="2DB64798" w14:textId="77777777" w:rsidR="008D0565" w:rsidRPr="00D61F73" w:rsidRDefault="008D0565" w:rsidP="00D61F73">
      <w:pPr>
        <w:pStyle w:val="NormalWeb"/>
        <w:spacing w:before="0" w:beforeAutospacing="0" w:after="0" w:afterAutospacing="0"/>
        <w:rPr>
          <w:rFonts w:ascii="Arial" w:hAnsi="Arial" w:cs="Arial"/>
        </w:rPr>
      </w:pPr>
    </w:p>
    <w:p w14:paraId="44E54B5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Unlike systemic analgesics, topical analgesics exert their analgesic activity locally and without significant systemic absorption. This is in contrast to transdermal analgesics, </w:t>
      </w:r>
    </w:p>
    <w:p w14:paraId="2B8725A3" w14:textId="77777777" w:rsidR="008D0565" w:rsidRPr="00D61F73" w:rsidRDefault="008D0565" w:rsidP="00D61F73">
      <w:pPr>
        <w:pStyle w:val="NormalWeb"/>
        <w:spacing w:before="0" w:beforeAutospacing="0" w:after="0" w:afterAutospacing="0"/>
        <w:rPr>
          <w:rFonts w:ascii="Arial" w:hAnsi="Arial" w:cs="Arial"/>
        </w:rPr>
      </w:pPr>
    </w:p>
    <w:p w14:paraId="7ABBB56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23" w:history="1">
        <w:r w:rsidRPr="00D61F73">
          <w:rPr>
            <w:rStyle w:val="Hyperlink"/>
            <w:rFonts w:ascii="Arial" w:hAnsi="Arial" w:cs="Arial"/>
          </w:rPr>
          <w:t>16499825</w:t>
        </w:r>
      </w:hyperlink>
      <w:r w:rsidRPr="00D61F73">
        <w:rPr>
          <w:rFonts w:ascii="Arial" w:hAnsi="Arial" w:cs="Arial"/>
        </w:rPr>
        <w:t xml:space="preserve"> </w:t>
      </w:r>
    </w:p>
    <w:p w14:paraId="0E2C274A" w14:textId="77777777" w:rsidR="008D0565" w:rsidRPr="00D61F73" w:rsidRDefault="008D0565" w:rsidP="00D61F73">
      <w:pPr>
        <w:pStyle w:val="NormalWeb"/>
        <w:spacing w:before="0" w:beforeAutospacing="0" w:after="0" w:afterAutospacing="0"/>
        <w:rPr>
          <w:rFonts w:ascii="Arial" w:hAnsi="Arial" w:cs="Arial"/>
        </w:rPr>
      </w:pPr>
    </w:p>
    <w:p w14:paraId="4EEBEBC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4BC0ACA6" w14:textId="77777777" w:rsidR="008D0565" w:rsidRPr="00D61F73" w:rsidRDefault="008D0565" w:rsidP="00D61F73">
      <w:pPr>
        <w:pStyle w:val="Heading2"/>
        <w:rPr>
          <w:rStyle w:val="ti"/>
          <w:rFonts w:ascii="Arial" w:hAnsi="Arial" w:cs="Arial"/>
          <w:sz w:val="24"/>
          <w:szCs w:val="24"/>
        </w:rPr>
      </w:pPr>
      <w:r w:rsidRPr="00D61F73">
        <w:rPr>
          <w:rFonts w:ascii="Arial" w:hAnsi="Arial" w:cs="Arial"/>
          <w:sz w:val="24"/>
          <w:szCs w:val="24"/>
        </w:rPr>
        <w:br w:type="page"/>
      </w:r>
      <w:r w:rsidRPr="00D61F73">
        <w:rPr>
          <w:rFonts w:ascii="Arial" w:hAnsi="Arial" w:cs="Arial"/>
          <w:sz w:val="24"/>
          <w:szCs w:val="24"/>
        </w:rPr>
        <w:lastRenderedPageBreak/>
        <w:t>A</w:t>
      </w:r>
      <w:bookmarkStart w:id="465" w:name="Argoff2"/>
      <w:bookmarkEnd w:id="465"/>
      <w:r w:rsidRPr="00D61F73">
        <w:rPr>
          <w:rFonts w:ascii="Arial" w:hAnsi="Arial" w:cs="Arial"/>
          <w:sz w:val="24"/>
          <w:szCs w:val="24"/>
        </w:rPr>
        <w:t xml:space="preserve">rgoff CE, Katz N, Backonja M. Treatment of postherpetic neuralgia: a review of therapeutic options. </w:t>
      </w:r>
      <w:r w:rsidRPr="00D61F73">
        <w:rPr>
          <w:rStyle w:val="ti"/>
          <w:rFonts w:ascii="Arial" w:hAnsi="Arial" w:cs="Arial"/>
          <w:i/>
          <w:sz w:val="24"/>
          <w:szCs w:val="24"/>
        </w:rPr>
        <w:t>J Pain Symptom Manage.</w:t>
      </w:r>
      <w:r w:rsidRPr="00D61F73">
        <w:rPr>
          <w:rStyle w:val="ti"/>
          <w:rFonts w:ascii="Arial" w:hAnsi="Arial" w:cs="Arial"/>
          <w:sz w:val="24"/>
          <w:szCs w:val="24"/>
        </w:rPr>
        <w:t xml:space="preserve"> 2004;28:396-411.</w:t>
      </w:r>
    </w:p>
    <w:p w14:paraId="39AC2C1B" w14:textId="77777777" w:rsidR="008D0565" w:rsidRPr="00D61F73" w:rsidRDefault="008D0565" w:rsidP="00D61F73">
      <w:pPr>
        <w:rPr>
          <w:rFonts w:ascii="Arial" w:hAnsi="Arial" w:cs="Arial"/>
          <w:lang w:val="de-DE"/>
        </w:rPr>
      </w:pPr>
    </w:p>
    <w:p w14:paraId="1D24CC72"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Postherpetic neuralgia (PHN) is a disabling consequence of the reactivation of the varicella zoster infection. Physicians can either add another agent to the current regimen or switch to a new type of monotherapy if there is inadequate response to initial therapy. </w:t>
      </w:r>
    </w:p>
    <w:p w14:paraId="27C3F394" w14:textId="77777777" w:rsidR="008D0565" w:rsidRPr="00D61F73" w:rsidRDefault="008D0565" w:rsidP="00D61F73">
      <w:pPr>
        <w:pStyle w:val="pmid"/>
        <w:spacing w:before="0" w:beforeAutospacing="0" w:after="0" w:afterAutospacing="0"/>
        <w:rPr>
          <w:rFonts w:ascii="Arial" w:hAnsi="Arial" w:cs="Arial"/>
        </w:rPr>
      </w:pPr>
    </w:p>
    <w:p w14:paraId="23643727"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224" w:history="1">
        <w:r w:rsidRPr="00D61F73">
          <w:rPr>
            <w:rStyle w:val="Hyperlink"/>
            <w:rFonts w:ascii="Arial" w:hAnsi="Arial" w:cs="Arial"/>
          </w:rPr>
          <w:t>15471658</w:t>
        </w:r>
      </w:hyperlink>
    </w:p>
    <w:p w14:paraId="56A4AA75" w14:textId="77777777" w:rsidR="008D0565" w:rsidRPr="00D61F73" w:rsidRDefault="008D0565" w:rsidP="00D61F73">
      <w:pPr>
        <w:pStyle w:val="pmid"/>
        <w:spacing w:before="0" w:beforeAutospacing="0" w:after="0" w:afterAutospacing="0"/>
        <w:rPr>
          <w:rFonts w:ascii="Arial" w:hAnsi="Arial" w:cs="Arial"/>
        </w:rPr>
      </w:pPr>
    </w:p>
    <w:p w14:paraId="062C3BC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69FECD2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66" w:name="Argoff3"/>
      <w:bookmarkEnd w:id="466"/>
      <w:r w:rsidRPr="00D61F73">
        <w:rPr>
          <w:rFonts w:ascii="Arial" w:hAnsi="Arial" w:cs="Arial"/>
          <w:b/>
        </w:rPr>
        <w:t xml:space="preserve">rgoff CE, Galer BS, Jensen MP, Oleka N, Gammaitoni AR. Effectiveness of the lidocaine patch 5% on pain qualities in three chronic pain states: assessment with the Neuropathic Pain Scale. </w:t>
      </w:r>
      <w:r w:rsidRPr="00D61F73">
        <w:rPr>
          <w:rFonts w:ascii="Arial" w:hAnsi="Arial" w:cs="Arial"/>
          <w:b/>
          <w:i/>
        </w:rPr>
        <w:t>Curr Med Res Opin</w:t>
      </w:r>
      <w:r w:rsidRPr="00D61F73">
        <w:rPr>
          <w:rFonts w:ascii="Arial" w:hAnsi="Arial" w:cs="Arial"/>
          <w:b/>
        </w:rPr>
        <w:t>. 2004;20 Suppl 2:S21-8.</w:t>
      </w:r>
    </w:p>
    <w:p w14:paraId="6F1185BE" w14:textId="77777777" w:rsidR="008D0565" w:rsidRPr="00D61F73" w:rsidRDefault="008D0565" w:rsidP="00D61F73">
      <w:pPr>
        <w:rPr>
          <w:rFonts w:ascii="Arial" w:hAnsi="Arial" w:cs="Arial"/>
        </w:rPr>
      </w:pPr>
    </w:p>
    <w:p w14:paraId="0E44C0CA" w14:textId="77777777" w:rsidR="008D0565" w:rsidRPr="00D61F73" w:rsidRDefault="008D0565" w:rsidP="00D61F73">
      <w:pPr>
        <w:rPr>
          <w:rFonts w:ascii="Arial" w:hAnsi="Arial" w:cs="Arial"/>
        </w:rPr>
      </w:pPr>
      <w:r w:rsidRPr="00D61F73">
        <w:rPr>
          <w:rFonts w:ascii="Arial" w:hAnsi="Arial" w:cs="Arial"/>
        </w:rPr>
        <w:t xml:space="preserve">CONCLUSIONS: In patients with moderate-to-severe LBP, 2 weeks and 6 weeks of treatment with the lidocaine patch 5% significantly reduces the intensity of pain qualities as measured by all 4 NPS composite measures. </w:t>
      </w:r>
    </w:p>
    <w:p w14:paraId="7EA4B51C" w14:textId="77777777" w:rsidR="008D0565" w:rsidRPr="00D61F73" w:rsidRDefault="008D0565" w:rsidP="00D61F73">
      <w:pPr>
        <w:rPr>
          <w:rFonts w:ascii="Arial" w:hAnsi="Arial" w:cs="Arial"/>
        </w:rPr>
      </w:pPr>
    </w:p>
    <w:p w14:paraId="0FC4E810" w14:textId="77777777" w:rsidR="008D0565" w:rsidRPr="00D61F73" w:rsidRDefault="008D0565" w:rsidP="00D61F73">
      <w:pPr>
        <w:rPr>
          <w:rFonts w:ascii="Arial" w:hAnsi="Arial" w:cs="Arial"/>
        </w:rPr>
      </w:pPr>
      <w:r w:rsidRPr="00D61F73">
        <w:rPr>
          <w:rFonts w:ascii="Arial" w:hAnsi="Arial" w:cs="Arial"/>
        </w:rPr>
        <w:t xml:space="preserve">PMID: </w:t>
      </w:r>
      <w:hyperlink r:id="rId225" w:history="1">
        <w:r w:rsidRPr="00D61F73">
          <w:rPr>
            <w:rStyle w:val="Hyperlink"/>
            <w:rFonts w:ascii="Arial" w:hAnsi="Arial" w:cs="Arial"/>
          </w:rPr>
          <w:t>15563741</w:t>
        </w:r>
      </w:hyperlink>
    </w:p>
    <w:p w14:paraId="10076F14" w14:textId="77777777" w:rsidR="008D0565" w:rsidRPr="00D61F73" w:rsidRDefault="008D0565" w:rsidP="00D61F73">
      <w:pPr>
        <w:rPr>
          <w:rFonts w:ascii="Arial" w:hAnsi="Arial" w:cs="Arial"/>
        </w:rPr>
      </w:pPr>
    </w:p>
    <w:p w14:paraId="083D0DC3" w14:textId="77777777" w:rsidR="008D0565" w:rsidRPr="00D61F73" w:rsidRDefault="008D0565" w:rsidP="00D61F73">
      <w:pPr>
        <w:rPr>
          <w:rFonts w:ascii="Arial" w:hAnsi="Arial" w:cs="Arial"/>
        </w:rPr>
      </w:pPr>
      <w:r w:rsidRPr="00D61F73">
        <w:rPr>
          <w:rFonts w:ascii="Arial" w:hAnsi="Arial" w:cs="Arial"/>
        </w:rPr>
        <w:t>Rating: 4c</w:t>
      </w:r>
    </w:p>
    <w:p w14:paraId="2945ADD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67" w:name="Arnold"/>
      <w:bookmarkEnd w:id="467"/>
      <w:r w:rsidRPr="00D61F73">
        <w:rPr>
          <w:rFonts w:ascii="Arial" w:hAnsi="Arial" w:cs="Arial"/>
          <w:b/>
          <w:bCs/>
        </w:rPr>
        <w:t xml:space="preserve">rnold LM, Goldenberg DL, Stanford SB, Lalonde JK, Sandhu HS, Keck PE Jr, Welge JA, Bishop F, Stanford KE, Hess EV, Hudson JI. Gabapentin in the treatment of fibromyalgia: a randomized, double-blind, placebo-controlled, multicenter trial. </w:t>
      </w:r>
      <w:r w:rsidRPr="00D61F73">
        <w:rPr>
          <w:rFonts w:ascii="Arial" w:hAnsi="Arial" w:cs="Arial"/>
          <w:b/>
          <w:bCs/>
          <w:i/>
          <w:iCs/>
        </w:rPr>
        <w:t>Arthritis Rheum.</w:t>
      </w:r>
      <w:r w:rsidRPr="00D61F73">
        <w:rPr>
          <w:rFonts w:ascii="Arial" w:hAnsi="Arial" w:cs="Arial"/>
          <w:b/>
          <w:bCs/>
        </w:rPr>
        <w:t xml:space="preserve"> 2007 Apr;56(4):1336-44. </w:t>
      </w:r>
    </w:p>
    <w:p w14:paraId="712B975A" w14:textId="77777777" w:rsidR="008D0565" w:rsidRPr="00D61F73" w:rsidRDefault="008D0565" w:rsidP="00D61F73">
      <w:pPr>
        <w:pStyle w:val="NormalWeb"/>
        <w:spacing w:before="0" w:beforeAutospacing="0" w:after="0" w:afterAutospacing="0"/>
        <w:rPr>
          <w:rFonts w:ascii="Arial" w:hAnsi="Arial" w:cs="Arial"/>
        </w:rPr>
      </w:pPr>
    </w:p>
    <w:p w14:paraId="305A4E0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METHODS: A 12-week, randomized, double-blind study was designed to compare gabapentin (1,200-2,400 mg/day) (n=75 patients) with placebo (n=75 patients) RESULTS: Gabapentin-treated patients displayed a significantly greater improvement in the BPI average pain severity score.</w:t>
      </w:r>
    </w:p>
    <w:p w14:paraId="136F7560" w14:textId="77777777" w:rsidR="008D0565" w:rsidRPr="00D61F73" w:rsidRDefault="008D0565" w:rsidP="00D61F73">
      <w:pPr>
        <w:pStyle w:val="NormalWeb"/>
        <w:spacing w:before="0" w:beforeAutospacing="0" w:after="0" w:afterAutospacing="0"/>
        <w:rPr>
          <w:rFonts w:ascii="Arial" w:hAnsi="Arial" w:cs="Arial"/>
        </w:rPr>
      </w:pPr>
    </w:p>
    <w:p w14:paraId="35F6A4C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26" w:history="1">
        <w:r w:rsidRPr="00D61F73">
          <w:rPr>
            <w:rStyle w:val="Hyperlink"/>
            <w:rFonts w:ascii="Arial" w:hAnsi="Arial" w:cs="Arial"/>
          </w:rPr>
          <w:t>17393438</w:t>
        </w:r>
      </w:hyperlink>
      <w:r w:rsidRPr="00D61F73">
        <w:rPr>
          <w:rFonts w:ascii="Arial" w:hAnsi="Arial" w:cs="Arial"/>
        </w:rPr>
        <w:t xml:space="preserve"> </w:t>
      </w:r>
    </w:p>
    <w:p w14:paraId="521BB238" w14:textId="77777777" w:rsidR="008D0565" w:rsidRPr="00D61F73" w:rsidRDefault="008D0565" w:rsidP="00D61F73">
      <w:pPr>
        <w:pStyle w:val="NormalWeb"/>
        <w:spacing w:before="0" w:beforeAutospacing="0" w:after="0" w:afterAutospacing="0"/>
        <w:rPr>
          <w:rFonts w:ascii="Arial" w:hAnsi="Arial" w:cs="Arial"/>
        </w:rPr>
      </w:pPr>
    </w:p>
    <w:p w14:paraId="0B90DEF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2a</w:t>
      </w:r>
    </w:p>
    <w:p w14:paraId="4FC694A7"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68" w:name="ASAM"/>
      <w:bookmarkEnd w:id="468"/>
      <w:r w:rsidRPr="00D61F73">
        <w:rPr>
          <w:rFonts w:ascii="Arial" w:hAnsi="Arial" w:cs="Arial"/>
          <w:b/>
          <w:bCs/>
        </w:rPr>
        <w:t>merican Society of Addiction Medicine (ASAM). Public policy statement on rapid and ultra rapid opioid detoxification ( Formerly Public Policy Statement on Opioid Antagonist Agent Detoxification under Sedation or Anesthesia (OADUSA ). www.asam.org. April 2005.</w:t>
      </w:r>
    </w:p>
    <w:p w14:paraId="1041AC3A" w14:textId="77777777" w:rsidR="008D0565" w:rsidRPr="00D61F73" w:rsidRDefault="008D0565" w:rsidP="00D61F73">
      <w:pPr>
        <w:pStyle w:val="NormalWeb"/>
        <w:spacing w:before="0" w:beforeAutospacing="0" w:after="0" w:afterAutospacing="0"/>
        <w:rPr>
          <w:rFonts w:ascii="Arial" w:hAnsi="Arial" w:cs="Arial"/>
        </w:rPr>
      </w:pPr>
    </w:p>
    <w:p w14:paraId="4278F39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1. Opioid detoxification alone is not a treatment of opioid addiction. ASAM does not support the initiation of acute opioid detoxification interventions unless they are part of an integrated continuum of services that promote ongoing recovery from addiction. </w:t>
      </w:r>
    </w:p>
    <w:p w14:paraId="35254BA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2. Ultra-Rapid Opioid Detoxification (UROD) is a procedure with uncertain risks and benefits, and its use in clinical settings is not supportable until a clearly positive risk-benefit relationship can be demonstrated. Further research on UROD should be conducted. </w:t>
      </w:r>
    </w:p>
    <w:p w14:paraId="72D5470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3. Although there is medical literature describing various techniques of Rapid Opioid Detoxification (ROD), further research into the physiology and consequences of ROD should be supported so that patients may be directed to the most effective treatment methods and practices. </w:t>
      </w:r>
    </w:p>
    <w:p w14:paraId="7B1291D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4. Prior to participation in any particular modality of opioid detoxification, a patient should be provided with sufficient information by which to provide informed consent, including information about the risks of termination of a treatment plan of prescribed agonist medications such as methadone or Buprenorphine, as well as the need to comply with medical monitoring of their clinical status for a defined period of time following the procedure to ensure a safe outcome. Patients should also be informed of the risks, benefits and costs of alternative methods of treatment available. </w:t>
      </w:r>
    </w:p>
    <w:p w14:paraId="1271A4DF" w14:textId="77777777" w:rsidR="008D0565" w:rsidRPr="00D61F73" w:rsidRDefault="008D0565" w:rsidP="00D61F73">
      <w:pPr>
        <w:pStyle w:val="NormalWeb"/>
        <w:spacing w:before="0" w:beforeAutospacing="0" w:after="0" w:afterAutospacing="0"/>
        <w:rPr>
          <w:rFonts w:ascii="Arial" w:hAnsi="Arial" w:cs="Arial"/>
        </w:rPr>
      </w:pPr>
    </w:p>
    <w:p w14:paraId="2CCEC8A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6b</w:t>
      </w:r>
    </w:p>
    <w:p w14:paraId="13F510C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69" w:name="Arnold2"/>
      <w:bookmarkEnd w:id="469"/>
      <w:r w:rsidRPr="00D61F73">
        <w:rPr>
          <w:rFonts w:ascii="Arial" w:hAnsi="Arial" w:cs="Arial"/>
          <w:b/>
          <w:bCs/>
        </w:rPr>
        <w:t xml:space="preserve">rnold LM, Rosen A, Pritchett YL, D'Souza DN, Goldstein DJ, Iyengar S, Wernicke JF. A randomized, double-blind, placebo-controlled trial of duloxetine in the treatment of women with fibromyalgia with or without major depressive disorder. </w:t>
      </w:r>
      <w:r w:rsidRPr="00D61F73">
        <w:rPr>
          <w:rFonts w:ascii="Arial" w:hAnsi="Arial" w:cs="Arial"/>
          <w:b/>
          <w:bCs/>
          <w:i/>
          <w:iCs/>
        </w:rPr>
        <w:t>Pain.</w:t>
      </w:r>
      <w:r w:rsidRPr="00D61F73">
        <w:rPr>
          <w:rFonts w:ascii="Arial" w:hAnsi="Arial" w:cs="Arial"/>
          <w:b/>
          <w:bCs/>
        </w:rPr>
        <w:t xml:space="preserve"> 2005 Dec 15;119(1-3):5-15.</w:t>
      </w:r>
    </w:p>
    <w:p w14:paraId="3B9269A8" w14:textId="77777777" w:rsidR="008D0565" w:rsidRPr="00D61F73" w:rsidRDefault="008D0565" w:rsidP="00D61F73">
      <w:pPr>
        <w:pStyle w:val="NormalWeb"/>
        <w:spacing w:before="0" w:beforeAutospacing="0" w:after="0" w:afterAutospacing="0"/>
        <w:rPr>
          <w:rFonts w:ascii="Arial" w:hAnsi="Arial" w:cs="Arial"/>
        </w:rPr>
      </w:pPr>
    </w:p>
    <w:p w14:paraId="7AEC1C0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354 female patients. In conclusion, both duloxetine 60 mg QD and duloxetine 60 mg BID were effective and safe in the treatment of fibromyalgia in female patients with or without major depressive disorder.</w:t>
      </w:r>
    </w:p>
    <w:p w14:paraId="4EFD56F9" w14:textId="77777777" w:rsidR="008D0565" w:rsidRPr="00D61F73" w:rsidRDefault="008D0565" w:rsidP="00D61F73">
      <w:pPr>
        <w:pStyle w:val="NormalWeb"/>
        <w:spacing w:before="0" w:beforeAutospacing="0" w:after="0" w:afterAutospacing="0"/>
        <w:rPr>
          <w:rFonts w:ascii="Arial" w:hAnsi="Arial" w:cs="Arial"/>
        </w:rPr>
      </w:pPr>
    </w:p>
    <w:p w14:paraId="67FE5B1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27" w:history="1">
        <w:r w:rsidRPr="00D61F73">
          <w:rPr>
            <w:rStyle w:val="Hyperlink"/>
            <w:rFonts w:ascii="Arial" w:hAnsi="Arial" w:cs="Arial"/>
          </w:rPr>
          <w:t>16298061</w:t>
        </w:r>
      </w:hyperlink>
      <w:r w:rsidRPr="00D61F73">
        <w:rPr>
          <w:rFonts w:ascii="Arial" w:hAnsi="Arial" w:cs="Arial"/>
        </w:rPr>
        <w:t xml:space="preserve"> </w:t>
      </w:r>
    </w:p>
    <w:p w14:paraId="23FA140B" w14:textId="77777777" w:rsidR="008D0565" w:rsidRPr="00D61F73" w:rsidRDefault="008D0565" w:rsidP="00D61F73">
      <w:pPr>
        <w:pStyle w:val="NormalWeb"/>
        <w:spacing w:before="0" w:beforeAutospacing="0" w:after="0" w:afterAutospacing="0"/>
        <w:rPr>
          <w:rFonts w:ascii="Arial" w:hAnsi="Arial" w:cs="Arial"/>
        </w:rPr>
      </w:pPr>
    </w:p>
    <w:p w14:paraId="4BDFBFC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2a</w:t>
      </w:r>
    </w:p>
    <w:p w14:paraId="61CD8165" w14:textId="77777777" w:rsidR="008D0565" w:rsidRPr="00D61F73" w:rsidRDefault="008D0565" w:rsidP="00D61F73">
      <w:pPr>
        <w:pStyle w:val="Heading2"/>
        <w:rPr>
          <w:rStyle w:val="featuredlinkouts"/>
          <w:rFonts w:ascii="Arial" w:hAnsi="Arial" w:cs="Arial"/>
          <w:sz w:val="24"/>
          <w:szCs w:val="24"/>
        </w:rPr>
      </w:pPr>
      <w:r w:rsidRPr="00D61F73">
        <w:rPr>
          <w:rFonts w:ascii="Arial" w:hAnsi="Arial" w:cs="Arial"/>
          <w:sz w:val="24"/>
          <w:szCs w:val="24"/>
        </w:rPr>
        <w:br w:type="page"/>
      </w:r>
      <w:r w:rsidRPr="00D61F73">
        <w:rPr>
          <w:rFonts w:ascii="Arial" w:hAnsi="Arial" w:cs="Arial"/>
          <w:sz w:val="24"/>
          <w:szCs w:val="24"/>
        </w:rPr>
        <w:lastRenderedPageBreak/>
        <w:t>A</w:t>
      </w:r>
      <w:bookmarkStart w:id="470" w:name="Arnold3"/>
      <w:bookmarkEnd w:id="470"/>
      <w:r w:rsidRPr="00D61F73">
        <w:rPr>
          <w:rFonts w:ascii="Arial" w:hAnsi="Arial" w:cs="Arial"/>
          <w:sz w:val="24"/>
          <w:szCs w:val="24"/>
        </w:rPr>
        <w:t xml:space="preserve">rnold LM. Duloxetine and other antidepressants in the treatment of patients with fibromyalgia. </w:t>
      </w:r>
      <w:r w:rsidRPr="00D61F73">
        <w:rPr>
          <w:rStyle w:val="ti"/>
          <w:rFonts w:ascii="Arial" w:hAnsi="Arial" w:cs="Arial"/>
          <w:i/>
          <w:sz w:val="24"/>
          <w:szCs w:val="24"/>
        </w:rPr>
        <w:t>Pain Med</w:t>
      </w:r>
      <w:r w:rsidRPr="00D61F73">
        <w:rPr>
          <w:rStyle w:val="ti"/>
          <w:rFonts w:ascii="Arial" w:hAnsi="Arial" w:cs="Arial"/>
          <w:sz w:val="24"/>
          <w:szCs w:val="24"/>
        </w:rPr>
        <w:t>. 2007;8:S63-74.</w:t>
      </w:r>
      <w:r w:rsidRPr="00D61F73">
        <w:rPr>
          <w:rStyle w:val="featuredlinkouts"/>
          <w:rFonts w:ascii="Arial" w:hAnsi="Arial" w:cs="Arial"/>
          <w:sz w:val="24"/>
          <w:szCs w:val="24"/>
        </w:rPr>
        <w:t xml:space="preserve"> </w:t>
      </w:r>
    </w:p>
    <w:p w14:paraId="23E9F7CE" w14:textId="77777777" w:rsidR="008D0565" w:rsidRPr="00D61F73" w:rsidRDefault="008D0565" w:rsidP="00D61F73">
      <w:pPr>
        <w:rPr>
          <w:rFonts w:ascii="Arial" w:hAnsi="Arial" w:cs="Arial"/>
          <w:lang w:val="de-DE"/>
        </w:rPr>
      </w:pPr>
    </w:p>
    <w:p w14:paraId="61D453D4"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DESIGN: Two randomized, placebo-controlled, double-blind, parallel-group, 12-week trials of duloxetine in the treatment of fibromyalgia were reviewed. RESULTS: Duloxetine has been shown to be an effective and safe treatment for many of the symptoms associated with fibromyalgia, particularly for women. CONCLUSIONS: Antidepressants play an important role in the treatment of patients with fibromyalgia. Agents with dual effects on serotonin and norepinephrine appear to have more consistent benefits than selective serotonin antidepressants for the treatment of persistent pain associated with fibromyalgia.</w:t>
      </w:r>
    </w:p>
    <w:p w14:paraId="29A0DC7C" w14:textId="77777777" w:rsidR="008D0565" w:rsidRPr="00D61F73" w:rsidRDefault="008D0565" w:rsidP="00D61F73">
      <w:pPr>
        <w:pStyle w:val="pmid"/>
        <w:spacing w:before="0" w:beforeAutospacing="0" w:after="0" w:afterAutospacing="0"/>
        <w:rPr>
          <w:rFonts w:ascii="Arial" w:hAnsi="Arial" w:cs="Arial"/>
        </w:rPr>
      </w:pPr>
    </w:p>
    <w:p w14:paraId="1B374D2D"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228" w:history="1">
        <w:r w:rsidRPr="00D61F73">
          <w:rPr>
            <w:rStyle w:val="Hyperlink"/>
            <w:rFonts w:ascii="Arial" w:hAnsi="Arial" w:cs="Arial"/>
          </w:rPr>
          <w:t>17714117</w:t>
        </w:r>
      </w:hyperlink>
      <w:r w:rsidRPr="00D61F73">
        <w:rPr>
          <w:rFonts w:ascii="Arial" w:hAnsi="Arial" w:cs="Arial"/>
        </w:rPr>
        <w:t xml:space="preserve"> </w:t>
      </w:r>
    </w:p>
    <w:p w14:paraId="33987FCE" w14:textId="77777777" w:rsidR="008D0565" w:rsidRPr="00D61F73" w:rsidRDefault="008D0565" w:rsidP="00D61F73">
      <w:pPr>
        <w:rPr>
          <w:rFonts w:ascii="Arial" w:hAnsi="Arial" w:cs="Arial"/>
        </w:rPr>
      </w:pPr>
    </w:p>
    <w:p w14:paraId="7C6BCE1C" w14:textId="77777777" w:rsidR="008D0565" w:rsidRPr="00D61F73" w:rsidRDefault="008D0565" w:rsidP="00D61F73">
      <w:pPr>
        <w:rPr>
          <w:rFonts w:ascii="Arial" w:hAnsi="Arial" w:cs="Arial"/>
        </w:rPr>
      </w:pPr>
      <w:r w:rsidRPr="00D61F73">
        <w:rPr>
          <w:rFonts w:ascii="Arial" w:hAnsi="Arial" w:cs="Arial"/>
        </w:rPr>
        <w:t>Rating: 5a</w:t>
      </w:r>
    </w:p>
    <w:p w14:paraId="4ECF04ED" w14:textId="77777777" w:rsidR="008D0565" w:rsidRPr="00D61F73" w:rsidRDefault="008D0565" w:rsidP="00D61F73">
      <w:pPr>
        <w:pStyle w:val="Footer"/>
        <w:tabs>
          <w:tab w:val="clear" w:pos="4320"/>
          <w:tab w:val="clear" w:pos="8640"/>
        </w:tabs>
        <w:rPr>
          <w:rFonts w:ascii="Arial" w:hAnsi="Arial" w:cs="Arial"/>
        </w:rPr>
      </w:pPr>
    </w:p>
    <w:p w14:paraId="76FCE29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71" w:name="Asfour"/>
      <w:bookmarkEnd w:id="471"/>
      <w:r w:rsidRPr="00D61F73">
        <w:rPr>
          <w:rFonts w:ascii="Arial" w:hAnsi="Arial" w:cs="Arial"/>
          <w:b/>
          <w:bCs/>
        </w:rPr>
        <w:t xml:space="preserve">sfour SS, Khalil TM, Waly SM, Goldberg ML, Rosomoff RS, Rosomoff HL. Biofeedback in back muscle strengthening. </w:t>
      </w:r>
      <w:r w:rsidRPr="00D61F73">
        <w:rPr>
          <w:rFonts w:ascii="Arial" w:hAnsi="Arial" w:cs="Arial"/>
          <w:b/>
          <w:bCs/>
          <w:i/>
          <w:iCs/>
        </w:rPr>
        <w:t>Spine</w:t>
      </w:r>
      <w:r w:rsidRPr="00D61F73">
        <w:rPr>
          <w:rFonts w:ascii="Arial" w:hAnsi="Arial" w:cs="Arial"/>
          <w:b/>
          <w:bCs/>
        </w:rPr>
        <w:t>. 1990 Jun;15(6):510-3.</w:t>
      </w:r>
    </w:p>
    <w:p w14:paraId="5E8CD926" w14:textId="77777777" w:rsidR="008D0565" w:rsidRPr="00D61F73" w:rsidRDefault="008D0565" w:rsidP="00D61F73">
      <w:pPr>
        <w:pStyle w:val="NormalWeb"/>
        <w:spacing w:before="0" w:beforeAutospacing="0" w:after="0" w:afterAutospacing="0"/>
        <w:rPr>
          <w:rFonts w:ascii="Arial" w:hAnsi="Arial" w:cs="Arial"/>
        </w:rPr>
      </w:pPr>
    </w:p>
    <w:p w14:paraId="5C73660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The results obtained indicate that the proposed methodology was an effective tool to achieve a significant improvement in the strength of lumbar paraspinal muscles of chronic low-back pain patients.</w:t>
      </w:r>
    </w:p>
    <w:p w14:paraId="521E624D" w14:textId="77777777" w:rsidR="008D0565" w:rsidRPr="00D61F73" w:rsidRDefault="008D0565" w:rsidP="00D61F73">
      <w:pPr>
        <w:pStyle w:val="NormalWeb"/>
        <w:spacing w:before="0" w:beforeAutospacing="0" w:after="0" w:afterAutospacing="0"/>
        <w:rPr>
          <w:rFonts w:ascii="Arial" w:hAnsi="Arial" w:cs="Arial"/>
        </w:rPr>
      </w:pPr>
    </w:p>
    <w:p w14:paraId="72AE078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29" w:history="1">
        <w:r w:rsidRPr="00D61F73">
          <w:rPr>
            <w:rStyle w:val="Hyperlink"/>
            <w:rFonts w:ascii="Arial" w:hAnsi="Arial" w:cs="Arial"/>
          </w:rPr>
          <w:t>2144915</w:t>
        </w:r>
      </w:hyperlink>
      <w:r w:rsidRPr="00D61F73">
        <w:rPr>
          <w:rFonts w:ascii="Arial" w:hAnsi="Arial" w:cs="Arial"/>
        </w:rPr>
        <w:t xml:space="preserve"> </w:t>
      </w:r>
    </w:p>
    <w:p w14:paraId="1964956D" w14:textId="77777777" w:rsidR="008D0565" w:rsidRPr="00D61F73" w:rsidRDefault="008D0565" w:rsidP="00D61F73">
      <w:pPr>
        <w:pStyle w:val="NormalWeb"/>
        <w:spacing w:before="0" w:beforeAutospacing="0" w:after="0" w:afterAutospacing="0"/>
        <w:rPr>
          <w:rFonts w:ascii="Arial" w:hAnsi="Arial" w:cs="Arial"/>
        </w:rPr>
      </w:pPr>
    </w:p>
    <w:p w14:paraId="42C52AF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210E6B06" w14:textId="77777777" w:rsidR="008D0565" w:rsidRPr="00D61F73" w:rsidRDefault="008D0565" w:rsidP="00D61F73">
      <w:pPr>
        <w:pStyle w:val="NormalWeb"/>
        <w:spacing w:before="0" w:beforeAutospacing="0" w:after="0" w:afterAutospacing="0"/>
        <w:rPr>
          <w:rFonts w:ascii="Arial" w:hAnsi="Arial" w:cs="Arial"/>
        </w:rPr>
      </w:pPr>
    </w:p>
    <w:p w14:paraId="412C937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study included 30 patients, and found that the increase in strength was greater in the biofeedback group (81.3%) versus the control group (16.9%). </w:t>
      </w:r>
    </w:p>
    <w:p w14:paraId="6622A867"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w:t>
      </w:r>
      <w:bookmarkStart w:id="472" w:name="Ashton"/>
      <w:bookmarkEnd w:id="472"/>
      <w:r w:rsidRPr="00D61F73">
        <w:rPr>
          <w:rFonts w:ascii="Arial" w:hAnsi="Arial" w:cs="Arial"/>
          <w:b/>
          <w:bCs/>
        </w:rPr>
        <w:t xml:space="preserve">shton H. The diagnosis and management of benzodiazepine dependence. </w:t>
      </w:r>
      <w:r w:rsidRPr="00D61F73">
        <w:rPr>
          <w:rFonts w:ascii="Arial" w:hAnsi="Arial" w:cs="Arial"/>
          <w:b/>
          <w:bCs/>
          <w:i/>
          <w:iCs/>
        </w:rPr>
        <w:t>Curr Opin Psychiatry</w:t>
      </w:r>
      <w:r w:rsidRPr="00D61F73">
        <w:rPr>
          <w:rFonts w:ascii="Arial" w:hAnsi="Arial" w:cs="Arial"/>
          <w:b/>
          <w:bCs/>
        </w:rPr>
        <w:t>. 2005 May;18(3):249-55.</w:t>
      </w:r>
    </w:p>
    <w:p w14:paraId="5AA365A3" w14:textId="77777777" w:rsidR="008D0565" w:rsidRPr="00D61F73" w:rsidRDefault="008D0565" w:rsidP="00D61F73">
      <w:pPr>
        <w:pStyle w:val="NormalWeb"/>
        <w:spacing w:before="0" w:beforeAutospacing="0" w:after="0" w:afterAutospacing="0"/>
        <w:rPr>
          <w:rFonts w:ascii="Arial" w:hAnsi="Arial" w:cs="Arial"/>
        </w:rPr>
      </w:pPr>
    </w:p>
    <w:p w14:paraId="497EFF7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230" w:history="1">
        <w:r w:rsidRPr="00D61F73">
          <w:rPr>
            <w:rStyle w:val="Hyperlink"/>
            <w:rFonts w:ascii="Arial" w:hAnsi="Arial" w:cs="Arial"/>
          </w:rPr>
          <w:t>16639148</w:t>
        </w:r>
      </w:hyperlink>
      <w:r w:rsidRPr="00D61F73">
        <w:rPr>
          <w:rFonts w:ascii="Arial" w:hAnsi="Arial" w:cs="Arial"/>
        </w:rPr>
        <w:t xml:space="preserve"> </w:t>
      </w:r>
    </w:p>
    <w:p w14:paraId="281B95F5" w14:textId="77777777" w:rsidR="008D0565" w:rsidRPr="00D61F73" w:rsidRDefault="008D0565" w:rsidP="00D61F73">
      <w:pPr>
        <w:pStyle w:val="NormalWeb"/>
        <w:spacing w:before="0" w:beforeAutospacing="0" w:after="0" w:afterAutospacing="0"/>
        <w:rPr>
          <w:rFonts w:ascii="Arial" w:hAnsi="Arial" w:cs="Arial"/>
        </w:rPr>
      </w:pPr>
    </w:p>
    <w:p w14:paraId="4554990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Rting: 5b</w:t>
      </w:r>
    </w:p>
    <w:p w14:paraId="598007F2"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A</w:t>
      </w:r>
      <w:bookmarkStart w:id="473" w:name="Ashton1994"/>
      <w:bookmarkEnd w:id="473"/>
      <w:r w:rsidRPr="00D61F73">
        <w:rPr>
          <w:rFonts w:ascii="Arial" w:hAnsi="Arial" w:cs="Arial"/>
          <w:b/>
        </w:rPr>
        <w:t xml:space="preserve">shton H. The treatment of benzodiazepine dependence. </w:t>
      </w:r>
      <w:r w:rsidRPr="00D61F73">
        <w:rPr>
          <w:rFonts w:ascii="Arial" w:hAnsi="Arial" w:cs="Arial"/>
          <w:b/>
          <w:i/>
        </w:rPr>
        <w:t>Addiction.</w:t>
      </w:r>
      <w:r w:rsidRPr="00D61F73">
        <w:rPr>
          <w:rFonts w:ascii="Arial" w:hAnsi="Arial" w:cs="Arial"/>
          <w:b/>
        </w:rPr>
        <w:t xml:space="preserve"> 1994;89:1535-41.</w:t>
      </w:r>
    </w:p>
    <w:p w14:paraId="1FBDBDA9" w14:textId="77777777" w:rsidR="008D0565" w:rsidRPr="00D61F73" w:rsidRDefault="008D0565" w:rsidP="00D61F73">
      <w:pPr>
        <w:rPr>
          <w:rFonts w:ascii="Arial" w:eastAsia="Calibri" w:hAnsi="Arial" w:cs="Arial"/>
        </w:rPr>
      </w:pPr>
    </w:p>
    <w:p w14:paraId="4D21C1B4" w14:textId="77777777" w:rsidR="008D0565" w:rsidRPr="00D61F73" w:rsidRDefault="008D0565" w:rsidP="00D61F73">
      <w:pPr>
        <w:rPr>
          <w:rFonts w:ascii="Arial" w:eastAsia="Calibri" w:hAnsi="Arial" w:cs="Arial"/>
        </w:rPr>
      </w:pPr>
      <w:r w:rsidRPr="00D61F73">
        <w:rPr>
          <w:rFonts w:ascii="Arial" w:hAnsi="Arial" w:cs="Arial"/>
        </w:rPr>
        <w:t xml:space="preserve">The benzodiazepine dosage should be tapered at an individually titrated rate which should usually be under the patient's control. Unwilling patients should not be forced to withdraw. </w:t>
      </w:r>
    </w:p>
    <w:p w14:paraId="2310F0E8" w14:textId="77777777" w:rsidR="008D0565" w:rsidRPr="00D61F73" w:rsidRDefault="008D0565" w:rsidP="00D61F73">
      <w:pPr>
        <w:rPr>
          <w:rFonts w:ascii="Arial" w:eastAsia="Calibri" w:hAnsi="Arial" w:cs="Arial"/>
        </w:rPr>
      </w:pPr>
    </w:p>
    <w:p w14:paraId="5BF6B7F1"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231" w:history="1">
        <w:r w:rsidRPr="00D61F73">
          <w:rPr>
            <w:rStyle w:val="Hyperlink"/>
            <w:rFonts w:ascii="Arial" w:hAnsi="Arial" w:cs="Arial"/>
          </w:rPr>
          <w:t>7841868</w:t>
        </w:r>
      </w:hyperlink>
    </w:p>
    <w:p w14:paraId="22FB7337" w14:textId="77777777" w:rsidR="008D0565" w:rsidRPr="00D61F73" w:rsidRDefault="008D0565" w:rsidP="00D61F73">
      <w:pPr>
        <w:rPr>
          <w:rFonts w:ascii="Arial" w:eastAsia="Calibri" w:hAnsi="Arial" w:cs="Arial"/>
        </w:rPr>
      </w:pPr>
    </w:p>
    <w:p w14:paraId="237FD694" w14:textId="77777777" w:rsidR="008D0565" w:rsidRPr="00D61F73" w:rsidRDefault="008D0565" w:rsidP="00D61F73">
      <w:pPr>
        <w:rPr>
          <w:rFonts w:ascii="Arial" w:eastAsia="Calibri" w:hAnsi="Arial" w:cs="Arial"/>
        </w:rPr>
      </w:pPr>
      <w:r w:rsidRPr="00D61F73">
        <w:rPr>
          <w:rFonts w:ascii="Arial" w:hAnsi="Arial" w:cs="Arial"/>
        </w:rPr>
        <w:t>Rating: 5c</w:t>
      </w:r>
    </w:p>
    <w:p w14:paraId="7A57BE2F"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A</w:t>
      </w:r>
      <w:bookmarkStart w:id="474" w:name="Ashton2009"/>
      <w:bookmarkEnd w:id="474"/>
      <w:r w:rsidRPr="00D61F73">
        <w:rPr>
          <w:rFonts w:ascii="Arial" w:hAnsi="Arial" w:cs="Arial"/>
          <w:b/>
        </w:rPr>
        <w:t xml:space="preserve">shton CH. Review: brief interventions, gradual dose reduction and psychological interventions increase benzodiazepine cessation compared with routine care. </w:t>
      </w:r>
      <w:r w:rsidRPr="00D61F73">
        <w:rPr>
          <w:rFonts w:ascii="Arial" w:hAnsi="Arial" w:cs="Arial"/>
          <w:b/>
          <w:i/>
        </w:rPr>
        <w:t>Evid Based Ment Health.</w:t>
      </w:r>
      <w:r w:rsidRPr="00D61F73">
        <w:rPr>
          <w:rFonts w:ascii="Arial" w:hAnsi="Arial" w:cs="Arial"/>
          <w:b/>
        </w:rPr>
        <w:t xml:space="preserve"> 2009;12:91. doi: 10.1136/ebmh.12.3.91. </w:t>
      </w:r>
    </w:p>
    <w:p w14:paraId="132809C9" w14:textId="77777777" w:rsidR="008D0565" w:rsidRPr="00D61F73" w:rsidRDefault="008D0565" w:rsidP="00D61F73">
      <w:pPr>
        <w:rPr>
          <w:rFonts w:ascii="Arial" w:hAnsi="Arial" w:cs="Arial"/>
          <w:bCs/>
        </w:rPr>
      </w:pPr>
    </w:p>
    <w:p w14:paraId="020C2F7A" w14:textId="77777777" w:rsidR="008D0565" w:rsidRPr="00D61F73" w:rsidRDefault="008D0565" w:rsidP="00D61F73">
      <w:pPr>
        <w:rPr>
          <w:rFonts w:ascii="Arial" w:hAnsi="Arial" w:cs="Arial"/>
          <w:bCs/>
        </w:rPr>
      </w:pPr>
      <w:r w:rsidRPr="00D61F73">
        <w:rPr>
          <w:rFonts w:ascii="Arial" w:hAnsi="Arial" w:cs="Arial"/>
          <w:bCs/>
        </w:rPr>
        <w:t xml:space="preserve">PMID: </w:t>
      </w:r>
      <w:hyperlink r:id="rId232" w:history="1">
        <w:r w:rsidRPr="00D61F73">
          <w:rPr>
            <w:rStyle w:val="Hyperlink"/>
            <w:rFonts w:ascii="Arial" w:hAnsi="Arial" w:cs="Arial"/>
            <w:bCs/>
          </w:rPr>
          <w:t>19633259</w:t>
        </w:r>
      </w:hyperlink>
    </w:p>
    <w:p w14:paraId="28860B6D" w14:textId="77777777" w:rsidR="008D0565" w:rsidRPr="00D61F73" w:rsidRDefault="008D0565" w:rsidP="00D61F73">
      <w:pPr>
        <w:rPr>
          <w:rFonts w:ascii="Arial" w:hAnsi="Arial" w:cs="Arial"/>
          <w:bCs/>
        </w:rPr>
      </w:pPr>
    </w:p>
    <w:p w14:paraId="39711F9B" w14:textId="77777777" w:rsidR="008D0565" w:rsidRPr="00D61F73" w:rsidRDefault="008D0565" w:rsidP="00D61F73">
      <w:pPr>
        <w:pStyle w:val="NormalWeb"/>
        <w:spacing w:before="0" w:beforeAutospacing="0" w:after="0" w:afterAutospacing="0"/>
        <w:rPr>
          <w:rFonts w:ascii="Arial" w:eastAsia="Times New Roman" w:hAnsi="Arial" w:cs="Arial"/>
        </w:rPr>
      </w:pPr>
      <w:r w:rsidRPr="00D61F73">
        <w:rPr>
          <w:rFonts w:ascii="Arial" w:eastAsia="Times New Roman" w:hAnsi="Arial" w:cs="Arial"/>
          <w:bCs/>
        </w:rPr>
        <w:t>Rating: 2b</w:t>
      </w:r>
    </w:p>
    <w:p w14:paraId="43D640F8"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As</w:t>
      </w:r>
      <w:bookmarkStart w:id="475" w:name="Asnis"/>
      <w:bookmarkEnd w:id="475"/>
      <w:r w:rsidRPr="00D61F73">
        <w:rPr>
          <w:rFonts w:ascii="Arial" w:hAnsi="Arial" w:cs="Arial"/>
          <w:b/>
          <w:bCs/>
        </w:rPr>
        <w:t xml:space="preserve">nis GM, Kohn SR, Henderson M, Brown NL. SSRIs versus non-SSRIs in post-traumatic stress disorder: an update with recommendations. </w:t>
      </w:r>
      <w:r w:rsidRPr="00D61F73">
        <w:rPr>
          <w:rFonts w:ascii="Arial" w:hAnsi="Arial" w:cs="Arial"/>
          <w:b/>
          <w:bCs/>
          <w:i/>
          <w:iCs/>
        </w:rPr>
        <w:t>Drugs</w:t>
      </w:r>
      <w:r w:rsidRPr="00D61F73">
        <w:rPr>
          <w:rFonts w:ascii="Arial" w:hAnsi="Arial" w:cs="Arial"/>
          <w:b/>
          <w:bCs/>
        </w:rPr>
        <w:t>. 2004;64(4):383-404.</w:t>
      </w:r>
    </w:p>
    <w:p w14:paraId="0D8744C3" w14:textId="77777777" w:rsidR="008D0565" w:rsidRPr="00D61F73" w:rsidRDefault="008D0565" w:rsidP="00D61F73">
      <w:pPr>
        <w:rPr>
          <w:rFonts w:ascii="Arial" w:hAnsi="Arial" w:cs="Arial"/>
        </w:rPr>
      </w:pPr>
    </w:p>
    <w:p w14:paraId="19659813" w14:textId="77777777" w:rsidR="008D0565" w:rsidRPr="00D61F73" w:rsidRDefault="008D0565" w:rsidP="00D61F73">
      <w:pPr>
        <w:rPr>
          <w:rFonts w:ascii="Arial" w:hAnsi="Arial" w:cs="Arial"/>
        </w:rPr>
      </w:pPr>
      <w:r w:rsidRPr="00D61F73">
        <w:rPr>
          <w:rFonts w:ascii="Arial" w:hAnsi="Arial" w:cs="Arial"/>
        </w:rPr>
        <w:t xml:space="preserve">Post-traumatic stress disorder (PTSD) is a highly prevalent (7.8% lifetime rate) anxiety disorder with impairment in daily functioning, frequent suicidal behaviour and high rates of co-morbidity. Besides being the most studied and effective drugs for PTSD, SSRIs have a favourable adverse effect profile, making them the first-line treatment for PTSD. Benzodiazepines were ineffective in a double-blind, placebo-controlled study despite encouraging case reports. They should be avoided or used only short term because of potential depressogenic effects, and the possibility that they may promote or worsen PTSD. </w:t>
      </w:r>
    </w:p>
    <w:p w14:paraId="6987E352" w14:textId="77777777" w:rsidR="008D0565" w:rsidRPr="00D61F73" w:rsidRDefault="008D0565" w:rsidP="00D61F73">
      <w:pPr>
        <w:rPr>
          <w:rFonts w:ascii="Arial" w:hAnsi="Arial" w:cs="Arial"/>
        </w:rPr>
      </w:pPr>
    </w:p>
    <w:p w14:paraId="1D28B980" w14:textId="77777777" w:rsidR="008D0565" w:rsidRPr="00D61F73" w:rsidRDefault="008D0565" w:rsidP="00D61F73">
      <w:pPr>
        <w:rPr>
          <w:rFonts w:ascii="Arial" w:hAnsi="Arial" w:cs="Arial"/>
        </w:rPr>
      </w:pPr>
      <w:r w:rsidRPr="00D61F73">
        <w:rPr>
          <w:rFonts w:ascii="Arial" w:hAnsi="Arial" w:cs="Arial"/>
        </w:rPr>
        <w:t xml:space="preserve">PMID: </w:t>
      </w:r>
      <w:hyperlink r:id="rId233" w:history="1">
        <w:r w:rsidRPr="00D61F73">
          <w:rPr>
            <w:rStyle w:val="Hyperlink"/>
            <w:rFonts w:ascii="Arial" w:hAnsi="Arial" w:cs="Arial"/>
          </w:rPr>
          <w:t>14969574</w:t>
        </w:r>
      </w:hyperlink>
      <w:r w:rsidRPr="00D61F73">
        <w:rPr>
          <w:rFonts w:ascii="Arial" w:hAnsi="Arial" w:cs="Arial"/>
        </w:rPr>
        <w:t xml:space="preserve"> </w:t>
      </w:r>
    </w:p>
    <w:p w14:paraId="3E612EE1" w14:textId="77777777" w:rsidR="008D0565" w:rsidRPr="00D61F73" w:rsidRDefault="008D0565" w:rsidP="00D61F73">
      <w:pPr>
        <w:rPr>
          <w:rFonts w:ascii="Arial" w:hAnsi="Arial" w:cs="Arial"/>
        </w:rPr>
      </w:pPr>
    </w:p>
    <w:p w14:paraId="31503D3D" w14:textId="77777777" w:rsidR="008D0565" w:rsidRPr="00D61F73" w:rsidRDefault="008D0565" w:rsidP="00D61F73">
      <w:pPr>
        <w:rPr>
          <w:rFonts w:ascii="Arial" w:hAnsi="Arial" w:cs="Arial"/>
        </w:rPr>
      </w:pPr>
      <w:r w:rsidRPr="00D61F73">
        <w:rPr>
          <w:rFonts w:ascii="Arial" w:hAnsi="Arial" w:cs="Arial"/>
        </w:rPr>
        <w:t>Rating: 5b</w:t>
      </w:r>
    </w:p>
    <w:p w14:paraId="6E4A1C48" w14:textId="77777777" w:rsidR="008D0565" w:rsidRPr="00D61F73" w:rsidRDefault="008D0565" w:rsidP="00D61F73">
      <w:pPr>
        <w:rPr>
          <w:rFonts w:ascii="Arial" w:hAnsi="Arial" w:cs="Arial"/>
          <w:b/>
          <w:bCs/>
        </w:rPr>
      </w:pPr>
      <w:r w:rsidRPr="00D61F73">
        <w:rPr>
          <w:rFonts w:ascii="Arial" w:hAnsi="Arial" w:cs="Arial"/>
        </w:rPr>
        <w:br w:type="page"/>
      </w:r>
      <w:bookmarkStart w:id="476" w:name="Astin"/>
      <w:r w:rsidRPr="00D61F73">
        <w:rPr>
          <w:rFonts w:ascii="Arial" w:hAnsi="Arial" w:cs="Arial"/>
          <w:b/>
          <w:bCs/>
        </w:rPr>
        <w:lastRenderedPageBreak/>
        <w:t>Astin</w:t>
      </w:r>
      <w:bookmarkEnd w:id="476"/>
      <w:r w:rsidRPr="00D61F73">
        <w:rPr>
          <w:rFonts w:ascii="Arial" w:hAnsi="Arial" w:cs="Arial"/>
          <w:b/>
          <w:bCs/>
        </w:rPr>
        <w:t xml:space="preserve"> JA, Shapiro SL, Eisenberg DM, Forys KL, Mind-body medicine: state of the science, implications for practice, </w:t>
      </w:r>
      <w:r w:rsidRPr="00D61F73">
        <w:rPr>
          <w:rFonts w:ascii="Arial" w:hAnsi="Arial" w:cs="Arial"/>
          <w:b/>
          <w:bCs/>
          <w:i/>
          <w:iCs/>
        </w:rPr>
        <w:t>J Am Board Fam Pract.</w:t>
      </w:r>
      <w:r w:rsidRPr="00D61F73">
        <w:rPr>
          <w:rFonts w:ascii="Arial" w:hAnsi="Arial" w:cs="Arial"/>
          <w:b/>
          <w:bCs/>
        </w:rPr>
        <w:t xml:space="preserve"> 2003 Mar-Apr;16(2):131-47.</w:t>
      </w:r>
    </w:p>
    <w:p w14:paraId="2C2BEF2B" w14:textId="77777777" w:rsidR="008D0565" w:rsidRPr="00D61F73" w:rsidRDefault="008D0565" w:rsidP="00D61F73">
      <w:pPr>
        <w:rPr>
          <w:rFonts w:ascii="Arial" w:hAnsi="Arial" w:cs="Arial"/>
        </w:rPr>
      </w:pPr>
    </w:p>
    <w:p w14:paraId="2C830596" w14:textId="77777777" w:rsidR="008D0565" w:rsidRPr="00D61F73" w:rsidRDefault="008D0565" w:rsidP="00D61F73">
      <w:pPr>
        <w:rPr>
          <w:rFonts w:ascii="Arial" w:hAnsi="Arial" w:cs="Arial"/>
        </w:rPr>
      </w:pPr>
      <w:r w:rsidRPr="00D61F73">
        <w:rPr>
          <w:rFonts w:ascii="Arial" w:hAnsi="Arial" w:cs="Arial"/>
        </w:rPr>
        <w:t>BACKGROUND: Although emerging evidence during the past several decades suggests that psychosocial factors can directly influence both physiologic function and health outcomes. METHODS: RESULTS: Drawing principally from systematic reviews and meta-analyses, there is considerable evidence of efficacy for several mind-body therapies in the treatment of coronary artery disease (eg, cardiac rehabilitation), headaches, insomnia, incontinence, chronic low back pain.</w:t>
      </w:r>
    </w:p>
    <w:p w14:paraId="397A117A" w14:textId="77777777" w:rsidR="008D0565" w:rsidRPr="00D61F73" w:rsidRDefault="008D0565" w:rsidP="00D61F73">
      <w:pPr>
        <w:rPr>
          <w:rFonts w:ascii="Arial" w:hAnsi="Arial" w:cs="Arial"/>
        </w:rPr>
      </w:pPr>
    </w:p>
    <w:p w14:paraId="1AFD41D3" w14:textId="77777777" w:rsidR="008D0565" w:rsidRPr="00D61F73" w:rsidRDefault="008D0565" w:rsidP="00D61F73">
      <w:pPr>
        <w:rPr>
          <w:rFonts w:ascii="Arial" w:hAnsi="Arial" w:cs="Arial"/>
        </w:rPr>
      </w:pPr>
      <w:r w:rsidRPr="00D61F73">
        <w:rPr>
          <w:rFonts w:ascii="Arial" w:hAnsi="Arial" w:cs="Arial"/>
        </w:rPr>
        <w:t xml:space="preserve">PMID: </w:t>
      </w:r>
      <w:hyperlink r:id="rId234" w:history="1">
        <w:r w:rsidRPr="00D61F73">
          <w:rPr>
            <w:rStyle w:val="Hyperlink"/>
            <w:rFonts w:ascii="Arial" w:hAnsi="Arial" w:cs="Arial"/>
          </w:rPr>
          <w:t>12665179</w:t>
        </w:r>
      </w:hyperlink>
      <w:r w:rsidRPr="00D61F73">
        <w:rPr>
          <w:rFonts w:ascii="Arial" w:hAnsi="Arial" w:cs="Arial"/>
        </w:rPr>
        <w:t xml:space="preserve"> </w:t>
      </w:r>
    </w:p>
    <w:p w14:paraId="00D30097" w14:textId="77777777" w:rsidR="008D0565" w:rsidRPr="00D61F73" w:rsidRDefault="008D0565" w:rsidP="00D61F73">
      <w:pPr>
        <w:pStyle w:val="NormalWeb"/>
        <w:spacing w:before="0" w:beforeAutospacing="0" w:after="0" w:afterAutospacing="0"/>
        <w:rPr>
          <w:rFonts w:ascii="Arial" w:hAnsi="Arial" w:cs="Arial"/>
        </w:rPr>
      </w:pPr>
    </w:p>
    <w:p w14:paraId="39CA5887"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t>Rating: 1c</w:t>
      </w:r>
      <w:r w:rsidRPr="00D61F73">
        <w:rPr>
          <w:rFonts w:ascii="Arial" w:hAnsi="Arial" w:cs="Arial"/>
        </w:rPr>
        <w:br w:type="page"/>
      </w:r>
      <w:r w:rsidRPr="00D61F73">
        <w:rPr>
          <w:rFonts w:ascii="Arial" w:hAnsi="Arial" w:cs="Arial"/>
          <w:b/>
          <w:bCs/>
        </w:rPr>
        <w:lastRenderedPageBreak/>
        <w:t>A</w:t>
      </w:r>
      <w:bookmarkStart w:id="477" w:name="Atkins"/>
      <w:bookmarkEnd w:id="477"/>
      <w:r w:rsidRPr="00D61F73">
        <w:rPr>
          <w:rFonts w:ascii="Arial" w:hAnsi="Arial" w:cs="Arial"/>
          <w:b/>
          <w:bCs/>
        </w:rPr>
        <w:t xml:space="preserve">tkins D, Best D, Briss PA, Eccles M, Falck-Ytter Y, Flottorp S, Guyatt GH, Harbour RT, Haugh MC, Henry D, Hill S, Jaeschke R, Leng G, Liberati A, Magrini N, Mason J, Middleton P, Mrukowicz J, O'Connell D, Oxman AD, Phillips B, Schunemann HJ, Edejer TT, Varonen H, Vist GE, Williams JW Jr, Zaza S; GRADE Working Group. Grading quality of evidence and strength of recommendations. </w:t>
      </w:r>
      <w:r w:rsidRPr="00D61F73">
        <w:rPr>
          <w:rFonts w:ascii="Arial" w:hAnsi="Arial" w:cs="Arial"/>
          <w:b/>
          <w:bCs/>
          <w:i/>
          <w:iCs/>
        </w:rPr>
        <w:t>BMJ</w:t>
      </w:r>
      <w:r w:rsidRPr="00D61F73">
        <w:rPr>
          <w:rFonts w:ascii="Arial" w:hAnsi="Arial" w:cs="Arial"/>
          <w:b/>
          <w:bCs/>
        </w:rPr>
        <w:t>. 2004 Jun 19;328(7454):1490.</w:t>
      </w:r>
    </w:p>
    <w:p w14:paraId="22B30B50" w14:textId="77777777" w:rsidR="008D0565" w:rsidRPr="00D61F73" w:rsidRDefault="008D0565" w:rsidP="00D61F73">
      <w:pPr>
        <w:pStyle w:val="Footer"/>
        <w:tabs>
          <w:tab w:val="clear" w:pos="4320"/>
          <w:tab w:val="clear" w:pos="8640"/>
        </w:tabs>
        <w:rPr>
          <w:rFonts w:ascii="Arial" w:hAnsi="Arial" w:cs="Arial"/>
        </w:rPr>
      </w:pPr>
    </w:p>
    <w:p w14:paraId="49C5B9F4" w14:textId="77777777" w:rsidR="008D0565" w:rsidRPr="00D61F73" w:rsidRDefault="008D0565" w:rsidP="00D61F73">
      <w:pPr>
        <w:rPr>
          <w:rFonts w:ascii="Arial" w:hAnsi="Arial" w:cs="Arial"/>
        </w:rPr>
      </w:pPr>
      <w:r w:rsidRPr="00D61F73">
        <w:rPr>
          <w:rFonts w:ascii="Arial" w:hAnsi="Arial" w:cs="Arial"/>
        </w:rPr>
        <w:t xml:space="preserve">Judgments about the strength of a recommendation require consideration of the balance between benefits and harms, the quality of the evidence, translation of the evidence into specific circumstances, and the certainty of the baseline risk. It is also important to consider costs (resource utilisation) before making a recommendation. </w:t>
      </w:r>
    </w:p>
    <w:p w14:paraId="417BA0D4" w14:textId="77777777" w:rsidR="008D0565" w:rsidRPr="00D61F73" w:rsidRDefault="008D0565" w:rsidP="00D61F73">
      <w:pPr>
        <w:pStyle w:val="Footer"/>
        <w:tabs>
          <w:tab w:val="clear" w:pos="4320"/>
          <w:tab w:val="clear" w:pos="8640"/>
        </w:tabs>
        <w:rPr>
          <w:rFonts w:ascii="Arial" w:hAnsi="Arial" w:cs="Arial"/>
        </w:rPr>
      </w:pPr>
    </w:p>
    <w:p w14:paraId="3ED5C107" w14:textId="77777777" w:rsidR="008D0565" w:rsidRPr="00D61F73" w:rsidRDefault="008D0565" w:rsidP="00D61F73">
      <w:pPr>
        <w:rPr>
          <w:rFonts w:ascii="Arial" w:hAnsi="Arial" w:cs="Arial"/>
        </w:rPr>
      </w:pPr>
      <w:r w:rsidRPr="00D61F73">
        <w:rPr>
          <w:rFonts w:ascii="Arial" w:hAnsi="Arial" w:cs="Arial"/>
        </w:rPr>
        <w:t xml:space="preserve">PMID: </w:t>
      </w:r>
      <w:hyperlink r:id="rId235" w:history="1">
        <w:r w:rsidRPr="00D61F73">
          <w:rPr>
            <w:rStyle w:val="Hyperlink"/>
            <w:rFonts w:ascii="Arial" w:hAnsi="Arial" w:cs="Arial"/>
          </w:rPr>
          <w:t>15205295</w:t>
        </w:r>
      </w:hyperlink>
      <w:r w:rsidRPr="00D61F73">
        <w:rPr>
          <w:rFonts w:ascii="Arial" w:hAnsi="Arial" w:cs="Arial"/>
        </w:rPr>
        <w:t xml:space="preserve"> </w:t>
      </w:r>
    </w:p>
    <w:p w14:paraId="295B057B" w14:textId="77777777" w:rsidR="008D0565" w:rsidRPr="00D61F73" w:rsidRDefault="008D0565" w:rsidP="00D61F73">
      <w:pPr>
        <w:rPr>
          <w:rFonts w:ascii="Arial" w:hAnsi="Arial" w:cs="Arial"/>
        </w:rPr>
      </w:pPr>
    </w:p>
    <w:p w14:paraId="23EE14A8" w14:textId="77777777" w:rsidR="008D0565" w:rsidRPr="00D61F73" w:rsidRDefault="008D0565" w:rsidP="00D61F73">
      <w:pPr>
        <w:rPr>
          <w:rFonts w:ascii="Arial" w:hAnsi="Arial" w:cs="Arial"/>
        </w:rPr>
      </w:pPr>
      <w:r w:rsidRPr="00D61F73">
        <w:rPr>
          <w:rFonts w:ascii="Arial" w:hAnsi="Arial" w:cs="Arial"/>
        </w:rPr>
        <w:t>Rating: 5b</w:t>
      </w:r>
    </w:p>
    <w:p w14:paraId="7F9B23C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78" w:name="Attal"/>
      <w:bookmarkEnd w:id="478"/>
      <w:r w:rsidRPr="00D61F73">
        <w:rPr>
          <w:rFonts w:ascii="Arial" w:hAnsi="Arial" w:cs="Arial"/>
          <w:b/>
        </w:rPr>
        <w:t xml:space="preserve">ttal N, Cruccu G, Haanpää M, Hansson P, Jensen TS, Nurmikko T, Sampaio C, Sindrup S, Wiffen P; EFNS Task Force. EFNS guidelines on pharmacological treatment of neuropathic pain. </w:t>
      </w:r>
      <w:r w:rsidRPr="00D61F73">
        <w:rPr>
          <w:rFonts w:ascii="Arial" w:hAnsi="Arial" w:cs="Arial"/>
          <w:b/>
          <w:i/>
        </w:rPr>
        <w:t>Eur J Neurol</w:t>
      </w:r>
      <w:r w:rsidRPr="00D61F73">
        <w:rPr>
          <w:rFonts w:ascii="Arial" w:hAnsi="Arial" w:cs="Arial"/>
          <w:b/>
        </w:rPr>
        <w:t xml:space="preserve"> 2006;13:1153-69. </w:t>
      </w:r>
    </w:p>
    <w:p w14:paraId="7DB7A230" w14:textId="77777777" w:rsidR="008D0565" w:rsidRPr="00D61F73" w:rsidRDefault="008D0565" w:rsidP="00D61F73">
      <w:pPr>
        <w:rPr>
          <w:rFonts w:ascii="Arial" w:hAnsi="Arial" w:cs="Arial"/>
        </w:rPr>
      </w:pPr>
    </w:p>
    <w:p w14:paraId="08D60E0B" w14:textId="77777777" w:rsidR="008D0565" w:rsidRPr="00D61F73" w:rsidRDefault="008D0565" w:rsidP="00D61F73">
      <w:pPr>
        <w:rPr>
          <w:rFonts w:ascii="Arial" w:hAnsi="Arial" w:cs="Arial"/>
        </w:rPr>
      </w:pPr>
      <w:r w:rsidRPr="00D61F73">
        <w:rPr>
          <w:rFonts w:ascii="Arial" w:hAnsi="Arial" w:cs="Arial"/>
        </w:rPr>
        <w:t xml:space="preserve">Most of the randomized controlled trials included patients with postherpetic neuralgia (PHN) and painful polyneuropathies (PPN) mainly caused by diabetes. These trials provide level A evidence for the efficacy of tricyclic antidepressants, gabapentin, pregabalin and opioids, with a large number of class I trials, followed by topical lidocaine (in PHN) and the newer antidepressants venlafaxine and duloxetine (in PPN). The main peripheral pain conditions respond similarly well to tricyclic antidepressants, gabapentin, and pregabalin, but some conditions, such as HIV-associated polyneuropathy, are more refractory. </w:t>
      </w:r>
    </w:p>
    <w:p w14:paraId="16E56030" w14:textId="77777777" w:rsidR="008D0565" w:rsidRPr="00D61F73" w:rsidRDefault="008D0565" w:rsidP="00D61F73">
      <w:pPr>
        <w:rPr>
          <w:rFonts w:ascii="Arial" w:hAnsi="Arial" w:cs="Arial"/>
        </w:rPr>
      </w:pPr>
    </w:p>
    <w:p w14:paraId="78A7E102" w14:textId="77777777" w:rsidR="008D0565" w:rsidRPr="00D61F73" w:rsidRDefault="008D0565" w:rsidP="00D61F73">
      <w:pPr>
        <w:rPr>
          <w:rFonts w:ascii="Arial" w:hAnsi="Arial" w:cs="Arial"/>
        </w:rPr>
      </w:pPr>
      <w:r w:rsidRPr="00D61F73">
        <w:rPr>
          <w:rFonts w:ascii="Arial" w:hAnsi="Arial" w:cs="Arial"/>
        </w:rPr>
        <w:t xml:space="preserve">PMID: </w:t>
      </w:r>
      <w:hyperlink r:id="rId236" w:history="1">
        <w:r w:rsidRPr="00D61F73">
          <w:rPr>
            <w:rStyle w:val="Hyperlink"/>
            <w:rFonts w:ascii="Arial" w:hAnsi="Arial" w:cs="Arial"/>
          </w:rPr>
          <w:t>17038030</w:t>
        </w:r>
      </w:hyperlink>
    </w:p>
    <w:p w14:paraId="5B70062E" w14:textId="77777777" w:rsidR="008D0565" w:rsidRPr="00D61F73" w:rsidRDefault="008D0565" w:rsidP="00D61F73">
      <w:pPr>
        <w:rPr>
          <w:rFonts w:ascii="Arial" w:hAnsi="Arial" w:cs="Arial"/>
        </w:rPr>
      </w:pPr>
    </w:p>
    <w:p w14:paraId="73AA07AC" w14:textId="77777777" w:rsidR="008D0565" w:rsidRPr="00D61F73" w:rsidRDefault="008D0565" w:rsidP="00D61F73">
      <w:pPr>
        <w:rPr>
          <w:rFonts w:ascii="Arial" w:hAnsi="Arial" w:cs="Arial"/>
        </w:rPr>
      </w:pPr>
      <w:r w:rsidRPr="00D61F73">
        <w:rPr>
          <w:rFonts w:ascii="Arial" w:hAnsi="Arial" w:cs="Arial"/>
        </w:rPr>
        <w:t>Rating: 1A</w:t>
      </w:r>
    </w:p>
    <w:p w14:paraId="5CF54014"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A</w:t>
      </w:r>
      <w:bookmarkStart w:id="479" w:name="Aydin"/>
      <w:bookmarkEnd w:id="479"/>
      <w:r w:rsidRPr="00D61F73">
        <w:rPr>
          <w:rFonts w:ascii="Arial" w:hAnsi="Arial" w:cs="Arial"/>
          <w:b/>
        </w:rPr>
        <w:t xml:space="preserve">ydin G, Tomruk S, Keles I, Demir SO, Orkun S. Transcutaneous electrical nerve stimulation versus baclofen in spasticity: clinical and electrophysiologic comparison. </w:t>
      </w:r>
      <w:r w:rsidRPr="00D61F73">
        <w:rPr>
          <w:rFonts w:ascii="Arial" w:hAnsi="Arial" w:cs="Arial"/>
          <w:b/>
          <w:i/>
        </w:rPr>
        <w:t>Am J Phys Med Rehabil.</w:t>
      </w:r>
      <w:r w:rsidRPr="00D61F73">
        <w:rPr>
          <w:rFonts w:ascii="Arial" w:hAnsi="Arial" w:cs="Arial"/>
          <w:b/>
        </w:rPr>
        <w:t xml:space="preserve"> 2005 Aug;84(8):584-92. </w:t>
      </w:r>
    </w:p>
    <w:p w14:paraId="47A81D00" w14:textId="77777777" w:rsidR="008D0565" w:rsidRPr="00D61F73" w:rsidRDefault="008D0565" w:rsidP="00D61F73">
      <w:pPr>
        <w:rPr>
          <w:rFonts w:ascii="Arial" w:hAnsi="Arial" w:cs="Arial"/>
        </w:rPr>
      </w:pPr>
    </w:p>
    <w:p w14:paraId="176D6BC2" w14:textId="77777777" w:rsidR="008D0565" w:rsidRPr="00D61F73" w:rsidRDefault="008D0565" w:rsidP="00D61F73">
      <w:pPr>
        <w:rPr>
          <w:rFonts w:ascii="Arial" w:hAnsi="Arial" w:cs="Arial"/>
        </w:rPr>
      </w:pPr>
      <w:r w:rsidRPr="00D61F73">
        <w:rPr>
          <w:rFonts w:ascii="Arial" w:hAnsi="Arial" w:cs="Arial"/>
        </w:rPr>
        <w:t>DESIGN: Patients with spinal cord injury and spasticity were included in the study. Ten patients were assigned to oral baclofen and 11 to TENS groups. For the comparison of H-reflex variables, 20 healthy individuals were allocated to a control group. The percentage change in clinical, electrophysiologic, and functional variables caused by baclofen was not different from that caused by repeated applications of TENS in the short- and long-term evaluations (P &gt; 0.05). CONCLUSION: TENS may be recommended as a supplement to medical treatment in the management of spasticity.</w:t>
      </w:r>
    </w:p>
    <w:p w14:paraId="5BCBB463" w14:textId="77777777" w:rsidR="008D0565" w:rsidRPr="00D61F73" w:rsidRDefault="008D0565" w:rsidP="00D61F73">
      <w:pPr>
        <w:rPr>
          <w:rFonts w:ascii="Arial" w:hAnsi="Arial" w:cs="Arial"/>
        </w:rPr>
      </w:pPr>
    </w:p>
    <w:p w14:paraId="30D41BAC" w14:textId="77777777" w:rsidR="008D0565" w:rsidRPr="00D61F73" w:rsidRDefault="008D0565" w:rsidP="00D61F73">
      <w:pPr>
        <w:rPr>
          <w:rFonts w:ascii="Arial" w:hAnsi="Arial" w:cs="Arial"/>
          <w:b/>
        </w:rPr>
      </w:pPr>
      <w:r w:rsidRPr="00D61F73">
        <w:rPr>
          <w:rFonts w:ascii="Arial" w:hAnsi="Arial" w:cs="Arial"/>
        </w:rPr>
        <w:t xml:space="preserve">PMID: </w:t>
      </w:r>
      <w:hyperlink r:id="rId237" w:history="1">
        <w:r w:rsidRPr="00D61F73">
          <w:rPr>
            <w:rStyle w:val="Hyperlink"/>
            <w:rFonts w:ascii="Arial" w:hAnsi="Arial" w:cs="Arial"/>
          </w:rPr>
          <w:t>16034227</w:t>
        </w:r>
      </w:hyperlink>
      <w:r w:rsidRPr="00D61F73">
        <w:rPr>
          <w:rFonts w:ascii="Arial" w:hAnsi="Arial" w:cs="Arial"/>
          <w:b/>
        </w:rPr>
        <w:t xml:space="preserve"> </w:t>
      </w:r>
    </w:p>
    <w:p w14:paraId="543669ED" w14:textId="77777777" w:rsidR="008D0565" w:rsidRPr="00D61F73" w:rsidRDefault="008D0565" w:rsidP="00D61F73">
      <w:pPr>
        <w:rPr>
          <w:rFonts w:ascii="Arial" w:hAnsi="Arial" w:cs="Arial"/>
          <w:b/>
        </w:rPr>
      </w:pPr>
    </w:p>
    <w:p w14:paraId="468A9E23" w14:textId="77777777" w:rsidR="008D0565" w:rsidRPr="00D61F73" w:rsidRDefault="008D0565" w:rsidP="00D61F73">
      <w:pPr>
        <w:rPr>
          <w:rFonts w:ascii="Arial" w:hAnsi="Arial" w:cs="Arial"/>
        </w:rPr>
      </w:pPr>
      <w:r w:rsidRPr="00D61F73">
        <w:rPr>
          <w:rFonts w:ascii="Arial" w:hAnsi="Arial" w:cs="Arial"/>
        </w:rPr>
        <w:t>Rating: 2c</w:t>
      </w:r>
    </w:p>
    <w:p w14:paraId="4EE173E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480" w:name="Backonja2004"/>
      <w:bookmarkEnd w:id="480"/>
      <w:r w:rsidRPr="00D61F73">
        <w:rPr>
          <w:rFonts w:ascii="Arial" w:hAnsi="Arial" w:cs="Arial"/>
          <w:b/>
        </w:rPr>
        <w:t xml:space="preserve">ackonja MM, Serra J. Pharmacologic management part 1: better-studied neuropathic pain diseases. </w:t>
      </w:r>
      <w:r w:rsidRPr="00D61F73">
        <w:rPr>
          <w:rFonts w:ascii="Arial" w:hAnsi="Arial" w:cs="Arial"/>
          <w:b/>
          <w:i/>
        </w:rPr>
        <w:t>Pain Med</w:t>
      </w:r>
      <w:r w:rsidRPr="00D61F73">
        <w:rPr>
          <w:rFonts w:ascii="Arial" w:hAnsi="Arial" w:cs="Arial"/>
          <w:b/>
        </w:rPr>
        <w:t>. 2004;5:S28-47.</w:t>
      </w:r>
    </w:p>
    <w:p w14:paraId="3A28B19F" w14:textId="77777777" w:rsidR="008D0565" w:rsidRPr="00D61F73" w:rsidRDefault="008D0565" w:rsidP="00D61F73">
      <w:pPr>
        <w:rPr>
          <w:rFonts w:ascii="Arial" w:hAnsi="Arial" w:cs="Arial"/>
        </w:rPr>
      </w:pPr>
    </w:p>
    <w:p w14:paraId="463303E4" w14:textId="77777777" w:rsidR="008D0565" w:rsidRPr="00D61F73" w:rsidRDefault="008D0565" w:rsidP="00D61F73">
      <w:pPr>
        <w:rPr>
          <w:rFonts w:ascii="Arial" w:hAnsi="Arial" w:cs="Arial"/>
        </w:rPr>
      </w:pPr>
      <w:r w:rsidRPr="00D61F73">
        <w:rPr>
          <w:rFonts w:ascii="Arial" w:hAnsi="Arial" w:cs="Arial"/>
        </w:rPr>
        <w:t>This review summarizes the published results of randomized trials involving treatment for neuropathic pain conditions.</w:t>
      </w:r>
    </w:p>
    <w:p w14:paraId="2E292795" w14:textId="77777777" w:rsidR="008D0565" w:rsidRPr="00D61F73" w:rsidRDefault="008D0565" w:rsidP="00D61F73">
      <w:pPr>
        <w:rPr>
          <w:rFonts w:ascii="Arial" w:hAnsi="Arial" w:cs="Arial"/>
        </w:rPr>
      </w:pPr>
    </w:p>
    <w:p w14:paraId="7BE04C3A" w14:textId="77777777" w:rsidR="008D0565" w:rsidRPr="00D61F73" w:rsidRDefault="008D0565" w:rsidP="00D61F73">
      <w:pPr>
        <w:rPr>
          <w:rFonts w:ascii="Arial" w:hAnsi="Arial" w:cs="Arial"/>
          <w:b/>
        </w:rPr>
      </w:pPr>
      <w:r w:rsidRPr="00D61F73">
        <w:rPr>
          <w:rFonts w:ascii="Arial" w:hAnsi="Arial" w:cs="Arial"/>
        </w:rPr>
        <w:t xml:space="preserve">PMID: </w:t>
      </w:r>
      <w:hyperlink r:id="rId238" w:history="1">
        <w:r w:rsidRPr="00D61F73">
          <w:rPr>
            <w:rStyle w:val="Hyperlink"/>
            <w:rFonts w:ascii="Arial" w:hAnsi="Arial" w:cs="Arial"/>
          </w:rPr>
          <w:t>14996228</w:t>
        </w:r>
      </w:hyperlink>
      <w:r w:rsidRPr="00D61F73">
        <w:rPr>
          <w:rFonts w:ascii="Arial" w:hAnsi="Arial" w:cs="Arial"/>
          <w:b/>
        </w:rPr>
        <w:t xml:space="preserve"> </w:t>
      </w:r>
    </w:p>
    <w:p w14:paraId="66D949C0" w14:textId="77777777" w:rsidR="008D0565" w:rsidRPr="00D61F73" w:rsidRDefault="008D0565" w:rsidP="00D61F73">
      <w:pPr>
        <w:rPr>
          <w:rFonts w:ascii="Arial" w:hAnsi="Arial" w:cs="Arial"/>
          <w:b/>
        </w:rPr>
      </w:pPr>
    </w:p>
    <w:p w14:paraId="38EF2E2E" w14:textId="77777777" w:rsidR="008D0565" w:rsidRPr="00D61F73" w:rsidRDefault="008D0565" w:rsidP="00D61F73">
      <w:pPr>
        <w:rPr>
          <w:rFonts w:ascii="Arial" w:hAnsi="Arial" w:cs="Arial"/>
        </w:rPr>
      </w:pPr>
      <w:r w:rsidRPr="00D61F73">
        <w:rPr>
          <w:rFonts w:ascii="Arial" w:hAnsi="Arial" w:cs="Arial"/>
        </w:rPr>
        <w:t>Rating: 5a</w:t>
      </w:r>
    </w:p>
    <w:p w14:paraId="4ACB75F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bCs/>
        </w:rPr>
        <w:lastRenderedPageBreak/>
        <w:t>B</w:t>
      </w:r>
      <w:bookmarkStart w:id="481" w:name="Backonja2002"/>
      <w:bookmarkEnd w:id="481"/>
      <w:r w:rsidRPr="00D61F73">
        <w:rPr>
          <w:rFonts w:ascii="Arial" w:hAnsi="Arial" w:cs="Arial"/>
          <w:b/>
          <w:bCs/>
        </w:rPr>
        <w:t>ackonja MM</w:t>
      </w:r>
      <w:r w:rsidRPr="00D61F73">
        <w:rPr>
          <w:rFonts w:ascii="Arial" w:hAnsi="Arial" w:cs="Arial"/>
          <w:b/>
        </w:rPr>
        <w:t xml:space="preserve">. Use of anticonvulsants for treatment of neuropathic pain. </w:t>
      </w:r>
      <w:r w:rsidRPr="00D61F73">
        <w:rPr>
          <w:rFonts w:ascii="Arial" w:hAnsi="Arial" w:cs="Arial"/>
          <w:b/>
          <w:i/>
        </w:rPr>
        <w:t>Neurology</w:t>
      </w:r>
      <w:r w:rsidRPr="00D61F73">
        <w:rPr>
          <w:rFonts w:ascii="Arial" w:hAnsi="Arial" w:cs="Arial"/>
          <w:b/>
        </w:rPr>
        <w:t>. 2002. 10:59:s14-7.</w:t>
      </w:r>
    </w:p>
    <w:p w14:paraId="7A79B46F" w14:textId="77777777" w:rsidR="008D0565" w:rsidRPr="00D61F73" w:rsidRDefault="008D0565" w:rsidP="00D61F73">
      <w:pPr>
        <w:rPr>
          <w:rFonts w:ascii="Arial" w:hAnsi="Arial" w:cs="Arial"/>
        </w:rPr>
      </w:pPr>
    </w:p>
    <w:p w14:paraId="2A0C0481"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Lamotrigine has been reported to be effective in relieving pain from trigeminal neuralgia refractory to other treatments, HIV neuropathy, and central post-stroke pain. </w:t>
      </w:r>
    </w:p>
    <w:p w14:paraId="2A159E35" w14:textId="77777777" w:rsidR="008D0565" w:rsidRPr="00D61F73" w:rsidRDefault="008D0565" w:rsidP="00D61F73">
      <w:pPr>
        <w:pStyle w:val="abstract"/>
        <w:spacing w:before="0" w:beforeAutospacing="0" w:after="0" w:afterAutospacing="0"/>
        <w:rPr>
          <w:rFonts w:ascii="Arial" w:hAnsi="Arial" w:cs="Arial"/>
        </w:rPr>
      </w:pPr>
    </w:p>
    <w:p w14:paraId="1A632CD3"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239" w:history="1">
        <w:r w:rsidRPr="00D61F73">
          <w:rPr>
            <w:rStyle w:val="Hyperlink"/>
            <w:rFonts w:ascii="Arial" w:hAnsi="Arial" w:cs="Arial"/>
          </w:rPr>
          <w:t>12221151</w:t>
        </w:r>
      </w:hyperlink>
    </w:p>
    <w:p w14:paraId="69BB5EC3" w14:textId="77777777" w:rsidR="008D0565" w:rsidRPr="00D61F73" w:rsidRDefault="008D0565" w:rsidP="00D61F73">
      <w:pPr>
        <w:pStyle w:val="pmid"/>
        <w:spacing w:before="0" w:beforeAutospacing="0" w:after="0" w:afterAutospacing="0"/>
        <w:rPr>
          <w:rFonts w:ascii="Arial" w:hAnsi="Arial" w:cs="Arial"/>
        </w:rPr>
      </w:pPr>
    </w:p>
    <w:p w14:paraId="542F3CF3"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1b</w:t>
      </w:r>
    </w:p>
    <w:p w14:paraId="33421583" w14:textId="77777777" w:rsidR="008D0565" w:rsidRPr="00D61F73" w:rsidRDefault="008D0565" w:rsidP="00D61F73">
      <w:pPr>
        <w:rPr>
          <w:rFonts w:ascii="Arial" w:hAnsi="Arial" w:cs="Arial"/>
          <w:b/>
        </w:rPr>
      </w:pPr>
    </w:p>
    <w:p w14:paraId="0940174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482" w:name="Backonja1998"/>
      <w:bookmarkEnd w:id="482"/>
      <w:r w:rsidRPr="00D61F73">
        <w:rPr>
          <w:rFonts w:ascii="Arial" w:hAnsi="Arial" w:cs="Arial"/>
          <w:b/>
          <w:bCs/>
        </w:rPr>
        <w:t xml:space="preserve">ackonja M, Beydoun A, Edwards KR, Schwartz SL, Fonseca V, Hes M, LaMoreaux L, Garofalo E. Gabapentin for the symptomatic treatment of painful neuropathy in patients with diabetes mellitus: a randomized controlled trial. </w:t>
      </w:r>
      <w:r w:rsidRPr="00D61F73">
        <w:rPr>
          <w:rFonts w:ascii="Arial" w:hAnsi="Arial" w:cs="Arial"/>
          <w:b/>
          <w:bCs/>
          <w:i/>
          <w:iCs/>
        </w:rPr>
        <w:t>JAMA</w:t>
      </w:r>
      <w:r w:rsidRPr="00D61F73">
        <w:rPr>
          <w:rFonts w:ascii="Arial" w:hAnsi="Arial" w:cs="Arial"/>
          <w:b/>
          <w:bCs/>
        </w:rPr>
        <w:t>. 1998 Dec 2;280(21):1831-6.</w:t>
      </w:r>
    </w:p>
    <w:p w14:paraId="7AC9228E" w14:textId="77777777" w:rsidR="008D0565" w:rsidRPr="00D61F73" w:rsidRDefault="008D0565" w:rsidP="00D61F73">
      <w:pPr>
        <w:rPr>
          <w:rFonts w:ascii="Arial" w:hAnsi="Arial" w:cs="Arial"/>
        </w:rPr>
      </w:pPr>
    </w:p>
    <w:p w14:paraId="113F8ACA" w14:textId="77777777" w:rsidR="008D0565" w:rsidRPr="00D61F73" w:rsidRDefault="008D0565" w:rsidP="00D61F73">
      <w:pPr>
        <w:rPr>
          <w:rFonts w:ascii="Arial" w:hAnsi="Arial" w:cs="Arial"/>
        </w:rPr>
      </w:pPr>
      <w:r w:rsidRPr="00D61F73">
        <w:rPr>
          <w:rFonts w:ascii="Arial" w:hAnsi="Arial" w:cs="Arial"/>
        </w:rPr>
        <w:t>CONCLUSION: Gabapentin monotherapy appears to be efficacious for the treatment of pain and sleep interference associated with diabetic peripheral neuropathy and exhibits positive effects on mood and quality of life.</w:t>
      </w:r>
    </w:p>
    <w:p w14:paraId="4DBC1BC2" w14:textId="77777777" w:rsidR="008D0565" w:rsidRPr="00D61F73" w:rsidRDefault="008D0565" w:rsidP="00D61F73">
      <w:pPr>
        <w:rPr>
          <w:rFonts w:ascii="Arial" w:hAnsi="Arial" w:cs="Arial"/>
        </w:rPr>
      </w:pPr>
    </w:p>
    <w:p w14:paraId="4481BA0B" w14:textId="77777777" w:rsidR="008D0565" w:rsidRPr="00D61F73" w:rsidRDefault="008D0565" w:rsidP="00D61F73">
      <w:pPr>
        <w:rPr>
          <w:rFonts w:ascii="Arial" w:hAnsi="Arial" w:cs="Arial"/>
        </w:rPr>
      </w:pPr>
      <w:r w:rsidRPr="00D61F73">
        <w:rPr>
          <w:rFonts w:ascii="Arial" w:hAnsi="Arial" w:cs="Arial"/>
        </w:rPr>
        <w:t xml:space="preserve">PMID: </w:t>
      </w:r>
      <w:hyperlink r:id="rId240" w:history="1">
        <w:r w:rsidRPr="00D61F73">
          <w:rPr>
            <w:rStyle w:val="Hyperlink"/>
            <w:rFonts w:ascii="Arial" w:hAnsi="Arial" w:cs="Arial"/>
          </w:rPr>
          <w:t>9846777</w:t>
        </w:r>
      </w:hyperlink>
      <w:r w:rsidRPr="00D61F73">
        <w:rPr>
          <w:rFonts w:ascii="Arial" w:hAnsi="Arial" w:cs="Arial"/>
        </w:rPr>
        <w:t xml:space="preserve"> </w:t>
      </w:r>
    </w:p>
    <w:p w14:paraId="3FCB064C" w14:textId="77777777" w:rsidR="008D0565" w:rsidRPr="00D61F73" w:rsidRDefault="008D0565" w:rsidP="00D61F73">
      <w:pPr>
        <w:rPr>
          <w:rFonts w:ascii="Arial" w:hAnsi="Arial" w:cs="Arial"/>
        </w:rPr>
      </w:pPr>
    </w:p>
    <w:p w14:paraId="6ABD6454" w14:textId="77777777" w:rsidR="008D0565" w:rsidRPr="00D61F73" w:rsidRDefault="008D0565" w:rsidP="00D61F73">
      <w:pPr>
        <w:rPr>
          <w:rFonts w:ascii="Arial" w:hAnsi="Arial" w:cs="Arial"/>
        </w:rPr>
      </w:pPr>
      <w:r w:rsidRPr="00D61F73">
        <w:rPr>
          <w:rFonts w:ascii="Arial" w:hAnsi="Arial" w:cs="Arial"/>
        </w:rPr>
        <w:t>Rating: 2b</w:t>
      </w:r>
    </w:p>
    <w:p w14:paraId="7EBED8B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483" w:name="Bader2013"/>
      <w:bookmarkEnd w:id="483"/>
      <w:r w:rsidRPr="00D61F73">
        <w:rPr>
          <w:rFonts w:ascii="Arial" w:hAnsi="Arial" w:cs="Arial"/>
          <w:b/>
          <w:bCs/>
        </w:rPr>
        <w:t xml:space="preserve">ader S, Dürk T, Becker G. Methylnaltrexone for the treatment of opioid-induced constipation. </w:t>
      </w:r>
      <w:r w:rsidRPr="00D61F73">
        <w:rPr>
          <w:rFonts w:ascii="Arial" w:hAnsi="Arial" w:cs="Arial"/>
          <w:b/>
          <w:bCs/>
          <w:i/>
          <w:iCs/>
        </w:rPr>
        <w:t>Expert Rev Gastroenterol Hepatol</w:t>
      </w:r>
      <w:r w:rsidRPr="00D61F73">
        <w:rPr>
          <w:rFonts w:ascii="Arial" w:hAnsi="Arial" w:cs="Arial"/>
          <w:b/>
          <w:bCs/>
        </w:rPr>
        <w:t>. 2013 Jan;7(1):13-26. doi: 10.1586/egh.12.63.</w:t>
      </w:r>
    </w:p>
    <w:p w14:paraId="7A8D858D" w14:textId="77777777" w:rsidR="008D0565" w:rsidRPr="00D61F73" w:rsidRDefault="008D0565" w:rsidP="00D61F73">
      <w:pPr>
        <w:rPr>
          <w:rFonts w:ascii="Arial" w:hAnsi="Arial" w:cs="Arial"/>
        </w:rPr>
      </w:pPr>
    </w:p>
    <w:p w14:paraId="224969BC" w14:textId="77777777" w:rsidR="008D0565" w:rsidRPr="00D61F73" w:rsidRDefault="008D0565" w:rsidP="00D61F73">
      <w:pPr>
        <w:rPr>
          <w:rFonts w:ascii="Arial" w:hAnsi="Arial" w:cs="Arial"/>
        </w:rPr>
      </w:pPr>
      <w:r w:rsidRPr="00D61F73">
        <w:rPr>
          <w:rFonts w:ascii="Arial" w:hAnsi="Arial" w:cs="Arial"/>
        </w:rPr>
        <w:t xml:space="preserve">PMID: </w:t>
      </w:r>
      <w:hyperlink r:id="rId241" w:history="1">
        <w:r w:rsidRPr="00D61F73">
          <w:rPr>
            <w:rStyle w:val="Hyperlink"/>
            <w:rFonts w:ascii="Arial" w:hAnsi="Arial" w:cs="Arial"/>
          </w:rPr>
          <w:t>23265145</w:t>
        </w:r>
      </w:hyperlink>
    </w:p>
    <w:p w14:paraId="756A2058" w14:textId="77777777" w:rsidR="008D0565" w:rsidRPr="00D61F73" w:rsidRDefault="008D0565" w:rsidP="00D61F73">
      <w:pPr>
        <w:rPr>
          <w:rFonts w:ascii="Arial" w:hAnsi="Arial" w:cs="Arial"/>
        </w:rPr>
      </w:pPr>
    </w:p>
    <w:p w14:paraId="0367C203" w14:textId="77777777" w:rsidR="008D0565" w:rsidRPr="00D61F73" w:rsidRDefault="008D0565" w:rsidP="00D61F73">
      <w:pPr>
        <w:rPr>
          <w:rFonts w:ascii="Arial" w:hAnsi="Arial" w:cs="Arial"/>
        </w:rPr>
      </w:pPr>
      <w:r w:rsidRPr="00D61F73">
        <w:rPr>
          <w:rFonts w:ascii="Arial" w:hAnsi="Arial" w:cs="Arial"/>
        </w:rPr>
        <w:t>Rating: 5b</w:t>
      </w:r>
    </w:p>
    <w:p w14:paraId="3E8AB240"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B</w:t>
      </w:r>
      <w:bookmarkStart w:id="484" w:name="Baillargeon"/>
      <w:bookmarkEnd w:id="484"/>
      <w:r w:rsidRPr="00D61F73">
        <w:rPr>
          <w:rFonts w:ascii="Arial" w:hAnsi="Arial" w:cs="Arial"/>
          <w:b/>
          <w:bCs/>
        </w:rPr>
        <w:t xml:space="preserve">aillargeon L, Landreville P, Verreault R, Beauchemin JP, Gregoire JP, Morin CM. Discontinuation of benzodiazepines among older insomniac adults treated with cognitive-behavioural therapy combined with gradual tapering: a randomized trial. </w:t>
      </w:r>
      <w:r w:rsidRPr="00D61F73">
        <w:rPr>
          <w:rFonts w:ascii="Arial" w:hAnsi="Arial" w:cs="Arial"/>
          <w:b/>
          <w:bCs/>
          <w:i/>
          <w:iCs/>
        </w:rPr>
        <w:t>CMAJ</w:t>
      </w:r>
      <w:r w:rsidRPr="00D61F73">
        <w:rPr>
          <w:rFonts w:ascii="Arial" w:hAnsi="Arial" w:cs="Arial"/>
          <w:b/>
          <w:bCs/>
        </w:rPr>
        <w:t>. 2003 Nov 11;169(10):1015-20</w:t>
      </w:r>
      <w:r w:rsidRPr="00D61F73">
        <w:rPr>
          <w:rFonts w:ascii="Arial" w:hAnsi="Arial" w:cs="Arial"/>
        </w:rPr>
        <w:t>.</w:t>
      </w:r>
    </w:p>
    <w:p w14:paraId="69E50DD3" w14:textId="77777777" w:rsidR="008D0565" w:rsidRPr="00D61F73" w:rsidRDefault="008D0565" w:rsidP="00D61F73">
      <w:pPr>
        <w:rPr>
          <w:rFonts w:ascii="Arial" w:hAnsi="Arial" w:cs="Arial"/>
        </w:rPr>
      </w:pPr>
    </w:p>
    <w:p w14:paraId="135049EC" w14:textId="77777777" w:rsidR="008D0565" w:rsidRPr="00D61F73" w:rsidRDefault="008D0565" w:rsidP="00D61F73">
      <w:pPr>
        <w:rPr>
          <w:rFonts w:ascii="Arial" w:hAnsi="Arial" w:cs="Arial"/>
        </w:rPr>
      </w:pPr>
      <w:r w:rsidRPr="00D61F73">
        <w:rPr>
          <w:rFonts w:ascii="Arial" w:hAnsi="Arial" w:cs="Arial"/>
        </w:rPr>
        <w:t>INTERPRETATION: A combination of cognitive-behavioural therapy and benzodiazepine tapering was superior to tapering alone in the management of patients with insomnia and chronic benzodiazepine use.</w:t>
      </w:r>
    </w:p>
    <w:p w14:paraId="0A30964A" w14:textId="77777777" w:rsidR="008D0565" w:rsidRPr="00D61F73" w:rsidRDefault="008D0565" w:rsidP="00D61F73">
      <w:pPr>
        <w:rPr>
          <w:rFonts w:ascii="Arial" w:hAnsi="Arial" w:cs="Arial"/>
        </w:rPr>
      </w:pPr>
    </w:p>
    <w:p w14:paraId="0502472A" w14:textId="77777777" w:rsidR="008D0565" w:rsidRPr="00D61F73" w:rsidRDefault="008D0565" w:rsidP="00D61F73">
      <w:pPr>
        <w:rPr>
          <w:rFonts w:ascii="Arial" w:hAnsi="Arial" w:cs="Arial"/>
        </w:rPr>
      </w:pPr>
      <w:r w:rsidRPr="00D61F73">
        <w:rPr>
          <w:rFonts w:ascii="Arial" w:hAnsi="Arial" w:cs="Arial"/>
        </w:rPr>
        <w:t xml:space="preserve">PMID: </w:t>
      </w:r>
      <w:hyperlink r:id="rId242" w:history="1">
        <w:r w:rsidRPr="00D61F73">
          <w:rPr>
            <w:rStyle w:val="Hyperlink"/>
            <w:rFonts w:ascii="Arial" w:hAnsi="Arial" w:cs="Arial"/>
          </w:rPr>
          <w:t>14609970</w:t>
        </w:r>
      </w:hyperlink>
      <w:r w:rsidRPr="00D61F73">
        <w:rPr>
          <w:rFonts w:ascii="Arial" w:hAnsi="Arial" w:cs="Arial"/>
        </w:rPr>
        <w:t xml:space="preserve"> </w:t>
      </w:r>
    </w:p>
    <w:p w14:paraId="4370C52A" w14:textId="77777777" w:rsidR="008D0565" w:rsidRPr="00D61F73" w:rsidRDefault="008D0565" w:rsidP="00D61F73">
      <w:pPr>
        <w:rPr>
          <w:rFonts w:ascii="Arial" w:hAnsi="Arial" w:cs="Arial"/>
        </w:rPr>
      </w:pPr>
    </w:p>
    <w:p w14:paraId="5848AADB" w14:textId="77777777" w:rsidR="008D0565" w:rsidRPr="00D61F73" w:rsidRDefault="008D0565" w:rsidP="00D61F73">
      <w:pPr>
        <w:rPr>
          <w:rFonts w:ascii="Arial" w:hAnsi="Arial" w:cs="Arial"/>
        </w:rPr>
      </w:pPr>
      <w:r w:rsidRPr="00D61F73">
        <w:rPr>
          <w:rFonts w:ascii="Arial" w:hAnsi="Arial" w:cs="Arial"/>
        </w:rPr>
        <w:t>Rating: 2b</w:t>
      </w:r>
    </w:p>
    <w:p w14:paraId="76CF8226" w14:textId="77777777" w:rsidR="0056689C" w:rsidRPr="00D61F73" w:rsidRDefault="0056689C" w:rsidP="00D61F73">
      <w:pPr>
        <w:rPr>
          <w:rFonts w:ascii="Arial" w:hAnsi="Arial" w:cs="Arial"/>
        </w:rPr>
      </w:pPr>
      <w:r w:rsidRPr="00D61F73">
        <w:rPr>
          <w:rFonts w:ascii="Arial" w:hAnsi="Arial" w:cs="Arial"/>
        </w:rPr>
        <w:br w:type="page"/>
      </w:r>
      <w:bookmarkStart w:id="485" w:name="Bailey2014"/>
      <w:r w:rsidRPr="00D61F73">
        <w:rPr>
          <w:rFonts w:ascii="Arial" w:hAnsi="Arial" w:cs="Arial"/>
          <w:b/>
        </w:rPr>
        <w:lastRenderedPageBreak/>
        <w:t xml:space="preserve">Bailey AM, </w:t>
      </w:r>
      <w:bookmarkEnd w:id="485"/>
      <w:r w:rsidRPr="00D61F73">
        <w:rPr>
          <w:rFonts w:ascii="Arial" w:hAnsi="Arial" w:cs="Arial"/>
          <w:b/>
        </w:rPr>
        <w:t>Wermeling DP. Naloxone for opioid overdose prevention: pharmacists' role in community-based practice settings. Ann Pharmacother. 2014; 48:601-6.</w:t>
      </w:r>
      <w:r w:rsidRPr="00D61F73">
        <w:rPr>
          <w:rFonts w:ascii="Arial" w:hAnsi="Arial" w:cs="Arial"/>
          <w:b/>
        </w:rPr>
        <w:br/>
      </w:r>
      <w:r w:rsidRPr="00D61F73">
        <w:rPr>
          <w:rFonts w:ascii="Arial" w:hAnsi="Arial" w:cs="Arial"/>
        </w:rPr>
        <w:br/>
        <w:t xml:space="preserve">PMID: </w:t>
      </w:r>
      <w:hyperlink r:id="rId243" w:history="1">
        <w:r w:rsidRPr="00D61F73">
          <w:rPr>
            <w:rStyle w:val="Hyperlink"/>
            <w:rFonts w:ascii="Arial" w:hAnsi="Arial" w:cs="Arial"/>
          </w:rPr>
          <w:t>24523396</w:t>
        </w:r>
      </w:hyperlink>
      <w:r w:rsidRPr="00D61F73">
        <w:rPr>
          <w:rFonts w:ascii="Arial" w:hAnsi="Arial" w:cs="Arial"/>
        </w:rPr>
        <w:br/>
      </w:r>
      <w:r w:rsidRPr="00D61F73">
        <w:rPr>
          <w:rFonts w:ascii="Arial" w:hAnsi="Arial" w:cs="Arial"/>
        </w:rPr>
        <w:br/>
        <w:t>Rating: 11b</w:t>
      </w:r>
    </w:p>
    <w:p w14:paraId="11C0EFE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486" w:name="Bair"/>
      <w:bookmarkEnd w:id="486"/>
      <w:r w:rsidRPr="00D61F73">
        <w:rPr>
          <w:rFonts w:ascii="Arial" w:hAnsi="Arial" w:cs="Arial"/>
          <w:b/>
        </w:rPr>
        <w:t xml:space="preserve">air MJ, Wu J, Damush TM, Sutherland JM, Kroenke K. Association of depression and anxiety alone and in combination with chronic musculoskeletal pain in primary care patients. </w:t>
      </w:r>
      <w:r w:rsidRPr="00D61F73">
        <w:rPr>
          <w:rFonts w:ascii="Arial" w:hAnsi="Arial" w:cs="Arial"/>
          <w:b/>
          <w:i/>
        </w:rPr>
        <w:t>Psychosom Med</w:t>
      </w:r>
      <w:r w:rsidRPr="00D61F73">
        <w:rPr>
          <w:rFonts w:ascii="Arial" w:hAnsi="Arial" w:cs="Arial"/>
          <w:b/>
        </w:rPr>
        <w:t>. 2008;70:890-7.</w:t>
      </w:r>
    </w:p>
    <w:p w14:paraId="31C053C0" w14:textId="77777777" w:rsidR="008D0565" w:rsidRPr="00D61F73" w:rsidRDefault="008D0565" w:rsidP="00D61F73">
      <w:pPr>
        <w:rPr>
          <w:rFonts w:ascii="Arial" w:hAnsi="Arial" w:cs="Arial"/>
          <w:b/>
        </w:rPr>
      </w:pPr>
    </w:p>
    <w:p w14:paraId="3A59B6A1" w14:textId="77777777" w:rsidR="008D0565" w:rsidRPr="00D61F73" w:rsidRDefault="008D0565" w:rsidP="00D61F73">
      <w:pPr>
        <w:rPr>
          <w:rFonts w:ascii="Arial" w:hAnsi="Arial" w:cs="Arial"/>
        </w:rPr>
      </w:pPr>
      <w:r w:rsidRPr="00D61F73">
        <w:rPr>
          <w:rFonts w:ascii="Arial" w:hAnsi="Arial" w:cs="Arial"/>
        </w:rPr>
        <w:t>CONCLUSIONS: The added morbidity of depression and anxiety with chronic pain is strongly associated with more severe pain, greater disability, and poorer HRQL.</w:t>
      </w:r>
    </w:p>
    <w:p w14:paraId="1EC01C13" w14:textId="77777777" w:rsidR="008D0565" w:rsidRPr="00D61F73" w:rsidRDefault="008D0565" w:rsidP="00D61F73">
      <w:pPr>
        <w:rPr>
          <w:rFonts w:ascii="Arial" w:hAnsi="Arial" w:cs="Arial"/>
        </w:rPr>
      </w:pPr>
    </w:p>
    <w:p w14:paraId="4B01D9B9" w14:textId="77777777" w:rsidR="008D0565" w:rsidRPr="00D61F73" w:rsidRDefault="008D0565" w:rsidP="00D61F73">
      <w:pPr>
        <w:rPr>
          <w:rFonts w:ascii="Arial" w:hAnsi="Arial" w:cs="Arial"/>
        </w:rPr>
      </w:pPr>
      <w:r w:rsidRPr="00D61F73">
        <w:rPr>
          <w:rFonts w:ascii="Arial" w:hAnsi="Arial" w:cs="Arial"/>
        </w:rPr>
        <w:t xml:space="preserve">PMID: </w:t>
      </w:r>
      <w:hyperlink r:id="rId244" w:history="1">
        <w:r w:rsidRPr="00D61F73">
          <w:rPr>
            <w:rStyle w:val="Hyperlink"/>
            <w:rFonts w:ascii="Arial" w:hAnsi="Arial" w:cs="Arial"/>
          </w:rPr>
          <w:t>18799425</w:t>
        </w:r>
      </w:hyperlink>
      <w:r w:rsidRPr="00D61F73">
        <w:rPr>
          <w:rFonts w:ascii="Arial" w:hAnsi="Arial" w:cs="Arial"/>
        </w:rPr>
        <w:t xml:space="preserve"> </w:t>
      </w:r>
    </w:p>
    <w:p w14:paraId="210A595D" w14:textId="77777777" w:rsidR="008D0565" w:rsidRPr="00D61F73" w:rsidRDefault="008D0565" w:rsidP="00D61F73">
      <w:pPr>
        <w:rPr>
          <w:rFonts w:ascii="Arial" w:hAnsi="Arial" w:cs="Arial"/>
        </w:rPr>
      </w:pPr>
    </w:p>
    <w:p w14:paraId="2512FF62" w14:textId="77777777" w:rsidR="008D0565" w:rsidRPr="00D61F73" w:rsidRDefault="008D0565" w:rsidP="00D61F73">
      <w:pPr>
        <w:rPr>
          <w:rFonts w:ascii="Arial" w:hAnsi="Arial" w:cs="Arial"/>
        </w:rPr>
      </w:pPr>
      <w:r w:rsidRPr="00D61F73">
        <w:rPr>
          <w:rFonts w:ascii="Arial" w:hAnsi="Arial" w:cs="Arial"/>
        </w:rPr>
        <w:t>Rating 3a</w:t>
      </w:r>
    </w:p>
    <w:p w14:paraId="64DC07B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487" w:name="Baldwin"/>
      <w:bookmarkEnd w:id="487"/>
      <w:r w:rsidRPr="00D61F73">
        <w:rPr>
          <w:rFonts w:ascii="Arial" w:hAnsi="Arial" w:cs="Arial"/>
          <w:b/>
        </w:rPr>
        <w:t xml:space="preserve">aldwin DS, Anderson IM, Nutt DJ, Bandelow B, Bond A, Davidson JR, den Boer JA, Fineberg NA, Knapp M, Scott J, Wittchen HU; British Association for Psychopharmacology. Evidence-based guidelines for the pharmacological treatment of anxiety disorders: recommendations from the British Association for Psychopharmacology. </w:t>
      </w:r>
      <w:r w:rsidRPr="00D61F73">
        <w:rPr>
          <w:rFonts w:ascii="Arial" w:hAnsi="Arial" w:cs="Arial"/>
          <w:b/>
          <w:i/>
        </w:rPr>
        <w:t>J Psychopharmacol</w:t>
      </w:r>
      <w:r w:rsidRPr="00D61F73">
        <w:rPr>
          <w:rFonts w:ascii="Arial" w:hAnsi="Arial" w:cs="Arial"/>
          <w:b/>
        </w:rPr>
        <w:t>. 2005; 19:567-96.</w:t>
      </w:r>
    </w:p>
    <w:p w14:paraId="68213C17" w14:textId="77777777" w:rsidR="008D0565" w:rsidRPr="00D61F73" w:rsidRDefault="008D0565" w:rsidP="00D61F73">
      <w:pPr>
        <w:rPr>
          <w:rFonts w:ascii="Arial" w:hAnsi="Arial" w:cs="Arial"/>
          <w:b/>
        </w:rPr>
      </w:pPr>
    </w:p>
    <w:p w14:paraId="5E0B302C" w14:textId="77777777" w:rsidR="008D0565" w:rsidRPr="00D61F73" w:rsidRDefault="008D0565" w:rsidP="00D61F73">
      <w:pPr>
        <w:rPr>
          <w:rFonts w:ascii="Arial" w:hAnsi="Arial" w:cs="Arial"/>
        </w:rPr>
      </w:pPr>
      <w:r w:rsidRPr="00D61F73">
        <w:rPr>
          <w:rFonts w:ascii="Arial" w:hAnsi="Arial" w:cs="Arial"/>
        </w:rPr>
        <w:t xml:space="preserve">PMID: </w:t>
      </w:r>
      <w:hyperlink r:id="rId245" w:history="1">
        <w:r w:rsidRPr="00D61F73">
          <w:rPr>
            <w:rStyle w:val="Hyperlink"/>
            <w:rFonts w:ascii="Arial" w:hAnsi="Arial" w:cs="Arial"/>
          </w:rPr>
          <w:t>16272179</w:t>
        </w:r>
      </w:hyperlink>
    </w:p>
    <w:p w14:paraId="6E43DE73" w14:textId="77777777" w:rsidR="008D0565" w:rsidRPr="00D61F73" w:rsidRDefault="008D0565" w:rsidP="00D61F73">
      <w:pPr>
        <w:rPr>
          <w:rFonts w:ascii="Arial" w:hAnsi="Arial" w:cs="Arial"/>
        </w:rPr>
      </w:pPr>
    </w:p>
    <w:p w14:paraId="3CB9D325" w14:textId="77777777" w:rsidR="008D0565" w:rsidRPr="00D61F73" w:rsidRDefault="008D0565" w:rsidP="00D61F73">
      <w:pPr>
        <w:rPr>
          <w:rFonts w:ascii="Arial" w:hAnsi="Arial" w:cs="Arial"/>
        </w:rPr>
      </w:pPr>
      <w:r w:rsidRPr="00D61F73">
        <w:rPr>
          <w:rFonts w:ascii="Arial" w:hAnsi="Arial" w:cs="Arial"/>
        </w:rPr>
        <w:t>Rating: 5a</w:t>
      </w:r>
    </w:p>
    <w:p w14:paraId="3FE6058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488" w:name="Baliki"/>
      <w:bookmarkEnd w:id="488"/>
      <w:r w:rsidRPr="00D61F73">
        <w:rPr>
          <w:rFonts w:ascii="Arial" w:hAnsi="Arial" w:cs="Arial"/>
          <w:b/>
          <w:bCs/>
        </w:rPr>
        <w:t xml:space="preserve">aliki MN, Geha PY, Apkarian AV, Chialvo DR. Beyond feeling: chronic pain hurts the brain, disrupting the default-mode network dynamics. </w:t>
      </w:r>
      <w:r w:rsidRPr="00D61F73">
        <w:rPr>
          <w:rFonts w:ascii="Arial" w:hAnsi="Arial" w:cs="Arial"/>
          <w:b/>
          <w:bCs/>
          <w:i/>
          <w:iCs/>
        </w:rPr>
        <w:t>J Neurosci</w:t>
      </w:r>
      <w:r w:rsidRPr="00D61F73">
        <w:rPr>
          <w:rFonts w:ascii="Arial" w:hAnsi="Arial" w:cs="Arial"/>
          <w:b/>
          <w:bCs/>
        </w:rPr>
        <w:t>. 2008 Feb 6;28(6):1398-403.</w:t>
      </w:r>
    </w:p>
    <w:p w14:paraId="766F4377" w14:textId="77777777" w:rsidR="008D0565" w:rsidRPr="00D61F73" w:rsidRDefault="008D0565" w:rsidP="00D61F73">
      <w:pPr>
        <w:rPr>
          <w:rFonts w:ascii="Arial" w:hAnsi="Arial" w:cs="Arial"/>
        </w:rPr>
      </w:pPr>
    </w:p>
    <w:p w14:paraId="257C1F3F" w14:textId="77777777" w:rsidR="008D0565" w:rsidRPr="00D61F73" w:rsidRDefault="008D0565" w:rsidP="00D61F73">
      <w:pPr>
        <w:rPr>
          <w:rFonts w:ascii="Arial" w:hAnsi="Arial" w:cs="Arial"/>
        </w:rPr>
      </w:pPr>
      <w:r w:rsidRPr="00D61F73">
        <w:rPr>
          <w:rFonts w:ascii="Arial" w:hAnsi="Arial" w:cs="Arial"/>
        </w:rPr>
        <w:t>Recent studies have demonstrated that chronic pain harms cortical areas unrelated to pain.</w:t>
      </w:r>
    </w:p>
    <w:p w14:paraId="25C786D6" w14:textId="77777777" w:rsidR="008D0565" w:rsidRPr="00D61F73" w:rsidRDefault="008D0565" w:rsidP="00D61F73">
      <w:pPr>
        <w:rPr>
          <w:rFonts w:ascii="Arial" w:hAnsi="Arial" w:cs="Arial"/>
        </w:rPr>
      </w:pPr>
    </w:p>
    <w:p w14:paraId="728C7623" w14:textId="77777777" w:rsidR="008D0565" w:rsidRPr="00D61F73" w:rsidRDefault="008D0565" w:rsidP="00D61F73">
      <w:pPr>
        <w:rPr>
          <w:rFonts w:ascii="Arial" w:hAnsi="Arial" w:cs="Arial"/>
        </w:rPr>
      </w:pPr>
      <w:r w:rsidRPr="00D61F73">
        <w:rPr>
          <w:rFonts w:ascii="Arial" w:hAnsi="Arial" w:cs="Arial"/>
        </w:rPr>
        <w:t xml:space="preserve">PMID: </w:t>
      </w:r>
      <w:hyperlink r:id="rId246" w:history="1">
        <w:r w:rsidRPr="00D61F73">
          <w:rPr>
            <w:rStyle w:val="Hyperlink"/>
            <w:rFonts w:ascii="Arial" w:hAnsi="Arial" w:cs="Arial"/>
          </w:rPr>
          <w:t>18256259</w:t>
        </w:r>
      </w:hyperlink>
      <w:r w:rsidRPr="00D61F73">
        <w:rPr>
          <w:rFonts w:ascii="Arial" w:hAnsi="Arial" w:cs="Arial"/>
        </w:rPr>
        <w:t xml:space="preserve"> </w:t>
      </w:r>
    </w:p>
    <w:p w14:paraId="119D17FA" w14:textId="77777777" w:rsidR="008D0565" w:rsidRPr="00D61F73" w:rsidRDefault="008D0565" w:rsidP="00D61F73">
      <w:pPr>
        <w:rPr>
          <w:rFonts w:ascii="Arial" w:hAnsi="Arial" w:cs="Arial"/>
        </w:rPr>
      </w:pPr>
    </w:p>
    <w:p w14:paraId="52AD7DA7"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4c</w:t>
      </w:r>
    </w:p>
    <w:p w14:paraId="64BA5378" w14:textId="77777777" w:rsidR="008D0565" w:rsidRPr="00D61F73" w:rsidRDefault="008D0565" w:rsidP="00D61F73">
      <w:pPr>
        <w:rPr>
          <w:rFonts w:ascii="Arial" w:hAnsi="Arial" w:cs="Arial"/>
        </w:rPr>
      </w:pPr>
    </w:p>
    <w:p w14:paraId="5B2120B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489" w:name="Bandelow"/>
      <w:bookmarkEnd w:id="489"/>
      <w:r w:rsidRPr="00D61F73">
        <w:rPr>
          <w:rFonts w:ascii="Arial" w:hAnsi="Arial" w:cs="Arial"/>
          <w:b/>
        </w:rPr>
        <w:t xml:space="preserve">andelow B, Zohar J, Hollander E, Kasper S, Möller HJ; World Federation of Societies of Biological Psychiatry Task Force on Treatment Guidelines for Anxiety, Obsessive-Compulsive and Posttraumatic Stress Disorders. World Federation of Societies of Biological Psychiatry (WFSBP) guidelines for the pharmacological treatment of anxiety, obsessive-compulsive and posttraumatic stress disorders. </w:t>
      </w:r>
      <w:r w:rsidRPr="00D61F73">
        <w:rPr>
          <w:rFonts w:ascii="Arial" w:hAnsi="Arial" w:cs="Arial"/>
          <w:b/>
          <w:i/>
        </w:rPr>
        <w:t>World J Biol Psychiatry</w:t>
      </w:r>
      <w:r w:rsidRPr="00D61F73">
        <w:rPr>
          <w:rFonts w:ascii="Arial" w:hAnsi="Arial" w:cs="Arial"/>
          <w:b/>
        </w:rPr>
        <w:t>. 2002; 3:171-99</w:t>
      </w:r>
    </w:p>
    <w:p w14:paraId="20F04168" w14:textId="77777777" w:rsidR="008D0565" w:rsidRPr="00D61F73" w:rsidRDefault="008D0565" w:rsidP="00D61F73">
      <w:pPr>
        <w:rPr>
          <w:rFonts w:ascii="Arial" w:hAnsi="Arial" w:cs="Arial"/>
        </w:rPr>
      </w:pPr>
    </w:p>
    <w:p w14:paraId="3C09E61C" w14:textId="77777777" w:rsidR="008D0565" w:rsidRPr="00D61F73" w:rsidRDefault="008D0565" w:rsidP="00D61F73">
      <w:pPr>
        <w:rPr>
          <w:rFonts w:ascii="Arial" w:hAnsi="Arial" w:cs="Arial"/>
        </w:rPr>
      </w:pPr>
      <w:r w:rsidRPr="00D61F73">
        <w:rPr>
          <w:rFonts w:ascii="Arial" w:hAnsi="Arial" w:cs="Arial"/>
        </w:rPr>
        <w:t xml:space="preserve">Selective serotonin reuptake inhibitors (SSRIs) are the first-line treatment for panic disorder. Tri2-cyclic antidepressants (TCAs) are equally effective, but they are less well tolerated than the SSRIs.. </w:t>
      </w:r>
    </w:p>
    <w:p w14:paraId="62CD83E8" w14:textId="77777777" w:rsidR="008D0565" w:rsidRPr="00D61F73" w:rsidRDefault="008D0565" w:rsidP="00D61F73">
      <w:pPr>
        <w:rPr>
          <w:rFonts w:ascii="Arial" w:hAnsi="Arial" w:cs="Arial"/>
        </w:rPr>
      </w:pPr>
    </w:p>
    <w:p w14:paraId="014A3CEB" w14:textId="77777777" w:rsidR="008D0565" w:rsidRPr="00D61F73" w:rsidRDefault="008D0565" w:rsidP="00D61F73">
      <w:pPr>
        <w:rPr>
          <w:rFonts w:ascii="Arial" w:hAnsi="Arial" w:cs="Arial"/>
        </w:rPr>
      </w:pPr>
      <w:r w:rsidRPr="00D61F73">
        <w:rPr>
          <w:rFonts w:ascii="Arial" w:hAnsi="Arial" w:cs="Arial"/>
        </w:rPr>
        <w:t xml:space="preserve">PMID: </w:t>
      </w:r>
      <w:hyperlink r:id="rId247" w:history="1">
        <w:r w:rsidRPr="00D61F73">
          <w:rPr>
            <w:rStyle w:val="Hyperlink"/>
            <w:rFonts w:ascii="Arial" w:hAnsi="Arial" w:cs="Arial"/>
          </w:rPr>
          <w:t>12516310</w:t>
        </w:r>
      </w:hyperlink>
    </w:p>
    <w:p w14:paraId="180FAA7D" w14:textId="77777777" w:rsidR="008D0565" w:rsidRPr="00D61F73" w:rsidRDefault="008D0565" w:rsidP="00D61F73">
      <w:pPr>
        <w:rPr>
          <w:rFonts w:ascii="Arial" w:hAnsi="Arial" w:cs="Arial"/>
        </w:rPr>
      </w:pPr>
    </w:p>
    <w:p w14:paraId="2C0C29D8" w14:textId="77777777" w:rsidR="008D0565" w:rsidRPr="00D61F73" w:rsidRDefault="008D0565" w:rsidP="00D61F73">
      <w:pPr>
        <w:rPr>
          <w:rFonts w:ascii="Arial" w:hAnsi="Arial" w:cs="Arial"/>
        </w:rPr>
      </w:pPr>
      <w:r w:rsidRPr="00D61F73">
        <w:rPr>
          <w:rFonts w:ascii="Arial" w:hAnsi="Arial" w:cs="Arial"/>
        </w:rPr>
        <w:t>Rating: 5a</w:t>
      </w:r>
    </w:p>
    <w:p w14:paraId="69AE1DCB" w14:textId="77777777" w:rsidR="008D0565" w:rsidRPr="00D61F73" w:rsidRDefault="008D0565" w:rsidP="00D61F73">
      <w:pPr>
        <w:rPr>
          <w:rFonts w:ascii="Arial" w:hAnsi="Arial" w:cs="Arial"/>
        </w:rPr>
      </w:pPr>
    </w:p>
    <w:p w14:paraId="57B9E08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490" w:name="Bansal"/>
      <w:bookmarkEnd w:id="490"/>
      <w:r w:rsidRPr="00D61F73">
        <w:rPr>
          <w:rFonts w:ascii="Arial" w:hAnsi="Arial" w:cs="Arial"/>
          <w:b/>
          <w:bCs/>
        </w:rPr>
        <w:t xml:space="preserve">ansal V, Kalita J, Misra UK. Diabetic neuropathy. </w:t>
      </w:r>
      <w:r w:rsidRPr="00D61F73">
        <w:rPr>
          <w:rFonts w:ascii="Arial" w:hAnsi="Arial" w:cs="Arial"/>
          <w:b/>
          <w:bCs/>
          <w:i/>
          <w:iCs/>
        </w:rPr>
        <w:t>Postgrad Med J.</w:t>
      </w:r>
      <w:r w:rsidRPr="00D61F73">
        <w:rPr>
          <w:rFonts w:ascii="Arial" w:hAnsi="Arial" w:cs="Arial"/>
          <w:b/>
          <w:bCs/>
        </w:rPr>
        <w:t xml:space="preserve"> 2006 Feb;82(964):95-100.</w:t>
      </w:r>
    </w:p>
    <w:p w14:paraId="10E7933B" w14:textId="77777777" w:rsidR="008D0565" w:rsidRPr="00D61F73" w:rsidRDefault="008D0565" w:rsidP="00D61F73">
      <w:pPr>
        <w:rPr>
          <w:rFonts w:ascii="Arial" w:hAnsi="Arial" w:cs="Arial"/>
        </w:rPr>
      </w:pPr>
    </w:p>
    <w:p w14:paraId="1F07FF66" w14:textId="77777777" w:rsidR="008D0565" w:rsidRPr="00D61F73" w:rsidRDefault="008D0565" w:rsidP="00D61F73">
      <w:pPr>
        <w:rPr>
          <w:rFonts w:ascii="Arial" w:hAnsi="Arial" w:cs="Arial"/>
        </w:rPr>
      </w:pPr>
      <w:r w:rsidRPr="00D61F73">
        <w:rPr>
          <w:rFonts w:ascii="Arial" w:hAnsi="Arial" w:cs="Arial"/>
        </w:rPr>
        <w:t>For diagnosis of DN, symptoms, signs, quantitative sensory testing, nerve conduction study, and autonomic testing are used; and two of these five are recommended for clinical diagnosis.</w:t>
      </w:r>
    </w:p>
    <w:p w14:paraId="10DDB20A" w14:textId="77777777" w:rsidR="008D0565" w:rsidRPr="00D61F73" w:rsidRDefault="008D0565" w:rsidP="00D61F73">
      <w:pPr>
        <w:rPr>
          <w:rFonts w:ascii="Arial" w:hAnsi="Arial" w:cs="Arial"/>
        </w:rPr>
      </w:pPr>
    </w:p>
    <w:p w14:paraId="2403F623" w14:textId="77777777" w:rsidR="008D0565" w:rsidRPr="00D61F73" w:rsidRDefault="008D0565" w:rsidP="00D61F73">
      <w:pPr>
        <w:rPr>
          <w:rFonts w:ascii="Arial" w:hAnsi="Arial" w:cs="Arial"/>
        </w:rPr>
      </w:pPr>
      <w:r w:rsidRPr="00D61F73">
        <w:rPr>
          <w:rFonts w:ascii="Arial" w:hAnsi="Arial" w:cs="Arial"/>
        </w:rPr>
        <w:t xml:space="preserve">PMID: </w:t>
      </w:r>
      <w:hyperlink r:id="rId248" w:history="1">
        <w:r w:rsidRPr="00D61F73">
          <w:rPr>
            <w:rStyle w:val="Hyperlink"/>
            <w:rFonts w:ascii="Arial" w:hAnsi="Arial" w:cs="Arial"/>
          </w:rPr>
          <w:t>16461471</w:t>
        </w:r>
      </w:hyperlink>
      <w:r w:rsidRPr="00D61F73">
        <w:rPr>
          <w:rFonts w:ascii="Arial" w:hAnsi="Arial" w:cs="Arial"/>
        </w:rPr>
        <w:t xml:space="preserve"> </w:t>
      </w:r>
    </w:p>
    <w:p w14:paraId="470661A6" w14:textId="77777777" w:rsidR="008D0565" w:rsidRPr="00D61F73" w:rsidRDefault="008D0565" w:rsidP="00D61F73">
      <w:pPr>
        <w:rPr>
          <w:rFonts w:ascii="Arial" w:hAnsi="Arial" w:cs="Arial"/>
        </w:rPr>
      </w:pPr>
    </w:p>
    <w:p w14:paraId="5ADCFB57" w14:textId="77777777" w:rsidR="008D0565" w:rsidRPr="00D61F73" w:rsidRDefault="008D0565" w:rsidP="00D61F73">
      <w:pPr>
        <w:rPr>
          <w:rFonts w:ascii="Arial" w:hAnsi="Arial" w:cs="Arial"/>
        </w:rPr>
      </w:pPr>
      <w:r w:rsidRPr="00D61F73">
        <w:rPr>
          <w:rFonts w:ascii="Arial" w:hAnsi="Arial" w:cs="Arial"/>
        </w:rPr>
        <w:t>Rating: 5a</w:t>
      </w:r>
    </w:p>
    <w:p w14:paraId="6AA310D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491" w:name="Baraf2011"/>
      <w:bookmarkEnd w:id="491"/>
      <w:r w:rsidRPr="00D61F73">
        <w:rPr>
          <w:rFonts w:ascii="Arial" w:hAnsi="Arial" w:cs="Arial"/>
          <w:b/>
          <w:bCs/>
        </w:rPr>
        <w:t xml:space="preserve">araf HS, Gloth FM, Barthel HR, Gold MS, Altman RD. Safety and efficacy of topical diclofenac sodium gel for knee osteoarthritis in elderly and younger patients: pooled data from three randomized, double-blind, parallel-group, placebo-controlled, multicentre trials. </w:t>
      </w:r>
      <w:r w:rsidRPr="00D61F73">
        <w:rPr>
          <w:rFonts w:ascii="Arial" w:hAnsi="Arial" w:cs="Arial"/>
          <w:b/>
          <w:bCs/>
          <w:i/>
          <w:iCs/>
        </w:rPr>
        <w:t>Drugs Aging</w:t>
      </w:r>
      <w:r w:rsidRPr="00D61F73">
        <w:rPr>
          <w:rFonts w:ascii="Arial" w:hAnsi="Arial" w:cs="Arial"/>
          <w:b/>
          <w:bCs/>
        </w:rPr>
        <w:t xml:space="preserve">. 2011 Jan 1;28(1):27-40. </w:t>
      </w:r>
    </w:p>
    <w:p w14:paraId="0CCB13CE" w14:textId="77777777" w:rsidR="008D0565" w:rsidRPr="00D61F73" w:rsidRDefault="008D0565" w:rsidP="00D61F73">
      <w:pPr>
        <w:rPr>
          <w:rFonts w:ascii="Arial" w:hAnsi="Arial" w:cs="Arial"/>
        </w:rPr>
      </w:pPr>
    </w:p>
    <w:p w14:paraId="65C382AD" w14:textId="77777777" w:rsidR="008D0565" w:rsidRPr="00D61F73" w:rsidRDefault="008D0565" w:rsidP="00D61F73">
      <w:pPr>
        <w:rPr>
          <w:rFonts w:ascii="Arial" w:hAnsi="Arial" w:cs="Arial"/>
        </w:rPr>
      </w:pPr>
      <w:r w:rsidRPr="00D61F73">
        <w:rPr>
          <w:rFonts w:ascii="Arial" w:hAnsi="Arial" w:cs="Arial"/>
        </w:rPr>
        <w:t>RESULTS: The MES included both patients aged 25-64 (n = 602) and ≥65 (n = 374) years. Treatment-related application site dermatitis was more common with DSG. Gastrointestinal AEs were infrequent.</w:t>
      </w:r>
    </w:p>
    <w:p w14:paraId="18791392" w14:textId="77777777" w:rsidR="008D0565" w:rsidRPr="00D61F73" w:rsidRDefault="008D0565" w:rsidP="00D61F73">
      <w:pPr>
        <w:rPr>
          <w:rFonts w:ascii="Arial" w:hAnsi="Arial" w:cs="Arial"/>
        </w:rPr>
      </w:pPr>
    </w:p>
    <w:p w14:paraId="77F09104" w14:textId="77777777" w:rsidR="008D0565" w:rsidRPr="00D61F73" w:rsidRDefault="008D0565" w:rsidP="00D61F73">
      <w:pPr>
        <w:rPr>
          <w:rFonts w:ascii="Arial" w:hAnsi="Arial" w:cs="Arial"/>
        </w:rPr>
      </w:pPr>
      <w:r w:rsidRPr="00D61F73">
        <w:rPr>
          <w:rFonts w:ascii="Arial" w:hAnsi="Arial" w:cs="Arial"/>
        </w:rPr>
        <w:t xml:space="preserve">PMID: </w:t>
      </w:r>
      <w:hyperlink r:id="rId249" w:history="1">
        <w:r w:rsidRPr="00D61F73">
          <w:rPr>
            <w:rStyle w:val="Hyperlink"/>
            <w:rFonts w:ascii="Arial" w:hAnsi="Arial" w:cs="Arial"/>
          </w:rPr>
          <w:t>21174485</w:t>
        </w:r>
      </w:hyperlink>
      <w:r w:rsidRPr="00D61F73">
        <w:rPr>
          <w:rFonts w:ascii="Arial" w:hAnsi="Arial" w:cs="Arial"/>
        </w:rPr>
        <w:t xml:space="preserve"> </w:t>
      </w:r>
    </w:p>
    <w:p w14:paraId="62F84382" w14:textId="77777777" w:rsidR="008D0565" w:rsidRPr="00D61F73" w:rsidRDefault="008D0565" w:rsidP="00D61F73">
      <w:pPr>
        <w:rPr>
          <w:rFonts w:ascii="Arial" w:hAnsi="Arial" w:cs="Arial"/>
        </w:rPr>
      </w:pPr>
    </w:p>
    <w:p w14:paraId="6942B235" w14:textId="77777777" w:rsidR="008D0565" w:rsidRPr="00D61F73" w:rsidRDefault="008D0565" w:rsidP="00D61F73">
      <w:pPr>
        <w:rPr>
          <w:rFonts w:ascii="Arial" w:hAnsi="Arial" w:cs="Arial"/>
        </w:rPr>
      </w:pPr>
      <w:r w:rsidRPr="00D61F73">
        <w:rPr>
          <w:rFonts w:ascii="Arial" w:hAnsi="Arial" w:cs="Arial"/>
        </w:rPr>
        <w:t>Rating: 2b</w:t>
      </w:r>
    </w:p>
    <w:p w14:paraId="3EBB8F3E"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B</w:t>
      </w:r>
      <w:bookmarkStart w:id="492" w:name="Barbaud2009"/>
      <w:bookmarkEnd w:id="492"/>
      <w:r w:rsidRPr="00D61F73">
        <w:rPr>
          <w:rFonts w:ascii="Arial" w:hAnsi="Arial" w:cs="Arial"/>
          <w:b/>
        </w:rPr>
        <w:t xml:space="preserve">arbaud A. Contact dermatitis due to topical drugs. </w:t>
      </w:r>
      <w:r w:rsidRPr="00D61F73">
        <w:rPr>
          <w:rFonts w:ascii="Arial" w:hAnsi="Arial" w:cs="Arial"/>
          <w:b/>
          <w:i/>
        </w:rPr>
        <w:t>G Ital Dermatol Venereol</w:t>
      </w:r>
      <w:r w:rsidRPr="00D61F73">
        <w:rPr>
          <w:rFonts w:ascii="Arial" w:hAnsi="Arial" w:cs="Arial"/>
          <w:b/>
        </w:rPr>
        <w:t>. 2009;144:527-36.</w:t>
      </w:r>
    </w:p>
    <w:p w14:paraId="3C731E42" w14:textId="77777777" w:rsidR="008D0565" w:rsidRPr="00D61F73" w:rsidRDefault="008D0565" w:rsidP="00D61F73">
      <w:pPr>
        <w:rPr>
          <w:rFonts w:ascii="Arial" w:eastAsia="Calibri" w:hAnsi="Arial" w:cs="Arial"/>
        </w:rPr>
      </w:pPr>
    </w:p>
    <w:p w14:paraId="275C9090" w14:textId="77777777" w:rsidR="008D0565" w:rsidRPr="00D61F73" w:rsidRDefault="008D0565" w:rsidP="00D61F73">
      <w:pPr>
        <w:rPr>
          <w:rFonts w:ascii="Arial" w:eastAsia="Calibri" w:hAnsi="Arial" w:cs="Arial"/>
        </w:rPr>
      </w:pPr>
      <w:r w:rsidRPr="00D61F73">
        <w:rPr>
          <w:rFonts w:ascii="Arial" w:hAnsi="Arial" w:cs="Arial"/>
        </w:rPr>
        <w:t xml:space="preserve">In case of photosensitization 1) to ketoprofen or 2) piroxicam the topical and/or systemic administration of the following molecules are contraindicated with respectively 1) ketoprofen, tiaprofenic acid, fenofibrate, oxybenzone or 2) piroxicam, thimerosal. </w:t>
      </w:r>
    </w:p>
    <w:p w14:paraId="25229BD6" w14:textId="77777777" w:rsidR="008D0565" w:rsidRPr="00D61F73" w:rsidRDefault="008D0565" w:rsidP="00D61F73">
      <w:pPr>
        <w:rPr>
          <w:rFonts w:ascii="Arial" w:eastAsia="Calibri" w:hAnsi="Arial" w:cs="Arial"/>
        </w:rPr>
      </w:pPr>
    </w:p>
    <w:p w14:paraId="3BC12B12"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250" w:history="1">
        <w:r w:rsidRPr="00D61F73">
          <w:rPr>
            <w:rStyle w:val="Hyperlink"/>
            <w:rFonts w:ascii="Arial" w:hAnsi="Arial" w:cs="Arial"/>
          </w:rPr>
          <w:t>19834431</w:t>
        </w:r>
      </w:hyperlink>
    </w:p>
    <w:p w14:paraId="7C9E3291" w14:textId="77777777" w:rsidR="008D0565" w:rsidRPr="00D61F73" w:rsidRDefault="008D0565" w:rsidP="00D61F73">
      <w:pPr>
        <w:rPr>
          <w:rFonts w:ascii="Arial" w:eastAsia="Calibri" w:hAnsi="Arial" w:cs="Arial"/>
        </w:rPr>
      </w:pPr>
    </w:p>
    <w:p w14:paraId="5C06ED7E" w14:textId="77777777" w:rsidR="008D0565" w:rsidRPr="00D61F73" w:rsidRDefault="008D0565" w:rsidP="00D61F73">
      <w:pPr>
        <w:rPr>
          <w:rFonts w:ascii="Arial" w:hAnsi="Arial" w:cs="Arial"/>
        </w:rPr>
      </w:pPr>
      <w:r w:rsidRPr="00D61F73">
        <w:rPr>
          <w:rFonts w:ascii="Arial" w:hAnsi="Arial" w:cs="Arial"/>
        </w:rPr>
        <w:t>Rating: 5b</w:t>
      </w:r>
    </w:p>
    <w:p w14:paraId="10D1EEB1"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Ba</w:t>
      </w:r>
      <w:bookmarkStart w:id="493" w:name="Barbui"/>
      <w:bookmarkEnd w:id="493"/>
      <w:r w:rsidRPr="00D61F73">
        <w:rPr>
          <w:rFonts w:ascii="Arial" w:hAnsi="Arial" w:cs="Arial"/>
          <w:b/>
          <w:bCs/>
        </w:rPr>
        <w:t xml:space="preserve">rbui C, Guaiana G, Hotopf M. Amitriptyline for inpatients and SSRIs for outpatients with depression? Systematic review and meta-regression analysis. </w:t>
      </w:r>
      <w:r w:rsidRPr="00D61F73">
        <w:rPr>
          <w:rFonts w:ascii="Arial" w:hAnsi="Arial" w:cs="Arial"/>
          <w:b/>
          <w:bCs/>
          <w:i/>
          <w:iCs/>
        </w:rPr>
        <w:t>Pharmacopsychiatry.</w:t>
      </w:r>
      <w:r w:rsidRPr="00D61F73">
        <w:rPr>
          <w:rFonts w:ascii="Arial" w:hAnsi="Arial" w:cs="Arial"/>
          <w:b/>
          <w:bCs/>
        </w:rPr>
        <w:t xml:space="preserve"> 2004 May;37(3):93-7.</w:t>
      </w:r>
    </w:p>
    <w:p w14:paraId="60BEAFB3" w14:textId="77777777" w:rsidR="008D0565" w:rsidRPr="00D61F73" w:rsidRDefault="008D0565" w:rsidP="00D61F73">
      <w:pPr>
        <w:rPr>
          <w:rFonts w:ascii="Arial" w:hAnsi="Arial" w:cs="Arial"/>
        </w:rPr>
      </w:pPr>
    </w:p>
    <w:p w14:paraId="0E675719" w14:textId="77777777" w:rsidR="008D0565" w:rsidRPr="00D61F73" w:rsidRDefault="008D0565" w:rsidP="00D61F73">
      <w:pPr>
        <w:rPr>
          <w:rFonts w:ascii="Arial" w:hAnsi="Arial" w:cs="Arial"/>
        </w:rPr>
      </w:pPr>
      <w:r w:rsidRPr="00D61F73">
        <w:rPr>
          <w:rFonts w:ascii="Arial" w:hAnsi="Arial" w:cs="Arial"/>
        </w:rPr>
        <w:t>CONCLUSIONS: These data suggest that a reasonable approach could be the first-line prescription of newer agents in the routine outpatient care of depressive subjects, and the use of amitriptyline in inpatients with severe depression.</w:t>
      </w:r>
    </w:p>
    <w:p w14:paraId="2D85113B" w14:textId="77777777" w:rsidR="008D0565" w:rsidRPr="00D61F73" w:rsidRDefault="008D0565" w:rsidP="00D61F73">
      <w:pPr>
        <w:rPr>
          <w:rFonts w:ascii="Arial" w:hAnsi="Arial" w:cs="Arial"/>
        </w:rPr>
      </w:pPr>
    </w:p>
    <w:p w14:paraId="64F2D248" w14:textId="77777777" w:rsidR="008D0565" w:rsidRPr="00D61F73" w:rsidRDefault="008D0565" w:rsidP="00D61F73">
      <w:pPr>
        <w:rPr>
          <w:rFonts w:ascii="Arial" w:hAnsi="Arial" w:cs="Arial"/>
        </w:rPr>
      </w:pPr>
      <w:r w:rsidRPr="00D61F73">
        <w:rPr>
          <w:rFonts w:ascii="Arial" w:hAnsi="Arial" w:cs="Arial"/>
        </w:rPr>
        <w:t xml:space="preserve">PMID: </w:t>
      </w:r>
      <w:hyperlink r:id="rId251" w:history="1">
        <w:r w:rsidRPr="00D61F73">
          <w:rPr>
            <w:rStyle w:val="Hyperlink"/>
            <w:rFonts w:ascii="Arial" w:hAnsi="Arial" w:cs="Arial"/>
          </w:rPr>
          <w:t>15179966</w:t>
        </w:r>
      </w:hyperlink>
      <w:r w:rsidRPr="00D61F73">
        <w:rPr>
          <w:rFonts w:ascii="Arial" w:hAnsi="Arial" w:cs="Arial"/>
        </w:rPr>
        <w:t xml:space="preserve"> </w:t>
      </w:r>
    </w:p>
    <w:p w14:paraId="527A09CB" w14:textId="77777777" w:rsidR="008D0565" w:rsidRPr="00D61F73" w:rsidRDefault="008D0565" w:rsidP="00D61F73">
      <w:pPr>
        <w:rPr>
          <w:rFonts w:ascii="Arial" w:hAnsi="Arial" w:cs="Arial"/>
        </w:rPr>
      </w:pPr>
    </w:p>
    <w:p w14:paraId="2ED69154" w14:textId="77777777" w:rsidR="008D0565" w:rsidRPr="00D61F73" w:rsidRDefault="008D0565" w:rsidP="00D61F73">
      <w:pPr>
        <w:rPr>
          <w:rFonts w:ascii="Arial" w:hAnsi="Arial" w:cs="Arial"/>
        </w:rPr>
      </w:pPr>
      <w:r w:rsidRPr="00D61F73">
        <w:rPr>
          <w:rFonts w:ascii="Arial" w:hAnsi="Arial" w:cs="Arial"/>
        </w:rPr>
        <w:t>Rating: 1a</w:t>
      </w:r>
    </w:p>
    <w:p w14:paraId="78922286" w14:textId="546E8B86" w:rsidR="008D0565" w:rsidRPr="00D61F73" w:rsidRDefault="008D0565" w:rsidP="00D61F73">
      <w:pPr>
        <w:rPr>
          <w:rFonts w:ascii="Arial" w:hAnsi="Arial" w:cs="Arial"/>
          <w:b/>
          <w:bCs/>
        </w:rPr>
      </w:pPr>
      <w:r w:rsidRPr="00D61F73">
        <w:rPr>
          <w:rFonts w:ascii="Arial" w:hAnsi="Arial" w:cs="Arial"/>
        </w:rPr>
        <w:br w:type="page"/>
      </w:r>
      <w:bookmarkStart w:id="494" w:name="Barolat2"/>
      <w:bookmarkStart w:id="495" w:name="Barrows"/>
      <w:bookmarkEnd w:id="494"/>
      <w:r w:rsidRPr="00D61F73">
        <w:rPr>
          <w:rFonts w:ascii="Arial" w:hAnsi="Arial" w:cs="Arial"/>
          <w:b/>
          <w:bCs/>
        </w:rPr>
        <w:lastRenderedPageBreak/>
        <w:fldChar w:fldCharType="begin"/>
      </w:r>
      <w:r w:rsidR="009B25C3">
        <w:rPr>
          <w:rFonts w:ascii="Arial" w:hAnsi="Arial" w:cs="Arial"/>
          <w:b/>
          <w:bCs/>
        </w:rPr>
        <w:instrText>HYPERLINK "http://www.ncbi.nlm.nih.gov/pubmed/11795084"</w:instrText>
      </w:r>
      <w:r w:rsidRPr="00D61F73">
        <w:rPr>
          <w:rFonts w:ascii="Arial" w:hAnsi="Arial" w:cs="Arial"/>
          <w:b/>
          <w:bCs/>
        </w:rPr>
        <w:fldChar w:fldCharType="separate"/>
      </w:r>
      <w:r w:rsidRPr="00D61F73">
        <w:rPr>
          <w:rStyle w:val="Hyperlink"/>
          <w:rFonts w:ascii="Arial" w:hAnsi="Arial" w:cs="Arial"/>
          <w:b/>
          <w:bCs/>
        </w:rPr>
        <w:t>Barrows</w:t>
      </w:r>
      <w:bookmarkEnd w:id="495"/>
      <w:r w:rsidRPr="00D61F73">
        <w:rPr>
          <w:rStyle w:val="Hyperlink"/>
          <w:rFonts w:ascii="Arial" w:hAnsi="Arial" w:cs="Arial"/>
          <w:b/>
          <w:bCs/>
        </w:rPr>
        <w:t xml:space="preserve"> KA, Jacobs BP</w:t>
      </w:r>
      <w:r w:rsidRPr="00D61F73">
        <w:rPr>
          <w:rFonts w:ascii="Arial" w:hAnsi="Arial" w:cs="Arial"/>
          <w:b/>
          <w:bCs/>
        </w:rPr>
        <w:fldChar w:fldCharType="end"/>
      </w:r>
      <w:r w:rsidRPr="00D61F73">
        <w:rPr>
          <w:rFonts w:ascii="Arial" w:hAnsi="Arial" w:cs="Arial"/>
          <w:b/>
          <w:bCs/>
        </w:rPr>
        <w:t xml:space="preserve">. Mind-body medicine. An introduction and review of the literature. </w:t>
      </w:r>
      <w:r w:rsidRPr="00D61F73">
        <w:rPr>
          <w:rStyle w:val="HTMLCite"/>
          <w:rFonts w:ascii="Arial" w:hAnsi="Arial" w:cs="Arial"/>
          <w:b/>
          <w:bCs/>
        </w:rPr>
        <w:t xml:space="preserve">Medical Clinics of North America. </w:t>
      </w:r>
      <w:r w:rsidRPr="00D61F73">
        <w:rPr>
          <w:rFonts w:ascii="Arial" w:hAnsi="Arial" w:cs="Arial"/>
          <w:b/>
          <w:bCs/>
        </w:rPr>
        <w:t xml:space="preserve">01-Jan-2002; 86(1): 11-31. </w:t>
      </w:r>
    </w:p>
    <w:p w14:paraId="194354CF" w14:textId="77777777" w:rsidR="008D0565" w:rsidRPr="00D61F73" w:rsidRDefault="008D0565" w:rsidP="00D61F73">
      <w:pPr>
        <w:pStyle w:val="NormalWeb"/>
        <w:spacing w:before="0" w:beforeAutospacing="0" w:after="0" w:afterAutospacing="0"/>
        <w:rPr>
          <w:rFonts w:ascii="Arial" w:hAnsi="Arial" w:cs="Arial"/>
        </w:rPr>
      </w:pPr>
    </w:p>
    <w:p w14:paraId="471952D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MBM therapies are effective in improving quality of life, anxiety, and pain intensity for a variety of conditions. </w:t>
      </w:r>
    </w:p>
    <w:p w14:paraId="318C643E" w14:textId="77777777" w:rsidR="008D0565" w:rsidRPr="00D61F73" w:rsidRDefault="008D0565" w:rsidP="00D61F73">
      <w:pPr>
        <w:pStyle w:val="Heading2"/>
        <w:rPr>
          <w:rFonts w:ascii="Arial" w:hAnsi="Arial" w:cs="Arial"/>
          <w:b w:val="0"/>
          <w:bCs/>
          <w:sz w:val="24"/>
          <w:szCs w:val="24"/>
        </w:rPr>
      </w:pPr>
    </w:p>
    <w:p w14:paraId="71EE5957"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 xml:space="preserve">PMID: </w:t>
      </w:r>
      <w:hyperlink r:id="rId252" w:history="1">
        <w:r w:rsidRPr="00D61F73">
          <w:rPr>
            <w:rStyle w:val="Hyperlink"/>
            <w:rFonts w:ascii="Arial" w:hAnsi="Arial" w:cs="Arial"/>
            <w:b w:val="0"/>
            <w:bCs/>
            <w:sz w:val="24"/>
            <w:szCs w:val="24"/>
          </w:rPr>
          <w:t>11795084</w:t>
        </w:r>
      </w:hyperlink>
    </w:p>
    <w:p w14:paraId="5FE64EFF" w14:textId="77777777" w:rsidR="008D0565" w:rsidRPr="00D61F73" w:rsidRDefault="008D0565" w:rsidP="00D61F73">
      <w:pPr>
        <w:rPr>
          <w:rFonts w:ascii="Arial" w:hAnsi="Arial" w:cs="Arial"/>
          <w:b/>
          <w:bCs/>
        </w:rPr>
      </w:pPr>
    </w:p>
    <w:p w14:paraId="21717829" w14:textId="77777777" w:rsidR="008D0565" w:rsidRPr="00D61F73" w:rsidRDefault="008D0565" w:rsidP="00D61F73">
      <w:pPr>
        <w:rPr>
          <w:rFonts w:ascii="Arial" w:eastAsia="Calibri" w:hAnsi="Arial" w:cs="Arial"/>
          <w:b/>
          <w:bCs/>
          <w:color w:val="auto"/>
        </w:rPr>
      </w:pPr>
      <w:r w:rsidRPr="00D61F73">
        <w:rPr>
          <w:rFonts w:ascii="Arial" w:hAnsi="Arial" w:cs="Arial"/>
          <w:b/>
          <w:bCs/>
        </w:rPr>
        <w:br w:type="page"/>
      </w:r>
      <w:r w:rsidRPr="00D61F73">
        <w:rPr>
          <w:rFonts w:ascii="Arial" w:hAnsi="Arial" w:cs="Arial"/>
          <w:b/>
          <w:bCs/>
        </w:rPr>
        <w:lastRenderedPageBreak/>
        <w:t>B</w:t>
      </w:r>
      <w:bookmarkStart w:id="496" w:name="Bart2012"/>
      <w:bookmarkEnd w:id="496"/>
      <w:r w:rsidRPr="00D61F73">
        <w:rPr>
          <w:rFonts w:ascii="Arial" w:hAnsi="Arial" w:cs="Arial"/>
          <w:b/>
          <w:bCs/>
        </w:rPr>
        <w:t xml:space="preserve">art G. Maintenance medication for opiate addiction: the foundation of recovery. </w:t>
      </w:r>
      <w:r w:rsidRPr="00D61F73">
        <w:rPr>
          <w:rFonts w:ascii="Arial" w:hAnsi="Arial" w:cs="Arial"/>
          <w:b/>
          <w:bCs/>
          <w:i/>
          <w:iCs/>
        </w:rPr>
        <w:t xml:space="preserve">J Addict Dis. </w:t>
      </w:r>
      <w:r w:rsidRPr="00D61F73">
        <w:rPr>
          <w:rFonts w:ascii="Arial" w:hAnsi="Arial" w:cs="Arial"/>
          <w:b/>
          <w:bCs/>
        </w:rPr>
        <w:t>2012;31(3):207-25</w:t>
      </w:r>
    </w:p>
    <w:p w14:paraId="191B8979" w14:textId="77777777" w:rsidR="008D0565" w:rsidRPr="00D61F73" w:rsidRDefault="008D0565" w:rsidP="00D61F73">
      <w:pPr>
        <w:rPr>
          <w:rFonts w:ascii="Arial" w:eastAsia="Calibri" w:hAnsi="Arial" w:cs="Arial"/>
        </w:rPr>
      </w:pPr>
    </w:p>
    <w:p w14:paraId="5075B2DC"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253" w:history="1">
        <w:r w:rsidRPr="00D61F73">
          <w:rPr>
            <w:rStyle w:val="Hyperlink"/>
            <w:rFonts w:ascii="Arial" w:hAnsi="Arial" w:cs="Arial"/>
          </w:rPr>
          <w:t>22873183</w:t>
        </w:r>
      </w:hyperlink>
    </w:p>
    <w:p w14:paraId="4E5B7BD6" w14:textId="77777777" w:rsidR="008D0565" w:rsidRPr="00D61F73" w:rsidRDefault="008D0565" w:rsidP="00D61F73">
      <w:pPr>
        <w:rPr>
          <w:rFonts w:ascii="Arial" w:eastAsia="Calibri" w:hAnsi="Arial" w:cs="Arial"/>
        </w:rPr>
      </w:pPr>
    </w:p>
    <w:p w14:paraId="26AA9962" w14:textId="77777777" w:rsidR="008D0565" w:rsidRPr="00D61F73" w:rsidRDefault="008D0565" w:rsidP="00D61F73">
      <w:pPr>
        <w:rPr>
          <w:rFonts w:ascii="Arial" w:hAnsi="Arial" w:cs="Arial"/>
        </w:rPr>
      </w:pPr>
      <w:r w:rsidRPr="00D61F73">
        <w:rPr>
          <w:rFonts w:ascii="Arial" w:hAnsi="Arial" w:cs="Arial"/>
        </w:rPr>
        <w:t>Rating: 5b</w:t>
      </w:r>
    </w:p>
    <w:p w14:paraId="79CB19DE"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497" w:name="Bartels"/>
      <w:bookmarkEnd w:id="497"/>
      <w:r w:rsidRPr="00D61F73">
        <w:rPr>
          <w:rFonts w:ascii="Arial" w:hAnsi="Arial" w:cs="Arial"/>
          <w:b/>
        </w:rPr>
        <w:t xml:space="preserve">artels S, Sivilotti M, Crosby D, Richard J. Are recommended doses of acetaminophen hepatotoxic for recently abstinent alcoholics? A randomized trial. </w:t>
      </w:r>
      <w:r w:rsidRPr="00D61F73">
        <w:rPr>
          <w:rFonts w:ascii="Arial" w:hAnsi="Arial" w:cs="Arial"/>
          <w:b/>
          <w:i/>
        </w:rPr>
        <w:t>Clin Toxicol (Phila).</w:t>
      </w:r>
      <w:r w:rsidRPr="00D61F73">
        <w:rPr>
          <w:rFonts w:ascii="Arial" w:hAnsi="Arial" w:cs="Arial"/>
          <w:b/>
        </w:rPr>
        <w:t xml:space="preserve"> 2008;46:243-9.</w:t>
      </w:r>
    </w:p>
    <w:p w14:paraId="7FAC4E9C" w14:textId="77777777" w:rsidR="008D0565" w:rsidRPr="00D61F73" w:rsidRDefault="008D0565" w:rsidP="00D61F73">
      <w:pPr>
        <w:rPr>
          <w:rFonts w:ascii="Arial" w:hAnsi="Arial" w:cs="Arial"/>
        </w:rPr>
      </w:pPr>
    </w:p>
    <w:p w14:paraId="1050A558" w14:textId="77777777" w:rsidR="008D0565" w:rsidRPr="00D61F73" w:rsidRDefault="008D0565" w:rsidP="00D61F73">
      <w:pPr>
        <w:rPr>
          <w:rFonts w:ascii="Arial" w:hAnsi="Arial" w:cs="Arial"/>
        </w:rPr>
      </w:pPr>
      <w:r w:rsidRPr="00D61F73">
        <w:rPr>
          <w:rFonts w:ascii="Arial" w:hAnsi="Arial" w:cs="Arial"/>
        </w:rPr>
        <w:t xml:space="preserve">PMID: </w:t>
      </w:r>
      <w:hyperlink r:id="rId254" w:history="1">
        <w:r w:rsidRPr="00D61F73">
          <w:rPr>
            <w:rStyle w:val="Hyperlink"/>
            <w:rFonts w:ascii="Arial" w:hAnsi="Arial" w:cs="Arial"/>
          </w:rPr>
          <w:t>18344107</w:t>
        </w:r>
      </w:hyperlink>
    </w:p>
    <w:p w14:paraId="00E3DF63" w14:textId="77777777" w:rsidR="008D0565" w:rsidRPr="00D61F73" w:rsidRDefault="008D0565" w:rsidP="00D61F73">
      <w:pPr>
        <w:rPr>
          <w:rFonts w:ascii="Arial" w:hAnsi="Arial" w:cs="Arial"/>
        </w:rPr>
      </w:pPr>
    </w:p>
    <w:p w14:paraId="40FD9834" w14:textId="77777777" w:rsidR="008D0565" w:rsidRPr="00D61F73" w:rsidRDefault="008D0565" w:rsidP="00D61F73">
      <w:pPr>
        <w:rPr>
          <w:rFonts w:ascii="Arial" w:hAnsi="Arial" w:cs="Arial"/>
        </w:rPr>
      </w:pPr>
      <w:r w:rsidRPr="00D61F73">
        <w:rPr>
          <w:rFonts w:ascii="Arial" w:hAnsi="Arial" w:cs="Arial"/>
        </w:rPr>
        <w:t>Rating: 2b</w:t>
      </w:r>
    </w:p>
    <w:p w14:paraId="5BC4E86B"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498" w:name="Beals"/>
      <w:bookmarkEnd w:id="498"/>
      <w:r w:rsidRPr="00D61F73">
        <w:rPr>
          <w:rFonts w:ascii="Arial" w:hAnsi="Arial" w:cs="Arial"/>
          <w:b/>
          <w:bCs/>
        </w:rPr>
        <w:t xml:space="preserve">eals RK, Hickman NW. Industrial injuries of the back and extremities. Comprehensive evaluation--an aid in prognosis and management: a study of one hundred and eighty patients. </w:t>
      </w:r>
      <w:r w:rsidRPr="00D61F73">
        <w:rPr>
          <w:rFonts w:ascii="Arial" w:hAnsi="Arial" w:cs="Arial"/>
          <w:b/>
          <w:bCs/>
          <w:i/>
        </w:rPr>
        <w:t>J Bone Joint Surg Am.</w:t>
      </w:r>
      <w:r w:rsidRPr="00D61F73">
        <w:rPr>
          <w:rFonts w:ascii="Arial" w:hAnsi="Arial" w:cs="Arial"/>
          <w:b/>
          <w:bCs/>
        </w:rPr>
        <w:t xml:space="preserve"> 1972;54:1593-611.</w:t>
      </w:r>
    </w:p>
    <w:p w14:paraId="2C153AE5" w14:textId="77777777" w:rsidR="008D0565" w:rsidRPr="00D61F73" w:rsidRDefault="008D0565" w:rsidP="00D61F73">
      <w:pPr>
        <w:rPr>
          <w:rFonts w:ascii="Arial" w:hAnsi="Arial" w:cs="Arial"/>
        </w:rPr>
      </w:pPr>
    </w:p>
    <w:p w14:paraId="45813DDB" w14:textId="77777777" w:rsidR="008D0565" w:rsidRPr="00D61F73" w:rsidRDefault="008D0565" w:rsidP="00D61F73">
      <w:pPr>
        <w:rPr>
          <w:rFonts w:ascii="Arial" w:hAnsi="Arial" w:cs="Arial"/>
        </w:rPr>
      </w:pPr>
      <w:r w:rsidRPr="00D61F73">
        <w:rPr>
          <w:rFonts w:ascii="Arial" w:hAnsi="Arial" w:cs="Arial"/>
        </w:rPr>
        <w:t xml:space="preserve">PMID: </w:t>
      </w:r>
      <w:hyperlink r:id="rId255" w:history="1">
        <w:r w:rsidRPr="00D61F73">
          <w:rPr>
            <w:rStyle w:val="Hyperlink"/>
            <w:rFonts w:ascii="Arial" w:hAnsi="Arial" w:cs="Arial"/>
          </w:rPr>
          <w:t>4143913</w:t>
        </w:r>
      </w:hyperlink>
    </w:p>
    <w:p w14:paraId="0A2ECC29" w14:textId="77777777" w:rsidR="008D0565" w:rsidRPr="00D61F73" w:rsidRDefault="008D0565" w:rsidP="00D61F73">
      <w:pPr>
        <w:rPr>
          <w:rFonts w:ascii="Arial" w:hAnsi="Arial" w:cs="Arial"/>
        </w:rPr>
      </w:pPr>
    </w:p>
    <w:p w14:paraId="405AECF4" w14:textId="77777777" w:rsidR="008D0565" w:rsidRPr="00D61F73" w:rsidRDefault="008D0565" w:rsidP="00D61F73">
      <w:pPr>
        <w:rPr>
          <w:rFonts w:ascii="Arial" w:hAnsi="Arial" w:cs="Arial"/>
        </w:rPr>
      </w:pPr>
      <w:r w:rsidRPr="00D61F73">
        <w:rPr>
          <w:rFonts w:ascii="Arial" w:hAnsi="Arial" w:cs="Arial"/>
        </w:rPr>
        <w:t xml:space="preserve">Rating: 3b </w:t>
      </w:r>
    </w:p>
    <w:p w14:paraId="7B411EFC" w14:textId="77777777" w:rsidR="008D0565" w:rsidRPr="00D61F73" w:rsidRDefault="008D0565" w:rsidP="00D61F73">
      <w:pPr>
        <w:rPr>
          <w:rFonts w:ascii="Arial" w:hAnsi="Arial" w:cs="Arial"/>
          <w:b/>
          <w:color w:val="auto"/>
        </w:rPr>
      </w:pPr>
      <w:r w:rsidRPr="00D61F73">
        <w:rPr>
          <w:rFonts w:ascii="Arial" w:hAnsi="Arial" w:cs="Arial"/>
          <w:b/>
          <w:bCs/>
        </w:rPr>
        <w:br w:type="page"/>
      </w:r>
      <w:r w:rsidRPr="00D61F73">
        <w:rPr>
          <w:rFonts w:ascii="Arial" w:hAnsi="Arial" w:cs="Arial"/>
          <w:b/>
        </w:rPr>
        <w:lastRenderedPageBreak/>
        <w:t>B</w:t>
      </w:r>
      <w:bookmarkStart w:id="499" w:name="Beerthuizen2009"/>
      <w:bookmarkEnd w:id="499"/>
      <w:r w:rsidRPr="00D61F73">
        <w:rPr>
          <w:rFonts w:ascii="Arial" w:hAnsi="Arial" w:cs="Arial"/>
          <w:b/>
        </w:rPr>
        <w:t xml:space="preserve">eerthuizen A, van 't Spijker A, Huygen FJ, Klein J, de Wit R. Is there an association between psychological factors and the Complex Regional Pain Syndrome type 1 (CRPS1) in adults? A systematic review. </w:t>
      </w:r>
      <w:r w:rsidRPr="00D61F73">
        <w:rPr>
          <w:rFonts w:ascii="Arial" w:hAnsi="Arial" w:cs="Arial"/>
          <w:b/>
          <w:i/>
        </w:rPr>
        <w:t>Pain</w:t>
      </w:r>
      <w:r w:rsidRPr="00D61F73">
        <w:rPr>
          <w:rFonts w:ascii="Arial" w:hAnsi="Arial" w:cs="Arial"/>
          <w:b/>
        </w:rPr>
        <w:t>. 2009;145:52-9.</w:t>
      </w:r>
    </w:p>
    <w:p w14:paraId="0C4E9B4B" w14:textId="77777777" w:rsidR="008D0565" w:rsidRPr="00D61F73" w:rsidRDefault="008D0565" w:rsidP="00D61F73">
      <w:pPr>
        <w:rPr>
          <w:rFonts w:ascii="Arial" w:hAnsi="Arial" w:cs="Arial"/>
        </w:rPr>
      </w:pPr>
    </w:p>
    <w:p w14:paraId="3EA83588" w14:textId="77777777" w:rsidR="008D0565" w:rsidRPr="00D61F73" w:rsidRDefault="008D0565" w:rsidP="00D61F73">
      <w:pPr>
        <w:rPr>
          <w:rFonts w:ascii="Arial" w:hAnsi="Arial" w:cs="Arial"/>
        </w:rPr>
      </w:pPr>
      <w:r w:rsidRPr="00D61F73">
        <w:rPr>
          <w:rFonts w:ascii="Arial" w:hAnsi="Arial" w:cs="Arial"/>
        </w:rPr>
        <w:t xml:space="preserve">PMID: </w:t>
      </w:r>
      <w:hyperlink r:id="rId256" w:history="1">
        <w:r w:rsidRPr="00D61F73">
          <w:rPr>
            <w:rStyle w:val="Hyperlink"/>
            <w:rFonts w:ascii="Arial" w:hAnsi="Arial" w:cs="Arial"/>
          </w:rPr>
          <w:t>19573987</w:t>
        </w:r>
      </w:hyperlink>
    </w:p>
    <w:p w14:paraId="561A7F77" w14:textId="77777777" w:rsidR="008D0565" w:rsidRPr="00D61F73" w:rsidRDefault="008D0565" w:rsidP="00D61F73">
      <w:pPr>
        <w:rPr>
          <w:rFonts w:ascii="Arial" w:hAnsi="Arial" w:cs="Arial"/>
        </w:rPr>
      </w:pPr>
    </w:p>
    <w:p w14:paraId="5198E8FF" w14:textId="77777777" w:rsidR="008D0565" w:rsidRPr="00D61F73" w:rsidRDefault="008D0565" w:rsidP="00D61F73">
      <w:pPr>
        <w:rPr>
          <w:rFonts w:ascii="Arial" w:hAnsi="Arial" w:cs="Arial"/>
        </w:rPr>
      </w:pPr>
      <w:r w:rsidRPr="00D61F73">
        <w:rPr>
          <w:rFonts w:ascii="Arial" w:hAnsi="Arial" w:cs="Arial"/>
        </w:rPr>
        <w:t>Rating: 1c</w:t>
      </w:r>
    </w:p>
    <w:p w14:paraId="722F66A2" w14:textId="77777777" w:rsidR="008D0565" w:rsidRPr="00D61F73" w:rsidRDefault="008D0565" w:rsidP="00D61F73">
      <w:pPr>
        <w:rPr>
          <w:rFonts w:ascii="Arial" w:hAnsi="Arial" w:cs="Arial"/>
          <w:color w:val="auto"/>
        </w:rPr>
      </w:pPr>
      <w:r w:rsidRPr="00D61F73">
        <w:rPr>
          <w:rFonts w:ascii="Arial" w:hAnsi="Arial" w:cs="Arial"/>
          <w:b/>
          <w:bCs/>
        </w:rPr>
        <w:br w:type="page"/>
      </w:r>
      <w:r w:rsidRPr="00D61F73">
        <w:rPr>
          <w:rFonts w:ascii="Arial" w:hAnsi="Arial" w:cs="Arial"/>
          <w:b/>
        </w:rPr>
        <w:lastRenderedPageBreak/>
        <w:t>B</w:t>
      </w:r>
      <w:bookmarkStart w:id="500" w:name="Beerthuizen2011"/>
      <w:bookmarkEnd w:id="500"/>
      <w:r w:rsidRPr="00D61F73">
        <w:rPr>
          <w:rFonts w:ascii="Arial" w:hAnsi="Arial" w:cs="Arial"/>
          <w:b/>
        </w:rPr>
        <w:t xml:space="preserve">eerthuizen A, Stronks DL, Huygen FJ, Passchier J, Klein J, Spijker AV. The association between psychological factors and the development of complex regional pain syndrome type 1 (CRPS1)--a prospective multicenter study. </w:t>
      </w:r>
      <w:r w:rsidRPr="00D61F73">
        <w:rPr>
          <w:rFonts w:ascii="Arial" w:hAnsi="Arial" w:cs="Arial"/>
          <w:b/>
          <w:i/>
        </w:rPr>
        <w:t>Eur J Pain</w:t>
      </w:r>
      <w:r w:rsidRPr="00D61F73">
        <w:rPr>
          <w:rFonts w:ascii="Arial" w:hAnsi="Arial" w:cs="Arial"/>
          <w:b/>
        </w:rPr>
        <w:t>. 2011;15:971-5.</w:t>
      </w:r>
    </w:p>
    <w:p w14:paraId="1F81598D" w14:textId="77777777" w:rsidR="008D0565" w:rsidRPr="00D61F73" w:rsidRDefault="008D0565" w:rsidP="00D61F73">
      <w:pPr>
        <w:rPr>
          <w:rFonts w:ascii="Arial" w:hAnsi="Arial" w:cs="Arial"/>
        </w:rPr>
      </w:pPr>
    </w:p>
    <w:p w14:paraId="40554413" w14:textId="77777777" w:rsidR="008D0565" w:rsidRPr="00D61F73" w:rsidRDefault="008D0565" w:rsidP="00D61F73">
      <w:pPr>
        <w:rPr>
          <w:rFonts w:ascii="Arial" w:hAnsi="Arial" w:cs="Arial"/>
        </w:rPr>
      </w:pPr>
      <w:r w:rsidRPr="00D61F73">
        <w:rPr>
          <w:rFonts w:ascii="Arial" w:hAnsi="Arial" w:cs="Arial"/>
        </w:rPr>
        <w:t xml:space="preserve">PMID: </w:t>
      </w:r>
      <w:hyperlink r:id="rId257" w:history="1">
        <w:r w:rsidRPr="00D61F73">
          <w:rPr>
            <w:rStyle w:val="Hyperlink"/>
            <w:rFonts w:ascii="Arial" w:hAnsi="Arial" w:cs="Arial"/>
          </w:rPr>
          <w:t>21459637</w:t>
        </w:r>
      </w:hyperlink>
    </w:p>
    <w:p w14:paraId="22215C2E" w14:textId="77777777" w:rsidR="008D0565" w:rsidRPr="00D61F73" w:rsidRDefault="008D0565" w:rsidP="00D61F73">
      <w:pPr>
        <w:rPr>
          <w:rFonts w:ascii="Arial" w:hAnsi="Arial" w:cs="Arial"/>
        </w:rPr>
      </w:pPr>
    </w:p>
    <w:p w14:paraId="74DA0AED" w14:textId="77777777" w:rsidR="008D0565" w:rsidRPr="00D61F73" w:rsidRDefault="008D0565" w:rsidP="00D61F73">
      <w:pPr>
        <w:rPr>
          <w:rFonts w:ascii="Arial" w:hAnsi="Arial" w:cs="Arial"/>
        </w:rPr>
      </w:pPr>
      <w:r w:rsidRPr="00D61F73">
        <w:rPr>
          <w:rFonts w:ascii="Arial" w:hAnsi="Arial" w:cs="Arial"/>
        </w:rPr>
        <w:t>Rating: 3a</w:t>
      </w:r>
    </w:p>
    <w:p w14:paraId="6BE22B78" w14:textId="77777777" w:rsidR="003C62AC" w:rsidRPr="00D61F73" w:rsidRDefault="0056689C" w:rsidP="00D61F73">
      <w:pPr>
        <w:rPr>
          <w:rFonts w:ascii="Arial" w:hAnsi="Arial" w:cs="Arial"/>
          <w:bCs/>
        </w:rPr>
      </w:pPr>
      <w:r w:rsidRPr="00D61F73">
        <w:rPr>
          <w:rFonts w:ascii="Arial" w:hAnsi="Arial" w:cs="Arial"/>
          <w:b/>
          <w:bCs/>
        </w:rPr>
        <w:br w:type="page"/>
      </w:r>
      <w:bookmarkStart w:id="501" w:name="Beletsky2012"/>
      <w:r w:rsidRPr="00D61F73">
        <w:rPr>
          <w:rFonts w:ascii="Arial" w:hAnsi="Arial" w:cs="Arial"/>
          <w:b/>
          <w:bCs/>
        </w:rPr>
        <w:lastRenderedPageBreak/>
        <w:t>Beletsky L</w:t>
      </w:r>
      <w:bookmarkEnd w:id="501"/>
      <w:r w:rsidRPr="00D61F73">
        <w:rPr>
          <w:rFonts w:ascii="Arial" w:hAnsi="Arial" w:cs="Arial"/>
          <w:b/>
          <w:bCs/>
        </w:rPr>
        <w:t>, Rich JD, Walley AY. Prevention of fatal opioid overdose. JAMA. Nov 14 2012; 308(18):1863-1864.</w:t>
      </w:r>
      <w:r w:rsidRPr="00D61F73">
        <w:rPr>
          <w:rFonts w:ascii="Arial" w:hAnsi="Arial" w:cs="Arial"/>
          <w:b/>
          <w:bCs/>
        </w:rPr>
        <w:br/>
      </w:r>
      <w:r w:rsidRPr="00D61F73">
        <w:rPr>
          <w:rFonts w:ascii="Arial" w:hAnsi="Arial" w:cs="Arial"/>
          <w:b/>
          <w:bCs/>
        </w:rPr>
        <w:br/>
      </w:r>
      <w:r w:rsidRPr="00D61F73">
        <w:rPr>
          <w:rFonts w:ascii="Arial" w:hAnsi="Arial" w:cs="Arial"/>
          <w:bCs/>
        </w:rPr>
        <w:t xml:space="preserve">PMID: </w:t>
      </w:r>
      <w:hyperlink r:id="rId258" w:history="1">
        <w:r w:rsidRPr="00D61F73">
          <w:rPr>
            <w:rStyle w:val="Hyperlink"/>
            <w:rFonts w:ascii="Arial" w:hAnsi="Arial" w:cs="Arial"/>
            <w:bCs/>
          </w:rPr>
          <w:t>23150005</w:t>
        </w:r>
      </w:hyperlink>
    </w:p>
    <w:p w14:paraId="5EAA80B8" w14:textId="77777777" w:rsidR="0056689C" w:rsidRPr="00D61F73" w:rsidRDefault="0056689C" w:rsidP="00D61F73">
      <w:pPr>
        <w:rPr>
          <w:rFonts w:ascii="Arial" w:hAnsi="Arial" w:cs="Arial"/>
          <w:bCs/>
        </w:rPr>
      </w:pPr>
      <w:r w:rsidRPr="00D61F73">
        <w:rPr>
          <w:rFonts w:ascii="Arial" w:hAnsi="Arial" w:cs="Arial"/>
          <w:bCs/>
        </w:rPr>
        <w:br/>
      </w:r>
      <w:r w:rsidRPr="00D61F73">
        <w:rPr>
          <w:rFonts w:ascii="Arial" w:hAnsi="Arial" w:cs="Arial"/>
          <w:bCs/>
        </w:rPr>
        <w:br/>
        <w:t>Rating: 5a</w:t>
      </w:r>
    </w:p>
    <w:p w14:paraId="4E1902DC" w14:textId="77777777" w:rsidR="00CE2276" w:rsidRPr="00D61F73" w:rsidRDefault="00CE2276" w:rsidP="00D61F73">
      <w:pPr>
        <w:rPr>
          <w:rFonts w:ascii="Arial" w:hAnsi="Arial" w:cs="Arial"/>
          <w:bCs/>
        </w:rPr>
      </w:pPr>
      <w:r w:rsidRPr="00D61F73">
        <w:rPr>
          <w:rFonts w:ascii="Arial" w:hAnsi="Arial" w:cs="Arial"/>
          <w:b/>
          <w:bCs/>
        </w:rPr>
        <w:br w:type="page"/>
      </w:r>
      <w:bookmarkStart w:id="502" w:name="Beletsky2015"/>
      <w:r w:rsidRPr="00D61F73">
        <w:rPr>
          <w:rFonts w:ascii="Arial" w:hAnsi="Arial" w:cs="Arial"/>
          <w:b/>
          <w:bCs/>
        </w:rPr>
        <w:lastRenderedPageBreak/>
        <w:t>Beletsky L</w:t>
      </w:r>
      <w:bookmarkEnd w:id="502"/>
      <w:r w:rsidRPr="00D61F73">
        <w:rPr>
          <w:rFonts w:ascii="Arial" w:hAnsi="Arial" w:cs="Arial"/>
          <w:b/>
          <w:bCs/>
        </w:rPr>
        <w:t>. The Benefits and Potential Drawbacks in the Approval of EVZIO for Lay Reversal of Opioid Overdose. Am J Prev Med. 2015;48:357-359.</w:t>
      </w:r>
      <w:r w:rsidRPr="00D61F73">
        <w:rPr>
          <w:rFonts w:ascii="Arial" w:hAnsi="Arial" w:cs="Arial"/>
          <w:b/>
          <w:bCs/>
        </w:rPr>
        <w:br/>
      </w:r>
      <w:r w:rsidRPr="00D61F73">
        <w:rPr>
          <w:rFonts w:ascii="Arial" w:hAnsi="Arial" w:cs="Arial"/>
          <w:b/>
          <w:bCs/>
        </w:rPr>
        <w:br/>
      </w:r>
      <w:r w:rsidRPr="00D61F73">
        <w:rPr>
          <w:rFonts w:ascii="Arial" w:hAnsi="Arial" w:cs="Arial"/>
          <w:bCs/>
        </w:rPr>
        <w:t xml:space="preserve">PMID: </w:t>
      </w:r>
      <w:hyperlink r:id="rId259" w:history="1">
        <w:r w:rsidRPr="00D61F73">
          <w:rPr>
            <w:rStyle w:val="Hyperlink"/>
            <w:rFonts w:ascii="Arial" w:hAnsi="Arial" w:cs="Arial"/>
            <w:bCs/>
          </w:rPr>
          <w:t>25547930</w:t>
        </w:r>
      </w:hyperlink>
      <w:r w:rsidRPr="00D61F73">
        <w:rPr>
          <w:rFonts w:ascii="Arial" w:hAnsi="Arial" w:cs="Arial"/>
          <w:bCs/>
        </w:rPr>
        <w:br/>
      </w:r>
      <w:r w:rsidRPr="00D61F73">
        <w:rPr>
          <w:rFonts w:ascii="Arial" w:hAnsi="Arial" w:cs="Arial"/>
          <w:bCs/>
        </w:rPr>
        <w:br/>
        <w:t>Rating: 11a</w:t>
      </w:r>
    </w:p>
    <w:p w14:paraId="308FA0F8" w14:textId="77777777" w:rsidR="008D0565" w:rsidRPr="00D61F73" w:rsidRDefault="008D0565" w:rsidP="00D61F73">
      <w:pPr>
        <w:rPr>
          <w:rFonts w:ascii="Arial" w:hAnsi="Arial" w:cs="Arial"/>
          <w:b/>
        </w:rPr>
      </w:pPr>
      <w:r w:rsidRPr="00D61F73">
        <w:rPr>
          <w:rFonts w:ascii="Arial" w:hAnsi="Arial" w:cs="Arial"/>
          <w:b/>
          <w:bCs/>
        </w:rPr>
        <w:br w:type="page"/>
      </w:r>
      <w:bookmarkStart w:id="503" w:name="Belgrade2006"/>
      <w:bookmarkEnd w:id="503"/>
      <w:r w:rsidRPr="00D61F73">
        <w:rPr>
          <w:rFonts w:ascii="Arial" w:hAnsi="Arial" w:cs="Arial"/>
          <w:b/>
        </w:rPr>
        <w:lastRenderedPageBreak/>
        <w:t>B</w:t>
      </w:r>
      <w:bookmarkStart w:id="504" w:name="Benca"/>
      <w:bookmarkEnd w:id="504"/>
      <w:r w:rsidRPr="00D61F73">
        <w:rPr>
          <w:rFonts w:ascii="Arial" w:hAnsi="Arial" w:cs="Arial"/>
          <w:b/>
        </w:rPr>
        <w:t xml:space="preserve">enca RM. Diagnosis and treatment of chronic insomnia: a review. </w:t>
      </w:r>
      <w:r w:rsidRPr="00D61F73">
        <w:rPr>
          <w:rFonts w:ascii="Arial" w:hAnsi="Arial" w:cs="Arial"/>
          <w:b/>
          <w:i/>
        </w:rPr>
        <w:t>Psychiatr Serv</w:t>
      </w:r>
      <w:r w:rsidRPr="00D61F73">
        <w:rPr>
          <w:rFonts w:ascii="Arial" w:hAnsi="Arial" w:cs="Arial"/>
          <w:b/>
        </w:rPr>
        <w:t>. 2005;56:332-43.</w:t>
      </w:r>
    </w:p>
    <w:p w14:paraId="111F04EA" w14:textId="77777777" w:rsidR="008D0565" w:rsidRPr="00D61F73" w:rsidRDefault="008D0565" w:rsidP="00D61F73">
      <w:pPr>
        <w:rPr>
          <w:rFonts w:ascii="Arial" w:hAnsi="Arial" w:cs="Arial"/>
        </w:rPr>
      </w:pPr>
    </w:p>
    <w:p w14:paraId="6E0C4F09" w14:textId="77777777" w:rsidR="008D0565" w:rsidRPr="00D61F73" w:rsidRDefault="008D0565" w:rsidP="00D61F73">
      <w:pPr>
        <w:rPr>
          <w:rFonts w:ascii="Arial" w:hAnsi="Arial" w:cs="Arial"/>
        </w:rPr>
      </w:pPr>
      <w:r w:rsidRPr="00D61F73">
        <w:rPr>
          <w:rFonts w:ascii="Arial" w:hAnsi="Arial" w:cs="Arial"/>
        </w:rPr>
        <w:t xml:space="preserve">CONCLUSIONS: Insomnia is particularly challenging for clinicians because of the lack of guidelines and the small number of studies conducted in patient populations with behavioral and pharmacologic therapies. Current treatment options do not address the needs of difficult-to-treat patients with chronic insomnia, such as the elderly, and those with comorbid medical and psychiatric conditions. </w:t>
      </w:r>
    </w:p>
    <w:p w14:paraId="6940F7CA" w14:textId="77777777" w:rsidR="008D0565" w:rsidRPr="00D61F73" w:rsidRDefault="008D0565" w:rsidP="00D61F73">
      <w:pPr>
        <w:rPr>
          <w:rFonts w:ascii="Arial" w:hAnsi="Arial" w:cs="Arial"/>
        </w:rPr>
      </w:pPr>
    </w:p>
    <w:p w14:paraId="7C6EF365" w14:textId="77777777" w:rsidR="008D0565" w:rsidRPr="00D61F73" w:rsidRDefault="008D0565" w:rsidP="00D61F73">
      <w:pPr>
        <w:rPr>
          <w:rFonts w:ascii="Arial" w:hAnsi="Arial" w:cs="Arial"/>
        </w:rPr>
      </w:pPr>
      <w:r w:rsidRPr="00D61F73">
        <w:rPr>
          <w:rFonts w:ascii="Arial" w:hAnsi="Arial" w:cs="Arial"/>
        </w:rPr>
        <w:t xml:space="preserve">PMID: </w:t>
      </w:r>
      <w:hyperlink r:id="rId260" w:history="1">
        <w:r w:rsidRPr="00D61F73">
          <w:rPr>
            <w:rStyle w:val="Hyperlink"/>
            <w:rFonts w:ascii="Arial" w:hAnsi="Arial" w:cs="Arial"/>
          </w:rPr>
          <w:t>15746509</w:t>
        </w:r>
      </w:hyperlink>
      <w:r w:rsidRPr="00D61F73">
        <w:rPr>
          <w:rFonts w:ascii="Arial" w:hAnsi="Arial" w:cs="Arial"/>
        </w:rPr>
        <w:t xml:space="preserve"> </w:t>
      </w:r>
    </w:p>
    <w:p w14:paraId="477C62ED" w14:textId="77777777" w:rsidR="008D0565" w:rsidRPr="00D61F73" w:rsidRDefault="008D0565" w:rsidP="00D61F73">
      <w:pPr>
        <w:rPr>
          <w:rFonts w:ascii="Arial" w:hAnsi="Arial" w:cs="Arial"/>
        </w:rPr>
      </w:pPr>
    </w:p>
    <w:p w14:paraId="09EBF40B" w14:textId="77777777" w:rsidR="008D0565" w:rsidRPr="00D61F73" w:rsidRDefault="008D0565" w:rsidP="00D61F73">
      <w:pPr>
        <w:rPr>
          <w:rFonts w:ascii="Arial" w:hAnsi="Arial" w:cs="Arial"/>
        </w:rPr>
      </w:pPr>
      <w:r w:rsidRPr="00D61F73">
        <w:rPr>
          <w:rFonts w:ascii="Arial" w:hAnsi="Arial" w:cs="Arial"/>
        </w:rPr>
        <w:t>Rating: 1c</w:t>
      </w:r>
    </w:p>
    <w:p w14:paraId="3BFE0A96"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505" w:name="Bendix"/>
      <w:bookmarkEnd w:id="505"/>
      <w:r w:rsidRPr="00D61F73">
        <w:rPr>
          <w:rFonts w:ascii="Arial" w:hAnsi="Arial" w:cs="Arial"/>
          <w:b/>
        </w:rPr>
        <w:t xml:space="preserve">endix AF, Bendix T, Labriola M, Boekgaard P. Functional restoration for chronic low back pain. Two-year follow-up of two randomized clinical trials. </w:t>
      </w:r>
      <w:r w:rsidRPr="00D61F73">
        <w:rPr>
          <w:rFonts w:ascii="Arial" w:hAnsi="Arial" w:cs="Arial"/>
          <w:b/>
          <w:i/>
        </w:rPr>
        <w:t>Spine</w:t>
      </w:r>
      <w:r w:rsidRPr="00D61F73">
        <w:rPr>
          <w:rFonts w:ascii="Arial" w:hAnsi="Arial" w:cs="Arial"/>
          <w:b/>
        </w:rPr>
        <w:t xml:space="preserve">. 1998 Mar 15;23(6):717-25. </w:t>
      </w:r>
    </w:p>
    <w:p w14:paraId="1BE8E600" w14:textId="77777777" w:rsidR="008D0565" w:rsidRPr="00D61F73" w:rsidRDefault="008D0565" w:rsidP="00D61F73">
      <w:pPr>
        <w:rPr>
          <w:rFonts w:ascii="Arial" w:hAnsi="Arial" w:cs="Arial"/>
        </w:rPr>
      </w:pPr>
    </w:p>
    <w:p w14:paraId="50CC48BE" w14:textId="77777777" w:rsidR="008D0565" w:rsidRPr="00D61F73" w:rsidRDefault="008D0565" w:rsidP="00D61F73">
      <w:pPr>
        <w:rPr>
          <w:rFonts w:ascii="Arial" w:hAnsi="Arial" w:cs="Arial"/>
        </w:rPr>
      </w:pPr>
      <w:r w:rsidRPr="00D61F73">
        <w:rPr>
          <w:rFonts w:ascii="Arial" w:hAnsi="Arial" w:cs="Arial"/>
        </w:rPr>
        <w:t>STUDY DESIGN: Two randomized, prospective clinical trials involving 238 chronic low back disability patients were carried out. Results at 2-year follow-up are presented. METHODS: Two hundred thirty-eight patients with chronic low back disability of at least 6 months' duration were included. RESULTS: Of the remaining 225 patients, 20 (9%) did not complete treatment. The questionnaire response rate was 94%. In Project A, those patients receiving treatment (functional restoration) reported significantly less contact with the health care system, fewer sick leave days, and a less disabled life style during the follow-up period, compared with reports of patients in the control group. Other effect parameters did not demonstrate a significant difference between the two groups. CONCLUSIONS: indicate the necessity of testing a treatment program in different settings, in that the statistical variation may be a major factor in results of different studies.</w:t>
      </w:r>
    </w:p>
    <w:p w14:paraId="480F8A73" w14:textId="77777777" w:rsidR="008D0565" w:rsidRPr="00D61F73" w:rsidRDefault="008D0565" w:rsidP="00D61F73">
      <w:pPr>
        <w:rPr>
          <w:rFonts w:ascii="Arial" w:hAnsi="Arial" w:cs="Arial"/>
        </w:rPr>
      </w:pPr>
    </w:p>
    <w:p w14:paraId="173F270F" w14:textId="77777777" w:rsidR="008D0565" w:rsidRPr="00D61F73" w:rsidRDefault="008D0565" w:rsidP="00D61F73">
      <w:pPr>
        <w:rPr>
          <w:rFonts w:ascii="Arial" w:hAnsi="Arial" w:cs="Arial"/>
        </w:rPr>
      </w:pPr>
      <w:r w:rsidRPr="00D61F73">
        <w:rPr>
          <w:rFonts w:ascii="Arial" w:hAnsi="Arial" w:cs="Arial"/>
        </w:rPr>
        <w:t xml:space="preserve">PMID: </w:t>
      </w:r>
      <w:hyperlink r:id="rId261" w:history="1">
        <w:r w:rsidRPr="00D61F73">
          <w:rPr>
            <w:rStyle w:val="Hyperlink"/>
            <w:rFonts w:ascii="Arial" w:hAnsi="Arial" w:cs="Arial"/>
          </w:rPr>
          <w:t>9549794</w:t>
        </w:r>
      </w:hyperlink>
    </w:p>
    <w:p w14:paraId="6CCA36A6" w14:textId="77777777" w:rsidR="008D0565" w:rsidRPr="00D61F73" w:rsidRDefault="008D0565" w:rsidP="00D61F73">
      <w:pPr>
        <w:rPr>
          <w:rFonts w:ascii="Arial" w:hAnsi="Arial" w:cs="Arial"/>
        </w:rPr>
      </w:pPr>
    </w:p>
    <w:p w14:paraId="249F7418" w14:textId="77777777" w:rsidR="008D0565" w:rsidRPr="00D61F73" w:rsidRDefault="008D0565" w:rsidP="00D61F73">
      <w:pPr>
        <w:rPr>
          <w:rFonts w:ascii="Arial" w:hAnsi="Arial" w:cs="Arial"/>
        </w:rPr>
      </w:pPr>
      <w:r w:rsidRPr="00D61F73">
        <w:rPr>
          <w:rFonts w:ascii="Arial" w:hAnsi="Arial" w:cs="Arial"/>
        </w:rPr>
        <w:t>Rating: 2b</w:t>
      </w:r>
    </w:p>
    <w:p w14:paraId="143584E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506" w:name="Bendix1997"/>
      <w:bookmarkEnd w:id="506"/>
      <w:r w:rsidRPr="00D61F73">
        <w:rPr>
          <w:rFonts w:ascii="Arial" w:hAnsi="Arial" w:cs="Arial"/>
          <w:b/>
        </w:rPr>
        <w:t xml:space="preserve">endix AF, Bendix T, Lund C, Kirkbak S, Ostenfeld S. Comparison of three intensive programs for chronic low back pain patients: a prospective, randomized, observer-blinded study with one-year follow-up. </w:t>
      </w:r>
      <w:r w:rsidRPr="00D61F73">
        <w:rPr>
          <w:rFonts w:ascii="Arial" w:hAnsi="Arial" w:cs="Arial"/>
          <w:b/>
          <w:i/>
        </w:rPr>
        <w:t>Scand J Rehabil Med</w:t>
      </w:r>
      <w:r w:rsidRPr="00D61F73">
        <w:rPr>
          <w:rFonts w:ascii="Arial" w:hAnsi="Arial" w:cs="Arial"/>
          <w:b/>
        </w:rPr>
        <w:t>. 1997;29:81-9.</w:t>
      </w:r>
    </w:p>
    <w:p w14:paraId="64375C24" w14:textId="77777777" w:rsidR="008D0565" w:rsidRPr="00D61F73" w:rsidRDefault="008D0565" w:rsidP="00D61F73">
      <w:pPr>
        <w:rPr>
          <w:rFonts w:ascii="Arial" w:hAnsi="Arial" w:cs="Arial"/>
          <w:b/>
        </w:rPr>
      </w:pPr>
    </w:p>
    <w:p w14:paraId="3AD6B7F5" w14:textId="77777777" w:rsidR="008D0565" w:rsidRPr="00D61F73" w:rsidRDefault="008D0565" w:rsidP="00D61F73">
      <w:pPr>
        <w:rPr>
          <w:rFonts w:ascii="Arial" w:hAnsi="Arial" w:cs="Arial"/>
        </w:rPr>
      </w:pPr>
      <w:r w:rsidRPr="00D61F73">
        <w:rPr>
          <w:rFonts w:ascii="Arial" w:hAnsi="Arial" w:cs="Arial"/>
        </w:rPr>
        <w:t>Conclusively, it seems that there is human, as well as economical, benefit from a functional restoration program compared to less intensive programs for these patients.</w:t>
      </w:r>
    </w:p>
    <w:p w14:paraId="5A5BF48A" w14:textId="77777777" w:rsidR="008D0565" w:rsidRPr="00D61F73" w:rsidRDefault="008D0565" w:rsidP="00D61F73">
      <w:pPr>
        <w:rPr>
          <w:rFonts w:ascii="Arial" w:hAnsi="Arial" w:cs="Arial"/>
        </w:rPr>
      </w:pPr>
    </w:p>
    <w:p w14:paraId="14C1375D" w14:textId="77777777" w:rsidR="008D0565" w:rsidRPr="00D61F73" w:rsidRDefault="008D0565" w:rsidP="00D61F73">
      <w:pPr>
        <w:rPr>
          <w:rFonts w:ascii="Arial" w:hAnsi="Arial" w:cs="Arial"/>
        </w:rPr>
      </w:pPr>
      <w:r w:rsidRPr="00D61F73">
        <w:rPr>
          <w:rFonts w:ascii="Arial" w:hAnsi="Arial" w:cs="Arial"/>
        </w:rPr>
        <w:t xml:space="preserve">PMID: </w:t>
      </w:r>
      <w:hyperlink r:id="rId262" w:history="1">
        <w:r w:rsidRPr="00D61F73">
          <w:rPr>
            <w:rStyle w:val="Hyperlink"/>
            <w:rFonts w:ascii="Arial" w:hAnsi="Arial" w:cs="Arial"/>
          </w:rPr>
          <w:t>9198257</w:t>
        </w:r>
      </w:hyperlink>
    </w:p>
    <w:p w14:paraId="5375AD78" w14:textId="77777777" w:rsidR="008D0565" w:rsidRPr="00D61F73" w:rsidRDefault="008D0565" w:rsidP="00D61F73">
      <w:pPr>
        <w:rPr>
          <w:rFonts w:ascii="Arial" w:hAnsi="Arial" w:cs="Arial"/>
        </w:rPr>
      </w:pPr>
    </w:p>
    <w:p w14:paraId="648CC7C2" w14:textId="77777777" w:rsidR="008D0565" w:rsidRPr="00D61F73" w:rsidRDefault="008D0565" w:rsidP="00D61F73">
      <w:pPr>
        <w:rPr>
          <w:rFonts w:ascii="Arial" w:hAnsi="Arial" w:cs="Arial"/>
        </w:rPr>
      </w:pPr>
      <w:r w:rsidRPr="00D61F73">
        <w:rPr>
          <w:rFonts w:ascii="Arial" w:hAnsi="Arial" w:cs="Arial"/>
        </w:rPr>
        <w:t>Rating: 2b</w:t>
      </w:r>
    </w:p>
    <w:p w14:paraId="07D83E4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507" w:name="Bendix1998a"/>
      <w:bookmarkEnd w:id="507"/>
      <w:r w:rsidRPr="00D61F73">
        <w:rPr>
          <w:rFonts w:ascii="Arial" w:hAnsi="Arial" w:cs="Arial"/>
          <w:b/>
        </w:rPr>
        <w:t xml:space="preserve">endix AF, Bendix T, Haestrup C. Can it be predicted which patients with chronic low back pain should be offered tertiary rehabilitation in a functional restoration program? A search for demographic, socioeconomic, and physical predictors. </w:t>
      </w:r>
      <w:r w:rsidRPr="00D61F73">
        <w:rPr>
          <w:rFonts w:ascii="Arial" w:hAnsi="Arial" w:cs="Arial"/>
          <w:b/>
          <w:i/>
        </w:rPr>
        <w:t>Spine</w:t>
      </w:r>
      <w:r w:rsidRPr="00D61F73">
        <w:rPr>
          <w:rFonts w:ascii="Arial" w:hAnsi="Arial" w:cs="Arial"/>
          <w:b/>
        </w:rPr>
        <w:t>. 1998;23:1775-83; discussion 1783-4.</w:t>
      </w:r>
    </w:p>
    <w:p w14:paraId="0DDA4413" w14:textId="77777777" w:rsidR="008D0565" w:rsidRPr="00D61F73" w:rsidRDefault="008D0565" w:rsidP="00D61F73">
      <w:pPr>
        <w:rPr>
          <w:rFonts w:ascii="Arial" w:hAnsi="Arial" w:cs="Arial"/>
          <w:b/>
        </w:rPr>
      </w:pPr>
    </w:p>
    <w:p w14:paraId="0972404F" w14:textId="77777777" w:rsidR="008D0565" w:rsidRPr="00D61F73" w:rsidRDefault="008D0565" w:rsidP="00D61F73">
      <w:pPr>
        <w:rPr>
          <w:rFonts w:ascii="Arial" w:hAnsi="Arial" w:cs="Arial"/>
        </w:rPr>
      </w:pPr>
      <w:r w:rsidRPr="00D61F73">
        <w:rPr>
          <w:rFonts w:ascii="Arial" w:hAnsi="Arial" w:cs="Arial"/>
        </w:rPr>
        <w:t>CONCLUSIONS: Different factors can be identified as predictive of outcome in a functional restoration program, but most of these factors were also shown to predict success for shorter control outpatient programs or of no treatment.</w:t>
      </w:r>
    </w:p>
    <w:p w14:paraId="7F19BB09" w14:textId="77777777" w:rsidR="008D0565" w:rsidRPr="00D61F73" w:rsidRDefault="008D0565" w:rsidP="00D61F73">
      <w:pPr>
        <w:rPr>
          <w:rFonts w:ascii="Arial" w:hAnsi="Arial" w:cs="Arial"/>
        </w:rPr>
      </w:pPr>
    </w:p>
    <w:p w14:paraId="19294C25" w14:textId="77777777" w:rsidR="008D0565" w:rsidRPr="00D61F73" w:rsidRDefault="008D0565" w:rsidP="00D61F73">
      <w:pPr>
        <w:rPr>
          <w:rFonts w:ascii="Arial" w:hAnsi="Arial" w:cs="Arial"/>
        </w:rPr>
      </w:pPr>
      <w:r w:rsidRPr="00D61F73">
        <w:rPr>
          <w:rFonts w:ascii="Arial" w:hAnsi="Arial" w:cs="Arial"/>
        </w:rPr>
        <w:t xml:space="preserve">PMID: </w:t>
      </w:r>
      <w:hyperlink r:id="rId263" w:history="1">
        <w:r w:rsidRPr="00D61F73">
          <w:rPr>
            <w:rStyle w:val="Hyperlink"/>
            <w:rFonts w:ascii="Arial" w:hAnsi="Arial" w:cs="Arial"/>
          </w:rPr>
          <w:t>9728378</w:t>
        </w:r>
      </w:hyperlink>
    </w:p>
    <w:p w14:paraId="605AF54A" w14:textId="77777777" w:rsidR="008D0565" w:rsidRPr="00D61F73" w:rsidRDefault="008D0565" w:rsidP="00D61F73">
      <w:pPr>
        <w:rPr>
          <w:rFonts w:ascii="Arial" w:hAnsi="Arial" w:cs="Arial"/>
        </w:rPr>
      </w:pPr>
    </w:p>
    <w:p w14:paraId="1C810D86" w14:textId="77777777" w:rsidR="008D0565" w:rsidRPr="00D61F73" w:rsidRDefault="008D0565" w:rsidP="00D61F73">
      <w:pPr>
        <w:rPr>
          <w:rFonts w:ascii="Arial" w:hAnsi="Arial" w:cs="Arial"/>
        </w:rPr>
      </w:pPr>
      <w:r w:rsidRPr="00D61F73">
        <w:rPr>
          <w:rFonts w:ascii="Arial" w:hAnsi="Arial" w:cs="Arial"/>
        </w:rPr>
        <w:t>Rating: 2b</w:t>
      </w:r>
    </w:p>
    <w:p w14:paraId="1DF087E7"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508" w:name="BendixT"/>
      <w:bookmarkEnd w:id="508"/>
      <w:r w:rsidRPr="00D61F73">
        <w:rPr>
          <w:rFonts w:ascii="Arial" w:hAnsi="Arial" w:cs="Arial"/>
          <w:b/>
        </w:rPr>
        <w:t xml:space="preserve">endix T, Bendix A, Labriola M, Haestrup C, Ebbehøj N. Functional restoration versus outpatient physical training in chronic low back pain: a randomized comparative study. </w:t>
      </w:r>
      <w:r w:rsidRPr="00D61F73">
        <w:rPr>
          <w:rFonts w:ascii="Arial" w:hAnsi="Arial" w:cs="Arial"/>
          <w:b/>
          <w:i/>
        </w:rPr>
        <w:t>Spine</w:t>
      </w:r>
      <w:r w:rsidRPr="00D61F73">
        <w:rPr>
          <w:rFonts w:ascii="Arial" w:hAnsi="Arial" w:cs="Arial"/>
          <w:b/>
        </w:rPr>
        <w:t>. 2000;25:2494-500.</w:t>
      </w:r>
    </w:p>
    <w:p w14:paraId="2F9A6191" w14:textId="77777777" w:rsidR="008D0565" w:rsidRPr="00D61F73" w:rsidRDefault="008D0565" w:rsidP="00D61F73">
      <w:pPr>
        <w:rPr>
          <w:rFonts w:ascii="Arial" w:hAnsi="Arial" w:cs="Arial"/>
          <w:b/>
        </w:rPr>
      </w:pPr>
    </w:p>
    <w:p w14:paraId="509DB770" w14:textId="77777777" w:rsidR="008D0565" w:rsidRPr="00D61F73" w:rsidRDefault="008D0565" w:rsidP="00D61F73">
      <w:pPr>
        <w:rPr>
          <w:rFonts w:ascii="Arial" w:hAnsi="Arial" w:cs="Arial"/>
        </w:rPr>
      </w:pPr>
      <w:r w:rsidRPr="00D61F73">
        <w:rPr>
          <w:rFonts w:ascii="Arial" w:hAnsi="Arial" w:cs="Arial"/>
        </w:rPr>
        <w:t xml:space="preserve">DISCUSSION: It may be that lower economic benefits during sick leave in the United States lead to favorable results from functional restoration programs, whereas greater benefits in Canada, Finland, and Denmark result in different conclusions. </w:t>
      </w:r>
    </w:p>
    <w:p w14:paraId="4D9333A1" w14:textId="77777777" w:rsidR="008D0565" w:rsidRPr="00D61F73" w:rsidRDefault="008D0565" w:rsidP="00D61F73">
      <w:pPr>
        <w:rPr>
          <w:rFonts w:ascii="Arial" w:hAnsi="Arial" w:cs="Arial"/>
        </w:rPr>
      </w:pPr>
    </w:p>
    <w:p w14:paraId="23308F91" w14:textId="77777777" w:rsidR="008D0565" w:rsidRPr="00D61F73" w:rsidRDefault="008D0565" w:rsidP="00D61F73">
      <w:pPr>
        <w:rPr>
          <w:rFonts w:ascii="Arial" w:hAnsi="Arial" w:cs="Arial"/>
        </w:rPr>
      </w:pPr>
      <w:r w:rsidRPr="00D61F73">
        <w:rPr>
          <w:rFonts w:ascii="Arial" w:hAnsi="Arial" w:cs="Arial"/>
        </w:rPr>
        <w:t xml:space="preserve">PMID: </w:t>
      </w:r>
      <w:hyperlink r:id="rId264" w:history="1">
        <w:r w:rsidRPr="00D61F73">
          <w:rPr>
            <w:rStyle w:val="Hyperlink"/>
            <w:rFonts w:ascii="Arial" w:hAnsi="Arial" w:cs="Arial"/>
          </w:rPr>
          <w:t>11013502</w:t>
        </w:r>
      </w:hyperlink>
    </w:p>
    <w:p w14:paraId="19006C9E" w14:textId="77777777" w:rsidR="008D0565" w:rsidRPr="00D61F73" w:rsidRDefault="008D0565" w:rsidP="00D61F73">
      <w:pPr>
        <w:rPr>
          <w:rFonts w:ascii="Arial" w:hAnsi="Arial" w:cs="Arial"/>
        </w:rPr>
      </w:pPr>
    </w:p>
    <w:p w14:paraId="4053B30E" w14:textId="77777777" w:rsidR="008D0565" w:rsidRPr="00D61F73" w:rsidRDefault="008D0565" w:rsidP="00D61F73">
      <w:pPr>
        <w:rPr>
          <w:rFonts w:ascii="Arial" w:hAnsi="Arial" w:cs="Arial"/>
        </w:rPr>
      </w:pPr>
      <w:r w:rsidRPr="00D61F73">
        <w:rPr>
          <w:rFonts w:ascii="Arial" w:hAnsi="Arial" w:cs="Arial"/>
        </w:rPr>
        <w:t>Rating: 2b</w:t>
      </w:r>
    </w:p>
    <w:p w14:paraId="6608E8C4"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09" w:name="Bennett2000"/>
      <w:bookmarkEnd w:id="509"/>
      <w:r w:rsidRPr="00D61F73">
        <w:rPr>
          <w:rFonts w:ascii="Arial" w:hAnsi="Arial" w:cs="Arial"/>
          <w:b/>
          <w:bCs/>
        </w:rPr>
        <w:t xml:space="preserve">ennett G, Burchiel K, Buchser E, Classen A, Deer T, Du Pen S, Ferrante FM, Hassenbusch SJ, Lou L, Maeyaert J, Penn R, Portenoy RK, Rauck R, Serafini M, Willis KD, Yaksh T. Clinical guidelines for intraspinal infusion: report of an expert panel. PolyAnalgesic Consensus Conference 2000. </w:t>
      </w:r>
      <w:r w:rsidRPr="00D61F73">
        <w:rPr>
          <w:rFonts w:ascii="Arial" w:hAnsi="Arial" w:cs="Arial"/>
          <w:b/>
          <w:bCs/>
          <w:i/>
          <w:iCs/>
        </w:rPr>
        <w:t>J Pain Symptom Manage</w:t>
      </w:r>
      <w:r w:rsidRPr="00D61F73">
        <w:rPr>
          <w:rFonts w:ascii="Arial" w:hAnsi="Arial" w:cs="Arial"/>
          <w:b/>
          <w:bCs/>
        </w:rPr>
        <w:t>. 2000 Aug;20(2):S37-43.</w:t>
      </w:r>
    </w:p>
    <w:p w14:paraId="7ED68862" w14:textId="77777777" w:rsidR="008D0565" w:rsidRPr="00D61F73" w:rsidRDefault="008D0565" w:rsidP="00D61F73">
      <w:pPr>
        <w:rPr>
          <w:rFonts w:ascii="Arial" w:hAnsi="Arial" w:cs="Arial"/>
        </w:rPr>
      </w:pPr>
    </w:p>
    <w:p w14:paraId="073B07FF" w14:textId="77777777" w:rsidR="008D0565" w:rsidRPr="00D61F73" w:rsidRDefault="008D0565" w:rsidP="00D61F73">
      <w:pPr>
        <w:rPr>
          <w:rFonts w:ascii="Arial" w:hAnsi="Arial" w:cs="Arial"/>
        </w:rPr>
      </w:pPr>
      <w:r w:rsidRPr="00D61F73">
        <w:rPr>
          <w:rFonts w:ascii="Arial" w:hAnsi="Arial" w:cs="Arial"/>
        </w:rPr>
        <w:t xml:space="preserve">PMID: </w:t>
      </w:r>
      <w:hyperlink r:id="rId265" w:history="1">
        <w:r w:rsidRPr="00D61F73">
          <w:rPr>
            <w:rStyle w:val="Hyperlink"/>
            <w:rFonts w:ascii="Arial" w:hAnsi="Arial" w:cs="Arial"/>
          </w:rPr>
          <w:t>10989256</w:t>
        </w:r>
      </w:hyperlink>
      <w:r w:rsidRPr="00D61F73">
        <w:rPr>
          <w:rFonts w:ascii="Arial" w:hAnsi="Arial" w:cs="Arial"/>
        </w:rPr>
        <w:t xml:space="preserve"> </w:t>
      </w:r>
    </w:p>
    <w:p w14:paraId="7EAE86CB" w14:textId="77777777" w:rsidR="008D0565" w:rsidRPr="00D61F73" w:rsidRDefault="008D0565" w:rsidP="00D61F73">
      <w:pPr>
        <w:rPr>
          <w:rFonts w:ascii="Arial" w:hAnsi="Arial" w:cs="Arial"/>
        </w:rPr>
      </w:pPr>
    </w:p>
    <w:p w14:paraId="08760CB1" w14:textId="77777777" w:rsidR="008D0565" w:rsidRPr="00D61F73" w:rsidRDefault="008D0565" w:rsidP="00D61F73">
      <w:pPr>
        <w:rPr>
          <w:rFonts w:ascii="Arial" w:hAnsi="Arial" w:cs="Arial"/>
        </w:rPr>
      </w:pPr>
      <w:r w:rsidRPr="00D61F73">
        <w:rPr>
          <w:rFonts w:ascii="Arial" w:hAnsi="Arial" w:cs="Arial"/>
        </w:rPr>
        <w:t>Rating: 8b</w:t>
      </w:r>
    </w:p>
    <w:p w14:paraId="33D187F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510" w:name="Benzon"/>
      <w:bookmarkEnd w:id="510"/>
      <w:r w:rsidRPr="00D61F73">
        <w:rPr>
          <w:rFonts w:ascii="Arial" w:hAnsi="Arial" w:cs="Arial"/>
          <w:b/>
          <w:bCs/>
        </w:rPr>
        <w:t>enzon HT, Raja SN, Molloy RE, Liu SS, Fishman SM. Essentials of Pain Medicine and Regional Anesthesia. 2nd ed. Elisevier 2005, p. 215.</w:t>
      </w:r>
    </w:p>
    <w:p w14:paraId="085ADCC4" w14:textId="77777777" w:rsidR="008D0565" w:rsidRPr="00D61F73" w:rsidRDefault="008D0565" w:rsidP="00D61F73">
      <w:pPr>
        <w:pStyle w:val="Footer"/>
        <w:tabs>
          <w:tab w:val="clear" w:pos="4320"/>
          <w:tab w:val="clear" w:pos="8640"/>
        </w:tabs>
        <w:rPr>
          <w:rFonts w:ascii="Arial" w:hAnsi="Arial" w:cs="Arial"/>
        </w:rPr>
      </w:pPr>
    </w:p>
    <w:p w14:paraId="20D3F53D" w14:textId="77777777" w:rsidR="008D0565" w:rsidRPr="00D61F73" w:rsidRDefault="008D0565" w:rsidP="00D61F73">
      <w:pPr>
        <w:rPr>
          <w:rFonts w:ascii="Arial" w:hAnsi="Arial" w:cs="Arial"/>
        </w:rPr>
      </w:pPr>
      <w:r w:rsidRPr="00D61F73">
        <w:rPr>
          <w:rFonts w:ascii="Arial" w:hAnsi="Arial" w:cs="Arial"/>
        </w:rPr>
        <w:t>Rating: 9a</w:t>
      </w:r>
    </w:p>
    <w:p w14:paraId="7E73FB2D"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11" w:name="Berlach2006"/>
      <w:bookmarkEnd w:id="511"/>
      <w:r w:rsidRPr="00D61F73">
        <w:rPr>
          <w:rFonts w:ascii="Arial" w:hAnsi="Arial" w:cs="Arial"/>
          <w:b/>
          <w:bCs/>
        </w:rPr>
        <w:t xml:space="preserve">erlach DM, Shir Y, Ware MA. Experience with the synthetic cannabinoid nabilone in chronic noncancer pain. </w:t>
      </w:r>
      <w:r w:rsidRPr="00D61F73">
        <w:rPr>
          <w:rFonts w:ascii="Arial" w:hAnsi="Arial" w:cs="Arial"/>
          <w:b/>
          <w:bCs/>
          <w:i/>
          <w:iCs/>
        </w:rPr>
        <w:t>Pain Med</w:t>
      </w:r>
      <w:r w:rsidRPr="00D61F73">
        <w:rPr>
          <w:rFonts w:ascii="Arial" w:hAnsi="Arial" w:cs="Arial"/>
          <w:b/>
          <w:bCs/>
        </w:rPr>
        <w:t>. 2006 Jan-Feb;7(1):25-9.</w:t>
      </w:r>
    </w:p>
    <w:p w14:paraId="4277DB45" w14:textId="77777777" w:rsidR="008D0565" w:rsidRPr="00D61F73" w:rsidRDefault="008D0565" w:rsidP="00D61F73">
      <w:pPr>
        <w:rPr>
          <w:rFonts w:ascii="Arial" w:hAnsi="Arial" w:cs="Arial"/>
        </w:rPr>
      </w:pPr>
    </w:p>
    <w:p w14:paraId="0B23AB87" w14:textId="77777777" w:rsidR="008D0565" w:rsidRPr="00D61F73" w:rsidRDefault="008D0565" w:rsidP="00D61F73">
      <w:pPr>
        <w:rPr>
          <w:rFonts w:ascii="Arial" w:hAnsi="Arial" w:cs="Arial"/>
        </w:rPr>
      </w:pPr>
      <w:r w:rsidRPr="00D61F73">
        <w:rPr>
          <w:rFonts w:ascii="Arial" w:hAnsi="Arial" w:cs="Arial"/>
        </w:rPr>
        <w:t>In this article, we review our clinical experience of 20 adult patients with chronic noncancer pain. Nabilone may be a useful addition to pain management and should be further evaluated in randomized controlled trials.</w:t>
      </w:r>
    </w:p>
    <w:p w14:paraId="72781C21" w14:textId="77777777" w:rsidR="008D0565" w:rsidRPr="00D61F73" w:rsidRDefault="008D0565" w:rsidP="00D61F73">
      <w:pPr>
        <w:rPr>
          <w:rFonts w:ascii="Arial" w:hAnsi="Arial" w:cs="Arial"/>
        </w:rPr>
      </w:pPr>
    </w:p>
    <w:p w14:paraId="04DBFFC6" w14:textId="77777777" w:rsidR="008D0565" w:rsidRPr="00D61F73" w:rsidRDefault="008D0565" w:rsidP="00D61F73">
      <w:pPr>
        <w:rPr>
          <w:rFonts w:ascii="Arial" w:hAnsi="Arial" w:cs="Arial"/>
        </w:rPr>
      </w:pPr>
      <w:r w:rsidRPr="00D61F73">
        <w:rPr>
          <w:rFonts w:ascii="Arial" w:hAnsi="Arial" w:cs="Arial"/>
        </w:rPr>
        <w:t xml:space="preserve">PMID: </w:t>
      </w:r>
      <w:hyperlink r:id="rId266" w:history="1">
        <w:r w:rsidRPr="00D61F73">
          <w:rPr>
            <w:rStyle w:val="Hyperlink"/>
            <w:rFonts w:ascii="Arial" w:hAnsi="Arial" w:cs="Arial"/>
          </w:rPr>
          <w:t>16533193</w:t>
        </w:r>
      </w:hyperlink>
      <w:r w:rsidRPr="00D61F73">
        <w:rPr>
          <w:rFonts w:ascii="Arial" w:hAnsi="Arial" w:cs="Arial"/>
        </w:rPr>
        <w:t xml:space="preserve"> </w:t>
      </w:r>
    </w:p>
    <w:p w14:paraId="06F0040F" w14:textId="77777777" w:rsidR="008D0565" w:rsidRPr="00D61F73" w:rsidRDefault="008D0565" w:rsidP="00D61F73">
      <w:pPr>
        <w:rPr>
          <w:rFonts w:ascii="Arial" w:hAnsi="Arial" w:cs="Arial"/>
        </w:rPr>
      </w:pPr>
    </w:p>
    <w:p w14:paraId="40D85E9C" w14:textId="77777777" w:rsidR="008D0565" w:rsidRPr="00D61F73" w:rsidRDefault="008D0565" w:rsidP="00D61F73">
      <w:pPr>
        <w:rPr>
          <w:rFonts w:ascii="Arial" w:hAnsi="Arial" w:cs="Arial"/>
        </w:rPr>
      </w:pPr>
      <w:r w:rsidRPr="00D61F73">
        <w:rPr>
          <w:rFonts w:ascii="Arial" w:hAnsi="Arial" w:cs="Arial"/>
        </w:rPr>
        <w:t>Rating: 4b</w:t>
      </w:r>
    </w:p>
    <w:p w14:paraId="47B25220" w14:textId="77777777" w:rsidR="008D0565" w:rsidRPr="00D61F73" w:rsidRDefault="008D0565" w:rsidP="00D61F73">
      <w:pPr>
        <w:rPr>
          <w:rFonts w:ascii="Arial" w:hAnsi="Arial" w:cs="Arial"/>
          <w:b/>
          <w:bCs/>
        </w:rPr>
      </w:pPr>
      <w:r w:rsidRPr="00D61F73">
        <w:rPr>
          <w:rFonts w:ascii="Arial" w:hAnsi="Arial" w:cs="Arial"/>
        </w:rPr>
        <w:br w:type="page"/>
      </w:r>
      <w:bookmarkStart w:id="512" w:name="Bernacki1"/>
      <w:r w:rsidRPr="00D61F73">
        <w:rPr>
          <w:rFonts w:ascii="Arial" w:hAnsi="Arial" w:cs="Arial"/>
          <w:b/>
          <w:bCs/>
        </w:rPr>
        <w:lastRenderedPageBreak/>
        <w:t>Bernacki</w:t>
      </w:r>
      <w:bookmarkEnd w:id="512"/>
      <w:r w:rsidRPr="00D61F73">
        <w:rPr>
          <w:rFonts w:ascii="Arial" w:hAnsi="Arial" w:cs="Arial"/>
          <w:b/>
          <w:bCs/>
        </w:rPr>
        <w:t xml:space="preserve"> EJ, Guidera JA, Schaefer JA, Tsai S, A </w:t>
      </w:r>
      <w:bookmarkStart w:id="513" w:name="facilitated"/>
      <w:r w:rsidRPr="00D61F73">
        <w:rPr>
          <w:rFonts w:ascii="Arial" w:hAnsi="Arial" w:cs="Arial"/>
          <w:b/>
          <w:bCs/>
        </w:rPr>
        <w:t xml:space="preserve">facilitated </w:t>
      </w:r>
      <w:bookmarkEnd w:id="513"/>
      <w:r w:rsidRPr="00D61F73">
        <w:rPr>
          <w:rFonts w:ascii="Arial" w:hAnsi="Arial" w:cs="Arial"/>
          <w:b/>
          <w:bCs/>
        </w:rPr>
        <w:t xml:space="preserve">early return to work program at a large urban medical center, </w:t>
      </w:r>
      <w:r w:rsidRPr="00D61F73">
        <w:rPr>
          <w:rFonts w:ascii="Arial" w:hAnsi="Arial" w:cs="Arial"/>
          <w:b/>
          <w:bCs/>
          <w:i/>
          <w:iCs/>
        </w:rPr>
        <w:t>J Occup Environ Med</w:t>
      </w:r>
      <w:r w:rsidRPr="00D61F73">
        <w:rPr>
          <w:rFonts w:ascii="Arial" w:hAnsi="Arial" w:cs="Arial"/>
          <w:b/>
          <w:bCs/>
        </w:rPr>
        <w:t xml:space="preserve"> 2000 Dec;42(12):1172-7</w:t>
      </w:r>
    </w:p>
    <w:p w14:paraId="1F056C18" w14:textId="77777777" w:rsidR="00F5059D" w:rsidRPr="00D61F73" w:rsidRDefault="00F5059D" w:rsidP="00D61F73">
      <w:pPr>
        <w:rPr>
          <w:rFonts w:ascii="Arial" w:hAnsi="Arial" w:cs="Arial"/>
          <w:b/>
          <w:bCs/>
        </w:rPr>
      </w:pPr>
    </w:p>
    <w:p w14:paraId="2E109FB9" w14:textId="77777777" w:rsidR="00F5059D" w:rsidRPr="00D61F73" w:rsidRDefault="00F5059D" w:rsidP="00D61F73">
      <w:pPr>
        <w:rPr>
          <w:rFonts w:ascii="Arial" w:hAnsi="Arial" w:cs="Arial"/>
          <w:bCs/>
        </w:rPr>
      </w:pPr>
      <w:r w:rsidRPr="00D61F73">
        <w:rPr>
          <w:rFonts w:ascii="Arial" w:hAnsi="Arial" w:cs="Arial"/>
          <w:bCs/>
        </w:rPr>
        <w:t xml:space="preserve">PMID: </w:t>
      </w:r>
      <w:hyperlink r:id="rId267" w:history="1">
        <w:r w:rsidRPr="00D61F73">
          <w:rPr>
            <w:rStyle w:val="Hyperlink"/>
            <w:rFonts w:ascii="Arial" w:hAnsi="Arial" w:cs="Arial"/>
            <w:bCs/>
          </w:rPr>
          <w:t>11125680</w:t>
        </w:r>
      </w:hyperlink>
    </w:p>
    <w:p w14:paraId="4ECC4F3A" w14:textId="77777777" w:rsidR="008D0565" w:rsidRPr="00D61F73" w:rsidRDefault="008D0565" w:rsidP="00D61F73">
      <w:pPr>
        <w:rPr>
          <w:rFonts w:ascii="Arial" w:hAnsi="Arial" w:cs="Arial"/>
        </w:rPr>
      </w:pPr>
    </w:p>
    <w:p w14:paraId="0F0847CE"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Rating: 5a</w:t>
      </w:r>
    </w:p>
    <w:p w14:paraId="4BB7543F" w14:textId="77777777" w:rsidR="008D0565" w:rsidRPr="00D61F73" w:rsidRDefault="008D0565" w:rsidP="00D61F73">
      <w:pPr>
        <w:pStyle w:val="Heading2"/>
        <w:rPr>
          <w:rFonts w:ascii="Arial" w:hAnsi="Arial" w:cs="Arial"/>
          <w:sz w:val="24"/>
          <w:szCs w:val="24"/>
        </w:rPr>
      </w:pPr>
      <w:r w:rsidRPr="00D61F73">
        <w:rPr>
          <w:rFonts w:ascii="Arial" w:hAnsi="Arial" w:cs="Arial"/>
          <w:b w:val="0"/>
          <w:bCs/>
          <w:sz w:val="24"/>
          <w:szCs w:val="24"/>
        </w:rPr>
        <w:br w:type="page"/>
      </w:r>
      <w:r w:rsidRPr="00D61F73">
        <w:rPr>
          <w:rFonts w:ascii="Arial" w:hAnsi="Arial" w:cs="Arial"/>
          <w:sz w:val="24"/>
          <w:szCs w:val="24"/>
        </w:rPr>
        <w:lastRenderedPageBreak/>
        <w:t>B</w:t>
      </w:r>
      <w:bookmarkStart w:id="514" w:name="Bhala2013"/>
      <w:bookmarkEnd w:id="514"/>
      <w:r w:rsidRPr="00D61F73">
        <w:rPr>
          <w:rFonts w:ascii="Arial" w:hAnsi="Arial" w:cs="Arial"/>
          <w:sz w:val="24"/>
          <w:szCs w:val="24"/>
        </w:rPr>
        <w:t xml:space="preserve">hala N, Emberson J, Merhi A, Abramson S, Arber N, Baron JA, Bombardier C, Cannon C, Farkouh ME, FitzGerald GA, Goss P, Halls H, Hawk E, Hawkey C, Hennekens C, Hochberg M, Holland LE, Kearney PM, Laine L, Lanas A, Lance P, Laupacis A, Oates J, Patrono C, Schnitzer TJ, Solomon S, Tugwell P, Wilson K, Wittes J, Baigent C. Vascular and upper gastrointestinal effects of non-steroidal anti-inflammatory drugs: meta-analyses of individual participant data from randomised trials. </w:t>
      </w:r>
      <w:r w:rsidRPr="00D61F73">
        <w:rPr>
          <w:rFonts w:ascii="Arial" w:hAnsi="Arial" w:cs="Arial"/>
          <w:i/>
          <w:sz w:val="24"/>
          <w:szCs w:val="24"/>
        </w:rPr>
        <w:t>Lancet</w:t>
      </w:r>
      <w:r w:rsidRPr="00D61F73">
        <w:rPr>
          <w:rFonts w:ascii="Arial" w:hAnsi="Arial" w:cs="Arial"/>
          <w:sz w:val="24"/>
          <w:szCs w:val="24"/>
        </w:rPr>
        <w:t>. 2013 Aug 31;382(9894):769-79. doi: 10.1016/S0140-6736(13)60900-9.</w:t>
      </w:r>
    </w:p>
    <w:p w14:paraId="5327C762" w14:textId="77777777" w:rsidR="008D0565" w:rsidRPr="00D61F73" w:rsidRDefault="008D0565" w:rsidP="00D61F73">
      <w:pPr>
        <w:rPr>
          <w:rFonts w:ascii="Arial" w:hAnsi="Arial" w:cs="Arial"/>
        </w:rPr>
      </w:pPr>
    </w:p>
    <w:p w14:paraId="3818D3EB" w14:textId="77777777" w:rsidR="008D0565" w:rsidRPr="00D61F73" w:rsidRDefault="008D0565" w:rsidP="00D61F73">
      <w:pPr>
        <w:rPr>
          <w:rFonts w:ascii="Arial" w:hAnsi="Arial" w:cs="Arial"/>
        </w:rPr>
      </w:pPr>
      <w:r w:rsidRPr="00D61F73">
        <w:rPr>
          <w:rFonts w:ascii="Arial" w:hAnsi="Arial" w:cs="Arial"/>
        </w:rPr>
        <w:t xml:space="preserve">PMID: </w:t>
      </w:r>
      <w:hyperlink r:id="rId268" w:history="1">
        <w:r w:rsidRPr="00D61F73">
          <w:rPr>
            <w:rStyle w:val="Hyperlink"/>
            <w:rFonts w:ascii="Arial" w:hAnsi="Arial" w:cs="Arial"/>
          </w:rPr>
          <w:t>23726390</w:t>
        </w:r>
      </w:hyperlink>
    </w:p>
    <w:p w14:paraId="2B86A5A1" w14:textId="77777777" w:rsidR="008D0565" w:rsidRPr="00D61F73" w:rsidRDefault="008D0565" w:rsidP="00D61F73">
      <w:pPr>
        <w:rPr>
          <w:rFonts w:ascii="Arial" w:hAnsi="Arial" w:cs="Arial"/>
        </w:rPr>
      </w:pPr>
    </w:p>
    <w:p w14:paraId="678CE15C" w14:textId="77777777" w:rsidR="008D0565" w:rsidRPr="00D61F73" w:rsidRDefault="008D0565" w:rsidP="00D61F73">
      <w:pPr>
        <w:rPr>
          <w:rFonts w:ascii="Arial" w:hAnsi="Arial" w:cs="Arial"/>
        </w:rPr>
      </w:pPr>
      <w:r w:rsidRPr="00D61F73">
        <w:rPr>
          <w:rFonts w:ascii="Arial" w:hAnsi="Arial" w:cs="Arial"/>
        </w:rPr>
        <w:t xml:space="preserve">Rating: 1a </w:t>
      </w:r>
    </w:p>
    <w:p w14:paraId="22AE786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B</w:t>
      </w:r>
      <w:bookmarkStart w:id="515" w:name="Bhattacharyya2012"/>
      <w:bookmarkEnd w:id="515"/>
      <w:r w:rsidRPr="00D61F73">
        <w:rPr>
          <w:rFonts w:ascii="Arial" w:hAnsi="Arial" w:cs="Arial"/>
          <w:b/>
          <w:bCs/>
        </w:rPr>
        <w:t xml:space="preserve">hattacharyya S, Crippa JA, Allen P, Martin-Santos R, Borgwardt S, Fusar-Poli P, Rubia K, Kambeitz J, O'Carroll C, Seal ML, Giampietro V, Brammer M, Zuardi AW, Atakan Z, McGuire PK. Induction of psychosis by {delta}9-tetrahydrocannabinol reflects modulation of prefrontal and striatal function during attentional salience processing. </w:t>
      </w:r>
      <w:r w:rsidRPr="00D61F73">
        <w:rPr>
          <w:rFonts w:ascii="Arial" w:hAnsi="Arial" w:cs="Arial"/>
          <w:b/>
          <w:bCs/>
          <w:i/>
          <w:iCs/>
        </w:rPr>
        <w:t>Arch Gen Psychiatry</w:t>
      </w:r>
      <w:r w:rsidRPr="00D61F73">
        <w:rPr>
          <w:rFonts w:ascii="Arial" w:hAnsi="Arial" w:cs="Arial"/>
          <w:b/>
          <w:bCs/>
        </w:rPr>
        <w:t>. 2012 Jan;69(1):27-36.</w:t>
      </w:r>
    </w:p>
    <w:p w14:paraId="1A4D525F" w14:textId="77777777" w:rsidR="008D0565" w:rsidRPr="00D61F73" w:rsidRDefault="008D0565" w:rsidP="00D61F73">
      <w:pPr>
        <w:rPr>
          <w:rFonts w:ascii="Arial" w:hAnsi="Arial" w:cs="Arial"/>
        </w:rPr>
      </w:pPr>
    </w:p>
    <w:p w14:paraId="235DC946" w14:textId="77777777" w:rsidR="008D0565" w:rsidRPr="00D61F73" w:rsidRDefault="008D0565" w:rsidP="00D61F73">
      <w:pPr>
        <w:rPr>
          <w:rFonts w:ascii="Arial" w:hAnsi="Arial" w:cs="Arial"/>
        </w:rPr>
      </w:pPr>
      <w:r w:rsidRPr="00D61F73">
        <w:rPr>
          <w:rFonts w:ascii="Arial" w:hAnsi="Arial" w:cs="Arial"/>
        </w:rPr>
        <w:t>Δ9-Tetrahydrocannabinol and CBD differentially modulate prefrontal, striatal, and hippocampal function during attentional salience processing. These effects may contribute to the effects of cannabis on psychotic symptoms and on the risk of psychotic disorders.</w:t>
      </w:r>
    </w:p>
    <w:p w14:paraId="5FFF5633" w14:textId="77777777" w:rsidR="008D0565" w:rsidRPr="00D61F73" w:rsidRDefault="008D0565" w:rsidP="00D61F73">
      <w:pPr>
        <w:rPr>
          <w:rFonts w:ascii="Arial" w:hAnsi="Arial" w:cs="Arial"/>
        </w:rPr>
      </w:pPr>
    </w:p>
    <w:p w14:paraId="619ABF36" w14:textId="77777777" w:rsidR="008D0565" w:rsidRPr="00D61F73" w:rsidRDefault="008D0565" w:rsidP="00D61F73">
      <w:pPr>
        <w:rPr>
          <w:rFonts w:ascii="Arial" w:hAnsi="Arial" w:cs="Arial"/>
        </w:rPr>
      </w:pPr>
      <w:r w:rsidRPr="00D61F73">
        <w:rPr>
          <w:rFonts w:ascii="Arial" w:hAnsi="Arial" w:cs="Arial"/>
        </w:rPr>
        <w:t xml:space="preserve">PMID: </w:t>
      </w:r>
      <w:hyperlink r:id="rId269" w:history="1">
        <w:r w:rsidRPr="00D61F73">
          <w:rPr>
            <w:rStyle w:val="Hyperlink"/>
            <w:rFonts w:ascii="Arial" w:hAnsi="Arial" w:cs="Arial"/>
          </w:rPr>
          <w:t>22213786</w:t>
        </w:r>
      </w:hyperlink>
      <w:r w:rsidRPr="00D61F73">
        <w:rPr>
          <w:rFonts w:ascii="Arial" w:hAnsi="Arial" w:cs="Arial"/>
        </w:rPr>
        <w:t xml:space="preserve"> </w:t>
      </w:r>
    </w:p>
    <w:p w14:paraId="08A66EE9" w14:textId="77777777" w:rsidR="008D0565" w:rsidRPr="00D61F73" w:rsidRDefault="008D0565" w:rsidP="00D61F73">
      <w:pPr>
        <w:rPr>
          <w:rFonts w:ascii="Arial" w:hAnsi="Arial" w:cs="Arial"/>
        </w:rPr>
      </w:pPr>
    </w:p>
    <w:p w14:paraId="73F99085" w14:textId="77777777" w:rsidR="008D0565" w:rsidRPr="00D61F73" w:rsidRDefault="008D0565" w:rsidP="00D61F73">
      <w:pPr>
        <w:rPr>
          <w:rFonts w:ascii="Arial" w:hAnsi="Arial" w:cs="Arial"/>
        </w:rPr>
      </w:pPr>
      <w:r w:rsidRPr="00D61F73">
        <w:rPr>
          <w:rFonts w:ascii="Arial" w:hAnsi="Arial" w:cs="Arial"/>
        </w:rPr>
        <w:t>Rating: 3c</w:t>
      </w:r>
    </w:p>
    <w:p w14:paraId="482A4124" w14:textId="77777777" w:rsidR="008D0565" w:rsidRPr="00D61F73" w:rsidRDefault="008D0565" w:rsidP="00D61F73">
      <w:pPr>
        <w:rPr>
          <w:rFonts w:ascii="Arial" w:hAnsi="Arial" w:cs="Arial"/>
        </w:rPr>
      </w:pPr>
      <w:r w:rsidRPr="00D61F73">
        <w:rPr>
          <w:rFonts w:ascii="Arial" w:hAnsi="Arial" w:cs="Arial"/>
        </w:rPr>
        <w:br w:type="page"/>
      </w:r>
      <w:bookmarkStart w:id="516" w:name="Bigos3"/>
      <w:r w:rsidRPr="00D61F73">
        <w:rPr>
          <w:rFonts w:ascii="Arial" w:hAnsi="Arial" w:cs="Arial"/>
          <w:b/>
          <w:bCs/>
        </w:rPr>
        <w:lastRenderedPageBreak/>
        <w:t>Bigos</w:t>
      </w:r>
      <w:bookmarkEnd w:id="516"/>
      <w:r w:rsidRPr="00D61F73">
        <w:rPr>
          <w:rFonts w:ascii="Arial" w:hAnsi="Arial" w:cs="Arial"/>
          <w:b/>
          <w:bCs/>
        </w:rPr>
        <w:t xml:space="preserve"> SJ, </w:t>
      </w:r>
      <w:bookmarkStart w:id="517" w:name="McKee"/>
      <w:r w:rsidRPr="00D61F73">
        <w:rPr>
          <w:rFonts w:ascii="Arial" w:hAnsi="Arial" w:cs="Arial"/>
          <w:b/>
          <w:bCs/>
        </w:rPr>
        <w:t xml:space="preserve">McKee </w:t>
      </w:r>
      <w:bookmarkEnd w:id="517"/>
      <w:r w:rsidRPr="00D61F73">
        <w:rPr>
          <w:rFonts w:ascii="Arial" w:hAnsi="Arial" w:cs="Arial"/>
          <w:b/>
          <w:bCs/>
        </w:rPr>
        <w:t>JE, Holland JP, Holland CL, Hildebrandt J, Back pain, the uncomfortable truth - assurance and activity problem. Schmerz 2001 Dec;15(6):430-4</w:t>
      </w:r>
    </w:p>
    <w:p w14:paraId="1811E19D" w14:textId="77777777" w:rsidR="008D0565" w:rsidRPr="00D61F73" w:rsidRDefault="008D0565" w:rsidP="00D61F73">
      <w:pPr>
        <w:rPr>
          <w:rFonts w:ascii="Arial" w:hAnsi="Arial" w:cs="Arial"/>
        </w:rPr>
      </w:pPr>
    </w:p>
    <w:p w14:paraId="01090E38" w14:textId="77777777" w:rsidR="00C75836" w:rsidRPr="00D61F73" w:rsidRDefault="00C75836" w:rsidP="00D61F73">
      <w:pPr>
        <w:rPr>
          <w:rFonts w:ascii="Arial" w:hAnsi="Arial" w:cs="Arial"/>
        </w:rPr>
      </w:pPr>
      <w:r w:rsidRPr="00D61F73">
        <w:rPr>
          <w:rFonts w:ascii="Arial" w:hAnsi="Arial" w:cs="Arial"/>
        </w:rPr>
        <w:t xml:space="preserve">PMID: </w:t>
      </w:r>
      <w:hyperlink r:id="rId270" w:history="1">
        <w:r w:rsidRPr="00D61F73">
          <w:rPr>
            <w:rStyle w:val="Hyperlink"/>
            <w:rFonts w:ascii="Arial" w:hAnsi="Arial" w:cs="Arial"/>
          </w:rPr>
          <w:t>11793147</w:t>
        </w:r>
      </w:hyperlink>
    </w:p>
    <w:p w14:paraId="53732713" w14:textId="77777777" w:rsidR="00C75836" w:rsidRPr="00D61F73" w:rsidRDefault="00C75836" w:rsidP="00D61F73">
      <w:pPr>
        <w:rPr>
          <w:rFonts w:ascii="Arial" w:hAnsi="Arial" w:cs="Arial"/>
        </w:rPr>
      </w:pPr>
    </w:p>
    <w:p w14:paraId="03AEEE9B" w14:textId="77777777" w:rsidR="008D0565" w:rsidRPr="00D61F73" w:rsidRDefault="008D0565" w:rsidP="00D61F73">
      <w:pPr>
        <w:rPr>
          <w:rFonts w:ascii="Arial" w:hAnsi="Arial" w:cs="Arial"/>
          <w:bCs/>
        </w:rPr>
      </w:pPr>
      <w:r w:rsidRPr="00D61F73">
        <w:rPr>
          <w:rFonts w:ascii="Arial" w:hAnsi="Arial" w:cs="Arial"/>
          <w:bCs/>
        </w:rPr>
        <w:t>Rating: 5a</w:t>
      </w:r>
    </w:p>
    <w:p w14:paraId="6904620F"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18" w:name="Birklein"/>
      <w:bookmarkEnd w:id="518"/>
      <w:r w:rsidRPr="00D61F73">
        <w:rPr>
          <w:rFonts w:ascii="Arial" w:hAnsi="Arial" w:cs="Arial"/>
          <w:b/>
          <w:bCs/>
        </w:rPr>
        <w:t xml:space="preserve">irklein F. Complex regional pain syndrome. </w:t>
      </w:r>
      <w:r w:rsidRPr="00D61F73">
        <w:rPr>
          <w:rFonts w:ascii="Arial" w:hAnsi="Arial" w:cs="Arial"/>
          <w:b/>
          <w:bCs/>
          <w:i/>
          <w:iCs/>
        </w:rPr>
        <w:t>J Neurol</w:t>
      </w:r>
      <w:r w:rsidRPr="00D61F73">
        <w:rPr>
          <w:rFonts w:ascii="Arial" w:hAnsi="Arial" w:cs="Arial"/>
          <w:b/>
          <w:bCs/>
        </w:rPr>
        <w:t>. 2005 Feb;252(2):131-8.</w:t>
      </w:r>
    </w:p>
    <w:p w14:paraId="6832CAAA" w14:textId="77777777" w:rsidR="008D0565" w:rsidRPr="00D61F73" w:rsidRDefault="008D0565" w:rsidP="00D61F73">
      <w:pPr>
        <w:rPr>
          <w:rFonts w:ascii="Arial" w:hAnsi="Arial" w:cs="Arial"/>
        </w:rPr>
      </w:pPr>
    </w:p>
    <w:p w14:paraId="7F95C734" w14:textId="77777777" w:rsidR="008D0565" w:rsidRPr="00D61F73" w:rsidRDefault="008D0565" w:rsidP="00D61F73">
      <w:pPr>
        <w:rPr>
          <w:rFonts w:ascii="Arial" w:hAnsi="Arial" w:cs="Arial"/>
          <w:b/>
          <w:bCs/>
        </w:rPr>
      </w:pPr>
      <w:r w:rsidRPr="00D61F73">
        <w:rPr>
          <w:rFonts w:ascii="Arial" w:hAnsi="Arial" w:cs="Arial"/>
        </w:rPr>
        <w:t xml:space="preserve">PMID: </w:t>
      </w:r>
      <w:hyperlink r:id="rId271" w:history="1">
        <w:r w:rsidRPr="00D61F73">
          <w:rPr>
            <w:rStyle w:val="Hyperlink"/>
            <w:rFonts w:ascii="Arial" w:hAnsi="Arial" w:cs="Arial"/>
          </w:rPr>
          <w:t>15729516</w:t>
        </w:r>
      </w:hyperlink>
      <w:r w:rsidRPr="00D61F73">
        <w:rPr>
          <w:rFonts w:ascii="Arial" w:hAnsi="Arial" w:cs="Arial"/>
          <w:b/>
          <w:bCs/>
        </w:rPr>
        <w:t xml:space="preserve"> </w:t>
      </w:r>
    </w:p>
    <w:p w14:paraId="300801DD" w14:textId="77777777" w:rsidR="008D0565" w:rsidRPr="00D61F73" w:rsidRDefault="008D0565" w:rsidP="00D61F73">
      <w:pPr>
        <w:rPr>
          <w:rFonts w:ascii="Arial" w:hAnsi="Arial" w:cs="Arial"/>
        </w:rPr>
      </w:pPr>
    </w:p>
    <w:p w14:paraId="3E3C4B62" w14:textId="77777777" w:rsidR="008D0565" w:rsidRPr="00D61F73" w:rsidRDefault="008D0565" w:rsidP="00D61F73">
      <w:pPr>
        <w:rPr>
          <w:rFonts w:ascii="Arial" w:hAnsi="Arial" w:cs="Arial"/>
          <w:b/>
          <w:bCs/>
        </w:rPr>
      </w:pPr>
      <w:r w:rsidRPr="00D61F73">
        <w:rPr>
          <w:rFonts w:ascii="Arial" w:hAnsi="Arial" w:cs="Arial"/>
        </w:rPr>
        <w:t>Rating: 5b</w:t>
      </w:r>
    </w:p>
    <w:p w14:paraId="2A24CF1C"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519" w:name="Biswal"/>
      <w:bookmarkEnd w:id="519"/>
      <w:r w:rsidRPr="00D61F73">
        <w:rPr>
          <w:rFonts w:ascii="Arial" w:hAnsi="Arial" w:cs="Arial"/>
          <w:b/>
        </w:rPr>
        <w:t xml:space="preserve">iswal S, Medhi B, Pandhi P. Longterm efficacy of topical nonsteroidal antiinflammatory drugs in knee osteoarthritis: metaanalysis of randomized placebo controlled clinical trials. </w:t>
      </w:r>
      <w:r w:rsidRPr="00D61F73">
        <w:rPr>
          <w:rFonts w:ascii="Arial" w:hAnsi="Arial" w:cs="Arial"/>
          <w:b/>
          <w:i/>
        </w:rPr>
        <w:t>J Rheumatol</w:t>
      </w:r>
      <w:r w:rsidRPr="00D61F73">
        <w:rPr>
          <w:rFonts w:ascii="Arial" w:hAnsi="Arial" w:cs="Arial"/>
          <w:b/>
        </w:rPr>
        <w:t>. 2006;33:1841-4.</w:t>
      </w:r>
    </w:p>
    <w:p w14:paraId="612A3D36" w14:textId="77777777" w:rsidR="008D0565" w:rsidRPr="00D61F73" w:rsidRDefault="008D0565" w:rsidP="00D61F73">
      <w:pPr>
        <w:rPr>
          <w:rFonts w:ascii="Arial" w:hAnsi="Arial" w:cs="Arial"/>
        </w:rPr>
      </w:pPr>
    </w:p>
    <w:p w14:paraId="2C7B2ADE" w14:textId="77777777" w:rsidR="008D0565" w:rsidRPr="00D61F73" w:rsidRDefault="008D0565" w:rsidP="00D61F73">
      <w:pPr>
        <w:rPr>
          <w:rFonts w:ascii="Arial" w:hAnsi="Arial" w:cs="Arial"/>
        </w:rPr>
      </w:pPr>
      <w:r w:rsidRPr="00D61F73">
        <w:rPr>
          <w:rFonts w:ascii="Arial" w:hAnsi="Arial" w:cs="Arial"/>
        </w:rPr>
        <w:t>CONCLUSION: Topical NSAID are effective for pain relief in knee OA for a longer duration; however, this may not hold true for all the preparations.</w:t>
      </w:r>
    </w:p>
    <w:p w14:paraId="0C284FDB" w14:textId="77777777" w:rsidR="008D0565" w:rsidRPr="00D61F73" w:rsidRDefault="008D0565" w:rsidP="00D61F73">
      <w:pPr>
        <w:rPr>
          <w:rFonts w:ascii="Arial" w:hAnsi="Arial" w:cs="Arial"/>
        </w:rPr>
      </w:pPr>
    </w:p>
    <w:p w14:paraId="018C49CC" w14:textId="77777777" w:rsidR="008D0565" w:rsidRPr="00D61F73" w:rsidRDefault="008D0565" w:rsidP="00D61F73">
      <w:pPr>
        <w:rPr>
          <w:rFonts w:ascii="Arial" w:hAnsi="Arial" w:cs="Arial"/>
        </w:rPr>
      </w:pPr>
      <w:r w:rsidRPr="00D61F73">
        <w:rPr>
          <w:rFonts w:ascii="Arial" w:hAnsi="Arial" w:cs="Arial"/>
        </w:rPr>
        <w:t xml:space="preserve">PMID: </w:t>
      </w:r>
      <w:hyperlink r:id="rId272" w:history="1">
        <w:r w:rsidRPr="00D61F73">
          <w:rPr>
            <w:rStyle w:val="Hyperlink"/>
            <w:rFonts w:ascii="Arial" w:hAnsi="Arial" w:cs="Arial"/>
          </w:rPr>
          <w:t>16960944</w:t>
        </w:r>
      </w:hyperlink>
    </w:p>
    <w:p w14:paraId="7DF7C44A" w14:textId="77777777" w:rsidR="008D0565" w:rsidRPr="00D61F73" w:rsidRDefault="008D0565" w:rsidP="00D61F73">
      <w:pPr>
        <w:rPr>
          <w:rFonts w:ascii="Arial" w:hAnsi="Arial" w:cs="Arial"/>
        </w:rPr>
      </w:pPr>
    </w:p>
    <w:p w14:paraId="25323908" w14:textId="77777777" w:rsidR="008D0565" w:rsidRPr="00D61F73" w:rsidRDefault="008D0565" w:rsidP="00D61F73">
      <w:pPr>
        <w:rPr>
          <w:rFonts w:ascii="Arial" w:hAnsi="Arial" w:cs="Arial"/>
        </w:rPr>
      </w:pPr>
      <w:r w:rsidRPr="00D61F73">
        <w:rPr>
          <w:rFonts w:ascii="Arial" w:hAnsi="Arial" w:cs="Arial"/>
        </w:rPr>
        <w:t>Rating: 1c</w:t>
      </w:r>
    </w:p>
    <w:p w14:paraId="12C2A760"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520" w:name="Bjorda"/>
      <w:bookmarkEnd w:id="520"/>
      <w:r w:rsidRPr="00D61F73">
        <w:rPr>
          <w:rFonts w:ascii="Arial" w:hAnsi="Arial" w:cs="Arial"/>
          <w:b/>
        </w:rPr>
        <w:t xml:space="preserve">jordal JM, Klovning A, Ljunggren AE, Slørdal L. Short-term efficacy of pharmacotherapeutic interventions in osteoarthritic knee pain: A meta-analysis of randomised placebo-controlled trials. </w:t>
      </w:r>
      <w:r w:rsidRPr="00D61F73">
        <w:rPr>
          <w:rFonts w:ascii="Arial" w:hAnsi="Arial" w:cs="Arial"/>
          <w:b/>
          <w:i/>
        </w:rPr>
        <w:t xml:space="preserve">Eur J Pain. </w:t>
      </w:r>
      <w:r w:rsidRPr="00D61F73">
        <w:rPr>
          <w:rFonts w:ascii="Arial" w:hAnsi="Arial" w:cs="Arial"/>
          <w:b/>
        </w:rPr>
        <w:t xml:space="preserve">2007;11:125-38. </w:t>
      </w:r>
    </w:p>
    <w:p w14:paraId="509BBB95" w14:textId="77777777" w:rsidR="008D0565" w:rsidRPr="00D61F73" w:rsidRDefault="008D0565" w:rsidP="00D61F73">
      <w:pPr>
        <w:rPr>
          <w:rFonts w:ascii="Arial" w:hAnsi="Arial" w:cs="Arial"/>
        </w:rPr>
      </w:pPr>
    </w:p>
    <w:p w14:paraId="01781554" w14:textId="77777777" w:rsidR="008D0565" w:rsidRPr="00D61F73" w:rsidRDefault="008D0565" w:rsidP="00D61F73">
      <w:pPr>
        <w:rPr>
          <w:rFonts w:ascii="Arial" w:hAnsi="Arial" w:cs="Arial"/>
        </w:rPr>
      </w:pPr>
      <w:r w:rsidRPr="00D61F73">
        <w:rPr>
          <w:rFonts w:ascii="Arial" w:hAnsi="Arial" w:cs="Arial"/>
        </w:rPr>
        <w:t xml:space="preserve">Heterogeneity tests revealed that best efficacy values of topical NSAIDs may be slightly deflated, while data for oral NSAIDs may be slightly inflated due to probable patient selection bias. </w:t>
      </w:r>
    </w:p>
    <w:p w14:paraId="76D6F4F4" w14:textId="77777777" w:rsidR="008D0565" w:rsidRPr="00D61F73" w:rsidRDefault="008D0565" w:rsidP="00D61F73">
      <w:pPr>
        <w:rPr>
          <w:rFonts w:ascii="Arial" w:hAnsi="Arial" w:cs="Arial"/>
        </w:rPr>
      </w:pPr>
    </w:p>
    <w:p w14:paraId="2F8032BF" w14:textId="77777777" w:rsidR="008D0565" w:rsidRPr="00D61F73" w:rsidRDefault="008D0565" w:rsidP="00D61F73">
      <w:pPr>
        <w:rPr>
          <w:rFonts w:ascii="Arial" w:hAnsi="Arial" w:cs="Arial"/>
        </w:rPr>
      </w:pPr>
      <w:r w:rsidRPr="00D61F73">
        <w:rPr>
          <w:rFonts w:ascii="Arial" w:hAnsi="Arial" w:cs="Arial"/>
        </w:rPr>
        <w:t xml:space="preserve">PMID: </w:t>
      </w:r>
      <w:hyperlink r:id="rId273" w:history="1">
        <w:r w:rsidRPr="00D61F73">
          <w:rPr>
            <w:rStyle w:val="Hyperlink"/>
            <w:rFonts w:ascii="Arial" w:hAnsi="Arial" w:cs="Arial"/>
          </w:rPr>
          <w:t>16682240</w:t>
        </w:r>
      </w:hyperlink>
      <w:r w:rsidRPr="00D61F73">
        <w:rPr>
          <w:rFonts w:ascii="Arial" w:hAnsi="Arial" w:cs="Arial"/>
        </w:rPr>
        <w:t xml:space="preserve"> </w:t>
      </w:r>
    </w:p>
    <w:p w14:paraId="6427A360" w14:textId="77777777" w:rsidR="008D0565" w:rsidRPr="00D61F73" w:rsidRDefault="008D0565" w:rsidP="00D61F73">
      <w:pPr>
        <w:rPr>
          <w:rFonts w:ascii="Arial" w:hAnsi="Arial" w:cs="Arial"/>
        </w:rPr>
      </w:pPr>
    </w:p>
    <w:p w14:paraId="5FB3797B" w14:textId="77777777" w:rsidR="008D0565" w:rsidRPr="00D61F73" w:rsidRDefault="008D0565" w:rsidP="00D61F73">
      <w:pPr>
        <w:rPr>
          <w:rFonts w:ascii="Arial" w:hAnsi="Arial" w:cs="Arial"/>
        </w:rPr>
      </w:pPr>
      <w:r w:rsidRPr="00D61F73">
        <w:rPr>
          <w:rFonts w:ascii="Arial" w:hAnsi="Arial" w:cs="Arial"/>
        </w:rPr>
        <w:t>Rating 1c</w:t>
      </w:r>
    </w:p>
    <w:p w14:paraId="03485B33"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521" w:name="Blommel"/>
      <w:bookmarkEnd w:id="521"/>
      <w:r w:rsidRPr="00D61F73">
        <w:rPr>
          <w:rFonts w:ascii="Arial" w:hAnsi="Arial" w:cs="Arial"/>
          <w:b/>
        </w:rPr>
        <w:t xml:space="preserve">lommel ML, Blommel AL. Pregabalin: an antiepileptic agent useful for neuropathic pain. </w:t>
      </w:r>
      <w:r w:rsidRPr="00D61F73">
        <w:rPr>
          <w:rFonts w:ascii="Arial" w:hAnsi="Arial" w:cs="Arial"/>
          <w:b/>
          <w:i/>
        </w:rPr>
        <w:t>Am J Health Syst Pharm</w:t>
      </w:r>
      <w:r w:rsidRPr="00D61F73">
        <w:rPr>
          <w:rFonts w:ascii="Arial" w:hAnsi="Arial" w:cs="Arial"/>
          <w:b/>
        </w:rPr>
        <w:t xml:space="preserve">. 2007;15;64:1475-82. </w:t>
      </w:r>
    </w:p>
    <w:p w14:paraId="09DF5C24" w14:textId="77777777" w:rsidR="008D0565" w:rsidRPr="00D61F73" w:rsidRDefault="008D0565" w:rsidP="00D61F73">
      <w:pPr>
        <w:rPr>
          <w:rFonts w:ascii="Arial" w:hAnsi="Arial" w:cs="Arial"/>
        </w:rPr>
      </w:pPr>
    </w:p>
    <w:p w14:paraId="58DE95CA" w14:textId="77777777" w:rsidR="008D0565" w:rsidRPr="00D61F73" w:rsidRDefault="008D0565" w:rsidP="00D61F73">
      <w:pPr>
        <w:rPr>
          <w:rFonts w:ascii="Arial" w:hAnsi="Arial" w:cs="Arial"/>
        </w:rPr>
      </w:pPr>
      <w:r w:rsidRPr="00D61F73">
        <w:rPr>
          <w:rFonts w:ascii="Arial" w:hAnsi="Arial" w:cs="Arial"/>
        </w:rPr>
        <w:t>Pregabalin may be beneficial for the treatment of neuropathic pain or partial-onset seizures in patients who do not respond to conventional treatments or cannot tolerate their adverse effects.</w:t>
      </w:r>
    </w:p>
    <w:p w14:paraId="6E254681" w14:textId="77777777" w:rsidR="008D0565" w:rsidRPr="00D61F73" w:rsidRDefault="008D0565" w:rsidP="00D61F73">
      <w:pPr>
        <w:rPr>
          <w:rFonts w:ascii="Arial" w:hAnsi="Arial" w:cs="Arial"/>
        </w:rPr>
      </w:pPr>
    </w:p>
    <w:p w14:paraId="270EB581" w14:textId="77777777" w:rsidR="008D0565" w:rsidRPr="00D61F73" w:rsidRDefault="008D0565" w:rsidP="00D61F73">
      <w:pPr>
        <w:rPr>
          <w:rFonts w:ascii="Arial" w:hAnsi="Arial" w:cs="Arial"/>
        </w:rPr>
      </w:pPr>
      <w:r w:rsidRPr="00D61F73">
        <w:rPr>
          <w:rFonts w:ascii="Arial" w:hAnsi="Arial" w:cs="Arial"/>
        </w:rPr>
        <w:t xml:space="preserve">PMID: </w:t>
      </w:r>
      <w:hyperlink r:id="rId274" w:history="1">
        <w:r w:rsidRPr="00D61F73">
          <w:rPr>
            <w:rStyle w:val="Hyperlink"/>
            <w:rFonts w:ascii="Arial" w:hAnsi="Arial" w:cs="Arial"/>
          </w:rPr>
          <w:t>17617497</w:t>
        </w:r>
      </w:hyperlink>
    </w:p>
    <w:p w14:paraId="7A55EC67" w14:textId="77777777" w:rsidR="008D0565" w:rsidRPr="00D61F73" w:rsidRDefault="008D0565" w:rsidP="00D61F73">
      <w:pPr>
        <w:rPr>
          <w:rFonts w:ascii="Arial" w:hAnsi="Arial" w:cs="Arial"/>
        </w:rPr>
      </w:pPr>
    </w:p>
    <w:p w14:paraId="4D5B23C1" w14:textId="77777777" w:rsidR="008D0565" w:rsidRPr="00D61F73" w:rsidRDefault="008D0565" w:rsidP="00D61F73">
      <w:pPr>
        <w:rPr>
          <w:rFonts w:ascii="Arial" w:hAnsi="Arial" w:cs="Arial"/>
        </w:rPr>
      </w:pPr>
      <w:r w:rsidRPr="00D61F73">
        <w:rPr>
          <w:rFonts w:ascii="Arial" w:hAnsi="Arial" w:cs="Arial"/>
        </w:rPr>
        <w:t>Rating: 5b</w:t>
      </w:r>
    </w:p>
    <w:p w14:paraId="3C77722A" w14:textId="4C3144BE" w:rsidR="008D0565" w:rsidRPr="00D61F73" w:rsidRDefault="008D0565" w:rsidP="00D61F73">
      <w:pPr>
        <w:rPr>
          <w:rFonts w:ascii="Arial" w:hAnsi="Arial" w:cs="Arial"/>
          <w:b/>
          <w:bCs/>
        </w:rPr>
      </w:pPr>
      <w:r w:rsidRPr="00D61F73">
        <w:rPr>
          <w:rFonts w:ascii="Arial" w:hAnsi="Arial" w:cs="Arial"/>
        </w:rPr>
        <w:br w:type="page"/>
      </w:r>
      <w:r w:rsidRPr="009B25C3">
        <w:rPr>
          <w:rFonts w:ascii="Arial" w:hAnsi="Arial" w:cs="Arial"/>
          <w:b/>
          <w:bCs/>
        </w:rPr>
        <w:lastRenderedPageBreak/>
        <w:t>B</w:t>
      </w:r>
      <w:bookmarkStart w:id="522" w:name="BlueCrossBlueShield4"/>
      <w:bookmarkEnd w:id="522"/>
      <w:r w:rsidRPr="009B25C3">
        <w:rPr>
          <w:rFonts w:ascii="Arial" w:hAnsi="Arial" w:cs="Arial"/>
          <w:b/>
          <w:bCs/>
        </w:rPr>
        <w:t>lueCross BlueShield</w:t>
      </w:r>
      <w:r w:rsidRPr="00D61F73">
        <w:rPr>
          <w:rFonts w:ascii="Arial" w:hAnsi="Arial" w:cs="Arial"/>
          <w:b/>
          <w:bCs/>
        </w:rPr>
        <w:t xml:space="preserve">, Surgery Section - Percutaneous Electrical Nerve Stimulation (PENS), Policy No: 44, 08/03/2004 </w:t>
      </w:r>
    </w:p>
    <w:p w14:paraId="4D6380EF" w14:textId="77777777" w:rsidR="008D0565" w:rsidRPr="00D61F73" w:rsidRDefault="008D0565" w:rsidP="00D61F73">
      <w:pPr>
        <w:rPr>
          <w:rFonts w:ascii="Arial" w:hAnsi="Arial" w:cs="Arial"/>
        </w:rPr>
      </w:pPr>
    </w:p>
    <w:p w14:paraId="7D563C31" w14:textId="77777777" w:rsidR="008D0565" w:rsidRPr="00D61F73" w:rsidRDefault="008D0565" w:rsidP="00D61F73">
      <w:pPr>
        <w:rPr>
          <w:rFonts w:ascii="Arial" w:hAnsi="Arial" w:cs="Arial"/>
        </w:rPr>
      </w:pPr>
      <w:r w:rsidRPr="00D61F73">
        <w:rPr>
          <w:rFonts w:ascii="Arial" w:hAnsi="Arial" w:cs="Arial"/>
        </w:rPr>
        <w:t>Rating: 8b</w:t>
      </w:r>
    </w:p>
    <w:p w14:paraId="70502F2A" w14:textId="09E016B8"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23" w:name="BlueCrossBlueShield5"/>
      <w:bookmarkEnd w:id="523"/>
      <w:r w:rsidRPr="009B25C3">
        <w:rPr>
          <w:rFonts w:ascii="Arial" w:hAnsi="Arial" w:cs="Arial"/>
          <w:b/>
          <w:bCs/>
        </w:rPr>
        <w:t>lueCross BlueShield</w:t>
      </w:r>
      <w:r w:rsidRPr="00D61F73">
        <w:rPr>
          <w:rFonts w:ascii="Arial" w:hAnsi="Arial" w:cs="Arial"/>
          <w:b/>
          <w:bCs/>
        </w:rPr>
        <w:t xml:space="preserve">, Durable Medical Equipment Section - Electrical Stimulation Devices for Home Use, DME Policy No: 11, Approved Date: 04/05/2005. Also Electrical Stimulators for pain, seizures, or cerebral palsy. Policy 003; Posted 4/23/07. </w:t>
      </w:r>
    </w:p>
    <w:p w14:paraId="4F2E58C4" w14:textId="77777777" w:rsidR="008D0565" w:rsidRPr="00D61F73" w:rsidRDefault="008D0565" w:rsidP="00D61F73">
      <w:pPr>
        <w:rPr>
          <w:rFonts w:ascii="Arial" w:hAnsi="Arial" w:cs="Arial"/>
        </w:rPr>
      </w:pPr>
    </w:p>
    <w:p w14:paraId="40103071"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8b</w:t>
      </w:r>
    </w:p>
    <w:p w14:paraId="481F45B4" w14:textId="0E259146"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24" w:name="BlueCrossBlueShield6"/>
      <w:bookmarkEnd w:id="524"/>
      <w:r w:rsidRPr="009B25C3">
        <w:rPr>
          <w:rFonts w:ascii="Arial" w:hAnsi="Arial" w:cs="Arial"/>
          <w:b/>
          <w:bCs/>
        </w:rPr>
        <w:t>lueCross BlueShield</w:t>
      </w:r>
      <w:r w:rsidRPr="00D61F73">
        <w:rPr>
          <w:rFonts w:ascii="Arial" w:hAnsi="Arial" w:cs="Arial"/>
          <w:b/>
          <w:bCs/>
        </w:rPr>
        <w:t xml:space="preserve">, Durable Medical Equipment Section - Sympathetic Therapy for the Treatment of Pain, DME Policy No: 65. Effective Date: 03/01/2005 </w:t>
      </w:r>
    </w:p>
    <w:p w14:paraId="72C1DE62" w14:textId="77777777" w:rsidR="008D0565" w:rsidRPr="00D61F73" w:rsidRDefault="008D0565" w:rsidP="00D61F73">
      <w:pPr>
        <w:pStyle w:val="Footer"/>
        <w:tabs>
          <w:tab w:val="clear" w:pos="4320"/>
          <w:tab w:val="clear" w:pos="8640"/>
        </w:tabs>
        <w:rPr>
          <w:rFonts w:ascii="Arial" w:hAnsi="Arial" w:cs="Arial"/>
        </w:rPr>
      </w:pPr>
    </w:p>
    <w:p w14:paraId="127D4732" w14:textId="77777777" w:rsidR="008D0565" w:rsidRPr="00D61F73" w:rsidRDefault="008D0565" w:rsidP="00D61F73">
      <w:pPr>
        <w:rPr>
          <w:rFonts w:ascii="Arial" w:hAnsi="Arial" w:cs="Arial"/>
        </w:rPr>
      </w:pPr>
      <w:r w:rsidRPr="00D61F73">
        <w:rPr>
          <w:rFonts w:ascii="Arial" w:hAnsi="Arial" w:cs="Arial"/>
        </w:rPr>
        <w:t>Sympathetic therapy is considered investigational. The lack of published outcomes from well-designed clinical trials prohibits scientific conclusions concerning the health outcome effects of sympathetic therapy for the treatment of pain.</w:t>
      </w:r>
    </w:p>
    <w:p w14:paraId="6B210AB9" w14:textId="77777777" w:rsidR="008D0565" w:rsidRPr="00D61F73" w:rsidRDefault="008D0565" w:rsidP="00D61F73">
      <w:pPr>
        <w:rPr>
          <w:rFonts w:ascii="Arial" w:hAnsi="Arial" w:cs="Arial"/>
        </w:rPr>
      </w:pPr>
    </w:p>
    <w:p w14:paraId="6DA558EF" w14:textId="77777777" w:rsidR="008D0565" w:rsidRPr="00D61F73" w:rsidRDefault="008D0565" w:rsidP="00D61F73">
      <w:pPr>
        <w:rPr>
          <w:rFonts w:ascii="Arial" w:hAnsi="Arial" w:cs="Arial"/>
          <w:b/>
          <w:bCs/>
        </w:rPr>
      </w:pPr>
      <w:r w:rsidRPr="00D61F73">
        <w:rPr>
          <w:rFonts w:ascii="Arial" w:hAnsi="Arial" w:cs="Arial"/>
        </w:rPr>
        <w:t>Rating: 8b</w:t>
      </w:r>
    </w:p>
    <w:p w14:paraId="7B51C13B" w14:textId="6D1C3E5C"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25" w:name="BlueCrossBlueShield7"/>
      <w:bookmarkEnd w:id="525"/>
      <w:r w:rsidRPr="009B25C3">
        <w:rPr>
          <w:rFonts w:ascii="Arial" w:hAnsi="Arial" w:cs="Arial"/>
          <w:b/>
          <w:bCs/>
        </w:rPr>
        <w:t>lueCross BlueShield</w:t>
      </w:r>
      <w:r w:rsidRPr="00D61F73">
        <w:rPr>
          <w:rFonts w:ascii="Arial" w:hAnsi="Arial" w:cs="Arial"/>
          <w:b/>
          <w:bCs/>
        </w:rPr>
        <w:t xml:space="preserve">, Durable Medical Equipment Section - Interferential Stimulation, DME Policy No: 66. Effective Date: 03/01/2005. Updated 2006. </w:t>
      </w:r>
    </w:p>
    <w:p w14:paraId="0A6EF0BE" w14:textId="77777777" w:rsidR="008D0565" w:rsidRPr="00D61F73" w:rsidRDefault="008D0565" w:rsidP="00D61F73">
      <w:pPr>
        <w:pStyle w:val="Footer"/>
        <w:tabs>
          <w:tab w:val="clear" w:pos="4320"/>
          <w:tab w:val="clear" w:pos="8640"/>
        </w:tabs>
        <w:rPr>
          <w:rFonts w:ascii="Arial" w:hAnsi="Arial" w:cs="Arial"/>
        </w:rPr>
      </w:pPr>
    </w:p>
    <w:p w14:paraId="5D1669AF" w14:textId="77777777" w:rsidR="008D0565" w:rsidRPr="00D61F73" w:rsidRDefault="008D0565" w:rsidP="00D61F73">
      <w:pPr>
        <w:rPr>
          <w:rFonts w:ascii="Arial" w:hAnsi="Arial" w:cs="Arial"/>
        </w:rPr>
      </w:pPr>
      <w:r w:rsidRPr="00D61F73">
        <w:rPr>
          <w:rFonts w:ascii="Arial" w:hAnsi="Arial" w:cs="Arial"/>
        </w:rPr>
        <w:t xml:space="preserve">Interferential current stimulation is considered investigational. The results of placebo-controlled trials have reported negative findings of interferential therapy. Interferential therapy (such as RS-4i): Is denied experimental/investigational. </w:t>
      </w:r>
    </w:p>
    <w:p w14:paraId="3FE15569" w14:textId="77777777" w:rsidR="008D0565" w:rsidRPr="00D61F73" w:rsidRDefault="008D0565" w:rsidP="00D61F73">
      <w:pPr>
        <w:rPr>
          <w:rFonts w:ascii="Arial" w:hAnsi="Arial" w:cs="Arial"/>
        </w:rPr>
      </w:pPr>
    </w:p>
    <w:p w14:paraId="42967A21" w14:textId="77777777" w:rsidR="008D0565" w:rsidRPr="00D61F73" w:rsidRDefault="008D0565" w:rsidP="00D61F73">
      <w:pPr>
        <w:rPr>
          <w:rFonts w:ascii="Arial" w:hAnsi="Arial" w:cs="Arial"/>
          <w:b/>
          <w:bCs/>
        </w:rPr>
      </w:pPr>
      <w:r w:rsidRPr="00D61F73">
        <w:rPr>
          <w:rFonts w:ascii="Arial" w:hAnsi="Arial" w:cs="Arial"/>
        </w:rPr>
        <w:t>Rating: 8b</w:t>
      </w:r>
      <w:r w:rsidRPr="00D61F73">
        <w:rPr>
          <w:rFonts w:ascii="Arial" w:hAnsi="Arial" w:cs="Arial"/>
          <w:b/>
          <w:bCs/>
        </w:rPr>
        <w:t xml:space="preserve"> </w:t>
      </w:r>
    </w:p>
    <w:p w14:paraId="21D82DCA" w14:textId="342FC44E"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26" w:name="BlueCrossBlueShield8"/>
      <w:bookmarkEnd w:id="526"/>
      <w:r w:rsidRPr="009B25C3">
        <w:rPr>
          <w:rFonts w:ascii="Arial" w:hAnsi="Arial" w:cs="Arial"/>
          <w:b/>
          <w:bCs/>
        </w:rPr>
        <w:t>lueCross BlueShield</w:t>
      </w:r>
      <w:r w:rsidRPr="00D61F73">
        <w:rPr>
          <w:rFonts w:ascii="Arial" w:hAnsi="Arial" w:cs="Arial"/>
          <w:b/>
          <w:bCs/>
        </w:rPr>
        <w:t>, Durable Medical Equipment Section - Biomagnetic Therapy, DME Policy No: 55, Effective Date: 03/01/2005</w:t>
      </w:r>
    </w:p>
    <w:p w14:paraId="7D616423" w14:textId="77777777" w:rsidR="008D0565" w:rsidRPr="00D61F73" w:rsidRDefault="008D0565" w:rsidP="00D61F73">
      <w:pPr>
        <w:rPr>
          <w:rFonts w:ascii="Arial" w:hAnsi="Arial" w:cs="Arial"/>
        </w:rPr>
      </w:pPr>
    </w:p>
    <w:p w14:paraId="1C4B970A" w14:textId="77777777" w:rsidR="008D0565" w:rsidRPr="00D61F73" w:rsidRDefault="008D0565" w:rsidP="00D61F73">
      <w:pPr>
        <w:rPr>
          <w:rFonts w:ascii="Arial" w:hAnsi="Arial" w:cs="Arial"/>
        </w:rPr>
      </w:pPr>
      <w:r w:rsidRPr="00D61F73">
        <w:rPr>
          <w:rFonts w:ascii="Arial" w:hAnsi="Arial" w:cs="Arial"/>
        </w:rPr>
        <w:t xml:space="preserve">The data from the above randomized, placebo-controlled clinical trials fails to demonstrate that biomagnetic therapy results in improved health outcomes for any type of pain. </w:t>
      </w:r>
    </w:p>
    <w:p w14:paraId="1AEE2C15" w14:textId="77777777" w:rsidR="008D0565" w:rsidRPr="00D61F73" w:rsidRDefault="008D0565" w:rsidP="00D61F73">
      <w:pPr>
        <w:rPr>
          <w:rFonts w:ascii="Arial" w:hAnsi="Arial" w:cs="Arial"/>
        </w:rPr>
      </w:pPr>
    </w:p>
    <w:p w14:paraId="3E1DE61D" w14:textId="77777777" w:rsidR="008D0565" w:rsidRPr="00D61F73" w:rsidRDefault="008D0565" w:rsidP="00D61F73">
      <w:pPr>
        <w:rPr>
          <w:rFonts w:ascii="Arial" w:hAnsi="Arial" w:cs="Arial"/>
        </w:rPr>
      </w:pPr>
      <w:r w:rsidRPr="00D61F73">
        <w:rPr>
          <w:rFonts w:ascii="Arial" w:hAnsi="Arial" w:cs="Arial"/>
        </w:rPr>
        <w:t>Rating: 8b</w:t>
      </w:r>
    </w:p>
    <w:p w14:paraId="1C11C120" w14:textId="77777777" w:rsidR="008D0565" w:rsidRPr="00D61F73" w:rsidRDefault="008D0565" w:rsidP="00D61F73">
      <w:pPr>
        <w:rPr>
          <w:rFonts w:ascii="Arial" w:hAnsi="Arial" w:cs="Arial"/>
        </w:rPr>
      </w:pPr>
    </w:p>
    <w:p w14:paraId="702AB340" w14:textId="0EDCEAF9"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27" w:name="BlueCrossBlueShield9"/>
      <w:bookmarkEnd w:id="527"/>
      <w:r w:rsidRPr="009B25C3">
        <w:rPr>
          <w:rFonts w:ascii="Arial" w:hAnsi="Arial" w:cs="Arial"/>
          <w:b/>
          <w:bCs/>
        </w:rPr>
        <w:t>lueCross BlueShield</w:t>
      </w:r>
      <w:r w:rsidRPr="00D61F73">
        <w:rPr>
          <w:rFonts w:ascii="Arial" w:hAnsi="Arial" w:cs="Arial"/>
          <w:b/>
          <w:bCs/>
        </w:rPr>
        <w:t>. Surgery Section - Fully Implantable Infusion Pump. Policy No: 18. Effective Date: 04/05/2005</w:t>
      </w:r>
    </w:p>
    <w:p w14:paraId="312B9B28" w14:textId="77777777" w:rsidR="008D0565" w:rsidRPr="00D61F73" w:rsidRDefault="008D0565" w:rsidP="00D61F73">
      <w:pPr>
        <w:rPr>
          <w:rFonts w:ascii="Arial" w:hAnsi="Arial" w:cs="Arial"/>
        </w:rPr>
      </w:pPr>
    </w:p>
    <w:p w14:paraId="70EC1F93" w14:textId="77777777" w:rsidR="008D0565" w:rsidRPr="00D61F73" w:rsidRDefault="008D0565" w:rsidP="00D61F73">
      <w:pPr>
        <w:rPr>
          <w:rFonts w:ascii="Arial" w:hAnsi="Arial" w:cs="Arial"/>
        </w:rPr>
      </w:pPr>
      <w:r w:rsidRPr="00D61F73">
        <w:rPr>
          <w:rFonts w:ascii="Arial" w:hAnsi="Arial" w:cs="Arial"/>
        </w:rPr>
        <w:t>Fully implantable infusion pumps are considered investigational for all other indications.</w:t>
      </w:r>
    </w:p>
    <w:p w14:paraId="2D8446A3" w14:textId="77777777" w:rsidR="008D0565" w:rsidRPr="00D61F73" w:rsidRDefault="008D0565" w:rsidP="00D61F73">
      <w:pPr>
        <w:rPr>
          <w:rFonts w:ascii="Arial" w:hAnsi="Arial" w:cs="Arial"/>
        </w:rPr>
      </w:pPr>
    </w:p>
    <w:p w14:paraId="469694FC" w14:textId="77777777" w:rsidR="008D0565" w:rsidRPr="00D61F73" w:rsidRDefault="008D0565" w:rsidP="00D61F73">
      <w:pPr>
        <w:rPr>
          <w:rFonts w:ascii="Arial" w:hAnsi="Arial" w:cs="Arial"/>
        </w:rPr>
      </w:pPr>
      <w:r w:rsidRPr="00D61F73">
        <w:rPr>
          <w:rFonts w:ascii="Arial" w:hAnsi="Arial" w:cs="Arial"/>
        </w:rPr>
        <w:t>Rating: 8c</w:t>
      </w:r>
    </w:p>
    <w:p w14:paraId="19DE631D" w14:textId="77777777" w:rsidR="008D0565" w:rsidRPr="00D61F73" w:rsidRDefault="008D0565" w:rsidP="00D61F73">
      <w:pPr>
        <w:rPr>
          <w:rFonts w:ascii="Arial" w:hAnsi="Arial" w:cs="Arial"/>
        </w:rPr>
      </w:pPr>
    </w:p>
    <w:p w14:paraId="038D01AB" w14:textId="454259A2" w:rsidR="008D0565" w:rsidRPr="00D61F73" w:rsidRDefault="008D0565" w:rsidP="00D61F73">
      <w:pPr>
        <w:rPr>
          <w:rFonts w:ascii="Arial" w:hAnsi="Arial" w:cs="Arial"/>
          <w:b/>
          <w:bCs/>
        </w:rPr>
      </w:pPr>
      <w:r w:rsidRPr="00D61F73">
        <w:rPr>
          <w:rFonts w:ascii="Arial" w:hAnsi="Arial" w:cs="Arial"/>
        </w:rPr>
        <w:br w:type="page"/>
      </w:r>
      <w:r w:rsidRPr="009B25C3">
        <w:rPr>
          <w:rFonts w:ascii="Arial" w:hAnsi="Arial" w:cs="Arial"/>
          <w:b/>
          <w:bCs/>
        </w:rPr>
        <w:lastRenderedPageBreak/>
        <w:t>B</w:t>
      </w:r>
      <w:bookmarkStart w:id="528" w:name="BlueCrossBlueShield"/>
      <w:bookmarkStart w:id="529" w:name="BlueCrossBlueShield95"/>
      <w:bookmarkEnd w:id="528"/>
      <w:bookmarkEnd w:id="529"/>
      <w:r w:rsidRPr="009B25C3">
        <w:rPr>
          <w:rFonts w:ascii="Arial" w:hAnsi="Arial" w:cs="Arial"/>
          <w:b/>
          <w:bCs/>
        </w:rPr>
        <w:t>lueCross BlueShield</w:t>
      </w:r>
      <w:r w:rsidRPr="00D61F73">
        <w:rPr>
          <w:rFonts w:ascii="Arial" w:hAnsi="Arial" w:cs="Arial"/>
          <w:b/>
          <w:bCs/>
        </w:rPr>
        <w:t>. Medicine Section - Low Level Laser Treatment of Neuromuscular Pain Disorders. Policy No: 105, Effective Date: 03/01/2005</w:t>
      </w:r>
    </w:p>
    <w:p w14:paraId="53859E17" w14:textId="77777777" w:rsidR="008D0565" w:rsidRPr="00D61F73" w:rsidRDefault="008D0565" w:rsidP="00D61F73">
      <w:pPr>
        <w:rPr>
          <w:rFonts w:ascii="Arial" w:hAnsi="Arial" w:cs="Arial"/>
        </w:rPr>
      </w:pPr>
    </w:p>
    <w:p w14:paraId="480EAF32" w14:textId="77777777" w:rsidR="008D0565" w:rsidRPr="00D61F73" w:rsidRDefault="008D0565" w:rsidP="00D61F73">
      <w:pPr>
        <w:rPr>
          <w:rFonts w:ascii="Arial" w:hAnsi="Arial" w:cs="Arial"/>
        </w:rPr>
      </w:pPr>
      <w:r w:rsidRPr="00D61F73">
        <w:rPr>
          <w:rFonts w:ascii="Arial" w:hAnsi="Arial" w:cs="Arial"/>
        </w:rPr>
        <w:t>Rating: 8b</w:t>
      </w:r>
    </w:p>
    <w:p w14:paraId="7663FF02" w14:textId="77777777" w:rsidR="008D0565" w:rsidRPr="00D61F73" w:rsidRDefault="008D0565" w:rsidP="00D61F73">
      <w:pPr>
        <w:rPr>
          <w:rFonts w:ascii="Arial" w:hAnsi="Arial" w:cs="Arial"/>
          <w:b/>
          <w:bCs/>
        </w:rPr>
      </w:pPr>
      <w:r w:rsidRPr="00D61F73">
        <w:rPr>
          <w:rFonts w:ascii="Arial" w:hAnsi="Arial" w:cs="Arial"/>
        </w:rPr>
        <w:br w:type="page"/>
      </w:r>
      <w:r w:rsidRPr="009B25C3">
        <w:rPr>
          <w:rStyle w:val="Hyperlink"/>
          <w:rFonts w:ascii="Arial" w:hAnsi="Arial" w:cs="Arial"/>
          <w:b/>
          <w:color w:val="auto"/>
          <w:u w:val="none"/>
        </w:rPr>
        <w:lastRenderedPageBreak/>
        <w:t>B</w:t>
      </w:r>
      <w:bookmarkStart w:id="530" w:name="BlueCrossBlueShield96"/>
      <w:bookmarkEnd w:id="530"/>
      <w:r w:rsidRPr="009B25C3">
        <w:rPr>
          <w:rStyle w:val="Hyperlink"/>
          <w:rFonts w:ascii="Arial" w:hAnsi="Arial" w:cs="Arial"/>
          <w:b/>
          <w:color w:val="auto"/>
          <w:u w:val="none"/>
        </w:rPr>
        <w:t>lueCross BlueShield</w:t>
      </w:r>
      <w:r w:rsidRPr="009B25C3">
        <w:rPr>
          <w:rFonts w:ascii="Arial" w:hAnsi="Arial" w:cs="Arial"/>
          <w:b/>
          <w:bCs/>
          <w:color w:val="auto"/>
        </w:rPr>
        <w:t xml:space="preserve">. </w:t>
      </w:r>
      <w:r w:rsidRPr="00D61F73">
        <w:rPr>
          <w:rFonts w:ascii="Arial" w:hAnsi="Arial" w:cs="Arial"/>
          <w:b/>
          <w:bCs/>
        </w:rPr>
        <w:t>Utilization Management Section - Pain Rehabilitation Programs. Policy No: 5, Effective Date: 06/01/2004</w:t>
      </w:r>
    </w:p>
    <w:p w14:paraId="753AD481" w14:textId="77777777" w:rsidR="008D0565" w:rsidRPr="00D61F73" w:rsidRDefault="008D0565" w:rsidP="00D61F73">
      <w:pPr>
        <w:rPr>
          <w:rFonts w:ascii="Arial" w:hAnsi="Arial" w:cs="Arial"/>
        </w:rPr>
      </w:pPr>
    </w:p>
    <w:p w14:paraId="6CF73E8A" w14:textId="77777777" w:rsidR="008D0565" w:rsidRPr="00D61F73" w:rsidRDefault="008D0565" w:rsidP="00D61F73">
      <w:pPr>
        <w:rPr>
          <w:rFonts w:ascii="Arial" w:hAnsi="Arial" w:cs="Arial"/>
        </w:rPr>
      </w:pPr>
      <w:r w:rsidRPr="00D61F73">
        <w:rPr>
          <w:rFonts w:ascii="Arial" w:hAnsi="Arial" w:cs="Arial"/>
        </w:rPr>
        <w:t>Rating: 8b</w:t>
      </w:r>
    </w:p>
    <w:p w14:paraId="642720B4" w14:textId="77777777" w:rsidR="008D0565" w:rsidRPr="00D61F73" w:rsidRDefault="008D0565" w:rsidP="00D61F73">
      <w:pPr>
        <w:rPr>
          <w:rFonts w:ascii="Arial" w:hAnsi="Arial" w:cs="Arial"/>
        </w:rPr>
      </w:pPr>
    </w:p>
    <w:p w14:paraId="4C1E7ADF" w14:textId="3510FFC8" w:rsidR="008D0565" w:rsidRPr="00D61F73" w:rsidRDefault="008D0565" w:rsidP="00D61F73">
      <w:pPr>
        <w:rPr>
          <w:rFonts w:ascii="Arial" w:hAnsi="Arial" w:cs="Arial"/>
          <w:b/>
          <w:bCs/>
        </w:rPr>
      </w:pPr>
      <w:r w:rsidRPr="00D61F73">
        <w:rPr>
          <w:rFonts w:ascii="Arial" w:hAnsi="Arial" w:cs="Arial"/>
        </w:rPr>
        <w:br w:type="page"/>
      </w:r>
      <w:r w:rsidRPr="009B25C3">
        <w:rPr>
          <w:rFonts w:ascii="Arial" w:hAnsi="Arial" w:cs="Arial"/>
          <w:b/>
          <w:bCs/>
        </w:rPr>
        <w:lastRenderedPageBreak/>
        <w:t>B</w:t>
      </w:r>
      <w:bookmarkStart w:id="531" w:name="BlueCrossBlueShield97"/>
      <w:bookmarkEnd w:id="531"/>
      <w:r w:rsidRPr="009B25C3">
        <w:rPr>
          <w:rFonts w:ascii="Arial" w:hAnsi="Arial" w:cs="Arial"/>
          <w:b/>
          <w:bCs/>
        </w:rPr>
        <w:t>lueCross BlueShield</w:t>
      </w:r>
      <w:r w:rsidRPr="00D61F73">
        <w:rPr>
          <w:rFonts w:ascii="Arial" w:hAnsi="Arial" w:cs="Arial"/>
          <w:b/>
          <w:bCs/>
        </w:rPr>
        <w:t>. Surgery Section - Spinal Cord Stimulation for Treatment of Pain. Policy No: 45, Effective Date: 07/06/2004</w:t>
      </w:r>
    </w:p>
    <w:p w14:paraId="485CA2EA" w14:textId="77777777" w:rsidR="008D0565" w:rsidRPr="00D61F73" w:rsidRDefault="008D0565" w:rsidP="00D61F73">
      <w:pPr>
        <w:rPr>
          <w:rFonts w:ascii="Arial" w:hAnsi="Arial" w:cs="Arial"/>
        </w:rPr>
      </w:pPr>
    </w:p>
    <w:p w14:paraId="24E2C60C" w14:textId="77777777" w:rsidR="008D0565" w:rsidRPr="00D61F73" w:rsidRDefault="008D0565" w:rsidP="00D61F73">
      <w:pPr>
        <w:rPr>
          <w:rFonts w:ascii="Arial" w:hAnsi="Arial" w:cs="Arial"/>
        </w:rPr>
      </w:pPr>
      <w:r w:rsidRPr="00D61F73">
        <w:rPr>
          <w:rFonts w:ascii="Arial" w:hAnsi="Arial" w:cs="Arial"/>
        </w:rPr>
        <w:t>Rating: 8b</w:t>
      </w:r>
    </w:p>
    <w:p w14:paraId="2AD48870" w14:textId="77777777" w:rsidR="008D0565" w:rsidRPr="00D61F73" w:rsidRDefault="008D0565" w:rsidP="00D61F73">
      <w:pPr>
        <w:rPr>
          <w:rFonts w:ascii="Arial" w:hAnsi="Arial" w:cs="Arial"/>
        </w:rPr>
      </w:pPr>
    </w:p>
    <w:p w14:paraId="3682EE81" w14:textId="4BF400A1"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32" w:name="BlueCrossBlueShield98"/>
      <w:bookmarkEnd w:id="532"/>
      <w:r w:rsidRPr="009B25C3">
        <w:rPr>
          <w:rFonts w:ascii="Arial" w:hAnsi="Arial" w:cs="Arial"/>
          <w:b/>
          <w:bCs/>
        </w:rPr>
        <w:t>lueCross BlueShield</w:t>
      </w:r>
      <w:r w:rsidRPr="00D61F73">
        <w:rPr>
          <w:rFonts w:ascii="Arial" w:hAnsi="Arial" w:cs="Arial"/>
          <w:b/>
          <w:bCs/>
        </w:rPr>
        <w:t>. Allied Health - Biofeedback as a Treatment of Chronic Pain. Policy No: 28. Effective Date: 08/03/2004</w:t>
      </w:r>
    </w:p>
    <w:p w14:paraId="58049F15" w14:textId="77777777" w:rsidR="008D0565" w:rsidRPr="00D61F73" w:rsidRDefault="008D0565" w:rsidP="00D61F73">
      <w:pPr>
        <w:rPr>
          <w:rFonts w:ascii="Arial" w:hAnsi="Arial" w:cs="Arial"/>
        </w:rPr>
      </w:pPr>
    </w:p>
    <w:p w14:paraId="4457C8C3" w14:textId="77777777" w:rsidR="008D0565" w:rsidRPr="00D61F73" w:rsidRDefault="008D0565" w:rsidP="00D61F73">
      <w:pPr>
        <w:rPr>
          <w:rFonts w:ascii="Arial" w:hAnsi="Arial" w:cs="Arial"/>
        </w:rPr>
      </w:pPr>
      <w:r w:rsidRPr="00D61F73">
        <w:rPr>
          <w:rFonts w:ascii="Arial" w:hAnsi="Arial" w:cs="Arial"/>
        </w:rPr>
        <w:t xml:space="preserve">The available evidence did not clearly show whether biofeedback’s effects exceeded nonspecific placebo effects. It was also unclear whether biofeedback added to the effectiveness of relaxation training alone. </w:t>
      </w:r>
    </w:p>
    <w:p w14:paraId="76BDBC66" w14:textId="77777777" w:rsidR="008D0565" w:rsidRPr="00D61F73" w:rsidRDefault="008D0565" w:rsidP="00D61F73">
      <w:pPr>
        <w:rPr>
          <w:rFonts w:ascii="Arial" w:hAnsi="Arial" w:cs="Arial"/>
        </w:rPr>
      </w:pPr>
    </w:p>
    <w:p w14:paraId="67F193E8" w14:textId="77777777" w:rsidR="008D0565" w:rsidRPr="00D61F73" w:rsidRDefault="008D0565" w:rsidP="00D61F73">
      <w:pPr>
        <w:rPr>
          <w:rFonts w:ascii="Arial" w:hAnsi="Arial" w:cs="Arial"/>
        </w:rPr>
      </w:pPr>
      <w:r w:rsidRPr="00D61F73">
        <w:rPr>
          <w:rFonts w:ascii="Arial" w:hAnsi="Arial" w:cs="Arial"/>
        </w:rPr>
        <w:t>Rating: 8b</w:t>
      </w:r>
    </w:p>
    <w:p w14:paraId="39C4190D" w14:textId="77777777" w:rsidR="008D0565" w:rsidRPr="00D61F73" w:rsidRDefault="008D0565" w:rsidP="00D61F73">
      <w:pPr>
        <w:rPr>
          <w:rFonts w:ascii="Arial" w:hAnsi="Arial" w:cs="Arial"/>
        </w:rPr>
      </w:pPr>
    </w:p>
    <w:p w14:paraId="3301E589" w14:textId="77777777" w:rsidR="008D0565" w:rsidRPr="00D61F73" w:rsidRDefault="008D0565" w:rsidP="00D61F73">
      <w:pPr>
        <w:rPr>
          <w:rFonts w:ascii="Arial" w:hAnsi="Arial" w:cs="Arial"/>
        </w:rPr>
      </w:pPr>
      <w:r w:rsidRPr="00D61F73">
        <w:rPr>
          <w:rFonts w:ascii="Arial" w:hAnsi="Arial" w:cs="Arial"/>
        </w:rPr>
        <w:t xml:space="preserve">References </w:t>
      </w:r>
    </w:p>
    <w:p w14:paraId="6ACF7C21" w14:textId="77777777" w:rsidR="008D0565" w:rsidRPr="00D61F73" w:rsidRDefault="008D0565" w:rsidP="00D61F73">
      <w:pPr>
        <w:rPr>
          <w:rFonts w:ascii="Arial" w:hAnsi="Arial" w:cs="Arial"/>
        </w:rPr>
      </w:pPr>
      <w:r w:rsidRPr="00D61F73">
        <w:rPr>
          <w:rFonts w:ascii="Arial" w:hAnsi="Arial" w:cs="Arial"/>
        </w:rPr>
        <w:t xml:space="preserve">1. BlueCross BlueShield Association Medical Policy Reference Manual; Policy No. 2.01.30 </w:t>
      </w:r>
    </w:p>
    <w:p w14:paraId="34D9E324" w14:textId="77777777" w:rsidR="008D0565" w:rsidRPr="00D61F73" w:rsidRDefault="008D0565" w:rsidP="00D61F73">
      <w:pPr>
        <w:rPr>
          <w:rFonts w:ascii="Arial" w:hAnsi="Arial" w:cs="Arial"/>
        </w:rPr>
      </w:pPr>
      <w:r w:rsidRPr="00D61F73">
        <w:rPr>
          <w:rFonts w:ascii="Arial" w:hAnsi="Arial" w:cs="Arial"/>
        </w:rPr>
        <w:t xml:space="preserve">2. NIH Technology Assessment Panel. Integration of behavioral and relaxation approaches into the treatment of chronic pain and insomnia. NIH Technology Assessment Panel on Integration of Behavioral and Relaxation Approaches into the Treatment of Chronic Pain and Insomnia. </w:t>
      </w:r>
      <w:r w:rsidRPr="00D61F73">
        <w:rPr>
          <w:rFonts w:ascii="Arial" w:hAnsi="Arial" w:cs="Arial"/>
          <w:i/>
          <w:iCs/>
        </w:rPr>
        <w:t>JAMA</w:t>
      </w:r>
      <w:r w:rsidRPr="00D61F73">
        <w:rPr>
          <w:rFonts w:ascii="Arial" w:hAnsi="Arial" w:cs="Arial"/>
        </w:rPr>
        <w:t xml:space="preserve"> 1996;276(4):313-8 </w:t>
      </w:r>
    </w:p>
    <w:p w14:paraId="25EBBE50" w14:textId="77777777" w:rsidR="008D0565" w:rsidRPr="00D61F73" w:rsidRDefault="008D0565" w:rsidP="00D61F73">
      <w:pPr>
        <w:rPr>
          <w:rFonts w:ascii="Arial" w:hAnsi="Arial" w:cs="Arial"/>
        </w:rPr>
      </w:pPr>
      <w:r w:rsidRPr="00D61F73">
        <w:rPr>
          <w:rFonts w:ascii="Arial" w:hAnsi="Arial" w:cs="Arial"/>
        </w:rPr>
        <w:t xml:space="preserve">3. 1996 TEC Assessment: Biofeedback </w:t>
      </w:r>
    </w:p>
    <w:p w14:paraId="5FF0BB8F" w14:textId="77777777" w:rsidR="008D0565" w:rsidRPr="00D61F73" w:rsidRDefault="008D0565" w:rsidP="00D61F73">
      <w:pPr>
        <w:rPr>
          <w:rFonts w:ascii="Arial" w:hAnsi="Arial" w:cs="Arial"/>
        </w:rPr>
      </w:pPr>
      <w:r w:rsidRPr="00D61F73">
        <w:rPr>
          <w:rFonts w:ascii="Arial" w:hAnsi="Arial" w:cs="Arial"/>
        </w:rPr>
        <w:t xml:space="preserve">4. Bush C, Ditto B, Feuerstein M. A controlled evaluation of paraspinal EMG biofeedback in the treatment of chronic low back pain. </w:t>
      </w:r>
      <w:r w:rsidRPr="00D61F73">
        <w:rPr>
          <w:rFonts w:ascii="Arial" w:hAnsi="Arial" w:cs="Arial"/>
          <w:i/>
          <w:iCs/>
        </w:rPr>
        <w:t>Health Psychol</w:t>
      </w:r>
      <w:r w:rsidRPr="00D61F73">
        <w:rPr>
          <w:rFonts w:ascii="Arial" w:hAnsi="Arial" w:cs="Arial"/>
        </w:rPr>
        <w:t xml:space="preserve"> 1985;4(4):307-21 </w:t>
      </w:r>
    </w:p>
    <w:p w14:paraId="31583524" w14:textId="77777777" w:rsidR="008D0565" w:rsidRPr="00D61F73" w:rsidRDefault="008D0565" w:rsidP="00D61F73">
      <w:pPr>
        <w:rPr>
          <w:rFonts w:ascii="Arial" w:hAnsi="Arial" w:cs="Arial"/>
        </w:rPr>
      </w:pPr>
      <w:r w:rsidRPr="00D61F73">
        <w:rPr>
          <w:rFonts w:ascii="Arial" w:hAnsi="Arial" w:cs="Arial"/>
        </w:rPr>
        <w:t xml:space="preserve">5. Stuckey SJ, Jacobs A, Goldfarb J. EMG biofeedback training, relaxation training, and placebo for the relief of chronic back pain. </w:t>
      </w:r>
      <w:r w:rsidRPr="00D61F73">
        <w:rPr>
          <w:rFonts w:ascii="Arial" w:hAnsi="Arial" w:cs="Arial"/>
          <w:i/>
          <w:iCs/>
        </w:rPr>
        <w:t>Percept Mot Skills</w:t>
      </w:r>
      <w:r w:rsidRPr="00D61F73">
        <w:rPr>
          <w:rFonts w:ascii="Arial" w:hAnsi="Arial" w:cs="Arial"/>
        </w:rPr>
        <w:t xml:space="preserve"> 1986;63(3):1023-36 </w:t>
      </w:r>
    </w:p>
    <w:p w14:paraId="1FFB77E7" w14:textId="77777777" w:rsidR="008D0565" w:rsidRPr="00D61F73" w:rsidRDefault="008D0565" w:rsidP="00D61F73">
      <w:pPr>
        <w:rPr>
          <w:rFonts w:ascii="Arial" w:hAnsi="Arial" w:cs="Arial"/>
        </w:rPr>
      </w:pPr>
      <w:r w:rsidRPr="00D61F73">
        <w:rPr>
          <w:rFonts w:ascii="Arial" w:hAnsi="Arial" w:cs="Arial"/>
        </w:rPr>
        <w:t xml:space="preserve">6. Flor H, Haag G, Turk DC et al. Efficacy of EMG biofeedback, pseudotherapy, and conventional medical treatment for chronic rheumatic back pain. </w:t>
      </w:r>
      <w:r w:rsidRPr="00D61F73">
        <w:rPr>
          <w:rFonts w:ascii="Arial" w:hAnsi="Arial" w:cs="Arial"/>
          <w:i/>
          <w:iCs/>
        </w:rPr>
        <w:t>Pain</w:t>
      </w:r>
      <w:r w:rsidRPr="00D61F73">
        <w:rPr>
          <w:rFonts w:ascii="Arial" w:hAnsi="Arial" w:cs="Arial"/>
        </w:rPr>
        <w:t xml:space="preserve"> 1983;17(1):21-31 </w:t>
      </w:r>
    </w:p>
    <w:p w14:paraId="0D3399E2" w14:textId="77777777" w:rsidR="008D0565" w:rsidRPr="00D61F73" w:rsidRDefault="008D0565" w:rsidP="00D61F73">
      <w:pPr>
        <w:rPr>
          <w:rFonts w:ascii="Arial" w:hAnsi="Arial" w:cs="Arial"/>
        </w:rPr>
      </w:pPr>
      <w:r w:rsidRPr="00D61F73">
        <w:rPr>
          <w:rFonts w:ascii="Arial" w:hAnsi="Arial" w:cs="Arial"/>
        </w:rPr>
        <w:t xml:space="preserve">7. Buckelew SP, Conway R, Parker J et al. Biofeedback/relaxation training and exercise interventions for fibromyalgia: a prospective trial. </w:t>
      </w:r>
      <w:r w:rsidRPr="00D61F73">
        <w:rPr>
          <w:rFonts w:ascii="Arial" w:hAnsi="Arial" w:cs="Arial"/>
          <w:i/>
          <w:iCs/>
        </w:rPr>
        <w:t>Arthritis Care Res</w:t>
      </w:r>
      <w:r w:rsidRPr="00D61F73">
        <w:rPr>
          <w:rFonts w:ascii="Arial" w:hAnsi="Arial" w:cs="Arial"/>
        </w:rPr>
        <w:t xml:space="preserve"> 1998;11(3):196-209 </w:t>
      </w:r>
    </w:p>
    <w:p w14:paraId="0FA33916" w14:textId="77777777" w:rsidR="008D0565" w:rsidRPr="00D61F73" w:rsidRDefault="008D0565" w:rsidP="00D61F73">
      <w:pPr>
        <w:rPr>
          <w:rFonts w:ascii="Arial" w:hAnsi="Arial" w:cs="Arial"/>
        </w:rPr>
      </w:pPr>
      <w:r w:rsidRPr="00D61F73">
        <w:rPr>
          <w:rFonts w:ascii="Arial" w:hAnsi="Arial" w:cs="Arial"/>
        </w:rPr>
        <w:t xml:space="preserve">8. Dursun N, Dursun E, Kilic Z. Electromyographic biofeedback-controlled exercise versus conservative care for patellofemoral pain syndrome. </w:t>
      </w:r>
      <w:r w:rsidRPr="00D61F73">
        <w:rPr>
          <w:rFonts w:ascii="Arial" w:hAnsi="Arial" w:cs="Arial"/>
          <w:i/>
          <w:iCs/>
        </w:rPr>
        <w:t>Arch Phys Med Rehabil</w:t>
      </w:r>
      <w:r w:rsidRPr="00D61F73">
        <w:rPr>
          <w:rFonts w:ascii="Arial" w:hAnsi="Arial" w:cs="Arial"/>
        </w:rPr>
        <w:t xml:space="preserve"> 2001; 82(12):1692-5 </w:t>
      </w:r>
    </w:p>
    <w:p w14:paraId="03D1CD7F" w14:textId="77777777" w:rsidR="008D0565" w:rsidRPr="00D61F73" w:rsidRDefault="008D0565" w:rsidP="00D61F73">
      <w:pPr>
        <w:rPr>
          <w:rFonts w:ascii="Arial" w:hAnsi="Arial" w:cs="Arial"/>
        </w:rPr>
      </w:pPr>
      <w:r w:rsidRPr="00D61F73">
        <w:rPr>
          <w:rFonts w:ascii="Arial" w:hAnsi="Arial" w:cs="Arial"/>
        </w:rPr>
        <w:t xml:space="preserve">9. Humphreys PA, Gevirtz RN. Treatment of recurrent abdominal pain: components analysis of four treatment protocols. </w:t>
      </w:r>
      <w:r w:rsidRPr="00D61F73">
        <w:rPr>
          <w:rFonts w:ascii="Arial" w:hAnsi="Arial" w:cs="Arial"/>
          <w:i/>
          <w:iCs/>
        </w:rPr>
        <w:t xml:space="preserve">J Pediatr Gastroenterol Nutr </w:t>
      </w:r>
      <w:r w:rsidRPr="00D61F73">
        <w:rPr>
          <w:rFonts w:ascii="Arial" w:hAnsi="Arial" w:cs="Arial"/>
        </w:rPr>
        <w:t xml:space="preserve">2000;31(1):47-51 </w:t>
      </w:r>
    </w:p>
    <w:p w14:paraId="22C54613" w14:textId="77777777" w:rsidR="008D0565" w:rsidRPr="00D61F73" w:rsidRDefault="008D0565" w:rsidP="00D61F73">
      <w:pPr>
        <w:rPr>
          <w:rFonts w:ascii="Arial" w:hAnsi="Arial" w:cs="Arial"/>
        </w:rPr>
      </w:pPr>
      <w:r w:rsidRPr="00D61F73">
        <w:rPr>
          <w:rFonts w:ascii="Arial" w:hAnsi="Arial" w:cs="Arial"/>
        </w:rPr>
        <w:t xml:space="preserve">10. Bergeron S, Binik YM, Khalife S et al. A randomized comparison of group cognitive-behavioral therapy, surface electromyographic biofeedback, and vestibulectomy in the treatment of dyspareunia resulting from vulvar vestibulitis. </w:t>
      </w:r>
      <w:r w:rsidRPr="00D61F73">
        <w:rPr>
          <w:rFonts w:ascii="Arial" w:hAnsi="Arial" w:cs="Arial"/>
          <w:i/>
          <w:iCs/>
        </w:rPr>
        <w:t>Pain</w:t>
      </w:r>
      <w:r w:rsidRPr="00D61F73">
        <w:rPr>
          <w:rFonts w:ascii="Arial" w:hAnsi="Arial" w:cs="Arial"/>
        </w:rPr>
        <w:t xml:space="preserve"> 2001;91(3):297-306 </w:t>
      </w:r>
    </w:p>
    <w:p w14:paraId="051DFE94" w14:textId="77777777" w:rsidR="008D0565" w:rsidRPr="00D61F73" w:rsidRDefault="008D0565" w:rsidP="00D61F73">
      <w:pPr>
        <w:rPr>
          <w:rFonts w:ascii="Arial" w:hAnsi="Arial" w:cs="Arial"/>
        </w:rPr>
      </w:pPr>
      <w:r w:rsidRPr="00D61F73">
        <w:rPr>
          <w:rFonts w:ascii="Arial" w:hAnsi="Arial" w:cs="Arial"/>
        </w:rPr>
        <w:t xml:space="preserve">11. van Santen M, Bolwijn P, Verstappen F et al. A randomized clinical trial comparing fitness and biofeedback training versus basic treatment in patients with fibromyalgia. </w:t>
      </w:r>
      <w:r w:rsidRPr="00D61F73">
        <w:rPr>
          <w:rFonts w:ascii="Arial" w:hAnsi="Arial" w:cs="Arial"/>
          <w:i/>
          <w:iCs/>
        </w:rPr>
        <w:t>J Rheumatol</w:t>
      </w:r>
      <w:r w:rsidRPr="00D61F73">
        <w:rPr>
          <w:rFonts w:ascii="Arial" w:hAnsi="Arial" w:cs="Arial"/>
        </w:rPr>
        <w:t xml:space="preserve"> 2002;29(3):575-81 </w:t>
      </w:r>
    </w:p>
    <w:p w14:paraId="6ABC25AA" w14:textId="77777777" w:rsidR="008D0565" w:rsidRPr="00D61F73" w:rsidRDefault="008D0565" w:rsidP="00D61F73">
      <w:pPr>
        <w:rPr>
          <w:rFonts w:ascii="Arial" w:hAnsi="Arial" w:cs="Arial"/>
        </w:rPr>
      </w:pPr>
      <w:r w:rsidRPr="00D61F73">
        <w:rPr>
          <w:rFonts w:ascii="Arial" w:hAnsi="Arial" w:cs="Arial"/>
        </w:rPr>
        <w:t xml:space="preserve">12. Astin JA, Beckner W, Soeken K et al. Psychological interventions for rheumatoid arthritis: a meta-analysis of randomized controlled trials. </w:t>
      </w:r>
      <w:r w:rsidRPr="00D61F73">
        <w:rPr>
          <w:rFonts w:ascii="Arial" w:hAnsi="Arial" w:cs="Arial"/>
          <w:i/>
          <w:iCs/>
        </w:rPr>
        <w:t>Arthritis Rheum</w:t>
      </w:r>
      <w:r w:rsidRPr="00D61F73">
        <w:rPr>
          <w:rFonts w:ascii="Arial" w:hAnsi="Arial" w:cs="Arial"/>
        </w:rPr>
        <w:t xml:space="preserve"> 2002;47(3):291-302 </w:t>
      </w:r>
    </w:p>
    <w:p w14:paraId="4EFDE9E9" w14:textId="77777777" w:rsidR="008D0565" w:rsidRPr="00D61F73" w:rsidRDefault="008D0565" w:rsidP="00D61F73">
      <w:pPr>
        <w:rPr>
          <w:rFonts w:ascii="Arial" w:hAnsi="Arial" w:cs="Arial"/>
        </w:rPr>
      </w:pPr>
      <w:r w:rsidRPr="00D61F73">
        <w:rPr>
          <w:rFonts w:ascii="Arial" w:hAnsi="Arial" w:cs="Arial"/>
        </w:rPr>
        <w:t xml:space="preserve">13. Weydert JA, Ball TM, Davis MF. Systematic review of treatments for recurrent abdominal pain. </w:t>
      </w:r>
      <w:r w:rsidRPr="00D61F73">
        <w:rPr>
          <w:rFonts w:ascii="Arial" w:hAnsi="Arial" w:cs="Arial"/>
          <w:i/>
          <w:iCs/>
        </w:rPr>
        <w:t>Pediatrics</w:t>
      </w:r>
      <w:r w:rsidRPr="00D61F73">
        <w:rPr>
          <w:rFonts w:ascii="Arial" w:hAnsi="Arial" w:cs="Arial"/>
        </w:rPr>
        <w:t xml:space="preserve"> 2003; 111(1):e1-11 </w:t>
      </w:r>
    </w:p>
    <w:p w14:paraId="7E0372D9" w14:textId="77777777" w:rsidR="008D0565" w:rsidRPr="00D61F73" w:rsidRDefault="008D0565" w:rsidP="00D61F73">
      <w:pPr>
        <w:rPr>
          <w:rFonts w:ascii="Arial" w:hAnsi="Arial" w:cs="Arial"/>
        </w:rPr>
      </w:pPr>
    </w:p>
    <w:p w14:paraId="6559DB8D" w14:textId="77777777" w:rsidR="008D0565" w:rsidRPr="00D61F73" w:rsidRDefault="008D0565" w:rsidP="00D61F73">
      <w:pPr>
        <w:rPr>
          <w:rFonts w:ascii="Arial" w:hAnsi="Arial" w:cs="Arial"/>
          <w:b/>
          <w:bCs/>
        </w:rPr>
      </w:pPr>
      <w:r w:rsidRPr="00D61F73">
        <w:rPr>
          <w:rFonts w:ascii="Arial" w:hAnsi="Arial" w:cs="Arial"/>
          <w:b/>
          <w:bCs/>
        </w:rPr>
        <w:br w:type="page"/>
      </w:r>
      <w:r w:rsidRPr="009B25C3">
        <w:rPr>
          <w:rStyle w:val="Hyperlink"/>
          <w:rFonts w:ascii="Arial" w:hAnsi="Arial" w:cs="Arial"/>
          <w:b/>
          <w:color w:val="auto"/>
          <w:u w:val="none"/>
        </w:rPr>
        <w:lastRenderedPageBreak/>
        <w:t>B</w:t>
      </w:r>
      <w:bookmarkStart w:id="533" w:name="BlueCrossBlueShield99"/>
      <w:bookmarkEnd w:id="533"/>
      <w:r w:rsidRPr="009B25C3">
        <w:rPr>
          <w:rStyle w:val="Hyperlink"/>
          <w:rFonts w:ascii="Arial" w:hAnsi="Arial" w:cs="Arial"/>
          <w:b/>
          <w:color w:val="auto"/>
          <w:u w:val="none"/>
        </w:rPr>
        <w:t>lueCross BlueShield</w:t>
      </w:r>
      <w:r w:rsidRPr="00D61F73">
        <w:rPr>
          <w:rFonts w:ascii="Arial" w:hAnsi="Arial" w:cs="Arial"/>
          <w:b/>
          <w:bCs/>
        </w:rPr>
        <w:t>. Medicine Section - Trigger Point Therapy. Policy No: 39. Effective Date: 11/01/2004</w:t>
      </w:r>
    </w:p>
    <w:p w14:paraId="43489FA4" w14:textId="77777777" w:rsidR="008D0565" w:rsidRPr="00D61F73" w:rsidRDefault="008D0565" w:rsidP="00D61F73">
      <w:pPr>
        <w:rPr>
          <w:rFonts w:ascii="Arial" w:hAnsi="Arial" w:cs="Arial"/>
        </w:rPr>
      </w:pPr>
    </w:p>
    <w:p w14:paraId="5421343D" w14:textId="77777777" w:rsidR="008D0565" w:rsidRPr="00D61F73" w:rsidRDefault="008D0565" w:rsidP="00D61F73">
      <w:pPr>
        <w:rPr>
          <w:rFonts w:ascii="Arial" w:hAnsi="Arial" w:cs="Arial"/>
        </w:rPr>
      </w:pPr>
      <w:r w:rsidRPr="00D61F73">
        <w:rPr>
          <w:rFonts w:ascii="Arial" w:hAnsi="Arial" w:cs="Arial"/>
        </w:rPr>
        <w:t>Rating: 8c</w:t>
      </w:r>
    </w:p>
    <w:p w14:paraId="18DDE3F3" w14:textId="77777777" w:rsidR="008D0565" w:rsidRPr="00D61F73" w:rsidRDefault="008D0565" w:rsidP="00D61F73">
      <w:pPr>
        <w:rPr>
          <w:rFonts w:ascii="Arial" w:hAnsi="Arial" w:cs="Arial"/>
        </w:rPr>
      </w:pPr>
    </w:p>
    <w:p w14:paraId="137EA850" w14:textId="114BEC7D"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34" w:name="BlueCrossBlueShield991"/>
      <w:bookmarkEnd w:id="534"/>
      <w:r w:rsidRPr="009B25C3">
        <w:rPr>
          <w:rFonts w:ascii="Arial" w:hAnsi="Arial" w:cs="Arial"/>
          <w:b/>
          <w:bCs/>
        </w:rPr>
        <w:t>lueCross BlueShield</w:t>
      </w:r>
      <w:r w:rsidRPr="00D61F73">
        <w:rPr>
          <w:rFonts w:ascii="Arial" w:hAnsi="Arial" w:cs="Arial"/>
          <w:b/>
          <w:bCs/>
        </w:rPr>
        <w:t>. Medicine Section - Prolotherapy. Policy No: 40. Effective Date: 07/11/06</w:t>
      </w:r>
    </w:p>
    <w:p w14:paraId="7D0BC007" w14:textId="77777777" w:rsidR="008D0565" w:rsidRPr="00D61F73" w:rsidRDefault="008D0565" w:rsidP="00D61F73">
      <w:pPr>
        <w:rPr>
          <w:rFonts w:ascii="Arial" w:hAnsi="Arial" w:cs="Arial"/>
        </w:rPr>
      </w:pPr>
    </w:p>
    <w:p w14:paraId="46D2CADF" w14:textId="77777777" w:rsidR="008D0565" w:rsidRPr="00D61F73" w:rsidRDefault="008D0565" w:rsidP="00D61F73">
      <w:pPr>
        <w:rPr>
          <w:rFonts w:ascii="Arial" w:hAnsi="Arial" w:cs="Arial"/>
        </w:rPr>
      </w:pPr>
      <w:r w:rsidRPr="00D61F73">
        <w:rPr>
          <w:rFonts w:ascii="Arial" w:hAnsi="Arial" w:cs="Arial"/>
        </w:rPr>
        <w:t>Rating: 8b</w:t>
      </w:r>
    </w:p>
    <w:p w14:paraId="1FBDB072" w14:textId="77777777" w:rsidR="008D0565" w:rsidRPr="00D61F73" w:rsidRDefault="008D0565" w:rsidP="00D61F73">
      <w:pPr>
        <w:rPr>
          <w:rFonts w:ascii="Arial" w:hAnsi="Arial" w:cs="Arial"/>
        </w:rPr>
      </w:pPr>
    </w:p>
    <w:p w14:paraId="4B26BA50" w14:textId="59806D33"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rPr>
        <w:lastRenderedPageBreak/>
        <w:t>B</w:t>
      </w:r>
      <w:bookmarkStart w:id="535" w:name="BlueCrossBlueShield992"/>
      <w:bookmarkEnd w:id="535"/>
      <w:r w:rsidRPr="009B25C3">
        <w:rPr>
          <w:rFonts w:ascii="Arial" w:hAnsi="Arial" w:cs="Arial"/>
          <w:b/>
          <w:bCs/>
        </w:rPr>
        <w:t>lueCross BlueShield</w:t>
      </w:r>
      <w:r w:rsidRPr="00D61F73">
        <w:rPr>
          <w:rFonts w:ascii="Arial" w:hAnsi="Arial" w:cs="Arial"/>
          <w:b/>
          <w:bCs/>
        </w:rPr>
        <w:t>. Radiology Section - Thermography. Policy No: 17. Effective Date: 04/05/2005</w:t>
      </w:r>
    </w:p>
    <w:p w14:paraId="27C6720B" w14:textId="77777777" w:rsidR="008D0565" w:rsidRPr="00D61F73" w:rsidRDefault="008D0565" w:rsidP="00D61F73">
      <w:pPr>
        <w:rPr>
          <w:rFonts w:ascii="Arial" w:hAnsi="Arial" w:cs="Arial"/>
        </w:rPr>
      </w:pPr>
    </w:p>
    <w:p w14:paraId="0311E7D1" w14:textId="77777777" w:rsidR="008D0565" w:rsidRPr="00D61F73" w:rsidRDefault="008D0565" w:rsidP="00D61F73">
      <w:pPr>
        <w:rPr>
          <w:rFonts w:ascii="Arial" w:hAnsi="Arial" w:cs="Arial"/>
        </w:rPr>
      </w:pPr>
      <w:r w:rsidRPr="00D61F73">
        <w:rPr>
          <w:rFonts w:ascii="Arial" w:hAnsi="Arial" w:cs="Arial"/>
        </w:rPr>
        <w:t>Rating: 8b</w:t>
      </w:r>
    </w:p>
    <w:p w14:paraId="60F6EBE7" w14:textId="77777777" w:rsidR="008D0565" w:rsidRPr="00D61F73" w:rsidRDefault="008D0565" w:rsidP="00D61F73">
      <w:pPr>
        <w:rPr>
          <w:rFonts w:ascii="Arial" w:hAnsi="Arial" w:cs="Arial"/>
        </w:rPr>
      </w:pPr>
    </w:p>
    <w:p w14:paraId="7BC4F8D9" w14:textId="77777777" w:rsidR="008D0565" w:rsidRPr="00D61F73" w:rsidRDefault="008D0565" w:rsidP="00D61F73">
      <w:pPr>
        <w:rPr>
          <w:rFonts w:ascii="Arial" w:hAnsi="Arial" w:cs="Arial"/>
          <w:b/>
          <w:bCs/>
        </w:rPr>
      </w:pPr>
      <w:r w:rsidRPr="00D61F73">
        <w:rPr>
          <w:rFonts w:ascii="Arial" w:hAnsi="Arial" w:cs="Arial"/>
          <w:b/>
          <w:bCs/>
        </w:rPr>
        <w:br w:type="page"/>
      </w:r>
      <w:r w:rsidRPr="009B25C3">
        <w:rPr>
          <w:rStyle w:val="Hyperlink"/>
          <w:rFonts w:ascii="Arial" w:hAnsi="Arial" w:cs="Arial"/>
          <w:b/>
          <w:color w:val="auto"/>
          <w:u w:val="none"/>
        </w:rPr>
        <w:lastRenderedPageBreak/>
        <w:t>B</w:t>
      </w:r>
      <w:bookmarkStart w:id="536" w:name="BlueCross"/>
      <w:bookmarkEnd w:id="536"/>
      <w:r w:rsidRPr="009B25C3">
        <w:rPr>
          <w:rStyle w:val="Hyperlink"/>
          <w:rFonts w:ascii="Arial" w:hAnsi="Arial" w:cs="Arial"/>
          <w:b/>
          <w:color w:val="auto"/>
          <w:u w:val="none"/>
        </w:rPr>
        <w:t>lueCross</w:t>
      </w:r>
      <w:r w:rsidRPr="009B25C3">
        <w:rPr>
          <w:rFonts w:ascii="Arial" w:hAnsi="Arial" w:cs="Arial"/>
          <w:b/>
          <w:bCs/>
          <w:color w:val="auto"/>
        </w:rPr>
        <w:t>.</w:t>
      </w:r>
      <w:r w:rsidRPr="00D61F73">
        <w:rPr>
          <w:rFonts w:ascii="Arial" w:hAnsi="Arial" w:cs="Arial"/>
          <w:b/>
          <w:bCs/>
        </w:rPr>
        <w:t xml:space="preserve"> Pulsed Radiofrequency (PRF) Treatment for Chronic Pain Syndromes. Policy #: MED.00071. Current Effective Date: 09/22/2005 </w:t>
      </w:r>
    </w:p>
    <w:p w14:paraId="4E8B9E4F" w14:textId="77777777" w:rsidR="008D0565" w:rsidRPr="00D61F73" w:rsidRDefault="008D0565" w:rsidP="00D61F73">
      <w:pPr>
        <w:rPr>
          <w:rFonts w:ascii="Arial" w:hAnsi="Arial" w:cs="Arial"/>
          <w:b/>
          <w:bCs/>
        </w:rPr>
      </w:pPr>
    </w:p>
    <w:p w14:paraId="5D4511BE" w14:textId="77777777" w:rsidR="008D0565" w:rsidRPr="00D61F73" w:rsidRDefault="008D0565" w:rsidP="00D61F73">
      <w:pPr>
        <w:pStyle w:val="Heading1"/>
        <w:rPr>
          <w:rFonts w:ascii="Arial" w:hAnsi="Arial" w:cs="Arial"/>
          <w:b w:val="0"/>
          <w:bCs w:val="0"/>
        </w:rPr>
      </w:pPr>
      <w:r w:rsidRPr="00D61F73">
        <w:rPr>
          <w:rFonts w:ascii="Arial" w:hAnsi="Arial" w:cs="Arial"/>
          <w:b w:val="0"/>
          <w:bCs w:val="0"/>
        </w:rPr>
        <w:t>Rating: 8c</w:t>
      </w:r>
    </w:p>
    <w:p w14:paraId="3DC68615" w14:textId="77777777" w:rsidR="008D0565" w:rsidRPr="00D61F73" w:rsidRDefault="008D0565" w:rsidP="00D61F73">
      <w:pPr>
        <w:rPr>
          <w:rFonts w:ascii="Arial" w:hAnsi="Arial" w:cs="Arial"/>
          <w:b/>
          <w:bCs/>
        </w:rPr>
      </w:pPr>
      <w:r w:rsidRPr="00D61F73">
        <w:rPr>
          <w:rFonts w:ascii="Arial" w:hAnsi="Arial" w:cs="Arial"/>
          <w:b/>
          <w:bCs/>
        </w:rPr>
        <w:br w:type="page"/>
      </w:r>
      <w:r w:rsidRPr="009B25C3">
        <w:rPr>
          <w:rFonts w:ascii="Arial" w:hAnsi="Arial" w:cs="Arial"/>
          <w:b/>
          <w:bCs/>
          <w:color w:val="auto"/>
        </w:rPr>
        <w:lastRenderedPageBreak/>
        <w:t>B</w:t>
      </w:r>
      <w:bookmarkStart w:id="537" w:name="BlueCross2"/>
      <w:bookmarkEnd w:id="537"/>
      <w:r w:rsidRPr="009B25C3">
        <w:rPr>
          <w:rFonts w:ascii="Arial" w:hAnsi="Arial" w:cs="Arial"/>
          <w:b/>
          <w:bCs/>
          <w:color w:val="auto"/>
        </w:rPr>
        <w:t>lueCross of California</w:t>
      </w:r>
      <w:r w:rsidRPr="00D61F73">
        <w:rPr>
          <w:rFonts w:ascii="Arial" w:hAnsi="Arial" w:cs="Arial"/>
          <w:b/>
          <w:bCs/>
        </w:rPr>
        <w:t xml:space="preserve">. Implantable Infusion Pumps. Policy #: SURG.00068. Current Effective Date: 07/14/2005 </w:t>
      </w:r>
    </w:p>
    <w:p w14:paraId="0412A83A" w14:textId="77777777" w:rsidR="008D0565" w:rsidRPr="00D61F73" w:rsidRDefault="008D0565" w:rsidP="00D61F73">
      <w:pPr>
        <w:rPr>
          <w:rFonts w:ascii="Arial" w:hAnsi="Arial" w:cs="Arial"/>
          <w:b/>
          <w:bCs/>
        </w:rPr>
      </w:pPr>
    </w:p>
    <w:p w14:paraId="5ACC6F51"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8a</w:t>
      </w:r>
    </w:p>
    <w:p w14:paraId="6FD763B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38" w:name="Blum"/>
      <w:bookmarkEnd w:id="538"/>
      <w:r w:rsidRPr="00D61F73">
        <w:rPr>
          <w:rFonts w:ascii="Arial" w:hAnsi="Arial" w:cs="Arial"/>
          <w:b/>
          <w:bCs/>
        </w:rPr>
        <w:t xml:space="preserve">lum K, Chen TJ, Martinez-Pons M, Dinubile NA, Waite RL, Schoolfield J, Blum SH, Mengucci J, Downs BW, Meshkin B. The H-Wave small muscle fiber stimulator, a nonpharmacologic alternative for the treatment of chronic soft-tissue injury and neuropathic pain: an extended population observational study. </w:t>
      </w:r>
      <w:r w:rsidRPr="00D61F73">
        <w:rPr>
          <w:rFonts w:ascii="Arial" w:hAnsi="Arial" w:cs="Arial"/>
          <w:b/>
          <w:bCs/>
          <w:i/>
          <w:iCs/>
        </w:rPr>
        <w:t>Adv Ther</w:t>
      </w:r>
      <w:r w:rsidRPr="00D61F73">
        <w:rPr>
          <w:rFonts w:ascii="Arial" w:hAnsi="Arial" w:cs="Arial"/>
          <w:b/>
          <w:bCs/>
        </w:rPr>
        <w:t xml:space="preserve">. 2006 Sep-Oct;23(5):739-49. </w:t>
      </w:r>
    </w:p>
    <w:p w14:paraId="351A70C0" w14:textId="77777777" w:rsidR="008D0565" w:rsidRPr="00D61F73" w:rsidRDefault="008D0565" w:rsidP="00D61F73">
      <w:pPr>
        <w:rPr>
          <w:rFonts w:ascii="Arial" w:hAnsi="Arial" w:cs="Arial"/>
        </w:rPr>
      </w:pPr>
    </w:p>
    <w:p w14:paraId="526451FC" w14:textId="77777777" w:rsidR="008D0565" w:rsidRPr="00D61F73" w:rsidRDefault="008D0565" w:rsidP="00D61F73">
      <w:pPr>
        <w:rPr>
          <w:rFonts w:ascii="Arial" w:hAnsi="Arial" w:cs="Arial"/>
        </w:rPr>
      </w:pPr>
      <w:r w:rsidRPr="00D61F73">
        <w:rPr>
          <w:rFonts w:ascii="Arial" w:hAnsi="Arial" w:cs="Arial"/>
        </w:rPr>
        <w:t xml:space="preserve">PMID: </w:t>
      </w:r>
      <w:hyperlink r:id="rId275" w:history="1">
        <w:r w:rsidRPr="00D61F73">
          <w:rPr>
            <w:rStyle w:val="Hyperlink"/>
            <w:rFonts w:ascii="Arial" w:hAnsi="Arial" w:cs="Arial"/>
          </w:rPr>
          <w:t>17142209</w:t>
        </w:r>
      </w:hyperlink>
    </w:p>
    <w:p w14:paraId="6DAA2163" w14:textId="77777777" w:rsidR="008D0565" w:rsidRPr="00D61F73" w:rsidRDefault="008D0565" w:rsidP="00D61F73">
      <w:pPr>
        <w:rPr>
          <w:rFonts w:ascii="Arial" w:hAnsi="Arial" w:cs="Arial"/>
        </w:rPr>
      </w:pPr>
    </w:p>
    <w:p w14:paraId="32CFC1EF" w14:textId="77777777" w:rsidR="008D0565" w:rsidRPr="00D61F73" w:rsidRDefault="008D0565" w:rsidP="00D61F73">
      <w:pPr>
        <w:rPr>
          <w:rFonts w:ascii="Arial" w:hAnsi="Arial" w:cs="Arial"/>
        </w:rPr>
      </w:pPr>
      <w:r w:rsidRPr="00D61F73">
        <w:rPr>
          <w:rFonts w:ascii="Arial" w:hAnsi="Arial" w:cs="Arial"/>
        </w:rPr>
        <w:t>Rating: 4c</w:t>
      </w:r>
    </w:p>
    <w:p w14:paraId="674FC81C" w14:textId="77777777" w:rsidR="008D0565" w:rsidRPr="00D61F73" w:rsidRDefault="008D0565" w:rsidP="00D61F73">
      <w:pPr>
        <w:rPr>
          <w:rFonts w:ascii="Arial" w:hAnsi="Arial" w:cs="Arial"/>
        </w:rPr>
      </w:pPr>
    </w:p>
    <w:p w14:paraId="7ABCD5A7" w14:textId="77777777" w:rsidR="006F631E" w:rsidRPr="00D61F73" w:rsidRDefault="008D0565" w:rsidP="00D61F73">
      <w:pPr>
        <w:rPr>
          <w:rFonts w:ascii="Arial" w:hAnsi="Arial" w:cs="Arial"/>
        </w:rPr>
      </w:pPr>
      <w:r w:rsidRPr="00D61F73">
        <w:rPr>
          <w:rFonts w:ascii="Arial" w:hAnsi="Arial" w:cs="Arial"/>
        </w:rPr>
        <w:t>Patient Selection Criteria from the study: All enrolled patients had a previous physician-documented diagnosis of chronic soft-tissue injury or neuropathic pain in an upper or lower extremity or the spine that was unresponsive to conventional therapy, such as physical therapy, medications, and transcutaneous electrical nerve stimulation (TENS), and other analgesic electrical stimulator modalities.</w:t>
      </w:r>
    </w:p>
    <w:p w14:paraId="395D4EB2" w14:textId="77777777" w:rsidR="006F631E" w:rsidRPr="00D61F73" w:rsidRDefault="006F631E" w:rsidP="00D61F73">
      <w:pPr>
        <w:rPr>
          <w:rFonts w:ascii="Arial" w:hAnsi="Arial" w:cs="Arial"/>
          <w:b/>
          <w:bCs/>
        </w:rPr>
      </w:pPr>
      <w:r w:rsidRPr="00D61F73">
        <w:rPr>
          <w:rFonts w:ascii="Arial" w:hAnsi="Arial" w:cs="Arial"/>
        </w:rPr>
        <w:br w:type="page"/>
      </w:r>
      <w:bookmarkStart w:id="539" w:name="Blum2"/>
      <w:bookmarkEnd w:id="539"/>
      <w:r w:rsidRPr="00D61F73">
        <w:rPr>
          <w:rFonts w:ascii="Arial" w:hAnsi="Arial" w:cs="Arial"/>
          <w:b/>
          <w:bCs/>
        </w:rPr>
        <w:lastRenderedPageBreak/>
        <w:t xml:space="preserve">Blum K, DiNubile NA, Tekten T, Chen TJ, Waite RL, Schoolfield J, Martinez-Pons M, Callahan MF, Smith TL, Mengucci J, Blum SH, Meshkin B. H-Wave, a nonpharmacologic alternative for the treatment of patients with chronic soft tissue inflammation and neuropathic pain: a preliminary statistical outcome study. </w:t>
      </w:r>
      <w:r w:rsidRPr="00D61F73">
        <w:rPr>
          <w:rFonts w:ascii="Arial" w:hAnsi="Arial" w:cs="Arial"/>
          <w:b/>
          <w:bCs/>
          <w:i/>
          <w:iCs/>
        </w:rPr>
        <w:t>Adv Ther</w:t>
      </w:r>
      <w:r w:rsidRPr="00D61F73">
        <w:rPr>
          <w:rFonts w:ascii="Arial" w:hAnsi="Arial" w:cs="Arial"/>
          <w:b/>
          <w:bCs/>
        </w:rPr>
        <w:t xml:space="preserve">. 2006 May-Jun;23(3):446-55. </w:t>
      </w:r>
    </w:p>
    <w:p w14:paraId="4BA0D336" w14:textId="77777777" w:rsidR="006F631E" w:rsidRPr="00D61F73" w:rsidRDefault="006F631E" w:rsidP="00D61F73">
      <w:pPr>
        <w:rPr>
          <w:rFonts w:ascii="Arial" w:hAnsi="Arial" w:cs="Arial"/>
        </w:rPr>
      </w:pPr>
    </w:p>
    <w:p w14:paraId="73D3A292" w14:textId="77777777" w:rsidR="006F631E" w:rsidRPr="00D61F73" w:rsidRDefault="006F631E" w:rsidP="00D61F73">
      <w:pPr>
        <w:rPr>
          <w:rFonts w:ascii="Arial" w:hAnsi="Arial" w:cs="Arial"/>
        </w:rPr>
      </w:pPr>
      <w:r w:rsidRPr="00D61F73">
        <w:rPr>
          <w:rFonts w:ascii="Arial" w:hAnsi="Arial" w:cs="Arial"/>
        </w:rPr>
        <w:t xml:space="preserve">PMID: </w:t>
      </w:r>
      <w:hyperlink r:id="rId276" w:history="1">
        <w:r w:rsidRPr="00D61F73">
          <w:rPr>
            <w:rStyle w:val="Hyperlink"/>
            <w:rFonts w:ascii="Arial" w:hAnsi="Arial" w:cs="Arial"/>
          </w:rPr>
          <w:t>16912027</w:t>
        </w:r>
      </w:hyperlink>
    </w:p>
    <w:p w14:paraId="1910A0B8" w14:textId="77777777" w:rsidR="006F631E" w:rsidRPr="00D61F73" w:rsidRDefault="006F631E" w:rsidP="00D61F73">
      <w:pPr>
        <w:rPr>
          <w:rFonts w:ascii="Arial" w:hAnsi="Arial" w:cs="Arial"/>
        </w:rPr>
      </w:pPr>
    </w:p>
    <w:p w14:paraId="2DF2790E" w14:textId="77777777" w:rsidR="006F631E" w:rsidRPr="00D61F73" w:rsidRDefault="006F631E" w:rsidP="00D61F73">
      <w:pPr>
        <w:rPr>
          <w:rFonts w:ascii="Arial" w:hAnsi="Arial" w:cs="Arial"/>
        </w:rPr>
      </w:pPr>
      <w:r w:rsidRPr="00D61F73">
        <w:rPr>
          <w:rFonts w:ascii="Arial" w:hAnsi="Arial" w:cs="Arial"/>
        </w:rPr>
        <w:t>Rating: 4c</w:t>
      </w:r>
    </w:p>
    <w:p w14:paraId="4A1AC921" w14:textId="77777777" w:rsidR="008D0565" w:rsidRPr="00D61F73" w:rsidRDefault="008D0565" w:rsidP="00D61F73">
      <w:pPr>
        <w:rPr>
          <w:rFonts w:ascii="Arial" w:hAnsi="Arial" w:cs="Arial"/>
        </w:rPr>
      </w:pPr>
    </w:p>
    <w:p w14:paraId="00A2D5E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540" w:name="Blum3"/>
      <w:bookmarkEnd w:id="540"/>
      <w:r w:rsidRPr="00D61F73">
        <w:rPr>
          <w:rFonts w:ascii="Arial" w:hAnsi="Arial" w:cs="Arial"/>
          <w:b/>
        </w:rPr>
        <w:t xml:space="preserve">lum K, Chen AL, Chen TJ, Prihoda TJ, Schoolfield J, Dinubile N, Waite RL, Arcuri V, Kerner M, Braverman ER, Rhoades P, Tung H. The H-Wave(R) device is an effective and safe non-pharmacological analgesic for chronic pain: a meta-analysis. </w:t>
      </w:r>
      <w:r w:rsidRPr="00D61F73">
        <w:rPr>
          <w:rFonts w:ascii="Arial" w:hAnsi="Arial" w:cs="Arial"/>
          <w:b/>
          <w:i/>
          <w:iCs/>
        </w:rPr>
        <w:t>Adv Ther.</w:t>
      </w:r>
      <w:r w:rsidRPr="00D61F73">
        <w:rPr>
          <w:rFonts w:ascii="Arial" w:hAnsi="Arial" w:cs="Arial"/>
          <w:b/>
        </w:rPr>
        <w:t xml:space="preserve"> 2008 Jul;25(7):644-57.</w:t>
      </w:r>
    </w:p>
    <w:p w14:paraId="01F59DE6" w14:textId="77777777" w:rsidR="008D0565" w:rsidRPr="00D61F73" w:rsidRDefault="008D0565" w:rsidP="00D61F73">
      <w:pPr>
        <w:rPr>
          <w:rFonts w:ascii="Arial" w:hAnsi="Arial" w:cs="Arial"/>
          <w:bCs/>
        </w:rPr>
      </w:pPr>
    </w:p>
    <w:p w14:paraId="46B727E5" w14:textId="77777777" w:rsidR="008D0565" w:rsidRPr="00D61F73" w:rsidRDefault="008D0565" w:rsidP="00D61F73">
      <w:pPr>
        <w:rPr>
          <w:rFonts w:ascii="Arial" w:hAnsi="Arial" w:cs="Arial"/>
          <w:bCs/>
        </w:rPr>
      </w:pPr>
      <w:r w:rsidRPr="00D61F73">
        <w:rPr>
          <w:rFonts w:ascii="Arial" w:hAnsi="Arial" w:cs="Arial"/>
          <w:bCs/>
        </w:rPr>
        <w:t xml:space="preserve">PMID: </w:t>
      </w:r>
      <w:hyperlink r:id="rId277" w:history="1">
        <w:r w:rsidRPr="00D61F73">
          <w:rPr>
            <w:rStyle w:val="Hyperlink"/>
            <w:rFonts w:ascii="Arial" w:hAnsi="Arial" w:cs="Arial"/>
            <w:bCs/>
          </w:rPr>
          <w:t>18636234</w:t>
        </w:r>
      </w:hyperlink>
    </w:p>
    <w:p w14:paraId="7B824906" w14:textId="77777777" w:rsidR="008D0565" w:rsidRPr="00D61F73" w:rsidRDefault="008D0565" w:rsidP="00D61F73">
      <w:pPr>
        <w:rPr>
          <w:rFonts w:ascii="Arial" w:hAnsi="Arial" w:cs="Arial"/>
          <w:bCs/>
        </w:rPr>
      </w:pPr>
    </w:p>
    <w:p w14:paraId="5038720D" w14:textId="77777777" w:rsidR="008D0565" w:rsidRPr="00D61F73" w:rsidRDefault="008D0565" w:rsidP="00D61F73">
      <w:pPr>
        <w:rPr>
          <w:rFonts w:ascii="Arial" w:hAnsi="Arial" w:cs="Arial"/>
          <w:bCs/>
        </w:rPr>
      </w:pPr>
      <w:r w:rsidRPr="00D61F73">
        <w:rPr>
          <w:rFonts w:ascii="Arial" w:hAnsi="Arial" w:cs="Arial"/>
          <w:bCs/>
        </w:rPr>
        <w:t>Rating: 1c</w:t>
      </w:r>
    </w:p>
    <w:p w14:paraId="207C34C4" w14:textId="77777777" w:rsidR="008D0565" w:rsidRPr="00D61F73" w:rsidRDefault="008D0565" w:rsidP="00D61F73">
      <w:pPr>
        <w:rPr>
          <w:rFonts w:ascii="Arial" w:hAnsi="Arial" w:cs="Arial"/>
          <w:bCs/>
        </w:rPr>
      </w:pPr>
    </w:p>
    <w:p w14:paraId="58010716" w14:textId="77777777" w:rsidR="008D0565" w:rsidRPr="00D61F73" w:rsidRDefault="008D0565" w:rsidP="00D61F73">
      <w:pPr>
        <w:rPr>
          <w:rFonts w:ascii="Arial" w:hAnsi="Arial" w:cs="Arial"/>
          <w:bCs/>
        </w:rPr>
      </w:pPr>
      <w:r w:rsidRPr="00D61F73">
        <w:rPr>
          <w:rFonts w:ascii="Arial" w:hAnsi="Arial" w:cs="Arial"/>
          <w:bCs/>
        </w:rPr>
        <w:t>Note: The low quality rating for this “meta-analysis” is primarily because the numbers were dominated by results from studies that were not prospective randomized controlled trials. For reported results concerning "Reduction in pain medication" and "Increased functionality," the meta-analysis relied 100% on the Blum 2006 studies. For reported results concerning "Reduction in pain," there were 4 studies, with 3 small prospective studies that looked only at diabetic neuropathy, plus the Blum 2006 study, but the Blum study accounted for 92% of the effect size sample for this measurement. The study also says, “RCTs were found to have a signifcantly lower effect size.” The Blum 2006 studies that dominate this meta-analysis were retrospective observational studies using a patient survey, the H-Wave Customer Service Questionnaire, without a prospective control group. According to this meta-analysis, "double-blinded studies of the H-Wave device are currently underway and results will be awaited with interest." The study author is an outside independent consultant of Electronic Waveform Lab, Inc.</w:t>
      </w:r>
    </w:p>
    <w:p w14:paraId="3A79C690" w14:textId="77777777" w:rsidR="00AB7792" w:rsidRPr="00D61F73" w:rsidRDefault="00AB7792" w:rsidP="00D61F73">
      <w:pPr>
        <w:rPr>
          <w:rFonts w:ascii="Arial" w:hAnsi="Arial" w:cs="Arial"/>
          <w:b/>
          <w:bCs/>
        </w:rPr>
      </w:pPr>
      <w:r w:rsidRPr="00D61F73">
        <w:rPr>
          <w:rFonts w:ascii="Arial" w:hAnsi="Arial" w:cs="Arial"/>
          <w:bCs/>
        </w:rPr>
        <w:br w:type="page"/>
      </w:r>
      <w:r w:rsidRPr="00D61F73">
        <w:rPr>
          <w:rFonts w:ascii="Arial" w:hAnsi="Arial" w:cs="Arial"/>
          <w:b/>
          <w:bCs/>
        </w:rPr>
        <w:lastRenderedPageBreak/>
        <w:t>B</w:t>
      </w:r>
      <w:bookmarkStart w:id="541" w:name="Blum2009"/>
      <w:bookmarkEnd w:id="541"/>
      <w:r w:rsidRPr="00D61F73">
        <w:rPr>
          <w:rFonts w:ascii="Arial" w:hAnsi="Arial" w:cs="Arial"/>
          <w:b/>
          <w:bCs/>
        </w:rPr>
        <w:t xml:space="preserve">lum K, Chen AL, Chen TJ, Waite RL, Downs BW, Braverman ER, Kerner MM, Savarimuthu SM, DiNubile N. Repetitive H-wave device stimulation and program induces significant increases in the range of motion of post operative rotator cuff reconstruction in a double-blinded randomized placebo controlled human study. </w:t>
      </w:r>
      <w:r w:rsidRPr="00D61F73">
        <w:rPr>
          <w:rFonts w:ascii="Arial" w:hAnsi="Arial" w:cs="Arial"/>
          <w:b/>
          <w:bCs/>
          <w:i/>
        </w:rPr>
        <w:t>BMC Musculoskelet Disord</w:t>
      </w:r>
      <w:r w:rsidRPr="00D61F73">
        <w:rPr>
          <w:rFonts w:ascii="Arial" w:hAnsi="Arial" w:cs="Arial"/>
          <w:b/>
          <w:bCs/>
        </w:rPr>
        <w:t>. 2009 Oct 29;10:132. doi: 10.1186/1471-2474-10-132.</w:t>
      </w:r>
    </w:p>
    <w:p w14:paraId="6CC3478B" w14:textId="77777777" w:rsidR="00AB7792" w:rsidRPr="00D61F73" w:rsidRDefault="00AB7792" w:rsidP="00D61F73">
      <w:pPr>
        <w:rPr>
          <w:rFonts w:ascii="Arial" w:hAnsi="Arial" w:cs="Arial"/>
          <w:bCs/>
        </w:rPr>
      </w:pPr>
    </w:p>
    <w:p w14:paraId="1A9C9968" w14:textId="77777777" w:rsidR="00AB7792" w:rsidRPr="00D61F73" w:rsidRDefault="00AB7792" w:rsidP="00D61F73">
      <w:pPr>
        <w:rPr>
          <w:rFonts w:ascii="Arial" w:hAnsi="Arial" w:cs="Arial"/>
          <w:bCs/>
        </w:rPr>
      </w:pPr>
      <w:r w:rsidRPr="00D61F73">
        <w:rPr>
          <w:rFonts w:ascii="Arial" w:hAnsi="Arial" w:cs="Arial"/>
          <w:bCs/>
        </w:rPr>
        <w:t xml:space="preserve">PMID: </w:t>
      </w:r>
      <w:hyperlink r:id="rId278" w:history="1">
        <w:r w:rsidRPr="00D61F73">
          <w:rPr>
            <w:rStyle w:val="Hyperlink"/>
            <w:rFonts w:ascii="Arial" w:hAnsi="Arial" w:cs="Arial"/>
            <w:bCs/>
          </w:rPr>
          <w:t>19874593</w:t>
        </w:r>
      </w:hyperlink>
    </w:p>
    <w:p w14:paraId="04B5F2A4" w14:textId="77777777" w:rsidR="00AB7792" w:rsidRPr="00D61F73" w:rsidRDefault="00AB7792" w:rsidP="00D61F73">
      <w:pPr>
        <w:rPr>
          <w:rFonts w:ascii="Arial" w:hAnsi="Arial" w:cs="Arial"/>
          <w:bCs/>
        </w:rPr>
      </w:pPr>
    </w:p>
    <w:p w14:paraId="532A3879" w14:textId="77777777" w:rsidR="00AB7792" w:rsidRPr="00D61F73" w:rsidRDefault="00AB7792" w:rsidP="00D61F73">
      <w:pPr>
        <w:rPr>
          <w:rFonts w:ascii="Arial" w:hAnsi="Arial" w:cs="Arial"/>
          <w:bCs/>
        </w:rPr>
      </w:pPr>
      <w:r w:rsidRPr="00D61F73">
        <w:rPr>
          <w:rFonts w:ascii="Arial" w:hAnsi="Arial" w:cs="Arial"/>
          <w:bCs/>
        </w:rPr>
        <w:t>Rating: 2c</w:t>
      </w:r>
    </w:p>
    <w:p w14:paraId="15C54AF5" w14:textId="77777777" w:rsidR="008D0565" w:rsidRPr="00D61F73" w:rsidRDefault="00AB7792" w:rsidP="00D61F73">
      <w:pPr>
        <w:rPr>
          <w:rFonts w:ascii="Arial" w:hAnsi="Arial" w:cs="Arial"/>
          <w:b/>
        </w:rPr>
      </w:pPr>
      <w:r w:rsidRPr="00D61F73">
        <w:rPr>
          <w:rFonts w:ascii="Arial" w:hAnsi="Arial" w:cs="Arial"/>
          <w:bCs/>
        </w:rPr>
        <w:t xml:space="preserve"> </w:t>
      </w:r>
      <w:r w:rsidR="008D0565" w:rsidRPr="00D61F73">
        <w:rPr>
          <w:rFonts w:ascii="Arial" w:hAnsi="Arial" w:cs="Arial"/>
          <w:bCs/>
        </w:rPr>
        <w:br w:type="page"/>
      </w:r>
      <w:r w:rsidR="008D0565" w:rsidRPr="00D61F73">
        <w:rPr>
          <w:rFonts w:ascii="Arial" w:hAnsi="Arial" w:cs="Arial"/>
          <w:b/>
        </w:rPr>
        <w:lastRenderedPageBreak/>
        <w:t>B</w:t>
      </w:r>
      <w:bookmarkStart w:id="542" w:name="Bocanegra"/>
      <w:bookmarkEnd w:id="542"/>
      <w:r w:rsidR="008D0565" w:rsidRPr="00D61F73">
        <w:rPr>
          <w:rFonts w:ascii="Arial" w:hAnsi="Arial" w:cs="Arial"/>
          <w:b/>
        </w:rPr>
        <w:t xml:space="preserve">ocanegra TS, Weaver AL, Tindall EA, Sikes DH, Ball JA, Wallemark CB, Geis GS, Fort JG. Diclofenac/misoprostol compared with diclofenac in the treatment of osteoarthritis of the knee or hip: a randomized, placebo controlled trial. Arthrotec Osteoarthritis Study Group. </w:t>
      </w:r>
      <w:r w:rsidR="008D0565" w:rsidRPr="00D61F73">
        <w:rPr>
          <w:rFonts w:ascii="Arial" w:hAnsi="Arial" w:cs="Arial"/>
          <w:b/>
          <w:i/>
        </w:rPr>
        <w:t>J Rheumatol.</w:t>
      </w:r>
      <w:r w:rsidR="008D0565" w:rsidRPr="00D61F73">
        <w:rPr>
          <w:rFonts w:ascii="Arial" w:hAnsi="Arial" w:cs="Arial"/>
          <w:b/>
        </w:rPr>
        <w:t xml:space="preserve"> 1998;25:1602-11.</w:t>
      </w:r>
    </w:p>
    <w:p w14:paraId="4CD95A0B" w14:textId="77777777" w:rsidR="008D0565" w:rsidRPr="00D61F73" w:rsidRDefault="008D0565" w:rsidP="00D61F73">
      <w:pPr>
        <w:rPr>
          <w:rFonts w:ascii="Arial" w:hAnsi="Arial" w:cs="Arial"/>
          <w:b/>
        </w:rPr>
      </w:pPr>
    </w:p>
    <w:p w14:paraId="496024F2" w14:textId="77777777" w:rsidR="008D0565" w:rsidRPr="00D61F73" w:rsidRDefault="008D0565" w:rsidP="00D61F73">
      <w:pPr>
        <w:rPr>
          <w:rFonts w:ascii="Arial" w:hAnsi="Arial" w:cs="Arial"/>
        </w:rPr>
      </w:pPr>
      <w:r w:rsidRPr="00D61F73">
        <w:rPr>
          <w:rFonts w:ascii="Arial" w:hAnsi="Arial" w:cs="Arial"/>
        </w:rPr>
        <w:t>CONCLUSION: Diclofenac 50 mg/misoprostol 200 microg t.i.d. and diclofenac 75 mg/misoprostol 200 microg b.i.d. are as efficacious as diclofenac 75 mg b.i.d. in the treatment of OA, but are associated with a significantly lower incidence of gastric and/or duodenal ulcers.</w:t>
      </w:r>
    </w:p>
    <w:p w14:paraId="087646A9" w14:textId="77777777" w:rsidR="008D0565" w:rsidRPr="00D61F73" w:rsidRDefault="008D0565" w:rsidP="00D61F73">
      <w:pPr>
        <w:rPr>
          <w:rFonts w:ascii="Arial" w:hAnsi="Arial" w:cs="Arial"/>
        </w:rPr>
      </w:pPr>
    </w:p>
    <w:p w14:paraId="3C8186B4" w14:textId="77777777" w:rsidR="008D0565" w:rsidRPr="00D61F73" w:rsidRDefault="008D0565" w:rsidP="00D61F73">
      <w:pPr>
        <w:rPr>
          <w:rFonts w:ascii="Arial" w:hAnsi="Arial" w:cs="Arial"/>
          <w:b/>
        </w:rPr>
      </w:pPr>
      <w:r w:rsidRPr="00D61F73">
        <w:rPr>
          <w:rFonts w:ascii="Arial" w:hAnsi="Arial" w:cs="Arial"/>
        </w:rPr>
        <w:t xml:space="preserve">PMID: </w:t>
      </w:r>
      <w:hyperlink r:id="rId279" w:history="1">
        <w:r w:rsidRPr="00D61F73">
          <w:rPr>
            <w:rStyle w:val="Hyperlink"/>
            <w:rFonts w:ascii="Arial" w:hAnsi="Arial" w:cs="Arial"/>
          </w:rPr>
          <w:t>9712107</w:t>
        </w:r>
      </w:hyperlink>
      <w:r w:rsidRPr="00D61F73">
        <w:rPr>
          <w:rFonts w:ascii="Arial" w:hAnsi="Arial" w:cs="Arial"/>
          <w:b/>
        </w:rPr>
        <w:t xml:space="preserve"> </w:t>
      </w:r>
    </w:p>
    <w:p w14:paraId="501981E7" w14:textId="77777777" w:rsidR="008D0565" w:rsidRPr="00D61F73" w:rsidRDefault="008D0565" w:rsidP="00D61F73">
      <w:pPr>
        <w:rPr>
          <w:rFonts w:ascii="Arial" w:hAnsi="Arial" w:cs="Arial"/>
          <w:b/>
        </w:rPr>
      </w:pPr>
    </w:p>
    <w:p w14:paraId="7D9964F0" w14:textId="77777777" w:rsidR="008D0565" w:rsidRPr="00D61F73" w:rsidRDefault="008D0565" w:rsidP="00D61F73">
      <w:pPr>
        <w:rPr>
          <w:rFonts w:ascii="Arial" w:hAnsi="Arial" w:cs="Arial"/>
        </w:rPr>
      </w:pPr>
      <w:r w:rsidRPr="00D61F73">
        <w:rPr>
          <w:rFonts w:ascii="Arial" w:hAnsi="Arial" w:cs="Arial"/>
        </w:rPr>
        <w:t>Rating: 2a</w:t>
      </w:r>
    </w:p>
    <w:p w14:paraId="00C24C38" w14:textId="77777777" w:rsidR="008D0565" w:rsidRPr="00D61F73" w:rsidRDefault="008D0565" w:rsidP="00D61F73">
      <w:pPr>
        <w:rPr>
          <w:rFonts w:ascii="Arial" w:hAnsi="Arial" w:cs="Arial"/>
        </w:rPr>
      </w:pPr>
      <w:r w:rsidRPr="00D61F73">
        <w:rPr>
          <w:rFonts w:ascii="Arial" w:hAnsi="Arial" w:cs="Arial"/>
          <w:b/>
        </w:rPr>
        <w:br w:type="page"/>
      </w:r>
      <w:r w:rsidRPr="00D61F73">
        <w:rPr>
          <w:rFonts w:ascii="Arial" w:hAnsi="Arial" w:cs="Arial"/>
          <w:b/>
        </w:rPr>
        <w:lastRenderedPageBreak/>
        <w:t>B</w:t>
      </w:r>
      <w:bookmarkStart w:id="543" w:name="Bolona"/>
      <w:bookmarkEnd w:id="543"/>
      <w:r w:rsidRPr="00D61F73">
        <w:rPr>
          <w:rFonts w:ascii="Arial" w:hAnsi="Arial" w:cs="Arial"/>
          <w:b/>
        </w:rPr>
        <w:t xml:space="preserve">olona ER, Uraga MV, Haddad RM, Tracz MJ, Sideras K, Kennedy CC, Caples SM, Erwin PJ, Montori VM. Testosterone use in men with sexual dysfunction: a systematic review and meta-analysis of randomized placebo-controlled trials. </w:t>
      </w:r>
      <w:r w:rsidRPr="00D61F73">
        <w:rPr>
          <w:rFonts w:ascii="Arial" w:hAnsi="Arial" w:cs="Arial"/>
          <w:b/>
          <w:i/>
        </w:rPr>
        <w:t>Mayo Clin Proc</w:t>
      </w:r>
      <w:r w:rsidRPr="00D61F73">
        <w:rPr>
          <w:rFonts w:ascii="Arial" w:hAnsi="Arial" w:cs="Arial"/>
          <w:b/>
        </w:rPr>
        <w:t>. 2007;82:20-8.</w:t>
      </w:r>
    </w:p>
    <w:p w14:paraId="38F2ABBA" w14:textId="77777777" w:rsidR="008D0565" w:rsidRPr="00D61F73" w:rsidRDefault="008D0565" w:rsidP="00D61F73">
      <w:pPr>
        <w:rPr>
          <w:rFonts w:ascii="Arial" w:hAnsi="Arial" w:cs="Arial"/>
        </w:rPr>
      </w:pPr>
    </w:p>
    <w:p w14:paraId="50B2DEEE" w14:textId="77777777" w:rsidR="008D0565" w:rsidRPr="00D61F73" w:rsidRDefault="008D0565" w:rsidP="00D61F73">
      <w:pPr>
        <w:rPr>
          <w:rFonts w:ascii="Arial" w:hAnsi="Arial" w:cs="Arial"/>
        </w:rPr>
      </w:pPr>
      <w:r w:rsidRPr="00D61F73">
        <w:rPr>
          <w:rFonts w:ascii="Arial" w:hAnsi="Arial" w:cs="Arial"/>
        </w:rPr>
        <w:t>Testosterone use in men is associated with small improvements in satisfaction with erectile function and moderate improvements in libido. Unexplained inconsistent results across trials, wide CIs, and possible reporting bias weaken these inferences.</w:t>
      </w:r>
    </w:p>
    <w:p w14:paraId="791F2607" w14:textId="77777777" w:rsidR="008D0565" w:rsidRPr="00D61F73" w:rsidRDefault="008D0565" w:rsidP="00D61F73">
      <w:pPr>
        <w:rPr>
          <w:rFonts w:ascii="Arial" w:hAnsi="Arial" w:cs="Arial"/>
        </w:rPr>
      </w:pPr>
    </w:p>
    <w:p w14:paraId="3B02C504" w14:textId="77777777" w:rsidR="008D0565" w:rsidRPr="00D61F73" w:rsidRDefault="008D0565" w:rsidP="00D61F73">
      <w:pPr>
        <w:rPr>
          <w:rFonts w:ascii="Arial" w:hAnsi="Arial" w:cs="Arial"/>
        </w:rPr>
      </w:pPr>
      <w:r w:rsidRPr="00D61F73">
        <w:rPr>
          <w:rFonts w:ascii="Arial" w:hAnsi="Arial" w:cs="Arial"/>
        </w:rPr>
        <w:t xml:space="preserve">PMID: </w:t>
      </w:r>
      <w:hyperlink r:id="rId280" w:history="1">
        <w:r w:rsidRPr="00D61F73">
          <w:rPr>
            <w:rStyle w:val="Hyperlink"/>
            <w:rFonts w:ascii="Arial" w:hAnsi="Arial" w:cs="Arial"/>
          </w:rPr>
          <w:t>17285782</w:t>
        </w:r>
      </w:hyperlink>
    </w:p>
    <w:p w14:paraId="744D08A3" w14:textId="77777777" w:rsidR="008D0565" w:rsidRPr="00D61F73" w:rsidRDefault="008D0565" w:rsidP="00D61F73">
      <w:pPr>
        <w:rPr>
          <w:rFonts w:ascii="Arial" w:hAnsi="Arial" w:cs="Arial"/>
        </w:rPr>
      </w:pPr>
    </w:p>
    <w:p w14:paraId="4A513B6B" w14:textId="77777777" w:rsidR="008D0565" w:rsidRPr="00D61F73" w:rsidRDefault="008D0565" w:rsidP="00D61F73">
      <w:pPr>
        <w:rPr>
          <w:rFonts w:ascii="Arial" w:hAnsi="Arial" w:cs="Arial"/>
        </w:rPr>
      </w:pPr>
      <w:r w:rsidRPr="00D61F73">
        <w:rPr>
          <w:rFonts w:ascii="Arial" w:hAnsi="Arial" w:cs="Arial"/>
        </w:rPr>
        <w:t>Rating: 1a</w:t>
      </w:r>
    </w:p>
    <w:p w14:paraId="2961486C" w14:textId="77777777" w:rsidR="008D0565" w:rsidRPr="00D61F73" w:rsidRDefault="008D0565" w:rsidP="00D61F73">
      <w:pPr>
        <w:rPr>
          <w:rFonts w:ascii="Arial" w:hAnsi="Arial" w:cs="Arial"/>
        </w:rPr>
      </w:pPr>
    </w:p>
    <w:p w14:paraId="142414D4"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544" w:name="Boothby"/>
      <w:bookmarkEnd w:id="544"/>
      <w:r w:rsidRPr="00D61F73">
        <w:rPr>
          <w:rFonts w:ascii="Arial" w:hAnsi="Arial" w:cs="Arial"/>
          <w:b/>
        </w:rPr>
        <w:t xml:space="preserve">oothby LA, Doering PL, Halton RC. Carisoprodol: A marginally effective skeletal muscle relaxant with serious abuse potential. </w:t>
      </w:r>
      <w:r w:rsidRPr="00D61F73">
        <w:rPr>
          <w:rFonts w:ascii="Arial" w:hAnsi="Arial" w:cs="Arial"/>
          <w:b/>
          <w:i/>
        </w:rPr>
        <w:t>Hospital Pharmacy</w:t>
      </w:r>
      <w:r w:rsidRPr="00D61F73">
        <w:rPr>
          <w:rFonts w:ascii="Arial" w:hAnsi="Arial" w:cs="Arial"/>
          <w:b/>
        </w:rPr>
        <w:t>. 2003;38:337-45.</w:t>
      </w:r>
    </w:p>
    <w:p w14:paraId="473FC854" w14:textId="77777777" w:rsidR="008D0565" w:rsidRPr="00D61F73" w:rsidRDefault="008D0565" w:rsidP="00D61F73">
      <w:pPr>
        <w:rPr>
          <w:rFonts w:ascii="Arial" w:hAnsi="Arial" w:cs="Arial"/>
          <w:b/>
        </w:rPr>
      </w:pPr>
    </w:p>
    <w:p w14:paraId="74F52B02" w14:textId="77777777" w:rsidR="008D0565" w:rsidRPr="00D61F73" w:rsidRDefault="008D0565" w:rsidP="00D61F73">
      <w:pPr>
        <w:rPr>
          <w:rFonts w:ascii="Arial" w:hAnsi="Arial" w:cs="Arial"/>
        </w:rPr>
      </w:pPr>
      <w:r w:rsidRPr="00D61F73">
        <w:rPr>
          <w:rFonts w:ascii="Arial" w:hAnsi="Arial" w:cs="Arial"/>
        </w:rPr>
        <w:t>Rating: 9b</w:t>
      </w:r>
    </w:p>
    <w:p w14:paraId="7C7FEC86"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45" w:name="Borchers2013"/>
      <w:bookmarkEnd w:id="545"/>
      <w:r w:rsidRPr="00D61F73">
        <w:rPr>
          <w:rFonts w:ascii="Arial" w:hAnsi="Arial" w:cs="Arial"/>
          <w:b/>
          <w:bCs/>
        </w:rPr>
        <w:t xml:space="preserve">orchers AT, Gershwin ME. Complex regional pain syndrome: A comprehensive and critical review. </w:t>
      </w:r>
      <w:r w:rsidRPr="00D61F73">
        <w:rPr>
          <w:rFonts w:ascii="Arial" w:hAnsi="Arial" w:cs="Arial"/>
          <w:b/>
          <w:bCs/>
          <w:i/>
          <w:iCs/>
        </w:rPr>
        <w:t>Autoimmun Rev</w:t>
      </w:r>
      <w:r w:rsidRPr="00D61F73">
        <w:rPr>
          <w:rFonts w:ascii="Arial" w:hAnsi="Arial" w:cs="Arial"/>
          <w:b/>
          <w:bCs/>
        </w:rPr>
        <w:t xml:space="preserve">. 2013 Oct 23. pii: S1568-9972(13)00181-X. doi: 10.1016/j.autrev.2013.10.006. </w:t>
      </w:r>
    </w:p>
    <w:p w14:paraId="52A1DA2C" w14:textId="77777777" w:rsidR="008D0565" w:rsidRPr="00D61F73" w:rsidRDefault="008D0565" w:rsidP="00D61F73">
      <w:pPr>
        <w:rPr>
          <w:rFonts w:ascii="Arial" w:hAnsi="Arial" w:cs="Arial"/>
        </w:rPr>
      </w:pPr>
    </w:p>
    <w:p w14:paraId="263BAFD0"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281" w:history="1">
        <w:r w:rsidRPr="00D61F73">
          <w:rPr>
            <w:rStyle w:val="Hyperlink"/>
            <w:rFonts w:ascii="Arial" w:hAnsi="Arial" w:cs="Arial"/>
          </w:rPr>
          <w:t>24161450</w:t>
        </w:r>
      </w:hyperlink>
    </w:p>
    <w:p w14:paraId="5AD492A1" w14:textId="77777777" w:rsidR="008D0565" w:rsidRPr="00D61F73" w:rsidRDefault="008D0565" w:rsidP="00D61F73">
      <w:pPr>
        <w:rPr>
          <w:rFonts w:ascii="Arial" w:hAnsi="Arial" w:cs="Arial"/>
        </w:rPr>
      </w:pPr>
    </w:p>
    <w:p w14:paraId="280A230D" w14:textId="77777777" w:rsidR="008D0565" w:rsidRPr="00D61F73" w:rsidRDefault="008D0565" w:rsidP="00D61F73">
      <w:pPr>
        <w:rPr>
          <w:rFonts w:ascii="Arial" w:hAnsi="Arial" w:cs="Arial"/>
        </w:rPr>
      </w:pPr>
      <w:r w:rsidRPr="00D61F73">
        <w:rPr>
          <w:rFonts w:ascii="Arial" w:hAnsi="Arial" w:cs="Arial"/>
        </w:rPr>
        <w:t>Rating: 5a</w:t>
      </w:r>
    </w:p>
    <w:p w14:paraId="27EF672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lang w:val="fr-FR"/>
        </w:rPr>
        <w:lastRenderedPageBreak/>
        <w:t>B</w:t>
      </w:r>
      <w:bookmarkStart w:id="546" w:name="BorgStein"/>
      <w:bookmarkEnd w:id="546"/>
      <w:r w:rsidRPr="00D61F73">
        <w:rPr>
          <w:rFonts w:ascii="Arial" w:hAnsi="Arial" w:cs="Arial"/>
          <w:b/>
          <w:lang w:val="fr-FR"/>
        </w:rPr>
        <w:t>o</w:t>
      </w:r>
      <w:bookmarkStart w:id="547" w:name="Borg"/>
      <w:bookmarkEnd w:id="547"/>
      <w:r w:rsidRPr="00D61F73">
        <w:rPr>
          <w:rFonts w:ascii="Arial" w:hAnsi="Arial" w:cs="Arial"/>
          <w:b/>
          <w:lang w:val="fr-FR"/>
        </w:rPr>
        <w:t xml:space="preserve">rg-Stein J, Simons DG. </w:t>
      </w:r>
      <w:r w:rsidRPr="00D61F73">
        <w:rPr>
          <w:rFonts w:ascii="Arial" w:hAnsi="Arial" w:cs="Arial"/>
          <w:b/>
        </w:rPr>
        <w:t xml:space="preserve">Focused review: myofascial pain. </w:t>
      </w:r>
      <w:r w:rsidRPr="00D61F73">
        <w:rPr>
          <w:rFonts w:ascii="Arial" w:hAnsi="Arial" w:cs="Arial"/>
          <w:b/>
          <w:i/>
        </w:rPr>
        <w:t>Arch Phys Med Rehabil</w:t>
      </w:r>
      <w:r w:rsidRPr="00D61F73">
        <w:rPr>
          <w:rFonts w:ascii="Arial" w:hAnsi="Arial" w:cs="Arial"/>
          <w:b/>
        </w:rPr>
        <w:t>. 2002 Mar;83(3 Suppl 1):S40-7, S48-9.</w:t>
      </w:r>
    </w:p>
    <w:p w14:paraId="26558E00" w14:textId="77777777" w:rsidR="008D0565" w:rsidRPr="00D61F73" w:rsidRDefault="008D0565" w:rsidP="00D61F73">
      <w:pPr>
        <w:rPr>
          <w:rFonts w:ascii="Arial" w:hAnsi="Arial" w:cs="Arial"/>
        </w:rPr>
      </w:pPr>
    </w:p>
    <w:p w14:paraId="3B356460" w14:textId="77777777" w:rsidR="008D0565" w:rsidRPr="00D61F73" w:rsidRDefault="008D0565" w:rsidP="00D61F73">
      <w:pPr>
        <w:rPr>
          <w:rFonts w:ascii="Arial" w:hAnsi="Arial" w:cs="Arial"/>
        </w:rPr>
      </w:pPr>
      <w:r w:rsidRPr="00D61F73">
        <w:rPr>
          <w:rFonts w:ascii="Arial" w:hAnsi="Arial" w:cs="Arial"/>
        </w:rPr>
        <w:t xml:space="preserve">PMID: </w:t>
      </w:r>
      <w:hyperlink r:id="rId282" w:history="1">
        <w:r w:rsidRPr="00D61F73">
          <w:rPr>
            <w:rStyle w:val="Hyperlink"/>
            <w:rFonts w:ascii="Arial" w:hAnsi="Arial" w:cs="Arial"/>
          </w:rPr>
          <w:t>11973695</w:t>
        </w:r>
      </w:hyperlink>
    </w:p>
    <w:p w14:paraId="0A589091" w14:textId="77777777" w:rsidR="008D0565" w:rsidRPr="00D61F73" w:rsidRDefault="008D0565" w:rsidP="00D61F73">
      <w:pPr>
        <w:rPr>
          <w:rFonts w:ascii="Arial" w:hAnsi="Arial" w:cs="Arial"/>
        </w:rPr>
      </w:pPr>
    </w:p>
    <w:p w14:paraId="02AECE6A" w14:textId="77777777" w:rsidR="008D0565" w:rsidRPr="00D61F73" w:rsidRDefault="008D0565" w:rsidP="00D61F73">
      <w:pPr>
        <w:rPr>
          <w:rFonts w:ascii="Arial" w:hAnsi="Arial" w:cs="Arial"/>
        </w:rPr>
      </w:pPr>
      <w:r w:rsidRPr="00D61F73">
        <w:rPr>
          <w:rFonts w:ascii="Arial" w:hAnsi="Arial" w:cs="Arial"/>
        </w:rPr>
        <w:t>Rating: 5a</w:t>
      </w:r>
    </w:p>
    <w:p w14:paraId="073173C8" w14:textId="77777777" w:rsidR="008D0565" w:rsidRPr="00D61F73" w:rsidRDefault="008D0565" w:rsidP="00D61F73">
      <w:pPr>
        <w:rPr>
          <w:rFonts w:ascii="Arial" w:hAnsi="Arial" w:cs="Arial"/>
        </w:rPr>
      </w:pPr>
    </w:p>
    <w:p w14:paraId="0F3366C6"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48" w:name="Borsook"/>
      <w:bookmarkEnd w:id="548"/>
      <w:r w:rsidRPr="00D61F73">
        <w:rPr>
          <w:rFonts w:ascii="Arial" w:hAnsi="Arial" w:cs="Arial"/>
          <w:b/>
          <w:bCs/>
        </w:rPr>
        <w:t xml:space="preserve">orsook D, Becerra LR. Breaking down the barriers: fMRI applications in pain, analgesia and analgesics. </w:t>
      </w:r>
      <w:r w:rsidRPr="00D61F73">
        <w:rPr>
          <w:rFonts w:ascii="Arial" w:hAnsi="Arial" w:cs="Arial"/>
          <w:b/>
          <w:bCs/>
          <w:i/>
          <w:iCs/>
        </w:rPr>
        <w:t>Mol Pain</w:t>
      </w:r>
      <w:r w:rsidRPr="00D61F73">
        <w:rPr>
          <w:rFonts w:ascii="Arial" w:hAnsi="Arial" w:cs="Arial"/>
          <w:b/>
          <w:bCs/>
        </w:rPr>
        <w:t>. 2006 Sep 18;2:30.</w:t>
      </w:r>
    </w:p>
    <w:p w14:paraId="41FA7D5B" w14:textId="77777777" w:rsidR="008D0565" w:rsidRPr="00D61F73" w:rsidRDefault="008D0565" w:rsidP="00D61F73">
      <w:pPr>
        <w:pStyle w:val="Footer"/>
        <w:tabs>
          <w:tab w:val="clear" w:pos="4320"/>
          <w:tab w:val="clear" w:pos="8640"/>
        </w:tabs>
        <w:rPr>
          <w:rFonts w:ascii="Arial" w:hAnsi="Arial" w:cs="Arial"/>
        </w:rPr>
      </w:pPr>
    </w:p>
    <w:p w14:paraId="41A7E8EF" w14:textId="77777777" w:rsidR="008D0565" w:rsidRPr="00D61F73" w:rsidRDefault="008D0565" w:rsidP="00D61F73">
      <w:pPr>
        <w:rPr>
          <w:rFonts w:ascii="Arial" w:hAnsi="Arial" w:cs="Arial"/>
        </w:rPr>
      </w:pPr>
      <w:r w:rsidRPr="00D61F73">
        <w:rPr>
          <w:rFonts w:ascii="Arial" w:hAnsi="Arial" w:cs="Arial"/>
        </w:rPr>
        <w:t xml:space="preserve">PMID: </w:t>
      </w:r>
      <w:hyperlink r:id="rId283" w:history="1">
        <w:r w:rsidRPr="00D61F73">
          <w:rPr>
            <w:rStyle w:val="Hyperlink"/>
            <w:rFonts w:ascii="Arial" w:hAnsi="Arial" w:cs="Arial"/>
          </w:rPr>
          <w:t>16982005</w:t>
        </w:r>
      </w:hyperlink>
      <w:r w:rsidRPr="00D61F73">
        <w:rPr>
          <w:rFonts w:ascii="Arial" w:hAnsi="Arial" w:cs="Arial"/>
        </w:rPr>
        <w:t xml:space="preserve"> </w:t>
      </w:r>
    </w:p>
    <w:p w14:paraId="619FE4F3" w14:textId="77777777" w:rsidR="008D0565" w:rsidRPr="00D61F73" w:rsidRDefault="008D0565" w:rsidP="00D61F73">
      <w:pPr>
        <w:rPr>
          <w:rFonts w:ascii="Arial" w:hAnsi="Arial" w:cs="Arial"/>
        </w:rPr>
      </w:pPr>
    </w:p>
    <w:p w14:paraId="4E1F2D19" w14:textId="77777777" w:rsidR="008D0565" w:rsidRPr="00D61F73" w:rsidRDefault="008D0565" w:rsidP="00D61F73">
      <w:pPr>
        <w:rPr>
          <w:rFonts w:ascii="Arial" w:hAnsi="Arial" w:cs="Arial"/>
        </w:rPr>
      </w:pPr>
      <w:r w:rsidRPr="00D61F73">
        <w:rPr>
          <w:rFonts w:ascii="Arial" w:hAnsi="Arial" w:cs="Arial"/>
        </w:rPr>
        <w:t>Rating: 5b</w:t>
      </w:r>
    </w:p>
    <w:p w14:paraId="1D11E45D" w14:textId="77777777" w:rsidR="008D0565" w:rsidRPr="00D61F73" w:rsidRDefault="008D0565" w:rsidP="00D61F73">
      <w:pPr>
        <w:rPr>
          <w:rFonts w:ascii="Arial" w:hAnsi="Arial" w:cs="Arial"/>
        </w:rPr>
      </w:pPr>
    </w:p>
    <w:p w14:paraId="527273D0"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49" w:name="Borsook2"/>
      <w:bookmarkEnd w:id="549"/>
      <w:r w:rsidRPr="00D61F73">
        <w:rPr>
          <w:rFonts w:ascii="Arial" w:hAnsi="Arial" w:cs="Arial"/>
          <w:b/>
          <w:bCs/>
        </w:rPr>
        <w:t xml:space="preserve">orsook, D., et al. Neuroimaging revolutionizes therapeutic approaches to chronic pain. </w:t>
      </w:r>
      <w:r w:rsidRPr="00D61F73">
        <w:rPr>
          <w:rFonts w:ascii="Arial" w:hAnsi="Arial" w:cs="Arial"/>
          <w:b/>
          <w:bCs/>
          <w:i/>
          <w:iCs/>
        </w:rPr>
        <w:t>Molecular Pain</w:t>
      </w:r>
      <w:r w:rsidRPr="00D61F73">
        <w:rPr>
          <w:rFonts w:ascii="Arial" w:hAnsi="Arial" w:cs="Arial"/>
          <w:b/>
          <w:bCs/>
        </w:rPr>
        <w:t>. 2000; Volume 3, Number 25.</w:t>
      </w:r>
    </w:p>
    <w:p w14:paraId="0BD1DCF7" w14:textId="77777777" w:rsidR="008D0565" w:rsidRPr="00D61F73" w:rsidRDefault="008D0565" w:rsidP="00D61F73">
      <w:pPr>
        <w:rPr>
          <w:rFonts w:ascii="Arial" w:hAnsi="Arial" w:cs="Arial"/>
        </w:rPr>
      </w:pPr>
    </w:p>
    <w:p w14:paraId="0D16A083" w14:textId="77777777" w:rsidR="00536023" w:rsidRPr="00D61F73" w:rsidRDefault="00536023" w:rsidP="00D61F73">
      <w:pPr>
        <w:rPr>
          <w:rFonts w:ascii="Arial" w:hAnsi="Arial" w:cs="Arial"/>
        </w:rPr>
      </w:pPr>
      <w:r w:rsidRPr="00D61F73">
        <w:rPr>
          <w:rFonts w:ascii="Arial" w:hAnsi="Arial" w:cs="Arial"/>
        </w:rPr>
        <w:t xml:space="preserve">PMID: </w:t>
      </w:r>
      <w:hyperlink r:id="rId284" w:history="1">
        <w:r w:rsidRPr="00D61F73">
          <w:rPr>
            <w:rStyle w:val="Hyperlink"/>
            <w:rFonts w:ascii="Arial" w:hAnsi="Arial" w:cs="Arial"/>
          </w:rPr>
          <w:t>17848191</w:t>
        </w:r>
      </w:hyperlink>
    </w:p>
    <w:p w14:paraId="38187E95" w14:textId="77777777" w:rsidR="00536023" w:rsidRPr="00D61F73" w:rsidRDefault="00536023" w:rsidP="00D61F73">
      <w:pPr>
        <w:rPr>
          <w:rFonts w:ascii="Arial" w:hAnsi="Arial" w:cs="Arial"/>
        </w:rPr>
      </w:pPr>
    </w:p>
    <w:p w14:paraId="1EBCEE6D" w14:textId="77777777" w:rsidR="008D0565" w:rsidRPr="00D61F73" w:rsidRDefault="008D0565" w:rsidP="00D61F73">
      <w:pPr>
        <w:rPr>
          <w:rFonts w:ascii="Arial" w:hAnsi="Arial" w:cs="Arial"/>
        </w:rPr>
      </w:pPr>
      <w:r w:rsidRPr="00D61F73">
        <w:rPr>
          <w:rFonts w:ascii="Arial" w:hAnsi="Arial" w:cs="Arial"/>
        </w:rPr>
        <w:t>Rating: 5c</w:t>
      </w:r>
    </w:p>
    <w:p w14:paraId="51138C56" w14:textId="77777777" w:rsidR="008D0565" w:rsidRPr="00D61F73" w:rsidRDefault="008D0565" w:rsidP="00D61F73">
      <w:pPr>
        <w:rPr>
          <w:rFonts w:ascii="Arial" w:hAnsi="Arial" w:cs="Arial"/>
        </w:rPr>
      </w:pPr>
    </w:p>
    <w:p w14:paraId="75FB96AE" w14:textId="77777777" w:rsidR="008D0565" w:rsidRPr="00D61F73" w:rsidRDefault="008D0565" w:rsidP="00D61F73">
      <w:pPr>
        <w:rPr>
          <w:rFonts w:ascii="Arial" w:hAnsi="Arial" w:cs="Arial"/>
        </w:rPr>
      </w:pPr>
      <w:r w:rsidRPr="00D61F73">
        <w:rPr>
          <w:rFonts w:ascii="Arial" w:hAnsi="Arial" w:cs="Arial"/>
        </w:rPr>
        <w:t xml:space="preserve">Quality: N/A. Total Rating: N/A. Comment: Does not meet inclusion criteria for evidence-based review. </w:t>
      </w:r>
    </w:p>
    <w:p w14:paraId="4FD09070" w14:textId="77777777" w:rsidR="008D0565" w:rsidRPr="00D61F73" w:rsidRDefault="008D0565" w:rsidP="00D61F73">
      <w:pPr>
        <w:rPr>
          <w:rFonts w:ascii="Arial" w:hAnsi="Arial" w:cs="Arial"/>
          <w:b/>
          <w:bCs/>
        </w:rPr>
      </w:pPr>
      <w:r w:rsidRPr="00D61F73">
        <w:rPr>
          <w:rFonts w:ascii="Arial" w:hAnsi="Arial" w:cs="Arial"/>
          <w:b/>
          <w:bCs/>
        </w:rPr>
        <w:br w:type="page"/>
      </w:r>
      <w:bookmarkStart w:id="550" w:name="Boseman"/>
      <w:r w:rsidRPr="00D61F73">
        <w:rPr>
          <w:rFonts w:ascii="Arial" w:hAnsi="Arial" w:cs="Arial"/>
          <w:b/>
          <w:bCs/>
        </w:rPr>
        <w:lastRenderedPageBreak/>
        <w:t>Boseman</w:t>
      </w:r>
      <w:bookmarkEnd w:id="550"/>
      <w:r w:rsidRPr="00D61F73">
        <w:rPr>
          <w:rFonts w:ascii="Arial" w:hAnsi="Arial" w:cs="Arial"/>
          <w:b/>
          <w:bCs/>
        </w:rPr>
        <w:t xml:space="preserve"> J, Disability management. Application of a nurse based model in a large corporation, </w:t>
      </w:r>
      <w:r w:rsidRPr="00D61F73">
        <w:rPr>
          <w:rFonts w:ascii="Arial" w:hAnsi="Arial" w:cs="Arial"/>
          <w:b/>
          <w:bCs/>
          <w:i/>
          <w:iCs/>
        </w:rPr>
        <w:t>AAOHN J</w:t>
      </w:r>
      <w:r w:rsidRPr="00D61F73">
        <w:rPr>
          <w:rFonts w:ascii="Arial" w:hAnsi="Arial" w:cs="Arial"/>
          <w:b/>
          <w:bCs/>
        </w:rPr>
        <w:t xml:space="preserve"> 2001 Apr;49(4):176-86</w:t>
      </w:r>
    </w:p>
    <w:p w14:paraId="0F420304" w14:textId="77777777" w:rsidR="008D0565" w:rsidRPr="00D61F73" w:rsidRDefault="008D0565" w:rsidP="00D61F73">
      <w:pPr>
        <w:rPr>
          <w:rFonts w:ascii="Arial" w:hAnsi="Arial" w:cs="Arial"/>
        </w:rPr>
      </w:pPr>
    </w:p>
    <w:p w14:paraId="727A5A43" w14:textId="77777777" w:rsidR="008D0565" w:rsidRPr="00D61F73" w:rsidRDefault="008D0565" w:rsidP="00D61F73">
      <w:pPr>
        <w:rPr>
          <w:rFonts w:ascii="Arial" w:hAnsi="Arial" w:cs="Arial"/>
        </w:rPr>
      </w:pPr>
      <w:r w:rsidRPr="00D61F73">
        <w:rPr>
          <w:rFonts w:ascii="Arial" w:hAnsi="Arial" w:cs="Arial"/>
        </w:rPr>
        <w:t xml:space="preserve">PMID: </w:t>
      </w:r>
      <w:hyperlink r:id="rId285" w:history="1">
        <w:r w:rsidRPr="00D61F73">
          <w:rPr>
            <w:rStyle w:val="Hyperlink"/>
            <w:rFonts w:ascii="Arial" w:hAnsi="Arial" w:cs="Arial"/>
          </w:rPr>
          <w:t>11760522</w:t>
        </w:r>
      </w:hyperlink>
      <w:r w:rsidRPr="00D61F73">
        <w:rPr>
          <w:rFonts w:ascii="Arial" w:hAnsi="Arial" w:cs="Arial"/>
        </w:rPr>
        <w:t xml:space="preserve"> </w:t>
      </w:r>
    </w:p>
    <w:p w14:paraId="5AE5A3D1" w14:textId="77777777" w:rsidR="008D0565" w:rsidRPr="00D61F73" w:rsidRDefault="008D0565" w:rsidP="00D61F73">
      <w:pPr>
        <w:rPr>
          <w:rFonts w:ascii="Arial" w:hAnsi="Arial" w:cs="Arial"/>
        </w:rPr>
      </w:pPr>
    </w:p>
    <w:p w14:paraId="36CA5CE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5b</w:t>
      </w:r>
    </w:p>
    <w:p w14:paraId="0C5B94F7" w14:textId="036B154A" w:rsidR="008D0565" w:rsidRPr="00D61F73" w:rsidRDefault="008D0565" w:rsidP="00D61F73">
      <w:pPr>
        <w:rPr>
          <w:rFonts w:ascii="Arial" w:hAnsi="Arial" w:cs="Arial"/>
          <w:b/>
          <w:bCs/>
        </w:rPr>
      </w:pPr>
      <w:r w:rsidRPr="00D61F73">
        <w:rPr>
          <w:rFonts w:ascii="Arial" w:hAnsi="Arial" w:cs="Arial"/>
          <w:b/>
          <w:bCs/>
        </w:rPr>
        <w:br w:type="page"/>
      </w:r>
      <w:hyperlink r:id="rId286" w:history="1">
        <w:r w:rsidRPr="00DE4576">
          <w:rPr>
            <w:rStyle w:val="Hyperlink"/>
            <w:rFonts w:ascii="Arial" w:hAnsi="Arial" w:cs="Arial"/>
            <w:b/>
            <w:bCs/>
          </w:rPr>
          <w:t>B</w:t>
        </w:r>
        <w:bookmarkStart w:id="551" w:name="Boswell"/>
        <w:bookmarkEnd w:id="551"/>
        <w:r w:rsidRPr="00DE4576">
          <w:rPr>
            <w:rStyle w:val="Hyperlink"/>
            <w:rFonts w:ascii="Arial" w:hAnsi="Arial" w:cs="Arial"/>
            <w:b/>
            <w:bCs/>
          </w:rPr>
          <w:t>oswell MV, Shah RV, Everett CR, Sehgal N, Mckenzie-Brown AM, Abdi S, Bowman RC, Deer TR, Datta S, Colson JD, Spillane WF, Smith HS, Lucas LF, Burton AW, Chopra P, Staats PS, Wasserman RA, Manchikanti L.</w:t>
        </w:r>
      </w:hyperlink>
      <w:r w:rsidRPr="00D61F73">
        <w:rPr>
          <w:rFonts w:ascii="Arial" w:hAnsi="Arial" w:cs="Arial"/>
          <w:b/>
          <w:bCs/>
        </w:rPr>
        <w:t xml:space="preserve"> Interventional Techniques in The Management of Chronic Spinal Pain: Evidence-Based Practice Guidelines. </w:t>
      </w:r>
      <w:r w:rsidRPr="00D61F73">
        <w:rPr>
          <w:rFonts w:ascii="Arial" w:hAnsi="Arial" w:cs="Arial"/>
          <w:b/>
          <w:bCs/>
          <w:i/>
          <w:iCs/>
        </w:rPr>
        <w:t>Pain Physician</w:t>
      </w:r>
      <w:r w:rsidRPr="00D61F73">
        <w:rPr>
          <w:rFonts w:ascii="Arial" w:hAnsi="Arial" w:cs="Arial"/>
          <w:b/>
          <w:bCs/>
        </w:rPr>
        <w:t>. 2005;8:1-47</w:t>
      </w:r>
    </w:p>
    <w:p w14:paraId="306E894B" w14:textId="77777777" w:rsidR="008D0565" w:rsidRPr="00D61F73" w:rsidRDefault="008D0565" w:rsidP="00D61F73">
      <w:pPr>
        <w:rPr>
          <w:rFonts w:ascii="Arial" w:hAnsi="Arial" w:cs="Arial"/>
        </w:rPr>
      </w:pPr>
    </w:p>
    <w:p w14:paraId="1B95D99D" w14:textId="77777777" w:rsidR="008D0565" w:rsidRPr="00D61F73" w:rsidRDefault="008D0565" w:rsidP="00D61F73">
      <w:pPr>
        <w:rPr>
          <w:rFonts w:ascii="Arial" w:hAnsi="Arial" w:cs="Arial"/>
        </w:rPr>
      </w:pPr>
      <w:r w:rsidRPr="00D61F73">
        <w:rPr>
          <w:rFonts w:ascii="Arial" w:hAnsi="Arial" w:cs="Arial"/>
        </w:rPr>
        <w:t xml:space="preserve"> [Note: Much of the evidence used in this practice guideline for pain physicians is based on studies published in </w:t>
      </w:r>
      <w:r w:rsidRPr="00D61F73">
        <w:rPr>
          <w:rFonts w:ascii="Arial" w:hAnsi="Arial" w:cs="Arial"/>
          <w:i/>
          <w:iCs/>
        </w:rPr>
        <w:t>Pain Physician</w:t>
      </w:r>
      <w:r w:rsidRPr="00D61F73">
        <w:rPr>
          <w:rFonts w:ascii="Arial" w:hAnsi="Arial" w:cs="Arial"/>
        </w:rPr>
        <w:t xml:space="preserve">, a journal not included in Medline’s list of indexed journals evaluated for quality that offer the credibility of an independent peer-review process. These studies were not part of the evidence base for </w:t>
      </w:r>
      <w:r w:rsidRPr="00D61F73">
        <w:rPr>
          <w:rFonts w:ascii="Arial" w:hAnsi="Arial" w:cs="Arial"/>
          <w:i/>
          <w:iCs/>
        </w:rPr>
        <w:t>ODG Treatment</w:t>
      </w:r>
      <w:r w:rsidRPr="00D61F73">
        <w:rPr>
          <w:rFonts w:ascii="Arial" w:hAnsi="Arial" w:cs="Arial"/>
        </w:rPr>
        <w:t xml:space="preserve"> or the </w:t>
      </w:r>
      <w:r w:rsidRPr="00D61F73">
        <w:rPr>
          <w:rFonts w:ascii="Arial" w:hAnsi="Arial" w:cs="Arial"/>
          <w:i/>
          <w:iCs/>
        </w:rPr>
        <w:t>ACOEM Guidelines</w:t>
      </w:r>
      <w:r w:rsidRPr="00D61F73">
        <w:rPr>
          <w:rFonts w:ascii="Arial" w:hAnsi="Arial" w:cs="Arial"/>
        </w:rPr>
        <w:t>.]</w:t>
      </w:r>
    </w:p>
    <w:p w14:paraId="5ECA2DEE" w14:textId="77777777" w:rsidR="008D0565" w:rsidRPr="00D61F73" w:rsidRDefault="008D0565" w:rsidP="00D61F73">
      <w:pPr>
        <w:pStyle w:val="Header"/>
        <w:tabs>
          <w:tab w:val="clear" w:pos="4320"/>
          <w:tab w:val="clear" w:pos="8640"/>
        </w:tabs>
        <w:rPr>
          <w:rFonts w:ascii="Arial" w:hAnsi="Arial" w:cs="Arial"/>
        </w:rPr>
      </w:pPr>
    </w:p>
    <w:p w14:paraId="0D50F1C2" w14:textId="77777777" w:rsidR="008D0565" w:rsidRPr="00D61F73" w:rsidRDefault="008D0565" w:rsidP="00D61F73">
      <w:pPr>
        <w:rPr>
          <w:rFonts w:ascii="Arial" w:hAnsi="Arial" w:cs="Arial"/>
        </w:rPr>
      </w:pPr>
      <w:r w:rsidRPr="00D61F73">
        <w:rPr>
          <w:rFonts w:ascii="Arial" w:hAnsi="Arial" w:cs="Arial"/>
        </w:rPr>
        <w:t>Rating: 6c</w:t>
      </w:r>
    </w:p>
    <w:p w14:paraId="75576156" w14:textId="15996909" w:rsidR="008D0565" w:rsidRPr="00D61F73" w:rsidRDefault="008D0565" w:rsidP="00D61F73">
      <w:pPr>
        <w:rPr>
          <w:rFonts w:ascii="Arial" w:hAnsi="Arial" w:cs="Arial"/>
          <w:b/>
        </w:rPr>
      </w:pPr>
      <w:r w:rsidRPr="00D61F73">
        <w:rPr>
          <w:rFonts w:ascii="Arial" w:hAnsi="Arial" w:cs="Arial"/>
          <w:b/>
          <w:bCs/>
        </w:rPr>
        <w:br w:type="page"/>
      </w:r>
      <w:hyperlink r:id="rId287" w:history="1">
        <w:r w:rsidRPr="00D61F73">
          <w:rPr>
            <w:rStyle w:val="Hyperlink"/>
            <w:rFonts w:ascii="Arial" w:hAnsi="Arial" w:cs="Arial"/>
            <w:b/>
          </w:rPr>
          <w:t>B</w:t>
        </w:r>
        <w:bookmarkStart w:id="552" w:name="Boswell3"/>
        <w:bookmarkEnd w:id="552"/>
        <w:r w:rsidRPr="00D61F73">
          <w:rPr>
            <w:rStyle w:val="Hyperlink"/>
            <w:rFonts w:ascii="Arial" w:hAnsi="Arial" w:cs="Arial"/>
            <w:b/>
          </w:rPr>
          <w:t>oswell MV, Trescot AM, Datta S, Schultz DM, Hansen HC, Abdi S, Sehgal N, Shah RV, Singh V, Benyamin RM, Patel VB, Buenaventura RM, Colson JD, Cordner HJ, Epter RS, Jasper JF, Dunbar EE, Atluri SL, Bowman RC, Deer TR, Swicegood JR, Staats PS, Smith HS, Burton AW, Kloth DS, Giordano J, Manchikanti L</w:t>
        </w:r>
      </w:hyperlink>
      <w:r w:rsidRPr="00D61F73">
        <w:rPr>
          <w:rFonts w:ascii="Arial" w:hAnsi="Arial" w:cs="Arial"/>
          <w:b/>
        </w:rPr>
        <w:t xml:space="preserve">. Interventional Techniques: Evidence-based Practice Guidelines in the Management of Chronic Spinal Pain. </w:t>
      </w:r>
      <w:r w:rsidRPr="00D61F73">
        <w:rPr>
          <w:rFonts w:ascii="Arial" w:hAnsi="Arial" w:cs="Arial"/>
          <w:b/>
          <w:i/>
        </w:rPr>
        <w:t>Pain Physician</w:t>
      </w:r>
      <w:r w:rsidRPr="00D61F73">
        <w:rPr>
          <w:rFonts w:ascii="Arial" w:hAnsi="Arial" w:cs="Arial"/>
          <w:b/>
        </w:rPr>
        <w:t xml:space="preserve">. 2007;10:7-111. </w:t>
      </w:r>
    </w:p>
    <w:p w14:paraId="343E137C" w14:textId="77777777" w:rsidR="008D0565" w:rsidRPr="00D61F73" w:rsidRDefault="008D0565" w:rsidP="00D61F73">
      <w:pPr>
        <w:rPr>
          <w:rFonts w:ascii="Arial" w:hAnsi="Arial" w:cs="Arial"/>
        </w:rPr>
      </w:pPr>
    </w:p>
    <w:p w14:paraId="4C7E3D9C" w14:textId="77777777" w:rsidR="008D0565" w:rsidRPr="00D61F73" w:rsidRDefault="008D0565" w:rsidP="00D61F73">
      <w:pPr>
        <w:rPr>
          <w:rFonts w:ascii="Arial" w:hAnsi="Arial" w:cs="Arial"/>
        </w:rPr>
      </w:pPr>
      <w:r w:rsidRPr="00D61F73">
        <w:rPr>
          <w:rFonts w:ascii="Arial" w:hAnsi="Arial" w:cs="Arial"/>
        </w:rPr>
        <w:t>These guidelines also do not represent a “standard of care.”</w:t>
      </w:r>
    </w:p>
    <w:p w14:paraId="220E610A" w14:textId="77777777" w:rsidR="008D0565" w:rsidRPr="00D61F73" w:rsidRDefault="008D0565" w:rsidP="00D61F73">
      <w:pPr>
        <w:rPr>
          <w:rFonts w:ascii="Arial" w:hAnsi="Arial" w:cs="Arial"/>
        </w:rPr>
      </w:pPr>
    </w:p>
    <w:p w14:paraId="1CAD8E88" w14:textId="77777777" w:rsidR="008D0565" w:rsidRPr="00D61F73" w:rsidRDefault="008D0565" w:rsidP="00D61F73">
      <w:pPr>
        <w:rPr>
          <w:rFonts w:ascii="Arial" w:hAnsi="Arial" w:cs="Arial"/>
        </w:rPr>
      </w:pPr>
      <w:r w:rsidRPr="00D61F73">
        <w:rPr>
          <w:rFonts w:ascii="Arial" w:hAnsi="Arial" w:cs="Arial"/>
        </w:rPr>
        <w:t>Rating: 6b</w:t>
      </w:r>
    </w:p>
    <w:p w14:paraId="4941BF56" w14:textId="77777777" w:rsidR="008D0565" w:rsidRPr="00D61F73" w:rsidRDefault="008D0565" w:rsidP="00D61F73">
      <w:pPr>
        <w:rPr>
          <w:rFonts w:ascii="Arial" w:hAnsi="Arial" w:cs="Arial"/>
        </w:rPr>
      </w:pPr>
    </w:p>
    <w:p w14:paraId="7A562E77" w14:textId="77777777" w:rsidR="0013773A" w:rsidRPr="00D61F73" w:rsidRDefault="0013773A" w:rsidP="00D61F73">
      <w:pPr>
        <w:rPr>
          <w:rFonts w:ascii="Arial" w:hAnsi="Arial" w:cs="Arial"/>
          <w:bCs/>
        </w:rPr>
      </w:pPr>
      <w:r w:rsidRPr="00D61F73">
        <w:rPr>
          <w:rFonts w:ascii="Arial" w:hAnsi="Arial" w:cs="Arial"/>
          <w:b/>
          <w:bCs/>
        </w:rPr>
        <w:br w:type="page"/>
      </w:r>
      <w:bookmarkStart w:id="553" w:name="Boyer2012"/>
      <w:r w:rsidRPr="00D61F73">
        <w:rPr>
          <w:rFonts w:ascii="Arial" w:hAnsi="Arial" w:cs="Arial"/>
          <w:b/>
          <w:bCs/>
        </w:rPr>
        <w:lastRenderedPageBreak/>
        <w:t xml:space="preserve">Boyer EW. </w:t>
      </w:r>
      <w:bookmarkEnd w:id="553"/>
      <w:r w:rsidRPr="00D61F73">
        <w:rPr>
          <w:rFonts w:ascii="Arial" w:hAnsi="Arial" w:cs="Arial"/>
          <w:b/>
          <w:bCs/>
        </w:rPr>
        <w:t>Management of opioid analgesic overdose. N Engl J Med. 2012;367:146-55.</w:t>
      </w:r>
      <w:r w:rsidRPr="00D61F73">
        <w:rPr>
          <w:rFonts w:ascii="Arial" w:hAnsi="Arial" w:cs="Arial"/>
          <w:b/>
          <w:bCs/>
        </w:rPr>
        <w:br/>
      </w:r>
      <w:r w:rsidRPr="00D61F73">
        <w:rPr>
          <w:rFonts w:ascii="Arial" w:hAnsi="Arial" w:cs="Arial"/>
          <w:b/>
          <w:bCs/>
        </w:rPr>
        <w:br/>
      </w:r>
      <w:r w:rsidRPr="00D61F73">
        <w:rPr>
          <w:rFonts w:ascii="Arial" w:hAnsi="Arial" w:cs="Arial"/>
          <w:bCs/>
        </w:rPr>
        <w:t xml:space="preserve">PMID: </w:t>
      </w:r>
      <w:hyperlink r:id="rId288" w:history="1">
        <w:r w:rsidRPr="00D61F73">
          <w:rPr>
            <w:rStyle w:val="Hyperlink"/>
            <w:rFonts w:ascii="Arial" w:hAnsi="Arial" w:cs="Arial"/>
            <w:bCs/>
          </w:rPr>
          <w:t>22784117</w:t>
        </w:r>
      </w:hyperlink>
      <w:r w:rsidRPr="00D61F73">
        <w:rPr>
          <w:rFonts w:ascii="Arial" w:hAnsi="Arial" w:cs="Arial"/>
          <w:bCs/>
        </w:rPr>
        <w:br/>
      </w:r>
      <w:r w:rsidRPr="00D61F73">
        <w:rPr>
          <w:rFonts w:ascii="Arial" w:hAnsi="Arial" w:cs="Arial"/>
          <w:bCs/>
        </w:rPr>
        <w:br/>
        <w:t>Rating: 5a</w:t>
      </w:r>
    </w:p>
    <w:p w14:paraId="57417E78" w14:textId="77777777" w:rsidR="008D0565" w:rsidRPr="00D61F73" w:rsidRDefault="008D0565" w:rsidP="00D61F73">
      <w:pPr>
        <w:rPr>
          <w:rFonts w:ascii="Arial" w:hAnsi="Arial" w:cs="Arial"/>
          <w:b/>
          <w:bCs/>
        </w:rPr>
      </w:pPr>
      <w:r w:rsidRPr="00D61F73">
        <w:rPr>
          <w:rFonts w:ascii="Arial" w:hAnsi="Arial" w:cs="Arial"/>
          <w:b/>
          <w:bCs/>
        </w:rPr>
        <w:br w:type="page"/>
      </w:r>
      <w:bookmarkStart w:id="554" w:name="Braham"/>
      <w:r w:rsidRPr="00D61F73">
        <w:rPr>
          <w:rFonts w:ascii="Arial" w:hAnsi="Arial" w:cs="Arial"/>
          <w:b/>
          <w:bCs/>
        </w:rPr>
        <w:lastRenderedPageBreak/>
        <w:t>Braham</w:t>
      </w:r>
      <w:bookmarkEnd w:id="554"/>
      <w:r w:rsidRPr="00D61F73">
        <w:rPr>
          <w:rFonts w:ascii="Arial" w:hAnsi="Arial" w:cs="Arial"/>
          <w:b/>
          <w:bCs/>
        </w:rPr>
        <w:t xml:space="preserve"> R, Dawson B, Goodman C, The effect of glucosamine supplementation on people experiencing regular knee pain, </w:t>
      </w:r>
      <w:r w:rsidRPr="00D61F73">
        <w:rPr>
          <w:rFonts w:ascii="Arial" w:hAnsi="Arial" w:cs="Arial"/>
          <w:b/>
          <w:bCs/>
          <w:i/>
          <w:iCs/>
        </w:rPr>
        <w:t>Br J Sports Med</w:t>
      </w:r>
      <w:r w:rsidRPr="00D61F73">
        <w:rPr>
          <w:rFonts w:ascii="Arial" w:hAnsi="Arial" w:cs="Arial"/>
          <w:b/>
          <w:bCs/>
        </w:rPr>
        <w:t>. 2003 Feb;37(1):45-9; discussion 49</w:t>
      </w:r>
    </w:p>
    <w:p w14:paraId="069DA986" w14:textId="77777777" w:rsidR="008D0565" w:rsidRPr="00D61F73" w:rsidRDefault="008D0565" w:rsidP="00D61F73">
      <w:pPr>
        <w:rPr>
          <w:rFonts w:ascii="Arial" w:hAnsi="Arial" w:cs="Arial"/>
        </w:rPr>
      </w:pPr>
    </w:p>
    <w:p w14:paraId="697D2AAE" w14:textId="77777777" w:rsidR="008D0565" w:rsidRPr="00D61F73" w:rsidRDefault="008D0565" w:rsidP="00D61F73">
      <w:pPr>
        <w:rPr>
          <w:rFonts w:ascii="Arial" w:hAnsi="Arial" w:cs="Arial"/>
        </w:rPr>
      </w:pPr>
      <w:r w:rsidRPr="00D61F73">
        <w:rPr>
          <w:rFonts w:ascii="Arial" w:hAnsi="Arial" w:cs="Arial"/>
        </w:rPr>
        <w:t xml:space="preserve">PMID: </w:t>
      </w:r>
      <w:hyperlink r:id="rId289" w:history="1">
        <w:r w:rsidRPr="00D61F73">
          <w:rPr>
            <w:rStyle w:val="Hyperlink"/>
            <w:rFonts w:ascii="Arial" w:hAnsi="Arial" w:cs="Arial"/>
          </w:rPr>
          <w:t>12547742</w:t>
        </w:r>
      </w:hyperlink>
      <w:r w:rsidRPr="00D61F73">
        <w:rPr>
          <w:rFonts w:ascii="Arial" w:hAnsi="Arial" w:cs="Arial"/>
        </w:rPr>
        <w:t xml:space="preserve"> </w:t>
      </w:r>
    </w:p>
    <w:p w14:paraId="01DB4D7A"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537E2E3"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2b</w:t>
      </w:r>
    </w:p>
    <w:p w14:paraId="5C0806B1"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rPr>
        <w:lastRenderedPageBreak/>
        <w:t>B</w:t>
      </w:r>
      <w:bookmarkStart w:id="555" w:name="Bramness"/>
      <w:bookmarkEnd w:id="555"/>
      <w:r w:rsidRPr="00D61F73">
        <w:rPr>
          <w:rFonts w:ascii="Arial" w:hAnsi="Arial" w:cs="Arial"/>
          <w:b/>
        </w:rPr>
        <w:t>ramness JG, Skurtveit S, Mørland J, Engeland A. The risk of traffic accidents after prescriptions of carisoprodol.</w:t>
      </w:r>
      <w:r w:rsidRPr="00D61F73">
        <w:rPr>
          <w:rFonts w:ascii="Arial" w:hAnsi="Arial" w:cs="Arial"/>
          <w:b/>
          <w:i/>
        </w:rPr>
        <w:t xml:space="preserve"> Accid Anal Prev</w:t>
      </w:r>
      <w:r w:rsidRPr="00D61F73">
        <w:rPr>
          <w:rFonts w:ascii="Arial" w:hAnsi="Arial" w:cs="Arial"/>
          <w:b/>
        </w:rPr>
        <w:t>. 2007;39:1050-5</w:t>
      </w:r>
      <w:r w:rsidRPr="00D61F73">
        <w:rPr>
          <w:rFonts w:ascii="Arial" w:hAnsi="Arial" w:cs="Arial"/>
        </w:rPr>
        <w:t>.</w:t>
      </w:r>
    </w:p>
    <w:p w14:paraId="3AF5982E" w14:textId="77777777" w:rsidR="008D0565" w:rsidRPr="00D61F73" w:rsidRDefault="008D0565" w:rsidP="00D61F73">
      <w:pPr>
        <w:rPr>
          <w:rFonts w:ascii="Arial" w:hAnsi="Arial" w:cs="Arial"/>
        </w:rPr>
      </w:pPr>
    </w:p>
    <w:p w14:paraId="7ADBFB6B" w14:textId="77777777" w:rsidR="008D0565" w:rsidRPr="00D61F73" w:rsidRDefault="008D0565" w:rsidP="00D61F73">
      <w:pPr>
        <w:rPr>
          <w:rFonts w:ascii="Arial" w:hAnsi="Arial" w:cs="Arial"/>
        </w:rPr>
      </w:pPr>
      <w:r w:rsidRPr="00D61F73">
        <w:rPr>
          <w:rFonts w:ascii="Arial" w:hAnsi="Arial" w:cs="Arial"/>
        </w:rPr>
        <w:t xml:space="preserve">PMID: </w:t>
      </w:r>
      <w:hyperlink r:id="rId290" w:history="1">
        <w:r w:rsidRPr="00D61F73">
          <w:rPr>
            <w:rStyle w:val="Hyperlink"/>
            <w:rFonts w:ascii="Arial" w:hAnsi="Arial" w:cs="Arial"/>
          </w:rPr>
          <w:t>17854578</w:t>
        </w:r>
      </w:hyperlink>
      <w:r w:rsidRPr="00D61F73">
        <w:rPr>
          <w:rFonts w:ascii="Arial" w:hAnsi="Arial" w:cs="Arial"/>
        </w:rPr>
        <w:t xml:space="preserve"> </w:t>
      </w:r>
    </w:p>
    <w:p w14:paraId="6449287D" w14:textId="77777777" w:rsidR="008D0565" w:rsidRPr="00D61F73" w:rsidRDefault="008D0565" w:rsidP="00D61F73">
      <w:pPr>
        <w:rPr>
          <w:rFonts w:ascii="Arial" w:hAnsi="Arial" w:cs="Arial"/>
        </w:rPr>
      </w:pPr>
    </w:p>
    <w:p w14:paraId="65A31D8C" w14:textId="77777777" w:rsidR="008D0565" w:rsidRPr="00D61F73" w:rsidRDefault="008D0565" w:rsidP="00D61F73">
      <w:pPr>
        <w:rPr>
          <w:rFonts w:ascii="Arial" w:hAnsi="Arial" w:cs="Arial"/>
        </w:rPr>
      </w:pPr>
      <w:r w:rsidRPr="00D61F73">
        <w:rPr>
          <w:rFonts w:ascii="Arial" w:hAnsi="Arial" w:cs="Arial"/>
        </w:rPr>
        <w:t>Rating: 3a</w:t>
      </w:r>
    </w:p>
    <w:p w14:paraId="3DB17168"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rPr>
        <w:lastRenderedPageBreak/>
        <w:t>B</w:t>
      </w:r>
      <w:bookmarkStart w:id="556" w:name="Bramness2004"/>
      <w:bookmarkEnd w:id="556"/>
      <w:r w:rsidRPr="00D61F73">
        <w:rPr>
          <w:rFonts w:ascii="Arial" w:hAnsi="Arial" w:cs="Arial"/>
          <w:b/>
        </w:rPr>
        <w:t xml:space="preserve">ramness JG, Skurtveit S, Mørland J. Impairment due to intake of carisoprodol. </w:t>
      </w:r>
      <w:r w:rsidRPr="00D61F73">
        <w:rPr>
          <w:rFonts w:ascii="Arial" w:hAnsi="Arial" w:cs="Arial"/>
          <w:b/>
          <w:i/>
        </w:rPr>
        <w:t>Drug Alcohol Depend</w:t>
      </w:r>
      <w:r w:rsidRPr="00D61F73">
        <w:rPr>
          <w:rFonts w:ascii="Arial" w:hAnsi="Arial" w:cs="Arial"/>
          <w:b/>
        </w:rPr>
        <w:t>. 2004;74:311-8</w:t>
      </w:r>
      <w:r w:rsidRPr="00D61F73">
        <w:rPr>
          <w:rFonts w:ascii="Arial" w:hAnsi="Arial" w:cs="Arial"/>
        </w:rPr>
        <w:t>.</w:t>
      </w:r>
    </w:p>
    <w:p w14:paraId="5B586BAF" w14:textId="77777777" w:rsidR="008D0565" w:rsidRPr="00D61F73" w:rsidRDefault="008D0565" w:rsidP="00D61F73">
      <w:pPr>
        <w:rPr>
          <w:rFonts w:ascii="Arial" w:hAnsi="Arial" w:cs="Arial"/>
        </w:rPr>
      </w:pPr>
    </w:p>
    <w:p w14:paraId="6A280EA9" w14:textId="77777777" w:rsidR="008D0565" w:rsidRPr="00D61F73" w:rsidRDefault="008D0565" w:rsidP="00D61F73">
      <w:pPr>
        <w:rPr>
          <w:rFonts w:ascii="Arial" w:hAnsi="Arial" w:cs="Arial"/>
        </w:rPr>
      </w:pPr>
      <w:r w:rsidRPr="00D61F73">
        <w:rPr>
          <w:rFonts w:ascii="Arial" w:hAnsi="Arial" w:cs="Arial"/>
        </w:rPr>
        <w:t xml:space="preserve">PMID: </w:t>
      </w:r>
      <w:hyperlink r:id="rId291" w:history="1">
        <w:r w:rsidRPr="00D61F73">
          <w:rPr>
            <w:rStyle w:val="Hyperlink"/>
            <w:rFonts w:ascii="Arial" w:hAnsi="Arial" w:cs="Arial"/>
          </w:rPr>
          <w:t>15194209</w:t>
        </w:r>
      </w:hyperlink>
    </w:p>
    <w:p w14:paraId="1DC74D6D" w14:textId="77777777" w:rsidR="008D0565" w:rsidRPr="00D61F73" w:rsidRDefault="008D0565" w:rsidP="00D61F73">
      <w:pPr>
        <w:rPr>
          <w:rFonts w:ascii="Arial" w:hAnsi="Arial" w:cs="Arial"/>
        </w:rPr>
      </w:pPr>
    </w:p>
    <w:p w14:paraId="01F214E2" w14:textId="77777777" w:rsidR="008D0565" w:rsidRPr="00D61F73" w:rsidRDefault="008D0565" w:rsidP="00D61F73">
      <w:pPr>
        <w:rPr>
          <w:rFonts w:ascii="Arial" w:hAnsi="Arial" w:cs="Arial"/>
        </w:rPr>
      </w:pPr>
      <w:r w:rsidRPr="00D61F73">
        <w:rPr>
          <w:rFonts w:ascii="Arial" w:hAnsi="Arial" w:cs="Arial"/>
        </w:rPr>
        <w:t>Rating: 4b</w:t>
      </w:r>
    </w:p>
    <w:p w14:paraId="3F17E41D" w14:textId="77777777" w:rsidR="003E4AC1" w:rsidRPr="00D61F73" w:rsidRDefault="003E4AC1" w:rsidP="00D61F73">
      <w:pPr>
        <w:rPr>
          <w:rFonts w:ascii="Arial" w:hAnsi="Arial" w:cs="Arial"/>
          <w:bCs/>
        </w:rPr>
      </w:pPr>
      <w:r w:rsidRPr="00D61F73">
        <w:rPr>
          <w:rFonts w:ascii="Arial" w:hAnsi="Arial" w:cs="Arial"/>
          <w:b/>
          <w:bCs/>
        </w:rPr>
        <w:br w:type="page"/>
      </w:r>
      <w:bookmarkStart w:id="557" w:name="Brason2013"/>
      <w:r w:rsidRPr="00D61F73">
        <w:rPr>
          <w:rFonts w:ascii="Arial" w:hAnsi="Arial" w:cs="Arial"/>
          <w:b/>
          <w:bCs/>
        </w:rPr>
        <w:lastRenderedPageBreak/>
        <w:t xml:space="preserve">Brason FW </w:t>
      </w:r>
      <w:bookmarkEnd w:id="557"/>
      <w:r w:rsidRPr="00D61F73">
        <w:rPr>
          <w:rFonts w:ascii="Arial" w:hAnsi="Arial" w:cs="Arial"/>
          <w:b/>
          <w:bCs/>
        </w:rPr>
        <w:t>2nd, Roe C, Dasgupta N. Project Lazarus: an innovative community response to prescription drug overdose. N C Med J. 2013;74:259-61.</w:t>
      </w:r>
      <w:r w:rsidRPr="00D61F73">
        <w:rPr>
          <w:rFonts w:ascii="Arial" w:hAnsi="Arial" w:cs="Arial"/>
          <w:b/>
          <w:bCs/>
        </w:rPr>
        <w:br/>
      </w:r>
      <w:r w:rsidRPr="00D61F73">
        <w:rPr>
          <w:rFonts w:ascii="Arial" w:hAnsi="Arial" w:cs="Arial"/>
          <w:b/>
          <w:bCs/>
        </w:rPr>
        <w:br/>
      </w:r>
      <w:r w:rsidRPr="00D61F73">
        <w:rPr>
          <w:rFonts w:ascii="Arial" w:hAnsi="Arial" w:cs="Arial"/>
          <w:bCs/>
        </w:rPr>
        <w:t xml:space="preserve">PMID: </w:t>
      </w:r>
      <w:hyperlink r:id="rId292" w:history="1">
        <w:r w:rsidRPr="00D61F73">
          <w:rPr>
            <w:rStyle w:val="Hyperlink"/>
            <w:rFonts w:ascii="Arial" w:hAnsi="Arial" w:cs="Arial"/>
            <w:bCs/>
          </w:rPr>
          <w:t>23940903</w:t>
        </w:r>
      </w:hyperlink>
      <w:r w:rsidRPr="00D61F73">
        <w:rPr>
          <w:rFonts w:ascii="Arial" w:hAnsi="Arial" w:cs="Arial"/>
          <w:bCs/>
        </w:rPr>
        <w:br/>
      </w:r>
      <w:r w:rsidRPr="00D61F73">
        <w:rPr>
          <w:rFonts w:ascii="Arial" w:hAnsi="Arial" w:cs="Arial"/>
          <w:bCs/>
        </w:rPr>
        <w:br/>
        <w:t>Rating: 5b</w:t>
      </w:r>
    </w:p>
    <w:p w14:paraId="1297075B"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B</w:t>
      </w:r>
      <w:bookmarkStart w:id="558" w:name="Breit"/>
      <w:bookmarkEnd w:id="558"/>
      <w:r w:rsidRPr="00D61F73">
        <w:rPr>
          <w:rFonts w:ascii="Arial" w:hAnsi="Arial" w:cs="Arial"/>
          <w:b/>
        </w:rPr>
        <w:t xml:space="preserve">reit R, Van der Wall H. Transcutaneous electrical nerve stimulation for postoperative pain relief after total knee arthroplasty. </w:t>
      </w:r>
      <w:r w:rsidRPr="00D61F73">
        <w:rPr>
          <w:rFonts w:ascii="Arial" w:hAnsi="Arial" w:cs="Arial"/>
          <w:b/>
          <w:i/>
        </w:rPr>
        <w:t>J Arthroplasty</w:t>
      </w:r>
      <w:r w:rsidRPr="00D61F73">
        <w:rPr>
          <w:rFonts w:ascii="Arial" w:hAnsi="Arial" w:cs="Arial"/>
          <w:b/>
        </w:rPr>
        <w:t xml:space="preserve">. 2004 Jan;19(1):45-8. </w:t>
      </w:r>
    </w:p>
    <w:p w14:paraId="4701D7DE" w14:textId="77777777" w:rsidR="008D0565" w:rsidRPr="00D61F73" w:rsidRDefault="008D0565" w:rsidP="00D61F73">
      <w:pPr>
        <w:rPr>
          <w:rFonts w:ascii="Arial" w:hAnsi="Arial" w:cs="Arial"/>
        </w:rPr>
      </w:pPr>
    </w:p>
    <w:p w14:paraId="2CC34720" w14:textId="77777777" w:rsidR="008D0565" w:rsidRPr="00D61F73" w:rsidRDefault="008D0565" w:rsidP="00D61F73">
      <w:pPr>
        <w:rPr>
          <w:rFonts w:ascii="Arial" w:hAnsi="Arial" w:cs="Arial"/>
        </w:rPr>
      </w:pPr>
      <w:r w:rsidRPr="00D61F73">
        <w:rPr>
          <w:rFonts w:ascii="Arial" w:hAnsi="Arial" w:cs="Arial"/>
        </w:rPr>
        <w:t>We conclude that there is no utility for TENS in the postoperative management of pain after knee arthroplasty.</w:t>
      </w:r>
    </w:p>
    <w:p w14:paraId="5A8C6A8B" w14:textId="77777777" w:rsidR="008D0565" w:rsidRPr="00D61F73" w:rsidRDefault="008D0565" w:rsidP="00D61F73">
      <w:pPr>
        <w:rPr>
          <w:rFonts w:ascii="Arial" w:hAnsi="Arial" w:cs="Arial"/>
        </w:rPr>
      </w:pPr>
    </w:p>
    <w:p w14:paraId="57E0411E" w14:textId="77777777" w:rsidR="008D0565" w:rsidRPr="00D61F73" w:rsidRDefault="008D0565" w:rsidP="00D61F73">
      <w:pPr>
        <w:rPr>
          <w:rFonts w:ascii="Arial" w:hAnsi="Arial" w:cs="Arial"/>
        </w:rPr>
      </w:pPr>
      <w:r w:rsidRPr="00D61F73">
        <w:rPr>
          <w:rFonts w:ascii="Arial" w:hAnsi="Arial" w:cs="Arial"/>
        </w:rPr>
        <w:t xml:space="preserve">PMID: </w:t>
      </w:r>
      <w:hyperlink r:id="rId293" w:history="1">
        <w:r w:rsidRPr="00D61F73">
          <w:rPr>
            <w:rStyle w:val="Hyperlink"/>
            <w:rFonts w:ascii="Arial" w:hAnsi="Arial" w:cs="Arial"/>
          </w:rPr>
          <w:t>14716650</w:t>
        </w:r>
      </w:hyperlink>
      <w:r w:rsidRPr="00D61F73">
        <w:rPr>
          <w:rFonts w:ascii="Arial" w:hAnsi="Arial" w:cs="Arial"/>
        </w:rPr>
        <w:t xml:space="preserve"> </w:t>
      </w:r>
    </w:p>
    <w:p w14:paraId="512F07F2" w14:textId="77777777" w:rsidR="008D0565" w:rsidRPr="00D61F73" w:rsidRDefault="008D0565" w:rsidP="00D61F73">
      <w:pPr>
        <w:rPr>
          <w:rFonts w:ascii="Arial" w:hAnsi="Arial" w:cs="Arial"/>
        </w:rPr>
      </w:pPr>
    </w:p>
    <w:p w14:paraId="1450A5E9" w14:textId="77777777" w:rsidR="008D0565" w:rsidRPr="00D61F73" w:rsidRDefault="008D0565" w:rsidP="00D61F73">
      <w:pPr>
        <w:rPr>
          <w:rFonts w:ascii="Arial" w:hAnsi="Arial" w:cs="Arial"/>
        </w:rPr>
      </w:pPr>
      <w:r w:rsidRPr="00D61F73">
        <w:rPr>
          <w:rFonts w:ascii="Arial" w:hAnsi="Arial" w:cs="Arial"/>
        </w:rPr>
        <w:t>Rating 2c</w:t>
      </w:r>
    </w:p>
    <w:p w14:paraId="74F98AB2" w14:textId="77777777" w:rsidR="008D0565" w:rsidRPr="00D61F73" w:rsidRDefault="008D0565" w:rsidP="00D61F73">
      <w:pPr>
        <w:pStyle w:val="Heading3"/>
        <w:spacing w:before="0" w:beforeAutospacing="0" w:after="0" w:afterAutospacing="0"/>
        <w:rPr>
          <w:rFonts w:ascii="Arial" w:hAnsi="Arial" w:cs="Arial"/>
          <w:b w:val="0"/>
          <w:color w:val="auto"/>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B</w:t>
      </w:r>
      <w:bookmarkStart w:id="559" w:name="Broomhead1997"/>
      <w:bookmarkEnd w:id="559"/>
      <w:r w:rsidRPr="00D61F73">
        <w:rPr>
          <w:rFonts w:ascii="Arial" w:hAnsi="Arial" w:cs="Arial"/>
          <w:sz w:val="24"/>
          <w:szCs w:val="24"/>
        </w:rPr>
        <w:t xml:space="preserve">roomhead A, Kerr R, Tester W, O'Meara P, Maccarrone C, Bowles R, Hodsman P. Comparison of a once-a-day sustained-release morphine formulation with standard oral morphine treatment for cancer pain. </w:t>
      </w:r>
      <w:r w:rsidRPr="00D61F73">
        <w:rPr>
          <w:rFonts w:ascii="Arial" w:hAnsi="Arial" w:cs="Arial"/>
          <w:i/>
          <w:sz w:val="24"/>
          <w:szCs w:val="24"/>
        </w:rPr>
        <w:t>J Pain Symptom Manage</w:t>
      </w:r>
      <w:r w:rsidRPr="00D61F73">
        <w:rPr>
          <w:rFonts w:ascii="Arial" w:hAnsi="Arial" w:cs="Arial"/>
          <w:sz w:val="24"/>
          <w:szCs w:val="24"/>
        </w:rPr>
        <w:t>. 1997;14:63-73.</w:t>
      </w:r>
    </w:p>
    <w:p w14:paraId="244AD191" w14:textId="77777777" w:rsidR="008D0565" w:rsidRPr="00D61F73" w:rsidRDefault="008D0565" w:rsidP="00D61F73">
      <w:pPr>
        <w:rPr>
          <w:rFonts w:ascii="Arial" w:hAnsi="Arial" w:cs="Arial"/>
          <w:b/>
        </w:rPr>
      </w:pPr>
    </w:p>
    <w:p w14:paraId="655667BD" w14:textId="77777777" w:rsidR="008D0565" w:rsidRPr="00D61F73" w:rsidRDefault="008D0565" w:rsidP="00D61F73">
      <w:pPr>
        <w:rPr>
          <w:rFonts w:ascii="Arial" w:hAnsi="Arial" w:cs="Arial"/>
        </w:rPr>
      </w:pPr>
      <w:r w:rsidRPr="00D61F73">
        <w:rPr>
          <w:rFonts w:ascii="Arial" w:hAnsi="Arial" w:cs="Arial"/>
        </w:rPr>
        <w:t xml:space="preserve">PMID: </w:t>
      </w:r>
      <w:hyperlink r:id="rId294" w:history="1">
        <w:r w:rsidRPr="00D61F73">
          <w:rPr>
            <w:rStyle w:val="Hyperlink"/>
            <w:rFonts w:ascii="Arial" w:hAnsi="Arial" w:cs="Arial"/>
          </w:rPr>
          <w:t>9262035</w:t>
        </w:r>
      </w:hyperlink>
    </w:p>
    <w:p w14:paraId="3ED6A31D" w14:textId="77777777" w:rsidR="008D0565" w:rsidRPr="00D61F73" w:rsidRDefault="008D0565" w:rsidP="00D61F73">
      <w:pPr>
        <w:rPr>
          <w:rFonts w:ascii="Arial" w:hAnsi="Arial" w:cs="Arial"/>
        </w:rPr>
      </w:pPr>
    </w:p>
    <w:p w14:paraId="4B3C6720" w14:textId="77777777" w:rsidR="008D0565" w:rsidRPr="00D61F73" w:rsidRDefault="008D0565" w:rsidP="00D61F73">
      <w:pPr>
        <w:rPr>
          <w:rFonts w:ascii="Arial" w:hAnsi="Arial" w:cs="Arial"/>
        </w:rPr>
      </w:pPr>
      <w:r w:rsidRPr="00D61F73">
        <w:rPr>
          <w:rFonts w:ascii="Arial" w:hAnsi="Arial" w:cs="Arial"/>
        </w:rPr>
        <w:t>Rating: 1c</w:t>
      </w:r>
    </w:p>
    <w:p w14:paraId="674D1D6D"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Bros</w:t>
      </w:r>
      <w:bookmarkStart w:id="560" w:name="Brosseau3"/>
      <w:bookmarkEnd w:id="560"/>
      <w:r w:rsidRPr="00D61F73">
        <w:rPr>
          <w:rFonts w:ascii="Arial" w:hAnsi="Arial" w:cs="Arial"/>
          <w:b/>
          <w:bCs/>
        </w:rPr>
        <w:t xml:space="preserve">seau L, Welch V, Wells G, DeBie R, Gam A, Harman K, Morin M, Shea B, Tugwell P, Low level laser therapy (Classes I, II and III) for treating osteoarthritis, </w:t>
      </w:r>
      <w:r w:rsidRPr="00D61F73">
        <w:rPr>
          <w:rFonts w:ascii="Arial" w:hAnsi="Arial" w:cs="Arial"/>
          <w:b/>
          <w:bCs/>
          <w:i/>
          <w:iCs/>
        </w:rPr>
        <w:t>Cochrane Database Syst Rev.</w:t>
      </w:r>
      <w:r w:rsidRPr="00D61F73">
        <w:rPr>
          <w:rFonts w:ascii="Arial" w:hAnsi="Arial" w:cs="Arial"/>
          <w:b/>
          <w:bCs/>
        </w:rPr>
        <w:t xml:space="preserve"> 2004;(3):CD002046</w:t>
      </w:r>
    </w:p>
    <w:p w14:paraId="146EC088" w14:textId="77777777" w:rsidR="008D0565" w:rsidRPr="00D61F73" w:rsidRDefault="008D0565" w:rsidP="00D61F73">
      <w:pPr>
        <w:rPr>
          <w:rFonts w:ascii="Arial" w:hAnsi="Arial" w:cs="Arial"/>
        </w:rPr>
      </w:pPr>
    </w:p>
    <w:p w14:paraId="77DCE464" w14:textId="77777777" w:rsidR="008D0565" w:rsidRPr="00D61F73" w:rsidRDefault="008D0565" w:rsidP="00D61F73">
      <w:pPr>
        <w:rPr>
          <w:rFonts w:ascii="Arial" w:hAnsi="Arial" w:cs="Arial"/>
        </w:rPr>
      </w:pPr>
      <w:r w:rsidRPr="00D61F73">
        <w:rPr>
          <w:rFonts w:ascii="Arial" w:hAnsi="Arial" w:cs="Arial"/>
        </w:rPr>
        <w:t xml:space="preserve">CONCLUSIONS: For OA, the results are conflicting in different studies and may depend on the method of application and other features of the LLLT application. </w:t>
      </w:r>
    </w:p>
    <w:p w14:paraId="7032B900" w14:textId="77777777" w:rsidR="008D0565" w:rsidRPr="00D61F73" w:rsidRDefault="008D0565" w:rsidP="00D61F73">
      <w:pPr>
        <w:rPr>
          <w:rFonts w:ascii="Arial" w:hAnsi="Arial" w:cs="Arial"/>
        </w:rPr>
      </w:pPr>
    </w:p>
    <w:p w14:paraId="64F02BC2" w14:textId="77777777" w:rsidR="008D0565" w:rsidRPr="00D61F73" w:rsidRDefault="008D0565" w:rsidP="00D61F73">
      <w:pPr>
        <w:rPr>
          <w:rFonts w:ascii="Arial" w:hAnsi="Arial" w:cs="Arial"/>
        </w:rPr>
      </w:pPr>
      <w:r w:rsidRPr="00D61F73">
        <w:rPr>
          <w:rFonts w:ascii="Arial" w:hAnsi="Arial" w:cs="Arial"/>
        </w:rPr>
        <w:t xml:space="preserve">PMID: </w:t>
      </w:r>
      <w:hyperlink r:id="rId295" w:history="1">
        <w:r w:rsidRPr="00D61F73">
          <w:rPr>
            <w:rStyle w:val="Hyperlink"/>
            <w:rFonts w:ascii="Arial" w:hAnsi="Arial" w:cs="Arial"/>
          </w:rPr>
          <w:t>15266461</w:t>
        </w:r>
      </w:hyperlink>
      <w:r w:rsidRPr="00D61F73">
        <w:rPr>
          <w:rFonts w:ascii="Arial" w:hAnsi="Arial" w:cs="Arial"/>
        </w:rPr>
        <w:t xml:space="preserve"> </w:t>
      </w:r>
    </w:p>
    <w:p w14:paraId="6CCBADEE" w14:textId="77777777" w:rsidR="008D0565" w:rsidRPr="00D61F73" w:rsidRDefault="008D0565" w:rsidP="00D61F73">
      <w:pPr>
        <w:rPr>
          <w:rFonts w:ascii="Arial" w:hAnsi="Arial" w:cs="Arial"/>
        </w:rPr>
      </w:pPr>
    </w:p>
    <w:p w14:paraId="5CDC7859" w14:textId="77777777" w:rsidR="008D0565" w:rsidRPr="00D61F73" w:rsidRDefault="008D0565" w:rsidP="00D61F73">
      <w:pPr>
        <w:rPr>
          <w:rFonts w:ascii="Arial" w:hAnsi="Arial" w:cs="Arial"/>
        </w:rPr>
      </w:pPr>
      <w:r w:rsidRPr="00D61F73">
        <w:rPr>
          <w:rFonts w:ascii="Arial" w:hAnsi="Arial" w:cs="Arial"/>
        </w:rPr>
        <w:t>Rating: 1b</w:t>
      </w:r>
    </w:p>
    <w:p w14:paraId="1101D5F6" w14:textId="77777777" w:rsidR="008D0565" w:rsidRPr="00D61F73" w:rsidRDefault="008D0565" w:rsidP="00D61F73">
      <w:pPr>
        <w:rPr>
          <w:rFonts w:ascii="Arial" w:hAnsi="Arial" w:cs="Arial"/>
        </w:rPr>
      </w:pPr>
    </w:p>
    <w:p w14:paraId="0E79F9DD" w14:textId="77777777" w:rsidR="008D0565" w:rsidRPr="00D61F73" w:rsidRDefault="008D0565" w:rsidP="00D61F73">
      <w:pPr>
        <w:rPr>
          <w:rFonts w:ascii="Arial" w:hAnsi="Arial" w:cs="Arial"/>
          <w:b/>
          <w:bCs/>
        </w:rPr>
      </w:pPr>
      <w:r w:rsidRPr="00D61F73">
        <w:rPr>
          <w:rFonts w:ascii="Arial" w:hAnsi="Arial" w:cs="Arial"/>
          <w:b/>
          <w:bCs/>
        </w:rPr>
        <w:br w:type="page"/>
      </w:r>
      <w:hyperlink r:id="rId296" w:history="1">
        <w:r w:rsidRPr="00D61F73">
          <w:rPr>
            <w:rStyle w:val="Hyperlink"/>
            <w:rFonts w:ascii="Arial" w:hAnsi="Arial" w:cs="Arial"/>
            <w:b/>
            <w:bCs/>
          </w:rPr>
          <w:t>B</w:t>
        </w:r>
        <w:bookmarkStart w:id="561" w:name="Brown2011"/>
        <w:bookmarkEnd w:id="561"/>
        <w:r w:rsidRPr="00D61F73">
          <w:rPr>
            <w:rStyle w:val="Hyperlink"/>
            <w:rFonts w:ascii="Arial" w:hAnsi="Arial" w:cs="Arial"/>
            <w:b/>
            <w:bCs/>
          </w:rPr>
          <w:t>rown JE, Chatterjee N, Younger J, Mackey S.</w:t>
        </w:r>
      </w:hyperlink>
      <w:r w:rsidRPr="00D61F73">
        <w:rPr>
          <w:rFonts w:ascii="Arial" w:hAnsi="Arial" w:cs="Arial"/>
          <w:b/>
          <w:bCs/>
        </w:rPr>
        <w:t xml:space="preserve"> Towards a Physiology-Based Measure of Pain: Patterns of Human Brain Activity Distinguish Painful from Non-Painful Thermal Stimulation. </w:t>
      </w:r>
      <w:r w:rsidRPr="00D61F73">
        <w:rPr>
          <w:rFonts w:ascii="Arial" w:hAnsi="Arial" w:cs="Arial"/>
          <w:b/>
          <w:bCs/>
          <w:i/>
          <w:iCs/>
        </w:rPr>
        <w:t xml:space="preserve">PLoS ONE </w:t>
      </w:r>
      <w:r w:rsidRPr="00D61F73">
        <w:rPr>
          <w:rFonts w:ascii="Arial" w:hAnsi="Arial" w:cs="Arial"/>
          <w:b/>
          <w:bCs/>
        </w:rPr>
        <w:t>6(9): e24124. Sept. 13, 2011.</w:t>
      </w:r>
    </w:p>
    <w:p w14:paraId="78734F4D" w14:textId="77777777" w:rsidR="008D0565" w:rsidRPr="00D61F73" w:rsidRDefault="008D0565" w:rsidP="00D61F73">
      <w:pPr>
        <w:rPr>
          <w:rFonts w:ascii="Arial" w:hAnsi="Arial" w:cs="Arial"/>
        </w:rPr>
      </w:pPr>
    </w:p>
    <w:p w14:paraId="7AB629C4" w14:textId="77777777" w:rsidR="008D0565" w:rsidRPr="00D61F73" w:rsidRDefault="008D0565" w:rsidP="00D61F73">
      <w:pPr>
        <w:rPr>
          <w:rFonts w:ascii="Arial" w:hAnsi="Arial" w:cs="Arial"/>
        </w:rPr>
      </w:pPr>
      <w:r w:rsidRPr="00D61F73">
        <w:rPr>
          <w:rFonts w:ascii="Arial" w:hAnsi="Arial" w:cs="Arial"/>
        </w:rPr>
        <w:t xml:space="preserve">In fMRI experiments, 24 individuals were presented painful and nonpainful thermal stimuli.  Our findings demonstrate that fMRI with SVM learning can assess pain without requiring any communication from the person being tested. </w:t>
      </w:r>
    </w:p>
    <w:p w14:paraId="396D3A84" w14:textId="77777777" w:rsidR="008D0565" w:rsidRPr="00D61F73" w:rsidRDefault="008D0565" w:rsidP="00D61F73">
      <w:pPr>
        <w:rPr>
          <w:rFonts w:ascii="Arial" w:hAnsi="Arial" w:cs="Arial"/>
        </w:rPr>
      </w:pPr>
    </w:p>
    <w:p w14:paraId="2E6AAC9A" w14:textId="77777777" w:rsidR="008D0565" w:rsidRPr="00D61F73" w:rsidRDefault="008D0565" w:rsidP="00D61F73">
      <w:pPr>
        <w:rPr>
          <w:rFonts w:ascii="Arial" w:hAnsi="Arial" w:cs="Arial"/>
        </w:rPr>
      </w:pPr>
      <w:r w:rsidRPr="00D61F73">
        <w:rPr>
          <w:rFonts w:ascii="Arial" w:hAnsi="Arial" w:cs="Arial"/>
        </w:rPr>
        <w:t>Rating: 3c</w:t>
      </w:r>
    </w:p>
    <w:p w14:paraId="4D6C50D5" w14:textId="77777777" w:rsidR="008D0565" w:rsidRPr="00D61F73" w:rsidRDefault="008D0565" w:rsidP="00D61F73">
      <w:pPr>
        <w:rPr>
          <w:rFonts w:ascii="Arial" w:hAnsi="Arial" w:cs="Arial"/>
          <w:b/>
          <w:bCs/>
        </w:rPr>
      </w:pPr>
      <w:r w:rsidRPr="00D61F73">
        <w:rPr>
          <w:rFonts w:ascii="Arial" w:hAnsi="Arial" w:cs="Arial"/>
        </w:rPr>
        <w:br w:type="page"/>
      </w:r>
      <w:bookmarkStart w:id="562" w:name="Browning"/>
      <w:r w:rsidRPr="00D61F73">
        <w:rPr>
          <w:rFonts w:ascii="Arial" w:hAnsi="Arial" w:cs="Arial"/>
          <w:b/>
          <w:bCs/>
        </w:rPr>
        <w:lastRenderedPageBreak/>
        <w:t>Browning</w:t>
      </w:r>
      <w:bookmarkEnd w:id="562"/>
      <w:r w:rsidRPr="00D61F73">
        <w:rPr>
          <w:rFonts w:ascii="Arial" w:hAnsi="Arial" w:cs="Arial"/>
          <w:b/>
          <w:bCs/>
        </w:rPr>
        <w:t xml:space="preserve"> R, Jackson JL, O'Malley PG, Cyclobenzaprine and back pain: a meta-analysis, </w:t>
      </w:r>
      <w:r w:rsidRPr="00D61F73">
        <w:rPr>
          <w:rFonts w:ascii="Arial" w:hAnsi="Arial" w:cs="Arial"/>
          <w:b/>
          <w:bCs/>
          <w:i/>
          <w:iCs/>
        </w:rPr>
        <w:t>Arch Intern Med.</w:t>
      </w:r>
      <w:r w:rsidRPr="00D61F73">
        <w:rPr>
          <w:rFonts w:ascii="Arial" w:hAnsi="Arial" w:cs="Arial"/>
          <w:b/>
          <w:bCs/>
        </w:rPr>
        <w:t xml:space="preserve"> 2001 Jul 9;161(13):1613-20.</w:t>
      </w:r>
    </w:p>
    <w:p w14:paraId="4F65E0C2" w14:textId="77777777" w:rsidR="008D0565" w:rsidRPr="00D61F73" w:rsidRDefault="008D0565" w:rsidP="00D61F73">
      <w:pPr>
        <w:rPr>
          <w:rFonts w:ascii="Arial" w:hAnsi="Arial" w:cs="Arial"/>
        </w:rPr>
      </w:pPr>
    </w:p>
    <w:p w14:paraId="126C431A" w14:textId="77777777" w:rsidR="008D0565" w:rsidRPr="00D61F73" w:rsidRDefault="008D0565" w:rsidP="00D61F73">
      <w:pPr>
        <w:rPr>
          <w:rFonts w:ascii="Arial" w:hAnsi="Arial" w:cs="Arial"/>
        </w:rPr>
      </w:pPr>
      <w:r w:rsidRPr="00D61F73">
        <w:rPr>
          <w:rFonts w:ascii="Arial" w:hAnsi="Arial" w:cs="Arial"/>
        </w:rPr>
        <w:t xml:space="preserve">CONCLUSIONS: Cyclobenzaprine is more effective than placebo in the management of back pain; the effect is modest and comes at the price of greater adverse effects. The effect is greatest in the first 4 days of treatment, suggesting that shorter courses may be better. </w:t>
      </w:r>
    </w:p>
    <w:p w14:paraId="5E570101" w14:textId="77777777" w:rsidR="008D0565" w:rsidRPr="00D61F73" w:rsidRDefault="008D0565" w:rsidP="00D61F73">
      <w:pPr>
        <w:rPr>
          <w:rFonts w:ascii="Arial" w:hAnsi="Arial" w:cs="Arial"/>
        </w:rPr>
      </w:pPr>
    </w:p>
    <w:p w14:paraId="4ACE64EB" w14:textId="77777777" w:rsidR="008D0565" w:rsidRPr="00D61F73" w:rsidRDefault="008D0565" w:rsidP="00D61F73">
      <w:pPr>
        <w:rPr>
          <w:rFonts w:ascii="Arial" w:hAnsi="Arial" w:cs="Arial"/>
        </w:rPr>
      </w:pPr>
      <w:r w:rsidRPr="00D61F73">
        <w:rPr>
          <w:rFonts w:ascii="Arial" w:hAnsi="Arial" w:cs="Arial"/>
        </w:rPr>
        <w:t xml:space="preserve">PMID: </w:t>
      </w:r>
      <w:hyperlink r:id="rId297" w:history="1">
        <w:r w:rsidRPr="00D61F73">
          <w:rPr>
            <w:rStyle w:val="Hyperlink"/>
            <w:rFonts w:ascii="Arial" w:hAnsi="Arial" w:cs="Arial"/>
          </w:rPr>
          <w:t>11434793</w:t>
        </w:r>
      </w:hyperlink>
      <w:r w:rsidRPr="00D61F73">
        <w:rPr>
          <w:rFonts w:ascii="Arial" w:hAnsi="Arial" w:cs="Arial"/>
        </w:rPr>
        <w:t xml:space="preserve"> </w:t>
      </w:r>
    </w:p>
    <w:p w14:paraId="6B02783D" w14:textId="77777777" w:rsidR="008D0565" w:rsidRPr="00D61F73" w:rsidRDefault="008D0565" w:rsidP="00D61F73">
      <w:pPr>
        <w:pStyle w:val="Heading2"/>
        <w:rPr>
          <w:rFonts w:ascii="Arial" w:hAnsi="Arial" w:cs="Arial"/>
          <w:b w:val="0"/>
          <w:bCs/>
          <w:sz w:val="24"/>
          <w:szCs w:val="24"/>
        </w:rPr>
      </w:pPr>
    </w:p>
    <w:p w14:paraId="58CBB970"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Rating: 1a</w:t>
      </w:r>
    </w:p>
    <w:p w14:paraId="1A95F281" w14:textId="77777777" w:rsidR="008D0565" w:rsidRPr="00D61F73" w:rsidRDefault="008D0565" w:rsidP="00D61F73">
      <w:pPr>
        <w:pStyle w:val="Heading2"/>
        <w:rPr>
          <w:rFonts w:ascii="Arial" w:hAnsi="Arial" w:cs="Arial"/>
          <w:sz w:val="24"/>
          <w:szCs w:val="24"/>
        </w:rPr>
      </w:pPr>
      <w:r w:rsidRPr="00D61F73">
        <w:rPr>
          <w:rFonts w:ascii="Arial" w:hAnsi="Arial" w:cs="Arial"/>
          <w:b w:val="0"/>
          <w:bCs/>
          <w:sz w:val="24"/>
          <w:szCs w:val="24"/>
        </w:rPr>
        <w:br w:type="page"/>
      </w:r>
      <w:hyperlink r:id="rId298" w:history="1">
        <w:r w:rsidRPr="00D61F73">
          <w:rPr>
            <w:rStyle w:val="Hyperlink"/>
            <w:rFonts w:ascii="Arial" w:hAnsi="Arial" w:cs="Arial"/>
            <w:sz w:val="24"/>
            <w:szCs w:val="24"/>
          </w:rPr>
          <w:t>B</w:t>
        </w:r>
        <w:bookmarkStart w:id="563" w:name="Bruce"/>
        <w:bookmarkEnd w:id="563"/>
        <w:r w:rsidRPr="00D61F73">
          <w:rPr>
            <w:rStyle w:val="Hyperlink"/>
            <w:rFonts w:ascii="Arial" w:hAnsi="Arial" w:cs="Arial"/>
            <w:sz w:val="24"/>
            <w:szCs w:val="24"/>
          </w:rPr>
          <w:t xml:space="preserve">ruce B, Fries J, Lubeck D. </w:t>
        </w:r>
      </w:hyperlink>
      <w:r w:rsidRPr="00D61F73">
        <w:rPr>
          <w:rFonts w:ascii="Arial" w:hAnsi="Arial" w:cs="Arial"/>
          <w:sz w:val="24"/>
          <w:szCs w:val="24"/>
        </w:rPr>
        <w:t xml:space="preserve"> Aerobic exercise and its impact on musculoskeletal pain in older adults: a 14 year prospective, longitudinal study. Arthritis Res Ther 2005 Sept 19; R1263-R1270</w:t>
      </w:r>
    </w:p>
    <w:p w14:paraId="0584F929" w14:textId="77777777" w:rsidR="008D0565" w:rsidRPr="00D61F73" w:rsidRDefault="008D0565" w:rsidP="00D61F73">
      <w:pPr>
        <w:pStyle w:val="Heading2"/>
        <w:rPr>
          <w:rFonts w:ascii="Arial" w:hAnsi="Arial" w:cs="Arial"/>
          <w:b w:val="0"/>
          <w:bCs/>
          <w:sz w:val="24"/>
          <w:szCs w:val="24"/>
        </w:rPr>
      </w:pPr>
    </w:p>
    <w:p w14:paraId="59575982"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Exercise was associated with significantly lower pain scores over time in the Runners' Association group after adjusting for gender, baseline BMI, and study attrition (p &lt; 0.01). Similar differences were observed for Ever-Runners versus Never-Runners. Consistent exercise patterns over the long</w:t>
      </w:r>
      <w:r w:rsidR="0053700F" w:rsidRPr="00D61F73">
        <w:rPr>
          <w:rFonts w:ascii="Arial" w:hAnsi="Arial" w:cs="Arial"/>
          <w:b w:val="0"/>
          <w:bCs/>
          <w:sz w:val="24"/>
          <w:szCs w:val="24"/>
        </w:rPr>
        <w:t>-</w:t>
      </w:r>
      <w:r w:rsidRPr="00D61F73">
        <w:rPr>
          <w:rFonts w:ascii="Arial" w:hAnsi="Arial" w:cs="Arial"/>
          <w:b w:val="0"/>
          <w:bCs/>
          <w:sz w:val="24"/>
          <w:szCs w:val="24"/>
        </w:rPr>
        <w:t>term in physically active seniors are associated with about 25% less musculoskeletal pain than reported by more sedentary controls, either by calendar year or by cumulative area-under-the-curve pain over average ages of 62 to 76 years.</w:t>
      </w:r>
    </w:p>
    <w:p w14:paraId="0711B23D" w14:textId="77777777" w:rsidR="008D0565" w:rsidRPr="00D61F73" w:rsidRDefault="008D0565" w:rsidP="00D61F73">
      <w:pPr>
        <w:pStyle w:val="Heading2"/>
        <w:rPr>
          <w:rFonts w:ascii="Arial" w:hAnsi="Arial" w:cs="Arial"/>
          <w:b w:val="0"/>
          <w:bCs/>
          <w:sz w:val="24"/>
          <w:szCs w:val="24"/>
        </w:rPr>
      </w:pPr>
    </w:p>
    <w:p w14:paraId="4CEF71C0" w14:textId="77777777" w:rsidR="00035726" w:rsidRPr="00D61F73" w:rsidRDefault="00035726" w:rsidP="00D61F73">
      <w:pPr>
        <w:rPr>
          <w:rFonts w:ascii="Arial" w:hAnsi="Arial" w:cs="Arial"/>
        </w:rPr>
      </w:pPr>
      <w:r w:rsidRPr="00D61F73">
        <w:rPr>
          <w:rFonts w:ascii="Arial" w:hAnsi="Arial" w:cs="Arial"/>
        </w:rPr>
        <w:t xml:space="preserve">PMID: </w:t>
      </w:r>
      <w:hyperlink r:id="rId299" w:history="1">
        <w:r w:rsidRPr="00D61F73">
          <w:rPr>
            <w:rStyle w:val="Hyperlink"/>
            <w:rFonts w:ascii="Arial" w:hAnsi="Arial" w:cs="Arial"/>
          </w:rPr>
          <w:t>16277679</w:t>
        </w:r>
      </w:hyperlink>
    </w:p>
    <w:p w14:paraId="18EBB74E" w14:textId="77777777" w:rsidR="00035726" w:rsidRPr="00D61F73" w:rsidRDefault="00035726" w:rsidP="00D61F73">
      <w:pPr>
        <w:rPr>
          <w:rFonts w:ascii="Arial" w:hAnsi="Arial" w:cs="Arial"/>
        </w:rPr>
      </w:pPr>
    </w:p>
    <w:p w14:paraId="25E3FC09"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Rating: 3a</w:t>
      </w:r>
    </w:p>
    <w:p w14:paraId="3648B0C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64" w:name="Bruehl2"/>
      <w:bookmarkEnd w:id="564"/>
      <w:r w:rsidRPr="00D61F73">
        <w:rPr>
          <w:rFonts w:ascii="Arial" w:hAnsi="Arial" w:cs="Arial"/>
          <w:b/>
          <w:bCs/>
        </w:rPr>
        <w:t xml:space="preserve">ruehl S, Harden RN, Galer BS, Saltz S, Bertram M, Backonja M, Gayles R, Rudin N, Bhugra MK, Stanton-Hicks M. External validation of IASP diagnostic criteria for Complex Regional Pain Syndrome and proposed research diagnostic criteria. International Association for the Study of Pain. </w:t>
      </w:r>
      <w:r w:rsidRPr="00D61F73">
        <w:rPr>
          <w:rFonts w:ascii="Arial" w:hAnsi="Arial" w:cs="Arial"/>
          <w:b/>
          <w:bCs/>
          <w:i/>
          <w:iCs/>
        </w:rPr>
        <w:t>Pain.</w:t>
      </w:r>
      <w:r w:rsidRPr="00D61F73">
        <w:rPr>
          <w:rFonts w:ascii="Arial" w:hAnsi="Arial" w:cs="Arial"/>
          <w:b/>
          <w:bCs/>
        </w:rPr>
        <w:t xml:space="preserve"> 1999 May;81(1-2):147-54.</w:t>
      </w:r>
    </w:p>
    <w:p w14:paraId="1DB35F8C" w14:textId="77777777" w:rsidR="008D0565" w:rsidRPr="00D61F73" w:rsidRDefault="008D0565" w:rsidP="00D61F73">
      <w:pPr>
        <w:pStyle w:val="NormalWeb"/>
        <w:spacing w:before="0" w:beforeAutospacing="0" w:after="0" w:afterAutospacing="0"/>
        <w:rPr>
          <w:rFonts w:ascii="Arial" w:hAnsi="Arial" w:cs="Arial"/>
        </w:rPr>
      </w:pPr>
    </w:p>
    <w:p w14:paraId="056544B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These results indicate that the current IASP criteria for CRPS have inadequate specificity and are likely to lead to overdiagnosis. </w:t>
      </w:r>
    </w:p>
    <w:p w14:paraId="190B006C" w14:textId="77777777" w:rsidR="008D0565" w:rsidRPr="00D61F73" w:rsidRDefault="008D0565" w:rsidP="00D61F73">
      <w:pPr>
        <w:pStyle w:val="NormalWeb"/>
        <w:spacing w:before="0" w:beforeAutospacing="0" w:after="0" w:afterAutospacing="0"/>
        <w:rPr>
          <w:rFonts w:ascii="Arial" w:hAnsi="Arial" w:cs="Arial"/>
        </w:rPr>
      </w:pPr>
    </w:p>
    <w:p w14:paraId="561BE91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00" w:history="1">
        <w:r w:rsidRPr="00D61F73">
          <w:rPr>
            <w:rStyle w:val="Hyperlink"/>
            <w:rFonts w:ascii="Arial" w:hAnsi="Arial" w:cs="Arial"/>
          </w:rPr>
          <w:t>10353502</w:t>
        </w:r>
      </w:hyperlink>
      <w:r w:rsidRPr="00D61F73">
        <w:rPr>
          <w:rFonts w:ascii="Arial" w:hAnsi="Arial" w:cs="Arial"/>
        </w:rPr>
        <w:t xml:space="preserve"> </w:t>
      </w:r>
    </w:p>
    <w:p w14:paraId="07C986CD" w14:textId="77777777" w:rsidR="008D0565" w:rsidRPr="00D61F73" w:rsidRDefault="008D0565" w:rsidP="00D61F73">
      <w:pPr>
        <w:pStyle w:val="NormalWeb"/>
        <w:spacing w:before="0" w:beforeAutospacing="0" w:after="0" w:afterAutospacing="0"/>
        <w:rPr>
          <w:rFonts w:ascii="Arial" w:hAnsi="Arial" w:cs="Arial"/>
        </w:rPr>
      </w:pPr>
    </w:p>
    <w:p w14:paraId="5945147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4A2F7A64"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B</w:t>
      </w:r>
      <w:bookmarkStart w:id="565" w:name="Bruehl2010"/>
      <w:bookmarkEnd w:id="565"/>
      <w:r w:rsidRPr="00D61F73">
        <w:rPr>
          <w:rFonts w:ascii="Arial" w:hAnsi="Arial" w:cs="Arial"/>
          <w:b/>
        </w:rPr>
        <w:t xml:space="preserve">ruehl S. An update on the pathophysiology of complex regional pain syndrome. </w:t>
      </w:r>
      <w:r w:rsidRPr="00D61F73">
        <w:rPr>
          <w:rFonts w:ascii="Arial" w:hAnsi="Arial" w:cs="Arial"/>
          <w:b/>
          <w:i/>
        </w:rPr>
        <w:t>Anesthesiology</w:t>
      </w:r>
      <w:r w:rsidRPr="00D61F73">
        <w:rPr>
          <w:rFonts w:ascii="Arial" w:hAnsi="Arial" w:cs="Arial"/>
          <w:b/>
        </w:rPr>
        <w:t>. 2010;113:713-25.</w:t>
      </w:r>
    </w:p>
    <w:p w14:paraId="1A7721A7" w14:textId="77777777" w:rsidR="008D0565" w:rsidRPr="00D61F73" w:rsidRDefault="008D0565" w:rsidP="00D61F73">
      <w:pPr>
        <w:rPr>
          <w:rFonts w:ascii="Arial" w:hAnsi="Arial" w:cs="Arial"/>
        </w:rPr>
      </w:pPr>
    </w:p>
    <w:p w14:paraId="6752B68B" w14:textId="77777777" w:rsidR="008D0565" w:rsidRPr="00D61F73" w:rsidRDefault="008D0565" w:rsidP="00D61F73">
      <w:pPr>
        <w:rPr>
          <w:rFonts w:ascii="Arial" w:hAnsi="Arial" w:cs="Arial"/>
        </w:rPr>
      </w:pPr>
      <w:r w:rsidRPr="00D61F73">
        <w:rPr>
          <w:rFonts w:ascii="Arial" w:hAnsi="Arial" w:cs="Arial"/>
        </w:rPr>
        <w:t xml:space="preserve">PMID: </w:t>
      </w:r>
      <w:hyperlink r:id="rId301" w:history="1">
        <w:r w:rsidRPr="00D61F73">
          <w:rPr>
            <w:rStyle w:val="Hyperlink"/>
            <w:rFonts w:ascii="Arial" w:hAnsi="Arial" w:cs="Arial"/>
          </w:rPr>
          <w:t>20693883</w:t>
        </w:r>
      </w:hyperlink>
    </w:p>
    <w:p w14:paraId="6B31D925" w14:textId="77777777" w:rsidR="008D0565" w:rsidRPr="00D61F73" w:rsidRDefault="008D0565" w:rsidP="00D61F73">
      <w:pPr>
        <w:rPr>
          <w:rFonts w:ascii="Arial" w:hAnsi="Arial" w:cs="Arial"/>
        </w:rPr>
      </w:pPr>
    </w:p>
    <w:p w14:paraId="72645ACC" w14:textId="77777777" w:rsidR="008D0565" w:rsidRPr="00D61F73" w:rsidRDefault="008D0565" w:rsidP="00D61F73">
      <w:pPr>
        <w:rPr>
          <w:rFonts w:ascii="Arial" w:hAnsi="Arial" w:cs="Arial"/>
        </w:rPr>
      </w:pPr>
      <w:r w:rsidRPr="00D61F73">
        <w:rPr>
          <w:rFonts w:ascii="Arial" w:hAnsi="Arial" w:cs="Arial"/>
        </w:rPr>
        <w:t>Rating: 5b</w:t>
      </w:r>
    </w:p>
    <w:p w14:paraId="0EFC35C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br w:type="page"/>
      </w:r>
    </w:p>
    <w:p w14:paraId="7CA7DBE5" w14:textId="77777777" w:rsidR="008D0565" w:rsidRPr="00D61F73" w:rsidRDefault="00751163" w:rsidP="00D61F73">
      <w:pPr>
        <w:pStyle w:val="NormalWeb"/>
        <w:spacing w:before="0" w:beforeAutospacing="0" w:after="0" w:afterAutospacing="0"/>
        <w:rPr>
          <w:rFonts w:ascii="Arial" w:hAnsi="Arial" w:cs="Arial"/>
          <w:b/>
          <w:bCs/>
        </w:rPr>
      </w:pPr>
      <w:hyperlink r:id="rId302" w:history="1">
        <w:r w:rsidR="008D0565" w:rsidRPr="00D61F73">
          <w:rPr>
            <w:rStyle w:val="Hyperlink"/>
            <w:rFonts w:ascii="Arial" w:hAnsi="Arial" w:cs="Arial"/>
            <w:b/>
            <w:bCs/>
          </w:rPr>
          <w:t>B</w:t>
        </w:r>
        <w:bookmarkStart w:id="566" w:name="Bruns"/>
        <w:bookmarkEnd w:id="566"/>
        <w:r w:rsidR="008D0565" w:rsidRPr="00D61F73">
          <w:rPr>
            <w:rStyle w:val="Hyperlink"/>
            <w:rFonts w:ascii="Arial" w:hAnsi="Arial" w:cs="Arial"/>
            <w:b/>
            <w:bCs/>
          </w:rPr>
          <w:t>runs</w:t>
        </w:r>
      </w:hyperlink>
      <w:r w:rsidR="008D0565" w:rsidRPr="00D61F73">
        <w:rPr>
          <w:rFonts w:ascii="Arial" w:hAnsi="Arial" w:cs="Arial"/>
          <w:b/>
          <w:bCs/>
        </w:rPr>
        <w:t xml:space="preserve"> D. Colorado Division of Workers’ Compensation, Comprehensive Psychological Testing: Psychological Tests Commonly Used in the Assessment of Chronic Pain Patients. 2001</w:t>
      </w:r>
    </w:p>
    <w:p w14:paraId="4EABE0C5" w14:textId="77777777" w:rsidR="008D0565" w:rsidRPr="00D61F73" w:rsidRDefault="008D0565" w:rsidP="00D61F73">
      <w:pPr>
        <w:pStyle w:val="NormalWeb"/>
        <w:spacing w:before="0" w:beforeAutospacing="0" w:after="0" w:afterAutospacing="0"/>
        <w:rPr>
          <w:rFonts w:ascii="Arial" w:hAnsi="Arial" w:cs="Arial"/>
        </w:rPr>
      </w:pPr>
    </w:p>
    <w:p w14:paraId="32DAB3B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The following 26 tests are described and evaluated:</w:t>
      </w:r>
    </w:p>
    <w:p w14:paraId="0B2D5EA2" w14:textId="77777777" w:rsidR="008D0565" w:rsidRPr="00D61F73" w:rsidRDefault="008D0565" w:rsidP="00D61F73">
      <w:pPr>
        <w:pStyle w:val="NormalWeb"/>
        <w:spacing w:before="0" w:beforeAutospacing="0" w:after="0" w:afterAutospacing="0"/>
        <w:rPr>
          <w:rFonts w:ascii="Arial" w:hAnsi="Arial" w:cs="Arial"/>
        </w:rPr>
      </w:pPr>
    </w:p>
    <w:p w14:paraId="66941696"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BHI™ 2 (Battery for Health Improvement – 2nd edition)</w:t>
      </w:r>
    </w:p>
    <w:p w14:paraId="5A335900" w14:textId="77777777" w:rsidR="008D0565" w:rsidRPr="00D61F73" w:rsidRDefault="008D0565" w:rsidP="00D61F73">
      <w:pPr>
        <w:pStyle w:val="NormalWeb"/>
        <w:numPr>
          <w:ilvl w:val="0"/>
          <w:numId w:val="9"/>
        </w:numPr>
        <w:rPr>
          <w:rFonts w:ascii="Arial" w:hAnsi="Arial" w:cs="Arial"/>
        </w:rPr>
      </w:pPr>
      <w:r w:rsidRPr="00D61F73">
        <w:rPr>
          <w:rFonts w:ascii="Arial" w:hAnsi="Arial" w:cs="Arial"/>
        </w:rPr>
        <w:t>MBHI™ (Millon Behavioral Health Inventory) [Has been superceded by the MBMD. The updated version of the test, the MBMD, should be administered instead.]</w:t>
      </w:r>
    </w:p>
    <w:p w14:paraId="7EEA2D0A"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MBMD™ (Millon Behavioral Medical Diagnostic)</w:t>
      </w:r>
    </w:p>
    <w:p w14:paraId="78CEC2E1"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PAB (Pain Assessment Battery)</w:t>
      </w:r>
    </w:p>
    <w:p w14:paraId="2F172175"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MCMI-111™ (Millon Clinical Multiaxial Inventory, 3rd edition)</w:t>
      </w:r>
    </w:p>
    <w:p w14:paraId="256B58C0"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MMPI-2™ (Minnesota Inventory- 2nd edition ™)</w:t>
      </w:r>
    </w:p>
    <w:p w14:paraId="22389006"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PAI™ (Personality Assessment Inventory)</w:t>
      </w:r>
    </w:p>
    <w:p w14:paraId="6EF9FA96"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BBHI™ 2 (Brief Battery for Health Improvement – 2nd edition)</w:t>
      </w:r>
    </w:p>
    <w:p w14:paraId="070F467B"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MPI (Multidimensional Pain Inventory)</w:t>
      </w:r>
    </w:p>
    <w:p w14:paraId="700F8511"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P-3™ (Pain Patient Profile)</w:t>
      </w:r>
    </w:p>
    <w:p w14:paraId="1E70D9B6"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Pain Presentation Inventory</w:t>
      </w:r>
    </w:p>
    <w:p w14:paraId="6A5CCA65"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PRIME-MD (Primary Care Evaluation for Mental Disorders)</w:t>
      </w:r>
    </w:p>
    <w:p w14:paraId="04CD7623"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PHQ (Patient Health Questionnaire)</w:t>
      </w:r>
    </w:p>
    <w:p w14:paraId="5939D057"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SF 36 ™</w:t>
      </w:r>
    </w:p>
    <w:p w14:paraId="19FA7937"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(SIP) Sickness Impact Profile</w:t>
      </w:r>
    </w:p>
    <w:p w14:paraId="39090421"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BSI® (Brief Symptom Inventory)</w:t>
      </w:r>
    </w:p>
    <w:p w14:paraId="29F034F7"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BSI® 18 (Brief Symptom Inventory-18)</w:t>
      </w:r>
    </w:p>
    <w:p w14:paraId="7F2CAC70"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SCL-90-R® (Symptom Checklist –90 Revised)</w:t>
      </w:r>
    </w:p>
    <w:p w14:paraId="6FE0342E"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BDI ®–II (Beck Depression Inventory-2nd edition)</w:t>
      </w:r>
    </w:p>
    <w:p w14:paraId="073EAD58"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CES-D (Center for Epidemiological Studies Depression Scale)</w:t>
      </w:r>
    </w:p>
    <w:p w14:paraId="0A8CBA5A"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PDS™ (Post Traumatic Stress Diagnostic Scale)</w:t>
      </w:r>
    </w:p>
    <w:p w14:paraId="53D5B6B5"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Zung Depression Inventory</w:t>
      </w:r>
    </w:p>
    <w:p w14:paraId="48CF1771"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MPQ (McGill Pain Questionnaire)</w:t>
      </w:r>
    </w:p>
    <w:p w14:paraId="4BC33426"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MPQ-SF (McGill Pain Questionnaire – Short Form)</w:t>
      </w:r>
    </w:p>
    <w:p w14:paraId="1AB47770"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Oswestry Disability Questionnaire</w:t>
      </w:r>
    </w:p>
    <w:p w14:paraId="1856D12B" w14:textId="77777777" w:rsidR="008D0565" w:rsidRPr="00D61F73" w:rsidRDefault="008D0565" w:rsidP="00D61F73">
      <w:pPr>
        <w:pStyle w:val="NormalWeb"/>
        <w:numPr>
          <w:ilvl w:val="0"/>
          <w:numId w:val="9"/>
        </w:numPr>
        <w:spacing w:before="0" w:beforeAutospacing="0" w:after="0" w:afterAutospacing="0"/>
        <w:rPr>
          <w:rFonts w:ascii="Arial" w:hAnsi="Arial" w:cs="Arial"/>
        </w:rPr>
      </w:pPr>
      <w:r w:rsidRPr="00D61F73">
        <w:rPr>
          <w:rFonts w:ascii="Arial" w:hAnsi="Arial" w:cs="Arial"/>
        </w:rPr>
        <w:t>Visual Analogue Pain Scale (VAS)</w:t>
      </w:r>
    </w:p>
    <w:p w14:paraId="55A30B0D" w14:textId="77777777" w:rsidR="008D0565" w:rsidRPr="00D61F73" w:rsidRDefault="008D0565" w:rsidP="00D61F73">
      <w:pPr>
        <w:pStyle w:val="NormalWeb"/>
        <w:spacing w:before="0" w:beforeAutospacing="0" w:after="0" w:afterAutospacing="0"/>
        <w:rPr>
          <w:rFonts w:ascii="Arial" w:hAnsi="Arial" w:cs="Arial"/>
        </w:rPr>
      </w:pPr>
    </w:p>
    <w:p w14:paraId="6AEBE6E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7a</w:t>
      </w:r>
    </w:p>
    <w:p w14:paraId="770655C7" w14:textId="77777777" w:rsidR="008D0565" w:rsidRPr="00D61F73" w:rsidRDefault="008D0565" w:rsidP="00D61F73">
      <w:pPr>
        <w:rPr>
          <w:rFonts w:ascii="Arial" w:hAnsi="Arial" w:cs="Arial"/>
        </w:rPr>
      </w:pPr>
      <w:r w:rsidRPr="00D61F73">
        <w:rPr>
          <w:rFonts w:ascii="Arial" w:eastAsia="Arial Unicode MS" w:hAnsi="Arial" w:cs="Arial"/>
          <w:color w:val="auto"/>
        </w:rPr>
        <w:br w:type="page"/>
      </w:r>
      <w:r w:rsidRPr="00D61F73">
        <w:rPr>
          <w:rFonts w:ascii="Arial" w:hAnsi="Arial" w:cs="Arial"/>
          <w:b/>
        </w:rPr>
        <w:lastRenderedPageBreak/>
        <w:t>B</w:t>
      </w:r>
      <w:bookmarkStart w:id="567" w:name="Burch2"/>
      <w:bookmarkEnd w:id="567"/>
      <w:r w:rsidRPr="00D61F73">
        <w:rPr>
          <w:rFonts w:ascii="Arial" w:hAnsi="Arial" w:cs="Arial"/>
          <w:b/>
        </w:rPr>
        <w:t xml:space="preserve">urch F, Codding C, Patel N, Sheldon E. Lidocaine patch 5% improves pain, stiffness, and physical function in osteoarthritis pain patients. A prospective, multicenter, open-label effectiveness trial. </w:t>
      </w:r>
      <w:r w:rsidRPr="00D61F73">
        <w:rPr>
          <w:rFonts w:ascii="Arial" w:hAnsi="Arial" w:cs="Arial"/>
          <w:b/>
          <w:i/>
        </w:rPr>
        <w:t>Osteoarthritis Cartilage</w:t>
      </w:r>
      <w:r w:rsidRPr="00D61F73">
        <w:rPr>
          <w:rFonts w:ascii="Arial" w:hAnsi="Arial" w:cs="Arial"/>
          <w:b/>
        </w:rPr>
        <w:t>. 2004;12:253-5.</w:t>
      </w:r>
    </w:p>
    <w:p w14:paraId="4915AB1A" w14:textId="77777777" w:rsidR="008D0565" w:rsidRPr="00D61F73" w:rsidRDefault="008D0565" w:rsidP="00D61F73">
      <w:pPr>
        <w:rPr>
          <w:rFonts w:ascii="Arial" w:hAnsi="Arial" w:cs="Arial"/>
        </w:rPr>
      </w:pPr>
    </w:p>
    <w:p w14:paraId="5F51EF5E" w14:textId="77777777" w:rsidR="008D0565" w:rsidRPr="00D61F73" w:rsidRDefault="008D0565" w:rsidP="00D61F73">
      <w:pPr>
        <w:rPr>
          <w:rFonts w:ascii="Arial" w:hAnsi="Arial" w:cs="Arial"/>
        </w:rPr>
      </w:pPr>
      <w:r w:rsidRPr="00D61F73">
        <w:rPr>
          <w:rFonts w:ascii="Arial" w:hAnsi="Arial" w:cs="Arial"/>
        </w:rPr>
        <w:t xml:space="preserve">PMID: </w:t>
      </w:r>
      <w:hyperlink r:id="rId303" w:history="1">
        <w:r w:rsidRPr="00D61F73">
          <w:rPr>
            <w:rStyle w:val="Hyperlink"/>
            <w:rFonts w:ascii="Arial" w:hAnsi="Arial" w:cs="Arial"/>
          </w:rPr>
          <w:t>14972343</w:t>
        </w:r>
      </w:hyperlink>
    </w:p>
    <w:p w14:paraId="6558CAB4" w14:textId="77777777" w:rsidR="008D0565" w:rsidRPr="00D61F73" w:rsidRDefault="008D0565" w:rsidP="00D61F73">
      <w:pPr>
        <w:rPr>
          <w:rFonts w:ascii="Arial" w:hAnsi="Arial" w:cs="Arial"/>
        </w:rPr>
      </w:pPr>
    </w:p>
    <w:p w14:paraId="1A654844" w14:textId="77777777" w:rsidR="00F52071" w:rsidRPr="00D61F73" w:rsidRDefault="008D0565" w:rsidP="00D61F73">
      <w:pPr>
        <w:rPr>
          <w:rFonts w:ascii="Arial" w:hAnsi="Arial" w:cs="Arial"/>
        </w:rPr>
      </w:pPr>
      <w:r w:rsidRPr="00D61F73">
        <w:rPr>
          <w:rFonts w:ascii="Arial" w:hAnsi="Arial" w:cs="Arial"/>
        </w:rPr>
        <w:t>Rating: 4b</w:t>
      </w:r>
    </w:p>
    <w:p w14:paraId="3A920942" w14:textId="77777777" w:rsidR="00F52071" w:rsidRPr="00D61F73" w:rsidRDefault="00F52071" w:rsidP="00D61F73">
      <w:pPr>
        <w:rPr>
          <w:rFonts w:ascii="Arial" w:hAnsi="Arial" w:cs="Arial"/>
          <w:b/>
        </w:rPr>
      </w:pPr>
      <w:r w:rsidRPr="00D61F73">
        <w:rPr>
          <w:rFonts w:ascii="Arial" w:hAnsi="Arial" w:cs="Arial"/>
        </w:rPr>
        <w:br w:type="page"/>
      </w:r>
      <w:r w:rsidRPr="00D61F73">
        <w:rPr>
          <w:rFonts w:ascii="Arial" w:hAnsi="Arial" w:cs="Arial"/>
          <w:b/>
        </w:rPr>
        <w:lastRenderedPageBreak/>
        <w:t>B</w:t>
      </w:r>
      <w:bookmarkStart w:id="568" w:name="Burch"/>
      <w:bookmarkEnd w:id="568"/>
      <w:r w:rsidRPr="00D61F73">
        <w:rPr>
          <w:rFonts w:ascii="Arial" w:hAnsi="Arial" w:cs="Arial"/>
          <w:b/>
        </w:rPr>
        <w:t xml:space="preserve">urch FX, Tarro JN, Greenberg JJ, Carroll WJ. Evaluating the benefits of patterned stimulation in the treatment of osteoarthritis of the knee: a multi-center, randomized, single-blind, controlled study with an independent masked evaluator. </w:t>
      </w:r>
      <w:r w:rsidRPr="00D61F73">
        <w:rPr>
          <w:rFonts w:ascii="Arial" w:hAnsi="Arial" w:cs="Arial"/>
          <w:b/>
          <w:i/>
        </w:rPr>
        <w:t>Osteoarthritis Cartilage</w:t>
      </w:r>
      <w:r w:rsidRPr="00D61F73">
        <w:rPr>
          <w:rFonts w:ascii="Arial" w:hAnsi="Arial" w:cs="Arial"/>
          <w:b/>
        </w:rPr>
        <w:t>. 2008 Aug;16(8):865-72. Epub 2008 Feb 8.</w:t>
      </w:r>
    </w:p>
    <w:p w14:paraId="0F79F76E" w14:textId="77777777" w:rsidR="00F52071" w:rsidRPr="00D61F73" w:rsidRDefault="00F52071" w:rsidP="00D61F73">
      <w:pPr>
        <w:rPr>
          <w:rFonts w:ascii="Arial" w:hAnsi="Arial" w:cs="Arial"/>
        </w:rPr>
      </w:pPr>
    </w:p>
    <w:p w14:paraId="5515F141" w14:textId="77777777" w:rsidR="00F52071" w:rsidRPr="00D61F73" w:rsidRDefault="00F52071" w:rsidP="00D61F73">
      <w:pPr>
        <w:rPr>
          <w:rFonts w:ascii="Arial" w:hAnsi="Arial" w:cs="Arial"/>
        </w:rPr>
      </w:pPr>
      <w:r w:rsidRPr="00D61F73">
        <w:rPr>
          <w:rFonts w:ascii="Arial" w:hAnsi="Arial" w:cs="Arial"/>
        </w:rPr>
        <w:t>OBJECTIVE: This study investigated the benefits of the combination of interferential (IF) and patterned muscle stimulation in the treatment of osteoarthritis (OA) of the knee. CONCLUSIONS: In patients with OA of the knee, home-based patterned stimulation appears to be a promising therapy for relieving pain, decreasing stiffness, and increasing function.</w:t>
      </w:r>
    </w:p>
    <w:p w14:paraId="45D53097" w14:textId="77777777" w:rsidR="00F52071" w:rsidRPr="00D61F73" w:rsidRDefault="00F52071" w:rsidP="00D61F73">
      <w:pPr>
        <w:rPr>
          <w:rFonts w:ascii="Arial" w:hAnsi="Arial" w:cs="Arial"/>
        </w:rPr>
      </w:pPr>
    </w:p>
    <w:p w14:paraId="1EB5F2DD" w14:textId="77777777" w:rsidR="00F52071" w:rsidRPr="00D61F73" w:rsidRDefault="00F52071" w:rsidP="00D61F73">
      <w:pPr>
        <w:rPr>
          <w:rFonts w:ascii="Arial" w:hAnsi="Arial" w:cs="Arial"/>
        </w:rPr>
      </w:pPr>
      <w:r w:rsidRPr="00D61F73">
        <w:rPr>
          <w:rFonts w:ascii="Arial" w:hAnsi="Arial" w:cs="Arial"/>
        </w:rPr>
        <w:t xml:space="preserve">PMID: </w:t>
      </w:r>
      <w:hyperlink r:id="rId304" w:history="1">
        <w:r w:rsidRPr="00D61F73">
          <w:rPr>
            <w:rStyle w:val="Hyperlink"/>
            <w:rFonts w:ascii="Arial" w:hAnsi="Arial" w:cs="Arial"/>
          </w:rPr>
          <w:t>18262443</w:t>
        </w:r>
      </w:hyperlink>
      <w:r w:rsidRPr="00D61F73">
        <w:rPr>
          <w:rFonts w:ascii="Arial" w:hAnsi="Arial" w:cs="Arial"/>
        </w:rPr>
        <w:t xml:space="preserve"> </w:t>
      </w:r>
    </w:p>
    <w:p w14:paraId="4532D23D" w14:textId="77777777" w:rsidR="00F52071" w:rsidRPr="00D61F73" w:rsidRDefault="00F52071" w:rsidP="00D61F73">
      <w:pPr>
        <w:rPr>
          <w:rFonts w:ascii="Arial" w:hAnsi="Arial" w:cs="Arial"/>
        </w:rPr>
      </w:pPr>
    </w:p>
    <w:p w14:paraId="49B852B7" w14:textId="77777777" w:rsidR="00F52071" w:rsidRPr="00D61F73" w:rsidRDefault="00F52071" w:rsidP="00D61F73">
      <w:pPr>
        <w:rPr>
          <w:rFonts w:ascii="Arial" w:hAnsi="Arial" w:cs="Arial"/>
        </w:rPr>
      </w:pPr>
      <w:r w:rsidRPr="00D61F73">
        <w:rPr>
          <w:rFonts w:ascii="Arial" w:hAnsi="Arial" w:cs="Arial"/>
        </w:rPr>
        <w:t>Rating: 2b</w:t>
      </w:r>
    </w:p>
    <w:p w14:paraId="3F4A072E" w14:textId="77777777" w:rsidR="00F52071" w:rsidRPr="00D61F73" w:rsidRDefault="00F52071" w:rsidP="00D61F73">
      <w:pPr>
        <w:rPr>
          <w:rFonts w:ascii="Arial" w:hAnsi="Arial" w:cs="Arial"/>
        </w:rPr>
      </w:pPr>
    </w:p>
    <w:p w14:paraId="16023B3E" w14:textId="77777777" w:rsidR="00F52071" w:rsidRPr="00D61F73" w:rsidRDefault="00F52071" w:rsidP="00D61F73">
      <w:pPr>
        <w:rPr>
          <w:rFonts w:ascii="Arial" w:hAnsi="Arial" w:cs="Arial"/>
        </w:rPr>
      </w:pPr>
      <w:r w:rsidRPr="00D61F73">
        <w:rPr>
          <w:rFonts w:ascii="Arial" w:hAnsi="Arial" w:cs="Arial"/>
        </w:rPr>
        <w:t>The device used to deliver the electrical stimulation was the RS-4i Stimulator (RS Medical, 14001 SE First Street, Vancouver, WA). Stimulators were pre-programmed to deliver either IF plus patterned muscle stimulation or low-current TENS treatment. The study assessed the benefits of a home-based electrostimulation treatment combining IF and patterned muscle stimulation in treatment of OA of the knee. Low-current TENS was applied as a control. Our results suggest that patterned stimulation has the potential to be a more effective treatment modality than conventional single-step TENS for OA of the knee.</w:t>
      </w:r>
    </w:p>
    <w:p w14:paraId="6EA77098" w14:textId="77777777" w:rsidR="00F52071" w:rsidRPr="00D61F73" w:rsidRDefault="00F52071" w:rsidP="00D61F73">
      <w:pPr>
        <w:rPr>
          <w:rFonts w:ascii="Arial" w:hAnsi="Arial" w:cs="Arial"/>
        </w:rPr>
      </w:pPr>
      <w:r w:rsidRPr="00D61F73">
        <w:rPr>
          <w:rFonts w:ascii="Arial" w:hAnsi="Arial" w:cs="Arial"/>
          <w:u w:val="single"/>
        </w:rPr>
        <w:t>Conflict of interest</w:t>
      </w:r>
      <w:r w:rsidRPr="00D61F73">
        <w:rPr>
          <w:rFonts w:ascii="Arial" w:hAnsi="Arial" w:cs="Arial"/>
        </w:rPr>
        <w:t>: This study was supported by industrial funding. The sponsoring organization, RS Medical, has financial interest in patterned stimulation supplied by the RS-4i electrostimulation device. The corresponding author, WJ Carroll, is employed by the sponsor as Vice President of Research and Product Development. J.J. Greenberg was employed by the sponsor as Research Scientist during the conduct of the study. F.X. Burch, M.D., of Radiant Research, San Antonio and J.N. Tarro, M.D., of Radiant Research, Portland were paid contributors (as principal investigators).</w:t>
      </w:r>
    </w:p>
    <w:p w14:paraId="28976477" w14:textId="77777777" w:rsidR="00F52071" w:rsidRPr="00D61F73" w:rsidRDefault="00F52071" w:rsidP="00D61F73">
      <w:pPr>
        <w:rPr>
          <w:rFonts w:ascii="Arial" w:hAnsi="Arial" w:cs="Arial"/>
        </w:rPr>
      </w:pPr>
      <w:r w:rsidRPr="00D61F73">
        <w:rPr>
          <w:rFonts w:ascii="Arial" w:hAnsi="Arial" w:cs="Arial"/>
        </w:rPr>
        <w:t>Role of the Funding Source: The sponsor of this study, RS Medical, designed the study and provided the infrastructure for collecting study data. RS Medical and its paid consultants analyzed and interpreted the data and prepared this manuscript. RS Medical is responsible for the decision to submit the manuscript for publication.</w:t>
      </w:r>
    </w:p>
    <w:p w14:paraId="52F5FCC6" w14:textId="77777777" w:rsidR="008D0565" w:rsidRPr="00D61F73" w:rsidRDefault="008D0565" w:rsidP="00D61F73">
      <w:pPr>
        <w:rPr>
          <w:rFonts w:ascii="Arial" w:hAnsi="Arial" w:cs="Arial"/>
        </w:rPr>
      </w:pPr>
    </w:p>
    <w:p w14:paraId="41EF2613" w14:textId="3480EB49" w:rsidR="008D0565" w:rsidRPr="00D61F73" w:rsidRDefault="008D0565" w:rsidP="00D61F73">
      <w:pPr>
        <w:rPr>
          <w:rFonts w:ascii="Arial" w:hAnsi="Arial" w:cs="Arial"/>
          <w:b/>
        </w:rPr>
      </w:pPr>
      <w:r w:rsidRPr="00D61F73">
        <w:rPr>
          <w:rFonts w:ascii="Arial" w:eastAsia="Arial Unicode MS" w:hAnsi="Arial" w:cs="Arial"/>
          <w:color w:val="auto"/>
        </w:rPr>
        <w:br w:type="page"/>
      </w:r>
      <w:r w:rsidRPr="00D61F73">
        <w:rPr>
          <w:rFonts w:ascii="Arial" w:hAnsi="Arial" w:cs="Arial"/>
          <w:b/>
        </w:rPr>
        <w:lastRenderedPageBreak/>
        <w:t>B</w:t>
      </w:r>
      <w:bookmarkStart w:id="569" w:name="Burton"/>
      <w:bookmarkEnd w:id="569"/>
      <w:r w:rsidRPr="00D61F73">
        <w:rPr>
          <w:rFonts w:ascii="Arial" w:hAnsi="Arial" w:cs="Arial"/>
          <w:b/>
        </w:rPr>
        <w:t xml:space="preserve">urton AW, Interventional Therapies. In: Complex Regional Pain Syndrome: Treatment Guidelines. Ed. Harden N. Reflex Sympathetic Dystrophy Syndrome Association. 2006. </w:t>
      </w:r>
    </w:p>
    <w:p w14:paraId="0E948132" w14:textId="77777777" w:rsidR="008D0565" w:rsidRPr="00D61F73" w:rsidRDefault="008D0565" w:rsidP="00D61F73">
      <w:pPr>
        <w:rPr>
          <w:rFonts w:ascii="Arial" w:hAnsi="Arial" w:cs="Arial"/>
          <w:b/>
        </w:rPr>
      </w:pPr>
    </w:p>
    <w:p w14:paraId="722D09EB" w14:textId="77777777" w:rsidR="008D0565" w:rsidRPr="00D61F73" w:rsidRDefault="008D0565" w:rsidP="00D61F73">
      <w:pPr>
        <w:rPr>
          <w:rFonts w:ascii="Arial" w:hAnsi="Arial" w:cs="Arial"/>
        </w:rPr>
      </w:pPr>
      <w:r w:rsidRPr="00D61F73">
        <w:rPr>
          <w:rFonts w:ascii="Arial" w:hAnsi="Arial" w:cs="Arial"/>
        </w:rPr>
        <w:t>No abstract available. A discussion of the role of interventional therapy for CRPS.</w:t>
      </w:r>
    </w:p>
    <w:p w14:paraId="44E26366" w14:textId="77777777" w:rsidR="008D0565" w:rsidRPr="00D61F73" w:rsidRDefault="008D0565" w:rsidP="00D61F73">
      <w:pPr>
        <w:rPr>
          <w:rFonts w:ascii="Arial" w:hAnsi="Arial" w:cs="Arial"/>
        </w:rPr>
      </w:pPr>
    </w:p>
    <w:p w14:paraId="3C0C109A" w14:textId="77777777" w:rsidR="008D0565" w:rsidRPr="00D61F73" w:rsidRDefault="008D0565" w:rsidP="00D61F73">
      <w:pPr>
        <w:rPr>
          <w:rFonts w:ascii="Arial" w:hAnsi="Arial" w:cs="Arial"/>
        </w:rPr>
      </w:pPr>
      <w:r w:rsidRPr="00D61F73">
        <w:rPr>
          <w:rFonts w:ascii="Arial" w:hAnsi="Arial" w:cs="Arial"/>
        </w:rPr>
        <w:t>Rating: 5a</w:t>
      </w:r>
    </w:p>
    <w:p w14:paraId="35E5C7E7"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color w:val="auto"/>
        </w:rPr>
        <w:br w:type="page"/>
      </w:r>
      <w:r w:rsidRPr="00D61F73">
        <w:rPr>
          <w:rFonts w:ascii="Arial" w:eastAsia="Arial Unicode MS" w:hAnsi="Arial" w:cs="Arial"/>
          <w:b/>
          <w:bCs/>
          <w:color w:val="auto"/>
        </w:rPr>
        <w:lastRenderedPageBreak/>
        <w:t>B</w:t>
      </w:r>
      <w:bookmarkStart w:id="570" w:name="Buchner"/>
      <w:bookmarkEnd w:id="570"/>
      <w:r w:rsidRPr="00D61F73">
        <w:rPr>
          <w:rFonts w:ascii="Arial" w:eastAsia="Arial Unicode MS" w:hAnsi="Arial" w:cs="Arial"/>
          <w:b/>
          <w:bCs/>
          <w:color w:val="auto"/>
        </w:rPr>
        <w:t xml:space="preserve">uchner M, Zahlten-Hinguranage A, Schiltenwolf M, Neubauer E. Therapy outcome after multidisciplinary treatment for chronic neck and chronic low back pain: a prospective clinical study in 365 patients. </w:t>
      </w:r>
      <w:r w:rsidRPr="00D61F73">
        <w:rPr>
          <w:rFonts w:ascii="Arial" w:eastAsia="Arial Unicode MS" w:hAnsi="Arial" w:cs="Arial"/>
          <w:b/>
          <w:bCs/>
          <w:i/>
          <w:iCs/>
          <w:color w:val="auto"/>
        </w:rPr>
        <w:t>Scand J Rheumatol.</w:t>
      </w:r>
      <w:r w:rsidRPr="00D61F73">
        <w:rPr>
          <w:rFonts w:ascii="Arial" w:eastAsia="Arial Unicode MS" w:hAnsi="Arial" w:cs="Arial"/>
          <w:b/>
          <w:bCs/>
          <w:color w:val="auto"/>
        </w:rPr>
        <w:t xml:space="preserve"> 2006 Sep-Oct;35(5):363-7.</w:t>
      </w:r>
    </w:p>
    <w:p w14:paraId="4B32A83B" w14:textId="77777777" w:rsidR="008D0565" w:rsidRPr="00D61F73" w:rsidRDefault="008D0565" w:rsidP="00D61F73">
      <w:pPr>
        <w:rPr>
          <w:rFonts w:ascii="Arial" w:eastAsia="Arial Unicode MS" w:hAnsi="Arial" w:cs="Arial"/>
          <w:color w:val="auto"/>
        </w:rPr>
      </w:pPr>
    </w:p>
    <w:p w14:paraId="716CCBED"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CONCLUSION: Evaluation of the main results of this study suggests that patients with chronic NP also derive significant benefit from a multidisciplinary treatment strategy, demonstrated in the literature so far mainly for patients with chronic LBP.</w:t>
      </w:r>
    </w:p>
    <w:p w14:paraId="75D843E5" w14:textId="77777777" w:rsidR="008D0565" w:rsidRPr="00D61F73" w:rsidRDefault="008D0565" w:rsidP="00D61F73">
      <w:pPr>
        <w:rPr>
          <w:rFonts w:ascii="Arial" w:eastAsia="Arial Unicode MS" w:hAnsi="Arial" w:cs="Arial"/>
          <w:color w:val="auto"/>
        </w:rPr>
      </w:pPr>
    </w:p>
    <w:p w14:paraId="04B1B1B0"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PMID: </w:t>
      </w:r>
      <w:hyperlink r:id="rId305" w:history="1">
        <w:r w:rsidRPr="00D61F73">
          <w:rPr>
            <w:rStyle w:val="Hyperlink"/>
            <w:rFonts w:ascii="Arial" w:eastAsia="Arial Unicode MS" w:hAnsi="Arial" w:cs="Arial"/>
          </w:rPr>
          <w:t>17062436</w:t>
        </w:r>
      </w:hyperlink>
      <w:r w:rsidRPr="00D61F73">
        <w:rPr>
          <w:rFonts w:ascii="Arial" w:eastAsia="Arial Unicode MS" w:hAnsi="Arial" w:cs="Arial"/>
          <w:color w:val="auto"/>
        </w:rPr>
        <w:t xml:space="preserve"> </w:t>
      </w:r>
    </w:p>
    <w:p w14:paraId="2FFA6C67" w14:textId="77777777" w:rsidR="008D0565" w:rsidRPr="00D61F73" w:rsidRDefault="008D0565" w:rsidP="00D61F73">
      <w:pPr>
        <w:rPr>
          <w:rFonts w:ascii="Arial" w:eastAsia="Arial Unicode MS" w:hAnsi="Arial" w:cs="Arial"/>
          <w:color w:val="auto"/>
        </w:rPr>
      </w:pPr>
    </w:p>
    <w:p w14:paraId="351D7F7D"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3a</w:t>
      </w:r>
    </w:p>
    <w:p w14:paraId="47B0B09B"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color w:val="auto"/>
        </w:rPr>
        <w:br w:type="page"/>
      </w:r>
      <w:r w:rsidRPr="00D61F73">
        <w:rPr>
          <w:rFonts w:ascii="Arial" w:eastAsia="Arial Unicode MS" w:hAnsi="Arial" w:cs="Arial"/>
          <w:b/>
          <w:bCs/>
          <w:color w:val="auto"/>
        </w:rPr>
        <w:lastRenderedPageBreak/>
        <w:t>B</w:t>
      </w:r>
      <w:bookmarkStart w:id="571" w:name="Burleson"/>
      <w:bookmarkEnd w:id="571"/>
      <w:r w:rsidRPr="00D61F73">
        <w:rPr>
          <w:rFonts w:ascii="Arial" w:eastAsia="Arial Unicode MS" w:hAnsi="Arial" w:cs="Arial"/>
          <w:b/>
          <w:bCs/>
          <w:color w:val="auto"/>
        </w:rPr>
        <w:t>urleson AM. American Academy of Pain Medicine 24th Annual Meeting (Orlando, FL): Abstract 105. February 15, 2008.</w:t>
      </w:r>
    </w:p>
    <w:p w14:paraId="60740E1D" w14:textId="77777777" w:rsidR="008D0565" w:rsidRPr="00D61F73" w:rsidRDefault="008D0565" w:rsidP="00D61F73">
      <w:pPr>
        <w:rPr>
          <w:rFonts w:ascii="Arial" w:eastAsia="Arial Unicode MS" w:hAnsi="Arial" w:cs="Arial"/>
          <w:color w:val="auto"/>
        </w:rPr>
      </w:pPr>
    </w:p>
    <w:p w14:paraId="5F4E4646"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Physical conditioning in chronic pain patients can have immediate and long-term benefits, according to a new study presented at the American Academy of Pain Medicine 24th Annual Meeting. The final sample of 28 patients.</w:t>
      </w:r>
    </w:p>
    <w:p w14:paraId="58EAE02B" w14:textId="77777777" w:rsidR="008D0565" w:rsidRPr="00D61F73" w:rsidRDefault="008D0565" w:rsidP="00D61F73">
      <w:pPr>
        <w:rPr>
          <w:rFonts w:ascii="Arial" w:eastAsia="Arial Unicode MS" w:hAnsi="Arial" w:cs="Arial"/>
          <w:color w:val="auto"/>
        </w:rPr>
      </w:pPr>
    </w:p>
    <w:p w14:paraId="45A6AB4F"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10b</w:t>
      </w:r>
    </w:p>
    <w:p w14:paraId="2606DFCD" w14:textId="3FF50AA6" w:rsidR="008D0565" w:rsidRPr="00D61F73" w:rsidRDefault="008D0565" w:rsidP="00D61F73">
      <w:pPr>
        <w:rPr>
          <w:rFonts w:ascii="Arial" w:hAnsi="Arial" w:cs="Arial"/>
        </w:rPr>
      </w:pPr>
      <w:r w:rsidRPr="00D61F73">
        <w:rPr>
          <w:rFonts w:ascii="Arial" w:eastAsia="Arial Unicode MS" w:hAnsi="Arial" w:cs="Arial"/>
          <w:color w:val="auto"/>
        </w:rPr>
        <w:br w:type="page"/>
      </w:r>
      <w:r w:rsidRPr="00D61F73">
        <w:rPr>
          <w:rFonts w:ascii="Arial" w:hAnsi="Arial" w:cs="Arial"/>
          <w:b/>
        </w:rPr>
        <w:lastRenderedPageBreak/>
        <w:t>B</w:t>
      </w:r>
      <w:bookmarkStart w:id="572" w:name="Buscemi2005"/>
      <w:bookmarkEnd w:id="572"/>
      <w:r w:rsidRPr="00D61F73">
        <w:rPr>
          <w:rFonts w:ascii="Arial" w:hAnsi="Arial" w:cs="Arial"/>
          <w:b/>
        </w:rPr>
        <w:t>uscemi N, Vandermeer B, Friesen C et al. Manifestations and Management of Chronic Insomnia in Adults. Summary,Evidence Report/Technology Assessment No. 125. (Prepared by the University of Alberta Evidence-based Practice Center, under Contract No. C400000021.) AHRQ Publication No.05-E021-1. Rockville, MD: Agency for Healthcare Research and Quality. June 2005.</w:t>
      </w:r>
      <w:r w:rsidR="00812AE4">
        <w:rPr>
          <w:rFonts w:ascii="Arial" w:hAnsi="Arial" w:cs="Arial"/>
          <w:b/>
        </w:rPr>
        <w:t xml:space="preserve"> Archived at  </w:t>
      </w:r>
      <w:hyperlink r:id="rId306" w:history="1">
        <w:r w:rsidR="00812AE4" w:rsidRPr="00812AE4">
          <w:rPr>
            <w:rStyle w:val="Hyperlink"/>
            <w:rFonts w:ascii="Arial" w:hAnsi="Arial" w:cs="Arial"/>
            <w:b/>
          </w:rPr>
          <w:t>http://www.ncbi.nlm.nih.gov/books/NBK11906/</w:t>
        </w:r>
      </w:hyperlink>
    </w:p>
    <w:p w14:paraId="70C476BD" w14:textId="77777777" w:rsidR="008D0565" w:rsidRPr="00D61F73" w:rsidRDefault="008D0565" w:rsidP="00D61F73">
      <w:pPr>
        <w:rPr>
          <w:rFonts w:ascii="Arial" w:hAnsi="Arial" w:cs="Arial"/>
        </w:rPr>
      </w:pPr>
    </w:p>
    <w:p w14:paraId="3C0C2480" w14:textId="77777777" w:rsidR="008D0565" w:rsidRPr="00D61F73" w:rsidRDefault="008D0565" w:rsidP="00D61F73">
      <w:pPr>
        <w:rPr>
          <w:rFonts w:ascii="Arial" w:hAnsi="Arial" w:cs="Arial"/>
        </w:rPr>
      </w:pPr>
      <w:r w:rsidRPr="00D61F73">
        <w:rPr>
          <w:rFonts w:ascii="Arial" w:hAnsi="Arial" w:cs="Arial"/>
        </w:rPr>
        <w:t>Rating 1 a</w:t>
      </w:r>
    </w:p>
    <w:p w14:paraId="38E11572" w14:textId="77777777" w:rsidR="008D0565" w:rsidRPr="00D61F73" w:rsidRDefault="008D0565" w:rsidP="00D61F73">
      <w:pPr>
        <w:rPr>
          <w:rFonts w:ascii="Arial" w:hAnsi="Arial" w:cs="Arial"/>
          <w:b/>
        </w:rPr>
      </w:pPr>
      <w:r w:rsidRPr="00D61F73">
        <w:rPr>
          <w:rFonts w:ascii="Arial" w:eastAsia="Arial Unicode MS" w:hAnsi="Arial" w:cs="Arial"/>
          <w:color w:val="auto"/>
        </w:rPr>
        <w:br w:type="page"/>
      </w:r>
      <w:r w:rsidRPr="00D61F73">
        <w:rPr>
          <w:rFonts w:ascii="Arial" w:hAnsi="Arial" w:cs="Arial"/>
          <w:b/>
        </w:rPr>
        <w:lastRenderedPageBreak/>
        <w:t>B</w:t>
      </w:r>
      <w:bookmarkStart w:id="573" w:name="Buscemi"/>
      <w:bookmarkEnd w:id="573"/>
      <w:r w:rsidRPr="00D61F73">
        <w:rPr>
          <w:rFonts w:ascii="Arial" w:hAnsi="Arial" w:cs="Arial"/>
          <w:b/>
        </w:rPr>
        <w:t xml:space="preserve">uscemi N, Vandermeer B, Friesen C, Bialy L, Tubman M, Ospina M, Klassen TP, Witmans M. The efficacy and safety of drug treatments for chronic insomnia in adults: a meta-analysis of RCTs. </w:t>
      </w:r>
      <w:r w:rsidRPr="00D61F73">
        <w:rPr>
          <w:rFonts w:ascii="Arial" w:hAnsi="Arial" w:cs="Arial"/>
          <w:b/>
          <w:i/>
        </w:rPr>
        <w:t>J Gen Intern Med.</w:t>
      </w:r>
      <w:r w:rsidRPr="00D61F73">
        <w:rPr>
          <w:rFonts w:ascii="Arial" w:hAnsi="Arial" w:cs="Arial"/>
          <w:b/>
        </w:rPr>
        <w:t xml:space="preserve"> 2007;22:1335-50.</w:t>
      </w:r>
    </w:p>
    <w:p w14:paraId="2E00932D" w14:textId="77777777" w:rsidR="008D0565" w:rsidRPr="00D61F73" w:rsidRDefault="008D0565" w:rsidP="00D61F73">
      <w:pPr>
        <w:rPr>
          <w:rFonts w:ascii="Arial" w:hAnsi="Arial" w:cs="Arial"/>
          <w:b/>
        </w:rPr>
      </w:pPr>
    </w:p>
    <w:p w14:paraId="671AFA3D" w14:textId="77777777" w:rsidR="008D0565" w:rsidRDefault="008D0565" w:rsidP="00D61F73">
      <w:pPr>
        <w:pStyle w:val="abstract"/>
        <w:spacing w:before="0" w:beforeAutospacing="0" w:after="0" w:afterAutospacing="0"/>
        <w:rPr>
          <w:rFonts w:ascii="Arial" w:hAnsi="Arial" w:cs="Arial"/>
        </w:rPr>
      </w:pPr>
      <w:r w:rsidRPr="00D61F73">
        <w:rPr>
          <w:rFonts w:ascii="Arial" w:hAnsi="Arial" w:cs="Arial"/>
        </w:rPr>
        <w:t>BACKGROUND: Hypnotics have a role in the management of acute insomnia; however, the efficacy and safety of pharmacological interventions in the management of chronic insomnia is unclear. CONCLUSIONS: Benzodiazepines and non-benzodiazepines are effective treatments in the management of chronic insomnia, although they pose a risk of harm. There is also some evidence that antidepressants are effective and that they pose a risk of harm.</w:t>
      </w:r>
    </w:p>
    <w:p w14:paraId="159A9CB0" w14:textId="77777777" w:rsidR="001D000D" w:rsidRDefault="001D000D" w:rsidP="00D61F73">
      <w:pPr>
        <w:pStyle w:val="abstract"/>
        <w:spacing w:before="0" w:beforeAutospacing="0" w:after="0" w:afterAutospacing="0"/>
        <w:rPr>
          <w:rFonts w:ascii="Arial" w:hAnsi="Arial" w:cs="Arial"/>
        </w:rPr>
      </w:pPr>
    </w:p>
    <w:p w14:paraId="313D6EA0" w14:textId="145A51C1" w:rsidR="001D000D" w:rsidRPr="001D000D" w:rsidRDefault="001D000D" w:rsidP="001D000D">
      <w:pPr>
        <w:shd w:val="clear" w:color="auto" w:fill="FFFFFF"/>
        <w:rPr>
          <w:rFonts w:ascii="Arial" w:hAnsi="Arial" w:cs="Arial"/>
          <w:color w:val="auto"/>
        </w:rPr>
      </w:pPr>
      <w:r w:rsidRPr="001D000D">
        <w:rPr>
          <w:rFonts w:ascii="Arial" w:hAnsi="Arial" w:cs="Arial"/>
        </w:rPr>
        <w:t xml:space="preserve">PMID: </w:t>
      </w:r>
      <w:hyperlink r:id="rId307" w:history="1">
        <w:r w:rsidRPr="001D000D">
          <w:rPr>
            <w:rStyle w:val="Hyperlink"/>
            <w:rFonts w:ascii="Arial" w:hAnsi="Arial" w:cs="Arial"/>
          </w:rPr>
          <w:t>17619935</w:t>
        </w:r>
      </w:hyperlink>
    </w:p>
    <w:p w14:paraId="6779CE06" w14:textId="46E19DF6" w:rsidR="001D000D" w:rsidRPr="00D61F73" w:rsidRDefault="001D000D" w:rsidP="00D61F73">
      <w:pPr>
        <w:pStyle w:val="abstract"/>
        <w:spacing w:before="0" w:beforeAutospacing="0" w:after="0" w:afterAutospacing="0"/>
        <w:rPr>
          <w:rFonts w:ascii="Arial" w:hAnsi="Arial" w:cs="Arial"/>
        </w:rPr>
      </w:pPr>
    </w:p>
    <w:p w14:paraId="10FEEEA6" w14:textId="77777777" w:rsidR="008D0565" w:rsidRPr="00D61F73" w:rsidRDefault="008D0565" w:rsidP="00D61F73">
      <w:pPr>
        <w:pStyle w:val="abstract"/>
        <w:spacing w:before="0" w:beforeAutospacing="0" w:after="0" w:afterAutospacing="0"/>
        <w:rPr>
          <w:rFonts w:ascii="Arial" w:hAnsi="Arial" w:cs="Arial"/>
        </w:rPr>
      </w:pPr>
    </w:p>
    <w:p w14:paraId="1F160CC8"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Rating: 1a</w:t>
      </w:r>
    </w:p>
    <w:p w14:paraId="2BF50A28"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color w:val="auto"/>
        </w:rPr>
        <w:br w:type="page"/>
      </w:r>
      <w:r w:rsidRPr="00D61F73">
        <w:rPr>
          <w:rFonts w:ascii="Arial" w:eastAsia="Arial Unicode MS" w:hAnsi="Arial" w:cs="Arial"/>
          <w:b/>
          <w:bCs/>
          <w:color w:val="auto"/>
        </w:rPr>
        <w:lastRenderedPageBreak/>
        <w:t>B</w:t>
      </w:r>
      <w:bookmarkStart w:id="574" w:name="Busch"/>
      <w:bookmarkEnd w:id="574"/>
      <w:r w:rsidRPr="00D61F73">
        <w:rPr>
          <w:rFonts w:ascii="Arial" w:eastAsia="Arial Unicode MS" w:hAnsi="Arial" w:cs="Arial"/>
          <w:b/>
          <w:bCs/>
          <w:color w:val="auto"/>
        </w:rPr>
        <w:t xml:space="preserve">usch AJ, Barber KA, Overend TJ, Peloso PM, Schachter CL. Exercise for treating fibromyalgia syndrome. </w:t>
      </w:r>
      <w:r w:rsidRPr="00D61F73">
        <w:rPr>
          <w:rFonts w:ascii="Arial" w:eastAsia="Arial Unicode MS" w:hAnsi="Arial" w:cs="Arial"/>
          <w:b/>
          <w:bCs/>
          <w:i/>
          <w:iCs/>
          <w:color w:val="auto"/>
        </w:rPr>
        <w:t>Cochrane Database Syst Rev</w:t>
      </w:r>
      <w:r w:rsidRPr="00D61F73">
        <w:rPr>
          <w:rFonts w:ascii="Arial" w:eastAsia="Arial Unicode MS" w:hAnsi="Arial" w:cs="Arial"/>
          <w:b/>
          <w:bCs/>
          <w:color w:val="auto"/>
        </w:rPr>
        <w:t>. 2007 Oct 17;(4):CD003786.</w:t>
      </w:r>
    </w:p>
    <w:p w14:paraId="72936E87" w14:textId="77777777" w:rsidR="008D0565" w:rsidRPr="00D61F73" w:rsidRDefault="008D0565" w:rsidP="00D61F73">
      <w:pPr>
        <w:rPr>
          <w:rFonts w:ascii="Arial" w:eastAsia="Arial Unicode MS" w:hAnsi="Arial" w:cs="Arial"/>
          <w:color w:val="auto"/>
        </w:rPr>
      </w:pPr>
    </w:p>
    <w:p w14:paraId="1D04349F"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CONCLUSIONS: There is 'gold' level evidence (www.cochranemsk.org) that supervised aerobic exercise training has beneficial effects on physical capacity and FMS symptoms. Strength training may also have benefits on some FMS symptoms. </w:t>
      </w:r>
    </w:p>
    <w:p w14:paraId="456369BD" w14:textId="77777777" w:rsidR="008D0565" w:rsidRPr="00D61F73" w:rsidRDefault="008D0565" w:rsidP="00D61F73">
      <w:pPr>
        <w:rPr>
          <w:rFonts w:ascii="Arial" w:eastAsia="Arial Unicode MS" w:hAnsi="Arial" w:cs="Arial"/>
          <w:color w:val="auto"/>
        </w:rPr>
      </w:pPr>
    </w:p>
    <w:p w14:paraId="11DC576C"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PMID: </w:t>
      </w:r>
      <w:hyperlink r:id="rId308" w:history="1">
        <w:r w:rsidRPr="00D61F73">
          <w:rPr>
            <w:rStyle w:val="Hyperlink"/>
            <w:rFonts w:ascii="Arial" w:eastAsia="Arial Unicode MS" w:hAnsi="Arial" w:cs="Arial"/>
          </w:rPr>
          <w:t>17943797</w:t>
        </w:r>
      </w:hyperlink>
      <w:r w:rsidRPr="00D61F73">
        <w:rPr>
          <w:rFonts w:ascii="Arial" w:eastAsia="Arial Unicode MS" w:hAnsi="Arial" w:cs="Arial"/>
          <w:color w:val="auto"/>
        </w:rPr>
        <w:t xml:space="preserve"> </w:t>
      </w:r>
    </w:p>
    <w:p w14:paraId="4D1282F4" w14:textId="77777777" w:rsidR="008D0565" w:rsidRPr="00D61F73" w:rsidRDefault="008D0565" w:rsidP="00D61F73">
      <w:pPr>
        <w:rPr>
          <w:rFonts w:ascii="Arial" w:eastAsia="Arial Unicode MS" w:hAnsi="Arial" w:cs="Arial"/>
          <w:color w:val="auto"/>
        </w:rPr>
      </w:pPr>
    </w:p>
    <w:p w14:paraId="5A36B7BC"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1b</w:t>
      </w:r>
    </w:p>
    <w:p w14:paraId="0033931F"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color w:val="auto"/>
        </w:rPr>
        <w:br w:type="page"/>
      </w:r>
      <w:r w:rsidRPr="00D61F73">
        <w:rPr>
          <w:rFonts w:ascii="Arial" w:eastAsia="Arial Unicode MS" w:hAnsi="Arial" w:cs="Arial"/>
          <w:b/>
          <w:bCs/>
          <w:color w:val="auto"/>
        </w:rPr>
        <w:lastRenderedPageBreak/>
        <w:t>B</w:t>
      </w:r>
      <w:bookmarkStart w:id="575" w:name="Bush"/>
      <w:bookmarkEnd w:id="575"/>
      <w:r w:rsidRPr="00D61F73">
        <w:rPr>
          <w:rFonts w:ascii="Arial" w:eastAsia="Arial Unicode MS" w:hAnsi="Arial" w:cs="Arial"/>
          <w:b/>
          <w:bCs/>
          <w:color w:val="auto"/>
        </w:rPr>
        <w:t xml:space="preserve">ush C, Ditto B, Feuerstein M. A controlled evaluation of paraspinal EMG biofeedback in the treatment of chronic low back pain. </w:t>
      </w:r>
      <w:r w:rsidRPr="00D61F73">
        <w:rPr>
          <w:rFonts w:ascii="Arial" w:eastAsia="Arial Unicode MS" w:hAnsi="Arial" w:cs="Arial"/>
          <w:b/>
          <w:bCs/>
          <w:i/>
          <w:iCs/>
          <w:color w:val="auto"/>
        </w:rPr>
        <w:t>Health Psychol.</w:t>
      </w:r>
      <w:r w:rsidRPr="00D61F73">
        <w:rPr>
          <w:rFonts w:ascii="Arial" w:eastAsia="Arial Unicode MS" w:hAnsi="Arial" w:cs="Arial"/>
          <w:b/>
          <w:bCs/>
          <w:color w:val="auto"/>
        </w:rPr>
        <w:t xml:space="preserve"> 1985;4(4):307-21.</w:t>
      </w:r>
    </w:p>
    <w:p w14:paraId="559FCE59" w14:textId="77777777" w:rsidR="008D0565" w:rsidRPr="00D61F73" w:rsidRDefault="008D0565" w:rsidP="00D61F73">
      <w:pPr>
        <w:rPr>
          <w:rFonts w:ascii="Arial" w:eastAsia="Arial Unicode MS" w:hAnsi="Arial" w:cs="Arial"/>
          <w:color w:val="auto"/>
        </w:rPr>
      </w:pPr>
    </w:p>
    <w:p w14:paraId="6EBC0E1D"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PMID: </w:t>
      </w:r>
      <w:hyperlink r:id="rId309" w:history="1">
        <w:r w:rsidRPr="00D61F73">
          <w:rPr>
            <w:rStyle w:val="Hyperlink"/>
            <w:rFonts w:ascii="Arial" w:eastAsia="Arial Unicode MS" w:hAnsi="Arial" w:cs="Arial"/>
          </w:rPr>
          <w:t>2932330</w:t>
        </w:r>
      </w:hyperlink>
      <w:r w:rsidRPr="00D61F73">
        <w:rPr>
          <w:rFonts w:ascii="Arial" w:eastAsia="Arial Unicode MS" w:hAnsi="Arial" w:cs="Arial"/>
          <w:color w:val="auto"/>
        </w:rPr>
        <w:t xml:space="preserve"> </w:t>
      </w:r>
    </w:p>
    <w:p w14:paraId="3F765856" w14:textId="77777777" w:rsidR="008D0565" w:rsidRPr="00D61F73" w:rsidRDefault="008D0565" w:rsidP="00D61F73">
      <w:pPr>
        <w:rPr>
          <w:rFonts w:ascii="Arial" w:eastAsia="Arial Unicode MS" w:hAnsi="Arial" w:cs="Arial"/>
          <w:color w:val="auto"/>
        </w:rPr>
      </w:pPr>
    </w:p>
    <w:p w14:paraId="3A27A100"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2b</w:t>
      </w:r>
    </w:p>
    <w:p w14:paraId="1D585AF6"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color w:val="auto"/>
        </w:rPr>
        <w:br w:type="page"/>
      </w:r>
      <w:r w:rsidRPr="00D61F73">
        <w:rPr>
          <w:rFonts w:ascii="Arial" w:eastAsia="Arial Unicode MS" w:hAnsi="Arial" w:cs="Arial"/>
          <w:b/>
          <w:bCs/>
          <w:color w:val="auto"/>
        </w:rPr>
        <w:lastRenderedPageBreak/>
        <w:t>B</w:t>
      </w:r>
      <w:bookmarkStart w:id="576" w:name="Büssing2012"/>
      <w:bookmarkEnd w:id="576"/>
      <w:r w:rsidRPr="00D61F73">
        <w:rPr>
          <w:rFonts w:ascii="Arial" w:eastAsia="Arial Unicode MS" w:hAnsi="Arial" w:cs="Arial"/>
          <w:b/>
          <w:bCs/>
          <w:color w:val="auto"/>
        </w:rPr>
        <w:t xml:space="preserve">üssing A, Ostermann T, Lüdtke R, Michalsen A. Effects of yoga interventions on pain and pain-associated disability: a meta-analysis. </w:t>
      </w:r>
      <w:r w:rsidRPr="00D61F73">
        <w:rPr>
          <w:rFonts w:ascii="Arial" w:eastAsia="Arial Unicode MS" w:hAnsi="Arial" w:cs="Arial"/>
          <w:b/>
          <w:bCs/>
          <w:i/>
          <w:iCs/>
          <w:color w:val="auto"/>
        </w:rPr>
        <w:t>J Pain.</w:t>
      </w:r>
      <w:r w:rsidRPr="00D61F73">
        <w:rPr>
          <w:rFonts w:ascii="Arial" w:eastAsia="Arial Unicode MS" w:hAnsi="Arial" w:cs="Arial"/>
          <w:b/>
          <w:bCs/>
          <w:color w:val="auto"/>
        </w:rPr>
        <w:t xml:space="preserve"> 2012 Jan;13(1):1-9.</w:t>
      </w:r>
    </w:p>
    <w:p w14:paraId="61A660AA" w14:textId="77777777" w:rsidR="008D0565" w:rsidRPr="00D61F73" w:rsidRDefault="008D0565" w:rsidP="00D61F73">
      <w:pPr>
        <w:rPr>
          <w:rFonts w:ascii="Arial" w:eastAsia="Arial Unicode MS" w:hAnsi="Arial" w:cs="Arial"/>
          <w:color w:val="auto"/>
        </w:rPr>
      </w:pPr>
    </w:p>
    <w:p w14:paraId="46D736AB" w14:textId="77777777" w:rsidR="008D0565" w:rsidRPr="00D61F73" w:rsidRDefault="008D0565" w:rsidP="00D61F73">
      <w:pPr>
        <w:pStyle w:val="xl23"/>
        <w:spacing w:before="0" w:beforeAutospacing="0" w:after="0" w:afterAutospacing="0"/>
        <w:rPr>
          <w:rFonts w:eastAsia="Arial Unicode MS"/>
        </w:rPr>
      </w:pPr>
      <w:r w:rsidRPr="00D61F73">
        <w:rPr>
          <w:rFonts w:eastAsia="Arial Unicode MS"/>
        </w:rPr>
        <w:t>This meta-analysis suggests that yoga is a useful supplementary approach with moderate effect sizes on pain and associated disability.</w:t>
      </w:r>
    </w:p>
    <w:p w14:paraId="495920F4" w14:textId="77777777" w:rsidR="008D0565" w:rsidRPr="00D61F73" w:rsidRDefault="008D0565" w:rsidP="00D61F73">
      <w:pPr>
        <w:rPr>
          <w:rFonts w:ascii="Arial" w:eastAsia="Arial Unicode MS" w:hAnsi="Arial" w:cs="Arial"/>
          <w:color w:val="auto"/>
        </w:rPr>
      </w:pPr>
    </w:p>
    <w:p w14:paraId="7B51FA84"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PMID: </w:t>
      </w:r>
      <w:hyperlink r:id="rId310" w:history="1">
        <w:r w:rsidRPr="00D61F73">
          <w:rPr>
            <w:rStyle w:val="Hyperlink"/>
            <w:rFonts w:ascii="Arial" w:eastAsia="Arial Unicode MS" w:hAnsi="Arial" w:cs="Arial"/>
          </w:rPr>
          <w:t>22178433</w:t>
        </w:r>
      </w:hyperlink>
      <w:r w:rsidRPr="00D61F73">
        <w:rPr>
          <w:rFonts w:ascii="Arial" w:eastAsia="Arial Unicode MS" w:hAnsi="Arial" w:cs="Arial"/>
          <w:color w:val="auto"/>
        </w:rPr>
        <w:t xml:space="preserve"> </w:t>
      </w:r>
    </w:p>
    <w:p w14:paraId="13049DE8" w14:textId="77777777" w:rsidR="008D0565" w:rsidRPr="00D61F73" w:rsidRDefault="008D0565" w:rsidP="00D61F73">
      <w:pPr>
        <w:rPr>
          <w:rFonts w:ascii="Arial" w:eastAsia="Arial Unicode MS" w:hAnsi="Arial" w:cs="Arial"/>
          <w:color w:val="auto"/>
        </w:rPr>
      </w:pPr>
    </w:p>
    <w:p w14:paraId="332A7BD0"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1b</w:t>
      </w:r>
    </w:p>
    <w:p w14:paraId="7FDCACAE"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color w:val="auto"/>
        </w:rPr>
        <w:br w:type="page"/>
      </w:r>
      <w:r w:rsidRPr="00D61F73">
        <w:rPr>
          <w:rFonts w:ascii="Arial" w:eastAsia="Arial Unicode MS" w:hAnsi="Arial" w:cs="Arial"/>
          <w:b/>
          <w:bCs/>
          <w:color w:val="auto"/>
        </w:rPr>
        <w:lastRenderedPageBreak/>
        <w:t>B</w:t>
      </w:r>
      <w:bookmarkStart w:id="577" w:name="Buvanendran"/>
      <w:bookmarkEnd w:id="577"/>
      <w:r w:rsidRPr="00D61F73">
        <w:rPr>
          <w:rFonts w:ascii="Arial" w:eastAsia="Arial Unicode MS" w:hAnsi="Arial" w:cs="Arial"/>
          <w:b/>
          <w:bCs/>
          <w:color w:val="auto"/>
        </w:rPr>
        <w:t xml:space="preserve">uvanendran A, Kroin JS. Useful adjuvants for postoperative pain management. </w:t>
      </w:r>
      <w:r w:rsidRPr="00D61F73">
        <w:rPr>
          <w:rFonts w:ascii="Arial" w:eastAsia="Arial Unicode MS" w:hAnsi="Arial" w:cs="Arial"/>
          <w:b/>
          <w:bCs/>
          <w:i/>
          <w:iCs/>
          <w:color w:val="auto"/>
        </w:rPr>
        <w:t>Best Pract Res Clin Anaesthesiol.</w:t>
      </w:r>
      <w:r w:rsidRPr="00D61F73">
        <w:rPr>
          <w:rFonts w:ascii="Arial" w:eastAsia="Arial Unicode MS" w:hAnsi="Arial" w:cs="Arial"/>
          <w:b/>
          <w:bCs/>
          <w:color w:val="auto"/>
        </w:rPr>
        <w:t xml:space="preserve"> 2007 Mar;21(1):31-49.</w:t>
      </w:r>
    </w:p>
    <w:p w14:paraId="4FD99269" w14:textId="77777777" w:rsidR="008D0565" w:rsidRPr="00D61F73" w:rsidRDefault="008D0565" w:rsidP="00D61F73">
      <w:pPr>
        <w:rPr>
          <w:rFonts w:ascii="Arial" w:eastAsia="Arial Unicode MS" w:hAnsi="Arial" w:cs="Arial"/>
          <w:color w:val="auto"/>
        </w:rPr>
      </w:pPr>
    </w:p>
    <w:p w14:paraId="68D2A214"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Gabapentin-like compounds have low potency against acute pain, but in combination with opioids allow a reduction in opioid dose with improved analgesia. </w:t>
      </w:r>
    </w:p>
    <w:p w14:paraId="73A0D498" w14:textId="77777777" w:rsidR="008D0565" w:rsidRPr="00D61F73" w:rsidRDefault="008D0565" w:rsidP="00D61F73">
      <w:pPr>
        <w:rPr>
          <w:rFonts w:ascii="Arial" w:eastAsia="Arial Unicode MS" w:hAnsi="Arial" w:cs="Arial"/>
          <w:color w:val="auto"/>
        </w:rPr>
      </w:pPr>
    </w:p>
    <w:p w14:paraId="7C08CAAB"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PMID: </w:t>
      </w:r>
      <w:hyperlink r:id="rId311" w:history="1">
        <w:r w:rsidRPr="00D61F73">
          <w:rPr>
            <w:rStyle w:val="Hyperlink"/>
            <w:rFonts w:ascii="Arial" w:eastAsia="Arial Unicode MS" w:hAnsi="Arial" w:cs="Arial"/>
          </w:rPr>
          <w:t>17489218</w:t>
        </w:r>
      </w:hyperlink>
      <w:r w:rsidRPr="00D61F73">
        <w:rPr>
          <w:rFonts w:ascii="Arial" w:eastAsia="Arial Unicode MS" w:hAnsi="Arial" w:cs="Arial"/>
          <w:color w:val="auto"/>
        </w:rPr>
        <w:t xml:space="preserve"> </w:t>
      </w:r>
    </w:p>
    <w:p w14:paraId="78540145" w14:textId="77777777" w:rsidR="008D0565" w:rsidRPr="00D61F73" w:rsidRDefault="008D0565" w:rsidP="00D61F73">
      <w:pPr>
        <w:rPr>
          <w:rFonts w:ascii="Arial" w:eastAsia="Arial Unicode MS" w:hAnsi="Arial" w:cs="Arial"/>
          <w:color w:val="auto"/>
        </w:rPr>
      </w:pPr>
    </w:p>
    <w:p w14:paraId="49C1BDB6"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5b</w:t>
      </w:r>
    </w:p>
    <w:p w14:paraId="2897BC85"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B</w:t>
      </w:r>
      <w:bookmarkStart w:id="578" w:name="Buynak2010"/>
      <w:bookmarkEnd w:id="578"/>
      <w:r w:rsidRPr="00D61F73">
        <w:rPr>
          <w:rFonts w:ascii="Arial" w:hAnsi="Arial" w:cs="Arial"/>
          <w:b/>
          <w:bCs/>
        </w:rPr>
        <w:t xml:space="preserve">uynak R, Shapiro DY, Okamoto A, Van Hove I, Rauschkolb C, Steup A, Lange B, Lange C, Etropolski M. Efficacy and safety of tapentadol extended release for the management of chronic low back pain: results of a prospective, randomized, double-blind, placebo- and active-controlled Phase III study. </w:t>
      </w:r>
      <w:r w:rsidRPr="00D61F73">
        <w:rPr>
          <w:rFonts w:ascii="Arial" w:hAnsi="Arial" w:cs="Arial"/>
          <w:b/>
          <w:bCs/>
          <w:i/>
          <w:iCs/>
        </w:rPr>
        <w:t>Expert Opin Pharmacother.</w:t>
      </w:r>
      <w:r w:rsidRPr="00D61F73">
        <w:rPr>
          <w:rFonts w:ascii="Arial" w:hAnsi="Arial" w:cs="Arial"/>
          <w:b/>
          <w:bCs/>
        </w:rPr>
        <w:t xml:space="preserve"> 2010 Aug;11(11):1787-804.</w:t>
      </w:r>
    </w:p>
    <w:p w14:paraId="60280624" w14:textId="77777777" w:rsidR="008D0565" w:rsidRPr="00D61F73" w:rsidRDefault="008D0565" w:rsidP="00D61F73">
      <w:pPr>
        <w:rPr>
          <w:rFonts w:ascii="Arial" w:hAnsi="Arial" w:cs="Arial"/>
        </w:rPr>
      </w:pPr>
    </w:p>
    <w:p w14:paraId="7A808C62" w14:textId="77777777" w:rsidR="008D0565" w:rsidRPr="00D61F73" w:rsidRDefault="008D0565" w:rsidP="00D61F73">
      <w:pPr>
        <w:rPr>
          <w:rFonts w:ascii="Arial" w:hAnsi="Arial" w:cs="Arial"/>
        </w:rPr>
      </w:pPr>
      <w:r w:rsidRPr="00D61F73">
        <w:rPr>
          <w:rFonts w:ascii="Arial" w:hAnsi="Arial" w:cs="Arial"/>
        </w:rPr>
        <w:t>DESIGN: Patients (N = 981) were randomized. CONCLUSIONS: Tapentadol ER effectively relieved moderate to severe chronic low back pain over 15 weeks and had better gastrointestinal tolerability than oxycodone.</w:t>
      </w:r>
    </w:p>
    <w:p w14:paraId="30968EBA" w14:textId="77777777" w:rsidR="008D0565" w:rsidRPr="00D61F73" w:rsidRDefault="008D0565" w:rsidP="00D61F73">
      <w:pPr>
        <w:rPr>
          <w:rFonts w:ascii="Arial" w:hAnsi="Arial" w:cs="Arial"/>
        </w:rPr>
      </w:pPr>
    </w:p>
    <w:p w14:paraId="1AEE4A9E" w14:textId="77777777" w:rsidR="008D0565" w:rsidRPr="00D61F73" w:rsidRDefault="008D0565" w:rsidP="00D61F73">
      <w:pPr>
        <w:rPr>
          <w:rFonts w:ascii="Arial" w:hAnsi="Arial" w:cs="Arial"/>
        </w:rPr>
      </w:pPr>
      <w:r w:rsidRPr="00D61F73">
        <w:rPr>
          <w:rFonts w:ascii="Arial" w:hAnsi="Arial" w:cs="Arial"/>
        </w:rPr>
        <w:t xml:space="preserve">PMID: </w:t>
      </w:r>
      <w:hyperlink r:id="rId312" w:history="1">
        <w:r w:rsidRPr="00D61F73">
          <w:rPr>
            <w:rStyle w:val="Hyperlink"/>
            <w:rFonts w:ascii="Arial" w:hAnsi="Arial" w:cs="Arial"/>
          </w:rPr>
          <w:t>20578811</w:t>
        </w:r>
      </w:hyperlink>
      <w:r w:rsidRPr="00D61F73">
        <w:rPr>
          <w:rFonts w:ascii="Arial" w:hAnsi="Arial" w:cs="Arial"/>
        </w:rPr>
        <w:t xml:space="preserve"> </w:t>
      </w:r>
    </w:p>
    <w:p w14:paraId="42B14918" w14:textId="77777777" w:rsidR="008D0565" w:rsidRPr="00D61F73" w:rsidRDefault="008D0565" w:rsidP="00D61F73">
      <w:pPr>
        <w:rPr>
          <w:rFonts w:ascii="Arial" w:hAnsi="Arial" w:cs="Arial"/>
        </w:rPr>
      </w:pPr>
    </w:p>
    <w:p w14:paraId="264DF251"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2a</w:t>
      </w:r>
    </w:p>
    <w:p w14:paraId="1755C3AD" w14:textId="77777777" w:rsidR="008D0565" w:rsidRPr="00D61F73" w:rsidRDefault="008D0565" w:rsidP="00D61F73">
      <w:pPr>
        <w:rPr>
          <w:rFonts w:ascii="Arial" w:hAnsi="Arial" w:cs="Arial"/>
        </w:rPr>
      </w:pPr>
    </w:p>
    <w:p w14:paraId="50408AC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C</w:t>
      </w:r>
      <w:bookmarkStart w:id="579" w:name="Calandre2011"/>
      <w:bookmarkEnd w:id="579"/>
      <w:r w:rsidRPr="00D61F73">
        <w:rPr>
          <w:rFonts w:ascii="Arial" w:hAnsi="Arial" w:cs="Arial"/>
          <w:b/>
          <w:bCs/>
        </w:rPr>
        <w:t xml:space="preserve">alandre EP, Morillas-Arques P, Molina-Barea R, Rodriguez-Lopez CM, Rico-Villademoros F. Trazodone plus pregabalin combination in the treatment of fibromyalgia: a two-phase, 24-week, open-label uncontrolled study. </w:t>
      </w:r>
      <w:r w:rsidRPr="00D61F73">
        <w:rPr>
          <w:rFonts w:ascii="Arial" w:hAnsi="Arial" w:cs="Arial"/>
          <w:b/>
          <w:bCs/>
          <w:i/>
          <w:iCs/>
        </w:rPr>
        <w:t>BMC Musculoskelet Disord</w:t>
      </w:r>
      <w:r w:rsidRPr="00D61F73">
        <w:rPr>
          <w:rFonts w:ascii="Arial" w:hAnsi="Arial" w:cs="Arial"/>
          <w:b/>
          <w:bCs/>
        </w:rPr>
        <w:t>. 2011 May 16;12:95.</w:t>
      </w:r>
    </w:p>
    <w:p w14:paraId="5719DB33" w14:textId="77777777" w:rsidR="008D0565" w:rsidRPr="00D61F73" w:rsidRDefault="008D0565" w:rsidP="00D61F73">
      <w:pPr>
        <w:rPr>
          <w:rFonts w:ascii="Arial" w:hAnsi="Arial" w:cs="Arial"/>
        </w:rPr>
      </w:pPr>
    </w:p>
    <w:p w14:paraId="15FB0F9E" w14:textId="77777777" w:rsidR="008D0565" w:rsidRPr="00D61F73" w:rsidRDefault="008D0565" w:rsidP="00D61F73">
      <w:pPr>
        <w:rPr>
          <w:rFonts w:ascii="Arial" w:hAnsi="Arial" w:cs="Arial"/>
        </w:rPr>
      </w:pPr>
      <w:r w:rsidRPr="00D61F73">
        <w:rPr>
          <w:rFonts w:ascii="Arial" w:hAnsi="Arial" w:cs="Arial"/>
        </w:rPr>
        <w:t>CONCLUSIONS: Trazodone significantly improved fibromyalgia severity and associated symptomatology. with pregabalin potentiated this improvement and the tolerability of the drugs in association was good.</w:t>
      </w:r>
    </w:p>
    <w:p w14:paraId="5B92DCF0" w14:textId="77777777" w:rsidR="008D0565" w:rsidRPr="00D61F73" w:rsidRDefault="008D0565" w:rsidP="00D61F73">
      <w:pPr>
        <w:rPr>
          <w:rFonts w:ascii="Arial" w:hAnsi="Arial" w:cs="Arial"/>
        </w:rPr>
      </w:pPr>
    </w:p>
    <w:p w14:paraId="2C32DA66" w14:textId="77777777" w:rsidR="008D0565" w:rsidRPr="00D61F73" w:rsidRDefault="008D0565" w:rsidP="00D61F73">
      <w:pPr>
        <w:rPr>
          <w:rFonts w:ascii="Arial" w:hAnsi="Arial" w:cs="Arial"/>
        </w:rPr>
      </w:pPr>
      <w:r w:rsidRPr="00D61F73">
        <w:rPr>
          <w:rFonts w:ascii="Arial" w:hAnsi="Arial" w:cs="Arial"/>
        </w:rPr>
        <w:t xml:space="preserve">PMID: </w:t>
      </w:r>
      <w:hyperlink r:id="rId313" w:history="1">
        <w:r w:rsidRPr="00D61F73">
          <w:rPr>
            <w:rStyle w:val="Hyperlink"/>
            <w:rFonts w:ascii="Arial" w:hAnsi="Arial" w:cs="Arial"/>
          </w:rPr>
          <w:t>21575194</w:t>
        </w:r>
      </w:hyperlink>
      <w:r w:rsidRPr="00D61F73">
        <w:rPr>
          <w:rFonts w:ascii="Arial" w:hAnsi="Arial" w:cs="Arial"/>
        </w:rPr>
        <w:t xml:space="preserve"> </w:t>
      </w:r>
    </w:p>
    <w:p w14:paraId="35F15485" w14:textId="77777777" w:rsidR="008D0565" w:rsidRPr="00D61F73" w:rsidRDefault="008D0565" w:rsidP="00D61F73">
      <w:pPr>
        <w:rPr>
          <w:rFonts w:ascii="Arial" w:hAnsi="Arial" w:cs="Arial"/>
        </w:rPr>
      </w:pPr>
    </w:p>
    <w:p w14:paraId="06444784" w14:textId="77777777" w:rsidR="008D0565" w:rsidRPr="00D61F73" w:rsidRDefault="008D0565" w:rsidP="00D61F73">
      <w:pPr>
        <w:rPr>
          <w:rFonts w:ascii="Arial" w:hAnsi="Arial" w:cs="Arial"/>
        </w:rPr>
      </w:pPr>
      <w:r w:rsidRPr="00D61F73">
        <w:rPr>
          <w:rFonts w:ascii="Arial" w:hAnsi="Arial" w:cs="Arial"/>
        </w:rPr>
        <w:t>Rating: 3b</w:t>
      </w:r>
    </w:p>
    <w:p w14:paraId="0478343A"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C</w:t>
      </w:r>
      <w:bookmarkStart w:id="580" w:name="Caldwell2004"/>
      <w:bookmarkEnd w:id="580"/>
      <w:r w:rsidRPr="00D61F73">
        <w:rPr>
          <w:rFonts w:ascii="Arial" w:hAnsi="Arial" w:cs="Arial"/>
          <w:b/>
        </w:rPr>
        <w:t xml:space="preserve">aldwell JR. Avinza - 24-h sustained-release oral morphine therapy. Expert </w:t>
      </w:r>
      <w:r w:rsidRPr="00D61F73">
        <w:rPr>
          <w:rFonts w:ascii="Arial" w:hAnsi="Arial" w:cs="Arial"/>
          <w:b/>
          <w:i/>
        </w:rPr>
        <w:t>Opin Pharmacother</w:t>
      </w:r>
      <w:r w:rsidRPr="00D61F73">
        <w:rPr>
          <w:rFonts w:ascii="Arial" w:hAnsi="Arial" w:cs="Arial"/>
          <w:b/>
        </w:rPr>
        <w:t>. 2004;5:469-72</w:t>
      </w:r>
    </w:p>
    <w:p w14:paraId="12783B10" w14:textId="77777777" w:rsidR="008D0565" w:rsidRPr="00D61F73" w:rsidRDefault="008D0565" w:rsidP="00D61F73">
      <w:pPr>
        <w:rPr>
          <w:rFonts w:ascii="Arial" w:hAnsi="Arial" w:cs="Arial"/>
        </w:rPr>
      </w:pPr>
    </w:p>
    <w:p w14:paraId="297E8BD0" w14:textId="77777777" w:rsidR="008D0565" w:rsidRPr="00D61F73" w:rsidRDefault="008D0565" w:rsidP="00D61F73">
      <w:pPr>
        <w:rPr>
          <w:rFonts w:ascii="Arial" w:hAnsi="Arial" w:cs="Arial"/>
        </w:rPr>
      </w:pPr>
      <w:r w:rsidRPr="00D61F73">
        <w:rPr>
          <w:rFonts w:ascii="Arial" w:hAnsi="Arial" w:cs="Arial"/>
        </w:rPr>
        <w:t xml:space="preserve">PMID: </w:t>
      </w:r>
      <w:hyperlink r:id="rId314" w:history="1">
        <w:r w:rsidRPr="00D61F73">
          <w:rPr>
            <w:rStyle w:val="Hyperlink"/>
            <w:rFonts w:ascii="Arial" w:hAnsi="Arial" w:cs="Arial"/>
          </w:rPr>
          <w:t>14996642</w:t>
        </w:r>
      </w:hyperlink>
    </w:p>
    <w:p w14:paraId="76C66A79" w14:textId="77777777" w:rsidR="008D0565" w:rsidRPr="00D61F73" w:rsidRDefault="008D0565" w:rsidP="00D61F73">
      <w:pPr>
        <w:rPr>
          <w:rFonts w:ascii="Arial" w:hAnsi="Arial" w:cs="Arial"/>
        </w:rPr>
      </w:pPr>
    </w:p>
    <w:p w14:paraId="34EFA1D6" w14:textId="77777777" w:rsidR="008D0565" w:rsidRPr="00D61F73" w:rsidRDefault="008D0565" w:rsidP="00D61F73">
      <w:pPr>
        <w:rPr>
          <w:rFonts w:ascii="Arial" w:hAnsi="Arial" w:cs="Arial"/>
        </w:rPr>
      </w:pPr>
      <w:r w:rsidRPr="00D61F73">
        <w:rPr>
          <w:rFonts w:ascii="Arial" w:hAnsi="Arial" w:cs="Arial"/>
        </w:rPr>
        <w:t>Rating: 5c</w:t>
      </w:r>
    </w:p>
    <w:p w14:paraId="68206E93" w14:textId="0485C807" w:rsidR="008D0565" w:rsidRPr="00D61F73" w:rsidRDefault="008D0565" w:rsidP="00D61F73">
      <w:pPr>
        <w:rPr>
          <w:rFonts w:ascii="Arial" w:hAnsi="Arial" w:cs="Arial"/>
          <w:b/>
        </w:rPr>
      </w:pPr>
      <w:r w:rsidRPr="00D61F73">
        <w:rPr>
          <w:rFonts w:ascii="Arial" w:hAnsi="Arial" w:cs="Arial"/>
        </w:rPr>
        <w:br w:type="page"/>
      </w:r>
      <w:hyperlink r:id="rId315" w:history="1">
        <w:r w:rsidRPr="00655C13">
          <w:rPr>
            <w:rStyle w:val="Hyperlink"/>
            <w:rFonts w:ascii="Arial" w:hAnsi="Arial" w:cs="Arial"/>
            <w:b/>
          </w:rPr>
          <w:t>C</w:t>
        </w:r>
        <w:bookmarkStart w:id="581" w:name="CaliforniaTech"/>
        <w:bookmarkEnd w:id="581"/>
        <w:r w:rsidRPr="00655C13">
          <w:rPr>
            <w:rStyle w:val="Hyperlink"/>
            <w:rFonts w:ascii="Arial" w:hAnsi="Arial" w:cs="Arial"/>
            <w:b/>
          </w:rPr>
          <w:t>alifornia Technology Assessment Forum.</w:t>
        </w:r>
      </w:hyperlink>
      <w:r w:rsidRPr="00D61F73">
        <w:rPr>
          <w:rFonts w:ascii="Arial" w:hAnsi="Arial" w:cs="Arial"/>
          <w:b/>
        </w:rPr>
        <w:t xml:space="preserve"> Interferential stimulation for the treatment of musculoskeletal pain. 2005.</w:t>
      </w:r>
    </w:p>
    <w:p w14:paraId="3F3EE374" w14:textId="77777777" w:rsidR="008D0565" w:rsidRPr="00D61F73" w:rsidRDefault="008D0565" w:rsidP="00D61F73">
      <w:pPr>
        <w:rPr>
          <w:rFonts w:ascii="Arial" w:hAnsi="Arial" w:cs="Arial"/>
        </w:rPr>
      </w:pPr>
    </w:p>
    <w:p w14:paraId="6AA8C21D" w14:textId="77777777" w:rsidR="008D0565" w:rsidRPr="00D61F73" w:rsidRDefault="008D0565" w:rsidP="00D61F73">
      <w:pPr>
        <w:rPr>
          <w:rFonts w:ascii="Arial" w:hAnsi="Arial" w:cs="Arial"/>
        </w:rPr>
      </w:pPr>
      <w:r w:rsidRPr="00D61F73">
        <w:rPr>
          <w:rFonts w:ascii="Arial" w:hAnsi="Arial" w:cs="Arial"/>
        </w:rPr>
        <w:t xml:space="preserve">Interferential stimulation: Does Not Meet CTAF Criteria </w:t>
      </w:r>
    </w:p>
    <w:p w14:paraId="672BBEBB" w14:textId="77777777" w:rsidR="008D0565" w:rsidRPr="00D61F73" w:rsidRDefault="008D0565" w:rsidP="00D61F73">
      <w:pPr>
        <w:pStyle w:val="Heading2"/>
        <w:rPr>
          <w:rFonts w:ascii="Arial" w:hAnsi="Arial" w:cs="Arial"/>
          <w:b w:val="0"/>
          <w:bCs/>
          <w:sz w:val="24"/>
          <w:szCs w:val="24"/>
        </w:rPr>
      </w:pPr>
    </w:p>
    <w:p w14:paraId="1440F0DD" w14:textId="77777777" w:rsidR="008D0565" w:rsidRPr="00D61F73" w:rsidRDefault="008D0565" w:rsidP="00D61F73">
      <w:pPr>
        <w:rPr>
          <w:rFonts w:ascii="Arial" w:hAnsi="Arial" w:cs="Arial"/>
        </w:rPr>
      </w:pPr>
      <w:r w:rsidRPr="00D61F73">
        <w:rPr>
          <w:rFonts w:ascii="Arial" w:hAnsi="Arial" w:cs="Arial"/>
        </w:rPr>
        <w:t>Note: Click on link above to go to a description of each individual study.</w:t>
      </w:r>
    </w:p>
    <w:p w14:paraId="1A651B77" w14:textId="77777777" w:rsidR="008D0565" w:rsidRPr="00D61F73" w:rsidRDefault="008D0565" w:rsidP="00D61F73">
      <w:pPr>
        <w:rPr>
          <w:rFonts w:ascii="Arial" w:hAnsi="Arial" w:cs="Arial"/>
        </w:rPr>
      </w:pPr>
    </w:p>
    <w:p w14:paraId="33DB5B27" w14:textId="77777777" w:rsidR="008D0565" w:rsidRPr="00D61F73" w:rsidRDefault="008D0565" w:rsidP="00D61F73">
      <w:pPr>
        <w:rPr>
          <w:rFonts w:ascii="Arial" w:hAnsi="Arial" w:cs="Arial"/>
        </w:rPr>
      </w:pPr>
      <w:r w:rsidRPr="00D61F73">
        <w:rPr>
          <w:rFonts w:ascii="Arial" w:hAnsi="Arial" w:cs="Arial"/>
        </w:rPr>
        <w:t>H</w:t>
      </w:r>
      <w:bookmarkStart w:id="582" w:name="Hou"/>
      <w:bookmarkEnd w:id="582"/>
      <w:r w:rsidRPr="00D61F73">
        <w:rPr>
          <w:rFonts w:ascii="Arial" w:hAnsi="Arial" w:cs="Arial"/>
        </w:rPr>
        <w:t>ou CR, Tsai LC, Cheng KF, Chung KC, Hong CZ. Immediate effects of various physical therapeutic modalities on cervical myofascial pain and trigger-point sensitivity. Arch Phys Med Rehabil. Oct 2002;83(10):1406-1414.</w:t>
      </w:r>
    </w:p>
    <w:p w14:paraId="0144C67B" w14:textId="77777777" w:rsidR="008D0565" w:rsidRPr="00D61F73" w:rsidRDefault="008D0565" w:rsidP="00D61F73">
      <w:pPr>
        <w:rPr>
          <w:rFonts w:ascii="Arial" w:hAnsi="Arial" w:cs="Arial"/>
        </w:rPr>
      </w:pPr>
      <w:r w:rsidRPr="00D61F73">
        <w:rPr>
          <w:rFonts w:ascii="Arial" w:hAnsi="Arial" w:cs="Arial"/>
        </w:rPr>
        <w:t>H</w:t>
      </w:r>
      <w:bookmarkStart w:id="583" w:name="Hurley2"/>
      <w:bookmarkEnd w:id="583"/>
      <w:r w:rsidRPr="00D61F73">
        <w:rPr>
          <w:rFonts w:ascii="Arial" w:hAnsi="Arial" w:cs="Arial"/>
        </w:rPr>
        <w:t>urley DA, McDonough SM, Dempster M, Moore AP, Baxter GD. A randomized clinical trial of manipulative therapy and interferential therapy for acute low back pain. Spine. Oct 15 2004;29(20):2207-2216.</w:t>
      </w:r>
    </w:p>
    <w:p w14:paraId="467F11F5" w14:textId="77777777" w:rsidR="008D0565" w:rsidRPr="00D61F73" w:rsidRDefault="008D0565" w:rsidP="00D61F73">
      <w:pPr>
        <w:rPr>
          <w:rFonts w:ascii="Arial" w:hAnsi="Arial" w:cs="Arial"/>
        </w:rPr>
      </w:pPr>
      <w:r w:rsidRPr="00D61F73">
        <w:rPr>
          <w:rFonts w:ascii="Arial" w:hAnsi="Arial" w:cs="Arial"/>
        </w:rPr>
        <w:t>H</w:t>
      </w:r>
      <w:bookmarkStart w:id="584" w:name="Hurley1"/>
      <w:bookmarkEnd w:id="584"/>
      <w:r w:rsidRPr="00D61F73">
        <w:rPr>
          <w:rFonts w:ascii="Arial" w:hAnsi="Arial" w:cs="Arial"/>
        </w:rPr>
        <w:t>urley DA, Minder PM, McDonough SM, Walsh DM, Moore AP, Baxter DG. Interferential therapy electrode placement technique in acute low back pain: a preliminary investigation. Arch Phys Med Rehabil. Apr 2001;82(4):485-493.</w:t>
      </w:r>
    </w:p>
    <w:p w14:paraId="13E0C377" w14:textId="77777777" w:rsidR="008D0565" w:rsidRPr="00D61F73" w:rsidRDefault="008D0565" w:rsidP="00D61F73">
      <w:pPr>
        <w:rPr>
          <w:rFonts w:ascii="Arial" w:hAnsi="Arial" w:cs="Arial"/>
        </w:rPr>
      </w:pPr>
      <w:r w:rsidRPr="00D61F73">
        <w:rPr>
          <w:rFonts w:ascii="Arial" w:hAnsi="Arial" w:cs="Arial"/>
        </w:rPr>
        <w:t>J</w:t>
      </w:r>
      <w:bookmarkStart w:id="585" w:name="Jarit"/>
      <w:bookmarkEnd w:id="585"/>
      <w:r w:rsidRPr="00D61F73">
        <w:rPr>
          <w:rFonts w:ascii="Arial" w:hAnsi="Arial" w:cs="Arial"/>
        </w:rPr>
        <w:t>arit GJ, Mohr KJ, Waller R, Glousman RE. The effects of home interferential therapy on post-operative pain, edema, and range of motion of the knee. Clin J Sport Med. Jan 2003;13(1):16-20.</w:t>
      </w:r>
    </w:p>
    <w:p w14:paraId="30B77AE8" w14:textId="77777777" w:rsidR="008D0565" w:rsidRPr="00D61F73" w:rsidRDefault="008D0565" w:rsidP="00D61F73">
      <w:pPr>
        <w:rPr>
          <w:rFonts w:ascii="Arial" w:hAnsi="Arial" w:cs="Arial"/>
        </w:rPr>
      </w:pPr>
      <w:bookmarkStart w:id="586" w:name="Werners"/>
      <w:r w:rsidRPr="00D61F73">
        <w:rPr>
          <w:rFonts w:ascii="Arial" w:hAnsi="Arial" w:cs="Arial"/>
        </w:rPr>
        <w:t>Werners</w:t>
      </w:r>
      <w:bookmarkEnd w:id="586"/>
      <w:r w:rsidRPr="00D61F73">
        <w:rPr>
          <w:rFonts w:ascii="Arial" w:hAnsi="Arial" w:cs="Arial"/>
        </w:rPr>
        <w:t xml:space="preserve"> R, Pynsent PB, Bulstrode CJ. Randomized trial comparing interferential therapy with motorized lumbar traction and massage in the management of low back pain in a primary care setting. Spine. Aug 1 1999;24(15):1579-1584.</w:t>
      </w:r>
    </w:p>
    <w:p w14:paraId="09F2E57C" w14:textId="77777777" w:rsidR="008D0565" w:rsidRPr="00D61F73" w:rsidRDefault="008D0565" w:rsidP="00D61F73">
      <w:pPr>
        <w:rPr>
          <w:rFonts w:ascii="Arial" w:hAnsi="Arial" w:cs="Arial"/>
        </w:rPr>
      </w:pPr>
    </w:p>
    <w:p w14:paraId="465A794C"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Rating: 8b</w:t>
      </w:r>
    </w:p>
    <w:p w14:paraId="17EC3BBE" w14:textId="7958C82D" w:rsidR="008D0565" w:rsidRPr="00D61F73" w:rsidRDefault="008D0565" w:rsidP="00D61F73">
      <w:pPr>
        <w:pStyle w:val="Heading2"/>
        <w:rPr>
          <w:rFonts w:ascii="Arial" w:hAnsi="Arial" w:cs="Arial"/>
          <w:sz w:val="24"/>
          <w:szCs w:val="24"/>
        </w:rPr>
      </w:pPr>
      <w:r w:rsidRPr="00D61F73">
        <w:rPr>
          <w:rFonts w:ascii="Arial" w:hAnsi="Arial" w:cs="Arial"/>
          <w:b w:val="0"/>
          <w:bCs/>
          <w:sz w:val="24"/>
          <w:szCs w:val="24"/>
        </w:rPr>
        <w:br w:type="page"/>
      </w:r>
      <w:hyperlink r:id="rId316" w:history="1">
        <w:r w:rsidRPr="00D61F73">
          <w:rPr>
            <w:rStyle w:val="Hyperlink"/>
            <w:rFonts w:ascii="Arial" w:hAnsi="Arial" w:cs="Arial"/>
            <w:sz w:val="24"/>
            <w:szCs w:val="24"/>
          </w:rPr>
          <w:t>C</w:t>
        </w:r>
        <w:bookmarkStart w:id="587" w:name="California2"/>
        <w:bookmarkEnd w:id="587"/>
        <w:r w:rsidRPr="00D61F73">
          <w:rPr>
            <w:rStyle w:val="Hyperlink"/>
            <w:rFonts w:ascii="Arial" w:hAnsi="Arial" w:cs="Arial"/>
            <w:sz w:val="24"/>
            <w:szCs w:val="24"/>
          </w:rPr>
          <w:t>alifornia</w:t>
        </w:r>
      </w:hyperlink>
      <w:r w:rsidRPr="00D61F73">
        <w:rPr>
          <w:rFonts w:ascii="Arial" w:hAnsi="Arial" w:cs="Arial"/>
          <w:sz w:val="24"/>
          <w:szCs w:val="24"/>
        </w:rPr>
        <w:t>. Division of Workers’ Compensation. Functional Improvement Report. October 2007.</w:t>
      </w:r>
    </w:p>
    <w:p w14:paraId="5CBCA769" w14:textId="77777777" w:rsidR="008D0565" w:rsidRPr="00D61F73" w:rsidRDefault="008D0565" w:rsidP="00D61F73">
      <w:pPr>
        <w:pStyle w:val="Heading2"/>
        <w:rPr>
          <w:rFonts w:ascii="Arial" w:hAnsi="Arial" w:cs="Arial"/>
          <w:b w:val="0"/>
          <w:bCs/>
          <w:sz w:val="24"/>
          <w:szCs w:val="24"/>
        </w:rPr>
      </w:pPr>
    </w:p>
    <w:p w14:paraId="4C6F5A9C" w14:textId="77777777" w:rsidR="008D0565" w:rsidRPr="00D61F73" w:rsidRDefault="003A1CDC" w:rsidP="00D61F73">
      <w:pPr>
        <w:pStyle w:val="Heading2"/>
        <w:rPr>
          <w:rFonts w:ascii="Arial" w:hAnsi="Arial" w:cs="Arial"/>
          <w:b w:val="0"/>
          <w:bCs/>
          <w:sz w:val="24"/>
          <w:szCs w:val="24"/>
        </w:rPr>
      </w:pPr>
      <w:r w:rsidRPr="00D61F73">
        <w:rPr>
          <w:rFonts w:ascii="Arial" w:hAnsi="Arial" w:cs="Arial"/>
          <w:b w:val="0"/>
          <w:bCs/>
          <w:sz w:val="24"/>
          <w:szCs w:val="24"/>
        </w:rPr>
        <w:t xml:space="preserve">§ 9792.27. </w:t>
      </w:r>
      <w:r w:rsidR="008D0565" w:rsidRPr="00D61F73">
        <w:rPr>
          <w:rFonts w:ascii="Arial" w:hAnsi="Arial" w:cs="Arial"/>
          <w:b w:val="0"/>
          <w:bCs/>
          <w:sz w:val="24"/>
          <w:szCs w:val="24"/>
        </w:rPr>
        <w:t>Form FIR “Functional Improvement Report”</w:t>
      </w:r>
    </w:p>
    <w:p w14:paraId="66F3E8FD" w14:textId="77777777" w:rsidR="008D0565" w:rsidRPr="00D61F73" w:rsidRDefault="008D0565" w:rsidP="00D61F73">
      <w:pPr>
        <w:pStyle w:val="Heading2"/>
        <w:rPr>
          <w:rFonts w:ascii="Arial" w:hAnsi="Arial" w:cs="Arial"/>
          <w:b w:val="0"/>
          <w:bCs/>
          <w:sz w:val="24"/>
          <w:szCs w:val="24"/>
        </w:rPr>
      </w:pPr>
    </w:p>
    <w:p w14:paraId="363E1557" w14:textId="77777777" w:rsidR="00AD2160" w:rsidRPr="00D61F73" w:rsidRDefault="00AD2160" w:rsidP="00D61F73">
      <w:pPr>
        <w:rPr>
          <w:rFonts w:ascii="Arial" w:hAnsi="Arial" w:cs="Arial"/>
        </w:rPr>
      </w:pPr>
    </w:p>
    <w:p w14:paraId="06C585DF"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t>Rating: 7a</w:t>
      </w:r>
    </w:p>
    <w:p w14:paraId="62AD78A0" w14:textId="77777777" w:rsidR="008D0565" w:rsidRPr="00D61F73" w:rsidRDefault="008D0565" w:rsidP="00D61F73">
      <w:pPr>
        <w:rPr>
          <w:rFonts w:ascii="Arial" w:eastAsia="Calibri" w:hAnsi="Arial" w:cs="Arial"/>
          <w:b/>
          <w:color w:val="auto"/>
        </w:rPr>
      </w:pPr>
      <w:r w:rsidRPr="00D61F73">
        <w:rPr>
          <w:rFonts w:ascii="Arial" w:hAnsi="Arial" w:cs="Arial"/>
          <w:b/>
          <w:bCs/>
        </w:rPr>
        <w:br w:type="page"/>
      </w:r>
      <w:r w:rsidRPr="00D61F73">
        <w:rPr>
          <w:rFonts w:ascii="Arial" w:hAnsi="Arial" w:cs="Arial"/>
          <w:b/>
        </w:rPr>
        <w:lastRenderedPageBreak/>
        <w:t>C</w:t>
      </w:r>
      <w:bookmarkStart w:id="588" w:name="Cappello2012"/>
      <w:bookmarkEnd w:id="588"/>
      <w:r w:rsidRPr="00D61F73">
        <w:rPr>
          <w:rFonts w:ascii="Arial" w:hAnsi="Arial" w:cs="Arial"/>
          <w:b/>
        </w:rPr>
        <w:t xml:space="preserve">appello ZJ, Kasdan ML, Louis DS. Meta-analysis of imaging techniques for the diagnosis of complex regional pain syndrome type I. </w:t>
      </w:r>
      <w:r w:rsidRPr="00D61F73">
        <w:rPr>
          <w:rFonts w:ascii="Arial" w:hAnsi="Arial" w:cs="Arial"/>
          <w:b/>
          <w:i/>
        </w:rPr>
        <w:t>J Hand Surg Am</w:t>
      </w:r>
      <w:r w:rsidRPr="00D61F73">
        <w:rPr>
          <w:rFonts w:ascii="Arial" w:hAnsi="Arial" w:cs="Arial"/>
          <w:b/>
        </w:rPr>
        <w:t>. 2012;37:288-96.</w:t>
      </w:r>
    </w:p>
    <w:p w14:paraId="33F9904E" w14:textId="77777777" w:rsidR="008D0565" w:rsidRPr="00D61F73" w:rsidRDefault="008D0565" w:rsidP="00D61F73">
      <w:pPr>
        <w:rPr>
          <w:rFonts w:ascii="Arial" w:eastAsia="Calibri" w:hAnsi="Arial" w:cs="Arial"/>
          <w:b/>
        </w:rPr>
      </w:pPr>
    </w:p>
    <w:p w14:paraId="0821D5AF"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17" w:history="1">
        <w:r w:rsidRPr="00D61F73">
          <w:rPr>
            <w:rStyle w:val="Hyperlink"/>
            <w:rFonts w:ascii="Arial" w:hAnsi="Arial" w:cs="Arial"/>
          </w:rPr>
          <w:t>22177715</w:t>
        </w:r>
      </w:hyperlink>
    </w:p>
    <w:p w14:paraId="150F49C8" w14:textId="77777777" w:rsidR="008D0565" w:rsidRPr="00D61F73" w:rsidRDefault="008D0565" w:rsidP="00D61F73">
      <w:pPr>
        <w:rPr>
          <w:rFonts w:ascii="Arial" w:eastAsia="Calibri" w:hAnsi="Arial" w:cs="Arial"/>
        </w:rPr>
      </w:pPr>
    </w:p>
    <w:p w14:paraId="068E41C5" w14:textId="77777777" w:rsidR="008D0565" w:rsidRPr="00D61F73" w:rsidRDefault="008D0565" w:rsidP="00D61F73">
      <w:pPr>
        <w:rPr>
          <w:rFonts w:ascii="Arial" w:eastAsia="Calibri" w:hAnsi="Arial" w:cs="Arial"/>
        </w:rPr>
      </w:pPr>
      <w:r w:rsidRPr="00D61F73">
        <w:rPr>
          <w:rFonts w:ascii="Arial" w:hAnsi="Arial" w:cs="Arial"/>
        </w:rPr>
        <w:t>Rating: 1c</w:t>
      </w:r>
    </w:p>
    <w:p w14:paraId="1A7DDA51" w14:textId="77777777" w:rsidR="008D0565" w:rsidRPr="00D61F73" w:rsidRDefault="008D0565" w:rsidP="00D61F73">
      <w:pPr>
        <w:pStyle w:val="Heading2"/>
        <w:rPr>
          <w:rFonts w:ascii="Arial" w:hAnsi="Arial" w:cs="Arial"/>
          <w:b w:val="0"/>
          <w:bCs/>
          <w:sz w:val="24"/>
          <w:szCs w:val="24"/>
        </w:rPr>
      </w:pPr>
      <w:r w:rsidRPr="00D61F73">
        <w:rPr>
          <w:rFonts w:ascii="Arial" w:hAnsi="Arial" w:cs="Arial"/>
          <w:b w:val="0"/>
          <w:bCs/>
          <w:sz w:val="24"/>
          <w:szCs w:val="24"/>
        </w:rPr>
        <w:br w:type="page"/>
      </w:r>
      <w:bookmarkStart w:id="589" w:name="Carroll"/>
      <w:r w:rsidRPr="00D61F73">
        <w:rPr>
          <w:rFonts w:ascii="Arial" w:hAnsi="Arial" w:cs="Arial"/>
          <w:bCs/>
          <w:sz w:val="24"/>
          <w:szCs w:val="24"/>
        </w:rPr>
        <w:lastRenderedPageBreak/>
        <w:t>Carroll</w:t>
      </w:r>
      <w:bookmarkEnd w:id="589"/>
      <w:r w:rsidRPr="00D61F73">
        <w:rPr>
          <w:rFonts w:ascii="Arial" w:hAnsi="Arial" w:cs="Arial"/>
          <w:bCs/>
          <w:sz w:val="24"/>
          <w:szCs w:val="24"/>
        </w:rPr>
        <w:t xml:space="preserve"> D, Moore RA, McQuay HJ, Fairman F, Tramer M, Leijon G, Transcutaneous electrical nerve stimulation (TENS) for chronic pain, </w:t>
      </w:r>
      <w:r w:rsidRPr="00D61F73">
        <w:rPr>
          <w:rFonts w:ascii="Arial" w:hAnsi="Arial" w:cs="Arial"/>
          <w:bCs/>
          <w:i/>
          <w:iCs/>
          <w:sz w:val="24"/>
          <w:szCs w:val="24"/>
        </w:rPr>
        <w:t>Cochrane Database Syst Rev.</w:t>
      </w:r>
      <w:r w:rsidRPr="00D61F73">
        <w:rPr>
          <w:rFonts w:ascii="Arial" w:hAnsi="Arial" w:cs="Arial"/>
          <w:bCs/>
          <w:sz w:val="24"/>
          <w:szCs w:val="24"/>
        </w:rPr>
        <w:t xml:space="preserve"> 2001;(3):CD003222.</w:t>
      </w:r>
    </w:p>
    <w:p w14:paraId="692D0E4B" w14:textId="77777777" w:rsidR="008D0565" w:rsidRPr="00D61F73" w:rsidRDefault="008D0565" w:rsidP="00D61F73">
      <w:pPr>
        <w:rPr>
          <w:rFonts w:ascii="Arial" w:hAnsi="Arial" w:cs="Arial"/>
          <w:b/>
        </w:rPr>
      </w:pPr>
    </w:p>
    <w:p w14:paraId="008A4E48" w14:textId="77777777" w:rsidR="008D0565" w:rsidRPr="00D61F73" w:rsidRDefault="008D0565" w:rsidP="00D61F73">
      <w:pPr>
        <w:rPr>
          <w:rFonts w:ascii="Arial" w:hAnsi="Arial" w:cs="Arial"/>
        </w:rPr>
      </w:pPr>
      <w:r w:rsidRPr="00D61F73">
        <w:rPr>
          <w:rFonts w:ascii="Arial" w:hAnsi="Arial" w:cs="Arial"/>
        </w:rPr>
        <w:t xml:space="preserve">PMID: </w:t>
      </w:r>
      <w:hyperlink r:id="rId318" w:history="1">
        <w:r w:rsidRPr="00D61F73">
          <w:rPr>
            <w:rStyle w:val="Hyperlink"/>
            <w:rFonts w:ascii="Arial" w:hAnsi="Arial" w:cs="Arial"/>
          </w:rPr>
          <w:t>11687055</w:t>
        </w:r>
      </w:hyperlink>
      <w:r w:rsidRPr="00D61F73">
        <w:rPr>
          <w:rFonts w:ascii="Arial" w:hAnsi="Arial" w:cs="Arial"/>
        </w:rPr>
        <w:t xml:space="preserve"> </w:t>
      </w:r>
    </w:p>
    <w:p w14:paraId="54E9DD5F" w14:textId="77777777" w:rsidR="008D0565" w:rsidRPr="00D61F73" w:rsidRDefault="008D0565" w:rsidP="00D61F73">
      <w:pPr>
        <w:rPr>
          <w:rFonts w:ascii="Arial" w:hAnsi="Arial" w:cs="Arial"/>
        </w:rPr>
      </w:pPr>
    </w:p>
    <w:p w14:paraId="2ADE6EB7" w14:textId="77777777" w:rsidR="008D0565" w:rsidRPr="00D61F73" w:rsidRDefault="008D0565" w:rsidP="00D61F73">
      <w:pPr>
        <w:rPr>
          <w:rFonts w:ascii="Arial" w:hAnsi="Arial" w:cs="Arial"/>
        </w:rPr>
      </w:pPr>
      <w:r w:rsidRPr="00D61F73">
        <w:rPr>
          <w:rFonts w:ascii="Arial" w:hAnsi="Arial" w:cs="Arial"/>
        </w:rPr>
        <w:t xml:space="preserve">Rating: 1a </w:t>
      </w:r>
    </w:p>
    <w:p w14:paraId="324A2252"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C</w:t>
      </w:r>
      <w:bookmarkStart w:id="590" w:name="Carson2010"/>
      <w:bookmarkEnd w:id="590"/>
      <w:r w:rsidRPr="00D61F73">
        <w:rPr>
          <w:rFonts w:ascii="Arial" w:hAnsi="Arial" w:cs="Arial"/>
        </w:rPr>
        <w:t xml:space="preserve">arson JW, Carson KM, Jones KD, Bennett RM, Wright CL, Mist SD. A pilot randomized controlled trial of the Yoga of Awareness program in the management of fibromyalgia. </w:t>
      </w:r>
      <w:r w:rsidRPr="00D61F73">
        <w:rPr>
          <w:rFonts w:ascii="Arial" w:hAnsi="Arial" w:cs="Arial"/>
          <w:i/>
          <w:iCs/>
        </w:rPr>
        <w:t>Pain</w:t>
      </w:r>
      <w:r w:rsidRPr="00D61F73">
        <w:rPr>
          <w:rFonts w:ascii="Arial" w:hAnsi="Arial" w:cs="Arial"/>
        </w:rPr>
        <w:t>. 2010 Nov;151(2):530-9.</w:t>
      </w:r>
    </w:p>
    <w:p w14:paraId="61137456" w14:textId="77777777" w:rsidR="008D0565" w:rsidRPr="00D61F73" w:rsidRDefault="008D0565" w:rsidP="00D61F73">
      <w:pPr>
        <w:pStyle w:val="BodyText"/>
        <w:rPr>
          <w:rFonts w:ascii="Arial" w:hAnsi="Arial" w:cs="Arial"/>
          <w:b w:val="0"/>
          <w:bCs w:val="0"/>
        </w:rPr>
      </w:pPr>
    </w:p>
    <w:p w14:paraId="4262EB32"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A sample of 53 female FM patients were randomized to the 8-week Yoga of Awareness program. At post-treatment, women assigned to the yoga program showed significantly greater improvements.</w:t>
      </w:r>
    </w:p>
    <w:p w14:paraId="67E5C2D7" w14:textId="77777777" w:rsidR="008D0565" w:rsidRPr="00D61F73" w:rsidRDefault="008D0565" w:rsidP="00D61F73">
      <w:pPr>
        <w:pStyle w:val="BodyText"/>
        <w:rPr>
          <w:rFonts w:ascii="Arial" w:hAnsi="Arial" w:cs="Arial"/>
          <w:b w:val="0"/>
          <w:bCs w:val="0"/>
        </w:rPr>
      </w:pPr>
    </w:p>
    <w:p w14:paraId="74709E99"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PMID: </w:t>
      </w:r>
      <w:hyperlink r:id="rId319" w:history="1">
        <w:r w:rsidRPr="00D61F73">
          <w:rPr>
            <w:rStyle w:val="Hyperlink"/>
            <w:rFonts w:ascii="Arial" w:hAnsi="Arial" w:cs="Arial"/>
            <w:b w:val="0"/>
            <w:bCs w:val="0"/>
          </w:rPr>
          <w:t>20946990</w:t>
        </w:r>
      </w:hyperlink>
    </w:p>
    <w:p w14:paraId="1F815463" w14:textId="77777777" w:rsidR="008D0565" w:rsidRPr="00D61F73" w:rsidRDefault="008D0565" w:rsidP="00D61F73">
      <w:pPr>
        <w:pStyle w:val="BodyText"/>
        <w:rPr>
          <w:rFonts w:ascii="Arial" w:hAnsi="Arial" w:cs="Arial"/>
          <w:b w:val="0"/>
          <w:bCs w:val="0"/>
        </w:rPr>
      </w:pPr>
    </w:p>
    <w:p w14:paraId="3F8F16BB"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2b</w:t>
      </w:r>
    </w:p>
    <w:p w14:paraId="6F67E9AF" w14:textId="77777777" w:rsidR="008D0565" w:rsidRPr="00D61F73" w:rsidRDefault="008D0565" w:rsidP="00D61F73">
      <w:pPr>
        <w:pStyle w:val="BodyText"/>
        <w:rPr>
          <w:rFonts w:ascii="Arial" w:hAnsi="Arial" w:cs="Arial"/>
          <w:b w:val="0"/>
          <w:bCs w:val="0"/>
        </w:rPr>
      </w:pPr>
    </w:p>
    <w:p w14:paraId="007CD20B" w14:textId="77777777" w:rsidR="008D0565" w:rsidRPr="00D61F73" w:rsidRDefault="008D0565" w:rsidP="00D61F73">
      <w:pPr>
        <w:pStyle w:val="BodyText"/>
        <w:rPr>
          <w:rFonts w:ascii="Arial" w:eastAsia="Calibri" w:hAnsi="Arial" w:cs="Arial"/>
        </w:rPr>
      </w:pPr>
      <w:r w:rsidRPr="00D61F73">
        <w:rPr>
          <w:rFonts w:ascii="Arial" w:hAnsi="Arial" w:cs="Arial"/>
          <w:b w:val="0"/>
          <w:bCs w:val="0"/>
        </w:rPr>
        <w:br w:type="page"/>
      </w:r>
      <w:hyperlink r:id="rId320" w:history="1">
        <w:r w:rsidRPr="00D61F73">
          <w:rPr>
            <w:rStyle w:val="Hyperlink"/>
            <w:rFonts w:ascii="Arial" w:hAnsi="Arial" w:cs="Arial"/>
            <w:bCs w:val="0"/>
          </w:rPr>
          <w:t>C</w:t>
        </w:r>
        <w:bookmarkStart w:id="591" w:name="CDC2012"/>
        <w:bookmarkEnd w:id="591"/>
        <w:r w:rsidRPr="00D61F73">
          <w:rPr>
            <w:rStyle w:val="Hyperlink"/>
            <w:rFonts w:ascii="Arial" w:hAnsi="Arial" w:cs="Arial"/>
            <w:bCs w:val="0"/>
          </w:rPr>
          <w:t>enters for Disease Control and Prevention (CDC)</w:t>
        </w:r>
        <w:r w:rsidRPr="00D61F73">
          <w:rPr>
            <w:rStyle w:val="Hyperlink"/>
            <w:rFonts w:ascii="Arial" w:hAnsi="Arial" w:cs="Arial"/>
            <w:b w:val="0"/>
            <w:bCs w:val="0"/>
          </w:rPr>
          <w:t>.</w:t>
        </w:r>
      </w:hyperlink>
      <w:r w:rsidRPr="00D61F73">
        <w:rPr>
          <w:rFonts w:ascii="Arial" w:hAnsi="Arial" w:cs="Arial"/>
          <w:b w:val="0"/>
          <w:bCs w:val="0"/>
        </w:rPr>
        <w:t xml:space="preserve"> CDC Grand Rounds: Prescription Drug Overdoses - a U.S. Epidemic. MMWR Morb Mortal Wkly Rep. 2012 Jan 13;61:10-3. </w:t>
      </w:r>
    </w:p>
    <w:p w14:paraId="4F92A006" w14:textId="77777777" w:rsidR="008D0565" w:rsidRPr="00D61F73" w:rsidRDefault="008D0565" w:rsidP="00D61F73">
      <w:pPr>
        <w:rPr>
          <w:rFonts w:ascii="Arial" w:eastAsia="Calibri" w:hAnsi="Arial" w:cs="Arial"/>
        </w:rPr>
      </w:pPr>
    </w:p>
    <w:p w14:paraId="4711F094" w14:textId="77777777" w:rsidR="008D0565" w:rsidRPr="00D61F73" w:rsidRDefault="008D0565" w:rsidP="00D61F73">
      <w:pPr>
        <w:pStyle w:val="Footer"/>
        <w:tabs>
          <w:tab w:val="clear" w:pos="4320"/>
          <w:tab w:val="clear" w:pos="8640"/>
        </w:tabs>
        <w:rPr>
          <w:rFonts w:ascii="Arial" w:eastAsia="Calibri" w:hAnsi="Arial" w:cs="Arial"/>
        </w:rPr>
      </w:pPr>
      <w:r w:rsidRPr="00D61F73">
        <w:rPr>
          <w:rFonts w:ascii="Arial" w:eastAsia="Calibri" w:hAnsi="Arial" w:cs="Arial"/>
        </w:rPr>
        <w:t>Rating: 3a</w:t>
      </w:r>
    </w:p>
    <w:p w14:paraId="16474060" w14:textId="77777777" w:rsidR="008D0565" w:rsidRPr="00D61F73" w:rsidRDefault="008D0565" w:rsidP="00D61F73">
      <w:pPr>
        <w:rPr>
          <w:rFonts w:ascii="Arial" w:eastAsia="Calibri" w:hAnsi="Arial" w:cs="Arial"/>
          <w:b/>
          <w:bCs/>
          <w:color w:val="auto"/>
        </w:rPr>
      </w:pPr>
      <w:r w:rsidRPr="00D61F73">
        <w:rPr>
          <w:rFonts w:ascii="Arial" w:eastAsia="Calibri" w:hAnsi="Arial" w:cs="Arial"/>
        </w:rPr>
        <w:br w:type="page"/>
      </w:r>
      <w:hyperlink r:id="rId321" w:history="1">
        <w:r w:rsidRPr="00D61F73">
          <w:rPr>
            <w:rStyle w:val="Hyperlink"/>
            <w:rFonts w:ascii="Arial" w:hAnsi="Arial" w:cs="Arial"/>
            <w:b/>
            <w:bCs/>
          </w:rPr>
          <w:t>C</w:t>
        </w:r>
        <w:bookmarkStart w:id="592" w:name="CenterforSubstanceAbuseTreatment2009"/>
        <w:bookmarkEnd w:id="592"/>
        <w:r w:rsidRPr="00D61F73">
          <w:rPr>
            <w:rStyle w:val="Hyperlink"/>
            <w:rFonts w:ascii="Arial" w:hAnsi="Arial" w:cs="Arial"/>
            <w:b/>
            <w:bCs/>
          </w:rPr>
          <w:t>enter for Substance Abuse Treatment</w:t>
        </w:r>
      </w:hyperlink>
      <w:r w:rsidRPr="00D61F73">
        <w:rPr>
          <w:rFonts w:ascii="Arial" w:hAnsi="Arial" w:cs="Arial"/>
          <w:b/>
          <w:bCs/>
        </w:rPr>
        <w:t xml:space="preserve"> (2009). Emerging Issues in the Use of Methadone. HHS Publication No. (SMA) 09-4368. </w:t>
      </w:r>
      <w:r w:rsidRPr="00D61F73">
        <w:rPr>
          <w:rFonts w:ascii="Arial" w:hAnsi="Arial" w:cs="Arial"/>
          <w:b/>
          <w:bCs/>
          <w:i/>
        </w:rPr>
        <w:t xml:space="preserve">Substance Abuse Treatment Advisory, </w:t>
      </w:r>
      <w:r w:rsidRPr="00D61F73">
        <w:rPr>
          <w:rFonts w:ascii="Arial" w:hAnsi="Arial" w:cs="Arial"/>
          <w:b/>
          <w:bCs/>
        </w:rPr>
        <w:t xml:space="preserve">Volume 8, Issue 1. </w:t>
      </w:r>
    </w:p>
    <w:p w14:paraId="467D57D9" w14:textId="77777777" w:rsidR="008D0565" w:rsidRPr="00D61F73" w:rsidRDefault="008D0565" w:rsidP="00D61F73">
      <w:pPr>
        <w:rPr>
          <w:rFonts w:ascii="Arial" w:eastAsia="Calibri" w:hAnsi="Arial" w:cs="Arial"/>
        </w:rPr>
      </w:pPr>
    </w:p>
    <w:p w14:paraId="51A009C8"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Rating: 8b </w:t>
      </w:r>
    </w:p>
    <w:p w14:paraId="03A4115B"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C</w:t>
      </w:r>
      <w:bookmarkStart w:id="593" w:name="Cepeda"/>
      <w:bookmarkEnd w:id="593"/>
      <w:r w:rsidRPr="00D61F73">
        <w:rPr>
          <w:rFonts w:ascii="Arial" w:hAnsi="Arial" w:cs="Arial"/>
        </w:rPr>
        <w:t xml:space="preserve">epeda M, Carr D, Lau J. Local anesthetic sympathetic blockade for complex regional pain syndrome. </w:t>
      </w:r>
      <w:r w:rsidRPr="00D61F73">
        <w:rPr>
          <w:rFonts w:ascii="Arial" w:hAnsi="Arial" w:cs="Arial"/>
          <w:i/>
          <w:iCs/>
        </w:rPr>
        <w:t>Cochrane Database Syst Rev</w:t>
      </w:r>
      <w:r w:rsidRPr="00D61F73">
        <w:rPr>
          <w:rFonts w:ascii="Arial" w:hAnsi="Arial" w:cs="Arial"/>
        </w:rPr>
        <w:t xml:space="preserve">. 2005 Oct 19;4:CD004598. </w:t>
      </w:r>
    </w:p>
    <w:p w14:paraId="483A7F6A" w14:textId="77777777" w:rsidR="008D0565" w:rsidRPr="00D61F73" w:rsidRDefault="008D0565" w:rsidP="00D61F73">
      <w:pPr>
        <w:pStyle w:val="BodyText"/>
        <w:rPr>
          <w:rFonts w:ascii="Arial" w:hAnsi="Arial" w:cs="Arial"/>
          <w:b w:val="0"/>
          <w:bCs w:val="0"/>
        </w:rPr>
      </w:pPr>
    </w:p>
    <w:p w14:paraId="0736D78F"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RESULTS: Two small randomized double blind cross over studies that evaluated 23 subjects were found. CONCLUSIONS: This systematic review revealed the scarcity of published evidence to support the use of local anesthetic sympathetic blockade as the 'gold standard' treatment for CRPS. </w:t>
      </w:r>
    </w:p>
    <w:p w14:paraId="5DF83874" w14:textId="77777777" w:rsidR="008D0565" w:rsidRPr="00D61F73" w:rsidRDefault="008D0565" w:rsidP="00D61F73">
      <w:pPr>
        <w:pStyle w:val="BodyText"/>
        <w:rPr>
          <w:rFonts w:ascii="Arial" w:hAnsi="Arial" w:cs="Arial"/>
          <w:b w:val="0"/>
          <w:bCs w:val="0"/>
        </w:rPr>
      </w:pPr>
    </w:p>
    <w:p w14:paraId="169A9A20" w14:textId="77777777" w:rsidR="008D0565" w:rsidRPr="00D61F73" w:rsidRDefault="008D0565" w:rsidP="00D61F73">
      <w:pPr>
        <w:pStyle w:val="BodyText"/>
        <w:rPr>
          <w:rFonts w:ascii="Arial" w:hAnsi="Arial" w:cs="Arial"/>
        </w:rPr>
      </w:pPr>
      <w:r w:rsidRPr="00D61F73">
        <w:rPr>
          <w:rFonts w:ascii="Arial" w:hAnsi="Arial" w:cs="Arial"/>
          <w:b w:val="0"/>
          <w:bCs w:val="0"/>
        </w:rPr>
        <w:t xml:space="preserve">PMID: </w:t>
      </w:r>
      <w:hyperlink r:id="rId322" w:history="1">
        <w:r w:rsidRPr="00D61F73">
          <w:rPr>
            <w:rStyle w:val="Hyperlink"/>
            <w:rFonts w:ascii="Arial" w:hAnsi="Arial" w:cs="Arial"/>
            <w:b w:val="0"/>
            <w:bCs w:val="0"/>
          </w:rPr>
          <w:t>16235369</w:t>
        </w:r>
      </w:hyperlink>
      <w:r w:rsidRPr="00D61F73">
        <w:rPr>
          <w:rFonts w:ascii="Arial" w:hAnsi="Arial" w:cs="Arial"/>
        </w:rPr>
        <w:t xml:space="preserve"> </w:t>
      </w:r>
    </w:p>
    <w:p w14:paraId="44178B40" w14:textId="77777777" w:rsidR="008D0565" w:rsidRPr="00D61F73" w:rsidRDefault="008D0565" w:rsidP="00D61F73">
      <w:pPr>
        <w:pStyle w:val="BodyText"/>
        <w:rPr>
          <w:rFonts w:ascii="Arial" w:hAnsi="Arial" w:cs="Arial"/>
        </w:rPr>
      </w:pPr>
    </w:p>
    <w:p w14:paraId="5645F6FB"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1c</w:t>
      </w:r>
    </w:p>
    <w:p w14:paraId="5520E82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C</w:t>
      </w:r>
      <w:bookmarkStart w:id="594" w:name="Cepeda2"/>
      <w:bookmarkEnd w:id="594"/>
      <w:r w:rsidRPr="00D61F73">
        <w:rPr>
          <w:rFonts w:ascii="Arial" w:hAnsi="Arial" w:cs="Arial"/>
          <w:b/>
        </w:rPr>
        <w:t xml:space="preserve">epeda MS, Camargo F, Zea C, Valencia L. Tramadol for osteoarthritis. </w:t>
      </w:r>
      <w:r w:rsidRPr="00D61F73">
        <w:rPr>
          <w:rFonts w:ascii="Arial" w:hAnsi="Arial" w:cs="Arial"/>
          <w:b/>
          <w:i/>
        </w:rPr>
        <w:t>Cochrane Database Syst Rev</w:t>
      </w:r>
      <w:r w:rsidRPr="00D61F73">
        <w:rPr>
          <w:rFonts w:ascii="Arial" w:hAnsi="Arial" w:cs="Arial"/>
          <w:b/>
        </w:rPr>
        <w:t>. 2006 ;19;3:CD005522.</w:t>
      </w:r>
    </w:p>
    <w:p w14:paraId="6A7617DF" w14:textId="77777777" w:rsidR="008D0565" w:rsidRPr="00D61F73" w:rsidRDefault="008D0565" w:rsidP="00D61F73">
      <w:pPr>
        <w:rPr>
          <w:rFonts w:ascii="Arial" w:hAnsi="Arial" w:cs="Arial"/>
        </w:rPr>
      </w:pPr>
    </w:p>
    <w:p w14:paraId="4F7EB6B4" w14:textId="77777777" w:rsidR="008D0565" w:rsidRPr="00D61F73" w:rsidRDefault="008D0565" w:rsidP="00D61F73">
      <w:pPr>
        <w:rPr>
          <w:rFonts w:ascii="Arial" w:hAnsi="Arial" w:cs="Arial"/>
        </w:rPr>
      </w:pPr>
      <w:r w:rsidRPr="00D61F73">
        <w:rPr>
          <w:rFonts w:ascii="Arial" w:hAnsi="Arial" w:cs="Arial"/>
        </w:rPr>
        <w:t>CONCLUSIONS: Tramadol or tramadol/paracetamol decreases pain intensity, produces symptom relief and improves function, but these benefits are small. Adverse events, although reversible and not life threatening, often cause participants to stop taking the medication and could limit tramadol or tramadol plus paracetamol usefulness.</w:t>
      </w:r>
    </w:p>
    <w:p w14:paraId="4B33F86C" w14:textId="77777777" w:rsidR="008D0565" w:rsidRPr="00D61F73" w:rsidRDefault="008D0565" w:rsidP="00D61F73">
      <w:pPr>
        <w:rPr>
          <w:rFonts w:ascii="Arial" w:hAnsi="Arial" w:cs="Arial"/>
        </w:rPr>
      </w:pPr>
    </w:p>
    <w:p w14:paraId="23CE29B1" w14:textId="77777777" w:rsidR="008D0565" w:rsidRPr="00D61F73" w:rsidRDefault="008D0565" w:rsidP="00D61F73">
      <w:pPr>
        <w:rPr>
          <w:rFonts w:ascii="Arial" w:hAnsi="Arial" w:cs="Arial"/>
        </w:rPr>
      </w:pPr>
      <w:r w:rsidRPr="00D61F73">
        <w:rPr>
          <w:rFonts w:ascii="Arial" w:hAnsi="Arial" w:cs="Arial"/>
        </w:rPr>
        <w:t xml:space="preserve">PMID: </w:t>
      </w:r>
      <w:hyperlink r:id="rId323" w:history="1">
        <w:r w:rsidRPr="00D61F73">
          <w:rPr>
            <w:rStyle w:val="Hyperlink"/>
            <w:rFonts w:ascii="Arial" w:hAnsi="Arial" w:cs="Arial"/>
          </w:rPr>
          <w:t>16856101</w:t>
        </w:r>
      </w:hyperlink>
      <w:r w:rsidRPr="00D61F73">
        <w:rPr>
          <w:rFonts w:ascii="Arial" w:hAnsi="Arial" w:cs="Arial"/>
        </w:rPr>
        <w:t xml:space="preserve"> </w:t>
      </w:r>
    </w:p>
    <w:p w14:paraId="372238B4" w14:textId="77777777" w:rsidR="008D0565" w:rsidRPr="00D61F73" w:rsidRDefault="008D0565" w:rsidP="00D61F73">
      <w:pPr>
        <w:rPr>
          <w:rFonts w:ascii="Arial" w:hAnsi="Arial" w:cs="Arial"/>
        </w:rPr>
      </w:pPr>
    </w:p>
    <w:p w14:paraId="36E61D38" w14:textId="77777777" w:rsidR="008D0565" w:rsidRPr="00D61F73" w:rsidRDefault="008D0565" w:rsidP="00D61F73">
      <w:pPr>
        <w:rPr>
          <w:rFonts w:ascii="Arial" w:hAnsi="Arial" w:cs="Arial"/>
        </w:rPr>
      </w:pPr>
      <w:r w:rsidRPr="00D61F73">
        <w:rPr>
          <w:rFonts w:ascii="Arial" w:hAnsi="Arial" w:cs="Arial"/>
        </w:rPr>
        <w:t>Rating: 1a</w:t>
      </w:r>
    </w:p>
    <w:p w14:paraId="34FBC04A"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C</w:t>
      </w:r>
      <w:bookmarkStart w:id="595" w:name="Cepeda2002"/>
      <w:bookmarkEnd w:id="595"/>
      <w:r w:rsidRPr="00D61F73">
        <w:rPr>
          <w:rFonts w:ascii="Arial" w:hAnsi="Arial" w:cs="Arial"/>
          <w:b/>
        </w:rPr>
        <w:t xml:space="preserve">epeda MS, Lau J, Carr DB. Defining the therapeutic role of local anesthetic sympathetic blockade in complex regional pain syndrome: a narrative and systematic review. </w:t>
      </w:r>
      <w:r w:rsidRPr="00D61F73">
        <w:rPr>
          <w:rFonts w:ascii="Arial" w:hAnsi="Arial" w:cs="Arial"/>
          <w:b/>
          <w:i/>
        </w:rPr>
        <w:t>Clin J Pain.</w:t>
      </w:r>
      <w:r w:rsidRPr="00D61F73">
        <w:rPr>
          <w:rFonts w:ascii="Arial" w:hAnsi="Arial" w:cs="Arial"/>
          <w:b/>
        </w:rPr>
        <w:t xml:space="preserve"> 2002;18:216-33</w:t>
      </w:r>
      <w:r w:rsidRPr="00D61F73">
        <w:rPr>
          <w:rFonts w:ascii="Arial" w:hAnsi="Arial" w:cs="Arial"/>
        </w:rPr>
        <w:t>.</w:t>
      </w:r>
    </w:p>
    <w:p w14:paraId="390CB3A5" w14:textId="77777777" w:rsidR="008D0565" w:rsidRPr="00D61F73" w:rsidRDefault="008D0565" w:rsidP="00D61F73">
      <w:pPr>
        <w:rPr>
          <w:rFonts w:ascii="Arial" w:hAnsi="Arial" w:cs="Arial"/>
        </w:rPr>
      </w:pPr>
    </w:p>
    <w:p w14:paraId="375495D6" w14:textId="77777777" w:rsidR="008D0565" w:rsidRPr="00D61F73" w:rsidRDefault="008D0565" w:rsidP="00D61F73">
      <w:pPr>
        <w:rPr>
          <w:rFonts w:ascii="Arial" w:hAnsi="Arial" w:cs="Arial"/>
        </w:rPr>
      </w:pPr>
      <w:r w:rsidRPr="00D61F73">
        <w:rPr>
          <w:rFonts w:ascii="Arial" w:hAnsi="Arial" w:cs="Arial"/>
        </w:rPr>
        <w:t>CONCLUSIONS: This review raises questions as to the efficacy of local anesthetic sympathetic blockade as treatment of CRPS. Its efficacy is based mainly on case series. Less than one third of patients obtained full pain relief. The absence of control groups in case series leads to an overestimation of the treatment response that can explain the findings.</w:t>
      </w:r>
    </w:p>
    <w:p w14:paraId="430504DD" w14:textId="77777777" w:rsidR="008D0565" w:rsidRPr="00D61F73" w:rsidRDefault="008D0565" w:rsidP="00D61F73">
      <w:pPr>
        <w:rPr>
          <w:rFonts w:ascii="Arial" w:hAnsi="Arial" w:cs="Arial"/>
        </w:rPr>
      </w:pPr>
    </w:p>
    <w:p w14:paraId="32986F1F" w14:textId="77777777" w:rsidR="008D0565" w:rsidRPr="00D61F73" w:rsidRDefault="008D0565" w:rsidP="00D61F73">
      <w:pPr>
        <w:rPr>
          <w:rFonts w:ascii="Arial" w:hAnsi="Arial" w:cs="Arial"/>
        </w:rPr>
      </w:pPr>
      <w:r w:rsidRPr="00D61F73">
        <w:rPr>
          <w:rFonts w:ascii="Arial" w:hAnsi="Arial" w:cs="Arial"/>
        </w:rPr>
        <w:t xml:space="preserve">PMID: </w:t>
      </w:r>
      <w:hyperlink r:id="rId324" w:history="1">
        <w:r w:rsidRPr="00D61F73">
          <w:rPr>
            <w:rStyle w:val="Hyperlink"/>
            <w:rFonts w:ascii="Arial" w:hAnsi="Arial" w:cs="Arial"/>
          </w:rPr>
          <w:t>12131063</w:t>
        </w:r>
      </w:hyperlink>
    </w:p>
    <w:p w14:paraId="1CEBD420" w14:textId="77777777" w:rsidR="008D0565" w:rsidRPr="00D61F73" w:rsidRDefault="008D0565" w:rsidP="00D61F73">
      <w:pPr>
        <w:rPr>
          <w:rFonts w:ascii="Arial" w:hAnsi="Arial" w:cs="Arial"/>
        </w:rPr>
      </w:pPr>
    </w:p>
    <w:p w14:paraId="1E359DA1" w14:textId="77777777" w:rsidR="008D0565" w:rsidRPr="00D61F73" w:rsidRDefault="008D0565" w:rsidP="00D61F73">
      <w:pPr>
        <w:rPr>
          <w:rFonts w:ascii="Arial" w:hAnsi="Arial" w:cs="Arial"/>
        </w:rPr>
      </w:pPr>
      <w:r w:rsidRPr="00D61F73">
        <w:rPr>
          <w:rFonts w:ascii="Arial" w:hAnsi="Arial" w:cs="Arial"/>
        </w:rPr>
        <w:t>Rating: 1c</w:t>
      </w:r>
    </w:p>
    <w:p w14:paraId="09ECE057" w14:textId="77777777" w:rsidR="008D0565" w:rsidRPr="00D61F73" w:rsidRDefault="008D0565" w:rsidP="00D61F73">
      <w:pPr>
        <w:rPr>
          <w:rFonts w:ascii="Arial" w:hAnsi="Arial" w:cs="Arial"/>
          <w:b/>
          <w:bCs/>
        </w:rPr>
      </w:pPr>
      <w:r w:rsidRPr="00D61F73">
        <w:rPr>
          <w:rFonts w:ascii="Arial" w:hAnsi="Arial" w:cs="Arial"/>
        </w:rPr>
        <w:br w:type="page"/>
      </w:r>
      <w:hyperlink r:id="rId325" w:history="1">
        <w:r w:rsidRPr="00D61F73">
          <w:rPr>
            <w:rStyle w:val="Hyperlink"/>
            <w:rFonts w:ascii="Arial" w:hAnsi="Arial" w:cs="Arial"/>
            <w:b/>
            <w:bCs/>
          </w:rPr>
          <w:t>C</w:t>
        </w:r>
        <w:bookmarkStart w:id="596" w:name="CFSAN"/>
        <w:bookmarkEnd w:id="596"/>
        <w:r w:rsidRPr="00D61F73">
          <w:rPr>
            <w:rStyle w:val="Hyperlink"/>
            <w:rFonts w:ascii="Arial" w:hAnsi="Arial" w:cs="Arial"/>
            <w:b/>
            <w:bCs/>
          </w:rPr>
          <w:t>FSAN</w:t>
        </w:r>
      </w:hyperlink>
      <w:r w:rsidRPr="00D61F73">
        <w:rPr>
          <w:rFonts w:ascii="Arial" w:hAnsi="Arial" w:cs="Arial"/>
          <w:b/>
          <w:bCs/>
        </w:rPr>
        <w:t>/Office of Nutritional Products, Labeling, and Dietary Supplements. Guidance for Industry: Frequently Asked Questions About Medical Foods. Center for Food and Safety and Applied Nutrition, FDA. Accessed: July 2008</w:t>
      </w:r>
    </w:p>
    <w:p w14:paraId="5F671B95" w14:textId="77777777" w:rsidR="008D0565" w:rsidRPr="00D61F73" w:rsidRDefault="008D0565" w:rsidP="00D61F73">
      <w:pPr>
        <w:rPr>
          <w:rFonts w:ascii="Arial" w:hAnsi="Arial" w:cs="Arial"/>
        </w:rPr>
      </w:pPr>
    </w:p>
    <w:p w14:paraId="119A02E4" w14:textId="77777777" w:rsidR="008D0565" w:rsidRPr="00D61F73" w:rsidRDefault="008D0565" w:rsidP="00D61F73">
      <w:pPr>
        <w:rPr>
          <w:rFonts w:ascii="Arial" w:hAnsi="Arial" w:cs="Arial"/>
        </w:rPr>
      </w:pPr>
      <w:r w:rsidRPr="00D61F73">
        <w:rPr>
          <w:rFonts w:ascii="Arial" w:hAnsi="Arial" w:cs="Arial"/>
        </w:rPr>
        <w:t>Rating: 8b</w:t>
      </w:r>
    </w:p>
    <w:p w14:paraId="5C6D9D8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C</w:t>
      </w:r>
      <w:bookmarkStart w:id="597" w:name="Chan"/>
      <w:bookmarkEnd w:id="597"/>
      <w:r w:rsidRPr="00D61F73">
        <w:rPr>
          <w:rFonts w:ascii="Arial" w:hAnsi="Arial" w:cs="Arial"/>
          <w:b/>
        </w:rPr>
        <w:t xml:space="preserve">han FK, Graham DY. Review article: prevention of non-steroidal anti-inflammatory drug gastrointestinal complications--review and recommendations based on risk assessment. </w:t>
      </w:r>
      <w:r w:rsidRPr="00D61F73">
        <w:rPr>
          <w:rFonts w:ascii="Arial" w:hAnsi="Arial" w:cs="Arial"/>
          <w:b/>
          <w:i/>
        </w:rPr>
        <w:t>Aliment Pharmacol Ther</w:t>
      </w:r>
      <w:r w:rsidRPr="00D61F73">
        <w:rPr>
          <w:rFonts w:ascii="Arial" w:hAnsi="Arial" w:cs="Arial"/>
          <w:b/>
        </w:rPr>
        <w:t>. 2004;19:1051-61.</w:t>
      </w:r>
    </w:p>
    <w:p w14:paraId="7441F0F4" w14:textId="77777777" w:rsidR="008D0565" w:rsidRPr="00D61F73" w:rsidRDefault="008D0565" w:rsidP="00D61F73">
      <w:pPr>
        <w:rPr>
          <w:rFonts w:ascii="Arial" w:hAnsi="Arial" w:cs="Arial"/>
        </w:rPr>
      </w:pPr>
    </w:p>
    <w:p w14:paraId="20C5AC77" w14:textId="77777777" w:rsidR="008D0565" w:rsidRPr="00D61F73" w:rsidRDefault="008D0565" w:rsidP="00D61F73">
      <w:pPr>
        <w:rPr>
          <w:rFonts w:ascii="Arial" w:hAnsi="Arial" w:cs="Arial"/>
        </w:rPr>
      </w:pPr>
      <w:r w:rsidRPr="00D61F73">
        <w:rPr>
          <w:rFonts w:ascii="Arial" w:hAnsi="Arial" w:cs="Arial"/>
        </w:rPr>
        <w:t>The presence of H. pylori infection increases the risk of upper gastrointestinal complications in non-steroidal anti-inflammatory drug users by two- to fourfold suggesting that all patients requiring regular non-steroidal anti-inflammatory drug therapy be tested for H. pylori.</w:t>
      </w:r>
    </w:p>
    <w:p w14:paraId="5A761364" w14:textId="77777777" w:rsidR="008D0565" w:rsidRPr="00D61F73" w:rsidRDefault="008D0565" w:rsidP="00D61F73">
      <w:pPr>
        <w:rPr>
          <w:rFonts w:ascii="Arial" w:hAnsi="Arial" w:cs="Arial"/>
        </w:rPr>
      </w:pPr>
    </w:p>
    <w:p w14:paraId="7ED2CC13" w14:textId="77777777" w:rsidR="008D0565" w:rsidRPr="00D61F73" w:rsidRDefault="008D0565" w:rsidP="00D61F73">
      <w:pPr>
        <w:rPr>
          <w:rFonts w:ascii="Arial" w:hAnsi="Arial" w:cs="Arial"/>
        </w:rPr>
      </w:pPr>
      <w:r w:rsidRPr="00D61F73">
        <w:rPr>
          <w:rFonts w:ascii="Arial" w:hAnsi="Arial" w:cs="Arial"/>
        </w:rPr>
        <w:t xml:space="preserve">PMID: </w:t>
      </w:r>
      <w:hyperlink r:id="rId326" w:history="1">
        <w:r w:rsidRPr="00D61F73">
          <w:rPr>
            <w:rStyle w:val="Hyperlink"/>
            <w:rFonts w:ascii="Arial" w:hAnsi="Arial" w:cs="Arial"/>
          </w:rPr>
          <w:t>15142194</w:t>
        </w:r>
      </w:hyperlink>
    </w:p>
    <w:p w14:paraId="77EBF28E" w14:textId="77777777" w:rsidR="008D0565" w:rsidRPr="00D61F73" w:rsidRDefault="008D0565" w:rsidP="00D61F73">
      <w:pPr>
        <w:rPr>
          <w:rFonts w:ascii="Arial" w:hAnsi="Arial" w:cs="Arial"/>
        </w:rPr>
      </w:pPr>
    </w:p>
    <w:p w14:paraId="31C522F4" w14:textId="77777777" w:rsidR="008D0565" w:rsidRPr="00D61F73" w:rsidRDefault="008D0565" w:rsidP="00D61F73">
      <w:pPr>
        <w:rPr>
          <w:rFonts w:ascii="Arial" w:hAnsi="Arial" w:cs="Arial"/>
        </w:rPr>
      </w:pPr>
      <w:r w:rsidRPr="00D61F73">
        <w:rPr>
          <w:rFonts w:ascii="Arial" w:hAnsi="Arial" w:cs="Arial"/>
        </w:rPr>
        <w:t>Rating: 5b</w:t>
      </w:r>
    </w:p>
    <w:p w14:paraId="72DABDB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C</w:t>
      </w:r>
      <w:bookmarkStart w:id="598" w:name="Chan2"/>
      <w:bookmarkEnd w:id="598"/>
      <w:r w:rsidRPr="00D61F73">
        <w:rPr>
          <w:rFonts w:ascii="Arial" w:hAnsi="Arial" w:cs="Arial"/>
          <w:b/>
        </w:rPr>
        <w:t xml:space="preserve">han AT, Manson JE, Albert CM, Chae CU, Rexrode KM, Curhan GC, Rimm EB, Willett WC, Fuchs CS. Nonsteroidal antiinflammatory drugs, acetaminophen, and the risk of cardiovascular events. </w:t>
      </w:r>
      <w:r w:rsidRPr="00D61F73">
        <w:rPr>
          <w:rFonts w:ascii="Arial" w:hAnsi="Arial" w:cs="Arial"/>
          <w:b/>
          <w:i/>
        </w:rPr>
        <w:t>Circulation</w:t>
      </w:r>
      <w:r w:rsidRPr="00D61F73">
        <w:rPr>
          <w:rFonts w:ascii="Arial" w:hAnsi="Arial" w:cs="Arial"/>
          <w:b/>
        </w:rPr>
        <w:t>. 2006;113:1578-87.</w:t>
      </w:r>
    </w:p>
    <w:p w14:paraId="4CADBFFF" w14:textId="77777777" w:rsidR="008D0565" w:rsidRPr="00D61F73" w:rsidRDefault="008D0565" w:rsidP="00D61F73">
      <w:pPr>
        <w:rPr>
          <w:rFonts w:ascii="Arial" w:hAnsi="Arial" w:cs="Arial"/>
        </w:rPr>
      </w:pPr>
    </w:p>
    <w:p w14:paraId="40AB664A" w14:textId="77777777" w:rsidR="008D0565" w:rsidRPr="00D61F73" w:rsidRDefault="008D0565" w:rsidP="00D61F73">
      <w:pPr>
        <w:rPr>
          <w:rFonts w:ascii="Arial" w:hAnsi="Arial" w:cs="Arial"/>
        </w:rPr>
      </w:pPr>
      <w:r w:rsidRPr="00D61F73">
        <w:rPr>
          <w:rFonts w:ascii="Arial" w:hAnsi="Arial" w:cs="Arial"/>
        </w:rPr>
        <w:t>CONCLUSIONS: Use of NSAIDs or acetaminophen at high frequency or dose is associated with a significantly increased risk for major cardiovascular events, although more moderate use did not confer substantial risk.</w:t>
      </w:r>
    </w:p>
    <w:p w14:paraId="0A7FF7C2" w14:textId="77777777" w:rsidR="008D0565" w:rsidRPr="00D61F73" w:rsidRDefault="008D0565" w:rsidP="00D61F73">
      <w:pPr>
        <w:rPr>
          <w:rFonts w:ascii="Arial" w:hAnsi="Arial" w:cs="Arial"/>
        </w:rPr>
      </w:pPr>
    </w:p>
    <w:p w14:paraId="6A507CE7" w14:textId="77777777" w:rsidR="008D0565" w:rsidRPr="00D61F73" w:rsidRDefault="008D0565" w:rsidP="00D61F73">
      <w:pPr>
        <w:rPr>
          <w:rFonts w:ascii="Arial" w:hAnsi="Arial" w:cs="Arial"/>
        </w:rPr>
      </w:pPr>
      <w:r w:rsidRPr="00D61F73">
        <w:rPr>
          <w:rFonts w:ascii="Arial" w:hAnsi="Arial" w:cs="Arial"/>
        </w:rPr>
        <w:t xml:space="preserve">PMID: </w:t>
      </w:r>
      <w:hyperlink r:id="rId327" w:history="1">
        <w:r w:rsidRPr="00D61F73">
          <w:rPr>
            <w:rStyle w:val="Hyperlink"/>
            <w:rFonts w:ascii="Arial" w:hAnsi="Arial" w:cs="Arial"/>
          </w:rPr>
          <w:t>16534006</w:t>
        </w:r>
      </w:hyperlink>
      <w:r w:rsidRPr="00D61F73">
        <w:rPr>
          <w:rFonts w:ascii="Arial" w:hAnsi="Arial" w:cs="Arial"/>
        </w:rPr>
        <w:t xml:space="preserve"> </w:t>
      </w:r>
    </w:p>
    <w:p w14:paraId="2CD4A94C" w14:textId="77777777" w:rsidR="008D0565" w:rsidRPr="00D61F73" w:rsidRDefault="008D0565" w:rsidP="00D61F73">
      <w:pPr>
        <w:rPr>
          <w:rFonts w:ascii="Arial" w:hAnsi="Arial" w:cs="Arial"/>
        </w:rPr>
      </w:pPr>
    </w:p>
    <w:p w14:paraId="756F9A5A" w14:textId="77777777" w:rsidR="008D0565" w:rsidRPr="00D61F73" w:rsidRDefault="008D0565" w:rsidP="00D61F73">
      <w:pPr>
        <w:rPr>
          <w:rFonts w:ascii="Arial" w:hAnsi="Arial" w:cs="Arial"/>
        </w:rPr>
      </w:pPr>
      <w:r w:rsidRPr="00D61F73">
        <w:rPr>
          <w:rFonts w:ascii="Arial" w:hAnsi="Arial" w:cs="Arial"/>
        </w:rPr>
        <w:t>Rating: 3a</w:t>
      </w:r>
    </w:p>
    <w:p w14:paraId="5581756A"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C</w:t>
      </w:r>
      <w:bookmarkStart w:id="599" w:name="Chan2002"/>
      <w:bookmarkEnd w:id="599"/>
      <w:r w:rsidRPr="00D61F73">
        <w:rPr>
          <w:rFonts w:ascii="Arial" w:hAnsi="Arial" w:cs="Arial"/>
          <w:b/>
        </w:rPr>
        <w:t>han FK, To KF, Wu JC, Yung MY, Leung WK, Kwok T, Hui Y, Chan HL, Chan CS, Hui E, Woo J, Sung JJ. Eradication of Helicobacter pylori and risk of peptic ulcers in patients starting long-term treatment with non-steroidal anti-inflammatory drugs: a randomised trial</w:t>
      </w:r>
      <w:r w:rsidRPr="00D61F73">
        <w:rPr>
          <w:rFonts w:ascii="Arial" w:hAnsi="Arial" w:cs="Arial"/>
          <w:b/>
          <w:i/>
        </w:rPr>
        <w:t>. Lancet</w:t>
      </w:r>
      <w:r w:rsidRPr="00D61F73">
        <w:rPr>
          <w:rFonts w:ascii="Arial" w:hAnsi="Arial" w:cs="Arial"/>
          <w:b/>
        </w:rPr>
        <w:t>. 2002;359:9-13.</w:t>
      </w:r>
    </w:p>
    <w:p w14:paraId="62825420" w14:textId="77777777" w:rsidR="008D0565" w:rsidRPr="00D61F73" w:rsidRDefault="008D0565" w:rsidP="00D61F73">
      <w:pPr>
        <w:rPr>
          <w:rFonts w:ascii="Arial" w:hAnsi="Arial" w:cs="Arial"/>
        </w:rPr>
      </w:pPr>
    </w:p>
    <w:p w14:paraId="3CE229B0" w14:textId="77777777" w:rsidR="008D0565" w:rsidRPr="00D61F73" w:rsidRDefault="008D0565" w:rsidP="00D61F73">
      <w:pPr>
        <w:rPr>
          <w:rFonts w:ascii="Arial" w:eastAsia="Calibri" w:hAnsi="Arial" w:cs="Arial"/>
        </w:rPr>
      </w:pPr>
      <w:r w:rsidRPr="00D61F73">
        <w:rPr>
          <w:rFonts w:ascii="Arial" w:hAnsi="Arial" w:cs="Arial"/>
        </w:rPr>
        <w:t>INTERPRETATION: Screening and treatment for H pylori infection significantly reduces the risk of ulcers for patients starting long-term NSAID treatment.</w:t>
      </w:r>
    </w:p>
    <w:p w14:paraId="4B662B84" w14:textId="77777777" w:rsidR="008D0565" w:rsidRPr="00D61F73" w:rsidRDefault="008D0565" w:rsidP="00D61F73">
      <w:pPr>
        <w:rPr>
          <w:rFonts w:ascii="Arial" w:eastAsia="Calibri" w:hAnsi="Arial" w:cs="Arial"/>
        </w:rPr>
      </w:pPr>
    </w:p>
    <w:p w14:paraId="29A033FB"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28" w:history="1">
        <w:r w:rsidRPr="00D61F73">
          <w:rPr>
            <w:rStyle w:val="Hyperlink"/>
            <w:rFonts w:ascii="Arial" w:hAnsi="Arial" w:cs="Arial"/>
          </w:rPr>
          <w:t>11809180</w:t>
        </w:r>
      </w:hyperlink>
      <w:r w:rsidRPr="00D61F73">
        <w:rPr>
          <w:rFonts w:ascii="Arial" w:hAnsi="Arial" w:cs="Arial"/>
        </w:rPr>
        <w:t xml:space="preserve"> </w:t>
      </w:r>
    </w:p>
    <w:p w14:paraId="01F6F389" w14:textId="77777777" w:rsidR="008D0565" w:rsidRPr="00D61F73" w:rsidRDefault="008D0565" w:rsidP="00D61F73">
      <w:pPr>
        <w:rPr>
          <w:rFonts w:ascii="Arial" w:hAnsi="Arial" w:cs="Arial"/>
        </w:rPr>
      </w:pPr>
    </w:p>
    <w:p w14:paraId="79E98FF4" w14:textId="77777777" w:rsidR="008D0565" w:rsidRPr="00D61F73" w:rsidRDefault="008D0565" w:rsidP="00D61F73">
      <w:pPr>
        <w:rPr>
          <w:rFonts w:ascii="Arial" w:hAnsi="Arial" w:cs="Arial"/>
        </w:rPr>
      </w:pPr>
      <w:r w:rsidRPr="00D61F73">
        <w:rPr>
          <w:rFonts w:ascii="Arial" w:hAnsi="Arial" w:cs="Arial"/>
        </w:rPr>
        <w:t>Rating: 2b</w:t>
      </w:r>
    </w:p>
    <w:p w14:paraId="104484E6" w14:textId="77777777" w:rsidR="008D0565" w:rsidRPr="00D61F73" w:rsidRDefault="008D0565" w:rsidP="00D61F73">
      <w:pPr>
        <w:rPr>
          <w:rFonts w:ascii="Arial" w:hAnsi="Arial" w:cs="Arial"/>
        </w:rPr>
      </w:pPr>
    </w:p>
    <w:p w14:paraId="2FAB1C56"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C</w:t>
      </w:r>
      <w:bookmarkStart w:id="600" w:name="Chan2001"/>
      <w:bookmarkEnd w:id="600"/>
      <w:r w:rsidRPr="00D61F73">
        <w:rPr>
          <w:rFonts w:ascii="Arial" w:hAnsi="Arial" w:cs="Arial"/>
          <w:b/>
        </w:rPr>
        <w:t xml:space="preserve">han FK, Chung SC, Suen BY, Lee YT, Leung WK, Leung VK, Wu JC, Lau JY, Hui Y, Lai MS, Chan HL, Sung JJ. Preventing recurrent upper gastrointestinal bleeding in patients with Helicobacter pylori infection who are taking low-dose aspirin or naproxen. </w:t>
      </w:r>
      <w:r w:rsidRPr="00D61F73">
        <w:rPr>
          <w:rFonts w:ascii="Arial" w:hAnsi="Arial" w:cs="Arial"/>
          <w:b/>
          <w:i/>
        </w:rPr>
        <w:t>N Engl J Med</w:t>
      </w:r>
      <w:r w:rsidRPr="00D61F73">
        <w:rPr>
          <w:rFonts w:ascii="Arial" w:hAnsi="Arial" w:cs="Arial"/>
          <w:b/>
        </w:rPr>
        <w:t>. 2001;344:967-73.</w:t>
      </w:r>
    </w:p>
    <w:p w14:paraId="526ACC3C" w14:textId="77777777" w:rsidR="008D0565" w:rsidRPr="00D61F73" w:rsidRDefault="008D0565" w:rsidP="00D61F73">
      <w:pPr>
        <w:rPr>
          <w:rFonts w:ascii="Arial" w:eastAsia="Calibri" w:hAnsi="Arial" w:cs="Arial"/>
        </w:rPr>
      </w:pPr>
    </w:p>
    <w:p w14:paraId="6629EE17" w14:textId="77777777" w:rsidR="008D0565" w:rsidRPr="00D61F73" w:rsidRDefault="008D0565" w:rsidP="00D61F73">
      <w:pPr>
        <w:rPr>
          <w:rFonts w:ascii="Arial" w:eastAsia="Calibri" w:hAnsi="Arial" w:cs="Arial"/>
        </w:rPr>
      </w:pPr>
      <w:r w:rsidRPr="00D61F73">
        <w:rPr>
          <w:rFonts w:ascii="Arial" w:hAnsi="Arial" w:cs="Arial"/>
        </w:rPr>
        <w:t>CONCLUSIONS: Omeprazole is superior to the eradication of H. pylori in preventing recurrent bleeding in patients who are taking other NSAIDs.</w:t>
      </w:r>
    </w:p>
    <w:p w14:paraId="719FCF74" w14:textId="77777777" w:rsidR="008D0565" w:rsidRPr="00D61F73" w:rsidRDefault="008D0565" w:rsidP="00D61F73">
      <w:pPr>
        <w:rPr>
          <w:rFonts w:ascii="Arial" w:eastAsia="Calibri" w:hAnsi="Arial" w:cs="Arial"/>
        </w:rPr>
      </w:pPr>
    </w:p>
    <w:p w14:paraId="1AE692F3"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29" w:history="1">
        <w:r w:rsidRPr="00D61F73">
          <w:rPr>
            <w:rStyle w:val="Hyperlink"/>
            <w:rFonts w:ascii="Arial" w:hAnsi="Arial" w:cs="Arial"/>
          </w:rPr>
          <w:t>11274623</w:t>
        </w:r>
      </w:hyperlink>
    </w:p>
    <w:p w14:paraId="1AA026DB" w14:textId="77777777" w:rsidR="008D0565" w:rsidRPr="00D61F73" w:rsidRDefault="008D0565" w:rsidP="00D61F73">
      <w:pPr>
        <w:rPr>
          <w:rFonts w:ascii="Arial" w:hAnsi="Arial" w:cs="Arial"/>
        </w:rPr>
      </w:pPr>
    </w:p>
    <w:p w14:paraId="0CFF6A57" w14:textId="77777777" w:rsidR="008D0565" w:rsidRPr="00D61F73" w:rsidRDefault="008D0565" w:rsidP="00D61F73">
      <w:pPr>
        <w:rPr>
          <w:rFonts w:ascii="Arial" w:hAnsi="Arial" w:cs="Arial"/>
        </w:rPr>
      </w:pPr>
      <w:r w:rsidRPr="00D61F73">
        <w:rPr>
          <w:rFonts w:ascii="Arial" w:hAnsi="Arial" w:cs="Arial"/>
        </w:rPr>
        <w:t>Rating: 2b</w:t>
      </w:r>
    </w:p>
    <w:p w14:paraId="3D9F49B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01" w:name="Chang2014"/>
      <w:bookmarkEnd w:id="601"/>
      <w:r w:rsidRPr="00D61F73">
        <w:rPr>
          <w:rFonts w:ascii="Arial" w:hAnsi="Arial" w:cs="Arial"/>
          <w:b/>
          <w:bCs/>
        </w:rPr>
        <w:t>hang AK. Hydrocodone/Acetaminophen Not Superior to Codeine/Acetaminophen for Acute Pain. American Academy of Pain Medicine (AAPM) 30th Annual Meeting. Abstract 163. Presented March 8, 2014.</w:t>
      </w:r>
    </w:p>
    <w:p w14:paraId="22DC07F0" w14:textId="77777777" w:rsidR="008D0565" w:rsidRPr="00D61F73" w:rsidRDefault="008D0565" w:rsidP="00D61F73">
      <w:pPr>
        <w:rPr>
          <w:rFonts w:ascii="Arial" w:hAnsi="Arial" w:cs="Arial"/>
        </w:rPr>
      </w:pPr>
    </w:p>
    <w:p w14:paraId="6E2951D5" w14:textId="77777777" w:rsidR="008D0565" w:rsidRPr="00D61F73" w:rsidRDefault="008D0565" w:rsidP="00D61F73">
      <w:pPr>
        <w:rPr>
          <w:rFonts w:ascii="Arial" w:hAnsi="Arial" w:cs="Arial"/>
        </w:rPr>
      </w:pPr>
      <w:r w:rsidRPr="00D61F73">
        <w:rPr>
          <w:rFonts w:ascii="Arial" w:hAnsi="Arial" w:cs="Arial"/>
        </w:rPr>
        <w:t xml:space="preserve">Rating: 10b </w:t>
      </w:r>
    </w:p>
    <w:p w14:paraId="42355BC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02" w:name="Chen"/>
      <w:bookmarkEnd w:id="602"/>
      <w:r w:rsidRPr="00D61F73">
        <w:rPr>
          <w:rFonts w:ascii="Arial" w:hAnsi="Arial" w:cs="Arial"/>
          <w:b/>
          <w:bCs/>
        </w:rPr>
        <w:t xml:space="preserve">hen YF, Jobanputra P, Barton P, Bryan S, Fry-Smith A, Harris G, Taylor RS. Cyclooxygenase-2 selective non-steroidal anti-inflammatory drugs (etodolac, meloxicam, celecoxib, rofecoxib, etoricoxib, valdecoxib and lumiracoxib) for osteoarthritis and rheumatoid arthritis: a systematic review and economic evaluation. </w:t>
      </w:r>
      <w:r w:rsidRPr="00D61F73">
        <w:rPr>
          <w:rFonts w:ascii="Arial" w:hAnsi="Arial" w:cs="Arial"/>
          <w:b/>
          <w:bCs/>
          <w:i/>
          <w:iCs/>
        </w:rPr>
        <w:t>Health Technol Assess</w:t>
      </w:r>
      <w:r w:rsidRPr="00D61F73">
        <w:rPr>
          <w:rFonts w:ascii="Arial" w:hAnsi="Arial" w:cs="Arial"/>
          <w:b/>
          <w:bCs/>
        </w:rPr>
        <w:t>. 2008 Apr;12(11):1-178.</w:t>
      </w:r>
    </w:p>
    <w:p w14:paraId="140FB865" w14:textId="77777777" w:rsidR="008D0565" w:rsidRPr="00D61F73" w:rsidRDefault="008D0565" w:rsidP="00D61F73">
      <w:pPr>
        <w:rPr>
          <w:rFonts w:ascii="Arial" w:hAnsi="Arial" w:cs="Arial"/>
        </w:rPr>
      </w:pPr>
    </w:p>
    <w:p w14:paraId="3A21A3E7" w14:textId="77777777" w:rsidR="008D0565" w:rsidRPr="00D61F73" w:rsidRDefault="008D0565" w:rsidP="00D61F73">
      <w:pPr>
        <w:rPr>
          <w:rFonts w:ascii="Arial" w:hAnsi="Arial" w:cs="Arial"/>
        </w:rPr>
      </w:pPr>
      <w:r w:rsidRPr="00D61F73">
        <w:rPr>
          <w:rFonts w:ascii="Arial" w:hAnsi="Arial" w:cs="Arial"/>
        </w:rPr>
        <w:t xml:space="preserve">CONCLUSIONS: With reduced costs of PPIs, future primary research needs to compare the effectiveness and cost-effectiveness of COX-2 selective NSAIDs relative to non-selective NSAIDs with a PPI. </w:t>
      </w:r>
    </w:p>
    <w:p w14:paraId="3799AB03" w14:textId="77777777" w:rsidR="008D0565" w:rsidRPr="00D61F73" w:rsidRDefault="008D0565" w:rsidP="00D61F73">
      <w:pPr>
        <w:rPr>
          <w:rFonts w:ascii="Arial" w:hAnsi="Arial" w:cs="Arial"/>
        </w:rPr>
      </w:pPr>
    </w:p>
    <w:p w14:paraId="1D42609E" w14:textId="77777777" w:rsidR="008D0565" w:rsidRPr="00D61F73" w:rsidRDefault="008D0565" w:rsidP="00D61F73">
      <w:pPr>
        <w:rPr>
          <w:rFonts w:ascii="Arial" w:hAnsi="Arial" w:cs="Arial"/>
          <w:lang w:val="es-MX"/>
        </w:rPr>
      </w:pPr>
      <w:r w:rsidRPr="00D61F73">
        <w:rPr>
          <w:rFonts w:ascii="Arial" w:hAnsi="Arial" w:cs="Arial"/>
          <w:lang w:val="es-MX"/>
        </w:rPr>
        <w:t xml:space="preserve">PMID: </w:t>
      </w:r>
      <w:hyperlink r:id="rId330" w:history="1">
        <w:r w:rsidRPr="00D61F73">
          <w:rPr>
            <w:rStyle w:val="Hyperlink"/>
            <w:rFonts w:ascii="Arial" w:hAnsi="Arial" w:cs="Arial"/>
            <w:lang w:val="es-MX"/>
          </w:rPr>
          <w:t>18405470</w:t>
        </w:r>
      </w:hyperlink>
      <w:r w:rsidRPr="00D61F73">
        <w:rPr>
          <w:rFonts w:ascii="Arial" w:hAnsi="Arial" w:cs="Arial"/>
          <w:lang w:val="es-MX"/>
        </w:rPr>
        <w:t xml:space="preserve"> </w:t>
      </w:r>
    </w:p>
    <w:p w14:paraId="16814EAA" w14:textId="77777777" w:rsidR="008D0565" w:rsidRPr="00D61F73" w:rsidRDefault="008D0565" w:rsidP="00D61F73">
      <w:pPr>
        <w:rPr>
          <w:rFonts w:ascii="Arial" w:hAnsi="Arial" w:cs="Arial"/>
          <w:lang w:val="es-MX"/>
        </w:rPr>
      </w:pPr>
    </w:p>
    <w:p w14:paraId="79B38B3F" w14:textId="77777777" w:rsidR="008D0565" w:rsidRPr="00D61F73" w:rsidRDefault="008D0565" w:rsidP="00D61F73">
      <w:pPr>
        <w:rPr>
          <w:rFonts w:ascii="Arial" w:hAnsi="Arial" w:cs="Arial"/>
          <w:lang w:val="es-MX"/>
        </w:rPr>
      </w:pPr>
      <w:r w:rsidRPr="00D61F73">
        <w:rPr>
          <w:rFonts w:ascii="Arial" w:hAnsi="Arial" w:cs="Arial"/>
          <w:lang w:val="es-MX"/>
        </w:rPr>
        <w:t>Rating: 1b</w:t>
      </w:r>
    </w:p>
    <w:p w14:paraId="77F1F8A1" w14:textId="77777777" w:rsidR="008D0565" w:rsidRPr="00D61F73" w:rsidRDefault="008D0565" w:rsidP="00D61F73">
      <w:pPr>
        <w:rPr>
          <w:rFonts w:ascii="Arial" w:hAnsi="Arial" w:cs="Arial"/>
          <w:b/>
        </w:rPr>
      </w:pPr>
      <w:r w:rsidRPr="00D61F73">
        <w:rPr>
          <w:rFonts w:ascii="Arial" w:hAnsi="Arial" w:cs="Arial"/>
          <w:lang w:val="es-MX"/>
        </w:rPr>
        <w:br w:type="page"/>
      </w:r>
      <w:r w:rsidRPr="00D61F73">
        <w:rPr>
          <w:rFonts w:ascii="Arial" w:hAnsi="Arial" w:cs="Arial"/>
          <w:b/>
          <w:lang w:val="es-MX"/>
        </w:rPr>
        <w:lastRenderedPageBreak/>
        <w:t>C</w:t>
      </w:r>
      <w:bookmarkStart w:id="603" w:name="Chessick"/>
      <w:bookmarkEnd w:id="603"/>
      <w:r w:rsidRPr="00D61F73">
        <w:rPr>
          <w:rFonts w:ascii="Arial" w:hAnsi="Arial" w:cs="Arial"/>
          <w:b/>
          <w:lang w:val="es-MX"/>
        </w:rPr>
        <w:t xml:space="preserve">hessick CA, Allen MH, Thase M, Batista Miralha da Cunha AB, Kapczinski FF, de Lima MS, dos Santos Souza JJ. </w:t>
      </w:r>
      <w:r w:rsidRPr="00D61F73">
        <w:rPr>
          <w:rFonts w:ascii="Arial" w:hAnsi="Arial" w:cs="Arial"/>
          <w:b/>
        </w:rPr>
        <w:t xml:space="preserve">Azapirones for generalized anxiety disorder. </w:t>
      </w:r>
      <w:r w:rsidRPr="00D61F73">
        <w:rPr>
          <w:rFonts w:ascii="Arial" w:hAnsi="Arial" w:cs="Arial"/>
          <w:b/>
          <w:i/>
        </w:rPr>
        <w:t>Cochrane Database Syst Rev</w:t>
      </w:r>
      <w:r w:rsidRPr="00D61F73">
        <w:rPr>
          <w:rFonts w:ascii="Arial" w:hAnsi="Arial" w:cs="Arial"/>
          <w:b/>
        </w:rPr>
        <w:t>. 2006; 3: CD006115.</w:t>
      </w:r>
    </w:p>
    <w:p w14:paraId="18DC255D" w14:textId="77777777" w:rsidR="008D0565" w:rsidRPr="00D61F73" w:rsidRDefault="008D0565" w:rsidP="00D61F73">
      <w:pPr>
        <w:rPr>
          <w:rFonts w:ascii="Arial" w:hAnsi="Arial" w:cs="Arial"/>
          <w:b/>
        </w:rPr>
      </w:pPr>
    </w:p>
    <w:p w14:paraId="5092116A" w14:textId="77777777" w:rsidR="008D0565" w:rsidRPr="00D61F73" w:rsidRDefault="008D0565" w:rsidP="00D61F73">
      <w:pPr>
        <w:rPr>
          <w:rFonts w:ascii="Arial" w:hAnsi="Arial" w:cs="Arial"/>
        </w:rPr>
      </w:pPr>
      <w:r w:rsidRPr="00D61F73">
        <w:rPr>
          <w:rFonts w:ascii="Arial" w:hAnsi="Arial" w:cs="Arial"/>
        </w:rPr>
        <w:t xml:space="preserve">CONCLUSIONS: Azapirones appeared to be useful in the treatment of GAD, particularly for those participants who had not been on a benzodiazepine. Azapirones may not be superior to benzodiazepines and do not appear as acceptable as benzodiazepines. </w:t>
      </w:r>
    </w:p>
    <w:p w14:paraId="0EB2E4EE" w14:textId="77777777" w:rsidR="008D0565" w:rsidRPr="00D61F73" w:rsidRDefault="008D0565" w:rsidP="00D61F73">
      <w:pPr>
        <w:rPr>
          <w:rFonts w:ascii="Arial" w:hAnsi="Arial" w:cs="Arial"/>
        </w:rPr>
      </w:pPr>
    </w:p>
    <w:p w14:paraId="000534A3" w14:textId="77777777" w:rsidR="008D0565" w:rsidRPr="00D61F73" w:rsidRDefault="008D0565" w:rsidP="00D61F73">
      <w:pPr>
        <w:rPr>
          <w:rFonts w:ascii="Arial" w:hAnsi="Arial" w:cs="Arial"/>
        </w:rPr>
      </w:pPr>
      <w:r w:rsidRPr="00D61F73">
        <w:rPr>
          <w:rFonts w:ascii="Arial" w:hAnsi="Arial" w:cs="Arial"/>
        </w:rPr>
        <w:t xml:space="preserve">PMID: </w:t>
      </w:r>
      <w:hyperlink r:id="rId331" w:history="1">
        <w:r w:rsidRPr="00D61F73">
          <w:rPr>
            <w:rStyle w:val="Hyperlink"/>
            <w:rFonts w:ascii="Arial" w:hAnsi="Arial" w:cs="Arial"/>
          </w:rPr>
          <w:t>16856115</w:t>
        </w:r>
      </w:hyperlink>
    </w:p>
    <w:p w14:paraId="62C11134" w14:textId="77777777" w:rsidR="008D0565" w:rsidRPr="00D61F73" w:rsidRDefault="008D0565" w:rsidP="00D61F73">
      <w:pPr>
        <w:rPr>
          <w:rFonts w:ascii="Arial" w:hAnsi="Arial" w:cs="Arial"/>
        </w:rPr>
      </w:pPr>
    </w:p>
    <w:p w14:paraId="23BDD661" w14:textId="77777777" w:rsidR="008D0565" w:rsidRPr="00D61F73" w:rsidRDefault="008D0565" w:rsidP="00D61F73">
      <w:pPr>
        <w:rPr>
          <w:rFonts w:ascii="Arial" w:hAnsi="Arial" w:cs="Arial"/>
        </w:rPr>
      </w:pPr>
      <w:r w:rsidRPr="00D61F73">
        <w:rPr>
          <w:rFonts w:ascii="Arial" w:hAnsi="Arial" w:cs="Arial"/>
        </w:rPr>
        <w:t>Rating: 1c</w:t>
      </w:r>
    </w:p>
    <w:p w14:paraId="44D60A73" w14:textId="77777777" w:rsidR="008D0565" w:rsidRPr="00D61F73" w:rsidRDefault="008D0565" w:rsidP="00D61F73">
      <w:pPr>
        <w:rPr>
          <w:rFonts w:ascii="Arial" w:hAnsi="Arial" w:cs="Arial"/>
        </w:rPr>
      </w:pPr>
      <w:r w:rsidRPr="00D61F73">
        <w:rPr>
          <w:rFonts w:ascii="Arial" w:hAnsi="Arial" w:cs="Arial"/>
        </w:rPr>
        <w:br w:type="page"/>
      </w:r>
      <w:bookmarkStart w:id="604" w:name="Choi"/>
      <w:r w:rsidRPr="00D61F73">
        <w:rPr>
          <w:rFonts w:ascii="Arial" w:hAnsi="Arial" w:cs="Arial"/>
          <w:b/>
          <w:bCs/>
        </w:rPr>
        <w:lastRenderedPageBreak/>
        <w:t>Choi</w:t>
      </w:r>
      <w:bookmarkEnd w:id="604"/>
      <w:r w:rsidRPr="00D61F73">
        <w:rPr>
          <w:rFonts w:ascii="Arial" w:hAnsi="Arial" w:cs="Arial"/>
          <w:b/>
          <w:bCs/>
        </w:rPr>
        <w:t xml:space="preserve"> HK, Seeger JD, Kuntz KM, Effects of rofecoxib and naproxen on life expectancy among patients with rheumatoid arthritis: a decision analysis, </w:t>
      </w:r>
      <w:r w:rsidRPr="00D61F73">
        <w:rPr>
          <w:rFonts w:ascii="Arial" w:hAnsi="Arial" w:cs="Arial"/>
          <w:b/>
          <w:bCs/>
          <w:i/>
          <w:iCs/>
        </w:rPr>
        <w:t>Am J Med</w:t>
      </w:r>
      <w:r w:rsidRPr="00D61F73">
        <w:rPr>
          <w:rFonts w:ascii="Arial" w:hAnsi="Arial" w:cs="Arial"/>
          <w:b/>
          <w:bCs/>
        </w:rPr>
        <w:t>. 2004 May 1;116(9):621-9.</w:t>
      </w:r>
    </w:p>
    <w:p w14:paraId="625BB4FE" w14:textId="77777777" w:rsidR="008D0565" w:rsidRPr="00D61F73" w:rsidRDefault="008D0565" w:rsidP="00D61F73">
      <w:pPr>
        <w:rPr>
          <w:rFonts w:ascii="Arial" w:hAnsi="Arial" w:cs="Arial"/>
        </w:rPr>
      </w:pPr>
    </w:p>
    <w:p w14:paraId="733B5E98" w14:textId="77777777" w:rsidR="008D0565" w:rsidRPr="00D61F73" w:rsidRDefault="008D0565" w:rsidP="00D61F73">
      <w:pPr>
        <w:rPr>
          <w:rFonts w:ascii="Arial" w:hAnsi="Arial" w:cs="Arial"/>
        </w:rPr>
      </w:pPr>
      <w:r w:rsidRPr="00D61F73">
        <w:rPr>
          <w:rFonts w:ascii="Arial" w:hAnsi="Arial" w:cs="Arial"/>
        </w:rPr>
        <w:t>CONCLUSION: Our analysis suggests that the competing risks of upper gastrointestinal toxicity and myocardial infarction shown in the VIGOR trial would project a longer life expectancy with naproxen than rofecoxib among patients with rheumatoid arthritis, except in those at low risk of myocardial infarction or at high risk of upper gastrointestinal toxicity.</w:t>
      </w:r>
    </w:p>
    <w:p w14:paraId="47A8E3C1" w14:textId="77777777" w:rsidR="008D0565" w:rsidRPr="00D61F73" w:rsidRDefault="008D0565" w:rsidP="00D61F73">
      <w:pPr>
        <w:rPr>
          <w:rFonts w:ascii="Arial" w:hAnsi="Arial" w:cs="Arial"/>
        </w:rPr>
      </w:pPr>
    </w:p>
    <w:p w14:paraId="35364ABD" w14:textId="77777777" w:rsidR="008D0565" w:rsidRPr="00D61F73" w:rsidRDefault="008D0565" w:rsidP="00D61F73">
      <w:pPr>
        <w:rPr>
          <w:rFonts w:ascii="Arial" w:hAnsi="Arial" w:cs="Arial"/>
        </w:rPr>
      </w:pPr>
      <w:r w:rsidRPr="00D61F73">
        <w:rPr>
          <w:rFonts w:ascii="Arial" w:hAnsi="Arial" w:cs="Arial"/>
        </w:rPr>
        <w:t xml:space="preserve">PMID: </w:t>
      </w:r>
      <w:hyperlink r:id="rId332" w:history="1">
        <w:r w:rsidRPr="00D61F73">
          <w:rPr>
            <w:rStyle w:val="Hyperlink"/>
            <w:rFonts w:ascii="Arial" w:hAnsi="Arial" w:cs="Arial"/>
          </w:rPr>
          <w:t>15093759</w:t>
        </w:r>
      </w:hyperlink>
    </w:p>
    <w:p w14:paraId="7EDE1683" w14:textId="77777777" w:rsidR="008D0565" w:rsidRPr="00D61F73" w:rsidRDefault="008D0565" w:rsidP="00D61F73">
      <w:pPr>
        <w:rPr>
          <w:rFonts w:ascii="Arial" w:hAnsi="Arial" w:cs="Arial"/>
        </w:rPr>
      </w:pPr>
    </w:p>
    <w:p w14:paraId="2912A85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1b</w:t>
      </w:r>
    </w:p>
    <w:p w14:paraId="4BD0B1C0" w14:textId="77777777" w:rsidR="008D0565" w:rsidRPr="00D61F73" w:rsidRDefault="008D0565" w:rsidP="00D61F73">
      <w:pPr>
        <w:pStyle w:val="NormalWeb"/>
        <w:spacing w:before="0" w:beforeAutospacing="0" w:after="0" w:afterAutospacing="0"/>
        <w:rPr>
          <w:rFonts w:ascii="Arial" w:hAnsi="Arial" w:cs="Arial"/>
        </w:rPr>
      </w:pPr>
    </w:p>
    <w:p w14:paraId="203FE9A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C</w:t>
      </w:r>
      <w:bookmarkStart w:id="605" w:name="Chong"/>
      <w:bookmarkEnd w:id="605"/>
      <w:r w:rsidRPr="00D61F73">
        <w:rPr>
          <w:rFonts w:ascii="Arial" w:hAnsi="Arial" w:cs="Arial"/>
          <w:b/>
        </w:rPr>
        <w:t xml:space="preserve">hong MS, Bajwa ZH. Diagnosis and treatment of neuropathic pain. </w:t>
      </w:r>
      <w:r w:rsidRPr="00D61F73">
        <w:rPr>
          <w:rFonts w:ascii="Arial" w:hAnsi="Arial" w:cs="Arial"/>
          <w:b/>
          <w:i/>
        </w:rPr>
        <w:t>J Pain Symptom Manage.</w:t>
      </w:r>
      <w:r w:rsidRPr="00D61F73">
        <w:rPr>
          <w:rFonts w:ascii="Arial" w:hAnsi="Arial" w:cs="Arial"/>
          <w:b/>
        </w:rPr>
        <w:t xml:space="preserve"> 2003 May;25(5 Suppl):S4-S11.</w:t>
      </w:r>
    </w:p>
    <w:p w14:paraId="4EF41392" w14:textId="77777777" w:rsidR="008D0565" w:rsidRPr="00D61F73" w:rsidRDefault="008D0565" w:rsidP="00D61F73">
      <w:pPr>
        <w:rPr>
          <w:rFonts w:ascii="Arial" w:hAnsi="Arial" w:cs="Arial"/>
        </w:rPr>
      </w:pPr>
    </w:p>
    <w:p w14:paraId="049FA8B3" w14:textId="77777777" w:rsidR="008D0565" w:rsidRPr="00D61F73" w:rsidRDefault="008D0565" w:rsidP="00D61F73">
      <w:pPr>
        <w:rPr>
          <w:rFonts w:ascii="Arial" w:hAnsi="Arial" w:cs="Arial"/>
        </w:rPr>
      </w:pPr>
      <w:r w:rsidRPr="00D61F73">
        <w:rPr>
          <w:rFonts w:ascii="Arial" w:hAnsi="Arial" w:cs="Arial"/>
        </w:rPr>
        <w:t xml:space="preserve">PMID: </w:t>
      </w:r>
      <w:hyperlink r:id="rId333" w:history="1">
        <w:r w:rsidRPr="00D61F73">
          <w:rPr>
            <w:rStyle w:val="Hyperlink"/>
            <w:rFonts w:ascii="Arial" w:hAnsi="Arial" w:cs="Arial"/>
          </w:rPr>
          <w:t>12694987</w:t>
        </w:r>
      </w:hyperlink>
      <w:r w:rsidRPr="00D61F73">
        <w:rPr>
          <w:rFonts w:ascii="Arial" w:hAnsi="Arial" w:cs="Arial"/>
        </w:rPr>
        <w:t xml:space="preserve"> </w:t>
      </w:r>
    </w:p>
    <w:p w14:paraId="7C179AA3" w14:textId="77777777" w:rsidR="008D0565" w:rsidRPr="00D61F73" w:rsidRDefault="008D0565" w:rsidP="00D61F73">
      <w:pPr>
        <w:rPr>
          <w:rFonts w:ascii="Arial" w:hAnsi="Arial" w:cs="Arial"/>
        </w:rPr>
      </w:pPr>
    </w:p>
    <w:p w14:paraId="3094679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5c</w:t>
      </w:r>
    </w:p>
    <w:p w14:paraId="4856AF72"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hyperlink r:id="rId334" w:history="1">
        <w:r w:rsidRPr="00D61F73">
          <w:rPr>
            <w:rStyle w:val="Hyperlink"/>
            <w:rFonts w:ascii="Arial" w:hAnsi="Arial" w:cs="Arial"/>
            <w:b/>
            <w:bCs/>
          </w:rPr>
          <w:t>C</w:t>
        </w:r>
        <w:bookmarkStart w:id="606" w:name="Chou"/>
        <w:bookmarkEnd w:id="606"/>
        <w:r w:rsidRPr="00D61F73">
          <w:rPr>
            <w:rStyle w:val="Hyperlink"/>
            <w:rFonts w:ascii="Arial" w:hAnsi="Arial" w:cs="Arial"/>
            <w:b/>
            <w:bCs/>
          </w:rPr>
          <w:t>hou R, Helfand M, Peterson K, Dana T, Roberts C.</w:t>
        </w:r>
      </w:hyperlink>
      <w:r w:rsidRPr="00D61F73">
        <w:rPr>
          <w:rFonts w:ascii="Arial" w:hAnsi="Arial" w:cs="Arial"/>
          <w:b/>
          <w:bCs/>
        </w:rPr>
        <w:t xml:space="preserve"> Comparative Effectiveness and Safety of Analgesics for Osteoarthritis. Comparative Effectiveness Review No. 4. (Prepared by the Oregon Evidence-based Practice Center under Contract No. 290-02-0024.) Rockville, MD: Agency for Healthcare Research and Quality. September 2006. </w:t>
      </w:r>
    </w:p>
    <w:p w14:paraId="40958CF8" w14:textId="77777777" w:rsidR="008D0565" w:rsidRPr="00D61F73" w:rsidRDefault="008D0565" w:rsidP="00D61F73">
      <w:pPr>
        <w:pStyle w:val="NormalWeb"/>
        <w:spacing w:before="0" w:beforeAutospacing="0" w:after="0" w:afterAutospacing="0"/>
        <w:rPr>
          <w:rFonts w:ascii="Arial" w:hAnsi="Arial" w:cs="Arial"/>
        </w:rPr>
      </w:pPr>
    </w:p>
    <w:p w14:paraId="444DD6C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Each of the analgesics evaluated in this report was associated with a unique set of benefits and risks. At this time, although the amount and quality of evidence vary, no currently available analgesic reviewed in this report was identified as offering a clear overall advantage compared with the others. </w:t>
      </w:r>
    </w:p>
    <w:p w14:paraId="7935F545" w14:textId="77777777" w:rsidR="008D0565" w:rsidRPr="00D61F73" w:rsidRDefault="008D0565" w:rsidP="00D61F73">
      <w:pPr>
        <w:pStyle w:val="NormalWeb"/>
        <w:spacing w:before="0" w:beforeAutospacing="0" w:after="0" w:afterAutospacing="0"/>
        <w:rPr>
          <w:rFonts w:ascii="Arial" w:hAnsi="Arial" w:cs="Arial"/>
        </w:rPr>
      </w:pPr>
    </w:p>
    <w:p w14:paraId="260F5BD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1a</w:t>
      </w:r>
    </w:p>
    <w:p w14:paraId="36441A9B" w14:textId="77777777" w:rsidR="008D0565" w:rsidRPr="00D61F73" w:rsidRDefault="008D0565" w:rsidP="00D61F73">
      <w:pPr>
        <w:pStyle w:val="NormalWeb"/>
        <w:spacing w:before="0" w:beforeAutospacing="0" w:after="0" w:afterAutospacing="0"/>
        <w:rPr>
          <w:rFonts w:ascii="Arial" w:hAnsi="Arial" w:cs="Arial"/>
        </w:rPr>
      </w:pPr>
    </w:p>
    <w:p w14:paraId="6DBD86AB" w14:textId="77777777" w:rsidR="008D0565" w:rsidRPr="00D61F73" w:rsidRDefault="008D0565" w:rsidP="00D61F73">
      <w:pPr>
        <w:rPr>
          <w:rFonts w:ascii="Arial" w:hAnsi="Arial" w:cs="Arial"/>
        </w:rPr>
      </w:pPr>
      <w:r w:rsidRPr="00D61F73">
        <w:rPr>
          <w:rFonts w:ascii="Arial" w:hAnsi="Arial" w:cs="Arial"/>
        </w:rPr>
        <w:t xml:space="preserve">Table 18. Relative Risk (95% CI) of Upper GI tract bleeding/perforation for NSAIDs vs. non-use: Diclofenac 3.3; Ibuprofen 1.9; Indomethacin 4.6; Ketoprofen 4.6; Naproxen 4.0; Piroxicam 6.3; Sulindac 3.6. </w:t>
      </w:r>
      <w:hyperlink r:id="rId335" w:anchor="page=66" w:history="1">
        <w:r w:rsidRPr="00D61F73">
          <w:rPr>
            <w:rStyle w:val="Hyperlink"/>
            <w:rFonts w:ascii="Arial" w:hAnsi="Arial" w:cs="Arial"/>
          </w:rPr>
          <w:t>http://www.effectivehealthcare.ahrq.gov/ehc/products/2/65/AnalgesicsFinal.pdf#page=66</w:t>
        </w:r>
      </w:hyperlink>
    </w:p>
    <w:p w14:paraId="1AE45093" w14:textId="77777777" w:rsidR="008D0565" w:rsidRPr="00D61F73" w:rsidRDefault="008D0565" w:rsidP="00D61F73">
      <w:pPr>
        <w:rPr>
          <w:rFonts w:ascii="Arial" w:hAnsi="Arial" w:cs="Arial"/>
        </w:rPr>
      </w:pPr>
    </w:p>
    <w:p w14:paraId="43F3D405" w14:textId="77777777" w:rsidR="008D0565" w:rsidRPr="00D61F73" w:rsidRDefault="008D0565" w:rsidP="00D61F73">
      <w:pPr>
        <w:rPr>
          <w:rStyle w:val="Hyperlink"/>
          <w:rFonts w:ascii="Arial" w:hAnsi="Arial" w:cs="Arial"/>
        </w:rPr>
      </w:pPr>
      <w:r w:rsidRPr="00D61F73">
        <w:rPr>
          <w:rFonts w:ascii="Arial" w:hAnsi="Arial" w:cs="Arial"/>
        </w:rPr>
        <w:t xml:space="preserve">Table 21. Risk of myocardial infarction associated with non-selective, non-naproxen NSAIDs: Ibuprofen 1.06; Diclofenac 1.18; Ketoprofen 1.08; Piroxicam 1.25; Indomethacin 0.86. </w:t>
      </w:r>
      <w:hyperlink r:id="rId336" w:anchor="page=69" w:history="1">
        <w:r w:rsidRPr="00D61F73">
          <w:rPr>
            <w:rStyle w:val="Hyperlink"/>
            <w:rFonts w:ascii="Arial" w:hAnsi="Arial" w:cs="Arial"/>
          </w:rPr>
          <w:t>http://www.effectivehealthcare.ahrq.gov/ehc/products/2/65/AnalgesicsFinal.pdf#page=69</w:t>
        </w:r>
      </w:hyperlink>
    </w:p>
    <w:p w14:paraId="7C199BA1" w14:textId="77777777" w:rsidR="004C4FDB" w:rsidRPr="00D61F73" w:rsidRDefault="004C4FDB" w:rsidP="00D61F73">
      <w:pPr>
        <w:rPr>
          <w:rStyle w:val="Hyperlink"/>
          <w:rFonts w:ascii="Arial" w:hAnsi="Arial" w:cs="Arial"/>
        </w:rPr>
      </w:pPr>
    </w:p>
    <w:p w14:paraId="7D746B31" w14:textId="77777777" w:rsidR="008D0565" w:rsidRPr="00D61F73" w:rsidRDefault="008D0565" w:rsidP="00D61F73">
      <w:pPr>
        <w:rPr>
          <w:rFonts w:ascii="Arial" w:hAnsi="Arial" w:cs="Arial"/>
        </w:rPr>
      </w:pPr>
    </w:p>
    <w:p w14:paraId="764132CE"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1b</w:t>
      </w:r>
    </w:p>
    <w:p w14:paraId="3E46FA5A" w14:textId="77777777" w:rsidR="008D0565" w:rsidRPr="00D61F73" w:rsidRDefault="008D0565" w:rsidP="00D61F73">
      <w:pPr>
        <w:pStyle w:val="pmid"/>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07" w:name="Chou2004"/>
      <w:bookmarkEnd w:id="607"/>
      <w:r w:rsidRPr="00D61F73">
        <w:rPr>
          <w:rFonts w:ascii="Arial" w:hAnsi="Arial" w:cs="Arial"/>
          <w:b/>
          <w:bCs/>
        </w:rPr>
        <w:t xml:space="preserve">hou R, Peterson K, Helfand M. Comparative efficacy and safety of skeletal muscle relaxants for spasticity and musculoskeletal conditions: a systematic review. </w:t>
      </w:r>
      <w:r w:rsidRPr="00D61F73">
        <w:rPr>
          <w:rFonts w:ascii="Arial" w:hAnsi="Arial" w:cs="Arial"/>
          <w:b/>
          <w:bCs/>
          <w:i/>
          <w:iCs/>
        </w:rPr>
        <w:t>J Pain Symptom Manage</w:t>
      </w:r>
      <w:r w:rsidRPr="00D61F73">
        <w:rPr>
          <w:rFonts w:ascii="Arial" w:hAnsi="Arial" w:cs="Arial"/>
          <w:b/>
          <w:bCs/>
        </w:rPr>
        <w:t xml:space="preserve">. 2004;28:140-75. </w:t>
      </w:r>
    </w:p>
    <w:p w14:paraId="43FF2FBA" w14:textId="77777777" w:rsidR="008D0565" w:rsidRPr="00D61F73" w:rsidRDefault="008D0565" w:rsidP="00D61F73">
      <w:pPr>
        <w:pStyle w:val="pmid"/>
        <w:spacing w:before="0" w:beforeAutospacing="0" w:after="0" w:afterAutospacing="0"/>
        <w:rPr>
          <w:rFonts w:ascii="Arial" w:hAnsi="Arial" w:cs="Arial"/>
        </w:rPr>
      </w:pPr>
    </w:p>
    <w:p w14:paraId="2FD6D507"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There is fair evidence that although the overall rate of adverse effects between tizanidine and baclofen is similar, tizanidine is associated with more dry mouth and baclofen with more weakness. There is fair evidence that cyclobenzaprine, carisoprodol, orphenadrine, and tizanidine are effective compared to placebo in patients with musculoskeletal conditions (primarily acute back or neck pain). Cyclobenzaprine has been evaluated in the most clinical trials and has consistently been found to be effective. There is very limited or inconsistent data regarding the effectiveness of metaxalone, methocarbamol, chlorzoxazone, baclofen, or dantrolene compared to placebo in patients with musculoskeletal conditions. There is insufficient evidence to determine the relative efficacy or safety of cyclobenzaprine, carisoprodol, orphenadrine, tizanidine, metaxalone, methocarbamol, and chlorzoxazone. Dantrolene, and to a lesser degree chlorzoxazone, have been associated with rare serious hepatotoxicity. </w:t>
      </w:r>
    </w:p>
    <w:p w14:paraId="5FB73AF1" w14:textId="77777777" w:rsidR="008D0565" w:rsidRPr="00D61F73" w:rsidRDefault="008D0565" w:rsidP="00D61F73">
      <w:pPr>
        <w:pStyle w:val="pmid"/>
        <w:spacing w:before="0" w:beforeAutospacing="0" w:after="0" w:afterAutospacing="0"/>
        <w:rPr>
          <w:rFonts w:ascii="Arial" w:hAnsi="Arial" w:cs="Arial"/>
        </w:rPr>
      </w:pPr>
    </w:p>
    <w:p w14:paraId="135D21BF"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337" w:history="1">
        <w:r w:rsidRPr="00D61F73">
          <w:rPr>
            <w:rStyle w:val="Hyperlink"/>
            <w:rFonts w:ascii="Arial" w:hAnsi="Arial" w:cs="Arial"/>
          </w:rPr>
          <w:t>15276195</w:t>
        </w:r>
      </w:hyperlink>
    </w:p>
    <w:p w14:paraId="76E448F7" w14:textId="77777777" w:rsidR="008D0565" w:rsidRPr="00D61F73" w:rsidRDefault="008D0565" w:rsidP="00D61F73">
      <w:pPr>
        <w:pStyle w:val="pmid"/>
        <w:spacing w:before="0" w:beforeAutospacing="0" w:after="0" w:afterAutospacing="0"/>
        <w:rPr>
          <w:rFonts w:ascii="Arial" w:hAnsi="Arial" w:cs="Arial"/>
        </w:rPr>
      </w:pPr>
    </w:p>
    <w:p w14:paraId="2ED02EDB" w14:textId="77777777" w:rsidR="00F632E4" w:rsidRPr="00D61F73" w:rsidRDefault="008D0565" w:rsidP="00D61F73">
      <w:pPr>
        <w:pStyle w:val="pmid"/>
        <w:spacing w:before="0" w:beforeAutospacing="0" w:after="0" w:afterAutospacing="0"/>
        <w:rPr>
          <w:rFonts w:ascii="Arial" w:hAnsi="Arial" w:cs="Arial"/>
        </w:rPr>
      </w:pPr>
      <w:r w:rsidRPr="00D61F73">
        <w:rPr>
          <w:rFonts w:ascii="Arial" w:hAnsi="Arial" w:cs="Arial"/>
        </w:rPr>
        <w:t>Rating: 1a</w:t>
      </w:r>
    </w:p>
    <w:p w14:paraId="03A25C9B" w14:textId="77777777" w:rsidR="008D0565" w:rsidRPr="00D61F73" w:rsidRDefault="00F632E4" w:rsidP="00D61F73">
      <w:pPr>
        <w:rPr>
          <w:rFonts w:ascii="Arial" w:hAnsi="Arial" w:cs="Arial"/>
          <w:b/>
        </w:rPr>
      </w:pPr>
      <w:r w:rsidRPr="00D61F73">
        <w:rPr>
          <w:rFonts w:ascii="Arial" w:hAnsi="Arial" w:cs="Arial"/>
        </w:rPr>
        <w:br w:type="page"/>
      </w:r>
      <w:bookmarkStart w:id="608" w:name="ChuLF"/>
      <w:bookmarkEnd w:id="608"/>
      <w:r w:rsidRPr="00D61F73">
        <w:rPr>
          <w:rFonts w:ascii="Arial" w:hAnsi="Arial" w:cs="Arial"/>
          <w:b/>
        </w:rPr>
        <w:lastRenderedPageBreak/>
        <w:fldChar w:fldCharType="begin"/>
      </w:r>
      <w:r w:rsidRPr="00D61F73">
        <w:rPr>
          <w:rFonts w:ascii="Arial" w:hAnsi="Arial" w:cs="Arial"/>
          <w:b/>
        </w:rPr>
        <w:instrText xml:space="preserve"> HYPERLINK "http://www.painjournalonline.com/article/S0304-3959(12)00123-6/abstract" </w:instrText>
      </w:r>
      <w:r w:rsidRPr="00D61F73">
        <w:rPr>
          <w:rFonts w:ascii="Arial" w:hAnsi="Arial" w:cs="Arial"/>
          <w:b/>
        </w:rPr>
        <w:fldChar w:fldCharType="separate"/>
      </w:r>
      <w:r w:rsidRPr="00D61F73">
        <w:rPr>
          <w:rStyle w:val="Hyperlink"/>
          <w:rFonts w:ascii="Arial" w:hAnsi="Arial" w:cs="Arial"/>
          <w:b/>
        </w:rPr>
        <w:t>Chu LF, D'Arcy N, Brady C, Zamora AK, Young CA, Kim JE, Clemenson AM, Angst MS, Clark JD.</w:t>
      </w:r>
      <w:r w:rsidRPr="00D61F73">
        <w:rPr>
          <w:rFonts w:ascii="Arial" w:hAnsi="Arial" w:cs="Arial"/>
          <w:b/>
        </w:rPr>
        <w:fldChar w:fldCharType="end"/>
      </w:r>
      <w:r w:rsidRPr="00D61F73">
        <w:rPr>
          <w:rFonts w:ascii="Arial" w:hAnsi="Arial" w:cs="Arial"/>
        </w:rPr>
        <w:t xml:space="preserve"> </w:t>
      </w:r>
      <w:r w:rsidRPr="00D61F73">
        <w:rPr>
          <w:rFonts w:ascii="Arial" w:hAnsi="Arial" w:cs="Arial"/>
          <w:b/>
        </w:rPr>
        <w:t xml:space="preserve"> </w:t>
      </w:r>
      <w:r w:rsidRPr="00D61F73">
        <w:rPr>
          <w:rFonts w:ascii="Arial" w:hAnsi="Arial" w:cs="Arial"/>
          <w:b/>
          <w:color w:val="auto"/>
        </w:rPr>
        <w:t>Analgesic tolerance without demonstrable opioid-induced hyperalgesia</w:t>
      </w:r>
      <w:r w:rsidRPr="00D61F73">
        <w:rPr>
          <w:rFonts w:ascii="Arial" w:hAnsi="Arial" w:cs="Arial"/>
          <w:b/>
        </w:rPr>
        <w:t xml:space="preserve">. </w:t>
      </w:r>
      <w:r w:rsidRPr="00D61F73">
        <w:rPr>
          <w:rFonts w:ascii="Arial" w:hAnsi="Arial" w:cs="Arial"/>
          <w:b/>
          <w:i/>
        </w:rPr>
        <w:t>J Pain</w:t>
      </w:r>
      <w:r w:rsidRPr="00D61F73">
        <w:rPr>
          <w:rFonts w:ascii="Arial" w:hAnsi="Arial" w:cs="Arial"/>
          <w:b/>
        </w:rPr>
        <w:t>.</w:t>
      </w:r>
      <w:r w:rsidRPr="00D61F73">
        <w:rPr>
          <w:rFonts w:ascii="Arial" w:hAnsi="Arial" w:cs="Arial"/>
          <w:b/>
          <w:color w:val="auto"/>
        </w:rPr>
        <w:t xml:space="preserve"> </w:t>
      </w:r>
      <w:r w:rsidRPr="00D61F73">
        <w:rPr>
          <w:rFonts w:ascii="Arial" w:hAnsi="Arial" w:cs="Arial"/>
          <w:b/>
        </w:rPr>
        <w:t>2012 Aug;153(8):1583-92. doi: 10.1016/j.pain.2012.02.028. Epub 2012 Jun 16.</w:t>
      </w:r>
    </w:p>
    <w:p w14:paraId="06C76002" w14:textId="77777777" w:rsidR="00F632E4" w:rsidRPr="00D61F73" w:rsidRDefault="00F632E4" w:rsidP="00D61F73">
      <w:pPr>
        <w:rPr>
          <w:rFonts w:ascii="Arial" w:hAnsi="Arial" w:cs="Arial"/>
          <w:b/>
        </w:rPr>
      </w:pPr>
    </w:p>
    <w:p w14:paraId="29BADAF6" w14:textId="77777777" w:rsidR="00F632E4" w:rsidRPr="00D61F73" w:rsidRDefault="00F632E4" w:rsidP="00D61F73">
      <w:pPr>
        <w:rPr>
          <w:rFonts w:ascii="Arial" w:hAnsi="Arial" w:cs="Arial"/>
        </w:rPr>
      </w:pPr>
      <w:r w:rsidRPr="00D61F73">
        <w:rPr>
          <w:rFonts w:ascii="Arial" w:hAnsi="Arial" w:cs="Arial"/>
        </w:rPr>
        <w:t>Patients with otherwise uncomplicated low-back pain were titrated to comfort or dose-limiting side effects in a prospective, randomized, double-blind, placebo-controlled clinical trial using sustained-release morphine or weight-matched placebo capsules for 1month. A total of 103 patients completed the study, with an average end titration dose of 78mgmorphine/d. After 1month, the morphine-treated patients developed tolerance to the analgesic effects of remifentanil, but did not develop opioid-induced hyperalgesia. On average, these patients experienced a 42% reduction in analgesic potency. The morphine-treated patients experienced clinically relevant improvements in pain relief, as shown by a 44% reduction in average visual analogue scale pain levels and a 31% improvement in functional ability. The differences in visual analogue scale pain levels (P=.003) and self-reported disability (P=.03) between both treatment groups were statistically significant. After 1</w:t>
      </w:r>
      <w:r w:rsidR="006E37D7" w:rsidRPr="00D61F73">
        <w:rPr>
          <w:rFonts w:ascii="Arial" w:hAnsi="Arial" w:cs="Arial"/>
        </w:rPr>
        <w:t xml:space="preserve"> </w:t>
      </w:r>
      <w:r w:rsidRPr="00D61F73">
        <w:rPr>
          <w:rFonts w:ascii="Arial" w:hAnsi="Arial" w:cs="Arial"/>
        </w:rPr>
        <w:t>month of oral morphine therapy, patients with chronic low-back pain developed tolerance but not opioid-induced hyperalgesia. Improvements in pain and functional ability were observed.</w:t>
      </w:r>
    </w:p>
    <w:p w14:paraId="006EC59F" w14:textId="77777777" w:rsidR="00FF35F5" w:rsidRPr="00D61F73" w:rsidRDefault="00FF35F5" w:rsidP="00D61F73">
      <w:pPr>
        <w:rPr>
          <w:rFonts w:ascii="Arial" w:hAnsi="Arial" w:cs="Arial"/>
        </w:rPr>
      </w:pPr>
    </w:p>
    <w:p w14:paraId="34A0055B" w14:textId="77777777" w:rsidR="00FF35F5" w:rsidRPr="00D61F73" w:rsidRDefault="00FF35F5" w:rsidP="00D61F73">
      <w:pPr>
        <w:rPr>
          <w:rFonts w:ascii="Arial" w:hAnsi="Arial" w:cs="Arial"/>
        </w:rPr>
      </w:pPr>
      <w:r w:rsidRPr="00D61F73">
        <w:rPr>
          <w:rFonts w:ascii="Arial" w:hAnsi="Arial" w:cs="Arial"/>
        </w:rPr>
        <w:t>Rating: 2b</w:t>
      </w:r>
    </w:p>
    <w:p w14:paraId="79FA4E6C" w14:textId="77777777" w:rsidR="00F632E4" w:rsidRPr="00D61F73" w:rsidRDefault="00F632E4" w:rsidP="00D61F73">
      <w:pPr>
        <w:rPr>
          <w:rFonts w:ascii="Arial" w:hAnsi="Arial" w:cs="Arial"/>
        </w:rPr>
      </w:pPr>
    </w:p>
    <w:p w14:paraId="129F6CD3" w14:textId="77777777" w:rsidR="00F632E4" w:rsidRPr="00D61F73" w:rsidRDefault="00F632E4" w:rsidP="00D61F73">
      <w:pPr>
        <w:rPr>
          <w:rFonts w:ascii="Arial" w:hAnsi="Arial" w:cs="Arial"/>
        </w:rPr>
      </w:pPr>
    </w:p>
    <w:p w14:paraId="091EA5F5" w14:textId="77777777" w:rsidR="008D0565" w:rsidRPr="00D61F73" w:rsidRDefault="008D0565" w:rsidP="00D61F73">
      <w:pPr>
        <w:rPr>
          <w:rFonts w:ascii="Arial" w:hAnsi="Arial" w:cs="Arial"/>
          <w:bCs/>
        </w:rPr>
      </w:pPr>
      <w:r w:rsidRPr="00D61F73">
        <w:rPr>
          <w:rFonts w:ascii="Arial" w:hAnsi="Arial" w:cs="Arial"/>
          <w:b/>
        </w:rPr>
        <w:br w:type="page"/>
      </w:r>
      <w:r w:rsidRPr="00D61F73">
        <w:rPr>
          <w:rFonts w:ascii="Arial" w:hAnsi="Arial" w:cs="Arial"/>
          <w:b/>
          <w:bCs/>
        </w:rPr>
        <w:lastRenderedPageBreak/>
        <w:t>C</w:t>
      </w:r>
      <w:bookmarkStart w:id="609" w:name="Chu"/>
      <w:bookmarkEnd w:id="609"/>
      <w:r w:rsidRPr="00D61F73">
        <w:rPr>
          <w:rFonts w:ascii="Arial" w:hAnsi="Arial" w:cs="Arial"/>
          <w:b/>
          <w:bCs/>
        </w:rPr>
        <w:t xml:space="preserve">hu PS, Ma WK, Wong SC, Chu RW, Cheng CH, Wong S, Tse JM, Lau FL, Yiu MK, Man CW. The destruction of the lower urinary tract by ketamine abuse: a new syndrome? </w:t>
      </w:r>
      <w:r w:rsidRPr="00D61F73">
        <w:rPr>
          <w:rFonts w:ascii="Arial" w:hAnsi="Arial" w:cs="Arial"/>
          <w:b/>
          <w:bCs/>
          <w:i/>
          <w:iCs/>
        </w:rPr>
        <w:t>BJU Int</w:t>
      </w:r>
      <w:r w:rsidRPr="00D61F73">
        <w:rPr>
          <w:rFonts w:ascii="Arial" w:hAnsi="Arial" w:cs="Arial"/>
          <w:b/>
          <w:bCs/>
        </w:rPr>
        <w:t>. 2008 Dec;102(11):1616-22. Epub 2008 Aug 1.</w:t>
      </w:r>
    </w:p>
    <w:p w14:paraId="77D17088" w14:textId="77777777" w:rsidR="008D0565" w:rsidRPr="00D61F73" w:rsidRDefault="008D0565" w:rsidP="00D61F73">
      <w:pPr>
        <w:rPr>
          <w:rFonts w:ascii="Arial" w:hAnsi="Arial" w:cs="Arial"/>
        </w:rPr>
      </w:pPr>
    </w:p>
    <w:p w14:paraId="38D70B04" w14:textId="77777777" w:rsidR="008D0565" w:rsidRPr="00D61F73" w:rsidRDefault="008D0565" w:rsidP="00D61F73">
      <w:pPr>
        <w:rPr>
          <w:rFonts w:ascii="Arial" w:hAnsi="Arial" w:cs="Arial"/>
          <w:b/>
        </w:rPr>
      </w:pPr>
      <w:r w:rsidRPr="00D61F73">
        <w:rPr>
          <w:rFonts w:ascii="Arial" w:hAnsi="Arial" w:cs="Arial"/>
          <w:b/>
        </w:rPr>
        <w:t xml:space="preserve">CONCLUSION: A syndrome of cystitis and contracted bladder can be associated with street-ketamine abuse. Secondary renal damage can occur in severe cases which might be irreversible, rendering patients dependent on dialysis. </w:t>
      </w:r>
    </w:p>
    <w:p w14:paraId="2CCE6ACD" w14:textId="77777777" w:rsidR="008D0565" w:rsidRPr="00D61F73" w:rsidRDefault="008D0565" w:rsidP="00D61F73">
      <w:pPr>
        <w:rPr>
          <w:rFonts w:ascii="Arial" w:hAnsi="Arial" w:cs="Arial"/>
          <w:b/>
        </w:rPr>
      </w:pPr>
    </w:p>
    <w:p w14:paraId="05E405DB" w14:textId="77777777" w:rsidR="008D0565" w:rsidRPr="00D61F73" w:rsidRDefault="008D0565" w:rsidP="00D61F73">
      <w:pPr>
        <w:rPr>
          <w:rFonts w:ascii="Arial" w:hAnsi="Arial" w:cs="Arial"/>
        </w:rPr>
      </w:pPr>
      <w:r w:rsidRPr="00D61F73">
        <w:rPr>
          <w:rFonts w:ascii="Arial" w:hAnsi="Arial" w:cs="Arial"/>
        </w:rPr>
        <w:t xml:space="preserve">PMID: </w:t>
      </w:r>
      <w:hyperlink r:id="rId338" w:history="1">
        <w:r w:rsidRPr="00D61F73">
          <w:rPr>
            <w:rStyle w:val="Hyperlink"/>
            <w:rFonts w:ascii="Arial" w:hAnsi="Arial" w:cs="Arial"/>
          </w:rPr>
          <w:t>18680495</w:t>
        </w:r>
      </w:hyperlink>
    </w:p>
    <w:p w14:paraId="17C14BB2" w14:textId="77777777" w:rsidR="008D0565" w:rsidRPr="00D61F73" w:rsidRDefault="008D0565" w:rsidP="00D61F73">
      <w:pPr>
        <w:rPr>
          <w:rFonts w:ascii="Arial" w:hAnsi="Arial" w:cs="Arial"/>
        </w:rPr>
      </w:pPr>
    </w:p>
    <w:p w14:paraId="6D81BAC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24E7AA08" w14:textId="77777777" w:rsidR="008D0565" w:rsidRPr="00D61F73" w:rsidRDefault="008D0565" w:rsidP="00D61F73">
      <w:pPr>
        <w:pStyle w:val="NormalWeb"/>
        <w:spacing w:before="0" w:beforeAutospacing="0" w:after="0" w:afterAutospacing="0"/>
        <w:rPr>
          <w:rFonts w:ascii="Arial" w:hAnsi="Arial" w:cs="Arial"/>
        </w:rPr>
      </w:pPr>
    </w:p>
    <w:p w14:paraId="6672B5D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10" w:name="Clark2011"/>
      <w:bookmarkEnd w:id="610"/>
      <w:r w:rsidRPr="00D61F73">
        <w:rPr>
          <w:rFonts w:ascii="Arial" w:hAnsi="Arial" w:cs="Arial"/>
          <w:b/>
          <w:bCs/>
        </w:rPr>
        <w:t xml:space="preserve">lark RE, Samnaliev M, Baxter JD, Leung GY. The Evidence Doesn't Justify Steps By State Medicaid Programs To Restrict Opioid Addiction Treatment With Buprenorphine. </w:t>
      </w:r>
      <w:r w:rsidRPr="00D61F73">
        <w:rPr>
          <w:rFonts w:ascii="Arial" w:hAnsi="Arial" w:cs="Arial"/>
          <w:b/>
          <w:bCs/>
          <w:i/>
          <w:iCs/>
        </w:rPr>
        <w:t xml:space="preserve">Health Aff (Millwood). </w:t>
      </w:r>
      <w:r w:rsidRPr="00D61F73">
        <w:rPr>
          <w:rFonts w:ascii="Arial" w:hAnsi="Arial" w:cs="Arial"/>
          <w:b/>
          <w:bCs/>
        </w:rPr>
        <w:t>2011 Aug;30(8):1425-33.</w:t>
      </w:r>
    </w:p>
    <w:p w14:paraId="59B7F1FE" w14:textId="77777777" w:rsidR="008D0565" w:rsidRPr="00D61F73" w:rsidRDefault="008D0565" w:rsidP="00D61F73">
      <w:pPr>
        <w:rPr>
          <w:rFonts w:ascii="Arial" w:hAnsi="Arial" w:cs="Arial"/>
        </w:rPr>
      </w:pPr>
    </w:p>
    <w:p w14:paraId="00CB9025" w14:textId="77777777" w:rsidR="008D0565" w:rsidRPr="00D61F73" w:rsidRDefault="008D0565" w:rsidP="00D61F73">
      <w:pPr>
        <w:rPr>
          <w:rFonts w:ascii="Arial" w:hAnsi="Arial" w:cs="Arial"/>
        </w:rPr>
      </w:pPr>
      <w:r w:rsidRPr="00D61F73">
        <w:rPr>
          <w:rFonts w:ascii="Arial" w:hAnsi="Arial" w:cs="Arial"/>
        </w:rPr>
        <w:t>We compared spending, the use of services related to drug-use relapses, and mortality for 33,923 beneficiaries. The evidence does not support rationing buprenorphine to save money or ensure safety.</w:t>
      </w:r>
    </w:p>
    <w:p w14:paraId="1C657A04" w14:textId="77777777" w:rsidR="008D0565" w:rsidRPr="00D61F73" w:rsidRDefault="008D0565" w:rsidP="00D61F73">
      <w:pPr>
        <w:rPr>
          <w:rFonts w:ascii="Arial" w:hAnsi="Arial" w:cs="Arial"/>
        </w:rPr>
      </w:pPr>
    </w:p>
    <w:p w14:paraId="7C06A31F" w14:textId="77777777" w:rsidR="008D0565" w:rsidRPr="00D61F73" w:rsidRDefault="008D0565" w:rsidP="00D61F73">
      <w:pPr>
        <w:rPr>
          <w:rFonts w:ascii="Arial" w:hAnsi="Arial" w:cs="Arial"/>
        </w:rPr>
      </w:pPr>
      <w:r w:rsidRPr="00D61F73">
        <w:rPr>
          <w:rFonts w:ascii="Arial" w:hAnsi="Arial" w:cs="Arial"/>
        </w:rPr>
        <w:t xml:space="preserve">PMID: </w:t>
      </w:r>
      <w:hyperlink r:id="rId339" w:history="1">
        <w:r w:rsidRPr="00D61F73">
          <w:rPr>
            <w:rStyle w:val="Hyperlink"/>
            <w:rFonts w:ascii="Arial" w:hAnsi="Arial" w:cs="Arial"/>
          </w:rPr>
          <w:t>21821560</w:t>
        </w:r>
      </w:hyperlink>
      <w:r w:rsidRPr="00D61F73">
        <w:rPr>
          <w:rFonts w:ascii="Arial" w:hAnsi="Arial" w:cs="Arial"/>
        </w:rPr>
        <w:t xml:space="preserve"> </w:t>
      </w:r>
    </w:p>
    <w:p w14:paraId="25ACE665" w14:textId="77777777" w:rsidR="008D0565" w:rsidRPr="00D61F73" w:rsidRDefault="008D0565" w:rsidP="00D61F73">
      <w:pPr>
        <w:rPr>
          <w:rFonts w:ascii="Arial" w:hAnsi="Arial" w:cs="Arial"/>
        </w:rPr>
      </w:pPr>
    </w:p>
    <w:p w14:paraId="750F71CD" w14:textId="77777777" w:rsidR="008D0565" w:rsidRPr="00D61F73" w:rsidRDefault="008D0565" w:rsidP="00D61F73">
      <w:pPr>
        <w:rPr>
          <w:rFonts w:ascii="Arial" w:hAnsi="Arial" w:cs="Arial"/>
        </w:rPr>
      </w:pPr>
      <w:r w:rsidRPr="00D61F73">
        <w:rPr>
          <w:rFonts w:ascii="Arial" w:hAnsi="Arial" w:cs="Arial"/>
        </w:rPr>
        <w:t>Rating: 3a</w:t>
      </w:r>
    </w:p>
    <w:p w14:paraId="6C8DBFC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11" w:name="Clay2010"/>
      <w:bookmarkEnd w:id="611"/>
      <w:r w:rsidRPr="00D61F73">
        <w:rPr>
          <w:rFonts w:ascii="Arial" w:hAnsi="Arial" w:cs="Arial"/>
          <w:b/>
          <w:bCs/>
        </w:rPr>
        <w:t xml:space="preserve">lay FJ, Newstead SV, Watson WL, Ozanne-Smith J, Guy J, McClure RJ. Bio-psychosocial determinants of persistent pain 6 months after non-life-threatening acute orthopaedic trauma. </w:t>
      </w:r>
      <w:r w:rsidRPr="00D61F73">
        <w:rPr>
          <w:rFonts w:ascii="Arial" w:hAnsi="Arial" w:cs="Arial"/>
          <w:b/>
          <w:bCs/>
          <w:i/>
          <w:iCs/>
        </w:rPr>
        <w:t>J Pain</w:t>
      </w:r>
      <w:r w:rsidRPr="00D61F73">
        <w:rPr>
          <w:rFonts w:ascii="Arial" w:hAnsi="Arial" w:cs="Arial"/>
          <w:b/>
          <w:bCs/>
        </w:rPr>
        <w:t>. 2010 May;11(5):420-30.</w:t>
      </w:r>
    </w:p>
    <w:p w14:paraId="150239BD" w14:textId="77777777" w:rsidR="008D0565" w:rsidRPr="00D61F73" w:rsidRDefault="008D0565" w:rsidP="00D61F73">
      <w:pPr>
        <w:rPr>
          <w:rFonts w:ascii="Arial" w:hAnsi="Arial" w:cs="Arial"/>
        </w:rPr>
      </w:pPr>
    </w:p>
    <w:p w14:paraId="116DCD6C" w14:textId="77777777" w:rsidR="008D0565" w:rsidRPr="00D61F73" w:rsidRDefault="008D0565" w:rsidP="00D61F73">
      <w:pPr>
        <w:rPr>
          <w:rFonts w:ascii="Arial" w:hAnsi="Arial" w:cs="Arial"/>
        </w:rPr>
      </w:pPr>
      <w:r w:rsidRPr="00D61F73">
        <w:rPr>
          <w:rFonts w:ascii="Arial" w:hAnsi="Arial" w:cs="Arial"/>
        </w:rPr>
        <w:t xml:space="preserve">Psychosocial factors strongly predicted persistent pain, pain-related work disability, and pain severity. </w:t>
      </w:r>
    </w:p>
    <w:p w14:paraId="3C6E5FD5" w14:textId="77777777" w:rsidR="008D0565" w:rsidRPr="00D61F73" w:rsidRDefault="008D0565" w:rsidP="00D61F73">
      <w:pPr>
        <w:rPr>
          <w:rFonts w:ascii="Arial" w:hAnsi="Arial" w:cs="Arial"/>
        </w:rPr>
      </w:pPr>
    </w:p>
    <w:p w14:paraId="715F3FAC" w14:textId="77777777" w:rsidR="008D0565" w:rsidRPr="00D61F73" w:rsidRDefault="008D0565" w:rsidP="00D61F73">
      <w:pPr>
        <w:rPr>
          <w:rFonts w:ascii="Arial" w:hAnsi="Arial" w:cs="Arial"/>
        </w:rPr>
      </w:pPr>
      <w:r w:rsidRPr="00D61F73">
        <w:rPr>
          <w:rFonts w:ascii="Arial" w:hAnsi="Arial" w:cs="Arial"/>
        </w:rPr>
        <w:t xml:space="preserve">PMID: </w:t>
      </w:r>
      <w:hyperlink r:id="rId340" w:history="1">
        <w:r w:rsidRPr="00D61F73">
          <w:rPr>
            <w:rStyle w:val="Hyperlink"/>
            <w:rFonts w:ascii="Arial" w:hAnsi="Arial" w:cs="Arial"/>
          </w:rPr>
          <w:t>20439055</w:t>
        </w:r>
      </w:hyperlink>
      <w:r w:rsidRPr="00D61F73">
        <w:rPr>
          <w:rFonts w:ascii="Arial" w:hAnsi="Arial" w:cs="Arial"/>
        </w:rPr>
        <w:t xml:space="preserve"> </w:t>
      </w:r>
    </w:p>
    <w:p w14:paraId="6E1AACC2" w14:textId="77777777" w:rsidR="008D0565" w:rsidRPr="00D61F73" w:rsidRDefault="008D0565" w:rsidP="00D61F73">
      <w:pPr>
        <w:rPr>
          <w:rFonts w:ascii="Arial" w:hAnsi="Arial" w:cs="Arial"/>
        </w:rPr>
      </w:pPr>
    </w:p>
    <w:p w14:paraId="1062714F" w14:textId="77777777" w:rsidR="008D0565" w:rsidRPr="00D61F73" w:rsidRDefault="008D0565" w:rsidP="00D61F73">
      <w:pPr>
        <w:rPr>
          <w:rFonts w:ascii="Arial" w:hAnsi="Arial" w:cs="Arial"/>
        </w:rPr>
      </w:pPr>
      <w:r w:rsidRPr="00D61F73">
        <w:rPr>
          <w:rFonts w:ascii="Arial" w:hAnsi="Arial" w:cs="Arial"/>
        </w:rPr>
        <w:t>Rating: 3b</w:t>
      </w:r>
    </w:p>
    <w:p w14:paraId="2BA1ADA8" w14:textId="77777777" w:rsidR="0069003F" w:rsidRPr="00D61F73" w:rsidRDefault="0069003F" w:rsidP="00D61F73">
      <w:pPr>
        <w:rPr>
          <w:rFonts w:ascii="Arial" w:hAnsi="Arial" w:cs="Arial"/>
        </w:rPr>
      </w:pPr>
      <w:r w:rsidRPr="00D61F73">
        <w:rPr>
          <w:rFonts w:ascii="Arial" w:hAnsi="Arial" w:cs="Arial"/>
        </w:rPr>
        <w:br w:type="page"/>
      </w:r>
      <w:bookmarkStart w:id="612" w:name="Climent2013"/>
      <w:bookmarkEnd w:id="612"/>
      <w:r w:rsidRPr="00D61F73">
        <w:rPr>
          <w:rFonts w:ascii="Arial" w:hAnsi="Arial" w:cs="Arial"/>
          <w:b/>
          <w:bCs/>
        </w:rPr>
        <w:lastRenderedPageBreak/>
        <w:t>Climent JM, Kuan TS, Fenollosa P, Martin-Del-Rosario F. Botulinum toxin for the treatment of myofascial pain syndromes involving the neck and back: a review from a clinical perspective. </w:t>
      </w:r>
      <w:r w:rsidRPr="00D61F73">
        <w:rPr>
          <w:rFonts w:ascii="Arial" w:hAnsi="Arial" w:cs="Arial"/>
          <w:b/>
          <w:bCs/>
          <w:i/>
          <w:iCs/>
        </w:rPr>
        <w:t>Evid Based Complement Alternat Med</w:t>
      </w:r>
      <w:r w:rsidRPr="00D61F73">
        <w:rPr>
          <w:rFonts w:ascii="Arial" w:hAnsi="Arial" w:cs="Arial"/>
          <w:b/>
          <w:bCs/>
        </w:rPr>
        <w:t>. 2013;2013:381459. doi: 10.1155/2013/381459.</w:t>
      </w:r>
    </w:p>
    <w:p w14:paraId="748FC438" w14:textId="77777777" w:rsidR="0069003F" w:rsidRPr="00D61F73" w:rsidRDefault="0069003F" w:rsidP="00D61F73">
      <w:pPr>
        <w:rPr>
          <w:rFonts w:ascii="Arial" w:hAnsi="Arial" w:cs="Arial"/>
        </w:rPr>
      </w:pPr>
      <w:r w:rsidRPr="00D61F73">
        <w:rPr>
          <w:rFonts w:ascii="Arial" w:hAnsi="Arial" w:cs="Arial"/>
        </w:rPr>
        <w:t> </w:t>
      </w:r>
    </w:p>
    <w:p w14:paraId="4A678F68" w14:textId="77777777" w:rsidR="0069003F" w:rsidRPr="00D61F73" w:rsidRDefault="0069003F" w:rsidP="00D61F73">
      <w:pPr>
        <w:rPr>
          <w:rFonts w:ascii="Arial" w:hAnsi="Arial" w:cs="Arial"/>
        </w:rPr>
      </w:pPr>
      <w:r w:rsidRPr="00D61F73">
        <w:rPr>
          <w:rFonts w:ascii="Arial" w:hAnsi="Arial" w:cs="Arial"/>
        </w:rPr>
        <w:t>PMID: </w:t>
      </w:r>
      <w:hyperlink r:id="rId341" w:history="1">
        <w:r w:rsidRPr="00D61F73">
          <w:rPr>
            <w:rStyle w:val="Hyperlink"/>
            <w:rFonts w:ascii="Arial" w:hAnsi="Arial" w:cs="Arial"/>
          </w:rPr>
          <w:t>23533477</w:t>
        </w:r>
      </w:hyperlink>
    </w:p>
    <w:p w14:paraId="01F55463" w14:textId="77777777" w:rsidR="0069003F" w:rsidRPr="00D61F73" w:rsidRDefault="0069003F" w:rsidP="00D61F73">
      <w:pPr>
        <w:rPr>
          <w:rFonts w:ascii="Arial" w:hAnsi="Arial" w:cs="Arial"/>
        </w:rPr>
      </w:pPr>
      <w:r w:rsidRPr="00D61F73">
        <w:rPr>
          <w:rFonts w:ascii="Arial" w:hAnsi="Arial" w:cs="Arial"/>
        </w:rPr>
        <w:t> </w:t>
      </w:r>
    </w:p>
    <w:p w14:paraId="3BB31802" w14:textId="77777777" w:rsidR="0069003F" w:rsidRPr="00D61F73" w:rsidRDefault="0069003F" w:rsidP="00D61F73">
      <w:pPr>
        <w:rPr>
          <w:rFonts w:ascii="Arial" w:hAnsi="Arial" w:cs="Arial"/>
        </w:rPr>
      </w:pPr>
      <w:r w:rsidRPr="00D61F73">
        <w:rPr>
          <w:rFonts w:ascii="Arial" w:hAnsi="Arial" w:cs="Arial"/>
        </w:rPr>
        <w:t>Rating: 1b</w:t>
      </w:r>
    </w:p>
    <w:p w14:paraId="60ACC77D" w14:textId="77777777" w:rsidR="0069003F" w:rsidRPr="00D61F73" w:rsidRDefault="0069003F" w:rsidP="00D61F73">
      <w:pPr>
        <w:rPr>
          <w:rFonts w:ascii="Arial" w:hAnsi="Arial" w:cs="Arial"/>
        </w:rPr>
      </w:pPr>
      <w:r w:rsidRPr="00D61F73">
        <w:rPr>
          <w:rFonts w:ascii="Arial" w:hAnsi="Arial" w:cs="Arial"/>
        </w:rPr>
        <w:t> </w:t>
      </w:r>
    </w:p>
    <w:p w14:paraId="5F6DF12E" w14:textId="77777777" w:rsidR="008D0565" w:rsidRPr="00D61F73" w:rsidRDefault="008D0565" w:rsidP="00D61F73">
      <w:pPr>
        <w:rPr>
          <w:rFonts w:ascii="Arial" w:hAnsi="Arial" w:cs="Arial"/>
          <w:b/>
          <w:bCs/>
        </w:rPr>
      </w:pPr>
      <w:r w:rsidRPr="00D61F73">
        <w:rPr>
          <w:rFonts w:ascii="Arial" w:hAnsi="Arial" w:cs="Arial"/>
        </w:rPr>
        <w:br w:type="page"/>
      </w:r>
      <w:hyperlink r:id="rId342" w:history="1">
        <w:r w:rsidRPr="00D61F73">
          <w:rPr>
            <w:rStyle w:val="Hyperlink"/>
            <w:rFonts w:ascii="Arial" w:hAnsi="Arial" w:cs="Arial"/>
            <w:b/>
            <w:bCs/>
            <w:i/>
          </w:rPr>
          <w:t>C</w:t>
        </w:r>
        <w:bookmarkStart w:id="613" w:name="ClinicalPharmacology"/>
        <w:bookmarkEnd w:id="613"/>
        <w:r w:rsidRPr="00D61F73">
          <w:rPr>
            <w:rStyle w:val="Hyperlink"/>
            <w:rFonts w:ascii="Arial" w:hAnsi="Arial" w:cs="Arial"/>
            <w:b/>
            <w:bCs/>
            <w:i/>
          </w:rPr>
          <w:t>linical Pharmacology</w:t>
        </w:r>
      </w:hyperlink>
      <w:r w:rsidRPr="00D61F73">
        <w:rPr>
          <w:rFonts w:ascii="Arial" w:hAnsi="Arial" w:cs="Arial"/>
          <w:b/>
          <w:bCs/>
          <w:i/>
        </w:rPr>
        <w:t xml:space="preserve">. </w:t>
      </w:r>
      <w:r w:rsidRPr="00D61F73">
        <w:rPr>
          <w:rFonts w:ascii="Arial" w:hAnsi="Arial" w:cs="Arial"/>
          <w:b/>
          <w:bCs/>
        </w:rPr>
        <w:t xml:space="preserve">Gold Standard Inc. Tampa, FL. 2008-2014. </w:t>
      </w:r>
    </w:p>
    <w:p w14:paraId="17CA6BB2" w14:textId="77777777" w:rsidR="008D0565" w:rsidRPr="00D61F73" w:rsidRDefault="008D0565" w:rsidP="00D61F73">
      <w:pPr>
        <w:rPr>
          <w:rFonts w:ascii="Arial" w:hAnsi="Arial" w:cs="Arial"/>
        </w:rPr>
      </w:pPr>
    </w:p>
    <w:p w14:paraId="4B925A6A" w14:textId="77777777" w:rsidR="008D0565" w:rsidRPr="00D61F73" w:rsidRDefault="008D0565" w:rsidP="00D61F73">
      <w:pPr>
        <w:rPr>
          <w:rFonts w:ascii="Arial" w:hAnsi="Arial" w:cs="Arial"/>
        </w:rPr>
      </w:pPr>
      <w:r w:rsidRPr="00D61F73">
        <w:rPr>
          <w:rFonts w:ascii="Arial" w:hAnsi="Arial" w:cs="Arial"/>
        </w:rPr>
        <w:t>Rating: 9a</w:t>
      </w:r>
    </w:p>
    <w:p w14:paraId="48A36AAD" w14:textId="77777777" w:rsidR="008D0565" w:rsidRPr="00D61F73" w:rsidRDefault="008D0565" w:rsidP="00D61F73">
      <w:pPr>
        <w:keepNext/>
        <w:outlineLvl w:val="0"/>
        <w:rPr>
          <w:rFonts w:ascii="Arial" w:hAnsi="Arial" w:cs="Arial"/>
          <w:b/>
          <w:bCs/>
          <w:color w:val="auto"/>
        </w:rPr>
      </w:pPr>
      <w:r w:rsidRPr="00D61F73">
        <w:rPr>
          <w:rFonts w:ascii="Arial" w:hAnsi="Arial" w:cs="Arial"/>
        </w:rPr>
        <w:br w:type="page"/>
      </w:r>
      <w:r w:rsidRPr="00D61F73">
        <w:rPr>
          <w:rFonts w:ascii="Arial" w:hAnsi="Arial" w:cs="Arial"/>
          <w:b/>
        </w:rPr>
        <w:lastRenderedPageBreak/>
        <w:t>C</w:t>
      </w:r>
      <w:bookmarkStart w:id="614" w:name="Cluver"/>
      <w:bookmarkEnd w:id="614"/>
      <w:r w:rsidRPr="00D61F73">
        <w:rPr>
          <w:rFonts w:ascii="Arial" w:hAnsi="Arial" w:cs="Arial"/>
          <w:b/>
        </w:rPr>
        <w:t xml:space="preserve">luver JS, Wright TM, Myrick H. Pharmacologic interventions for sedative-hypnotic addiction. In Reis RK, Fiellin DA, Miller SC, Saitz R. eds. </w:t>
      </w:r>
      <w:r w:rsidRPr="00D61F73">
        <w:rPr>
          <w:rFonts w:ascii="Arial" w:hAnsi="Arial" w:cs="Arial"/>
          <w:b/>
          <w:i/>
        </w:rPr>
        <w:t>Principles of Addiction Medicine</w:t>
      </w:r>
      <w:r w:rsidRPr="00D61F73">
        <w:rPr>
          <w:rFonts w:ascii="Arial" w:hAnsi="Arial" w:cs="Arial"/>
          <w:b/>
        </w:rPr>
        <w:t>, 4</w:t>
      </w:r>
      <w:r w:rsidRPr="00D61F73">
        <w:rPr>
          <w:rFonts w:ascii="Arial" w:hAnsi="Arial" w:cs="Arial"/>
          <w:b/>
          <w:vertAlign w:val="superscript"/>
        </w:rPr>
        <w:t>th</w:t>
      </w:r>
      <w:r w:rsidRPr="00D61F73">
        <w:rPr>
          <w:rFonts w:ascii="Arial" w:hAnsi="Arial" w:cs="Arial"/>
          <w:b/>
        </w:rPr>
        <w:t xml:space="preserve"> edition. Lippincott Williams &amp; Wilkins, 2009.</w:t>
      </w:r>
    </w:p>
    <w:p w14:paraId="40404457" w14:textId="77777777" w:rsidR="008D0565" w:rsidRPr="00D61F73" w:rsidRDefault="008D0565" w:rsidP="00D61F73">
      <w:pPr>
        <w:keepNext/>
        <w:outlineLvl w:val="0"/>
        <w:rPr>
          <w:rFonts w:ascii="Arial" w:hAnsi="Arial" w:cs="Arial"/>
          <w:bCs/>
        </w:rPr>
      </w:pPr>
    </w:p>
    <w:p w14:paraId="7C8AA11B" w14:textId="77777777" w:rsidR="008D0565" w:rsidRPr="00D61F73" w:rsidRDefault="008D0565" w:rsidP="00D61F73">
      <w:pPr>
        <w:keepNext/>
        <w:outlineLvl w:val="0"/>
        <w:rPr>
          <w:rFonts w:ascii="Arial" w:hAnsi="Arial" w:cs="Arial"/>
          <w:bCs/>
        </w:rPr>
      </w:pPr>
      <w:r w:rsidRPr="00D61F73">
        <w:rPr>
          <w:rFonts w:ascii="Arial" w:hAnsi="Arial" w:cs="Arial"/>
        </w:rPr>
        <w:t>Rating: 9a</w:t>
      </w:r>
    </w:p>
    <w:p w14:paraId="6D539167" w14:textId="77777777" w:rsidR="005F7F3E" w:rsidRPr="00D61F73" w:rsidRDefault="005F7F3E" w:rsidP="00D61F73">
      <w:pPr>
        <w:rPr>
          <w:rFonts w:ascii="Arial" w:hAnsi="Arial" w:cs="Arial"/>
        </w:rPr>
      </w:pPr>
    </w:p>
    <w:p w14:paraId="39FDFB5A" w14:textId="77777777" w:rsidR="005F7F3E" w:rsidRPr="00D61F73" w:rsidRDefault="005F7F3E" w:rsidP="00D61F73">
      <w:pPr>
        <w:rPr>
          <w:rFonts w:ascii="Arial" w:hAnsi="Arial" w:cs="Arial"/>
          <w:b/>
        </w:rPr>
      </w:pPr>
      <w:r w:rsidRPr="00D61F73">
        <w:rPr>
          <w:rFonts w:ascii="Arial" w:hAnsi="Arial" w:cs="Arial"/>
        </w:rPr>
        <w:br w:type="page"/>
      </w:r>
      <w:bookmarkStart w:id="615" w:name="CMS2014homebound"/>
      <w:r w:rsidRPr="00D61F73">
        <w:rPr>
          <w:rFonts w:ascii="Arial" w:hAnsi="Arial" w:cs="Arial"/>
          <w:b/>
        </w:rPr>
        <w:lastRenderedPageBreak/>
        <w:t>CMS, 2014. Clarification of the Confined to the Home Definition in Chapter 15, Covered Medical and Other Health Services, of the Medicare Benefit Policy Manual. Centers for Medicare and Medicaid (CMS), Pub.100-02, Transmittal: 192, August 1, 2014.</w:t>
      </w:r>
    </w:p>
    <w:p w14:paraId="5FA08AED" w14:textId="77777777" w:rsidR="0078150B" w:rsidRPr="00D61F73" w:rsidRDefault="0078150B" w:rsidP="00D61F73">
      <w:pPr>
        <w:rPr>
          <w:rFonts w:ascii="Arial" w:hAnsi="Arial" w:cs="Arial"/>
        </w:rPr>
      </w:pPr>
    </w:p>
    <w:p w14:paraId="2CFEA122" w14:textId="77777777" w:rsidR="005F7F3E" w:rsidRPr="00D61F73" w:rsidRDefault="005F7F3E" w:rsidP="00D61F73">
      <w:pPr>
        <w:rPr>
          <w:rFonts w:ascii="Arial" w:hAnsi="Arial" w:cs="Arial"/>
        </w:rPr>
      </w:pPr>
      <w:r w:rsidRPr="00D61F73">
        <w:rPr>
          <w:rFonts w:ascii="Arial" w:hAnsi="Arial" w:cs="Arial"/>
        </w:rPr>
        <w:t>Rating: 8a</w:t>
      </w:r>
    </w:p>
    <w:bookmarkEnd w:id="615"/>
    <w:p w14:paraId="3F785291" w14:textId="77777777" w:rsidR="005F7F3E" w:rsidRPr="00D61F73" w:rsidRDefault="005F7F3E" w:rsidP="00D61F73">
      <w:pPr>
        <w:rPr>
          <w:rStyle w:val="Hyperlink"/>
          <w:rFonts w:ascii="Arial" w:hAnsi="Arial" w:cs="Arial"/>
          <w:b/>
        </w:rPr>
      </w:pPr>
      <w:r w:rsidRPr="00D61F73">
        <w:rPr>
          <w:rFonts w:ascii="Arial" w:hAnsi="Arial" w:cs="Arial"/>
        </w:rPr>
        <w:br w:type="page"/>
      </w:r>
      <w:bookmarkStart w:id="616" w:name="CMS2015Homehealth"/>
      <w:r w:rsidRPr="00D61F73">
        <w:rPr>
          <w:rFonts w:ascii="Arial" w:hAnsi="Arial" w:cs="Arial"/>
          <w:b/>
        </w:rPr>
        <w:lastRenderedPageBreak/>
        <w:t xml:space="preserve">CMS, 2015. </w:t>
      </w:r>
      <w:hyperlink r:id="rId343" w:history="1">
        <w:r w:rsidRPr="00D61F73">
          <w:rPr>
            <w:rStyle w:val="Hyperlink"/>
            <w:rFonts w:ascii="Arial" w:hAnsi="Arial" w:cs="Arial"/>
            <w:b/>
          </w:rPr>
          <w:t xml:space="preserve">OASIS-C1/ICD-9 Guidance Manual, Centers for Medicare and Medicaid Services, Chapter 1, January 1, 2015. </w:t>
        </w:r>
      </w:hyperlink>
    </w:p>
    <w:p w14:paraId="06046DE1" w14:textId="77777777" w:rsidR="006B3022" w:rsidRPr="00D61F73" w:rsidRDefault="006B3022" w:rsidP="00D61F73">
      <w:pPr>
        <w:rPr>
          <w:rFonts w:ascii="Arial" w:hAnsi="Arial" w:cs="Arial"/>
          <w:b/>
        </w:rPr>
      </w:pPr>
    </w:p>
    <w:p w14:paraId="72F8051C" w14:textId="77777777" w:rsidR="005F7F3E" w:rsidRPr="00D61F73" w:rsidRDefault="005F7F3E" w:rsidP="00D61F73">
      <w:pPr>
        <w:rPr>
          <w:rFonts w:ascii="Arial" w:hAnsi="Arial" w:cs="Arial"/>
        </w:rPr>
      </w:pPr>
      <w:r w:rsidRPr="00D61F73">
        <w:rPr>
          <w:rFonts w:ascii="Arial" w:hAnsi="Arial" w:cs="Arial"/>
        </w:rPr>
        <w:t>Rating: 8a</w:t>
      </w:r>
    </w:p>
    <w:bookmarkEnd w:id="616"/>
    <w:p w14:paraId="2FE9021A"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rPr>
        <w:lastRenderedPageBreak/>
        <w:t>C</w:t>
      </w:r>
      <w:bookmarkStart w:id="617" w:name="Coffey"/>
      <w:bookmarkEnd w:id="617"/>
      <w:r w:rsidRPr="00D61F73">
        <w:rPr>
          <w:rFonts w:ascii="Arial" w:hAnsi="Arial" w:cs="Arial"/>
        </w:rPr>
        <w:t xml:space="preserve">offey RJ, Owens ML, Broste SK, Dubois MY, Ferrante FM, Schultz DM, et al. Mortality associated with implantation and management of intrathecal opioid drug infusion systems to treat non-cancer pain. </w:t>
      </w:r>
      <w:r w:rsidRPr="00D61F73">
        <w:rPr>
          <w:rFonts w:ascii="Arial" w:hAnsi="Arial" w:cs="Arial"/>
          <w:i/>
          <w:iCs/>
        </w:rPr>
        <w:t>Anesthesiology</w:t>
      </w:r>
      <w:r w:rsidRPr="00D61F73">
        <w:rPr>
          <w:rFonts w:ascii="Arial" w:hAnsi="Arial" w:cs="Arial"/>
        </w:rPr>
        <w:t xml:space="preserve"> 2009;111(4):881-891.</w:t>
      </w:r>
    </w:p>
    <w:p w14:paraId="19026DE6" w14:textId="77777777" w:rsidR="008D0565" w:rsidRPr="00D61F73" w:rsidRDefault="008D0565" w:rsidP="00D61F73">
      <w:pPr>
        <w:rPr>
          <w:rFonts w:ascii="Arial" w:hAnsi="Arial" w:cs="Arial"/>
        </w:rPr>
      </w:pPr>
    </w:p>
    <w:p w14:paraId="0D3ECADA" w14:textId="77777777" w:rsidR="008D0565" w:rsidRPr="00D61F73" w:rsidRDefault="008D0565" w:rsidP="00D61F73">
      <w:pPr>
        <w:rPr>
          <w:rFonts w:ascii="Arial" w:hAnsi="Arial" w:cs="Arial"/>
        </w:rPr>
      </w:pPr>
      <w:r w:rsidRPr="00D61F73">
        <w:rPr>
          <w:rFonts w:ascii="Arial" w:hAnsi="Arial" w:cs="Arial"/>
        </w:rPr>
        <w:t xml:space="preserve">CONCLUSIONS: Patients with noncancer pain treated with intrathecal opioid therapy experience increased mortality compared to similar patients treated by using other therapies. </w:t>
      </w:r>
    </w:p>
    <w:p w14:paraId="3CF8CCCF" w14:textId="77777777" w:rsidR="008D0565" w:rsidRPr="00D61F73" w:rsidRDefault="008D0565" w:rsidP="00D61F73">
      <w:pPr>
        <w:rPr>
          <w:rFonts w:ascii="Arial" w:hAnsi="Arial" w:cs="Arial"/>
        </w:rPr>
      </w:pPr>
    </w:p>
    <w:p w14:paraId="2FD60335" w14:textId="77777777" w:rsidR="008D0565" w:rsidRPr="00D61F73" w:rsidRDefault="008D0565" w:rsidP="00D61F73">
      <w:pPr>
        <w:rPr>
          <w:rFonts w:ascii="Arial" w:hAnsi="Arial" w:cs="Arial"/>
        </w:rPr>
      </w:pPr>
      <w:r w:rsidRPr="00D61F73">
        <w:rPr>
          <w:rFonts w:ascii="Arial" w:hAnsi="Arial" w:cs="Arial"/>
        </w:rPr>
        <w:t xml:space="preserve">PMID: </w:t>
      </w:r>
      <w:hyperlink r:id="rId344" w:history="1">
        <w:r w:rsidRPr="00D61F73">
          <w:rPr>
            <w:rStyle w:val="Hyperlink"/>
            <w:rFonts w:ascii="Arial" w:hAnsi="Arial" w:cs="Arial"/>
          </w:rPr>
          <w:t>19774431</w:t>
        </w:r>
      </w:hyperlink>
      <w:r w:rsidRPr="00D61F73">
        <w:rPr>
          <w:rFonts w:ascii="Arial" w:hAnsi="Arial" w:cs="Arial"/>
        </w:rPr>
        <w:t xml:space="preserve"> </w:t>
      </w:r>
    </w:p>
    <w:p w14:paraId="4045D235" w14:textId="77777777" w:rsidR="008D0565" w:rsidRPr="00D61F73" w:rsidRDefault="008D0565" w:rsidP="00D61F73">
      <w:pPr>
        <w:rPr>
          <w:rFonts w:ascii="Arial" w:hAnsi="Arial" w:cs="Arial"/>
        </w:rPr>
      </w:pPr>
    </w:p>
    <w:p w14:paraId="519E1FCF" w14:textId="77777777" w:rsidR="008D0565" w:rsidRPr="00D61F73" w:rsidRDefault="008D0565" w:rsidP="00D61F73">
      <w:pPr>
        <w:rPr>
          <w:rFonts w:ascii="Arial" w:hAnsi="Arial" w:cs="Arial"/>
        </w:rPr>
      </w:pPr>
      <w:r w:rsidRPr="00D61F73">
        <w:rPr>
          <w:rFonts w:ascii="Arial" w:hAnsi="Arial" w:cs="Arial"/>
        </w:rPr>
        <w:t>Rating: 4c</w:t>
      </w:r>
    </w:p>
    <w:p w14:paraId="3A3718E6" w14:textId="77777777" w:rsidR="003E4AC1" w:rsidRPr="00D61F73" w:rsidRDefault="003E4AC1" w:rsidP="00D61F73">
      <w:pPr>
        <w:rPr>
          <w:rFonts w:ascii="Arial" w:hAnsi="Arial" w:cs="Arial"/>
        </w:rPr>
      </w:pPr>
      <w:r w:rsidRPr="00D61F73">
        <w:rPr>
          <w:rFonts w:ascii="Arial" w:hAnsi="Arial" w:cs="Arial"/>
        </w:rPr>
        <w:br w:type="page"/>
      </w:r>
      <w:bookmarkStart w:id="618" w:name="Coffin2013"/>
      <w:r w:rsidRPr="00D61F73">
        <w:rPr>
          <w:rFonts w:ascii="Arial" w:hAnsi="Arial" w:cs="Arial"/>
          <w:b/>
        </w:rPr>
        <w:lastRenderedPageBreak/>
        <w:t>Coffin PO</w:t>
      </w:r>
      <w:bookmarkEnd w:id="618"/>
      <w:r w:rsidRPr="00D61F73">
        <w:rPr>
          <w:rFonts w:ascii="Arial" w:hAnsi="Arial" w:cs="Arial"/>
          <w:b/>
        </w:rPr>
        <w:t>, Sullivan SD. Cost-effectiveness of distributing naloxone to heroin users for lay overdose reversal. Ann Intern Med. 2013;158:1-9.</w:t>
      </w:r>
      <w:r w:rsidRPr="00D61F73">
        <w:rPr>
          <w:rFonts w:ascii="Arial" w:hAnsi="Arial" w:cs="Arial"/>
          <w:b/>
        </w:rPr>
        <w:br/>
      </w:r>
      <w:r w:rsidRPr="00D61F73">
        <w:rPr>
          <w:rFonts w:ascii="Arial" w:hAnsi="Arial" w:cs="Arial"/>
        </w:rPr>
        <w:br/>
        <w:t xml:space="preserve">PMID: </w:t>
      </w:r>
      <w:hyperlink r:id="rId345" w:history="1">
        <w:r w:rsidRPr="00D61F73">
          <w:rPr>
            <w:rStyle w:val="Hyperlink"/>
            <w:rFonts w:ascii="Arial" w:hAnsi="Arial" w:cs="Arial"/>
          </w:rPr>
          <w:t>23277895</w:t>
        </w:r>
      </w:hyperlink>
      <w:r w:rsidRPr="00D61F73">
        <w:rPr>
          <w:rFonts w:ascii="Arial" w:hAnsi="Arial" w:cs="Arial"/>
        </w:rPr>
        <w:br/>
      </w:r>
      <w:r w:rsidRPr="00D61F73">
        <w:rPr>
          <w:rFonts w:ascii="Arial" w:hAnsi="Arial" w:cs="Arial"/>
        </w:rPr>
        <w:br/>
        <w:t>Rating: 3a</w:t>
      </w:r>
    </w:p>
    <w:p w14:paraId="6EC2FB1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19" w:name="Cole2003"/>
      <w:bookmarkEnd w:id="619"/>
      <w:r w:rsidRPr="00D61F73">
        <w:rPr>
          <w:rFonts w:ascii="Arial" w:hAnsi="Arial" w:cs="Arial"/>
          <w:b/>
          <w:bCs/>
        </w:rPr>
        <w:t>ole AJ, Herring SA, eds. The low back pain handbook. 2nd ed. Philadelphia: Hanley &amp; Belfus; 2003: page 362.</w:t>
      </w:r>
    </w:p>
    <w:p w14:paraId="49273210" w14:textId="77777777" w:rsidR="008D0565" w:rsidRPr="00D61F73" w:rsidRDefault="008D0565" w:rsidP="00D61F73">
      <w:pPr>
        <w:rPr>
          <w:rFonts w:ascii="Arial" w:hAnsi="Arial" w:cs="Arial"/>
        </w:rPr>
      </w:pPr>
    </w:p>
    <w:p w14:paraId="7FB87D21" w14:textId="77777777" w:rsidR="008D0565" w:rsidRPr="00D61F73" w:rsidRDefault="008D0565" w:rsidP="00D61F73">
      <w:pPr>
        <w:rPr>
          <w:rFonts w:ascii="Arial" w:hAnsi="Arial" w:cs="Arial"/>
        </w:rPr>
      </w:pPr>
      <w:r w:rsidRPr="00D61F73">
        <w:rPr>
          <w:rFonts w:ascii="Arial" w:hAnsi="Arial" w:cs="Arial"/>
        </w:rPr>
        <w:t>Rating: 9b</w:t>
      </w:r>
    </w:p>
    <w:p w14:paraId="63A55BB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20" w:name="Collins"/>
      <w:bookmarkEnd w:id="620"/>
      <w:r w:rsidRPr="00D61F73">
        <w:rPr>
          <w:rFonts w:ascii="Arial" w:hAnsi="Arial" w:cs="Arial"/>
          <w:b/>
          <w:bCs/>
        </w:rPr>
        <w:t xml:space="preserve">ollins SL, Moore RA, McQuayHJ, Wiffen P. Antidepressants and anticonvulsants for diabetic neuropathy and postherpetic neuralgia: a quantitative systematic review. </w:t>
      </w:r>
      <w:r w:rsidRPr="00D61F73">
        <w:rPr>
          <w:rFonts w:ascii="Arial" w:hAnsi="Arial" w:cs="Arial"/>
          <w:b/>
          <w:bCs/>
          <w:i/>
          <w:iCs/>
        </w:rPr>
        <w:t>J Pain Symptom Manage.</w:t>
      </w:r>
      <w:r w:rsidRPr="00D61F73">
        <w:rPr>
          <w:rFonts w:ascii="Arial" w:hAnsi="Arial" w:cs="Arial"/>
          <w:b/>
          <w:bCs/>
        </w:rPr>
        <w:t xml:space="preserve"> 2000 Dec;20(6):449-58.</w:t>
      </w:r>
    </w:p>
    <w:p w14:paraId="59BC57B7" w14:textId="77777777" w:rsidR="008D0565" w:rsidRPr="00D61F73" w:rsidRDefault="008D0565" w:rsidP="00D61F73">
      <w:pPr>
        <w:rPr>
          <w:rFonts w:ascii="Arial" w:hAnsi="Arial" w:cs="Arial"/>
        </w:rPr>
      </w:pPr>
    </w:p>
    <w:p w14:paraId="297DF853" w14:textId="77777777" w:rsidR="008D0565" w:rsidRPr="00D61F73" w:rsidRDefault="008D0565" w:rsidP="00D61F73">
      <w:pPr>
        <w:rPr>
          <w:rFonts w:ascii="Arial" w:hAnsi="Arial" w:cs="Arial"/>
        </w:rPr>
      </w:pPr>
      <w:r w:rsidRPr="00D61F73">
        <w:rPr>
          <w:rFonts w:ascii="Arial" w:hAnsi="Arial" w:cs="Arial"/>
        </w:rPr>
        <w:t>There was no evidence that selective serotonin reuptake inhibitors (SSRIs) were better than older antidepressants, and no evidence that gabapentin was better than older anticonvulsants. In these trials patients were more likely to stop taking antidepressants than anticonvulsants because of adverse effects.</w:t>
      </w:r>
    </w:p>
    <w:p w14:paraId="60AC50C2" w14:textId="77777777" w:rsidR="008D0565" w:rsidRPr="00D61F73" w:rsidRDefault="008D0565" w:rsidP="00D61F73">
      <w:pPr>
        <w:rPr>
          <w:rFonts w:ascii="Arial" w:hAnsi="Arial" w:cs="Arial"/>
        </w:rPr>
      </w:pPr>
    </w:p>
    <w:p w14:paraId="4DA2FCB1" w14:textId="77777777" w:rsidR="008D0565" w:rsidRPr="00D61F73" w:rsidRDefault="008D0565" w:rsidP="00D61F73">
      <w:pPr>
        <w:rPr>
          <w:rFonts w:ascii="Arial" w:hAnsi="Arial" w:cs="Arial"/>
        </w:rPr>
      </w:pPr>
      <w:r w:rsidRPr="00D61F73">
        <w:rPr>
          <w:rFonts w:ascii="Arial" w:hAnsi="Arial" w:cs="Arial"/>
        </w:rPr>
        <w:t xml:space="preserve">PMID: </w:t>
      </w:r>
      <w:hyperlink r:id="rId346" w:history="1">
        <w:r w:rsidRPr="00D61F73">
          <w:rPr>
            <w:rStyle w:val="Hyperlink"/>
            <w:rFonts w:ascii="Arial" w:hAnsi="Arial" w:cs="Arial"/>
          </w:rPr>
          <w:t>11131263</w:t>
        </w:r>
      </w:hyperlink>
      <w:r w:rsidRPr="00D61F73">
        <w:rPr>
          <w:rFonts w:ascii="Arial" w:hAnsi="Arial" w:cs="Arial"/>
        </w:rPr>
        <w:t xml:space="preserve"> </w:t>
      </w:r>
    </w:p>
    <w:p w14:paraId="00C4E075" w14:textId="77777777" w:rsidR="008D0565" w:rsidRPr="00D61F73" w:rsidRDefault="008D0565" w:rsidP="00D61F73">
      <w:pPr>
        <w:rPr>
          <w:rFonts w:ascii="Arial" w:hAnsi="Arial" w:cs="Arial"/>
        </w:rPr>
      </w:pPr>
    </w:p>
    <w:p w14:paraId="1BE386ED" w14:textId="77777777" w:rsidR="008D0565" w:rsidRPr="00D61F73" w:rsidRDefault="008D0565" w:rsidP="00D61F73">
      <w:pPr>
        <w:rPr>
          <w:rFonts w:ascii="Arial" w:hAnsi="Arial" w:cs="Arial"/>
        </w:rPr>
      </w:pPr>
      <w:r w:rsidRPr="00D61F73">
        <w:rPr>
          <w:rFonts w:ascii="Arial" w:hAnsi="Arial" w:cs="Arial"/>
        </w:rPr>
        <w:t>Rating: 2b</w:t>
      </w:r>
    </w:p>
    <w:p w14:paraId="02BC023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21" w:name="Colombo"/>
      <w:bookmarkEnd w:id="621"/>
      <w:r w:rsidRPr="00D61F73">
        <w:rPr>
          <w:rFonts w:ascii="Arial" w:hAnsi="Arial" w:cs="Arial"/>
          <w:b/>
          <w:bCs/>
        </w:rPr>
        <w:t xml:space="preserve">olombo B, Annovazzi PO, Comi G. Medications for neuropathic pain: current trends. </w:t>
      </w:r>
      <w:r w:rsidRPr="00D61F73">
        <w:rPr>
          <w:rFonts w:ascii="Arial" w:hAnsi="Arial" w:cs="Arial"/>
          <w:b/>
          <w:bCs/>
          <w:i/>
          <w:iCs/>
        </w:rPr>
        <w:t>Neurol Sci.</w:t>
      </w:r>
      <w:r w:rsidRPr="00D61F73">
        <w:rPr>
          <w:rFonts w:ascii="Arial" w:hAnsi="Arial" w:cs="Arial"/>
          <w:b/>
          <w:bCs/>
        </w:rPr>
        <w:t xml:space="preserve"> 2006 May;27 Suppl 2:s183-9.</w:t>
      </w:r>
    </w:p>
    <w:p w14:paraId="01AD242D" w14:textId="77777777" w:rsidR="008D0565" w:rsidRPr="00D61F73" w:rsidRDefault="008D0565" w:rsidP="00D61F73">
      <w:pPr>
        <w:pStyle w:val="Footer"/>
        <w:tabs>
          <w:tab w:val="clear" w:pos="4320"/>
          <w:tab w:val="clear" w:pos="8640"/>
        </w:tabs>
        <w:rPr>
          <w:rFonts w:ascii="Arial" w:hAnsi="Arial" w:cs="Arial"/>
        </w:rPr>
      </w:pPr>
    </w:p>
    <w:p w14:paraId="6A5192AC" w14:textId="77777777" w:rsidR="008D0565" w:rsidRPr="00D61F73" w:rsidRDefault="008D0565" w:rsidP="00D61F73">
      <w:pPr>
        <w:rPr>
          <w:rFonts w:ascii="Arial" w:hAnsi="Arial" w:cs="Arial"/>
        </w:rPr>
      </w:pPr>
      <w:r w:rsidRPr="00D61F73">
        <w:rPr>
          <w:rFonts w:ascii="Arial" w:hAnsi="Arial" w:cs="Arial"/>
        </w:rPr>
        <w:t>Therapy is based on tricyclic antidepressants and antiepileptic drugs, the most frequently studied drug classes. Opioids and analgesics are a second-line choice. Topical medications could be useful in several pain situations.</w:t>
      </w:r>
    </w:p>
    <w:p w14:paraId="5674D224" w14:textId="77777777" w:rsidR="008D0565" w:rsidRPr="00D61F73" w:rsidRDefault="008D0565" w:rsidP="00D61F73">
      <w:pPr>
        <w:rPr>
          <w:rFonts w:ascii="Arial" w:hAnsi="Arial" w:cs="Arial"/>
        </w:rPr>
      </w:pPr>
    </w:p>
    <w:p w14:paraId="5AAEA11E" w14:textId="77777777" w:rsidR="008D0565" w:rsidRPr="00D61F73" w:rsidRDefault="008D0565" w:rsidP="00D61F73">
      <w:pPr>
        <w:rPr>
          <w:rFonts w:ascii="Arial" w:hAnsi="Arial" w:cs="Arial"/>
        </w:rPr>
      </w:pPr>
      <w:r w:rsidRPr="00D61F73">
        <w:rPr>
          <w:rFonts w:ascii="Arial" w:hAnsi="Arial" w:cs="Arial"/>
        </w:rPr>
        <w:t xml:space="preserve">PMID: </w:t>
      </w:r>
      <w:hyperlink r:id="rId347" w:history="1">
        <w:r w:rsidRPr="00D61F73">
          <w:rPr>
            <w:rStyle w:val="Hyperlink"/>
            <w:rFonts w:ascii="Arial" w:hAnsi="Arial" w:cs="Arial"/>
          </w:rPr>
          <w:t>16688627</w:t>
        </w:r>
      </w:hyperlink>
      <w:r w:rsidRPr="00D61F73">
        <w:rPr>
          <w:rFonts w:ascii="Arial" w:hAnsi="Arial" w:cs="Arial"/>
        </w:rPr>
        <w:t xml:space="preserve"> </w:t>
      </w:r>
    </w:p>
    <w:p w14:paraId="7867E744" w14:textId="77777777" w:rsidR="008D0565" w:rsidRPr="00D61F73" w:rsidRDefault="008D0565" w:rsidP="00D61F73">
      <w:pPr>
        <w:rPr>
          <w:rFonts w:ascii="Arial" w:hAnsi="Arial" w:cs="Arial"/>
        </w:rPr>
      </w:pPr>
    </w:p>
    <w:p w14:paraId="45202712" w14:textId="77777777" w:rsidR="008D0565" w:rsidRPr="00D61F73" w:rsidRDefault="008D0565" w:rsidP="00D61F73">
      <w:pPr>
        <w:rPr>
          <w:rFonts w:ascii="Arial" w:hAnsi="Arial" w:cs="Arial"/>
        </w:rPr>
      </w:pPr>
      <w:r w:rsidRPr="00D61F73">
        <w:rPr>
          <w:rFonts w:ascii="Arial" w:hAnsi="Arial" w:cs="Arial"/>
        </w:rPr>
        <w:t>Rating: 5b</w:t>
      </w:r>
    </w:p>
    <w:p w14:paraId="7D87B1AE" w14:textId="77777777" w:rsidR="008D0565" w:rsidRPr="00D61F73" w:rsidRDefault="008D0565" w:rsidP="00D61F73">
      <w:pPr>
        <w:rPr>
          <w:rFonts w:ascii="Arial" w:hAnsi="Arial" w:cs="Arial"/>
        </w:rPr>
      </w:pPr>
    </w:p>
    <w:p w14:paraId="59B85FBD"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C</w:t>
      </w:r>
      <w:bookmarkStart w:id="622" w:name="Colson2012"/>
      <w:bookmarkEnd w:id="622"/>
      <w:r w:rsidRPr="00D61F73">
        <w:rPr>
          <w:rFonts w:ascii="Arial" w:hAnsi="Arial" w:cs="Arial"/>
          <w:b/>
        </w:rPr>
        <w:t xml:space="preserve">olson J, Helm S, Silverman SM. Office-based opioid dependence treatment. </w:t>
      </w:r>
      <w:r w:rsidRPr="00D61F73">
        <w:rPr>
          <w:rFonts w:ascii="Arial" w:hAnsi="Arial" w:cs="Arial"/>
          <w:b/>
          <w:i/>
          <w:iCs/>
        </w:rPr>
        <w:t>Pain Physician</w:t>
      </w:r>
      <w:r w:rsidRPr="00D61F73">
        <w:rPr>
          <w:rFonts w:ascii="Arial" w:hAnsi="Arial" w:cs="Arial"/>
          <w:b/>
        </w:rPr>
        <w:t>. 2012;15:ES231-6</w:t>
      </w:r>
    </w:p>
    <w:p w14:paraId="113DB57F" w14:textId="77777777" w:rsidR="008D0565" w:rsidRPr="00D61F73" w:rsidRDefault="008D0565" w:rsidP="00D61F73">
      <w:pPr>
        <w:rPr>
          <w:rFonts w:ascii="Arial" w:eastAsia="Calibri" w:hAnsi="Arial" w:cs="Arial"/>
        </w:rPr>
      </w:pPr>
    </w:p>
    <w:p w14:paraId="076888D4" w14:textId="77777777" w:rsidR="008D0565" w:rsidRPr="00D61F73" w:rsidRDefault="008D0565" w:rsidP="00D61F73">
      <w:pPr>
        <w:rPr>
          <w:rFonts w:ascii="Arial" w:eastAsia="Calibri" w:hAnsi="Arial" w:cs="Arial"/>
        </w:rPr>
      </w:pPr>
      <w:r w:rsidRPr="00D61F73">
        <w:rPr>
          <w:rFonts w:ascii="Arial" w:hAnsi="Arial" w:cs="Arial"/>
        </w:rPr>
        <w:t xml:space="preserve">Approval of buprenorphine and buprenorphine/ naloxone has revolutionized opioid dependence therapy. </w:t>
      </w:r>
    </w:p>
    <w:p w14:paraId="5055EFA0" w14:textId="77777777" w:rsidR="008D0565" w:rsidRPr="00D61F73" w:rsidRDefault="008D0565" w:rsidP="00D61F73">
      <w:pPr>
        <w:rPr>
          <w:rFonts w:ascii="Arial" w:eastAsia="Calibri" w:hAnsi="Arial" w:cs="Arial"/>
        </w:rPr>
      </w:pPr>
    </w:p>
    <w:p w14:paraId="0BD6B953"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48" w:history="1">
        <w:r w:rsidRPr="00D61F73">
          <w:rPr>
            <w:rStyle w:val="Hyperlink"/>
            <w:rFonts w:ascii="Arial" w:hAnsi="Arial" w:cs="Arial"/>
          </w:rPr>
          <w:t>22786460</w:t>
        </w:r>
      </w:hyperlink>
    </w:p>
    <w:p w14:paraId="479063B8" w14:textId="77777777" w:rsidR="008D0565" w:rsidRPr="00D61F73" w:rsidRDefault="008D0565" w:rsidP="00D61F73">
      <w:pPr>
        <w:rPr>
          <w:rFonts w:ascii="Arial" w:eastAsia="Calibri" w:hAnsi="Arial" w:cs="Arial"/>
        </w:rPr>
      </w:pPr>
    </w:p>
    <w:p w14:paraId="094E5706" w14:textId="77777777" w:rsidR="008D0565" w:rsidRPr="00D61F73" w:rsidRDefault="008D0565" w:rsidP="00D61F73">
      <w:pPr>
        <w:rPr>
          <w:rFonts w:ascii="Arial" w:hAnsi="Arial" w:cs="Arial"/>
        </w:rPr>
      </w:pPr>
      <w:r w:rsidRPr="00D61F73">
        <w:rPr>
          <w:rFonts w:ascii="Arial" w:hAnsi="Arial" w:cs="Arial"/>
        </w:rPr>
        <w:t>Rating: 5a</w:t>
      </w:r>
    </w:p>
    <w:p w14:paraId="1D6D381B"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C</w:t>
      </w:r>
      <w:bookmarkStart w:id="623" w:name="Conaghan2008"/>
      <w:bookmarkEnd w:id="623"/>
      <w:r w:rsidRPr="00D61F73">
        <w:rPr>
          <w:rFonts w:ascii="Arial" w:hAnsi="Arial" w:cs="Arial"/>
          <w:b/>
        </w:rPr>
        <w:t xml:space="preserve">onaghan PG, Dickson J, Grant RL; Guideline Development Group.Care and management of osteoarthritis in adults: summary of NICE guidance. </w:t>
      </w:r>
      <w:r w:rsidRPr="00D61F73">
        <w:rPr>
          <w:rFonts w:ascii="Arial" w:hAnsi="Arial" w:cs="Arial"/>
          <w:b/>
          <w:i/>
        </w:rPr>
        <w:t>BMJ</w:t>
      </w:r>
      <w:r w:rsidRPr="00D61F73">
        <w:rPr>
          <w:rFonts w:ascii="Arial" w:hAnsi="Arial" w:cs="Arial"/>
          <w:b/>
        </w:rPr>
        <w:t>. 2008;336:502-3.</w:t>
      </w:r>
    </w:p>
    <w:p w14:paraId="020E1CC2" w14:textId="77777777" w:rsidR="008D0565" w:rsidRPr="00D61F73" w:rsidRDefault="008D0565" w:rsidP="00D61F73">
      <w:pPr>
        <w:rPr>
          <w:rFonts w:ascii="Arial" w:eastAsia="Calibri" w:hAnsi="Arial" w:cs="Arial"/>
        </w:rPr>
      </w:pPr>
    </w:p>
    <w:p w14:paraId="7271F3BF" w14:textId="77777777" w:rsidR="008D0565" w:rsidRPr="00D61F73" w:rsidRDefault="008D0565" w:rsidP="00D61F73">
      <w:pPr>
        <w:rPr>
          <w:rFonts w:ascii="Arial" w:eastAsia="Calibri" w:hAnsi="Arial" w:cs="Arial"/>
        </w:rPr>
      </w:pPr>
      <w:r w:rsidRPr="00D61F73">
        <w:rPr>
          <w:rFonts w:ascii="Arial" w:hAnsi="Arial" w:cs="Arial"/>
        </w:rPr>
        <w:t>Initial pharmacological treatment includes acetaminophen and topical NSAIDs.</w:t>
      </w:r>
    </w:p>
    <w:p w14:paraId="18A0EC37" w14:textId="77777777" w:rsidR="008D0565" w:rsidRPr="00D61F73" w:rsidRDefault="008D0565" w:rsidP="00D61F73">
      <w:pPr>
        <w:rPr>
          <w:rFonts w:ascii="Arial" w:eastAsia="Calibri" w:hAnsi="Arial" w:cs="Arial"/>
        </w:rPr>
      </w:pPr>
    </w:p>
    <w:p w14:paraId="7092ADE7" w14:textId="77777777" w:rsidR="008D0565" w:rsidRPr="00D61F73" w:rsidRDefault="008D0565" w:rsidP="00D61F73">
      <w:pPr>
        <w:rPr>
          <w:rFonts w:ascii="Arial" w:eastAsia="Calibri" w:hAnsi="Arial" w:cs="Arial"/>
        </w:rPr>
      </w:pPr>
      <w:r w:rsidRPr="00D61F73">
        <w:rPr>
          <w:rFonts w:ascii="Arial" w:eastAsia="Calibri" w:hAnsi="Arial" w:cs="Arial"/>
        </w:rPr>
        <w:t xml:space="preserve">PMID: </w:t>
      </w:r>
      <w:hyperlink r:id="rId349" w:history="1">
        <w:r w:rsidRPr="00D61F73">
          <w:rPr>
            <w:rStyle w:val="Hyperlink"/>
            <w:rFonts w:ascii="Arial" w:eastAsia="Calibri" w:hAnsi="Arial" w:cs="Arial"/>
          </w:rPr>
          <w:t>18310005</w:t>
        </w:r>
      </w:hyperlink>
    </w:p>
    <w:p w14:paraId="46267266" w14:textId="77777777" w:rsidR="008D0565" w:rsidRPr="00D61F73" w:rsidRDefault="008D0565" w:rsidP="00D61F73">
      <w:pPr>
        <w:rPr>
          <w:rFonts w:ascii="Arial" w:eastAsia="Calibri" w:hAnsi="Arial" w:cs="Arial"/>
        </w:rPr>
      </w:pPr>
    </w:p>
    <w:p w14:paraId="4BFF9A15" w14:textId="77777777" w:rsidR="008D0565" w:rsidRPr="00D61F73" w:rsidRDefault="008D0565" w:rsidP="00D61F73">
      <w:pPr>
        <w:rPr>
          <w:rFonts w:ascii="Arial" w:eastAsia="Calibri" w:hAnsi="Arial" w:cs="Arial"/>
        </w:rPr>
      </w:pPr>
      <w:r w:rsidRPr="00D61F73">
        <w:rPr>
          <w:rFonts w:ascii="Arial" w:hAnsi="Arial" w:cs="Arial"/>
        </w:rPr>
        <w:t>Rating: 8a</w:t>
      </w:r>
    </w:p>
    <w:p w14:paraId="27C6E81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24" w:name="Condon"/>
      <w:bookmarkEnd w:id="624"/>
      <w:r w:rsidRPr="00D61F73">
        <w:rPr>
          <w:rFonts w:ascii="Arial" w:hAnsi="Arial" w:cs="Arial"/>
          <w:b/>
          <w:bCs/>
        </w:rPr>
        <w:t xml:space="preserve">ondon JE, Borg-Stein J, Revord J et al. A multicenter trial of percutaneous neuromodulation therapy for low back pain patients with a subacute duration of lower extremity pan. Presented at the American Academy of Pain Medicine Annual Meeting. San Francisco, CA, March 1, 2002 </w:t>
      </w:r>
    </w:p>
    <w:p w14:paraId="14C30A6F" w14:textId="77777777" w:rsidR="008D0565" w:rsidRPr="00D61F73" w:rsidRDefault="008D0565" w:rsidP="00D61F73">
      <w:pPr>
        <w:rPr>
          <w:rFonts w:ascii="Arial" w:hAnsi="Arial" w:cs="Arial"/>
        </w:rPr>
      </w:pPr>
    </w:p>
    <w:p w14:paraId="197407C3" w14:textId="77777777" w:rsidR="008D0565" w:rsidRPr="00D61F73" w:rsidRDefault="008D0565" w:rsidP="00D61F73">
      <w:pPr>
        <w:rPr>
          <w:rFonts w:ascii="Arial" w:hAnsi="Arial" w:cs="Arial"/>
        </w:rPr>
      </w:pPr>
      <w:r w:rsidRPr="00D61F73">
        <w:rPr>
          <w:rFonts w:ascii="Arial" w:hAnsi="Arial" w:cs="Arial"/>
        </w:rPr>
        <w:t>This study was an uncontrolled case series of 83 patients with low back pain. While pain improved at 5-week follow-up, the lack of a control group precludes scientific assessment. These preliminary reports do not offer data on outcomes in pain management.</w:t>
      </w:r>
    </w:p>
    <w:p w14:paraId="135A899A" w14:textId="77777777" w:rsidR="008D0565" w:rsidRPr="00D61F73" w:rsidRDefault="008D0565" w:rsidP="00D61F73">
      <w:pPr>
        <w:pStyle w:val="NormalWeb"/>
        <w:spacing w:before="0" w:beforeAutospacing="0" w:after="0" w:afterAutospacing="0"/>
        <w:rPr>
          <w:rFonts w:ascii="Arial" w:hAnsi="Arial" w:cs="Arial"/>
        </w:rPr>
      </w:pPr>
    </w:p>
    <w:p w14:paraId="135D908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10c</w:t>
      </w:r>
    </w:p>
    <w:p w14:paraId="077EF5C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25" w:name="Cooper2013"/>
      <w:bookmarkEnd w:id="625"/>
      <w:r w:rsidRPr="00D61F73">
        <w:rPr>
          <w:rFonts w:ascii="Arial" w:hAnsi="Arial" w:cs="Arial"/>
          <w:b/>
          <w:bCs/>
        </w:rPr>
        <w:t xml:space="preserve">ooper ZD, Comer SD, Haney M. Comparison of the Analgesic Effects of Dronabinol and Smoked Marijuana In Daily Marijuana Smokers. </w:t>
      </w:r>
      <w:r w:rsidRPr="00D61F73">
        <w:rPr>
          <w:rFonts w:ascii="Arial" w:hAnsi="Arial" w:cs="Arial"/>
          <w:b/>
          <w:bCs/>
          <w:i/>
          <w:iCs/>
        </w:rPr>
        <w:t>Neuropsychopharmacology.</w:t>
      </w:r>
      <w:r w:rsidRPr="00D61F73">
        <w:rPr>
          <w:rFonts w:ascii="Arial" w:hAnsi="Arial" w:cs="Arial"/>
          <w:b/>
          <w:bCs/>
        </w:rPr>
        <w:t xml:space="preserve"> 2013 Apr 22. doi: 10.1038/npp.2013.97.</w:t>
      </w:r>
    </w:p>
    <w:p w14:paraId="2CA849A9" w14:textId="77777777" w:rsidR="008D0565" w:rsidRPr="00D61F73" w:rsidRDefault="008D0565" w:rsidP="00D61F73">
      <w:pPr>
        <w:pStyle w:val="NormalWeb"/>
        <w:spacing w:before="0" w:beforeAutospacing="0" w:after="0" w:afterAutospacing="0"/>
        <w:rPr>
          <w:rFonts w:ascii="Arial" w:hAnsi="Arial" w:cs="Arial"/>
        </w:rPr>
      </w:pPr>
    </w:p>
    <w:p w14:paraId="4F1E94D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50" w:history="1">
        <w:r w:rsidRPr="00D61F73">
          <w:rPr>
            <w:rStyle w:val="Hyperlink"/>
            <w:rFonts w:ascii="Arial" w:hAnsi="Arial" w:cs="Arial"/>
          </w:rPr>
          <w:t>23609132</w:t>
        </w:r>
      </w:hyperlink>
    </w:p>
    <w:p w14:paraId="6341AC2A" w14:textId="77777777" w:rsidR="008D0565" w:rsidRPr="00D61F73" w:rsidRDefault="008D0565" w:rsidP="00D61F73">
      <w:pPr>
        <w:pStyle w:val="NormalWeb"/>
        <w:spacing w:before="0" w:beforeAutospacing="0" w:after="0" w:afterAutospacing="0"/>
        <w:rPr>
          <w:rFonts w:ascii="Arial" w:hAnsi="Arial" w:cs="Arial"/>
        </w:rPr>
      </w:pPr>
    </w:p>
    <w:p w14:paraId="6976A4D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079EC74B"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C</w:t>
      </w:r>
      <w:bookmarkStart w:id="626" w:name="Cooper2013a"/>
      <w:bookmarkEnd w:id="626"/>
      <w:r w:rsidRPr="00D61F73">
        <w:rPr>
          <w:rFonts w:ascii="Arial" w:hAnsi="Arial" w:cs="Arial"/>
          <w:b/>
        </w:rPr>
        <w:t xml:space="preserve">ooper MS, Clark VP. Neuroinflammation, neuroautoimmunity, and the co-morbidities of complex regional pain syndrome. </w:t>
      </w:r>
      <w:r w:rsidRPr="00D61F73">
        <w:rPr>
          <w:rFonts w:ascii="Arial" w:hAnsi="Arial" w:cs="Arial"/>
          <w:b/>
          <w:i/>
        </w:rPr>
        <w:t>J Neuroimmune Pharmacol</w:t>
      </w:r>
      <w:r w:rsidRPr="00D61F73">
        <w:rPr>
          <w:rFonts w:ascii="Arial" w:hAnsi="Arial" w:cs="Arial"/>
          <w:b/>
        </w:rPr>
        <w:t>. 2013;8:452-69.</w:t>
      </w:r>
    </w:p>
    <w:p w14:paraId="71502D09" w14:textId="77777777" w:rsidR="008D0565" w:rsidRPr="00D61F73" w:rsidRDefault="008D0565" w:rsidP="00D61F73">
      <w:pPr>
        <w:rPr>
          <w:rFonts w:ascii="Arial" w:hAnsi="Arial" w:cs="Arial"/>
        </w:rPr>
      </w:pPr>
    </w:p>
    <w:p w14:paraId="2BDC933A" w14:textId="77777777" w:rsidR="008D0565" w:rsidRPr="00D61F73" w:rsidRDefault="008D0565" w:rsidP="00D61F73">
      <w:pPr>
        <w:rPr>
          <w:rFonts w:ascii="Arial" w:hAnsi="Arial" w:cs="Arial"/>
        </w:rPr>
      </w:pPr>
      <w:r w:rsidRPr="00D61F73">
        <w:rPr>
          <w:rFonts w:ascii="Arial" w:hAnsi="Arial" w:cs="Arial"/>
        </w:rPr>
        <w:t xml:space="preserve">PMID: </w:t>
      </w:r>
      <w:hyperlink r:id="rId351" w:history="1">
        <w:r w:rsidRPr="00D61F73">
          <w:rPr>
            <w:rStyle w:val="Hyperlink"/>
            <w:rFonts w:ascii="Arial" w:hAnsi="Arial" w:cs="Arial"/>
          </w:rPr>
          <w:t>22923151</w:t>
        </w:r>
      </w:hyperlink>
    </w:p>
    <w:p w14:paraId="4808F3B5" w14:textId="77777777" w:rsidR="008D0565" w:rsidRPr="00D61F73" w:rsidRDefault="008D0565" w:rsidP="00D61F73">
      <w:pPr>
        <w:rPr>
          <w:rFonts w:ascii="Arial" w:hAnsi="Arial" w:cs="Arial"/>
        </w:rPr>
      </w:pPr>
    </w:p>
    <w:p w14:paraId="1A7A4637" w14:textId="77777777" w:rsidR="008D0565" w:rsidRPr="00D61F73" w:rsidRDefault="008D0565" w:rsidP="00D61F73">
      <w:pPr>
        <w:rPr>
          <w:rFonts w:ascii="Arial" w:hAnsi="Arial" w:cs="Arial"/>
        </w:rPr>
      </w:pPr>
      <w:r w:rsidRPr="00D61F73">
        <w:rPr>
          <w:rFonts w:ascii="Arial" w:hAnsi="Arial" w:cs="Arial"/>
        </w:rPr>
        <w:t>Rating: 5c</w:t>
      </w:r>
    </w:p>
    <w:p w14:paraId="5FE46F3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27" w:name="Corbin"/>
      <w:bookmarkEnd w:id="627"/>
      <w:r w:rsidRPr="00D61F73">
        <w:rPr>
          <w:rFonts w:ascii="Arial" w:hAnsi="Arial" w:cs="Arial"/>
          <w:b/>
          <w:bCs/>
        </w:rPr>
        <w:t xml:space="preserve">orbin L. Safety and efficacy of massage therapy for patients with cancer. </w:t>
      </w:r>
      <w:r w:rsidRPr="00D61F73">
        <w:rPr>
          <w:rFonts w:ascii="Arial" w:hAnsi="Arial" w:cs="Arial"/>
          <w:b/>
          <w:bCs/>
          <w:i/>
          <w:iCs/>
        </w:rPr>
        <w:t>Cancer Control</w:t>
      </w:r>
      <w:r w:rsidRPr="00D61F73">
        <w:rPr>
          <w:rFonts w:ascii="Arial" w:hAnsi="Arial" w:cs="Arial"/>
          <w:b/>
          <w:bCs/>
        </w:rPr>
        <w:t>. 2005 Jul;12(3):158-64.</w:t>
      </w:r>
    </w:p>
    <w:p w14:paraId="598A8204" w14:textId="77777777" w:rsidR="008D0565" w:rsidRPr="00D61F73" w:rsidRDefault="008D0565" w:rsidP="00D61F73">
      <w:pPr>
        <w:pStyle w:val="NormalWeb"/>
        <w:spacing w:before="0" w:beforeAutospacing="0" w:after="0" w:afterAutospacing="0"/>
        <w:rPr>
          <w:rFonts w:ascii="Arial" w:hAnsi="Arial" w:cs="Arial"/>
        </w:rPr>
      </w:pPr>
    </w:p>
    <w:p w14:paraId="31AABDC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CONCLUSIONS: The strongest evidence for benefits of massage is for stress and anxiety reduction, although research for pain control and management of other symptoms common to patients with cancer, including pain, is promising. The oncologist should feel comfortable discussing massage therapy with patients and be able to refer patients to a qualified massage therapist as appropriate.</w:t>
      </w:r>
    </w:p>
    <w:p w14:paraId="7E3F4B76" w14:textId="77777777" w:rsidR="008D0565" w:rsidRPr="00D61F73" w:rsidRDefault="008D0565" w:rsidP="00D61F73">
      <w:pPr>
        <w:pStyle w:val="NormalWeb"/>
        <w:spacing w:before="0" w:beforeAutospacing="0" w:after="0" w:afterAutospacing="0"/>
        <w:rPr>
          <w:rFonts w:ascii="Arial" w:hAnsi="Arial" w:cs="Arial"/>
        </w:rPr>
      </w:pPr>
    </w:p>
    <w:p w14:paraId="5D3EFBB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52" w:history="1">
        <w:r w:rsidRPr="00D61F73">
          <w:rPr>
            <w:rStyle w:val="Hyperlink"/>
            <w:rFonts w:ascii="Arial" w:hAnsi="Arial" w:cs="Arial"/>
          </w:rPr>
          <w:t>16062163</w:t>
        </w:r>
      </w:hyperlink>
    </w:p>
    <w:p w14:paraId="544B22BF" w14:textId="77777777" w:rsidR="008D0565" w:rsidRPr="00D61F73" w:rsidRDefault="008D0565" w:rsidP="00D61F73">
      <w:pPr>
        <w:pStyle w:val="NormalWeb"/>
        <w:spacing w:before="0" w:beforeAutospacing="0" w:after="0" w:afterAutospacing="0"/>
        <w:rPr>
          <w:rFonts w:ascii="Arial" w:hAnsi="Arial" w:cs="Arial"/>
        </w:rPr>
      </w:pPr>
    </w:p>
    <w:p w14:paraId="6180EAF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29C360BF"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28" w:name="Correll"/>
      <w:bookmarkEnd w:id="628"/>
      <w:r w:rsidRPr="00D61F73">
        <w:rPr>
          <w:rFonts w:ascii="Arial" w:hAnsi="Arial" w:cs="Arial"/>
          <w:b/>
          <w:bCs/>
        </w:rPr>
        <w:t>orrell GE, Maleki J, Gracely EJ, Muir JJ, Harbut RE. Subanesthetic ketamine infusion therapy: a retrospective analysis of a novel therapeutic approach to complex regional pain syndrome. Pain Med. 2004 Sep;5(3):263-75.</w:t>
      </w:r>
    </w:p>
    <w:p w14:paraId="476356C1" w14:textId="77777777" w:rsidR="008D0565" w:rsidRPr="00D61F73" w:rsidRDefault="008D0565" w:rsidP="00D61F73">
      <w:pPr>
        <w:pStyle w:val="NormalWeb"/>
        <w:spacing w:before="0" w:beforeAutospacing="0" w:after="0" w:afterAutospacing="0"/>
        <w:rPr>
          <w:rFonts w:ascii="Arial" w:hAnsi="Arial" w:cs="Arial"/>
        </w:rPr>
      </w:pPr>
    </w:p>
    <w:p w14:paraId="4903FC0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 This retrospective review suggests that limited subanesthetic inpatient infusions of ketamine may offer a promising therapeutic option in the treatment of appropriately selected patients with intractable CRPS. More study is needed to further establish the safety and efficacy of this novel approach.</w:t>
      </w:r>
    </w:p>
    <w:p w14:paraId="38E7C706" w14:textId="77777777" w:rsidR="008D0565" w:rsidRPr="00D61F73" w:rsidRDefault="008D0565" w:rsidP="00D61F73">
      <w:pPr>
        <w:pStyle w:val="NormalWeb"/>
        <w:spacing w:before="0" w:beforeAutospacing="0" w:after="0" w:afterAutospacing="0"/>
        <w:rPr>
          <w:rFonts w:ascii="Arial" w:hAnsi="Arial" w:cs="Arial"/>
        </w:rPr>
      </w:pPr>
    </w:p>
    <w:p w14:paraId="2ECAF30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53" w:history="1">
        <w:r w:rsidRPr="00D61F73">
          <w:rPr>
            <w:rStyle w:val="Hyperlink"/>
            <w:rFonts w:ascii="Arial" w:hAnsi="Arial" w:cs="Arial"/>
          </w:rPr>
          <w:t>15367304</w:t>
        </w:r>
      </w:hyperlink>
    </w:p>
    <w:p w14:paraId="3ADAB9E0" w14:textId="77777777" w:rsidR="008D0565" w:rsidRPr="00D61F73" w:rsidRDefault="008D0565" w:rsidP="00D61F73">
      <w:pPr>
        <w:pStyle w:val="NormalWeb"/>
        <w:spacing w:before="0" w:beforeAutospacing="0" w:after="0" w:afterAutospacing="0"/>
        <w:rPr>
          <w:rFonts w:ascii="Arial" w:hAnsi="Arial" w:cs="Arial"/>
        </w:rPr>
      </w:pPr>
    </w:p>
    <w:p w14:paraId="741987C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127B19D1" w14:textId="18BB861B"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hyperlink r:id="rId354" w:history="1">
        <w:r w:rsidRPr="00D61F73">
          <w:rPr>
            <w:rStyle w:val="Hyperlink"/>
            <w:rFonts w:ascii="Arial" w:hAnsi="Arial" w:cs="Arial"/>
            <w:b/>
            <w:bCs/>
          </w:rPr>
          <w:t>C</w:t>
        </w:r>
        <w:bookmarkStart w:id="629" w:name="Cowan"/>
        <w:bookmarkEnd w:id="629"/>
        <w:r w:rsidRPr="00D61F73">
          <w:rPr>
            <w:rStyle w:val="Hyperlink"/>
            <w:rFonts w:ascii="Arial" w:hAnsi="Arial" w:cs="Arial"/>
            <w:b/>
            <w:bCs/>
          </w:rPr>
          <w:t>owan P, Kelly N. Quality Of Life Scale</w:t>
        </w:r>
      </w:hyperlink>
      <w:r w:rsidRPr="00D61F73">
        <w:rPr>
          <w:rFonts w:ascii="Arial" w:hAnsi="Arial" w:cs="Arial"/>
          <w:b/>
          <w:bCs/>
        </w:rPr>
        <w:t>, A Measure Of Function For People With Pain. The American Chronic Pain Association. 2008</w:t>
      </w:r>
    </w:p>
    <w:p w14:paraId="179A1AB4" w14:textId="77777777" w:rsidR="008D0565" w:rsidRPr="00D61F73" w:rsidRDefault="008D0565" w:rsidP="00D61F73">
      <w:pPr>
        <w:pStyle w:val="NormalWeb"/>
        <w:spacing w:before="0" w:beforeAutospacing="0" w:after="0" w:afterAutospacing="0"/>
        <w:rPr>
          <w:rFonts w:ascii="Arial" w:hAnsi="Arial" w:cs="Arial"/>
        </w:rPr>
      </w:pPr>
    </w:p>
    <w:p w14:paraId="0DFF329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American Chronic Pain Association has developed a Quality of Life Scale. It is a self-assessment of function for people with pain. </w:t>
      </w:r>
    </w:p>
    <w:p w14:paraId="1243FA50" w14:textId="77777777" w:rsidR="008D0565" w:rsidRPr="00D61F73" w:rsidRDefault="008D0565" w:rsidP="00D61F73">
      <w:pPr>
        <w:pStyle w:val="NormalWeb"/>
        <w:spacing w:before="0" w:beforeAutospacing="0" w:after="0" w:afterAutospacing="0"/>
        <w:rPr>
          <w:rFonts w:ascii="Arial" w:hAnsi="Arial" w:cs="Arial"/>
        </w:rPr>
      </w:pPr>
    </w:p>
    <w:p w14:paraId="54E6786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8b</w:t>
      </w:r>
    </w:p>
    <w:p w14:paraId="28A6AB4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30" w:name="Crane2012"/>
      <w:bookmarkEnd w:id="630"/>
      <w:r w:rsidRPr="00D61F73">
        <w:rPr>
          <w:rFonts w:ascii="Arial" w:hAnsi="Arial" w:cs="Arial"/>
          <w:b/>
          <w:bCs/>
        </w:rPr>
        <w:t xml:space="preserve">rane JD, Ogborn DI, Cupido C, Melov S, Hubbard A, Bourgeois JM, Tarnopolsky MA. Massage therapy attenuates inflammatory signaling after exercise-induced muscle damage. </w:t>
      </w:r>
      <w:r w:rsidRPr="00D61F73">
        <w:rPr>
          <w:rFonts w:ascii="Arial" w:hAnsi="Arial" w:cs="Arial"/>
          <w:b/>
          <w:bCs/>
          <w:i/>
          <w:iCs/>
        </w:rPr>
        <w:t>Sci Transl Med.</w:t>
      </w:r>
      <w:r w:rsidRPr="00D61F73">
        <w:rPr>
          <w:rFonts w:ascii="Arial" w:hAnsi="Arial" w:cs="Arial"/>
          <w:b/>
          <w:bCs/>
        </w:rPr>
        <w:t xml:space="preserve"> 2012 Feb 1;4(119):119ra13.</w:t>
      </w:r>
    </w:p>
    <w:p w14:paraId="1D0515FD" w14:textId="77777777" w:rsidR="008D0565" w:rsidRPr="00D61F73" w:rsidRDefault="008D0565" w:rsidP="00D61F73">
      <w:pPr>
        <w:rPr>
          <w:rFonts w:ascii="Arial" w:hAnsi="Arial" w:cs="Arial"/>
        </w:rPr>
      </w:pPr>
    </w:p>
    <w:p w14:paraId="67294CEB" w14:textId="77777777" w:rsidR="008D0565" w:rsidRPr="00D61F73" w:rsidRDefault="008D0565" w:rsidP="00D61F73">
      <w:pPr>
        <w:rPr>
          <w:rFonts w:ascii="Arial" w:hAnsi="Arial" w:cs="Arial"/>
        </w:rPr>
      </w:pPr>
      <w:r w:rsidRPr="00D61F73">
        <w:rPr>
          <w:rFonts w:ascii="Arial" w:hAnsi="Arial" w:cs="Arial"/>
        </w:rPr>
        <w:t>In summary, when administered to skeletal muscle that has been acutely damaged through exercise, massage therapy appears to be clinically beneficial by reducing inflammation and promoting mitochondrial biogenesis.</w:t>
      </w:r>
    </w:p>
    <w:p w14:paraId="3678D48C" w14:textId="77777777" w:rsidR="008D0565" w:rsidRPr="00D61F73" w:rsidRDefault="008D0565" w:rsidP="00D61F73">
      <w:pPr>
        <w:rPr>
          <w:rFonts w:ascii="Arial" w:hAnsi="Arial" w:cs="Arial"/>
        </w:rPr>
      </w:pPr>
    </w:p>
    <w:p w14:paraId="547EDE64" w14:textId="77777777" w:rsidR="008D0565" w:rsidRPr="00D61F73" w:rsidRDefault="008D0565" w:rsidP="00D61F73">
      <w:pPr>
        <w:rPr>
          <w:rFonts w:ascii="Arial" w:hAnsi="Arial" w:cs="Arial"/>
        </w:rPr>
      </w:pPr>
      <w:r w:rsidRPr="00D61F73">
        <w:rPr>
          <w:rFonts w:ascii="Arial" w:hAnsi="Arial" w:cs="Arial"/>
        </w:rPr>
        <w:t xml:space="preserve">PMID: </w:t>
      </w:r>
      <w:hyperlink r:id="rId355" w:history="1">
        <w:r w:rsidRPr="00D61F73">
          <w:rPr>
            <w:rStyle w:val="Hyperlink"/>
            <w:rFonts w:ascii="Arial" w:hAnsi="Arial" w:cs="Arial"/>
          </w:rPr>
          <w:t>22301554</w:t>
        </w:r>
      </w:hyperlink>
      <w:r w:rsidRPr="00D61F73">
        <w:rPr>
          <w:rFonts w:ascii="Arial" w:hAnsi="Arial" w:cs="Arial"/>
        </w:rPr>
        <w:t xml:space="preserve"> </w:t>
      </w:r>
    </w:p>
    <w:p w14:paraId="222692DF" w14:textId="77777777" w:rsidR="008D0565" w:rsidRPr="00D61F73" w:rsidRDefault="008D0565" w:rsidP="00D61F73">
      <w:pPr>
        <w:rPr>
          <w:rFonts w:ascii="Arial" w:hAnsi="Arial" w:cs="Arial"/>
        </w:rPr>
      </w:pPr>
    </w:p>
    <w:p w14:paraId="3CDD481C" w14:textId="77777777" w:rsidR="008D0565" w:rsidRPr="00D61F73" w:rsidRDefault="008D0565" w:rsidP="00D61F73">
      <w:pPr>
        <w:rPr>
          <w:rFonts w:ascii="Arial" w:hAnsi="Arial" w:cs="Arial"/>
        </w:rPr>
      </w:pPr>
      <w:r w:rsidRPr="00D61F73">
        <w:rPr>
          <w:rFonts w:ascii="Arial" w:hAnsi="Arial" w:cs="Arial"/>
        </w:rPr>
        <w:t>Rating: 3c</w:t>
      </w:r>
    </w:p>
    <w:p w14:paraId="10241E8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31" w:name="Crisostomo"/>
      <w:bookmarkEnd w:id="631"/>
      <w:r w:rsidRPr="00D61F73">
        <w:rPr>
          <w:rFonts w:ascii="Arial" w:hAnsi="Arial" w:cs="Arial"/>
          <w:b/>
          <w:bCs/>
        </w:rPr>
        <w:t xml:space="preserve">risostomo RA, Schmidt JE, Hooten WM, Kerkvliet JL, Townsend CO, Bruce BK. Withdrawal of analgesic medication for chronic low-back pain patients: improvement in outcomes of multidisciplinary rehabilitation regardless of surgical history. </w:t>
      </w:r>
      <w:r w:rsidRPr="00D61F73">
        <w:rPr>
          <w:rFonts w:ascii="Arial" w:hAnsi="Arial" w:cs="Arial"/>
          <w:b/>
          <w:bCs/>
          <w:i/>
        </w:rPr>
        <w:t>Am J Phys Med Rehabil</w:t>
      </w:r>
      <w:r w:rsidRPr="00D61F73">
        <w:rPr>
          <w:rFonts w:ascii="Arial" w:hAnsi="Arial" w:cs="Arial"/>
          <w:b/>
          <w:bCs/>
        </w:rPr>
        <w:t>. 2008;87:527-36.</w:t>
      </w:r>
    </w:p>
    <w:p w14:paraId="54B32DE1" w14:textId="77777777" w:rsidR="008D0565" w:rsidRPr="00D61F73" w:rsidRDefault="008D0565" w:rsidP="00D61F73">
      <w:pPr>
        <w:rPr>
          <w:rFonts w:ascii="Arial" w:hAnsi="Arial" w:cs="Arial"/>
          <w:bCs/>
        </w:rPr>
      </w:pPr>
    </w:p>
    <w:p w14:paraId="78F3E39B" w14:textId="77777777" w:rsidR="008D0565" w:rsidRPr="00D61F73" w:rsidRDefault="008D0565" w:rsidP="00D61F73">
      <w:pPr>
        <w:rPr>
          <w:rFonts w:ascii="Arial" w:hAnsi="Arial" w:cs="Arial"/>
          <w:bCs/>
        </w:rPr>
      </w:pPr>
      <w:r w:rsidRPr="00D61F73">
        <w:rPr>
          <w:rFonts w:ascii="Arial" w:hAnsi="Arial" w:cs="Arial"/>
          <w:bCs/>
        </w:rPr>
        <w:t>CONCLUSIONS: Study results demonstrate that multidisciplinary pain rehabilitation treatment incorporating analgesic medication withdrawal is associated with significant clinical improvements in physical and emotional functioning, regardless of lumbar spine surgical history.</w:t>
      </w:r>
    </w:p>
    <w:p w14:paraId="3F6FAD77" w14:textId="77777777" w:rsidR="008D0565" w:rsidRPr="00D61F73" w:rsidRDefault="008D0565" w:rsidP="00D61F73">
      <w:pPr>
        <w:rPr>
          <w:rFonts w:ascii="Arial" w:hAnsi="Arial" w:cs="Arial"/>
          <w:bCs/>
        </w:rPr>
      </w:pPr>
    </w:p>
    <w:p w14:paraId="3A5E8752" w14:textId="77777777" w:rsidR="008D0565" w:rsidRPr="00D61F73" w:rsidRDefault="008D0565" w:rsidP="00D61F73">
      <w:pPr>
        <w:rPr>
          <w:rFonts w:ascii="Arial" w:hAnsi="Arial" w:cs="Arial"/>
          <w:bCs/>
        </w:rPr>
      </w:pPr>
      <w:r w:rsidRPr="00D61F73">
        <w:rPr>
          <w:rFonts w:ascii="Arial" w:hAnsi="Arial" w:cs="Arial"/>
          <w:bCs/>
        </w:rPr>
        <w:t xml:space="preserve">PMID: </w:t>
      </w:r>
      <w:hyperlink r:id="rId356" w:history="1">
        <w:r w:rsidRPr="00D61F73">
          <w:rPr>
            <w:rStyle w:val="Hyperlink"/>
            <w:rFonts w:ascii="Arial" w:hAnsi="Arial" w:cs="Arial"/>
            <w:bCs/>
          </w:rPr>
          <w:t>18574345</w:t>
        </w:r>
      </w:hyperlink>
    </w:p>
    <w:p w14:paraId="577A2D81" w14:textId="77777777" w:rsidR="008D0565" w:rsidRPr="00D61F73" w:rsidRDefault="008D0565" w:rsidP="00D61F73">
      <w:pPr>
        <w:rPr>
          <w:rFonts w:ascii="Arial" w:hAnsi="Arial" w:cs="Arial"/>
          <w:bCs/>
        </w:rPr>
      </w:pPr>
    </w:p>
    <w:p w14:paraId="05308A1B" w14:textId="77777777" w:rsidR="008D0565" w:rsidRPr="00D61F73" w:rsidRDefault="008D0565" w:rsidP="00D61F73">
      <w:pPr>
        <w:rPr>
          <w:rFonts w:ascii="Arial" w:hAnsi="Arial" w:cs="Arial"/>
          <w:bCs/>
        </w:rPr>
      </w:pPr>
      <w:r w:rsidRPr="00D61F73">
        <w:rPr>
          <w:rFonts w:ascii="Arial" w:hAnsi="Arial" w:cs="Arial"/>
          <w:bCs/>
        </w:rPr>
        <w:t>Rating: 3c</w:t>
      </w:r>
    </w:p>
    <w:p w14:paraId="322ED1ED" w14:textId="77777777" w:rsidR="008D0565" w:rsidRPr="00D61F73" w:rsidRDefault="008D0565" w:rsidP="00D61F73">
      <w:pPr>
        <w:rPr>
          <w:rFonts w:ascii="Arial" w:hAnsi="Arial" w:cs="Arial"/>
        </w:rPr>
      </w:pPr>
    </w:p>
    <w:p w14:paraId="493839B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Note: The CI of 1.0 for return to work indicates a trend only.</w:t>
      </w:r>
    </w:p>
    <w:p w14:paraId="0D0A889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C</w:t>
      </w:r>
      <w:bookmarkStart w:id="632" w:name="Croce"/>
      <w:bookmarkEnd w:id="632"/>
      <w:r w:rsidRPr="00D61F73">
        <w:rPr>
          <w:rFonts w:ascii="Arial" w:hAnsi="Arial" w:cs="Arial"/>
          <w:b/>
          <w:bCs/>
        </w:rPr>
        <w:t xml:space="preserve">roce RV. The effects of EMG biofeedback on strength acquisition. </w:t>
      </w:r>
      <w:r w:rsidRPr="00D61F73">
        <w:rPr>
          <w:rFonts w:ascii="Arial" w:hAnsi="Arial" w:cs="Arial"/>
          <w:b/>
          <w:bCs/>
          <w:i/>
          <w:iCs/>
        </w:rPr>
        <w:t>Biofeedback Self Regul</w:t>
      </w:r>
      <w:r w:rsidRPr="00D61F73">
        <w:rPr>
          <w:rFonts w:ascii="Arial" w:hAnsi="Arial" w:cs="Arial"/>
          <w:b/>
          <w:bCs/>
        </w:rPr>
        <w:t>. 1986 Dec;11(4):299-310.</w:t>
      </w:r>
    </w:p>
    <w:p w14:paraId="68277075" w14:textId="77777777" w:rsidR="008D0565" w:rsidRPr="00D61F73" w:rsidRDefault="008D0565" w:rsidP="00D61F73">
      <w:pPr>
        <w:pStyle w:val="NormalWeb"/>
        <w:spacing w:before="0" w:beforeAutospacing="0" w:after="0" w:afterAutospacing="0"/>
        <w:rPr>
          <w:rFonts w:ascii="Arial" w:hAnsi="Arial" w:cs="Arial"/>
        </w:rPr>
      </w:pPr>
    </w:p>
    <w:p w14:paraId="4C1223A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Twenty-one male volunteers recruited from physical education classes at a large southwestern university were randomly assigned to one of the following three treatment groups: (1) a biofeedback (BF) trained group, (2) a deception (DEC) trained group, and (3) a nonfeedback (NF) trained group. Overall, these results were taken as supporting the hypothesis that a training program of combined isokinetics and EMG biofeedback produces significant gains in maximal force and IEMG activity of leg-extensor muscles.</w:t>
      </w:r>
    </w:p>
    <w:p w14:paraId="6EEE8DC4" w14:textId="77777777" w:rsidR="008D0565" w:rsidRPr="00D61F73" w:rsidRDefault="008D0565" w:rsidP="00D61F73">
      <w:pPr>
        <w:pStyle w:val="NormalWeb"/>
        <w:spacing w:before="0" w:beforeAutospacing="0" w:after="0" w:afterAutospacing="0"/>
        <w:rPr>
          <w:rFonts w:ascii="Arial" w:hAnsi="Arial" w:cs="Arial"/>
        </w:rPr>
      </w:pPr>
    </w:p>
    <w:p w14:paraId="50C178B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57" w:history="1">
        <w:r w:rsidRPr="00D61F73">
          <w:rPr>
            <w:rStyle w:val="Hyperlink"/>
            <w:rFonts w:ascii="Arial" w:hAnsi="Arial" w:cs="Arial"/>
          </w:rPr>
          <w:t>3607096</w:t>
        </w:r>
      </w:hyperlink>
    </w:p>
    <w:p w14:paraId="2940B629" w14:textId="77777777" w:rsidR="008D0565" w:rsidRPr="00D61F73" w:rsidRDefault="008D0565" w:rsidP="00D61F73">
      <w:pPr>
        <w:pStyle w:val="NormalWeb"/>
        <w:spacing w:before="0" w:beforeAutospacing="0" w:after="0" w:afterAutospacing="0"/>
        <w:rPr>
          <w:rFonts w:ascii="Arial" w:hAnsi="Arial" w:cs="Arial"/>
        </w:rPr>
      </w:pPr>
    </w:p>
    <w:p w14:paraId="329906C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33A5EFD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C</w:t>
      </w:r>
      <w:bookmarkStart w:id="633" w:name="Crofford"/>
      <w:bookmarkEnd w:id="633"/>
      <w:r w:rsidRPr="00D61F73">
        <w:rPr>
          <w:rFonts w:ascii="Arial" w:hAnsi="Arial" w:cs="Arial"/>
          <w:b/>
        </w:rPr>
        <w:t xml:space="preserve">rofford LJ, Rowbotham MC, Mease PJ, Russell IJ, Dworkin RH, Corbin AE, Young JP Jr, LaMoreaux LK, Martin SA, Sharma U; Pregabalin 1008-105 Study Group. Pregabalin for the treatment of fibromyalgia syndrome: results of a randomized, double-blind, placebo-controlled trial. </w:t>
      </w:r>
      <w:r w:rsidRPr="00D61F73">
        <w:rPr>
          <w:rFonts w:ascii="Arial" w:hAnsi="Arial" w:cs="Arial"/>
          <w:b/>
          <w:i/>
        </w:rPr>
        <w:t>Arthritis Rheum</w:t>
      </w:r>
      <w:r w:rsidRPr="00D61F73">
        <w:rPr>
          <w:rFonts w:ascii="Arial" w:hAnsi="Arial" w:cs="Arial"/>
          <w:b/>
        </w:rPr>
        <w:t xml:space="preserve">. 2005;52:1264-73. </w:t>
      </w:r>
    </w:p>
    <w:p w14:paraId="7FEFB684" w14:textId="77777777" w:rsidR="008D0565" w:rsidRPr="00D61F73" w:rsidRDefault="008D0565" w:rsidP="00D61F73">
      <w:pPr>
        <w:rPr>
          <w:rFonts w:ascii="Arial" w:hAnsi="Arial" w:cs="Arial"/>
        </w:rPr>
      </w:pPr>
    </w:p>
    <w:p w14:paraId="2A39DFDD" w14:textId="77777777" w:rsidR="008D0565" w:rsidRPr="00D61F73" w:rsidRDefault="008D0565" w:rsidP="00D61F73">
      <w:pPr>
        <w:rPr>
          <w:rFonts w:ascii="Arial" w:hAnsi="Arial" w:cs="Arial"/>
        </w:rPr>
      </w:pPr>
      <w:r w:rsidRPr="00D61F73">
        <w:rPr>
          <w:rFonts w:ascii="Arial" w:hAnsi="Arial" w:cs="Arial"/>
        </w:rPr>
        <w:t>CONCLUSION: Pregabalin at 450 mg/day was efficacious for the treatment of FMS, reducing symptoms of pain, disturbed sleep, and fatigue compared with placebo. Pregabalin was well tolerated and improved global measures and health-related quality of life.</w:t>
      </w:r>
      <w:r w:rsidRPr="00D61F73">
        <w:rPr>
          <w:rFonts w:ascii="Arial" w:hAnsi="Arial" w:cs="Arial"/>
        </w:rPr>
        <w:cr/>
      </w:r>
    </w:p>
    <w:p w14:paraId="094DE925" w14:textId="77777777" w:rsidR="008D0565" w:rsidRPr="00D61F73" w:rsidRDefault="008D0565" w:rsidP="00D61F73">
      <w:pPr>
        <w:rPr>
          <w:rFonts w:ascii="Arial" w:hAnsi="Arial" w:cs="Arial"/>
          <w:b/>
        </w:rPr>
      </w:pPr>
      <w:r w:rsidRPr="00D61F73">
        <w:rPr>
          <w:rFonts w:ascii="Arial" w:hAnsi="Arial" w:cs="Arial"/>
        </w:rPr>
        <w:t xml:space="preserve">PMID: </w:t>
      </w:r>
      <w:hyperlink r:id="rId358" w:history="1">
        <w:r w:rsidRPr="00D61F73">
          <w:rPr>
            <w:rStyle w:val="Hyperlink"/>
            <w:rFonts w:ascii="Arial" w:hAnsi="Arial" w:cs="Arial"/>
          </w:rPr>
          <w:t>15818684</w:t>
        </w:r>
      </w:hyperlink>
      <w:r w:rsidRPr="00D61F73">
        <w:rPr>
          <w:rFonts w:ascii="Arial" w:hAnsi="Arial" w:cs="Arial"/>
          <w:b/>
        </w:rPr>
        <w:t xml:space="preserve"> </w:t>
      </w:r>
    </w:p>
    <w:p w14:paraId="0CF5EB57" w14:textId="77777777" w:rsidR="008D0565" w:rsidRPr="00D61F73" w:rsidRDefault="008D0565" w:rsidP="00D61F73">
      <w:pPr>
        <w:rPr>
          <w:rFonts w:ascii="Arial" w:hAnsi="Arial" w:cs="Arial"/>
          <w:b/>
        </w:rPr>
      </w:pPr>
    </w:p>
    <w:p w14:paraId="5152133D" w14:textId="77777777" w:rsidR="008D0565" w:rsidRPr="00D61F73" w:rsidRDefault="008D0565" w:rsidP="00D61F73">
      <w:pPr>
        <w:pStyle w:val="NormalWeb"/>
        <w:spacing w:before="0" w:beforeAutospacing="0" w:after="0" w:afterAutospacing="0"/>
        <w:rPr>
          <w:rFonts w:ascii="Arial" w:hAnsi="Arial" w:cs="Arial"/>
          <w:color w:val="000000"/>
        </w:rPr>
      </w:pPr>
      <w:r w:rsidRPr="00D61F73">
        <w:rPr>
          <w:rFonts w:ascii="Arial" w:hAnsi="Arial" w:cs="Arial"/>
          <w:color w:val="000000"/>
        </w:rPr>
        <w:t>Rating: 2b</w:t>
      </w:r>
    </w:p>
    <w:p w14:paraId="54B8F28F"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br w:type="page"/>
      </w:r>
      <w:bookmarkStart w:id="634" w:name="Cruz2011"/>
      <w:bookmarkEnd w:id="634"/>
      <w:r w:rsidRPr="00D61F73">
        <w:rPr>
          <w:rFonts w:ascii="Arial" w:hAnsi="Arial" w:cs="Arial"/>
          <w:b/>
          <w:bCs/>
        </w:rPr>
        <w:lastRenderedPageBreak/>
        <w:t>Cruz F, Herschorn S, Aliotta P, Brin M, Thompson C, Lam W, Daniell G, Heesakkers J, Haag-Molkenteller C. Efficacy and safety of onabotulinumtoxinA in patients with urinary incontinence due to neurogenic detrusor overactivity: a randomised, double-blind, placebo-controlled trial. </w:t>
      </w:r>
      <w:r w:rsidRPr="00D61F73">
        <w:rPr>
          <w:rFonts w:ascii="Arial" w:hAnsi="Arial" w:cs="Arial"/>
          <w:b/>
          <w:bCs/>
          <w:i/>
          <w:iCs/>
        </w:rPr>
        <w:t>Eur Urol</w:t>
      </w:r>
      <w:r w:rsidRPr="00D61F73">
        <w:rPr>
          <w:rFonts w:ascii="Arial" w:hAnsi="Arial" w:cs="Arial"/>
          <w:b/>
          <w:bCs/>
        </w:rPr>
        <w:t>. 2011 Oct;60(4):742-50</w:t>
      </w:r>
      <w:r w:rsidRPr="00D61F73">
        <w:rPr>
          <w:rFonts w:ascii="Arial" w:hAnsi="Arial" w:cs="Arial"/>
          <w:b/>
        </w:rPr>
        <w:t>.</w:t>
      </w:r>
    </w:p>
    <w:p w14:paraId="563E4B43"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t> </w:t>
      </w:r>
    </w:p>
    <w:p w14:paraId="2EDA3816"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t>OnabotulinumtoxinA significantly reduced UI and improved urodynamics and QOL in MS and SCI patients with NDO.</w:t>
      </w:r>
    </w:p>
    <w:p w14:paraId="04A6694E"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t> </w:t>
      </w:r>
    </w:p>
    <w:p w14:paraId="7F22897C"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t>PMID: </w:t>
      </w:r>
      <w:hyperlink r:id="rId359" w:history="1">
        <w:r w:rsidRPr="00D61F73">
          <w:rPr>
            <w:rStyle w:val="Hyperlink"/>
            <w:rFonts w:ascii="Arial" w:hAnsi="Arial" w:cs="Arial"/>
          </w:rPr>
          <w:t>21798658</w:t>
        </w:r>
      </w:hyperlink>
    </w:p>
    <w:p w14:paraId="6B014411"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t> </w:t>
      </w:r>
    </w:p>
    <w:p w14:paraId="2A9D4147" w14:textId="77777777" w:rsidR="00B05BE8" w:rsidRPr="00D61F73" w:rsidRDefault="00B05BE8" w:rsidP="00D61F73">
      <w:pPr>
        <w:pStyle w:val="NormalWeb"/>
        <w:spacing w:before="0" w:beforeAutospacing="0" w:after="0" w:afterAutospacing="0"/>
        <w:rPr>
          <w:rFonts w:ascii="Arial" w:hAnsi="Arial" w:cs="Arial"/>
        </w:rPr>
      </w:pPr>
      <w:r w:rsidRPr="00D61F73">
        <w:rPr>
          <w:rFonts w:ascii="Arial" w:hAnsi="Arial" w:cs="Arial"/>
        </w:rPr>
        <w:t>Rating: 2b</w:t>
      </w:r>
    </w:p>
    <w:p w14:paraId="6DDE196E"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C</w:t>
      </w:r>
      <w:bookmarkStart w:id="635" w:name="Cummings"/>
      <w:bookmarkEnd w:id="635"/>
      <w:r w:rsidRPr="00D61F73">
        <w:rPr>
          <w:rFonts w:ascii="Arial" w:hAnsi="Arial" w:cs="Arial"/>
          <w:b/>
        </w:rPr>
        <w:t xml:space="preserve">ummings TM, White AR. Needling therapies in the management of myofascial trigger point pain: a systematic review. </w:t>
      </w:r>
      <w:r w:rsidRPr="00D61F73">
        <w:rPr>
          <w:rFonts w:ascii="Arial" w:hAnsi="Arial" w:cs="Arial"/>
          <w:b/>
          <w:i/>
        </w:rPr>
        <w:t>Arch Phys Med Rehabil</w:t>
      </w:r>
      <w:r w:rsidRPr="00D61F73">
        <w:rPr>
          <w:rFonts w:ascii="Arial" w:hAnsi="Arial" w:cs="Arial"/>
          <w:b/>
        </w:rPr>
        <w:t>. 2001;82:986-92.</w:t>
      </w:r>
    </w:p>
    <w:p w14:paraId="7C828C97" w14:textId="77777777" w:rsidR="008D0565" w:rsidRPr="00D61F73" w:rsidRDefault="008D0565" w:rsidP="00D61F73">
      <w:pPr>
        <w:rPr>
          <w:rFonts w:ascii="Arial" w:hAnsi="Arial" w:cs="Arial"/>
          <w:b/>
        </w:rPr>
      </w:pPr>
    </w:p>
    <w:p w14:paraId="375871F8" w14:textId="77777777" w:rsidR="008D0565" w:rsidRPr="00D61F73" w:rsidRDefault="008D0565" w:rsidP="00D61F73">
      <w:pPr>
        <w:rPr>
          <w:rFonts w:ascii="Arial" w:hAnsi="Arial" w:cs="Arial"/>
        </w:rPr>
      </w:pPr>
      <w:r w:rsidRPr="00D61F73">
        <w:rPr>
          <w:rFonts w:ascii="Arial" w:hAnsi="Arial" w:cs="Arial"/>
        </w:rPr>
        <w:t xml:space="preserve">PMID: </w:t>
      </w:r>
      <w:hyperlink r:id="rId360" w:history="1">
        <w:r w:rsidRPr="00D61F73">
          <w:rPr>
            <w:rStyle w:val="Hyperlink"/>
            <w:rFonts w:ascii="Arial" w:hAnsi="Arial" w:cs="Arial"/>
          </w:rPr>
          <w:t>11441390</w:t>
        </w:r>
      </w:hyperlink>
    </w:p>
    <w:p w14:paraId="57190D56" w14:textId="77777777" w:rsidR="008D0565" w:rsidRPr="00D61F73" w:rsidRDefault="008D0565" w:rsidP="00D61F73">
      <w:pPr>
        <w:rPr>
          <w:rFonts w:ascii="Arial" w:hAnsi="Arial" w:cs="Arial"/>
        </w:rPr>
      </w:pPr>
    </w:p>
    <w:p w14:paraId="772178B3" w14:textId="77777777" w:rsidR="008D0565" w:rsidRPr="00D61F73" w:rsidRDefault="008D0565" w:rsidP="00D61F73">
      <w:pPr>
        <w:rPr>
          <w:rFonts w:ascii="Arial" w:hAnsi="Arial" w:cs="Arial"/>
        </w:rPr>
      </w:pPr>
      <w:r w:rsidRPr="00D61F73">
        <w:rPr>
          <w:rFonts w:ascii="Arial" w:hAnsi="Arial" w:cs="Arial"/>
        </w:rPr>
        <w:t>Rating: 1b</w:t>
      </w:r>
    </w:p>
    <w:p w14:paraId="5A2070C6" w14:textId="77777777" w:rsidR="008D0565" w:rsidRPr="00D61F73" w:rsidRDefault="004C4FDB" w:rsidP="00D61F73">
      <w:pPr>
        <w:rPr>
          <w:rFonts w:ascii="Arial" w:hAnsi="Arial" w:cs="Arial"/>
          <w:b/>
        </w:rPr>
      </w:pPr>
      <w:r w:rsidRPr="00D61F73">
        <w:rPr>
          <w:rFonts w:ascii="Arial" w:hAnsi="Arial" w:cs="Arial"/>
        </w:rPr>
        <w:br w:type="page"/>
      </w:r>
      <w:r w:rsidR="008D0565" w:rsidRPr="00D61F73">
        <w:rPr>
          <w:rFonts w:ascii="Arial" w:hAnsi="Arial" w:cs="Arial"/>
          <w:b/>
        </w:rPr>
        <w:lastRenderedPageBreak/>
        <w:t>D</w:t>
      </w:r>
      <w:bookmarkStart w:id="636" w:name="Daniell"/>
      <w:bookmarkEnd w:id="636"/>
      <w:r w:rsidR="008D0565" w:rsidRPr="00D61F73">
        <w:rPr>
          <w:rFonts w:ascii="Arial" w:hAnsi="Arial" w:cs="Arial"/>
          <w:b/>
        </w:rPr>
        <w:t xml:space="preserve">aniell HW, Lentz R, Mazer NA. Open-label pilot study of testosterone patch therapy in men with opioid-induced androgen deficiency. </w:t>
      </w:r>
      <w:r w:rsidR="008D0565" w:rsidRPr="00D61F73">
        <w:rPr>
          <w:rFonts w:ascii="Arial" w:hAnsi="Arial" w:cs="Arial"/>
          <w:b/>
          <w:i/>
        </w:rPr>
        <w:t>J Pain</w:t>
      </w:r>
      <w:r w:rsidR="008D0565" w:rsidRPr="00D61F73">
        <w:rPr>
          <w:rFonts w:ascii="Arial" w:hAnsi="Arial" w:cs="Arial"/>
          <w:b/>
        </w:rPr>
        <w:t xml:space="preserve">. 2006;7:200-10. </w:t>
      </w:r>
    </w:p>
    <w:p w14:paraId="29933E9D" w14:textId="77777777" w:rsidR="008D0565" w:rsidRPr="00D61F73" w:rsidRDefault="008D0565" w:rsidP="00D61F73">
      <w:pPr>
        <w:rPr>
          <w:rFonts w:ascii="Arial" w:hAnsi="Arial" w:cs="Arial"/>
        </w:rPr>
      </w:pPr>
    </w:p>
    <w:p w14:paraId="10D5C8FB" w14:textId="77777777" w:rsidR="008D0565" w:rsidRPr="00D61F73" w:rsidRDefault="008D0565" w:rsidP="00D61F73">
      <w:pPr>
        <w:rPr>
          <w:rFonts w:ascii="Arial" w:hAnsi="Arial" w:cs="Arial"/>
        </w:rPr>
      </w:pPr>
      <w:r w:rsidRPr="00D61F73">
        <w:rPr>
          <w:rFonts w:ascii="Arial" w:hAnsi="Arial" w:cs="Arial"/>
        </w:rPr>
        <w:t xml:space="preserve">PMID: </w:t>
      </w:r>
      <w:hyperlink r:id="rId361" w:history="1">
        <w:r w:rsidRPr="00D61F73">
          <w:rPr>
            <w:rStyle w:val="Hyperlink"/>
            <w:rFonts w:ascii="Arial" w:hAnsi="Arial" w:cs="Arial"/>
          </w:rPr>
          <w:t>16516826</w:t>
        </w:r>
      </w:hyperlink>
      <w:r w:rsidRPr="00D61F73">
        <w:rPr>
          <w:rFonts w:ascii="Arial" w:hAnsi="Arial" w:cs="Arial"/>
        </w:rPr>
        <w:t xml:space="preserve"> </w:t>
      </w:r>
    </w:p>
    <w:p w14:paraId="748C04A5" w14:textId="77777777" w:rsidR="008D0565" w:rsidRPr="00D61F73" w:rsidRDefault="008D0565" w:rsidP="00D61F73">
      <w:pPr>
        <w:rPr>
          <w:rFonts w:ascii="Arial" w:hAnsi="Arial" w:cs="Arial"/>
        </w:rPr>
      </w:pPr>
    </w:p>
    <w:p w14:paraId="3A9B2860" w14:textId="77777777" w:rsidR="008D0565" w:rsidRPr="00D61F73" w:rsidRDefault="008D0565" w:rsidP="00D61F73">
      <w:pPr>
        <w:rPr>
          <w:rFonts w:ascii="Arial" w:hAnsi="Arial" w:cs="Arial"/>
        </w:rPr>
      </w:pPr>
      <w:r w:rsidRPr="00D61F73">
        <w:rPr>
          <w:rFonts w:ascii="Arial" w:hAnsi="Arial" w:cs="Arial"/>
        </w:rPr>
        <w:t>Rating: 4c</w:t>
      </w:r>
    </w:p>
    <w:p w14:paraId="6D68BD38" w14:textId="77777777" w:rsidR="008D0565" w:rsidRPr="00D61F73" w:rsidRDefault="008D0565" w:rsidP="00D61F73">
      <w:pPr>
        <w:rPr>
          <w:rFonts w:ascii="Arial" w:hAnsi="Arial" w:cs="Arial"/>
          <w:b/>
          <w:bCs/>
          <w:color w:val="auto"/>
        </w:rPr>
      </w:pPr>
      <w:r w:rsidRPr="00D61F73">
        <w:rPr>
          <w:rFonts w:ascii="Arial" w:hAnsi="Arial" w:cs="Arial"/>
        </w:rPr>
        <w:br w:type="page"/>
      </w:r>
      <w:r w:rsidRPr="00D61F73">
        <w:rPr>
          <w:rFonts w:ascii="Arial" w:hAnsi="Arial" w:cs="Arial"/>
          <w:b/>
          <w:bCs/>
        </w:rPr>
        <w:lastRenderedPageBreak/>
        <w:t>D</w:t>
      </w:r>
      <w:bookmarkStart w:id="637" w:name="Daniels2009"/>
      <w:bookmarkEnd w:id="637"/>
      <w:r w:rsidRPr="00D61F73">
        <w:rPr>
          <w:rFonts w:ascii="Arial" w:hAnsi="Arial" w:cs="Arial"/>
          <w:b/>
          <w:bCs/>
        </w:rPr>
        <w:t xml:space="preserve">aniels S, Casson E, Stegmann JU, Oh C, Okamoto A, Rauschkolb C, Upmalis D. A randomized, double-blind, placebo-controlled phase 3 study of the relative efficacy and tolerability of tapentadol IR and oxycodone IR for acute pain. </w:t>
      </w:r>
      <w:r w:rsidRPr="00D61F73">
        <w:rPr>
          <w:rFonts w:ascii="Arial" w:hAnsi="Arial" w:cs="Arial"/>
          <w:b/>
          <w:bCs/>
          <w:i/>
          <w:iCs/>
        </w:rPr>
        <w:t>Curr Med Res Opin</w:t>
      </w:r>
      <w:r w:rsidRPr="00D61F73">
        <w:rPr>
          <w:rFonts w:ascii="Arial" w:hAnsi="Arial" w:cs="Arial"/>
          <w:b/>
          <w:bCs/>
        </w:rPr>
        <w:t>. 2009 Jun;25(6):1551-61.</w:t>
      </w:r>
    </w:p>
    <w:p w14:paraId="662FFF15" w14:textId="77777777" w:rsidR="008D0565" w:rsidRPr="00D61F73" w:rsidRDefault="008D0565" w:rsidP="00D61F73">
      <w:pPr>
        <w:rPr>
          <w:rFonts w:ascii="Arial" w:hAnsi="Arial" w:cs="Arial"/>
        </w:rPr>
      </w:pPr>
    </w:p>
    <w:p w14:paraId="5A59BEA4" w14:textId="77777777" w:rsidR="008D0565" w:rsidRPr="00D61F73" w:rsidRDefault="008D0565" w:rsidP="00D61F73">
      <w:pPr>
        <w:rPr>
          <w:rFonts w:ascii="Arial" w:hAnsi="Arial" w:cs="Arial"/>
        </w:rPr>
      </w:pPr>
      <w:r w:rsidRPr="00D61F73">
        <w:rPr>
          <w:rFonts w:ascii="Arial" w:hAnsi="Arial" w:cs="Arial"/>
        </w:rPr>
        <w:t>METHODS: Randomized patients (N = 901). CONCLUSIONS: Clinically meaningful and statistically significant improvements were observed with tapentadol IR 50 mg and 75 mg compared with placebo. Tapentadol IR 50 mg and 75 mg were non-inferior to oxycodone HCl IR 10 mg. The incidence of nausea and/or vomiting was statistically significantly lower for tapentadol IR 50 mg and numerically lower for tapentadol IR 75 mg than for oxycodone HCl IR 10 mg.</w:t>
      </w:r>
    </w:p>
    <w:p w14:paraId="3FF376A4" w14:textId="77777777" w:rsidR="008D0565" w:rsidRPr="00D61F73" w:rsidRDefault="008D0565" w:rsidP="00D61F73">
      <w:pPr>
        <w:rPr>
          <w:rFonts w:ascii="Arial" w:hAnsi="Arial" w:cs="Arial"/>
        </w:rPr>
      </w:pPr>
    </w:p>
    <w:p w14:paraId="7A1B3BFB" w14:textId="77777777" w:rsidR="008D0565" w:rsidRPr="00D61F73" w:rsidRDefault="008D0565" w:rsidP="00D61F73">
      <w:pPr>
        <w:jc w:val="both"/>
        <w:rPr>
          <w:rFonts w:ascii="Arial" w:hAnsi="Arial" w:cs="Arial"/>
        </w:rPr>
      </w:pPr>
      <w:r w:rsidRPr="00D61F73">
        <w:rPr>
          <w:rFonts w:ascii="Arial" w:hAnsi="Arial" w:cs="Arial"/>
        </w:rPr>
        <w:t xml:space="preserve">PMID: </w:t>
      </w:r>
      <w:hyperlink r:id="rId362" w:history="1">
        <w:r w:rsidRPr="00D61F73">
          <w:rPr>
            <w:rStyle w:val="Hyperlink"/>
            <w:rFonts w:ascii="Arial" w:hAnsi="Arial" w:cs="Arial"/>
          </w:rPr>
          <w:t>19445652</w:t>
        </w:r>
      </w:hyperlink>
    </w:p>
    <w:p w14:paraId="01D8F430" w14:textId="77777777" w:rsidR="008D0565" w:rsidRPr="00D61F73" w:rsidRDefault="008D0565" w:rsidP="00D61F73">
      <w:pPr>
        <w:jc w:val="both"/>
        <w:rPr>
          <w:rFonts w:ascii="Arial" w:hAnsi="Arial" w:cs="Arial"/>
        </w:rPr>
      </w:pPr>
    </w:p>
    <w:p w14:paraId="7B1C8D68" w14:textId="77777777" w:rsidR="008D0565" w:rsidRPr="00D61F73" w:rsidRDefault="008D0565" w:rsidP="00D61F73">
      <w:pPr>
        <w:rPr>
          <w:rFonts w:ascii="Arial" w:hAnsi="Arial" w:cs="Arial"/>
        </w:rPr>
      </w:pPr>
      <w:r w:rsidRPr="00D61F73">
        <w:rPr>
          <w:rFonts w:ascii="Arial" w:hAnsi="Arial" w:cs="Arial"/>
        </w:rPr>
        <w:t>Rating: 2b</w:t>
      </w:r>
    </w:p>
    <w:p w14:paraId="1169C2ED" w14:textId="77777777" w:rsidR="008D0565" w:rsidRPr="00D61F73" w:rsidRDefault="008D0565" w:rsidP="00D61F73">
      <w:pPr>
        <w:jc w:val="both"/>
        <w:rPr>
          <w:rFonts w:ascii="Arial" w:hAnsi="Arial" w:cs="Arial"/>
          <w:b/>
          <w:bCs/>
          <w:color w:val="auto"/>
        </w:rPr>
      </w:pPr>
      <w:r w:rsidRPr="00D61F73">
        <w:rPr>
          <w:rFonts w:ascii="Arial" w:hAnsi="Arial" w:cs="Arial"/>
        </w:rPr>
        <w:br w:type="page"/>
      </w:r>
      <w:r w:rsidRPr="00D61F73">
        <w:rPr>
          <w:rFonts w:ascii="Arial" w:hAnsi="Arial" w:cs="Arial"/>
          <w:b/>
          <w:bCs/>
        </w:rPr>
        <w:lastRenderedPageBreak/>
        <w:t>D</w:t>
      </w:r>
      <w:bookmarkStart w:id="638" w:name="Daniels22009"/>
      <w:bookmarkEnd w:id="638"/>
      <w:r w:rsidRPr="00D61F73">
        <w:rPr>
          <w:rFonts w:ascii="Arial" w:hAnsi="Arial" w:cs="Arial"/>
          <w:b/>
          <w:bCs/>
        </w:rPr>
        <w:t xml:space="preserve">aniels SE, Upmalis D, Okamoto A, Lange C, Häeussler J. A randomized, double-blind, phase III study comparing multiple doses of tapentadol IR, oxycodone IR, and placebo for postoperative (bunionectomy) pain. </w:t>
      </w:r>
      <w:r w:rsidRPr="00D61F73">
        <w:rPr>
          <w:rFonts w:ascii="Arial" w:hAnsi="Arial" w:cs="Arial"/>
          <w:b/>
          <w:bCs/>
          <w:i/>
          <w:iCs/>
        </w:rPr>
        <w:t>Curr Med Res Opin</w:t>
      </w:r>
      <w:r w:rsidRPr="00D61F73">
        <w:rPr>
          <w:rFonts w:ascii="Arial" w:hAnsi="Arial" w:cs="Arial"/>
          <w:b/>
          <w:bCs/>
        </w:rPr>
        <w:t>. 2009 Mar;25(3):765-76.</w:t>
      </w:r>
    </w:p>
    <w:p w14:paraId="2167B71F" w14:textId="77777777" w:rsidR="008D0565" w:rsidRPr="00D61F73" w:rsidRDefault="008D0565" w:rsidP="00D61F73">
      <w:pPr>
        <w:jc w:val="both"/>
        <w:rPr>
          <w:rFonts w:ascii="Arial" w:hAnsi="Arial" w:cs="Arial"/>
        </w:rPr>
      </w:pPr>
    </w:p>
    <w:p w14:paraId="22E8DC82" w14:textId="77777777" w:rsidR="008D0565" w:rsidRPr="00D61F73" w:rsidRDefault="008D0565" w:rsidP="00D61F73">
      <w:pPr>
        <w:rPr>
          <w:rFonts w:ascii="Arial" w:hAnsi="Arial" w:cs="Arial"/>
        </w:rPr>
      </w:pPr>
      <w:r w:rsidRPr="00D61F73">
        <w:rPr>
          <w:rFonts w:ascii="Arial" w:hAnsi="Arial" w:cs="Arial"/>
        </w:rPr>
        <w:t>METHODS: Randomized patients (N = 603). CONCLUSIONS: Multiple doses of tapentadol IR (50, 75, and 100 mg) significantly relieve acute pain after orthopedic surgery compared with placebo. These data suggest that at doses providing comparable efficacy, tapentadol IR 100 mg has improved gastrointestinal tolerability compared with oxycodone HCl IR 15 mg.</w:t>
      </w:r>
    </w:p>
    <w:p w14:paraId="5A601C33" w14:textId="77777777" w:rsidR="008D0565" w:rsidRPr="00D61F73" w:rsidRDefault="008D0565" w:rsidP="00D61F73">
      <w:pPr>
        <w:jc w:val="both"/>
        <w:rPr>
          <w:rFonts w:ascii="Arial" w:hAnsi="Arial" w:cs="Arial"/>
        </w:rPr>
      </w:pPr>
    </w:p>
    <w:p w14:paraId="3426BA7A" w14:textId="77777777" w:rsidR="008D0565" w:rsidRPr="00D61F73" w:rsidRDefault="008D0565" w:rsidP="00D61F73">
      <w:pPr>
        <w:rPr>
          <w:rFonts w:ascii="Arial" w:hAnsi="Arial" w:cs="Arial"/>
        </w:rPr>
      </w:pPr>
      <w:r w:rsidRPr="00D61F73">
        <w:rPr>
          <w:rFonts w:ascii="Arial" w:hAnsi="Arial" w:cs="Arial"/>
        </w:rPr>
        <w:t xml:space="preserve">PMID: </w:t>
      </w:r>
      <w:hyperlink r:id="rId363" w:history="1">
        <w:r w:rsidRPr="00D61F73">
          <w:rPr>
            <w:rStyle w:val="Hyperlink"/>
            <w:rFonts w:ascii="Arial" w:hAnsi="Arial" w:cs="Arial"/>
          </w:rPr>
          <w:t>19203298</w:t>
        </w:r>
      </w:hyperlink>
      <w:r w:rsidRPr="00D61F73">
        <w:rPr>
          <w:rFonts w:ascii="Arial" w:hAnsi="Arial" w:cs="Arial"/>
        </w:rPr>
        <w:t xml:space="preserve"> </w:t>
      </w:r>
    </w:p>
    <w:p w14:paraId="4CCCAE04" w14:textId="77777777" w:rsidR="008D0565" w:rsidRPr="00D61F73" w:rsidRDefault="008D0565" w:rsidP="00D61F73">
      <w:pPr>
        <w:rPr>
          <w:rFonts w:ascii="Arial" w:hAnsi="Arial" w:cs="Arial"/>
        </w:rPr>
      </w:pPr>
    </w:p>
    <w:p w14:paraId="633CA52B" w14:textId="77777777" w:rsidR="008D0565" w:rsidRPr="00D61F73" w:rsidRDefault="008D0565" w:rsidP="00D61F73">
      <w:pPr>
        <w:rPr>
          <w:rFonts w:ascii="Arial" w:hAnsi="Arial" w:cs="Arial"/>
        </w:rPr>
      </w:pPr>
      <w:r w:rsidRPr="00D61F73">
        <w:rPr>
          <w:rFonts w:ascii="Arial" w:hAnsi="Arial" w:cs="Arial"/>
        </w:rPr>
        <w:t>Rating: 2b</w:t>
      </w:r>
    </w:p>
    <w:p w14:paraId="28995B0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D</w:t>
      </w:r>
      <w:bookmarkStart w:id="639" w:name="Dart"/>
      <w:bookmarkEnd w:id="639"/>
      <w:r w:rsidRPr="00D61F73">
        <w:rPr>
          <w:rFonts w:ascii="Arial" w:hAnsi="Arial" w:cs="Arial"/>
          <w:b/>
        </w:rPr>
        <w:t xml:space="preserve">art RC, Bailey E. Does therapeutic use of acetaminophen cause acute liver failure? </w:t>
      </w:r>
      <w:r w:rsidRPr="00D61F73">
        <w:rPr>
          <w:rFonts w:ascii="Arial" w:hAnsi="Arial" w:cs="Arial"/>
          <w:b/>
          <w:i/>
        </w:rPr>
        <w:t>Pharmacotherapy</w:t>
      </w:r>
      <w:r w:rsidRPr="00D61F73">
        <w:rPr>
          <w:rFonts w:ascii="Arial" w:hAnsi="Arial" w:cs="Arial"/>
          <w:b/>
        </w:rPr>
        <w:t>. 2007;27:1219-30.</w:t>
      </w:r>
    </w:p>
    <w:p w14:paraId="1E4617C7" w14:textId="77777777" w:rsidR="008D0565" w:rsidRPr="00D61F73" w:rsidRDefault="008D0565" w:rsidP="00D61F73">
      <w:pPr>
        <w:rPr>
          <w:rFonts w:ascii="Arial" w:hAnsi="Arial" w:cs="Arial"/>
        </w:rPr>
      </w:pPr>
    </w:p>
    <w:p w14:paraId="020AE6EB" w14:textId="77777777" w:rsidR="008D0565" w:rsidRPr="00D61F73" w:rsidRDefault="008D0565" w:rsidP="00D61F73">
      <w:pPr>
        <w:rPr>
          <w:rFonts w:ascii="Arial" w:hAnsi="Arial" w:cs="Arial"/>
        </w:rPr>
      </w:pPr>
      <w:r w:rsidRPr="00D61F73">
        <w:rPr>
          <w:rFonts w:ascii="Arial" w:hAnsi="Arial" w:cs="Arial"/>
        </w:rPr>
        <w:t>CONCLUSION: Prospective studies indicated that repeated use of a true therapeutic acetaminophen dosage may slightly increase the level of serum aminotransferase activity, but hepatic failure or death was not reported. Retrospective reports indicated a higher rate of increased serum aminotransferase levels, and several reported associated liver injury and death. The differing results and presence of evidence indicating inaccurate acetaminophen dosage information in some case reports suggests that these cases may be inadvertent overdoses, rather than true therapeutic dosages.</w:t>
      </w:r>
    </w:p>
    <w:p w14:paraId="77496CA1" w14:textId="77777777" w:rsidR="008D0565" w:rsidRPr="00D61F73" w:rsidRDefault="008D0565" w:rsidP="00D61F73">
      <w:pPr>
        <w:rPr>
          <w:rFonts w:ascii="Arial" w:hAnsi="Arial" w:cs="Arial"/>
        </w:rPr>
      </w:pPr>
    </w:p>
    <w:p w14:paraId="56D96396" w14:textId="77777777" w:rsidR="008D0565" w:rsidRPr="00D61F73" w:rsidRDefault="008D0565" w:rsidP="00D61F73">
      <w:pPr>
        <w:rPr>
          <w:rFonts w:ascii="Arial" w:hAnsi="Arial" w:cs="Arial"/>
        </w:rPr>
      </w:pPr>
      <w:r w:rsidRPr="00D61F73">
        <w:rPr>
          <w:rFonts w:ascii="Arial" w:hAnsi="Arial" w:cs="Arial"/>
        </w:rPr>
        <w:t xml:space="preserve">PMID: </w:t>
      </w:r>
      <w:hyperlink r:id="rId364" w:history="1">
        <w:r w:rsidRPr="00D61F73">
          <w:rPr>
            <w:rStyle w:val="Hyperlink"/>
            <w:rFonts w:ascii="Arial" w:hAnsi="Arial" w:cs="Arial"/>
          </w:rPr>
          <w:t>17723075</w:t>
        </w:r>
      </w:hyperlink>
      <w:r w:rsidRPr="00D61F73">
        <w:rPr>
          <w:rFonts w:ascii="Arial" w:hAnsi="Arial" w:cs="Arial"/>
        </w:rPr>
        <w:t xml:space="preserve"> </w:t>
      </w:r>
    </w:p>
    <w:p w14:paraId="6CCE4F13" w14:textId="77777777" w:rsidR="008D0565" w:rsidRPr="00D61F73" w:rsidRDefault="008D0565" w:rsidP="00D61F73">
      <w:pPr>
        <w:rPr>
          <w:rFonts w:ascii="Arial" w:hAnsi="Arial" w:cs="Arial"/>
        </w:rPr>
      </w:pPr>
    </w:p>
    <w:p w14:paraId="41BC8716" w14:textId="77777777" w:rsidR="00212530" w:rsidRPr="00D61F73" w:rsidRDefault="008D0565" w:rsidP="00D61F73">
      <w:pPr>
        <w:rPr>
          <w:rFonts w:ascii="Arial" w:hAnsi="Arial" w:cs="Arial"/>
        </w:rPr>
      </w:pPr>
      <w:r w:rsidRPr="00D61F73">
        <w:rPr>
          <w:rFonts w:ascii="Arial" w:hAnsi="Arial" w:cs="Arial"/>
        </w:rPr>
        <w:t>Rating: 1b</w:t>
      </w:r>
    </w:p>
    <w:p w14:paraId="78972224" w14:textId="77777777" w:rsidR="008D0565" w:rsidRPr="00D61F73" w:rsidRDefault="00212530" w:rsidP="00D61F73">
      <w:pPr>
        <w:rPr>
          <w:rFonts w:ascii="Arial" w:hAnsi="Arial" w:cs="Arial"/>
          <w:b/>
        </w:rPr>
      </w:pPr>
      <w:r w:rsidRPr="00D61F73">
        <w:rPr>
          <w:rFonts w:ascii="Arial" w:hAnsi="Arial" w:cs="Arial"/>
        </w:rPr>
        <w:br w:type="page"/>
      </w:r>
      <w:bookmarkStart w:id="640" w:name="DEA2013tramadol"/>
      <w:bookmarkEnd w:id="640"/>
      <w:r w:rsidRPr="00D61F73">
        <w:rPr>
          <w:rFonts w:ascii="Arial" w:hAnsi="Arial" w:cs="Arial"/>
          <w:b/>
        </w:rPr>
        <w:lastRenderedPageBreak/>
        <w:fldChar w:fldCharType="begin"/>
      </w:r>
      <w:r w:rsidRPr="00D61F73">
        <w:rPr>
          <w:rFonts w:ascii="Arial" w:hAnsi="Arial" w:cs="Arial"/>
          <w:b/>
        </w:rPr>
        <w:instrText xml:space="preserve"> HYPERLINK "http://www.deadiversion.usdoj.gov/fed_regs/rules/2013/fr1104.htm" </w:instrText>
      </w:r>
      <w:r w:rsidRPr="00D61F73">
        <w:rPr>
          <w:rFonts w:ascii="Arial" w:hAnsi="Arial" w:cs="Arial"/>
          <w:b/>
        </w:rPr>
        <w:fldChar w:fldCharType="separate"/>
      </w:r>
      <w:r w:rsidRPr="00D61F73">
        <w:rPr>
          <w:rStyle w:val="Hyperlink"/>
          <w:rFonts w:ascii="Arial" w:hAnsi="Arial" w:cs="Arial"/>
          <w:b/>
        </w:rPr>
        <w:t>DEA.</w:t>
      </w:r>
      <w:r w:rsidRPr="00D61F73">
        <w:rPr>
          <w:rFonts w:ascii="Arial" w:hAnsi="Arial" w:cs="Arial"/>
          <w:b/>
        </w:rPr>
        <w:fldChar w:fldCharType="end"/>
      </w:r>
      <w:r w:rsidRPr="00D61F73">
        <w:rPr>
          <w:rFonts w:ascii="Arial" w:hAnsi="Arial" w:cs="Arial"/>
          <w:b/>
        </w:rPr>
        <w:t xml:space="preserve"> Proposed Rules. Schedules of Controlled Substances: Placement of Tramadol into Schedule IV. Federal Register. 2013 Nov 4; v 78:213:65923-65932.</w:t>
      </w:r>
    </w:p>
    <w:p w14:paraId="5905C666" w14:textId="77777777" w:rsidR="00212530" w:rsidRPr="00D61F73" w:rsidRDefault="00212530" w:rsidP="00D61F73">
      <w:pPr>
        <w:rPr>
          <w:rFonts w:ascii="Arial" w:hAnsi="Arial" w:cs="Arial"/>
          <w:b/>
        </w:rPr>
      </w:pPr>
    </w:p>
    <w:p w14:paraId="4D9912B1" w14:textId="77777777" w:rsidR="00212530" w:rsidRPr="00D61F73" w:rsidRDefault="00212530" w:rsidP="00D61F73">
      <w:pPr>
        <w:rPr>
          <w:rFonts w:ascii="Arial" w:hAnsi="Arial" w:cs="Arial"/>
        </w:rPr>
      </w:pPr>
      <w:r w:rsidRPr="00D61F73">
        <w:rPr>
          <w:rFonts w:ascii="Arial" w:hAnsi="Arial" w:cs="Arial"/>
        </w:rPr>
        <w:t>The Drug Enforcement Administration (DEA) proposes to place the substance 2-((dimethylamino)methyl)-1-(3-methoxyphenyl)cyclohexanol, its salts, isomers, salts of isomers, and all isomeric configurations of possible forms including tramadol (the term "isomers" includes the optical and geometric isomers) into Schedule IV of the Controlled Substances Act (CSA). This proposed action is based on a recommendation from the Assistant Secretary for Health of the Department of Health and Human Services (HHS) and an evaluation of all other relevant data by the DEA. If finalized, this action would impose the regulatory controls and administrative, civil, and criminal sanctions applicable to Schedule IV controlled substances on persons who handle (manufacture, distribute, dispense, import, export, engage in research, conduct instructional activities, or possess) or propose to handle tramadol.</w:t>
      </w:r>
    </w:p>
    <w:p w14:paraId="046EEFC3" w14:textId="77777777" w:rsidR="00212530" w:rsidRPr="00D61F73" w:rsidRDefault="00212530" w:rsidP="00D61F73">
      <w:pPr>
        <w:rPr>
          <w:rFonts w:ascii="Arial" w:hAnsi="Arial" w:cs="Arial"/>
          <w:b/>
        </w:rPr>
      </w:pPr>
    </w:p>
    <w:p w14:paraId="2EF0CF0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41" w:name="DeAndrade1994"/>
      <w:bookmarkEnd w:id="641"/>
      <w:r w:rsidRPr="00D61F73">
        <w:rPr>
          <w:rFonts w:ascii="Arial" w:hAnsi="Arial" w:cs="Arial"/>
          <w:b/>
          <w:bCs/>
        </w:rPr>
        <w:t xml:space="preserve">eAndrade JR, Maslanka M, Maneatis T, Bynum L, Burchmore M. The use of ketorolac in the management of postoperative pain. </w:t>
      </w:r>
      <w:r w:rsidRPr="00D61F73">
        <w:rPr>
          <w:rFonts w:ascii="Arial" w:hAnsi="Arial" w:cs="Arial"/>
          <w:b/>
          <w:bCs/>
          <w:i/>
          <w:iCs/>
        </w:rPr>
        <w:t>Orthopedics</w:t>
      </w:r>
      <w:r w:rsidRPr="00D61F73">
        <w:rPr>
          <w:rFonts w:ascii="Arial" w:hAnsi="Arial" w:cs="Arial"/>
          <w:b/>
          <w:bCs/>
        </w:rPr>
        <w:t>. 1994 Feb;17(2):157-66.</w:t>
      </w:r>
    </w:p>
    <w:p w14:paraId="6743FCF0" w14:textId="77777777" w:rsidR="008D0565" w:rsidRPr="00D61F73" w:rsidRDefault="008D0565" w:rsidP="00D61F73">
      <w:pPr>
        <w:rPr>
          <w:rFonts w:ascii="Arial" w:hAnsi="Arial" w:cs="Arial"/>
        </w:rPr>
      </w:pPr>
    </w:p>
    <w:p w14:paraId="364B6D83" w14:textId="77777777" w:rsidR="008D0565" w:rsidRPr="00D61F73" w:rsidRDefault="008D0565" w:rsidP="00D61F73">
      <w:pPr>
        <w:rPr>
          <w:rFonts w:ascii="Arial" w:hAnsi="Arial" w:cs="Arial"/>
        </w:rPr>
      </w:pPr>
      <w:r w:rsidRPr="00D61F73">
        <w:rPr>
          <w:rFonts w:ascii="Arial" w:hAnsi="Arial" w:cs="Arial"/>
        </w:rPr>
        <w:t>Ketorolac, when administered intramuscularly, can be used as an alternative to opioid therapy.</w:t>
      </w:r>
    </w:p>
    <w:p w14:paraId="06B50AC4" w14:textId="77777777" w:rsidR="008D0565" w:rsidRPr="00D61F73" w:rsidRDefault="008D0565" w:rsidP="00D61F73">
      <w:pPr>
        <w:rPr>
          <w:rFonts w:ascii="Arial" w:hAnsi="Arial" w:cs="Arial"/>
        </w:rPr>
      </w:pPr>
    </w:p>
    <w:p w14:paraId="6A6AC250"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365" w:history="1">
        <w:r w:rsidRPr="00D61F73">
          <w:rPr>
            <w:rStyle w:val="Hyperlink"/>
            <w:rFonts w:ascii="Arial" w:hAnsi="Arial" w:cs="Arial"/>
          </w:rPr>
          <w:t>8190679</w:t>
        </w:r>
      </w:hyperlink>
      <w:r w:rsidRPr="00D61F73">
        <w:rPr>
          <w:rFonts w:ascii="Arial" w:hAnsi="Arial" w:cs="Arial"/>
        </w:rPr>
        <w:t xml:space="preserve"> </w:t>
      </w:r>
    </w:p>
    <w:p w14:paraId="1CAD7159" w14:textId="77777777" w:rsidR="008D0565" w:rsidRPr="00D61F73" w:rsidRDefault="008D0565" w:rsidP="00D61F73">
      <w:pPr>
        <w:rPr>
          <w:rFonts w:ascii="Arial" w:hAnsi="Arial" w:cs="Arial"/>
        </w:rPr>
      </w:pPr>
    </w:p>
    <w:p w14:paraId="44E22797" w14:textId="77777777" w:rsidR="008D0565" w:rsidRPr="00D61F73" w:rsidRDefault="008D0565" w:rsidP="00D61F73">
      <w:pPr>
        <w:rPr>
          <w:rFonts w:ascii="Arial" w:hAnsi="Arial" w:cs="Arial"/>
        </w:rPr>
      </w:pPr>
      <w:r w:rsidRPr="00D61F73">
        <w:rPr>
          <w:rFonts w:ascii="Arial" w:hAnsi="Arial" w:cs="Arial"/>
        </w:rPr>
        <w:t>Rating: 2b</w:t>
      </w:r>
    </w:p>
    <w:p w14:paraId="3315B7E7" w14:textId="77777777" w:rsidR="008D0565" w:rsidRPr="00D61F73" w:rsidRDefault="008D0565" w:rsidP="00D61F73">
      <w:pPr>
        <w:rPr>
          <w:rFonts w:ascii="Arial" w:hAnsi="Arial" w:cs="Arial"/>
        </w:rPr>
      </w:pPr>
    </w:p>
    <w:p w14:paraId="633CEFE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42" w:name="Deer2"/>
      <w:bookmarkEnd w:id="642"/>
      <w:r w:rsidRPr="00D61F73">
        <w:rPr>
          <w:rFonts w:ascii="Arial" w:hAnsi="Arial" w:cs="Arial"/>
          <w:b/>
          <w:bCs/>
        </w:rPr>
        <w:t xml:space="preserve">eer T, Chapple I, Classen A, et al. Intrathecal Drug Delivery for Treatment of Chronic Low Back Pain: Report From the National Outcomes Registry for Low Back Pain. </w:t>
      </w:r>
      <w:r w:rsidRPr="00D61F73">
        <w:rPr>
          <w:rFonts w:ascii="Arial" w:hAnsi="Arial" w:cs="Arial"/>
          <w:b/>
          <w:bCs/>
          <w:i/>
          <w:iCs/>
        </w:rPr>
        <w:t>Pain Med</w:t>
      </w:r>
      <w:r w:rsidRPr="00D61F73">
        <w:rPr>
          <w:rFonts w:ascii="Arial" w:hAnsi="Arial" w:cs="Arial"/>
          <w:b/>
          <w:bCs/>
        </w:rPr>
        <w:t xml:space="preserve"> 2004;5:6-13.</w:t>
      </w:r>
    </w:p>
    <w:p w14:paraId="33CC9310" w14:textId="77777777" w:rsidR="008D0565" w:rsidRPr="00D61F73" w:rsidRDefault="008D0565" w:rsidP="00D61F73">
      <w:pPr>
        <w:pStyle w:val="NormalWeb"/>
        <w:spacing w:before="0" w:beforeAutospacing="0" w:after="0" w:afterAutospacing="0"/>
        <w:rPr>
          <w:rFonts w:ascii="Arial" w:eastAsia="Times New Roman" w:hAnsi="Arial" w:cs="Arial"/>
        </w:rPr>
      </w:pPr>
    </w:p>
    <w:p w14:paraId="4A32A959" w14:textId="77777777" w:rsidR="008D0565" w:rsidRPr="00D61F73" w:rsidRDefault="008D0565" w:rsidP="00D61F73">
      <w:pPr>
        <w:rPr>
          <w:rFonts w:ascii="Arial" w:hAnsi="Arial" w:cs="Arial"/>
        </w:rPr>
      </w:pPr>
      <w:r w:rsidRPr="00D61F73">
        <w:rPr>
          <w:rFonts w:ascii="Arial" w:hAnsi="Arial" w:cs="Arial"/>
        </w:rPr>
        <w:t xml:space="preserve">Background. For 2 decades, implantable drug-delivery systems (IDDSs) have been in use for the management of intractable pain. Results. Thirty-six physicians enrolled 166 patients for trialing (ie, evaluation with a temporary intraspinal analgesic for adequacy of pain relief and acceptable side effects) with IDDS. At 12 months, numeric back-pain ratings for these patients decreased by 48% and leg-pain ratings declined by 32% (Table). The overall pain reduction was 58% at 6 months and 62% at 12 months. Furthermore, at 12 months, 87% of the IDDS patients described their quality of life as fair to excellent, and 87% said they would repeat the implant procedure. Commentary. Although the report is promising and illustrates the importance of longitudinal outcome studies, the follow-up rates fell to 79% at 6 months and 56% at 12 months. The attrition rate not only limits efficacy analyses but also the recognition of complication rates (ie, infection, dislodging, and cerebrospinal fluid leak) that are likely to rise with time in these procedures. </w:t>
      </w:r>
    </w:p>
    <w:p w14:paraId="1497A1B0" w14:textId="77777777" w:rsidR="008D0565" w:rsidRPr="00D61F73" w:rsidRDefault="008D0565" w:rsidP="00D61F73">
      <w:pPr>
        <w:rPr>
          <w:rFonts w:ascii="Arial" w:hAnsi="Arial" w:cs="Arial"/>
        </w:rPr>
      </w:pPr>
    </w:p>
    <w:p w14:paraId="18229510"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3b</w:t>
      </w:r>
    </w:p>
    <w:p w14:paraId="01BD3C2A" w14:textId="4B291D10" w:rsidR="008D0565" w:rsidRPr="00D61F73" w:rsidRDefault="008D0565" w:rsidP="00D61F73">
      <w:pPr>
        <w:rPr>
          <w:rFonts w:ascii="Arial" w:hAnsi="Arial" w:cs="Arial"/>
          <w:b/>
          <w:bCs/>
        </w:rPr>
      </w:pPr>
      <w:r w:rsidRPr="00D61F73">
        <w:rPr>
          <w:rFonts w:ascii="Arial" w:hAnsi="Arial" w:cs="Arial"/>
        </w:rPr>
        <w:br w:type="page"/>
      </w:r>
      <w:r w:rsidRPr="006B2956">
        <w:rPr>
          <w:rFonts w:ascii="Arial" w:hAnsi="Arial" w:cs="Arial"/>
          <w:b/>
          <w:bCs/>
        </w:rPr>
        <w:lastRenderedPageBreak/>
        <w:t>D</w:t>
      </w:r>
      <w:bookmarkStart w:id="643" w:name="Deer3"/>
      <w:bookmarkEnd w:id="643"/>
      <w:r w:rsidRPr="006B2956">
        <w:rPr>
          <w:rFonts w:ascii="Arial" w:hAnsi="Arial" w:cs="Arial"/>
          <w:b/>
          <w:bCs/>
        </w:rPr>
        <w:t>eer T, Krames ES, Hassenbusch SJ, Burton A, Caraway D, Dupen S, Eisenach J, Erdek M, Grigsby E, Kim P, Levy R, McDowell G, Mekhail N, Panchal S, Prager J, Rauck R, Saulino M, Sitzman T, Staats P, Stanton-Hicks M, Stearns L, Willis KD, Witt W, Follett K, Huntoon M, Liem L, Rathmell J, Wallace M, Buchser E, Cousins M, Ver Donck A</w:t>
      </w:r>
      <w:r w:rsidRPr="00D61F73">
        <w:rPr>
          <w:rFonts w:ascii="Arial" w:hAnsi="Arial" w:cs="Arial"/>
          <w:b/>
          <w:bCs/>
        </w:rPr>
        <w:t xml:space="preserve">. Polyanalgesic Consensus Conference 2007: Recommendations for the Management of Pain by Intrathecal (Intraspinal) Drug Delivery: Report of an Interdisciplinary Expert Panel. </w:t>
      </w:r>
      <w:r w:rsidRPr="00D61F73">
        <w:rPr>
          <w:rFonts w:ascii="Arial" w:hAnsi="Arial" w:cs="Arial"/>
          <w:b/>
          <w:bCs/>
          <w:i/>
          <w:iCs/>
        </w:rPr>
        <w:t>Neuromodulation: Technology At The Neural Interface</w:t>
      </w:r>
      <w:r w:rsidRPr="00D61F73">
        <w:rPr>
          <w:rFonts w:ascii="Arial" w:hAnsi="Arial" w:cs="Arial"/>
          <w:b/>
          <w:bCs/>
        </w:rPr>
        <w:t>. Volume 10, Number 4, 2007, p. 300-328.</w:t>
      </w:r>
    </w:p>
    <w:p w14:paraId="53B9D752" w14:textId="77777777" w:rsidR="008D0565" w:rsidRPr="00D61F73" w:rsidRDefault="008D0565" w:rsidP="00D61F73">
      <w:pPr>
        <w:rPr>
          <w:rFonts w:ascii="Arial" w:hAnsi="Arial" w:cs="Arial"/>
        </w:rPr>
      </w:pPr>
    </w:p>
    <w:p w14:paraId="1B864A3F" w14:textId="77777777" w:rsidR="008D0565" w:rsidRPr="00D61F73" w:rsidRDefault="008D0565" w:rsidP="00D61F73">
      <w:pPr>
        <w:rPr>
          <w:rFonts w:ascii="Arial" w:hAnsi="Arial" w:cs="Arial"/>
        </w:rPr>
      </w:pPr>
      <w:r w:rsidRPr="00D61F73">
        <w:rPr>
          <w:rFonts w:ascii="Arial" w:hAnsi="Arial" w:cs="Arial"/>
          <w:u w:val="single"/>
        </w:rPr>
        <w:t>Results</w:t>
      </w:r>
      <w:r w:rsidRPr="00D61F73">
        <w:rPr>
          <w:rFonts w:ascii="Arial" w:hAnsi="Arial" w:cs="Arial"/>
        </w:rPr>
        <w:t>: Of note is that the panelists felt that ziconotide, based on new and relevant literature and experience, should be updated to a line one intrathecal drug.</w:t>
      </w:r>
    </w:p>
    <w:p w14:paraId="09DB1B1F" w14:textId="77777777" w:rsidR="008D0565" w:rsidRPr="00D61F73" w:rsidRDefault="008D0565" w:rsidP="00D61F73">
      <w:pPr>
        <w:rPr>
          <w:rFonts w:ascii="Arial" w:hAnsi="Arial" w:cs="Arial"/>
        </w:rPr>
      </w:pPr>
    </w:p>
    <w:p w14:paraId="35AC2BA2" w14:textId="77777777" w:rsidR="008D0565" w:rsidRDefault="008D0565" w:rsidP="00D61F73">
      <w:pPr>
        <w:rPr>
          <w:rFonts w:ascii="Arial" w:hAnsi="Arial" w:cs="Arial"/>
        </w:rPr>
      </w:pPr>
      <w:r w:rsidRPr="00D61F73">
        <w:rPr>
          <w:rFonts w:ascii="Arial" w:hAnsi="Arial" w:cs="Arial"/>
        </w:rPr>
        <w:t>Rating: 8b</w:t>
      </w:r>
    </w:p>
    <w:p w14:paraId="034CC91B" w14:textId="77777777" w:rsidR="006B2956" w:rsidRDefault="006B2956" w:rsidP="00D61F73">
      <w:pPr>
        <w:rPr>
          <w:rFonts w:ascii="Arial" w:hAnsi="Arial" w:cs="Arial"/>
        </w:rPr>
      </w:pPr>
    </w:p>
    <w:p w14:paraId="54583DD1" w14:textId="6EC1684A" w:rsidR="006B2956" w:rsidRPr="006B2956" w:rsidRDefault="006B2956" w:rsidP="006B2956">
      <w:pPr>
        <w:shd w:val="clear" w:color="auto" w:fill="FFFFFF"/>
        <w:rPr>
          <w:rFonts w:ascii="Arial" w:hAnsi="Arial" w:cs="Arial"/>
          <w:color w:val="auto"/>
        </w:rPr>
      </w:pPr>
      <w:r>
        <w:rPr>
          <w:rFonts w:ascii="Arial" w:hAnsi="Arial" w:cs="Arial"/>
        </w:rPr>
        <w:t>PMID</w:t>
      </w:r>
      <w:r w:rsidRPr="006B2956">
        <w:rPr>
          <w:rFonts w:ascii="Arial" w:hAnsi="Arial" w:cs="Arial"/>
        </w:rPr>
        <w:t xml:space="preserve">: </w:t>
      </w:r>
      <w:hyperlink r:id="rId366" w:history="1">
        <w:r w:rsidRPr="006B2956">
          <w:rPr>
            <w:rStyle w:val="Hyperlink"/>
            <w:rFonts w:ascii="Arial" w:hAnsi="Arial" w:cs="Arial"/>
          </w:rPr>
          <w:t>22150890</w:t>
        </w:r>
      </w:hyperlink>
    </w:p>
    <w:p w14:paraId="33CBBF91" w14:textId="2A80DE58" w:rsidR="006B2956" w:rsidRPr="00D61F73" w:rsidRDefault="006B2956" w:rsidP="00D61F73">
      <w:pPr>
        <w:rPr>
          <w:rFonts w:ascii="Arial" w:hAnsi="Arial" w:cs="Arial"/>
        </w:rPr>
      </w:pPr>
    </w:p>
    <w:p w14:paraId="2912C89C" w14:textId="77777777" w:rsidR="008D0565" w:rsidRPr="00D61F73" w:rsidRDefault="008D0565" w:rsidP="00D61F73">
      <w:pPr>
        <w:rPr>
          <w:rFonts w:ascii="Arial" w:hAnsi="Arial" w:cs="Arial"/>
        </w:rPr>
      </w:pPr>
    </w:p>
    <w:p w14:paraId="50A6CB95" w14:textId="77777777" w:rsidR="008D0565" w:rsidRPr="00D61F73" w:rsidRDefault="008D0565" w:rsidP="00D61F73">
      <w:pPr>
        <w:rPr>
          <w:rFonts w:ascii="Arial" w:hAnsi="Arial" w:cs="Arial"/>
        </w:rPr>
      </w:pPr>
      <w:r w:rsidRPr="00D61F73">
        <w:rPr>
          <w:rFonts w:ascii="Arial" w:hAnsi="Arial" w:cs="Arial"/>
        </w:rPr>
        <w:t xml:space="preserve">Note: </w:t>
      </w:r>
      <w:r w:rsidRPr="00D61F73">
        <w:rPr>
          <w:rFonts w:ascii="Arial" w:hAnsi="Arial" w:cs="Arial"/>
          <w:i/>
          <w:iCs/>
        </w:rPr>
        <w:t>Neurmodualtion</w:t>
      </w:r>
      <w:r w:rsidRPr="00D61F73">
        <w:rPr>
          <w:rFonts w:ascii="Arial" w:hAnsi="Arial" w:cs="Arial"/>
        </w:rPr>
        <w:t xml:space="preserve"> has not yet been accepted for inclusion in MEDLINE, and this "conference" was sponsored by Elan, the manufacturer of Prialt (ziconotide).</w:t>
      </w:r>
    </w:p>
    <w:p w14:paraId="29DCF4D6" w14:textId="77777777" w:rsidR="008D0565" w:rsidRPr="00D61F73" w:rsidRDefault="008D0565" w:rsidP="00D61F73">
      <w:pPr>
        <w:rPr>
          <w:rFonts w:ascii="Arial" w:hAnsi="Arial" w:cs="Arial"/>
        </w:rPr>
      </w:pPr>
      <w:r w:rsidRPr="00D61F73">
        <w:rPr>
          <w:rFonts w:ascii="Arial" w:hAnsi="Arial" w:cs="Arial"/>
        </w:rPr>
        <w:t>Other comments: On pages 313 and 314 it appears the Panel of Experts moved this medication to level 1 based on the following:</w:t>
      </w:r>
    </w:p>
    <w:p w14:paraId="1CA98A30" w14:textId="77777777" w:rsidR="008D0565" w:rsidRPr="00D61F73" w:rsidRDefault="008D0565" w:rsidP="00D61F73">
      <w:pPr>
        <w:rPr>
          <w:rFonts w:ascii="Arial" w:hAnsi="Arial" w:cs="Arial"/>
        </w:rPr>
      </w:pPr>
      <w:r w:rsidRPr="00D61F73">
        <w:rPr>
          <w:rFonts w:ascii="Arial" w:hAnsi="Arial" w:cs="Arial"/>
        </w:rPr>
        <w:t xml:space="preserve">1. (Reference 165). This was a case study of one subject (age 13 years) with CRPS. </w:t>
      </w:r>
    </w:p>
    <w:p w14:paraId="2F27221D" w14:textId="77777777" w:rsidR="008D0565" w:rsidRPr="00D61F73" w:rsidRDefault="008D0565" w:rsidP="00D61F73">
      <w:pPr>
        <w:rPr>
          <w:rFonts w:ascii="Arial" w:hAnsi="Arial" w:cs="Arial"/>
        </w:rPr>
      </w:pPr>
      <w:r w:rsidRPr="00D61F73">
        <w:rPr>
          <w:rFonts w:ascii="Arial" w:hAnsi="Arial" w:cs="Arial"/>
        </w:rPr>
        <w:t>2. (Reference 169). This study weaned all patients from IT drugs and replaced them with systemic opioids. Clinical judgment was used for this part of the protocol. Inclusion protocol was "severe chronic pain." The double-blind treatment period was 3 weeks. The mean oral morphine equivalents per patient were around 300 mg. At week 1 the difference in pain relief was statistical, but this was not found at week 2. At week 3 the proportion of treatment responders did not differ significantly between the two groups. This was the 3rd double blind, placebo controlled study with Prialt that formed the basis of the recent approval by the FDA.</w:t>
      </w:r>
    </w:p>
    <w:p w14:paraId="0B5481BD" w14:textId="77777777" w:rsidR="008D0565" w:rsidRPr="00D61F73" w:rsidRDefault="008D0565" w:rsidP="00D61F73">
      <w:pPr>
        <w:rPr>
          <w:rFonts w:ascii="Arial" w:hAnsi="Arial" w:cs="Arial"/>
        </w:rPr>
      </w:pPr>
      <w:r w:rsidRPr="00D61F73">
        <w:rPr>
          <w:rFonts w:ascii="Arial" w:hAnsi="Arial" w:cs="Arial"/>
        </w:rPr>
        <w:t>3. (Reference 166): not listed on PubMed</w:t>
      </w:r>
    </w:p>
    <w:p w14:paraId="4401E2E9" w14:textId="77777777" w:rsidR="008D0565" w:rsidRPr="00D61F73" w:rsidRDefault="008D0565" w:rsidP="00D61F73">
      <w:pPr>
        <w:rPr>
          <w:rFonts w:ascii="Arial" w:hAnsi="Arial" w:cs="Arial"/>
        </w:rPr>
      </w:pPr>
      <w:r w:rsidRPr="00D61F73">
        <w:rPr>
          <w:rFonts w:ascii="Arial" w:hAnsi="Arial" w:cs="Arial"/>
        </w:rPr>
        <w:t>On page 320 it was noted that Prialt was given a "special box" reference due to limited/targeted use and wide panel of known adverse effects. There is no discussion of dose escalation or opioid hyperalgesia (in reference to morphine). The use of an admixture of morphine and Prialt was based on reference 173, an abstract presentation. The conference was not only supported by Elan but the document clearly was directed at supporting Prialt. The participants are all highly ethical individuals but the document does not represent EBM. The main problem with the Polyanalgesic Conference recommendations is the support by Elan. As an outsider looking at their recommendations, this would appear to potentially undermine some of their suggestions.</w:t>
      </w:r>
    </w:p>
    <w:p w14:paraId="176AE7C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44" w:name="Deer4"/>
      <w:bookmarkEnd w:id="644"/>
      <w:r w:rsidRPr="00D61F73">
        <w:rPr>
          <w:rFonts w:ascii="Arial" w:hAnsi="Arial" w:cs="Arial"/>
          <w:b/>
          <w:bCs/>
        </w:rPr>
        <w:t>eer T, Kapural L, Sitzman T. AAPM 2009: Specialists Endorse Intrathecal Pain Therapies but Urge Caution. American Academy of Pain Medicine 25th Annual Meeting, Honolulu, Hawaii. Plenary session 112. Presented January 28, 2009.</w:t>
      </w:r>
    </w:p>
    <w:p w14:paraId="7B4A7CAE" w14:textId="77777777" w:rsidR="008D0565" w:rsidRPr="00D61F73" w:rsidRDefault="008D0565" w:rsidP="00D61F73">
      <w:pPr>
        <w:rPr>
          <w:rFonts w:ascii="Arial" w:hAnsi="Arial" w:cs="Arial"/>
        </w:rPr>
      </w:pPr>
    </w:p>
    <w:p w14:paraId="739E12AC" w14:textId="77777777" w:rsidR="008D0565" w:rsidRPr="00D61F73" w:rsidRDefault="008D0565" w:rsidP="00D61F73">
      <w:pPr>
        <w:rPr>
          <w:rFonts w:ascii="Arial" w:hAnsi="Arial" w:cs="Arial"/>
        </w:rPr>
      </w:pPr>
      <w:r w:rsidRPr="00D61F73">
        <w:rPr>
          <w:rFonts w:ascii="Arial" w:hAnsi="Arial" w:cs="Arial"/>
        </w:rPr>
        <w:t xml:space="preserve">Presenter Timothy Deer, MD, from the Center for Pain Relief in Charleston, West Virginia, discussed the problem of off-label use of various analgesics with this strategy. "It is important to use an approved catheter with an approved drug," he told the meeting. "Clinicians are putting drugs in the pumps with absolutely no reasoning for it and are doing some outrageous things." There are currently only 2 drugs approved by the US Food and Drug Administration for use in intrathecal pumps — morphine and ziconotide. Dr. Kapural suggested that intrathecal therapies should be considered a last step in the treatment of cancer and noncancer pain. "When you've been practicing long enough, it's not a question of if but when you are going to see complications" associated with intrathecal treatment, Todd Sitzman, MD, from the Forrest General Cancer Center, in Hattiesburg, Mississippi, said during his talk. To reduce postoperative mortality associated with intrathecal pain treatment, Dr. Sitzman urged clinicians to "start low and go slow." </w:t>
      </w:r>
    </w:p>
    <w:p w14:paraId="123F4D3E" w14:textId="77777777" w:rsidR="008D0565" w:rsidRPr="00D61F73" w:rsidRDefault="008D0565" w:rsidP="00D61F73">
      <w:pPr>
        <w:rPr>
          <w:rFonts w:ascii="Arial" w:hAnsi="Arial" w:cs="Arial"/>
        </w:rPr>
      </w:pPr>
    </w:p>
    <w:p w14:paraId="218307A3" w14:textId="77777777" w:rsidR="008D0565" w:rsidRPr="00D61F73" w:rsidRDefault="008D0565" w:rsidP="00D61F73">
      <w:pPr>
        <w:rPr>
          <w:rFonts w:ascii="Arial" w:hAnsi="Arial" w:cs="Arial"/>
        </w:rPr>
      </w:pPr>
      <w:r w:rsidRPr="00D61F73">
        <w:rPr>
          <w:rFonts w:ascii="Arial" w:hAnsi="Arial" w:cs="Arial"/>
        </w:rPr>
        <w:t>Rating: 10b</w:t>
      </w:r>
    </w:p>
    <w:p w14:paraId="3AC8AFF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D</w:t>
      </w:r>
      <w:bookmarkStart w:id="645" w:name="Dell"/>
      <w:bookmarkEnd w:id="645"/>
      <w:r w:rsidRPr="00D61F73">
        <w:rPr>
          <w:rFonts w:ascii="Arial" w:hAnsi="Arial" w:cs="Arial"/>
          <w:b/>
        </w:rPr>
        <w:t xml:space="preserve">ell'Osso B, Altamura AC, Mundo E, Marazziti D, Hollander E. Diagnosis and treatment of obsessive-compulsive disorder and related disorders. </w:t>
      </w:r>
      <w:r w:rsidRPr="00D61F73">
        <w:rPr>
          <w:rFonts w:ascii="Arial" w:hAnsi="Arial" w:cs="Arial"/>
          <w:b/>
          <w:i/>
        </w:rPr>
        <w:t>Int J Clin Pract</w:t>
      </w:r>
      <w:r w:rsidRPr="00D61F73">
        <w:rPr>
          <w:rFonts w:ascii="Arial" w:hAnsi="Arial" w:cs="Arial"/>
          <w:b/>
        </w:rPr>
        <w:t>. 2007;61:98-104.</w:t>
      </w:r>
    </w:p>
    <w:p w14:paraId="40134F9A" w14:textId="77777777" w:rsidR="008D0565" w:rsidRPr="00D61F73" w:rsidRDefault="008D0565" w:rsidP="00D61F73">
      <w:pPr>
        <w:rPr>
          <w:rFonts w:ascii="Arial" w:hAnsi="Arial" w:cs="Arial"/>
        </w:rPr>
      </w:pPr>
    </w:p>
    <w:p w14:paraId="3FE19B9D" w14:textId="77777777" w:rsidR="008D0565" w:rsidRPr="00D61F73" w:rsidRDefault="008D0565" w:rsidP="00D61F73">
      <w:pPr>
        <w:rPr>
          <w:rFonts w:ascii="Arial" w:hAnsi="Arial" w:cs="Arial"/>
        </w:rPr>
      </w:pPr>
      <w:r w:rsidRPr="00D61F73">
        <w:rPr>
          <w:rFonts w:ascii="Arial" w:hAnsi="Arial" w:cs="Arial"/>
        </w:rPr>
        <w:t xml:space="preserve">Obsessive-compulsive related disorders (OCRDs), often comorbid with OCD, include many distinct psychiatric conditions (i.e. some somatoform disorders, eating disorders, impulse control disorders and some neurological conditions) which have overlapping symptoms and compulsive qualities with OCD. </w:t>
      </w:r>
    </w:p>
    <w:p w14:paraId="4D1BB99D" w14:textId="77777777" w:rsidR="008D0565" w:rsidRPr="00D61F73" w:rsidRDefault="008D0565" w:rsidP="00D61F73">
      <w:pPr>
        <w:rPr>
          <w:rFonts w:ascii="Arial" w:hAnsi="Arial" w:cs="Arial"/>
        </w:rPr>
      </w:pPr>
    </w:p>
    <w:p w14:paraId="3BACA53C" w14:textId="77777777" w:rsidR="008D0565" w:rsidRPr="00D61F73" w:rsidRDefault="008D0565" w:rsidP="00D61F73">
      <w:pPr>
        <w:rPr>
          <w:rFonts w:ascii="Arial" w:hAnsi="Arial" w:cs="Arial"/>
        </w:rPr>
      </w:pPr>
      <w:r w:rsidRPr="00D61F73">
        <w:rPr>
          <w:rFonts w:ascii="Arial" w:hAnsi="Arial" w:cs="Arial"/>
        </w:rPr>
        <w:t xml:space="preserve">PMID: </w:t>
      </w:r>
      <w:hyperlink r:id="rId367" w:history="1">
        <w:r w:rsidRPr="00D61F73">
          <w:rPr>
            <w:rStyle w:val="Hyperlink"/>
            <w:rFonts w:ascii="Arial" w:hAnsi="Arial" w:cs="Arial"/>
          </w:rPr>
          <w:t>17229184</w:t>
        </w:r>
      </w:hyperlink>
    </w:p>
    <w:p w14:paraId="694BC988" w14:textId="77777777" w:rsidR="008D0565" w:rsidRPr="00D61F73" w:rsidRDefault="008D0565" w:rsidP="00D61F73">
      <w:pPr>
        <w:rPr>
          <w:rFonts w:ascii="Arial" w:hAnsi="Arial" w:cs="Arial"/>
        </w:rPr>
      </w:pPr>
    </w:p>
    <w:p w14:paraId="1B7F6556" w14:textId="77777777" w:rsidR="008D0565" w:rsidRPr="00D61F73" w:rsidRDefault="008D0565" w:rsidP="00D61F73">
      <w:pPr>
        <w:rPr>
          <w:rFonts w:ascii="Arial" w:hAnsi="Arial" w:cs="Arial"/>
        </w:rPr>
      </w:pPr>
      <w:r w:rsidRPr="00D61F73">
        <w:rPr>
          <w:rFonts w:ascii="Arial" w:hAnsi="Arial" w:cs="Arial"/>
        </w:rPr>
        <w:t>Rating: 5c</w:t>
      </w:r>
    </w:p>
    <w:p w14:paraId="015F628C"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d</w:t>
      </w:r>
      <w:bookmarkStart w:id="646" w:name="deMos2009"/>
      <w:bookmarkEnd w:id="646"/>
      <w:r w:rsidRPr="00D61F73">
        <w:rPr>
          <w:rFonts w:ascii="Arial" w:hAnsi="Arial" w:cs="Arial"/>
          <w:b/>
        </w:rPr>
        <w:t xml:space="preserve">e Mos M, Sturkenboom MC, Huygen FJ. Current understandings on complex regional pain syndrome. </w:t>
      </w:r>
      <w:r w:rsidRPr="00D61F73">
        <w:rPr>
          <w:rFonts w:ascii="Arial" w:hAnsi="Arial" w:cs="Arial"/>
          <w:b/>
          <w:i/>
        </w:rPr>
        <w:t>Pain Pract</w:t>
      </w:r>
      <w:r w:rsidRPr="00D61F73">
        <w:rPr>
          <w:rFonts w:ascii="Arial" w:hAnsi="Arial" w:cs="Arial"/>
          <w:b/>
        </w:rPr>
        <w:t>. 2009;9:86-99.</w:t>
      </w:r>
    </w:p>
    <w:p w14:paraId="43544138" w14:textId="77777777" w:rsidR="008D0565" w:rsidRPr="00D61F73" w:rsidRDefault="008D0565" w:rsidP="00D61F73">
      <w:pPr>
        <w:rPr>
          <w:rFonts w:ascii="Arial" w:hAnsi="Arial" w:cs="Arial"/>
        </w:rPr>
      </w:pPr>
    </w:p>
    <w:p w14:paraId="1256C934" w14:textId="77777777" w:rsidR="008D0565" w:rsidRPr="00D61F73" w:rsidRDefault="008D0565" w:rsidP="00D61F73">
      <w:pPr>
        <w:rPr>
          <w:rFonts w:ascii="Arial" w:hAnsi="Arial" w:cs="Arial"/>
        </w:rPr>
      </w:pPr>
      <w:r w:rsidRPr="00D61F73">
        <w:rPr>
          <w:rFonts w:ascii="Arial" w:hAnsi="Arial" w:cs="Arial"/>
        </w:rPr>
        <w:t xml:space="preserve">PMID: </w:t>
      </w:r>
      <w:hyperlink r:id="rId368" w:history="1">
        <w:r w:rsidRPr="00D61F73">
          <w:rPr>
            <w:rStyle w:val="Hyperlink"/>
            <w:rFonts w:ascii="Arial" w:hAnsi="Arial" w:cs="Arial"/>
          </w:rPr>
          <w:t>19215592</w:t>
        </w:r>
      </w:hyperlink>
    </w:p>
    <w:p w14:paraId="26719640" w14:textId="77777777" w:rsidR="008D0565" w:rsidRPr="00D61F73" w:rsidRDefault="008D0565" w:rsidP="00D61F73">
      <w:pPr>
        <w:rPr>
          <w:rFonts w:ascii="Arial" w:hAnsi="Arial" w:cs="Arial"/>
        </w:rPr>
      </w:pPr>
    </w:p>
    <w:p w14:paraId="6E9DDE3A" w14:textId="77777777" w:rsidR="008D0565" w:rsidRPr="00D61F73" w:rsidRDefault="008D0565" w:rsidP="00D61F73">
      <w:pPr>
        <w:rPr>
          <w:rFonts w:ascii="Arial" w:hAnsi="Arial" w:cs="Arial"/>
        </w:rPr>
      </w:pPr>
      <w:r w:rsidRPr="00D61F73">
        <w:rPr>
          <w:rFonts w:ascii="Arial" w:hAnsi="Arial" w:cs="Arial"/>
        </w:rPr>
        <w:t>The authors state that extreme fear for pain can lead to disuse of the affected limb. They postulate that this could make a feasible contribution to the outcome of CRPS. They also discuss prolonged immobilization.</w:t>
      </w:r>
    </w:p>
    <w:p w14:paraId="39635420" w14:textId="77777777" w:rsidR="008D0565" w:rsidRPr="00D61F73" w:rsidRDefault="008D0565" w:rsidP="00D61F73">
      <w:pPr>
        <w:rPr>
          <w:rFonts w:ascii="Arial" w:hAnsi="Arial" w:cs="Arial"/>
        </w:rPr>
      </w:pPr>
    </w:p>
    <w:p w14:paraId="329F2F9C" w14:textId="77777777" w:rsidR="008D0565" w:rsidRPr="00D61F73" w:rsidRDefault="008D0565" w:rsidP="00D61F73">
      <w:pPr>
        <w:rPr>
          <w:rFonts w:ascii="Arial" w:hAnsi="Arial" w:cs="Arial"/>
        </w:rPr>
      </w:pPr>
      <w:r w:rsidRPr="00D61F73">
        <w:rPr>
          <w:rFonts w:ascii="Arial" w:hAnsi="Arial" w:cs="Arial"/>
        </w:rPr>
        <w:t>Rating: 5b</w:t>
      </w:r>
    </w:p>
    <w:p w14:paraId="1FF2414D" w14:textId="77777777" w:rsidR="008D0565" w:rsidRPr="00D61F73" w:rsidRDefault="008D0565" w:rsidP="00D61F73">
      <w:pPr>
        <w:rPr>
          <w:rFonts w:ascii="Arial" w:eastAsia="Calibri" w:hAnsi="Arial" w:cs="Arial"/>
          <w:color w:val="auto"/>
        </w:rPr>
      </w:pPr>
      <w:r w:rsidRPr="00D61F73">
        <w:rPr>
          <w:rFonts w:ascii="Arial" w:hAnsi="Arial" w:cs="Arial"/>
        </w:rPr>
        <w:br w:type="page"/>
      </w:r>
      <w:r w:rsidRPr="00D61F73">
        <w:rPr>
          <w:rFonts w:ascii="Arial" w:hAnsi="Arial" w:cs="Arial"/>
          <w:b/>
        </w:rPr>
        <w:lastRenderedPageBreak/>
        <w:t>D</w:t>
      </w:r>
      <w:bookmarkStart w:id="647" w:name="Denis"/>
      <w:bookmarkEnd w:id="647"/>
      <w:r w:rsidRPr="00D61F73">
        <w:rPr>
          <w:rFonts w:ascii="Arial" w:hAnsi="Arial" w:cs="Arial"/>
          <w:b/>
        </w:rPr>
        <w:t>enis C, Fatséas M, Lavie E, Auriacombe M. Pharmacological interventions for benzodiazepine mono-dependence management in outpatient settings</w:t>
      </w:r>
      <w:r w:rsidRPr="00D61F73">
        <w:rPr>
          <w:rFonts w:ascii="Arial" w:hAnsi="Arial" w:cs="Arial"/>
          <w:b/>
          <w:i/>
        </w:rPr>
        <w:t>. Cochrane Database Syst Rev</w:t>
      </w:r>
      <w:r w:rsidRPr="00D61F73">
        <w:rPr>
          <w:rFonts w:ascii="Arial" w:hAnsi="Arial" w:cs="Arial"/>
          <w:b/>
        </w:rPr>
        <w:t>. 2006;3:CD005194.</w:t>
      </w:r>
    </w:p>
    <w:p w14:paraId="2BBFE158" w14:textId="77777777" w:rsidR="008D0565" w:rsidRPr="00D61F73" w:rsidRDefault="008D0565" w:rsidP="00D61F73">
      <w:pPr>
        <w:rPr>
          <w:rFonts w:ascii="Arial" w:eastAsia="Calibri" w:hAnsi="Arial" w:cs="Arial"/>
        </w:rPr>
      </w:pPr>
    </w:p>
    <w:p w14:paraId="7B34B38C" w14:textId="77777777" w:rsidR="008D0565" w:rsidRPr="00D61F73" w:rsidRDefault="008D0565" w:rsidP="00D61F73">
      <w:pPr>
        <w:rPr>
          <w:rFonts w:ascii="Arial" w:eastAsia="Calibri" w:hAnsi="Arial" w:cs="Arial"/>
        </w:rPr>
      </w:pPr>
      <w:r w:rsidRPr="00D61F73">
        <w:rPr>
          <w:rFonts w:ascii="Arial" w:hAnsi="Arial" w:cs="Arial"/>
        </w:rPr>
        <w:t xml:space="preserve">CONCLUSIONS: The results of this systematic review point to the potential value of carbamazepine as an effective intervention for benzodiazepine gradual taper discontinuation. </w:t>
      </w:r>
    </w:p>
    <w:p w14:paraId="2FD9061C" w14:textId="77777777" w:rsidR="008D0565" w:rsidRPr="00D61F73" w:rsidRDefault="008D0565" w:rsidP="00D61F73">
      <w:pPr>
        <w:rPr>
          <w:rFonts w:ascii="Arial" w:eastAsia="Calibri" w:hAnsi="Arial" w:cs="Arial"/>
        </w:rPr>
      </w:pPr>
    </w:p>
    <w:p w14:paraId="33CC2A94"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69" w:history="1">
        <w:r w:rsidRPr="00D61F73">
          <w:rPr>
            <w:rStyle w:val="Hyperlink"/>
            <w:rFonts w:ascii="Arial" w:hAnsi="Arial" w:cs="Arial"/>
          </w:rPr>
          <w:t>16856084</w:t>
        </w:r>
      </w:hyperlink>
    </w:p>
    <w:p w14:paraId="3A8A3167" w14:textId="77777777" w:rsidR="008D0565" w:rsidRPr="00D61F73" w:rsidRDefault="008D0565" w:rsidP="00D61F73">
      <w:pPr>
        <w:rPr>
          <w:rFonts w:ascii="Arial" w:eastAsia="Calibri" w:hAnsi="Arial" w:cs="Arial"/>
        </w:rPr>
      </w:pPr>
    </w:p>
    <w:p w14:paraId="62961AC0" w14:textId="77777777" w:rsidR="008D0565" w:rsidRPr="00D61F73" w:rsidRDefault="008D0565" w:rsidP="00D61F73">
      <w:pPr>
        <w:rPr>
          <w:rFonts w:ascii="Arial" w:eastAsia="Calibri" w:hAnsi="Arial" w:cs="Arial"/>
        </w:rPr>
      </w:pPr>
      <w:r w:rsidRPr="00D61F73">
        <w:rPr>
          <w:rFonts w:ascii="Arial" w:hAnsi="Arial" w:cs="Arial"/>
        </w:rPr>
        <w:t>Rating: 1a</w:t>
      </w:r>
    </w:p>
    <w:p w14:paraId="338D2BE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48" w:name="Dersh"/>
      <w:bookmarkEnd w:id="648"/>
      <w:r w:rsidRPr="00D61F73">
        <w:rPr>
          <w:rFonts w:ascii="Arial" w:hAnsi="Arial" w:cs="Arial"/>
          <w:b/>
          <w:bCs/>
        </w:rPr>
        <w:t xml:space="preserve">ersh J, Gatchel RJ, Mayer T, Polatin P, Temple OR. Prevalence of psychiatric disorders in patients with chronic disabling occupational spinal disorders. </w:t>
      </w:r>
      <w:r w:rsidRPr="00D61F73">
        <w:rPr>
          <w:rFonts w:ascii="Arial" w:hAnsi="Arial" w:cs="Arial"/>
          <w:b/>
          <w:bCs/>
          <w:i/>
          <w:iCs/>
        </w:rPr>
        <w:t>Spine</w:t>
      </w:r>
      <w:r w:rsidRPr="00D61F73">
        <w:rPr>
          <w:rFonts w:ascii="Arial" w:hAnsi="Arial" w:cs="Arial"/>
          <w:b/>
          <w:bCs/>
        </w:rPr>
        <w:t>. 2006 May 1;31(10):1156-62.</w:t>
      </w:r>
    </w:p>
    <w:p w14:paraId="49D99222" w14:textId="77777777" w:rsidR="008D0565" w:rsidRPr="00D61F73" w:rsidRDefault="008D0565" w:rsidP="00D61F73">
      <w:pPr>
        <w:rPr>
          <w:rFonts w:ascii="Arial" w:hAnsi="Arial" w:cs="Arial"/>
        </w:rPr>
      </w:pPr>
    </w:p>
    <w:p w14:paraId="3AC8070E" w14:textId="77777777" w:rsidR="008D0565" w:rsidRPr="00D61F73" w:rsidRDefault="008D0565" w:rsidP="00D61F73">
      <w:pPr>
        <w:rPr>
          <w:rFonts w:ascii="Arial" w:hAnsi="Arial" w:cs="Arial"/>
        </w:rPr>
      </w:pPr>
      <w:r w:rsidRPr="00D61F73">
        <w:rPr>
          <w:rFonts w:ascii="Arial" w:hAnsi="Arial" w:cs="Arial"/>
        </w:rPr>
        <w:t>CONCLUSIONS: Failure to follow a biopsychosocial approach to treatment will likely contribute to prolonged disability in a substantial number of these chronic pain patients.</w:t>
      </w:r>
    </w:p>
    <w:p w14:paraId="26C382B9" w14:textId="77777777" w:rsidR="008D0565" w:rsidRPr="00D61F73" w:rsidRDefault="008D0565" w:rsidP="00D61F73">
      <w:pPr>
        <w:rPr>
          <w:rFonts w:ascii="Arial" w:hAnsi="Arial" w:cs="Arial"/>
        </w:rPr>
      </w:pPr>
    </w:p>
    <w:p w14:paraId="357AB67E" w14:textId="77777777" w:rsidR="008D0565" w:rsidRPr="00D61F73" w:rsidRDefault="008D0565" w:rsidP="00D61F73">
      <w:pPr>
        <w:rPr>
          <w:rFonts w:ascii="Arial" w:hAnsi="Arial" w:cs="Arial"/>
        </w:rPr>
      </w:pPr>
      <w:r w:rsidRPr="00D61F73">
        <w:rPr>
          <w:rFonts w:ascii="Arial" w:hAnsi="Arial" w:cs="Arial"/>
        </w:rPr>
        <w:t xml:space="preserve">PMID: </w:t>
      </w:r>
      <w:hyperlink r:id="rId370" w:history="1">
        <w:r w:rsidRPr="00D61F73">
          <w:rPr>
            <w:rStyle w:val="Hyperlink"/>
            <w:rFonts w:ascii="Arial" w:hAnsi="Arial" w:cs="Arial"/>
          </w:rPr>
          <w:t>16648753</w:t>
        </w:r>
      </w:hyperlink>
      <w:r w:rsidRPr="00D61F73">
        <w:rPr>
          <w:rFonts w:ascii="Arial" w:hAnsi="Arial" w:cs="Arial"/>
        </w:rPr>
        <w:t xml:space="preserve"> </w:t>
      </w:r>
    </w:p>
    <w:p w14:paraId="3FB7DDF5" w14:textId="77777777" w:rsidR="008D0565" w:rsidRPr="00D61F73" w:rsidRDefault="008D0565" w:rsidP="00D61F73">
      <w:pPr>
        <w:rPr>
          <w:rFonts w:ascii="Arial" w:hAnsi="Arial" w:cs="Arial"/>
        </w:rPr>
      </w:pPr>
    </w:p>
    <w:p w14:paraId="0BCAE636" w14:textId="77777777" w:rsidR="008D0565" w:rsidRPr="00D61F73" w:rsidRDefault="008D0565" w:rsidP="00D61F73">
      <w:pPr>
        <w:rPr>
          <w:rFonts w:ascii="Arial" w:hAnsi="Arial" w:cs="Arial"/>
        </w:rPr>
      </w:pPr>
      <w:r w:rsidRPr="00D61F73">
        <w:rPr>
          <w:rFonts w:ascii="Arial" w:hAnsi="Arial" w:cs="Arial"/>
        </w:rPr>
        <w:t>Rating: 4a</w:t>
      </w:r>
    </w:p>
    <w:p w14:paraId="01EE4FC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49" w:name="Dersh2"/>
      <w:bookmarkEnd w:id="649"/>
      <w:r w:rsidRPr="00D61F73">
        <w:rPr>
          <w:rFonts w:ascii="Arial" w:hAnsi="Arial" w:cs="Arial"/>
          <w:b/>
          <w:bCs/>
        </w:rPr>
        <w:t xml:space="preserve">ersh J, Gatchel RJ, Polatin P, Mayer T. Prevalence of psychiatric disorders in patients with chronic work-related musculoskeletal pain disability. </w:t>
      </w:r>
      <w:r w:rsidRPr="00D61F73">
        <w:rPr>
          <w:rFonts w:ascii="Arial" w:hAnsi="Arial" w:cs="Arial"/>
          <w:b/>
          <w:bCs/>
          <w:i/>
          <w:iCs/>
        </w:rPr>
        <w:t>J Occup Environ Med</w:t>
      </w:r>
      <w:r w:rsidRPr="00D61F73">
        <w:rPr>
          <w:rFonts w:ascii="Arial" w:hAnsi="Arial" w:cs="Arial"/>
          <w:b/>
          <w:bCs/>
        </w:rPr>
        <w:t>. 2002 May;44(5):459-68.</w:t>
      </w:r>
    </w:p>
    <w:p w14:paraId="2E784F6E" w14:textId="77777777" w:rsidR="008D0565" w:rsidRPr="00D61F73" w:rsidRDefault="008D0565" w:rsidP="00D61F73">
      <w:pPr>
        <w:rPr>
          <w:rFonts w:ascii="Arial" w:hAnsi="Arial" w:cs="Arial"/>
        </w:rPr>
      </w:pPr>
    </w:p>
    <w:p w14:paraId="588BEE47" w14:textId="77777777" w:rsidR="008D0565" w:rsidRPr="00D61F73" w:rsidRDefault="008D0565" w:rsidP="00D61F73">
      <w:pPr>
        <w:rPr>
          <w:rFonts w:ascii="Arial" w:hAnsi="Arial" w:cs="Arial"/>
        </w:rPr>
      </w:pPr>
      <w:r w:rsidRPr="00D61F73">
        <w:rPr>
          <w:rFonts w:ascii="Arial" w:hAnsi="Arial" w:cs="Arial"/>
        </w:rPr>
        <w:t xml:space="preserve">A majority (64%) of patients were diagnosed with at least one current disorder, compared with only 15% of the general population. However, prevalences of psychiatric disorders were elevated in patients only after the work-related disability. </w:t>
      </w:r>
    </w:p>
    <w:p w14:paraId="0B40F6EF" w14:textId="77777777" w:rsidR="008D0565" w:rsidRPr="00D61F73" w:rsidRDefault="008D0565" w:rsidP="00D61F73">
      <w:pPr>
        <w:rPr>
          <w:rFonts w:ascii="Arial" w:hAnsi="Arial" w:cs="Arial"/>
        </w:rPr>
      </w:pPr>
    </w:p>
    <w:p w14:paraId="564DD9D5" w14:textId="77777777" w:rsidR="008D0565" w:rsidRPr="00D61F73" w:rsidRDefault="008D0565" w:rsidP="00D61F73">
      <w:pPr>
        <w:rPr>
          <w:rFonts w:ascii="Arial" w:hAnsi="Arial" w:cs="Arial"/>
        </w:rPr>
      </w:pPr>
      <w:r w:rsidRPr="00D61F73">
        <w:rPr>
          <w:rFonts w:ascii="Arial" w:hAnsi="Arial" w:cs="Arial"/>
        </w:rPr>
        <w:t xml:space="preserve">PMID: </w:t>
      </w:r>
      <w:hyperlink r:id="rId371" w:history="1">
        <w:r w:rsidRPr="00D61F73">
          <w:rPr>
            <w:rStyle w:val="Hyperlink"/>
            <w:rFonts w:ascii="Arial" w:hAnsi="Arial" w:cs="Arial"/>
          </w:rPr>
          <w:t>12024691</w:t>
        </w:r>
      </w:hyperlink>
    </w:p>
    <w:p w14:paraId="03AAA443" w14:textId="77777777" w:rsidR="008D0565" w:rsidRPr="00D61F73" w:rsidRDefault="008D0565" w:rsidP="00D61F73">
      <w:pPr>
        <w:rPr>
          <w:rFonts w:ascii="Arial" w:hAnsi="Arial" w:cs="Arial"/>
        </w:rPr>
      </w:pPr>
    </w:p>
    <w:p w14:paraId="446C56B0" w14:textId="77777777" w:rsidR="008D0565" w:rsidRPr="00D61F73" w:rsidRDefault="008D0565" w:rsidP="00D61F73">
      <w:pPr>
        <w:rPr>
          <w:rFonts w:ascii="Arial" w:hAnsi="Arial" w:cs="Arial"/>
        </w:rPr>
      </w:pPr>
      <w:r w:rsidRPr="00D61F73">
        <w:rPr>
          <w:rFonts w:ascii="Arial" w:hAnsi="Arial" w:cs="Arial"/>
        </w:rPr>
        <w:t>Rating: 4a</w:t>
      </w:r>
    </w:p>
    <w:p w14:paraId="0B46683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50" w:name="Dersh2007"/>
      <w:bookmarkEnd w:id="650"/>
      <w:r w:rsidRPr="00D61F73">
        <w:rPr>
          <w:rFonts w:ascii="Arial" w:hAnsi="Arial" w:cs="Arial"/>
          <w:b/>
          <w:bCs/>
        </w:rPr>
        <w:t xml:space="preserve">ersh J, Mayer T, Gatchel RJ, Towns B, Theodore B, Polatin P. Psychiatric comorbidity in chronic disabling occupational spinal disorders has minimal impact on functional restoration socioeconomic outcomes. </w:t>
      </w:r>
      <w:r w:rsidRPr="00D61F73">
        <w:rPr>
          <w:rFonts w:ascii="Arial" w:hAnsi="Arial" w:cs="Arial"/>
          <w:b/>
          <w:bCs/>
          <w:i/>
        </w:rPr>
        <w:t>Spine.</w:t>
      </w:r>
      <w:r w:rsidRPr="00D61F73">
        <w:rPr>
          <w:rFonts w:ascii="Arial" w:hAnsi="Arial" w:cs="Arial"/>
          <w:b/>
          <w:bCs/>
        </w:rPr>
        <w:t xml:space="preserve"> 2007;32:1917-25.</w:t>
      </w:r>
    </w:p>
    <w:p w14:paraId="2717F9DE" w14:textId="77777777" w:rsidR="008D0565" w:rsidRPr="00D61F73" w:rsidRDefault="008D0565" w:rsidP="00D61F73">
      <w:pPr>
        <w:rPr>
          <w:rFonts w:ascii="Arial" w:hAnsi="Arial" w:cs="Arial"/>
        </w:rPr>
      </w:pPr>
    </w:p>
    <w:p w14:paraId="5DD979DC" w14:textId="77777777" w:rsidR="008D0565" w:rsidRPr="00D61F73" w:rsidRDefault="008D0565" w:rsidP="00D61F73">
      <w:pPr>
        <w:rPr>
          <w:rFonts w:ascii="Arial" w:hAnsi="Arial" w:cs="Arial"/>
        </w:rPr>
      </w:pPr>
      <w:r w:rsidRPr="00D61F73">
        <w:rPr>
          <w:rFonts w:ascii="Arial" w:hAnsi="Arial" w:cs="Arial"/>
        </w:rPr>
        <w:t xml:space="preserve">CONCLUSIONS: Poorer work outcomes were more common with specific (and comorbid) Axis I psychiatric disorders. Opioid dependence was the single disorder associated most often with less successful outcomes. </w:t>
      </w:r>
    </w:p>
    <w:p w14:paraId="7B24E04F" w14:textId="77777777" w:rsidR="008D0565" w:rsidRPr="00D61F73" w:rsidRDefault="008D0565" w:rsidP="00D61F73">
      <w:pPr>
        <w:rPr>
          <w:rFonts w:ascii="Arial" w:hAnsi="Arial" w:cs="Arial"/>
        </w:rPr>
      </w:pPr>
    </w:p>
    <w:p w14:paraId="50BE2C69" w14:textId="77777777" w:rsidR="008D0565" w:rsidRPr="00D61F73" w:rsidRDefault="008D0565" w:rsidP="00D61F73">
      <w:pPr>
        <w:rPr>
          <w:rFonts w:ascii="Arial" w:hAnsi="Arial" w:cs="Arial"/>
        </w:rPr>
      </w:pPr>
      <w:r w:rsidRPr="00D61F73">
        <w:rPr>
          <w:rFonts w:ascii="Arial" w:hAnsi="Arial" w:cs="Arial"/>
        </w:rPr>
        <w:t xml:space="preserve">PMID: </w:t>
      </w:r>
      <w:hyperlink r:id="rId372" w:history="1">
        <w:r w:rsidRPr="00D61F73">
          <w:rPr>
            <w:rStyle w:val="Hyperlink"/>
            <w:rFonts w:ascii="Arial" w:hAnsi="Arial" w:cs="Arial"/>
          </w:rPr>
          <w:t>17762302</w:t>
        </w:r>
      </w:hyperlink>
    </w:p>
    <w:p w14:paraId="2ABA9FC6" w14:textId="77777777" w:rsidR="008D0565" w:rsidRPr="00D61F73" w:rsidRDefault="008D0565" w:rsidP="00D61F73">
      <w:pPr>
        <w:rPr>
          <w:rFonts w:ascii="Arial" w:hAnsi="Arial" w:cs="Arial"/>
        </w:rPr>
      </w:pPr>
    </w:p>
    <w:p w14:paraId="54902A6C" w14:textId="77777777" w:rsidR="008D0565" w:rsidRPr="00D61F73" w:rsidRDefault="008D0565" w:rsidP="00D61F73">
      <w:pPr>
        <w:rPr>
          <w:rFonts w:ascii="Arial" w:hAnsi="Arial" w:cs="Arial"/>
        </w:rPr>
      </w:pPr>
      <w:r w:rsidRPr="00D61F73">
        <w:rPr>
          <w:rFonts w:ascii="Arial" w:hAnsi="Arial" w:cs="Arial"/>
        </w:rPr>
        <w:t>Rating: 4a</w:t>
      </w:r>
    </w:p>
    <w:p w14:paraId="39B8539E"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D</w:t>
      </w:r>
      <w:bookmarkStart w:id="651" w:name="Dersh2008"/>
      <w:bookmarkEnd w:id="651"/>
      <w:r w:rsidRPr="00D61F73">
        <w:rPr>
          <w:rFonts w:ascii="Arial" w:hAnsi="Arial" w:cs="Arial"/>
          <w:b/>
        </w:rPr>
        <w:t xml:space="preserve">ersh J, Mayer TG, Gatchel RJ, Polatin PB, Theodore BR, Mayer EA. Prescription opioid dependence is associated with poorer outcomes in disabling spinal disorders. </w:t>
      </w:r>
      <w:r w:rsidRPr="00D61F73">
        <w:rPr>
          <w:rFonts w:ascii="Arial" w:hAnsi="Arial" w:cs="Arial"/>
          <w:b/>
          <w:i/>
          <w:iCs/>
        </w:rPr>
        <w:t>Spine.</w:t>
      </w:r>
      <w:r w:rsidRPr="00D61F73">
        <w:rPr>
          <w:rFonts w:ascii="Arial" w:hAnsi="Arial" w:cs="Arial"/>
          <w:b/>
        </w:rPr>
        <w:t xml:space="preserve"> 2008;33:2219-27</w:t>
      </w:r>
      <w:r w:rsidRPr="00D61F73">
        <w:rPr>
          <w:rFonts w:ascii="Arial" w:hAnsi="Arial" w:cs="Arial"/>
        </w:rPr>
        <w:t>.</w:t>
      </w:r>
    </w:p>
    <w:p w14:paraId="6F6C9AD4" w14:textId="77777777" w:rsidR="008D0565" w:rsidRPr="00D61F73" w:rsidRDefault="008D0565" w:rsidP="00D61F73">
      <w:pPr>
        <w:rPr>
          <w:rFonts w:ascii="Arial" w:hAnsi="Arial" w:cs="Arial"/>
        </w:rPr>
      </w:pPr>
    </w:p>
    <w:p w14:paraId="347CAD54" w14:textId="77777777" w:rsidR="008D0565" w:rsidRPr="00D61F73" w:rsidRDefault="008D0565" w:rsidP="00D61F73">
      <w:pPr>
        <w:rPr>
          <w:rFonts w:ascii="Arial" w:hAnsi="Arial" w:cs="Arial"/>
        </w:rPr>
      </w:pPr>
      <w:r w:rsidRPr="00D61F73">
        <w:rPr>
          <w:rFonts w:ascii="Arial" w:hAnsi="Arial" w:cs="Arial"/>
        </w:rPr>
        <w:t>CONCLUSIONS: Iatrogenic prescription opioid dependence may be a risk factor for less successful long-term work and health outcomes, even after detoxification from opioids as part of an interdisciplinary functional rehabilitation program. Chronic prescription opioid dependence in this patient population is also associated with a significantly higher prevalence of comorbid psychiatric conditions, both axis I and II.</w:t>
      </w:r>
    </w:p>
    <w:p w14:paraId="2E12422A" w14:textId="77777777" w:rsidR="008D0565" w:rsidRPr="00D61F73" w:rsidRDefault="008D0565" w:rsidP="00D61F73">
      <w:pPr>
        <w:rPr>
          <w:rFonts w:ascii="Arial" w:hAnsi="Arial" w:cs="Arial"/>
        </w:rPr>
      </w:pPr>
    </w:p>
    <w:p w14:paraId="0D810626" w14:textId="77777777" w:rsidR="008D0565" w:rsidRPr="00D61F73" w:rsidRDefault="008D0565" w:rsidP="00D61F73">
      <w:pPr>
        <w:rPr>
          <w:rFonts w:ascii="Arial" w:hAnsi="Arial" w:cs="Arial"/>
        </w:rPr>
      </w:pPr>
      <w:r w:rsidRPr="00D61F73">
        <w:rPr>
          <w:rFonts w:ascii="Arial" w:hAnsi="Arial" w:cs="Arial"/>
        </w:rPr>
        <w:t xml:space="preserve">PMID: </w:t>
      </w:r>
      <w:hyperlink r:id="rId373" w:history="1">
        <w:r w:rsidRPr="00D61F73">
          <w:rPr>
            <w:rStyle w:val="Hyperlink"/>
            <w:rFonts w:ascii="Arial" w:hAnsi="Arial" w:cs="Arial"/>
          </w:rPr>
          <w:t>18725868</w:t>
        </w:r>
      </w:hyperlink>
    </w:p>
    <w:p w14:paraId="29D59ED2" w14:textId="77777777" w:rsidR="008D0565" w:rsidRPr="00D61F73" w:rsidRDefault="008D0565" w:rsidP="00D61F73">
      <w:pPr>
        <w:rPr>
          <w:rFonts w:ascii="Arial" w:hAnsi="Arial" w:cs="Arial"/>
        </w:rPr>
      </w:pPr>
    </w:p>
    <w:p w14:paraId="033AAEEA" w14:textId="77777777" w:rsidR="008D0565" w:rsidRPr="00D61F73" w:rsidRDefault="008D0565" w:rsidP="00D61F73">
      <w:pPr>
        <w:rPr>
          <w:rFonts w:ascii="Arial" w:hAnsi="Arial" w:cs="Arial"/>
        </w:rPr>
      </w:pPr>
      <w:r w:rsidRPr="00D61F73">
        <w:rPr>
          <w:rFonts w:ascii="Arial" w:hAnsi="Arial" w:cs="Arial"/>
        </w:rPr>
        <w:t>Rating: 3a</w:t>
      </w:r>
    </w:p>
    <w:p w14:paraId="7D550B90"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D</w:t>
      </w:r>
      <w:bookmarkStart w:id="652" w:name="Devleeschouwer2008"/>
      <w:bookmarkEnd w:id="652"/>
      <w:r w:rsidRPr="00D61F73">
        <w:rPr>
          <w:rFonts w:ascii="Arial" w:hAnsi="Arial" w:cs="Arial"/>
          <w:b/>
        </w:rPr>
        <w:t xml:space="preserve">evleeschouwer V, Roelandts R, Garmyn M, Goossens A. Allergic and photoallergic contact dermatitis from ketoprofen: results of (photo) patch testing and follow-up of 42 patients. </w:t>
      </w:r>
      <w:r w:rsidRPr="00D61F73">
        <w:rPr>
          <w:rFonts w:ascii="Arial" w:hAnsi="Arial" w:cs="Arial"/>
          <w:b/>
          <w:i/>
        </w:rPr>
        <w:t>Contact Dermatitis</w:t>
      </w:r>
      <w:r w:rsidRPr="00D61F73">
        <w:rPr>
          <w:rFonts w:ascii="Arial" w:hAnsi="Arial" w:cs="Arial"/>
          <w:b/>
        </w:rPr>
        <w:t>. 2008;58:159-66.</w:t>
      </w:r>
    </w:p>
    <w:p w14:paraId="42A99B3C" w14:textId="77777777" w:rsidR="008D0565" w:rsidRPr="00D61F73" w:rsidRDefault="008D0565" w:rsidP="00D61F73">
      <w:pPr>
        <w:rPr>
          <w:rFonts w:ascii="Arial" w:eastAsia="Calibri" w:hAnsi="Arial" w:cs="Arial"/>
        </w:rPr>
      </w:pPr>
    </w:p>
    <w:p w14:paraId="7FB52A61" w14:textId="77777777" w:rsidR="008D0565" w:rsidRPr="00D61F73" w:rsidRDefault="008D0565" w:rsidP="00D61F73">
      <w:pPr>
        <w:rPr>
          <w:rFonts w:ascii="Arial" w:eastAsia="Calibri" w:hAnsi="Arial" w:cs="Arial"/>
        </w:rPr>
      </w:pPr>
      <w:r w:rsidRPr="00D61F73">
        <w:rPr>
          <w:rFonts w:ascii="Arial" w:hAnsi="Arial" w:cs="Arial"/>
        </w:rPr>
        <w:t>Photoallergic contact dermatitis from topical ketoprofen (KP), a nonsteroidal anti-inflammatory agent, is a well-known side effect.</w:t>
      </w:r>
      <w:r w:rsidRPr="00D61F73">
        <w:rPr>
          <w:rFonts w:ascii="Arial" w:eastAsia="Calibri" w:hAnsi="Arial" w:cs="Arial"/>
        </w:rPr>
        <w:t xml:space="preserve"> T</w:t>
      </w:r>
      <w:r w:rsidRPr="00D61F73">
        <w:rPr>
          <w:rFonts w:ascii="Arial" w:hAnsi="Arial" w:cs="Arial"/>
        </w:rPr>
        <w:t xml:space="preserve">he severe clinical symptoms sometimes require hospitalization, and/or systemic corticosteroids. </w:t>
      </w:r>
    </w:p>
    <w:p w14:paraId="6427C66B" w14:textId="77777777" w:rsidR="008D0565" w:rsidRPr="00D61F73" w:rsidRDefault="008D0565" w:rsidP="00D61F73">
      <w:pPr>
        <w:rPr>
          <w:rFonts w:ascii="Arial" w:eastAsia="Calibri" w:hAnsi="Arial" w:cs="Arial"/>
        </w:rPr>
      </w:pPr>
    </w:p>
    <w:p w14:paraId="64F3E863"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74" w:history="1">
        <w:r w:rsidRPr="00D61F73">
          <w:rPr>
            <w:rStyle w:val="Hyperlink"/>
            <w:rFonts w:ascii="Arial" w:hAnsi="Arial" w:cs="Arial"/>
          </w:rPr>
          <w:t>18279154</w:t>
        </w:r>
      </w:hyperlink>
    </w:p>
    <w:p w14:paraId="7C26FEEB" w14:textId="77777777" w:rsidR="008D0565" w:rsidRPr="00D61F73" w:rsidRDefault="008D0565" w:rsidP="00D61F73">
      <w:pPr>
        <w:rPr>
          <w:rFonts w:ascii="Arial" w:eastAsia="Calibri" w:hAnsi="Arial" w:cs="Arial"/>
        </w:rPr>
      </w:pPr>
    </w:p>
    <w:p w14:paraId="7F0E7F38" w14:textId="77777777" w:rsidR="008D0565" w:rsidRPr="00D61F73" w:rsidRDefault="008D0565" w:rsidP="00D61F73">
      <w:pPr>
        <w:rPr>
          <w:rFonts w:ascii="Arial" w:hAnsi="Arial" w:cs="Arial"/>
        </w:rPr>
      </w:pPr>
      <w:r w:rsidRPr="00D61F73">
        <w:rPr>
          <w:rFonts w:ascii="Arial" w:hAnsi="Arial" w:cs="Arial"/>
        </w:rPr>
        <w:t>Rating: 4a</w:t>
      </w:r>
    </w:p>
    <w:p w14:paraId="6A337F4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D</w:t>
      </w:r>
      <w:bookmarkStart w:id="653" w:name="Diaz"/>
      <w:bookmarkEnd w:id="653"/>
      <w:r w:rsidRPr="00D61F73">
        <w:rPr>
          <w:rFonts w:ascii="Arial" w:hAnsi="Arial" w:cs="Arial"/>
          <w:b/>
        </w:rPr>
        <w:t xml:space="preserve">iaz RL, Gardeazabal J, Manrique P, Ratón JA, Urrutia I, Rodríguez-Sasiain JM, Aguirre C. Greater allergenicity of topical ketoprofen in contact dermatitis confirmed by use. </w:t>
      </w:r>
      <w:r w:rsidRPr="00D61F73">
        <w:rPr>
          <w:rFonts w:ascii="Arial" w:hAnsi="Arial" w:cs="Arial"/>
          <w:b/>
          <w:i/>
        </w:rPr>
        <w:t>Contact Dermatitis.</w:t>
      </w:r>
      <w:r w:rsidRPr="00D61F73">
        <w:rPr>
          <w:rFonts w:ascii="Arial" w:hAnsi="Arial" w:cs="Arial"/>
          <w:b/>
        </w:rPr>
        <w:t xml:space="preserve"> 2006;54:239-43.</w:t>
      </w:r>
    </w:p>
    <w:p w14:paraId="54A7A5D5" w14:textId="77777777" w:rsidR="008D0565" w:rsidRPr="00D61F73" w:rsidRDefault="008D0565" w:rsidP="00D61F73">
      <w:pPr>
        <w:rPr>
          <w:rFonts w:ascii="Arial" w:hAnsi="Arial" w:cs="Arial"/>
          <w:b/>
        </w:rPr>
      </w:pPr>
    </w:p>
    <w:p w14:paraId="3E91B5B2" w14:textId="77777777" w:rsidR="008D0565" w:rsidRPr="00D61F73" w:rsidRDefault="008D0565" w:rsidP="00D61F73">
      <w:pPr>
        <w:rPr>
          <w:rFonts w:ascii="Arial" w:hAnsi="Arial" w:cs="Arial"/>
        </w:rPr>
      </w:pPr>
      <w:r w:rsidRPr="00D61F73">
        <w:rPr>
          <w:rFonts w:ascii="Arial" w:hAnsi="Arial" w:cs="Arial"/>
        </w:rPr>
        <w:t>The use of topical non-steroidal anti-inflammatory drugs (NSAIDs) is very popular in spite of their doubtful efficacy and high number of generally not serious, but preventable, adverse effects, especially photoallergy. A total of 139 contact reactions to topical NSAIDs were found with ketoprofen being responsible for 28% of the allergies and 82% of the contact photoallergies in spite of not being the most used topical NSAID (third in the ranking, diclofenac was the first). The results support the need for regulatory action on topical ketoprofen.</w:t>
      </w:r>
    </w:p>
    <w:p w14:paraId="76F434EB" w14:textId="77777777" w:rsidR="008D0565" w:rsidRPr="00D61F73" w:rsidRDefault="008D0565" w:rsidP="00D61F73">
      <w:pPr>
        <w:rPr>
          <w:rFonts w:ascii="Arial" w:hAnsi="Arial" w:cs="Arial"/>
        </w:rPr>
      </w:pPr>
    </w:p>
    <w:p w14:paraId="119F119C" w14:textId="77777777" w:rsidR="008D0565" w:rsidRPr="00D61F73" w:rsidRDefault="008D0565" w:rsidP="00D61F73">
      <w:pPr>
        <w:rPr>
          <w:rFonts w:ascii="Arial" w:hAnsi="Arial" w:cs="Arial"/>
        </w:rPr>
      </w:pPr>
      <w:r w:rsidRPr="00D61F73">
        <w:rPr>
          <w:rFonts w:ascii="Arial" w:hAnsi="Arial" w:cs="Arial"/>
        </w:rPr>
        <w:t xml:space="preserve">PMID: </w:t>
      </w:r>
      <w:hyperlink r:id="rId375" w:history="1">
        <w:r w:rsidRPr="00D61F73">
          <w:rPr>
            <w:rStyle w:val="Hyperlink"/>
            <w:rFonts w:ascii="Arial" w:hAnsi="Arial" w:cs="Arial"/>
          </w:rPr>
          <w:t>16689806</w:t>
        </w:r>
      </w:hyperlink>
      <w:r w:rsidRPr="00D61F73">
        <w:rPr>
          <w:rFonts w:ascii="Arial" w:hAnsi="Arial" w:cs="Arial"/>
        </w:rPr>
        <w:t xml:space="preserve"> </w:t>
      </w:r>
    </w:p>
    <w:p w14:paraId="1E73596D" w14:textId="77777777" w:rsidR="008D0565" w:rsidRPr="00D61F73" w:rsidRDefault="008D0565" w:rsidP="00D61F73">
      <w:pPr>
        <w:rPr>
          <w:rFonts w:ascii="Arial" w:hAnsi="Arial" w:cs="Arial"/>
        </w:rPr>
      </w:pPr>
    </w:p>
    <w:p w14:paraId="4A3A7693" w14:textId="77777777" w:rsidR="008D0565" w:rsidRPr="00D61F73" w:rsidRDefault="008D0565" w:rsidP="00D61F73">
      <w:pPr>
        <w:rPr>
          <w:rFonts w:ascii="Arial" w:hAnsi="Arial" w:cs="Arial"/>
        </w:rPr>
      </w:pPr>
      <w:r w:rsidRPr="00D61F73">
        <w:rPr>
          <w:rFonts w:ascii="Arial" w:hAnsi="Arial" w:cs="Arial"/>
        </w:rPr>
        <w:t>Rating: 4b</w:t>
      </w:r>
    </w:p>
    <w:p w14:paraId="3FE3C649"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D</w:t>
      </w:r>
      <w:bookmarkStart w:id="654" w:name="Dickenson"/>
      <w:bookmarkEnd w:id="654"/>
      <w:r w:rsidRPr="00D61F73">
        <w:rPr>
          <w:rFonts w:ascii="Arial" w:hAnsi="Arial" w:cs="Arial"/>
          <w:b/>
        </w:rPr>
        <w:t xml:space="preserve">ickenson WE, Eickelberg SJ. Management of sedative-hypnotic intoxication and withdrawal. In Reis RK, Fiellin DA, Miller SC, Saitz R. eds. </w:t>
      </w:r>
      <w:r w:rsidRPr="00D61F73">
        <w:rPr>
          <w:rFonts w:ascii="Arial" w:hAnsi="Arial" w:cs="Arial"/>
          <w:b/>
          <w:i/>
        </w:rPr>
        <w:t>Principles of Addiction Medicine</w:t>
      </w:r>
      <w:r w:rsidRPr="00D61F73">
        <w:rPr>
          <w:rFonts w:ascii="Arial" w:hAnsi="Arial" w:cs="Arial"/>
          <w:b/>
        </w:rPr>
        <w:t>, 4</w:t>
      </w:r>
      <w:r w:rsidRPr="00D61F73">
        <w:rPr>
          <w:rFonts w:ascii="Arial" w:hAnsi="Arial" w:cs="Arial"/>
          <w:b/>
          <w:vertAlign w:val="superscript"/>
        </w:rPr>
        <w:t>th</w:t>
      </w:r>
      <w:r w:rsidRPr="00D61F73">
        <w:rPr>
          <w:rFonts w:ascii="Arial" w:hAnsi="Arial" w:cs="Arial"/>
          <w:b/>
        </w:rPr>
        <w:t xml:space="preserve"> edition. Lippincott Williams &amp; Wilkins, 2009.</w:t>
      </w:r>
    </w:p>
    <w:p w14:paraId="203AB30A" w14:textId="77777777" w:rsidR="008D0565" w:rsidRPr="00D61F73" w:rsidRDefault="008D0565" w:rsidP="00D61F73">
      <w:pPr>
        <w:rPr>
          <w:rFonts w:ascii="Arial" w:eastAsia="Calibri" w:hAnsi="Arial" w:cs="Arial"/>
          <w:b/>
        </w:rPr>
      </w:pPr>
    </w:p>
    <w:p w14:paraId="06F35C48" w14:textId="77777777" w:rsidR="008D0565" w:rsidRPr="00D61F73" w:rsidRDefault="008D0565" w:rsidP="00D61F73">
      <w:pPr>
        <w:rPr>
          <w:rFonts w:ascii="Arial" w:eastAsia="Calibri" w:hAnsi="Arial" w:cs="Arial"/>
        </w:rPr>
      </w:pPr>
      <w:r w:rsidRPr="00D61F73">
        <w:rPr>
          <w:rFonts w:ascii="Arial" w:hAnsi="Arial" w:cs="Arial"/>
        </w:rPr>
        <w:t>Rating: 9a</w:t>
      </w:r>
    </w:p>
    <w:p w14:paraId="4127DAD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55" w:name="Distel2011"/>
      <w:bookmarkEnd w:id="655"/>
      <w:r w:rsidRPr="00D61F73">
        <w:rPr>
          <w:rFonts w:ascii="Arial" w:hAnsi="Arial" w:cs="Arial"/>
          <w:b/>
          <w:bCs/>
        </w:rPr>
        <w:t xml:space="preserve">istel LM, Best TM. Prolotherapy: a clinical review of its role in treating chronic musculoskeletal pain. </w:t>
      </w:r>
      <w:r w:rsidRPr="00D61F73">
        <w:rPr>
          <w:rFonts w:ascii="Arial" w:hAnsi="Arial" w:cs="Arial"/>
          <w:b/>
          <w:bCs/>
          <w:i/>
          <w:iCs/>
        </w:rPr>
        <w:t>PM R</w:t>
      </w:r>
      <w:r w:rsidRPr="00D61F73">
        <w:rPr>
          <w:rFonts w:ascii="Arial" w:hAnsi="Arial" w:cs="Arial"/>
          <w:b/>
          <w:bCs/>
        </w:rPr>
        <w:t>. 2011 Jun;3(6 Suppl 1):S78-81.</w:t>
      </w:r>
    </w:p>
    <w:p w14:paraId="31047700" w14:textId="77777777" w:rsidR="008D0565" w:rsidRPr="00D61F73" w:rsidRDefault="008D0565" w:rsidP="00D61F73">
      <w:pPr>
        <w:rPr>
          <w:rFonts w:ascii="Arial" w:hAnsi="Arial" w:cs="Arial"/>
        </w:rPr>
      </w:pPr>
    </w:p>
    <w:p w14:paraId="13561A9D" w14:textId="77777777" w:rsidR="008D0565" w:rsidRPr="00D61F73" w:rsidRDefault="008D0565" w:rsidP="00D61F73">
      <w:pPr>
        <w:rPr>
          <w:rFonts w:ascii="Arial" w:hAnsi="Arial" w:cs="Arial"/>
        </w:rPr>
      </w:pPr>
      <w:r w:rsidRPr="00D61F73">
        <w:rPr>
          <w:rFonts w:ascii="Arial" w:hAnsi="Arial" w:cs="Arial"/>
        </w:rPr>
        <w:t xml:space="preserve">Additional larger, randomized controlled trials are needed to make specific recommendations regarding ideal protocols and indications. </w:t>
      </w:r>
    </w:p>
    <w:p w14:paraId="6947A3D1" w14:textId="77777777" w:rsidR="008D0565" w:rsidRPr="00D61F73" w:rsidRDefault="008D0565" w:rsidP="00D61F73">
      <w:pPr>
        <w:rPr>
          <w:rFonts w:ascii="Arial" w:hAnsi="Arial" w:cs="Arial"/>
        </w:rPr>
      </w:pPr>
    </w:p>
    <w:p w14:paraId="7C647E43" w14:textId="77777777" w:rsidR="008D0565" w:rsidRPr="00D61F73" w:rsidRDefault="008D0565" w:rsidP="00D61F73">
      <w:pPr>
        <w:rPr>
          <w:rFonts w:ascii="Arial" w:hAnsi="Arial" w:cs="Arial"/>
        </w:rPr>
      </w:pPr>
      <w:r w:rsidRPr="00D61F73">
        <w:rPr>
          <w:rFonts w:ascii="Arial" w:hAnsi="Arial" w:cs="Arial"/>
        </w:rPr>
        <w:t xml:space="preserve">PMID: </w:t>
      </w:r>
      <w:hyperlink r:id="rId376" w:history="1">
        <w:r w:rsidRPr="00D61F73">
          <w:rPr>
            <w:rStyle w:val="Hyperlink"/>
            <w:rFonts w:ascii="Arial" w:hAnsi="Arial" w:cs="Arial"/>
          </w:rPr>
          <w:t>21703585</w:t>
        </w:r>
      </w:hyperlink>
      <w:r w:rsidRPr="00D61F73">
        <w:rPr>
          <w:rFonts w:ascii="Arial" w:hAnsi="Arial" w:cs="Arial"/>
        </w:rPr>
        <w:t xml:space="preserve"> </w:t>
      </w:r>
    </w:p>
    <w:p w14:paraId="364CBB6A" w14:textId="77777777" w:rsidR="008D0565" w:rsidRPr="00D61F73" w:rsidRDefault="008D0565" w:rsidP="00D61F73">
      <w:pPr>
        <w:rPr>
          <w:rFonts w:ascii="Arial" w:hAnsi="Arial" w:cs="Arial"/>
        </w:rPr>
      </w:pPr>
    </w:p>
    <w:p w14:paraId="38BE9AB7"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5b</w:t>
      </w:r>
    </w:p>
    <w:p w14:paraId="034223B8" w14:textId="77777777" w:rsidR="00850EF5" w:rsidRPr="00D61F73" w:rsidRDefault="00850EF5" w:rsidP="00D61F73">
      <w:pPr>
        <w:rPr>
          <w:rFonts w:ascii="Arial" w:hAnsi="Arial" w:cs="Arial"/>
        </w:rPr>
      </w:pPr>
      <w:r w:rsidRPr="00D61F73">
        <w:rPr>
          <w:rFonts w:ascii="Arial" w:hAnsi="Arial" w:cs="Arial"/>
        </w:rPr>
        <w:br w:type="page"/>
      </w:r>
      <w:bookmarkStart w:id="656" w:name="DoeSimkins2014"/>
      <w:r w:rsidRPr="00D61F73">
        <w:rPr>
          <w:rFonts w:ascii="Arial" w:hAnsi="Arial" w:cs="Arial"/>
          <w:b/>
        </w:rPr>
        <w:lastRenderedPageBreak/>
        <w:t xml:space="preserve">Doe-Simkins </w:t>
      </w:r>
      <w:bookmarkEnd w:id="656"/>
      <w:r w:rsidRPr="00D61F73">
        <w:rPr>
          <w:rFonts w:ascii="Arial" w:hAnsi="Arial" w:cs="Arial"/>
          <w:b/>
        </w:rPr>
        <w:t>M, Quinn E, Xuan Z, Sorensen-Alawad A, Hackman H, Ozonoff A, Walley AY. Overdose rescues by trained and untrained participants and change in opioid use among substance-using participants in overdose education and naloxone distribution programs: a retrospective cohort study. BMC Public Health. 2014;14:297.</w:t>
      </w:r>
      <w:r w:rsidRPr="00D61F73">
        <w:rPr>
          <w:rFonts w:ascii="Arial" w:hAnsi="Arial" w:cs="Arial"/>
          <w:b/>
        </w:rPr>
        <w:br/>
      </w:r>
      <w:r w:rsidRPr="00D61F73">
        <w:rPr>
          <w:rFonts w:ascii="Arial" w:hAnsi="Arial" w:cs="Arial"/>
        </w:rPr>
        <w:br/>
        <w:t xml:space="preserve">PMID: </w:t>
      </w:r>
      <w:hyperlink r:id="rId377" w:history="1">
        <w:r w:rsidRPr="00D61F73">
          <w:rPr>
            <w:rStyle w:val="Hyperlink"/>
            <w:rFonts w:ascii="Arial" w:hAnsi="Arial" w:cs="Arial"/>
          </w:rPr>
          <w:t>24684801</w:t>
        </w:r>
      </w:hyperlink>
      <w:r w:rsidRPr="00D61F73">
        <w:rPr>
          <w:rFonts w:ascii="Arial" w:hAnsi="Arial" w:cs="Arial"/>
        </w:rPr>
        <w:br/>
      </w:r>
      <w:r w:rsidRPr="00D61F73">
        <w:rPr>
          <w:rFonts w:ascii="Arial" w:hAnsi="Arial" w:cs="Arial"/>
        </w:rPr>
        <w:br/>
        <w:t>Rating: 3a</w:t>
      </w:r>
    </w:p>
    <w:p w14:paraId="1B60F70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57" w:name="Doleys"/>
      <w:bookmarkEnd w:id="657"/>
      <w:r w:rsidRPr="00D61F73">
        <w:rPr>
          <w:rFonts w:ascii="Arial" w:hAnsi="Arial" w:cs="Arial"/>
          <w:b/>
          <w:bCs/>
        </w:rPr>
        <w:t xml:space="preserve">oleys DM, Dinoff BL. Psychological aspects of interventional therapy. </w:t>
      </w:r>
      <w:r w:rsidRPr="00D61F73">
        <w:rPr>
          <w:rFonts w:ascii="Arial" w:hAnsi="Arial" w:cs="Arial"/>
          <w:b/>
          <w:bCs/>
          <w:i/>
          <w:iCs/>
        </w:rPr>
        <w:t>Anesthesiol Clin North America</w:t>
      </w:r>
      <w:r w:rsidRPr="00D61F73">
        <w:rPr>
          <w:rFonts w:ascii="Arial" w:hAnsi="Arial" w:cs="Arial"/>
          <w:b/>
          <w:bCs/>
        </w:rPr>
        <w:t>. 2003 Dec;21(4):767-83.</w:t>
      </w:r>
    </w:p>
    <w:p w14:paraId="71F18F53" w14:textId="77777777" w:rsidR="008D0565" w:rsidRPr="00D61F73" w:rsidRDefault="008D0565" w:rsidP="00D61F73">
      <w:pPr>
        <w:rPr>
          <w:rFonts w:ascii="Arial" w:hAnsi="Arial" w:cs="Arial"/>
        </w:rPr>
      </w:pPr>
    </w:p>
    <w:p w14:paraId="5B145471" w14:textId="77777777" w:rsidR="008D0565" w:rsidRPr="00D61F73" w:rsidRDefault="008D0565" w:rsidP="00D61F73">
      <w:pPr>
        <w:rPr>
          <w:rFonts w:ascii="Arial" w:hAnsi="Arial" w:cs="Arial"/>
        </w:rPr>
      </w:pPr>
      <w:r w:rsidRPr="00D61F73">
        <w:rPr>
          <w:rFonts w:ascii="Arial" w:hAnsi="Arial" w:cs="Arial"/>
        </w:rPr>
        <w:t xml:space="preserve">Even when used for diagnostic or prognostic purposes, the impact of psychosocial variables and the potential relevance of a meaningful behavioral or psychologic evaluation cannot be overstated. </w:t>
      </w:r>
    </w:p>
    <w:p w14:paraId="35F86578" w14:textId="77777777" w:rsidR="008D0565" w:rsidRPr="00D61F73" w:rsidRDefault="008D0565" w:rsidP="00D61F73">
      <w:pPr>
        <w:rPr>
          <w:rFonts w:ascii="Arial" w:hAnsi="Arial" w:cs="Arial"/>
        </w:rPr>
      </w:pPr>
    </w:p>
    <w:p w14:paraId="15596E16" w14:textId="77777777" w:rsidR="008D0565" w:rsidRPr="00D61F73" w:rsidRDefault="008D0565" w:rsidP="00D61F73">
      <w:pPr>
        <w:rPr>
          <w:rFonts w:ascii="Arial" w:hAnsi="Arial" w:cs="Arial"/>
        </w:rPr>
      </w:pPr>
      <w:r w:rsidRPr="00D61F73">
        <w:rPr>
          <w:rFonts w:ascii="Arial" w:hAnsi="Arial" w:cs="Arial"/>
        </w:rPr>
        <w:t xml:space="preserve">PMID: </w:t>
      </w:r>
      <w:hyperlink r:id="rId378" w:history="1">
        <w:r w:rsidRPr="00D61F73">
          <w:rPr>
            <w:rStyle w:val="Hyperlink"/>
            <w:rFonts w:ascii="Arial" w:hAnsi="Arial" w:cs="Arial"/>
          </w:rPr>
          <w:t>14719718</w:t>
        </w:r>
      </w:hyperlink>
      <w:r w:rsidRPr="00D61F73">
        <w:rPr>
          <w:rFonts w:ascii="Arial" w:hAnsi="Arial" w:cs="Arial"/>
        </w:rPr>
        <w:t xml:space="preserve"> </w:t>
      </w:r>
    </w:p>
    <w:p w14:paraId="22E0EC07" w14:textId="77777777" w:rsidR="008D0565" w:rsidRPr="00D61F73" w:rsidRDefault="008D0565" w:rsidP="00D61F73">
      <w:pPr>
        <w:rPr>
          <w:rFonts w:ascii="Arial" w:hAnsi="Arial" w:cs="Arial"/>
        </w:rPr>
      </w:pPr>
    </w:p>
    <w:p w14:paraId="29CB9E90" w14:textId="77777777" w:rsidR="008D0565" w:rsidRPr="00D61F73" w:rsidRDefault="008D0565" w:rsidP="00D61F73">
      <w:pPr>
        <w:rPr>
          <w:rFonts w:ascii="Arial" w:hAnsi="Arial" w:cs="Arial"/>
        </w:rPr>
      </w:pPr>
      <w:r w:rsidRPr="00D61F73">
        <w:rPr>
          <w:rFonts w:ascii="Arial" w:hAnsi="Arial" w:cs="Arial"/>
        </w:rPr>
        <w:t>Rating: 5a</w:t>
      </w:r>
    </w:p>
    <w:p w14:paraId="038EC1D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58" w:name="Donnellan2010"/>
      <w:bookmarkEnd w:id="658"/>
      <w:r w:rsidRPr="00D61F73">
        <w:rPr>
          <w:rFonts w:ascii="Arial" w:hAnsi="Arial" w:cs="Arial"/>
          <w:b/>
          <w:bCs/>
        </w:rPr>
        <w:t xml:space="preserve">onnellan C, Preston C, Moayyedi P, Sharma N. Medical treatments for the maintenance therapy of reflux oesophagitis and endoscopic negative reflux disease. </w:t>
      </w:r>
      <w:r w:rsidRPr="00D61F73">
        <w:rPr>
          <w:rFonts w:ascii="Arial" w:hAnsi="Arial" w:cs="Arial"/>
          <w:b/>
          <w:bCs/>
          <w:i/>
          <w:iCs/>
        </w:rPr>
        <w:t>Cochrane Database Syst Rev.</w:t>
      </w:r>
      <w:r w:rsidRPr="00D61F73">
        <w:rPr>
          <w:rFonts w:ascii="Arial" w:hAnsi="Arial" w:cs="Arial"/>
          <w:b/>
          <w:bCs/>
        </w:rPr>
        <w:t xml:space="preserve"> 2010 Feb 17;2:CD003245.</w:t>
      </w:r>
    </w:p>
    <w:p w14:paraId="16B04D66" w14:textId="77777777" w:rsidR="008D0565" w:rsidRPr="00D61F73" w:rsidRDefault="008D0565" w:rsidP="00D61F73">
      <w:pPr>
        <w:rPr>
          <w:rFonts w:ascii="Arial" w:hAnsi="Arial" w:cs="Arial"/>
        </w:rPr>
      </w:pPr>
    </w:p>
    <w:p w14:paraId="0495FD2D" w14:textId="77777777" w:rsidR="008D0565" w:rsidRPr="00D61F73" w:rsidRDefault="008D0565" w:rsidP="00D61F73">
      <w:pPr>
        <w:rPr>
          <w:rFonts w:ascii="Arial" w:hAnsi="Arial" w:cs="Arial"/>
        </w:rPr>
      </w:pPr>
      <w:r w:rsidRPr="00D61F73">
        <w:rPr>
          <w:rFonts w:ascii="Arial" w:hAnsi="Arial" w:cs="Arial"/>
        </w:rPr>
        <w:t>CONCLUSIONS: Healing doses of PPIs are more effective than all other therapies, although there is an increase in overall adverse effects compared to placebo.</w:t>
      </w:r>
    </w:p>
    <w:p w14:paraId="091E66E4" w14:textId="77777777" w:rsidR="008D0565" w:rsidRPr="00D61F73" w:rsidRDefault="008D0565" w:rsidP="00D61F73">
      <w:pPr>
        <w:rPr>
          <w:rFonts w:ascii="Arial" w:hAnsi="Arial" w:cs="Arial"/>
        </w:rPr>
      </w:pPr>
    </w:p>
    <w:p w14:paraId="6E5DED80" w14:textId="77777777" w:rsidR="008D0565" w:rsidRPr="00D61F73" w:rsidRDefault="008D0565" w:rsidP="00D61F73">
      <w:pPr>
        <w:rPr>
          <w:rFonts w:ascii="Arial" w:hAnsi="Arial" w:cs="Arial"/>
        </w:rPr>
      </w:pPr>
      <w:r w:rsidRPr="00D61F73">
        <w:rPr>
          <w:rFonts w:ascii="Arial" w:hAnsi="Arial" w:cs="Arial"/>
        </w:rPr>
        <w:t xml:space="preserve">PMID: </w:t>
      </w:r>
      <w:hyperlink r:id="rId379" w:history="1">
        <w:r w:rsidRPr="00D61F73">
          <w:rPr>
            <w:rStyle w:val="Hyperlink"/>
            <w:rFonts w:ascii="Arial" w:hAnsi="Arial" w:cs="Arial"/>
          </w:rPr>
          <w:t>20166065</w:t>
        </w:r>
      </w:hyperlink>
      <w:r w:rsidRPr="00D61F73">
        <w:rPr>
          <w:rFonts w:ascii="Arial" w:hAnsi="Arial" w:cs="Arial"/>
        </w:rPr>
        <w:t xml:space="preserve"> </w:t>
      </w:r>
    </w:p>
    <w:p w14:paraId="246D3BF1" w14:textId="77777777" w:rsidR="008D0565" w:rsidRPr="00D61F73" w:rsidRDefault="008D0565" w:rsidP="00D61F73">
      <w:pPr>
        <w:rPr>
          <w:rFonts w:ascii="Arial" w:hAnsi="Arial" w:cs="Arial"/>
        </w:rPr>
      </w:pPr>
    </w:p>
    <w:p w14:paraId="0DA14A85" w14:textId="77777777" w:rsidR="008D0565" w:rsidRPr="00D61F73" w:rsidRDefault="008D0565" w:rsidP="00D61F73">
      <w:pPr>
        <w:rPr>
          <w:rFonts w:ascii="Arial" w:hAnsi="Arial" w:cs="Arial"/>
        </w:rPr>
      </w:pPr>
      <w:r w:rsidRPr="00D61F73">
        <w:rPr>
          <w:rFonts w:ascii="Arial" w:hAnsi="Arial" w:cs="Arial"/>
        </w:rPr>
        <w:t>Rating: 1b</w:t>
      </w:r>
    </w:p>
    <w:p w14:paraId="7FB48C1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59" w:name="Dros"/>
      <w:bookmarkEnd w:id="659"/>
      <w:r w:rsidRPr="00D61F73">
        <w:rPr>
          <w:rFonts w:ascii="Arial" w:hAnsi="Arial" w:cs="Arial"/>
          <w:b/>
          <w:bCs/>
        </w:rPr>
        <w:t xml:space="preserve">ros J, Wewerinke A, Bindels PJ, van Weert HC. Accuracy of monofilament testing to diagnose peripheral neuropathy: a systematic review. </w:t>
      </w:r>
      <w:r w:rsidRPr="00D61F73">
        <w:rPr>
          <w:rFonts w:ascii="Arial" w:hAnsi="Arial" w:cs="Arial"/>
          <w:b/>
          <w:bCs/>
          <w:i/>
          <w:iCs/>
        </w:rPr>
        <w:t>Ann Fam Med.</w:t>
      </w:r>
      <w:r w:rsidRPr="00D61F73">
        <w:rPr>
          <w:rFonts w:ascii="Arial" w:hAnsi="Arial" w:cs="Arial"/>
          <w:b/>
          <w:bCs/>
        </w:rPr>
        <w:t xml:space="preserve"> 2009 Nov-Dec;7(6):555-8.</w:t>
      </w:r>
    </w:p>
    <w:p w14:paraId="4C6FE610" w14:textId="77777777" w:rsidR="008D0565" w:rsidRPr="00D61F73" w:rsidRDefault="008D0565" w:rsidP="00D61F73">
      <w:pPr>
        <w:rPr>
          <w:rFonts w:ascii="Arial" w:hAnsi="Arial" w:cs="Arial"/>
        </w:rPr>
      </w:pPr>
    </w:p>
    <w:p w14:paraId="7BD9D032" w14:textId="77777777" w:rsidR="008D0565" w:rsidRPr="00D61F73" w:rsidRDefault="008D0565" w:rsidP="00D61F73">
      <w:pPr>
        <w:rPr>
          <w:rFonts w:ascii="Arial" w:hAnsi="Arial" w:cs="Arial"/>
        </w:rPr>
      </w:pPr>
      <w:r w:rsidRPr="00D61F73">
        <w:rPr>
          <w:rFonts w:ascii="Arial" w:hAnsi="Arial" w:cs="Arial"/>
        </w:rPr>
        <w:t>RESULTS: We reviewed 173 titles and abstracts of articles to identify 54 potentially eligible studies. CONCLUSIONS: Accordingly, we do not recommend the sole use of monofilament testing to diagnose peripheral neuropathy.</w:t>
      </w:r>
    </w:p>
    <w:p w14:paraId="6E150CF1" w14:textId="77777777" w:rsidR="008D0565" w:rsidRPr="00D61F73" w:rsidRDefault="008D0565" w:rsidP="00D61F73">
      <w:pPr>
        <w:rPr>
          <w:rFonts w:ascii="Arial" w:hAnsi="Arial" w:cs="Arial"/>
        </w:rPr>
      </w:pPr>
    </w:p>
    <w:p w14:paraId="389E6047" w14:textId="77777777" w:rsidR="008D0565" w:rsidRPr="00D61F73" w:rsidRDefault="008D0565" w:rsidP="00D61F73">
      <w:pPr>
        <w:rPr>
          <w:rFonts w:ascii="Arial" w:hAnsi="Arial" w:cs="Arial"/>
        </w:rPr>
      </w:pPr>
      <w:r w:rsidRPr="00D61F73">
        <w:rPr>
          <w:rFonts w:ascii="Arial" w:hAnsi="Arial" w:cs="Arial"/>
        </w:rPr>
        <w:t xml:space="preserve">PMID: </w:t>
      </w:r>
      <w:hyperlink r:id="rId380" w:history="1">
        <w:r w:rsidRPr="00D61F73">
          <w:rPr>
            <w:rStyle w:val="Hyperlink"/>
            <w:rFonts w:ascii="Arial" w:hAnsi="Arial" w:cs="Arial"/>
          </w:rPr>
          <w:t>19901316</w:t>
        </w:r>
      </w:hyperlink>
      <w:r w:rsidRPr="00D61F73">
        <w:rPr>
          <w:rFonts w:ascii="Arial" w:hAnsi="Arial" w:cs="Arial"/>
        </w:rPr>
        <w:t xml:space="preserve"> </w:t>
      </w:r>
    </w:p>
    <w:p w14:paraId="2EE05ED5" w14:textId="77777777" w:rsidR="008D0565" w:rsidRPr="00D61F73" w:rsidRDefault="008D0565" w:rsidP="00D61F73">
      <w:pPr>
        <w:rPr>
          <w:rFonts w:ascii="Arial" w:hAnsi="Arial" w:cs="Arial"/>
        </w:rPr>
      </w:pPr>
    </w:p>
    <w:p w14:paraId="70A2DF74" w14:textId="77777777" w:rsidR="008D0565" w:rsidRPr="00D61F73" w:rsidRDefault="008D0565" w:rsidP="00D61F73">
      <w:pPr>
        <w:rPr>
          <w:rFonts w:ascii="Arial" w:hAnsi="Arial" w:cs="Arial"/>
        </w:rPr>
      </w:pPr>
      <w:r w:rsidRPr="00D61F73">
        <w:rPr>
          <w:rFonts w:ascii="Arial" w:hAnsi="Arial" w:cs="Arial"/>
        </w:rPr>
        <w:t>Rating: 1b</w:t>
      </w:r>
    </w:p>
    <w:p w14:paraId="33634952"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D</w:t>
      </w:r>
      <w:bookmarkStart w:id="660" w:name="Drucker2011"/>
      <w:bookmarkEnd w:id="660"/>
      <w:r w:rsidRPr="00D61F73">
        <w:rPr>
          <w:rFonts w:ascii="Arial" w:hAnsi="Arial" w:cs="Arial"/>
          <w:b/>
        </w:rPr>
        <w:t xml:space="preserve">rucker AM, Rosen CF. Drug-induced photosensitivity: culprit drugs, management and prevention. </w:t>
      </w:r>
      <w:r w:rsidRPr="00D61F73">
        <w:rPr>
          <w:rFonts w:ascii="Arial" w:hAnsi="Arial" w:cs="Arial"/>
          <w:b/>
          <w:i/>
        </w:rPr>
        <w:t>Drug Saf</w:t>
      </w:r>
      <w:r w:rsidRPr="00D61F73">
        <w:rPr>
          <w:rFonts w:ascii="Arial" w:hAnsi="Arial" w:cs="Arial"/>
          <w:b/>
        </w:rPr>
        <w:t>. 2011;34:821-37</w:t>
      </w:r>
    </w:p>
    <w:p w14:paraId="0300A316" w14:textId="77777777" w:rsidR="008D0565" w:rsidRPr="00D61F73" w:rsidRDefault="008D0565" w:rsidP="00D61F73">
      <w:pPr>
        <w:rPr>
          <w:rFonts w:ascii="Arial" w:eastAsia="Calibri" w:hAnsi="Arial" w:cs="Arial"/>
        </w:rPr>
      </w:pPr>
    </w:p>
    <w:p w14:paraId="4A7D43BB"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81" w:history="1">
        <w:r w:rsidRPr="00D61F73">
          <w:rPr>
            <w:rStyle w:val="Hyperlink"/>
            <w:rFonts w:ascii="Arial" w:hAnsi="Arial" w:cs="Arial"/>
          </w:rPr>
          <w:t>21879777</w:t>
        </w:r>
      </w:hyperlink>
    </w:p>
    <w:p w14:paraId="429C3461" w14:textId="77777777" w:rsidR="008D0565" w:rsidRPr="00D61F73" w:rsidRDefault="008D0565" w:rsidP="00D61F73">
      <w:pPr>
        <w:rPr>
          <w:rFonts w:ascii="Arial" w:eastAsia="Calibri" w:hAnsi="Arial" w:cs="Arial"/>
        </w:rPr>
      </w:pPr>
    </w:p>
    <w:p w14:paraId="7D9236BD" w14:textId="77777777" w:rsidR="008D0565" w:rsidRPr="00D61F73" w:rsidRDefault="008D0565" w:rsidP="00D61F73">
      <w:pPr>
        <w:rPr>
          <w:rFonts w:ascii="Arial" w:hAnsi="Arial" w:cs="Arial"/>
        </w:rPr>
      </w:pPr>
      <w:r w:rsidRPr="00D61F73">
        <w:rPr>
          <w:rFonts w:ascii="Arial" w:hAnsi="Arial" w:cs="Arial"/>
        </w:rPr>
        <w:t>Rating: 5b</w:t>
      </w:r>
    </w:p>
    <w:p w14:paraId="6D4AF82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61" w:name="Dubinsky"/>
      <w:bookmarkEnd w:id="661"/>
      <w:r w:rsidRPr="00D61F73">
        <w:rPr>
          <w:rFonts w:ascii="Arial" w:hAnsi="Arial" w:cs="Arial"/>
          <w:b/>
          <w:bCs/>
        </w:rPr>
        <w:t xml:space="preserve">ubinsky RM, Miyasaki J. Assessment: efficacy of transcutaneous electric nerve stimulation in the treatment of pain in neurologic disorders (an evidence-based review): report of the Therapeutics and Technology Assessment Subcommittee of the American Academy of Neurology. </w:t>
      </w:r>
      <w:r w:rsidRPr="00D61F73">
        <w:rPr>
          <w:rFonts w:ascii="Arial" w:hAnsi="Arial" w:cs="Arial"/>
          <w:b/>
          <w:bCs/>
          <w:i/>
          <w:iCs/>
        </w:rPr>
        <w:t>Neurology.</w:t>
      </w:r>
      <w:r w:rsidRPr="00D61F73">
        <w:rPr>
          <w:rFonts w:ascii="Arial" w:hAnsi="Arial" w:cs="Arial"/>
          <w:b/>
          <w:bCs/>
        </w:rPr>
        <w:t xml:space="preserve"> 2010 Jan 12;74(2):173-6. Epub 2009 Dec 30.</w:t>
      </w:r>
    </w:p>
    <w:p w14:paraId="701DF369" w14:textId="77777777" w:rsidR="008D0565" w:rsidRPr="00D61F73" w:rsidRDefault="008D0565" w:rsidP="00D61F73">
      <w:pPr>
        <w:rPr>
          <w:rFonts w:ascii="Arial" w:hAnsi="Arial" w:cs="Arial"/>
        </w:rPr>
      </w:pPr>
    </w:p>
    <w:p w14:paraId="480FF2DD" w14:textId="77777777" w:rsidR="008D0565" w:rsidRPr="00D61F73" w:rsidRDefault="008D0565" w:rsidP="00D61F73">
      <w:pPr>
        <w:rPr>
          <w:rFonts w:ascii="Arial" w:hAnsi="Arial" w:cs="Arial"/>
        </w:rPr>
      </w:pPr>
      <w:r w:rsidRPr="00D61F73">
        <w:rPr>
          <w:rFonts w:ascii="Arial" w:hAnsi="Arial" w:cs="Arial"/>
        </w:rPr>
        <w:t xml:space="preserve">RECOMMENDATIONS: Transcutaneous electric nerve stimulation (TENS) is not recommended for the treatment of chronic low back pain (Level A). TENS should be considered in the treatment of painful diabetic neuropathy (Level B). </w:t>
      </w:r>
    </w:p>
    <w:p w14:paraId="26E4DB88" w14:textId="77777777" w:rsidR="008D0565" w:rsidRPr="00D61F73" w:rsidRDefault="008D0565" w:rsidP="00D61F73">
      <w:pPr>
        <w:rPr>
          <w:rFonts w:ascii="Arial" w:hAnsi="Arial" w:cs="Arial"/>
        </w:rPr>
      </w:pPr>
    </w:p>
    <w:p w14:paraId="34C6C2AE" w14:textId="77777777" w:rsidR="008D0565" w:rsidRPr="00D61F73" w:rsidRDefault="008D0565" w:rsidP="00D61F73">
      <w:pPr>
        <w:rPr>
          <w:rFonts w:ascii="Arial" w:hAnsi="Arial" w:cs="Arial"/>
        </w:rPr>
      </w:pPr>
      <w:r w:rsidRPr="00D61F73">
        <w:rPr>
          <w:rFonts w:ascii="Arial" w:hAnsi="Arial" w:cs="Arial"/>
        </w:rPr>
        <w:t xml:space="preserve">PMID: </w:t>
      </w:r>
      <w:hyperlink r:id="rId382" w:history="1">
        <w:r w:rsidRPr="00D61F73">
          <w:rPr>
            <w:rStyle w:val="Hyperlink"/>
            <w:rFonts w:ascii="Arial" w:hAnsi="Arial" w:cs="Arial"/>
          </w:rPr>
          <w:t>20042705</w:t>
        </w:r>
      </w:hyperlink>
      <w:r w:rsidRPr="00D61F73">
        <w:rPr>
          <w:rFonts w:ascii="Arial" w:hAnsi="Arial" w:cs="Arial"/>
        </w:rPr>
        <w:t xml:space="preserve"> </w:t>
      </w:r>
    </w:p>
    <w:p w14:paraId="4827519F" w14:textId="77777777" w:rsidR="008D0565" w:rsidRPr="00D61F73" w:rsidRDefault="008D0565" w:rsidP="00D61F73">
      <w:pPr>
        <w:rPr>
          <w:rFonts w:ascii="Arial" w:hAnsi="Arial" w:cs="Arial"/>
        </w:rPr>
      </w:pPr>
    </w:p>
    <w:p w14:paraId="27731462" w14:textId="77777777" w:rsidR="008D0565" w:rsidRPr="00D61F73" w:rsidRDefault="008D0565" w:rsidP="00D61F73">
      <w:pPr>
        <w:rPr>
          <w:rFonts w:ascii="Arial" w:hAnsi="Arial" w:cs="Arial"/>
        </w:rPr>
      </w:pPr>
      <w:r w:rsidRPr="00D61F73">
        <w:rPr>
          <w:rFonts w:ascii="Arial" w:hAnsi="Arial" w:cs="Arial"/>
        </w:rPr>
        <w:t>Rating: 1b</w:t>
      </w:r>
    </w:p>
    <w:p w14:paraId="04E1C25B" w14:textId="77777777" w:rsidR="008D0565" w:rsidRPr="00D61F73" w:rsidRDefault="008D0565" w:rsidP="00D61F73">
      <w:pPr>
        <w:rPr>
          <w:rFonts w:ascii="Arial" w:eastAsia="Calibri" w:hAnsi="Arial" w:cs="Arial"/>
          <w:b/>
          <w:bCs/>
          <w:color w:val="auto"/>
        </w:rPr>
      </w:pPr>
      <w:r w:rsidRPr="00D61F73">
        <w:rPr>
          <w:rFonts w:ascii="Arial" w:hAnsi="Arial" w:cs="Arial"/>
        </w:rPr>
        <w:br w:type="page"/>
      </w:r>
      <w:r w:rsidRPr="00D61F73">
        <w:rPr>
          <w:rFonts w:ascii="Arial" w:hAnsi="Arial" w:cs="Arial"/>
          <w:b/>
          <w:bCs/>
        </w:rPr>
        <w:lastRenderedPageBreak/>
        <w:t>D</w:t>
      </w:r>
      <w:bookmarkStart w:id="662" w:name="Ducharme2012"/>
      <w:bookmarkEnd w:id="662"/>
      <w:r w:rsidRPr="00D61F73">
        <w:rPr>
          <w:rFonts w:ascii="Arial" w:hAnsi="Arial" w:cs="Arial"/>
          <w:b/>
          <w:bCs/>
        </w:rPr>
        <w:t xml:space="preserve">ucharme S, Fraser R, Gill K. Update on the clinical use of buprenorphine: in opioid-related disorders. </w:t>
      </w:r>
      <w:r w:rsidRPr="00D61F73">
        <w:rPr>
          <w:rFonts w:ascii="Arial" w:hAnsi="Arial" w:cs="Arial"/>
          <w:b/>
          <w:bCs/>
          <w:i/>
          <w:iCs/>
        </w:rPr>
        <w:t>Can Fam Physician</w:t>
      </w:r>
      <w:r w:rsidRPr="00D61F73">
        <w:rPr>
          <w:rFonts w:ascii="Arial" w:hAnsi="Arial" w:cs="Arial"/>
          <w:b/>
          <w:bCs/>
        </w:rPr>
        <w:t>. 2012 Jan;58(1):37-41.</w:t>
      </w:r>
    </w:p>
    <w:p w14:paraId="63E9CCDC" w14:textId="77777777" w:rsidR="008D0565" w:rsidRPr="00D61F73" w:rsidRDefault="008D0565" w:rsidP="00D61F73">
      <w:pPr>
        <w:pStyle w:val="Footer"/>
        <w:tabs>
          <w:tab w:val="clear" w:pos="4320"/>
          <w:tab w:val="clear" w:pos="8640"/>
        </w:tabs>
        <w:rPr>
          <w:rFonts w:ascii="Arial" w:eastAsia="Calibri" w:hAnsi="Arial" w:cs="Arial"/>
        </w:rPr>
      </w:pPr>
    </w:p>
    <w:p w14:paraId="1B650FC8"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83" w:history="1">
        <w:r w:rsidRPr="00D61F73">
          <w:rPr>
            <w:rStyle w:val="Hyperlink"/>
            <w:rFonts w:ascii="Arial" w:hAnsi="Arial" w:cs="Arial"/>
          </w:rPr>
          <w:t>22267618</w:t>
        </w:r>
      </w:hyperlink>
    </w:p>
    <w:p w14:paraId="0F1B28CD" w14:textId="77777777" w:rsidR="008D0565" w:rsidRPr="00D61F73" w:rsidRDefault="008D0565" w:rsidP="00D61F73">
      <w:pPr>
        <w:rPr>
          <w:rFonts w:ascii="Arial" w:eastAsia="Calibri" w:hAnsi="Arial" w:cs="Arial"/>
        </w:rPr>
      </w:pPr>
    </w:p>
    <w:p w14:paraId="1FF8FC58" w14:textId="77777777" w:rsidR="005347E9"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2DF57477" w14:textId="77777777" w:rsidR="005347E9" w:rsidRPr="00D61F73" w:rsidRDefault="005347E9" w:rsidP="00D61F73">
      <w:pPr>
        <w:pStyle w:val="NormalWeb"/>
        <w:spacing w:before="0" w:beforeAutospacing="0" w:after="0" w:afterAutospacing="0"/>
        <w:rPr>
          <w:rFonts w:ascii="Arial" w:hAnsi="Arial" w:cs="Arial"/>
        </w:rPr>
      </w:pPr>
    </w:p>
    <w:p w14:paraId="3C81D16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63" w:name="Dworkin"/>
      <w:bookmarkEnd w:id="663"/>
      <w:r w:rsidRPr="00D61F73">
        <w:rPr>
          <w:rFonts w:ascii="Arial" w:hAnsi="Arial" w:cs="Arial"/>
          <w:b/>
          <w:bCs/>
        </w:rPr>
        <w:t xml:space="preserve">workin RH, Backonja M, Rowbotham MC, Allen RR, Argoff CR, Bennett GJ, Bushnell MC, Farrar JT, Galer BS, Haythornthwaite JA, Hewitt DJ, Loeser JD, Max MB, Saltarelli M, Schmader KE, Stein C, Thompson D, Turk DC, Wallace MS, Watkins LR, Weinstein SM. Advances in neuropathic pain: diagnosis, mechanisms, and treatment recommendations. </w:t>
      </w:r>
      <w:r w:rsidRPr="00D61F73">
        <w:rPr>
          <w:rFonts w:ascii="Arial" w:hAnsi="Arial" w:cs="Arial"/>
          <w:b/>
          <w:bCs/>
          <w:i/>
          <w:iCs/>
        </w:rPr>
        <w:t>Arch Neurol.</w:t>
      </w:r>
      <w:r w:rsidRPr="00D61F73">
        <w:rPr>
          <w:rFonts w:ascii="Arial" w:hAnsi="Arial" w:cs="Arial"/>
          <w:b/>
          <w:bCs/>
        </w:rPr>
        <w:t xml:space="preserve"> 2003 Nov;60(11):1524-34.</w:t>
      </w:r>
    </w:p>
    <w:p w14:paraId="5B4BEE0E" w14:textId="77777777" w:rsidR="008D0565" w:rsidRPr="00D61F73" w:rsidRDefault="008D0565" w:rsidP="00D61F73">
      <w:pPr>
        <w:pStyle w:val="NormalWeb"/>
        <w:spacing w:before="0" w:beforeAutospacing="0" w:after="0" w:afterAutospacing="0"/>
        <w:rPr>
          <w:rFonts w:ascii="Arial" w:hAnsi="Arial" w:cs="Arial"/>
        </w:rPr>
      </w:pPr>
    </w:p>
    <w:p w14:paraId="0AF8766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Randomized controlled clinical trials of gabapentin, the 5% lidocaine patch, opioid analgesics, tramadol hydrochloride, and tricyclic antidepressants provide an evidence-based approach to the treatment of neuropathic pain, and specific recommendations are presented for use of these medications. </w:t>
      </w:r>
    </w:p>
    <w:p w14:paraId="78E3867D" w14:textId="77777777" w:rsidR="008D0565" w:rsidRPr="00D61F73" w:rsidRDefault="008D0565" w:rsidP="00D61F73">
      <w:pPr>
        <w:pStyle w:val="NormalWeb"/>
        <w:spacing w:before="0" w:beforeAutospacing="0" w:after="0" w:afterAutospacing="0"/>
        <w:rPr>
          <w:rFonts w:ascii="Arial" w:hAnsi="Arial" w:cs="Arial"/>
        </w:rPr>
      </w:pPr>
    </w:p>
    <w:p w14:paraId="4BAB5C4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84" w:history="1">
        <w:r w:rsidRPr="00D61F73">
          <w:rPr>
            <w:rStyle w:val="Hyperlink"/>
            <w:rFonts w:ascii="Arial" w:hAnsi="Arial" w:cs="Arial"/>
          </w:rPr>
          <w:t>14623723</w:t>
        </w:r>
      </w:hyperlink>
      <w:r w:rsidRPr="00D61F73">
        <w:rPr>
          <w:rFonts w:ascii="Arial" w:hAnsi="Arial" w:cs="Arial"/>
        </w:rPr>
        <w:t xml:space="preserve"> </w:t>
      </w:r>
    </w:p>
    <w:p w14:paraId="07FFD4CE" w14:textId="77777777" w:rsidR="008D0565" w:rsidRPr="00D61F73" w:rsidRDefault="008D0565" w:rsidP="00D61F73">
      <w:pPr>
        <w:pStyle w:val="NormalWeb"/>
        <w:spacing w:before="0" w:beforeAutospacing="0" w:after="0" w:afterAutospacing="0"/>
        <w:rPr>
          <w:rFonts w:ascii="Arial" w:hAnsi="Arial" w:cs="Arial"/>
        </w:rPr>
      </w:pPr>
    </w:p>
    <w:p w14:paraId="7C93A17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46A69977" w14:textId="77777777" w:rsidR="008D0565" w:rsidRPr="00D61F73" w:rsidRDefault="008D0565" w:rsidP="00D61F73">
      <w:pPr>
        <w:pStyle w:val="NormalWeb"/>
        <w:spacing w:before="0" w:beforeAutospacing="0" w:after="0" w:afterAutospacing="0"/>
        <w:rPr>
          <w:rFonts w:ascii="Arial" w:hAnsi="Arial" w:cs="Arial"/>
        </w:rPr>
      </w:pPr>
    </w:p>
    <w:p w14:paraId="005A4379" w14:textId="77777777" w:rsidR="008D0565" w:rsidRPr="00D61F73" w:rsidRDefault="008D0565" w:rsidP="00D61F73">
      <w:pPr>
        <w:pStyle w:val="Heading2"/>
        <w:rPr>
          <w:rFonts w:ascii="Arial" w:hAnsi="Arial" w:cs="Arial"/>
          <w:sz w:val="24"/>
          <w:szCs w:val="24"/>
        </w:rPr>
      </w:pPr>
      <w:r w:rsidRPr="00D61F73">
        <w:rPr>
          <w:rFonts w:ascii="Arial" w:hAnsi="Arial" w:cs="Arial"/>
          <w:sz w:val="24"/>
          <w:szCs w:val="24"/>
        </w:rPr>
        <w:br w:type="page"/>
      </w:r>
      <w:r w:rsidRPr="00D61F73">
        <w:rPr>
          <w:rFonts w:ascii="Arial" w:hAnsi="Arial" w:cs="Arial"/>
          <w:sz w:val="24"/>
          <w:szCs w:val="24"/>
        </w:rPr>
        <w:lastRenderedPageBreak/>
        <w:t>D</w:t>
      </w:r>
      <w:bookmarkStart w:id="664" w:name="Dworkin2"/>
      <w:bookmarkEnd w:id="664"/>
      <w:r w:rsidRPr="00D61F73">
        <w:rPr>
          <w:rFonts w:ascii="Arial" w:hAnsi="Arial" w:cs="Arial"/>
          <w:sz w:val="24"/>
          <w:szCs w:val="24"/>
        </w:rPr>
        <w:t xml:space="preserve">workin RH, O'connor AB, Backonja M, Farrar JT, Finnerup NB, Jensen TS, Kalso EA, Loeser JD, Miaskowski C, Nurmikko TJ, Portenoy RK, Rice AS, Stacey BR, Treede RD, Turk DC, Wallace MS. Pharmacologic management of neuropathic pain: Evidence-based recommendations. </w:t>
      </w:r>
      <w:r w:rsidRPr="00D61F73">
        <w:rPr>
          <w:rStyle w:val="ti"/>
          <w:rFonts w:ascii="Arial" w:hAnsi="Arial" w:cs="Arial"/>
          <w:i/>
          <w:iCs/>
          <w:sz w:val="24"/>
          <w:szCs w:val="24"/>
        </w:rPr>
        <w:t>Pain</w:t>
      </w:r>
      <w:r w:rsidRPr="00D61F73">
        <w:rPr>
          <w:rStyle w:val="ti"/>
          <w:rFonts w:ascii="Arial" w:hAnsi="Arial" w:cs="Arial"/>
          <w:sz w:val="24"/>
          <w:szCs w:val="24"/>
        </w:rPr>
        <w:t>. 2007 Dec 5;132(3):237-51.</w:t>
      </w:r>
    </w:p>
    <w:p w14:paraId="21DB393F" w14:textId="77777777" w:rsidR="008D0565" w:rsidRPr="00D61F73" w:rsidRDefault="008D0565" w:rsidP="00D61F73">
      <w:pPr>
        <w:pStyle w:val="abstract"/>
        <w:spacing w:before="0" w:beforeAutospacing="0" w:after="0" w:afterAutospacing="0"/>
        <w:rPr>
          <w:rFonts w:ascii="Arial" w:hAnsi="Arial" w:cs="Arial"/>
        </w:rPr>
      </w:pPr>
    </w:p>
    <w:p w14:paraId="722FF9E1"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Recommended first-line treatments include certain antidepressants (i.e., tricyclic antidepressants and dual reuptake inhibitors of both serotonin and norepinephrine), calcium channel alpha2-delta ligands (i.e., gabapentin and pregabalin), and topical lidocaine. To date, no medications have demonstrated efficacy in lumbosacral radiculopathy, which is probably the most common type of NP. Long-term studies, head-to-head comparisons between medications, studies involving combinations of medications, and RCTs examining treatment of central NP are lacking and should be a priority for future research.</w:t>
      </w:r>
    </w:p>
    <w:p w14:paraId="35922CB7" w14:textId="77777777" w:rsidR="008D0565" w:rsidRPr="00D61F73" w:rsidRDefault="008D0565" w:rsidP="00D61F73">
      <w:pPr>
        <w:pStyle w:val="pmid"/>
        <w:spacing w:before="0" w:beforeAutospacing="0" w:after="0" w:afterAutospacing="0"/>
        <w:rPr>
          <w:rFonts w:ascii="Arial" w:hAnsi="Arial" w:cs="Arial"/>
        </w:rPr>
      </w:pPr>
    </w:p>
    <w:p w14:paraId="43CA4B9C"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385" w:history="1">
        <w:r w:rsidRPr="00D61F73">
          <w:rPr>
            <w:rStyle w:val="Hyperlink"/>
            <w:rFonts w:ascii="Arial" w:hAnsi="Arial" w:cs="Arial"/>
          </w:rPr>
          <w:t>17920770</w:t>
        </w:r>
      </w:hyperlink>
      <w:r w:rsidRPr="00D61F73">
        <w:rPr>
          <w:rFonts w:ascii="Arial" w:hAnsi="Arial" w:cs="Arial"/>
        </w:rPr>
        <w:t xml:space="preserve"> </w:t>
      </w:r>
    </w:p>
    <w:p w14:paraId="42C3856D" w14:textId="77777777" w:rsidR="008D0565" w:rsidRPr="00D61F73" w:rsidRDefault="008D0565" w:rsidP="00D61F73">
      <w:pPr>
        <w:pStyle w:val="pmid"/>
        <w:spacing w:before="0" w:beforeAutospacing="0" w:after="0" w:afterAutospacing="0"/>
        <w:rPr>
          <w:rFonts w:ascii="Arial" w:hAnsi="Arial" w:cs="Arial"/>
        </w:rPr>
      </w:pPr>
    </w:p>
    <w:p w14:paraId="61E273B2"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1b</w:t>
      </w:r>
    </w:p>
    <w:p w14:paraId="477D7058"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D</w:t>
      </w:r>
      <w:bookmarkStart w:id="665" w:name="Dworkin2010"/>
      <w:bookmarkEnd w:id="665"/>
      <w:r w:rsidRPr="00D61F73">
        <w:rPr>
          <w:rFonts w:ascii="Arial" w:hAnsi="Arial" w:cs="Arial"/>
          <w:b/>
        </w:rPr>
        <w:t xml:space="preserve">workin RH, O'Connor AB, Audette J, Baron R, Gourlay GK, Haanpää ML, Kent JL, Krane EJ, Lebel AA, Levy RM, Mackey SC, Mayer J, Miaskowski C, Raja SN, Rice AS, Schmader KE, Stacey B, Stanos S, Treede RD, Turk DC, Walco GA, Wells CD. Recommendations for the pharmacological management of neuropathic pain: an overview and literature update. </w:t>
      </w:r>
      <w:r w:rsidRPr="00D61F73">
        <w:rPr>
          <w:rFonts w:ascii="Arial" w:hAnsi="Arial" w:cs="Arial"/>
          <w:b/>
          <w:i/>
        </w:rPr>
        <w:t>Mayo Clin Proc</w:t>
      </w:r>
      <w:r w:rsidRPr="00D61F73">
        <w:rPr>
          <w:rFonts w:ascii="Arial" w:hAnsi="Arial" w:cs="Arial"/>
          <w:b/>
        </w:rPr>
        <w:t>. 2010;85:S3-14. Review.</w:t>
      </w:r>
    </w:p>
    <w:p w14:paraId="324BC366" w14:textId="77777777" w:rsidR="008D0565" w:rsidRPr="00D61F73" w:rsidRDefault="008D0565" w:rsidP="00D61F73">
      <w:pPr>
        <w:rPr>
          <w:rFonts w:ascii="Arial" w:hAnsi="Arial" w:cs="Arial"/>
        </w:rPr>
      </w:pPr>
    </w:p>
    <w:p w14:paraId="1F93FB52" w14:textId="77777777" w:rsidR="008D0565" w:rsidRPr="00D61F73" w:rsidRDefault="008D0565" w:rsidP="00D61F73">
      <w:pPr>
        <w:rPr>
          <w:rFonts w:ascii="Arial" w:hAnsi="Arial" w:cs="Arial"/>
        </w:rPr>
      </w:pPr>
      <w:r w:rsidRPr="00D61F73">
        <w:rPr>
          <w:rFonts w:ascii="Arial" w:hAnsi="Arial" w:cs="Arial"/>
        </w:rPr>
        <w:t>Opioid analgesics and tramadol were recommended as second-line treatments that can be considered for first-line use in certain clinical circumstances.</w:t>
      </w:r>
    </w:p>
    <w:p w14:paraId="0B1D3569" w14:textId="77777777" w:rsidR="008D0565" w:rsidRPr="00D61F73" w:rsidRDefault="008D0565" w:rsidP="00D61F73">
      <w:pPr>
        <w:rPr>
          <w:rFonts w:ascii="Arial" w:hAnsi="Arial" w:cs="Arial"/>
        </w:rPr>
      </w:pPr>
    </w:p>
    <w:p w14:paraId="7A96AE98" w14:textId="77777777" w:rsidR="008D0565" w:rsidRPr="00D61F73" w:rsidRDefault="008D0565" w:rsidP="00D61F73">
      <w:pPr>
        <w:rPr>
          <w:rFonts w:ascii="Arial" w:hAnsi="Arial" w:cs="Arial"/>
        </w:rPr>
      </w:pPr>
      <w:r w:rsidRPr="00D61F73">
        <w:rPr>
          <w:rFonts w:ascii="Arial" w:hAnsi="Arial" w:cs="Arial"/>
        </w:rPr>
        <w:t xml:space="preserve">PMID: </w:t>
      </w:r>
      <w:hyperlink r:id="rId386" w:history="1">
        <w:r w:rsidRPr="00D61F73">
          <w:rPr>
            <w:rStyle w:val="Hyperlink"/>
            <w:rFonts w:ascii="Arial" w:hAnsi="Arial" w:cs="Arial"/>
          </w:rPr>
          <w:t>20194146</w:t>
        </w:r>
      </w:hyperlink>
    </w:p>
    <w:p w14:paraId="01B4F8EE" w14:textId="77777777" w:rsidR="008D0565" w:rsidRPr="00D61F73" w:rsidRDefault="008D0565" w:rsidP="00D61F73">
      <w:pPr>
        <w:rPr>
          <w:rFonts w:ascii="Arial" w:hAnsi="Arial" w:cs="Arial"/>
        </w:rPr>
      </w:pPr>
    </w:p>
    <w:p w14:paraId="16BE71B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231E511B" w14:textId="77777777" w:rsidR="008D0565" w:rsidRPr="00D61F73" w:rsidRDefault="008D0565" w:rsidP="00D61F73">
      <w:pPr>
        <w:rPr>
          <w:rFonts w:ascii="Arial" w:eastAsia="Calibri" w:hAnsi="Arial" w:cs="Arial"/>
          <w:color w:val="auto"/>
        </w:rPr>
      </w:pPr>
      <w:r w:rsidRPr="00D61F73">
        <w:rPr>
          <w:rFonts w:ascii="Arial" w:hAnsi="Arial" w:cs="Arial"/>
        </w:rPr>
        <w:br w:type="page"/>
      </w:r>
      <w:r w:rsidRPr="00D61F73">
        <w:rPr>
          <w:rFonts w:ascii="Arial" w:hAnsi="Arial" w:cs="Arial"/>
          <w:b/>
        </w:rPr>
        <w:lastRenderedPageBreak/>
        <w:t>D</w:t>
      </w:r>
      <w:bookmarkStart w:id="666" w:name="Dworkin2013"/>
      <w:bookmarkEnd w:id="666"/>
      <w:r w:rsidRPr="00D61F73">
        <w:rPr>
          <w:rFonts w:ascii="Arial" w:hAnsi="Arial" w:cs="Arial"/>
          <w:b/>
        </w:rPr>
        <w:t xml:space="preserve">workin RH, O'Connor AB, Kent J, Mackey SC, Raja SN, Stacey BR, Levy RM, Backonja M, Baron R, Harke H, Loeser JD, Treede RD, Turk DC, Wells CD. Interventional management of neuropathic pain: NeuPSIG recommendations. </w:t>
      </w:r>
      <w:r w:rsidRPr="00D61F73">
        <w:rPr>
          <w:rFonts w:ascii="Arial" w:hAnsi="Arial" w:cs="Arial"/>
          <w:b/>
          <w:i/>
          <w:iCs/>
        </w:rPr>
        <w:t>Pain</w:t>
      </w:r>
      <w:r w:rsidRPr="00D61F73">
        <w:rPr>
          <w:rFonts w:ascii="Arial" w:hAnsi="Arial" w:cs="Arial"/>
          <w:b/>
        </w:rPr>
        <w:t>. 2013 Jun 5. doi:pii: S0304-3959(13)00297-2.</w:t>
      </w:r>
    </w:p>
    <w:p w14:paraId="5D1A4370" w14:textId="77777777" w:rsidR="008D0565" w:rsidRPr="00D61F73" w:rsidRDefault="008D0565" w:rsidP="00D61F73">
      <w:pPr>
        <w:rPr>
          <w:rFonts w:ascii="Arial" w:eastAsia="Calibri" w:hAnsi="Arial" w:cs="Arial"/>
        </w:rPr>
      </w:pPr>
    </w:p>
    <w:p w14:paraId="5399F63B" w14:textId="77777777" w:rsidR="008D0565" w:rsidRPr="00D61F73" w:rsidRDefault="008D0565" w:rsidP="00D61F73">
      <w:pPr>
        <w:rPr>
          <w:rFonts w:ascii="Arial" w:hAnsi="Arial" w:cs="Arial"/>
        </w:rPr>
      </w:pPr>
      <w:r w:rsidRPr="00D61F73">
        <w:rPr>
          <w:rFonts w:ascii="Arial" w:hAnsi="Arial" w:cs="Arial"/>
        </w:rPr>
        <w:t xml:space="preserve">PMID: </w:t>
      </w:r>
      <w:hyperlink r:id="rId387" w:history="1">
        <w:r w:rsidRPr="00D61F73">
          <w:rPr>
            <w:rStyle w:val="Hyperlink"/>
            <w:rFonts w:ascii="Arial" w:hAnsi="Arial" w:cs="Arial"/>
          </w:rPr>
          <w:t>23748119</w:t>
        </w:r>
      </w:hyperlink>
    </w:p>
    <w:p w14:paraId="54880767" w14:textId="77777777" w:rsidR="008D0565" w:rsidRPr="00D61F73" w:rsidRDefault="008D0565" w:rsidP="00D61F73">
      <w:pPr>
        <w:rPr>
          <w:rFonts w:ascii="Arial" w:hAnsi="Arial" w:cs="Arial"/>
        </w:rPr>
      </w:pPr>
    </w:p>
    <w:p w14:paraId="0190EFAF" w14:textId="77777777" w:rsidR="008D0565" w:rsidRPr="00D61F73" w:rsidRDefault="008D0565" w:rsidP="00D61F73">
      <w:pPr>
        <w:rPr>
          <w:rFonts w:ascii="Arial" w:hAnsi="Arial" w:cs="Arial"/>
        </w:rPr>
      </w:pPr>
      <w:r w:rsidRPr="00D61F73">
        <w:rPr>
          <w:rFonts w:ascii="Arial" w:hAnsi="Arial" w:cs="Arial"/>
        </w:rPr>
        <w:t>Rating: 1c</w:t>
      </w:r>
    </w:p>
    <w:p w14:paraId="3047CA5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67" w:name="Dyck"/>
      <w:bookmarkEnd w:id="667"/>
      <w:r w:rsidRPr="00D61F73">
        <w:rPr>
          <w:rFonts w:ascii="Arial" w:hAnsi="Arial" w:cs="Arial"/>
          <w:b/>
          <w:bCs/>
        </w:rPr>
        <w:t xml:space="preserve">yck PJ, Norell JE, Dyck PJ. Non-diabetic lumbosacral radiculoplexus neuropathy: natural history, outcome and comparison with the diabetic variety. </w:t>
      </w:r>
      <w:r w:rsidRPr="00D61F73">
        <w:rPr>
          <w:rFonts w:ascii="Arial" w:hAnsi="Arial" w:cs="Arial"/>
          <w:b/>
          <w:bCs/>
          <w:i/>
          <w:iCs/>
        </w:rPr>
        <w:t>Brain.</w:t>
      </w:r>
      <w:r w:rsidRPr="00D61F73">
        <w:rPr>
          <w:rFonts w:ascii="Arial" w:hAnsi="Arial" w:cs="Arial"/>
          <w:b/>
          <w:bCs/>
        </w:rPr>
        <w:t xml:space="preserve"> 2001 Jun;124(Pt 6):1197-207.</w:t>
      </w:r>
    </w:p>
    <w:p w14:paraId="4D2952AD" w14:textId="77777777" w:rsidR="008D0565" w:rsidRPr="00D61F73" w:rsidRDefault="008D0565" w:rsidP="00D61F73">
      <w:pPr>
        <w:pStyle w:val="NormalWeb"/>
        <w:spacing w:before="0" w:beforeAutospacing="0" w:after="0" w:afterAutospacing="0"/>
        <w:rPr>
          <w:rFonts w:ascii="Arial" w:hAnsi="Arial" w:cs="Arial"/>
        </w:rPr>
      </w:pPr>
    </w:p>
    <w:p w14:paraId="4555A69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88" w:history="1">
        <w:r w:rsidRPr="00D61F73">
          <w:rPr>
            <w:rStyle w:val="Hyperlink"/>
            <w:rFonts w:ascii="Arial" w:hAnsi="Arial" w:cs="Arial"/>
          </w:rPr>
          <w:t>11353735</w:t>
        </w:r>
      </w:hyperlink>
      <w:r w:rsidRPr="00D61F73">
        <w:rPr>
          <w:rFonts w:ascii="Arial" w:hAnsi="Arial" w:cs="Arial"/>
        </w:rPr>
        <w:t xml:space="preserve"> </w:t>
      </w:r>
    </w:p>
    <w:p w14:paraId="01E54BC0" w14:textId="77777777" w:rsidR="008D0565" w:rsidRPr="00D61F73" w:rsidRDefault="008D0565" w:rsidP="00D61F73">
      <w:pPr>
        <w:pStyle w:val="NormalWeb"/>
        <w:spacing w:before="0" w:beforeAutospacing="0" w:after="0" w:afterAutospacing="0"/>
        <w:rPr>
          <w:rFonts w:ascii="Arial" w:hAnsi="Arial" w:cs="Arial"/>
        </w:rPr>
      </w:pPr>
    </w:p>
    <w:p w14:paraId="5497A42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5880FD67"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D</w:t>
      </w:r>
      <w:bookmarkStart w:id="668" w:name="Dysvik"/>
      <w:bookmarkEnd w:id="668"/>
      <w:r w:rsidRPr="00D61F73">
        <w:rPr>
          <w:rFonts w:ascii="Arial" w:hAnsi="Arial" w:cs="Arial"/>
          <w:b/>
          <w:bCs/>
        </w:rPr>
        <w:t xml:space="preserve">ysvik E, Natvig GK, Eikeland OJ, Brattberg G. Results of a multidisciplinary pain management program: a 6- and 12-month follow-up study. </w:t>
      </w:r>
      <w:r w:rsidRPr="00D61F73">
        <w:rPr>
          <w:rFonts w:ascii="Arial" w:hAnsi="Arial" w:cs="Arial"/>
          <w:b/>
          <w:bCs/>
          <w:i/>
          <w:iCs/>
        </w:rPr>
        <w:t>Rehabil Nurs</w:t>
      </w:r>
      <w:r w:rsidRPr="00D61F73">
        <w:rPr>
          <w:rFonts w:ascii="Arial" w:hAnsi="Arial" w:cs="Arial"/>
          <w:b/>
          <w:bCs/>
        </w:rPr>
        <w:t>. 2005 Sep-Oct;30(5):198-206.</w:t>
      </w:r>
    </w:p>
    <w:p w14:paraId="678640B7" w14:textId="77777777" w:rsidR="008D0565" w:rsidRPr="00D61F73" w:rsidRDefault="008D0565" w:rsidP="00D61F73">
      <w:pPr>
        <w:pStyle w:val="NormalWeb"/>
        <w:spacing w:before="0" w:beforeAutospacing="0" w:after="0" w:afterAutospacing="0"/>
        <w:rPr>
          <w:rFonts w:ascii="Arial" w:hAnsi="Arial" w:cs="Arial"/>
        </w:rPr>
      </w:pPr>
    </w:p>
    <w:p w14:paraId="246DA6B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89" w:history="1">
        <w:r w:rsidRPr="00D61F73">
          <w:rPr>
            <w:rStyle w:val="Hyperlink"/>
            <w:rFonts w:ascii="Arial" w:hAnsi="Arial" w:cs="Arial"/>
          </w:rPr>
          <w:t>16175925</w:t>
        </w:r>
      </w:hyperlink>
    </w:p>
    <w:p w14:paraId="1DA09198" w14:textId="77777777" w:rsidR="008D0565" w:rsidRPr="00D61F73" w:rsidRDefault="008D0565" w:rsidP="00D61F73">
      <w:pPr>
        <w:pStyle w:val="NormalWeb"/>
        <w:spacing w:before="0" w:beforeAutospacing="0" w:after="0" w:afterAutospacing="0"/>
        <w:rPr>
          <w:rFonts w:ascii="Arial" w:hAnsi="Arial" w:cs="Arial"/>
        </w:rPr>
      </w:pPr>
    </w:p>
    <w:p w14:paraId="33FE3E0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3B9E42C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E</w:t>
      </w:r>
      <w:bookmarkStart w:id="669" w:name="Edwards"/>
      <w:bookmarkEnd w:id="669"/>
      <w:r w:rsidRPr="00D61F73">
        <w:rPr>
          <w:rFonts w:ascii="Arial" w:hAnsi="Arial" w:cs="Arial"/>
          <w:b/>
        </w:rPr>
        <w:t xml:space="preserve">dwards JE, Oldman A, Smith L, Collins SL, Carroll D, Wiffen PJ, McQuay HJ, Moore RA. Single dose oral aspirin for acute pain. </w:t>
      </w:r>
      <w:r w:rsidRPr="00D61F73">
        <w:rPr>
          <w:rFonts w:ascii="Arial" w:hAnsi="Arial" w:cs="Arial"/>
          <w:b/>
          <w:i/>
        </w:rPr>
        <w:t>The Cochrane Database of Systematic Reviews</w:t>
      </w:r>
      <w:r w:rsidRPr="00D61F73">
        <w:rPr>
          <w:rFonts w:ascii="Arial" w:hAnsi="Arial" w:cs="Arial"/>
          <w:b/>
        </w:rPr>
        <w:t xml:space="preserve"> 2006 Issue 3</w:t>
      </w:r>
    </w:p>
    <w:p w14:paraId="4175650D" w14:textId="77777777" w:rsidR="008D0565" w:rsidRPr="00D61F73" w:rsidRDefault="008D0565" w:rsidP="00D61F73">
      <w:pPr>
        <w:rPr>
          <w:rFonts w:ascii="Arial" w:hAnsi="Arial" w:cs="Arial"/>
          <w:b/>
        </w:rPr>
      </w:pPr>
      <w:r w:rsidRPr="00D61F73">
        <w:rPr>
          <w:rFonts w:ascii="Arial" w:hAnsi="Arial" w:cs="Arial"/>
          <w:b/>
        </w:rPr>
        <w:t>Copyright © 2006 The Cochrane Collaboration. Published by John Wiley &amp; Sons, Ltd.</w:t>
      </w:r>
    </w:p>
    <w:p w14:paraId="4FB26E80" w14:textId="77777777" w:rsidR="008D0565" w:rsidRPr="00D61F73" w:rsidRDefault="008D0565" w:rsidP="00D61F73">
      <w:pPr>
        <w:rPr>
          <w:rFonts w:ascii="Arial" w:hAnsi="Arial" w:cs="Arial"/>
        </w:rPr>
      </w:pPr>
    </w:p>
    <w:p w14:paraId="0B4608FB" w14:textId="77777777" w:rsidR="008D0565" w:rsidRPr="00D61F73" w:rsidRDefault="008D0565" w:rsidP="00D61F73">
      <w:pPr>
        <w:rPr>
          <w:rFonts w:ascii="Arial" w:hAnsi="Arial" w:cs="Arial"/>
          <w:b/>
        </w:rPr>
      </w:pPr>
      <w:r w:rsidRPr="00D61F73">
        <w:rPr>
          <w:rFonts w:ascii="Arial" w:hAnsi="Arial" w:cs="Arial"/>
        </w:rPr>
        <w:t>Aspirin is an effective analgesic for acute pain of moderate to severe intensity with a clear dose-response. Drowsiness and gastric irritation were seen as significant adverse effects even though the studies were single-dose. The pain relief achieved with aspirin was very similar milligram for milligram to that seen with paracetamol.</w:t>
      </w:r>
      <w:r w:rsidRPr="00D61F73">
        <w:rPr>
          <w:rFonts w:ascii="Arial" w:hAnsi="Arial" w:cs="Arial"/>
          <w:b/>
        </w:rPr>
        <w:t xml:space="preserve"> </w:t>
      </w:r>
    </w:p>
    <w:p w14:paraId="18D34EEA" w14:textId="77777777" w:rsidR="008D0565" w:rsidRPr="00D61F73" w:rsidRDefault="008D0565" w:rsidP="00D61F73">
      <w:pPr>
        <w:rPr>
          <w:rFonts w:ascii="Arial" w:hAnsi="Arial" w:cs="Arial"/>
          <w:b/>
        </w:rPr>
      </w:pPr>
    </w:p>
    <w:p w14:paraId="7D8736A7" w14:textId="77777777" w:rsidR="008D0565" w:rsidRPr="00D61F73" w:rsidRDefault="008D0565" w:rsidP="00D61F73">
      <w:pPr>
        <w:rPr>
          <w:rFonts w:ascii="Arial" w:hAnsi="Arial" w:cs="Arial"/>
        </w:rPr>
      </w:pPr>
      <w:r w:rsidRPr="00D61F73">
        <w:rPr>
          <w:rFonts w:ascii="Arial" w:hAnsi="Arial" w:cs="Arial"/>
        </w:rPr>
        <w:t>Rating 1a</w:t>
      </w:r>
    </w:p>
    <w:p w14:paraId="4748A81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br w:type="page"/>
      </w:r>
      <w:r w:rsidRPr="00D61F73">
        <w:rPr>
          <w:rFonts w:ascii="Arial" w:hAnsi="Arial" w:cs="Arial"/>
          <w:b/>
        </w:rPr>
        <w:lastRenderedPageBreak/>
        <w:t>E</w:t>
      </w:r>
      <w:bookmarkStart w:id="670" w:name="Eisenberg2007"/>
      <w:bookmarkEnd w:id="670"/>
      <w:r w:rsidRPr="00D61F73">
        <w:rPr>
          <w:rFonts w:ascii="Arial" w:hAnsi="Arial" w:cs="Arial"/>
          <w:b/>
        </w:rPr>
        <w:t>isenberg E</w:t>
      </w:r>
      <w:r w:rsidRPr="00D61F73">
        <w:rPr>
          <w:rFonts w:ascii="Arial" w:hAnsi="Arial" w:cs="Arial"/>
        </w:rPr>
        <w:t xml:space="preserve">, </w:t>
      </w:r>
      <w:r w:rsidRPr="00D61F73">
        <w:rPr>
          <w:rFonts w:ascii="Arial" w:hAnsi="Arial" w:cs="Arial"/>
          <w:b/>
        </w:rPr>
        <w:t>River Y</w:t>
      </w:r>
      <w:r w:rsidRPr="00D61F73">
        <w:rPr>
          <w:rFonts w:ascii="Arial" w:hAnsi="Arial" w:cs="Arial"/>
        </w:rPr>
        <w:t xml:space="preserve">, </w:t>
      </w:r>
      <w:r w:rsidRPr="00D61F73">
        <w:rPr>
          <w:rFonts w:ascii="Arial" w:hAnsi="Arial" w:cs="Arial"/>
          <w:b/>
        </w:rPr>
        <w:t>Shifrin A</w:t>
      </w:r>
      <w:r w:rsidRPr="00D61F73">
        <w:rPr>
          <w:rFonts w:ascii="Arial" w:hAnsi="Arial" w:cs="Arial"/>
        </w:rPr>
        <w:t xml:space="preserve">, </w:t>
      </w:r>
      <w:r w:rsidRPr="00D61F73">
        <w:rPr>
          <w:rFonts w:ascii="Arial" w:hAnsi="Arial" w:cs="Arial"/>
          <w:b/>
        </w:rPr>
        <w:t>Krivoy N</w:t>
      </w:r>
      <w:r w:rsidRPr="00D61F73">
        <w:rPr>
          <w:rFonts w:ascii="Arial" w:hAnsi="Arial" w:cs="Arial"/>
        </w:rPr>
        <w:t xml:space="preserve">. </w:t>
      </w:r>
      <w:r w:rsidRPr="00D61F73">
        <w:rPr>
          <w:rFonts w:ascii="Arial" w:hAnsi="Arial" w:cs="Arial"/>
          <w:b/>
        </w:rPr>
        <w:t xml:space="preserve">Antiepileptic drugs in the treatment of neuropathic pain. </w:t>
      </w:r>
      <w:r w:rsidRPr="00D61F73">
        <w:rPr>
          <w:rFonts w:ascii="Arial" w:hAnsi="Arial" w:cs="Arial"/>
          <w:b/>
          <w:i/>
        </w:rPr>
        <w:t>Drugs</w:t>
      </w:r>
      <w:r w:rsidRPr="00D61F73">
        <w:rPr>
          <w:rFonts w:ascii="Arial" w:hAnsi="Arial" w:cs="Arial"/>
          <w:b/>
        </w:rPr>
        <w:t>. 2007:67(9):1265-89.</w:t>
      </w:r>
    </w:p>
    <w:p w14:paraId="49656B46" w14:textId="77777777" w:rsidR="008D0565" w:rsidRPr="00D61F73" w:rsidRDefault="008D0565" w:rsidP="00D61F73">
      <w:pPr>
        <w:pStyle w:val="affiliation"/>
        <w:spacing w:before="0" w:beforeAutospacing="0" w:after="0" w:afterAutospacing="0"/>
        <w:rPr>
          <w:rFonts w:ascii="Arial" w:hAnsi="Arial" w:cs="Arial"/>
        </w:rPr>
      </w:pPr>
    </w:p>
    <w:p w14:paraId="52D12C01"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Trials with long-term follow-up are required to establish the long-term efficacy of antiepileptic drugs in neuropathic pain. </w:t>
      </w:r>
    </w:p>
    <w:p w14:paraId="3D91F875" w14:textId="77777777" w:rsidR="008D0565" w:rsidRPr="00D61F73" w:rsidRDefault="008D0565" w:rsidP="00D61F73">
      <w:pPr>
        <w:pStyle w:val="pmid"/>
        <w:spacing w:before="0" w:beforeAutospacing="0" w:after="0" w:afterAutospacing="0"/>
        <w:rPr>
          <w:rFonts w:ascii="Arial" w:hAnsi="Arial" w:cs="Arial"/>
        </w:rPr>
      </w:pPr>
    </w:p>
    <w:p w14:paraId="23F56F08"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390" w:history="1">
        <w:r w:rsidRPr="00D61F73">
          <w:rPr>
            <w:rStyle w:val="Hyperlink"/>
            <w:rFonts w:ascii="Arial" w:hAnsi="Arial" w:cs="Arial"/>
          </w:rPr>
          <w:t>17547471</w:t>
        </w:r>
      </w:hyperlink>
      <w:r w:rsidRPr="00D61F73">
        <w:rPr>
          <w:rFonts w:ascii="Arial" w:hAnsi="Arial" w:cs="Arial"/>
        </w:rPr>
        <w:t xml:space="preserve"> </w:t>
      </w:r>
    </w:p>
    <w:p w14:paraId="19B1472C" w14:textId="77777777" w:rsidR="008D0565" w:rsidRPr="00D61F73" w:rsidRDefault="008D0565" w:rsidP="00D61F73">
      <w:pPr>
        <w:pStyle w:val="pmid"/>
        <w:spacing w:before="0" w:beforeAutospacing="0" w:after="0" w:afterAutospacing="0"/>
        <w:rPr>
          <w:rFonts w:ascii="Arial" w:hAnsi="Arial" w:cs="Arial"/>
        </w:rPr>
      </w:pPr>
    </w:p>
    <w:p w14:paraId="41041E7A" w14:textId="77777777" w:rsidR="0019257B" w:rsidRPr="00D61F73" w:rsidRDefault="008D0565" w:rsidP="00D61F73">
      <w:pPr>
        <w:pStyle w:val="pmid"/>
        <w:spacing w:before="0" w:beforeAutospacing="0" w:after="0" w:afterAutospacing="0"/>
        <w:rPr>
          <w:rFonts w:ascii="Arial" w:hAnsi="Arial" w:cs="Arial"/>
        </w:rPr>
      </w:pPr>
      <w:r w:rsidRPr="00D61F73">
        <w:rPr>
          <w:rFonts w:ascii="Arial" w:hAnsi="Arial" w:cs="Arial"/>
        </w:rPr>
        <w:t>Rating: 5a</w:t>
      </w:r>
    </w:p>
    <w:p w14:paraId="561210B3" w14:textId="77777777" w:rsidR="0019257B" w:rsidRPr="00D61F73" w:rsidRDefault="0019257B" w:rsidP="00D61F73">
      <w:pPr>
        <w:rPr>
          <w:rFonts w:ascii="Arial" w:hAnsi="Arial" w:cs="Arial"/>
          <w:b/>
        </w:rPr>
      </w:pPr>
      <w:r w:rsidRPr="00D61F73">
        <w:rPr>
          <w:rFonts w:ascii="Arial" w:hAnsi="Arial" w:cs="Arial"/>
        </w:rPr>
        <w:br w:type="page"/>
      </w:r>
      <w:bookmarkStart w:id="671" w:name="Ellenbecker"/>
      <w:bookmarkEnd w:id="671"/>
      <w:r w:rsidRPr="00D61F73">
        <w:rPr>
          <w:rFonts w:ascii="Arial" w:hAnsi="Arial" w:cs="Arial"/>
          <w:b/>
        </w:rPr>
        <w:lastRenderedPageBreak/>
        <w:t>Ellenbecker CH, Samia L, Cushman MJ, et al. Patient Safety and Quality in Home Health Care. In: Hughes RG, editor. Patient Safety and Quality: An Evidence-Based Handbook for Nurses. Rockville (MD): Agency for Healthcare Research and Quality (US); 2008 Apr. Chapter 13.</w:t>
      </w:r>
    </w:p>
    <w:p w14:paraId="0E178FD4" w14:textId="77777777" w:rsidR="0019257B" w:rsidRPr="00D61F73" w:rsidRDefault="0019257B" w:rsidP="00D61F73">
      <w:pPr>
        <w:rPr>
          <w:rFonts w:ascii="Arial" w:hAnsi="Arial" w:cs="Arial"/>
          <w:b/>
        </w:rPr>
      </w:pPr>
    </w:p>
    <w:p w14:paraId="38F5619A" w14:textId="77777777" w:rsidR="0019257B" w:rsidRPr="00D61F73" w:rsidRDefault="0019257B" w:rsidP="00D61F73">
      <w:pPr>
        <w:rPr>
          <w:rFonts w:ascii="Arial" w:hAnsi="Arial" w:cs="Arial"/>
        </w:rPr>
      </w:pPr>
      <w:r w:rsidRPr="00D61F73">
        <w:rPr>
          <w:rFonts w:ascii="Arial" w:hAnsi="Arial" w:cs="Arial"/>
        </w:rPr>
        <w:t xml:space="preserve">PMID: </w:t>
      </w:r>
      <w:hyperlink r:id="rId391" w:anchor="ch13.s2" w:history="1">
        <w:r w:rsidRPr="00D61F73">
          <w:rPr>
            <w:rStyle w:val="Hyperlink"/>
            <w:rFonts w:ascii="Arial" w:hAnsi="Arial" w:cs="Arial"/>
          </w:rPr>
          <w:t>21328733</w:t>
        </w:r>
      </w:hyperlink>
    </w:p>
    <w:p w14:paraId="38AE2384" w14:textId="77777777" w:rsidR="0019257B" w:rsidRPr="00D61F73" w:rsidRDefault="0019257B" w:rsidP="00D61F73">
      <w:pPr>
        <w:ind w:firstLine="720"/>
        <w:rPr>
          <w:rFonts w:ascii="Arial" w:hAnsi="Arial" w:cs="Arial"/>
        </w:rPr>
      </w:pPr>
    </w:p>
    <w:p w14:paraId="0B955F3D" w14:textId="77777777" w:rsidR="0019257B" w:rsidRPr="00D61F73" w:rsidRDefault="0019257B" w:rsidP="00D61F73">
      <w:pPr>
        <w:rPr>
          <w:rFonts w:ascii="Arial" w:hAnsi="Arial" w:cs="Arial"/>
        </w:rPr>
      </w:pPr>
      <w:r w:rsidRPr="00D61F73">
        <w:rPr>
          <w:rFonts w:ascii="Arial" w:hAnsi="Arial" w:cs="Arial"/>
        </w:rPr>
        <w:t xml:space="preserve">Rating: </w:t>
      </w:r>
      <w:r w:rsidR="007575DA" w:rsidRPr="00D61F73">
        <w:rPr>
          <w:rFonts w:ascii="Arial" w:hAnsi="Arial" w:cs="Arial"/>
        </w:rPr>
        <w:t>8a</w:t>
      </w:r>
    </w:p>
    <w:p w14:paraId="7C736A4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br w:type="page"/>
      </w:r>
    </w:p>
    <w:p w14:paraId="72C1B5DB" w14:textId="77777777" w:rsidR="008D0565" w:rsidRPr="00D61F73" w:rsidRDefault="008D0565" w:rsidP="00D61F73">
      <w:pPr>
        <w:rPr>
          <w:rFonts w:ascii="Arial" w:hAnsi="Arial" w:cs="Arial"/>
          <w:b/>
        </w:rPr>
      </w:pPr>
      <w:r w:rsidRPr="00D61F73">
        <w:rPr>
          <w:rFonts w:ascii="Arial" w:hAnsi="Arial" w:cs="Arial"/>
          <w:b/>
        </w:rPr>
        <w:lastRenderedPageBreak/>
        <w:t>E</w:t>
      </w:r>
      <w:bookmarkStart w:id="672" w:name="Erdogan"/>
      <w:bookmarkEnd w:id="672"/>
      <w:r w:rsidRPr="00D61F73">
        <w:rPr>
          <w:rFonts w:ascii="Arial" w:hAnsi="Arial" w:cs="Arial"/>
          <w:b/>
        </w:rPr>
        <w:t xml:space="preserve">rdogan M, Erdogan A, Erbil N, Karakaya HK, Demircan A. Prospective, Randomized, Placebo-controlled Study of the Effect of TENS on postthoracotomy pain and pulmonary function. </w:t>
      </w:r>
      <w:r w:rsidRPr="00D61F73">
        <w:rPr>
          <w:rFonts w:ascii="Arial" w:hAnsi="Arial" w:cs="Arial"/>
          <w:b/>
          <w:i/>
          <w:iCs/>
        </w:rPr>
        <w:t>World J Surg</w:t>
      </w:r>
      <w:r w:rsidRPr="00D61F73">
        <w:rPr>
          <w:rFonts w:ascii="Arial" w:hAnsi="Arial" w:cs="Arial"/>
          <w:b/>
        </w:rPr>
        <w:t xml:space="preserve">. 2005 Dec;29(12):1563-70. </w:t>
      </w:r>
    </w:p>
    <w:p w14:paraId="0C6A8115" w14:textId="77777777" w:rsidR="008D0565" w:rsidRPr="00D61F73" w:rsidRDefault="008D0565" w:rsidP="00D61F73">
      <w:pPr>
        <w:rPr>
          <w:rFonts w:ascii="Arial" w:hAnsi="Arial" w:cs="Arial"/>
        </w:rPr>
      </w:pPr>
    </w:p>
    <w:p w14:paraId="6CE6B31B" w14:textId="77777777" w:rsidR="008D0565" w:rsidRPr="00D61F73" w:rsidRDefault="008D0565" w:rsidP="00D61F73">
      <w:pPr>
        <w:rPr>
          <w:rFonts w:ascii="Arial" w:hAnsi="Arial" w:cs="Arial"/>
        </w:rPr>
      </w:pPr>
      <w:r w:rsidRPr="00D61F73">
        <w:rPr>
          <w:rFonts w:ascii="Arial" w:hAnsi="Arial" w:cs="Arial"/>
        </w:rPr>
        <w:t xml:space="preserve">Additionally, following the sixth postoperative hour, TENS increased the spirometric breath function. </w:t>
      </w:r>
    </w:p>
    <w:p w14:paraId="697200A7" w14:textId="77777777" w:rsidR="008D0565" w:rsidRPr="00D61F73" w:rsidRDefault="008D0565" w:rsidP="00D61F73">
      <w:pPr>
        <w:rPr>
          <w:rFonts w:ascii="Arial" w:hAnsi="Arial" w:cs="Arial"/>
        </w:rPr>
      </w:pPr>
    </w:p>
    <w:p w14:paraId="558FEB98" w14:textId="77777777" w:rsidR="008D0565" w:rsidRPr="00D61F73" w:rsidRDefault="008D0565" w:rsidP="00D61F73">
      <w:pPr>
        <w:rPr>
          <w:rFonts w:ascii="Arial" w:hAnsi="Arial" w:cs="Arial"/>
        </w:rPr>
      </w:pPr>
      <w:r w:rsidRPr="00D61F73">
        <w:rPr>
          <w:rFonts w:ascii="Arial" w:hAnsi="Arial" w:cs="Arial"/>
        </w:rPr>
        <w:t xml:space="preserve">PMID: </w:t>
      </w:r>
      <w:hyperlink r:id="rId392" w:history="1">
        <w:r w:rsidRPr="00D61F73">
          <w:rPr>
            <w:rStyle w:val="Hyperlink"/>
            <w:rFonts w:ascii="Arial" w:hAnsi="Arial" w:cs="Arial"/>
          </w:rPr>
          <w:t>16331341</w:t>
        </w:r>
      </w:hyperlink>
    </w:p>
    <w:p w14:paraId="0D4E19C3" w14:textId="77777777" w:rsidR="008D0565" w:rsidRPr="00D61F73" w:rsidRDefault="008D0565" w:rsidP="00D61F73">
      <w:pPr>
        <w:rPr>
          <w:rFonts w:ascii="Arial" w:hAnsi="Arial" w:cs="Arial"/>
        </w:rPr>
      </w:pPr>
    </w:p>
    <w:p w14:paraId="083F04C4" w14:textId="77777777" w:rsidR="008D0565" w:rsidRPr="00D61F73" w:rsidRDefault="008D0565" w:rsidP="00D61F73">
      <w:pPr>
        <w:rPr>
          <w:rFonts w:ascii="Arial" w:hAnsi="Arial" w:cs="Arial"/>
        </w:rPr>
      </w:pPr>
      <w:r w:rsidRPr="00D61F73">
        <w:rPr>
          <w:rFonts w:ascii="Arial" w:hAnsi="Arial" w:cs="Arial"/>
        </w:rPr>
        <w:t>Rating: 2c</w:t>
      </w:r>
    </w:p>
    <w:p w14:paraId="74A68C25"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E</w:t>
      </w:r>
      <w:bookmarkStart w:id="673" w:name="Erman"/>
      <w:bookmarkEnd w:id="673"/>
      <w:r w:rsidRPr="00D61F73">
        <w:rPr>
          <w:rFonts w:ascii="Arial" w:hAnsi="Arial" w:cs="Arial"/>
          <w:b/>
        </w:rPr>
        <w:t>rman MK. Therapeutic options in the treatment of insomnia. J Clin Psychiatry. 2005;66 Suppl 9:18-23.</w:t>
      </w:r>
    </w:p>
    <w:p w14:paraId="345B6971" w14:textId="77777777" w:rsidR="008D0565" w:rsidRPr="00D61F73" w:rsidRDefault="008D0565" w:rsidP="00D61F73">
      <w:pPr>
        <w:rPr>
          <w:rFonts w:ascii="Arial" w:hAnsi="Arial" w:cs="Arial"/>
        </w:rPr>
      </w:pPr>
    </w:p>
    <w:p w14:paraId="31E8F396" w14:textId="77777777" w:rsidR="008D0565" w:rsidRPr="00D61F73" w:rsidRDefault="008D0565" w:rsidP="00D61F73">
      <w:pPr>
        <w:rPr>
          <w:rFonts w:ascii="Arial" w:hAnsi="Arial" w:cs="Arial"/>
        </w:rPr>
      </w:pPr>
      <w:r w:rsidRPr="00D61F73">
        <w:rPr>
          <w:rFonts w:ascii="Arial" w:hAnsi="Arial" w:cs="Arial"/>
        </w:rPr>
        <w:t xml:space="preserve">Although antidepressants, antipsychotics, and anticonvulsants are often prescribed for the treatment of insomnia, they are not approved by the U.S. Food and Drug Administration for this indication and have side effects that are sometimes severe. </w:t>
      </w:r>
    </w:p>
    <w:p w14:paraId="50D58BAC" w14:textId="77777777" w:rsidR="008D0565" w:rsidRPr="00D61F73" w:rsidRDefault="008D0565" w:rsidP="00D61F73">
      <w:pPr>
        <w:rPr>
          <w:rFonts w:ascii="Arial" w:hAnsi="Arial" w:cs="Arial"/>
        </w:rPr>
      </w:pPr>
    </w:p>
    <w:p w14:paraId="2B5C1895" w14:textId="77777777" w:rsidR="008D0565" w:rsidRPr="00D61F73" w:rsidRDefault="008D0565" w:rsidP="00D61F73">
      <w:pPr>
        <w:rPr>
          <w:rFonts w:ascii="Arial" w:hAnsi="Arial" w:cs="Arial"/>
        </w:rPr>
      </w:pPr>
      <w:r w:rsidRPr="00D61F73">
        <w:rPr>
          <w:rFonts w:ascii="Arial" w:hAnsi="Arial" w:cs="Arial"/>
        </w:rPr>
        <w:t>Rating 5b</w:t>
      </w:r>
    </w:p>
    <w:p w14:paraId="0727D07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E</w:t>
      </w:r>
      <w:bookmarkStart w:id="674" w:name="Esenyel"/>
      <w:bookmarkEnd w:id="674"/>
      <w:r w:rsidRPr="00D61F73">
        <w:rPr>
          <w:rFonts w:ascii="Arial" w:hAnsi="Arial" w:cs="Arial"/>
          <w:b/>
        </w:rPr>
        <w:t xml:space="preserve">senyel M, Caglar N, Aldemir T. Treatment of myofascial pain. </w:t>
      </w:r>
      <w:r w:rsidRPr="00D61F73">
        <w:rPr>
          <w:rFonts w:ascii="Arial" w:hAnsi="Arial" w:cs="Arial"/>
          <w:b/>
          <w:i/>
        </w:rPr>
        <w:t>Am J Phys Med Rehabil</w:t>
      </w:r>
      <w:r w:rsidRPr="00D61F73">
        <w:rPr>
          <w:rFonts w:ascii="Arial" w:hAnsi="Arial" w:cs="Arial"/>
          <w:b/>
        </w:rPr>
        <w:t>. 2000;79:48-52.</w:t>
      </w:r>
    </w:p>
    <w:p w14:paraId="1D7531E2" w14:textId="77777777" w:rsidR="008D0565" w:rsidRPr="00D61F73" w:rsidRDefault="008D0565" w:rsidP="00D61F73">
      <w:pPr>
        <w:rPr>
          <w:rFonts w:ascii="Arial" w:hAnsi="Arial" w:cs="Arial"/>
        </w:rPr>
      </w:pPr>
    </w:p>
    <w:p w14:paraId="34077DF9" w14:textId="77777777" w:rsidR="008D0565" w:rsidRPr="00D61F73" w:rsidRDefault="008D0565" w:rsidP="00D61F73">
      <w:pPr>
        <w:rPr>
          <w:rFonts w:ascii="Arial" w:hAnsi="Arial" w:cs="Arial"/>
        </w:rPr>
      </w:pPr>
      <w:r w:rsidRPr="00D61F73">
        <w:rPr>
          <w:rFonts w:ascii="Arial" w:hAnsi="Arial" w:cs="Arial"/>
        </w:rPr>
        <w:t xml:space="preserve">CONCLUSIONS: Patients with myofascial pain syndrome had higher scores for anxiety than for depression. </w:t>
      </w:r>
    </w:p>
    <w:p w14:paraId="1E788F41" w14:textId="77777777" w:rsidR="008D0565" w:rsidRPr="00D61F73" w:rsidRDefault="008D0565" w:rsidP="00D61F73">
      <w:pPr>
        <w:rPr>
          <w:rFonts w:ascii="Arial" w:hAnsi="Arial" w:cs="Arial"/>
        </w:rPr>
      </w:pPr>
    </w:p>
    <w:p w14:paraId="121C6345" w14:textId="77777777" w:rsidR="008D0565" w:rsidRPr="00D61F73" w:rsidRDefault="008D0565" w:rsidP="00D61F73">
      <w:pPr>
        <w:rPr>
          <w:rFonts w:ascii="Arial" w:hAnsi="Arial" w:cs="Arial"/>
        </w:rPr>
      </w:pPr>
      <w:r w:rsidRPr="00D61F73">
        <w:rPr>
          <w:rFonts w:ascii="Arial" w:hAnsi="Arial" w:cs="Arial"/>
        </w:rPr>
        <w:t xml:space="preserve">PMID: </w:t>
      </w:r>
      <w:hyperlink r:id="rId393" w:history="1">
        <w:r w:rsidRPr="00D61F73">
          <w:rPr>
            <w:rStyle w:val="Hyperlink"/>
            <w:rFonts w:ascii="Arial" w:hAnsi="Arial" w:cs="Arial"/>
          </w:rPr>
          <w:t>10678603</w:t>
        </w:r>
      </w:hyperlink>
    </w:p>
    <w:p w14:paraId="6618F973" w14:textId="77777777" w:rsidR="008D0565" w:rsidRPr="00D61F73" w:rsidRDefault="008D0565" w:rsidP="00D61F73">
      <w:pPr>
        <w:rPr>
          <w:rFonts w:ascii="Arial" w:hAnsi="Arial" w:cs="Arial"/>
        </w:rPr>
      </w:pPr>
    </w:p>
    <w:p w14:paraId="67269122" w14:textId="77777777" w:rsidR="008D0565" w:rsidRPr="00D61F73" w:rsidRDefault="008D0565" w:rsidP="00D61F73">
      <w:pPr>
        <w:rPr>
          <w:rFonts w:ascii="Arial" w:hAnsi="Arial" w:cs="Arial"/>
        </w:rPr>
      </w:pPr>
      <w:r w:rsidRPr="00D61F73">
        <w:rPr>
          <w:rFonts w:ascii="Arial" w:hAnsi="Arial" w:cs="Arial"/>
        </w:rPr>
        <w:t>Rating: 2b</w:t>
      </w:r>
    </w:p>
    <w:p w14:paraId="4D9AB5D2"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E</w:t>
      </w:r>
      <w:bookmarkStart w:id="675" w:name="Esparza2007"/>
      <w:bookmarkEnd w:id="675"/>
      <w:r w:rsidRPr="00D61F73">
        <w:rPr>
          <w:rFonts w:ascii="Arial" w:hAnsi="Arial" w:cs="Arial"/>
          <w:b/>
        </w:rPr>
        <w:t xml:space="preserve">sparza F, Cobián C, Jiménez JF, García-Cota JJ, Sánchez C, Maestro A; Working group for the acute pain study of SETRADE. Topical ketoprofen TDS patch versus diclofenac gel: efficacy and tolerability in benign sport related soft-tissue injuries. </w:t>
      </w:r>
      <w:r w:rsidRPr="00D61F73">
        <w:rPr>
          <w:rFonts w:ascii="Arial" w:hAnsi="Arial" w:cs="Arial"/>
          <w:b/>
          <w:i/>
        </w:rPr>
        <w:t>Br J Sports Med</w:t>
      </w:r>
      <w:r w:rsidRPr="00D61F73">
        <w:rPr>
          <w:rFonts w:ascii="Arial" w:hAnsi="Arial" w:cs="Arial"/>
          <w:b/>
        </w:rPr>
        <w:t>. 2007;41:134-9.</w:t>
      </w:r>
    </w:p>
    <w:p w14:paraId="433E056B" w14:textId="77777777" w:rsidR="008D0565" w:rsidRPr="00D61F73" w:rsidRDefault="008D0565" w:rsidP="00D61F73">
      <w:pPr>
        <w:rPr>
          <w:rFonts w:ascii="Arial" w:eastAsia="Calibri" w:hAnsi="Arial" w:cs="Arial"/>
        </w:rPr>
      </w:pPr>
    </w:p>
    <w:p w14:paraId="3D62A254" w14:textId="77777777" w:rsidR="008D0565" w:rsidRPr="00D61F73" w:rsidRDefault="008D0565" w:rsidP="00D61F73">
      <w:pPr>
        <w:rPr>
          <w:rFonts w:ascii="Arial" w:eastAsia="Calibri" w:hAnsi="Arial" w:cs="Arial"/>
        </w:rPr>
      </w:pPr>
      <w:r w:rsidRPr="00D61F73">
        <w:rPr>
          <w:rFonts w:ascii="Arial" w:hAnsi="Arial" w:cs="Arial"/>
        </w:rPr>
        <w:t>The ketoprofen patch was not inferior to diclofenac gel in reducing the baseline pain during daily activities. Ketoprofen patch presented also a higher cure rate (64%) than diclofenac gel (46%) at day 7. Patient opinions about the treatment comfort were also statistically higher for the ketoprofen patch.</w:t>
      </w:r>
    </w:p>
    <w:p w14:paraId="0BFA3CCC" w14:textId="77777777" w:rsidR="008D0565" w:rsidRPr="00D61F73" w:rsidRDefault="008D0565" w:rsidP="00D61F73">
      <w:pPr>
        <w:rPr>
          <w:rFonts w:ascii="Arial" w:eastAsia="Calibri" w:hAnsi="Arial" w:cs="Arial"/>
        </w:rPr>
      </w:pPr>
    </w:p>
    <w:p w14:paraId="19FB0E24"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394" w:history="1">
        <w:r w:rsidRPr="00D61F73">
          <w:rPr>
            <w:rStyle w:val="Hyperlink"/>
            <w:rFonts w:ascii="Arial" w:hAnsi="Arial" w:cs="Arial"/>
          </w:rPr>
          <w:t>17138642</w:t>
        </w:r>
      </w:hyperlink>
    </w:p>
    <w:p w14:paraId="4F5A3F1D" w14:textId="77777777" w:rsidR="008D0565" w:rsidRPr="00D61F73" w:rsidRDefault="008D0565" w:rsidP="00D61F73">
      <w:pPr>
        <w:rPr>
          <w:rFonts w:ascii="Arial" w:eastAsia="Calibri" w:hAnsi="Arial" w:cs="Arial"/>
        </w:rPr>
      </w:pPr>
    </w:p>
    <w:p w14:paraId="543412A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6CBD5A33"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E</w:t>
      </w:r>
      <w:bookmarkStart w:id="676" w:name="Ettinger"/>
      <w:bookmarkEnd w:id="676"/>
      <w:r w:rsidRPr="00D61F73">
        <w:rPr>
          <w:rFonts w:ascii="Arial" w:hAnsi="Arial" w:cs="Arial"/>
          <w:b/>
          <w:bCs/>
        </w:rPr>
        <w:t xml:space="preserve">ttinger AB, Argoff CE. Use of antiepileptic drugs for nonepileptic conditions: psychiatric disorders and chronic pain. </w:t>
      </w:r>
      <w:r w:rsidRPr="00D61F73">
        <w:rPr>
          <w:rFonts w:ascii="Arial" w:hAnsi="Arial" w:cs="Arial"/>
          <w:b/>
          <w:bCs/>
          <w:i/>
          <w:iCs/>
        </w:rPr>
        <w:t>Neurotherapeutics</w:t>
      </w:r>
      <w:r w:rsidRPr="00D61F73">
        <w:rPr>
          <w:rFonts w:ascii="Arial" w:hAnsi="Arial" w:cs="Arial"/>
          <w:b/>
          <w:bCs/>
        </w:rPr>
        <w:t>. 2007 Jan;4(1):75-83.</w:t>
      </w:r>
    </w:p>
    <w:p w14:paraId="373A5130" w14:textId="77777777" w:rsidR="008D0565" w:rsidRPr="00D61F73" w:rsidRDefault="008D0565" w:rsidP="00D61F73">
      <w:pPr>
        <w:pStyle w:val="NormalWeb"/>
        <w:spacing w:before="0" w:beforeAutospacing="0" w:after="0" w:afterAutospacing="0"/>
        <w:rPr>
          <w:rFonts w:ascii="Arial" w:hAnsi="Arial" w:cs="Arial"/>
        </w:rPr>
      </w:pPr>
    </w:p>
    <w:p w14:paraId="53495F4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Underlying depression and anxiety symptoms may be exacerbated by levetiracetam, while psychotic symptoms have rarely been reported with topiramate, levetiracetam, and zonisamide</w:t>
      </w:r>
    </w:p>
    <w:p w14:paraId="40D7F8A9" w14:textId="77777777" w:rsidR="008D0565" w:rsidRPr="00D61F73" w:rsidRDefault="008D0565" w:rsidP="00D61F73">
      <w:pPr>
        <w:pStyle w:val="NormalWeb"/>
        <w:spacing w:before="0" w:beforeAutospacing="0" w:after="0" w:afterAutospacing="0"/>
        <w:rPr>
          <w:rFonts w:ascii="Arial" w:hAnsi="Arial" w:cs="Arial"/>
        </w:rPr>
      </w:pPr>
    </w:p>
    <w:p w14:paraId="386B402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395" w:history="1">
        <w:r w:rsidRPr="00D61F73">
          <w:rPr>
            <w:rStyle w:val="Hyperlink"/>
            <w:rFonts w:ascii="Arial" w:hAnsi="Arial" w:cs="Arial"/>
          </w:rPr>
          <w:t>17199018</w:t>
        </w:r>
      </w:hyperlink>
      <w:r w:rsidRPr="00D61F73">
        <w:rPr>
          <w:rFonts w:ascii="Arial" w:hAnsi="Arial" w:cs="Arial"/>
        </w:rPr>
        <w:t xml:space="preserve"> </w:t>
      </w:r>
    </w:p>
    <w:p w14:paraId="05886944" w14:textId="77777777" w:rsidR="008D0565" w:rsidRPr="00D61F73" w:rsidRDefault="008D0565" w:rsidP="00D61F73">
      <w:pPr>
        <w:pStyle w:val="NormalWeb"/>
        <w:spacing w:before="0" w:beforeAutospacing="0" w:after="0" w:afterAutospacing="0"/>
        <w:rPr>
          <w:rFonts w:ascii="Arial" w:hAnsi="Arial" w:cs="Arial"/>
        </w:rPr>
      </w:pPr>
    </w:p>
    <w:p w14:paraId="5D3B146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3E8B27FC" w14:textId="77777777" w:rsidR="00F47EC3" w:rsidRPr="00D61F73" w:rsidRDefault="008D0565" w:rsidP="00D61F73">
      <w:pPr>
        <w:pStyle w:val="pagetitle"/>
        <w:spacing w:before="0" w:beforeAutospacing="0" w:after="0" w:afterAutospacing="0"/>
        <w:jc w:val="left"/>
        <w:rPr>
          <w:rFonts w:ascii="Arial" w:hAnsi="Arial" w:cs="Arial"/>
          <w:b/>
          <w:color w:val="000000"/>
          <w:sz w:val="24"/>
          <w:szCs w:val="24"/>
        </w:rPr>
      </w:pPr>
      <w:r w:rsidRPr="00D61F73">
        <w:rPr>
          <w:rFonts w:ascii="Arial" w:hAnsi="Arial" w:cs="Arial"/>
          <w:sz w:val="24"/>
          <w:szCs w:val="24"/>
        </w:rPr>
        <w:br w:type="page"/>
      </w:r>
      <w:bookmarkStart w:id="677" w:name="FDAFEB2008"/>
      <w:bookmarkStart w:id="678" w:name="FDA2008a"/>
      <w:bookmarkEnd w:id="677"/>
      <w:bookmarkEnd w:id="678"/>
      <w:r w:rsidR="00F47EC3" w:rsidRPr="00D61F73">
        <w:rPr>
          <w:rFonts w:ascii="Arial" w:hAnsi="Arial" w:cs="Arial"/>
          <w:b/>
          <w:color w:val="000000"/>
          <w:sz w:val="24"/>
          <w:szCs w:val="24"/>
        </w:rPr>
        <w:lastRenderedPageBreak/>
        <w:fldChar w:fldCharType="begin"/>
      </w:r>
      <w:r w:rsidR="00F47EC3" w:rsidRPr="00D61F73">
        <w:rPr>
          <w:rFonts w:ascii="Arial" w:hAnsi="Arial" w:cs="Arial"/>
          <w:b/>
          <w:color w:val="000000"/>
          <w:sz w:val="24"/>
          <w:szCs w:val="24"/>
        </w:rPr>
        <w:instrText xml:space="preserve"> HYPERLINK "http://www.fda.gov/downloads/AdvisoryCommittees/CommitteesMeetingMaterials/Drugs/DrugSafetyandRiskManagementAdvisoryCommittee/UCM164898.pdf" </w:instrText>
      </w:r>
      <w:r w:rsidR="00F47EC3" w:rsidRPr="00D61F73">
        <w:rPr>
          <w:rFonts w:ascii="Arial" w:hAnsi="Arial" w:cs="Arial"/>
          <w:b/>
          <w:color w:val="000000"/>
          <w:sz w:val="24"/>
          <w:szCs w:val="24"/>
        </w:rPr>
        <w:fldChar w:fldCharType="separate"/>
      </w:r>
      <w:r w:rsidR="00F47EC3" w:rsidRPr="00D61F73">
        <w:rPr>
          <w:rStyle w:val="Hyperlink"/>
          <w:rFonts w:ascii="Arial" w:hAnsi="Arial" w:cs="Arial"/>
          <w:b/>
          <w:sz w:val="24"/>
          <w:szCs w:val="24"/>
        </w:rPr>
        <w:t>FDA</w:t>
      </w:r>
      <w:r w:rsidR="00F47EC3" w:rsidRPr="00D61F73">
        <w:rPr>
          <w:rFonts w:ascii="Arial" w:hAnsi="Arial" w:cs="Arial"/>
          <w:b/>
          <w:color w:val="000000"/>
          <w:sz w:val="24"/>
          <w:szCs w:val="24"/>
        </w:rPr>
        <w:fldChar w:fldCharType="end"/>
      </w:r>
      <w:r w:rsidR="00F47EC3" w:rsidRPr="00D61F73">
        <w:rPr>
          <w:rFonts w:ascii="Arial" w:hAnsi="Arial" w:cs="Arial"/>
          <w:b/>
          <w:color w:val="000000"/>
          <w:sz w:val="24"/>
          <w:szCs w:val="24"/>
        </w:rPr>
        <w:t>. The Acetaminophen Hepatotoxicity Working Group Center for Drug Evaluation and Research. Recommendations for FDA Interventions to Decrease the Occurrence of Acetaminophen Hepatotoxicity. February 26, 2008.</w:t>
      </w:r>
    </w:p>
    <w:p w14:paraId="7B89C396" w14:textId="77777777" w:rsidR="00F47EC3" w:rsidRPr="00D61F73" w:rsidRDefault="00F47EC3" w:rsidP="00D61F73">
      <w:pPr>
        <w:autoSpaceDE w:val="0"/>
        <w:autoSpaceDN w:val="0"/>
        <w:adjustRightInd w:val="0"/>
        <w:rPr>
          <w:rFonts w:ascii="Arial" w:hAnsi="Arial" w:cs="Arial"/>
          <w:color w:val="auto"/>
        </w:rPr>
      </w:pPr>
      <w:r w:rsidRPr="00D61F73">
        <w:rPr>
          <w:rFonts w:ascii="Arial" w:hAnsi="Arial" w:cs="Arial"/>
          <w:color w:val="auto"/>
        </w:rPr>
        <w:t>This report represents the recommendations of a working group asked by former CDER Director Dr.</w:t>
      </w:r>
    </w:p>
    <w:p w14:paraId="6F2157E9" w14:textId="77777777" w:rsidR="00F47EC3" w:rsidRPr="00D61F73" w:rsidRDefault="00F47EC3" w:rsidP="00D61F73">
      <w:pPr>
        <w:autoSpaceDE w:val="0"/>
        <w:autoSpaceDN w:val="0"/>
        <w:adjustRightInd w:val="0"/>
        <w:rPr>
          <w:rFonts w:ascii="Arial" w:hAnsi="Arial" w:cs="Arial"/>
          <w:color w:val="auto"/>
        </w:rPr>
      </w:pPr>
      <w:r w:rsidRPr="00D61F73">
        <w:rPr>
          <w:rFonts w:ascii="Arial" w:hAnsi="Arial" w:cs="Arial"/>
          <w:color w:val="auto"/>
        </w:rPr>
        <w:t>Steven Galson to consider FDA interventions that could decrease the number of cases of unintentional</w:t>
      </w:r>
    </w:p>
    <w:p w14:paraId="6D3680C0" w14:textId="77777777" w:rsidR="00F47EC3" w:rsidRPr="00D61F73" w:rsidRDefault="00F47EC3" w:rsidP="00D61F73">
      <w:pPr>
        <w:autoSpaceDE w:val="0"/>
        <w:autoSpaceDN w:val="0"/>
        <w:adjustRightInd w:val="0"/>
        <w:rPr>
          <w:rFonts w:ascii="Arial" w:hAnsi="Arial" w:cs="Arial"/>
          <w:color w:val="auto"/>
        </w:rPr>
      </w:pPr>
      <w:r w:rsidRPr="00D61F73">
        <w:rPr>
          <w:rFonts w:ascii="Arial" w:hAnsi="Arial" w:cs="Arial"/>
          <w:color w:val="auto"/>
        </w:rPr>
        <w:t xml:space="preserve">and intentional overdose leading to liver injury from over-the-counter </w:t>
      </w:r>
      <w:r w:rsidR="00B11F9E" w:rsidRPr="00D61F73">
        <w:rPr>
          <w:rFonts w:ascii="Arial" w:hAnsi="Arial" w:cs="Arial"/>
          <w:color w:val="auto"/>
        </w:rPr>
        <w:t xml:space="preserve">and prescription drug products. </w:t>
      </w:r>
      <w:r w:rsidRPr="00D61F73">
        <w:rPr>
          <w:rFonts w:ascii="Arial" w:hAnsi="Arial" w:cs="Arial"/>
          <w:color w:val="auto"/>
        </w:rPr>
        <w:t>CDER recognizes that acetaminophen-related hepatotoxicity is a significant public health problem.</w:t>
      </w:r>
    </w:p>
    <w:p w14:paraId="5EF6305F" w14:textId="77777777" w:rsidR="00856695" w:rsidRPr="00D61F73" w:rsidRDefault="00856695" w:rsidP="00D61F73">
      <w:pPr>
        <w:autoSpaceDE w:val="0"/>
        <w:autoSpaceDN w:val="0"/>
        <w:adjustRightInd w:val="0"/>
        <w:rPr>
          <w:rFonts w:ascii="Arial" w:hAnsi="Arial" w:cs="Arial"/>
          <w:color w:val="auto"/>
        </w:rPr>
      </w:pPr>
    </w:p>
    <w:p w14:paraId="25AA98A3" w14:textId="77777777" w:rsidR="00856695" w:rsidRPr="00D61F73" w:rsidRDefault="00856695" w:rsidP="00D61F73">
      <w:pPr>
        <w:autoSpaceDE w:val="0"/>
        <w:autoSpaceDN w:val="0"/>
        <w:adjustRightInd w:val="0"/>
        <w:rPr>
          <w:rFonts w:ascii="Arial" w:hAnsi="Arial" w:cs="Arial"/>
          <w:color w:val="auto"/>
        </w:rPr>
      </w:pPr>
      <w:r w:rsidRPr="00D61F73">
        <w:rPr>
          <w:rFonts w:ascii="Arial" w:hAnsi="Arial" w:cs="Arial"/>
          <w:color w:val="auto"/>
        </w:rPr>
        <w:t>Rating: 10a</w:t>
      </w:r>
    </w:p>
    <w:p w14:paraId="1CAE5CD0" w14:textId="77777777" w:rsidR="00546445" w:rsidRPr="00D61F73" w:rsidRDefault="00546445" w:rsidP="00D61F73">
      <w:pPr>
        <w:rPr>
          <w:rFonts w:ascii="Arial" w:hAnsi="Arial" w:cs="Arial"/>
        </w:rPr>
      </w:pPr>
      <w:bookmarkStart w:id="679" w:name="FDA2013a"/>
      <w:bookmarkStart w:id="680" w:name="FDAFederalRegister2014"/>
      <w:bookmarkEnd w:id="679"/>
      <w:bookmarkEnd w:id="680"/>
    </w:p>
    <w:p w14:paraId="682B68DC" w14:textId="77777777" w:rsidR="00546445" w:rsidRPr="00D61F73" w:rsidRDefault="00546445" w:rsidP="00D61F73">
      <w:pPr>
        <w:pStyle w:val="pagetitle"/>
        <w:jc w:val="left"/>
        <w:rPr>
          <w:rFonts w:ascii="Arial" w:hAnsi="Arial" w:cs="Arial"/>
          <w:b/>
          <w:bCs/>
          <w:sz w:val="24"/>
          <w:szCs w:val="24"/>
        </w:rPr>
      </w:pPr>
    </w:p>
    <w:p w14:paraId="64629CD5" w14:textId="77777777" w:rsidR="00546445" w:rsidRPr="00D61F73" w:rsidRDefault="00546445" w:rsidP="00D61F73">
      <w:pPr>
        <w:pStyle w:val="pagetitle"/>
        <w:jc w:val="left"/>
        <w:rPr>
          <w:rFonts w:ascii="Arial" w:hAnsi="Arial" w:cs="Arial"/>
          <w:b/>
          <w:bCs/>
          <w:color w:val="000000"/>
          <w:sz w:val="24"/>
          <w:szCs w:val="24"/>
        </w:rPr>
      </w:pPr>
      <w:r w:rsidRPr="00D61F73">
        <w:rPr>
          <w:rFonts w:ascii="Arial" w:hAnsi="Arial" w:cs="Arial"/>
          <w:sz w:val="24"/>
          <w:szCs w:val="24"/>
        </w:rPr>
        <w:br w:type="page"/>
      </w:r>
      <w:bookmarkStart w:id="681" w:name="FDAMarch2008"/>
      <w:bookmarkEnd w:id="681"/>
      <w:r w:rsidRPr="00D61F73">
        <w:lastRenderedPageBreak/>
        <w:fldChar w:fldCharType="begin"/>
      </w:r>
      <w:r w:rsidRPr="00D61F73">
        <w:rPr>
          <w:rFonts w:ascii="Arial" w:hAnsi="Arial" w:cs="Arial"/>
          <w:sz w:val="24"/>
          <w:szCs w:val="24"/>
        </w:rPr>
        <w:instrText xml:space="preserve"> HYPERLINK "http://www.fda.gov/cder/aers/potential_signals/potential_signals_2008Q1.htm" </w:instrText>
      </w:r>
      <w:r w:rsidRPr="00D61F73">
        <w:fldChar w:fldCharType="separate"/>
      </w:r>
      <w:r w:rsidRPr="00D61F73">
        <w:rPr>
          <w:rStyle w:val="Hyperlink"/>
          <w:rFonts w:ascii="Arial" w:hAnsi="Arial" w:cs="Arial"/>
          <w:b/>
          <w:bCs/>
          <w:sz w:val="24"/>
          <w:szCs w:val="24"/>
        </w:rPr>
        <w:t>FDA</w:t>
      </w:r>
      <w:r w:rsidRPr="00D61F73">
        <w:rPr>
          <w:rStyle w:val="Hyperlink"/>
          <w:rFonts w:ascii="Arial" w:hAnsi="Arial" w:cs="Arial"/>
          <w:b/>
          <w:bCs/>
          <w:sz w:val="24"/>
          <w:szCs w:val="24"/>
        </w:rPr>
        <w:fldChar w:fldCharType="end"/>
      </w:r>
      <w:r w:rsidRPr="00D61F73">
        <w:rPr>
          <w:rFonts w:ascii="Arial" w:hAnsi="Arial" w:cs="Arial"/>
          <w:b/>
          <w:bCs/>
          <w:color w:val="000000"/>
          <w:sz w:val="24"/>
          <w:szCs w:val="24"/>
        </w:rPr>
        <w:t>. Potential Signals of Serious Risks/New Safety Information Identified by the Adverse Event Reporting System (AERS). January - March 2008</w:t>
      </w:r>
    </w:p>
    <w:p w14:paraId="36277A36" w14:textId="77777777" w:rsidR="00546445" w:rsidRPr="00D61F73" w:rsidRDefault="00546445" w:rsidP="00D61F73">
      <w:pPr>
        <w:pStyle w:val="pagetitle"/>
        <w:spacing w:before="0" w:beforeAutospacing="0" w:after="0" w:afterAutospacing="0"/>
        <w:jc w:val="left"/>
        <w:rPr>
          <w:rFonts w:ascii="Arial" w:hAnsi="Arial" w:cs="Arial"/>
          <w:color w:val="000000"/>
          <w:sz w:val="24"/>
          <w:szCs w:val="24"/>
        </w:rPr>
      </w:pPr>
    </w:p>
    <w:p w14:paraId="23883380" w14:textId="77777777" w:rsidR="00546445" w:rsidRPr="00D61F73" w:rsidRDefault="00546445" w:rsidP="00D61F73">
      <w:pPr>
        <w:pStyle w:val="NormalWeb"/>
        <w:spacing w:before="0" w:beforeAutospacing="0" w:after="0" w:afterAutospacing="0"/>
        <w:rPr>
          <w:rFonts w:ascii="Arial" w:hAnsi="Arial" w:cs="Arial"/>
          <w:color w:val="000000"/>
        </w:rPr>
      </w:pPr>
      <w:r w:rsidRPr="00D61F73">
        <w:rPr>
          <w:rFonts w:ascii="Arial" w:hAnsi="Arial" w:cs="Arial"/>
          <w:color w:val="000000"/>
        </w:rPr>
        <w:t xml:space="preserve">The table below lists the names of products and potential signals of serious risks/new safety information that were identified for these products during the period January - March 2008 in the AERS database. </w:t>
      </w:r>
    </w:p>
    <w:p w14:paraId="3B2C6CB9" w14:textId="77777777" w:rsidR="00546445" w:rsidRPr="00D61F73" w:rsidRDefault="00546445" w:rsidP="00D61F73">
      <w:pPr>
        <w:pStyle w:val="Heading4"/>
        <w:rPr>
          <w:rFonts w:ascii="Arial" w:hAnsi="Arial" w:cs="Arial"/>
        </w:rPr>
      </w:pPr>
      <w:r w:rsidRPr="00D61F73">
        <w:rPr>
          <w:rFonts w:ascii="Arial" w:hAnsi="Arial" w:cs="Arial"/>
        </w:rPr>
        <w:t>Potential Signals of Serious Risks/New Safety Information Identified by the Adverse Event Reporting System (AERS) January - March 2008</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4899"/>
        <w:gridCol w:w="4899"/>
      </w:tblGrid>
      <w:tr w:rsidR="00546445" w:rsidRPr="00D61F73" w14:paraId="257CA940" w14:textId="77777777" w:rsidTr="00F65BAC">
        <w:trPr>
          <w:tblCellSpacing w:w="0" w:type="dxa"/>
          <w:jc w:val="center"/>
        </w:trPr>
        <w:tc>
          <w:tcPr>
            <w:tcW w:w="2500" w:type="pct"/>
            <w:tcBorders>
              <w:top w:val="outset" w:sz="6" w:space="0" w:color="auto"/>
              <w:left w:val="outset" w:sz="6" w:space="0" w:color="auto"/>
              <w:bottom w:val="outset" w:sz="6" w:space="0" w:color="auto"/>
              <w:right w:val="outset" w:sz="6" w:space="0" w:color="auto"/>
            </w:tcBorders>
          </w:tcPr>
          <w:p w14:paraId="3253CA07" w14:textId="77777777" w:rsidR="00546445" w:rsidRPr="00D61F73" w:rsidRDefault="00546445" w:rsidP="00D61F73">
            <w:pPr>
              <w:jc w:val="center"/>
              <w:rPr>
                <w:rFonts w:ascii="Arial" w:hAnsi="Arial" w:cs="Arial"/>
                <w:b/>
                <w:bCs/>
              </w:rPr>
            </w:pPr>
            <w:r w:rsidRPr="00D61F73">
              <w:rPr>
                <w:rFonts w:ascii="Arial" w:hAnsi="Arial" w:cs="Arial"/>
                <w:b/>
                <w:bCs/>
              </w:rPr>
              <w:t>Product Name: Active Ingredient (Trade)</w:t>
            </w:r>
          </w:p>
          <w:p w14:paraId="537A39B2" w14:textId="77777777" w:rsidR="00546445" w:rsidRPr="00D61F73" w:rsidRDefault="00546445" w:rsidP="00D61F73">
            <w:pPr>
              <w:jc w:val="center"/>
              <w:rPr>
                <w:rFonts w:ascii="Arial" w:hAnsi="Arial" w:cs="Arial"/>
                <w:b/>
                <w:bCs/>
              </w:rPr>
            </w:pPr>
            <w:r w:rsidRPr="00D61F73">
              <w:rPr>
                <w:rStyle w:val="Emphasis"/>
                <w:rFonts w:ascii="Arial" w:hAnsi="Arial" w:cs="Arial"/>
                <w:b/>
                <w:bCs/>
              </w:rPr>
              <w:t>or</w:t>
            </w:r>
            <w:r w:rsidRPr="00D61F73">
              <w:rPr>
                <w:rFonts w:ascii="Arial" w:hAnsi="Arial" w:cs="Arial"/>
                <w:b/>
                <w:bCs/>
              </w:rPr>
              <w:t xml:space="preserve"> Product Class</w:t>
            </w:r>
          </w:p>
        </w:tc>
        <w:tc>
          <w:tcPr>
            <w:tcW w:w="2500" w:type="pct"/>
            <w:tcBorders>
              <w:top w:val="outset" w:sz="6" w:space="0" w:color="auto"/>
              <w:left w:val="outset" w:sz="6" w:space="0" w:color="auto"/>
              <w:bottom w:val="outset" w:sz="6" w:space="0" w:color="auto"/>
              <w:right w:val="outset" w:sz="6" w:space="0" w:color="auto"/>
            </w:tcBorders>
          </w:tcPr>
          <w:p w14:paraId="130442A0" w14:textId="77777777" w:rsidR="00546445" w:rsidRPr="00D61F73" w:rsidRDefault="00546445" w:rsidP="00D61F73">
            <w:pPr>
              <w:jc w:val="center"/>
              <w:rPr>
                <w:rFonts w:ascii="Arial" w:hAnsi="Arial" w:cs="Arial"/>
                <w:b/>
                <w:bCs/>
              </w:rPr>
            </w:pPr>
            <w:r w:rsidRPr="00D61F73">
              <w:rPr>
                <w:rStyle w:val="Strong"/>
                <w:rFonts w:ascii="Arial" w:hAnsi="Arial" w:cs="Arial"/>
              </w:rPr>
              <w:t>Potential Signal of Serious Risk/New Safety Information</w:t>
            </w:r>
          </w:p>
        </w:tc>
      </w:tr>
      <w:tr w:rsidR="00546445" w:rsidRPr="00D61F73" w14:paraId="1909B612" w14:textId="77777777" w:rsidTr="00F65BAC">
        <w:trPr>
          <w:tblCellSpacing w:w="0" w:type="dxa"/>
          <w:jc w:val="center"/>
        </w:trPr>
        <w:tc>
          <w:tcPr>
            <w:tcW w:w="2500" w:type="pct"/>
            <w:tcBorders>
              <w:top w:val="outset" w:sz="6" w:space="0" w:color="auto"/>
              <w:left w:val="outset" w:sz="6" w:space="0" w:color="auto"/>
              <w:bottom w:val="outset" w:sz="6" w:space="0" w:color="auto"/>
              <w:right w:val="outset" w:sz="6" w:space="0" w:color="auto"/>
            </w:tcBorders>
          </w:tcPr>
          <w:p w14:paraId="3A75CDC6" w14:textId="77777777" w:rsidR="00546445" w:rsidRPr="00D61F73" w:rsidRDefault="00546445" w:rsidP="00D61F73">
            <w:pPr>
              <w:rPr>
                <w:rFonts w:ascii="Arial" w:hAnsi="Arial" w:cs="Arial"/>
              </w:rPr>
            </w:pPr>
            <w:r w:rsidRPr="00D61F73">
              <w:rPr>
                <w:rFonts w:ascii="Arial" w:hAnsi="Arial" w:cs="Arial"/>
              </w:rPr>
              <w:t>Duloxetine (Cymbalta)</w:t>
            </w:r>
          </w:p>
        </w:tc>
        <w:tc>
          <w:tcPr>
            <w:tcW w:w="2500" w:type="pct"/>
            <w:tcBorders>
              <w:top w:val="outset" w:sz="6" w:space="0" w:color="auto"/>
              <w:left w:val="outset" w:sz="6" w:space="0" w:color="auto"/>
              <w:bottom w:val="outset" w:sz="6" w:space="0" w:color="auto"/>
              <w:right w:val="outset" w:sz="6" w:space="0" w:color="auto"/>
            </w:tcBorders>
          </w:tcPr>
          <w:p w14:paraId="5463F062" w14:textId="77777777" w:rsidR="00546445" w:rsidRPr="00D61F73" w:rsidRDefault="00546445" w:rsidP="00D61F73">
            <w:pPr>
              <w:rPr>
                <w:rFonts w:ascii="Arial" w:hAnsi="Arial" w:cs="Arial"/>
              </w:rPr>
            </w:pPr>
            <w:r w:rsidRPr="00D61F73">
              <w:rPr>
                <w:rFonts w:ascii="Arial" w:hAnsi="Arial" w:cs="Arial"/>
              </w:rPr>
              <w:t>Urinary retention</w:t>
            </w:r>
          </w:p>
        </w:tc>
      </w:tr>
      <w:tr w:rsidR="00546445" w:rsidRPr="00D61F73" w14:paraId="7BF709AE" w14:textId="77777777" w:rsidTr="00F65BAC">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249A9B8B" w14:textId="77777777" w:rsidR="00546445" w:rsidRPr="00D61F73" w:rsidRDefault="00546445" w:rsidP="00D61F73">
            <w:pPr>
              <w:rPr>
                <w:rFonts w:ascii="Arial" w:hAnsi="Arial" w:cs="Arial"/>
              </w:rPr>
            </w:pPr>
            <w:r w:rsidRPr="00D61F73">
              <w:rPr>
                <w:rFonts w:ascii="Arial" w:hAnsi="Arial" w:cs="Arial"/>
              </w:rPr>
              <w:t>Oxycodone Hydrochloride Controlled-Release (Oxycontin)</w:t>
            </w:r>
          </w:p>
        </w:tc>
        <w:tc>
          <w:tcPr>
            <w:tcW w:w="0" w:type="auto"/>
            <w:tcBorders>
              <w:top w:val="outset" w:sz="6" w:space="0" w:color="auto"/>
              <w:left w:val="outset" w:sz="6" w:space="0" w:color="auto"/>
              <w:bottom w:val="outset" w:sz="6" w:space="0" w:color="auto"/>
              <w:right w:val="outset" w:sz="6" w:space="0" w:color="auto"/>
            </w:tcBorders>
          </w:tcPr>
          <w:p w14:paraId="5A4DF684" w14:textId="77777777" w:rsidR="00546445" w:rsidRPr="00D61F73" w:rsidRDefault="00546445" w:rsidP="00D61F73">
            <w:pPr>
              <w:rPr>
                <w:rFonts w:ascii="Arial" w:hAnsi="Arial" w:cs="Arial"/>
              </w:rPr>
            </w:pPr>
            <w:r w:rsidRPr="00D61F73">
              <w:rPr>
                <w:rFonts w:ascii="Arial" w:hAnsi="Arial" w:cs="Arial"/>
              </w:rPr>
              <w:t>Drug misuse, abuse and overdose</w:t>
            </w:r>
          </w:p>
        </w:tc>
      </w:tr>
      <w:tr w:rsidR="00546445" w:rsidRPr="00D61F73" w14:paraId="4586ED12" w14:textId="77777777" w:rsidTr="00F65BAC">
        <w:trPr>
          <w:tblCellSpacing w:w="0" w:type="dxa"/>
          <w:jc w:val="center"/>
        </w:trPr>
        <w:tc>
          <w:tcPr>
            <w:tcW w:w="2500" w:type="pct"/>
            <w:tcBorders>
              <w:top w:val="outset" w:sz="6" w:space="0" w:color="auto"/>
              <w:left w:val="outset" w:sz="6" w:space="0" w:color="auto"/>
              <w:bottom w:val="outset" w:sz="6" w:space="0" w:color="auto"/>
              <w:right w:val="outset" w:sz="6" w:space="0" w:color="auto"/>
            </w:tcBorders>
          </w:tcPr>
          <w:p w14:paraId="4F3B4F59" w14:textId="77777777" w:rsidR="00546445" w:rsidRPr="00D61F73" w:rsidRDefault="00546445" w:rsidP="00D61F73">
            <w:pPr>
              <w:rPr>
                <w:rFonts w:ascii="Arial" w:hAnsi="Arial" w:cs="Arial"/>
              </w:rPr>
            </w:pPr>
            <w:r w:rsidRPr="00D61F73">
              <w:rPr>
                <w:rFonts w:ascii="Arial" w:hAnsi="Arial" w:cs="Arial"/>
              </w:rPr>
              <w:t>Tumor Necrosis Factor (TNF) Blockers</w:t>
            </w:r>
          </w:p>
        </w:tc>
        <w:tc>
          <w:tcPr>
            <w:tcW w:w="2500" w:type="pct"/>
            <w:tcBorders>
              <w:top w:val="outset" w:sz="6" w:space="0" w:color="auto"/>
              <w:left w:val="outset" w:sz="6" w:space="0" w:color="auto"/>
              <w:bottom w:val="outset" w:sz="6" w:space="0" w:color="auto"/>
              <w:right w:val="outset" w:sz="6" w:space="0" w:color="auto"/>
            </w:tcBorders>
          </w:tcPr>
          <w:p w14:paraId="315FDBFB" w14:textId="77777777" w:rsidR="00546445" w:rsidRPr="00D61F73" w:rsidRDefault="00546445" w:rsidP="00D61F73">
            <w:pPr>
              <w:rPr>
                <w:rFonts w:ascii="Arial" w:hAnsi="Arial" w:cs="Arial"/>
              </w:rPr>
            </w:pPr>
            <w:r w:rsidRPr="00D61F73">
              <w:rPr>
                <w:rFonts w:ascii="Arial" w:hAnsi="Arial" w:cs="Arial"/>
              </w:rPr>
              <w:t>Cancers in children and young adults</w:t>
            </w:r>
          </w:p>
        </w:tc>
      </w:tr>
    </w:tbl>
    <w:p w14:paraId="6441B0EA" w14:textId="77777777" w:rsidR="00546445" w:rsidRPr="00D61F73" w:rsidRDefault="00546445" w:rsidP="00D61F73">
      <w:pPr>
        <w:rPr>
          <w:rFonts w:ascii="Arial" w:hAnsi="Arial" w:cs="Arial"/>
        </w:rPr>
      </w:pPr>
    </w:p>
    <w:p w14:paraId="472CF7FE" w14:textId="77777777" w:rsidR="00546445" w:rsidRPr="00D61F73" w:rsidRDefault="00546445" w:rsidP="00D61F73">
      <w:pPr>
        <w:pStyle w:val="NormalWeb"/>
        <w:spacing w:before="0" w:beforeAutospacing="0" w:after="0" w:afterAutospacing="0"/>
        <w:rPr>
          <w:rFonts w:ascii="Arial" w:hAnsi="Arial" w:cs="Arial"/>
        </w:rPr>
      </w:pPr>
      <w:r w:rsidRPr="00D61F73">
        <w:rPr>
          <w:rFonts w:ascii="Arial" w:hAnsi="Arial" w:cs="Arial"/>
        </w:rPr>
        <w:t>Rating: 8a</w:t>
      </w:r>
    </w:p>
    <w:p w14:paraId="2332B633" w14:textId="77777777" w:rsidR="00546445" w:rsidRPr="00D61F73" w:rsidRDefault="00546445" w:rsidP="00D61F73">
      <w:pPr>
        <w:pStyle w:val="NormalWeb"/>
        <w:spacing w:before="0" w:beforeAutospacing="0" w:after="0" w:afterAutospacing="0"/>
        <w:rPr>
          <w:rFonts w:ascii="Arial" w:hAnsi="Arial" w:cs="Arial"/>
        </w:rPr>
      </w:pPr>
    </w:p>
    <w:p w14:paraId="6B847DB8" w14:textId="77777777" w:rsidR="00546445" w:rsidRPr="00D61F73" w:rsidRDefault="00546445" w:rsidP="00D61F73">
      <w:pPr>
        <w:pStyle w:val="NormalWeb"/>
        <w:spacing w:before="0" w:beforeAutospacing="0" w:after="0" w:afterAutospacing="0"/>
        <w:rPr>
          <w:rFonts w:ascii="Arial" w:hAnsi="Arial" w:cs="Arial"/>
        </w:rPr>
      </w:pPr>
      <w:bookmarkStart w:id="682" w:name="Federation"/>
      <w:r w:rsidRPr="00D61F73" w:rsidDel="00546445">
        <w:rPr>
          <w:rFonts w:ascii="Arial" w:hAnsi="Arial" w:cs="Arial"/>
        </w:rPr>
        <w:t xml:space="preserve"> </w:t>
      </w:r>
    </w:p>
    <w:p w14:paraId="54D7E8B7" w14:textId="77777777" w:rsidR="00546445" w:rsidRPr="00D61F73" w:rsidRDefault="00546445" w:rsidP="00D61F73">
      <w:pPr>
        <w:pStyle w:val="NormalWeb"/>
        <w:spacing w:before="0" w:beforeAutospacing="0" w:after="0" w:afterAutospacing="0"/>
        <w:rPr>
          <w:rFonts w:ascii="Arial" w:hAnsi="Arial" w:cs="Arial"/>
          <w:b/>
          <w:bCs/>
        </w:rPr>
      </w:pPr>
      <w:r w:rsidRPr="00D61F73">
        <w:rPr>
          <w:rFonts w:ascii="Arial" w:hAnsi="Arial" w:cs="Arial"/>
        </w:rPr>
        <w:br w:type="page"/>
      </w:r>
      <w:bookmarkStart w:id="683" w:name="FDAnews2007"/>
      <w:bookmarkEnd w:id="683"/>
      <w:r w:rsidR="00703116" w:rsidRPr="00D61F73">
        <w:rPr>
          <w:rFonts w:ascii="Arial" w:hAnsi="Arial" w:cs="Arial"/>
          <w:b/>
          <w:bCs/>
        </w:rPr>
        <w:lastRenderedPageBreak/>
        <w:fldChar w:fldCharType="begin"/>
      </w:r>
      <w:r w:rsidR="00703116" w:rsidRPr="00D61F73">
        <w:rPr>
          <w:rFonts w:ascii="Arial" w:hAnsi="Arial" w:cs="Arial"/>
          <w:b/>
          <w:bCs/>
        </w:rPr>
        <w:instrText xml:space="preserve"> HYPERLINK "http://www.fda.gov/newsevents/newsroom/pressAnnouncements/2007/ucm108936.htm" </w:instrText>
      </w:r>
      <w:r w:rsidR="00703116" w:rsidRPr="00D61F73">
        <w:rPr>
          <w:rFonts w:ascii="Arial" w:hAnsi="Arial" w:cs="Arial"/>
          <w:b/>
          <w:bCs/>
        </w:rPr>
        <w:fldChar w:fldCharType="separate"/>
      </w:r>
      <w:r w:rsidRPr="00D61F73">
        <w:rPr>
          <w:rStyle w:val="Hyperlink"/>
          <w:rFonts w:ascii="Arial" w:hAnsi="Arial" w:cs="Arial"/>
          <w:b/>
          <w:bCs/>
        </w:rPr>
        <w:t>FDA News.</w:t>
      </w:r>
      <w:r w:rsidR="00703116" w:rsidRPr="00D61F73">
        <w:rPr>
          <w:rFonts w:ascii="Arial" w:hAnsi="Arial" w:cs="Arial"/>
          <w:b/>
          <w:bCs/>
        </w:rPr>
        <w:fldChar w:fldCharType="end"/>
      </w:r>
      <w:r w:rsidRPr="00D61F73">
        <w:rPr>
          <w:rFonts w:ascii="Arial" w:hAnsi="Arial" w:cs="Arial"/>
          <w:b/>
          <w:bCs/>
        </w:rPr>
        <w:t xml:space="preserve"> FDA Approves First Drug for Treating Fibromyalgia. June 21, 2007 </w:t>
      </w:r>
    </w:p>
    <w:p w14:paraId="7A078B78" w14:textId="77777777" w:rsidR="00546445" w:rsidRPr="00D61F73" w:rsidRDefault="00546445" w:rsidP="00D61F73">
      <w:pPr>
        <w:pStyle w:val="NormalWeb"/>
        <w:spacing w:before="0" w:beforeAutospacing="0" w:after="0" w:afterAutospacing="0"/>
        <w:rPr>
          <w:rFonts w:ascii="Arial" w:hAnsi="Arial" w:cs="Arial"/>
        </w:rPr>
      </w:pPr>
    </w:p>
    <w:p w14:paraId="0E7E7661" w14:textId="77777777" w:rsidR="00546445" w:rsidRPr="00D61F73" w:rsidRDefault="00546445" w:rsidP="00D61F73">
      <w:pPr>
        <w:pStyle w:val="NormalWeb"/>
        <w:spacing w:before="0" w:beforeAutospacing="0" w:after="0" w:afterAutospacing="0"/>
        <w:rPr>
          <w:rFonts w:ascii="Arial" w:hAnsi="Arial" w:cs="Arial"/>
        </w:rPr>
      </w:pPr>
      <w:r w:rsidRPr="00D61F73">
        <w:rPr>
          <w:rFonts w:ascii="Arial" w:hAnsi="Arial" w:cs="Arial"/>
        </w:rPr>
        <w:t>Two double-blind, controlled clinical trials, involving about 1,800 patients, support approval for use in treating fibromyalgia with doses of 300 milligrams or 450 milligrams per day.</w:t>
      </w:r>
    </w:p>
    <w:p w14:paraId="24901D6A" w14:textId="77777777" w:rsidR="00546445" w:rsidRPr="00D61F73" w:rsidRDefault="00546445" w:rsidP="00D61F73">
      <w:pPr>
        <w:pStyle w:val="NormalWeb"/>
        <w:spacing w:before="0" w:beforeAutospacing="0" w:after="0" w:afterAutospacing="0"/>
        <w:rPr>
          <w:rFonts w:ascii="Arial" w:hAnsi="Arial" w:cs="Arial"/>
        </w:rPr>
      </w:pPr>
    </w:p>
    <w:p w14:paraId="47C52B7F" w14:textId="77777777" w:rsidR="00546445" w:rsidRPr="00D61F73" w:rsidRDefault="00546445" w:rsidP="00D61F73">
      <w:pPr>
        <w:pStyle w:val="NormalWeb"/>
        <w:spacing w:before="0" w:beforeAutospacing="0" w:after="0" w:afterAutospacing="0"/>
        <w:rPr>
          <w:rFonts w:ascii="Arial" w:hAnsi="Arial" w:cs="Arial"/>
        </w:rPr>
      </w:pPr>
      <w:r w:rsidRPr="00D61F73">
        <w:rPr>
          <w:rFonts w:ascii="Arial" w:hAnsi="Arial" w:cs="Arial"/>
        </w:rPr>
        <w:t>Rating: 8b</w:t>
      </w:r>
    </w:p>
    <w:p w14:paraId="7222859E" w14:textId="77777777" w:rsidR="005A69F8" w:rsidRPr="00D61F73" w:rsidRDefault="005A69F8" w:rsidP="00D61F73">
      <w:pPr>
        <w:pStyle w:val="NormalWeb"/>
        <w:spacing w:before="0" w:beforeAutospacing="0" w:after="0" w:afterAutospacing="0"/>
        <w:rPr>
          <w:rFonts w:ascii="Arial" w:hAnsi="Arial" w:cs="Arial"/>
          <w:b/>
        </w:rPr>
      </w:pPr>
      <w:r w:rsidRPr="00D61F73">
        <w:rPr>
          <w:rFonts w:ascii="Arial" w:hAnsi="Arial" w:cs="Arial"/>
        </w:rPr>
        <w:br w:type="page"/>
      </w:r>
      <w:bookmarkStart w:id="684" w:name="FDAnews2010"/>
      <w:bookmarkEnd w:id="684"/>
      <w:r w:rsidRPr="00D61F73">
        <w:rPr>
          <w:rFonts w:ascii="Arial" w:hAnsi="Arial" w:cs="Arial"/>
          <w:b/>
        </w:rPr>
        <w:lastRenderedPageBreak/>
        <w:t>FDA News. FDA approves Botox to treat chronic migraine, Oct. 15, 2010</w:t>
      </w:r>
    </w:p>
    <w:p w14:paraId="316D007A" w14:textId="77777777" w:rsidR="005A69F8" w:rsidRPr="00D61F73" w:rsidRDefault="005A69F8" w:rsidP="00D61F73">
      <w:pPr>
        <w:pStyle w:val="NormalWeb"/>
        <w:spacing w:before="0" w:beforeAutospacing="0" w:after="0" w:afterAutospacing="0"/>
        <w:rPr>
          <w:rFonts w:ascii="Arial" w:hAnsi="Arial" w:cs="Arial"/>
        </w:rPr>
      </w:pPr>
    </w:p>
    <w:p w14:paraId="3DB80862" w14:textId="77777777" w:rsidR="005A69F8" w:rsidRPr="00D61F73" w:rsidRDefault="005A69F8" w:rsidP="00D61F73">
      <w:pPr>
        <w:pStyle w:val="NormalWeb"/>
        <w:spacing w:before="0" w:beforeAutospacing="0" w:after="0" w:afterAutospacing="0"/>
        <w:rPr>
          <w:rFonts w:ascii="Arial" w:hAnsi="Arial" w:cs="Arial"/>
        </w:rPr>
      </w:pPr>
      <w:r w:rsidRPr="00D61F73">
        <w:rPr>
          <w:rFonts w:ascii="Arial" w:hAnsi="Arial" w:cs="Arial"/>
        </w:rPr>
        <w:t>Botox is given approximately every 12 weeks as multiple injections around the head and neck to try to dull future headache synmptoms. Botox ha not been shown to work for the treatment of migraine headaches that occur 14 days or less per month, or for other forms of headache.</w:t>
      </w:r>
    </w:p>
    <w:p w14:paraId="58267D0E" w14:textId="77777777" w:rsidR="005A69F8" w:rsidRPr="00D61F73" w:rsidRDefault="005A69F8" w:rsidP="00D61F73">
      <w:pPr>
        <w:pStyle w:val="NormalWeb"/>
        <w:spacing w:before="0" w:beforeAutospacing="0" w:after="0" w:afterAutospacing="0"/>
        <w:rPr>
          <w:rFonts w:ascii="Arial" w:hAnsi="Arial" w:cs="Arial"/>
        </w:rPr>
      </w:pPr>
    </w:p>
    <w:p w14:paraId="579859AD" w14:textId="77777777" w:rsidR="00AD7665" w:rsidRPr="00D61F73" w:rsidRDefault="00751163" w:rsidP="00D61F73">
      <w:pPr>
        <w:pStyle w:val="NormalWeb"/>
        <w:spacing w:before="0" w:beforeAutospacing="0" w:after="0" w:afterAutospacing="0"/>
        <w:rPr>
          <w:rFonts w:ascii="Arial" w:hAnsi="Arial" w:cs="Arial"/>
        </w:rPr>
      </w:pPr>
      <w:hyperlink r:id="rId396" w:history="1">
        <w:r w:rsidR="005A69F8" w:rsidRPr="00D61F73">
          <w:rPr>
            <w:rStyle w:val="Hyperlink"/>
            <w:rFonts w:ascii="Arial" w:hAnsi="Arial" w:cs="Arial"/>
          </w:rPr>
          <w:t>http://www.fda.gov/NewsEvents/Newsroom/PressAnnouncements/ucm229782.htm</w:t>
        </w:r>
      </w:hyperlink>
    </w:p>
    <w:p w14:paraId="0AB528A7" w14:textId="77777777" w:rsidR="00AD7665" w:rsidRPr="00D61F73" w:rsidRDefault="00AD7665" w:rsidP="00D61F73">
      <w:pPr>
        <w:pStyle w:val="NormalWeb"/>
        <w:spacing w:before="0" w:beforeAutospacing="0" w:after="0" w:afterAutospacing="0"/>
        <w:rPr>
          <w:rFonts w:ascii="Arial" w:hAnsi="Arial" w:cs="Arial"/>
        </w:rPr>
      </w:pPr>
    </w:p>
    <w:p w14:paraId="62E54A3C" w14:textId="77777777" w:rsidR="00AD7665" w:rsidRPr="00D61F73" w:rsidRDefault="00AD7665" w:rsidP="00D61F73">
      <w:pPr>
        <w:pStyle w:val="NormalWeb"/>
        <w:spacing w:before="0" w:beforeAutospacing="0" w:after="0" w:afterAutospacing="0"/>
        <w:rPr>
          <w:rFonts w:ascii="Arial" w:hAnsi="Arial" w:cs="Arial"/>
        </w:rPr>
      </w:pPr>
      <w:r w:rsidRPr="00D61F73">
        <w:rPr>
          <w:rFonts w:ascii="Arial" w:hAnsi="Arial" w:cs="Arial"/>
        </w:rPr>
        <w:t xml:space="preserve">Rating: </w:t>
      </w:r>
    </w:p>
    <w:p w14:paraId="115DC926" w14:textId="1BC1955E" w:rsidR="008D0565" w:rsidRPr="00D61F73" w:rsidRDefault="00546445" w:rsidP="00D61F73">
      <w:pPr>
        <w:pStyle w:val="NormalWeb"/>
        <w:spacing w:before="0" w:beforeAutospacing="0" w:after="0" w:afterAutospacing="0"/>
        <w:rPr>
          <w:rStyle w:val="Strong"/>
          <w:rFonts w:ascii="Arial" w:hAnsi="Arial" w:cs="Arial"/>
          <w:b w:val="0"/>
          <w:bCs w:val="0"/>
        </w:rPr>
      </w:pPr>
      <w:r w:rsidRPr="00D61F73">
        <w:rPr>
          <w:rFonts w:ascii="Arial" w:hAnsi="Arial" w:cs="Arial"/>
        </w:rPr>
        <w:br w:type="page"/>
      </w:r>
      <w:bookmarkStart w:id="685" w:name="Federation2"/>
      <w:bookmarkEnd w:id="682"/>
      <w:r w:rsidR="008D0565" w:rsidRPr="004423C7">
        <w:rPr>
          <w:rFonts w:ascii="Arial" w:hAnsi="Arial" w:cs="Arial"/>
          <w:b/>
          <w:bCs/>
        </w:rPr>
        <w:lastRenderedPageBreak/>
        <w:t>Federation</w:t>
      </w:r>
      <w:bookmarkEnd w:id="685"/>
      <w:r w:rsidR="008D0565" w:rsidRPr="004423C7">
        <w:rPr>
          <w:rFonts w:ascii="Arial" w:hAnsi="Arial" w:cs="Arial"/>
          <w:b/>
          <w:bCs/>
        </w:rPr>
        <w:t xml:space="preserve"> of State Medical Boards</w:t>
      </w:r>
      <w:r w:rsidR="008D0565" w:rsidRPr="00D61F73">
        <w:rPr>
          <w:rFonts w:ascii="Arial" w:hAnsi="Arial" w:cs="Arial"/>
        </w:rPr>
        <w:t xml:space="preserve">, </w:t>
      </w:r>
      <w:r w:rsidR="008D0565" w:rsidRPr="00D61F73">
        <w:rPr>
          <w:rStyle w:val="Emphasis"/>
          <w:rFonts w:ascii="Arial" w:hAnsi="Arial" w:cs="Arial"/>
          <w:b/>
          <w:bCs/>
        </w:rPr>
        <w:t xml:space="preserve">Model Guidelines for the Use of Controlled Substances for the Treatment of Pain, </w:t>
      </w:r>
      <w:r w:rsidR="008D0565" w:rsidRPr="00D61F73">
        <w:rPr>
          <w:rStyle w:val="Strong"/>
          <w:rFonts w:ascii="Arial" w:hAnsi="Arial" w:cs="Arial"/>
          <w:b w:val="0"/>
          <w:bCs w:val="0"/>
        </w:rPr>
        <w:t>March 23, 2004</w:t>
      </w:r>
    </w:p>
    <w:p w14:paraId="55FA791D" w14:textId="77777777" w:rsidR="008D0565" w:rsidRPr="00D61F73" w:rsidRDefault="008D0565" w:rsidP="00D61F73">
      <w:pPr>
        <w:pStyle w:val="NormalWeb"/>
        <w:spacing w:before="0" w:beforeAutospacing="0" w:after="0" w:afterAutospacing="0"/>
        <w:rPr>
          <w:rStyle w:val="Strong"/>
          <w:rFonts w:ascii="Arial" w:hAnsi="Arial" w:cs="Arial"/>
          <w:b w:val="0"/>
          <w:bCs w:val="0"/>
        </w:rPr>
      </w:pPr>
    </w:p>
    <w:p w14:paraId="0505443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“State medical boards recognize undertreatment of pain as a public health priority,” said James N. Thompson, M.D., chief executive officer for the Federation of State Medical Boards. “They actively support pain management as an important part of good medical practice.” Today, underprescribing those same medications is considered as much a breach of the appropriate standard of care as overprescribing. In fact, the Oregon and California medical boards already have disciplined physicians for the undertreatment of pain and New Mexico revised its medical practice act to specify that undertreatment of pain may be grounds for unprofessional conduct.</w:t>
      </w:r>
    </w:p>
    <w:p w14:paraId="36170DC2" w14:textId="77777777" w:rsidR="008D0565" w:rsidRPr="00D61F73" w:rsidRDefault="008D0565" w:rsidP="00D61F73">
      <w:pPr>
        <w:rPr>
          <w:rFonts w:ascii="Arial" w:hAnsi="Arial" w:cs="Arial"/>
        </w:rPr>
      </w:pPr>
    </w:p>
    <w:p w14:paraId="2D779728" w14:textId="77777777" w:rsidR="008D0565" w:rsidRPr="00D61F73" w:rsidRDefault="008D0565" w:rsidP="00D61F73">
      <w:pPr>
        <w:rPr>
          <w:rFonts w:ascii="Arial" w:hAnsi="Arial" w:cs="Arial"/>
        </w:rPr>
      </w:pPr>
      <w:r w:rsidRPr="00D61F73">
        <w:rPr>
          <w:rFonts w:ascii="Arial" w:hAnsi="Arial" w:cs="Arial"/>
        </w:rPr>
        <w:t>Rating: 5b</w:t>
      </w:r>
    </w:p>
    <w:p w14:paraId="5FEE9E8A"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044F922"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hyperlink r:id="rId397" w:history="1">
        <w:r w:rsidRPr="00D61F73">
          <w:rPr>
            <w:rStyle w:val="Hyperlink"/>
            <w:rFonts w:ascii="Arial" w:hAnsi="Arial" w:cs="Arial"/>
            <w:sz w:val="24"/>
            <w:szCs w:val="24"/>
          </w:rPr>
          <w:t>F</w:t>
        </w:r>
        <w:bookmarkStart w:id="686" w:name="Feinberg"/>
        <w:bookmarkEnd w:id="686"/>
        <w:r w:rsidRPr="00D61F73">
          <w:rPr>
            <w:rStyle w:val="Hyperlink"/>
            <w:rFonts w:ascii="Arial" w:hAnsi="Arial" w:cs="Arial"/>
            <w:sz w:val="24"/>
            <w:szCs w:val="24"/>
          </w:rPr>
          <w:t>einberg SD</w:t>
        </w:r>
      </w:hyperlink>
      <w:r w:rsidRPr="00D61F73">
        <w:rPr>
          <w:rFonts w:ascii="Arial" w:hAnsi="Arial" w:cs="Arial"/>
          <w:sz w:val="24"/>
          <w:szCs w:val="24"/>
        </w:rPr>
        <w:t>. ACPA Chronic Pain Medications Supplement. American Chronic Pain Association, Inc. 2008</w:t>
      </w:r>
    </w:p>
    <w:p w14:paraId="511687D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866DC16"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The ACPA Chronic Pain Medications Supplement 2008 provides a short review of all available medication treatments for pain in patient-oriented language. </w:t>
      </w:r>
    </w:p>
    <w:p w14:paraId="4D1617AD"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3971FF6"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8b</w:t>
      </w:r>
    </w:p>
    <w:p w14:paraId="37B21196"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45596C93" w14:textId="77777777" w:rsidR="00A354A2" w:rsidRPr="00D61F73" w:rsidRDefault="00A354A2" w:rsidP="00D61F73">
      <w:pPr>
        <w:rPr>
          <w:rFonts w:ascii="Arial" w:hAnsi="Arial" w:cs="Arial"/>
        </w:rPr>
      </w:pPr>
      <w:r w:rsidRPr="00D61F73">
        <w:rPr>
          <w:rFonts w:ascii="Arial" w:hAnsi="Arial" w:cs="Arial"/>
          <w:b/>
          <w:bCs/>
        </w:rPr>
        <w:br w:type="page"/>
      </w:r>
      <w:bookmarkStart w:id="687" w:name="Ferrante"/>
      <w:bookmarkEnd w:id="687"/>
      <w:r w:rsidRPr="00D61F73">
        <w:rPr>
          <w:rFonts w:ascii="Arial" w:hAnsi="Arial" w:cs="Arial"/>
          <w:b/>
          <w:bCs/>
        </w:rPr>
        <w:lastRenderedPageBreak/>
        <w:t>Ferrante FM, Bearn L, Rothrock R, King L. Evidence against trigger point injection technique for the treatment of cervicothoracic myofascial pain with</w:t>
      </w:r>
      <w:r w:rsidR="0078150B" w:rsidRPr="00D61F73">
        <w:rPr>
          <w:rFonts w:ascii="Arial" w:hAnsi="Arial" w:cs="Arial"/>
          <w:b/>
          <w:bCs/>
        </w:rPr>
        <w:t xml:space="preserve"> </w:t>
      </w:r>
      <w:r w:rsidRPr="00D61F73">
        <w:rPr>
          <w:rFonts w:ascii="Arial" w:hAnsi="Arial" w:cs="Arial"/>
          <w:b/>
          <w:bCs/>
        </w:rPr>
        <w:t>botulinum toxin type A.</w:t>
      </w:r>
      <w:r w:rsidR="0078150B" w:rsidRPr="00D61F73">
        <w:rPr>
          <w:rFonts w:ascii="Arial" w:hAnsi="Arial" w:cs="Arial"/>
          <w:b/>
          <w:bCs/>
        </w:rPr>
        <w:t xml:space="preserve"> </w:t>
      </w:r>
      <w:r w:rsidRPr="00D61F73">
        <w:rPr>
          <w:rFonts w:ascii="Arial" w:hAnsi="Arial" w:cs="Arial"/>
          <w:b/>
          <w:bCs/>
          <w:i/>
          <w:iCs/>
        </w:rPr>
        <w:t>Anesthesiology.</w:t>
      </w:r>
      <w:r w:rsidRPr="00D61F73">
        <w:rPr>
          <w:rFonts w:ascii="Arial" w:hAnsi="Arial" w:cs="Arial"/>
          <w:b/>
          <w:bCs/>
        </w:rPr>
        <w:t> 2005 Aug;103(2):377-83.</w:t>
      </w:r>
    </w:p>
    <w:p w14:paraId="12A72F61" w14:textId="77777777" w:rsidR="00A354A2" w:rsidRPr="00D61F73" w:rsidRDefault="00A354A2" w:rsidP="00D61F73">
      <w:pPr>
        <w:rPr>
          <w:rFonts w:ascii="Arial" w:hAnsi="Arial" w:cs="Arial"/>
        </w:rPr>
      </w:pPr>
      <w:r w:rsidRPr="00D61F73">
        <w:rPr>
          <w:rFonts w:ascii="Arial" w:hAnsi="Arial" w:cs="Arial"/>
        </w:rPr>
        <w:t> </w:t>
      </w:r>
    </w:p>
    <w:p w14:paraId="32D145E6" w14:textId="77777777" w:rsidR="00A354A2" w:rsidRPr="00D61F73" w:rsidRDefault="00A354A2" w:rsidP="00D61F73">
      <w:pPr>
        <w:rPr>
          <w:rFonts w:ascii="Arial" w:hAnsi="Arial" w:cs="Arial"/>
        </w:rPr>
      </w:pPr>
      <w:r w:rsidRPr="00D61F73">
        <w:rPr>
          <w:rFonts w:ascii="Arial" w:hAnsi="Arial" w:cs="Arial"/>
        </w:rPr>
        <w:t>UCLA Pain and Spine Care, Department of Anesthesiology, David Geffen School of Medicine, University of California, Los Angeles, CA, USA. mferrante@mednet.ucla.edu</w:t>
      </w:r>
    </w:p>
    <w:p w14:paraId="21736219" w14:textId="77777777" w:rsidR="00A354A2" w:rsidRPr="00D61F73" w:rsidRDefault="00A354A2" w:rsidP="00D61F73">
      <w:pPr>
        <w:rPr>
          <w:rFonts w:ascii="Arial" w:hAnsi="Arial" w:cs="Arial"/>
        </w:rPr>
      </w:pPr>
      <w:r w:rsidRPr="00D61F73">
        <w:rPr>
          <w:rFonts w:ascii="Arial" w:hAnsi="Arial" w:cs="Arial"/>
        </w:rPr>
        <w:t> </w:t>
      </w:r>
    </w:p>
    <w:p w14:paraId="62870EE1" w14:textId="77777777" w:rsidR="00A354A2" w:rsidRPr="00D61F73" w:rsidRDefault="00A354A2" w:rsidP="00D61F73">
      <w:pPr>
        <w:rPr>
          <w:rFonts w:ascii="Arial" w:hAnsi="Arial" w:cs="Arial"/>
        </w:rPr>
      </w:pPr>
      <w:r w:rsidRPr="00D61F73">
        <w:rPr>
          <w:rFonts w:ascii="Arial" w:hAnsi="Arial" w:cs="Arial"/>
        </w:rPr>
        <w:t>METHODS: The study goal was to determine whether direct injection of botulinum toxin type A (BoNT-A) into trigger points was efficacious fo</w:t>
      </w:r>
      <w:r w:rsidR="0078150B" w:rsidRPr="00D61F73">
        <w:rPr>
          <w:rFonts w:ascii="Arial" w:hAnsi="Arial" w:cs="Arial"/>
        </w:rPr>
        <w:t xml:space="preserve">r </w:t>
      </w:r>
      <w:r w:rsidRPr="00D61F73">
        <w:rPr>
          <w:rFonts w:ascii="Arial" w:hAnsi="Arial" w:cs="Arial"/>
        </w:rPr>
        <w:t>cervicothoracic myofascial pain, and if so, to determine the presence or absence of a dose-response relation.</w:t>
      </w:r>
      <w:r w:rsidR="0078150B" w:rsidRPr="00D61F73">
        <w:rPr>
          <w:rFonts w:ascii="Arial" w:hAnsi="Arial" w:cs="Arial"/>
        </w:rPr>
        <w:t xml:space="preserve"> </w:t>
      </w:r>
      <w:r w:rsidRPr="00D61F73">
        <w:rPr>
          <w:rFonts w:ascii="Arial" w:hAnsi="Arial" w:cs="Arial"/>
        </w:rPr>
        <w:t>CONCLUSIONS: Injection of BoNT-A directly into trigger points did not improve cervicothoracic myofascial pain. The role of direct injection of trigger points with BoNT-A is discussed in comparison to other injection methodologies in the potential genesis of pain relief.</w:t>
      </w:r>
    </w:p>
    <w:p w14:paraId="7252B79C" w14:textId="77777777" w:rsidR="00A354A2" w:rsidRPr="00D61F73" w:rsidRDefault="00A354A2" w:rsidP="00D61F73">
      <w:pPr>
        <w:rPr>
          <w:rFonts w:ascii="Arial" w:hAnsi="Arial" w:cs="Arial"/>
        </w:rPr>
      </w:pPr>
      <w:r w:rsidRPr="00D61F73">
        <w:rPr>
          <w:rFonts w:ascii="Arial" w:hAnsi="Arial" w:cs="Arial"/>
        </w:rPr>
        <w:t> </w:t>
      </w:r>
    </w:p>
    <w:p w14:paraId="6A5ACEC2" w14:textId="77777777" w:rsidR="00A354A2" w:rsidRPr="00D61F73" w:rsidRDefault="00A354A2" w:rsidP="00D61F73">
      <w:pPr>
        <w:rPr>
          <w:rFonts w:ascii="Arial" w:hAnsi="Arial" w:cs="Arial"/>
        </w:rPr>
      </w:pPr>
      <w:r w:rsidRPr="00D61F73">
        <w:rPr>
          <w:rFonts w:ascii="Arial" w:hAnsi="Arial" w:cs="Arial"/>
        </w:rPr>
        <w:t>PMID:</w:t>
      </w:r>
      <w:r w:rsidR="0078150B" w:rsidRPr="00D61F73">
        <w:rPr>
          <w:rFonts w:ascii="Arial" w:hAnsi="Arial" w:cs="Arial"/>
        </w:rPr>
        <w:t xml:space="preserve"> </w:t>
      </w:r>
      <w:hyperlink r:id="rId398" w:history="1">
        <w:r w:rsidRPr="00D61F73">
          <w:rPr>
            <w:rStyle w:val="Hyperlink"/>
            <w:rFonts w:ascii="Arial" w:hAnsi="Arial" w:cs="Arial"/>
          </w:rPr>
          <w:t>16052120</w:t>
        </w:r>
      </w:hyperlink>
    </w:p>
    <w:p w14:paraId="38BAE8AE" w14:textId="77777777" w:rsidR="00A354A2" w:rsidRPr="00D61F73" w:rsidRDefault="00A354A2" w:rsidP="00D61F73">
      <w:pPr>
        <w:rPr>
          <w:rFonts w:ascii="Arial" w:hAnsi="Arial" w:cs="Arial"/>
        </w:rPr>
      </w:pPr>
      <w:r w:rsidRPr="00D61F73">
        <w:rPr>
          <w:rFonts w:ascii="Arial" w:hAnsi="Arial" w:cs="Arial"/>
        </w:rPr>
        <w:t> </w:t>
      </w:r>
    </w:p>
    <w:p w14:paraId="757D2CE1" w14:textId="77777777" w:rsidR="00A354A2" w:rsidRPr="00D61F73" w:rsidRDefault="00A354A2" w:rsidP="00D61F73">
      <w:pPr>
        <w:rPr>
          <w:rFonts w:ascii="Arial" w:hAnsi="Arial" w:cs="Arial"/>
        </w:rPr>
      </w:pPr>
      <w:r w:rsidRPr="00D61F73">
        <w:rPr>
          <w:rFonts w:ascii="Arial" w:hAnsi="Arial" w:cs="Arial"/>
        </w:rPr>
        <w:t>Rating: 2c</w:t>
      </w:r>
    </w:p>
    <w:p w14:paraId="5E2FB37D"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bookmarkStart w:id="688" w:name="Feuerstein"/>
      <w:r w:rsidRPr="00D61F73">
        <w:rPr>
          <w:rFonts w:ascii="Arial" w:hAnsi="Arial" w:cs="Arial"/>
          <w:sz w:val="24"/>
          <w:szCs w:val="24"/>
        </w:rPr>
        <w:lastRenderedPageBreak/>
        <w:t>Feuerstein</w:t>
      </w:r>
      <w:bookmarkEnd w:id="688"/>
      <w:r w:rsidRPr="00D61F73">
        <w:rPr>
          <w:rFonts w:ascii="Arial" w:hAnsi="Arial" w:cs="Arial"/>
          <w:sz w:val="24"/>
          <w:szCs w:val="24"/>
        </w:rPr>
        <w:t xml:space="preserve"> M, Berkowitz SM, Haufler AJ, Lopez MS, Huang GD.Working with low back pain: workplace and individual psychosocial determinants of limited duty and lost time. </w:t>
      </w:r>
      <w:r w:rsidRPr="00D61F73">
        <w:rPr>
          <w:rFonts w:ascii="Arial" w:hAnsi="Arial" w:cs="Arial"/>
          <w:i/>
          <w:iCs/>
          <w:sz w:val="24"/>
          <w:szCs w:val="24"/>
        </w:rPr>
        <w:t>American Journal of Independent Medicine</w:t>
      </w:r>
      <w:r w:rsidRPr="00D61F73">
        <w:rPr>
          <w:rFonts w:ascii="Arial" w:hAnsi="Arial" w:cs="Arial"/>
          <w:sz w:val="24"/>
          <w:szCs w:val="24"/>
        </w:rPr>
        <w:t>. 2001 Dec;40(6):627-38.</w:t>
      </w:r>
    </w:p>
    <w:p w14:paraId="6705B712"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14D269F"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CONCLUSIONS: The results support the potential utility of interventions targeting ergonomic, workplace and individual psychosocial risk factors in secondary prevention. </w:t>
      </w:r>
    </w:p>
    <w:p w14:paraId="67CF8FFB"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20D37171" w14:textId="77777777" w:rsidR="00DB5232" w:rsidRPr="00D61F73" w:rsidRDefault="00DB5232"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PMID: </w:t>
      </w:r>
      <w:hyperlink r:id="rId399" w:history="1">
        <w:r w:rsidRPr="00D61F73">
          <w:rPr>
            <w:rStyle w:val="Hyperlink"/>
            <w:rFonts w:ascii="Arial" w:hAnsi="Arial" w:cs="Arial"/>
            <w:b w:val="0"/>
            <w:bCs w:val="0"/>
            <w:sz w:val="24"/>
            <w:szCs w:val="24"/>
          </w:rPr>
          <w:t>11757039</w:t>
        </w:r>
      </w:hyperlink>
    </w:p>
    <w:p w14:paraId="6AB3CD0C" w14:textId="77777777" w:rsidR="00DB5232" w:rsidRPr="00D61F73" w:rsidRDefault="00DB5232" w:rsidP="00D61F73">
      <w:pPr>
        <w:pStyle w:val="Heading3"/>
        <w:spacing w:before="0" w:beforeAutospacing="0" w:after="0" w:afterAutospacing="0"/>
        <w:rPr>
          <w:rFonts w:ascii="Arial" w:hAnsi="Arial" w:cs="Arial"/>
          <w:b w:val="0"/>
          <w:bCs w:val="0"/>
          <w:sz w:val="24"/>
          <w:szCs w:val="24"/>
        </w:rPr>
      </w:pPr>
    </w:p>
    <w:p w14:paraId="0ECE2CC4"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Publication Type: Case Control, 421 cases</w:t>
      </w:r>
    </w:p>
    <w:p w14:paraId="169801CB" w14:textId="77777777" w:rsidR="008D0565" w:rsidRPr="00D61F73" w:rsidRDefault="008D0565" w:rsidP="00D61F73">
      <w:pPr>
        <w:rPr>
          <w:rFonts w:ascii="Arial" w:eastAsia="Calibri" w:hAnsi="Arial" w:cs="Arial"/>
          <w:b/>
          <w:bCs/>
          <w:color w:val="auto"/>
        </w:rPr>
      </w:pPr>
      <w:r w:rsidRPr="00D61F73">
        <w:rPr>
          <w:rFonts w:ascii="Arial" w:hAnsi="Arial" w:cs="Arial"/>
          <w:b/>
          <w:bCs/>
        </w:rPr>
        <w:br w:type="page"/>
      </w:r>
      <w:hyperlink r:id="rId400" w:history="1">
        <w:r w:rsidRPr="00D61F73">
          <w:rPr>
            <w:rStyle w:val="Hyperlink"/>
            <w:rFonts w:ascii="Arial" w:hAnsi="Arial" w:cs="Arial"/>
            <w:b/>
            <w:bCs/>
          </w:rPr>
          <w:t>F</w:t>
        </w:r>
        <w:bookmarkStart w:id="689" w:name="Fingerhut2008"/>
        <w:bookmarkEnd w:id="689"/>
        <w:r w:rsidRPr="00D61F73">
          <w:rPr>
            <w:rStyle w:val="Hyperlink"/>
            <w:rFonts w:ascii="Arial" w:hAnsi="Arial" w:cs="Arial"/>
            <w:b/>
            <w:bCs/>
          </w:rPr>
          <w:t>ingerhut L</w:t>
        </w:r>
      </w:hyperlink>
      <w:r w:rsidRPr="00D61F73">
        <w:rPr>
          <w:rFonts w:ascii="Arial" w:hAnsi="Arial" w:cs="Arial"/>
          <w:b/>
          <w:bCs/>
        </w:rPr>
        <w:t xml:space="preserve">. Increases in poisoning and methadone-related deaths: United States, 1999-2005. Hyattsville, MD: Centers for Disease Control and Prevention’s National Center for Health Statistics. 2008. </w:t>
      </w:r>
    </w:p>
    <w:p w14:paraId="60899120" w14:textId="77777777" w:rsidR="008D0565" w:rsidRPr="00D61F73" w:rsidRDefault="008D0565" w:rsidP="00D61F73">
      <w:pPr>
        <w:rPr>
          <w:rFonts w:ascii="Arial" w:eastAsia="Calibri" w:hAnsi="Arial" w:cs="Arial"/>
        </w:rPr>
      </w:pPr>
    </w:p>
    <w:p w14:paraId="1891644D" w14:textId="77777777" w:rsidR="008D0565" w:rsidRPr="00D61F73" w:rsidRDefault="008D0565" w:rsidP="00D61F73">
      <w:pPr>
        <w:rPr>
          <w:rFonts w:ascii="Arial" w:hAnsi="Arial" w:cs="Arial"/>
          <w:b/>
          <w:bCs/>
        </w:rPr>
      </w:pPr>
      <w:r w:rsidRPr="00D61F73">
        <w:rPr>
          <w:rFonts w:ascii="Arial" w:hAnsi="Arial" w:cs="Arial"/>
        </w:rPr>
        <w:t>Rating: 8b</w:t>
      </w:r>
      <w:r w:rsidRPr="00D61F73">
        <w:rPr>
          <w:rFonts w:ascii="Arial" w:hAnsi="Arial" w:cs="Arial"/>
          <w:b/>
          <w:bCs/>
        </w:rPr>
        <w:t xml:space="preserve"> </w:t>
      </w:r>
    </w:p>
    <w:p w14:paraId="1CC19220"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F</w:t>
      </w:r>
      <w:bookmarkStart w:id="690" w:name="Finnerup"/>
      <w:bookmarkEnd w:id="690"/>
      <w:r w:rsidRPr="00D61F73">
        <w:rPr>
          <w:rFonts w:ascii="Arial" w:hAnsi="Arial" w:cs="Arial"/>
          <w:b/>
          <w:bCs/>
        </w:rPr>
        <w:t xml:space="preserve">innerup NB, Otto M, McQuay HJ, Jensen TS, Sindrup SH. Algorithm for neuropathic pain treatment: an evidence based proposal. </w:t>
      </w:r>
      <w:r w:rsidRPr="00D61F73">
        <w:rPr>
          <w:rFonts w:ascii="Arial" w:hAnsi="Arial" w:cs="Arial"/>
          <w:b/>
          <w:bCs/>
          <w:i/>
          <w:iCs/>
        </w:rPr>
        <w:t>Pain.</w:t>
      </w:r>
      <w:r w:rsidRPr="00D61F73">
        <w:rPr>
          <w:rFonts w:ascii="Arial" w:hAnsi="Arial" w:cs="Arial"/>
          <w:b/>
          <w:bCs/>
        </w:rPr>
        <w:t xml:space="preserve"> 2005 Dec 5;118(3):289-305. Epub 2005 Oct 6. </w:t>
      </w:r>
    </w:p>
    <w:p w14:paraId="490F9949" w14:textId="77777777" w:rsidR="008D0565" w:rsidRPr="00D61F73" w:rsidRDefault="008D0565" w:rsidP="00D61F73">
      <w:pPr>
        <w:rPr>
          <w:rFonts w:ascii="Arial" w:hAnsi="Arial" w:cs="Arial"/>
        </w:rPr>
      </w:pPr>
    </w:p>
    <w:p w14:paraId="7678602E" w14:textId="77777777" w:rsidR="008D0565" w:rsidRPr="00D61F73" w:rsidRDefault="008D0565" w:rsidP="00D61F73">
      <w:pPr>
        <w:rPr>
          <w:rFonts w:ascii="Arial" w:hAnsi="Arial" w:cs="Arial"/>
        </w:rPr>
      </w:pPr>
      <w:r w:rsidRPr="00D61F73">
        <w:rPr>
          <w:rFonts w:ascii="Arial" w:hAnsi="Arial" w:cs="Arial"/>
        </w:rPr>
        <w:t xml:space="preserve">One hundred and five studies were included. In peripheral neuropathic pain, the lowest NNT was for tricyclic antidepressants, followed by opioids and the anticonvulsants gabapentin and pregabalin. </w:t>
      </w:r>
    </w:p>
    <w:p w14:paraId="030EBCAD" w14:textId="77777777" w:rsidR="008D0565" w:rsidRPr="00D61F73" w:rsidRDefault="008D0565" w:rsidP="00D61F73">
      <w:pPr>
        <w:rPr>
          <w:rFonts w:ascii="Arial" w:hAnsi="Arial" w:cs="Arial"/>
        </w:rPr>
      </w:pPr>
    </w:p>
    <w:p w14:paraId="6768E4FA" w14:textId="77777777" w:rsidR="008D0565" w:rsidRPr="00D61F73" w:rsidRDefault="008D0565" w:rsidP="00D61F73">
      <w:pPr>
        <w:rPr>
          <w:rFonts w:ascii="Arial" w:hAnsi="Arial" w:cs="Arial"/>
          <w:b/>
          <w:bCs/>
        </w:rPr>
      </w:pPr>
      <w:r w:rsidRPr="00D61F73">
        <w:rPr>
          <w:rFonts w:ascii="Arial" w:hAnsi="Arial" w:cs="Arial"/>
        </w:rPr>
        <w:t xml:space="preserve">PMID: </w:t>
      </w:r>
      <w:hyperlink r:id="rId401" w:history="1">
        <w:r w:rsidRPr="00D61F73">
          <w:rPr>
            <w:rStyle w:val="Hyperlink"/>
            <w:rFonts w:ascii="Arial" w:hAnsi="Arial" w:cs="Arial"/>
          </w:rPr>
          <w:t>16213659</w:t>
        </w:r>
      </w:hyperlink>
      <w:r w:rsidRPr="00D61F73">
        <w:rPr>
          <w:rFonts w:ascii="Arial" w:hAnsi="Arial" w:cs="Arial"/>
          <w:b/>
          <w:bCs/>
        </w:rPr>
        <w:t xml:space="preserve"> </w:t>
      </w:r>
    </w:p>
    <w:p w14:paraId="3E254A80" w14:textId="77777777" w:rsidR="008D0565" w:rsidRPr="00D61F73" w:rsidRDefault="008D0565" w:rsidP="00D61F73">
      <w:pPr>
        <w:rPr>
          <w:rFonts w:ascii="Arial" w:hAnsi="Arial" w:cs="Arial"/>
          <w:b/>
          <w:bCs/>
        </w:rPr>
      </w:pPr>
    </w:p>
    <w:p w14:paraId="37A7EEC3"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5a</w:t>
      </w:r>
    </w:p>
    <w:p w14:paraId="407F75A6" w14:textId="77777777" w:rsidR="008D0565" w:rsidRPr="00D61F73" w:rsidRDefault="008D0565" w:rsidP="00D61F73">
      <w:pPr>
        <w:pStyle w:val="Heading2"/>
        <w:rPr>
          <w:rFonts w:ascii="Arial" w:hAnsi="Arial" w:cs="Arial"/>
          <w:sz w:val="24"/>
          <w:szCs w:val="24"/>
        </w:rPr>
      </w:pPr>
      <w:r w:rsidRPr="00D61F73">
        <w:rPr>
          <w:rFonts w:ascii="Arial" w:hAnsi="Arial" w:cs="Arial"/>
          <w:b w:val="0"/>
          <w:bCs/>
          <w:sz w:val="24"/>
          <w:szCs w:val="24"/>
        </w:rPr>
        <w:br w:type="page"/>
      </w:r>
      <w:r w:rsidRPr="00D61F73">
        <w:rPr>
          <w:rFonts w:ascii="Arial" w:hAnsi="Arial" w:cs="Arial"/>
          <w:sz w:val="24"/>
          <w:szCs w:val="24"/>
        </w:rPr>
        <w:lastRenderedPageBreak/>
        <w:t>F</w:t>
      </w:r>
      <w:bookmarkStart w:id="691" w:name="Finnerup2"/>
      <w:bookmarkEnd w:id="691"/>
      <w:r w:rsidRPr="00D61F73">
        <w:rPr>
          <w:rFonts w:ascii="Arial" w:hAnsi="Arial" w:cs="Arial"/>
          <w:sz w:val="24"/>
          <w:szCs w:val="24"/>
        </w:rPr>
        <w:t xml:space="preserve">innerup NB, Otto M, Jensen TS, Sindrup SH. An evidence-based algorithm for the treatment of neuropathic pain. </w:t>
      </w:r>
      <w:r w:rsidRPr="00D61F73">
        <w:rPr>
          <w:rStyle w:val="ti"/>
          <w:rFonts w:ascii="Arial" w:hAnsi="Arial" w:cs="Arial"/>
          <w:i/>
          <w:iCs/>
          <w:sz w:val="24"/>
          <w:szCs w:val="24"/>
        </w:rPr>
        <w:t>MedGenMed.</w:t>
      </w:r>
      <w:r w:rsidRPr="00D61F73">
        <w:rPr>
          <w:rStyle w:val="ti"/>
          <w:rFonts w:ascii="Arial" w:hAnsi="Arial" w:cs="Arial"/>
          <w:sz w:val="24"/>
          <w:szCs w:val="24"/>
        </w:rPr>
        <w:t xml:space="preserve"> 2007 May 15;9(2):36.</w:t>
      </w:r>
    </w:p>
    <w:p w14:paraId="74D12DBB" w14:textId="77777777" w:rsidR="008D0565" w:rsidRPr="00D61F73" w:rsidRDefault="008D0565" w:rsidP="00D61F73">
      <w:pPr>
        <w:pStyle w:val="affiliation"/>
        <w:spacing w:before="0" w:beforeAutospacing="0" w:after="0" w:afterAutospacing="0"/>
        <w:rPr>
          <w:rFonts w:ascii="Arial" w:hAnsi="Arial" w:cs="Arial"/>
        </w:rPr>
      </w:pPr>
    </w:p>
    <w:p w14:paraId="17D44344"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METHOD: A treatment algorithm for neuropathic pain was formulated on the basis of a review of 105 high-quality, randomized, placebo-controlled clinical trials. RESULTS: TCAs had the lowest NNT followed by opioids and AEDs, such as gabapentin and pregabalin. </w:t>
      </w:r>
    </w:p>
    <w:p w14:paraId="45254392" w14:textId="77777777" w:rsidR="001E1BA1" w:rsidRPr="00D61F73" w:rsidRDefault="001E1BA1" w:rsidP="00D61F73">
      <w:pPr>
        <w:pStyle w:val="abstract"/>
        <w:spacing w:before="0" w:beforeAutospacing="0" w:after="0" w:afterAutospacing="0"/>
        <w:rPr>
          <w:rFonts w:ascii="Arial" w:hAnsi="Arial" w:cs="Arial"/>
        </w:rPr>
      </w:pPr>
    </w:p>
    <w:p w14:paraId="419E16E6" w14:textId="77777777" w:rsidR="001E1BA1" w:rsidRPr="00D61F73" w:rsidRDefault="001E1BA1" w:rsidP="00D61F73">
      <w:pPr>
        <w:pStyle w:val="abstract"/>
        <w:spacing w:before="0" w:beforeAutospacing="0" w:after="0" w:afterAutospacing="0"/>
        <w:rPr>
          <w:rFonts w:ascii="Arial" w:hAnsi="Arial" w:cs="Arial"/>
        </w:rPr>
      </w:pPr>
      <w:r w:rsidRPr="00D61F73">
        <w:rPr>
          <w:rFonts w:ascii="Arial" w:hAnsi="Arial" w:cs="Arial"/>
        </w:rPr>
        <w:t xml:space="preserve">PMID: </w:t>
      </w:r>
      <w:hyperlink r:id="rId402" w:history="1">
        <w:r w:rsidRPr="00D61F73">
          <w:rPr>
            <w:rStyle w:val="Hyperlink"/>
            <w:rFonts w:ascii="Arial" w:hAnsi="Arial" w:cs="Arial"/>
          </w:rPr>
          <w:t>17955091</w:t>
        </w:r>
      </w:hyperlink>
    </w:p>
    <w:p w14:paraId="68E14DBE" w14:textId="77777777" w:rsidR="008D0565" w:rsidRPr="00D61F73" w:rsidRDefault="008D0565" w:rsidP="00D61F73">
      <w:pPr>
        <w:pStyle w:val="abstract"/>
        <w:spacing w:before="0" w:beforeAutospacing="0" w:after="0" w:afterAutospacing="0"/>
        <w:rPr>
          <w:rFonts w:ascii="Arial" w:hAnsi="Arial" w:cs="Arial"/>
        </w:rPr>
      </w:pPr>
    </w:p>
    <w:p w14:paraId="26706A36"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Rating: 1b</w:t>
      </w:r>
    </w:p>
    <w:p w14:paraId="41A75A95"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F</w:t>
      </w:r>
      <w:bookmarkStart w:id="692" w:name="Finsen"/>
      <w:bookmarkEnd w:id="692"/>
      <w:r w:rsidRPr="00D61F73">
        <w:rPr>
          <w:rFonts w:ascii="Arial" w:hAnsi="Arial" w:cs="Arial"/>
          <w:b/>
        </w:rPr>
        <w:t xml:space="preserve">insen V, Persen L, Lovlien M, Veslegaard EK, Simensen M, Gasvann AK, Benum P. Transcutaneous electrical nerve stimulation after major amputation. </w:t>
      </w:r>
      <w:r w:rsidRPr="00D61F73">
        <w:rPr>
          <w:rFonts w:ascii="Arial" w:hAnsi="Arial" w:cs="Arial"/>
          <w:b/>
          <w:i/>
        </w:rPr>
        <w:t>J Bone Joint Surg Br</w:t>
      </w:r>
      <w:r w:rsidRPr="00D61F73">
        <w:rPr>
          <w:rFonts w:ascii="Arial" w:hAnsi="Arial" w:cs="Arial"/>
          <w:b/>
        </w:rPr>
        <w:t xml:space="preserve">. 1988 Jan;70(1):109-12. </w:t>
      </w:r>
    </w:p>
    <w:p w14:paraId="4C4ACC1D" w14:textId="77777777" w:rsidR="008D0565" w:rsidRPr="00D61F73" w:rsidRDefault="008D0565" w:rsidP="00D61F73">
      <w:pPr>
        <w:rPr>
          <w:rFonts w:ascii="Arial" w:hAnsi="Arial" w:cs="Arial"/>
        </w:rPr>
      </w:pPr>
    </w:p>
    <w:p w14:paraId="6C854109" w14:textId="77777777" w:rsidR="008D0565" w:rsidRPr="00D61F73" w:rsidRDefault="008D0565" w:rsidP="00D61F73">
      <w:pPr>
        <w:rPr>
          <w:rFonts w:ascii="Arial" w:hAnsi="Arial" w:cs="Arial"/>
        </w:rPr>
      </w:pPr>
      <w:r w:rsidRPr="00D61F73">
        <w:rPr>
          <w:rFonts w:ascii="Arial" w:hAnsi="Arial" w:cs="Arial"/>
        </w:rPr>
        <w:t xml:space="preserve">Sham TENS had a considerable placebo effect on pain. There were, however, no significant differences in the analgesic requirements or reported prevalence of phantom pain between the groups during the first four weeks. </w:t>
      </w:r>
    </w:p>
    <w:p w14:paraId="4F1CE191" w14:textId="77777777" w:rsidR="008D0565" w:rsidRPr="00D61F73" w:rsidRDefault="008D0565" w:rsidP="00D61F73">
      <w:pPr>
        <w:rPr>
          <w:rFonts w:ascii="Arial" w:hAnsi="Arial" w:cs="Arial"/>
        </w:rPr>
      </w:pPr>
    </w:p>
    <w:p w14:paraId="220655B7" w14:textId="77777777" w:rsidR="008D0565" w:rsidRPr="00D61F73" w:rsidRDefault="008D0565" w:rsidP="00D61F73">
      <w:pPr>
        <w:rPr>
          <w:rFonts w:ascii="Arial" w:hAnsi="Arial" w:cs="Arial"/>
        </w:rPr>
      </w:pPr>
      <w:r w:rsidRPr="00D61F73">
        <w:rPr>
          <w:rFonts w:ascii="Arial" w:hAnsi="Arial" w:cs="Arial"/>
        </w:rPr>
        <w:t xml:space="preserve">PMID: </w:t>
      </w:r>
      <w:hyperlink r:id="rId403" w:history="1">
        <w:r w:rsidRPr="00D61F73">
          <w:rPr>
            <w:rStyle w:val="Hyperlink"/>
            <w:rFonts w:ascii="Arial" w:hAnsi="Arial" w:cs="Arial"/>
          </w:rPr>
          <w:t>3257494</w:t>
        </w:r>
      </w:hyperlink>
    </w:p>
    <w:p w14:paraId="6812FF61" w14:textId="77777777" w:rsidR="008D0565" w:rsidRPr="00D61F73" w:rsidRDefault="008D0565" w:rsidP="00D61F73">
      <w:pPr>
        <w:rPr>
          <w:rFonts w:ascii="Arial" w:hAnsi="Arial" w:cs="Arial"/>
        </w:rPr>
      </w:pPr>
    </w:p>
    <w:p w14:paraId="3BDC2B64" w14:textId="77777777" w:rsidR="008D0565" w:rsidRPr="00D61F73" w:rsidRDefault="008D0565" w:rsidP="00D61F73">
      <w:pPr>
        <w:rPr>
          <w:rFonts w:ascii="Arial" w:hAnsi="Arial" w:cs="Arial"/>
        </w:rPr>
      </w:pPr>
      <w:r w:rsidRPr="00D61F73">
        <w:rPr>
          <w:rFonts w:ascii="Arial" w:hAnsi="Arial" w:cs="Arial"/>
        </w:rPr>
        <w:t>Rating: 2c</w:t>
      </w:r>
    </w:p>
    <w:p w14:paraId="08797E89" w14:textId="77777777" w:rsidR="008D0565" w:rsidRPr="00D61F73" w:rsidRDefault="008D0565" w:rsidP="00D61F73">
      <w:pPr>
        <w:rPr>
          <w:rFonts w:ascii="Arial" w:hAnsi="Arial" w:cs="Arial"/>
          <w:b/>
          <w:bCs/>
        </w:rPr>
      </w:pPr>
      <w:r w:rsidRPr="00D61F73">
        <w:rPr>
          <w:rFonts w:ascii="Arial" w:hAnsi="Arial" w:cs="Arial"/>
          <w:b/>
          <w:bCs/>
        </w:rPr>
        <w:br w:type="page"/>
      </w:r>
      <w:bookmarkStart w:id="693" w:name="Fishbain"/>
      <w:r w:rsidRPr="00D61F73">
        <w:rPr>
          <w:rFonts w:ascii="Arial" w:hAnsi="Arial" w:cs="Arial"/>
          <w:b/>
          <w:bCs/>
        </w:rPr>
        <w:lastRenderedPageBreak/>
        <w:t xml:space="preserve">Fishbain </w:t>
      </w:r>
      <w:bookmarkEnd w:id="693"/>
      <w:r w:rsidRPr="00D61F73">
        <w:rPr>
          <w:rFonts w:ascii="Arial" w:hAnsi="Arial" w:cs="Arial"/>
          <w:b/>
          <w:bCs/>
        </w:rPr>
        <w:t xml:space="preserve">D, Evidence-based data on pain relief with antidepressants, </w:t>
      </w:r>
      <w:r w:rsidRPr="00D61F73">
        <w:rPr>
          <w:rFonts w:ascii="Arial" w:hAnsi="Arial" w:cs="Arial"/>
          <w:b/>
          <w:bCs/>
          <w:i/>
          <w:iCs/>
        </w:rPr>
        <w:t>Ann Med.</w:t>
      </w:r>
      <w:r w:rsidRPr="00D61F73">
        <w:rPr>
          <w:rFonts w:ascii="Arial" w:hAnsi="Arial" w:cs="Arial"/>
          <w:b/>
          <w:bCs/>
        </w:rPr>
        <w:t xml:space="preserve"> 2000 Jul;32(5):305-16.</w:t>
      </w:r>
    </w:p>
    <w:p w14:paraId="37F81421" w14:textId="77777777" w:rsidR="008D0565" w:rsidRPr="00D61F73" w:rsidRDefault="008D0565" w:rsidP="00D61F73">
      <w:pPr>
        <w:rPr>
          <w:rFonts w:ascii="Arial" w:hAnsi="Arial" w:cs="Arial"/>
        </w:rPr>
      </w:pPr>
    </w:p>
    <w:p w14:paraId="4328FEF8" w14:textId="77777777" w:rsidR="008D0565" w:rsidRPr="00D61F73" w:rsidRDefault="008D0565" w:rsidP="00D61F73">
      <w:pPr>
        <w:rPr>
          <w:rFonts w:ascii="Arial" w:hAnsi="Arial" w:cs="Arial"/>
        </w:rPr>
      </w:pPr>
      <w:r w:rsidRPr="00D61F73">
        <w:rPr>
          <w:rFonts w:ascii="Arial" w:hAnsi="Arial" w:cs="Arial"/>
        </w:rPr>
        <w:t xml:space="preserve">Finally, this evidence indicated that antidepressants could be effective for pain associated with some specific pain syndromes, such as chronic low back pain, osteoarthritis or rheumatoid arthritis, fibrositis or fibromyalgia, and ulcer healing. </w:t>
      </w:r>
    </w:p>
    <w:p w14:paraId="16CA46CA" w14:textId="77777777" w:rsidR="008D0565" w:rsidRPr="00D61F73" w:rsidRDefault="008D0565" w:rsidP="00D61F73">
      <w:pPr>
        <w:rPr>
          <w:rFonts w:ascii="Arial" w:hAnsi="Arial" w:cs="Arial"/>
        </w:rPr>
      </w:pPr>
    </w:p>
    <w:p w14:paraId="690A6CED" w14:textId="77777777" w:rsidR="008D0565" w:rsidRPr="00D61F73" w:rsidRDefault="008D0565" w:rsidP="00D61F73">
      <w:pPr>
        <w:rPr>
          <w:rFonts w:ascii="Arial" w:hAnsi="Arial" w:cs="Arial"/>
        </w:rPr>
      </w:pPr>
      <w:r w:rsidRPr="00D61F73">
        <w:rPr>
          <w:rFonts w:ascii="Arial" w:hAnsi="Arial" w:cs="Arial"/>
        </w:rPr>
        <w:t xml:space="preserve">PMID: </w:t>
      </w:r>
      <w:hyperlink r:id="rId404" w:history="1">
        <w:r w:rsidRPr="00D61F73">
          <w:rPr>
            <w:rStyle w:val="Hyperlink"/>
            <w:rFonts w:ascii="Arial" w:hAnsi="Arial" w:cs="Arial"/>
          </w:rPr>
          <w:t>10949061</w:t>
        </w:r>
      </w:hyperlink>
      <w:r w:rsidRPr="00D61F73">
        <w:rPr>
          <w:rFonts w:ascii="Arial" w:hAnsi="Arial" w:cs="Arial"/>
        </w:rPr>
        <w:t xml:space="preserve"> </w:t>
      </w:r>
    </w:p>
    <w:p w14:paraId="5001AD1E"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B5B3CC0"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5b</w:t>
      </w:r>
    </w:p>
    <w:p w14:paraId="26367E53"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rPr>
        <w:lastRenderedPageBreak/>
        <w:t>F</w:t>
      </w:r>
      <w:bookmarkStart w:id="694" w:name="Fishbain2"/>
      <w:bookmarkEnd w:id="694"/>
      <w:r w:rsidRPr="00D61F73">
        <w:rPr>
          <w:rFonts w:ascii="Arial" w:hAnsi="Arial" w:cs="Arial"/>
          <w:b/>
        </w:rPr>
        <w:t xml:space="preserve">ishbain DA, Lewis JE, Cole B, Cutler B, Rosomoff HL, Rosomoff RS. Lidocaine 5% patch: an open-label naturalistic chronic pain treatment trial and prediction of response. </w:t>
      </w:r>
      <w:r w:rsidRPr="00D61F73">
        <w:rPr>
          <w:rFonts w:ascii="Arial" w:hAnsi="Arial" w:cs="Arial"/>
          <w:b/>
          <w:i/>
        </w:rPr>
        <w:t>Pain Med</w:t>
      </w:r>
      <w:r w:rsidRPr="00D61F73">
        <w:rPr>
          <w:rFonts w:ascii="Arial" w:hAnsi="Arial" w:cs="Arial"/>
          <w:b/>
        </w:rPr>
        <w:t>. 2006;7:135-42</w:t>
      </w:r>
      <w:r w:rsidRPr="00D61F73">
        <w:rPr>
          <w:rFonts w:ascii="Arial" w:hAnsi="Arial" w:cs="Arial"/>
        </w:rPr>
        <w:t>.</w:t>
      </w:r>
    </w:p>
    <w:p w14:paraId="1398F146" w14:textId="77777777" w:rsidR="008D0565" w:rsidRPr="00D61F73" w:rsidRDefault="008D0565" w:rsidP="00D61F73">
      <w:pPr>
        <w:rPr>
          <w:rFonts w:ascii="Arial" w:hAnsi="Arial" w:cs="Arial"/>
        </w:rPr>
      </w:pPr>
    </w:p>
    <w:p w14:paraId="6D6CC9F7" w14:textId="77777777" w:rsidR="008D0565" w:rsidRPr="00D61F73" w:rsidRDefault="008D0565" w:rsidP="00D61F73">
      <w:pPr>
        <w:rPr>
          <w:rFonts w:ascii="Arial" w:hAnsi="Arial" w:cs="Arial"/>
        </w:rPr>
      </w:pPr>
      <w:r w:rsidRPr="00D61F73">
        <w:rPr>
          <w:rFonts w:ascii="Arial" w:hAnsi="Arial" w:cs="Arial"/>
        </w:rPr>
        <w:t xml:space="preserve">CONCLUSIONS: A significant percentage of CPPs exposed to an L5P 3-day naturalistic trial perceived clinical improvement. However, this can only be concluded as an initial effect, and whether or not this effect is attributable to L5P cannot be derived from our data as the effect could have been nonspecific. </w:t>
      </w:r>
    </w:p>
    <w:p w14:paraId="018D0A23" w14:textId="77777777" w:rsidR="008D0565" w:rsidRPr="00D61F73" w:rsidRDefault="008D0565" w:rsidP="00D61F73">
      <w:pPr>
        <w:rPr>
          <w:rFonts w:ascii="Arial" w:hAnsi="Arial" w:cs="Arial"/>
        </w:rPr>
      </w:pPr>
    </w:p>
    <w:p w14:paraId="1ACA8881" w14:textId="77777777" w:rsidR="008D0565" w:rsidRPr="00D61F73" w:rsidRDefault="008D0565" w:rsidP="00D61F73">
      <w:pPr>
        <w:rPr>
          <w:rFonts w:ascii="Arial" w:hAnsi="Arial" w:cs="Arial"/>
        </w:rPr>
      </w:pPr>
      <w:r w:rsidRPr="00D61F73">
        <w:rPr>
          <w:rFonts w:ascii="Arial" w:hAnsi="Arial" w:cs="Arial"/>
        </w:rPr>
        <w:t xml:space="preserve">PMID: </w:t>
      </w:r>
      <w:hyperlink r:id="rId405" w:history="1">
        <w:r w:rsidRPr="00D61F73">
          <w:rPr>
            <w:rStyle w:val="Hyperlink"/>
            <w:rFonts w:ascii="Arial" w:hAnsi="Arial" w:cs="Arial"/>
          </w:rPr>
          <w:t>16634726</w:t>
        </w:r>
      </w:hyperlink>
    </w:p>
    <w:p w14:paraId="66E381A6" w14:textId="77777777" w:rsidR="008D0565" w:rsidRPr="00D61F73" w:rsidRDefault="008D0565" w:rsidP="00D61F73">
      <w:pPr>
        <w:rPr>
          <w:rFonts w:ascii="Arial" w:hAnsi="Arial" w:cs="Arial"/>
        </w:rPr>
      </w:pPr>
    </w:p>
    <w:p w14:paraId="40F198E8" w14:textId="77777777" w:rsidR="008D0565" w:rsidRPr="00D61F73" w:rsidRDefault="008D0565" w:rsidP="00D61F73">
      <w:pPr>
        <w:rPr>
          <w:rFonts w:ascii="Arial" w:hAnsi="Arial" w:cs="Arial"/>
        </w:rPr>
      </w:pPr>
      <w:r w:rsidRPr="00D61F73">
        <w:rPr>
          <w:rFonts w:ascii="Arial" w:hAnsi="Arial" w:cs="Arial"/>
        </w:rPr>
        <w:t>Rating: 4c</w:t>
      </w:r>
    </w:p>
    <w:p w14:paraId="0F83C51D"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F</w:t>
      </w:r>
      <w:bookmarkStart w:id="695" w:name="Fisher"/>
      <w:bookmarkEnd w:id="695"/>
      <w:r w:rsidRPr="00D61F73">
        <w:rPr>
          <w:rFonts w:ascii="Arial" w:hAnsi="Arial" w:cs="Arial"/>
          <w:b/>
        </w:rPr>
        <w:t xml:space="preserve">isher R, Hassenbusch S, Krames E, Leong M, Minehart M, Prager J, Staats P, Webster L, Willis KD.A Consensus Statement Regarding the Present Suggested Titration for Prialt (Ziconotide). </w:t>
      </w:r>
      <w:r w:rsidRPr="00D61F73">
        <w:rPr>
          <w:rFonts w:ascii="Arial" w:hAnsi="Arial" w:cs="Arial"/>
          <w:b/>
          <w:i/>
        </w:rPr>
        <w:t>Neuromodulation</w:t>
      </w:r>
      <w:r w:rsidRPr="00D61F73">
        <w:rPr>
          <w:rFonts w:ascii="Arial" w:hAnsi="Arial" w:cs="Arial"/>
          <w:b/>
        </w:rPr>
        <w:t xml:space="preserve"> 2005; 8:153–154.</w:t>
      </w:r>
    </w:p>
    <w:p w14:paraId="4D2DB24A" w14:textId="77777777" w:rsidR="008D0565" w:rsidRPr="00D61F73" w:rsidRDefault="008D0565" w:rsidP="00D61F73">
      <w:pPr>
        <w:rPr>
          <w:rFonts w:ascii="Arial" w:hAnsi="Arial" w:cs="Arial"/>
          <w:b/>
        </w:rPr>
      </w:pPr>
    </w:p>
    <w:p w14:paraId="6D1DA908" w14:textId="77777777" w:rsidR="008D0565" w:rsidRPr="00D61F73" w:rsidRDefault="008D0565" w:rsidP="00D61F73">
      <w:pPr>
        <w:rPr>
          <w:rFonts w:ascii="Arial" w:hAnsi="Arial" w:cs="Arial"/>
          <w:i/>
          <w:lang w:val="en"/>
        </w:rPr>
      </w:pPr>
      <w:r w:rsidRPr="00D61F73">
        <w:rPr>
          <w:rFonts w:ascii="Arial" w:hAnsi="Arial" w:cs="Arial"/>
        </w:rPr>
        <w:t xml:space="preserve">This was a titration that stated the following: </w:t>
      </w:r>
      <w:r w:rsidRPr="00D61F73">
        <w:rPr>
          <w:rFonts w:ascii="Arial" w:hAnsi="Arial" w:cs="Arial"/>
          <w:i/>
          <w:lang w:val="en"/>
        </w:rPr>
        <w:t xml:space="preserve">Because of the side-effect profile of this drug, the recommended </w:t>
      </w:r>
      <w:r w:rsidRPr="00D61F73">
        <w:rPr>
          <w:rFonts w:ascii="Arial" w:hAnsi="Arial" w:cs="Arial"/>
          <w:b/>
          <w:bCs/>
          <w:i/>
          <w:lang w:val="en"/>
        </w:rPr>
        <w:t>maximum</w:t>
      </w:r>
      <w:r w:rsidRPr="00D61F73">
        <w:rPr>
          <w:rFonts w:ascii="Arial" w:hAnsi="Arial" w:cs="Arial"/>
          <w:i/>
          <w:lang w:val="en"/>
        </w:rPr>
        <w:t xml:space="preserve"> titration rate approved by the FDA on December 28, 2004 and stated in the package insert is considered, unanimously, by the undersigned authors of this editorial and the vast majority of Prialt clinical investigators, to be two and one-half to five times too rapid.</w:t>
      </w:r>
    </w:p>
    <w:p w14:paraId="25EA842E" w14:textId="77777777" w:rsidR="008D0565" w:rsidRPr="00D61F73" w:rsidRDefault="008D0565" w:rsidP="00D61F73">
      <w:pPr>
        <w:rPr>
          <w:rFonts w:ascii="Arial" w:hAnsi="Arial" w:cs="Arial"/>
          <w:lang w:val="en"/>
        </w:rPr>
      </w:pPr>
      <w:r w:rsidRPr="00D61F73">
        <w:rPr>
          <w:rFonts w:ascii="Arial" w:hAnsi="Arial" w:cs="Arial"/>
        </w:rPr>
        <w:t xml:space="preserve">They also stated: </w:t>
      </w:r>
      <w:r w:rsidRPr="00D61F73">
        <w:rPr>
          <w:rFonts w:ascii="Arial" w:hAnsi="Arial" w:cs="Arial"/>
          <w:i/>
          <w:lang w:val="en"/>
        </w:rPr>
        <w:t xml:space="preserve">Given the severity of the side-effects of this drug, it is recommended by a consensus of the most experienced clinical investigators (signatures below), that the "mantra" regarding the initiation of intrathecal Prialt for pain control should be to "Start Low and Go Slo. </w:t>
      </w:r>
      <w:r w:rsidRPr="00D61F73">
        <w:rPr>
          <w:rFonts w:ascii="Arial" w:hAnsi="Arial" w:cs="Arial"/>
          <w:lang w:val="en"/>
        </w:rPr>
        <w:t>The rinse process is also very important to the infusion of this drug.</w:t>
      </w:r>
    </w:p>
    <w:p w14:paraId="30DD9E52" w14:textId="77777777" w:rsidR="008D0565" w:rsidRPr="00D61F73" w:rsidRDefault="008D0565" w:rsidP="00D61F73">
      <w:pPr>
        <w:rPr>
          <w:rFonts w:ascii="Arial" w:hAnsi="Arial" w:cs="Arial"/>
          <w:lang w:val="en"/>
        </w:rPr>
      </w:pPr>
    </w:p>
    <w:p w14:paraId="410F7FD0" w14:textId="77777777" w:rsidR="008D0565" w:rsidRPr="00D61F73" w:rsidRDefault="008D0565" w:rsidP="00D61F73">
      <w:pPr>
        <w:rPr>
          <w:rFonts w:ascii="Arial" w:hAnsi="Arial" w:cs="Arial"/>
          <w:lang w:val="en"/>
        </w:rPr>
      </w:pPr>
      <w:r w:rsidRPr="00D61F73">
        <w:rPr>
          <w:rFonts w:ascii="Arial" w:hAnsi="Arial" w:cs="Arial"/>
          <w:lang w:val="en"/>
        </w:rPr>
        <w:t>Rating: 8a</w:t>
      </w:r>
    </w:p>
    <w:p w14:paraId="0AA7281B" w14:textId="77777777" w:rsidR="008D0565" w:rsidRPr="00D61F73" w:rsidRDefault="008D0565" w:rsidP="00D61F73">
      <w:pPr>
        <w:rPr>
          <w:rFonts w:ascii="Arial" w:hAnsi="Arial" w:cs="Arial"/>
          <w:lang w:val="en"/>
        </w:rPr>
      </w:pPr>
    </w:p>
    <w:p w14:paraId="49BA499B"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F</w:t>
      </w:r>
      <w:bookmarkStart w:id="696" w:name="Flor"/>
      <w:bookmarkEnd w:id="696"/>
      <w:r w:rsidRPr="00D61F73">
        <w:rPr>
          <w:rFonts w:ascii="Arial" w:hAnsi="Arial" w:cs="Arial"/>
          <w:b/>
        </w:rPr>
        <w:t xml:space="preserve">lor H, Fydrich T, Turk DC. Efficacy of multidisciplinary pain treatment centers: a meta-analytic review. </w:t>
      </w:r>
      <w:r w:rsidRPr="00D61F73">
        <w:rPr>
          <w:rFonts w:ascii="Arial" w:hAnsi="Arial" w:cs="Arial"/>
          <w:b/>
          <w:i/>
        </w:rPr>
        <w:t>Pain.</w:t>
      </w:r>
      <w:r w:rsidRPr="00D61F73">
        <w:rPr>
          <w:rFonts w:ascii="Arial" w:hAnsi="Arial" w:cs="Arial"/>
          <w:b/>
        </w:rPr>
        <w:t xml:space="preserve"> 1992 May;49(2):221-30.</w:t>
      </w:r>
    </w:p>
    <w:p w14:paraId="0AA6A930" w14:textId="77777777" w:rsidR="008D0565" w:rsidRPr="00D61F73" w:rsidRDefault="008D0565" w:rsidP="00D61F73">
      <w:pPr>
        <w:rPr>
          <w:rFonts w:ascii="Arial" w:hAnsi="Arial" w:cs="Arial"/>
        </w:rPr>
      </w:pPr>
    </w:p>
    <w:p w14:paraId="36B53CCD" w14:textId="77777777" w:rsidR="008D0565" w:rsidRPr="00D61F73" w:rsidRDefault="008D0565" w:rsidP="00D61F73">
      <w:pPr>
        <w:rPr>
          <w:rFonts w:ascii="Arial" w:hAnsi="Arial" w:cs="Arial"/>
        </w:rPr>
      </w:pPr>
      <w:r w:rsidRPr="00D61F73">
        <w:rPr>
          <w:rFonts w:ascii="Arial" w:hAnsi="Arial" w:cs="Arial"/>
        </w:rPr>
        <w:t>The beneficial effects of multidisciplinary treatment were not limited to improvements in pain, mood and interference but also extended to behavioral variables such as return to work or use of the health care system.</w:t>
      </w:r>
    </w:p>
    <w:p w14:paraId="61EA5E4F" w14:textId="77777777" w:rsidR="008D0565" w:rsidRPr="00D61F73" w:rsidRDefault="008D0565" w:rsidP="00D61F73">
      <w:pPr>
        <w:rPr>
          <w:rFonts w:ascii="Arial" w:hAnsi="Arial" w:cs="Arial"/>
        </w:rPr>
      </w:pPr>
    </w:p>
    <w:p w14:paraId="7730F4BB" w14:textId="77777777" w:rsidR="008D0565" w:rsidRPr="00D61F73" w:rsidRDefault="008D0565" w:rsidP="00D61F73">
      <w:pPr>
        <w:rPr>
          <w:rFonts w:ascii="Arial" w:hAnsi="Arial" w:cs="Arial"/>
          <w:b/>
        </w:rPr>
      </w:pPr>
      <w:r w:rsidRPr="00D61F73">
        <w:rPr>
          <w:rFonts w:ascii="Arial" w:hAnsi="Arial" w:cs="Arial"/>
        </w:rPr>
        <w:t xml:space="preserve">PMID: </w:t>
      </w:r>
      <w:hyperlink r:id="rId406" w:history="1">
        <w:r w:rsidRPr="00D61F73">
          <w:rPr>
            <w:rStyle w:val="Hyperlink"/>
            <w:rFonts w:ascii="Arial" w:hAnsi="Arial" w:cs="Arial"/>
          </w:rPr>
          <w:t>1535122</w:t>
        </w:r>
      </w:hyperlink>
      <w:r w:rsidRPr="00D61F73">
        <w:rPr>
          <w:rFonts w:ascii="Arial" w:hAnsi="Arial" w:cs="Arial"/>
          <w:b/>
        </w:rPr>
        <w:t xml:space="preserve"> </w:t>
      </w:r>
    </w:p>
    <w:p w14:paraId="2C29A9B0" w14:textId="77777777" w:rsidR="008D0565" w:rsidRPr="00D61F73" w:rsidRDefault="008D0565" w:rsidP="00D61F73">
      <w:pPr>
        <w:rPr>
          <w:rFonts w:ascii="Arial" w:hAnsi="Arial" w:cs="Arial"/>
          <w:b/>
        </w:rPr>
      </w:pPr>
    </w:p>
    <w:p w14:paraId="555F933D"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1a</w:t>
      </w:r>
    </w:p>
    <w:p w14:paraId="4EA05DE1"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F</w:t>
      </w:r>
      <w:bookmarkStart w:id="697" w:name="Flor2"/>
      <w:bookmarkEnd w:id="697"/>
      <w:r w:rsidRPr="00D61F73">
        <w:rPr>
          <w:rFonts w:ascii="Arial" w:hAnsi="Arial" w:cs="Arial"/>
          <w:sz w:val="24"/>
          <w:szCs w:val="24"/>
        </w:rPr>
        <w:t xml:space="preserve">lor H, Birbaumer N. Comparison of the efficacy of electromyographic biofeedback, cognitive-behavioral therapy, and conservative medical interventions in the treatment of chronic musculoskeletal pain. </w:t>
      </w:r>
      <w:r w:rsidRPr="00D61F73">
        <w:rPr>
          <w:rFonts w:ascii="Arial" w:hAnsi="Arial" w:cs="Arial"/>
          <w:i/>
          <w:iCs/>
          <w:sz w:val="24"/>
          <w:szCs w:val="24"/>
        </w:rPr>
        <w:t>J Consult Clin Psychol</w:t>
      </w:r>
      <w:r w:rsidRPr="00D61F73">
        <w:rPr>
          <w:rFonts w:ascii="Arial" w:hAnsi="Arial" w:cs="Arial"/>
          <w:sz w:val="24"/>
          <w:szCs w:val="24"/>
        </w:rPr>
        <w:t>. 1993 Aug;61(4):653-8.</w:t>
      </w:r>
    </w:p>
    <w:p w14:paraId="793E6EF4"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B338E42"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Results suggest that pain patients who suffer from musculoskeletal pain problems and display few physical disabilities may profit the most from short-term EMG biofeedback treatment.</w:t>
      </w:r>
    </w:p>
    <w:p w14:paraId="33E5717D"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043F9777"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PMID: </w:t>
      </w:r>
      <w:hyperlink r:id="rId407" w:history="1">
        <w:r w:rsidRPr="00D61F73">
          <w:rPr>
            <w:rStyle w:val="Hyperlink"/>
            <w:rFonts w:ascii="Arial" w:hAnsi="Arial" w:cs="Arial"/>
            <w:b w:val="0"/>
            <w:bCs w:val="0"/>
            <w:sz w:val="24"/>
            <w:szCs w:val="24"/>
          </w:rPr>
          <w:t>8370861</w:t>
        </w:r>
      </w:hyperlink>
      <w:r w:rsidRPr="00D61F73">
        <w:rPr>
          <w:rFonts w:ascii="Arial" w:hAnsi="Arial" w:cs="Arial"/>
          <w:b w:val="0"/>
          <w:bCs w:val="0"/>
          <w:sz w:val="24"/>
          <w:szCs w:val="24"/>
        </w:rPr>
        <w:t xml:space="preserve"> </w:t>
      </w:r>
    </w:p>
    <w:p w14:paraId="16A2558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6CB8A0DE"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2c</w:t>
      </w:r>
    </w:p>
    <w:p w14:paraId="020049A8" w14:textId="77777777" w:rsidR="008D0565" w:rsidRPr="00D61F73" w:rsidRDefault="008D0565" w:rsidP="00D61F73">
      <w:pPr>
        <w:rPr>
          <w:rFonts w:ascii="Arial" w:eastAsia="Calibri" w:hAnsi="Arial" w:cs="Arial"/>
          <w:b/>
          <w:color w:val="auto"/>
        </w:rPr>
      </w:pPr>
      <w:r w:rsidRPr="00D61F73">
        <w:rPr>
          <w:rFonts w:ascii="Arial" w:hAnsi="Arial" w:cs="Arial"/>
          <w:b/>
          <w:bCs/>
        </w:rPr>
        <w:br w:type="page"/>
      </w:r>
      <w:r w:rsidRPr="00D61F73">
        <w:rPr>
          <w:rFonts w:ascii="Arial" w:hAnsi="Arial" w:cs="Arial"/>
          <w:b/>
        </w:rPr>
        <w:lastRenderedPageBreak/>
        <w:t>F</w:t>
      </w:r>
      <w:bookmarkStart w:id="698" w:name="Fock"/>
      <w:bookmarkEnd w:id="698"/>
      <w:r w:rsidRPr="00D61F73">
        <w:rPr>
          <w:rFonts w:ascii="Arial" w:hAnsi="Arial" w:cs="Arial"/>
          <w:b/>
        </w:rPr>
        <w:t xml:space="preserve">ock KM, Katelaris P, Sugano K, Ang TL, Hunt R, Talley NJ, Lam SK, Xiao SD, Tan HJ, Wu CY, Jung HC, Hoang BH, Kachintorn U, Goh KL, Chiba T, Rani AA; Second Asia-Pacific Conference.Second Asia-Pacific Consensus Guidelines for Helicobacter pylori infection. </w:t>
      </w:r>
      <w:r w:rsidRPr="00D61F73">
        <w:rPr>
          <w:rFonts w:ascii="Arial" w:hAnsi="Arial" w:cs="Arial"/>
          <w:b/>
          <w:i/>
        </w:rPr>
        <w:t>J Gastroenterol Hepatol</w:t>
      </w:r>
      <w:r w:rsidRPr="00D61F73">
        <w:rPr>
          <w:rFonts w:ascii="Arial" w:hAnsi="Arial" w:cs="Arial"/>
          <w:b/>
        </w:rPr>
        <w:t>. 2009;24:1587-600.</w:t>
      </w:r>
    </w:p>
    <w:p w14:paraId="60165FD0" w14:textId="77777777" w:rsidR="008D0565" w:rsidRPr="00D61F73" w:rsidRDefault="008D0565" w:rsidP="00D61F73">
      <w:pPr>
        <w:pStyle w:val="aff"/>
        <w:spacing w:before="0" w:beforeAutospacing="0" w:after="0" w:afterAutospacing="0"/>
        <w:rPr>
          <w:rFonts w:ascii="Arial" w:hAnsi="Arial" w:cs="Arial"/>
        </w:rPr>
      </w:pPr>
    </w:p>
    <w:p w14:paraId="556687BB" w14:textId="77777777" w:rsidR="008D0565" w:rsidRPr="00D61F73" w:rsidRDefault="008D0565" w:rsidP="00D61F73">
      <w:pPr>
        <w:pStyle w:val="NormalWeb"/>
        <w:spacing w:before="0" w:beforeAutospacing="0" w:after="0" w:afterAutospacing="0"/>
        <w:rPr>
          <w:rFonts w:ascii="Arial" w:eastAsia="Times New Roman" w:hAnsi="Arial" w:cs="Arial"/>
        </w:rPr>
      </w:pPr>
      <w:r w:rsidRPr="00D61F73">
        <w:rPr>
          <w:rFonts w:ascii="Arial" w:hAnsi="Arial" w:cs="Arial"/>
        </w:rPr>
        <w:t xml:space="preserve">It was recommended that H. pylori infection should be tested for and eradicated prior to long-term aspirin or non-steroidal anti-inflammatory drug therapy in patients at high risk for ulcers and ulcer-related complications. </w:t>
      </w:r>
    </w:p>
    <w:p w14:paraId="5971E141" w14:textId="77777777" w:rsidR="008D0565" w:rsidRPr="00D61F73" w:rsidRDefault="008D0565" w:rsidP="00D61F73">
      <w:pPr>
        <w:pStyle w:val="pmid"/>
        <w:spacing w:before="0" w:beforeAutospacing="0" w:after="0" w:afterAutospacing="0"/>
        <w:rPr>
          <w:rFonts w:ascii="Arial" w:hAnsi="Arial" w:cs="Arial"/>
        </w:rPr>
      </w:pPr>
    </w:p>
    <w:p w14:paraId="00DB7008"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408" w:history="1">
        <w:r w:rsidRPr="00D61F73">
          <w:rPr>
            <w:rStyle w:val="Hyperlink"/>
            <w:rFonts w:ascii="Arial" w:hAnsi="Arial" w:cs="Arial"/>
          </w:rPr>
          <w:t>19788600</w:t>
        </w:r>
      </w:hyperlink>
      <w:r w:rsidRPr="00D61F73">
        <w:rPr>
          <w:rFonts w:ascii="Arial" w:hAnsi="Arial" w:cs="Arial"/>
        </w:rPr>
        <w:t xml:space="preserve"> </w:t>
      </w:r>
    </w:p>
    <w:p w14:paraId="7D658838" w14:textId="77777777" w:rsidR="008D0565" w:rsidRPr="00D61F73" w:rsidRDefault="008D0565" w:rsidP="00D61F73">
      <w:pPr>
        <w:rPr>
          <w:rFonts w:ascii="Arial" w:hAnsi="Arial" w:cs="Arial"/>
        </w:rPr>
      </w:pPr>
    </w:p>
    <w:p w14:paraId="3B27B7B8" w14:textId="77777777" w:rsidR="008D0565" w:rsidRPr="00D61F73" w:rsidRDefault="008D0565" w:rsidP="00D61F73">
      <w:pPr>
        <w:rPr>
          <w:rFonts w:ascii="Arial" w:hAnsi="Arial" w:cs="Arial"/>
        </w:rPr>
      </w:pPr>
      <w:r w:rsidRPr="00D61F73">
        <w:rPr>
          <w:rFonts w:ascii="Arial" w:hAnsi="Arial" w:cs="Arial"/>
        </w:rPr>
        <w:t>Rating: 8b</w:t>
      </w:r>
    </w:p>
    <w:p w14:paraId="7DBFD818"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F</w:t>
      </w:r>
      <w:bookmarkStart w:id="699" w:name="Forman"/>
      <w:bookmarkEnd w:id="699"/>
      <w:r w:rsidRPr="00D61F73">
        <w:rPr>
          <w:rFonts w:ascii="Arial" w:hAnsi="Arial" w:cs="Arial"/>
          <w:sz w:val="24"/>
          <w:szCs w:val="24"/>
        </w:rPr>
        <w:t xml:space="preserve">orman JP, Rimm EB, Curhan GC. Frequency of analgesic use and risk of hypertension among men. </w:t>
      </w:r>
      <w:r w:rsidRPr="00D61F73">
        <w:rPr>
          <w:rFonts w:ascii="Arial" w:hAnsi="Arial" w:cs="Arial"/>
          <w:i/>
          <w:sz w:val="24"/>
          <w:szCs w:val="24"/>
        </w:rPr>
        <w:t>Arch Intern Med.</w:t>
      </w:r>
      <w:r w:rsidRPr="00D61F73">
        <w:rPr>
          <w:rFonts w:ascii="Arial" w:hAnsi="Arial" w:cs="Arial"/>
          <w:sz w:val="24"/>
          <w:szCs w:val="24"/>
        </w:rPr>
        <w:t xml:space="preserve"> 2007;167:394-9.</w:t>
      </w:r>
    </w:p>
    <w:p w14:paraId="43D21125" w14:textId="77777777" w:rsidR="008D0565" w:rsidRPr="00D61F73" w:rsidRDefault="008D0565" w:rsidP="00D61F73">
      <w:pPr>
        <w:rPr>
          <w:rFonts w:ascii="Arial" w:hAnsi="Arial" w:cs="Arial"/>
        </w:rPr>
      </w:pPr>
    </w:p>
    <w:p w14:paraId="6CE89F2A" w14:textId="77777777" w:rsidR="008D0565" w:rsidRPr="00D61F73" w:rsidRDefault="008D0565" w:rsidP="00D61F73">
      <w:pPr>
        <w:rPr>
          <w:rFonts w:ascii="Arial" w:hAnsi="Arial" w:cs="Arial"/>
        </w:rPr>
      </w:pPr>
      <w:r w:rsidRPr="00D61F73">
        <w:rPr>
          <w:rFonts w:ascii="Arial" w:hAnsi="Arial" w:cs="Arial"/>
        </w:rPr>
        <w:t xml:space="preserve">CONCLUSIONS: The frequency of nonnarcotic analgesic use is independently associated with a moderate increase in the risk of incident hypertension. </w:t>
      </w:r>
    </w:p>
    <w:p w14:paraId="332F0F96" w14:textId="77777777" w:rsidR="008D0565" w:rsidRPr="00D61F73" w:rsidRDefault="008D0565" w:rsidP="00D61F73">
      <w:pPr>
        <w:rPr>
          <w:rFonts w:ascii="Arial" w:hAnsi="Arial" w:cs="Arial"/>
        </w:rPr>
      </w:pPr>
    </w:p>
    <w:p w14:paraId="2F75B4C0" w14:textId="77777777" w:rsidR="008D0565" w:rsidRPr="00D61F73" w:rsidRDefault="008D0565" w:rsidP="00D61F73">
      <w:pPr>
        <w:rPr>
          <w:rFonts w:ascii="Arial" w:hAnsi="Arial" w:cs="Arial"/>
        </w:rPr>
      </w:pPr>
      <w:r w:rsidRPr="00D61F73">
        <w:rPr>
          <w:rFonts w:ascii="Arial" w:hAnsi="Arial" w:cs="Arial"/>
        </w:rPr>
        <w:t xml:space="preserve">PMID: </w:t>
      </w:r>
      <w:hyperlink r:id="rId409" w:history="1">
        <w:r w:rsidRPr="00D61F73">
          <w:rPr>
            <w:rStyle w:val="Hyperlink"/>
            <w:rFonts w:ascii="Arial" w:hAnsi="Arial" w:cs="Arial"/>
          </w:rPr>
          <w:t>17325302</w:t>
        </w:r>
      </w:hyperlink>
      <w:r w:rsidRPr="00D61F73">
        <w:rPr>
          <w:rFonts w:ascii="Arial" w:hAnsi="Arial" w:cs="Arial"/>
        </w:rPr>
        <w:t xml:space="preserve"> </w:t>
      </w:r>
    </w:p>
    <w:p w14:paraId="51A3F99F" w14:textId="77777777" w:rsidR="008D0565" w:rsidRPr="00D61F73" w:rsidRDefault="008D0565" w:rsidP="00D61F73">
      <w:pPr>
        <w:rPr>
          <w:rFonts w:ascii="Arial" w:hAnsi="Arial" w:cs="Arial"/>
        </w:rPr>
      </w:pPr>
    </w:p>
    <w:p w14:paraId="1AAC3ABB" w14:textId="77777777" w:rsidR="008D0565" w:rsidRPr="00D61F73" w:rsidRDefault="008D0565" w:rsidP="00D61F73">
      <w:pPr>
        <w:rPr>
          <w:rFonts w:ascii="Arial" w:hAnsi="Arial" w:cs="Arial"/>
        </w:rPr>
      </w:pPr>
      <w:r w:rsidRPr="00D61F73">
        <w:rPr>
          <w:rFonts w:ascii="Arial" w:hAnsi="Arial" w:cs="Arial"/>
        </w:rPr>
        <w:t>Rating: 3a</w:t>
      </w:r>
    </w:p>
    <w:p w14:paraId="5C55D5F9"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bookmarkStart w:id="700" w:name="Forouzanfar"/>
      <w:r w:rsidRPr="00D61F73">
        <w:rPr>
          <w:rFonts w:ascii="Arial" w:hAnsi="Arial" w:cs="Arial"/>
          <w:sz w:val="24"/>
          <w:szCs w:val="24"/>
        </w:rPr>
        <w:lastRenderedPageBreak/>
        <w:t>Forouzanfar</w:t>
      </w:r>
      <w:bookmarkEnd w:id="700"/>
      <w:r w:rsidRPr="00D61F73">
        <w:rPr>
          <w:rFonts w:ascii="Arial" w:hAnsi="Arial" w:cs="Arial"/>
          <w:sz w:val="24"/>
          <w:szCs w:val="24"/>
        </w:rPr>
        <w:t xml:space="preserve"> T, Kemler MA, Weber WE, Kessels AG, Van Kleef M, Spinal cord stimulation in complex regional pain syndrome: cervical and lumbar devices are comparably effective, </w:t>
      </w:r>
      <w:r w:rsidRPr="00D61F73">
        <w:rPr>
          <w:rFonts w:ascii="Arial" w:hAnsi="Arial" w:cs="Arial"/>
          <w:i/>
          <w:sz w:val="24"/>
          <w:szCs w:val="24"/>
        </w:rPr>
        <w:t>Br J Anaesth</w:t>
      </w:r>
      <w:r w:rsidRPr="00D61F73">
        <w:rPr>
          <w:rFonts w:ascii="Arial" w:hAnsi="Arial" w:cs="Arial"/>
          <w:sz w:val="24"/>
          <w:szCs w:val="24"/>
        </w:rPr>
        <w:t>. 2004 Jan 22</w:t>
      </w:r>
    </w:p>
    <w:p w14:paraId="63FE9A94" w14:textId="77777777" w:rsidR="008D0565" w:rsidRPr="00D61F73" w:rsidRDefault="008D0565" w:rsidP="00D61F73">
      <w:pPr>
        <w:rPr>
          <w:rFonts w:ascii="Arial" w:hAnsi="Arial" w:cs="Arial"/>
        </w:rPr>
      </w:pPr>
    </w:p>
    <w:p w14:paraId="397D19E6" w14:textId="77777777" w:rsidR="008D0565" w:rsidRPr="00D61F73" w:rsidRDefault="008D0565" w:rsidP="00D61F73">
      <w:pPr>
        <w:rPr>
          <w:rFonts w:ascii="Arial" w:hAnsi="Arial" w:cs="Arial"/>
        </w:rPr>
      </w:pPr>
      <w:r w:rsidRPr="00D61F73">
        <w:rPr>
          <w:rFonts w:ascii="Arial" w:hAnsi="Arial" w:cs="Arial"/>
        </w:rPr>
        <w:t xml:space="preserve">RESULTS: According to the GPE, at least 42% of the cervical SCS patients and 47% of the lumbar SCS patients reported at least 'much improvement'. Complications and adverse effects occurred in 64% of the patients and consisted mainly of technical defects. </w:t>
      </w:r>
    </w:p>
    <w:p w14:paraId="0F57693F" w14:textId="77777777" w:rsidR="008D0565" w:rsidRPr="00D61F73" w:rsidRDefault="008D0565" w:rsidP="00D61F73">
      <w:pPr>
        <w:rPr>
          <w:rFonts w:ascii="Arial" w:hAnsi="Arial" w:cs="Arial"/>
        </w:rPr>
      </w:pPr>
    </w:p>
    <w:p w14:paraId="276D3D73" w14:textId="77777777" w:rsidR="008D0565" w:rsidRPr="00D61F73" w:rsidRDefault="008D0565" w:rsidP="00D61F73">
      <w:pPr>
        <w:rPr>
          <w:rFonts w:ascii="Arial" w:hAnsi="Arial" w:cs="Arial"/>
        </w:rPr>
      </w:pPr>
      <w:r w:rsidRPr="00D61F73">
        <w:rPr>
          <w:rFonts w:ascii="Arial" w:hAnsi="Arial" w:cs="Arial"/>
        </w:rPr>
        <w:t xml:space="preserve">PMID: </w:t>
      </w:r>
      <w:hyperlink r:id="rId410" w:history="1">
        <w:r w:rsidRPr="00D61F73">
          <w:rPr>
            <w:rStyle w:val="Hyperlink"/>
            <w:rFonts w:ascii="Arial" w:hAnsi="Arial" w:cs="Arial"/>
          </w:rPr>
          <w:t>14742334</w:t>
        </w:r>
      </w:hyperlink>
      <w:r w:rsidRPr="00D61F73">
        <w:rPr>
          <w:rFonts w:ascii="Arial" w:hAnsi="Arial" w:cs="Arial"/>
        </w:rPr>
        <w:t xml:space="preserve"> </w:t>
      </w:r>
    </w:p>
    <w:p w14:paraId="24DB3B06" w14:textId="77777777" w:rsidR="008D0565" w:rsidRPr="00D61F73" w:rsidRDefault="008D0565" w:rsidP="00D61F73">
      <w:pPr>
        <w:rPr>
          <w:rFonts w:ascii="Arial" w:hAnsi="Arial" w:cs="Arial"/>
          <w:b/>
          <w:bCs/>
        </w:rPr>
      </w:pPr>
    </w:p>
    <w:p w14:paraId="09740B48" w14:textId="77777777" w:rsidR="008D0565" w:rsidRPr="00D61F73" w:rsidRDefault="008D0565" w:rsidP="00D61F73">
      <w:pPr>
        <w:rPr>
          <w:rFonts w:ascii="Arial" w:hAnsi="Arial" w:cs="Arial"/>
        </w:rPr>
      </w:pPr>
      <w:r w:rsidRPr="00D61F73">
        <w:rPr>
          <w:rFonts w:ascii="Arial" w:hAnsi="Arial" w:cs="Arial"/>
        </w:rPr>
        <w:t>Rating: 4c</w:t>
      </w:r>
    </w:p>
    <w:p w14:paraId="43E1822D"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F</w:t>
      </w:r>
      <w:bookmarkStart w:id="701" w:name="Forouzanfar2"/>
      <w:bookmarkEnd w:id="701"/>
      <w:r w:rsidRPr="00D61F73">
        <w:rPr>
          <w:rFonts w:ascii="Arial" w:hAnsi="Arial" w:cs="Arial"/>
          <w:b/>
        </w:rPr>
        <w:t xml:space="preserve">orouzanfar T, Köke AJ, van Kleef M, Weber WE. Treatment of complex regional pain syndrome type I. </w:t>
      </w:r>
      <w:r w:rsidRPr="00D61F73">
        <w:rPr>
          <w:rFonts w:ascii="Arial" w:hAnsi="Arial" w:cs="Arial"/>
          <w:b/>
          <w:i/>
        </w:rPr>
        <w:t>Eur J Pain</w:t>
      </w:r>
      <w:r w:rsidRPr="00D61F73">
        <w:rPr>
          <w:rFonts w:ascii="Arial" w:hAnsi="Arial" w:cs="Arial"/>
          <w:b/>
        </w:rPr>
        <w:t>. 2002;6:105-22.</w:t>
      </w:r>
    </w:p>
    <w:p w14:paraId="3D4BDAF4" w14:textId="77777777" w:rsidR="008D0565" w:rsidRPr="00D61F73" w:rsidRDefault="008D0565" w:rsidP="00D61F73">
      <w:pPr>
        <w:rPr>
          <w:rFonts w:ascii="Arial" w:hAnsi="Arial" w:cs="Arial"/>
        </w:rPr>
      </w:pPr>
    </w:p>
    <w:p w14:paraId="221B9DFB" w14:textId="77777777" w:rsidR="008D0565" w:rsidRPr="00D61F73" w:rsidRDefault="008D0565" w:rsidP="00D61F73">
      <w:pPr>
        <w:rPr>
          <w:rFonts w:ascii="Arial" w:hAnsi="Arial" w:cs="Arial"/>
        </w:rPr>
      </w:pPr>
      <w:r w:rsidRPr="00D61F73">
        <w:rPr>
          <w:rFonts w:ascii="Arial" w:hAnsi="Arial" w:cs="Arial"/>
        </w:rPr>
        <w:t xml:space="preserve">Controversy exists about the effectiveness of therapeutic interventions for the management of RSD/CRPS I. </w:t>
      </w:r>
    </w:p>
    <w:p w14:paraId="188869C6" w14:textId="77777777" w:rsidR="008D0565" w:rsidRPr="00D61F73" w:rsidRDefault="008D0565" w:rsidP="00D61F73">
      <w:pPr>
        <w:rPr>
          <w:rFonts w:ascii="Arial" w:hAnsi="Arial" w:cs="Arial"/>
        </w:rPr>
      </w:pPr>
    </w:p>
    <w:p w14:paraId="444E7E43" w14:textId="77777777" w:rsidR="008D0565" w:rsidRPr="00D61F73" w:rsidRDefault="008D0565" w:rsidP="00D61F73">
      <w:pPr>
        <w:rPr>
          <w:rFonts w:ascii="Arial" w:hAnsi="Arial" w:cs="Arial"/>
        </w:rPr>
      </w:pPr>
      <w:r w:rsidRPr="00D61F73">
        <w:rPr>
          <w:rFonts w:ascii="Arial" w:hAnsi="Arial" w:cs="Arial"/>
        </w:rPr>
        <w:t xml:space="preserve">PMID: </w:t>
      </w:r>
      <w:hyperlink r:id="rId411" w:history="1">
        <w:r w:rsidRPr="00D61F73">
          <w:rPr>
            <w:rStyle w:val="Hyperlink"/>
            <w:rFonts w:ascii="Arial" w:hAnsi="Arial" w:cs="Arial"/>
          </w:rPr>
          <w:t>11900471</w:t>
        </w:r>
      </w:hyperlink>
      <w:r w:rsidRPr="00D61F73">
        <w:rPr>
          <w:rFonts w:ascii="Arial" w:hAnsi="Arial" w:cs="Arial"/>
        </w:rPr>
        <w:t xml:space="preserve"> </w:t>
      </w:r>
    </w:p>
    <w:p w14:paraId="124EA610" w14:textId="77777777" w:rsidR="008D0565" w:rsidRPr="00D61F73" w:rsidRDefault="008D0565" w:rsidP="00D61F73">
      <w:pPr>
        <w:rPr>
          <w:rFonts w:ascii="Arial" w:hAnsi="Arial" w:cs="Arial"/>
        </w:rPr>
      </w:pPr>
    </w:p>
    <w:p w14:paraId="6E455F7E" w14:textId="77777777" w:rsidR="008D0565" w:rsidRPr="00D61F73" w:rsidRDefault="008D0565" w:rsidP="00D61F73">
      <w:pPr>
        <w:rPr>
          <w:rFonts w:ascii="Arial" w:hAnsi="Arial" w:cs="Arial"/>
        </w:rPr>
      </w:pPr>
      <w:r w:rsidRPr="00D61F73">
        <w:rPr>
          <w:rFonts w:ascii="Arial" w:hAnsi="Arial" w:cs="Arial"/>
        </w:rPr>
        <w:t>Rating: 1b</w:t>
      </w:r>
    </w:p>
    <w:p w14:paraId="766D6100" w14:textId="77777777" w:rsidR="008D0565" w:rsidRPr="00D61F73" w:rsidRDefault="008D0565" w:rsidP="00D61F73">
      <w:pPr>
        <w:rPr>
          <w:rFonts w:ascii="Arial" w:hAnsi="Arial" w:cs="Arial"/>
        </w:rPr>
      </w:pPr>
    </w:p>
    <w:p w14:paraId="5D2F437F"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bookmarkStart w:id="702" w:name="Feuerstein2"/>
      <w:r w:rsidRPr="00D61F73">
        <w:rPr>
          <w:rFonts w:ascii="Arial" w:hAnsi="Arial" w:cs="Arial"/>
          <w:sz w:val="24"/>
          <w:szCs w:val="24"/>
        </w:rPr>
        <w:lastRenderedPageBreak/>
        <w:t>Feuerstein</w:t>
      </w:r>
      <w:bookmarkEnd w:id="702"/>
      <w:r w:rsidRPr="00D61F73">
        <w:rPr>
          <w:rFonts w:ascii="Arial" w:hAnsi="Arial" w:cs="Arial"/>
          <w:sz w:val="24"/>
          <w:szCs w:val="24"/>
        </w:rPr>
        <w:t xml:space="preserve"> TJ, Chronic pain treatment with antidepressants – Metaanalysis. </w:t>
      </w:r>
      <w:r w:rsidRPr="00D61F73">
        <w:rPr>
          <w:rFonts w:ascii="Arial" w:hAnsi="Arial" w:cs="Arial"/>
          <w:i/>
          <w:sz w:val="24"/>
          <w:szCs w:val="24"/>
        </w:rPr>
        <w:t>Schmerz.</w:t>
      </w:r>
      <w:r w:rsidRPr="00D61F73">
        <w:rPr>
          <w:rFonts w:ascii="Arial" w:hAnsi="Arial" w:cs="Arial"/>
          <w:sz w:val="24"/>
          <w:szCs w:val="24"/>
        </w:rPr>
        <w:t xml:space="preserve"> 1997 Jun 13;11(3):213-26.</w:t>
      </w:r>
    </w:p>
    <w:p w14:paraId="793D3AC5" w14:textId="77777777" w:rsidR="008D0565" w:rsidRPr="00D61F73" w:rsidRDefault="008D0565" w:rsidP="00D61F73">
      <w:pPr>
        <w:rPr>
          <w:rFonts w:ascii="Arial" w:hAnsi="Arial" w:cs="Arial"/>
        </w:rPr>
      </w:pPr>
    </w:p>
    <w:p w14:paraId="3D049D64" w14:textId="77777777" w:rsidR="008D0565" w:rsidRPr="00D61F73" w:rsidRDefault="008D0565" w:rsidP="00D61F73">
      <w:pPr>
        <w:rPr>
          <w:rFonts w:ascii="Arial" w:hAnsi="Arial" w:cs="Arial"/>
        </w:rPr>
      </w:pPr>
      <w:r w:rsidRPr="00D61F73">
        <w:rPr>
          <w:rFonts w:ascii="Arial" w:hAnsi="Arial" w:cs="Arial"/>
        </w:rPr>
        <w:t xml:space="preserve">Both preclinical and clinical evidence support the usefulness of antidepressants in chronic pain treatment. 57 Clinical trials were separated into 5 groups according to their scientific quality. The most effective antidepressants in chronic pain treatment only included unselective monoamine reuptake inhibitors in the following rank order: amitriptyline &gt; clomipramine &gt;/= desipramine &gt;/= imipramine &gt;/= doxepin. </w:t>
      </w:r>
    </w:p>
    <w:p w14:paraId="7516C8B0" w14:textId="77777777" w:rsidR="008D0565" w:rsidRPr="00D61F73" w:rsidRDefault="008D0565" w:rsidP="00D61F73">
      <w:pPr>
        <w:rPr>
          <w:rFonts w:ascii="Arial" w:hAnsi="Arial" w:cs="Arial"/>
        </w:rPr>
      </w:pPr>
    </w:p>
    <w:p w14:paraId="061DED18" w14:textId="77777777" w:rsidR="008D0565" w:rsidRPr="00D61F73" w:rsidRDefault="008D0565" w:rsidP="00D61F73">
      <w:pPr>
        <w:rPr>
          <w:rFonts w:ascii="Arial" w:hAnsi="Arial" w:cs="Arial"/>
        </w:rPr>
      </w:pPr>
      <w:r w:rsidRPr="00D61F73">
        <w:rPr>
          <w:rFonts w:ascii="Arial" w:hAnsi="Arial" w:cs="Arial"/>
        </w:rPr>
        <w:t xml:space="preserve">PMID: </w:t>
      </w:r>
      <w:hyperlink r:id="rId412" w:history="1">
        <w:r w:rsidRPr="00D61F73">
          <w:rPr>
            <w:rStyle w:val="Hyperlink"/>
            <w:rFonts w:ascii="Arial" w:hAnsi="Arial" w:cs="Arial"/>
          </w:rPr>
          <w:t>12799822</w:t>
        </w:r>
      </w:hyperlink>
      <w:r w:rsidRPr="00D61F73">
        <w:rPr>
          <w:rFonts w:ascii="Arial" w:hAnsi="Arial" w:cs="Arial"/>
        </w:rPr>
        <w:t xml:space="preserve"> </w:t>
      </w:r>
    </w:p>
    <w:p w14:paraId="451D6D96"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1501F25B"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1b</w:t>
      </w:r>
    </w:p>
    <w:p w14:paraId="06BB3EE4" w14:textId="77777777" w:rsidR="00492B38" w:rsidRPr="00D61F73" w:rsidRDefault="00492B38" w:rsidP="00D61F73">
      <w:pPr>
        <w:rPr>
          <w:rFonts w:ascii="Arial" w:hAnsi="Arial" w:cs="Arial"/>
          <w:b/>
        </w:rPr>
      </w:pPr>
      <w:r w:rsidRPr="00D61F73">
        <w:rPr>
          <w:rFonts w:ascii="Arial" w:hAnsi="Arial" w:cs="Arial"/>
        </w:rPr>
        <w:br w:type="page"/>
      </w:r>
      <w:bookmarkStart w:id="703" w:name="Frank2015"/>
      <w:r w:rsidRPr="00D61F73">
        <w:rPr>
          <w:rFonts w:ascii="Arial" w:hAnsi="Arial" w:cs="Arial"/>
          <w:b/>
        </w:rPr>
        <w:lastRenderedPageBreak/>
        <w:t>Frank D</w:t>
      </w:r>
      <w:bookmarkEnd w:id="703"/>
      <w:r w:rsidRPr="00D61F73">
        <w:rPr>
          <w:rFonts w:ascii="Arial" w:hAnsi="Arial" w:cs="Arial"/>
          <w:b/>
        </w:rPr>
        <w:t>, Mateu-Gelabert P, Guarino H, Bennett A, Wendel T, Jessell L, Teper A. High risk and little knowledge:</w:t>
      </w:r>
      <w:r w:rsidR="00BA381E" w:rsidRPr="00D61F73">
        <w:rPr>
          <w:rFonts w:ascii="Arial" w:hAnsi="Arial" w:cs="Arial"/>
          <w:b/>
        </w:rPr>
        <w:t xml:space="preserve"> </w:t>
      </w:r>
      <w:r w:rsidRPr="00D61F73">
        <w:rPr>
          <w:rFonts w:ascii="Arial" w:hAnsi="Arial" w:cs="Arial"/>
          <w:b/>
        </w:rPr>
        <w:t>overdose</w:t>
      </w:r>
      <w:r w:rsidR="00BA381E" w:rsidRPr="00D61F73">
        <w:rPr>
          <w:rFonts w:ascii="Arial" w:hAnsi="Arial" w:cs="Arial"/>
          <w:b/>
        </w:rPr>
        <w:t xml:space="preserve"> </w:t>
      </w:r>
      <w:r w:rsidRPr="00D61F73">
        <w:rPr>
          <w:rFonts w:ascii="Arial" w:hAnsi="Arial" w:cs="Arial"/>
          <w:b/>
        </w:rPr>
        <w:t>experiences and knowledge among young adult nonmedical prescription opioid users.</w:t>
      </w:r>
      <w:r w:rsidR="00BA381E" w:rsidRPr="00D61F73">
        <w:rPr>
          <w:rFonts w:ascii="Arial" w:hAnsi="Arial" w:cs="Arial"/>
          <w:b/>
        </w:rPr>
        <w:t xml:space="preserve"> </w:t>
      </w:r>
      <w:r w:rsidRPr="00D61F73">
        <w:rPr>
          <w:rFonts w:ascii="Arial" w:hAnsi="Arial" w:cs="Arial"/>
          <w:b/>
        </w:rPr>
        <w:t>Int J Drug Policy. 2015;26:84-91.</w:t>
      </w:r>
    </w:p>
    <w:p w14:paraId="58685C49" w14:textId="77777777" w:rsidR="00492B38" w:rsidRPr="00D61F73" w:rsidRDefault="00492B38" w:rsidP="00D61F73">
      <w:pPr>
        <w:rPr>
          <w:rFonts w:ascii="Arial" w:hAnsi="Arial" w:cs="Arial"/>
        </w:rPr>
      </w:pPr>
    </w:p>
    <w:p w14:paraId="36A943D9" w14:textId="77777777" w:rsidR="00492B38" w:rsidRPr="00D61F73" w:rsidRDefault="00492B38" w:rsidP="00D61F73">
      <w:pPr>
        <w:rPr>
          <w:rFonts w:ascii="Arial" w:hAnsi="Arial" w:cs="Arial"/>
        </w:rPr>
      </w:pPr>
      <w:r w:rsidRPr="00D61F73">
        <w:rPr>
          <w:rFonts w:ascii="Arial" w:hAnsi="Arial" w:cs="Arial"/>
        </w:rPr>
        <w:t>PMID:</w:t>
      </w:r>
      <w:r w:rsidR="002A18BE" w:rsidRPr="00D61F73">
        <w:rPr>
          <w:rFonts w:ascii="Arial" w:hAnsi="Arial" w:cs="Arial"/>
        </w:rPr>
        <w:t xml:space="preserve"> </w:t>
      </w:r>
      <w:hyperlink r:id="rId413" w:history="1">
        <w:r w:rsidRPr="00D61F73">
          <w:rPr>
            <w:rStyle w:val="Hyperlink"/>
            <w:rFonts w:ascii="Arial" w:hAnsi="Arial" w:cs="Arial"/>
          </w:rPr>
          <w:t>25151334</w:t>
        </w:r>
      </w:hyperlink>
    </w:p>
    <w:p w14:paraId="169CA1D1" w14:textId="77777777" w:rsidR="00492B38" w:rsidRPr="00D61F73" w:rsidRDefault="00492B38" w:rsidP="00D61F73">
      <w:pPr>
        <w:rPr>
          <w:rFonts w:ascii="Arial" w:hAnsi="Arial" w:cs="Arial"/>
        </w:rPr>
      </w:pPr>
    </w:p>
    <w:p w14:paraId="11F89B6E" w14:textId="77777777" w:rsidR="00492B38" w:rsidRPr="00D61F73" w:rsidRDefault="00492B38" w:rsidP="00D61F73">
      <w:pPr>
        <w:rPr>
          <w:rFonts w:ascii="Arial" w:hAnsi="Arial" w:cs="Arial"/>
        </w:rPr>
      </w:pPr>
      <w:r w:rsidRPr="00D61F73">
        <w:rPr>
          <w:rFonts w:ascii="Arial" w:hAnsi="Arial" w:cs="Arial"/>
        </w:rPr>
        <w:t>Rating: 11a</w:t>
      </w:r>
    </w:p>
    <w:p w14:paraId="096F8FE6" w14:textId="77777777" w:rsidR="00492B38" w:rsidRPr="00D61F73" w:rsidRDefault="00492B38" w:rsidP="00D61F73">
      <w:pPr>
        <w:rPr>
          <w:rFonts w:ascii="Arial" w:hAnsi="Arial" w:cs="Arial"/>
        </w:rPr>
      </w:pPr>
    </w:p>
    <w:p w14:paraId="17F0223B"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F</w:t>
      </w:r>
      <w:bookmarkStart w:id="704" w:name="Fredheim"/>
      <w:bookmarkEnd w:id="704"/>
      <w:r w:rsidRPr="00D61F73">
        <w:rPr>
          <w:rFonts w:ascii="Arial" w:hAnsi="Arial" w:cs="Arial"/>
          <w:b/>
        </w:rPr>
        <w:t xml:space="preserve">redheim OM, Moksnes K, Borchgrevink PC, Kaasa S, Dale O. Clinical pharmacology of methadone for pain. </w:t>
      </w:r>
      <w:r w:rsidRPr="00D61F73">
        <w:rPr>
          <w:rFonts w:ascii="Arial" w:hAnsi="Arial" w:cs="Arial"/>
          <w:b/>
          <w:i/>
        </w:rPr>
        <w:t>Acta Anaesthesiol Scand.</w:t>
      </w:r>
      <w:r w:rsidRPr="00D61F73">
        <w:rPr>
          <w:rFonts w:ascii="Arial" w:hAnsi="Arial" w:cs="Arial"/>
          <w:b/>
        </w:rPr>
        <w:t xml:space="preserve"> 2008 Mar 6; [Epub ahead of print].</w:t>
      </w:r>
    </w:p>
    <w:p w14:paraId="725DE355" w14:textId="77777777" w:rsidR="008D0565" w:rsidRPr="00D61F73" w:rsidRDefault="008D0565" w:rsidP="00D61F73">
      <w:pPr>
        <w:rPr>
          <w:rFonts w:ascii="Arial" w:hAnsi="Arial" w:cs="Arial"/>
        </w:rPr>
      </w:pPr>
    </w:p>
    <w:p w14:paraId="16E73309" w14:textId="77777777" w:rsidR="008D0565" w:rsidRPr="00D61F73" w:rsidRDefault="008D0565" w:rsidP="00D61F73">
      <w:pPr>
        <w:rPr>
          <w:rFonts w:ascii="Arial" w:hAnsi="Arial" w:cs="Arial"/>
        </w:rPr>
      </w:pPr>
      <w:r w:rsidRPr="00D61F73">
        <w:rPr>
          <w:rFonts w:ascii="Arial" w:hAnsi="Arial" w:cs="Arial"/>
        </w:rPr>
        <w:t xml:space="preserve">Conclusion: In spite of challenges related to the variable pharmacokinetics and concerns regarding increase in QTc time, current evidence indicates that opioid switching to methadone improves pain control in a substantial proportion of patients who are candidates for opioid switching. </w:t>
      </w:r>
    </w:p>
    <w:p w14:paraId="3E9D9D30" w14:textId="77777777" w:rsidR="008D0565" w:rsidRPr="00D61F73" w:rsidRDefault="008D0565" w:rsidP="00D61F73">
      <w:pPr>
        <w:rPr>
          <w:rFonts w:ascii="Arial" w:hAnsi="Arial" w:cs="Arial"/>
        </w:rPr>
      </w:pPr>
    </w:p>
    <w:p w14:paraId="3FA407C4" w14:textId="77777777" w:rsidR="008D0565" w:rsidRPr="00D61F73" w:rsidRDefault="008D0565" w:rsidP="00D61F73">
      <w:pPr>
        <w:rPr>
          <w:rFonts w:ascii="Arial" w:hAnsi="Arial" w:cs="Arial"/>
        </w:rPr>
      </w:pPr>
      <w:r w:rsidRPr="00D61F73">
        <w:rPr>
          <w:rFonts w:ascii="Arial" w:hAnsi="Arial" w:cs="Arial"/>
        </w:rPr>
        <w:t xml:space="preserve">PMID: </w:t>
      </w:r>
      <w:hyperlink r:id="rId414" w:history="1">
        <w:r w:rsidRPr="00D61F73">
          <w:rPr>
            <w:rStyle w:val="Hyperlink"/>
            <w:rFonts w:ascii="Arial" w:hAnsi="Arial" w:cs="Arial"/>
          </w:rPr>
          <w:t>18331375</w:t>
        </w:r>
      </w:hyperlink>
      <w:r w:rsidRPr="00D61F73">
        <w:rPr>
          <w:rFonts w:ascii="Arial" w:hAnsi="Arial" w:cs="Arial"/>
        </w:rPr>
        <w:t xml:space="preserve"> </w:t>
      </w:r>
    </w:p>
    <w:p w14:paraId="12CAAF11" w14:textId="77777777" w:rsidR="008D0565" w:rsidRPr="00D61F73" w:rsidRDefault="008D0565" w:rsidP="00D61F73">
      <w:pPr>
        <w:rPr>
          <w:rFonts w:ascii="Arial" w:hAnsi="Arial" w:cs="Arial"/>
        </w:rPr>
      </w:pPr>
    </w:p>
    <w:p w14:paraId="04AACFE2" w14:textId="77777777" w:rsidR="008D0565" w:rsidRPr="00D61F73" w:rsidRDefault="008D0565" w:rsidP="00D61F73">
      <w:pPr>
        <w:rPr>
          <w:rFonts w:ascii="Arial" w:hAnsi="Arial" w:cs="Arial"/>
        </w:rPr>
      </w:pPr>
      <w:r w:rsidRPr="00D61F73">
        <w:rPr>
          <w:rFonts w:ascii="Arial" w:hAnsi="Arial" w:cs="Arial"/>
        </w:rPr>
        <w:t>Rating: 1c</w:t>
      </w:r>
    </w:p>
    <w:p w14:paraId="27F5C72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F</w:t>
      </w:r>
      <w:bookmarkStart w:id="705" w:name="Freeman"/>
      <w:bookmarkEnd w:id="705"/>
      <w:r w:rsidRPr="00D61F73">
        <w:rPr>
          <w:rFonts w:ascii="Arial" w:hAnsi="Arial" w:cs="Arial"/>
          <w:b/>
          <w:bCs/>
        </w:rPr>
        <w:t>reeman R, Durso-Decruz E, Emir B. Efficacy, safety and tolerability of pregabalin treatment of painful diabetic peripheral neuropathy: findings from 7 randomized, controlled trials across a range of doses. Diabetes Care. 2008 Mar 20 [Epub ahead of print].</w:t>
      </w:r>
    </w:p>
    <w:p w14:paraId="1AE4EF0B" w14:textId="77777777" w:rsidR="008D0565" w:rsidRPr="00D61F73" w:rsidRDefault="008D0565" w:rsidP="00D61F73">
      <w:pPr>
        <w:rPr>
          <w:rFonts w:ascii="Arial" w:hAnsi="Arial" w:cs="Arial"/>
        </w:rPr>
      </w:pPr>
    </w:p>
    <w:p w14:paraId="5BB3395C" w14:textId="77777777" w:rsidR="008D0565" w:rsidRPr="00D61F73" w:rsidRDefault="008D0565" w:rsidP="00D61F73">
      <w:pPr>
        <w:rPr>
          <w:rFonts w:ascii="Arial" w:hAnsi="Arial" w:cs="Arial"/>
        </w:rPr>
      </w:pPr>
      <w:r w:rsidRPr="00D61F73">
        <w:rPr>
          <w:rFonts w:ascii="Arial" w:hAnsi="Arial" w:cs="Arial"/>
        </w:rPr>
        <w:t>CONCLUSIONS Treatment with pregabalin across its effective dosing range is associated with significant, dose-related improvement in pain in patients with DPN.</w:t>
      </w:r>
    </w:p>
    <w:p w14:paraId="05AC5964" w14:textId="77777777" w:rsidR="008D0565" w:rsidRPr="00D61F73" w:rsidRDefault="008D0565" w:rsidP="00D61F73">
      <w:pPr>
        <w:rPr>
          <w:rFonts w:ascii="Arial" w:hAnsi="Arial" w:cs="Arial"/>
        </w:rPr>
      </w:pPr>
    </w:p>
    <w:p w14:paraId="3FEDF212" w14:textId="77777777" w:rsidR="008D0565" w:rsidRPr="00D61F73" w:rsidRDefault="008D0565" w:rsidP="00D61F73">
      <w:pPr>
        <w:rPr>
          <w:rFonts w:ascii="Arial" w:hAnsi="Arial" w:cs="Arial"/>
        </w:rPr>
      </w:pPr>
      <w:r w:rsidRPr="00D61F73">
        <w:rPr>
          <w:rFonts w:ascii="Arial" w:hAnsi="Arial" w:cs="Arial"/>
        </w:rPr>
        <w:t xml:space="preserve">PMID: </w:t>
      </w:r>
      <w:hyperlink r:id="rId415" w:history="1">
        <w:r w:rsidRPr="00D61F73">
          <w:rPr>
            <w:rStyle w:val="Hyperlink"/>
            <w:rFonts w:ascii="Arial" w:hAnsi="Arial" w:cs="Arial"/>
          </w:rPr>
          <w:t>18356405</w:t>
        </w:r>
      </w:hyperlink>
      <w:r w:rsidRPr="00D61F73">
        <w:rPr>
          <w:rFonts w:ascii="Arial" w:hAnsi="Arial" w:cs="Arial"/>
        </w:rPr>
        <w:t xml:space="preserve"> </w:t>
      </w:r>
    </w:p>
    <w:p w14:paraId="266C84D7" w14:textId="77777777" w:rsidR="008D0565" w:rsidRPr="00D61F73" w:rsidRDefault="008D0565" w:rsidP="00D61F73">
      <w:pPr>
        <w:rPr>
          <w:rFonts w:ascii="Arial" w:hAnsi="Arial" w:cs="Arial"/>
        </w:rPr>
      </w:pPr>
    </w:p>
    <w:p w14:paraId="2C30FFF4" w14:textId="77777777" w:rsidR="008D0565" w:rsidRPr="00D61F73" w:rsidRDefault="008D0565" w:rsidP="00D61F73">
      <w:pPr>
        <w:rPr>
          <w:rFonts w:ascii="Arial" w:hAnsi="Arial" w:cs="Arial"/>
        </w:rPr>
      </w:pPr>
      <w:r w:rsidRPr="00D61F73">
        <w:rPr>
          <w:rFonts w:ascii="Arial" w:hAnsi="Arial" w:cs="Arial"/>
        </w:rPr>
        <w:t>Rating: 1b</w:t>
      </w:r>
    </w:p>
    <w:p w14:paraId="6ED7F0EE" w14:textId="77777777" w:rsidR="008D0565" w:rsidRPr="00D61F73" w:rsidRDefault="008D0565" w:rsidP="00D61F73">
      <w:pPr>
        <w:rPr>
          <w:rFonts w:ascii="Arial" w:hAnsi="Arial" w:cs="Arial"/>
        </w:rPr>
      </w:pPr>
    </w:p>
    <w:p w14:paraId="6D42CAA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F</w:t>
      </w:r>
      <w:bookmarkStart w:id="706" w:name="Friedman"/>
      <w:bookmarkEnd w:id="706"/>
      <w:r w:rsidRPr="00D61F73">
        <w:rPr>
          <w:rFonts w:ascii="Arial" w:hAnsi="Arial" w:cs="Arial"/>
          <w:b/>
          <w:bCs/>
        </w:rPr>
        <w:t xml:space="preserve">riedman AP, DiSerio FJ. Symptomatic treatment of chronically recurring tension headache: a placebo-controlled, multicenter investigation of Fioricet and acetaminophen with codeine. </w:t>
      </w:r>
      <w:r w:rsidRPr="00D61F73">
        <w:rPr>
          <w:rFonts w:ascii="Arial" w:hAnsi="Arial" w:cs="Arial"/>
          <w:b/>
          <w:bCs/>
          <w:i/>
          <w:iCs/>
        </w:rPr>
        <w:t>Clin Ther.</w:t>
      </w:r>
      <w:r w:rsidRPr="00D61F73">
        <w:rPr>
          <w:rFonts w:ascii="Arial" w:hAnsi="Arial" w:cs="Arial"/>
          <w:b/>
          <w:bCs/>
        </w:rPr>
        <w:t xml:space="preserve"> 1987;10(1):69-81.</w:t>
      </w:r>
    </w:p>
    <w:p w14:paraId="3664592E" w14:textId="77777777" w:rsidR="008D0565" w:rsidRPr="00D61F73" w:rsidRDefault="008D0565" w:rsidP="00D61F73">
      <w:pPr>
        <w:pStyle w:val="Footer"/>
        <w:tabs>
          <w:tab w:val="clear" w:pos="4320"/>
          <w:tab w:val="clear" w:pos="8640"/>
        </w:tabs>
        <w:rPr>
          <w:rFonts w:ascii="Arial" w:hAnsi="Arial" w:cs="Arial"/>
        </w:rPr>
      </w:pPr>
    </w:p>
    <w:p w14:paraId="42BE19B2" w14:textId="77777777" w:rsidR="008D0565" w:rsidRPr="00D61F73" w:rsidRDefault="008D0565" w:rsidP="00D61F73">
      <w:pPr>
        <w:rPr>
          <w:rFonts w:ascii="Arial" w:hAnsi="Arial" w:cs="Arial"/>
        </w:rPr>
      </w:pPr>
      <w:r w:rsidRPr="00D61F73">
        <w:rPr>
          <w:rFonts w:ascii="Arial" w:hAnsi="Arial" w:cs="Arial"/>
        </w:rPr>
        <w:t xml:space="preserve">Fioricet, but not acetaminophen with codeine, was significantly better than placebo in alleviating emotional or psychic tension; Fioricet was also significantly better than acetaminophen with codeine in relieving this symptom. </w:t>
      </w:r>
    </w:p>
    <w:p w14:paraId="11EC8F4B" w14:textId="77777777" w:rsidR="008D0565" w:rsidRPr="00D61F73" w:rsidRDefault="008D0565" w:rsidP="00D61F73">
      <w:pPr>
        <w:rPr>
          <w:rFonts w:ascii="Arial" w:hAnsi="Arial" w:cs="Arial"/>
        </w:rPr>
      </w:pPr>
    </w:p>
    <w:p w14:paraId="3B41EA9E" w14:textId="77777777" w:rsidR="008D0565" w:rsidRPr="00D61F73" w:rsidRDefault="008D0565" w:rsidP="00D61F73">
      <w:pPr>
        <w:rPr>
          <w:rFonts w:ascii="Arial" w:hAnsi="Arial" w:cs="Arial"/>
        </w:rPr>
      </w:pPr>
      <w:r w:rsidRPr="00D61F73">
        <w:rPr>
          <w:rFonts w:ascii="Arial" w:hAnsi="Arial" w:cs="Arial"/>
        </w:rPr>
        <w:t xml:space="preserve">PMID: </w:t>
      </w:r>
      <w:hyperlink r:id="rId416" w:history="1">
        <w:r w:rsidRPr="00D61F73">
          <w:rPr>
            <w:rStyle w:val="Hyperlink"/>
            <w:rFonts w:ascii="Arial" w:hAnsi="Arial" w:cs="Arial"/>
          </w:rPr>
          <w:t>3329967</w:t>
        </w:r>
      </w:hyperlink>
    </w:p>
    <w:p w14:paraId="6AD275FB" w14:textId="77777777" w:rsidR="008D0565" w:rsidRPr="00D61F73" w:rsidRDefault="008D0565" w:rsidP="00D61F73">
      <w:pPr>
        <w:rPr>
          <w:rFonts w:ascii="Arial" w:hAnsi="Arial" w:cs="Arial"/>
        </w:rPr>
      </w:pPr>
    </w:p>
    <w:p w14:paraId="2704FC12" w14:textId="77777777" w:rsidR="008D0565" w:rsidRPr="00D61F73" w:rsidRDefault="008D0565" w:rsidP="00D61F73">
      <w:pPr>
        <w:rPr>
          <w:rFonts w:ascii="Arial" w:hAnsi="Arial" w:cs="Arial"/>
        </w:rPr>
      </w:pPr>
      <w:r w:rsidRPr="00D61F73">
        <w:rPr>
          <w:rFonts w:ascii="Arial" w:hAnsi="Arial" w:cs="Arial"/>
        </w:rPr>
        <w:t>Rating: 2b</w:t>
      </w:r>
    </w:p>
    <w:p w14:paraId="054708F2" w14:textId="77777777" w:rsidR="00871C57" w:rsidRPr="00D61F73" w:rsidRDefault="00871C57" w:rsidP="00D61F73">
      <w:pPr>
        <w:rPr>
          <w:rStyle w:val="page"/>
          <w:rFonts w:ascii="Arial" w:hAnsi="Arial" w:cs="Arial"/>
          <w:b/>
          <w:lang w:val="en"/>
        </w:rPr>
      </w:pPr>
      <w:r w:rsidRPr="00D61F73">
        <w:rPr>
          <w:rFonts w:ascii="Arial" w:hAnsi="Arial" w:cs="Arial"/>
        </w:rPr>
        <w:br w:type="page"/>
      </w:r>
      <w:bookmarkStart w:id="707" w:name="Friedman2013"/>
      <w:bookmarkEnd w:id="707"/>
      <w:r w:rsidR="004339A2" w:rsidRPr="00D61F73">
        <w:rPr>
          <w:rFonts w:ascii="Arial" w:hAnsi="Arial" w:cs="Arial"/>
          <w:b/>
        </w:rPr>
        <w:lastRenderedPageBreak/>
        <w:fldChar w:fldCharType="begin"/>
      </w:r>
      <w:r w:rsidR="004339A2" w:rsidRPr="00D61F73">
        <w:rPr>
          <w:rFonts w:ascii="Arial" w:hAnsi="Arial" w:cs="Arial"/>
          <w:b/>
        </w:rPr>
        <w:instrText xml:space="preserve"> HYPERLINK "http://focus.psychiatryonline.org/doi/abs/10.1176/appi.focus.11.3.315" </w:instrText>
      </w:r>
      <w:r w:rsidR="004339A2" w:rsidRPr="00D61F73">
        <w:rPr>
          <w:rFonts w:ascii="Arial" w:hAnsi="Arial" w:cs="Arial"/>
          <w:b/>
        </w:rPr>
        <w:fldChar w:fldCharType="separate"/>
      </w:r>
      <w:r w:rsidRPr="00D61F73">
        <w:rPr>
          <w:rStyle w:val="Hyperlink"/>
          <w:rFonts w:ascii="Arial" w:hAnsi="Arial" w:cs="Arial"/>
          <w:b/>
        </w:rPr>
        <w:t>Friedman MJ.</w:t>
      </w:r>
      <w:r w:rsidR="004339A2" w:rsidRPr="00D61F73">
        <w:rPr>
          <w:rFonts w:ascii="Arial" w:hAnsi="Arial" w:cs="Arial"/>
          <w:b/>
        </w:rPr>
        <w:fldChar w:fldCharType="end"/>
      </w:r>
      <w:r w:rsidRPr="00D61F73">
        <w:rPr>
          <w:rFonts w:ascii="Arial" w:hAnsi="Arial" w:cs="Arial"/>
          <w:b/>
        </w:rPr>
        <w:t xml:space="preserve"> PTSD: Pharmacotherapeutic Approaches.</w:t>
      </w:r>
      <w:r w:rsidRPr="00D61F73">
        <w:rPr>
          <w:rStyle w:val="journalname"/>
          <w:rFonts w:ascii="Arial" w:hAnsi="Arial" w:cs="Arial"/>
          <w:b/>
          <w:lang w:val="en"/>
        </w:rPr>
        <w:t xml:space="preserve"> </w:t>
      </w:r>
      <w:r w:rsidRPr="00D61F73">
        <w:rPr>
          <w:rStyle w:val="journalname"/>
          <w:rFonts w:ascii="Arial" w:hAnsi="Arial" w:cs="Arial"/>
          <w:b/>
          <w:i/>
          <w:lang w:val="en"/>
        </w:rPr>
        <w:t>Focus.</w:t>
      </w:r>
      <w:r w:rsidRPr="00D61F73">
        <w:rPr>
          <w:rFonts w:ascii="Arial" w:hAnsi="Arial" w:cs="Arial"/>
          <w:b/>
          <w:lang w:val="en"/>
        </w:rPr>
        <w:t xml:space="preserve"> </w:t>
      </w:r>
      <w:r w:rsidRPr="00D61F73">
        <w:rPr>
          <w:rStyle w:val="year"/>
          <w:rFonts w:ascii="Arial" w:hAnsi="Arial" w:cs="Arial"/>
          <w:b/>
          <w:lang w:val="en"/>
        </w:rPr>
        <w:t>2013;</w:t>
      </w:r>
      <w:r w:rsidRPr="00D61F73">
        <w:rPr>
          <w:rStyle w:val="volume"/>
          <w:rFonts w:ascii="Arial" w:hAnsi="Arial" w:cs="Arial"/>
          <w:b/>
          <w:lang w:val="en"/>
        </w:rPr>
        <w:t>11</w:t>
      </w:r>
      <w:r w:rsidRPr="00D61F73">
        <w:rPr>
          <w:rFonts w:ascii="Arial" w:hAnsi="Arial" w:cs="Arial"/>
          <w:b/>
          <w:lang w:val="en"/>
        </w:rPr>
        <w:t>(</w:t>
      </w:r>
      <w:r w:rsidRPr="00D61F73">
        <w:rPr>
          <w:rStyle w:val="issue3"/>
          <w:rFonts w:ascii="Arial" w:hAnsi="Arial" w:cs="Arial"/>
          <w:b/>
          <w:lang w:val="en"/>
        </w:rPr>
        <w:t>3</w:t>
      </w:r>
      <w:r w:rsidRPr="00D61F73">
        <w:rPr>
          <w:rFonts w:ascii="Arial" w:hAnsi="Arial" w:cs="Arial"/>
          <w:b/>
          <w:lang w:val="en"/>
        </w:rPr>
        <w:t>):</w:t>
      </w:r>
      <w:r w:rsidRPr="00D61F73">
        <w:rPr>
          <w:rStyle w:val="page"/>
          <w:rFonts w:ascii="Arial" w:hAnsi="Arial" w:cs="Arial"/>
          <w:b/>
          <w:lang w:val="en"/>
        </w:rPr>
        <w:t>315-320.</w:t>
      </w:r>
    </w:p>
    <w:p w14:paraId="112EED8E" w14:textId="77777777" w:rsidR="002A4684" w:rsidRPr="00D61F73" w:rsidRDefault="002A4684" w:rsidP="00D61F73">
      <w:pPr>
        <w:rPr>
          <w:rStyle w:val="page"/>
          <w:rFonts w:ascii="Arial" w:hAnsi="Arial" w:cs="Arial"/>
          <w:b/>
          <w:lang w:val="en"/>
        </w:rPr>
      </w:pPr>
    </w:p>
    <w:p w14:paraId="505C188F" w14:textId="77777777" w:rsidR="002A4684" w:rsidRPr="00D61F73" w:rsidRDefault="002A4684" w:rsidP="00D61F73">
      <w:pPr>
        <w:rPr>
          <w:rFonts w:ascii="Arial" w:hAnsi="Arial" w:cs="Arial"/>
        </w:rPr>
      </w:pPr>
      <w:r w:rsidRPr="00D61F73">
        <w:rPr>
          <w:rStyle w:val="page"/>
          <w:rFonts w:ascii="Arial" w:hAnsi="Arial" w:cs="Arial"/>
          <w:lang w:val="en"/>
        </w:rPr>
        <w:t>Rating: 8a</w:t>
      </w:r>
    </w:p>
    <w:p w14:paraId="7826F3B9" w14:textId="77777777" w:rsidR="00871C57" w:rsidRPr="00D61F73" w:rsidRDefault="00871C57" w:rsidP="00D61F73">
      <w:pPr>
        <w:rPr>
          <w:rFonts w:ascii="Arial" w:hAnsi="Arial" w:cs="Arial"/>
        </w:rPr>
      </w:pPr>
    </w:p>
    <w:p w14:paraId="0960EEE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F</w:t>
      </w:r>
      <w:bookmarkStart w:id="708" w:name="Fritz"/>
      <w:bookmarkEnd w:id="708"/>
      <w:r w:rsidRPr="00D61F73">
        <w:rPr>
          <w:rFonts w:ascii="Arial" w:hAnsi="Arial" w:cs="Arial"/>
          <w:b/>
          <w:bCs/>
        </w:rPr>
        <w:t xml:space="preserve">ritz JM, Cleland JA, Brennan GP. Does adherence to the guideline recommendation for active treatments improve the quality of care for patients with acute low back pain delivered by physical therapists? </w:t>
      </w:r>
      <w:r w:rsidRPr="00D61F73">
        <w:rPr>
          <w:rFonts w:ascii="Arial" w:hAnsi="Arial" w:cs="Arial"/>
          <w:b/>
          <w:bCs/>
          <w:i/>
          <w:iCs/>
        </w:rPr>
        <w:t>Med Care.</w:t>
      </w:r>
      <w:r w:rsidRPr="00D61F73">
        <w:rPr>
          <w:rFonts w:ascii="Arial" w:hAnsi="Arial" w:cs="Arial"/>
          <w:b/>
          <w:bCs/>
        </w:rPr>
        <w:t xml:space="preserve"> 2007 Oct;45(10):973-80.</w:t>
      </w:r>
    </w:p>
    <w:p w14:paraId="66B8EC27" w14:textId="77777777" w:rsidR="008D0565" w:rsidRPr="00D61F73" w:rsidRDefault="008D0565" w:rsidP="00D61F73">
      <w:pPr>
        <w:rPr>
          <w:rFonts w:ascii="Arial" w:hAnsi="Arial" w:cs="Arial"/>
        </w:rPr>
      </w:pPr>
    </w:p>
    <w:p w14:paraId="5F4879C5" w14:textId="77777777" w:rsidR="008D0565" w:rsidRPr="00D61F73" w:rsidRDefault="008D0565" w:rsidP="00D61F73">
      <w:pPr>
        <w:rPr>
          <w:rFonts w:ascii="Arial" w:hAnsi="Arial" w:cs="Arial"/>
        </w:rPr>
      </w:pPr>
      <w:r w:rsidRPr="00D61F73">
        <w:rPr>
          <w:rFonts w:ascii="Arial" w:hAnsi="Arial" w:cs="Arial"/>
        </w:rPr>
        <w:t>CONCLUSIONS: Adherence to the guideline recommendation for active care was associated with better clinical outcomes and reduced cost.</w:t>
      </w:r>
    </w:p>
    <w:p w14:paraId="7A746017" w14:textId="77777777" w:rsidR="008D0565" w:rsidRPr="00D61F73" w:rsidRDefault="008D0565" w:rsidP="00D61F73">
      <w:pPr>
        <w:rPr>
          <w:rFonts w:ascii="Arial" w:hAnsi="Arial" w:cs="Arial"/>
        </w:rPr>
      </w:pPr>
    </w:p>
    <w:p w14:paraId="5D975747" w14:textId="77777777" w:rsidR="008D0565" w:rsidRPr="00D61F73" w:rsidRDefault="008D0565" w:rsidP="00D61F73">
      <w:pPr>
        <w:rPr>
          <w:rFonts w:ascii="Arial" w:hAnsi="Arial" w:cs="Arial"/>
        </w:rPr>
      </w:pPr>
      <w:r w:rsidRPr="00D61F73">
        <w:rPr>
          <w:rFonts w:ascii="Arial" w:hAnsi="Arial" w:cs="Arial"/>
        </w:rPr>
        <w:t xml:space="preserve">PMID: </w:t>
      </w:r>
      <w:hyperlink r:id="rId417" w:history="1">
        <w:r w:rsidRPr="00D61F73">
          <w:rPr>
            <w:rStyle w:val="Hyperlink"/>
            <w:rFonts w:ascii="Arial" w:hAnsi="Arial" w:cs="Arial"/>
          </w:rPr>
          <w:t>17890995</w:t>
        </w:r>
      </w:hyperlink>
      <w:r w:rsidRPr="00D61F73">
        <w:rPr>
          <w:rFonts w:ascii="Arial" w:hAnsi="Arial" w:cs="Arial"/>
        </w:rPr>
        <w:t xml:space="preserve"> </w:t>
      </w:r>
    </w:p>
    <w:p w14:paraId="11FC21A0" w14:textId="77777777" w:rsidR="008D0565" w:rsidRPr="00D61F73" w:rsidRDefault="008D0565" w:rsidP="00D61F73">
      <w:pPr>
        <w:rPr>
          <w:rFonts w:ascii="Arial" w:hAnsi="Arial" w:cs="Arial"/>
        </w:rPr>
      </w:pPr>
    </w:p>
    <w:p w14:paraId="10A2C102"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4a</w:t>
      </w:r>
    </w:p>
    <w:p w14:paraId="4ED320F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F</w:t>
      </w:r>
      <w:bookmarkStart w:id="709" w:name="Frost"/>
      <w:bookmarkEnd w:id="709"/>
      <w:r w:rsidRPr="00D61F73">
        <w:rPr>
          <w:rFonts w:ascii="Arial" w:hAnsi="Arial" w:cs="Arial"/>
          <w:b/>
        </w:rPr>
        <w:t xml:space="preserve">rost H, Lamb SE, Klaber Moffett JA, Fairbank JC, Moser JS. A fitness programme for patients with chronic low back pain: 2-year follow-up of a randomised controlled trial. </w:t>
      </w:r>
      <w:r w:rsidRPr="00D61F73">
        <w:rPr>
          <w:rFonts w:ascii="Arial" w:hAnsi="Arial" w:cs="Arial"/>
          <w:b/>
          <w:i/>
        </w:rPr>
        <w:t>Pain.</w:t>
      </w:r>
      <w:r w:rsidRPr="00D61F73">
        <w:rPr>
          <w:rFonts w:ascii="Arial" w:hAnsi="Arial" w:cs="Arial"/>
          <w:b/>
        </w:rPr>
        <w:t xml:space="preserve"> 1998;75:273-9.</w:t>
      </w:r>
    </w:p>
    <w:p w14:paraId="14A3DF19" w14:textId="77777777" w:rsidR="008D0565" w:rsidRPr="00D61F73" w:rsidRDefault="008D0565" w:rsidP="00D61F73">
      <w:pPr>
        <w:rPr>
          <w:rFonts w:ascii="Arial" w:hAnsi="Arial" w:cs="Arial"/>
          <w:b/>
        </w:rPr>
      </w:pPr>
    </w:p>
    <w:p w14:paraId="6DB28D3C" w14:textId="77777777" w:rsidR="008D0565" w:rsidRPr="00D61F73" w:rsidRDefault="008D0565" w:rsidP="00D61F73">
      <w:pPr>
        <w:rPr>
          <w:rFonts w:ascii="Arial" w:hAnsi="Arial" w:cs="Arial"/>
        </w:rPr>
      </w:pPr>
      <w:r w:rsidRPr="00D61F73">
        <w:rPr>
          <w:rFonts w:ascii="Arial" w:hAnsi="Arial" w:cs="Arial"/>
        </w:rPr>
        <w:t xml:space="preserve">Between group comparisons demonstrated a statistically significant difference in disability scores between the treatment and control group (mean difference 5.8, 95% confidence interval 0.3, 11.4 P &lt; 0.04). </w:t>
      </w:r>
    </w:p>
    <w:p w14:paraId="75E117C0" w14:textId="77777777" w:rsidR="008D0565" w:rsidRPr="00D61F73" w:rsidRDefault="008D0565" w:rsidP="00D61F73">
      <w:pPr>
        <w:rPr>
          <w:rFonts w:ascii="Arial" w:hAnsi="Arial" w:cs="Arial"/>
        </w:rPr>
      </w:pPr>
    </w:p>
    <w:p w14:paraId="575922C0" w14:textId="77777777" w:rsidR="008D0565" w:rsidRPr="00D61F73" w:rsidRDefault="008D0565" w:rsidP="00D61F73">
      <w:pPr>
        <w:rPr>
          <w:rFonts w:ascii="Arial" w:hAnsi="Arial" w:cs="Arial"/>
        </w:rPr>
      </w:pPr>
      <w:r w:rsidRPr="00D61F73">
        <w:rPr>
          <w:rFonts w:ascii="Arial" w:hAnsi="Arial" w:cs="Arial"/>
        </w:rPr>
        <w:t xml:space="preserve">PMID: </w:t>
      </w:r>
      <w:hyperlink r:id="rId418" w:history="1">
        <w:r w:rsidRPr="00D61F73">
          <w:rPr>
            <w:rStyle w:val="Hyperlink"/>
            <w:rFonts w:ascii="Arial" w:hAnsi="Arial" w:cs="Arial"/>
          </w:rPr>
          <w:t>9583763</w:t>
        </w:r>
      </w:hyperlink>
    </w:p>
    <w:p w14:paraId="1196FF49" w14:textId="77777777" w:rsidR="008D0565" w:rsidRPr="00D61F73" w:rsidRDefault="008D0565" w:rsidP="00D61F73">
      <w:pPr>
        <w:rPr>
          <w:rFonts w:ascii="Arial" w:hAnsi="Arial" w:cs="Arial"/>
        </w:rPr>
      </w:pPr>
    </w:p>
    <w:p w14:paraId="68CC5DB2" w14:textId="77777777" w:rsidR="008D0565" w:rsidRPr="00D61F73" w:rsidRDefault="008D0565" w:rsidP="00D61F73">
      <w:pPr>
        <w:rPr>
          <w:rFonts w:ascii="Arial" w:hAnsi="Arial" w:cs="Arial"/>
        </w:rPr>
      </w:pPr>
      <w:r w:rsidRPr="00D61F73">
        <w:rPr>
          <w:rFonts w:ascii="Arial" w:hAnsi="Arial" w:cs="Arial"/>
        </w:rPr>
        <w:t>Rating: 2c</w:t>
      </w:r>
    </w:p>
    <w:p w14:paraId="03336F20" w14:textId="77777777" w:rsidR="008D0565" w:rsidRPr="00D61F73" w:rsidRDefault="008D0565" w:rsidP="00D61F73">
      <w:pPr>
        <w:rPr>
          <w:rFonts w:ascii="Arial" w:hAnsi="Arial" w:cs="Arial"/>
          <w:b/>
          <w:bCs/>
        </w:rPr>
      </w:pPr>
      <w:r w:rsidRPr="00D61F73">
        <w:rPr>
          <w:rFonts w:ascii="Arial" w:hAnsi="Arial" w:cs="Arial"/>
        </w:rPr>
        <w:br w:type="page"/>
      </w:r>
      <w:bookmarkStart w:id="710" w:name="Furlan"/>
      <w:r w:rsidRPr="00D61F73">
        <w:rPr>
          <w:rFonts w:ascii="Arial" w:hAnsi="Arial" w:cs="Arial"/>
          <w:b/>
          <w:bCs/>
        </w:rPr>
        <w:lastRenderedPageBreak/>
        <w:t xml:space="preserve">Furlan </w:t>
      </w:r>
      <w:bookmarkEnd w:id="710"/>
      <w:r w:rsidRPr="00D61F73">
        <w:rPr>
          <w:rFonts w:ascii="Arial" w:hAnsi="Arial" w:cs="Arial"/>
          <w:b/>
          <w:bCs/>
        </w:rPr>
        <w:t xml:space="preserve">AD, Sandoval JAS, Mailis A. Spinal cord stimulation for chronic pain (Protocol for a Cochrane Review). In: </w:t>
      </w:r>
      <w:r w:rsidRPr="00D61F73">
        <w:rPr>
          <w:rFonts w:ascii="Arial" w:hAnsi="Arial" w:cs="Arial"/>
          <w:b/>
          <w:bCs/>
          <w:i/>
          <w:iCs/>
        </w:rPr>
        <w:t>The Cochrane Library</w:t>
      </w:r>
      <w:r w:rsidRPr="00D61F73">
        <w:rPr>
          <w:rFonts w:ascii="Arial" w:hAnsi="Arial" w:cs="Arial"/>
          <w:b/>
          <w:bCs/>
        </w:rPr>
        <w:t>, Issue 1, 2004. Chichester, UK: John Wiley &amp; Sons, Ltd.</w:t>
      </w:r>
    </w:p>
    <w:p w14:paraId="673AE2F5" w14:textId="77777777" w:rsidR="008D0565" w:rsidRPr="00D61F73" w:rsidRDefault="008D0565" w:rsidP="00D61F73">
      <w:pPr>
        <w:rPr>
          <w:rFonts w:ascii="Arial" w:hAnsi="Arial" w:cs="Arial"/>
        </w:rPr>
      </w:pPr>
    </w:p>
    <w:p w14:paraId="5921C405" w14:textId="77777777" w:rsidR="008D0565" w:rsidRPr="00D61F73" w:rsidRDefault="008D0565" w:rsidP="00D61F73">
      <w:pPr>
        <w:rPr>
          <w:rFonts w:ascii="Arial" w:hAnsi="Arial" w:cs="Arial"/>
        </w:rPr>
      </w:pPr>
      <w:r w:rsidRPr="00D61F73">
        <w:rPr>
          <w:rFonts w:ascii="Arial" w:hAnsi="Arial" w:cs="Arial"/>
        </w:rPr>
        <w:t>Spinal Cord Stimulation (SCS), first called Dorsal Column Stimulation (DCS), is a treatment that has been used for more than 30 years, but only in the past five years has it met with widespread acceptance and recognition by the medical community. In the first decade after its introduction, SCS was extensively practiced and applied to wide spectrum of pain diagnoses, probably indiscriminately. The results at follow-up were poor and the method soon fell in disrepute. As a result, in the late 1970s and 1980s SCS was, at least in the United States, still used in only few specialized pain centers. In Europe, SCS was not introduced until the early 1970s and then practiced to a very limited extent. In the last decade there has been growing awareness that SCS is a reasonably effective therapy for many patients suffering from neuropathic pain for which there is no alternative therapy. There are several reasons for this development, the principal one being that the indications have been more clearly identified. The enhanced design of electrodes, leads, and receivers/stimulators has substantially decreased the incidence of reoperations for device failure. Further, the introduction of the percutaneous electrode implantation has enabled trial stimulation, which is now commonly recognized as an indispensable step in assessing whether the treatment is appropriate for individual patients. SCS involves the use of an electrical generator which delivers pulses by means of an electrode placed in the epidural space adjacent to a targeted spinal cord area, which is causing the pain. The leads, which are special devices containing the set of electrodes, can be implanted by laminectomy or percutaneously. Nowadays, protocols for SCS implantation stipulate a screening trial period with temporary percutaneous placement of the leads and using an external generator. Despite the limited evidence for SCS efficacy because of the lack of controlled studies, the use of spinal stimulation for pain relief has increased exponentially during the last decade. In 1995 it was estimated that 14000 stimulators were being implanted worldwide each year and in Europe in 1997 the figure was 5000 units per annum. Since the publication of Turner's review a number of clinical trials have been published, and it is the objective of this review to assess the current evidence.</w:t>
      </w:r>
    </w:p>
    <w:p w14:paraId="7F69DDB0" w14:textId="77777777" w:rsidR="008D0565" w:rsidRPr="00D61F73" w:rsidRDefault="008D0565" w:rsidP="00D61F73">
      <w:pPr>
        <w:rPr>
          <w:rFonts w:ascii="Arial" w:hAnsi="Arial" w:cs="Arial"/>
        </w:rPr>
      </w:pPr>
    </w:p>
    <w:p w14:paraId="1B6A9C08" w14:textId="77777777" w:rsidR="008D0565" w:rsidRPr="00D61F73" w:rsidRDefault="008D0565" w:rsidP="00D61F73">
      <w:pPr>
        <w:rPr>
          <w:rFonts w:ascii="Arial" w:hAnsi="Arial" w:cs="Arial"/>
        </w:rPr>
      </w:pPr>
      <w:r w:rsidRPr="00D61F73">
        <w:rPr>
          <w:rFonts w:ascii="Arial" w:hAnsi="Arial" w:cs="Arial"/>
        </w:rPr>
        <w:t>Rating: 5b</w:t>
      </w:r>
    </w:p>
    <w:p w14:paraId="63F0926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F</w:t>
      </w:r>
      <w:bookmarkStart w:id="711" w:name="Furlan2"/>
      <w:bookmarkEnd w:id="711"/>
      <w:r w:rsidRPr="00D61F73">
        <w:rPr>
          <w:rFonts w:ascii="Arial" w:hAnsi="Arial" w:cs="Arial"/>
          <w:b/>
          <w:bCs/>
        </w:rPr>
        <w:t xml:space="preserve">urlan AD, Mailis A, Papagapiou M. Are we paying a high price for surgical sympathectomy? A systematic literature review of late complications. </w:t>
      </w:r>
      <w:r w:rsidRPr="00D61F73">
        <w:rPr>
          <w:rFonts w:ascii="Arial" w:hAnsi="Arial" w:cs="Arial"/>
          <w:b/>
          <w:bCs/>
          <w:i/>
          <w:iCs/>
        </w:rPr>
        <w:t>J Pain</w:t>
      </w:r>
      <w:r w:rsidRPr="00D61F73">
        <w:rPr>
          <w:rFonts w:ascii="Arial" w:hAnsi="Arial" w:cs="Arial"/>
          <w:b/>
          <w:bCs/>
        </w:rPr>
        <w:t>. 2000 Winter;1(4):245-57.</w:t>
      </w:r>
    </w:p>
    <w:p w14:paraId="1F2C8B47" w14:textId="77777777" w:rsidR="008D0565" w:rsidRPr="00D61F73" w:rsidRDefault="008D0565" w:rsidP="00D61F73">
      <w:pPr>
        <w:rPr>
          <w:rFonts w:ascii="Arial" w:hAnsi="Arial" w:cs="Arial"/>
        </w:rPr>
      </w:pPr>
    </w:p>
    <w:p w14:paraId="0AE7D5D3" w14:textId="77777777" w:rsidR="008D0565" w:rsidRPr="00D61F73" w:rsidRDefault="008D0565" w:rsidP="00D61F73">
      <w:pPr>
        <w:rPr>
          <w:rFonts w:ascii="Arial" w:hAnsi="Arial" w:cs="Arial"/>
        </w:rPr>
      </w:pPr>
      <w:r w:rsidRPr="00D61F73">
        <w:rPr>
          <w:rFonts w:ascii="Arial" w:hAnsi="Arial" w:cs="Arial"/>
        </w:rPr>
        <w:t>The main indication was primary hyperhidrosis in 84.3% of the patients. Surgical sympathectomy, irrespective of approach, is accompanied by several potentially disabling complications. Detailed informed consent is recommended when surgical sympathectomy is contemplated.</w:t>
      </w:r>
    </w:p>
    <w:p w14:paraId="7B02A783" w14:textId="77777777" w:rsidR="008D0565" w:rsidRPr="00D61F73" w:rsidRDefault="008D0565" w:rsidP="00D61F73">
      <w:pPr>
        <w:rPr>
          <w:rFonts w:ascii="Arial" w:hAnsi="Arial" w:cs="Arial"/>
        </w:rPr>
      </w:pPr>
    </w:p>
    <w:p w14:paraId="2FE13EB5" w14:textId="77777777" w:rsidR="008D0565" w:rsidRPr="00D61F73" w:rsidRDefault="008D0565" w:rsidP="00D61F73">
      <w:pPr>
        <w:rPr>
          <w:rFonts w:ascii="Arial" w:hAnsi="Arial" w:cs="Arial"/>
        </w:rPr>
      </w:pPr>
      <w:r w:rsidRPr="00D61F73">
        <w:rPr>
          <w:rFonts w:ascii="Arial" w:hAnsi="Arial" w:cs="Arial"/>
        </w:rPr>
        <w:t xml:space="preserve">PMID: </w:t>
      </w:r>
      <w:hyperlink r:id="rId419" w:history="1">
        <w:r w:rsidRPr="00D61F73">
          <w:rPr>
            <w:rStyle w:val="Hyperlink"/>
            <w:rFonts w:ascii="Arial" w:hAnsi="Arial" w:cs="Arial"/>
          </w:rPr>
          <w:t>14622605</w:t>
        </w:r>
      </w:hyperlink>
      <w:r w:rsidRPr="00D61F73">
        <w:rPr>
          <w:rFonts w:ascii="Arial" w:hAnsi="Arial" w:cs="Arial"/>
        </w:rPr>
        <w:t xml:space="preserve"> </w:t>
      </w:r>
    </w:p>
    <w:p w14:paraId="6F2F71CE" w14:textId="77777777" w:rsidR="008D0565" w:rsidRPr="00D61F73" w:rsidRDefault="008D0565" w:rsidP="00D61F73">
      <w:pPr>
        <w:rPr>
          <w:rFonts w:ascii="Arial" w:hAnsi="Arial" w:cs="Arial"/>
        </w:rPr>
      </w:pPr>
    </w:p>
    <w:p w14:paraId="0A2DD3B1" w14:textId="77777777" w:rsidR="008D0565" w:rsidRPr="00D61F73" w:rsidRDefault="008D0565" w:rsidP="00D61F73">
      <w:pPr>
        <w:rPr>
          <w:rFonts w:ascii="Arial" w:hAnsi="Arial" w:cs="Arial"/>
        </w:rPr>
      </w:pPr>
      <w:r w:rsidRPr="00D61F73">
        <w:rPr>
          <w:rFonts w:ascii="Arial" w:hAnsi="Arial" w:cs="Arial"/>
        </w:rPr>
        <w:t>Rating: 1c</w:t>
      </w:r>
    </w:p>
    <w:p w14:paraId="1B1ED77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F</w:t>
      </w:r>
      <w:bookmarkStart w:id="712" w:name="Furlan3"/>
      <w:bookmarkEnd w:id="712"/>
      <w:r w:rsidRPr="00D61F73">
        <w:rPr>
          <w:rFonts w:ascii="Arial" w:hAnsi="Arial" w:cs="Arial"/>
          <w:b/>
          <w:bCs/>
        </w:rPr>
        <w:t>urlan AD, Sjölund BH. Igniting the spark? Pain. 2007 Jul;130(1-2):1-3. Epub 2007 May 22.</w:t>
      </w:r>
    </w:p>
    <w:p w14:paraId="093D9401" w14:textId="77777777" w:rsidR="008D0565" w:rsidRPr="00D61F73" w:rsidRDefault="008D0565" w:rsidP="00D61F73">
      <w:pPr>
        <w:rPr>
          <w:rFonts w:ascii="Arial" w:hAnsi="Arial" w:cs="Arial"/>
        </w:rPr>
      </w:pPr>
    </w:p>
    <w:p w14:paraId="1A63A9AE" w14:textId="77777777" w:rsidR="008D0565" w:rsidRPr="00D61F73" w:rsidRDefault="008D0565" w:rsidP="00D61F73">
      <w:pPr>
        <w:rPr>
          <w:rFonts w:ascii="Arial" w:hAnsi="Arial" w:cs="Arial"/>
        </w:rPr>
      </w:pPr>
      <w:r w:rsidRPr="00D61F73">
        <w:rPr>
          <w:rFonts w:ascii="Arial" w:hAnsi="Arial" w:cs="Arial"/>
        </w:rPr>
        <w:t>Comment on: Johnson M, Martinson M. Efficacy of electrical nerve stimulation for chronic musculoskeletal pain: A meta-analysis of randomized controlled trials. Pain. 2007 Jul;130(1-2):157-65.</w:t>
      </w:r>
    </w:p>
    <w:p w14:paraId="7C713E57" w14:textId="77777777" w:rsidR="008D0565" w:rsidRPr="00D61F73" w:rsidRDefault="008D0565" w:rsidP="00D61F73">
      <w:pPr>
        <w:rPr>
          <w:rFonts w:ascii="Arial" w:hAnsi="Arial" w:cs="Arial"/>
        </w:rPr>
      </w:pPr>
    </w:p>
    <w:p w14:paraId="1F719069" w14:textId="77777777" w:rsidR="008D0565" w:rsidRPr="00D61F73" w:rsidRDefault="008D0565" w:rsidP="00D61F73">
      <w:pPr>
        <w:rPr>
          <w:rFonts w:ascii="Arial" w:hAnsi="Arial" w:cs="Arial"/>
        </w:rPr>
      </w:pPr>
      <w:r w:rsidRPr="00D61F73">
        <w:rPr>
          <w:rFonts w:ascii="Arial" w:hAnsi="Arial" w:cs="Arial"/>
        </w:rPr>
        <w:t xml:space="preserve">PMID: </w:t>
      </w:r>
      <w:hyperlink r:id="rId420" w:history="1">
        <w:r w:rsidRPr="00D61F73">
          <w:rPr>
            <w:rStyle w:val="Hyperlink"/>
            <w:rFonts w:ascii="Arial" w:hAnsi="Arial" w:cs="Arial"/>
          </w:rPr>
          <w:t>17521812</w:t>
        </w:r>
      </w:hyperlink>
    </w:p>
    <w:p w14:paraId="62BDC8E9" w14:textId="77777777" w:rsidR="008D0565" w:rsidRPr="00D61F73" w:rsidRDefault="008D0565" w:rsidP="00D61F73">
      <w:pPr>
        <w:rPr>
          <w:rFonts w:ascii="Arial" w:hAnsi="Arial" w:cs="Arial"/>
        </w:rPr>
      </w:pPr>
    </w:p>
    <w:p w14:paraId="25D17866" w14:textId="77777777" w:rsidR="008D0565" w:rsidRPr="00D61F73" w:rsidRDefault="008D0565" w:rsidP="00D61F73">
      <w:pPr>
        <w:rPr>
          <w:rFonts w:ascii="Arial" w:hAnsi="Arial" w:cs="Arial"/>
        </w:rPr>
      </w:pPr>
      <w:r w:rsidRPr="00D61F73">
        <w:rPr>
          <w:rFonts w:ascii="Arial" w:hAnsi="Arial" w:cs="Arial"/>
        </w:rPr>
        <w:t>Rating: 11b</w:t>
      </w:r>
    </w:p>
    <w:p w14:paraId="7004AE27" w14:textId="77777777" w:rsidR="008D0565" w:rsidRPr="00D61F73" w:rsidRDefault="008D0565" w:rsidP="00D61F73">
      <w:pPr>
        <w:rPr>
          <w:rFonts w:ascii="Arial" w:hAnsi="Arial" w:cs="Arial"/>
        </w:rPr>
      </w:pPr>
    </w:p>
    <w:p w14:paraId="7E9A0AD8" w14:textId="77777777" w:rsidR="008D0565" w:rsidRPr="00D61F73" w:rsidRDefault="008D0565" w:rsidP="00D61F73">
      <w:pPr>
        <w:rPr>
          <w:rFonts w:ascii="Arial" w:hAnsi="Arial" w:cs="Arial"/>
        </w:rPr>
      </w:pPr>
      <w:r w:rsidRPr="00D61F73">
        <w:rPr>
          <w:rFonts w:ascii="Arial" w:hAnsi="Arial" w:cs="Arial"/>
        </w:rPr>
        <w:t>There has been another letter to the editor about this article from Furlan et al. They state the following:</w:t>
      </w:r>
    </w:p>
    <w:p w14:paraId="769F0A42" w14:textId="77777777" w:rsidR="008D0565" w:rsidRPr="00D61F73" w:rsidRDefault="008D0565" w:rsidP="00D61F73">
      <w:pPr>
        <w:rPr>
          <w:rFonts w:ascii="Arial" w:hAnsi="Arial" w:cs="Arial"/>
        </w:rPr>
      </w:pPr>
      <w:r w:rsidRPr="00D61F73">
        <w:rPr>
          <w:rFonts w:ascii="Arial" w:hAnsi="Arial" w:cs="Arial"/>
        </w:rPr>
        <w:t>1. The methodological quality of the studies that the meta-analysis was based on was low.</w:t>
      </w:r>
    </w:p>
    <w:p w14:paraId="4E5987AD" w14:textId="77777777" w:rsidR="008D0565" w:rsidRPr="00D61F73" w:rsidRDefault="008D0565" w:rsidP="00D61F73">
      <w:pPr>
        <w:rPr>
          <w:rFonts w:ascii="Arial" w:hAnsi="Arial" w:cs="Arial"/>
        </w:rPr>
      </w:pPr>
      <w:r w:rsidRPr="00D61F73">
        <w:rPr>
          <w:rFonts w:ascii="Arial" w:hAnsi="Arial" w:cs="Arial"/>
        </w:rPr>
        <w:t>2. There was still a need to demonstrate the benefits of ENS to other modalities to assess the pain conditons that are most responsive</w:t>
      </w:r>
    </w:p>
    <w:p w14:paraId="5BB6E1DF" w14:textId="77777777" w:rsidR="008D0565" w:rsidRPr="00D61F73" w:rsidRDefault="008D0565" w:rsidP="00D61F73">
      <w:pPr>
        <w:rPr>
          <w:rFonts w:ascii="Arial" w:hAnsi="Arial" w:cs="Arial"/>
        </w:rPr>
      </w:pPr>
      <w:r w:rsidRPr="00D61F73">
        <w:rPr>
          <w:rFonts w:ascii="Arial" w:hAnsi="Arial" w:cs="Arial"/>
        </w:rPr>
        <w:t>3. What is the most appropriate duration.</w:t>
      </w:r>
    </w:p>
    <w:p w14:paraId="120402AE" w14:textId="77777777" w:rsidR="008D0565" w:rsidRPr="00D61F73" w:rsidRDefault="008D0565" w:rsidP="00D61F73">
      <w:pPr>
        <w:rPr>
          <w:rFonts w:ascii="Arial" w:hAnsi="Arial" w:cs="Arial"/>
        </w:rPr>
      </w:pPr>
      <w:r w:rsidRPr="00D61F73">
        <w:rPr>
          <w:rFonts w:ascii="Arial" w:hAnsi="Arial" w:cs="Arial"/>
        </w:rPr>
        <w:t>This author did not pick up the above discrepencies in disease states.</w:t>
      </w:r>
    </w:p>
    <w:p w14:paraId="3EE77872" w14:textId="77777777" w:rsidR="008D0565" w:rsidRPr="00D61F73" w:rsidRDefault="008D0565" w:rsidP="00D61F73">
      <w:pPr>
        <w:rPr>
          <w:rFonts w:ascii="Arial" w:hAnsi="Arial" w:cs="Arial"/>
        </w:rPr>
      </w:pPr>
      <w:r w:rsidRPr="00D61F73">
        <w:rPr>
          <w:rFonts w:ascii="Arial" w:hAnsi="Arial" w:cs="Arial"/>
        </w:rPr>
        <w:t>Furlan writes for Cochrane</w:t>
      </w:r>
    </w:p>
    <w:p w14:paraId="51047FD6" w14:textId="77777777" w:rsidR="008D0565" w:rsidRPr="00D61F73" w:rsidRDefault="008D0565" w:rsidP="00D61F73">
      <w:pPr>
        <w:rPr>
          <w:rFonts w:ascii="Arial" w:hAnsi="Arial" w:cs="Arial"/>
        </w:rPr>
      </w:pPr>
    </w:p>
    <w:p w14:paraId="34A90717" w14:textId="77777777" w:rsidR="008D0565" w:rsidRPr="00D61F73" w:rsidRDefault="008D0565" w:rsidP="00D61F73">
      <w:pPr>
        <w:rPr>
          <w:rFonts w:ascii="Arial" w:hAnsi="Arial" w:cs="Arial"/>
          <w:u w:val="single"/>
        </w:rPr>
      </w:pPr>
      <w:r w:rsidRPr="00D61F73">
        <w:rPr>
          <w:rFonts w:ascii="Arial" w:hAnsi="Arial" w:cs="Arial"/>
          <w:u w:val="single"/>
        </w:rPr>
        <w:t>Editorial -- Igniting the spark?</w:t>
      </w:r>
    </w:p>
    <w:p w14:paraId="5381C8BC" w14:textId="77777777" w:rsidR="008D0565" w:rsidRPr="00D61F73" w:rsidRDefault="008D0565" w:rsidP="00D61F73">
      <w:pPr>
        <w:rPr>
          <w:rFonts w:ascii="Arial" w:hAnsi="Arial" w:cs="Arial"/>
        </w:rPr>
      </w:pPr>
      <w:r w:rsidRPr="00D61F73">
        <w:rPr>
          <w:rFonts w:ascii="Arial" w:hAnsi="Arial" w:cs="Arial"/>
        </w:rPr>
        <w:t>In the past, the evidence about the effectiveness of electrical nerve stimulation (ENS) for the treatment of pain was combined in various systematic reviews of randomized controlled trials (RCTs). However most of these systematic reviews focused on a specific regional pain condition or a particular type of ENS and therefore were not able to combine the studies using statistical methods because they included only a subset of RCTs. On the other hand, some people view this as a disadvantage, because combining different studies may neutralize a negative study with a positive study, meaning that clinically important differences might explain differences and therefore it is not appropriate to combine heterogeneous studies. There is still a need to demonstrate the benefits of ENS compared to other modalities and therapies, to assess what kind of pain conditions are most responsive to ENS and to estimate the most appropriate duration of therapy.</w:t>
      </w:r>
    </w:p>
    <w:p w14:paraId="34FEA3CC" w14:textId="77777777" w:rsidR="008D0565" w:rsidRPr="00D61F73" w:rsidRDefault="008D0565" w:rsidP="00D61F73">
      <w:pPr>
        <w:rPr>
          <w:rFonts w:ascii="Arial" w:hAnsi="Arial" w:cs="Arial"/>
        </w:rPr>
      </w:pPr>
    </w:p>
    <w:p w14:paraId="27DE983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F</w:t>
      </w:r>
      <w:bookmarkStart w:id="713" w:name="Furukawa"/>
      <w:bookmarkEnd w:id="713"/>
      <w:r w:rsidRPr="00D61F73">
        <w:rPr>
          <w:rFonts w:ascii="Arial" w:hAnsi="Arial" w:cs="Arial"/>
          <w:b/>
        </w:rPr>
        <w:t xml:space="preserve">urukawa TA, Watanabe N, Churchill R. Combined psychotherapy plus antidepressants for panic disorder with or without agoraphobia. </w:t>
      </w:r>
      <w:r w:rsidRPr="00D61F73">
        <w:rPr>
          <w:rFonts w:ascii="Arial" w:hAnsi="Arial" w:cs="Arial"/>
          <w:b/>
          <w:i/>
        </w:rPr>
        <w:t>Cochrane Database Syst Rev</w:t>
      </w:r>
      <w:r w:rsidRPr="00D61F73">
        <w:rPr>
          <w:rFonts w:ascii="Arial" w:hAnsi="Arial" w:cs="Arial"/>
          <w:b/>
        </w:rPr>
        <w:t>. 2007;(1):CD004364.</w:t>
      </w:r>
    </w:p>
    <w:p w14:paraId="21830872" w14:textId="77777777" w:rsidR="008D0565" w:rsidRPr="00D61F73" w:rsidRDefault="008D0565" w:rsidP="00D61F73">
      <w:pPr>
        <w:rPr>
          <w:rFonts w:ascii="Arial" w:hAnsi="Arial" w:cs="Arial"/>
        </w:rPr>
      </w:pPr>
    </w:p>
    <w:p w14:paraId="3AE7BE4D" w14:textId="77777777" w:rsidR="008D0565" w:rsidRPr="00D61F73" w:rsidRDefault="008D0565" w:rsidP="00D61F73">
      <w:pPr>
        <w:rPr>
          <w:rFonts w:ascii="Arial" w:hAnsi="Arial" w:cs="Arial"/>
        </w:rPr>
      </w:pPr>
      <w:r w:rsidRPr="00D61F73">
        <w:rPr>
          <w:rFonts w:ascii="Arial" w:hAnsi="Arial" w:cs="Arial"/>
        </w:rPr>
        <w:t xml:space="preserve">RESULTS: After termination of the acute phase and continuation treatment, the combined therapy was more effective than pharmacotherapy alone and was as effective as psychotherapy. </w:t>
      </w:r>
    </w:p>
    <w:p w14:paraId="677C7559" w14:textId="77777777" w:rsidR="008D0565" w:rsidRPr="00D61F73" w:rsidRDefault="008D0565" w:rsidP="00D61F73">
      <w:pPr>
        <w:rPr>
          <w:rFonts w:ascii="Arial" w:hAnsi="Arial" w:cs="Arial"/>
        </w:rPr>
      </w:pPr>
    </w:p>
    <w:p w14:paraId="2CAECE52" w14:textId="77777777" w:rsidR="008D0565" w:rsidRPr="00D61F73" w:rsidRDefault="008D0565" w:rsidP="00D61F73">
      <w:pPr>
        <w:rPr>
          <w:rFonts w:ascii="Arial" w:hAnsi="Arial" w:cs="Arial"/>
        </w:rPr>
      </w:pPr>
      <w:r w:rsidRPr="00D61F73">
        <w:rPr>
          <w:rFonts w:ascii="Arial" w:hAnsi="Arial" w:cs="Arial"/>
        </w:rPr>
        <w:t xml:space="preserve">PMID: </w:t>
      </w:r>
      <w:hyperlink r:id="rId421" w:history="1">
        <w:r w:rsidRPr="00D61F73">
          <w:rPr>
            <w:rStyle w:val="Hyperlink"/>
            <w:rFonts w:ascii="Arial" w:hAnsi="Arial" w:cs="Arial"/>
          </w:rPr>
          <w:t>17253502</w:t>
        </w:r>
      </w:hyperlink>
    </w:p>
    <w:p w14:paraId="492DE459" w14:textId="77777777" w:rsidR="008D0565" w:rsidRPr="00D61F73" w:rsidRDefault="008D0565" w:rsidP="00D61F73">
      <w:pPr>
        <w:rPr>
          <w:rFonts w:ascii="Arial" w:hAnsi="Arial" w:cs="Arial"/>
        </w:rPr>
      </w:pPr>
    </w:p>
    <w:p w14:paraId="009E0BE5" w14:textId="77777777" w:rsidR="008D0565" w:rsidRPr="00D61F73" w:rsidRDefault="008D0565" w:rsidP="00D61F73">
      <w:pPr>
        <w:rPr>
          <w:rFonts w:ascii="Arial" w:hAnsi="Arial" w:cs="Arial"/>
        </w:rPr>
      </w:pPr>
      <w:r w:rsidRPr="00D61F73">
        <w:rPr>
          <w:rFonts w:ascii="Arial" w:hAnsi="Arial" w:cs="Arial"/>
        </w:rPr>
        <w:t>Rating: 1b</w:t>
      </w:r>
    </w:p>
    <w:p w14:paraId="4A3AF05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14" w:name="Gaines"/>
      <w:bookmarkEnd w:id="714"/>
      <w:r w:rsidRPr="00D61F73">
        <w:rPr>
          <w:rFonts w:ascii="Arial" w:hAnsi="Arial" w:cs="Arial"/>
          <w:b/>
          <w:bCs/>
        </w:rPr>
        <w:t xml:space="preserve">aines, J., et al. The Effect of Neuromuscular Electrical Stimulation on Arthritis Knee Pain in Older Adults with Osteoarthritis of the Knee. </w:t>
      </w:r>
      <w:r w:rsidRPr="00D61F73">
        <w:rPr>
          <w:rFonts w:ascii="Arial" w:hAnsi="Arial" w:cs="Arial"/>
          <w:b/>
          <w:bCs/>
          <w:i/>
          <w:iCs/>
        </w:rPr>
        <w:t>Applied Nursing Research</w:t>
      </w:r>
      <w:r w:rsidRPr="00D61F73">
        <w:rPr>
          <w:rFonts w:ascii="Arial" w:hAnsi="Arial" w:cs="Arial"/>
          <w:b/>
          <w:bCs/>
        </w:rPr>
        <w:t xml:space="preserve"> 2004. August; Volume 17, Number 3: 201-06.</w:t>
      </w:r>
    </w:p>
    <w:p w14:paraId="5222EA29" w14:textId="77777777" w:rsidR="008D0565" w:rsidRPr="00D61F73" w:rsidRDefault="008D0565" w:rsidP="00D61F73">
      <w:pPr>
        <w:rPr>
          <w:rFonts w:ascii="Arial" w:hAnsi="Arial" w:cs="Arial"/>
        </w:rPr>
      </w:pPr>
    </w:p>
    <w:p w14:paraId="207E00D0" w14:textId="77777777" w:rsidR="008D0565" w:rsidRPr="00D61F73" w:rsidRDefault="008D0565" w:rsidP="00D61F73">
      <w:pPr>
        <w:rPr>
          <w:rFonts w:ascii="Arial" w:hAnsi="Arial" w:cs="Arial"/>
        </w:rPr>
      </w:pPr>
      <w:r w:rsidRPr="00D61F73">
        <w:rPr>
          <w:rFonts w:ascii="Arial" w:hAnsi="Arial" w:cs="Arial"/>
        </w:rPr>
        <w:t>Rating: 2c</w:t>
      </w:r>
    </w:p>
    <w:p w14:paraId="1CF1DDD8" w14:textId="77777777" w:rsidR="008D0565" w:rsidRPr="00D61F73" w:rsidRDefault="008D0565" w:rsidP="00D61F73">
      <w:pPr>
        <w:rPr>
          <w:rFonts w:ascii="Arial" w:hAnsi="Arial" w:cs="Arial"/>
        </w:rPr>
      </w:pPr>
    </w:p>
    <w:p w14:paraId="05D85661" w14:textId="77777777" w:rsidR="008D0565" w:rsidRPr="00D61F73" w:rsidRDefault="008D0565" w:rsidP="00D61F73">
      <w:pPr>
        <w:rPr>
          <w:rFonts w:ascii="Arial" w:hAnsi="Arial" w:cs="Arial"/>
        </w:rPr>
      </w:pPr>
      <w:r w:rsidRPr="00D61F73">
        <w:rPr>
          <w:rFonts w:ascii="Arial" w:hAnsi="Arial" w:cs="Arial"/>
        </w:rPr>
        <w:t xml:space="preserve">Quality: Low. Total Rating: 3.0. Comment: Does not meet inclusion criteria for evidence-based review. </w:t>
      </w:r>
    </w:p>
    <w:p w14:paraId="57766F79" w14:textId="77777777" w:rsidR="008D0565" w:rsidRPr="00D61F73" w:rsidRDefault="008D0565" w:rsidP="00D61F73">
      <w:pPr>
        <w:rPr>
          <w:rFonts w:ascii="Arial" w:hAnsi="Arial" w:cs="Arial"/>
          <w:b/>
          <w:bCs/>
        </w:rPr>
      </w:pPr>
      <w:r w:rsidRPr="00D61F73">
        <w:rPr>
          <w:rFonts w:ascii="Arial" w:hAnsi="Arial" w:cs="Arial"/>
        </w:rPr>
        <w:br w:type="page"/>
      </w:r>
      <w:bookmarkStart w:id="715" w:name="Galantino"/>
      <w:r w:rsidRPr="00D61F73">
        <w:rPr>
          <w:rFonts w:ascii="Arial" w:hAnsi="Arial" w:cs="Arial"/>
          <w:b/>
          <w:bCs/>
        </w:rPr>
        <w:lastRenderedPageBreak/>
        <w:t>Galantino</w:t>
      </w:r>
      <w:bookmarkEnd w:id="715"/>
      <w:r w:rsidRPr="00D61F73">
        <w:rPr>
          <w:rFonts w:ascii="Arial" w:hAnsi="Arial" w:cs="Arial"/>
          <w:b/>
          <w:bCs/>
        </w:rPr>
        <w:t xml:space="preserve"> ML, Bzdewka TM, Eissler-Russo JL, Holbrook ML, Mogck EP, Geigle P, Farrar JT, The impact of modified Hatha yoga on chronic low back pain: a pilot study, </w:t>
      </w:r>
      <w:r w:rsidRPr="00D61F73">
        <w:rPr>
          <w:rFonts w:ascii="Arial" w:hAnsi="Arial" w:cs="Arial"/>
          <w:b/>
          <w:bCs/>
          <w:i/>
          <w:iCs/>
        </w:rPr>
        <w:t>Altern Ther Health Med.</w:t>
      </w:r>
      <w:r w:rsidRPr="00D61F73">
        <w:rPr>
          <w:rFonts w:ascii="Arial" w:hAnsi="Arial" w:cs="Arial"/>
          <w:b/>
          <w:bCs/>
        </w:rPr>
        <w:t xml:space="preserve"> 2004 Mar-Apr;10(2):56-9.</w:t>
      </w:r>
    </w:p>
    <w:p w14:paraId="759F638C" w14:textId="77777777" w:rsidR="008D0565" w:rsidRPr="00D61F73" w:rsidRDefault="008D0565" w:rsidP="00D61F73">
      <w:pPr>
        <w:rPr>
          <w:rFonts w:ascii="Arial" w:hAnsi="Arial" w:cs="Arial"/>
        </w:rPr>
      </w:pPr>
    </w:p>
    <w:p w14:paraId="7EBAF5F4" w14:textId="77777777" w:rsidR="008D0565" w:rsidRPr="00D61F73" w:rsidRDefault="008D0565" w:rsidP="00D61F73">
      <w:pPr>
        <w:rPr>
          <w:rFonts w:ascii="Arial" w:hAnsi="Arial" w:cs="Arial"/>
        </w:rPr>
      </w:pPr>
      <w:r w:rsidRPr="00D61F73">
        <w:rPr>
          <w:rFonts w:ascii="Arial" w:hAnsi="Arial" w:cs="Arial"/>
        </w:rPr>
        <w:t>CONCLUSION: A modified yoga-based intervention may benefit individuals with CLB, but a larger study is necessary to provide definitive evidence.</w:t>
      </w:r>
    </w:p>
    <w:p w14:paraId="657A9AD5" w14:textId="77777777" w:rsidR="008D0565" w:rsidRPr="00D61F73" w:rsidRDefault="008D0565" w:rsidP="00D61F73">
      <w:pPr>
        <w:rPr>
          <w:rFonts w:ascii="Arial" w:hAnsi="Arial" w:cs="Arial"/>
        </w:rPr>
      </w:pPr>
    </w:p>
    <w:p w14:paraId="2B92CDB3" w14:textId="77777777" w:rsidR="008D0565" w:rsidRPr="00D61F73" w:rsidRDefault="008D0565" w:rsidP="00D61F73">
      <w:pPr>
        <w:rPr>
          <w:rFonts w:ascii="Arial" w:hAnsi="Arial" w:cs="Arial"/>
        </w:rPr>
      </w:pPr>
      <w:r w:rsidRPr="00D61F73">
        <w:rPr>
          <w:rFonts w:ascii="Arial" w:hAnsi="Arial" w:cs="Arial"/>
        </w:rPr>
        <w:t xml:space="preserve">PMID: </w:t>
      </w:r>
      <w:hyperlink r:id="rId422" w:history="1">
        <w:r w:rsidRPr="00D61F73">
          <w:rPr>
            <w:rStyle w:val="Hyperlink"/>
            <w:rFonts w:ascii="Arial" w:hAnsi="Arial" w:cs="Arial"/>
          </w:rPr>
          <w:t>15055095</w:t>
        </w:r>
      </w:hyperlink>
      <w:r w:rsidRPr="00D61F73">
        <w:rPr>
          <w:rFonts w:ascii="Arial" w:hAnsi="Arial" w:cs="Arial"/>
        </w:rPr>
        <w:t xml:space="preserve"> </w:t>
      </w:r>
    </w:p>
    <w:p w14:paraId="39EA0A38" w14:textId="77777777" w:rsidR="008D0565" w:rsidRPr="00D61F73" w:rsidRDefault="008D0565" w:rsidP="00D61F73">
      <w:pPr>
        <w:rPr>
          <w:rFonts w:ascii="Arial" w:hAnsi="Arial" w:cs="Arial"/>
        </w:rPr>
      </w:pPr>
    </w:p>
    <w:p w14:paraId="6296D70A" w14:textId="77777777" w:rsidR="008D0565" w:rsidRPr="00D61F73" w:rsidRDefault="008D0565" w:rsidP="00D61F73">
      <w:pPr>
        <w:rPr>
          <w:rFonts w:ascii="Arial" w:hAnsi="Arial" w:cs="Arial"/>
        </w:rPr>
      </w:pPr>
      <w:r w:rsidRPr="00D61F73">
        <w:rPr>
          <w:rFonts w:ascii="Arial" w:hAnsi="Arial" w:cs="Arial"/>
        </w:rPr>
        <w:t>Rating: 2c</w:t>
      </w:r>
    </w:p>
    <w:p w14:paraId="4FC48C86"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16" w:name="Galer"/>
      <w:bookmarkEnd w:id="716"/>
      <w:r w:rsidRPr="00D61F73">
        <w:rPr>
          <w:rFonts w:ascii="Arial" w:hAnsi="Arial" w:cs="Arial"/>
          <w:b/>
          <w:bCs/>
        </w:rPr>
        <w:t xml:space="preserve">aler BS, Bruehl S, Harden RN. IASP diagnostic criteria for complex regional pain syndrome: a preliminary empirical validation study. International Association for the Study of Pain. </w:t>
      </w:r>
      <w:r w:rsidRPr="00D61F73">
        <w:rPr>
          <w:rFonts w:ascii="Arial" w:hAnsi="Arial" w:cs="Arial"/>
          <w:b/>
          <w:bCs/>
          <w:i/>
          <w:iCs/>
        </w:rPr>
        <w:t>Clin J Pain.</w:t>
      </w:r>
      <w:r w:rsidRPr="00D61F73">
        <w:rPr>
          <w:rFonts w:ascii="Arial" w:hAnsi="Arial" w:cs="Arial"/>
          <w:b/>
          <w:bCs/>
        </w:rPr>
        <w:t xml:space="preserve"> 1998 Mar;14(1):48-54.</w:t>
      </w:r>
    </w:p>
    <w:p w14:paraId="424FCE1E" w14:textId="77777777" w:rsidR="008D0565" w:rsidRPr="00D61F73" w:rsidRDefault="008D0565" w:rsidP="00D61F73">
      <w:pPr>
        <w:pStyle w:val="NormalWeb"/>
        <w:spacing w:before="0" w:beforeAutospacing="0" w:after="0" w:afterAutospacing="0"/>
        <w:rPr>
          <w:rFonts w:ascii="Arial" w:hAnsi="Arial" w:cs="Arial"/>
        </w:rPr>
      </w:pPr>
    </w:p>
    <w:p w14:paraId="0AA31BC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Data analysis suggested that CRPS decision rules may lead to overdiagnosis of the disorder. Diagnosis based on self-reported symptoms can be diagnostically useful in some circumstances. </w:t>
      </w:r>
    </w:p>
    <w:p w14:paraId="2E6D9B0E" w14:textId="77777777" w:rsidR="008D0565" w:rsidRPr="00D61F73" w:rsidRDefault="008D0565" w:rsidP="00D61F73">
      <w:pPr>
        <w:pStyle w:val="NormalWeb"/>
        <w:spacing w:before="0" w:beforeAutospacing="0" w:after="0" w:afterAutospacing="0"/>
        <w:rPr>
          <w:rFonts w:ascii="Arial" w:hAnsi="Arial" w:cs="Arial"/>
        </w:rPr>
      </w:pPr>
    </w:p>
    <w:p w14:paraId="3DE221E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23" w:history="1">
        <w:r w:rsidRPr="00D61F73">
          <w:rPr>
            <w:rStyle w:val="Hyperlink"/>
            <w:rFonts w:ascii="Arial" w:hAnsi="Arial" w:cs="Arial"/>
          </w:rPr>
          <w:t>9535313</w:t>
        </w:r>
      </w:hyperlink>
      <w:r w:rsidRPr="00D61F73">
        <w:rPr>
          <w:rFonts w:ascii="Arial" w:hAnsi="Arial" w:cs="Arial"/>
        </w:rPr>
        <w:t xml:space="preserve"> </w:t>
      </w:r>
    </w:p>
    <w:p w14:paraId="273C89FE" w14:textId="77777777" w:rsidR="008D0565" w:rsidRPr="00D61F73" w:rsidRDefault="008D0565" w:rsidP="00D61F73">
      <w:pPr>
        <w:pStyle w:val="NormalWeb"/>
        <w:spacing w:before="0" w:beforeAutospacing="0" w:after="0" w:afterAutospacing="0"/>
        <w:rPr>
          <w:rFonts w:ascii="Arial" w:hAnsi="Arial" w:cs="Arial"/>
        </w:rPr>
      </w:pPr>
    </w:p>
    <w:p w14:paraId="5886A9A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4126E6A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17" w:name="Galer2"/>
      <w:bookmarkEnd w:id="717"/>
      <w:r w:rsidRPr="00D61F73">
        <w:rPr>
          <w:rFonts w:ascii="Arial" w:hAnsi="Arial" w:cs="Arial"/>
          <w:b/>
        </w:rPr>
        <w:t xml:space="preserve">aler BS, Gammaitoni AR, Oleka N, Jensen MP, Argoff CE. Use of the lidocaine patch 5% in reducing intensity of various pain qualities reported by patients with low-back pain. </w:t>
      </w:r>
      <w:r w:rsidRPr="00D61F73">
        <w:rPr>
          <w:rFonts w:ascii="Arial" w:hAnsi="Arial" w:cs="Arial"/>
          <w:b/>
          <w:i/>
        </w:rPr>
        <w:t>Curr Med Res Opin</w:t>
      </w:r>
      <w:r w:rsidRPr="00D61F73">
        <w:rPr>
          <w:rFonts w:ascii="Arial" w:hAnsi="Arial" w:cs="Arial"/>
          <w:b/>
        </w:rPr>
        <w:t>. 2004;20 Suppl 2:S5-12.</w:t>
      </w:r>
    </w:p>
    <w:p w14:paraId="0C6B41A1" w14:textId="77777777" w:rsidR="008D0565" w:rsidRPr="00D61F73" w:rsidRDefault="008D0565" w:rsidP="00D61F73">
      <w:pPr>
        <w:rPr>
          <w:rFonts w:ascii="Arial" w:hAnsi="Arial" w:cs="Arial"/>
        </w:rPr>
      </w:pPr>
    </w:p>
    <w:p w14:paraId="09C1705E" w14:textId="77777777" w:rsidR="008D0565" w:rsidRPr="00D61F73" w:rsidRDefault="008D0565" w:rsidP="00D61F73">
      <w:pPr>
        <w:rPr>
          <w:rFonts w:ascii="Arial" w:hAnsi="Arial" w:cs="Arial"/>
        </w:rPr>
      </w:pPr>
      <w:r w:rsidRPr="00D61F73">
        <w:rPr>
          <w:rFonts w:ascii="Arial" w:hAnsi="Arial" w:cs="Arial"/>
        </w:rPr>
        <w:t xml:space="preserve">CONCLUSIONS: In patients with moderate-to-severe LBP, 2 weeks and 6 weeks of treatment with the lidocaine patch 5% significantly reduces the intensity of pain qualities as measured by all 4 NPS composite measures. </w:t>
      </w:r>
    </w:p>
    <w:p w14:paraId="5D00866F" w14:textId="77777777" w:rsidR="008D0565" w:rsidRPr="00D61F73" w:rsidRDefault="008D0565" w:rsidP="00D61F73">
      <w:pPr>
        <w:rPr>
          <w:rFonts w:ascii="Arial" w:hAnsi="Arial" w:cs="Arial"/>
        </w:rPr>
      </w:pPr>
    </w:p>
    <w:p w14:paraId="78324AAE" w14:textId="77777777" w:rsidR="008D0565" w:rsidRPr="00D61F73" w:rsidRDefault="008D0565" w:rsidP="00D61F73">
      <w:pPr>
        <w:rPr>
          <w:rFonts w:ascii="Arial" w:hAnsi="Arial" w:cs="Arial"/>
        </w:rPr>
      </w:pPr>
      <w:r w:rsidRPr="00D61F73">
        <w:rPr>
          <w:rFonts w:ascii="Arial" w:hAnsi="Arial" w:cs="Arial"/>
        </w:rPr>
        <w:t xml:space="preserve">PMID: </w:t>
      </w:r>
      <w:hyperlink r:id="rId424" w:history="1">
        <w:r w:rsidRPr="00D61F73">
          <w:rPr>
            <w:rStyle w:val="Hyperlink"/>
            <w:rFonts w:ascii="Arial" w:hAnsi="Arial" w:cs="Arial"/>
          </w:rPr>
          <w:t>1556374</w:t>
        </w:r>
      </w:hyperlink>
    </w:p>
    <w:p w14:paraId="3C67E6CE" w14:textId="77777777" w:rsidR="008D0565" w:rsidRPr="00D61F73" w:rsidRDefault="008D0565" w:rsidP="00D61F73">
      <w:pPr>
        <w:rPr>
          <w:rFonts w:ascii="Arial" w:hAnsi="Arial" w:cs="Arial"/>
        </w:rPr>
      </w:pPr>
    </w:p>
    <w:p w14:paraId="790E2E65" w14:textId="77777777" w:rsidR="008D0565" w:rsidRPr="00D61F73" w:rsidRDefault="008D0565" w:rsidP="00D61F73">
      <w:pPr>
        <w:rPr>
          <w:rFonts w:ascii="Arial" w:hAnsi="Arial" w:cs="Arial"/>
        </w:rPr>
      </w:pPr>
      <w:r w:rsidRPr="00D61F73">
        <w:rPr>
          <w:rFonts w:ascii="Arial" w:hAnsi="Arial" w:cs="Arial"/>
        </w:rPr>
        <w:t>Rating: 4c</w:t>
      </w:r>
    </w:p>
    <w:p w14:paraId="3016D66C" w14:textId="77777777" w:rsidR="008D0565" w:rsidRPr="00D61F73" w:rsidRDefault="008D0565" w:rsidP="00D61F73">
      <w:pPr>
        <w:rPr>
          <w:rFonts w:ascii="Arial" w:hAnsi="Arial" w:cs="Arial"/>
        </w:rPr>
      </w:pPr>
    </w:p>
    <w:p w14:paraId="772CBF47" w14:textId="77777777" w:rsidR="008D0565" w:rsidRPr="00D61F73" w:rsidRDefault="008D0565" w:rsidP="00D61F73">
      <w:pPr>
        <w:rPr>
          <w:rFonts w:ascii="Arial" w:hAnsi="Arial" w:cs="Arial"/>
        </w:rPr>
      </w:pPr>
      <w:r w:rsidRPr="00D61F73">
        <w:rPr>
          <w:rFonts w:ascii="Arial" w:hAnsi="Arial" w:cs="Arial"/>
        </w:rPr>
        <w:t>The Neuropathic Pain Scale was utilized to assess inclusion in this study and used as an outcome. The study was funded and written by Endo Pharmaceuticals.</w:t>
      </w:r>
    </w:p>
    <w:p w14:paraId="0AB30307" w14:textId="77777777" w:rsidR="008D0565" w:rsidRPr="00D61F73" w:rsidRDefault="008D0565" w:rsidP="00D61F73">
      <w:pPr>
        <w:rPr>
          <w:rFonts w:ascii="Arial" w:hAnsi="Arial" w:cs="Arial"/>
        </w:rPr>
      </w:pPr>
    </w:p>
    <w:p w14:paraId="1087DD5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bookmarkStart w:id="718" w:name="Gallagher"/>
      <w:r w:rsidRPr="00D61F73">
        <w:rPr>
          <w:rFonts w:ascii="Arial" w:hAnsi="Arial" w:cs="Arial"/>
          <w:b/>
          <w:bCs/>
        </w:rPr>
        <w:lastRenderedPageBreak/>
        <w:fldChar w:fldCharType="begin"/>
      </w:r>
      <w:r w:rsidR="00003461" w:rsidRPr="00D61F73">
        <w:rPr>
          <w:rFonts w:ascii="Arial" w:hAnsi="Arial" w:cs="Arial"/>
          <w:b/>
          <w:bCs/>
        </w:rPr>
        <w:instrText>HYPERLINK "E:\\AppData\\Local\\Microsoft\\Windows\\Temporary Internet Files\\Content.Outlook\\AppData\\Local\\Microsoft\\Windows\\Temporary Internet Files\\Content.Outlook\\50QE161U\\Pain_files\\gallagher.htm"</w:instrText>
      </w:r>
      <w:r w:rsidRPr="00D61F73">
        <w:rPr>
          <w:rFonts w:ascii="Arial" w:hAnsi="Arial" w:cs="Arial"/>
          <w:b/>
          <w:bCs/>
        </w:rPr>
        <w:fldChar w:fldCharType="separate"/>
      </w:r>
      <w:r w:rsidRPr="00D61F73">
        <w:rPr>
          <w:rStyle w:val="Hyperlink"/>
          <w:rFonts w:ascii="Arial" w:hAnsi="Arial" w:cs="Arial"/>
          <w:b/>
          <w:bCs/>
        </w:rPr>
        <w:t>Gallagher</w:t>
      </w:r>
      <w:bookmarkEnd w:id="718"/>
      <w:r w:rsidRPr="00D61F73">
        <w:rPr>
          <w:rStyle w:val="Hyperlink"/>
          <w:rFonts w:ascii="Arial" w:hAnsi="Arial" w:cs="Arial"/>
          <w:b/>
          <w:bCs/>
        </w:rPr>
        <w:t xml:space="preserve"> RM</w:t>
      </w:r>
      <w:r w:rsidRPr="00D61F73">
        <w:rPr>
          <w:rFonts w:ascii="Arial" w:hAnsi="Arial" w:cs="Arial"/>
          <w:b/>
          <w:bCs/>
        </w:rPr>
        <w:fldChar w:fldCharType="end"/>
      </w:r>
      <w:r w:rsidRPr="00D61F73">
        <w:rPr>
          <w:rFonts w:ascii="Arial" w:hAnsi="Arial" w:cs="Arial"/>
          <w:b/>
          <w:bCs/>
        </w:rPr>
        <w:t xml:space="preserve">. Primary care and pain medicine. A community solution to the public health problem of chronic pain. </w:t>
      </w:r>
      <w:r w:rsidRPr="00D61F73">
        <w:rPr>
          <w:rStyle w:val="HTMLCite"/>
          <w:rFonts w:ascii="Arial" w:hAnsi="Arial" w:cs="Arial"/>
          <w:b/>
          <w:bCs/>
        </w:rPr>
        <w:t>Medical Clinics of North America</w:t>
      </w:r>
      <w:r w:rsidRPr="00D61F73">
        <w:rPr>
          <w:rFonts w:ascii="Arial" w:hAnsi="Arial" w:cs="Arial"/>
          <w:b/>
          <w:bCs/>
        </w:rPr>
        <w:t xml:space="preserve">. 01-May-1999; 83(3): 555-83, v. </w:t>
      </w:r>
    </w:p>
    <w:p w14:paraId="474221A0" w14:textId="77777777" w:rsidR="008D0565" w:rsidRPr="00D61F73" w:rsidRDefault="008D0565" w:rsidP="00D61F73">
      <w:pPr>
        <w:pStyle w:val="NormalWeb"/>
        <w:spacing w:before="0" w:beforeAutospacing="0" w:after="0" w:afterAutospacing="0"/>
        <w:rPr>
          <w:rFonts w:ascii="Arial" w:hAnsi="Arial" w:cs="Arial"/>
        </w:rPr>
      </w:pPr>
    </w:p>
    <w:p w14:paraId="4F10CF9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author emphasizes that pain is an important public health problem that demands attention. He discusses ineffective management and its causes, administrative and socioeconomic problems perpetuating poor care, problems in technology transfer, organizational models, specialists and subspecialists, and other topics. </w:t>
      </w:r>
    </w:p>
    <w:p w14:paraId="52F9A7BB" w14:textId="77777777" w:rsidR="008D0565" w:rsidRPr="00D61F73" w:rsidRDefault="008D0565" w:rsidP="00D61F73">
      <w:pPr>
        <w:pStyle w:val="NormalWeb"/>
        <w:spacing w:before="0" w:beforeAutospacing="0" w:after="0" w:afterAutospacing="0"/>
        <w:rPr>
          <w:rFonts w:ascii="Arial" w:hAnsi="Arial" w:cs="Arial"/>
        </w:rPr>
      </w:pPr>
    </w:p>
    <w:p w14:paraId="4EA487C6" w14:textId="77777777" w:rsidR="008D0565" w:rsidRPr="00D61F73" w:rsidRDefault="008D0565" w:rsidP="00D61F73">
      <w:pPr>
        <w:rPr>
          <w:rFonts w:ascii="Arial" w:hAnsi="Arial" w:cs="Arial"/>
        </w:rPr>
      </w:pPr>
      <w:r w:rsidRPr="00D61F73">
        <w:rPr>
          <w:rFonts w:ascii="Arial" w:hAnsi="Arial" w:cs="Arial"/>
        </w:rPr>
        <w:t>Publication Type: Review</w:t>
      </w:r>
    </w:p>
    <w:p w14:paraId="18F9A4C7"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 xml:space="preserve">Gallagher RM. Treatment </w:t>
      </w:r>
      <w:bookmarkStart w:id="719" w:name="planning"/>
      <w:r w:rsidRPr="00D61F73">
        <w:rPr>
          <w:rFonts w:ascii="Arial" w:hAnsi="Arial" w:cs="Arial"/>
          <w:sz w:val="24"/>
          <w:szCs w:val="24"/>
        </w:rPr>
        <w:t>planning</w:t>
      </w:r>
      <w:bookmarkEnd w:id="719"/>
      <w:r w:rsidRPr="00D61F73">
        <w:rPr>
          <w:rFonts w:ascii="Arial" w:hAnsi="Arial" w:cs="Arial"/>
          <w:sz w:val="24"/>
          <w:szCs w:val="24"/>
        </w:rPr>
        <w:t xml:space="preserve"> in pain medicine. Integrating medical, physical, and behavioral therapies. </w:t>
      </w:r>
      <w:r w:rsidRPr="00D61F73">
        <w:rPr>
          <w:rStyle w:val="HTMLCite"/>
          <w:rFonts w:ascii="Arial" w:hAnsi="Arial" w:cs="Arial"/>
          <w:sz w:val="24"/>
          <w:szCs w:val="24"/>
        </w:rPr>
        <w:t xml:space="preserve">Medical Clinics of North America. </w:t>
      </w:r>
      <w:r w:rsidRPr="00D61F73">
        <w:rPr>
          <w:rFonts w:ascii="Arial" w:hAnsi="Arial" w:cs="Arial"/>
          <w:sz w:val="24"/>
          <w:szCs w:val="24"/>
        </w:rPr>
        <w:t>01-May-1999; 83(3): 823-49, viii.</w:t>
      </w:r>
    </w:p>
    <w:p w14:paraId="3C3324B5" w14:textId="77777777" w:rsidR="008D0565" w:rsidRPr="00D61F73" w:rsidRDefault="008D0565" w:rsidP="00D61F73">
      <w:pPr>
        <w:pStyle w:val="NormalWeb"/>
        <w:spacing w:before="0" w:beforeAutospacing="0" w:after="0" w:afterAutospacing="0"/>
        <w:rPr>
          <w:rFonts w:ascii="Arial" w:hAnsi="Arial" w:cs="Arial"/>
        </w:rPr>
      </w:pPr>
    </w:p>
    <w:p w14:paraId="1114195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Creating attitudes of self-help through knowledge and pain management training is complementary to the selective use of the advances in technology that have occurred in response to the explosion of neurosciences and clinical research.</w:t>
      </w:r>
    </w:p>
    <w:p w14:paraId="4B1D9D96" w14:textId="77777777" w:rsidR="008D0565" w:rsidRPr="00D61F73" w:rsidRDefault="008D0565" w:rsidP="00D61F73">
      <w:pPr>
        <w:pStyle w:val="NormalWeb"/>
        <w:spacing w:before="0" w:beforeAutospacing="0" w:after="0" w:afterAutospacing="0"/>
        <w:rPr>
          <w:rFonts w:ascii="Arial" w:hAnsi="Arial" w:cs="Arial"/>
        </w:rPr>
      </w:pPr>
    </w:p>
    <w:p w14:paraId="4A33620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30456F68" w14:textId="77777777" w:rsidR="008D0565" w:rsidRPr="00D61F73" w:rsidRDefault="008D0565" w:rsidP="00D61F73">
      <w:pPr>
        <w:pStyle w:val="NormalWeb"/>
        <w:spacing w:before="0" w:beforeAutospacing="0" w:after="0" w:afterAutospacing="0"/>
        <w:rPr>
          <w:rFonts w:ascii="Arial" w:hAnsi="Arial" w:cs="Arial"/>
        </w:rPr>
      </w:pPr>
    </w:p>
    <w:p w14:paraId="72CFA4B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20" w:name="Gallagher1989"/>
      <w:bookmarkEnd w:id="720"/>
      <w:r w:rsidRPr="00D61F73">
        <w:rPr>
          <w:rFonts w:ascii="Arial" w:hAnsi="Arial" w:cs="Arial"/>
          <w:b/>
        </w:rPr>
        <w:t xml:space="preserve">allagher RM, Rauh V, Haugh LD, Milhous R, Callas PW, Langelier R, McClallen JM, Frymoyer J. Determinants of return-to-work among low back pain patients. </w:t>
      </w:r>
      <w:r w:rsidRPr="00D61F73">
        <w:rPr>
          <w:rFonts w:ascii="Arial" w:hAnsi="Arial" w:cs="Arial"/>
          <w:b/>
          <w:i/>
        </w:rPr>
        <w:t>Pain</w:t>
      </w:r>
      <w:r w:rsidRPr="00D61F73">
        <w:rPr>
          <w:rFonts w:ascii="Arial" w:hAnsi="Arial" w:cs="Arial"/>
          <w:b/>
        </w:rPr>
        <w:t>. 1989;39(1):55-67.</w:t>
      </w:r>
    </w:p>
    <w:p w14:paraId="22EF3309" w14:textId="77777777" w:rsidR="008D0565" w:rsidRPr="00D61F73" w:rsidRDefault="008D0565" w:rsidP="00D61F73">
      <w:pPr>
        <w:rPr>
          <w:rFonts w:ascii="Arial" w:hAnsi="Arial" w:cs="Arial"/>
          <w:b/>
        </w:rPr>
      </w:pPr>
    </w:p>
    <w:p w14:paraId="4D85B46A" w14:textId="77777777" w:rsidR="008D0565" w:rsidRPr="00D61F73" w:rsidRDefault="008D0565" w:rsidP="00D61F73">
      <w:pPr>
        <w:rPr>
          <w:rFonts w:ascii="Arial" w:hAnsi="Arial" w:cs="Arial"/>
        </w:rPr>
      </w:pPr>
      <w:r w:rsidRPr="00D61F73">
        <w:rPr>
          <w:rFonts w:ascii="Arial" w:hAnsi="Arial" w:cs="Arial"/>
        </w:rPr>
        <w:t xml:space="preserve">The data suggest that exclusive reliance on the physical examination to determine level of disability, without consideration of psychosocial conditions, and without adjusting for the confounding effects of age and length of time out-of-work, is not empirically justified. </w:t>
      </w:r>
    </w:p>
    <w:p w14:paraId="1D671FAD" w14:textId="77777777" w:rsidR="008D0565" w:rsidRPr="00D61F73" w:rsidRDefault="008D0565" w:rsidP="00D61F73">
      <w:pPr>
        <w:rPr>
          <w:rFonts w:ascii="Arial" w:hAnsi="Arial" w:cs="Arial"/>
        </w:rPr>
      </w:pPr>
    </w:p>
    <w:p w14:paraId="1836E92C" w14:textId="77777777" w:rsidR="008D0565" w:rsidRPr="00D61F73" w:rsidRDefault="008D0565" w:rsidP="00D61F73">
      <w:pPr>
        <w:rPr>
          <w:rFonts w:ascii="Arial" w:hAnsi="Arial" w:cs="Arial"/>
        </w:rPr>
      </w:pPr>
      <w:r w:rsidRPr="00D61F73">
        <w:rPr>
          <w:rFonts w:ascii="Arial" w:hAnsi="Arial" w:cs="Arial"/>
        </w:rPr>
        <w:t xml:space="preserve">PMID: </w:t>
      </w:r>
      <w:hyperlink r:id="rId425" w:history="1">
        <w:r w:rsidRPr="00D61F73">
          <w:rPr>
            <w:rStyle w:val="Hyperlink"/>
            <w:rFonts w:ascii="Arial" w:hAnsi="Arial" w:cs="Arial"/>
          </w:rPr>
          <w:t>2530487</w:t>
        </w:r>
      </w:hyperlink>
    </w:p>
    <w:p w14:paraId="0D9BEEBD" w14:textId="77777777" w:rsidR="008D0565" w:rsidRPr="00D61F73" w:rsidRDefault="008D0565" w:rsidP="00D61F73">
      <w:pPr>
        <w:rPr>
          <w:rFonts w:ascii="Arial" w:hAnsi="Arial" w:cs="Arial"/>
        </w:rPr>
      </w:pPr>
    </w:p>
    <w:p w14:paraId="32229384" w14:textId="77777777" w:rsidR="008D0565" w:rsidRPr="00D61F73" w:rsidRDefault="008D0565" w:rsidP="00D61F73">
      <w:pPr>
        <w:rPr>
          <w:rFonts w:ascii="Arial" w:hAnsi="Arial" w:cs="Arial"/>
        </w:rPr>
      </w:pPr>
      <w:r w:rsidRPr="00D61F73">
        <w:rPr>
          <w:rFonts w:ascii="Arial" w:hAnsi="Arial" w:cs="Arial"/>
        </w:rPr>
        <w:t>Rating: 3b</w:t>
      </w:r>
    </w:p>
    <w:p w14:paraId="7381F40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21" w:name="Gammaitoni"/>
      <w:bookmarkEnd w:id="721"/>
      <w:r w:rsidRPr="00D61F73">
        <w:rPr>
          <w:rFonts w:ascii="Arial" w:hAnsi="Arial" w:cs="Arial"/>
          <w:b/>
        </w:rPr>
        <w:t xml:space="preserve">ammaitoni A, Gallagher RM, Welz-Bosna M. Topical ketamine gel: possible role in treating neuropathic pain. </w:t>
      </w:r>
      <w:r w:rsidRPr="00D61F73">
        <w:rPr>
          <w:rFonts w:ascii="Arial" w:hAnsi="Arial" w:cs="Arial"/>
          <w:b/>
          <w:i/>
        </w:rPr>
        <w:t>Pain Med</w:t>
      </w:r>
      <w:r w:rsidRPr="00D61F73">
        <w:rPr>
          <w:rFonts w:ascii="Arial" w:hAnsi="Arial" w:cs="Arial"/>
          <w:b/>
        </w:rPr>
        <w:t>. 2000;1:97-100.</w:t>
      </w:r>
    </w:p>
    <w:p w14:paraId="5B7BE93D" w14:textId="77777777" w:rsidR="008D0565" w:rsidRPr="00D61F73" w:rsidRDefault="008D0565" w:rsidP="00D61F73">
      <w:pPr>
        <w:rPr>
          <w:rFonts w:ascii="Arial" w:hAnsi="Arial" w:cs="Arial"/>
        </w:rPr>
      </w:pPr>
    </w:p>
    <w:p w14:paraId="3BAFBF9F" w14:textId="77777777" w:rsidR="008D0565" w:rsidRPr="00D61F73" w:rsidRDefault="008D0565" w:rsidP="00D61F73">
      <w:pPr>
        <w:rPr>
          <w:rFonts w:ascii="Arial" w:hAnsi="Arial" w:cs="Arial"/>
        </w:rPr>
      </w:pPr>
      <w:r w:rsidRPr="00D61F73">
        <w:rPr>
          <w:rFonts w:ascii="Arial" w:hAnsi="Arial" w:cs="Arial"/>
        </w:rPr>
        <w:t>Until further information is available and larger trials can be conducted, we can only recommend this type of therapy for refractory cases in which all primary and secondary options have been exhausted.</w:t>
      </w:r>
    </w:p>
    <w:p w14:paraId="60571745" w14:textId="77777777" w:rsidR="008D0565" w:rsidRPr="00D61F73" w:rsidRDefault="008D0565" w:rsidP="00D61F73">
      <w:pPr>
        <w:rPr>
          <w:rFonts w:ascii="Arial" w:hAnsi="Arial" w:cs="Arial"/>
        </w:rPr>
      </w:pPr>
    </w:p>
    <w:p w14:paraId="08248A1C" w14:textId="77777777" w:rsidR="008D0565" w:rsidRPr="00D61F73" w:rsidRDefault="008D0565" w:rsidP="00D61F73">
      <w:pPr>
        <w:rPr>
          <w:rFonts w:ascii="Arial" w:hAnsi="Arial" w:cs="Arial"/>
        </w:rPr>
      </w:pPr>
      <w:r w:rsidRPr="00D61F73">
        <w:rPr>
          <w:rFonts w:ascii="Arial" w:hAnsi="Arial" w:cs="Arial"/>
        </w:rPr>
        <w:t xml:space="preserve">PMID: </w:t>
      </w:r>
      <w:hyperlink r:id="rId426" w:history="1">
        <w:r w:rsidRPr="00D61F73">
          <w:rPr>
            <w:rStyle w:val="Hyperlink"/>
            <w:rFonts w:ascii="Arial" w:hAnsi="Arial" w:cs="Arial"/>
          </w:rPr>
          <w:t>15101968</w:t>
        </w:r>
      </w:hyperlink>
      <w:r w:rsidRPr="00D61F73">
        <w:rPr>
          <w:rFonts w:ascii="Arial" w:hAnsi="Arial" w:cs="Arial"/>
        </w:rPr>
        <w:t xml:space="preserve"> </w:t>
      </w:r>
    </w:p>
    <w:p w14:paraId="7CD3180E" w14:textId="77777777" w:rsidR="008D0565" w:rsidRPr="00D61F73" w:rsidRDefault="008D0565" w:rsidP="00D61F73">
      <w:pPr>
        <w:rPr>
          <w:rFonts w:ascii="Arial" w:hAnsi="Arial" w:cs="Arial"/>
        </w:rPr>
      </w:pPr>
    </w:p>
    <w:p w14:paraId="494EC0A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5c</w:t>
      </w:r>
    </w:p>
    <w:p w14:paraId="6D41B256"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G</w:t>
      </w:r>
      <w:bookmarkStart w:id="722" w:name="García"/>
      <w:bookmarkEnd w:id="722"/>
      <w:r w:rsidRPr="00D61F73">
        <w:rPr>
          <w:rFonts w:ascii="Arial" w:hAnsi="Arial" w:cs="Arial"/>
          <w:b/>
        </w:rPr>
        <w:t xml:space="preserve">arcía Rodríguez LA, Jick H. Risk of upper gastrointestinal bleeding and perforation associated with individual non-steroidal anti-inflammatory drugs. </w:t>
      </w:r>
      <w:r w:rsidRPr="00D61F73">
        <w:rPr>
          <w:rFonts w:ascii="Arial" w:hAnsi="Arial" w:cs="Arial"/>
          <w:b/>
          <w:i/>
        </w:rPr>
        <w:t>Lancet</w:t>
      </w:r>
      <w:r w:rsidRPr="00D61F73">
        <w:rPr>
          <w:rFonts w:ascii="Arial" w:hAnsi="Arial" w:cs="Arial"/>
          <w:b/>
        </w:rPr>
        <w:t xml:space="preserve">. 1994;343:769-72. Erratum in: </w:t>
      </w:r>
      <w:r w:rsidRPr="00D61F73">
        <w:rPr>
          <w:rFonts w:ascii="Arial" w:hAnsi="Arial" w:cs="Arial"/>
          <w:b/>
          <w:i/>
        </w:rPr>
        <w:t>Lancet</w:t>
      </w:r>
      <w:r w:rsidRPr="00D61F73">
        <w:rPr>
          <w:rFonts w:ascii="Arial" w:hAnsi="Arial" w:cs="Arial"/>
          <w:b/>
        </w:rPr>
        <w:t xml:space="preserve"> 1994 Apr 23;343(8904):1048.</w:t>
      </w:r>
    </w:p>
    <w:p w14:paraId="0C638E1F" w14:textId="77777777" w:rsidR="008D0565" w:rsidRPr="00D61F73" w:rsidRDefault="008D0565" w:rsidP="00D61F73">
      <w:pPr>
        <w:pStyle w:val="pmid"/>
        <w:spacing w:before="0" w:beforeAutospacing="0" w:after="0" w:afterAutospacing="0"/>
        <w:rPr>
          <w:rFonts w:ascii="Arial" w:hAnsi="Arial" w:cs="Arial"/>
        </w:rPr>
      </w:pPr>
    </w:p>
    <w:p w14:paraId="624FFEEC"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NSAIDS should be used cautiously in patients who have other risk factors for UGIB; these include advanced age, smoking, history of peptic ulcer, and use of oral corticosteroids or anticoagulants.</w:t>
      </w:r>
    </w:p>
    <w:p w14:paraId="31F37E66" w14:textId="77777777" w:rsidR="008D0565" w:rsidRPr="00D61F73" w:rsidRDefault="008D0565" w:rsidP="00D61F73">
      <w:pPr>
        <w:pStyle w:val="pmid"/>
        <w:spacing w:before="0" w:beforeAutospacing="0" w:after="0" w:afterAutospacing="0"/>
        <w:rPr>
          <w:rFonts w:ascii="Arial" w:hAnsi="Arial" w:cs="Arial"/>
        </w:rPr>
      </w:pPr>
    </w:p>
    <w:p w14:paraId="6544E0A6"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427" w:history="1">
        <w:r w:rsidRPr="00D61F73">
          <w:rPr>
            <w:rStyle w:val="Hyperlink"/>
            <w:rFonts w:ascii="Arial" w:hAnsi="Arial" w:cs="Arial"/>
          </w:rPr>
          <w:t>7907735</w:t>
        </w:r>
      </w:hyperlink>
    </w:p>
    <w:p w14:paraId="1E6B3917" w14:textId="77777777" w:rsidR="008D0565" w:rsidRPr="00D61F73" w:rsidRDefault="008D0565" w:rsidP="00D61F73">
      <w:pPr>
        <w:rPr>
          <w:rFonts w:ascii="Arial" w:hAnsi="Arial" w:cs="Arial"/>
        </w:rPr>
      </w:pPr>
    </w:p>
    <w:p w14:paraId="1279F9B4" w14:textId="77777777" w:rsidR="008D0565" w:rsidRPr="00D61F73" w:rsidRDefault="008D0565" w:rsidP="00D61F73">
      <w:pPr>
        <w:rPr>
          <w:rFonts w:ascii="Arial" w:eastAsia="Calibri" w:hAnsi="Arial" w:cs="Arial"/>
        </w:rPr>
      </w:pPr>
      <w:r w:rsidRPr="00D61F73">
        <w:rPr>
          <w:rFonts w:ascii="Arial" w:hAnsi="Arial" w:cs="Arial"/>
        </w:rPr>
        <w:t>Rating: 3a</w:t>
      </w:r>
    </w:p>
    <w:p w14:paraId="6C6D39C4" w14:textId="5602064F"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bookmarkStart w:id="723" w:name="Gatchel"/>
      <w:r w:rsidRPr="004423C7">
        <w:rPr>
          <w:rFonts w:ascii="Arial" w:hAnsi="Arial" w:cs="Arial"/>
          <w:b/>
          <w:bCs/>
        </w:rPr>
        <w:lastRenderedPageBreak/>
        <w:t>Gatchel</w:t>
      </w:r>
      <w:bookmarkEnd w:id="723"/>
      <w:r w:rsidRPr="004423C7">
        <w:rPr>
          <w:rFonts w:ascii="Arial" w:hAnsi="Arial" w:cs="Arial"/>
          <w:b/>
          <w:bCs/>
        </w:rPr>
        <w:t xml:space="preserve"> RJ; Gardea MA.</w:t>
      </w:r>
      <w:r w:rsidRPr="00D61F73">
        <w:rPr>
          <w:rFonts w:ascii="Arial" w:hAnsi="Arial" w:cs="Arial"/>
          <w:b/>
          <w:bCs/>
        </w:rPr>
        <w:t xml:space="preserve"> Psychosocial issues: their importance in predicting disability, response to treatment, and search for compensation. </w:t>
      </w:r>
      <w:r w:rsidRPr="00D61F73">
        <w:rPr>
          <w:rStyle w:val="HTMLCite"/>
          <w:rFonts w:ascii="Arial" w:hAnsi="Arial" w:cs="Arial"/>
          <w:b/>
          <w:bCs/>
        </w:rPr>
        <w:t xml:space="preserve">Neurologic Clinics. </w:t>
      </w:r>
      <w:r w:rsidRPr="00D61F73">
        <w:rPr>
          <w:rFonts w:ascii="Arial" w:hAnsi="Arial" w:cs="Arial"/>
          <w:b/>
          <w:bCs/>
        </w:rPr>
        <w:t xml:space="preserve">01-Feb-1999; 17(1): 149-66 </w:t>
      </w:r>
    </w:p>
    <w:p w14:paraId="354E0A11" w14:textId="77777777" w:rsidR="008D0565" w:rsidRPr="00D61F73" w:rsidRDefault="008D0565" w:rsidP="00D61F73">
      <w:pPr>
        <w:pStyle w:val="NormalWeb"/>
        <w:spacing w:before="0" w:beforeAutospacing="0" w:after="0" w:afterAutospacing="0"/>
        <w:rPr>
          <w:rFonts w:ascii="Arial" w:hAnsi="Arial" w:cs="Arial"/>
        </w:rPr>
      </w:pPr>
    </w:p>
    <w:p w14:paraId="0DE4FD6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conceptualization of pain and its progression into chronic disability has evolved from unidimensional models to more integrative, biopsychosocial models that take into account the many biological, psychosocial, social, and economic factors that may significantly contribute to the low back pain experience. Further, we examine the issue of compensation and how it too is intricately intertwined with the other variables contributing to lower back pain disability. </w:t>
      </w:r>
    </w:p>
    <w:p w14:paraId="24D9257E" w14:textId="77777777" w:rsidR="008D0565" w:rsidRPr="00D61F73" w:rsidRDefault="008D0565" w:rsidP="00D61F73">
      <w:pPr>
        <w:pStyle w:val="NormalWeb"/>
        <w:spacing w:before="0" w:beforeAutospacing="0" w:after="0" w:afterAutospacing="0"/>
        <w:rPr>
          <w:rFonts w:ascii="Arial" w:hAnsi="Arial" w:cs="Arial"/>
        </w:rPr>
      </w:pPr>
    </w:p>
    <w:p w14:paraId="39800F8A" w14:textId="77777777" w:rsidR="008D0565" w:rsidRPr="00D61F73" w:rsidRDefault="008D0565" w:rsidP="00D61F73">
      <w:pPr>
        <w:rPr>
          <w:rFonts w:ascii="Arial" w:hAnsi="Arial" w:cs="Arial"/>
        </w:rPr>
      </w:pPr>
      <w:r w:rsidRPr="00D61F73">
        <w:rPr>
          <w:rFonts w:ascii="Arial" w:hAnsi="Arial" w:cs="Arial"/>
        </w:rPr>
        <w:t>Publication Type: Review</w:t>
      </w:r>
    </w:p>
    <w:p w14:paraId="00E106E4" w14:textId="77777777" w:rsidR="008D0565" w:rsidRPr="00D61F73" w:rsidRDefault="008D0565" w:rsidP="00D61F73">
      <w:pPr>
        <w:rPr>
          <w:rFonts w:ascii="Arial" w:hAnsi="Arial" w:cs="Arial"/>
        </w:rPr>
      </w:pPr>
    </w:p>
    <w:p w14:paraId="53D1FF91" w14:textId="77777777" w:rsidR="008D0565" w:rsidRPr="00D61F73" w:rsidRDefault="008D0565" w:rsidP="00D61F73">
      <w:pPr>
        <w:rPr>
          <w:rFonts w:ascii="Arial" w:hAnsi="Arial" w:cs="Arial"/>
          <w:b/>
          <w:bCs/>
        </w:rPr>
      </w:pPr>
      <w:r w:rsidRPr="00D61F73">
        <w:rPr>
          <w:rFonts w:ascii="Arial" w:hAnsi="Arial" w:cs="Arial"/>
        </w:rPr>
        <w:br w:type="page"/>
      </w:r>
      <w:bookmarkStart w:id="724" w:name="Gatchel2"/>
      <w:r w:rsidRPr="00D61F73">
        <w:rPr>
          <w:rFonts w:ascii="Arial" w:hAnsi="Arial" w:cs="Arial"/>
          <w:b/>
          <w:bCs/>
        </w:rPr>
        <w:lastRenderedPageBreak/>
        <w:t>Gatchel</w:t>
      </w:r>
      <w:bookmarkEnd w:id="724"/>
      <w:r w:rsidRPr="00D61F73">
        <w:rPr>
          <w:rFonts w:ascii="Arial" w:hAnsi="Arial" w:cs="Arial"/>
          <w:b/>
          <w:bCs/>
        </w:rPr>
        <w:t xml:space="preserve"> R., </w:t>
      </w:r>
      <w:bookmarkStart w:id="725" w:name="Polatin"/>
      <w:r w:rsidRPr="00D61F73">
        <w:rPr>
          <w:rFonts w:ascii="Arial" w:hAnsi="Arial" w:cs="Arial"/>
          <w:b/>
          <w:bCs/>
        </w:rPr>
        <w:t>Polatin</w:t>
      </w:r>
      <w:bookmarkEnd w:id="725"/>
      <w:r w:rsidRPr="00D61F73">
        <w:rPr>
          <w:rFonts w:ascii="Arial" w:hAnsi="Arial" w:cs="Arial"/>
          <w:b/>
          <w:bCs/>
        </w:rPr>
        <w:t xml:space="preserve"> P. and Kinney R. Predicting Outcome of Chronic Back Pain Using Clinical Predictors of Psychopathology: A Prospective Analysis. </w:t>
      </w:r>
      <w:r w:rsidRPr="00D61F73">
        <w:rPr>
          <w:rFonts w:ascii="Arial" w:hAnsi="Arial" w:cs="Arial"/>
          <w:b/>
          <w:bCs/>
          <w:i/>
          <w:iCs/>
        </w:rPr>
        <w:t>Health Psychology</w:t>
      </w:r>
      <w:r w:rsidRPr="00D61F73">
        <w:rPr>
          <w:rFonts w:ascii="Arial" w:hAnsi="Arial" w:cs="Arial"/>
          <w:b/>
          <w:bCs/>
        </w:rPr>
        <w:t xml:space="preserve"> 1995:14 (5);415-20.</w:t>
      </w:r>
    </w:p>
    <w:p w14:paraId="3A4633FF" w14:textId="77777777" w:rsidR="008D0565" w:rsidRPr="00D61F73" w:rsidRDefault="008D0565" w:rsidP="00D61F73">
      <w:pPr>
        <w:rPr>
          <w:rFonts w:ascii="Arial" w:hAnsi="Arial" w:cs="Arial"/>
        </w:rPr>
      </w:pPr>
    </w:p>
    <w:p w14:paraId="3245862B" w14:textId="77777777" w:rsidR="008D0565" w:rsidRPr="00D61F73" w:rsidRDefault="008D0565" w:rsidP="00D61F73">
      <w:pPr>
        <w:rPr>
          <w:rFonts w:ascii="Arial" w:hAnsi="Arial" w:cs="Arial"/>
        </w:rPr>
      </w:pPr>
      <w:r w:rsidRPr="00D61F73">
        <w:rPr>
          <w:rFonts w:ascii="Arial" w:hAnsi="Arial" w:cs="Arial"/>
        </w:rPr>
        <w:t>These results demonstrate the presence of a psychosocial disability variable that is associated with those injured workers who are likely to develop chronic disability problems.</w:t>
      </w:r>
    </w:p>
    <w:p w14:paraId="3038F2DE" w14:textId="77777777" w:rsidR="008D0565" w:rsidRPr="00D61F73" w:rsidRDefault="008D0565" w:rsidP="00D61F73">
      <w:pPr>
        <w:rPr>
          <w:rFonts w:ascii="Arial" w:hAnsi="Arial" w:cs="Arial"/>
        </w:rPr>
      </w:pPr>
    </w:p>
    <w:p w14:paraId="13CA00EC" w14:textId="77777777" w:rsidR="008D0565" w:rsidRPr="00D61F73" w:rsidRDefault="008D0565" w:rsidP="00D61F73">
      <w:pPr>
        <w:rPr>
          <w:rFonts w:ascii="Arial" w:hAnsi="Arial" w:cs="Arial"/>
        </w:rPr>
      </w:pPr>
      <w:r w:rsidRPr="00D61F73">
        <w:rPr>
          <w:rFonts w:ascii="Arial" w:hAnsi="Arial" w:cs="Arial"/>
        </w:rPr>
        <w:t>Rating: 3b, 324 cases</w:t>
      </w:r>
    </w:p>
    <w:p w14:paraId="47922225" w14:textId="77777777" w:rsidR="008D0565" w:rsidRPr="00D61F73" w:rsidRDefault="008D0565" w:rsidP="00D61F73">
      <w:pPr>
        <w:rPr>
          <w:rFonts w:ascii="Arial" w:hAnsi="Arial" w:cs="Arial"/>
        </w:rPr>
      </w:pPr>
    </w:p>
    <w:p w14:paraId="4C34B910" w14:textId="77777777" w:rsidR="008D0565" w:rsidRPr="00D61F73" w:rsidRDefault="008D0565" w:rsidP="00D61F73">
      <w:pPr>
        <w:rPr>
          <w:rFonts w:ascii="Arial" w:hAnsi="Arial" w:cs="Arial"/>
        </w:rPr>
      </w:pPr>
      <w:r w:rsidRPr="00D61F73">
        <w:rPr>
          <w:rFonts w:ascii="Arial" w:hAnsi="Arial" w:cs="Arial"/>
        </w:rPr>
        <w:t>Authors’ conclusions: Psychosocial variables more important in development of back pain-related disability than injury severity and job demands. Comments: Cannot infer what psychosocial information ought to be elicited at initial office visit; SCID and MMPI not practical for routine clinical use</w:t>
      </w:r>
    </w:p>
    <w:p w14:paraId="1DAC6991" w14:textId="77777777" w:rsidR="008D0565" w:rsidRPr="00D61F73" w:rsidRDefault="008D0565" w:rsidP="00D61F73">
      <w:pPr>
        <w:rPr>
          <w:rFonts w:ascii="Arial" w:hAnsi="Arial" w:cs="Arial"/>
        </w:rPr>
      </w:pPr>
    </w:p>
    <w:p w14:paraId="7A5A8F7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26" w:name="Gatchel3"/>
      <w:bookmarkStart w:id="727" w:name="Gatchel22005"/>
      <w:bookmarkEnd w:id="726"/>
      <w:bookmarkEnd w:id="727"/>
      <w:r w:rsidRPr="00D61F73">
        <w:rPr>
          <w:rFonts w:ascii="Arial" w:hAnsi="Arial" w:cs="Arial"/>
          <w:b/>
          <w:bCs/>
        </w:rPr>
        <w:t xml:space="preserve">atchel RJ, Mayer TG, Kidner CL, McGeary DD. Are gender, marital status or parenthood risk factors for outcome of treatment for chronic disabling spinal disorders? </w:t>
      </w:r>
      <w:r w:rsidRPr="00D61F73">
        <w:rPr>
          <w:rFonts w:ascii="Arial" w:hAnsi="Arial" w:cs="Arial"/>
          <w:b/>
          <w:bCs/>
          <w:i/>
          <w:iCs/>
        </w:rPr>
        <w:t>J Occup Rehabil.</w:t>
      </w:r>
      <w:r w:rsidRPr="00D61F73">
        <w:rPr>
          <w:rFonts w:ascii="Arial" w:hAnsi="Arial" w:cs="Arial"/>
          <w:b/>
          <w:bCs/>
        </w:rPr>
        <w:t xml:space="preserve"> 2005 Jun; 15(2):191-201.</w:t>
      </w:r>
    </w:p>
    <w:p w14:paraId="7F3F372C" w14:textId="77777777" w:rsidR="008D0565" w:rsidRPr="00D61F73" w:rsidRDefault="008D0565" w:rsidP="00D61F73">
      <w:pPr>
        <w:rPr>
          <w:rFonts w:ascii="Arial" w:hAnsi="Arial" w:cs="Arial"/>
        </w:rPr>
      </w:pPr>
    </w:p>
    <w:p w14:paraId="37349CEE" w14:textId="77777777" w:rsidR="008D0565" w:rsidRPr="00D61F73" w:rsidRDefault="008D0565" w:rsidP="00D61F73">
      <w:pPr>
        <w:rPr>
          <w:rFonts w:ascii="Arial" w:hAnsi="Arial" w:cs="Arial"/>
        </w:rPr>
      </w:pPr>
      <w:r w:rsidRPr="00D61F73">
        <w:rPr>
          <w:rFonts w:ascii="Arial" w:hAnsi="Arial" w:cs="Arial"/>
        </w:rPr>
        <w:t>Thus, in spite of the societal belief to the contrary, it seems that single parent patients can show similar chronic pain rehabilitation outcomes, relative to other CDWRSD patients, after a prescribed course of tertiary functional restoration rehabilitation.</w:t>
      </w:r>
    </w:p>
    <w:p w14:paraId="7875195E" w14:textId="77777777" w:rsidR="008D0565" w:rsidRPr="00D61F73" w:rsidRDefault="008D0565" w:rsidP="00D61F73">
      <w:pPr>
        <w:rPr>
          <w:rFonts w:ascii="Arial" w:hAnsi="Arial" w:cs="Arial"/>
        </w:rPr>
      </w:pPr>
    </w:p>
    <w:p w14:paraId="3F5B3338" w14:textId="77777777" w:rsidR="008D0565" w:rsidRPr="00D61F73" w:rsidRDefault="008D0565" w:rsidP="00D61F73">
      <w:pPr>
        <w:rPr>
          <w:rFonts w:ascii="Arial" w:hAnsi="Arial" w:cs="Arial"/>
        </w:rPr>
      </w:pPr>
      <w:r w:rsidRPr="00D61F73">
        <w:rPr>
          <w:rFonts w:ascii="Arial" w:hAnsi="Arial" w:cs="Arial"/>
        </w:rPr>
        <w:t xml:space="preserve">PMID: </w:t>
      </w:r>
      <w:hyperlink r:id="rId428" w:history="1">
        <w:r w:rsidRPr="00D61F73">
          <w:rPr>
            <w:rStyle w:val="Hyperlink"/>
            <w:rFonts w:ascii="Arial" w:hAnsi="Arial" w:cs="Arial"/>
          </w:rPr>
          <w:t>15844676</w:t>
        </w:r>
      </w:hyperlink>
      <w:r w:rsidRPr="00D61F73">
        <w:rPr>
          <w:rFonts w:ascii="Arial" w:hAnsi="Arial" w:cs="Arial"/>
        </w:rPr>
        <w:t xml:space="preserve"> </w:t>
      </w:r>
    </w:p>
    <w:p w14:paraId="28C8BFCA" w14:textId="77777777" w:rsidR="008D0565" w:rsidRPr="00D61F73" w:rsidRDefault="008D0565" w:rsidP="00D61F73">
      <w:pPr>
        <w:rPr>
          <w:rFonts w:ascii="Arial" w:hAnsi="Arial" w:cs="Arial"/>
        </w:rPr>
      </w:pPr>
    </w:p>
    <w:p w14:paraId="3872770F" w14:textId="77777777" w:rsidR="008D0565" w:rsidRPr="00D61F73" w:rsidRDefault="008D0565" w:rsidP="00D61F73">
      <w:pPr>
        <w:rPr>
          <w:rFonts w:ascii="Arial" w:hAnsi="Arial" w:cs="Arial"/>
        </w:rPr>
      </w:pPr>
      <w:r w:rsidRPr="00D61F73">
        <w:rPr>
          <w:rFonts w:ascii="Arial" w:hAnsi="Arial" w:cs="Arial"/>
        </w:rPr>
        <w:t>Rating: 4b</w:t>
      </w:r>
    </w:p>
    <w:p w14:paraId="1A4E49A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28" w:name="Gatchel4"/>
      <w:bookmarkEnd w:id="728"/>
      <w:r w:rsidRPr="00D61F73">
        <w:rPr>
          <w:rFonts w:ascii="Arial" w:hAnsi="Arial" w:cs="Arial"/>
          <w:b/>
          <w:bCs/>
        </w:rPr>
        <w:t xml:space="preserve">atchel RJ. Psychosocial factors that can influence the self-assessment of function. </w:t>
      </w:r>
      <w:r w:rsidRPr="00D61F73">
        <w:rPr>
          <w:rFonts w:ascii="Arial" w:hAnsi="Arial" w:cs="Arial"/>
          <w:b/>
          <w:bCs/>
          <w:i/>
          <w:iCs/>
        </w:rPr>
        <w:t>J Occup Rehabil.</w:t>
      </w:r>
      <w:r w:rsidRPr="00D61F73">
        <w:rPr>
          <w:rFonts w:ascii="Arial" w:hAnsi="Arial" w:cs="Arial"/>
          <w:b/>
          <w:bCs/>
        </w:rPr>
        <w:t xml:space="preserve"> 2004 Sep;14(3):197-206.</w:t>
      </w:r>
    </w:p>
    <w:p w14:paraId="486C3EEB" w14:textId="77777777" w:rsidR="008D0565" w:rsidRPr="00D61F73" w:rsidRDefault="008D0565" w:rsidP="00D61F73">
      <w:pPr>
        <w:rPr>
          <w:rFonts w:ascii="Arial" w:hAnsi="Arial" w:cs="Arial"/>
        </w:rPr>
      </w:pPr>
    </w:p>
    <w:p w14:paraId="7BB6A07F" w14:textId="77777777" w:rsidR="008D0565" w:rsidRPr="00D61F73" w:rsidRDefault="008D0565" w:rsidP="00D61F73">
      <w:pPr>
        <w:rPr>
          <w:rFonts w:ascii="Arial" w:hAnsi="Arial" w:cs="Arial"/>
        </w:rPr>
      </w:pPr>
      <w:r w:rsidRPr="00D61F73">
        <w:rPr>
          <w:rFonts w:ascii="Arial" w:hAnsi="Arial" w:cs="Arial"/>
        </w:rPr>
        <w:t>The present article reviews the major psychosocial barriers to assessment/recovery that have been implicated as influencing the self-assessment of function.</w:t>
      </w:r>
    </w:p>
    <w:p w14:paraId="28383441" w14:textId="77777777" w:rsidR="008D0565" w:rsidRPr="00D61F73" w:rsidRDefault="008D0565" w:rsidP="00D61F73">
      <w:pPr>
        <w:rPr>
          <w:rFonts w:ascii="Arial" w:hAnsi="Arial" w:cs="Arial"/>
        </w:rPr>
      </w:pPr>
    </w:p>
    <w:p w14:paraId="0F396EDE" w14:textId="77777777" w:rsidR="008D0565" w:rsidRPr="00D61F73" w:rsidRDefault="008D0565" w:rsidP="00D61F73">
      <w:pPr>
        <w:rPr>
          <w:rFonts w:ascii="Arial" w:hAnsi="Arial" w:cs="Arial"/>
        </w:rPr>
      </w:pPr>
      <w:r w:rsidRPr="00D61F73">
        <w:rPr>
          <w:rFonts w:ascii="Arial" w:hAnsi="Arial" w:cs="Arial"/>
        </w:rPr>
        <w:t xml:space="preserve">PMID: </w:t>
      </w:r>
      <w:hyperlink r:id="rId429" w:history="1">
        <w:r w:rsidRPr="00D61F73">
          <w:rPr>
            <w:rStyle w:val="Hyperlink"/>
            <w:rFonts w:ascii="Arial" w:hAnsi="Arial" w:cs="Arial"/>
          </w:rPr>
          <w:t>15156778</w:t>
        </w:r>
      </w:hyperlink>
      <w:r w:rsidRPr="00D61F73">
        <w:rPr>
          <w:rFonts w:ascii="Arial" w:hAnsi="Arial" w:cs="Arial"/>
        </w:rPr>
        <w:t xml:space="preserve"> </w:t>
      </w:r>
    </w:p>
    <w:p w14:paraId="295EF88A" w14:textId="77777777" w:rsidR="008D0565" w:rsidRPr="00D61F73" w:rsidRDefault="008D0565" w:rsidP="00D61F73">
      <w:pPr>
        <w:rPr>
          <w:rFonts w:ascii="Arial" w:hAnsi="Arial" w:cs="Arial"/>
        </w:rPr>
      </w:pPr>
    </w:p>
    <w:p w14:paraId="3B71A152" w14:textId="77777777" w:rsidR="008D0565" w:rsidRPr="00D61F73" w:rsidRDefault="008D0565" w:rsidP="00D61F73">
      <w:pPr>
        <w:rPr>
          <w:rFonts w:ascii="Arial" w:hAnsi="Arial" w:cs="Arial"/>
        </w:rPr>
      </w:pPr>
      <w:r w:rsidRPr="00D61F73">
        <w:rPr>
          <w:rFonts w:ascii="Arial" w:hAnsi="Arial" w:cs="Arial"/>
        </w:rPr>
        <w:t>Rating: 5a</w:t>
      </w:r>
    </w:p>
    <w:p w14:paraId="1146A2C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29" w:name="Gatchel2003"/>
      <w:bookmarkEnd w:id="729"/>
      <w:r w:rsidRPr="00D61F73">
        <w:rPr>
          <w:rFonts w:ascii="Arial" w:hAnsi="Arial" w:cs="Arial"/>
          <w:b/>
        </w:rPr>
        <w:t xml:space="preserve">atchel RJ, Polatin PB, Noe C, Gardea M, Pulliam C, Thompson J. Treatment- and cost-effectiveness of early intervention for acute low-back pain patients: a one-year prospective study. </w:t>
      </w:r>
      <w:r w:rsidRPr="00D61F73">
        <w:rPr>
          <w:rFonts w:ascii="Arial" w:hAnsi="Arial" w:cs="Arial"/>
          <w:b/>
          <w:i/>
        </w:rPr>
        <w:t>J Occup Rehabil</w:t>
      </w:r>
      <w:r w:rsidRPr="00D61F73">
        <w:rPr>
          <w:rFonts w:ascii="Arial" w:hAnsi="Arial" w:cs="Arial"/>
          <w:b/>
        </w:rPr>
        <w:t>. 2003 Mar;13(1):1-9.</w:t>
      </w:r>
    </w:p>
    <w:p w14:paraId="5DE06E68" w14:textId="77777777" w:rsidR="008D0565" w:rsidRPr="00D61F73" w:rsidRDefault="008D0565" w:rsidP="00D61F73">
      <w:pPr>
        <w:rPr>
          <w:rFonts w:ascii="Arial" w:hAnsi="Arial" w:cs="Arial"/>
        </w:rPr>
      </w:pPr>
    </w:p>
    <w:p w14:paraId="05F8871E" w14:textId="77777777" w:rsidR="008D0565" w:rsidRPr="00D61F73" w:rsidRDefault="008D0565" w:rsidP="00D61F73">
      <w:pPr>
        <w:rPr>
          <w:rFonts w:ascii="Arial" w:hAnsi="Arial" w:cs="Arial"/>
        </w:rPr>
      </w:pPr>
      <w:r w:rsidRPr="00D61F73">
        <w:rPr>
          <w:rFonts w:ascii="Arial" w:hAnsi="Arial" w:cs="Arial"/>
        </w:rPr>
        <w:t xml:space="preserve">Results clearly indicated that the high-risk subjects who received early intervention displayed statistically significant fewer indices of chronic pain disability on a wide range of work, healthcare utilization, medication use, and self-report pain variables, relative to the high-risk subjects who do not receive such early intervention. In addition, the high-risk nonintervention group displayed significantly more symptoms of chronic pain disability on these variables relative to the initially low-risk subjects. Cost-comparison savings data were also evaluated. </w:t>
      </w:r>
    </w:p>
    <w:p w14:paraId="2A643CA0" w14:textId="77777777" w:rsidR="008D0565" w:rsidRPr="00D61F73" w:rsidRDefault="008D0565" w:rsidP="00D61F73">
      <w:pPr>
        <w:rPr>
          <w:rFonts w:ascii="Arial" w:hAnsi="Arial" w:cs="Arial"/>
        </w:rPr>
      </w:pPr>
    </w:p>
    <w:p w14:paraId="62769ED7" w14:textId="77777777" w:rsidR="008D0565" w:rsidRPr="00D61F73" w:rsidRDefault="008D0565" w:rsidP="00D61F73">
      <w:pPr>
        <w:rPr>
          <w:rFonts w:ascii="Arial" w:hAnsi="Arial" w:cs="Arial"/>
        </w:rPr>
      </w:pPr>
      <w:r w:rsidRPr="00D61F73">
        <w:rPr>
          <w:rFonts w:ascii="Arial" w:hAnsi="Arial" w:cs="Arial"/>
        </w:rPr>
        <w:t xml:space="preserve">PMID: </w:t>
      </w:r>
      <w:hyperlink r:id="rId430" w:history="1">
        <w:r w:rsidRPr="00D61F73">
          <w:rPr>
            <w:rStyle w:val="Hyperlink"/>
            <w:rFonts w:ascii="Arial" w:hAnsi="Arial" w:cs="Arial"/>
          </w:rPr>
          <w:t>12611026</w:t>
        </w:r>
      </w:hyperlink>
    </w:p>
    <w:p w14:paraId="7BB87A57" w14:textId="77777777" w:rsidR="008D0565" w:rsidRPr="00D61F73" w:rsidRDefault="008D0565" w:rsidP="00D61F73">
      <w:pPr>
        <w:rPr>
          <w:rFonts w:ascii="Arial" w:hAnsi="Arial" w:cs="Arial"/>
        </w:rPr>
      </w:pPr>
    </w:p>
    <w:p w14:paraId="6F3A4C72" w14:textId="77777777" w:rsidR="008D0565" w:rsidRPr="00D61F73" w:rsidRDefault="008D0565" w:rsidP="00D61F73">
      <w:pPr>
        <w:rPr>
          <w:rFonts w:ascii="Arial" w:hAnsi="Arial" w:cs="Arial"/>
        </w:rPr>
      </w:pPr>
      <w:r w:rsidRPr="00D61F73">
        <w:rPr>
          <w:rFonts w:ascii="Arial" w:hAnsi="Arial" w:cs="Arial"/>
        </w:rPr>
        <w:t>Rating: 3c</w:t>
      </w:r>
    </w:p>
    <w:p w14:paraId="2A93A089"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G</w:t>
      </w:r>
      <w:bookmarkStart w:id="730" w:name="Gatchel12005"/>
      <w:bookmarkEnd w:id="730"/>
      <w:r w:rsidRPr="00D61F73">
        <w:rPr>
          <w:rFonts w:ascii="Arial" w:hAnsi="Arial" w:cs="Arial"/>
          <w:b/>
        </w:rPr>
        <w:t xml:space="preserve">atchel RJ. 2005. </w:t>
      </w:r>
      <w:r w:rsidRPr="00D61F73">
        <w:rPr>
          <w:rFonts w:ascii="Arial" w:hAnsi="Arial" w:cs="Arial"/>
          <w:b/>
          <w:i/>
          <w:iCs/>
        </w:rPr>
        <w:t>Clinical Essentials of Pain Management</w:t>
      </w:r>
      <w:r w:rsidRPr="00D61F73">
        <w:rPr>
          <w:rFonts w:ascii="Arial" w:hAnsi="Arial" w:cs="Arial"/>
          <w:b/>
        </w:rPr>
        <w:t>. Washington, DC: American Psychological Association; 2005.</w:t>
      </w:r>
    </w:p>
    <w:p w14:paraId="7C8269A1" w14:textId="77777777" w:rsidR="008D0565" w:rsidRPr="00D61F73" w:rsidRDefault="008D0565" w:rsidP="00D61F73">
      <w:pPr>
        <w:rPr>
          <w:rFonts w:ascii="Arial" w:hAnsi="Arial" w:cs="Arial"/>
        </w:rPr>
      </w:pPr>
    </w:p>
    <w:p w14:paraId="321B38BB" w14:textId="77777777" w:rsidR="008D0565" w:rsidRPr="00D61F73" w:rsidRDefault="008D0565" w:rsidP="00D61F73">
      <w:pPr>
        <w:rPr>
          <w:rFonts w:ascii="Arial" w:hAnsi="Arial" w:cs="Arial"/>
        </w:rPr>
      </w:pPr>
      <w:r w:rsidRPr="00D61F73">
        <w:rPr>
          <w:rFonts w:ascii="Arial" w:hAnsi="Arial" w:cs="Arial"/>
        </w:rPr>
        <w:t>Going beyond traditional biomedical remedies, Robert Gatchel offers a comprehensive viewpoint that takes into consideration not only biological, but also psychological and social variables.</w:t>
      </w:r>
    </w:p>
    <w:p w14:paraId="595C1F7F" w14:textId="77777777" w:rsidR="008D0565" w:rsidRPr="00D61F73" w:rsidRDefault="008D0565" w:rsidP="00D61F73">
      <w:pPr>
        <w:rPr>
          <w:rFonts w:ascii="Arial" w:hAnsi="Arial" w:cs="Arial"/>
        </w:rPr>
      </w:pPr>
    </w:p>
    <w:p w14:paraId="3E312281" w14:textId="77777777" w:rsidR="008D0565" w:rsidRPr="00D61F73" w:rsidRDefault="008D0565" w:rsidP="00D61F73">
      <w:pPr>
        <w:rPr>
          <w:rFonts w:ascii="Arial" w:hAnsi="Arial" w:cs="Arial"/>
        </w:rPr>
      </w:pPr>
      <w:r w:rsidRPr="00D61F73">
        <w:rPr>
          <w:rFonts w:ascii="Arial" w:hAnsi="Arial" w:cs="Arial"/>
        </w:rPr>
        <w:t>Rating: 9b</w:t>
      </w:r>
    </w:p>
    <w:p w14:paraId="7E0580C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31" w:name="Gatchel2006"/>
      <w:bookmarkEnd w:id="731"/>
      <w:r w:rsidRPr="00D61F73">
        <w:rPr>
          <w:rFonts w:ascii="Arial" w:hAnsi="Arial" w:cs="Arial"/>
          <w:b/>
        </w:rPr>
        <w:t xml:space="preserve">atchel RJ, Mayer TG, Theodore BR. The pain disability questionnaire: relationship to one-year functional and psychosocial rehabilitation outcomes. </w:t>
      </w:r>
      <w:r w:rsidRPr="00D61F73">
        <w:rPr>
          <w:rFonts w:ascii="Arial" w:hAnsi="Arial" w:cs="Arial"/>
          <w:b/>
          <w:i/>
        </w:rPr>
        <w:t>J Occup Rehabil</w:t>
      </w:r>
      <w:r w:rsidRPr="00D61F73">
        <w:rPr>
          <w:rFonts w:ascii="Arial" w:hAnsi="Arial" w:cs="Arial"/>
          <w:b/>
        </w:rPr>
        <w:t>. 2006 Mar;16(1):75-94.</w:t>
      </w:r>
    </w:p>
    <w:p w14:paraId="342980C6" w14:textId="77777777" w:rsidR="008D0565" w:rsidRPr="00D61F73" w:rsidRDefault="008D0565" w:rsidP="00D61F73">
      <w:pPr>
        <w:rPr>
          <w:rFonts w:ascii="Arial" w:hAnsi="Arial" w:cs="Arial"/>
        </w:rPr>
      </w:pPr>
      <w:r w:rsidRPr="00D61F73">
        <w:rPr>
          <w:rFonts w:ascii="Arial" w:hAnsi="Arial" w:cs="Arial"/>
        </w:rPr>
        <w:t xml:space="preserve">    </w:t>
      </w:r>
    </w:p>
    <w:p w14:paraId="373DEDCB" w14:textId="77777777" w:rsidR="008D0565" w:rsidRPr="00D61F73" w:rsidRDefault="008D0565" w:rsidP="00D61F73">
      <w:pPr>
        <w:rPr>
          <w:rFonts w:ascii="Arial" w:hAnsi="Arial" w:cs="Arial"/>
        </w:rPr>
      </w:pPr>
      <w:r w:rsidRPr="00D61F73">
        <w:rPr>
          <w:rFonts w:ascii="Arial" w:hAnsi="Arial" w:cs="Arial"/>
        </w:rPr>
        <w:t xml:space="preserve">RESULTS: Lower rates of work retention were associated with more severe pre-treatment PDQ scores. Higher post-treatment PDQ were associated with decreased return-to-work rates, decreased work retention and a greater percentage seeking health care from a new provider. In addition, PDQ scores were also associated with psychosocial measures such as depression and perceived pain intensity, as well as alternative measures of disability. </w:t>
      </w:r>
    </w:p>
    <w:p w14:paraId="5DD8519F" w14:textId="77777777" w:rsidR="008D0565" w:rsidRPr="00D61F73" w:rsidRDefault="008D0565" w:rsidP="00D61F73">
      <w:pPr>
        <w:rPr>
          <w:rFonts w:ascii="Arial" w:hAnsi="Arial" w:cs="Arial"/>
        </w:rPr>
      </w:pPr>
    </w:p>
    <w:p w14:paraId="4EC02889" w14:textId="77777777" w:rsidR="008D0565" w:rsidRPr="00D61F73" w:rsidRDefault="008D0565" w:rsidP="00D61F73">
      <w:pPr>
        <w:rPr>
          <w:rFonts w:ascii="Arial" w:hAnsi="Arial" w:cs="Arial"/>
        </w:rPr>
      </w:pPr>
      <w:r w:rsidRPr="00D61F73">
        <w:rPr>
          <w:rFonts w:ascii="Arial" w:hAnsi="Arial" w:cs="Arial"/>
        </w:rPr>
        <w:t xml:space="preserve">PMID: </w:t>
      </w:r>
      <w:hyperlink r:id="rId431" w:history="1">
        <w:r w:rsidRPr="00D61F73">
          <w:rPr>
            <w:rStyle w:val="Hyperlink"/>
            <w:rFonts w:ascii="Arial" w:hAnsi="Arial" w:cs="Arial"/>
          </w:rPr>
          <w:t>16752090</w:t>
        </w:r>
      </w:hyperlink>
      <w:r w:rsidRPr="00D61F73">
        <w:rPr>
          <w:rFonts w:ascii="Arial" w:hAnsi="Arial" w:cs="Arial"/>
        </w:rPr>
        <w:t xml:space="preserve"> </w:t>
      </w:r>
    </w:p>
    <w:p w14:paraId="3CDFFF90" w14:textId="77777777" w:rsidR="008D0565" w:rsidRPr="00D61F73" w:rsidRDefault="008D0565" w:rsidP="00D61F73">
      <w:pPr>
        <w:rPr>
          <w:rFonts w:ascii="Arial" w:hAnsi="Arial" w:cs="Arial"/>
        </w:rPr>
      </w:pPr>
    </w:p>
    <w:p w14:paraId="785C1173" w14:textId="77777777" w:rsidR="008D0565" w:rsidRPr="00D61F73" w:rsidRDefault="008D0565" w:rsidP="00D61F73">
      <w:pPr>
        <w:rPr>
          <w:rFonts w:ascii="Arial" w:hAnsi="Arial" w:cs="Arial"/>
        </w:rPr>
      </w:pPr>
      <w:r w:rsidRPr="00D61F73">
        <w:rPr>
          <w:rFonts w:ascii="Arial" w:hAnsi="Arial" w:cs="Arial"/>
        </w:rPr>
        <w:t>Rating: 3c</w:t>
      </w:r>
    </w:p>
    <w:p w14:paraId="7F16565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32" w:name="Gavin"/>
      <w:bookmarkEnd w:id="732"/>
      <w:r w:rsidRPr="00D61F73">
        <w:rPr>
          <w:rFonts w:ascii="Arial" w:hAnsi="Arial" w:cs="Arial"/>
          <w:b/>
          <w:bCs/>
        </w:rPr>
        <w:t xml:space="preserve">avin, I., et al. Identification of Human Cell Responses to Hexavalent Chromium. </w:t>
      </w:r>
      <w:r w:rsidRPr="00D61F73">
        <w:rPr>
          <w:rFonts w:ascii="Arial" w:hAnsi="Arial" w:cs="Arial"/>
          <w:b/>
          <w:bCs/>
          <w:i/>
          <w:iCs/>
        </w:rPr>
        <w:t>Environmental and Molecular Mutagenesis</w:t>
      </w:r>
      <w:r w:rsidRPr="00D61F73">
        <w:rPr>
          <w:rFonts w:ascii="Arial" w:hAnsi="Arial" w:cs="Arial"/>
          <w:b/>
          <w:bCs/>
        </w:rPr>
        <w:t>. 2007. Volume 48: 650-57.</w:t>
      </w:r>
    </w:p>
    <w:p w14:paraId="16FA7736" w14:textId="77777777" w:rsidR="008D0565" w:rsidRPr="00D61F73" w:rsidRDefault="008D0565" w:rsidP="00D61F73">
      <w:pPr>
        <w:rPr>
          <w:rFonts w:ascii="Arial" w:hAnsi="Arial" w:cs="Arial"/>
        </w:rPr>
      </w:pPr>
    </w:p>
    <w:p w14:paraId="21BC09FE" w14:textId="77777777" w:rsidR="008D0565" w:rsidRPr="00D61F73" w:rsidRDefault="008D0565" w:rsidP="00D61F73">
      <w:pPr>
        <w:rPr>
          <w:rFonts w:ascii="Arial" w:hAnsi="Arial" w:cs="Arial"/>
        </w:rPr>
      </w:pPr>
      <w:r w:rsidRPr="00D61F73">
        <w:rPr>
          <w:rFonts w:ascii="Arial" w:hAnsi="Arial" w:cs="Arial"/>
        </w:rPr>
        <w:t>Rating: 5c</w:t>
      </w:r>
    </w:p>
    <w:p w14:paraId="45D811AA" w14:textId="77777777" w:rsidR="008D0565" w:rsidRPr="00D61F73" w:rsidRDefault="008D0565" w:rsidP="00D61F73">
      <w:pPr>
        <w:rPr>
          <w:rFonts w:ascii="Arial" w:hAnsi="Arial" w:cs="Arial"/>
        </w:rPr>
      </w:pPr>
    </w:p>
    <w:p w14:paraId="0D2A9009" w14:textId="77777777" w:rsidR="008D0565" w:rsidRPr="00D61F73" w:rsidRDefault="008D0565" w:rsidP="00D61F73">
      <w:pPr>
        <w:rPr>
          <w:rFonts w:ascii="Arial" w:hAnsi="Arial" w:cs="Arial"/>
        </w:rPr>
      </w:pPr>
      <w:r w:rsidRPr="00D61F73">
        <w:rPr>
          <w:rFonts w:ascii="Arial" w:hAnsi="Arial" w:cs="Arial"/>
        </w:rPr>
        <w:t xml:space="preserve">Quality: N/A. Total Rating: N/A. Comment: Does not meet inclusion criteria for evidence-based review. </w:t>
      </w:r>
    </w:p>
    <w:p w14:paraId="34E4649D" w14:textId="77777777" w:rsidR="008D0565" w:rsidRPr="00D61F73" w:rsidRDefault="008D0565" w:rsidP="00D61F73">
      <w:pPr>
        <w:rPr>
          <w:rFonts w:ascii="Arial" w:hAnsi="Arial" w:cs="Arial"/>
          <w:b/>
          <w:bCs/>
        </w:rPr>
      </w:pPr>
      <w:r w:rsidRPr="00D61F73">
        <w:rPr>
          <w:rFonts w:ascii="Arial" w:hAnsi="Arial" w:cs="Arial"/>
        </w:rPr>
        <w:br w:type="page"/>
      </w:r>
      <w:bookmarkStart w:id="733" w:name="Ghoname"/>
      <w:r w:rsidRPr="00D61F73">
        <w:rPr>
          <w:rFonts w:ascii="Arial" w:hAnsi="Arial" w:cs="Arial"/>
          <w:b/>
          <w:bCs/>
        </w:rPr>
        <w:lastRenderedPageBreak/>
        <w:t>Ghoname</w:t>
      </w:r>
      <w:bookmarkEnd w:id="733"/>
      <w:r w:rsidRPr="00D61F73">
        <w:rPr>
          <w:rFonts w:ascii="Arial" w:hAnsi="Arial" w:cs="Arial"/>
          <w:b/>
          <w:bCs/>
        </w:rPr>
        <w:t xml:space="preserve"> EA, Craig WF, White PF, Ahmed HE, Hamza MA, Henderson BN, Gajraj NM, Huber PJ, Gatchel RJ, Percutaneous electrical nerve stimulation for low back pain: a randomized crossover study, </w:t>
      </w:r>
      <w:r w:rsidRPr="00D61F73">
        <w:rPr>
          <w:rFonts w:ascii="Arial" w:hAnsi="Arial" w:cs="Arial"/>
          <w:b/>
          <w:bCs/>
          <w:i/>
          <w:iCs/>
        </w:rPr>
        <w:t>JAMA</w:t>
      </w:r>
      <w:r w:rsidRPr="00D61F73">
        <w:rPr>
          <w:rFonts w:ascii="Arial" w:hAnsi="Arial" w:cs="Arial"/>
          <w:b/>
          <w:bCs/>
        </w:rPr>
        <w:t xml:space="preserve"> 1999 Mar 3;281(9):818-23</w:t>
      </w:r>
    </w:p>
    <w:p w14:paraId="38F4AF7B" w14:textId="77777777" w:rsidR="008D0565" w:rsidRPr="00D61F73" w:rsidRDefault="008D0565" w:rsidP="00D61F73">
      <w:pPr>
        <w:rPr>
          <w:rFonts w:ascii="Arial" w:hAnsi="Arial" w:cs="Arial"/>
        </w:rPr>
      </w:pPr>
    </w:p>
    <w:p w14:paraId="1DFCD05C" w14:textId="77777777" w:rsidR="008D0565" w:rsidRPr="00D61F73" w:rsidRDefault="008D0565" w:rsidP="00D61F73">
      <w:pPr>
        <w:rPr>
          <w:rFonts w:ascii="Arial" w:hAnsi="Arial" w:cs="Arial"/>
        </w:rPr>
      </w:pPr>
      <w:r w:rsidRPr="00D61F73">
        <w:rPr>
          <w:rFonts w:ascii="Arial" w:hAnsi="Arial" w:cs="Arial"/>
        </w:rPr>
        <w:t>The study concluded, “In this sham-controlled study, PENS was more effective than TENS or exercise therapy in providing short-term pain relief and improved physical function in patients with long-term LBP.”</w:t>
      </w:r>
    </w:p>
    <w:p w14:paraId="06D228A0" w14:textId="77777777" w:rsidR="008D0565" w:rsidRPr="00D61F73" w:rsidRDefault="008D0565" w:rsidP="00D61F73">
      <w:pPr>
        <w:rPr>
          <w:rFonts w:ascii="Arial" w:hAnsi="Arial" w:cs="Arial"/>
        </w:rPr>
      </w:pPr>
    </w:p>
    <w:p w14:paraId="476D3560" w14:textId="77777777" w:rsidR="008D0565" w:rsidRPr="00D61F73" w:rsidRDefault="008D0565" w:rsidP="00D61F73">
      <w:pPr>
        <w:rPr>
          <w:rFonts w:ascii="Arial" w:hAnsi="Arial" w:cs="Arial"/>
        </w:rPr>
      </w:pPr>
      <w:r w:rsidRPr="00D61F73">
        <w:rPr>
          <w:rFonts w:ascii="Arial" w:hAnsi="Arial" w:cs="Arial"/>
        </w:rPr>
        <w:t xml:space="preserve">PMID: </w:t>
      </w:r>
      <w:hyperlink r:id="rId432" w:history="1">
        <w:r w:rsidRPr="00D61F73">
          <w:rPr>
            <w:rStyle w:val="Hyperlink"/>
            <w:rFonts w:ascii="Arial" w:hAnsi="Arial" w:cs="Arial"/>
          </w:rPr>
          <w:t>10071003</w:t>
        </w:r>
      </w:hyperlink>
      <w:r w:rsidRPr="00D61F73">
        <w:rPr>
          <w:rFonts w:ascii="Arial" w:hAnsi="Arial" w:cs="Arial"/>
        </w:rPr>
        <w:t xml:space="preserve"> </w:t>
      </w:r>
    </w:p>
    <w:p w14:paraId="43A58701" w14:textId="77777777" w:rsidR="008D0565" w:rsidRPr="00D61F73" w:rsidRDefault="008D0565" w:rsidP="00D61F73">
      <w:pPr>
        <w:rPr>
          <w:rFonts w:ascii="Arial" w:hAnsi="Arial" w:cs="Arial"/>
        </w:rPr>
      </w:pPr>
    </w:p>
    <w:p w14:paraId="4039171E" w14:textId="77777777" w:rsidR="008D0565" w:rsidRPr="00D61F73" w:rsidRDefault="008D0565" w:rsidP="00D61F73">
      <w:pPr>
        <w:rPr>
          <w:rFonts w:ascii="Arial" w:hAnsi="Arial" w:cs="Arial"/>
        </w:rPr>
      </w:pPr>
      <w:r w:rsidRPr="00D61F73">
        <w:rPr>
          <w:rFonts w:ascii="Arial" w:hAnsi="Arial" w:cs="Arial"/>
        </w:rPr>
        <w:t>Rating: 2c, RCT, 60 cases</w:t>
      </w:r>
    </w:p>
    <w:p w14:paraId="6938A6FF" w14:textId="77777777" w:rsidR="008D0565" w:rsidRPr="00D61F73" w:rsidRDefault="008D0565" w:rsidP="00D61F73">
      <w:pPr>
        <w:rPr>
          <w:rFonts w:ascii="Arial" w:hAnsi="Arial" w:cs="Arial"/>
        </w:rPr>
      </w:pPr>
    </w:p>
    <w:p w14:paraId="3D6B8151" w14:textId="77777777" w:rsidR="008D0565" w:rsidRPr="00D61F73" w:rsidRDefault="008D0565" w:rsidP="00D61F73">
      <w:pPr>
        <w:rPr>
          <w:rFonts w:ascii="Arial" w:hAnsi="Arial" w:cs="Arial"/>
        </w:rPr>
      </w:pPr>
      <w:r w:rsidRPr="00D61F73">
        <w:rPr>
          <w:rFonts w:ascii="Arial" w:hAnsi="Arial" w:cs="Arial"/>
        </w:rPr>
        <w:t>Comments: “Radiologically confirmed” disk disease may not be valid classification, since imaging tests not shown to identify discogenic pain. TENS usually applied prn; this trial applied TENS on fixed schedule &amp; does not constitute a valid comparison of PENS with actual TENS use</w:t>
      </w:r>
    </w:p>
    <w:p w14:paraId="604CE3DB"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Gie</w:t>
      </w:r>
      <w:bookmarkStart w:id="734" w:name="Giesecke"/>
      <w:bookmarkEnd w:id="734"/>
      <w:r w:rsidRPr="00D61F73">
        <w:rPr>
          <w:rFonts w:ascii="Arial" w:hAnsi="Arial" w:cs="Arial"/>
          <w:b/>
          <w:bCs/>
        </w:rPr>
        <w:t xml:space="preserve">secke T, Williams DA, Harris RE, Cupps TR, Tian X, Tian TX, Gracely RH, Clauw DJ. Subgrouping of fibromyalgia patients on the basis of pressure-pain thresholds and psychological factors. </w:t>
      </w:r>
      <w:r w:rsidRPr="00D61F73">
        <w:rPr>
          <w:rFonts w:ascii="Arial" w:hAnsi="Arial" w:cs="Arial"/>
          <w:b/>
          <w:bCs/>
          <w:i/>
          <w:iCs/>
        </w:rPr>
        <w:t>Arthritis Rheum</w:t>
      </w:r>
      <w:r w:rsidRPr="00D61F73">
        <w:rPr>
          <w:rFonts w:ascii="Arial" w:hAnsi="Arial" w:cs="Arial"/>
          <w:b/>
          <w:bCs/>
        </w:rPr>
        <w:t>. 2003 Oct;48(10):2916-22.</w:t>
      </w:r>
    </w:p>
    <w:p w14:paraId="00CE23D3" w14:textId="77777777" w:rsidR="008D0565" w:rsidRPr="00D61F73" w:rsidRDefault="008D0565" w:rsidP="00D61F73">
      <w:pPr>
        <w:rPr>
          <w:rFonts w:ascii="Arial" w:hAnsi="Arial" w:cs="Arial"/>
        </w:rPr>
      </w:pPr>
    </w:p>
    <w:p w14:paraId="7F411244" w14:textId="77777777" w:rsidR="008D0565" w:rsidRPr="00D61F73" w:rsidRDefault="008D0565" w:rsidP="00D61F73">
      <w:pPr>
        <w:rPr>
          <w:rFonts w:ascii="Arial" w:hAnsi="Arial" w:cs="Arial"/>
        </w:rPr>
      </w:pPr>
      <w:r w:rsidRPr="00D61F73">
        <w:rPr>
          <w:rFonts w:ascii="Arial" w:hAnsi="Arial" w:cs="Arial"/>
        </w:rPr>
        <w:t>CONCLUSION: These data help support the clinical impression that there are distinct subgroups of patients with fibromyalgia. There appears to be a group of fibromyalgia patients who exhibit extreme tenderness but lack any associated psychological/cognitive factors, an intermediate group who display moderate tenderness and have normal mood, and a group in whom mood and cognitive factors may be significantly influencing the symptom report.</w:t>
      </w:r>
    </w:p>
    <w:p w14:paraId="7E66B8E1" w14:textId="77777777" w:rsidR="008D0565" w:rsidRPr="00D61F73" w:rsidRDefault="008D0565" w:rsidP="00D61F73">
      <w:pPr>
        <w:rPr>
          <w:rFonts w:ascii="Arial" w:hAnsi="Arial" w:cs="Arial"/>
        </w:rPr>
      </w:pPr>
    </w:p>
    <w:p w14:paraId="45CF96FC" w14:textId="77777777" w:rsidR="008D0565" w:rsidRPr="00D61F73" w:rsidRDefault="008D0565" w:rsidP="00D61F73">
      <w:pPr>
        <w:rPr>
          <w:rFonts w:ascii="Arial" w:hAnsi="Arial" w:cs="Arial"/>
        </w:rPr>
      </w:pPr>
      <w:r w:rsidRPr="00D61F73">
        <w:rPr>
          <w:rFonts w:ascii="Arial" w:hAnsi="Arial" w:cs="Arial"/>
        </w:rPr>
        <w:t xml:space="preserve">PMID: </w:t>
      </w:r>
      <w:hyperlink r:id="rId433" w:history="1">
        <w:r w:rsidRPr="00D61F73">
          <w:rPr>
            <w:rStyle w:val="Hyperlink"/>
            <w:rFonts w:ascii="Arial" w:hAnsi="Arial" w:cs="Arial"/>
          </w:rPr>
          <w:t>14558098</w:t>
        </w:r>
      </w:hyperlink>
      <w:r w:rsidRPr="00D61F73">
        <w:rPr>
          <w:rFonts w:ascii="Arial" w:hAnsi="Arial" w:cs="Arial"/>
        </w:rPr>
        <w:t xml:space="preserve"> </w:t>
      </w:r>
    </w:p>
    <w:p w14:paraId="47E01624" w14:textId="77777777" w:rsidR="008D0565" w:rsidRPr="00D61F73" w:rsidRDefault="008D0565" w:rsidP="00D61F73">
      <w:pPr>
        <w:rPr>
          <w:rFonts w:ascii="Arial" w:hAnsi="Arial" w:cs="Arial"/>
        </w:rPr>
      </w:pPr>
    </w:p>
    <w:p w14:paraId="7ABE3FB0" w14:textId="77777777" w:rsidR="008D0565" w:rsidRPr="00D61F73" w:rsidRDefault="008D0565" w:rsidP="00D61F73">
      <w:pPr>
        <w:rPr>
          <w:rFonts w:ascii="Arial" w:hAnsi="Arial" w:cs="Arial"/>
        </w:rPr>
      </w:pPr>
      <w:r w:rsidRPr="00D61F73">
        <w:rPr>
          <w:rFonts w:ascii="Arial" w:hAnsi="Arial" w:cs="Arial"/>
        </w:rPr>
        <w:t>Rating: 3b</w:t>
      </w:r>
    </w:p>
    <w:p w14:paraId="6F9E304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Gij</w:t>
      </w:r>
      <w:bookmarkStart w:id="735" w:name="Gijsman"/>
      <w:bookmarkEnd w:id="735"/>
      <w:r w:rsidRPr="00D61F73">
        <w:rPr>
          <w:rFonts w:ascii="Arial" w:hAnsi="Arial" w:cs="Arial"/>
          <w:b/>
          <w:bCs/>
        </w:rPr>
        <w:t xml:space="preserve">sman HJ, Geddes JR, Rendell JM, Nolen WA, Goodwin GM. Antidepressants for bipolar depression: a systematic review of randomized, controlled trials. </w:t>
      </w:r>
      <w:r w:rsidRPr="00D61F73">
        <w:rPr>
          <w:rFonts w:ascii="Arial" w:hAnsi="Arial" w:cs="Arial"/>
          <w:b/>
          <w:bCs/>
          <w:i/>
          <w:iCs/>
        </w:rPr>
        <w:t>Am J Psychiatry</w:t>
      </w:r>
      <w:r w:rsidRPr="00D61F73">
        <w:rPr>
          <w:rFonts w:ascii="Arial" w:hAnsi="Arial" w:cs="Arial"/>
          <w:b/>
          <w:bCs/>
        </w:rPr>
        <w:t>. 2004 Sep;161(9):1537-47.</w:t>
      </w:r>
    </w:p>
    <w:p w14:paraId="22AE2E6B" w14:textId="77777777" w:rsidR="008D0565" w:rsidRPr="00D61F73" w:rsidRDefault="008D0565" w:rsidP="00D61F73">
      <w:pPr>
        <w:rPr>
          <w:rFonts w:ascii="Arial" w:hAnsi="Arial" w:cs="Arial"/>
        </w:rPr>
      </w:pPr>
    </w:p>
    <w:p w14:paraId="0F377BA4" w14:textId="77777777" w:rsidR="008D0565" w:rsidRPr="00D61F73" w:rsidRDefault="008D0565" w:rsidP="00D61F73">
      <w:pPr>
        <w:rPr>
          <w:rFonts w:ascii="Arial" w:hAnsi="Arial" w:cs="Arial"/>
        </w:rPr>
      </w:pPr>
      <w:r w:rsidRPr="00D61F73">
        <w:rPr>
          <w:rFonts w:ascii="Arial" w:hAnsi="Arial" w:cs="Arial"/>
        </w:rPr>
        <w:t xml:space="preserve">CONCLUSIONS: Antidepressants are effective in the short-term treatment of bipolar depression. The trial data do not suggest that switching is a common early complication of treatment with antidepressants. It may be prudent to use a selective serotonin reuptake inhibitor or a monoamine oxidase inhibitor rather than a tricyclic antidepressant as first-line treatment. </w:t>
      </w:r>
    </w:p>
    <w:p w14:paraId="5E8F01F7" w14:textId="77777777" w:rsidR="008D0565" w:rsidRPr="00D61F73" w:rsidRDefault="008D0565" w:rsidP="00D61F73">
      <w:pPr>
        <w:rPr>
          <w:rFonts w:ascii="Arial" w:hAnsi="Arial" w:cs="Arial"/>
        </w:rPr>
      </w:pPr>
    </w:p>
    <w:p w14:paraId="2F4B5432" w14:textId="77777777" w:rsidR="008D0565" w:rsidRPr="00D61F73" w:rsidRDefault="008D0565" w:rsidP="00D61F73">
      <w:pPr>
        <w:rPr>
          <w:rFonts w:ascii="Arial" w:hAnsi="Arial" w:cs="Arial"/>
        </w:rPr>
      </w:pPr>
      <w:r w:rsidRPr="00D61F73">
        <w:rPr>
          <w:rFonts w:ascii="Arial" w:hAnsi="Arial" w:cs="Arial"/>
        </w:rPr>
        <w:t xml:space="preserve">PMID: </w:t>
      </w:r>
      <w:hyperlink r:id="rId434" w:history="1">
        <w:r w:rsidRPr="00D61F73">
          <w:rPr>
            <w:rStyle w:val="Hyperlink"/>
            <w:rFonts w:ascii="Arial" w:hAnsi="Arial" w:cs="Arial"/>
          </w:rPr>
          <w:t>15337640</w:t>
        </w:r>
      </w:hyperlink>
      <w:r w:rsidRPr="00D61F73">
        <w:rPr>
          <w:rFonts w:ascii="Arial" w:hAnsi="Arial" w:cs="Arial"/>
        </w:rPr>
        <w:t xml:space="preserve"> </w:t>
      </w:r>
    </w:p>
    <w:p w14:paraId="77E9D87A" w14:textId="77777777" w:rsidR="008D0565" w:rsidRPr="00D61F73" w:rsidRDefault="008D0565" w:rsidP="00D61F73">
      <w:pPr>
        <w:rPr>
          <w:rFonts w:ascii="Arial" w:hAnsi="Arial" w:cs="Arial"/>
        </w:rPr>
      </w:pPr>
    </w:p>
    <w:p w14:paraId="6122CA1D" w14:textId="77777777" w:rsidR="008D0565" w:rsidRPr="00D61F73" w:rsidRDefault="008D0565" w:rsidP="00D61F73">
      <w:pPr>
        <w:rPr>
          <w:rFonts w:ascii="Arial" w:hAnsi="Arial" w:cs="Arial"/>
        </w:rPr>
      </w:pPr>
      <w:r w:rsidRPr="00D61F73">
        <w:rPr>
          <w:rFonts w:ascii="Arial" w:hAnsi="Arial" w:cs="Arial"/>
        </w:rPr>
        <w:t>Rating: 1b</w:t>
      </w:r>
    </w:p>
    <w:p w14:paraId="0EB095E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36" w:name="Gillis"/>
      <w:bookmarkEnd w:id="736"/>
      <w:r w:rsidRPr="00D61F73">
        <w:rPr>
          <w:rFonts w:ascii="Arial" w:hAnsi="Arial" w:cs="Arial"/>
          <w:b/>
          <w:bCs/>
        </w:rPr>
        <w:t xml:space="preserve">illis, B., et al. Identification of Human cell responses to benzene and benzene metabolites. </w:t>
      </w:r>
      <w:r w:rsidRPr="00D61F73">
        <w:rPr>
          <w:rFonts w:ascii="Arial" w:hAnsi="Arial" w:cs="Arial"/>
          <w:b/>
          <w:bCs/>
          <w:i/>
          <w:iCs/>
        </w:rPr>
        <w:t>Genomics</w:t>
      </w:r>
      <w:r w:rsidRPr="00D61F73">
        <w:rPr>
          <w:rFonts w:ascii="Arial" w:hAnsi="Arial" w:cs="Arial"/>
          <w:b/>
          <w:bCs/>
        </w:rPr>
        <w:t>. 2007. Number 90: 324-33.</w:t>
      </w:r>
    </w:p>
    <w:p w14:paraId="277275F6" w14:textId="77777777" w:rsidR="008D0565" w:rsidRPr="00D61F73" w:rsidRDefault="008D0565" w:rsidP="00D61F73">
      <w:pPr>
        <w:rPr>
          <w:rFonts w:ascii="Arial" w:hAnsi="Arial" w:cs="Arial"/>
        </w:rPr>
      </w:pPr>
    </w:p>
    <w:p w14:paraId="6D24320F" w14:textId="77777777" w:rsidR="008D0565" w:rsidRPr="00D61F73" w:rsidRDefault="008D0565" w:rsidP="00D61F73">
      <w:pPr>
        <w:rPr>
          <w:rFonts w:ascii="Arial" w:hAnsi="Arial" w:cs="Arial"/>
        </w:rPr>
      </w:pPr>
      <w:r w:rsidRPr="00D61F73">
        <w:rPr>
          <w:rFonts w:ascii="Arial" w:hAnsi="Arial" w:cs="Arial"/>
        </w:rPr>
        <w:t>Rating: 5c</w:t>
      </w:r>
    </w:p>
    <w:p w14:paraId="20A16588" w14:textId="77777777" w:rsidR="008D0565" w:rsidRPr="00D61F73" w:rsidRDefault="008D0565" w:rsidP="00D61F73">
      <w:pPr>
        <w:rPr>
          <w:rFonts w:ascii="Arial" w:hAnsi="Arial" w:cs="Arial"/>
        </w:rPr>
      </w:pPr>
    </w:p>
    <w:p w14:paraId="6AC0E473" w14:textId="77777777" w:rsidR="008D0565" w:rsidRPr="00D61F73" w:rsidRDefault="008D0565" w:rsidP="00D61F73">
      <w:pPr>
        <w:rPr>
          <w:rFonts w:ascii="Arial" w:hAnsi="Arial" w:cs="Arial"/>
        </w:rPr>
      </w:pPr>
      <w:r w:rsidRPr="00D61F73">
        <w:rPr>
          <w:rFonts w:ascii="Arial" w:hAnsi="Arial" w:cs="Arial"/>
        </w:rPr>
        <w:t xml:space="preserve">Quality: N/A. Total Rating: N/A. Comment: Does not meet inclusion criteria for evidence-based review. </w:t>
      </w:r>
    </w:p>
    <w:p w14:paraId="05090C03" w14:textId="77777777" w:rsidR="008D0565" w:rsidRPr="00D61F73" w:rsidRDefault="008D0565" w:rsidP="00D61F73">
      <w:pPr>
        <w:rPr>
          <w:rFonts w:ascii="Arial" w:hAnsi="Arial" w:cs="Arial"/>
        </w:rPr>
      </w:pPr>
    </w:p>
    <w:p w14:paraId="471E88B6"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G</w:t>
      </w:r>
      <w:bookmarkStart w:id="737" w:name="Gilron"/>
      <w:bookmarkEnd w:id="737"/>
      <w:r w:rsidRPr="00D61F73">
        <w:rPr>
          <w:rFonts w:ascii="Arial" w:hAnsi="Arial" w:cs="Arial"/>
          <w:b/>
          <w:bCs/>
        </w:rPr>
        <w:t xml:space="preserve">ilron I, Bailey JM, Tu D, Holden RR, Weaver DF, Houlden RL. Morphine, gabapentin, or their combination for neuropathic pain. </w:t>
      </w:r>
      <w:r w:rsidRPr="00D61F73">
        <w:rPr>
          <w:rFonts w:ascii="Arial" w:hAnsi="Arial" w:cs="Arial"/>
          <w:b/>
          <w:bCs/>
          <w:i/>
        </w:rPr>
        <w:t>N Engl J Med.</w:t>
      </w:r>
      <w:r w:rsidRPr="00D61F73">
        <w:rPr>
          <w:rFonts w:ascii="Arial" w:hAnsi="Arial" w:cs="Arial"/>
          <w:b/>
          <w:bCs/>
        </w:rPr>
        <w:t xml:space="preserve"> 2005 Mar 31;352(13):1324-34.</w:t>
      </w:r>
    </w:p>
    <w:p w14:paraId="796F7BBD" w14:textId="77777777" w:rsidR="008D0565" w:rsidRPr="00D61F73" w:rsidRDefault="008D0565" w:rsidP="00D61F73">
      <w:pPr>
        <w:rPr>
          <w:rFonts w:ascii="Arial" w:hAnsi="Arial" w:cs="Arial"/>
        </w:rPr>
      </w:pPr>
    </w:p>
    <w:p w14:paraId="44EB08C2" w14:textId="77777777" w:rsidR="008D0565" w:rsidRPr="00D61F73" w:rsidRDefault="008D0565" w:rsidP="00D61F73">
      <w:pPr>
        <w:rPr>
          <w:rFonts w:ascii="Arial" w:hAnsi="Arial" w:cs="Arial"/>
        </w:rPr>
      </w:pPr>
      <w:r w:rsidRPr="00D61F73">
        <w:rPr>
          <w:rFonts w:ascii="Arial" w:hAnsi="Arial" w:cs="Arial"/>
        </w:rPr>
        <w:t xml:space="preserve">CONCLUSIONS: Gabapentin and morphine combined achieved better analgesia at lower doses of each drug than either as a single agent, with constipation, sedation, and dry mouth as the most frequent adverse effects. </w:t>
      </w:r>
    </w:p>
    <w:p w14:paraId="07BBC123" w14:textId="77777777" w:rsidR="008D0565" w:rsidRPr="00D61F73" w:rsidRDefault="008D0565" w:rsidP="00D61F73">
      <w:pPr>
        <w:rPr>
          <w:rFonts w:ascii="Arial" w:hAnsi="Arial" w:cs="Arial"/>
        </w:rPr>
      </w:pPr>
    </w:p>
    <w:p w14:paraId="48ED1A34" w14:textId="77777777" w:rsidR="008D0565" w:rsidRPr="00D61F73" w:rsidRDefault="008D0565" w:rsidP="00D61F73">
      <w:pPr>
        <w:rPr>
          <w:rFonts w:ascii="Arial" w:hAnsi="Arial" w:cs="Arial"/>
        </w:rPr>
      </w:pPr>
      <w:r w:rsidRPr="00D61F73">
        <w:rPr>
          <w:rFonts w:ascii="Arial" w:hAnsi="Arial" w:cs="Arial"/>
        </w:rPr>
        <w:t xml:space="preserve">PMID: </w:t>
      </w:r>
      <w:hyperlink r:id="rId435" w:history="1">
        <w:r w:rsidRPr="00D61F73">
          <w:rPr>
            <w:rStyle w:val="Hyperlink"/>
            <w:rFonts w:ascii="Arial" w:hAnsi="Arial" w:cs="Arial"/>
          </w:rPr>
          <w:t>15800228</w:t>
        </w:r>
      </w:hyperlink>
      <w:r w:rsidRPr="00D61F73">
        <w:rPr>
          <w:rFonts w:ascii="Arial" w:hAnsi="Arial" w:cs="Arial"/>
        </w:rPr>
        <w:t xml:space="preserve"> </w:t>
      </w:r>
    </w:p>
    <w:p w14:paraId="4B132976" w14:textId="77777777" w:rsidR="008D0565" w:rsidRPr="00D61F73" w:rsidRDefault="008D0565" w:rsidP="00D61F73">
      <w:pPr>
        <w:rPr>
          <w:rFonts w:ascii="Arial" w:hAnsi="Arial" w:cs="Arial"/>
        </w:rPr>
      </w:pPr>
    </w:p>
    <w:p w14:paraId="392A7546" w14:textId="77777777" w:rsidR="008D0565" w:rsidRPr="00D61F73" w:rsidRDefault="008D0565" w:rsidP="00D61F73">
      <w:pPr>
        <w:rPr>
          <w:rFonts w:ascii="Arial" w:hAnsi="Arial" w:cs="Arial"/>
        </w:rPr>
      </w:pPr>
      <w:r w:rsidRPr="00D61F73">
        <w:rPr>
          <w:rFonts w:ascii="Arial" w:hAnsi="Arial" w:cs="Arial"/>
        </w:rPr>
        <w:t>Rating: 2b</w:t>
      </w:r>
    </w:p>
    <w:p w14:paraId="2CE1DD5E" w14:textId="77777777" w:rsidR="008D0565" w:rsidRPr="00D61F73" w:rsidRDefault="008D0565" w:rsidP="00D61F73">
      <w:pPr>
        <w:rPr>
          <w:rFonts w:ascii="Arial" w:hAnsi="Arial" w:cs="Arial"/>
        </w:rPr>
      </w:pPr>
    </w:p>
    <w:p w14:paraId="6FF617F1" w14:textId="77777777" w:rsidR="008D0565" w:rsidRPr="00D61F73" w:rsidRDefault="008D0565" w:rsidP="00D61F73">
      <w:pPr>
        <w:rPr>
          <w:rFonts w:ascii="Arial" w:hAnsi="Arial" w:cs="Arial"/>
        </w:rPr>
      </w:pPr>
      <w:r w:rsidRPr="00D61F73">
        <w:rPr>
          <w:rFonts w:ascii="Arial" w:hAnsi="Arial" w:cs="Arial"/>
        </w:rPr>
        <w:t>Clinical Question: Is the combination of gabapentin (Neurontin) and morphine more effective for neuropathic pain than either drug alone? Synopsis: Gabapentin and morphine are widely used for neuropathic pain, but it is unclear whether the combination is better than either drug alone. Bottom Line: The combination of gabapentin and morphine provides a small but clinically unimportant benefit over either drug alone. Tricyclic antidepressants have been shown in other studies to be as effective as gabapentin and are much less expensive, but were not studied in this trial. (Level of Evidence: 1b)</w:t>
      </w:r>
    </w:p>
    <w:p w14:paraId="4F016C9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38" w:name="Gilron2006"/>
      <w:bookmarkEnd w:id="738"/>
      <w:r w:rsidRPr="00D61F73">
        <w:rPr>
          <w:rFonts w:ascii="Arial" w:hAnsi="Arial" w:cs="Arial"/>
          <w:b/>
        </w:rPr>
        <w:t xml:space="preserve">ilron I, Watson CP, Cahill CM, Moulin DE. Neuropathic pain: a practical guide for the clinician. </w:t>
      </w:r>
      <w:r w:rsidRPr="00D61F73">
        <w:rPr>
          <w:rFonts w:ascii="Arial" w:hAnsi="Arial" w:cs="Arial"/>
          <w:b/>
          <w:i/>
        </w:rPr>
        <w:t>CMAJ</w:t>
      </w:r>
      <w:r w:rsidRPr="00D61F73">
        <w:rPr>
          <w:rFonts w:ascii="Arial" w:hAnsi="Arial" w:cs="Arial"/>
          <w:b/>
        </w:rPr>
        <w:t>. 2006;175:265-75.</w:t>
      </w:r>
    </w:p>
    <w:p w14:paraId="04B0AAD1" w14:textId="77777777" w:rsidR="008D0565" w:rsidRPr="00D61F73" w:rsidRDefault="008D0565" w:rsidP="00D61F73">
      <w:pPr>
        <w:rPr>
          <w:rFonts w:ascii="Arial" w:hAnsi="Arial" w:cs="Arial"/>
        </w:rPr>
      </w:pPr>
    </w:p>
    <w:p w14:paraId="0895B6FF" w14:textId="77777777" w:rsidR="008D0565" w:rsidRPr="00D61F73" w:rsidRDefault="008D0565" w:rsidP="00D61F73">
      <w:pPr>
        <w:rPr>
          <w:rFonts w:ascii="Arial" w:hAnsi="Arial" w:cs="Arial"/>
        </w:rPr>
      </w:pPr>
      <w:r w:rsidRPr="00D61F73">
        <w:rPr>
          <w:rFonts w:ascii="Arial" w:hAnsi="Arial" w:cs="Arial"/>
        </w:rPr>
        <w:t xml:space="preserve">We propose a primary care algorithm for treatments with the most favourable risk-benefit profile, including topical lidocaine, gabapentin, pregabalin, tricyclic antidepressants, mixed serotonin-norepinephrine reuptake inhibitors, tramadol and opioids. </w:t>
      </w:r>
    </w:p>
    <w:p w14:paraId="729A0869" w14:textId="77777777" w:rsidR="008D0565" w:rsidRPr="00D61F73" w:rsidRDefault="008D0565" w:rsidP="00D61F73">
      <w:pPr>
        <w:rPr>
          <w:rFonts w:ascii="Arial" w:hAnsi="Arial" w:cs="Arial"/>
        </w:rPr>
      </w:pPr>
    </w:p>
    <w:p w14:paraId="1A4191B1" w14:textId="77777777" w:rsidR="008D0565" w:rsidRPr="00D61F73" w:rsidRDefault="008D0565" w:rsidP="00D61F73">
      <w:pPr>
        <w:rPr>
          <w:rFonts w:ascii="Arial" w:hAnsi="Arial" w:cs="Arial"/>
        </w:rPr>
      </w:pPr>
      <w:r w:rsidRPr="00D61F73">
        <w:rPr>
          <w:rFonts w:ascii="Arial" w:hAnsi="Arial" w:cs="Arial"/>
        </w:rPr>
        <w:t xml:space="preserve">PMID: </w:t>
      </w:r>
      <w:hyperlink r:id="rId436" w:history="1">
        <w:r w:rsidRPr="00D61F73">
          <w:rPr>
            <w:rStyle w:val="Hyperlink"/>
            <w:rFonts w:ascii="Arial" w:hAnsi="Arial" w:cs="Arial"/>
          </w:rPr>
          <w:t>16880448</w:t>
        </w:r>
      </w:hyperlink>
    </w:p>
    <w:p w14:paraId="607EFC5B" w14:textId="77777777" w:rsidR="008D0565" w:rsidRPr="00D61F73" w:rsidRDefault="008D0565" w:rsidP="00D61F73">
      <w:pPr>
        <w:rPr>
          <w:rFonts w:ascii="Arial" w:hAnsi="Arial" w:cs="Arial"/>
        </w:rPr>
      </w:pPr>
    </w:p>
    <w:p w14:paraId="02A40CB9" w14:textId="77777777" w:rsidR="008D0565" w:rsidRPr="00D61F73" w:rsidRDefault="008D0565" w:rsidP="00D61F73">
      <w:pPr>
        <w:rPr>
          <w:rFonts w:ascii="Arial" w:hAnsi="Arial" w:cs="Arial"/>
        </w:rPr>
      </w:pPr>
      <w:r w:rsidRPr="00D61F73">
        <w:rPr>
          <w:rFonts w:ascii="Arial" w:hAnsi="Arial" w:cs="Arial"/>
        </w:rPr>
        <w:t>Rating: 5b</w:t>
      </w:r>
    </w:p>
    <w:p w14:paraId="6A88CAA1" w14:textId="77777777" w:rsidR="008D0565" w:rsidRPr="00D61F73" w:rsidRDefault="008D0565" w:rsidP="00D61F73">
      <w:pPr>
        <w:pStyle w:val="pmid"/>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G</w:t>
      </w:r>
      <w:bookmarkStart w:id="739" w:name="Gilron2007"/>
      <w:bookmarkEnd w:id="739"/>
      <w:r w:rsidRPr="00D61F73">
        <w:rPr>
          <w:rFonts w:ascii="Arial" w:hAnsi="Arial" w:cs="Arial"/>
          <w:b/>
        </w:rPr>
        <w:t xml:space="preserve">ilron I, Coderre TJ. Emerging drugs in neuropathic pain. </w:t>
      </w:r>
      <w:r w:rsidRPr="00D61F73">
        <w:rPr>
          <w:rFonts w:ascii="Arial" w:hAnsi="Arial" w:cs="Arial"/>
          <w:b/>
          <w:i/>
        </w:rPr>
        <w:t>Expert Opin Emerg Drugs</w:t>
      </w:r>
      <w:r w:rsidRPr="00D61F73">
        <w:rPr>
          <w:rFonts w:ascii="Arial" w:hAnsi="Arial" w:cs="Arial"/>
          <w:b/>
        </w:rPr>
        <w:t>. 2007;12:113-26.</w:t>
      </w:r>
    </w:p>
    <w:p w14:paraId="1CD26FE3" w14:textId="77777777" w:rsidR="008D0565" w:rsidRPr="00D61F73" w:rsidRDefault="008D0565" w:rsidP="00D61F73">
      <w:pPr>
        <w:pStyle w:val="pmid"/>
        <w:spacing w:before="0" w:beforeAutospacing="0" w:after="0" w:afterAutospacing="0"/>
        <w:rPr>
          <w:rFonts w:ascii="Arial" w:hAnsi="Arial" w:cs="Arial"/>
        </w:rPr>
      </w:pPr>
    </w:p>
    <w:p w14:paraId="501B2970"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In the interest of improving patient care, the authors recommend implementing comparative studies throughout the development process in order to demonstrate the increased value of novel agents.</w:t>
      </w:r>
    </w:p>
    <w:p w14:paraId="3D117C96" w14:textId="77777777" w:rsidR="008D0565" w:rsidRPr="00D61F73" w:rsidRDefault="008D0565" w:rsidP="00D61F73">
      <w:pPr>
        <w:pStyle w:val="pmid"/>
        <w:spacing w:before="0" w:beforeAutospacing="0" w:after="0" w:afterAutospacing="0"/>
        <w:rPr>
          <w:rFonts w:ascii="Arial" w:hAnsi="Arial" w:cs="Arial"/>
        </w:rPr>
      </w:pPr>
    </w:p>
    <w:p w14:paraId="62E56A98"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437" w:history="1">
        <w:r w:rsidRPr="00D61F73">
          <w:rPr>
            <w:rStyle w:val="Hyperlink"/>
            <w:rFonts w:ascii="Arial" w:hAnsi="Arial" w:cs="Arial"/>
          </w:rPr>
          <w:t>17355217</w:t>
        </w:r>
      </w:hyperlink>
    </w:p>
    <w:p w14:paraId="16373CD6" w14:textId="77777777" w:rsidR="008D0565" w:rsidRPr="00D61F73" w:rsidRDefault="008D0565" w:rsidP="00D61F73">
      <w:pPr>
        <w:pStyle w:val="pmid"/>
        <w:spacing w:before="0" w:beforeAutospacing="0" w:after="0" w:afterAutospacing="0"/>
        <w:rPr>
          <w:rFonts w:ascii="Arial" w:hAnsi="Arial" w:cs="Arial"/>
        </w:rPr>
      </w:pPr>
    </w:p>
    <w:p w14:paraId="60259BA2" w14:textId="77777777" w:rsidR="008D0565" w:rsidRPr="00D61F73" w:rsidRDefault="008D0565" w:rsidP="00D61F73">
      <w:pPr>
        <w:rPr>
          <w:rFonts w:ascii="Arial" w:hAnsi="Arial" w:cs="Arial"/>
        </w:rPr>
      </w:pPr>
      <w:r w:rsidRPr="00D61F73">
        <w:rPr>
          <w:rFonts w:ascii="Arial" w:hAnsi="Arial" w:cs="Arial"/>
        </w:rPr>
        <w:t>Rating: 5b</w:t>
      </w:r>
    </w:p>
    <w:p w14:paraId="1DD0710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40" w:name="Gimbel"/>
      <w:bookmarkEnd w:id="740"/>
      <w:r w:rsidRPr="00D61F73">
        <w:rPr>
          <w:rFonts w:ascii="Arial" w:hAnsi="Arial" w:cs="Arial"/>
          <w:b/>
        </w:rPr>
        <w:t xml:space="preserve">imbel J, Linn R, Hale M, Nicholson B. Lidocaine patch treatment in patients with low back pain: results of an open-label, nonrandomized pilot study. </w:t>
      </w:r>
      <w:r w:rsidRPr="00D61F73">
        <w:rPr>
          <w:rFonts w:ascii="Arial" w:hAnsi="Arial" w:cs="Arial"/>
          <w:b/>
          <w:i/>
        </w:rPr>
        <w:t>Am J Ther</w:t>
      </w:r>
      <w:r w:rsidRPr="00D61F73">
        <w:rPr>
          <w:rFonts w:ascii="Arial" w:hAnsi="Arial" w:cs="Arial"/>
          <w:b/>
        </w:rPr>
        <w:t>. 2005;12:311-9.</w:t>
      </w:r>
    </w:p>
    <w:p w14:paraId="608D68A5" w14:textId="77777777" w:rsidR="008D0565" w:rsidRPr="00D61F73" w:rsidRDefault="008D0565" w:rsidP="00D61F73">
      <w:pPr>
        <w:rPr>
          <w:rFonts w:ascii="Arial" w:hAnsi="Arial" w:cs="Arial"/>
          <w:b/>
        </w:rPr>
      </w:pPr>
    </w:p>
    <w:p w14:paraId="2BF45DE1" w14:textId="77777777" w:rsidR="008D0565" w:rsidRPr="00D61F73" w:rsidRDefault="008D0565" w:rsidP="00D61F73">
      <w:pPr>
        <w:rPr>
          <w:rFonts w:ascii="Arial" w:hAnsi="Arial" w:cs="Arial"/>
        </w:rPr>
      </w:pPr>
      <w:r w:rsidRPr="00D61F73">
        <w:rPr>
          <w:rFonts w:ascii="Arial" w:hAnsi="Arial" w:cs="Arial"/>
        </w:rPr>
        <w:t>Significant improvements in pain interference with quality of life (QOL) were noted for all BPI.</w:t>
      </w:r>
    </w:p>
    <w:p w14:paraId="58C255B5" w14:textId="77777777" w:rsidR="008D0565" w:rsidRPr="00D61F73" w:rsidRDefault="008D0565" w:rsidP="00D61F73">
      <w:pPr>
        <w:rPr>
          <w:rFonts w:ascii="Arial" w:hAnsi="Arial" w:cs="Arial"/>
        </w:rPr>
      </w:pPr>
    </w:p>
    <w:p w14:paraId="325ED9D8" w14:textId="77777777" w:rsidR="008D0565" w:rsidRPr="00D61F73" w:rsidRDefault="008D0565" w:rsidP="00D61F73">
      <w:pPr>
        <w:rPr>
          <w:rFonts w:ascii="Arial" w:hAnsi="Arial" w:cs="Arial"/>
        </w:rPr>
      </w:pPr>
      <w:r w:rsidRPr="00D61F73">
        <w:rPr>
          <w:rFonts w:ascii="Arial" w:hAnsi="Arial" w:cs="Arial"/>
        </w:rPr>
        <w:t xml:space="preserve">PMID: </w:t>
      </w:r>
      <w:hyperlink r:id="rId438" w:history="1">
        <w:r w:rsidRPr="00D61F73">
          <w:rPr>
            <w:rStyle w:val="Hyperlink"/>
            <w:rFonts w:ascii="Arial" w:hAnsi="Arial" w:cs="Arial"/>
          </w:rPr>
          <w:t>16041194</w:t>
        </w:r>
      </w:hyperlink>
    </w:p>
    <w:p w14:paraId="7BD80C2E" w14:textId="77777777" w:rsidR="008D0565" w:rsidRPr="00D61F73" w:rsidRDefault="008D0565" w:rsidP="00D61F73">
      <w:pPr>
        <w:rPr>
          <w:rFonts w:ascii="Arial" w:hAnsi="Arial" w:cs="Arial"/>
        </w:rPr>
      </w:pPr>
    </w:p>
    <w:p w14:paraId="2A584350" w14:textId="77777777" w:rsidR="008D0565" w:rsidRPr="00D61F73" w:rsidRDefault="008D0565" w:rsidP="00D61F73">
      <w:pPr>
        <w:rPr>
          <w:rFonts w:ascii="Arial" w:hAnsi="Arial" w:cs="Arial"/>
        </w:rPr>
      </w:pPr>
      <w:r w:rsidRPr="00D61F73">
        <w:rPr>
          <w:rFonts w:ascii="Arial" w:hAnsi="Arial" w:cs="Arial"/>
        </w:rPr>
        <w:t>Rating 4c</w:t>
      </w:r>
    </w:p>
    <w:p w14:paraId="171B1E9E" w14:textId="77777777" w:rsidR="008D0565" w:rsidRPr="00D61F73" w:rsidRDefault="008D0565" w:rsidP="00D61F73">
      <w:pPr>
        <w:rPr>
          <w:rFonts w:ascii="Arial" w:hAnsi="Arial" w:cs="Arial"/>
        </w:rPr>
      </w:pPr>
    </w:p>
    <w:p w14:paraId="067262FA" w14:textId="77777777" w:rsidR="008D0565" w:rsidRPr="00D61F73" w:rsidRDefault="008D0565" w:rsidP="00D61F73">
      <w:pPr>
        <w:rPr>
          <w:rFonts w:ascii="Arial" w:hAnsi="Arial" w:cs="Arial"/>
          <w:color w:val="auto"/>
        </w:rPr>
      </w:pPr>
      <w:r w:rsidRPr="00D61F73">
        <w:rPr>
          <w:rFonts w:ascii="Arial" w:hAnsi="Arial" w:cs="Arial"/>
        </w:rPr>
        <w:t xml:space="preserve">A non-controlled study of six-weeks in duration of patients with axial low back pain (ranging from acute/subacute to chronic), normal neurological exam, and no more than one spinal surgery was performed by the manufacturer of lidocaine patches. Patients with chronic pain were required to have diagnoses of internal disk disruption, spinal stenosis, spondylolisthesis or facet arthropathy. The Neuropathic Pain Scale was not used for an outcome. A large number of patients dropped out of this study (40/131) with 13.7% complaining of adverse effects (skin reactions, dizziness/lightheadedness, and headache) and 11% complaining of lack of efficacy.  Overall at six weeks, 54% of patients reported moderate to complete improvement from baseline. The results also showed end-of-treatment reductions in an 11-point pain intensity rating scale of 21% for the short-term chronic and 32% for the long-term chronic low-back pain subgroups (≥ 30% is suggested as a clinically important reduction).The acute group had a 40% reduction, and the authors note that improvement could be secondary to spontaneous recovery.  </w:t>
      </w:r>
    </w:p>
    <w:p w14:paraId="6D4BC08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41" w:name="Gitlow2013"/>
      <w:bookmarkEnd w:id="741"/>
      <w:r w:rsidRPr="00D61F73">
        <w:rPr>
          <w:rFonts w:ascii="Arial" w:hAnsi="Arial" w:cs="Arial"/>
          <w:b/>
          <w:bCs/>
        </w:rPr>
        <w:t>itlow S, Barthwell A. Marijuana Is Not Medicine. American Society of Addiction Medicine (ASAM) 44th Annual Medical-Scientific Conference. Press Conference. Presented April 25, 2013.</w:t>
      </w:r>
    </w:p>
    <w:p w14:paraId="0E26AFC0" w14:textId="77777777" w:rsidR="008D0565" w:rsidRPr="00D61F73" w:rsidRDefault="008D0565" w:rsidP="00D61F73">
      <w:pPr>
        <w:rPr>
          <w:rFonts w:ascii="Arial" w:hAnsi="Arial" w:cs="Arial"/>
        </w:rPr>
      </w:pPr>
    </w:p>
    <w:p w14:paraId="7D311A02" w14:textId="77777777" w:rsidR="008D0565" w:rsidRPr="00D61F73" w:rsidRDefault="008D0565" w:rsidP="00D61F73">
      <w:pPr>
        <w:rPr>
          <w:rFonts w:ascii="Arial" w:hAnsi="Arial" w:cs="Arial"/>
        </w:rPr>
      </w:pPr>
      <w:r w:rsidRPr="00D61F73">
        <w:rPr>
          <w:rFonts w:ascii="Arial" w:hAnsi="Arial" w:cs="Arial"/>
        </w:rPr>
        <w:t>Rating: 10b</w:t>
      </w:r>
    </w:p>
    <w:p w14:paraId="5FBFC6F2" w14:textId="77777777" w:rsidR="009A4B82" w:rsidRPr="00D61F73" w:rsidRDefault="009A4B82" w:rsidP="00D61F73">
      <w:pPr>
        <w:rPr>
          <w:rFonts w:ascii="Arial" w:hAnsi="Arial" w:cs="Arial"/>
        </w:rPr>
      </w:pPr>
      <w:r w:rsidRPr="00D61F73">
        <w:rPr>
          <w:rFonts w:ascii="Arial" w:hAnsi="Arial" w:cs="Arial"/>
        </w:rPr>
        <w:br w:type="page"/>
      </w:r>
      <w:bookmarkStart w:id="742" w:name="Gobel2006"/>
      <w:bookmarkEnd w:id="742"/>
      <w:r w:rsidRPr="00D61F73">
        <w:rPr>
          <w:rFonts w:ascii="Arial" w:hAnsi="Arial" w:cs="Arial"/>
          <w:b/>
          <w:bCs/>
        </w:rPr>
        <w:lastRenderedPageBreak/>
        <w:t>G</w:t>
      </w:r>
      <w:bookmarkStart w:id="743" w:name="Gobel"/>
      <w:bookmarkEnd w:id="743"/>
      <w:r w:rsidRPr="00D61F73">
        <w:rPr>
          <w:rFonts w:ascii="Arial" w:hAnsi="Arial" w:cs="Arial"/>
          <w:b/>
          <w:bCs/>
        </w:rPr>
        <w:t>öbel H, Heinze A, Reichel G, Hefter H, Benecke R; Dysport myofascial pain study group. Efficacy and safety of a single botulinum type A toxin complex treatment (Dysport) for the relief of upper back myofascial pain syndrome: results from a randomized double-blind placebo-controlled multicentre study. </w:t>
      </w:r>
      <w:r w:rsidRPr="00D61F73">
        <w:rPr>
          <w:rFonts w:ascii="Arial" w:hAnsi="Arial" w:cs="Arial"/>
          <w:b/>
          <w:bCs/>
          <w:i/>
          <w:iCs/>
        </w:rPr>
        <w:t>Pain</w:t>
      </w:r>
      <w:r w:rsidRPr="00D61F73">
        <w:rPr>
          <w:rFonts w:ascii="Arial" w:hAnsi="Arial" w:cs="Arial"/>
          <w:b/>
          <w:bCs/>
        </w:rPr>
        <w:t>. 2006 Nov;125(1-2):82-8.</w:t>
      </w:r>
    </w:p>
    <w:p w14:paraId="5B401472" w14:textId="77777777" w:rsidR="009A4B82" w:rsidRPr="00D61F73" w:rsidRDefault="009A4B82" w:rsidP="00D61F73">
      <w:pPr>
        <w:rPr>
          <w:rFonts w:ascii="Arial" w:hAnsi="Arial" w:cs="Arial"/>
        </w:rPr>
      </w:pPr>
      <w:r w:rsidRPr="00D61F73">
        <w:rPr>
          <w:rFonts w:ascii="Arial" w:hAnsi="Arial" w:cs="Arial"/>
        </w:rPr>
        <w:t> </w:t>
      </w:r>
    </w:p>
    <w:p w14:paraId="445D2DC9" w14:textId="77777777" w:rsidR="009A4B82" w:rsidRPr="00D61F73" w:rsidRDefault="009A4B82" w:rsidP="00D61F73">
      <w:pPr>
        <w:rPr>
          <w:rFonts w:ascii="Arial" w:hAnsi="Arial" w:cs="Arial"/>
        </w:rPr>
      </w:pPr>
      <w:r w:rsidRPr="00D61F73">
        <w:rPr>
          <w:rFonts w:ascii="Arial" w:hAnsi="Arial" w:cs="Arial"/>
        </w:rPr>
        <w:t>In conclusion, in patients with upper back myofascial pain syndrome, injections of 400 Ipsen units of Dysport at 10 individualised trigger points significantly improved pain levels 4-6 weeks after treatment.</w:t>
      </w:r>
    </w:p>
    <w:p w14:paraId="45B23FBA" w14:textId="77777777" w:rsidR="009A4B82" w:rsidRPr="00D61F73" w:rsidRDefault="009A4B82" w:rsidP="00D61F73">
      <w:pPr>
        <w:rPr>
          <w:rFonts w:ascii="Arial" w:hAnsi="Arial" w:cs="Arial"/>
        </w:rPr>
      </w:pPr>
      <w:r w:rsidRPr="00D61F73">
        <w:rPr>
          <w:rFonts w:ascii="Arial" w:hAnsi="Arial" w:cs="Arial"/>
        </w:rPr>
        <w:t> </w:t>
      </w:r>
    </w:p>
    <w:p w14:paraId="624395E4" w14:textId="77777777" w:rsidR="009A4B82" w:rsidRPr="00D61F73" w:rsidRDefault="009A4B82" w:rsidP="00D61F73">
      <w:pPr>
        <w:rPr>
          <w:rFonts w:ascii="Arial" w:hAnsi="Arial" w:cs="Arial"/>
        </w:rPr>
      </w:pPr>
      <w:r w:rsidRPr="00D61F73">
        <w:rPr>
          <w:rFonts w:ascii="Arial" w:hAnsi="Arial" w:cs="Arial"/>
        </w:rPr>
        <w:t>PMID: </w:t>
      </w:r>
      <w:hyperlink r:id="rId439" w:history="1">
        <w:r w:rsidRPr="00D61F73">
          <w:rPr>
            <w:rStyle w:val="Hyperlink"/>
            <w:rFonts w:ascii="Arial" w:hAnsi="Arial" w:cs="Arial"/>
          </w:rPr>
          <w:t>16750294</w:t>
        </w:r>
      </w:hyperlink>
    </w:p>
    <w:p w14:paraId="55DA2511" w14:textId="77777777" w:rsidR="009A4B82" w:rsidRPr="00D61F73" w:rsidRDefault="009A4B82" w:rsidP="00D61F73">
      <w:pPr>
        <w:rPr>
          <w:rFonts w:ascii="Arial" w:hAnsi="Arial" w:cs="Arial"/>
        </w:rPr>
      </w:pPr>
      <w:r w:rsidRPr="00D61F73">
        <w:rPr>
          <w:rFonts w:ascii="Arial" w:hAnsi="Arial" w:cs="Arial"/>
        </w:rPr>
        <w:t> </w:t>
      </w:r>
    </w:p>
    <w:p w14:paraId="2CCCE3D4" w14:textId="77777777" w:rsidR="009A4B82" w:rsidRPr="00D61F73" w:rsidRDefault="009A4B82" w:rsidP="00D61F73">
      <w:pPr>
        <w:rPr>
          <w:rFonts w:ascii="Arial" w:hAnsi="Arial" w:cs="Arial"/>
        </w:rPr>
      </w:pPr>
      <w:r w:rsidRPr="00D61F73">
        <w:rPr>
          <w:rFonts w:ascii="Arial" w:hAnsi="Arial" w:cs="Arial"/>
        </w:rPr>
        <w:t>Rating: 2c</w:t>
      </w:r>
    </w:p>
    <w:p w14:paraId="4B4D1003" w14:textId="77777777" w:rsidR="008D0565" w:rsidRPr="00D61F73" w:rsidRDefault="008D0565" w:rsidP="00D61F73">
      <w:pPr>
        <w:rPr>
          <w:rFonts w:ascii="Arial" w:hAnsi="Arial" w:cs="Arial"/>
          <w:b/>
          <w:color w:val="auto"/>
        </w:rPr>
      </w:pPr>
      <w:r w:rsidRPr="00D61F73">
        <w:rPr>
          <w:rFonts w:ascii="Arial" w:hAnsi="Arial" w:cs="Arial"/>
        </w:rPr>
        <w:br w:type="page"/>
      </w:r>
      <w:hyperlink r:id="rId440" w:history="1">
        <w:r w:rsidRPr="00D61F73">
          <w:rPr>
            <w:rStyle w:val="Hyperlink"/>
            <w:rFonts w:ascii="Arial" w:hAnsi="Arial" w:cs="Arial"/>
            <w:b/>
          </w:rPr>
          <w:t>G</w:t>
        </w:r>
        <w:bookmarkStart w:id="744" w:name="Goebel2012"/>
        <w:bookmarkEnd w:id="744"/>
        <w:r w:rsidRPr="00D61F73">
          <w:rPr>
            <w:rStyle w:val="Hyperlink"/>
            <w:rFonts w:ascii="Arial" w:hAnsi="Arial" w:cs="Arial"/>
            <w:b/>
          </w:rPr>
          <w:t>oebel A, Barker CH, Turner-Stokes L, et al</w:t>
        </w:r>
      </w:hyperlink>
      <w:r w:rsidRPr="00D61F73">
        <w:rPr>
          <w:rFonts w:ascii="Arial" w:hAnsi="Arial" w:cs="Arial"/>
          <w:b/>
        </w:rPr>
        <w:t>. Complex regional pain syndrome in adults: UK guidelines for diagnosis, referral and management in primary and secondary care. London: RCP, 2012.</w:t>
      </w:r>
    </w:p>
    <w:p w14:paraId="666C0E51" w14:textId="77777777" w:rsidR="008D0565" w:rsidRPr="00D61F73" w:rsidRDefault="008D0565" w:rsidP="00D61F73">
      <w:pPr>
        <w:rPr>
          <w:rFonts w:ascii="Arial" w:hAnsi="Arial" w:cs="Arial"/>
        </w:rPr>
      </w:pPr>
    </w:p>
    <w:p w14:paraId="5A6E215A" w14:textId="77777777" w:rsidR="008D0565" w:rsidRPr="00D61F73" w:rsidRDefault="008D0565" w:rsidP="00D61F73">
      <w:pPr>
        <w:rPr>
          <w:rFonts w:ascii="Arial" w:hAnsi="Arial" w:cs="Arial"/>
        </w:rPr>
      </w:pPr>
      <w:r w:rsidRPr="00D61F73">
        <w:rPr>
          <w:rFonts w:ascii="Arial" w:hAnsi="Arial" w:cs="Arial"/>
        </w:rPr>
        <w:t>Guidelines for treatment of CRPS compiled by the UK Royal College of Physicians.</w:t>
      </w:r>
    </w:p>
    <w:p w14:paraId="4E025110" w14:textId="77777777" w:rsidR="008D0565" w:rsidRPr="00D61F73" w:rsidRDefault="008D0565" w:rsidP="00D61F73">
      <w:pPr>
        <w:rPr>
          <w:rFonts w:ascii="Arial" w:hAnsi="Arial" w:cs="Arial"/>
        </w:rPr>
      </w:pPr>
    </w:p>
    <w:p w14:paraId="49ECA4B5" w14:textId="77777777" w:rsidR="008D0565" w:rsidRPr="00D61F73" w:rsidRDefault="008D0565" w:rsidP="00D61F73">
      <w:pPr>
        <w:rPr>
          <w:rFonts w:ascii="Arial" w:hAnsi="Arial" w:cs="Arial"/>
        </w:rPr>
      </w:pPr>
      <w:r w:rsidRPr="00D61F73">
        <w:rPr>
          <w:rFonts w:ascii="Arial" w:hAnsi="Arial" w:cs="Arial"/>
        </w:rPr>
        <w:t xml:space="preserve">Rating: 8a </w:t>
      </w:r>
    </w:p>
    <w:p w14:paraId="1677A20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45" w:name="Gold"/>
      <w:bookmarkEnd w:id="745"/>
      <w:r w:rsidRPr="00D61F73">
        <w:rPr>
          <w:rFonts w:ascii="Arial" w:hAnsi="Arial" w:cs="Arial"/>
          <w:b/>
        </w:rPr>
        <w:t xml:space="preserve">old BD, Scheiman JM, Sabesin SM, Vitat P. Updates on the management of upper gastrointestinal disorders in the primary care setting: NSAID-related gastropathies and pediatric reflux diseases. </w:t>
      </w:r>
      <w:r w:rsidRPr="00D61F73">
        <w:rPr>
          <w:rFonts w:ascii="Arial" w:hAnsi="Arial" w:cs="Arial"/>
          <w:b/>
          <w:i/>
        </w:rPr>
        <w:t>J Fam Pract</w:t>
      </w:r>
      <w:r w:rsidRPr="00D61F73">
        <w:rPr>
          <w:rFonts w:ascii="Arial" w:hAnsi="Arial" w:cs="Arial"/>
          <w:b/>
        </w:rPr>
        <w:t>. 2007;56:S1-S12.</w:t>
      </w:r>
    </w:p>
    <w:p w14:paraId="06908E97" w14:textId="77777777" w:rsidR="008D0565" w:rsidRPr="00D61F73" w:rsidRDefault="008D0565" w:rsidP="00D61F73">
      <w:pPr>
        <w:rPr>
          <w:rFonts w:ascii="Arial" w:hAnsi="Arial" w:cs="Arial"/>
        </w:rPr>
      </w:pPr>
    </w:p>
    <w:p w14:paraId="72BADD5E" w14:textId="77777777" w:rsidR="008D0565" w:rsidRPr="00D61F73" w:rsidRDefault="008D0565" w:rsidP="00D61F73">
      <w:pPr>
        <w:rPr>
          <w:rFonts w:ascii="Arial" w:hAnsi="Arial" w:cs="Arial"/>
        </w:rPr>
      </w:pPr>
      <w:r w:rsidRPr="00D61F73">
        <w:rPr>
          <w:rFonts w:ascii="Arial" w:hAnsi="Arial" w:cs="Arial"/>
        </w:rPr>
        <w:t xml:space="preserve">The use of "traditional" NSAIDs results in serious upper gastrointestinal (GI) adverse events in nearly one fourth of patients. Cyclooxygenase-2 (COX-2)-selective inhibitors are beneficial in alleviating GI adverse events, but with the possible trade-off of causing CV adverse events in at-risk patients. </w:t>
      </w:r>
    </w:p>
    <w:p w14:paraId="05CB46EE" w14:textId="77777777" w:rsidR="008D0565" w:rsidRPr="00D61F73" w:rsidRDefault="008D0565" w:rsidP="00D61F73">
      <w:pPr>
        <w:rPr>
          <w:rFonts w:ascii="Arial" w:hAnsi="Arial" w:cs="Arial"/>
        </w:rPr>
      </w:pPr>
    </w:p>
    <w:p w14:paraId="626CBB9A" w14:textId="77777777" w:rsidR="008D0565" w:rsidRPr="00D61F73" w:rsidRDefault="008D0565" w:rsidP="00D61F73">
      <w:pPr>
        <w:rPr>
          <w:rFonts w:ascii="Arial" w:hAnsi="Arial" w:cs="Arial"/>
        </w:rPr>
      </w:pPr>
      <w:r w:rsidRPr="00D61F73">
        <w:rPr>
          <w:rFonts w:ascii="Arial" w:hAnsi="Arial" w:cs="Arial"/>
        </w:rPr>
        <w:t xml:space="preserve">PMID: </w:t>
      </w:r>
      <w:hyperlink r:id="rId441" w:history="1">
        <w:r w:rsidRPr="00D61F73">
          <w:rPr>
            <w:rStyle w:val="Hyperlink"/>
            <w:rFonts w:ascii="Arial" w:hAnsi="Arial" w:cs="Arial"/>
          </w:rPr>
          <w:t>17343806</w:t>
        </w:r>
      </w:hyperlink>
    </w:p>
    <w:p w14:paraId="0065E40E" w14:textId="77777777" w:rsidR="008D0565" w:rsidRPr="00D61F73" w:rsidRDefault="008D0565" w:rsidP="00D61F73">
      <w:pPr>
        <w:rPr>
          <w:rFonts w:ascii="Arial" w:hAnsi="Arial" w:cs="Arial"/>
        </w:rPr>
      </w:pPr>
    </w:p>
    <w:p w14:paraId="5FEAB025" w14:textId="77777777" w:rsidR="008D0565" w:rsidRPr="00D61F73" w:rsidRDefault="008D0565" w:rsidP="00D61F73">
      <w:pPr>
        <w:rPr>
          <w:rFonts w:ascii="Arial" w:hAnsi="Arial" w:cs="Arial"/>
        </w:rPr>
      </w:pPr>
      <w:r w:rsidRPr="00D61F73">
        <w:rPr>
          <w:rFonts w:ascii="Arial" w:hAnsi="Arial" w:cs="Arial"/>
        </w:rPr>
        <w:t>Rating: 5a</w:t>
      </w:r>
    </w:p>
    <w:p w14:paraId="49746B16"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G</w:t>
      </w:r>
      <w:bookmarkStart w:id="746" w:name="Goldenberg"/>
      <w:bookmarkEnd w:id="746"/>
      <w:r w:rsidRPr="00D61F73">
        <w:rPr>
          <w:rFonts w:ascii="Arial" w:hAnsi="Arial" w:cs="Arial"/>
          <w:b/>
          <w:bCs/>
        </w:rPr>
        <w:t xml:space="preserve">oldenberg DL, Burckhardt C, Crofford L. Management of fibromyalgia syndrome. </w:t>
      </w:r>
      <w:r w:rsidRPr="00D61F73">
        <w:rPr>
          <w:rFonts w:ascii="Arial" w:hAnsi="Arial" w:cs="Arial"/>
          <w:b/>
          <w:bCs/>
          <w:i/>
          <w:iCs/>
        </w:rPr>
        <w:t>JAMA</w:t>
      </w:r>
      <w:r w:rsidRPr="00D61F73">
        <w:rPr>
          <w:rFonts w:ascii="Arial" w:hAnsi="Arial" w:cs="Arial"/>
          <w:b/>
          <w:bCs/>
        </w:rPr>
        <w:t>. 2004 Nov 17;292(19):2388-95.</w:t>
      </w:r>
    </w:p>
    <w:p w14:paraId="123D0595" w14:textId="77777777" w:rsidR="008D0565" w:rsidRPr="00D61F73" w:rsidRDefault="008D0565" w:rsidP="00D61F73">
      <w:pPr>
        <w:rPr>
          <w:rFonts w:ascii="Arial" w:hAnsi="Arial" w:cs="Arial"/>
        </w:rPr>
      </w:pPr>
    </w:p>
    <w:p w14:paraId="4A0BEFC2" w14:textId="77777777" w:rsidR="008D0565" w:rsidRPr="00D61F73" w:rsidRDefault="008D0565" w:rsidP="00D61F73">
      <w:pPr>
        <w:rPr>
          <w:rFonts w:ascii="Arial" w:hAnsi="Arial" w:cs="Arial"/>
        </w:rPr>
      </w:pPr>
      <w:r w:rsidRPr="00D61F73">
        <w:rPr>
          <w:rFonts w:ascii="Arial" w:hAnsi="Arial" w:cs="Arial"/>
        </w:rPr>
        <w:t>The study concluded, “current evidence suggests efficacy of low-dose tricyclic antidepressants, cardiovascular exercise, cognitive behavioral therapy, and patient education. A number of other commonly used FMS therapies, such as trigger point injections, have not been adequately evaluated. Despite the chronicity and complexity of FMS, there are pharmacological and nonpharmacological interventions available that have clinical benefit. Based on current evidence, a stepwise program emphasizing education, certain medications, exercise, cognitive therapy, or all 4 should be recommended.”</w:t>
      </w:r>
    </w:p>
    <w:p w14:paraId="46F9BC05" w14:textId="77777777" w:rsidR="008D0565" w:rsidRPr="00D61F73" w:rsidRDefault="008D0565" w:rsidP="00D61F73">
      <w:pPr>
        <w:rPr>
          <w:rFonts w:ascii="Arial" w:hAnsi="Arial" w:cs="Arial"/>
        </w:rPr>
      </w:pPr>
    </w:p>
    <w:p w14:paraId="75AEDDC9" w14:textId="77777777" w:rsidR="008D0565" w:rsidRPr="00D61F73" w:rsidRDefault="008D0565" w:rsidP="00D61F73">
      <w:pPr>
        <w:rPr>
          <w:rFonts w:ascii="Arial" w:hAnsi="Arial" w:cs="Arial"/>
        </w:rPr>
      </w:pPr>
      <w:r w:rsidRPr="00D61F73">
        <w:rPr>
          <w:rFonts w:ascii="Arial" w:hAnsi="Arial" w:cs="Arial"/>
        </w:rPr>
        <w:t xml:space="preserve">PMID: </w:t>
      </w:r>
      <w:hyperlink r:id="rId442" w:history="1">
        <w:r w:rsidRPr="00D61F73">
          <w:rPr>
            <w:rStyle w:val="Hyperlink"/>
            <w:rFonts w:ascii="Arial" w:hAnsi="Arial" w:cs="Arial"/>
          </w:rPr>
          <w:t>15547167</w:t>
        </w:r>
      </w:hyperlink>
      <w:r w:rsidRPr="00D61F73">
        <w:rPr>
          <w:rFonts w:ascii="Arial" w:hAnsi="Arial" w:cs="Arial"/>
        </w:rPr>
        <w:t xml:space="preserve"> </w:t>
      </w:r>
    </w:p>
    <w:p w14:paraId="507F5D48" w14:textId="77777777" w:rsidR="008D0565" w:rsidRPr="00D61F73" w:rsidRDefault="008D0565" w:rsidP="00D61F73">
      <w:pPr>
        <w:rPr>
          <w:rFonts w:ascii="Arial" w:hAnsi="Arial" w:cs="Arial"/>
        </w:rPr>
      </w:pPr>
    </w:p>
    <w:p w14:paraId="412A7756"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1b</w:t>
      </w:r>
    </w:p>
    <w:p w14:paraId="1530F277" w14:textId="77777777" w:rsidR="008D0565" w:rsidRPr="00D61F73" w:rsidRDefault="008D0565" w:rsidP="00D61F73">
      <w:pPr>
        <w:rPr>
          <w:rFonts w:ascii="Arial" w:hAnsi="Arial" w:cs="Arial"/>
        </w:rPr>
      </w:pPr>
    </w:p>
    <w:p w14:paraId="11D2790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bCs/>
        </w:rPr>
        <w:lastRenderedPageBreak/>
        <w:t>G</w:t>
      </w:r>
      <w:bookmarkStart w:id="747" w:name="Goldenberg2"/>
      <w:bookmarkEnd w:id="747"/>
      <w:r w:rsidRPr="00D61F73">
        <w:rPr>
          <w:rFonts w:ascii="Arial" w:hAnsi="Arial" w:cs="Arial"/>
          <w:b/>
          <w:bCs/>
        </w:rPr>
        <w:t>oldenberg DL</w:t>
      </w:r>
      <w:r w:rsidRPr="00D61F73">
        <w:rPr>
          <w:rFonts w:ascii="Arial" w:hAnsi="Arial" w:cs="Arial"/>
          <w:b/>
        </w:rPr>
        <w:t xml:space="preserve">. Pharmacological treatment of fibromyalgia and other chronic musculoskeletal pain. </w:t>
      </w:r>
      <w:r w:rsidRPr="00D61F73">
        <w:rPr>
          <w:rStyle w:val="ti"/>
          <w:rFonts w:ascii="Arial" w:hAnsi="Arial" w:cs="Arial"/>
          <w:b/>
          <w:i/>
          <w:iCs/>
        </w:rPr>
        <w:t>Best Pract Res Clin Rheumatol</w:t>
      </w:r>
      <w:r w:rsidRPr="00D61F73">
        <w:rPr>
          <w:rStyle w:val="ti"/>
          <w:rFonts w:ascii="Arial" w:hAnsi="Arial" w:cs="Arial"/>
          <w:b/>
        </w:rPr>
        <w:t>. 2007;2:499-511.</w:t>
      </w:r>
    </w:p>
    <w:p w14:paraId="5278D090" w14:textId="77777777" w:rsidR="008D0565" w:rsidRPr="00D61F73" w:rsidRDefault="008D0565" w:rsidP="00D61F73">
      <w:pPr>
        <w:pStyle w:val="affiliation"/>
        <w:spacing w:before="0" w:beforeAutospacing="0" w:after="0" w:afterAutospacing="0"/>
        <w:rPr>
          <w:rFonts w:ascii="Arial" w:hAnsi="Arial" w:cs="Arial"/>
        </w:rPr>
      </w:pPr>
    </w:p>
    <w:p w14:paraId="7FE5FCCD"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There is strong evidence that tricyclic antidepressants are effective, and moderate evidence for the effectiveness of serotonin reuptake inhibitors and dual serotonin-norepinephrine reuptake inhibitors. </w:t>
      </w:r>
    </w:p>
    <w:p w14:paraId="3520322B" w14:textId="77777777" w:rsidR="008D0565" w:rsidRPr="00D61F73" w:rsidRDefault="008D0565" w:rsidP="00D61F73">
      <w:pPr>
        <w:pStyle w:val="pmid"/>
        <w:spacing w:before="0" w:beforeAutospacing="0" w:after="0" w:afterAutospacing="0"/>
        <w:rPr>
          <w:rFonts w:ascii="Arial" w:hAnsi="Arial" w:cs="Arial"/>
        </w:rPr>
      </w:pPr>
    </w:p>
    <w:p w14:paraId="2F317277"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443" w:history="1">
        <w:r w:rsidRPr="00D61F73">
          <w:rPr>
            <w:rStyle w:val="Hyperlink"/>
            <w:rFonts w:ascii="Arial" w:hAnsi="Arial" w:cs="Arial"/>
          </w:rPr>
          <w:t>17602996</w:t>
        </w:r>
      </w:hyperlink>
    </w:p>
    <w:p w14:paraId="170106B7" w14:textId="77777777" w:rsidR="008D0565" w:rsidRPr="00D61F73" w:rsidRDefault="008D0565" w:rsidP="00D61F73">
      <w:pPr>
        <w:rPr>
          <w:rFonts w:ascii="Arial" w:hAnsi="Arial" w:cs="Arial"/>
          <w:bCs/>
        </w:rPr>
      </w:pPr>
    </w:p>
    <w:p w14:paraId="1D6B58E6" w14:textId="77777777" w:rsidR="008D0565" w:rsidRPr="00D61F73" w:rsidRDefault="008D0565" w:rsidP="00D61F73">
      <w:pPr>
        <w:rPr>
          <w:rFonts w:ascii="Arial" w:hAnsi="Arial" w:cs="Arial"/>
          <w:bCs/>
        </w:rPr>
      </w:pPr>
      <w:r w:rsidRPr="00D61F73">
        <w:rPr>
          <w:rFonts w:ascii="Arial" w:hAnsi="Arial" w:cs="Arial"/>
          <w:bCs/>
        </w:rPr>
        <w:t>Rating: 5b</w:t>
      </w:r>
    </w:p>
    <w:p w14:paraId="3A3E2ECB" w14:textId="77777777" w:rsidR="008D0565" w:rsidRPr="00D61F73" w:rsidRDefault="008D0565" w:rsidP="00D61F73">
      <w:pPr>
        <w:rPr>
          <w:rFonts w:ascii="Arial" w:hAnsi="Arial" w:cs="Arial"/>
          <w:bCs/>
        </w:rPr>
      </w:pPr>
    </w:p>
    <w:p w14:paraId="7E960745" w14:textId="77777777" w:rsidR="008D0565" w:rsidRPr="00D61F73" w:rsidRDefault="008D0565" w:rsidP="00D61F73">
      <w:pPr>
        <w:rPr>
          <w:rFonts w:ascii="Arial" w:hAnsi="Arial" w:cs="Arial"/>
          <w:b/>
          <w:bCs/>
        </w:rPr>
      </w:pPr>
      <w:r w:rsidRPr="00D61F73">
        <w:rPr>
          <w:rFonts w:ascii="Arial" w:hAnsi="Arial" w:cs="Arial"/>
        </w:rPr>
        <w:br w:type="page"/>
      </w:r>
      <w:bookmarkStart w:id="748" w:name="Goldberg"/>
      <w:r w:rsidRPr="00D61F73">
        <w:rPr>
          <w:rFonts w:ascii="Arial" w:hAnsi="Arial" w:cs="Arial"/>
          <w:b/>
          <w:bCs/>
        </w:rPr>
        <w:lastRenderedPageBreak/>
        <w:t>Goldberg</w:t>
      </w:r>
      <w:bookmarkEnd w:id="748"/>
      <w:r w:rsidRPr="00D61F73">
        <w:rPr>
          <w:rFonts w:ascii="Arial" w:hAnsi="Arial" w:cs="Arial"/>
          <w:b/>
          <w:bCs/>
        </w:rPr>
        <w:t xml:space="preserve"> RT; Pachas WN; Keith D. Relationship between traumatic events in childhood and chronic pain. </w:t>
      </w:r>
      <w:r w:rsidRPr="00D61F73">
        <w:rPr>
          <w:rFonts w:ascii="Arial" w:hAnsi="Arial" w:cs="Arial"/>
          <w:b/>
          <w:bCs/>
          <w:i/>
          <w:iCs/>
        </w:rPr>
        <w:t xml:space="preserve">Disability Rehabilitation. </w:t>
      </w:r>
      <w:r w:rsidRPr="00D61F73">
        <w:rPr>
          <w:rFonts w:ascii="Arial" w:hAnsi="Arial" w:cs="Arial"/>
          <w:b/>
          <w:bCs/>
        </w:rPr>
        <w:t xml:space="preserve">01-Jan-1999; 21(1): 23-30. </w:t>
      </w:r>
    </w:p>
    <w:p w14:paraId="5CA1E6F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b/>
          <w:bCs/>
        </w:rPr>
        <w:t>Abstract:</w:t>
      </w:r>
    </w:p>
    <w:p w14:paraId="4A275ABE" w14:textId="77777777" w:rsidR="008D0565" w:rsidRPr="00D61F73" w:rsidRDefault="008D0565" w:rsidP="00D61F73">
      <w:pPr>
        <w:pStyle w:val="NormalWeb"/>
        <w:spacing w:before="0" w:beforeAutospacing="0" w:after="0" w:afterAutospacing="0"/>
        <w:rPr>
          <w:rFonts w:ascii="Arial" w:hAnsi="Arial" w:cs="Arial"/>
        </w:rPr>
      </w:pPr>
    </w:p>
    <w:p w14:paraId="62D0F4E7" w14:textId="77777777" w:rsidR="008B0BCA"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CONCLUSIONS: Child traumatic events are significantly related to chronic pain.</w:t>
      </w:r>
    </w:p>
    <w:p w14:paraId="05501F82" w14:textId="77777777" w:rsidR="008B0BCA" w:rsidRPr="00D61F73" w:rsidRDefault="008B0BCA" w:rsidP="00D61F73">
      <w:pPr>
        <w:pStyle w:val="NormalWeb"/>
        <w:spacing w:before="0" w:beforeAutospacing="0" w:after="0" w:afterAutospacing="0"/>
        <w:rPr>
          <w:rFonts w:ascii="Arial" w:hAnsi="Arial" w:cs="Arial"/>
        </w:rPr>
      </w:pPr>
    </w:p>
    <w:p w14:paraId="6DD56CAE" w14:textId="77777777" w:rsidR="008D0565" w:rsidRPr="00D61F73" w:rsidRDefault="008B0BCA"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44" w:history="1">
        <w:r w:rsidRPr="00D61F73">
          <w:rPr>
            <w:rStyle w:val="Hyperlink"/>
            <w:rFonts w:ascii="Arial" w:hAnsi="Arial" w:cs="Arial"/>
          </w:rPr>
          <w:t>10070600</w:t>
        </w:r>
      </w:hyperlink>
      <w:r w:rsidR="008D0565" w:rsidRPr="00D61F73">
        <w:rPr>
          <w:rFonts w:ascii="Arial" w:hAnsi="Arial" w:cs="Arial"/>
        </w:rPr>
        <w:t xml:space="preserve"> </w:t>
      </w:r>
    </w:p>
    <w:p w14:paraId="2FB740BB" w14:textId="77777777" w:rsidR="008D0565" w:rsidRPr="00D61F73" w:rsidRDefault="008D0565" w:rsidP="00D61F73">
      <w:pPr>
        <w:pStyle w:val="NormalWeb"/>
        <w:spacing w:before="0" w:beforeAutospacing="0" w:after="0" w:afterAutospacing="0"/>
        <w:rPr>
          <w:rFonts w:ascii="Arial" w:hAnsi="Arial" w:cs="Arial"/>
        </w:rPr>
      </w:pPr>
    </w:p>
    <w:p w14:paraId="243B009B" w14:textId="77777777" w:rsidR="008D0565" w:rsidRPr="00D61F73" w:rsidRDefault="008D0565" w:rsidP="00D61F73">
      <w:pPr>
        <w:rPr>
          <w:rFonts w:ascii="Arial" w:hAnsi="Arial" w:cs="Arial"/>
        </w:rPr>
      </w:pPr>
      <w:r w:rsidRPr="00D61F73">
        <w:rPr>
          <w:rFonts w:ascii="Arial" w:hAnsi="Arial" w:cs="Arial"/>
        </w:rPr>
        <w:t>Publication Type: Case Control Study, 91 cases</w:t>
      </w:r>
    </w:p>
    <w:p w14:paraId="0692F66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49" w:name="Gore"/>
      <w:bookmarkEnd w:id="749"/>
      <w:r w:rsidRPr="00D61F73">
        <w:rPr>
          <w:rFonts w:ascii="Arial" w:hAnsi="Arial" w:cs="Arial"/>
          <w:b/>
        </w:rPr>
        <w:t>ore M, Dukes E, Rowbotham DJ, Tai KS, Leslie D. Clinical characteristics and pain management among patients with painful peripheral neuropathic disorders in general practice settings</w:t>
      </w:r>
      <w:r w:rsidRPr="00D61F73">
        <w:rPr>
          <w:rFonts w:ascii="Arial" w:hAnsi="Arial" w:cs="Arial"/>
          <w:b/>
          <w:i/>
        </w:rPr>
        <w:t>. Eur J Pain</w:t>
      </w:r>
      <w:r w:rsidRPr="00D61F73">
        <w:rPr>
          <w:rFonts w:ascii="Arial" w:hAnsi="Arial" w:cs="Arial"/>
          <w:b/>
        </w:rPr>
        <w:t>. 2007;11:652-64.</w:t>
      </w:r>
    </w:p>
    <w:p w14:paraId="4F039AD1" w14:textId="77777777" w:rsidR="008D0565" w:rsidRPr="00D61F73" w:rsidRDefault="008D0565" w:rsidP="00D61F73">
      <w:pPr>
        <w:rPr>
          <w:rFonts w:ascii="Arial" w:hAnsi="Arial" w:cs="Arial"/>
          <w:b/>
        </w:rPr>
      </w:pPr>
    </w:p>
    <w:p w14:paraId="5857361E" w14:textId="77777777" w:rsidR="008D0565" w:rsidRPr="00D61F73" w:rsidRDefault="008D0565" w:rsidP="00D61F73">
      <w:pPr>
        <w:rPr>
          <w:rFonts w:ascii="Arial" w:hAnsi="Arial" w:cs="Arial"/>
        </w:rPr>
      </w:pPr>
      <w:r w:rsidRPr="00D61F73">
        <w:rPr>
          <w:rFonts w:ascii="Arial" w:hAnsi="Arial" w:cs="Arial"/>
        </w:rPr>
        <w:t>Among both Pure and Mixed PND patients, use and doses of evidenced-based neuropathic pain-related medications was low, and lower than the use of NSAIDs (a medication class with no proven efficacy for PNDs) in each group, suggesting possible sub-optimal neuropathic pain management among these patients.</w:t>
      </w:r>
    </w:p>
    <w:p w14:paraId="24C3EFD9" w14:textId="77777777" w:rsidR="00BE47E9" w:rsidRPr="00D61F73" w:rsidRDefault="00BE47E9" w:rsidP="00D61F73">
      <w:pPr>
        <w:rPr>
          <w:rFonts w:ascii="Arial" w:hAnsi="Arial" w:cs="Arial"/>
        </w:rPr>
      </w:pPr>
    </w:p>
    <w:p w14:paraId="0BD50E3C" w14:textId="77777777" w:rsidR="008D0565" w:rsidRPr="00D61F73" w:rsidRDefault="008D0565" w:rsidP="00D61F73">
      <w:pPr>
        <w:ind w:left="-90" w:firstLine="90"/>
        <w:rPr>
          <w:rFonts w:ascii="Arial" w:hAnsi="Arial" w:cs="Arial"/>
        </w:rPr>
      </w:pPr>
      <w:r w:rsidRPr="00D61F73">
        <w:rPr>
          <w:rFonts w:ascii="Arial" w:hAnsi="Arial" w:cs="Arial"/>
        </w:rPr>
        <w:t xml:space="preserve">PMID: </w:t>
      </w:r>
      <w:hyperlink r:id="rId445" w:history="1">
        <w:r w:rsidRPr="00D61F73">
          <w:rPr>
            <w:rStyle w:val="Hyperlink"/>
            <w:rFonts w:ascii="Arial" w:hAnsi="Arial" w:cs="Arial"/>
          </w:rPr>
          <w:t>17126045</w:t>
        </w:r>
      </w:hyperlink>
      <w:r w:rsidRPr="00D61F73">
        <w:rPr>
          <w:rFonts w:ascii="Arial" w:hAnsi="Arial" w:cs="Arial"/>
        </w:rPr>
        <w:t xml:space="preserve"> </w:t>
      </w:r>
    </w:p>
    <w:p w14:paraId="078FC255" w14:textId="77777777" w:rsidR="008D0565" w:rsidRPr="00D61F73" w:rsidRDefault="008D0565" w:rsidP="00D61F73">
      <w:pPr>
        <w:rPr>
          <w:rFonts w:ascii="Arial" w:hAnsi="Arial" w:cs="Arial"/>
        </w:rPr>
      </w:pPr>
    </w:p>
    <w:p w14:paraId="311EE2A3" w14:textId="77777777" w:rsidR="008D0565" w:rsidRPr="00D61F73" w:rsidRDefault="008D0565" w:rsidP="00D61F73">
      <w:pPr>
        <w:rPr>
          <w:rFonts w:ascii="Arial" w:hAnsi="Arial" w:cs="Arial"/>
        </w:rPr>
      </w:pPr>
      <w:r w:rsidRPr="00D61F73">
        <w:rPr>
          <w:rFonts w:ascii="Arial" w:hAnsi="Arial" w:cs="Arial"/>
        </w:rPr>
        <w:t>Rating: 4c</w:t>
      </w:r>
    </w:p>
    <w:p w14:paraId="08E9640E"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G</w:t>
      </w:r>
      <w:bookmarkStart w:id="750" w:name="Gourlay1997"/>
      <w:bookmarkEnd w:id="750"/>
      <w:r w:rsidRPr="00D61F73">
        <w:rPr>
          <w:rFonts w:ascii="Arial" w:hAnsi="Arial" w:cs="Arial"/>
          <w:b/>
        </w:rPr>
        <w:t xml:space="preserve">ourlay GK, Cherry DA, Onley MM, Tordoff SG, Conn DA, Hood GM, Plummer JL. Pharmacokinetics and pharmacodynamics of twenty-four-hourly Kapanol compared to twelve-hourly MS Contin in the treatment of severe cancer pain. </w:t>
      </w:r>
      <w:r w:rsidRPr="00D61F73">
        <w:rPr>
          <w:rFonts w:ascii="Arial" w:hAnsi="Arial" w:cs="Arial"/>
          <w:b/>
          <w:i/>
        </w:rPr>
        <w:t>Pain.</w:t>
      </w:r>
      <w:r w:rsidRPr="00D61F73">
        <w:rPr>
          <w:rFonts w:ascii="Arial" w:hAnsi="Arial" w:cs="Arial"/>
          <w:b/>
        </w:rPr>
        <w:t xml:space="preserve"> 1997;69:295-302.</w:t>
      </w:r>
    </w:p>
    <w:p w14:paraId="7CB02295" w14:textId="77777777" w:rsidR="008D0565" w:rsidRPr="00D61F73" w:rsidRDefault="008D0565" w:rsidP="00D61F73">
      <w:pPr>
        <w:rPr>
          <w:rFonts w:ascii="Arial" w:hAnsi="Arial" w:cs="Arial"/>
        </w:rPr>
      </w:pPr>
    </w:p>
    <w:p w14:paraId="0C2BA27F" w14:textId="77777777" w:rsidR="008D0565" w:rsidRPr="00D61F73" w:rsidRDefault="008D0565" w:rsidP="00D61F73">
      <w:pPr>
        <w:rPr>
          <w:rFonts w:ascii="Arial" w:hAnsi="Arial" w:cs="Arial"/>
        </w:rPr>
      </w:pPr>
      <w:r w:rsidRPr="00D61F73">
        <w:rPr>
          <w:rFonts w:ascii="Arial" w:hAnsi="Arial" w:cs="Arial"/>
        </w:rPr>
        <w:t xml:space="preserve">PMID: </w:t>
      </w:r>
      <w:hyperlink r:id="rId446" w:history="1">
        <w:r w:rsidRPr="00D61F73">
          <w:rPr>
            <w:rStyle w:val="Hyperlink"/>
            <w:rFonts w:ascii="Arial" w:hAnsi="Arial" w:cs="Arial"/>
          </w:rPr>
          <w:t>9085304</w:t>
        </w:r>
      </w:hyperlink>
    </w:p>
    <w:p w14:paraId="01059910" w14:textId="77777777" w:rsidR="008D0565" w:rsidRPr="00D61F73" w:rsidRDefault="008D0565" w:rsidP="00D61F73">
      <w:pPr>
        <w:rPr>
          <w:rFonts w:ascii="Arial" w:hAnsi="Arial" w:cs="Arial"/>
        </w:rPr>
      </w:pPr>
    </w:p>
    <w:p w14:paraId="4ECDB3C2" w14:textId="77777777" w:rsidR="008D0565" w:rsidRPr="00D61F73" w:rsidRDefault="008D0565" w:rsidP="00D61F73">
      <w:pPr>
        <w:rPr>
          <w:rFonts w:ascii="Arial" w:hAnsi="Arial" w:cs="Arial"/>
        </w:rPr>
      </w:pPr>
      <w:r w:rsidRPr="00D61F73">
        <w:rPr>
          <w:rFonts w:ascii="Arial" w:hAnsi="Arial" w:cs="Arial"/>
        </w:rPr>
        <w:t>Rating: 1c</w:t>
      </w:r>
    </w:p>
    <w:p w14:paraId="4475F51D" w14:textId="1BEE4BE1" w:rsidR="00811F16" w:rsidRPr="00D61F73" w:rsidRDefault="00811F16" w:rsidP="00D61F73">
      <w:pPr>
        <w:rPr>
          <w:rFonts w:ascii="Arial" w:hAnsi="Arial" w:cs="Arial"/>
        </w:rPr>
      </w:pPr>
      <w:r w:rsidRPr="00D61F73">
        <w:rPr>
          <w:rFonts w:ascii="Arial" w:hAnsi="Arial" w:cs="Arial"/>
        </w:rPr>
        <w:br w:type="page"/>
      </w:r>
      <w:bookmarkStart w:id="751" w:name="Graboski"/>
      <w:bookmarkEnd w:id="751"/>
      <w:r w:rsidRPr="00D61F73">
        <w:rPr>
          <w:rFonts w:ascii="Arial" w:hAnsi="Arial" w:cs="Arial"/>
          <w:b/>
          <w:bCs/>
        </w:rPr>
        <w:lastRenderedPageBreak/>
        <w:t>Graboski CL, Gray DS, Burnham RS.</w:t>
      </w:r>
      <w:r w:rsidR="00631DBF">
        <w:rPr>
          <w:rFonts w:ascii="Arial" w:hAnsi="Arial" w:cs="Arial"/>
          <w:b/>
          <w:bCs/>
        </w:rPr>
        <w:t xml:space="preserve"> </w:t>
      </w:r>
      <w:r w:rsidRPr="00D61F73">
        <w:rPr>
          <w:rFonts w:ascii="Arial" w:hAnsi="Arial" w:cs="Arial"/>
          <w:b/>
          <w:bCs/>
        </w:rPr>
        <w:t>Botulinum toxin A</w:t>
      </w:r>
      <w:r w:rsidR="00631DBF">
        <w:rPr>
          <w:rFonts w:ascii="Arial" w:hAnsi="Arial" w:cs="Arial"/>
          <w:b/>
          <w:bCs/>
        </w:rPr>
        <w:t xml:space="preserve"> </w:t>
      </w:r>
      <w:r w:rsidRPr="00D61F73">
        <w:rPr>
          <w:rFonts w:ascii="Arial" w:hAnsi="Arial" w:cs="Arial"/>
          <w:b/>
          <w:bCs/>
        </w:rPr>
        <w:t>versus bupivacaine trigger point injections for the treatment of myofascial pain syndrome: a randomised double blind crossover study.</w:t>
      </w:r>
      <w:r w:rsidR="00631DBF">
        <w:rPr>
          <w:rFonts w:ascii="Arial" w:hAnsi="Arial" w:cs="Arial"/>
          <w:b/>
          <w:bCs/>
        </w:rPr>
        <w:t xml:space="preserve"> </w:t>
      </w:r>
      <w:r w:rsidRPr="00D61F73">
        <w:rPr>
          <w:rFonts w:ascii="Arial" w:hAnsi="Arial" w:cs="Arial"/>
          <w:b/>
          <w:bCs/>
          <w:i/>
          <w:iCs/>
        </w:rPr>
        <w:t>Pain.</w:t>
      </w:r>
      <w:r w:rsidR="00631DBF">
        <w:rPr>
          <w:rFonts w:ascii="Arial" w:hAnsi="Arial" w:cs="Arial"/>
          <w:b/>
          <w:bCs/>
        </w:rPr>
        <w:t xml:space="preserve"> </w:t>
      </w:r>
      <w:r w:rsidRPr="00D61F73">
        <w:rPr>
          <w:rFonts w:ascii="Arial" w:hAnsi="Arial" w:cs="Arial"/>
          <w:b/>
          <w:bCs/>
        </w:rPr>
        <w:t>2005 Nov;118(1-2):170-5. Epub 2005 Oct 3.</w:t>
      </w:r>
    </w:p>
    <w:p w14:paraId="7C494474" w14:textId="1FE1B24F" w:rsidR="00811F16" w:rsidRPr="00D61F73" w:rsidRDefault="00811F16" w:rsidP="00D61F73">
      <w:pPr>
        <w:rPr>
          <w:rFonts w:ascii="Arial" w:hAnsi="Arial" w:cs="Arial"/>
        </w:rPr>
      </w:pPr>
    </w:p>
    <w:p w14:paraId="21D41E10" w14:textId="77777777" w:rsidR="00811F16" w:rsidRPr="00D61F73" w:rsidRDefault="00811F16" w:rsidP="00D61F73">
      <w:pPr>
        <w:rPr>
          <w:rFonts w:ascii="Arial" w:hAnsi="Arial" w:cs="Arial"/>
        </w:rPr>
      </w:pPr>
      <w:r w:rsidRPr="00D61F73">
        <w:rPr>
          <w:rFonts w:ascii="Arial" w:hAnsi="Arial" w:cs="Arial"/>
        </w:rPr>
        <w:t>Glenrose Rehabilitation Hospital, 10230 111Ave, Edmonton Ab, T5G 0B7, Canada. cgraboski@shaw.ca</w:t>
      </w:r>
    </w:p>
    <w:p w14:paraId="61921278" w14:textId="308243B0" w:rsidR="00811F16" w:rsidRPr="00D61F73" w:rsidRDefault="00811F16" w:rsidP="00D61F73">
      <w:pPr>
        <w:rPr>
          <w:rFonts w:ascii="Arial" w:hAnsi="Arial" w:cs="Arial"/>
        </w:rPr>
      </w:pPr>
    </w:p>
    <w:p w14:paraId="3BDB6A73" w14:textId="106B7941" w:rsidR="00811F16" w:rsidRPr="00D61F73" w:rsidRDefault="00811F16" w:rsidP="00D61F73">
      <w:pPr>
        <w:rPr>
          <w:rFonts w:ascii="Arial" w:hAnsi="Arial" w:cs="Arial"/>
        </w:rPr>
      </w:pPr>
      <w:r w:rsidRPr="00D61F73">
        <w:rPr>
          <w:rFonts w:ascii="Arial" w:hAnsi="Arial" w:cs="Arial"/>
        </w:rPr>
        <w:t>The purpose of this study was to compare the effectiveness of trigger point injections using BTX A versus bupivacaine, both in combination with a home-based rehabilitation program. Both treatments were effective in reducing pain when compared to baseline (P=0.0067). There was, however, no significant difference between the BTX A and 0.5% bupivacaine groups in duration or magnitude of pain relief, function, satisfaction or cost of care (cost of injectate excluded).</w:t>
      </w:r>
      <w:r w:rsidR="00631DBF">
        <w:rPr>
          <w:rFonts w:ascii="Arial" w:hAnsi="Arial" w:cs="Arial"/>
        </w:rPr>
        <w:t xml:space="preserve"> </w:t>
      </w:r>
      <w:r w:rsidRPr="00D61F73">
        <w:rPr>
          <w:rFonts w:ascii="Arial" w:hAnsi="Arial" w:cs="Arial"/>
        </w:rPr>
        <w:t>Considering the high cost of BTX A, bupivacaine is deemed a more cost-effective injectate for MPS.</w:t>
      </w:r>
    </w:p>
    <w:p w14:paraId="6B8F83FC" w14:textId="06175C94" w:rsidR="00811F16" w:rsidRPr="00D61F73" w:rsidRDefault="00811F16" w:rsidP="00D61F73">
      <w:pPr>
        <w:rPr>
          <w:rFonts w:ascii="Arial" w:hAnsi="Arial" w:cs="Arial"/>
        </w:rPr>
      </w:pPr>
    </w:p>
    <w:p w14:paraId="7BC73BF3" w14:textId="49474274" w:rsidR="00811F16" w:rsidRPr="00D61F73" w:rsidRDefault="00811F16" w:rsidP="00D61F73">
      <w:pPr>
        <w:rPr>
          <w:rFonts w:ascii="Arial" w:hAnsi="Arial" w:cs="Arial"/>
        </w:rPr>
      </w:pPr>
      <w:r w:rsidRPr="00D61F73">
        <w:rPr>
          <w:rFonts w:ascii="Arial" w:hAnsi="Arial" w:cs="Arial"/>
        </w:rPr>
        <w:t>PMID:</w:t>
      </w:r>
      <w:r w:rsidR="00631DBF">
        <w:rPr>
          <w:rFonts w:ascii="Arial" w:hAnsi="Arial" w:cs="Arial"/>
        </w:rPr>
        <w:t xml:space="preserve"> </w:t>
      </w:r>
      <w:hyperlink r:id="rId447" w:history="1">
        <w:r w:rsidRPr="00D61F73">
          <w:rPr>
            <w:rStyle w:val="Hyperlink"/>
            <w:rFonts w:ascii="Arial" w:hAnsi="Arial" w:cs="Arial"/>
          </w:rPr>
          <w:t>16202527</w:t>
        </w:r>
      </w:hyperlink>
    </w:p>
    <w:p w14:paraId="2553DE94" w14:textId="4DCD27D1" w:rsidR="00811F16" w:rsidRPr="00D61F73" w:rsidRDefault="00811F16" w:rsidP="00D61F73">
      <w:pPr>
        <w:rPr>
          <w:rFonts w:ascii="Arial" w:hAnsi="Arial" w:cs="Arial"/>
        </w:rPr>
      </w:pPr>
    </w:p>
    <w:p w14:paraId="1D8E8CA3" w14:textId="77777777" w:rsidR="00811F16" w:rsidRPr="00D61F73" w:rsidRDefault="00811F16" w:rsidP="00D61F73">
      <w:pPr>
        <w:rPr>
          <w:rFonts w:ascii="Arial" w:hAnsi="Arial" w:cs="Arial"/>
        </w:rPr>
      </w:pPr>
      <w:r w:rsidRPr="00D61F73">
        <w:rPr>
          <w:rFonts w:ascii="Arial" w:hAnsi="Arial" w:cs="Arial"/>
        </w:rPr>
        <w:t>Rating: 2c</w:t>
      </w:r>
    </w:p>
    <w:p w14:paraId="00B61DE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2" w:name="Grabow2"/>
      <w:bookmarkEnd w:id="752"/>
      <w:r w:rsidRPr="00D61F73">
        <w:rPr>
          <w:rFonts w:ascii="Arial" w:hAnsi="Arial" w:cs="Arial"/>
          <w:b/>
          <w:bCs/>
        </w:rPr>
        <w:t>rabow TS, Guarino Ah, Raja SN. Complex regional pain syndromes: Diagnosis and treatment. In: Benzon HT, Raja SN, Molloy RE, Liu SS, Fishman SM. Essentials of Pain Medicine and Regional Anesthesia. 2nd ed. Elisevier, 2005.</w:t>
      </w:r>
    </w:p>
    <w:p w14:paraId="65A54AAE" w14:textId="77777777" w:rsidR="008D0565" w:rsidRPr="00D61F73" w:rsidRDefault="008D0565" w:rsidP="00D61F73">
      <w:pPr>
        <w:rPr>
          <w:rFonts w:ascii="Arial" w:hAnsi="Arial" w:cs="Arial"/>
        </w:rPr>
      </w:pPr>
    </w:p>
    <w:p w14:paraId="112EDE6A" w14:textId="77777777" w:rsidR="008D0565" w:rsidRPr="00D61F73" w:rsidRDefault="008D0565" w:rsidP="00D61F73">
      <w:pPr>
        <w:rPr>
          <w:rFonts w:ascii="Arial" w:hAnsi="Arial" w:cs="Arial"/>
        </w:rPr>
      </w:pPr>
      <w:r w:rsidRPr="00D61F73">
        <w:rPr>
          <w:rFonts w:ascii="Arial" w:hAnsi="Arial" w:cs="Arial"/>
        </w:rPr>
        <w:t>Rating: 9a</w:t>
      </w:r>
    </w:p>
    <w:p w14:paraId="4E17485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3" w:name="Gradl2003"/>
      <w:bookmarkEnd w:id="753"/>
      <w:r w:rsidRPr="00D61F73">
        <w:rPr>
          <w:rFonts w:ascii="Arial" w:hAnsi="Arial" w:cs="Arial"/>
          <w:b/>
          <w:bCs/>
        </w:rPr>
        <w:t xml:space="preserve">radl G, Steinborn M, Wizgall I, Mittlmeier T, Schürmann M. Acute CRPS I (morbus sudeck) following distal radial fractures--methods for early diagnosis. </w:t>
      </w:r>
      <w:r w:rsidRPr="00D61F73">
        <w:rPr>
          <w:rFonts w:ascii="Arial" w:hAnsi="Arial" w:cs="Arial"/>
          <w:b/>
          <w:bCs/>
          <w:i/>
          <w:iCs/>
        </w:rPr>
        <w:t>Zentralbl Chir.</w:t>
      </w:r>
      <w:r w:rsidRPr="00D61F73">
        <w:rPr>
          <w:rFonts w:ascii="Arial" w:hAnsi="Arial" w:cs="Arial"/>
          <w:b/>
          <w:bCs/>
        </w:rPr>
        <w:t xml:space="preserve"> 2003 Dec;128(12):1020-6.</w:t>
      </w:r>
    </w:p>
    <w:p w14:paraId="6E3F4EE1" w14:textId="77777777" w:rsidR="008D0565" w:rsidRPr="00D61F73" w:rsidRDefault="008D0565" w:rsidP="00D61F73">
      <w:pPr>
        <w:rPr>
          <w:rFonts w:ascii="Arial" w:hAnsi="Arial" w:cs="Arial"/>
        </w:rPr>
      </w:pPr>
    </w:p>
    <w:p w14:paraId="0DC1F1B2" w14:textId="77777777" w:rsidR="008D0565" w:rsidRPr="00D61F73" w:rsidRDefault="008D0565" w:rsidP="00D61F73">
      <w:pPr>
        <w:rPr>
          <w:rFonts w:ascii="Arial" w:hAnsi="Arial" w:cs="Arial"/>
        </w:rPr>
      </w:pPr>
      <w:r w:rsidRPr="00D61F73">
        <w:rPr>
          <w:rFonts w:ascii="Arial" w:hAnsi="Arial" w:cs="Arial"/>
        </w:rPr>
        <w:t xml:space="preserve">PMID: </w:t>
      </w:r>
      <w:hyperlink r:id="rId448" w:history="1">
        <w:r w:rsidRPr="00D61F73">
          <w:rPr>
            <w:rStyle w:val="Hyperlink"/>
            <w:rFonts w:ascii="Arial" w:hAnsi="Arial" w:cs="Arial"/>
          </w:rPr>
          <w:t>14750063</w:t>
        </w:r>
      </w:hyperlink>
    </w:p>
    <w:p w14:paraId="6461F920" w14:textId="77777777" w:rsidR="008D0565" w:rsidRPr="00D61F73" w:rsidRDefault="008D0565" w:rsidP="00D61F73">
      <w:pPr>
        <w:rPr>
          <w:rFonts w:ascii="Arial" w:hAnsi="Arial" w:cs="Arial"/>
        </w:rPr>
      </w:pPr>
    </w:p>
    <w:p w14:paraId="1D9F3B0F" w14:textId="77777777" w:rsidR="008D0565" w:rsidRPr="00D61F73" w:rsidRDefault="008D0565" w:rsidP="00D61F73">
      <w:pPr>
        <w:rPr>
          <w:rFonts w:ascii="Arial" w:hAnsi="Arial" w:cs="Arial"/>
        </w:rPr>
      </w:pPr>
      <w:r w:rsidRPr="00D61F73">
        <w:rPr>
          <w:rFonts w:ascii="Arial" w:hAnsi="Arial" w:cs="Arial"/>
        </w:rPr>
        <w:t xml:space="preserve">Rating: 4b </w:t>
      </w:r>
    </w:p>
    <w:p w14:paraId="00A980A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4" w:name="GraffRadford"/>
      <w:bookmarkEnd w:id="754"/>
      <w:r w:rsidRPr="00D61F73">
        <w:rPr>
          <w:rFonts w:ascii="Arial" w:hAnsi="Arial" w:cs="Arial"/>
          <w:b/>
          <w:bCs/>
        </w:rPr>
        <w:t xml:space="preserve">raff-Radford SB. Myofascial pain: diagnosis and management. </w:t>
      </w:r>
      <w:r w:rsidRPr="00D61F73">
        <w:rPr>
          <w:rFonts w:ascii="Arial" w:hAnsi="Arial" w:cs="Arial"/>
          <w:b/>
          <w:bCs/>
          <w:i/>
          <w:iCs/>
        </w:rPr>
        <w:t>Curr Pain Headache Rep</w:t>
      </w:r>
      <w:r w:rsidRPr="00D61F73">
        <w:rPr>
          <w:rFonts w:ascii="Arial" w:hAnsi="Arial" w:cs="Arial"/>
          <w:b/>
          <w:bCs/>
        </w:rPr>
        <w:t>. 2004 Dec;8(6):463-7.</w:t>
      </w:r>
    </w:p>
    <w:p w14:paraId="01B91DC0" w14:textId="77777777" w:rsidR="008D0565" w:rsidRPr="00D61F73" w:rsidRDefault="008D0565" w:rsidP="00D61F73">
      <w:pPr>
        <w:rPr>
          <w:rFonts w:ascii="Arial" w:hAnsi="Arial" w:cs="Arial"/>
        </w:rPr>
      </w:pPr>
    </w:p>
    <w:p w14:paraId="35B70021" w14:textId="77777777" w:rsidR="008D0565" w:rsidRPr="00D61F73" w:rsidRDefault="008D0565" w:rsidP="00D61F73">
      <w:pPr>
        <w:rPr>
          <w:rFonts w:ascii="Arial" w:hAnsi="Arial" w:cs="Arial"/>
        </w:rPr>
      </w:pPr>
      <w:r w:rsidRPr="00D61F73">
        <w:rPr>
          <w:rFonts w:ascii="Arial" w:hAnsi="Arial" w:cs="Arial"/>
        </w:rPr>
        <w:t>The therapy for myofascial pain requires enhancing central inhibition through pharmacology or behavioral techniques and simultaneously reducing peripheral inputs through physical therapies including exercises and trigger point-specific therapy.</w:t>
      </w:r>
    </w:p>
    <w:p w14:paraId="488CCBDD" w14:textId="77777777" w:rsidR="008D0565" w:rsidRPr="00D61F73" w:rsidRDefault="008D0565" w:rsidP="00D61F73">
      <w:pPr>
        <w:rPr>
          <w:rFonts w:ascii="Arial" w:hAnsi="Arial" w:cs="Arial"/>
        </w:rPr>
      </w:pPr>
    </w:p>
    <w:p w14:paraId="5C75AEA8" w14:textId="77777777" w:rsidR="008D0565" w:rsidRPr="00D61F73" w:rsidRDefault="008D0565" w:rsidP="00D61F73">
      <w:pPr>
        <w:rPr>
          <w:rFonts w:ascii="Arial" w:hAnsi="Arial" w:cs="Arial"/>
        </w:rPr>
      </w:pPr>
      <w:r w:rsidRPr="00D61F73">
        <w:rPr>
          <w:rFonts w:ascii="Arial" w:hAnsi="Arial" w:cs="Arial"/>
        </w:rPr>
        <w:t xml:space="preserve">PMID: </w:t>
      </w:r>
      <w:hyperlink r:id="rId449" w:history="1">
        <w:r w:rsidRPr="00D61F73">
          <w:rPr>
            <w:rStyle w:val="Hyperlink"/>
            <w:rFonts w:ascii="Arial" w:hAnsi="Arial" w:cs="Arial"/>
          </w:rPr>
          <w:t>15509460</w:t>
        </w:r>
      </w:hyperlink>
      <w:r w:rsidRPr="00D61F73">
        <w:rPr>
          <w:rFonts w:ascii="Arial" w:hAnsi="Arial" w:cs="Arial"/>
        </w:rPr>
        <w:t xml:space="preserve"> </w:t>
      </w:r>
    </w:p>
    <w:p w14:paraId="29BA46EA" w14:textId="77777777" w:rsidR="008D0565" w:rsidRPr="00D61F73" w:rsidRDefault="008D0565" w:rsidP="00D61F73">
      <w:pPr>
        <w:rPr>
          <w:rFonts w:ascii="Arial" w:hAnsi="Arial" w:cs="Arial"/>
        </w:rPr>
      </w:pPr>
    </w:p>
    <w:p w14:paraId="6A3F375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163B685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5" w:name="GrasMiralles"/>
      <w:bookmarkEnd w:id="755"/>
      <w:r w:rsidRPr="00D61F73">
        <w:rPr>
          <w:rFonts w:ascii="Arial" w:hAnsi="Arial" w:cs="Arial"/>
          <w:b/>
          <w:bCs/>
        </w:rPr>
        <w:t xml:space="preserve">ras-Miralles B, Cremonini F. A critical appraisal of lubiprostone in the treatment of chronic constipation in the elderly. </w:t>
      </w:r>
      <w:r w:rsidRPr="00D61F73">
        <w:rPr>
          <w:rFonts w:ascii="Arial" w:hAnsi="Arial" w:cs="Arial"/>
          <w:b/>
          <w:bCs/>
          <w:i/>
          <w:iCs/>
        </w:rPr>
        <w:t>Clin Interv Aging</w:t>
      </w:r>
      <w:r w:rsidRPr="00D61F73">
        <w:rPr>
          <w:rFonts w:ascii="Arial" w:hAnsi="Arial" w:cs="Arial"/>
          <w:b/>
          <w:bCs/>
        </w:rPr>
        <w:t>. 2013;8:191-200. doi: 10.2147/CIA.S30729.</w:t>
      </w:r>
    </w:p>
    <w:p w14:paraId="001D9F21" w14:textId="77777777" w:rsidR="008D0565" w:rsidRPr="00D61F73" w:rsidRDefault="008D0565" w:rsidP="00D61F73">
      <w:pPr>
        <w:pStyle w:val="NormalWeb"/>
        <w:spacing w:before="0" w:beforeAutospacing="0" w:after="0" w:afterAutospacing="0"/>
        <w:rPr>
          <w:rFonts w:ascii="Arial" w:hAnsi="Arial" w:cs="Arial"/>
        </w:rPr>
      </w:pPr>
    </w:p>
    <w:p w14:paraId="0B6E753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50" w:history="1">
        <w:r w:rsidRPr="00D61F73">
          <w:rPr>
            <w:rStyle w:val="Hyperlink"/>
            <w:rFonts w:ascii="Arial" w:hAnsi="Arial" w:cs="Arial"/>
          </w:rPr>
          <w:t>23439964</w:t>
        </w:r>
      </w:hyperlink>
    </w:p>
    <w:p w14:paraId="279318EC" w14:textId="77777777" w:rsidR="008D0565" w:rsidRPr="00D61F73" w:rsidRDefault="008D0565" w:rsidP="00D61F73">
      <w:pPr>
        <w:pStyle w:val="NormalWeb"/>
        <w:spacing w:before="0" w:beforeAutospacing="0" w:after="0" w:afterAutospacing="0"/>
        <w:rPr>
          <w:rFonts w:ascii="Arial" w:hAnsi="Arial" w:cs="Arial"/>
        </w:rPr>
      </w:pPr>
    </w:p>
    <w:p w14:paraId="512FCD1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31DC0B97"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6" w:name="Grøndahl"/>
      <w:bookmarkEnd w:id="756"/>
      <w:r w:rsidRPr="00D61F73">
        <w:rPr>
          <w:rFonts w:ascii="Arial" w:hAnsi="Arial" w:cs="Arial"/>
          <w:b/>
          <w:bCs/>
        </w:rPr>
        <w:t xml:space="preserve">røndahl JR, Rosvold EO. Hypnosis as a treatment of chronic widespread pain in general practice: a randomized controlled pilot trial. </w:t>
      </w:r>
      <w:r w:rsidRPr="00D61F73">
        <w:rPr>
          <w:rFonts w:ascii="Arial" w:hAnsi="Arial" w:cs="Arial"/>
          <w:b/>
          <w:bCs/>
          <w:i/>
          <w:iCs/>
        </w:rPr>
        <w:t>BMC Musculoskelet Disord</w:t>
      </w:r>
      <w:r w:rsidRPr="00D61F73">
        <w:rPr>
          <w:rFonts w:ascii="Arial" w:hAnsi="Arial" w:cs="Arial"/>
          <w:b/>
          <w:bCs/>
        </w:rPr>
        <w:t>. 2008 Sep 18;9:124.</w:t>
      </w:r>
    </w:p>
    <w:p w14:paraId="61B5775F" w14:textId="77777777" w:rsidR="008D0565" w:rsidRPr="00D61F73" w:rsidRDefault="008D0565" w:rsidP="00D61F73">
      <w:pPr>
        <w:pStyle w:val="NormalWeb"/>
        <w:spacing w:before="0" w:beforeAutospacing="0" w:after="0" w:afterAutospacing="0"/>
        <w:rPr>
          <w:rFonts w:ascii="Arial" w:hAnsi="Arial" w:cs="Arial"/>
        </w:rPr>
      </w:pPr>
    </w:p>
    <w:p w14:paraId="09B1575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CONCLUSION: The study indicates that hypnosis treatment may have a positive effect on pain and quality of life for patients with chronic muscular pain. Considering the limited number of patients, more studies should be conducted to confirm the results. </w:t>
      </w:r>
    </w:p>
    <w:p w14:paraId="7370B105" w14:textId="77777777" w:rsidR="008D0565" w:rsidRPr="00D61F73" w:rsidRDefault="008D0565" w:rsidP="00D61F73">
      <w:pPr>
        <w:pStyle w:val="NormalWeb"/>
        <w:spacing w:before="0" w:beforeAutospacing="0" w:after="0" w:afterAutospacing="0"/>
        <w:rPr>
          <w:rFonts w:ascii="Arial" w:hAnsi="Arial" w:cs="Arial"/>
        </w:rPr>
      </w:pPr>
    </w:p>
    <w:p w14:paraId="4543F5C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51" w:history="1">
        <w:r w:rsidRPr="00D61F73">
          <w:rPr>
            <w:rStyle w:val="Hyperlink"/>
            <w:rFonts w:ascii="Arial" w:hAnsi="Arial" w:cs="Arial"/>
          </w:rPr>
          <w:t>18801190</w:t>
        </w:r>
      </w:hyperlink>
      <w:r w:rsidRPr="00D61F73">
        <w:rPr>
          <w:rFonts w:ascii="Arial" w:hAnsi="Arial" w:cs="Arial"/>
        </w:rPr>
        <w:t xml:space="preserve"> </w:t>
      </w:r>
    </w:p>
    <w:p w14:paraId="5B3932A7" w14:textId="77777777" w:rsidR="008D0565" w:rsidRPr="00D61F73" w:rsidRDefault="008D0565" w:rsidP="00D61F73">
      <w:pPr>
        <w:pStyle w:val="NormalWeb"/>
        <w:spacing w:before="0" w:beforeAutospacing="0" w:after="0" w:afterAutospacing="0"/>
        <w:rPr>
          <w:rFonts w:ascii="Arial" w:hAnsi="Arial" w:cs="Arial"/>
        </w:rPr>
      </w:pPr>
    </w:p>
    <w:p w14:paraId="3C591C9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41A9AFBB"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7" w:name="Gross"/>
      <w:bookmarkEnd w:id="757"/>
      <w:r w:rsidRPr="00D61F73">
        <w:rPr>
          <w:rFonts w:ascii="Arial" w:hAnsi="Arial" w:cs="Arial"/>
          <w:b/>
          <w:bCs/>
        </w:rPr>
        <w:t xml:space="preserve">ross DP, Battie MC. Predicting timely recovery and recurrence following multidisciplinary rehabilitation in patients with compensated low back pain. </w:t>
      </w:r>
      <w:r w:rsidRPr="00D61F73">
        <w:rPr>
          <w:rFonts w:ascii="Arial" w:hAnsi="Arial" w:cs="Arial"/>
          <w:b/>
          <w:bCs/>
          <w:i/>
          <w:iCs/>
        </w:rPr>
        <w:t>Spine.</w:t>
      </w:r>
      <w:r w:rsidRPr="00D61F73">
        <w:rPr>
          <w:rFonts w:ascii="Arial" w:hAnsi="Arial" w:cs="Arial"/>
          <w:b/>
          <w:bCs/>
        </w:rPr>
        <w:t xml:space="preserve"> 2005 Jan 15;30(2):235-40.</w:t>
      </w:r>
    </w:p>
    <w:p w14:paraId="25C77699" w14:textId="77777777" w:rsidR="008D0565" w:rsidRPr="00D61F73" w:rsidRDefault="008D0565" w:rsidP="00D61F73">
      <w:pPr>
        <w:pStyle w:val="NormalWeb"/>
        <w:spacing w:before="0" w:beforeAutospacing="0" w:after="0" w:afterAutospacing="0"/>
        <w:rPr>
          <w:rFonts w:ascii="Arial" w:hAnsi="Arial" w:cs="Arial"/>
        </w:rPr>
      </w:pPr>
    </w:p>
    <w:p w14:paraId="701D810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RESULTS: The number of preadmission healthcare visits was the most robust predictor of all recovery outcomes. Recurrence rates were 18% in 1999 and 22% in 2000. A higher number of preadmission healthcare visits and more previous back-related claims were associated with higher risk of recurrence. </w:t>
      </w:r>
    </w:p>
    <w:p w14:paraId="36EAF0C2" w14:textId="77777777" w:rsidR="008D0565" w:rsidRPr="00D61F73" w:rsidRDefault="008D0565" w:rsidP="00D61F73">
      <w:pPr>
        <w:pStyle w:val="NormalWeb"/>
        <w:spacing w:before="0" w:beforeAutospacing="0" w:after="0" w:afterAutospacing="0"/>
        <w:rPr>
          <w:rFonts w:ascii="Arial" w:hAnsi="Arial" w:cs="Arial"/>
        </w:rPr>
      </w:pPr>
    </w:p>
    <w:p w14:paraId="6E2323C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52" w:history="1">
        <w:r w:rsidRPr="00D61F73">
          <w:rPr>
            <w:rStyle w:val="Hyperlink"/>
            <w:rFonts w:ascii="Arial" w:hAnsi="Arial" w:cs="Arial"/>
          </w:rPr>
          <w:t>15644763</w:t>
        </w:r>
      </w:hyperlink>
      <w:r w:rsidRPr="00D61F73">
        <w:rPr>
          <w:rFonts w:ascii="Arial" w:hAnsi="Arial" w:cs="Arial"/>
        </w:rPr>
        <w:t xml:space="preserve"> </w:t>
      </w:r>
    </w:p>
    <w:p w14:paraId="5521942A" w14:textId="77777777" w:rsidR="008D0565" w:rsidRPr="00D61F73" w:rsidRDefault="008D0565" w:rsidP="00D61F73">
      <w:pPr>
        <w:pStyle w:val="NormalWeb"/>
        <w:spacing w:before="0" w:beforeAutospacing="0" w:after="0" w:afterAutospacing="0"/>
        <w:rPr>
          <w:rFonts w:ascii="Arial" w:hAnsi="Arial" w:cs="Arial"/>
        </w:rPr>
      </w:pPr>
    </w:p>
    <w:p w14:paraId="043DF2B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3b</w:t>
      </w:r>
    </w:p>
    <w:p w14:paraId="5794253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G</w:t>
      </w:r>
      <w:bookmarkStart w:id="758" w:name="Guay"/>
      <w:bookmarkEnd w:id="758"/>
      <w:r w:rsidRPr="00D61F73">
        <w:rPr>
          <w:rFonts w:ascii="Arial" w:hAnsi="Arial" w:cs="Arial"/>
          <w:b/>
          <w:bCs/>
        </w:rPr>
        <w:t xml:space="preserve">uay DR. Oxcarbazepine, topiramate, zonisamide, and levetiracetam: potential use in neuropathic pain. </w:t>
      </w:r>
      <w:r w:rsidRPr="00D61F73">
        <w:rPr>
          <w:rFonts w:ascii="Arial" w:hAnsi="Arial" w:cs="Arial"/>
          <w:b/>
          <w:bCs/>
          <w:i/>
          <w:iCs/>
        </w:rPr>
        <w:t>Am J Geriatr Pharmacother.</w:t>
      </w:r>
      <w:r w:rsidRPr="00D61F73">
        <w:rPr>
          <w:rFonts w:ascii="Arial" w:hAnsi="Arial" w:cs="Arial"/>
          <w:b/>
          <w:bCs/>
        </w:rPr>
        <w:t xml:space="preserve"> 2003 Sep;1(1):18-37.</w:t>
      </w:r>
    </w:p>
    <w:p w14:paraId="6963F881" w14:textId="77777777" w:rsidR="008D0565" w:rsidRPr="00D61F73" w:rsidRDefault="008D0565" w:rsidP="00D61F73">
      <w:pPr>
        <w:rPr>
          <w:rFonts w:ascii="Arial" w:hAnsi="Arial" w:cs="Arial"/>
        </w:rPr>
      </w:pPr>
    </w:p>
    <w:p w14:paraId="3B416B0B" w14:textId="77777777" w:rsidR="008D0565" w:rsidRPr="00D61F73" w:rsidRDefault="008D0565" w:rsidP="00D61F73">
      <w:pPr>
        <w:rPr>
          <w:rFonts w:ascii="Arial" w:hAnsi="Arial" w:cs="Arial"/>
        </w:rPr>
      </w:pPr>
      <w:r w:rsidRPr="00D61F73">
        <w:rPr>
          <w:rFonts w:ascii="Arial" w:hAnsi="Arial" w:cs="Arial"/>
        </w:rPr>
        <w:t>CONCLUSIONS: The ultimate role of these agents in the therapeutic armamentarium against pain requires further research and experience. In the interim, these 4 agents should be used to treat neuropathic pain in the elderly only when carbamazepine, gabapentin, or lamotrigine cannot be used or when the response to the aforementioned agents is suboptimal.</w:t>
      </w:r>
    </w:p>
    <w:p w14:paraId="57B45A57" w14:textId="77777777" w:rsidR="008D0565" w:rsidRPr="00D61F73" w:rsidRDefault="008D0565" w:rsidP="00D61F73">
      <w:pPr>
        <w:rPr>
          <w:rFonts w:ascii="Arial" w:hAnsi="Arial" w:cs="Arial"/>
        </w:rPr>
      </w:pPr>
    </w:p>
    <w:p w14:paraId="3CFA912D" w14:textId="77777777" w:rsidR="008D0565" w:rsidRPr="00D61F73" w:rsidRDefault="008D0565" w:rsidP="00D61F73">
      <w:pPr>
        <w:rPr>
          <w:rFonts w:ascii="Arial" w:hAnsi="Arial" w:cs="Arial"/>
        </w:rPr>
      </w:pPr>
      <w:r w:rsidRPr="00D61F73">
        <w:rPr>
          <w:rFonts w:ascii="Arial" w:hAnsi="Arial" w:cs="Arial"/>
        </w:rPr>
        <w:t xml:space="preserve">PMID: </w:t>
      </w:r>
      <w:hyperlink r:id="rId453" w:history="1">
        <w:r w:rsidRPr="00D61F73">
          <w:rPr>
            <w:rStyle w:val="Hyperlink"/>
            <w:rFonts w:ascii="Arial" w:hAnsi="Arial" w:cs="Arial"/>
          </w:rPr>
          <w:t>15555463</w:t>
        </w:r>
      </w:hyperlink>
      <w:r w:rsidRPr="00D61F73">
        <w:rPr>
          <w:rFonts w:ascii="Arial" w:hAnsi="Arial" w:cs="Arial"/>
        </w:rPr>
        <w:t xml:space="preserve"> </w:t>
      </w:r>
    </w:p>
    <w:p w14:paraId="73A02F74" w14:textId="77777777" w:rsidR="008D0565" w:rsidRPr="00D61F73" w:rsidRDefault="008D0565" w:rsidP="00D61F73">
      <w:pPr>
        <w:rPr>
          <w:rFonts w:ascii="Arial" w:hAnsi="Arial" w:cs="Arial"/>
        </w:rPr>
      </w:pPr>
    </w:p>
    <w:p w14:paraId="6349799D" w14:textId="77777777" w:rsidR="008D0565" w:rsidRPr="00D61F73" w:rsidRDefault="008D0565" w:rsidP="00D61F73">
      <w:pPr>
        <w:rPr>
          <w:rFonts w:ascii="Arial" w:hAnsi="Arial" w:cs="Arial"/>
        </w:rPr>
      </w:pPr>
      <w:r w:rsidRPr="00D61F73">
        <w:rPr>
          <w:rFonts w:ascii="Arial" w:hAnsi="Arial" w:cs="Arial"/>
        </w:rPr>
        <w:t>Rating: 1b</w:t>
      </w:r>
    </w:p>
    <w:p w14:paraId="14CB5B4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59" w:name="Guillaume"/>
      <w:bookmarkEnd w:id="759"/>
      <w:r w:rsidRPr="00D61F73">
        <w:rPr>
          <w:rFonts w:ascii="Arial" w:hAnsi="Arial" w:cs="Arial"/>
          <w:b/>
        </w:rPr>
        <w:t xml:space="preserve">uillaume D, Van Havenbergh A, Vloeberghs M, Vidal J, Roeste G. A clinical study of intrathecal baclofen using a programmable pump for intractable spasticity. Arch Phys </w:t>
      </w:r>
      <w:r w:rsidRPr="00D61F73">
        <w:rPr>
          <w:rFonts w:ascii="Arial" w:hAnsi="Arial" w:cs="Arial"/>
          <w:b/>
          <w:i/>
        </w:rPr>
        <w:t>Med Rehabil</w:t>
      </w:r>
      <w:r w:rsidRPr="00D61F73">
        <w:rPr>
          <w:rFonts w:ascii="Arial" w:hAnsi="Arial" w:cs="Arial"/>
          <w:b/>
        </w:rPr>
        <w:t>. 2005;86:2165-71.</w:t>
      </w:r>
    </w:p>
    <w:p w14:paraId="58793ABC" w14:textId="77777777" w:rsidR="008D0565" w:rsidRPr="00D61F73" w:rsidRDefault="008D0565" w:rsidP="00D61F73">
      <w:pPr>
        <w:rPr>
          <w:rFonts w:ascii="Arial" w:hAnsi="Arial" w:cs="Arial"/>
        </w:rPr>
      </w:pPr>
    </w:p>
    <w:p w14:paraId="3DCF21E1" w14:textId="77777777" w:rsidR="008D0565" w:rsidRPr="00D61F73" w:rsidRDefault="008D0565" w:rsidP="00D61F73">
      <w:pPr>
        <w:rPr>
          <w:rFonts w:ascii="Arial" w:hAnsi="Arial" w:cs="Arial"/>
        </w:rPr>
      </w:pPr>
      <w:r w:rsidRPr="00D61F73">
        <w:rPr>
          <w:rFonts w:ascii="Arial" w:hAnsi="Arial" w:cs="Arial"/>
        </w:rPr>
        <w:t>CONCLUSIONS: ITB therapy using a programmable pump is clinically effective and well tolerated, despite a seemingly high level of adverse events, in patients with intractable spasticity of spinal or cerebral origin and may offer improvements in pain relief and function.</w:t>
      </w:r>
    </w:p>
    <w:p w14:paraId="4E537793" w14:textId="77777777" w:rsidR="008D0565" w:rsidRPr="00D61F73" w:rsidRDefault="008D0565" w:rsidP="00D61F73">
      <w:pPr>
        <w:rPr>
          <w:rFonts w:ascii="Arial" w:hAnsi="Arial" w:cs="Arial"/>
        </w:rPr>
      </w:pPr>
    </w:p>
    <w:p w14:paraId="731F1D23" w14:textId="77777777" w:rsidR="008D0565" w:rsidRPr="00D61F73" w:rsidRDefault="008D0565" w:rsidP="00D61F73">
      <w:pPr>
        <w:rPr>
          <w:rFonts w:ascii="Arial" w:hAnsi="Arial" w:cs="Arial"/>
        </w:rPr>
      </w:pPr>
      <w:r w:rsidRPr="00D61F73">
        <w:rPr>
          <w:rFonts w:ascii="Arial" w:hAnsi="Arial" w:cs="Arial"/>
        </w:rPr>
        <w:t xml:space="preserve">PMID: </w:t>
      </w:r>
      <w:hyperlink r:id="rId454" w:history="1">
        <w:r w:rsidRPr="00D61F73">
          <w:rPr>
            <w:rStyle w:val="Hyperlink"/>
            <w:rFonts w:ascii="Arial" w:hAnsi="Arial" w:cs="Arial"/>
          </w:rPr>
          <w:t>16271565</w:t>
        </w:r>
      </w:hyperlink>
      <w:r w:rsidRPr="00D61F73">
        <w:rPr>
          <w:rFonts w:ascii="Arial" w:hAnsi="Arial" w:cs="Arial"/>
        </w:rPr>
        <w:t xml:space="preserve"> </w:t>
      </w:r>
    </w:p>
    <w:p w14:paraId="0BADC6A6" w14:textId="77777777" w:rsidR="008D0565" w:rsidRPr="00D61F73" w:rsidRDefault="008D0565" w:rsidP="00D61F73">
      <w:pPr>
        <w:rPr>
          <w:rFonts w:ascii="Arial" w:hAnsi="Arial" w:cs="Arial"/>
        </w:rPr>
      </w:pPr>
    </w:p>
    <w:p w14:paraId="24AA766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3b</w:t>
      </w:r>
    </w:p>
    <w:p w14:paraId="3A8CBAF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60" w:name="Gürol"/>
      <w:bookmarkEnd w:id="760"/>
      <w:r w:rsidRPr="00D61F73">
        <w:rPr>
          <w:rFonts w:ascii="Arial" w:hAnsi="Arial" w:cs="Arial"/>
          <w:b/>
        </w:rPr>
        <w:t xml:space="preserve">ürol Z, Hekimoğlu S, Demirdamar R, Sumnu M. Percutaneous absorption of ketoprofen. I. In vitro release and percutaneous absorption of ketoprofen from different ointment bases. </w:t>
      </w:r>
      <w:r w:rsidRPr="00D61F73">
        <w:rPr>
          <w:rFonts w:ascii="Arial" w:hAnsi="Arial" w:cs="Arial"/>
          <w:b/>
          <w:i/>
        </w:rPr>
        <w:t>Pharm Acta Helv</w:t>
      </w:r>
      <w:r w:rsidRPr="00D61F73">
        <w:rPr>
          <w:rFonts w:ascii="Arial" w:hAnsi="Arial" w:cs="Arial"/>
          <w:b/>
        </w:rPr>
        <w:t>. 1996;71:205-12.</w:t>
      </w:r>
    </w:p>
    <w:p w14:paraId="43EE3B86" w14:textId="77777777" w:rsidR="008D0565" w:rsidRPr="00D61F73" w:rsidRDefault="008D0565" w:rsidP="00D61F73">
      <w:pPr>
        <w:rPr>
          <w:rFonts w:ascii="Arial" w:hAnsi="Arial" w:cs="Arial"/>
        </w:rPr>
      </w:pPr>
    </w:p>
    <w:p w14:paraId="256E65B0" w14:textId="77777777" w:rsidR="008D0565" w:rsidRPr="00D61F73" w:rsidRDefault="008D0565" w:rsidP="00D61F73">
      <w:pPr>
        <w:rPr>
          <w:rFonts w:ascii="Arial" w:hAnsi="Arial" w:cs="Arial"/>
        </w:rPr>
      </w:pPr>
      <w:r w:rsidRPr="00D61F73">
        <w:rPr>
          <w:rFonts w:ascii="Arial" w:hAnsi="Arial" w:cs="Arial"/>
        </w:rPr>
        <w:t xml:space="preserve">Since the efficacy of an ointment depends on the type of ointment base and the concentration of the drug, four different bases (white petrolatum, cold cream, hydrophilic ointment and Carbopol 940 gel) were used at 1, 3, 5, 7 and 10% concentrations of KP to evaluate the effect of ointment base and concentration. </w:t>
      </w:r>
    </w:p>
    <w:p w14:paraId="173FDAE5" w14:textId="77777777" w:rsidR="008D0565" w:rsidRPr="00D61F73" w:rsidRDefault="008D0565" w:rsidP="00D61F73">
      <w:pPr>
        <w:rPr>
          <w:rFonts w:ascii="Arial" w:hAnsi="Arial" w:cs="Arial"/>
        </w:rPr>
      </w:pPr>
    </w:p>
    <w:p w14:paraId="07BD4163" w14:textId="77777777" w:rsidR="008D0565" w:rsidRPr="00D61F73" w:rsidRDefault="008D0565" w:rsidP="00D61F73">
      <w:pPr>
        <w:rPr>
          <w:rFonts w:ascii="Arial" w:hAnsi="Arial" w:cs="Arial"/>
        </w:rPr>
      </w:pPr>
      <w:r w:rsidRPr="00D61F73">
        <w:rPr>
          <w:rFonts w:ascii="Arial" w:hAnsi="Arial" w:cs="Arial"/>
        </w:rPr>
        <w:t xml:space="preserve">PMID: </w:t>
      </w:r>
      <w:hyperlink r:id="rId455" w:history="1">
        <w:r w:rsidRPr="00D61F73">
          <w:rPr>
            <w:rStyle w:val="Hyperlink"/>
            <w:rFonts w:ascii="Arial" w:hAnsi="Arial" w:cs="Arial"/>
          </w:rPr>
          <w:t>8818309</w:t>
        </w:r>
      </w:hyperlink>
      <w:r w:rsidRPr="00D61F73">
        <w:rPr>
          <w:rFonts w:ascii="Arial" w:hAnsi="Arial" w:cs="Arial"/>
        </w:rPr>
        <w:t xml:space="preserve"> </w:t>
      </w:r>
    </w:p>
    <w:p w14:paraId="02821D4E" w14:textId="77777777" w:rsidR="008D0565" w:rsidRPr="00D61F73" w:rsidRDefault="008D0565" w:rsidP="00D61F73">
      <w:pPr>
        <w:rPr>
          <w:rFonts w:ascii="Arial" w:hAnsi="Arial" w:cs="Arial"/>
        </w:rPr>
      </w:pPr>
    </w:p>
    <w:p w14:paraId="54AADE8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3A26B1F0"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hyperlink r:id="rId456" w:history="1">
        <w:r w:rsidRPr="00D61F73">
          <w:rPr>
            <w:rStyle w:val="Hyperlink"/>
            <w:rFonts w:ascii="Arial" w:hAnsi="Arial" w:cs="Arial"/>
            <w:b/>
            <w:bCs/>
          </w:rPr>
          <w:t>G</w:t>
        </w:r>
        <w:bookmarkStart w:id="761" w:name="Gusi"/>
        <w:bookmarkEnd w:id="761"/>
        <w:r w:rsidRPr="00D61F73">
          <w:rPr>
            <w:rStyle w:val="Hyperlink"/>
            <w:rFonts w:ascii="Arial" w:hAnsi="Arial" w:cs="Arial"/>
            <w:b/>
            <w:bCs/>
          </w:rPr>
          <w:t>usi N, Tomas-Carus P</w:t>
        </w:r>
      </w:hyperlink>
      <w:r w:rsidRPr="00D61F73">
        <w:rPr>
          <w:rFonts w:ascii="Arial" w:hAnsi="Arial" w:cs="Arial"/>
          <w:b/>
          <w:bCs/>
        </w:rPr>
        <w:t xml:space="preserve">. Cost-utility of an 8-month aquatic training for women with fibromyalgia: a randomized controlled trial. </w:t>
      </w:r>
      <w:r w:rsidRPr="00D61F73">
        <w:rPr>
          <w:rFonts w:ascii="Arial" w:hAnsi="Arial" w:cs="Arial"/>
          <w:b/>
          <w:bCs/>
          <w:i/>
          <w:iCs/>
        </w:rPr>
        <w:t>Arthritis Res Ther</w:t>
      </w:r>
      <w:r w:rsidRPr="00D61F73">
        <w:rPr>
          <w:rFonts w:ascii="Arial" w:hAnsi="Arial" w:cs="Arial"/>
          <w:b/>
          <w:bCs/>
        </w:rPr>
        <w:t>. 2008 Feb 22;10(1):R24.</w:t>
      </w:r>
    </w:p>
    <w:p w14:paraId="79852212" w14:textId="77777777" w:rsidR="008D0565" w:rsidRPr="00D61F73" w:rsidRDefault="008D0565" w:rsidP="00D61F73">
      <w:pPr>
        <w:pStyle w:val="NormalWeb"/>
        <w:spacing w:before="0" w:beforeAutospacing="0" w:after="0" w:afterAutospacing="0"/>
        <w:rPr>
          <w:rFonts w:ascii="Arial" w:hAnsi="Arial" w:cs="Arial"/>
        </w:rPr>
      </w:pPr>
    </w:p>
    <w:p w14:paraId="0378FD3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CONCLUSIONS: The addition of an aquatic exercise programme to the usual care for fibromyalgia in women, is cost-effective in terms of both health care costs and societal costs. </w:t>
      </w:r>
    </w:p>
    <w:p w14:paraId="5397A177" w14:textId="77777777" w:rsidR="008D0565" w:rsidRPr="00D61F73" w:rsidRDefault="008D0565" w:rsidP="00D61F73">
      <w:pPr>
        <w:pStyle w:val="NormalWeb"/>
        <w:spacing w:before="0" w:beforeAutospacing="0" w:after="0" w:afterAutospacing="0"/>
        <w:rPr>
          <w:rFonts w:ascii="Arial" w:hAnsi="Arial" w:cs="Arial"/>
        </w:rPr>
      </w:pPr>
    </w:p>
    <w:p w14:paraId="7B1A34A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57" w:history="1">
        <w:r w:rsidRPr="00D61F73">
          <w:rPr>
            <w:rStyle w:val="Hyperlink"/>
            <w:rFonts w:ascii="Arial" w:hAnsi="Arial" w:cs="Arial"/>
          </w:rPr>
          <w:t>18294367</w:t>
        </w:r>
      </w:hyperlink>
      <w:r w:rsidRPr="00D61F73">
        <w:rPr>
          <w:rFonts w:ascii="Arial" w:hAnsi="Arial" w:cs="Arial"/>
        </w:rPr>
        <w:t xml:space="preserve"> </w:t>
      </w:r>
    </w:p>
    <w:p w14:paraId="37641157" w14:textId="77777777" w:rsidR="008D0565" w:rsidRPr="00D61F73" w:rsidRDefault="008D0565" w:rsidP="00D61F73">
      <w:pPr>
        <w:pStyle w:val="NormalWeb"/>
        <w:spacing w:before="0" w:beforeAutospacing="0" w:after="0" w:afterAutospacing="0"/>
        <w:rPr>
          <w:rFonts w:ascii="Arial" w:hAnsi="Arial" w:cs="Arial"/>
        </w:rPr>
      </w:pPr>
    </w:p>
    <w:p w14:paraId="14FA028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563F0F24"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bookmarkStart w:id="762" w:name="Guzman"/>
      <w:r w:rsidRPr="00D61F73">
        <w:rPr>
          <w:rFonts w:ascii="Arial" w:hAnsi="Arial" w:cs="Arial"/>
          <w:b/>
          <w:bCs/>
        </w:rPr>
        <w:lastRenderedPageBreak/>
        <w:t>Guzman</w:t>
      </w:r>
      <w:bookmarkEnd w:id="762"/>
      <w:r w:rsidRPr="00D61F73">
        <w:rPr>
          <w:rFonts w:ascii="Arial" w:hAnsi="Arial" w:cs="Arial"/>
          <w:b/>
          <w:bCs/>
        </w:rPr>
        <w:t xml:space="preserve"> J, Esmail R, Karjalainen K. et al. Multidisciplinary Rehabilitation for Chronic Low Back Pain: Systematic Review. </w:t>
      </w:r>
      <w:r w:rsidRPr="00D61F73">
        <w:rPr>
          <w:rFonts w:ascii="Arial" w:hAnsi="Arial" w:cs="Arial"/>
          <w:b/>
          <w:bCs/>
          <w:i/>
          <w:iCs/>
        </w:rPr>
        <w:t>BMJ</w:t>
      </w:r>
      <w:r w:rsidRPr="00D61F73">
        <w:rPr>
          <w:rFonts w:ascii="Arial" w:hAnsi="Arial" w:cs="Arial"/>
          <w:b/>
          <w:bCs/>
        </w:rPr>
        <w:t xml:space="preserve"> 2001;322:1511-1516.</w:t>
      </w:r>
    </w:p>
    <w:p w14:paraId="4C34B0B8" w14:textId="77777777" w:rsidR="008D0565" w:rsidRPr="00D61F73" w:rsidRDefault="008D0565" w:rsidP="00D61F73">
      <w:pPr>
        <w:pStyle w:val="NormalWeb"/>
        <w:spacing w:before="0" w:beforeAutospacing="0" w:after="0" w:afterAutospacing="0"/>
        <w:rPr>
          <w:rFonts w:ascii="Arial" w:hAnsi="Arial" w:cs="Arial"/>
          <w:b/>
          <w:bCs/>
        </w:rPr>
      </w:pPr>
    </w:p>
    <w:p w14:paraId="1C6C581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CONCLUSIONS: The reviewed trials provide evidence that intensive multidisciplinary biopsychosocial rehabilitation with functional restoration reduces pain and improves function in patients with chronic low back pain. </w:t>
      </w:r>
    </w:p>
    <w:p w14:paraId="037D1F24" w14:textId="77777777" w:rsidR="008D0565" w:rsidRPr="00D61F73" w:rsidRDefault="008D0565" w:rsidP="00D61F73">
      <w:pPr>
        <w:pStyle w:val="NormalWeb"/>
        <w:spacing w:before="0" w:beforeAutospacing="0" w:after="0" w:afterAutospacing="0"/>
        <w:rPr>
          <w:rFonts w:ascii="Arial" w:hAnsi="Arial" w:cs="Arial"/>
          <w:b/>
          <w:bCs/>
        </w:rPr>
      </w:pPr>
    </w:p>
    <w:p w14:paraId="722049F1" w14:textId="77777777" w:rsidR="008D0565" w:rsidRPr="00D61F73" w:rsidRDefault="008D0565" w:rsidP="00D61F73">
      <w:pPr>
        <w:rPr>
          <w:rFonts w:ascii="Arial" w:hAnsi="Arial" w:cs="Arial"/>
        </w:rPr>
      </w:pPr>
      <w:r w:rsidRPr="00D61F73">
        <w:rPr>
          <w:rFonts w:ascii="Arial" w:hAnsi="Arial" w:cs="Arial"/>
        </w:rPr>
        <w:t>Publication Type: Systematic Review/Meta-Analysis</w:t>
      </w:r>
    </w:p>
    <w:p w14:paraId="5BC1A6A6" w14:textId="77777777" w:rsidR="000631D1" w:rsidRPr="00D61F73" w:rsidRDefault="000631D1" w:rsidP="00D61F73">
      <w:pPr>
        <w:rPr>
          <w:rFonts w:ascii="Arial" w:hAnsi="Arial" w:cs="Arial"/>
        </w:rPr>
      </w:pPr>
    </w:p>
    <w:p w14:paraId="2F231123" w14:textId="77777777" w:rsidR="000631D1" w:rsidRPr="00D61F73" w:rsidRDefault="000631D1" w:rsidP="00D61F73">
      <w:pPr>
        <w:rPr>
          <w:rFonts w:ascii="Arial" w:hAnsi="Arial" w:cs="Arial"/>
        </w:rPr>
      </w:pPr>
      <w:r w:rsidRPr="00D61F73">
        <w:rPr>
          <w:rFonts w:ascii="Arial" w:hAnsi="Arial" w:cs="Arial"/>
        </w:rPr>
        <w:t xml:space="preserve">PMID: </w:t>
      </w:r>
      <w:hyperlink r:id="rId458" w:history="1">
        <w:r w:rsidRPr="00D61F73">
          <w:rPr>
            <w:rStyle w:val="Hyperlink"/>
            <w:rFonts w:ascii="Arial" w:hAnsi="Arial" w:cs="Arial"/>
          </w:rPr>
          <w:t>11420271</w:t>
        </w:r>
      </w:hyperlink>
    </w:p>
    <w:p w14:paraId="6F553597" w14:textId="77777777" w:rsidR="008D0565" w:rsidRPr="00D61F73" w:rsidRDefault="008D0565" w:rsidP="00D61F73">
      <w:pPr>
        <w:rPr>
          <w:rFonts w:ascii="Arial" w:hAnsi="Arial" w:cs="Arial"/>
        </w:rPr>
      </w:pPr>
    </w:p>
    <w:p w14:paraId="32F5E5CE" w14:textId="77777777" w:rsidR="008D0565" w:rsidRPr="00D61F73" w:rsidRDefault="008D0565" w:rsidP="00D61F73">
      <w:pPr>
        <w:rPr>
          <w:rFonts w:ascii="Arial" w:hAnsi="Arial" w:cs="Arial"/>
        </w:rPr>
      </w:pPr>
      <w:r w:rsidRPr="00D61F73">
        <w:rPr>
          <w:rFonts w:ascii="Arial" w:hAnsi="Arial" w:cs="Arial"/>
        </w:rPr>
        <w:t>Rating: 1b</w:t>
      </w:r>
    </w:p>
    <w:p w14:paraId="1E7DE4B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G</w:t>
      </w:r>
      <w:bookmarkStart w:id="763" w:name="Guzmán"/>
      <w:bookmarkEnd w:id="763"/>
      <w:r w:rsidRPr="00D61F73">
        <w:rPr>
          <w:rFonts w:ascii="Arial" w:hAnsi="Arial" w:cs="Arial"/>
          <w:b/>
        </w:rPr>
        <w:t xml:space="preserve">uzmán J, Esmail R, Karjalainen K, Malmivaara A, Irvin E, Bombardier C. Multidisciplinary bio-psycho-social rehabilitation for chronic low back pain. </w:t>
      </w:r>
      <w:r w:rsidRPr="00D61F73">
        <w:rPr>
          <w:rFonts w:ascii="Arial" w:hAnsi="Arial" w:cs="Arial"/>
          <w:b/>
          <w:i/>
        </w:rPr>
        <w:t>Cochrane Database Syst Rev</w:t>
      </w:r>
      <w:r w:rsidRPr="00D61F73">
        <w:rPr>
          <w:rFonts w:ascii="Arial" w:hAnsi="Arial" w:cs="Arial"/>
          <w:b/>
        </w:rPr>
        <w:t>. 2002;(1):CD000963</w:t>
      </w:r>
    </w:p>
    <w:p w14:paraId="5EBCAC0E" w14:textId="77777777" w:rsidR="008D0565" w:rsidRPr="00D61F73" w:rsidRDefault="008D0565" w:rsidP="00D61F73">
      <w:pPr>
        <w:rPr>
          <w:rFonts w:ascii="Arial" w:hAnsi="Arial" w:cs="Arial"/>
          <w:b/>
        </w:rPr>
      </w:pPr>
    </w:p>
    <w:p w14:paraId="072171ED" w14:textId="77777777" w:rsidR="008D0565" w:rsidRPr="00D61F73" w:rsidRDefault="008D0565" w:rsidP="00D61F73">
      <w:pPr>
        <w:rPr>
          <w:rFonts w:ascii="Arial" w:hAnsi="Arial" w:cs="Arial"/>
        </w:rPr>
      </w:pPr>
      <w:r w:rsidRPr="00D61F73">
        <w:rPr>
          <w:rFonts w:ascii="Arial" w:hAnsi="Arial" w:cs="Arial"/>
        </w:rPr>
        <w:t>CONCLUSIONS: The reviewed trials provide evidence that intensive multidisciplinary bio-psycho-social rehabilitation with a functional restoration approach improves pain and function. Less intensive interventions did not show improvements in clinically relevant outcomes.</w:t>
      </w:r>
    </w:p>
    <w:p w14:paraId="291C4699" w14:textId="77777777" w:rsidR="008D0565" w:rsidRPr="00D61F73" w:rsidRDefault="008D0565" w:rsidP="00D61F73">
      <w:pPr>
        <w:rPr>
          <w:rFonts w:ascii="Arial" w:hAnsi="Arial" w:cs="Arial"/>
        </w:rPr>
      </w:pPr>
    </w:p>
    <w:p w14:paraId="3CCD2995" w14:textId="77777777" w:rsidR="008D0565" w:rsidRPr="00D61F73" w:rsidRDefault="008D0565" w:rsidP="00D61F73">
      <w:pPr>
        <w:rPr>
          <w:rFonts w:ascii="Arial" w:hAnsi="Arial" w:cs="Arial"/>
        </w:rPr>
      </w:pPr>
      <w:r w:rsidRPr="00D61F73">
        <w:rPr>
          <w:rFonts w:ascii="Arial" w:hAnsi="Arial" w:cs="Arial"/>
        </w:rPr>
        <w:t xml:space="preserve">PMID: </w:t>
      </w:r>
      <w:hyperlink r:id="rId459" w:history="1">
        <w:r w:rsidRPr="00D61F73">
          <w:rPr>
            <w:rStyle w:val="Hyperlink"/>
            <w:rFonts w:ascii="Arial" w:hAnsi="Arial" w:cs="Arial"/>
          </w:rPr>
          <w:t>11869581</w:t>
        </w:r>
      </w:hyperlink>
    </w:p>
    <w:p w14:paraId="25C11657" w14:textId="77777777" w:rsidR="008D0565" w:rsidRPr="00D61F73" w:rsidRDefault="008D0565" w:rsidP="00D61F73">
      <w:pPr>
        <w:rPr>
          <w:rFonts w:ascii="Arial" w:hAnsi="Arial" w:cs="Arial"/>
        </w:rPr>
      </w:pPr>
    </w:p>
    <w:p w14:paraId="7B82DFF1" w14:textId="77777777" w:rsidR="008D0565" w:rsidRPr="00D61F73" w:rsidRDefault="008D0565" w:rsidP="00D61F73">
      <w:pPr>
        <w:rPr>
          <w:rFonts w:ascii="Arial" w:hAnsi="Arial" w:cs="Arial"/>
        </w:rPr>
      </w:pPr>
      <w:r w:rsidRPr="00D61F73">
        <w:rPr>
          <w:rFonts w:ascii="Arial" w:hAnsi="Arial" w:cs="Arial"/>
        </w:rPr>
        <w:t>Rating: This review has been withdrawn.</w:t>
      </w:r>
    </w:p>
    <w:p w14:paraId="66D626A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H</w:t>
      </w:r>
      <w:bookmarkStart w:id="764" w:name="Haddad"/>
      <w:bookmarkEnd w:id="764"/>
      <w:r w:rsidRPr="00D61F73">
        <w:rPr>
          <w:rFonts w:ascii="Arial" w:hAnsi="Arial" w:cs="Arial"/>
          <w:b/>
        </w:rPr>
        <w:t xml:space="preserve">addad RM, Kennedy CC, Caples SM, Tracz MJ, Bolona ER, Sideras K, Uraga MV, Erwin PJ, Montori VM. Testosterone and cardiovascular risk in men: a systematic review and meta-analysis of randomized placebo-controlled trials. </w:t>
      </w:r>
      <w:r w:rsidRPr="00D61F73">
        <w:rPr>
          <w:rFonts w:ascii="Arial" w:hAnsi="Arial" w:cs="Arial"/>
          <w:b/>
          <w:i/>
        </w:rPr>
        <w:t>Mayo Clin Proc</w:t>
      </w:r>
      <w:r w:rsidRPr="00D61F73">
        <w:rPr>
          <w:rFonts w:ascii="Arial" w:hAnsi="Arial" w:cs="Arial"/>
          <w:b/>
        </w:rPr>
        <w:t>. 2007;82:29-39.</w:t>
      </w:r>
    </w:p>
    <w:p w14:paraId="409673B8" w14:textId="77777777" w:rsidR="008D0565" w:rsidRPr="00D61F73" w:rsidRDefault="008D0565" w:rsidP="00D61F73">
      <w:pPr>
        <w:rPr>
          <w:rFonts w:ascii="Arial" w:hAnsi="Arial" w:cs="Arial"/>
        </w:rPr>
      </w:pPr>
    </w:p>
    <w:p w14:paraId="66E22E83" w14:textId="77777777" w:rsidR="008D0565" w:rsidRPr="00D61F73" w:rsidRDefault="008D0565" w:rsidP="00D61F73">
      <w:pPr>
        <w:rPr>
          <w:rFonts w:ascii="Arial" w:hAnsi="Arial" w:cs="Arial"/>
        </w:rPr>
      </w:pPr>
      <w:r w:rsidRPr="00D61F73">
        <w:rPr>
          <w:rFonts w:ascii="Arial" w:hAnsi="Arial" w:cs="Arial"/>
        </w:rPr>
        <w:t xml:space="preserve">CONCLUSION: Currently available evidence weakly supports the inference that testosterone use in men is not associated with important cardiovascular effects. </w:t>
      </w:r>
    </w:p>
    <w:p w14:paraId="0E1F3B2C" w14:textId="77777777" w:rsidR="008D0565" w:rsidRPr="00D61F73" w:rsidRDefault="008D0565" w:rsidP="00D61F73">
      <w:pPr>
        <w:rPr>
          <w:rFonts w:ascii="Arial" w:hAnsi="Arial" w:cs="Arial"/>
        </w:rPr>
      </w:pPr>
    </w:p>
    <w:p w14:paraId="5F2DC9D2" w14:textId="77777777" w:rsidR="008D0565" w:rsidRPr="00D61F73" w:rsidRDefault="008D0565" w:rsidP="00D61F73">
      <w:pPr>
        <w:rPr>
          <w:rFonts w:ascii="Arial" w:hAnsi="Arial" w:cs="Arial"/>
        </w:rPr>
      </w:pPr>
      <w:r w:rsidRPr="00D61F73">
        <w:rPr>
          <w:rFonts w:ascii="Arial" w:hAnsi="Arial" w:cs="Arial"/>
        </w:rPr>
        <w:t xml:space="preserve">PMID: </w:t>
      </w:r>
      <w:hyperlink r:id="rId460" w:history="1">
        <w:r w:rsidRPr="00D61F73">
          <w:rPr>
            <w:rStyle w:val="Hyperlink"/>
            <w:rFonts w:ascii="Arial" w:hAnsi="Arial" w:cs="Arial"/>
          </w:rPr>
          <w:t>17285783</w:t>
        </w:r>
      </w:hyperlink>
    </w:p>
    <w:p w14:paraId="7AA45806" w14:textId="77777777" w:rsidR="008D0565" w:rsidRPr="00D61F73" w:rsidRDefault="008D0565" w:rsidP="00D61F73">
      <w:pPr>
        <w:rPr>
          <w:rFonts w:ascii="Arial" w:hAnsi="Arial" w:cs="Arial"/>
        </w:rPr>
      </w:pPr>
    </w:p>
    <w:p w14:paraId="0DD1DD1D" w14:textId="77777777" w:rsidR="008D0565" w:rsidRPr="00D61F73" w:rsidRDefault="008D0565" w:rsidP="00D61F73">
      <w:pPr>
        <w:rPr>
          <w:rFonts w:ascii="Arial" w:hAnsi="Arial" w:cs="Arial"/>
        </w:rPr>
      </w:pPr>
      <w:r w:rsidRPr="00D61F73">
        <w:rPr>
          <w:rFonts w:ascii="Arial" w:hAnsi="Arial" w:cs="Arial"/>
        </w:rPr>
        <w:t>Rating: 1a</w:t>
      </w:r>
    </w:p>
    <w:p w14:paraId="471C499F" w14:textId="77777777" w:rsidR="008D0565" w:rsidRPr="00D61F73" w:rsidRDefault="008D0565" w:rsidP="00D61F73">
      <w:pPr>
        <w:rPr>
          <w:rStyle w:val="ti"/>
          <w:rFonts w:ascii="Arial" w:hAnsi="Arial" w:cs="Arial"/>
          <w:b/>
        </w:rPr>
      </w:pPr>
      <w:r w:rsidRPr="00D61F73">
        <w:rPr>
          <w:rFonts w:ascii="Arial" w:hAnsi="Arial" w:cs="Arial"/>
        </w:rPr>
        <w:br w:type="page"/>
      </w:r>
      <w:r w:rsidRPr="00D61F73">
        <w:rPr>
          <w:rStyle w:val="ti"/>
          <w:rFonts w:ascii="Arial" w:hAnsi="Arial" w:cs="Arial"/>
          <w:b/>
        </w:rPr>
        <w:lastRenderedPageBreak/>
        <w:t>H</w:t>
      </w:r>
      <w:bookmarkStart w:id="765" w:name="Halas"/>
      <w:bookmarkEnd w:id="765"/>
      <w:r w:rsidRPr="00D61F73">
        <w:rPr>
          <w:rStyle w:val="ti"/>
          <w:rFonts w:ascii="Arial" w:hAnsi="Arial" w:cs="Arial"/>
          <w:b/>
        </w:rPr>
        <w:t xml:space="preserve">alas CJ. Eszopiclone. </w:t>
      </w:r>
      <w:r w:rsidRPr="00D61F73">
        <w:rPr>
          <w:rStyle w:val="ti"/>
          <w:rFonts w:ascii="Arial" w:hAnsi="Arial" w:cs="Arial"/>
          <w:b/>
          <w:i/>
        </w:rPr>
        <w:t>Am J Health Syst Pharm</w:t>
      </w:r>
      <w:r w:rsidRPr="00D61F73">
        <w:rPr>
          <w:rStyle w:val="ti"/>
          <w:rFonts w:ascii="Arial" w:hAnsi="Arial" w:cs="Arial"/>
          <w:b/>
        </w:rPr>
        <w:t>. 2006;63:41-8.</w:t>
      </w:r>
    </w:p>
    <w:p w14:paraId="2341396C" w14:textId="77777777" w:rsidR="008D0565" w:rsidRPr="00D61F73" w:rsidRDefault="008D0565" w:rsidP="00D61F73">
      <w:pPr>
        <w:rPr>
          <w:rFonts w:ascii="Arial" w:hAnsi="Arial" w:cs="Arial"/>
        </w:rPr>
      </w:pPr>
    </w:p>
    <w:p w14:paraId="1844A3DA" w14:textId="77777777" w:rsidR="008D0565" w:rsidRPr="00D61F73" w:rsidRDefault="008D0565" w:rsidP="00D61F73">
      <w:pPr>
        <w:rPr>
          <w:rFonts w:ascii="Arial" w:hAnsi="Arial" w:cs="Arial"/>
        </w:rPr>
      </w:pPr>
      <w:r w:rsidRPr="00D61F73">
        <w:rPr>
          <w:rFonts w:ascii="Arial" w:hAnsi="Arial" w:cs="Arial"/>
        </w:rPr>
        <w:t>Dosage adjustment is necessary in patients with severe hepatic disease and in those receiving concomitant potent cytochrome P-450 isoenzyme 3A4 inhibitors. No dosage adjustment is required for patients with renal dysfunction.</w:t>
      </w:r>
    </w:p>
    <w:p w14:paraId="1C4E9DD7" w14:textId="77777777" w:rsidR="008D0565" w:rsidRPr="00D61F73" w:rsidRDefault="008D0565" w:rsidP="00D61F73">
      <w:pPr>
        <w:rPr>
          <w:rFonts w:ascii="Arial" w:hAnsi="Arial" w:cs="Arial"/>
        </w:rPr>
      </w:pPr>
    </w:p>
    <w:p w14:paraId="0F0A0B10" w14:textId="77777777" w:rsidR="008D0565" w:rsidRPr="00D61F73" w:rsidRDefault="008D0565" w:rsidP="00D61F73">
      <w:pPr>
        <w:rPr>
          <w:rFonts w:ascii="Arial" w:hAnsi="Arial" w:cs="Arial"/>
        </w:rPr>
      </w:pPr>
      <w:r w:rsidRPr="00D61F73">
        <w:rPr>
          <w:rFonts w:ascii="Arial" w:hAnsi="Arial" w:cs="Arial"/>
        </w:rPr>
        <w:t xml:space="preserve">PMID: </w:t>
      </w:r>
      <w:hyperlink r:id="rId461" w:history="1">
        <w:r w:rsidRPr="00D61F73">
          <w:rPr>
            <w:rStyle w:val="Hyperlink"/>
            <w:rFonts w:ascii="Arial" w:hAnsi="Arial" w:cs="Arial"/>
          </w:rPr>
          <w:t>1637346</w:t>
        </w:r>
      </w:hyperlink>
    </w:p>
    <w:p w14:paraId="0F572302" w14:textId="77777777" w:rsidR="008D0565" w:rsidRPr="00D61F73" w:rsidRDefault="008D0565" w:rsidP="00D61F73">
      <w:pPr>
        <w:rPr>
          <w:rFonts w:ascii="Arial" w:hAnsi="Arial" w:cs="Arial"/>
        </w:rPr>
      </w:pPr>
    </w:p>
    <w:p w14:paraId="1CE6AE10" w14:textId="77777777" w:rsidR="008D0565" w:rsidRPr="00D61F73" w:rsidRDefault="008D0565" w:rsidP="00D61F73">
      <w:pPr>
        <w:rPr>
          <w:rFonts w:ascii="Arial" w:hAnsi="Arial" w:cs="Arial"/>
        </w:rPr>
      </w:pPr>
      <w:r w:rsidRPr="00D61F73">
        <w:rPr>
          <w:rFonts w:ascii="Arial" w:hAnsi="Arial" w:cs="Arial"/>
        </w:rPr>
        <w:t>Rating: 5b</w:t>
      </w:r>
    </w:p>
    <w:p w14:paraId="58B06757"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H</w:t>
      </w:r>
      <w:bookmarkStart w:id="766" w:name="Haldorsen"/>
      <w:bookmarkEnd w:id="766"/>
      <w:r w:rsidRPr="00D61F73">
        <w:rPr>
          <w:rFonts w:ascii="Arial" w:hAnsi="Arial" w:cs="Arial"/>
          <w:b/>
        </w:rPr>
        <w:t xml:space="preserve">aldorsen EM, Grasdal AL, Skouen JS, Risa AE, Kronholm K, Ursin H. Is there a right treatment for a particular patient group? Comparison of ordinary treatment, light multidisciplinary treatment, and extensive multidisciplinary treatment for long-term sick-listed employees with musculoskeletal pain. </w:t>
      </w:r>
      <w:r w:rsidRPr="00D61F73">
        <w:rPr>
          <w:rFonts w:ascii="Arial" w:hAnsi="Arial" w:cs="Arial"/>
          <w:b/>
          <w:i/>
        </w:rPr>
        <w:t>Pain.</w:t>
      </w:r>
      <w:r w:rsidRPr="00D61F73">
        <w:rPr>
          <w:rFonts w:ascii="Arial" w:hAnsi="Arial" w:cs="Arial"/>
          <w:b/>
        </w:rPr>
        <w:t xml:space="preserve"> 2002 Jan;95(1-2):49-63.</w:t>
      </w:r>
    </w:p>
    <w:p w14:paraId="0279520C" w14:textId="77777777" w:rsidR="008D0565" w:rsidRPr="00D61F73" w:rsidRDefault="008D0565" w:rsidP="00D61F73">
      <w:pPr>
        <w:rPr>
          <w:rFonts w:ascii="Arial" w:hAnsi="Arial" w:cs="Arial"/>
        </w:rPr>
      </w:pPr>
    </w:p>
    <w:p w14:paraId="034D36E2" w14:textId="77777777" w:rsidR="008D0565" w:rsidRPr="00D61F73" w:rsidRDefault="008D0565" w:rsidP="00D61F73">
      <w:pPr>
        <w:rPr>
          <w:rFonts w:ascii="Arial" w:hAnsi="Arial" w:cs="Arial"/>
        </w:rPr>
      </w:pPr>
      <w:r w:rsidRPr="00D61F73">
        <w:rPr>
          <w:rFonts w:ascii="Arial" w:hAnsi="Arial" w:cs="Arial"/>
        </w:rPr>
        <w:t>A simple, standardized, screening instrument including only psychological and physiotherapeutic observations may be a useful clinical tool for allocating patients with musculoskeletal pain to the right level of treatment.</w:t>
      </w:r>
    </w:p>
    <w:p w14:paraId="443F2923" w14:textId="77777777" w:rsidR="008D0565" w:rsidRPr="00D61F73" w:rsidRDefault="008D0565" w:rsidP="00D61F73">
      <w:pPr>
        <w:rPr>
          <w:rFonts w:ascii="Arial" w:hAnsi="Arial" w:cs="Arial"/>
        </w:rPr>
      </w:pPr>
    </w:p>
    <w:p w14:paraId="4619F48F" w14:textId="77777777" w:rsidR="008D0565" w:rsidRPr="00D61F73" w:rsidRDefault="008D0565" w:rsidP="00D61F73">
      <w:pPr>
        <w:rPr>
          <w:rFonts w:ascii="Arial" w:hAnsi="Arial" w:cs="Arial"/>
        </w:rPr>
      </w:pPr>
      <w:r w:rsidRPr="00D61F73">
        <w:rPr>
          <w:rFonts w:ascii="Arial" w:hAnsi="Arial" w:cs="Arial"/>
        </w:rPr>
        <w:t xml:space="preserve">PMID: </w:t>
      </w:r>
      <w:hyperlink r:id="rId462" w:history="1">
        <w:r w:rsidRPr="00D61F73">
          <w:rPr>
            <w:rStyle w:val="Hyperlink"/>
            <w:rFonts w:ascii="Arial" w:hAnsi="Arial" w:cs="Arial"/>
          </w:rPr>
          <w:t>11790467</w:t>
        </w:r>
      </w:hyperlink>
    </w:p>
    <w:p w14:paraId="6CC7E3C5" w14:textId="77777777" w:rsidR="008D0565" w:rsidRPr="00D61F73" w:rsidRDefault="008D0565" w:rsidP="00D61F73">
      <w:pPr>
        <w:rPr>
          <w:rFonts w:ascii="Arial" w:hAnsi="Arial" w:cs="Arial"/>
        </w:rPr>
      </w:pPr>
    </w:p>
    <w:p w14:paraId="4B79E3E4" w14:textId="77777777" w:rsidR="008D0565" w:rsidRPr="00D61F73" w:rsidRDefault="008D0565" w:rsidP="00D61F73">
      <w:pPr>
        <w:rPr>
          <w:rFonts w:ascii="Arial" w:hAnsi="Arial" w:cs="Arial"/>
        </w:rPr>
      </w:pPr>
      <w:r w:rsidRPr="00D61F73">
        <w:rPr>
          <w:rFonts w:ascii="Arial" w:hAnsi="Arial" w:cs="Arial"/>
        </w:rPr>
        <w:t>Rating: 2a</w:t>
      </w:r>
    </w:p>
    <w:p w14:paraId="1E288E40" w14:textId="77777777" w:rsidR="008D0565" w:rsidRPr="00D61F73" w:rsidRDefault="008D0565" w:rsidP="00D61F73">
      <w:pPr>
        <w:rPr>
          <w:rFonts w:ascii="Arial" w:hAnsi="Arial" w:cs="Arial"/>
          <w:b/>
          <w:bCs/>
          <w:color w:val="auto"/>
        </w:rPr>
      </w:pPr>
      <w:r w:rsidRPr="00D61F73">
        <w:rPr>
          <w:rFonts w:ascii="Arial" w:hAnsi="Arial" w:cs="Arial"/>
        </w:rPr>
        <w:br w:type="page"/>
      </w:r>
      <w:r w:rsidRPr="00D61F73">
        <w:rPr>
          <w:rFonts w:ascii="Arial" w:hAnsi="Arial" w:cs="Arial"/>
          <w:b/>
          <w:bCs/>
        </w:rPr>
        <w:lastRenderedPageBreak/>
        <w:t>H</w:t>
      </w:r>
      <w:bookmarkStart w:id="767" w:name="Hale2009"/>
      <w:bookmarkEnd w:id="767"/>
      <w:r w:rsidRPr="00D61F73">
        <w:rPr>
          <w:rFonts w:ascii="Arial" w:hAnsi="Arial" w:cs="Arial"/>
          <w:b/>
          <w:bCs/>
        </w:rPr>
        <w:t xml:space="preserve">ale M, Upmalis D, Okamoto A, Lange C, Rauschkolb C. Tolerability of tapentadol immediate release in patients with lower back pain or osteoarthritis of the hip or knee over 90 days: a randomized, double-blind study. </w:t>
      </w:r>
      <w:r w:rsidRPr="00D61F73">
        <w:rPr>
          <w:rFonts w:ascii="Arial" w:hAnsi="Arial" w:cs="Arial"/>
          <w:b/>
          <w:bCs/>
          <w:i/>
          <w:iCs/>
        </w:rPr>
        <w:t>Curr Med Res Opin</w:t>
      </w:r>
      <w:r w:rsidRPr="00D61F73">
        <w:rPr>
          <w:rFonts w:ascii="Arial" w:hAnsi="Arial" w:cs="Arial"/>
          <w:b/>
          <w:bCs/>
        </w:rPr>
        <w:t>. 2009 May;25(5):1095-104.</w:t>
      </w:r>
    </w:p>
    <w:p w14:paraId="14E600B9" w14:textId="77777777" w:rsidR="008D0565" w:rsidRPr="00D61F73" w:rsidRDefault="008D0565" w:rsidP="00D61F73">
      <w:pPr>
        <w:jc w:val="both"/>
        <w:rPr>
          <w:rFonts w:ascii="Arial" w:hAnsi="Arial" w:cs="Arial"/>
        </w:rPr>
      </w:pPr>
    </w:p>
    <w:p w14:paraId="56B67A05" w14:textId="77777777" w:rsidR="008D0565" w:rsidRPr="00D61F73" w:rsidRDefault="008D0565" w:rsidP="00D61F73">
      <w:pPr>
        <w:jc w:val="both"/>
        <w:rPr>
          <w:rFonts w:ascii="Arial" w:hAnsi="Arial" w:cs="Arial"/>
        </w:rPr>
      </w:pPr>
      <w:r w:rsidRPr="00D61F73">
        <w:rPr>
          <w:rFonts w:ascii="Arial" w:hAnsi="Arial" w:cs="Arial"/>
        </w:rPr>
        <w:t xml:space="preserve">CONCLUSION: During this 90-day study, tapentadol IR was associated with improved gastrointestinal tolerability compared with oxycodone IR while providing similar pain relief. </w:t>
      </w:r>
    </w:p>
    <w:p w14:paraId="3173F03A" w14:textId="77777777" w:rsidR="008D0565" w:rsidRPr="00D61F73" w:rsidRDefault="008D0565" w:rsidP="00D61F73">
      <w:pPr>
        <w:jc w:val="both"/>
        <w:rPr>
          <w:rFonts w:ascii="Arial" w:hAnsi="Arial" w:cs="Arial"/>
        </w:rPr>
      </w:pPr>
    </w:p>
    <w:p w14:paraId="47D3B5D0" w14:textId="77777777" w:rsidR="008D0565" w:rsidRPr="00D61F73" w:rsidRDefault="008D0565" w:rsidP="00D61F73">
      <w:pPr>
        <w:jc w:val="both"/>
        <w:rPr>
          <w:rFonts w:ascii="Arial" w:hAnsi="Arial" w:cs="Arial"/>
        </w:rPr>
      </w:pPr>
      <w:r w:rsidRPr="00D61F73">
        <w:rPr>
          <w:rFonts w:ascii="Arial" w:hAnsi="Arial" w:cs="Arial"/>
        </w:rPr>
        <w:t xml:space="preserve">PMID: </w:t>
      </w:r>
      <w:hyperlink r:id="rId463" w:history="1">
        <w:r w:rsidRPr="00D61F73">
          <w:rPr>
            <w:rStyle w:val="Hyperlink"/>
            <w:rFonts w:ascii="Arial" w:hAnsi="Arial" w:cs="Arial"/>
          </w:rPr>
          <w:t>19301989</w:t>
        </w:r>
      </w:hyperlink>
    </w:p>
    <w:p w14:paraId="1FF2D71D" w14:textId="77777777" w:rsidR="008D0565" w:rsidRPr="00D61F73" w:rsidRDefault="008D0565" w:rsidP="00D61F73">
      <w:pPr>
        <w:jc w:val="both"/>
        <w:rPr>
          <w:rFonts w:ascii="Arial" w:hAnsi="Arial" w:cs="Arial"/>
        </w:rPr>
      </w:pPr>
    </w:p>
    <w:p w14:paraId="42333240" w14:textId="77777777" w:rsidR="008D0565" w:rsidRPr="00D61F73" w:rsidRDefault="008D0565" w:rsidP="00D61F73">
      <w:pPr>
        <w:rPr>
          <w:rFonts w:ascii="Arial" w:hAnsi="Arial" w:cs="Arial"/>
        </w:rPr>
      </w:pPr>
      <w:r w:rsidRPr="00D61F73">
        <w:rPr>
          <w:rFonts w:ascii="Arial" w:hAnsi="Arial" w:cs="Arial"/>
        </w:rPr>
        <w:t>Rating: 2b</w:t>
      </w:r>
    </w:p>
    <w:p w14:paraId="411B9C5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68" w:name="Hall"/>
      <w:bookmarkEnd w:id="768"/>
      <w:r w:rsidRPr="00D61F73">
        <w:rPr>
          <w:rFonts w:ascii="Arial" w:hAnsi="Arial" w:cs="Arial"/>
          <w:b/>
          <w:bCs/>
        </w:rPr>
        <w:t xml:space="preserve">all A, Maher C, Latimer J, Ferreira M. The effectiveness of Tai Chi for chronic musculoskeletal pain conditions: a systematic review and meta-analysis. </w:t>
      </w:r>
      <w:r w:rsidRPr="00D61F73">
        <w:rPr>
          <w:rFonts w:ascii="Arial" w:hAnsi="Arial" w:cs="Arial"/>
          <w:b/>
          <w:bCs/>
          <w:i/>
          <w:iCs/>
        </w:rPr>
        <w:t>Arthritis Rheum</w:t>
      </w:r>
      <w:r w:rsidRPr="00D61F73">
        <w:rPr>
          <w:rFonts w:ascii="Arial" w:hAnsi="Arial" w:cs="Arial"/>
          <w:b/>
          <w:bCs/>
        </w:rPr>
        <w:t>. 2009 Jun 15;61(6):717-24.</w:t>
      </w:r>
    </w:p>
    <w:p w14:paraId="5B4A70D4" w14:textId="77777777" w:rsidR="008D0565" w:rsidRPr="00D61F73" w:rsidRDefault="008D0565" w:rsidP="00D61F73">
      <w:pPr>
        <w:rPr>
          <w:rFonts w:ascii="Arial" w:hAnsi="Arial" w:cs="Arial"/>
        </w:rPr>
      </w:pPr>
    </w:p>
    <w:p w14:paraId="51D75513" w14:textId="77777777" w:rsidR="008D0565" w:rsidRPr="00D61F73" w:rsidRDefault="008D0565" w:rsidP="00D61F73">
      <w:pPr>
        <w:rPr>
          <w:rFonts w:ascii="Arial" w:hAnsi="Arial" w:cs="Arial"/>
        </w:rPr>
      </w:pPr>
      <w:r w:rsidRPr="00D61F73">
        <w:rPr>
          <w:rFonts w:ascii="Arial" w:hAnsi="Arial" w:cs="Arial"/>
        </w:rPr>
        <w:t xml:space="preserve">CONCLUSION: These data suggest that Tai Chi has a small positive effect on pain and disability in people with arthritis. </w:t>
      </w:r>
    </w:p>
    <w:p w14:paraId="4CE78E7F" w14:textId="77777777" w:rsidR="008D0565" w:rsidRPr="00D61F73" w:rsidRDefault="008D0565" w:rsidP="00D61F73">
      <w:pPr>
        <w:rPr>
          <w:rFonts w:ascii="Arial" w:hAnsi="Arial" w:cs="Arial"/>
        </w:rPr>
      </w:pPr>
    </w:p>
    <w:p w14:paraId="6A527ABF" w14:textId="77777777" w:rsidR="008D0565" w:rsidRPr="00D61F73" w:rsidRDefault="008D0565" w:rsidP="00D61F73">
      <w:pPr>
        <w:rPr>
          <w:rFonts w:ascii="Arial" w:hAnsi="Arial" w:cs="Arial"/>
        </w:rPr>
      </w:pPr>
      <w:r w:rsidRPr="00D61F73">
        <w:rPr>
          <w:rFonts w:ascii="Arial" w:hAnsi="Arial" w:cs="Arial"/>
        </w:rPr>
        <w:t xml:space="preserve">PMID: </w:t>
      </w:r>
      <w:hyperlink r:id="rId464" w:history="1">
        <w:r w:rsidRPr="00D61F73">
          <w:rPr>
            <w:rStyle w:val="Hyperlink"/>
            <w:rFonts w:ascii="Arial" w:hAnsi="Arial" w:cs="Arial"/>
          </w:rPr>
          <w:t>19479696</w:t>
        </w:r>
      </w:hyperlink>
    </w:p>
    <w:p w14:paraId="793BDEB4" w14:textId="77777777" w:rsidR="008D0565" w:rsidRPr="00D61F73" w:rsidRDefault="008D0565" w:rsidP="00D61F73">
      <w:pPr>
        <w:rPr>
          <w:rFonts w:ascii="Arial" w:hAnsi="Arial" w:cs="Arial"/>
        </w:rPr>
      </w:pPr>
    </w:p>
    <w:p w14:paraId="08DBA01F" w14:textId="77777777" w:rsidR="008D0565" w:rsidRPr="00D61F73" w:rsidRDefault="008D0565" w:rsidP="00D61F73">
      <w:pPr>
        <w:rPr>
          <w:rFonts w:ascii="Arial" w:hAnsi="Arial" w:cs="Arial"/>
        </w:rPr>
      </w:pPr>
      <w:r w:rsidRPr="00D61F73">
        <w:rPr>
          <w:rFonts w:ascii="Arial" w:hAnsi="Arial" w:cs="Arial"/>
        </w:rPr>
        <w:t>Rating: 1c</w:t>
      </w:r>
    </w:p>
    <w:p w14:paraId="6C9A7B2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69" w:name="Halvorsen"/>
      <w:bookmarkEnd w:id="769"/>
      <w:r w:rsidRPr="00D61F73">
        <w:rPr>
          <w:rFonts w:ascii="Arial" w:hAnsi="Arial" w:cs="Arial"/>
          <w:b/>
          <w:bCs/>
        </w:rPr>
        <w:t xml:space="preserve">alvorsen PA, Selmer R, Kristiansen IS. Different ways to describe the benefits of risk-reducing treatments: a randomized trial. </w:t>
      </w:r>
      <w:r w:rsidRPr="00D61F73">
        <w:rPr>
          <w:rFonts w:ascii="Arial" w:hAnsi="Arial" w:cs="Arial"/>
          <w:b/>
          <w:bCs/>
          <w:i/>
          <w:iCs/>
        </w:rPr>
        <w:t>Ann Intern Med.</w:t>
      </w:r>
      <w:r w:rsidRPr="00D61F73">
        <w:rPr>
          <w:rFonts w:ascii="Arial" w:hAnsi="Arial" w:cs="Arial"/>
          <w:b/>
          <w:bCs/>
        </w:rPr>
        <w:t xml:space="preserve"> 2007 Jun 19;146(12):848-56.</w:t>
      </w:r>
    </w:p>
    <w:p w14:paraId="7D72B831" w14:textId="77777777" w:rsidR="008D0565" w:rsidRPr="00D61F73" w:rsidRDefault="008D0565" w:rsidP="00D61F73">
      <w:pPr>
        <w:rPr>
          <w:rFonts w:ascii="Arial" w:hAnsi="Arial" w:cs="Arial"/>
        </w:rPr>
      </w:pPr>
    </w:p>
    <w:p w14:paraId="35111EEC" w14:textId="77777777" w:rsidR="008D0565" w:rsidRPr="00D61F73" w:rsidRDefault="008D0565" w:rsidP="00D61F73">
      <w:pPr>
        <w:rPr>
          <w:rFonts w:ascii="Arial" w:hAnsi="Arial" w:cs="Arial"/>
        </w:rPr>
      </w:pPr>
      <w:r w:rsidRPr="00D61F73">
        <w:rPr>
          <w:rFonts w:ascii="Arial" w:hAnsi="Arial" w:cs="Arial"/>
        </w:rPr>
        <w:t xml:space="preserve">CONCLUSIONS: Treatment effects expressed in terms of NNT yielded higher consent rates than did those expressed as equivalent postponements. </w:t>
      </w:r>
    </w:p>
    <w:p w14:paraId="6CDC0598" w14:textId="77777777" w:rsidR="008D0565" w:rsidRPr="00D61F73" w:rsidRDefault="008D0565" w:rsidP="00D61F73">
      <w:pPr>
        <w:rPr>
          <w:rFonts w:ascii="Arial" w:hAnsi="Arial" w:cs="Arial"/>
        </w:rPr>
      </w:pPr>
    </w:p>
    <w:p w14:paraId="4FCF8B75" w14:textId="77777777" w:rsidR="008D0565" w:rsidRPr="00D61F73" w:rsidRDefault="008D0565" w:rsidP="00D61F73">
      <w:pPr>
        <w:rPr>
          <w:rFonts w:ascii="Arial" w:hAnsi="Arial" w:cs="Arial"/>
        </w:rPr>
      </w:pPr>
      <w:r w:rsidRPr="00D61F73">
        <w:rPr>
          <w:rFonts w:ascii="Arial" w:hAnsi="Arial" w:cs="Arial"/>
        </w:rPr>
        <w:t xml:space="preserve">PMID: </w:t>
      </w:r>
      <w:hyperlink r:id="rId465" w:history="1">
        <w:r w:rsidRPr="00D61F73">
          <w:rPr>
            <w:rStyle w:val="Hyperlink"/>
            <w:rFonts w:ascii="Arial" w:hAnsi="Arial" w:cs="Arial"/>
          </w:rPr>
          <w:t>17577004</w:t>
        </w:r>
      </w:hyperlink>
      <w:r w:rsidRPr="00D61F73">
        <w:rPr>
          <w:rFonts w:ascii="Arial" w:hAnsi="Arial" w:cs="Arial"/>
        </w:rPr>
        <w:t xml:space="preserve"> </w:t>
      </w:r>
    </w:p>
    <w:p w14:paraId="6825EF6D" w14:textId="77777777" w:rsidR="008D0565" w:rsidRPr="00D61F73" w:rsidRDefault="008D0565" w:rsidP="00D61F73">
      <w:pPr>
        <w:rPr>
          <w:rFonts w:ascii="Arial" w:hAnsi="Arial" w:cs="Arial"/>
        </w:rPr>
      </w:pPr>
    </w:p>
    <w:p w14:paraId="125F2655" w14:textId="77777777" w:rsidR="008D0565" w:rsidRPr="00D61F73" w:rsidRDefault="008D0565" w:rsidP="00D61F73">
      <w:pPr>
        <w:rPr>
          <w:rFonts w:ascii="Arial" w:hAnsi="Arial" w:cs="Arial"/>
        </w:rPr>
      </w:pPr>
      <w:r w:rsidRPr="00D61F73">
        <w:rPr>
          <w:rFonts w:ascii="Arial" w:hAnsi="Arial" w:cs="Arial"/>
        </w:rPr>
        <w:t>Rating: 2a</w:t>
      </w:r>
    </w:p>
    <w:p w14:paraId="674E3669" w14:textId="77777777" w:rsidR="008D0565" w:rsidRPr="00D61F73" w:rsidRDefault="008D0565" w:rsidP="00D61F73">
      <w:pPr>
        <w:rPr>
          <w:rFonts w:ascii="Arial" w:hAnsi="Arial" w:cs="Arial"/>
        </w:rPr>
      </w:pPr>
    </w:p>
    <w:p w14:paraId="3E8A4870" w14:textId="77777777" w:rsidR="008D0565" w:rsidRPr="00D61F73" w:rsidRDefault="008D0565" w:rsidP="00D61F73">
      <w:pPr>
        <w:rPr>
          <w:rFonts w:ascii="Arial" w:hAnsi="Arial" w:cs="Arial"/>
        </w:rPr>
      </w:pPr>
      <w:r w:rsidRPr="00D61F73">
        <w:rPr>
          <w:rFonts w:ascii="Arial" w:hAnsi="Arial" w:cs="Arial"/>
        </w:rPr>
        <w:t xml:space="preserve">The NNT is a useful and relatively simple tool for practicing evidence-based medicine. This calculation can be applied to intervention studies and reflects the number of additional patients who need to receive an intervention to prevent 1 additional outcome. In the current study, using NNT was superior to achieve participant consent vs explanations focused on the postponements of outcomes for either all patients treated or a small, select group of patients treated. </w:t>
      </w:r>
    </w:p>
    <w:p w14:paraId="5A09D8E9" w14:textId="77777777" w:rsidR="008D0565" w:rsidRPr="00D61F73" w:rsidRDefault="008D0565" w:rsidP="00D61F73">
      <w:pPr>
        <w:rPr>
          <w:rFonts w:ascii="Arial" w:hAnsi="Arial" w:cs="Arial"/>
        </w:rPr>
      </w:pPr>
    </w:p>
    <w:p w14:paraId="46D355E2" w14:textId="77777777" w:rsidR="008D0565" w:rsidRPr="00D61F73" w:rsidRDefault="008D0565" w:rsidP="00402D57">
      <w:pPr>
        <w:pStyle w:val="Normal1"/>
        <w:framePr w:wrap="around"/>
      </w:pPr>
      <w:r w:rsidRPr="00D61F73">
        <w:br w:type="page"/>
        <w:t>H</w:t>
      </w:r>
      <w:bookmarkStart w:id="770" w:name="Hans"/>
      <w:bookmarkEnd w:id="770"/>
      <w:r w:rsidRPr="00D61F73">
        <w:t>ans G. Buprenorphine--a review of its role in neuropathic pain. J Opioid Manag. 2007;3:195-206. Review.</w:t>
      </w:r>
    </w:p>
    <w:p w14:paraId="3492A6E1" w14:textId="77777777" w:rsidR="008D0565" w:rsidRPr="00D61F73" w:rsidRDefault="008D0565" w:rsidP="00402D57">
      <w:pPr>
        <w:pStyle w:val="Normal1"/>
        <w:framePr w:wrap="around"/>
      </w:pPr>
    </w:p>
    <w:p w14:paraId="7918CF2A" w14:textId="77777777" w:rsidR="008D0565" w:rsidRPr="00D61F73" w:rsidRDefault="008D0565" w:rsidP="00D61F73">
      <w:pPr>
        <w:rPr>
          <w:rFonts w:ascii="Arial" w:hAnsi="Arial" w:cs="Arial"/>
        </w:rPr>
      </w:pPr>
      <w:r w:rsidRPr="00D61F73">
        <w:rPr>
          <w:rFonts w:ascii="Arial" w:hAnsi="Arial" w:cs="Arial"/>
        </w:rPr>
        <w:t>CONCLUSIONS: Further studies are certainly warranted to identify the clinical neuropathic syndromes that are most sensitive to buprenorphine treatment, and to compare buprenorphine with other opioids in head-to-head trials of neuropathic pain.</w:t>
      </w:r>
    </w:p>
    <w:p w14:paraId="47D07EC2" w14:textId="77777777" w:rsidR="008D0565" w:rsidRPr="00D61F73" w:rsidRDefault="008D0565" w:rsidP="00D61F73">
      <w:pPr>
        <w:rPr>
          <w:rFonts w:ascii="Arial" w:hAnsi="Arial" w:cs="Arial"/>
        </w:rPr>
      </w:pPr>
    </w:p>
    <w:p w14:paraId="249BC619" w14:textId="77777777" w:rsidR="008D0565" w:rsidRPr="00D61F73" w:rsidRDefault="008D0565" w:rsidP="00D61F73">
      <w:pPr>
        <w:rPr>
          <w:rFonts w:ascii="Arial" w:hAnsi="Arial" w:cs="Arial"/>
        </w:rPr>
      </w:pPr>
      <w:r w:rsidRPr="00D61F73">
        <w:rPr>
          <w:rFonts w:ascii="Arial" w:hAnsi="Arial" w:cs="Arial"/>
        </w:rPr>
        <w:t xml:space="preserve">PMID: </w:t>
      </w:r>
      <w:hyperlink r:id="rId466" w:history="1">
        <w:r w:rsidRPr="00D61F73">
          <w:rPr>
            <w:rStyle w:val="Hyperlink"/>
            <w:rFonts w:ascii="Arial" w:hAnsi="Arial" w:cs="Arial"/>
          </w:rPr>
          <w:t>17957979</w:t>
        </w:r>
      </w:hyperlink>
      <w:r w:rsidRPr="00D61F73">
        <w:rPr>
          <w:rFonts w:ascii="Arial" w:hAnsi="Arial" w:cs="Arial"/>
        </w:rPr>
        <w:t xml:space="preserve"> </w:t>
      </w:r>
    </w:p>
    <w:p w14:paraId="070B7CF6" w14:textId="77777777" w:rsidR="008D0565" w:rsidRPr="00D61F73" w:rsidRDefault="008D0565" w:rsidP="00D61F73">
      <w:pPr>
        <w:rPr>
          <w:rFonts w:ascii="Arial" w:hAnsi="Arial" w:cs="Arial"/>
        </w:rPr>
      </w:pPr>
    </w:p>
    <w:p w14:paraId="5EC58E9B" w14:textId="77777777" w:rsidR="008D0565" w:rsidRPr="00D61F73" w:rsidRDefault="008D0565" w:rsidP="00D61F73">
      <w:pPr>
        <w:rPr>
          <w:rFonts w:ascii="Arial" w:hAnsi="Arial" w:cs="Arial"/>
        </w:rPr>
      </w:pPr>
      <w:r w:rsidRPr="00D61F73">
        <w:rPr>
          <w:rFonts w:ascii="Arial" w:hAnsi="Arial" w:cs="Arial"/>
        </w:rPr>
        <w:t>Rating: 1b</w:t>
      </w:r>
    </w:p>
    <w:p w14:paraId="5BFCB4B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 xml:space="preserve">Proposed new diagnostic criteria for complex regional pain syndrome. </w:t>
      </w:r>
      <w:r w:rsidRPr="00D61F73">
        <w:rPr>
          <w:rFonts w:ascii="Arial" w:hAnsi="Arial" w:cs="Arial"/>
          <w:b/>
          <w:bCs/>
          <w:i/>
          <w:iCs/>
        </w:rPr>
        <w:t>Pain Med</w:t>
      </w:r>
      <w:r w:rsidRPr="00D61F73">
        <w:rPr>
          <w:rFonts w:ascii="Arial" w:hAnsi="Arial" w:cs="Arial"/>
          <w:b/>
          <w:bCs/>
        </w:rPr>
        <w:t>. 2007 May-Jun;8(4):326-31.</w:t>
      </w:r>
    </w:p>
    <w:p w14:paraId="08AD933F" w14:textId="77777777" w:rsidR="008D0565" w:rsidRPr="00D61F73" w:rsidRDefault="008D0565" w:rsidP="00D61F73">
      <w:pPr>
        <w:rPr>
          <w:rFonts w:ascii="Arial" w:hAnsi="Arial" w:cs="Arial"/>
        </w:rPr>
      </w:pPr>
    </w:p>
    <w:p w14:paraId="05F6854C" w14:textId="77777777" w:rsidR="008D0565" w:rsidRPr="00D61F73" w:rsidRDefault="008D0565" w:rsidP="00D61F73">
      <w:pPr>
        <w:rPr>
          <w:rFonts w:ascii="Arial" w:hAnsi="Arial" w:cs="Arial"/>
        </w:rPr>
      </w:pPr>
      <w:r w:rsidRPr="00D61F73">
        <w:rPr>
          <w:rFonts w:ascii="Arial" w:hAnsi="Arial" w:cs="Arial"/>
        </w:rPr>
        <w:t xml:space="preserve">This topical update reports recent progress in the international effort to develop a more accurate and valid diagnostic criteria for complex regional pain syndrome (CRPS). </w:t>
      </w:r>
    </w:p>
    <w:p w14:paraId="5D646AEE" w14:textId="77777777" w:rsidR="008D0565" w:rsidRPr="00D61F73" w:rsidRDefault="008D0565" w:rsidP="00D61F73">
      <w:pPr>
        <w:rPr>
          <w:rFonts w:ascii="Arial" w:hAnsi="Arial" w:cs="Arial"/>
        </w:rPr>
      </w:pPr>
    </w:p>
    <w:p w14:paraId="706720BF" w14:textId="77777777" w:rsidR="008D0565" w:rsidRPr="00D61F73" w:rsidRDefault="008D0565" w:rsidP="00D61F73">
      <w:pPr>
        <w:rPr>
          <w:rFonts w:ascii="Arial" w:hAnsi="Arial" w:cs="Arial"/>
        </w:rPr>
      </w:pPr>
      <w:r w:rsidRPr="00D61F73">
        <w:rPr>
          <w:rFonts w:ascii="Arial" w:hAnsi="Arial" w:cs="Arial"/>
        </w:rPr>
        <w:t xml:space="preserve">PMID: </w:t>
      </w:r>
      <w:hyperlink r:id="rId467" w:history="1">
        <w:r w:rsidRPr="00D61F73">
          <w:rPr>
            <w:rStyle w:val="Hyperlink"/>
            <w:rFonts w:ascii="Arial" w:hAnsi="Arial" w:cs="Arial"/>
          </w:rPr>
          <w:t>17610454</w:t>
        </w:r>
      </w:hyperlink>
      <w:r w:rsidRPr="00D61F73">
        <w:rPr>
          <w:rFonts w:ascii="Arial" w:hAnsi="Arial" w:cs="Arial"/>
        </w:rPr>
        <w:t xml:space="preserve"> </w:t>
      </w:r>
    </w:p>
    <w:p w14:paraId="3F603BFE" w14:textId="77777777" w:rsidR="008D0565" w:rsidRPr="00D61F73" w:rsidRDefault="008D0565" w:rsidP="00D61F73">
      <w:pPr>
        <w:rPr>
          <w:rFonts w:ascii="Arial" w:hAnsi="Arial" w:cs="Arial"/>
        </w:rPr>
      </w:pPr>
    </w:p>
    <w:p w14:paraId="69EA5BCF" w14:textId="77777777" w:rsidR="008D0565" w:rsidRPr="00D61F73" w:rsidRDefault="008D0565" w:rsidP="00D61F73">
      <w:pPr>
        <w:rPr>
          <w:rFonts w:ascii="Arial" w:hAnsi="Arial" w:cs="Arial"/>
        </w:rPr>
      </w:pPr>
      <w:r w:rsidRPr="00D61F73">
        <w:rPr>
          <w:rFonts w:ascii="Arial" w:hAnsi="Arial" w:cs="Arial"/>
        </w:rPr>
        <w:t>Rating: 5b</w:t>
      </w:r>
    </w:p>
    <w:p w14:paraId="5ED0FA8D"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H</w:t>
      </w:r>
      <w:bookmarkStart w:id="771" w:name="Harden2013"/>
      <w:bookmarkEnd w:id="771"/>
      <w:r w:rsidRPr="00D61F73">
        <w:rPr>
          <w:rFonts w:ascii="Arial" w:hAnsi="Arial" w:cs="Arial"/>
          <w:b/>
        </w:rPr>
        <w:t xml:space="preserve">arden RN, Oaklander AL, Burton AW, Perez RS, Richardson K, Swan M, Barthel J, Costa B, Graciosa JR, Bruehl S. Complex regional pain syndrome: practical diagnostic and treatment guidelines, 4th edition. </w:t>
      </w:r>
      <w:r w:rsidRPr="00D61F73">
        <w:rPr>
          <w:rFonts w:ascii="Arial" w:hAnsi="Arial" w:cs="Arial"/>
          <w:b/>
          <w:i/>
          <w:iCs/>
        </w:rPr>
        <w:t>Pain Med</w:t>
      </w:r>
      <w:r w:rsidRPr="00D61F73">
        <w:rPr>
          <w:rFonts w:ascii="Arial" w:hAnsi="Arial" w:cs="Arial"/>
          <w:b/>
        </w:rPr>
        <w:t>. 2013;14:180-229.</w:t>
      </w:r>
    </w:p>
    <w:p w14:paraId="1228D1B6" w14:textId="77777777" w:rsidR="008D0565" w:rsidRPr="00D61F73" w:rsidRDefault="008D0565" w:rsidP="00D61F73">
      <w:pPr>
        <w:rPr>
          <w:rFonts w:ascii="Arial" w:hAnsi="Arial" w:cs="Arial"/>
        </w:rPr>
      </w:pPr>
    </w:p>
    <w:p w14:paraId="4301E877" w14:textId="77777777" w:rsidR="008D0565" w:rsidRPr="00D61F73" w:rsidRDefault="008D0565" w:rsidP="00D61F73">
      <w:pPr>
        <w:rPr>
          <w:rFonts w:ascii="Arial" w:hAnsi="Arial" w:cs="Arial"/>
        </w:rPr>
      </w:pPr>
      <w:r w:rsidRPr="00D61F73">
        <w:rPr>
          <w:rFonts w:ascii="Arial" w:hAnsi="Arial" w:cs="Arial"/>
        </w:rPr>
        <w:t xml:space="preserve">PMID: </w:t>
      </w:r>
      <w:hyperlink r:id="rId468" w:history="1">
        <w:r w:rsidRPr="00D61F73">
          <w:rPr>
            <w:rStyle w:val="Hyperlink"/>
            <w:rFonts w:ascii="Arial" w:hAnsi="Arial" w:cs="Arial"/>
          </w:rPr>
          <w:t>23331950</w:t>
        </w:r>
      </w:hyperlink>
    </w:p>
    <w:p w14:paraId="3B4003A8" w14:textId="77777777" w:rsidR="008D0565" w:rsidRPr="00D61F73" w:rsidRDefault="008D0565" w:rsidP="00D61F73">
      <w:pPr>
        <w:rPr>
          <w:rFonts w:ascii="Arial" w:hAnsi="Arial" w:cs="Arial"/>
        </w:rPr>
      </w:pPr>
    </w:p>
    <w:p w14:paraId="21D9297C" w14:textId="77777777" w:rsidR="008D0565" w:rsidRPr="00D61F73" w:rsidRDefault="008D0565" w:rsidP="00D61F73">
      <w:pPr>
        <w:rPr>
          <w:rFonts w:ascii="Arial" w:hAnsi="Arial" w:cs="Arial"/>
        </w:rPr>
      </w:pPr>
      <w:r w:rsidRPr="00D61F73">
        <w:rPr>
          <w:rFonts w:ascii="Arial" w:hAnsi="Arial" w:cs="Arial"/>
        </w:rPr>
        <w:t>Rating: 6c</w:t>
      </w:r>
    </w:p>
    <w:p w14:paraId="231951A4"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H</w:t>
      </w:r>
      <w:bookmarkStart w:id="772" w:name="Harden2010"/>
      <w:bookmarkEnd w:id="772"/>
      <w:r w:rsidRPr="00D61F73">
        <w:rPr>
          <w:rFonts w:ascii="Arial" w:hAnsi="Arial" w:cs="Arial"/>
          <w:b/>
        </w:rPr>
        <w:t xml:space="preserve">arden RN, Bruehl S, Perez RS, Birklein F, Marinus J, Maihofner C, Lubenow T, Buvanendran A, Mackey S, Graciosa J, Mogilevski M, Ramsden C, Chont M, Vatine JJ. Validation of proposed diagnostic criteria (the "Budapest Criteria") for Complex Regional Pain Syndrome. </w:t>
      </w:r>
      <w:r w:rsidRPr="00D61F73">
        <w:rPr>
          <w:rFonts w:ascii="Arial" w:hAnsi="Arial" w:cs="Arial"/>
          <w:b/>
          <w:i/>
        </w:rPr>
        <w:t>Pain.</w:t>
      </w:r>
      <w:r w:rsidRPr="00D61F73">
        <w:rPr>
          <w:rFonts w:ascii="Arial" w:hAnsi="Arial" w:cs="Arial"/>
          <w:b/>
        </w:rPr>
        <w:t xml:space="preserve"> 2010;150:268-74.</w:t>
      </w:r>
    </w:p>
    <w:p w14:paraId="1D5DC105" w14:textId="77777777" w:rsidR="008D0565" w:rsidRPr="00D61F73" w:rsidRDefault="008D0565" w:rsidP="00D61F73">
      <w:pPr>
        <w:rPr>
          <w:rFonts w:ascii="Arial" w:hAnsi="Arial" w:cs="Arial"/>
        </w:rPr>
      </w:pPr>
    </w:p>
    <w:p w14:paraId="30C29863" w14:textId="77777777" w:rsidR="008D0565" w:rsidRPr="00D61F73" w:rsidRDefault="008D0565" w:rsidP="00D61F73">
      <w:pPr>
        <w:rPr>
          <w:rFonts w:ascii="Arial" w:hAnsi="Arial" w:cs="Arial"/>
        </w:rPr>
      </w:pPr>
      <w:r w:rsidRPr="00D61F73">
        <w:rPr>
          <w:rFonts w:ascii="Arial" w:hAnsi="Arial" w:cs="Arial"/>
        </w:rPr>
        <w:t xml:space="preserve">PMID: </w:t>
      </w:r>
      <w:hyperlink r:id="rId469" w:history="1">
        <w:r w:rsidRPr="00D61F73">
          <w:rPr>
            <w:rStyle w:val="Hyperlink"/>
            <w:rFonts w:ascii="Arial" w:hAnsi="Arial" w:cs="Arial"/>
          </w:rPr>
          <w:t>20493633</w:t>
        </w:r>
      </w:hyperlink>
    </w:p>
    <w:p w14:paraId="345CD0F4" w14:textId="77777777" w:rsidR="008D0565" w:rsidRPr="00D61F73" w:rsidRDefault="008D0565" w:rsidP="00D61F73">
      <w:pPr>
        <w:rPr>
          <w:rFonts w:ascii="Arial" w:hAnsi="Arial" w:cs="Arial"/>
        </w:rPr>
      </w:pPr>
    </w:p>
    <w:p w14:paraId="67C8E2F3" w14:textId="77777777" w:rsidR="008D0565" w:rsidRPr="00D61F73" w:rsidRDefault="008D0565" w:rsidP="00D61F73">
      <w:pPr>
        <w:rPr>
          <w:rFonts w:ascii="Arial" w:hAnsi="Arial" w:cs="Arial"/>
        </w:rPr>
      </w:pPr>
      <w:r w:rsidRPr="00D61F73">
        <w:rPr>
          <w:rFonts w:ascii="Arial" w:hAnsi="Arial" w:cs="Arial"/>
        </w:rPr>
        <w:t>Rating: 3b</w:t>
      </w:r>
    </w:p>
    <w:p w14:paraId="20B77AF7"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H</w:t>
      </w:r>
      <w:bookmarkStart w:id="773" w:name="Harden2010a"/>
      <w:bookmarkEnd w:id="773"/>
      <w:r w:rsidRPr="00D61F73">
        <w:rPr>
          <w:rFonts w:ascii="Arial" w:hAnsi="Arial" w:cs="Arial"/>
          <w:b/>
        </w:rPr>
        <w:t xml:space="preserve">arden RN. Objectification of the diagnostic criteria for CRPS. </w:t>
      </w:r>
      <w:r w:rsidRPr="00D61F73">
        <w:rPr>
          <w:rFonts w:ascii="Arial" w:hAnsi="Arial" w:cs="Arial"/>
          <w:b/>
          <w:i/>
        </w:rPr>
        <w:t xml:space="preserve">Pain Med. </w:t>
      </w:r>
      <w:r w:rsidRPr="00D61F73">
        <w:rPr>
          <w:rFonts w:ascii="Arial" w:hAnsi="Arial" w:cs="Arial"/>
          <w:b/>
        </w:rPr>
        <w:t>2010;11:1212-5.</w:t>
      </w:r>
    </w:p>
    <w:p w14:paraId="39F524C8" w14:textId="77777777" w:rsidR="008D0565" w:rsidRPr="00D61F73" w:rsidRDefault="008D0565" w:rsidP="00D61F73">
      <w:pPr>
        <w:rPr>
          <w:rFonts w:ascii="Arial" w:eastAsia="Calibri" w:hAnsi="Arial" w:cs="Arial"/>
        </w:rPr>
      </w:pPr>
    </w:p>
    <w:p w14:paraId="0C90D856"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470" w:history="1">
        <w:r w:rsidRPr="00D61F73">
          <w:rPr>
            <w:rStyle w:val="Hyperlink"/>
            <w:rFonts w:ascii="Arial" w:hAnsi="Arial" w:cs="Arial"/>
          </w:rPr>
          <w:t>20704669</w:t>
        </w:r>
      </w:hyperlink>
    </w:p>
    <w:p w14:paraId="2BC82041" w14:textId="77777777" w:rsidR="008D0565" w:rsidRPr="00D61F73" w:rsidRDefault="008D0565" w:rsidP="00D61F73">
      <w:pPr>
        <w:rPr>
          <w:rFonts w:ascii="Arial" w:eastAsia="Calibri" w:hAnsi="Arial" w:cs="Arial"/>
        </w:rPr>
      </w:pPr>
    </w:p>
    <w:p w14:paraId="378A1C41" w14:textId="77777777" w:rsidR="008D0565" w:rsidRPr="00D61F73" w:rsidRDefault="008D0565" w:rsidP="00D61F73">
      <w:pPr>
        <w:rPr>
          <w:rFonts w:ascii="Arial" w:eastAsia="Calibri" w:hAnsi="Arial" w:cs="Arial"/>
        </w:rPr>
      </w:pPr>
      <w:r w:rsidRPr="00D61F73">
        <w:rPr>
          <w:rFonts w:ascii="Arial" w:hAnsi="Arial" w:cs="Arial"/>
        </w:rPr>
        <w:t>Rating: 5c</w:t>
      </w:r>
    </w:p>
    <w:p w14:paraId="486ABDC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74" w:name="Hardy2012"/>
      <w:bookmarkEnd w:id="774"/>
      <w:r w:rsidRPr="00D61F73">
        <w:rPr>
          <w:rFonts w:ascii="Arial" w:hAnsi="Arial" w:cs="Arial"/>
          <w:b/>
          <w:bCs/>
        </w:rPr>
        <w:t xml:space="preserve">ardy J, Quinn S, Fazekas B, Plummer J, Eckermann S, Agar M, Spruyt O, Rowett D, Currow DC. Randomized, double-blind, placebo-controlled study to assess the efficacy and toxicity of subcutaneous ketamine in the management of cancer pain. </w:t>
      </w:r>
      <w:r w:rsidRPr="00D61F73">
        <w:rPr>
          <w:rFonts w:ascii="Arial" w:hAnsi="Arial" w:cs="Arial"/>
          <w:b/>
          <w:bCs/>
          <w:i/>
          <w:iCs/>
        </w:rPr>
        <w:t>J Clin Oncol.</w:t>
      </w:r>
      <w:r w:rsidRPr="00D61F73">
        <w:rPr>
          <w:rFonts w:ascii="Arial" w:hAnsi="Arial" w:cs="Arial"/>
          <w:b/>
          <w:bCs/>
        </w:rPr>
        <w:t xml:space="preserve"> 2012 Oct 10;30(29):3611-7. doi: 10.1200/JCO.2012.42.1081.</w:t>
      </w:r>
    </w:p>
    <w:p w14:paraId="41FE94A4" w14:textId="77777777" w:rsidR="008D0565" w:rsidRPr="00D61F73" w:rsidRDefault="008D0565" w:rsidP="00D61F73">
      <w:pPr>
        <w:rPr>
          <w:rFonts w:ascii="Arial" w:hAnsi="Arial" w:cs="Arial"/>
        </w:rPr>
      </w:pPr>
    </w:p>
    <w:p w14:paraId="5E993743" w14:textId="77777777" w:rsidR="008D0565" w:rsidRPr="00D61F73" w:rsidRDefault="008D0565" w:rsidP="00D61F73">
      <w:pPr>
        <w:rPr>
          <w:rFonts w:ascii="Arial" w:hAnsi="Arial" w:cs="Arial"/>
        </w:rPr>
      </w:pPr>
      <w:r w:rsidRPr="00D61F73">
        <w:rPr>
          <w:rFonts w:ascii="Arial" w:hAnsi="Arial" w:cs="Arial"/>
        </w:rPr>
        <w:t>Ketamine does not have net clinical benefit when used as an adjunct to opioids and standard coanalgesics in cancer pain.</w:t>
      </w:r>
    </w:p>
    <w:p w14:paraId="36E9DD75" w14:textId="77777777" w:rsidR="008D0565" w:rsidRPr="00D61F73" w:rsidRDefault="008D0565" w:rsidP="00D61F73">
      <w:pPr>
        <w:rPr>
          <w:rFonts w:ascii="Arial" w:hAnsi="Arial" w:cs="Arial"/>
        </w:rPr>
      </w:pPr>
    </w:p>
    <w:p w14:paraId="44E19C5B" w14:textId="77777777" w:rsidR="008D0565" w:rsidRPr="00D61F73" w:rsidRDefault="008D0565" w:rsidP="00D61F73">
      <w:pPr>
        <w:rPr>
          <w:rFonts w:ascii="Arial" w:hAnsi="Arial" w:cs="Arial"/>
        </w:rPr>
      </w:pPr>
      <w:r w:rsidRPr="00D61F73">
        <w:rPr>
          <w:rFonts w:ascii="Arial" w:hAnsi="Arial" w:cs="Arial"/>
        </w:rPr>
        <w:t xml:space="preserve">PMID: </w:t>
      </w:r>
      <w:hyperlink r:id="rId471" w:history="1">
        <w:r w:rsidRPr="00D61F73">
          <w:rPr>
            <w:rStyle w:val="Hyperlink"/>
            <w:rFonts w:ascii="Arial" w:hAnsi="Arial" w:cs="Arial"/>
          </w:rPr>
          <w:t>22965960</w:t>
        </w:r>
      </w:hyperlink>
      <w:r w:rsidRPr="00D61F73">
        <w:rPr>
          <w:rFonts w:ascii="Arial" w:hAnsi="Arial" w:cs="Arial"/>
        </w:rPr>
        <w:t xml:space="preserve"> </w:t>
      </w:r>
    </w:p>
    <w:p w14:paraId="1E383A82" w14:textId="77777777" w:rsidR="008D0565" w:rsidRPr="00D61F73" w:rsidRDefault="008D0565" w:rsidP="00D61F73">
      <w:pPr>
        <w:rPr>
          <w:rFonts w:ascii="Arial" w:hAnsi="Arial" w:cs="Arial"/>
        </w:rPr>
      </w:pPr>
    </w:p>
    <w:p w14:paraId="6E2952D5" w14:textId="77777777" w:rsidR="008D0565" w:rsidRPr="00D61F73" w:rsidRDefault="008D0565" w:rsidP="00D61F73">
      <w:pPr>
        <w:rPr>
          <w:rFonts w:ascii="Arial" w:hAnsi="Arial" w:cs="Arial"/>
        </w:rPr>
      </w:pPr>
      <w:r w:rsidRPr="00D61F73">
        <w:rPr>
          <w:rFonts w:ascii="Arial" w:hAnsi="Arial" w:cs="Arial"/>
        </w:rPr>
        <w:t>Rating: 2b</w:t>
      </w:r>
    </w:p>
    <w:p w14:paraId="425BABC4"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H</w:t>
      </w:r>
      <w:bookmarkStart w:id="775" w:name="Härkäpää"/>
      <w:bookmarkEnd w:id="775"/>
      <w:r w:rsidRPr="00D61F73">
        <w:rPr>
          <w:rFonts w:ascii="Arial" w:hAnsi="Arial" w:cs="Arial"/>
          <w:b/>
        </w:rPr>
        <w:t xml:space="preserve">ärkäpää K, Mellin G, Järvikoski A, Hurri H. A controlled study on the outcome of inpatient and outpatient treatment of low back pain. Part III. Long-term follow-up of pain, disability, and compliance. </w:t>
      </w:r>
      <w:r w:rsidRPr="00D61F73">
        <w:rPr>
          <w:rFonts w:ascii="Arial" w:hAnsi="Arial" w:cs="Arial"/>
          <w:b/>
          <w:i/>
        </w:rPr>
        <w:t>Scand J Rehabil Med</w:t>
      </w:r>
      <w:r w:rsidRPr="00D61F73">
        <w:rPr>
          <w:rFonts w:ascii="Arial" w:hAnsi="Arial" w:cs="Arial"/>
          <w:b/>
        </w:rPr>
        <w:t>. 1990;22:181-8.</w:t>
      </w:r>
    </w:p>
    <w:p w14:paraId="51D957BE" w14:textId="77777777" w:rsidR="008D0565" w:rsidRPr="00D61F73" w:rsidRDefault="008D0565" w:rsidP="00D61F73">
      <w:pPr>
        <w:rPr>
          <w:rFonts w:ascii="Arial" w:hAnsi="Arial" w:cs="Arial"/>
          <w:b/>
        </w:rPr>
      </w:pPr>
    </w:p>
    <w:p w14:paraId="1A07F030" w14:textId="77777777" w:rsidR="008D0565" w:rsidRPr="00D61F73" w:rsidRDefault="008D0565" w:rsidP="00D61F73">
      <w:pPr>
        <w:rPr>
          <w:rFonts w:ascii="Arial" w:hAnsi="Arial" w:cs="Arial"/>
        </w:rPr>
      </w:pPr>
      <w:r w:rsidRPr="00D61F73">
        <w:rPr>
          <w:rFonts w:ascii="Arial" w:hAnsi="Arial" w:cs="Arial"/>
        </w:rPr>
        <w:t xml:space="preserve">Pain and disability had decreased significantly in the two treated groups up to the 3-month follow-up. </w:t>
      </w:r>
    </w:p>
    <w:p w14:paraId="3D9624F3" w14:textId="77777777" w:rsidR="008D0565" w:rsidRPr="00D61F73" w:rsidRDefault="008D0565" w:rsidP="00D61F73">
      <w:pPr>
        <w:rPr>
          <w:rFonts w:ascii="Arial" w:hAnsi="Arial" w:cs="Arial"/>
        </w:rPr>
      </w:pPr>
    </w:p>
    <w:p w14:paraId="44144B01" w14:textId="77777777" w:rsidR="008D0565" w:rsidRPr="00D61F73" w:rsidRDefault="008D0565" w:rsidP="00D61F73">
      <w:pPr>
        <w:rPr>
          <w:rFonts w:ascii="Arial" w:hAnsi="Arial" w:cs="Arial"/>
        </w:rPr>
      </w:pPr>
      <w:r w:rsidRPr="00D61F73">
        <w:rPr>
          <w:rFonts w:ascii="Arial" w:hAnsi="Arial" w:cs="Arial"/>
        </w:rPr>
        <w:t xml:space="preserve">PMID: </w:t>
      </w:r>
      <w:hyperlink r:id="rId472" w:history="1">
        <w:r w:rsidRPr="00D61F73">
          <w:rPr>
            <w:rStyle w:val="Hyperlink"/>
            <w:rFonts w:ascii="Arial" w:hAnsi="Arial" w:cs="Arial"/>
          </w:rPr>
          <w:t>214822</w:t>
        </w:r>
      </w:hyperlink>
    </w:p>
    <w:p w14:paraId="598E3F33" w14:textId="77777777" w:rsidR="008D0565" w:rsidRPr="00D61F73" w:rsidRDefault="008D0565" w:rsidP="00D61F73">
      <w:pPr>
        <w:rPr>
          <w:rFonts w:ascii="Arial" w:hAnsi="Arial" w:cs="Arial"/>
        </w:rPr>
      </w:pPr>
    </w:p>
    <w:p w14:paraId="411B7F90" w14:textId="77777777" w:rsidR="008D0565" w:rsidRPr="00D61F73" w:rsidRDefault="008D0565" w:rsidP="00D61F73">
      <w:pPr>
        <w:rPr>
          <w:rFonts w:ascii="Arial" w:hAnsi="Arial" w:cs="Arial"/>
        </w:rPr>
      </w:pPr>
      <w:r w:rsidRPr="00D61F73">
        <w:rPr>
          <w:rFonts w:ascii="Arial" w:hAnsi="Arial" w:cs="Arial"/>
        </w:rPr>
        <w:t>Rating: 2c</w:t>
      </w:r>
    </w:p>
    <w:p w14:paraId="56F990B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76" w:name="Harke"/>
      <w:bookmarkEnd w:id="776"/>
      <w:r w:rsidRPr="00D61F73">
        <w:rPr>
          <w:rFonts w:ascii="Arial" w:hAnsi="Arial" w:cs="Arial"/>
          <w:b/>
          <w:bCs/>
        </w:rPr>
        <w:t xml:space="preserve">arke H, Gretenkort P, Ladleif HU, Rahman S. Spinal cord stimulation in sympathetically maintained complex regional pain syndrome type I with severe disability. A prospective clinical study. </w:t>
      </w:r>
      <w:r w:rsidRPr="00D61F73">
        <w:rPr>
          <w:rFonts w:ascii="Arial" w:hAnsi="Arial" w:cs="Arial"/>
          <w:b/>
          <w:bCs/>
          <w:i/>
          <w:iCs/>
        </w:rPr>
        <w:t>Eur J Pain</w:t>
      </w:r>
      <w:r w:rsidRPr="00D61F73">
        <w:rPr>
          <w:rFonts w:ascii="Arial" w:hAnsi="Arial" w:cs="Arial"/>
          <w:b/>
          <w:bCs/>
        </w:rPr>
        <w:t>. 2005 Aug;9(4):363-73.</w:t>
      </w:r>
    </w:p>
    <w:p w14:paraId="3F31179E" w14:textId="77777777" w:rsidR="008D0565" w:rsidRPr="00D61F73" w:rsidRDefault="008D0565" w:rsidP="00D61F73">
      <w:pPr>
        <w:rPr>
          <w:rFonts w:ascii="Arial" w:hAnsi="Arial" w:cs="Arial"/>
        </w:rPr>
      </w:pPr>
    </w:p>
    <w:p w14:paraId="5963D426" w14:textId="77777777" w:rsidR="008D0565" w:rsidRPr="00D61F73" w:rsidRDefault="008D0565" w:rsidP="00D61F73">
      <w:pPr>
        <w:rPr>
          <w:rFonts w:ascii="Arial" w:hAnsi="Arial" w:cs="Arial"/>
        </w:rPr>
      </w:pPr>
      <w:r w:rsidRPr="00D61F73">
        <w:rPr>
          <w:rFonts w:ascii="Arial" w:hAnsi="Arial" w:cs="Arial"/>
        </w:rPr>
        <w:t>CONCLUSIONS: As a result of permanent pain relief under long-term SCS combined with physiotherapy, the functional status and the quality of life could be significantly improved in sympathetically maintained CRPS I.</w:t>
      </w:r>
    </w:p>
    <w:p w14:paraId="65CEA825" w14:textId="77777777" w:rsidR="008D0565" w:rsidRPr="00D61F73" w:rsidRDefault="008D0565" w:rsidP="00D61F73">
      <w:pPr>
        <w:rPr>
          <w:rFonts w:ascii="Arial" w:hAnsi="Arial" w:cs="Arial"/>
        </w:rPr>
      </w:pPr>
    </w:p>
    <w:p w14:paraId="44157453" w14:textId="77777777" w:rsidR="008D0565" w:rsidRPr="00D61F73" w:rsidRDefault="008D0565" w:rsidP="00D61F73">
      <w:pPr>
        <w:rPr>
          <w:rFonts w:ascii="Arial" w:hAnsi="Arial" w:cs="Arial"/>
        </w:rPr>
      </w:pPr>
      <w:r w:rsidRPr="00D61F73">
        <w:rPr>
          <w:rFonts w:ascii="Arial" w:hAnsi="Arial" w:cs="Arial"/>
        </w:rPr>
        <w:t xml:space="preserve">PMID: </w:t>
      </w:r>
      <w:hyperlink r:id="rId473" w:history="1">
        <w:r w:rsidRPr="00D61F73">
          <w:rPr>
            <w:rStyle w:val="Hyperlink"/>
            <w:rFonts w:ascii="Arial" w:hAnsi="Arial" w:cs="Arial"/>
          </w:rPr>
          <w:t>15979016</w:t>
        </w:r>
      </w:hyperlink>
      <w:r w:rsidRPr="00D61F73">
        <w:rPr>
          <w:rFonts w:ascii="Arial" w:hAnsi="Arial" w:cs="Arial"/>
        </w:rPr>
        <w:t xml:space="preserve"> </w:t>
      </w:r>
    </w:p>
    <w:p w14:paraId="061C68AD" w14:textId="77777777" w:rsidR="008D0565" w:rsidRPr="00D61F73" w:rsidRDefault="008D0565" w:rsidP="00D61F73">
      <w:pPr>
        <w:rPr>
          <w:rFonts w:ascii="Arial" w:hAnsi="Arial" w:cs="Arial"/>
        </w:rPr>
      </w:pPr>
    </w:p>
    <w:p w14:paraId="0AE86422" w14:textId="77777777" w:rsidR="008D0565" w:rsidRPr="00D61F73" w:rsidRDefault="008D0565" w:rsidP="00D61F73">
      <w:pPr>
        <w:rPr>
          <w:rFonts w:ascii="Arial" w:hAnsi="Arial" w:cs="Arial"/>
        </w:rPr>
      </w:pPr>
      <w:r w:rsidRPr="00D61F73">
        <w:rPr>
          <w:rFonts w:ascii="Arial" w:hAnsi="Arial" w:cs="Arial"/>
        </w:rPr>
        <w:t>Rating: 2b</w:t>
      </w:r>
    </w:p>
    <w:p w14:paraId="1056111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77" w:name="Harley2011"/>
      <w:bookmarkEnd w:id="777"/>
      <w:r w:rsidRPr="00D61F73">
        <w:rPr>
          <w:rFonts w:ascii="Arial" w:hAnsi="Arial" w:cs="Arial"/>
          <w:b/>
          <w:bCs/>
        </w:rPr>
        <w:t xml:space="preserve">arley CB, Liu W, Blasco M, Vera E, Andrews WH, Briggs LA, Raffaele JM. A natural product telomerase activator as part of a health maintenance program. </w:t>
      </w:r>
      <w:r w:rsidRPr="00D61F73">
        <w:rPr>
          <w:rFonts w:ascii="Arial" w:hAnsi="Arial" w:cs="Arial"/>
          <w:b/>
          <w:bCs/>
          <w:i/>
          <w:iCs/>
        </w:rPr>
        <w:t>Rejuvenation Res</w:t>
      </w:r>
      <w:r w:rsidRPr="00D61F73">
        <w:rPr>
          <w:rFonts w:ascii="Arial" w:hAnsi="Arial" w:cs="Arial"/>
          <w:b/>
          <w:bCs/>
        </w:rPr>
        <w:t>. 2011 Feb;14(1):45-56.</w:t>
      </w:r>
    </w:p>
    <w:p w14:paraId="50D9932A" w14:textId="77777777" w:rsidR="008D0565" w:rsidRPr="00D61F73" w:rsidRDefault="008D0565" w:rsidP="00D61F73">
      <w:pPr>
        <w:rPr>
          <w:rFonts w:ascii="Arial" w:hAnsi="Arial" w:cs="Arial"/>
        </w:rPr>
      </w:pPr>
    </w:p>
    <w:p w14:paraId="45EF91DE" w14:textId="77777777" w:rsidR="008D0565" w:rsidRPr="00D61F73" w:rsidRDefault="008D0565" w:rsidP="00D61F73">
      <w:pPr>
        <w:rPr>
          <w:rFonts w:ascii="Arial" w:hAnsi="Arial" w:cs="Arial"/>
        </w:rPr>
      </w:pPr>
      <w:r w:rsidRPr="00D61F73">
        <w:rPr>
          <w:rFonts w:ascii="Arial" w:hAnsi="Arial" w:cs="Arial"/>
        </w:rPr>
        <w:t>Low nanomolar levels of TA-65® moderately activated telomerase in human keratinocytes.</w:t>
      </w:r>
    </w:p>
    <w:p w14:paraId="12BBC2CD" w14:textId="77777777" w:rsidR="008D0565" w:rsidRPr="00D61F73" w:rsidRDefault="008D0565" w:rsidP="00D61F73">
      <w:pPr>
        <w:rPr>
          <w:rFonts w:ascii="Arial" w:hAnsi="Arial" w:cs="Arial"/>
        </w:rPr>
      </w:pPr>
    </w:p>
    <w:p w14:paraId="482CDB15" w14:textId="77777777" w:rsidR="008D0565" w:rsidRPr="00D61F73" w:rsidRDefault="008D0565" w:rsidP="00D61F73">
      <w:pPr>
        <w:rPr>
          <w:rFonts w:ascii="Arial" w:hAnsi="Arial" w:cs="Arial"/>
        </w:rPr>
      </w:pPr>
      <w:r w:rsidRPr="00D61F73">
        <w:rPr>
          <w:rFonts w:ascii="Arial" w:hAnsi="Arial" w:cs="Arial"/>
        </w:rPr>
        <w:t xml:space="preserve">PMID: </w:t>
      </w:r>
      <w:hyperlink r:id="rId474" w:history="1">
        <w:r w:rsidRPr="00D61F73">
          <w:rPr>
            <w:rStyle w:val="Hyperlink"/>
            <w:rFonts w:ascii="Arial" w:hAnsi="Arial" w:cs="Arial"/>
          </w:rPr>
          <w:t>20822369</w:t>
        </w:r>
      </w:hyperlink>
      <w:r w:rsidRPr="00D61F73">
        <w:rPr>
          <w:rFonts w:ascii="Arial" w:hAnsi="Arial" w:cs="Arial"/>
        </w:rPr>
        <w:t xml:space="preserve"> </w:t>
      </w:r>
    </w:p>
    <w:p w14:paraId="7BDD9FB3" w14:textId="77777777" w:rsidR="008D0565" w:rsidRPr="00D61F73" w:rsidRDefault="008D0565" w:rsidP="00D61F73">
      <w:pPr>
        <w:rPr>
          <w:rFonts w:ascii="Arial" w:hAnsi="Arial" w:cs="Arial"/>
        </w:rPr>
      </w:pPr>
    </w:p>
    <w:p w14:paraId="00448586" w14:textId="77777777" w:rsidR="008D0565" w:rsidRPr="00D61F73" w:rsidRDefault="008D0565" w:rsidP="00D61F73">
      <w:pPr>
        <w:rPr>
          <w:rFonts w:ascii="Arial" w:hAnsi="Arial" w:cs="Arial"/>
        </w:rPr>
      </w:pPr>
      <w:r w:rsidRPr="00D61F73">
        <w:rPr>
          <w:rFonts w:ascii="Arial" w:hAnsi="Arial" w:cs="Arial"/>
        </w:rPr>
        <w:t>Rating: 4c</w:t>
      </w:r>
    </w:p>
    <w:p w14:paraId="5FC323F2" w14:textId="77777777" w:rsidR="008D0565" w:rsidRPr="00D61F73" w:rsidRDefault="008D0565" w:rsidP="00D61F73">
      <w:pPr>
        <w:rPr>
          <w:rFonts w:ascii="Arial" w:eastAsia="Calibri" w:hAnsi="Arial" w:cs="Arial"/>
          <w:color w:val="auto"/>
        </w:rPr>
      </w:pPr>
      <w:r w:rsidRPr="00D61F73">
        <w:rPr>
          <w:rFonts w:ascii="Arial" w:hAnsi="Arial" w:cs="Arial"/>
        </w:rPr>
        <w:br w:type="page"/>
      </w:r>
      <w:r w:rsidRPr="00D61F73">
        <w:rPr>
          <w:rFonts w:ascii="Arial" w:hAnsi="Arial" w:cs="Arial"/>
          <w:b/>
        </w:rPr>
        <w:lastRenderedPageBreak/>
        <w:t>H</w:t>
      </w:r>
      <w:bookmarkStart w:id="778" w:name="Haroutiunian2010"/>
      <w:bookmarkEnd w:id="778"/>
      <w:r w:rsidRPr="00D61F73">
        <w:rPr>
          <w:rFonts w:ascii="Arial" w:hAnsi="Arial" w:cs="Arial"/>
          <w:b/>
        </w:rPr>
        <w:t xml:space="preserve">aroutiunian S, Drennan DA, Lipman AG. Topical NSAID therapy for musculoskeletal pain. </w:t>
      </w:r>
      <w:r w:rsidRPr="00D61F73">
        <w:rPr>
          <w:rFonts w:ascii="Arial" w:hAnsi="Arial" w:cs="Arial"/>
          <w:b/>
          <w:i/>
        </w:rPr>
        <w:t>Pain Med</w:t>
      </w:r>
      <w:r w:rsidRPr="00D61F73">
        <w:rPr>
          <w:rFonts w:ascii="Arial" w:hAnsi="Arial" w:cs="Arial"/>
          <w:b/>
        </w:rPr>
        <w:t>. 2010;11:535-49.</w:t>
      </w:r>
    </w:p>
    <w:p w14:paraId="5C46D295" w14:textId="77777777" w:rsidR="008D0565" w:rsidRPr="00D61F73" w:rsidRDefault="008D0565" w:rsidP="00D61F73">
      <w:pPr>
        <w:tabs>
          <w:tab w:val="left" w:pos="7200"/>
        </w:tabs>
        <w:rPr>
          <w:rFonts w:ascii="Arial" w:eastAsia="Calibri" w:hAnsi="Arial" w:cs="Arial"/>
        </w:rPr>
      </w:pPr>
    </w:p>
    <w:p w14:paraId="240973ED" w14:textId="77777777" w:rsidR="008D0565" w:rsidRPr="00D61F73" w:rsidRDefault="008D0565" w:rsidP="00D61F73">
      <w:pPr>
        <w:tabs>
          <w:tab w:val="left" w:pos="7200"/>
        </w:tabs>
        <w:rPr>
          <w:rFonts w:ascii="Arial" w:eastAsia="Calibri" w:hAnsi="Arial" w:cs="Arial"/>
        </w:rPr>
      </w:pPr>
      <w:r w:rsidRPr="00D61F73">
        <w:rPr>
          <w:rFonts w:ascii="Arial" w:hAnsi="Arial" w:cs="Arial"/>
        </w:rPr>
        <w:t>In acute and chronic low back pain, widespread musculoskeletal pain, and in peripheral neuropathic pain syndromes, the current evidence does not support the use of topical NSAIDs.</w:t>
      </w:r>
    </w:p>
    <w:p w14:paraId="19B0FDC0" w14:textId="77777777" w:rsidR="008D0565" w:rsidRPr="00D61F73" w:rsidRDefault="008D0565" w:rsidP="00D61F73">
      <w:pPr>
        <w:tabs>
          <w:tab w:val="left" w:pos="7200"/>
        </w:tabs>
        <w:rPr>
          <w:rFonts w:ascii="Arial" w:eastAsia="Calibri" w:hAnsi="Arial" w:cs="Arial"/>
        </w:rPr>
      </w:pPr>
    </w:p>
    <w:p w14:paraId="3603807F"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475" w:history="1">
        <w:r w:rsidRPr="00D61F73">
          <w:rPr>
            <w:rStyle w:val="Hyperlink"/>
            <w:rFonts w:ascii="Arial" w:hAnsi="Arial" w:cs="Arial"/>
          </w:rPr>
          <w:t>20210866</w:t>
        </w:r>
      </w:hyperlink>
    </w:p>
    <w:p w14:paraId="3F65687F" w14:textId="77777777" w:rsidR="008D0565" w:rsidRPr="00D61F73" w:rsidRDefault="008D0565" w:rsidP="00D61F73">
      <w:pPr>
        <w:tabs>
          <w:tab w:val="left" w:pos="7200"/>
        </w:tabs>
        <w:rPr>
          <w:rFonts w:ascii="Arial" w:eastAsia="Calibri" w:hAnsi="Arial" w:cs="Arial"/>
        </w:rPr>
      </w:pPr>
    </w:p>
    <w:p w14:paraId="30669A3E"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1a</w:t>
      </w:r>
    </w:p>
    <w:p w14:paraId="6B3808A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H</w:t>
      </w:r>
      <w:bookmarkStart w:id="779" w:name="Hartrick"/>
      <w:bookmarkEnd w:id="779"/>
      <w:r w:rsidRPr="00D61F73">
        <w:rPr>
          <w:rFonts w:ascii="Arial" w:hAnsi="Arial" w:cs="Arial"/>
          <w:b/>
        </w:rPr>
        <w:t xml:space="preserve">artrick CT, Kovan JP, Naismith P. Outcome prediction following sympathetic block for complex regional pain syndrome. </w:t>
      </w:r>
      <w:r w:rsidRPr="00D61F73">
        <w:rPr>
          <w:rFonts w:ascii="Arial" w:hAnsi="Arial" w:cs="Arial"/>
          <w:b/>
          <w:i/>
        </w:rPr>
        <w:t>Pain Pract</w:t>
      </w:r>
      <w:r w:rsidRPr="00D61F73">
        <w:rPr>
          <w:rFonts w:ascii="Arial" w:hAnsi="Arial" w:cs="Arial"/>
          <w:b/>
        </w:rPr>
        <w:t>. 2004;4:222-8.</w:t>
      </w:r>
    </w:p>
    <w:p w14:paraId="5FB0B71F" w14:textId="77777777" w:rsidR="008D0565" w:rsidRPr="00D61F73" w:rsidRDefault="008D0565" w:rsidP="00D61F73">
      <w:pPr>
        <w:rPr>
          <w:rFonts w:ascii="Arial" w:hAnsi="Arial" w:cs="Arial"/>
        </w:rPr>
      </w:pPr>
    </w:p>
    <w:p w14:paraId="196E12FB" w14:textId="77777777" w:rsidR="008D0565" w:rsidRPr="00D61F73" w:rsidRDefault="008D0565" w:rsidP="00D61F73">
      <w:pPr>
        <w:rPr>
          <w:rFonts w:ascii="Arial" w:hAnsi="Arial" w:cs="Arial"/>
        </w:rPr>
      </w:pPr>
      <w:r w:rsidRPr="00D61F73">
        <w:rPr>
          <w:rFonts w:ascii="Arial" w:hAnsi="Arial" w:cs="Arial"/>
        </w:rPr>
        <w:t>While sympathetic blocks can be helpful in the reduction of mechanical allodynia, and thus the facilitation of physical and occupational therapy, ultimate response to a regime that includes medications is not predicted by sympathetic block alone.</w:t>
      </w:r>
    </w:p>
    <w:p w14:paraId="2EDADE2F" w14:textId="77777777" w:rsidR="008D0565" w:rsidRPr="00D61F73" w:rsidRDefault="008D0565" w:rsidP="00D61F73">
      <w:pPr>
        <w:rPr>
          <w:rFonts w:ascii="Arial" w:hAnsi="Arial" w:cs="Arial"/>
        </w:rPr>
      </w:pPr>
    </w:p>
    <w:p w14:paraId="1D8A70FE" w14:textId="77777777" w:rsidR="008D0565" w:rsidRPr="00D61F73" w:rsidRDefault="008D0565" w:rsidP="00D61F73">
      <w:pPr>
        <w:rPr>
          <w:rFonts w:ascii="Arial" w:hAnsi="Arial" w:cs="Arial"/>
        </w:rPr>
      </w:pPr>
      <w:r w:rsidRPr="00D61F73">
        <w:rPr>
          <w:rFonts w:ascii="Arial" w:hAnsi="Arial" w:cs="Arial"/>
        </w:rPr>
        <w:t xml:space="preserve">PMID: </w:t>
      </w:r>
      <w:hyperlink r:id="rId476" w:history="1">
        <w:r w:rsidRPr="00D61F73">
          <w:rPr>
            <w:rStyle w:val="Hyperlink"/>
            <w:rFonts w:ascii="Arial" w:hAnsi="Arial" w:cs="Arial"/>
          </w:rPr>
          <w:t>17173603</w:t>
        </w:r>
      </w:hyperlink>
      <w:r w:rsidRPr="00D61F73">
        <w:rPr>
          <w:rFonts w:ascii="Arial" w:hAnsi="Arial" w:cs="Arial"/>
        </w:rPr>
        <w:t xml:space="preserve"> </w:t>
      </w:r>
    </w:p>
    <w:p w14:paraId="631D716D" w14:textId="77777777" w:rsidR="008D0565" w:rsidRPr="00D61F73" w:rsidRDefault="008D0565" w:rsidP="00D61F73">
      <w:pPr>
        <w:rPr>
          <w:rFonts w:ascii="Arial" w:hAnsi="Arial" w:cs="Arial"/>
        </w:rPr>
      </w:pPr>
    </w:p>
    <w:p w14:paraId="7B95426D" w14:textId="77777777" w:rsidR="008D0565" w:rsidRPr="00D61F73" w:rsidRDefault="008D0565" w:rsidP="00D61F73">
      <w:pPr>
        <w:rPr>
          <w:rFonts w:ascii="Arial" w:hAnsi="Arial" w:cs="Arial"/>
        </w:rPr>
      </w:pPr>
      <w:r w:rsidRPr="00D61F73">
        <w:rPr>
          <w:rFonts w:ascii="Arial" w:hAnsi="Arial" w:cs="Arial"/>
        </w:rPr>
        <w:t>Rating: 4c</w:t>
      </w:r>
    </w:p>
    <w:p w14:paraId="28225C04" w14:textId="77777777" w:rsidR="008D0565" w:rsidRPr="00D61F73" w:rsidRDefault="008D0565" w:rsidP="00D61F73">
      <w:pPr>
        <w:rPr>
          <w:rFonts w:ascii="Arial" w:hAnsi="Arial" w:cs="Arial"/>
          <w:b/>
          <w:bCs/>
          <w:color w:val="auto"/>
        </w:rPr>
      </w:pPr>
      <w:r w:rsidRPr="00D61F73">
        <w:rPr>
          <w:rFonts w:ascii="Arial" w:hAnsi="Arial" w:cs="Arial"/>
        </w:rPr>
        <w:br w:type="page"/>
      </w:r>
      <w:r w:rsidRPr="00D61F73">
        <w:rPr>
          <w:rFonts w:ascii="Arial" w:hAnsi="Arial" w:cs="Arial"/>
          <w:b/>
          <w:bCs/>
        </w:rPr>
        <w:lastRenderedPageBreak/>
        <w:t>H</w:t>
      </w:r>
      <w:bookmarkStart w:id="780" w:name="Hartrick2009"/>
      <w:bookmarkEnd w:id="780"/>
      <w:r w:rsidRPr="00D61F73">
        <w:rPr>
          <w:rFonts w:ascii="Arial" w:hAnsi="Arial" w:cs="Arial"/>
          <w:b/>
          <w:bCs/>
        </w:rPr>
        <w:t xml:space="preserve">artrick C, Van Hove I, Stegmann JU, Oh C, Upmalis D. Efficacy and tolerability of tapentadol immediate release and oxycodone HCl immediate release in patients awaiting primary joint replacement surgery for end-stage joint disease: a 10-day, phase III, randomized, double-blind, active- and placebo-controlled study. </w:t>
      </w:r>
      <w:r w:rsidRPr="00D61F73">
        <w:rPr>
          <w:rFonts w:ascii="Arial" w:hAnsi="Arial" w:cs="Arial"/>
          <w:b/>
          <w:bCs/>
          <w:i/>
          <w:iCs/>
        </w:rPr>
        <w:t>Clin Ther</w:t>
      </w:r>
      <w:r w:rsidRPr="00D61F73">
        <w:rPr>
          <w:rFonts w:ascii="Arial" w:hAnsi="Arial" w:cs="Arial"/>
          <w:b/>
          <w:bCs/>
        </w:rPr>
        <w:t>. 2009 Feb;31(2):260-71.</w:t>
      </w:r>
    </w:p>
    <w:p w14:paraId="4930C837" w14:textId="77777777" w:rsidR="008D0565" w:rsidRPr="00D61F73" w:rsidRDefault="008D0565" w:rsidP="00D61F73">
      <w:pPr>
        <w:rPr>
          <w:rFonts w:ascii="Arial" w:hAnsi="Arial" w:cs="Arial"/>
        </w:rPr>
      </w:pPr>
    </w:p>
    <w:p w14:paraId="6F7DB9BF" w14:textId="77777777" w:rsidR="008D0565" w:rsidRPr="00D61F73" w:rsidRDefault="008D0565" w:rsidP="00D61F73">
      <w:pPr>
        <w:rPr>
          <w:rFonts w:ascii="Arial" w:hAnsi="Arial" w:cs="Arial"/>
        </w:rPr>
      </w:pPr>
      <w:r w:rsidRPr="00D61F73">
        <w:rPr>
          <w:rFonts w:ascii="Arial" w:hAnsi="Arial" w:cs="Arial"/>
        </w:rPr>
        <w:t>CONCLUSIONS: Tapentadol IR 50 and 75 mg were associated with analgesia that was noninferior to that provided by oxycodone HCl IR 10 mg. Tapentadol treatment was associated with improved gastrointestinal tolerability.</w:t>
      </w:r>
    </w:p>
    <w:p w14:paraId="454BD770" w14:textId="77777777" w:rsidR="008D0565" w:rsidRPr="00D61F73" w:rsidRDefault="008D0565" w:rsidP="00D61F73">
      <w:pPr>
        <w:rPr>
          <w:rFonts w:ascii="Arial" w:hAnsi="Arial" w:cs="Arial"/>
        </w:rPr>
      </w:pPr>
    </w:p>
    <w:p w14:paraId="0994B1B1" w14:textId="77777777" w:rsidR="008D0565" w:rsidRPr="00D61F73" w:rsidRDefault="008D0565" w:rsidP="00D61F73">
      <w:pPr>
        <w:rPr>
          <w:rFonts w:ascii="Arial" w:hAnsi="Arial" w:cs="Arial"/>
        </w:rPr>
      </w:pPr>
      <w:r w:rsidRPr="00D61F73">
        <w:rPr>
          <w:rFonts w:ascii="Arial" w:hAnsi="Arial" w:cs="Arial"/>
        </w:rPr>
        <w:t xml:space="preserve">PMID: </w:t>
      </w:r>
      <w:hyperlink r:id="rId477" w:history="1">
        <w:r w:rsidRPr="00D61F73">
          <w:rPr>
            <w:rStyle w:val="Hyperlink"/>
            <w:rFonts w:ascii="Arial" w:hAnsi="Arial" w:cs="Arial"/>
          </w:rPr>
          <w:t>19302899</w:t>
        </w:r>
      </w:hyperlink>
    </w:p>
    <w:p w14:paraId="28718A26" w14:textId="77777777" w:rsidR="008D0565" w:rsidRPr="00D61F73" w:rsidRDefault="008D0565" w:rsidP="00D61F73">
      <w:pPr>
        <w:rPr>
          <w:rFonts w:ascii="Arial" w:hAnsi="Arial" w:cs="Arial"/>
        </w:rPr>
      </w:pPr>
    </w:p>
    <w:p w14:paraId="26CDAC26" w14:textId="77777777" w:rsidR="008D0565" w:rsidRPr="00D61F73" w:rsidRDefault="008D0565" w:rsidP="00D61F73">
      <w:pPr>
        <w:rPr>
          <w:rFonts w:ascii="Arial" w:hAnsi="Arial" w:cs="Arial"/>
        </w:rPr>
      </w:pPr>
      <w:r w:rsidRPr="00D61F73">
        <w:rPr>
          <w:rFonts w:ascii="Arial" w:hAnsi="Arial" w:cs="Arial"/>
        </w:rPr>
        <w:t>Rating: 2b</w:t>
      </w:r>
    </w:p>
    <w:p w14:paraId="3B51E73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81" w:name="Hasenbring"/>
      <w:bookmarkEnd w:id="781"/>
      <w:r w:rsidRPr="00D61F73">
        <w:rPr>
          <w:rFonts w:ascii="Arial" w:hAnsi="Arial" w:cs="Arial"/>
          <w:b/>
          <w:bCs/>
        </w:rPr>
        <w:t xml:space="preserve">asenbring M, Ulrich HW, Hartmann M, Soyka D. The efficacy of a risk factor-based cognitive behavioral intervention and electromyographic biofeedback in patients with acute sciatic pain. An attempt to prevent chronicity. </w:t>
      </w:r>
      <w:r w:rsidRPr="00D61F73">
        <w:rPr>
          <w:rFonts w:ascii="Arial" w:hAnsi="Arial" w:cs="Arial"/>
          <w:b/>
          <w:bCs/>
          <w:i/>
          <w:iCs/>
        </w:rPr>
        <w:t>Spine.</w:t>
      </w:r>
      <w:r w:rsidRPr="00D61F73">
        <w:rPr>
          <w:rFonts w:ascii="Arial" w:hAnsi="Arial" w:cs="Arial"/>
          <w:b/>
          <w:bCs/>
        </w:rPr>
        <w:t xml:space="preserve"> 1999 Dec 1;24(23):2525-35.</w:t>
      </w:r>
    </w:p>
    <w:p w14:paraId="501F6E9C" w14:textId="77777777" w:rsidR="008D0565" w:rsidRPr="00D61F73" w:rsidRDefault="008D0565" w:rsidP="00D61F73">
      <w:pPr>
        <w:rPr>
          <w:rFonts w:ascii="Arial" w:hAnsi="Arial" w:cs="Arial"/>
        </w:rPr>
      </w:pPr>
    </w:p>
    <w:p w14:paraId="60E343C4" w14:textId="77777777" w:rsidR="008D0565" w:rsidRPr="00D61F73" w:rsidRDefault="008D0565" w:rsidP="00D61F73">
      <w:pPr>
        <w:rPr>
          <w:rFonts w:ascii="Arial" w:hAnsi="Arial" w:cs="Arial"/>
        </w:rPr>
      </w:pPr>
      <w:r w:rsidRPr="00D61F73">
        <w:rPr>
          <w:rFonts w:ascii="Arial" w:hAnsi="Arial" w:cs="Arial"/>
        </w:rPr>
        <w:t xml:space="preserve">CONCLUSIONS: Individually scheduled, risk factor-based cognitive behavior therapy could be a beneficial treatment modality, which can be offered, in addition to a medical treatment, to patients with acute sciatica and psychosocial high risk factors for chronicity. </w:t>
      </w:r>
    </w:p>
    <w:p w14:paraId="09ABA207" w14:textId="77777777" w:rsidR="008D0565" w:rsidRPr="00D61F73" w:rsidRDefault="008D0565" w:rsidP="00D61F73">
      <w:pPr>
        <w:rPr>
          <w:rFonts w:ascii="Arial" w:hAnsi="Arial" w:cs="Arial"/>
        </w:rPr>
      </w:pPr>
    </w:p>
    <w:p w14:paraId="1873A8A2" w14:textId="77777777" w:rsidR="008D0565" w:rsidRPr="00D61F73" w:rsidRDefault="008D0565" w:rsidP="00D61F73">
      <w:pPr>
        <w:rPr>
          <w:rFonts w:ascii="Arial" w:hAnsi="Arial" w:cs="Arial"/>
        </w:rPr>
      </w:pPr>
      <w:r w:rsidRPr="00D61F73">
        <w:rPr>
          <w:rFonts w:ascii="Arial" w:hAnsi="Arial" w:cs="Arial"/>
        </w:rPr>
        <w:t xml:space="preserve">PMID: </w:t>
      </w:r>
      <w:hyperlink r:id="rId478" w:history="1">
        <w:r w:rsidRPr="00D61F73">
          <w:rPr>
            <w:rStyle w:val="Hyperlink"/>
            <w:rFonts w:ascii="Arial" w:hAnsi="Arial" w:cs="Arial"/>
          </w:rPr>
          <w:t>10626316</w:t>
        </w:r>
      </w:hyperlink>
      <w:r w:rsidRPr="00D61F73">
        <w:rPr>
          <w:rFonts w:ascii="Arial" w:hAnsi="Arial" w:cs="Arial"/>
        </w:rPr>
        <w:t xml:space="preserve"> </w:t>
      </w:r>
    </w:p>
    <w:p w14:paraId="28190A46" w14:textId="77777777" w:rsidR="008D0565" w:rsidRPr="00D61F73" w:rsidRDefault="008D0565" w:rsidP="00D61F73">
      <w:pPr>
        <w:rPr>
          <w:rFonts w:ascii="Arial" w:hAnsi="Arial" w:cs="Arial"/>
        </w:rPr>
      </w:pPr>
    </w:p>
    <w:p w14:paraId="63ABD47A" w14:textId="77777777" w:rsidR="008D0565" w:rsidRPr="00D61F73" w:rsidRDefault="008D0565" w:rsidP="00D61F73">
      <w:pPr>
        <w:rPr>
          <w:rFonts w:ascii="Arial" w:hAnsi="Arial" w:cs="Arial"/>
        </w:rPr>
      </w:pPr>
      <w:r w:rsidRPr="00D61F73">
        <w:rPr>
          <w:rFonts w:ascii="Arial" w:hAnsi="Arial" w:cs="Arial"/>
        </w:rPr>
        <w:t>Rating: 2c</w:t>
      </w:r>
    </w:p>
    <w:p w14:paraId="52033D3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82" w:name="Hassenbusch"/>
      <w:bookmarkEnd w:id="782"/>
      <w:r w:rsidRPr="00D61F73">
        <w:rPr>
          <w:rFonts w:ascii="Arial" w:hAnsi="Arial" w:cs="Arial"/>
          <w:b/>
          <w:bCs/>
        </w:rPr>
        <w:t xml:space="preserve">assenbusch SJ, Portenoy RK, Cousins M, Buchser E, Deer TR, Du Pen SL, Eisenach J, Follett KA, Hildebrand KR, Krames ES, Levy RM, Palmer PP, Rathmell JP, Rauck RL, Staats PS, Stearns L, Willis KD. Polyanalgesic Consensus Conference 2003: an update on the management of pain by intraspinal drug delivery-- report of an expert panel. </w:t>
      </w:r>
      <w:r w:rsidRPr="00D61F73">
        <w:rPr>
          <w:rFonts w:ascii="Arial" w:hAnsi="Arial" w:cs="Arial"/>
          <w:b/>
          <w:bCs/>
          <w:i/>
          <w:iCs/>
        </w:rPr>
        <w:t>J Pain Symptom Manage</w:t>
      </w:r>
      <w:r w:rsidRPr="00D61F73">
        <w:rPr>
          <w:rFonts w:ascii="Arial" w:hAnsi="Arial" w:cs="Arial"/>
          <w:b/>
          <w:bCs/>
        </w:rPr>
        <w:t xml:space="preserve">. 2004 Jun;27(6):540-63. </w:t>
      </w:r>
    </w:p>
    <w:p w14:paraId="61511CBB" w14:textId="77777777" w:rsidR="008D0565" w:rsidRPr="00D61F73" w:rsidRDefault="008D0565" w:rsidP="00D61F73">
      <w:pPr>
        <w:rPr>
          <w:rFonts w:ascii="Arial" w:hAnsi="Arial" w:cs="Arial"/>
        </w:rPr>
      </w:pPr>
    </w:p>
    <w:p w14:paraId="7FC82E63" w14:textId="77777777" w:rsidR="008D0565" w:rsidRPr="00D61F73" w:rsidRDefault="008D0565" w:rsidP="00D61F73">
      <w:pPr>
        <w:rPr>
          <w:rFonts w:ascii="Arial" w:hAnsi="Arial" w:cs="Arial"/>
        </w:rPr>
      </w:pPr>
      <w:r w:rsidRPr="00D61F73">
        <w:rPr>
          <w:rFonts w:ascii="Arial" w:hAnsi="Arial" w:cs="Arial"/>
        </w:rPr>
        <w:t>Intraspinal drug infusion using fully implantable pump and catheter systems is a safe and effective therapy for selected patients with chronic pain. Rapid changes have occurred in the science and practice of intraspinal infusion and a Polyanalgesic Consensus Conference 2003 was organized.</w:t>
      </w:r>
    </w:p>
    <w:p w14:paraId="3DA880DA" w14:textId="77777777" w:rsidR="008D0565" w:rsidRPr="00D61F73" w:rsidRDefault="008D0565" w:rsidP="00D61F73">
      <w:pPr>
        <w:rPr>
          <w:rFonts w:ascii="Arial" w:hAnsi="Arial" w:cs="Arial"/>
        </w:rPr>
      </w:pPr>
    </w:p>
    <w:p w14:paraId="046412D3" w14:textId="77777777" w:rsidR="008D0565" w:rsidRPr="00D61F73" w:rsidRDefault="008D0565" w:rsidP="00D61F73">
      <w:pPr>
        <w:rPr>
          <w:rFonts w:ascii="Arial" w:hAnsi="Arial" w:cs="Arial"/>
        </w:rPr>
      </w:pPr>
      <w:r w:rsidRPr="00D61F73">
        <w:rPr>
          <w:rFonts w:ascii="Arial" w:hAnsi="Arial" w:cs="Arial"/>
        </w:rPr>
        <w:t xml:space="preserve">PMID: </w:t>
      </w:r>
      <w:hyperlink r:id="rId479" w:history="1">
        <w:r w:rsidRPr="00D61F73">
          <w:rPr>
            <w:rStyle w:val="Hyperlink"/>
            <w:rFonts w:ascii="Arial" w:hAnsi="Arial" w:cs="Arial"/>
          </w:rPr>
          <w:t>15165652</w:t>
        </w:r>
      </w:hyperlink>
    </w:p>
    <w:p w14:paraId="0E32E426" w14:textId="77777777" w:rsidR="008D0565" w:rsidRPr="00D61F73" w:rsidRDefault="008D0565" w:rsidP="00D61F73">
      <w:pPr>
        <w:rPr>
          <w:rFonts w:ascii="Arial" w:hAnsi="Arial" w:cs="Arial"/>
        </w:rPr>
      </w:pPr>
    </w:p>
    <w:p w14:paraId="516741D2" w14:textId="77777777" w:rsidR="008D0565" w:rsidRPr="00D61F73" w:rsidRDefault="008D0565" w:rsidP="00D61F73">
      <w:pPr>
        <w:rPr>
          <w:rFonts w:ascii="Arial" w:hAnsi="Arial" w:cs="Arial"/>
        </w:rPr>
      </w:pPr>
      <w:r w:rsidRPr="00D61F73">
        <w:rPr>
          <w:rFonts w:ascii="Arial" w:hAnsi="Arial" w:cs="Arial"/>
        </w:rPr>
        <w:t>Rating: 5b</w:t>
      </w:r>
    </w:p>
    <w:p w14:paraId="0155021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83" w:name="Hassenbusch2"/>
      <w:bookmarkEnd w:id="783"/>
      <w:r w:rsidRPr="00D61F73">
        <w:rPr>
          <w:rFonts w:ascii="Arial" w:hAnsi="Arial" w:cs="Arial"/>
          <w:b/>
          <w:bCs/>
        </w:rPr>
        <w:t xml:space="preserve">assenbusch, S. Intrathecal Clonidine in the Treatment of Intractable Pain: A Phase I/II Study” </w:t>
      </w:r>
      <w:r w:rsidRPr="00D61F73">
        <w:rPr>
          <w:rFonts w:ascii="Arial" w:hAnsi="Arial" w:cs="Arial"/>
          <w:b/>
          <w:bCs/>
          <w:i/>
          <w:iCs/>
        </w:rPr>
        <w:t>Pain Medicine</w:t>
      </w:r>
      <w:r w:rsidRPr="00D61F73">
        <w:rPr>
          <w:rFonts w:ascii="Arial" w:hAnsi="Arial" w:cs="Arial"/>
          <w:b/>
          <w:bCs/>
        </w:rPr>
        <w:t>. 2002; Volume 3, Number 2: 85-91.</w:t>
      </w:r>
    </w:p>
    <w:p w14:paraId="353DD5F1" w14:textId="77777777" w:rsidR="008D0565" w:rsidRPr="00D61F73" w:rsidRDefault="008D0565" w:rsidP="00D61F73">
      <w:pPr>
        <w:rPr>
          <w:rFonts w:ascii="Arial" w:hAnsi="Arial" w:cs="Arial"/>
        </w:rPr>
      </w:pPr>
    </w:p>
    <w:p w14:paraId="20455120" w14:textId="77777777" w:rsidR="008D0565" w:rsidRPr="00D61F73" w:rsidRDefault="008D0565" w:rsidP="00D61F73">
      <w:pPr>
        <w:rPr>
          <w:rFonts w:ascii="Arial" w:hAnsi="Arial" w:cs="Arial"/>
        </w:rPr>
      </w:pPr>
      <w:r w:rsidRPr="00D61F73">
        <w:rPr>
          <w:rFonts w:ascii="Arial" w:hAnsi="Arial" w:cs="Arial"/>
        </w:rPr>
        <w:t>Rating: 2c</w:t>
      </w:r>
    </w:p>
    <w:p w14:paraId="1E45FE0C" w14:textId="77777777" w:rsidR="008D0565" w:rsidRPr="00D61F73" w:rsidRDefault="008D0565" w:rsidP="00D61F73">
      <w:pPr>
        <w:rPr>
          <w:rFonts w:ascii="Arial" w:hAnsi="Arial" w:cs="Arial"/>
        </w:rPr>
      </w:pPr>
    </w:p>
    <w:p w14:paraId="7E2FE424" w14:textId="77777777" w:rsidR="008D0565" w:rsidRPr="00D61F73" w:rsidRDefault="008D0565" w:rsidP="00D61F73">
      <w:pPr>
        <w:rPr>
          <w:rFonts w:ascii="Arial" w:hAnsi="Arial" w:cs="Arial"/>
        </w:rPr>
      </w:pPr>
      <w:r w:rsidRPr="00D61F73">
        <w:rPr>
          <w:rFonts w:ascii="Arial" w:hAnsi="Arial" w:cs="Arial"/>
        </w:rPr>
        <w:t xml:space="preserve">Quality: Low. Total Rating: 2.0. Comment: Does not meet inclusion criteria for evidence-based review. </w:t>
      </w:r>
    </w:p>
    <w:p w14:paraId="0E50301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84" w:name="Hasson"/>
      <w:bookmarkEnd w:id="784"/>
      <w:r w:rsidRPr="00D61F73">
        <w:rPr>
          <w:rFonts w:ascii="Arial" w:hAnsi="Arial" w:cs="Arial"/>
          <w:b/>
          <w:bCs/>
        </w:rPr>
        <w:t xml:space="preserve">asson D, Arnetz B, Jelveus L, Edelstam B. A randomized clinical trial of the treatment effects of massage compared to relaxation tape recordings on diffuse long-term pain. </w:t>
      </w:r>
      <w:r w:rsidRPr="00D61F73">
        <w:rPr>
          <w:rFonts w:ascii="Arial" w:hAnsi="Arial" w:cs="Arial"/>
          <w:b/>
          <w:bCs/>
          <w:i/>
          <w:iCs/>
        </w:rPr>
        <w:t>Psychother Psychosom</w:t>
      </w:r>
      <w:r w:rsidRPr="00D61F73">
        <w:rPr>
          <w:rFonts w:ascii="Arial" w:hAnsi="Arial" w:cs="Arial"/>
          <w:b/>
          <w:bCs/>
        </w:rPr>
        <w:t>. 2004 Jan-Feb;73(1):17-24.</w:t>
      </w:r>
    </w:p>
    <w:p w14:paraId="355230C9" w14:textId="77777777" w:rsidR="008D0565" w:rsidRPr="00D61F73" w:rsidRDefault="008D0565" w:rsidP="00D61F73">
      <w:pPr>
        <w:rPr>
          <w:rFonts w:ascii="Arial" w:hAnsi="Arial" w:cs="Arial"/>
        </w:rPr>
      </w:pPr>
    </w:p>
    <w:p w14:paraId="2D26529B" w14:textId="77777777" w:rsidR="008D0565" w:rsidRPr="00D61F73" w:rsidRDefault="008D0565" w:rsidP="00D61F73">
      <w:pPr>
        <w:rPr>
          <w:rFonts w:ascii="Arial" w:hAnsi="Arial" w:cs="Arial"/>
        </w:rPr>
      </w:pPr>
      <w:r w:rsidRPr="00D61F73">
        <w:rPr>
          <w:rFonts w:ascii="Arial" w:hAnsi="Arial" w:cs="Arial"/>
        </w:rPr>
        <w:t xml:space="preserve">CONCLUSION: Massage, but not mental relaxation, is beneficial in attenuating diffuse musculoskeletal symptoms. Beneficial effects were registered only during treatment. This lack of long-term benefits could be due to the short treatment period or treatments such as these do not address the underlying causes of pain. </w:t>
      </w:r>
    </w:p>
    <w:p w14:paraId="323BD801" w14:textId="77777777" w:rsidR="008D0565" w:rsidRPr="00D61F73" w:rsidRDefault="008D0565" w:rsidP="00D61F73">
      <w:pPr>
        <w:rPr>
          <w:rFonts w:ascii="Arial" w:hAnsi="Arial" w:cs="Arial"/>
        </w:rPr>
      </w:pPr>
    </w:p>
    <w:p w14:paraId="3CDA7415" w14:textId="77777777" w:rsidR="008D0565" w:rsidRPr="00D61F73" w:rsidRDefault="008D0565" w:rsidP="00D61F73">
      <w:pPr>
        <w:rPr>
          <w:rStyle w:val="Hyperlink"/>
          <w:rFonts w:ascii="Arial" w:hAnsi="Arial" w:cs="Arial"/>
        </w:rPr>
      </w:pPr>
      <w:r w:rsidRPr="00D61F73">
        <w:rPr>
          <w:rFonts w:ascii="Arial" w:hAnsi="Arial" w:cs="Arial"/>
        </w:rPr>
        <w:t xml:space="preserve">PMID: </w:t>
      </w:r>
      <w:hyperlink r:id="rId480" w:history="1">
        <w:r w:rsidRPr="00D61F73">
          <w:rPr>
            <w:rStyle w:val="Hyperlink"/>
            <w:rFonts w:ascii="Arial" w:hAnsi="Arial" w:cs="Arial"/>
          </w:rPr>
          <w:t>14665792</w:t>
        </w:r>
      </w:hyperlink>
    </w:p>
    <w:p w14:paraId="23A41BAD" w14:textId="77777777" w:rsidR="00E2156F" w:rsidRPr="00D61F73" w:rsidRDefault="00E2156F" w:rsidP="00D61F73">
      <w:pPr>
        <w:rPr>
          <w:rFonts w:ascii="Arial" w:hAnsi="Arial" w:cs="Arial"/>
        </w:rPr>
      </w:pPr>
    </w:p>
    <w:p w14:paraId="69C691B7" w14:textId="77777777" w:rsidR="008D0565" w:rsidRPr="00D61F73" w:rsidRDefault="008D0565" w:rsidP="00D61F73">
      <w:pPr>
        <w:rPr>
          <w:rFonts w:ascii="Arial" w:hAnsi="Arial" w:cs="Arial"/>
        </w:rPr>
      </w:pPr>
      <w:r w:rsidRPr="00D61F73">
        <w:rPr>
          <w:rFonts w:ascii="Arial" w:hAnsi="Arial" w:cs="Arial"/>
        </w:rPr>
        <w:t>Rating: 2b</w:t>
      </w:r>
    </w:p>
    <w:p w14:paraId="01D0F97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85" w:name="Hauser2013"/>
      <w:bookmarkEnd w:id="785"/>
      <w:r w:rsidRPr="00D61F73">
        <w:rPr>
          <w:rFonts w:ascii="Arial" w:hAnsi="Arial" w:cs="Arial"/>
          <w:b/>
          <w:bCs/>
        </w:rPr>
        <w:t xml:space="preserve">äuser W, Urrútia G, Tort S, Uçeyler N, Walitt B. Serotonin and noradrenaline reuptake inhibitors (SNRIs) for fibromyalgia syndrome. </w:t>
      </w:r>
      <w:r w:rsidRPr="00D61F73">
        <w:rPr>
          <w:rFonts w:ascii="Arial" w:hAnsi="Arial" w:cs="Arial"/>
          <w:b/>
          <w:bCs/>
          <w:i/>
          <w:iCs/>
        </w:rPr>
        <w:t>Cochrane Database Syst Rev</w:t>
      </w:r>
      <w:r w:rsidRPr="00D61F73">
        <w:rPr>
          <w:rFonts w:ascii="Arial" w:hAnsi="Arial" w:cs="Arial"/>
          <w:b/>
          <w:bCs/>
        </w:rPr>
        <w:t>. 2013 Jan 31;1:CD010292. doi: 10.1002/14651858.CD010292.</w:t>
      </w:r>
    </w:p>
    <w:p w14:paraId="48FF17DB" w14:textId="77777777" w:rsidR="008D0565" w:rsidRPr="00D61F73" w:rsidRDefault="008D0565" w:rsidP="00D61F73">
      <w:pPr>
        <w:rPr>
          <w:rFonts w:ascii="Arial" w:hAnsi="Arial" w:cs="Arial"/>
        </w:rPr>
      </w:pPr>
    </w:p>
    <w:p w14:paraId="7D430D4A" w14:textId="77777777" w:rsidR="008D0565" w:rsidRPr="00D61F73" w:rsidRDefault="008D0565" w:rsidP="00D61F73">
      <w:pPr>
        <w:rPr>
          <w:rFonts w:ascii="Arial" w:hAnsi="Arial" w:cs="Arial"/>
        </w:rPr>
      </w:pPr>
      <w:r w:rsidRPr="00D61F73">
        <w:rPr>
          <w:rFonts w:ascii="Arial" w:hAnsi="Arial" w:cs="Arial"/>
        </w:rPr>
        <w:t>The SNRIs duloxetine and milnacipran provided a small incremental benefit over placebo in reducing pain.</w:t>
      </w:r>
    </w:p>
    <w:p w14:paraId="1061D3D6" w14:textId="77777777" w:rsidR="008D0565" w:rsidRPr="00D61F73" w:rsidRDefault="008D0565" w:rsidP="00D61F73">
      <w:pPr>
        <w:pStyle w:val="Footer"/>
        <w:tabs>
          <w:tab w:val="clear" w:pos="4320"/>
          <w:tab w:val="clear" w:pos="8640"/>
        </w:tabs>
        <w:rPr>
          <w:rFonts w:ascii="Arial" w:hAnsi="Arial" w:cs="Arial"/>
        </w:rPr>
      </w:pPr>
    </w:p>
    <w:p w14:paraId="14086747" w14:textId="77777777" w:rsidR="008D0565" w:rsidRPr="00D61F73" w:rsidRDefault="008D0565" w:rsidP="00D61F73">
      <w:pPr>
        <w:rPr>
          <w:rFonts w:ascii="Arial" w:hAnsi="Arial" w:cs="Arial"/>
        </w:rPr>
      </w:pPr>
      <w:r w:rsidRPr="00D61F73">
        <w:rPr>
          <w:rFonts w:ascii="Arial" w:hAnsi="Arial" w:cs="Arial"/>
        </w:rPr>
        <w:t xml:space="preserve">PMID: </w:t>
      </w:r>
      <w:hyperlink r:id="rId481" w:history="1">
        <w:r w:rsidRPr="00D61F73">
          <w:rPr>
            <w:rStyle w:val="Hyperlink"/>
            <w:rFonts w:ascii="Arial" w:hAnsi="Arial" w:cs="Arial"/>
          </w:rPr>
          <w:t>23440848</w:t>
        </w:r>
      </w:hyperlink>
    </w:p>
    <w:p w14:paraId="216EBA8E" w14:textId="77777777" w:rsidR="008D0565" w:rsidRPr="00D61F73" w:rsidRDefault="008D0565" w:rsidP="00D61F73">
      <w:pPr>
        <w:rPr>
          <w:rFonts w:ascii="Arial" w:hAnsi="Arial" w:cs="Arial"/>
        </w:rPr>
      </w:pPr>
    </w:p>
    <w:p w14:paraId="2FF7900F" w14:textId="77777777" w:rsidR="008D0565" w:rsidRPr="00D61F73" w:rsidRDefault="008D0565" w:rsidP="00D61F73">
      <w:pPr>
        <w:rPr>
          <w:rFonts w:ascii="Arial" w:hAnsi="Arial" w:cs="Arial"/>
        </w:rPr>
      </w:pPr>
      <w:r w:rsidRPr="00D61F73">
        <w:rPr>
          <w:rFonts w:ascii="Arial" w:hAnsi="Arial" w:cs="Arial"/>
        </w:rPr>
        <w:t>Rating: 1b</w:t>
      </w:r>
    </w:p>
    <w:p w14:paraId="475E6B50"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H</w:t>
      </w:r>
      <w:bookmarkStart w:id="786" w:name="Hawley2011"/>
      <w:bookmarkEnd w:id="786"/>
      <w:r w:rsidRPr="00D61F73">
        <w:rPr>
          <w:rFonts w:ascii="Arial" w:hAnsi="Arial" w:cs="Arial"/>
          <w:b/>
        </w:rPr>
        <w:t xml:space="preserve">awley JS, Weiner WJ. Psychogenic dystonia and peripheral trauma. </w:t>
      </w:r>
      <w:r w:rsidRPr="00D61F73">
        <w:rPr>
          <w:rFonts w:ascii="Arial" w:hAnsi="Arial" w:cs="Arial"/>
          <w:b/>
          <w:i/>
        </w:rPr>
        <w:t>Neurology</w:t>
      </w:r>
      <w:r w:rsidRPr="00D61F73">
        <w:rPr>
          <w:rFonts w:ascii="Arial" w:hAnsi="Arial" w:cs="Arial"/>
          <w:b/>
        </w:rPr>
        <w:t>. 2011;77:496-502.</w:t>
      </w:r>
    </w:p>
    <w:p w14:paraId="0C47AA11" w14:textId="77777777" w:rsidR="008D0565" w:rsidRPr="00D61F73" w:rsidRDefault="008D0565" w:rsidP="00D61F73">
      <w:pPr>
        <w:rPr>
          <w:rFonts w:ascii="Arial" w:hAnsi="Arial" w:cs="Arial"/>
        </w:rPr>
      </w:pPr>
    </w:p>
    <w:p w14:paraId="34540506" w14:textId="77777777" w:rsidR="008D0565" w:rsidRPr="00D61F73" w:rsidRDefault="008D0565" w:rsidP="00D61F73">
      <w:pPr>
        <w:rPr>
          <w:rFonts w:ascii="Arial" w:hAnsi="Arial" w:cs="Arial"/>
        </w:rPr>
      </w:pPr>
      <w:r w:rsidRPr="00D61F73">
        <w:rPr>
          <w:rFonts w:ascii="Arial" w:hAnsi="Arial" w:cs="Arial"/>
        </w:rPr>
        <w:t xml:space="preserve">PMID: </w:t>
      </w:r>
      <w:hyperlink r:id="rId482" w:history="1">
        <w:r w:rsidRPr="00D61F73">
          <w:rPr>
            <w:rStyle w:val="Hyperlink"/>
            <w:rFonts w:ascii="Arial" w:hAnsi="Arial" w:cs="Arial"/>
          </w:rPr>
          <w:t>21810699</w:t>
        </w:r>
      </w:hyperlink>
    </w:p>
    <w:p w14:paraId="16518F86" w14:textId="77777777" w:rsidR="008D0565" w:rsidRPr="00D61F73" w:rsidRDefault="008D0565" w:rsidP="00D61F73">
      <w:pPr>
        <w:rPr>
          <w:rFonts w:ascii="Arial" w:hAnsi="Arial" w:cs="Arial"/>
        </w:rPr>
      </w:pPr>
    </w:p>
    <w:p w14:paraId="51FBC113" w14:textId="77777777" w:rsidR="008D0565" w:rsidRPr="00D61F73" w:rsidRDefault="008D0565" w:rsidP="00D61F73">
      <w:pPr>
        <w:rPr>
          <w:rFonts w:ascii="Arial" w:hAnsi="Arial" w:cs="Arial"/>
        </w:rPr>
      </w:pPr>
      <w:r w:rsidRPr="00D61F73">
        <w:rPr>
          <w:rFonts w:ascii="Arial" w:hAnsi="Arial" w:cs="Arial"/>
        </w:rPr>
        <w:t>Rating: 5b</w:t>
      </w:r>
    </w:p>
    <w:p w14:paraId="422AD4F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87" w:name="Heacock"/>
      <w:bookmarkEnd w:id="787"/>
      <w:r w:rsidRPr="00D61F73">
        <w:rPr>
          <w:rFonts w:ascii="Arial" w:hAnsi="Arial" w:cs="Arial"/>
          <w:b/>
          <w:bCs/>
        </w:rPr>
        <w:t xml:space="preserve">eacock C, Bauer MS. Tolerance and dependence risk with the use of carisoprodol. Am Fam Physician. 2004 Apr 1;69(7):1622-3. </w:t>
      </w:r>
    </w:p>
    <w:p w14:paraId="0039B4A6" w14:textId="77777777" w:rsidR="008D0565" w:rsidRPr="00D61F73" w:rsidRDefault="008D0565" w:rsidP="00D61F73">
      <w:pPr>
        <w:rPr>
          <w:rFonts w:ascii="Arial" w:hAnsi="Arial" w:cs="Arial"/>
        </w:rPr>
      </w:pPr>
    </w:p>
    <w:p w14:paraId="40D3E366" w14:textId="77777777" w:rsidR="008D0565" w:rsidRPr="00D61F73" w:rsidRDefault="008D0565" w:rsidP="00D61F73">
      <w:pPr>
        <w:rPr>
          <w:rFonts w:ascii="Arial" w:hAnsi="Arial" w:cs="Arial"/>
        </w:rPr>
      </w:pPr>
      <w:r w:rsidRPr="00D61F73">
        <w:rPr>
          <w:rFonts w:ascii="Arial" w:hAnsi="Arial" w:cs="Arial"/>
        </w:rPr>
        <w:t xml:space="preserve">PMID: </w:t>
      </w:r>
      <w:hyperlink r:id="rId483" w:history="1">
        <w:r w:rsidRPr="00D61F73">
          <w:rPr>
            <w:rStyle w:val="Hyperlink"/>
            <w:rFonts w:ascii="Arial" w:hAnsi="Arial" w:cs="Arial"/>
          </w:rPr>
          <w:t>15086035</w:t>
        </w:r>
      </w:hyperlink>
      <w:r w:rsidRPr="00D61F73">
        <w:rPr>
          <w:rFonts w:ascii="Arial" w:hAnsi="Arial" w:cs="Arial"/>
        </w:rPr>
        <w:t xml:space="preserve"> </w:t>
      </w:r>
    </w:p>
    <w:p w14:paraId="1BC7A882" w14:textId="77777777" w:rsidR="008D0565" w:rsidRPr="00D61F73" w:rsidRDefault="008D0565" w:rsidP="00D61F73">
      <w:pPr>
        <w:rPr>
          <w:rFonts w:ascii="Arial" w:hAnsi="Arial" w:cs="Arial"/>
        </w:rPr>
      </w:pPr>
    </w:p>
    <w:p w14:paraId="55984D08" w14:textId="77777777" w:rsidR="008D0565" w:rsidRPr="00D61F73" w:rsidRDefault="008D0565" w:rsidP="00D61F73">
      <w:pPr>
        <w:rPr>
          <w:rFonts w:ascii="Arial" w:hAnsi="Arial" w:cs="Arial"/>
        </w:rPr>
      </w:pPr>
      <w:r w:rsidRPr="00D61F73">
        <w:rPr>
          <w:rFonts w:ascii="Arial" w:hAnsi="Arial" w:cs="Arial"/>
        </w:rPr>
        <w:t>Rating: 11b</w:t>
      </w:r>
    </w:p>
    <w:p w14:paraId="4ED00286"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H</w:t>
      </w:r>
      <w:bookmarkStart w:id="788" w:name="Hedges"/>
      <w:bookmarkEnd w:id="788"/>
      <w:r w:rsidRPr="00D61F73">
        <w:rPr>
          <w:rFonts w:ascii="Arial" w:hAnsi="Arial" w:cs="Arial"/>
          <w:b/>
        </w:rPr>
        <w:t xml:space="preserve">edges DW, Brown BL, Shwalb DA, Godfrey K, Larcher AM. The efficacy of selective serotonin reuptake inhibitors in adult social anxiety disorder: a meta-analysis of double-blind, placebo-controlled trials. </w:t>
      </w:r>
      <w:r w:rsidRPr="00D61F73">
        <w:rPr>
          <w:rFonts w:ascii="Arial" w:hAnsi="Arial" w:cs="Arial"/>
          <w:b/>
          <w:i/>
        </w:rPr>
        <w:t>J Psychopharmacol</w:t>
      </w:r>
      <w:r w:rsidRPr="00D61F73">
        <w:rPr>
          <w:rFonts w:ascii="Arial" w:hAnsi="Arial" w:cs="Arial"/>
          <w:b/>
        </w:rPr>
        <w:t>. 2007; 21:102-11</w:t>
      </w:r>
      <w:r w:rsidRPr="00D61F73">
        <w:rPr>
          <w:rFonts w:ascii="Arial" w:hAnsi="Arial" w:cs="Arial"/>
        </w:rPr>
        <w:t>.</w:t>
      </w:r>
    </w:p>
    <w:p w14:paraId="1CFDA79F" w14:textId="77777777" w:rsidR="008D0565" w:rsidRPr="00D61F73" w:rsidRDefault="008D0565" w:rsidP="00D61F73">
      <w:pPr>
        <w:rPr>
          <w:rFonts w:ascii="Arial" w:hAnsi="Arial" w:cs="Arial"/>
        </w:rPr>
      </w:pPr>
    </w:p>
    <w:p w14:paraId="4A14498A" w14:textId="77777777" w:rsidR="008D0565" w:rsidRPr="00D61F73" w:rsidRDefault="008D0565" w:rsidP="00D61F73">
      <w:pPr>
        <w:rPr>
          <w:rFonts w:ascii="Arial" w:hAnsi="Arial" w:cs="Arial"/>
        </w:rPr>
      </w:pPr>
      <w:r w:rsidRPr="00D61F73">
        <w:rPr>
          <w:rFonts w:ascii="Arial" w:hAnsi="Arial" w:cs="Arial"/>
        </w:rPr>
        <w:t>Consistent with previous studies, selective serotonin reuptake inhibitors appear more effective than placebo for social anxiety disorder, with improvement extending into social and occupational function.</w:t>
      </w:r>
    </w:p>
    <w:p w14:paraId="0756179E" w14:textId="77777777" w:rsidR="008D0565" w:rsidRPr="00D61F73" w:rsidRDefault="008D0565" w:rsidP="00D61F73">
      <w:pPr>
        <w:rPr>
          <w:rFonts w:ascii="Arial" w:hAnsi="Arial" w:cs="Arial"/>
        </w:rPr>
      </w:pPr>
    </w:p>
    <w:p w14:paraId="0CD4ABC5" w14:textId="77777777" w:rsidR="008D0565" w:rsidRPr="00D61F73" w:rsidRDefault="008D0565" w:rsidP="00D61F73">
      <w:pPr>
        <w:rPr>
          <w:rFonts w:ascii="Arial" w:hAnsi="Arial" w:cs="Arial"/>
        </w:rPr>
      </w:pPr>
      <w:r w:rsidRPr="00D61F73">
        <w:rPr>
          <w:rFonts w:ascii="Arial" w:hAnsi="Arial" w:cs="Arial"/>
        </w:rPr>
        <w:t xml:space="preserve">PMID: </w:t>
      </w:r>
      <w:hyperlink r:id="rId484" w:history="1">
        <w:r w:rsidRPr="00D61F73">
          <w:rPr>
            <w:rStyle w:val="Hyperlink"/>
            <w:rFonts w:ascii="Arial" w:hAnsi="Arial" w:cs="Arial"/>
          </w:rPr>
          <w:t>16714326</w:t>
        </w:r>
      </w:hyperlink>
      <w:r w:rsidRPr="00D61F73">
        <w:rPr>
          <w:rFonts w:ascii="Arial" w:hAnsi="Arial" w:cs="Arial"/>
        </w:rPr>
        <w:t xml:space="preserve"> </w:t>
      </w:r>
    </w:p>
    <w:p w14:paraId="55CE4DDA" w14:textId="77777777" w:rsidR="008D0565" w:rsidRPr="00D61F73" w:rsidRDefault="008D0565" w:rsidP="00D61F73">
      <w:pPr>
        <w:rPr>
          <w:rFonts w:ascii="Arial" w:hAnsi="Arial" w:cs="Arial"/>
        </w:rPr>
      </w:pPr>
    </w:p>
    <w:p w14:paraId="668D8141" w14:textId="77777777" w:rsidR="008D0565" w:rsidRPr="00D61F73" w:rsidRDefault="008D0565" w:rsidP="00D61F73">
      <w:pPr>
        <w:rPr>
          <w:rFonts w:ascii="Arial" w:hAnsi="Arial" w:cs="Arial"/>
        </w:rPr>
      </w:pPr>
      <w:r w:rsidRPr="00D61F73">
        <w:rPr>
          <w:rFonts w:ascii="Arial" w:hAnsi="Arial" w:cs="Arial"/>
        </w:rPr>
        <w:t>Rating: 1b</w:t>
      </w:r>
    </w:p>
    <w:p w14:paraId="5DA48B6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H</w:t>
      </w:r>
      <w:bookmarkStart w:id="789" w:name="Helin"/>
      <w:bookmarkEnd w:id="789"/>
      <w:r w:rsidRPr="00D61F73">
        <w:rPr>
          <w:rFonts w:ascii="Arial" w:hAnsi="Arial" w:cs="Arial"/>
          <w:b/>
        </w:rPr>
        <w:t>elin-Salmivaara A, Huttunen T, Gronroos JM, Klaukka T, Huupponen R. Risk of serious upper gastrointestinal events with concurrent use of NSAIDs and SSRIs: a case-control study in the general population</w:t>
      </w:r>
      <w:r w:rsidRPr="00D61F73">
        <w:rPr>
          <w:rFonts w:ascii="Arial" w:hAnsi="Arial" w:cs="Arial"/>
          <w:b/>
          <w:i/>
        </w:rPr>
        <w:t>. Eur J Clin Pharmacol</w:t>
      </w:r>
      <w:r w:rsidRPr="00D61F73">
        <w:rPr>
          <w:rFonts w:ascii="Arial" w:hAnsi="Arial" w:cs="Arial"/>
          <w:b/>
        </w:rPr>
        <w:t xml:space="preserve">. 2007;63:403-8. </w:t>
      </w:r>
    </w:p>
    <w:p w14:paraId="0C83F03E" w14:textId="77777777" w:rsidR="008D0565" w:rsidRPr="00D61F73" w:rsidRDefault="008D0565" w:rsidP="00D61F73">
      <w:pPr>
        <w:rPr>
          <w:rFonts w:ascii="Arial" w:hAnsi="Arial" w:cs="Arial"/>
        </w:rPr>
      </w:pPr>
    </w:p>
    <w:p w14:paraId="3CA4327F" w14:textId="77777777" w:rsidR="008D0565" w:rsidRPr="00D61F73" w:rsidRDefault="008D0565" w:rsidP="00D61F73">
      <w:pPr>
        <w:rPr>
          <w:rFonts w:ascii="Arial" w:hAnsi="Arial" w:cs="Arial"/>
        </w:rPr>
      </w:pPr>
      <w:r w:rsidRPr="00D61F73">
        <w:rPr>
          <w:rFonts w:ascii="Arial" w:hAnsi="Arial" w:cs="Arial"/>
        </w:rPr>
        <w:t xml:space="preserve">The respective AOR for traditional, non-selective NSAIDs was 1.77 (95%CI: 1.31-2.38), for semi-selective NSAIDs (nimesulide, nabumetone, meloxicam, and etodolac) 1.30 (95%CI: 0.76-2.24) and for COX-2 selective NSAIDs 1.33 (95%CI: 0.70-2.50). </w:t>
      </w:r>
    </w:p>
    <w:p w14:paraId="0231FFEB" w14:textId="77777777" w:rsidR="008D0565" w:rsidRPr="00D61F73" w:rsidRDefault="008D0565" w:rsidP="00D61F73">
      <w:pPr>
        <w:rPr>
          <w:rFonts w:ascii="Arial" w:hAnsi="Arial" w:cs="Arial"/>
        </w:rPr>
      </w:pPr>
    </w:p>
    <w:p w14:paraId="53337C50" w14:textId="77777777" w:rsidR="008D0565" w:rsidRPr="00D61F73" w:rsidRDefault="008D0565" w:rsidP="00D61F73">
      <w:pPr>
        <w:rPr>
          <w:rFonts w:ascii="Arial" w:hAnsi="Arial" w:cs="Arial"/>
        </w:rPr>
      </w:pPr>
      <w:r w:rsidRPr="00D61F73">
        <w:rPr>
          <w:rFonts w:ascii="Arial" w:hAnsi="Arial" w:cs="Arial"/>
        </w:rPr>
        <w:t xml:space="preserve">PMID: </w:t>
      </w:r>
      <w:hyperlink r:id="rId485" w:history="1">
        <w:r w:rsidRPr="00D61F73">
          <w:rPr>
            <w:rStyle w:val="Hyperlink"/>
            <w:rFonts w:ascii="Arial" w:hAnsi="Arial" w:cs="Arial"/>
          </w:rPr>
          <w:t>17347805</w:t>
        </w:r>
      </w:hyperlink>
    </w:p>
    <w:p w14:paraId="7934EDC4" w14:textId="77777777" w:rsidR="008D0565" w:rsidRPr="00D61F73" w:rsidRDefault="008D0565" w:rsidP="00D61F73">
      <w:pPr>
        <w:rPr>
          <w:rFonts w:ascii="Arial" w:hAnsi="Arial" w:cs="Arial"/>
        </w:rPr>
      </w:pPr>
    </w:p>
    <w:p w14:paraId="7E926DD6" w14:textId="77777777" w:rsidR="008D0565" w:rsidRPr="00D61F73" w:rsidRDefault="008D0565" w:rsidP="00D61F73">
      <w:pPr>
        <w:rPr>
          <w:rFonts w:ascii="Arial" w:hAnsi="Arial" w:cs="Arial"/>
        </w:rPr>
      </w:pPr>
      <w:r w:rsidRPr="00D61F73">
        <w:rPr>
          <w:rFonts w:ascii="Arial" w:hAnsi="Arial" w:cs="Arial"/>
        </w:rPr>
        <w:t>Rating; 3a</w:t>
      </w:r>
    </w:p>
    <w:p w14:paraId="528CB1D6" w14:textId="77777777" w:rsidR="00F95399" w:rsidRPr="00D61F73" w:rsidRDefault="00F95399" w:rsidP="00402D57">
      <w:pPr>
        <w:pStyle w:val="Normal1"/>
        <w:framePr w:wrap="around"/>
      </w:pPr>
      <w:r w:rsidRPr="00D61F73">
        <w:br w:type="page"/>
      </w:r>
      <w:bookmarkStart w:id="790" w:name="Herschorn2011"/>
      <w:bookmarkEnd w:id="790"/>
      <w:r w:rsidRPr="00D61F73">
        <w:t>Herschorn S, Gajewski J, Ethans K, Corcos J, Carlson K, Bailly G, Bard R, Valiquette L, Baverstock R, Carr L, Radomski S. Efficacy of botulinum toxin A injection for neurogenic detrusor overactivity and urinary incontinence: a randomized, double-blind trial. </w:t>
      </w:r>
      <w:r w:rsidRPr="00D61F73">
        <w:rPr>
          <w:i/>
          <w:iCs/>
        </w:rPr>
        <w:t>J Urol.</w:t>
      </w:r>
      <w:r w:rsidRPr="00D61F73">
        <w:t> 2011 Jun;185(6):2229-35.</w:t>
      </w:r>
    </w:p>
    <w:p w14:paraId="7A8F4BC2" w14:textId="77777777" w:rsidR="00F95399" w:rsidRPr="00D61F73" w:rsidRDefault="00F95399" w:rsidP="00D61F73">
      <w:pPr>
        <w:rPr>
          <w:rFonts w:ascii="Arial" w:eastAsia="Calibri" w:hAnsi="Arial" w:cs="Arial"/>
        </w:rPr>
      </w:pPr>
      <w:r w:rsidRPr="00D61F73">
        <w:rPr>
          <w:rFonts w:ascii="Arial" w:eastAsia="Calibri" w:hAnsi="Arial" w:cs="Arial"/>
        </w:rPr>
        <w:t> </w:t>
      </w:r>
    </w:p>
    <w:p w14:paraId="665A5CB1" w14:textId="77777777" w:rsidR="00F95399" w:rsidRPr="00D61F73" w:rsidRDefault="00F95399" w:rsidP="00D61F73">
      <w:pPr>
        <w:rPr>
          <w:rFonts w:ascii="Arial" w:eastAsia="Calibri" w:hAnsi="Arial" w:cs="Arial"/>
        </w:rPr>
      </w:pPr>
      <w:r w:rsidRPr="00D61F73">
        <w:rPr>
          <w:rFonts w:ascii="Arial" w:eastAsia="Calibri" w:hAnsi="Arial" w:cs="Arial"/>
        </w:rPr>
        <w:t>In adults with antimuscarinic refractory neurogenic detrusor overactivity and multiple sclerosis onabotulinumtoxinA is well tolerated and provides clinically beneficial improvement for up to 9 months.</w:t>
      </w:r>
    </w:p>
    <w:p w14:paraId="33A2DF06" w14:textId="77777777" w:rsidR="00F95399" w:rsidRPr="00D61F73" w:rsidRDefault="00F95399" w:rsidP="00D61F73">
      <w:pPr>
        <w:rPr>
          <w:rFonts w:ascii="Arial" w:eastAsia="Calibri" w:hAnsi="Arial" w:cs="Arial"/>
        </w:rPr>
      </w:pPr>
      <w:r w:rsidRPr="00D61F73">
        <w:rPr>
          <w:rFonts w:ascii="Arial" w:eastAsia="Calibri" w:hAnsi="Arial" w:cs="Arial"/>
        </w:rPr>
        <w:t> </w:t>
      </w:r>
    </w:p>
    <w:p w14:paraId="0A52B22A" w14:textId="77777777" w:rsidR="00F95399" w:rsidRPr="00D61F73" w:rsidRDefault="00F95399" w:rsidP="00D61F73">
      <w:pPr>
        <w:rPr>
          <w:rFonts w:ascii="Arial" w:eastAsia="Calibri" w:hAnsi="Arial" w:cs="Arial"/>
        </w:rPr>
      </w:pPr>
      <w:r w:rsidRPr="00D61F73">
        <w:rPr>
          <w:rFonts w:ascii="Arial" w:eastAsia="Calibri" w:hAnsi="Arial" w:cs="Arial"/>
        </w:rPr>
        <w:t>PMID: </w:t>
      </w:r>
      <w:hyperlink r:id="rId486" w:history="1">
        <w:r w:rsidRPr="00D61F73">
          <w:rPr>
            <w:rStyle w:val="Hyperlink"/>
            <w:rFonts w:ascii="Arial" w:hAnsi="Arial" w:cs="Arial"/>
          </w:rPr>
          <w:t>21497851</w:t>
        </w:r>
      </w:hyperlink>
    </w:p>
    <w:p w14:paraId="2189A597" w14:textId="77777777" w:rsidR="00F95399" w:rsidRPr="00D61F73" w:rsidRDefault="00F95399" w:rsidP="00D61F73">
      <w:pPr>
        <w:rPr>
          <w:rFonts w:ascii="Arial" w:eastAsia="Calibri" w:hAnsi="Arial" w:cs="Arial"/>
        </w:rPr>
      </w:pPr>
      <w:r w:rsidRPr="00D61F73">
        <w:rPr>
          <w:rFonts w:ascii="Arial" w:eastAsia="Calibri" w:hAnsi="Arial" w:cs="Arial"/>
        </w:rPr>
        <w:t> </w:t>
      </w:r>
    </w:p>
    <w:p w14:paraId="38A24B67" w14:textId="77777777" w:rsidR="00F95399" w:rsidRPr="00D61F73" w:rsidRDefault="00F95399" w:rsidP="00D61F73">
      <w:pPr>
        <w:rPr>
          <w:rFonts w:ascii="Arial" w:eastAsia="Calibri" w:hAnsi="Arial" w:cs="Arial"/>
        </w:rPr>
      </w:pPr>
      <w:r w:rsidRPr="00D61F73">
        <w:rPr>
          <w:rFonts w:ascii="Arial" w:eastAsia="Calibri" w:hAnsi="Arial" w:cs="Arial"/>
        </w:rPr>
        <w:t>Rating: 2b</w:t>
      </w:r>
    </w:p>
    <w:p w14:paraId="45337513" w14:textId="77777777" w:rsidR="008D0565" w:rsidRPr="00D61F73" w:rsidRDefault="008D0565" w:rsidP="00402D57">
      <w:pPr>
        <w:pStyle w:val="Normal1"/>
        <w:framePr w:wrap="around"/>
      </w:pPr>
      <w:r w:rsidRPr="00D61F73">
        <w:br w:type="page"/>
        <w:t>H</w:t>
      </w:r>
      <w:bookmarkStart w:id="791" w:name="Hindsén"/>
      <w:bookmarkEnd w:id="791"/>
      <w:r w:rsidRPr="00D61F73">
        <w:t xml:space="preserve">indsén M, Zimerson E, Bruze M. Photoallergic contact dermatitis from ketoprofen in southern Sweden. </w:t>
      </w:r>
      <w:r w:rsidRPr="00D61F73">
        <w:rPr>
          <w:i/>
        </w:rPr>
        <w:t>Contact Dermatitis</w:t>
      </w:r>
      <w:r w:rsidRPr="00D61F73">
        <w:t>. 2006;54:150-7.</w:t>
      </w:r>
    </w:p>
    <w:p w14:paraId="621F3EC1" w14:textId="77777777" w:rsidR="008D0565" w:rsidRPr="00D61F73" w:rsidRDefault="008D0565" w:rsidP="00D61F73">
      <w:pPr>
        <w:rPr>
          <w:rFonts w:ascii="Arial" w:hAnsi="Arial" w:cs="Arial"/>
          <w:b/>
        </w:rPr>
      </w:pPr>
    </w:p>
    <w:p w14:paraId="63B75EAF" w14:textId="77777777" w:rsidR="008D0565" w:rsidRPr="00D61F73" w:rsidRDefault="008D0565" w:rsidP="00D61F73">
      <w:pPr>
        <w:rPr>
          <w:rFonts w:ascii="Arial" w:hAnsi="Arial" w:cs="Arial"/>
        </w:rPr>
      </w:pPr>
      <w:r w:rsidRPr="00D61F73">
        <w:rPr>
          <w:rFonts w:ascii="Arial" w:hAnsi="Arial" w:cs="Arial"/>
        </w:rPr>
        <w:t xml:space="preserve">Photoallergic contact dermatitis from ketoprofen-containing topical preparations usually includes severe eczematous reactions. </w:t>
      </w:r>
    </w:p>
    <w:p w14:paraId="0CB840FC" w14:textId="77777777" w:rsidR="008D0565" w:rsidRPr="00D61F73" w:rsidRDefault="008D0565" w:rsidP="00D61F73">
      <w:pPr>
        <w:rPr>
          <w:rFonts w:ascii="Arial" w:hAnsi="Arial" w:cs="Arial"/>
        </w:rPr>
      </w:pPr>
    </w:p>
    <w:p w14:paraId="13A1BC1F" w14:textId="77777777" w:rsidR="008D0565" w:rsidRPr="00D61F73" w:rsidRDefault="008D0565" w:rsidP="00D61F73">
      <w:pPr>
        <w:rPr>
          <w:rFonts w:ascii="Arial" w:hAnsi="Arial" w:cs="Arial"/>
        </w:rPr>
      </w:pPr>
      <w:r w:rsidRPr="00D61F73">
        <w:rPr>
          <w:rFonts w:ascii="Arial" w:hAnsi="Arial" w:cs="Arial"/>
        </w:rPr>
        <w:t xml:space="preserve">PMID: </w:t>
      </w:r>
      <w:hyperlink r:id="rId487" w:history="1">
        <w:r w:rsidRPr="00D61F73">
          <w:rPr>
            <w:rStyle w:val="Hyperlink"/>
            <w:rFonts w:ascii="Arial" w:hAnsi="Arial" w:cs="Arial"/>
          </w:rPr>
          <w:t>16524438</w:t>
        </w:r>
      </w:hyperlink>
    </w:p>
    <w:p w14:paraId="3EBAAA0F" w14:textId="77777777" w:rsidR="008D0565" w:rsidRPr="00D61F73" w:rsidRDefault="008D0565" w:rsidP="00D61F73">
      <w:pPr>
        <w:rPr>
          <w:rFonts w:ascii="Arial" w:hAnsi="Arial" w:cs="Arial"/>
        </w:rPr>
      </w:pPr>
    </w:p>
    <w:p w14:paraId="1A1ACF27" w14:textId="77777777" w:rsidR="008D0565" w:rsidRPr="00D61F73" w:rsidRDefault="008D0565" w:rsidP="00D61F73">
      <w:pPr>
        <w:rPr>
          <w:rFonts w:ascii="Arial" w:hAnsi="Arial" w:cs="Arial"/>
        </w:rPr>
      </w:pPr>
      <w:r w:rsidRPr="00D61F73">
        <w:rPr>
          <w:rFonts w:ascii="Arial" w:hAnsi="Arial" w:cs="Arial"/>
        </w:rPr>
        <w:t>Rating: 5b</w:t>
      </w:r>
    </w:p>
    <w:p w14:paraId="1189CC82" w14:textId="479EBF1F" w:rsidR="00C322BA" w:rsidRPr="00D61F73" w:rsidRDefault="00C322BA" w:rsidP="00D61F73">
      <w:pPr>
        <w:rPr>
          <w:rFonts w:ascii="Arial" w:hAnsi="Arial" w:cs="Arial"/>
        </w:rPr>
      </w:pPr>
      <w:r w:rsidRPr="00D61F73">
        <w:rPr>
          <w:rFonts w:ascii="Arial" w:hAnsi="Arial" w:cs="Arial"/>
        </w:rPr>
        <w:br w:type="page"/>
      </w:r>
      <w:bookmarkStart w:id="792" w:name="Ho"/>
      <w:bookmarkEnd w:id="792"/>
      <w:r w:rsidRPr="00D61F73">
        <w:rPr>
          <w:rFonts w:ascii="Arial" w:hAnsi="Arial" w:cs="Arial"/>
          <w:b/>
          <w:bCs/>
        </w:rPr>
        <w:lastRenderedPageBreak/>
        <w:t>Ho KY, Tan KH. Botulinum toxin A for myofascial trigger point injection: A qualitative systematic review. </w:t>
      </w:r>
      <w:r w:rsidRPr="00D61F73">
        <w:rPr>
          <w:rFonts w:ascii="Arial" w:hAnsi="Arial" w:cs="Arial"/>
          <w:b/>
          <w:bCs/>
          <w:i/>
          <w:iCs/>
        </w:rPr>
        <w:t>Eur J Pain</w:t>
      </w:r>
      <w:r w:rsidRPr="00D61F73">
        <w:rPr>
          <w:rFonts w:ascii="Arial" w:hAnsi="Arial" w:cs="Arial"/>
          <w:b/>
          <w:bCs/>
        </w:rPr>
        <w:t>. 2007;11:519-27. 2006 Oct 26; [Epub ahead of print]</w:t>
      </w:r>
    </w:p>
    <w:p w14:paraId="6E7759AF" w14:textId="77777777" w:rsidR="00C322BA" w:rsidRPr="00D61F73" w:rsidRDefault="00C322BA" w:rsidP="00D61F73">
      <w:pPr>
        <w:rPr>
          <w:rFonts w:ascii="Arial" w:hAnsi="Arial" w:cs="Arial"/>
        </w:rPr>
      </w:pPr>
      <w:r w:rsidRPr="00D61F73">
        <w:rPr>
          <w:rFonts w:ascii="Arial" w:hAnsi="Arial" w:cs="Arial"/>
          <w:b/>
          <w:bCs/>
        </w:rPr>
        <w:t> </w:t>
      </w:r>
    </w:p>
    <w:p w14:paraId="73B89332" w14:textId="77777777" w:rsidR="00C322BA" w:rsidRPr="00D61F73" w:rsidRDefault="00C322BA" w:rsidP="00D61F73">
      <w:pPr>
        <w:rPr>
          <w:rFonts w:ascii="Arial" w:hAnsi="Arial" w:cs="Arial"/>
        </w:rPr>
      </w:pPr>
      <w:r w:rsidRPr="00D61F73">
        <w:rPr>
          <w:rFonts w:ascii="Arial" w:hAnsi="Arial" w:cs="Arial"/>
        </w:rPr>
        <w:t>Pain Management Services, Department of Anaesthesia and Surgical Intensive Care, Singapore General Hospital, Outram Road, Singapore 169608, Singapore.</w:t>
      </w:r>
    </w:p>
    <w:p w14:paraId="0AF3D27D" w14:textId="77777777" w:rsidR="00C322BA" w:rsidRPr="00D61F73" w:rsidRDefault="00C322BA" w:rsidP="00D61F73">
      <w:pPr>
        <w:rPr>
          <w:rFonts w:ascii="Arial" w:hAnsi="Arial" w:cs="Arial"/>
        </w:rPr>
      </w:pPr>
      <w:r w:rsidRPr="00D61F73">
        <w:rPr>
          <w:rFonts w:ascii="Arial" w:hAnsi="Arial" w:cs="Arial"/>
        </w:rPr>
        <w:t> </w:t>
      </w:r>
    </w:p>
    <w:p w14:paraId="46DEB97C" w14:textId="77777777" w:rsidR="00C322BA" w:rsidRPr="00D61F73" w:rsidRDefault="00C322BA" w:rsidP="00D61F73">
      <w:pPr>
        <w:rPr>
          <w:rFonts w:ascii="Arial" w:hAnsi="Arial" w:cs="Arial"/>
        </w:rPr>
      </w:pPr>
      <w:r w:rsidRPr="00D61F73">
        <w:rPr>
          <w:rFonts w:ascii="Arial" w:hAnsi="Arial" w:cs="Arial"/>
        </w:rPr>
        <w:t>The current evidence does not support the use of BTA injection in trigger points for myofascial pain. The data is limited and clinically heterogeneous.</w:t>
      </w:r>
    </w:p>
    <w:p w14:paraId="697EAD1A" w14:textId="77777777" w:rsidR="00C322BA" w:rsidRPr="00D61F73" w:rsidRDefault="00C322BA" w:rsidP="00D61F73">
      <w:pPr>
        <w:rPr>
          <w:rFonts w:ascii="Arial" w:hAnsi="Arial" w:cs="Arial"/>
        </w:rPr>
      </w:pPr>
      <w:r w:rsidRPr="00D61F73">
        <w:rPr>
          <w:rFonts w:ascii="Arial" w:hAnsi="Arial" w:cs="Arial"/>
        </w:rPr>
        <w:t> </w:t>
      </w:r>
    </w:p>
    <w:p w14:paraId="3BC39D3B" w14:textId="77777777" w:rsidR="00C322BA" w:rsidRPr="00D61F73" w:rsidRDefault="00C322BA" w:rsidP="00D61F73">
      <w:pPr>
        <w:rPr>
          <w:rFonts w:ascii="Arial" w:hAnsi="Arial" w:cs="Arial"/>
        </w:rPr>
      </w:pPr>
      <w:r w:rsidRPr="00D61F73">
        <w:rPr>
          <w:rFonts w:ascii="Arial" w:hAnsi="Arial" w:cs="Arial"/>
        </w:rPr>
        <w:t>PMID: </w:t>
      </w:r>
      <w:hyperlink r:id="rId488" w:history="1">
        <w:r w:rsidRPr="00D61F73">
          <w:rPr>
            <w:rStyle w:val="Hyperlink"/>
            <w:rFonts w:ascii="Arial" w:hAnsi="Arial" w:cs="Arial"/>
          </w:rPr>
          <w:t>17071119</w:t>
        </w:r>
      </w:hyperlink>
    </w:p>
    <w:p w14:paraId="5A73B1A8" w14:textId="77777777" w:rsidR="00C322BA" w:rsidRPr="00D61F73" w:rsidRDefault="00C322BA" w:rsidP="00D61F73">
      <w:pPr>
        <w:rPr>
          <w:rFonts w:ascii="Arial" w:hAnsi="Arial" w:cs="Arial"/>
        </w:rPr>
      </w:pPr>
      <w:r w:rsidRPr="00D61F73">
        <w:rPr>
          <w:rFonts w:ascii="Arial" w:hAnsi="Arial" w:cs="Arial"/>
        </w:rPr>
        <w:t> </w:t>
      </w:r>
    </w:p>
    <w:p w14:paraId="23734FFA" w14:textId="77777777" w:rsidR="00C322BA" w:rsidRPr="00D61F73" w:rsidRDefault="00C322BA" w:rsidP="00D61F73">
      <w:pPr>
        <w:rPr>
          <w:rFonts w:ascii="Arial" w:hAnsi="Arial" w:cs="Arial"/>
        </w:rPr>
      </w:pPr>
      <w:r w:rsidRPr="00D61F73">
        <w:rPr>
          <w:rFonts w:ascii="Arial" w:hAnsi="Arial" w:cs="Arial"/>
        </w:rPr>
        <w:t>Rating: 1a</w:t>
      </w:r>
    </w:p>
    <w:p w14:paraId="19CFEA6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H</w:t>
      </w:r>
      <w:bookmarkStart w:id="793" w:name="Hoffman"/>
      <w:bookmarkEnd w:id="793"/>
      <w:r w:rsidRPr="00D61F73">
        <w:rPr>
          <w:rFonts w:ascii="Arial" w:hAnsi="Arial" w:cs="Arial"/>
          <w:b/>
        </w:rPr>
        <w:t xml:space="preserve">offman EJ, Mathew SJ. Anxiety disorders: a comprehensive review of pharmacotherapies. </w:t>
      </w:r>
      <w:r w:rsidRPr="00D61F73">
        <w:rPr>
          <w:rFonts w:ascii="Arial" w:hAnsi="Arial" w:cs="Arial"/>
          <w:b/>
          <w:i/>
        </w:rPr>
        <w:t>Mt Sinai J Med</w:t>
      </w:r>
      <w:r w:rsidRPr="00D61F73">
        <w:rPr>
          <w:rFonts w:ascii="Arial" w:hAnsi="Arial" w:cs="Arial"/>
          <w:b/>
        </w:rPr>
        <w:t>. 2008; 75:248-62.</w:t>
      </w:r>
    </w:p>
    <w:p w14:paraId="586087A6" w14:textId="77777777" w:rsidR="008D0565" w:rsidRPr="00D61F73" w:rsidRDefault="008D0565" w:rsidP="00D61F73">
      <w:pPr>
        <w:rPr>
          <w:rFonts w:ascii="Arial" w:hAnsi="Arial" w:cs="Arial"/>
        </w:rPr>
      </w:pPr>
    </w:p>
    <w:p w14:paraId="0A40CC6A" w14:textId="77777777" w:rsidR="008D0565" w:rsidRPr="00D61F73" w:rsidRDefault="008D0565" w:rsidP="00D61F73">
      <w:pPr>
        <w:rPr>
          <w:rFonts w:ascii="Arial" w:hAnsi="Arial" w:cs="Arial"/>
        </w:rPr>
      </w:pPr>
      <w:r w:rsidRPr="00D61F73">
        <w:rPr>
          <w:rFonts w:ascii="Arial" w:hAnsi="Arial" w:cs="Arial"/>
        </w:rPr>
        <w:t xml:space="preserve">There is evidence from multiple randomized, placebo-controlled trials to support the use of selective serotonin reuptake inhibitors as first-line pharmacotherapy in these disorders. </w:t>
      </w:r>
    </w:p>
    <w:p w14:paraId="72EEC191" w14:textId="77777777" w:rsidR="008D0565" w:rsidRPr="00D61F73" w:rsidRDefault="008D0565" w:rsidP="00D61F73">
      <w:pPr>
        <w:rPr>
          <w:rFonts w:ascii="Arial" w:hAnsi="Arial" w:cs="Arial"/>
        </w:rPr>
      </w:pPr>
    </w:p>
    <w:p w14:paraId="4C84C752" w14:textId="77777777" w:rsidR="008D0565" w:rsidRPr="00D61F73" w:rsidRDefault="008D0565" w:rsidP="00D61F73">
      <w:pPr>
        <w:rPr>
          <w:rFonts w:ascii="Arial" w:hAnsi="Arial" w:cs="Arial"/>
        </w:rPr>
      </w:pPr>
      <w:r w:rsidRPr="00D61F73">
        <w:rPr>
          <w:rFonts w:ascii="Arial" w:hAnsi="Arial" w:cs="Arial"/>
        </w:rPr>
        <w:t xml:space="preserve">PMID: </w:t>
      </w:r>
      <w:hyperlink r:id="rId489" w:history="1">
        <w:r w:rsidRPr="00D61F73">
          <w:rPr>
            <w:rStyle w:val="Hyperlink"/>
            <w:rFonts w:ascii="Arial" w:hAnsi="Arial" w:cs="Arial"/>
          </w:rPr>
          <w:t>18704983</w:t>
        </w:r>
      </w:hyperlink>
    </w:p>
    <w:p w14:paraId="1CDF6125" w14:textId="77777777" w:rsidR="008D0565" w:rsidRPr="00D61F73" w:rsidRDefault="008D0565" w:rsidP="00D61F73">
      <w:pPr>
        <w:rPr>
          <w:rFonts w:ascii="Arial" w:hAnsi="Arial" w:cs="Arial"/>
        </w:rPr>
      </w:pPr>
    </w:p>
    <w:p w14:paraId="409E7F70" w14:textId="77777777" w:rsidR="008D0565" w:rsidRPr="00D61F73" w:rsidRDefault="008D0565" w:rsidP="00D61F73">
      <w:pPr>
        <w:rPr>
          <w:rFonts w:ascii="Arial" w:hAnsi="Arial" w:cs="Arial"/>
        </w:rPr>
      </w:pPr>
      <w:r w:rsidRPr="00D61F73">
        <w:rPr>
          <w:rFonts w:ascii="Arial" w:hAnsi="Arial" w:cs="Arial"/>
        </w:rPr>
        <w:t>Rating: 1a</w:t>
      </w:r>
    </w:p>
    <w:p w14:paraId="1B8BD1F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bCs/>
        </w:rPr>
        <w:lastRenderedPageBreak/>
        <w:t>H</w:t>
      </w:r>
      <w:bookmarkStart w:id="794" w:name="Holbrook"/>
      <w:bookmarkEnd w:id="794"/>
      <w:r w:rsidRPr="00D61F73">
        <w:rPr>
          <w:rFonts w:ascii="Arial" w:hAnsi="Arial" w:cs="Arial"/>
          <w:b/>
          <w:bCs/>
        </w:rPr>
        <w:t>olbrook AM</w:t>
      </w:r>
      <w:r w:rsidRPr="00D61F73">
        <w:rPr>
          <w:rFonts w:ascii="Arial" w:hAnsi="Arial" w:cs="Arial"/>
          <w:b/>
        </w:rPr>
        <w:t xml:space="preserve">, </w:t>
      </w:r>
      <w:r w:rsidRPr="00D61F73">
        <w:rPr>
          <w:rFonts w:ascii="Arial" w:hAnsi="Arial" w:cs="Arial"/>
          <w:b/>
          <w:bCs/>
        </w:rPr>
        <w:t>Crowther R</w:t>
      </w:r>
      <w:r w:rsidRPr="00D61F73">
        <w:rPr>
          <w:rFonts w:ascii="Arial" w:hAnsi="Arial" w:cs="Arial"/>
          <w:b/>
        </w:rPr>
        <w:t xml:space="preserve">, </w:t>
      </w:r>
      <w:r w:rsidRPr="00D61F73">
        <w:rPr>
          <w:rFonts w:ascii="Arial" w:hAnsi="Arial" w:cs="Arial"/>
          <w:b/>
          <w:bCs/>
        </w:rPr>
        <w:t>Lotter A</w:t>
      </w:r>
      <w:r w:rsidRPr="00D61F73">
        <w:rPr>
          <w:rFonts w:ascii="Arial" w:hAnsi="Arial" w:cs="Arial"/>
          <w:b/>
        </w:rPr>
        <w:t xml:space="preserve">, </w:t>
      </w:r>
      <w:r w:rsidRPr="00D61F73">
        <w:rPr>
          <w:rFonts w:ascii="Arial" w:hAnsi="Arial" w:cs="Arial"/>
          <w:b/>
          <w:bCs/>
        </w:rPr>
        <w:t>Cheng C</w:t>
      </w:r>
      <w:r w:rsidRPr="00D61F73">
        <w:rPr>
          <w:rFonts w:ascii="Arial" w:hAnsi="Arial" w:cs="Arial"/>
          <w:b/>
        </w:rPr>
        <w:t xml:space="preserve">, </w:t>
      </w:r>
      <w:r w:rsidRPr="00D61F73">
        <w:rPr>
          <w:rFonts w:ascii="Arial" w:hAnsi="Arial" w:cs="Arial"/>
          <w:b/>
          <w:bCs/>
        </w:rPr>
        <w:t>King D</w:t>
      </w:r>
      <w:r w:rsidRPr="00D61F73">
        <w:rPr>
          <w:rFonts w:ascii="Arial" w:hAnsi="Arial" w:cs="Arial"/>
          <w:b/>
        </w:rPr>
        <w:t xml:space="preserve">. Meta-analysis of benzodiazepine use in the treatment of insomnia. </w:t>
      </w:r>
      <w:r w:rsidRPr="00D61F73">
        <w:rPr>
          <w:rStyle w:val="ti"/>
          <w:rFonts w:ascii="Arial" w:hAnsi="Arial" w:cs="Arial"/>
          <w:b/>
          <w:i/>
          <w:iCs/>
        </w:rPr>
        <w:t>CMAJ</w:t>
      </w:r>
      <w:r w:rsidRPr="00D61F73">
        <w:rPr>
          <w:rStyle w:val="ti"/>
          <w:rFonts w:ascii="Arial" w:hAnsi="Arial" w:cs="Arial"/>
          <w:b/>
        </w:rPr>
        <w:t>. 2000 Jan 25;162(2):225-33.</w:t>
      </w:r>
      <w:r w:rsidRPr="00D61F73">
        <w:rPr>
          <w:rFonts w:ascii="Arial" w:hAnsi="Arial" w:cs="Arial"/>
          <w:b/>
        </w:rPr>
        <w:t xml:space="preserve"> </w:t>
      </w:r>
    </w:p>
    <w:p w14:paraId="5E02C83F" w14:textId="77777777" w:rsidR="008D0565" w:rsidRPr="00D61F73" w:rsidRDefault="008D0565" w:rsidP="00D61F73">
      <w:pPr>
        <w:rPr>
          <w:rFonts w:ascii="Arial" w:hAnsi="Arial" w:cs="Arial"/>
        </w:rPr>
      </w:pPr>
    </w:p>
    <w:p w14:paraId="2BC8F8B9" w14:textId="77777777" w:rsidR="008D0565" w:rsidRPr="00D61F73" w:rsidRDefault="008D0565" w:rsidP="00D61F73">
      <w:pPr>
        <w:rPr>
          <w:rFonts w:ascii="Arial" w:hAnsi="Arial" w:cs="Arial"/>
        </w:rPr>
      </w:pPr>
      <w:r w:rsidRPr="00D61F73">
        <w:rPr>
          <w:rFonts w:ascii="Arial" w:hAnsi="Arial" w:cs="Arial"/>
        </w:rPr>
        <w:t xml:space="preserve">INTERPRETATION: The use of benzodiazepines in the treatment of insomnia is associated with an increase in sleep duration, but this is countered by a number of adverse effects. </w:t>
      </w:r>
    </w:p>
    <w:p w14:paraId="57FA90E5" w14:textId="77777777" w:rsidR="008D0565" w:rsidRPr="00D61F73" w:rsidRDefault="008D0565" w:rsidP="00D61F73">
      <w:pPr>
        <w:rPr>
          <w:rFonts w:ascii="Arial" w:hAnsi="Arial" w:cs="Arial"/>
        </w:rPr>
      </w:pPr>
    </w:p>
    <w:p w14:paraId="42958A2B" w14:textId="77777777" w:rsidR="008D0565" w:rsidRPr="00D61F73" w:rsidRDefault="008D0565" w:rsidP="00D61F73">
      <w:pPr>
        <w:rPr>
          <w:rFonts w:ascii="Arial" w:hAnsi="Arial" w:cs="Arial"/>
        </w:rPr>
      </w:pPr>
      <w:r w:rsidRPr="00D61F73">
        <w:rPr>
          <w:rFonts w:ascii="Arial" w:hAnsi="Arial" w:cs="Arial"/>
        </w:rPr>
        <w:t>Rating: 1a</w:t>
      </w:r>
    </w:p>
    <w:p w14:paraId="7DE2597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95" w:name="Holzer2011"/>
      <w:bookmarkEnd w:id="795"/>
      <w:r w:rsidRPr="00D61F73">
        <w:rPr>
          <w:rFonts w:ascii="Arial" w:hAnsi="Arial" w:cs="Arial"/>
          <w:b/>
          <w:bCs/>
        </w:rPr>
        <w:t xml:space="preserve">olzer A, Leitgeb U, Spacek A, Wenzl R, Herkner H, Kettner S. Auricular acupuncture for postoperative pain after gynecological surgery: a randomized controlled trail. </w:t>
      </w:r>
      <w:r w:rsidRPr="00D61F73">
        <w:rPr>
          <w:rFonts w:ascii="Arial" w:hAnsi="Arial" w:cs="Arial"/>
          <w:b/>
          <w:bCs/>
          <w:i/>
          <w:iCs/>
        </w:rPr>
        <w:t>Minerva Anestesiol</w:t>
      </w:r>
      <w:r w:rsidRPr="00D61F73">
        <w:rPr>
          <w:rFonts w:ascii="Arial" w:hAnsi="Arial" w:cs="Arial"/>
          <w:b/>
          <w:bCs/>
        </w:rPr>
        <w:t>. 2011 Mar;77(3):298-304.</w:t>
      </w:r>
    </w:p>
    <w:p w14:paraId="6F8E9C11" w14:textId="77777777" w:rsidR="008D0565" w:rsidRPr="00D61F73" w:rsidRDefault="008D0565" w:rsidP="00D61F73">
      <w:pPr>
        <w:rPr>
          <w:rFonts w:ascii="Arial" w:hAnsi="Arial" w:cs="Arial"/>
        </w:rPr>
      </w:pPr>
    </w:p>
    <w:p w14:paraId="4D062BCA" w14:textId="77777777" w:rsidR="008D0565" w:rsidRPr="00D61F73" w:rsidRDefault="008D0565" w:rsidP="00D61F73">
      <w:pPr>
        <w:rPr>
          <w:rFonts w:ascii="Arial" w:hAnsi="Arial" w:cs="Arial"/>
        </w:rPr>
      </w:pPr>
      <w:r w:rsidRPr="00D61F73">
        <w:rPr>
          <w:rFonts w:ascii="Arial" w:hAnsi="Arial" w:cs="Arial"/>
        </w:rPr>
        <w:t xml:space="preserve">PMID: </w:t>
      </w:r>
      <w:hyperlink r:id="rId490" w:history="1">
        <w:r w:rsidRPr="00D61F73">
          <w:rPr>
            <w:rStyle w:val="Hyperlink"/>
            <w:rFonts w:ascii="Arial" w:hAnsi="Arial" w:cs="Arial"/>
          </w:rPr>
          <w:t>21441884</w:t>
        </w:r>
      </w:hyperlink>
    </w:p>
    <w:p w14:paraId="00CAC8B7" w14:textId="77777777" w:rsidR="008D0565" w:rsidRPr="00D61F73" w:rsidRDefault="008D0565" w:rsidP="00D61F73">
      <w:pPr>
        <w:rPr>
          <w:rFonts w:ascii="Arial" w:hAnsi="Arial" w:cs="Arial"/>
        </w:rPr>
      </w:pPr>
    </w:p>
    <w:p w14:paraId="7E82D045" w14:textId="77777777" w:rsidR="008D0565" w:rsidRPr="00D61F73" w:rsidRDefault="008D0565" w:rsidP="00D61F73">
      <w:pPr>
        <w:rPr>
          <w:rFonts w:ascii="Arial" w:hAnsi="Arial" w:cs="Arial"/>
        </w:rPr>
      </w:pPr>
      <w:r w:rsidRPr="00D61F73">
        <w:rPr>
          <w:rFonts w:ascii="Arial" w:hAnsi="Arial" w:cs="Arial"/>
        </w:rPr>
        <w:t>Rating: 2b</w:t>
      </w:r>
    </w:p>
    <w:p w14:paraId="7B7CE55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Ho</w:t>
      </w:r>
      <w:bookmarkStart w:id="796" w:name="Homik"/>
      <w:bookmarkEnd w:id="796"/>
      <w:r w:rsidRPr="00D61F73">
        <w:rPr>
          <w:rFonts w:ascii="Arial" w:hAnsi="Arial" w:cs="Arial"/>
          <w:b/>
          <w:bCs/>
        </w:rPr>
        <w:t xml:space="preserve">mik JE, Suarez-Almazor M. An economic approach to health care. </w:t>
      </w:r>
      <w:r w:rsidRPr="00D61F73">
        <w:rPr>
          <w:rFonts w:ascii="Arial" w:hAnsi="Arial" w:cs="Arial"/>
          <w:b/>
          <w:bCs/>
          <w:i/>
          <w:iCs/>
        </w:rPr>
        <w:t>Best Pract Res Clin Rheumatol.</w:t>
      </w:r>
      <w:r w:rsidRPr="00D61F73">
        <w:rPr>
          <w:rFonts w:ascii="Arial" w:hAnsi="Arial" w:cs="Arial"/>
          <w:b/>
          <w:bCs/>
        </w:rPr>
        <w:t xml:space="preserve"> 2004 Apr;18(2):203-18.</w:t>
      </w:r>
    </w:p>
    <w:p w14:paraId="017662B8" w14:textId="77777777" w:rsidR="008D0565" w:rsidRPr="00D61F73" w:rsidRDefault="008D0565" w:rsidP="00D61F73">
      <w:pPr>
        <w:rPr>
          <w:rFonts w:ascii="Arial" w:hAnsi="Arial" w:cs="Arial"/>
        </w:rPr>
      </w:pPr>
    </w:p>
    <w:p w14:paraId="35B5DDEC" w14:textId="77777777" w:rsidR="008D0565" w:rsidRPr="00D61F73" w:rsidRDefault="008D0565" w:rsidP="00D61F73">
      <w:pPr>
        <w:rPr>
          <w:rFonts w:ascii="Arial" w:hAnsi="Arial" w:cs="Arial"/>
        </w:rPr>
      </w:pPr>
      <w:r w:rsidRPr="00D61F73">
        <w:rPr>
          <w:rFonts w:ascii="Arial" w:hAnsi="Arial" w:cs="Arial"/>
        </w:rPr>
        <w:t xml:space="preserve">Given the unanswered questions that still exist, it seems reasonable to conclude that COX-2 inhibitors may be cost effective when used in patients at a high risk of GI complications. </w:t>
      </w:r>
    </w:p>
    <w:p w14:paraId="1D0F7F9A" w14:textId="77777777" w:rsidR="008D0565" w:rsidRPr="00D61F73" w:rsidRDefault="008D0565" w:rsidP="00D61F73">
      <w:pPr>
        <w:rPr>
          <w:rFonts w:ascii="Arial" w:hAnsi="Arial" w:cs="Arial"/>
        </w:rPr>
      </w:pPr>
    </w:p>
    <w:p w14:paraId="769F0637" w14:textId="77777777" w:rsidR="008D0565" w:rsidRPr="00D61F73" w:rsidRDefault="008D0565" w:rsidP="00D61F73">
      <w:pPr>
        <w:rPr>
          <w:rFonts w:ascii="Arial" w:hAnsi="Arial" w:cs="Arial"/>
        </w:rPr>
      </w:pPr>
      <w:r w:rsidRPr="00D61F73">
        <w:rPr>
          <w:rFonts w:ascii="Arial" w:hAnsi="Arial" w:cs="Arial"/>
        </w:rPr>
        <w:t xml:space="preserve">PMID: </w:t>
      </w:r>
      <w:hyperlink r:id="rId491" w:history="1">
        <w:r w:rsidRPr="00D61F73">
          <w:rPr>
            <w:rStyle w:val="Hyperlink"/>
            <w:rFonts w:ascii="Arial" w:hAnsi="Arial" w:cs="Arial"/>
          </w:rPr>
          <w:t>15121040</w:t>
        </w:r>
      </w:hyperlink>
      <w:r w:rsidRPr="00D61F73">
        <w:rPr>
          <w:rFonts w:ascii="Arial" w:hAnsi="Arial" w:cs="Arial"/>
        </w:rPr>
        <w:t xml:space="preserve"> </w:t>
      </w:r>
    </w:p>
    <w:p w14:paraId="4DBE72ED" w14:textId="77777777" w:rsidR="008D0565" w:rsidRPr="00D61F73" w:rsidRDefault="008D0565" w:rsidP="00D61F73">
      <w:pPr>
        <w:pStyle w:val="NormalWeb"/>
        <w:spacing w:before="0" w:beforeAutospacing="0" w:after="0" w:afterAutospacing="0"/>
        <w:rPr>
          <w:rFonts w:ascii="Arial" w:hAnsi="Arial" w:cs="Arial"/>
        </w:rPr>
      </w:pPr>
    </w:p>
    <w:p w14:paraId="1E4BCD2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5D0B4AC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H</w:t>
      </w:r>
      <w:bookmarkStart w:id="797" w:name="Honig2012"/>
      <w:bookmarkEnd w:id="797"/>
      <w:r w:rsidRPr="00D61F73">
        <w:rPr>
          <w:rFonts w:ascii="Arial" w:hAnsi="Arial" w:cs="Arial"/>
          <w:b/>
          <w:bCs/>
        </w:rPr>
        <w:t xml:space="preserve">onig LS, Kang MS, Schupf N, Lee JH, Mayeux R. Association of Shorter Leukocyte Telomere Repeat Length With Dementia and Mortality. </w:t>
      </w:r>
      <w:r w:rsidRPr="00D61F73">
        <w:rPr>
          <w:rFonts w:ascii="Arial" w:hAnsi="Arial" w:cs="Arial"/>
          <w:b/>
          <w:bCs/>
          <w:i/>
          <w:iCs/>
        </w:rPr>
        <w:t>Arch Neurol.</w:t>
      </w:r>
      <w:r w:rsidRPr="00D61F73">
        <w:rPr>
          <w:rFonts w:ascii="Arial" w:hAnsi="Arial" w:cs="Arial"/>
          <w:b/>
          <w:bCs/>
        </w:rPr>
        <w:t xml:space="preserve"> 2012 Jul 23:1-8. doi: 10.1001/archneurol.2012.1541. </w:t>
      </w:r>
    </w:p>
    <w:p w14:paraId="1541ACA9" w14:textId="77777777" w:rsidR="008D0565" w:rsidRPr="00D61F73" w:rsidRDefault="008D0565" w:rsidP="00D61F73">
      <w:pPr>
        <w:pStyle w:val="NormalWeb"/>
        <w:spacing w:before="0" w:beforeAutospacing="0" w:after="0" w:afterAutospacing="0"/>
        <w:rPr>
          <w:rFonts w:ascii="Arial" w:hAnsi="Arial" w:cs="Arial"/>
        </w:rPr>
      </w:pPr>
    </w:p>
    <w:p w14:paraId="1389917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Our findings suggest that shortened leukocyte TL is associated with risks for dementia and mortality and may therefore be a marker of biological aging.</w:t>
      </w:r>
    </w:p>
    <w:p w14:paraId="1F9EFD78" w14:textId="77777777" w:rsidR="008D0565" w:rsidRPr="00D61F73" w:rsidRDefault="008D0565" w:rsidP="00D61F73">
      <w:pPr>
        <w:pStyle w:val="NormalWeb"/>
        <w:spacing w:before="0" w:beforeAutospacing="0" w:after="0" w:afterAutospacing="0"/>
        <w:rPr>
          <w:rFonts w:ascii="Arial" w:hAnsi="Arial" w:cs="Arial"/>
        </w:rPr>
      </w:pPr>
    </w:p>
    <w:p w14:paraId="316E99A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492" w:history="1">
        <w:r w:rsidRPr="00D61F73">
          <w:rPr>
            <w:rStyle w:val="Hyperlink"/>
            <w:rFonts w:ascii="Arial" w:hAnsi="Arial" w:cs="Arial"/>
          </w:rPr>
          <w:t>22825311</w:t>
        </w:r>
      </w:hyperlink>
    </w:p>
    <w:p w14:paraId="7B09197E" w14:textId="77777777" w:rsidR="008D0565" w:rsidRPr="00D61F73" w:rsidRDefault="008D0565" w:rsidP="00D61F73">
      <w:pPr>
        <w:pStyle w:val="NormalWeb"/>
        <w:spacing w:before="0" w:beforeAutospacing="0" w:after="0" w:afterAutospacing="0"/>
        <w:rPr>
          <w:rFonts w:ascii="Arial" w:hAnsi="Arial" w:cs="Arial"/>
        </w:rPr>
      </w:pPr>
    </w:p>
    <w:p w14:paraId="2723ECB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3a</w:t>
      </w:r>
    </w:p>
    <w:p w14:paraId="283CD85D" w14:textId="77777777" w:rsidR="008D0565" w:rsidRPr="00D61F73" w:rsidRDefault="008D0565" w:rsidP="00D61F73">
      <w:pPr>
        <w:pStyle w:val="NormalWeb"/>
        <w:spacing w:before="0" w:beforeAutospacing="0" w:after="0" w:afterAutospacing="0"/>
        <w:rPr>
          <w:rFonts w:ascii="Arial" w:hAnsi="Arial" w:cs="Arial"/>
          <w:b/>
          <w:lang w:val="en"/>
        </w:rPr>
      </w:pPr>
      <w:r w:rsidRPr="00D61F73">
        <w:rPr>
          <w:rFonts w:ascii="Arial" w:hAnsi="Arial" w:cs="Arial"/>
        </w:rPr>
        <w:br w:type="page"/>
      </w:r>
      <w:r w:rsidRPr="00D61F73">
        <w:rPr>
          <w:rFonts w:ascii="Arial" w:hAnsi="Arial" w:cs="Arial"/>
          <w:b/>
          <w:lang w:val="en"/>
        </w:rPr>
        <w:lastRenderedPageBreak/>
        <w:t>H</w:t>
      </w:r>
      <w:bookmarkStart w:id="798" w:name="Hsu2009"/>
      <w:bookmarkEnd w:id="798"/>
      <w:r w:rsidRPr="00D61F73">
        <w:rPr>
          <w:rFonts w:ascii="Arial" w:hAnsi="Arial" w:cs="Arial"/>
          <w:b/>
          <w:lang w:val="en"/>
        </w:rPr>
        <w:t xml:space="preserve">su ES. Practical management of complex regional pain syndrome. </w:t>
      </w:r>
      <w:r w:rsidRPr="00D61F73">
        <w:rPr>
          <w:rFonts w:ascii="Arial" w:hAnsi="Arial" w:cs="Arial"/>
          <w:b/>
          <w:i/>
          <w:lang w:val="en"/>
        </w:rPr>
        <w:t>Am J Ther</w:t>
      </w:r>
      <w:r w:rsidRPr="00D61F73">
        <w:rPr>
          <w:rFonts w:ascii="Arial" w:hAnsi="Arial" w:cs="Arial"/>
          <w:b/>
          <w:lang w:val="en"/>
        </w:rPr>
        <w:t>. 2009;16:147-54.</w:t>
      </w:r>
    </w:p>
    <w:p w14:paraId="41451DE2" w14:textId="77777777" w:rsidR="008D0565" w:rsidRPr="00D61F73" w:rsidRDefault="008D0565" w:rsidP="00D61F73">
      <w:pPr>
        <w:rPr>
          <w:rFonts w:ascii="Arial" w:eastAsia="Arial Unicode MS" w:hAnsi="Arial" w:cs="Arial"/>
          <w:lang w:val="en"/>
        </w:rPr>
      </w:pPr>
    </w:p>
    <w:p w14:paraId="1398467D" w14:textId="77777777" w:rsidR="008D0565" w:rsidRPr="00D61F73" w:rsidRDefault="008D0565" w:rsidP="00D61F73">
      <w:pPr>
        <w:rPr>
          <w:rFonts w:ascii="Arial" w:eastAsia="Arial Unicode MS" w:hAnsi="Arial" w:cs="Arial"/>
          <w:lang w:val="en"/>
        </w:rPr>
      </w:pPr>
      <w:r w:rsidRPr="00D61F73">
        <w:rPr>
          <w:rFonts w:ascii="Arial" w:eastAsia="Arial Unicode MS" w:hAnsi="Arial" w:cs="Arial"/>
          <w:lang w:val="en"/>
        </w:rPr>
        <w:t xml:space="preserve">PMID: </w:t>
      </w:r>
      <w:hyperlink r:id="rId493" w:history="1">
        <w:r w:rsidRPr="00D61F73">
          <w:rPr>
            <w:rStyle w:val="Hyperlink"/>
            <w:rFonts w:ascii="Arial" w:eastAsia="Arial Unicode MS" w:hAnsi="Arial" w:cs="Arial"/>
            <w:lang w:val="en"/>
          </w:rPr>
          <w:t>19300041</w:t>
        </w:r>
      </w:hyperlink>
    </w:p>
    <w:p w14:paraId="53D4E5A7" w14:textId="77777777" w:rsidR="008D0565" w:rsidRPr="00D61F73" w:rsidRDefault="008D0565" w:rsidP="00D61F73">
      <w:pPr>
        <w:rPr>
          <w:rFonts w:ascii="Arial" w:eastAsia="Arial Unicode MS" w:hAnsi="Arial" w:cs="Arial"/>
          <w:lang w:val="en"/>
        </w:rPr>
      </w:pPr>
    </w:p>
    <w:p w14:paraId="297B1302" w14:textId="77777777" w:rsidR="008D0565" w:rsidRPr="00D61F73" w:rsidRDefault="008D0565" w:rsidP="00D61F73">
      <w:pPr>
        <w:rPr>
          <w:rFonts w:ascii="Arial" w:eastAsia="Arial Unicode MS" w:hAnsi="Arial" w:cs="Arial"/>
          <w:lang w:val="en"/>
        </w:rPr>
      </w:pPr>
      <w:r w:rsidRPr="00D61F73">
        <w:rPr>
          <w:rFonts w:ascii="Arial" w:eastAsia="Arial Unicode MS" w:hAnsi="Arial" w:cs="Arial"/>
          <w:lang w:val="en"/>
        </w:rPr>
        <w:t>Rating: 5c</w:t>
      </w:r>
    </w:p>
    <w:p w14:paraId="7194F74F" w14:textId="77777777" w:rsidR="008D0565" w:rsidRPr="00D61F73" w:rsidRDefault="008D0565" w:rsidP="00D61F73">
      <w:pPr>
        <w:pStyle w:val="BodyText"/>
        <w:autoSpaceDE w:val="0"/>
        <w:autoSpaceDN w:val="0"/>
        <w:adjustRightInd w:val="0"/>
        <w:rPr>
          <w:rFonts w:ascii="Arial" w:hAnsi="Arial" w:cs="Arial"/>
        </w:rPr>
      </w:pPr>
      <w:r w:rsidRPr="00D61F73">
        <w:rPr>
          <w:rFonts w:ascii="Arial" w:hAnsi="Arial" w:cs="Arial"/>
          <w:b w:val="0"/>
          <w:bCs w:val="0"/>
        </w:rPr>
        <w:br w:type="page"/>
      </w:r>
      <w:r w:rsidRPr="00D61F73">
        <w:rPr>
          <w:rFonts w:ascii="Arial" w:hAnsi="Arial" w:cs="Arial"/>
        </w:rPr>
        <w:lastRenderedPageBreak/>
        <w:t>H</w:t>
      </w:r>
      <w:bookmarkStart w:id="799" w:name="Hunt"/>
      <w:bookmarkEnd w:id="799"/>
      <w:r w:rsidRPr="00D61F73">
        <w:rPr>
          <w:rFonts w:ascii="Arial" w:hAnsi="Arial" w:cs="Arial"/>
        </w:rPr>
        <w:t xml:space="preserve">unt RH, Choquette D, Craig BN, De Angelis C, Habal F, Fulthorpe G, Stewart JI, Turpie AG, Davis P. Approach to managing musculoskeletal pain: acetaminophen, cyclooxygenase-2 inhibitors, or traditional NSAIDs? </w:t>
      </w:r>
      <w:r w:rsidRPr="00D61F73">
        <w:rPr>
          <w:rFonts w:ascii="Arial" w:hAnsi="Arial" w:cs="Arial"/>
          <w:i/>
        </w:rPr>
        <w:t>Can Fam Physician</w:t>
      </w:r>
      <w:r w:rsidRPr="00D61F73">
        <w:rPr>
          <w:rFonts w:ascii="Arial" w:hAnsi="Arial" w:cs="Arial"/>
        </w:rPr>
        <w:t>. 2007;53:1177-84.</w:t>
      </w:r>
    </w:p>
    <w:p w14:paraId="7AE08BC1" w14:textId="77777777" w:rsidR="008D0565" w:rsidRPr="00D61F73" w:rsidRDefault="008D0565" w:rsidP="00D61F73">
      <w:pPr>
        <w:rPr>
          <w:rFonts w:ascii="Arial" w:hAnsi="Arial" w:cs="Arial"/>
        </w:rPr>
      </w:pPr>
    </w:p>
    <w:p w14:paraId="135E6746" w14:textId="77777777" w:rsidR="008D0565" w:rsidRPr="00D61F73" w:rsidRDefault="008D0565" w:rsidP="00D61F73">
      <w:pPr>
        <w:rPr>
          <w:rFonts w:ascii="Arial" w:hAnsi="Arial" w:cs="Arial"/>
        </w:rPr>
      </w:pPr>
      <w:r w:rsidRPr="00D61F73">
        <w:rPr>
          <w:rFonts w:ascii="Arial" w:hAnsi="Arial" w:cs="Arial"/>
        </w:rPr>
        <w:t xml:space="preserve">Treatment should begin with an effective analgesic with the best safety profile at the lowest dose and escalate to higher doses and different analgesics as required. Acetaminophen is a safe medication that should be considered first-line therapy. </w:t>
      </w:r>
    </w:p>
    <w:p w14:paraId="27AC9B28" w14:textId="77777777" w:rsidR="008D0565" w:rsidRPr="00D61F73" w:rsidRDefault="008D0565" w:rsidP="00D61F73">
      <w:pPr>
        <w:rPr>
          <w:rFonts w:ascii="Arial" w:hAnsi="Arial" w:cs="Arial"/>
        </w:rPr>
      </w:pPr>
    </w:p>
    <w:p w14:paraId="23C92640" w14:textId="77777777" w:rsidR="008D0565" w:rsidRPr="00D61F73" w:rsidRDefault="008D0565" w:rsidP="00D61F73">
      <w:pPr>
        <w:rPr>
          <w:rFonts w:ascii="Arial" w:hAnsi="Arial" w:cs="Arial"/>
        </w:rPr>
      </w:pPr>
      <w:r w:rsidRPr="00D61F73">
        <w:rPr>
          <w:rFonts w:ascii="Arial" w:hAnsi="Arial" w:cs="Arial"/>
        </w:rPr>
        <w:t xml:space="preserve">PMID: </w:t>
      </w:r>
      <w:hyperlink r:id="rId494" w:history="1">
        <w:r w:rsidRPr="00D61F73">
          <w:rPr>
            <w:rStyle w:val="Hyperlink"/>
            <w:rFonts w:ascii="Arial" w:hAnsi="Arial" w:cs="Arial"/>
          </w:rPr>
          <w:t>17872814</w:t>
        </w:r>
      </w:hyperlink>
    </w:p>
    <w:p w14:paraId="76CD1B1F" w14:textId="77777777" w:rsidR="008D0565" w:rsidRPr="00D61F73" w:rsidRDefault="008D0565" w:rsidP="00D61F73">
      <w:pPr>
        <w:rPr>
          <w:rFonts w:ascii="Arial" w:hAnsi="Arial" w:cs="Arial"/>
        </w:rPr>
      </w:pPr>
    </w:p>
    <w:p w14:paraId="3596651B" w14:textId="77777777" w:rsidR="008D0565" w:rsidRPr="00D61F73" w:rsidRDefault="008D0565" w:rsidP="00D61F73">
      <w:pPr>
        <w:rPr>
          <w:rFonts w:ascii="Arial" w:hAnsi="Arial" w:cs="Arial"/>
        </w:rPr>
      </w:pPr>
      <w:r w:rsidRPr="00D61F73">
        <w:rPr>
          <w:rFonts w:ascii="Arial" w:hAnsi="Arial" w:cs="Arial"/>
        </w:rPr>
        <w:t>Rating: 5b</w:t>
      </w:r>
    </w:p>
    <w:p w14:paraId="65B18590" w14:textId="1EBC749B" w:rsidR="008D0565" w:rsidRPr="00D61F73" w:rsidRDefault="008D0565" w:rsidP="00D61F73">
      <w:pPr>
        <w:pStyle w:val="BodyText"/>
        <w:rPr>
          <w:rFonts w:ascii="Arial" w:hAnsi="Arial" w:cs="Arial"/>
        </w:rPr>
      </w:pPr>
      <w:r w:rsidRPr="00D61F73">
        <w:rPr>
          <w:rFonts w:ascii="Arial" w:hAnsi="Arial" w:cs="Arial"/>
        </w:rPr>
        <w:br w:type="page"/>
      </w:r>
      <w:r w:rsidRPr="004423C7">
        <w:rPr>
          <w:rFonts w:ascii="Arial" w:hAnsi="Arial" w:cs="Arial"/>
        </w:rPr>
        <w:lastRenderedPageBreak/>
        <w:t>I</w:t>
      </w:r>
      <w:bookmarkStart w:id="800" w:name="ICSI"/>
      <w:bookmarkEnd w:id="800"/>
      <w:r w:rsidRPr="004423C7">
        <w:rPr>
          <w:rFonts w:ascii="Arial" w:hAnsi="Arial" w:cs="Arial"/>
        </w:rPr>
        <w:t>nstitute for Clinical Systems Improvement</w:t>
      </w:r>
      <w:r w:rsidRPr="00D61F73">
        <w:rPr>
          <w:rFonts w:ascii="Arial" w:hAnsi="Arial" w:cs="Arial"/>
        </w:rPr>
        <w:t xml:space="preserve"> (ICSI). Assessment and management of chronic pain. Bloomington (MN). 2005 Nov.</w:t>
      </w:r>
    </w:p>
    <w:p w14:paraId="665DCD76" w14:textId="77777777" w:rsidR="008D0565" w:rsidRPr="00D61F73" w:rsidRDefault="008D0565" w:rsidP="00D61F73">
      <w:pPr>
        <w:pStyle w:val="BodyText"/>
        <w:rPr>
          <w:rFonts w:ascii="Arial" w:hAnsi="Arial" w:cs="Arial"/>
        </w:rPr>
      </w:pPr>
    </w:p>
    <w:p w14:paraId="37A01424" w14:textId="77777777" w:rsidR="008D0565" w:rsidRPr="00D61F73" w:rsidRDefault="008D0565" w:rsidP="00D61F73">
      <w:pPr>
        <w:rPr>
          <w:rFonts w:ascii="Arial" w:hAnsi="Arial" w:cs="Arial"/>
          <w:lang w:val="en"/>
        </w:rPr>
      </w:pPr>
      <w:r w:rsidRPr="00D61F73">
        <w:rPr>
          <w:rFonts w:ascii="Arial" w:hAnsi="Arial" w:cs="Arial"/>
          <w:lang w:val="en"/>
        </w:rPr>
        <w:t xml:space="preserve">The goals of treatment are an emphasis on improving function through the development of long </w:t>
      </w:r>
      <w:r w:rsidR="0053700F" w:rsidRPr="00D61F73">
        <w:rPr>
          <w:rFonts w:ascii="Arial" w:hAnsi="Arial" w:cs="Arial"/>
          <w:lang w:val="en"/>
        </w:rPr>
        <w:t>=-</w:t>
      </w:r>
      <w:r w:rsidRPr="00D61F73">
        <w:rPr>
          <w:rFonts w:ascii="Arial" w:hAnsi="Arial" w:cs="Arial"/>
          <w:lang w:val="en"/>
        </w:rPr>
        <w:t>term self-management skills including fitness and a healthy lifestyle.</w:t>
      </w:r>
    </w:p>
    <w:p w14:paraId="13316E9D" w14:textId="77777777" w:rsidR="008D0565" w:rsidRPr="00D61F73" w:rsidRDefault="008D0565" w:rsidP="00D61F73">
      <w:pPr>
        <w:rPr>
          <w:rFonts w:ascii="Arial" w:hAnsi="Arial" w:cs="Arial"/>
          <w:lang w:val="en"/>
        </w:rPr>
      </w:pPr>
    </w:p>
    <w:p w14:paraId="6A6D4617" w14:textId="77777777" w:rsidR="008D0565" w:rsidRPr="00D61F73" w:rsidRDefault="008D0565" w:rsidP="00D61F73">
      <w:pPr>
        <w:rPr>
          <w:rFonts w:ascii="Arial" w:hAnsi="Arial" w:cs="Arial"/>
          <w:lang w:val="en"/>
        </w:rPr>
      </w:pPr>
      <w:r w:rsidRPr="00D61F73">
        <w:rPr>
          <w:rFonts w:ascii="Arial" w:hAnsi="Arial" w:cs="Arial"/>
          <w:lang w:val="en"/>
        </w:rPr>
        <w:t>Rating: 6a</w:t>
      </w:r>
    </w:p>
    <w:p w14:paraId="7D26BE03" w14:textId="77777777" w:rsidR="008D0565" w:rsidRPr="00D61F73" w:rsidRDefault="008D0565" w:rsidP="00D61F73">
      <w:pPr>
        <w:pStyle w:val="BodyText"/>
        <w:rPr>
          <w:rFonts w:ascii="Arial" w:hAnsi="Arial" w:cs="Arial"/>
        </w:rPr>
      </w:pPr>
    </w:p>
    <w:p w14:paraId="52547B3D" w14:textId="77777777" w:rsidR="008D0565" w:rsidRPr="00D61F73" w:rsidRDefault="008D0565" w:rsidP="00D61F73">
      <w:pPr>
        <w:pStyle w:val="pmid"/>
        <w:spacing w:before="0" w:beforeAutospacing="0" w:after="0" w:afterAutospacing="0"/>
        <w:rPr>
          <w:rFonts w:ascii="Arial" w:hAnsi="Arial" w:cs="Arial"/>
          <w:b/>
          <w:bCs/>
        </w:rPr>
      </w:pPr>
      <w:r w:rsidRPr="00D61F73">
        <w:rPr>
          <w:rFonts w:ascii="Arial" w:hAnsi="Arial" w:cs="Arial"/>
        </w:rPr>
        <w:br w:type="page"/>
      </w:r>
      <w:hyperlink r:id="rId495" w:history="1">
        <w:r w:rsidRPr="00D61F73">
          <w:rPr>
            <w:rStyle w:val="Hyperlink"/>
            <w:rFonts w:ascii="Arial" w:hAnsi="Arial" w:cs="Arial"/>
            <w:b/>
            <w:bCs/>
          </w:rPr>
          <w:t>I</w:t>
        </w:r>
        <w:bookmarkStart w:id="801" w:name="ICSI2007"/>
        <w:bookmarkStart w:id="802" w:name="Institute"/>
        <w:bookmarkEnd w:id="801"/>
        <w:bookmarkEnd w:id="802"/>
        <w:r w:rsidRPr="00D61F73">
          <w:rPr>
            <w:rStyle w:val="Hyperlink"/>
            <w:rFonts w:ascii="Arial" w:hAnsi="Arial" w:cs="Arial"/>
            <w:b/>
            <w:bCs/>
          </w:rPr>
          <w:t>nstitute for Clinical Systems Improvement</w:t>
        </w:r>
      </w:hyperlink>
      <w:r w:rsidRPr="00D61F73">
        <w:rPr>
          <w:rFonts w:ascii="Arial" w:hAnsi="Arial" w:cs="Arial"/>
          <w:b/>
          <w:bCs/>
        </w:rPr>
        <w:t xml:space="preserve"> (ICSI). Assessment and management of chronic pain (2</w:t>
      </w:r>
      <w:r w:rsidRPr="00D61F73">
        <w:rPr>
          <w:rFonts w:ascii="Arial" w:hAnsi="Arial" w:cs="Arial"/>
          <w:b/>
          <w:bCs/>
          <w:vertAlign w:val="superscript"/>
        </w:rPr>
        <w:t>nd</w:t>
      </w:r>
      <w:r w:rsidRPr="00D61F73">
        <w:rPr>
          <w:rFonts w:ascii="Arial" w:hAnsi="Arial" w:cs="Arial"/>
          <w:b/>
          <w:bCs/>
        </w:rPr>
        <w:t xml:space="preserve"> edition). Bloomington (MN). 2007 Mar.</w:t>
      </w:r>
    </w:p>
    <w:p w14:paraId="0E08C0A2" w14:textId="77777777" w:rsidR="008D0565" w:rsidRPr="00D61F73" w:rsidRDefault="008D0565" w:rsidP="00D61F73">
      <w:pPr>
        <w:pStyle w:val="pmid"/>
        <w:spacing w:before="0" w:beforeAutospacing="0" w:after="0" w:afterAutospacing="0"/>
        <w:rPr>
          <w:rFonts w:ascii="Arial" w:hAnsi="Arial" w:cs="Arial"/>
        </w:rPr>
      </w:pPr>
    </w:p>
    <w:p w14:paraId="00D2C8CB" w14:textId="77777777" w:rsidR="008D0565" w:rsidRPr="00D61F73" w:rsidRDefault="008D0565" w:rsidP="00D61F73">
      <w:pPr>
        <w:rPr>
          <w:rFonts w:ascii="Arial" w:hAnsi="Arial" w:cs="Arial"/>
        </w:rPr>
      </w:pPr>
      <w:r w:rsidRPr="00D61F73">
        <w:rPr>
          <w:rFonts w:ascii="Arial" w:hAnsi="Arial" w:cs="Arial"/>
        </w:rPr>
        <w:t xml:space="preserve">Skeletal muscle relaxants were found to have limited evidence of effectiveness. They were thought to be useful for short-term management of muscle spasm and pain. Mixed evidence was found for long-term use. </w:t>
      </w:r>
    </w:p>
    <w:p w14:paraId="316DC13B" w14:textId="77777777" w:rsidR="008D0565" w:rsidRPr="00D61F73" w:rsidRDefault="008D0565" w:rsidP="00D61F73">
      <w:pPr>
        <w:rPr>
          <w:rFonts w:ascii="Arial" w:hAnsi="Arial" w:cs="Arial"/>
          <w:lang w:val="en"/>
        </w:rPr>
      </w:pPr>
    </w:p>
    <w:p w14:paraId="5A9AB1BA" w14:textId="77777777" w:rsidR="008D0565" w:rsidRPr="00D61F73" w:rsidRDefault="008D0565" w:rsidP="00D61F73">
      <w:pPr>
        <w:rPr>
          <w:rFonts w:ascii="Arial" w:hAnsi="Arial" w:cs="Arial"/>
          <w:lang w:val="en"/>
        </w:rPr>
      </w:pPr>
      <w:r w:rsidRPr="00D61F73">
        <w:rPr>
          <w:rFonts w:ascii="Arial" w:hAnsi="Arial" w:cs="Arial"/>
          <w:lang w:val="en"/>
        </w:rPr>
        <w:t>Rating: 6a</w:t>
      </w:r>
    </w:p>
    <w:p w14:paraId="7BA101DF" w14:textId="77777777" w:rsidR="008D0565" w:rsidRPr="00D61F73" w:rsidRDefault="008D0565" w:rsidP="00D61F73">
      <w:pPr>
        <w:rPr>
          <w:rFonts w:ascii="Arial" w:eastAsia="Calibri" w:hAnsi="Arial" w:cs="Arial"/>
          <w:color w:val="auto"/>
        </w:rPr>
      </w:pPr>
      <w:r w:rsidRPr="00D61F73">
        <w:rPr>
          <w:rFonts w:ascii="Arial" w:hAnsi="Arial" w:cs="Arial"/>
        </w:rPr>
        <w:br w:type="page"/>
      </w:r>
      <w:hyperlink r:id="rId496" w:history="1">
        <w:r w:rsidRPr="00D61F73">
          <w:rPr>
            <w:rStyle w:val="Hyperlink"/>
            <w:rFonts w:ascii="Arial" w:hAnsi="Arial" w:cs="Arial"/>
            <w:b/>
          </w:rPr>
          <w:t>I</w:t>
        </w:r>
        <w:bookmarkStart w:id="803" w:name="ICSI2009"/>
        <w:bookmarkEnd w:id="803"/>
        <w:r w:rsidRPr="00D61F73">
          <w:rPr>
            <w:rStyle w:val="Hyperlink"/>
            <w:rFonts w:ascii="Arial" w:hAnsi="Arial" w:cs="Arial"/>
            <w:b/>
          </w:rPr>
          <w:t>nstitute for Clinical Systems Improvement</w:t>
        </w:r>
      </w:hyperlink>
      <w:r w:rsidRPr="00D61F73">
        <w:rPr>
          <w:rFonts w:ascii="Arial" w:hAnsi="Arial" w:cs="Arial"/>
          <w:b/>
        </w:rPr>
        <w:t xml:space="preserve"> (ICSI). Assessment and management of chronic pain (4nd edition). Bloomington (MN). 2009.</w:t>
      </w:r>
      <w:r w:rsidRPr="00D61F73">
        <w:rPr>
          <w:rFonts w:ascii="Arial" w:hAnsi="Arial" w:cs="Arial"/>
        </w:rPr>
        <w:t xml:space="preserve"> </w:t>
      </w:r>
    </w:p>
    <w:p w14:paraId="6AD1D3AD" w14:textId="77777777" w:rsidR="008D0565" w:rsidRPr="00D61F73" w:rsidRDefault="008D0565" w:rsidP="00D61F73">
      <w:pPr>
        <w:rPr>
          <w:rFonts w:ascii="Arial" w:eastAsia="Calibri" w:hAnsi="Arial" w:cs="Arial"/>
        </w:rPr>
      </w:pPr>
    </w:p>
    <w:p w14:paraId="0EB283DE" w14:textId="77777777" w:rsidR="008D0565" w:rsidRPr="00D61F73" w:rsidRDefault="008D0565" w:rsidP="00D61F73">
      <w:pPr>
        <w:rPr>
          <w:rFonts w:ascii="Arial" w:eastAsia="Calibri" w:hAnsi="Arial" w:cs="Arial"/>
        </w:rPr>
      </w:pPr>
      <w:r w:rsidRPr="00D61F73">
        <w:rPr>
          <w:rFonts w:ascii="Arial" w:hAnsi="Arial" w:cs="Arial"/>
        </w:rPr>
        <w:t>The 4</w:t>
      </w:r>
      <w:r w:rsidRPr="00D61F73">
        <w:rPr>
          <w:rFonts w:ascii="Arial" w:hAnsi="Arial" w:cs="Arial"/>
          <w:vertAlign w:val="superscript"/>
        </w:rPr>
        <w:t>th</w:t>
      </w:r>
      <w:r w:rsidRPr="00D61F73">
        <w:rPr>
          <w:rFonts w:ascii="Arial" w:hAnsi="Arial" w:cs="Arial"/>
        </w:rPr>
        <w:t xml:space="preserve"> edition of this guideline addresses evaluation and treatment of chronic pain with a strong emphasis on comprehensive care.</w:t>
      </w:r>
    </w:p>
    <w:p w14:paraId="7179A467" w14:textId="77777777" w:rsidR="008D0565" w:rsidRPr="00D61F73" w:rsidRDefault="008D0565" w:rsidP="00D61F73">
      <w:pPr>
        <w:rPr>
          <w:rFonts w:ascii="Arial" w:eastAsia="Calibri" w:hAnsi="Arial" w:cs="Arial"/>
        </w:rPr>
      </w:pPr>
    </w:p>
    <w:p w14:paraId="62A4EB91" w14:textId="77777777" w:rsidR="008D0565" w:rsidRPr="00D61F73" w:rsidRDefault="008D0565" w:rsidP="00D61F73">
      <w:pPr>
        <w:rPr>
          <w:rFonts w:ascii="Arial" w:hAnsi="Arial" w:cs="Arial"/>
        </w:rPr>
      </w:pPr>
      <w:r w:rsidRPr="00D61F73">
        <w:rPr>
          <w:rFonts w:ascii="Arial" w:hAnsi="Arial" w:cs="Arial"/>
        </w:rPr>
        <w:t xml:space="preserve">Rating: 6a </w:t>
      </w:r>
    </w:p>
    <w:p w14:paraId="6BEE0618" w14:textId="77777777" w:rsidR="008D0565" w:rsidRPr="00D61F73" w:rsidRDefault="008D0565" w:rsidP="00D61F73">
      <w:pPr>
        <w:rPr>
          <w:rFonts w:ascii="Arial" w:hAnsi="Arial" w:cs="Arial"/>
          <w:b/>
          <w:lang w:val="en"/>
        </w:rPr>
      </w:pPr>
      <w:r w:rsidRPr="00D61F73">
        <w:rPr>
          <w:rFonts w:ascii="Arial" w:hAnsi="Arial" w:cs="Arial"/>
        </w:rPr>
        <w:br w:type="page"/>
      </w:r>
      <w:hyperlink r:id="rId497" w:history="1">
        <w:r w:rsidRPr="00D61F73">
          <w:rPr>
            <w:rStyle w:val="Hyperlink"/>
            <w:rFonts w:ascii="Arial" w:hAnsi="Arial" w:cs="Arial"/>
            <w:b/>
            <w:lang w:val="en"/>
          </w:rPr>
          <w:t>I</w:t>
        </w:r>
        <w:bookmarkStart w:id="804" w:name="International"/>
        <w:bookmarkEnd w:id="804"/>
        <w:r w:rsidRPr="00D61F73">
          <w:rPr>
            <w:rStyle w:val="Hyperlink"/>
            <w:rFonts w:ascii="Arial" w:hAnsi="Arial" w:cs="Arial"/>
            <w:b/>
            <w:lang w:val="en"/>
          </w:rPr>
          <w:t>nternational Research Foundation for RSD/CRPS</w:t>
        </w:r>
      </w:hyperlink>
      <w:r w:rsidRPr="00D61F73">
        <w:rPr>
          <w:rFonts w:ascii="Arial" w:hAnsi="Arial" w:cs="Arial"/>
          <w:b/>
          <w:lang w:val="en"/>
        </w:rPr>
        <w:t>. Reflex sympathetic dystrophy/complex regional pain syndrome. 3rd ed. Tampa (FL): International Research Foundation for RSD/CRPS; 2003. Retrieved July 2008.</w:t>
      </w:r>
    </w:p>
    <w:p w14:paraId="256CC08E" w14:textId="77777777" w:rsidR="008D0565" w:rsidRPr="00D61F73" w:rsidRDefault="008D0565" w:rsidP="00D61F73">
      <w:pPr>
        <w:rPr>
          <w:rFonts w:ascii="Arial" w:hAnsi="Arial" w:cs="Arial"/>
          <w:b/>
          <w:lang w:val="en"/>
        </w:rPr>
      </w:pPr>
    </w:p>
    <w:p w14:paraId="5823C88C" w14:textId="77777777" w:rsidR="008D0565" w:rsidRPr="00D61F73" w:rsidRDefault="008D0565" w:rsidP="00D61F73">
      <w:pPr>
        <w:rPr>
          <w:rFonts w:ascii="Arial" w:hAnsi="Arial" w:cs="Arial"/>
          <w:lang w:val="en"/>
        </w:rPr>
      </w:pPr>
      <w:r w:rsidRPr="00D61F73">
        <w:rPr>
          <w:rFonts w:ascii="Arial" w:hAnsi="Arial" w:cs="Arial"/>
          <w:lang w:val="en"/>
        </w:rPr>
        <w:t>No abstract available. A consensus guideline for diagnosis and treatment of CRPS.</w:t>
      </w:r>
    </w:p>
    <w:p w14:paraId="6FD18F34" w14:textId="77777777" w:rsidR="008D0565" w:rsidRPr="00D61F73" w:rsidRDefault="008D0565" w:rsidP="00D61F73">
      <w:pPr>
        <w:rPr>
          <w:rFonts w:ascii="Arial" w:hAnsi="Arial" w:cs="Arial"/>
          <w:lang w:val="en"/>
        </w:rPr>
      </w:pPr>
    </w:p>
    <w:p w14:paraId="556FB0C1" w14:textId="77777777" w:rsidR="008D0565" w:rsidRPr="00D61F73" w:rsidRDefault="008D0565" w:rsidP="00D61F73">
      <w:pPr>
        <w:rPr>
          <w:rFonts w:ascii="Arial" w:hAnsi="Arial" w:cs="Arial"/>
          <w:lang w:val="en"/>
        </w:rPr>
      </w:pPr>
      <w:r w:rsidRPr="00D61F73">
        <w:rPr>
          <w:rFonts w:ascii="Arial" w:hAnsi="Arial" w:cs="Arial"/>
          <w:lang w:val="en"/>
        </w:rPr>
        <w:t>Rating: 5b</w:t>
      </w:r>
    </w:p>
    <w:p w14:paraId="38DCC77C"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I</w:t>
      </w:r>
      <w:bookmarkStart w:id="805" w:name="Ipser"/>
      <w:bookmarkEnd w:id="805"/>
      <w:r w:rsidRPr="00D61F73">
        <w:rPr>
          <w:rFonts w:ascii="Arial" w:hAnsi="Arial" w:cs="Arial"/>
          <w:b/>
        </w:rPr>
        <w:t xml:space="preserve">pser JC, Kariuki CM, Stein DJ. Pharmacotherapy for social anxiety disorder: a systematic review. </w:t>
      </w:r>
      <w:r w:rsidRPr="00D61F73">
        <w:rPr>
          <w:rFonts w:ascii="Arial" w:hAnsi="Arial" w:cs="Arial"/>
          <w:b/>
          <w:i/>
        </w:rPr>
        <w:t>Expert Rev Neurother</w:t>
      </w:r>
      <w:r w:rsidRPr="00D61F73">
        <w:rPr>
          <w:rFonts w:ascii="Arial" w:hAnsi="Arial" w:cs="Arial"/>
          <w:b/>
        </w:rPr>
        <w:t>. 2008; 8:235-57</w:t>
      </w:r>
      <w:r w:rsidRPr="00D61F73">
        <w:rPr>
          <w:rFonts w:ascii="Arial" w:hAnsi="Arial" w:cs="Arial"/>
        </w:rPr>
        <w:t>.</w:t>
      </w:r>
    </w:p>
    <w:p w14:paraId="08DDC50E" w14:textId="77777777" w:rsidR="008D0565" w:rsidRPr="00D61F73" w:rsidRDefault="008D0565" w:rsidP="00D61F73">
      <w:pPr>
        <w:rPr>
          <w:rFonts w:ascii="Arial" w:hAnsi="Arial" w:cs="Arial"/>
        </w:rPr>
      </w:pPr>
    </w:p>
    <w:p w14:paraId="3EDD57DE" w14:textId="77777777" w:rsidR="008D0565" w:rsidRPr="00D61F73" w:rsidRDefault="008D0565" w:rsidP="00D61F73">
      <w:pPr>
        <w:rPr>
          <w:rFonts w:ascii="Arial" w:hAnsi="Arial" w:cs="Arial"/>
        </w:rPr>
      </w:pPr>
      <w:r w:rsidRPr="00D61F73">
        <w:rPr>
          <w:rFonts w:ascii="Arial" w:hAnsi="Arial" w:cs="Arial"/>
        </w:rPr>
        <w:t xml:space="preserve">Taken together, trials of selective serotonin reuptake inhibitors and serotonin-norepinephrine reuptake inhibitors provide the largest evidence base for agents that are both effective and well tolerated. </w:t>
      </w:r>
    </w:p>
    <w:p w14:paraId="4C80B8D0" w14:textId="77777777" w:rsidR="008D0565" w:rsidRPr="00D61F73" w:rsidRDefault="008D0565" w:rsidP="00D61F73">
      <w:pPr>
        <w:rPr>
          <w:rFonts w:ascii="Arial" w:hAnsi="Arial" w:cs="Arial"/>
        </w:rPr>
      </w:pPr>
    </w:p>
    <w:p w14:paraId="013EE340" w14:textId="77777777" w:rsidR="008D0565" w:rsidRPr="00D61F73" w:rsidRDefault="008D0565" w:rsidP="00D61F73">
      <w:pPr>
        <w:rPr>
          <w:rFonts w:ascii="Arial" w:hAnsi="Arial" w:cs="Arial"/>
        </w:rPr>
      </w:pPr>
      <w:r w:rsidRPr="00D61F73">
        <w:rPr>
          <w:rFonts w:ascii="Arial" w:hAnsi="Arial" w:cs="Arial"/>
        </w:rPr>
        <w:t xml:space="preserve">PMID: </w:t>
      </w:r>
      <w:hyperlink r:id="rId498" w:history="1">
        <w:r w:rsidRPr="00D61F73">
          <w:rPr>
            <w:rStyle w:val="Hyperlink"/>
            <w:rFonts w:ascii="Arial" w:hAnsi="Arial" w:cs="Arial"/>
          </w:rPr>
          <w:t>18271710</w:t>
        </w:r>
      </w:hyperlink>
    </w:p>
    <w:p w14:paraId="64A0C000" w14:textId="77777777" w:rsidR="008D0565" w:rsidRPr="00D61F73" w:rsidRDefault="008D0565" w:rsidP="00D61F73">
      <w:pPr>
        <w:rPr>
          <w:rFonts w:ascii="Arial" w:hAnsi="Arial" w:cs="Arial"/>
        </w:rPr>
      </w:pPr>
    </w:p>
    <w:p w14:paraId="05F2B139" w14:textId="77777777" w:rsidR="008D0565" w:rsidRPr="00D61F73" w:rsidRDefault="008D0565" w:rsidP="00D61F73">
      <w:pPr>
        <w:rPr>
          <w:rFonts w:ascii="Arial" w:hAnsi="Arial" w:cs="Arial"/>
        </w:rPr>
      </w:pPr>
      <w:r w:rsidRPr="00D61F73">
        <w:rPr>
          <w:rFonts w:ascii="Arial" w:hAnsi="Arial" w:cs="Arial"/>
        </w:rPr>
        <w:t>Rating: 1a</w:t>
      </w:r>
    </w:p>
    <w:p w14:paraId="4A8581E4"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I</w:t>
      </w:r>
      <w:bookmarkStart w:id="806" w:name="Isidori"/>
      <w:bookmarkEnd w:id="806"/>
      <w:r w:rsidRPr="00D61F73">
        <w:rPr>
          <w:rFonts w:ascii="Arial" w:hAnsi="Arial" w:cs="Arial"/>
          <w:b/>
        </w:rPr>
        <w:t xml:space="preserve">sidori AM, Giannetta E, Gianfrilli D, Greco EA, Bonifacio V, Aversa A, Isidori A, Fabbri A, Lenzi A. Clin Endocrinol (Oxf). 2005 Dec;63(6):601-2. Effects of testosterone on sexual function in men: results of a meta-analysis. </w:t>
      </w:r>
      <w:r w:rsidRPr="00D61F73">
        <w:rPr>
          <w:rFonts w:ascii="Arial" w:hAnsi="Arial" w:cs="Arial"/>
          <w:b/>
          <w:i/>
        </w:rPr>
        <w:t>Clin Endocrinol</w:t>
      </w:r>
      <w:r w:rsidRPr="00D61F73">
        <w:rPr>
          <w:rFonts w:ascii="Arial" w:hAnsi="Arial" w:cs="Arial"/>
          <w:b/>
        </w:rPr>
        <w:t xml:space="preserve"> (Oxf). 2005;63:381-94.</w:t>
      </w:r>
    </w:p>
    <w:p w14:paraId="7ED4EBC7" w14:textId="77777777" w:rsidR="008D0565" w:rsidRPr="00D61F73" w:rsidRDefault="008D0565" w:rsidP="00D61F73">
      <w:pPr>
        <w:rPr>
          <w:rFonts w:ascii="Arial" w:hAnsi="Arial" w:cs="Arial"/>
        </w:rPr>
      </w:pPr>
    </w:p>
    <w:p w14:paraId="49663D55" w14:textId="77777777" w:rsidR="008D0565" w:rsidRPr="00D61F73" w:rsidRDefault="008D0565" w:rsidP="00D61F73">
      <w:pPr>
        <w:rPr>
          <w:rFonts w:ascii="Arial" w:hAnsi="Arial" w:cs="Arial"/>
        </w:rPr>
      </w:pPr>
      <w:r w:rsidRPr="00D61F73">
        <w:rPr>
          <w:rFonts w:ascii="Arial" w:hAnsi="Arial" w:cs="Arial"/>
        </w:rPr>
        <w:t xml:space="preserve">The evidence for a beneficial effect of T treatment on erectile function should be tempered with the caveats that the effect tends to decline over time, is progressively smaller with increasing baseline T levels, and long-term safety data are not available. </w:t>
      </w:r>
    </w:p>
    <w:p w14:paraId="724BD272" w14:textId="77777777" w:rsidR="008D0565" w:rsidRPr="00D61F73" w:rsidRDefault="008D0565" w:rsidP="00D61F73">
      <w:pPr>
        <w:rPr>
          <w:rFonts w:ascii="Arial" w:hAnsi="Arial" w:cs="Arial"/>
        </w:rPr>
      </w:pPr>
    </w:p>
    <w:p w14:paraId="61D5672F" w14:textId="77777777" w:rsidR="008D0565" w:rsidRPr="00D61F73" w:rsidRDefault="008D0565" w:rsidP="00D61F73">
      <w:pPr>
        <w:rPr>
          <w:rFonts w:ascii="Arial" w:hAnsi="Arial" w:cs="Arial"/>
        </w:rPr>
      </w:pPr>
      <w:r w:rsidRPr="00D61F73">
        <w:rPr>
          <w:rFonts w:ascii="Arial" w:hAnsi="Arial" w:cs="Arial"/>
        </w:rPr>
        <w:t xml:space="preserve">PMID: </w:t>
      </w:r>
      <w:hyperlink r:id="rId499" w:history="1">
        <w:r w:rsidRPr="00D61F73">
          <w:rPr>
            <w:rStyle w:val="Hyperlink"/>
            <w:rFonts w:ascii="Arial" w:hAnsi="Arial" w:cs="Arial"/>
          </w:rPr>
          <w:t>16181230</w:t>
        </w:r>
      </w:hyperlink>
      <w:r w:rsidRPr="00D61F73">
        <w:rPr>
          <w:rFonts w:ascii="Arial" w:hAnsi="Arial" w:cs="Arial"/>
        </w:rPr>
        <w:t xml:space="preserve"> </w:t>
      </w:r>
    </w:p>
    <w:p w14:paraId="52E45502" w14:textId="77777777" w:rsidR="008D0565" w:rsidRPr="00D61F73" w:rsidRDefault="008D0565" w:rsidP="00D61F73">
      <w:pPr>
        <w:rPr>
          <w:rFonts w:ascii="Arial" w:hAnsi="Arial" w:cs="Arial"/>
        </w:rPr>
      </w:pPr>
    </w:p>
    <w:p w14:paraId="1C9E0CE3" w14:textId="77777777" w:rsidR="008D0565" w:rsidRPr="00D61F73" w:rsidRDefault="008D0565" w:rsidP="00D61F73">
      <w:pPr>
        <w:rPr>
          <w:rFonts w:ascii="Arial" w:hAnsi="Arial" w:cs="Arial"/>
        </w:rPr>
      </w:pPr>
      <w:r w:rsidRPr="00D61F73">
        <w:rPr>
          <w:rFonts w:ascii="Arial" w:hAnsi="Arial" w:cs="Arial"/>
        </w:rPr>
        <w:t>Rating: 1a</w:t>
      </w:r>
    </w:p>
    <w:p w14:paraId="76612E2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I</w:t>
      </w:r>
      <w:bookmarkStart w:id="807" w:name="IsidoriB"/>
      <w:bookmarkEnd w:id="807"/>
      <w:r w:rsidRPr="00D61F73">
        <w:rPr>
          <w:rFonts w:ascii="Arial" w:hAnsi="Arial" w:cs="Arial"/>
          <w:b/>
        </w:rPr>
        <w:t xml:space="preserve">sidori AM, Giannetta E, Greco EA, Gianfrilli D, Bonifacio V, Isidori A, Lenzi A, Fabbri A. Effects of testosterone on body composition, bone metabolism and serum lipid profile in middle-aged men: a meta-analysis. </w:t>
      </w:r>
      <w:r w:rsidRPr="00D61F73">
        <w:rPr>
          <w:rFonts w:ascii="Arial" w:hAnsi="Arial" w:cs="Arial"/>
          <w:b/>
          <w:i/>
        </w:rPr>
        <w:t>Clin Endocrinol</w:t>
      </w:r>
      <w:r w:rsidRPr="00D61F73">
        <w:rPr>
          <w:rFonts w:ascii="Arial" w:hAnsi="Arial" w:cs="Arial"/>
          <w:b/>
        </w:rPr>
        <w:t xml:space="preserve"> (Oxf). 2005;63:280-93.</w:t>
      </w:r>
    </w:p>
    <w:p w14:paraId="0934E8F6" w14:textId="77777777" w:rsidR="008D0565" w:rsidRPr="00D61F73" w:rsidRDefault="008D0565" w:rsidP="00D61F73">
      <w:pPr>
        <w:rPr>
          <w:rFonts w:ascii="Arial" w:hAnsi="Arial" w:cs="Arial"/>
        </w:rPr>
      </w:pPr>
    </w:p>
    <w:p w14:paraId="4DD9E7D4" w14:textId="77777777" w:rsidR="008D0565" w:rsidRPr="00D61F73" w:rsidRDefault="008D0565" w:rsidP="00D61F73">
      <w:pPr>
        <w:rPr>
          <w:rFonts w:ascii="Arial" w:hAnsi="Arial" w:cs="Arial"/>
        </w:rPr>
      </w:pPr>
      <w:r w:rsidRPr="00D61F73">
        <w:rPr>
          <w:rFonts w:ascii="Arial" w:hAnsi="Arial" w:cs="Arial"/>
        </w:rPr>
        <w:t>CONCLUSION: Our findings are sufficiently strong to justify further interventional studies focused on alternative targets of androgenic treatment carrying more stringent clinical implications, in particular the cardiovascular, metabolic and neurological systems.</w:t>
      </w:r>
    </w:p>
    <w:p w14:paraId="3B9F8E47" w14:textId="77777777" w:rsidR="008D0565" w:rsidRPr="00D61F73" w:rsidRDefault="008D0565" w:rsidP="00D61F73">
      <w:pPr>
        <w:rPr>
          <w:rFonts w:ascii="Arial" w:hAnsi="Arial" w:cs="Arial"/>
        </w:rPr>
      </w:pPr>
    </w:p>
    <w:p w14:paraId="73220099" w14:textId="77777777" w:rsidR="008D0565" w:rsidRPr="00D61F73" w:rsidRDefault="008D0565" w:rsidP="00D61F73">
      <w:pPr>
        <w:rPr>
          <w:rFonts w:ascii="Arial" w:hAnsi="Arial" w:cs="Arial"/>
        </w:rPr>
      </w:pPr>
      <w:r w:rsidRPr="00D61F73">
        <w:rPr>
          <w:rFonts w:ascii="Arial" w:hAnsi="Arial" w:cs="Arial"/>
        </w:rPr>
        <w:t xml:space="preserve">PMID: </w:t>
      </w:r>
      <w:hyperlink r:id="rId500" w:history="1">
        <w:r w:rsidRPr="00D61F73">
          <w:rPr>
            <w:rStyle w:val="Hyperlink"/>
            <w:rFonts w:ascii="Arial" w:hAnsi="Arial" w:cs="Arial"/>
          </w:rPr>
          <w:t>16117815</w:t>
        </w:r>
      </w:hyperlink>
    </w:p>
    <w:p w14:paraId="7A7DE05E" w14:textId="77777777" w:rsidR="008D0565" w:rsidRPr="00D61F73" w:rsidRDefault="008D0565" w:rsidP="00D61F73">
      <w:pPr>
        <w:rPr>
          <w:rFonts w:ascii="Arial" w:hAnsi="Arial" w:cs="Arial"/>
        </w:rPr>
      </w:pPr>
    </w:p>
    <w:p w14:paraId="4A1580D7" w14:textId="77777777" w:rsidR="00F8476F" w:rsidRPr="00D61F73" w:rsidRDefault="008D0565" w:rsidP="00D61F73">
      <w:pPr>
        <w:rPr>
          <w:rFonts w:ascii="Arial" w:hAnsi="Arial" w:cs="Arial"/>
        </w:rPr>
      </w:pPr>
      <w:r w:rsidRPr="00D61F73">
        <w:rPr>
          <w:rFonts w:ascii="Arial" w:hAnsi="Arial" w:cs="Arial"/>
        </w:rPr>
        <w:t>Rating: 1a</w:t>
      </w:r>
    </w:p>
    <w:p w14:paraId="35FC9A56" w14:textId="77777777" w:rsidR="00CC519E" w:rsidRPr="00D61F73" w:rsidRDefault="00CC519E" w:rsidP="00D61F73">
      <w:pPr>
        <w:rPr>
          <w:rFonts w:ascii="Arial" w:hAnsi="Arial" w:cs="Arial"/>
          <w:b/>
          <w:bCs/>
        </w:rPr>
      </w:pPr>
      <w:r w:rsidRPr="00D61F73">
        <w:rPr>
          <w:rFonts w:ascii="Arial" w:hAnsi="Arial" w:cs="Arial"/>
        </w:rPr>
        <w:br w:type="page"/>
      </w:r>
      <w:bookmarkStart w:id="808" w:name="Jabbari"/>
      <w:bookmarkEnd w:id="808"/>
      <w:r w:rsidRPr="00D61F73">
        <w:rPr>
          <w:rFonts w:ascii="Arial" w:hAnsi="Arial" w:cs="Arial"/>
          <w:b/>
          <w:bCs/>
        </w:rPr>
        <w:lastRenderedPageBreak/>
        <w:t>Jabbari B, Ney J, Sichani A, Monacci W, Foster L, Difazio M. Treatment of refractory, chronic low back pain with botulinum neurotoxin A: an open-label, pilot study. </w:t>
      </w:r>
      <w:r w:rsidRPr="00D61F73">
        <w:rPr>
          <w:rFonts w:ascii="Arial" w:hAnsi="Arial" w:cs="Arial"/>
          <w:b/>
          <w:bCs/>
          <w:i/>
          <w:iCs/>
        </w:rPr>
        <w:t>Pain Med.</w:t>
      </w:r>
      <w:r w:rsidRPr="00D61F73">
        <w:rPr>
          <w:rFonts w:ascii="Arial" w:hAnsi="Arial" w:cs="Arial"/>
          <w:b/>
          <w:bCs/>
        </w:rPr>
        <w:t> 2006 May-Jun;7(3):260-4.</w:t>
      </w:r>
    </w:p>
    <w:p w14:paraId="36B9B41A" w14:textId="77777777" w:rsidR="00CC519E" w:rsidRPr="00D61F73" w:rsidRDefault="00CC519E" w:rsidP="00D61F73">
      <w:pPr>
        <w:rPr>
          <w:rFonts w:ascii="Arial" w:hAnsi="Arial" w:cs="Arial"/>
          <w:b/>
          <w:bCs/>
        </w:rPr>
      </w:pPr>
      <w:r w:rsidRPr="00D61F73">
        <w:rPr>
          <w:rFonts w:ascii="Arial" w:hAnsi="Arial" w:cs="Arial"/>
        </w:rPr>
        <w:t> </w:t>
      </w:r>
    </w:p>
    <w:p w14:paraId="0D3F21A4" w14:textId="77777777" w:rsidR="00CC519E" w:rsidRPr="00D61F73" w:rsidRDefault="00CC519E" w:rsidP="00D61F73">
      <w:pPr>
        <w:rPr>
          <w:rFonts w:ascii="Arial" w:hAnsi="Arial" w:cs="Arial"/>
          <w:b/>
          <w:bCs/>
        </w:rPr>
      </w:pPr>
      <w:r w:rsidRPr="00D61F73">
        <w:rPr>
          <w:rFonts w:ascii="Arial" w:hAnsi="Arial" w:cs="Arial"/>
        </w:rPr>
        <w:t>CONCLUSION: Botulinum neurotoxin A may be beneficial in patients with chronic low back pain. A favorable initial response predicts subsequent responsiveness.</w:t>
      </w:r>
    </w:p>
    <w:p w14:paraId="49FA3C09" w14:textId="77777777" w:rsidR="00CC519E" w:rsidRPr="00D61F73" w:rsidRDefault="00CC519E" w:rsidP="00D61F73">
      <w:pPr>
        <w:rPr>
          <w:rFonts w:ascii="Arial" w:hAnsi="Arial" w:cs="Arial"/>
          <w:b/>
          <w:bCs/>
        </w:rPr>
      </w:pPr>
      <w:r w:rsidRPr="00D61F73">
        <w:rPr>
          <w:rFonts w:ascii="Arial" w:hAnsi="Arial" w:cs="Arial"/>
        </w:rPr>
        <w:t> </w:t>
      </w:r>
    </w:p>
    <w:p w14:paraId="1FDE0C99" w14:textId="77777777" w:rsidR="00CC519E" w:rsidRPr="00D61F73" w:rsidRDefault="00CC519E" w:rsidP="00D61F73">
      <w:pPr>
        <w:rPr>
          <w:rFonts w:ascii="Arial" w:hAnsi="Arial" w:cs="Arial"/>
          <w:b/>
          <w:bCs/>
        </w:rPr>
      </w:pPr>
      <w:r w:rsidRPr="00D61F73">
        <w:rPr>
          <w:rFonts w:ascii="Arial" w:hAnsi="Arial" w:cs="Arial"/>
        </w:rPr>
        <w:t>PMID: </w:t>
      </w:r>
      <w:hyperlink r:id="rId501" w:history="1">
        <w:r w:rsidRPr="00D61F73">
          <w:rPr>
            <w:rStyle w:val="Hyperlink"/>
            <w:rFonts w:ascii="Arial" w:hAnsi="Arial" w:cs="Arial"/>
          </w:rPr>
          <w:t>16712627</w:t>
        </w:r>
      </w:hyperlink>
    </w:p>
    <w:p w14:paraId="24960F91" w14:textId="77777777" w:rsidR="008D0565" w:rsidRPr="00D61F73" w:rsidRDefault="00F8476F" w:rsidP="00D61F73">
      <w:pPr>
        <w:rPr>
          <w:rFonts w:ascii="Arial" w:hAnsi="Arial" w:cs="Arial"/>
        </w:rPr>
      </w:pPr>
      <w:r w:rsidRPr="00D61F73">
        <w:rPr>
          <w:rFonts w:ascii="Arial" w:hAnsi="Arial" w:cs="Arial"/>
        </w:rPr>
        <w:br w:type="page"/>
      </w:r>
    </w:p>
    <w:bookmarkStart w:id="809" w:name="JACKSON2012b"/>
    <w:bookmarkEnd w:id="809"/>
    <w:p w14:paraId="2BDFFA2E" w14:textId="77777777" w:rsidR="00F8476F" w:rsidRPr="00D61F73" w:rsidRDefault="00F8476F" w:rsidP="00D61F73">
      <w:pPr>
        <w:shd w:val="clear" w:color="auto" w:fill="FFFFFF"/>
        <w:rPr>
          <w:rFonts w:ascii="Arial" w:hAnsi="Arial" w:cs="Arial"/>
          <w:b/>
        </w:rPr>
      </w:pPr>
      <w:r w:rsidRPr="00D61F73">
        <w:rPr>
          <w:rFonts w:ascii="Arial" w:hAnsi="Arial" w:cs="Arial"/>
          <w:b/>
        </w:rPr>
        <w:lastRenderedPageBreak/>
        <w:fldChar w:fldCharType="begin"/>
      </w:r>
      <w:r w:rsidRPr="00D61F73">
        <w:rPr>
          <w:rFonts w:ascii="Arial" w:hAnsi="Arial" w:cs="Arial"/>
          <w:b/>
        </w:rPr>
        <w:instrText xml:space="preserve"> HYPERLINK "http://www.ncbi.nlm.nih.gov/pubmed/22535858" </w:instrText>
      </w:r>
      <w:r w:rsidRPr="00D61F73">
        <w:rPr>
          <w:rFonts w:ascii="Arial" w:hAnsi="Arial" w:cs="Arial"/>
          <w:b/>
        </w:rPr>
        <w:fldChar w:fldCharType="separate"/>
      </w:r>
      <w:r w:rsidRPr="00D61F73">
        <w:rPr>
          <w:rStyle w:val="Hyperlink"/>
          <w:rFonts w:ascii="Arial" w:hAnsi="Arial" w:cs="Arial"/>
          <w:b/>
        </w:rPr>
        <w:t>Jackson JL, Kuriyama A, Hayashino Y.</w:t>
      </w:r>
      <w:r w:rsidRPr="00D61F73">
        <w:rPr>
          <w:rFonts w:ascii="Arial" w:hAnsi="Arial" w:cs="Arial"/>
          <w:b/>
        </w:rPr>
        <w:fldChar w:fldCharType="end"/>
      </w:r>
      <w:r w:rsidRPr="00D61F73">
        <w:rPr>
          <w:rFonts w:ascii="Arial" w:hAnsi="Arial" w:cs="Arial"/>
          <w:b/>
        </w:rPr>
        <w:t xml:space="preserve"> Botulinum toxin A for prophylactic treatment of migraine and tension headaches in adults: a meta-analysis. </w:t>
      </w:r>
      <w:hyperlink r:id="rId502" w:tooltip="JAMA." w:history="1">
        <w:r w:rsidRPr="00D61F73">
          <w:rPr>
            <w:rFonts w:ascii="Arial" w:hAnsi="Arial" w:cs="Arial"/>
            <w:b/>
            <w:color w:val="0000FF"/>
            <w:u w:val="single"/>
          </w:rPr>
          <w:t>JAMA.</w:t>
        </w:r>
      </w:hyperlink>
      <w:r w:rsidRPr="00D61F73">
        <w:rPr>
          <w:rFonts w:ascii="Arial" w:hAnsi="Arial" w:cs="Arial"/>
          <w:b/>
        </w:rPr>
        <w:t xml:space="preserve"> 2012 Apr 25;307(16):1736-45. doi: 10.1001/jama.2012.505.</w:t>
      </w:r>
    </w:p>
    <w:p w14:paraId="4A8D7BA5" w14:textId="77777777" w:rsidR="00F8476F" w:rsidRPr="00D61F73" w:rsidRDefault="00F8476F" w:rsidP="00D61F73">
      <w:pPr>
        <w:shd w:val="clear" w:color="auto" w:fill="FFFFFF"/>
        <w:rPr>
          <w:rFonts w:ascii="Arial" w:hAnsi="Arial" w:cs="Arial"/>
          <w:b/>
        </w:rPr>
      </w:pPr>
    </w:p>
    <w:p w14:paraId="30CD46FA" w14:textId="77777777" w:rsidR="00F8476F" w:rsidRPr="00D61F73" w:rsidRDefault="00F8476F" w:rsidP="00D61F73">
      <w:pPr>
        <w:shd w:val="clear" w:color="auto" w:fill="FFFFFF"/>
        <w:rPr>
          <w:rFonts w:ascii="Arial" w:hAnsi="Arial" w:cs="Arial"/>
        </w:rPr>
      </w:pPr>
      <w:r w:rsidRPr="00D61F73">
        <w:rPr>
          <w:rFonts w:ascii="Arial" w:hAnsi="Arial" w:cs="Arial"/>
        </w:rPr>
        <w:t>Botulinum toxin A compared with placebo was associated with a small to modest benefit for chronic daily headaches and chronic migraines but was not associated with fewer episodic migraine or chronic tension-type headaches per month.</w:t>
      </w:r>
    </w:p>
    <w:p w14:paraId="4E28BD16" w14:textId="77777777" w:rsidR="00FF35F5" w:rsidRPr="00D61F73" w:rsidRDefault="00FF35F5" w:rsidP="00D61F73">
      <w:pPr>
        <w:shd w:val="clear" w:color="auto" w:fill="FFFFFF"/>
        <w:rPr>
          <w:rFonts w:ascii="Arial" w:hAnsi="Arial" w:cs="Arial"/>
        </w:rPr>
      </w:pPr>
    </w:p>
    <w:p w14:paraId="0BEACDC9" w14:textId="77777777" w:rsidR="00FF35F5" w:rsidRPr="00D61F73" w:rsidRDefault="00FF35F5" w:rsidP="00D61F73">
      <w:pPr>
        <w:shd w:val="clear" w:color="auto" w:fill="FFFFFF"/>
        <w:rPr>
          <w:rFonts w:ascii="Arial" w:hAnsi="Arial" w:cs="Arial"/>
        </w:rPr>
      </w:pPr>
      <w:r w:rsidRPr="00D61F73">
        <w:rPr>
          <w:rFonts w:ascii="Arial" w:hAnsi="Arial" w:cs="Arial"/>
        </w:rPr>
        <w:t>Rating: 1a</w:t>
      </w:r>
    </w:p>
    <w:p w14:paraId="49E554DC" w14:textId="77777777" w:rsidR="00F8476F" w:rsidRPr="00D61F73" w:rsidRDefault="00F8476F" w:rsidP="00D61F73">
      <w:pPr>
        <w:rPr>
          <w:rFonts w:ascii="Arial" w:hAnsi="Arial" w:cs="Arial"/>
          <w:b/>
        </w:rPr>
      </w:pPr>
    </w:p>
    <w:p w14:paraId="7DF568A4"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J</w:t>
      </w:r>
      <w:bookmarkStart w:id="810" w:name="Jänig2004"/>
      <w:bookmarkEnd w:id="810"/>
      <w:r w:rsidRPr="00D61F73">
        <w:rPr>
          <w:rFonts w:ascii="Arial" w:hAnsi="Arial" w:cs="Arial"/>
        </w:rPr>
        <w:t xml:space="preserve">änig W, Baron R. Experimental approach to CRPS. </w:t>
      </w:r>
      <w:r w:rsidRPr="00D61F73">
        <w:rPr>
          <w:rFonts w:ascii="Arial" w:hAnsi="Arial" w:cs="Arial"/>
          <w:i/>
          <w:iCs/>
        </w:rPr>
        <w:t>Pain</w:t>
      </w:r>
      <w:r w:rsidRPr="00D61F73">
        <w:rPr>
          <w:rFonts w:ascii="Arial" w:hAnsi="Arial" w:cs="Arial"/>
        </w:rPr>
        <w:t>. 2004;108:3-7.</w:t>
      </w:r>
    </w:p>
    <w:p w14:paraId="4ABC4AEC" w14:textId="77777777" w:rsidR="008D0565" w:rsidRPr="00D61F73" w:rsidRDefault="008D0565" w:rsidP="00D61F73">
      <w:pPr>
        <w:rPr>
          <w:rFonts w:ascii="Arial" w:hAnsi="Arial" w:cs="Arial"/>
        </w:rPr>
      </w:pPr>
    </w:p>
    <w:p w14:paraId="34931694" w14:textId="77777777" w:rsidR="008D0565" w:rsidRPr="00D61F73" w:rsidRDefault="008D0565" w:rsidP="00D61F73">
      <w:pPr>
        <w:pStyle w:val="Heading1"/>
        <w:rPr>
          <w:rFonts w:ascii="Arial" w:eastAsia="Arial Unicode MS" w:hAnsi="Arial" w:cs="Arial"/>
          <w:b w:val="0"/>
          <w:bCs w:val="0"/>
        </w:rPr>
      </w:pPr>
      <w:r w:rsidRPr="00D61F73">
        <w:rPr>
          <w:rFonts w:ascii="Arial" w:hAnsi="Arial" w:cs="Arial"/>
          <w:b w:val="0"/>
          <w:bCs w:val="0"/>
        </w:rPr>
        <w:t xml:space="preserve">PMID: </w:t>
      </w:r>
      <w:hyperlink r:id="rId503" w:history="1">
        <w:r w:rsidRPr="00D61F73">
          <w:rPr>
            <w:rStyle w:val="Hyperlink"/>
            <w:rFonts w:ascii="Arial" w:hAnsi="Arial" w:cs="Arial"/>
            <w:b w:val="0"/>
            <w:bCs w:val="0"/>
          </w:rPr>
          <w:t>15109501</w:t>
        </w:r>
      </w:hyperlink>
    </w:p>
    <w:p w14:paraId="09D5F340" w14:textId="77777777" w:rsidR="008D0565" w:rsidRPr="00D61F73" w:rsidRDefault="008D0565" w:rsidP="00D61F73">
      <w:pPr>
        <w:rPr>
          <w:rFonts w:ascii="Arial" w:hAnsi="Arial" w:cs="Arial"/>
        </w:rPr>
      </w:pPr>
    </w:p>
    <w:p w14:paraId="6FE19CAA"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5c</w:t>
      </w:r>
    </w:p>
    <w:p w14:paraId="3D440B5C" w14:textId="77777777" w:rsidR="008D0565" w:rsidRPr="00D61F73" w:rsidRDefault="008D0565" w:rsidP="00D61F73">
      <w:pPr>
        <w:rPr>
          <w:rFonts w:ascii="Arial" w:hAnsi="Arial" w:cs="Arial"/>
        </w:rPr>
      </w:pPr>
    </w:p>
    <w:p w14:paraId="7674ADF2" w14:textId="77777777" w:rsidR="008D0565" w:rsidRPr="00D61F73" w:rsidRDefault="008D0565" w:rsidP="00D61F73">
      <w:pPr>
        <w:rPr>
          <w:rFonts w:ascii="Arial" w:hAnsi="Arial" w:cs="Arial"/>
        </w:rPr>
      </w:pPr>
      <w:r w:rsidRPr="00D61F73">
        <w:rPr>
          <w:rFonts w:ascii="Arial" w:hAnsi="Arial" w:cs="Arial"/>
        </w:rPr>
        <w:t>A review discussing the potential role of immobilization in CRPS.</w:t>
      </w:r>
    </w:p>
    <w:p w14:paraId="754221D5"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J</w:t>
      </w:r>
      <w:bookmarkStart w:id="811" w:name="Jensen2006"/>
      <w:bookmarkEnd w:id="811"/>
      <w:r w:rsidRPr="00D61F73">
        <w:rPr>
          <w:rFonts w:ascii="Arial" w:hAnsi="Arial" w:cs="Arial"/>
          <w:b/>
        </w:rPr>
        <w:t xml:space="preserve">ensen TS, Backonja MM, Hernández Jiménez S, Tesfaye S, Valensi P, Ziegler D. New perspectives on the management of diabetic peripheral neuropathic pain. </w:t>
      </w:r>
      <w:r w:rsidRPr="00D61F73">
        <w:rPr>
          <w:rFonts w:ascii="Arial" w:hAnsi="Arial" w:cs="Arial"/>
          <w:b/>
          <w:i/>
        </w:rPr>
        <w:t>Diab Vasc Dis Res</w:t>
      </w:r>
      <w:r w:rsidRPr="00D61F73">
        <w:rPr>
          <w:rFonts w:ascii="Arial" w:hAnsi="Arial" w:cs="Arial"/>
          <w:b/>
        </w:rPr>
        <w:t xml:space="preserve">. 2006;3:108-19. </w:t>
      </w:r>
    </w:p>
    <w:p w14:paraId="0518F194" w14:textId="77777777" w:rsidR="008D0565" w:rsidRPr="00D61F73" w:rsidRDefault="008D0565" w:rsidP="00D61F73">
      <w:pPr>
        <w:pStyle w:val="Heading2"/>
        <w:rPr>
          <w:rFonts w:ascii="Arial" w:hAnsi="Arial" w:cs="Arial"/>
          <w:b w:val="0"/>
          <w:sz w:val="24"/>
          <w:szCs w:val="24"/>
        </w:rPr>
      </w:pPr>
    </w:p>
    <w:p w14:paraId="28F85E5C" w14:textId="77777777" w:rsidR="008D0565" w:rsidRPr="00D61F73" w:rsidRDefault="008D0565" w:rsidP="00D61F73">
      <w:pPr>
        <w:pStyle w:val="Heading2"/>
        <w:rPr>
          <w:rFonts w:ascii="Arial" w:hAnsi="Arial" w:cs="Arial"/>
          <w:b w:val="0"/>
          <w:sz w:val="24"/>
          <w:szCs w:val="24"/>
        </w:rPr>
      </w:pPr>
      <w:r w:rsidRPr="00D61F73">
        <w:rPr>
          <w:rFonts w:ascii="Arial" w:hAnsi="Arial" w:cs="Arial"/>
          <w:b w:val="0"/>
          <w:sz w:val="24"/>
          <w:szCs w:val="24"/>
        </w:rPr>
        <w:t xml:space="preserve">Addition of an opioid agonist may be required in the event of inadequate pain control. Irrespective of which treatment is offered, only about one third of patients are likely to achieve more than 50% pain relief. </w:t>
      </w:r>
    </w:p>
    <w:p w14:paraId="5B48AD9C" w14:textId="77777777" w:rsidR="008D0565" w:rsidRPr="00D61F73" w:rsidRDefault="008D0565" w:rsidP="00D61F73">
      <w:pPr>
        <w:pStyle w:val="Heading2"/>
        <w:rPr>
          <w:rFonts w:ascii="Arial" w:hAnsi="Arial" w:cs="Arial"/>
          <w:b w:val="0"/>
          <w:sz w:val="24"/>
          <w:szCs w:val="24"/>
        </w:rPr>
      </w:pPr>
    </w:p>
    <w:p w14:paraId="0E3930BC" w14:textId="77777777" w:rsidR="008D0565" w:rsidRPr="00D61F73" w:rsidRDefault="008D0565" w:rsidP="00D61F73">
      <w:pPr>
        <w:pStyle w:val="Heading2"/>
        <w:rPr>
          <w:rFonts w:ascii="Arial" w:hAnsi="Arial" w:cs="Arial"/>
          <w:b w:val="0"/>
          <w:sz w:val="24"/>
          <w:szCs w:val="24"/>
        </w:rPr>
      </w:pPr>
      <w:r w:rsidRPr="00D61F73">
        <w:rPr>
          <w:rFonts w:ascii="Arial" w:hAnsi="Arial" w:cs="Arial"/>
          <w:b w:val="0"/>
          <w:sz w:val="24"/>
          <w:szCs w:val="24"/>
        </w:rPr>
        <w:t xml:space="preserve">PMID: </w:t>
      </w:r>
      <w:hyperlink r:id="rId504" w:history="1">
        <w:r w:rsidRPr="00D61F73">
          <w:rPr>
            <w:rStyle w:val="Hyperlink"/>
            <w:rFonts w:ascii="Arial" w:hAnsi="Arial" w:cs="Arial"/>
            <w:b w:val="0"/>
            <w:sz w:val="24"/>
            <w:szCs w:val="24"/>
          </w:rPr>
          <w:t>17058631</w:t>
        </w:r>
      </w:hyperlink>
    </w:p>
    <w:p w14:paraId="430F67D3" w14:textId="77777777" w:rsidR="008D0565" w:rsidRPr="00D61F73" w:rsidRDefault="008D0565" w:rsidP="00D61F73">
      <w:pPr>
        <w:pStyle w:val="Heading2"/>
        <w:rPr>
          <w:rFonts w:ascii="Arial" w:hAnsi="Arial" w:cs="Arial"/>
          <w:b w:val="0"/>
          <w:sz w:val="24"/>
          <w:szCs w:val="24"/>
        </w:rPr>
      </w:pPr>
    </w:p>
    <w:p w14:paraId="410EE717" w14:textId="77777777" w:rsidR="008D0565" w:rsidRPr="00D61F73" w:rsidRDefault="008D0565" w:rsidP="00D61F73">
      <w:pPr>
        <w:rPr>
          <w:rFonts w:ascii="Arial" w:hAnsi="Arial" w:cs="Arial"/>
        </w:rPr>
      </w:pPr>
      <w:r w:rsidRPr="00D61F73">
        <w:rPr>
          <w:rFonts w:ascii="Arial" w:hAnsi="Arial" w:cs="Arial"/>
        </w:rPr>
        <w:t>Rating: 5b</w:t>
      </w:r>
    </w:p>
    <w:p w14:paraId="73C4243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J</w:t>
      </w:r>
      <w:bookmarkStart w:id="812" w:name="Jensen2011"/>
      <w:bookmarkEnd w:id="812"/>
      <w:r w:rsidRPr="00D61F73">
        <w:rPr>
          <w:rFonts w:ascii="Arial" w:hAnsi="Arial" w:cs="Arial"/>
          <w:b/>
          <w:bCs/>
        </w:rPr>
        <w:t xml:space="preserve">ensen MP, Ehde DM, Gertz KJ, Stoelb BL, Dillworth TM, Hirsh AT, Molton IR, Kraft GH. Effects of self-hypnosis training and cognitive restructuring on daily pain intensity and catastrophizing in individuals with multiple sclerosis and chronic pain. </w:t>
      </w:r>
      <w:r w:rsidRPr="00D61F73">
        <w:rPr>
          <w:rFonts w:ascii="Arial" w:hAnsi="Arial" w:cs="Arial"/>
          <w:b/>
          <w:bCs/>
          <w:i/>
          <w:iCs/>
        </w:rPr>
        <w:t>Int J Clin Exp Hypn</w:t>
      </w:r>
      <w:r w:rsidRPr="00D61F73">
        <w:rPr>
          <w:rFonts w:ascii="Arial" w:hAnsi="Arial" w:cs="Arial"/>
          <w:b/>
          <w:bCs/>
        </w:rPr>
        <w:t>. 2011 Jan;59(1):45-63.</w:t>
      </w:r>
    </w:p>
    <w:p w14:paraId="46AF0B8E" w14:textId="77777777" w:rsidR="008D0565" w:rsidRPr="00D61F73" w:rsidRDefault="008D0565" w:rsidP="00D61F73">
      <w:pPr>
        <w:rPr>
          <w:rFonts w:ascii="Arial" w:hAnsi="Arial" w:cs="Arial"/>
        </w:rPr>
      </w:pPr>
    </w:p>
    <w:p w14:paraId="445B26DE" w14:textId="77777777" w:rsidR="008D0565" w:rsidRPr="00D61F73" w:rsidRDefault="008D0565" w:rsidP="00D61F73">
      <w:pPr>
        <w:rPr>
          <w:rFonts w:ascii="Arial" w:hAnsi="Arial" w:cs="Arial"/>
        </w:rPr>
      </w:pPr>
      <w:r w:rsidRPr="00D61F73">
        <w:rPr>
          <w:rFonts w:ascii="Arial" w:hAnsi="Arial" w:cs="Arial"/>
        </w:rPr>
        <w:t xml:space="preserve">The findings supported the greater beneficial effects of HYP, relative to CR, on average pain intensity. The CR-HYP treatment appeared to have beneficial effects greater than the effects of CR and HYP alone. </w:t>
      </w:r>
    </w:p>
    <w:p w14:paraId="77EEFC25" w14:textId="77777777" w:rsidR="008D0565" w:rsidRPr="00D61F73" w:rsidRDefault="008D0565" w:rsidP="00D61F73">
      <w:pPr>
        <w:rPr>
          <w:rFonts w:ascii="Arial" w:hAnsi="Arial" w:cs="Arial"/>
        </w:rPr>
      </w:pPr>
    </w:p>
    <w:p w14:paraId="264C0E0E" w14:textId="77777777" w:rsidR="008D0565" w:rsidRPr="00D61F73" w:rsidRDefault="008D0565" w:rsidP="00D61F73">
      <w:pPr>
        <w:rPr>
          <w:rFonts w:ascii="Arial" w:hAnsi="Arial" w:cs="Arial"/>
        </w:rPr>
      </w:pPr>
      <w:r w:rsidRPr="00D61F73">
        <w:rPr>
          <w:rFonts w:ascii="Arial" w:hAnsi="Arial" w:cs="Arial"/>
        </w:rPr>
        <w:t xml:space="preserve">PMID: </w:t>
      </w:r>
      <w:hyperlink r:id="rId505" w:history="1">
        <w:r w:rsidRPr="00D61F73">
          <w:rPr>
            <w:rStyle w:val="Hyperlink"/>
            <w:rFonts w:ascii="Arial" w:hAnsi="Arial" w:cs="Arial"/>
          </w:rPr>
          <w:t>21104484</w:t>
        </w:r>
      </w:hyperlink>
      <w:r w:rsidRPr="00D61F73">
        <w:rPr>
          <w:rFonts w:ascii="Arial" w:hAnsi="Arial" w:cs="Arial"/>
        </w:rPr>
        <w:t xml:space="preserve"> </w:t>
      </w:r>
    </w:p>
    <w:p w14:paraId="4EC3F73E" w14:textId="77777777" w:rsidR="008D0565" w:rsidRPr="00D61F73" w:rsidRDefault="008D0565" w:rsidP="00D61F73">
      <w:pPr>
        <w:rPr>
          <w:rFonts w:ascii="Arial" w:hAnsi="Arial" w:cs="Arial"/>
        </w:rPr>
      </w:pPr>
    </w:p>
    <w:p w14:paraId="4EF0DC4A" w14:textId="77777777" w:rsidR="008D0565" w:rsidRPr="00D61F73" w:rsidRDefault="008D0565" w:rsidP="00D61F73">
      <w:pPr>
        <w:rPr>
          <w:rFonts w:ascii="Arial" w:hAnsi="Arial" w:cs="Arial"/>
        </w:rPr>
      </w:pPr>
      <w:r w:rsidRPr="00D61F73">
        <w:rPr>
          <w:rFonts w:ascii="Arial" w:hAnsi="Arial" w:cs="Arial"/>
        </w:rPr>
        <w:t>Rating: 2c</w:t>
      </w:r>
    </w:p>
    <w:p w14:paraId="093FE9C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Ji</w:t>
      </w:r>
      <w:bookmarkStart w:id="813" w:name="Jick"/>
      <w:bookmarkEnd w:id="813"/>
      <w:r w:rsidRPr="00D61F73">
        <w:rPr>
          <w:rFonts w:ascii="Arial" w:hAnsi="Arial" w:cs="Arial"/>
          <w:b/>
          <w:bCs/>
        </w:rPr>
        <w:t xml:space="preserve">ck H, Kaye JA, Jick SS. Antidepressants and the risk of suicidal behaviors. </w:t>
      </w:r>
      <w:r w:rsidRPr="00D61F73">
        <w:rPr>
          <w:rFonts w:ascii="Arial" w:hAnsi="Arial" w:cs="Arial"/>
          <w:b/>
          <w:bCs/>
          <w:i/>
          <w:iCs/>
        </w:rPr>
        <w:t>JAMA</w:t>
      </w:r>
      <w:r w:rsidRPr="00D61F73">
        <w:rPr>
          <w:rFonts w:ascii="Arial" w:hAnsi="Arial" w:cs="Arial"/>
          <w:b/>
          <w:bCs/>
        </w:rPr>
        <w:t>. 2004 Jul 21;292(3):338-43.</w:t>
      </w:r>
    </w:p>
    <w:p w14:paraId="73F7A060" w14:textId="77777777" w:rsidR="008D0565" w:rsidRPr="00D61F73" w:rsidRDefault="008D0565" w:rsidP="00D61F73">
      <w:pPr>
        <w:rPr>
          <w:rFonts w:ascii="Arial" w:hAnsi="Arial" w:cs="Arial"/>
        </w:rPr>
      </w:pPr>
    </w:p>
    <w:p w14:paraId="7DD0681A" w14:textId="77777777" w:rsidR="008D0565" w:rsidRPr="00D61F73" w:rsidRDefault="008D0565" w:rsidP="00D61F73">
      <w:pPr>
        <w:rPr>
          <w:rFonts w:ascii="Arial" w:hAnsi="Arial" w:cs="Arial"/>
        </w:rPr>
      </w:pPr>
      <w:r w:rsidRPr="00D61F73">
        <w:rPr>
          <w:rFonts w:ascii="Arial" w:hAnsi="Arial" w:cs="Arial"/>
        </w:rPr>
        <w:t xml:space="preserve"> “The risk of suicidal behavior after starting antidepressant treatment is similar among users of amitriptyline, fluoxetine, and paroxetine compared with the risk among users of dothiepin.”</w:t>
      </w:r>
    </w:p>
    <w:p w14:paraId="3F369692" w14:textId="77777777" w:rsidR="008D0565" w:rsidRPr="00D61F73" w:rsidRDefault="008D0565" w:rsidP="00D61F73">
      <w:pPr>
        <w:rPr>
          <w:rFonts w:ascii="Arial" w:hAnsi="Arial" w:cs="Arial"/>
        </w:rPr>
      </w:pPr>
    </w:p>
    <w:p w14:paraId="2C3B32E3" w14:textId="77777777" w:rsidR="008D0565" w:rsidRPr="00D61F73" w:rsidRDefault="008D0565" w:rsidP="00D61F73">
      <w:pPr>
        <w:rPr>
          <w:rFonts w:ascii="Arial" w:hAnsi="Arial" w:cs="Arial"/>
        </w:rPr>
      </w:pPr>
      <w:r w:rsidRPr="00D61F73">
        <w:rPr>
          <w:rFonts w:ascii="Arial" w:hAnsi="Arial" w:cs="Arial"/>
        </w:rPr>
        <w:t xml:space="preserve">PMID: </w:t>
      </w:r>
      <w:hyperlink r:id="rId506" w:history="1">
        <w:r w:rsidRPr="00D61F73">
          <w:rPr>
            <w:rStyle w:val="Hyperlink"/>
            <w:rFonts w:ascii="Arial" w:hAnsi="Arial" w:cs="Arial"/>
          </w:rPr>
          <w:t>15265848</w:t>
        </w:r>
      </w:hyperlink>
      <w:r w:rsidRPr="00D61F73">
        <w:rPr>
          <w:rFonts w:ascii="Arial" w:hAnsi="Arial" w:cs="Arial"/>
        </w:rPr>
        <w:t xml:space="preserve"> </w:t>
      </w:r>
    </w:p>
    <w:p w14:paraId="761BEBC1" w14:textId="77777777" w:rsidR="008D0565" w:rsidRPr="00D61F73" w:rsidRDefault="008D0565" w:rsidP="00D61F73">
      <w:pPr>
        <w:rPr>
          <w:rFonts w:ascii="Arial" w:hAnsi="Arial" w:cs="Arial"/>
        </w:rPr>
      </w:pPr>
    </w:p>
    <w:p w14:paraId="28303B48" w14:textId="77777777" w:rsidR="008D0565" w:rsidRPr="00D61F73" w:rsidRDefault="008D0565" w:rsidP="00D61F73">
      <w:pPr>
        <w:rPr>
          <w:rFonts w:ascii="Arial" w:hAnsi="Arial" w:cs="Arial"/>
        </w:rPr>
      </w:pPr>
      <w:r w:rsidRPr="00D61F73">
        <w:rPr>
          <w:rFonts w:ascii="Arial" w:hAnsi="Arial" w:cs="Arial"/>
        </w:rPr>
        <w:t>Rating: 4a</w:t>
      </w:r>
    </w:p>
    <w:p w14:paraId="5D5F0FD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J</w:t>
      </w:r>
      <w:bookmarkStart w:id="814" w:name="Johnsen"/>
      <w:bookmarkEnd w:id="814"/>
      <w:r w:rsidRPr="00D61F73">
        <w:rPr>
          <w:rFonts w:ascii="Arial" w:hAnsi="Arial" w:cs="Arial"/>
          <w:b/>
          <w:bCs/>
        </w:rPr>
        <w:t xml:space="preserve">ohnsen SP, Larsson H, Tarone RE, McLaughlin JK, Norgard B, Friis S, Sorensen HT. Risk of hospitalization for myocardial infarction among users of rofecoxib, celecoxib, and other NSAIDs: a population-based case-control study. </w:t>
      </w:r>
      <w:r w:rsidRPr="00D61F73">
        <w:rPr>
          <w:rFonts w:ascii="Arial" w:hAnsi="Arial" w:cs="Arial"/>
          <w:b/>
          <w:bCs/>
          <w:i/>
          <w:iCs/>
        </w:rPr>
        <w:t>Arch Intern Med.</w:t>
      </w:r>
      <w:r w:rsidRPr="00D61F73">
        <w:rPr>
          <w:rFonts w:ascii="Arial" w:hAnsi="Arial" w:cs="Arial"/>
          <w:b/>
          <w:bCs/>
        </w:rPr>
        <w:t xml:space="preserve"> 2005 May 9;165(9):978-84.</w:t>
      </w:r>
    </w:p>
    <w:p w14:paraId="22EFD7BE" w14:textId="77777777" w:rsidR="008D0565" w:rsidRPr="00D61F73" w:rsidRDefault="008D0565" w:rsidP="00D61F73">
      <w:pPr>
        <w:rPr>
          <w:rFonts w:ascii="Arial" w:hAnsi="Arial" w:cs="Arial"/>
        </w:rPr>
      </w:pPr>
    </w:p>
    <w:p w14:paraId="66345AAE" w14:textId="77777777" w:rsidR="008D0565" w:rsidRPr="00D61F73" w:rsidRDefault="008D0565" w:rsidP="00D61F73">
      <w:pPr>
        <w:rPr>
          <w:rFonts w:ascii="Arial" w:hAnsi="Arial" w:cs="Arial"/>
        </w:rPr>
      </w:pPr>
      <w:r w:rsidRPr="00D61F73">
        <w:rPr>
          <w:rFonts w:ascii="Arial" w:hAnsi="Arial" w:cs="Arial"/>
        </w:rPr>
        <w:t xml:space="preserve">CONCLUSIONS: Current and new users of all classes of nonaspirin NSAIDs had elevated relative risk estimates for MI. </w:t>
      </w:r>
      <w:r w:rsidRPr="00D61F73">
        <w:rPr>
          <w:rFonts w:ascii="Arial" w:hAnsi="Arial" w:cs="Arial"/>
        </w:rPr>
        <w:cr/>
      </w:r>
    </w:p>
    <w:p w14:paraId="0187AA12" w14:textId="77777777" w:rsidR="008D0565" w:rsidRPr="00D61F73" w:rsidRDefault="008D0565" w:rsidP="00D61F73">
      <w:pPr>
        <w:rPr>
          <w:rFonts w:ascii="Arial" w:hAnsi="Arial" w:cs="Arial"/>
        </w:rPr>
      </w:pPr>
      <w:r w:rsidRPr="00D61F73">
        <w:rPr>
          <w:rFonts w:ascii="Arial" w:hAnsi="Arial" w:cs="Arial"/>
        </w:rPr>
        <w:t xml:space="preserve">PMID: </w:t>
      </w:r>
      <w:hyperlink r:id="rId507" w:history="1">
        <w:r w:rsidRPr="00D61F73">
          <w:rPr>
            <w:rStyle w:val="Hyperlink"/>
            <w:rFonts w:ascii="Arial" w:hAnsi="Arial" w:cs="Arial"/>
          </w:rPr>
          <w:t>15883235</w:t>
        </w:r>
      </w:hyperlink>
      <w:r w:rsidRPr="00D61F73">
        <w:rPr>
          <w:rFonts w:ascii="Arial" w:hAnsi="Arial" w:cs="Arial"/>
        </w:rPr>
        <w:t xml:space="preserve"> </w:t>
      </w:r>
    </w:p>
    <w:p w14:paraId="4C941462" w14:textId="77777777" w:rsidR="008D0565" w:rsidRPr="00D61F73" w:rsidRDefault="008D0565" w:rsidP="00D61F73">
      <w:pPr>
        <w:rPr>
          <w:rFonts w:ascii="Arial" w:hAnsi="Arial" w:cs="Arial"/>
        </w:rPr>
      </w:pPr>
    </w:p>
    <w:p w14:paraId="67DED502" w14:textId="77777777" w:rsidR="008D0565" w:rsidRPr="00D61F73" w:rsidRDefault="008D0565" w:rsidP="00D61F73">
      <w:pPr>
        <w:rPr>
          <w:rFonts w:ascii="Arial" w:hAnsi="Arial" w:cs="Arial"/>
        </w:rPr>
      </w:pPr>
      <w:r w:rsidRPr="00D61F73">
        <w:rPr>
          <w:rFonts w:ascii="Arial" w:hAnsi="Arial" w:cs="Arial"/>
        </w:rPr>
        <w:t>Rating: 4a</w:t>
      </w:r>
    </w:p>
    <w:p w14:paraId="6A9E981F"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J</w:t>
      </w:r>
      <w:bookmarkStart w:id="815" w:name="Johnson"/>
      <w:bookmarkEnd w:id="815"/>
      <w:r w:rsidRPr="00D61F73">
        <w:rPr>
          <w:rFonts w:ascii="Arial" w:hAnsi="Arial" w:cs="Arial"/>
          <w:b/>
        </w:rPr>
        <w:t xml:space="preserve">ohnson M, Martinson M. Efficacy of electrical nerve stimulation for chronic musculoskeletal pain: A meta-analysis of randomized controlled trials. </w:t>
      </w:r>
      <w:r w:rsidRPr="00D61F73">
        <w:rPr>
          <w:rFonts w:ascii="Arial" w:hAnsi="Arial" w:cs="Arial"/>
          <w:b/>
          <w:i/>
        </w:rPr>
        <w:t>Pain</w:t>
      </w:r>
      <w:r w:rsidRPr="00D61F73">
        <w:rPr>
          <w:rFonts w:ascii="Arial" w:hAnsi="Arial" w:cs="Arial"/>
          <w:b/>
        </w:rPr>
        <w:t>. 2007 Jul;130(1-2):157-65. Epub 2007 Mar 23.</w:t>
      </w:r>
    </w:p>
    <w:p w14:paraId="613EDAC4" w14:textId="77777777" w:rsidR="008D0565" w:rsidRPr="00D61F73" w:rsidRDefault="008D0565" w:rsidP="00D61F73">
      <w:pPr>
        <w:rPr>
          <w:rFonts w:ascii="Arial" w:hAnsi="Arial" w:cs="Arial"/>
        </w:rPr>
      </w:pPr>
    </w:p>
    <w:p w14:paraId="435B748F" w14:textId="77777777" w:rsidR="008D0565" w:rsidRPr="00D61F73" w:rsidRDefault="008D0565" w:rsidP="00D61F73">
      <w:pPr>
        <w:rPr>
          <w:rFonts w:ascii="Arial" w:hAnsi="Arial" w:cs="Arial"/>
        </w:rPr>
      </w:pPr>
      <w:r w:rsidRPr="00D61F73">
        <w:rPr>
          <w:rFonts w:ascii="Arial" w:hAnsi="Arial" w:cs="Arial"/>
        </w:rPr>
        <w:t xml:space="preserve">PMID: </w:t>
      </w:r>
      <w:hyperlink r:id="rId508" w:history="1">
        <w:r w:rsidRPr="00D61F73">
          <w:rPr>
            <w:rStyle w:val="Hyperlink"/>
            <w:rFonts w:ascii="Arial" w:hAnsi="Arial" w:cs="Arial"/>
          </w:rPr>
          <w:t>17383095</w:t>
        </w:r>
      </w:hyperlink>
      <w:r w:rsidRPr="00D61F73">
        <w:rPr>
          <w:rFonts w:ascii="Arial" w:hAnsi="Arial" w:cs="Arial"/>
        </w:rPr>
        <w:t xml:space="preserve"> </w:t>
      </w:r>
    </w:p>
    <w:p w14:paraId="2693663F" w14:textId="77777777" w:rsidR="008D0565" w:rsidRPr="00D61F73" w:rsidRDefault="008D0565" w:rsidP="00D61F73">
      <w:pPr>
        <w:rPr>
          <w:rFonts w:ascii="Arial" w:hAnsi="Arial" w:cs="Arial"/>
        </w:rPr>
      </w:pPr>
    </w:p>
    <w:p w14:paraId="7FC63F9F" w14:textId="77777777" w:rsidR="008D0565" w:rsidRPr="00D61F73" w:rsidRDefault="008D0565" w:rsidP="00D61F73">
      <w:pPr>
        <w:rPr>
          <w:rFonts w:ascii="Arial" w:hAnsi="Arial" w:cs="Arial"/>
        </w:rPr>
      </w:pPr>
      <w:r w:rsidRPr="00D61F73">
        <w:rPr>
          <w:rFonts w:ascii="Arial" w:hAnsi="Arial" w:cs="Arial"/>
        </w:rPr>
        <w:t>Rating: 1c</w:t>
      </w:r>
    </w:p>
    <w:p w14:paraId="7383B490" w14:textId="77777777" w:rsidR="008D0565" w:rsidRPr="00D61F73" w:rsidRDefault="008D0565" w:rsidP="00D61F73">
      <w:pPr>
        <w:rPr>
          <w:rFonts w:ascii="Arial" w:hAnsi="Arial" w:cs="Arial"/>
        </w:rPr>
      </w:pPr>
    </w:p>
    <w:p w14:paraId="1EB2F79E" w14:textId="77777777" w:rsidR="008D0565" w:rsidRPr="00D61F73" w:rsidRDefault="008D0565" w:rsidP="00D61F73">
      <w:pPr>
        <w:rPr>
          <w:rFonts w:ascii="Arial" w:hAnsi="Arial" w:cs="Arial"/>
        </w:rPr>
      </w:pPr>
      <w:r w:rsidRPr="00D61F73">
        <w:rPr>
          <w:rFonts w:ascii="Arial" w:hAnsi="Arial" w:cs="Arial"/>
        </w:rPr>
        <w:t>This meta-analysis came to the conclusion that electrical nerve stimulation (ENS) provided a significant decrease in chronic pain. ENS of most types was applied to any anatomic location of chronic musculoskeletal pain (back, knee, hip, neck) for any length of treatment. Of the 38 studies used in the analysis, 35 favored ENS over placebo. All locations were included as “mechanism, rather than anatomic location of pain, is likely to be a critical factor for therapy.” This study was funded by Empi, Inc. and performed by an independent contractor, Princeton Reimbursement Group. This group provides consulting services to medical technology companies to address reimbursement issues.</w:t>
      </w:r>
    </w:p>
    <w:p w14:paraId="52D23340" w14:textId="77777777" w:rsidR="008D0565" w:rsidRPr="00D61F73" w:rsidRDefault="008D0565" w:rsidP="00D61F73">
      <w:pPr>
        <w:rPr>
          <w:rFonts w:ascii="Arial" w:hAnsi="Arial" w:cs="Arial"/>
        </w:rPr>
      </w:pPr>
    </w:p>
    <w:p w14:paraId="650509B2" w14:textId="77777777" w:rsidR="008D0565" w:rsidRPr="00D61F73" w:rsidRDefault="008D0565" w:rsidP="00402D57">
      <w:pPr>
        <w:pStyle w:val="Normal1"/>
        <w:framePr w:wrap="around"/>
      </w:pPr>
      <w:r w:rsidRPr="00D61F73">
        <w:br w:type="page"/>
        <w:t>J</w:t>
      </w:r>
      <w:bookmarkStart w:id="816" w:name="Jordan"/>
      <w:bookmarkEnd w:id="816"/>
      <w:r w:rsidRPr="00D61F73">
        <w:t xml:space="preserve">ordan KD, Mayer TG, Gatchel RJ. Should extended disability be an exclusion criterion for tertiary rehabilitation? Socioeconomic outcomes of early versus late functional restoration in compensation spinal disorders. </w:t>
      </w:r>
      <w:r w:rsidRPr="00D61F73">
        <w:rPr>
          <w:i/>
        </w:rPr>
        <w:t>Spine.</w:t>
      </w:r>
      <w:r w:rsidRPr="00D61F73">
        <w:t xml:space="preserve"> 1998 Oct 1;23(19):2110-6; discussion 2117.</w:t>
      </w:r>
    </w:p>
    <w:p w14:paraId="0D51DDA4" w14:textId="77777777" w:rsidR="008D0565" w:rsidRPr="00D61F73" w:rsidRDefault="008D0565" w:rsidP="00D61F73">
      <w:pPr>
        <w:rPr>
          <w:rFonts w:ascii="Arial" w:hAnsi="Arial" w:cs="Arial"/>
        </w:rPr>
      </w:pPr>
    </w:p>
    <w:p w14:paraId="18B0863E" w14:textId="77777777" w:rsidR="008D0565" w:rsidRPr="00D61F73" w:rsidRDefault="008D0565" w:rsidP="00D61F73">
      <w:pPr>
        <w:rPr>
          <w:rFonts w:ascii="Arial" w:hAnsi="Arial" w:cs="Arial"/>
        </w:rPr>
      </w:pPr>
      <w:r w:rsidRPr="00D61F73">
        <w:rPr>
          <w:rFonts w:ascii="Arial" w:hAnsi="Arial" w:cs="Arial"/>
        </w:rPr>
        <w:t xml:space="preserve">CONCLUSIONS: This study suggests that early tertiary nonoperative care, once patients with chronic spinal disorders are identified as having potentially high-cost chronic pain and disability, is efficacious in achieving goals of better work return and work retention. </w:t>
      </w:r>
    </w:p>
    <w:p w14:paraId="471AABB3" w14:textId="77777777" w:rsidR="008D0565" w:rsidRPr="00D61F73" w:rsidRDefault="008D0565" w:rsidP="00D61F73">
      <w:pPr>
        <w:rPr>
          <w:rFonts w:ascii="Arial" w:hAnsi="Arial" w:cs="Arial"/>
        </w:rPr>
      </w:pPr>
    </w:p>
    <w:p w14:paraId="6539CE30" w14:textId="77777777" w:rsidR="008D0565" w:rsidRPr="00D61F73" w:rsidRDefault="008D0565" w:rsidP="00D61F73">
      <w:pPr>
        <w:rPr>
          <w:rFonts w:ascii="Arial" w:hAnsi="Arial" w:cs="Arial"/>
        </w:rPr>
      </w:pPr>
      <w:r w:rsidRPr="00D61F73">
        <w:rPr>
          <w:rFonts w:ascii="Arial" w:hAnsi="Arial" w:cs="Arial"/>
        </w:rPr>
        <w:t xml:space="preserve">PMID: </w:t>
      </w:r>
      <w:hyperlink r:id="rId509" w:history="1">
        <w:r w:rsidRPr="00D61F73">
          <w:rPr>
            <w:rStyle w:val="Hyperlink"/>
            <w:rFonts w:ascii="Arial" w:hAnsi="Arial" w:cs="Arial"/>
          </w:rPr>
          <w:t>9794056</w:t>
        </w:r>
      </w:hyperlink>
      <w:r w:rsidRPr="00D61F73">
        <w:rPr>
          <w:rFonts w:ascii="Arial" w:hAnsi="Arial" w:cs="Arial"/>
        </w:rPr>
        <w:t xml:space="preserve"> </w:t>
      </w:r>
    </w:p>
    <w:p w14:paraId="75A7F14F" w14:textId="77777777" w:rsidR="008D0565" w:rsidRPr="00D61F73" w:rsidRDefault="008D0565" w:rsidP="00D61F73">
      <w:pPr>
        <w:rPr>
          <w:rFonts w:ascii="Arial" w:hAnsi="Arial" w:cs="Arial"/>
        </w:rPr>
      </w:pPr>
    </w:p>
    <w:p w14:paraId="46E156CA" w14:textId="77777777" w:rsidR="008D0565" w:rsidRPr="00D61F73" w:rsidRDefault="008D0565" w:rsidP="00D61F73">
      <w:pPr>
        <w:rPr>
          <w:rFonts w:ascii="Arial" w:hAnsi="Arial" w:cs="Arial"/>
        </w:rPr>
      </w:pPr>
      <w:r w:rsidRPr="00D61F73">
        <w:rPr>
          <w:rFonts w:ascii="Arial" w:hAnsi="Arial" w:cs="Arial"/>
        </w:rPr>
        <w:t>Rating: 3a</w:t>
      </w:r>
    </w:p>
    <w:p w14:paraId="4DCB5D39" w14:textId="77777777" w:rsidR="00F01D40"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17" w:name="Kahan"/>
      <w:bookmarkEnd w:id="817"/>
      <w:r w:rsidRPr="00D61F73">
        <w:rPr>
          <w:rFonts w:ascii="Arial" w:hAnsi="Arial" w:cs="Arial"/>
          <w:b/>
        </w:rPr>
        <w:t>ahan M, Srivastava A, Wilson L, Gourlay D, Midmer D. Misuse of and dependence on opioids: study of chronic pain patients</w:t>
      </w:r>
      <w:r w:rsidRPr="00D61F73">
        <w:rPr>
          <w:rFonts w:ascii="Arial" w:hAnsi="Arial" w:cs="Arial"/>
          <w:b/>
          <w:i/>
        </w:rPr>
        <w:t>. Can Fam Physician</w:t>
      </w:r>
      <w:r w:rsidRPr="00D61F73">
        <w:rPr>
          <w:rFonts w:ascii="Arial" w:hAnsi="Arial" w:cs="Arial"/>
          <w:b/>
        </w:rPr>
        <w:t>. 2006;52:1081-7.</w:t>
      </w:r>
    </w:p>
    <w:p w14:paraId="0DC42562" w14:textId="77777777" w:rsidR="00F01D40" w:rsidRPr="00D61F73" w:rsidRDefault="00F01D40" w:rsidP="00D61F73">
      <w:pPr>
        <w:rPr>
          <w:rFonts w:ascii="Arial" w:hAnsi="Arial" w:cs="Arial"/>
        </w:rPr>
      </w:pPr>
    </w:p>
    <w:p w14:paraId="38DAD3A1" w14:textId="77777777" w:rsidR="008D0565" w:rsidRPr="00D61F73" w:rsidRDefault="008D0565" w:rsidP="00D61F73">
      <w:pPr>
        <w:rPr>
          <w:rFonts w:ascii="Arial" w:hAnsi="Arial" w:cs="Arial"/>
        </w:rPr>
      </w:pPr>
      <w:r w:rsidRPr="00D61F73">
        <w:rPr>
          <w:rFonts w:ascii="Arial" w:hAnsi="Arial" w:cs="Arial"/>
        </w:rPr>
        <w:t xml:space="preserve">PMID: </w:t>
      </w:r>
      <w:hyperlink r:id="rId510" w:history="1">
        <w:r w:rsidRPr="00D61F73">
          <w:rPr>
            <w:rStyle w:val="Hyperlink"/>
            <w:rFonts w:ascii="Arial" w:hAnsi="Arial" w:cs="Arial"/>
          </w:rPr>
          <w:t>17279218</w:t>
        </w:r>
      </w:hyperlink>
    </w:p>
    <w:p w14:paraId="3DF595B7" w14:textId="77777777" w:rsidR="008D0565" w:rsidRPr="00D61F73" w:rsidRDefault="008D0565" w:rsidP="00D61F73">
      <w:pPr>
        <w:rPr>
          <w:rFonts w:ascii="Arial" w:hAnsi="Arial" w:cs="Arial"/>
        </w:rPr>
      </w:pPr>
    </w:p>
    <w:p w14:paraId="117D593C" w14:textId="77777777" w:rsidR="008D0565" w:rsidRPr="00D61F73" w:rsidRDefault="008D0565" w:rsidP="00D61F73">
      <w:pPr>
        <w:rPr>
          <w:rFonts w:ascii="Arial" w:hAnsi="Arial" w:cs="Arial"/>
        </w:rPr>
      </w:pPr>
      <w:r w:rsidRPr="00D61F73">
        <w:rPr>
          <w:rFonts w:ascii="Arial" w:hAnsi="Arial" w:cs="Arial"/>
        </w:rPr>
        <w:t>Rating 5b</w:t>
      </w:r>
    </w:p>
    <w:p w14:paraId="10D51EC7" w14:textId="77777777" w:rsidR="006D673C" w:rsidRPr="00D61F73" w:rsidRDefault="006D673C" w:rsidP="00D61F73">
      <w:pPr>
        <w:rPr>
          <w:rFonts w:ascii="Arial" w:hAnsi="Arial" w:cs="Arial"/>
        </w:rPr>
      </w:pPr>
      <w:r w:rsidRPr="00D61F73">
        <w:rPr>
          <w:rFonts w:ascii="Arial" w:hAnsi="Arial" w:cs="Arial"/>
        </w:rPr>
        <w:br w:type="page"/>
      </w:r>
      <w:bookmarkStart w:id="818" w:name="Kalyani2010"/>
      <w:r w:rsidRPr="00D61F73">
        <w:rPr>
          <w:rFonts w:ascii="Arial" w:hAnsi="Arial" w:cs="Arial"/>
          <w:b/>
          <w:bCs/>
        </w:rPr>
        <w:lastRenderedPageBreak/>
        <w:t>Kalyani</w:t>
      </w:r>
      <w:bookmarkEnd w:id="818"/>
      <w:r w:rsidRPr="00D61F73">
        <w:rPr>
          <w:rFonts w:ascii="Arial" w:hAnsi="Arial" w:cs="Arial"/>
          <w:b/>
          <w:bCs/>
        </w:rPr>
        <w:t xml:space="preserve"> RR, Stein B, Valiyil R, Manno R, Maynard JW, Crews DC. Vitamin D treatment for the prevention of falls in older adults: systematic review and meta-analysis. </w:t>
      </w:r>
      <w:r w:rsidRPr="00D61F73">
        <w:rPr>
          <w:rFonts w:ascii="Arial" w:hAnsi="Arial" w:cs="Arial"/>
          <w:b/>
          <w:bCs/>
          <w:i/>
          <w:iCs/>
        </w:rPr>
        <w:t>J Am Geriatr Soc</w:t>
      </w:r>
      <w:r w:rsidRPr="00D61F73">
        <w:rPr>
          <w:rFonts w:ascii="Arial" w:hAnsi="Arial" w:cs="Arial"/>
          <w:b/>
          <w:bCs/>
        </w:rPr>
        <w:t>. 2010 Jul;58(7):1299-310. Epub 2010 Jun 23.</w:t>
      </w:r>
    </w:p>
    <w:p w14:paraId="5B0A72D0" w14:textId="77777777" w:rsidR="006D673C" w:rsidRPr="00D61F73" w:rsidRDefault="006D673C" w:rsidP="00D61F73">
      <w:pPr>
        <w:rPr>
          <w:rFonts w:ascii="Arial" w:hAnsi="Arial" w:cs="Arial"/>
        </w:rPr>
      </w:pPr>
      <w:r w:rsidRPr="00D61F73">
        <w:rPr>
          <w:rFonts w:ascii="Arial" w:hAnsi="Arial" w:cs="Arial"/>
        </w:rPr>
        <w:t> </w:t>
      </w:r>
    </w:p>
    <w:p w14:paraId="3AE36A15" w14:textId="77777777" w:rsidR="006D673C" w:rsidRPr="00D61F73" w:rsidRDefault="006D673C" w:rsidP="00D61F73">
      <w:pPr>
        <w:rPr>
          <w:rFonts w:ascii="Arial" w:hAnsi="Arial" w:cs="Arial"/>
        </w:rPr>
      </w:pPr>
      <w:r w:rsidRPr="00D61F73">
        <w:rPr>
          <w:rFonts w:ascii="Arial" w:hAnsi="Arial" w:cs="Arial"/>
        </w:rPr>
        <w:t>CONCLUSION: Vitamin D treatment effectively reduces the risk of falls in older adults.</w:t>
      </w:r>
    </w:p>
    <w:p w14:paraId="41697D46" w14:textId="77777777" w:rsidR="006D673C" w:rsidRPr="00D61F73" w:rsidRDefault="006D673C" w:rsidP="00D61F73">
      <w:pPr>
        <w:rPr>
          <w:rFonts w:ascii="Arial" w:hAnsi="Arial" w:cs="Arial"/>
        </w:rPr>
      </w:pPr>
      <w:r w:rsidRPr="00D61F73">
        <w:rPr>
          <w:rFonts w:ascii="Arial" w:hAnsi="Arial" w:cs="Arial"/>
        </w:rPr>
        <w:t> </w:t>
      </w:r>
    </w:p>
    <w:p w14:paraId="06F7B183" w14:textId="77777777" w:rsidR="006D673C" w:rsidRPr="00D61F73" w:rsidRDefault="006D673C" w:rsidP="00D61F73">
      <w:pPr>
        <w:rPr>
          <w:rFonts w:ascii="Arial" w:hAnsi="Arial" w:cs="Arial"/>
        </w:rPr>
      </w:pPr>
      <w:r w:rsidRPr="00D61F73">
        <w:rPr>
          <w:rFonts w:ascii="Arial" w:hAnsi="Arial" w:cs="Arial"/>
        </w:rPr>
        <w:t>PMID: </w:t>
      </w:r>
      <w:hyperlink r:id="rId511" w:history="1">
        <w:r w:rsidRPr="00D61F73">
          <w:rPr>
            <w:rStyle w:val="Hyperlink"/>
            <w:rFonts w:ascii="Arial" w:hAnsi="Arial" w:cs="Arial"/>
          </w:rPr>
          <w:t>20579169</w:t>
        </w:r>
      </w:hyperlink>
    </w:p>
    <w:p w14:paraId="6761A237" w14:textId="77777777" w:rsidR="006D673C" w:rsidRPr="00D61F73" w:rsidRDefault="006D673C" w:rsidP="00D61F73">
      <w:pPr>
        <w:rPr>
          <w:rFonts w:ascii="Arial" w:hAnsi="Arial" w:cs="Arial"/>
        </w:rPr>
      </w:pPr>
      <w:r w:rsidRPr="00D61F73">
        <w:rPr>
          <w:rFonts w:ascii="Arial" w:hAnsi="Arial" w:cs="Arial"/>
        </w:rPr>
        <w:t> </w:t>
      </w:r>
    </w:p>
    <w:p w14:paraId="2798F797" w14:textId="77777777" w:rsidR="006D673C" w:rsidRPr="00D61F73" w:rsidRDefault="006D673C" w:rsidP="00D61F73">
      <w:pPr>
        <w:rPr>
          <w:rFonts w:ascii="Arial" w:hAnsi="Arial" w:cs="Arial"/>
        </w:rPr>
      </w:pPr>
      <w:r w:rsidRPr="00D61F73">
        <w:rPr>
          <w:rFonts w:ascii="Arial" w:hAnsi="Arial" w:cs="Arial"/>
        </w:rPr>
        <w:t>Rating: 1b</w:t>
      </w:r>
    </w:p>
    <w:p w14:paraId="325F2D01" w14:textId="77777777" w:rsidR="006D673C" w:rsidRPr="00D61F73" w:rsidRDefault="006D673C" w:rsidP="00D61F73">
      <w:pPr>
        <w:rPr>
          <w:rFonts w:ascii="Arial" w:hAnsi="Arial" w:cs="Arial"/>
        </w:rPr>
      </w:pPr>
      <w:r w:rsidRPr="00D61F73">
        <w:rPr>
          <w:rFonts w:ascii="Arial" w:hAnsi="Arial" w:cs="Arial"/>
        </w:rPr>
        <w:t> </w:t>
      </w:r>
    </w:p>
    <w:p w14:paraId="084E4E57" w14:textId="77777777" w:rsidR="006D673C" w:rsidRPr="00D61F73" w:rsidRDefault="006D673C" w:rsidP="00D61F73">
      <w:pPr>
        <w:rPr>
          <w:rFonts w:ascii="Arial" w:hAnsi="Arial" w:cs="Arial"/>
        </w:rPr>
      </w:pPr>
    </w:p>
    <w:p w14:paraId="3F202451" w14:textId="77777777" w:rsidR="006D673C" w:rsidRPr="00D61F73" w:rsidRDefault="006D673C" w:rsidP="00D61F73">
      <w:pPr>
        <w:rPr>
          <w:rFonts w:ascii="Arial" w:hAnsi="Arial" w:cs="Arial"/>
        </w:rPr>
      </w:pPr>
    </w:p>
    <w:p w14:paraId="4F1E008E" w14:textId="77777777" w:rsidR="004D016A" w:rsidRPr="00D61F73" w:rsidRDefault="004D016A" w:rsidP="00D61F73">
      <w:pPr>
        <w:rPr>
          <w:rFonts w:ascii="Arial" w:hAnsi="Arial" w:cs="Arial"/>
        </w:rPr>
      </w:pPr>
      <w:r w:rsidRPr="00D61F73">
        <w:rPr>
          <w:rFonts w:ascii="Arial" w:hAnsi="Arial" w:cs="Arial"/>
        </w:rPr>
        <w:br w:type="page"/>
      </w:r>
      <w:bookmarkStart w:id="819" w:name="Kamanli"/>
      <w:bookmarkEnd w:id="819"/>
      <w:r w:rsidRPr="00D61F73">
        <w:rPr>
          <w:rFonts w:ascii="Arial" w:hAnsi="Arial" w:cs="Arial"/>
          <w:b/>
          <w:bCs/>
        </w:rPr>
        <w:lastRenderedPageBreak/>
        <w:t>Kamanli A, Kaya A, Ardicoglu O, Ozgocmen S, Zengin FO, Bayik Y. Comparison of lidocaine injection, botulinum toxin injection, and dry needling to trigger points in myofascial pain syndrome. </w:t>
      </w:r>
      <w:r w:rsidRPr="00D61F73">
        <w:rPr>
          <w:rFonts w:ascii="Arial" w:hAnsi="Arial" w:cs="Arial"/>
          <w:b/>
          <w:bCs/>
          <w:i/>
          <w:iCs/>
        </w:rPr>
        <w:t>Rheumatol Int</w:t>
      </w:r>
      <w:r w:rsidRPr="00D61F73">
        <w:rPr>
          <w:rFonts w:ascii="Arial" w:hAnsi="Arial" w:cs="Arial"/>
          <w:b/>
          <w:bCs/>
        </w:rPr>
        <w:t>. 2005 Oct;25(8):604-11. Epub 2004 Sep 15.</w:t>
      </w:r>
    </w:p>
    <w:p w14:paraId="4D082C37" w14:textId="77777777" w:rsidR="004D016A" w:rsidRPr="00D61F73" w:rsidRDefault="004D016A" w:rsidP="00D61F73">
      <w:pPr>
        <w:rPr>
          <w:rFonts w:ascii="Arial" w:hAnsi="Arial" w:cs="Arial"/>
        </w:rPr>
      </w:pPr>
      <w:r w:rsidRPr="00D61F73">
        <w:rPr>
          <w:rFonts w:ascii="Arial" w:hAnsi="Arial" w:cs="Arial"/>
        </w:rPr>
        <w:t> </w:t>
      </w:r>
    </w:p>
    <w:p w14:paraId="4D9511A5" w14:textId="77777777" w:rsidR="004D016A" w:rsidRPr="00D61F73" w:rsidRDefault="004D016A" w:rsidP="00D61F73">
      <w:pPr>
        <w:rPr>
          <w:rFonts w:ascii="Arial" w:hAnsi="Arial" w:cs="Arial"/>
        </w:rPr>
      </w:pPr>
      <w:r w:rsidRPr="00D61F73">
        <w:rPr>
          <w:rFonts w:ascii="Arial" w:hAnsi="Arial" w:cs="Arial"/>
        </w:rPr>
        <w:t>Division of Rheumatology, Department of Physical Medicine and Rehabilitation, Firat University, Elazig, Turkey. akamanli@hotmail.com</w:t>
      </w:r>
    </w:p>
    <w:p w14:paraId="6AD2D4B6" w14:textId="77777777" w:rsidR="004D016A" w:rsidRPr="00D61F73" w:rsidRDefault="004D016A" w:rsidP="00D61F73">
      <w:pPr>
        <w:rPr>
          <w:rFonts w:ascii="Arial" w:hAnsi="Arial" w:cs="Arial"/>
        </w:rPr>
      </w:pPr>
      <w:r w:rsidRPr="00D61F73">
        <w:rPr>
          <w:rFonts w:ascii="Arial" w:hAnsi="Arial" w:cs="Arial"/>
        </w:rPr>
        <w:t> </w:t>
      </w:r>
    </w:p>
    <w:p w14:paraId="353727EE" w14:textId="77777777" w:rsidR="004D016A" w:rsidRPr="00D61F73" w:rsidRDefault="004D016A" w:rsidP="00D61F73">
      <w:pPr>
        <w:rPr>
          <w:rFonts w:ascii="Arial" w:hAnsi="Arial" w:cs="Arial"/>
        </w:rPr>
      </w:pPr>
      <w:r w:rsidRPr="00D61F73">
        <w:rPr>
          <w:rFonts w:ascii="Arial" w:hAnsi="Arial" w:cs="Arial"/>
        </w:rPr>
        <w:t>CONCLUSIONS: Injection is more practical and rapid, since it causes less disturbance than dry needling and is more cost effective than BTX-A injection, and seems the treatment of choice in MPS. On the other hand, BTX-A could be selectively used in MPS patients resistant to conventional treatments.</w:t>
      </w:r>
    </w:p>
    <w:p w14:paraId="200398D3" w14:textId="77777777" w:rsidR="004D016A" w:rsidRPr="00D61F73" w:rsidRDefault="004D016A" w:rsidP="00D61F73">
      <w:pPr>
        <w:rPr>
          <w:rFonts w:ascii="Arial" w:hAnsi="Arial" w:cs="Arial"/>
        </w:rPr>
      </w:pPr>
      <w:r w:rsidRPr="00D61F73">
        <w:rPr>
          <w:rFonts w:ascii="Arial" w:hAnsi="Arial" w:cs="Arial"/>
        </w:rPr>
        <w:t> </w:t>
      </w:r>
    </w:p>
    <w:p w14:paraId="450A9571" w14:textId="77777777" w:rsidR="004D016A" w:rsidRPr="00D61F73" w:rsidRDefault="004D016A" w:rsidP="00D61F73">
      <w:pPr>
        <w:rPr>
          <w:rFonts w:ascii="Arial" w:hAnsi="Arial" w:cs="Arial"/>
        </w:rPr>
      </w:pPr>
      <w:r w:rsidRPr="00D61F73">
        <w:rPr>
          <w:rFonts w:ascii="Arial" w:hAnsi="Arial" w:cs="Arial"/>
        </w:rPr>
        <w:t>PMID: </w:t>
      </w:r>
      <w:hyperlink r:id="rId512" w:history="1">
        <w:r w:rsidRPr="00D61F73">
          <w:rPr>
            <w:rStyle w:val="Hyperlink"/>
            <w:rFonts w:ascii="Arial" w:hAnsi="Arial" w:cs="Arial"/>
          </w:rPr>
          <w:t>15372199</w:t>
        </w:r>
      </w:hyperlink>
    </w:p>
    <w:p w14:paraId="4213F222" w14:textId="77777777" w:rsidR="004D016A" w:rsidRPr="00D61F73" w:rsidRDefault="004D016A" w:rsidP="00D61F73">
      <w:pPr>
        <w:rPr>
          <w:rFonts w:ascii="Arial" w:hAnsi="Arial" w:cs="Arial"/>
        </w:rPr>
      </w:pPr>
      <w:r w:rsidRPr="00D61F73">
        <w:rPr>
          <w:rFonts w:ascii="Arial" w:hAnsi="Arial" w:cs="Arial"/>
        </w:rPr>
        <w:t> </w:t>
      </w:r>
    </w:p>
    <w:p w14:paraId="123CD347" w14:textId="77777777" w:rsidR="004D016A" w:rsidRPr="00D61F73" w:rsidRDefault="004D016A" w:rsidP="00D61F73">
      <w:pPr>
        <w:rPr>
          <w:rFonts w:ascii="Arial" w:hAnsi="Arial" w:cs="Arial"/>
        </w:rPr>
      </w:pPr>
      <w:r w:rsidRPr="00D61F73">
        <w:rPr>
          <w:rFonts w:ascii="Arial" w:hAnsi="Arial" w:cs="Arial"/>
        </w:rPr>
        <w:t>Rating: 2c</w:t>
      </w:r>
    </w:p>
    <w:p w14:paraId="428204D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20" w:name="Kapczinski"/>
      <w:bookmarkEnd w:id="820"/>
      <w:r w:rsidRPr="00D61F73">
        <w:rPr>
          <w:rFonts w:ascii="Arial" w:hAnsi="Arial" w:cs="Arial"/>
          <w:b/>
        </w:rPr>
        <w:t xml:space="preserve">apczinski F, Lima MS, Souza JS, Schmitt R. Antidepressants for generalized anxiety disorder. </w:t>
      </w:r>
      <w:r w:rsidRPr="00D61F73">
        <w:rPr>
          <w:rFonts w:ascii="Arial" w:hAnsi="Arial" w:cs="Arial"/>
          <w:b/>
          <w:i/>
        </w:rPr>
        <w:t>Cochrane Database Syst Rev</w:t>
      </w:r>
      <w:r w:rsidRPr="00D61F73">
        <w:rPr>
          <w:rFonts w:ascii="Arial" w:hAnsi="Arial" w:cs="Arial"/>
          <w:b/>
        </w:rPr>
        <w:t>. 2003;(2):CD003592.</w:t>
      </w:r>
    </w:p>
    <w:p w14:paraId="1101635C" w14:textId="77777777" w:rsidR="008D0565" w:rsidRPr="00D61F73" w:rsidRDefault="008D0565" w:rsidP="00D61F73">
      <w:pPr>
        <w:rPr>
          <w:rFonts w:ascii="Arial" w:hAnsi="Arial" w:cs="Arial"/>
          <w:b/>
        </w:rPr>
      </w:pPr>
    </w:p>
    <w:p w14:paraId="7D4D886D" w14:textId="77777777" w:rsidR="008D0565" w:rsidRPr="00D61F73" w:rsidRDefault="008D0565" w:rsidP="00D61F73">
      <w:pPr>
        <w:rPr>
          <w:rFonts w:ascii="Arial" w:hAnsi="Arial" w:cs="Arial"/>
        </w:rPr>
      </w:pPr>
      <w:r w:rsidRPr="00D61F73">
        <w:rPr>
          <w:rFonts w:ascii="Arial" w:hAnsi="Arial" w:cs="Arial"/>
        </w:rPr>
        <w:t xml:space="preserve">CONCLUSIONS: The available evidence suggests that antidepressants are superior to placebo in treating GAD. </w:t>
      </w:r>
    </w:p>
    <w:p w14:paraId="2277ACCB" w14:textId="77777777" w:rsidR="008D0565" w:rsidRPr="00D61F73" w:rsidRDefault="008D0565" w:rsidP="00D61F73">
      <w:pPr>
        <w:rPr>
          <w:rFonts w:ascii="Arial" w:hAnsi="Arial" w:cs="Arial"/>
        </w:rPr>
      </w:pPr>
    </w:p>
    <w:p w14:paraId="642CB080" w14:textId="77777777" w:rsidR="008D0565" w:rsidRPr="00D61F73" w:rsidRDefault="008D0565" w:rsidP="00D61F73">
      <w:pPr>
        <w:rPr>
          <w:rFonts w:ascii="Arial" w:hAnsi="Arial" w:cs="Arial"/>
        </w:rPr>
      </w:pPr>
      <w:r w:rsidRPr="00D61F73">
        <w:rPr>
          <w:rFonts w:ascii="Arial" w:hAnsi="Arial" w:cs="Arial"/>
        </w:rPr>
        <w:t xml:space="preserve">PMID: </w:t>
      </w:r>
      <w:hyperlink r:id="rId513" w:history="1">
        <w:r w:rsidRPr="00D61F73">
          <w:rPr>
            <w:rStyle w:val="Hyperlink"/>
            <w:rFonts w:ascii="Arial" w:hAnsi="Arial" w:cs="Arial"/>
          </w:rPr>
          <w:t>12804478</w:t>
        </w:r>
      </w:hyperlink>
    </w:p>
    <w:p w14:paraId="217C06A7" w14:textId="77777777" w:rsidR="008D0565" w:rsidRPr="00D61F73" w:rsidRDefault="008D0565" w:rsidP="00D61F73">
      <w:pPr>
        <w:rPr>
          <w:rFonts w:ascii="Arial" w:hAnsi="Arial" w:cs="Arial"/>
        </w:rPr>
      </w:pPr>
    </w:p>
    <w:p w14:paraId="2E17FA94" w14:textId="77777777" w:rsidR="008D0565" w:rsidRPr="00D61F73" w:rsidRDefault="008D0565" w:rsidP="00D61F73">
      <w:pPr>
        <w:rPr>
          <w:rFonts w:ascii="Arial" w:hAnsi="Arial" w:cs="Arial"/>
        </w:rPr>
      </w:pPr>
      <w:r w:rsidRPr="00D61F73">
        <w:rPr>
          <w:rFonts w:ascii="Arial" w:hAnsi="Arial" w:cs="Arial"/>
        </w:rPr>
        <w:t>Rating: 1c</w:t>
      </w:r>
    </w:p>
    <w:p w14:paraId="68F4C54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21" w:name="Karjalainen03"/>
      <w:bookmarkEnd w:id="821"/>
      <w:r w:rsidRPr="00D61F73">
        <w:rPr>
          <w:rFonts w:ascii="Arial" w:hAnsi="Arial" w:cs="Arial"/>
          <w:b/>
          <w:bCs/>
        </w:rPr>
        <w:t xml:space="preserve">arjalainen K, Malmivaara A, van Tulder M, Roine R, Jauhiainen M, Hurri H, Koes B. Multidisciplinary biopsychosocial rehabilitation for neck and shoulder pain among working age adults. </w:t>
      </w:r>
      <w:r w:rsidRPr="00D61F73">
        <w:rPr>
          <w:rFonts w:ascii="Arial" w:hAnsi="Arial" w:cs="Arial"/>
          <w:b/>
          <w:bCs/>
          <w:i/>
          <w:iCs/>
        </w:rPr>
        <w:t>Cochrane Database Syst Rev</w:t>
      </w:r>
      <w:r w:rsidRPr="00D61F73">
        <w:rPr>
          <w:rFonts w:ascii="Arial" w:hAnsi="Arial" w:cs="Arial"/>
          <w:b/>
          <w:bCs/>
        </w:rPr>
        <w:t>. 2003;(2):CD002194.</w:t>
      </w:r>
    </w:p>
    <w:p w14:paraId="1141E408" w14:textId="77777777" w:rsidR="008D0565" w:rsidRPr="00D61F73" w:rsidRDefault="008D0565" w:rsidP="00D61F73">
      <w:pPr>
        <w:rPr>
          <w:rFonts w:ascii="Arial" w:hAnsi="Arial" w:cs="Arial"/>
        </w:rPr>
      </w:pPr>
    </w:p>
    <w:p w14:paraId="27D5BE35" w14:textId="77777777" w:rsidR="008D0565" w:rsidRPr="00D61F73" w:rsidRDefault="008D0565" w:rsidP="00D61F73">
      <w:pPr>
        <w:rPr>
          <w:rFonts w:ascii="Arial" w:hAnsi="Arial" w:cs="Arial"/>
        </w:rPr>
      </w:pPr>
      <w:r w:rsidRPr="00D61F73">
        <w:rPr>
          <w:rFonts w:ascii="Arial" w:hAnsi="Arial" w:cs="Arial"/>
        </w:rPr>
        <w:t xml:space="preserve">CONCLUSIONS: We conclude that there appears to be little scientific evidence for the effectiveness of multidisciplinary biopsychosocial rehabilitation compared with other rehabilitation facilities for neck and shoulder pain. </w:t>
      </w:r>
    </w:p>
    <w:p w14:paraId="4DEEACAD" w14:textId="77777777" w:rsidR="008D0565" w:rsidRPr="00D61F73" w:rsidRDefault="008D0565" w:rsidP="00D61F73">
      <w:pPr>
        <w:rPr>
          <w:rFonts w:ascii="Arial" w:hAnsi="Arial" w:cs="Arial"/>
        </w:rPr>
      </w:pPr>
    </w:p>
    <w:p w14:paraId="5863563E" w14:textId="77777777" w:rsidR="008D0565" w:rsidRPr="00D61F73" w:rsidRDefault="008D0565" w:rsidP="00D61F73">
      <w:pPr>
        <w:rPr>
          <w:rFonts w:ascii="Arial" w:hAnsi="Arial" w:cs="Arial"/>
        </w:rPr>
      </w:pPr>
      <w:r w:rsidRPr="00D61F73">
        <w:rPr>
          <w:rFonts w:ascii="Arial" w:hAnsi="Arial" w:cs="Arial"/>
        </w:rPr>
        <w:t xml:space="preserve">PMID: </w:t>
      </w:r>
      <w:hyperlink r:id="rId514" w:history="1">
        <w:r w:rsidRPr="00D61F73">
          <w:rPr>
            <w:rStyle w:val="Hyperlink"/>
            <w:rFonts w:ascii="Arial" w:hAnsi="Arial" w:cs="Arial"/>
          </w:rPr>
          <w:t>12804428</w:t>
        </w:r>
      </w:hyperlink>
      <w:r w:rsidRPr="00D61F73">
        <w:rPr>
          <w:rFonts w:ascii="Arial" w:hAnsi="Arial" w:cs="Arial"/>
        </w:rPr>
        <w:t xml:space="preserve"> </w:t>
      </w:r>
    </w:p>
    <w:p w14:paraId="75F069DA" w14:textId="77777777" w:rsidR="008D0565" w:rsidRPr="00D61F73" w:rsidRDefault="008D0565" w:rsidP="00D61F73">
      <w:pPr>
        <w:rPr>
          <w:rFonts w:ascii="Arial" w:hAnsi="Arial" w:cs="Arial"/>
        </w:rPr>
      </w:pPr>
    </w:p>
    <w:p w14:paraId="2319CE87" w14:textId="77777777" w:rsidR="008D0565" w:rsidRPr="00D61F73" w:rsidRDefault="008D0565" w:rsidP="00D61F73">
      <w:pPr>
        <w:rPr>
          <w:rFonts w:ascii="Arial" w:hAnsi="Arial" w:cs="Arial"/>
        </w:rPr>
      </w:pPr>
      <w:r w:rsidRPr="00D61F73">
        <w:rPr>
          <w:rFonts w:ascii="Arial" w:hAnsi="Arial" w:cs="Arial"/>
        </w:rPr>
        <w:t>Rating: 1c</w:t>
      </w:r>
    </w:p>
    <w:p w14:paraId="3014CE1C" w14:textId="77777777" w:rsidR="008D0565" w:rsidRPr="00D61F73" w:rsidRDefault="008D0565" w:rsidP="00D61F73">
      <w:pPr>
        <w:rPr>
          <w:rFonts w:ascii="Arial" w:hAnsi="Arial" w:cs="Arial"/>
        </w:rPr>
      </w:pPr>
    </w:p>
    <w:p w14:paraId="2933E37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22" w:name="Katz"/>
      <w:bookmarkEnd w:id="822"/>
      <w:r w:rsidRPr="00D61F73">
        <w:rPr>
          <w:rFonts w:ascii="Arial" w:hAnsi="Arial" w:cs="Arial"/>
          <w:b/>
          <w:bCs/>
        </w:rPr>
        <w:t xml:space="preserve">atz J, Pennella-Vaughan J, Hetzel RD, Kanazi GE, Dworkin RH. A randomized, placebo-controlled trial of bupropion sustained release in chronic low back pain. </w:t>
      </w:r>
      <w:r w:rsidRPr="00D61F73">
        <w:rPr>
          <w:rFonts w:ascii="Arial" w:hAnsi="Arial" w:cs="Arial"/>
          <w:b/>
          <w:bCs/>
          <w:i/>
          <w:iCs/>
        </w:rPr>
        <w:t>J Pain.</w:t>
      </w:r>
      <w:r w:rsidRPr="00D61F73">
        <w:rPr>
          <w:rFonts w:ascii="Arial" w:hAnsi="Arial" w:cs="Arial"/>
          <w:b/>
          <w:bCs/>
        </w:rPr>
        <w:t xml:space="preserve"> 2005 Oct;6(10):656-61.</w:t>
      </w:r>
    </w:p>
    <w:p w14:paraId="46A8FC4E" w14:textId="77777777" w:rsidR="008D0565" w:rsidRPr="00D61F73" w:rsidRDefault="008D0565" w:rsidP="00D61F73">
      <w:pPr>
        <w:rPr>
          <w:rFonts w:ascii="Arial" w:hAnsi="Arial" w:cs="Arial"/>
        </w:rPr>
      </w:pPr>
    </w:p>
    <w:p w14:paraId="5BE41427" w14:textId="77777777" w:rsidR="008D0565" w:rsidRPr="00D61F73" w:rsidRDefault="008D0565" w:rsidP="00D61F73">
      <w:pPr>
        <w:rPr>
          <w:rFonts w:ascii="Arial" w:hAnsi="Arial" w:cs="Arial"/>
        </w:rPr>
      </w:pPr>
      <w:r w:rsidRPr="00D61F73">
        <w:rPr>
          <w:rFonts w:ascii="Arial" w:hAnsi="Arial" w:cs="Arial"/>
        </w:rPr>
        <w:t>Antidepressant medications that have both noradrenergic and serotonergic effects appear to have greater efficacy in patients with chronic low back pain than those with only serotonergic activity. We studied bupropion because it inhibits the reuptake of both norepinephrine and dopamine, but found no evidence of efficacy in patients with non-neuropathic chronic low back pain.</w:t>
      </w:r>
    </w:p>
    <w:p w14:paraId="57E5F183" w14:textId="77777777" w:rsidR="008D0565" w:rsidRPr="00D61F73" w:rsidRDefault="008D0565" w:rsidP="00D61F73">
      <w:pPr>
        <w:rPr>
          <w:rFonts w:ascii="Arial" w:hAnsi="Arial" w:cs="Arial"/>
        </w:rPr>
      </w:pPr>
    </w:p>
    <w:p w14:paraId="2B6F0429" w14:textId="77777777" w:rsidR="008D0565" w:rsidRPr="00D61F73" w:rsidRDefault="008D0565" w:rsidP="00D61F73">
      <w:pPr>
        <w:rPr>
          <w:rFonts w:ascii="Arial" w:hAnsi="Arial" w:cs="Arial"/>
        </w:rPr>
      </w:pPr>
      <w:r w:rsidRPr="00D61F73">
        <w:rPr>
          <w:rFonts w:ascii="Arial" w:hAnsi="Arial" w:cs="Arial"/>
        </w:rPr>
        <w:t xml:space="preserve">PMID: </w:t>
      </w:r>
      <w:hyperlink r:id="rId515" w:history="1">
        <w:r w:rsidRPr="00D61F73">
          <w:rPr>
            <w:rStyle w:val="Hyperlink"/>
            <w:rFonts w:ascii="Arial" w:hAnsi="Arial" w:cs="Arial"/>
          </w:rPr>
          <w:t>16202958</w:t>
        </w:r>
      </w:hyperlink>
      <w:r w:rsidRPr="00D61F73">
        <w:rPr>
          <w:rFonts w:ascii="Arial" w:hAnsi="Arial" w:cs="Arial"/>
        </w:rPr>
        <w:t xml:space="preserve"> </w:t>
      </w:r>
    </w:p>
    <w:p w14:paraId="5CFF5D01" w14:textId="77777777" w:rsidR="008D0565" w:rsidRPr="00D61F73" w:rsidRDefault="008D0565" w:rsidP="00D61F73">
      <w:pPr>
        <w:rPr>
          <w:rFonts w:ascii="Arial" w:hAnsi="Arial" w:cs="Arial"/>
        </w:rPr>
      </w:pPr>
    </w:p>
    <w:p w14:paraId="4B9FCD79" w14:textId="77777777" w:rsidR="008D0565" w:rsidRPr="00D61F73" w:rsidRDefault="008D0565" w:rsidP="00D61F73">
      <w:pPr>
        <w:rPr>
          <w:rFonts w:ascii="Arial" w:hAnsi="Arial" w:cs="Arial"/>
        </w:rPr>
      </w:pPr>
      <w:r w:rsidRPr="00D61F73">
        <w:rPr>
          <w:rFonts w:ascii="Arial" w:hAnsi="Arial" w:cs="Arial"/>
        </w:rPr>
        <w:t>Rating: 2c</w:t>
      </w:r>
    </w:p>
    <w:p w14:paraId="4C9A7A3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23" w:name="Keefe2"/>
      <w:bookmarkEnd w:id="823"/>
      <w:r w:rsidRPr="00D61F73">
        <w:rPr>
          <w:rFonts w:ascii="Arial" w:hAnsi="Arial" w:cs="Arial"/>
          <w:b/>
          <w:bCs/>
        </w:rPr>
        <w:t xml:space="preserve">eefe FJ, Block AR, Williams RB Jr, Surwit RS. Behavioral treatment of chronic low back pain: clinical outcome and individual differences in pain relief. </w:t>
      </w:r>
      <w:r w:rsidRPr="00D61F73">
        <w:rPr>
          <w:rFonts w:ascii="Arial" w:hAnsi="Arial" w:cs="Arial"/>
          <w:b/>
          <w:bCs/>
          <w:i/>
          <w:iCs/>
        </w:rPr>
        <w:t>Pain</w:t>
      </w:r>
      <w:r w:rsidRPr="00D61F73">
        <w:rPr>
          <w:rFonts w:ascii="Arial" w:hAnsi="Arial" w:cs="Arial"/>
          <w:b/>
          <w:bCs/>
        </w:rPr>
        <w:t>. 1981 Oct;11(2):221-31.</w:t>
      </w:r>
    </w:p>
    <w:p w14:paraId="5D4E7E78" w14:textId="77777777" w:rsidR="008D0565" w:rsidRPr="00D61F73" w:rsidRDefault="008D0565" w:rsidP="00D61F73">
      <w:pPr>
        <w:rPr>
          <w:rFonts w:ascii="Arial" w:hAnsi="Arial" w:cs="Arial"/>
        </w:rPr>
      </w:pPr>
    </w:p>
    <w:p w14:paraId="2756A52D" w14:textId="77777777" w:rsidR="008D0565" w:rsidRPr="00D61F73" w:rsidRDefault="008D0565" w:rsidP="00D61F73">
      <w:pPr>
        <w:rPr>
          <w:rFonts w:ascii="Arial" w:hAnsi="Arial" w:cs="Arial"/>
        </w:rPr>
      </w:pPr>
      <w:r w:rsidRPr="00D61F73">
        <w:rPr>
          <w:rFonts w:ascii="Arial" w:hAnsi="Arial" w:cs="Arial"/>
        </w:rPr>
        <w:t xml:space="preserve">PMID: </w:t>
      </w:r>
      <w:hyperlink r:id="rId516" w:history="1">
        <w:r w:rsidRPr="00D61F73">
          <w:rPr>
            <w:rStyle w:val="Hyperlink"/>
            <w:rFonts w:ascii="Arial" w:hAnsi="Arial" w:cs="Arial"/>
          </w:rPr>
          <w:t>6459557</w:t>
        </w:r>
      </w:hyperlink>
      <w:r w:rsidRPr="00D61F73">
        <w:rPr>
          <w:rFonts w:ascii="Arial" w:hAnsi="Arial" w:cs="Arial"/>
        </w:rPr>
        <w:t xml:space="preserve"> </w:t>
      </w:r>
    </w:p>
    <w:p w14:paraId="420B722F" w14:textId="77777777" w:rsidR="008D0565" w:rsidRPr="00D61F73" w:rsidRDefault="008D0565" w:rsidP="00D61F73">
      <w:pPr>
        <w:rPr>
          <w:rFonts w:ascii="Arial" w:hAnsi="Arial" w:cs="Arial"/>
        </w:rPr>
      </w:pPr>
    </w:p>
    <w:p w14:paraId="4C284FD0" w14:textId="77777777" w:rsidR="008D0565" w:rsidRPr="00D61F73" w:rsidRDefault="008D0565" w:rsidP="00D61F73">
      <w:pPr>
        <w:rPr>
          <w:rFonts w:ascii="Arial" w:hAnsi="Arial" w:cs="Arial"/>
        </w:rPr>
      </w:pPr>
      <w:r w:rsidRPr="00D61F73">
        <w:rPr>
          <w:rFonts w:ascii="Arial" w:hAnsi="Arial" w:cs="Arial"/>
        </w:rPr>
        <w:t>Rating: 4b</w:t>
      </w:r>
    </w:p>
    <w:p w14:paraId="418AB72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24" w:name="Keel"/>
      <w:bookmarkEnd w:id="824"/>
      <w:r w:rsidRPr="00D61F73">
        <w:rPr>
          <w:rFonts w:ascii="Arial" w:hAnsi="Arial" w:cs="Arial"/>
          <w:b/>
          <w:bCs/>
        </w:rPr>
        <w:t xml:space="preserve">eel PJ, Wittig R, Deutschmann R, Diethelm U, Knüsel O, Löschmann C, Matathia R, Rudolf T, Spring H. Effectiveness of in-patient rehabilitation for sub-chronic and chronic low back pain by an integrative group treatment program (Swiss Multicentre Study). </w:t>
      </w:r>
      <w:r w:rsidRPr="00D61F73">
        <w:rPr>
          <w:rFonts w:ascii="Arial" w:hAnsi="Arial" w:cs="Arial"/>
          <w:b/>
          <w:bCs/>
          <w:i/>
          <w:iCs/>
        </w:rPr>
        <w:t>Scand J Rehabil Med</w:t>
      </w:r>
      <w:r w:rsidRPr="00D61F73">
        <w:rPr>
          <w:rFonts w:ascii="Arial" w:hAnsi="Arial" w:cs="Arial"/>
          <w:b/>
          <w:bCs/>
        </w:rPr>
        <w:t>. 1998 Dec;30(4):211-9.</w:t>
      </w:r>
    </w:p>
    <w:p w14:paraId="01A03B4B" w14:textId="77777777" w:rsidR="008D0565" w:rsidRPr="00D61F73" w:rsidRDefault="008D0565" w:rsidP="00D61F73">
      <w:pPr>
        <w:rPr>
          <w:rFonts w:ascii="Arial" w:hAnsi="Arial" w:cs="Arial"/>
        </w:rPr>
      </w:pPr>
    </w:p>
    <w:p w14:paraId="7B0F589A" w14:textId="77777777" w:rsidR="008D0565" w:rsidRPr="00D61F73" w:rsidRDefault="008D0565" w:rsidP="00D61F73">
      <w:pPr>
        <w:rPr>
          <w:rFonts w:ascii="Arial" w:hAnsi="Arial" w:cs="Arial"/>
        </w:rPr>
      </w:pPr>
      <w:r w:rsidRPr="00D61F73">
        <w:rPr>
          <w:rFonts w:ascii="Arial" w:hAnsi="Arial" w:cs="Arial"/>
        </w:rPr>
        <w:t>The main conclusion is that an integrated approach promoting self control and behaviour change through educational measures achieves better long-term results than the traditional individual physiotherapy approach.</w:t>
      </w:r>
    </w:p>
    <w:p w14:paraId="16C6FA2B" w14:textId="77777777" w:rsidR="008D0565" w:rsidRPr="00D61F73" w:rsidRDefault="008D0565" w:rsidP="00D61F73">
      <w:pPr>
        <w:rPr>
          <w:rFonts w:ascii="Arial" w:hAnsi="Arial" w:cs="Arial"/>
        </w:rPr>
      </w:pPr>
    </w:p>
    <w:p w14:paraId="6A780A20" w14:textId="77777777" w:rsidR="008D0565" w:rsidRPr="00D61F73" w:rsidRDefault="008D0565" w:rsidP="00D61F73">
      <w:pPr>
        <w:rPr>
          <w:rFonts w:ascii="Arial" w:hAnsi="Arial" w:cs="Arial"/>
        </w:rPr>
      </w:pPr>
      <w:r w:rsidRPr="00D61F73">
        <w:rPr>
          <w:rFonts w:ascii="Arial" w:hAnsi="Arial" w:cs="Arial"/>
        </w:rPr>
        <w:t xml:space="preserve">PMID: </w:t>
      </w:r>
      <w:hyperlink r:id="rId517" w:history="1">
        <w:r w:rsidRPr="00D61F73">
          <w:rPr>
            <w:rStyle w:val="Hyperlink"/>
            <w:rFonts w:ascii="Arial" w:hAnsi="Arial" w:cs="Arial"/>
          </w:rPr>
          <w:t>9825385</w:t>
        </w:r>
      </w:hyperlink>
      <w:r w:rsidRPr="00D61F73">
        <w:rPr>
          <w:rFonts w:ascii="Arial" w:hAnsi="Arial" w:cs="Arial"/>
        </w:rPr>
        <w:t xml:space="preserve"> </w:t>
      </w:r>
    </w:p>
    <w:p w14:paraId="1A296AE8" w14:textId="77777777" w:rsidR="008D0565" w:rsidRPr="00D61F73" w:rsidRDefault="008D0565" w:rsidP="00D61F73">
      <w:pPr>
        <w:rPr>
          <w:rFonts w:ascii="Arial" w:hAnsi="Arial" w:cs="Arial"/>
        </w:rPr>
      </w:pPr>
    </w:p>
    <w:p w14:paraId="41F714BB" w14:textId="77777777" w:rsidR="008D0565" w:rsidRPr="00D61F73" w:rsidRDefault="008D0565" w:rsidP="00D61F73">
      <w:pPr>
        <w:rPr>
          <w:rFonts w:ascii="Arial" w:hAnsi="Arial" w:cs="Arial"/>
        </w:rPr>
      </w:pPr>
      <w:r w:rsidRPr="00D61F73">
        <w:rPr>
          <w:rFonts w:ascii="Arial" w:hAnsi="Arial" w:cs="Arial"/>
        </w:rPr>
        <w:t>Rating: 3b</w:t>
      </w:r>
    </w:p>
    <w:p w14:paraId="3EE32A97" w14:textId="77777777" w:rsidR="008D0565" w:rsidRPr="00D61F73" w:rsidRDefault="008D0565" w:rsidP="00D61F73">
      <w:pPr>
        <w:rPr>
          <w:rFonts w:ascii="Arial" w:hAnsi="Arial" w:cs="Arial"/>
        </w:rPr>
      </w:pPr>
      <w:r w:rsidRPr="00D61F73">
        <w:rPr>
          <w:rFonts w:ascii="Arial" w:hAnsi="Arial" w:cs="Arial"/>
        </w:rPr>
        <w:br w:type="page"/>
      </w:r>
      <w:bookmarkStart w:id="825" w:name="Keitel"/>
      <w:r w:rsidRPr="00D61F73">
        <w:rPr>
          <w:rFonts w:ascii="Arial" w:hAnsi="Arial" w:cs="Arial"/>
          <w:b/>
          <w:bCs/>
        </w:rPr>
        <w:lastRenderedPageBreak/>
        <w:t>Keitel</w:t>
      </w:r>
      <w:bookmarkEnd w:id="825"/>
      <w:r w:rsidRPr="00D61F73">
        <w:rPr>
          <w:rFonts w:ascii="Arial" w:hAnsi="Arial" w:cs="Arial"/>
          <w:b/>
          <w:bCs/>
        </w:rPr>
        <w:t xml:space="preserve"> W, Frerick H, Kuhn U, Schmidt U, Kuhlmann M, Bredehorst A. Capsicum pain plaster in chronic non-specific low back pain. </w:t>
      </w:r>
      <w:r w:rsidRPr="00D61F73">
        <w:rPr>
          <w:rFonts w:ascii="Arial" w:hAnsi="Arial" w:cs="Arial"/>
          <w:b/>
          <w:bCs/>
          <w:i/>
          <w:iCs/>
        </w:rPr>
        <w:t>Arzneimittelforschung</w:t>
      </w:r>
      <w:r w:rsidRPr="00D61F73">
        <w:rPr>
          <w:rFonts w:ascii="Arial" w:hAnsi="Arial" w:cs="Arial"/>
          <w:b/>
          <w:bCs/>
        </w:rPr>
        <w:t>. 2001 Nov;51(11):896-903.</w:t>
      </w:r>
    </w:p>
    <w:p w14:paraId="2BE5C8D6" w14:textId="77777777" w:rsidR="008D0565" w:rsidRPr="00D61F73" w:rsidRDefault="008D0565" w:rsidP="00D61F73">
      <w:pPr>
        <w:rPr>
          <w:rFonts w:ascii="Arial" w:hAnsi="Arial" w:cs="Arial"/>
        </w:rPr>
      </w:pPr>
    </w:p>
    <w:p w14:paraId="29567563" w14:textId="77777777" w:rsidR="008D0565" w:rsidRPr="00D61F73" w:rsidRDefault="008D0565" w:rsidP="00D61F73">
      <w:pPr>
        <w:rPr>
          <w:rFonts w:ascii="Arial" w:hAnsi="Arial" w:cs="Arial"/>
        </w:rPr>
      </w:pPr>
      <w:r w:rsidRPr="00D61F73">
        <w:rPr>
          <w:rFonts w:ascii="Arial" w:hAnsi="Arial" w:cs="Arial"/>
        </w:rPr>
        <w:t>As in comparably positive randomised studies with capsaicin cream in patients with osteoarthritis or fibromyalgia it was shown that a capsicum plaster preparation can also be used to advantage in chronic non-specific back pain.</w:t>
      </w:r>
    </w:p>
    <w:p w14:paraId="74E220EB" w14:textId="77777777" w:rsidR="008D0565" w:rsidRPr="00D61F73" w:rsidRDefault="008D0565" w:rsidP="00D61F73">
      <w:pPr>
        <w:rPr>
          <w:rFonts w:ascii="Arial" w:hAnsi="Arial" w:cs="Arial"/>
        </w:rPr>
      </w:pPr>
    </w:p>
    <w:p w14:paraId="2215BBED" w14:textId="77777777" w:rsidR="008D0565" w:rsidRPr="00D61F73" w:rsidRDefault="008D0565" w:rsidP="00D61F73">
      <w:pPr>
        <w:rPr>
          <w:rFonts w:ascii="Arial" w:hAnsi="Arial" w:cs="Arial"/>
        </w:rPr>
      </w:pPr>
      <w:r w:rsidRPr="00D61F73">
        <w:rPr>
          <w:rFonts w:ascii="Arial" w:hAnsi="Arial" w:cs="Arial"/>
        </w:rPr>
        <w:t xml:space="preserve">PMID: </w:t>
      </w:r>
      <w:hyperlink r:id="rId518" w:history="1">
        <w:r w:rsidRPr="00D61F73">
          <w:rPr>
            <w:rStyle w:val="Hyperlink"/>
            <w:rFonts w:ascii="Arial" w:hAnsi="Arial" w:cs="Arial"/>
          </w:rPr>
          <w:t>11765591</w:t>
        </w:r>
      </w:hyperlink>
      <w:r w:rsidRPr="00D61F73">
        <w:rPr>
          <w:rFonts w:ascii="Arial" w:hAnsi="Arial" w:cs="Arial"/>
        </w:rPr>
        <w:t xml:space="preserve"> </w:t>
      </w:r>
    </w:p>
    <w:p w14:paraId="36D743F2" w14:textId="77777777" w:rsidR="008D0565" w:rsidRPr="00D61F73" w:rsidRDefault="008D0565" w:rsidP="00D61F73">
      <w:pPr>
        <w:rPr>
          <w:rFonts w:ascii="Arial" w:hAnsi="Arial" w:cs="Arial"/>
        </w:rPr>
      </w:pPr>
    </w:p>
    <w:p w14:paraId="7B567460" w14:textId="77777777" w:rsidR="008D0565" w:rsidRPr="00D61F73" w:rsidRDefault="008D0565" w:rsidP="00D61F73">
      <w:pPr>
        <w:rPr>
          <w:rFonts w:ascii="Arial" w:hAnsi="Arial" w:cs="Arial"/>
        </w:rPr>
      </w:pPr>
      <w:r w:rsidRPr="00D61F73">
        <w:rPr>
          <w:rFonts w:ascii="Arial" w:hAnsi="Arial" w:cs="Arial"/>
        </w:rPr>
        <w:t>Rating: 2b</w:t>
      </w:r>
    </w:p>
    <w:p w14:paraId="3EBB826F" w14:textId="77777777" w:rsidR="008D0565" w:rsidRPr="00D61F73" w:rsidRDefault="008D0565" w:rsidP="00D61F73">
      <w:pPr>
        <w:rPr>
          <w:rFonts w:ascii="Arial" w:hAnsi="Arial" w:cs="Arial"/>
          <w:b/>
          <w:bCs/>
        </w:rPr>
      </w:pPr>
      <w:r w:rsidRPr="00D61F73">
        <w:rPr>
          <w:rFonts w:ascii="Arial" w:hAnsi="Arial" w:cs="Arial"/>
        </w:rPr>
        <w:br w:type="page"/>
      </w:r>
      <w:bookmarkStart w:id="826" w:name="Kemler2"/>
      <w:bookmarkEnd w:id="826"/>
      <w:r w:rsidRPr="00D61F73">
        <w:rPr>
          <w:rFonts w:ascii="Arial" w:hAnsi="Arial" w:cs="Arial"/>
          <w:b/>
          <w:bCs/>
        </w:rPr>
        <w:lastRenderedPageBreak/>
        <w:t xml:space="preserve">Kemler MA, Barendse GA, van Kleef M, de Vet HC, Rijks CP, Furnee CA, van den Wildenberg FA, Spinal cord stimulation in patients with chronic reflex sympathetic dystrophy, </w:t>
      </w:r>
      <w:r w:rsidRPr="00D61F73">
        <w:rPr>
          <w:rFonts w:ascii="Arial" w:hAnsi="Arial" w:cs="Arial"/>
          <w:b/>
          <w:bCs/>
          <w:i/>
          <w:iCs/>
        </w:rPr>
        <w:t>N Engl J Med</w:t>
      </w:r>
      <w:r w:rsidRPr="00D61F73">
        <w:rPr>
          <w:rFonts w:ascii="Arial" w:hAnsi="Arial" w:cs="Arial"/>
          <w:b/>
          <w:bCs/>
        </w:rPr>
        <w:t>. 2000 Aug 31;343(9):618-24.</w:t>
      </w:r>
    </w:p>
    <w:p w14:paraId="3A87A408" w14:textId="77777777" w:rsidR="008D0565" w:rsidRPr="00D61F73" w:rsidRDefault="008D0565" w:rsidP="00D61F73">
      <w:pPr>
        <w:rPr>
          <w:rFonts w:ascii="Arial" w:hAnsi="Arial" w:cs="Arial"/>
        </w:rPr>
      </w:pPr>
    </w:p>
    <w:p w14:paraId="00AC9A3B" w14:textId="77777777" w:rsidR="008D0565" w:rsidRPr="00D61F73" w:rsidRDefault="008D0565" w:rsidP="00D61F73">
      <w:pPr>
        <w:rPr>
          <w:rFonts w:ascii="Arial" w:hAnsi="Arial" w:cs="Arial"/>
        </w:rPr>
      </w:pPr>
      <w:r w:rsidRPr="00D61F73">
        <w:rPr>
          <w:rFonts w:ascii="Arial" w:hAnsi="Arial" w:cs="Arial"/>
        </w:rPr>
        <w:t xml:space="preserve">RESULTS: The proportion of patients with a score of 6 ("much improved") for the global perceived effect was much higher in the spinal cord stimulation group than in the control group (39 percent vs. 6 percent, P=0.01). There was no clinically important improvement in functional status. The health-related quality of life improved only in the 24 patients who actually underwent implantation of a spinal cord stimulator. Six of the 24 patients had complications that required additional procedures, including removal of the device in 1 patient. </w:t>
      </w:r>
    </w:p>
    <w:p w14:paraId="78A57C4F" w14:textId="77777777" w:rsidR="008D0565" w:rsidRPr="00D61F73" w:rsidRDefault="008D0565" w:rsidP="00D61F73">
      <w:pPr>
        <w:rPr>
          <w:rFonts w:ascii="Arial" w:hAnsi="Arial" w:cs="Arial"/>
        </w:rPr>
      </w:pPr>
    </w:p>
    <w:p w14:paraId="7F9EC959" w14:textId="77777777" w:rsidR="008D0565" w:rsidRPr="00D61F73" w:rsidRDefault="008D0565" w:rsidP="00D61F73">
      <w:pPr>
        <w:rPr>
          <w:rFonts w:ascii="Arial" w:hAnsi="Arial" w:cs="Arial"/>
        </w:rPr>
      </w:pPr>
      <w:r w:rsidRPr="00D61F73">
        <w:rPr>
          <w:rFonts w:ascii="Arial" w:hAnsi="Arial" w:cs="Arial"/>
        </w:rPr>
        <w:t xml:space="preserve">PMID: </w:t>
      </w:r>
      <w:hyperlink r:id="rId519" w:history="1">
        <w:r w:rsidRPr="00D61F73">
          <w:rPr>
            <w:rStyle w:val="Hyperlink"/>
            <w:rFonts w:ascii="Arial" w:hAnsi="Arial" w:cs="Arial"/>
          </w:rPr>
          <w:t>10965008</w:t>
        </w:r>
      </w:hyperlink>
      <w:r w:rsidRPr="00D61F73">
        <w:rPr>
          <w:rFonts w:ascii="Arial" w:hAnsi="Arial" w:cs="Arial"/>
        </w:rPr>
        <w:t xml:space="preserve"> </w:t>
      </w:r>
    </w:p>
    <w:p w14:paraId="099F613C" w14:textId="77777777" w:rsidR="008D0565" w:rsidRPr="00D61F73" w:rsidRDefault="008D0565" w:rsidP="00D61F73">
      <w:pPr>
        <w:rPr>
          <w:rFonts w:ascii="Arial" w:hAnsi="Arial" w:cs="Arial"/>
          <w:b/>
          <w:bCs/>
        </w:rPr>
      </w:pPr>
    </w:p>
    <w:p w14:paraId="4261DEB0" w14:textId="77777777" w:rsidR="008D0565" w:rsidRPr="00D61F73" w:rsidRDefault="008D0565" w:rsidP="00D61F73">
      <w:pPr>
        <w:rPr>
          <w:rFonts w:ascii="Arial" w:hAnsi="Arial" w:cs="Arial"/>
        </w:rPr>
      </w:pPr>
      <w:r w:rsidRPr="00D61F73">
        <w:rPr>
          <w:rFonts w:ascii="Arial" w:hAnsi="Arial" w:cs="Arial"/>
        </w:rPr>
        <w:t>Rating: 2c</w:t>
      </w:r>
    </w:p>
    <w:p w14:paraId="3FA8E000" w14:textId="77777777" w:rsidR="008D0565" w:rsidRPr="00D61F73" w:rsidRDefault="008D0565" w:rsidP="00D61F73">
      <w:pPr>
        <w:rPr>
          <w:rFonts w:ascii="Arial" w:hAnsi="Arial" w:cs="Arial"/>
        </w:rPr>
      </w:pPr>
      <w:r w:rsidRPr="00D61F73">
        <w:rPr>
          <w:rFonts w:ascii="Arial" w:hAnsi="Arial" w:cs="Arial"/>
        </w:rPr>
        <w:br w:type="page"/>
      </w:r>
      <w:bookmarkStart w:id="827" w:name="Kemler3"/>
      <w:bookmarkEnd w:id="827"/>
      <w:r w:rsidRPr="00D61F73">
        <w:rPr>
          <w:rFonts w:ascii="Arial" w:hAnsi="Arial" w:cs="Arial"/>
          <w:b/>
          <w:bCs/>
        </w:rPr>
        <w:lastRenderedPageBreak/>
        <w:t xml:space="preserve">Kemler MA, Furnee CA, Economic evaluation of spinal cord stimulation for chronic reflex sympathetic dystrophy, </w:t>
      </w:r>
      <w:r w:rsidRPr="00D61F73">
        <w:rPr>
          <w:rFonts w:ascii="Arial" w:hAnsi="Arial" w:cs="Arial"/>
          <w:b/>
          <w:bCs/>
          <w:i/>
          <w:iCs/>
        </w:rPr>
        <w:t>Neurology.</w:t>
      </w:r>
      <w:r w:rsidRPr="00D61F73">
        <w:rPr>
          <w:rFonts w:ascii="Arial" w:hAnsi="Arial" w:cs="Arial"/>
          <w:b/>
          <w:bCs/>
        </w:rPr>
        <w:t xml:space="preserve"> 2002 Oct 22;59(8):1203-9</w:t>
      </w:r>
    </w:p>
    <w:p w14:paraId="4CA64694" w14:textId="77777777" w:rsidR="008D0565" w:rsidRPr="00D61F73" w:rsidRDefault="008D0565" w:rsidP="00D61F73">
      <w:pPr>
        <w:rPr>
          <w:rFonts w:ascii="Arial" w:hAnsi="Arial" w:cs="Arial"/>
        </w:rPr>
      </w:pPr>
    </w:p>
    <w:p w14:paraId="21EE68CB" w14:textId="77777777" w:rsidR="008D0565" w:rsidRPr="00D61F73" w:rsidRDefault="008D0565" w:rsidP="00D61F73">
      <w:pPr>
        <w:rPr>
          <w:rFonts w:ascii="Arial" w:hAnsi="Arial" w:cs="Arial"/>
        </w:rPr>
      </w:pPr>
      <w:r w:rsidRPr="00D61F73">
        <w:rPr>
          <w:rFonts w:ascii="Arial" w:hAnsi="Arial" w:cs="Arial"/>
        </w:rPr>
        <w:t>CONCLUSIONS: The authors found SCS to be both more effective and less expensive as compared with the standard treatment protocol for chronic RSD.</w:t>
      </w:r>
    </w:p>
    <w:p w14:paraId="52370318" w14:textId="77777777" w:rsidR="008D0565" w:rsidRPr="00D61F73" w:rsidRDefault="008D0565" w:rsidP="00D61F73">
      <w:pPr>
        <w:rPr>
          <w:rFonts w:ascii="Arial" w:hAnsi="Arial" w:cs="Arial"/>
        </w:rPr>
      </w:pPr>
    </w:p>
    <w:p w14:paraId="237E9746" w14:textId="77777777" w:rsidR="008D0565" w:rsidRPr="00D61F73" w:rsidRDefault="008D0565" w:rsidP="00D61F73">
      <w:pPr>
        <w:rPr>
          <w:rFonts w:ascii="Arial" w:hAnsi="Arial" w:cs="Arial"/>
        </w:rPr>
      </w:pPr>
      <w:r w:rsidRPr="00D61F73">
        <w:rPr>
          <w:rFonts w:ascii="Arial" w:hAnsi="Arial" w:cs="Arial"/>
        </w:rPr>
        <w:t xml:space="preserve">PMID: </w:t>
      </w:r>
      <w:hyperlink r:id="rId520" w:history="1">
        <w:r w:rsidRPr="00D61F73">
          <w:rPr>
            <w:rStyle w:val="Hyperlink"/>
            <w:rFonts w:ascii="Arial" w:hAnsi="Arial" w:cs="Arial"/>
          </w:rPr>
          <w:t>12391348</w:t>
        </w:r>
      </w:hyperlink>
      <w:r w:rsidRPr="00D61F73">
        <w:rPr>
          <w:rFonts w:ascii="Arial" w:hAnsi="Arial" w:cs="Arial"/>
        </w:rPr>
        <w:t xml:space="preserve"> </w:t>
      </w:r>
    </w:p>
    <w:p w14:paraId="4A7E0CF4" w14:textId="77777777" w:rsidR="008D0565" w:rsidRPr="00D61F73" w:rsidRDefault="008D0565" w:rsidP="00D61F73">
      <w:pPr>
        <w:rPr>
          <w:rFonts w:ascii="Arial" w:hAnsi="Arial" w:cs="Arial"/>
        </w:rPr>
      </w:pPr>
    </w:p>
    <w:p w14:paraId="60C3D324" w14:textId="77777777" w:rsidR="008D0565" w:rsidRPr="00D61F73" w:rsidRDefault="008D0565" w:rsidP="00D61F73">
      <w:pPr>
        <w:rPr>
          <w:rFonts w:ascii="Arial" w:hAnsi="Arial" w:cs="Arial"/>
        </w:rPr>
      </w:pPr>
      <w:r w:rsidRPr="00D61F73">
        <w:rPr>
          <w:rFonts w:ascii="Arial" w:hAnsi="Arial" w:cs="Arial"/>
        </w:rPr>
        <w:t>Rating: 2c</w:t>
      </w:r>
    </w:p>
    <w:p w14:paraId="5387F88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28" w:name="Kemler4"/>
      <w:bookmarkEnd w:id="828"/>
      <w:r w:rsidRPr="00D61F73">
        <w:rPr>
          <w:rFonts w:ascii="Arial" w:hAnsi="Arial" w:cs="Arial"/>
          <w:b/>
          <w:bCs/>
        </w:rPr>
        <w:t xml:space="preserve">emler MA, Barendse GA, van Kleef M, de Vet HC, Rijks CP, Furnee CA, van den Wildenberg FA. Spinal cord stimulation in patients with chronic reflex sympathetic dystrophy. </w:t>
      </w:r>
      <w:r w:rsidRPr="00D61F73">
        <w:rPr>
          <w:rFonts w:ascii="Arial" w:hAnsi="Arial" w:cs="Arial"/>
          <w:b/>
          <w:bCs/>
          <w:i/>
          <w:iCs/>
        </w:rPr>
        <w:t>N Engl J Med</w:t>
      </w:r>
      <w:r w:rsidRPr="00D61F73">
        <w:rPr>
          <w:rFonts w:ascii="Arial" w:hAnsi="Arial" w:cs="Arial"/>
          <w:b/>
          <w:bCs/>
        </w:rPr>
        <w:t>. 2000 Aug 31;343(9):618-24.</w:t>
      </w:r>
    </w:p>
    <w:p w14:paraId="225519F9" w14:textId="77777777" w:rsidR="008D0565" w:rsidRPr="00D61F73" w:rsidRDefault="008D0565" w:rsidP="00D61F73">
      <w:pPr>
        <w:rPr>
          <w:rFonts w:ascii="Arial" w:hAnsi="Arial" w:cs="Arial"/>
        </w:rPr>
      </w:pPr>
    </w:p>
    <w:p w14:paraId="35D22645" w14:textId="77777777" w:rsidR="008D0565" w:rsidRPr="00D61F73" w:rsidRDefault="008D0565" w:rsidP="00D61F73">
      <w:pPr>
        <w:rPr>
          <w:rFonts w:ascii="Arial" w:hAnsi="Arial" w:cs="Arial"/>
        </w:rPr>
      </w:pPr>
      <w:r w:rsidRPr="00D61F73">
        <w:rPr>
          <w:rFonts w:ascii="Arial" w:hAnsi="Arial" w:cs="Arial"/>
        </w:rPr>
        <w:t>CONCLUSIONS: In carefully selected patients with chronic reflex sympathetic dystrophy, electrical stimulation of the spinal cord can reduce pain and improve the health-related quality of life.</w:t>
      </w:r>
    </w:p>
    <w:p w14:paraId="5A13037A" w14:textId="77777777" w:rsidR="008D0565" w:rsidRPr="00D61F73" w:rsidRDefault="008D0565" w:rsidP="00D61F73">
      <w:pPr>
        <w:rPr>
          <w:rFonts w:ascii="Arial" w:hAnsi="Arial" w:cs="Arial"/>
        </w:rPr>
      </w:pPr>
    </w:p>
    <w:p w14:paraId="26793411" w14:textId="77777777" w:rsidR="008D0565" w:rsidRPr="00D61F73" w:rsidRDefault="008D0565" w:rsidP="00D61F73">
      <w:pPr>
        <w:rPr>
          <w:rFonts w:ascii="Arial" w:hAnsi="Arial" w:cs="Arial"/>
        </w:rPr>
      </w:pPr>
      <w:r w:rsidRPr="00D61F73">
        <w:rPr>
          <w:rFonts w:ascii="Arial" w:hAnsi="Arial" w:cs="Arial"/>
        </w:rPr>
        <w:t xml:space="preserve">PMID: </w:t>
      </w:r>
      <w:hyperlink r:id="rId521" w:history="1">
        <w:r w:rsidRPr="00D61F73">
          <w:rPr>
            <w:rStyle w:val="Hyperlink"/>
            <w:rFonts w:ascii="Arial" w:hAnsi="Arial" w:cs="Arial"/>
          </w:rPr>
          <w:t>10965008</w:t>
        </w:r>
      </w:hyperlink>
    </w:p>
    <w:p w14:paraId="12CF345D" w14:textId="77777777" w:rsidR="008D0565" w:rsidRPr="00D61F73" w:rsidRDefault="008D0565" w:rsidP="00D61F73">
      <w:pPr>
        <w:rPr>
          <w:rFonts w:ascii="Arial" w:hAnsi="Arial" w:cs="Arial"/>
        </w:rPr>
      </w:pPr>
    </w:p>
    <w:p w14:paraId="3218928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73B9139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29" w:name="Kemler6"/>
      <w:bookmarkEnd w:id="829"/>
      <w:r w:rsidRPr="00D61F73">
        <w:rPr>
          <w:rFonts w:ascii="Arial" w:hAnsi="Arial" w:cs="Arial"/>
          <w:b/>
          <w:bCs/>
        </w:rPr>
        <w:t xml:space="preserve">emler MA, De Vet HC, Barendse GA, Van Den Wildenberg FA, Van Kleef M. The effect of spinal cord stimulation in patients with chronic reflex sympathetic dystrophy: two years' follow-up of the randomized controlled trial. </w:t>
      </w:r>
      <w:r w:rsidRPr="00D61F73">
        <w:rPr>
          <w:rFonts w:ascii="Arial" w:hAnsi="Arial" w:cs="Arial"/>
          <w:b/>
          <w:bCs/>
          <w:i/>
          <w:iCs/>
        </w:rPr>
        <w:t>Ann Neurol.</w:t>
      </w:r>
      <w:r w:rsidRPr="00D61F73">
        <w:rPr>
          <w:rFonts w:ascii="Arial" w:hAnsi="Arial" w:cs="Arial"/>
          <w:b/>
          <w:bCs/>
        </w:rPr>
        <w:t xml:space="preserve"> 2004 Jan;55(1):13-8.</w:t>
      </w:r>
    </w:p>
    <w:p w14:paraId="1E324315" w14:textId="77777777" w:rsidR="008D0565" w:rsidRPr="00D61F73" w:rsidRDefault="008D0565" w:rsidP="00D61F73">
      <w:pPr>
        <w:rPr>
          <w:rFonts w:ascii="Arial" w:hAnsi="Arial" w:cs="Arial"/>
        </w:rPr>
      </w:pPr>
    </w:p>
    <w:p w14:paraId="09443667" w14:textId="77777777" w:rsidR="008D0565" w:rsidRPr="00D61F73" w:rsidRDefault="008D0565" w:rsidP="00D61F73">
      <w:pPr>
        <w:rPr>
          <w:rFonts w:ascii="Arial" w:hAnsi="Arial" w:cs="Arial"/>
        </w:rPr>
      </w:pPr>
      <w:r w:rsidRPr="00D61F73">
        <w:rPr>
          <w:rFonts w:ascii="Arial" w:hAnsi="Arial" w:cs="Arial"/>
        </w:rPr>
        <w:t>After careful selection and successful test stimulation, spinal cord stimulation results in a long-term pain reduction and health-related quality of life improvement in chronic reflex sympathetic dystrophy.</w:t>
      </w:r>
    </w:p>
    <w:p w14:paraId="18E7C29F" w14:textId="77777777" w:rsidR="008D0565" w:rsidRPr="00D61F73" w:rsidRDefault="008D0565" w:rsidP="00D61F73">
      <w:pPr>
        <w:rPr>
          <w:rFonts w:ascii="Arial" w:hAnsi="Arial" w:cs="Arial"/>
        </w:rPr>
      </w:pPr>
    </w:p>
    <w:p w14:paraId="0E21FFE4" w14:textId="77777777" w:rsidR="008D0565" w:rsidRPr="00D61F73" w:rsidRDefault="008D0565" w:rsidP="00D61F73">
      <w:pPr>
        <w:rPr>
          <w:rFonts w:ascii="Arial" w:hAnsi="Arial" w:cs="Arial"/>
        </w:rPr>
      </w:pPr>
      <w:r w:rsidRPr="00D61F73">
        <w:rPr>
          <w:rFonts w:ascii="Arial" w:hAnsi="Arial" w:cs="Arial"/>
        </w:rPr>
        <w:t xml:space="preserve">PMID: </w:t>
      </w:r>
      <w:hyperlink r:id="rId522" w:history="1">
        <w:r w:rsidRPr="00D61F73">
          <w:rPr>
            <w:rStyle w:val="Hyperlink"/>
            <w:rFonts w:ascii="Arial" w:hAnsi="Arial" w:cs="Arial"/>
          </w:rPr>
          <w:t>14705107</w:t>
        </w:r>
      </w:hyperlink>
      <w:r w:rsidRPr="00D61F73">
        <w:rPr>
          <w:rFonts w:ascii="Arial" w:hAnsi="Arial" w:cs="Arial"/>
        </w:rPr>
        <w:t xml:space="preserve"> </w:t>
      </w:r>
    </w:p>
    <w:p w14:paraId="49629529" w14:textId="77777777" w:rsidR="008D0565" w:rsidRPr="00D61F73" w:rsidRDefault="008D0565" w:rsidP="00D61F73">
      <w:pPr>
        <w:rPr>
          <w:rFonts w:ascii="Arial" w:hAnsi="Arial" w:cs="Arial"/>
        </w:rPr>
      </w:pPr>
    </w:p>
    <w:p w14:paraId="66011CBC" w14:textId="77777777" w:rsidR="008D0565" w:rsidRPr="00D61F73" w:rsidRDefault="008D0565" w:rsidP="00D61F73">
      <w:pPr>
        <w:rPr>
          <w:rFonts w:ascii="Arial" w:hAnsi="Arial" w:cs="Arial"/>
        </w:rPr>
      </w:pPr>
      <w:r w:rsidRPr="00D61F73">
        <w:rPr>
          <w:rFonts w:ascii="Arial" w:hAnsi="Arial" w:cs="Arial"/>
        </w:rPr>
        <w:t>Rating: 2b</w:t>
      </w:r>
    </w:p>
    <w:p w14:paraId="53B8462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30" w:name="Kemler7"/>
      <w:bookmarkEnd w:id="830"/>
      <w:r w:rsidRPr="00D61F73">
        <w:rPr>
          <w:rFonts w:ascii="Arial" w:hAnsi="Arial" w:cs="Arial"/>
          <w:b/>
          <w:bCs/>
        </w:rPr>
        <w:t xml:space="preserve">emler MA, de Vet HC, Barendse GA, van den Wildenberg FA, van Kleef M. Effect of spinal cord stimulation for chronic complex regional pain syndrome Type I: five-year final follow-up of patients in a randomized controlled trial. </w:t>
      </w:r>
      <w:r w:rsidRPr="00D61F73">
        <w:rPr>
          <w:rFonts w:ascii="Arial" w:hAnsi="Arial" w:cs="Arial"/>
          <w:b/>
          <w:bCs/>
          <w:i/>
          <w:iCs/>
        </w:rPr>
        <w:t>J Neurosurg</w:t>
      </w:r>
      <w:r w:rsidRPr="00D61F73">
        <w:rPr>
          <w:rFonts w:ascii="Arial" w:hAnsi="Arial" w:cs="Arial"/>
          <w:b/>
          <w:bCs/>
        </w:rPr>
        <w:t>. 2008 Feb;108(2):292-8.</w:t>
      </w:r>
    </w:p>
    <w:p w14:paraId="5F67B7DB" w14:textId="77777777" w:rsidR="008D0565" w:rsidRPr="00D61F73" w:rsidRDefault="008D0565" w:rsidP="00D61F73">
      <w:pPr>
        <w:rPr>
          <w:rFonts w:ascii="Arial" w:hAnsi="Arial" w:cs="Arial"/>
        </w:rPr>
      </w:pPr>
    </w:p>
    <w:p w14:paraId="2905322A" w14:textId="77777777" w:rsidR="008D0565" w:rsidRPr="00D61F73" w:rsidRDefault="008D0565" w:rsidP="00D61F73">
      <w:pPr>
        <w:rPr>
          <w:rFonts w:ascii="Arial" w:hAnsi="Arial" w:cs="Arial"/>
        </w:rPr>
      </w:pPr>
      <w:r w:rsidRPr="00D61F73">
        <w:rPr>
          <w:rFonts w:ascii="Arial" w:hAnsi="Arial" w:cs="Arial"/>
        </w:rPr>
        <w:t>CONCLUSIONS: Despite the diminishing effectiveness of SCS over time, 95% of patients with an implant would repeat the treatment for the same result.</w:t>
      </w:r>
    </w:p>
    <w:p w14:paraId="4762346C" w14:textId="77777777" w:rsidR="008D0565" w:rsidRPr="00D61F73" w:rsidRDefault="008D0565" w:rsidP="00D61F73">
      <w:pPr>
        <w:rPr>
          <w:rFonts w:ascii="Arial" w:hAnsi="Arial" w:cs="Arial"/>
        </w:rPr>
      </w:pPr>
    </w:p>
    <w:p w14:paraId="1D81F1CC" w14:textId="77777777" w:rsidR="008D0565" w:rsidRPr="00D61F73" w:rsidRDefault="008D0565" w:rsidP="00D61F73">
      <w:pPr>
        <w:rPr>
          <w:rFonts w:ascii="Arial" w:hAnsi="Arial" w:cs="Arial"/>
        </w:rPr>
      </w:pPr>
      <w:r w:rsidRPr="00D61F73">
        <w:rPr>
          <w:rFonts w:ascii="Arial" w:hAnsi="Arial" w:cs="Arial"/>
        </w:rPr>
        <w:t xml:space="preserve">PMID: </w:t>
      </w:r>
      <w:hyperlink r:id="rId523" w:history="1">
        <w:r w:rsidRPr="00D61F73">
          <w:rPr>
            <w:rStyle w:val="Hyperlink"/>
            <w:rFonts w:ascii="Arial" w:hAnsi="Arial" w:cs="Arial"/>
          </w:rPr>
          <w:t>18240925</w:t>
        </w:r>
      </w:hyperlink>
      <w:r w:rsidRPr="00D61F73">
        <w:rPr>
          <w:rFonts w:ascii="Arial" w:hAnsi="Arial" w:cs="Arial"/>
        </w:rPr>
        <w:t xml:space="preserve"> </w:t>
      </w:r>
    </w:p>
    <w:p w14:paraId="1D25DB6E" w14:textId="77777777" w:rsidR="008D0565" w:rsidRPr="00D61F73" w:rsidRDefault="008D0565" w:rsidP="00D61F73">
      <w:pPr>
        <w:rPr>
          <w:rFonts w:ascii="Arial" w:hAnsi="Arial" w:cs="Arial"/>
        </w:rPr>
      </w:pPr>
    </w:p>
    <w:p w14:paraId="505FC6E7" w14:textId="77777777" w:rsidR="008D0565" w:rsidRPr="00D61F73" w:rsidRDefault="008D0565" w:rsidP="00D61F73">
      <w:pPr>
        <w:rPr>
          <w:rFonts w:ascii="Arial" w:hAnsi="Arial" w:cs="Arial"/>
        </w:rPr>
      </w:pPr>
      <w:r w:rsidRPr="00D61F73">
        <w:rPr>
          <w:rFonts w:ascii="Arial" w:hAnsi="Arial" w:cs="Arial"/>
        </w:rPr>
        <w:t>Rating: 2b</w:t>
      </w:r>
    </w:p>
    <w:p w14:paraId="055E71C0" w14:textId="77777777" w:rsidR="008D0565" w:rsidRPr="00D61F73" w:rsidRDefault="008D0565" w:rsidP="00D61F73">
      <w:pPr>
        <w:rPr>
          <w:rFonts w:ascii="Arial" w:hAnsi="Arial" w:cs="Arial"/>
        </w:rPr>
      </w:pPr>
    </w:p>
    <w:p w14:paraId="133E8076" w14:textId="77777777" w:rsidR="008D0565" w:rsidRPr="00D61F73" w:rsidRDefault="008D0565" w:rsidP="00D61F73">
      <w:pPr>
        <w:rPr>
          <w:rFonts w:ascii="Arial" w:hAnsi="Arial" w:cs="Arial"/>
        </w:rPr>
      </w:pPr>
      <w:r w:rsidRPr="00D61F73">
        <w:rPr>
          <w:rFonts w:ascii="Arial" w:hAnsi="Arial" w:cs="Arial"/>
        </w:rPr>
        <w:t xml:space="preserve">The main analysis showed that change in pain intensity was not significantly different between the SCS plus phyisician therapy group and the phyisician therapy alone group (p=0.25).. </w:t>
      </w:r>
    </w:p>
    <w:p w14:paraId="5FD2DAB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31" w:name="Kerns"/>
      <w:bookmarkEnd w:id="831"/>
      <w:r w:rsidRPr="00D61F73">
        <w:rPr>
          <w:rFonts w:ascii="Arial" w:hAnsi="Arial" w:cs="Arial"/>
          <w:b/>
        </w:rPr>
        <w:t xml:space="preserve">erns RD, Thorn BE, Dixon KE. Psychological treatments for persistent pain: An introduction. </w:t>
      </w:r>
      <w:r w:rsidRPr="00D61F73">
        <w:rPr>
          <w:rFonts w:ascii="Arial" w:hAnsi="Arial" w:cs="Arial"/>
          <w:b/>
          <w:i/>
        </w:rPr>
        <w:t>J Clin Psychol</w:t>
      </w:r>
      <w:r w:rsidRPr="00D61F73">
        <w:rPr>
          <w:rFonts w:ascii="Arial" w:hAnsi="Arial" w:cs="Arial"/>
          <w:b/>
        </w:rPr>
        <w:t xml:space="preserve">. 2006 Aug 25; [Epub ahead of print] </w:t>
      </w:r>
    </w:p>
    <w:p w14:paraId="371CE8D5" w14:textId="77777777" w:rsidR="008D0565" w:rsidRPr="00D61F73" w:rsidRDefault="008D0565" w:rsidP="00D61F73">
      <w:pPr>
        <w:rPr>
          <w:rFonts w:ascii="Arial" w:hAnsi="Arial" w:cs="Arial"/>
        </w:rPr>
      </w:pPr>
    </w:p>
    <w:p w14:paraId="6B1D0B1E" w14:textId="77777777" w:rsidR="008D0565" w:rsidRPr="00D61F73" w:rsidRDefault="008D0565" w:rsidP="00D61F73">
      <w:pPr>
        <w:rPr>
          <w:rFonts w:ascii="Arial" w:hAnsi="Arial" w:cs="Arial"/>
        </w:rPr>
      </w:pPr>
      <w:r w:rsidRPr="00D61F73">
        <w:rPr>
          <w:rFonts w:ascii="Arial" w:hAnsi="Arial" w:cs="Arial"/>
        </w:rPr>
        <w:t xml:space="preserve">Psychological treatments for persistent pain have been demonstrated to be effective alternatives or adjuncts to more traditional methods for promoting optimal pain management. </w:t>
      </w:r>
    </w:p>
    <w:p w14:paraId="544072A3" w14:textId="77777777" w:rsidR="008D0565" w:rsidRPr="00D61F73" w:rsidRDefault="008D0565" w:rsidP="00D61F73">
      <w:pPr>
        <w:rPr>
          <w:rFonts w:ascii="Arial" w:hAnsi="Arial" w:cs="Arial"/>
        </w:rPr>
      </w:pPr>
    </w:p>
    <w:p w14:paraId="477AB10E" w14:textId="77777777" w:rsidR="008D0565" w:rsidRPr="00D61F73" w:rsidRDefault="008D0565" w:rsidP="00D61F73">
      <w:pPr>
        <w:rPr>
          <w:rFonts w:ascii="Arial" w:hAnsi="Arial" w:cs="Arial"/>
          <w:b/>
        </w:rPr>
      </w:pPr>
      <w:r w:rsidRPr="00D61F73">
        <w:rPr>
          <w:rFonts w:ascii="Arial" w:hAnsi="Arial" w:cs="Arial"/>
        </w:rPr>
        <w:t xml:space="preserve">PMID: </w:t>
      </w:r>
      <w:hyperlink r:id="rId524" w:history="1">
        <w:r w:rsidRPr="00D61F73">
          <w:rPr>
            <w:rStyle w:val="Hyperlink"/>
            <w:rFonts w:ascii="Arial" w:hAnsi="Arial" w:cs="Arial"/>
          </w:rPr>
          <w:t>16937343</w:t>
        </w:r>
      </w:hyperlink>
      <w:r w:rsidRPr="00D61F73">
        <w:rPr>
          <w:rFonts w:ascii="Arial" w:hAnsi="Arial" w:cs="Arial"/>
          <w:b/>
        </w:rPr>
        <w:t xml:space="preserve"> </w:t>
      </w:r>
    </w:p>
    <w:p w14:paraId="48E737C2" w14:textId="77777777" w:rsidR="008D0565" w:rsidRPr="00D61F73" w:rsidRDefault="008D0565" w:rsidP="00D61F73">
      <w:pPr>
        <w:rPr>
          <w:rFonts w:ascii="Arial" w:hAnsi="Arial" w:cs="Arial"/>
          <w:b/>
        </w:rPr>
      </w:pPr>
    </w:p>
    <w:p w14:paraId="6952E6D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2C6FA0E0"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32" w:name="Khaliq"/>
      <w:bookmarkEnd w:id="832"/>
      <w:r w:rsidRPr="00D61F73">
        <w:rPr>
          <w:rFonts w:ascii="Arial" w:hAnsi="Arial" w:cs="Arial"/>
          <w:b/>
        </w:rPr>
        <w:t xml:space="preserve">haliq W, Alam S, Puri N. Topical lidocaine for the treatment of postherpetic neuralgia. </w:t>
      </w:r>
      <w:r w:rsidRPr="00D61F73">
        <w:rPr>
          <w:rFonts w:ascii="Arial" w:hAnsi="Arial" w:cs="Arial"/>
          <w:b/>
          <w:i/>
        </w:rPr>
        <w:t>Cochrane Database Syst Rev</w:t>
      </w:r>
      <w:r w:rsidRPr="00D61F73">
        <w:rPr>
          <w:rFonts w:ascii="Arial" w:hAnsi="Arial" w:cs="Arial"/>
          <w:b/>
        </w:rPr>
        <w:t xml:space="preserve">. 2007; 18:CD004846. </w:t>
      </w:r>
    </w:p>
    <w:p w14:paraId="517B7D20" w14:textId="77777777" w:rsidR="008D0565" w:rsidRPr="00D61F73" w:rsidRDefault="008D0565" w:rsidP="00D61F73">
      <w:pPr>
        <w:rPr>
          <w:rFonts w:ascii="Arial" w:hAnsi="Arial" w:cs="Arial"/>
        </w:rPr>
      </w:pPr>
    </w:p>
    <w:p w14:paraId="097C26F8" w14:textId="77777777" w:rsidR="008D0565" w:rsidRPr="00D61F73" w:rsidRDefault="008D0565" w:rsidP="00D61F73">
      <w:pPr>
        <w:rPr>
          <w:rFonts w:ascii="Arial" w:hAnsi="Arial" w:cs="Arial"/>
        </w:rPr>
      </w:pPr>
      <w:r w:rsidRPr="00D61F73">
        <w:rPr>
          <w:rFonts w:ascii="Arial" w:hAnsi="Arial" w:cs="Arial"/>
        </w:rPr>
        <w:t xml:space="preserve">CONCLUSIONS: There is insufficient evidence to recommend topical lidocaine as a first-line agent in the treatment of postherpetic neuralgia with allodynia. </w:t>
      </w:r>
    </w:p>
    <w:p w14:paraId="7AEFB29C" w14:textId="77777777" w:rsidR="008D0565" w:rsidRPr="00D61F73" w:rsidRDefault="008D0565" w:rsidP="00D61F73">
      <w:pPr>
        <w:rPr>
          <w:rFonts w:ascii="Arial" w:hAnsi="Arial" w:cs="Arial"/>
        </w:rPr>
      </w:pPr>
    </w:p>
    <w:p w14:paraId="58A4058E" w14:textId="77777777" w:rsidR="008D0565" w:rsidRPr="00D61F73" w:rsidRDefault="008D0565" w:rsidP="00D61F73">
      <w:pPr>
        <w:rPr>
          <w:rFonts w:ascii="Arial" w:hAnsi="Arial" w:cs="Arial"/>
        </w:rPr>
      </w:pPr>
      <w:r w:rsidRPr="00D61F73">
        <w:rPr>
          <w:rFonts w:ascii="Arial" w:hAnsi="Arial" w:cs="Arial"/>
        </w:rPr>
        <w:t xml:space="preserve">PMID: </w:t>
      </w:r>
      <w:hyperlink r:id="rId525" w:history="1">
        <w:r w:rsidRPr="00D61F73">
          <w:rPr>
            <w:rStyle w:val="Hyperlink"/>
            <w:rFonts w:ascii="Arial" w:hAnsi="Arial" w:cs="Arial"/>
          </w:rPr>
          <w:t>17443559</w:t>
        </w:r>
      </w:hyperlink>
    </w:p>
    <w:p w14:paraId="2775EE3B" w14:textId="77777777" w:rsidR="008D0565" w:rsidRPr="00D61F73" w:rsidRDefault="008D0565" w:rsidP="00D61F73">
      <w:pPr>
        <w:rPr>
          <w:rFonts w:ascii="Arial" w:hAnsi="Arial" w:cs="Arial"/>
        </w:rPr>
      </w:pPr>
    </w:p>
    <w:p w14:paraId="72411882" w14:textId="77777777" w:rsidR="008D0565" w:rsidRPr="00D61F73" w:rsidRDefault="008D0565" w:rsidP="00D61F73">
      <w:pPr>
        <w:rPr>
          <w:rFonts w:ascii="Arial" w:hAnsi="Arial" w:cs="Arial"/>
        </w:rPr>
      </w:pPr>
      <w:r w:rsidRPr="00D61F73">
        <w:rPr>
          <w:rFonts w:ascii="Arial" w:hAnsi="Arial" w:cs="Arial"/>
        </w:rPr>
        <w:t>Rating: 1c</w:t>
      </w:r>
    </w:p>
    <w:p w14:paraId="46563394"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K</w:t>
      </w:r>
      <w:bookmarkStart w:id="833" w:name="Kienzler2010"/>
      <w:bookmarkEnd w:id="833"/>
      <w:r w:rsidRPr="00D61F73">
        <w:rPr>
          <w:rFonts w:ascii="Arial" w:hAnsi="Arial" w:cs="Arial"/>
          <w:b/>
        </w:rPr>
        <w:t xml:space="preserve">ienzler JL, Gold M, Nollevaux F. Systemic bioavailability of topical diclofenac sodium gel 1% versus oral diclofenac sodium in healthy volunteers. </w:t>
      </w:r>
      <w:r w:rsidRPr="00D61F73">
        <w:rPr>
          <w:rFonts w:ascii="Arial" w:hAnsi="Arial" w:cs="Arial"/>
          <w:b/>
          <w:i/>
        </w:rPr>
        <w:t>J Clin Pharmacol</w:t>
      </w:r>
      <w:r w:rsidRPr="00D61F73">
        <w:rPr>
          <w:rFonts w:ascii="Arial" w:hAnsi="Arial" w:cs="Arial"/>
          <w:b/>
        </w:rPr>
        <w:t>. 2010;50:50-61.</w:t>
      </w:r>
    </w:p>
    <w:p w14:paraId="74059472" w14:textId="77777777" w:rsidR="008D0565" w:rsidRPr="00D61F73" w:rsidRDefault="008D0565" w:rsidP="00D61F73">
      <w:pPr>
        <w:tabs>
          <w:tab w:val="left" w:pos="7200"/>
        </w:tabs>
        <w:rPr>
          <w:rFonts w:ascii="Arial" w:eastAsia="Calibri" w:hAnsi="Arial" w:cs="Arial"/>
        </w:rPr>
      </w:pPr>
    </w:p>
    <w:p w14:paraId="151CD7E5"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Topical diclofenac did not inhibit platelet aggregation and inhibited COX-1 and COX-2 less than oral diclofenac. </w:t>
      </w:r>
    </w:p>
    <w:p w14:paraId="0E93370C" w14:textId="77777777" w:rsidR="008D0565" w:rsidRPr="00D61F73" w:rsidRDefault="008D0565" w:rsidP="00D61F73">
      <w:pPr>
        <w:tabs>
          <w:tab w:val="left" w:pos="7200"/>
        </w:tabs>
        <w:rPr>
          <w:rFonts w:ascii="Arial" w:eastAsia="Calibri" w:hAnsi="Arial" w:cs="Arial"/>
        </w:rPr>
      </w:pPr>
    </w:p>
    <w:p w14:paraId="40B38C72"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526" w:history="1">
        <w:r w:rsidRPr="00D61F73">
          <w:rPr>
            <w:rStyle w:val="Hyperlink"/>
            <w:rFonts w:ascii="Arial" w:hAnsi="Arial" w:cs="Arial"/>
          </w:rPr>
          <w:t>19841157</w:t>
        </w:r>
      </w:hyperlink>
    </w:p>
    <w:p w14:paraId="431FB706" w14:textId="77777777" w:rsidR="008D0565" w:rsidRPr="00D61F73" w:rsidRDefault="008D0565" w:rsidP="00D61F73">
      <w:pPr>
        <w:tabs>
          <w:tab w:val="left" w:pos="7200"/>
          <w:tab w:val="left" w:pos="8199"/>
        </w:tabs>
        <w:rPr>
          <w:rFonts w:ascii="Arial" w:eastAsia="Calibri" w:hAnsi="Arial" w:cs="Arial"/>
        </w:rPr>
      </w:pPr>
    </w:p>
    <w:p w14:paraId="32BD3134" w14:textId="77777777" w:rsidR="008D0565" w:rsidRPr="00D61F73" w:rsidRDefault="008D0565" w:rsidP="00D61F73">
      <w:pPr>
        <w:tabs>
          <w:tab w:val="left" w:pos="7200"/>
          <w:tab w:val="left" w:pos="8199"/>
        </w:tabs>
        <w:rPr>
          <w:rFonts w:ascii="Arial" w:eastAsia="Calibri" w:hAnsi="Arial" w:cs="Arial"/>
        </w:rPr>
      </w:pPr>
      <w:r w:rsidRPr="00D61F73">
        <w:rPr>
          <w:rFonts w:ascii="Arial" w:hAnsi="Arial" w:cs="Arial"/>
        </w:rPr>
        <w:t>Rating: 2c</w:t>
      </w:r>
    </w:p>
    <w:p w14:paraId="1F15716F" w14:textId="77777777" w:rsidR="008D0565" w:rsidRPr="00D61F73" w:rsidRDefault="008D0565" w:rsidP="00D61F73">
      <w:pPr>
        <w:tabs>
          <w:tab w:val="left" w:pos="7200"/>
          <w:tab w:val="left" w:pos="8199"/>
        </w:tabs>
        <w:rPr>
          <w:rFonts w:ascii="Arial" w:eastAsia="Calibri" w:hAnsi="Arial" w:cs="Arial"/>
        </w:rPr>
      </w:pPr>
    </w:p>
    <w:p w14:paraId="14AD6520" w14:textId="77777777" w:rsidR="008D0565" w:rsidRPr="00D61F73" w:rsidRDefault="008D0565" w:rsidP="00D61F73">
      <w:pPr>
        <w:rPr>
          <w:rFonts w:ascii="Arial" w:hAnsi="Arial" w:cs="Arial"/>
        </w:rPr>
      </w:pPr>
      <w:r w:rsidRPr="00D61F73">
        <w:rPr>
          <w:rFonts w:ascii="Arial" w:hAnsi="Arial" w:cs="Arial"/>
        </w:rPr>
        <w:t>This study was sponsored by Novartis</w:t>
      </w:r>
    </w:p>
    <w:p w14:paraId="5B0D4022" w14:textId="77777777" w:rsidR="008D0565" w:rsidRPr="00D61F73" w:rsidRDefault="008D0565" w:rsidP="00D61F73">
      <w:pPr>
        <w:rPr>
          <w:rStyle w:val="ti"/>
          <w:rFonts w:ascii="Arial" w:hAnsi="Arial" w:cs="Arial"/>
        </w:rPr>
      </w:pPr>
      <w:r w:rsidRPr="00D61F73">
        <w:rPr>
          <w:rFonts w:ascii="Arial" w:hAnsi="Arial" w:cs="Arial"/>
        </w:rPr>
        <w:br w:type="page"/>
      </w:r>
      <w:r w:rsidRPr="00D61F73">
        <w:rPr>
          <w:rFonts w:ascii="Arial" w:hAnsi="Arial" w:cs="Arial"/>
        </w:rPr>
        <w:lastRenderedPageBreak/>
        <w:t>K</w:t>
      </w:r>
      <w:bookmarkStart w:id="834" w:name="Knotkova"/>
      <w:bookmarkEnd w:id="834"/>
      <w:r w:rsidRPr="00D61F73">
        <w:rPr>
          <w:rFonts w:ascii="Arial" w:hAnsi="Arial" w:cs="Arial"/>
        </w:rPr>
        <w:t xml:space="preserve">notkova H, Pappagallo M. Adjuvant analgesics. </w:t>
      </w:r>
      <w:r w:rsidRPr="00D61F73">
        <w:rPr>
          <w:rStyle w:val="ti"/>
          <w:rFonts w:ascii="Arial" w:hAnsi="Arial" w:cs="Arial"/>
          <w:i/>
        </w:rPr>
        <w:t>Med Clin North Am</w:t>
      </w:r>
      <w:r w:rsidRPr="00D61F73">
        <w:rPr>
          <w:rStyle w:val="ti"/>
          <w:rFonts w:ascii="Arial" w:hAnsi="Arial" w:cs="Arial"/>
        </w:rPr>
        <w:t>. 2007;91:113-24.</w:t>
      </w:r>
    </w:p>
    <w:p w14:paraId="26624B71" w14:textId="77777777" w:rsidR="008D0565" w:rsidRPr="00D61F73" w:rsidRDefault="008D0565" w:rsidP="00D61F73">
      <w:pPr>
        <w:pStyle w:val="Heading2"/>
        <w:rPr>
          <w:rFonts w:ascii="Arial" w:hAnsi="Arial" w:cs="Arial"/>
          <w:sz w:val="24"/>
          <w:szCs w:val="24"/>
        </w:rPr>
      </w:pPr>
    </w:p>
    <w:p w14:paraId="23F507E4"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Moderate to severe pain/functional impairment; pain with a score of &gt;4 on the brief pain inventory. 1. Gabapentinoid (gabapentin, pregabalin)+/-Opioid/opioid rotation or 2. Antidepressant (TCA, duloxetine, venlafaxine)+/-Opioid/opioid rotation or 3. Gabapentinoid+antidepressant+Opioid/opioid rotation. </w:t>
      </w:r>
    </w:p>
    <w:p w14:paraId="0A3C8781" w14:textId="77777777" w:rsidR="008D0565" w:rsidRPr="00D61F73" w:rsidRDefault="008D0565" w:rsidP="00D61F73">
      <w:pPr>
        <w:pStyle w:val="pmid"/>
        <w:spacing w:before="0" w:beforeAutospacing="0" w:after="0" w:afterAutospacing="0"/>
        <w:rPr>
          <w:rFonts w:ascii="Arial" w:hAnsi="Arial" w:cs="Arial"/>
        </w:rPr>
      </w:pPr>
    </w:p>
    <w:p w14:paraId="4F2712E4"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527" w:history="1">
        <w:r w:rsidRPr="00D61F73">
          <w:rPr>
            <w:rStyle w:val="Hyperlink"/>
            <w:rFonts w:ascii="Arial" w:hAnsi="Arial" w:cs="Arial"/>
          </w:rPr>
          <w:t>17164107</w:t>
        </w:r>
      </w:hyperlink>
    </w:p>
    <w:p w14:paraId="290C830E" w14:textId="77777777" w:rsidR="008D0565" w:rsidRPr="00D61F73" w:rsidRDefault="008D0565" w:rsidP="00D61F73">
      <w:pPr>
        <w:pStyle w:val="pmid"/>
        <w:spacing w:before="0" w:beforeAutospacing="0" w:after="0" w:afterAutospacing="0"/>
        <w:rPr>
          <w:rFonts w:ascii="Arial" w:hAnsi="Arial" w:cs="Arial"/>
        </w:rPr>
      </w:pPr>
    </w:p>
    <w:p w14:paraId="600C7BD6"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5b</w:t>
      </w:r>
    </w:p>
    <w:p w14:paraId="59F7B315"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35" w:name="Koke"/>
      <w:bookmarkEnd w:id="835"/>
      <w:r w:rsidRPr="00D61F73">
        <w:rPr>
          <w:rFonts w:ascii="Arial" w:hAnsi="Arial" w:cs="Arial"/>
          <w:b/>
        </w:rPr>
        <w:t xml:space="preserve">oke AJ, Schouten JS, Lamerichs-Geelen MJ, Lipsch JS, Waltje EM, van Kleef M, Patijn J. Pain reducing effect of three types of transcutaneous electrical nerve stimulation in patients with chronic pain: a randomized crossover trial. </w:t>
      </w:r>
      <w:r w:rsidRPr="00D61F73">
        <w:rPr>
          <w:rFonts w:ascii="Arial" w:hAnsi="Arial" w:cs="Arial"/>
          <w:b/>
          <w:i/>
        </w:rPr>
        <w:t>Pain.</w:t>
      </w:r>
      <w:r w:rsidRPr="00D61F73">
        <w:rPr>
          <w:rFonts w:ascii="Arial" w:hAnsi="Arial" w:cs="Arial"/>
          <w:b/>
        </w:rPr>
        <w:t xml:space="preserve"> 2004;108:36-42.</w:t>
      </w:r>
    </w:p>
    <w:p w14:paraId="0E9E0D84" w14:textId="77777777" w:rsidR="008D0565" w:rsidRPr="00D61F73" w:rsidRDefault="008D0565" w:rsidP="00D61F73">
      <w:pPr>
        <w:rPr>
          <w:rFonts w:ascii="Arial" w:hAnsi="Arial" w:cs="Arial"/>
        </w:rPr>
      </w:pPr>
    </w:p>
    <w:p w14:paraId="60792F1B" w14:textId="77777777" w:rsidR="008D0565" w:rsidRPr="00D61F73" w:rsidRDefault="008D0565" w:rsidP="00D61F73">
      <w:pPr>
        <w:rPr>
          <w:rFonts w:ascii="Arial" w:hAnsi="Arial" w:cs="Arial"/>
        </w:rPr>
      </w:pPr>
      <w:r w:rsidRPr="00D61F73">
        <w:rPr>
          <w:rFonts w:ascii="Arial" w:hAnsi="Arial" w:cs="Arial"/>
        </w:rPr>
        <w:t xml:space="preserve">We concluded that there were no differences in effectiveness for the three types of TENS used in this study. </w:t>
      </w:r>
    </w:p>
    <w:p w14:paraId="24111AD1" w14:textId="77777777" w:rsidR="008D0565" w:rsidRPr="00D61F73" w:rsidRDefault="008D0565" w:rsidP="00D61F73">
      <w:pPr>
        <w:rPr>
          <w:rFonts w:ascii="Arial" w:hAnsi="Arial" w:cs="Arial"/>
        </w:rPr>
      </w:pPr>
    </w:p>
    <w:p w14:paraId="3F3E8F01" w14:textId="77777777" w:rsidR="008D0565" w:rsidRPr="00D61F73" w:rsidRDefault="008D0565" w:rsidP="00D61F73">
      <w:pPr>
        <w:rPr>
          <w:rFonts w:ascii="Arial" w:hAnsi="Arial" w:cs="Arial"/>
        </w:rPr>
      </w:pPr>
      <w:r w:rsidRPr="00D61F73">
        <w:rPr>
          <w:rFonts w:ascii="Arial" w:hAnsi="Arial" w:cs="Arial"/>
        </w:rPr>
        <w:t xml:space="preserve">PMID: </w:t>
      </w:r>
      <w:hyperlink r:id="rId528" w:history="1">
        <w:r w:rsidRPr="00D61F73">
          <w:rPr>
            <w:rStyle w:val="Hyperlink"/>
            <w:rFonts w:ascii="Arial" w:hAnsi="Arial" w:cs="Arial"/>
          </w:rPr>
          <w:t>15109505</w:t>
        </w:r>
      </w:hyperlink>
    </w:p>
    <w:p w14:paraId="5E00F35A" w14:textId="77777777" w:rsidR="008D0565" w:rsidRPr="00D61F73" w:rsidRDefault="008D0565" w:rsidP="00D61F73">
      <w:pPr>
        <w:rPr>
          <w:rFonts w:ascii="Arial" w:hAnsi="Arial" w:cs="Arial"/>
        </w:rPr>
      </w:pPr>
    </w:p>
    <w:p w14:paraId="6584A34D" w14:textId="77777777" w:rsidR="008D0565" w:rsidRPr="00D61F73" w:rsidRDefault="008D0565" w:rsidP="00D61F73">
      <w:pPr>
        <w:rPr>
          <w:rFonts w:ascii="Arial" w:hAnsi="Arial" w:cs="Arial"/>
        </w:rPr>
      </w:pPr>
      <w:r w:rsidRPr="00D61F73">
        <w:rPr>
          <w:rFonts w:ascii="Arial" w:hAnsi="Arial" w:cs="Arial"/>
        </w:rPr>
        <w:t>Rating: 2c</w:t>
      </w:r>
    </w:p>
    <w:p w14:paraId="2C79B87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36" w:name="Kokkonen2010"/>
      <w:bookmarkEnd w:id="836"/>
      <w:r w:rsidRPr="00D61F73">
        <w:rPr>
          <w:rFonts w:ascii="Arial" w:hAnsi="Arial" w:cs="Arial"/>
          <w:b/>
          <w:bCs/>
        </w:rPr>
        <w:t xml:space="preserve">okkonen H, Söderström I, Rocklöv J, Hallmans G, Lejon K, Rantapää Dahlqvist S. Up-regulation of cytokines and chemokines predates the onset of rheumatoid arthritis. </w:t>
      </w:r>
      <w:r w:rsidRPr="00D61F73">
        <w:rPr>
          <w:rFonts w:ascii="Arial" w:hAnsi="Arial" w:cs="Arial"/>
          <w:b/>
          <w:bCs/>
          <w:i/>
          <w:iCs/>
        </w:rPr>
        <w:t>Arthritis Rheum</w:t>
      </w:r>
      <w:r w:rsidRPr="00D61F73">
        <w:rPr>
          <w:rFonts w:ascii="Arial" w:hAnsi="Arial" w:cs="Arial"/>
          <w:b/>
          <w:bCs/>
        </w:rPr>
        <w:t>. 2010 Feb;62(2):383-91.</w:t>
      </w:r>
    </w:p>
    <w:p w14:paraId="54A73C05" w14:textId="77777777" w:rsidR="008D0565" w:rsidRPr="00D61F73" w:rsidRDefault="008D0565" w:rsidP="00D61F73">
      <w:pPr>
        <w:pStyle w:val="NormalWeb"/>
        <w:spacing w:before="0" w:beforeAutospacing="0" w:after="0" w:afterAutospacing="0"/>
        <w:rPr>
          <w:rFonts w:ascii="Arial" w:hAnsi="Arial" w:cs="Arial"/>
        </w:rPr>
      </w:pPr>
    </w:p>
    <w:p w14:paraId="2EB676E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 Individuals in whom RA later developed had significantly increased levels of several cytokines.</w:t>
      </w:r>
    </w:p>
    <w:p w14:paraId="28FBD1F6" w14:textId="77777777" w:rsidR="008D0565" w:rsidRPr="00D61F73" w:rsidRDefault="008D0565" w:rsidP="00D61F73">
      <w:pPr>
        <w:pStyle w:val="NormalWeb"/>
        <w:spacing w:before="0" w:beforeAutospacing="0" w:after="0" w:afterAutospacing="0"/>
        <w:rPr>
          <w:rFonts w:ascii="Arial" w:hAnsi="Arial" w:cs="Arial"/>
        </w:rPr>
      </w:pPr>
    </w:p>
    <w:p w14:paraId="5FB288A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29" w:history="1">
        <w:r w:rsidRPr="00D61F73">
          <w:rPr>
            <w:rStyle w:val="Hyperlink"/>
            <w:rFonts w:ascii="Arial" w:hAnsi="Arial" w:cs="Arial"/>
          </w:rPr>
          <w:t>20112361</w:t>
        </w:r>
      </w:hyperlink>
      <w:r w:rsidRPr="00D61F73">
        <w:rPr>
          <w:rFonts w:ascii="Arial" w:hAnsi="Arial" w:cs="Arial"/>
        </w:rPr>
        <w:t xml:space="preserve"> </w:t>
      </w:r>
    </w:p>
    <w:p w14:paraId="5F308684" w14:textId="77777777" w:rsidR="008D0565" w:rsidRPr="00D61F73" w:rsidRDefault="008D0565" w:rsidP="00D61F73">
      <w:pPr>
        <w:pStyle w:val="NormalWeb"/>
        <w:spacing w:before="0" w:beforeAutospacing="0" w:after="0" w:afterAutospacing="0"/>
        <w:rPr>
          <w:rFonts w:ascii="Arial" w:hAnsi="Arial" w:cs="Arial"/>
        </w:rPr>
      </w:pPr>
    </w:p>
    <w:p w14:paraId="63A563B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5AEF8E04"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37" w:name="Kool"/>
      <w:bookmarkEnd w:id="837"/>
      <w:r w:rsidRPr="00D61F73">
        <w:rPr>
          <w:rFonts w:ascii="Arial" w:hAnsi="Arial" w:cs="Arial"/>
          <w:b/>
          <w:bCs/>
        </w:rPr>
        <w:t xml:space="preserve">ool J, Bachmann S, Oesch P, Knuesel O, Ambergen T, de Bie R, van den Brandt P. Function-centered rehabilitation increases work days in patients with nonacute nonspecific low back pain: 1-year results from a randomized controlled trial. </w:t>
      </w:r>
      <w:r w:rsidRPr="00D61F73">
        <w:rPr>
          <w:rFonts w:ascii="Arial" w:hAnsi="Arial" w:cs="Arial"/>
          <w:b/>
          <w:bCs/>
          <w:i/>
          <w:iCs/>
        </w:rPr>
        <w:t>Arch Phys Med Rehabil</w:t>
      </w:r>
      <w:r w:rsidRPr="00D61F73">
        <w:rPr>
          <w:rFonts w:ascii="Arial" w:hAnsi="Arial" w:cs="Arial"/>
          <w:b/>
          <w:bCs/>
        </w:rPr>
        <w:t>. 2007 Sep;88(9):1089-94.</w:t>
      </w:r>
    </w:p>
    <w:p w14:paraId="3328192E" w14:textId="77777777" w:rsidR="008D0565" w:rsidRPr="00D61F73" w:rsidRDefault="008D0565" w:rsidP="00D61F73">
      <w:pPr>
        <w:pStyle w:val="NormalWeb"/>
        <w:spacing w:before="0" w:beforeAutospacing="0" w:after="0" w:afterAutospacing="0"/>
        <w:rPr>
          <w:rFonts w:ascii="Arial" w:hAnsi="Arial" w:cs="Arial"/>
        </w:rPr>
      </w:pPr>
    </w:p>
    <w:p w14:paraId="245AB88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CONCLUSIONS: FCT is more effective than PCT for increasing work days.</w:t>
      </w:r>
    </w:p>
    <w:p w14:paraId="4764E895" w14:textId="77777777" w:rsidR="008D0565" w:rsidRPr="00D61F73" w:rsidRDefault="008D0565" w:rsidP="00D61F73">
      <w:pPr>
        <w:pStyle w:val="NormalWeb"/>
        <w:spacing w:before="0" w:beforeAutospacing="0" w:after="0" w:afterAutospacing="0"/>
        <w:rPr>
          <w:rFonts w:ascii="Arial" w:hAnsi="Arial" w:cs="Arial"/>
        </w:rPr>
      </w:pPr>
    </w:p>
    <w:p w14:paraId="053B6D0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30" w:history="1">
        <w:r w:rsidRPr="00D61F73">
          <w:rPr>
            <w:rStyle w:val="Hyperlink"/>
            <w:rFonts w:ascii="Arial" w:hAnsi="Arial" w:cs="Arial"/>
          </w:rPr>
          <w:t>17826451</w:t>
        </w:r>
      </w:hyperlink>
      <w:r w:rsidRPr="00D61F73">
        <w:rPr>
          <w:rFonts w:ascii="Arial" w:hAnsi="Arial" w:cs="Arial"/>
        </w:rPr>
        <w:t xml:space="preserve"> </w:t>
      </w:r>
    </w:p>
    <w:p w14:paraId="53D36C28" w14:textId="77777777" w:rsidR="008D0565" w:rsidRPr="00D61F73" w:rsidRDefault="008D0565" w:rsidP="00D61F73">
      <w:pPr>
        <w:pStyle w:val="NormalWeb"/>
        <w:spacing w:before="0" w:beforeAutospacing="0" w:after="0" w:afterAutospacing="0"/>
        <w:rPr>
          <w:rFonts w:ascii="Arial" w:hAnsi="Arial" w:cs="Arial"/>
        </w:rPr>
      </w:pPr>
    </w:p>
    <w:p w14:paraId="70E90B9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376F015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38" w:name="Kool2"/>
      <w:bookmarkEnd w:id="838"/>
      <w:r w:rsidRPr="00D61F73">
        <w:rPr>
          <w:rFonts w:ascii="Arial" w:hAnsi="Arial" w:cs="Arial"/>
          <w:b/>
          <w:bCs/>
        </w:rPr>
        <w:t xml:space="preserve">ool JP, Oesch PR, Bachmann S, Knuesel O, Dierkes JG, Russo M, de Bie RA, van den Brandt PA. Increasing days at work using function-centered rehabilitation in nonacute nonspecific low back pain: a randomized controlled trial. </w:t>
      </w:r>
      <w:r w:rsidRPr="00D61F73">
        <w:rPr>
          <w:rFonts w:ascii="Arial" w:hAnsi="Arial" w:cs="Arial"/>
          <w:b/>
          <w:bCs/>
          <w:i/>
          <w:iCs/>
        </w:rPr>
        <w:t>Arch Phys Med Rehabil</w:t>
      </w:r>
      <w:r w:rsidRPr="00D61F73">
        <w:rPr>
          <w:rFonts w:ascii="Arial" w:hAnsi="Arial" w:cs="Arial"/>
          <w:b/>
          <w:bCs/>
        </w:rPr>
        <w:t>. 2005 May;86(5):857-64.</w:t>
      </w:r>
    </w:p>
    <w:p w14:paraId="38924955" w14:textId="77777777" w:rsidR="008D0565" w:rsidRPr="00D61F73" w:rsidRDefault="008D0565" w:rsidP="00D61F73">
      <w:pPr>
        <w:pStyle w:val="NormalWeb"/>
        <w:spacing w:before="0" w:beforeAutospacing="0" w:after="0" w:afterAutospacing="0"/>
        <w:rPr>
          <w:rFonts w:ascii="Arial" w:hAnsi="Arial" w:cs="Arial"/>
        </w:rPr>
      </w:pPr>
    </w:p>
    <w:p w14:paraId="5F14119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Function-centered rehabilitation increases the number of work days, self-efficacy, and lifting capacity in patients with nonacute nonspecific LBP.</w:t>
      </w:r>
    </w:p>
    <w:p w14:paraId="1FF424FA" w14:textId="77777777" w:rsidR="008D0565" w:rsidRPr="00D61F73" w:rsidRDefault="008D0565" w:rsidP="00D61F73">
      <w:pPr>
        <w:pStyle w:val="NormalWeb"/>
        <w:spacing w:before="0" w:beforeAutospacing="0" w:after="0" w:afterAutospacing="0"/>
        <w:rPr>
          <w:rFonts w:ascii="Arial" w:hAnsi="Arial" w:cs="Arial"/>
        </w:rPr>
      </w:pPr>
    </w:p>
    <w:p w14:paraId="743B511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31" w:history="1">
        <w:r w:rsidRPr="00D61F73">
          <w:rPr>
            <w:rStyle w:val="Hyperlink"/>
            <w:rFonts w:ascii="Arial" w:hAnsi="Arial" w:cs="Arial"/>
          </w:rPr>
          <w:t>15895328</w:t>
        </w:r>
      </w:hyperlink>
      <w:r w:rsidRPr="00D61F73">
        <w:rPr>
          <w:rFonts w:ascii="Arial" w:hAnsi="Arial" w:cs="Arial"/>
        </w:rPr>
        <w:t xml:space="preserve"> </w:t>
      </w:r>
    </w:p>
    <w:p w14:paraId="22A33AD3" w14:textId="77777777" w:rsidR="008D0565" w:rsidRPr="00D61F73" w:rsidRDefault="008D0565" w:rsidP="00D61F73">
      <w:pPr>
        <w:pStyle w:val="NormalWeb"/>
        <w:spacing w:before="0" w:beforeAutospacing="0" w:after="0" w:afterAutospacing="0"/>
        <w:rPr>
          <w:rFonts w:ascii="Arial" w:hAnsi="Arial" w:cs="Arial"/>
        </w:rPr>
      </w:pPr>
    </w:p>
    <w:p w14:paraId="6B14652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087A55DA" w14:textId="77777777" w:rsidR="008D0565" w:rsidRPr="00D61F73" w:rsidRDefault="008D0565" w:rsidP="00402D57">
      <w:pPr>
        <w:pStyle w:val="Normal1"/>
        <w:framePr w:wrap="around"/>
      </w:pPr>
      <w:r w:rsidRPr="00D61F73">
        <w:br w:type="page"/>
        <w:t>K</w:t>
      </w:r>
      <w:bookmarkStart w:id="839" w:name="Kowalski"/>
      <w:bookmarkEnd w:id="839"/>
      <w:r w:rsidRPr="00D61F73">
        <w:t xml:space="preserve">owalski M, Stoker DG, Bon C, Moore KA, Boesing SE. A Pharmacokinetic Analysis of Diclofenac Potassium Soft-Gelatin Capsule in Patients After Bunionectomy. </w:t>
      </w:r>
      <w:r w:rsidRPr="00D61F73">
        <w:rPr>
          <w:i/>
        </w:rPr>
        <w:t>Am J Ther</w:t>
      </w:r>
      <w:r w:rsidRPr="00D61F73">
        <w:t>. 2009 Jun 13.</w:t>
      </w:r>
    </w:p>
    <w:p w14:paraId="583C5241" w14:textId="77777777" w:rsidR="008D0565" w:rsidRPr="00D61F73" w:rsidRDefault="008D0565" w:rsidP="00D61F73">
      <w:pPr>
        <w:pStyle w:val="NormalWeb"/>
        <w:spacing w:before="0" w:beforeAutospacing="0" w:after="0" w:afterAutospacing="0"/>
        <w:rPr>
          <w:rFonts w:ascii="Arial" w:hAnsi="Arial" w:cs="Arial"/>
        </w:rPr>
      </w:pPr>
    </w:p>
    <w:p w14:paraId="1D2C5B1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When compared with absorption characteristics of diclofenac potassium 50-mg tablet, DPSGC was more rapidly and consistently absorbed after bunionectomy. These characteristics should be advantageous when rapid pain relief is desired.</w:t>
      </w:r>
    </w:p>
    <w:p w14:paraId="49AF1BCE" w14:textId="77777777" w:rsidR="008D0565" w:rsidRPr="00D61F73" w:rsidRDefault="008D0565" w:rsidP="00D61F73">
      <w:pPr>
        <w:pStyle w:val="NormalWeb"/>
        <w:spacing w:before="0" w:beforeAutospacing="0" w:after="0" w:afterAutospacing="0"/>
        <w:rPr>
          <w:rFonts w:ascii="Arial" w:hAnsi="Arial" w:cs="Arial"/>
        </w:rPr>
      </w:pPr>
    </w:p>
    <w:p w14:paraId="5DCA8C3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32" w:history="1">
        <w:r w:rsidRPr="00D61F73">
          <w:rPr>
            <w:rStyle w:val="Hyperlink"/>
            <w:rFonts w:ascii="Arial" w:hAnsi="Arial" w:cs="Arial"/>
          </w:rPr>
          <w:t>19531931</w:t>
        </w:r>
      </w:hyperlink>
      <w:r w:rsidRPr="00D61F73">
        <w:rPr>
          <w:rFonts w:ascii="Arial" w:hAnsi="Arial" w:cs="Arial"/>
        </w:rPr>
        <w:t xml:space="preserve"> </w:t>
      </w:r>
    </w:p>
    <w:p w14:paraId="3E7321A2" w14:textId="77777777" w:rsidR="008D0565" w:rsidRPr="00D61F73" w:rsidRDefault="008D0565" w:rsidP="00D61F73">
      <w:pPr>
        <w:pStyle w:val="NormalWeb"/>
        <w:spacing w:before="0" w:beforeAutospacing="0" w:after="0" w:afterAutospacing="0"/>
        <w:rPr>
          <w:rFonts w:ascii="Arial" w:hAnsi="Arial" w:cs="Arial"/>
        </w:rPr>
      </w:pPr>
    </w:p>
    <w:p w14:paraId="61DE080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1DE7265A"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K</w:t>
      </w:r>
      <w:bookmarkStart w:id="840" w:name="Krantz2009"/>
      <w:bookmarkEnd w:id="840"/>
      <w:r w:rsidRPr="00D61F73">
        <w:rPr>
          <w:rFonts w:ascii="Arial" w:hAnsi="Arial" w:cs="Arial"/>
          <w:b/>
        </w:rPr>
        <w:t xml:space="preserve">rantz MJ, Martin J, Stimmel B, Mehta D, Haigney MC. QTc interval screening in methadone treatment. </w:t>
      </w:r>
      <w:r w:rsidRPr="00D61F73">
        <w:rPr>
          <w:rFonts w:ascii="Arial" w:hAnsi="Arial" w:cs="Arial"/>
          <w:b/>
          <w:i/>
        </w:rPr>
        <w:t>Ann Intern Med</w:t>
      </w:r>
      <w:r w:rsidRPr="00D61F73">
        <w:rPr>
          <w:rFonts w:ascii="Arial" w:hAnsi="Arial" w:cs="Arial"/>
          <w:b/>
        </w:rPr>
        <w:t>. 2009;150:387-95.</w:t>
      </w:r>
    </w:p>
    <w:p w14:paraId="47B6FF72" w14:textId="77777777" w:rsidR="008D0565" w:rsidRPr="00D61F73" w:rsidRDefault="008D0565" w:rsidP="00D61F73">
      <w:pPr>
        <w:rPr>
          <w:rFonts w:ascii="Arial" w:eastAsia="Calibri" w:hAnsi="Arial" w:cs="Arial"/>
        </w:rPr>
      </w:pPr>
    </w:p>
    <w:p w14:paraId="52728D75" w14:textId="77777777" w:rsidR="008D0565" w:rsidRPr="00D61F73" w:rsidRDefault="008D0565" w:rsidP="00D61F73">
      <w:pPr>
        <w:rPr>
          <w:rFonts w:ascii="Arial" w:eastAsia="Calibri" w:hAnsi="Arial" w:cs="Arial"/>
        </w:rPr>
      </w:pPr>
      <w:r w:rsidRPr="00D61F73">
        <w:rPr>
          <w:rFonts w:ascii="Arial" w:hAnsi="Arial" w:cs="Arial"/>
        </w:rPr>
        <w:t xml:space="preserve">Clinicians should inform patients of arrhythmia risk when they prescribe methadone. </w:t>
      </w:r>
    </w:p>
    <w:p w14:paraId="0FA9A191" w14:textId="77777777" w:rsidR="008D0565" w:rsidRPr="00D61F73" w:rsidRDefault="008D0565" w:rsidP="00D61F73">
      <w:pPr>
        <w:rPr>
          <w:rFonts w:ascii="Arial" w:eastAsia="Calibri" w:hAnsi="Arial" w:cs="Arial"/>
        </w:rPr>
      </w:pPr>
    </w:p>
    <w:p w14:paraId="79A7E5E7"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533" w:history="1">
        <w:r w:rsidRPr="00D61F73">
          <w:rPr>
            <w:rStyle w:val="Hyperlink"/>
            <w:rFonts w:ascii="Arial" w:hAnsi="Arial" w:cs="Arial"/>
          </w:rPr>
          <w:t>19153406</w:t>
        </w:r>
      </w:hyperlink>
    </w:p>
    <w:p w14:paraId="392BD1E5" w14:textId="77777777" w:rsidR="008D0565" w:rsidRPr="00D61F73" w:rsidRDefault="008D0565" w:rsidP="00D61F73">
      <w:pPr>
        <w:rPr>
          <w:rFonts w:ascii="Arial" w:eastAsia="Calibri" w:hAnsi="Arial" w:cs="Arial"/>
        </w:rPr>
      </w:pPr>
    </w:p>
    <w:p w14:paraId="61200526" w14:textId="77777777" w:rsidR="008D0565" w:rsidRPr="00D61F73" w:rsidRDefault="008D0565" w:rsidP="00D61F73">
      <w:pPr>
        <w:rPr>
          <w:rFonts w:ascii="Arial" w:eastAsia="Calibri" w:hAnsi="Arial" w:cs="Arial"/>
        </w:rPr>
      </w:pPr>
      <w:r w:rsidRPr="00D61F73">
        <w:rPr>
          <w:rFonts w:ascii="Arial" w:hAnsi="Arial" w:cs="Arial"/>
        </w:rPr>
        <w:t>Rating: 8b</w:t>
      </w:r>
    </w:p>
    <w:p w14:paraId="24725D2C" w14:textId="77777777" w:rsidR="008D0565" w:rsidRPr="00D61F73" w:rsidRDefault="008D0565" w:rsidP="00D61F73">
      <w:pPr>
        <w:rPr>
          <w:rFonts w:ascii="Arial" w:eastAsia="Calibri" w:hAnsi="Arial" w:cs="Arial"/>
        </w:rPr>
      </w:pPr>
    </w:p>
    <w:p w14:paraId="526D16B5" w14:textId="77777777" w:rsidR="008D0565" w:rsidRPr="00D61F73" w:rsidRDefault="008D0565" w:rsidP="00D61F73">
      <w:pPr>
        <w:rPr>
          <w:rFonts w:ascii="Arial" w:eastAsia="Calibri" w:hAnsi="Arial" w:cs="Arial"/>
        </w:rPr>
      </w:pPr>
      <w:r w:rsidRPr="00D61F73">
        <w:rPr>
          <w:rFonts w:ascii="Arial" w:hAnsi="Arial" w:cs="Arial"/>
        </w:rPr>
        <w:t>While attempting to solidify a guide for pre-treatment EKGs with use of methadone, this article was extremely controversial, with multiple letters written. Concern was even made over the significance of cardiac pathology with use. It would appear that there should be a very high tolerance for the use of EKGs based on the literature gathered.</w:t>
      </w:r>
    </w:p>
    <w:p w14:paraId="3E0D00A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41" w:name="Krause"/>
      <w:bookmarkEnd w:id="841"/>
      <w:r w:rsidRPr="00D61F73">
        <w:rPr>
          <w:rFonts w:ascii="Arial" w:hAnsi="Arial" w:cs="Arial"/>
          <w:b/>
          <w:bCs/>
        </w:rPr>
        <w:t xml:space="preserve">rause N, Ragland DR. Occupational disability due to low back pain: a new interdisciplinary classification based on a phase model of disability. </w:t>
      </w:r>
      <w:r w:rsidRPr="00D61F73">
        <w:rPr>
          <w:rFonts w:ascii="Arial" w:hAnsi="Arial" w:cs="Arial"/>
          <w:b/>
          <w:bCs/>
          <w:i/>
          <w:iCs/>
        </w:rPr>
        <w:t>Spine</w:t>
      </w:r>
      <w:r w:rsidRPr="00D61F73">
        <w:rPr>
          <w:rFonts w:ascii="Arial" w:hAnsi="Arial" w:cs="Arial"/>
          <w:b/>
          <w:bCs/>
        </w:rPr>
        <w:t>. 1994;19:1011-20</w:t>
      </w:r>
    </w:p>
    <w:p w14:paraId="13DF243F" w14:textId="77777777" w:rsidR="008D0565" w:rsidRPr="00D61F73" w:rsidRDefault="008D0565" w:rsidP="00D61F73">
      <w:pPr>
        <w:rPr>
          <w:rFonts w:ascii="Arial" w:hAnsi="Arial" w:cs="Arial"/>
        </w:rPr>
      </w:pPr>
    </w:p>
    <w:p w14:paraId="727E37FC" w14:textId="77777777" w:rsidR="008D0565" w:rsidRPr="00D61F73" w:rsidRDefault="008D0565" w:rsidP="00D61F73">
      <w:pPr>
        <w:rPr>
          <w:rFonts w:ascii="Arial" w:hAnsi="Arial" w:cs="Arial"/>
        </w:rPr>
      </w:pPr>
      <w:r w:rsidRPr="00D61F73">
        <w:rPr>
          <w:rFonts w:ascii="Arial" w:hAnsi="Arial" w:cs="Arial"/>
        </w:rPr>
        <w:t xml:space="preserve">The proposed eight-phase classification is based primarily on the presence and duration of work-disability rather than on clinical categories. </w:t>
      </w:r>
    </w:p>
    <w:p w14:paraId="6F36BA1A" w14:textId="77777777" w:rsidR="008D0565" w:rsidRPr="00D61F73" w:rsidRDefault="008D0565" w:rsidP="00D61F73">
      <w:pPr>
        <w:rPr>
          <w:rFonts w:ascii="Arial" w:hAnsi="Arial" w:cs="Arial"/>
        </w:rPr>
      </w:pPr>
    </w:p>
    <w:p w14:paraId="218E6584" w14:textId="77777777" w:rsidR="008D0565" w:rsidRPr="00D61F73" w:rsidRDefault="008D0565" w:rsidP="00D61F73">
      <w:pPr>
        <w:rPr>
          <w:rFonts w:ascii="Arial" w:hAnsi="Arial" w:cs="Arial"/>
        </w:rPr>
      </w:pPr>
      <w:r w:rsidRPr="00D61F73">
        <w:rPr>
          <w:rFonts w:ascii="Arial" w:hAnsi="Arial" w:cs="Arial"/>
        </w:rPr>
        <w:t xml:space="preserve">PMID: </w:t>
      </w:r>
      <w:hyperlink r:id="rId534" w:history="1">
        <w:r w:rsidRPr="00D61F73">
          <w:rPr>
            <w:rStyle w:val="Hyperlink"/>
            <w:rFonts w:ascii="Arial" w:hAnsi="Arial" w:cs="Arial"/>
          </w:rPr>
          <w:t>8029734</w:t>
        </w:r>
      </w:hyperlink>
    </w:p>
    <w:p w14:paraId="6ED94C59" w14:textId="77777777" w:rsidR="008D0565" w:rsidRPr="00D61F73" w:rsidRDefault="008D0565" w:rsidP="00D61F73">
      <w:pPr>
        <w:rPr>
          <w:rFonts w:ascii="Arial" w:hAnsi="Arial" w:cs="Arial"/>
        </w:rPr>
      </w:pPr>
    </w:p>
    <w:p w14:paraId="2152D28B" w14:textId="77777777" w:rsidR="008D0565" w:rsidRPr="00D61F73" w:rsidRDefault="008D0565" w:rsidP="00D61F73">
      <w:pPr>
        <w:rPr>
          <w:rFonts w:ascii="Arial" w:hAnsi="Arial" w:cs="Arial"/>
        </w:rPr>
      </w:pPr>
      <w:r w:rsidRPr="00D61F73">
        <w:rPr>
          <w:rFonts w:ascii="Arial" w:hAnsi="Arial" w:cs="Arial"/>
        </w:rPr>
        <w:t>Rating: 5b</w:t>
      </w:r>
    </w:p>
    <w:p w14:paraId="0163DAAB" w14:textId="77777777" w:rsidR="008D0565" w:rsidRPr="00D61F73" w:rsidRDefault="008D0565" w:rsidP="00D61F73">
      <w:pPr>
        <w:rPr>
          <w:rFonts w:ascii="Arial" w:hAnsi="Arial" w:cs="Arial"/>
          <w:b/>
          <w:bCs/>
        </w:rPr>
      </w:pPr>
      <w:r w:rsidRPr="00D61F73">
        <w:rPr>
          <w:rFonts w:ascii="Arial" w:hAnsi="Arial" w:cs="Arial"/>
        </w:rPr>
        <w:br w:type="page"/>
      </w:r>
      <w:hyperlink r:id="rId535" w:history="1">
        <w:r w:rsidRPr="00D61F73">
          <w:rPr>
            <w:rStyle w:val="Hyperlink"/>
            <w:rFonts w:ascii="Arial" w:hAnsi="Arial" w:cs="Arial"/>
            <w:b/>
            <w:bCs/>
          </w:rPr>
          <w:t>K</w:t>
        </w:r>
        <w:bookmarkStart w:id="842" w:name="Kripke2012"/>
        <w:bookmarkEnd w:id="842"/>
        <w:r w:rsidRPr="00D61F73">
          <w:rPr>
            <w:rStyle w:val="Hyperlink"/>
            <w:rFonts w:ascii="Arial" w:hAnsi="Arial" w:cs="Arial"/>
            <w:b/>
            <w:bCs/>
          </w:rPr>
          <w:t>ripke DF, Langer RD, Kline LE</w:t>
        </w:r>
      </w:hyperlink>
      <w:r w:rsidRPr="00D61F73">
        <w:rPr>
          <w:rFonts w:ascii="Arial" w:hAnsi="Arial" w:cs="Arial"/>
          <w:b/>
          <w:bCs/>
        </w:rPr>
        <w:t xml:space="preserve">. Hypnotics' association with mortality or cancer: a matched cohort study. </w:t>
      </w:r>
      <w:r w:rsidRPr="00D61F73">
        <w:rPr>
          <w:rFonts w:ascii="Arial" w:hAnsi="Arial" w:cs="Arial"/>
          <w:b/>
          <w:bCs/>
          <w:i/>
          <w:iCs/>
        </w:rPr>
        <w:t>BMJ Open</w:t>
      </w:r>
      <w:r w:rsidRPr="00D61F73">
        <w:rPr>
          <w:rFonts w:ascii="Arial" w:hAnsi="Arial" w:cs="Arial"/>
          <w:b/>
          <w:bCs/>
        </w:rPr>
        <w:t xml:space="preserve"> 2012;2:e000850 doi:10.1136/bmjopen-2012-000850.</w:t>
      </w:r>
    </w:p>
    <w:p w14:paraId="6EC88020" w14:textId="77777777" w:rsidR="008D0565" w:rsidRPr="00D61F73" w:rsidRDefault="008D0565" w:rsidP="00D61F73">
      <w:pPr>
        <w:pStyle w:val="NormalWeb"/>
        <w:spacing w:before="0" w:beforeAutospacing="0" w:after="0" w:afterAutospacing="0"/>
        <w:rPr>
          <w:rFonts w:ascii="Arial" w:hAnsi="Arial" w:cs="Arial"/>
        </w:rPr>
      </w:pPr>
    </w:p>
    <w:p w14:paraId="1CE839B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Receiving hypnotic prescriptions was associated with greater than threefold increased hazards of death even when prescribed &lt;18 pills/year. This association held in separate analyses for several commonly used hypnotics and for newer shorter-acting drugs. Control of selective prescription of hypnotics for patients in poor health did not explain the observed excess mortality. </w:t>
      </w:r>
    </w:p>
    <w:p w14:paraId="13FA409A" w14:textId="77777777" w:rsidR="008D0565" w:rsidRPr="00D61F73" w:rsidRDefault="008D0565" w:rsidP="00D61F73">
      <w:pPr>
        <w:pStyle w:val="NormalWeb"/>
        <w:spacing w:before="0" w:beforeAutospacing="0" w:after="0" w:afterAutospacing="0"/>
        <w:rPr>
          <w:rFonts w:ascii="Arial" w:hAnsi="Arial" w:cs="Arial"/>
        </w:rPr>
      </w:pPr>
    </w:p>
    <w:p w14:paraId="028D0CB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Rating: 3a </w:t>
      </w:r>
    </w:p>
    <w:p w14:paraId="782EA2B9"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bookmarkStart w:id="843" w:name="Kressin"/>
      <w:r w:rsidR="00785675" w:rsidRPr="00D61F73" w:rsidDel="00785675">
        <w:rPr>
          <w:rFonts w:ascii="Arial" w:hAnsi="Arial" w:cs="Arial"/>
          <w:b/>
          <w:bCs/>
        </w:rPr>
        <w:lastRenderedPageBreak/>
        <w:t xml:space="preserve"> </w:t>
      </w:r>
      <w:bookmarkEnd w:id="843"/>
      <w:r w:rsidRPr="00D61F73">
        <w:rPr>
          <w:rFonts w:ascii="Arial" w:hAnsi="Arial" w:cs="Arial"/>
          <w:b/>
        </w:rPr>
        <w:t>K</w:t>
      </w:r>
      <w:bookmarkStart w:id="844" w:name="KrönerHerwig"/>
      <w:bookmarkEnd w:id="844"/>
      <w:r w:rsidRPr="00D61F73">
        <w:rPr>
          <w:rFonts w:ascii="Arial" w:hAnsi="Arial" w:cs="Arial"/>
          <w:b/>
        </w:rPr>
        <w:t xml:space="preserve">röner-Herwig B. Chronic pain syndromes and their treatment by psychological interventions. </w:t>
      </w:r>
      <w:r w:rsidRPr="00D61F73">
        <w:rPr>
          <w:rFonts w:ascii="Arial" w:hAnsi="Arial" w:cs="Arial"/>
          <w:b/>
          <w:i/>
        </w:rPr>
        <w:t>Curr Opin Psychiatry</w:t>
      </w:r>
      <w:r w:rsidRPr="00D61F73">
        <w:rPr>
          <w:rFonts w:ascii="Arial" w:hAnsi="Arial" w:cs="Arial"/>
          <w:b/>
        </w:rPr>
        <w:t>. 2009 Mar;22(2):200-4.</w:t>
      </w:r>
    </w:p>
    <w:p w14:paraId="30257AE9" w14:textId="77777777" w:rsidR="008D0565" w:rsidRPr="00D61F73" w:rsidRDefault="008D0565" w:rsidP="00D61F73">
      <w:pPr>
        <w:rPr>
          <w:rFonts w:ascii="Arial" w:hAnsi="Arial" w:cs="Arial"/>
        </w:rPr>
      </w:pPr>
    </w:p>
    <w:p w14:paraId="28E91630" w14:textId="77777777" w:rsidR="008D0565" w:rsidRPr="00D61F73" w:rsidRDefault="008D0565" w:rsidP="00D61F73">
      <w:pPr>
        <w:rPr>
          <w:rFonts w:ascii="Arial" w:hAnsi="Arial" w:cs="Arial"/>
        </w:rPr>
      </w:pPr>
      <w:r w:rsidRPr="00D61F73">
        <w:rPr>
          <w:rFonts w:ascii="Arial" w:hAnsi="Arial" w:cs="Arial"/>
        </w:rPr>
        <w:t xml:space="preserve">FINDINGS: Several reviews on systematic research studies confirm that psychological interventions are efficacious in the treatment of chronic musculoskeletal pain, especially back pain, though effect sizes are small and, in some cases, moderate. </w:t>
      </w:r>
    </w:p>
    <w:p w14:paraId="1104E53D" w14:textId="77777777" w:rsidR="008D0565" w:rsidRPr="00D61F73" w:rsidRDefault="008D0565" w:rsidP="00D61F73">
      <w:pPr>
        <w:rPr>
          <w:rFonts w:ascii="Arial" w:hAnsi="Arial" w:cs="Arial"/>
        </w:rPr>
      </w:pPr>
    </w:p>
    <w:p w14:paraId="03DB18AD" w14:textId="77777777" w:rsidR="008D0565" w:rsidRPr="00D61F73" w:rsidRDefault="008D0565" w:rsidP="00D61F73">
      <w:pPr>
        <w:rPr>
          <w:rFonts w:ascii="Arial" w:hAnsi="Arial" w:cs="Arial"/>
        </w:rPr>
      </w:pPr>
      <w:r w:rsidRPr="00D61F73">
        <w:rPr>
          <w:rFonts w:ascii="Arial" w:hAnsi="Arial" w:cs="Arial"/>
        </w:rPr>
        <w:t xml:space="preserve">PMID: </w:t>
      </w:r>
      <w:hyperlink r:id="rId536" w:history="1">
        <w:r w:rsidRPr="00D61F73">
          <w:rPr>
            <w:rStyle w:val="Hyperlink"/>
            <w:rFonts w:ascii="Arial" w:hAnsi="Arial" w:cs="Arial"/>
          </w:rPr>
          <w:t>19553876</w:t>
        </w:r>
      </w:hyperlink>
      <w:r w:rsidRPr="00D61F73">
        <w:rPr>
          <w:rFonts w:ascii="Arial" w:hAnsi="Arial" w:cs="Arial"/>
        </w:rPr>
        <w:t xml:space="preserve"> </w:t>
      </w:r>
    </w:p>
    <w:p w14:paraId="074E4B37" w14:textId="77777777" w:rsidR="008D0565" w:rsidRPr="00D61F73" w:rsidRDefault="008D0565" w:rsidP="00D61F73">
      <w:pPr>
        <w:rPr>
          <w:rFonts w:ascii="Arial" w:hAnsi="Arial" w:cs="Arial"/>
        </w:rPr>
      </w:pPr>
    </w:p>
    <w:p w14:paraId="61A83074" w14:textId="77777777" w:rsidR="008D0565" w:rsidRPr="00D61F73" w:rsidRDefault="008D0565" w:rsidP="00D61F73">
      <w:pPr>
        <w:rPr>
          <w:rFonts w:ascii="Arial" w:hAnsi="Arial" w:cs="Arial"/>
        </w:rPr>
      </w:pPr>
      <w:r w:rsidRPr="00D61F73">
        <w:rPr>
          <w:rFonts w:ascii="Arial" w:hAnsi="Arial" w:cs="Arial"/>
        </w:rPr>
        <w:t>Rating: 1a</w:t>
      </w:r>
    </w:p>
    <w:p w14:paraId="0C57CA2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45" w:name="Krummel"/>
      <w:bookmarkEnd w:id="845"/>
      <w:r w:rsidRPr="00D61F73">
        <w:rPr>
          <w:rFonts w:ascii="Arial" w:hAnsi="Arial" w:cs="Arial"/>
          <w:b/>
        </w:rPr>
        <w:t xml:space="preserve">rummel T, Dimitrov Y, Moulin B, Hannedouche T. Drug points: Acute renal failure induced by topical ketoprofen. </w:t>
      </w:r>
      <w:r w:rsidRPr="00D61F73">
        <w:rPr>
          <w:rFonts w:ascii="Arial" w:hAnsi="Arial" w:cs="Arial"/>
          <w:b/>
          <w:i/>
        </w:rPr>
        <w:t>BMJ</w:t>
      </w:r>
      <w:r w:rsidRPr="00D61F73">
        <w:rPr>
          <w:rFonts w:ascii="Arial" w:hAnsi="Arial" w:cs="Arial"/>
          <w:b/>
        </w:rPr>
        <w:t>. 2000;320:93.</w:t>
      </w:r>
    </w:p>
    <w:p w14:paraId="1EF3F9BD" w14:textId="77777777" w:rsidR="008D0565" w:rsidRPr="00D61F73" w:rsidRDefault="008D0565" w:rsidP="00D61F73">
      <w:pPr>
        <w:rPr>
          <w:rFonts w:ascii="Arial" w:hAnsi="Arial" w:cs="Arial"/>
          <w:b/>
        </w:rPr>
      </w:pPr>
    </w:p>
    <w:p w14:paraId="10C095E3" w14:textId="77777777" w:rsidR="008D0565" w:rsidRPr="00D61F73" w:rsidRDefault="008D0565" w:rsidP="00D61F73">
      <w:pPr>
        <w:rPr>
          <w:rFonts w:ascii="Arial" w:hAnsi="Arial" w:cs="Arial"/>
        </w:rPr>
      </w:pPr>
      <w:r w:rsidRPr="00D61F73">
        <w:rPr>
          <w:rFonts w:ascii="Arial" w:hAnsi="Arial" w:cs="Arial"/>
        </w:rPr>
        <w:t xml:space="preserve">PMID: </w:t>
      </w:r>
      <w:hyperlink r:id="rId537" w:history="1">
        <w:r w:rsidRPr="00D61F73">
          <w:rPr>
            <w:rStyle w:val="Hyperlink"/>
            <w:rFonts w:ascii="Arial" w:hAnsi="Arial" w:cs="Arial"/>
          </w:rPr>
          <w:t>10625264</w:t>
        </w:r>
      </w:hyperlink>
    </w:p>
    <w:p w14:paraId="4742F138" w14:textId="77777777" w:rsidR="008D0565" w:rsidRPr="00D61F73" w:rsidRDefault="008D0565" w:rsidP="00D61F73">
      <w:pPr>
        <w:rPr>
          <w:rFonts w:ascii="Arial" w:hAnsi="Arial" w:cs="Arial"/>
        </w:rPr>
      </w:pPr>
    </w:p>
    <w:p w14:paraId="6E2CBD52" w14:textId="77777777" w:rsidR="008D0565" w:rsidRPr="00D61F73" w:rsidRDefault="008D0565" w:rsidP="00D61F73">
      <w:pPr>
        <w:rPr>
          <w:rFonts w:ascii="Arial" w:hAnsi="Arial" w:cs="Arial"/>
        </w:rPr>
      </w:pPr>
      <w:r w:rsidRPr="00D61F73">
        <w:rPr>
          <w:rFonts w:ascii="Arial" w:hAnsi="Arial" w:cs="Arial"/>
        </w:rPr>
        <w:t>Case study of renal failure.</w:t>
      </w:r>
    </w:p>
    <w:p w14:paraId="4567D3AC" w14:textId="77777777" w:rsidR="008D0565" w:rsidRPr="00D61F73" w:rsidRDefault="008D0565" w:rsidP="00D61F73">
      <w:pPr>
        <w:rPr>
          <w:rFonts w:ascii="Arial" w:hAnsi="Arial" w:cs="Arial"/>
        </w:rPr>
      </w:pPr>
    </w:p>
    <w:p w14:paraId="3B304214" w14:textId="77777777" w:rsidR="008D0565" w:rsidRPr="00D61F73" w:rsidRDefault="008D0565" w:rsidP="00D61F73">
      <w:pPr>
        <w:rPr>
          <w:rFonts w:ascii="Arial" w:hAnsi="Arial" w:cs="Arial"/>
        </w:rPr>
      </w:pPr>
      <w:r w:rsidRPr="00D61F73">
        <w:rPr>
          <w:rFonts w:ascii="Arial" w:hAnsi="Arial" w:cs="Arial"/>
        </w:rPr>
        <w:t>Rating: 5c</w:t>
      </w:r>
    </w:p>
    <w:p w14:paraId="4563D5E1"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K</w:t>
      </w:r>
      <w:bookmarkStart w:id="846" w:name="Krumova2011"/>
      <w:bookmarkEnd w:id="846"/>
      <w:r w:rsidRPr="00D61F73">
        <w:rPr>
          <w:rFonts w:ascii="Arial" w:hAnsi="Arial" w:cs="Arial"/>
          <w:b/>
        </w:rPr>
        <w:t xml:space="preserve">rumova EK, Gussone C, Regeniter S, Westermann A, Zenz M, Maier C. Are sympathetic blocks useful for diagnostic purposes? </w:t>
      </w:r>
      <w:r w:rsidRPr="00D61F73">
        <w:rPr>
          <w:rFonts w:ascii="Arial" w:hAnsi="Arial" w:cs="Arial"/>
          <w:b/>
          <w:i/>
        </w:rPr>
        <w:t>Reg Anesth Pain Med</w:t>
      </w:r>
      <w:r w:rsidRPr="00D61F73">
        <w:rPr>
          <w:rFonts w:ascii="Arial" w:hAnsi="Arial" w:cs="Arial"/>
          <w:b/>
        </w:rPr>
        <w:t>. 2011;36:560-7.</w:t>
      </w:r>
    </w:p>
    <w:p w14:paraId="2210DFB3" w14:textId="77777777" w:rsidR="008D0565" w:rsidRPr="00D61F73" w:rsidRDefault="008D0565" w:rsidP="00D61F73">
      <w:pPr>
        <w:rPr>
          <w:rFonts w:ascii="Arial" w:eastAsia="Calibri" w:hAnsi="Arial" w:cs="Arial"/>
        </w:rPr>
      </w:pPr>
    </w:p>
    <w:p w14:paraId="7C628A06"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538" w:history="1">
        <w:r w:rsidRPr="00D61F73">
          <w:rPr>
            <w:rStyle w:val="Hyperlink"/>
            <w:rFonts w:ascii="Arial" w:hAnsi="Arial" w:cs="Arial"/>
          </w:rPr>
          <w:t>21941221</w:t>
        </w:r>
      </w:hyperlink>
    </w:p>
    <w:p w14:paraId="6B560AA1" w14:textId="77777777" w:rsidR="008D0565" w:rsidRPr="00D61F73" w:rsidRDefault="008D0565" w:rsidP="00D61F73">
      <w:pPr>
        <w:rPr>
          <w:rFonts w:ascii="Arial" w:eastAsia="Calibri" w:hAnsi="Arial" w:cs="Arial"/>
        </w:rPr>
      </w:pPr>
    </w:p>
    <w:p w14:paraId="5EE2A578" w14:textId="77777777" w:rsidR="008D0565" w:rsidRPr="00D61F73" w:rsidRDefault="008D0565" w:rsidP="00D61F73">
      <w:pPr>
        <w:rPr>
          <w:rFonts w:ascii="Arial" w:eastAsia="Calibri" w:hAnsi="Arial" w:cs="Arial"/>
        </w:rPr>
      </w:pPr>
      <w:r w:rsidRPr="00D61F73">
        <w:rPr>
          <w:rFonts w:ascii="Arial" w:hAnsi="Arial" w:cs="Arial"/>
        </w:rPr>
        <w:t>Rating: 5b</w:t>
      </w:r>
    </w:p>
    <w:p w14:paraId="37F2C47C" w14:textId="77777777" w:rsidR="008D0565" w:rsidRPr="00D61F73" w:rsidRDefault="008D0565" w:rsidP="00D61F73">
      <w:pPr>
        <w:rPr>
          <w:rFonts w:ascii="Arial" w:eastAsia="Calibri" w:hAnsi="Arial" w:cs="Arial"/>
          <w:color w:val="auto"/>
        </w:rPr>
      </w:pPr>
      <w:r w:rsidRPr="00D61F73">
        <w:rPr>
          <w:rFonts w:ascii="Arial" w:hAnsi="Arial" w:cs="Arial"/>
        </w:rPr>
        <w:br w:type="page"/>
      </w:r>
      <w:r w:rsidRPr="00D61F73">
        <w:rPr>
          <w:rFonts w:ascii="Arial" w:hAnsi="Arial" w:cs="Arial"/>
          <w:b/>
        </w:rPr>
        <w:lastRenderedPageBreak/>
        <w:t>K</w:t>
      </w:r>
      <w:bookmarkStart w:id="847" w:name="Krumova2008"/>
      <w:bookmarkEnd w:id="847"/>
      <w:r w:rsidRPr="00D61F73">
        <w:rPr>
          <w:rFonts w:ascii="Arial" w:hAnsi="Arial" w:cs="Arial"/>
          <w:b/>
        </w:rPr>
        <w:t xml:space="preserve">rumova EK, Frettlöh J, Klauenberg S, Richter H, Wasner G, Maier C. Long-term skin temperature measurements - a practical diagnostic tool in complex regional pain syndrome. </w:t>
      </w:r>
      <w:r w:rsidRPr="00D61F73">
        <w:rPr>
          <w:rFonts w:ascii="Arial" w:hAnsi="Arial" w:cs="Arial"/>
          <w:b/>
          <w:i/>
        </w:rPr>
        <w:t>Pain</w:t>
      </w:r>
      <w:r w:rsidRPr="00D61F73">
        <w:rPr>
          <w:rFonts w:ascii="Arial" w:hAnsi="Arial" w:cs="Arial"/>
          <w:b/>
        </w:rPr>
        <w:t>. 2008;140:8-22.</w:t>
      </w:r>
    </w:p>
    <w:p w14:paraId="7768A55B" w14:textId="77777777" w:rsidR="008D0565" w:rsidRPr="00D61F73" w:rsidRDefault="008D0565" w:rsidP="00D61F73">
      <w:pPr>
        <w:rPr>
          <w:rFonts w:ascii="Arial" w:eastAsia="Calibri" w:hAnsi="Arial" w:cs="Arial"/>
        </w:rPr>
      </w:pPr>
    </w:p>
    <w:p w14:paraId="049C8BDF"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539" w:history="1">
        <w:r w:rsidRPr="00D61F73">
          <w:rPr>
            <w:rStyle w:val="Hyperlink"/>
            <w:rFonts w:ascii="Arial" w:hAnsi="Arial" w:cs="Arial"/>
          </w:rPr>
          <w:t>18723287</w:t>
        </w:r>
      </w:hyperlink>
    </w:p>
    <w:p w14:paraId="04AEAE93" w14:textId="77777777" w:rsidR="008D0565" w:rsidRPr="00D61F73" w:rsidRDefault="008D0565" w:rsidP="00D61F73">
      <w:pPr>
        <w:rPr>
          <w:rFonts w:ascii="Arial" w:eastAsia="Calibri" w:hAnsi="Arial" w:cs="Arial"/>
        </w:rPr>
      </w:pPr>
    </w:p>
    <w:p w14:paraId="3C6BF899" w14:textId="77777777" w:rsidR="008D0565" w:rsidRPr="00D61F73" w:rsidRDefault="008D0565" w:rsidP="00D61F73">
      <w:pPr>
        <w:rPr>
          <w:rFonts w:ascii="Arial" w:eastAsia="Calibri" w:hAnsi="Arial" w:cs="Arial"/>
        </w:rPr>
      </w:pPr>
      <w:r w:rsidRPr="00D61F73">
        <w:rPr>
          <w:rFonts w:ascii="Arial" w:hAnsi="Arial" w:cs="Arial"/>
        </w:rPr>
        <w:t>Rating; 5c</w:t>
      </w:r>
    </w:p>
    <w:p w14:paraId="152CCC1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48" w:name="Krupitsky2010"/>
      <w:bookmarkEnd w:id="848"/>
      <w:r w:rsidRPr="00D61F73">
        <w:rPr>
          <w:rFonts w:ascii="Arial" w:hAnsi="Arial" w:cs="Arial"/>
          <w:b/>
          <w:bCs/>
        </w:rPr>
        <w:t xml:space="preserve">rupitsky E, Zvartau E, Woody G. Use of naltrexone to treat opioid addiction in a country in which methadone and buprenorphine are not available. </w:t>
      </w:r>
      <w:r w:rsidRPr="00D61F73">
        <w:rPr>
          <w:rFonts w:ascii="Arial" w:hAnsi="Arial" w:cs="Arial"/>
          <w:b/>
          <w:bCs/>
          <w:i/>
          <w:iCs/>
        </w:rPr>
        <w:t>Curr Psychiatry Rep</w:t>
      </w:r>
      <w:r w:rsidRPr="00D61F73">
        <w:rPr>
          <w:rFonts w:ascii="Arial" w:hAnsi="Arial" w:cs="Arial"/>
          <w:b/>
          <w:bCs/>
        </w:rPr>
        <w:t>. 2010 Oct;12(5):448-53.</w:t>
      </w:r>
    </w:p>
    <w:p w14:paraId="729E6545" w14:textId="77777777" w:rsidR="008D0565" w:rsidRPr="00D61F73" w:rsidRDefault="008D0565" w:rsidP="00D61F73">
      <w:pPr>
        <w:rPr>
          <w:rFonts w:ascii="Arial" w:hAnsi="Arial" w:cs="Arial"/>
        </w:rPr>
      </w:pPr>
    </w:p>
    <w:p w14:paraId="419FFCE1" w14:textId="77777777" w:rsidR="008D0565" w:rsidRPr="00D61F73" w:rsidRDefault="008D0565" w:rsidP="00D61F73">
      <w:pPr>
        <w:rPr>
          <w:rFonts w:ascii="Arial" w:hAnsi="Arial" w:cs="Arial"/>
        </w:rPr>
      </w:pPr>
      <w:r w:rsidRPr="00D61F73">
        <w:rPr>
          <w:rFonts w:ascii="Arial" w:hAnsi="Arial" w:cs="Arial"/>
        </w:rPr>
        <w:t xml:space="preserve">Long-acting, sustained-release formulations (injectable and implantable) seem particularly effective compared with oral formulations. </w:t>
      </w:r>
    </w:p>
    <w:p w14:paraId="31B52479" w14:textId="77777777" w:rsidR="008D0565" w:rsidRPr="00D61F73" w:rsidRDefault="008D0565" w:rsidP="00D61F73">
      <w:pPr>
        <w:rPr>
          <w:rFonts w:ascii="Arial" w:hAnsi="Arial" w:cs="Arial"/>
        </w:rPr>
      </w:pPr>
    </w:p>
    <w:p w14:paraId="0D44FC8B" w14:textId="77777777" w:rsidR="008D0565" w:rsidRPr="00D61F73" w:rsidRDefault="008D0565" w:rsidP="00D61F73">
      <w:pPr>
        <w:rPr>
          <w:rFonts w:ascii="Arial" w:hAnsi="Arial" w:cs="Arial"/>
        </w:rPr>
      </w:pPr>
      <w:r w:rsidRPr="00D61F73">
        <w:rPr>
          <w:rFonts w:ascii="Arial" w:hAnsi="Arial" w:cs="Arial"/>
        </w:rPr>
        <w:t xml:space="preserve">PMID: </w:t>
      </w:r>
      <w:hyperlink r:id="rId540" w:history="1">
        <w:r w:rsidRPr="00D61F73">
          <w:rPr>
            <w:rStyle w:val="Hyperlink"/>
            <w:rFonts w:ascii="Arial" w:hAnsi="Arial" w:cs="Arial"/>
          </w:rPr>
          <w:t>20640538</w:t>
        </w:r>
      </w:hyperlink>
      <w:r w:rsidRPr="00D61F73">
        <w:rPr>
          <w:rFonts w:ascii="Arial" w:hAnsi="Arial" w:cs="Arial"/>
        </w:rPr>
        <w:t xml:space="preserve"> </w:t>
      </w:r>
    </w:p>
    <w:p w14:paraId="2A991805" w14:textId="77777777" w:rsidR="008D0565" w:rsidRPr="00D61F73" w:rsidRDefault="008D0565" w:rsidP="00D61F73">
      <w:pPr>
        <w:rPr>
          <w:rFonts w:ascii="Arial" w:hAnsi="Arial" w:cs="Arial"/>
        </w:rPr>
      </w:pPr>
    </w:p>
    <w:p w14:paraId="4E3B4225" w14:textId="77777777" w:rsidR="008D0565" w:rsidRPr="00D61F73" w:rsidRDefault="008D0565" w:rsidP="00D61F73">
      <w:pPr>
        <w:rPr>
          <w:rFonts w:ascii="Arial" w:hAnsi="Arial" w:cs="Arial"/>
        </w:rPr>
      </w:pPr>
      <w:r w:rsidRPr="00D61F73">
        <w:rPr>
          <w:rFonts w:ascii="Arial" w:hAnsi="Arial" w:cs="Arial"/>
        </w:rPr>
        <w:t>Rating: 1b</w:t>
      </w:r>
    </w:p>
    <w:p w14:paraId="5265667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49" w:name="Krupitsky2011"/>
      <w:bookmarkEnd w:id="849"/>
      <w:r w:rsidRPr="00D61F73">
        <w:rPr>
          <w:rFonts w:ascii="Arial" w:hAnsi="Arial" w:cs="Arial"/>
          <w:b/>
          <w:bCs/>
        </w:rPr>
        <w:t>rupitsky E. Continued Naltrexone Use Prevents Opioid Dependency Relapse. 24th Annual US Psychiatric and Mental Health Congress in Las Vegas, Nevada. November 10, 2011.</w:t>
      </w:r>
    </w:p>
    <w:p w14:paraId="1719126A" w14:textId="77777777" w:rsidR="008D0565" w:rsidRPr="00D61F73" w:rsidRDefault="008D0565" w:rsidP="00D61F73">
      <w:pPr>
        <w:rPr>
          <w:rFonts w:ascii="Arial" w:hAnsi="Arial" w:cs="Arial"/>
        </w:rPr>
      </w:pPr>
    </w:p>
    <w:p w14:paraId="37E439E9" w14:textId="77777777" w:rsidR="008D0565" w:rsidRPr="00D61F73" w:rsidRDefault="008D0565" w:rsidP="00D61F73">
      <w:pPr>
        <w:rPr>
          <w:rFonts w:ascii="Arial" w:hAnsi="Arial" w:cs="Arial"/>
        </w:rPr>
      </w:pPr>
      <w:r w:rsidRPr="00D61F73">
        <w:rPr>
          <w:rFonts w:ascii="Arial" w:hAnsi="Arial" w:cs="Arial"/>
        </w:rPr>
        <w:t>Continued use of once-monthly extended-release naltrexone (NTX) intramuscular injection (Vivitrol) is a safe and effective method of preventing relapse to opioid dependency after detoxification. It significantly increased the number of abstinence weeks (90% vs 35% for placebo) and the likelihood of total abstinence (36% vs 23).</w:t>
      </w:r>
    </w:p>
    <w:p w14:paraId="498E6B79" w14:textId="77777777" w:rsidR="008D0565" w:rsidRPr="00D61F73" w:rsidRDefault="008D0565" w:rsidP="00D61F73">
      <w:pPr>
        <w:rPr>
          <w:rFonts w:ascii="Arial" w:hAnsi="Arial" w:cs="Arial"/>
        </w:rPr>
      </w:pPr>
    </w:p>
    <w:p w14:paraId="77BDD3E6" w14:textId="77777777" w:rsidR="008D0565" w:rsidRPr="00D61F73" w:rsidRDefault="008D0565" w:rsidP="00D61F73">
      <w:pPr>
        <w:rPr>
          <w:rFonts w:ascii="Arial" w:hAnsi="Arial" w:cs="Arial"/>
        </w:rPr>
      </w:pPr>
      <w:r w:rsidRPr="00D61F73">
        <w:rPr>
          <w:rFonts w:ascii="Arial" w:hAnsi="Arial" w:cs="Arial"/>
        </w:rPr>
        <w:t>Rating: 10b</w:t>
      </w:r>
    </w:p>
    <w:p w14:paraId="487721A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K</w:t>
      </w:r>
      <w:bookmarkStart w:id="850" w:name="Kuffner"/>
      <w:bookmarkEnd w:id="850"/>
      <w:r w:rsidRPr="00D61F73">
        <w:rPr>
          <w:rFonts w:ascii="Arial" w:hAnsi="Arial" w:cs="Arial"/>
          <w:b/>
        </w:rPr>
        <w:t xml:space="preserve">uffner EK, Green JL, Bogdan GM, Knox PC, Palmer RB, Heard K, Slattery JT, Dart RC. The effect of acetaminophen (four grams a day for three consecutive days) on hepatic tests in alcoholic patients--a multicenter randomized study. </w:t>
      </w:r>
      <w:r w:rsidRPr="00D61F73">
        <w:rPr>
          <w:rFonts w:ascii="Arial" w:hAnsi="Arial" w:cs="Arial"/>
          <w:b/>
          <w:i/>
        </w:rPr>
        <w:t>BMC Med.</w:t>
      </w:r>
      <w:r w:rsidRPr="00D61F73">
        <w:rPr>
          <w:rFonts w:ascii="Arial" w:hAnsi="Arial" w:cs="Arial"/>
          <w:b/>
        </w:rPr>
        <w:t xml:space="preserve"> 2007;5:13.</w:t>
      </w:r>
    </w:p>
    <w:p w14:paraId="1D53E542" w14:textId="77777777" w:rsidR="008D0565" w:rsidRPr="00D61F73" w:rsidRDefault="008D0565" w:rsidP="00D61F73">
      <w:pPr>
        <w:rPr>
          <w:rFonts w:ascii="Arial" w:hAnsi="Arial" w:cs="Arial"/>
        </w:rPr>
      </w:pPr>
    </w:p>
    <w:p w14:paraId="368ECEAC" w14:textId="77777777" w:rsidR="008D0565" w:rsidRPr="00D61F73" w:rsidRDefault="008D0565" w:rsidP="00D61F73">
      <w:pPr>
        <w:rPr>
          <w:rFonts w:ascii="Arial" w:hAnsi="Arial" w:cs="Arial"/>
        </w:rPr>
      </w:pPr>
      <w:r w:rsidRPr="00D61F73">
        <w:rPr>
          <w:rFonts w:ascii="Arial" w:hAnsi="Arial" w:cs="Arial"/>
        </w:rPr>
        <w:t>CONCLUSION: Alcoholic patients treated with the maximum recommended daily dose of acetaminophen for 3 consecutive days did not develop increases in serum transaminase or other measures of liver injury. Treatment of pain or fever for 3 days with acetaminophen appears safe in newly-abstinent alcoholic patients, such as those presenting for acute medical care.</w:t>
      </w:r>
    </w:p>
    <w:p w14:paraId="1F9B7115" w14:textId="77777777" w:rsidR="008D0565" w:rsidRPr="00D61F73" w:rsidRDefault="008D0565" w:rsidP="00D61F73">
      <w:pPr>
        <w:rPr>
          <w:rFonts w:ascii="Arial" w:hAnsi="Arial" w:cs="Arial"/>
        </w:rPr>
      </w:pPr>
    </w:p>
    <w:p w14:paraId="294DE8E1" w14:textId="77777777" w:rsidR="008D0565" w:rsidRPr="00D61F73" w:rsidRDefault="008D0565" w:rsidP="00D61F73">
      <w:pPr>
        <w:rPr>
          <w:rFonts w:ascii="Arial" w:hAnsi="Arial" w:cs="Arial"/>
        </w:rPr>
      </w:pPr>
      <w:r w:rsidRPr="00D61F73">
        <w:rPr>
          <w:rFonts w:ascii="Arial" w:hAnsi="Arial" w:cs="Arial"/>
        </w:rPr>
        <w:t xml:space="preserve">PMID: </w:t>
      </w:r>
      <w:hyperlink r:id="rId541" w:history="1">
        <w:r w:rsidRPr="00D61F73">
          <w:rPr>
            <w:rStyle w:val="Hyperlink"/>
            <w:rFonts w:ascii="Arial" w:hAnsi="Arial" w:cs="Arial"/>
          </w:rPr>
          <w:t>17537264</w:t>
        </w:r>
      </w:hyperlink>
    </w:p>
    <w:p w14:paraId="2CEBC6B2" w14:textId="77777777" w:rsidR="008D0565" w:rsidRPr="00D61F73" w:rsidRDefault="008D0565" w:rsidP="00D61F73">
      <w:pPr>
        <w:rPr>
          <w:rFonts w:ascii="Arial" w:hAnsi="Arial" w:cs="Arial"/>
        </w:rPr>
      </w:pPr>
    </w:p>
    <w:p w14:paraId="6C327506" w14:textId="77777777" w:rsidR="008D0565" w:rsidRPr="00D61F73" w:rsidRDefault="008D0565" w:rsidP="00D61F73">
      <w:pPr>
        <w:rPr>
          <w:rFonts w:ascii="Arial" w:hAnsi="Arial" w:cs="Arial"/>
        </w:rPr>
      </w:pPr>
      <w:r w:rsidRPr="00D61F73">
        <w:rPr>
          <w:rFonts w:ascii="Arial" w:hAnsi="Arial" w:cs="Arial"/>
        </w:rPr>
        <w:t>Rating; 2a</w:t>
      </w:r>
    </w:p>
    <w:p w14:paraId="66C069A1" w14:textId="77777777" w:rsidR="00EF1B28" w:rsidRPr="00D61F73" w:rsidRDefault="00EF1B28" w:rsidP="00D61F73">
      <w:pPr>
        <w:pStyle w:val="NormalWeb"/>
        <w:rPr>
          <w:rFonts w:ascii="Arial" w:hAnsi="Arial" w:cs="Arial"/>
        </w:rPr>
      </w:pPr>
      <w:r w:rsidRPr="00D61F73">
        <w:rPr>
          <w:rFonts w:ascii="Arial" w:hAnsi="Arial" w:cs="Arial"/>
        </w:rPr>
        <w:br w:type="page"/>
      </w:r>
      <w:r w:rsidRPr="00D61F73">
        <w:rPr>
          <w:rFonts w:ascii="Arial" w:hAnsi="Arial" w:cs="Arial"/>
          <w:b/>
          <w:bCs/>
        </w:rPr>
        <w:lastRenderedPageBreak/>
        <w:t>K</w:t>
      </w:r>
      <w:bookmarkStart w:id="851" w:name="Kumar5"/>
      <w:bookmarkStart w:id="852" w:name="KumarD1997"/>
      <w:bookmarkEnd w:id="851"/>
      <w:bookmarkEnd w:id="852"/>
      <w:r w:rsidRPr="00D61F73">
        <w:rPr>
          <w:rFonts w:ascii="Arial" w:hAnsi="Arial" w:cs="Arial"/>
          <w:b/>
          <w:bCs/>
        </w:rPr>
        <w:t xml:space="preserve">umar D, Marshall HJ. Diabetic peripheral neuropathy: amelioration of pain with transcutaneous electrostimulation. </w:t>
      </w:r>
      <w:r w:rsidRPr="00D61F73">
        <w:rPr>
          <w:rFonts w:ascii="Arial" w:hAnsi="Arial" w:cs="Arial"/>
          <w:b/>
          <w:bCs/>
          <w:i/>
          <w:iCs/>
        </w:rPr>
        <w:t>Diabetes Care</w:t>
      </w:r>
      <w:r w:rsidRPr="00D61F73">
        <w:rPr>
          <w:rFonts w:ascii="Arial" w:hAnsi="Arial" w:cs="Arial"/>
          <w:b/>
          <w:bCs/>
        </w:rPr>
        <w:t>. 1997 Nov;20(11):1702-5.</w:t>
      </w:r>
    </w:p>
    <w:p w14:paraId="7EA12877" w14:textId="77777777" w:rsidR="00EF1B28" w:rsidRPr="00D61F73" w:rsidRDefault="00EF1B28" w:rsidP="00D61F73">
      <w:pPr>
        <w:pStyle w:val="NormalWeb"/>
        <w:rPr>
          <w:rFonts w:ascii="Arial" w:hAnsi="Arial" w:cs="Arial"/>
        </w:rPr>
      </w:pPr>
      <w:r w:rsidRPr="00D61F73">
        <w:rPr>
          <w:rFonts w:ascii="Arial" w:hAnsi="Arial" w:cs="Arial"/>
        </w:rPr>
        <w:t xml:space="preserve">PMID: </w:t>
      </w:r>
      <w:hyperlink r:id="rId542" w:history="1">
        <w:r w:rsidRPr="00D61F73">
          <w:rPr>
            <w:rStyle w:val="Hyperlink"/>
            <w:rFonts w:ascii="Arial" w:hAnsi="Arial" w:cs="Arial"/>
          </w:rPr>
          <w:t>9353612</w:t>
        </w:r>
      </w:hyperlink>
    </w:p>
    <w:p w14:paraId="079A5B6A" w14:textId="77777777" w:rsidR="00EF1B28" w:rsidRPr="00D61F73" w:rsidRDefault="00EF1B28" w:rsidP="00D61F73">
      <w:pPr>
        <w:pStyle w:val="NormalWeb"/>
        <w:rPr>
          <w:rFonts w:ascii="Arial" w:hAnsi="Arial" w:cs="Arial"/>
        </w:rPr>
      </w:pPr>
      <w:r w:rsidRPr="00D61F73">
        <w:rPr>
          <w:rFonts w:ascii="Arial" w:hAnsi="Arial" w:cs="Arial"/>
        </w:rPr>
        <w:t>Rating: 2c</w:t>
      </w:r>
    </w:p>
    <w:p w14:paraId="47B1A07D" w14:textId="77777777" w:rsidR="00186738" w:rsidRPr="00D61F73" w:rsidRDefault="00186738" w:rsidP="00D61F73">
      <w:pPr>
        <w:rPr>
          <w:rFonts w:ascii="Arial" w:hAnsi="Arial" w:cs="Arial"/>
        </w:rPr>
      </w:pPr>
      <w:r w:rsidRPr="00D61F73">
        <w:rPr>
          <w:rFonts w:ascii="Arial" w:hAnsi="Arial" w:cs="Arial"/>
        </w:rPr>
        <w:br w:type="page"/>
      </w:r>
      <w:r w:rsidRPr="00D61F73">
        <w:rPr>
          <w:rFonts w:ascii="Arial" w:hAnsi="Arial" w:cs="Arial"/>
          <w:b/>
          <w:bCs/>
        </w:rPr>
        <w:lastRenderedPageBreak/>
        <w:t>K</w:t>
      </w:r>
      <w:bookmarkStart w:id="853" w:name="KumarD1998"/>
      <w:bookmarkEnd w:id="853"/>
      <w:r w:rsidR="008B5ED5" w:rsidRPr="00D61F73">
        <w:rPr>
          <w:rFonts w:ascii="Arial" w:hAnsi="Arial" w:cs="Arial"/>
          <w:b/>
          <w:bCs/>
        </w:rPr>
        <w:t xml:space="preserve">umar </w:t>
      </w:r>
      <w:r w:rsidRPr="00D61F73">
        <w:rPr>
          <w:rFonts w:ascii="Arial" w:hAnsi="Arial" w:cs="Arial"/>
          <w:b/>
          <w:bCs/>
        </w:rPr>
        <w:t xml:space="preserve">D, Alvaro MS, Julka IS, Marshall HJ. Diabetic peripheral neuropathy. Effectiveness of electrotherapy and amitriptyline for symptomatic relief. </w:t>
      </w:r>
      <w:r w:rsidRPr="00D61F73">
        <w:rPr>
          <w:rFonts w:ascii="Arial" w:hAnsi="Arial" w:cs="Arial"/>
          <w:b/>
          <w:bCs/>
          <w:i/>
          <w:iCs/>
        </w:rPr>
        <w:t>Diabetes Care</w:t>
      </w:r>
      <w:r w:rsidRPr="00D61F73">
        <w:rPr>
          <w:rFonts w:ascii="Arial" w:hAnsi="Arial" w:cs="Arial"/>
          <w:b/>
          <w:bCs/>
        </w:rPr>
        <w:t>. 1998 Aug;21(8):1322-5.</w:t>
      </w:r>
    </w:p>
    <w:p w14:paraId="0466B0FB" w14:textId="77777777" w:rsidR="00186738" w:rsidRPr="00D61F73" w:rsidRDefault="00186738" w:rsidP="00D61F73">
      <w:pPr>
        <w:rPr>
          <w:rFonts w:ascii="Arial" w:hAnsi="Arial" w:cs="Arial"/>
        </w:rPr>
      </w:pPr>
    </w:p>
    <w:p w14:paraId="72A0514A" w14:textId="77777777" w:rsidR="00186738" w:rsidRPr="00D61F73" w:rsidRDefault="00186738" w:rsidP="00D61F73">
      <w:pPr>
        <w:rPr>
          <w:rFonts w:ascii="Arial" w:hAnsi="Arial" w:cs="Arial"/>
        </w:rPr>
      </w:pPr>
    </w:p>
    <w:p w14:paraId="0B5B885C" w14:textId="77777777" w:rsidR="00186738" w:rsidRPr="00D61F73" w:rsidRDefault="00186738" w:rsidP="00D61F73">
      <w:pPr>
        <w:rPr>
          <w:rFonts w:ascii="Arial" w:hAnsi="Arial" w:cs="Arial"/>
        </w:rPr>
      </w:pPr>
      <w:r w:rsidRPr="00D61F73">
        <w:rPr>
          <w:rFonts w:ascii="Arial" w:hAnsi="Arial" w:cs="Arial"/>
        </w:rPr>
        <w:t xml:space="preserve">PMID: </w:t>
      </w:r>
      <w:hyperlink r:id="rId543" w:history="1">
        <w:r w:rsidRPr="00D61F73">
          <w:rPr>
            <w:rStyle w:val="Hyperlink"/>
            <w:rFonts w:ascii="Arial" w:hAnsi="Arial" w:cs="Arial"/>
          </w:rPr>
          <w:t>9702441</w:t>
        </w:r>
      </w:hyperlink>
    </w:p>
    <w:p w14:paraId="518AEA4B" w14:textId="77777777" w:rsidR="00186738" w:rsidRPr="00D61F73" w:rsidRDefault="00186738" w:rsidP="00D61F73">
      <w:pPr>
        <w:rPr>
          <w:rFonts w:ascii="Arial" w:hAnsi="Arial" w:cs="Arial"/>
        </w:rPr>
      </w:pPr>
    </w:p>
    <w:p w14:paraId="594B13EA" w14:textId="77777777" w:rsidR="00186738" w:rsidRPr="00D61F73" w:rsidRDefault="00186738" w:rsidP="00D61F73">
      <w:pPr>
        <w:rPr>
          <w:rFonts w:ascii="Arial" w:hAnsi="Arial" w:cs="Arial"/>
        </w:rPr>
      </w:pPr>
      <w:r w:rsidRPr="00D61F73">
        <w:rPr>
          <w:rFonts w:ascii="Arial" w:hAnsi="Arial" w:cs="Arial"/>
        </w:rPr>
        <w:t>Rating: 2c</w:t>
      </w:r>
    </w:p>
    <w:p w14:paraId="3047DB97"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bookmarkStart w:id="854" w:name="Kumar2"/>
      <w:bookmarkEnd w:id="854"/>
      <w:r w:rsidRPr="00D61F73">
        <w:rPr>
          <w:rFonts w:ascii="Arial" w:hAnsi="Arial" w:cs="Arial"/>
          <w:b/>
        </w:rPr>
        <w:lastRenderedPageBreak/>
        <w:t>Kumar K, Malik S, Demeria D, Treatment of chronic pain with spinal cord stimulation versus alternative therapies: cost-effectiveness analysis, Neurosurgery. 2002 Jul;51(1):106-15; discussion 115-6.</w:t>
      </w:r>
    </w:p>
    <w:p w14:paraId="4FBFF2B1" w14:textId="77777777" w:rsidR="008D0565" w:rsidRPr="00D61F73" w:rsidRDefault="008D0565" w:rsidP="00D61F73">
      <w:pPr>
        <w:rPr>
          <w:rFonts w:ascii="Arial" w:hAnsi="Arial" w:cs="Arial"/>
        </w:rPr>
      </w:pPr>
    </w:p>
    <w:p w14:paraId="11CE4B0B" w14:textId="77777777" w:rsidR="008D0565" w:rsidRPr="00D61F73" w:rsidRDefault="008D0565" w:rsidP="00D61F73">
      <w:pPr>
        <w:rPr>
          <w:rFonts w:ascii="Arial" w:hAnsi="Arial" w:cs="Arial"/>
        </w:rPr>
      </w:pPr>
      <w:r w:rsidRPr="00D61F73">
        <w:rPr>
          <w:rFonts w:ascii="Arial" w:hAnsi="Arial" w:cs="Arial"/>
        </w:rPr>
        <w:t>CONCLUSION: SCS is cost-effective in the long term, despite the initial high costs of the implantable devices.</w:t>
      </w:r>
    </w:p>
    <w:p w14:paraId="32219733" w14:textId="77777777" w:rsidR="008D0565" w:rsidRPr="00D61F73" w:rsidRDefault="008D0565" w:rsidP="00D61F73">
      <w:pPr>
        <w:rPr>
          <w:rFonts w:ascii="Arial" w:hAnsi="Arial" w:cs="Arial"/>
        </w:rPr>
      </w:pPr>
    </w:p>
    <w:p w14:paraId="4DB24DD4" w14:textId="77777777" w:rsidR="008D0565" w:rsidRPr="00D61F73" w:rsidRDefault="008D0565" w:rsidP="00D61F73">
      <w:pPr>
        <w:rPr>
          <w:rFonts w:ascii="Arial" w:hAnsi="Arial" w:cs="Arial"/>
        </w:rPr>
      </w:pPr>
      <w:r w:rsidRPr="00D61F73">
        <w:rPr>
          <w:rFonts w:ascii="Arial" w:hAnsi="Arial" w:cs="Arial"/>
        </w:rPr>
        <w:t xml:space="preserve">PMID: </w:t>
      </w:r>
      <w:hyperlink r:id="rId544" w:history="1">
        <w:r w:rsidRPr="00D61F73">
          <w:rPr>
            <w:rStyle w:val="Hyperlink"/>
            <w:rFonts w:ascii="Arial" w:hAnsi="Arial" w:cs="Arial"/>
          </w:rPr>
          <w:t>12182407</w:t>
        </w:r>
      </w:hyperlink>
      <w:r w:rsidRPr="00D61F73">
        <w:rPr>
          <w:rFonts w:ascii="Arial" w:hAnsi="Arial" w:cs="Arial"/>
        </w:rPr>
        <w:t xml:space="preserve"> </w:t>
      </w:r>
    </w:p>
    <w:p w14:paraId="4C6090BC" w14:textId="77777777" w:rsidR="008D0565" w:rsidRPr="00D61F73" w:rsidRDefault="008D0565" w:rsidP="00D61F73">
      <w:pPr>
        <w:rPr>
          <w:rFonts w:ascii="Arial" w:hAnsi="Arial" w:cs="Arial"/>
          <w:b/>
          <w:bCs/>
        </w:rPr>
      </w:pPr>
    </w:p>
    <w:p w14:paraId="2F9D6A85" w14:textId="77777777" w:rsidR="008D0565" w:rsidRPr="00D61F73" w:rsidRDefault="008D0565" w:rsidP="00D61F73">
      <w:pPr>
        <w:rPr>
          <w:rFonts w:ascii="Arial" w:hAnsi="Arial" w:cs="Arial"/>
        </w:rPr>
      </w:pPr>
      <w:r w:rsidRPr="00D61F73">
        <w:rPr>
          <w:rFonts w:ascii="Arial" w:hAnsi="Arial" w:cs="Arial"/>
        </w:rPr>
        <w:t>Rating: 3b</w:t>
      </w:r>
    </w:p>
    <w:p w14:paraId="450C2B36" w14:textId="77777777" w:rsidR="008D0565" w:rsidRPr="00D61F73" w:rsidRDefault="008D0565" w:rsidP="00D61F73">
      <w:pPr>
        <w:rPr>
          <w:rFonts w:ascii="Arial" w:hAnsi="Arial" w:cs="Arial"/>
        </w:rPr>
      </w:pPr>
      <w:bookmarkStart w:id="855" w:name="Kumar6"/>
      <w:bookmarkEnd w:id="855"/>
      <w:r w:rsidRPr="00D61F73">
        <w:rPr>
          <w:rFonts w:ascii="Arial" w:hAnsi="Arial" w:cs="Arial"/>
        </w:rPr>
        <w:br w:type="page"/>
      </w:r>
      <w:r w:rsidRPr="00D61F73">
        <w:rPr>
          <w:rFonts w:ascii="Arial" w:hAnsi="Arial" w:cs="Arial"/>
          <w:b/>
          <w:bCs/>
        </w:rPr>
        <w:lastRenderedPageBreak/>
        <w:t>K</w:t>
      </w:r>
      <w:bookmarkStart w:id="856" w:name="Kumar3"/>
      <w:bookmarkEnd w:id="856"/>
      <w:r w:rsidRPr="00D61F73">
        <w:rPr>
          <w:rFonts w:ascii="Arial" w:hAnsi="Arial" w:cs="Arial"/>
          <w:b/>
          <w:bCs/>
        </w:rPr>
        <w:t xml:space="preserve">umar K, Hunter G, Demeria DD. Treatment of chronic pain by using intrathecal drug therapy compared with conventional pain therapies: a cost-effectiveness analysis. </w:t>
      </w:r>
      <w:r w:rsidRPr="00D61F73">
        <w:rPr>
          <w:rFonts w:ascii="Arial" w:hAnsi="Arial" w:cs="Arial"/>
          <w:b/>
          <w:bCs/>
          <w:i/>
          <w:iCs/>
        </w:rPr>
        <w:t>J Neurosurg</w:t>
      </w:r>
      <w:r w:rsidRPr="00D61F73">
        <w:rPr>
          <w:rFonts w:ascii="Arial" w:hAnsi="Arial" w:cs="Arial"/>
          <w:b/>
          <w:bCs/>
        </w:rPr>
        <w:t>. 2002 Oct;97(4):803-10.</w:t>
      </w:r>
    </w:p>
    <w:p w14:paraId="7EE2879C" w14:textId="77777777" w:rsidR="008D0565" w:rsidRPr="00D61F73" w:rsidRDefault="008D0565" w:rsidP="00D61F73">
      <w:pPr>
        <w:rPr>
          <w:rFonts w:ascii="Arial" w:hAnsi="Arial" w:cs="Arial"/>
        </w:rPr>
      </w:pPr>
    </w:p>
    <w:p w14:paraId="5379796F" w14:textId="77777777" w:rsidR="008D0565" w:rsidRPr="00D61F73" w:rsidRDefault="008D0565" w:rsidP="00D61F73">
      <w:pPr>
        <w:rPr>
          <w:rFonts w:ascii="Arial" w:hAnsi="Arial" w:cs="Arial"/>
        </w:rPr>
      </w:pPr>
      <w:r w:rsidRPr="00D61F73">
        <w:rPr>
          <w:rFonts w:ascii="Arial" w:hAnsi="Arial" w:cs="Arial"/>
        </w:rPr>
        <w:t xml:space="preserve">The Oswestry Disability Index showed a 27% improvement for patients in the IDT group, compared with a 12% improvement in the control group. </w:t>
      </w:r>
    </w:p>
    <w:p w14:paraId="76348AA3" w14:textId="77777777" w:rsidR="008D0565" w:rsidRPr="00D61F73" w:rsidRDefault="008D0565" w:rsidP="00D61F73">
      <w:pPr>
        <w:rPr>
          <w:rFonts w:ascii="Arial" w:hAnsi="Arial" w:cs="Arial"/>
        </w:rPr>
      </w:pPr>
    </w:p>
    <w:p w14:paraId="58B77DF5" w14:textId="77777777" w:rsidR="008D0565" w:rsidRPr="00D61F73" w:rsidRDefault="008D0565" w:rsidP="00D61F73">
      <w:pPr>
        <w:rPr>
          <w:rFonts w:ascii="Arial" w:hAnsi="Arial" w:cs="Arial"/>
        </w:rPr>
      </w:pPr>
      <w:r w:rsidRPr="00D61F73">
        <w:rPr>
          <w:rFonts w:ascii="Arial" w:hAnsi="Arial" w:cs="Arial"/>
        </w:rPr>
        <w:t xml:space="preserve">PMID: </w:t>
      </w:r>
      <w:hyperlink r:id="rId545" w:history="1">
        <w:r w:rsidRPr="00D61F73">
          <w:rPr>
            <w:rStyle w:val="Hyperlink"/>
            <w:rFonts w:ascii="Arial" w:hAnsi="Arial" w:cs="Arial"/>
          </w:rPr>
          <w:t>12405366</w:t>
        </w:r>
      </w:hyperlink>
      <w:r w:rsidRPr="00D61F73">
        <w:rPr>
          <w:rFonts w:ascii="Arial" w:hAnsi="Arial" w:cs="Arial"/>
        </w:rPr>
        <w:t xml:space="preserve"> </w:t>
      </w:r>
    </w:p>
    <w:p w14:paraId="12680BD4" w14:textId="77777777" w:rsidR="008D0565" w:rsidRPr="00D61F73" w:rsidRDefault="008D0565" w:rsidP="00D61F73">
      <w:pPr>
        <w:rPr>
          <w:rFonts w:ascii="Arial" w:hAnsi="Arial" w:cs="Arial"/>
        </w:rPr>
      </w:pPr>
    </w:p>
    <w:p w14:paraId="3C9A861A" w14:textId="77777777" w:rsidR="008D0565" w:rsidRPr="00D61F73" w:rsidRDefault="008D0565" w:rsidP="00D61F73">
      <w:pPr>
        <w:rPr>
          <w:rFonts w:ascii="Arial" w:hAnsi="Arial" w:cs="Arial"/>
        </w:rPr>
      </w:pPr>
      <w:r w:rsidRPr="00D61F73">
        <w:rPr>
          <w:rFonts w:ascii="Arial" w:hAnsi="Arial" w:cs="Arial"/>
        </w:rPr>
        <w:t>Rating: 3b</w:t>
      </w:r>
    </w:p>
    <w:p w14:paraId="0F17753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57" w:name="Kumar9"/>
      <w:bookmarkEnd w:id="857"/>
      <w:r w:rsidRPr="00D61F73">
        <w:rPr>
          <w:rFonts w:ascii="Arial" w:hAnsi="Arial" w:cs="Arial"/>
          <w:b/>
          <w:bCs/>
        </w:rPr>
        <w:t xml:space="preserve">umar R. Approved and investigational uses of modafinil: an evidence-based review. </w:t>
      </w:r>
      <w:r w:rsidRPr="00D61F73">
        <w:rPr>
          <w:rFonts w:ascii="Arial" w:hAnsi="Arial" w:cs="Arial"/>
          <w:b/>
          <w:bCs/>
          <w:i/>
          <w:iCs/>
        </w:rPr>
        <w:t>Drugs</w:t>
      </w:r>
      <w:r w:rsidRPr="00D61F73">
        <w:rPr>
          <w:rFonts w:ascii="Arial" w:hAnsi="Arial" w:cs="Arial"/>
          <w:b/>
          <w:bCs/>
        </w:rPr>
        <w:t>. 2008;68(13):1803-39.</w:t>
      </w:r>
    </w:p>
    <w:p w14:paraId="11F90D7C" w14:textId="77777777" w:rsidR="008D0565" w:rsidRPr="00D61F73" w:rsidRDefault="008D0565" w:rsidP="00D61F73">
      <w:pPr>
        <w:pStyle w:val="NormalWeb"/>
        <w:spacing w:before="0" w:beforeAutospacing="0" w:after="0" w:afterAutospacing="0"/>
        <w:rPr>
          <w:rFonts w:ascii="Arial" w:hAnsi="Arial" w:cs="Arial"/>
        </w:rPr>
      </w:pPr>
    </w:p>
    <w:p w14:paraId="1A87189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46" w:history="1">
        <w:r w:rsidRPr="00D61F73">
          <w:rPr>
            <w:rStyle w:val="Hyperlink"/>
            <w:rFonts w:ascii="Arial" w:hAnsi="Arial" w:cs="Arial"/>
          </w:rPr>
          <w:t>18729534</w:t>
        </w:r>
      </w:hyperlink>
      <w:r w:rsidRPr="00D61F73">
        <w:rPr>
          <w:rFonts w:ascii="Arial" w:hAnsi="Arial" w:cs="Arial"/>
        </w:rPr>
        <w:t xml:space="preserve"> </w:t>
      </w:r>
    </w:p>
    <w:p w14:paraId="4BC79B85" w14:textId="77777777" w:rsidR="008D0565" w:rsidRPr="00D61F73" w:rsidRDefault="008D0565" w:rsidP="00D61F73">
      <w:pPr>
        <w:pStyle w:val="NormalWeb"/>
        <w:spacing w:before="0" w:beforeAutospacing="0" w:after="0" w:afterAutospacing="0"/>
        <w:rPr>
          <w:rFonts w:ascii="Arial" w:hAnsi="Arial" w:cs="Arial"/>
        </w:rPr>
      </w:pPr>
    </w:p>
    <w:p w14:paraId="43A6136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554371AB"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K</w:t>
      </w:r>
      <w:bookmarkStart w:id="858" w:name="Kuna2011"/>
      <w:bookmarkEnd w:id="858"/>
      <w:r w:rsidRPr="00D61F73">
        <w:rPr>
          <w:rFonts w:ascii="Arial" w:hAnsi="Arial" w:cs="Arial"/>
          <w:b/>
          <w:bCs/>
        </w:rPr>
        <w:t xml:space="preserve">una ST, Gurubhagavatula I, Maislin G, Hin S, Hartwig KC, McCloskey S, Hachadoorian R, Hurley S, Gupta R, Staley B, Atwood CW. Noninferiority of functional outcome in ambulatory management of obstructive sleep apnea. </w:t>
      </w:r>
      <w:r w:rsidRPr="00D61F73">
        <w:rPr>
          <w:rFonts w:ascii="Arial" w:hAnsi="Arial" w:cs="Arial"/>
          <w:b/>
          <w:bCs/>
          <w:i/>
          <w:iCs/>
        </w:rPr>
        <w:t>Am J Respir Crit Care Med.</w:t>
      </w:r>
      <w:r w:rsidRPr="00D61F73">
        <w:rPr>
          <w:rFonts w:ascii="Arial" w:hAnsi="Arial" w:cs="Arial"/>
          <w:b/>
          <w:bCs/>
        </w:rPr>
        <w:t xml:space="preserve"> 2011 May 1;183(9):1238-44. doi: 10.1164/rccm.201011-1770OC. </w:t>
      </w:r>
    </w:p>
    <w:p w14:paraId="176C94C0" w14:textId="77777777" w:rsidR="008D0565" w:rsidRPr="00D61F73" w:rsidRDefault="008D0565" w:rsidP="00D61F73">
      <w:pPr>
        <w:pStyle w:val="NormalWeb"/>
        <w:spacing w:before="0" w:beforeAutospacing="0" w:after="0" w:afterAutospacing="0"/>
        <w:rPr>
          <w:rFonts w:ascii="Arial" w:hAnsi="Arial" w:cs="Arial"/>
        </w:rPr>
      </w:pPr>
    </w:p>
    <w:p w14:paraId="3B93453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47" w:history="1">
        <w:r w:rsidRPr="00D61F73">
          <w:rPr>
            <w:rStyle w:val="Hyperlink"/>
            <w:rFonts w:ascii="Arial" w:hAnsi="Arial" w:cs="Arial"/>
          </w:rPr>
          <w:t>21471093</w:t>
        </w:r>
      </w:hyperlink>
    </w:p>
    <w:p w14:paraId="1BD43DE8" w14:textId="77777777" w:rsidR="008D0565" w:rsidRPr="00D61F73" w:rsidRDefault="008D0565" w:rsidP="00D61F73">
      <w:pPr>
        <w:pStyle w:val="NormalWeb"/>
        <w:spacing w:before="0" w:beforeAutospacing="0" w:after="0" w:afterAutospacing="0"/>
        <w:rPr>
          <w:rFonts w:ascii="Arial" w:hAnsi="Arial" w:cs="Arial"/>
        </w:rPr>
      </w:pPr>
    </w:p>
    <w:p w14:paraId="3857B3B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3b</w:t>
      </w:r>
    </w:p>
    <w:p w14:paraId="1796436F" w14:textId="77777777" w:rsidR="008D0565" w:rsidRPr="00D61F73" w:rsidRDefault="008D0565" w:rsidP="00D61F73">
      <w:pPr>
        <w:rPr>
          <w:rFonts w:ascii="Arial" w:eastAsia="Calibri" w:hAnsi="Arial" w:cs="Arial"/>
          <w:b/>
        </w:rPr>
      </w:pPr>
      <w:r w:rsidRPr="00D61F73">
        <w:rPr>
          <w:rFonts w:ascii="Arial" w:hAnsi="Arial" w:cs="Arial"/>
        </w:rPr>
        <w:br w:type="page"/>
      </w:r>
      <w:r w:rsidR="00942E04" w:rsidRPr="00D61F73" w:rsidDel="00942E04">
        <w:rPr>
          <w:rFonts w:ascii="Arial" w:hAnsi="Arial" w:cs="Arial"/>
          <w:b/>
        </w:rPr>
        <w:lastRenderedPageBreak/>
        <w:t xml:space="preserve"> </w:t>
      </w:r>
      <w:r w:rsidRPr="00D61F73">
        <w:rPr>
          <w:rFonts w:ascii="Arial" w:hAnsi="Arial" w:cs="Arial"/>
          <w:b/>
        </w:rPr>
        <w:t>L</w:t>
      </w:r>
      <w:bookmarkStart w:id="859" w:name="Lader"/>
      <w:bookmarkEnd w:id="859"/>
      <w:r w:rsidRPr="00D61F73">
        <w:rPr>
          <w:rFonts w:ascii="Arial" w:hAnsi="Arial" w:cs="Arial"/>
          <w:b/>
        </w:rPr>
        <w:t xml:space="preserve">ader M, Tylee A, Donoghue J. Withdrawing benzodiazepines in primary care. </w:t>
      </w:r>
      <w:r w:rsidRPr="00D61F73">
        <w:rPr>
          <w:rFonts w:ascii="Arial" w:hAnsi="Arial" w:cs="Arial"/>
          <w:b/>
          <w:i/>
        </w:rPr>
        <w:t>CNS Drugs</w:t>
      </w:r>
      <w:r w:rsidRPr="00D61F73">
        <w:rPr>
          <w:rFonts w:ascii="Arial" w:hAnsi="Arial" w:cs="Arial"/>
          <w:b/>
        </w:rPr>
        <w:t xml:space="preserve">. 2009;23:19-34. </w:t>
      </w:r>
    </w:p>
    <w:p w14:paraId="7AA5A587" w14:textId="77777777" w:rsidR="008D0565" w:rsidRPr="00D61F73" w:rsidRDefault="008D0565" w:rsidP="00D61F73">
      <w:pPr>
        <w:rPr>
          <w:rFonts w:ascii="Arial" w:eastAsia="Calibri" w:hAnsi="Arial" w:cs="Arial"/>
        </w:rPr>
      </w:pPr>
    </w:p>
    <w:p w14:paraId="3FCC32B0"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548" w:history="1">
        <w:r w:rsidRPr="00D61F73">
          <w:rPr>
            <w:rStyle w:val="Hyperlink"/>
            <w:rFonts w:ascii="Arial" w:hAnsi="Arial" w:cs="Arial"/>
          </w:rPr>
          <w:t>19062773</w:t>
        </w:r>
      </w:hyperlink>
    </w:p>
    <w:p w14:paraId="17C17384" w14:textId="77777777" w:rsidR="008D0565" w:rsidRPr="00D61F73" w:rsidRDefault="008D0565" w:rsidP="00D61F73">
      <w:pPr>
        <w:rPr>
          <w:rFonts w:ascii="Arial" w:hAnsi="Arial" w:cs="Arial"/>
        </w:rPr>
      </w:pPr>
    </w:p>
    <w:p w14:paraId="73793FCE" w14:textId="77777777" w:rsidR="008D0565" w:rsidRPr="00D61F73" w:rsidRDefault="008D0565" w:rsidP="00D61F73">
      <w:pPr>
        <w:rPr>
          <w:rFonts w:ascii="Arial" w:hAnsi="Arial" w:cs="Arial"/>
        </w:rPr>
      </w:pPr>
      <w:r w:rsidRPr="00D61F73">
        <w:rPr>
          <w:rFonts w:ascii="Arial" w:hAnsi="Arial" w:cs="Arial"/>
        </w:rPr>
        <w:t>Rating: 5a</w:t>
      </w:r>
    </w:p>
    <w:p w14:paraId="0D91AC2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60" w:name="Laine2007"/>
      <w:bookmarkEnd w:id="860"/>
      <w:r w:rsidRPr="00D61F73">
        <w:rPr>
          <w:rFonts w:ascii="Arial" w:hAnsi="Arial" w:cs="Arial"/>
          <w:b/>
        </w:rPr>
        <w:t>aine L, Curtis SP, Cryer B, Kaur A, Cannon CP; MEDAL Steering Committee. Assessment of upper gastrointestinal safety of etoricoxib and diclofenac in patients with osteoarthritis and rheumatoid arthritis in the Multinational Etoricoxib and Diclofenac Arthritis Long-term (MEDAL) programme: a randomised comparison</w:t>
      </w:r>
      <w:r w:rsidRPr="00D61F73">
        <w:rPr>
          <w:rFonts w:ascii="Arial" w:hAnsi="Arial" w:cs="Arial"/>
          <w:b/>
          <w:i/>
        </w:rPr>
        <w:t>. Lancet</w:t>
      </w:r>
      <w:r w:rsidRPr="00D61F73">
        <w:rPr>
          <w:rFonts w:ascii="Arial" w:hAnsi="Arial" w:cs="Arial"/>
          <w:b/>
        </w:rPr>
        <w:t xml:space="preserve">. 2007; 369:465-73. </w:t>
      </w:r>
    </w:p>
    <w:p w14:paraId="28867125" w14:textId="77777777" w:rsidR="008D0565" w:rsidRPr="00D61F73" w:rsidRDefault="008D0565" w:rsidP="00D61F73">
      <w:pPr>
        <w:rPr>
          <w:rFonts w:ascii="Arial" w:hAnsi="Arial" w:cs="Arial"/>
        </w:rPr>
      </w:pPr>
    </w:p>
    <w:p w14:paraId="48AF6086" w14:textId="77777777" w:rsidR="008D0565" w:rsidRPr="00D61F73" w:rsidRDefault="008D0565" w:rsidP="00D61F73">
      <w:pPr>
        <w:rPr>
          <w:rFonts w:ascii="Arial" w:hAnsi="Arial" w:cs="Arial"/>
        </w:rPr>
      </w:pPr>
      <w:r w:rsidRPr="00D61F73">
        <w:rPr>
          <w:rFonts w:ascii="Arial" w:hAnsi="Arial" w:cs="Arial"/>
        </w:rPr>
        <w:t xml:space="preserve">There were significantly fewer upper gastrointestinal clinical events with the COX-2 selective inhibitor etoricoxib than with the traditional NSAID diclofenac due to a decrease in uncomplicated events, but not in the more serious complicated events. </w:t>
      </w:r>
    </w:p>
    <w:p w14:paraId="0B16C47B" w14:textId="77777777" w:rsidR="008D0565" w:rsidRPr="00D61F73" w:rsidRDefault="008D0565" w:rsidP="00D61F73">
      <w:pPr>
        <w:rPr>
          <w:rFonts w:ascii="Arial" w:hAnsi="Arial" w:cs="Arial"/>
        </w:rPr>
      </w:pPr>
    </w:p>
    <w:p w14:paraId="037C6752" w14:textId="77777777" w:rsidR="008D0565" w:rsidRPr="00D61F73" w:rsidRDefault="008D0565" w:rsidP="00D61F73">
      <w:pPr>
        <w:rPr>
          <w:rFonts w:ascii="Arial" w:hAnsi="Arial" w:cs="Arial"/>
        </w:rPr>
      </w:pPr>
      <w:r w:rsidRPr="00D61F73">
        <w:rPr>
          <w:rFonts w:ascii="Arial" w:hAnsi="Arial" w:cs="Arial"/>
        </w:rPr>
        <w:t xml:space="preserve">PMID: </w:t>
      </w:r>
      <w:hyperlink r:id="rId549" w:history="1">
        <w:r w:rsidRPr="00D61F73">
          <w:rPr>
            <w:rStyle w:val="Hyperlink"/>
            <w:rFonts w:ascii="Arial" w:hAnsi="Arial" w:cs="Arial"/>
          </w:rPr>
          <w:t>17292766</w:t>
        </w:r>
      </w:hyperlink>
    </w:p>
    <w:p w14:paraId="569476F3" w14:textId="77777777" w:rsidR="008D0565" w:rsidRPr="00D61F73" w:rsidRDefault="008D0565" w:rsidP="00D61F73">
      <w:pPr>
        <w:rPr>
          <w:rFonts w:ascii="Arial" w:hAnsi="Arial" w:cs="Arial"/>
        </w:rPr>
      </w:pPr>
    </w:p>
    <w:p w14:paraId="18A43108" w14:textId="77777777" w:rsidR="008D0565" w:rsidRPr="00D61F73" w:rsidRDefault="008D0565" w:rsidP="00D61F73">
      <w:pPr>
        <w:rPr>
          <w:rFonts w:ascii="Arial" w:hAnsi="Arial" w:cs="Arial"/>
        </w:rPr>
      </w:pPr>
      <w:r w:rsidRPr="00D61F73">
        <w:rPr>
          <w:rFonts w:ascii="Arial" w:hAnsi="Arial" w:cs="Arial"/>
        </w:rPr>
        <w:t>Rating: 3a</w:t>
      </w:r>
    </w:p>
    <w:p w14:paraId="6DF9B0D5"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61" w:name="Laine2006"/>
      <w:bookmarkEnd w:id="861"/>
      <w:r w:rsidRPr="00D61F73">
        <w:rPr>
          <w:rFonts w:ascii="Arial" w:hAnsi="Arial" w:cs="Arial"/>
          <w:b/>
        </w:rPr>
        <w:t xml:space="preserve">aine L. GI risk and risk factors of NSAIDs. </w:t>
      </w:r>
      <w:r w:rsidRPr="00D61F73">
        <w:rPr>
          <w:rFonts w:ascii="Arial" w:hAnsi="Arial" w:cs="Arial"/>
          <w:b/>
          <w:i/>
        </w:rPr>
        <w:t>J Cardiovasc Pharmacol</w:t>
      </w:r>
      <w:r w:rsidRPr="00D61F73">
        <w:rPr>
          <w:rFonts w:ascii="Arial" w:hAnsi="Arial" w:cs="Arial"/>
          <w:b/>
        </w:rPr>
        <w:t xml:space="preserve">. 2006;47 Suppl 1:S60-6. </w:t>
      </w:r>
    </w:p>
    <w:p w14:paraId="1F01CCAC" w14:textId="77777777" w:rsidR="008D0565" w:rsidRPr="00D61F73" w:rsidRDefault="008D0565" w:rsidP="00D61F73">
      <w:pPr>
        <w:rPr>
          <w:rFonts w:ascii="Arial" w:hAnsi="Arial" w:cs="Arial"/>
        </w:rPr>
      </w:pPr>
    </w:p>
    <w:p w14:paraId="2315AE8A" w14:textId="77777777" w:rsidR="008D0565" w:rsidRPr="00D61F73" w:rsidRDefault="008D0565" w:rsidP="00D61F73">
      <w:pPr>
        <w:rPr>
          <w:rFonts w:ascii="Arial" w:hAnsi="Arial" w:cs="Arial"/>
        </w:rPr>
      </w:pPr>
      <w:r w:rsidRPr="00D61F73">
        <w:rPr>
          <w:rFonts w:ascii="Arial" w:hAnsi="Arial" w:cs="Arial"/>
        </w:rPr>
        <w:t>The decision to employ a protective strategy to decrease NSAID-associated GI clinical events is based on risk stratification. Strategies employed include the use of non-NSAID analgesics, use of lowest effective dose of NSAID, use of medical cotherapy (eg, proton pump inhibitor, misoprostol), or use of coxibs.</w:t>
      </w:r>
    </w:p>
    <w:p w14:paraId="11D5A5A0" w14:textId="77777777" w:rsidR="008D0565" w:rsidRPr="00D61F73" w:rsidRDefault="008D0565" w:rsidP="00D61F73">
      <w:pPr>
        <w:rPr>
          <w:rFonts w:ascii="Arial" w:hAnsi="Arial" w:cs="Arial"/>
        </w:rPr>
      </w:pPr>
    </w:p>
    <w:p w14:paraId="4C3F9529" w14:textId="77777777" w:rsidR="008D0565" w:rsidRPr="00D61F73" w:rsidRDefault="008D0565" w:rsidP="00D61F73">
      <w:pPr>
        <w:rPr>
          <w:rFonts w:ascii="Arial" w:hAnsi="Arial" w:cs="Arial"/>
        </w:rPr>
      </w:pPr>
      <w:r w:rsidRPr="00D61F73">
        <w:rPr>
          <w:rFonts w:ascii="Arial" w:hAnsi="Arial" w:cs="Arial"/>
        </w:rPr>
        <w:t xml:space="preserve">PMID: </w:t>
      </w:r>
      <w:hyperlink r:id="rId550" w:history="1">
        <w:r w:rsidRPr="00D61F73">
          <w:rPr>
            <w:rStyle w:val="Hyperlink"/>
            <w:rFonts w:ascii="Arial" w:hAnsi="Arial" w:cs="Arial"/>
          </w:rPr>
          <w:t>16785831</w:t>
        </w:r>
      </w:hyperlink>
    </w:p>
    <w:p w14:paraId="3E4A1BEA" w14:textId="77777777" w:rsidR="008D0565" w:rsidRPr="00D61F73" w:rsidRDefault="008D0565" w:rsidP="00D61F73">
      <w:pPr>
        <w:rPr>
          <w:rFonts w:ascii="Arial" w:hAnsi="Arial" w:cs="Arial"/>
        </w:rPr>
      </w:pPr>
    </w:p>
    <w:p w14:paraId="3C1DA791" w14:textId="77777777" w:rsidR="008D0565" w:rsidRPr="00D61F73" w:rsidRDefault="008D0565" w:rsidP="00D61F73">
      <w:pPr>
        <w:rPr>
          <w:rFonts w:ascii="Arial" w:hAnsi="Arial" w:cs="Arial"/>
        </w:rPr>
      </w:pPr>
      <w:r w:rsidRPr="00D61F73">
        <w:rPr>
          <w:rFonts w:ascii="Arial" w:hAnsi="Arial" w:cs="Arial"/>
        </w:rPr>
        <w:t>Rating: 5c</w:t>
      </w:r>
    </w:p>
    <w:p w14:paraId="58B22B0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62" w:name="Laine2008"/>
      <w:bookmarkEnd w:id="862"/>
      <w:r w:rsidRPr="00D61F73">
        <w:rPr>
          <w:rFonts w:ascii="Arial" w:hAnsi="Arial" w:cs="Arial"/>
          <w:b/>
          <w:bCs/>
        </w:rPr>
        <w:t xml:space="preserve">aine L, White WB, Rostom A, Hochberg M. COX-2 Selective Inhibitors in the Treatment of Osteoarthritis. </w:t>
      </w:r>
      <w:r w:rsidRPr="00D61F73">
        <w:rPr>
          <w:rFonts w:ascii="Arial" w:hAnsi="Arial" w:cs="Arial"/>
          <w:b/>
          <w:bCs/>
          <w:i/>
          <w:iCs/>
        </w:rPr>
        <w:t>Semin Arthritis Rheum</w:t>
      </w:r>
      <w:r w:rsidRPr="00D61F73">
        <w:rPr>
          <w:rFonts w:ascii="Arial" w:hAnsi="Arial" w:cs="Arial"/>
          <w:b/>
          <w:bCs/>
        </w:rPr>
        <w:t>. 2008 Jan 3 [Epub ahead of print].</w:t>
      </w:r>
    </w:p>
    <w:p w14:paraId="462ABFEE" w14:textId="77777777" w:rsidR="008D0565" w:rsidRPr="00D61F73" w:rsidRDefault="008D0565" w:rsidP="00D61F73">
      <w:pPr>
        <w:rPr>
          <w:rFonts w:ascii="Arial" w:hAnsi="Arial" w:cs="Arial"/>
        </w:rPr>
      </w:pPr>
    </w:p>
    <w:p w14:paraId="7111F35C" w14:textId="77777777" w:rsidR="008D0565" w:rsidRPr="00D61F73" w:rsidRDefault="008D0565" w:rsidP="00D61F73">
      <w:pPr>
        <w:rPr>
          <w:rFonts w:ascii="Arial" w:hAnsi="Arial" w:cs="Arial"/>
        </w:rPr>
      </w:pPr>
      <w:r w:rsidRPr="00D61F73">
        <w:rPr>
          <w:rFonts w:ascii="Arial" w:hAnsi="Arial" w:cs="Arial"/>
        </w:rPr>
        <w:t>Meta-analysis of randomized trials indicates that coxibs increase the risk of myocardial infarctions approximately twofold versus placebo and versus naproxen, but do not increase the risk versus nonnaproxen NSAIDs.</w:t>
      </w:r>
    </w:p>
    <w:p w14:paraId="58B211D2" w14:textId="77777777" w:rsidR="008D0565" w:rsidRPr="00D61F73" w:rsidRDefault="008D0565" w:rsidP="00D61F73">
      <w:pPr>
        <w:rPr>
          <w:rFonts w:ascii="Arial" w:hAnsi="Arial" w:cs="Arial"/>
        </w:rPr>
      </w:pPr>
    </w:p>
    <w:p w14:paraId="426299CD" w14:textId="77777777" w:rsidR="008D0565" w:rsidRPr="00D61F73" w:rsidRDefault="008D0565" w:rsidP="00D61F73">
      <w:pPr>
        <w:rPr>
          <w:rFonts w:ascii="Arial" w:hAnsi="Arial" w:cs="Arial"/>
        </w:rPr>
      </w:pPr>
      <w:r w:rsidRPr="00D61F73">
        <w:rPr>
          <w:rFonts w:ascii="Arial" w:hAnsi="Arial" w:cs="Arial"/>
        </w:rPr>
        <w:t xml:space="preserve">PMID: </w:t>
      </w:r>
      <w:hyperlink r:id="rId551" w:history="1">
        <w:r w:rsidRPr="00D61F73">
          <w:rPr>
            <w:rStyle w:val="Hyperlink"/>
            <w:rFonts w:ascii="Arial" w:hAnsi="Arial" w:cs="Arial"/>
          </w:rPr>
          <w:t>18177922</w:t>
        </w:r>
      </w:hyperlink>
      <w:r w:rsidRPr="00D61F73">
        <w:rPr>
          <w:rFonts w:ascii="Arial" w:hAnsi="Arial" w:cs="Arial"/>
        </w:rPr>
        <w:t xml:space="preserve"> </w:t>
      </w:r>
    </w:p>
    <w:p w14:paraId="5BB3389E" w14:textId="77777777" w:rsidR="008D0565" w:rsidRPr="00D61F73" w:rsidRDefault="008D0565" w:rsidP="00D61F73">
      <w:pPr>
        <w:rPr>
          <w:rFonts w:ascii="Arial" w:hAnsi="Arial" w:cs="Arial"/>
        </w:rPr>
      </w:pPr>
    </w:p>
    <w:p w14:paraId="058FFBDD" w14:textId="77777777" w:rsidR="008D0565" w:rsidRPr="00D61F73" w:rsidRDefault="008D0565" w:rsidP="00D61F73">
      <w:pPr>
        <w:rPr>
          <w:rFonts w:ascii="Arial" w:hAnsi="Arial" w:cs="Arial"/>
        </w:rPr>
      </w:pPr>
      <w:r w:rsidRPr="00D61F73">
        <w:rPr>
          <w:rFonts w:ascii="Arial" w:hAnsi="Arial" w:cs="Arial"/>
        </w:rPr>
        <w:t>Rating: 1b</w:t>
      </w:r>
    </w:p>
    <w:p w14:paraId="7FBE076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63" w:name="Laine2008a"/>
      <w:bookmarkEnd w:id="863"/>
      <w:r w:rsidRPr="00D61F73">
        <w:rPr>
          <w:rFonts w:ascii="Arial" w:hAnsi="Arial" w:cs="Arial"/>
          <w:b/>
        </w:rPr>
        <w:t xml:space="preserve">aine L, White WB, Rostom A, Hochberg M. COX-2 Selective Inhibitors in the Treatment of Osteoarthritis. </w:t>
      </w:r>
      <w:r w:rsidRPr="00D61F73">
        <w:rPr>
          <w:rFonts w:ascii="Arial" w:hAnsi="Arial" w:cs="Arial"/>
          <w:b/>
          <w:i/>
        </w:rPr>
        <w:t>Semin Arthritis Rheum</w:t>
      </w:r>
      <w:r w:rsidRPr="00D61F73">
        <w:rPr>
          <w:rFonts w:ascii="Arial" w:hAnsi="Arial" w:cs="Arial"/>
          <w:b/>
        </w:rPr>
        <w:t>. 2008 Jan 3. [Epub ahead of print]</w:t>
      </w:r>
    </w:p>
    <w:p w14:paraId="382FDF01" w14:textId="77777777" w:rsidR="008D0565" w:rsidRPr="00D61F73" w:rsidRDefault="008D0565" w:rsidP="00D61F73">
      <w:pPr>
        <w:rPr>
          <w:rFonts w:ascii="Arial" w:hAnsi="Arial" w:cs="Arial"/>
        </w:rPr>
      </w:pPr>
    </w:p>
    <w:p w14:paraId="1F8AED53" w14:textId="77777777" w:rsidR="008D0565" w:rsidRPr="00D61F73" w:rsidRDefault="008D0565" w:rsidP="00D61F73">
      <w:pPr>
        <w:rPr>
          <w:rFonts w:ascii="Arial" w:hAnsi="Arial" w:cs="Arial"/>
        </w:rPr>
      </w:pPr>
      <w:r w:rsidRPr="00D61F73">
        <w:rPr>
          <w:rFonts w:ascii="Arial" w:hAnsi="Arial" w:cs="Arial"/>
        </w:rPr>
        <w:t xml:space="preserve">CONCLUSIONS: Coxibs are as effective as traditional NSAIDs and superior to acetaminophen for the treatment of OA. </w:t>
      </w:r>
    </w:p>
    <w:p w14:paraId="2FBF5954" w14:textId="77777777" w:rsidR="008D0565" w:rsidRPr="00D61F73" w:rsidRDefault="008D0565" w:rsidP="00D61F73">
      <w:pPr>
        <w:rPr>
          <w:rFonts w:ascii="Arial" w:hAnsi="Arial" w:cs="Arial"/>
        </w:rPr>
      </w:pPr>
    </w:p>
    <w:p w14:paraId="5AD2ACA1" w14:textId="77777777" w:rsidR="008D0565" w:rsidRPr="00D61F73" w:rsidRDefault="008D0565" w:rsidP="00D61F73">
      <w:pPr>
        <w:rPr>
          <w:rFonts w:ascii="Arial" w:hAnsi="Arial" w:cs="Arial"/>
        </w:rPr>
      </w:pPr>
      <w:r w:rsidRPr="00D61F73">
        <w:rPr>
          <w:rFonts w:ascii="Arial" w:hAnsi="Arial" w:cs="Arial"/>
        </w:rPr>
        <w:t xml:space="preserve">PMID: </w:t>
      </w:r>
      <w:hyperlink r:id="rId552" w:history="1">
        <w:r w:rsidRPr="00D61F73">
          <w:rPr>
            <w:rStyle w:val="Hyperlink"/>
            <w:rFonts w:ascii="Arial" w:hAnsi="Arial" w:cs="Arial"/>
          </w:rPr>
          <w:t>18177922</w:t>
        </w:r>
      </w:hyperlink>
    </w:p>
    <w:p w14:paraId="5F357068" w14:textId="77777777" w:rsidR="008D0565" w:rsidRPr="00D61F73" w:rsidRDefault="008D0565" w:rsidP="00D61F73">
      <w:pPr>
        <w:rPr>
          <w:rFonts w:ascii="Arial" w:hAnsi="Arial" w:cs="Arial"/>
        </w:rPr>
      </w:pPr>
    </w:p>
    <w:p w14:paraId="20263068" w14:textId="77777777" w:rsidR="008D0565" w:rsidRPr="00D61F73" w:rsidRDefault="008D0565" w:rsidP="00D61F73">
      <w:pPr>
        <w:rPr>
          <w:rFonts w:ascii="Arial" w:hAnsi="Arial" w:cs="Arial"/>
        </w:rPr>
      </w:pPr>
      <w:r w:rsidRPr="00D61F73">
        <w:rPr>
          <w:rFonts w:ascii="Arial" w:hAnsi="Arial" w:cs="Arial"/>
        </w:rPr>
        <w:t>Rating: 5a</w:t>
      </w:r>
    </w:p>
    <w:p w14:paraId="741BCB76" w14:textId="77777777" w:rsidR="008D0565" w:rsidRPr="00D61F73" w:rsidRDefault="008D0565" w:rsidP="00D61F73">
      <w:pPr>
        <w:rPr>
          <w:rFonts w:ascii="Arial" w:hAnsi="Arial" w:cs="Arial"/>
        </w:rPr>
      </w:pPr>
    </w:p>
    <w:p w14:paraId="69596B38" w14:textId="77777777" w:rsidR="008D0565" w:rsidRPr="00D61F73" w:rsidRDefault="008D0565" w:rsidP="00D61F73">
      <w:pPr>
        <w:rPr>
          <w:rFonts w:ascii="Arial" w:hAnsi="Arial" w:cs="Arial"/>
        </w:rPr>
      </w:pPr>
      <w:r w:rsidRPr="00D61F73">
        <w:rPr>
          <w:rFonts w:ascii="Arial" w:hAnsi="Arial" w:cs="Arial"/>
        </w:rPr>
        <w:t>This article contains a nice review of the associated side effects of acetaminophen in comparison to NSAIDs</w:t>
      </w:r>
    </w:p>
    <w:p w14:paraId="26733F34"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64" w:name="Lake"/>
      <w:bookmarkEnd w:id="864"/>
      <w:r w:rsidRPr="00D61F73">
        <w:rPr>
          <w:rFonts w:ascii="Arial" w:hAnsi="Arial" w:cs="Arial"/>
          <w:b/>
        </w:rPr>
        <w:t xml:space="preserve">ake AE 3rd. Screening and behavioral management: medication overuse headache--the complex case. </w:t>
      </w:r>
      <w:r w:rsidRPr="00D61F73">
        <w:rPr>
          <w:rFonts w:ascii="Arial" w:hAnsi="Arial" w:cs="Arial"/>
          <w:b/>
          <w:i/>
        </w:rPr>
        <w:t>Headache</w:t>
      </w:r>
      <w:r w:rsidRPr="00D61F73">
        <w:rPr>
          <w:rFonts w:ascii="Arial" w:hAnsi="Arial" w:cs="Arial"/>
          <w:b/>
        </w:rPr>
        <w:t>. 2008;48:26-31.</w:t>
      </w:r>
    </w:p>
    <w:p w14:paraId="2E4C6B09" w14:textId="77777777" w:rsidR="008D0565" w:rsidRPr="00D61F73" w:rsidRDefault="008D0565" w:rsidP="00D61F73">
      <w:pPr>
        <w:rPr>
          <w:rFonts w:ascii="Arial" w:hAnsi="Arial" w:cs="Arial"/>
        </w:rPr>
      </w:pPr>
    </w:p>
    <w:p w14:paraId="44B2F423" w14:textId="77777777" w:rsidR="008D0565" w:rsidRPr="00D61F73" w:rsidRDefault="008D0565" w:rsidP="00D61F73">
      <w:pPr>
        <w:rPr>
          <w:rFonts w:ascii="Arial" w:hAnsi="Arial" w:cs="Arial"/>
        </w:rPr>
      </w:pPr>
      <w:r w:rsidRPr="00D61F73">
        <w:rPr>
          <w:rFonts w:ascii="Arial" w:hAnsi="Arial" w:cs="Arial"/>
        </w:rPr>
        <w:t>Daily use of opioids for other medical conditions, psychiatric comorbidity including borderline personality disorder, prior history of other substance dependence or abuse, and family history of substance disorders are risk factors for MOH.</w:t>
      </w:r>
    </w:p>
    <w:p w14:paraId="204CC194" w14:textId="77777777" w:rsidR="008D0565" w:rsidRPr="00D61F73" w:rsidRDefault="008D0565" w:rsidP="00D61F73">
      <w:pPr>
        <w:rPr>
          <w:rFonts w:ascii="Arial" w:hAnsi="Arial" w:cs="Arial"/>
        </w:rPr>
      </w:pPr>
    </w:p>
    <w:p w14:paraId="3BAAFC98" w14:textId="77777777" w:rsidR="008D0565" w:rsidRPr="00D61F73" w:rsidRDefault="008D0565" w:rsidP="00D61F73">
      <w:pPr>
        <w:rPr>
          <w:rFonts w:ascii="Arial" w:hAnsi="Arial" w:cs="Arial"/>
        </w:rPr>
      </w:pPr>
      <w:r w:rsidRPr="00D61F73">
        <w:rPr>
          <w:rFonts w:ascii="Arial" w:hAnsi="Arial" w:cs="Arial"/>
        </w:rPr>
        <w:t xml:space="preserve">PMID: </w:t>
      </w:r>
      <w:hyperlink r:id="rId553" w:history="1">
        <w:r w:rsidRPr="00D61F73">
          <w:rPr>
            <w:rStyle w:val="Hyperlink"/>
            <w:rFonts w:ascii="Arial" w:hAnsi="Arial" w:cs="Arial"/>
          </w:rPr>
          <w:t>18184282</w:t>
        </w:r>
      </w:hyperlink>
    </w:p>
    <w:p w14:paraId="29A9250B" w14:textId="77777777" w:rsidR="008D0565" w:rsidRPr="00D61F73" w:rsidRDefault="008D0565" w:rsidP="00D61F73">
      <w:pPr>
        <w:rPr>
          <w:rFonts w:ascii="Arial" w:hAnsi="Arial" w:cs="Arial"/>
        </w:rPr>
      </w:pPr>
    </w:p>
    <w:p w14:paraId="58FED7F5" w14:textId="77777777" w:rsidR="008D0565" w:rsidRPr="00D61F73" w:rsidRDefault="008D0565" w:rsidP="00D61F73">
      <w:pPr>
        <w:rPr>
          <w:rFonts w:ascii="Arial" w:hAnsi="Arial" w:cs="Arial"/>
        </w:rPr>
      </w:pPr>
      <w:r w:rsidRPr="00D61F73">
        <w:rPr>
          <w:rFonts w:ascii="Arial" w:hAnsi="Arial" w:cs="Arial"/>
        </w:rPr>
        <w:t>Rating 5c</w:t>
      </w:r>
    </w:p>
    <w:p w14:paraId="43AFBE5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rPr>
        <w:lastRenderedPageBreak/>
        <w:t xml:space="preserve"> </w:t>
      </w:r>
      <w:r w:rsidRPr="00D61F73">
        <w:rPr>
          <w:rFonts w:ascii="Arial" w:hAnsi="Arial" w:cs="Arial"/>
          <w:b/>
        </w:rPr>
        <w:t>L</w:t>
      </w:r>
      <w:bookmarkStart w:id="865" w:name="Lanas"/>
      <w:bookmarkEnd w:id="865"/>
      <w:r w:rsidRPr="00D61F73">
        <w:rPr>
          <w:rFonts w:ascii="Arial" w:hAnsi="Arial" w:cs="Arial"/>
          <w:b/>
        </w:rPr>
        <w:t xml:space="preserve">anas A, Hunt R. Prevention of anti-inflammatory drug-induced gastrointestinal damage: benefits and risks of therapeutic strategies. </w:t>
      </w:r>
      <w:r w:rsidRPr="00D61F73">
        <w:rPr>
          <w:rFonts w:ascii="Arial" w:hAnsi="Arial" w:cs="Arial"/>
          <w:b/>
          <w:i/>
        </w:rPr>
        <w:t>Ann Med</w:t>
      </w:r>
      <w:r w:rsidRPr="00D61F73">
        <w:rPr>
          <w:rFonts w:ascii="Arial" w:hAnsi="Arial" w:cs="Arial"/>
          <w:b/>
        </w:rPr>
        <w:t>. 2006;38:415-28.</w:t>
      </w:r>
    </w:p>
    <w:p w14:paraId="48264F32" w14:textId="77777777" w:rsidR="008D0565" w:rsidRPr="00D61F73" w:rsidRDefault="008D0565" w:rsidP="00D61F73">
      <w:pPr>
        <w:rPr>
          <w:rFonts w:ascii="Arial" w:hAnsi="Arial" w:cs="Arial"/>
        </w:rPr>
      </w:pPr>
    </w:p>
    <w:p w14:paraId="00B91C77" w14:textId="77777777" w:rsidR="008D0565" w:rsidRPr="00D61F73" w:rsidRDefault="008D0565" w:rsidP="00D61F73">
      <w:pPr>
        <w:rPr>
          <w:rFonts w:ascii="Arial" w:hAnsi="Arial" w:cs="Arial"/>
        </w:rPr>
      </w:pPr>
      <w:r w:rsidRPr="00D61F73">
        <w:rPr>
          <w:rFonts w:ascii="Arial" w:hAnsi="Arial" w:cs="Arial"/>
        </w:rPr>
        <w:t>PPI therapy must be considered for the treatment and prevention of NSAID-induced dyspepsia.</w:t>
      </w:r>
    </w:p>
    <w:p w14:paraId="5885B8E7" w14:textId="77777777" w:rsidR="008D0565" w:rsidRPr="00D61F73" w:rsidRDefault="008D0565" w:rsidP="00D61F73">
      <w:pPr>
        <w:rPr>
          <w:rFonts w:ascii="Arial" w:hAnsi="Arial" w:cs="Arial"/>
        </w:rPr>
      </w:pPr>
    </w:p>
    <w:p w14:paraId="1D134E30" w14:textId="77777777" w:rsidR="008D0565" w:rsidRPr="00D61F73" w:rsidRDefault="008D0565" w:rsidP="00D61F73">
      <w:pPr>
        <w:rPr>
          <w:rFonts w:ascii="Arial" w:hAnsi="Arial" w:cs="Arial"/>
        </w:rPr>
      </w:pPr>
      <w:r w:rsidRPr="00D61F73">
        <w:rPr>
          <w:rFonts w:ascii="Arial" w:hAnsi="Arial" w:cs="Arial"/>
        </w:rPr>
        <w:t xml:space="preserve">PMID: </w:t>
      </w:r>
      <w:hyperlink r:id="rId554" w:history="1">
        <w:r w:rsidRPr="00D61F73">
          <w:rPr>
            <w:rStyle w:val="Hyperlink"/>
            <w:rFonts w:ascii="Arial" w:hAnsi="Arial" w:cs="Arial"/>
          </w:rPr>
          <w:t>17008305</w:t>
        </w:r>
      </w:hyperlink>
      <w:r w:rsidRPr="00D61F73">
        <w:rPr>
          <w:rFonts w:ascii="Arial" w:hAnsi="Arial" w:cs="Arial"/>
        </w:rPr>
        <w:t xml:space="preserve"> </w:t>
      </w:r>
    </w:p>
    <w:p w14:paraId="08AB4555" w14:textId="77777777" w:rsidR="008D0565" w:rsidRPr="00D61F73" w:rsidRDefault="008D0565" w:rsidP="00D61F73">
      <w:pPr>
        <w:rPr>
          <w:rFonts w:ascii="Arial" w:hAnsi="Arial" w:cs="Arial"/>
        </w:rPr>
      </w:pPr>
    </w:p>
    <w:p w14:paraId="2D8F82B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75960F66"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66" w:name="Landy2011"/>
      <w:bookmarkEnd w:id="866"/>
      <w:r w:rsidRPr="00D61F73">
        <w:rPr>
          <w:rFonts w:ascii="Arial" w:hAnsi="Arial" w:cs="Arial"/>
          <w:b/>
          <w:bCs/>
        </w:rPr>
        <w:t xml:space="preserve">andy S, Altman CA, Xie F. Time to recovery in patients with acute painful musculoskeletal conditions treated with extended-release or immediate-release cyclobenzaprine. </w:t>
      </w:r>
      <w:r w:rsidRPr="00D61F73">
        <w:rPr>
          <w:rFonts w:ascii="Arial" w:hAnsi="Arial" w:cs="Arial"/>
          <w:b/>
          <w:bCs/>
          <w:i/>
          <w:iCs/>
        </w:rPr>
        <w:t>Adv Ther</w:t>
      </w:r>
      <w:r w:rsidRPr="00D61F73">
        <w:rPr>
          <w:rFonts w:ascii="Arial" w:hAnsi="Arial" w:cs="Arial"/>
          <w:b/>
          <w:bCs/>
        </w:rPr>
        <w:t>. 2011 Mar 18. [Epub ahead of print]</w:t>
      </w:r>
    </w:p>
    <w:p w14:paraId="18D9BE5C" w14:textId="77777777" w:rsidR="008D0565" w:rsidRPr="00D61F73" w:rsidRDefault="008D0565" w:rsidP="00D61F73">
      <w:pPr>
        <w:pStyle w:val="NormalWeb"/>
        <w:spacing w:before="0" w:beforeAutospacing="0" w:after="0" w:afterAutospacing="0"/>
        <w:rPr>
          <w:rFonts w:ascii="Arial" w:hAnsi="Arial" w:cs="Arial"/>
        </w:rPr>
      </w:pPr>
    </w:p>
    <w:p w14:paraId="74687E1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RESULTS: A total of 504 patients were randomized. Median times to "very good" or "excellent" medication helpfulness were 10 days for extended release, and 7 days for immediate release versus over 14 days for placebo. </w:t>
      </w:r>
    </w:p>
    <w:p w14:paraId="67BA8B80" w14:textId="77777777" w:rsidR="008D0565" w:rsidRPr="00D61F73" w:rsidRDefault="008D0565" w:rsidP="00D61F73">
      <w:pPr>
        <w:pStyle w:val="NormalWeb"/>
        <w:spacing w:before="0" w:beforeAutospacing="0" w:after="0" w:afterAutospacing="0"/>
        <w:rPr>
          <w:rFonts w:ascii="Arial" w:hAnsi="Arial" w:cs="Arial"/>
        </w:rPr>
      </w:pPr>
    </w:p>
    <w:p w14:paraId="7A86A89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55" w:history="1">
        <w:r w:rsidRPr="00D61F73">
          <w:rPr>
            <w:rStyle w:val="Hyperlink"/>
            <w:rFonts w:ascii="Arial" w:hAnsi="Arial" w:cs="Arial"/>
          </w:rPr>
          <w:t>21424735</w:t>
        </w:r>
      </w:hyperlink>
      <w:r w:rsidRPr="00D61F73">
        <w:rPr>
          <w:rFonts w:ascii="Arial" w:hAnsi="Arial" w:cs="Arial"/>
        </w:rPr>
        <w:t xml:space="preserve"> </w:t>
      </w:r>
    </w:p>
    <w:p w14:paraId="1AFF2CDC" w14:textId="77777777" w:rsidR="008D0565" w:rsidRPr="00D61F73" w:rsidRDefault="008D0565" w:rsidP="00D61F73">
      <w:pPr>
        <w:pStyle w:val="NormalWeb"/>
        <w:spacing w:before="0" w:beforeAutospacing="0" w:after="0" w:afterAutospacing="0"/>
        <w:rPr>
          <w:rFonts w:ascii="Arial" w:hAnsi="Arial" w:cs="Arial"/>
        </w:rPr>
      </w:pPr>
    </w:p>
    <w:p w14:paraId="4A68B2C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2D9FB212"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bookmarkStart w:id="867" w:name="Lang"/>
      <w:r w:rsidR="001B52CF" w:rsidRPr="00D61F73" w:rsidDel="001B52CF">
        <w:rPr>
          <w:rFonts w:ascii="Arial" w:hAnsi="Arial" w:cs="Arial"/>
          <w:b/>
          <w:bCs/>
        </w:rPr>
        <w:lastRenderedPageBreak/>
        <w:t xml:space="preserve"> </w:t>
      </w:r>
      <w:bookmarkEnd w:id="867"/>
      <w:r w:rsidRPr="00D61F73">
        <w:rPr>
          <w:rFonts w:ascii="Arial" w:hAnsi="Arial" w:cs="Arial"/>
          <w:b/>
        </w:rPr>
        <w:t>L</w:t>
      </w:r>
      <w:bookmarkStart w:id="868" w:name="Lang2010a"/>
      <w:bookmarkEnd w:id="868"/>
      <w:r w:rsidRPr="00D61F73">
        <w:rPr>
          <w:rFonts w:ascii="Arial" w:hAnsi="Arial" w:cs="Arial"/>
          <w:b/>
        </w:rPr>
        <w:t xml:space="preserve">ang AE, Chen R. Dystonia in complex regional pain syndrome type I. </w:t>
      </w:r>
      <w:r w:rsidRPr="00D61F73">
        <w:rPr>
          <w:rFonts w:ascii="Arial" w:hAnsi="Arial" w:cs="Arial"/>
          <w:b/>
          <w:i/>
        </w:rPr>
        <w:t>Ann Neurol</w:t>
      </w:r>
      <w:r w:rsidRPr="00D61F73">
        <w:rPr>
          <w:rFonts w:ascii="Arial" w:hAnsi="Arial" w:cs="Arial"/>
          <w:b/>
        </w:rPr>
        <w:t>. 2010;67:412-4.</w:t>
      </w:r>
    </w:p>
    <w:p w14:paraId="627F2957" w14:textId="77777777" w:rsidR="008D0565" w:rsidRPr="00D61F73" w:rsidRDefault="008D0565" w:rsidP="00D61F73">
      <w:pPr>
        <w:rPr>
          <w:rFonts w:ascii="Arial" w:hAnsi="Arial" w:cs="Arial"/>
        </w:rPr>
      </w:pPr>
    </w:p>
    <w:p w14:paraId="4361CF6A" w14:textId="77777777" w:rsidR="008D0565" w:rsidRPr="00D61F73" w:rsidRDefault="008D0565" w:rsidP="00D61F73">
      <w:pPr>
        <w:rPr>
          <w:rFonts w:ascii="Arial" w:hAnsi="Arial" w:cs="Arial"/>
        </w:rPr>
      </w:pPr>
      <w:r w:rsidRPr="00D61F73">
        <w:rPr>
          <w:rFonts w:ascii="Arial" w:hAnsi="Arial" w:cs="Arial"/>
        </w:rPr>
        <w:t xml:space="preserve">PMID: </w:t>
      </w:r>
      <w:hyperlink r:id="rId556" w:history="1">
        <w:r w:rsidRPr="00D61F73">
          <w:rPr>
            <w:rStyle w:val="Hyperlink"/>
            <w:rFonts w:ascii="Arial" w:hAnsi="Arial" w:cs="Arial"/>
          </w:rPr>
          <w:t>20373359</w:t>
        </w:r>
      </w:hyperlink>
    </w:p>
    <w:p w14:paraId="1A5EE310" w14:textId="77777777" w:rsidR="008D0565" w:rsidRPr="00D61F73" w:rsidRDefault="008D0565" w:rsidP="00D61F73">
      <w:pPr>
        <w:rPr>
          <w:rFonts w:ascii="Arial" w:hAnsi="Arial" w:cs="Arial"/>
        </w:rPr>
      </w:pPr>
    </w:p>
    <w:p w14:paraId="45399037" w14:textId="77777777" w:rsidR="008D0565" w:rsidRPr="00D61F73" w:rsidRDefault="008D0565" w:rsidP="00D61F73">
      <w:pPr>
        <w:rPr>
          <w:rFonts w:ascii="Arial" w:hAnsi="Arial" w:cs="Arial"/>
        </w:rPr>
      </w:pPr>
      <w:r w:rsidRPr="00D61F73">
        <w:rPr>
          <w:rFonts w:ascii="Arial" w:hAnsi="Arial" w:cs="Arial"/>
        </w:rPr>
        <w:t>An unstructured review discussing the pathogenesis of dystonia in CRPS including the possibility of that this is psychogenic.</w:t>
      </w:r>
    </w:p>
    <w:p w14:paraId="4C5E58AF" w14:textId="77777777" w:rsidR="008D0565" w:rsidRPr="00D61F73" w:rsidRDefault="008D0565" w:rsidP="00D61F73">
      <w:pPr>
        <w:rPr>
          <w:rFonts w:ascii="Arial" w:hAnsi="Arial" w:cs="Arial"/>
        </w:rPr>
      </w:pPr>
    </w:p>
    <w:p w14:paraId="5A7D0F15" w14:textId="77777777" w:rsidR="008D0565" w:rsidRPr="00D61F73" w:rsidRDefault="008D0565" w:rsidP="00D61F73">
      <w:pPr>
        <w:rPr>
          <w:rFonts w:ascii="Arial" w:hAnsi="Arial" w:cs="Arial"/>
        </w:rPr>
      </w:pPr>
      <w:r w:rsidRPr="00D61F73">
        <w:rPr>
          <w:rFonts w:ascii="Arial" w:hAnsi="Arial" w:cs="Arial"/>
        </w:rPr>
        <w:t>Rating: 5c</w:t>
      </w:r>
    </w:p>
    <w:p w14:paraId="0AB88CD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69" w:name="Lange2010"/>
      <w:bookmarkEnd w:id="869"/>
      <w:r w:rsidRPr="00D61F73">
        <w:rPr>
          <w:rFonts w:ascii="Arial" w:hAnsi="Arial" w:cs="Arial"/>
          <w:b/>
          <w:bCs/>
        </w:rPr>
        <w:t xml:space="preserve">ange B, Kuperwasser B, Okamoto A, Steup A, Häufel T, Ashworth J, Etropolski M. Efficacy and safety of tapentadol prolonged release for chronic osteoarthritis pain and low back pain. </w:t>
      </w:r>
      <w:r w:rsidRPr="00D61F73">
        <w:rPr>
          <w:rFonts w:ascii="Arial" w:hAnsi="Arial" w:cs="Arial"/>
          <w:b/>
          <w:bCs/>
          <w:i/>
          <w:iCs/>
        </w:rPr>
        <w:t>Adv Ther</w:t>
      </w:r>
      <w:r w:rsidRPr="00D61F73">
        <w:rPr>
          <w:rFonts w:ascii="Arial" w:hAnsi="Arial" w:cs="Arial"/>
          <w:b/>
          <w:bCs/>
        </w:rPr>
        <w:t>. 2010 Jun;27(6):381-99. Epub 2010 Jun 11.</w:t>
      </w:r>
    </w:p>
    <w:p w14:paraId="650009BE" w14:textId="77777777" w:rsidR="008D0565" w:rsidRPr="00D61F73" w:rsidRDefault="008D0565" w:rsidP="00D61F73">
      <w:pPr>
        <w:rPr>
          <w:rFonts w:ascii="Arial" w:hAnsi="Arial" w:cs="Arial"/>
        </w:rPr>
      </w:pPr>
    </w:p>
    <w:p w14:paraId="4D829E9B" w14:textId="77777777" w:rsidR="008D0565" w:rsidRPr="00D61F73" w:rsidRDefault="008D0565" w:rsidP="00D61F73">
      <w:pPr>
        <w:rPr>
          <w:rFonts w:ascii="Arial" w:hAnsi="Arial" w:cs="Arial"/>
        </w:rPr>
      </w:pPr>
      <w:r w:rsidRPr="00D61F73">
        <w:rPr>
          <w:rFonts w:ascii="Arial" w:hAnsi="Arial" w:cs="Arial"/>
        </w:rPr>
        <w:t>Tapentadol was efficacious and provided efficacy that was similar to oxycodone for the management of chronic osteoarthritis knee and low back pain, with a superior gastrointestinal tolerability profile and fewer treatment discontinuations.</w:t>
      </w:r>
    </w:p>
    <w:p w14:paraId="270B7F52" w14:textId="77777777" w:rsidR="008D0565" w:rsidRPr="00D61F73" w:rsidRDefault="008D0565" w:rsidP="00D61F73">
      <w:pPr>
        <w:rPr>
          <w:rFonts w:ascii="Arial" w:hAnsi="Arial" w:cs="Arial"/>
        </w:rPr>
      </w:pPr>
    </w:p>
    <w:p w14:paraId="7F202C8D" w14:textId="77777777" w:rsidR="008D0565" w:rsidRPr="00D61F73" w:rsidRDefault="008D0565" w:rsidP="00D61F73">
      <w:pPr>
        <w:rPr>
          <w:rFonts w:ascii="Arial" w:hAnsi="Arial" w:cs="Arial"/>
        </w:rPr>
      </w:pPr>
      <w:r w:rsidRPr="00D61F73">
        <w:rPr>
          <w:rFonts w:ascii="Arial" w:hAnsi="Arial" w:cs="Arial"/>
        </w:rPr>
        <w:t xml:space="preserve">PMID: </w:t>
      </w:r>
      <w:hyperlink r:id="rId557" w:history="1">
        <w:r w:rsidRPr="00D61F73">
          <w:rPr>
            <w:rStyle w:val="Hyperlink"/>
            <w:rFonts w:ascii="Arial" w:hAnsi="Arial" w:cs="Arial"/>
          </w:rPr>
          <w:t>20556560</w:t>
        </w:r>
      </w:hyperlink>
      <w:r w:rsidRPr="00D61F73">
        <w:rPr>
          <w:rFonts w:ascii="Arial" w:hAnsi="Arial" w:cs="Arial"/>
        </w:rPr>
        <w:t xml:space="preserve"> </w:t>
      </w:r>
    </w:p>
    <w:p w14:paraId="105A0D2B" w14:textId="77777777" w:rsidR="008D0565" w:rsidRPr="00D61F73" w:rsidRDefault="008D0565" w:rsidP="00D61F73">
      <w:pPr>
        <w:rPr>
          <w:rFonts w:ascii="Arial" w:hAnsi="Arial" w:cs="Arial"/>
        </w:rPr>
      </w:pPr>
    </w:p>
    <w:p w14:paraId="69B7EC7B" w14:textId="77777777" w:rsidR="008D0565" w:rsidRPr="00D61F73" w:rsidRDefault="008D0565" w:rsidP="00D61F73">
      <w:pPr>
        <w:rPr>
          <w:rFonts w:ascii="Arial" w:hAnsi="Arial" w:cs="Arial"/>
        </w:rPr>
      </w:pPr>
      <w:r w:rsidRPr="00D61F73">
        <w:rPr>
          <w:rFonts w:ascii="Arial" w:hAnsi="Arial" w:cs="Arial"/>
        </w:rPr>
        <w:t>Rating: 2a</w:t>
      </w:r>
    </w:p>
    <w:p w14:paraId="4FF81DEC" w14:textId="77777777" w:rsidR="008D0565" w:rsidRPr="00D61F73" w:rsidRDefault="008D0565" w:rsidP="00D61F73">
      <w:pPr>
        <w:rPr>
          <w:rFonts w:ascii="Arial" w:hAnsi="Arial" w:cs="Arial"/>
        </w:rPr>
      </w:pPr>
    </w:p>
    <w:p w14:paraId="7CA0CE8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70" w:name="Lange2011"/>
      <w:bookmarkEnd w:id="870"/>
      <w:r w:rsidRPr="00D61F73">
        <w:rPr>
          <w:rFonts w:ascii="Arial" w:hAnsi="Arial" w:cs="Arial"/>
          <w:b/>
          <w:bCs/>
        </w:rPr>
        <w:t xml:space="preserve">ange G, Janal MN, Maniker A, Fitzgibbons J, Fobler M, Cook D, Natelson BH. Safety and Efficacy of Vagus Nerve Stimulation in Fibromyalgia: A Phase I/II Proof of Concept Trial. </w:t>
      </w:r>
      <w:r w:rsidRPr="00D61F73">
        <w:rPr>
          <w:rFonts w:ascii="Arial" w:hAnsi="Arial" w:cs="Arial"/>
          <w:b/>
          <w:bCs/>
          <w:i/>
          <w:iCs/>
        </w:rPr>
        <w:t>Pain Med</w:t>
      </w:r>
      <w:r w:rsidRPr="00D61F73">
        <w:rPr>
          <w:rFonts w:ascii="Arial" w:hAnsi="Arial" w:cs="Arial"/>
          <w:b/>
          <w:bCs/>
        </w:rPr>
        <w:t>. 2011 Sep;12(9):1406-1413. Epub 2011 Aug 3.</w:t>
      </w:r>
    </w:p>
    <w:p w14:paraId="401F4105" w14:textId="77777777" w:rsidR="008D0565" w:rsidRPr="00D61F73" w:rsidRDefault="008D0565" w:rsidP="00D61F73">
      <w:pPr>
        <w:rPr>
          <w:rFonts w:ascii="Arial" w:hAnsi="Arial" w:cs="Arial"/>
        </w:rPr>
      </w:pPr>
    </w:p>
    <w:p w14:paraId="0A0E36F5" w14:textId="77777777" w:rsidR="008D0565" w:rsidRPr="00D61F73" w:rsidRDefault="008D0565" w:rsidP="00D61F73">
      <w:pPr>
        <w:rPr>
          <w:rFonts w:ascii="Arial" w:hAnsi="Arial" w:cs="Arial"/>
        </w:rPr>
      </w:pPr>
      <w:r w:rsidRPr="00D61F73">
        <w:rPr>
          <w:rFonts w:ascii="Arial" w:hAnsi="Arial" w:cs="Arial"/>
        </w:rPr>
        <w:t>Preliminary outcome measures suggested that VNS may be a useful adjunct treatment for FM patients resistant to conventional therapeutic management, but further research is required to better understand its actual role in the treatment of FM.</w:t>
      </w:r>
    </w:p>
    <w:p w14:paraId="5E5F1C2F" w14:textId="77777777" w:rsidR="008D0565" w:rsidRPr="00D61F73" w:rsidRDefault="008D0565" w:rsidP="00D61F73">
      <w:pPr>
        <w:rPr>
          <w:rFonts w:ascii="Arial" w:hAnsi="Arial" w:cs="Arial"/>
        </w:rPr>
      </w:pPr>
    </w:p>
    <w:p w14:paraId="01C92659" w14:textId="77777777" w:rsidR="008D0565" w:rsidRPr="00D61F73" w:rsidRDefault="008D0565" w:rsidP="00D61F73">
      <w:pPr>
        <w:rPr>
          <w:rFonts w:ascii="Arial" w:hAnsi="Arial" w:cs="Arial"/>
        </w:rPr>
      </w:pPr>
      <w:r w:rsidRPr="00D61F73">
        <w:rPr>
          <w:rFonts w:ascii="Arial" w:hAnsi="Arial" w:cs="Arial"/>
        </w:rPr>
        <w:t xml:space="preserve">PMID: </w:t>
      </w:r>
      <w:hyperlink r:id="rId558" w:history="1">
        <w:r w:rsidRPr="00D61F73">
          <w:rPr>
            <w:rStyle w:val="Hyperlink"/>
            <w:rFonts w:ascii="Arial" w:hAnsi="Arial" w:cs="Arial"/>
          </w:rPr>
          <w:t>21812908</w:t>
        </w:r>
      </w:hyperlink>
      <w:r w:rsidRPr="00D61F73">
        <w:rPr>
          <w:rFonts w:ascii="Arial" w:hAnsi="Arial" w:cs="Arial"/>
        </w:rPr>
        <w:t xml:space="preserve"> </w:t>
      </w:r>
    </w:p>
    <w:p w14:paraId="1CD0CDB2" w14:textId="77777777" w:rsidR="008D0565" w:rsidRPr="00D61F73" w:rsidRDefault="008D0565" w:rsidP="00D61F73">
      <w:pPr>
        <w:rPr>
          <w:rFonts w:ascii="Arial" w:hAnsi="Arial" w:cs="Arial"/>
        </w:rPr>
      </w:pPr>
    </w:p>
    <w:p w14:paraId="116FE356" w14:textId="77777777" w:rsidR="008D0565" w:rsidRPr="00D61F73" w:rsidRDefault="008D0565" w:rsidP="00D61F73">
      <w:pPr>
        <w:rPr>
          <w:rFonts w:ascii="Arial" w:hAnsi="Arial" w:cs="Arial"/>
        </w:rPr>
      </w:pPr>
      <w:r w:rsidRPr="00D61F73">
        <w:rPr>
          <w:rFonts w:ascii="Arial" w:hAnsi="Arial" w:cs="Arial"/>
        </w:rPr>
        <w:t>Rating: 4c</w:t>
      </w:r>
    </w:p>
    <w:p w14:paraId="0C71112B" w14:textId="77777777" w:rsidR="006D673C" w:rsidRPr="00D61F73" w:rsidRDefault="006D673C" w:rsidP="00D61F73">
      <w:pPr>
        <w:tabs>
          <w:tab w:val="left" w:pos="7200"/>
        </w:tabs>
        <w:rPr>
          <w:rFonts w:ascii="Arial" w:hAnsi="Arial" w:cs="Arial"/>
        </w:rPr>
      </w:pPr>
    </w:p>
    <w:p w14:paraId="68AC5790" w14:textId="77777777" w:rsidR="006D673C" w:rsidRPr="00D61F73" w:rsidRDefault="006D673C" w:rsidP="00D61F73">
      <w:pPr>
        <w:tabs>
          <w:tab w:val="left" w:pos="7200"/>
        </w:tabs>
        <w:rPr>
          <w:rFonts w:ascii="Arial" w:hAnsi="Arial" w:cs="Arial"/>
        </w:rPr>
      </w:pPr>
      <w:r w:rsidRPr="00D61F73">
        <w:rPr>
          <w:rFonts w:ascii="Arial" w:hAnsi="Arial" w:cs="Arial"/>
        </w:rPr>
        <w:br w:type="page"/>
      </w:r>
      <w:bookmarkStart w:id="871" w:name="Lasco2012"/>
      <w:bookmarkEnd w:id="871"/>
      <w:r w:rsidRPr="00D61F73">
        <w:rPr>
          <w:rFonts w:ascii="Arial" w:hAnsi="Arial" w:cs="Arial"/>
          <w:b/>
          <w:bCs/>
        </w:rPr>
        <w:lastRenderedPageBreak/>
        <w:t>Lasco A, Catalano A, Benvenga S. Improvement of Primary Dysmenorrhea Caused by a Single Oral Dose of Vitamin D: Results of a Randomized, Double-blind, Placebo-Controlled Study. </w:t>
      </w:r>
      <w:r w:rsidRPr="00D61F73">
        <w:rPr>
          <w:rFonts w:ascii="Arial" w:hAnsi="Arial" w:cs="Arial"/>
          <w:b/>
          <w:bCs/>
          <w:i/>
          <w:iCs/>
        </w:rPr>
        <w:t>Arch Intern Med.</w:t>
      </w:r>
      <w:r w:rsidRPr="00D61F73">
        <w:rPr>
          <w:rFonts w:ascii="Arial" w:hAnsi="Arial" w:cs="Arial"/>
          <w:b/>
          <w:bCs/>
        </w:rPr>
        <w:t> 2012;172(4):366-367. doi:10.1001/archinternmed.2011.715</w:t>
      </w:r>
    </w:p>
    <w:p w14:paraId="36A83150" w14:textId="77777777" w:rsidR="006D673C" w:rsidRPr="00D61F73" w:rsidRDefault="006D673C" w:rsidP="00D61F73">
      <w:pPr>
        <w:tabs>
          <w:tab w:val="left" w:pos="7200"/>
        </w:tabs>
        <w:rPr>
          <w:rFonts w:ascii="Arial" w:hAnsi="Arial" w:cs="Arial"/>
        </w:rPr>
      </w:pPr>
      <w:r w:rsidRPr="00D61F73">
        <w:rPr>
          <w:rFonts w:ascii="Arial" w:hAnsi="Arial" w:cs="Arial"/>
        </w:rPr>
        <w:t> </w:t>
      </w:r>
    </w:p>
    <w:p w14:paraId="6D78A985" w14:textId="77777777" w:rsidR="006D673C" w:rsidRPr="00D61F73" w:rsidRDefault="006D673C" w:rsidP="00D61F73">
      <w:pPr>
        <w:tabs>
          <w:tab w:val="left" w:pos="7200"/>
        </w:tabs>
        <w:rPr>
          <w:rFonts w:ascii="Arial" w:hAnsi="Arial" w:cs="Arial"/>
        </w:rPr>
      </w:pPr>
      <w:r w:rsidRPr="00D61F73">
        <w:rPr>
          <w:rFonts w:ascii="Arial" w:hAnsi="Arial" w:cs="Arial"/>
        </w:rPr>
        <w:t>The study included 40 women aged 18 to 40 years who had experienced at least 4 consecutive painful menstrual periods in the past 6 months and had a 25(OH)D serum level below the upper limit of the lowest quartile (&lt;45 ng/mL). They were not taking calcium, vitamin D, oral contraceptives, or other medications, and they had not used an intrauterine contraceptive device during the previous 6 months.</w:t>
      </w:r>
    </w:p>
    <w:p w14:paraId="490C3CE4" w14:textId="77777777" w:rsidR="006D673C" w:rsidRPr="00D61F73" w:rsidRDefault="006D673C" w:rsidP="00D61F73">
      <w:pPr>
        <w:tabs>
          <w:tab w:val="left" w:pos="7200"/>
        </w:tabs>
        <w:rPr>
          <w:rFonts w:ascii="Arial" w:hAnsi="Arial" w:cs="Arial"/>
        </w:rPr>
      </w:pPr>
      <w:r w:rsidRPr="00D61F73">
        <w:rPr>
          <w:rFonts w:ascii="Arial" w:hAnsi="Arial" w:cs="Arial"/>
        </w:rPr>
        <w:t> </w:t>
      </w:r>
    </w:p>
    <w:p w14:paraId="7588CE1E" w14:textId="77777777" w:rsidR="006D595A" w:rsidRPr="00D61F73" w:rsidRDefault="006D595A" w:rsidP="00D61F73">
      <w:pPr>
        <w:tabs>
          <w:tab w:val="left" w:pos="7200"/>
        </w:tabs>
        <w:rPr>
          <w:rFonts w:ascii="Arial" w:hAnsi="Arial" w:cs="Arial"/>
        </w:rPr>
      </w:pPr>
      <w:r w:rsidRPr="00D61F73">
        <w:rPr>
          <w:rFonts w:ascii="Arial" w:hAnsi="Arial" w:cs="Arial"/>
        </w:rPr>
        <w:t xml:space="preserve">PMID: </w:t>
      </w:r>
      <w:hyperlink r:id="rId559" w:history="1">
        <w:r w:rsidRPr="00D61F73">
          <w:rPr>
            <w:rStyle w:val="Hyperlink"/>
            <w:rFonts w:ascii="Arial" w:hAnsi="Arial" w:cs="Arial"/>
          </w:rPr>
          <w:t>22371927</w:t>
        </w:r>
      </w:hyperlink>
    </w:p>
    <w:p w14:paraId="1C584631" w14:textId="77777777" w:rsidR="006D595A" w:rsidRPr="00D61F73" w:rsidRDefault="006D595A" w:rsidP="00D61F73">
      <w:pPr>
        <w:tabs>
          <w:tab w:val="left" w:pos="7200"/>
        </w:tabs>
        <w:rPr>
          <w:rFonts w:ascii="Arial" w:hAnsi="Arial" w:cs="Arial"/>
        </w:rPr>
      </w:pPr>
    </w:p>
    <w:p w14:paraId="018991DB" w14:textId="77777777" w:rsidR="006D673C" w:rsidRPr="00D61F73" w:rsidRDefault="006D673C" w:rsidP="00D61F73">
      <w:pPr>
        <w:tabs>
          <w:tab w:val="left" w:pos="7200"/>
        </w:tabs>
        <w:rPr>
          <w:rFonts w:ascii="Arial" w:hAnsi="Arial" w:cs="Arial"/>
        </w:rPr>
      </w:pPr>
      <w:r w:rsidRPr="00D61F73">
        <w:rPr>
          <w:rFonts w:ascii="Arial" w:hAnsi="Arial" w:cs="Arial"/>
        </w:rPr>
        <w:t>Rating: 2b</w:t>
      </w:r>
    </w:p>
    <w:p w14:paraId="15AD400D" w14:textId="77777777" w:rsidR="008D0565" w:rsidRPr="00D61F73" w:rsidRDefault="008D0565" w:rsidP="00D61F73">
      <w:pPr>
        <w:tabs>
          <w:tab w:val="left" w:pos="7200"/>
        </w:tabs>
        <w:rPr>
          <w:rFonts w:ascii="Arial" w:eastAsia="Calibri" w:hAnsi="Arial" w:cs="Arial"/>
          <w:b/>
        </w:rPr>
      </w:pPr>
      <w:r w:rsidRPr="00D61F73">
        <w:rPr>
          <w:rFonts w:ascii="Arial" w:hAnsi="Arial" w:cs="Arial"/>
        </w:rPr>
        <w:br w:type="page"/>
      </w:r>
      <w:r w:rsidRPr="00D61F73">
        <w:rPr>
          <w:rFonts w:ascii="Arial" w:hAnsi="Arial" w:cs="Arial"/>
        </w:rPr>
        <w:lastRenderedPageBreak/>
        <w:t xml:space="preserve"> </w:t>
      </w:r>
      <w:hyperlink r:id="rId560" w:history="1">
        <w:r w:rsidRPr="00D61F73">
          <w:rPr>
            <w:rStyle w:val="Hyperlink"/>
            <w:rFonts w:ascii="Arial" w:hAnsi="Arial" w:cs="Arial"/>
            <w:b/>
          </w:rPr>
          <w:t>L</w:t>
        </w:r>
        <w:bookmarkStart w:id="872" w:name="Lechat2010"/>
        <w:bookmarkEnd w:id="872"/>
        <w:r w:rsidRPr="00D61F73">
          <w:rPr>
            <w:rStyle w:val="Hyperlink"/>
            <w:rFonts w:ascii="Arial" w:hAnsi="Arial" w:cs="Arial"/>
            <w:b/>
          </w:rPr>
          <w:t>echat P, Slanar O.</w:t>
        </w:r>
      </w:hyperlink>
      <w:r w:rsidRPr="00D61F73">
        <w:rPr>
          <w:rFonts w:ascii="Arial" w:hAnsi="Arial" w:cs="Arial"/>
          <w:b/>
        </w:rPr>
        <w:t xml:space="preserve"> Ketoprofen Topical. European Medicines Agency. 2010. </w:t>
      </w:r>
    </w:p>
    <w:p w14:paraId="327EDCC2" w14:textId="77777777" w:rsidR="008D0565" w:rsidRPr="00D61F73" w:rsidRDefault="008D0565" w:rsidP="00D61F73">
      <w:pPr>
        <w:tabs>
          <w:tab w:val="left" w:pos="7200"/>
        </w:tabs>
        <w:rPr>
          <w:rFonts w:ascii="Arial" w:eastAsia="Calibri" w:hAnsi="Arial" w:cs="Arial"/>
        </w:rPr>
      </w:pPr>
    </w:p>
    <w:p w14:paraId="47E7DFFF" w14:textId="77777777" w:rsidR="008D0565" w:rsidRPr="00D61F73" w:rsidRDefault="008D0565" w:rsidP="00D61F73">
      <w:pPr>
        <w:rPr>
          <w:rFonts w:ascii="Arial" w:hAnsi="Arial" w:cs="Arial"/>
        </w:rPr>
      </w:pPr>
      <w:r w:rsidRPr="00D61F73">
        <w:rPr>
          <w:rFonts w:ascii="Arial" w:hAnsi="Arial" w:cs="Arial"/>
        </w:rPr>
        <w:t>This is a discussion of the use of topical ketoprofen, including risk-benefit in Europe.</w:t>
      </w:r>
    </w:p>
    <w:p w14:paraId="25890FD8" w14:textId="77777777" w:rsidR="008D0565" w:rsidRPr="00D61F73" w:rsidRDefault="008D0565" w:rsidP="00D61F73">
      <w:pPr>
        <w:rPr>
          <w:rFonts w:ascii="Arial" w:hAnsi="Arial" w:cs="Arial"/>
        </w:rPr>
      </w:pPr>
    </w:p>
    <w:p w14:paraId="1631974E" w14:textId="77777777" w:rsidR="008D0565" w:rsidRPr="00D61F73" w:rsidRDefault="008D0565" w:rsidP="00D61F73">
      <w:pPr>
        <w:rPr>
          <w:rFonts w:ascii="Arial" w:hAnsi="Arial" w:cs="Arial"/>
        </w:rPr>
      </w:pPr>
      <w:r w:rsidRPr="00D61F73">
        <w:rPr>
          <w:rFonts w:ascii="Arial" w:hAnsi="Arial" w:cs="Arial"/>
        </w:rPr>
        <w:t>Rating: 8a</w:t>
      </w:r>
    </w:p>
    <w:p w14:paraId="078649E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73" w:name="Lederman2011"/>
      <w:bookmarkEnd w:id="873"/>
      <w:r w:rsidRPr="00D61F73">
        <w:rPr>
          <w:rFonts w:ascii="Arial" w:hAnsi="Arial" w:cs="Arial"/>
          <w:b/>
          <w:bCs/>
        </w:rPr>
        <w:t xml:space="preserve">ederman S, Moldofsky H, Harris HW, Archambault WT, Kwong T. Effects of Bedtime Very Low Dose Cyclobenzaprine on Symptoms and Sleep Physiology in Patients with Fibromyalgia Syndrome: A Double-blind Randomized Placebo-controlled Study. </w:t>
      </w:r>
      <w:r w:rsidRPr="00D61F73">
        <w:rPr>
          <w:rFonts w:ascii="Arial" w:hAnsi="Arial" w:cs="Arial"/>
          <w:b/>
          <w:bCs/>
          <w:i/>
          <w:iCs/>
        </w:rPr>
        <w:t>J Rheumatol.</w:t>
      </w:r>
      <w:r w:rsidRPr="00D61F73">
        <w:rPr>
          <w:rFonts w:ascii="Arial" w:hAnsi="Arial" w:cs="Arial"/>
          <w:b/>
          <w:bCs/>
        </w:rPr>
        <w:t xml:space="preserve"> 2011 Sep 1. [Epub ahead of print]</w:t>
      </w:r>
    </w:p>
    <w:p w14:paraId="45CDF018" w14:textId="77777777" w:rsidR="008D0565" w:rsidRPr="00D61F73" w:rsidRDefault="008D0565" w:rsidP="00D61F73">
      <w:pPr>
        <w:rPr>
          <w:rFonts w:ascii="Arial" w:hAnsi="Arial" w:cs="Arial"/>
        </w:rPr>
      </w:pPr>
    </w:p>
    <w:p w14:paraId="0880A602" w14:textId="77777777" w:rsidR="008D0565" w:rsidRPr="00D61F73" w:rsidRDefault="008D0565" w:rsidP="00D61F73">
      <w:pPr>
        <w:rPr>
          <w:rFonts w:ascii="Arial" w:hAnsi="Arial" w:cs="Arial"/>
        </w:rPr>
      </w:pPr>
      <w:r w:rsidRPr="00D61F73">
        <w:rPr>
          <w:rFonts w:ascii="Arial" w:hAnsi="Arial" w:cs="Arial"/>
        </w:rPr>
        <w:t xml:space="preserve">CONCLUSION: Bedtime VLD CBP treatment improved core FM symptoms. </w:t>
      </w:r>
    </w:p>
    <w:p w14:paraId="4A6D53AC" w14:textId="77777777" w:rsidR="008D0565" w:rsidRPr="00D61F73" w:rsidRDefault="008D0565" w:rsidP="00D61F73">
      <w:pPr>
        <w:rPr>
          <w:rFonts w:ascii="Arial" w:hAnsi="Arial" w:cs="Arial"/>
        </w:rPr>
      </w:pPr>
    </w:p>
    <w:p w14:paraId="5F2FC91F" w14:textId="77777777" w:rsidR="008D0565" w:rsidRPr="00D61F73" w:rsidRDefault="008D0565" w:rsidP="00D61F73">
      <w:pPr>
        <w:rPr>
          <w:rFonts w:ascii="Arial" w:hAnsi="Arial" w:cs="Arial"/>
        </w:rPr>
      </w:pPr>
      <w:r w:rsidRPr="00D61F73">
        <w:rPr>
          <w:rFonts w:ascii="Arial" w:hAnsi="Arial" w:cs="Arial"/>
        </w:rPr>
        <w:t xml:space="preserve">PMID: </w:t>
      </w:r>
      <w:hyperlink r:id="rId561" w:history="1">
        <w:r w:rsidRPr="00D61F73">
          <w:rPr>
            <w:rStyle w:val="Hyperlink"/>
            <w:rFonts w:ascii="Arial" w:hAnsi="Arial" w:cs="Arial"/>
          </w:rPr>
          <w:t>21885490</w:t>
        </w:r>
      </w:hyperlink>
    </w:p>
    <w:p w14:paraId="474389B8" w14:textId="77777777" w:rsidR="008D0565" w:rsidRPr="00D61F73" w:rsidRDefault="008D0565" w:rsidP="00D61F73">
      <w:pPr>
        <w:rPr>
          <w:rFonts w:ascii="Arial" w:hAnsi="Arial" w:cs="Arial"/>
        </w:rPr>
      </w:pPr>
    </w:p>
    <w:p w14:paraId="0507416C" w14:textId="77777777" w:rsidR="008D0565" w:rsidRPr="00D61F73" w:rsidRDefault="008D0565" w:rsidP="00D61F73">
      <w:pPr>
        <w:rPr>
          <w:rFonts w:ascii="Arial" w:hAnsi="Arial" w:cs="Arial"/>
        </w:rPr>
      </w:pPr>
      <w:r w:rsidRPr="00D61F73">
        <w:rPr>
          <w:rFonts w:ascii="Arial" w:hAnsi="Arial" w:cs="Arial"/>
        </w:rPr>
        <w:t>Rating: 2c</w:t>
      </w:r>
    </w:p>
    <w:p w14:paraId="02657D17"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 </w:t>
      </w:r>
    </w:p>
    <w:p w14:paraId="0A7C9F5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74" w:name="Lee"/>
      <w:bookmarkEnd w:id="874"/>
      <w:r w:rsidRPr="00D61F73">
        <w:rPr>
          <w:rFonts w:ascii="Arial" w:hAnsi="Arial" w:cs="Arial"/>
          <w:b/>
          <w:bCs/>
        </w:rPr>
        <w:t xml:space="preserve">ee DC. Sedative Hypnotic Agents. In: Goldfrank’s Toxicological Emergencies, 7th ed. 2002. McGraw-Hill. </w:t>
      </w:r>
    </w:p>
    <w:p w14:paraId="69F8B699" w14:textId="77777777" w:rsidR="008D0565" w:rsidRPr="00D61F73" w:rsidRDefault="008D0565" w:rsidP="00D61F73">
      <w:pPr>
        <w:rPr>
          <w:rFonts w:ascii="Arial" w:hAnsi="Arial" w:cs="Arial"/>
        </w:rPr>
      </w:pPr>
    </w:p>
    <w:p w14:paraId="05820A0E" w14:textId="77777777" w:rsidR="008D0565" w:rsidRPr="00D61F73" w:rsidRDefault="008D0565" w:rsidP="00D61F73">
      <w:pPr>
        <w:rPr>
          <w:rFonts w:ascii="Arial" w:hAnsi="Arial" w:cs="Arial"/>
        </w:rPr>
      </w:pPr>
      <w:r w:rsidRPr="00D61F73">
        <w:rPr>
          <w:rFonts w:ascii="Arial" w:hAnsi="Arial" w:cs="Arial"/>
        </w:rPr>
        <w:t>Rating: 9b</w:t>
      </w:r>
    </w:p>
    <w:p w14:paraId="68C876A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75" w:name="Lee2"/>
      <w:bookmarkEnd w:id="875"/>
      <w:r w:rsidRPr="00D61F73">
        <w:rPr>
          <w:rFonts w:ascii="Arial" w:hAnsi="Arial" w:cs="Arial"/>
          <w:b/>
          <w:bCs/>
        </w:rPr>
        <w:t xml:space="preserve">ee MS, Pittler MH, Ernst E. Internal Qigong for Pain Conditions: A Systematic Review. </w:t>
      </w:r>
      <w:r w:rsidRPr="00D61F73">
        <w:rPr>
          <w:rFonts w:ascii="Arial" w:hAnsi="Arial" w:cs="Arial"/>
          <w:b/>
          <w:bCs/>
          <w:i/>
          <w:iCs/>
        </w:rPr>
        <w:t>J Pain</w:t>
      </w:r>
      <w:r w:rsidRPr="00D61F73">
        <w:rPr>
          <w:rFonts w:ascii="Arial" w:hAnsi="Arial" w:cs="Arial"/>
          <w:b/>
          <w:bCs/>
        </w:rPr>
        <w:t>. 2009 Jun 24. [Epub ahead of print]</w:t>
      </w:r>
    </w:p>
    <w:p w14:paraId="6D7CCE04" w14:textId="77777777" w:rsidR="008D0565" w:rsidRPr="00D61F73" w:rsidRDefault="008D0565" w:rsidP="00D61F73">
      <w:pPr>
        <w:rPr>
          <w:rFonts w:ascii="Arial" w:hAnsi="Arial" w:cs="Arial"/>
        </w:rPr>
      </w:pPr>
    </w:p>
    <w:p w14:paraId="67F85820" w14:textId="77777777" w:rsidR="008D0565" w:rsidRPr="00D61F73" w:rsidRDefault="008D0565" w:rsidP="00D61F73">
      <w:pPr>
        <w:rPr>
          <w:rFonts w:ascii="Arial" w:hAnsi="Arial" w:cs="Arial"/>
        </w:rPr>
      </w:pPr>
      <w:r w:rsidRPr="00D61F73">
        <w:rPr>
          <w:rFonts w:ascii="Arial" w:hAnsi="Arial" w:cs="Arial"/>
        </w:rPr>
        <w:t xml:space="preserve">This review of controlled clinical trials focused on the effects of internal qigong, a self-directed energy healing intervention involving movement and meditation. Collectively, the existing trial evidence is not convincing enough to suggest that internal qigong is an effective modality for pain management. </w:t>
      </w:r>
    </w:p>
    <w:p w14:paraId="3D59BA63" w14:textId="77777777" w:rsidR="008D0565" w:rsidRPr="00D61F73" w:rsidRDefault="008D0565" w:rsidP="00D61F73">
      <w:pPr>
        <w:rPr>
          <w:rFonts w:ascii="Arial" w:hAnsi="Arial" w:cs="Arial"/>
        </w:rPr>
      </w:pPr>
    </w:p>
    <w:p w14:paraId="36503DFC" w14:textId="77777777" w:rsidR="008D0565" w:rsidRPr="00D61F73" w:rsidRDefault="008D0565" w:rsidP="00D61F73">
      <w:pPr>
        <w:rPr>
          <w:rFonts w:ascii="Arial" w:hAnsi="Arial" w:cs="Arial"/>
        </w:rPr>
      </w:pPr>
      <w:r w:rsidRPr="00D61F73">
        <w:rPr>
          <w:rFonts w:ascii="Arial" w:hAnsi="Arial" w:cs="Arial"/>
        </w:rPr>
        <w:t xml:space="preserve">PMID: </w:t>
      </w:r>
      <w:hyperlink r:id="rId562" w:history="1">
        <w:r w:rsidRPr="00D61F73">
          <w:rPr>
            <w:rStyle w:val="Hyperlink"/>
            <w:rFonts w:ascii="Arial" w:hAnsi="Arial" w:cs="Arial"/>
          </w:rPr>
          <w:t>19559656</w:t>
        </w:r>
      </w:hyperlink>
      <w:r w:rsidRPr="00D61F73">
        <w:rPr>
          <w:rFonts w:ascii="Arial" w:hAnsi="Arial" w:cs="Arial"/>
        </w:rPr>
        <w:t xml:space="preserve"> </w:t>
      </w:r>
    </w:p>
    <w:p w14:paraId="3F66B41B" w14:textId="77777777" w:rsidR="008D0565" w:rsidRPr="00D61F73" w:rsidRDefault="008D0565" w:rsidP="00D61F73">
      <w:pPr>
        <w:rPr>
          <w:rFonts w:ascii="Arial" w:hAnsi="Arial" w:cs="Arial"/>
        </w:rPr>
      </w:pPr>
    </w:p>
    <w:p w14:paraId="62183531" w14:textId="77777777" w:rsidR="008D0565" w:rsidRPr="00D61F73" w:rsidRDefault="008D0565" w:rsidP="00D61F73">
      <w:pPr>
        <w:rPr>
          <w:rFonts w:ascii="Arial" w:hAnsi="Arial" w:cs="Arial"/>
        </w:rPr>
      </w:pPr>
      <w:r w:rsidRPr="00D61F73">
        <w:rPr>
          <w:rFonts w:ascii="Arial" w:hAnsi="Arial" w:cs="Arial"/>
        </w:rPr>
        <w:t>Rating: 1c</w:t>
      </w:r>
    </w:p>
    <w:p w14:paraId="55BD7A48" w14:textId="77777777" w:rsidR="008D0565" w:rsidRPr="00D61F73" w:rsidRDefault="008D0565" w:rsidP="00D61F73">
      <w:pPr>
        <w:rPr>
          <w:rFonts w:ascii="Arial" w:eastAsia="Calibri" w:hAnsi="Arial" w:cs="Arial"/>
          <w:b/>
          <w:bCs/>
          <w:color w:val="auto"/>
        </w:rPr>
      </w:pPr>
      <w:r w:rsidRPr="00D61F73">
        <w:rPr>
          <w:rFonts w:ascii="Arial" w:hAnsi="Arial" w:cs="Arial"/>
        </w:rPr>
        <w:br w:type="page"/>
      </w:r>
      <w:r w:rsidRPr="00D61F73">
        <w:rPr>
          <w:rFonts w:ascii="Arial" w:hAnsi="Arial" w:cs="Arial"/>
          <w:b/>
          <w:bCs/>
        </w:rPr>
        <w:lastRenderedPageBreak/>
        <w:t>L</w:t>
      </w:r>
      <w:bookmarkStart w:id="876" w:name="Lee1995"/>
      <w:bookmarkEnd w:id="876"/>
      <w:r w:rsidRPr="00D61F73">
        <w:rPr>
          <w:rFonts w:ascii="Arial" w:hAnsi="Arial" w:cs="Arial"/>
          <w:b/>
          <w:bCs/>
        </w:rPr>
        <w:t xml:space="preserve">ee GW, Weeks PM. The role of bone scintigraphy in diagnosing reflex sympathetic dystrophy. </w:t>
      </w:r>
      <w:r w:rsidRPr="00D61F73">
        <w:rPr>
          <w:rFonts w:ascii="Arial" w:hAnsi="Arial" w:cs="Arial"/>
          <w:b/>
          <w:bCs/>
          <w:i/>
          <w:iCs/>
        </w:rPr>
        <w:t>J Hand Surg Am.</w:t>
      </w:r>
      <w:r w:rsidRPr="00D61F73">
        <w:rPr>
          <w:rFonts w:ascii="Arial" w:hAnsi="Arial" w:cs="Arial"/>
          <w:b/>
          <w:bCs/>
        </w:rPr>
        <w:t xml:space="preserve"> 1995 May;20(3):458-63.</w:t>
      </w:r>
    </w:p>
    <w:p w14:paraId="6109020F" w14:textId="77777777" w:rsidR="008D0565" w:rsidRPr="00D61F73" w:rsidRDefault="008D0565" w:rsidP="00D61F73">
      <w:pPr>
        <w:rPr>
          <w:rFonts w:ascii="Arial" w:eastAsia="Calibri" w:hAnsi="Arial" w:cs="Arial"/>
        </w:rPr>
      </w:pPr>
    </w:p>
    <w:p w14:paraId="31A0D47D"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563" w:history="1">
        <w:r w:rsidRPr="00D61F73">
          <w:rPr>
            <w:rStyle w:val="Hyperlink"/>
            <w:rFonts w:ascii="Arial" w:hAnsi="Arial" w:cs="Arial"/>
          </w:rPr>
          <w:t>7642927</w:t>
        </w:r>
      </w:hyperlink>
    </w:p>
    <w:p w14:paraId="02048D7D" w14:textId="77777777" w:rsidR="008D0565" w:rsidRPr="00D61F73" w:rsidRDefault="008D0565" w:rsidP="00D61F73">
      <w:pPr>
        <w:rPr>
          <w:rFonts w:ascii="Arial" w:eastAsia="Calibri" w:hAnsi="Arial" w:cs="Arial"/>
        </w:rPr>
      </w:pPr>
    </w:p>
    <w:p w14:paraId="03B4B23B" w14:textId="77777777" w:rsidR="008D0565" w:rsidRPr="00D61F73" w:rsidRDefault="008D0565" w:rsidP="00D61F73">
      <w:pPr>
        <w:rPr>
          <w:rFonts w:ascii="Arial" w:eastAsia="Calibri" w:hAnsi="Arial" w:cs="Arial"/>
        </w:rPr>
      </w:pPr>
      <w:r w:rsidRPr="00D61F73">
        <w:rPr>
          <w:rFonts w:ascii="Arial" w:hAnsi="Arial" w:cs="Arial"/>
        </w:rPr>
        <w:t xml:space="preserve">Rating: 5b </w:t>
      </w:r>
    </w:p>
    <w:p w14:paraId="46262F4B" w14:textId="77777777" w:rsidR="008D0565" w:rsidRPr="00D61F73" w:rsidRDefault="008D0565" w:rsidP="00D61F73">
      <w:pPr>
        <w:rPr>
          <w:rFonts w:ascii="Arial" w:hAnsi="Arial" w:cs="Arial"/>
        </w:rPr>
      </w:pPr>
      <w:r w:rsidRPr="00D61F73">
        <w:rPr>
          <w:rFonts w:ascii="Arial" w:hAnsi="Arial" w:cs="Arial"/>
        </w:rPr>
        <w:br w:type="page"/>
      </w:r>
      <w:bookmarkStart w:id="877" w:name="Levendoglu"/>
      <w:r w:rsidRPr="00D61F73">
        <w:rPr>
          <w:rFonts w:ascii="Arial" w:hAnsi="Arial" w:cs="Arial"/>
          <w:b/>
          <w:bCs/>
        </w:rPr>
        <w:lastRenderedPageBreak/>
        <w:t>Levendoglu</w:t>
      </w:r>
      <w:bookmarkEnd w:id="877"/>
      <w:r w:rsidRPr="00D61F73">
        <w:rPr>
          <w:rFonts w:ascii="Arial" w:hAnsi="Arial" w:cs="Arial"/>
          <w:b/>
          <w:bCs/>
        </w:rPr>
        <w:t xml:space="preserve"> F, Ogun CO, Ozerbil O, Ogun TC, Ugurlu H, Gabapentin is a first line drug for the treatment of neuropathic pain in spinal cord injury, </w:t>
      </w:r>
      <w:r w:rsidRPr="00D61F73">
        <w:rPr>
          <w:rFonts w:ascii="Arial" w:hAnsi="Arial" w:cs="Arial"/>
          <w:b/>
          <w:bCs/>
          <w:i/>
          <w:iCs/>
        </w:rPr>
        <w:t>Spine</w:t>
      </w:r>
      <w:r w:rsidRPr="00D61F73">
        <w:rPr>
          <w:rFonts w:ascii="Arial" w:hAnsi="Arial" w:cs="Arial"/>
          <w:b/>
          <w:bCs/>
        </w:rPr>
        <w:t>. 2004 Apr 16;29(7):743-51.</w:t>
      </w:r>
    </w:p>
    <w:p w14:paraId="41F12102" w14:textId="77777777" w:rsidR="008D0565" w:rsidRPr="00D61F73" w:rsidRDefault="008D0565" w:rsidP="00D61F73">
      <w:pPr>
        <w:rPr>
          <w:rFonts w:ascii="Arial" w:hAnsi="Arial" w:cs="Arial"/>
        </w:rPr>
      </w:pPr>
    </w:p>
    <w:p w14:paraId="5A8C334D" w14:textId="77777777" w:rsidR="008D0565" w:rsidRPr="00D61F73" w:rsidRDefault="008D0565" w:rsidP="00D61F73">
      <w:pPr>
        <w:rPr>
          <w:rFonts w:ascii="Arial" w:hAnsi="Arial" w:cs="Arial"/>
        </w:rPr>
      </w:pPr>
      <w:r w:rsidRPr="00D61F73">
        <w:rPr>
          <w:rFonts w:ascii="Arial" w:hAnsi="Arial" w:cs="Arial"/>
        </w:rPr>
        <w:t>CONCLUSIONS: Gabapentin can be added to the list of first-line medications for the treatment of chronic neuropathic pain in spinal cord injury patients. It is a promising new agent and offers advantages over currently available treatments.</w:t>
      </w:r>
    </w:p>
    <w:p w14:paraId="4F98E830" w14:textId="77777777" w:rsidR="008D0565" w:rsidRPr="00D61F73" w:rsidRDefault="008D0565" w:rsidP="00D61F73">
      <w:pPr>
        <w:rPr>
          <w:rFonts w:ascii="Arial" w:hAnsi="Arial" w:cs="Arial"/>
        </w:rPr>
      </w:pPr>
    </w:p>
    <w:p w14:paraId="381063C3" w14:textId="77777777" w:rsidR="008D0565" w:rsidRPr="00D61F73" w:rsidRDefault="008D0565" w:rsidP="00D61F73">
      <w:pPr>
        <w:rPr>
          <w:rFonts w:ascii="Arial" w:hAnsi="Arial" w:cs="Arial"/>
        </w:rPr>
      </w:pPr>
      <w:r w:rsidRPr="00D61F73">
        <w:rPr>
          <w:rFonts w:ascii="Arial" w:hAnsi="Arial" w:cs="Arial"/>
        </w:rPr>
        <w:t xml:space="preserve">PMID: </w:t>
      </w:r>
      <w:hyperlink r:id="rId564" w:history="1">
        <w:r w:rsidRPr="00D61F73">
          <w:rPr>
            <w:rStyle w:val="Hyperlink"/>
            <w:rFonts w:ascii="Arial" w:hAnsi="Arial" w:cs="Arial"/>
          </w:rPr>
          <w:t>15087796</w:t>
        </w:r>
      </w:hyperlink>
      <w:r w:rsidRPr="00D61F73">
        <w:rPr>
          <w:rFonts w:ascii="Arial" w:hAnsi="Arial" w:cs="Arial"/>
        </w:rPr>
        <w:t xml:space="preserve"> </w:t>
      </w:r>
    </w:p>
    <w:p w14:paraId="67D00003" w14:textId="77777777" w:rsidR="008D0565" w:rsidRPr="00D61F73" w:rsidRDefault="008D0565" w:rsidP="00D61F73">
      <w:pPr>
        <w:pStyle w:val="NormalWeb"/>
        <w:spacing w:before="0" w:beforeAutospacing="0" w:after="0" w:afterAutospacing="0"/>
        <w:rPr>
          <w:rFonts w:ascii="Arial" w:hAnsi="Arial" w:cs="Arial"/>
        </w:rPr>
      </w:pPr>
    </w:p>
    <w:p w14:paraId="319D5A9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7CA84098"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L</w:t>
      </w:r>
      <w:bookmarkStart w:id="878" w:name="Levran2012"/>
      <w:bookmarkEnd w:id="878"/>
      <w:r w:rsidRPr="00D61F73">
        <w:rPr>
          <w:rFonts w:ascii="Arial" w:hAnsi="Arial" w:cs="Arial"/>
          <w:b/>
        </w:rPr>
        <w:t xml:space="preserve">evran O, Yuferov V, Kreek MJ. The genetics of the opioid system and specific drug addictions. </w:t>
      </w:r>
      <w:r w:rsidRPr="00D61F73">
        <w:rPr>
          <w:rFonts w:ascii="Arial" w:hAnsi="Arial" w:cs="Arial"/>
          <w:b/>
          <w:i/>
          <w:iCs/>
        </w:rPr>
        <w:t>Hum Genet.</w:t>
      </w:r>
      <w:r w:rsidRPr="00D61F73">
        <w:rPr>
          <w:rFonts w:ascii="Arial" w:hAnsi="Arial" w:cs="Arial"/>
          <w:b/>
        </w:rPr>
        <w:t xml:space="preserve"> 2012;131:823-42.</w:t>
      </w:r>
    </w:p>
    <w:p w14:paraId="5DC2F1D7" w14:textId="77777777" w:rsidR="008D0565" w:rsidRPr="00D61F73" w:rsidRDefault="008D0565" w:rsidP="00D61F73">
      <w:pPr>
        <w:rPr>
          <w:rFonts w:ascii="Arial" w:eastAsia="Calibri" w:hAnsi="Arial" w:cs="Arial"/>
        </w:rPr>
      </w:pPr>
    </w:p>
    <w:p w14:paraId="1AC4B13B" w14:textId="77777777" w:rsidR="008D0565" w:rsidRPr="00D61F73" w:rsidRDefault="008D0565" w:rsidP="00D61F73">
      <w:pPr>
        <w:rPr>
          <w:rFonts w:ascii="Arial" w:hAnsi="Arial" w:cs="Arial"/>
        </w:rPr>
      </w:pPr>
      <w:r w:rsidRPr="00D61F73">
        <w:rPr>
          <w:rFonts w:ascii="Arial" w:hAnsi="Arial" w:cs="Arial"/>
        </w:rPr>
        <w:t xml:space="preserve">In this review, we will describe the genetics of the major genes of the opioid system (opioid receptors and their endogenous ligands) in connection to addiction to opioids, cocaine, alcohol and methamphetamines. Particular emphasis is given to association and functional studies of specific variants. </w:t>
      </w:r>
    </w:p>
    <w:p w14:paraId="06CFDC09" w14:textId="77777777" w:rsidR="008D0565" w:rsidRPr="00D61F73" w:rsidRDefault="008D0565" w:rsidP="00D61F73">
      <w:pPr>
        <w:rPr>
          <w:rFonts w:ascii="Arial" w:hAnsi="Arial" w:cs="Arial"/>
        </w:rPr>
      </w:pPr>
    </w:p>
    <w:p w14:paraId="6F38F033" w14:textId="77777777" w:rsidR="008D0565" w:rsidRPr="00D61F73" w:rsidRDefault="008D0565" w:rsidP="00D61F73">
      <w:pPr>
        <w:rPr>
          <w:rFonts w:ascii="Arial" w:hAnsi="Arial" w:cs="Arial"/>
        </w:rPr>
      </w:pPr>
      <w:r w:rsidRPr="00D61F73">
        <w:rPr>
          <w:rFonts w:ascii="Arial" w:hAnsi="Arial" w:cs="Arial"/>
        </w:rPr>
        <w:t xml:space="preserve">PMID: </w:t>
      </w:r>
      <w:hyperlink r:id="rId565" w:history="1">
        <w:r w:rsidRPr="00D61F73">
          <w:rPr>
            <w:rStyle w:val="Hyperlink"/>
            <w:rFonts w:ascii="Arial" w:hAnsi="Arial" w:cs="Arial"/>
          </w:rPr>
          <w:t>22547174</w:t>
        </w:r>
      </w:hyperlink>
    </w:p>
    <w:p w14:paraId="7663D7CC" w14:textId="77777777" w:rsidR="008D0565" w:rsidRPr="00D61F73" w:rsidRDefault="008D0565" w:rsidP="00D61F73">
      <w:pPr>
        <w:pStyle w:val="Footer"/>
        <w:tabs>
          <w:tab w:val="clear" w:pos="4320"/>
          <w:tab w:val="clear" w:pos="8640"/>
        </w:tabs>
        <w:rPr>
          <w:rFonts w:ascii="Arial" w:hAnsi="Arial" w:cs="Arial"/>
        </w:rPr>
      </w:pPr>
    </w:p>
    <w:p w14:paraId="6F5AB64D" w14:textId="77777777" w:rsidR="008D0565" w:rsidRPr="00D61F73" w:rsidRDefault="008D0565" w:rsidP="00D61F73">
      <w:pPr>
        <w:rPr>
          <w:rFonts w:ascii="Arial" w:hAnsi="Arial" w:cs="Arial"/>
        </w:rPr>
      </w:pPr>
      <w:r w:rsidRPr="00D61F73">
        <w:rPr>
          <w:rFonts w:ascii="Arial" w:hAnsi="Arial" w:cs="Arial"/>
        </w:rPr>
        <w:t>Rating: 1a</w:t>
      </w:r>
    </w:p>
    <w:p w14:paraId="0610984B"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i/>
        </w:rPr>
        <w:lastRenderedPageBreak/>
        <w:t>L</w:t>
      </w:r>
      <w:bookmarkStart w:id="879" w:name="LexiComp"/>
      <w:bookmarkEnd w:id="879"/>
      <w:r w:rsidRPr="00D61F73">
        <w:rPr>
          <w:rFonts w:ascii="Arial" w:hAnsi="Arial" w:cs="Arial"/>
          <w:b/>
          <w:i/>
        </w:rPr>
        <w:t>exi-Comp Inc</w:t>
      </w:r>
      <w:r w:rsidRPr="00D61F73">
        <w:rPr>
          <w:rFonts w:ascii="Arial" w:hAnsi="Arial" w:cs="Arial"/>
          <w:b/>
        </w:rPr>
        <w:t>. Lexi-Drugs Online</w:t>
      </w:r>
      <w:r w:rsidRPr="00D61F73">
        <w:rPr>
          <w:rFonts w:ascii="Arial" w:hAnsi="Arial" w:cs="Arial"/>
          <w:b/>
          <w:vertAlign w:val="superscript"/>
        </w:rPr>
        <w:t>TM</w:t>
      </w:r>
      <w:r w:rsidRPr="00D61F73">
        <w:rPr>
          <w:rFonts w:ascii="Arial" w:hAnsi="Arial" w:cs="Arial"/>
          <w:b/>
        </w:rPr>
        <w:t xml:space="preserve"> , Hudson, Ohio: Lexi-Comp, Inc. 2008.</w:t>
      </w:r>
    </w:p>
    <w:p w14:paraId="45AF3383" w14:textId="77777777" w:rsidR="008D0565" w:rsidRPr="00D61F73" w:rsidRDefault="008D0565" w:rsidP="00D61F73">
      <w:pPr>
        <w:rPr>
          <w:rFonts w:ascii="Arial" w:hAnsi="Arial" w:cs="Arial"/>
        </w:rPr>
      </w:pPr>
    </w:p>
    <w:p w14:paraId="6D580041" w14:textId="77777777" w:rsidR="008D0565" w:rsidRPr="00D61F73" w:rsidRDefault="008D0565" w:rsidP="00D61F73">
      <w:pPr>
        <w:rPr>
          <w:rFonts w:ascii="Arial" w:hAnsi="Arial" w:cs="Arial"/>
        </w:rPr>
      </w:pPr>
      <w:r w:rsidRPr="00D61F73">
        <w:rPr>
          <w:rFonts w:ascii="Arial" w:hAnsi="Arial" w:cs="Arial"/>
        </w:rPr>
        <w:t>Rating: 9a</w:t>
      </w:r>
    </w:p>
    <w:p w14:paraId="640EAB6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80" w:name="Li"/>
      <w:bookmarkEnd w:id="880"/>
      <w:r w:rsidRPr="00D61F73">
        <w:rPr>
          <w:rFonts w:ascii="Arial" w:hAnsi="Arial" w:cs="Arial"/>
          <w:b/>
          <w:bCs/>
        </w:rPr>
        <w:t>i Z, Smith BP, Smith TL, Koman LA. Diagnosis and management of complex regional pain syndrome complicating upper extremity recovery. J Hand Ther. 2005 Apr-Jun;18(2):270-6.</w:t>
      </w:r>
    </w:p>
    <w:p w14:paraId="21D1AC7D" w14:textId="77777777" w:rsidR="008D0565" w:rsidRPr="00D61F73" w:rsidRDefault="008D0565" w:rsidP="00D61F73">
      <w:pPr>
        <w:rPr>
          <w:rFonts w:ascii="Arial" w:hAnsi="Arial" w:cs="Arial"/>
        </w:rPr>
      </w:pPr>
    </w:p>
    <w:p w14:paraId="03D301BE" w14:textId="77777777" w:rsidR="008D0565" w:rsidRPr="00D61F73" w:rsidRDefault="008D0565" w:rsidP="00D61F73">
      <w:pPr>
        <w:rPr>
          <w:rFonts w:ascii="Arial" w:hAnsi="Arial" w:cs="Arial"/>
        </w:rPr>
      </w:pPr>
      <w:r w:rsidRPr="00D61F73">
        <w:rPr>
          <w:rFonts w:ascii="Arial" w:hAnsi="Arial" w:cs="Arial"/>
        </w:rPr>
        <w:t>CRPS is common after hand trauma or surgery. Patient-specific hand therapy is very important in reducing swelling, decreasing pain, and improving range of motion.</w:t>
      </w:r>
    </w:p>
    <w:p w14:paraId="50F690B1" w14:textId="77777777" w:rsidR="008D0565" w:rsidRPr="00D61F73" w:rsidRDefault="008D0565" w:rsidP="00D61F73">
      <w:pPr>
        <w:rPr>
          <w:rFonts w:ascii="Arial" w:hAnsi="Arial" w:cs="Arial"/>
        </w:rPr>
      </w:pPr>
    </w:p>
    <w:p w14:paraId="1E19B8C2" w14:textId="77777777" w:rsidR="008D0565" w:rsidRPr="00D61F73" w:rsidRDefault="008D0565" w:rsidP="00D61F73">
      <w:pPr>
        <w:rPr>
          <w:rFonts w:ascii="Arial" w:hAnsi="Arial" w:cs="Arial"/>
        </w:rPr>
      </w:pPr>
      <w:r w:rsidRPr="00D61F73">
        <w:rPr>
          <w:rFonts w:ascii="Arial" w:hAnsi="Arial" w:cs="Arial"/>
        </w:rPr>
        <w:t xml:space="preserve">PMID: </w:t>
      </w:r>
      <w:hyperlink r:id="rId566" w:history="1">
        <w:r w:rsidRPr="00D61F73">
          <w:rPr>
            <w:rStyle w:val="Hyperlink"/>
            <w:rFonts w:ascii="Arial" w:hAnsi="Arial" w:cs="Arial"/>
          </w:rPr>
          <w:t>15891984</w:t>
        </w:r>
      </w:hyperlink>
      <w:r w:rsidRPr="00D61F73">
        <w:rPr>
          <w:rFonts w:ascii="Arial" w:hAnsi="Arial" w:cs="Arial"/>
        </w:rPr>
        <w:t xml:space="preserve"> </w:t>
      </w:r>
    </w:p>
    <w:p w14:paraId="5BD1B7E0" w14:textId="77777777" w:rsidR="008D0565" w:rsidRPr="00D61F73" w:rsidRDefault="008D0565" w:rsidP="00D61F73">
      <w:pPr>
        <w:rPr>
          <w:rFonts w:ascii="Arial" w:hAnsi="Arial" w:cs="Arial"/>
        </w:rPr>
      </w:pPr>
    </w:p>
    <w:p w14:paraId="1787FE92" w14:textId="77777777" w:rsidR="008D0565" w:rsidRPr="00D61F73" w:rsidRDefault="008D0565" w:rsidP="00D61F73">
      <w:pPr>
        <w:rPr>
          <w:rFonts w:ascii="Arial" w:hAnsi="Arial" w:cs="Arial"/>
        </w:rPr>
      </w:pPr>
      <w:r w:rsidRPr="00D61F73">
        <w:rPr>
          <w:rFonts w:ascii="Arial" w:hAnsi="Arial" w:cs="Arial"/>
        </w:rPr>
        <w:t>Rating: 5b</w:t>
      </w:r>
    </w:p>
    <w:p w14:paraId="573DD39F"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L</w:t>
      </w:r>
      <w:bookmarkStart w:id="881" w:name="Liebrenz2010"/>
      <w:bookmarkEnd w:id="881"/>
      <w:r w:rsidRPr="00D61F73">
        <w:rPr>
          <w:rFonts w:ascii="Arial" w:hAnsi="Arial" w:cs="Arial"/>
          <w:b/>
        </w:rPr>
        <w:t xml:space="preserve">iebrenz M, Boesch L, Stohler R, Caflisch C. Agonist substitution--a treatment alternative for high-dose benzodiazepine-dependent patients? </w:t>
      </w:r>
      <w:r w:rsidRPr="00D61F73">
        <w:rPr>
          <w:rFonts w:ascii="Arial" w:hAnsi="Arial" w:cs="Arial"/>
          <w:b/>
          <w:i/>
        </w:rPr>
        <w:t>Addiction</w:t>
      </w:r>
      <w:r w:rsidRPr="00D61F73">
        <w:rPr>
          <w:rFonts w:ascii="Arial" w:hAnsi="Arial" w:cs="Arial"/>
          <w:b/>
        </w:rPr>
        <w:t>. 2010;105:1870-4.</w:t>
      </w:r>
    </w:p>
    <w:p w14:paraId="79EC5785" w14:textId="77777777" w:rsidR="008D0565" w:rsidRPr="00D61F73" w:rsidRDefault="008D0565" w:rsidP="00D61F73">
      <w:pPr>
        <w:rPr>
          <w:rFonts w:ascii="Arial" w:hAnsi="Arial" w:cs="Arial"/>
        </w:rPr>
      </w:pPr>
    </w:p>
    <w:p w14:paraId="7AE68492" w14:textId="77777777" w:rsidR="008D0565" w:rsidRPr="00D61F73" w:rsidRDefault="008D0565" w:rsidP="00D61F73">
      <w:pPr>
        <w:rPr>
          <w:rFonts w:ascii="Arial" w:hAnsi="Arial" w:cs="Arial"/>
        </w:rPr>
      </w:pPr>
      <w:r w:rsidRPr="00D61F73">
        <w:rPr>
          <w:rFonts w:ascii="Arial" w:hAnsi="Arial" w:cs="Arial"/>
        </w:rPr>
        <w:t xml:space="preserve">PMID: </w:t>
      </w:r>
      <w:hyperlink r:id="rId567" w:history="1">
        <w:r w:rsidRPr="00D61F73">
          <w:rPr>
            <w:rStyle w:val="Hyperlink"/>
            <w:rFonts w:ascii="Arial" w:hAnsi="Arial" w:cs="Arial"/>
          </w:rPr>
          <w:t>20456294</w:t>
        </w:r>
      </w:hyperlink>
    </w:p>
    <w:p w14:paraId="7878CD98" w14:textId="77777777" w:rsidR="008D0565" w:rsidRPr="00D61F73" w:rsidRDefault="008D0565" w:rsidP="00D61F73">
      <w:pPr>
        <w:rPr>
          <w:rFonts w:ascii="Arial" w:hAnsi="Arial" w:cs="Arial"/>
        </w:rPr>
      </w:pPr>
    </w:p>
    <w:p w14:paraId="4D744A76" w14:textId="77777777" w:rsidR="008D0565" w:rsidRPr="00D61F73" w:rsidRDefault="008D0565" w:rsidP="00D61F73">
      <w:pPr>
        <w:rPr>
          <w:rFonts w:ascii="Arial" w:hAnsi="Arial" w:cs="Arial"/>
        </w:rPr>
      </w:pPr>
      <w:r w:rsidRPr="00D61F73">
        <w:rPr>
          <w:rFonts w:ascii="Arial" w:hAnsi="Arial" w:cs="Arial"/>
        </w:rPr>
        <w:t>Rating: 11a</w:t>
      </w:r>
    </w:p>
    <w:p w14:paraId="01596FA8"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Li</w:t>
      </w:r>
      <w:bookmarkStart w:id="882" w:name="Lin"/>
      <w:bookmarkEnd w:id="882"/>
      <w:r w:rsidRPr="00D61F73">
        <w:rPr>
          <w:rFonts w:ascii="Arial" w:hAnsi="Arial" w:cs="Arial"/>
          <w:b/>
          <w:bCs/>
        </w:rPr>
        <w:t xml:space="preserve">n EH, Katon W, Von Korff M, Tang L, Williams JW Jr, Kroenke K, Hunkeler E, Harpole L, Hegel M, Arean P, Hoffing M, Della Penna R, Langston C, Unutzer J; IMPACT Investigators. Effect of improving depression care on pain and functional outcomes among older adults with arthritis: a randomized controlled trial. </w:t>
      </w:r>
      <w:r w:rsidRPr="00D61F73">
        <w:rPr>
          <w:rFonts w:ascii="Arial" w:hAnsi="Arial" w:cs="Arial"/>
          <w:b/>
          <w:bCs/>
          <w:i/>
          <w:iCs/>
        </w:rPr>
        <w:t>JAMA</w:t>
      </w:r>
      <w:r w:rsidRPr="00D61F73">
        <w:rPr>
          <w:rFonts w:ascii="Arial" w:hAnsi="Arial" w:cs="Arial"/>
          <w:b/>
          <w:bCs/>
        </w:rPr>
        <w:t>. 2003 Nov 12;290(18):2428-9.</w:t>
      </w:r>
    </w:p>
    <w:p w14:paraId="5F1D2AE3" w14:textId="77777777" w:rsidR="008D0565" w:rsidRPr="00D61F73" w:rsidRDefault="008D0565" w:rsidP="00D61F73">
      <w:pPr>
        <w:rPr>
          <w:rFonts w:ascii="Arial" w:hAnsi="Arial" w:cs="Arial"/>
        </w:rPr>
      </w:pPr>
    </w:p>
    <w:p w14:paraId="7D0342C5" w14:textId="77777777" w:rsidR="008D0565" w:rsidRPr="00D61F73" w:rsidRDefault="008D0565" w:rsidP="00D61F73">
      <w:pPr>
        <w:rPr>
          <w:rFonts w:ascii="Arial" w:hAnsi="Arial" w:cs="Arial"/>
        </w:rPr>
      </w:pPr>
      <w:r w:rsidRPr="00D61F73">
        <w:rPr>
          <w:rFonts w:ascii="Arial" w:hAnsi="Arial" w:cs="Arial"/>
        </w:rPr>
        <w:t>The conclusion was, “In a large and diverse population of older adults with arthritis (mostly osteoarthritis) and comorbid depression, benefits of improved depression care extended beyond reduced depressive symptoms and included decreased pain as well as improved functional status and quality of life.”</w:t>
      </w:r>
    </w:p>
    <w:p w14:paraId="012571FC" w14:textId="77777777" w:rsidR="008D0565" w:rsidRPr="00D61F73" w:rsidRDefault="008D0565" w:rsidP="00D61F73">
      <w:pPr>
        <w:rPr>
          <w:rFonts w:ascii="Arial" w:hAnsi="Arial" w:cs="Arial"/>
        </w:rPr>
      </w:pPr>
    </w:p>
    <w:p w14:paraId="1492921D" w14:textId="77777777" w:rsidR="008D0565" w:rsidRPr="00D61F73" w:rsidRDefault="008D0565" w:rsidP="00D61F73">
      <w:pPr>
        <w:rPr>
          <w:rFonts w:ascii="Arial" w:hAnsi="Arial" w:cs="Arial"/>
        </w:rPr>
      </w:pPr>
      <w:r w:rsidRPr="00D61F73">
        <w:rPr>
          <w:rFonts w:ascii="Arial" w:hAnsi="Arial" w:cs="Arial"/>
        </w:rPr>
        <w:t xml:space="preserve">PMID: </w:t>
      </w:r>
      <w:hyperlink r:id="rId568" w:history="1">
        <w:r w:rsidRPr="00D61F73">
          <w:rPr>
            <w:rStyle w:val="Hyperlink"/>
            <w:rFonts w:ascii="Arial" w:hAnsi="Arial" w:cs="Arial"/>
          </w:rPr>
          <w:t>14612479</w:t>
        </w:r>
      </w:hyperlink>
    </w:p>
    <w:p w14:paraId="55FC138A" w14:textId="77777777" w:rsidR="008D0565" w:rsidRPr="00D61F73" w:rsidRDefault="008D0565" w:rsidP="00D61F73">
      <w:pPr>
        <w:pStyle w:val="NormalWeb"/>
        <w:spacing w:before="0" w:beforeAutospacing="0" w:after="0" w:afterAutospacing="0"/>
        <w:rPr>
          <w:rFonts w:ascii="Arial" w:hAnsi="Arial" w:cs="Arial"/>
        </w:rPr>
      </w:pPr>
    </w:p>
    <w:p w14:paraId="4286728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2a</w:t>
      </w:r>
    </w:p>
    <w:p w14:paraId="3AE4A206"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83" w:name="Lin2"/>
      <w:bookmarkEnd w:id="883"/>
      <w:r w:rsidRPr="00D61F73">
        <w:rPr>
          <w:rFonts w:ascii="Arial" w:hAnsi="Arial" w:cs="Arial"/>
          <w:b/>
          <w:bCs/>
        </w:rPr>
        <w:t xml:space="preserve">in J, Zhang W, Jones A, Doherty M. Efficacy of topical non-steroidal anti-inflammatory drugs in the treatment of osteoarthritis: meta-analysis of randomised controlled trials. </w:t>
      </w:r>
      <w:r w:rsidRPr="00D61F73">
        <w:rPr>
          <w:rFonts w:ascii="Arial" w:hAnsi="Arial" w:cs="Arial"/>
          <w:b/>
          <w:bCs/>
          <w:i/>
          <w:iCs/>
        </w:rPr>
        <w:t>BMJ</w:t>
      </w:r>
      <w:r w:rsidRPr="00D61F73">
        <w:rPr>
          <w:rFonts w:ascii="Arial" w:hAnsi="Arial" w:cs="Arial"/>
          <w:b/>
          <w:bCs/>
        </w:rPr>
        <w:t>. 2004 Aug 7;329(7461):324.</w:t>
      </w:r>
    </w:p>
    <w:p w14:paraId="7028991E" w14:textId="77777777" w:rsidR="008D0565" w:rsidRPr="00D61F73" w:rsidRDefault="008D0565" w:rsidP="00D61F73">
      <w:pPr>
        <w:pStyle w:val="NormalWeb"/>
        <w:spacing w:before="0" w:beforeAutospacing="0" w:after="0" w:afterAutospacing="0"/>
        <w:rPr>
          <w:rFonts w:ascii="Arial" w:hAnsi="Arial" w:cs="Arial"/>
        </w:rPr>
      </w:pPr>
    </w:p>
    <w:p w14:paraId="6087050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 No trial data support the long</w:t>
      </w:r>
      <w:r w:rsidR="0053700F" w:rsidRPr="00D61F73">
        <w:rPr>
          <w:rFonts w:ascii="Arial" w:hAnsi="Arial" w:cs="Arial"/>
        </w:rPr>
        <w:t>-</w:t>
      </w:r>
      <w:r w:rsidRPr="00D61F73">
        <w:rPr>
          <w:rFonts w:ascii="Arial" w:hAnsi="Arial" w:cs="Arial"/>
        </w:rPr>
        <w:t>term use of topical NSAIDs in osteoarthritis.</w:t>
      </w:r>
    </w:p>
    <w:p w14:paraId="36D93543" w14:textId="77777777" w:rsidR="008D0565" w:rsidRPr="00D61F73" w:rsidRDefault="008D0565" w:rsidP="00D61F73">
      <w:pPr>
        <w:pStyle w:val="NormalWeb"/>
        <w:spacing w:before="0" w:beforeAutospacing="0" w:after="0" w:afterAutospacing="0"/>
        <w:rPr>
          <w:rFonts w:ascii="Arial" w:hAnsi="Arial" w:cs="Arial"/>
        </w:rPr>
      </w:pPr>
    </w:p>
    <w:p w14:paraId="45DD230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69" w:history="1">
        <w:r w:rsidRPr="00D61F73">
          <w:rPr>
            <w:rStyle w:val="Hyperlink"/>
            <w:rFonts w:ascii="Arial" w:hAnsi="Arial" w:cs="Arial"/>
          </w:rPr>
          <w:t>15286056</w:t>
        </w:r>
      </w:hyperlink>
      <w:r w:rsidRPr="00D61F73">
        <w:rPr>
          <w:rFonts w:ascii="Arial" w:hAnsi="Arial" w:cs="Arial"/>
        </w:rPr>
        <w:t xml:space="preserve"> </w:t>
      </w:r>
    </w:p>
    <w:p w14:paraId="4F94CB22" w14:textId="77777777" w:rsidR="008D0565" w:rsidRPr="00D61F73" w:rsidRDefault="008D0565" w:rsidP="00D61F73">
      <w:pPr>
        <w:pStyle w:val="NormalWeb"/>
        <w:spacing w:before="0" w:beforeAutospacing="0" w:after="0" w:afterAutospacing="0"/>
        <w:rPr>
          <w:rFonts w:ascii="Arial" w:hAnsi="Arial" w:cs="Arial"/>
        </w:rPr>
      </w:pPr>
    </w:p>
    <w:p w14:paraId="1A41B52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1b</w:t>
      </w:r>
    </w:p>
    <w:p w14:paraId="65CFCF9E"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L</w:t>
      </w:r>
      <w:bookmarkStart w:id="884" w:name="LingfordHughes2004"/>
      <w:bookmarkEnd w:id="884"/>
      <w:r w:rsidRPr="00D61F73">
        <w:rPr>
          <w:rFonts w:ascii="Arial" w:hAnsi="Arial" w:cs="Arial"/>
          <w:b/>
        </w:rPr>
        <w:t xml:space="preserve">ingford-Hughes AR, Welch S, Nutt DJ; British Association for Psychopharmacology. Evidence-based guidelines for the pharmacological management of substance misuse, addiction and comorbidity: recommendations from the British Association for Psychopharmacology. </w:t>
      </w:r>
      <w:r w:rsidRPr="00D61F73">
        <w:rPr>
          <w:rFonts w:ascii="Arial" w:hAnsi="Arial" w:cs="Arial"/>
          <w:b/>
          <w:i/>
        </w:rPr>
        <w:t>J Psychopharmacol</w:t>
      </w:r>
      <w:r w:rsidRPr="00D61F73">
        <w:rPr>
          <w:rFonts w:ascii="Arial" w:hAnsi="Arial" w:cs="Arial"/>
          <w:b/>
        </w:rPr>
        <w:t>. 2004 Sep;18:293-335.</w:t>
      </w:r>
    </w:p>
    <w:p w14:paraId="705CC58D" w14:textId="77777777" w:rsidR="008D0565" w:rsidRPr="00D61F73" w:rsidRDefault="008D0565" w:rsidP="00D61F73">
      <w:pPr>
        <w:rPr>
          <w:rFonts w:ascii="Arial" w:hAnsi="Arial" w:cs="Arial"/>
        </w:rPr>
      </w:pPr>
    </w:p>
    <w:p w14:paraId="3213944E" w14:textId="77777777" w:rsidR="008D0565" w:rsidRPr="00D61F73" w:rsidRDefault="008D0565" w:rsidP="00D61F73">
      <w:pPr>
        <w:rPr>
          <w:rFonts w:ascii="Arial" w:hAnsi="Arial" w:cs="Arial"/>
        </w:rPr>
      </w:pPr>
      <w:r w:rsidRPr="00D61F73">
        <w:rPr>
          <w:rFonts w:ascii="Arial" w:hAnsi="Arial" w:cs="Arial"/>
        </w:rPr>
        <w:t xml:space="preserve">PMID: </w:t>
      </w:r>
      <w:hyperlink r:id="rId570" w:history="1">
        <w:r w:rsidRPr="00D61F73">
          <w:rPr>
            <w:rStyle w:val="Hyperlink"/>
            <w:rFonts w:ascii="Arial" w:hAnsi="Arial" w:cs="Arial"/>
          </w:rPr>
          <w:t>15358975</w:t>
        </w:r>
      </w:hyperlink>
    </w:p>
    <w:p w14:paraId="342D4556" w14:textId="77777777" w:rsidR="008D0565" w:rsidRPr="00D61F73" w:rsidRDefault="008D0565" w:rsidP="00D61F73">
      <w:pPr>
        <w:rPr>
          <w:rFonts w:ascii="Arial" w:hAnsi="Arial" w:cs="Arial"/>
        </w:rPr>
      </w:pPr>
    </w:p>
    <w:p w14:paraId="47C9B54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8a</w:t>
      </w:r>
    </w:p>
    <w:p w14:paraId="203C581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bookmarkStart w:id="885" w:name="Linton"/>
      <w:r w:rsidRPr="00D61F73">
        <w:rPr>
          <w:rFonts w:ascii="Arial" w:hAnsi="Arial" w:cs="Arial"/>
          <w:b/>
          <w:bCs/>
        </w:rPr>
        <w:lastRenderedPageBreak/>
        <w:t>Linton</w:t>
      </w:r>
      <w:bookmarkEnd w:id="885"/>
      <w:r w:rsidRPr="00D61F73">
        <w:rPr>
          <w:rFonts w:ascii="Arial" w:hAnsi="Arial" w:cs="Arial"/>
          <w:b/>
          <w:bCs/>
        </w:rPr>
        <w:t xml:space="preserve"> SJ. Early identification and intervention in the prevention of musculoskeletal pain. </w:t>
      </w:r>
      <w:r w:rsidRPr="00D61F73">
        <w:rPr>
          <w:rFonts w:ascii="Arial" w:hAnsi="Arial" w:cs="Arial"/>
          <w:b/>
          <w:bCs/>
          <w:i/>
          <w:iCs/>
        </w:rPr>
        <w:t>American Journal of Independent Medicine</w:t>
      </w:r>
      <w:r w:rsidRPr="00D61F73">
        <w:rPr>
          <w:rFonts w:ascii="Arial" w:hAnsi="Arial" w:cs="Arial"/>
          <w:b/>
          <w:bCs/>
        </w:rPr>
        <w:t>. 2002 May.</w:t>
      </w:r>
    </w:p>
    <w:p w14:paraId="460CF28D" w14:textId="77777777" w:rsidR="008D0565" w:rsidRPr="00D61F73" w:rsidRDefault="008D0565" w:rsidP="00D61F73">
      <w:pPr>
        <w:pStyle w:val="NormalWeb"/>
        <w:spacing w:before="0" w:beforeAutospacing="0" w:after="0" w:afterAutospacing="0"/>
        <w:rPr>
          <w:rFonts w:ascii="Arial" w:hAnsi="Arial" w:cs="Arial"/>
          <w:b/>
          <w:bCs/>
        </w:rPr>
      </w:pPr>
    </w:p>
    <w:p w14:paraId="79C1F6E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Conclusions: It appears to be feasible to identify patients with high levels of risk and to subsequently lower the risk for work disability by administering a cognitive-behavioral intervention focusing on psychological aspects of the pain problem. </w:t>
      </w:r>
    </w:p>
    <w:p w14:paraId="212989B5" w14:textId="77777777" w:rsidR="008D0565" w:rsidRPr="00D61F73" w:rsidRDefault="008D0565" w:rsidP="00D61F73">
      <w:pPr>
        <w:pStyle w:val="NormalWeb"/>
        <w:spacing w:before="0" w:beforeAutospacing="0" w:after="0" w:afterAutospacing="0"/>
        <w:rPr>
          <w:rFonts w:ascii="Arial" w:hAnsi="Arial" w:cs="Arial"/>
        </w:rPr>
      </w:pPr>
    </w:p>
    <w:p w14:paraId="5194A86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Publication Type: Review, RCT</w:t>
      </w:r>
    </w:p>
    <w:p w14:paraId="4F0DC52C" w14:textId="77777777" w:rsidR="008D0565" w:rsidRPr="00D61F73" w:rsidRDefault="008D0565" w:rsidP="00D61F73">
      <w:pPr>
        <w:pStyle w:val="NormalWeb"/>
        <w:spacing w:before="0" w:beforeAutospacing="0" w:after="0" w:afterAutospacing="0"/>
        <w:rPr>
          <w:rFonts w:ascii="Arial" w:hAnsi="Arial" w:cs="Arial"/>
        </w:rPr>
      </w:pPr>
    </w:p>
    <w:p w14:paraId="5E51FA9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71" w:history="1">
        <w:r w:rsidRPr="00D61F73">
          <w:rPr>
            <w:rStyle w:val="Hyperlink"/>
            <w:rFonts w:ascii="Arial" w:hAnsi="Arial" w:cs="Arial"/>
          </w:rPr>
          <w:t>12071495</w:t>
        </w:r>
      </w:hyperlink>
    </w:p>
    <w:p w14:paraId="0A06F88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86" w:name="Linton2"/>
      <w:bookmarkEnd w:id="886"/>
      <w:r w:rsidRPr="00D61F73">
        <w:rPr>
          <w:rFonts w:ascii="Arial" w:hAnsi="Arial" w:cs="Arial"/>
          <w:b/>
        </w:rPr>
        <w:t xml:space="preserve">inton SJ. Occupational psychological factors increase the risk for back pain: a systematic review. </w:t>
      </w:r>
      <w:r w:rsidRPr="00D61F73">
        <w:rPr>
          <w:rFonts w:ascii="Arial" w:hAnsi="Arial" w:cs="Arial"/>
          <w:b/>
          <w:i/>
        </w:rPr>
        <w:t>J Occup Rehabil</w:t>
      </w:r>
      <w:r w:rsidRPr="00D61F73">
        <w:rPr>
          <w:rFonts w:ascii="Arial" w:hAnsi="Arial" w:cs="Arial"/>
          <w:b/>
        </w:rPr>
        <w:t>. 2001 Mar;11(1):53-66.</w:t>
      </w:r>
    </w:p>
    <w:p w14:paraId="487A0B92" w14:textId="77777777" w:rsidR="008D0565" w:rsidRPr="00D61F73" w:rsidRDefault="008D0565" w:rsidP="00D61F73">
      <w:pPr>
        <w:rPr>
          <w:rFonts w:ascii="Arial" w:hAnsi="Arial" w:cs="Arial"/>
        </w:rPr>
      </w:pPr>
    </w:p>
    <w:p w14:paraId="0D1AAB6C" w14:textId="77777777" w:rsidR="008D0565" w:rsidRPr="00D61F73" w:rsidRDefault="008D0565" w:rsidP="00D61F73">
      <w:pPr>
        <w:rPr>
          <w:rFonts w:ascii="Arial" w:hAnsi="Arial" w:cs="Arial"/>
        </w:rPr>
      </w:pPr>
      <w:r w:rsidRPr="00D61F73">
        <w:rPr>
          <w:rFonts w:ascii="Arial" w:hAnsi="Arial" w:cs="Arial"/>
        </w:rPr>
        <w:t>These results suggest that a change in the way we view and deal with back pain is needed. Applying knowledge about psychological factors at work might enhance prevention as well as rehabilitation.</w:t>
      </w:r>
    </w:p>
    <w:p w14:paraId="532EF75F" w14:textId="77777777" w:rsidR="008D0565" w:rsidRPr="00D61F73" w:rsidRDefault="008D0565" w:rsidP="00D61F73">
      <w:pPr>
        <w:rPr>
          <w:rFonts w:ascii="Arial" w:hAnsi="Arial" w:cs="Arial"/>
        </w:rPr>
      </w:pPr>
    </w:p>
    <w:p w14:paraId="4BD4C6A3" w14:textId="77777777" w:rsidR="008D0565" w:rsidRPr="00D61F73" w:rsidRDefault="008D0565" w:rsidP="00D61F73">
      <w:pPr>
        <w:rPr>
          <w:rFonts w:ascii="Arial" w:hAnsi="Arial" w:cs="Arial"/>
        </w:rPr>
      </w:pPr>
      <w:r w:rsidRPr="00D61F73">
        <w:rPr>
          <w:rFonts w:ascii="Arial" w:hAnsi="Arial" w:cs="Arial"/>
        </w:rPr>
        <w:t xml:space="preserve">PMID: </w:t>
      </w:r>
      <w:hyperlink r:id="rId572" w:history="1">
        <w:r w:rsidRPr="00D61F73">
          <w:rPr>
            <w:rStyle w:val="Hyperlink"/>
            <w:rFonts w:ascii="Arial" w:hAnsi="Arial" w:cs="Arial"/>
          </w:rPr>
          <w:t>11706777</w:t>
        </w:r>
      </w:hyperlink>
      <w:r w:rsidRPr="00D61F73">
        <w:rPr>
          <w:rFonts w:ascii="Arial" w:hAnsi="Arial" w:cs="Arial"/>
        </w:rPr>
        <w:t xml:space="preserve"> </w:t>
      </w:r>
    </w:p>
    <w:p w14:paraId="3CD52DDC" w14:textId="77777777" w:rsidR="008D0565" w:rsidRPr="00D61F73" w:rsidRDefault="008D0565" w:rsidP="00D61F73">
      <w:pPr>
        <w:rPr>
          <w:rFonts w:ascii="Arial" w:hAnsi="Arial" w:cs="Arial"/>
        </w:rPr>
      </w:pPr>
    </w:p>
    <w:p w14:paraId="594D382C" w14:textId="77777777" w:rsidR="008D0565" w:rsidRPr="00D61F73" w:rsidRDefault="008D0565" w:rsidP="00D61F73">
      <w:pPr>
        <w:rPr>
          <w:rFonts w:ascii="Arial" w:hAnsi="Arial" w:cs="Arial"/>
        </w:rPr>
      </w:pPr>
      <w:r w:rsidRPr="00D61F73">
        <w:rPr>
          <w:rFonts w:ascii="Arial" w:hAnsi="Arial" w:cs="Arial"/>
        </w:rPr>
        <w:t>Rating: 1a</w:t>
      </w:r>
    </w:p>
    <w:p w14:paraId="0270D55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87" w:name="Littner2003"/>
      <w:bookmarkEnd w:id="887"/>
      <w:r w:rsidRPr="00D61F73">
        <w:rPr>
          <w:rFonts w:ascii="Arial" w:hAnsi="Arial" w:cs="Arial"/>
          <w:b/>
          <w:bCs/>
        </w:rPr>
        <w:t xml:space="preserve">ittner M, Hirshkowitz M, Kramer M, Kapen S, Anderson WM, Bailey D, Berry RB, Davila D, Johnson S, Kushida C, Loube DI, Wise M, Woodson BT; American Academy of Sleep Medicine; Standards of Practice Committe. Practice parameters for using polysomnography to evaluate insomnia: an update. </w:t>
      </w:r>
      <w:r w:rsidRPr="00D61F73">
        <w:rPr>
          <w:rFonts w:ascii="Arial" w:hAnsi="Arial" w:cs="Arial"/>
          <w:b/>
          <w:bCs/>
          <w:i/>
          <w:iCs/>
        </w:rPr>
        <w:t>Sleep</w:t>
      </w:r>
      <w:r w:rsidRPr="00D61F73">
        <w:rPr>
          <w:rFonts w:ascii="Arial" w:hAnsi="Arial" w:cs="Arial"/>
          <w:b/>
          <w:bCs/>
        </w:rPr>
        <w:t>. 2003 Sep;26(6):754-60.</w:t>
      </w:r>
    </w:p>
    <w:p w14:paraId="3DB62169" w14:textId="77777777" w:rsidR="008D0565" w:rsidRPr="00D61F73" w:rsidRDefault="008D0565" w:rsidP="00D61F73">
      <w:pPr>
        <w:pStyle w:val="NormalWeb"/>
        <w:spacing w:before="0" w:beforeAutospacing="0" w:after="0" w:afterAutospacing="0"/>
        <w:rPr>
          <w:rFonts w:ascii="Arial" w:hAnsi="Arial" w:cs="Arial"/>
        </w:rPr>
      </w:pPr>
    </w:p>
    <w:p w14:paraId="0F2C7DB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73" w:history="1">
        <w:r w:rsidRPr="00D61F73">
          <w:rPr>
            <w:rStyle w:val="Hyperlink"/>
            <w:rFonts w:ascii="Arial" w:hAnsi="Arial" w:cs="Arial"/>
          </w:rPr>
          <w:t>14572131</w:t>
        </w:r>
      </w:hyperlink>
    </w:p>
    <w:p w14:paraId="38DF5AF3" w14:textId="77777777" w:rsidR="008D0565" w:rsidRPr="00D61F73" w:rsidRDefault="008D0565" w:rsidP="00D61F73">
      <w:pPr>
        <w:pStyle w:val="NormalWeb"/>
        <w:spacing w:before="0" w:beforeAutospacing="0" w:after="0" w:afterAutospacing="0"/>
        <w:rPr>
          <w:rFonts w:ascii="Arial" w:hAnsi="Arial" w:cs="Arial"/>
        </w:rPr>
      </w:pPr>
    </w:p>
    <w:p w14:paraId="6BB1001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Rating: 1b </w:t>
      </w:r>
    </w:p>
    <w:p w14:paraId="005CFD60"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L</w:t>
      </w:r>
      <w:bookmarkStart w:id="888" w:name="Liu2011"/>
      <w:bookmarkEnd w:id="888"/>
      <w:r w:rsidRPr="00D61F73">
        <w:rPr>
          <w:rFonts w:ascii="Arial" w:hAnsi="Arial" w:cs="Arial"/>
          <w:b/>
          <w:bCs/>
        </w:rPr>
        <w:t xml:space="preserve">iu C, Bayer A, Cosgrove SE, Daum RS, Fridkin SK, Gorwitz RJ, Kaplan SL, Karchmer AW, Levine DP, Murray BE, J Rybak M, Talan DA, Chambers HF; Infectious Diseases Society of America. Clinical practice guidelines by the infectious diseases society of america for the treatment of methicillin-resistant Staphylococcus aureus infections in adults and children. </w:t>
      </w:r>
      <w:r w:rsidRPr="00D61F73">
        <w:rPr>
          <w:rFonts w:ascii="Arial" w:hAnsi="Arial" w:cs="Arial"/>
          <w:b/>
          <w:bCs/>
          <w:i/>
          <w:iCs/>
        </w:rPr>
        <w:t>Clin Infect Dis.</w:t>
      </w:r>
      <w:r w:rsidRPr="00D61F73">
        <w:rPr>
          <w:rFonts w:ascii="Arial" w:hAnsi="Arial" w:cs="Arial"/>
          <w:b/>
          <w:bCs/>
        </w:rPr>
        <w:t xml:space="preserve"> 2011 Feb 1;52(3):e18-55.</w:t>
      </w:r>
    </w:p>
    <w:p w14:paraId="0A70F3F7" w14:textId="77777777" w:rsidR="008D0565" w:rsidRPr="00D61F73" w:rsidRDefault="008D0565" w:rsidP="00D61F73">
      <w:pPr>
        <w:pStyle w:val="NormalWeb"/>
        <w:spacing w:before="0" w:beforeAutospacing="0" w:after="0" w:afterAutospacing="0"/>
        <w:rPr>
          <w:rFonts w:ascii="Arial" w:hAnsi="Arial" w:cs="Arial"/>
        </w:rPr>
      </w:pPr>
    </w:p>
    <w:p w14:paraId="2A4C050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74" w:history="1">
        <w:r w:rsidRPr="00D61F73">
          <w:rPr>
            <w:rStyle w:val="Hyperlink"/>
            <w:rFonts w:ascii="Arial" w:hAnsi="Arial" w:cs="Arial"/>
          </w:rPr>
          <w:t>21208910</w:t>
        </w:r>
      </w:hyperlink>
      <w:r w:rsidRPr="00D61F73">
        <w:rPr>
          <w:rFonts w:ascii="Arial" w:hAnsi="Arial" w:cs="Arial"/>
        </w:rPr>
        <w:t xml:space="preserve"> </w:t>
      </w:r>
    </w:p>
    <w:p w14:paraId="4169AB89" w14:textId="77777777" w:rsidR="008D0565" w:rsidRPr="00D61F73" w:rsidRDefault="008D0565" w:rsidP="00D61F73">
      <w:pPr>
        <w:pStyle w:val="NormalWeb"/>
        <w:spacing w:before="0" w:beforeAutospacing="0" w:after="0" w:afterAutospacing="0"/>
        <w:rPr>
          <w:rFonts w:ascii="Arial" w:hAnsi="Arial" w:cs="Arial"/>
        </w:rPr>
      </w:pPr>
    </w:p>
    <w:p w14:paraId="0DE674B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6b</w:t>
      </w:r>
    </w:p>
    <w:p w14:paraId="16F38236" w14:textId="77777777" w:rsidR="000537B4" w:rsidRDefault="000537B4">
      <w:pPr>
        <w:rPr>
          <w:rFonts w:ascii="Arial" w:hAnsi="Arial" w:cs="Arial"/>
        </w:rPr>
      </w:pPr>
      <w:r>
        <w:rPr>
          <w:rFonts w:ascii="Arial" w:hAnsi="Arial" w:cs="Arial"/>
        </w:rPr>
        <w:br w:type="page"/>
      </w:r>
    </w:p>
    <w:p w14:paraId="5E8AE854" w14:textId="77777777" w:rsidR="000537B4" w:rsidRPr="000537B4" w:rsidRDefault="000537B4" w:rsidP="000537B4">
      <w:pPr>
        <w:tabs>
          <w:tab w:val="left" w:pos="990"/>
        </w:tabs>
        <w:rPr>
          <w:rFonts w:ascii="Arial" w:eastAsia="Calibri" w:hAnsi="Arial" w:cs="Arial"/>
          <w:b/>
          <w:color w:val="auto"/>
          <w:szCs w:val="22"/>
        </w:rPr>
      </w:pPr>
      <w:r w:rsidRPr="000537B4">
        <w:rPr>
          <w:rFonts w:ascii="Arial" w:hAnsi="Arial" w:cs="Arial"/>
          <w:b/>
        </w:rPr>
        <w:lastRenderedPageBreak/>
        <w:t>L</w:t>
      </w:r>
      <w:bookmarkStart w:id="889" w:name="Looper"/>
      <w:bookmarkEnd w:id="889"/>
      <w:r w:rsidRPr="000537B4">
        <w:rPr>
          <w:rFonts w:ascii="Arial" w:hAnsi="Arial" w:cs="Arial"/>
          <w:b/>
        </w:rPr>
        <w:t>ooper KJ. Potential medical and surgical complications of serotonergic antidepressant medications. Psychosomatics. 2007;48:1-9.</w:t>
      </w:r>
    </w:p>
    <w:p w14:paraId="11FFBF67" w14:textId="77777777" w:rsidR="000537B4" w:rsidRPr="000537B4" w:rsidRDefault="000537B4" w:rsidP="000537B4">
      <w:pPr>
        <w:tabs>
          <w:tab w:val="left" w:pos="990"/>
        </w:tabs>
        <w:rPr>
          <w:rFonts w:ascii="Arial" w:eastAsia="Calibri" w:hAnsi="Arial" w:cs="Arial"/>
          <w:szCs w:val="22"/>
        </w:rPr>
      </w:pPr>
    </w:p>
    <w:p w14:paraId="1B5E8094" w14:textId="77777777" w:rsidR="000537B4" w:rsidRPr="000537B4" w:rsidRDefault="000537B4" w:rsidP="000537B4">
      <w:pPr>
        <w:tabs>
          <w:tab w:val="left" w:pos="990"/>
        </w:tabs>
        <w:rPr>
          <w:rFonts w:ascii="Arial" w:eastAsia="Calibri" w:hAnsi="Arial" w:cs="Arial"/>
          <w:szCs w:val="22"/>
        </w:rPr>
      </w:pPr>
      <w:r w:rsidRPr="000537B4">
        <w:rPr>
          <w:rFonts w:ascii="Arial" w:hAnsi="Arial" w:cs="Arial"/>
        </w:rPr>
        <w:t xml:space="preserve">This article reviews the association of serotonergic antidepressants and the following medical complications: syndrome of inappropriate antidiuretic hormone secretion, bleeding, serotonin syndrome, serotonin-discontinuation syndrome, and adverse pregnancy and neonatal effects. </w:t>
      </w:r>
    </w:p>
    <w:p w14:paraId="13775D0C" w14:textId="77777777" w:rsidR="000537B4" w:rsidRPr="000537B4" w:rsidRDefault="000537B4" w:rsidP="000537B4">
      <w:pPr>
        <w:tabs>
          <w:tab w:val="left" w:pos="990"/>
        </w:tabs>
        <w:rPr>
          <w:rFonts w:ascii="Arial" w:eastAsia="Calibri" w:hAnsi="Arial" w:cs="Arial"/>
          <w:szCs w:val="22"/>
        </w:rPr>
      </w:pPr>
    </w:p>
    <w:p w14:paraId="65396070" w14:textId="77777777" w:rsidR="000537B4" w:rsidRPr="000537B4" w:rsidRDefault="000537B4" w:rsidP="000537B4">
      <w:pPr>
        <w:tabs>
          <w:tab w:val="left" w:pos="990"/>
        </w:tabs>
        <w:rPr>
          <w:rFonts w:ascii="Arial" w:eastAsia="Calibri" w:hAnsi="Arial" w:cs="Arial"/>
          <w:szCs w:val="22"/>
        </w:rPr>
      </w:pPr>
      <w:r w:rsidRPr="000537B4">
        <w:rPr>
          <w:rFonts w:ascii="Arial" w:hAnsi="Arial" w:cs="Arial"/>
        </w:rPr>
        <w:t xml:space="preserve">PMID: </w:t>
      </w:r>
      <w:hyperlink r:id="rId575" w:history="1">
        <w:r w:rsidRPr="000537B4">
          <w:rPr>
            <w:rStyle w:val="Hyperlink"/>
            <w:rFonts w:ascii="Arial" w:hAnsi="Arial" w:cs="Arial"/>
          </w:rPr>
          <w:t>17209143</w:t>
        </w:r>
      </w:hyperlink>
    </w:p>
    <w:p w14:paraId="653582AD" w14:textId="77777777" w:rsidR="000537B4" w:rsidRPr="000537B4" w:rsidRDefault="000537B4" w:rsidP="000537B4">
      <w:pPr>
        <w:tabs>
          <w:tab w:val="left" w:pos="990"/>
        </w:tabs>
        <w:rPr>
          <w:rFonts w:ascii="Arial" w:eastAsia="Calibri" w:hAnsi="Arial" w:cs="Arial"/>
          <w:szCs w:val="22"/>
        </w:rPr>
      </w:pPr>
    </w:p>
    <w:p w14:paraId="307B87A7" w14:textId="118DA420" w:rsidR="000537B4" w:rsidRPr="000537B4" w:rsidRDefault="000537B4" w:rsidP="000537B4">
      <w:pPr>
        <w:pStyle w:val="NormalWeb"/>
        <w:spacing w:before="0" w:beforeAutospacing="0" w:after="0" w:afterAutospacing="0"/>
        <w:rPr>
          <w:rFonts w:ascii="Arial" w:hAnsi="Arial" w:cs="Arial"/>
        </w:rPr>
      </w:pPr>
      <w:r w:rsidRPr="000537B4">
        <w:rPr>
          <w:rFonts w:ascii="Arial" w:hAnsi="Arial" w:cs="Arial"/>
        </w:rPr>
        <w:t>Rating: 5c</w:t>
      </w:r>
    </w:p>
    <w:p w14:paraId="5D1916E1" w14:textId="3CC61A80"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 xml:space="preserve"> L</w:t>
      </w:r>
      <w:bookmarkStart w:id="890" w:name="Lorberg"/>
      <w:bookmarkEnd w:id="890"/>
      <w:r w:rsidRPr="00D61F73">
        <w:rPr>
          <w:rFonts w:ascii="Arial" w:hAnsi="Arial" w:cs="Arial"/>
          <w:b/>
        </w:rPr>
        <w:t xml:space="preserve">orberg B, Youssef NA, Bhagwagar Z. Lamotrigine-associated rash: to rechallenge or not to rechallenge? </w:t>
      </w:r>
      <w:r w:rsidRPr="00D61F73">
        <w:rPr>
          <w:rFonts w:ascii="Arial" w:hAnsi="Arial" w:cs="Arial"/>
          <w:b/>
          <w:i/>
          <w:iCs/>
        </w:rPr>
        <w:t>Int J Neuropsychopharmacol</w:t>
      </w:r>
      <w:r w:rsidRPr="00D61F73">
        <w:rPr>
          <w:rFonts w:ascii="Arial" w:hAnsi="Arial" w:cs="Arial"/>
          <w:b/>
        </w:rPr>
        <w:t>. 2008 Oct 10:1-9. [Epub ahead of print].</w:t>
      </w:r>
    </w:p>
    <w:p w14:paraId="268F93A0" w14:textId="77777777" w:rsidR="008D0565" w:rsidRPr="00D61F73" w:rsidRDefault="008D0565" w:rsidP="00D61F73">
      <w:pPr>
        <w:rPr>
          <w:rFonts w:ascii="Arial" w:hAnsi="Arial" w:cs="Arial"/>
          <w:b/>
        </w:rPr>
      </w:pPr>
    </w:p>
    <w:p w14:paraId="6D1F2B74" w14:textId="77777777" w:rsidR="008D0565" w:rsidRPr="00D61F73" w:rsidRDefault="008D0565" w:rsidP="00D61F73">
      <w:pPr>
        <w:rPr>
          <w:rFonts w:ascii="Arial" w:hAnsi="Arial" w:cs="Arial"/>
        </w:rPr>
      </w:pPr>
      <w:r w:rsidRPr="00D61F73">
        <w:rPr>
          <w:rFonts w:ascii="Arial" w:hAnsi="Arial" w:cs="Arial"/>
        </w:rPr>
        <w:t>We believe that lamotrigine rechallenge in bipolar depression is an under-utilized option in our clinical armamentarium, and further studies are needed to guide us in this area.</w:t>
      </w:r>
    </w:p>
    <w:p w14:paraId="5FD2E22C" w14:textId="77777777" w:rsidR="008D0565" w:rsidRPr="00D61F73" w:rsidRDefault="008D0565" w:rsidP="00D61F73">
      <w:pPr>
        <w:rPr>
          <w:rFonts w:ascii="Arial" w:hAnsi="Arial" w:cs="Arial"/>
        </w:rPr>
      </w:pPr>
    </w:p>
    <w:p w14:paraId="383B9484" w14:textId="77777777" w:rsidR="008D0565" w:rsidRPr="00D61F73" w:rsidRDefault="008D0565" w:rsidP="00D61F73">
      <w:pPr>
        <w:rPr>
          <w:rFonts w:ascii="Arial" w:hAnsi="Arial" w:cs="Arial"/>
        </w:rPr>
      </w:pPr>
      <w:r w:rsidRPr="00D61F73">
        <w:rPr>
          <w:rFonts w:ascii="Arial" w:hAnsi="Arial" w:cs="Arial"/>
        </w:rPr>
        <w:t xml:space="preserve">PMID: </w:t>
      </w:r>
      <w:hyperlink r:id="rId576" w:history="1">
        <w:r w:rsidRPr="00D61F73">
          <w:rPr>
            <w:rStyle w:val="Hyperlink"/>
            <w:rFonts w:ascii="Arial" w:hAnsi="Arial" w:cs="Arial"/>
          </w:rPr>
          <w:t>18845017</w:t>
        </w:r>
      </w:hyperlink>
    </w:p>
    <w:p w14:paraId="60BD605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91" w:name="Lundeberg"/>
      <w:bookmarkEnd w:id="891"/>
      <w:r w:rsidRPr="00D61F73">
        <w:rPr>
          <w:rFonts w:ascii="Arial" w:hAnsi="Arial" w:cs="Arial"/>
          <w:b/>
        </w:rPr>
        <w:t xml:space="preserve">undeberg T. Relief of pain from a phantom limb by peripheral stimulation. </w:t>
      </w:r>
      <w:r w:rsidRPr="00D61F73">
        <w:rPr>
          <w:rFonts w:ascii="Arial" w:hAnsi="Arial" w:cs="Arial"/>
          <w:b/>
          <w:i/>
        </w:rPr>
        <w:t>J Neurol</w:t>
      </w:r>
      <w:r w:rsidRPr="00D61F73">
        <w:rPr>
          <w:rFonts w:ascii="Arial" w:hAnsi="Arial" w:cs="Arial"/>
          <w:b/>
        </w:rPr>
        <w:t xml:space="preserve">. 1985;232(2):79-82. </w:t>
      </w:r>
    </w:p>
    <w:p w14:paraId="5C2517DB" w14:textId="77777777" w:rsidR="008D0565" w:rsidRPr="00D61F73" w:rsidRDefault="008D0565" w:rsidP="00D61F73">
      <w:pPr>
        <w:rPr>
          <w:rFonts w:ascii="Arial" w:hAnsi="Arial" w:cs="Arial"/>
        </w:rPr>
      </w:pPr>
    </w:p>
    <w:p w14:paraId="1611263F" w14:textId="77777777" w:rsidR="008D0565" w:rsidRPr="00D61F73" w:rsidRDefault="008D0565" w:rsidP="00D61F73">
      <w:pPr>
        <w:rPr>
          <w:rFonts w:ascii="Arial" w:hAnsi="Arial" w:cs="Arial"/>
        </w:rPr>
      </w:pPr>
      <w:r w:rsidRPr="00D61F73">
        <w:rPr>
          <w:rFonts w:ascii="Arial" w:hAnsi="Arial" w:cs="Arial"/>
        </w:rPr>
        <w:t>The results of the present study suggest that vibratory stimulation may be a valuable symptomatic treatment measure in patients suffering pain from a phantom limb.</w:t>
      </w:r>
    </w:p>
    <w:p w14:paraId="2AF4F1C4" w14:textId="77777777" w:rsidR="008D0565" w:rsidRPr="00D61F73" w:rsidRDefault="008D0565" w:rsidP="00D61F73">
      <w:pPr>
        <w:rPr>
          <w:rFonts w:ascii="Arial" w:hAnsi="Arial" w:cs="Arial"/>
        </w:rPr>
      </w:pPr>
    </w:p>
    <w:p w14:paraId="11EBAC7F" w14:textId="77777777" w:rsidR="008D0565" w:rsidRPr="00D61F73" w:rsidRDefault="008D0565" w:rsidP="00D61F73">
      <w:pPr>
        <w:rPr>
          <w:rFonts w:ascii="Arial" w:hAnsi="Arial" w:cs="Arial"/>
        </w:rPr>
      </w:pPr>
      <w:r w:rsidRPr="00D61F73">
        <w:rPr>
          <w:rFonts w:ascii="Arial" w:hAnsi="Arial" w:cs="Arial"/>
        </w:rPr>
        <w:t xml:space="preserve">PMID: </w:t>
      </w:r>
      <w:hyperlink r:id="rId577" w:history="1">
        <w:r w:rsidRPr="00D61F73">
          <w:rPr>
            <w:rStyle w:val="Hyperlink"/>
            <w:rFonts w:ascii="Arial" w:hAnsi="Arial" w:cs="Arial"/>
          </w:rPr>
          <w:t>2410571</w:t>
        </w:r>
      </w:hyperlink>
    </w:p>
    <w:p w14:paraId="194531C5" w14:textId="77777777" w:rsidR="008D0565" w:rsidRPr="00D61F73" w:rsidRDefault="008D0565" w:rsidP="00D61F73">
      <w:pPr>
        <w:rPr>
          <w:rFonts w:ascii="Arial" w:hAnsi="Arial" w:cs="Arial"/>
        </w:rPr>
      </w:pPr>
    </w:p>
    <w:p w14:paraId="0E931DCC" w14:textId="77777777" w:rsidR="008D0565" w:rsidRPr="00D61F73" w:rsidRDefault="008D0565" w:rsidP="00D61F73">
      <w:pPr>
        <w:rPr>
          <w:rFonts w:ascii="Arial" w:hAnsi="Arial" w:cs="Arial"/>
        </w:rPr>
      </w:pPr>
      <w:r w:rsidRPr="00D61F73">
        <w:rPr>
          <w:rFonts w:ascii="Arial" w:hAnsi="Arial" w:cs="Arial"/>
        </w:rPr>
        <w:t>Rating: 4c</w:t>
      </w:r>
    </w:p>
    <w:p w14:paraId="3CEADCAC" w14:textId="77777777" w:rsidR="008D0565" w:rsidRPr="00D61F73" w:rsidRDefault="008D0565" w:rsidP="00D61F73">
      <w:pPr>
        <w:rPr>
          <w:rFonts w:ascii="Arial" w:hAnsi="Arial" w:cs="Arial"/>
          <w:b/>
          <w:lang w:val="en"/>
        </w:rPr>
      </w:pPr>
      <w:r w:rsidRPr="00D61F73">
        <w:rPr>
          <w:rFonts w:ascii="Arial" w:hAnsi="Arial" w:cs="Arial"/>
        </w:rPr>
        <w:br w:type="page"/>
      </w:r>
      <w:r w:rsidRPr="00D61F73">
        <w:rPr>
          <w:rFonts w:ascii="Arial" w:hAnsi="Arial" w:cs="Arial"/>
          <w:b/>
          <w:lang w:val="en"/>
        </w:rPr>
        <w:lastRenderedPageBreak/>
        <w:t>L</w:t>
      </w:r>
      <w:bookmarkStart w:id="892" w:name="Lynch"/>
      <w:bookmarkEnd w:id="892"/>
      <w:r w:rsidRPr="00D61F73">
        <w:rPr>
          <w:rFonts w:ascii="Arial" w:hAnsi="Arial" w:cs="Arial"/>
          <w:b/>
          <w:lang w:val="en"/>
        </w:rPr>
        <w:t xml:space="preserve">ynch SS, Cheng CM, Yee JL.Intrathecal ziconotide for refractory chronic pain. </w:t>
      </w:r>
      <w:r w:rsidRPr="00D61F73">
        <w:rPr>
          <w:rFonts w:ascii="Arial" w:hAnsi="Arial" w:cs="Arial"/>
          <w:b/>
          <w:i/>
          <w:lang w:val="en"/>
        </w:rPr>
        <w:t>Ann Pharmacother</w:t>
      </w:r>
      <w:r w:rsidRPr="00D61F73">
        <w:rPr>
          <w:rFonts w:ascii="Arial" w:hAnsi="Arial" w:cs="Arial"/>
          <w:b/>
          <w:lang w:val="en"/>
        </w:rPr>
        <w:t xml:space="preserve">. 2006;40:1293-300. </w:t>
      </w:r>
    </w:p>
    <w:p w14:paraId="192089DA" w14:textId="77777777" w:rsidR="008D0565" w:rsidRPr="00D61F73" w:rsidRDefault="008D0565" w:rsidP="00D61F73">
      <w:pPr>
        <w:rPr>
          <w:rFonts w:ascii="Arial" w:hAnsi="Arial" w:cs="Arial"/>
          <w:lang w:val="en"/>
        </w:rPr>
      </w:pPr>
    </w:p>
    <w:p w14:paraId="10554218" w14:textId="77777777" w:rsidR="008D0565" w:rsidRPr="00D61F73" w:rsidRDefault="008D0565" w:rsidP="00D61F73">
      <w:pPr>
        <w:rPr>
          <w:rFonts w:ascii="Arial" w:hAnsi="Arial" w:cs="Arial"/>
          <w:lang w:val="en"/>
        </w:rPr>
      </w:pPr>
      <w:r w:rsidRPr="00D61F73">
        <w:rPr>
          <w:rFonts w:ascii="Arial" w:hAnsi="Arial" w:cs="Arial"/>
          <w:lang w:val="en"/>
        </w:rPr>
        <w:t xml:space="preserve">Ziconotide is a therapeutic option for treatment of severe chronic pain in patients who have exhausted all other agents, including intrathecal morphine, and for whom the potential benefit outweighs the risks of serious neuropsychiatric adverse effects and of having an implanted device. </w:t>
      </w:r>
    </w:p>
    <w:p w14:paraId="31D55AA7" w14:textId="77777777" w:rsidR="008D0565" w:rsidRPr="00D61F73" w:rsidRDefault="008D0565" w:rsidP="00D61F73">
      <w:pPr>
        <w:rPr>
          <w:rFonts w:ascii="Arial" w:hAnsi="Arial" w:cs="Arial"/>
          <w:lang w:val="en"/>
        </w:rPr>
      </w:pPr>
    </w:p>
    <w:p w14:paraId="61037A87" w14:textId="77777777" w:rsidR="008D0565" w:rsidRPr="00D61F73" w:rsidRDefault="008D0565" w:rsidP="00D61F73">
      <w:pPr>
        <w:rPr>
          <w:rFonts w:ascii="Arial" w:hAnsi="Arial" w:cs="Arial"/>
          <w:lang w:val="en"/>
        </w:rPr>
      </w:pPr>
      <w:r w:rsidRPr="00D61F73">
        <w:rPr>
          <w:rFonts w:ascii="Arial" w:hAnsi="Arial" w:cs="Arial"/>
          <w:lang w:val="en"/>
        </w:rPr>
        <w:t xml:space="preserve">PMID: </w:t>
      </w:r>
      <w:hyperlink r:id="rId578" w:history="1">
        <w:r w:rsidRPr="00D61F73">
          <w:rPr>
            <w:rStyle w:val="Hyperlink"/>
            <w:rFonts w:ascii="Arial" w:hAnsi="Arial" w:cs="Arial"/>
            <w:lang w:val="en"/>
          </w:rPr>
          <w:t>16849624</w:t>
        </w:r>
      </w:hyperlink>
    </w:p>
    <w:p w14:paraId="5D808048" w14:textId="77777777" w:rsidR="008D0565" w:rsidRPr="00D61F73" w:rsidRDefault="008D0565" w:rsidP="00D61F73">
      <w:pPr>
        <w:rPr>
          <w:rFonts w:ascii="Arial" w:hAnsi="Arial" w:cs="Arial"/>
          <w:lang w:val="en"/>
        </w:rPr>
      </w:pPr>
    </w:p>
    <w:p w14:paraId="25C631EF" w14:textId="77777777" w:rsidR="008D0565" w:rsidRPr="00D61F73" w:rsidRDefault="008D0565" w:rsidP="00D61F73">
      <w:pPr>
        <w:rPr>
          <w:rFonts w:ascii="Arial" w:hAnsi="Arial" w:cs="Arial"/>
          <w:lang w:val="en"/>
        </w:rPr>
      </w:pPr>
      <w:r w:rsidRPr="00D61F73">
        <w:rPr>
          <w:rFonts w:ascii="Arial" w:hAnsi="Arial" w:cs="Arial"/>
          <w:lang w:val="en"/>
        </w:rPr>
        <w:t>Rating: 5a</w:t>
      </w:r>
    </w:p>
    <w:p w14:paraId="3F766741" w14:textId="77777777" w:rsidR="008D0565" w:rsidRPr="00D61F73" w:rsidRDefault="008D0565" w:rsidP="00D61F73">
      <w:pPr>
        <w:rPr>
          <w:rFonts w:ascii="Arial" w:hAnsi="Arial" w:cs="Arial"/>
          <w:lang w:val="en"/>
        </w:rPr>
      </w:pPr>
    </w:p>
    <w:p w14:paraId="3C6402C1" w14:textId="77777777" w:rsidR="008D0565" w:rsidRPr="00D61F73" w:rsidRDefault="008D0565" w:rsidP="00D61F73">
      <w:pPr>
        <w:rPr>
          <w:rFonts w:ascii="Arial" w:hAnsi="Arial" w:cs="Arial"/>
          <w:lang w:val="en"/>
        </w:rPr>
      </w:pPr>
      <w:r w:rsidRPr="00D61F73">
        <w:rPr>
          <w:rFonts w:ascii="Arial" w:hAnsi="Arial" w:cs="Arial"/>
          <w:lang w:val="en"/>
        </w:rPr>
        <w:t>This article reiterates the warnings on dosage and adverse effects that were outlined by Fisher et al. in 2005.</w:t>
      </w:r>
    </w:p>
    <w:p w14:paraId="63CA6D4B" w14:textId="77777777" w:rsidR="008D0565" w:rsidRPr="00D61F73" w:rsidRDefault="008D0565" w:rsidP="00D61F73">
      <w:pPr>
        <w:rPr>
          <w:rFonts w:ascii="Arial" w:hAnsi="Arial" w:cs="Arial"/>
        </w:rPr>
      </w:pPr>
    </w:p>
    <w:p w14:paraId="67CFC58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93" w:name="Lynch2"/>
      <w:bookmarkEnd w:id="893"/>
      <w:r w:rsidRPr="00D61F73">
        <w:rPr>
          <w:rFonts w:ascii="Arial" w:hAnsi="Arial" w:cs="Arial"/>
          <w:b/>
        </w:rPr>
        <w:t xml:space="preserve">ynch ME, Clark AJ, Sawynok J, Sullivan MJ. Topical 2% amitriptyline and 1% ketamine in neuropathic pain syndromes: a randomized, double-blind, placebo-controlled trial. </w:t>
      </w:r>
      <w:r w:rsidRPr="00D61F73">
        <w:rPr>
          <w:rFonts w:ascii="Arial" w:hAnsi="Arial" w:cs="Arial"/>
          <w:b/>
          <w:i/>
        </w:rPr>
        <w:t>Anesthesiology</w:t>
      </w:r>
      <w:r w:rsidRPr="00D61F73">
        <w:rPr>
          <w:rFonts w:ascii="Arial" w:hAnsi="Arial" w:cs="Arial"/>
          <w:b/>
        </w:rPr>
        <w:t>. 2005;103:140-6.</w:t>
      </w:r>
    </w:p>
    <w:p w14:paraId="28D928AE" w14:textId="77777777" w:rsidR="008D0565" w:rsidRPr="00D61F73" w:rsidRDefault="008D0565" w:rsidP="00D61F73">
      <w:pPr>
        <w:rPr>
          <w:rFonts w:ascii="Arial" w:hAnsi="Arial" w:cs="Arial"/>
          <w:b/>
        </w:rPr>
      </w:pPr>
    </w:p>
    <w:p w14:paraId="2DFA58E1" w14:textId="77777777" w:rsidR="008D0565" w:rsidRPr="00D61F73" w:rsidRDefault="008D0565" w:rsidP="00D61F73">
      <w:pPr>
        <w:rPr>
          <w:rFonts w:ascii="Arial" w:hAnsi="Arial" w:cs="Arial"/>
        </w:rPr>
      </w:pPr>
      <w:r w:rsidRPr="00D61F73">
        <w:rPr>
          <w:rFonts w:ascii="Arial" w:hAnsi="Arial" w:cs="Arial"/>
        </w:rPr>
        <w:t xml:space="preserve">CONCLUSION: This randomized, placebo-controlled trial examining topical 2% amitriptyline, 1% ketamine, and a combination in the treatment of neuropathic pain revealed no difference between groups. </w:t>
      </w:r>
    </w:p>
    <w:p w14:paraId="78307605" w14:textId="77777777" w:rsidR="008D0565" w:rsidRPr="00D61F73" w:rsidRDefault="008D0565" w:rsidP="00D61F73">
      <w:pPr>
        <w:rPr>
          <w:rFonts w:ascii="Arial" w:hAnsi="Arial" w:cs="Arial"/>
        </w:rPr>
      </w:pPr>
    </w:p>
    <w:p w14:paraId="762C8630" w14:textId="77777777" w:rsidR="008D0565" w:rsidRPr="00D61F73" w:rsidRDefault="008D0565" w:rsidP="00D61F73">
      <w:pPr>
        <w:rPr>
          <w:rFonts w:ascii="Arial" w:hAnsi="Arial" w:cs="Arial"/>
        </w:rPr>
      </w:pPr>
      <w:r w:rsidRPr="00D61F73">
        <w:rPr>
          <w:rFonts w:ascii="Arial" w:hAnsi="Arial" w:cs="Arial"/>
        </w:rPr>
        <w:t xml:space="preserve">PMID: </w:t>
      </w:r>
      <w:hyperlink r:id="rId579" w:history="1">
        <w:r w:rsidRPr="00D61F73">
          <w:rPr>
            <w:rStyle w:val="Hyperlink"/>
            <w:rFonts w:ascii="Arial" w:hAnsi="Arial" w:cs="Arial"/>
          </w:rPr>
          <w:t>15983466</w:t>
        </w:r>
      </w:hyperlink>
    </w:p>
    <w:p w14:paraId="2524E0B1" w14:textId="77777777" w:rsidR="008D0565" w:rsidRPr="00D61F73" w:rsidRDefault="008D0565" w:rsidP="00D61F73">
      <w:pPr>
        <w:rPr>
          <w:rFonts w:ascii="Arial" w:hAnsi="Arial" w:cs="Arial"/>
        </w:rPr>
      </w:pPr>
    </w:p>
    <w:p w14:paraId="12CCA684" w14:textId="77777777" w:rsidR="008D0565" w:rsidRPr="00D61F73" w:rsidRDefault="008D0565" w:rsidP="00D61F73">
      <w:pPr>
        <w:rPr>
          <w:rFonts w:ascii="Arial" w:hAnsi="Arial" w:cs="Arial"/>
        </w:rPr>
      </w:pPr>
      <w:r w:rsidRPr="00D61F73">
        <w:rPr>
          <w:rFonts w:ascii="Arial" w:hAnsi="Arial" w:cs="Arial"/>
        </w:rPr>
        <w:t>Rating: 2b</w:t>
      </w:r>
    </w:p>
    <w:p w14:paraId="501CE2F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L</w:t>
      </w:r>
      <w:bookmarkStart w:id="894" w:name="Lyseng"/>
      <w:bookmarkEnd w:id="894"/>
      <w:r w:rsidRPr="00D61F73">
        <w:rPr>
          <w:rFonts w:ascii="Arial" w:hAnsi="Arial" w:cs="Arial"/>
          <w:b/>
        </w:rPr>
        <w:t xml:space="preserve">yseng-Williamson KA, Perry C. Ziconotide. </w:t>
      </w:r>
      <w:r w:rsidRPr="00D61F73">
        <w:rPr>
          <w:rFonts w:ascii="Arial" w:hAnsi="Arial" w:cs="Arial"/>
          <w:b/>
          <w:i/>
          <w:iCs/>
        </w:rPr>
        <w:t>CNS Drugs</w:t>
      </w:r>
      <w:r w:rsidRPr="00D61F73">
        <w:rPr>
          <w:rFonts w:ascii="Arial" w:hAnsi="Arial" w:cs="Arial"/>
          <w:b/>
        </w:rPr>
        <w:t xml:space="preserve">. 2006;20(4):331-8 </w:t>
      </w:r>
    </w:p>
    <w:p w14:paraId="7F3C8687" w14:textId="77777777" w:rsidR="008D0565" w:rsidRPr="00D61F73" w:rsidRDefault="008D0565" w:rsidP="00D61F73">
      <w:pPr>
        <w:rPr>
          <w:rFonts w:ascii="Arial" w:hAnsi="Arial" w:cs="Arial"/>
        </w:rPr>
      </w:pPr>
    </w:p>
    <w:p w14:paraId="5001F6F5" w14:textId="77777777" w:rsidR="008D0565" w:rsidRPr="00D61F73" w:rsidRDefault="008D0565" w:rsidP="00D61F73">
      <w:pPr>
        <w:rPr>
          <w:rFonts w:ascii="Arial" w:hAnsi="Arial" w:cs="Arial"/>
        </w:rPr>
      </w:pPr>
      <w:r w:rsidRPr="00D61F73">
        <w:rPr>
          <w:rFonts w:ascii="Arial" w:hAnsi="Arial" w:cs="Arial"/>
        </w:rPr>
        <w:t xml:space="preserve">Ziconotide maintains its analgesic efficacy in preliminary results from long-term, open-label trials (data available for up to 12 months). </w:t>
      </w:r>
    </w:p>
    <w:p w14:paraId="766BF00A" w14:textId="77777777" w:rsidR="008D0565" w:rsidRPr="00D61F73" w:rsidRDefault="008D0565" w:rsidP="00D61F73">
      <w:pPr>
        <w:rPr>
          <w:rFonts w:ascii="Arial" w:hAnsi="Arial" w:cs="Arial"/>
        </w:rPr>
      </w:pPr>
    </w:p>
    <w:p w14:paraId="25E4A413" w14:textId="77777777" w:rsidR="008D0565" w:rsidRPr="00D61F73" w:rsidRDefault="008D0565" w:rsidP="00D61F73">
      <w:pPr>
        <w:rPr>
          <w:rFonts w:ascii="Arial" w:hAnsi="Arial" w:cs="Arial"/>
        </w:rPr>
      </w:pPr>
      <w:r w:rsidRPr="00D61F73">
        <w:rPr>
          <w:rFonts w:ascii="Arial" w:hAnsi="Arial" w:cs="Arial"/>
        </w:rPr>
        <w:t xml:space="preserve">PMID: </w:t>
      </w:r>
      <w:hyperlink r:id="rId580" w:history="1">
        <w:r w:rsidRPr="00D61F73">
          <w:rPr>
            <w:rStyle w:val="Hyperlink"/>
            <w:rFonts w:ascii="Arial" w:hAnsi="Arial" w:cs="Arial"/>
          </w:rPr>
          <w:t>16599651</w:t>
        </w:r>
      </w:hyperlink>
    </w:p>
    <w:p w14:paraId="4F772ADE" w14:textId="77777777" w:rsidR="008D0565" w:rsidRPr="00D61F73" w:rsidRDefault="008D0565" w:rsidP="00D61F73">
      <w:pPr>
        <w:rPr>
          <w:rFonts w:ascii="Arial" w:hAnsi="Arial" w:cs="Arial"/>
        </w:rPr>
      </w:pPr>
    </w:p>
    <w:p w14:paraId="29B468CE" w14:textId="77777777" w:rsidR="008D0565" w:rsidRPr="00D61F73" w:rsidRDefault="008D0565" w:rsidP="00D61F73">
      <w:pPr>
        <w:rPr>
          <w:rFonts w:ascii="Arial" w:hAnsi="Arial" w:cs="Arial"/>
        </w:rPr>
      </w:pPr>
      <w:r w:rsidRPr="00D61F73">
        <w:rPr>
          <w:rFonts w:ascii="Arial" w:hAnsi="Arial" w:cs="Arial"/>
        </w:rPr>
        <w:t>Rating: 5b</w:t>
      </w:r>
    </w:p>
    <w:p w14:paraId="09257EB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895" w:name="Mackey"/>
      <w:bookmarkEnd w:id="895"/>
      <w:r w:rsidRPr="00D61F73">
        <w:rPr>
          <w:rFonts w:ascii="Arial" w:hAnsi="Arial" w:cs="Arial"/>
          <w:b/>
          <w:bCs/>
        </w:rPr>
        <w:t xml:space="preserve">ackey SC, Maeda F. Functional imaging and the neural systems of chronic pain. </w:t>
      </w:r>
      <w:r w:rsidRPr="00D61F73">
        <w:rPr>
          <w:rFonts w:ascii="Arial" w:hAnsi="Arial" w:cs="Arial"/>
          <w:b/>
          <w:bCs/>
          <w:i/>
          <w:iCs/>
        </w:rPr>
        <w:t>Neurosurg Clin N Am</w:t>
      </w:r>
      <w:r w:rsidRPr="00D61F73">
        <w:rPr>
          <w:rFonts w:ascii="Arial" w:hAnsi="Arial" w:cs="Arial"/>
          <w:b/>
          <w:bCs/>
        </w:rPr>
        <w:t xml:space="preserve">. 2004 Jul;15(3):269-88. </w:t>
      </w:r>
    </w:p>
    <w:p w14:paraId="7E7B81E1" w14:textId="77777777" w:rsidR="008D0565" w:rsidRPr="00D61F73" w:rsidRDefault="008D0565" w:rsidP="00D61F73">
      <w:pPr>
        <w:rPr>
          <w:rFonts w:ascii="Arial" w:hAnsi="Arial" w:cs="Arial"/>
        </w:rPr>
      </w:pPr>
    </w:p>
    <w:p w14:paraId="63328C8C" w14:textId="77777777" w:rsidR="008D0565" w:rsidRPr="00D61F73" w:rsidRDefault="008D0565" w:rsidP="00D61F73">
      <w:pPr>
        <w:rPr>
          <w:rFonts w:ascii="Arial" w:hAnsi="Arial" w:cs="Arial"/>
        </w:rPr>
      </w:pPr>
      <w:r w:rsidRPr="00D61F73">
        <w:rPr>
          <w:rFonts w:ascii="Arial" w:hAnsi="Arial" w:cs="Arial"/>
        </w:rPr>
        <w:t>Division of Pain Management, Department of Anesthesia, Stanford University Medical Center, Palo Alto, CA 94305, USA. smackey@stanford.edu</w:t>
      </w:r>
    </w:p>
    <w:p w14:paraId="2546C1C9" w14:textId="77777777" w:rsidR="008D0565" w:rsidRPr="00D61F73" w:rsidRDefault="008D0565" w:rsidP="00D61F73">
      <w:pPr>
        <w:rPr>
          <w:rFonts w:ascii="Arial" w:hAnsi="Arial" w:cs="Arial"/>
        </w:rPr>
      </w:pPr>
    </w:p>
    <w:p w14:paraId="2684F737" w14:textId="77777777" w:rsidR="008D0565" w:rsidRPr="00D61F73" w:rsidRDefault="008D0565" w:rsidP="00D61F73">
      <w:pPr>
        <w:rPr>
          <w:rFonts w:ascii="Arial" w:hAnsi="Arial" w:cs="Arial"/>
        </w:rPr>
      </w:pPr>
      <w:r w:rsidRPr="00D61F73">
        <w:rPr>
          <w:rFonts w:ascii="Arial" w:hAnsi="Arial" w:cs="Arial"/>
        </w:rPr>
        <w:t>Functional neuroimaging is helping to unlock the secrets of the sensory and emotional components of pain and its autonomic responses..</w:t>
      </w:r>
    </w:p>
    <w:p w14:paraId="560CBF7D" w14:textId="77777777" w:rsidR="008D0565" w:rsidRPr="00D61F73" w:rsidRDefault="008D0565" w:rsidP="00D61F73">
      <w:pPr>
        <w:rPr>
          <w:rFonts w:ascii="Arial" w:hAnsi="Arial" w:cs="Arial"/>
        </w:rPr>
      </w:pPr>
    </w:p>
    <w:p w14:paraId="421AF554" w14:textId="77777777" w:rsidR="008D0565" w:rsidRPr="00D61F73" w:rsidRDefault="008D0565" w:rsidP="00D61F73">
      <w:pPr>
        <w:rPr>
          <w:rFonts w:ascii="Arial" w:hAnsi="Arial" w:cs="Arial"/>
        </w:rPr>
      </w:pPr>
      <w:r w:rsidRPr="00D61F73">
        <w:rPr>
          <w:rFonts w:ascii="Arial" w:hAnsi="Arial" w:cs="Arial"/>
        </w:rPr>
        <w:t xml:space="preserve">PMID: </w:t>
      </w:r>
      <w:hyperlink r:id="rId581" w:history="1">
        <w:r w:rsidRPr="00D61F73">
          <w:rPr>
            <w:rStyle w:val="Hyperlink"/>
            <w:rFonts w:ascii="Arial" w:hAnsi="Arial" w:cs="Arial"/>
          </w:rPr>
          <w:t>15246336</w:t>
        </w:r>
      </w:hyperlink>
    </w:p>
    <w:p w14:paraId="1F4265F8" w14:textId="77777777" w:rsidR="008D0565" w:rsidRPr="00D61F73" w:rsidRDefault="008D0565" w:rsidP="00D61F73">
      <w:pPr>
        <w:rPr>
          <w:rFonts w:ascii="Arial" w:hAnsi="Arial" w:cs="Arial"/>
        </w:rPr>
      </w:pPr>
    </w:p>
    <w:p w14:paraId="514E9563"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5b</w:t>
      </w:r>
    </w:p>
    <w:p w14:paraId="4EC5DCF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896" w:name="Mackie"/>
      <w:bookmarkEnd w:id="896"/>
      <w:r w:rsidRPr="00D61F73">
        <w:rPr>
          <w:rFonts w:ascii="Arial" w:hAnsi="Arial" w:cs="Arial"/>
          <w:b/>
          <w:bCs/>
        </w:rPr>
        <w:t>ackie K, Huestis MA, Ratcliffe S, Mead AP. Cannabinoids -- a new class of analgesics. Presentation of the 23rd Annual Meeting of the American Academy of Pain Medicine; February 8, 2007; New Orleans, Louisiana.</w:t>
      </w:r>
    </w:p>
    <w:p w14:paraId="17B9EB8F" w14:textId="77777777" w:rsidR="008D0565" w:rsidRPr="00D61F73" w:rsidRDefault="008D0565" w:rsidP="00D61F73">
      <w:pPr>
        <w:rPr>
          <w:rFonts w:ascii="Arial" w:hAnsi="Arial" w:cs="Arial"/>
        </w:rPr>
      </w:pPr>
    </w:p>
    <w:p w14:paraId="528E96E7" w14:textId="77777777" w:rsidR="008D0565" w:rsidRPr="00D61F73" w:rsidRDefault="008D0565" w:rsidP="00D61F73">
      <w:pPr>
        <w:rPr>
          <w:rFonts w:ascii="Arial" w:hAnsi="Arial" w:cs="Arial"/>
        </w:rPr>
      </w:pPr>
      <w:r w:rsidRPr="00D61F73">
        <w:rPr>
          <w:rFonts w:ascii="Arial" w:hAnsi="Arial" w:cs="Arial"/>
        </w:rPr>
        <w:t>Cannabinoids have demonstrated significant analgesic properties, but problems with side effects remain. The CBME compound has been approved in Canada to treat neuropathic pain generated by MS. Obstacles remain to achieving full regulatory and legal approval for cannabis-based medicine in the United States. Eleven states have medical marijuana laws providing patients and caregivers a defense against prosecution; however, federal rulings have created gray areas in how far a practitioner may go to help a patient obtain cannabis.</w:t>
      </w:r>
    </w:p>
    <w:p w14:paraId="43400079" w14:textId="77777777" w:rsidR="008D0565" w:rsidRPr="00D61F73" w:rsidRDefault="008D0565" w:rsidP="00D61F73">
      <w:pPr>
        <w:rPr>
          <w:rFonts w:ascii="Arial" w:hAnsi="Arial" w:cs="Arial"/>
        </w:rPr>
      </w:pPr>
    </w:p>
    <w:p w14:paraId="095EF2A9" w14:textId="77777777" w:rsidR="008D0565" w:rsidRPr="00D61F73" w:rsidRDefault="008D0565" w:rsidP="00D61F73">
      <w:pPr>
        <w:rPr>
          <w:rFonts w:ascii="Arial" w:hAnsi="Arial" w:cs="Arial"/>
        </w:rPr>
      </w:pPr>
      <w:r w:rsidRPr="00D61F73">
        <w:rPr>
          <w:rFonts w:ascii="Arial" w:hAnsi="Arial" w:cs="Arial"/>
        </w:rPr>
        <w:t>Rating: 10b</w:t>
      </w:r>
    </w:p>
    <w:p w14:paraId="1A8FE290"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897" w:name="Maclaren"/>
      <w:bookmarkEnd w:id="897"/>
      <w:r w:rsidRPr="00D61F73">
        <w:rPr>
          <w:rFonts w:ascii="Arial" w:hAnsi="Arial" w:cs="Arial"/>
          <w:b/>
        </w:rPr>
        <w:t xml:space="preserve">aclaren JE, Gross RT, Sperry JA, Boggess JT. Impact of opioid use on outcomes of functional restoration. </w:t>
      </w:r>
      <w:r w:rsidRPr="00D61F73">
        <w:rPr>
          <w:rFonts w:ascii="Arial" w:hAnsi="Arial" w:cs="Arial"/>
          <w:b/>
          <w:i/>
        </w:rPr>
        <w:t>Clin J Pain</w:t>
      </w:r>
      <w:r w:rsidRPr="00D61F73">
        <w:rPr>
          <w:rFonts w:ascii="Arial" w:hAnsi="Arial" w:cs="Arial"/>
          <w:b/>
        </w:rPr>
        <w:t>. 2006 May;22(4):392-8.</w:t>
      </w:r>
    </w:p>
    <w:p w14:paraId="1CF36563" w14:textId="77777777" w:rsidR="008D0565" w:rsidRPr="00D61F73" w:rsidRDefault="008D0565" w:rsidP="00D61F73">
      <w:pPr>
        <w:rPr>
          <w:rFonts w:ascii="Arial" w:hAnsi="Arial" w:cs="Arial"/>
        </w:rPr>
      </w:pPr>
    </w:p>
    <w:p w14:paraId="40854DD9" w14:textId="77777777" w:rsidR="008D0565" w:rsidRPr="00D61F73" w:rsidRDefault="008D0565" w:rsidP="00D61F73">
      <w:pPr>
        <w:rPr>
          <w:rFonts w:ascii="Arial" w:hAnsi="Arial" w:cs="Arial"/>
        </w:rPr>
      </w:pPr>
      <w:r w:rsidRPr="00D61F73">
        <w:rPr>
          <w:rFonts w:ascii="Arial" w:hAnsi="Arial" w:cs="Arial"/>
        </w:rPr>
        <w:t>DISCUSSION: Although further exploration is warranted, results of the current study suggest that opioid use during rehabilitation does not necessarily preclude treatment success.</w:t>
      </w:r>
    </w:p>
    <w:p w14:paraId="5508513A" w14:textId="77777777" w:rsidR="008D0565" w:rsidRPr="00D61F73" w:rsidRDefault="008D0565" w:rsidP="00D61F73">
      <w:pPr>
        <w:rPr>
          <w:rFonts w:ascii="Arial" w:hAnsi="Arial" w:cs="Arial"/>
        </w:rPr>
      </w:pPr>
    </w:p>
    <w:p w14:paraId="3B20FE47" w14:textId="77777777" w:rsidR="008D0565" w:rsidRPr="00D61F73" w:rsidRDefault="008D0565" w:rsidP="00D61F73">
      <w:pPr>
        <w:rPr>
          <w:rFonts w:ascii="Arial" w:hAnsi="Arial" w:cs="Arial"/>
        </w:rPr>
      </w:pPr>
      <w:r w:rsidRPr="00D61F73">
        <w:rPr>
          <w:rFonts w:ascii="Arial" w:hAnsi="Arial" w:cs="Arial"/>
        </w:rPr>
        <w:t xml:space="preserve">PMID: </w:t>
      </w:r>
      <w:hyperlink r:id="rId582" w:history="1">
        <w:r w:rsidRPr="00D61F73">
          <w:rPr>
            <w:rStyle w:val="Hyperlink"/>
            <w:rFonts w:ascii="Arial" w:hAnsi="Arial" w:cs="Arial"/>
          </w:rPr>
          <w:t>16691094</w:t>
        </w:r>
      </w:hyperlink>
      <w:r w:rsidRPr="00D61F73">
        <w:rPr>
          <w:rFonts w:ascii="Arial" w:hAnsi="Arial" w:cs="Arial"/>
        </w:rPr>
        <w:t xml:space="preserve"> </w:t>
      </w:r>
    </w:p>
    <w:p w14:paraId="7BC7CC52" w14:textId="77777777" w:rsidR="008D0565" w:rsidRPr="00D61F73" w:rsidRDefault="008D0565" w:rsidP="00D61F73">
      <w:pPr>
        <w:rPr>
          <w:rFonts w:ascii="Arial" w:hAnsi="Arial" w:cs="Arial"/>
        </w:rPr>
      </w:pPr>
    </w:p>
    <w:p w14:paraId="3AF66086" w14:textId="77777777" w:rsidR="008D0565" w:rsidRPr="00D61F73" w:rsidRDefault="008D0565" w:rsidP="00D61F73">
      <w:pPr>
        <w:rPr>
          <w:rFonts w:ascii="Arial" w:hAnsi="Arial" w:cs="Arial"/>
        </w:rPr>
      </w:pPr>
      <w:r w:rsidRPr="00D61F73">
        <w:rPr>
          <w:rFonts w:ascii="Arial" w:hAnsi="Arial" w:cs="Arial"/>
        </w:rPr>
        <w:t>Rating: 4b</w:t>
      </w:r>
    </w:p>
    <w:p w14:paraId="18E1BC8A" w14:textId="77777777" w:rsidR="008D0565" w:rsidRPr="00D61F73" w:rsidRDefault="008D0565" w:rsidP="00D61F73">
      <w:pPr>
        <w:rPr>
          <w:rFonts w:ascii="Arial" w:hAnsi="Arial" w:cs="Arial"/>
        </w:rPr>
      </w:pPr>
    </w:p>
    <w:p w14:paraId="270AB507" w14:textId="77777777" w:rsidR="008D0565" w:rsidRPr="00D61F73" w:rsidRDefault="008D0565" w:rsidP="00D61F73">
      <w:pPr>
        <w:rPr>
          <w:rFonts w:ascii="Arial" w:hAnsi="Arial" w:cs="Arial"/>
        </w:rPr>
      </w:pPr>
      <w:r w:rsidRPr="00D61F73">
        <w:rPr>
          <w:rFonts w:ascii="Arial" w:hAnsi="Arial" w:cs="Arial"/>
        </w:rPr>
        <w:t xml:space="preserve">Note: The mean dose of daily morphine equivalents was 28.63 mg (range 0.53 mg to 150 mg), which may limit the generalizability of the study </w:t>
      </w:r>
    </w:p>
    <w:p w14:paraId="60CF9E8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898" w:name="Maier2010"/>
      <w:bookmarkEnd w:id="898"/>
      <w:r w:rsidRPr="00D61F73">
        <w:rPr>
          <w:rFonts w:ascii="Arial" w:hAnsi="Arial" w:cs="Arial"/>
          <w:b/>
          <w:bCs/>
        </w:rPr>
        <w:t xml:space="preserve">aier C, Gockel HH, Gruhn K, Krumova EK, Edel MA. Increased risk of suicide under intrathecal ziconotide treatment? - A warning. </w:t>
      </w:r>
      <w:r w:rsidRPr="00D61F73">
        <w:rPr>
          <w:rFonts w:ascii="Arial" w:hAnsi="Arial" w:cs="Arial"/>
          <w:b/>
          <w:bCs/>
          <w:i/>
          <w:iCs/>
        </w:rPr>
        <w:t>Pain.</w:t>
      </w:r>
      <w:r w:rsidRPr="00D61F73">
        <w:rPr>
          <w:rFonts w:ascii="Arial" w:hAnsi="Arial" w:cs="Arial"/>
          <w:b/>
          <w:bCs/>
        </w:rPr>
        <w:t xml:space="preserve"> 2010 Oct 30. [Epub ahead of print]</w:t>
      </w:r>
    </w:p>
    <w:p w14:paraId="1801FB89" w14:textId="77777777" w:rsidR="008D0565" w:rsidRPr="00D61F73" w:rsidRDefault="008D0565" w:rsidP="00D61F73">
      <w:pPr>
        <w:rPr>
          <w:rFonts w:ascii="Arial" w:hAnsi="Arial" w:cs="Arial"/>
        </w:rPr>
      </w:pPr>
    </w:p>
    <w:p w14:paraId="1F1B83B9" w14:textId="77777777" w:rsidR="008D0565" w:rsidRPr="00D61F73" w:rsidRDefault="008D0565" w:rsidP="00D61F73">
      <w:pPr>
        <w:rPr>
          <w:rFonts w:ascii="Arial" w:hAnsi="Arial" w:cs="Arial"/>
        </w:rPr>
      </w:pPr>
      <w:r w:rsidRPr="00D61F73">
        <w:rPr>
          <w:rFonts w:ascii="Arial" w:hAnsi="Arial" w:cs="Arial"/>
        </w:rPr>
        <w:t xml:space="preserve">These cases substantiate the suspicion of a causal relationship between ziconotide and suicidality even in symptom-free patients with a history of depression. </w:t>
      </w:r>
    </w:p>
    <w:p w14:paraId="7D991896" w14:textId="77777777" w:rsidR="008D0565" w:rsidRPr="00D61F73" w:rsidRDefault="008D0565" w:rsidP="00D61F73">
      <w:pPr>
        <w:rPr>
          <w:rFonts w:ascii="Arial" w:hAnsi="Arial" w:cs="Arial"/>
        </w:rPr>
      </w:pPr>
    </w:p>
    <w:p w14:paraId="75511E29" w14:textId="77777777" w:rsidR="008D0565" w:rsidRPr="00D61F73" w:rsidRDefault="008D0565" w:rsidP="00D61F73">
      <w:pPr>
        <w:rPr>
          <w:rFonts w:ascii="Arial" w:hAnsi="Arial" w:cs="Arial"/>
        </w:rPr>
      </w:pPr>
      <w:r w:rsidRPr="00D61F73">
        <w:rPr>
          <w:rFonts w:ascii="Arial" w:hAnsi="Arial" w:cs="Arial"/>
        </w:rPr>
        <w:t xml:space="preserve">PMID: </w:t>
      </w:r>
      <w:hyperlink r:id="rId583" w:history="1">
        <w:r w:rsidRPr="00D61F73">
          <w:rPr>
            <w:rStyle w:val="Hyperlink"/>
            <w:rFonts w:ascii="Arial" w:hAnsi="Arial" w:cs="Arial"/>
          </w:rPr>
          <w:t>21041028</w:t>
        </w:r>
      </w:hyperlink>
      <w:r w:rsidRPr="00D61F73">
        <w:rPr>
          <w:rFonts w:ascii="Arial" w:hAnsi="Arial" w:cs="Arial"/>
        </w:rPr>
        <w:t xml:space="preserve"> </w:t>
      </w:r>
    </w:p>
    <w:p w14:paraId="43FF0BD9" w14:textId="77777777" w:rsidR="008D0565" w:rsidRPr="00D61F73" w:rsidRDefault="008D0565" w:rsidP="00D61F73">
      <w:pPr>
        <w:rPr>
          <w:rFonts w:ascii="Arial" w:hAnsi="Arial" w:cs="Arial"/>
        </w:rPr>
      </w:pPr>
    </w:p>
    <w:p w14:paraId="2A764E8A" w14:textId="77777777" w:rsidR="008D0565" w:rsidRPr="00D61F73" w:rsidRDefault="008D0565" w:rsidP="00D61F73">
      <w:pPr>
        <w:rPr>
          <w:rFonts w:ascii="Arial" w:hAnsi="Arial" w:cs="Arial"/>
        </w:rPr>
      </w:pPr>
      <w:r w:rsidRPr="00D61F73">
        <w:rPr>
          <w:rFonts w:ascii="Arial" w:hAnsi="Arial" w:cs="Arial"/>
        </w:rPr>
        <w:t>Rating: 5c</w:t>
      </w:r>
    </w:p>
    <w:p w14:paraId="17AFBB48" w14:textId="20090F44" w:rsidR="008D0565" w:rsidRPr="00D61F73" w:rsidRDefault="008D0565" w:rsidP="00D61F73">
      <w:pPr>
        <w:rPr>
          <w:rFonts w:ascii="Arial" w:hAnsi="Arial" w:cs="Arial"/>
          <w:b/>
          <w:bCs/>
        </w:rPr>
      </w:pPr>
      <w:r w:rsidRPr="00D61F73">
        <w:rPr>
          <w:rFonts w:ascii="Arial" w:hAnsi="Arial" w:cs="Arial"/>
        </w:rPr>
        <w:br w:type="page"/>
      </w:r>
      <w:bookmarkStart w:id="899" w:name="Mailis"/>
      <w:r w:rsidRPr="004423C7">
        <w:rPr>
          <w:rFonts w:ascii="Arial" w:hAnsi="Arial" w:cs="Arial"/>
          <w:b/>
          <w:bCs/>
        </w:rPr>
        <w:lastRenderedPageBreak/>
        <w:t>Mailis</w:t>
      </w:r>
      <w:bookmarkEnd w:id="899"/>
      <w:r w:rsidRPr="004423C7">
        <w:rPr>
          <w:rFonts w:ascii="Arial" w:hAnsi="Arial" w:cs="Arial"/>
          <w:b/>
          <w:bCs/>
        </w:rPr>
        <w:t xml:space="preserve"> A, Furlan A</w:t>
      </w:r>
      <w:r w:rsidRPr="00D61F73">
        <w:rPr>
          <w:rFonts w:ascii="Arial" w:hAnsi="Arial" w:cs="Arial"/>
          <w:b/>
          <w:bCs/>
        </w:rPr>
        <w:t>, Sympathectomy for neuropathic pain (Cochrane Review), Cochrane Database Syst Rev. 2003;(2):CD002918</w:t>
      </w:r>
    </w:p>
    <w:p w14:paraId="4BB08702" w14:textId="77777777" w:rsidR="008D0565" w:rsidRPr="00D61F73" w:rsidRDefault="008D0565" w:rsidP="00D61F73">
      <w:pPr>
        <w:rPr>
          <w:rFonts w:ascii="Arial" w:hAnsi="Arial" w:cs="Arial"/>
        </w:rPr>
      </w:pPr>
    </w:p>
    <w:p w14:paraId="4E382700" w14:textId="77777777" w:rsidR="008D0565" w:rsidRPr="00D61F73" w:rsidRDefault="008D0565" w:rsidP="00D61F73">
      <w:pPr>
        <w:rPr>
          <w:rFonts w:ascii="Arial" w:hAnsi="Arial" w:cs="Arial"/>
        </w:rPr>
      </w:pPr>
      <w:r w:rsidRPr="00D61F73">
        <w:rPr>
          <w:rFonts w:ascii="Arial" w:hAnsi="Arial" w:cs="Arial"/>
        </w:rPr>
        <w:t xml:space="preserve">CONCLUSIONS: The practice of surgical and chemical sympathectomy is based on poor quality evidence, uncontrolled studies and personal experience. Furthermore, complications of the procedure may be significant, in terms of both worsening the pain or producing a new pain syndrome; and abnormal forms of sweating (compensatory hyperhidrosis and pathological gustatory sweating). </w:t>
      </w:r>
    </w:p>
    <w:p w14:paraId="5B3D0B95" w14:textId="77777777" w:rsidR="008D0565" w:rsidRPr="00D61F73" w:rsidRDefault="008D0565" w:rsidP="00D61F73">
      <w:pPr>
        <w:rPr>
          <w:rFonts w:ascii="Arial" w:hAnsi="Arial" w:cs="Arial"/>
        </w:rPr>
      </w:pPr>
    </w:p>
    <w:p w14:paraId="4FF23223" w14:textId="77777777" w:rsidR="008D0565" w:rsidRPr="00D61F73" w:rsidRDefault="008D0565" w:rsidP="00D61F73">
      <w:pPr>
        <w:rPr>
          <w:rFonts w:ascii="Arial" w:hAnsi="Arial" w:cs="Arial"/>
        </w:rPr>
      </w:pPr>
      <w:r w:rsidRPr="00D61F73">
        <w:rPr>
          <w:rFonts w:ascii="Arial" w:hAnsi="Arial" w:cs="Arial"/>
        </w:rPr>
        <w:t xml:space="preserve">PMID: </w:t>
      </w:r>
      <w:hyperlink r:id="rId584" w:history="1">
        <w:r w:rsidRPr="00D61F73">
          <w:rPr>
            <w:rStyle w:val="Hyperlink"/>
            <w:rFonts w:ascii="Arial" w:hAnsi="Arial" w:cs="Arial"/>
          </w:rPr>
          <w:t>12804444</w:t>
        </w:r>
      </w:hyperlink>
    </w:p>
    <w:p w14:paraId="197A4ED8" w14:textId="77777777" w:rsidR="008D0565" w:rsidRPr="00D61F73" w:rsidRDefault="008D0565" w:rsidP="00D61F73">
      <w:pPr>
        <w:rPr>
          <w:rFonts w:ascii="Arial" w:hAnsi="Arial" w:cs="Arial"/>
        </w:rPr>
      </w:pPr>
    </w:p>
    <w:p w14:paraId="042F7E0D"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Mailis-</w:t>
      </w:r>
      <w:bookmarkStart w:id="900" w:name="MailisGagnon"/>
      <w:bookmarkEnd w:id="900"/>
      <w:r w:rsidRPr="00D61F73">
        <w:rPr>
          <w:rFonts w:ascii="Arial" w:hAnsi="Arial" w:cs="Arial"/>
          <w:b/>
          <w:bCs/>
        </w:rPr>
        <w:t xml:space="preserve">Gagnon A, Furlan A, Sandoval J, Taylor R, Spinal cord stimulation for chronic pain, </w:t>
      </w:r>
      <w:r w:rsidRPr="00D61F73">
        <w:rPr>
          <w:rFonts w:ascii="Arial" w:hAnsi="Arial" w:cs="Arial"/>
          <w:b/>
          <w:bCs/>
          <w:i/>
          <w:iCs/>
        </w:rPr>
        <w:t>Cochrane Database Syst Rev</w:t>
      </w:r>
      <w:r w:rsidRPr="00D61F73">
        <w:rPr>
          <w:rFonts w:ascii="Arial" w:hAnsi="Arial" w:cs="Arial"/>
          <w:b/>
          <w:bCs/>
        </w:rPr>
        <w:t>. 2004;3:CD003783</w:t>
      </w:r>
    </w:p>
    <w:p w14:paraId="2D037A70" w14:textId="77777777" w:rsidR="008D0565" w:rsidRPr="00D61F73" w:rsidRDefault="008D0565" w:rsidP="00D61F73">
      <w:pPr>
        <w:rPr>
          <w:rFonts w:ascii="Arial" w:hAnsi="Arial" w:cs="Arial"/>
        </w:rPr>
      </w:pPr>
    </w:p>
    <w:p w14:paraId="797CD9A0" w14:textId="77777777" w:rsidR="008D0565" w:rsidRPr="00D61F73" w:rsidRDefault="008D0565" w:rsidP="00D61F73">
      <w:pPr>
        <w:rPr>
          <w:rFonts w:ascii="Arial" w:hAnsi="Arial" w:cs="Arial"/>
        </w:rPr>
      </w:pPr>
      <w:r w:rsidRPr="00D61F73">
        <w:rPr>
          <w:rFonts w:ascii="Arial" w:hAnsi="Arial" w:cs="Arial"/>
        </w:rPr>
        <w:t xml:space="preserve">CONCLUSIONS: Although there is limited evidence in favour of SCS for Failed Back Surgery Syndrome and Complex Regional Pain Syndrome Type I, more trials are needed to confirm whether SCS is an effective treatment for certain types of chronic pain. </w:t>
      </w:r>
    </w:p>
    <w:p w14:paraId="45B5BF25" w14:textId="77777777" w:rsidR="008D0565" w:rsidRPr="00D61F73" w:rsidRDefault="008D0565" w:rsidP="00D61F73">
      <w:pPr>
        <w:rPr>
          <w:rFonts w:ascii="Arial" w:hAnsi="Arial" w:cs="Arial"/>
        </w:rPr>
      </w:pPr>
    </w:p>
    <w:p w14:paraId="6872B732" w14:textId="77777777" w:rsidR="008D0565" w:rsidRPr="00D61F73" w:rsidRDefault="008D0565" w:rsidP="00D61F73">
      <w:pPr>
        <w:rPr>
          <w:rFonts w:ascii="Arial" w:hAnsi="Arial" w:cs="Arial"/>
        </w:rPr>
      </w:pPr>
      <w:r w:rsidRPr="00D61F73">
        <w:rPr>
          <w:rFonts w:ascii="Arial" w:hAnsi="Arial" w:cs="Arial"/>
        </w:rPr>
        <w:t xml:space="preserve">PMID: </w:t>
      </w:r>
      <w:hyperlink r:id="rId585" w:history="1">
        <w:r w:rsidRPr="00D61F73">
          <w:rPr>
            <w:rStyle w:val="Hyperlink"/>
            <w:rFonts w:ascii="Arial" w:hAnsi="Arial" w:cs="Arial"/>
          </w:rPr>
          <w:t>15266501</w:t>
        </w:r>
      </w:hyperlink>
      <w:r w:rsidRPr="00D61F73">
        <w:rPr>
          <w:rFonts w:ascii="Arial" w:hAnsi="Arial" w:cs="Arial"/>
        </w:rPr>
        <w:t xml:space="preserve"> </w:t>
      </w:r>
    </w:p>
    <w:p w14:paraId="13EAE151" w14:textId="77777777" w:rsidR="008D0565" w:rsidRPr="00D61F73" w:rsidRDefault="008D0565" w:rsidP="00D61F73">
      <w:pPr>
        <w:rPr>
          <w:rFonts w:ascii="Arial" w:hAnsi="Arial" w:cs="Arial"/>
        </w:rPr>
      </w:pPr>
    </w:p>
    <w:p w14:paraId="34D2A656" w14:textId="77777777" w:rsidR="008D0565" w:rsidRPr="00D61F73" w:rsidRDefault="008D0565" w:rsidP="00D61F73">
      <w:pPr>
        <w:rPr>
          <w:rFonts w:ascii="Arial" w:hAnsi="Arial" w:cs="Arial"/>
        </w:rPr>
      </w:pPr>
      <w:r w:rsidRPr="00D61F73">
        <w:rPr>
          <w:rFonts w:ascii="Arial" w:hAnsi="Arial" w:cs="Arial"/>
        </w:rPr>
        <w:t>Rating: 1b</w:t>
      </w:r>
    </w:p>
    <w:p w14:paraId="1043F6C7" w14:textId="62DC1551" w:rsidR="008D0565" w:rsidRPr="00D61F73" w:rsidRDefault="008D0565" w:rsidP="00D61F73">
      <w:pPr>
        <w:rPr>
          <w:rFonts w:ascii="Arial" w:hAnsi="Arial" w:cs="Arial"/>
          <w:b/>
          <w:bCs/>
        </w:rPr>
      </w:pPr>
      <w:r w:rsidRPr="00D61F73">
        <w:rPr>
          <w:rFonts w:ascii="Arial" w:hAnsi="Arial" w:cs="Arial"/>
        </w:rPr>
        <w:br w:type="page"/>
      </w:r>
      <w:bookmarkStart w:id="901" w:name="Main"/>
      <w:r w:rsidRPr="004423C7">
        <w:rPr>
          <w:rFonts w:ascii="Arial" w:hAnsi="Arial" w:cs="Arial"/>
          <w:b/>
          <w:bCs/>
        </w:rPr>
        <w:lastRenderedPageBreak/>
        <w:t>Main</w:t>
      </w:r>
      <w:bookmarkEnd w:id="901"/>
      <w:r w:rsidRPr="004423C7">
        <w:rPr>
          <w:rFonts w:ascii="Arial" w:hAnsi="Arial" w:cs="Arial"/>
          <w:b/>
          <w:bCs/>
        </w:rPr>
        <w:t xml:space="preserve"> CJ, Williams AC</w:t>
      </w:r>
      <w:r w:rsidRPr="00D61F73">
        <w:rPr>
          <w:rFonts w:ascii="Arial" w:hAnsi="Arial" w:cs="Arial"/>
          <w:b/>
          <w:bCs/>
        </w:rPr>
        <w:t xml:space="preserve">, Clinical review ABC of psychological medicine Musculoskeletal pain, </w:t>
      </w:r>
      <w:r w:rsidRPr="00D61F73">
        <w:rPr>
          <w:rFonts w:ascii="Arial" w:hAnsi="Arial" w:cs="Arial"/>
          <w:b/>
          <w:bCs/>
          <w:i/>
          <w:iCs/>
        </w:rPr>
        <w:t xml:space="preserve">BMJ </w:t>
      </w:r>
      <w:r w:rsidRPr="00D61F73">
        <w:rPr>
          <w:rFonts w:ascii="Arial" w:hAnsi="Arial" w:cs="Arial"/>
          <w:b/>
          <w:bCs/>
        </w:rPr>
        <w:t>2002;325:534-537 ( 7 September )</w:t>
      </w:r>
    </w:p>
    <w:p w14:paraId="1A5EF95A" w14:textId="77777777" w:rsidR="008D0565" w:rsidRPr="00D61F73" w:rsidRDefault="008D0565" w:rsidP="00D61F73">
      <w:pPr>
        <w:rPr>
          <w:rFonts w:ascii="Arial" w:hAnsi="Arial" w:cs="Arial"/>
        </w:rPr>
      </w:pPr>
    </w:p>
    <w:p w14:paraId="4890A8FE" w14:textId="77777777" w:rsidR="008D0565" w:rsidRPr="00D61F73" w:rsidRDefault="008D0565" w:rsidP="00D61F73">
      <w:pPr>
        <w:rPr>
          <w:rFonts w:ascii="Arial" w:hAnsi="Arial" w:cs="Arial"/>
        </w:rPr>
      </w:pPr>
      <w:r w:rsidRPr="00D61F73">
        <w:rPr>
          <w:rFonts w:ascii="Arial" w:hAnsi="Arial" w:cs="Arial"/>
        </w:rPr>
        <w:t>Psychological and social factors have been shown to play a major</w:t>
      </w:r>
      <w:r w:rsidRPr="00D61F73">
        <w:rPr>
          <w:rFonts w:ascii="Arial" w:hAnsi="Arial" w:cs="Arial"/>
          <w:vertAlign w:val="superscript"/>
        </w:rPr>
        <w:t xml:space="preserve"> </w:t>
      </w:r>
      <w:r w:rsidRPr="00D61F73">
        <w:rPr>
          <w:rFonts w:ascii="Arial" w:hAnsi="Arial" w:cs="Arial"/>
        </w:rPr>
        <w:t>role in exacerbating the biological substrate of pain by influencing</w:t>
      </w:r>
      <w:r w:rsidRPr="00D61F73">
        <w:rPr>
          <w:rFonts w:ascii="Arial" w:hAnsi="Arial" w:cs="Arial"/>
          <w:vertAlign w:val="superscript"/>
        </w:rPr>
        <w:t xml:space="preserve"> </w:t>
      </w:r>
      <w:r w:rsidRPr="00D61F73">
        <w:rPr>
          <w:rFonts w:ascii="Arial" w:hAnsi="Arial" w:cs="Arial"/>
        </w:rPr>
        <w:t>pain perception and the development of chronic disability. This</w:t>
      </w:r>
      <w:r w:rsidRPr="00D61F73">
        <w:rPr>
          <w:rFonts w:ascii="Arial" w:hAnsi="Arial" w:cs="Arial"/>
          <w:vertAlign w:val="superscript"/>
        </w:rPr>
        <w:t xml:space="preserve"> </w:t>
      </w:r>
      <w:r w:rsidRPr="00D61F73">
        <w:rPr>
          <w:rFonts w:ascii="Arial" w:hAnsi="Arial" w:cs="Arial"/>
        </w:rPr>
        <w:t>new understanding has led to a "biopsychosocial" model of back</w:t>
      </w:r>
      <w:r w:rsidRPr="00D61F73">
        <w:rPr>
          <w:rFonts w:ascii="Arial" w:hAnsi="Arial" w:cs="Arial"/>
          <w:vertAlign w:val="superscript"/>
        </w:rPr>
        <w:t xml:space="preserve"> </w:t>
      </w:r>
      <w:r w:rsidRPr="00D61F73">
        <w:rPr>
          <w:rFonts w:ascii="Arial" w:hAnsi="Arial" w:cs="Arial"/>
        </w:rPr>
        <w:t>pain.</w:t>
      </w:r>
    </w:p>
    <w:p w14:paraId="70AFF40F" w14:textId="77777777" w:rsidR="008D0565" w:rsidRPr="00D61F73" w:rsidRDefault="008D0565" w:rsidP="00D61F73">
      <w:pPr>
        <w:rPr>
          <w:rFonts w:ascii="Arial" w:hAnsi="Arial" w:cs="Arial"/>
        </w:rPr>
      </w:pPr>
    </w:p>
    <w:p w14:paraId="2932D0D9"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02" w:name="Maizels"/>
      <w:bookmarkEnd w:id="902"/>
      <w:r w:rsidRPr="00D61F73">
        <w:rPr>
          <w:rFonts w:ascii="Arial" w:hAnsi="Arial" w:cs="Arial"/>
          <w:b/>
          <w:bCs/>
        </w:rPr>
        <w:t xml:space="preserve">aizels M, McCarberg B. Antidepressants and antiepileptic drugs for chronic non-cancer pain. </w:t>
      </w:r>
      <w:r w:rsidRPr="00D61F73">
        <w:rPr>
          <w:rFonts w:ascii="Arial" w:hAnsi="Arial" w:cs="Arial"/>
          <w:b/>
          <w:bCs/>
          <w:i/>
          <w:iCs/>
        </w:rPr>
        <w:t>Am Fam Physician</w:t>
      </w:r>
      <w:r w:rsidRPr="00D61F73">
        <w:rPr>
          <w:rFonts w:ascii="Arial" w:hAnsi="Arial" w:cs="Arial"/>
          <w:b/>
          <w:bCs/>
        </w:rPr>
        <w:t>. 2005 Feb 1;71(3):483-90.</w:t>
      </w:r>
    </w:p>
    <w:p w14:paraId="1D82CFCE" w14:textId="77777777" w:rsidR="008D0565" w:rsidRPr="00D61F73" w:rsidRDefault="008D0565" w:rsidP="00D61F73">
      <w:pPr>
        <w:pStyle w:val="NormalWeb"/>
        <w:spacing w:before="0" w:beforeAutospacing="0" w:after="0" w:afterAutospacing="0"/>
        <w:rPr>
          <w:rFonts w:ascii="Arial" w:hAnsi="Arial" w:cs="Arial"/>
        </w:rPr>
      </w:pPr>
    </w:p>
    <w:p w14:paraId="3E6AC37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Tricyclic antidepressants have documented (although limited) efficacy in the treatment of fibromyalgia and chronic low back pain. Recent evidence suggests that duloxetine and pregabalin have modest efficacy in patients with fibromyalgia.</w:t>
      </w:r>
    </w:p>
    <w:p w14:paraId="20D882F8" w14:textId="77777777" w:rsidR="008D0565" w:rsidRPr="00D61F73" w:rsidRDefault="008D0565" w:rsidP="00D61F73">
      <w:pPr>
        <w:pStyle w:val="NormalWeb"/>
        <w:spacing w:before="0" w:beforeAutospacing="0" w:after="0" w:afterAutospacing="0"/>
        <w:rPr>
          <w:rFonts w:ascii="Arial" w:hAnsi="Arial" w:cs="Arial"/>
        </w:rPr>
      </w:pPr>
    </w:p>
    <w:p w14:paraId="2D25316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586" w:history="1">
        <w:r w:rsidRPr="00D61F73">
          <w:rPr>
            <w:rStyle w:val="Hyperlink"/>
            <w:rFonts w:ascii="Arial" w:hAnsi="Arial" w:cs="Arial"/>
          </w:rPr>
          <w:t>15712623</w:t>
        </w:r>
      </w:hyperlink>
    </w:p>
    <w:p w14:paraId="06E5C119" w14:textId="77777777" w:rsidR="008D0565" w:rsidRPr="00D61F73" w:rsidRDefault="008D0565" w:rsidP="00D61F73">
      <w:pPr>
        <w:pStyle w:val="NormalWeb"/>
        <w:spacing w:before="0" w:beforeAutospacing="0" w:after="0" w:afterAutospacing="0"/>
        <w:rPr>
          <w:rFonts w:ascii="Arial" w:hAnsi="Arial" w:cs="Arial"/>
        </w:rPr>
      </w:pPr>
    </w:p>
    <w:p w14:paraId="372D8CC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697ED767"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M</w:t>
      </w:r>
      <w:bookmarkStart w:id="903" w:name="Makris2010"/>
      <w:bookmarkEnd w:id="903"/>
      <w:r w:rsidRPr="00D61F73">
        <w:rPr>
          <w:rFonts w:ascii="Arial" w:hAnsi="Arial" w:cs="Arial"/>
          <w:b/>
        </w:rPr>
        <w:t xml:space="preserve">akris UE, Kohler MJ, Fraenkel L. Adverse effects of topical nonsteroidal antiinflammatory drugs in older adults with osteoarthritis: a systematic literature review. </w:t>
      </w:r>
      <w:r w:rsidRPr="00D61F73">
        <w:rPr>
          <w:rFonts w:ascii="Arial" w:hAnsi="Arial" w:cs="Arial"/>
          <w:b/>
          <w:i/>
        </w:rPr>
        <w:t>J Rheumatol</w:t>
      </w:r>
      <w:r w:rsidRPr="00D61F73">
        <w:rPr>
          <w:rFonts w:ascii="Arial" w:hAnsi="Arial" w:cs="Arial"/>
          <w:b/>
        </w:rPr>
        <w:t>. 2010;37:1236-43. Review.</w:t>
      </w:r>
    </w:p>
    <w:p w14:paraId="421A8932" w14:textId="77777777" w:rsidR="008D0565" w:rsidRPr="00D61F73" w:rsidRDefault="008D0565" w:rsidP="00D61F73">
      <w:pPr>
        <w:tabs>
          <w:tab w:val="left" w:pos="7200"/>
        </w:tabs>
        <w:rPr>
          <w:rFonts w:ascii="Arial" w:eastAsia="Calibri" w:hAnsi="Arial" w:cs="Arial"/>
        </w:rPr>
      </w:pPr>
    </w:p>
    <w:p w14:paraId="0F0E29E5"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CONCLUSION: Although topical NSAID are safer than oral NSAID (fewer severe gastrointestinal AE), a substantial proportion of older adults report systemic AE with topical agents. The withdrawal rate due to AE with topical agents is comparable to that of oral NSAID. </w:t>
      </w:r>
    </w:p>
    <w:p w14:paraId="2D69EACB" w14:textId="77777777" w:rsidR="008D0565" w:rsidRPr="00D61F73" w:rsidRDefault="008D0565" w:rsidP="00D61F73">
      <w:pPr>
        <w:tabs>
          <w:tab w:val="left" w:pos="7200"/>
        </w:tabs>
        <w:rPr>
          <w:rFonts w:ascii="Arial" w:eastAsia="Calibri" w:hAnsi="Arial" w:cs="Arial"/>
        </w:rPr>
      </w:pPr>
    </w:p>
    <w:p w14:paraId="536134DA" w14:textId="77777777" w:rsidR="008D0565" w:rsidRPr="00D61F73" w:rsidRDefault="008D0565" w:rsidP="00D61F73">
      <w:pPr>
        <w:tabs>
          <w:tab w:val="left" w:pos="7200"/>
        </w:tabs>
        <w:rPr>
          <w:rFonts w:ascii="Arial" w:eastAsia="Calibri" w:hAnsi="Arial" w:cs="Arial"/>
        </w:rPr>
      </w:pPr>
      <w:r w:rsidRPr="00D61F73">
        <w:rPr>
          <w:rFonts w:ascii="Arial" w:eastAsia="Calibri" w:hAnsi="Arial" w:cs="Arial"/>
        </w:rPr>
        <w:t xml:space="preserve">PMID: </w:t>
      </w:r>
      <w:hyperlink r:id="rId587" w:history="1">
        <w:r w:rsidRPr="00D61F73">
          <w:rPr>
            <w:rStyle w:val="Hyperlink"/>
            <w:rFonts w:ascii="Arial" w:eastAsia="Calibri" w:hAnsi="Arial" w:cs="Arial"/>
          </w:rPr>
          <w:t>20360183</w:t>
        </w:r>
      </w:hyperlink>
    </w:p>
    <w:p w14:paraId="5335777F" w14:textId="77777777" w:rsidR="008D0565" w:rsidRPr="00D61F73" w:rsidRDefault="008D0565" w:rsidP="00D61F73">
      <w:pPr>
        <w:tabs>
          <w:tab w:val="left" w:pos="7200"/>
        </w:tabs>
        <w:rPr>
          <w:rFonts w:ascii="Arial" w:eastAsia="Calibri" w:hAnsi="Arial" w:cs="Arial"/>
        </w:rPr>
      </w:pPr>
    </w:p>
    <w:p w14:paraId="453616FB"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1a</w:t>
      </w:r>
    </w:p>
    <w:p w14:paraId="471C7ED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04" w:name="Malanga2008"/>
      <w:bookmarkEnd w:id="904"/>
      <w:r w:rsidRPr="00D61F73">
        <w:rPr>
          <w:rFonts w:ascii="Arial" w:hAnsi="Arial" w:cs="Arial"/>
          <w:b/>
          <w:bCs/>
        </w:rPr>
        <w:t xml:space="preserve">alanga G, Wolff E. Evidence-informed management of chronic low back pain with nonsteroidal anti-inflammatory drugs, muscle relaxants, and simple analgesics. </w:t>
      </w:r>
      <w:r w:rsidRPr="00D61F73">
        <w:rPr>
          <w:rFonts w:ascii="Arial" w:hAnsi="Arial" w:cs="Arial"/>
          <w:b/>
          <w:bCs/>
          <w:i/>
          <w:iCs/>
        </w:rPr>
        <w:t>Spine J.</w:t>
      </w:r>
      <w:r w:rsidRPr="00D61F73">
        <w:rPr>
          <w:rFonts w:ascii="Arial" w:hAnsi="Arial" w:cs="Arial"/>
          <w:b/>
          <w:bCs/>
        </w:rPr>
        <w:t xml:space="preserve"> 2008;8:173-84. </w:t>
      </w:r>
    </w:p>
    <w:p w14:paraId="2B3AC7E9" w14:textId="77777777" w:rsidR="008D0565" w:rsidRPr="00D61F73" w:rsidRDefault="008D0565" w:rsidP="00D61F73">
      <w:pPr>
        <w:rPr>
          <w:rFonts w:ascii="Arial" w:hAnsi="Arial" w:cs="Arial"/>
        </w:rPr>
      </w:pPr>
    </w:p>
    <w:p w14:paraId="09140C44" w14:textId="77777777" w:rsidR="008D0565" w:rsidRPr="00D61F73" w:rsidRDefault="008D0565" w:rsidP="00D61F73">
      <w:pPr>
        <w:rPr>
          <w:rFonts w:ascii="Arial" w:hAnsi="Arial" w:cs="Arial"/>
        </w:rPr>
      </w:pPr>
      <w:r w:rsidRPr="00D61F73">
        <w:rPr>
          <w:rFonts w:ascii="Arial" w:hAnsi="Arial" w:cs="Arial"/>
        </w:rPr>
        <w:t>Articles in this special focus issue were contributed by leading spine practitioners and researchers, who were invited to summarize the best available evidence for a particular intervention and encouraged to make this information accessible to nonexperts</w:t>
      </w:r>
    </w:p>
    <w:p w14:paraId="61273F47" w14:textId="77777777" w:rsidR="008D0565" w:rsidRPr="00D61F73" w:rsidRDefault="008D0565" w:rsidP="00D61F73">
      <w:pPr>
        <w:rPr>
          <w:rFonts w:ascii="Arial" w:hAnsi="Arial" w:cs="Arial"/>
        </w:rPr>
      </w:pPr>
    </w:p>
    <w:p w14:paraId="39B377EF" w14:textId="77777777" w:rsidR="008D0565" w:rsidRPr="00D61F73" w:rsidRDefault="008D0565" w:rsidP="00D61F73">
      <w:pPr>
        <w:rPr>
          <w:rFonts w:ascii="Arial" w:hAnsi="Arial" w:cs="Arial"/>
        </w:rPr>
      </w:pPr>
      <w:r w:rsidRPr="00D61F73">
        <w:rPr>
          <w:rFonts w:ascii="Arial" w:hAnsi="Arial" w:cs="Arial"/>
        </w:rPr>
        <w:t xml:space="preserve">PMID: </w:t>
      </w:r>
      <w:hyperlink r:id="rId588" w:history="1">
        <w:r w:rsidRPr="00D61F73">
          <w:rPr>
            <w:rStyle w:val="Hyperlink"/>
            <w:rFonts w:ascii="Arial" w:hAnsi="Arial" w:cs="Arial"/>
          </w:rPr>
          <w:t>18164465</w:t>
        </w:r>
      </w:hyperlink>
      <w:r w:rsidRPr="00D61F73">
        <w:rPr>
          <w:rFonts w:ascii="Arial" w:hAnsi="Arial" w:cs="Arial"/>
        </w:rPr>
        <w:t xml:space="preserve"> </w:t>
      </w:r>
    </w:p>
    <w:p w14:paraId="350CF04E" w14:textId="77777777" w:rsidR="008D0565" w:rsidRPr="00D61F73" w:rsidRDefault="008D0565" w:rsidP="00D61F73">
      <w:pPr>
        <w:rPr>
          <w:rFonts w:ascii="Arial" w:hAnsi="Arial" w:cs="Arial"/>
        </w:rPr>
      </w:pPr>
    </w:p>
    <w:p w14:paraId="4C6BAA11" w14:textId="77777777" w:rsidR="008D0565" w:rsidRPr="00D61F73" w:rsidRDefault="008D0565" w:rsidP="00D61F73">
      <w:pPr>
        <w:rPr>
          <w:rFonts w:ascii="Arial" w:hAnsi="Arial" w:cs="Arial"/>
        </w:rPr>
      </w:pPr>
      <w:r w:rsidRPr="00D61F73">
        <w:rPr>
          <w:rFonts w:ascii="Arial" w:hAnsi="Arial" w:cs="Arial"/>
        </w:rPr>
        <w:t>Rating: 5c</w:t>
      </w:r>
    </w:p>
    <w:p w14:paraId="59681DD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05" w:name="Malanga2002"/>
      <w:bookmarkEnd w:id="905"/>
      <w:r w:rsidRPr="00D61F73">
        <w:rPr>
          <w:rFonts w:ascii="Arial" w:hAnsi="Arial" w:cs="Arial"/>
          <w:b/>
          <w:bCs/>
        </w:rPr>
        <w:t xml:space="preserve">alanga GA, Gwynn MW, Smith R, Miller D. Tizanidine is effective in the treatment of myofascial pain syndrome. </w:t>
      </w:r>
      <w:r w:rsidRPr="00D61F73">
        <w:rPr>
          <w:rFonts w:ascii="Arial" w:hAnsi="Arial" w:cs="Arial"/>
          <w:b/>
          <w:bCs/>
          <w:i/>
        </w:rPr>
        <w:t>Pain Physician</w:t>
      </w:r>
      <w:r w:rsidRPr="00D61F73">
        <w:rPr>
          <w:rFonts w:ascii="Arial" w:hAnsi="Arial" w:cs="Arial"/>
          <w:b/>
          <w:bCs/>
        </w:rPr>
        <w:t>. 2002; 5:422-32.</w:t>
      </w:r>
    </w:p>
    <w:p w14:paraId="0A4D04B8" w14:textId="77777777" w:rsidR="008D0565" w:rsidRPr="00D61F73" w:rsidRDefault="008D0565" w:rsidP="00D61F73">
      <w:pPr>
        <w:rPr>
          <w:rFonts w:ascii="Arial" w:hAnsi="Arial" w:cs="Arial"/>
          <w:b/>
          <w:bCs/>
        </w:rPr>
      </w:pPr>
    </w:p>
    <w:p w14:paraId="47BAAAE2" w14:textId="77777777" w:rsidR="008D0565" w:rsidRPr="00D61F73" w:rsidRDefault="008D0565" w:rsidP="00D61F73">
      <w:pPr>
        <w:rPr>
          <w:rFonts w:ascii="Arial" w:hAnsi="Arial" w:cs="Arial"/>
        </w:rPr>
      </w:pPr>
      <w:r w:rsidRPr="00D61F73">
        <w:rPr>
          <w:rFonts w:ascii="Arial" w:hAnsi="Arial" w:cs="Arial"/>
        </w:rPr>
        <w:t>Tizanidine was rated as good to excellent in relieving pain by 89% of subjects and 79% of physicians. Tizanidine was effective in the treatment of MPS.</w:t>
      </w:r>
    </w:p>
    <w:p w14:paraId="5F3A881A" w14:textId="77777777" w:rsidR="008D0565" w:rsidRPr="00D61F73" w:rsidRDefault="008D0565" w:rsidP="00D61F73">
      <w:pPr>
        <w:rPr>
          <w:rFonts w:ascii="Arial" w:hAnsi="Arial" w:cs="Arial"/>
        </w:rPr>
      </w:pPr>
    </w:p>
    <w:p w14:paraId="63842BC7" w14:textId="77777777" w:rsidR="008D0565" w:rsidRPr="00D61F73" w:rsidRDefault="008D0565" w:rsidP="00D61F73">
      <w:pPr>
        <w:rPr>
          <w:rFonts w:ascii="Arial" w:hAnsi="Arial" w:cs="Arial"/>
        </w:rPr>
      </w:pPr>
      <w:r w:rsidRPr="00D61F73">
        <w:rPr>
          <w:rFonts w:ascii="Arial" w:hAnsi="Arial" w:cs="Arial"/>
        </w:rPr>
        <w:t xml:space="preserve">PMID: </w:t>
      </w:r>
      <w:hyperlink r:id="rId589" w:history="1">
        <w:r w:rsidRPr="00D61F73">
          <w:rPr>
            <w:rStyle w:val="Hyperlink"/>
            <w:rFonts w:ascii="Arial" w:hAnsi="Arial" w:cs="Arial"/>
          </w:rPr>
          <w:t>16886022</w:t>
        </w:r>
      </w:hyperlink>
      <w:r w:rsidRPr="00D61F73">
        <w:rPr>
          <w:rFonts w:ascii="Arial" w:hAnsi="Arial" w:cs="Arial"/>
        </w:rPr>
        <w:t xml:space="preserve"> </w:t>
      </w:r>
    </w:p>
    <w:p w14:paraId="6090656E" w14:textId="77777777" w:rsidR="008D0565" w:rsidRPr="00D61F73" w:rsidRDefault="008D0565" w:rsidP="00D61F73">
      <w:pPr>
        <w:rPr>
          <w:rFonts w:ascii="Arial" w:hAnsi="Arial" w:cs="Arial"/>
        </w:rPr>
      </w:pPr>
    </w:p>
    <w:p w14:paraId="1E901BA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4c</w:t>
      </w:r>
    </w:p>
    <w:p w14:paraId="1980D432"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M</w:t>
      </w:r>
      <w:bookmarkStart w:id="906" w:name="Malfertheiner"/>
      <w:bookmarkEnd w:id="906"/>
      <w:r w:rsidRPr="00D61F73">
        <w:rPr>
          <w:rFonts w:ascii="Arial" w:hAnsi="Arial" w:cs="Arial"/>
          <w:b/>
        </w:rPr>
        <w:t xml:space="preserve">alfertheiner P, Chan FK, McColl KE. Peptic ulcer disease. </w:t>
      </w:r>
      <w:r w:rsidRPr="00D61F73">
        <w:rPr>
          <w:rFonts w:ascii="Arial" w:hAnsi="Arial" w:cs="Arial"/>
          <w:b/>
          <w:i/>
          <w:iCs/>
        </w:rPr>
        <w:t>Lancet</w:t>
      </w:r>
      <w:r w:rsidRPr="00D61F73">
        <w:rPr>
          <w:rFonts w:ascii="Arial" w:hAnsi="Arial" w:cs="Arial"/>
          <w:b/>
        </w:rPr>
        <w:t xml:space="preserve"> 2009;374:1449-61</w:t>
      </w:r>
    </w:p>
    <w:p w14:paraId="7E593A6F" w14:textId="77777777" w:rsidR="008D0565" w:rsidRPr="00D61F73" w:rsidRDefault="008D0565" w:rsidP="00D61F73">
      <w:pPr>
        <w:pStyle w:val="aff"/>
        <w:spacing w:before="0" w:beforeAutospacing="0" w:after="0" w:afterAutospacing="0"/>
        <w:rPr>
          <w:rFonts w:ascii="Arial" w:hAnsi="Arial" w:cs="Arial"/>
        </w:rPr>
      </w:pPr>
    </w:p>
    <w:p w14:paraId="40239DF9" w14:textId="77777777" w:rsidR="008D0565" w:rsidRPr="00D61F73" w:rsidRDefault="008D0565" w:rsidP="00D61F73">
      <w:pPr>
        <w:pStyle w:val="NormalWeb"/>
        <w:spacing w:before="0" w:beforeAutospacing="0" w:after="0" w:afterAutospacing="0"/>
        <w:rPr>
          <w:rFonts w:ascii="Arial" w:eastAsia="Times New Roman" w:hAnsi="Arial" w:cs="Arial"/>
        </w:rPr>
      </w:pPr>
      <w:r w:rsidRPr="00D61F73">
        <w:rPr>
          <w:rFonts w:ascii="Arial" w:hAnsi="Arial" w:cs="Arial"/>
        </w:rPr>
        <w:t xml:space="preserve">Two important developments are associated with the decrease in rates of peptic ulcer disease: the discovery of effective and potent acid suppressants, and of Helicobacter pylori. </w:t>
      </w:r>
    </w:p>
    <w:p w14:paraId="317037CB" w14:textId="77777777" w:rsidR="008D0565" w:rsidRPr="00D61F73" w:rsidRDefault="008D0565" w:rsidP="00D61F73">
      <w:pPr>
        <w:pStyle w:val="Footer"/>
        <w:tabs>
          <w:tab w:val="clear" w:pos="4320"/>
          <w:tab w:val="clear" w:pos="8640"/>
        </w:tabs>
        <w:rPr>
          <w:rFonts w:ascii="Arial" w:hAnsi="Arial" w:cs="Arial"/>
        </w:rPr>
      </w:pPr>
    </w:p>
    <w:p w14:paraId="39193486" w14:textId="77777777" w:rsidR="008D0565" w:rsidRPr="00D61F73" w:rsidRDefault="008D0565" w:rsidP="00402D57">
      <w:pPr>
        <w:pStyle w:val="Normal1"/>
        <w:framePr w:wrap="around"/>
      </w:pPr>
      <w:r w:rsidRPr="00D61F73">
        <w:t xml:space="preserve">PMID: </w:t>
      </w:r>
      <w:hyperlink r:id="rId590" w:history="1">
        <w:r w:rsidRPr="00D61F73">
          <w:rPr>
            <w:rStyle w:val="Hyperlink"/>
            <w:b/>
            <w:bCs w:val="0"/>
          </w:rPr>
          <w:t>1968334</w:t>
        </w:r>
      </w:hyperlink>
    </w:p>
    <w:p w14:paraId="1700C0FD" w14:textId="77777777" w:rsidR="008D0565" w:rsidRPr="00D61F73" w:rsidRDefault="008D0565" w:rsidP="00402D57">
      <w:pPr>
        <w:pStyle w:val="Normal1"/>
        <w:framePr w:wrap="around"/>
      </w:pPr>
    </w:p>
    <w:p w14:paraId="12F86841" w14:textId="77777777" w:rsidR="008D0565" w:rsidRPr="00D61F73" w:rsidRDefault="008D0565" w:rsidP="00402D57">
      <w:pPr>
        <w:pStyle w:val="Normal1"/>
        <w:framePr w:wrap="around"/>
      </w:pPr>
      <w:r w:rsidRPr="00D61F73">
        <w:t>Rating: 5b</w:t>
      </w:r>
    </w:p>
    <w:p w14:paraId="5EC43DE2" w14:textId="77777777" w:rsidR="008D0565" w:rsidRPr="00D61F73" w:rsidRDefault="008D0565" w:rsidP="00402D57">
      <w:pPr>
        <w:pStyle w:val="Normal1"/>
        <w:framePr w:wrap="around"/>
      </w:pPr>
      <w:r w:rsidRPr="00D61F73">
        <w:br w:type="page"/>
        <w:t>Man</w:t>
      </w:r>
      <w:bookmarkStart w:id="907" w:name="Manchikanti"/>
      <w:bookmarkEnd w:id="907"/>
      <w:r w:rsidRPr="00D61F73">
        <w:t xml:space="preserve">chikanti L, Staats PS, Singh V, Schultz DM, Vilims BD, Jasper JF, Kloth DS, Trescot AM, Hansen HC, Falasca TD, Racz GB, Deer TR, Burton AW, Helm S, Lou L, Bakhit CE, Dunbar EE, Atluri SL, Calodney AK, et al. Evidence-based practice guidelines for interventional techniques in the management of chronic spinal pain. </w:t>
      </w:r>
      <w:r w:rsidRPr="00D61F73">
        <w:rPr>
          <w:i/>
        </w:rPr>
        <w:t>Pain Phys</w:t>
      </w:r>
      <w:r w:rsidRPr="00D61F73">
        <w:t xml:space="preserve"> 2003;6:3-81.</w:t>
      </w:r>
    </w:p>
    <w:p w14:paraId="2986F0C1" w14:textId="77777777" w:rsidR="008D0565" w:rsidRPr="00D61F73" w:rsidRDefault="008D0565" w:rsidP="00D61F73">
      <w:pPr>
        <w:pStyle w:val="NormalWeb"/>
        <w:spacing w:before="0" w:beforeAutospacing="0" w:after="0" w:afterAutospacing="0"/>
        <w:rPr>
          <w:rFonts w:ascii="Arial" w:hAnsi="Arial" w:cs="Arial"/>
        </w:rPr>
      </w:pPr>
    </w:p>
    <w:p w14:paraId="38CED3F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u w:val="single"/>
        </w:rPr>
        <w:t>Nucleoplasty</w:t>
      </w:r>
      <w:r w:rsidRPr="00D61F73">
        <w:rPr>
          <w:rFonts w:ascii="Arial" w:hAnsi="Arial" w:cs="Arial"/>
        </w:rPr>
        <w:t>. Evidence is limited showing the effectiveness of percutaneous disc decompression (PDD) with nucleoplasty.</w:t>
      </w:r>
    </w:p>
    <w:p w14:paraId="71A55E06" w14:textId="77777777" w:rsidR="008D0565" w:rsidRPr="00D61F73" w:rsidRDefault="008D0565" w:rsidP="00D61F73">
      <w:pPr>
        <w:pStyle w:val="NormalWeb"/>
        <w:spacing w:before="0" w:beforeAutospacing="0" w:after="0" w:afterAutospacing="0"/>
        <w:rPr>
          <w:rFonts w:ascii="Arial" w:hAnsi="Arial" w:cs="Arial"/>
        </w:rPr>
      </w:pPr>
    </w:p>
    <w:p w14:paraId="7015031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6b</w:t>
      </w:r>
    </w:p>
    <w:p w14:paraId="71246D6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08" w:name="Manicourt"/>
      <w:bookmarkEnd w:id="908"/>
      <w:r w:rsidRPr="00D61F73">
        <w:rPr>
          <w:rFonts w:ascii="Arial" w:hAnsi="Arial" w:cs="Arial"/>
          <w:b/>
          <w:bCs/>
        </w:rPr>
        <w:t xml:space="preserve">anicourt DH, Brasseur JP, Boutsen Y, Depreseux G, Devogelaer JP. Role of alendronate in therapy for posttraumatic complex regional pain syndrome type I of the lower extremity. </w:t>
      </w:r>
      <w:r w:rsidRPr="00D61F73">
        <w:rPr>
          <w:rFonts w:ascii="Arial" w:hAnsi="Arial" w:cs="Arial"/>
          <w:b/>
          <w:bCs/>
          <w:i/>
          <w:iCs/>
        </w:rPr>
        <w:t>Arthritis Rheum</w:t>
      </w:r>
      <w:r w:rsidRPr="00D61F73">
        <w:rPr>
          <w:rFonts w:ascii="Arial" w:hAnsi="Arial" w:cs="Arial"/>
          <w:b/>
          <w:bCs/>
        </w:rPr>
        <w:t>. 2004 Nov;50(11):3690-7.</w:t>
      </w:r>
    </w:p>
    <w:p w14:paraId="1D853553" w14:textId="77777777" w:rsidR="008D0565" w:rsidRPr="00D61F73" w:rsidRDefault="008D0565" w:rsidP="00D61F73">
      <w:pPr>
        <w:pStyle w:val="Footer"/>
        <w:rPr>
          <w:rFonts w:ascii="Arial" w:hAnsi="Arial" w:cs="Arial"/>
        </w:rPr>
      </w:pPr>
    </w:p>
    <w:p w14:paraId="1A5B7A36" w14:textId="77777777" w:rsidR="008D0565" w:rsidRPr="00D61F73" w:rsidRDefault="008D0565" w:rsidP="00D61F73">
      <w:pPr>
        <w:pStyle w:val="Footer"/>
        <w:rPr>
          <w:rFonts w:ascii="Arial" w:hAnsi="Arial" w:cs="Arial"/>
        </w:rPr>
      </w:pPr>
      <w:r w:rsidRPr="00D61F73">
        <w:rPr>
          <w:rFonts w:ascii="Arial" w:hAnsi="Arial" w:cs="Arial"/>
        </w:rPr>
        <w:t>CONCLUSION: Our findings support the use of oral alendronate in posttraumatic CRPS I. By reducing local acceleration of bone remodeling, alendronate might relieve pain by effects on nociceptive primary afferents in bone, pain-associated changes in the spinal cord, and possibly also through a central mechanism.</w:t>
      </w:r>
    </w:p>
    <w:p w14:paraId="426C20EA" w14:textId="77777777" w:rsidR="008D0565" w:rsidRPr="00D61F73" w:rsidRDefault="008D0565" w:rsidP="00D61F73">
      <w:pPr>
        <w:pStyle w:val="Footer"/>
        <w:rPr>
          <w:rFonts w:ascii="Arial" w:hAnsi="Arial" w:cs="Arial"/>
        </w:rPr>
      </w:pPr>
    </w:p>
    <w:p w14:paraId="49378CCB"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591" w:history="1">
        <w:r w:rsidRPr="00D61F73">
          <w:rPr>
            <w:rStyle w:val="Hyperlink"/>
            <w:rFonts w:ascii="Arial" w:hAnsi="Arial" w:cs="Arial"/>
          </w:rPr>
          <w:t>15529370</w:t>
        </w:r>
      </w:hyperlink>
      <w:r w:rsidRPr="00D61F73">
        <w:rPr>
          <w:rFonts w:ascii="Arial" w:hAnsi="Arial" w:cs="Arial"/>
        </w:rPr>
        <w:t xml:space="preserve"> </w:t>
      </w:r>
    </w:p>
    <w:p w14:paraId="73213523" w14:textId="77777777" w:rsidR="008D0565" w:rsidRPr="00D61F73" w:rsidRDefault="008D0565" w:rsidP="00D61F73">
      <w:pPr>
        <w:pStyle w:val="Footer"/>
        <w:tabs>
          <w:tab w:val="clear" w:pos="4320"/>
          <w:tab w:val="clear" w:pos="8640"/>
        </w:tabs>
        <w:rPr>
          <w:rFonts w:ascii="Arial" w:hAnsi="Arial" w:cs="Arial"/>
        </w:rPr>
      </w:pPr>
    </w:p>
    <w:p w14:paraId="5C008769"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2b</w:t>
      </w:r>
    </w:p>
    <w:p w14:paraId="1B579F3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Manty</w:t>
      </w:r>
      <w:bookmarkStart w:id="909" w:name="Mantyselka"/>
      <w:bookmarkEnd w:id="909"/>
      <w:r w:rsidRPr="00D61F73">
        <w:rPr>
          <w:rFonts w:ascii="Arial" w:hAnsi="Arial" w:cs="Arial"/>
          <w:b/>
          <w:bCs/>
        </w:rPr>
        <w:t>selka PT, Turunen JH, Ahonen RS, Kumpusalo EA. Chronic pain and poor self-rated health</w:t>
      </w:r>
      <w:r w:rsidRPr="00D61F73">
        <w:rPr>
          <w:rFonts w:ascii="Arial" w:hAnsi="Arial" w:cs="Arial"/>
          <w:b/>
          <w:bCs/>
          <w:i/>
          <w:iCs/>
        </w:rPr>
        <w:t>. JAMA</w:t>
      </w:r>
      <w:r w:rsidRPr="00D61F73">
        <w:rPr>
          <w:rFonts w:ascii="Arial" w:hAnsi="Arial" w:cs="Arial"/>
          <w:b/>
          <w:bCs/>
        </w:rPr>
        <w:t>. 2003 Nov 12;290(18):2435-42.</w:t>
      </w:r>
    </w:p>
    <w:p w14:paraId="0B82B853" w14:textId="77777777" w:rsidR="008D0565" w:rsidRPr="00D61F73" w:rsidRDefault="008D0565" w:rsidP="00D61F73">
      <w:pPr>
        <w:rPr>
          <w:rFonts w:ascii="Arial" w:hAnsi="Arial" w:cs="Arial"/>
        </w:rPr>
      </w:pPr>
    </w:p>
    <w:p w14:paraId="30E6115C" w14:textId="77777777" w:rsidR="008D0565" w:rsidRPr="00D61F73" w:rsidRDefault="008D0565" w:rsidP="00D61F73">
      <w:pPr>
        <w:rPr>
          <w:rFonts w:ascii="Arial" w:hAnsi="Arial" w:cs="Arial"/>
        </w:rPr>
      </w:pPr>
      <w:r w:rsidRPr="00D61F73">
        <w:rPr>
          <w:rFonts w:ascii="Arial" w:hAnsi="Arial" w:cs="Arial"/>
        </w:rPr>
        <w:t>The conclusion was, “Chronic pain is independently related to low self-rated health in the general population.”</w:t>
      </w:r>
    </w:p>
    <w:p w14:paraId="0534BBA9" w14:textId="77777777" w:rsidR="008D0565" w:rsidRPr="00D61F73" w:rsidRDefault="008D0565" w:rsidP="00D61F73">
      <w:pPr>
        <w:rPr>
          <w:rFonts w:ascii="Arial" w:hAnsi="Arial" w:cs="Arial"/>
        </w:rPr>
      </w:pPr>
    </w:p>
    <w:p w14:paraId="530FEF93" w14:textId="77777777" w:rsidR="008D0565" w:rsidRPr="00D61F73" w:rsidRDefault="008D0565" w:rsidP="00D61F73">
      <w:pPr>
        <w:rPr>
          <w:rFonts w:ascii="Arial" w:hAnsi="Arial" w:cs="Arial"/>
        </w:rPr>
      </w:pPr>
      <w:r w:rsidRPr="00D61F73">
        <w:rPr>
          <w:rFonts w:ascii="Arial" w:hAnsi="Arial" w:cs="Arial"/>
        </w:rPr>
        <w:t xml:space="preserve">PMID: </w:t>
      </w:r>
      <w:hyperlink r:id="rId592" w:history="1">
        <w:r w:rsidRPr="00D61F73">
          <w:rPr>
            <w:rStyle w:val="Hyperlink"/>
            <w:rFonts w:ascii="Arial" w:hAnsi="Arial" w:cs="Arial"/>
          </w:rPr>
          <w:t>14612480</w:t>
        </w:r>
      </w:hyperlink>
      <w:r w:rsidRPr="00D61F73">
        <w:rPr>
          <w:rFonts w:ascii="Arial" w:hAnsi="Arial" w:cs="Arial"/>
        </w:rPr>
        <w:t xml:space="preserve"> </w:t>
      </w:r>
    </w:p>
    <w:p w14:paraId="2566C88D" w14:textId="77777777" w:rsidR="008D0565" w:rsidRPr="00D61F73" w:rsidRDefault="008D0565" w:rsidP="00D61F73">
      <w:pPr>
        <w:rPr>
          <w:rFonts w:ascii="Arial" w:hAnsi="Arial" w:cs="Arial"/>
        </w:rPr>
      </w:pPr>
    </w:p>
    <w:p w14:paraId="73287D2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4a</w:t>
      </w:r>
    </w:p>
    <w:p w14:paraId="7355EFEC" w14:textId="77777777" w:rsidR="00AA5142" w:rsidRPr="00D61F73" w:rsidRDefault="00AA5142" w:rsidP="00D61F73">
      <w:pPr>
        <w:tabs>
          <w:tab w:val="left" w:pos="1676"/>
        </w:tabs>
        <w:rPr>
          <w:rFonts w:ascii="Arial" w:hAnsi="Arial" w:cs="Arial"/>
          <w:b/>
        </w:rPr>
      </w:pPr>
      <w:r w:rsidRPr="00D61F73">
        <w:rPr>
          <w:rFonts w:ascii="Arial" w:hAnsi="Arial" w:cs="Arial"/>
        </w:rPr>
        <w:br w:type="page"/>
      </w:r>
      <w:bookmarkStart w:id="910" w:name="Marciniak"/>
      <w:bookmarkEnd w:id="910"/>
      <w:r w:rsidRPr="00D61F73">
        <w:rPr>
          <w:rFonts w:ascii="Arial" w:hAnsi="Arial" w:cs="Arial"/>
          <w:b/>
        </w:rPr>
        <w:lastRenderedPageBreak/>
        <w:t>Marciniak C, Rader L, Gagnon C. The use of botulinum toxin for spasticity after spinal cord injury.  </w:t>
      </w:r>
      <w:r w:rsidRPr="00D61F73">
        <w:rPr>
          <w:rFonts w:ascii="Arial" w:hAnsi="Arial" w:cs="Arial"/>
          <w:b/>
          <w:i/>
          <w:iCs/>
        </w:rPr>
        <w:t>Am J Phys Med Rehabil.</w:t>
      </w:r>
      <w:r w:rsidRPr="00D61F73">
        <w:rPr>
          <w:rFonts w:ascii="Arial" w:hAnsi="Arial" w:cs="Arial"/>
          <w:b/>
        </w:rPr>
        <w:t> 2008 Apr;87(4):312-7; quiz 318-20, 329.</w:t>
      </w:r>
    </w:p>
    <w:p w14:paraId="42E217C3" w14:textId="77777777" w:rsidR="00AA5142" w:rsidRPr="00D61F73" w:rsidRDefault="00AA5142" w:rsidP="00D61F73">
      <w:pPr>
        <w:tabs>
          <w:tab w:val="left" w:pos="1676"/>
        </w:tabs>
        <w:rPr>
          <w:rFonts w:ascii="Arial" w:hAnsi="Arial" w:cs="Arial"/>
          <w:b/>
        </w:rPr>
      </w:pPr>
      <w:r w:rsidRPr="00D61F73">
        <w:rPr>
          <w:rFonts w:ascii="Arial" w:hAnsi="Arial" w:cs="Arial"/>
          <w:b/>
        </w:rPr>
        <w:t> </w:t>
      </w:r>
    </w:p>
    <w:p w14:paraId="76B66462" w14:textId="77777777" w:rsidR="00AA5142" w:rsidRPr="00D61F73" w:rsidRDefault="00AA5142" w:rsidP="00D61F73">
      <w:pPr>
        <w:tabs>
          <w:tab w:val="left" w:pos="1676"/>
        </w:tabs>
        <w:rPr>
          <w:rFonts w:ascii="Arial" w:hAnsi="Arial" w:cs="Arial"/>
        </w:rPr>
      </w:pPr>
      <w:r w:rsidRPr="00D61F73">
        <w:rPr>
          <w:rFonts w:ascii="Arial" w:hAnsi="Arial" w:cs="Arial"/>
        </w:rPr>
        <w:t>CONCLUSIONS: BTX seems to be an effective treatment for focal spasticity and for reducing disability in persons with SCI.</w:t>
      </w:r>
    </w:p>
    <w:p w14:paraId="4E360DEB" w14:textId="77777777" w:rsidR="00AA5142" w:rsidRPr="00D61F73" w:rsidRDefault="00AA5142" w:rsidP="00D61F73">
      <w:pPr>
        <w:tabs>
          <w:tab w:val="left" w:pos="1676"/>
        </w:tabs>
        <w:rPr>
          <w:rFonts w:ascii="Arial" w:hAnsi="Arial" w:cs="Arial"/>
        </w:rPr>
      </w:pPr>
      <w:r w:rsidRPr="00D61F73">
        <w:rPr>
          <w:rFonts w:ascii="Arial" w:hAnsi="Arial" w:cs="Arial"/>
        </w:rPr>
        <w:t> </w:t>
      </w:r>
    </w:p>
    <w:p w14:paraId="0AC0D634" w14:textId="77777777" w:rsidR="00AA5142" w:rsidRPr="00D61F73" w:rsidRDefault="00AA5142" w:rsidP="00D61F73">
      <w:pPr>
        <w:tabs>
          <w:tab w:val="left" w:pos="1676"/>
        </w:tabs>
        <w:rPr>
          <w:rFonts w:ascii="Arial" w:hAnsi="Arial" w:cs="Arial"/>
        </w:rPr>
      </w:pPr>
      <w:r w:rsidRPr="00D61F73">
        <w:rPr>
          <w:rFonts w:ascii="Arial" w:hAnsi="Arial" w:cs="Arial"/>
        </w:rPr>
        <w:t>PMID: </w:t>
      </w:r>
      <w:hyperlink r:id="rId593" w:history="1">
        <w:r w:rsidRPr="00D61F73">
          <w:rPr>
            <w:rStyle w:val="Hyperlink"/>
            <w:rFonts w:ascii="Arial" w:hAnsi="Arial" w:cs="Arial"/>
          </w:rPr>
          <w:t>18356622</w:t>
        </w:r>
      </w:hyperlink>
    </w:p>
    <w:p w14:paraId="22E63699" w14:textId="77777777" w:rsidR="00AA5142" w:rsidRPr="00D61F73" w:rsidRDefault="00AA5142" w:rsidP="00D61F73">
      <w:pPr>
        <w:tabs>
          <w:tab w:val="left" w:pos="1676"/>
        </w:tabs>
        <w:rPr>
          <w:rFonts w:ascii="Arial" w:hAnsi="Arial" w:cs="Arial"/>
        </w:rPr>
      </w:pPr>
      <w:r w:rsidRPr="00D61F73">
        <w:rPr>
          <w:rFonts w:ascii="Arial" w:hAnsi="Arial" w:cs="Arial"/>
        </w:rPr>
        <w:t> </w:t>
      </w:r>
    </w:p>
    <w:p w14:paraId="74C95DC7" w14:textId="77777777" w:rsidR="00AA5142" w:rsidRPr="00D61F73" w:rsidRDefault="00AA5142" w:rsidP="00D61F73">
      <w:pPr>
        <w:tabs>
          <w:tab w:val="left" w:pos="1676"/>
        </w:tabs>
        <w:rPr>
          <w:rFonts w:ascii="Arial" w:hAnsi="Arial" w:cs="Arial"/>
        </w:rPr>
      </w:pPr>
      <w:r w:rsidRPr="00D61F73">
        <w:rPr>
          <w:rFonts w:ascii="Arial" w:hAnsi="Arial" w:cs="Arial"/>
        </w:rPr>
        <w:t>Rating: 4b</w:t>
      </w:r>
    </w:p>
    <w:p w14:paraId="6C1F7F18" w14:textId="77777777" w:rsidR="008D0565" w:rsidRPr="00D61F73" w:rsidRDefault="008D0565" w:rsidP="00D61F73">
      <w:pPr>
        <w:tabs>
          <w:tab w:val="left" w:pos="1676"/>
        </w:tabs>
        <w:rPr>
          <w:rFonts w:ascii="Arial" w:hAnsi="Arial" w:cs="Arial"/>
          <w:b/>
          <w:color w:val="auto"/>
        </w:rPr>
      </w:pPr>
      <w:r w:rsidRPr="00D61F73">
        <w:rPr>
          <w:rFonts w:ascii="Arial" w:hAnsi="Arial" w:cs="Arial"/>
        </w:rPr>
        <w:br w:type="page"/>
      </w:r>
      <w:r w:rsidRPr="00D61F73">
        <w:rPr>
          <w:rFonts w:ascii="Arial" w:hAnsi="Arial" w:cs="Arial"/>
          <w:b/>
        </w:rPr>
        <w:lastRenderedPageBreak/>
        <w:t>M</w:t>
      </w:r>
      <w:bookmarkStart w:id="911" w:name="Maremmani2013"/>
      <w:bookmarkEnd w:id="911"/>
      <w:r w:rsidRPr="00D61F73">
        <w:rPr>
          <w:rFonts w:ascii="Arial" w:hAnsi="Arial" w:cs="Arial"/>
          <w:b/>
        </w:rPr>
        <w:t>aremmani AG, Rovai L, Rugani F, Bacciardi S, Pacini M, Dell'osso L, Maremmani I. Clonazepam as agonist substitution treatment for benzodiazepine dependence: a case report</w:t>
      </w:r>
      <w:r w:rsidRPr="00D61F73">
        <w:rPr>
          <w:rFonts w:ascii="Arial" w:hAnsi="Arial" w:cs="Arial"/>
          <w:b/>
          <w:i/>
        </w:rPr>
        <w:t>. Case Rep Psychiatry</w:t>
      </w:r>
      <w:r w:rsidRPr="00D61F73">
        <w:rPr>
          <w:rFonts w:ascii="Arial" w:hAnsi="Arial" w:cs="Arial"/>
          <w:b/>
        </w:rPr>
        <w:t>. 2013;2013:367594.</w:t>
      </w:r>
    </w:p>
    <w:p w14:paraId="0F5BB9D4" w14:textId="77777777" w:rsidR="008D0565" w:rsidRPr="00D61F73" w:rsidRDefault="008D0565" w:rsidP="00D61F73">
      <w:pPr>
        <w:rPr>
          <w:rFonts w:ascii="Arial" w:hAnsi="Arial" w:cs="Arial"/>
        </w:rPr>
      </w:pPr>
    </w:p>
    <w:p w14:paraId="4CF4A21A" w14:textId="77777777" w:rsidR="008D0565" w:rsidRPr="00D61F73" w:rsidRDefault="008D0565" w:rsidP="00D61F73">
      <w:pPr>
        <w:rPr>
          <w:rFonts w:ascii="Arial" w:hAnsi="Arial" w:cs="Arial"/>
        </w:rPr>
      </w:pPr>
      <w:r w:rsidRPr="00D61F73">
        <w:rPr>
          <w:rFonts w:ascii="Arial" w:hAnsi="Arial" w:cs="Arial"/>
        </w:rPr>
        <w:t xml:space="preserve">PMID: </w:t>
      </w:r>
      <w:hyperlink r:id="rId594" w:history="1">
        <w:r w:rsidRPr="00D61F73">
          <w:rPr>
            <w:rStyle w:val="Hyperlink"/>
            <w:rFonts w:ascii="Arial" w:hAnsi="Arial" w:cs="Arial"/>
          </w:rPr>
          <w:t>23424702</w:t>
        </w:r>
      </w:hyperlink>
    </w:p>
    <w:p w14:paraId="5FFBA01A" w14:textId="77777777" w:rsidR="008D0565" w:rsidRPr="00D61F73" w:rsidRDefault="008D0565" w:rsidP="00D61F73">
      <w:pPr>
        <w:rPr>
          <w:rFonts w:ascii="Arial" w:hAnsi="Arial" w:cs="Arial"/>
        </w:rPr>
      </w:pPr>
    </w:p>
    <w:p w14:paraId="5339EB6C" w14:textId="77777777" w:rsidR="008D0565" w:rsidRPr="00D61F73" w:rsidRDefault="008D0565" w:rsidP="00D61F73">
      <w:pPr>
        <w:rPr>
          <w:rFonts w:ascii="Arial" w:hAnsi="Arial" w:cs="Arial"/>
        </w:rPr>
      </w:pPr>
      <w:r w:rsidRPr="00D61F73">
        <w:rPr>
          <w:rFonts w:ascii="Arial" w:hAnsi="Arial" w:cs="Arial"/>
        </w:rPr>
        <w:t>Rating: 11a</w:t>
      </w:r>
    </w:p>
    <w:p w14:paraId="7009703D"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M</w:t>
      </w:r>
      <w:bookmarkStart w:id="912" w:name="Marineo2012"/>
      <w:bookmarkEnd w:id="912"/>
      <w:r w:rsidRPr="00D61F73">
        <w:rPr>
          <w:rFonts w:ascii="Arial" w:hAnsi="Arial" w:cs="Arial"/>
          <w:b/>
          <w:bCs/>
        </w:rPr>
        <w:t xml:space="preserve">arineo G, Iorno V, Gandini C, Moschini V, Smith TJ. Scrambler therapy may relieve chronic neuropathic pain more effectively than guideline-based drug management: results of a pilot, randomized, controlled trial. </w:t>
      </w:r>
      <w:r w:rsidRPr="00D61F73">
        <w:rPr>
          <w:rFonts w:ascii="Arial" w:hAnsi="Arial" w:cs="Arial"/>
          <w:b/>
          <w:bCs/>
          <w:i/>
          <w:iCs/>
        </w:rPr>
        <w:t>J Pain Symptom Manage</w:t>
      </w:r>
      <w:r w:rsidRPr="00D61F73">
        <w:rPr>
          <w:rFonts w:ascii="Arial" w:hAnsi="Arial" w:cs="Arial"/>
          <w:b/>
          <w:bCs/>
        </w:rPr>
        <w:t>. 2012 Jan;43(1):87-95. doi: 10.1016/ j.jpainsymman.2011.03.015.</w:t>
      </w:r>
    </w:p>
    <w:p w14:paraId="3523C47B" w14:textId="77777777" w:rsidR="008D0565" w:rsidRPr="00D61F73" w:rsidRDefault="008D0565" w:rsidP="00D61F73">
      <w:pPr>
        <w:pStyle w:val="Footer"/>
        <w:tabs>
          <w:tab w:val="clear" w:pos="4320"/>
          <w:tab w:val="clear" w:pos="8640"/>
        </w:tabs>
        <w:rPr>
          <w:rFonts w:ascii="Arial" w:hAnsi="Arial" w:cs="Arial"/>
        </w:rPr>
      </w:pPr>
    </w:p>
    <w:p w14:paraId="383560F3" w14:textId="77777777" w:rsidR="008D0565" w:rsidRPr="00D61F73" w:rsidRDefault="008D0565" w:rsidP="00D61F73">
      <w:pPr>
        <w:rPr>
          <w:rFonts w:ascii="Arial" w:hAnsi="Arial" w:cs="Arial"/>
        </w:rPr>
      </w:pPr>
      <w:r w:rsidRPr="00D61F73">
        <w:rPr>
          <w:rFonts w:ascii="Arial" w:hAnsi="Arial" w:cs="Arial"/>
        </w:rPr>
        <w:t xml:space="preserve">PMID: </w:t>
      </w:r>
      <w:hyperlink r:id="rId595" w:history="1">
        <w:r w:rsidRPr="00D61F73">
          <w:rPr>
            <w:rStyle w:val="Hyperlink"/>
            <w:rFonts w:ascii="Arial" w:hAnsi="Arial" w:cs="Arial"/>
          </w:rPr>
          <w:t>21763099</w:t>
        </w:r>
      </w:hyperlink>
    </w:p>
    <w:p w14:paraId="72D521F1" w14:textId="77777777" w:rsidR="008D0565" w:rsidRPr="00D61F73" w:rsidRDefault="008D0565" w:rsidP="00D61F73">
      <w:pPr>
        <w:rPr>
          <w:rFonts w:ascii="Arial" w:hAnsi="Arial" w:cs="Arial"/>
        </w:rPr>
      </w:pPr>
    </w:p>
    <w:p w14:paraId="75840851" w14:textId="77777777" w:rsidR="008D0565" w:rsidRPr="00D61F73" w:rsidRDefault="008D0565" w:rsidP="00D61F73">
      <w:pPr>
        <w:rPr>
          <w:rFonts w:ascii="Arial" w:hAnsi="Arial" w:cs="Arial"/>
        </w:rPr>
      </w:pPr>
      <w:r w:rsidRPr="00D61F73">
        <w:rPr>
          <w:rFonts w:ascii="Arial" w:hAnsi="Arial" w:cs="Arial"/>
        </w:rPr>
        <w:t xml:space="preserve">Rating: 4b </w:t>
      </w:r>
    </w:p>
    <w:p w14:paraId="65400FAC"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13" w:name="Marinus2011"/>
      <w:bookmarkEnd w:id="913"/>
      <w:r w:rsidRPr="00D61F73">
        <w:rPr>
          <w:rFonts w:ascii="Arial" w:hAnsi="Arial" w:cs="Arial"/>
          <w:b/>
        </w:rPr>
        <w:t xml:space="preserve">arinus J, Moseley GL, Birklein F, Baron R, Maihöfner C, Kingery WS, van Hilten JJ.Clinical features and pathophysiology of complex regional pain syndrome. </w:t>
      </w:r>
      <w:r w:rsidRPr="00D61F73">
        <w:rPr>
          <w:rFonts w:ascii="Arial" w:hAnsi="Arial" w:cs="Arial"/>
          <w:b/>
          <w:i/>
        </w:rPr>
        <w:t>Lancet Neurol</w:t>
      </w:r>
      <w:r w:rsidRPr="00D61F73">
        <w:rPr>
          <w:rFonts w:ascii="Arial" w:hAnsi="Arial" w:cs="Arial"/>
          <w:b/>
        </w:rPr>
        <w:t>. 2011 ;10:637-48.</w:t>
      </w:r>
    </w:p>
    <w:p w14:paraId="65A62A40" w14:textId="77777777" w:rsidR="008D0565" w:rsidRPr="00D61F73" w:rsidRDefault="008D0565" w:rsidP="00D61F73">
      <w:pPr>
        <w:rPr>
          <w:rFonts w:ascii="Arial" w:hAnsi="Arial" w:cs="Arial"/>
        </w:rPr>
      </w:pPr>
    </w:p>
    <w:p w14:paraId="32AFC140" w14:textId="77777777" w:rsidR="008D0565" w:rsidRPr="00D61F73" w:rsidRDefault="008D0565" w:rsidP="00D61F73">
      <w:pPr>
        <w:rPr>
          <w:rFonts w:ascii="Arial" w:hAnsi="Arial" w:cs="Arial"/>
        </w:rPr>
      </w:pPr>
      <w:r w:rsidRPr="00D61F73">
        <w:rPr>
          <w:rFonts w:ascii="Arial" w:hAnsi="Arial" w:cs="Arial"/>
        </w:rPr>
        <w:t xml:space="preserve">PMID: </w:t>
      </w:r>
      <w:hyperlink r:id="rId596" w:history="1">
        <w:r w:rsidRPr="00D61F73">
          <w:rPr>
            <w:rStyle w:val="Hyperlink"/>
            <w:rFonts w:ascii="Arial" w:hAnsi="Arial" w:cs="Arial"/>
          </w:rPr>
          <w:t>21683929</w:t>
        </w:r>
      </w:hyperlink>
    </w:p>
    <w:p w14:paraId="1B959296" w14:textId="77777777" w:rsidR="008D0565" w:rsidRPr="00D61F73" w:rsidRDefault="008D0565" w:rsidP="00D61F73">
      <w:pPr>
        <w:rPr>
          <w:rFonts w:ascii="Arial" w:hAnsi="Arial" w:cs="Arial"/>
        </w:rPr>
      </w:pPr>
    </w:p>
    <w:p w14:paraId="54255244" w14:textId="77777777" w:rsidR="008D0565" w:rsidRPr="00D61F73" w:rsidRDefault="008D0565" w:rsidP="00D61F73">
      <w:pPr>
        <w:rPr>
          <w:rFonts w:ascii="Arial" w:hAnsi="Arial" w:cs="Arial"/>
        </w:rPr>
      </w:pPr>
      <w:r w:rsidRPr="00D61F73">
        <w:rPr>
          <w:rFonts w:ascii="Arial" w:hAnsi="Arial" w:cs="Arial"/>
        </w:rPr>
        <w:t>Rating: 5c</w:t>
      </w:r>
    </w:p>
    <w:p w14:paraId="36D1E960" w14:textId="77777777" w:rsidR="008D0565" w:rsidRPr="00D61F73" w:rsidRDefault="008D0565" w:rsidP="00D61F73">
      <w:pPr>
        <w:rPr>
          <w:rFonts w:ascii="Arial" w:eastAsia="Calibri" w:hAnsi="Arial" w:cs="Arial"/>
          <w:b/>
          <w:bCs/>
          <w:color w:val="auto"/>
        </w:rPr>
      </w:pPr>
      <w:r w:rsidRPr="00D61F73">
        <w:rPr>
          <w:rFonts w:ascii="Arial" w:hAnsi="Arial" w:cs="Arial"/>
        </w:rPr>
        <w:br w:type="page"/>
      </w:r>
      <w:r w:rsidRPr="00D61F73">
        <w:rPr>
          <w:rFonts w:ascii="Arial" w:hAnsi="Arial" w:cs="Arial"/>
          <w:b/>
          <w:bCs/>
        </w:rPr>
        <w:lastRenderedPageBreak/>
        <w:t>M</w:t>
      </w:r>
      <w:bookmarkStart w:id="914" w:name="Mark2012"/>
      <w:bookmarkEnd w:id="914"/>
      <w:r w:rsidRPr="00D61F73">
        <w:rPr>
          <w:rFonts w:ascii="Arial" w:hAnsi="Arial" w:cs="Arial"/>
          <w:b/>
          <w:bCs/>
        </w:rPr>
        <w:t xml:space="preserve">ark TL, Dilonardo J, Vandivort R, Miller K. Psychiatric and medical comorbidities, associated pain, and health care utilization of patients prescribed buprenorphine. </w:t>
      </w:r>
      <w:r w:rsidRPr="00D61F73">
        <w:rPr>
          <w:rFonts w:ascii="Arial" w:hAnsi="Arial" w:cs="Arial"/>
          <w:b/>
          <w:bCs/>
          <w:i/>
          <w:iCs/>
        </w:rPr>
        <w:t>J Subst Abuse Treat.</w:t>
      </w:r>
      <w:r w:rsidRPr="00D61F73">
        <w:rPr>
          <w:rFonts w:ascii="Arial" w:hAnsi="Arial" w:cs="Arial"/>
          <w:b/>
          <w:bCs/>
        </w:rPr>
        <w:t xml:space="preserve"> 2012 Dec 21. doi:pii: S0740-5472(12)00426-6.</w:t>
      </w:r>
    </w:p>
    <w:p w14:paraId="2DF2C637" w14:textId="77777777" w:rsidR="008D0565" w:rsidRPr="00D61F73" w:rsidRDefault="008D0565" w:rsidP="00D61F73">
      <w:pPr>
        <w:rPr>
          <w:rFonts w:ascii="Arial" w:eastAsia="Calibri" w:hAnsi="Arial" w:cs="Arial"/>
        </w:rPr>
      </w:pPr>
    </w:p>
    <w:p w14:paraId="55AB0A9D"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597" w:history="1">
        <w:r w:rsidRPr="00D61F73">
          <w:rPr>
            <w:rStyle w:val="Hyperlink"/>
            <w:rFonts w:ascii="Arial" w:hAnsi="Arial" w:cs="Arial"/>
          </w:rPr>
          <w:t>23265445</w:t>
        </w:r>
      </w:hyperlink>
    </w:p>
    <w:p w14:paraId="1DC312B0" w14:textId="77777777" w:rsidR="008D0565" w:rsidRPr="00D61F73" w:rsidRDefault="008D0565" w:rsidP="00D61F73">
      <w:pPr>
        <w:rPr>
          <w:rFonts w:ascii="Arial" w:eastAsia="Calibri" w:hAnsi="Arial" w:cs="Arial"/>
        </w:rPr>
      </w:pPr>
    </w:p>
    <w:p w14:paraId="5FB0A1C2" w14:textId="77777777" w:rsidR="008D0565" w:rsidRPr="00D61F73" w:rsidRDefault="008D0565" w:rsidP="00D61F73">
      <w:pPr>
        <w:rPr>
          <w:rFonts w:ascii="Arial" w:hAnsi="Arial" w:cs="Arial"/>
        </w:rPr>
      </w:pPr>
      <w:r w:rsidRPr="00D61F73">
        <w:rPr>
          <w:rFonts w:ascii="Arial" w:hAnsi="Arial" w:cs="Arial"/>
        </w:rPr>
        <w:t>Rating: 4b</w:t>
      </w:r>
    </w:p>
    <w:p w14:paraId="163A75A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M</w:t>
      </w:r>
      <w:bookmarkStart w:id="915" w:name="Maroon"/>
      <w:bookmarkEnd w:id="915"/>
      <w:r w:rsidRPr="00D61F73">
        <w:rPr>
          <w:rFonts w:ascii="Arial" w:hAnsi="Arial" w:cs="Arial"/>
          <w:b/>
          <w:bCs/>
        </w:rPr>
        <w:t xml:space="preserve">aroon JC, Bost JW, Borden MK, Lorenz KM, Ross NA. Natural antiinflammatory agents for pain relief in athletes. </w:t>
      </w:r>
      <w:r w:rsidRPr="00D61F73">
        <w:rPr>
          <w:rFonts w:ascii="Arial" w:hAnsi="Arial" w:cs="Arial"/>
          <w:b/>
          <w:bCs/>
          <w:i/>
          <w:iCs/>
        </w:rPr>
        <w:t>Neurosurg Focus</w:t>
      </w:r>
      <w:r w:rsidRPr="00D61F73">
        <w:rPr>
          <w:rFonts w:ascii="Arial" w:hAnsi="Arial" w:cs="Arial"/>
          <w:b/>
          <w:bCs/>
        </w:rPr>
        <w:t>. 2006 Oct 15;21(4):E11.</w:t>
      </w:r>
    </w:p>
    <w:p w14:paraId="5BC164C2" w14:textId="77777777" w:rsidR="008D0565" w:rsidRPr="00D61F73" w:rsidRDefault="008D0565" w:rsidP="00D61F73">
      <w:pPr>
        <w:rPr>
          <w:rFonts w:ascii="Arial" w:hAnsi="Arial" w:cs="Arial"/>
        </w:rPr>
      </w:pPr>
    </w:p>
    <w:p w14:paraId="25434A6F" w14:textId="77777777" w:rsidR="008D0565" w:rsidRPr="00D61F73" w:rsidRDefault="008D0565" w:rsidP="00D61F73">
      <w:pPr>
        <w:rPr>
          <w:rFonts w:ascii="Arial" w:hAnsi="Arial" w:cs="Arial"/>
        </w:rPr>
      </w:pPr>
      <w:r w:rsidRPr="00D61F73">
        <w:rPr>
          <w:rFonts w:ascii="Arial" w:hAnsi="Arial" w:cs="Arial"/>
        </w:rPr>
        <w:t>The use of both over-the-counter and prescription nonsteroidal medications is frequently recommended, but recent safety concerns must now be considered.. They also review the use of natural supplements, which may be a safer, and often as effective, alternative treatment for pain relief.</w:t>
      </w:r>
    </w:p>
    <w:p w14:paraId="218B43A4" w14:textId="77777777" w:rsidR="008D0565" w:rsidRPr="00D61F73" w:rsidRDefault="008D0565" w:rsidP="00D61F73">
      <w:pPr>
        <w:rPr>
          <w:rFonts w:ascii="Arial" w:hAnsi="Arial" w:cs="Arial"/>
        </w:rPr>
      </w:pPr>
    </w:p>
    <w:p w14:paraId="76AEB0B5" w14:textId="77777777" w:rsidR="008D0565" w:rsidRPr="00D61F73" w:rsidRDefault="008D0565" w:rsidP="00D61F73">
      <w:pPr>
        <w:rPr>
          <w:rFonts w:ascii="Arial" w:hAnsi="Arial" w:cs="Arial"/>
        </w:rPr>
      </w:pPr>
      <w:r w:rsidRPr="00D61F73">
        <w:rPr>
          <w:rFonts w:ascii="Arial" w:hAnsi="Arial" w:cs="Arial"/>
        </w:rPr>
        <w:t xml:space="preserve">PMID: </w:t>
      </w:r>
      <w:hyperlink r:id="rId598" w:history="1">
        <w:r w:rsidRPr="00D61F73">
          <w:rPr>
            <w:rStyle w:val="Hyperlink"/>
            <w:rFonts w:ascii="Arial" w:hAnsi="Arial" w:cs="Arial"/>
          </w:rPr>
          <w:t>17112189</w:t>
        </w:r>
      </w:hyperlink>
      <w:r w:rsidRPr="00D61F73">
        <w:rPr>
          <w:rFonts w:ascii="Arial" w:hAnsi="Arial" w:cs="Arial"/>
        </w:rPr>
        <w:t xml:space="preserve"> </w:t>
      </w:r>
    </w:p>
    <w:p w14:paraId="26BE108F" w14:textId="77777777" w:rsidR="008D0565" w:rsidRPr="00D61F73" w:rsidRDefault="008D0565" w:rsidP="00D61F73">
      <w:pPr>
        <w:rPr>
          <w:rFonts w:ascii="Arial" w:hAnsi="Arial" w:cs="Arial"/>
        </w:rPr>
      </w:pPr>
    </w:p>
    <w:p w14:paraId="648DFAB7" w14:textId="77777777" w:rsidR="008D0565" w:rsidRPr="00D61F73" w:rsidRDefault="008D0565" w:rsidP="00D61F73">
      <w:pPr>
        <w:rPr>
          <w:rFonts w:ascii="Arial" w:hAnsi="Arial" w:cs="Arial"/>
        </w:rPr>
      </w:pPr>
      <w:r w:rsidRPr="00D61F73">
        <w:rPr>
          <w:rFonts w:ascii="Arial" w:hAnsi="Arial" w:cs="Arial"/>
        </w:rPr>
        <w:t>Rating: 5a</w:t>
      </w:r>
    </w:p>
    <w:p w14:paraId="35D8243C" w14:textId="77777777" w:rsidR="008D0565" w:rsidRPr="00D61F73" w:rsidRDefault="008D0565" w:rsidP="00D61F73">
      <w:pPr>
        <w:rPr>
          <w:rFonts w:ascii="Arial" w:hAnsi="Arial" w:cs="Arial"/>
        </w:rPr>
      </w:pPr>
    </w:p>
    <w:p w14:paraId="3FF2DEE6" w14:textId="77777777" w:rsidR="008D0565" w:rsidRPr="00D61F73" w:rsidRDefault="008D0565" w:rsidP="00D61F73">
      <w:pPr>
        <w:pStyle w:val="Heading1"/>
        <w:rPr>
          <w:rFonts w:ascii="Arial" w:hAnsi="Arial" w:cs="Arial"/>
          <w:b w:val="0"/>
          <w:bCs w:val="0"/>
        </w:rPr>
      </w:pPr>
      <w:r w:rsidRPr="00D61F73">
        <w:rPr>
          <w:rFonts w:ascii="Arial" w:hAnsi="Arial" w:cs="Arial"/>
          <w:b w:val="0"/>
          <w:bCs w:val="0"/>
          <w:i/>
          <w:iCs/>
        </w:rPr>
        <w:t>Lesser-Known Side Effects of NSAIDs - Reduced Healing:</w:t>
      </w:r>
      <w:r w:rsidRPr="00D61F73">
        <w:rPr>
          <w:rFonts w:ascii="Arial" w:hAnsi="Arial" w:cs="Arial"/>
          <w:b w:val="0"/>
          <w:bCs w:val="0"/>
        </w:rPr>
        <w:t xml:space="preserve"> Besides the well-documented gastric side effects of NSAIDs and more recently discovered vascular side effects of selective COX-2 inhibitors, there are other less well-known but just as serious effects of NSAIDs, particularly in sports medicine. The use of NSAIDs has been shown to delay and hamper healing in all the soft tissues, including muscles (despite their tremendous blood supply), ligaments, tendons, and cartilage. </w:t>
      </w:r>
    </w:p>
    <w:p w14:paraId="635DF3DF" w14:textId="77777777" w:rsidR="008D0565" w:rsidRPr="00D61F73" w:rsidRDefault="008D0565" w:rsidP="00D61F73">
      <w:pPr>
        <w:pStyle w:val="Heading4"/>
        <w:jc w:val="left"/>
        <w:rPr>
          <w:rFonts w:ascii="Arial" w:hAnsi="Arial" w:cs="Arial"/>
          <w:b w:val="0"/>
          <w:bCs w:val="0"/>
        </w:rPr>
      </w:pPr>
      <w:r w:rsidRPr="00D61F73">
        <w:rPr>
          <w:rFonts w:ascii="Arial" w:hAnsi="Arial" w:cs="Arial"/>
          <w:b w:val="0"/>
          <w:bCs w:val="0"/>
          <w:i/>
          <w:iCs/>
        </w:rPr>
        <w:t>Capsaicin (Chili Pepper):</w:t>
      </w:r>
      <w:r w:rsidRPr="00D61F73">
        <w:rPr>
          <w:rFonts w:ascii="Arial" w:hAnsi="Arial" w:cs="Arial"/>
          <w:b w:val="0"/>
          <w:bCs w:val="0"/>
        </w:rPr>
        <w:t xml:space="preserve"> Capsaicin produces highly selective regional anesthesia by causing degeneration of capsaicin-sensitive nociceptive nerve endings, which can produce significant and long-lasting increases in nociceptive thresholds.</w:t>
      </w:r>
    </w:p>
    <w:p w14:paraId="2661957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16" w:name="Martin"/>
      <w:bookmarkEnd w:id="916"/>
      <w:r w:rsidRPr="00D61F73">
        <w:rPr>
          <w:rFonts w:ascii="Arial" w:hAnsi="Arial" w:cs="Arial"/>
          <w:b/>
          <w:bCs/>
        </w:rPr>
        <w:t xml:space="preserve">artin, T., et al. Pharmacology of Opioid and Nonopioid Analgesics in Chronic Pain. The </w:t>
      </w:r>
      <w:r w:rsidRPr="00D61F73">
        <w:rPr>
          <w:rFonts w:ascii="Arial" w:hAnsi="Arial" w:cs="Arial"/>
          <w:b/>
          <w:bCs/>
          <w:i/>
          <w:iCs/>
        </w:rPr>
        <w:t>Journal of Pharmacology and Experimental Therapeutics</w:t>
      </w:r>
      <w:r w:rsidRPr="00D61F73">
        <w:rPr>
          <w:rFonts w:ascii="Arial" w:hAnsi="Arial" w:cs="Arial"/>
          <w:b/>
          <w:bCs/>
        </w:rPr>
        <w:t>. 2001;Volume 299, Number 3: 811-7.</w:t>
      </w:r>
    </w:p>
    <w:p w14:paraId="08AEEB51" w14:textId="77777777" w:rsidR="008D0565" w:rsidRPr="00D61F73" w:rsidRDefault="008D0565" w:rsidP="00D61F73">
      <w:pPr>
        <w:rPr>
          <w:rFonts w:ascii="Arial" w:hAnsi="Arial" w:cs="Arial"/>
        </w:rPr>
      </w:pPr>
    </w:p>
    <w:p w14:paraId="39863F0B" w14:textId="77777777" w:rsidR="008D0565" w:rsidRPr="00D61F73" w:rsidRDefault="008D0565" w:rsidP="00D61F73">
      <w:pPr>
        <w:rPr>
          <w:rFonts w:ascii="Arial" w:hAnsi="Arial" w:cs="Arial"/>
        </w:rPr>
      </w:pPr>
      <w:r w:rsidRPr="00D61F73">
        <w:rPr>
          <w:rFonts w:ascii="Arial" w:hAnsi="Arial" w:cs="Arial"/>
        </w:rPr>
        <w:t>Rating: 1c</w:t>
      </w:r>
    </w:p>
    <w:p w14:paraId="6E2D60CF" w14:textId="77777777" w:rsidR="008D0565" w:rsidRPr="00D61F73" w:rsidRDefault="008D0565" w:rsidP="00D61F73">
      <w:pPr>
        <w:rPr>
          <w:rFonts w:ascii="Arial" w:hAnsi="Arial" w:cs="Arial"/>
        </w:rPr>
      </w:pPr>
    </w:p>
    <w:p w14:paraId="5DE7E0E8" w14:textId="77777777" w:rsidR="008D0565" w:rsidRPr="00D61F73" w:rsidRDefault="008D0565" w:rsidP="00D61F73">
      <w:pPr>
        <w:rPr>
          <w:rFonts w:ascii="Arial" w:hAnsi="Arial" w:cs="Arial"/>
        </w:rPr>
      </w:pPr>
      <w:r w:rsidRPr="00D61F73">
        <w:rPr>
          <w:rFonts w:ascii="Arial" w:hAnsi="Arial" w:cs="Arial"/>
        </w:rPr>
        <w:t xml:space="preserve">Quality: N/A. Total Rating: N/A. Comment: Does not meet inclusion criteria for evidence-based review. </w:t>
      </w:r>
    </w:p>
    <w:p w14:paraId="23ABF9ED" w14:textId="77777777" w:rsidR="008D0565" w:rsidRPr="00D61F73" w:rsidRDefault="008D0565" w:rsidP="00D61F73">
      <w:pPr>
        <w:rPr>
          <w:rFonts w:ascii="Arial" w:hAnsi="Arial" w:cs="Arial"/>
          <w:b/>
          <w:bCs/>
        </w:rPr>
      </w:pPr>
      <w:r w:rsidRPr="00D61F73">
        <w:rPr>
          <w:rFonts w:ascii="Arial" w:hAnsi="Arial" w:cs="Arial"/>
          <w:b/>
          <w:bCs/>
        </w:rPr>
        <w:br w:type="page"/>
      </w:r>
      <w:hyperlink r:id="rId599" w:history="1">
        <w:r w:rsidRPr="00D61F73">
          <w:rPr>
            <w:rStyle w:val="Hyperlink"/>
            <w:rFonts w:ascii="Arial" w:hAnsi="Arial" w:cs="Arial"/>
            <w:b/>
            <w:bCs/>
          </w:rPr>
          <w:t>M</w:t>
        </w:r>
        <w:bookmarkStart w:id="917" w:name="Mason"/>
        <w:bookmarkEnd w:id="917"/>
        <w:r w:rsidRPr="00D61F73">
          <w:rPr>
            <w:rStyle w:val="Hyperlink"/>
            <w:rFonts w:ascii="Arial" w:hAnsi="Arial" w:cs="Arial"/>
            <w:b/>
            <w:bCs/>
          </w:rPr>
          <w:t>ason L, Moore RA, Edwards JE, McQuay HJ, Derry S, Wiffen PJ</w:t>
        </w:r>
      </w:hyperlink>
      <w:r w:rsidRPr="00D61F73">
        <w:rPr>
          <w:rFonts w:ascii="Arial" w:hAnsi="Arial" w:cs="Arial"/>
          <w:b/>
          <w:bCs/>
        </w:rPr>
        <w:t xml:space="preserve">. Systematic review of efficacy of topical rubefacients containing salicylates for the treatment of acute and chronic pain. </w:t>
      </w:r>
      <w:r w:rsidRPr="00D61F73">
        <w:rPr>
          <w:rFonts w:ascii="Arial" w:hAnsi="Arial" w:cs="Arial"/>
          <w:b/>
          <w:bCs/>
          <w:i/>
          <w:iCs/>
        </w:rPr>
        <w:t>BMJ.</w:t>
      </w:r>
      <w:r w:rsidRPr="00D61F73">
        <w:rPr>
          <w:rFonts w:ascii="Arial" w:hAnsi="Arial" w:cs="Arial"/>
          <w:b/>
          <w:bCs/>
        </w:rPr>
        <w:t xml:space="preserve"> 2004 Apr 24;328(7446):995. Epub 2004 Mar 19.</w:t>
      </w:r>
    </w:p>
    <w:p w14:paraId="179FC42E" w14:textId="77777777" w:rsidR="008D0565" w:rsidRPr="00D61F73" w:rsidRDefault="008D0565" w:rsidP="00D61F73">
      <w:pPr>
        <w:rPr>
          <w:rFonts w:ascii="Arial" w:hAnsi="Arial" w:cs="Arial"/>
        </w:rPr>
      </w:pPr>
    </w:p>
    <w:p w14:paraId="6735CC56" w14:textId="77777777" w:rsidR="008D0565" w:rsidRPr="00D61F73" w:rsidRDefault="008D0565" w:rsidP="00D61F73">
      <w:pPr>
        <w:rPr>
          <w:rFonts w:ascii="Arial" w:hAnsi="Arial" w:cs="Arial"/>
        </w:rPr>
      </w:pPr>
      <w:r w:rsidRPr="00D61F73">
        <w:rPr>
          <w:rFonts w:ascii="Arial" w:hAnsi="Arial" w:cs="Arial"/>
        </w:rPr>
        <w:t xml:space="preserve">CONCLUSIONS: Based on limited information, topically applied rubefacients containing salicylates may be efficacious in the treatment of acute pain. </w:t>
      </w:r>
    </w:p>
    <w:p w14:paraId="15ECDEDB" w14:textId="77777777" w:rsidR="008D0565" w:rsidRPr="00D61F73" w:rsidRDefault="008D0565" w:rsidP="00D61F73">
      <w:pPr>
        <w:rPr>
          <w:rFonts w:ascii="Arial" w:hAnsi="Arial" w:cs="Arial"/>
        </w:rPr>
      </w:pPr>
    </w:p>
    <w:p w14:paraId="3B2E2258" w14:textId="77777777" w:rsidR="008D0565" w:rsidRPr="00D61F73" w:rsidRDefault="008D0565" w:rsidP="00D61F73">
      <w:pPr>
        <w:rPr>
          <w:rFonts w:ascii="Arial" w:hAnsi="Arial" w:cs="Arial"/>
        </w:rPr>
      </w:pPr>
      <w:r w:rsidRPr="00D61F73">
        <w:rPr>
          <w:rFonts w:ascii="Arial" w:hAnsi="Arial" w:cs="Arial"/>
        </w:rPr>
        <w:t xml:space="preserve">PMID: </w:t>
      </w:r>
      <w:hyperlink r:id="rId600" w:history="1">
        <w:r w:rsidRPr="00D61F73">
          <w:rPr>
            <w:rStyle w:val="Hyperlink"/>
            <w:rFonts w:ascii="Arial" w:hAnsi="Arial" w:cs="Arial"/>
          </w:rPr>
          <w:t>15033879</w:t>
        </w:r>
      </w:hyperlink>
      <w:r w:rsidRPr="00D61F73">
        <w:rPr>
          <w:rFonts w:ascii="Arial" w:hAnsi="Arial" w:cs="Arial"/>
        </w:rPr>
        <w:t xml:space="preserve"> </w:t>
      </w:r>
    </w:p>
    <w:p w14:paraId="73E858F1"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33A900A0"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1c</w:t>
      </w:r>
    </w:p>
    <w:p w14:paraId="7589C354"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M</w:t>
      </w:r>
      <w:bookmarkStart w:id="918" w:name="Mason2"/>
      <w:bookmarkEnd w:id="918"/>
      <w:r w:rsidRPr="00D61F73">
        <w:rPr>
          <w:rFonts w:ascii="Arial" w:hAnsi="Arial" w:cs="Arial"/>
          <w:b/>
          <w:bCs/>
        </w:rPr>
        <w:t xml:space="preserve">ason L, Moore RA, Derry S, Edwards JE, McQuay HJ. Systematic review of topical capsaicin for the treatment of chronic pain. </w:t>
      </w:r>
      <w:r w:rsidRPr="00D61F73">
        <w:rPr>
          <w:rFonts w:ascii="Arial" w:hAnsi="Arial" w:cs="Arial"/>
          <w:b/>
          <w:bCs/>
          <w:i/>
          <w:iCs/>
        </w:rPr>
        <w:t>BMJ.</w:t>
      </w:r>
      <w:r w:rsidRPr="00D61F73">
        <w:rPr>
          <w:rFonts w:ascii="Arial" w:hAnsi="Arial" w:cs="Arial"/>
          <w:b/>
          <w:bCs/>
        </w:rPr>
        <w:t xml:space="preserve"> 2004 Apr 24;328(7446):991. Epub 2004 Mar 19.</w:t>
      </w:r>
    </w:p>
    <w:p w14:paraId="4117591D" w14:textId="77777777" w:rsidR="008D0565" w:rsidRPr="00D61F73" w:rsidRDefault="008D0565" w:rsidP="00D61F73">
      <w:pPr>
        <w:rPr>
          <w:rFonts w:ascii="Arial" w:hAnsi="Arial" w:cs="Arial"/>
        </w:rPr>
      </w:pPr>
    </w:p>
    <w:p w14:paraId="37C28115" w14:textId="77777777" w:rsidR="008D0565" w:rsidRPr="00D61F73" w:rsidRDefault="008D0565" w:rsidP="00D61F73">
      <w:pPr>
        <w:rPr>
          <w:rFonts w:ascii="Arial" w:hAnsi="Arial" w:cs="Arial"/>
        </w:rPr>
      </w:pPr>
      <w:r w:rsidRPr="00D61F73">
        <w:rPr>
          <w:rFonts w:ascii="Arial" w:hAnsi="Arial" w:cs="Arial"/>
        </w:rPr>
        <w:t>CONCLUSIONS: Although topically applied capsaicin has moderate to poor efficacy in the treatment of chronic musculoskeletal or neuropathic pain, it may be useful as an adjunct or sole therapy for a small number of patients who are unresponsive to, or intolerant of, other treatments.</w:t>
      </w:r>
    </w:p>
    <w:p w14:paraId="3BDECA69" w14:textId="77777777" w:rsidR="008D0565" w:rsidRPr="00D61F73" w:rsidRDefault="008D0565" w:rsidP="00D61F73">
      <w:pPr>
        <w:rPr>
          <w:rFonts w:ascii="Arial" w:hAnsi="Arial" w:cs="Arial"/>
        </w:rPr>
      </w:pPr>
    </w:p>
    <w:p w14:paraId="6D07F86E" w14:textId="77777777" w:rsidR="008D0565" w:rsidRPr="00D61F73" w:rsidRDefault="008D0565" w:rsidP="00D61F73">
      <w:pPr>
        <w:rPr>
          <w:rFonts w:ascii="Arial" w:hAnsi="Arial" w:cs="Arial"/>
        </w:rPr>
      </w:pPr>
      <w:r w:rsidRPr="00D61F73">
        <w:rPr>
          <w:rFonts w:ascii="Arial" w:hAnsi="Arial" w:cs="Arial"/>
        </w:rPr>
        <w:t xml:space="preserve">PMID: </w:t>
      </w:r>
      <w:hyperlink r:id="rId601" w:history="1">
        <w:r w:rsidRPr="00D61F73">
          <w:rPr>
            <w:rStyle w:val="Hyperlink"/>
            <w:rFonts w:ascii="Arial" w:hAnsi="Arial" w:cs="Arial"/>
          </w:rPr>
          <w:t>15033881</w:t>
        </w:r>
      </w:hyperlink>
      <w:r w:rsidRPr="00D61F73">
        <w:rPr>
          <w:rFonts w:ascii="Arial" w:hAnsi="Arial" w:cs="Arial"/>
        </w:rPr>
        <w:t xml:space="preserve"> </w:t>
      </w:r>
    </w:p>
    <w:p w14:paraId="65D28F71"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9D5C913"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1c</w:t>
      </w:r>
    </w:p>
    <w:p w14:paraId="798FD4B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1DE133A6"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Capsaicin, which is derived from chili peppers, causes vasodilation, itching, and burning when applied to the skin. These actions are attributed to binding with nociceptors, which causes a period of enhanced sensitivity followed by a refractory period of reduced sensitivity. The authors conclude that topical capsaicin is superior to placebo in relieving chronic neuropathic and musculoskeletal pain. Local adverse reactions were common but seldom serious. However, local irritation could have led some patients to recognize active treatment and may have caused biased results. Although topical capsaicin has moderate to poor efficacy, it may be particularly useful (alone or in conjunction with other modalities) in patients whose pain has not been controlled successfully with conventional therapy.</w:t>
      </w:r>
    </w:p>
    <w:p w14:paraId="63872AD0"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38260A7"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M</w:t>
      </w:r>
      <w:bookmarkStart w:id="919" w:name="Mason3"/>
      <w:bookmarkEnd w:id="919"/>
      <w:r w:rsidRPr="00D61F73">
        <w:rPr>
          <w:rFonts w:ascii="Arial" w:hAnsi="Arial" w:cs="Arial"/>
          <w:b/>
        </w:rPr>
        <w:t xml:space="preserve">ason L, Edwards JE, Moore RA, McQuay HJ. Single dose oral naproxen and naproxen sodium for acute postoperative pain. </w:t>
      </w:r>
      <w:r w:rsidRPr="00D61F73">
        <w:rPr>
          <w:rFonts w:ascii="Arial" w:hAnsi="Arial" w:cs="Arial"/>
          <w:b/>
          <w:i/>
        </w:rPr>
        <w:t xml:space="preserve">The Cochrane Database of Systematic Reviews </w:t>
      </w:r>
      <w:r w:rsidRPr="00D61F73">
        <w:rPr>
          <w:rFonts w:ascii="Arial" w:hAnsi="Arial" w:cs="Arial"/>
          <w:b/>
        </w:rPr>
        <w:t>2006 Issue 3</w:t>
      </w:r>
    </w:p>
    <w:p w14:paraId="4BC2C082" w14:textId="77777777" w:rsidR="008D0565" w:rsidRPr="00D61F73" w:rsidRDefault="008D0565" w:rsidP="00D61F73">
      <w:pPr>
        <w:rPr>
          <w:rFonts w:ascii="Arial" w:hAnsi="Arial" w:cs="Arial"/>
          <w:b/>
        </w:rPr>
      </w:pPr>
      <w:r w:rsidRPr="00D61F73">
        <w:rPr>
          <w:rFonts w:ascii="Arial" w:hAnsi="Arial" w:cs="Arial"/>
          <w:b/>
        </w:rPr>
        <w:t>Copyright © 2006 The Cochrane Collaboration. Published by John Wiley &amp; Sons, Ltd.</w:t>
      </w:r>
    </w:p>
    <w:p w14:paraId="09600CE7" w14:textId="77777777" w:rsidR="008D0565" w:rsidRPr="00D61F73" w:rsidRDefault="008D0565" w:rsidP="00D61F73">
      <w:pPr>
        <w:rPr>
          <w:rFonts w:ascii="Arial" w:hAnsi="Arial" w:cs="Arial"/>
        </w:rPr>
      </w:pPr>
    </w:p>
    <w:p w14:paraId="44DBACF2" w14:textId="77777777" w:rsidR="008D0565" w:rsidRPr="00D61F73" w:rsidRDefault="008D0565" w:rsidP="00D61F73">
      <w:pPr>
        <w:rPr>
          <w:rFonts w:ascii="Arial" w:hAnsi="Arial" w:cs="Arial"/>
        </w:rPr>
      </w:pPr>
      <w:r w:rsidRPr="00D61F73">
        <w:rPr>
          <w:rFonts w:ascii="Arial" w:hAnsi="Arial" w:cs="Arial"/>
        </w:rPr>
        <w:t xml:space="preserve">Plain language summary: Naproxen sodium is effective for pain relief in adults who have acute pain after surgery. We found that naproxen sodium taken by mouth at doses of 550 mg and 440 mg is an effective pain killer for treating pain following surgery. The effects of one dose last, on average, up to seven hours. </w:t>
      </w:r>
    </w:p>
    <w:p w14:paraId="3A868E24" w14:textId="77777777" w:rsidR="008D0565" w:rsidRPr="00D61F73" w:rsidRDefault="008D0565" w:rsidP="00D61F73">
      <w:pPr>
        <w:rPr>
          <w:rFonts w:ascii="Arial" w:hAnsi="Arial" w:cs="Arial"/>
        </w:rPr>
      </w:pPr>
    </w:p>
    <w:p w14:paraId="5707C6D4" w14:textId="77777777" w:rsidR="008D0565" w:rsidRPr="00D61F73" w:rsidRDefault="008D0565" w:rsidP="00D61F73">
      <w:pPr>
        <w:rPr>
          <w:rFonts w:ascii="Arial" w:hAnsi="Arial" w:cs="Arial"/>
        </w:rPr>
      </w:pPr>
      <w:r w:rsidRPr="00D61F73">
        <w:rPr>
          <w:rFonts w:ascii="Arial" w:hAnsi="Arial" w:cs="Arial"/>
        </w:rPr>
        <w:t>Rating : 1a</w:t>
      </w:r>
    </w:p>
    <w:p w14:paraId="6063A55B"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M</w:t>
      </w:r>
      <w:bookmarkStart w:id="920" w:name="Mason4"/>
      <w:bookmarkEnd w:id="920"/>
      <w:r w:rsidRPr="00D61F73">
        <w:rPr>
          <w:rFonts w:ascii="Arial" w:hAnsi="Arial" w:cs="Arial"/>
          <w:b/>
        </w:rPr>
        <w:t xml:space="preserve">ason L, Moore RA, Edwards JE, Derry S, McQuay HJ. Topical NSAIDs for chronic musculoskeletal pain: systematic review and meta-analysis. </w:t>
      </w:r>
      <w:r w:rsidRPr="00D61F73">
        <w:rPr>
          <w:rFonts w:ascii="Arial" w:hAnsi="Arial" w:cs="Arial"/>
          <w:b/>
          <w:i/>
        </w:rPr>
        <w:t>BMC Musculoskelet Disord</w:t>
      </w:r>
      <w:r w:rsidRPr="00D61F73">
        <w:rPr>
          <w:rFonts w:ascii="Arial" w:hAnsi="Arial" w:cs="Arial"/>
          <w:b/>
        </w:rPr>
        <w:t xml:space="preserve">. 2004;5:28. </w:t>
      </w:r>
    </w:p>
    <w:p w14:paraId="69CB74F0" w14:textId="77777777" w:rsidR="008D0565" w:rsidRPr="00D61F73" w:rsidRDefault="008D0565" w:rsidP="00D61F73">
      <w:pPr>
        <w:rPr>
          <w:rFonts w:ascii="Arial" w:hAnsi="Arial" w:cs="Arial"/>
        </w:rPr>
      </w:pPr>
    </w:p>
    <w:p w14:paraId="3D521612" w14:textId="77777777" w:rsidR="008D0565" w:rsidRPr="00D61F73" w:rsidRDefault="008D0565" w:rsidP="00D61F73">
      <w:pPr>
        <w:rPr>
          <w:rFonts w:ascii="Arial" w:hAnsi="Arial" w:cs="Arial"/>
        </w:rPr>
      </w:pPr>
      <w:r w:rsidRPr="00D61F73">
        <w:rPr>
          <w:rFonts w:ascii="Arial" w:hAnsi="Arial" w:cs="Arial"/>
        </w:rPr>
        <w:t>CONCLUSIONS: Topical NSAIDs were effective and safe in treating chronic musculoskeletal conditions for two weeks. Larger and longer trials are necessary to fully elucidate the place of topical NSAIDs in clinical practice.</w:t>
      </w:r>
    </w:p>
    <w:p w14:paraId="1125862F" w14:textId="77777777" w:rsidR="008D0565" w:rsidRPr="00D61F73" w:rsidRDefault="008D0565" w:rsidP="00D61F73">
      <w:pPr>
        <w:rPr>
          <w:rFonts w:ascii="Arial" w:hAnsi="Arial" w:cs="Arial"/>
        </w:rPr>
      </w:pPr>
    </w:p>
    <w:p w14:paraId="67998426" w14:textId="77777777" w:rsidR="008D0565" w:rsidRPr="00D61F73" w:rsidRDefault="008D0565" w:rsidP="00D61F73">
      <w:pPr>
        <w:rPr>
          <w:rFonts w:ascii="Arial" w:hAnsi="Arial" w:cs="Arial"/>
        </w:rPr>
      </w:pPr>
      <w:r w:rsidRPr="00D61F73">
        <w:rPr>
          <w:rFonts w:ascii="Arial" w:hAnsi="Arial" w:cs="Arial"/>
        </w:rPr>
        <w:t xml:space="preserve">PMID: </w:t>
      </w:r>
      <w:hyperlink r:id="rId602" w:history="1">
        <w:r w:rsidRPr="00D61F73">
          <w:rPr>
            <w:rStyle w:val="Hyperlink"/>
            <w:rFonts w:ascii="Arial" w:hAnsi="Arial" w:cs="Arial"/>
          </w:rPr>
          <w:t>15317652</w:t>
        </w:r>
      </w:hyperlink>
    </w:p>
    <w:p w14:paraId="076FA629" w14:textId="77777777" w:rsidR="008D0565" w:rsidRPr="00D61F73" w:rsidRDefault="008D0565" w:rsidP="00D61F73">
      <w:pPr>
        <w:rPr>
          <w:rFonts w:ascii="Arial" w:hAnsi="Arial" w:cs="Arial"/>
        </w:rPr>
      </w:pPr>
    </w:p>
    <w:p w14:paraId="61462C23" w14:textId="77777777" w:rsidR="008D0565" w:rsidRPr="00D61F73" w:rsidRDefault="008D0565" w:rsidP="00D61F73">
      <w:pPr>
        <w:rPr>
          <w:rFonts w:ascii="Arial" w:hAnsi="Arial" w:cs="Arial"/>
        </w:rPr>
      </w:pPr>
      <w:r w:rsidRPr="00D61F73">
        <w:rPr>
          <w:rFonts w:ascii="Arial" w:hAnsi="Arial" w:cs="Arial"/>
        </w:rPr>
        <w:t>Rating: 1c</w:t>
      </w:r>
    </w:p>
    <w:p w14:paraId="5C183239"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M</w:t>
      </w:r>
      <w:bookmarkStart w:id="921" w:name="Mason5"/>
      <w:bookmarkEnd w:id="921"/>
      <w:r w:rsidRPr="00D61F73">
        <w:rPr>
          <w:rFonts w:ascii="Arial" w:hAnsi="Arial" w:cs="Arial"/>
          <w:b/>
        </w:rPr>
        <w:t xml:space="preserve">ason L, Moore RA, Edwards JE, Derry S, McQuay HJ. Topical NSAIDs for acute pain: a meta-analysis. </w:t>
      </w:r>
      <w:r w:rsidRPr="00D61F73">
        <w:rPr>
          <w:rFonts w:ascii="Arial" w:hAnsi="Arial" w:cs="Arial"/>
          <w:b/>
          <w:i/>
        </w:rPr>
        <w:t>BMC Fam Pract</w:t>
      </w:r>
      <w:r w:rsidRPr="00D61F73">
        <w:rPr>
          <w:rFonts w:ascii="Arial" w:hAnsi="Arial" w:cs="Arial"/>
          <w:b/>
        </w:rPr>
        <w:t>. 2004;5:10.</w:t>
      </w:r>
    </w:p>
    <w:p w14:paraId="274BAA0C" w14:textId="77777777" w:rsidR="008D0565" w:rsidRPr="00D61F73" w:rsidRDefault="008D0565" w:rsidP="00D61F73">
      <w:pPr>
        <w:rPr>
          <w:rFonts w:ascii="Arial" w:hAnsi="Arial" w:cs="Arial"/>
          <w:b/>
        </w:rPr>
      </w:pPr>
    </w:p>
    <w:p w14:paraId="1CC75312" w14:textId="77777777" w:rsidR="008D0565" w:rsidRPr="00D61F73" w:rsidRDefault="008D0565" w:rsidP="00D61F73">
      <w:pPr>
        <w:rPr>
          <w:rFonts w:ascii="Arial" w:hAnsi="Arial" w:cs="Arial"/>
        </w:rPr>
      </w:pPr>
      <w:r w:rsidRPr="00D61F73">
        <w:rPr>
          <w:rFonts w:ascii="Arial" w:hAnsi="Arial" w:cs="Arial"/>
        </w:rPr>
        <w:t xml:space="preserve">Indirect comparisons of individual topical NSAIDs showed that ketoprofen was significantly better than all other topical NSAIDs, while indomethacin was barely distinguished from placebo. </w:t>
      </w:r>
    </w:p>
    <w:p w14:paraId="25CAA2AC" w14:textId="77777777" w:rsidR="008D0565" w:rsidRPr="00D61F73" w:rsidRDefault="008D0565" w:rsidP="00D61F73">
      <w:pPr>
        <w:rPr>
          <w:rFonts w:ascii="Arial" w:hAnsi="Arial" w:cs="Arial"/>
        </w:rPr>
      </w:pPr>
    </w:p>
    <w:p w14:paraId="69CF5EBF" w14:textId="77777777" w:rsidR="008D0565" w:rsidRPr="00D61F73" w:rsidRDefault="008D0565" w:rsidP="00D61F73">
      <w:pPr>
        <w:rPr>
          <w:rFonts w:ascii="Arial" w:hAnsi="Arial" w:cs="Arial"/>
        </w:rPr>
      </w:pPr>
      <w:r w:rsidRPr="00D61F73">
        <w:rPr>
          <w:rFonts w:ascii="Arial" w:hAnsi="Arial" w:cs="Arial"/>
        </w:rPr>
        <w:t xml:space="preserve">PMID: </w:t>
      </w:r>
      <w:hyperlink r:id="rId603" w:history="1">
        <w:r w:rsidRPr="00D61F73">
          <w:rPr>
            <w:rStyle w:val="Hyperlink"/>
            <w:rFonts w:ascii="Arial" w:hAnsi="Arial" w:cs="Arial"/>
          </w:rPr>
          <w:t>15147585</w:t>
        </w:r>
      </w:hyperlink>
      <w:r w:rsidRPr="00D61F73">
        <w:rPr>
          <w:rFonts w:ascii="Arial" w:hAnsi="Arial" w:cs="Arial"/>
        </w:rPr>
        <w:t xml:space="preserve"> </w:t>
      </w:r>
    </w:p>
    <w:p w14:paraId="5372C36A" w14:textId="77777777" w:rsidR="008D0565" w:rsidRPr="00D61F73" w:rsidRDefault="008D0565" w:rsidP="00D61F73">
      <w:pPr>
        <w:rPr>
          <w:rFonts w:ascii="Arial" w:hAnsi="Arial" w:cs="Arial"/>
        </w:rPr>
      </w:pPr>
    </w:p>
    <w:p w14:paraId="74BFA746" w14:textId="77777777" w:rsidR="008D0565" w:rsidRPr="00D61F73" w:rsidRDefault="008D0565" w:rsidP="00D61F73">
      <w:pPr>
        <w:rPr>
          <w:rFonts w:ascii="Arial" w:hAnsi="Arial" w:cs="Arial"/>
        </w:rPr>
      </w:pPr>
      <w:r w:rsidRPr="00D61F73">
        <w:rPr>
          <w:rFonts w:ascii="Arial" w:hAnsi="Arial" w:cs="Arial"/>
        </w:rPr>
        <w:t>Rating: 1a</w:t>
      </w:r>
    </w:p>
    <w:p w14:paraId="77812C9A"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M</w:t>
      </w:r>
      <w:bookmarkStart w:id="922" w:name="Massey2010"/>
      <w:bookmarkEnd w:id="922"/>
      <w:r w:rsidRPr="00D61F73">
        <w:rPr>
          <w:rFonts w:ascii="Arial" w:hAnsi="Arial" w:cs="Arial"/>
          <w:sz w:val="24"/>
          <w:szCs w:val="24"/>
        </w:rPr>
        <w:t xml:space="preserve">assey T, Derry S, Moore RA, McQuay HJ. Topical NSAIDs for acute pain in adults. </w:t>
      </w:r>
      <w:r w:rsidRPr="00D61F73">
        <w:rPr>
          <w:rFonts w:ascii="Arial" w:hAnsi="Arial" w:cs="Arial"/>
          <w:i/>
          <w:iCs/>
          <w:sz w:val="24"/>
          <w:szCs w:val="24"/>
        </w:rPr>
        <w:t>Cochrane Database Syst Rev.</w:t>
      </w:r>
      <w:r w:rsidRPr="00D61F73">
        <w:rPr>
          <w:rFonts w:ascii="Arial" w:hAnsi="Arial" w:cs="Arial"/>
          <w:sz w:val="24"/>
          <w:szCs w:val="24"/>
        </w:rPr>
        <w:t xml:space="preserve"> 2010 Jun 16;6:CD007402.</w:t>
      </w:r>
    </w:p>
    <w:p w14:paraId="3198F9A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4AEFA59"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CONCLUSIONS: Topical NSAIDs can provide good levels of pain relief, without the systemic adverse events associated with oral NSAIDs, when used to treat acute musculoskeletal conditions.</w:t>
      </w:r>
    </w:p>
    <w:p w14:paraId="57C71161"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0AF2A968" w14:textId="77777777" w:rsidR="008D0565" w:rsidRPr="00D61F73" w:rsidRDefault="008D0565" w:rsidP="00D61F73">
      <w:pPr>
        <w:pStyle w:val="Heading3"/>
        <w:spacing w:before="0" w:beforeAutospacing="0" w:after="0" w:afterAutospacing="0"/>
        <w:rPr>
          <w:rFonts w:ascii="Arial" w:hAnsi="Arial" w:cs="Arial"/>
          <w:b w:val="0"/>
          <w:bCs w:val="0"/>
          <w:sz w:val="24"/>
          <w:szCs w:val="24"/>
          <w:lang w:val="es-MX"/>
        </w:rPr>
      </w:pPr>
      <w:r w:rsidRPr="00D61F73">
        <w:rPr>
          <w:rFonts w:ascii="Arial" w:hAnsi="Arial" w:cs="Arial"/>
          <w:b w:val="0"/>
          <w:bCs w:val="0"/>
          <w:sz w:val="24"/>
          <w:szCs w:val="24"/>
          <w:lang w:val="es-MX"/>
        </w:rPr>
        <w:t xml:space="preserve">PMID: </w:t>
      </w:r>
      <w:hyperlink r:id="rId604" w:history="1">
        <w:r w:rsidRPr="00D61F73">
          <w:rPr>
            <w:rStyle w:val="Hyperlink"/>
            <w:rFonts w:ascii="Arial" w:hAnsi="Arial" w:cs="Arial"/>
            <w:b w:val="0"/>
            <w:bCs w:val="0"/>
            <w:sz w:val="24"/>
            <w:szCs w:val="24"/>
            <w:lang w:val="es-MX"/>
          </w:rPr>
          <w:t>20556778</w:t>
        </w:r>
      </w:hyperlink>
      <w:r w:rsidRPr="00D61F73">
        <w:rPr>
          <w:rFonts w:ascii="Arial" w:hAnsi="Arial" w:cs="Arial"/>
          <w:b w:val="0"/>
          <w:bCs w:val="0"/>
          <w:sz w:val="24"/>
          <w:szCs w:val="24"/>
          <w:lang w:val="es-MX"/>
        </w:rPr>
        <w:t xml:space="preserve"> </w:t>
      </w:r>
    </w:p>
    <w:p w14:paraId="1A59B53A" w14:textId="77777777" w:rsidR="008D0565" w:rsidRPr="00D61F73" w:rsidRDefault="008D0565" w:rsidP="00D61F73">
      <w:pPr>
        <w:pStyle w:val="Heading3"/>
        <w:spacing w:before="0" w:beforeAutospacing="0" w:after="0" w:afterAutospacing="0"/>
        <w:rPr>
          <w:rFonts w:ascii="Arial" w:hAnsi="Arial" w:cs="Arial"/>
          <w:b w:val="0"/>
          <w:bCs w:val="0"/>
          <w:sz w:val="24"/>
          <w:szCs w:val="24"/>
          <w:lang w:val="es-MX"/>
        </w:rPr>
      </w:pPr>
    </w:p>
    <w:p w14:paraId="7E8A3F9E" w14:textId="77777777" w:rsidR="008D0565" w:rsidRPr="00D61F73" w:rsidRDefault="008D0565" w:rsidP="00D61F73">
      <w:pPr>
        <w:pStyle w:val="Heading3"/>
        <w:spacing w:before="0" w:beforeAutospacing="0" w:after="0" w:afterAutospacing="0"/>
        <w:rPr>
          <w:rFonts w:ascii="Arial" w:hAnsi="Arial" w:cs="Arial"/>
          <w:b w:val="0"/>
          <w:bCs w:val="0"/>
          <w:sz w:val="24"/>
          <w:szCs w:val="24"/>
          <w:lang w:val="es-MX"/>
        </w:rPr>
      </w:pPr>
      <w:r w:rsidRPr="00D61F73">
        <w:rPr>
          <w:rFonts w:ascii="Arial" w:hAnsi="Arial" w:cs="Arial"/>
          <w:b w:val="0"/>
          <w:bCs w:val="0"/>
          <w:sz w:val="24"/>
          <w:szCs w:val="24"/>
          <w:lang w:val="es-MX"/>
        </w:rPr>
        <w:t>Rating: 1b</w:t>
      </w:r>
    </w:p>
    <w:p w14:paraId="18B79087"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lang w:val="es-MX"/>
        </w:rPr>
        <w:br w:type="page"/>
      </w:r>
      <w:r w:rsidRPr="00D61F73">
        <w:rPr>
          <w:rFonts w:ascii="Arial" w:hAnsi="Arial" w:cs="Arial"/>
          <w:sz w:val="24"/>
          <w:szCs w:val="24"/>
          <w:lang w:val="es-MX"/>
        </w:rPr>
        <w:lastRenderedPageBreak/>
        <w:t>M</w:t>
      </w:r>
      <w:bookmarkStart w:id="923" w:name="Massó2010"/>
      <w:bookmarkEnd w:id="923"/>
      <w:r w:rsidRPr="00D61F73">
        <w:rPr>
          <w:rFonts w:ascii="Arial" w:hAnsi="Arial" w:cs="Arial"/>
          <w:sz w:val="24"/>
          <w:szCs w:val="24"/>
          <w:lang w:val="es-MX"/>
        </w:rPr>
        <w:t xml:space="preserve">assó González EL, Patrignani P, Tacconelli S, García Rodríguez LA. </w:t>
      </w:r>
      <w:r w:rsidRPr="00D61F73">
        <w:rPr>
          <w:rFonts w:ascii="Arial" w:hAnsi="Arial" w:cs="Arial"/>
          <w:sz w:val="24"/>
          <w:szCs w:val="24"/>
        </w:rPr>
        <w:t xml:space="preserve">Variability among nonsteroidal antiinflammatory drugs in risk of upper gastrointestinal bleeding. </w:t>
      </w:r>
      <w:r w:rsidRPr="00D61F73">
        <w:rPr>
          <w:rFonts w:ascii="Arial" w:hAnsi="Arial" w:cs="Arial"/>
          <w:i/>
          <w:iCs/>
          <w:sz w:val="24"/>
          <w:szCs w:val="24"/>
        </w:rPr>
        <w:t>Arthritis Rheum</w:t>
      </w:r>
      <w:r w:rsidRPr="00D61F73">
        <w:rPr>
          <w:rFonts w:ascii="Arial" w:hAnsi="Arial" w:cs="Arial"/>
          <w:sz w:val="24"/>
          <w:szCs w:val="24"/>
        </w:rPr>
        <w:t>. 2010 Jun;62(6):1592-601.</w:t>
      </w:r>
    </w:p>
    <w:p w14:paraId="553055E5"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3A5C1DA4"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RESULTS: The RR of upper GI bleeding/perforation was 4.50 for traditional NSAIDs and 1.88 for coxibs. Drugs that have a long half-life or slow-release formulation and/or are associated with profound and coincident inhibition of both COX isozymes are associated with a greater risk of upper GI bleeding/perforation.</w:t>
      </w:r>
    </w:p>
    <w:p w14:paraId="7AE9E22F"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79971B75"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PMID: </w:t>
      </w:r>
      <w:hyperlink r:id="rId605" w:history="1">
        <w:r w:rsidRPr="00D61F73">
          <w:rPr>
            <w:rStyle w:val="Hyperlink"/>
            <w:rFonts w:ascii="Arial" w:hAnsi="Arial" w:cs="Arial"/>
            <w:b w:val="0"/>
            <w:bCs w:val="0"/>
            <w:sz w:val="24"/>
            <w:szCs w:val="24"/>
          </w:rPr>
          <w:t>20178131</w:t>
        </w:r>
      </w:hyperlink>
    </w:p>
    <w:p w14:paraId="35055768"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28F70D05"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1a</w:t>
      </w:r>
    </w:p>
    <w:p w14:paraId="28BB434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33118337" w14:textId="77777777" w:rsidR="008D0565" w:rsidRPr="00D61F73" w:rsidRDefault="008D0565" w:rsidP="00D61F73">
      <w:pPr>
        <w:rPr>
          <w:rFonts w:ascii="Arial" w:hAnsi="Arial" w:cs="Arial"/>
          <w:color w:val="auto"/>
        </w:rPr>
      </w:pPr>
      <w:r w:rsidRPr="00D61F73">
        <w:rPr>
          <w:rFonts w:ascii="Arial" w:hAnsi="Arial" w:cs="Arial"/>
        </w:rPr>
        <w:t xml:space="preserve">The relative risk of upper gastrointestinal (GI) bleeding varies among the NSAIDs.  A table is provided to demonstrate the differences.  </w:t>
      </w:r>
    </w:p>
    <w:p w14:paraId="41E3AF32" w14:textId="77777777" w:rsidR="008D0565" w:rsidRPr="00D61F73" w:rsidRDefault="008D0565" w:rsidP="00D61F73">
      <w:pPr>
        <w:ind w:left="2880"/>
        <w:rPr>
          <w:rFonts w:ascii="Arial" w:hAnsi="Arial" w:cs="Arial"/>
          <w:b/>
        </w:rPr>
      </w:pPr>
      <w:r w:rsidRPr="00D61F73">
        <w:rPr>
          <w:rFonts w:ascii="Arial" w:hAnsi="Arial" w:cs="Arial"/>
          <w:b/>
        </w:rPr>
        <w:t>Relative Risk of Upper GI Bleeding</w:t>
      </w:r>
    </w:p>
    <w:tbl>
      <w:tblPr>
        <w:tblW w:w="0" w:type="auto"/>
        <w:tblInd w:w="143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710"/>
      </w:tblGrid>
      <w:tr w:rsidR="008D0565" w:rsidRPr="00D61F73" w14:paraId="7FC746B6" w14:textId="77777777">
        <w:tc>
          <w:tcPr>
            <w:tcW w:w="4788" w:type="dxa"/>
            <w:tcBorders>
              <w:top w:val="single" w:sz="4" w:space="0" w:color="auto"/>
              <w:left w:val="single" w:sz="4" w:space="0" w:color="auto"/>
              <w:bottom w:val="single" w:sz="4" w:space="0" w:color="auto"/>
              <w:right w:val="single" w:sz="4" w:space="0" w:color="auto"/>
            </w:tcBorders>
          </w:tcPr>
          <w:p w14:paraId="56C4DF50" w14:textId="77777777" w:rsidR="008D0565" w:rsidRPr="00D61F73" w:rsidRDefault="008D0565" w:rsidP="00D61F73">
            <w:pPr>
              <w:jc w:val="center"/>
              <w:rPr>
                <w:rFonts w:ascii="Arial" w:hAnsi="Arial" w:cs="Arial"/>
                <w:b/>
              </w:rPr>
            </w:pPr>
            <w:r w:rsidRPr="00D61F73">
              <w:rPr>
                <w:rFonts w:ascii="Arial" w:hAnsi="Arial" w:cs="Arial"/>
                <w:b/>
              </w:rPr>
              <w:t>NSAID</w:t>
            </w:r>
          </w:p>
        </w:tc>
        <w:tc>
          <w:tcPr>
            <w:tcW w:w="1710" w:type="dxa"/>
            <w:tcBorders>
              <w:top w:val="single" w:sz="4" w:space="0" w:color="auto"/>
              <w:left w:val="single" w:sz="4" w:space="0" w:color="auto"/>
              <w:bottom w:val="single" w:sz="4" w:space="0" w:color="auto"/>
              <w:right w:val="single" w:sz="4" w:space="0" w:color="auto"/>
            </w:tcBorders>
          </w:tcPr>
          <w:p w14:paraId="59B7EB35" w14:textId="77777777" w:rsidR="008D0565" w:rsidRPr="00D61F73" w:rsidRDefault="008D0565" w:rsidP="00D61F73">
            <w:pPr>
              <w:jc w:val="center"/>
              <w:rPr>
                <w:rFonts w:ascii="Arial" w:hAnsi="Arial" w:cs="Arial"/>
                <w:b/>
              </w:rPr>
            </w:pPr>
            <w:r w:rsidRPr="00D61F73">
              <w:rPr>
                <w:rFonts w:ascii="Arial" w:hAnsi="Arial" w:cs="Arial"/>
                <w:b/>
              </w:rPr>
              <w:t>Relative Risk</w:t>
            </w:r>
          </w:p>
        </w:tc>
      </w:tr>
      <w:tr w:rsidR="008D0565" w:rsidRPr="00D61F73" w14:paraId="2B9B7B87" w14:textId="77777777">
        <w:tc>
          <w:tcPr>
            <w:tcW w:w="4788" w:type="dxa"/>
            <w:tcBorders>
              <w:top w:val="single" w:sz="4" w:space="0" w:color="auto"/>
              <w:left w:val="single" w:sz="4" w:space="0" w:color="auto"/>
              <w:bottom w:val="single" w:sz="4" w:space="0" w:color="auto"/>
              <w:right w:val="single" w:sz="4" w:space="0" w:color="auto"/>
            </w:tcBorders>
          </w:tcPr>
          <w:p w14:paraId="1AF0BAFE" w14:textId="77777777" w:rsidR="008D0565" w:rsidRPr="00D61F73" w:rsidRDefault="008D0565" w:rsidP="00D61F73">
            <w:pPr>
              <w:rPr>
                <w:rFonts w:ascii="Arial" w:hAnsi="Arial" w:cs="Arial"/>
              </w:rPr>
            </w:pPr>
            <w:r w:rsidRPr="00D61F73">
              <w:rPr>
                <w:rFonts w:ascii="Arial" w:hAnsi="Arial" w:cs="Arial"/>
              </w:rPr>
              <w:t>Celecoxib</w:t>
            </w:r>
          </w:p>
        </w:tc>
        <w:tc>
          <w:tcPr>
            <w:tcW w:w="1710" w:type="dxa"/>
            <w:tcBorders>
              <w:top w:val="single" w:sz="4" w:space="0" w:color="auto"/>
              <w:left w:val="single" w:sz="4" w:space="0" w:color="auto"/>
              <w:bottom w:val="single" w:sz="4" w:space="0" w:color="auto"/>
              <w:right w:val="single" w:sz="4" w:space="0" w:color="auto"/>
            </w:tcBorders>
          </w:tcPr>
          <w:p w14:paraId="204253F4" w14:textId="77777777" w:rsidR="008D0565" w:rsidRPr="00D61F73" w:rsidRDefault="008D0565" w:rsidP="00D61F73">
            <w:pPr>
              <w:rPr>
                <w:rFonts w:ascii="Arial" w:hAnsi="Arial" w:cs="Arial"/>
              </w:rPr>
            </w:pPr>
            <w:r w:rsidRPr="00D61F73">
              <w:rPr>
                <w:rFonts w:ascii="Arial" w:hAnsi="Arial" w:cs="Arial"/>
              </w:rPr>
              <w:t>1.42</w:t>
            </w:r>
          </w:p>
        </w:tc>
      </w:tr>
      <w:tr w:rsidR="008D0565" w:rsidRPr="00D61F73" w14:paraId="1FE85F98" w14:textId="77777777">
        <w:tc>
          <w:tcPr>
            <w:tcW w:w="4788" w:type="dxa"/>
            <w:tcBorders>
              <w:top w:val="single" w:sz="4" w:space="0" w:color="auto"/>
              <w:left w:val="single" w:sz="4" w:space="0" w:color="auto"/>
              <w:bottom w:val="single" w:sz="4" w:space="0" w:color="auto"/>
              <w:right w:val="single" w:sz="4" w:space="0" w:color="auto"/>
            </w:tcBorders>
          </w:tcPr>
          <w:p w14:paraId="06DEB340" w14:textId="77777777" w:rsidR="008D0565" w:rsidRPr="00D61F73" w:rsidRDefault="008D0565" w:rsidP="00D61F73">
            <w:pPr>
              <w:rPr>
                <w:rFonts w:ascii="Arial" w:hAnsi="Arial" w:cs="Arial"/>
              </w:rPr>
            </w:pPr>
            <w:r w:rsidRPr="00D61F73">
              <w:rPr>
                <w:rFonts w:ascii="Arial" w:hAnsi="Arial" w:cs="Arial"/>
              </w:rPr>
              <w:t>Ibuprofen</w:t>
            </w:r>
          </w:p>
        </w:tc>
        <w:tc>
          <w:tcPr>
            <w:tcW w:w="1710" w:type="dxa"/>
            <w:tcBorders>
              <w:top w:val="single" w:sz="4" w:space="0" w:color="auto"/>
              <w:left w:val="single" w:sz="4" w:space="0" w:color="auto"/>
              <w:bottom w:val="single" w:sz="4" w:space="0" w:color="auto"/>
              <w:right w:val="single" w:sz="4" w:space="0" w:color="auto"/>
            </w:tcBorders>
          </w:tcPr>
          <w:p w14:paraId="288F637C" w14:textId="77777777" w:rsidR="008D0565" w:rsidRPr="00D61F73" w:rsidRDefault="008D0565" w:rsidP="00D61F73">
            <w:pPr>
              <w:rPr>
                <w:rFonts w:ascii="Arial" w:hAnsi="Arial" w:cs="Arial"/>
              </w:rPr>
            </w:pPr>
            <w:r w:rsidRPr="00D61F73">
              <w:rPr>
                <w:rFonts w:ascii="Arial" w:hAnsi="Arial" w:cs="Arial"/>
              </w:rPr>
              <w:t>2.23</w:t>
            </w:r>
          </w:p>
        </w:tc>
      </w:tr>
      <w:tr w:rsidR="008D0565" w:rsidRPr="00D61F73" w14:paraId="0E5F4001" w14:textId="77777777">
        <w:tc>
          <w:tcPr>
            <w:tcW w:w="4788" w:type="dxa"/>
            <w:tcBorders>
              <w:top w:val="single" w:sz="4" w:space="0" w:color="auto"/>
              <w:left w:val="single" w:sz="4" w:space="0" w:color="auto"/>
              <w:bottom w:val="single" w:sz="4" w:space="0" w:color="auto"/>
              <w:right w:val="single" w:sz="4" w:space="0" w:color="auto"/>
            </w:tcBorders>
          </w:tcPr>
          <w:p w14:paraId="30A81200" w14:textId="77777777" w:rsidR="008D0565" w:rsidRPr="00D61F73" w:rsidRDefault="008D0565" w:rsidP="00D61F73">
            <w:pPr>
              <w:rPr>
                <w:rFonts w:ascii="Arial" w:hAnsi="Arial" w:cs="Arial"/>
              </w:rPr>
            </w:pPr>
            <w:r w:rsidRPr="00D61F73">
              <w:rPr>
                <w:rFonts w:ascii="Arial" w:hAnsi="Arial" w:cs="Arial"/>
              </w:rPr>
              <w:t>Diclofenac</w:t>
            </w:r>
          </w:p>
        </w:tc>
        <w:tc>
          <w:tcPr>
            <w:tcW w:w="1710" w:type="dxa"/>
            <w:tcBorders>
              <w:top w:val="single" w:sz="4" w:space="0" w:color="auto"/>
              <w:left w:val="single" w:sz="4" w:space="0" w:color="auto"/>
              <w:bottom w:val="single" w:sz="4" w:space="0" w:color="auto"/>
              <w:right w:val="single" w:sz="4" w:space="0" w:color="auto"/>
            </w:tcBorders>
          </w:tcPr>
          <w:p w14:paraId="3AC7644A" w14:textId="77777777" w:rsidR="008D0565" w:rsidRPr="00D61F73" w:rsidRDefault="008D0565" w:rsidP="00D61F73">
            <w:pPr>
              <w:rPr>
                <w:rFonts w:ascii="Arial" w:hAnsi="Arial" w:cs="Arial"/>
              </w:rPr>
            </w:pPr>
            <w:r w:rsidRPr="00D61F73">
              <w:rPr>
                <w:rFonts w:ascii="Arial" w:hAnsi="Arial" w:cs="Arial"/>
              </w:rPr>
              <w:t>3.61</w:t>
            </w:r>
          </w:p>
        </w:tc>
      </w:tr>
      <w:tr w:rsidR="008D0565" w:rsidRPr="00D61F73" w14:paraId="0C6D5E98" w14:textId="77777777">
        <w:tc>
          <w:tcPr>
            <w:tcW w:w="4788" w:type="dxa"/>
            <w:tcBorders>
              <w:top w:val="single" w:sz="4" w:space="0" w:color="auto"/>
              <w:left w:val="single" w:sz="4" w:space="0" w:color="auto"/>
              <w:bottom w:val="single" w:sz="4" w:space="0" w:color="auto"/>
              <w:right w:val="single" w:sz="4" w:space="0" w:color="auto"/>
            </w:tcBorders>
          </w:tcPr>
          <w:p w14:paraId="77272706" w14:textId="77777777" w:rsidR="008D0565" w:rsidRPr="00D61F73" w:rsidRDefault="008D0565" w:rsidP="00D61F73">
            <w:pPr>
              <w:rPr>
                <w:rFonts w:ascii="Arial" w:hAnsi="Arial" w:cs="Arial"/>
              </w:rPr>
            </w:pPr>
            <w:r w:rsidRPr="00D61F73">
              <w:rPr>
                <w:rFonts w:ascii="Arial" w:hAnsi="Arial" w:cs="Arial"/>
              </w:rPr>
              <w:t>Meloxicam</w:t>
            </w:r>
          </w:p>
        </w:tc>
        <w:tc>
          <w:tcPr>
            <w:tcW w:w="1710" w:type="dxa"/>
            <w:tcBorders>
              <w:top w:val="single" w:sz="4" w:space="0" w:color="auto"/>
              <w:left w:val="single" w:sz="4" w:space="0" w:color="auto"/>
              <w:bottom w:val="single" w:sz="4" w:space="0" w:color="auto"/>
              <w:right w:val="single" w:sz="4" w:space="0" w:color="auto"/>
            </w:tcBorders>
          </w:tcPr>
          <w:p w14:paraId="34110804" w14:textId="77777777" w:rsidR="008D0565" w:rsidRPr="00D61F73" w:rsidRDefault="008D0565" w:rsidP="00D61F73">
            <w:pPr>
              <w:rPr>
                <w:rFonts w:ascii="Arial" w:hAnsi="Arial" w:cs="Arial"/>
              </w:rPr>
            </w:pPr>
            <w:r w:rsidRPr="00D61F73">
              <w:rPr>
                <w:rFonts w:ascii="Arial" w:hAnsi="Arial" w:cs="Arial"/>
              </w:rPr>
              <w:t>4.15</w:t>
            </w:r>
          </w:p>
        </w:tc>
      </w:tr>
      <w:tr w:rsidR="008D0565" w:rsidRPr="00D61F73" w14:paraId="579164FC" w14:textId="77777777">
        <w:tc>
          <w:tcPr>
            <w:tcW w:w="4788" w:type="dxa"/>
            <w:tcBorders>
              <w:top w:val="single" w:sz="4" w:space="0" w:color="auto"/>
              <w:left w:val="single" w:sz="4" w:space="0" w:color="auto"/>
              <w:bottom w:val="single" w:sz="4" w:space="0" w:color="auto"/>
              <w:right w:val="single" w:sz="4" w:space="0" w:color="auto"/>
            </w:tcBorders>
          </w:tcPr>
          <w:p w14:paraId="5AD2983A" w14:textId="77777777" w:rsidR="008D0565" w:rsidRPr="00D61F73" w:rsidRDefault="008D0565" w:rsidP="00D61F73">
            <w:pPr>
              <w:rPr>
                <w:rFonts w:ascii="Arial" w:hAnsi="Arial" w:cs="Arial"/>
              </w:rPr>
            </w:pPr>
            <w:r w:rsidRPr="00D61F73">
              <w:rPr>
                <w:rFonts w:ascii="Arial" w:hAnsi="Arial" w:cs="Arial"/>
              </w:rPr>
              <w:t>Naproxen</w:t>
            </w:r>
          </w:p>
        </w:tc>
        <w:tc>
          <w:tcPr>
            <w:tcW w:w="1710" w:type="dxa"/>
            <w:tcBorders>
              <w:top w:val="single" w:sz="4" w:space="0" w:color="auto"/>
              <w:left w:val="single" w:sz="4" w:space="0" w:color="auto"/>
              <w:bottom w:val="single" w:sz="4" w:space="0" w:color="auto"/>
              <w:right w:val="single" w:sz="4" w:space="0" w:color="auto"/>
            </w:tcBorders>
          </w:tcPr>
          <w:p w14:paraId="5C26CCF3" w14:textId="77777777" w:rsidR="008D0565" w:rsidRPr="00D61F73" w:rsidRDefault="008D0565" w:rsidP="00D61F73">
            <w:pPr>
              <w:rPr>
                <w:rFonts w:ascii="Arial" w:hAnsi="Arial" w:cs="Arial"/>
              </w:rPr>
            </w:pPr>
            <w:r w:rsidRPr="00D61F73">
              <w:rPr>
                <w:rFonts w:ascii="Arial" w:hAnsi="Arial" w:cs="Arial"/>
              </w:rPr>
              <w:t>4.60</w:t>
            </w:r>
          </w:p>
        </w:tc>
      </w:tr>
      <w:tr w:rsidR="008D0565" w:rsidRPr="00D61F73" w14:paraId="1635E985" w14:textId="77777777">
        <w:tc>
          <w:tcPr>
            <w:tcW w:w="4788" w:type="dxa"/>
            <w:tcBorders>
              <w:top w:val="single" w:sz="4" w:space="0" w:color="auto"/>
              <w:left w:val="single" w:sz="4" w:space="0" w:color="auto"/>
              <w:bottom w:val="single" w:sz="4" w:space="0" w:color="auto"/>
              <w:right w:val="single" w:sz="4" w:space="0" w:color="auto"/>
            </w:tcBorders>
          </w:tcPr>
          <w:p w14:paraId="7FDC0829" w14:textId="77777777" w:rsidR="008D0565" w:rsidRPr="00D61F73" w:rsidRDefault="008D0565" w:rsidP="00D61F73">
            <w:pPr>
              <w:rPr>
                <w:rFonts w:ascii="Arial" w:hAnsi="Arial" w:cs="Arial"/>
              </w:rPr>
            </w:pPr>
            <w:r w:rsidRPr="00D61F73">
              <w:rPr>
                <w:rFonts w:ascii="Arial" w:hAnsi="Arial" w:cs="Arial"/>
              </w:rPr>
              <w:t>Indomethacin</w:t>
            </w:r>
          </w:p>
        </w:tc>
        <w:tc>
          <w:tcPr>
            <w:tcW w:w="1710" w:type="dxa"/>
            <w:tcBorders>
              <w:top w:val="single" w:sz="4" w:space="0" w:color="auto"/>
              <w:left w:val="single" w:sz="4" w:space="0" w:color="auto"/>
              <w:bottom w:val="single" w:sz="4" w:space="0" w:color="auto"/>
              <w:right w:val="single" w:sz="4" w:space="0" w:color="auto"/>
            </w:tcBorders>
          </w:tcPr>
          <w:p w14:paraId="37320D53" w14:textId="77777777" w:rsidR="008D0565" w:rsidRPr="00D61F73" w:rsidRDefault="008D0565" w:rsidP="00D61F73">
            <w:pPr>
              <w:rPr>
                <w:rFonts w:ascii="Arial" w:hAnsi="Arial" w:cs="Arial"/>
              </w:rPr>
            </w:pPr>
            <w:r w:rsidRPr="00D61F73">
              <w:rPr>
                <w:rFonts w:ascii="Arial" w:hAnsi="Arial" w:cs="Arial"/>
              </w:rPr>
              <w:t>5.12</w:t>
            </w:r>
          </w:p>
        </w:tc>
      </w:tr>
      <w:tr w:rsidR="008D0565" w:rsidRPr="00D61F73" w14:paraId="7591359E" w14:textId="77777777">
        <w:tc>
          <w:tcPr>
            <w:tcW w:w="4788" w:type="dxa"/>
            <w:tcBorders>
              <w:top w:val="single" w:sz="4" w:space="0" w:color="auto"/>
              <w:left w:val="single" w:sz="4" w:space="0" w:color="auto"/>
              <w:bottom w:val="single" w:sz="4" w:space="0" w:color="auto"/>
              <w:right w:val="single" w:sz="4" w:space="0" w:color="auto"/>
            </w:tcBorders>
          </w:tcPr>
          <w:p w14:paraId="2D4C47EB" w14:textId="77777777" w:rsidR="008D0565" w:rsidRPr="00D61F73" w:rsidRDefault="008D0565" w:rsidP="00D61F73">
            <w:pPr>
              <w:rPr>
                <w:rFonts w:ascii="Arial" w:hAnsi="Arial" w:cs="Arial"/>
              </w:rPr>
            </w:pPr>
            <w:r w:rsidRPr="00D61F73">
              <w:rPr>
                <w:rFonts w:ascii="Arial" w:hAnsi="Arial" w:cs="Arial"/>
              </w:rPr>
              <w:t>Ketoprofen</w:t>
            </w:r>
          </w:p>
        </w:tc>
        <w:tc>
          <w:tcPr>
            <w:tcW w:w="1710" w:type="dxa"/>
            <w:tcBorders>
              <w:top w:val="single" w:sz="4" w:space="0" w:color="auto"/>
              <w:left w:val="single" w:sz="4" w:space="0" w:color="auto"/>
              <w:bottom w:val="single" w:sz="4" w:space="0" w:color="auto"/>
              <w:right w:val="single" w:sz="4" w:space="0" w:color="auto"/>
            </w:tcBorders>
          </w:tcPr>
          <w:p w14:paraId="626FC97A" w14:textId="77777777" w:rsidR="008D0565" w:rsidRPr="00D61F73" w:rsidRDefault="008D0565" w:rsidP="00D61F73">
            <w:pPr>
              <w:rPr>
                <w:rFonts w:ascii="Arial" w:hAnsi="Arial" w:cs="Arial"/>
              </w:rPr>
            </w:pPr>
            <w:r w:rsidRPr="00D61F73">
              <w:rPr>
                <w:rFonts w:ascii="Arial" w:hAnsi="Arial" w:cs="Arial"/>
              </w:rPr>
              <w:t>5.14</w:t>
            </w:r>
          </w:p>
        </w:tc>
      </w:tr>
      <w:tr w:rsidR="008D0565" w:rsidRPr="00D61F73" w14:paraId="37F15E68" w14:textId="77777777">
        <w:tc>
          <w:tcPr>
            <w:tcW w:w="4788" w:type="dxa"/>
            <w:tcBorders>
              <w:top w:val="single" w:sz="4" w:space="0" w:color="auto"/>
              <w:left w:val="single" w:sz="4" w:space="0" w:color="auto"/>
              <w:bottom w:val="single" w:sz="4" w:space="0" w:color="auto"/>
              <w:right w:val="single" w:sz="4" w:space="0" w:color="auto"/>
            </w:tcBorders>
            <w:shd w:val="clear" w:color="auto" w:fill="FABF8F"/>
          </w:tcPr>
          <w:p w14:paraId="5EC2E89B" w14:textId="77777777" w:rsidR="008D0565" w:rsidRPr="00D61F73" w:rsidRDefault="008D0565" w:rsidP="00D61F73">
            <w:pPr>
              <w:rPr>
                <w:rFonts w:ascii="Arial" w:hAnsi="Arial" w:cs="Arial"/>
              </w:rPr>
            </w:pPr>
            <w:r w:rsidRPr="00D61F73">
              <w:rPr>
                <w:rFonts w:ascii="Arial" w:hAnsi="Arial" w:cs="Arial"/>
              </w:rPr>
              <w:t>Piroxicam</w:t>
            </w:r>
          </w:p>
        </w:tc>
        <w:tc>
          <w:tcPr>
            <w:tcW w:w="1710" w:type="dxa"/>
            <w:tcBorders>
              <w:top w:val="single" w:sz="4" w:space="0" w:color="auto"/>
              <w:left w:val="single" w:sz="4" w:space="0" w:color="auto"/>
              <w:bottom w:val="single" w:sz="4" w:space="0" w:color="auto"/>
              <w:right w:val="single" w:sz="4" w:space="0" w:color="auto"/>
            </w:tcBorders>
            <w:shd w:val="clear" w:color="auto" w:fill="FABF8F"/>
          </w:tcPr>
          <w:p w14:paraId="76626609" w14:textId="77777777" w:rsidR="008D0565" w:rsidRPr="00D61F73" w:rsidRDefault="008D0565" w:rsidP="00D61F73">
            <w:pPr>
              <w:rPr>
                <w:rFonts w:ascii="Arial" w:hAnsi="Arial" w:cs="Arial"/>
              </w:rPr>
            </w:pPr>
            <w:r w:rsidRPr="00D61F73">
              <w:rPr>
                <w:rFonts w:ascii="Arial" w:hAnsi="Arial" w:cs="Arial"/>
              </w:rPr>
              <w:t>8.00</w:t>
            </w:r>
          </w:p>
        </w:tc>
      </w:tr>
      <w:tr w:rsidR="008D0565" w:rsidRPr="00D61F73" w14:paraId="48F0B436" w14:textId="77777777">
        <w:tc>
          <w:tcPr>
            <w:tcW w:w="4788" w:type="dxa"/>
            <w:tcBorders>
              <w:top w:val="single" w:sz="4" w:space="0" w:color="auto"/>
              <w:left w:val="single" w:sz="4" w:space="0" w:color="auto"/>
              <w:bottom w:val="single" w:sz="4" w:space="0" w:color="auto"/>
              <w:right w:val="single" w:sz="4" w:space="0" w:color="auto"/>
            </w:tcBorders>
          </w:tcPr>
          <w:p w14:paraId="41BF8E6D" w14:textId="77777777" w:rsidR="008D0565" w:rsidRPr="00D61F73" w:rsidRDefault="008D0565" w:rsidP="00D61F73">
            <w:pPr>
              <w:rPr>
                <w:rFonts w:ascii="Arial" w:hAnsi="Arial" w:cs="Arial"/>
              </w:rPr>
            </w:pPr>
            <w:r w:rsidRPr="00D61F73">
              <w:rPr>
                <w:rFonts w:ascii="Arial" w:hAnsi="Arial" w:cs="Arial"/>
              </w:rPr>
              <w:t>Ketorolac</w:t>
            </w:r>
          </w:p>
        </w:tc>
        <w:tc>
          <w:tcPr>
            <w:tcW w:w="1710" w:type="dxa"/>
            <w:tcBorders>
              <w:top w:val="single" w:sz="4" w:space="0" w:color="auto"/>
              <w:left w:val="single" w:sz="4" w:space="0" w:color="auto"/>
              <w:bottom w:val="single" w:sz="4" w:space="0" w:color="auto"/>
              <w:right w:val="single" w:sz="4" w:space="0" w:color="auto"/>
            </w:tcBorders>
          </w:tcPr>
          <w:p w14:paraId="6CC7D2D9" w14:textId="77777777" w:rsidR="008D0565" w:rsidRPr="00D61F73" w:rsidRDefault="008D0565" w:rsidP="00D61F73">
            <w:pPr>
              <w:rPr>
                <w:rFonts w:ascii="Arial" w:hAnsi="Arial" w:cs="Arial"/>
              </w:rPr>
            </w:pPr>
            <w:r w:rsidRPr="00D61F73">
              <w:rPr>
                <w:rFonts w:ascii="Arial" w:hAnsi="Arial" w:cs="Arial"/>
              </w:rPr>
              <w:t>14.54</w:t>
            </w:r>
          </w:p>
        </w:tc>
      </w:tr>
    </w:tbl>
    <w:p w14:paraId="553E4C50" w14:textId="77777777" w:rsidR="008D0565" w:rsidRPr="00D61F73" w:rsidRDefault="008D0565" w:rsidP="00D61F73">
      <w:pPr>
        <w:rPr>
          <w:rFonts w:ascii="Arial" w:hAnsi="Arial" w:cs="Arial"/>
        </w:rPr>
      </w:pPr>
    </w:p>
    <w:p w14:paraId="52028AF4"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Long-term use of full dosage piroxicam is potentially harmful in older adults due to its long half-life and long duration.  Adverse events associated with piroxicam include GI bleeding, renal failure, hypertension, and heart failure. Additionally, as shown in the relative risk table above, piroxicam is second only to ketorolac in its ability to induce gastrointestinal bleeding.</w:t>
      </w:r>
    </w:p>
    <w:p w14:paraId="46999013"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b/>
          <w:bCs/>
        </w:rPr>
        <w:br w:type="page"/>
      </w:r>
      <w:r w:rsidRPr="00D61F73">
        <w:rPr>
          <w:rFonts w:ascii="Arial" w:hAnsi="Arial" w:cs="Arial"/>
          <w:b/>
        </w:rPr>
        <w:lastRenderedPageBreak/>
        <w:t>M</w:t>
      </w:r>
      <w:bookmarkStart w:id="924" w:name="Matthieu2004"/>
      <w:bookmarkEnd w:id="924"/>
      <w:r w:rsidRPr="00D61F73">
        <w:rPr>
          <w:rFonts w:ascii="Arial" w:hAnsi="Arial" w:cs="Arial"/>
          <w:b/>
        </w:rPr>
        <w:t xml:space="preserve">atthieu L, Meuleman L, Van Hecke E, Blondeel A, Dezfoulian B, Constandt L, Goossens A. Contact and photocontact allergy to ketoprofen. The Belgian experience. </w:t>
      </w:r>
      <w:r w:rsidRPr="00D61F73">
        <w:rPr>
          <w:rFonts w:ascii="Arial" w:hAnsi="Arial" w:cs="Arial"/>
          <w:b/>
          <w:i/>
        </w:rPr>
        <w:t>Contact Dermatitis.</w:t>
      </w:r>
      <w:r w:rsidRPr="00D61F73">
        <w:rPr>
          <w:rFonts w:ascii="Arial" w:hAnsi="Arial" w:cs="Arial"/>
          <w:b/>
        </w:rPr>
        <w:t xml:space="preserve"> 2004;50:238-41.</w:t>
      </w:r>
    </w:p>
    <w:p w14:paraId="0C391627" w14:textId="77777777" w:rsidR="008D0565" w:rsidRPr="00D61F73" w:rsidRDefault="008D0565" w:rsidP="00D61F73">
      <w:pPr>
        <w:tabs>
          <w:tab w:val="left" w:pos="7200"/>
        </w:tabs>
        <w:rPr>
          <w:rFonts w:ascii="Arial" w:eastAsia="Calibri" w:hAnsi="Arial" w:cs="Arial"/>
        </w:rPr>
      </w:pPr>
    </w:p>
    <w:p w14:paraId="05138334" w14:textId="77777777" w:rsidR="008D0565" w:rsidRPr="00D61F73" w:rsidRDefault="008D0565" w:rsidP="00D61F73">
      <w:pPr>
        <w:tabs>
          <w:tab w:val="left" w:pos="7200"/>
        </w:tabs>
        <w:rPr>
          <w:rFonts w:ascii="Arial" w:eastAsia="Calibri" w:hAnsi="Arial" w:cs="Arial"/>
        </w:rPr>
      </w:pPr>
      <w:r w:rsidRPr="00D61F73">
        <w:rPr>
          <w:rFonts w:ascii="Arial" w:hAnsi="Arial" w:cs="Arial"/>
        </w:rPr>
        <w:t>Dermatologists should be aware of the severity of photoallergic reactions to KP and the risk of cross-sensitization.</w:t>
      </w:r>
    </w:p>
    <w:p w14:paraId="589D1BBC" w14:textId="77777777" w:rsidR="008D0565" w:rsidRPr="00D61F73" w:rsidRDefault="008D0565" w:rsidP="00D61F73">
      <w:pPr>
        <w:tabs>
          <w:tab w:val="left" w:pos="7200"/>
        </w:tabs>
        <w:rPr>
          <w:rFonts w:ascii="Arial" w:eastAsia="Calibri" w:hAnsi="Arial" w:cs="Arial"/>
        </w:rPr>
      </w:pPr>
    </w:p>
    <w:p w14:paraId="1E3DDDD4"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606" w:history="1">
        <w:r w:rsidRPr="00D61F73">
          <w:rPr>
            <w:rStyle w:val="Hyperlink"/>
            <w:rFonts w:ascii="Arial" w:hAnsi="Arial" w:cs="Arial"/>
          </w:rPr>
          <w:t>15186381</w:t>
        </w:r>
      </w:hyperlink>
    </w:p>
    <w:p w14:paraId="4673E263" w14:textId="77777777" w:rsidR="008D0565" w:rsidRPr="00D61F73" w:rsidRDefault="008D0565" w:rsidP="00D61F73">
      <w:pPr>
        <w:tabs>
          <w:tab w:val="left" w:pos="7200"/>
        </w:tabs>
        <w:rPr>
          <w:rFonts w:ascii="Arial" w:eastAsia="Calibri" w:hAnsi="Arial" w:cs="Arial"/>
        </w:rPr>
      </w:pPr>
    </w:p>
    <w:p w14:paraId="66C0B7AB"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4b</w:t>
      </w:r>
    </w:p>
    <w:p w14:paraId="0A5314CF"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M</w:t>
      </w:r>
      <w:bookmarkStart w:id="925" w:name="Matthews"/>
      <w:bookmarkEnd w:id="925"/>
      <w:r w:rsidRPr="00D61F73">
        <w:rPr>
          <w:rFonts w:ascii="Arial" w:hAnsi="Arial" w:cs="Arial"/>
          <w:sz w:val="24"/>
          <w:szCs w:val="24"/>
        </w:rPr>
        <w:t xml:space="preserve">atthews P, Derry S, Moore RA, McQuay HJ. Topical rubefacients for acute and chronic pain in adults. </w:t>
      </w:r>
      <w:r w:rsidRPr="00D61F73">
        <w:rPr>
          <w:rFonts w:ascii="Arial" w:hAnsi="Arial" w:cs="Arial"/>
          <w:i/>
          <w:iCs/>
          <w:sz w:val="24"/>
          <w:szCs w:val="24"/>
        </w:rPr>
        <w:t>Cochrane Database Syst Rev</w:t>
      </w:r>
      <w:r w:rsidRPr="00D61F73">
        <w:rPr>
          <w:rFonts w:ascii="Arial" w:hAnsi="Arial" w:cs="Arial"/>
          <w:sz w:val="24"/>
          <w:szCs w:val="24"/>
        </w:rPr>
        <w:t>. 2009 Jul 8;(3):CD007403.</w:t>
      </w:r>
    </w:p>
    <w:p w14:paraId="3051FC14"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4404B8E"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CONCLUSIONS: The evidence does not support the use of topical rubefacients containing salicylates for acute injuries, and suggests that in chronic conditions their efficacy compares poorly with topical non-steroidal antiinflammatory drugs (NSAIDs). Topical salicylates seem to be relatively well tolerated in the short-term, based on limited data. There is no evidence at all for topical rubefacients with other components.</w:t>
      </w:r>
    </w:p>
    <w:p w14:paraId="419F5A95"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1962D15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PMID: </w:t>
      </w:r>
      <w:hyperlink r:id="rId607" w:history="1">
        <w:r w:rsidRPr="00D61F73">
          <w:rPr>
            <w:rStyle w:val="Hyperlink"/>
            <w:rFonts w:ascii="Arial" w:hAnsi="Arial" w:cs="Arial"/>
            <w:b w:val="0"/>
            <w:bCs w:val="0"/>
            <w:sz w:val="24"/>
            <w:szCs w:val="24"/>
          </w:rPr>
          <w:t>19588430</w:t>
        </w:r>
      </w:hyperlink>
    </w:p>
    <w:p w14:paraId="7F0677FB"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3635D5EA"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bookmarkStart w:id="926" w:name="_Rating:_1b"/>
      <w:bookmarkEnd w:id="926"/>
      <w:r w:rsidRPr="00D61F73">
        <w:rPr>
          <w:rFonts w:ascii="Arial" w:hAnsi="Arial" w:cs="Arial"/>
          <w:b w:val="0"/>
          <w:bCs w:val="0"/>
          <w:sz w:val="24"/>
          <w:szCs w:val="24"/>
        </w:rPr>
        <w:t>Rating: 1b</w:t>
      </w:r>
    </w:p>
    <w:p w14:paraId="4A5C440E"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r w:rsidRPr="00D61F73">
        <w:rPr>
          <w:rFonts w:ascii="Arial" w:hAnsi="Arial" w:cs="Arial"/>
          <w:sz w:val="24"/>
          <w:szCs w:val="24"/>
        </w:rPr>
        <w:lastRenderedPageBreak/>
        <w:t xml:space="preserve"> M</w:t>
      </w:r>
      <w:bookmarkStart w:id="927" w:name="Mayer1985"/>
      <w:bookmarkEnd w:id="927"/>
      <w:r w:rsidRPr="00D61F73">
        <w:rPr>
          <w:rFonts w:ascii="Arial" w:hAnsi="Arial" w:cs="Arial"/>
          <w:sz w:val="24"/>
          <w:szCs w:val="24"/>
        </w:rPr>
        <w:t xml:space="preserve">ayer TG, Gatchel RJ, Kishino N, Keeley J, Capra P, Mayer H, Barnett J, Mooney V. Objective assessment of spine function following industrial injury. A prospective study with comparison group and one-year follow-up. </w:t>
      </w:r>
      <w:r w:rsidRPr="00D61F73">
        <w:rPr>
          <w:rFonts w:ascii="Arial" w:hAnsi="Arial" w:cs="Arial"/>
          <w:i/>
          <w:sz w:val="24"/>
          <w:szCs w:val="24"/>
        </w:rPr>
        <w:t>Spine</w:t>
      </w:r>
      <w:r w:rsidRPr="00D61F73">
        <w:rPr>
          <w:rFonts w:ascii="Arial" w:hAnsi="Arial" w:cs="Arial"/>
          <w:sz w:val="24"/>
          <w:szCs w:val="24"/>
        </w:rPr>
        <w:t>. 1985 Jul-Aug;10(6):482-93.</w:t>
      </w:r>
    </w:p>
    <w:p w14:paraId="50ABA2F4" w14:textId="77777777" w:rsidR="008D0565" w:rsidRPr="00D61F73" w:rsidRDefault="008D0565" w:rsidP="00D61F73">
      <w:pPr>
        <w:rPr>
          <w:rFonts w:ascii="Arial" w:hAnsi="Arial" w:cs="Arial"/>
          <w:b/>
        </w:rPr>
      </w:pPr>
    </w:p>
    <w:p w14:paraId="63974A9F" w14:textId="77777777" w:rsidR="008D0565" w:rsidRPr="00D61F73" w:rsidRDefault="008D0565" w:rsidP="00D61F73">
      <w:pPr>
        <w:rPr>
          <w:rFonts w:ascii="Arial" w:hAnsi="Arial" w:cs="Arial"/>
        </w:rPr>
      </w:pPr>
      <w:r w:rsidRPr="00D61F73">
        <w:rPr>
          <w:rFonts w:ascii="Arial" w:hAnsi="Arial" w:cs="Arial"/>
        </w:rPr>
        <w:t xml:space="preserve">Results demonstrated that the functional capacity measures collected for the treatment group improved in approximately 80% of the patients. </w:t>
      </w:r>
    </w:p>
    <w:p w14:paraId="3E16A9C0" w14:textId="77777777" w:rsidR="008D0565" w:rsidRPr="00D61F73" w:rsidRDefault="008D0565" w:rsidP="00D61F73">
      <w:pPr>
        <w:rPr>
          <w:rFonts w:ascii="Arial" w:hAnsi="Arial" w:cs="Arial"/>
        </w:rPr>
      </w:pPr>
    </w:p>
    <w:p w14:paraId="067B0B7C" w14:textId="77777777" w:rsidR="008D0565" w:rsidRPr="00D61F73" w:rsidRDefault="008D0565" w:rsidP="00D61F73">
      <w:pPr>
        <w:rPr>
          <w:rFonts w:ascii="Arial" w:hAnsi="Arial" w:cs="Arial"/>
        </w:rPr>
      </w:pPr>
      <w:r w:rsidRPr="00D61F73">
        <w:rPr>
          <w:rFonts w:ascii="Arial" w:hAnsi="Arial" w:cs="Arial"/>
        </w:rPr>
        <w:t xml:space="preserve">PMID: </w:t>
      </w:r>
      <w:hyperlink r:id="rId608" w:history="1">
        <w:r w:rsidRPr="00D61F73">
          <w:rPr>
            <w:rStyle w:val="Hyperlink"/>
            <w:rFonts w:ascii="Arial" w:hAnsi="Arial" w:cs="Arial"/>
          </w:rPr>
          <w:t>2934829</w:t>
        </w:r>
      </w:hyperlink>
      <w:r w:rsidRPr="00D61F73">
        <w:rPr>
          <w:rFonts w:ascii="Arial" w:hAnsi="Arial" w:cs="Arial"/>
        </w:rPr>
        <w:t xml:space="preserve"> </w:t>
      </w:r>
    </w:p>
    <w:p w14:paraId="39745AA1" w14:textId="77777777" w:rsidR="008D0565" w:rsidRPr="00D61F73" w:rsidRDefault="008D0565" w:rsidP="00D61F73">
      <w:pPr>
        <w:rPr>
          <w:rFonts w:ascii="Arial" w:hAnsi="Arial" w:cs="Arial"/>
        </w:rPr>
      </w:pPr>
    </w:p>
    <w:p w14:paraId="3FC5B060" w14:textId="77777777" w:rsidR="008D0565" w:rsidRPr="00D61F73" w:rsidRDefault="008D0565" w:rsidP="00D61F73">
      <w:pPr>
        <w:rPr>
          <w:rFonts w:ascii="Arial" w:hAnsi="Arial" w:cs="Arial"/>
        </w:rPr>
      </w:pPr>
      <w:r w:rsidRPr="00D61F73">
        <w:rPr>
          <w:rFonts w:ascii="Arial" w:hAnsi="Arial" w:cs="Arial"/>
        </w:rPr>
        <w:t>Rating: 3c</w:t>
      </w:r>
    </w:p>
    <w:p w14:paraId="1E0C1D35"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28" w:name="Mayer1987"/>
      <w:bookmarkEnd w:id="928"/>
      <w:r w:rsidRPr="00D61F73">
        <w:rPr>
          <w:rFonts w:ascii="Arial" w:hAnsi="Arial" w:cs="Arial"/>
          <w:b/>
        </w:rPr>
        <w:t xml:space="preserve">ayer TG, Gatchel RJ, Mayer H, Kishino ND, Keeley J, Mooney V. A prospective two-year study of functional restoration in industrial low back injury. An objective assessment procedure. </w:t>
      </w:r>
      <w:r w:rsidRPr="00D61F73">
        <w:rPr>
          <w:rFonts w:ascii="Arial" w:hAnsi="Arial" w:cs="Arial"/>
          <w:b/>
          <w:i/>
        </w:rPr>
        <w:t>JAMA</w:t>
      </w:r>
      <w:r w:rsidRPr="00D61F73">
        <w:rPr>
          <w:rFonts w:ascii="Arial" w:hAnsi="Arial" w:cs="Arial"/>
          <w:b/>
        </w:rPr>
        <w:t>. 1987 Oct 2;258(13):1763-7.</w:t>
      </w:r>
    </w:p>
    <w:p w14:paraId="51C934EC" w14:textId="77777777" w:rsidR="008D0565" w:rsidRPr="00D61F73" w:rsidRDefault="008D0565" w:rsidP="00D61F73">
      <w:pPr>
        <w:rPr>
          <w:rFonts w:ascii="Arial" w:hAnsi="Arial" w:cs="Arial"/>
        </w:rPr>
      </w:pPr>
    </w:p>
    <w:p w14:paraId="2F002431" w14:textId="77777777" w:rsidR="008D0565" w:rsidRPr="00D61F73" w:rsidRDefault="008D0565" w:rsidP="00D61F73">
      <w:pPr>
        <w:rPr>
          <w:rFonts w:ascii="Arial" w:hAnsi="Arial" w:cs="Arial"/>
        </w:rPr>
      </w:pPr>
      <w:r w:rsidRPr="00D61F73">
        <w:rPr>
          <w:rFonts w:ascii="Arial" w:hAnsi="Arial" w:cs="Arial"/>
        </w:rPr>
        <w:t xml:space="preserve">Analysis demonstrated that 87% of the treatment group was actively working after two years, as compared with only 41% of the nontreatment comparison group. </w:t>
      </w:r>
    </w:p>
    <w:p w14:paraId="33793934" w14:textId="77777777" w:rsidR="008D0565" w:rsidRPr="00D61F73" w:rsidRDefault="008D0565" w:rsidP="00D61F73">
      <w:pPr>
        <w:rPr>
          <w:rFonts w:ascii="Arial" w:hAnsi="Arial" w:cs="Arial"/>
        </w:rPr>
      </w:pPr>
    </w:p>
    <w:p w14:paraId="4C944BB8" w14:textId="77777777" w:rsidR="008D0565" w:rsidRPr="00D61F73" w:rsidRDefault="008D0565" w:rsidP="00D61F73">
      <w:pPr>
        <w:rPr>
          <w:rFonts w:ascii="Arial" w:hAnsi="Arial" w:cs="Arial"/>
        </w:rPr>
      </w:pPr>
      <w:r w:rsidRPr="00D61F73">
        <w:rPr>
          <w:rFonts w:ascii="Arial" w:hAnsi="Arial" w:cs="Arial"/>
        </w:rPr>
        <w:t xml:space="preserve">PMID: </w:t>
      </w:r>
      <w:hyperlink r:id="rId609" w:history="1">
        <w:r w:rsidRPr="00D61F73">
          <w:rPr>
            <w:rStyle w:val="Hyperlink"/>
            <w:rFonts w:ascii="Arial" w:hAnsi="Arial" w:cs="Arial"/>
          </w:rPr>
          <w:t>2957520</w:t>
        </w:r>
      </w:hyperlink>
    </w:p>
    <w:p w14:paraId="7029A4C9" w14:textId="77777777" w:rsidR="008D0565" w:rsidRPr="00D61F73" w:rsidRDefault="008D0565" w:rsidP="00D61F73">
      <w:pPr>
        <w:rPr>
          <w:rFonts w:ascii="Arial" w:hAnsi="Arial" w:cs="Arial"/>
        </w:rPr>
      </w:pPr>
    </w:p>
    <w:p w14:paraId="08A3B626" w14:textId="77777777" w:rsidR="008D0565" w:rsidRPr="00D61F73" w:rsidRDefault="008D0565" w:rsidP="00D61F73">
      <w:pPr>
        <w:rPr>
          <w:rFonts w:ascii="Arial" w:hAnsi="Arial" w:cs="Arial"/>
        </w:rPr>
      </w:pPr>
      <w:r w:rsidRPr="00D61F73">
        <w:rPr>
          <w:rFonts w:ascii="Arial" w:hAnsi="Arial" w:cs="Arial"/>
        </w:rPr>
        <w:t>Rating: 3c</w:t>
      </w:r>
    </w:p>
    <w:p w14:paraId="0B8F7E7D" w14:textId="77777777" w:rsidR="008D0565" w:rsidRPr="00D61F73" w:rsidRDefault="008D0565" w:rsidP="00D61F73">
      <w:pPr>
        <w:rPr>
          <w:rFonts w:ascii="Arial" w:hAnsi="Arial" w:cs="Arial"/>
        </w:rPr>
      </w:pPr>
    </w:p>
    <w:p w14:paraId="1AF43B1C" w14:textId="77777777" w:rsidR="008D0565" w:rsidRPr="00D61F73" w:rsidRDefault="008D0565" w:rsidP="00D61F73">
      <w:pPr>
        <w:rPr>
          <w:rFonts w:ascii="Arial" w:hAnsi="Arial" w:cs="Arial"/>
        </w:rPr>
      </w:pPr>
      <w:r w:rsidRPr="00D61F73">
        <w:rPr>
          <w:rFonts w:ascii="Arial" w:hAnsi="Arial" w:cs="Arial"/>
        </w:rPr>
        <w:t>Note: The comparison group consisted of patients denied access to the functional restoration program by their insurers. The two groups were significantly different in terms of medications, with those patients in the treatment arm receiving significantly more opioid medications. The analysis at 2 years was performed only on those patients that the researchers were able to contact.</w:t>
      </w:r>
    </w:p>
    <w:p w14:paraId="268C4F6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29" w:name="Mayer2"/>
      <w:bookmarkEnd w:id="929"/>
      <w:r w:rsidRPr="00D61F73">
        <w:rPr>
          <w:rFonts w:ascii="Arial" w:hAnsi="Arial" w:cs="Arial"/>
          <w:b/>
        </w:rPr>
        <w:t xml:space="preserve">ayer T, Polatin P, Smith B, Gatchel R, Fardon D, Herring S, Smith C, Donelson R, Wong D; North American Spine Society Committee; Contemporary Concepts Review Committee. Spine rehabilitation: secondary and tertiary nonoperative care. </w:t>
      </w:r>
      <w:r w:rsidRPr="00D61F73">
        <w:rPr>
          <w:rFonts w:ascii="Arial" w:hAnsi="Arial" w:cs="Arial"/>
          <w:b/>
          <w:i/>
        </w:rPr>
        <w:t>Spine J.</w:t>
      </w:r>
      <w:r w:rsidRPr="00D61F73">
        <w:rPr>
          <w:rFonts w:ascii="Arial" w:hAnsi="Arial" w:cs="Arial"/>
          <w:b/>
        </w:rPr>
        <w:t xml:space="preserve"> 2003 May-Jun;3(3 Suppl):28S-36S.</w:t>
      </w:r>
    </w:p>
    <w:p w14:paraId="6FCEFF07" w14:textId="77777777" w:rsidR="008D0565" w:rsidRPr="00D61F73" w:rsidRDefault="008D0565" w:rsidP="00D61F73">
      <w:pPr>
        <w:rPr>
          <w:rFonts w:ascii="Arial" w:hAnsi="Arial" w:cs="Arial"/>
        </w:rPr>
      </w:pPr>
    </w:p>
    <w:p w14:paraId="731A9CDC" w14:textId="77777777" w:rsidR="008D0565" w:rsidRPr="00D61F73" w:rsidRDefault="008D0565" w:rsidP="00D61F73">
      <w:pPr>
        <w:rPr>
          <w:rFonts w:ascii="Arial" w:hAnsi="Arial" w:cs="Arial"/>
        </w:rPr>
      </w:pPr>
      <w:r w:rsidRPr="00D61F73">
        <w:rPr>
          <w:rFonts w:ascii="Arial" w:hAnsi="Arial" w:cs="Arial"/>
        </w:rPr>
        <w:t xml:space="preserve">PMID: </w:t>
      </w:r>
      <w:hyperlink r:id="rId610" w:history="1">
        <w:r w:rsidRPr="00D61F73">
          <w:rPr>
            <w:rStyle w:val="Hyperlink"/>
            <w:rFonts w:ascii="Arial" w:hAnsi="Arial" w:cs="Arial"/>
          </w:rPr>
          <w:t>14589215</w:t>
        </w:r>
      </w:hyperlink>
    </w:p>
    <w:p w14:paraId="5F00A4B9" w14:textId="77777777" w:rsidR="008D0565" w:rsidRPr="00D61F73" w:rsidRDefault="008D0565" w:rsidP="00D61F73">
      <w:pPr>
        <w:rPr>
          <w:rFonts w:ascii="Arial" w:hAnsi="Arial" w:cs="Arial"/>
        </w:rPr>
      </w:pPr>
    </w:p>
    <w:p w14:paraId="36BC3057" w14:textId="77777777" w:rsidR="008D0565" w:rsidRPr="00D61F73" w:rsidRDefault="008D0565" w:rsidP="00D61F73">
      <w:pPr>
        <w:rPr>
          <w:rFonts w:ascii="Arial" w:hAnsi="Arial" w:cs="Arial"/>
        </w:rPr>
      </w:pPr>
      <w:r w:rsidRPr="00D61F73">
        <w:rPr>
          <w:rFonts w:ascii="Arial" w:hAnsi="Arial" w:cs="Arial"/>
        </w:rPr>
        <w:t>A review of secondary and tertiary nonoperative care. Includes recommendations for secondary and tertiary treatment.</w:t>
      </w:r>
    </w:p>
    <w:p w14:paraId="6C9738FE" w14:textId="77777777" w:rsidR="008D0565" w:rsidRPr="00D61F73" w:rsidRDefault="008D0565" w:rsidP="00D61F73">
      <w:pPr>
        <w:rPr>
          <w:rFonts w:ascii="Arial" w:hAnsi="Arial" w:cs="Arial"/>
        </w:rPr>
      </w:pPr>
    </w:p>
    <w:p w14:paraId="00725BBE" w14:textId="77777777" w:rsidR="008D0565" w:rsidRPr="00D61F73" w:rsidRDefault="008D0565" w:rsidP="00D61F73">
      <w:pPr>
        <w:rPr>
          <w:rFonts w:ascii="Arial" w:hAnsi="Arial" w:cs="Arial"/>
        </w:rPr>
      </w:pPr>
      <w:r w:rsidRPr="00D61F73">
        <w:rPr>
          <w:rFonts w:ascii="Arial" w:hAnsi="Arial" w:cs="Arial"/>
        </w:rPr>
        <w:t>Rating: 5c</w:t>
      </w:r>
    </w:p>
    <w:p w14:paraId="3E36380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30" w:name="Mazer"/>
      <w:bookmarkEnd w:id="930"/>
      <w:r w:rsidRPr="00D61F73">
        <w:rPr>
          <w:rFonts w:ascii="Arial" w:hAnsi="Arial" w:cs="Arial"/>
          <w:b/>
        </w:rPr>
        <w:t xml:space="preserve">azer M, Perrone J. Acetaminophen-induced nephrotoxicity: pathophysiology, clinical manifestations, and management. </w:t>
      </w:r>
      <w:r w:rsidRPr="00D61F73">
        <w:rPr>
          <w:rFonts w:ascii="Arial" w:hAnsi="Arial" w:cs="Arial"/>
          <w:b/>
          <w:i/>
        </w:rPr>
        <w:t>J Med Toxicol</w:t>
      </w:r>
      <w:r w:rsidRPr="00D61F73">
        <w:rPr>
          <w:rFonts w:ascii="Arial" w:hAnsi="Arial" w:cs="Arial"/>
          <w:b/>
        </w:rPr>
        <w:t>. 2008;4:2-6.</w:t>
      </w:r>
    </w:p>
    <w:p w14:paraId="4111351F" w14:textId="77777777" w:rsidR="008D0565" w:rsidRPr="00D61F73" w:rsidRDefault="008D0565" w:rsidP="00D61F73">
      <w:pPr>
        <w:rPr>
          <w:rFonts w:ascii="Arial" w:hAnsi="Arial" w:cs="Arial"/>
        </w:rPr>
      </w:pPr>
    </w:p>
    <w:p w14:paraId="4C2FC8DE" w14:textId="77777777" w:rsidR="008D0565" w:rsidRPr="00D61F73" w:rsidRDefault="008D0565" w:rsidP="00D61F73">
      <w:pPr>
        <w:rPr>
          <w:rFonts w:ascii="Arial" w:hAnsi="Arial" w:cs="Arial"/>
        </w:rPr>
      </w:pPr>
      <w:r w:rsidRPr="00D61F73">
        <w:rPr>
          <w:rFonts w:ascii="Arial" w:hAnsi="Arial" w:cs="Arial"/>
        </w:rPr>
        <w:t xml:space="preserve">Renal insufficiency occurs in approximately 1-2% of patients with acetaminophen overdose. </w:t>
      </w:r>
    </w:p>
    <w:p w14:paraId="6039C7FC" w14:textId="77777777" w:rsidR="008D0565" w:rsidRPr="00D61F73" w:rsidRDefault="008D0565" w:rsidP="00D61F73">
      <w:pPr>
        <w:rPr>
          <w:rFonts w:ascii="Arial" w:hAnsi="Arial" w:cs="Arial"/>
        </w:rPr>
      </w:pPr>
    </w:p>
    <w:p w14:paraId="23B9F87F" w14:textId="77777777" w:rsidR="008D0565" w:rsidRPr="00D61F73" w:rsidRDefault="008D0565" w:rsidP="00D61F73">
      <w:pPr>
        <w:rPr>
          <w:rFonts w:ascii="Arial" w:hAnsi="Arial" w:cs="Arial"/>
        </w:rPr>
      </w:pPr>
      <w:r w:rsidRPr="00D61F73">
        <w:rPr>
          <w:rFonts w:ascii="Arial" w:hAnsi="Arial" w:cs="Arial"/>
        </w:rPr>
        <w:t xml:space="preserve">PMID: </w:t>
      </w:r>
      <w:hyperlink r:id="rId611" w:history="1">
        <w:r w:rsidRPr="00D61F73">
          <w:rPr>
            <w:rStyle w:val="Hyperlink"/>
            <w:rFonts w:ascii="Arial" w:hAnsi="Arial" w:cs="Arial"/>
          </w:rPr>
          <w:t>18338302</w:t>
        </w:r>
      </w:hyperlink>
      <w:r w:rsidRPr="00D61F73">
        <w:rPr>
          <w:rFonts w:ascii="Arial" w:hAnsi="Arial" w:cs="Arial"/>
        </w:rPr>
        <w:t xml:space="preserve"> </w:t>
      </w:r>
    </w:p>
    <w:p w14:paraId="307EF3D5" w14:textId="77777777" w:rsidR="008D0565" w:rsidRPr="00D61F73" w:rsidRDefault="008D0565" w:rsidP="00D61F73">
      <w:pPr>
        <w:rPr>
          <w:rFonts w:ascii="Arial" w:hAnsi="Arial" w:cs="Arial"/>
        </w:rPr>
      </w:pPr>
    </w:p>
    <w:p w14:paraId="115D081A" w14:textId="77777777" w:rsidR="008D0565" w:rsidRPr="00D61F73" w:rsidRDefault="008D0565" w:rsidP="00D61F73">
      <w:pPr>
        <w:rPr>
          <w:rFonts w:ascii="Arial" w:hAnsi="Arial" w:cs="Arial"/>
        </w:rPr>
      </w:pPr>
      <w:r w:rsidRPr="00D61F73">
        <w:rPr>
          <w:rFonts w:ascii="Arial" w:hAnsi="Arial" w:cs="Arial"/>
        </w:rPr>
        <w:t>Rating: 5c</w:t>
      </w:r>
    </w:p>
    <w:p w14:paraId="390C7921" w14:textId="77777777" w:rsidR="006D673C" w:rsidRPr="00D61F73" w:rsidRDefault="006D673C" w:rsidP="00D61F73">
      <w:pPr>
        <w:rPr>
          <w:rFonts w:ascii="Arial" w:hAnsi="Arial" w:cs="Arial"/>
        </w:rPr>
      </w:pPr>
      <w:r w:rsidRPr="00D61F73">
        <w:rPr>
          <w:rFonts w:ascii="Arial" w:hAnsi="Arial" w:cs="Arial"/>
        </w:rPr>
        <w:br w:type="page"/>
      </w:r>
      <w:bookmarkStart w:id="931" w:name="McAlindon"/>
      <w:bookmarkEnd w:id="931"/>
      <w:r w:rsidRPr="00D61F73">
        <w:rPr>
          <w:rFonts w:ascii="Arial" w:hAnsi="Arial" w:cs="Arial"/>
          <w:b/>
          <w:bCs/>
        </w:rPr>
        <w:lastRenderedPageBreak/>
        <w:t>McAlindon T, LaValley M, Schneider E, Nuite M, Lee JY, Price LL, Lo G, Dawson-Hughes B. Effect of vitamin D supplementation on progression of knee pain and cartilage volume loss in patients with symptomatic osteoarthritis: a randomized controlled trial. </w:t>
      </w:r>
      <w:r w:rsidRPr="00D61F73">
        <w:rPr>
          <w:rFonts w:ascii="Arial" w:hAnsi="Arial" w:cs="Arial"/>
          <w:b/>
          <w:bCs/>
          <w:i/>
          <w:iCs/>
        </w:rPr>
        <w:t>JAMA</w:t>
      </w:r>
      <w:r w:rsidRPr="00D61F73">
        <w:rPr>
          <w:rFonts w:ascii="Arial" w:hAnsi="Arial" w:cs="Arial"/>
          <w:b/>
          <w:bCs/>
        </w:rPr>
        <w:t>. 2013 Jan 9;309(2):155-62. doi: 10.1001/jama.2012.164487.</w:t>
      </w:r>
    </w:p>
    <w:p w14:paraId="2E8FBCDC" w14:textId="77777777" w:rsidR="006D673C" w:rsidRPr="00D61F73" w:rsidRDefault="006D673C" w:rsidP="00D61F73">
      <w:pPr>
        <w:rPr>
          <w:rFonts w:ascii="Arial" w:hAnsi="Arial" w:cs="Arial"/>
        </w:rPr>
      </w:pPr>
      <w:r w:rsidRPr="00D61F73">
        <w:rPr>
          <w:rFonts w:ascii="Arial" w:hAnsi="Arial" w:cs="Arial"/>
        </w:rPr>
        <w:t> </w:t>
      </w:r>
    </w:p>
    <w:p w14:paraId="5B4CFD8A" w14:textId="77777777" w:rsidR="006D673C" w:rsidRPr="00D61F73" w:rsidRDefault="006D673C" w:rsidP="00D61F73">
      <w:pPr>
        <w:rPr>
          <w:rFonts w:ascii="Arial" w:hAnsi="Arial" w:cs="Arial"/>
        </w:rPr>
      </w:pPr>
      <w:r w:rsidRPr="00D61F73">
        <w:rPr>
          <w:rFonts w:ascii="Arial" w:hAnsi="Arial" w:cs="Arial"/>
        </w:rPr>
        <w:t>PMID: </w:t>
      </w:r>
      <w:hyperlink r:id="rId612" w:history="1">
        <w:r w:rsidRPr="00D61F73">
          <w:rPr>
            <w:rStyle w:val="Hyperlink"/>
            <w:rFonts w:ascii="Arial" w:hAnsi="Arial" w:cs="Arial"/>
          </w:rPr>
          <w:t>20091647</w:t>
        </w:r>
      </w:hyperlink>
    </w:p>
    <w:p w14:paraId="33A78B1F" w14:textId="77777777" w:rsidR="006D673C" w:rsidRPr="00D61F73" w:rsidRDefault="006D673C" w:rsidP="00D61F73">
      <w:pPr>
        <w:rPr>
          <w:rFonts w:ascii="Arial" w:hAnsi="Arial" w:cs="Arial"/>
        </w:rPr>
      </w:pPr>
      <w:r w:rsidRPr="00D61F73">
        <w:rPr>
          <w:rFonts w:ascii="Arial" w:hAnsi="Arial" w:cs="Arial"/>
        </w:rPr>
        <w:t> </w:t>
      </w:r>
    </w:p>
    <w:p w14:paraId="3D9104FF" w14:textId="77777777" w:rsidR="006D673C" w:rsidRPr="00D61F73" w:rsidRDefault="006D673C" w:rsidP="00D61F73">
      <w:pPr>
        <w:rPr>
          <w:rFonts w:ascii="Arial" w:hAnsi="Arial" w:cs="Arial"/>
        </w:rPr>
      </w:pPr>
      <w:r w:rsidRPr="00D61F73">
        <w:rPr>
          <w:rFonts w:ascii="Arial" w:hAnsi="Arial" w:cs="Arial"/>
        </w:rPr>
        <w:t>Rating: 2a</w:t>
      </w:r>
    </w:p>
    <w:p w14:paraId="7F79713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32" w:name="McBeth"/>
      <w:bookmarkEnd w:id="932"/>
      <w:r w:rsidRPr="00D61F73">
        <w:rPr>
          <w:rFonts w:ascii="Arial" w:hAnsi="Arial" w:cs="Arial"/>
          <w:b/>
          <w:bCs/>
        </w:rPr>
        <w:t xml:space="preserve">cBeth J, Pye SR, O'Neill TW, Macfarlane GJ, Tajar A, Bartfai G, Boonen S, Bouillon R, Casanueva F, Finn JD, Forti G, Giwercman A, Han TS, Huhtaniemi IT, Kula K, Lean ME, Pendleton N, Punab M, Silman AJ, Vanderschueren D, Wu FC; EMAS Group. Musculoskeletal pain is associated with very low levels of vitamin D in men: results from the European Male Ageing Study. </w:t>
      </w:r>
      <w:r w:rsidRPr="00D61F73">
        <w:rPr>
          <w:rFonts w:ascii="Arial" w:hAnsi="Arial" w:cs="Arial"/>
          <w:b/>
          <w:bCs/>
          <w:i/>
          <w:iCs/>
        </w:rPr>
        <w:t>Ann Rheum Dis</w:t>
      </w:r>
      <w:r w:rsidRPr="00D61F73">
        <w:rPr>
          <w:rFonts w:ascii="Arial" w:hAnsi="Arial" w:cs="Arial"/>
          <w:b/>
          <w:bCs/>
        </w:rPr>
        <w:t>. 2010 May 24. [Epub ahead of print]</w:t>
      </w:r>
    </w:p>
    <w:p w14:paraId="70F94F3A" w14:textId="77777777" w:rsidR="008D0565" w:rsidRPr="00D61F73" w:rsidRDefault="008D0565" w:rsidP="00D61F73">
      <w:pPr>
        <w:rPr>
          <w:rFonts w:ascii="Arial" w:hAnsi="Arial" w:cs="Arial"/>
        </w:rPr>
      </w:pPr>
    </w:p>
    <w:p w14:paraId="276154D7" w14:textId="77777777" w:rsidR="008D0565" w:rsidRPr="00D61F73" w:rsidRDefault="008D0565" w:rsidP="00D61F73">
      <w:pPr>
        <w:rPr>
          <w:rFonts w:ascii="Arial" w:hAnsi="Arial" w:cs="Arial"/>
        </w:rPr>
      </w:pPr>
      <w:r w:rsidRPr="00D61F73">
        <w:rPr>
          <w:rFonts w:ascii="Arial" w:hAnsi="Arial" w:cs="Arial"/>
        </w:rPr>
        <w:t xml:space="preserve">Adjusting for additional lifestyle factors (body mass index, smoking and alcohol use) and depression attenuated these relationships, although pain remained moderately associated with increased odds of 20% of having low vitamin D levels. </w:t>
      </w:r>
    </w:p>
    <w:p w14:paraId="5C007DD1" w14:textId="77777777" w:rsidR="008D0565" w:rsidRPr="00D61F73" w:rsidRDefault="008D0565" w:rsidP="00D61F73">
      <w:pPr>
        <w:rPr>
          <w:rFonts w:ascii="Arial" w:hAnsi="Arial" w:cs="Arial"/>
        </w:rPr>
      </w:pPr>
    </w:p>
    <w:p w14:paraId="19E7A03B" w14:textId="77777777" w:rsidR="008D0565" w:rsidRPr="00D61F73" w:rsidRDefault="008D0565" w:rsidP="00D61F73">
      <w:pPr>
        <w:rPr>
          <w:rFonts w:ascii="Arial" w:hAnsi="Arial" w:cs="Arial"/>
        </w:rPr>
      </w:pPr>
      <w:r w:rsidRPr="00D61F73">
        <w:rPr>
          <w:rFonts w:ascii="Arial" w:hAnsi="Arial" w:cs="Arial"/>
        </w:rPr>
        <w:t xml:space="preserve">PMID: </w:t>
      </w:r>
      <w:hyperlink r:id="rId613" w:history="1">
        <w:r w:rsidRPr="00D61F73">
          <w:rPr>
            <w:rStyle w:val="Hyperlink"/>
            <w:rFonts w:ascii="Arial" w:hAnsi="Arial" w:cs="Arial"/>
          </w:rPr>
          <w:t>20498201</w:t>
        </w:r>
      </w:hyperlink>
      <w:r w:rsidRPr="00D61F73">
        <w:rPr>
          <w:rFonts w:ascii="Arial" w:hAnsi="Arial" w:cs="Arial"/>
        </w:rPr>
        <w:t xml:space="preserve"> </w:t>
      </w:r>
    </w:p>
    <w:p w14:paraId="65FAC116" w14:textId="77777777" w:rsidR="008D0565" w:rsidRPr="00D61F73" w:rsidRDefault="008D0565" w:rsidP="00D61F73">
      <w:pPr>
        <w:rPr>
          <w:rFonts w:ascii="Arial" w:hAnsi="Arial" w:cs="Arial"/>
        </w:rPr>
      </w:pPr>
    </w:p>
    <w:p w14:paraId="5FCE5809" w14:textId="77777777" w:rsidR="008D0565" w:rsidRPr="00D61F73" w:rsidRDefault="008D0565" w:rsidP="00D61F73">
      <w:pPr>
        <w:rPr>
          <w:rFonts w:ascii="Arial" w:hAnsi="Arial" w:cs="Arial"/>
        </w:rPr>
      </w:pPr>
      <w:r w:rsidRPr="00D61F73">
        <w:rPr>
          <w:rFonts w:ascii="Arial" w:hAnsi="Arial" w:cs="Arial"/>
        </w:rPr>
        <w:t>Rating: 3a</w:t>
      </w:r>
    </w:p>
    <w:p w14:paraId="0A14327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33" w:name="McBeth2014"/>
      <w:bookmarkEnd w:id="933"/>
      <w:r w:rsidRPr="00D61F73">
        <w:rPr>
          <w:rFonts w:ascii="Arial" w:hAnsi="Arial" w:cs="Arial"/>
          <w:b/>
          <w:bCs/>
        </w:rPr>
        <w:t xml:space="preserve">cBeth J, Lacey RJ, Wilkie R. Predictors of New-Onset Widespread Pain in Older Adults: Results From a Population-Based Prospective Cohort Study in the UK. </w:t>
      </w:r>
      <w:r w:rsidRPr="00D61F73">
        <w:rPr>
          <w:rFonts w:ascii="Arial" w:hAnsi="Arial" w:cs="Arial"/>
          <w:b/>
          <w:bCs/>
          <w:i/>
          <w:iCs/>
        </w:rPr>
        <w:t>Arthritis Rheumatol</w:t>
      </w:r>
      <w:r w:rsidRPr="00D61F73">
        <w:rPr>
          <w:rFonts w:ascii="Arial" w:hAnsi="Arial" w:cs="Arial"/>
          <w:b/>
          <w:bCs/>
        </w:rPr>
        <w:t>. 2014 Mar;66(3):757-67. doi: 10.1002/art.38284.</w:t>
      </w:r>
    </w:p>
    <w:p w14:paraId="43E0562B" w14:textId="77777777" w:rsidR="008D0565" w:rsidRPr="00D61F73" w:rsidRDefault="008D0565" w:rsidP="00D61F73">
      <w:pPr>
        <w:rPr>
          <w:rFonts w:ascii="Arial" w:hAnsi="Arial" w:cs="Arial"/>
        </w:rPr>
      </w:pPr>
    </w:p>
    <w:p w14:paraId="10569B25" w14:textId="77777777" w:rsidR="008D0565" w:rsidRPr="00D61F73" w:rsidRDefault="008D0565" w:rsidP="00D61F73">
      <w:pPr>
        <w:rPr>
          <w:rFonts w:ascii="Arial" w:hAnsi="Arial" w:cs="Arial"/>
        </w:rPr>
      </w:pPr>
      <w:r w:rsidRPr="00D61F73">
        <w:rPr>
          <w:rFonts w:ascii="Arial" w:hAnsi="Arial" w:cs="Arial"/>
        </w:rPr>
        <w:t xml:space="preserve">PMID: </w:t>
      </w:r>
      <w:hyperlink r:id="rId614" w:history="1">
        <w:r w:rsidRPr="00D61F73">
          <w:rPr>
            <w:rStyle w:val="Hyperlink"/>
            <w:rFonts w:ascii="Arial" w:hAnsi="Arial" w:cs="Arial"/>
          </w:rPr>
          <w:t>24574238</w:t>
        </w:r>
      </w:hyperlink>
    </w:p>
    <w:p w14:paraId="658AA704" w14:textId="77777777" w:rsidR="008D0565" w:rsidRPr="00D61F73" w:rsidRDefault="008D0565" w:rsidP="00D61F73">
      <w:pPr>
        <w:rPr>
          <w:rFonts w:ascii="Arial" w:hAnsi="Arial" w:cs="Arial"/>
        </w:rPr>
      </w:pPr>
    </w:p>
    <w:p w14:paraId="133636B9" w14:textId="77777777" w:rsidR="008D0565" w:rsidRPr="00D61F73" w:rsidRDefault="008D0565" w:rsidP="00D61F73">
      <w:pPr>
        <w:rPr>
          <w:rFonts w:ascii="Arial" w:hAnsi="Arial" w:cs="Arial"/>
        </w:rPr>
      </w:pPr>
      <w:r w:rsidRPr="00D61F73">
        <w:rPr>
          <w:rFonts w:ascii="Arial" w:hAnsi="Arial" w:cs="Arial"/>
        </w:rPr>
        <w:t>Rating: 3a</w:t>
      </w:r>
    </w:p>
    <w:p w14:paraId="21DE0AC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34" w:name="McCarberg"/>
      <w:bookmarkEnd w:id="934"/>
      <w:r w:rsidRPr="00D61F73">
        <w:rPr>
          <w:rFonts w:ascii="Arial" w:hAnsi="Arial" w:cs="Arial"/>
          <w:b/>
          <w:bCs/>
        </w:rPr>
        <w:t xml:space="preserve">cCarberg BH, Barkin RL. The future of cannabinoids as analgesic agents: a pharmacologic, pharmacokinetic, and pharmacodynamic overview. </w:t>
      </w:r>
      <w:r w:rsidRPr="00D61F73">
        <w:rPr>
          <w:rFonts w:ascii="Arial" w:hAnsi="Arial" w:cs="Arial"/>
          <w:b/>
          <w:bCs/>
          <w:i/>
          <w:iCs/>
        </w:rPr>
        <w:t>Am J Ther.</w:t>
      </w:r>
      <w:r w:rsidRPr="00D61F73">
        <w:rPr>
          <w:rFonts w:ascii="Arial" w:hAnsi="Arial" w:cs="Arial"/>
          <w:b/>
          <w:bCs/>
        </w:rPr>
        <w:t xml:space="preserve"> 2007 Sep-Oct;14(5):475-83.</w:t>
      </w:r>
    </w:p>
    <w:p w14:paraId="5E4F8D1D" w14:textId="77777777" w:rsidR="008D0565" w:rsidRPr="00D61F73" w:rsidRDefault="008D0565" w:rsidP="00D61F73">
      <w:pPr>
        <w:rPr>
          <w:rFonts w:ascii="Arial" w:hAnsi="Arial" w:cs="Arial"/>
        </w:rPr>
      </w:pPr>
    </w:p>
    <w:p w14:paraId="2CE58D2B" w14:textId="77777777" w:rsidR="008D0565" w:rsidRPr="00D61F73" w:rsidRDefault="008D0565" w:rsidP="00D61F73">
      <w:pPr>
        <w:rPr>
          <w:rFonts w:ascii="Arial" w:hAnsi="Arial" w:cs="Arial"/>
        </w:rPr>
      </w:pPr>
      <w:r w:rsidRPr="00D61F73">
        <w:rPr>
          <w:rFonts w:ascii="Arial" w:hAnsi="Arial" w:cs="Arial"/>
        </w:rPr>
        <w:t xml:space="preserve">Therefore, formulation, composition, and delivery system issues will affect the extent to which a particular cannabinoid product may have a desirable risk-benefit profile and acceptable abuse liability potential. </w:t>
      </w:r>
    </w:p>
    <w:p w14:paraId="7D657938" w14:textId="77777777" w:rsidR="008D0565" w:rsidRPr="00D61F73" w:rsidRDefault="008D0565" w:rsidP="00D61F73">
      <w:pPr>
        <w:rPr>
          <w:rFonts w:ascii="Arial" w:hAnsi="Arial" w:cs="Arial"/>
        </w:rPr>
      </w:pPr>
    </w:p>
    <w:p w14:paraId="38E847F0" w14:textId="77777777" w:rsidR="008D0565" w:rsidRPr="00D61F73" w:rsidRDefault="008D0565" w:rsidP="00D61F73">
      <w:pPr>
        <w:rPr>
          <w:rFonts w:ascii="Arial" w:hAnsi="Arial" w:cs="Arial"/>
        </w:rPr>
      </w:pPr>
      <w:r w:rsidRPr="00D61F73">
        <w:rPr>
          <w:rFonts w:ascii="Arial" w:hAnsi="Arial" w:cs="Arial"/>
        </w:rPr>
        <w:t xml:space="preserve">PMID: </w:t>
      </w:r>
      <w:hyperlink r:id="rId615" w:history="1">
        <w:r w:rsidRPr="00D61F73">
          <w:rPr>
            <w:rStyle w:val="Hyperlink"/>
            <w:rFonts w:ascii="Arial" w:hAnsi="Arial" w:cs="Arial"/>
          </w:rPr>
          <w:t>17890938</w:t>
        </w:r>
      </w:hyperlink>
      <w:r w:rsidRPr="00D61F73">
        <w:rPr>
          <w:rFonts w:ascii="Arial" w:hAnsi="Arial" w:cs="Arial"/>
        </w:rPr>
        <w:t xml:space="preserve"> </w:t>
      </w:r>
    </w:p>
    <w:p w14:paraId="421C9FEC" w14:textId="77777777" w:rsidR="008D0565" w:rsidRPr="00D61F73" w:rsidRDefault="008D0565" w:rsidP="00D61F73">
      <w:pPr>
        <w:rPr>
          <w:rFonts w:ascii="Arial" w:hAnsi="Arial" w:cs="Arial"/>
        </w:rPr>
      </w:pPr>
    </w:p>
    <w:p w14:paraId="5F30037D" w14:textId="77777777" w:rsidR="008D0565" w:rsidRPr="00D61F73" w:rsidRDefault="008D0565" w:rsidP="00D61F73">
      <w:pPr>
        <w:rPr>
          <w:rFonts w:ascii="Arial" w:hAnsi="Arial" w:cs="Arial"/>
        </w:rPr>
      </w:pPr>
      <w:r w:rsidRPr="00D61F73">
        <w:rPr>
          <w:rFonts w:ascii="Arial" w:hAnsi="Arial" w:cs="Arial"/>
        </w:rPr>
        <w:t>Rating: 5b</w:t>
      </w:r>
    </w:p>
    <w:p w14:paraId="5002BBAF" w14:textId="77777777" w:rsidR="008D0565" w:rsidRPr="00D61F73" w:rsidRDefault="008D0565" w:rsidP="00D61F73">
      <w:pPr>
        <w:rPr>
          <w:rFonts w:ascii="Arial" w:hAnsi="Arial" w:cs="Arial"/>
          <w:b/>
          <w:bCs/>
        </w:rPr>
      </w:pPr>
      <w:r w:rsidRPr="00D61F73">
        <w:rPr>
          <w:rFonts w:ascii="Arial" w:hAnsi="Arial" w:cs="Arial"/>
        </w:rPr>
        <w:br w:type="page"/>
      </w:r>
      <w:bookmarkStart w:id="935" w:name="McCracken"/>
      <w:r w:rsidRPr="00D61F73">
        <w:rPr>
          <w:rFonts w:ascii="Arial" w:hAnsi="Arial" w:cs="Arial"/>
          <w:b/>
          <w:bCs/>
        </w:rPr>
        <w:lastRenderedPageBreak/>
        <w:t>McCracken</w:t>
      </w:r>
      <w:bookmarkEnd w:id="935"/>
      <w:r w:rsidRPr="00D61F73">
        <w:rPr>
          <w:rFonts w:ascii="Arial" w:hAnsi="Arial" w:cs="Arial"/>
          <w:b/>
          <w:bCs/>
        </w:rPr>
        <w:t xml:space="preserve"> LM, Matthews AK, Tang TS, Cuba SL. A comparison of blacks and whites seeking treatment for chronic pain. </w:t>
      </w:r>
      <w:r w:rsidRPr="00D61F73">
        <w:rPr>
          <w:rFonts w:ascii="Arial" w:hAnsi="Arial" w:cs="Arial"/>
          <w:b/>
          <w:bCs/>
          <w:i/>
          <w:iCs/>
        </w:rPr>
        <w:t>Clinical Journal of Pain</w:t>
      </w:r>
      <w:r w:rsidRPr="00D61F73">
        <w:rPr>
          <w:rFonts w:ascii="Arial" w:hAnsi="Arial" w:cs="Arial"/>
          <w:b/>
          <w:bCs/>
        </w:rPr>
        <w:t>. 2001 Sep;17(3):249-55.</w:t>
      </w:r>
    </w:p>
    <w:p w14:paraId="13E70A49" w14:textId="77777777" w:rsidR="008D0565" w:rsidRPr="00D61F73" w:rsidRDefault="008D0565" w:rsidP="00D61F73">
      <w:pPr>
        <w:rPr>
          <w:rFonts w:ascii="Arial" w:hAnsi="Arial" w:cs="Arial"/>
          <w:b/>
          <w:bCs/>
        </w:rPr>
      </w:pPr>
    </w:p>
    <w:p w14:paraId="2182409A" w14:textId="77777777" w:rsidR="008D0565" w:rsidRPr="00D61F73" w:rsidRDefault="008D0565" w:rsidP="00D61F73">
      <w:pPr>
        <w:rPr>
          <w:rFonts w:ascii="Arial" w:hAnsi="Arial" w:cs="Arial"/>
        </w:rPr>
      </w:pPr>
      <w:r w:rsidRPr="00D61F73">
        <w:rPr>
          <w:rFonts w:ascii="Arial" w:hAnsi="Arial" w:cs="Arial"/>
        </w:rPr>
        <w:t xml:space="preserve">CONCLUSIONS: “These results show that blacks and whites with chronic pain experience pain differently. Several factors may underlie these differences, including family situation, health care experiences, or other unmeasured behavioral, environmental, or social influences.” </w:t>
      </w:r>
    </w:p>
    <w:p w14:paraId="1CF5229F" w14:textId="77777777" w:rsidR="008D0565" w:rsidRPr="00D61F73" w:rsidRDefault="008D0565" w:rsidP="00D61F73">
      <w:pPr>
        <w:rPr>
          <w:rFonts w:ascii="Arial" w:hAnsi="Arial" w:cs="Arial"/>
        </w:rPr>
      </w:pPr>
    </w:p>
    <w:p w14:paraId="033DFCF7" w14:textId="77777777" w:rsidR="008D0565" w:rsidRPr="00D61F73" w:rsidRDefault="008D0565" w:rsidP="00D61F73">
      <w:pPr>
        <w:rPr>
          <w:rFonts w:ascii="Arial" w:hAnsi="Arial" w:cs="Arial"/>
        </w:rPr>
      </w:pPr>
      <w:r w:rsidRPr="00D61F73">
        <w:rPr>
          <w:rFonts w:ascii="Arial" w:hAnsi="Arial" w:cs="Arial"/>
        </w:rPr>
        <w:t>Publication Type: Case Control Study, 264 cases</w:t>
      </w:r>
    </w:p>
    <w:p w14:paraId="7C1E42FA" w14:textId="77777777" w:rsidR="008D0565" w:rsidRPr="00D61F73" w:rsidRDefault="008D0565" w:rsidP="00D61F73">
      <w:pPr>
        <w:rPr>
          <w:rFonts w:ascii="Arial" w:hAnsi="Arial" w:cs="Arial"/>
        </w:rPr>
      </w:pPr>
    </w:p>
    <w:p w14:paraId="2FFC7A51" w14:textId="77777777" w:rsidR="008D0565" w:rsidRPr="00D61F73" w:rsidRDefault="008D0565" w:rsidP="00D61F73">
      <w:pPr>
        <w:rPr>
          <w:rFonts w:ascii="Arial" w:hAnsi="Arial" w:cs="Arial"/>
        </w:rPr>
      </w:pPr>
      <w:r w:rsidRPr="00D61F73">
        <w:rPr>
          <w:rFonts w:ascii="Arial" w:hAnsi="Arial" w:cs="Arial"/>
        </w:rPr>
        <w:t xml:space="preserve">PMID: </w:t>
      </w:r>
      <w:hyperlink r:id="rId616" w:history="1">
        <w:r w:rsidRPr="00D61F73">
          <w:rPr>
            <w:rStyle w:val="Hyperlink"/>
            <w:rFonts w:ascii="Arial" w:hAnsi="Arial" w:cs="Arial"/>
          </w:rPr>
          <w:t>11587117</w:t>
        </w:r>
      </w:hyperlink>
      <w:r w:rsidRPr="00D61F73">
        <w:rPr>
          <w:rFonts w:ascii="Arial" w:hAnsi="Arial" w:cs="Arial"/>
        </w:rPr>
        <w:t xml:space="preserve"> </w:t>
      </w:r>
    </w:p>
    <w:p w14:paraId="03ED4BD2" w14:textId="77777777" w:rsidR="008D0565" w:rsidRPr="00D61F73" w:rsidRDefault="008D0565" w:rsidP="00D61F73">
      <w:pPr>
        <w:rPr>
          <w:rFonts w:ascii="Arial" w:hAnsi="Arial" w:cs="Arial"/>
          <w:b/>
          <w:bCs/>
        </w:rPr>
      </w:pPr>
      <w:r w:rsidRPr="00D61F73">
        <w:rPr>
          <w:rFonts w:ascii="Arial" w:hAnsi="Arial" w:cs="Arial"/>
        </w:rPr>
        <w:br w:type="page"/>
      </w:r>
      <w:hyperlink r:id="rId617" w:history="1">
        <w:r w:rsidRPr="00D61F73">
          <w:rPr>
            <w:rStyle w:val="Hyperlink"/>
            <w:rFonts w:ascii="Arial" w:hAnsi="Arial" w:cs="Arial"/>
            <w:b/>
            <w:bCs/>
          </w:rPr>
          <w:t>M</w:t>
        </w:r>
        <w:bookmarkStart w:id="936" w:name="McGettigan2011"/>
        <w:bookmarkEnd w:id="936"/>
        <w:r w:rsidRPr="00D61F73">
          <w:rPr>
            <w:rStyle w:val="Hyperlink"/>
            <w:rFonts w:ascii="Arial" w:hAnsi="Arial" w:cs="Arial"/>
            <w:b/>
            <w:bCs/>
          </w:rPr>
          <w:t>cGettigan P, Henry D</w:t>
        </w:r>
      </w:hyperlink>
      <w:r w:rsidRPr="00D61F73">
        <w:rPr>
          <w:rFonts w:ascii="Arial" w:hAnsi="Arial" w:cs="Arial"/>
          <w:b/>
          <w:bCs/>
        </w:rPr>
        <w:t xml:space="preserve">. Cardiovascular risk with nonsteroidal anti-inflammatory drugs: systematic review of population-based controlled observational studies. </w:t>
      </w:r>
      <w:r w:rsidRPr="00D61F73">
        <w:rPr>
          <w:rFonts w:ascii="Arial" w:hAnsi="Arial" w:cs="Arial"/>
          <w:b/>
          <w:bCs/>
          <w:i/>
          <w:iCs/>
        </w:rPr>
        <w:t>PLoS Med</w:t>
      </w:r>
      <w:r w:rsidRPr="00D61F73">
        <w:rPr>
          <w:rFonts w:ascii="Arial" w:hAnsi="Arial" w:cs="Arial"/>
          <w:b/>
          <w:bCs/>
        </w:rPr>
        <w:t xml:space="preserve"> 2011; DOI:10.1371/ Journal.pmed.1001098. Available at: http://www.plosmedicine.org. </w:t>
      </w:r>
    </w:p>
    <w:p w14:paraId="41827B53" w14:textId="77777777" w:rsidR="008D0565" w:rsidRPr="00D61F73" w:rsidRDefault="008D0565" w:rsidP="00D61F73">
      <w:pPr>
        <w:rPr>
          <w:rFonts w:ascii="Arial" w:hAnsi="Arial" w:cs="Arial"/>
        </w:rPr>
      </w:pPr>
    </w:p>
    <w:p w14:paraId="45C1F64B" w14:textId="77777777" w:rsidR="008D0565" w:rsidRPr="00D61F73" w:rsidRDefault="008D0565" w:rsidP="00D61F73">
      <w:pPr>
        <w:rPr>
          <w:rFonts w:ascii="Arial" w:hAnsi="Arial" w:cs="Arial"/>
        </w:rPr>
      </w:pPr>
      <w:r w:rsidRPr="00D61F73">
        <w:rPr>
          <w:rFonts w:ascii="Arial" w:hAnsi="Arial" w:cs="Arial"/>
        </w:rPr>
        <w:t>This review suggests that among widely used NSAIDs, naproxen and low-dose ibuprofen are least likely to increase cardiovascular risk. Diclofenac in doses available without prescription elevates risk. The data for etoricoxib were sparse, but in pair-wise comparisons this drug had a significantly higher RR than naproxen or ibuprofen. Indomethacin is an older, rather toxic drug, and the evidence on cardiovascular risk casts doubt on its continued clinical use. The updated review includes data from 31 case-control studies with 184,946 cardiovascular events and 21 cohort studies that include outcomes in more than 2.7 million individuals exposed to the drugs.</w:t>
      </w:r>
    </w:p>
    <w:p w14:paraId="3D127E9A" w14:textId="77777777" w:rsidR="008D0565" w:rsidRPr="00D61F73" w:rsidRDefault="008D0565" w:rsidP="00D61F73">
      <w:pPr>
        <w:rPr>
          <w:rFonts w:ascii="Arial" w:hAnsi="Arial" w:cs="Arial"/>
        </w:rPr>
      </w:pPr>
    </w:p>
    <w:p w14:paraId="098FAE3E" w14:textId="77777777" w:rsidR="008D0565" w:rsidRPr="00D61F73" w:rsidRDefault="008D0565" w:rsidP="00D61F73">
      <w:pPr>
        <w:rPr>
          <w:rFonts w:ascii="Arial" w:hAnsi="Arial" w:cs="Arial"/>
        </w:rPr>
      </w:pPr>
      <w:r w:rsidRPr="00D61F73">
        <w:rPr>
          <w:rFonts w:ascii="Arial" w:hAnsi="Arial" w:cs="Arial"/>
        </w:rPr>
        <w:t xml:space="preserve">Rating: 1a </w:t>
      </w:r>
    </w:p>
    <w:p w14:paraId="681C4142" w14:textId="77777777" w:rsidR="008D0565" w:rsidRPr="00D61F73" w:rsidRDefault="008D0565" w:rsidP="00D61F73">
      <w:pPr>
        <w:rPr>
          <w:rFonts w:ascii="Arial" w:hAnsi="Arial" w:cs="Arial"/>
          <w:b/>
          <w:bCs/>
        </w:rPr>
      </w:pPr>
      <w:r w:rsidRPr="00D61F73">
        <w:rPr>
          <w:rFonts w:ascii="Arial" w:hAnsi="Arial" w:cs="Arial"/>
        </w:rPr>
        <w:br w:type="page"/>
      </w:r>
      <w:hyperlink r:id="rId618" w:history="1">
        <w:r w:rsidRPr="00D61F73">
          <w:rPr>
            <w:rStyle w:val="Hyperlink"/>
            <w:rFonts w:ascii="Arial" w:hAnsi="Arial" w:cs="Arial"/>
            <w:b/>
            <w:bCs/>
          </w:rPr>
          <w:t>M</w:t>
        </w:r>
        <w:bookmarkStart w:id="937" w:name="McGettigan2013"/>
        <w:bookmarkEnd w:id="937"/>
        <w:r w:rsidRPr="00D61F73">
          <w:rPr>
            <w:rStyle w:val="Hyperlink"/>
            <w:rFonts w:ascii="Arial" w:hAnsi="Arial" w:cs="Arial"/>
            <w:b/>
            <w:bCs/>
          </w:rPr>
          <w:t>cGettigan P, Henry D</w:t>
        </w:r>
      </w:hyperlink>
      <w:r w:rsidRPr="00D61F73">
        <w:rPr>
          <w:rFonts w:ascii="Arial" w:hAnsi="Arial" w:cs="Arial"/>
          <w:b/>
          <w:bCs/>
        </w:rPr>
        <w:t xml:space="preserve">. Use of non-steroidal anti-inflammatory drugs that elevate cardiovascular risk: An examination of sales and essential medicine lists in low-, middle-, and high-income countries. </w:t>
      </w:r>
      <w:r w:rsidRPr="00D61F73">
        <w:rPr>
          <w:rFonts w:ascii="Arial" w:hAnsi="Arial" w:cs="Arial"/>
          <w:b/>
          <w:bCs/>
          <w:i/>
          <w:iCs/>
        </w:rPr>
        <w:t xml:space="preserve">PLoS Med </w:t>
      </w:r>
      <w:r w:rsidRPr="00D61F73">
        <w:rPr>
          <w:rFonts w:ascii="Arial" w:hAnsi="Arial" w:cs="Arial"/>
          <w:b/>
          <w:bCs/>
        </w:rPr>
        <w:t>2013; DOI:10.1371/journal.pmed.1001388.</w:t>
      </w:r>
    </w:p>
    <w:p w14:paraId="1F007EC9" w14:textId="77777777" w:rsidR="008D0565" w:rsidRPr="00D61F73" w:rsidRDefault="008D0565" w:rsidP="00D61F73">
      <w:pPr>
        <w:rPr>
          <w:rFonts w:ascii="Arial" w:hAnsi="Arial" w:cs="Arial"/>
        </w:rPr>
      </w:pPr>
    </w:p>
    <w:p w14:paraId="710C9785" w14:textId="77777777" w:rsidR="008D0565" w:rsidRPr="00D61F73" w:rsidRDefault="008D0565" w:rsidP="00D61F73">
      <w:pPr>
        <w:rPr>
          <w:rFonts w:ascii="Arial" w:hAnsi="Arial" w:cs="Arial"/>
        </w:rPr>
      </w:pPr>
      <w:r w:rsidRPr="00D61F73">
        <w:rPr>
          <w:rFonts w:ascii="Arial" w:hAnsi="Arial" w:cs="Arial"/>
        </w:rPr>
        <w:t>Rating: 5b</w:t>
      </w:r>
    </w:p>
    <w:p w14:paraId="0B1DB37E" w14:textId="77777777" w:rsidR="00914F36" w:rsidRPr="00D61F73" w:rsidRDefault="008D0565" w:rsidP="00D61F73">
      <w:pPr>
        <w:rPr>
          <w:rFonts w:ascii="Arial" w:hAnsi="Arial" w:cs="Arial"/>
          <w:b/>
        </w:rPr>
      </w:pPr>
      <w:r w:rsidRPr="00D61F73">
        <w:rPr>
          <w:rFonts w:ascii="Arial" w:hAnsi="Arial" w:cs="Arial"/>
        </w:rPr>
        <w:br w:type="page"/>
      </w:r>
      <w:bookmarkStart w:id="938" w:name="McDowell1995"/>
      <w:bookmarkEnd w:id="938"/>
      <w:r w:rsidR="00914F36" w:rsidRPr="00D61F73">
        <w:rPr>
          <w:rFonts w:ascii="Arial" w:hAnsi="Arial" w:cs="Arial"/>
          <w:b/>
        </w:rPr>
        <w:lastRenderedPageBreak/>
        <w:t xml:space="preserve">McDowell BC, Lowe AS, Walsh DM, Baxter DG, Allen JM. The lack of hypoalgesic efficacy of H-wave therapy on experimental ischemic pain. </w:t>
      </w:r>
      <w:r w:rsidR="00914F36" w:rsidRPr="00D61F73">
        <w:rPr>
          <w:rFonts w:ascii="Arial" w:hAnsi="Arial" w:cs="Arial"/>
          <w:b/>
          <w:i/>
        </w:rPr>
        <w:t>Pain</w:t>
      </w:r>
      <w:r w:rsidR="00914F36" w:rsidRPr="00D61F73">
        <w:rPr>
          <w:rFonts w:ascii="Arial" w:hAnsi="Arial" w:cs="Arial"/>
          <w:b/>
        </w:rPr>
        <w:t>. 1995 Apr;61(1):27-32.</w:t>
      </w:r>
    </w:p>
    <w:p w14:paraId="0D7BAB17" w14:textId="77777777" w:rsidR="00914F36" w:rsidRPr="00D61F73" w:rsidRDefault="00914F36" w:rsidP="00D61F73">
      <w:pPr>
        <w:rPr>
          <w:rFonts w:ascii="Arial" w:hAnsi="Arial" w:cs="Arial"/>
        </w:rPr>
      </w:pPr>
    </w:p>
    <w:p w14:paraId="5C5F3B50" w14:textId="77777777" w:rsidR="00031F56" w:rsidRPr="00D61F73" w:rsidRDefault="00914F36" w:rsidP="00D61F73">
      <w:pPr>
        <w:rPr>
          <w:rFonts w:ascii="Arial" w:hAnsi="Arial" w:cs="Arial"/>
        </w:rPr>
      </w:pPr>
      <w:r w:rsidRPr="00D61F73">
        <w:rPr>
          <w:rFonts w:ascii="Arial" w:hAnsi="Arial" w:cs="Arial"/>
        </w:rPr>
        <w:t>These results do not provide convincing evidence for any hypoalgesic effects of H-wave therapy at the frequency parameters stated on the experimental model of pain used.</w:t>
      </w:r>
      <w:r w:rsidR="00031F56" w:rsidRPr="00D61F73">
        <w:rPr>
          <w:rFonts w:ascii="Arial" w:hAnsi="Arial" w:cs="Arial"/>
        </w:rPr>
        <w:t xml:space="preserve"> </w:t>
      </w:r>
    </w:p>
    <w:p w14:paraId="4C73617A" w14:textId="77777777" w:rsidR="00914F36" w:rsidRPr="00D61F73" w:rsidRDefault="00914F36" w:rsidP="00D61F73">
      <w:pPr>
        <w:rPr>
          <w:rFonts w:ascii="Arial" w:hAnsi="Arial" w:cs="Arial"/>
        </w:rPr>
      </w:pPr>
    </w:p>
    <w:p w14:paraId="016F5101" w14:textId="77777777" w:rsidR="00914F36" w:rsidRPr="00D61F73" w:rsidRDefault="00914F36" w:rsidP="00D61F73">
      <w:pPr>
        <w:rPr>
          <w:rFonts w:ascii="Arial" w:hAnsi="Arial" w:cs="Arial"/>
        </w:rPr>
      </w:pPr>
    </w:p>
    <w:p w14:paraId="26833203" w14:textId="77777777" w:rsidR="00914F36" w:rsidRPr="00D61F73" w:rsidRDefault="00914F36" w:rsidP="00D61F73">
      <w:pPr>
        <w:rPr>
          <w:rFonts w:ascii="Arial" w:hAnsi="Arial" w:cs="Arial"/>
        </w:rPr>
      </w:pPr>
      <w:r w:rsidRPr="00D61F73">
        <w:rPr>
          <w:rFonts w:ascii="Arial" w:hAnsi="Arial" w:cs="Arial"/>
        </w:rPr>
        <w:t xml:space="preserve">PMID: </w:t>
      </w:r>
      <w:hyperlink r:id="rId619" w:history="1">
        <w:r w:rsidRPr="00D61F73">
          <w:rPr>
            <w:rStyle w:val="Hyperlink"/>
            <w:rFonts w:ascii="Arial" w:hAnsi="Arial" w:cs="Arial"/>
          </w:rPr>
          <w:t>7644244</w:t>
        </w:r>
      </w:hyperlink>
    </w:p>
    <w:p w14:paraId="12225BBC" w14:textId="77777777" w:rsidR="00914F36" w:rsidRPr="00D61F73" w:rsidRDefault="00914F36" w:rsidP="00D61F73">
      <w:pPr>
        <w:rPr>
          <w:rFonts w:ascii="Arial" w:hAnsi="Arial" w:cs="Arial"/>
        </w:rPr>
      </w:pPr>
    </w:p>
    <w:p w14:paraId="4B25F494" w14:textId="77777777" w:rsidR="00914F36" w:rsidRPr="00D61F73" w:rsidRDefault="00914F36" w:rsidP="00D61F73">
      <w:pPr>
        <w:rPr>
          <w:rFonts w:ascii="Arial" w:hAnsi="Arial" w:cs="Arial"/>
        </w:rPr>
      </w:pPr>
      <w:r w:rsidRPr="00D61F73">
        <w:rPr>
          <w:rFonts w:ascii="Arial" w:hAnsi="Arial" w:cs="Arial"/>
        </w:rPr>
        <w:t xml:space="preserve">Rating: </w:t>
      </w:r>
      <w:r w:rsidR="00AB2146" w:rsidRPr="00D61F73">
        <w:rPr>
          <w:rFonts w:ascii="Arial" w:hAnsi="Arial" w:cs="Arial"/>
        </w:rPr>
        <w:t>3c</w:t>
      </w:r>
      <w:r w:rsidR="00C54E4C" w:rsidRPr="00D61F73">
        <w:rPr>
          <w:rFonts w:ascii="Arial" w:hAnsi="Arial" w:cs="Arial"/>
        </w:rPr>
        <w:t>.</w:t>
      </w:r>
      <w:r w:rsidRPr="00D61F73">
        <w:rPr>
          <w:rFonts w:ascii="Arial" w:hAnsi="Arial" w:cs="Arial"/>
        </w:rPr>
        <w:t>.</w:t>
      </w:r>
    </w:p>
    <w:p w14:paraId="0A24B995" w14:textId="77777777" w:rsidR="00914F36" w:rsidRPr="00D61F73" w:rsidRDefault="00914F36" w:rsidP="00D61F73">
      <w:pPr>
        <w:rPr>
          <w:rFonts w:ascii="Arial" w:hAnsi="Arial" w:cs="Arial"/>
          <w:b/>
          <w:bCs/>
        </w:rPr>
      </w:pPr>
    </w:p>
    <w:p w14:paraId="3DF042D3" w14:textId="77777777" w:rsidR="00043404" w:rsidRPr="00D61F73" w:rsidRDefault="00043404" w:rsidP="00D61F73">
      <w:pPr>
        <w:rPr>
          <w:rFonts w:ascii="Arial" w:hAnsi="Arial" w:cs="Arial"/>
          <w:b/>
          <w:bCs/>
        </w:rPr>
      </w:pPr>
    </w:p>
    <w:p w14:paraId="45406D3F" w14:textId="77777777" w:rsidR="00043404" w:rsidRPr="00D61F73" w:rsidRDefault="00043404" w:rsidP="00D61F73">
      <w:pPr>
        <w:rPr>
          <w:rFonts w:ascii="Arial" w:hAnsi="Arial" w:cs="Arial"/>
          <w:b/>
          <w:bCs/>
        </w:rPr>
      </w:pPr>
    </w:p>
    <w:p w14:paraId="53ABE67F" w14:textId="77777777" w:rsidR="00914F36" w:rsidRPr="00D61F73" w:rsidRDefault="00914F36" w:rsidP="00D61F73">
      <w:pPr>
        <w:rPr>
          <w:rFonts w:ascii="Arial" w:hAnsi="Arial" w:cs="Arial"/>
          <w:b/>
          <w:bCs/>
        </w:rPr>
      </w:pPr>
    </w:p>
    <w:p w14:paraId="04B68376" w14:textId="77777777" w:rsidR="008D0565" w:rsidRPr="00D61F73" w:rsidRDefault="00AB1734" w:rsidP="00D61F73">
      <w:pPr>
        <w:rPr>
          <w:rFonts w:ascii="Arial" w:hAnsi="Arial" w:cs="Arial"/>
          <w:b/>
          <w:bCs/>
        </w:rPr>
      </w:pPr>
      <w:r w:rsidRPr="00D61F73">
        <w:rPr>
          <w:rFonts w:ascii="Arial" w:hAnsi="Arial" w:cs="Arial"/>
          <w:b/>
          <w:bCs/>
        </w:rPr>
        <w:br w:type="page"/>
      </w:r>
      <w:r w:rsidR="008D0565" w:rsidRPr="00D61F73">
        <w:rPr>
          <w:rFonts w:ascii="Arial" w:hAnsi="Arial" w:cs="Arial"/>
          <w:b/>
          <w:bCs/>
        </w:rPr>
        <w:lastRenderedPageBreak/>
        <w:t>M</w:t>
      </w:r>
      <w:bookmarkStart w:id="939" w:name="McDowell"/>
      <w:bookmarkEnd w:id="939"/>
      <w:r w:rsidR="008D0565" w:rsidRPr="00D61F73">
        <w:rPr>
          <w:rFonts w:ascii="Arial" w:hAnsi="Arial" w:cs="Arial"/>
          <w:b/>
          <w:bCs/>
        </w:rPr>
        <w:t xml:space="preserve">cDowell BC, McElduff C, Lowe AS, Walsh DM, Baxter GD. The effect of high- and low-frequency H-wave therapy upon skin blood perfusion: evidence of frequency-specific effects. </w:t>
      </w:r>
      <w:r w:rsidR="008D0565" w:rsidRPr="00D61F73">
        <w:rPr>
          <w:rFonts w:ascii="Arial" w:hAnsi="Arial" w:cs="Arial"/>
          <w:b/>
          <w:bCs/>
          <w:i/>
          <w:iCs/>
        </w:rPr>
        <w:t>Clin Physiol.</w:t>
      </w:r>
      <w:r w:rsidR="008D0565" w:rsidRPr="00D61F73">
        <w:rPr>
          <w:rFonts w:ascii="Arial" w:hAnsi="Arial" w:cs="Arial"/>
          <w:b/>
          <w:bCs/>
        </w:rPr>
        <w:t xml:space="preserve"> 1999 Nov;19(6):450-7. </w:t>
      </w:r>
    </w:p>
    <w:p w14:paraId="68DDF9DE" w14:textId="77777777" w:rsidR="008D0565" w:rsidRPr="00D61F73" w:rsidRDefault="008D0565" w:rsidP="00D61F73">
      <w:pPr>
        <w:rPr>
          <w:rFonts w:ascii="Arial" w:hAnsi="Arial" w:cs="Arial"/>
        </w:rPr>
      </w:pPr>
    </w:p>
    <w:p w14:paraId="26C795BD" w14:textId="77777777" w:rsidR="008D0565" w:rsidRPr="00D61F73" w:rsidRDefault="008D0565" w:rsidP="00D61F73">
      <w:pPr>
        <w:rPr>
          <w:rFonts w:ascii="Arial" w:hAnsi="Arial" w:cs="Arial"/>
        </w:rPr>
      </w:pPr>
      <w:r w:rsidRPr="00D61F73">
        <w:rPr>
          <w:rFonts w:ascii="Arial" w:hAnsi="Arial" w:cs="Arial"/>
        </w:rPr>
        <w:t>These results provide evidence that low-frequency HWT may produce direct localized effects on cutaneous blood flow, a finding relevant for clinicians working in the field of tissue repair.</w:t>
      </w:r>
    </w:p>
    <w:p w14:paraId="51C83034" w14:textId="77777777" w:rsidR="008D0565" w:rsidRPr="00D61F73" w:rsidRDefault="008D0565" w:rsidP="00D61F73">
      <w:pPr>
        <w:rPr>
          <w:rFonts w:ascii="Arial" w:hAnsi="Arial" w:cs="Arial"/>
        </w:rPr>
      </w:pPr>
    </w:p>
    <w:p w14:paraId="07EE0BBE" w14:textId="77777777" w:rsidR="008D0565" w:rsidRPr="00D61F73" w:rsidRDefault="008D0565" w:rsidP="00D61F73">
      <w:pPr>
        <w:rPr>
          <w:rFonts w:ascii="Arial" w:hAnsi="Arial" w:cs="Arial"/>
        </w:rPr>
      </w:pPr>
      <w:r w:rsidRPr="00D61F73">
        <w:rPr>
          <w:rFonts w:ascii="Arial" w:hAnsi="Arial" w:cs="Arial"/>
        </w:rPr>
        <w:t xml:space="preserve">PMID: </w:t>
      </w:r>
      <w:hyperlink r:id="rId620" w:history="1">
        <w:r w:rsidRPr="00D61F73">
          <w:rPr>
            <w:rStyle w:val="Hyperlink"/>
            <w:rFonts w:ascii="Arial" w:hAnsi="Arial" w:cs="Arial"/>
          </w:rPr>
          <w:t>10583337</w:t>
        </w:r>
      </w:hyperlink>
    </w:p>
    <w:p w14:paraId="52452B20" w14:textId="77777777" w:rsidR="008D0565" w:rsidRPr="00D61F73" w:rsidRDefault="008D0565" w:rsidP="00D61F73">
      <w:pPr>
        <w:rPr>
          <w:rFonts w:ascii="Arial" w:hAnsi="Arial" w:cs="Arial"/>
        </w:rPr>
      </w:pPr>
    </w:p>
    <w:p w14:paraId="42943FD2" w14:textId="77777777" w:rsidR="004A5097" w:rsidRPr="00D61F73" w:rsidRDefault="008D0565" w:rsidP="00D61F73">
      <w:pPr>
        <w:rPr>
          <w:rFonts w:ascii="Arial" w:hAnsi="Arial" w:cs="Arial"/>
        </w:rPr>
      </w:pPr>
      <w:r w:rsidRPr="00D61F73">
        <w:rPr>
          <w:rFonts w:ascii="Arial" w:hAnsi="Arial" w:cs="Arial"/>
        </w:rPr>
        <w:t>Rating: 5c</w:t>
      </w:r>
      <w:r w:rsidR="00914F36" w:rsidRPr="00D61F73">
        <w:rPr>
          <w:rFonts w:ascii="Arial" w:hAnsi="Arial" w:cs="Arial"/>
        </w:rPr>
        <w:t xml:space="preserve"> </w:t>
      </w:r>
      <w:r w:rsidR="004A5097" w:rsidRPr="00D61F73">
        <w:rPr>
          <w:rFonts w:ascii="Arial" w:hAnsi="Arial" w:cs="Arial"/>
        </w:rPr>
        <w:t xml:space="preserve"> .</w:t>
      </w:r>
    </w:p>
    <w:p w14:paraId="4C6122EC" w14:textId="77777777" w:rsidR="008D0565" w:rsidRPr="00D61F73" w:rsidRDefault="008D0565" w:rsidP="00D61F73">
      <w:pPr>
        <w:rPr>
          <w:rFonts w:ascii="Arial" w:hAnsi="Arial" w:cs="Arial"/>
        </w:rPr>
      </w:pPr>
    </w:p>
    <w:p w14:paraId="45858416" w14:textId="77777777" w:rsidR="008D0565" w:rsidRPr="00D61F73" w:rsidRDefault="008D0565" w:rsidP="00D61F73">
      <w:pPr>
        <w:rPr>
          <w:rFonts w:ascii="Arial" w:hAnsi="Arial" w:cs="Arial"/>
        </w:rPr>
      </w:pPr>
    </w:p>
    <w:p w14:paraId="2E291D5B" w14:textId="77777777" w:rsidR="008D0565" w:rsidRPr="00D61F73" w:rsidRDefault="008D0565" w:rsidP="00D61F73">
      <w:pPr>
        <w:rPr>
          <w:rFonts w:ascii="Arial" w:hAnsi="Arial" w:cs="Arial"/>
          <w:b/>
          <w:bCs/>
        </w:rPr>
      </w:pPr>
      <w:r w:rsidRPr="00D61F73">
        <w:rPr>
          <w:rFonts w:ascii="Arial" w:hAnsi="Arial" w:cs="Arial"/>
        </w:rPr>
        <w:t xml:space="preserve">Outcome was skin blood flow, not pain relief. No improvement in symptoms or function were examined by this study. </w:t>
      </w:r>
      <w:r w:rsidRPr="00D61F73">
        <w:rPr>
          <w:rFonts w:ascii="Arial" w:hAnsi="Arial" w:cs="Arial"/>
        </w:rPr>
        <w:br w:type="page"/>
      </w:r>
      <w:r w:rsidRPr="00D61F73">
        <w:rPr>
          <w:rFonts w:ascii="Arial" w:hAnsi="Arial" w:cs="Arial"/>
          <w:b/>
          <w:bCs/>
        </w:rPr>
        <w:lastRenderedPageBreak/>
        <w:t>M</w:t>
      </w:r>
      <w:bookmarkStart w:id="940" w:name="McDowell2"/>
      <w:bookmarkEnd w:id="940"/>
      <w:r w:rsidRPr="00D61F73">
        <w:rPr>
          <w:rFonts w:ascii="Arial" w:hAnsi="Arial" w:cs="Arial"/>
          <w:b/>
          <w:bCs/>
        </w:rPr>
        <w:t xml:space="preserve">cDowell BC, McCormack K, Walsh DM, Baxter DG, Allen JM. Comparative analgesic effects of H-wave therapy and transcutaneous electrical nerve stimulation on pain threshold in humans. </w:t>
      </w:r>
      <w:r w:rsidRPr="00D61F73">
        <w:rPr>
          <w:rFonts w:ascii="Arial" w:hAnsi="Arial" w:cs="Arial"/>
          <w:b/>
          <w:bCs/>
          <w:i/>
          <w:iCs/>
        </w:rPr>
        <w:t>Arch Phys Med Rehabil.</w:t>
      </w:r>
      <w:r w:rsidRPr="00D61F73">
        <w:rPr>
          <w:rFonts w:ascii="Arial" w:hAnsi="Arial" w:cs="Arial"/>
          <w:b/>
          <w:bCs/>
        </w:rPr>
        <w:t xml:space="preserve"> 1999 Sep;80(9):1001-4. </w:t>
      </w:r>
    </w:p>
    <w:p w14:paraId="7A57EBF8" w14:textId="77777777" w:rsidR="008D0565" w:rsidRPr="00D61F73" w:rsidRDefault="008D0565" w:rsidP="00D61F73">
      <w:pPr>
        <w:rPr>
          <w:rFonts w:ascii="Arial" w:hAnsi="Arial" w:cs="Arial"/>
        </w:rPr>
      </w:pPr>
    </w:p>
    <w:p w14:paraId="1A0486FA" w14:textId="77777777" w:rsidR="00914F36" w:rsidRPr="00D61F73" w:rsidRDefault="008D0565" w:rsidP="00D61F73">
      <w:pPr>
        <w:rPr>
          <w:rFonts w:ascii="Arial" w:hAnsi="Arial" w:cs="Arial"/>
        </w:rPr>
      </w:pPr>
      <w:r w:rsidRPr="00D61F73">
        <w:rPr>
          <w:rFonts w:ascii="Arial" w:hAnsi="Arial" w:cs="Arial"/>
        </w:rPr>
        <w:t xml:space="preserve">CONCLUSION: </w:t>
      </w:r>
    </w:p>
    <w:p w14:paraId="3ABADE4A" w14:textId="77777777" w:rsidR="00914F36" w:rsidRPr="00D61F73" w:rsidRDefault="00914F36" w:rsidP="00D61F73">
      <w:pPr>
        <w:rPr>
          <w:rFonts w:ascii="Arial" w:hAnsi="Arial" w:cs="Arial"/>
        </w:rPr>
      </w:pPr>
      <w:r w:rsidRPr="00D61F73">
        <w:rPr>
          <w:rFonts w:ascii="Arial" w:hAnsi="Arial" w:cs="Arial"/>
        </w:rPr>
        <w:t xml:space="preserve">H-wave therapy and TENS both provided localized hypoalgesia during stimulation and for up to 5 minutes after it.  No frequency- or modality-specific effects between the groups. </w:t>
      </w:r>
    </w:p>
    <w:p w14:paraId="2DEEA2F0" w14:textId="77777777" w:rsidR="008D0565" w:rsidRPr="00D61F73" w:rsidRDefault="008D0565" w:rsidP="00D61F73">
      <w:pPr>
        <w:rPr>
          <w:rFonts w:ascii="Arial" w:hAnsi="Arial" w:cs="Arial"/>
        </w:rPr>
      </w:pPr>
    </w:p>
    <w:p w14:paraId="36ED93CD" w14:textId="77777777" w:rsidR="008D0565" w:rsidRPr="00D61F73" w:rsidRDefault="008D0565" w:rsidP="00D61F73">
      <w:pPr>
        <w:rPr>
          <w:rFonts w:ascii="Arial" w:hAnsi="Arial" w:cs="Arial"/>
        </w:rPr>
      </w:pPr>
    </w:p>
    <w:p w14:paraId="534BE54E" w14:textId="77777777" w:rsidR="008D0565" w:rsidRPr="00D61F73" w:rsidRDefault="008D0565" w:rsidP="00D61F73">
      <w:pPr>
        <w:rPr>
          <w:rFonts w:ascii="Arial" w:hAnsi="Arial" w:cs="Arial"/>
        </w:rPr>
      </w:pPr>
      <w:r w:rsidRPr="00D61F73">
        <w:rPr>
          <w:rFonts w:ascii="Arial" w:hAnsi="Arial" w:cs="Arial"/>
        </w:rPr>
        <w:t xml:space="preserve">PMID: </w:t>
      </w:r>
      <w:hyperlink r:id="rId621" w:history="1">
        <w:r w:rsidRPr="00D61F73">
          <w:rPr>
            <w:rStyle w:val="Hyperlink"/>
            <w:rFonts w:ascii="Arial" w:hAnsi="Arial" w:cs="Arial"/>
          </w:rPr>
          <w:t>10488999</w:t>
        </w:r>
      </w:hyperlink>
    </w:p>
    <w:p w14:paraId="21A8C644" w14:textId="77777777" w:rsidR="008D0565" w:rsidRPr="00D61F73" w:rsidRDefault="008D0565" w:rsidP="00D61F73">
      <w:pPr>
        <w:rPr>
          <w:rFonts w:ascii="Arial" w:hAnsi="Arial" w:cs="Arial"/>
        </w:rPr>
      </w:pPr>
    </w:p>
    <w:p w14:paraId="62CAEBE1" w14:textId="77777777" w:rsidR="008D0565" w:rsidRPr="00D61F73" w:rsidRDefault="008D0565" w:rsidP="00D61F73">
      <w:pPr>
        <w:rPr>
          <w:rFonts w:ascii="Arial" w:hAnsi="Arial" w:cs="Arial"/>
        </w:rPr>
      </w:pPr>
      <w:r w:rsidRPr="00D61F73">
        <w:rPr>
          <w:rFonts w:ascii="Arial" w:hAnsi="Arial" w:cs="Arial"/>
        </w:rPr>
        <w:t>Rating: 2c</w:t>
      </w:r>
      <w:r w:rsidR="00914F36" w:rsidRPr="00D61F73">
        <w:rPr>
          <w:rFonts w:ascii="Arial" w:hAnsi="Arial" w:cs="Arial"/>
        </w:rPr>
        <w:t xml:space="preserve">. </w:t>
      </w:r>
    </w:p>
    <w:p w14:paraId="1DC7F407" w14:textId="77777777" w:rsidR="008D0565" w:rsidRPr="00D61F73" w:rsidRDefault="008D0565" w:rsidP="00D61F73">
      <w:pPr>
        <w:rPr>
          <w:rFonts w:ascii="Arial" w:hAnsi="Arial" w:cs="Arial"/>
        </w:rPr>
      </w:pPr>
    </w:p>
    <w:p w14:paraId="1AE9697E" w14:textId="77777777" w:rsidR="008D0565" w:rsidRPr="00D61F73" w:rsidRDefault="008D0565" w:rsidP="00D61F73">
      <w:pPr>
        <w:rPr>
          <w:rFonts w:ascii="Arial" w:hAnsi="Arial" w:cs="Arial"/>
          <w:b/>
        </w:rPr>
      </w:pPr>
      <w:r w:rsidRPr="00D61F73">
        <w:rPr>
          <w:rFonts w:ascii="Arial" w:hAnsi="Arial" w:cs="Arial"/>
        </w:rPr>
        <w:t xml:space="preserve">A total of 48 subjects were divided into 6 groups, leaving each group presumably with 8 members, and it is not clear that these results would be statistically significant in any case; but the study showed no difference between the effects of TENS and H-wave. </w:t>
      </w:r>
      <w:r w:rsidRPr="00D61F73">
        <w:rPr>
          <w:rFonts w:ascii="Arial" w:hAnsi="Arial" w:cs="Arial"/>
        </w:rPr>
        <w:br w:type="page"/>
      </w:r>
      <w:r w:rsidRPr="00D61F73">
        <w:rPr>
          <w:rFonts w:ascii="Arial" w:hAnsi="Arial" w:cs="Arial"/>
          <w:b/>
        </w:rPr>
        <w:lastRenderedPageBreak/>
        <w:t>M</w:t>
      </w:r>
      <w:bookmarkStart w:id="941" w:name="McGeary"/>
      <w:bookmarkEnd w:id="941"/>
      <w:r w:rsidRPr="00D61F73">
        <w:rPr>
          <w:rFonts w:ascii="Arial" w:hAnsi="Arial" w:cs="Arial"/>
          <w:b/>
        </w:rPr>
        <w:t xml:space="preserve">cGeary DD, Mayer TG, Gatchel RJ. High pain ratings predict treatment failure in chronic occupational musculoskeletal disorders. </w:t>
      </w:r>
      <w:r w:rsidRPr="00D61F73">
        <w:rPr>
          <w:rFonts w:ascii="Arial" w:hAnsi="Arial" w:cs="Arial"/>
          <w:b/>
          <w:i/>
        </w:rPr>
        <w:t>J Bone Joint Surg Am</w:t>
      </w:r>
      <w:r w:rsidRPr="00D61F73">
        <w:rPr>
          <w:rFonts w:ascii="Arial" w:hAnsi="Arial" w:cs="Arial"/>
          <w:b/>
        </w:rPr>
        <w:t>. 2006 Feb;88(2):317-25.</w:t>
      </w:r>
    </w:p>
    <w:p w14:paraId="0780BC0D" w14:textId="77777777" w:rsidR="008D0565" w:rsidRPr="00D61F73" w:rsidRDefault="008D0565" w:rsidP="00D61F73">
      <w:pPr>
        <w:rPr>
          <w:rFonts w:ascii="Arial" w:hAnsi="Arial" w:cs="Arial"/>
        </w:rPr>
      </w:pPr>
    </w:p>
    <w:p w14:paraId="70BAF7D1" w14:textId="77777777" w:rsidR="008D0565" w:rsidRPr="00D61F73" w:rsidRDefault="008D0565" w:rsidP="00D61F73">
      <w:pPr>
        <w:rPr>
          <w:rFonts w:ascii="Arial" w:hAnsi="Arial" w:cs="Arial"/>
        </w:rPr>
      </w:pPr>
      <w:r w:rsidRPr="00D61F73">
        <w:rPr>
          <w:rFonts w:ascii="Arial" w:hAnsi="Arial" w:cs="Arial"/>
        </w:rPr>
        <w:t xml:space="preserve">They were also twice as likely to claim a new injury to the same musculoskeletal site after returning to work and to fail to settle Workers' Compensation or third-party financial disputes. </w:t>
      </w:r>
    </w:p>
    <w:p w14:paraId="4FC1F680" w14:textId="77777777" w:rsidR="008D0565" w:rsidRPr="00D61F73" w:rsidRDefault="008D0565" w:rsidP="00D61F73">
      <w:pPr>
        <w:rPr>
          <w:rFonts w:ascii="Arial" w:hAnsi="Arial" w:cs="Arial"/>
        </w:rPr>
      </w:pPr>
    </w:p>
    <w:p w14:paraId="5F1A63CA" w14:textId="77777777" w:rsidR="008D0565" w:rsidRPr="00D61F73" w:rsidRDefault="008D0565" w:rsidP="00D61F73">
      <w:pPr>
        <w:rPr>
          <w:rFonts w:ascii="Arial" w:hAnsi="Arial" w:cs="Arial"/>
          <w:b/>
        </w:rPr>
      </w:pPr>
      <w:r w:rsidRPr="00D61F73">
        <w:rPr>
          <w:rFonts w:ascii="Arial" w:hAnsi="Arial" w:cs="Arial"/>
        </w:rPr>
        <w:t xml:space="preserve">PMID: </w:t>
      </w:r>
      <w:hyperlink r:id="rId622" w:history="1">
        <w:r w:rsidRPr="00D61F73">
          <w:rPr>
            <w:rStyle w:val="Hyperlink"/>
            <w:rFonts w:ascii="Arial" w:hAnsi="Arial" w:cs="Arial"/>
          </w:rPr>
          <w:t>16452743</w:t>
        </w:r>
      </w:hyperlink>
      <w:r w:rsidRPr="00D61F73">
        <w:rPr>
          <w:rFonts w:ascii="Arial" w:hAnsi="Arial" w:cs="Arial"/>
          <w:b/>
        </w:rPr>
        <w:t xml:space="preserve"> </w:t>
      </w:r>
    </w:p>
    <w:p w14:paraId="12732DAD" w14:textId="77777777" w:rsidR="008D0565" w:rsidRPr="00D61F73" w:rsidRDefault="008D0565" w:rsidP="00D61F73">
      <w:pPr>
        <w:rPr>
          <w:rFonts w:ascii="Arial" w:hAnsi="Arial" w:cs="Arial"/>
          <w:b/>
        </w:rPr>
      </w:pPr>
    </w:p>
    <w:p w14:paraId="67AC11E6" w14:textId="77777777" w:rsidR="008D0565" w:rsidRPr="00D61F73" w:rsidRDefault="008D0565" w:rsidP="00D61F73">
      <w:pPr>
        <w:rPr>
          <w:rFonts w:ascii="Arial" w:hAnsi="Arial" w:cs="Arial"/>
        </w:rPr>
      </w:pPr>
      <w:r w:rsidRPr="00D61F73">
        <w:rPr>
          <w:rFonts w:ascii="Arial" w:hAnsi="Arial" w:cs="Arial"/>
        </w:rPr>
        <w:t>Rating: 3c</w:t>
      </w:r>
    </w:p>
    <w:p w14:paraId="4F378C6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42" w:name="McGeary2004"/>
      <w:bookmarkEnd w:id="942"/>
      <w:r w:rsidRPr="00D61F73">
        <w:rPr>
          <w:rFonts w:ascii="Arial" w:hAnsi="Arial" w:cs="Arial"/>
          <w:b/>
        </w:rPr>
        <w:t xml:space="preserve">cGeary DD, Mayer TG, Gatchel RJ, Anagnostis C. Smoking status and psychosocioeconomic outcomes of functional restoration in patients with chronic spinal disability. </w:t>
      </w:r>
      <w:r w:rsidRPr="00D61F73">
        <w:rPr>
          <w:rFonts w:ascii="Arial" w:hAnsi="Arial" w:cs="Arial"/>
          <w:b/>
          <w:i/>
        </w:rPr>
        <w:t>Spine J</w:t>
      </w:r>
      <w:r w:rsidRPr="00D61F73">
        <w:rPr>
          <w:rFonts w:ascii="Arial" w:hAnsi="Arial" w:cs="Arial"/>
          <w:b/>
        </w:rPr>
        <w:t>. 2004 Mar-Apr;4(2):170-5.</w:t>
      </w:r>
    </w:p>
    <w:p w14:paraId="2112422E" w14:textId="77777777" w:rsidR="008D0565" w:rsidRPr="00D61F73" w:rsidRDefault="008D0565" w:rsidP="00D61F73">
      <w:pPr>
        <w:rPr>
          <w:rFonts w:ascii="Arial" w:hAnsi="Arial" w:cs="Arial"/>
        </w:rPr>
      </w:pPr>
    </w:p>
    <w:p w14:paraId="5481B4BA" w14:textId="77777777" w:rsidR="008D0565" w:rsidRPr="00D61F73" w:rsidRDefault="008D0565" w:rsidP="00D61F73">
      <w:pPr>
        <w:rPr>
          <w:rFonts w:ascii="Arial" w:hAnsi="Arial" w:cs="Arial"/>
        </w:rPr>
      </w:pPr>
      <w:r w:rsidRPr="00D61F73">
        <w:rPr>
          <w:rFonts w:ascii="Arial" w:hAnsi="Arial" w:cs="Arial"/>
        </w:rPr>
        <w:t>CONCLUSIONS: Contrary to popular belief, CDWRSD patients who smoke do not differ significantly in socioeconomic or psychosocial outcomes relative to those who do not. Although this study does indicate that those who smoke more evidence lower rehabilitation completion rates, those who completed the program had identical 1-year posttreatment outcomes of socioeconomic importance except in retraining work at year end as those who did not smoke. Smokers had slightly higher posttreatment self-reported pain and disability ratings mixed and limited. Overall, there is evidence for the widely held belief that smoking negatively affects tertiary rehabilitation.</w:t>
      </w:r>
    </w:p>
    <w:p w14:paraId="0EFF317E" w14:textId="77777777" w:rsidR="008D0565" w:rsidRPr="00D61F73" w:rsidRDefault="008D0565" w:rsidP="00D61F73">
      <w:pPr>
        <w:rPr>
          <w:rFonts w:ascii="Arial" w:hAnsi="Arial" w:cs="Arial"/>
        </w:rPr>
      </w:pPr>
    </w:p>
    <w:p w14:paraId="6F1A7428" w14:textId="77777777" w:rsidR="008D0565" w:rsidRPr="00D61F73" w:rsidRDefault="008D0565" w:rsidP="00D61F73">
      <w:pPr>
        <w:rPr>
          <w:rFonts w:ascii="Arial" w:hAnsi="Arial" w:cs="Arial"/>
        </w:rPr>
      </w:pPr>
      <w:r w:rsidRPr="00D61F73">
        <w:rPr>
          <w:rFonts w:ascii="Arial" w:hAnsi="Arial" w:cs="Arial"/>
        </w:rPr>
        <w:t xml:space="preserve">PMID: </w:t>
      </w:r>
      <w:hyperlink r:id="rId623" w:history="1">
        <w:r w:rsidRPr="00D61F73">
          <w:rPr>
            <w:rStyle w:val="Hyperlink"/>
            <w:rFonts w:ascii="Arial" w:hAnsi="Arial" w:cs="Arial"/>
          </w:rPr>
          <w:t>15016394</w:t>
        </w:r>
      </w:hyperlink>
    </w:p>
    <w:p w14:paraId="64E70403" w14:textId="77777777" w:rsidR="008D0565" w:rsidRPr="00D61F73" w:rsidRDefault="008D0565" w:rsidP="00D61F73">
      <w:pPr>
        <w:rPr>
          <w:rFonts w:ascii="Arial" w:hAnsi="Arial" w:cs="Arial"/>
        </w:rPr>
      </w:pPr>
    </w:p>
    <w:p w14:paraId="0D91CD12" w14:textId="77777777" w:rsidR="008D0565" w:rsidRPr="00D61F73" w:rsidRDefault="008D0565" w:rsidP="00D61F73">
      <w:pPr>
        <w:rPr>
          <w:rFonts w:ascii="Arial" w:hAnsi="Arial" w:cs="Arial"/>
        </w:rPr>
      </w:pPr>
      <w:r w:rsidRPr="00D61F73">
        <w:rPr>
          <w:rFonts w:ascii="Arial" w:hAnsi="Arial" w:cs="Arial"/>
        </w:rPr>
        <w:t>Rating: 3c</w:t>
      </w:r>
    </w:p>
    <w:p w14:paraId="2D74E72F" w14:textId="77777777" w:rsidR="008D0565" w:rsidRPr="00D61F73" w:rsidRDefault="008D0565" w:rsidP="00D61F73">
      <w:pPr>
        <w:rPr>
          <w:rFonts w:ascii="Arial" w:hAnsi="Arial" w:cs="Arial"/>
          <w:b/>
          <w:bCs/>
        </w:rPr>
      </w:pPr>
      <w:r w:rsidRPr="00D61F73">
        <w:rPr>
          <w:rFonts w:ascii="Arial" w:hAnsi="Arial" w:cs="Arial"/>
        </w:rPr>
        <w:br w:type="page"/>
      </w:r>
      <w:bookmarkStart w:id="943" w:name="McLean"/>
      <w:r w:rsidRPr="00D61F73">
        <w:rPr>
          <w:rFonts w:ascii="Arial" w:hAnsi="Arial" w:cs="Arial"/>
          <w:b/>
          <w:bCs/>
        </w:rPr>
        <w:lastRenderedPageBreak/>
        <w:fldChar w:fldCharType="begin"/>
      </w:r>
      <w:r w:rsidRPr="00D61F73">
        <w:rPr>
          <w:rFonts w:ascii="Arial" w:hAnsi="Arial" w:cs="Arial"/>
          <w:b/>
          <w:bCs/>
        </w:rPr>
        <w:instrText xml:space="preserve"> HYPERLINK "http://www.pulsus.com/clin-phi/07_04/mcle_ed.htm" </w:instrText>
      </w:r>
      <w:r w:rsidRPr="00D61F73">
        <w:rPr>
          <w:rFonts w:ascii="Arial" w:hAnsi="Arial" w:cs="Arial"/>
          <w:b/>
          <w:bCs/>
        </w:rPr>
        <w:fldChar w:fldCharType="separate"/>
      </w:r>
      <w:r w:rsidRPr="00D61F73">
        <w:rPr>
          <w:rStyle w:val="Hyperlink"/>
          <w:rFonts w:ascii="Arial" w:hAnsi="Arial" w:cs="Arial"/>
          <w:b/>
          <w:bCs/>
        </w:rPr>
        <w:t>McLean</w:t>
      </w:r>
      <w:bookmarkEnd w:id="943"/>
      <w:r w:rsidRPr="00D61F73">
        <w:rPr>
          <w:rStyle w:val="Hyperlink"/>
          <w:rFonts w:ascii="Arial" w:hAnsi="Arial" w:cs="Arial"/>
          <w:b/>
          <w:bCs/>
        </w:rPr>
        <w:t xml:space="preserve"> W, Boucher E, Brennan M. et al</w:t>
      </w:r>
      <w:r w:rsidRPr="00D61F73">
        <w:rPr>
          <w:rFonts w:ascii="Arial" w:hAnsi="Arial" w:cs="Arial"/>
          <w:b/>
          <w:bCs/>
        </w:rPr>
        <w:fldChar w:fldCharType="end"/>
      </w:r>
      <w:r w:rsidRPr="00D61F73">
        <w:rPr>
          <w:rFonts w:ascii="Arial" w:hAnsi="Arial" w:cs="Arial"/>
          <w:b/>
          <w:bCs/>
        </w:rPr>
        <w:t xml:space="preserve">. Is there An Indication for the Use of Barbituate-Containing Analgesic Agents in the Treatment of Pain. Guidelines for Their Safe Use and Withdrawl Management. </w:t>
      </w:r>
      <w:r w:rsidRPr="00D61F73">
        <w:rPr>
          <w:rFonts w:ascii="Arial" w:hAnsi="Arial" w:cs="Arial"/>
          <w:b/>
          <w:bCs/>
          <w:i/>
          <w:iCs/>
        </w:rPr>
        <w:t>Canadian Journal of Clin Pharm</w:t>
      </w:r>
      <w:r w:rsidRPr="00D61F73">
        <w:rPr>
          <w:rFonts w:ascii="Arial" w:hAnsi="Arial" w:cs="Arial"/>
          <w:b/>
          <w:bCs/>
        </w:rPr>
        <w:t xml:space="preserve"> 2000;(7)4:191-197. (February 20, 2001).</w:t>
      </w:r>
    </w:p>
    <w:p w14:paraId="78D5C006" w14:textId="77777777" w:rsidR="008D0565" w:rsidRPr="00D61F73" w:rsidRDefault="008D0565" w:rsidP="00D61F73">
      <w:pPr>
        <w:rPr>
          <w:rFonts w:ascii="Arial" w:hAnsi="Arial" w:cs="Arial"/>
          <w:b/>
          <w:bCs/>
        </w:rPr>
      </w:pPr>
    </w:p>
    <w:p w14:paraId="3B34B11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Extrapolation from published reports on abuse and withdrawal syndrome with these drugs suggests that BCAs have the potential to produce drug dependence and addictive behaviour, especially with regular use.</w:t>
      </w:r>
    </w:p>
    <w:p w14:paraId="6F7ADCED" w14:textId="77777777" w:rsidR="008D0565" w:rsidRPr="00D61F73" w:rsidRDefault="008D0565" w:rsidP="00D61F73">
      <w:pPr>
        <w:pStyle w:val="NormalWeb"/>
        <w:spacing w:before="0" w:beforeAutospacing="0" w:after="0" w:afterAutospacing="0"/>
        <w:rPr>
          <w:rFonts w:ascii="Arial" w:hAnsi="Arial" w:cs="Arial"/>
        </w:rPr>
      </w:pPr>
    </w:p>
    <w:p w14:paraId="577A6FED" w14:textId="77777777" w:rsidR="008D0565" w:rsidRPr="00D61F73" w:rsidRDefault="008D0565" w:rsidP="00D61F73">
      <w:pPr>
        <w:rPr>
          <w:rFonts w:ascii="Arial" w:hAnsi="Arial" w:cs="Arial"/>
        </w:rPr>
      </w:pPr>
      <w:r w:rsidRPr="00D61F73">
        <w:rPr>
          <w:rFonts w:ascii="Arial" w:hAnsi="Arial" w:cs="Arial"/>
        </w:rPr>
        <w:t xml:space="preserve">Publication Type: Guideline, Practice Guideline </w:t>
      </w:r>
    </w:p>
    <w:p w14:paraId="0F24AC72" w14:textId="77777777" w:rsidR="008D0565" w:rsidRPr="00D61F73" w:rsidRDefault="008D0565" w:rsidP="00D61F73">
      <w:pPr>
        <w:rPr>
          <w:rFonts w:ascii="Arial" w:hAnsi="Arial" w:cs="Arial"/>
        </w:rPr>
      </w:pPr>
    </w:p>
    <w:p w14:paraId="0CF8409F" w14:textId="77777777" w:rsidR="008D0565" w:rsidRPr="00D61F73" w:rsidRDefault="008D0565" w:rsidP="00D61F73">
      <w:pPr>
        <w:rPr>
          <w:rFonts w:ascii="Arial" w:hAnsi="Arial" w:cs="Arial"/>
        </w:rPr>
      </w:pPr>
      <w:r w:rsidRPr="00D61F73">
        <w:rPr>
          <w:rFonts w:ascii="Arial" w:hAnsi="Arial" w:cs="Arial"/>
        </w:rPr>
        <w:t xml:space="preserve">PMID: </w:t>
      </w:r>
      <w:hyperlink r:id="rId624" w:history="1">
        <w:r w:rsidRPr="00D61F73">
          <w:rPr>
            <w:rStyle w:val="Hyperlink"/>
            <w:rFonts w:ascii="Arial" w:hAnsi="Arial" w:cs="Arial"/>
          </w:rPr>
          <w:t>11118965</w:t>
        </w:r>
      </w:hyperlink>
      <w:r w:rsidRPr="00D61F73">
        <w:rPr>
          <w:rFonts w:ascii="Arial" w:hAnsi="Arial" w:cs="Arial"/>
        </w:rPr>
        <w:t xml:space="preserve"> </w:t>
      </w:r>
    </w:p>
    <w:p w14:paraId="2AD3D7E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rPr>
        <w:lastRenderedPageBreak/>
        <w:t xml:space="preserve"> </w:t>
      </w:r>
      <w:r w:rsidRPr="00D61F73">
        <w:rPr>
          <w:rFonts w:ascii="Arial" w:hAnsi="Arial" w:cs="Arial"/>
          <w:b/>
          <w:bCs/>
        </w:rPr>
        <w:t>M</w:t>
      </w:r>
      <w:bookmarkStart w:id="944" w:name="McQuay2"/>
      <w:bookmarkEnd w:id="944"/>
      <w:r w:rsidRPr="00D61F73">
        <w:rPr>
          <w:rFonts w:ascii="Arial" w:hAnsi="Arial" w:cs="Arial"/>
          <w:b/>
          <w:bCs/>
        </w:rPr>
        <w:t xml:space="preserve">cQuay HJ, Tramer M, Nye BA, Carroll D, Wiffen PJ, Moore RA. A systematic review of antidepressants in neuropathic pain. </w:t>
      </w:r>
      <w:r w:rsidRPr="00D61F73">
        <w:rPr>
          <w:rFonts w:ascii="Arial" w:hAnsi="Arial" w:cs="Arial"/>
          <w:b/>
          <w:bCs/>
          <w:i/>
          <w:iCs/>
        </w:rPr>
        <w:t>Pain.</w:t>
      </w:r>
      <w:r w:rsidRPr="00D61F73">
        <w:rPr>
          <w:rFonts w:ascii="Arial" w:hAnsi="Arial" w:cs="Arial"/>
          <w:b/>
          <w:bCs/>
        </w:rPr>
        <w:t xml:space="preserve"> 1996 Dec;68(2-3):217-27.</w:t>
      </w:r>
    </w:p>
    <w:p w14:paraId="1C0D6420" w14:textId="77777777" w:rsidR="008D0565" w:rsidRPr="00D61F73" w:rsidRDefault="008D0565" w:rsidP="00D61F73">
      <w:pPr>
        <w:rPr>
          <w:rFonts w:ascii="Arial" w:hAnsi="Arial" w:cs="Arial"/>
        </w:rPr>
      </w:pPr>
    </w:p>
    <w:p w14:paraId="48C6D87F" w14:textId="77777777" w:rsidR="008D0565" w:rsidRPr="00D61F73" w:rsidRDefault="008D0565" w:rsidP="00D61F73">
      <w:pPr>
        <w:rPr>
          <w:rFonts w:ascii="Arial" w:hAnsi="Arial" w:cs="Arial"/>
        </w:rPr>
      </w:pPr>
      <w:r w:rsidRPr="00D61F73">
        <w:rPr>
          <w:rFonts w:ascii="Arial" w:hAnsi="Arial" w:cs="Arial"/>
        </w:rPr>
        <w:t xml:space="preserve">With very similar results for anticonvulsants it is still unclear which drug class should be first choice. </w:t>
      </w:r>
    </w:p>
    <w:p w14:paraId="0F6C54CF" w14:textId="77777777" w:rsidR="008D0565" w:rsidRPr="00D61F73" w:rsidRDefault="008D0565" w:rsidP="00D61F73">
      <w:pPr>
        <w:rPr>
          <w:rFonts w:ascii="Arial" w:hAnsi="Arial" w:cs="Arial"/>
        </w:rPr>
      </w:pPr>
    </w:p>
    <w:p w14:paraId="49FE466A" w14:textId="77777777" w:rsidR="008D0565" w:rsidRPr="00D61F73" w:rsidRDefault="008D0565" w:rsidP="00D61F73">
      <w:pPr>
        <w:rPr>
          <w:rFonts w:ascii="Arial" w:hAnsi="Arial" w:cs="Arial"/>
        </w:rPr>
      </w:pPr>
      <w:r w:rsidRPr="00D61F73">
        <w:rPr>
          <w:rFonts w:ascii="Arial" w:hAnsi="Arial" w:cs="Arial"/>
        </w:rPr>
        <w:t xml:space="preserve">PMID: </w:t>
      </w:r>
      <w:hyperlink r:id="rId625" w:history="1">
        <w:r w:rsidRPr="00D61F73">
          <w:rPr>
            <w:rStyle w:val="Hyperlink"/>
            <w:rFonts w:ascii="Arial" w:hAnsi="Arial" w:cs="Arial"/>
          </w:rPr>
          <w:t>9121808</w:t>
        </w:r>
      </w:hyperlink>
      <w:r w:rsidRPr="00D61F73">
        <w:rPr>
          <w:rFonts w:ascii="Arial" w:hAnsi="Arial" w:cs="Arial"/>
        </w:rPr>
        <w:t xml:space="preserve"> </w:t>
      </w:r>
    </w:p>
    <w:p w14:paraId="3AE039B5" w14:textId="77777777" w:rsidR="008D0565" w:rsidRPr="00D61F73" w:rsidRDefault="008D0565" w:rsidP="00D61F73">
      <w:pPr>
        <w:rPr>
          <w:rFonts w:ascii="Arial" w:hAnsi="Arial" w:cs="Arial"/>
        </w:rPr>
      </w:pPr>
    </w:p>
    <w:p w14:paraId="4712AF7E" w14:textId="77777777" w:rsidR="008D0565" w:rsidRPr="00D61F73" w:rsidRDefault="008D0565" w:rsidP="00D61F73">
      <w:pPr>
        <w:rPr>
          <w:rFonts w:ascii="Arial" w:hAnsi="Arial" w:cs="Arial"/>
        </w:rPr>
      </w:pPr>
      <w:r w:rsidRPr="00D61F73">
        <w:rPr>
          <w:rFonts w:ascii="Arial" w:hAnsi="Arial" w:cs="Arial"/>
        </w:rPr>
        <w:t>Rating: 1b</w:t>
      </w:r>
    </w:p>
    <w:p w14:paraId="32E34D5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rPr>
        <w:lastRenderedPageBreak/>
        <w:t xml:space="preserve"> </w:t>
      </w:r>
      <w:r w:rsidRPr="00D61F73">
        <w:rPr>
          <w:rFonts w:ascii="Arial" w:hAnsi="Arial" w:cs="Arial"/>
          <w:b/>
          <w:bCs/>
        </w:rPr>
        <w:t>M</w:t>
      </w:r>
      <w:bookmarkStart w:id="945" w:name="Medtronic"/>
      <w:bookmarkEnd w:id="945"/>
      <w:r w:rsidRPr="00D61F73">
        <w:rPr>
          <w:rFonts w:ascii="Arial" w:hAnsi="Arial" w:cs="Arial"/>
          <w:b/>
          <w:bCs/>
        </w:rPr>
        <w:t>edtronic, MDT Webpage, Indications for stimulator (medtronic) implantation, 2008</w:t>
      </w:r>
    </w:p>
    <w:p w14:paraId="551AD0E8" w14:textId="77777777" w:rsidR="008D0565" w:rsidRPr="00D61F73" w:rsidRDefault="008D0565" w:rsidP="00D61F73">
      <w:pPr>
        <w:rPr>
          <w:rFonts w:ascii="Arial" w:hAnsi="Arial" w:cs="Arial"/>
          <w:b/>
          <w:bCs/>
        </w:rPr>
      </w:pPr>
    </w:p>
    <w:p w14:paraId="00CD2702" w14:textId="77777777" w:rsidR="008D0565" w:rsidRPr="00D61F73" w:rsidRDefault="008D0565" w:rsidP="00D61F73">
      <w:pPr>
        <w:rPr>
          <w:rFonts w:ascii="Arial" w:hAnsi="Arial" w:cs="Arial"/>
        </w:rPr>
      </w:pPr>
      <w:r w:rsidRPr="00D61F73">
        <w:rPr>
          <w:rFonts w:ascii="Arial" w:hAnsi="Arial" w:cs="Arial"/>
        </w:rPr>
        <w:t>Rating: 5c</w:t>
      </w:r>
    </w:p>
    <w:p w14:paraId="595E1938" w14:textId="77777777" w:rsidR="008D0565" w:rsidRPr="00D61F73" w:rsidRDefault="008D0565" w:rsidP="00D61F73">
      <w:pPr>
        <w:rPr>
          <w:rFonts w:ascii="Arial" w:hAnsi="Arial" w:cs="Arial"/>
        </w:rPr>
      </w:pPr>
    </w:p>
    <w:p w14:paraId="09FA5A9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46" w:name="Mehrotra2006"/>
      <w:bookmarkEnd w:id="946"/>
      <w:r w:rsidRPr="00D61F73">
        <w:rPr>
          <w:rFonts w:ascii="Arial" w:hAnsi="Arial" w:cs="Arial"/>
          <w:b/>
          <w:bCs/>
        </w:rPr>
        <w:t xml:space="preserve">ehrotra B, Ruggiero S. Bisphosphonate complications including osteonecrosis of the jaw. </w:t>
      </w:r>
      <w:r w:rsidRPr="00D61F73">
        <w:rPr>
          <w:rFonts w:ascii="Arial" w:hAnsi="Arial" w:cs="Arial"/>
          <w:b/>
          <w:bCs/>
          <w:i/>
          <w:iCs/>
        </w:rPr>
        <w:t>Hematology Am Soc Hematol Educ Program</w:t>
      </w:r>
      <w:r w:rsidRPr="00D61F73">
        <w:rPr>
          <w:rFonts w:ascii="Arial" w:hAnsi="Arial" w:cs="Arial"/>
          <w:b/>
          <w:bCs/>
        </w:rPr>
        <w:t>. 2006:356-60, 515.</w:t>
      </w:r>
    </w:p>
    <w:p w14:paraId="6472A268" w14:textId="77777777" w:rsidR="008D0565" w:rsidRPr="00D61F73" w:rsidRDefault="008D0565" w:rsidP="00D61F73">
      <w:pPr>
        <w:rPr>
          <w:rFonts w:ascii="Arial" w:hAnsi="Arial" w:cs="Arial"/>
        </w:rPr>
      </w:pPr>
    </w:p>
    <w:p w14:paraId="1CCD4F2B" w14:textId="77777777" w:rsidR="008D0565" w:rsidRPr="00D61F73" w:rsidRDefault="008D0565" w:rsidP="00D61F73">
      <w:pPr>
        <w:rPr>
          <w:rFonts w:ascii="Arial" w:hAnsi="Arial" w:cs="Arial"/>
        </w:rPr>
      </w:pPr>
      <w:r w:rsidRPr="00D61F73">
        <w:rPr>
          <w:rFonts w:ascii="Arial" w:hAnsi="Arial" w:cs="Arial"/>
        </w:rPr>
        <w:t>Post-marketing experience with this class of agents, particularly the more potent intravenous agents pamidronate and zoledronic acid, have raised cautionary notes regarding the potential side effects.</w:t>
      </w:r>
    </w:p>
    <w:p w14:paraId="0B62E0DE" w14:textId="77777777" w:rsidR="008D0565" w:rsidRPr="00D61F73" w:rsidRDefault="008D0565" w:rsidP="00D61F73">
      <w:pPr>
        <w:rPr>
          <w:rFonts w:ascii="Arial" w:hAnsi="Arial" w:cs="Arial"/>
        </w:rPr>
      </w:pPr>
    </w:p>
    <w:p w14:paraId="6B59599F" w14:textId="77777777" w:rsidR="008D0565" w:rsidRPr="00D61F73" w:rsidRDefault="008D0565" w:rsidP="00D61F73">
      <w:pPr>
        <w:rPr>
          <w:rFonts w:ascii="Arial" w:hAnsi="Arial" w:cs="Arial"/>
        </w:rPr>
      </w:pPr>
      <w:r w:rsidRPr="00D61F73">
        <w:rPr>
          <w:rFonts w:ascii="Arial" w:hAnsi="Arial" w:cs="Arial"/>
        </w:rPr>
        <w:t xml:space="preserve">PMID: </w:t>
      </w:r>
      <w:hyperlink r:id="rId626" w:history="1">
        <w:r w:rsidRPr="00D61F73">
          <w:rPr>
            <w:rStyle w:val="Hyperlink"/>
            <w:rFonts w:ascii="Arial" w:hAnsi="Arial" w:cs="Arial"/>
          </w:rPr>
          <w:t>17124083</w:t>
        </w:r>
      </w:hyperlink>
    </w:p>
    <w:p w14:paraId="5DD012B5" w14:textId="77777777" w:rsidR="008D0565" w:rsidRPr="00D61F73" w:rsidRDefault="008D0565" w:rsidP="00D61F73">
      <w:pPr>
        <w:rPr>
          <w:rFonts w:ascii="Arial" w:hAnsi="Arial" w:cs="Arial"/>
        </w:rPr>
      </w:pPr>
    </w:p>
    <w:p w14:paraId="126AA3F7" w14:textId="77777777" w:rsidR="008D0565" w:rsidRPr="00D61F73" w:rsidRDefault="008D0565" w:rsidP="00D61F73">
      <w:pPr>
        <w:rPr>
          <w:rFonts w:ascii="Arial" w:hAnsi="Arial" w:cs="Arial"/>
        </w:rPr>
      </w:pPr>
      <w:r w:rsidRPr="00D61F73">
        <w:rPr>
          <w:rFonts w:ascii="Arial" w:hAnsi="Arial" w:cs="Arial"/>
        </w:rPr>
        <w:t>Rating: 5b</w:t>
      </w:r>
    </w:p>
    <w:p w14:paraId="2020F80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47" w:name="Meier2013"/>
      <w:bookmarkEnd w:id="947"/>
      <w:r w:rsidRPr="00D61F73">
        <w:rPr>
          <w:rFonts w:ascii="Arial" w:hAnsi="Arial" w:cs="Arial"/>
          <w:b/>
          <w:bCs/>
        </w:rPr>
        <w:t>eier MH, Murray RM. Cannabis Use in Teens Linked to Irreparable Drop in IQ. 14th International Congress on Schizophrenia Research (ICOSR). Abstract S267. Presented April 25, 2013.</w:t>
      </w:r>
    </w:p>
    <w:p w14:paraId="2BD7C7FC" w14:textId="77777777" w:rsidR="008D0565" w:rsidRPr="00D61F73" w:rsidRDefault="008D0565" w:rsidP="00D61F73">
      <w:pPr>
        <w:rPr>
          <w:rFonts w:ascii="Arial" w:hAnsi="Arial" w:cs="Arial"/>
        </w:rPr>
      </w:pPr>
    </w:p>
    <w:p w14:paraId="101FE52B" w14:textId="77777777" w:rsidR="008D0565" w:rsidRPr="00D61F73" w:rsidRDefault="008D0565" w:rsidP="00D61F73">
      <w:pPr>
        <w:rPr>
          <w:rFonts w:ascii="Arial" w:hAnsi="Arial" w:cs="Arial"/>
        </w:rPr>
      </w:pPr>
      <w:r w:rsidRPr="00D61F73">
        <w:rPr>
          <w:rFonts w:ascii="Arial" w:hAnsi="Arial" w:cs="Arial"/>
        </w:rPr>
        <w:t>Rating: 10a</w:t>
      </w:r>
    </w:p>
    <w:p w14:paraId="32A75533" w14:textId="77777777" w:rsidR="008D0565" w:rsidRPr="00D61F73" w:rsidRDefault="008D0565" w:rsidP="00D61F73">
      <w:pPr>
        <w:rPr>
          <w:rFonts w:ascii="Arial" w:hAnsi="Arial" w:cs="Arial"/>
        </w:rPr>
      </w:pPr>
    </w:p>
    <w:p w14:paraId="587C504E"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Me</w:t>
      </w:r>
      <w:bookmarkStart w:id="948" w:name="Melhorn"/>
      <w:bookmarkEnd w:id="948"/>
      <w:r w:rsidRPr="00D61F73">
        <w:rPr>
          <w:rFonts w:ascii="Arial" w:hAnsi="Arial" w:cs="Arial"/>
          <w:b/>
          <w:bCs/>
        </w:rPr>
        <w:t xml:space="preserve">lhorn JM. Workers' compensation: avoiding work-related disability. </w:t>
      </w:r>
      <w:r w:rsidRPr="00D61F73">
        <w:rPr>
          <w:rFonts w:ascii="Arial" w:hAnsi="Arial" w:cs="Arial"/>
          <w:b/>
          <w:bCs/>
          <w:i/>
          <w:iCs/>
        </w:rPr>
        <w:t>J Bone Joint Surg Am.</w:t>
      </w:r>
      <w:r w:rsidRPr="00D61F73">
        <w:rPr>
          <w:rFonts w:ascii="Arial" w:hAnsi="Arial" w:cs="Arial"/>
          <w:b/>
          <w:bCs/>
        </w:rPr>
        <w:t xml:space="preserve"> 2000 Oct;82-A(10):1490-3.</w:t>
      </w:r>
    </w:p>
    <w:p w14:paraId="3421A4D1" w14:textId="77777777" w:rsidR="008D0565" w:rsidRPr="00D61F73" w:rsidRDefault="008D0565" w:rsidP="00D61F73">
      <w:pPr>
        <w:rPr>
          <w:rFonts w:ascii="Arial" w:hAnsi="Arial" w:cs="Arial"/>
        </w:rPr>
      </w:pPr>
    </w:p>
    <w:p w14:paraId="09BCAFA9" w14:textId="77777777" w:rsidR="008D0565" w:rsidRPr="00D61F73" w:rsidRDefault="008D0565" w:rsidP="00D61F73">
      <w:pPr>
        <w:rPr>
          <w:rFonts w:ascii="Arial" w:hAnsi="Arial" w:cs="Arial"/>
        </w:rPr>
      </w:pPr>
      <w:r w:rsidRPr="00D61F73">
        <w:rPr>
          <w:rFonts w:ascii="Arial" w:hAnsi="Arial" w:cs="Arial"/>
        </w:rPr>
        <w:t>The Hand Center, Wichita, Kansas 67208-4510, USA.</w:t>
      </w:r>
    </w:p>
    <w:p w14:paraId="26AB8FAF" w14:textId="77777777" w:rsidR="008D0565" w:rsidRPr="00D61F73" w:rsidRDefault="008D0565" w:rsidP="00D61F73">
      <w:pPr>
        <w:rPr>
          <w:rFonts w:ascii="Arial" w:hAnsi="Arial" w:cs="Arial"/>
        </w:rPr>
      </w:pPr>
    </w:p>
    <w:p w14:paraId="1EB3E346" w14:textId="77777777" w:rsidR="008D0565" w:rsidRPr="00D61F73" w:rsidRDefault="008D0565" w:rsidP="00D61F73">
      <w:pPr>
        <w:rPr>
          <w:rFonts w:ascii="Arial" w:hAnsi="Arial" w:cs="Arial"/>
        </w:rPr>
      </w:pPr>
      <w:r w:rsidRPr="00D61F73">
        <w:rPr>
          <w:rFonts w:ascii="Arial" w:hAnsi="Arial" w:cs="Arial"/>
        </w:rPr>
        <w:t xml:space="preserve">PMID: </w:t>
      </w:r>
      <w:hyperlink r:id="rId627" w:history="1">
        <w:r w:rsidRPr="00D61F73">
          <w:rPr>
            <w:rStyle w:val="Hyperlink"/>
            <w:rFonts w:ascii="Arial" w:hAnsi="Arial" w:cs="Arial"/>
          </w:rPr>
          <w:t>11057476</w:t>
        </w:r>
      </w:hyperlink>
      <w:r w:rsidRPr="00D61F73">
        <w:rPr>
          <w:rFonts w:ascii="Arial" w:hAnsi="Arial" w:cs="Arial"/>
        </w:rPr>
        <w:t xml:space="preserve"> </w:t>
      </w:r>
    </w:p>
    <w:p w14:paraId="7622BED5" w14:textId="77777777" w:rsidR="008D0565" w:rsidRPr="00D61F73" w:rsidRDefault="008D0565" w:rsidP="00D61F73">
      <w:pPr>
        <w:rPr>
          <w:rFonts w:ascii="Arial" w:hAnsi="Arial" w:cs="Arial"/>
        </w:rPr>
      </w:pPr>
    </w:p>
    <w:p w14:paraId="2DFFD96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49" w:name="Mellin"/>
      <w:bookmarkEnd w:id="949"/>
      <w:r w:rsidRPr="00D61F73">
        <w:rPr>
          <w:rFonts w:ascii="Arial" w:hAnsi="Arial" w:cs="Arial"/>
          <w:b/>
        </w:rPr>
        <w:t xml:space="preserve">ellin G, Härkäpää K, Hurri H, Järvikoski A. A controlled study on the outcome of inpatient and outpatient treatment of low back pain. Part IV. Long-term effects on physical measurements. </w:t>
      </w:r>
      <w:r w:rsidRPr="00D61F73">
        <w:rPr>
          <w:rFonts w:ascii="Arial" w:hAnsi="Arial" w:cs="Arial"/>
          <w:b/>
          <w:i/>
        </w:rPr>
        <w:t>Scand J Rehabil Med</w:t>
      </w:r>
      <w:r w:rsidRPr="00D61F73">
        <w:rPr>
          <w:rFonts w:ascii="Arial" w:hAnsi="Arial" w:cs="Arial"/>
          <w:b/>
        </w:rPr>
        <w:t>. 1990;22:189-94.</w:t>
      </w:r>
    </w:p>
    <w:p w14:paraId="4B433C93" w14:textId="77777777" w:rsidR="008D0565" w:rsidRPr="00D61F73" w:rsidRDefault="008D0565" w:rsidP="00D61F73">
      <w:pPr>
        <w:rPr>
          <w:rFonts w:ascii="Arial" w:hAnsi="Arial" w:cs="Arial"/>
          <w:b/>
        </w:rPr>
      </w:pPr>
    </w:p>
    <w:p w14:paraId="6D77A12D" w14:textId="77777777" w:rsidR="008D0565" w:rsidRPr="00D61F73" w:rsidRDefault="008D0565" w:rsidP="00D61F73">
      <w:pPr>
        <w:rPr>
          <w:rFonts w:ascii="Arial" w:hAnsi="Arial" w:cs="Arial"/>
        </w:rPr>
      </w:pPr>
      <w:r w:rsidRPr="00D61F73">
        <w:rPr>
          <w:rFonts w:ascii="Arial" w:hAnsi="Arial" w:cs="Arial"/>
        </w:rPr>
        <w:t>Statistically significant but modest correlations were found between improved physical functions and subjective progress during the long-term follow-ups.</w:t>
      </w:r>
    </w:p>
    <w:p w14:paraId="216F2A05" w14:textId="77777777" w:rsidR="008D0565" w:rsidRPr="00D61F73" w:rsidRDefault="008D0565" w:rsidP="00D61F73">
      <w:pPr>
        <w:rPr>
          <w:rFonts w:ascii="Arial" w:hAnsi="Arial" w:cs="Arial"/>
        </w:rPr>
      </w:pPr>
    </w:p>
    <w:p w14:paraId="40ABC03B" w14:textId="77777777" w:rsidR="008D0565" w:rsidRPr="00D61F73" w:rsidRDefault="008D0565" w:rsidP="00D61F73">
      <w:pPr>
        <w:rPr>
          <w:rFonts w:ascii="Arial" w:hAnsi="Arial" w:cs="Arial"/>
        </w:rPr>
      </w:pPr>
      <w:r w:rsidRPr="00D61F73">
        <w:rPr>
          <w:rFonts w:ascii="Arial" w:hAnsi="Arial" w:cs="Arial"/>
        </w:rPr>
        <w:t xml:space="preserve">PMID: </w:t>
      </w:r>
      <w:hyperlink r:id="rId628" w:history="1">
        <w:r w:rsidRPr="00D61F73">
          <w:rPr>
            <w:rStyle w:val="Hyperlink"/>
            <w:rFonts w:ascii="Arial" w:hAnsi="Arial" w:cs="Arial"/>
          </w:rPr>
          <w:t>2148222</w:t>
        </w:r>
      </w:hyperlink>
    </w:p>
    <w:p w14:paraId="17FA7D0A" w14:textId="77777777" w:rsidR="008D0565" w:rsidRPr="00D61F73" w:rsidRDefault="008D0565" w:rsidP="00D61F73">
      <w:pPr>
        <w:rPr>
          <w:rFonts w:ascii="Arial" w:hAnsi="Arial" w:cs="Arial"/>
        </w:rPr>
      </w:pPr>
    </w:p>
    <w:p w14:paraId="7F9BA7CB" w14:textId="77777777" w:rsidR="008D0565" w:rsidRPr="00D61F73" w:rsidRDefault="008D0565" w:rsidP="00D61F73">
      <w:pPr>
        <w:rPr>
          <w:rFonts w:ascii="Arial" w:hAnsi="Arial" w:cs="Arial"/>
        </w:rPr>
      </w:pPr>
      <w:r w:rsidRPr="00D61F73">
        <w:rPr>
          <w:rFonts w:ascii="Arial" w:hAnsi="Arial" w:cs="Arial"/>
        </w:rPr>
        <w:t>Rating: 2c</w:t>
      </w:r>
    </w:p>
    <w:p w14:paraId="11811BAC"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M</w:t>
      </w:r>
      <w:bookmarkStart w:id="950" w:name="Menigaux"/>
      <w:bookmarkEnd w:id="950"/>
      <w:r w:rsidRPr="00D61F73">
        <w:rPr>
          <w:rFonts w:ascii="Arial" w:hAnsi="Arial" w:cs="Arial"/>
          <w:b/>
          <w:bCs/>
        </w:rPr>
        <w:t xml:space="preserve">enigaux C, Adam F, Guignard B, Sessler DI, Chauvin M. Preoperative gabapentin decreases anxiety and improves early functional recovery from knee surgery. </w:t>
      </w:r>
      <w:r w:rsidRPr="00D61F73">
        <w:rPr>
          <w:rFonts w:ascii="Arial" w:hAnsi="Arial" w:cs="Arial"/>
          <w:b/>
          <w:bCs/>
          <w:i/>
        </w:rPr>
        <w:t>Anesth Analg</w:t>
      </w:r>
      <w:r w:rsidRPr="00D61F73">
        <w:rPr>
          <w:rFonts w:ascii="Arial" w:hAnsi="Arial" w:cs="Arial"/>
          <w:b/>
          <w:bCs/>
        </w:rPr>
        <w:t>. 2005 May;100(5):1394-9, table of contents.</w:t>
      </w:r>
    </w:p>
    <w:p w14:paraId="210F51F4" w14:textId="77777777" w:rsidR="008D0565" w:rsidRPr="00D61F73" w:rsidRDefault="008D0565" w:rsidP="00D61F73">
      <w:pPr>
        <w:rPr>
          <w:rFonts w:ascii="Arial" w:hAnsi="Arial" w:cs="Arial"/>
        </w:rPr>
      </w:pPr>
    </w:p>
    <w:p w14:paraId="63C7C785" w14:textId="77777777" w:rsidR="008D0565" w:rsidRPr="00D61F73" w:rsidRDefault="008D0565" w:rsidP="00D61F73">
      <w:pPr>
        <w:rPr>
          <w:rFonts w:ascii="Arial" w:hAnsi="Arial" w:cs="Arial"/>
        </w:rPr>
      </w:pPr>
      <w:r w:rsidRPr="00D61F73">
        <w:rPr>
          <w:rFonts w:ascii="Arial" w:hAnsi="Arial" w:cs="Arial"/>
        </w:rPr>
        <w:t>In conclusion, premedication with 1200 mg gabapentin improved preoperative anxiolysis, postoperative analgesia, and early knee mobilization after arthroscopic anterior cruciate ligament repair.</w:t>
      </w:r>
    </w:p>
    <w:p w14:paraId="023E16E8" w14:textId="77777777" w:rsidR="008D0565" w:rsidRPr="00D61F73" w:rsidRDefault="008D0565" w:rsidP="00D61F73">
      <w:pPr>
        <w:rPr>
          <w:rFonts w:ascii="Arial" w:hAnsi="Arial" w:cs="Arial"/>
        </w:rPr>
      </w:pPr>
    </w:p>
    <w:p w14:paraId="230170BD" w14:textId="77777777" w:rsidR="008D0565" w:rsidRPr="00D61F73" w:rsidRDefault="008D0565" w:rsidP="00D61F73">
      <w:pPr>
        <w:rPr>
          <w:rFonts w:ascii="Arial" w:hAnsi="Arial" w:cs="Arial"/>
        </w:rPr>
      </w:pPr>
      <w:r w:rsidRPr="00D61F73">
        <w:rPr>
          <w:rFonts w:ascii="Arial" w:hAnsi="Arial" w:cs="Arial"/>
        </w:rPr>
        <w:t xml:space="preserve">PMID: </w:t>
      </w:r>
      <w:hyperlink r:id="rId629" w:history="1">
        <w:r w:rsidRPr="00D61F73">
          <w:rPr>
            <w:rStyle w:val="Hyperlink"/>
            <w:rFonts w:ascii="Arial" w:hAnsi="Arial" w:cs="Arial"/>
          </w:rPr>
          <w:t>15845693</w:t>
        </w:r>
      </w:hyperlink>
      <w:r w:rsidRPr="00D61F73">
        <w:rPr>
          <w:rFonts w:ascii="Arial" w:hAnsi="Arial" w:cs="Arial"/>
        </w:rPr>
        <w:t xml:space="preserve"> </w:t>
      </w:r>
    </w:p>
    <w:p w14:paraId="094ECDD2" w14:textId="77777777" w:rsidR="008D0565" w:rsidRPr="00D61F73" w:rsidRDefault="008D0565" w:rsidP="00D61F73">
      <w:pPr>
        <w:rPr>
          <w:rFonts w:ascii="Arial" w:hAnsi="Arial" w:cs="Arial"/>
        </w:rPr>
      </w:pPr>
    </w:p>
    <w:p w14:paraId="2F3A9C86" w14:textId="77777777" w:rsidR="008D0565" w:rsidRPr="00D61F73" w:rsidRDefault="008D0565" w:rsidP="00D61F73">
      <w:pPr>
        <w:rPr>
          <w:rFonts w:ascii="Arial" w:hAnsi="Arial" w:cs="Arial"/>
        </w:rPr>
      </w:pPr>
      <w:r w:rsidRPr="00D61F73">
        <w:rPr>
          <w:rFonts w:ascii="Arial" w:hAnsi="Arial" w:cs="Arial"/>
        </w:rPr>
        <w:t>Rating: 2b</w:t>
      </w:r>
    </w:p>
    <w:p w14:paraId="76939319" w14:textId="77777777" w:rsidR="00492B38" w:rsidRPr="00D61F73" w:rsidRDefault="00492B38" w:rsidP="00D61F73">
      <w:pPr>
        <w:pStyle w:val="BodyText"/>
        <w:rPr>
          <w:rFonts w:ascii="Arial" w:hAnsi="Arial" w:cs="Arial"/>
        </w:rPr>
      </w:pPr>
      <w:r w:rsidRPr="00D61F73">
        <w:rPr>
          <w:rFonts w:ascii="Arial" w:hAnsi="Arial" w:cs="Arial"/>
        </w:rPr>
        <w:br w:type="page"/>
      </w:r>
      <w:bookmarkStart w:id="951" w:name="Mueller2015"/>
      <w:r w:rsidRPr="00D61F73">
        <w:rPr>
          <w:rFonts w:ascii="Arial" w:hAnsi="Arial" w:cs="Arial"/>
        </w:rPr>
        <w:lastRenderedPageBreak/>
        <w:t>Mueller SR</w:t>
      </w:r>
      <w:bookmarkEnd w:id="951"/>
      <w:r w:rsidRPr="00D61F73">
        <w:rPr>
          <w:rFonts w:ascii="Arial" w:hAnsi="Arial" w:cs="Arial"/>
        </w:rPr>
        <w:t>, Walley AY, Calcaterra SL, Glanz JM, Binswanger IA. A Review of Opioid Overdose Prevention and Naloxone Prescribing: Implications for Translating Community Programming into Clinical Practice. Subst Abus. 2015:0.</w:t>
      </w:r>
    </w:p>
    <w:p w14:paraId="167F1ECB" w14:textId="77777777" w:rsidR="00492B38" w:rsidRPr="00D61F73" w:rsidRDefault="00492B38" w:rsidP="00D61F73">
      <w:pPr>
        <w:pStyle w:val="BodyText"/>
        <w:rPr>
          <w:rFonts w:ascii="Arial" w:hAnsi="Arial" w:cs="Arial"/>
        </w:rPr>
      </w:pPr>
    </w:p>
    <w:p w14:paraId="25CD1D33" w14:textId="77777777" w:rsidR="00492B38" w:rsidRPr="00D61F73" w:rsidRDefault="00492B38" w:rsidP="00D61F73">
      <w:pPr>
        <w:pStyle w:val="BodyText"/>
        <w:rPr>
          <w:rFonts w:ascii="Arial" w:hAnsi="Arial" w:cs="Arial"/>
          <w:b w:val="0"/>
        </w:rPr>
      </w:pPr>
      <w:r w:rsidRPr="00D61F73">
        <w:rPr>
          <w:rFonts w:ascii="Arial" w:hAnsi="Arial" w:cs="Arial"/>
          <w:b w:val="0"/>
        </w:rPr>
        <w:t>PMID:</w:t>
      </w:r>
      <w:hyperlink r:id="rId630" w:history="1">
        <w:r w:rsidRPr="00D61F73">
          <w:rPr>
            <w:rStyle w:val="Hyperlink"/>
            <w:rFonts w:ascii="Arial" w:hAnsi="Arial" w:cs="Arial"/>
            <w:b w:val="0"/>
          </w:rPr>
          <w:t xml:space="preserve"> 25774771</w:t>
        </w:r>
      </w:hyperlink>
    </w:p>
    <w:p w14:paraId="48E603FF" w14:textId="77777777" w:rsidR="00492B38" w:rsidRPr="00D61F73" w:rsidRDefault="00492B38" w:rsidP="00D61F73">
      <w:pPr>
        <w:pStyle w:val="BodyText"/>
        <w:rPr>
          <w:rFonts w:ascii="Arial" w:hAnsi="Arial" w:cs="Arial"/>
          <w:b w:val="0"/>
        </w:rPr>
      </w:pPr>
    </w:p>
    <w:p w14:paraId="3B3418A4" w14:textId="77777777" w:rsidR="00492B38" w:rsidRPr="00D61F73" w:rsidRDefault="00492B38" w:rsidP="00D61F73">
      <w:pPr>
        <w:pStyle w:val="BodyText"/>
        <w:rPr>
          <w:rFonts w:ascii="Arial" w:hAnsi="Arial" w:cs="Arial"/>
          <w:b w:val="0"/>
        </w:rPr>
      </w:pPr>
      <w:r w:rsidRPr="00D61F73">
        <w:rPr>
          <w:rFonts w:ascii="Arial" w:hAnsi="Arial" w:cs="Arial"/>
          <w:b w:val="0"/>
        </w:rPr>
        <w:t>Rating: 5c</w:t>
      </w:r>
    </w:p>
    <w:p w14:paraId="58A21E99" w14:textId="77777777" w:rsidR="00492B38" w:rsidRPr="00D61F73" w:rsidRDefault="00492B38" w:rsidP="00D61F73">
      <w:pPr>
        <w:pStyle w:val="BodyText"/>
        <w:rPr>
          <w:rFonts w:ascii="Arial" w:hAnsi="Arial" w:cs="Arial"/>
        </w:rPr>
      </w:pPr>
    </w:p>
    <w:p w14:paraId="5E7CB74F"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M</w:t>
      </w:r>
      <w:bookmarkStart w:id="952" w:name="Miller"/>
      <w:bookmarkEnd w:id="952"/>
      <w:r w:rsidRPr="00D61F73">
        <w:rPr>
          <w:rFonts w:ascii="Arial" w:hAnsi="Arial" w:cs="Arial"/>
        </w:rPr>
        <w:t xml:space="preserve">iller L, Mattison P, Paul L, Wood L. The effects of transcutaneous electrical nerve stimulation (TENS) on spasticity in multiple sclerosis. </w:t>
      </w:r>
      <w:r w:rsidRPr="00D61F73">
        <w:rPr>
          <w:rFonts w:ascii="Arial" w:hAnsi="Arial" w:cs="Arial"/>
          <w:i/>
          <w:iCs/>
        </w:rPr>
        <w:t xml:space="preserve">Mult Scler. </w:t>
      </w:r>
      <w:r w:rsidRPr="00D61F73">
        <w:rPr>
          <w:rFonts w:ascii="Arial" w:hAnsi="Arial" w:cs="Arial"/>
        </w:rPr>
        <w:t xml:space="preserve">2007 May;13(4):527-33. Epub 2007 Jan 29. </w:t>
      </w:r>
    </w:p>
    <w:p w14:paraId="719148D5" w14:textId="77777777" w:rsidR="008D0565" w:rsidRPr="00D61F73" w:rsidRDefault="008D0565" w:rsidP="00D61F73">
      <w:pPr>
        <w:rPr>
          <w:rFonts w:ascii="Arial" w:hAnsi="Arial" w:cs="Arial"/>
          <w:b/>
        </w:rPr>
      </w:pPr>
    </w:p>
    <w:p w14:paraId="6DA40C3C" w14:textId="77777777" w:rsidR="008D0565" w:rsidRPr="00D61F73" w:rsidRDefault="008D0565" w:rsidP="00D61F73">
      <w:pPr>
        <w:rPr>
          <w:rFonts w:ascii="Arial" w:hAnsi="Arial" w:cs="Arial"/>
        </w:rPr>
      </w:pPr>
      <w:r w:rsidRPr="00D61F73">
        <w:rPr>
          <w:rFonts w:ascii="Arial" w:hAnsi="Arial" w:cs="Arial"/>
        </w:rPr>
        <w:t>Thus, this study suggests that, whilst TENS does not appear to be effective in reducing spasticity, longer applications may be useful in treating MS patients with pain and muscle spasm.</w:t>
      </w:r>
    </w:p>
    <w:p w14:paraId="4976598D" w14:textId="77777777" w:rsidR="008D0565" w:rsidRPr="00D61F73" w:rsidRDefault="008D0565" w:rsidP="00D61F73">
      <w:pPr>
        <w:rPr>
          <w:rFonts w:ascii="Arial" w:hAnsi="Arial" w:cs="Arial"/>
        </w:rPr>
      </w:pPr>
    </w:p>
    <w:p w14:paraId="5C564485" w14:textId="77777777" w:rsidR="008D0565" w:rsidRPr="00D61F73" w:rsidRDefault="008D0565" w:rsidP="00D61F73">
      <w:pPr>
        <w:rPr>
          <w:rFonts w:ascii="Arial" w:hAnsi="Arial" w:cs="Arial"/>
        </w:rPr>
      </w:pPr>
      <w:r w:rsidRPr="00D61F73">
        <w:rPr>
          <w:rFonts w:ascii="Arial" w:hAnsi="Arial" w:cs="Arial"/>
        </w:rPr>
        <w:t xml:space="preserve">PMID: </w:t>
      </w:r>
      <w:hyperlink r:id="rId631" w:history="1">
        <w:r w:rsidRPr="00D61F73">
          <w:rPr>
            <w:rStyle w:val="Hyperlink"/>
            <w:rFonts w:ascii="Arial" w:hAnsi="Arial" w:cs="Arial"/>
          </w:rPr>
          <w:t>17463075</w:t>
        </w:r>
      </w:hyperlink>
    </w:p>
    <w:p w14:paraId="748F9B66" w14:textId="77777777" w:rsidR="008D0565" w:rsidRPr="00D61F73" w:rsidRDefault="008D0565" w:rsidP="00D61F73">
      <w:pPr>
        <w:rPr>
          <w:rFonts w:ascii="Arial" w:hAnsi="Arial" w:cs="Arial"/>
        </w:rPr>
      </w:pPr>
    </w:p>
    <w:p w14:paraId="44498646" w14:textId="77777777" w:rsidR="008D0565" w:rsidRPr="00D61F73" w:rsidRDefault="008D0565" w:rsidP="00D61F73">
      <w:pPr>
        <w:rPr>
          <w:rFonts w:ascii="Arial" w:hAnsi="Arial" w:cs="Arial"/>
        </w:rPr>
      </w:pPr>
      <w:r w:rsidRPr="00D61F73">
        <w:rPr>
          <w:rFonts w:ascii="Arial" w:hAnsi="Arial" w:cs="Arial"/>
        </w:rPr>
        <w:t>Rating: 2b</w:t>
      </w:r>
    </w:p>
    <w:p w14:paraId="53B10CC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53" w:name="Miner2010"/>
      <w:bookmarkEnd w:id="953"/>
      <w:r w:rsidRPr="00D61F73">
        <w:rPr>
          <w:rFonts w:ascii="Arial" w:hAnsi="Arial" w:cs="Arial"/>
          <w:b/>
          <w:bCs/>
        </w:rPr>
        <w:t xml:space="preserve">iner PB Jr, McKean LA, Gibb RD, Erasala GN, Ramsey DL, McRorie JW. Omeprazole-Mg 20.6 mg is superior to lansoprazole 15 mg for control of gastric acid: a comparison of over-the-counter doses of proton pump inhibitors. </w:t>
      </w:r>
      <w:r w:rsidRPr="00D61F73">
        <w:rPr>
          <w:rFonts w:ascii="Arial" w:hAnsi="Arial" w:cs="Arial"/>
          <w:b/>
          <w:bCs/>
          <w:i/>
          <w:iCs/>
        </w:rPr>
        <w:t>Aliment Pharmacol Ther.</w:t>
      </w:r>
      <w:r w:rsidRPr="00D61F73">
        <w:rPr>
          <w:rFonts w:ascii="Arial" w:hAnsi="Arial" w:cs="Arial"/>
          <w:b/>
          <w:bCs/>
        </w:rPr>
        <w:t xml:space="preserve"> 2010 Apr;31(8):846-51. Epub 2010 Feb 8.</w:t>
      </w:r>
    </w:p>
    <w:p w14:paraId="4A436CCE" w14:textId="77777777" w:rsidR="008D0565" w:rsidRPr="00D61F73" w:rsidRDefault="008D0565" w:rsidP="00D61F73">
      <w:pPr>
        <w:rPr>
          <w:rFonts w:ascii="Arial" w:hAnsi="Arial" w:cs="Arial"/>
        </w:rPr>
      </w:pPr>
    </w:p>
    <w:p w14:paraId="17B1FE1E" w14:textId="77777777" w:rsidR="008D0565" w:rsidRPr="00D61F73" w:rsidRDefault="008D0565" w:rsidP="00D61F73">
      <w:pPr>
        <w:rPr>
          <w:rFonts w:ascii="Arial" w:hAnsi="Arial" w:cs="Arial"/>
        </w:rPr>
      </w:pPr>
      <w:r w:rsidRPr="00D61F73">
        <w:rPr>
          <w:rFonts w:ascii="Arial" w:hAnsi="Arial" w:cs="Arial"/>
        </w:rPr>
        <w:t>CONCLUSION: Omeprazole-Mg 20.6 mg provided a statistically significantly (P &lt; 0.0001) greater acid control than lansoprazole 15 mg.</w:t>
      </w:r>
    </w:p>
    <w:p w14:paraId="226E923A" w14:textId="77777777" w:rsidR="008D0565" w:rsidRPr="00D61F73" w:rsidRDefault="008D0565" w:rsidP="00D61F73">
      <w:pPr>
        <w:rPr>
          <w:rFonts w:ascii="Arial" w:hAnsi="Arial" w:cs="Arial"/>
        </w:rPr>
      </w:pPr>
    </w:p>
    <w:p w14:paraId="06EC7FEF" w14:textId="77777777" w:rsidR="008D0565" w:rsidRPr="00D61F73" w:rsidRDefault="008D0565" w:rsidP="00D61F73">
      <w:pPr>
        <w:rPr>
          <w:rFonts w:ascii="Arial" w:hAnsi="Arial" w:cs="Arial"/>
        </w:rPr>
      </w:pPr>
      <w:r w:rsidRPr="00D61F73">
        <w:rPr>
          <w:rFonts w:ascii="Arial" w:hAnsi="Arial" w:cs="Arial"/>
        </w:rPr>
        <w:t xml:space="preserve">PMID: </w:t>
      </w:r>
      <w:hyperlink r:id="rId632" w:history="1">
        <w:r w:rsidRPr="00D61F73">
          <w:rPr>
            <w:rStyle w:val="Hyperlink"/>
            <w:rFonts w:ascii="Arial" w:hAnsi="Arial" w:cs="Arial"/>
          </w:rPr>
          <w:t>20146702</w:t>
        </w:r>
      </w:hyperlink>
      <w:r w:rsidRPr="00D61F73">
        <w:rPr>
          <w:rFonts w:ascii="Arial" w:hAnsi="Arial" w:cs="Arial"/>
        </w:rPr>
        <w:t xml:space="preserve"> </w:t>
      </w:r>
    </w:p>
    <w:p w14:paraId="39F4A487" w14:textId="77777777" w:rsidR="008D0565" w:rsidRPr="00D61F73" w:rsidRDefault="008D0565" w:rsidP="00D61F73">
      <w:pPr>
        <w:rPr>
          <w:rFonts w:ascii="Arial" w:hAnsi="Arial" w:cs="Arial"/>
        </w:rPr>
      </w:pPr>
    </w:p>
    <w:p w14:paraId="7958AB6D" w14:textId="77777777" w:rsidR="008D0565" w:rsidRPr="00D61F73" w:rsidRDefault="008D0565" w:rsidP="00D61F73">
      <w:pPr>
        <w:rPr>
          <w:rFonts w:ascii="Arial" w:hAnsi="Arial" w:cs="Arial"/>
        </w:rPr>
      </w:pPr>
      <w:r w:rsidRPr="00D61F73">
        <w:rPr>
          <w:rFonts w:ascii="Arial" w:hAnsi="Arial" w:cs="Arial"/>
        </w:rPr>
        <w:t>Rating: 2b</w:t>
      </w:r>
    </w:p>
    <w:p w14:paraId="59B5736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54" w:name="Mitchinson"/>
      <w:bookmarkEnd w:id="954"/>
      <w:r w:rsidRPr="00D61F73">
        <w:rPr>
          <w:rFonts w:ascii="Arial" w:hAnsi="Arial" w:cs="Arial"/>
          <w:b/>
          <w:bCs/>
        </w:rPr>
        <w:t xml:space="preserve">itchinson AR, Kim HM, Rosenberg JM, Geisser M, Kirsh M, Cikrit D, Hinshaw DB. Acute postoperative pain management using massage as an adjuvant therapy: a randomized trial. </w:t>
      </w:r>
      <w:r w:rsidRPr="00D61F73">
        <w:rPr>
          <w:rFonts w:ascii="Arial" w:hAnsi="Arial" w:cs="Arial"/>
          <w:b/>
          <w:bCs/>
          <w:i/>
          <w:iCs/>
        </w:rPr>
        <w:t>Arch Surg.</w:t>
      </w:r>
      <w:r w:rsidRPr="00D61F73">
        <w:rPr>
          <w:rFonts w:ascii="Arial" w:hAnsi="Arial" w:cs="Arial"/>
          <w:b/>
          <w:bCs/>
        </w:rPr>
        <w:t xml:space="preserve"> 2007 Dec;142(12):1158-67.</w:t>
      </w:r>
    </w:p>
    <w:p w14:paraId="2118109B" w14:textId="77777777" w:rsidR="008D0565" w:rsidRPr="00D61F73" w:rsidRDefault="008D0565" w:rsidP="00D61F73">
      <w:pPr>
        <w:rPr>
          <w:rFonts w:ascii="Arial" w:hAnsi="Arial" w:cs="Arial"/>
        </w:rPr>
      </w:pPr>
    </w:p>
    <w:p w14:paraId="3341BEE9" w14:textId="77777777" w:rsidR="008D0565" w:rsidRPr="00D61F73" w:rsidRDefault="008D0565" w:rsidP="00D61F73">
      <w:pPr>
        <w:rPr>
          <w:rFonts w:ascii="Arial" w:hAnsi="Arial" w:cs="Arial"/>
        </w:rPr>
      </w:pPr>
      <w:r w:rsidRPr="00D61F73">
        <w:rPr>
          <w:rFonts w:ascii="Arial" w:hAnsi="Arial" w:cs="Arial"/>
        </w:rPr>
        <w:t>CONCLUSION: Massage is an effective and safe adjuvant therapy for the relief of acute postoperative pain in patients undergoing major operations.</w:t>
      </w:r>
    </w:p>
    <w:p w14:paraId="7C45B7C0" w14:textId="77777777" w:rsidR="008D0565" w:rsidRPr="00D61F73" w:rsidRDefault="008D0565" w:rsidP="00D61F73">
      <w:pPr>
        <w:rPr>
          <w:rFonts w:ascii="Arial" w:hAnsi="Arial" w:cs="Arial"/>
        </w:rPr>
      </w:pPr>
    </w:p>
    <w:p w14:paraId="19A7290E" w14:textId="77777777" w:rsidR="008D0565" w:rsidRPr="00D61F73" w:rsidRDefault="008D0565" w:rsidP="00D61F73">
      <w:pPr>
        <w:rPr>
          <w:rFonts w:ascii="Arial" w:hAnsi="Arial" w:cs="Arial"/>
        </w:rPr>
      </w:pPr>
      <w:r w:rsidRPr="00D61F73">
        <w:rPr>
          <w:rFonts w:ascii="Arial" w:hAnsi="Arial" w:cs="Arial"/>
        </w:rPr>
        <w:t xml:space="preserve">PMID: </w:t>
      </w:r>
      <w:hyperlink r:id="rId633" w:history="1">
        <w:r w:rsidRPr="00D61F73">
          <w:rPr>
            <w:rStyle w:val="Hyperlink"/>
            <w:rFonts w:ascii="Arial" w:hAnsi="Arial" w:cs="Arial"/>
          </w:rPr>
          <w:t>18086982</w:t>
        </w:r>
      </w:hyperlink>
      <w:r w:rsidRPr="00D61F73">
        <w:rPr>
          <w:rFonts w:ascii="Arial" w:hAnsi="Arial" w:cs="Arial"/>
        </w:rPr>
        <w:t xml:space="preserve"> </w:t>
      </w:r>
    </w:p>
    <w:p w14:paraId="3CDEAB91" w14:textId="77777777" w:rsidR="008D0565" w:rsidRPr="00D61F73" w:rsidRDefault="008D0565" w:rsidP="00D61F73">
      <w:pPr>
        <w:rPr>
          <w:rFonts w:ascii="Arial" w:hAnsi="Arial" w:cs="Arial"/>
        </w:rPr>
      </w:pPr>
    </w:p>
    <w:p w14:paraId="4568BD55" w14:textId="77777777" w:rsidR="008D0565" w:rsidRPr="00D61F73" w:rsidRDefault="008D0565" w:rsidP="00D61F73">
      <w:pPr>
        <w:rPr>
          <w:rFonts w:ascii="Arial" w:hAnsi="Arial" w:cs="Arial"/>
        </w:rPr>
      </w:pPr>
      <w:r w:rsidRPr="00D61F73">
        <w:rPr>
          <w:rFonts w:ascii="Arial" w:hAnsi="Arial" w:cs="Arial"/>
        </w:rPr>
        <w:t>Rating: 2b</w:t>
      </w:r>
    </w:p>
    <w:p w14:paraId="5E342FAF" w14:textId="77777777" w:rsidR="008D0565" w:rsidRPr="00D61F73" w:rsidRDefault="008D0565" w:rsidP="00D61F73">
      <w:pPr>
        <w:rPr>
          <w:rFonts w:ascii="Arial" w:hAnsi="Arial" w:cs="Arial"/>
        </w:rPr>
      </w:pPr>
    </w:p>
    <w:p w14:paraId="13162332" w14:textId="77777777" w:rsidR="008D0565" w:rsidRPr="00D61F73" w:rsidRDefault="008D0565" w:rsidP="00D61F73">
      <w:pPr>
        <w:rPr>
          <w:rFonts w:ascii="Arial" w:hAnsi="Arial" w:cs="Arial"/>
        </w:rPr>
      </w:pPr>
      <w:r w:rsidRPr="00D61F73">
        <w:rPr>
          <w:rFonts w:ascii="Arial" w:hAnsi="Arial" w:cs="Arial"/>
        </w:rPr>
        <w:t xml:space="preserve">"Massage is an effective and safe adjuvant therapy for the relief of acute postoperative pain in patients undergoing major operations," the authors write. "With proper training, health care providers at the bedside (especially nurses) may now have a powerful nonpharmacologic tool to directly address their patients' pain and anxiety." Massage therapy in postoperative patients results in faster rate of decrease in pain intensity and pain unpleasantness, but not anxiety, in the first 4 postoperative days. </w:t>
      </w:r>
    </w:p>
    <w:p w14:paraId="5350E7B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55" w:name="Mitte"/>
      <w:bookmarkEnd w:id="955"/>
      <w:r w:rsidRPr="00D61F73">
        <w:rPr>
          <w:rFonts w:ascii="Arial" w:hAnsi="Arial" w:cs="Arial"/>
          <w:b/>
        </w:rPr>
        <w:t xml:space="preserve">itte K. A meta-analysis of the efficacy of psycho- and pharmacotherapy in panic disorder with and without agoraphobia. </w:t>
      </w:r>
      <w:r w:rsidRPr="00D61F73">
        <w:rPr>
          <w:rFonts w:ascii="Arial" w:hAnsi="Arial" w:cs="Arial"/>
          <w:b/>
          <w:i/>
        </w:rPr>
        <w:t>J Affect Disord</w:t>
      </w:r>
      <w:r w:rsidRPr="00D61F73">
        <w:rPr>
          <w:rFonts w:ascii="Arial" w:hAnsi="Arial" w:cs="Arial"/>
          <w:b/>
        </w:rPr>
        <w:t>. 2005; 88:27-45.</w:t>
      </w:r>
    </w:p>
    <w:p w14:paraId="61D72ECD" w14:textId="77777777" w:rsidR="008D0565" w:rsidRPr="00D61F73" w:rsidRDefault="008D0565" w:rsidP="00D61F73">
      <w:pPr>
        <w:rPr>
          <w:rFonts w:ascii="Arial" w:hAnsi="Arial" w:cs="Arial"/>
          <w:b/>
        </w:rPr>
      </w:pPr>
    </w:p>
    <w:p w14:paraId="172B52F4" w14:textId="77777777" w:rsidR="008D0565" w:rsidRPr="00D61F73" w:rsidRDefault="008D0565" w:rsidP="00D61F73">
      <w:pPr>
        <w:rPr>
          <w:rFonts w:ascii="Arial" w:hAnsi="Arial" w:cs="Arial"/>
        </w:rPr>
      </w:pPr>
      <w:r w:rsidRPr="00D61F73">
        <w:rPr>
          <w:rFonts w:ascii="Arial" w:hAnsi="Arial" w:cs="Arial"/>
        </w:rPr>
        <w:t xml:space="preserve">After a comprehensive review of the literature, the results of 124 studies were included. (C)BT was more effective than a no-treatment control and a placebo control. Pharmacotherapy was more effective than a placebo control; there was no superiority of any drug class. (C)BT was at least as effective as pharmacotherapy and depending on type of analysis even significantly more effective. </w:t>
      </w:r>
    </w:p>
    <w:p w14:paraId="741A245E" w14:textId="77777777" w:rsidR="008D0565" w:rsidRPr="00D61F73" w:rsidRDefault="008D0565" w:rsidP="00D61F73">
      <w:pPr>
        <w:rPr>
          <w:rFonts w:ascii="Arial" w:hAnsi="Arial" w:cs="Arial"/>
        </w:rPr>
      </w:pPr>
    </w:p>
    <w:p w14:paraId="29F2202A" w14:textId="77777777" w:rsidR="008D0565" w:rsidRPr="00D61F73" w:rsidRDefault="008D0565" w:rsidP="00D61F73">
      <w:pPr>
        <w:rPr>
          <w:rFonts w:ascii="Arial" w:hAnsi="Arial" w:cs="Arial"/>
        </w:rPr>
      </w:pPr>
      <w:r w:rsidRPr="00D61F73">
        <w:rPr>
          <w:rFonts w:ascii="Arial" w:hAnsi="Arial" w:cs="Arial"/>
        </w:rPr>
        <w:t xml:space="preserve">PMID: </w:t>
      </w:r>
      <w:hyperlink r:id="rId634" w:history="1">
        <w:r w:rsidRPr="00D61F73">
          <w:rPr>
            <w:rStyle w:val="Hyperlink"/>
            <w:rFonts w:ascii="Arial" w:hAnsi="Arial" w:cs="Arial"/>
          </w:rPr>
          <w:t>16005982</w:t>
        </w:r>
      </w:hyperlink>
    </w:p>
    <w:p w14:paraId="48C8A208" w14:textId="77777777" w:rsidR="008D0565" w:rsidRPr="00D61F73" w:rsidRDefault="008D0565" w:rsidP="00D61F73">
      <w:pPr>
        <w:rPr>
          <w:rFonts w:ascii="Arial" w:hAnsi="Arial" w:cs="Arial"/>
        </w:rPr>
      </w:pPr>
    </w:p>
    <w:p w14:paraId="53FCDE47" w14:textId="77777777" w:rsidR="008D0565" w:rsidRPr="00D61F73" w:rsidRDefault="008D0565" w:rsidP="00D61F73">
      <w:pPr>
        <w:rPr>
          <w:rFonts w:ascii="Arial" w:hAnsi="Arial" w:cs="Arial"/>
        </w:rPr>
      </w:pPr>
      <w:r w:rsidRPr="00D61F73">
        <w:rPr>
          <w:rFonts w:ascii="Arial" w:hAnsi="Arial" w:cs="Arial"/>
        </w:rPr>
        <w:t>Rating: 1b</w:t>
      </w:r>
    </w:p>
    <w:p w14:paraId="26E82DA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56" w:name="Montgomery"/>
      <w:bookmarkEnd w:id="956"/>
      <w:r w:rsidRPr="00D61F73">
        <w:rPr>
          <w:rFonts w:ascii="Arial" w:hAnsi="Arial" w:cs="Arial"/>
          <w:b/>
        </w:rPr>
        <w:t xml:space="preserve">ontgomery B. Does paracetamol cause hypertension? </w:t>
      </w:r>
      <w:r w:rsidRPr="00D61F73">
        <w:rPr>
          <w:rFonts w:ascii="Arial" w:hAnsi="Arial" w:cs="Arial"/>
          <w:b/>
          <w:i/>
        </w:rPr>
        <w:t>BMJ</w:t>
      </w:r>
      <w:r w:rsidRPr="00D61F73">
        <w:rPr>
          <w:rFonts w:ascii="Arial" w:hAnsi="Arial" w:cs="Arial"/>
          <w:b/>
        </w:rPr>
        <w:t>. 2008;336:1190-1.</w:t>
      </w:r>
    </w:p>
    <w:p w14:paraId="342CFE32" w14:textId="77777777" w:rsidR="008D0565" w:rsidRPr="00D61F73" w:rsidRDefault="008D0565" w:rsidP="00D61F73">
      <w:pPr>
        <w:rPr>
          <w:rFonts w:ascii="Arial" w:hAnsi="Arial" w:cs="Arial"/>
        </w:rPr>
      </w:pPr>
    </w:p>
    <w:p w14:paraId="3D208E6B" w14:textId="77777777" w:rsidR="008D0565" w:rsidRPr="00D61F73" w:rsidRDefault="008D0565" w:rsidP="00D61F73">
      <w:pPr>
        <w:rPr>
          <w:rFonts w:ascii="Arial" w:hAnsi="Arial" w:cs="Arial"/>
        </w:rPr>
      </w:pPr>
      <w:r w:rsidRPr="00D61F73">
        <w:rPr>
          <w:rFonts w:ascii="Arial" w:hAnsi="Arial" w:cs="Arial"/>
        </w:rPr>
        <w:t>Rating: 5c</w:t>
      </w:r>
    </w:p>
    <w:p w14:paraId="250478F0"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M</w:t>
      </w:r>
      <w:bookmarkStart w:id="957" w:name="Moon2012"/>
      <w:bookmarkEnd w:id="957"/>
      <w:r w:rsidRPr="00D61F73">
        <w:rPr>
          <w:rFonts w:ascii="Arial" w:hAnsi="Arial" w:cs="Arial"/>
          <w:b/>
        </w:rPr>
        <w:t xml:space="preserve">oon JY, Park SY, Kim YC, Lee SC, Nahm FS, Kim JH, Kim H, Oh SW. Analysis of patterns of three-phase bone scintigraphy for patients with complex regional pain syndrome diagnosed using the proposed research criteria (the 'Budapest Criteria'). </w:t>
      </w:r>
      <w:r w:rsidRPr="00D61F73">
        <w:rPr>
          <w:rFonts w:ascii="Arial" w:hAnsi="Arial" w:cs="Arial"/>
          <w:b/>
          <w:i/>
        </w:rPr>
        <w:t>Br J Anaesth</w:t>
      </w:r>
      <w:r w:rsidRPr="00D61F73">
        <w:rPr>
          <w:rFonts w:ascii="Arial" w:hAnsi="Arial" w:cs="Arial"/>
          <w:b/>
        </w:rPr>
        <w:t>. 2012;108:655-61.</w:t>
      </w:r>
    </w:p>
    <w:p w14:paraId="37A04F67" w14:textId="77777777" w:rsidR="008D0565" w:rsidRPr="00D61F73" w:rsidRDefault="008D0565" w:rsidP="00D61F73">
      <w:pPr>
        <w:rPr>
          <w:rFonts w:ascii="Arial" w:eastAsia="Calibri" w:hAnsi="Arial" w:cs="Arial"/>
        </w:rPr>
      </w:pPr>
    </w:p>
    <w:p w14:paraId="1C12EF72"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35" w:history="1">
        <w:r w:rsidRPr="00D61F73">
          <w:rPr>
            <w:rStyle w:val="Hyperlink"/>
            <w:rFonts w:ascii="Arial" w:hAnsi="Arial" w:cs="Arial"/>
          </w:rPr>
          <w:t>22293544</w:t>
        </w:r>
      </w:hyperlink>
    </w:p>
    <w:p w14:paraId="1D78B7C4" w14:textId="77777777" w:rsidR="008D0565" w:rsidRPr="00D61F73" w:rsidRDefault="008D0565" w:rsidP="00D61F73">
      <w:pPr>
        <w:rPr>
          <w:rFonts w:ascii="Arial" w:eastAsia="Calibri" w:hAnsi="Arial" w:cs="Arial"/>
        </w:rPr>
      </w:pPr>
    </w:p>
    <w:p w14:paraId="3B2E9B64" w14:textId="77777777" w:rsidR="008D0565" w:rsidRPr="00D61F73" w:rsidRDefault="008D0565" w:rsidP="00D61F73">
      <w:pPr>
        <w:rPr>
          <w:rFonts w:ascii="Arial" w:eastAsia="Calibri" w:hAnsi="Arial" w:cs="Arial"/>
        </w:rPr>
      </w:pPr>
      <w:r w:rsidRPr="00D61F73">
        <w:rPr>
          <w:rFonts w:ascii="Arial" w:hAnsi="Arial" w:cs="Arial"/>
        </w:rPr>
        <w:t>Rating: 3b</w:t>
      </w:r>
    </w:p>
    <w:p w14:paraId="060C2638" w14:textId="77777777" w:rsidR="00F1042E" w:rsidRPr="00D61F73" w:rsidRDefault="00F1042E" w:rsidP="00D61F73">
      <w:pPr>
        <w:rPr>
          <w:rFonts w:ascii="Arial" w:hAnsi="Arial" w:cs="Arial"/>
        </w:rPr>
      </w:pPr>
      <w:r w:rsidRPr="00D61F73">
        <w:rPr>
          <w:rFonts w:ascii="Arial" w:hAnsi="Arial" w:cs="Arial"/>
        </w:rPr>
        <w:br w:type="page"/>
      </w:r>
      <w:bookmarkStart w:id="958" w:name="Moore2014"/>
      <w:bookmarkEnd w:id="958"/>
      <w:r w:rsidRPr="00D61F73">
        <w:rPr>
          <w:rFonts w:ascii="Arial" w:hAnsi="Arial" w:cs="Arial"/>
          <w:b/>
          <w:bCs/>
        </w:rPr>
        <w:lastRenderedPageBreak/>
        <w:t>Moore A, Wiffen P, Kalso E. Antiepileptic drugs for neuropathic pain and fibromyalgia. </w:t>
      </w:r>
      <w:r w:rsidRPr="00D61F73">
        <w:rPr>
          <w:rFonts w:ascii="Arial" w:hAnsi="Arial" w:cs="Arial"/>
          <w:b/>
          <w:bCs/>
          <w:i/>
          <w:iCs/>
        </w:rPr>
        <w:t>JAMA</w:t>
      </w:r>
      <w:r w:rsidRPr="00D61F73">
        <w:rPr>
          <w:rFonts w:ascii="Arial" w:hAnsi="Arial" w:cs="Arial"/>
          <w:b/>
          <w:bCs/>
        </w:rPr>
        <w:t>. 2014 Jul;312(2):182-3. doi: 10.1001/jama.2014.6336.</w:t>
      </w:r>
    </w:p>
    <w:p w14:paraId="1B22F27C" w14:textId="77777777" w:rsidR="00F1042E" w:rsidRPr="00D61F73" w:rsidRDefault="00F1042E" w:rsidP="00D61F73">
      <w:pPr>
        <w:rPr>
          <w:rFonts w:ascii="Arial" w:hAnsi="Arial" w:cs="Arial"/>
        </w:rPr>
      </w:pPr>
      <w:r w:rsidRPr="00D61F73">
        <w:rPr>
          <w:rFonts w:ascii="Arial" w:hAnsi="Arial" w:cs="Arial"/>
        </w:rPr>
        <w:t> </w:t>
      </w:r>
    </w:p>
    <w:p w14:paraId="26BD451B" w14:textId="77777777" w:rsidR="00F1042E" w:rsidRPr="00D61F73" w:rsidRDefault="00F1042E" w:rsidP="00D61F73">
      <w:pPr>
        <w:rPr>
          <w:rFonts w:ascii="Arial" w:hAnsi="Arial" w:cs="Arial"/>
        </w:rPr>
      </w:pPr>
      <w:r w:rsidRPr="00D61F73">
        <w:rPr>
          <w:rFonts w:ascii="Arial" w:hAnsi="Arial" w:cs="Arial"/>
        </w:rPr>
        <w:t>PMID: </w:t>
      </w:r>
      <w:hyperlink r:id="rId636" w:history="1">
        <w:r w:rsidRPr="00D61F73">
          <w:rPr>
            <w:rStyle w:val="Hyperlink"/>
            <w:rFonts w:ascii="Arial" w:hAnsi="Arial" w:cs="Arial"/>
          </w:rPr>
          <w:t>25005656</w:t>
        </w:r>
      </w:hyperlink>
    </w:p>
    <w:p w14:paraId="4610F047" w14:textId="77777777" w:rsidR="00F1042E" w:rsidRPr="00D61F73" w:rsidRDefault="00F1042E" w:rsidP="00D61F73">
      <w:pPr>
        <w:rPr>
          <w:rFonts w:ascii="Arial" w:hAnsi="Arial" w:cs="Arial"/>
        </w:rPr>
      </w:pPr>
      <w:r w:rsidRPr="00D61F73">
        <w:rPr>
          <w:rFonts w:ascii="Arial" w:hAnsi="Arial" w:cs="Arial"/>
        </w:rPr>
        <w:t> </w:t>
      </w:r>
    </w:p>
    <w:p w14:paraId="12DEBAF9" w14:textId="77777777" w:rsidR="00F1042E" w:rsidRPr="00D61F73" w:rsidRDefault="00F1042E" w:rsidP="00D61F73">
      <w:pPr>
        <w:rPr>
          <w:rFonts w:ascii="Arial" w:hAnsi="Arial" w:cs="Arial"/>
        </w:rPr>
      </w:pPr>
      <w:r w:rsidRPr="00D61F73">
        <w:rPr>
          <w:rFonts w:ascii="Arial" w:hAnsi="Arial" w:cs="Arial"/>
        </w:rPr>
        <w:t>Rating: 1b</w:t>
      </w:r>
    </w:p>
    <w:p w14:paraId="05B79A8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59" w:name="Moore"/>
      <w:bookmarkEnd w:id="959"/>
      <w:r w:rsidRPr="00D61F73">
        <w:rPr>
          <w:rFonts w:ascii="Arial" w:hAnsi="Arial" w:cs="Arial"/>
          <w:b/>
          <w:bCs/>
        </w:rPr>
        <w:t xml:space="preserve">oore, S and Shurman J. Combined Neuromuscular Electrical Stimulation and Transcutaneous Electrical Nerve Stimulation for Treatment of Chronic Back Pain: A Double-Blind, Repeated Measures Comparison. </w:t>
      </w:r>
      <w:r w:rsidRPr="00D61F73">
        <w:rPr>
          <w:rFonts w:ascii="Arial" w:hAnsi="Arial" w:cs="Arial"/>
          <w:b/>
          <w:bCs/>
          <w:i/>
          <w:iCs/>
        </w:rPr>
        <w:t>Archive of Physical Medicine and Rehabilitation</w:t>
      </w:r>
      <w:r w:rsidRPr="00D61F73">
        <w:rPr>
          <w:rFonts w:ascii="Arial" w:hAnsi="Arial" w:cs="Arial"/>
          <w:b/>
          <w:bCs/>
        </w:rPr>
        <w:t xml:space="preserve">. 1997; Volume 78, January: 55-60. </w:t>
      </w:r>
    </w:p>
    <w:p w14:paraId="6FAF1B9B" w14:textId="77777777" w:rsidR="008D0565" w:rsidRPr="00D61F73" w:rsidRDefault="008D0565" w:rsidP="00D61F73">
      <w:pPr>
        <w:rPr>
          <w:rFonts w:ascii="Arial" w:hAnsi="Arial" w:cs="Arial"/>
        </w:rPr>
      </w:pPr>
    </w:p>
    <w:p w14:paraId="2BC2F3DC" w14:textId="77777777" w:rsidR="008D0565" w:rsidRPr="00D61F73" w:rsidRDefault="008D0565" w:rsidP="00D61F73">
      <w:pPr>
        <w:rPr>
          <w:rFonts w:ascii="Arial" w:hAnsi="Arial" w:cs="Arial"/>
        </w:rPr>
      </w:pPr>
      <w:r w:rsidRPr="00D61F73">
        <w:rPr>
          <w:rFonts w:ascii="Arial" w:hAnsi="Arial" w:cs="Arial"/>
        </w:rPr>
        <w:t>Rating: 2c</w:t>
      </w:r>
    </w:p>
    <w:p w14:paraId="7111FDC9" w14:textId="77777777" w:rsidR="008D0565" w:rsidRPr="00D61F73" w:rsidRDefault="008D0565" w:rsidP="00D61F73">
      <w:pPr>
        <w:rPr>
          <w:rFonts w:ascii="Arial" w:hAnsi="Arial" w:cs="Arial"/>
        </w:rPr>
      </w:pPr>
    </w:p>
    <w:p w14:paraId="5A41F111" w14:textId="77777777" w:rsidR="008D0565" w:rsidRPr="00D61F73" w:rsidRDefault="008D0565" w:rsidP="00D61F73">
      <w:pPr>
        <w:rPr>
          <w:rFonts w:ascii="Arial" w:hAnsi="Arial" w:cs="Arial"/>
        </w:rPr>
      </w:pPr>
      <w:r w:rsidRPr="00D61F73">
        <w:rPr>
          <w:rFonts w:ascii="Arial" w:hAnsi="Arial" w:cs="Arial"/>
        </w:rPr>
        <w:t xml:space="preserve">Quality: Low. Total Rating: 3.5. Comment: Does not meet inclusion criteria for evidence-based review. </w:t>
      </w:r>
    </w:p>
    <w:p w14:paraId="2ECA0C7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60" w:name="Moore2"/>
      <w:bookmarkEnd w:id="960"/>
      <w:r w:rsidRPr="00D61F73">
        <w:rPr>
          <w:rFonts w:ascii="Arial" w:hAnsi="Arial" w:cs="Arial"/>
          <w:b/>
          <w:bCs/>
        </w:rPr>
        <w:t xml:space="preserve">oore RA, Straube S, Wiffen PJ, Derry S, McQuay HJ. Pregabalin for acute and chronic pain in adults. </w:t>
      </w:r>
      <w:r w:rsidRPr="00D61F73">
        <w:rPr>
          <w:rFonts w:ascii="Arial" w:hAnsi="Arial" w:cs="Arial"/>
          <w:b/>
          <w:bCs/>
          <w:i/>
          <w:iCs/>
        </w:rPr>
        <w:t>Cochrane Database Syst Rev</w:t>
      </w:r>
      <w:r w:rsidRPr="00D61F73">
        <w:rPr>
          <w:rFonts w:ascii="Arial" w:hAnsi="Arial" w:cs="Arial"/>
          <w:b/>
          <w:bCs/>
        </w:rPr>
        <w:t xml:space="preserve">. 2009 Jul 8;(3):CD007076. </w:t>
      </w:r>
    </w:p>
    <w:p w14:paraId="184E0628" w14:textId="77777777" w:rsidR="008D0565" w:rsidRPr="00D61F73" w:rsidRDefault="008D0565" w:rsidP="00D61F73">
      <w:pPr>
        <w:rPr>
          <w:rFonts w:ascii="Arial" w:hAnsi="Arial" w:cs="Arial"/>
        </w:rPr>
      </w:pPr>
    </w:p>
    <w:p w14:paraId="044EF1D8" w14:textId="77777777" w:rsidR="008D0565" w:rsidRPr="00D61F73" w:rsidRDefault="008D0565" w:rsidP="00D61F73">
      <w:pPr>
        <w:rPr>
          <w:rFonts w:ascii="Arial" w:hAnsi="Arial" w:cs="Arial"/>
        </w:rPr>
      </w:pPr>
      <w:r w:rsidRPr="00D61F73">
        <w:rPr>
          <w:rFonts w:ascii="Arial" w:hAnsi="Arial" w:cs="Arial"/>
        </w:rPr>
        <w:t xml:space="preserve">CONCLUSIONS: Pregabalin has proven efficacy in neuropathic pain conditions and fibromyalgia. </w:t>
      </w:r>
    </w:p>
    <w:p w14:paraId="63A09F9E" w14:textId="77777777" w:rsidR="008D0565" w:rsidRPr="00D61F73" w:rsidRDefault="008D0565" w:rsidP="00D61F73">
      <w:pPr>
        <w:rPr>
          <w:rFonts w:ascii="Arial" w:hAnsi="Arial" w:cs="Arial"/>
        </w:rPr>
      </w:pPr>
    </w:p>
    <w:p w14:paraId="24185A6D" w14:textId="77777777" w:rsidR="008D0565" w:rsidRPr="00D61F73" w:rsidRDefault="008D0565" w:rsidP="00D61F73">
      <w:pPr>
        <w:rPr>
          <w:rFonts w:ascii="Arial" w:hAnsi="Arial" w:cs="Arial"/>
        </w:rPr>
      </w:pPr>
      <w:r w:rsidRPr="00D61F73">
        <w:rPr>
          <w:rFonts w:ascii="Arial" w:hAnsi="Arial" w:cs="Arial"/>
        </w:rPr>
        <w:t xml:space="preserve">PMID: </w:t>
      </w:r>
      <w:hyperlink r:id="rId637" w:history="1">
        <w:r w:rsidRPr="00D61F73">
          <w:rPr>
            <w:rStyle w:val="Hyperlink"/>
            <w:rFonts w:ascii="Arial" w:hAnsi="Arial" w:cs="Arial"/>
          </w:rPr>
          <w:t>19588419</w:t>
        </w:r>
      </w:hyperlink>
      <w:r w:rsidRPr="00D61F73">
        <w:rPr>
          <w:rFonts w:ascii="Arial" w:hAnsi="Arial" w:cs="Arial"/>
        </w:rPr>
        <w:t xml:space="preserve"> </w:t>
      </w:r>
    </w:p>
    <w:p w14:paraId="5551BBE6" w14:textId="77777777" w:rsidR="008D0565" w:rsidRPr="00D61F73" w:rsidRDefault="008D0565" w:rsidP="00D61F73">
      <w:pPr>
        <w:rPr>
          <w:rFonts w:ascii="Arial" w:hAnsi="Arial" w:cs="Arial"/>
        </w:rPr>
      </w:pPr>
    </w:p>
    <w:p w14:paraId="3BA23827" w14:textId="77777777" w:rsidR="008D0565" w:rsidRPr="00D61F73" w:rsidRDefault="008D0565" w:rsidP="00D61F73">
      <w:pPr>
        <w:rPr>
          <w:rFonts w:ascii="Arial" w:hAnsi="Arial" w:cs="Arial"/>
        </w:rPr>
      </w:pPr>
      <w:r w:rsidRPr="00D61F73">
        <w:rPr>
          <w:rFonts w:ascii="Arial" w:hAnsi="Arial" w:cs="Arial"/>
        </w:rPr>
        <w:t>Rating: 1a</w:t>
      </w:r>
    </w:p>
    <w:p w14:paraId="59510296"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M</w:t>
      </w:r>
      <w:bookmarkStart w:id="961" w:name="Moore2009"/>
      <w:bookmarkEnd w:id="961"/>
      <w:r w:rsidRPr="00D61F73">
        <w:rPr>
          <w:rFonts w:ascii="Arial" w:hAnsi="Arial" w:cs="Arial"/>
          <w:b/>
        </w:rPr>
        <w:t xml:space="preserve">oore TM, Jones T, Browder JH, Daffron S, Passik SD. A comparison of common screening methods for predicting aberrant drug-related behavior among patients receiving opioids for chronic pain management. </w:t>
      </w:r>
      <w:r w:rsidRPr="00D61F73">
        <w:rPr>
          <w:rFonts w:ascii="Arial" w:hAnsi="Arial" w:cs="Arial"/>
          <w:b/>
          <w:i/>
        </w:rPr>
        <w:t>Pain Med.</w:t>
      </w:r>
      <w:r w:rsidRPr="00D61F73">
        <w:rPr>
          <w:rFonts w:ascii="Arial" w:hAnsi="Arial" w:cs="Arial"/>
          <w:b/>
        </w:rPr>
        <w:t xml:space="preserve"> 2009;10:1426-33.</w:t>
      </w:r>
    </w:p>
    <w:p w14:paraId="13DD2D34" w14:textId="77777777" w:rsidR="008D0565" w:rsidRPr="00D61F73" w:rsidRDefault="008D0565" w:rsidP="00D61F73">
      <w:pPr>
        <w:rPr>
          <w:rFonts w:ascii="Arial" w:eastAsia="Calibri" w:hAnsi="Arial" w:cs="Arial"/>
        </w:rPr>
      </w:pPr>
    </w:p>
    <w:p w14:paraId="271BEF45" w14:textId="77777777" w:rsidR="008D0565" w:rsidRPr="00D61F73" w:rsidRDefault="008D0565" w:rsidP="00D61F73">
      <w:pPr>
        <w:rPr>
          <w:rFonts w:ascii="Arial" w:eastAsia="Calibri" w:hAnsi="Arial" w:cs="Arial"/>
        </w:rPr>
      </w:pPr>
      <w:r w:rsidRPr="00D61F73">
        <w:rPr>
          <w:rFonts w:ascii="Arial" w:hAnsi="Arial" w:cs="Arial"/>
        </w:rPr>
        <w:t xml:space="preserve">Among patients who were discontinued from opioids for aberrant drug-related behaviors, the clinical interview and the SOAPP were most effective at predicting risk at baseline. </w:t>
      </w:r>
    </w:p>
    <w:p w14:paraId="75B6F990" w14:textId="77777777" w:rsidR="008D0565" w:rsidRPr="00D61F73" w:rsidRDefault="008D0565" w:rsidP="00D61F73">
      <w:pPr>
        <w:rPr>
          <w:rFonts w:ascii="Arial" w:eastAsia="Calibri" w:hAnsi="Arial" w:cs="Arial"/>
        </w:rPr>
      </w:pPr>
    </w:p>
    <w:p w14:paraId="0790FECE"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38" w:history="1">
        <w:r w:rsidRPr="00D61F73">
          <w:rPr>
            <w:rStyle w:val="Hyperlink"/>
            <w:rFonts w:ascii="Arial" w:hAnsi="Arial" w:cs="Arial"/>
          </w:rPr>
          <w:t>20021601</w:t>
        </w:r>
      </w:hyperlink>
    </w:p>
    <w:p w14:paraId="608BD11E" w14:textId="77777777" w:rsidR="008D0565" w:rsidRPr="00D61F73" w:rsidRDefault="008D0565" w:rsidP="00D61F73">
      <w:pPr>
        <w:rPr>
          <w:rFonts w:ascii="Arial" w:eastAsia="Calibri" w:hAnsi="Arial" w:cs="Arial"/>
        </w:rPr>
      </w:pPr>
    </w:p>
    <w:p w14:paraId="6EE25326" w14:textId="77777777" w:rsidR="008D0565" w:rsidRPr="00D61F73" w:rsidRDefault="008D0565" w:rsidP="00D61F73">
      <w:pPr>
        <w:rPr>
          <w:rFonts w:ascii="Arial" w:eastAsia="Calibri" w:hAnsi="Arial" w:cs="Arial"/>
        </w:rPr>
      </w:pPr>
      <w:r w:rsidRPr="00D61F73">
        <w:rPr>
          <w:rFonts w:ascii="Arial" w:hAnsi="Arial" w:cs="Arial"/>
        </w:rPr>
        <w:t>Rating: 3c</w:t>
      </w:r>
    </w:p>
    <w:p w14:paraId="7B9CBE2E"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M</w:t>
      </w:r>
      <w:bookmarkStart w:id="962" w:name="Moore2005"/>
      <w:bookmarkEnd w:id="962"/>
      <w:r w:rsidRPr="00D61F73">
        <w:rPr>
          <w:rFonts w:ascii="Arial" w:hAnsi="Arial" w:cs="Arial"/>
          <w:b/>
        </w:rPr>
        <w:t xml:space="preserve">oore RA, McQuay HJ. Prevalence of opioid adverse events in chronic non-malignant pain: systematic review of randomised trials of oral opioids. </w:t>
      </w:r>
      <w:r w:rsidRPr="00D61F73">
        <w:rPr>
          <w:rFonts w:ascii="Arial" w:hAnsi="Arial" w:cs="Arial"/>
          <w:b/>
          <w:i/>
        </w:rPr>
        <w:t>Arthritis Res Ther</w:t>
      </w:r>
      <w:r w:rsidRPr="00D61F73">
        <w:rPr>
          <w:rFonts w:ascii="Arial" w:hAnsi="Arial" w:cs="Arial"/>
          <w:b/>
        </w:rPr>
        <w:t>. 2005;7:R1046-51.</w:t>
      </w:r>
    </w:p>
    <w:p w14:paraId="4738E1C6" w14:textId="77777777" w:rsidR="008D0565" w:rsidRPr="00D61F73" w:rsidRDefault="008D0565" w:rsidP="00D61F73">
      <w:pPr>
        <w:rPr>
          <w:rFonts w:ascii="Arial" w:hAnsi="Arial" w:cs="Arial"/>
        </w:rPr>
      </w:pPr>
    </w:p>
    <w:p w14:paraId="6C3A3488" w14:textId="77777777" w:rsidR="008D0565" w:rsidRPr="00D61F73" w:rsidRDefault="008D0565" w:rsidP="00D61F73">
      <w:pPr>
        <w:rPr>
          <w:rFonts w:ascii="Arial" w:hAnsi="Arial" w:cs="Arial"/>
        </w:rPr>
      </w:pPr>
      <w:r w:rsidRPr="00D61F73">
        <w:rPr>
          <w:rFonts w:ascii="Arial" w:hAnsi="Arial" w:cs="Arial"/>
        </w:rPr>
        <w:t xml:space="preserve">PMID: </w:t>
      </w:r>
      <w:hyperlink r:id="rId639" w:history="1">
        <w:r w:rsidRPr="00D61F73">
          <w:rPr>
            <w:rStyle w:val="Hyperlink"/>
            <w:rFonts w:ascii="Arial" w:hAnsi="Arial" w:cs="Arial"/>
          </w:rPr>
          <w:t>16207320</w:t>
        </w:r>
      </w:hyperlink>
    </w:p>
    <w:p w14:paraId="0FFE29D0" w14:textId="77777777" w:rsidR="008D0565" w:rsidRPr="00D61F73" w:rsidRDefault="008D0565" w:rsidP="00D61F73">
      <w:pPr>
        <w:rPr>
          <w:rFonts w:ascii="Arial" w:hAnsi="Arial" w:cs="Arial"/>
        </w:rPr>
      </w:pPr>
    </w:p>
    <w:p w14:paraId="2496D353" w14:textId="77777777" w:rsidR="008D0565" w:rsidRPr="00D61F73" w:rsidRDefault="008D0565" w:rsidP="00D61F73">
      <w:pPr>
        <w:rPr>
          <w:rFonts w:ascii="Arial" w:hAnsi="Arial" w:cs="Arial"/>
        </w:rPr>
      </w:pPr>
      <w:r w:rsidRPr="00D61F73">
        <w:rPr>
          <w:rFonts w:ascii="Arial" w:hAnsi="Arial" w:cs="Arial"/>
        </w:rPr>
        <w:t>Rating: 1c</w:t>
      </w:r>
    </w:p>
    <w:p w14:paraId="4935EAEC"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M</w:t>
      </w:r>
      <w:bookmarkStart w:id="963" w:name="Morgan2012"/>
      <w:bookmarkEnd w:id="963"/>
      <w:r w:rsidRPr="00D61F73">
        <w:rPr>
          <w:rFonts w:ascii="Arial" w:hAnsi="Arial" w:cs="Arial"/>
          <w:b/>
        </w:rPr>
        <w:t xml:space="preserve">organ CJ, Curran HV; Independent Scientific Committee on Drugs. Ketamine use: a review. </w:t>
      </w:r>
      <w:r w:rsidRPr="00D61F73">
        <w:rPr>
          <w:rFonts w:ascii="Arial" w:hAnsi="Arial" w:cs="Arial"/>
          <w:b/>
          <w:i/>
        </w:rPr>
        <w:t>Addiction</w:t>
      </w:r>
      <w:r w:rsidRPr="00D61F73">
        <w:rPr>
          <w:rFonts w:ascii="Arial" w:hAnsi="Arial" w:cs="Arial"/>
          <w:b/>
        </w:rPr>
        <w:t>. 2012;107:27-38.</w:t>
      </w:r>
    </w:p>
    <w:p w14:paraId="34823C6C" w14:textId="77777777" w:rsidR="008D0565" w:rsidRPr="00D61F73" w:rsidRDefault="008D0565" w:rsidP="00D61F73">
      <w:pPr>
        <w:rPr>
          <w:rFonts w:ascii="Arial" w:hAnsi="Arial" w:cs="Arial"/>
        </w:rPr>
      </w:pPr>
    </w:p>
    <w:p w14:paraId="0354C92A" w14:textId="77777777" w:rsidR="008D0565" w:rsidRPr="00D61F73" w:rsidRDefault="008D0565" w:rsidP="00D61F73">
      <w:pPr>
        <w:rPr>
          <w:rFonts w:ascii="Arial" w:hAnsi="Arial" w:cs="Arial"/>
        </w:rPr>
      </w:pPr>
      <w:r w:rsidRPr="00D61F73">
        <w:rPr>
          <w:rFonts w:ascii="Arial" w:hAnsi="Arial" w:cs="Arial"/>
        </w:rPr>
        <w:t>A major physical harm is ketamine induced ulcerative cystitis which, although its aetiology is unclear, seems particularly associated with chronic, frequent use of the drug. Frequent, daily use is also associated with neurocognitive impairment and, most robustly, deficits in working and episodic memory. Recent studies suggest certain neurological abnormalities which may underpin these cognitive effects. Many frequent users are concerned about addiction and report trying but failing to stop using ketamine.</w:t>
      </w:r>
    </w:p>
    <w:p w14:paraId="66B60023" w14:textId="77777777" w:rsidR="008D0565" w:rsidRPr="00D61F73" w:rsidRDefault="008D0565" w:rsidP="00D61F73">
      <w:pPr>
        <w:rPr>
          <w:rFonts w:ascii="Arial" w:hAnsi="Arial" w:cs="Arial"/>
        </w:rPr>
      </w:pPr>
    </w:p>
    <w:p w14:paraId="6F301B2D" w14:textId="77777777" w:rsidR="008D0565" w:rsidRPr="00D61F73" w:rsidRDefault="008D0565" w:rsidP="00D61F73">
      <w:pPr>
        <w:rPr>
          <w:rFonts w:ascii="Arial" w:hAnsi="Arial" w:cs="Arial"/>
        </w:rPr>
      </w:pPr>
      <w:r w:rsidRPr="00D61F73">
        <w:rPr>
          <w:rFonts w:ascii="Arial" w:hAnsi="Arial" w:cs="Arial"/>
        </w:rPr>
        <w:t xml:space="preserve">PMID: </w:t>
      </w:r>
      <w:hyperlink r:id="rId640" w:history="1">
        <w:r w:rsidRPr="00D61F73">
          <w:rPr>
            <w:rStyle w:val="Hyperlink"/>
            <w:rFonts w:ascii="Arial" w:hAnsi="Arial" w:cs="Arial"/>
          </w:rPr>
          <w:t>21777321</w:t>
        </w:r>
      </w:hyperlink>
    </w:p>
    <w:p w14:paraId="238F83BD" w14:textId="77777777" w:rsidR="008D0565" w:rsidRPr="00D61F73" w:rsidRDefault="008D0565" w:rsidP="00D61F73">
      <w:pPr>
        <w:rPr>
          <w:rFonts w:ascii="Arial" w:hAnsi="Arial" w:cs="Arial"/>
        </w:rPr>
      </w:pPr>
    </w:p>
    <w:p w14:paraId="53BD9CD6" w14:textId="77777777" w:rsidR="008D0565" w:rsidRPr="00D61F73" w:rsidRDefault="008D0565" w:rsidP="00D61F73">
      <w:pPr>
        <w:rPr>
          <w:rFonts w:ascii="Arial" w:hAnsi="Arial" w:cs="Arial"/>
        </w:rPr>
      </w:pPr>
      <w:r w:rsidRPr="00D61F73">
        <w:rPr>
          <w:rFonts w:ascii="Arial" w:hAnsi="Arial" w:cs="Arial"/>
        </w:rPr>
        <w:t>Rating: 5b</w:t>
      </w:r>
    </w:p>
    <w:p w14:paraId="2C3699E8" w14:textId="77777777" w:rsidR="008D0565" w:rsidRPr="00D61F73" w:rsidRDefault="008D0565" w:rsidP="00D61F73">
      <w:pPr>
        <w:rPr>
          <w:rStyle w:val="ti"/>
          <w:rFonts w:ascii="Arial" w:hAnsi="Arial" w:cs="Arial"/>
          <w:b/>
        </w:rPr>
      </w:pPr>
      <w:r w:rsidRPr="00D61F73">
        <w:rPr>
          <w:rFonts w:ascii="Arial" w:hAnsi="Arial" w:cs="Arial"/>
        </w:rPr>
        <w:br w:type="page"/>
      </w:r>
      <w:r w:rsidRPr="00D61F73">
        <w:rPr>
          <w:rFonts w:ascii="Arial" w:hAnsi="Arial" w:cs="Arial"/>
          <w:b/>
          <w:bCs/>
        </w:rPr>
        <w:lastRenderedPageBreak/>
        <w:t>M</w:t>
      </w:r>
      <w:bookmarkStart w:id="964" w:name="Morin"/>
      <w:bookmarkEnd w:id="964"/>
      <w:r w:rsidRPr="00D61F73">
        <w:rPr>
          <w:rFonts w:ascii="Arial" w:hAnsi="Arial" w:cs="Arial"/>
          <w:b/>
          <w:bCs/>
        </w:rPr>
        <w:t>orin AK</w:t>
      </w:r>
      <w:r w:rsidRPr="00D61F73">
        <w:rPr>
          <w:rFonts w:ascii="Arial" w:hAnsi="Arial" w:cs="Arial"/>
          <w:b/>
        </w:rPr>
        <w:t xml:space="preserve">, </w:t>
      </w:r>
      <w:r w:rsidRPr="00D61F73">
        <w:rPr>
          <w:rFonts w:ascii="Arial" w:hAnsi="Arial" w:cs="Arial"/>
          <w:b/>
          <w:bCs/>
        </w:rPr>
        <w:t>Jarvis CI</w:t>
      </w:r>
      <w:r w:rsidRPr="00D61F73">
        <w:rPr>
          <w:rFonts w:ascii="Arial" w:hAnsi="Arial" w:cs="Arial"/>
          <w:b/>
        </w:rPr>
        <w:t xml:space="preserve">, </w:t>
      </w:r>
      <w:r w:rsidRPr="00D61F73">
        <w:rPr>
          <w:rFonts w:ascii="Arial" w:hAnsi="Arial" w:cs="Arial"/>
          <w:b/>
          <w:bCs/>
        </w:rPr>
        <w:t>Lynch AM</w:t>
      </w:r>
      <w:r w:rsidRPr="00D61F73">
        <w:rPr>
          <w:rFonts w:ascii="Arial" w:hAnsi="Arial" w:cs="Arial"/>
          <w:b/>
        </w:rPr>
        <w:t>. Therapeutic options for sleep-maintenance and sleep-onset insomnia</w:t>
      </w:r>
      <w:r w:rsidRPr="00D61F73">
        <w:rPr>
          <w:rFonts w:ascii="Arial" w:hAnsi="Arial" w:cs="Arial"/>
          <w:b/>
          <w:i/>
        </w:rPr>
        <w:t xml:space="preserve">. </w:t>
      </w:r>
      <w:r w:rsidRPr="00D61F73">
        <w:rPr>
          <w:rStyle w:val="ti"/>
          <w:rFonts w:ascii="Arial" w:hAnsi="Arial" w:cs="Arial"/>
          <w:b/>
          <w:i/>
        </w:rPr>
        <w:t>Pharmacotherapy.</w:t>
      </w:r>
      <w:r w:rsidRPr="00D61F73">
        <w:rPr>
          <w:rStyle w:val="ti"/>
          <w:rFonts w:ascii="Arial" w:hAnsi="Arial" w:cs="Arial"/>
          <w:b/>
        </w:rPr>
        <w:t xml:space="preserve"> 2007 Jan;27(1):89-110.</w:t>
      </w:r>
    </w:p>
    <w:p w14:paraId="45BB1CCB" w14:textId="77777777" w:rsidR="008D0565" w:rsidRPr="00D61F73" w:rsidRDefault="008D0565" w:rsidP="00D61F73">
      <w:pPr>
        <w:rPr>
          <w:rFonts w:ascii="Arial" w:hAnsi="Arial" w:cs="Arial"/>
        </w:rPr>
      </w:pPr>
    </w:p>
    <w:p w14:paraId="364C6479" w14:textId="77777777" w:rsidR="008D0565" w:rsidRPr="00D61F73" w:rsidRDefault="008D0565" w:rsidP="00D61F73">
      <w:pPr>
        <w:rPr>
          <w:rFonts w:ascii="Arial" w:hAnsi="Arial" w:cs="Arial"/>
        </w:rPr>
      </w:pPr>
      <w:r w:rsidRPr="00D61F73">
        <w:rPr>
          <w:rFonts w:ascii="Arial" w:hAnsi="Arial" w:cs="Arial"/>
        </w:rPr>
        <w:t xml:space="preserve">Insomnia, defined as difficulty falling asleep, staying asleep, and/or experiencing restorative sleep with associated impairment or significant distress, is a common condition resulting in significant clinical and economic consequences. Nonpharmacologic options include stimulus control, sleep hygiene education, sleep restriction, paradoxical intention, relaxation therapy, biofeedback, and cognitive behavioral therapy. </w:t>
      </w:r>
    </w:p>
    <w:p w14:paraId="2BB74FCC" w14:textId="77777777" w:rsidR="008D0565" w:rsidRPr="00D61F73" w:rsidRDefault="008D0565" w:rsidP="00D61F73">
      <w:pPr>
        <w:rPr>
          <w:rFonts w:ascii="Arial" w:hAnsi="Arial" w:cs="Arial"/>
        </w:rPr>
      </w:pPr>
    </w:p>
    <w:p w14:paraId="327D16C8" w14:textId="77777777" w:rsidR="008D0565" w:rsidRPr="00D61F73" w:rsidRDefault="008D0565" w:rsidP="00D61F73">
      <w:pPr>
        <w:rPr>
          <w:rFonts w:ascii="Arial" w:hAnsi="Arial" w:cs="Arial"/>
        </w:rPr>
      </w:pPr>
      <w:r w:rsidRPr="00D61F73">
        <w:rPr>
          <w:rFonts w:ascii="Arial" w:hAnsi="Arial" w:cs="Arial"/>
        </w:rPr>
        <w:t>Rating: 1b</w:t>
      </w:r>
    </w:p>
    <w:p w14:paraId="03DFD00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65" w:name="Morin2"/>
      <w:bookmarkEnd w:id="965"/>
      <w:r w:rsidRPr="00D61F73">
        <w:rPr>
          <w:rFonts w:ascii="Arial" w:hAnsi="Arial" w:cs="Arial"/>
          <w:b/>
          <w:bCs/>
        </w:rPr>
        <w:t xml:space="preserve">orin CM, Vallières A, Guay B, Ivers H, Savard J, Mérette C, Bastien C, Baillargeon L. Cognitive behavioral therapy, singly and combined with medication, for persistent insomnia: a randomized controlled trial. </w:t>
      </w:r>
      <w:r w:rsidRPr="00D61F73">
        <w:rPr>
          <w:rFonts w:ascii="Arial" w:hAnsi="Arial" w:cs="Arial"/>
          <w:b/>
          <w:bCs/>
          <w:i/>
          <w:iCs/>
        </w:rPr>
        <w:t>JAMA</w:t>
      </w:r>
      <w:r w:rsidRPr="00D61F73">
        <w:rPr>
          <w:rFonts w:ascii="Arial" w:hAnsi="Arial" w:cs="Arial"/>
          <w:b/>
          <w:bCs/>
        </w:rPr>
        <w:t>. 2009 May 20;301(19):2005-15.</w:t>
      </w:r>
    </w:p>
    <w:p w14:paraId="3C3D2A96" w14:textId="77777777" w:rsidR="008D0565" w:rsidRPr="00D61F73" w:rsidRDefault="008D0565" w:rsidP="00D61F73">
      <w:pPr>
        <w:rPr>
          <w:rFonts w:ascii="Arial" w:hAnsi="Arial" w:cs="Arial"/>
        </w:rPr>
      </w:pPr>
    </w:p>
    <w:p w14:paraId="1197883F" w14:textId="77777777" w:rsidR="008D0565" w:rsidRPr="00D61F73" w:rsidRDefault="008D0565" w:rsidP="00D61F73">
      <w:pPr>
        <w:rPr>
          <w:rFonts w:ascii="Arial" w:hAnsi="Arial" w:cs="Arial"/>
        </w:rPr>
      </w:pPr>
      <w:r w:rsidRPr="00D61F73">
        <w:rPr>
          <w:rFonts w:ascii="Arial" w:hAnsi="Arial" w:cs="Arial"/>
        </w:rPr>
        <w:t xml:space="preserve">CONCLUSION: In patients with persistent insomnia, the addition of medication to CBT produced added benefits during acute therapy, but long-term outcome was optimized when medication is discontinued during maintenance CBT. </w:t>
      </w:r>
    </w:p>
    <w:p w14:paraId="7D52A4DC" w14:textId="77777777" w:rsidR="008D0565" w:rsidRPr="00D61F73" w:rsidRDefault="008D0565" w:rsidP="00D61F73">
      <w:pPr>
        <w:rPr>
          <w:rFonts w:ascii="Arial" w:hAnsi="Arial" w:cs="Arial"/>
        </w:rPr>
      </w:pPr>
    </w:p>
    <w:p w14:paraId="668B932A" w14:textId="77777777" w:rsidR="008D0565" w:rsidRPr="00D61F73" w:rsidRDefault="008D0565" w:rsidP="00D61F73">
      <w:pPr>
        <w:rPr>
          <w:rFonts w:ascii="Arial" w:hAnsi="Arial" w:cs="Arial"/>
        </w:rPr>
      </w:pPr>
      <w:r w:rsidRPr="00D61F73">
        <w:rPr>
          <w:rFonts w:ascii="Arial" w:hAnsi="Arial" w:cs="Arial"/>
        </w:rPr>
        <w:t xml:space="preserve">PMID: </w:t>
      </w:r>
      <w:hyperlink r:id="rId641" w:history="1">
        <w:r w:rsidRPr="00D61F73">
          <w:rPr>
            <w:rStyle w:val="Hyperlink"/>
            <w:rFonts w:ascii="Arial" w:hAnsi="Arial" w:cs="Arial"/>
          </w:rPr>
          <w:t>19454639</w:t>
        </w:r>
      </w:hyperlink>
      <w:r w:rsidRPr="00D61F73">
        <w:rPr>
          <w:rFonts w:ascii="Arial" w:hAnsi="Arial" w:cs="Arial"/>
        </w:rPr>
        <w:t xml:space="preserve"> </w:t>
      </w:r>
    </w:p>
    <w:p w14:paraId="1399AD38" w14:textId="77777777" w:rsidR="008D0565" w:rsidRPr="00D61F73" w:rsidRDefault="008D0565" w:rsidP="00D61F73">
      <w:pPr>
        <w:rPr>
          <w:rFonts w:ascii="Arial" w:hAnsi="Arial" w:cs="Arial"/>
        </w:rPr>
      </w:pPr>
    </w:p>
    <w:p w14:paraId="0996F398" w14:textId="77777777" w:rsidR="008D0565" w:rsidRPr="00D61F73" w:rsidRDefault="008D0565" w:rsidP="00D61F73">
      <w:pPr>
        <w:rPr>
          <w:rFonts w:ascii="Arial" w:hAnsi="Arial" w:cs="Arial"/>
        </w:rPr>
      </w:pPr>
      <w:r w:rsidRPr="00D61F73">
        <w:rPr>
          <w:rFonts w:ascii="Arial" w:hAnsi="Arial" w:cs="Arial"/>
        </w:rPr>
        <w:t>Rating: 2a</w:t>
      </w:r>
    </w:p>
    <w:p w14:paraId="7F0BD52C" w14:textId="77777777" w:rsidR="008D0565" w:rsidRPr="00D61F73" w:rsidRDefault="008D0565" w:rsidP="00D61F73">
      <w:pPr>
        <w:rPr>
          <w:rFonts w:ascii="Arial" w:hAnsi="Arial" w:cs="Arial"/>
        </w:rPr>
      </w:pPr>
    </w:p>
    <w:p w14:paraId="03FDF9B7" w14:textId="77777777" w:rsidR="008D0565" w:rsidRPr="00D61F73" w:rsidRDefault="008D0565" w:rsidP="00D61F73">
      <w:pPr>
        <w:rPr>
          <w:rFonts w:ascii="Arial" w:eastAsia="Calibri" w:hAnsi="Arial" w:cs="Arial"/>
          <w:color w:val="auto"/>
        </w:rPr>
      </w:pPr>
      <w:r w:rsidRPr="00D61F73">
        <w:rPr>
          <w:rFonts w:ascii="Arial" w:hAnsi="Arial" w:cs="Arial"/>
        </w:rPr>
        <w:br w:type="page"/>
      </w:r>
      <w:r w:rsidRPr="00D61F73">
        <w:rPr>
          <w:rFonts w:ascii="Arial" w:hAnsi="Arial" w:cs="Arial"/>
          <w:b/>
        </w:rPr>
        <w:lastRenderedPageBreak/>
        <w:t>M</w:t>
      </w:r>
      <w:bookmarkStart w:id="966" w:name="Morin2004"/>
      <w:bookmarkEnd w:id="966"/>
      <w:r w:rsidRPr="00D61F73">
        <w:rPr>
          <w:rFonts w:ascii="Arial" w:hAnsi="Arial" w:cs="Arial"/>
          <w:b/>
        </w:rPr>
        <w:t>orin CM, Bastien C, Guay B, Radouco-Thomas M, Leblanc J, Vallières A. Randomized clinical trial of supervised tapering and cognitive behavior therapy to facilitate benzodiazepine discontinuation in older adults with chronic insomnia</w:t>
      </w:r>
      <w:r w:rsidRPr="00D61F73">
        <w:rPr>
          <w:rFonts w:ascii="Arial" w:hAnsi="Arial" w:cs="Arial"/>
          <w:b/>
          <w:i/>
        </w:rPr>
        <w:t>. Am J Psychiatry</w:t>
      </w:r>
      <w:r w:rsidRPr="00D61F73">
        <w:rPr>
          <w:rFonts w:ascii="Arial" w:hAnsi="Arial" w:cs="Arial"/>
          <w:b/>
        </w:rPr>
        <w:t>. 2004;161:332-42.</w:t>
      </w:r>
    </w:p>
    <w:p w14:paraId="4161975B" w14:textId="77777777" w:rsidR="008D0565" w:rsidRPr="00D61F73" w:rsidRDefault="008D0565" w:rsidP="00D61F73">
      <w:pPr>
        <w:rPr>
          <w:rFonts w:ascii="Arial" w:eastAsia="Calibri" w:hAnsi="Arial" w:cs="Arial"/>
        </w:rPr>
      </w:pPr>
    </w:p>
    <w:p w14:paraId="57F84889" w14:textId="77777777" w:rsidR="008D0565" w:rsidRPr="00D61F73" w:rsidRDefault="008D0565" w:rsidP="00D61F73">
      <w:pPr>
        <w:rPr>
          <w:rFonts w:ascii="Arial" w:eastAsia="Calibri" w:hAnsi="Arial" w:cs="Arial"/>
        </w:rPr>
      </w:pPr>
      <w:r w:rsidRPr="00D61F73">
        <w:rPr>
          <w:rFonts w:ascii="Arial" w:hAnsi="Arial" w:cs="Arial"/>
        </w:rPr>
        <w:t>The addition of cognitive behavior therapy alleviates insomnia, but sleep improvements may become noticeable only after several months of benzodiazepine abstinence.</w:t>
      </w:r>
    </w:p>
    <w:p w14:paraId="6B039EBC" w14:textId="77777777" w:rsidR="008D0565" w:rsidRPr="00D61F73" w:rsidRDefault="008D0565" w:rsidP="00D61F73">
      <w:pPr>
        <w:rPr>
          <w:rFonts w:ascii="Arial" w:eastAsia="Calibri" w:hAnsi="Arial" w:cs="Arial"/>
        </w:rPr>
      </w:pPr>
    </w:p>
    <w:p w14:paraId="04ED92E1"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42" w:history="1">
        <w:r w:rsidRPr="00D61F73">
          <w:rPr>
            <w:rStyle w:val="Hyperlink"/>
            <w:rFonts w:ascii="Arial" w:hAnsi="Arial" w:cs="Arial"/>
          </w:rPr>
          <w:t>14754783</w:t>
        </w:r>
      </w:hyperlink>
    </w:p>
    <w:p w14:paraId="29286987" w14:textId="77777777" w:rsidR="008D0565" w:rsidRPr="00D61F73" w:rsidRDefault="008D0565" w:rsidP="00D61F73">
      <w:pPr>
        <w:rPr>
          <w:rFonts w:ascii="Arial" w:eastAsia="Calibri" w:hAnsi="Arial" w:cs="Arial"/>
        </w:rPr>
      </w:pPr>
    </w:p>
    <w:p w14:paraId="0E6524D5" w14:textId="77777777" w:rsidR="008D0565" w:rsidRPr="00D61F73" w:rsidRDefault="008D0565" w:rsidP="00D61F73">
      <w:pPr>
        <w:rPr>
          <w:rFonts w:ascii="Arial" w:eastAsia="Calibri" w:hAnsi="Arial" w:cs="Arial"/>
        </w:rPr>
      </w:pPr>
      <w:r w:rsidRPr="00D61F73">
        <w:rPr>
          <w:rFonts w:ascii="Arial" w:hAnsi="Arial" w:cs="Arial"/>
        </w:rPr>
        <w:t>Rating: 2b</w:t>
      </w:r>
    </w:p>
    <w:p w14:paraId="5942A91D" w14:textId="77777777" w:rsidR="008D0565" w:rsidRPr="00D61F73" w:rsidRDefault="008D0565" w:rsidP="00D61F73">
      <w:pPr>
        <w:rPr>
          <w:rFonts w:ascii="Arial" w:hAnsi="Arial" w:cs="Arial"/>
        </w:rPr>
      </w:pPr>
    </w:p>
    <w:p w14:paraId="6D5E9E0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M</w:t>
      </w:r>
      <w:bookmarkStart w:id="967" w:name="Mork"/>
      <w:bookmarkEnd w:id="967"/>
      <w:r w:rsidRPr="00D61F73">
        <w:rPr>
          <w:rFonts w:ascii="Arial" w:hAnsi="Arial" w:cs="Arial"/>
          <w:b/>
          <w:bCs/>
        </w:rPr>
        <w:t xml:space="preserve">ork PJ, Vasseljen O, Nilsen TI. Association between physical exercise, body mass index, and risk of fibromyalgia: longitudinal data from the Norwegian Nord-Trøndelag Health Study. </w:t>
      </w:r>
      <w:r w:rsidRPr="00D61F73">
        <w:rPr>
          <w:rFonts w:ascii="Arial" w:hAnsi="Arial" w:cs="Arial"/>
          <w:b/>
          <w:bCs/>
          <w:i/>
          <w:iCs/>
        </w:rPr>
        <w:t>Arthritis Care Res (Hoboken)</w:t>
      </w:r>
      <w:r w:rsidRPr="00D61F73">
        <w:rPr>
          <w:rFonts w:ascii="Arial" w:hAnsi="Arial" w:cs="Arial"/>
          <w:b/>
          <w:bCs/>
        </w:rPr>
        <w:t>. 2010 May;62(5):611-7.</w:t>
      </w:r>
    </w:p>
    <w:p w14:paraId="61E1E409" w14:textId="77777777" w:rsidR="008D0565" w:rsidRPr="00D61F73" w:rsidRDefault="008D0565" w:rsidP="00D61F73">
      <w:pPr>
        <w:rPr>
          <w:rFonts w:ascii="Arial" w:hAnsi="Arial" w:cs="Arial"/>
        </w:rPr>
      </w:pPr>
    </w:p>
    <w:p w14:paraId="31F61798" w14:textId="77777777" w:rsidR="008D0565" w:rsidRPr="00D61F73" w:rsidRDefault="008D0565" w:rsidP="00D61F73">
      <w:pPr>
        <w:rPr>
          <w:rFonts w:ascii="Arial" w:hAnsi="Arial" w:cs="Arial"/>
        </w:rPr>
      </w:pPr>
      <w:r w:rsidRPr="00D61F73">
        <w:rPr>
          <w:rFonts w:ascii="Arial" w:hAnsi="Arial" w:cs="Arial"/>
        </w:rPr>
        <w:t xml:space="preserve">CONCLUSION: Being overweight or obese was associated with an increased risk of FM, especially among women who also reported low levels of physical exercise. </w:t>
      </w:r>
    </w:p>
    <w:p w14:paraId="48F3F264" w14:textId="77777777" w:rsidR="008D0565" w:rsidRPr="00D61F73" w:rsidRDefault="008D0565" w:rsidP="00D61F73">
      <w:pPr>
        <w:rPr>
          <w:rFonts w:ascii="Arial" w:hAnsi="Arial" w:cs="Arial"/>
        </w:rPr>
      </w:pPr>
    </w:p>
    <w:p w14:paraId="51A6CDCE" w14:textId="77777777" w:rsidR="008D0565" w:rsidRPr="00D61F73" w:rsidRDefault="008D0565" w:rsidP="00D61F73">
      <w:pPr>
        <w:rPr>
          <w:rFonts w:ascii="Arial" w:hAnsi="Arial" w:cs="Arial"/>
        </w:rPr>
      </w:pPr>
      <w:r w:rsidRPr="00D61F73">
        <w:rPr>
          <w:rFonts w:ascii="Arial" w:hAnsi="Arial" w:cs="Arial"/>
        </w:rPr>
        <w:t xml:space="preserve">PMID: </w:t>
      </w:r>
      <w:hyperlink r:id="rId643" w:history="1">
        <w:r w:rsidRPr="00D61F73">
          <w:rPr>
            <w:rStyle w:val="Hyperlink"/>
            <w:rFonts w:ascii="Arial" w:hAnsi="Arial" w:cs="Arial"/>
          </w:rPr>
          <w:t>20191480</w:t>
        </w:r>
      </w:hyperlink>
      <w:r w:rsidRPr="00D61F73">
        <w:rPr>
          <w:rFonts w:ascii="Arial" w:hAnsi="Arial" w:cs="Arial"/>
        </w:rPr>
        <w:t xml:space="preserve"> </w:t>
      </w:r>
    </w:p>
    <w:p w14:paraId="07322BC2" w14:textId="77777777" w:rsidR="008D0565" w:rsidRPr="00D61F73" w:rsidRDefault="008D0565" w:rsidP="00D61F73">
      <w:pPr>
        <w:rPr>
          <w:rFonts w:ascii="Arial" w:hAnsi="Arial" w:cs="Arial"/>
        </w:rPr>
      </w:pPr>
    </w:p>
    <w:p w14:paraId="2AC575BD" w14:textId="77777777" w:rsidR="008D0565" w:rsidRPr="00D61F73" w:rsidRDefault="008D0565" w:rsidP="00D61F73">
      <w:pPr>
        <w:rPr>
          <w:rFonts w:ascii="Arial" w:hAnsi="Arial" w:cs="Arial"/>
        </w:rPr>
      </w:pPr>
      <w:r w:rsidRPr="00D61F73">
        <w:rPr>
          <w:rFonts w:ascii="Arial" w:hAnsi="Arial" w:cs="Arial"/>
        </w:rPr>
        <w:t>Rating: 3a</w:t>
      </w:r>
    </w:p>
    <w:p w14:paraId="74429957"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M</w:t>
      </w:r>
      <w:bookmarkStart w:id="968" w:name="Morley"/>
      <w:bookmarkEnd w:id="968"/>
      <w:r w:rsidRPr="00D61F73">
        <w:rPr>
          <w:rFonts w:ascii="Arial" w:hAnsi="Arial" w:cs="Arial"/>
          <w:b/>
        </w:rPr>
        <w:t xml:space="preserve">orley S, Eccleston C, Williams A. Systematic review and meta-analysis of randomized controlled trials of cognitive behaviour therapy and behaviour therapy for chronic pain in adults, excluding headache. </w:t>
      </w:r>
      <w:r w:rsidRPr="00D61F73">
        <w:rPr>
          <w:rFonts w:ascii="Arial" w:hAnsi="Arial" w:cs="Arial"/>
          <w:b/>
          <w:i/>
        </w:rPr>
        <w:t>Pain</w:t>
      </w:r>
      <w:r w:rsidRPr="00D61F73">
        <w:rPr>
          <w:rFonts w:ascii="Arial" w:hAnsi="Arial" w:cs="Arial"/>
          <w:b/>
        </w:rPr>
        <w:t>. 1999 Mar;80(1-2):1-13.</w:t>
      </w:r>
    </w:p>
    <w:p w14:paraId="3A019BF6" w14:textId="77777777" w:rsidR="008D0565" w:rsidRPr="00D61F73" w:rsidRDefault="008D0565" w:rsidP="00D61F73">
      <w:pPr>
        <w:rPr>
          <w:rFonts w:ascii="Arial" w:hAnsi="Arial" w:cs="Arial"/>
        </w:rPr>
      </w:pPr>
    </w:p>
    <w:p w14:paraId="6AC901DC" w14:textId="77777777" w:rsidR="008D0565" w:rsidRPr="00D61F73" w:rsidRDefault="008D0565" w:rsidP="00D61F73">
      <w:pPr>
        <w:rPr>
          <w:rFonts w:ascii="Arial" w:hAnsi="Arial" w:cs="Arial"/>
        </w:rPr>
      </w:pPr>
      <w:r w:rsidRPr="00D61F73">
        <w:rPr>
          <w:rFonts w:ascii="Arial" w:hAnsi="Arial" w:cs="Arial"/>
        </w:rPr>
        <w:t xml:space="preserve">We conclude that active psychological treatments based on the principle of cognitive behavioural therapy are effective. </w:t>
      </w:r>
    </w:p>
    <w:p w14:paraId="3C59386D" w14:textId="77777777" w:rsidR="008D0565" w:rsidRPr="00D61F73" w:rsidRDefault="008D0565" w:rsidP="00D61F73">
      <w:pPr>
        <w:rPr>
          <w:rFonts w:ascii="Arial" w:hAnsi="Arial" w:cs="Arial"/>
        </w:rPr>
      </w:pPr>
    </w:p>
    <w:p w14:paraId="45D68FD4" w14:textId="77777777" w:rsidR="008D0565" w:rsidRPr="00D61F73" w:rsidRDefault="008D0565" w:rsidP="00D61F73">
      <w:pPr>
        <w:rPr>
          <w:rFonts w:ascii="Arial" w:hAnsi="Arial" w:cs="Arial"/>
        </w:rPr>
      </w:pPr>
      <w:r w:rsidRPr="00D61F73">
        <w:rPr>
          <w:rFonts w:ascii="Arial" w:hAnsi="Arial" w:cs="Arial"/>
        </w:rPr>
        <w:t xml:space="preserve">PMID: </w:t>
      </w:r>
      <w:hyperlink r:id="rId644" w:history="1">
        <w:r w:rsidRPr="00D61F73">
          <w:rPr>
            <w:rStyle w:val="Hyperlink"/>
            <w:rFonts w:ascii="Arial" w:hAnsi="Arial" w:cs="Arial"/>
          </w:rPr>
          <w:t>10204712</w:t>
        </w:r>
      </w:hyperlink>
      <w:r w:rsidRPr="00D61F73">
        <w:rPr>
          <w:rFonts w:ascii="Arial" w:hAnsi="Arial" w:cs="Arial"/>
        </w:rPr>
        <w:t xml:space="preserve"> </w:t>
      </w:r>
    </w:p>
    <w:p w14:paraId="535896E0" w14:textId="77777777" w:rsidR="008D0565" w:rsidRPr="00D61F73" w:rsidRDefault="008D0565" w:rsidP="00D61F73">
      <w:pPr>
        <w:rPr>
          <w:rFonts w:ascii="Arial" w:hAnsi="Arial" w:cs="Arial"/>
        </w:rPr>
      </w:pPr>
    </w:p>
    <w:p w14:paraId="08A0E792"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1a</w:t>
      </w:r>
    </w:p>
    <w:p w14:paraId="1FE07780"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M</w:t>
      </w:r>
      <w:bookmarkStart w:id="969" w:name="Moskowitz"/>
      <w:bookmarkEnd w:id="969"/>
      <w:r w:rsidRPr="00D61F73">
        <w:rPr>
          <w:rFonts w:ascii="Arial" w:hAnsi="Arial" w:cs="Arial"/>
        </w:rPr>
        <w:t>oskowitz M, Mackie K, Huestis MA, Ratcliffe S, Mead AP, Fishman SM. Cannabinoids - a new class of analgesics. Program and abstracts of the American Academy of Pain Medicine 23rd Annual Meeting; February 7-10, 2007; New Orleans, Louisiana.</w:t>
      </w:r>
    </w:p>
    <w:p w14:paraId="01552A78" w14:textId="77777777" w:rsidR="008D0565" w:rsidRPr="00D61F73" w:rsidRDefault="008D0565" w:rsidP="00D61F73">
      <w:pPr>
        <w:pStyle w:val="BodyText"/>
        <w:rPr>
          <w:rFonts w:ascii="Arial" w:hAnsi="Arial" w:cs="Arial"/>
          <w:b w:val="0"/>
          <w:bCs w:val="0"/>
        </w:rPr>
      </w:pPr>
    </w:p>
    <w:p w14:paraId="3B4ADD37"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In total, 11 states have approved the use of medical marijuana for the treatment of chronic pain or for nausea associated with chemotherapy. The medical community has lagged behind a bit and partly because there are really very little, quality, controlled clinical data with cannabinoids. Restricted legal access to Schedule I drugs, such as marijuana, tends to hamper research in this area. It is also very hard to do controlled studies with a drug that is psychoactive because it is hard to blind these effects. It is difficult to justify advising our patients to smoke street-grade marijuana, presuming that they will experience benefit, when they may also be harmed. </w:t>
      </w:r>
    </w:p>
    <w:p w14:paraId="4215537C" w14:textId="77777777" w:rsidR="008D0565" w:rsidRPr="00D61F73" w:rsidRDefault="008D0565" w:rsidP="00D61F73">
      <w:pPr>
        <w:pStyle w:val="BodyText"/>
        <w:rPr>
          <w:rFonts w:ascii="Arial" w:hAnsi="Arial" w:cs="Arial"/>
          <w:b w:val="0"/>
          <w:bCs w:val="0"/>
        </w:rPr>
      </w:pPr>
    </w:p>
    <w:p w14:paraId="47308C72"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10a</w:t>
      </w:r>
    </w:p>
    <w:p w14:paraId="2C88C76F" w14:textId="77777777" w:rsidR="008D0565" w:rsidRPr="00D61F73" w:rsidRDefault="008D0565" w:rsidP="00D61F73">
      <w:pPr>
        <w:pStyle w:val="BodyText"/>
        <w:rPr>
          <w:rFonts w:ascii="Arial" w:hAnsi="Arial" w:cs="Arial"/>
        </w:rPr>
      </w:pPr>
      <w:r w:rsidRPr="00D61F73">
        <w:rPr>
          <w:rFonts w:ascii="Arial" w:hAnsi="Arial" w:cs="Arial"/>
          <w:b w:val="0"/>
          <w:bCs w:val="0"/>
        </w:rPr>
        <w:br w:type="page"/>
      </w:r>
      <w:bookmarkStart w:id="970" w:name="Moulin"/>
      <w:r w:rsidR="003B6FF2" w:rsidRPr="00D61F73" w:rsidDel="003B6FF2">
        <w:rPr>
          <w:rFonts w:ascii="Arial" w:hAnsi="Arial" w:cs="Arial"/>
        </w:rPr>
        <w:lastRenderedPageBreak/>
        <w:t xml:space="preserve"> </w:t>
      </w:r>
      <w:bookmarkStart w:id="971" w:name="Moulin2"/>
      <w:bookmarkEnd w:id="970"/>
      <w:r w:rsidRPr="00D61F73">
        <w:rPr>
          <w:rFonts w:ascii="Arial" w:hAnsi="Arial" w:cs="Arial"/>
        </w:rPr>
        <w:t>Moulin</w:t>
      </w:r>
      <w:bookmarkEnd w:id="971"/>
      <w:r w:rsidRPr="00D61F73">
        <w:rPr>
          <w:rFonts w:ascii="Arial" w:hAnsi="Arial" w:cs="Arial"/>
        </w:rPr>
        <w:t xml:space="preserve"> DE, Systemic drug treatment for chronic musculoskeletal pain, </w:t>
      </w:r>
      <w:r w:rsidRPr="00D61F73">
        <w:rPr>
          <w:rFonts w:ascii="Arial" w:hAnsi="Arial" w:cs="Arial"/>
          <w:i/>
          <w:iCs/>
        </w:rPr>
        <w:t>Clin J Pain</w:t>
      </w:r>
      <w:r w:rsidRPr="00D61F73">
        <w:rPr>
          <w:rFonts w:ascii="Arial" w:hAnsi="Arial" w:cs="Arial"/>
        </w:rPr>
        <w:t>. 2001 Dec;17(4 Suppl):S86-93.</w:t>
      </w:r>
    </w:p>
    <w:p w14:paraId="1657B4E2" w14:textId="77777777" w:rsidR="008D0565" w:rsidRPr="00D61F73" w:rsidRDefault="008D0565" w:rsidP="00D61F73">
      <w:pPr>
        <w:rPr>
          <w:rFonts w:ascii="Arial" w:hAnsi="Arial" w:cs="Arial"/>
        </w:rPr>
      </w:pPr>
    </w:p>
    <w:p w14:paraId="3DC3077C" w14:textId="77777777" w:rsidR="008D0565" w:rsidRPr="00D61F73" w:rsidRDefault="008D0565" w:rsidP="00D61F73">
      <w:pPr>
        <w:rPr>
          <w:rFonts w:ascii="Arial" w:hAnsi="Arial" w:cs="Arial"/>
        </w:rPr>
      </w:pPr>
      <w:r w:rsidRPr="00D61F73">
        <w:rPr>
          <w:rFonts w:ascii="Arial" w:hAnsi="Arial" w:cs="Arial"/>
        </w:rPr>
        <w:t xml:space="preserve">CONCLUSIONS: For chronic pain, opioid analgesics provide benefit for up to 9 weeks (level 2). For chronic low back pain, the evidence shows that various types of nonsteroidal antiinflammatory drugs are equally effective or ineffective, and that antidepressants provide no benefit in the short to intermediate term (level 2). </w:t>
      </w:r>
    </w:p>
    <w:p w14:paraId="7E030186" w14:textId="77777777" w:rsidR="008D0565" w:rsidRPr="00D61F73" w:rsidRDefault="008D0565" w:rsidP="00D61F73">
      <w:pPr>
        <w:rPr>
          <w:rFonts w:ascii="Arial" w:hAnsi="Arial" w:cs="Arial"/>
        </w:rPr>
      </w:pPr>
    </w:p>
    <w:p w14:paraId="545E7DF2" w14:textId="77777777" w:rsidR="008D0565" w:rsidRPr="00D61F73" w:rsidRDefault="008D0565" w:rsidP="00D61F73">
      <w:pPr>
        <w:rPr>
          <w:rFonts w:ascii="Arial" w:hAnsi="Arial" w:cs="Arial"/>
        </w:rPr>
      </w:pPr>
      <w:r w:rsidRPr="00D61F73">
        <w:rPr>
          <w:rFonts w:ascii="Arial" w:hAnsi="Arial" w:cs="Arial"/>
        </w:rPr>
        <w:t xml:space="preserve">PMID: </w:t>
      </w:r>
      <w:hyperlink r:id="rId645" w:history="1">
        <w:r w:rsidRPr="00D61F73">
          <w:rPr>
            <w:rStyle w:val="Hyperlink"/>
            <w:rFonts w:ascii="Arial" w:hAnsi="Arial" w:cs="Arial"/>
          </w:rPr>
          <w:t>11783837</w:t>
        </w:r>
      </w:hyperlink>
      <w:r w:rsidRPr="00D61F73">
        <w:rPr>
          <w:rFonts w:ascii="Arial" w:hAnsi="Arial" w:cs="Arial"/>
        </w:rPr>
        <w:t xml:space="preserve"> </w:t>
      </w:r>
    </w:p>
    <w:p w14:paraId="481287F4" w14:textId="77777777" w:rsidR="008D0565" w:rsidRPr="00D61F73" w:rsidRDefault="008D0565" w:rsidP="00D61F73">
      <w:pPr>
        <w:pStyle w:val="NormalWeb"/>
        <w:spacing w:before="0" w:beforeAutospacing="0" w:after="0" w:afterAutospacing="0"/>
        <w:rPr>
          <w:rFonts w:ascii="Arial" w:hAnsi="Arial" w:cs="Arial"/>
        </w:rPr>
      </w:pPr>
    </w:p>
    <w:p w14:paraId="09F669B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4D4275A9"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M</w:t>
      </w:r>
      <w:bookmarkStart w:id="972" w:name="Murray2004"/>
      <w:bookmarkEnd w:id="972"/>
      <w:r w:rsidRPr="00D61F73">
        <w:rPr>
          <w:rFonts w:ascii="Arial" w:hAnsi="Arial" w:cs="Arial"/>
          <w:b/>
        </w:rPr>
        <w:t xml:space="preserve">urray AK, Herrick AL, King TA. Laser Doppler imaging: a developing technique for application in the rheumatic diseases. </w:t>
      </w:r>
      <w:r w:rsidRPr="00D61F73">
        <w:rPr>
          <w:rFonts w:ascii="Arial" w:hAnsi="Arial" w:cs="Arial"/>
          <w:b/>
          <w:i/>
        </w:rPr>
        <w:t>Rheumatology (Oxford</w:t>
      </w:r>
      <w:r w:rsidRPr="00D61F73">
        <w:rPr>
          <w:rFonts w:ascii="Arial" w:hAnsi="Arial" w:cs="Arial"/>
          <w:b/>
        </w:rPr>
        <w:t>). 2004;43:1210-8.</w:t>
      </w:r>
    </w:p>
    <w:p w14:paraId="09A8A89E" w14:textId="77777777" w:rsidR="008D0565" w:rsidRPr="00D61F73" w:rsidRDefault="008D0565" w:rsidP="00D61F73">
      <w:pPr>
        <w:rPr>
          <w:rFonts w:ascii="Arial" w:eastAsia="Calibri" w:hAnsi="Arial" w:cs="Arial"/>
        </w:rPr>
      </w:pPr>
    </w:p>
    <w:p w14:paraId="26596F2C"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46" w:history="1">
        <w:r w:rsidRPr="00D61F73">
          <w:rPr>
            <w:rStyle w:val="Hyperlink"/>
            <w:rFonts w:ascii="Arial" w:hAnsi="Arial" w:cs="Arial"/>
          </w:rPr>
          <w:t>15226515</w:t>
        </w:r>
      </w:hyperlink>
    </w:p>
    <w:p w14:paraId="500AA02F" w14:textId="77777777" w:rsidR="008D0565" w:rsidRPr="00D61F73" w:rsidRDefault="008D0565" w:rsidP="00D61F73">
      <w:pPr>
        <w:rPr>
          <w:rFonts w:ascii="Arial" w:eastAsia="Calibri" w:hAnsi="Arial" w:cs="Arial"/>
        </w:rPr>
      </w:pPr>
    </w:p>
    <w:p w14:paraId="42B00391" w14:textId="77777777" w:rsidR="008D0565" w:rsidRPr="00D61F73" w:rsidRDefault="008D0565" w:rsidP="00D61F73">
      <w:pPr>
        <w:rPr>
          <w:rFonts w:ascii="Arial" w:eastAsia="Calibri" w:hAnsi="Arial" w:cs="Arial"/>
        </w:rPr>
      </w:pPr>
      <w:r w:rsidRPr="00D61F73">
        <w:rPr>
          <w:rFonts w:ascii="Arial" w:hAnsi="Arial" w:cs="Arial"/>
        </w:rPr>
        <w:t>Rating: 5c</w:t>
      </w:r>
    </w:p>
    <w:p w14:paraId="7585990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73" w:name="Nakazawa"/>
      <w:bookmarkEnd w:id="973"/>
      <w:r w:rsidRPr="00D61F73">
        <w:rPr>
          <w:rFonts w:ascii="Arial" w:hAnsi="Arial" w:cs="Arial"/>
          <w:b/>
          <w:bCs/>
        </w:rPr>
        <w:t xml:space="preserve">akazawa, R., et al. Hormone Profiles after Intramuscular Injection of Testosterone Enanthate in Patients with Hypogonadism. </w:t>
      </w:r>
      <w:r w:rsidRPr="00D61F73">
        <w:rPr>
          <w:rFonts w:ascii="Arial" w:hAnsi="Arial" w:cs="Arial"/>
          <w:b/>
          <w:bCs/>
          <w:i/>
          <w:iCs/>
        </w:rPr>
        <w:t>Endocrine Journal</w:t>
      </w:r>
      <w:r w:rsidRPr="00D61F73">
        <w:rPr>
          <w:rFonts w:ascii="Arial" w:hAnsi="Arial" w:cs="Arial"/>
          <w:b/>
          <w:bCs/>
        </w:rPr>
        <w:t>, 2006; Volume 53, Number 3, 305-103.</w:t>
      </w:r>
    </w:p>
    <w:p w14:paraId="214BB892" w14:textId="77777777" w:rsidR="008D0565" w:rsidRPr="00D61F73" w:rsidRDefault="008D0565" w:rsidP="00D61F73">
      <w:pPr>
        <w:rPr>
          <w:rFonts w:ascii="Arial" w:hAnsi="Arial" w:cs="Arial"/>
        </w:rPr>
      </w:pPr>
    </w:p>
    <w:p w14:paraId="70F48098" w14:textId="77777777" w:rsidR="008D0565" w:rsidRPr="00D61F73" w:rsidRDefault="008D0565" w:rsidP="00D61F73">
      <w:pPr>
        <w:rPr>
          <w:rFonts w:ascii="Arial" w:hAnsi="Arial" w:cs="Arial"/>
        </w:rPr>
      </w:pPr>
      <w:r w:rsidRPr="00D61F73">
        <w:rPr>
          <w:rFonts w:ascii="Arial" w:hAnsi="Arial" w:cs="Arial"/>
        </w:rPr>
        <w:t>Rating: 2c</w:t>
      </w:r>
    </w:p>
    <w:p w14:paraId="6EF632F7" w14:textId="77777777" w:rsidR="008D0565" w:rsidRPr="00D61F73" w:rsidRDefault="008D0565" w:rsidP="00D61F73">
      <w:pPr>
        <w:rPr>
          <w:rFonts w:ascii="Arial" w:hAnsi="Arial" w:cs="Arial"/>
        </w:rPr>
      </w:pPr>
    </w:p>
    <w:p w14:paraId="760E0F5C" w14:textId="77777777" w:rsidR="008D0565" w:rsidRPr="00D61F73" w:rsidRDefault="008D0565" w:rsidP="00D61F73">
      <w:pPr>
        <w:rPr>
          <w:rFonts w:ascii="Arial" w:hAnsi="Arial" w:cs="Arial"/>
        </w:rPr>
      </w:pPr>
      <w:r w:rsidRPr="00D61F73">
        <w:rPr>
          <w:rFonts w:ascii="Arial" w:hAnsi="Arial" w:cs="Arial"/>
        </w:rPr>
        <w:t>Quality: Low. Total Rating: .5. Comment: Does not meet inclusion criteria for evidence-based review.</w:t>
      </w:r>
    </w:p>
    <w:p w14:paraId="14703057"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N</w:t>
      </w:r>
      <w:bookmarkStart w:id="974" w:name="Naliboff"/>
      <w:bookmarkEnd w:id="974"/>
      <w:r w:rsidRPr="00D61F73">
        <w:rPr>
          <w:rFonts w:ascii="Arial" w:hAnsi="Arial" w:cs="Arial"/>
          <w:b/>
        </w:rPr>
        <w:t>aliboff BD, Wu SM, Pham Q. Clinical considerations in the treatment of chronic pain with opiates</w:t>
      </w:r>
      <w:r w:rsidRPr="00D61F73">
        <w:rPr>
          <w:rFonts w:ascii="Arial" w:hAnsi="Arial" w:cs="Arial"/>
          <w:b/>
          <w:i/>
        </w:rPr>
        <w:t>. J Clin Psychol</w:t>
      </w:r>
      <w:r w:rsidRPr="00D61F73">
        <w:rPr>
          <w:rFonts w:ascii="Arial" w:hAnsi="Arial" w:cs="Arial"/>
          <w:b/>
        </w:rPr>
        <w:t>. 2006;62:1397-408</w:t>
      </w:r>
      <w:r w:rsidRPr="00D61F73">
        <w:rPr>
          <w:rFonts w:ascii="Arial" w:hAnsi="Arial" w:cs="Arial"/>
        </w:rPr>
        <w:t xml:space="preserve">. </w:t>
      </w:r>
      <w:r w:rsidRPr="00D61F73">
        <w:rPr>
          <w:rFonts w:ascii="Arial" w:hAnsi="Arial" w:cs="Arial"/>
          <w:b/>
        </w:rPr>
        <w:t>2006 Aug 25; [Epub ahead of print]</w:t>
      </w:r>
    </w:p>
    <w:p w14:paraId="2EFB2D15" w14:textId="77777777" w:rsidR="008D0565" w:rsidRPr="00D61F73" w:rsidRDefault="008D0565" w:rsidP="00D61F73">
      <w:pPr>
        <w:rPr>
          <w:rFonts w:ascii="Arial" w:hAnsi="Arial" w:cs="Arial"/>
        </w:rPr>
      </w:pPr>
    </w:p>
    <w:p w14:paraId="74FD504C" w14:textId="77777777" w:rsidR="008D0565" w:rsidRPr="00D61F73" w:rsidRDefault="008D0565" w:rsidP="00D61F73">
      <w:pPr>
        <w:rPr>
          <w:rFonts w:ascii="Arial" w:hAnsi="Arial" w:cs="Arial"/>
        </w:rPr>
      </w:pPr>
      <w:r w:rsidRPr="00D61F73">
        <w:rPr>
          <w:rFonts w:ascii="Arial" w:hAnsi="Arial" w:cs="Arial"/>
        </w:rPr>
        <w:t>Practice guidance is offered regarding long-term opiate treatment, including definitions of addiction, initial assessments, ongoing substance misuse monitoring, use of psychological assessment instruments, and managing medication misuse problems.</w:t>
      </w:r>
    </w:p>
    <w:p w14:paraId="34FE735D" w14:textId="77777777" w:rsidR="008D0565" w:rsidRPr="00D61F73" w:rsidRDefault="008D0565" w:rsidP="00D61F73">
      <w:pPr>
        <w:rPr>
          <w:rFonts w:ascii="Arial" w:hAnsi="Arial" w:cs="Arial"/>
        </w:rPr>
      </w:pPr>
    </w:p>
    <w:p w14:paraId="209C8516" w14:textId="77777777" w:rsidR="008D0565" w:rsidRPr="00D61F73" w:rsidRDefault="008D0565" w:rsidP="00D61F73">
      <w:pPr>
        <w:rPr>
          <w:rFonts w:ascii="Arial" w:hAnsi="Arial" w:cs="Arial"/>
        </w:rPr>
      </w:pPr>
      <w:r w:rsidRPr="00D61F73">
        <w:rPr>
          <w:rFonts w:ascii="Arial" w:hAnsi="Arial" w:cs="Arial"/>
        </w:rPr>
        <w:t xml:space="preserve">PMID: </w:t>
      </w:r>
      <w:hyperlink r:id="rId647" w:history="1">
        <w:r w:rsidRPr="00D61F73">
          <w:rPr>
            <w:rStyle w:val="Hyperlink"/>
            <w:rFonts w:ascii="Arial" w:hAnsi="Arial" w:cs="Arial"/>
          </w:rPr>
          <w:t>16937352</w:t>
        </w:r>
      </w:hyperlink>
      <w:r w:rsidRPr="00D61F73">
        <w:rPr>
          <w:rFonts w:ascii="Arial" w:hAnsi="Arial" w:cs="Arial"/>
        </w:rPr>
        <w:t xml:space="preserve"> </w:t>
      </w:r>
    </w:p>
    <w:p w14:paraId="2FAA6FB7" w14:textId="77777777" w:rsidR="008D0565" w:rsidRPr="00D61F73" w:rsidRDefault="008D0565" w:rsidP="00D61F73">
      <w:pPr>
        <w:rPr>
          <w:rFonts w:ascii="Arial" w:hAnsi="Arial" w:cs="Arial"/>
        </w:rPr>
      </w:pPr>
    </w:p>
    <w:p w14:paraId="388C8756" w14:textId="77777777" w:rsidR="008D0565" w:rsidRPr="00D61F73" w:rsidRDefault="008D0565" w:rsidP="00D61F73">
      <w:pPr>
        <w:rPr>
          <w:rFonts w:ascii="Arial" w:hAnsi="Arial" w:cs="Arial"/>
        </w:rPr>
      </w:pPr>
      <w:r w:rsidRPr="00D61F73">
        <w:rPr>
          <w:rFonts w:ascii="Arial" w:hAnsi="Arial" w:cs="Arial"/>
        </w:rPr>
        <w:t>Rating: 5a</w:t>
      </w:r>
    </w:p>
    <w:p w14:paraId="0230CF81"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75" w:name="Namaka"/>
      <w:bookmarkEnd w:id="975"/>
      <w:r w:rsidRPr="00D61F73">
        <w:rPr>
          <w:rFonts w:ascii="Arial" w:hAnsi="Arial" w:cs="Arial"/>
          <w:b/>
          <w:bCs/>
        </w:rPr>
        <w:t xml:space="preserve">amaka M, Gramlich CR, Ruhlen D, Melanson M, Sutton I, Major J. A treatment algorithm for neuropathic pain. </w:t>
      </w:r>
      <w:r w:rsidRPr="00D61F73">
        <w:rPr>
          <w:rFonts w:ascii="Arial" w:hAnsi="Arial" w:cs="Arial"/>
          <w:b/>
          <w:bCs/>
          <w:i/>
          <w:iCs/>
        </w:rPr>
        <w:t>Clin Ther</w:t>
      </w:r>
      <w:r w:rsidRPr="00D61F73">
        <w:rPr>
          <w:rFonts w:ascii="Arial" w:hAnsi="Arial" w:cs="Arial"/>
          <w:b/>
          <w:bCs/>
        </w:rPr>
        <w:t>. 2004 Jul;26(7):951-79.</w:t>
      </w:r>
    </w:p>
    <w:p w14:paraId="25953280" w14:textId="77777777" w:rsidR="008D0565" w:rsidRPr="00D61F73" w:rsidRDefault="008D0565" w:rsidP="00D61F73">
      <w:pPr>
        <w:pStyle w:val="NormalWeb"/>
        <w:spacing w:before="0" w:beforeAutospacing="0" w:after="0" w:afterAutospacing="0"/>
        <w:rPr>
          <w:rFonts w:ascii="Arial" w:hAnsi="Arial" w:cs="Arial"/>
        </w:rPr>
      </w:pPr>
    </w:p>
    <w:p w14:paraId="67BF198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RESULTS: Any of the agents in the first-line drug classes (tricyclic antidepressants, antiepileptic drugs, topical antineuralgics, analgesics) may be used as a starting point in the treatment of neuropathic pain. If a patient does not respond to treatment with at least 3 different agents within a drug class, agents from a second drug class may be tried. </w:t>
      </w:r>
    </w:p>
    <w:p w14:paraId="2943A717" w14:textId="77777777" w:rsidR="008D0565" w:rsidRPr="00D61F73" w:rsidRDefault="008D0565" w:rsidP="00D61F73">
      <w:pPr>
        <w:pStyle w:val="NormalWeb"/>
        <w:spacing w:before="0" w:beforeAutospacing="0" w:after="0" w:afterAutospacing="0"/>
        <w:rPr>
          <w:rFonts w:ascii="Arial" w:hAnsi="Arial" w:cs="Arial"/>
        </w:rPr>
      </w:pPr>
    </w:p>
    <w:p w14:paraId="236DDCA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648" w:history="1">
        <w:r w:rsidRPr="00D61F73">
          <w:rPr>
            <w:rStyle w:val="Hyperlink"/>
            <w:rFonts w:ascii="Arial" w:hAnsi="Arial" w:cs="Arial"/>
          </w:rPr>
          <w:t>15336464</w:t>
        </w:r>
      </w:hyperlink>
    </w:p>
    <w:p w14:paraId="48B7789E" w14:textId="77777777" w:rsidR="008D0565" w:rsidRPr="00D61F73" w:rsidRDefault="008D0565" w:rsidP="00D61F73">
      <w:pPr>
        <w:pStyle w:val="NormalWeb"/>
        <w:spacing w:before="0" w:beforeAutospacing="0" w:after="0" w:afterAutospacing="0"/>
        <w:rPr>
          <w:rFonts w:ascii="Arial" w:hAnsi="Arial" w:cs="Arial"/>
        </w:rPr>
      </w:pPr>
    </w:p>
    <w:p w14:paraId="419B1FD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8a</w:t>
      </w:r>
    </w:p>
    <w:p w14:paraId="772137C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76" w:name="Narang2008"/>
      <w:bookmarkEnd w:id="976"/>
      <w:r w:rsidRPr="00D61F73">
        <w:rPr>
          <w:rFonts w:ascii="Arial" w:hAnsi="Arial" w:cs="Arial"/>
          <w:b/>
          <w:bCs/>
        </w:rPr>
        <w:t xml:space="preserve">arang S, Gibson D, Wasan AD, Ross EL, Michna E, Nedeljkovic SS, Jamison RN. Efficacy of dronabinol as an adjuvant treatment for chronic pain patients on opioid therapy. </w:t>
      </w:r>
      <w:r w:rsidRPr="00D61F73">
        <w:rPr>
          <w:rFonts w:ascii="Arial" w:hAnsi="Arial" w:cs="Arial"/>
          <w:b/>
          <w:bCs/>
          <w:i/>
          <w:iCs/>
        </w:rPr>
        <w:t>J Pain</w:t>
      </w:r>
      <w:r w:rsidRPr="00D61F73">
        <w:rPr>
          <w:rFonts w:ascii="Arial" w:hAnsi="Arial" w:cs="Arial"/>
          <w:b/>
          <w:bCs/>
        </w:rPr>
        <w:t>. 2008 Mar;9(3):254-64. Epub 2007 Dec 21.</w:t>
      </w:r>
    </w:p>
    <w:p w14:paraId="50666BE5" w14:textId="77777777" w:rsidR="008D0565" w:rsidRPr="00D61F73" w:rsidRDefault="008D0565" w:rsidP="00D61F73">
      <w:pPr>
        <w:rPr>
          <w:rFonts w:ascii="Arial" w:hAnsi="Arial" w:cs="Arial"/>
        </w:rPr>
      </w:pPr>
    </w:p>
    <w:p w14:paraId="0446017E" w14:textId="77777777" w:rsidR="008D0565" w:rsidRPr="00D61F73" w:rsidRDefault="008D0565" w:rsidP="00D61F73">
      <w:pPr>
        <w:rPr>
          <w:rFonts w:ascii="Arial" w:hAnsi="Arial" w:cs="Arial"/>
        </w:rPr>
      </w:pPr>
      <w:r w:rsidRPr="00D61F73">
        <w:rPr>
          <w:rFonts w:ascii="Arial" w:hAnsi="Arial" w:cs="Arial"/>
        </w:rPr>
        <w:t>The results of our preliminary study suggest that dronabinol, a synthetic THC, may have an additive effect on pain relief.</w:t>
      </w:r>
    </w:p>
    <w:p w14:paraId="0CB3F553" w14:textId="77777777" w:rsidR="008D0565" w:rsidRPr="00D61F73" w:rsidRDefault="008D0565" w:rsidP="00D61F73">
      <w:pPr>
        <w:rPr>
          <w:rFonts w:ascii="Arial" w:hAnsi="Arial" w:cs="Arial"/>
        </w:rPr>
      </w:pPr>
    </w:p>
    <w:p w14:paraId="6ED72D9E" w14:textId="77777777" w:rsidR="008D0565" w:rsidRPr="00D61F73" w:rsidRDefault="008D0565" w:rsidP="00D61F73">
      <w:pPr>
        <w:rPr>
          <w:rFonts w:ascii="Arial" w:hAnsi="Arial" w:cs="Arial"/>
        </w:rPr>
      </w:pPr>
      <w:r w:rsidRPr="00D61F73">
        <w:rPr>
          <w:rFonts w:ascii="Arial" w:hAnsi="Arial" w:cs="Arial"/>
        </w:rPr>
        <w:t xml:space="preserve">PMID: </w:t>
      </w:r>
      <w:hyperlink r:id="rId649" w:history="1">
        <w:r w:rsidRPr="00D61F73">
          <w:rPr>
            <w:rStyle w:val="Hyperlink"/>
            <w:rFonts w:ascii="Arial" w:hAnsi="Arial" w:cs="Arial"/>
          </w:rPr>
          <w:t>18088560</w:t>
        </w:r>
      </w:hyperlink>
      <w:r w:rsidRPr="00D61F73">
        <w:rPr>
          <w:rFonts w:ascii="Arial" w:hAnsi="Arial" w:cs="Arial"/>
        </w:rPr>
        <w:t xml:space="preserve"> </w:t>
      </w:r>
    </w:p>
    <w:p w14:paraId="4FFDF6A4" w14:textId="77777777" w:rsidR="008D0565" w:rsidRPr="00D61F73" w:rsidRDefault="008D0565" w:rsidP="00D61F73">
      <w:pPr>
        <w:rPr>
          <w:rFonts w:ascii="Arial" w:hAnsi="Arial" w:cs="Arial"/>
        </w:rPr>
      </w:pPr>
    </w:p>
    <w:p w14:paraId="5CEBCF50" w14:textId="77777777" w:rsidR="008D0565" w:rsidRPr="00D61F73" w:rsidRDefault="008D0565" w:rsidP="00D61F73">
      <w:pPr>
        <w:rPr>
          <w:rFonts w:ascii="Arial" w:hAnsi="Arial" w:cs="Arial"/>
        </w:rPr>
      </w:pPr>
      <w:r w:rsidRPr="00D61F73">
        <w:rPr>
          <w:rFonts w:ascii="Arial" w:hAnsi="Arial" w:cs="Arial"/>
        </w:rPr>
        <w:t>Rating: 2b</w:t>
      </w:r>
    </w:p>
    <w:p w14:paraId="5D7D12D1" w14:textId="77777777" w:rsidR="008D0565" w:rsidRPr="00D61F73" w:rsidRDefault="008D0565" w:rsidP="00D61F73">
      <w:pPr>
        <w:rPr>
          <w:rFonts w:ascii="Arial" w:hAnsi="Arial" w:cs="Arial"/>
        </w:rPr>
      </w:pPr>
    </w:p>
    <w:p w14:paraId="2247C534" w14:textId="77777777" w:rsidR="002834D6" w:rsidRPr="00D61F73" w:rsidRDefault="002834D6" w:rsidP="00D61F73">
      <w:pPr>
        <w:tabs>
          <w:tab w:val="left" w:pos="7200"/>
        </w:tabs>
        <w:rPr>
          <w:rFonts w:ascii="Arial" w:hAnsi="Arial" w:cs="Arial"/>
        </w:rPr>
      </w:pPr>
      <w:r w:rsidRPr="00D61F73">
        <w:rPr>
          <w:rFonts w:ascii="Arial" w:hAnsi="Arial" w:cs="Arial"/>
        </w:rPr>
        <w:br w:type="page"/>
      </w:r>
      <w:bookmarkStart w:id="977" w:name="Naumann"/>
      <w:bookmarkEnd w:id="977"/>
      <w:r w:rsidRPr="00D61F73">
        <w:rPr>
          <w:rFonts w:ascii="Arial" w:hAnsi="Arial" w:cs="Arial"/>
        </w:rPr>
        <w:lastRenderedPageBreak/>
        <w:t>Naumann M, So Y, Argoff CE, Childers MK, Dykstra DD, Gronseth GS, Jabbari B, Kaufmann HC, Schurch B, Silberstein SD, Simpson DM; Therapeutics and Technology Assessment Subcommittee of the American Academy of Neurology. Assessment:Botulinum neurotoxin in the treatment of autonomic disorders and pain (an evidence-based review): report of the Therapeutics and Technology Assessment Subcommittee of the American Academy of Neurology. </w:t>
      </w:r>
      <w:r w:rsidRPr="00D61F73">
        <w:rPr>
          <w:rFonts w:ascii="Arial" w:hAnsi="Arial" w:cs="Arial"/>
          <w:i/>
          <w:iCs/>
        </w:rPr>
        <w:t>Neurology</w:t>
      </w:r>
      <w:r w:rsidRPr="00D61F73">
        <w:rPr>
          <w:rFonts w:ascii="Arial" w:hAnsi="Arial" w:cs="Arial"/>
        </w:rPr>
        <w:t>. 2008 May 6;70(19):1707-14.</w:t>
      </w:r>
    </w:p>
    <w:p w14:paraId="3665173C" w14:textId="77777777" w:rsidR="002834D6" w:rsidRPr="00D61F73" w:rsidRDefault="002834D6" w:rsidP="00D61F73">
      <w:pPr>
        <w:tabs>
          <w:tab w:val="left" w:pos="7200"/>
        </w:tabs>
        <w:rPr>
          <w:rFonts w:ascii="Arial" w:hAnsi="Arial" w:cs="Arial"/>
        </w:rPr>
      </w:pPr>
      <w:r w:rsidRPr="00D61F73">
        <w:rPr>
          <w:rFonts w:ascii="Arial" w:hAnsi="Arial" w:cs="Arial"/>
        </w:rPr>
        <w:t> </w:t>
      </w:r>
    </w:p>
    <w:p w14:paraId="5F392D3D" w14:textId="77777777" w:rsidR="002834D6" w:rsidRPr="00D61F73" w:rsidRDefault="002834D6" w:rsidP="00D61F73">
      <w:pPr>
        <w:tabs>
          <w:tab w:val="left" w:pos="7200"/>
        </w:tabs>
        <w:rPr>
          <w:rFonts w:ascii="Arial" w:hAnsi="Arial" w:cs="Arial"/>
        </w:rPr>
      </w:pPr>
      <w:r w:rsidRPr="00D61F73">
        <w:rPr>
          <w:rFonts w:ascii="Arial" w:hAnsi="Arial" w:cs="Arial"/>
        </w:rPr>
        <w:t>Botulinum neurotoxin (BoNT) may be considered for gustatory sweating and low back pain (Level C). BoNT is probably ineffective in episodic migraine and chronic tension-type headache (Level B).</w:t>
      </w:r>
    </w:p>
    <w:p w14:paraId="2F897233" w14:textId="77777777" w:rsidR="002834D6" w:rsidRPr="00D61F73" w:rsidRDefault="002834D6" w:rsidP="00D61F73">
      <w:pPr>
        <w:tabs>
          <w:tab w:val="left" w:pos="7200"/>
        </w:tabs>
        <w:rPr>
          <w:rFonts w:ascii="Arial" w:hAnsi="Arial" w:cs="Arial"/>
        </w:rPr>
      </w:pPr>
      <w:r w:rsidRPr="00D61F73">
        <w:rPr>
          <w:rFonts w:ascii="Arial" w:hAnsi="Arial" w:cs="Arial"/>
        </w:rPr>
        <w:t> </w:t>
      </w:r>
    </w:p>
    <w:p w14:paraId="46EEDDBA" w14:textId="77777777" w:rsidR="002834D6" w:rsidRPr="00D61F73" w:rsidRDefault="002834D6" w:rsidP="00D61F73">
      <w:pPr>
        <w:tabs>
          <w:tab w:val="left" w:pos="7200"/>
        </w:tabs>
        <w:rPr>
          <w:rFonts w:ascii="Arial" w:hAnsi="Arial" w:cs="Arial"/>
        </w:rPr>
      </w:pPr>
      <w:r w:rsidRPr="00D61F73">
        <w:rPr>
          <w:rFonts w:ascii="Arial" w:hAnsi="Arial" w:cs="Arial"/>
        </w:rPr>
        <w:t>PMID: </w:t>
      </w:r>
      <w:hyperlink r:id="rId650" w:history="1">
        <w:r w:rsidRPr="00D61F73">
          <w:rPr>
            <w:rStyle w:val="Hyperlink"/>
            <w:rFonts w:ascii="Arial" w:hAnsi="Arial" w:cs="Arial"/>
          </w:rPr>
          <w:t>18458231</w:t>
        </w:r>
      </w:hyperlink>
    </w:p>
    <w:p w14:paraId="54BD022F" w14:textId="77777777" w:rsidR="002834D6" w:rsidRPr="00D61F73" w:rsidRDefault="002834D6" w:rsidP="00D61F73">
      <w:pPr>
        <w:tabs>
          <w:tab w:val="left" w:pos="7200"/>
        </w:tabs>
        <w:rPr>
          <w:rFonts w:ascii="Arial" w:hAnsi="Arial" w:cs="Arial"/>
        </w:rPr>
      </w:pPr>
      <w:r w:rsidRPr="00D61F73">
        <w:rPr>
          <w:rFonts w:ascii="Arial" w:hAnsi="Arial" w:cs="Arial"/>
        </w:rPr>
        <w:t> </w:t>
      </w:r>
    </w:p>
    <w:p w14:paraId="7209A834" w14:textId="77777777" w:rsidR="002834D6" w:rsidRPr="00D61F73" w:rsidRDefault="002834D6" w:rsidP="00D61F73">
      <w:pPr>
        <w:tabs>
          <w:tab w:val="left" w:pos="7200"/>
        </w:tabs>
        <w:rPr>
          <w:rFonts w:ascii="Arial" w:hAnsi="Arial" w:cs="Arial"/>
        </w:rPr>
      </w:pPr>
      <w:r w:rsidRPr="00D61F73">
        <w:rPr>
          <w:rFonts w:ascii="Arial" w:hAnsi="Arial" w:cs="Arial"/>
        </w:rPr>
        <w:t>Rating: 1c</w:t>
      </w:r>
    </w:p>
    <w:p w14:paraId="7786B8A4" w14:textId="71EBDB7F" w:rsidR="008D0565" w:rsidRPr="00D61F73" w:rsidRDefault="008D0565" w:rsidP="00D61F73">
      <w:pPr>
        <w:tabs>
          <w:tab w:val="left" w:pos="7200"/>
        </w:tabs>
        <w:rPr>
          <w:rFonts w:ascii="Arial" w:hAnsi="Arial" w:cs="Arial"/>
          <w:b/>
          <w:bCs/>
        </w:rPr>
      </w:pPr>
      <w:r w:rsidRPr="00D61F73">
        <w:rPr>
          <w:rFonts w:ascii="Arial" w:hAnsi="Arial" w:cs="Arial"/>
        </w:rPr>
        <w:br w:type="page"/>
      </w:r>
      <w:bookmarkStart w:id="978" w:name="Cochrane"/>
      <w:bookmarkEnd w:id="978"/>
      <w:r w:rsidRPr="004423C7">
        <w:rPr>
          <w:rFonts w:ascii="Arial" w:hAnsi="Arial" w:cs="Arial"/>
          <w:b/>
          <w:bCs/>
        </w:rPr>
        <w:lastRenderedPageBreak/>
        <w:t>Nelemans PJ, Bie RA de, Vet HCW de, Sturmans F</w:t>
      </w:r>
      <w:r w:rsidRPr="00D61F73">
        <w:rPr>
          <w:rFonts w:ascii="Arial" w:hAnsi="Arial" w:cs="Arial"/>
          <w:b/>
          <w:bCs/>
        </w:rPr>
        <w:t xml:space="preserve">. Injection therapy for subacute and chronic benign low back pain (Cochrane Review). In: </w:t>
      </w:r>
      <w:r w:rsidRPr="00D61F73">
        <w:rPr>
          <w:rStyle w:val="HTMLCite"/>
          <w:rFonts w:ascii="Arial" w:hAnsi="Arial" w:cs="Arial"/>
          <w:b/>
          <w:bCs/>
        </w:rPr>
        <w:t xml:space="preserve">The Cochrane Library, </w:t>
      </w:r>
      <w:r w:rsidRPr="00D61F73">
        <w:rPr>
          <w:rFonts w:ascii="Arial" w:hAnsi="Arial" w:cs="Arial"/>
          <w:b/>
          <w:bCs/>
        </w:rPr>
        <w:t xml:space="preserve">Issue 2, 2002. Oxford: Update </w:t>
      </w:r>
    </w:p>
    <w:p w14:paraId="06665F32" w14:textId="77777777" w:rsidR="008D0565" w:rsidRPr="00D61F73" w:rsidRDefault="008D0565" w:rsidP="00D61F73">
      <w:pPr>
        <w:pStyle w:val="NormalWeb"/>
        <w:spacing w:before="0" w:beforeAutospacing="0" w:after="0" w:afterAutospacing="0"/>
        <w:rPr>
          <w:rFonts w:ascii="Arial" w:hAnsi="Arial" w:cs="Arial"/>
          <w:b/>
          <w:bCs/>
        </w:rPr>
      </w:pPr>
    </w:p>
    <w:p w14:paraId="205EBF2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Convincing evidence is lacking on the effects of injection therapies for low back pain. </w:t>
      </w:r>
    </w:p>
    <w:p w14:paraId="6DD73724" w14:textId="77777777" w:rsidR="008D0565" w:rsidRPr="00D61F73" w:rsidRDefault="008D0565" w:rsidP="00D61F73">
      <w:pPr>
        <w:pStyle w:val="NormalWeb"/>
        <w:spacing w:before="0" w:beforeAutospacing="0" w:after="0" w:afterAutospacing="0"/>
        <w:rPr>
          <w:rFonts w:ascii="Arial" w:hAnsi="Arial" w:cs="Arial"/>
        </w:rPr>
      </w:pPr>
    </w:p>
    <w:p w14:paraId="746B5E5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1b</w:t>
      </w:r>
    </w:p>
    <w:p w14:paraId="560EBF44" w14:textId="77777777" w:rsidR="008D0565" w:rsidRPr="00D61F73" w:rsidRDefault="008D0565" w:rsidP="00D61F73">
      <w:pPr>
        <w:pStyle w:val="NormalWeb"/>
        <w:spacing w:before="0" w:beforeAutospacing="0" w:after="0" w:afterAutospacing="0"/>
        <w:rPr>
          <w:rFonts w:ascii="Arial" w:hAnsi="Arial" w:cs="Arial"/>
        </w:rPr>
      </w:pPr>
    </w:p>
    <w:p w14:paraId="0ECC6C3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N</w:t>
      </w:r>
      <w:bookmarkStart w:id="979" w:name="Nelson"/>
      <w:bookmarkEnd w:id="979"/>
      <w:r w:rsidRPr="00D61F73">
        <w:rPr>
          <w:rFonts w:ascii="Arial" w:hAnsi="Arial" w:cs="Arial"/>
          <w:b/>
        </w:rPr>
        <w:t xml:space="preserve">elson DV. Pieces of the puzzle: management of complex regional pain syndrome. </w:t>
      </w:r>
      <w:r w:rsidRPr="00D61F73">
        <w:rPr>
          <w:rFonts w:ascii="Arial" w:hAnsi="Arial" w:cs="Arial"/>
          <w:b/>
          <w:i/>
          <w:iCs/>
        </w:rPr>
        <w:t>Clin J Pain</w:t>
      </w:r>
      <w:r w:rsidRPr="00D61F73">
        <w:rPr>
          <w:rFonts w:ascii="Arial" w:hAnsi="Arial" w:cs="Arial"/>
          <w:b/>
        </w:rPr>
        <w:t>. 2006; 22:413-4.</w:t>
      </w:r>
    </w:p>
    <w:p w14:paraId="535F817F" w14:textId="77777777" w:rsidR="008D0565" w:rsidRPr="00D61F73" w:rsidRDefault="008D0565" w:rsidP="00D61F73">
      <w:pPr>
        <w:rPr>
          <w:rFonts w:ascii="Arial" w:hAnsi="Arial" w:cs="Arial"/>
        </w:rPr>
      </w:pPr>
    </w:p>
    <w:p w14:paraId="11F7BBFB" w14:textId="77777777" w:rsidR="008D0565" w:rsidRPr="00D61F73" w:rsidRDefault="008D0565" w:rsidP="00D61F73">
      <w:pPr>
        <w:rPr>
          <w:rFonts w:ascii="Arial" w:hAnsi="Arial" w:cs="Arial"/>
        </w:rPr>
      </w:pPr>
      <w:r w:rsidRPr="00D61F73">
        <w:rPr>
          <w:rFonts w:ascii="Arial" w:hAnsi="Arial" w:cs="Arial"/>
        </w:rPr>
        <w:t>The authors for this special series have generally been in the forefront of their respective disciplines in refining the focus on important issues about CRPS or neuropathic pain more broadly. Functional restoration was stressed.</w:t>
      </w:r>
    </w:p>
    <w:p w14:paraId="67F353AA" w14:textId="77777777" w:rsidR="008D0565" w:rsidRPr="00D61F73" w:rsidRDefault="008D0565" w:rsidP="00D61F73">
      <w:pPr>
        <w:rPr>
          <w:rFonts w:ascii="Arial" w:hAnsi="Arial" w:cs="Arial"/>
        </w:rPr>
      </w:pPr>
    </w:p>
    <w:p w14:paraId="7CDD8588" w14:textId="77777777" w:rsidR="008D0565" w:rsidRPr="00D61F73" w:rsidRDefault="008D0565" w:rsidP="00D61F73">
      <w:pPr>
        <w:rPr>
          <w:rFonts w:ascii="Arial" w:hAnsi="Arial" w:cs="Arial"/>
        </w:rPr>
      </w:pPr>
      <w:r w:rsidRPr="00D61F73">
        <w:rPr>
          <w:rFonts w:ascii="Arial" w:hAnsi="Arial" w:cs="Arial"/>
        </w:rPr>
        <w:t>Rating: 5b</w:t>
      </w:r>
    </w:p>
    <w:p w14:paraId="5958BE5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80" w:name="Nelson2012"/>
      <w:bookmarkEnd w:id="980"/>
      <w:r w:rsidRPr="00D61F73">
        <w:rPr>
          <w:rFonts w:ascii="Arial" w:hAnsi="Arial" w:cs="Arial"/>
          <w:b/>
          <w:bCs/>
        </w:rPr>
        <w:t xml:space="preserve">elson LS, Perrone J. Curbing the opioid epidemic in the United States: the risk evaluation and mitigation strategy (REMS). </w:t>
      </w:r>
      <w:r w:rsidRPr="00D61F73">
        <w:rPr>
          <w:rFonts w:ascii="Arial" w:hAnsi="Arial" w:cs="Arial"/>
          <w:b/>
          <w:bCs/>
          <w:i/>
          <w:iCs/>
        </w:rPr>
        <w:t>JAMA</w:t>
      </w:r>
      <w:r w:rsidRPr="00D61F73">
        <w:rPr>
          <w:rFonts w:ascii="Arial" w:hAnsi="Arial" w:cs="Arial"/>
          <w:b/>
          <w:bCs/>
        </w:rPr>
        <w:t>. 2012 Aug 1;308(5):457-8.</w:t>
      </w:r>
    </w:p>
    <w:p w14:paraId="3C8C280A" w14:textId="77777777" w:rsidR="008D0565" w:rsidRPr="00D61F73" w:rsidRDefault="008D0565" w:rsidP="00D61F73">
      <w:pPr>
        <w:rPr>
          <w:rFonts w:ascii="Arial" w:hAnsi="Arial" w:cs="Arial"/>
        </w:rPr>
      </w:pPr>
    </w:p>
    <w:p w14:paraId="67E8E631" w14:textId="77777777" w:rsidR="008D0565" w:rsidRPr="00D61F73" w:rsidRDefault="008D0565" w:rsidP="00D61F73">
      <w:pPr>
        <w:rPr>
          <w:rFonts w:ascii="Arial" w:hAnsi="Arial" w:cs="Arial"/>
        </w:rPr>
      </w:pPr>
      <w:r w:rsidRPr="00D61F73">
        <w:rPr>
          <w:rFonts w:ascii="Arial" w:hAnsi="Arial" w:cs="Arial"/>
        </w:rPr>
        <w:t xml:space="preserve">PMID: </w:t>
      </w:r>
      <w:hyperlink r:id="rId651" w:history="1">
        <w:r w:rsidRPr="00D61F73">
          <w:rPr>
            <w:rStyle w:val="Hyperlink"/>
            <w:rFonts w:ascii="Arial" w:hAnsi="Arial" w:cs="Arial"/>
          </w:rPr>
          <w:t>22851109</w:t>
        </w:r>
      </w:hyperlink>
    </w:p>
    <w:p w14:paraId="6CD3C87B" w14:textId="77777777" w:rsidR="008D0565" w:rsidRPr="00D61F73" w:rsidRDefault="008D0565" w:rsidP="00D61F73">
      <w:pPr>
        <w:rPr>
          <w:rFonts w:ascii="Arial" w:hAnsi="Arial" w:cs="Arial"/>
        </w:rPr>
      </w:pPr>
    </w:p>
    <w:p w14:paraId="13BEF8FE" w14:textId="77777777" w:rsidR="008D0565" w:rsidRPr="00D61F73" w:rsidRDefault="008D0565" w:rsidP="00D61F73">
      <w:pPr>
        <w:rPr>
          <w:rFonts w:ascii="Arial" w:hAnsi="Arial" w:cs="Arial"/>
        </w:rPr>
      </w:pPr>
      <w:r w:rsidRPr="00D61F73">
        <w:rPr>
          <w:rFonts w:ascii="Arial" w:hAnsi="Arial" w:cs="Arial"/>
        </w:rPr>
        <w:t>Rating: 5b</w:t>
      </w:r>
    </w:p>
    <w:p w14:paraId="2062E7BD" w14:textId="77777777" w:rsidR="004265FA" w:rsidRPr="00D61F73" w:rsidRDefault="004265FA" w:rsidP="00D61F73">
      <w:pPr>
        <w:rPr>
          <w:rFonts w:ascii="Arial" w:hAnsi="Arial" w:cs="Arial"/>
        </w:rPr>
      </w:pPr>
      <w:r w:rsidRPr="00D61F73">
        <w:rPr>
          <w:rFonts w:ascii="Arial" w:hAnsi="Arial" w:cs="Arial"/>
        </w:rPr>
        <w:br w:type="page"/>
      </w:r>
      <w:r w:rsidRPr="00D61F73">
        <w:rPr>
          <w:rFonts w:ascii="Arial" w:hAnsi="Arial" w:cs="Arial"/>
          <w:b/>
          <w:bCs/>
        </w:rPr>
        <w:lastRenderedPageBreak/>
        <w:t>N</w:t>
      </w:r>
      <w:bookmarkStart w:id="981" w:name="Neogi2008"/>
      <w:bookmarkEnd w:id="981"/>
      <w:r w:rsidRPr="00D61F73">
        <w:rPr>
          <w:rFonts w:ascii="Arial" w:hAnsi="Arial" w:cs="Arial"/>
          <w:b/>
          <w:bCs/>
        </w:rPr>
        <w:t>eogi T, Felson DT, Sarno R, Booth SL. Vitamin K in hand osteoarthritis: results from a randomised clinical trial. </w:t>
      </w:r>
      <w:r w:rsidRPr="00D61F73">
        <w:rPr>
          <w:rFonts w:ascii="Arial" w:hAnsi="Arial" w:cs="Arial"/>
          <w:b/>
          <w:bCs/>
          <w:i/>
          <w:iCs/>
        </w:rPr>
        <w:t>Ann Rheum Dis.</w:t>
      </w:r>
      <w:r w:rsidRPr="00D61F73">
        <w:rPr>
          <w:rFonts w:ascii="Arial" w:hAnsi="Arial" w:cs="Arial"/>
          <w:b/>
          <w:bCs/>
        </w:rPr>
        <w:t> 2008 Nov;67(11):1570-3. Epub 2008 Jul 14.</w:t>
      </w:r>
    </w:p>
    <w:p w14:paraId="0D6111BC" w14:textId="77777777" w:rsidR="004265FA" w:rsidRPr="00D61F73" w:rsidRDefault="004265FA" w:rsidP="00D61F73">
      <w:pPr>
        <w:rPr>
          <w:rFonts w:ascii="Arial" w:hAnsi="Arial" w:cs="Arial"/>
        </w:rPr>
      </w:pPr>
      <w:r w:rsidRPr="00D61F73">
        <w:rPr>
          <w:rFonts w:ascii="Arial" w:hAnsi="Arial" w:cs="Arial"/>
        </w:rPr>
        <w:t> </w:t>
      </w:r>
    </w:p>
    <w:p w14:paraId="5FF20521" w14:textId="77777777" w:rsidR="004265FA" w:rsidRPr="00D61F73" w:rsidRDefault="004265FA" w:rsidP="00D61F73">
      <w:pPr>
        <w:rPr>
          <w:rFonts w:ascii="Arial" w:hAnsi="Arial" w:cs="Arial"/>
        </w:rPr>
      </w:pPr>
      <w:r w:rsidRPr="00D61F73">
        <w:rPr>
          <w:rFonts w:ascii="Arial" w:hAnsi="Arial" w:cs="Arial"/>
        </w:rPr>
        <w:t>CONCLUSIONS: There was no overall effect of vitamin K on radiographic hand osteoarthritis.</w:t>
      </w:r>
    </w:p>
    <w:p w14:paraId="62BBA6CA" w14:textId="77777777" w:rsidR="004265FA" w:rsidRPr="00D61F73" w:rsidRDefault="004265FA" w:rsidP="00D61F73">
      <w:pPr>
        <w:rPr>
          <w:rFonts w:ascii="Arial" w:hAnsi="Arial" w:cs="Arial"/>
        </w:rPr>
      </w:pPr>
      <w:r w:rsidRPr="00D61F73">
        <w:rPr>
          <w:rFonts w:ascii="Arial" w:hAnsi="Arial" w:cs="Arial"/>
        </w:rPr>
        <w:t> </w:t>
      </w:r>
    </w:p>
    <w:p w14:paraId="53FA917C" w14:textId="77777777" w:rsidR="004265FA" w:rsidRPr="00D61F73" w:rsidRDefault="004265FA" w:rsidP="00D61F73">
      <w:pPr>
        <w:rPr>
          <w:rFonts w:ascii="Arial" w:hAnsi="Arial" w:cs="Arial"/>
        </w:rPr>
      </w:pPr>
      <w:r w:rsidRPr="00D61F73">
        <w:rPr>
          <w:rFonts w:ascii="Arial" w:hAnsi="Arial" w:cs="Arial"/>
        </w:rPr>
        <w:t>PMID: </w:t>
      </w:r>
      <w:hyperlink r:id="rId652" w:history="1">
        <w:r w:rsidRPr="00D61F73">
          <w:rPr>
            <w:rStyle w:val="Hyperlink"/>
            <w:rFonts w:ascii="Arial" w:hAnsi="Arial" w:cs="Arial"/>
          </w:rPr>
          <w:t>18625626</w:t>
        </w:r>
      </w:hyperlink>
    </w:p>
    <w:p w14:paraId="4EAC36C9" w14:textId="77777777" w:rsidR="004265FA" w:rsidRPr="00D61F73" w:rsidRDefault="004265FA" w:rsidP="00D61F73">
      <w:pPr>
        <w:rPr>
          <w:rFonts w:ascii="Arial" w:hAnsi="Arial" w:cs="Arial"/>
        </w:rPr>
      </w:pPr>
      <w:r w:rsidRPr="00D61F73">
        <w:rPr>
          <w:rFonts w:ascii="Arial" w:hAnsi="Arial" w:cs="Arial"/>
        </w:rPr>
        <w:t> </w:t>
      </w:r>
    </w:p>
    <w:p w14:paraId="3FBE96B6" w14:textId="77777777" w:rsidR="004265FA" w:rsidRPr="00D61F73" w:rsidRDefault="004265FA" w:rsidP="00D61F73">
      <w:pPr>
        <w:rPr>
          <w:rFonts w:ascii="Arial" w:hAnsi="Arial" w:cs="Arial"/>
        </w:rPr>
      </w:pPr>
      <w:r w:rsidRPr="00D61F73">
        <w:rPr>
          <w:rFonts w:ascii="Arial" w:hAnsi="Arial" w:cs="Arial"/>
        </w:rPr>
        <w:t>Rating: 2b</w:t>
      </w:r>
    </w:p>
    <w:p w14:paraId="0DA887DB" w14:textId="77777777" w:rsidR="004265FA" w:rsidRPr="00D61F73" w:rsidRDefault="004265FA" w:rsidP="00D61F73">
      <w:pPr>
        <w:rPr>
          <w:rFonts w:ascii="Arial" w:hAnsi="Arial" w:cs="Arial"/>
        </w:rPr>
      </w:pPr>
      <w:r w:rsidRPr="00D61F73">
        <w:rPr>
          <w:rFonts w:ascii="Arial" w:hAnsi="Arial" w:cs="Arial"/>
        </w:rPr>
        <w:br w:type="page"/>
      </w:r>
      <w:r w:rsidRPr="00D61F73">
        <w:rPr>
          <w:rFonts w:ascii="Arial" w:hAnsi="Arial" w:cs="Arial"/>
          <w:b/>
          <w:bCs/>
        </w:rPr>
        <w:lastRenderedPageBreak/>
        <w:t>N</w:t>
      </w:r>
      <w:bookmarkStart w:id="982" w:name="Neogi2006"/>
      <w:bookmarkEnd w:id="982"/>
      <w:r w:rsidRPr="00D61F73">
        <w:rPr>
          <w:rFonts w:ascii="Arial" w:hAnsi="Arial" w:cs="Arial"/>
          <w:b/>
          <w:bCs/>
        </w:rPr>
        <w:t>eogi T, Booth SL, Zhang YQ, Jacques PF, Terkeltaub R, Aliabadi P, Felson DT. Low vitamin K status is associated with osteoarthritis in the hand and knee. </w:t>
      </w:r>
      <w:r w:rsidRPr="00D61F73">
        <w:rPr>
          <w:rFonts w:ascii="Arial" w:hAnsi="Arial" w:cs="Arial"/>
          <w:b/>
          <w:bCs/>
          <w:i/>
          <w:iCs/>
        </w:rPr>
        <w:t>Arthritis Rheum</w:t>
      </w:r>
      <w:r w:rsidRPr="00D61F73">
        <w:rPr>
          <w:rFonts w:ascii="Arial" w:hAnsi="Arial" w:cs="Arial"/>
          <w:b/>
          <w:bCs/>
        </w:rPr>
        <w:t>. 2006 Apr;54(4):1255-61.</w:t>
      </w:r>
    </w:p>
    <w:p w14:paraId="157097D4" w14:textId="77777777" w:rsidR="004265FA" w:rsidRPr="00D61F73" w:rsidRDefault="004265FA" w:rsidP="00D61F73">
      <w:pPr>
        <w:rPr>
          <w:rFonts w:ascii="Arial" w:hAnsi="Arial" w:cs="Arial"/>
        </w:rPr>
      </w:pPr>
      <w:r w:rsidRPr="00D61F73">
        <w:rPr>
          <w:rFonts w:ascii="Arial" w:hAnsi="Arial" w:cs="Arial"/>
        </w:rPr>
        <w:t> </w:t>
      </w:r>
    </w:p>
    <w:p w14:paraId="1B7D6D7E" w14:textId="77777777" w:rsidR="004265FA" w:rsidRPr="00D61F73" w:rsidRDefault="004265FA" w:rsidP="00D61F73">
      <w:pPr>
        <w:rPr>
          <w:rFonts w:ascii="Arial" w:hAnsi="Arial" w:cs="Arial"/>
        </w:rPr>
      </w:pPr>
      <w:r w:rsidRPr="00D61F73">
        <w:rPr>
          <w:rFonts w:ascii="Arial" w:hAnsi="Arial" w:cs="Arial"/>
        </w:rPr>
        <w:t>CONCLUSION: These observational data support the hypothesis of an association between low plasma levels of vitamin K and increased prevalence of OA manifestations in the hand and knee.</w:t>
      </w:r>
    </w:p>
    <w:p w14:paraId="35DE4D92" w14:textId="77777777" w:rsidR="004265FA" w:rsidRPr="00D61F73" w:rsidRDefault="004265FA" w:rsidP="00D61F73">
      <w:pPr>
        <w:rPr>
          <w:rFonts w:ascii="Arial" w:hAnsi="Arial" w:cs="Arial"/>
        </w:rPr>
      </w:pPr>
      <w:r w:rsidRPr="00D61F73">
        <w:rPr>
          <w:rFonts w:ascii="Arial" w:hAnsi="Arial" w:cs="Arial"/>
        </w:rPr>
        <w:t> </w:t>
      </w:r>
    </w:p>
    <w:p w14:paraId="2C52A8DD" w14:textId="77777777" w:rsidR="004265FA" w:rsidRPr="00D61F73" w:rsidRDefault="004265FA" w:rsidP="00D61F73">
      <w:pPr>
        <w:rPr>
          <w:rFonts w:ascii="Arial" w:hAnsi="Arial" w:cs="Arial"/>
        </w:rPr>
      </w:pPr>
      <w:r w:rsidRPr="00D61F73">
        <w:rPr>
          <w:rFonts w:ascii="Arial" w:hAnsi="Arial" w:cs="Arial"/>
        </w:rPr>
        <w:t>PMID: </w:t>
      </w:r>
      <w:hyperlink r:id="rId653" w:history="1">
        <w:r w:rsidRPr="00D61F73">
          <w:rPr>
            <w:rStyle w:val="Hyperlink"/>
            <w:rFonts w:ascii="Arial" w:hAnsi="Arial" w:cs="Arial"/>
          </w:rPr>
          <w:t>16572460</w:t>
        </w:r>
      </w:hyperlink>
    </w:p>
    <w:p w14:paraId="7A25036B" w14:textId="77777777" w:rsidR="004265FA" w:rsidRPr="00D61F73" w:rsidRDefault="004265FA" w:rsidP="00D61F73">
      <w:pPr>
        <w:rPr>
          <w:rFonts w:ascii="Arial" w:hAnsi="Arial" w:cs="Arial"/>
        </w:rPr>
      </w:pPr>
      <w:r w:rsidRPr="00D61F73">
        <w:rPr>
          <w:rFonts w:ascii="Arial" w:hAnsi="Arial" w:cs="Arial"/>
        </w:rPr>
        <w:t> </w:t>
      </w:r>
    </w:p>
    <w:p w14:paraId="7901179A" w14:textId="77777777" w:rsidR="004265FA" w:rsidRPr="00D61F73" w:rsidRDefault="004265FA" w:rsidP="00D61F73">
      <w:pPr>
        <w:rPr>
          <w:rFonts w:ascii="Arial" w:hAnsi="Arial" w:cs="Arial"/>
        </w:rPr>
      </w:pPr>
      <w:r w:rsidRPr="00D61F73">
        <w:rPr>
          <w:rFonts w:ascii="Arial" w:hAnsi="Arial" w:cs="Arial"/>
        </w:rPr>
        <w:t>Rating: 3a</w:t>
      </w:r>
    </w:p>
    <w:p w14:paraId="39F3795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83" w:name="NewtonJohn"/>
      <w:bookmarkEnd w:id="983"/>
      <w:r w:rsidRPr="00D61F73">
        <w:rPr>
          <w:rFonts w:ascii="Arial" w:hAnsi="Arial" w:cs="Arial"/>
          <w:b/>
          <w:bCs/>
        </w:rPr>
        <w:t xml:space="preserve">ewton-John TR, Spence SH, Schotte D. Cognitive-behavioural therapy versus EMG biofeedback in the treatment of chronic low back pain. </w:t>
      </w:r>
      <w:r w:rsidRPr="00D61F73">
        <w:rPr>
          <w:rFonts w:ascii="Arial" w:hAnsi="Arial" w:cs="Arial"/>
          <w:b/>
          <w:bCs/>
          <w:i/>
          <w:iCs/>
        </w:rPr>
        <w:t>Behav Res Ther</w:t>
      </w:r>
      <w:r w:rsidRPr="00D61F73">
        <w:rPr>
          <w:rFonts w:ascii="Arial" w:hAnsi="Arial" w:cs="Arial"/>
          <w:b/>
          <w:bCs/>
        </w:rPr>
        <w:t>. 1995 Jul;33(6):691-7.</w:t>
      </w:r>
    </w:p>
    <w:p w14:paraId="4C82C4F6" w14:textId="77777777" w:rsidR="008D0565" w:rsidRPr="00D61F73" w:rsidRDefault="008D0565" w:rsidP="00D61F73">
      <w:pPr>
        <w:rPr>
          <w:rFonts w:ascii="Arial" w:hAnsi="Arial" w:cs="Arial"/>
        </w:rPr>
      </w:pPr>
    </w:p>
    <w:p w14:paraId="4FCB00B6" w14:textId="77777777" w:rsidR="008D0565" w:rsidRPr="00D61F73" w:rsidRDefault="008D0565" w:rsidP="00D61F73">
      <w:pPr>
        <w:rPr>
          <w:rFonts w:ascii="Arial" w:hAnsi="Arial" w:cs="Arial"/>
        </w:rPr>
      </w:pPr>
      <w:r w:rsidRPr="00D61F73">
        <w:rPr>
          <w:rFonts w:ascii="Arial" w:hAnsi="Arial" w:cs="Arial"/>
        </w:rPr>
        <w:t xml:space="preserve">Results at post-treatment indicated significant improvements in functioning on measures of pain intensity, perceived level of disability, adaptive beliefs about pain and the level of depression in both the CBT and EMGBF conditions. No significant differences were found between CBT and EMGBF on any of the outcome measures at either post-treatment or at 6 months follow-up. </w:t>
      </w:r>
    </w:p>
    <w:p w14:paraId="39E71CCF" w14:textId="77777777" w:rsidR="008D0565" w:rsidRPr="00D61F73" w:rsidRDefault="008D0565" w:rsidP="00D61F73">
      <w:pPr>
        <w:rPr>
          <w:rFonts w:ascii="Arial" w:hAnsi="Arial" w:cs="Arial"/>
        </w:rPr>
      </w:pPr>
    </w:p>
    <w:p w14:paraId="7249111B" w14:textId="77777777" w:rsidR="008D0565" w:rsidRPr="00D61F73" w:rsidRDefault="008D0565" w:rsidP="00D61F73">
      <w:pPr>
        <w:rPr>
          <w:rFonts w:ascii="Arial" w:hAnsi="Arial" w:cs="Arial"/>
        </w:rPr>
      </w:pPr>
      <w:r w:rsidRPr="00D61F73">
        <w:rPr>
          <w:rFonts w:ascii="Arial" w:hAnsi="Arial" w:cs="Arial"/>
        </w:rPr>
        <w:t xml:space="preserve">PMID: </w:t>
      </w:r>
      <w:hyperlink r:id="rId654" w:history="1">
        <w:r w:rsidRPr="00D61F73">
          <w:rPr>
            <w:rStyle w:val="Hyperlink"/>
            <w:rFonts w:ascii="Arial" w:hAnsi="Arial" w:cs="Arial"/>
          </w:rPr>
          <w:t>7654161</w:t>
        </w:r>
      </w:hyperlink>
      <w:r w:rsidRPr="00D61F73">
        <w:rPr>
          <w:rFonts w:ascii="Arial" w:hAnsi="Arial" w:cs="Arial"/>
        </w:rPr>
        <w:t xml:space="preserve"> </w:t>
      </w:r>
    </w:p>
    <w:p w14:paraId="782225D3" w14:textId="77777777" w:rsidR="008D0565" w:rsidRPr="00D61F73" w:rsidRDefault="008D0565" w:rsidP="00D61F73">
      <w:pPr>
        <w:rPr>
          <w:rFonts w:ascii="Arial" w:hAnsi="Arial" w:cs="Arial"/>
        </w:rPr>
      </w:pPr>
    </w:p>
    <w:p w14:paraId="51121AF1" w14:textId="77777777" w:rsidR="008D0565" w:rsidRPr="00D61F73" w:rsidRDefault="008D0565" w:rsidP="00D61F73">
      <w:pPr>
        <w:rPr>
          <w:rFonts w:ascii="Arial" w:hAnsi="Arial" w:cs="Arial"/>
        </w:rPr>
      </w:pPr>
      <w:r w:rsidRPr="00D61F73">
        <w:rPr>
          <w:rFonts w:ascii="Arial" w:hAnsi="Arial" w:cs="Arial"/>
        </w:rPr>
        <w:t>Rating: 2c</w:t>
      </w:r>
    </w:p>
    <w:p w14:paraId="3EA0832A" w14:textId="77777777" w:rsidR="00CC519E" w:rsidRPr="00D61F73" w:rsidRDefault="00CC519E" w:rsidP="00D61F73">
      <w:pPr>
        <w:rPr>
          <w:rFonts w:ascii="Arial" w:hAnsi="Arial" w:cs="Arial"/>
        </w:rPr>
      </w:pPr>
      <w:r w:rsidRPr="00D61F73">
        <w:rPr>
          <w:rFonts w:ascii="Arial" w:hAnsi="Arial" w:cs="Arial"/>
        </w:rPr>
        <w:br w:type="page"/>
      </w:r>
      <w:bookmarkStart w:id="984" w:name="Ney"/>
      <w:bookmarkEnd w:id="984"/>
      <w:r w:rsidRPr="00D61F73">
        <w:rPr>
          <w:rFonts w:ascii="Arial" w:hAnsi="Arial" w:cs="Arial"/>
          <w:b/>
          <w:bCs/>
        </w:rPr>
        <w:lastRenderedPageBreak/>
        <w:t>Ney JP, Difazio M, Sichani A, Monacci W, Foster L, Jabbari B. Treatment of chronic low back pain with successive injections of botulinum toxin a over 6 months: a prospective trial of 60 patients. </w:t>
      </w:r>
      <w:r w:rsidRPr="00D61F73">
        <w:rPr>
          <w:rFonts w:ascii="Arial" w:hAnsi="Arial" w:cs="Arial"/>
          <w:b/>
          <w:bCs/>
          <w:i/>
          <w:iCs/>
        </w:rPr>
        <w:t>Clin J Pain.</w:t>
      </w:r>
      <w:r w:rsidRPr="00D61F73">
        <w:rPr>
          <w:rFonts w:ascii="Arial" w:hAnsi="Arial" w:cs="Arial"/>
          <w:b/>
          <w:bCs/>
        </w:rPr>
        <w:t> 2006 May;22(4):363-9.</w:t>
      </w:r>
    </w:p>
    <w:p w14:paraId="2ED4C683" w14:textId="77777777" w:rsidR="00CC519E" w:rsidRPr="00D61F73" w:rsidRDefault="00CC519E" w:rsidP="00D61F73">
      <w:pPr>
        <w:rPr>
          <w:rFonts w:ascii="Arial" w:hAnsi="Arial" w:cs="Arial"/>
        </w:rPr>
      </w:pPr>
      <w:r w:rsidRPr="00D61F73">
        <w:rPr>
          <w:rFonts w:ascii="Arial" w:hAnsi="Arial" w:cs="Arial"/>
        </w:rPr>
        <w:t> </w:t>
      </w:r>
    </w:p>
    <w:p w14:paraId="33D06AC7" w14:textId="77777777" w:rsidR="00CC519E" w:rsidRPr="00D61F73" w:rsidRDefault="00CC519E" w:rsidP="00D61F73">
      <w:pPr>
        <w:rPr>
          <w:rFonts w:ascii="Arial" w:hAnsi="Arial" w:cs="Arial"/>
        </w:rPr>
      </w:pPr>
      <w:r w:rsidRPr="00D61F73">
        <w:rPr>
          <w:rFonts w:ascii="Arial" w:hAnsi="Arial" w:cs="Arial"/>
        </w:rPr>
        <w:t>CONCLUSIONS: Botulinum toxin A improves refractory chronic low back pain with a low incidence of side effects. The beneficial clinical response is sustained with a second treatment.</w:t>
      </w:r>
    </w:p>
    <w:p w14:paraId="5D9D304E" w14:textId="77777777" w:rsidR="00CC519E" w:rsidRPr="00D61F73" w:rsidRDefault="00CC519E" w:rsidP="00D61F73">
      <w:pPr>
        <w:rPr>
          <w:rFonts w:ascii="Arial" w:hAnsi="Arial" w:cs="Arial"/>
        </w:rPr>
      </w:pPr>
      <w:r w:rsidRPr="00D61F73">
        <w:rPr>
          <w:rFonts w:ascii="Arial" w:hAnsi="Arial" w:cs="Arial"/>
        </w:rPr>
        <w:t> </w:t>
      </w:r>
    </w:p>
    <w:p w14:paraId="7252FC45" w14:textId="77777777" w:rsidR="00CC519E" w:rsidRPr="00D61F73" w:rsidRDefault="00CC519E" w:rsidP="00D61F73">
      <w:pPr>
        <w:rPr>
          <w:rFonts w:ascii="Arial" w:hAnsi="Arial" w:cs="Arial"/>
        </w:rPr>
      </w:pPr>
      <w:r w:rsidRPr="00D61F73">
        <w:rPr>
          <w:rFonts w:ascii="Arial" w:hAnsi="Arial" w:cs="Arial"/>
        </w:rPr>
        <w:t>PMID: </w:t>
      </w:r>
      <w:hyperlink r:id="rId655" w:history="1">
        <w:r w:rsidRPr="00D61F73">
          <w:rPr>
            <w:rStyle w:val="Hyperlink"/>
            <w:rFonts w:ascii="Arial" w:hAnsi="Arial" w:cs="Arial"/>
          </w:rPr>
          <w:t>16691090</w:t>
        </w:r>
      </w:hyperlink>
    </w:p>
    <w:p w14:paraId="74A4DE65" w14:textId="77777777" w:rsidR="00CC519E" w:rsidRPr="00D61F73" w:rsidRDefault="00CC519E" w:rsidP="00D61F73">
      <w:pPr>
        <w:rPr>
          <w:rFonts w:ascii="Arial" w:hAnsi="Arial" w:cs="Arial"/>
        </w:rPr>
      </w:pPr>
      <w:r w:rsidRPr="00D61F73">
        <w:rPr>
          <w:rFonts w:ascii="Arial" w:hAnsi="Arial" w:cs="Arial"/>
        </w:rPr>
        <w:t> </w:t>
      </w:r>
    </w:p>
    <w:p w14:paraId="73F4C84B" w14:textId="77777777" w:rsidR="00CC519E" w:rsidRPr="00D61F73" w:rsidRDefault="00CC519E" w:rsidP="00D61F73">
      <w:pPr>
        <w:rPr>
          <w:rFonts w:ascii="Arial" w:hAnsi="Arial" w:cs="Arial"/>
        </w:rPr>
      </w:pPr>
      <w:r w:rsidRPr="00D61F73">
        <w:rPr>
          <w:rFonts w:ascii="Arial" w:hAnsi="Arial" w:cs="Arial"/>
        </w:rPr>
        <w:t>Rating: 4c</w:t>
      </w:r>
    </w:p>
    <w:p w14:paraId="10B4CBFA" w14:textId="77777777" w:rsidR="008D0565" w:rsidRPr="00D61F73" w:rsidRDefault="008D0565" w:rsidP="00D61F73">
      <w:pPr>
        <w:rPr>
          <w:rFonts w:ascii="Arial" w:hAnsi="Arial" w:cs="Arial"/>
          <w:b/>
          <w:bCs/>
        </w:rPr>
      </w:pPr>
      <w:r w:rsidRPr="00D61F73">
        <w:rPr>
          <w:rFonts w:ascii="Arial" w:hAnsi="Arial" w:cs="Arial"/>
        </w:rPr>
        <w:br w:type="page"/>
      </w:r>
      <w:hyperlink r:id="rId656" w:history="1">
        <w:r w:rsidRPr="00D61F73">
          <w:rPr>
            <w:rStyle w:val="Hyperlink"/>
            <w:rFonts w:ascii="Arial" w:hAnsi="Arial" w:cs="Arial"/>
            <w:b/>
            <w:bCs/>
          </w:rPr>
          <w:t>N</w:t>
        </w:r>
        <w:bookmarkStart w:id="985" w:name="NICE"/>
        <w:bookmarkEnd w:id="985"/>
        <w:r w:rsidRPr="00D61F73">
          <w:rPr>
            <w:rStyle w:val="Hyperlink"/>
            <w:rFonts w:ascii="Arial" w:hAnsi="Arial" w:cs="Arial"/>
            <w:b/>
            <w:bCs/>
          </w:rPr>
          <w:t>ICE (National Institute for Health and Clinical Excellence)</w:t>
        </w:r>
      </w:hyperlink>
      <w:r w:rsidRPr="00D61F73">
        <w:rPr>
          <w:rFonts w:ascii="Arial" w:hAnsi="Arial" w:cs="Arial"/>
          <w:b/>
          <w:bCs/>
        </w:rPr>
        <w:t>. Pain (chronic neuropathic or ischaemic) - spinal cord stimulation: final appraisal determination. 01 September 2008.</w:t>
      </w:r>
    </w:p>
    <w:p w14:paraId="0301EA80" w14:textId="77777777" w:rsidR="008D0565" w:rsidRPr="00D61F73" w:rsidRDefault="008D0565" w:rsidP="00D61F73">
      <w:pPr>
        <w:rPr>
          <w:rFonts w:ascii="Arial" w:hAnsi="Arial" w:cs="Arial"/>
        </w:rPr>
      </w:pPr>
    </w:p>
    <w:p w14:paraId="7B8DD835" w14:textId="77777777" w:rsidR="008D0565" w:rsidRPr="00D61F73" w:rsidRDefault="008D0565" w:rsidP="00D61F73">
      <w:pPr>
        <w:rPr>
          <w:rFonts w:ascii="Arial" w:hAnsi="Arial" w:cs="Arial"/>
        </w:rPr>
      </w:pPr>
      <w:r w:rsidRPr="00D61F73">
        <w:rPr>
          <w:rFonts w:ascii="Arial" w:hAnsi="Arial" w:cs="Arial"/>
        </w:rPr>
        <w:t xml:space="preserve">1 Guidance: 1.1 Spinal cord stimulation is recommended as a treatment option for adults with chronic pain of neuropathic origin who: • continue to experience chronic pain (measuring at least 50 mm on a 0–100 mm visual analogue scale) for at least 6 months despite appropriate conventional medical management, and • who have had a successful trial of stimulation as part of the assessment specified in recommendation 1.3. Neuropathic conditions include failed back surgery syndrome (FBSS) and complex regional pain syndrome (CRPS). </w:t>
      </w:r>
    </w:p>
    <w:p w14:paraId="0BAC73CD" w14:textId="77777777" w:rsidR="008D0565" w:rsidRPr="00D61F73" w:rsidRDefault="008D0565" w:rsidP="00D61F73">
      <w:pPr>
        <w:rPr>
          <w:rFonts w:ascii="Arial" w:hAnsi="Arial" w:cs="Arial"/>
        </w:rPr>
      </w:pPr>
    </w:p>
    <w:p w14:paraId="71E34454" w14:textId="77777777" w:rsidR="008D0565" w:rsidRPr="00D61F73" w:rsidRDefault="008D0565" w:rsidP="00D61F73">
      <w:pPr>
        <w:rPr>
          <w:rFonts w:ascii="Arial" w:hAnsi="Arial" w:cs="Arial"/>
        </w:rPr>
      </w:pPr>
      <w:r w:rsidRPr="00D61F73">
        <w:rPr>
          <w:rFonts w:ascii="Arial" w:hAnsi="Arial" w:cs="Arial"/>
        </w:rPr>
        <w:t>Rating: 8a</w:t>
      </w:r>
    </w:p>
    <w:p w14:paraId="36C147F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86" w:name="Nielsen"/>
      <w:bookmarkEnd w:id="986"/>
      <w:r w:rsidRPr="00D61F73">
        <w:rPr>
          <w:rFonts w:ascii="Arial" w:hAnsi="Arial" w:cs="Arial"/>
          <w:b/>
          <w:bCs/>
        </w:rPr>
        <w:t xml:space="preserve">ielsen OH, Ainsworth M, Csillag C, Rask-Madsen J. Systematic review: coxibs, non-steroidal anti-inflammatory drugs or no cyclooxygenase inhibitors in gastroenterological high-risk patients? </w:t>
      </w:r>
      <w:r w:rsidRPr="00D61F73">
        <w:rPr>
          <w:rFonts w:ascii="Arial" w:hAnsi="Arial" w:cs="Arial"/>
          <w:b/>
          <w:bCs/>
          <w:i/>
          <w:iCs/>
        </w:rPr>
        <w:t>Aliment Pharmacol Ther</w:t>
      </w:r>
      <w:r w:rsidRPr="00D61F73">
        <w:rPr>
          <w:rFonts w:ascii="Arial" w:hAnsi="Arial" w:cs="Arial"/>
          <w:b/>
          <w:bCs/>
        </w:rPr>
        <w:t xml:space="preserve">. 2006 Jan 1;23(1):27-33. </w:t>
      </w:r>
    </w:p>
    <w:p w14:paraId="2FF1EB74" w14:textId="77777777" w:rsidR="008D0565" w:rsidRPr="00D61F73" w:rsidRDefault="008D0565" w:rsidP="00D61F73">
      <w:pPr>
        <w:rPr>
          <w:rFonts w:ascii="Arial" w:hAnsi="Arial" w:cs="Arial"/>
        </w:rPr>
      </w:pPr>
    </w:p>
    <w:p w14:paraId="6EE28120" w14:textId="77777777" w:rsidR="008D0565" w:rsidRPr="00D61F73" w:rsidRDefault="008D0565" w:rsidP="00D61F73">
      <w:pPr>
        <w:rPr>
          <w:rFonts w:ascii="Arial" w:hAnsi="Arial" w:cs="Arial"/>
        </w:rPr>
      </w:pPr>
      <w:r w:rsidRPr="00D61F73">
        <w:rPr>
          <w:rFonts w:ascii="Arial" w:hAnsi="Arial" w:cs="Arial"/>
        </w:rPr>
        <w:t xml:space="preserve">Clinicians should, therefore, never prescribe coxibs to patients with cardiovascular risk factors, and should only reluctantly prescribe coxibs to patients with a history of ulcer disease or dyspepsia to overcome persistent pain due to, e.g. rheumatoid arthritis or osteoarthritis. Instead, they should consider using conventional non-steroidal anti-inflammatory drugs in combination with a proton pump inhibitor or a prostaglandin analogue, especially for patients with increased cardiovascular risks. </w:t>
      </w:r>
    </w:p>
    <w:p w14:paraId="0280AD7A" w14:textId="77777777" w:rsidR="008D0565" w:rsidRPr="00D61F73" w:rsidRDefault="008D0565" w:rsidP="00D61F73">
      <w:pPr>
        <w:rPr>
          <w:rFonts w:ascii="Arial" w:hAnsi="Arial" w:cs="Arial"/>
        </w:rPr>
      </w:pPr>
    </w:p>
    <w:p w14:paraId="1D8BD6BF" w14:textId="77777777" w:rsidR="008D0565" w:rsidRPr="00D61F73" w:rsidRDefault="008D0565" w:rsidP="00D61F73">
      <w:pPr>
        <w:rPr>
          <w:rFonts w:ascii="Arial" w:hAnsi="Arial" w:cs="Arial"/>
        </w:rPr>
      </w:pPr>
      <w:r w:rsidRPr="00D61F73">
        <w:rPr>
          <w:rFonts w:ascii="Arial" w:hAnsi="Arial" w:cs="Arial"/>
        </w:rPr>
        <w:t xml:space="preserve">PMID: </w:t>
      </w:r>
      <w:hyperlink r:id="rId657" w:history="1">
        <w:r w:rsidRPr="00D61F73">
          <w:rPr>
            <w:rStyle w:val="Hyperlink"/>
            <w:rFonts w:ascii="Arial" w:hAnsi="Arial" w:cs="Arial"/>
          </w:rPr>
          <w:t>16393277</w:t>
        </w:r>
      </w:hyperlink>
      <w:r w:rsidRPr="00D61F73">
        <w:rPr>
          <w:rFonts w:ascii="Arial" w:hAnsi="Arial" w:cs="Arial"/>
        </w:rPr>
        <w:t xml:space="preserve"> </w:t>
      </w:r>
    </w:p>
    <w:p w14:paraId="18BA246C" w14:textId="77777777" w:rsidR="008D0565" w:rsidRPr="00D61F73" w:rsidRDefault="008D0565" w:rsidP="00D61F73">
      <w:pPr>
        <w:rPr>
          <w:rFonts w:ascii="Arial" w:hAnsi="Arial" w:cs="Arial"/>
        </w:rPr>
      </w:pPr>
    </w:p>
    <w:p w14:paraId="38141535" w14:textId="77777777" w:rsidR="008D0565" w:rsidRPr="00D61F73" w:rsidRDefault="008D0565" w:rsidP="00D61F73">
      <w:pPr>
        <w:rPr>
          <w:rFonts w:ascii="Arial" w:hAnsi="Arial" w:cs="Arial"/>
        </w:rPr>
      </w:pPr>
      <w:r w:rsidRPr="00D61F73">
        <w:rPr>
          <w:rFonts w:ascii="Arial" w:hAnsi="Arial" w:cs="Arial"/>
        </w:rPr>
        <w:t>Rating: 5a</w:t>
      </w:r>
    </w:p>
    <w:p w14:paraId="757E6127" w14:textId="77777777" w:rsidR="008D0565" w:rsidRPr="00D61F73" w:rsidRDefault="008D0565" w:rsidP="00D61F73">
      <w:pPr>
        <w:tabs>
          <w:tab w:val="left" w:pos="7200"/>
        </w:tabs>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N</w:t>
      </w:r>
      <w:bookmarkStart w:id="987" w:name="Niethard2005"/>
      <w:bookmarkEnd w:id="987"/>
      <w:r w:rsidRPr="00D61F73">
        <w:rPr>
          <w:rFonts w:ascii="Arial" w:hAnsi="Arial" w:cs="Arial"/>
          <w:b/>
        </w:rPr>
        <w:t xml:space="preserve">iethard FU, Gold MS, Solomon GS, Liu JM, Unkauf M, Albrecht HH, Elkik F. Efficacy of topical diclofenac diethylamine gel in osteoarthritis of the knee. </w:t>
      </w:r>
      <w:r w:rsidRPr="00D61F73">
        <w:rPr>
          <w:rFonts w:ascii="Arial" w:hAnsi="Arial" w:cs="Arial"/>
          <w:b/>
          <w:i/>
        </w:rPr>
        <w:t>J Rheumatol</w:t>
      </w:r>
      <w:r w:rsidRPr="00D61F73">
        <w:rPr>
          <w:rFonts w:ascii="Arial" w:hAnsi="Arial" w:cs="Arial"/>
          <w:b/>
        </w:rPr>
        <w:t>. 2005;32:2384-92.</w:t>
      </w:r>
    </w:p>
    <w:p w14:paraId="0C61F947" w14:textId="77777777" w:rsidR="008D0565" w:rsidRPr="00D61F73" w:rsidRDefault="008D0565" w:rsidP="00D61F73">
      <w:pPr>
        <w:tabs>
          <w:tab w:val="left" w:pos="7200"/>
        </w:tabs>
        <w:rPr>
          <w:rFonts w:ascii="Arial" w:eastAsia="Calibri" w:hAnsi="Arial" w:cs="Arial"/>
        </w:rPr>
      </w:pPr>
    </w:p>
    <w:p w14:paraId="25A4BFAF" w14:textId="77777777" w:rsidR="008D0565" w:rsidRPr="00D61F73" w:rsidRDefault="008D0565" w:rsidP="00D61F73">
      <w:pPr>
        <w:tabs>
          <w:tab w:val="left" w:pos="7200"/>
        </w:tabs>
        <w:rPr>
          <w:rFonts w:ascii="Arial" w:eastAsia="Calibri" w:hAnsi="Arial" w:cs="Arial"/>
        </w:rPr>
      </w:pPr>
      <w:r w:rsidRPr="00D61F73">
        <w:rPr>
          <w:rFonts w:ascii="Arial" w:hAnsi="Arial" w:cs="Arial"/>
        </w:rPr>
        <w:t>CONCLUSION: Diclofenac gel was effective and safe for relief of symptoms of OA of the knee over 3 weeks of dosing.</w:t>
      </w:r>
    </w:p>
    <w:p w14:paraId="3C5A5A77" w14:textId="77777777" w:rsidR="008D0565" w:rsidRPr="00D61F73" w:rsidRDefault="008D0565" w:rsidP="00D61F73">
      <w:pPr>
        <w:tabs>
          <w:tab w:val="left" w:pos="7200"/>
        </w:tabs>
        <w:rPr>
          <w:rFonts w:ascii="Arial" w:eastAsia="Calibri" w:hAnsi="Arial" w:cs="Arial"/>
        </w:rPr>
      </w:pPr>
    </w:p>
    <w:p w14:paraId="714D626A"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658" w:history="1">
        <w:r w:rsidRPr="00D61F73">
          <w:rPr>
            <w:rStyle w:val="Hyperlink"/>
            <w:rFonts w:ascii="Arial" w:hAnsi="Arial" w:cs="Arial"/>
          </w:rPr>
          <w:t>16331769</w:t>
        </w:r>
      </w:hyperlink>
    </w:p>
    <w:p w14:paraId="40C57EE2" w14:textId="77777777" w:rsidR="008D0565" w:rsidRPr="00D61F73" w:rsidRDefault="008D0565" w:rsidP="00D61F73">
      <w:pPr>
        <w:tabs>
          <w:tab w:val="left" w:pos="7200"/>
        </w:tabs>
        <w:rPr>
          <w:rFonts w:ascii="Arial" w:eastAsia="Calibri" w:hAnsi="Arial" w:cs="Arial"/>
        </w:rPr>
      </w:pPr>
    </w:p>
    <w:p w14:paraId="73A18009"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1c</w:t>
      </w:r>
    </w:p>
    <w:p w14:paraId="15B9D49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N</w:t>
      </w:r>
      <w:bookmarkStart w:id="988" w:name="Nifosì"/>
      <w:bookmarkEnd w:id="988"/>
      <w:r w:rsidRPr="00D61F73">
        <w:rPr>
          <w:rFonts w:ascii="Arial" w:hAnsi="Arial" w:cs="Arial"/>
          <w:b/>
        </w:rPr>
        <w:t xml:space="preserve">ifosì F, Violato E, Pavan C, Sifari L, Novello G, Guarda Nardini L, Manfredini D, Semenzin M, Pavan L, Marini M. Psychopathology and clinical features in an Italian sample of patients with myofascial and temporomandibular joint pain: preliminary data. </w:t>
      </w:r>
      <w:r w:rsidRPr="00D61F73">
        <w:rPr>
          <w:rFonts w:ascii="Arial" w:hAnsi="Arial" w:cs="Arial"/>
          <w:b/>
          <w:i/>
        </w:rPr>
        <w:t>Int J Psychiatry Med</w:t>
      </w:r>
      <w:r w:rsidRPr="00D61F73">
        <w:rPr>
          <w:rFonts w:ascii="Arial" w:hAnsi="Arial" w:cs="Arial"/>
          <w:b/>
        </w:rPr>
        <w:t>. 2007;37:283-300.</w:t>
      </w:r>
    </w:p>
    <w:p w14:paraId="151DF130" w14:textId="77777777" w:rsidR="008D0565" w:rsidRPr="00D61F73" w:rsidRDefault="008D0565" w:rsidP="00D61F73">
      <w:pPr>
        <w:rPr>
          <w:rFonts w:ascii="Arial" w:hAnsi="Arial" w:cs="Arial"/>
        </w:rPr>
      </w:pPr>
    </w:p>
    <w:p w14:paraId="38BA7EBA" w14:textId="77777777" w:rsidR="008D0565" w:rsidRPr="00D61F73" w:rsidRDefault="008D0565" w:rsidP="00D61F73">
      <w:pPr>
        <w:rPr>
          <w:rFonts w:ascii="Arial" w:hAnsi="Arial" w:cs="Arial"/>
        </w:rPr>
      </w:pPr>
      <w:r w:rsidRPr="00D61F73">
        <w:rPr>
          <w:rFonts w:ascii="Arial" w:hAnsi="Arial" w:cs="Arial"/>
        </w:rPr>
        <w:t xml:space="preserve">Psychiatric evaluation: Myofascial pain patients had higher scores for personal psychiatric history and a history of more frequent psychotropic drug use. --HDRS and HARS: The sample presented scores indicating mild depressive symptoms and moderate anxiety symptoms. </w:t>
      </w:r>
    </w:p>
    <w:p w14:paraId="659C7990" w14:textId="77777777" w:rsidR="008D0565" w:rsidRPr="00D61F73" w:rsidRDefault="008D0565" w:rsidP="00D61F73">
      <w:pPr>
        <w:rPr>
          <w:rFonts w:ascii="Arial" w:hAnsi="Arial" w:cs="Arial"/>
        </w:rPr>
      </w:pPr>
    </w:p>
    <w:p w14:paraId="3EF07AE7" w14:textId="77777777" w:rsidR="008D0565" w:rsidRPr="00D61F73" w:rsidRDefault="008D0565" w:rsidP="00D61F73">
      <w:pPr>
        <w:rPr>
          <w:rFonts w:ascii="Arial" w:hAnsi="Arial" w:cs="Arial"/>
        </w:rPr>
      </w:pPr>
      <w:r w:rsidRPr="00D61F73">
        <w:rPr>
          <w:rFonts w:ascii="Arial" w:hAnsi="Arial" w:cs="Arial"/>
        </w:rPr>
        <w:t xml:space="preserve">PMID: </w:t>
      </w:r>
      <w:hyperlink r:id="rId659" w:history="1">
        <w:r w:rsidRPr="00D61F73">
          <w:rPr>
            <w:rStyle w:val="Hyperlink"/>
            <w:rFonts w:ascii="Arial" w:hAnsi="Arial" w:cs="Arial"/>
          </w:rPr>
          <w:t>18314857</w:t>
        </w:r>
      </w:hyperlink>
    </w:p>
    <w:p w14:paraId="2AA7D7D8" w14:textId="77777777" w:rsidR="008D0565" w:rsidRPr="00D61F73" w:rsidRDefault="008D0565" w:rsidP="00D61F73">
      <w:pPr>
        <w:rPr>
          <w:rFonts w:ascii="Arial" w:hAnsi="Arial" w:cs="Arial"/>
        </w:rPr>
      </w:pPr>
    </w:p>
    <w:p w14:paraId="041050D7" w14:textId="77777777" w:rsidR="008D0565" w:rsidRPr="00D61F73" w:rsidRDefault="008D0565" w:rsidP="00D61F73">
      <w:pPr>
        <w:rPr>
          <w:rFonts w:ascii="Arial" w:hAnsi="Arial" w:cs="Arial"/>
        </w:rPr>
      </w:pPr>
      <w:r w:rsidRPr="00D61F73">
        <w:rPr>
          <w:rFonts w:ascii="Arial" w:hAnsi="Arial" w:cs="Arial"/>
        </w:rPr>
        <w:t>Rating: 4b</w:t>
      </w:r>
    </w:p>
    <w:p w14:paraId="00F9F3A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89" w:name="Niv"/>
      <w:bookmarkEnd w:id="989"/>
      <w:r w:rsidRPr="00D61F73">
        <w:rPr>
          <w:rFonts w:ascii="Arial" w:hAnsi="Arial" w:cs="Arial"/>
          <w:b/>
          <w:bCs/>
        </w:rPr>
        <w:t xml:space="preserve">iv D, Maltsman-Tseikhin A. Postherpetic neuralgia: the never-ending challenge. </w:t>
      </w:r>
      <w:r w:rsidRPr="00D61F73">
        <w:rPr>
          <w:rFonts w:ascii="Arial" w:hAnsi="Arial" w:cs="Arial"/>
          <w:b/>
          <w:bCs/>
          <w:i/>
        </w:rPr>
        <w:t>Pain Pract</w:t>
      </w:r>
      <w:r w:rsidRPr="00D61F73">
        <w:rPr>
          <w:rFonts w:ascii="Arial" w:hAnsi="Arial" w:cs="Arial"/>
          <w:b/>
          <w:bCs/>
        </w:rPr>
        <w:t xml:space="preserve">. 2005 Dec;5(4):327-40. </w:t>
      </w:r>
    </w:p>
    <w:p w14:paraId="1004A283" w14:textId="77777777" w:rsidR="008D0565" w:rsidRPr="00D61F73" w:rsidRDefault="008D0565" w:rsidP="00D61F73">
      <w:pPr>
        <w:rPr>
          <w:rFonts w:ascii="Arial" w:hAnsi="Arial" w:cs="Arial"/>
        </w:rPr>
      </w:pPr>
    </w:p>
    <w:p w14:paraId="1CDB3D75" w14:textId="77777777" w:rsidR="008D0565" w:rsidRPr="00D61F73" w:rsidRDefault="008D0565" w:rsidP="00D61F73">
      <w:pPr>
        <w:rPr>
          <w:rFonts w:ascii="Arial" w:hAnsi="Arial" w:cs="Arial"/>
        </w:rPr>
      </w:pPr>
      <w:r w:rsidRPr="00D61F73">
        <w:rPr>
          <w:rFonts w:ascii="Arial" w:hAnsi="Arial" w:cs="Arial"/>
        </w:rPr>
        <w:t xml:space="preserve">Interventions with low risk, such as transcutaneous electrical nerve stimulation (TENS), are appropriate. </w:t>
      </w:r>
    </w:p>
    <w:p w14:paraId="21D16385" w14:textId="77777777" w:rsidR="008D0565" w:rsidRPr="00D61F73" w:rsidRDefault="008D0565" w:rsidP="00D61F73">
      <w:pPr>
        <w:rPr>
          <w:rFonts w:ascii="Arial" w:hAnsi="Arial" w:cs="Arial"/>
        </w:rPr>
      </w:pPr>
    </w:p>
    <w:p w14:paraId="78E3B560" w14:textId="77777777" w:rsidR="008D0565" w:rsidRPr="00D61F73" w:rsidRDefault="008D0565" w:rsidP="00D61F73">
      <w:pPr>
        <w:rPr>
          <w:rFonts w:ascii="Arial" w:hAnsi="Arial" w:cs="Arial"/>
        </w:rPr>
      </w:pPr>
      <w:r w:rsidRPr="00D61F73">
        <w:rPr>
          <w:rFonts w:ascii="Arial" w:hAnsi="Arial" w:cs="Arial"/>
        </w:rPr>
        <w:t xml:space="preserve">PMID: </w:t>
      </w:r>
      <w:hyperlink r:id="rId660" w:history="1">
        <w:r w:rsidRPr="00D61F73">
          <w:rPr>
            <w:rStyle w:val="Hyperlink"/>
            <w:rFonts w:ascii="Arial" w:hAnsi="Arial" w:cs="Arial"/>
          </w:rPr>
          <w:t>17177766</w:t>
        </w:r>
      </w:hyperlink>
    </w:p>
    <w:p w14:paraId="52B21414" w14:textId="77777777" w:rsidR="008D0565" w:rsidRPr="00D61F73" w:rsidRDefault="008D0565" w:rsidP="00D61F73">
      <w:pPr>
        <w:rPr>
          <w:rFonts w:ascii="Arial" w:hAnsi="Arial" w:cs="Arial"/>
        </w:rPr>
      </w:pPr>
    </w:p>
    <w:p w14:paraId="14B93097" w14:textId="77777777" w:rsidR="008D0565" w:rsidRPr="00D61F73" w:rsidRDefault="008D0565" w:rsidP="00D61F73">
      <w:pPr>
        <w:rPr>
          <w:rFonts w:ascii="Arial" w:hAnsi="Arial" w:cs="Arial"/>
        </w:rPr>
      </w:pPr>
      <w:r w:rsidRPr="00D61F73">
        <w:rPr>
          <w:rFonts w:ascii="Arial" w:hAnsi="Arial" w:cs="Arial"/>
        </w:rPr>
        <w:t>Rating: 5b</w:t>
      </w:r>
    </w:p>
    <w:p w14:paraId="1F89C4DC"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N</w:t>
      </w:r>
      <w:bookmarkStart w:id="990" w:name="Noize2010"/>
      <w:bookmarkEnd w:id="990"/>
      <w:r w:rsidRPr="00D61F73">
        <w:rPr>
          <w:rFonts w:ascii="Arial" w:hAnsi="Arial" w:cs="Arial"/>
          <w:b/>
        </w:rPr>
        <w:t xml:space="preserve">oize P, Bénard-Laribière A, Aulois-Griot M, Moore N, Miremont-Salamé G, Haramburu F. Cutaneous adverse effects of ketoprofen for topical use: clinical patterns and costs. </w:t>
      </w:r>
      <w:r w:rsidRPr="00D61F73">
        <w:rPr>
          <w:rFonts w:ascii="Arial" w:hAnsi="Arial" w:cs="Arial"/>
          <w:b/>
          <w:i/>
        </w:rPr>
        <w:t>Am J Clin Dermatol.</w:t>
      </w:r>
      <w:r w:rsidRPr="00D61F73">
        <w:rPr>
          <w:rFonts w:ascii="Arial" w:hAnsi="Arial" w:cs="Arial"/>
          <w:b/>
        </w:rPr>
        <w:t xml:space="preserve"> 2010;11:131-6.</w:t>
      </w:r>
    </w:p>
    <w:p w14:paraId="0351E1A6" w14:textId="77777777" w:rsidR="008D0565" w:rsidRPr="00D61F73" w:rsidRDefault="008D0565" w:rsidP="00D61F73">
      <w:pPr>
        <w:tabs>
          <w:tab w:val="left" w:pos="7200"/>
        </w:tabs>
        <w:rPr>
          <w:rFonts w:ascii="Arial" w:eastAsia="Calibri" w:hAnsi="Arial" w:cs="Arial"/>
        </w:rPr>
      </w:pPr>
    </w:p>
    <w:p w14:paraId="774A59D8"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Since its introduction in France, ketoprofen for topical use has been associated with a large number of cutaneous adverse effect reports. Generalized lesions were observed in 37.5% of patients. </w:t>
      </w:r>
    </w:p>
    <w:p w14:paraId="7A65AAAE" w14:textId="77777777" w:rsidR="008D0565" w:rsidRPr="00D61F73" w:rsidRDefault="008D0565" w:rsidP="00D61F73">
      <w:pPr>
        <w:tabs>
          <w:tab w:val="left" w:pos="7200"/>
        </w:tabs>
        <w:rPr>
          <w:rFonts w:ascii="Arial" w:eastAsia="Calibri" w:hAnsi="Arial" w:cs="Arial"/>
        </w:rPr>
      </w:pPr>
    </w:p>
    <w:p w14:paraId="2951C5AE"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661" w:history="1">
        <w:r w:rsidRPr="00D61F73">
          <w:rPr>
            <w:rStyle w:val="Hyperlink"/>
            <w:rFonts w:ascii="Arial" w:hAnsi="Arial" w:cs="Arial"/>
          </w:rPr>
          <w:t>20141234</w:t>
        </w:r>
      </w:hyperlink>
    </w:p>
    <w:p w14:paraId="4119706A" w14:textId="77777777" w:rsidR="008D0565" w:rsidRPr="00D61F73" w:rsidRDefault="008D0565" w:rsidP="00D61F73">
      <w:pPr>
        <w:tabs>
          <w:tab w:val="left" w:pos="7200"/>
        </w:tabs>
        <w:rPr>
          <w:rFonts w:ascii="Arial" w:eastAsia="Calibri" w:hAnsi="Arial" w:cs="Arial"/>
        </w:rPr>
      </w:pPr>
    </w:p>
    <w:p w14:paraId="07FA61F0" w14:textId="77777777" w:rsidR="008D0565" w:rsidRPr="00D61F73" w:rsidRDefault="008D0565" w:rsidP="00D61F73">
      <w:pPr>
        <w:rPr>
          <w:rFonts w:ascii="Arial" w:hAnsi="Arial" w:cs="Arial"/>
        </w:rPr>
      </w:pPr>
      <w:r w:rsidRPr="00D61F73">
        <w:rPr>
          <w:rFonts w:ascii="Arial" w:hAnsi="Arial" w:cs="Arial"/>
        </w:rPr>
        <w:t>Rating: 4a</w:t>
      </w:r>
    </w:p>
    <w:p w14:paraId="2B8BD5F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91" w:name="Noppers2011"/>
      <w:bookmarkEnd w:id="991"/>
      <w:r w:rsidRPr="00D61F73">
        <w:rPr>
          <w:rFonts w:ascii="Arial" w:hAnsi="Arial" w:cs="Arial"/>
          <w:b/>
          <w:bCs/>
        </w:rPr>
        <w:t xml:space="preserve">oppers IM, Niesters M, Aarts LP, Bauer MC, Drewes AM, Dahan A, Sarton EY. Drug-induced liver injury following a repeated course of ketamine treatment for chronic pain in CRPS type 1 patients: a report of 3 cases. </w:t>
      </w:r>
      <w:r w:rsidRPr="00D61F73">
        <w:rPr>
          <w:rFonts w:ascii="Arial" w:hAnsi="Arial" w:cs="Arial"/>
          <w:b/>
          <w:bCs/>
          <w:i/>
          <w:iCs/>
        </w:rPr>
        <w:t>Pain.</w:t>
      </w:r>
      <w:r w:rsidRPr="00D61F73">
        <w:rPr>
          <w:rFonts w:ascii="Arial" w:hAnsi="Arial" w:cs="Arial"/>
          <w:b/>
          <w:bCs/>
        </w:rPr>
        <w:t xml:space="preserve"> 2011 Sep;152(9):2173-8.</w:t>
      </w:r>
    </w:p>
    <w:p w14:paraId="2E9CD4F4" w14:textId="77777777" w:rsidR="008D0565" w:rsidRPr="00D61F73" w:rsidRDefault="008D0565" w:rsidP="00D61F73">
      <w:pPr>
        <w:rPr>
          <w:rFonts w:ascii="Arial" w:hAnsi="Arial" w:cs="Arial"/>
        </w:rPr>
      </w:pPr>
    </w:p>
    <w:p w14:paraId="51A25527" w14:textId="77777777" w:rsidR="008D0565" w:rsidRPr="00D61F73" w:rsidRDefault="008D0565" w:rsidP="00D61F73">
      <w:pPr>
        <w:rPr>
          <w:rFonts w:ascii="Arial" w:hAnsi="Arial" w:cs="Arial"/>
        </w:rPr>
      </w:pPr>
      <w:r w:rsidRPr="00D61F73">
        <w:rPr>
          <w:rFonts w:ascii="Arial" w:hAnsi="Arial" w:cs="Arial"/>
        </w:rPr>
        <w:t xml:space="preserve">Our data suggest an increased risk for development of ketamine-induced liver injury when the infusion is prolonged and/or repeated within a short time frame. </w:t>
      </w:r>
    </w:p>
    <w:p w14:paraId="5BA9A211" w14:textId="77777777" w:rsidR="008D0565" w:rsidRPr="00D61F73" w:rsidRDefault="008D0565" w:rsidP="00D61F73">
      <w:pPr>
        <w:rPr>
          <w:rFonts w:ascii="Arial" w:hAnsi="Arial" w:cs="Arial"/>
        </w:rPr>
      </w:pPr>
      <w:r w:rsidRPr="00D61F73">
        <w:rPr>
          <w:rFonts w:ascii="Arial" w:hAnsi="Arial" w:cs="Arial"/>
        </w:rPr>
        <w:t xml:space="preserve"> </w:t>
      </w:r>
    </w:p>
    <w:p w14:paraId="15BB4B68" w14:textId="77777777" w:rsidR="008D0565" w:rsidRPr="00D61F73" w:rsidRDefault="008D0565" w:rsidP="00D61F73">
      <w:pPr>
        <w:rPr>
          <w:rFonts w:ascii="Arial" w:hAnsi="Arial" w:cs="Arial"/>
        </w:rPr>
      </w:pPr>
      <w:r w:rsidRPr="00D61F73">
        <w:rPr>
          <w:rFonts w:ascii="Arial" w:hAnsi="Arial" w:cs="Arial"/>
        </w:rPr>
        <w:t xml:space="preserve">PMID: </w:t>
      </w:r>
      <w:hyperlink r:id="rId662" w:history="1">
        <w:r w:rsidRPr="00D61F73">
          <w:rPr>
            <w:rStyle w:val="Hyperlink"/>
            <w:rFonts w:ascii="Arial" w:hAnsi="Arial" w:cs="Arial"/>
          </w:rPr>
          <w:t>21546160</w:t>
        </w:r>
      </w:hyperlink>
      <w:r w:rsidRPr="00D61F73">
        <w:rPr>
          <w:rFonts w:ascii="Arial" w:hAnsi="Arial" w:cs="Arial"/>
        </w:rPr>
        <w:t xml:space="preserve"> </w:t>
      </w:r>
    </w:p>
    <w:p w14:paraId="4D489778" w14:textId="77777777" w:rsidR="008D0565" w:rsidRPr="00D61F73" w:rsidRDefault="008D0565" w:rsidP="00D61F73">
      <w:pPr>
        <w:rPr>
          <w:rFonts w:ascii="Arial" w:hAnsi="Arial" w:cs="Arial"/>
        </w:rPr>
      </w:pPr>
    </w:p>
    <w:p w14:paraId="74E7A364"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4c</w:t>
      </w:r>
    </w:p>
    <w:p w14:paraId="75743A7F" w14:textId="77777777" w:rsidR="008D0565" w:rsidRPr="00D61F73" w:rsidRDefault="008D0565" w:rsidP="00D61F73">
      <w:pPr>
        <w:rPr>
          <w:rFonts w:ascii="Arial" w:hAnsi="Arial" w:cs="Arial"/>
          <w:b/>
          <w:bCs/>
        </w:rPr>
      </w:pPr>
      <w:r w:rsidRPr="00D61F73">
        <w:rPr>
          <w:rFonts w:ascii="Arial" w:hAnsi="Arial" w:cs="Arial"/>
        </w:rPr>
        <w:br w:type="page"/>
      </w:r>
      <w:bookmarkStart w:id="992" w:name="North2"/>
      <w:bookmarkStart w:id="993" w:name="North3"/>
      <w:bookmarkStart w:id="994" w:name="North4"/>
      <w:bookmarkEnd w:id="992"/>
      <w:bookmarkEnd w:id="993"/>
      <w:bookmarkEnd w:id="994"/>
      <w:r w:rsidRPr="00D61F73">
        <w:rPr>
          <w:rFonts w:ascii="Arial" w:hAnsi="Arial" w:cs="Arial"/>
          <w:b/>
          <w:bCs/>
        </w:rPr>
        <w:lastRenderedPageBreak/>
        <w:t>N</w:t>
      </w:r>
      <w:bookmarkStart w:id="995" w:name="Nouwen"/>
      <w:bookmarkEnd w:id="995"/>
      <w:r w:rsidRPr="00D61F73">
        <w:rPr>
          <w:rFonts w:ascii="Arial" w:hAnsi="Arial" w:cs="Arial"/>
          <w:b/>
          <w:bCs/>
        </w:rPr>
        <w:t xml:space="preserve">ouwen A. EMG biofeedback used to reduce standing levels of paraspinal muscle tension in chronic low back pain. </w:t>
      </w:r>
      <w:r w:rsidRPr="00D61F73">
        <w:rPr>
          <w:rFonts w:ascii="Arial" w:hAnsi="Arial" w:cs="Arial"/>
          <w:b/>
          <w:bCs/>
          <w:i/>
          <w:iCs/>
        </w:rPr>
        <w:t>Pain</w:t>
      </w:r>
      <w:r w:rsidRPr="00D61F73">
        <w:rPr>
          <w:rFonts w:ascii="Arial" w:hAnsi="Arial" w:cs="Arial"/>
          <w:b/>
          <w:bCs/>
        </w:rPr>
        <w:t>. 1983 Dec;17(4):353-60.</w:t>
      </w:r>
    </w:p>
    <w:p w14:paraId="06F50E0E" w14:textId="77777777" w:rsidR="008D0565" w:rsidRPr="00D61F73" w:rsidRDefault="008D0565" w:rsidP="00D61F73">
      <w:pPr>
        <w:rPr>
          <w:rFonts w:ascii="Arial" w:hAnsi="Arial" w:cs="Arial"/>
        </w:rPr>
      </w:pPr>
    </w:p>
    <w:p w14:paraId="0228E291" w14:textId="77777777" w:rsidR="008D0565" w:rsidRPr="00D61F73" w:rsidRDefault="008D0565" w:rsidP="00D61F73">
      <w:pPr>
        <w:rPr>
          <w:rFonts w:ascii="Arial" w:hAnsi="Arial" w:cs="Arial"/>
        </w:rPr>
      </w:pPr>
      <w:r w:rsidRPr="00D61F73">
        <w:rPr>
          <w:rFonts w:ascii="Arial" w:hAnsi="Arial" w:cs="Arial"/>
        </w:rPr>
        <w:t>Compared to patients in the waiting list control group, those who received EMG biofeedback showed a significant decrease in standing paraspinal EMG from pretreatment to post-treatment baseline. However, no significant differences in reported pain were found during these periods. It is concluded that reduction of standing paraspinal EMG does not lead to reduction in pain.</w:t>
      </w:r>
    </w:p>
    <w:p w14:paraId="75887FFB" w14:textId="77777777" w:rsidR="008D0565" w:rsidRPr="00D61F73" w:rsidRDefault="008D0565" w:rsidP="00D61F73">
      <w:pPr>
        <w:rPr>
          <w:rFonts w:ascii="Arial" w:hAnsi="Arial" w:cs="Arial"/>
        </w:rPr>
      </w:pPr>
    </w:p>
    <w:p w14:paraId="10A2BFF1" w14:textId="77777777" w:rsidR="008D0565" w:rsidRPr="00D61F73" w:rsidRDefault="008D0565" w:rsidP="00D61F73">
      <w:pPr>
        <w:rPr>
          <w:rFonts w:ascii="Arial" w:hAnsi="Arial" w:cs="Arial"/>
        </w:rPr>
      </w:pPr>
      <w:r w:rsidRPr="00D61F73">
        <w:rPr>
          <w:rFonts w:ascii="Arial" w:hAnsi="Arial" w:cs="Arial"/>
        </w:rPr>
        <w:t xml:space="preserve">PMID: </w:t>
      </w:r>
      <w:hyperlink r:id="rId663" w:history="1">
        <w:r w:rsidRPr="00D61F73">
          <w:rPr>
            <w:rStyle w:val="Hyperlink"/>
            <w:rFonts w:ascii="Arial" w:hAnsi="Arial" w:cs="Arial"/>
          </w:rPr>
          <w:t>6229707</w:t>
        </w:r>
      </w:hyperlink>
      <w:r w:rsidRPr="00D61F73">
        <w:rPr>
          <w:rFonts w:ascii="Arial" w:hAnsi="Arial" w:cs="Arial"/>
        </w:rPr>
        <w:t xml:space="preserve"> </w:t>
      </w:r>
    </w:p>
    <w:p w14:paraId="4EAA3F6A" w14:textId="77777777" w:rsidR="008D0565" w:rsidRPr="00D61F73" w:rsidRDefault="008D0565" w:rsidP="00D61F73">
      <w:pPr>
        <w:rPr>
          <w:rFonts w:ascii="Arial" w:hAnsi="Arial" w:cs="Arial"/>
        </w:rPr>
      </w:pPr>
    </w:p>
    <w:p w14:paraId="744FAE8E" w14:textId="77777777" w:rsidR="0092597C" w:rsidRPr="00D61F73" w:rsidRDefault="008D0565" w:rsidP="00D61F73">
      <w:pPr>
        <w:rPr>
          <w:rFonts w:ascii="Arial" w:hAnsi="Arial" w:cs="Arial"/>
        </w:rPr>
      </w:pPr>
      <w:r w:rsidRPr="00D61F73">
        <w:rPr>
          <w:rFonts w:ascii="Arial" w:hAnsi="Arial" w:cs="Arial"/>
        </w:rPr>
        <w:t>Rating: 2c</w:t>
      </w:r>
    </w:p>
    <w:p w14:paraId="2FE870C1" w14:textId="77777777" w:rsidR="0092597C" w:rsidRPr="00D61F73" w:rsidRDefault="0092597C" w:rsidP="00D61F73">
      <w:pPr>
        <w:rPr>
          <w:rFonts w:ascii="Arial" w:hAnsi="Arial" w:cs="Arial"/>
        </w:rPr>
      </w:pPr>
      <w:r w:rsidRPr="00D61F73">
        <w:rPr>
          <w:rFonts w:ascii="Arial" w:hAnsi="Arial" w:cs="Arial"/>
        </w:rPr>
        <w:br w:type="page"/>
      </w:r>
      <w:hyperlink r:id="rId664" w:history="1">
        <w:r w:rsidRPr="00D61F73">
          <w:rPr>
            <w:rStyle w:val="Hyperlink"/>
            <w:rFonts w:ascii="Arial" w:hAnsi="Arial" w:cs="Arial"/>
          </w:rPr>
          <w:t>Orthopaedic Section BOD.</w:t>
        </w:r>
      </w:hyperlink>
      <w:r w:rsidRPr="00D61F73">
        <w:rPr>
          <w:rFonts w:ascii="Arial" w:hAnsi="Arial" w:cs="Arial"/>
        </w:rPr>
        <w:t xml:space="preserve"> </w:t>
      </w:r>
      <w:r w:rsidRPr="00D61F73">
        <w:rPr>
          <w:rFonts w:ascii="Arial" w:hAnsi="Arial" w:cs="Arial"/>
          <w:i/>
        </w:rPr>
        <w:t xml:space="preserve">Guideline: Occupational Health Physical Therapy: Advanced Work Rehabilitation Guidelines. </w:t>
      </w:r>
      <w:r w:rsidRPr="00D61F73">
        <w:rPr>
          <w:rFonts w:ascii="Arial" w:hAnsi="Arial" w:cs="Arial"/>
        </w:rPr>
        <w:t>Approved July 11, 2011. (Formerly the APTA guideline, rescinded in May 2011)</w:t>
      </w:r>
    </w:p>
    <w:p w14:paraId="033A56A3" w14:textId="77777777" w:rsidR="0092597C" w:rsidRPr="00D61F73" w:rsidRDefault="0092597C" w:rsidP="00D61F73">
      <w:pPr>
        <w:rPr>
          <w:rFonts w:ascii="Arial" w:hAnsi="Arial" w:cs="Arial"/>
        </w:rPr>
      </w:pPr>
    </w:p>
    <w:p w14:paraId="701A595E" w14:textId="77777777" w:rsidR="0092597C" w:rsidRPr="00D61F73" w:rsidRDefault="00AA6004" w:rsidP="00D61F73">
      <w:pPr>
        <w:autoSpaceDE w:val="0"/>
        <w:autoSpaceDN w:val="0"/>
        <w:adjustRightInd w:val="0"/>
        <w:rPr>
          <w:rFonts w:ascii="Arial" w:hAnsi="Arial" w:cs="Arial"/>
          <w:color w:val="auto"/>
        </w:rPr>
      </w:pPr>
      <w:r w:rsidRPr="00D61F73">
        <w:rPr>
          <w:rFonts w:ascii="Arial" w:hAnsi="Arial" w:cs="Arial"/>
        </w:rPr>
        <w:t>“</w:t>
      </w:r>
      <w:r w:rsidRPr="00D61F73">
        <w:rPr>
          <w:rFonts w:ascii="Arial" w:hAnsi="Arial" w:cs="Arial"/>
          <w:color w:val="auto"/>
        </w:rPr>
        <w:t>The purpose of this document is to establish guidelines for the practice of Work Rehabilitation in a manner that</w:t>
      </w:r>
      <w:r w:rsidR="009651F9" w:rsidRPr="00D61F73">
        <w:rPr>
          <w:rFonts w:ascii="Arial" w:hAnsi="Arial" w:cs="Arial"/>
          <w:color w:val="auto"/>
        </w:rPr>
        <w:t xml:space="preserve"> </w:t>
      </w:r>
      <w:r w:rsidRPr="00D61F73">
        <w:rPr>
          <w:rFonts w:ascii="Arial" w:hAnsi="Arial" w:cs="Arial"/>
          <w:color w:val="auto"/>
        </w:rPr>
        <w:t>promotes clinical excellence, accountability and consistency through evidence based services. These guidelines</w:t>
      </w:r>
      <w:r w:rsidR="009651F9" w:rsidRPr="00D61F73">
        <w:rPr>
          <w:rFonts w:ascii="Arial" w:hAnsi="Arial" w:cs="Arial"/>
          <w:color w:val="auto"/>
        </w:rPr>
        <w:t xml:space="preserve"> </w:t>
      </w:r>
      <w:r w:rsidRPr="00D61F73">
        <w:rPr>
          <w:rFonts w:ascii="Arial" w:hAnsi="Arial" w:cs="Arial"/>
          <w:color w:val="auto"/>
        </w:rPr>
        <w:t xml:space="preserve">are to be used in context with the APTA </w:t>
      </w:r>
      <w:r w:rsidRPr="00D61F73">
        <w:rPr>
          <w:rFonts w:ascii="Arial" w:hAnsi="Arial" w:cs="Arial"/>
          <w:i/>
          <w:color w:val="auto"/>
        </w:rPr>
        <w:t xml:space="preserve">Standards of Practice for Physical Therapy </w:t>
      </w:r>
      <w:r w:rsidRPr="00D61F73">
        <w:rPr>
          <w:rFonts w:ascii="Arial" w:hAnsi="Arial" w:cs="Arial"/>
          <w:color w:val="auto"/>
        </w:rPr>
        <w:t>and the Accompanying</w:t>
      </w:r>
      <w:r w:rsidR="009651F9" w:rsidRPr="00D61F73">
        <w:rPr>
          <w:rFonts w:ascii="Arial" w:hAnsi="Arial" w:cs="Arial"/>
          <w:color w:val="auto"/>
        </w:rPr>
        <w:t xml:space="preserve"> </w:t>
      </w:r>
      <w:r w:rsidRPr="00D61F73">
        <w:rPr>
          <w:rFonts w:ascii="Arial" w:hAnsi="Arial" w:cs="Arial"/>
          <w:color w:val="auto"/>
        </w:rPr>
        <w:t xml:space="preserve">Criteria, the APTA </w:t>
      </w:r>
      <w:r w:rsidRPr="00D61F73">
        <w:rPr>
          <w:rFonts w:ascii="Arial" w:hAnsi="Arial" w:cs="Arial"/>
          <w:i/>
          <w:color w:val="auto"/>
        </w:rPr>
        <w:t xml:space="preserve">Guide to Physical Therapist Practice, Second Edition, </w:t>
      </w:r>
      <w:r w:rsidRPr="00D61F73">
        <w:rPr>
          <w:rFonts w:ascii="Arial" w:hAnsi="Arial" w:cs="Arial"/>
          <w:color w:val="auto"/>
        </w:rPr>
        <w:t>and the standard language and</w:t>
      </w:r>
      <w:r w:rsidR="009651F9" w:rsidRPr="00D61F73">
        <w:rPr>
          <w:rFonts w:ascii="Arial" w:hAnsi="Arial" w:cs="Arial"/>
          <w:color w:val="auto"/>
        </w:rPr>
        <w:t xml:space="preserve"> </w:t>
      </w:r>
      <w:r w:rsidRPr="00D61F73">
        <w:rPr>
          <w:rFonts w:ascii="Arial" w:hAnsi="Arial" w:cs="Arial"/>
          <w:color w:val="auto"/>
        </w:rPr>
        <w:t>framework for health and health-related states that is described in the World Health Organization (WHO)</w:t>
      </w:r>
      <w:r w:rsidRPr="00D61F73">
        <w:rPr>
          <w:rFonts w:ascii="Arial" w:hAnsi="Arial" w:cs="Arial"/>
          <w:i/>
          <w:color w:val="auto"/>
        </w:rPr>
        <w:t xml:space="preserve">International Classification of Functioning, Disability and Health, </w:t>
      </w:r>
      <w:r w:rsidRPr="00D61F73">
        <w:rPr>
          <w:rFonts w:ascii="Arial" w:hAnsi="Arial" w:cs="Arial"/>
          <w:color w:val="auto"/>
        </w:rPr>
        <w:t>known more commonly as ICF.”</w:t>
      </w:r>
    </w:p>
    <w:p w14:paraId="3DE36728" w14:textId="77777777" w:rsidR="00AA6004" w:rsidRPr="00D61F73" w:rsidRDefault="00AA6004" w:rsidP="00D61F73">
      <w:pPr>
        <w:rPr>
          <w:rFonts w:ascii="Arial" w:hAnsi="Arial" w:cs="Arial"/>
          <w:color w:val="auto"/>
        </w:rPr>
      </w:pPr>
    </w:p>
    <w:p w14:paraId="57F94B9C" w14:textId="77777777" w:rsidR="00AA6004" w:rsidRPr="00D61F73" w:rsidRDefault="00AA6004" w:rsidP="00D61F73">
      <w:pPr>
        <w:rPr>
          <w:rFonts w:ascii="Arial" w:hAnsi="Arial" w:cs="Arial"/>
        </w:rPr>
      </w:pPr>
      <w:r w:rsidRPr="00D61F73">
        <w:rPr>
          <w:rFonts w:ascii="Arial" w:hAnsi="Arial" w:cs="Arial"/>
          <w:color w:val="auto"/>
        </w:rPr>
        <w:t xml:space="preserve">Rating: </w:t>
      </w:r>
    </w:p>
    <w:p w14:paraId="11D696F6" w14:textId="77777777" w:rsidR="008D0565" w:rsidRPr="00D61F73" w:rsidRDefault="008D0565" w:rsidP="00D61F73">
      <w:pPr>
        <w:rPr>
          <w:rFonts w:ascii="Arial" w:hAnsi="Arial" w:cs="Arial"/>
        </w:rPr>
      </w:pPr>
    </w:p>
    <w:p w14:paraId="706A156F" w14:textId="77777777" w:rsidR="0092597C" w:rsidRPr="00D61F73" w:rsidRDefault="0092597C" w:rsidP="00D61F73">
      <w:pPr>
        <w:rPr>
          <w:rFonts w:ascii="Arial" w:hAnsi="Arial" w:cs="Arial"/>
        </w:rPr>
      </w:pPr>
    </w:p>
    <w:p w14:paraId="30C53AC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96" w:name="Novak"/>
      <w:bookmarkEnd w:id="996"/>
      <w:r w:rsidRPr="00D61F73">
        <w:rPr>
          <w:rFonts w:ascii="Arial" w:hAnsi="Arial" w:cs="Arial"/>
          <w:b/>
          <w:bCs/>
        </w:rPr>
        <w:t xml:space="preserve">ovak S, Nemeth WC, Lawson KA. Trends in medical use and abuse of sustained-release opioid analgesics: a revisit. </w:t>
      </w:r>
      <w:r w:rsidRPr="00D61F73">
        <w:rPr>
          <w:rFonts w:ascii="Arial" w:hAnsi="Arial" w:cs="Arial"/>
          <w:b/>
          <w:bCs/>
          <w:i/>
          <w:iCs/>
        </w:rPr>
        <w:t>Pain Med</w:t>
      </w:r>
      <w:r w:rsidRPr="00D61F73">
        <w:rPr>
          <w:rFonts w:ascii="Arial" w:hAnsi="Arial" w:cs="Arial"/>
          <w:b/>
          <w:bCs/>
        </w:rPr>
        <w:t>. 2004 Mar;5(1):59-65.</w:t>
      </w:r>
    </w:p>
    <w:p w14:paraId="196C1300" w14:textId="77777777" w:rsidR="008D0565" w:rsidRPr="00D61F73" w:rsidRDefault="008D0565" w:rsidP="00D61F73">
      <w:pPr>
        <w:rPr>
          <w:rFonts w:ascii="Arial" w:hAnsi="Arial" w:cs="Arial"/>
        </w:rPr>
      </w:pPr>
    </w:p>
    <w:p w14:paraId="62219767" w14:textId="77777777" w:rsidR="008D0565" w:rsidRPr="00D61F73" w:rsidRDefault="008D0565" w:rsidP="00D61F73">
      <w:pPr>
        <w:rPr>
          <w:rFonts w:ascii="Arial" w:hAnsi="Arial" w:cs="Arial"/>
        </w:rPr>
      </w:pPr>
      <w:r w:rsidRPr="00D61F73">
        <w:rPr>
          <w:rFonts w:ascii="Arial" w:hAnsi="Arial" w:cs="Arial"/>
        </w:rPr>
        <w:t xml:space="preserve">CONCLUSION: Using this method of analysis, the rates of drug abuse, and resultant morbidity secondary to the use of opioid analgesics, remain low in spite of the increase in medical use of these substances. </w:t>
      </w:r>
    </w:p>
    <w:p w14:paraId="3DBA314C" w14:textId="77777777" w:rsidR="008D0565" w:rsidRPr="00D61F73" w:rsidRDefault="008D0565" w:rsidP="00D61F73">
      <w:pPr>
        <w:rPr>
          <w:rFonts w:ascii="Arial" w:hAnsi="Arial" w:cs="Arial"/>
        </w:rPr>
      </w:pPr>
    </w:p>
    <w:p w14:paraId="2B01F326" w14:textId="77777777" w:rsidR="008D0565" w:rsidRPr="00D61F73" w:rsidRDefault="008D0565" w:rsidP="00D61F73">
      <w:pPr>
        <w:rPr>
          <w:rFonts w:ascii="Arial" w:hAnsi="Arial" w:cs="Arial"/>
        </w:rPr>
      </w:pPr>
      <w:r w:rsidRPr="00D61F73">
        <w:rPr>
          <w:rFonts w:ascii="Arial" w:hAnsi="Arial" w:cs="Arial"/>
        </w:rPr>
        <w:t xml:space="preserve">PMID: </w:t>
      </w:r>
      <w:hyperlink r:id="rId665" w:history="1">
        <w:r w:rsidRPr="00D61F73">
          <w:rPr>
            <w:rStyle w:val="Hyperlink"/>
            <w:rFonts w:ascii="Arial" w:hAnsi="Arial" w:cs="Arial"/>
          </w:rPr>
          <w:t>14996238</w:t>
        </w:r>
      </w:hyperlink>
      <w:r w:rsidRPr="00D61F73">
        <w:rPr>
          <w:rFonts w:ascii="Arial" w:hAnsi="Arial" w:cs="Arial"/>
        </w:rPr>
        <w:t xml:space="preserve"> </w:t>
      </w:r>
    </w:p>
    <w:p w14:paraId="04D9B7AC" w14:textId="77777777" w:rsidR="008D0565" w:rsidRPr="00D61F73" w:rsidRDefault="008D0565" w:rsidP="00D61F73">
      <w:pPr>
        <w:rPr>
          <w:rFonts w:ascii="Arial" w:hAnsi="Arial" w:cs="Arial"/>
        </w:rPr>
      </w:pPr>
    </w:p>
    <w:p w14:paraId="2F68042C" w14:textId="77777777" w:rsidR="008D0565" w:rsidRPr="00D61F73" w:rsidRDefault="008D0565" w:rsidP="00D61F73">
      <w:pPr>
        <w:rPr>
          <w:rFonts w:ascii="Arial" w:hAnsi="Arial" w:cs="Arial"/>
        </w:rPr>
      </w:pPr>
      <w:r w:rsidRPr="00D61F73">
        <w:rPr>
          <w:rFonts w:ascii="Arial" w:hAnsi="Arial" w:cs="Arial"/>
        </w:rPr>
        <w:t>Rating: 4a</w:t>
      </w:r>
    </w:p>
    <w:p w14:paraId="4474D8C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N</w:t>
      </w:r>
      <w:bookmarkStart w:id="997" w:name="Novak2"/>
      <w:bookmarkEnd w:id="997"/>
      <w:r w:rsidRPr="00D61F73">
        <w:rPr>
          <w:rFonts w:ascii="Arial" w:hAnsi="Arial" w:cs="Arial"/>
          <w:b/>
          <w:bCs/>
        </w:rPr>
        <w:t xml:space="preserve">ovak S, Nemeth WC. How clinically relevant is a meta-analysis of electrical nerve stimulation when based on heterogeneous disease states? </w:t>
      </w:r>
      <w:r w:rsidRPr="00D61F73">
        <w:rPr>
          <w:rFonts w:ascii="Arial" w:hAnsi="Arial" w:cs="Arial"/>
          <w:b/>
          <w:bCs/>
          <w:i/>
          <w:iCs/>
        </w:rPr>
        <w:t>Pain.</w:t>
      </w:r>
      <w:r w:rsidRPr="00D61F73">
        <w:rPr>
          <w:rFonts w:ascii="Arial" w:hAnsi="Arial" w:cs="Arial"/>
          <w:b/>
          <w:bCs/>
        </w:rPr>
        <w:t xml:space="preserve"> 2007 Sep;131(1-2):228-9; author reply 229-30. Epub 2007 Jul 26.</w:t>
      </w:r>
    </w:p>
    <w:p w14:paraId="51AD77D3" w14:textId="77777777" w:rsidR="008D0565" w:rsidRPr="00D61F73" w:rsidRDefault="008D0565" w:rsidP="00D61F73">
      <w:pPr>
        <w:rPr>
          <w:rFonts w:ascii="Arial" w:hAnsi="Arial" w:cs="Arial"/>
          <w:b/>
          <w:bCs/>
        </w:rPr>
      </w:pPr>
    </w:p>
    <w:p w14:paraId="06DACD92" w14:textId="77777777" w:rsidR="008D0565" w:rsidRPr="00D61F73" w:rsidRDefault="008D0565" w:rsidP="00D61F73">
      <w:pPr>
        <w:rPr>
          <w:rFonts w:ascii="Arial" w:hAnsi="Arial" w:cs="Arial"/>
        </w:rPr>
      </w:pPr>
      <w:r w:rsidRPr="00D61F73">
        <w:rPr>
          <w:rFonts w:ascii="Arial" w:hAnsi="Arial" w:cs="Arial"/>
        </w:rPr>
        <w:t>Comment on: Johnson M, Martinson M. Efficacy of electrical nerve stimulation for chronic musculoskeletal pain: A meta-analysis of randomized controlled trials. Pain. 2007 Jul;130(1-2):157-65.</w:t>
      </w:r>
    </w:p>
    <w:p w14:paraId="130D0D71" w14:textId="77777777" w:rsidR="008D0565" w:rsidRPr="00D61F73" w:rsidRDefault="008D0565" w:rsidP="00D61F73">
      <w:pPr>
        <w:rPr>
          <w:rFonts w:ascii="Arial" w:hAnsi="Arial" w:cs="Arial"/>
        </w:rPr>
      </w:pPr>
    </w:p>
    <w:p w14:paraId="76C972C0"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666" w:history="1">
        <w:r w:rsidRPr="00D61F73">
          <w:rPr>
            <w:rStyle w:val="Hyperlink"/>
            <w:rFonts w:ascii="Arial" w:hAnsi="Arial" w:cs="Arial"/>
          </w:rPr>
          <w:t>17662532</w:t>
        </w:r>
      </w:hyperlink>
    </w:p>
    <w:p w14:paraId="294433A0" w14:textId="77777777" w:rsidR="008D0565" w:rsidRPr="00D61F73" w:rsidRDefault="008D0565" w:rsidP="00D61F73">
      <w:pPr>
        <w:rPr>
          <w:rFonts w:ascii="Arial" w:hAnsi="Arial" w:cs="Arial"/>
        </w:rPr>
      </w:pPr>
    </w:p>
    <w:p w14:paraId="387D4EFA" w14:textId="77777777" w:rsidR="008D0565" w:rsidRPr="00D61F73" w:rsidRDefault="008D0565" w:rsidP="00D61F73">
      <w:pPr>
        <w:rPr>
          <w:rFonts w:ascii="Arial" w:hAnsi="Arial" w:cs="Arial"/>
        </w:rPr>
      </w:pPr>
      <w:r w:rsidRPr="00D61F73">
        <w:rPr>
          <w:rFonts w:ascii="Arial" w:hAnsi="Arial" w:cs="Arial"/>
        </w:rPr>
        <w:t>Rating: 11b</w:t>
      </w:r>
    </w:p>
    <w:p w14:paraId="3A4B9C18" w14:textId="77777777" w:rsidR="008D0565" w:rsidRPr="00D61F73" w:rsidRDefault="008D0565" w:rsidP="00D61F73">
      <w:pPr>
        <w:rPr>
          <w:rFonts w:ascii="Arial" w:hAnsi="Arial" w:cs="Arial"/>
        </w:rPr>
      </w:pPr>
    </w:p>
    <w:p w14:paraId="01B0254E" w14:textId="77777777" w:rsidR="008D0565" w:rsidRPr="00D61F73" w:rsidRDefault="008D0565" w:rsidP="00D61F73">
      <w:pPr>
        <w:rPr>
          <w:rFonts w:ascii="Arial" w:hAnsi="Arial" w:cs="Arial"/>
        </w:rPr>
      </w:pPr>
      <w:r w:rsidRPr="00D61F73">
        <w:rPr>
          <w:rFonts w:ascii="Arial" w:hAnsi="Arial" w:cs="Arial"/>
        </w:rPr>
        <w:t>It is unclear as to how helpful this study is for recommendations for clinical treatment. Musculoskeletal pain does have multiple pathophysiological mechanisms (nociceptive, neuropathic, central, etc.) which would appear to prohibit a generalization that is useful for a meta-analysis of this type. The grouping of inflammatory disease states into the study population mix is particularly troublesome due to the acute nociceptive pain features concomitant in this chronic disease state. It would therefore appear that due to the tremendous heterogeneity of the analyzed studies that a statement as strong as “ENS is an effective treatment modality for chronic musculoskeletal pain” overextends the final interpretation of this statistical analysis.</w:t>
      </w:r>
    </w:p>
    <w:p w14:paraId="5D93D9FB" w14:textId="77777777" w:rsidR="008D0565" w:rsidRPr="00D61F73" w:rsidRDefault="008D0565" w:rsidP="00D61F73">
      <w:pPr>
        <w:rPr>
          <w:rFonts w:ascii="Arial" w:hAnsi="Arial" w:cs="Arial"/>
        </w:rPr>
      </w:pPr>
    </w:p>
    <w:p w14:paraId="0C1E5851"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O</w:t>
      </w:r>
      <w:bookmarkStart w:id="998" w:name="Oaklander2009"/>
      <w:bookmarkEnd w:id="998"/>
      <w:r w:rsidRPr="00D61F73">
        <w:rPr>
          <w:rFonts w:ascii="Arial" w:hAnsi="Arial" w:cs="Arial"/>
          <w:b/>
        </w:rPr>
        <w:t xml:space="preserve">aklander AL, Fields HL. Is reflex sympathetic dystrophy/complex regional pain syndrome type I a small-fiber neuropathy? </w:t>
      </w:r>
      <w:r w:rsidRPr="00D61F73">
        <w:rPr>
          <w:rFonts w:ascii="Arial" w:hAnsi="Arial" w:cs="Arial"/>
          <w:b/>
          <w:i/>
        </w:rPr>
        <w:t>Ann Neurol</w:t>
      </w:r>
      <w:r w:rsidRPr="00D61F73">
        <w:rPr>
          <w:rFonts w:ascii="Arial" w:hAnsi="Arial" w:cs="Arial"/>
          <w:b/>
        </w:rPr>
        <w:t>. 2009;65:629-38.</w:t>
      </w:r>
    </w:p>
    <w:p w14:paraId="032ED5A6" w14:textId="77777777" w:rsidR="008D0565" w:rsidRPr="00D61F73" w:rsidRDefault="008D0565" w:rsidP="00D61F73">
      <w:pPr>
        <w:rPr>
          <w:rFonts w:ascii="Arial" w:hAnsi="Arial" w:cs="Arial"/>
        </w:rPr>
      </w:pPr>
    </w:p>
    <w:p w14:paraId="36C6F9F4" w14:textId="77777777" w:rsidR="008D0565" w:rsidRPr="00D61F73" w:rsidRDefault="008D0565" w:rsidP="00D61F73">
      <w:pPr>
        <w:rPr>
          <w:rFonts w:ascii="Arial" w:hAnsi="Arial" w:cs="Arial"/>
        </w:rPr>
      </w:pPr>
      <w:r w:rsidRPr="00D61F73">
        <w:rPr>
          <w:rFonts w:ascii="Arial" w:hAnsi="Arial" w:cs="Arial"/>
        </w:rPr>
        <w:t xml:space="preserve">PMID: </w:t>
      </w:r>
      <w:hyperlink r:id="rId667" w:history="1">
        <w:r w:rsidRPr="00D61F73">
          <w:rPr>
            <w:rStyle w:val="Hyperlink"/>
            <w:rFonts w:ascii="Arial" w:hAnsi="Arial" w:cs="Arial"/>
          </w:rPr>
          <w:t>19557864</w:t>
        </w:r>
      </w:hyperlink>
    </w:p>
    <w:p w14:paraId="0A6FC569" w14:textId="77777777" w:rsidR="008D0565" w:rsidRPr="00D61F73" w:rsidRDefault="008D0565" w:rsidP="00D61F73">
      <w:pPr>
        <w:rPr>
          <w:rFonts w:ascii="Arial" w:hAnsi="Arial" w:cs="Arial"/>
        </w:rPr>
      </w:pPr>
    </w:p>
    <w:p w14:paraId="7CF5075C" w14:textId="77777777" w:rsidR="008D0565" w:rsidRPr="00D61F73" w:rsidRDefault="008D0565" w:rsidP="00D61F73">
      <w:pPr>
        <w:rPr>
          <w:rFonts w:ascii="Arial" w:hAnsi="Arial" w:cs="Arial"/>
        </w:rPr>
      </w:pPr>
      <w:r w:rsidRPr="00D61F73">
        <w:rPr>
          <w:rFonts w:ascii="Arial" w:hAnsi="Arial" w:cs="Arial"/>
        </w:rPr>
        <w:t>Rating: 5c</w:t>
      </w:r>
    </w:p>
    <w:p w14:paraId="5F2859CB"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O</w:t>
      </w:r>
      <w:bookmarkStart w:id="999" w:name="Oaklander2006"/>
      <w:bookmarkEnd w:id="999"/>
      <w:r w:rsidRPr="00D61F73">
        <w:rPr>
          <w:rFonts w:ascii="Arial" w:hAnsi="Arial" w:cs="Arial"/>
          <w:b/>
        </w:rPr>
        <w:t xml:space="preserve">aklander AL, Rissmiller JG, Gelman LB, Zheng L, Chang Y, Gott R. Evidence of focal small-fiber axonal degeneration in complex regional pain syndrome-I (reflex sympathetic dystrophy). </w:t>
      </w:r>
      <w:r w:rsidRPr="00D61F73">
        <w:rPr>
          <w:rFonts w:ascii="Arial" w:hAnsi="Arial" w:cs="Arial"/>
          <w:b/>
          <w:i/>
        </w:rPr>
        <w:t>Pain.</w:t>
      </w:r>
      <w:r w:rsidRPr="00D61F73">
        <w:rPr>
          <w:rFonts w:ascii="Arial" w:hAnsi="Arial" w:cs="Arial"/>
          <w:b/>
        </w:rPr>
        <w:t xml:space="preserve"> 2006 ;120:235-43.</w:t>
      </w:r>
    </w:p>
    <w:p w14:paraId="2A09A6E0" w14:textId="77777777" w:rsidR="008D0565" w:rsidRPr="00D61F73" w:rsidRDefault="008D0565" w:rsidP="00D61F73">
      <w:pPr>
        <w:rPr>
          <w:rFonts w:ascii="Arial" w:eastAsia="Calibri" w:hAnsi="Arial" w:cs="Arial"/>
        </w:rPr>
      </w:pPr>
    </w:p>
    <w:p w14:paraId="4F53A8F4"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68" w:history="1">
        <w:r w:rsidRPr="00D61F73">
          <w:rPr>
            <w:rStyle w:val="Hyperlink"/>
            <w:rFonts w:ascii="Arial" w:hAnsi="Arial" w:cs="Arial"/>
          </w:rPr>
          <w:t>16427737</w:t>
        </w:r>
      </w:hyperlink>
    </w:p>
    <w:p w14:paraId="578580B7" w14:textId="77777777" w:rsidR="008D0565" w:rsidRPr="00D61F73" w:rsidRDefault="008D0565" w:rsidP="00D61F73">
      <w:pPr>
        <w:rPr>
          <w:rFonts w:ascii="Arial" w:eastAsia="Calibri" w:hAnsi="Arial" w:cs="Arial"/>
        </w:rPr>
      </w:pPr>
    </w:p>
    <w:p w14:paraId="37A7D1C9" w14:textId="77777777" w:rsidR="008D0565" w:rsidRPr="00D61F73" w:rsidRDefault="008D0565" w:rsidP="00D61F73">
      <w:pPr>
        <w:rPr>
          <w:rFonts w:ascii="Arial" w:eastAsia="Calibri" w:hAnsi="Arial" w:cs="Arial"/>
          <w:lang w:val="da-DK"/>
        </w:rPr>
      </w:pPr>
      <w:r w:rsidRPr="00D61F73">
        <w:rPr>
          <w:rFonts w:ascii="Arial" w:hAnsi="Arial" w:cs="Arial"/>
          <w:lang w:val="da-DK"/>
        </w:rPr>
        <w:t>Rating: 4c</w:t>
      </w:r>
    </w:p>
    <w:p w14:paraId="3C27D5AD"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lang w:val="da-DK"/>
        </w:rPr>
        <w:lastRenderedPageBreak/>
        <w:t>O</w:t>
      </w:r>
      <w:bookmarkStart w:id="1000" w:name="Oaklander2013"/>
      <w:bookmarkEnd w:id="1000"/>
      <w:r w:rsidRPr="00D61F73">
        <w:rPr>
          <w:rFonts w:ascii="Arial" w:hAnsi="Arial" w:cs="Arial"/>
          <w:b/>
          <w:lang w:val="da-DK"/>
        </w:rPr>
        <w:t xml:space="preserve">aklander AL, Herzog ZD, Downs H, Klein MM. </w:t>
      </w:r>
      <w:r w:rsidRPr="00D61F73">
        <w:rPr>
          <w:rFonts w:ascii="Arial" w:hAnsi="Arial" w:cs="Arial"/>
          <w:b/>
        </w:rPr>
        <w:t xml:space="preserve">Objective evidence that small-fiber polyneuropathy underlies some illnesses currently labeled as fibromyalgia. </w:t>
      </w:r>
      <w:r w:rsidRPr="00D61F73">
        <w:rPr>
          <w:rFonts w:ascii="Arial" w:hAnsi="Arial" w:cs="Arial"/>
          <w:b/>
          <w:i/>
        </w:rPr>
        <w:t>Pain.</w:t>
      </w:r>
      <w:r w:rsidRPr="00D61F73">
        <w:rPr>
          <w:rFonts w:ascii="Arial" w:hAnsi="Arial" w:cs="Arial"/>
          <w:b/>
        </w:rPr>
        <w:t xml:space="preserve"> 2013. doi:pii: S0304-3959(13)00294-7. 10.1016/j.pain.2013.06.001.</w:t>
      </w:r>
    </w:p>
    <w:p w14:paraId="5F3D1687" w14:textId="77777777" w:rsidR="008D0565" w:rsidRPr="00D61F73" w:rsidRDefault="008D0565" w:rsidP="00D61F73">
      <w:pPr>
        <w:rPr>
          <w:rFonts w:ascii="Arial" w:eastAsia="Calibri" w:hAnsi="Arial" w:cs="Arial"/>
        </w:rPr>
      </w:pPr>
    </w:p>
    <w:p w14:paraId="45961A3A"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69" w:history="1">
        <w:r w:rsidRPr="00D61F73">
          <w:rPr>
            <w:rStyle w:val="Hyperlink"/>
            <w:rFonts w:ascii="Arial" w:hAnsi="Arial" w:cs="Arial"/>
          </w:rPr>
          <w:t>23748113</w:t>
        </w:r>
      </w:hyperlink>
    </w:p>
    <w:p w14:paraId="2A78ED1A" w14:textId="77777777" w:rsidR="008D0565" w:rsidRPr="00D61F73" w:rsidRDefault="008D0565" w:rsidP="00D61F73">
      <w:pPr>
        <w:rPr>
          <w:rFonts w:ascii="Arial" w:eastAsia="Calibri" w:hAnsi="Arial" w:cs="Arial"/>
        </w:rPr>
      </w:pPr>
    </w:p>
    <w:p w14:paraId="7C2CC39A" w14:textId="77777777" w:rsidR="008D0565" w:rsidRPr="00D61F73" w:rsidRDefault="008D0565" w:rsidP="00D61F73">
      <w:pPr>
        <w:rPr>
          <w:rFonts w:ascii="Arial" w:eastAsia="Calibri" w:hAnsi="Arial" w:cs="Arial"/>
        </w:rPr>
      </w:pPr>
      <w:r w:rsidRPr="00D61F73">
        <w:rPr>
          <w:rFonts w:ascii="Arial" w:hAnsi="Arial" w:cs="Arial"/>
          <w:lang w:val="da-DK"/>
        </w:rPr>
        <w:t>Rating: 4c</w:t>
      </w:r>
      <w:r w:rsidRPr="00D61F73">
        <w:rPr>
          <w:rFonts w:ascii="Arial" w:hAnsi="Arial" w:cs="Arial"/>
        </w:rPr>
        <w:t xml:space="preserve"> </w:t>
      </w:r>
    </w:p>
    <w:p w14:paraId="5C58DDE2"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O</w:t>
      </w:r>
      <w:bookmarkStart w:id="1001" w:name="Obrien"/>
      <w:bookmarkEnd w:id="1001"/>
      <w:r w:rsidRPr="00D61F73">
        <w:rPr>
          <w:rFonts w:ascii="Arial" w:hAnsi="Arial" w:cs="Arial"/>
          <w:b/>
        </w:rPr>
        <w:t xml:space="preserve">'brien CP. Benzodiazepine use, abuse, and dependence. </w:t>
      </w:r>
      <w:r w:rsidRPr="00D61F73">
        <w:rPr>
          <w:rFonts w:ascii="Arial" w:hAnsi="Arial" w:cs="Arial"/>
          <w:b/>
          <w:i/>
        </w:rPr>
        <w:t>J Clin Psychiatry</w:t>
      </w:r>
      <w:r w:rsidRPr="00D61F73">
        <w:rPr>
          <w:rFonts w:ascii="Arial" w:hAnsi="Arial" w:cs="Arial"/>
          <w:b/>
        </w:rPr>
        <w:t>. 2005;66 :28-33</w:t>
      </w:r>
    </w:p>
    <w:p w14:paraId="58451984" w14:textId="77777777" w:rsidR="008D0565" w:rsidRPr="00D61F73" w:rsidRDefault="008D0565" w:rsidP="00D61F73">
      <w:pPr>
        <w:rPr>
          <w:rFonts w:ascii="Arial" w:eastAsia="Calibri" w:hAnsi="Arial" w:cs="Arial"/>
          <w:b/>
        </w:rPr>
      </w:pPr>
    </w:p>
    <w:p w14:paraId="6DF0C4CD" w14:textId="77777777" w:rsidR="008D0565" w:rsidRPr="00D61F73" w:rsidRDefault="008D0565" w:rsidP="00D61F73">
      <w:pPr>
        <w:rPr>
          <w:rFonts w:ascii="Arial" w:eastAsia="Calibri" w:hAnsi="Arial" w:cs="Arial"/>
        </w:rPr>
      </w:pPr>
      <w:r w:rsidRPr="00D61F73">
        <w:rPr>
          <w:rFonts w:ascii="Arial" w:hAnsi="Arial" w:cs="Arial"/>
        </w:rPr>
        <w:t xml:space="preserve">It is important to distinguish between addiction to and normal physical dependence on benzodiazepines. Intentional abusers of benzodiazepines usually have other substance abuse problems. </w:t>
      </w:r>
    </w:p>
    <w:p w14:paraId="48BAE33C" w14:textId="77777777" w:rsidR="008D0565" w:rsidRPr="00D61F73" w:rsidRDefault="008D0565" w:rsidP="00D61F73">
      <w:pPr>
        <w:rPr>
          <w:rFonts w:ascii="Arial" w:eastAsia="Calibri" w:hAnsi="Arial" w:cs="Arial"/>
        </w:rPr>
      </w:pPr>
    </w:p>
    <w:p w14:paraId="44AC4AE4"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70" w:history="1">
        <w:r w:rsidRPr="00D61F73">
          <w:rPr>
            <w:rStyle w:val="Hyperlink"/>
            <w:rFonts w:ascii="Arial" w:hAnsi="Arial" w:cs="Arial"/>
          </w:rPr>
          <w:t>15762817</w:t>
        </w:r>
      </w:hyperlink>
    </w:p>
    <w:p w14:paraId="20C1DB5B" w14:textId="77777777" w:rsidR="008D0565" w:rsidRPr="00D61F73" w:rsidRDefault="008D0565" w:rsidP="00D61F73">
      <w:pPr>
        <w:rPr>
          <w:rFonts w:ascii="Arial" w:eastAsia="Calibri" w:hAnsi="Arial" w:cs="Arial"/>
        </w:rPr>
      </w:pPr>
    </w:p>
    <w:p w14:paraId="4808F352" w14:textId="77777777" w:rsidR="008D0565" w:rsidRPr="00D61F73" w:rsidRDefault="008D0565" w:rsidP="00D61F73">
      <w:pPr>
        <w:rPr>
          <w:rFonts w:ascii="Arial" w:hAnsi="Arial" w:cs="Arial"/>
        </w:rPr>
      </w:pPr>
      <w:r w:rsidRPr="00D61F73">
        <w:rPr>
          <w:rFonts w:ascii="Arial" w:hAnsi="Arial" w:cs="Arial"/>
        </w:rPr>
        <w:t>Rating: 5b</w:t>
      </w:r>
    </w:p>
    <w:p w14:paraId="1A6B72A6" w14:textId="77777777" w:rsidR="008D0565" w:rsidRPr="00D61F73" w:rsidRDefault="008D0565" w:rsidP="00D61F73">
      <w:pPr>
        <w:rPr>
          <w:rFonts w:ascii="Arial" w:hAnsi="Arial" w:cs="Arial"/>
          <w:b/>
          <w:color w:val="auto"/>
        </w:rPr>
      </w:pPr>
      <w:r w:rsidRPr="00D61F73">
        <w:rPr>
          <w:rFonts w:ascii="Arial" w:hAnsi="Arial" w:cs="Arial"/>
          <w:b/>
          <w:bCs/>
        </w:rPr>
        <w:br w:type="page"/>
      </w:r>
      <w:r w:rsidRPr="00D61F73">
        <w:rPr>
          <w:rFonts w:ascii="Arial" w:hAnsi="Arial" w:cs="Arial"/>
          <w:b/>
        </w:rPr>
        <w:lastRenderedPageBreak/>
        <w:t>O</w:t>
      </w:r>
      <w:bookmarkStart w:id="1002" w:name="Ochoa2010"/>
      <w:bookmarkEnd w:id="1002"/>
      <w:r w:rsidRPr="00D61F73">
        <w:rPr>
          <w:rFonts w:ascii="Arial" w:hAnsi="Arial" w:cs="Arial"/>
          <w:b/>
        </w:rPr>
        <w:t xml:space="preserve">choa JL, Verdugo RJ. Neuropathic pain syndrome displayed by malingerers. </w:t>
      </w:r>
      <w:r w:rsidRPr="00D61F73">
        <w:rPr>
          <w:rFonts w:ascii="Arial" w:hAnsi="Arial" w:cs="Arial"/>
          <w:b/>
          <w:i/>
        </w:rPr>
        <w:t>J Neuropsychiatry Clin Neurosci</w:t>
      </w:r>
      <w:r w:rsidRPr="00D61F73">
        <w:rPr>
          <w:rFonts w:ascii="Arial" w:hAnsi="Arial" w:cs="Arial"/>
          <w:b/>
        </w:rPr>
        <w:t>. 2010;22:278-86.</w:t>
      </w:r>
    </w:p>
    <w:p w14:paraId="271A0653" w14:textId="77777777" w:rsidR="008D0565" w:rsidRPr="00D61F73" w:rsidRDefault="008D0565" w:rsidP="00D61F73">
      <w:pPr>
        <w:rPr>
          <w:rFonts w:ascii="Arial" w:hAnsi="Arial" w:cs="Arial"/>
        </w:rPr>
      </w:pPr>
    </w:p>
    <w:p w14:paraId="2C716496" w14:textId="77777777" w:rsidR="008D0565" w:rsidRPr="00D61F73" w:rsidRDefault="008D0565" w:rsidP="00D61F73">
      <w:pPr>
        <w:rPr>
          <w:rFonts w:ascii="Arial" w:hAnsi="Arial" w:cs="Arial"/>
        </w:rPr>
      </w:pPr>
      <w:r w:rsidRPr="00D61F73">
        <w:rPr>
          <w:rFonts w:ascii="Arial" w:hAnsi="Arial" w:cs="Arial"/>
        </w:rPr>
        <w:t xml:space="preserve">PMID: </w:t>
      </w:r>
      <w:hyperlink r:id="rId671" w:history="1">
        <w:r w:rsidRPr="00D61F73">
          <w:rPr>
            <w:rStyle w:val="Hyperlink"/>
            <w:rFonts w:ascii="Arial" w:hAnsi="Arial" w:cs="Arial"/>
          </w:rPr>
          <w:t>20686134</w:t>
        </w:r>
      </w:hyperlink>
    </w:p>
    <w:p w14:paraId="152C9E72" w14:textId="77777777" w:rsidR="008D0565" w:rsidRPr="00D61F73" w:rsidRDefault="008D0565" w:rsidP="00D61F73">
      <w:pPr>
        <w:rPr>
          <w:rFonts w:ascii="Arial" w:hAnsi="Arial" w:cs="Arial"/>
        </w:rPr>
      </w:pPr>
    </w:p>
    <w:p w14:paraId="6BC7279F" w14:textId="77777777" w:rsidR="008D0565" w:rsidRPr="00D61F73" w:rsidRDefault="008D0565" w:rsidP="00D61F73">
      <w:pPr>
        <w:rPr>
          <w:rFonts w:ascii="Arial" w:hAnsi="Arial" w:cs="Arial"/>
        </w:rPr>
      </w:pPr>
      <w:r w:rsidRPr="00D61F73">
        <w:rPr>
          <w:rFonts w:ascii="Arial" w:hAnsi="Arial" w:cs="Arial"/>
        </w:rPr>
        <w:t>Rating: 3c</w:t>
      </w:r>
    </w:p>
    <w:p w14:paraId="5247DF0B" w14:textId="77777777" w:rsidR="008D0565" w:rsidRPr="00D61F73" w:rsidRDefault="008D0565" w:rsidP="00D61F73">
      <w:pPr>
        <w:rPr>
          <w:rFonts w:ascii="Arial" w:eastAsia="Calibri" w:hAnsi="Arial" w:cs="Arial"/>
          <w:b/>
          <w:color w:val="auto"/>
        </w:rPr>
      </w:pPr>
      <w:r w:rsidRPr="00D61F73">
        <w:rPr>
          <w:rFonts w:ascii="Arial" w:hAnsi="Arial" w:cs="Arial"/>
          <w:b/>
          <w:bCs/>
        </w:rPr>
        <w:br w:type="page"/>
      </w:r>
      <w:r w:rsidRPr="00D61F73">
        <w:rPr>
          <w:rFonts w:ascii="Arial" w:hAnsi="Arial" w:cs="Arial"/>
          <w:b/>
        </w:rPr>
        <w:lastRenderedPageBreak/>
        <w:t>O</w:t>
      </w:r>
      <w:bookmarkStart w:id="1003" w:name="OConnell2013"/>
      <w:bookmarkEnd w:id="1003"/>
      <w:r w:rsidRPr="00D61F73">
        <w:rPr>
          <w:rFonts w:ascii="Arial" w:hAnsi="Arial" w:cs="Arial"/>
          <w:b/>
        </w:rPr>
        <w:t xml:space="preserve">'Connell NE, Wand BM, McAuley J, Marston L, Moseley GL. Interventions for treating pain and disability in adults with complex regional pain syndrome. </w:t>
      </w:r>
      <w:r w:rsidRPr="00D61F73">
        <w:rPr>
          <w:rFonts w:ascii="Arial" w:hAnsi="Arial" w:cs="Arial"/>
          <w:b/>
          <w:i/>
        </w:rPr>
        <w:t>Cochrane Database Syst Rev</w:t>
      </w:r>
      <w:r w:rsidRPr="00D61F73">
        <w:rPr>
          <w:rFonts w:ascii="Arial" w:hAnsi="Arial" w:cs="Arial"/>
          <w:b/>
        </w:rPr>
        <w:t>. 2013; 4:CD009416. doi: 10.1002/14651858.CD009416.pub2.</w:t>
      </w:r>
    </w:p>
    <w:p w14:paraId="2A449292" w14:textId="77777777" w:rsidR="008D0565" w:rsidRPr="00D61F73" w:rsidRDefault="008D0565" w:rsidP="00D61F73">
      <w:pPr>
        <w:rPr>
          <w:rFonts w:ascii="Arial" w:hAnsi="Arial" w:cs="Arial"/>
        </w:rPr>
      </w:pPr>
    </w:p>
    <w:p w14:paraId="23B7C242" w14:textId="77777777" w:rsidR="008D0565" w:rsidRPr="00D61F73" w:rsidRDefault="008D0565" w:rsidP="00D61F73">
      <w:pPr>
        <w:rPr>
          <w:rFonts w:ascii="Arial" w:hAnsi="Arial" w:cs="Arial"/>
        </w:rPr>
      </w:pPr>
      <w:r w:rsidRPr="00D61F73">
        <w:rPr>
          <w:rFonts w:ascii="Arial" w:hAnsi="Arial" w:cs="Arial"/>
        </w:rPr>
        <w:t xml:space="preserve">PMID: </w:t>
      </w:r>
      <w:hyperlink r:id="rId672" w:history="1">
        <w:r w:rsidRPr="00D61F73">
          <w:rPr>
            <w:rStyle w:val="Hyperlink"/>
            <w:rFonts w:ascii="Arial" w:hAnsi="Arial" w:cs="Arial"/>
          </w:rPr>
          <w:t>23633371</w:t>
        </w:r>
      </w:hyperlink>
    </w:p>
    <w:p w14:paraId="5BA421EF" w14:textId="77777777" w:rsidR="008D0565" w:rsidRPr="00D61F73" w:rsidRDefault="008D0565" w:rsidP="00D61F73">
      <w:pPr>
        <w:rPr>
          <w:rFonts w:ascii="Arial" w:hAnsi="Arial" w:cs="Arial"/>
        </w:rPr>
      </w:pPr>
    </w:p>
    <w:p w14:paraId="42B6C45C" w14:textId="77777777" w:rsidR="008D0565" w:rsidRPr="00D61F73" w:rsidRDefault="008D0565" w:rsidP="00D61F73">
      <w:pPr>
        <w:rPr>
          <w:rFonts w:ascii="Arial" w:hAnsi="Arial" w:cs="Arial"/>
        </w:rPr>
      </w:pPr>
      <w:r w:rsidRPr="00D61F73">
        <w:rPr>
          <w:rFonts w:ascii="Arial" w:hAnsi="Arial" w:cs="Arial"/>
        </w:rPr>
        <w:t>Rating: 1b</w:t>
      </w:r>
    </w:p>
    <w:p w14:paraId="7897E4E5"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O</w:t>
      </w:r>
      <w:bookmarkStart w:id="1004" w:name="OConnor"/>
      <w:bookmarkEnd w:id="1004"/>
      <w:r w:rsidRPr="00D61F73">
        <w:rPr>
          <w:rFonts w:ascii="Arial" w:hAnsi="Arial" w:cs="Arial"/>
          <w:b/>
        </w:rPr>
        <w:t xml:space="preserve">'Connor AB, Dworkin RH. Treatment of neuropathic pain: an overview of recent guidelines. </w:t>
      </w:r>
      <w:r w:rsidRPr="00D61F73">
        <w:rPr>
          <w:rFonts w:ascii="Arial" w:hAnsi="Arial" w:cs="Arial"/>
          <w:b/>
          <w:i/>
        </w:rPr>
        <w:t>Am J Med</w:t>
      </w:r>
      <w:r w:rsidRPr="00D61F73">
        <w:rPr>
          <w:rFonts w:ascii="Arial" w:hAnsi="Arial" w:cs="Arial"/>
          <w:b/>
        </w:rPr>
        <w:t>. 2009;122:S22-32.</w:t>
      </w:r>
    </w:p>
    <w:p w14:paraId="76351F79" w14:textId="77777777" w:rsidR="008D0565" w:rsidRPr="00D61F73" w:rsidRDefault="008D0565" w:rsidP="00D61F73">
      <w:pPr>
        <w:rPr>
          <w:rFonts w:ascii="Arial" w:hAnsi="Arial" w:cs="Arial"/>
        </w:rPr>
      </w:pPr>
    </w:p>
    <w:p w14:paraId="6F054F94" w14:textId="77777777" w:rsidR="008D0565" w:rsidRPr="00D61F73" w:rsidRDefault="008D0565" w:rsidP="00D61F73">
      <w:pPr>
        <w:rPr>
          <w:rFonts w:ascii="Arial" w:hAnsi="Arial" w:cs="Arial"/>
        </w:rPr>
      </w:pPr>
      <w:r w:rsidRPr="00D61F73">
        <w:rPr>
          <w:rFonts w:ascii="Arial" w:hAnsi="Arial" w:cs="Arial"/>
        </w:rPr>
        <w:t xml:space="preserve">On the basis of randomized clinical trials, medications recommended as first-line treatments for neuropathic pain included certain antidepressants (i.e., tricyclic antidepressants and dual reuptake inhibitors of both serotonin and norepinephrine), calcium channel alpha(2)-delta ligands (i.e., gabapentin and pregabalin), and topical lidocaine. </w:t>
      </w:r>
    </w:p>
    <w:p w14:paraId="39CACCE3" w14:textId="77777777" w:rsidR="008D0565" w:rsidRPr="00D61F73" w:rsidRDefault="008D0565" w:rsidP="00D61F73">
      <w:pPr>
        <w:rPr>
          <w:rFonts w:ascii="Arial" w:hAnsi="Arial" w:cs="Arial"/>
        </w:rPr>
      </w:pPr>
    </w:p>
    <w:p w14:paraId="3422FE80" w14:textId="77777777" w:rsidR="008D0565" w:rsidRPr="00D61F73" w:rsidRDefault="008D0565" w:rsidP="00D61F73">
      <w:pPr>
        <w:rPr>
          <w:rFonts w:ascii="Arial" w:hAnsi="Arial" w:cs="Arial"/>
        </w:rPr>
      </w:pPr>
      <w:r w:rsidRPr="00D61F73">
        <w:rPr>
          <w:rFonts w:ascii="Arial" w:hAnsi="Arial" w:cs="Arial"/>
        </w:rPr>
        <w:t xml:space="preserve">PMID: </w:t>
      </w:r>
      <w:hyperlink r:id="rId673" w:history="1">
        <w:r w:rsidRPr="00D61F73">
          <w:rPr>
            <w:rStyle w:val="Hyperlink"/>
            <w:rFonts w:ascii="Arial" w:hAnsi="Arial" w:cs="Arial"/>
          </w:rPr>
          <w:t>19801049</w:t>
        </w:r>
      </w:hyperlink>
    </w:p>
    <w:p w14:paraId="3D8A4CC4" w14:textId="77777777" w:rsidR="008D0565" w:rsidRPr="00D61F73" w:rsidRDefault="008D0565" w:rsidP="00D61F73">
      <w:pPr>
        <w:rPr>
          <w:rFonts w:ascii="Arial" w:hAnsi="Arial" w:cs="Arial"/>
        </w:rPr>
      </w:pPr>
    </w:p>
    <w:p w14:paraId="7DAFD3FD" w14:textId="77777777" w:rsidR="008D0565" w:rsidRPr="00D61F73" w:rsidRDefault="008D0565" w:rsidP="00D61F73">
      <w:pPr>
        <w:rPr>
          <w:rFonts w:ascii="Arial" w:hAnsi="Arial" w:cs="Arial"/>
        </w:rPr>
      </w:pPr>
      <w:r w:rsidRPr="00D61F73">
        <w:rPr>
          <w:rFonts w:ascii="Arial" w:hAnsi="Arial" w:cs="Arial"/>
        </w:rPr>
        <w:t>Rating: 5b</w:t>
      </w:r>
    </w:p>
    <w:p w14:paraId="5D649A7A" w14:textId="77777777" w:rsidR="003A5059" w:rsidRPr="00D61F73" w:rsidRDefault="003A5059" w:rsidP="00D61F73">
      <w:pPr>
        <w:rPr>
          <w:rFonts w:ascii="Arial" w:hAnsi="Arial" w:cs="Arial"/>
          <w:b/>
          <w:bCs/>
        </w:rPr>
      </w:pPr>
      <w:r w:rsidRPr="00D61F73">
        <w:rPr>
          <w:rFonts w:ascii="Arial" w:hAnsi="Arial" w:cs="Arial"/>
          <w:b/>
          <w:bCs/>
        </w:rPr>
        <w:br w:type="page"/>
      </w:r>
      <w:bookmarkStart w:id="1005" w:name="Ojala"/>
      <w:bookmarkEnd w:id="1005"/>
      <w:r w:rsidRPr="00D61F73">
        <w:rPr>
          <w:rFonts w:ascii="Arial" w:hAnsi="Arial" w:cs="Arial"/>
          <w:b/>
          <w:bCs/>
        </w:rPr>
        <w:lastRenderedPageBreak/>
        <w:t>Ojala T, Arokoski JP, Partanen J. The effect of small doses of botulinum toxin a on neck-shoulder myofascial pain syndrome: a double-blind, randomized, and controlled crossover trial. </w:t>
      </w:r>
      <w:r w:rsidRPr="00D61F73">
        <w:rPr>
          <w:rFonts w:ascii="Arial" w:hAnsi="Arial" w:cs="Arial"/>
          <w:b/>
          <w:bCs/>
          <w:i/>
          <w:iCs/>
        </w:rPr>
        <w:t>Clin J Pain</w:t>
      </w:r>
      <w:r w:rsidRPr="00D61F73">
        <w:rPr>
          <w:rFonts w:ascii="Arial" w:hAnsi="Arial" w:cs="Arial"/>
          <w:b/>
          <w:bCs/>
        </w:rPr>
        <w:t>. 2006 Jan;22(1):90-6.</w:t>
      </w:r>
    </w:p>
    <w:p w14:paraId="7787270A" w14:textId="77777777" w:rsidR="003A5059" w:rsidRPr="00D61F73" w:rsidRDefault="003A5059" w:rsidP="00D61F73">
      <w:pPr>
        <w:rPr>
          <w:rFonts w:ascii="Arial" w:hAnsi="Arial" w:cs="Arial"/>
          <w:b/>
          <w:bCs/>
        </w:rPr>
      </w:pPr>
      <w:r w:rsidRPr="00D61F73">
        <w:rPr>
          <w:rFonts w:ascii="Arial" w:hAnsi="Arial" w:cs="Arial"/>
          <w:b/>
          <w:bCs/>
        </w:rPr>
        <w:t> </w:t>
      </w:r>
    </w:p>
    <w:p w14:paraId="16F199FB" w14:textId="77777777" w:rsidR="003A5059" w:rsidRPr="00D61F73" w:rsidRDefault="003A5059" w:rsidP="00D61F73">
      <w:pPr>
        <w:rPr>
          <w:rFonts w:ascii="Arial" w:hAnsi="Arial" w:cs="Arial"/>
          <w:b/>
          <w:bCs/>
        </w:rPr>
      </w:pPr>
      <w:r w:rsidRPr="00D61F73">
        <w:rPr>
          <w:rFonts w:ascii="Arial" w:hAnsi="Arial" w:cs="Arial"/>
          <w:b/>
          <w:bCs/>
        </w:rPr>
        <w:t>Department of Clinical Neurophysiology, Kuopio University Hospital, Kuopio, Finland. tuula.ojala@kuh.fi</w:t>
      </w:r>
    </w:p>
    <w:p w14:paraId="4DACE2A9" w14:textId="77777777" w:rsidR="003A5059" w:rsidRPr="00D61F73" w:rsidRDefault="003A5059" w:rsidP="00D61F73">
      <w:pPr>
        <w:rPr>
          <w:rFonts w:ascii="Arial" w:hAnsi="Arial" w:cs="Arial"/>
          <w:b/>
          <w:bCs/>
        </w:rPr>
      </w:pPr>
      <w:r w:rsidRPr="00D61F73">
        <w:rPr>
          <w:rFonts w:ascii="Arial" w:hAnsi="Arial" w:cs="Arial"/>
          <w:b/>
          <w:bCs/>
        </w:rPr>
        <w:t> </w:t>
      </w:r>
    </w:p>
    <w:p w14:paraId="7C805B3C" w14:textId="77777777" w:rsidR="003A5059" w:rsidRPr="00D61F73" w:rsidRDefault="003A5059" w:rsidP="00D61F73">
      <w:pPr>
        <w:rPr>
          <w:rFonts w:ascii="Arial" w:hAnsi="Arial" w:cs="Arial"/>
          <w:bCs/>
        </w:rPr>
      </w:pPr>
      <w:r w:rsidRPr="00D61F73">
        <w:rPr>
          <w:rFonts w:ascii="Arial" w:hAnsi="Arial" w:cs="Arial"/>
          <w:bCs/>
        </w:rPr>
        <w:t>OBJECTIVES: Myofascial pain syndrome is a common cause of muscular pain in the shoulder-neck region. Injections of large amounts of botulinum toxin A have been found to be beneficial for the alleviation of myofascial pain, but large doses of this toxin may cause paresis of the muscle and other adverse events. CONCLUSIONS: Our study shows that there was no difference between the effect of small doses of botulinum toxin A and those of physiological saline in the treatment of myofascial pain syndrome.</w:t>
      </w:r>
    </w:p>
    <w:p w14:paraId="633917F0" w14:textId="77777777" w:rsidR="003A5059" w:rsidRPr="00D61F73" w:rsidRDefault="003A5059" w:rsidP="00D61F73">
      <w:pPr>
        <w:rPr>
          <w:rFonts w:ascii="Arial" w:hAnsi="Arial" w:cs="Arial"/>
          <w:bCs/>
        </w:rPr>
      </w:pPr>
      <w:r w:rsidRPr="00D61F73">
        <w:rPr>
          <w:rFonts w:ascii="Arial" w:hAnsi="Arial" w:cs="Arial"/>
          <w:bCs/>
        </w:rPr>
        <w:t> </w:t>
      </w:r>
    </w:p>
    <w:p w14:paraId="205837DE" w14:textId="77777777" w:rsidR="003A5059" w:rsidRPr="00D61F73" w:rsidRDefault="003A5059" w:rsidP="00D61F73">
      <w:pPr>
        <w:rPr>
          <w:rFonts w:ascii="Arial" w:hAnsi="Arial" w:cs="Arial"/>
          <w:bCs/>
        </w:rPr>
      </w:pPr>
      <w:r w:rsidRPr="00D61F73">
        <w:rPr>
          <w:rFonts w:ascii="Arial" w:hAnsi="Arial" w:cs="Arial"/>
          <w:bCs/>
        </w:rPr>
        <w:t>PMID: </w:t>
      </w:r>
      <w:hyperlink r:id="rId674" w:history="1">
        <w:r w:rsidRPr="00D61F73">
          <w:rPr>
            <w:rStyle w:val="Hyperlink"/>
            <w:rFonts w:ascii="Arial" w:hAnsi="Arial" w:cs="Arial"/>
            <w:bCs/>
          </w:rPr>
          <w:t>16340597</w:t>
        </w:r>
      </w:hyperlink>
    </w:p>
    <w:p w14:paraId="736405C7" w14:textId="77777777" w:rsidR="003A5059" w:rsidRPr="00D61F73" w:rsidRDefault="003A5059" w:rsidP="00D61F73">
      <w:pPr>
        <w:rPr>
          <w:rFonts w:ascii="Arial" w:hAnsi="Arial" w:cs="Arial"/>
          <w:bCs/>
        </w:rPr>
      </w:pPr>
      <w:r w:rsidRPr="00D61F73">
        <w:rPr>
          <w:rFonts w:ascii="Arial" w:hAnsi="Arial" w:cs="Arial"/>
          <w:bCs/>
        </w:rPr>
        <w:t> </w:t>
      </w:r>
    </w:p>
    <w:p w14:paraId="5F3EA418" w14:textId="77777777" w:rsidR="003A5059" w:rsidRPr="00D61F73" w:rsidRDefault="003A5059" w:rsidP="00D61F73">
      <w:pPr>
        <w:rPr>
          <w:rFonts w:ascii="Arial" w:hAnsi="Arial" w:cs="Arial"/>
          <w:bCs/>
        </w:rPr>
      </w:pPr>
      <w:r w:rsidRPr="00D61F73">
        <w:rPr>
          <w:rFonts w:ascii="Arial" w:hAnsi="Arial" w:cs="Arial"/>
          <w:bCs/>
        </w:rPr>
        <w:t>Rating: 2c</w:t>
      </w:r>
    </w:p>
    <w:p w14:paraId="012A0FDA" w14:textId="77777777" w:rsidR="007D5C26" w:rsidRPr="00D61F73" w:rsidRDefault="007D5C26"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O</w:t>
      </w:r>
      <w:bookmarkStart w:id="1006" w:name="Oka2010"/>
      <w:bookmarkEnd w:id="1006"/>
      <w:r w:rsidRPr="00D61F73">
        <w:rPr>
          <w:rFonts w:ascii="Arial" w:hAnsi="Arial" w:cs="Arial"/>
          <w:b/>
          <w:bCs/>
        </w:rPr>
        <w:t>ka H, Akune T, Muraki S, En-yo Y, Yoshida M, Saika A, Sasaki S, Nakamura K, Kawaguchi H, Yoshimura N. Association of low dietary vitamin K intake with radiographic knee osteoarthritis in the Japanese elderly population: dietary survey in a population-based cohort of the ROAD study. </w:t>
      </w:r>
      <w:r w:rsidRPr="00D61F73">
        <w:rPr>
          <w:rFonts w:ascii="Arial" w:hAnsi="Arial" w:cs="Arial"/>
          <w:b/>
          <w:bCs/>
          <w:i/>
          <w:iCs/>
        </w:rPr>
        <w:t>J Orthop Sci.</w:t>
      </w:r>
      <w:r w:rsidRPr="00D61F73">
        <w:rPr>
          <w:rFonts w:ascii="Arial" w:hAnsi="Arial" w:cs="Arial"/>
          <w:b/>
          <w:bCs/>
        </w:rPr>
        <w:t> 2009 Nov;14(6):687-92. Epub 2009 Dec 8.</w:t>
      </w:r>
    </w:p>
    <w:p w14:paraId="45AEDD96" w14:textId="77777777" w:rsidR="007D5C26" w:rsidRPr="00D61F73" w:rsidRDefault="007D5C26" w:rsidP="00D61F73">
      <w:pPr>
        <w:rPr>
          <w:rFonts w:ascii="Arial" w:hAnsi="Arial" w:cs="Arial"/>
          <w:b/>
          <w:bCs/>
        </w:rPr>
      </w:pPr>
      <w:r w:rsidRPr="00D61F73">
        <w:rPr>
          <w:rFonts w:ascii="Arial" w:hAnsi="Arial" w:cs="Arial"/>
          <w:b/>
          <w:bCs/>
        </w:rPr>
        <w:t> </w:t>
      </w:r>
    </w:p>
    <w:p w14:paraId="60779098" w14:textId="77777777" w:rsidR="007D5C26" w:rsidRPr="00D61F73" w:rsidRDefault="007D5C26" w:rsidP="00D61F73">
      <w:pPr>
        <w:rPr>
          <w:rFonts w:ascii="Arial" w:hAnsi="Arial" w:cs="Arial"/>
          <w:bCs/>
        </w:rPr>
      </w:pPr>
      <w:r w:rsidRPr="00D61F73">
        <w:rPr>
          <w:rFonts w:ascii="Arial" w:hAnsi="Arial" w:cs="Arial"/>
          <w:bCs/>
        </w:rPr>
        <w:t>CONCLUSIONS: The present cross-sectional study using a population-based cohort supports the hypothesis that low dietary vitamin K intake is a risk factor for knee OA. Vitamin K may have a protective role against knee OA and might lead to a disease-modifying treatment.</w:t>
      </w:r>
    </w:p>
    <w:p w14:paraId="65F2F900" w14:textId="77777777" w:rsidR="00F00B93" w:rsidRPr="00D61F73" w:rsidRDefault="00F00B93" w:rsidP="00D61F73">
      <w:pPr>
        <w:rPr>
          <w:rFonts w:ascii="Arial" w:hAnsi="Arial" w:cs="Arial"/>
          <w:b/>
          <w:bCs/>
        </w:rPr>
      </w:pPr>
    </w:p>
    <w:p w14:paraId="3547506A" w14:textId="77777777" w:rsidR="00F00B93" w:rsidRPr="00D61F73" w:rsidRDefault="007D5C26" w:rsidP="00D61F73">
      <w:pPr>
        <w:rPr>
          <w:rFonts w:ascii="Arial" w:hAnsi="Arial" w:cs="Arial"/>
          <w:bCs/>
        </w:rPr>
      </w:pPr>
      <w:r w:rsidRPr="00D61F73">
        <w:rPr>
          <w:rFonts w:ascii="Arial" w:hAnsi="Arial" w:cs="Arial"/>
          <w:bCs/>
        </w:rPr>
        <w:t> </w:t>
      </w:r>
      <w:r w:rsidR="00F00B93" w:rsidRPr="00D61F73">
        <w:rPr>
          <w:rFonts w:ascii="Arial" w:hAnsi="Arial" w:cs="Arial"/>
          <w:bCs/>
        </w:rPr>
        <w:t>PMID: </w:t>
      </w:r>
      <w:hyperlink r:id="rId675" w:history="1">
        <w:r w:rsidR="00F00B93" w:rsidRPr="00D61F73">
          <w:rPr>
            <w:rStyle w:val="Hyperlink"/>
            <w:rFonts w:ascii="Arial" w:hAnsi="Arial" w:cs="Arial"/>
            <w:bCs/>
          </w:rPr>
          <w:t>19997813</w:t>
        </w:r>
      </w:hyperlink>
    </w:p>
    <w:p w14:paraId="0BE4BD11" w14:textId="77777777" w:rsidR="00F00B93" w:rsidRPr="00D61F73" w:rsidRDefault="00F00B93" w:rsidP="00D61F73">
      <w:pPr>
        <w:rPr>
          <w:rFonts w:ascii="Arial" w:hAnsi="Arial" w:cs="Arial"/>
          <w:bCs/>
        </w:rPr>
      </w:pPr>
      <w:r w:rsidRPr="00D61F73">
        <w:rPr>
          <w:rFonts w:ascii="Arial" w:hAnsi="Arial" w:cs="Arial"/>
          <w:bCs/>
        </w:rPr>
        <w:t> </w:t>
      </w:r>
    </w:p>
    <w:p w14:paraId="6135DE62" w14:textId="77777777" w:rsidR="00F00B93" w:rsidRPr="00D61F73" w:rsidRDefault="00F00B93" w:rsidP="00D61F73">
      <w:pPr>
        <w:rPr>
          <w:rFonts w:ascii="Arial" w:hAnsi="Arial" w:cs="Arial"/>
          <w:bCs/>
        </w:rPr>
      </w:pPr>
      <w:r w:rsidRPr="00D61F73">
        <w:rPr>
          <w:rFonts w:ascii="Arial" w:hAnsi="Arial" w:cs="Arial"/>
          <w:bCs/>
        </w:rPr>
        <w:t>Rating: 3a</w:t>
      </w:r>
    </w:p>
    <w:p w14:paraId="6AA1520E" w14:textId="77777777" w:rsidR="007D5C26" w:rsidRPr="00D61F73" w:rsidRDefault="007D5C26" w:rsidP="00D61F73">
      <w:pPr>
        <w:rPr>
          <w:rFonts w:ascii="Arial" w:hAnsi="Arial" w:cs="Arial"/>
          <w:b/>
          <w:bCs/>
        </w:rPr>
      </w:pPr>
    </w:p>
    <w:p w14:paraId="49D5D7F9" w14:textId="77777777" w:rsidR="00F00B93" w:rsidRPr="00D61F73" w:rsidRDefault="00F00B93" w:rsidP="00D61F73">
      <w:pPr>
        <w:rPr>
          <w:rFonts w:ascii="Arial" w:hAnsi="Arial" w:cs="Arial"/>
          <w:b/>
          <w:bCs/>
        </w:rPr>
      </w:pPr>
    </w:p>
    <w:p w14:paraId="2BCB5316" w14:textId="77777777" w:rsidR="008D0565" w:rsidRPr="00D61F73" w:rsidRDefault="008D0565" w:rsidP="00D61F73">
      <w:pPr>
        <w:rPr>
          <w:rFonts w:ascii="Arial" w:hAnsi="Arial" w:cs="Arial"/>
          <w:b/>
          <w:color w:val="auto"/>
        </w:rPr>
      </w:pPr>
      <w:r w:rsidRPr="00D61F73">
        <w:rPr>
          <w:rFonts w:ascii="Arial" w:hAnsi="Arial" w:cs="Arial"/>
          <w:b/>
          <w:bCs/>
        </w:rPr>
        <w:br w:type="page"/>
      </w:r>
      <w:r w:rsidRPr="00D61F73">
        <w:rPr>
          <w:rFonts w:ascii="Arial" w:hAnsi="Arial" w:cs="Arial"/>
          <w:b/>
        </w:rPr>
        <w:lastRenderedPageBreak/>
        <w:t>O</w:t>
      </w:r>
      <w:bookmarkStart w:id="1007" w:name="Okun2002"/>
      <w:bookmarkEnd w:id="1007"/>
      <w:r w:rsidRPr="00D61F73">
        <w:rPr>
          <w:rFonts w:ascii="Arial" w:hAnsi="Arial" w:cs="Arial"/>
          <w:b/>
        </w:rPr>
        <w:t>kun MS, Nadeau SE, Rossi F, Triggs WJ. Immobilization dystonia</w:t>
      </w:r>
      <w:r w:rsidRPr="00D61F73">
        <w:rPr>
          <w:rFonts w:ascii="Arial" w:hAnsi="Arial" w:cs="Arial"/>
          <w:b/>
          <w:i/>
        </w:rPr>
        <w:t>. J Neurol Sci</w:t>
      </w:r>
      <w:r w:rsidRPr="00D61F73">
        <w:rPr>
          <w:rFonts w:ascii="Arial" w:hAnsi="Arial" w:cs="Arial"/>
          <w:b/>
        </w:rPr>
        <w:t>. 2002 15;201:79-83.</w:t>
      </w:r>
    </w:p>
    <w:p w14:paraId="323F2E7D" w14:textId="77777777" w:rsidR="008D0565" w:rsidRPr="00D61F73" w:rsidRDefault="008D0565" w:rsidP="00D61F73">
      <w:pPr>
        <w:rPr>
          <w:rFonts w:ascii="Arial" w:hAnsi="Arial" w:cs="Arial"/>
        </w:rPr>
      </w:pPr>
    </w:p>
    <w:p w14:paraId="3CE72D6E" w14:textId="77777777" w:rsidR="008D0565" w:rsidRPr="00D61F73" w:rsidRDefault="008D0565" w:rsidP="00D61F73">
      <w:pPr>
        <w:rPr>
          <w:rFonts w:ascii="Arial" w:hAnsi="Arial" w:cs="Arial"/>
        </w:rPr>
      </w:pPr>
      <w:r w:rsidRPr="00D61F73">
        <w:rPr>
          <w:rFonts w:ascii="Arial" w:hAnsi="Arial" w:cs="Arial"/>
        </w:rPr>
        <w:t xml:space="preserve">PMID: </w:t>
      </w:r>
      <w:hyperlink r:id="rId676" w:history="1">
        <w:r w:rsidRPr="00D61F73">
          <w:rPr>
            <w:rStyle w:val="Hyperlink"/>
            <w:rFonts w:ascii="Arial" w:hAnsi="Arial" w:cs="Arial"/>
          </w:rPr>
          <w:t>12163198</w:t>
        </w:r>
      </w:hyperlink>
    </w:p>
    <w:p w14:paraId="0BC69B66" w14:textId="77777777" w:rsidR="008D0565" w:rsidRPr="00D61F73" w:rsidRDefault="008D0565" w:rsidP="00D61F73">
      <w:pPr>
        <w:rPr>
          <w:rFonts w:ascii="Arial" w:hAnsi="Arial" w:cs="Arial"/>
        </w:rPr>
      </w:pPr>
    </w:p>
    <w:p w14:paraId="5D4441A3" w14:textId="77777777" w:rsidR="008D0565" w:rsidRPr="00D61F73" w:rsidRDefault="008D0565" w:rsidP="00D61F73">
      <w:pPr>
        <w:rPr>
          <w:rFonts w:ascii="Arial" w:hAnsi="Arial" w:cs="Arial"/>
        </w:rPr>
      </w:pPr>
      <w:r w:rsidRPr="00D61F73">
        <w:rPr>
          <w:rFonts w:ascii="Arial" w:hAnsi="Arial" w:cs="Arial"/>
        </w:rPr>
        <w:t>Rating: 4c</w:t>
      </w:r>
    </w:p>
    <w:p w14:paraId="1E970327" w14:textId="2D24294A"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rPr>
        <w:lastRenderedPageBreak/>
        <w:t xml:space="preserve"> </w:t>
      </w:r>
      <w:r w:rsidRPr="004423C7">
        <w:rPr>
          <w:rFonts w:ascii="Arial" w:hAnsi="Arial" w:cs="Arial"/>
          <w:b/>
          <w:bCs/>
        </w:rPr>
        <w:t>O</w:t>
      </w:r>
      <w:bookmarkStart w:id="1008" w:name="OLenic2012"/>
      <w:bookmarkEnd w:id="1008"/>
      <w:r w:rsidRPr="004423C7">
        <w:rPr>
          <w:rFonts w:ascii="Arial" w:hAnsi="Arial" w:cs="Arial"/>
          <w:b/>
          <w:bCs/>
        </w:rPr>
        <w:t>'Lenic K</w:t>
      </w:r>
      <w:r w:rsidRPr="00D61F73">
        <w:rPr>
          <w:rFonts w:ascii="Arial" w:hAnsi="Arial" w:cs="Arial"/>
          <w:b/>
          <w:bCs/>
        </w:rPr>
        <w:t>. Vimpat for neuropathic pain. April 09, 2012.</w:t>
      </w:r>
    </w:p>
    <w:p w14:paraId="2260A917" w14:textId="77777777" w:rsidR="008D0565" w:rsidRPr="00D61F73" w:rsidRDefault="008D0565" w:rsidP="00D61F73">
      <w:pPr>
        <w:rPr>
          <w:rFonts w:ascii="Arial" w:hAnsi="Arial" w:cs="Arial"/>
        </w:rPr>
      </w:pPr>
    </w:p>
    <w:p w14:paraId="71439A7D" w14:textId="77777777" w:rsidR="008D0565" w:rsidRPr="00D61F73" w:rsidRDefault="008D0565" w:rsidP="00D61F73">
      <w:pPr>
        <w:rPr>
          <w:rFonts w:ascii="Arial" w:hAnsi="Arial" w:cs="Arial"/>
        </w:rPr>
      </w:pPr>
      <w:r w:rsidRPr="00D61F73">
        <w:rPr>
          <w:rFonts w:ascii="Arial" w:hAnsi="Arial" w:cs="Arial"/>
        </w:rPr>
        <w:t>Rating: 10a</w:t>
      </w:r>
    </w:p>
    <w:p w14:paraId="498AA40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O</w:t>
      </w:r>
      <w:bookmarkStart w:id="1009" w:name="Olesen"/>
      <w:bookmarkEnd w:id="1009"/>
      <w:r w:rsidRPr="00D61F73">
        <w:rPr>
          <w:rFonts w:ascii="Arial" w:hAnsi="Arial" w:cs="Arial"/>
          <w:b/>
          <w:bCs/>
        </w:rPr>
        <w:t xml:space="preserve">lesen J, Bousser MG, Diener HC, Dodick D, First M, Goadsby PJ, Göbel H, Lainez MJ, Lance JW, Lipton RB, Nappi G, Sakai F, Schoenen J, Silberstein SD, Steiner TJ, Headache Classification Committee. New appendix criteria open for a broader concept of chronic migraine. </w:t>
      </w:r>
      <w:r w:rsidRPr="00D61F73">
        <w:rPr>
          <w:rFonts w:ascii="Arial" w:hAnsi="Arial" w:cs="Arial"/>
          <w:b/>
          <w:bCs/>
          <w:i/>
        </w:rPr>
        <w:t>Cephalalgia</w:t>
      </w:r>
      <w:r w:rsidRPr="00D61F73">
        <w:rPr>
          <w:rFonts w:ascii="Arial" w:hAnsi="Arial" w:cs="Arial"/>
          <w:b/>
          <w:bCs/>
        </w:rPr>
        <w:t>. 2006; 26:742-6.</w:t>
      </w:r>
    </w:p>
    <w:p w14:paraId="66C34255" w14:textId="77777777" w:rsidR="008D0565" w:rsidRPr="00D61F73" w:rsidRDefault="008D0565" w:rsidP="00D61F73">
      <w:pPr>
        <w:rPr>
          <w:rFonts w:ascii="Arial" w:hAnsi="Arial" w:cs="Arial"/>
        </w:rPr>
      </w:pPr>
    </w:p>
    <w:p w14:paraId="6BD4B402" w14:textId="77777777" w:rsidR="008D0565" w:rsidRPr="00D61F73" w:rsidRDefault="008D0565" w:rsidP="00D61F73">
      <w:pPr>
        <w:rPr>
          <w:rFonts w:ascii="Arial" w:hAnsi="Arial" w:cs="Arial"/>
        </w:rPr>
      </w:pPr>
      <w:r w:rsidRPr="00D61F73">
        <w:rPr>
          <w:rFonts w:ascii="Arial" w:hAnsi="Arial" w:cs="Arial"/>
        </w:rPr>
        <w:t xml:space="preserve">The system of being able to use CM and the medication overuse headache (MOH) diagnosis only after discontinuation of overuse has proven highly unpractical and new data have suggested a much more liberal use of these diagnoses. It is now recommended that the MOH diagnosis should no longer request improvement after discontinuation of medication overuse but should be given to patients if they have a primary headache plus ongoing medication overuse. </w:t>
      </w:r>
    </w:p>
    <w:p w14:paraId="5A0A979A" w14:textId="77777777" w:rsidR="008D0565" w:rsidRPr="00D61F73" w:rsidRDefault="008D0565" w:rsidP="00D61F73">
      <w:pPr>
        <w:rPr>
          <w:rFonts w:ascii="Arial" w:hAnsi="Arial" w:cs="Arial"/>
        </w:rPr>
      </w:pPr>
    </w:p>
    <w:p w14:paraId="6366D7EB" w14:textId="77777777" w:rsidR="008D0565" w:rsidRPr="00D61F73" w:rsidRDefault="008D0565" w:rsidP="00D61F73">
      <w:pPr>
        <w:rPr>
          <w:rFonts w:ascii="Arial" w:hAnsi="Arial" w:cs="Arial"/>
        </w:rPr>
      </w:pPr>
      <w:r w:rsidRPr="00D61F73">
        <w:rPr>
          <w:rFonts w:ascii="Arial" w:hAnsi="Arial" w:cs="Arial"/>
        </w:rPr>
        <w:t xml:space="preserve">PMID: </w:t>
      </w:r>
      <w:hyperlink r:id="rId677" w:history="1">
        <w:r w:rsidRPr="00D61F73">
          <w:rPr>
            <w:rStyle w:val="Hyperlink"/>
            <w:rFonts w:ascii="Arial" w:hAnsi="Arial" w:cs="Arial"/>
          </w:rPr>
          <w:t>16686915</w:t>
        </w:r>
      </w:hyperlink>
    </w:p>
    <w:p w14:paraId="7B763E90" w14:textId="77777777" w:rsidR="008D0565" w:rsidRPr="00D61F73" w:rsidRDefault="008D0565" w:rsidP="00D61F73">
      <w:pPr>
        <w:rPr>
          <w:rFonts w:ascii="Arial" w:hAnsi="Arial" w:cs="Arial"/>
        </w:rPr>
      </w:pPr>
    </w:p>
    <w:p w14:paraId="024B259C" w14:textId="77777777" w:rsidR="008D0565" w:rsidRPr="00D61F73" w:rsidRDefault="008D0565" w:rsidP="00D61F73">
      <w:pPr>
        <w:rPr>
          <w:rFonts w:ascii="Arial" w:hAnsi="Arial" w:cs="Arial"/>
        </w:rPr>
      </w:pPr>
      <w:r w:rsidRPr="00D61F73">
        <w:rPr>
          <w:rFonts w:ascii="Arial" w:hAnsi="Arial" w:cs="Arial"/>
        </w:rPr>
        <w:t>Rating: 5b</w:t>
      </w:r>
    </w:p>
    <w:p w14:paraId="17EE7890" w14:textId="77777777" w:rsidR="00492B38" w:rsidRPr="00D61F73" w:rsidRDefault="00492B38" w:rsidP="00D61F73">
      <w:pPr>
        <w:rPr>
          <w:rFonts w:ascii="Arial" w:hAnsi="Arial" w:cs="Arial"/>
        </w:rPr>
      </w:pPr>
      <w:r w:rsidRPr="00D61F73">
        <w:rPr>
          <w:rFonts w:ascii="Arial" w:hAnsi="Arial" w:cs="Arial"/>
        </w:rPr>
        <w:br w:type="page"/>
      </w:r>
      <w:bookmarkStart w:id="1010" w:name="Oluwajenyo2014"/>
      <w:r w:rsidRPr="00D61F73">
        <w:rPr>
          <w:rFonts w:ascii="Arial" w:hAnsi="Arial" w:cs="Arial"/>
          <w:b/>
        </w:rPr>
        <w:lastRenderedPageBreak/>
        <w:t xml:space="preserve">Oluwajenyo Banjo </w:t>
      </w:r>
      <w:bookmarkEnd w:id="1010"/>
      <w:r w:rsidRPr="00D61F73">
        <w:rPr>
          <w:rFonts w:ascii="Arial" w:hAnsi="Arial" w:cs="Arial"/>
          <w:b/>
        </w:rPr>
        <w:t>MPHc, Tzemis D, Al-Qutub D, Amlani A, Kesselring S, Buxton JA. A quantitative and qualitative evaluation of the British Columbia Take Home Naloxone program. CMAJ Open. 2014; 2:E153-61.</w:t>
      </w:r>
      <w:r w:rsidRPr="00D61F73">
        <w:rPr>
          <w:rFonts w:ascii="Arial" w:hAnsi="Arial" w:cs="Arial"/>
          <w:b/>
        </w:rPr>
        <w:br/>
      </w:r>
      <w:r w:rsidRPr="00D61F73">
        <w:rPr>
          <w:rFonts w:ascii="Arial" w:hAnsi="Arial" w:cs="Arial"/>
        </w:rPr>
        <w:br/>
        <w:t>PMID: 25295235</w:t>
      </w:r>
      <w:r w:rsidRPr="00D61F73">
        <w:rPr>
          <w:rFonts w:ascii="Arial" w:hAnsi="Arial" w:cs="Arial"/>
        </w:rPr>
        <w:br/>
      </w:r>
      <w:r w:rsidRPr="00D61F73">
        <w:rPr>
          <w:rFonts w:ascii="Arial" w:hAnsi="Arial" w:cs="Arial"/>
        </w:rPr>
        <w:br/>
        <w:t>Rating: 11b</w:t>
      </w:r>
    </w:p>
    <w:p w14:paraId="3293EA3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O</w:t>
      </w:r>
      <w:bookmarkStart w:id="1011" w:name="Osenbach"/>
      <w:bookmarkEnd w:id="1011"/>
      <w:r w:rsidRPr="00D61F73">
        <w:rPr>
          <w:rFonts w:ascii="Arial" w:hAnsi="Arial" w:cs="Arial"/>
          <w:b/>
          <w:bCs/>
        </w:rPr>
        <w:t xml:space="preserve">senbach RK, Harvey S. Neuraxial infusion in patients with chronic intractable cancer and noncancer pain. </w:t>
      </w:r>
      <w:r w:rsidRPr="00D61F73">
        <w:rPr>
          <w:rFonts w:ascii="Arial" w:hAnsi="Arial" w:cs="Arial"/>
          <w:b/>
          <w:bCs/>
          <w:i/>
          <w:iCs/>
        </w:rPr>
        <w:t>Curr Pain Headache Rep</w:t>
      </w:r>
      <w:r w:rsidRPr="00D61F73">
        <w:rPr>
          <w:rFonts w:ascii="Arial" w:hAnsi="Arial" w:cs="Arial"/>
          <w:b/>
          <w:bCs/>
        </w:rPr>
        <w:t>. 2001 Jun;5(3):241-9.</w:t>
      </w:r>
    </w:p>
    <w:p w14:paraId="6F8CBF14" w14:textId="77777777" w:rsidR="008D0565" w:rsidRPr="00D61F73" w:rsidRDefault="008D0565" w:rsidP="00D61F73">
      <w:pPr>
        <w:rPr>
          <w:rFonts w:ascii="Arial" w:hAnsi="Arial" w:cs="Arial"/>
        </w:rPr>
      </w:pPr>
    </w:p>
    <w:p w14:paraId="058B5B94" w14:textId="77777777" w:rsidR="008D0565" w:rsidRPr="00D61F73" w:rsidRDefault="008D0565" w:rsidP="00D61F73">
      <w:pPr>
        <w:rPr>
          <w:rFonts w:ascii="Arial" w:hAnsi="Arial" w:cs="Arial"/>
        </w:rPr>
      </w:pPr>
      <w:r w:rsidRPr="00D61F73">
        <w:rPr>
          <w:rFonts w:ascii="Arial" w:hAnsi="Arial" w:cs="Arial"/>
        </w:rPr>
        <w:t xml:space="preserve">Initially, spinal infusion therapy was indicated only for patients with cancer pain that could not be adequately controlled with systemic </w:t>
      </w:r>
      <w:r w:rsidRPr="00D61F73">
        <w:rPr>
          <w:rFonts w:ascii="Arial" w:hAnsi="Arial" w:cs="Arial"/>
          <w:u w:val="single"/>
        </w:rPr>
        <w:t>narcotics</w:t>
      </w:r>
      <w:r w:rsidRPr="00D61F73">
        <w:rPr>
          <w:rFonts w:ascii="Arial" w:hAnsi="Arial" w:cs="Arial"/>
        </w:rPr>
        <w:t xml:space="preserve">. Consequently, long-term efficacy has not been as significant as had been hoped. </w:t>
      </w:r>
    </w:p>
    <w:p w14:paraId="4E44F33D" w14:textId="77777777" w:rsidR="008D0565" w:rsidRPr="00D61F73" w:rsidRDefault="008D0565" w:rsidP="00D61F73">
      <w:pPr>
        <w:rPr>
          <w:rFonts w:ascii="Arial" w:hAnsi="Arial" w:cs="Arial"/>
        </w:rPr>
      </w:pPr>
    </w:p>
    <w:p w14:paraId="46344706" w14:textId="77777777" w:rsidR="008D0565" w:rsidRPr="00D61F73" w:rsidRDefault="008D0565" w:rsidP="00D61F73">
      <w:pPr>
        <w:rPr>
          <w:rFonts w:ascii="Arial" w:hAnsi="Arial" w:cs="Arial"/>
        </w:rPr>
      </w:pPr>
      <w:r w:rsidRPr="00D61F73">
        <w:rPr>
          <w:rFonts w:ascii="Arial" w:hAnsi="Arial" w:cs="Arial"/>
        </w:rPr>
        <w:t xml:space="preserve">PMID: </w:t>
      </w:r>
      <w:hyperlink r:id="rId678" w:history="1">
        <w:r w:rsidRPr="00D61F73">
          <w:rPr>
            <w:rStyle w:val="Hyperlink"/>
            <w:rFonts w:ascii="Arial" w:hAnsi="Arial" w:cs="Arial"/>
          </w:rPr>
          <w:t>11309212</w:t>
        </w:r>
      </w:hyperlink>
      <w:r w:rsidRPr="00D61F73">
        <w:rPr>
          <w:rFonts w:ascii="Arial" w:hAnsi="Arial" w:cs="Arial"/>
        </w:rPr>
        <w:t xml:space="preserve"> </w:t>
      </w:r>
    </w:p>
    <w:p w14:paraId="5E957F2E" w14:textId="77777777" w:rsidR="008D0565" w:rsidRPr="00D61F73" w:rsidRDefault="008D0565" w:rsidP="00D61F73">
      <w:pPr>
        <w:rPr>
          <w:rFonts w:ascii="Arial" w:hAnsi="Arial" w:cs="Arial"/>
        </w:rPr>
      </w:pPr>
    </w:p>
    <w:p w14:paraId="283CE4EC" w14:textId="77777777" w:rsidR="008D0565" w:rsidRPr="00D61F73" w:rsidRDefault="008D0565" w:rsidP="00D61F73">
      <w:pPr>
        <w:rPr>
          <w:rFonts w:ascii="Arial" w:hAnsi="Arial" w:cs="Arial"/>
        </w:rPr>
      </w:pPr>
      <w:r w:rsidRPr="00D61F73">
        <w:rPr>
          <w:rFonts w:ascii="Arial" w:hAnsi="Arial" w:cs="Arial"/>
        </w:rPr>
        <w:t>Rating: 5b</w:t>
      </w:r>
    </w:p>
    <w:p w14:paraId="43270A13" w14:textId="77777777" w:rsidR="008D0565" w:rsidRPr="00D61F73" w:rsidRDefault="008D0565" w:rsidP="00D61F73">
      <w:pPr>
        <w:rPr>
          <w:rFonts w:ascii="Arial" w:hAnsi="Arial" w:cs="Arial"/>
        </w:rPr>
      </w:pPr>
    </w:p>
    <w:p w14:paraId="4BBA5AA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O</w:t>
      </w:r>
      <w:bookmarkStart w:id="1012" w:name="Ostelo"/>
      <w:bookmarkEnd w:id="1012"/>
      <w:r w:rsidRPr="00D61F73">
        <w:rPr>
          <w:rFonts w:ascii="Arial" w:hAnsi="Arial" w:cs="Arial"/>
          <w:b/>
          <w:bCs/>
        </w:rPr>
        <w:t xml:space="preserve">stelo RW, van Tulder MW, Vlaeyen JW, Linton SJ, Morley SJ, Assendelft WJ. Behavioural treatment for chronic low-back pain. </w:t>
      </w:r>
      <w:r w:rsidRPr="00D61F73">
        <w:rPr>
          <w:rFonts w:ascii="Arial" w:hAnsi="Arial" w:cs="Arial"/>
          <w:b/>
          <w:bCs/>
          <w:i/>
        </w:rPr>
        <w:t>Cochrane Database Syst Rev</w:t>
      </w:r>
      <w:r w:rsidRPr="00D61F73">
        <w:rPr>
          <w:rFonts w:ascii="Arial" w:hAnsi="Arial" w:cs="Arial"/>
          <w:b/>
          <w:bCs/>
        </w:rPr>
        <w:t xml:space="preserve">. 2005 Jan 25;(1):CD002014. </w:t>
      </w:r>
    </w:p>
    <w:p w14:paraId="4734E47A" w14:textId="77777777" w:rsidR="008D0565" w:rsidRPr="00D61F73" w:rsidRDefault="008D0565" w:rsidP="00D61F73">
      <w:pPr>
        <w:rPr>
          <w:rFonts w:ascii="Arial" w:hAnsi="Arial" w:cs="Arial"/>
        </w:rPr>
      </w:pPr>
    </w:p>
    <w:p w14:paraId="532E096A" w14:textId="77777777" w:rsidR="008D0565" w:rsidRPr="00D61F73" w:rsidRDefault="008D0565" w:rsidP="00D61F73">
      <w:pPr>
        <w:rPr>
          <w:rFonts w:ascii="Arial" w:hAnsi="Arial" w:cs="Arial"/>
        </w:rPr>
      </w:pPr>
      <w:r w:rsidRPr="00D61F73">
        <w:rPr>
          <w:rFonts w:ascii="Arial" w:hAnsi="Arial" w:cs="Arial"/>
        </w:rPr>
        <w:t>No significant differences could be detected between behavioural treatment and exercise therapy. Whether clinicians should refer patients with CLBP to behavioural treatment programs or to active conservative treatment cannot be concluded from this review.</w:t>
      </w:r>
    </w:p>
    <w:p w14:paraId="282C1355" w14:textId="77777777" w:rsidR="008D0565" w:rsidRPr="00D61F73" w:rsidRDefault="008D0565" w:rsidP="00D61F73">
      <w:pPr>
        <w:rPr>
          <w:rFonts w:ascii="Arial" w:hAnsi="Arial" w:cs="Arial"/>
        </w:rPr>
      </w:pPr>
    </w:p>
    <w:p w14:paraId="3DEE65F7" w14:textId="77777777" w:rsidR="008D0565" w:rsidRPr="00D61F73" w:rsidRDefault="008D0565" w:rsidP="00D61F73">
      <w:pPr>
        <w:rPr>
          <w:rFonts w:ascii="Arial" w:hAnsi="Arial" w:cs="Arial"/>
        </w:rPr>
      </w:pPr>
      <w:r w:rsidRPr="00D61F73">
        <w:rPr>
          <w:rFonts w:ascii="Arial" w:hAnsi="Arial" w:cs="Arial"/>
        </w:rPr>
        <w:t xml:space="preserve">PMID: </w:t>
      </w:r>
      <w:hyperlink r:id="rId679" w:history="1">
        <w:r w:rsidRPr="00D61F73">
          <w:rPr>
            <w:rStyle w:val="Hyperlink"/>
            <w:rFonts w:ascii="Arial" w:hAnsi="Arial" w:cs="Arial"/>
          </w:rPr>
          <w:t>15674889</w:t>
        </w:r>
      </w:hyperlink>
      <w:r w:rsidRPr="00D61F73">
        <w:rPr>
          <w:rFonts w:ascii="Arial" w:hAnsi="Arial" w:cs="Arial"/>
        </w:rPr>
        <w:t xml:space="preserve"> </w:t>
      </w:r>
    </w:p>
    <w:p w14:paraId="7DCA9682" w14:textId="77777777" w:rsidR="008D0565" w:rsidRPr="00D61F73" w:rsidRDefault="008D0565" w:rsidP="00D61F73">
      <w:pPr>
        <w:rPr>
          <w:rFonts w:ascii="Arial" w:hAnsi="Arial" w:cs="Arial"/>
        </w:rPr>
      </w:pPr>
    </w:p>
    <w:p w14:paraId="5FFCFB00" w14:textId="77777777" w:rsidR="008D0565" w:rsidRPr="00D61F73" w:rsidRDefault="008D0565" w:rsidP="00D61F73">
      <w:pPr>
        <w:rPr>
          <w:rFonts w:ascii="Arial" w:hAnsi="Arial" w:cs="Arial"/>
        </w:rPr>
      </w:pPr>
      <w:r w:rsidRPr="00D61F73">
        <w:rPr>
          <w:rFonts w:ascii="Arial" w:hAnsi="Arial" w:cs="Arial"/>
        </w:rPr>
        <w:t>Rating: 1a</w:t>
      </w:r>
    </w:p>
    <w:p w14:paraId="07361FE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O</w:t>
      </w:r>
      <w:bookmarkStart w:id="1013" w:name="Otis"/>
      <w:bookmarkEnd w:id="1013"/>
      <w:r w:rsidRPr="00D61F73">
        <w:rPr>
          <w:rFonts w:ascii="Arial" w:hAnsi="Arial" w:cs="Arial"/>
          <w:b/>
          <w:bCs/>
        </w:rPr>
        <w:t xml:space="preserve">tis JD, Macdonald A, Dobscha SK. Integration and coordination of pain management in primary care. </w:t>
      </w:r>
      <w:r w:rsidRPr="00D61F73">
        <w:rPr>
          <w:rFonts w:ascii="Arial" w:hAnsi="Arial" w:cs="Arial"/>
          <w:b/>
          <w:bCs/>
          <w:i/>
        </w:rPr>
        <w:t>J Clin Psychol</w:t>
      </w:r>
      <w:r w:rsidRPr="00D61F73">
        <w:rPr>
          <w:rFonts w:ascii="Arial" w:hAnsi="Arial" w:cs="Arial"/>
          <w:b/>
          <w:bCs/>
        </w:rPr>
        <w:t xml:space="preserve">. 2006 Aug 25; [Epub ahead of print] </w:t>
      </w:r>
    </w:p>
    <w:p w14:paraId="427349F2" w14:textId="77777777" w:rsidR="008D0565" w:rsidRPr="00D61F73" w:rsidRDefault="008D0565" w:rsidP="00D61F73">
      <w:pPr>
        <w:rPr>
          <w:rFonts w:ascii="Arial" w:hAnsi="Arial" w:cs="Arial"/>
        </w:rPr>
      </w:pPr>
    </w:p>
    <w:p w14:paraId="5BE89F01" w14:textId="77777777" w:rsidR="008D0565" w:rsidRPr="00D61F73" w:rsidRDefault="008D0565" w:rsidP="00D61F73">
      <w:pPr>
        <w:rPr>
          <w:rFonts w:ascii="Arial" w:hAnsi="Arial" w:cs="Arial"/>
        </w:rPr>
      </w:pPr>
      <w:r w:rsidRPr="00D61F73">
        <w:rPr>
          <w:rFonts w:ascii="Arial" w:hAnsi="Arial" w:cs="Arial"/>
        </w:rPr>
        <w:t xml:space="preserve">We address the integration and coordination of care between mental health and primary care. </w:t>
      </w:r>
    </w:p>
    <w:p w14:paraId="0628DE41" w14:textId="77777777" w:rsidR="008D0565" w:rsidRPr="00D61F73" w:rsidRDefault="008D0565" w:rsidP="00D61F73">
      <w:pPr>
        <w:rPr>
          <w:rFonts w:ascii="Arial" w:hAnsi="Arial" w:cs="Arial"/>
        </w:rPr>
      </w:pPr>
    </w:p>
    <w:p w14:paraId="68E324E0" w14:textId="77777777" w:rsidR="008D0565" w:rsidRPr="00D61F73" w:rsidRDefault="008D0565" w:rsidP="00D61F73">
      <w:pPr>
        <w:rPr>
          <w:rFonts w:ascii="Arial" w:hAnsi="Arial" w:cs="Arial"/>
        </w:rPr>
      </w:pPr>
      <w:r w:rsidRPr="00D61F73">
        <w:rPr>
          <w:rFonts w:ascii="Arial" w:hAnsi="Arial" w:cs="Arial"/>
        </w:rPr>
        <w:t xml:space="preserve">PMID: </w:t>
      </w:r>
      <w:hyperlink r:id="rId680" w:history="1">
        <w:r w:rsidRPr="00D61F73">
          <w:rPr>
            <w:rStyle w:val="Hyperlink"/>
            <w:rFonts w:ascii="Arial" w:hAnsi="Arial" w:cs="Arial"/>
          </w:rPr>
          <w:t>16937344</w:t>
        </w:r>
      </w:hyperlink>
    </w:p>
    <w:p w14:paraId="6D0A873B" w14:textId="77777777" w:rsidR="008D0565" w:rsidRPr="00D61F73" w:rsidRDefault="008D0565" w:rsidP="00D61F73">
      <w:pPr>
        <w:rPr>
          <w:rFonts w:ascii="Arial" w:hAnsi="Arial" w:cs="Arial"/>
        </w:rPr>
      </w:pPr>
    </w:p>
    <w:p w14:paraId="47F2C4D0" w14:textId="77777777" w:rsidR="008D0565" w:rsidRPr="00D61F73" w:rsidRDefault="008D0565" w:rsidP="00D61F73">
      <w:pPr>
        <w:rPr>
          <w:rFonts w:ascii="Arial" w:hAnsi="Arial" w:cs="Arial"/>
        </w:rPr>
      </w:pPr>
      <w:r w:rsidRPr="00D61F73">
        <w:rPr>
          <w:rFonts w:ascii="Arial" w:hAnsi="Arial" w:cs="Arial"/>
        </w:rPr>
        <w:t>Rating: 5b</w:t>
      </w:r>
    </w:p>
    <w:p w14:paraId="47754C6F"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O</w:t>
      </w:r>
      <w:bookmarkStart w:id="1014" w:name="Otto"/>
      <w:bookmarkEnd w:id="1014"/>
      <w:r w:rsidRPr="00D61F73">
        <w:rPr>
          <w:rFonts w:ascii="Arial" w:hAnsi="Arial" w:cs="Arial"/>
          <w:b/>
        </w:rPr>
        <w:t xml:space="preserve">tto MW, Tuby KS, Gould RA, McLean RY, Pollack MH. An effect-size analysis of the relative efficacy and tolerability of serotonin selective reuptake inhibitors for panic disorder. </w:t>
      </w:r>
      <w:r w:rsidRPr="00D61F73">
        <w:rPr>
          <w:rFonts w:ascii="Arial" w:hAnsi="Arial" w:cs="Arial"/>
          <w:b/>
          <w:i/>
        </w:rPr>
        <w:t>Am J Psychiatry</w:t>
      </w:r>
      <w:r w:rsidRPr="00D61F73">
        <w:rPr>
          <w:rFonts w:ascii="Arial" w:hAnsi="Arial" w:cs="Arial"/>
          <w:b/>
        </w:rPr>
        <w:t>. 2001;158:1989-92.</w:t>
      </w:r>
    </w:p>
    <w:p w14:paraId="7A02153D" w14:textId="77777777" w:rsidR="008D0565" w:rsidRPr="00D61F73" w:rsidRDefault="008D0565" w:rsidP="00D61F73">
      <w:pPr>
        <w:rPr>
          <w:rFonts w:ascii="Arial" w:hAnsi="Arial" w:cs="Arial"/>
          <w:b/>
        </w:rPr>
      </w:pPr>
    </w:p>
    <w:p w14:paraId="3CF5B9F9" w14:textId="77777777" w:rsidR="008D0565" w:rsidRPr="00D61F73" w:rsidRDefault="008D0565" w:rsidP="00D61F73">
      <w:pPr>
        <w:rPr>
          <w:rFonts w:ascii="Arial" w:hAnsi="Arial" w:cs="Arial"/>
        </w:rPr>
      </w:pPr>
      <w:r w:rsidRPr="00D61F73">
        <w:rPr>
          <w:rFonts w:ascii="Arial" w:hAnsi="Arial" w:cs="Arial"/>
        </w:rPr>
        <w:t>CONCLUSIONS: Early studies of small samples may have led to initial overestimations of the efficacy of SSRIs for panic disorder.</w:t>
      </w:r>
    </w:p>
    <w:p w14:paraId="39EC6631" w14:textId="77777777" w:rsidR="008D0565" w:rsidRPr="00D61F73" w:rsidRDefault="008D0565" w:rsidP="00D61F73">
      <w:pPr>
        <w:rPr>
          <w:rFonts w:ascii="Arial" w:hAnsi="Arial" w:cs="Arial"/>
        </w:rPr>
      </w:pPr>
    </w:p>
    <w:p w14:paraId="3D192C62" w14:textId="77777777" w:rsidR="008D0565" w:rsidRPr="00D61F73" w:rsidRDefault="008D0565" w:rsidP="00D61F73">
      <w:pPr>
        <w:rPr>
          <w:rFonts w:ascii="Arial" w:hAnsi="Arial" w:cs="Arial"/>
        </w:rPr>
      </w:pPr>
      <w:r w:rsidRPr="00D61F73">
        <w:rPr>
          <w:rFonts w:ascii="Arial" w:hAnsi="Arial" w:cs="Arial"/>
        </w:rPr>
        <w:t xml:space="preserve">PMID: </w:t>
      </w:r>
      <w:hyperlink r:id="rId681" w:history="1">
        <w:r w:rsidRPr="00D61F73">
          <w:rPr>
            <w:rStyle w:val="Hyperlink"/>
            <w:rFonts w:ascii="Arial" w:hAnsi="Arial" w:cs="Arial"/>
          </w:rPr>
          <w:t>11729014</w:t>
        </w:r>
      </w:hyperlink>
      <w:r w:rsidRPr="00D61F73">
        <w:rPr>
          <w:rFonts w:ascii="Arial" w:hAnsi="Arial" w:cs="Arial"/>
        </w:rPr>
        <w:t xml:space="preserve"> </w:t>
      </w:r>
    </w:p>
    <w:p w14:paraId="09C8897E" w14:textId="77777777" w:rsidR="008D0565" w:rsidRPr="00D61F73" w:rsidRDefault="008D0565" w:rsidP="00D61F73">
      <w:pPr>
        <w:rPr>
          <w:rFonts w:ascii="Arial" w:hAnsi="Arial" w:cs="Arial"/>
        </w:rPr>
      </w:pPr>
    </w:p>
    <w:p w14:paraId="6D4F4ABD" w14:textId="77777777" w:rsidR="008D0565" w:rsidRPr="00D61F73" w:rsidRDefault="008D0565" w:rsidP="00D61F73">
      <w:pPr>
        <w:rPr>
          <w:rFonts w:ascii="Arial" w:hAnsi="Arial" w:cs="Arial"/>
        </w:rPr>
      </w:pPr>
      <w:r w:rsidRPr="00D61F73">
        <w:rPr>
          <w:rFonts w:ascii="Arial" w:hAnsi="Arial" w:cs="Arial"/>
        </w:rPr>
        <w:t>Rating: 1b</w:t>
      </w:r>
    </w:p>
    <w:p w14:paraId="15F315B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O</w:t>
      </w:r>
      <w:bookmarkStart w:id="1015" w:name="Owens"/>
      <w:bookmarkEnd w:id="1015"/>
      <w:r w:rsidRPr="00D61F73">
        <w:rPr>
          <w:rFonts w:ascii="Arial" w:hAnsi="Arial" w:cs="Arial"/>
          <w:b/>
        </w:rPr>
        <w:t xml:space="preserve">wens C, Pugmire B, Salness T, Culbertson V, Force R, Cady P, Steiner J. Abuse potential of carisoprodol: a retrospective review of Idaho Medicaid pharmacy and medical claims data. </w:t>
      </w:r>
      <w:r w:rsidRPr="00D61F73">
        <w:rPr>
          <w:rFonts w:ascii="Arial" w:hAnsi="Arial" w:cs="Arial"/>
          <w:b/>
          <w:i/>
        </w:rPr>
        <w:t>Clin Ther</w:t>
      </w:r>
      <w:r w:rsidRPr="00D61F73">
        <w:rPr>
          <w:rFonts w:ascii="Arial" w:hAnsi="Arial" w:cs="Arial"/>
          <w:b/>
        </w:rPr>
        <w:t>. 2007;29:2222-5.</w:t>
      </w:r>
    </w:p>
    <w:p w14:paraId="299409D5" w14:textId="77777777" w:rsidR="008D0565" w:rsidRPr="00D61F73" w:rsidRDefault="008D0565" w:rsidP="00D61F73">
      <w:pPr>
        <w:rPr>
          <w:rFonts w:ascii="Arial" w:eastAsia="Calibri" w:hAnsi="Arial" w:cs="Arial"/>
          <w:b/>
          <w:color w:val="auto"/>
        </w:rPr>
      </w:pPr>
    </w:p>
    <w:p w14:paraId="2F4A04C0"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82" w:history="1">
        <w:r w:rsidRPr="00D61F73">
          <w:rPr>
            <w:rStyle w:val="Hyperlink"/>
            <w:rFonts w:ascii="Arial" w:hAnsi="Arial" w:cs="Arial"/>
          </w:rPr>
          <w:t>18042478</w:t>
        </w:r>
      </w:hyperlink>
    </w:p>
    <w:p w14:paraId="45A50175" w14:textId="77777777" w:rsidR="008D0565" w:rsidRPr="00D61F73" w:rsidRDefault="008D0565" w:rsidP="00D61F73">
      <w:pPr>
        <w:rPr>
          <w:rFonts w:ascii="Arial" w:hAnsi="Arial" w:cs="Arial"/>
        </w:rPr>
      </w:pPr>
    </w:p>
    <w:p w14:paraId="6635B8D2" w14:textId="77777777" w:rsidR="008D0565" w:rsidRPr="00D61F73" w:rsidRDefault="008D0565" w:rsidP="00D61F73">
      <w:pPr>
        <w:rPr>
          <w:rFonts w:ascii="Arial" w:eastAsia="Calibri" w:hAnsi="Arial" w:cs="Arial"/>
        </w:rPr>
      </w:pPr>
      <w:r w:rsidRPr="00D61F73">
        <w:rPr>
          <w:rFonts w:ascii="Arial" w:hAnsi="Arial" w:cs="Arial"/>
        </w:rPr>
        <w:t>Rating: 3b</w:t>
      </w:r>
    </w:p>
    <w:p w14:paraId="36004FE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16" w:name="Page"/>
      <w:bookmarkEnd w:id="1016"/>
      <w:r w:rsidRPr="00D61F73">
        <w:rPr>
          <w:rFonts w:ascii="Arial" w:hAnsi="Arial" w:cs="Arial"/>
          <w:b/>
          <w:bCs/>
        </w:rPr>
        <w:t xml:space="preserve">age, S., et al. Exogenous Testosterone (T) alone or with Finasteride Increases Physical Performance, Grip Strength, and Lean Body Mass in Older Men with Low Serum T. </w:t>
      </w:r>
      <w:r w:rsidRPr="00D61F73">
        <w:rPr>
          <w:rFonts w:ascii="Arial" w:hAnsi="Arial" w:cs="Arial"/>
          <w:b/>
          <w:bCs/>
          <w:i/>
          <w:iCs/>
        </w:rPr>
        <w:t>Journal of Clinical Endocrinology &amp; Metabolism</w:t>
      </w:r>
      <w:r w:rsidRPr="00D61F73">
        <w:rPr>
          <w:rFonts w:ascii="Arial" w:hAnsi="Arial" w:cs="Arial"/>
          <w:b/>
          <w:bCs/>
        </w:rPr>
        <w:t>, Volume 90, Number 3, 1502-1510. 2005.</w:t>
      </w:r>
    </w:p>
    <w:p w14:paraId="4505C47B" w14:textId="77777777" w:rsidR="008D0565" w:rsidRPr="00D61F73" w:rsidRDefault="008D0565" w:rsidP="00D61F73">
      <w:pPr>
        <w:rPr>
          <w:rFonts w:ascii="Arial" w:hAnsi="Arial" w:cs="Arial"/>
        </w:rPr>
      </w:pPr>
    </w:p>
    <w:p w14:paraId="094F76AF" w14:textId="77777777" w:rsidR="008D0565" w:rsidRPr="00D61F73" w:rsidRDefault="008D0565" w:rsidP="00D61F73">
      <w:pPr>
        <w:rPr>
          <w:rFonts w:ascii="Arial" w:hAnsi="Arial" w:cs="Arial"/>
        </w:rPr>
      </w:pPr>
      <w:r w:rsidRPr="00D61F73">
        <w:rPr>
          <w:rFonts w:ascii="Arial" w:hAnsi="Arial" w:cs="Arial"/>
        </w:rPr>
        <w:t>Rating: 2b</w:t>
      </w:r>
    </w:p>
    <w:p w14:paraId="4888BC70" w14:textId="77777777" w:rsidR="008D0565" w:rsidRPr="00D61F73" w:rsidRDefault="008D0565" w:rsidP="00D61F73">
      <w:pPr>
        <w:rPr>
          <w:rFonts w:ascii="Arial" w:hAnsi="Arial" w:cs="Arial"/>
        </w:rPr>
      </w:pPr>
    </w:p>
    <w:p w14:paraId="40B1FC9D" w14:textId="77777777" w:rsidR="008D0565" w:rsidRPr="00D61F73" w:rsidRDefault="008D0565" w:rsidP="00D61F73">
      <w:pPr>
        <w:rPr>
          <w:rFonts w:ascii="Arial" w:hAnsi="Arial" w:cs="Arial"/>
        </w:rPr>
      </w:pPr>
      <w:r w:rsidRPr="00D61F73">
        <w:rPr>
          <w:rFonts w:ascii="Arial" w:hAnsi="Arial" w:cs="Arial"/>
        </w:rPr>
        <w:t xml:space="preserve">Quality: Intermediate. Total Rating: 7.0. Comment: Study looks at an older population of men than typically represented in the Work Comp setting 70+. Has a high dropout rate. However, it does score high in areas of randomization and blinding. In the end it finds that Exogenous Testosterone therapy and Exogenous Testosterone therapy with Finasteride Increases Physical Performance and can increase physical function in older men with low levels of serum Testosterone. </w:t>
      </w:r>
    </w:p>
    <w:p w14:paraId="0734EA6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17" w:name="Paice"/>
      <w:bookmarkEnd w:id="1017"/>
      <w:r w:rsidRPr="00D61F73">
        <w:rPr>
          <w:rFonts w:ascii="Arial" w:hAnsi="Arial" w:cs="Arial"/>
          <w:b/>
          <w:bCs/>
        </w:rPr>
        <w:t xml:space="preserve">aice JA, Winkelmuller W, Burchiel K, Racz GB, Prager JP. Clinical realities and economic considerations: efficacy of intrathecal pain therapy. </w:t>
      </w:r>
      <w:r w:rsidRPr="00D61F73">
        <w:rPr>
          <w:rFonts w:ascii="Arial" w:hAnsi="Arial" w:cs="Arial"/>
          <w:b/>
          <w:bCs/>
          <w:i/>
          <w:iCs/>
        </w:rPr>
        <w:t>J Pain Symptom Manage.</w:t>
      </w:r>
      <w:r w:rsidRPr="00D61F73">
        <w:rPr>
          <w:rFonts w:ascii="Arial" w:hAnsi="Arial" w:cs="Arial"/>
          <w:b/>
          <w:bCs/>
        </w:rPr>
        <w:t xml:space="preserve"> 1997 Sep;14(3 Suppl):S14-26. </w:t>
      </w:r>
    </w:p>
    <w:p w14:paraId="14114351" w14:textId="77777777" w:rsidR="008D0565" w:rsidRPr="00D61F73" w:rsidRDefault="008D0565" w:rsidP="00D61F73">
      <w:pPr>
        <w:rPr>
          <w:rFonts w:ascii="Arial" w:hAnsi="Arial" w:cs="Arial"/>
        </w:rPr>
      </w:pPr>
    </w:p>
    <w:p w14:paraId="7550425B" w14:textId="77777777" w:rsidR="008D0565" w:rsidRPr="00D61F73" w:rsidRDefault="008D0565" w:rsidP="00D61F73">
      <w:pPr>
        <w:rPr>
          <w:rFonts w:ascii="Arial" w:hAnsi="Arial" w:cs="Arial"/>
        </w:rPr>
      </w:pPr>
      <w:r w:rsidRPr="00D61F73">
        <w:rPr>
          <w:rFonts w:ascii="Arial" w:hAnsi="Arial" w:cs="Arial"/>
        </w:rPr>
        <w:t xml:space="preserve">In both studies, patients reported significant improvement in activities of daily living, quality of life measures, and satisfaction with the therapy. </w:t>
      </w:r>
    </w:p>
    <w:p w14:paraId="230E8549" w14:textId="77777777" w:rsidR="008D0565" w:rsidRPr="00D61F73" w:rsidRDefault="008D0565" w:rsidP="00D61F73">
      <w:pPr>
        <w:rPr>
          <w:rFonts w:ascii="Arial" w:hAnsi="Arial" w:cs="Arial"/>
        </w:rPr>
      </w:pPr>
    </w:p>
    <w:p w14:paraId="7F1C0E78" w14:textId="77777777" w:rsidR="008D0565" w:rsidRPr="00D61F73" w:rsidRDefault="008D0565" w:rsidP="00D61F73">
      <w:pPr>
        <w:rPr>
          <w:rFonts w:ascii="Arial" w:hAnsi="Arial" w:cs="Arial"/>
        </w:rPr>
      </w:pPr>
      <w:r w:rsidRPr="00D61F73">
        <w:rPr>
          <w:rFonts w:ascii="Arial" w:hAnsi="Arial" w:cs="Arial"/>
        </w:rPr>
        <w:t xml:space="preserve">PMID: </w:t>
      </w:r>
      <w:hyperlink r:id="rId683" w:history="1">
        <w:r w:rsidRPr="00D61F73">
          <w:rPr>
            <w:rStyle w:val="Hyperlink"/>
            <w:rFonts w:ascii="Arial" w:hAnsi="Arial" w:cs="Arial"/>
          </w:rPr>
          <w:t>9291707</w:t>
        </w:r>
      </w:hyperlink>
    </w:p>
    <w:p w14:paraId="72640056" w14:textId="77777777" w:rsidR="008D0565" w:rsidRPr="00D61F73" w:rsidRDefault="008D0565" w:rsidP="00D61F73">
      <w:pPr>
        <w:rPr>
          <w:rFonts w:ascii="Arial" w:hAnsi="Arial" w:cs="Arial"/>
        </w:rPr>
      </w:pPr>
    </w:p>
    <w:p w14:paraId="016DCF11" w14:textId="77777777" w:rsidR="008D0565" w:rsidRPr="00D61F73" w:rsidRDefault="008D0565" w:rsidP="00D61F73">
      <w:pPr>
        <w:rPr>
          <w:rFonts w:ascii="Arial" w:hAnsi="Arial" w:cs="Arial"/>
        </w:rPr>
      </w:pPr>
      <w:r w:rsidRPr="00D61F73">
        <w:rPr>
          <w:rFonts w:ascii="Arial" w:hAnsi="Arial" w:cs="Arial"/>
        </w:rPr>
        <w:t>Rating: 1b</w:t>
      </w:r>
    </w:p>
    <w:p w14:paraId="6CAD815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18" w:name="Pandey"/>
      <w:bookmarkEnd w:id="1018"/>
      <w:r w:rsidRPr="00D61F73">
        <w:rPr>
          <w:rFonts w:ascii="Arial" w:hAnsi="Arial" w:cs="Arial"/>
          <w:b/>
          <w:bCs/>
        </w:rPr>
        <w:t>andey CK, Navkar DV, Giri PJ, Raza M, Behari S, Singh RB, Singh U, Singh PK. Evaluation of the optimal preemptive dose of gabapentin for postoperative pain relief after lumbar diskectomy: a randomized, double-blind, placebo-controlled study. J Neurosurg Anesthesiol. 2005 Apr;17(2):65-8.</w:t>
      </w:r>
    </w:p>
    <w:p w14:paraId="5747A8FE" w14:textId="77777777" w:rsidR="008D0565" w:rsidRPr="00D61F73" w:rsidRDefault="008D0565" w:rsidP="00D61F73">
      <w:pPr>
        <w:rPr>
          <w:rFonts w:ascii="Arial" w:hAnsi="Arial" w:cs="Arial"/>
        </w:rPr>
      </w:pPr>
    </w:p>
    <w:p w14:paraId="732AFB1A" w14:textId="77777777" w:rsidR="008D0565" w:rsidRPr="00D61F73" w:rsidRDefault="008D0565" w:rsidP="00D61F73">
      <w:pPr>
        <w:rPr>
          <w:rFonts w:ascii="Arial" w:hAnsi="Arial" w:cs="Arial"/>
        </w:rPr>
      </w:pPr>
      <w:r w:rsidRPr="00D61F73">
        <w:rPr>
          <w:rFonts w:ascii="Arial" w:hAnsi="Arial" w:cs="Arial"/>
        </w:rPr>
        <w:t>Thus, gabapentin 600 mg is the optimal dose for postoperative pain relief following lumbar diskectomy.</w:t>
      </w:r>
    </w:p>
    <w:p w14:paraId="52F004B0" w14:textId="77777777" w:rsidR="008D0565" w:rsidRPr="00D61F73" w:rsidRDefault="008D0565" w:rsidP="00D61F73">
      <w:pPr>
        <w:rPr>
          <w:rFonts w:ascii="Arial" w:hAnsi="Arial" w:cs="Arial"/>
        </w:rPr>
      </w:pPr>
    </w:p>
    <w:p w14:paraId="5CF0B1AC" w14:textId="77777777" w:rsidR="008D0565" w:rsidRPr="00D61F73" w:rsidRDefault="008D0565" w:rsidP="00D61F73">
      <w:pPr>
        <w:rPr>
          <w:rFonts w:ascii="Arial" w:hAnsi="Arial" w:cs="Arial"/>
        </w:rPr>
      </w:pPr>
      <w:r w:rsidRPr="00D61F73">
        <w:rPr>
          <w:rFonts w:ascii="Arial" w:hAnsi="Arial" w:cs="Arial"/>
        </w:rPr>
        <w:t xml:space="preserve">PMID: </w:t>
      </w:r>
      <w:hyperlink r:id="rId684" w:history="1">
        <w:r w:rsidRPr="00D61F73">
          <w:rPr>
            <w:rStyle w:val="Hyperlink"/>
            <w:rFonts w:ascii="Arial" w:hAnsi="Arial" w:cs="Arial"/>
          </w:rPr>
          <w:t>15840990</w:t>
        </w:r>
      </w:hyperlink>
      <w:r w:rsidRPr="00D61F73">
        <w:rPr>
          <w:rFonts w:ascii="Arial" w:hAnsi="Arial" w:cs="Arial"/>
        </w:rPr>
        <w:t xml:space="preserve"> </w:t>
      </w:r>
    </w:p>
    <w:p w14:paraId="18DCF63E" w14:textId="77777777" w:rsidR="008D0565" w:rsidRPr="00D61F73" w:rsidRDefault="008D0565" w:rsidP="00D61F73">
      <w:pPr>
        <w:rPr>
          <w:rFonts w:ascii="Arial" w:hAnsi="Arial" w:cs="Arial"/>
        </w:rPr>
      </w:pPr>
    </w:p>
    <w:p w14:paraId="6FDF6B6F" w14:textId="77777777" w:rsidR="008D0565" w:rsidRPr="00D61F73" w:rsidRDefault="008D0565" w:rsidP="00D61F73">
      <w:pPr>
        <w:rPr>
          <w:rFonts w:ascii="Arial" w:hAnsi="Arial" w:cs="Arial"/>
        </w:rPr>
      </w:pPr>
      <w:r w:rsidRPr="00D61F73">
        <w:rPr>
          <w:rFonts w:ascii="Arial" w:hAnsi="Arial" w:cs="Arial"/>
        </w:rPr>
        <w:t>Rating: 2b</w:t>
      </w:r>
    </w:p>
    <w:p w14:paraId="6929630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19" w:name="Pang"/>
      <w:bookmarkEnd w:id="1019"/>
      <w:r w:rsidRPr="00D61F73">
        <w:rPr>
          <w:rFonts w:ascii="Arial" w:hAnsi="Arial" w:cs="Arial"/>
          <w:b/>
          <w:bCs/>
        </w:rPr>
        <w:t>ang D, Jones GT, Power C, Macfarlane GJ. Influence of childhood behaviour on the reporting of chronic widespread pain in adulthood: results from the 1958 British Birth Cohort Study. Rheumatology (Oxford). 2010 Mar 9. [Epub ahead of print]</w:t>
      </w:r>
    </w:p>
    <w:p w14:paraId="73C8FE59" w14:textId="77777777" w:rsidR="008D0565" w:rsidRPr="00D61F73" w:rsidRDefault="008D0565" w:rsidP="00D61F73">
      <w:pPr>
        <w:rPr>
          <w:rFonts w:ascii="Arial" w:hAnsi="Arial" w:cs="Arial"/>
        </w:rPr>
      </w:pPr>
    </w:p>
    <w:p w14:paraId="00D29160" w14:textId="77777777" w:rsidR="008D0565" w:rsidRPr="00D61F73" w:rsidRDefault="008D0565" w:rsidP="00D61F73">
      <w:pPr>
        <w:rPr>
          <w:rFonts w:ascii="Arial" w:hAnsi="Arial" w:cs="Arial"/>
        </w:rPr>
      </w:pPr>
      <w:r w:rsidRPr="00D61F73">
        <w:rPr>
          <w:rFonts w:ascii="Arial" w:hAnsi="Arial" w:cs="Arial"/>
        </w:rPr>
        <w:t>Conclusion. Maladjusted (social) behaviour is associated with increased long-term CWP beyond childhood and adolescence.</w:t>
      </w:r>
    </w:p>
    <w:p w14:paraId="291FB8DD" w14:textId="77777777" w:rsidR="008D0565" w:rsidRPr="00D61F73" w:rsidRDefault="008D0565" w:rsidP="00D61F73">
      <w:pPr>
        <w:rPr>
          <w:rFonts w:ascii="Arial" w:hAnsi="Arial" w:cs="Arial"/>
        </w:rPr>
      </w:pPr>
    </w:p>
    <w:p w14:paraId="4103B779" w14:textId="77777777" w:rsidR="008D0565" w:rsidRPr="00D61F73" w:rsidRDefault="008D0565" w:rsidP="00D61F73">
      <w:pPr>
        <w:rPr>
          <w:rFonts w:ascii="Arial" w:hAnsi="Arial" w:cs="Arial"/>
        </w:rPr>
      </w:pPr>
      <w:r w:rsidRPr="00D61F73">
        <w:rPr>
          <w:rFonts w:ascii="Arial" w:hAnsi="Arial" w:cs="Arial"/>
        </w:rPr>
        <w:t xml:space="preserve">PMID: </w:t>
      </w:r>
      <w:hyperlink r:id="rId685" w:history="1">
        <w:r w:rsidRPr="00D61F73">
          <w:rPr>
            <w:rStyle w:val="Hyperlink"/>
            <w:rFonts w:ascii="Arial" w:hAnsi="Arial" w:cs="Arial"/>
          </w:rPr>
          <w:t>20215340</w:t>
        </w:r>
      </w:hyperlink>
      <w:r w:rsidRPr="00D61F73">
        <w:rPr>
          <w:rFonts w:ascii="Arial" w:hAnsi="Arial" w:cs="Arial"/>
        </w:rPr>
        <w:t xml:space="preserve"> </w:t>
      </w:r>
    </w:p>
    <w:p w14:paraId="46A28359" w14:textId="77777777" w:rsidR="008D0565" w:rsidRPr="00D61F73" w:rsidRDefault="008D0565" w:rsidP="00D61F73">
      <w:pPr>
        <w:rPr>
          <w:rFonts w:ascii="Arial" w:hAnsi="Arial" w:cs="Arial"/>
        </w:rPr>
      </w:pPr>
    </w:p>
    <w:p w14:paraId="6395BC28" w14:textId="77777777" w:rsidR="008D0565" w:rsidRPr="00D61F73" w:rsidRDefault="008D0565" w:rsidP="00D61F73">
      <w:pPr>
        <w:rPr>
          <w:rFonts w:ascii="Arial" w:hAnsi="Arial" w:cs="Arial"/>
        </w:rPr>
      </w:pPr>
      <w:r w:rsidRPr="00D61F73">
        <w:rPr>
          <w:rFonts w:ascii="Arial" w:hAnsi="Arial" w:cs="Arial"/>
        </w:rPr>
        <w:t>Rating: 3a</w:t>
      </w:r>
    </w:p>
    <w:p w14:paraId="026027AC"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P</w:t>
      </w:r>
      <w:bookmarkStart w:id="1020" w:name="Pankaj2006"/>
      <w:bookmarkEnd w:id="1020"/>
      <w:r w:rsidRPr="00D61F73">
        <w:rPr>
          <w:rFonts w:ascii="Arial" w:hAnsi="Arial" w:cs="Arial"/>
          <w:b/>
        </w:rPr>
        <w:t xml:space="preserve">ankaj A, Kotwal PP, Mittal R, Deepak KK, Bal CS. Diagnosis of post-traumatic complex regional pain syndrome of the hand: current role of sympathetic skin response and three-phase bone scintigraphy. </w:t>
      </w:r>
      <w:r w:rsidRPr="00D61F73">
        <w:rPr>
          <w:rFonts w:ascii="Arial" w:hAnsi="Arial" w:cs="Arial"/>
          <w:b/>
          <w:i/>
        </w:rPr>
        <w:t>J Orthop Surg (Hong Kong).</w:t>
      </w:r>
      <w:r w:rsidRPr="00D61F73">
        <w:rPr>
          <w:rFonts w:ascii="Arial" w:hAnsi="Arial" w:cs="Arial"/>
          <w:b/>
        </w:rPr>
        <w:t xml:space="preserve"> 2006;14:284-90.</w:t>
      </w:r>
    </w:p>
    <w:p w14:paraId="3DDE9C7E" w14:textId="77777777" w:rsidR="008D0565" w:rsidRPr="00D61F73" w:rsidRDefault="008D0565" w:rsidP="00D61F73">
      <w:pPr>
        <w:rPr>
          <w:rFonts w:ascii="Arial" w:eastAsia="Calibri" w:hAnsi="Arial" w:cs="Arial"/>
        </w:rPr>
      </w:pPr>
    </w:p>
    <w:p w14:paraId="202671A8"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686" w:history="1">
        <w:r w:rsidRPr="00D61F73">
          <w:rPr>
            <w:rStyle w:val="Hyperlink"/>
            <w:rFonts w:ascii="Arial" w:hAnsi="Arial" w:cs="Arial"/>
          </w:rPr>
          <w:t>17200530</w:t>
        </w:r>
      </w:hyperlink>
    </w:p>
    <w:p w14:paraId="7DE30960" w14:textId="77777777" w:rsidR="008D0565" w:rsidRPr="00D61F73" w:rsidRDefault="008D0565" w:rsidP="00D61F73">
      <w:pPr>
        <w:rPr>
          <w:rFonts w:ascii="Arial" w:eastAsia="Calibri" w:hAnsi="Arial" w:cs="Arial"/>
        </w:rPr>
      </w:pPr>
      <w:r w:rsidRPr="00D61F73">
        <w:rPr>
          <w:rFonts w:ascii="Arial" w:hAnsi="Arial" w:cs="Arial"/>
        </w:rPr>
        <w:t xml:space="preserve">  </w:t>
      </w:r>
    </w:p>
    <w:p w14:paraId="09EBB5CB" w14:textId="77777777" w:rsidR="008D0565" w:rsidRPr="00D61F73" w:rsidRDefault="008D0565" w:rsidP="00D61F73">
      <w:pPr>
        <w:rPr>
          <w:rFonts w:ascii="Arial" w:eastAsia="Calibri" w:hAnsi="Arial" w:cs="Arial"/>
        </w:rPr>
      </w:pPr>
      <w:r w:rsidRPr="00D61F73">
        <w:rPr>
          <w:rFonts w:ascii="Arial" w:hAnsi="Arial" w:cs="Arial"/>
        </w:rPr>
        <w:t>Rating: 4c</w:t>
      </w:r>
    </w:p>
    <w:p w14:paraId="32A9E16C" w14:textId="77777777" w:rsidR="008D0565" w:rsidRPr="00D61F73" w:rsidRDefault="008D0565" w:rsidP="00D61F73">
      <w:pPr>
        <w:rPr>
          <w:rFonts w:ascii="Arial" w:hAnsi="Arial" w:cs="Arial"/>
        </w:rPr>
      </w:pPr>
      <w:r w:rsidRPr="00D61F73">
        <w:rPr>
          <w:rFonts w:ascii="Arial" w:hAnsi="Arial" w:cs="Arial"/>
        </w:rPr>
        <w:br w:type="page"/>
      </w:r>
    </w:p>
    <w:p w14:paraId="3A39BA4F" w14:textId="77777777" w:rsidR="008D0565" w:rsidRPr="00D61F73" w:rsidRDefault="008D0565" w:rsidP="00D61F73">
      <w:pPr>
        <w:rPr>
          <w:rFonts w:ascii="Arial" w:hAnsi="Arial" w:cs="Arial"/>
          <w:b/>
          <w:color w:val="auto"/>
        </w:rPr>
      </w:pPr>
      <w:r w:rsidRPr="00D61F73">
        <w:rPr>
          <w:rFonts w:ascii="Arial" w:hAnsi="Arial" w:cs="Arial"/>
          <w:b/>
        </w:rPr>
        <w:lastRenderedPageBreak/>
        <w:t>P</w:t>
      </w:r>
      <w:bookmarkStart w:id="1021" w:name="Parr2009"/>
      <w:bookmarkEnd w:id="1021"/>
      <w:r w:rsidRPr="00D61F73">
        <w:rPr>
          <w:rFonts w:ascii="Arial" w:hAnsi="Arial" w:cs="Arial"/>
          <w:b/>
        </w:rPr>
        <w:t xml:space="preserve">arr JM, Kavanagh DJ, Cahill L, Mitchell G, McD Young R. Effectiveness of current treatment approaches for benzodiazepine discontinuation: a meta-analysis. </w:t>
      </w:r>
      <w:r w:rsidRPr="00D61F73">
        <w:rPr>
          <w:rFonts w:ascii="Arial" w:hAnsi="Arial" w:cs="Arial"/>
          <w:b/>
          <w:i/>
        </w:rPr>
        <w:t>Addiction</w:t>
      </w:r>
      <w:r w:rsidRPr="00D61F73">
        <w:rPr>
          <w:rFonts w:ascii="Arial" w:hAnsi="Arial" w:cs="Arial"/>
          <w:b/>
        </w:rPr>
        <w:t>. 2009;104:13-24.</w:t>
      </w:r>
    </w:p>
    <w:p w14:paraId="53AD4CE1" w14:textId="77777777" w:rsidR="008D0565" w:rsidRPr="00D61F73" w:rsidRDefault="008D0565" w:rsidP="00D61F73">
      <w:pPr>
        <w:rPr>
          <w:rFonts w:ascii="Arial" w:hAnsi="Arial" w:cs="Arial"/>
        </w:rPr>
      </w:pPr>
    </w:p>
    <w:p w14:paraId="3A6B27F5" w14:textId="77777777" w:rsidR="008D0565" w:rsidRPr="00D61F73" w:rsidRDefault="008D0565" w:rsidP="00D61F73">
      <w:pPr>
        <w:rPr>
          <w:rFonts w:ascii="Arial" w:hAnsi="Arial" w:cs="Arial"/>
        </w:rPr>
      </w:pPr>
      <w:r w:rsidRPr="00D61F73">
        <w:rPr>
          <w:rFonts w:ascii="Arial" w:hAnsi="Arial" w:cs="Arial"/>
        </w:rPr>
        <w:t xml:space="preserve">PMID: </w:t>
      </w:r>
      <w:hyperlink r:id="rId687" w:history="1">
        <w:r w:rsidRPr="00D61F73">
          <w:rPr>
            <w:rStyle w:val="Hyperlink"/>
            <w:rFonts w:ascii="Arial" w:hAnsi="Arial" w:cs="Arial"/>
          </w:rPr>
          <w:t>18983627</w:t>
        </w:r>
      </w:hyperlink>
    </w:p>
    <w:p w14:paraId="3BE8C223" w14:textId="77777777" w:rsidR="008D0565" w:rsidRPr="00D61F73" w:rsidRDefault="008D0565" w:rsidP="00D61F73">
      <w:pPr>
        <w:rPr>
          <w:rFonts w:ascii="Arial" w:hAnsi="Arial" w:cs="Arial"/>
        </w:rPr>
      </w:pPr>
    </w:p>
    <w:p w14:paraId="6B6C9446" w14:textId="77777777" w:rsidR="008D0565" w:rsidRPr="00D61F73" w:rsidRDefault="008D0565" w:rsidP="00D61F73">
      <w:pPr>
        <w:rPr>
          <w:rFonts w:ascii="Arial" w:hAnsi="Arial" w:cs="Arial"/>
        </w:rPr>
      </w:pPr>
      <w:r w:rsidRPr="00D61F73">
        <w:rPr>
          <w:rFonts w:ascii="Arial" w:hAnsi="Arial" w:cs="Arial"/>
        </w:rPr>
        <w:t>Rating: 1b</w:t>
      </w:r>
    </w:p>
    <w:p w14:paraId="3F81404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 xml:space="preserve">Efficacy of Outpatient Ketamine Infusions in Refractory Chronic Pain Syndromes: A 5-Year Retrospective Analysis. </w:t>
      </w:r>
      <w:r w:rsidRPr="00D61F73">
        <w:rPr>
          <w:rFonts w:ascii="Arial" w:hAnsi="Arial" w:cs="Arial"/>
          <w:b/>
          <w:bCs/>
          <w:i/>
          <w:iCs/>
        </w:rPr>
        <w:t>Pain Med.</w:t>
      </w:r>
      <w:r w:rsidRPr="00D61F73">
        <w:rPr>
          <w:rFonts w:ascii="Arial" w:hAnsi="Arial" w:cs="Arial"/>
          <w:b/>
          <w:bCs/>
        </w:rPr>
        <w:t xml:space="preserve"> 2011 Sep 21. doi: 10.1111/j.1526-4637.2011.01241.x.</w:t>
      </w:r>
    </w:p>
    <w:p w14:paraId="5C8BF7ED" w14:textId="77777777" w:rsidR="008D0565" w:rsidRPr="00D61F73" w:rsidRDefault="008D0565" w:rsidP="00D61F73">
      <w:pPr>
        <w:rPr>
          <w:rFonts w:ascii="Arial" w:hAnsi="Arial" w:cs="Arial"/>
        </w:rPr>
      </w:pPr>
    </w:p>
    <w:p w14:paraId="00B31CE9" w14:textId="77777777" w:rsidR="008D0565" w:rsidRPr="00D61F73" w:rsidRDefault="008D0565" w:rsidP="00D61F73">
      <w:pPr>
        <w:rPr>
          <w:rFonts w:ascii="Arial" w:hAnsi="Arial" w:cs="Arial"/>
        </w:rPr>
      </w:pPr>
      <w:r w:rsidRPr="00D61F73">
        <w:rPr>
          <w:rFonts w:ascii="Arial" w:hAnsi="Arial" w:cs="Arial"/>
        </w:rPr>
        <w:t>Results.  We identified 49 patients. Conclusions.  We conclude that in patients with severe refractory pain of multiple etiologies, subanesthetic ketamine infusions may improve VAS scores..</w:t>
      </w:r>
    </w:p>
    <w:p w14:paraId="7268DA01" w14:textId="77777777" w:rsidR="008D0565" w:rsidRPr="00D61F73" w:rsidRDefault="008D0565" w:rsidP="00D61F73">
      <w:pPr>
        <w:rPr>
          <w:rFonts w:ascii="Arial" w:hAnsi="Arial" w:cs="Arial"/>
        </w:rPr>
      </w:pPr>
    </w:p>
    <w:p w14:paraId="3B803D85" w14:textId="77777777" w:rsidR="008D0565" w:rsidRPr="00D61F73" w:rsidRDefault="008D0565" w:rsidP="00D61F73">
      <w:pPr>
        <w:rPr>
          <w:rFonts w:ascii="Arial" w:hAnsi="Arial" w:cs="Arial"/>
        </w:rPr>
      </w:pPr>
      <w:r w:rsidRPr="00D61F73">
        <w:rPr>
          <w:rFonts w:ascii="Arial" w:hAnsi="Arial" w:cs="Arial"/>
        </w:rPr>
        <w:t xml:space="preserve">PMID: </w:t>
      </w:r>
      <w:hyperlink r:id="rId688" w:history="1">
        <w:r w:rsidRPr="00D61F73">
          <w:rPr>
            <w:rStyle w:val="Hyperlink"/>
            <w:rFonts w:ascii="Arial" w:hAnsi="Arial" w:cs="Arial"/>
          </w:rPr>
          <w:t>21939497</w:t>
        </w:r>
      </w:hyperlink>
      <w:r w:rsidRPr="00D61F73">
        <w:rPr>
          <w:rFonts w:ascii="Arial" w:hAnsi="Arial" w:cs="Arial"/>
        </w:rPr>
        <w:t xml:space="preserve"> </w:t>
      </w:r>
    </w:p>
    <w:p w14:paraId="41C4DE93" w14:textId="77777777" w:rsidR="008D0565" w:rsidRPr="00D61F73" w:rsidRDefault="008D0565" w:rsidP="00D61F73">
      <w:pPr>
        <w:rPr>
          <w:rFonts w:ascii="Arial" w:hAnsi="Arial" w:cs="Arial"/>
        </w:rPr>
      </w:pPr>
    </w:p>
    <w:p w14:paraId="389B7D47" w14:textId="77777777" w:rsidR="008D0565" w:rsidRPr="00D61F73" w:rsidRDefault="008D0565" w:rsidP="00D61F73">
      <w:pPr>
        <w:rPr>
          <w:rFonts w:ascii="Arial" w:hAnsi="Arial" w:cs="Arial"/>
        </w:rPr>
      </w:pPr>
      <w:r w:rsidRPr="00D61F73">
        <w:rPr>
          <w:rFonts w:ascii="Arial" w:hAnsi="Arial" w:cs="Arial"/>
        </w:rPr>
        <w:t>Rating: 4c</w:t>
      </w:r>
    </w:p>
    <w:p w14:paraId="4021D86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22" w:name="Patrick"/>
      <w:bookmarkEnd w:id="1022"/>
      <w:r w:rsidRPr="00D61F73">
        <w:rPr>
          <w:rFonts w:ascii="Arial" w:hAnsi="Arial" w:cs="Arial"/>
          <w:b/>
          <w:bCs/>
        </w:rPr>
        <w:t xml:space="preserve">atrick LE, Altmaier EM, Found EM. Long-term outcomes in multidisciplinary treatment of chronic low back pain: results of a 13-year follow-up. </w:t>
      </w:r>
      <w:r w:rsidRPr="00D61F73">
        <w:rPr>
          <w:rFonts w:ascii="Arial" w:hAnsi="Arial" w:cs="Arial"/>
          <w:b/>
          <w:bCs/>
          <w:i/>
          <w:iCs/>
        </w:rPr>
        <w:t>Spine.</w:t>
      </w:r>
      <w:r w:rsidRPr="00D61F73">
        <w:rPr>
          <w:rFonts w:ascii="Arial" w:hAnsi="Arial" w:cs="Arial"/>
          <w:b/>
          <w:bCs/>
        </w:rPr>
        <w:t xml:space="preserve"> 2004 Apr 15;29(8):850-5.</w:t>
      </w:r>
    </w:p>
    <w:p w14:paraId="6D777F18" w14:textId="77777777" w:rsidR="008D0565" w:rsidRPr="00D61F73" w:rsidRDefault="008D0565" w:rsidP="00D61F73">
      <w:pPr>
        <w:rPr>
          <w:rFonts w:ascii="Arial" w:hAnsi="Arial" w:cs="Arial"/>
        </w:rPr>
      </w:pPr>
    </w:p>
    <w:p w14:paraId="1C53A4D8" w14:textId="77777777" w:rsidR="008D0565" w:rsidRPr="00D61F73" w:rsidRDefault="008D0565" w:rsidP="00D61F73">
      <w:pPr>
        <w:rPr>
          <w:rFonts w:ascii="Arial" w:hAnsi="Arial" w:cs="Arial"/>
        </w:rPr>
      </w:pPr>
      <w:r w:rsidRPr="00D61F73">
        <w:rPr>
          <w:rFonts w:ascii="Arial" w:hAnsi="Arial" w:cs="Arial"/>
        </w:rPr>
        <w:t>CONCLUSIONS: The data lend support to the long-term effectiveness of multidisciplinary treatment programs for chronic low back pain.</w:t>
      </w:r>
    </w:p>
    <w:p w14:paraId="4FE7C650" w14:textId="77777777" w:rsidR="008D0565" w:rsidRPr="00D61F73" w:rsidRDefault="008D0565" w:rsidP="00D61F73">
      <w:pPr>
        <w:rPr>
          <w:rFonts w:ascii="Arial" w:hAnsi="Arial" w:cs="Arial"/>
        </w:rPr>
      </w:pPr>
    </w:p>
    <w:p w14:paraId="09AFCEB9" w14:textId="77777777" w:rsidR="008D0565" w:rsidRPr="00D61F73" w:rsidRDefault="008D0565" w:rsidP="00D61F73">
      <w:pPr>
        <w:rPr>
          <w:rFonts w:ascii="Arial" w:hAnsi="Arial" w:cs="Arial"/>
        </w:rPr>
      </w:pPr>
      <w:r w:rsidRPr="00D61F73">
        <w:rPr>
          <w:rFonts w:ascii="Arial" w:hAnsi="Arial" w:cs="Arial"/>
        </w:rPr>
        <w:t xml:space="preserve">PMID: </w:t>
      </w:r>
      <w:hyperlink r:id="rId689" w:history="1">
        <w:r w:rsidRPr="00D61F73">
          <w:rPr>
            <w:rStyle w:val="Hyperlink"/>
            <w:rFonts w:ascii="Arial" w:hAnsi="Arial" w:cs="Arial"/>
          </w:rPr>
          <w:t>15082983</w:t>
        </w:r>
      </w:hyperlink>
      <w:r w:rsidRPr="00D61F73">
        <w:rPr>
          <w:rFonts w:ascii="Arial" w:hAnsi="Arial" w:cs="Arial"/>
        </w:rPr>
        <w:t xml:space="preserve"> </w:t>
      </w:r>
    </w:p>
    <w:p w14:paraId="389A32A6" w14:textId="77777777" w:rsidR="008D0565" w:rsidRPr="00D61F73" w:rsidRDefault="008D0565" w:rsidP="00D61F73">
      <w:pPr>
        <w:rPr>
          <w:rFonts w:ascii="Arial" w:hAnsi="Arial" w:cs="Arial"/>
        </w:rPr>
      </w:pPr>
    </w:p>
    <w:p w14:paraId="0E95E0ED"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4c</w:t>
      </w:r>
    </w:p>
    <w:p w14:paraId="26E296A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rPr>
        <w:lastRenderedPageBreak/>
        <w:t xml:space="preserve"> </w:t>
      </w:r>
      <w:bookmarkStart w:id="1023" w:name="Pavelka"/>
      <w:r w:rsidRPr="00D61F73">
        <w:rPr>
          <w:rFonts w:ascii="Arial" w:hAnsi="Arial" w:cs="Arial"/>
          <w:b/>
          <w:bCs/>
        </w:rPr>
        <w:t xml:space="preserve">Pavelka </w:t>
      </w:r>
      <w:bookmarkEnd w:id="1023"/>
      <w:r w:rsidRPr="00D61F73">
        <w:rPr>
          <w:rFonts w:ascii="Arial" w:hAnsi="Arial" w:cs="Arial"/>
          <w:b/>
          <w:bCs/>
        </w:rPr>
        <w:t xml:space="preserve">K, Gatterova J, Olejarova M, Machacek S, Giacovelli G, Rovati LC, Glucosamine sulfate use and delay of progression of knee osteoarthritis: a 3-year, randomized, placebo-controlled, double-blind study, </w:t>
      </w:r>
      <w:r w:rsidRPr="00D61F73">
        <w:rPr>
          <w:rFonts w:ascii="Arial" w:hAnsi="Arial" w:cs="Arial"/>
          <w:b/>
          <w:bCs/>
          <w:i/>
          <w:iCs/>
        </w:rPr>
        <w:t>Arch Intern Med</w:t>
      </w:r>
      <w:r w:rsidRPr="00D61F73">
        <w:rPr>
          <w:rFonts w:ascii="Arial" w:hAnsi="Arial" w:cs="Arial"/>
          <w:b/>
          <w:bCs/>
        </w:rPr>
        <w:t>. 2002 Oct 14;162(18):2113-23.</w:t>
      </w:r>
    </w:p>
    <w:p w14:paraId="5DBB35A0" w14:textId="77777777" w:rsidR="008D0565" w:rsidRPr="00D61F73" w:rsidRDefault="008D0565" w:rsidP="00D61F73">
      <w:pPr>
        <w:rPr>
          <w:rFonts w:ascii="Arial" w:hAnsi="Arial" w:cs="Arial"/>
        </w:rPr>
      </w:pPr>
    </w:p>
    <w:p w14:paraId="72051F9A" w14:textId="77777777" w:rsidR="008D0565" w:rsidRPr="00D61F73" w:rsidRDefault="008D0565" w:rsidP="00D61F73">
      <w:pPr>
        <w:rPr>
          <w:rFonts w:ascii="Arial" w:hAnsi="Arial" w:cs="Arial"/>
        </w:rPr>
      </w:pPr>
      <w:r w:rsidRPr="00D61F73">
        <w:rPr>
          <w:rFonts w:ascii="Arial" w:hAnsi="Arial" w:cs="Arial"/>
        </w:rPr>
        <w:t xml:space="preserve">PMID: </w:t>
      </w:r>
      <w:hyperlink r:id="rId690" w:history="1">
        <w:r w:rsidRPr="00D61F73">
          <w:rPr>
            <w:rStyle w:val="Hyperlink"/>
            <w:rFonts w:ascii="Arial" w:hAnsi="Arial" w:cs="Arial"/>
          </w:rPr>
          <w:t>12374520</w:t>
        </w:r>
      </w:hyperlink>
      <w:r w:rsidRPr="00D61F73">
        <w:rPr>
          <w:rFonts w:ascii="Arial" w:hAnsi="Arial" w:cs="Arial"/>
        </w:rPr>
        <w:t xml:space="preserve"> </w:t>
      </w:r>
    </w:p>
    <w:p w14:paraId="499A470A" w14:textId="77777777" w:rsidR="008D0565" w:rsidRPr="00D61F73" w:rsidRDefault="008D0565" w:rsidP="00D61F73">
      <w:pPr>
        <w:rPr>
          <w:rFonts w:ascii="Arial" w:hAnsi="Arial" w:cs="Arial"/>
        </w:rPr>
      </w:pPr>
    </w:p>
    <w:p w14:paraId="3EA41A4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3891193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24" w:name="PCodreaTigaran"/>
      <w:bookmarkEnd w:id="1024"/>
      <w:r w:rsidRPr="00D61F73">
        <w:rPr>
          <w:rFonts w:ascii="Arial" w:hAnsi="Arial" w:cs="Arial"/>
          <w:b/>
          <w:bCs/>
        </w:rPr>
        <w:t xml:space="preserve">-Codrea Tigaran S, Sidenius P, Dam M. Lamotrigine-induced rash--worth a rechallenge. </w:t>
      </w:r>
      <w:r w:rsidRPr="00D61F73">
        <w:rPr>
          <w:rFonts w:ascii="Arial" w:hAnsi="Arial" w:cs="Arial"/>
          <w:b/>
          <w:bCs/>
          <w:i/>
          <w:iCs/>
        </w:rPr>
        <w:t>Acta Neurol Scand.</w:t>
      </w:r>
      <w:r w:rsidRPr="00D61F73">
        <w:rPr>
          <w:rFonts w:ascii="Arial" w:hAnsi="Arial" w:cs="Arial"/>
          <w:b/>
          <w:bCs/>
        </w:rPr>
        <w:t xml:space="preserve"> 2005 Mar;111(3):191-4.</w:t>
      </w:r>
    </w:p>
    <w:p w14:paraId="318143C0" w14:textId="77777777" w:rsidR="008D0565" w:rsidRPr="00D61F73" w:rsidRDefault="008D0565" w:rsidP="00D61F73">
      <w:pPr>
        <w:rPr>
          <w:rFonts w:ascii="Arial" w:hAnsi="Arial" w:cs="Arial"/>
        </w:rPr>
      </w:pPr>
    </w:p>
    <w:p w14:paraId="4710DE63" w14:textId="77777777" w:rsidR="008D0565" w:rsidRPr="00D61F73" w:rsidRDefault="008D0565" w:rsidP="00D61F73">
      <w:pPr>
        <w:rPr>
          <w:rFonts w:ascii="Arial" w:hAnsi="Arial" w:cs="Arial"/>
        </w:rPr>
      </w:pPr>
      <w:r w:rsidRPr="00D61F73">
        <w:rPr>
          <w:rFonts w:ascii="Arial" w:hAnsi="Arial" w:cs="Arial"/>
        </w:rPr>
        <w:t xml:space="preserve">CONCLUSION: This study is the first one to provide a successful recipe verified in time for the rechallenge with LTG after the initial drug-induced rash. </w:t>
      </w:r>
    </w:p>
    <w:p w14:paraId="6D305A4C" w14:textId="77777777" w:rsidR="008D0565" w:rsidRPr="00D61F73" w:rsidRDefault="008D0565" w:rsidP="00D61F73">
      <w:pPr>
        <w:rPr>
          <w:rFonts w:ascii="Arial" w:hAnsi="Arial" w:cs="Arial"/>
        </w:rPr>
      </w:pPr>
    </w:p>
    <w:p w14:paraId="730509BF" w14:textId="77777777" w:rsidR="008D0565" w:rsidRPr="00D61F73" w:rsidRDefault="008D0565" w:rsidP="00D61F73">
      <w:pPr>
        <w:rPr>
          <w:rFonts w:ascii="Arial" w:hAnsi="Arial" w:cs="Arial"/>
        </w:rPr>
      </w:pPr>
      <w:r w:rsidRPr="00D61F73">
        <w:rPr>
          <w:rFonts w:ascii="Arial" w:hAnsi="Arial" w:cs="Arial"/>
        </w:rPr>
        <w:t xml:space="preserve">PMID: </w:t>
      </w:r>
      <w:hyperlink r:id="rId691" w:history="1">
        <w:r w:rsidRPr="00D61F73">
          <w:rPr>
            <w:rStyle w:val="Hyperlink"/>
            <w:rFonts w:ascii="Arial" w:hAnsi="Arial" w:cs="Arial"/>
          </w:rPr>
          <w:t>15736314</w:t>
        </w:r>
      </w:hyperlink>
      <w:r w:rsidRPr="00D61F73">
        <w:rPr>
          <w:rFonts w:ascii="Arial" w:hAnsi="Arial" w:cs="Arial"/>
        </w:rPr>
        <w:t xml:space="preserve"> </w:t>
      </w:r>
    </w:p>
    <w:p w14:paraId="2353D335" w14:textId="77777777" w:rsidR="008D0565" w:rsidRPr="00D61F73" w:rsidRDefault="008D0565" w:rsidP="00D61F73">
      <w:pPr>
        <w:rPr>
          <w:rFonts w:ascii="Arial" w:hAnsi="Arial" w:cs="Arial"/>
        </w:rPr>
      </w:pPr>
    </w:p>
    <w:p w14:paraId="61DA649B" w14:textId="77777777" w:rsidR="008D0565" w:rsidRPr="00D61F73" w:rsidRDefault="008D0565" w:rsidP="00D61F73">
      <w:pPr>
        <w:rPr>
          <w:rFonts w:ascii="Arial" w:hAnsi="Arial" w:cs="Arial"/>
        </w:rPr>
      </w:pPr>
      <w:r w:rsidRPr="00D61F73">
        <w:rPr>
          <w:rFonts w:ascii="Arial" w:hAnsi="Arial" w:cs="Arial"/>
        </w:rPr>
        <w:t>Rating: 4b</w:t>
      </w:r>
    </w:p>
    <w:p w14:paraId="12526BAC" w14:textId="77777777" w:rsidR="008249E7" w:rsidRPr="00D61F73" w:rsidRDefault="008249E7" w:rsidP="00D61F73">
      <w:pPr>
        <w:rPr>
          <w:rFonts w:ascii="Arial" w:hAnsi="Arial" w:cs="Arial"/>
        </w:rPr>
      </w:pPr>
      <w:r w:rsidRPr="00D61F73">
        <w:rPr>
          <w:rFonts w:ascii="Arial" w:hAnsi="Arial" w:cs="Arial"/>
        </w:rPr>
        <w:br w:type="page"/>
      </w:r>
      <w:bookmarkStart w:id="1025" w:name="PelosoCochrane"/>
      <w:bookmarkEnd w:id="1025"/>
      <w:r w:rsidRPr="00D61F73">
        <w:rPr>
          <w:rFonts w:ascii="Arial" w:hAnsi="Arial" w:cs="Arial"/>
          <w:b/>
          <w:bCs/>
        </w:rPr>
        <w:lastRenderedPageBreak/>
        <w:t>P</w:t>
      </w:r>
      <w:bookmarkStart w:id="1026" w:name="Peloso"/>
      <w:bookmarkEnd w:id="1026"/>
      <w:r w:rsidRPr="00D61F73">
        <w:rPr>
          <w:rFonts w:ascii="Arial" w:hAnsi="Arial" w:cs="Arial"/>
          <w:b/>
          <w:bCs/>
        </w:rPr>
        <w:t>eloso PM, Gross AR, Haines TA, Trinh K, Goldsmith CH, Aker P. Medicinal and injection therapies for mechanical neck disorders: a cochrane systematic review. </w:t>
      </w:r>
      <w:r w:rsidRPr="00D61F73">
        <w:rPr>
          <w:rFonts w:ascii="Arial" w:hAnsi="Arial" w:cs="Arial"/>
          <w:b/>
          <w:bCs/>
          <w:i/>
          <w:iCs/>
        </w:rPr>
        <w:t>J Rheumatol</w:t>
      </w:r>
      <w:r w:rsidRPr="00D61F73">
        <w:rPr>
          <w:rFonts w:ascii="Arial" w:hAnsi="Arial" w:cs="Arial"/>
          <w:b/>
          <w:bCs/>
        </w:rPr>
        <w:t>. 2006 May;33(5):957-67.</w:t>
      </w:r>
    </w:p>
    <w:p w14:paraId="7EF96565" w14:textId="77777777" w:rsidR="008249E7" w:rsidRPr="00D61F73" w:rsidRDefault="008249E7" w:rsidP="00D61F73">
      <w:pPr>
        <w:rPr>
          <w:rFonts w:ascii="Arial" w:hAnsi="Arial" w:cs="Arial"/>
        </w:rPr>
      </w:pPr>
      <w:r w:rsidRPr="00D61F73">
        <w:rPr>
          <w:rFonts w:ascii="Arial" w:hAnsi="Arial" w:cs="Arial"/>
        </w:rPr>
        <w:t> </w:t>
      </w:r>
    </w:p>
    <w:p w14:paraId="40B3D192" w14:textId="77777777" w:rsidR="008249E7" w:rsidRPr="00D61F73" w:rsidRDefault="008249E7" w:rsidP="00D61F73">
      <w:pPr>
        <w:rPr>
          <w:rFonts w:ascii="Arial" w:hAnsi="Arial" w:cs="Arial"/>
        </w:rPr>
      </w:pPr>
      <w:r w:rsidRPr="00D61F73">
        <w:rPr>
          <w:rFonts w:ascii="Arial" w:hAnsi="Arial" w:cs="Arial"/>
        </w:rPr>
        <w:t>CONCLUSION: Intramuscular injection of lidocaine for chronic MND and intravenous injection of methylprednisolone for acute whiplash were effective treatments. There was limited evidence of effectiveness of epidural injection of methylprednisolone and lidocaine for chronic MND with radicular findings. Muscle relaxants and nonsteroidal antiinflammatory drugs have unclear benefits. There was moderate evidence that Botox-A intramuscular injections for chronic MND were not better than saline.</w:t>
      </w:r>
    </w:p>
    <w:p w14:paraId="4D7BADDF" w14:textId="77777777" w:rsidR="008249E7" w:rsidRPr="00D61F73" w:rsidRDefault="008249E7" w:rsidP="00D61F73">
      <w:pPr>
        <w:rPr>
          <w:rFonts w:ascii="Arial" w:hAnsi="Arial" w:cs="Arial"/>
        </w:rPr>
      </w:pPr>
      <w:r w:rsidRPr="00D61F73">
        <w:rPr>
          <w:rFonts w:ascii="Arial" w:hAnsi="Arial" w:cs="Arial"/>
        </w:rPr>
        <w:t> </w:t>
      </w:r>
    </w:p>
    <w:p w14:paraId="1CCA2A11" w14:textId="77777777" w:rsidR="008249E7" w:rsidRPr="00D61F73" w:rsidRDefault="008249E7" w:rsidP="00D61F73">
      <w:pPr>
        <w:rPr>
          <w:rFonts w:ascii="Arial" w:hAnsi="Arial" w:cs="Arial"/>
        </w:rPr>
      </w:pPr>
      <w:r w:rsidRPr="00D61F73">
        <w:rPr>
          <w:rFonts w:ascii="Arial" w:hAnsi="Arial" w:cs="Arial"/>
        </w:rPr>
        <w:t>PMID: </w:t>
      </w:r>
      <w:hyperlink r:id="rId692" w:history="1">
        <w:r w:rsidRPr="00D61F73">
          <w:rPr>
            <w:rStyle w:val="Hyperlink"/>
            <w:rFonts w:ascii="Arial" w:hAnsi="Arial" w:cs="Arial"/>
          </w:rPr>
          <w:t>16652427</w:t>
        </w:r>
      </w:hyperlink>
    </w:p>
    <w:p w14:paraId="12BC90CA" w14:textId="77777777" w:rsidR="008249E7" w:rsidRPr="00D61F73" w:rsidRDefault="008249E7" w:rsidP="00D61F73">
      <w:pPr>
        <w:rPr>
          <w:rFonts w:ascii="Arial" w:hAnsi="Arial" w:cs="Arial"/>
        </w:rPr>
      </w:pPr>
      <w:r w:rsidRPr="00D61F73">
        <w:rPr>
          <w:rFonts w:ascii="Arial" w:hAnsi="Arial" w:cs="Arial"/>
        </w:rPr>
        <w:t> </w:t>
      </w:r>
    </w:p>
    <w:p w14:paraId="670B5B37" w14:textId="77777777" w:rsidR="008249E7" w:rsidRPr="00D61F73" w:rsidRDefault="008249E7" w:rsidP="00D61F73">
      <w:pPr>
        <w:rPr>
          <w:rFonts w:ascii="Arial" w:hAnsi="Arial" w:cs="Arial"/>
        </w:rPr>
      </w:pPr>
      <w:r w:rsidRPr="00D61F73">
        <w:rPr>
          <w:rFonts w:ascii="Arial" w:hAnsi="Arial" w:cs="Arial"/>
        </w:rPr>
        <w:t>Rating: 1b</w:t>
      </w:r>
    </w:p>
    <w:p w14:paraId="39B731E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27" w:name="Peng"/>
      <w:bookmarkEnd w:id="1027"/>
      <w:r w:rsidRPr="00D61F73">
        <w:rPr>
          <w:rFonts w:ascii="Arial" w:hAnsi="Arial" w:cs="Arial"/>
          <w:b/>
          <w:bCs/>
        </w:rPr>
        <w:t xml:space="preserve">eng PW, Wijeysundera DN, Li CC. Use of gabapentin for perioperative pain control -- a meta-analysis. </w:t>
      </w:r>
      <w:r w:rsidRPr="00D61F73">
        <w:rPr>
          <w:rFonts w:ascii="Arial" w:hAnsi="Arial" w:cs="Arial"/>
          <w:b/>
          <w:bCs/>
          <w:i/>
          <w:iCs/>
        </w:rPr>
        <w:t>Pain Res Manag</w:t>
      </w:r>
      <w:r w:rsidRPr="00D61F73">
        <w:rPr>
          <w:rFonts w:ascii="Arial" w:hAnsi="Arial" w:cs="Arial"/>
          <w:b/>
          <w:bCs/>
        </w:rPr>
        <w:t>. 2007 Summer;12(2):85-92.</w:t>
      </w:r>
    </w:p>
    <w:p w14:paraId="440284D2" w14:textId="77777777" w:rsidR="008D0565" w:rsidRPr="00D61F73" w:rsidRDefault="008D0565" w:rsidP="00D61F73">
      <w:pPr>
        <w:pStyle w:val="NormalWeb"/>
        <w:spacing w:before="0" w:beforeAutospacing="0" w:after="0" w:afterAutospacing="0"/>
        <w:rPr>
          <w:rFonts w:ascii="Arial" w:hAnsi="Arial" w:cs="Arial"/>
        </w:rPr>
      </w:pPr>
    </w:p>
    <w:p w14:paraId="2FAE499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 Gabapentin improves the analgesic efficacy of opioids both at rest and with movement, reduces analgesic consumption and opioid-related adverse effects, but is associated with an increased incidence of sedation and dizziness.</w:t>
      </w:r>
    </w:p>
    <w:p w14:paraId="4C496BB6" w14:textId="77777777" w:rsidR="008D0565" w:rsidRPr="00D61F73" w:rsidRDefault="008D0565" w:rsidP="00D61F73">
      <w:pPr>
        <w:pStyle w:val="NormalWeb"/>
        <w:spacing w:before="0" w:beforeAutospacing="0" w:after="0" w:afterAutospacing="0"/>
        <w:rPr>
          <w:rFonts w:ascii="Arial" w:hAnsi="Arial" w:cs="Arial"/>
        </w:rPr>
      </w:pPr>
    </w:p>
    <w:p w14:paraId="37B600C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693" w:history="1">
        <w:r w:rsidRPr="00D61F73">
          <w:rPr>
            <w:rStyle w:val="Hyperlink"/>
            <w:rFonts w:ascii="Arial" w:hAnsi="Arial" w:cs="Arial"/>
          </w:rPr>
          <w:t>17505569</w:t>
        </w:r>
      </w:hyperlink>
      <w:r w:rsidRPr="00D61F73">
        <w:rPr>
          <w:rFonts w:ascii="Arial" w:hAnsi="Arial" w:cs="Arial"/>
        </w:rPr>
        <w:t xml:space="preserve"> </w:t>
      </w:r>
    </w:p>
    <w:p w14:paraId="5C47CB92" w14:textId="77777777" w:rsidR="008D0565" w:rsidRPr="00D61F73" w:rsidRDefault="008D0565" w:rsidP="00D61F73">
      <w:pPr>
        <w:pStyle w:val="NormalWeb"/>
        <w:spacing w:before="0" w:beforeAutospacing="0" w:after="0" w:afterAutospacing="0"/>
        <w:rPr>
          <w:rFonts w:ascii="Arial" w:hAnsi="Arial" w:cs="Arial"/>
        </w:rPr>
      </w:pPr>
    </w:p>
    <w:p w14:paraId="4959899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1c</w:t>
      </w:r>
    </w:p>
    <w:p w14:paraId="0B01234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28" w:name="Peng2"/>
      <w:bookmarkEnd w:id="1028"/>
      <w:r w:rsidRPr="00D61F73">
        <w:rPr>
          <w:rFonts w:ascii="Arial" w:hAnsi="Arial" w:cs="Arial"/>
          <w:b/>
          <w:bCs/>
        </w:rPr>
        <w:t xml:space="preserve">eng P, Tumber P, Stafford M, Gourlay D, Wong P, Galonski M, Evans D, Gordon A. Experience of methadone therapy in 100 consecutive chronic pain patients in a multidisciplinary pain center. </w:t>
      </w:r>
      <w:r w:rsidRPr="00D61F73">
        <w:rPr>
          <w:rFonts w:ascii="Arial" w:hAnsi="Arial" w:cs="Arial"/>
          <w:b/>
          <w:bCs/>
          <w:i/>
        </w:rPr>
        <w:t>Pain Med</w:t>
      </w:r>
      <w:r w:rsidRPr="00D61F73">
        <w:rPr>
          <w:rFonts w:ascii="Arial" w:hAnsi="Arial" w:cs="Arial"/>
          <w:b/>
          <w:bCs/>
        </w:rPr>
        <w:t>. 2008;9:786-94</w:t>
      </w:r>
    </w:p>
    <w:p w14:paraId="45B23893" w14:textId="77777777" w:rsidR="008D0565" w:rsidRPr="00D61F73" w:rsidRDefault="008D0565" w:rsidP="00D61F73">
      <w:pPr>
        <w:rPr>
          <w:rFonts w:ascii="Arial" w:hAnsi="Arial" w:cs="Arial"/>
        </w:rPr>
      </w:pPr>
    </w:p>
    <w:p w14:paraId="61312F93" w14:textId="77777777" w:rsidR="008D0565" w:rsidRPr="00D61F73" w:rsidRDefault="008D0565" w:rsidP="00D61F73">
      <w:pPr>
        <w:rPr>
          <w:rFonts w:ascii="Arial" w:hAnsi="Arial" w:cs="Arial"/>
        </w:rPr>
      </w:pPr>
      <w:r w:rsidRPr="00D61F73">
        <w:rPr>
          <w:rFonts w:ascii="Arial" w:hAnsi="Arial" w:cs="Arial"/>
        </w:rPr>
        <w:t>CONCLUSION: From our experience, methadone is an effective alternative to conventional opioids for chronic pain management when used by experienced clinicians in a setting that allows for close monitoring and careful dose initiation and adjustment.</w:t>
      </w:r>
    </w:p>
    <w:p w14:paraId="36FB01E1" w14:textId="77777777" w:rsidR="008D0565" w:rsidRPr="00D61F73" w:rsidRDefault="008D0565" w:rsidP="00D61F73">
      <w:pPr>
        <w:rPr>
          <w:rFonts w:ascii="Arial" w:hAnsi="Arial" w:cs="Arial"/>
        </w:rPr>
      </w:pPr>
    </w:p>
    <w:p w14:paraId="5683E8A8" w14:textId="77777777" w:rsidR="008D0565" w:rsidRPr="00D61F73" w:rsidRDefault="008D0565" w:rsidP="00D61F73">
      <w:pPr>
        <w:rPr>
          <w:rFonts w:ascii="Arial" w:hAnsi="Arial" w:cs="Arial"/>
        </w:rPr>
      </w:pPr>
      <w:r w:rsidRPr="00D61F73">
        <w:rPr>
          <w:rFonts w:ascii="Arial" w:hAnsi="Arial" w:cs="Arial"/>
        </w:rPr>
        <w:t xml:space="preserve">PMID: </w:t>
      </w:r>
      <w:hyperlink r:id="rId694" w:history="1">
        <w:r w:rsidRPr="00D61F73">
          <w:rPr>
            <w:rStyle w:val="Hyperlink"/>
            <w:rFonts w:ascii="Arial" w:hAnsi="Arial" w:cs="Arial"/>
          </w:rPr>
          <w:t>18564997</w:t>
        </w:r>
      </w:hyperlink>
      <w:r w:rsidRPr="00D61F73">
        <w:rPr>
          <w:rFonts w:ascii="Arial" w:hAnsi="Arial" w:cs="Arial"/>
        </w:rPr>
        <w:t xml:space="preserve"> </w:t>
      </w:r>
    </w:p>
    <w:p w14:paraId="1D815FA8" w14:textId="77777777" w:rsidR="008D0565" w:rsidRPr="00D61F73" w:rsidRDefault="008D0565" w:rsidP="00D61F73">
      <w:pPr>
        <w:rPr>
          <w:rFonts w:ascii="Arial" w:hAnsi="Arial" w:cs="Arial"/>
        </w:rPr>
      </w:pPr>
    </w:p>
    <w:p w14:paraId="073F75B8" w14:textId="77777777" w:rsidR="008D0565" w:rsidRPr="00D61F73" w:rsidRDefault="008D0565" w:rsidP="00D61F73">
      <w:pPr>
        <w:rPr>
          <w:rFonts w:ascii="Arial" w:hAnsi="Arial" w:cs="Arial"/>
        </w:rPr>
      </w:pPr>
      <w:r w:rsidRPr="00D61F73">
        <w:rPr>
          <w:rFonts w:ascii="Arial" w:hAnsi="Arial" w:cs="Arial"/>
        </w:rPr>
        <w:t>Rating: 4b</w:t>
      </w:r>
    </w:p>
    <w:p w14:paraId="2893C479" w14:textId="77777777" w:rsidR="008D0565" w:rsidRPr="00D61F73" w:rsidRDefault="008D0565" w:rsidP="00D61F73">
      <w:pPr>
        <w:rPr>
          <w:rFonts w:ascii="Arial" w:hAnsi="Arial" w:cs="Arial"/>
        </w:rPr>
      </w:pPr>
    </w:p>
    <w:p w14:paraId="47E52B60" w14:textId="77777777" w:rsidR="008D0565" w:rsidRPr="00D61F73" w:rsidRDefault="008D0565" w:rsidP="00D61F73">
      <w:pPr>
        <w:rPr>
          <w:rFonts w:ascii="Arial" w:hAnsi="Arial" w:cs="Arial"/>
        </w:rPr>
      </w:pPr>
      <w:r w:rsidRPr="00D61F73">
        <w:rPr>
          <w:rFonts w:ascii="Arial" w:hAnsi="Arial" w:cs="Arial"/>
        </w:rPr>
        <w:t>This is a well-done  review of the use of methadone in a pain practice, including advice on monitoring and dose conversion.</w:t>
      </w:r>
    </w:p>
    <w:p w14:paraId="3DBDDE69" w14:textId="77777777" w:rsidR="008D0565" w:rsidRPr="00D61F73" w:rsidRDefault="008D0565" w:rsidP="00D61F73">
      <w:pPr>
        <w:tabs>
          <w:tab w:val="left" w:pos="7659"/>
        </w:tabs>
        <w:rPr>
          <w:rFonts w:ascii="Arial" w:hAnsi="Arial" w:cs="Arial"/>
          <w:b/>
          <w:bCs/>
        </w:rPr>
      </w:pPr>
      <w:r w:rsidRPr="00D61F73">
        <w:rPr>
          <w:rFonts w:ascii="Arial" w:hAnsi="Arial" w:cs="Arial"/>
        </w:rPr>
        <w:br w:type="page"/>
      </w:r>
      <w:bookmarkStart w:id="1029" w:name="Perez"/>
      <w:r w:rsidRPr="00D61F73">
        <w:rPr>
          <w:rFonts w:ascii="Arial" w:hAnsi="Arial" w:cs="Arial"/>
          <w:b/>
          <w:bCs/>
        </w:rPr>
        <w:lastRenderedPageBreak/>
        <w:t>Perez</w:t>
      </w:r>
      <w:bookmarkEnd w:id="1029"/>
      <w:r w:rsidRPr="00D61F73">
        <w:rPr>
          <w:rFonts w:ascii="Arial" w:hAnsi="Arial" w:cs="Arial"/>
          <w:b/>
          <w:bCs/>
        </w:rPr>
        <w:t xml:space="preserve"> R, Kwakkel G, Zuurmond W, et al. Treatment of Reflex Sympathetic Dystrophy (CRPS Type 1): A Research Synthesis of 21 Randomized Clinical Trials. </w:t>
      </w:r>
      <w:r w:rsidRPr="00D61F73">
        <w:rPr>
          <w:rFonts w:ascii="Arial" w:hAnsi="Arial" w:cs="Arial"/>
          <w:b/>
          <w:bCs/>
          <w:i/>
          <w:iCs/>
        </w:rPr>
        <w:t>J Pain Symptom Manage</w:t>
      </w:r>
      <w:r w:rsidRPr="00D61F73">
        <w:rPr>
          <w:rFonts w:ascii="Arial" w:hAnsi="Arial" w:cs="Arial"/>
          <w:b/>
          <w:bCs/>
        </w:rPr>
        <w:t xml:space="preserve"> 2001:21:511-526.</w:t>
      </w:r>
    </w:p>
    <w:p w14:paraId="380A487F" w14:textId="77777777" w:rsidR="008D0565" w:rsidRPr="00D61F73" w:rsidRDefault="008D0565" w:rsidP="00D61F73">
      <w:pPr>
        <w:pStyle w:val="NormalWeb"/>
        <w:spacing w:before="0" w:beforeAutospacing="0" w:after="0" w:afterAutospacing="0"/>
        <w:rPr>
          <w:rFonts w:ascii="Arial" w:hAnsi="Arial" w:cs="Arial"/>
        </w:rPr>
      </w:pPr>
    </w:p>
    <w:p w14:paraId="7D8C0E9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Except for the calcitonin subgroup (P = 0.002), the quality-weighted summary effect size of these subgroups were not significant. No significant analgesic effect by sympathetic suppressing agents could be established. Calcitonin seems to provide effective pain relief in reflex sympathetic dystrophy patients. </w:t>
      </w:r>
    </w:p>
    <w:p w14:paraId="0119C57A" w14:textId="77777777" w:rsidR="008D0565" w:rsidRPr="00D61F73" w:rsidRDefault="008D0565" w:rsidP="00D61F73">
      <w:pPr>
        <w:pStyle w:val="NormalWeb"/>
        <w:spacing w:before="0" w:beforeAutospacing="0" w:after="0" w:afterAutospacing="0"/>
        <w:rPr>
          <w:rFonts w:ascii="Arial" w:hAnsi="Arial" w:cs="Arial"/>
        </w:rPr>
      </w:pPr>
    </w:p>
    <w:p w14:paraId="54B9996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Publication Type: Meta-Analysis</w:t>
      </w:r>
    </w:p>
    <w:p w14:paraId="6F3E2A0E" w14:textId="77777777" w:rsidR="008D0565" w:rsidRPr="00D61F73" w:rsidRDefault="008D0565" w:rsidP="00D61F73">
      <w:pPr>
        <w:pStyle w:val="NormalWeb"/>
        <w:spacing w:before="0" w:beforeAutospacing="0" w:after="0" w:afterAutospacing="0"/>
        <w:rPr>
          <w:rFonts w:ascii="Arial" w:hAnsi="Arial" w:cs="Arial"/>
        </w:rPr>
      </w:pPr>
    </w:p>
    <w:p w14:paraId="3EE03E2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695" w:history="1">
        <w:r w:rsidRPr="00D61F73">
          <w:rPr>
            <w:rStyle w:val="Hyperlink"/>
            <w:rFonts w:ascii="Arial" w:hAnsi="Arial" w:cs="Arial"/>
          </w:rPr>
          <w:t>11397610</w:t>
        </w:r>
      </w:hyperlink>
      <w:r w:rsidRPr="00D61F73">
        <w:rPr>
          <w:rFonts w:ascii="Arial" w:hAnsi="Arial" w:cs="Arial"/>
        </w:rPr>
        <w:t xml:space="preserve"> </w:t>
      </w:r>
    </w:p>
    <w:p w14:paraId="3BBCCA03"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30" w:name="Perez2"/>
      <w:bookmarkEnd w:id="1030"/>
      <w:r w:rsidRPr="00D61F73">
        <w:rPr>
          <w:rFonts w:ascii="Arial" w:hAnsi="Arial" w:cs="Arial"/>
          <w:b/>
          <w:bCs/>
        </w:rPr>
        <w:t>erez RS, Keijzer C, Bezemer PD, Zuurmond WW, de Lange JJ. Predictive value of symptom level measurements for complex regional pain syndrome type I. Eur J Pain. 2005 Feb;9(1):49-56.</w:t>
      </w:r>
    </w:p>
    <w:p w14:paraId="549EB43F" w14:textId="77777777" w:rsidR="008D0565" w:rsidRPr="00D61F73" w:rsidRDefault="008D0565" w:rsidP="00D61F73">
      <w:pPr>
        <w:pStyle w:val="NormalWeb"/>
        <w:spacing w:before="0" w:beforeAutospacing="0" w:after="0" w:afterAutospacing="0"/>
        <w:rPr>
          <w:rFonts w:ascii="Arial" w:hAnsi="Arial" w:cs="Arial"/>
        </w:rPr>
      </w:pPr>
    </w:p>
    <w:p w14:paraId="6775C8F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We conclude that the measured pain, temperature, volume and range of motion can be used as diagnostic indicators for establishing presence or absence of CRPS I.</w:t>
      </w:r>
    </w:p>
    <w:p w14:paraId="2CAAF9FB" w14:textId="77777777" w:rsidR="008D0565" w:rsidRPr="00D61F73" w:rsidRDefault="008D0565" w:rsidP="00D61F73">
      <w:pPr>
        <w:pStyle w:val="NormalWeb"/>
        <w:spacing w:before="0" w:beforeAutospacing="0" w:after="0" w:afterAutospacing="0"/>
        <w:rPr>
          <w:rFonts w:ascii="Arial" w:hAnsi="Arial" w:cs="Arial"/>
        </w:rPr>
      </w:pPr>
    </w:p>
    <w:p w14:paraId="3644D4A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099E9C34"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P</w:t>
      </w:r>
      <w:bookmarkStart w:id="1031" w:name="Perez2010"/>
      <w:bookmarkEnd w:id="1031"/>
      <w:r w:rsidRPr="00D61F73">
        <w:rPr>
          <w:rFonts w:ascii="Arial" w:hAnsi="Arial" w:cs="Arial"/>
          <w:b/>
        </w:rPr>
        <w:t xml:space="preserve">erez RS, Zollinger PE, Dijkstra PU, Thomassen-Hilgersom IL, Zuurmond WW, Rosenbrand KC, Geertzen JH; CRPS I task force. Evidence based guidelines for complex regional pain syndrome type 1. </w:t>
      </w:r>
      <w:r w:rsidRPr="00D61F73">
        <w:rPr>
          <w:rFonts w:ascii="Arial" w:hAnsi="Arial" w:cs="Arial"/>
          <w:b/>
          <w:i/>
        </w:rPr>
        <w:t>BMC Neurol</w:t>
      </w:r>
      <w:r w:rsidRPr="00D61F73">
        <w:rPr>
          <w:rFonts w:ascii="Arial" w:hAnsi="Arial" w:cs="Arial"/>
          <w:b/>
        </w:rPr>
        <w:t>. 2010;10:20. doi: 10.1186/1471-2377-10-20.</w:t>
      </w:r>
    </w:p>
    <w:p w14:paraId="24DB3DB3" w14:textId="77777777" w:rsidR="008D0565" w:rsidRPr="00D61F73" w:rsidRDefault="008D0565" w:rsidP="00D61F73">
      <w:pPr>
        <w:rPr>
          <w:rFonts w:ascii="Arial" w:hAnsi="Arial" w:cs="Arial"/>
        </w:rPr>
      </w:pPr>
    </w:p>
    <w:p w14:paraId="09DAC875" w14:textId="77777777" w:rsidR="008D0565" w:rsidRPr="00D61F73" w:rsidRDefault="008D0565" w:rsidP="00D61F73">
      <w:pPr>
        <w:rPr>
          <w:rFonts w:ascii="Arial" w:hAnsi="Arial" w:cs="Arial"/>
        </w:rPr>
      </w:pPr>
      <w:r w:rsidRPr="00D61F73">
        <w:rPr>
          <w:rFonts w:ascii="Arial" w:hAnsi="Arial" w:cs="Arial"/>
        </w:rPr>
        <w:t xml:space="preserve">PMID: </w:t>
      </w:r>
      <w:hyperlink r:id="rId696" w:history="1">
        <w:r w:rsidRPr="00D61F73">
          <w:rPr>
            <w:rStyle w:val="Hyperlink"/>
            <w:rFonts w:ascii="Arial" w:hAnsi="Arial" w:cs="Arial"/>
          </w:rPr>
          <w:t>20356382</w:t>
        </w:r>
      </w:hyperlink>
    </w:p>
    <w:p w14:paraId="2948EE79" w14:textId="77777777" w:rsidR="008D0565" w:rsidRPr="00D61F73" w:rsidRDefault="008D0565" w:rsidP="00D61F73">
      <w:pPr>
        <w:rPr>
          <w:rFonts w:ascii="Arial" w:hAnsi="Arial" w:cs="Arial"/>
        </w:rPr>
      </w:pPr>
    </w:p>
    <w:p w14:paraId="6DF153BF" w14:textId="77777777" w:rsidR="008D0565" w:rsidRPr="00D61F73" w:rsidRDefault="008D0565" w:rsidP="00D61F73">
      <w:pPr>
        <w:rPr>
          <w:rFonts w:ascii="Arial" w:hAnsi="Arial" w:cs="Arial"/>
        </w:rPr>
      </w:pPr>
      <w:r w:rsidRPr="00D61F73">
        <w:rPr>
          <w:rFonts w:ascii="Arial" w:hAnsi="Arial" w:cs="Arial"/>
        </w:rPr>
        <w:t>Rating: 1c</w:t>
      </w:r>
    </w:p>
    <w:p w14:paraId="5E26C4A4" w14:textId="77777777" w:rsidR="008D0565" w:rsidRPr="00D61F73" w:rsidRDefault="008D0565" w:rsidP="00402D57">
      <w:pPr>
        <w:pStyle w:val="Normal1"/>
        <w:framePr w:wrap="around"/>
      </w:pPr>
      <w:r w:rsidRPr="00D61F73">
        <w:br w:type="page"/>
      </w:r>
      <w:bookmarkStart w:id="1032" w:name="Pergolizzi2010"/>
      <w:bookmarkEnd w:id="1032"/>
      <w:r w:rsidRPr="00D61F73">
        <w:t>P</w:t>
      </w:r>
      <w:bookmarkStart w:id="1033" w:name="Perrot"/>
      <w:bookmarkEnd w:id="1033"/>
      <w:r w:rsidRPr="00D61F73">
        <w:t xml:space="preserve">errot S, Maheu E, Javier RM, Eschalier A, Coutaux A, LeBars M, Bertin P, Bannwarth B, Treves R. Guidelines for the use of antidepressants in painful rheumatic conditions. </w:t>
      </w:r>
      <w:r w:rsidRPr="00D61F73">
        <w:rPr>
          <w:i/>
        </w:rPr>
        <w:t>Eur J Pain.</w:t>
      </w:r>
      <w:r w:rsidRPr="00D61F73">
        <w:t xml:space="preserve"> 2006 Apr;10(3):185-92. Epub 2005 Apr 18.</w:t>
      </w:r>
    </w:p>
    <w:p w14:paraId="1052A3F8" w14:textId="77777777" w:rsidR="008D0565" w:rsidRPr="00D61F73" w:rsidRDefault="008D0565" w:rsidP="00D61F73">
      <w:pPr>
        <w:pStyle w:val="NormalWeb"/>
        <w:spacing w:before="0" w:beforeAutospacing="0" w:after="0" w:afterAutospacing="0"/>
        <w:rPr>
          <w:rFonts w:ascii="Arial" w:hAnsi="Arial" w:cs="Arial"/>
        </w:rPr>
      </w:pPr>
    </w:p>
    <w:p w14:paraId="4D69132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We identified 77 studies and 12 meta-analyses and literature review on the use of antidepressant to treat painful rheumatological conditions. Forty-nine of these clinical studies were considered valid and were used to develop the recommendations. </w:t>
      </w:r>
    </w:p>
    <w:p w14:paraId="5310592B" w14:textId="77777777" w:rsidR="008D0565" w:rsidRPr="00D61F73" w:rsidRDefault="008D0565" w:rsidP="00D61F73">
      <w:pPr>
        <w:pStyle w:val="NormalWeb"/>
        <w:spacing w:before="0" w:beforeAutospacing="0" w:after="0" w:afterAutospacing="0"/>
        <w:rPr>
          <w:rFonts w:ascii="Arial" w:hAnsi="Arial" w:cs="Arial"/>
        </w:rPr>
      </w:pPr>
    </w:p>
    <w:p w14:paraId="3539A19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697" w:history="1">
        <w:r w:rsidRPr="00D61F73">
          <w:rPr>
            <w:rStyle w:val="Hyperlink"/>
            <w:rFonts w:ascii="Arial" w:hAnsi="Arial" w:cs="Arial"/>
          </w:rPr>
          <w:t>16490727</w:t>
        </w:r>
      </w:hyperlink>
      <w:r w:rsidRPr="00D61F73">
        <w:rPr>
          <w:rFonts w:ascii="Arial" w:hAnsi="Arial" w:cs="Arial"/>
        </w:rPr>
        <w:t xml:space="preserve"> </w:t>
      </w:r>
    </w:p>
    <w:p w14:paraId="7EF8BE98" w14:textId="77777777" w:rsidR="008D0565" w:rsidRPr="00D61F73" w:rsidRDefault="008D0565" w:rsidP="00D61F73">
      <w:pPr>
        <w:pStyle w:val="NormalWeb"/>
        <w:spacing w:before="0" w:beforeAutospacing="0" w:after="0" w:afterAutospacing="0"/>
        <w:rPr>
          <w:rFonts w:ascii="Arial" w:hAnsi="Arial" w:cs="Arial"/>
        </w:rPr>
      </w:pPr>
    </w:p>
    <w:p w14:paraId="27B4DBE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8a</w:t>
      </w:r>
    </w:p>
    <w:p w14:paraId="606440F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P</w:t>
      </w:r>
      <w:bookmarkStart w:id="1034" w:name="Perrot2"/>
      <w:bookmarkEnd w:id="1034"/>
      <w:r w:rsidRPr="00D61F73">
        <w:rPr>
          <w:rFonts w:ascii="Arial" w:hAnsi="Arial" w:cs="Arial"/>
          <w:b/>
        </w:rPr>
        <w:t xml:space="preserve">errot S, Javier RM, Marty M, Le Jeunne C, Laroche F. Antidepressant use in painful rheumatic conditions. </w:t>
      </w:r>
      <w:r w:rsidRPr="00D61F73">
        <w:rPr>
          <w:rFonts w:ascii="Arial" w:hAnsi="Arial" w:cs="Arial"/>
          <w:b/>
          <w:i/>
        </w:rPr>
        <w:t>Rheum Dis Clin North Am</w:t>
      </w:r>
      <w:r w:rsidRPr="00D61F73">
        <w:rPr>
          <w:rFonts w:ascii="Arial" w:hAnsi="Arial" w:cs="Arial"/>
          <w:b/>
        </w:rPr>
        <w:t>. 2008;34:433-53.</w:t>
      </w:r>
    </w:p>
    <w:p w14:paraId="011C6793" w14:textId="77777777" w:rsidR="008D0565" w:rsidRPr="00D61F73" w:rsidRDefault="008D0565" w:rsidP="00D61F73">
      <w:pPr>
        <w:rPr>
          <w:rFonts w:ascii="Arial" w:hAnsi="Arial" w:cs="Arial"/>
        </w:rPr>
      </w:pPr>
    </w:p>
    <w:p w14:paraId="39BE15D8" w14:textId="77777777" w:rsidR="008D0565" w:rsidRPr="00D61F73" w:rsidRDefault="008D0565" w:rsidP="00D61F73">
      <w:pPr>
        <w:pStyle w:val="NormalWeb"/>
        <w:spacing w:before="0" w:beforeAutospacing="0" w:after="0" w:afterAutospacing="0"/>
        <w:rPr>
          <w:rFonts w:ascii="Arial" w:eastAsia="Times New Roman" w:hAnsi="Arial" w:cs="Arial"/>
          <w:color w:val="000000"/>
        </w:rPr>
      </w:pPr>
      <w:r w:rsidRPr="00D61F73">
        <w:rPr>
          <w:rFonts w:ascii="Arial" w:eastAsia="Times New Roman" w:hAnsi="Arial" w:cs="Arial"/>
          <w:color w:val="000000"/>
        </w:rPr>
        <w:t xml:space="preserve">Clinical studies have shown that tricyclic antidepressants, even at low doses, have analgesic effects in rheumatologic conditions equivalent to those of serotonin and noradrenalin reuptake inhibitors, but are less well tolerated. </w:t>
      </w:r>
    </w:p>
    <w:p w14:paraId="4C58D616" w14:textId="77777777" w:rsidR="008D0565" w:rsidRPr="00D61F73" w:rsidRDefault="008D0565" w:rsidP="00D61F73">
      <w:pPr>
        <w:pStyle w:val="NormalWeb"/>
        <w:spacing w:before="0" w:beforeAutospacing="0" w:after="0" w:afterAutospacing="0"/>
        <w:rPr>
          <w:rFonts w:ascii="Arial" w:eastAsia="Times New Roman" w:hAnsi="Arial" w:cs="Arial"/>
          <w:color w:val="000000"/>
        </w:rPr>
      </w:pPr>
    </w:p>
    <w:p w14:paraId="0719EE66" w14:textId="77777777" w:rsidR="008D0565" w:rsidRPr="00D61F73" w:rsidRDefault="008D0565" w:rsidP="00D61F73">
      <w:pPr>
        <w:pStyle w:val="NormalWeb"/>
        <w:spacing w:before="0" w:beforeAutospacing="0" w:after="0" w:afterAutospacing="0"/>
        <w:rPr>
          <w:rFonts w:ascii="Arial" w:eastAsia="Times New Roman" w:hAnsi="Arial" w:cs="Arial"/>
          <w:color w:val="000000"/>
        </w:rPr>
      </w:pPr>
      <w:r w:rsidRPr="00D61F73">
        <w:rPr>
          <w:rFonts w:ascii="Arial" w:eastAsia="Times New Roman" w:hAnsi="Arial" w:cs="Arial"/>
          <w:color w:val="000000"/>
        </w:rPr>
        <w:t xml:space="preserve">PMID: </w:t>
      </w:r>
      <w:hyperlink r:id="rId698" w:history="1">
        <w:r w:rsidRPr="00D61F73">
          <w:rPr>
            <w:rStyle w:val="Hyperlink"/>
            <w:rFonts w:ascii="Arial" w:eastAsia="Times New Roman" w:hAnsi="Arial" w:cs="Arial"/>
          </w:rPr>
          <w:t>18638685</w:t>
        </w:r>
      </w:hyperlink>
    </w:p>
    <w:p w14:paraId="08DB81D2" w14:textId="77777777" w:rsidR="008D0565" w:rsidRPr="00D61F73" w:rsidRDefault="008D0565" w:rsidP="00D61F73">
      <w:pPr>
        <w:pStyle w:val="NormalWeb"/>
        <w:spacing w:before="0" w:beforeAutospacing="0" w:after="0" w:afterAutospacing="0"/>
        <w:rPr>
          <w:rFonts w:ascii="Arial" w:eastAsia="Times New Roman" w:hAnsi="Arial" w:cs="Arial"/>
          <w:color w:val="000000"/>
        </w:rPr>
      </w:pPr>
    </w:p>
    <w:p w14:paraId="681002B2" w14:textId="77777777" w:rsidR="008D0565" w:rsidRPr="00D61F73" w:rsidRDefault="008D0565" w:rsidP="00D61F73">
      <w:pPr>
        <w:pStyle w:val="NormalWeb"/>
        <w:spacing w:before="0" w:beforeAutospacing="0" w:after="0" w:afterAutospacing="0"/>
        <w:rPr>
          <w:rFonts w:ascii="Arial" w:eastAsia="Times New Roman" w:hAnsi="Arial" w:cs="Arial"/>
          <w:color w:val="000000"/>
        </w:rPr>
      </w:pPr>
      <w:r w:rsidRPr="00D61F73">
        <w:rPr>
          <w:rFonts w:ascii="Arial" w:eastAsia="Times New Roman" w:hAnsi="Arial" w:cs="Arial"/>
          <w:color w:val="000000"/>
        </w:rPr>
        <w:t>Rating: 5a</w:t>
      </w:r>
    </w:p>
    <w:p w14:paraId="4944435A" w14:textId="77777777" w:rsidR="008D0565" w:rsidRPr="00D61F73" w:rsidRDefault="008D0565" w:rsidP="00D61F73">
      <w:pPr>
        <w:tabs>
          <w:tab w:val="left" w:pos="7200"/>
        </w:tabs>
        <w:rPr>
          <w:rFonts w:ascii="Arial" w:eastAsia="Calibri" w:hAnsi="Arial" w:cs="Arial"/>
          <w:color w:val="auto"/>
        </w:rPr>
      </w:pPr>
      <w:r w:rsidRPr="00D61F73">
        <w:rPr>
          <w:rFonts w:ascii="Arial" w:hAnsi="Arial" w:cs="Arial"/>
        </w:rPr>
        <w:br w:type="page"/>
      </w:r>
      <w:hyperlink r:id="rId699" w:history="1">
        <w:r w:rsidRPr="00D61F73">
          <w:rPr>
            <w:rStyle w:val="Hyperlink"/>
            <w:rFonts w:ascii="Arial" w:hAnsi="Arial" w:cs="Arial"/>
            <w:b/>
          </w:rPr>
          <w:t>P</w:t>
        </w:r>
        <w:bookmarkStart w:id="1035" w:name="Peterson2011"/>
        <w:bookmarkEnd w:id="1035"/>
        <w:r w:rsidRPr="00D61F73">
          <w:rPr>
            <w:rStyle w:val="Hyperlink"/>
            <w:rFonts w:ascii="Arial" w:hAnsi="Arial" w:cs="Arial"/>
            <w:b/>
          </w:rPr>
          <w:t>eterson K, McDonagh M, Thakurta S, Dana T, Roberts C, Chou R, Helfand M</w:t>
        </w:r>
      </w:hyperlink>
      <w:r w:rsidRPr="00D61F73">
        <w:rPr>
          <w:rFonts w:ascii="Arial" w:hAnsi="Arial" w:cs="Arial"/>
          <w:b/>
        </w:rPr>
        <w:t>. Drug class review: Nonsteroidal antiinflammatory drugs (NSAIDs). Update 4 final report.  Accessed 10/2011.</w:t>
      </w:r>
    </w:p>
    <w:p w14:paraId="5AD8A19F" w14:textId="77777777" w:rsidR="008D0565" w:rsidRPr="00D61F73" w:rsidRDefault="008D0565" w:rsidP="00D61F73">
      <w:pPr>
        <w:tabs>
          <w:tab w:val="left" w:pos="7200"/>
        </w:tabs>
        <w:rPr>
          <w:rFonts w:ascii="Arial" w:eastAsia="Calibri" w:hAnsi="Arial" w:cs="Arial"/>
        </w:rPr>
      </w:pPr>
    </w:p>
    <w:p w14:paraId="43BD2701"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The purpose of this study to compare effectiveness and harms of oral or topical NSAIDs. For pain relief, there were no significant differences found short term (&lt; 6 months) between oral NSAIDs and topical formulations. Topical NSAIDs were gastroprotective but had higher risk of application site dryness. </w:t>
      </w:r>
    </w:p>
    <w:p w14:paraId="4A8E2DD3" w14:textId="77777777" w:rsidR="008D0565" w:rsidRPr="00D61F73" w:rsidRDefault="008D0565" w:rsidP="00D61F73">
      <w:pPr>
        <w:tabs>
          <w:tab w:val="left" w:pos="7200"/>
        </w:tabs>
        <w:rPr>
          <w:rFonts w:ascii="Arial" w:eastAsia="Calibri" w:hAnsi="Arial" w:cs="Arial"/>
        </w:rPr>
      </w:pPr>
    </w:p>
    <w:p w14:paraId="4B80D709"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1a</w:t>
      </w:r>
    </w:p>
    <w:p w14:paraId="28C656E0" w14:textId="77777777" w:rsidR="008D0565" w:rsidRPr="00D61F73" w:rsidRDefault="008D0565" w:rsidP="00D61F73">
      <w:pPr>
        <w:rPr>
          <w:rFonts w:ascii="Arial" w:eastAsia="Calibri" w:hAnsi="Arial" w:cs="Arial"/>
          <w:color w:val="auto"/>
        </w:rPr>
      </w:pPr>
      <w:r w:rsidRPr="00D61F73">
        <w:rPr>
          <w:rFonts w:ascii="Arial" w:hAnsi="Arial" w:cs="Arial"/>
        </w:rPr>
        <w:br w:type="page"/>
      </w:r>
      <w:r w:rsidRPr="00D61F73">
        <w:rPr>
          <w:rFonts w:ascii="Arial" w:hAnsi="Arial" w:cs="Arial"/>
          <w:b/>
        </w:rPr>
        <w:lastRenderedPageBreak/>
        <w:t>P</w:t>
      </w:r>
      <w:bookmarkStart w:id="1036" w:name="Pétursson"/>
      <w:bookmarkStart w:id="1037" w:name="Petursson"/>
      <w:bookmarkEnd w:id="1036"/>
      <w:bookmarkEnd w:id="1037"/>
      <w:r w:rsidRPr="00D61F73">
        <w:rPr>
          <w:rFonts w:ascii="Arial" w:hAnsi="Arial" w:cs="Arial"/>
          <w:b/>
        </w:rPr>
        <w:t xml:space="preserve">étursson H. The benzodiazepine withdrawal syndrome. </w:t>
      </w:r>
      <w:r w:rsidRPr="00D61F73">
        <w:rPr>
          <w:rFonts w:ascii="Arial" w:hAnsi="Arial" w:cs="Arial"/>
          <w:b/>
          <w:i/>
        </w:rPr>
        <w:t>Addiction.</w:t>
      </w:r>
      <w:r w:rsidRPr="00D61F73">
        <w:rPr>
          <w:rFonts w:ascii="Arial" w:hAnsi="Arial" w:cs="Arial"/>
          <w:b/>
        </w:rPr>
        <w:t xml:space="preserve"> 1994;89:1455-9.</w:t>
      </w:r>
    </w:p>
    <w:p w14:paraId="5BFFAAB6" w14:textId="77777777" w:rsidR="008D0565" w:rsidRPr="00D61F73" w:rsidRDefault="008D0565" w:rsidP="00D61F73">
      <w:pPr>
        <w:jc w:val="center"/>
        <w:rPr>
          <w:rFonts w:ascii="Arial" w:eastAsia="Calibri" w:hAnsi="Arial" w:cs="Arial"/>
        </w:rPr>
      </w:pPr>
    </w:p>
    <w:p w14:paraId="7A44F210"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00" w:history="1">
        <w:r w:rsidRPr="00D61F73">
          <w:rPr>
            <w:rStyle w:val="Hyperlink"/>
            <w:rFonts w:ascii="Arial" w:hAnsi="Arial" w:cs="Arial"/>
          </w:rPr>
          <w:t>7841856</w:t>
        </w:r>
      </w:hyperlink>
    </w:p>
    <w:p w14:paraId="420749DF" w14:textId="77777777" w:rsidR="008D0565" w:rsidRPr="00D61F73" w:rsidRDefault="008D0565" w:rsidP="00D61F73">
      <w:pPr>
        <w:rPr>
          <w:rFonts w:ascii="Arial" w:eastAsia="Calibri" w:hAnsi="Arial" w:cs="Arial"/>
        </w:rPr>
      </w:pPr>
    </w:p>
    <w:p w14:paraId="2CA9C5CE" w14:textId="77777777" w:rsidR="008D0565" w:rsidRPr="00D61F73" w:rsidRDefault="008D0565" w:rsidP="00D61F73">
      <w:pPr>
        <w:rPr>
          <w:rFonts w:ascii="Arial" w:eastAsia="Calibri" w:hAnsi="Arial" w:cs="Arial"/>
        </w:rPr>
      </w:pPr>
      <w:r w:rsidRPr="00D61F73">
        <w:rPr>
          <w:rFonts w:ascii="Arial" w:hAnsi="Arial" w:cs="Arial"/>
        </w:rPr>
        <w:t>Rating: 5b</w:t>
      </w:r>
    </w:p>
    <w:p w14:paraId="081648DB"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38" w:name="Peyron"/>
      <w:bookmarkEnd w:id="1038"/>
      <w:r w:rsidRPr="00D61F73">
        <w:rPr>
          <w:rFonts w:ascii="Arial" w:hAnsi="Arial" w:cs="Arial"/>
          <w:b/>
          <w:bCs/>
        </w:rPr>
        <w:t xml:space="preserve">eyron R, Laurent B, Garcia-Larrea L. Functional imaging of brain responses to pain. A review and meta-analysis (2000). </w:t>
      </w:r>
      <w:r w:rsidRPr="00D61F73">
        <w:rPr>
          <w:rFonts w:ascii="Arial" w:hAnsi="Arial" w:cs="Arial"/>
          <w:b/>
          <w:bCs/>
          <w:i/>
          <w:iCs/>
        </w:rPr>
        <w:t>Neurophysiol Clin.</w:t>
      </w:r>
      <w:r w:rsidRPr="00D61F73">
        <w:rPr>
          <w:rFonts w:ascii="Arial" w:hAnsi="Arial" w:cs="Arial"/>
          <w:b/>
          <w:bCs/>
        </w:rPr>
        <w:t xml:space="preserve"> 2000 Oct;30(5):263-88.</w:t>
      </w:r>
    </w:p>
    <w:p w14:paraId="59F5A4F1" w14:textId="77777777" w:rsidR="008D0565" w:rsidRPr="00D61F73" w:rsidRDefault="008D0565" w:rsidP="00D61F73">
      <w:pPr>
        <w:pStyle w:val="NormalWeb"/>
        <w:spacing w:before="0" w:beforeAutospacing="0" w:after="0" w:afterAutospacing="0"/>
        <w:rPr>
          <w:rFonts w:ascii="Arial" w:hAnsi="Arial" w:cs="Arial"/>
          <w:b/>
          <w:bCs/>
        </w:rPr>
      </w:pPr>
    </w:p>
    <w:p w14:paraId="3FC591E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These data suggest that hemodynamic responses to pain reflect simultaneously the sensory, cognitive and affective dimensions of pain, and that the same structure may both respond to pain and participate in pain control. </w:t>
      </w:r>
    </w:p>
    <w:p w14:paraId="197B61C0" w14:textId="77777777" w:rsidR="008D0565" w:rsidRPr="00D61F73" w:rsidRDefault="008D0565" w:rsidP="00D61F73">
      <w:pPr>
        <w:pStyle w:val="NormalWeb"/>
        <w:spacing w:before="0" w:beforeAutospacing="0" w:after="0" w:afterAutospacing="0"/>
        <w:rPr>
          <w:rFonts w:ascii="Arial" w:hAnsi="Arial" w:cs="Arial"/>
        </w:rPr>
      </w:pPr>
    </w:p>
    <w:p w14:paraId="2D61CEE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01" w:history="1">
        <w:r w:rsidRPr="00D61F73">
          <w:rPr>
            <w:rStyle w:val="Hyperlink"/>
            <w:rFonts w:ascii="Arial" w:hAnsi="Arial" w:cs="Arial"/>
          </w:rPr>
          <w:t>11126640</w:t>
        </w:r>
      </w:hyperlink>
      <w:r w:rsidRPr="00D61F73">
        <w:rPr>
          <w:rFonts w:ascii="Arial" w:hAnsi="Arial" w:cs="Arial"/>
        </w:rPr>
        <w:t xml:space="preserve"> </w:t>
      </w:r>
    </w:p>
    <w:p w14:paraId="1C4A5632" w14:textId="77777777" w:rsidR="008D0565" w:rsidRPr="00D61F73" w:rsidRDefault="008D0565" w:rsidP="00D61F73">
      <w:pPr>
        <w:pStyle w:val="NormalWeb"/>
        <w:spacing w:before="0" w:beforeAutospacing="0" w:after="0" w:afterAutospacing="0"/>
        <w:rPr>
          <w:rFonts w:ascii="Arial" w:hAnsi="Arial" w:cs="Arial"/>
        </w:rPr>
      </w:pPr>
    </w:p>
    <w:p w14:paraId="6AD98870"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5b</w:t>
      </w:r>
    </w:p>
    <w:p w14:paraId="36542D72"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39" w:name="Phillips"/>
      <w:bookmarkEnd w:id="1039"/>
      <w:r w:rsidRPr="00D61F73">
        <w:rPr>
          <w:rFonts w:ascii="Arial" w:hAnsi="Arial" w:cs="Arial"/>
          <w:b/>
          <w:bCs/>
        </w:rPr>
        <w:t xml:space="preserve">hillips DP, Barker GE, Eguchi MM. A steep increase in domestic fatal medication errors with use of alcohol and/or street drugs. </w:t>
      </w:r>
      <w:r w:rsidRPr="00D61F73">
        <w:rPr>
          <w:rFonts w:ascii="Arial" w:hAnsi="Arial" w:cs="Arial"/>
          <w:b/>
          <w:bCs/>
          <w:i/>
          <w:iCs/>
        </w:rPr>
        <w:t>Arch Intern Med</w:t>
      </w:r>
      <w:r w:rsidRPr="00D61F73">
        <w:rPr>
          <w:rFonts w:ascii="Arial" w:hAnsi="Arial" w:cs="Arial"/>
          <w:b/>
          <w:bCs/>
        </w:rPr>
        <w:t>. 2008 Jul 28;168(14):1561-6.</w:t>
      </w:r>
    </w:p>
    <w:p w14:paraId="56603286" w14:textId="77777777" w:rsidR="008D0565" w:rsidRPr="00D61F73" w:rsidRDefault="008D0565" w:rsidP="00D61F73">
      <w:pPr>
        <w:pStyle w:val="NormalWeb"/>
        <w:spacing w:before="0" w:beforeAutospacing="0" w:after="0" w:afterAutospacing="0"/>
        <w:rPr>
          <w:rFonts w:ascii="Arial" w:hAnsi="Arial" w:cs="Arial"/>
        </w:rPr>
      </w:pPr>
    </w:p>
    <w:p w14:paraId="437F1CC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RESULTS: The overall FME death rate increased by 360.5% (1983-2004). This increase far exceeds the increase in death rates from adverse effects of medications (33.2%) or from alcohol and/or street drugs (40.9%). </w:t>
      </w:r>
    </w:p>
    <w:p w14:paraId="7E80509D" w14:textId="77777777" w:rsidR="008D0565" w:rsidRPr="00D61F73" w:rsidRDefault="008D0565" w:rsidP="00D61F73">
      <w:pPr>
        <w:pStyle w:val="NormalWeb"/>
        <w:spacing w:before="0" w:beforeAutospacing="0" w:after="0" w:afterAutospacing="0"/>
        <w:rPr>
          <w:rFonts w:ascii="Arial" w:hAnsi="Arial" w:cs="Arial"/>
        </w:rPr>
      </w:pPr>
    </w:p>
    <w:p w14:paraId="1BA1921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02" w:history="1">
        <w:r w:rsidRPr="00D61F73">
          <w:rPr>
            <w:rStyle w:val="Hyperlink"/>
            <w:rFonts w:ascii="Arial" w:hAnsi="Arial" w:cs="Arial"/>
          </w:rPr>
          <w:t>18663169</w:t>
        </w:r>
      </w:hyperlink>
      <w:r w:rsidRPr="00D61F73">
        <w:rPr>
          <w:rFonts w:ascii="Arial" w:hAnsi="Arial" w:cs="Arial"/>
        </w:rPr>
        <w:t xml:space="preserve"> </w:t>
      </w:r>
    </w:p>
    <w:p w14:paraId="206D79E8" w14:textId="77777777" w:rsidR="008D0565" w:rsidRPr="00D61F73" w:rsidRDefault="008D0565" w:rsidP="00D61F73">
      <w:pPr>
        <w:pStyle w:val="NormalWeb"/>
        <w:spacing w:before="0" w:beforeAutospacing="0" w:after="0" w:afterAutospacing="0"/>
        <w:rPr>
          <w:rFonts w:ascii="Arial" w:hAnsi="Arial" w:cs="Arial"/>
        </w:rPr>
      </w:pPr>
    </w:p>
    <w:p w14:paraId="22EA8A0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4a</w:t>
      </w:r>
    </w:p>
    <w:p w14:paraId="1ABF0D96"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P</w:t>
      </w:r>
      <w:bookmarkStart w:id="1040" w:name="Poleshuck"/>
      <w:bookmarkEnd w:id="1040"/>
      <w:r w:rsidRPr="00D61F73">
        <w:rPr>
          <w:rFonts w:ascii="Arial" w:hAnsi="Arial" w:cs="Arial"/>
          <w:b/>
        </w:rPr>
        <w:t xml:space="preserve">oleshuck EL, Bair MJ, Kroenke K, Damush TM, Tu W, Wu J, Krebs EE, Giles DE. Psychosocial stress and anxiety in musculoskeletal pain patients with and without depression. </w:t>
      </w:r>
      <w:r w:rsidRPr="00D61F73">
        <w:rPr>
          <w:rFonts w:ascii="Arial" w:hAnsi="Arial" w:cs="Arial"/>
          <w:b/>
          <w:i/>
        </w:rPr>
        <w:t>Gen Hosp Psychiatry</w:t>
      </w:r>
      <w:r w:rsidRPr="00D61F73">
        <w:rPr>
          <w:rFonts w:ascii="Arial" w:hAnsi="Arial" w:cs="Arial"/>
          <w:b/>
        </w:rPr>
        <w:t>. 2009;31:116-22.</w:t>
      </w:r>
    </w:p>
    <w:p w14:paraId="2E78E672" w14:textId="77777777" w:rsidR="008D0565" w:rsidRPr="00D61F73" w:rsidRDefault="008D0565" w:rsidP="00D61F73">
      <w:pPr>
        <w:tabs>
          <w:tab w:val="left" w:pos="1884"/>
        </w:tabs>
        <w:rPr>
          <w:rFonts w:ascii="Arial" w:hAnsi="Arial" w:cs="Arial"/>
        </w:rPr>
      </w:pPr>
    </w:p>
    <w:p w14:paraId="6F2D6AAB" w14:textId="77777777" w:rsidR="008D0565" w:rsidRPr="00D61F73" w:rsidRDefault="008D0565" w:rsidP="00D61F73">
      <w:pPr>
        <w:rPr>
          <w:rFonts w:ascii="Arial" w:hAnsi="Arial" w:cs="Arial"/>
        </w:rPr>
      </w:pPr>
      <w:r w:rsidRPr="00D61F73">
        <w:rPr>
          <w:rFonts w:ascii="Arial" w:hAnsi="Arial" w:cs="Arial"/>
        </w:rPr>
        <w:t>CONCLUSIONS: Both anxiety and psychosocial stress should be considered in the assessment and treatment of patients with musculoskeletal pain and depression. Tailored, integrated treatments that target the psychosocial needs of patients with pain and depression are needed. In addition to pharmacotherapy, psychotherapy and other behavioral treatments may be especially important for depression complicated by anxiety or psychosocial stress.</w:t>
      </w:r>
    </w:p>
    <w:p w14:paraId="3C62185C" w14:textId="77777777" w:rsidR="008D0565" w:rsidRPr="00D61F73" w:rsidRDefault="008D0565" w:rsidP="00D61F73">
      <w:pPr>
        <w:rPr>
          <w:rFonts w:ascii="Arial" w:hAnsi="Arial" w:cs="Arial"/>
        </w:rPr>
      </w:pPr>
    </w:p>
    <w:p w14:paraId="1A4D4D2D" w14:textId="77777777" w:rsidR="008D0565" w:rsidRPr="00D61F73" w:rsidRDefault="008D0565" w:rsidP="00D61F73">
      <w:pPr>
        <w:rPr>
          <w:rFonts w:ascii="Arial" w:hAnsi="Arial" w:cs="Arial"/>
        </w:rPr>
      </w:pPr>
      <w:r w:rsidRPr="00D61F73">
        <w:rPr>
          <w:rFonts w:ascii="Arial" w:hAnsi="Arial" w:cs="Arial"/>
        </w:rPr>
        <w:t xml:space="preserve">PMID: </w:t>
      </w:r>
      <w:hyperlink r:id="rId703" w:history="1">
        <w:r w:rsidRPr="00D61F73">
          <w:rPr>
            <w:rStyle w:val="Hyperlink"/>
            <w:rFonts w:ascii="Arial" w:hAnsi="Arial" w:cs="Arial"/>
          </w:rPr>
          <w:t>19269531</w:t>
        </w:r>
      </w:hyperlink>
      <w:r w:rsidRPr="00D61F73">
        <w:rPr>
          <w:rFonts w:ascii="Arial" w:hAnsi="Arial" w:cs="Arial"/>
        </w:rPr>
        <w:t xml:space="preserve"> </w:t>
      </w:r>
    </w:p>
    <w:p w14:paraId="22968354" w14:textId="77777777" w:rsidR="008D0565" w:rsidRPr="00D61F73" w:rsidRDefault="008D0565" w:rsidP="00D61F73">
      <w:pPr>
        <w:rPr>
          <w:rFonts w:ascii="Arial" w:hAnsi="Arial" w:cs="Arial"/>
        </w:rPr>
      </w:pPr>
    </w:p>
    <w:p w14:paraId="0338E80A" w14:textId="77777777" w:rsidR="008D0565" w:rsidRPr="00D61F73" w:rsidRDefault="008D0565" w:rsidP="00D61F73">
      <w:pPr>
        <w:rPr>
          <w:rFonts w:ascii="Arial" w:hAnsi="Arial" w:cs="Arial"/>
        </w:rPr>
      </w:pPr>
      <w:r w:rsidRPr="00D61F73">
        <w:rPr>
          <w:rFonts w:ascii="Arial" w:hAnsi="Arial" w:cs="Arial"/>
        </w:rPr>
        <w:t>Rating: 3a</w:t>
      </w:r>
    </w:p>
    <w:p w14:paraId="392A75C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Po</w:t>
      </w:r>
      <w:bookmarkStart w:id="1041" w:name="Pollack"/>
      <w:bookmarkEnd w:id="1041"/>
      <w:r w:rsidRPr="00D61F73">
        <w:rPr>
          <w:rFonts w:ascii="Arial" w:hAnsi="Arial" w:cs="Arial"/>
          <w:b/>
          <w:bCs/>
        </w:rPr>
        <w:t xml:space="preserve">llack MH, Allgulander C, Bandelow B, Cassano GB, Greist JH, Hollander E, Nutt DJ, Okasha A, Swinson RP; World Council of Anxiety. WCA recommendations for the long-term treatment of panic disorder. </w:t>
      </w:r>
      <w:r w:rsidRPr="00D61F73">
        <w:rPr>
          <w:rFonts w:ascii="Arial" w:hAnsi="Arial" w:cs="Arial"/>
          <w:b/>
          <w:bCs/>
          <w:i/>
          <w:iCs/>
        </w:rPr>
        <w:t>CNS Spectr</w:t>
      </w:r>
      <w:r w:rsidRPr="00D61F73">
        <w:rPr>
          <w:rFonts w:ascii="Arial" w:hAnsi="Arial" w:cs="Arial"/>
          <w:b/>
          <w:bCs/>
        </w:rPr>
        <w:t>. 2003 Aug;8(8 Suppl 1):17-30</w:t>
      </w:r>
    </w:p>
    <w:p w14:paraId="2CF59C08" w14:textId="77777777" w:rsidR="008D0565" w:rsidRPr="00D61F73" w:rsidRDefault="008D0565" w:rsidP="00D61F73">
      <w:pPr>
        <w:rPr>
          <w:rFonts w:ascii="Arial" w:hAnsi="Arial" w:cs="Arial"/>
        </w:rPr>
      </w:pPr>
    </w:p>
    <w:p w14:paraId="656F9A9F" w14:textId="77777777" w:rsidR="008D0565" w:rsidRPr="00D61F73" w:rsidRDefault="008D0565" w:rsidP="00D61F73">
      <w:pPr>
        <w:rPr>
          <w:rFonts w:ascii="Arial" w:hAnsi="Arial" w:cs="Arial"/>
        </w:rPr>
      </w:pPr>
      <w:r w:rsidRPr="00D61F73">
        <w:rPr>
          <w:rFonts w:ascii="Arial" w:hAnsi="Arial" w:cs="Arial"/>
        </w:rPr>
        <w:t xml:space="preserve">Selective serotonin reuptake inhibitors have emerged as the most favorable treatment, as they have a beneficial side-effect profile, are relatively safe (even if taken in overdose), and do not produce physical dependency. </w:t>
      </w:r>
    </w:p>
    <w:p w14:paraId="058BBD0D" w14:textId="77777777" w:rsidR="008D0565" w:rsidRPr="00D61F73" w:rsidRDefault="008D0565" w:rsidP="00D61F73">
      <w:pPr>
        <w:rPr>
          <w:rFonts w:ascii="Arial" w:hAnsi="Arial" w:cs="Arial"/>
        </w:rPr>
      </w:pPr>
    </w:p>
    <w:p w14:paraId="5CE055CA" w14:textId="77777777" w:rsidR="008D0565" w:rsidRPr="00D61F73" w:rsidRDefault="008D0565" w:rsidP="00D61F73">
      <w:pPr>
        <w:rPr>
          <w:rFonts w:ascii="Arial" w:hAnsi="Arial" w:cs="Arial"/>
        </w:rPr>
      </w:pPr>
      <w:r w:rsidRPr="00D61F73">
        <w:rPr>
          <w:rFonts w:ascii="Arial" w:hAnsi="Arial" w:cs="Arial"/>
        </w:rPr>
        <w:t xml:space="preserve">PMID: </w:t>
      </w:r>
      <w:hyperlink r:id="rId704" w:history="1">
        <w:r w:rsidRPr="00D61F73">
          <w:rPr>
            <w:rStyle w:val="Hyperlink"/>
            <w:rFonts w:ascii="Arial" w:hAnsi="Arial" w:cs="Arial"/>
          </w:rPr>
          <w:t>14767395</w:t>
        </w:r>
      </w:hyperlink>
      <w:r w:rsidRPr="00D61F73">
        <w:rPr>
          <w:rFonts w:ascii="Arial" w:hAnsi="Arial" w:cs="Arial"/>
        </w:rPr>
        <w:t xml:space="preserve"> </w:t>
      </w:r>
    </w:p>
    <w:p w14:paraId="25481DD2" w14:textId="77777777" w:rsidR="008D0565" w:rsidRPr="00D61F73" w:rsidRDefault="008D0565" w:rsidP="00D61F73">
      <w:pPr>
        <w:pStyle w:val="NormalWeb"/>
        <w:spacing w:before="0" w:beforeAutospacing="0" w:after="0" w:afterAutospacing="0"/>
        <w:rPr>
          <w:rFonts w:ascii="Arial" w:hAnsi="Arial" w:cs="Arial"/>
        </w:rPr>
      </w:pPr>
    </w:p>
    <w:p w14:paraId="5AACC94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31B33171"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rPr>
        <w:lastRenderedPageBreak/>
        <w:t xml:space="preserve"> </w:t>
      </w:r>
      <w:r w:rsidRPr="00D61F73">
        <w:rPr>
          <w:rFonts w:ascii="Arial" w:hAnsi="Arial" w:cs="Arial"/>
          <w:b/>
        </w:rPr>
        <w:t>P</w:t>
      </w:r>
      <w:bookmarkStart w:id="1042" w:name="Portenoy2002"/>
      <w:bookmarkEnd w:id="1042"/>
      <w:r w:rsidRPr="00D61F73">
        <w:rPr>
          <w:rFonts w:ascii="Arial" w:hAnsi="Arial" w:cs="Arial"/>
          <w:b/>
        </w:rPr>
        <w:t xml:space="preserve">ortenoy RK, Sciberras A, Eliot L, Loewen G, Butler J, Devane J. Steady-state pharmacokinetic comparison of a new, extended-release, once-daily morphine formulation, Avinza, and a twice-daily controlled-release morphine formulation in patients with chronic moderate-to-severe pain. </w:t>
      </w:r>
      <w:r w:rsidRPr="00D61F73">
        <w:rPr>
          <w:rFonts w:ascii="Arial" w:hAnsi="Arial" w:cs="Arial"/>
          <w:b/>
          <w:i/>
        </w:rPr>
        <w:t>J Pain Symptom Manage</w:t>
      </w:r>
      <w:r w:rsidRPr="00D61F73">
        <w:rPr>
          <w:rFonts w:ascii="Arial" w:hAnsi="Arial" w:cs="Arial"/>
          <w:b/>
        </w:rPr>
        <w:t>. 2002 ;23:292-300.</w:t>
      </w:r>
    </w:p>
    <w:p w14:paraId="427C84CE" w14:textId="77777777" w:rsidR="008D0565" w:rsidRPr="00D61F73" w:rsidRDefault="008D0565" w:rsidP="00D61F73">
      <w:pPr>
        <w:rPr>
          <w:rFonts w:ascii="Arial" w:hAnsi="Arial" w:cs="Arial"/>
        </w:rPr>
      </w:pPr>
    </w:p>
    <w:p w14:paraId="3DFFBAFD" w14:textId="77777777" w:rsidR="008D0565" w:rsidRPr="00D61F73" w:rsidRDefault="008D0565" w:rsidP="00D61F73">
      <w:pPr>
        <w:rPr>
          <w:rFonts w:ascii="Arial" w:hAnsi="Arial" w:cs="Arial"/>
        </w:rPr>
      </w:pPr>
      <w:r w:rsidRPr="00D61F73">
        <w:rPr>
          <w:rFonts w:ascii="Arial" w:hAnsi="Arial" w:cs="Arial"/>
        </w:rPr>
        <w:t xml:space="preserve">PMID: </w:t>
      </w:r>
      <w:hyperlink r:id="rId705" w:history="1">
        <w:r w:rsidRPr="00D61F73">
          <w:rPr>
            <w:rStyle w:val="Hyperlink"/>
            <w:rFonts w:ascii="Arial" w:hAnsi="Arial" w:cs="Arial"/>
          </w:rPr>
          <w:t>1199719</w:t>
        </w:r>
      </w:hyperlink>
    </w:p>
    <w:p w14:paraId="16B541D2" w14:textId="77777777" w:rsidR="008D0565" w:rsidRPr="00D61F73" w:rsidRDefault="008D0565" w:rsidP="00D61F73">
      <w:pPr>
        <w:rPr>
          <w:rFonts w:ascii="Arial" w:hAnsi="Arial" w:cs="Arial"/>
        </w:rPr>
      </w:pPr>
    </w:p>
    <w:p w14:paraId="42AADAD3" w14:textId="77777777" w:rsidR="008D0565" w:rsidRPr="00D61F73" w:rsidRDefault="008D0565" w:rsidP="00D61F73">
      <w:pPr>
        <w:rPr>
          <w:rFonts w:ascii="Arial" w:hAnsi="Arial" w:cs="Arial"/>
        </w:rPr>
      </w:pPr>
      <w:r w:rsidRPr="00D61F73">
        <w:rPr>
          <w:rFonts w:ascii="Arial" w:hAnsi="Arial" w:cs="Arial"/>
        </w:rPr>
        <w:t>Rating: 4c</w:t>
      </w:r>
    </w:p>
    <w:p w14:paraId="2F9999B5"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43" w:name="Prager"/>
      <w:bookmarkEnd w:id="1043"/>
      <w:r w:rsidRPr="00D61F73">
        <w:rPr>
          <w:rFonts w:ascii="Arial" w:hAnsi="Arial" w:cs="Arial"/>
          <w:b/>
          <w:bCs/>
        </w:rPr>
        <w:t>rager JP, Mackey S, Alexander G, Schwartzman R. Breaking concepts in diagnosis and treatment of complex regional pain syndromes. Program and abstracts of the American Academy of Pain Medicine 23rd Annual Meeting; February 7-10, 2007; New Orleans, Louisiana.</w:t>
      </w:r>
    </w:p>
    <w:p w14:paraId="32AA926A" w14:textId="77777777" w:rsidR="008D0565" w:rsidRPr="00D61F73" w:rsidRDefault="008D0565" w:rsidP="00D61F73">
      <w:pPr>
        <w:pStyle w:val="NormalWeb"/>
        <w:spacing w:before="0" w:beforeAutospacing="0" w:after="0" w:afterAutospacing="0"/>
        <w:rPr>
          <w:rFonts w:ascii="Arial" w:hAnsi="Arial" w:cs="Arial"/>
        </w:rPr>
      </w:pPr>
    </w:p>
    <w:p w14:paraId="54BFC84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This topic focused on the use of functional brain imaging to look for areas of the brain that are active in response to pain stimuli. Functional brain imaging may represent an excellent opportunity to provide an objective measurement of pain and provide a means to monitor treatment efficacy. </w:t>
      </w:r>
    </w:p>
    <w:p w14:paraId="5C73D2A4" w14:textId="77777777" w:rsidR="008D0565" w:rsidRPr="00D61F73" w:rsidRDefault="008D0565" w:rsidP="00D61F73">
      <w:pPr>
        <w:pStyle w:val="NormalWeb"/>
        <w:spacing w:before="0" w:beforeAutospacing="0" w:after="0" w:afterAutospacing="0"/>
        <w:rPr>
          <w:rFonts w:ascii="Arial" w:hAnsi="Arial" w:cs="Arial"/>
        </w:rPr>
      </w:pPr>
    </w:p>
    <w:p w14:paraId="6264BEE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10b</w:t>
      </w:r>
    </w:p>
    <w:p w14:paraId="4DFCC89C"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44" w:name="Prager2"/>
      <w:bookmarkEnd w:id="1044"/>
      <w:r w:rsidRPr="00D61F73">
        <w:rPr>
          <w:rFonts w:ascii="Arial" w:hAnsi="Arial" w:cs="Arial"/>
          <w:b/>
          <w:bCs/>
        </w:rPr>
        <w:t>rager J. Four decades of neuromodulation. Program and abstracts of the American Academy of Pain Medicine 23rd Annual Meeting; February 7-10, 2007; New Orleans, Louisiana.</w:t>
      </w:r>
    </w:p>
    <w:p w14:paraId="75A8EBF3" w14:textId="77777777" w:rsidR="008D0565" w:rsidRPr="00D61F73" w:rsidRDefault="008D0565" w:rsidP="00D61F73">
      <w:pPr>
        <w:pStyle w:val="NormalWeb"/>
        <w:spacing w:before="0" w:beforeAutospacing="0" w:after="0" w:afterAutospacing="0"/>
        <w:rPr>
          <w:rFonts w:ascii="Arial" w:hAnsi="Arial" w:cs="Arial"/>
          <w:b/>
          <w:bCs/>
        </w:rPr>
      </w:pPr>
    </w:p>
    <w:p w14:paraId="6C70BCF7"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Although there are still not a lot of hard, randomized controlled trial data on the use of neuromodulation for visceral pain, such as for problems involving the intestines, stomach, and pelvic organs, mounting case study evidence suggests a valuable role for neuromodulation in this area. </w:t>
      </w:r>
    </w:p>
    <w:p w14:paraId="3C0E3AF4" w14:textId="77777777" w:rsidR="008D0565" w:rsidRPr="00D61F73" w:rsidRDefault="008D0565" w:rsidP="00D61F73">
      <w:pPr>
        <w:pStyle w:val="NormalWeb"/>
        <w:spacing w:before="0" w:beforeAutospacing="0" w:after="0" w:afterAutospacing="0"/>
        <w:rPr>
          <w:rFonts w:ascii="Arial" w:hAnsi="Arial" w:cs="Arial"/>
        </w:rPr>
      </w:pPr>
    </w:p>
    <w:p w14:paraId="08F879C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10a</w:t>
      </w:r>
    </w:p>
    <w:p w14:paraId="3F64D103"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rPr>
        <w:lastRenderedPageBreak/>
        <w:t xml:space="preserve"> </w:t>
      </w:r>
      <w:r w:rsidRPr="00D61F73">
        <w:rPr>
          <w:rFonts w:ascii="Arial" w:hAnsi="Arial" w:cs="Arial"/>
          <w:b/>
        </w:rPr>
        <w:t>P</w:t>
      </w:r>
      <w:bookmarkStart w:id="1045" w:name="Proctor"/>
      <w:bookmarkEnd w:id="1045"/>
      <w:r w:rsidRPr="00D61F73">
        <w:rPr>
          <w:rFonts w:ascii="Arial" w:hAnsi="Arial" w:cs="Arial"/>
          <w:b/>
        </w:rPr>
        <w:t xml:space="preserve">roctor TJ, Mayer TG, Gatchel RJ, McGeary DD. Unremitting health-care-utilization outcomes of tertiary rehabilitation of patients with chronic musculoskeletal disorders. </w:t>
      </w:r>
      <w:r w:rsidRPr="00D61F73">
        <w:rPr>
          <w:rFonts w:ascii="Arial" w:hAnsi="Arial" w:cs="Arial"/>
          <w:b/>
          <w:i/>
        </w:rPr>
        <w:t>J Bone Joint Surg Am</w:t>
      </w:r>
      <w:r w:rsidRPr="00D61F73">
        <w:rPr>
          <w:rFonts w:ascii="Arial" w:hAnsi="Arial" w:cs="Arial"/>
          <w:b/>
        </w:rPr>
        <w:t>. 2004;86:62-9.</w:t>
      </w:r>
    </w:p>
    <w:p w14:paraId="19B33463" w14:textId="77777777" w:rsidR="008D0565" w:rsidRPr="00D61F73" w:rsidRDefault="008D0565" w:rsidP="00D61F73">
      <w:pPr>
        <w:rPr>
          <w:rFonts w:ascii="Arial" w:hAnsi="Arial" w:cs="Arial"/>
          <w:b/>
        </w:rPr>
      </w:pPr>
    </w:p>
    <w:p w14:paraId="0AED7AB5" w14:textId="77777777" w:rsidR="008D0565" w:rsidRPr="00D61F73" w:rsidRDefault="008D0565" w:rsidP="00D61F73">
      <w:pPr>
        <w:tabs>
          <w:tab w:val="left" w:pos="1884"/>
        </w:tabs>
        <w:rPr>
          <w:rFonts w:ascii="Arial" w:hAnsi="Arial" w:cs="Arial"/>
        </w:rPr>
      </w:pPr>
      <w:r w:rsidRPr="00D61F73">
        <w:rPr>
          <w:rFonts w:ascii="Arial" w:hAnsi="Arial" w:cs="Arial"/>
        </w:rPr>
        <w:t xml:space="preserve">CONCLUSIONS: The results demonstrate that about 25% of patients with a chronic disabling work-related musculoskeletal disorder pursue new health-care services after completing a course of treatment, and this subgroup accounts for a significant proportion of lost worker productivity, unremitting disability payments, and excess health-care consumption. </w:t>
      </w:r>
    </w:p>
    <w:p w14:paraId="538922D5" w14:textId="77777777" w:rsidR="008D0565" w:rsidRPr="00D61F73" w:rsidRDefault="008D0565" w:rsidP="00D61F73">
      <w:pPr>
        <w:tabs>
          <w:tab w:val="left" w:pos="1884"/>
        </w:tabs>
        <w:rPr>
          <w:rFonts w:ascii="Arial" w:hAnsi="Arial" w:cs="Arial"/>
        </w:rPr>
      </w:pPr>
    </w:p>
    <w:p w14:paraId="4F0A1E3E" w14:textId="77777777" w:rsidR="008D0565" w:rsidRPr="00D61F73" w:rsidRDefault="008D0565" w:rsidP="00D61F73">
      <w:pPr>
        <w:tabs>
          <w:tab w:val="left" w:pos="1884"/>
        </w:tabs>
        <w:rPr>
          <w:rFonts w:ascii="Arial" w:hAnsi="Arial" w:cs="Arial"/>
        </w:rPr>
      </w:pPr>
      <w:r w:rsidRPr="00D61F73">
        <w:rPr>
          <w:rFonts w:ascii="Arial" w:hAnsi="Arial" w:cs="Arial"/>
        </w:rPr>
        <w:t xml:space="preserve">PMID: </w:t>
      </w:r>
      <w:hyperlink r:id="rId706" w:history="1">
        <w:r w:rsidRPr="00D61F73">
          <w:rPr>
            <w:rStyle w:val="Hyperlink"/>
            <w:rFonts w:ascii="Arial" w:hAnsi="Arial" w:cs="Arial"/>
          </w:rPr>
          <w:t>14711947</w:t>
        </w:r>
      </w:hyperlink>
    </w:p>
    <w:p w14:paraId="52371AB2" w14:textId="77777777" w:rsidR="008D0565" w:rsidRPr="00D61F73" w:rsidRDefault="008D0565" w:rsidP="00D61F73">
      <w:pPr>
        <w:tabs>
          <w:tab w:val="left" w:pos="1884"/>
        </w:tabs>
        <w:rPr>
          <w:rFonts w:ascii="Arial" w:hAnsi="Arial" w:cs="Arial"/>
        </w:rPr>
      </w:pPr>
    </w:p>
    <w:p w14:paraId="27080744" w14:textId="77777777" w:rsidR="008D0565" w:rsidRPr="00D61F73" w:rsidRDefault="008D0565" w:rsidP="00D61F73">
      <w:pPr>
        <w:tabs>
          <w:tab w:val="left" w:pos="1884"/>
        </w:tabs>
        <w:rPr>
          <w:rFonts w:ascii="Arial" w:hAnsi="Arial" w:cs="Arial"/>
        </w:rPr>
      </w:pPr>
      <w:r w:rsidRPr="00D61F73">
        <w:rPr>
          <w:rFonts w:ascii="Arial" w:hAnsi="Arial" w:cs="Arial"/>
        </w:rPr>
        <w:t>Rating: 3a</w:t>
      </w:r>
    </w:p>
    <w:p w14:paraId="7A0B850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P</w:t>
      </w:r>
      <w:bookmarkStart w:id="1046" w:name="Prommer"/>
      <w:bookmarkEnd w:id="1046"/>
      <w:r w:rsidRPr="00D61F73">
        <w:rPr>
          <w:rFonts w:ascii="Arial" w:hAnsi="Arial" w:cs="Arial"/>
          <w:b/>
          <w:bCs/>
        </w:rPr>
        <w:t xml:space="preserve">rommer E. Levorphanol: the forgotten opioid. </w:t>
      </w:r>
      <w:r w:rsidRPr="00D61F73">
        <w:rPr>
          <w:rFonts w:ascii="Arial" w:hAnsi="Arial" w:cs="Arial"/>
          <w:b/>
          <w:bCs/>
          <w:i/>
        </w:rPr>
        <w:t>Support Care Cancer</w:t>
      </w:r>
      <w:r w:rsidRPr="00D61F73">
        <w:rPr>
          <w:rFonts w:ascii="Arial" w:hAnsi="Arial" w:cs="Arial"/>
          <w:b/>
          <w:bCs/>
        </w:rPr>
        <w:t>. 2007;15:259-64.</w:t>
      </w:r>
    </w:p>
    <w:p w14:paraId="26FC639F" w14:textId="77777777" w:rsidR="008D0565" w:rsidRPr="00D61F73" w:rsidRDefault="008D0565" w:rsidP="00D61F73">
      <w:pPr>
        <w:rPr>
          <w:rFonts w:ascii="Arial" w:hAnsi="Arial" w:cs="Arial"/>
        </w:rPr>
      </w:pPr>
    </w:p>
    <w:p w14:paraId="3B869637" w14:textId="77777777" w:rsidR="008D0565" w:rsidRPr="00D61F73" w:rsidRDefault="008D0565" w:rsidP="00D61F73">
      <w:pPr>
        <w:rPr>
          <w:rFonts w:ascii="Arial" w:hAnsi="Arial" w:cs="Arial"/>
        </w:rPr>
      </w:pPr>
      <w:r w:rsidRPr="00D61F73">
        <w:rPr>
          <w:rFonts w:ascii="Arial" w:hAnsi="Arial" w:cs="Arial"/>
        </w:rPr>
        <w:t>CONCLUSION: The long half-life of the drug increases the potential for drug accumulation. Levorphanol has clinical efficacy in neuropathic pain.</w:t>
      </w:r>
    </w:p>
    <w:p w14:paraId="353D9273" w14:textId="77777777" w:rsidR="008D0565" w:rsidRPr="00D61F73" w:rsidRDefault="008D0565" w:rsidP="00D61F73">
      <w:pPr>
        <w:rPr>
          <w:rFonts w:ascii="Arial" w:hAnsi="Arial" w:cs="Arial"/>
        </w:rPr>
      </w:pPr>
    </w:p>
    <w:p w14:paraId="162810C9" w14:textId="77777777" w:rsidR="008D0565" w:rsidRPr="00D61F73" w:rsidRDefault="008D0565" w:rsidP="00D61F73">
      <w:pPr>
        <w:rPr>
          <w:rFonts w:ascii="Arial" w:hAnsi="Arial" w:cs="Arial"/>
        </w:rPr>
      </w:pPr>
      <w:r w:rsidRPr="00D61F73">
        <w:rPr>
          <w:rFonts w:ascii="Arial" w:hAnsi="Arial" w:cs="Arial"/>
        </w:rPr>
        <w:t>Rating; 5c</w:t>
      </w:r>
    </w:p>
    <w:p w14:paraId="1A189BA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bookmarkStart w:id="1047" w:name="Pulliam"/>
      <w:r w:rsidRPr="00D61F73">
        <w:rPr>
          <w:rFonts w:ascii="Arial" w:hAnsi="Arial" w:cs="Arial"/>
          <w:b/>
          <w:bCs/>
        </w:rPr>
        <w:lastRenderedPageBreak/>
        <w:t xml:space="preserve">Pulliam </w:t>
      </w:r>
      <w:bookmarkEnd w:id="1047"/>
      <w:r w:rsidRPr="00D61F73">
        <w:rPr>
          <w:rFonts w:ascii="Arial" w:hAnsi="Arial" w:cs="Arial"/>
          <w:b/>
          <w:bCs/>
        </w:rPr>
        <w:t>CB, Gatchel RJ, Gardea MA. Psychosocial differences in high risk versus low risk acute low-back pain patients. Journal of Occupational Rehabilitation. 2001 Mar;11(1):43-52.</w:t>
      </w:r>
    </w:p>
    <w:p w14:paraId="3D191F94" w14:textId="77777777" w:rsidR="008D0565" w:rsidRPr="00D61F73" w:rsidRDefault="008D0565" w:rsidP="00D61F73">
      <w:pPr>
        <w:pStyle w:val="NormalWeb"/>
        <w:spacing w:before="0" w:beforeAutospacing="0" w:after="0" w:afterAutospacing="0"/>
        <w:rPr>
          <w:rFonts w:ascii="Arial" w:hAnsi="Arial" w:cs="Arial"/>
        </w:rPr>
      </w:pPr>
    </w:p>
    <w:p w14:paraId="07DD418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current study built upon previous research that predicted with 90.7% accuracy which patients presenting with acute low-back pain go on to develop chronic disability problems. </w:t>
      </w:r>
    </w:p>
    <w:p w14:paraId="4E281DA1" w14:textId="77777777" w:rsidR="008D0565" w:rsidRPr="00D61F73" w:rsidRDefault="008D0565" w:rsidP="00D61F73">
      <w:pPr>
        <w:pStyle w:val="NormalWeb"/>
        <w:spacing w:before="0" w:beforeAutospacing="0" w:after="0" w:afterAutospacing="0"/>
        <w:rPr>
          <w:rFonts w:ascii="Arial" w:hAnsi="Arial" w:cs="Arial"/>
        </w:rPr>
      </w:pPr>
    </w:p>
    <w:p w14:paraId="740582CD"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Publication Type: Case Control Study, 57 cases</w:t>
      </w:r>
    </w:p>
    <w:p w14:paraId="1277E019" w14:textId="77777777" w:rsidR="008D0565" w:rsidRPr="00D61F73" w:rsidRDefault="008D0565" w:rsidP="00D61F73">
      <w:pPr>
        <w:pStyle w:val="BodyText"/>
        <w:rPr>
          <w:rFonts w:ascii="Arial" w:hAnsi="Arial" w:cs="Arial"/>
          <w:b w:val="0"/>
          <w:bCs w:val="0"/>
        </w:rPr>
      </w:pPr>
    </w:p>
    <w:p w14:paraId="1BDCC8AB" w14:textId="77777777" w:rsidR="008D0565" w:rsidRPr="00D61F73" w:rsidRDefault="008D0565" w:rsidP="00D61F73">
      <w:pPr>
        <w:pStyle w:val="BodyText"/>
        <w:rPr>
          <w:rFonts w:ascii="Arial" w:hAnsi="Arial" w:cs="Arial"/>
        </w:rPr>
      </w:pPr>
      <w:r w:rsidRPr="00D61F73">
        <w:rPr>
          <w:rFonts w:ascii="Arial" w:hAnsi="Arial" w:cs="Arial"/>
          <w:b w:val="0"/>
          <w:bCs w:val="0"/>
        </w:rPr>
        <w:t xml:space="preserve">PMID: </w:t>
      </w:r>
      <w:hyperlink r:id="rId707" w:history="1">
        <w:r w:rsidRPr="00D61F73">
          <w:rPr>
            <w:rStyle w:val="Hyperlink"/>
            <w:rFonts w:ascii="Arial" w:hAnsi="Arial" w:cs="Arial"/>
            <w:b w:val="0"/>
            <w:bCs w:val="0"/>
          </w:rPr>
          <w:t>11706776</w:t>
        </w:r>
      </w:hyperlink>
      <w:r w:rsidRPr="00D61F73">
        <w:rPr>
          <w:rFonts w:ascii="Arial" w:hAnsi="Arial" w:cs="Arial"/>
        </w:rPr>
        <w:t xml:space="preserve"> </w:t>
      </w:r>
    </w:p>
    <w:p w14:paraId="000B1AB2" w14:textId="77777777" w:rsidR="006B7049" w:rsidRPr="00D61F73" w:rsidRDefault="006B7049" w:rsidP="00D61F73">
      <w:pPr>
        <w:rPr>
          <w:rFonts w:ascii="Arial" w:hAnsi="Arial" w:cs="Arial"/>
        </w:rPr>
      </w:pPr>
      <w:r w:rsidRPr="00D61F73">
        <w:rPr>
          <w:rFonts w:ascii="Arial" w:hAnsi="Arial" w:cs="Arial"/>
        </w:rPr>
        <w:br w:type="page"/>
      </w:r>
      <w:bookmarkStart w:id="1048" w:name="Qerama"/>
      <w:bookmarkEnd w:id="1048"/>
      <w:r w:rsidRPr="00D61F73">
        <w:rPr>
          <w:rFonts w:ascii="Arial" w:hAnsi="Arial" w:cs="Arial"/>
          <w:b/>
          <w:bCs/>
        </w:rPr>
        <w:lastRenderedPageBreak/>
        <w:t>Qerama E, Fuglsang-Frederiksen A, Kasch H, Bach FW, Jensen TS. A double-blind, controlled study of botulinum toxin A in chronic myofascial pain. </w:t>
      </w:r>
      <w:r w:rsidRPr="00D61F73">
        <w:rPr>
          <w:rFonts w:ascii="Arial" w:hAnsi="Arial" w:cs="Arial"/>
          <w:b/>
          <w:bCs/>
          <w:i/>
          <w:iCs/>
        </w:rPr>
        <w:t>Neurology.</w:t>
      </w:r>
      <w:r w:rsidRPr="00D61F73">
        <w:rPr>
          <w:rFonts w:ascii="Arial" w:hAnsi="Arial" w:cs="Arial"/>
          <w:b/>
          <w:bCs/>
        </w:rPr>
        <w:t> 2006 Jul 25;67(2):241-5.</w:t>
      </w:r>
    </w:p>
    <w:p w14:paraId="450BD895" w14:textId="77777777" w:rsidR="006B7049" w:rsidRPr="00D61F73" w:rsidRDefault="006B7049" w:rsidP="00D61F73">
      <w:pPr>
        <w:rPr>
          <w:rFonts w:ascii="Arial" w:hAnsi="Arial" w:cs="Arial"/>
        </w:rPr>
      </w:pPr>
      <w:r w:rsidRPr="00D61F73">
        <w:rPr>
          <w:rFonts w:ascii="Arial" w:hAnsi="Arial" w:cs="Arial"/>
        </w:rPr>
        <w:t> </w:t>
      </w:r>
    </w:p>
    <w:p w14:paraId="7280B5A0" w14:textId="77777777" w:rsidR="006B7049" w:rsidRPr="00D61F73" w:rsidRDefault="006B7049" w:rsidP="00D61F73">
      <w:pPr>
        <w:rPr>
          <w:rFonts w:ascii="Arial" w:hAnsi="Arial" w:cs="Arial"/>
        </w:rPr>
      </w:pPr>
      <w:r w:rsidRPr="00D61F73">
        <w:rPr>
          <w:rFonts w:ascii="Arial" w:hAnsi="Arial" w:cs="Arial"/>
        </w:rPr>
        <w:t>Danish Pain Research Center, Aarhus University Hospital, Denmark. erisela@akhphd.au.dk</w:t>
      </w:r>
    </w:p>
    <w:p w14:paraId="4EC4BF5F" w14:textId="77777777" w:rsidR="006B7049" w:rsidRPr="00D61F73" w:rsidRDefault="006B7049" w:rsidP="00D61F73">
      <w:pPr>
        <w:rPr>
          <w:rFonts w:ascii="Arial" w:hAnsi="Arial" w:cs="Arial"/>
        </w:rPr>
      </w:pPr>
      <w:r w:rsidRPr="00D61F73">
        <w:rPr>
          <w:rFonts w:ascii="Arial" w:hAnsi="Arial" w:cs="Arial"/>
        </w:rPr>
        <w:t> </w:t>
      </w:r>
    </w:p>
    <w:p w14:paraId="6CEE9047" w14:textId="77777777" w:rsidR="006B7049" w:rsidRPr="00D61F73" w:rsidRDefault="006B7049" w:rsidP="00D61F73">
      <w:pPr>
        <w:rPr>
          <w:rFonts w:ascii="Arial" w:hAnsi="Arial" w:cs="Arial"/>
        </w:rPr>
      </w:pPr>
      <w:r w:rsidRPr="00D61F73">
        <w:rPr>
          <w:rFonts w:ascii="Arial" w:hAnsi="Arial" w:cs="Arial"/>
        </w:rPr>
        <w:t>BACKGROUND: Recent studies have reported a potential analgesic effect of botulinum toxin A (BTXA) in musculoskeletal pain. The present double-blind, randomized, placebo-controlled, parallel clinical trial studied the effect of BTXA on pain from muscle trigger points and on EMG activity at rest and during voluntary contraction. METHODS: Thirty patients with trigger points in the infraspinatus muscles received either 50 units/0.25 mL of BTXA or 0.25 mL of isotonic saline. Baseline measures were determined during a run-in period of 1 week. Outcome measures including local and referred spontaneous pain, pain detection and tolerance thresholds to mechanical pressure, and shoulder movement were assessed at 3 and 28 days after injection. RESULTS: BTXA reduced motor endplate activity and the interference pattern of EMG significantly but had no effect on either pain (spontaneous or referred) or pain thresholds compared with isotonic saline. CONCLUSIONS: The results do not support a specific antinociceptive and analgesic effect of botulinum toxin A.</w:t>
      </w:r>
    </w:p>
    <w:p w14:paraId="1721DBCC" w14:textId="77777777" w:rsidR="006B7049" w:rsidRPr="00D61F73" w:rsidRDefault="006B7049" w:rsidP="00D61F73">
      <w:pPr>
        <w:rPr>
          <w:rFonts w:ascii="Arial" w:hAnsi="Arial" w:cs="Arial"/>
        </w:rPr>
      </w:pPr>
      <w:r w:rsidRPr="00D61F73">
        <w:rPr>
          <w:rFonts w:ascii="Arial" w:hAnsi="Arial" w:cs="Arial"/>
        </w:rPr>
        <w:t> </w:t>
      </w:r>
    </w:p>
    <w:p w14:paraId="08F9D916" w14:textId="77777777" w:rsidR="006B7049" w:rsidRPr="00D61F73" w:rsidRDefault="006B7049" w:rsidP="00D61F73">
      <w:pPr>
        <w:rPr>
          <w:rFonts w:ascii="Arial" w:hAnsi="Arial" w:cs="Arial"/>
        </w:rPr>
      </w:pPr>
      <w:r w:rsidRPr="00D61F73">
        <w:rPr>
          <w:rFonts w:ascii="Arial" w:hAnsi="Arial" w:cs="Arial"/>
        </w:rPr>
        <w:t>PMID: </w:t>
      </w:r>
      <w:hyperlink r:id="rId708" w:history="1">
        <w:r w:rsidRPr="00D61F73">
          <w:rPr>
            <w:rStyle w:val="Hyperlink"/>
            <w:rFonts w:ascii="Arial" w:hAnsi="Arial" w:cs="Arial"/>
          </w:rPr>
          <w:t>16864815</w:t>
        </w:r>
      </w:hyperlink>
    </w:p>
    <w:p w14:paraId="7409C867" w14:textId="77777777" w:rsidR="006B7049" w:rsidRPr="00D61F73" w:rsidRDefault="006B7049" w:rsidP="00D61F73">
      <w:pPr>
        <w:rPr>
          <w:rFonts w:ascii="Arial" w:hAnsi="Arial" w:cs="Arial"/>
        </w:rPr>
      </w:pPr>
      <w:r w:rsidRPr="00D61F73">
        <w:rPr>
          <w:rFonts w:ascii="Arial" w:hAnsi="Arial" w:cs="Arial"/>
        </w:rPr>
        <w:t> </w:t>
      </w:r>
    </w:p>
    <w:p w14:paraId="365A0617" w14:textId="77777777" w:rsidR="006B7049" w:rsidRPr="00D61F73" w:rsidRDefault="006B7049" w:rsidP="00D61F73">
      <w:pPr>
        <w:rPr>
          <w:rFonts w:ascii="Arial" w:hAnsi="Arial" w:cs="Arial"/>
        </w:rPr>
      </w:pPr>
      <w:r w:rsidRPr="00D61F73">
        <w:rPr>
          <w:rFonts w:ascii="Arial" w:hAnsi="Arial" w:cs="Arial"/>
        </w:rPr>
        <w:t>Rating: 2c</w:t>
      </w:r>
    </w:p>
    <w:p w14:paraId="36A85EC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Q</w:t>
      </w:r>
      <w:bookmarkStart w:id="1049" w:name="Quisel"/>
      <w:bookmarkEnd w:id="1049"/>
      <w:r w:rsidRPr="00D61F73">
        <w:rPr>
          <w:rFonts w:ascii="Arial" w:hAnsi="Arial" w:cs="Arial"/>
          <w:b/>
        </w:rPr>
        <w:t xml:space="preserve">uisel A, Gill JM, Witherell P. Complex regional pain syndrome: which treatments show promise? </w:t>
      </w:r>
      <w:r w:rsidRPr="00D61F73">
        <w:rPr>
          <w:rFonts w:ascii="Arial" w:hAnsi="Arial" w:cs="Arial"/>
          <w:b/>
          <w:i/>
        </w:rPr>
        <w:t>J Fam Pract</w:t>
      </w:r>
      <w:r w:rsidRPr="00D61F73">
        <w:rPr>
          <w:rFonts w:ascii="Arial" w:hAnsi="Arial" w:cs="Arial"/>
          <w:b/>
        </w:rPr>
        <w:t>. 2005 Jul;54(7):599-603.</w:t>
      </w:r>
    </w:p>
    <w:p w14:paraId="7448912B" w14:textId="77777777" w:rsidR="008D0565" w:rsidRPr="00D61F73" w:rsidRDefault="008D0565" w:rsidP="00D61F73">
      <w:pPr>
        <w:pStyle w:val="BodyText"/>
        <w:rPr>
          <w:rFonts w:ascii="Arial" w:hAnsi="Arial" w:cs="Arial"/>
          <w:b w:val="0"/>
          <w:bCs w:val="0"/>
        </w:rPr>
      </w:pPr>
    </w:p>
    <w:p w14:paraId="1EF60427"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Treatments for CRPS type 1 supported by evidence of efficacy and little likelihood for harm are: topical DMSO cream (B), IV bisphosphonates (A) and limited courses of oral corticosteroids (B). Despite some contradictory evidence, physical therapy and calcitonin (intranasal or intramuscular) are likely to benefit patients with CRPS type 1 (B). Due to modest benefits and the invasiveness of the therapies, epidural clonidine injection, intravenous regional sympathetic block with bretylium and spinal cord stimulation should be offered only after careful counseling (B). Therapies to avoid due to lack of efficacy, lack of evidence, or a high likelihood of adverse outcomes are IV regional sympathetic blocks with anything but bretylium, sympathetic ganglion blocks with local anesthetics, systemic IV sympathetic inhibition, acupuncture, and sympathectomy (B).</w:t>
      </w:r>
    </w:p>
    <w:p w14:paraId="5F0A0470" w14:textId="77777777" w:rsidR="008D0565" w:rsidRPr="00D61F73" w:rsidRDefault="008D0565" w:rsidP="00D61F73">
      <w:pPr>
        <w:pStyle w:val="BodyText"/>
        <w:rPr>
          <w:rFonts w:ascii="Arial" w:hAnsi="Arial" w:cs="Arial"/>
          <w:b w:val="0"/>
          <w:bCs w:val="0"/>
        </w:rPr>
      </w:pPr>
    </w:p>
    <w:p w14:paraId="1E592657" w14:textId="77777777" w:rsidR="008D0565" w:rsidRPr="00D61F73" w:rsidRDefault="008D0565" w:rsidP="00D61F73">
      <w:pPr>
        <w:pStyle w:val="BodyText"/>
        <w:rPr>
          <w:rFonts w:ascii="Arial" w:hAnsi="Arial" w:cs="Arial"/>
        </w:rPr>
      </w:pPr>
      <w:r w:rsidRPr="00D61F73">
        <w:rPr>
          <w:rFonts w:ascii="Arial" w:hAnsi="Arial" w:cs="Arial"/>
          <w:b w:val="0"/>
          <w:bCs w:val="0"/>
        </w:rPr>
        <w:t xml:space="preserve">PMID: </w:t>
      </w:r>
      <w:hyperlink r:id="rId709" w:history="1">
        <w:r w:rsidRPr="00D61F73">
          <w:rPr>
            <w:rStyle w:val="Hyperlink"/>
            <w:rFonts w:ascii="Arial" w:hAnsi="Arial" w:cs="Arial"/>
            <w:b w:val="0"/>
            <w:bCs w:val="0"/>
          </w:rPr>
          <w:t>16009087</w:t>
        </w:r>
      </w:hyperlink>
      <w:r w:rsidRPr="00D61F73">
        <w:rPr>
          <w:rFonts w:ascii="Arial" w:hAnsi="Arial" w:cs="Arial"/>
        </w:rPr>
        <w:t xml:space="preserve"> </w:t>
      </w:r>
    </w:p>
    <w:p w14:paraId="5D208F6D" w14:textId="77777777" w:rsidR="008D0565" w:rsidRPr="00D61F73" w:rsidRDefault="008D0565" w:rsidP="00D61F73">
      <w:pPr>
        <w:pStyle w:val="BodyText"/>
        <w:rPr>
          <w:rFonts w:ascii="Arial" w:hAnsi="Arial" w:cs="Arial"/>
        </w:rPr>
      </w:pPr>
    </w:p>
    <w:p w14:paraId="452B2ECD"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5a</w:t>
      </w:r>
    </w:p>
    <w:p w14:paraId="24AF3F06"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Q</w:t>
      </w:r>
      <w:bookmarkStart w:id="1050" w:name="Quisel2"/>
      <w:bookmarkEnd w:id="1050"/>
      <w:r w:rsidRPr="00D61F73">
        <w:rPr>
          <w:rFonts w:ascii="Arial" w:hAnsi="Arial" w:cs="Arial"/>
        </w:rPr>
        <w:t xml:space="preserve">uisel A, Gill JM, Witherell P. Complex regional pain syndrome underdiagnosed. </w:t>
      </w:r>
      <w:r w:rsidRPr="00D61F73">
        <w:rPr>
          <w:rFonts w:ascii="Arial" w:hAnsi="Arial" w:cs="Arial"/>
          <w:i/>
          <w:iCs/>
        </w:rPr>
        <w:t>J Fam Pract</w:t>
      </w:r>
      <w:r w:rsidRPr="00D61F73">
        <w:rPr>
          <w:rFonts w:ascii="Arial" w:hAnsi="Arial" w:cs="Arial"/>
        </w:rPr>
        <w:t>. 2005 Jun;54(6):524-32.</w:t>
      </w:r>
    </w:p>
    <w:p w14:paraId="721186C5" w14:textId="77777777" w:rsidR="008D0565" w:rsidRPr="00D61F73" w:rsidRDefault="008D0565" w:rsidP="00D61F73">
      <w:pPr>
        <w:pStyle w:val="BodyText"/>
        <w:rPr>
          <w:rFonts w:ascii="Arial" w:hAnsi="Arial" w:cs="Arial"/>
          <w:b w:val="0"/>
          <w:bCs w:val="0"/>
        </w:rPr>
      </w:pPr>
    </w:p>
    <w:p w14:paraId="256C193F"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Complex regional pain syndrome (CRPS) type 1 may be diagnosed by history and physical exam with no further testing. Several different diagnostic criteria have undergone validity testing: the 1993 IASP criteria, Bruehl's criteria, and Veldman's criteria; there is no compelling reason to recommend 1 set of criteria over the others. Some cases of CRPS type 1 may be preventable. Some cases of CRPS type 1 in post-stroke upper extremity hemiplegia (also known as shoulder-hand syndrome) may be prevented by early inpatient rehabilitation and avoidance of shoulder trauma to the affected arm. Some cases of post-fracture CRPS type 1 may be prevented with 500 mg vitamin C daily started upon diagnosis of fracture and continued through healing.</w:t>
      </w:r>
    </w:p>
    <w:p w14:paraId="3F114C18" w14:textId="77777777" w:rsidR="008D0565" w:rsidRPr="00D61F73" w:rsidRDefault="008D0565" w:rsidP="00D61F73">
      <w:pPr>
        <w:pStyle w:val="BodyText"/>
        <w:rPr>
          <w:rFonts w:ascii="Arial" w:hAnsi="Arial" w:cs="Arial"/>
          <w:b w:val="0"/>
          <w:bCs w:val="0"/>
        </w:rPr>
      </w:pPr>
    </w:p>
    <w:p w14:paraId="15A11621"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PMID: </w:t>
      </w:r>
      <w:hyperlink r:id="rId710" w:history="1">
        <w:r w:rsidRPr="00D61F73">
          <w:rPr>
            <w:rStyle w:val="Hyperlink"/>
            <w:rFonts w:ascii="Arial" w:hAnsi="Arial" w:cs="Arial"/>
            <w:b w:val="0"/>
            <w:bCs w:val="0"/>
          </w:rPr>
          <w:t>15939004</w:t>
        </w:r>
      </w:hyperlink>
      <w:r w:rsidRPr="00D61F73">
        <w:rPr>
          <w:rFonts w:ascii="Arial" w:hAnsi="Arial" w:cs="Arial"/>
          <w:b w:val="0"/>
          <w:bCs w:val="0"/>
        </w:rPr>
        <w:t xml:space="preserve"> </w:t>
      </w:r>
    </w:p>
    <w:p w14:paraId="5FDAA88F" w14:textId="77777777" w:rsidR="008D0565" w:rsidRPr="00D61F73" w:rsidRDefault="008D0565" w:rsidP="00D61F73">
      <w:pPr>
        <w:pStyle w:val="BodyText"/>
        <w:rPr>
          <w:rFonts w:ascii="Arial" w:hAnsi="Arial" w:cs="Arial"/>
          <w:b w:val="0"/>
          <w:bCs w:val="0"/>
        </w:rPr>
      </w:pPr>
    </w:p>
    <w:p w14:paraId="6281551B"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5b</w:t>
      </w:r>
    </w:p>
    <w:p w14:paraId="16AAE0E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51" w:name="Rajagopal"/>
      <w:bookmarkEnd w:id="1051"/>
      <w:r w:rsidRPr="00D61F73">
        <w:rPr>
          <w:rFonts w:ascii="Arial" w:hAnsi="Arial" w:cs="Arial"/>
          <w:b/>
          <w:bCs/>
        </w:rPr>
        <w:t xml:space="preserve">ajagopal, A., et al. Symptomatic Hypogonadism in Male Survivors of Cancer with Chronic Exposure to Opioids. </w:t>
      </w:r>
      <w:r w:rsidRPr="00D61F73">
        <w:rPr>
          <w:rFonts w:ascii="Arial" w:hAnsi="Arial" w:cs="Arial"/>
          <w:b/>
          <w:bCs/>
          <w:i/>
          <w:iCs/>
        </w:rPr>
        <w:t>Cancer</w:t>
      </w:r>
      <w:r w:rsidRPr="00D61F73">
        <w:rPr>
          <w:rFonts w:ascii="Arial" w:hAnsi="Arial" w:cs="Arial"/>
          <w:b/>
          <w:bCs/>
        </w:rPr>
        <w:t>. 2004; Volume 100, Number 4, 851-858.</w:t>
      </w:r>
    </w:p>
    <w:p w14:paraId="3481B2B7" w14:textId="77777777" w:rsidR="008D0565" w:rsidRPr="00D61F73" w:rsidRDefault="008D0565" w:rsidP="00D61F73">
      <w:pPr>
        <w:rPr>
          <w:rFonts w:ascii="Arial" w:hAnsi="Arial" w:cs="Arial"/>
        </w:rPr>
      </w:pPr>
    </w:p>
    <w:p w14:paraId="6EB1D8F0" w14:textId="77777777" w:rsidR="008D0565" w:rsidRPr="00D61F73" w:rsidRDefault="008D0565" w:rsidP="00D61F73">
      <w:pPr>
        <w:rPr>
          <w:rFonts w:ascii="Arial" w:hAnsi="Arial" w:cs="Arial"/>
        </w:rPr>
      </w:pPr>
      <w:r w:rsidRPr="00D61F73">
        <w:rPr>
          <w:rFonts w:ascii="Arial" w:hAnsi="Arial" w:cs="Arial"/>
        </w:rPr>
        <w:t>Rating: 2c</w:t>
      </w:r>
    </w:p>
    <w:p w14:paraId="37DC73D0" w14:textId="77777777" w:rsidR="008D0565" w:rsidRPr="00D61F73" w:rsidRDefault="008D0565" w:rsidP="00D61F73">
      <w:pPr>
        <w:rPr>
          <w:rFonts w:ascii="Arial" w:hAnsi="Arial" w:cs="Arial"/>
        </w:rPr>
      </w:pPr>
    </w:p>
    <w:p w14:paraId="1F53B986" w14:textId="77777777" w:rsidR="008D0565" w:rsidRPr="00D61F73" w:rsidRDefault="008D0565" w:rsidP="00D61F73">
      <w:pPr>
        <w:rPr>
          <w:rFonts w:ascii="Arial" w:hAnsi="Arial" w:cs="Arial"/>
        </w:rPr>
      </w:pPr>
      <w:r w:rsidRPr="00D61F73">
        <w:rPr>
          <w:rFonts w:ascii="Arial" w:hAnsi="Arial" w:cs="Arial"/>
        </w:rPr>
        <w:t xml:space="preserve">Quality: Low. Total Rating: 1.5. Comment: Does not meet inclusion criteria for evidence-based review. </w:t>
      </w:r>
    </w:p>
    <w:p w14:paraId="6A00FDA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bCs/>
        </w:rPr>
        <w:lastRenderedPageBreak/>
        <w:t>R</w:t>
      </w:r>
      <w:bookmarkStart w:id="1052" w:name="Ramakrishnan"/>
      <w:bookmarkEnd w:id="1052"/>
      <w:r w:rsidRPr="00D61F73">
        <w:rPr>
          <w:rFonts w:ascii="Arial" w:hAnsi="Arial" w:cs="Arial"/>
          <w:b/>
          <w:bCs/>
        </w:rPr>
        <w:t>amakrishnan K</w:t>
      </w:r>
      <w:r w:rsidRPr="00D61F73">
        <w:rPr>
          <w:rFonts w:ascii="Arial" w:hAnsi="Arial" w:cs="Arial"/>
          <w:b/>
        </w:rPr>
        <w:t xml:space="preserve">, </w:t>
      </w:r>
      <w:r w:rsidRPr="00D61F73">
        <w:rPr>
          <w:rFonts w:ascii="Arial" w:hAnsi="Arial" w:cs="Arial"/>
          <w:b/>
          <w:bCs/>
        </w:rPr>
        <w:t>Scheid DC</w:t>
      </w:r>
      <w:r w:rsidRPr="00D61F73">
        <w:rPr>
          <w:rFonts w:ascii="Arial" w:hAnsi="Arial" w:cs="Arial"/>
          <w:b/>
        </w:rPr>
        <w:t xml:space="preserve">. Treatment options for insomnia. </w:t>
      </w:r>
      <w:r w:rsidRPr="00D61F73">
        <w:rPr>
          <w:rFonts w:ascii="Arial" w:hAnsi="Arial" w:cs="Arial"/>
          <w:b/>
          <w:i/>
        </w:rPr>
        <w:t>Am Fam Physician</w:t>
      </w:r>
      <w:r w:rsidRPr="00D61F73">
        <w:rPr>
          <w:rFonts w:ascii="Arial" w:hAnsi="Arial" w:cs="Arial"/>
          <w:b/>
        </w:rPr>
        <w:t>. 2007 Aug 15;76(4)517-26.</w:t>
      </w:r>
    </w:p>
    <w:p w14:paraId="4310D84C" w14:textId="77777777" w:rsidR="008D0565" w:rsidRPr="00D61F73" w:rsidRDefault="008D0565" w:rsidP="00D61F73">
      <w:pPr>
        <w:rPr>
          <w:rFonts w:ascii="Arial" w:hAnsi="Arial" w:cs="Arial"/>
        </w:rPr>
      </w:pPr>
    </w:p>
    <w:p w14:paraId="7846BE83" w14:textId="77777777" w:rsidR="008D0565" w:rsidRPr="00D61F73" w:rsidRDefault="008D0565" w:rsidP="00D61F73">
      <w:pPr>
        <w:rPr>
          <w:rFonts w:ascii="Arial" w:hAnsi="Arial" w:cs="Arial"/>
        </w:rPr>
      </w:pPr>
      <w:r w:rsidRPr="00D61F73">
        <w:rPr>
          <w:rFonts w:ascii="Arial" w:hAnsi="Arial" w:cs="Arial"/>
        </w:rPr>
        <w:t>Hypnotics generally should be prescribed for short periods only, with the frequency and duration of use customized to each patient's circumstances. Routine use of over-the-counter drugs containing antihistamines should be discouraged. Alcohol has the potential for abuse and should not be used as a sleep aid. Opiates are valuable in pain-associated insomnia. Benzodiazepines are most useful for short-term treatment; however, long-term use may lead to adverse effects and withdrawal phenomena. The better safety profile of the newer-generation nonbenzodiazepines (i.e., zolpidem, zaleplon, eszopidone, and ramelteon) makes them better first-line choices for long-term treatment of chronic insomnia.</w:t>
      </w:r>
    </w:p>
    <w:p w14:paraId="4D079ECD" w14:textId="77777777" w:rsidR="008D0565" w:rsidRPr="00D61F73" w:rsidRDefault="008D0565" w:rsidP="00D61F73">
      <w:pPr>
        <w:rPr>
          <w:rFonts w:ascii="Arial" w:hAnsi="Arial" w:cs="Arial"/>
        </w:rPr>
      </w:pPr>
    </w:p>
    <w:p w14:paraId="3863F803" w14:textId="77777777" w:rsidR="008D0565" w:rsidRPr="00D61F73" w:rsidRDefault="008D0565" w:rsidP="00D61F73">
      <w:pPr>
        <w:rPr>
          <w:rFonts w:ascii="Arial" w:hAnsi="Arial" w:cs="Arial"/>
        </w:rPr>
      </w:pPr>
      <w:r w:rsidRPr="00D61F73">
        <w:rPr>
          <w:rFonts w:ascii="Arial" w:hAnsi="Arial" w:cs="Arial"/>
        </w:rPr>
        <w:t>Rating: 5b</w:t>
      </w:r>
    </w:p>
    <w:p w14:paraId="6E2E6740"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R</w:t>
      </w:r>
      <w:bookmarkStart w:id="1053" w:name="Raphael"/>
      <w:bookmarkEnd w:id="1053"/>
      <w:r w:rsidRPr="00D61F73">
        <w:rPr>
          <w:rFonts w:ascii="Arial" w:hAnsi="Arial" w:cs="Arial"/>
        </w:rPr>
        <w:t xml:space="preserve">aphael, J., et al. Long-term experience with implanted intrathecal drug administration systems for failed back syndrome and chronic mechanical low back pain. </w:t>
      </w:r>
      <w:r w:rsidRPr="00D61F73">
        <w:rPr>
          <w:rFonts w:ascii="Arial" w:hAnsi="Arial" w:cs="Arial"/>
          <w:i/>
        </w:rPr>
        <w:t>BMC Musculoskeletal Disorders.</w:t>
      </w:r>
      <w:r w:rsidRPr="00D61F73">
        <w:rPr>
          <w:rFonts w:ascii="Arial" w:hAnsi="Arial" w:cs="Arial"/>
        </w:rPr>
        <w:t xml:space="preserve"> 2002; Volume 3, Number 17.</w:t>
      </w:r>
    </w:p>
    <w:p w14:paraId="053BEC21" w14:textId="77777777" w:rsidR="008D0565" w:rsidRPr="00D61F73" w:rsidRDefault="008D0565" w:rsidP="00D61F73">
      <w:pPr>
        <w:rPr>
          <w:rFonts w:ascii="Arial" w:hAnsi="Arial" w:cs="Arial"/>
        </w:rPr>
      </w:pPr>
    </w:p>
    <w:p w14:paraId="66DE546D" w14:textId="77777777" w:rsidR="008D0565" w:rsidRPr="00D61F73" w:rsidRDefault="008D0565" w:rsidP="00D61F73">
      <w:pPr>
        <w:rPr>
          <w:rFonts w:ascii="Arial" w:hAnsi="Arial" w:cs="Arial"/>
        </w:rPr>
      </w:pPr>
      <w:r w:rsidRPr="00D61F73">
        <w:rPr>
          <w:rFonts w:ascii="Arial" w:hAnsi="Arial" w:cs="Arial"/>
        </w:rPr>
        <w:t>Rating: 2c</w:t>
      </w:r>
    </w:p>
    <w:p w14:paraId="7A59BA67" w14:textId="77777777" w:rsidR="008D0565" w:rsidRPr="00D61F73" w:rsidRDefault="008D0565" w:rsidP="00D61F73">
      <w:pPr>
        <w:rPr>
          <w:rFonts w:ascii="Arial" w:hAnsi="Arial" w:cs="Arial"/>
        </w:rPr>
      </w:pPr>
    </w:p>
    <w:p w14:paraId="5F50F555" w14:textId="77777777" w:rsidR="008D0565" w:rsidRPr="00D61F73" w:rsidRDefault="008D0565" w:rsidP="00D61F73">
      <w:pPr>
        <w:rPr>
          <w:rFonts w:ascii="Arial" w:hAnsi="Arial" w:cs="Arial"/>
        </w:rPr>
      </w:pPr>
      <w:r w:rsidRPr="00D61F73">
        <w:rPr>
          <w:rFonts w:ascii="Arial" w:hAnsi="Arial" w:cs="Arial"/>
        </w:rPr>
        <w:t xml:space="preserve">Quality: Low. Total Rating: 2.0. Comment: Does not meet inclusion criteria for evidence-based review. </w:t>
      </w:r>
    </w:p>
    <w:p w14:paraId="3FE097B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54" w:name="Rauck"/>
      <w:bookmarkEnd w:id="1054"/>
      <w:r w:rsidRPr="00D61F73">
        <w:rPr>
          <w:rFonts w:ascii="Arial" w:hAnsi="Arial" w:cs="Arial"/>
          <w:b/>
          <w:bCs/>
        </w:rPr>
        <w:t>auck RL, Wallace MS, Leong MS, Minehart M, Webster LR, Charapata SG, Abraham JE, Buffington DE, Ellis D, Kartzinel R; Ziconotide 301 Study Group. A randomized, double-blind, placebo-controlled study of intrathecal ziconotide in adults with severe chronic pain</w:t>
      </w:r>
      <w:r w:rsidRPr="00D61F73">
        <w:rPr>
          <w:rFonts w:ascii="Arial" w:hAnsi="Arial" w:cs="Arial"/>
          <w:b/>
          <w:bCs/>
          <w:i/>
        </w:rPr>
        <w:t>. J Pain Symptom Manage</w:t>
      </w:r>
      <w:r w:rsidRPr="00D61F73">
        <w:rPr>
          <w:rFonts w:ascii="Arial" w:hAnsi="Arial" w:cs="Arial"/>
          <w:b/>
          <w:bCs/>
        </w:rPr>
        <w:t xml:space="preserve">. 2006;31:393-406. </w:t>
      </w:r>
    </w:p>
    <w:p w14:paraId="26293F84" w14:textId="77777777" w:rsidR="008D0565" w:rsidRPr="00D61F73" w:rsidRDefault="008D0565" w:rsidP="00D61F73">
      <w:pPr>
        <w:rPr>
          <w:rFonts w:ascii="Arial" w:hAnsi="Arial" w:cs="Arial"/>
        </w:rPr>
      </w:pPr>
    </w:p>
    <w:p w14:paraId="17768458" w14:textId="77777777" w:rsidR="008D0565" w:rsidRPr="00D61F73" w:rsidRDefault="008D0565" w:rsidP="00D61F73">
      <w:pPr>
        <w:rPr>
          <w:rFonts w:ascii="Arial" w:hAnsi="Arial" w:cs="Arial"/>
        </w:rPr>
      </w:pPr>
      <w:r w:rsidRPr="00D61F73">
        <w:rPr>
          <w:rFonts w:ascii="Arial" w:hAnsi="Arial" w:cs="Arial"/>
        </w:rPr>
        <w:t>Slow titration of ziconotide, a nonopioid analgesic, to a low maximum dose resulted in significant improvement in pain and was better tolerated than in two previous controlled trials that used a faster titration to a higher mean dose.</w:t>
      </w:r>
    </w:p>
    <w:p w14:paraId="38BFF232" w14:textId="77777777" w:rsidR="008D0565" w:rsidRPr="00D61F73" w:rsidRDefault="008D0565" w:rsidP="00D61F73">
      <w:pPr>
        <w:rPr>
          <w:rFonts w:ascii="Arial" w:hAnsi="Arial" w:cs="Arial"/>
        </w:rPr>
      </w:pPr>
    </w:p>
    <w:p w14:paraId="36BB33EB" w14:textId="77777777" w:rsidR="008D0565" w:rsidRPr="00D61F73" w:rsidRDefault="008D0565" w:rsidP="00D61F73">
      <w:pPr>
        <w:rPr>
          <w:rFonts w:ascii="Arial" w:hAnsi="Arial" w:cs="Arial"/>
        </w:rPr>
      </w:pPr>
      <w:r w:rsidRPr="00D61F73">
        <w:rPr>
          <w:rFonts w:ascii="Arial" w:hAnsi="Arial" w:cs="Arial"/>
        </w:rPr>
        <w:t xml:space="preserve">PMID: </w:t>
      </w:r>
      <w:hyperlink r:id="rId711" w:history="1">
        <w:r w:rsidRPr="00D61F73">
          <w:rPr>
            <w:rStyle w:val="Hyperlink"/>
            <w:rFonts w:ascii="Arial" w:hAnsi="Arial" w:cs="Arial"/>
          </w:rPr>
          <w:t>16716870</w:t>
        </w:r>
      </w:hyperlink>
    </w:p>
    <w:p w14:paraId="46C38A59" w14:textId="77777777" w:rsidR="008D0565" w:rsidRPr="00D61F73" w:rsidRDefault="008D0565" w:rsidP="00D61F73">
      <w:pPr>
        <w:rPr>
          <w:rFonts w:ascii="Arial" w:hAnsi="Arial" w:cs="Arial"/>
        </w:rPr>
      </w:pPr>
    </w:p>
    <w:p w14:paraId="569F5937" w14:textId="77777777" w:rsidR="008D0565" w:rsidRPr="00D61F73" w:rsidRDefault="008D0565" w:rsidP="00D61F73">
      <w:pPr>
        <w:rPr>
          <w:rFonts w:ascii="Arial" w:hAnsi="Arial" w:cs="Arial"/>
        </w:rPr>
      </w:pPr>
      <w:r w:rsidRPr="00D61F73">
        <w:rPr>
          <w:rFonts w:ascii="Arial" w:hAnsi="Arial" w:cs="Arial"/>
        </w:rPr>
        <w:t>Rating: 2c</w:t>
      </w:r>
    </w:p>
    <w:p w14:paraId="3A2E6780" w14:textId="77777777" w:rsidR="008D0565" w:rsidRPr="00D61F73" w:rsidRDefault="008D0565" w:rsidP="00D61F73">
      <w:pPr>
        <w:rPr>
          <w:rFonts w:ascii="Arial" w:hAnsi="Arial" w:cs="Arial"/>
        </w:rPr>
      </w:pPr>
    </w:p>
    <w:p w14:paraId="21456F25" w14:textId="77777777" w:rsidR="008D0565" w:rsidRPr="00D61F73" w:rsidRDefault="008D0565" w:rsidP="00D61F73">
      <w:pPr>
        <w:rPr>
          <w:rFonts w:ascii="Arial" w:hAnsi="Arial" w:cs="Arial"/>
        </w:rPr>
      </w:pPr>
      <w:r w:rsidRPr="00D61F73">
        <w:rPr>
          <w:rFonts w:ascii="Arial" w:hAnsi="Arial" w:cs="Arial"/>
        </w:rPr>
        <w:t>This study showed a fairly small effect size but was helpful in determining appropriate dosing.</w:t>
      </w:r>
    </w:p>
    <w:p w14:paraId="7FC5A984"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R</w:t>
      </w:r>
      <w:bookmarkStart w:id="1055" w:name="Rauck1993"/>
      <w:bookmarkEnd w:id="1055"/>
      <w:r w:rsidRPr="00D61F73">
        <w:rPr>
          <w:rFonts w:ascii="Arial" w:hAnsi="Arial" w:cs="Arial"/>
          <w:b/>
        </w:rPr>
        <w:t xml:space="preserve">auck RL, Eisenach JC, Jackson K, Young LD, Southern J. Epidural clonidine treatment for refractory reflex sympathetic dystrophy. </w:t>
      </w:r>
      <w:r w:rsidRPr="00D61F73">
        <w:rPr>
          <w:rFonts w:ascii="Arial" w:hAnsi="Arial" w:cs="Arial"/>
          <w:b/>
          <w:i/>
        </w:rPr>
        <w:t>Anesthesiology</w:t>
      </w:r>
      <w:r w:rsidRPr="00D61F73">
        <w:rPr>
          <w:rFonts w:ascii="Arial" w:hAnsi="Arial" w:cs="Arial"/>
          <w:b/>
        </w:rPr>
        <w:t>. 1993 ;79:1163-9.</w:t>
      </w:r>
    </w:p>
    <w:p w14:paraId="5D052D4E" w14:textId="77777777" w:rsidR="008D0565" w:rsidRPr="00D61F73" w:rsidRDefault="008D0565" w:rsidP="00D61F73">
      <w:pPr>
        <w:rPr>
          <w:rFonts w:ascii="Arial" w:hAnsi="Arial" w:cs="Arial"/>
        </w:rPr>
      </w:pPr>
    </w:p>
    <w:p w14:paraId="2AA7E905" w14:textId="77777777" w:rsidR="008D0565" w:rsidRPr="00D61F73" w:rsidRDefault="008D0565" w:rsidP="00D61F73">
      <w:pPr>
        <w:rPr>
          <w:rFonts w:ascii="Arial" w:hAnsi="Arial" w:cs="Arial"/>
        </w:rPr>
      </w:pPr>
      <w:r w:rsidRPr="00D61F73">
        <w:rPr>
          <w:rFonts w:ascii="Arial" w:hAnsi="Arial" w:cs="Arial"/>
        </w:rPr>
        <w:t xml:space="preserve">PMID: </w:t>
      </w:r>
      <w:hyperlink r:id="rId712" w:history="1">
        <w:r w:rsidRPr="00D61F73">
          <w:rPr>
            <w:rStyle w:val="Hyperlink"/>
            <w:rFonts w:ascii="Arial" w:hAnsi="Arial" w:cs="Arial"/>
          </w:rPr>
          <w:t>8267190</w:t>
        </w:r>
      </w:hyperlink>
    </w:p>
    <w:p w14:paraId="06A33CF0" w14:textId="77777777" w:rsidR="008D0565" w:rsidRPr="00D61F73" w:rsidRDefault="008D0565" w:rsidP="00D61F73">
      <w:pPr>
        <w:rPr>
          <w:rFonts w:ascii="Arial" w:hAnsi="Arial" w:cs="Arial"/>
        </w:rPr>
      </w:pPr>
    </w:p>
    <w:p w14:paraId="3F6567AE" w14:textId="77777777" w:rsidR="008D0565" w:rsidRPr="00D61F73" w:rsidRDefault="008D0565" w:rsidP="00D61F73">
      <w:pPr>
        <w:rPr>
          <w:rFonts w:ascii="Arial" w:hAnsi="Arial" w:cs="Arial"/>
        </w:rPr>
      </w:pPr>
      <w:r w:rsidRPr="00D61F73">
        <w:rPr>
          <w:rFonts w:ascii="Arial" w:hAnsi="Arial" w:cs="Arial"/>
        </w:rPr>
        <w:t>Rating: 2c</w:t>
      </w:r>
    </w:p>
    <w:p w14:paraId="3047434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56" w:name="Ray2013"/>
      <w:bookmarkEnd w:id="1056"/>
      <w:r w:rsidRPr="00D61F73">
        <w:rPr>
          <w:rFonts w:ascii="Arial" w:hAnsi="Arial" w:cs="Arial"/>
          <w:b/>
          <w:bCs/>
        </w:rPr>
        <w:t>ay JB, Kalra R. Opioid Alternatives Urged Postoperatively. PAINWeek 2013. Presented September 6, 2013.</w:t>
      </w:r>
    </w:p>
    <w:p w14:paraId="38ED8038" w14:textId="77777777" w:rsidR="008D0565" w:rsidRPr="00D61F73" w:rsidRDefault="008D0565" w:rsidP="00D61F73">
      <w:pPr>
        <w:rPr>
          <w:rFonts w:ascii="Arial" w:hAnsi="Arial" w:cs="Arial"/>
        </w:rPr>
      </w:pPr>
    </w:p>
    <w:p w14:paraId="0A5CB45F" w14:textId="77777777" w:rsidR="008D0565" w:rsidRPr="00D61F73" w:rsidRDefault="008D0565" w:rsidP="00D61F73">
      <w:pPr>
        <w:rPr>
          <w:rFonts w:ascii="Arial" w:hAnsi="Arial" w:cs="Arial"/>
        </w:rPr>
      </w:pPr>
      <w:r w:rsidRPr="00D61F73">
        <w:rPr>
          <w:rFonts w:ascii="Arial" w:hAnsi="Arial" w:cs="Arial"/>
        </w:rPr>
        <w:t>Rating: 10a</w:t>
      </w:r>
    </w:p>
    <w:p w14:paraId="218053B1"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57" w:name="Reeder"/>
      <w:bookmarkEnd w:id="1057"/>
      <w:r w:rsidRPr="00D61F73">
        <w:rPr>
          <w:rFonts w:ascii="Arial" w:hAnsi="Arial" w:cs="Arial"/>
          <w:b/>
        </w:rPr>
        <w:t xml:space="preserve">eeder CE, Franklin M, Bramley TJ. Current landscape of insomnia in managed care. </w:t>
      </w:r>
      <w:r w:rsidRPr="00D61F73">
        <w:rPr>
          <w:rFonts w:ascii="Arial" w:hAnsi="Arial" w:cs="Arial"/>
          <w:b/>
          <w:i/>
        </w:rPr>
        <w:t>Am J Manag Care</w:t>
      </w:r>
      <w:r w:rsidRPr="00D61F73">
        <w:rPr>
          <w:rFonts w:ascii="Arial" w:hAnsi="Arial" w:cs="Arial"/>
          <w:b/>
        </w:rPr>
        <w:t>. 2007;13:S112-6.</w:t>
      </w:r>
    </w:p>
    <w:p w14:paraId="53176319" w14:textId="77777777" w:rsidR="008D0565" w:rsidRPr="00D61F73" w:rsidRDefault="008D0565" w:rsidP="00D61F73">
      <w:pPr>
        <w:rPr>
          <w:rFonts w:ascii="Arial" w:hAnsi="Arial" w:cs="Arial"/>
          <w:b/>
        </w:rPr>
      </w:pPr>
    </w:p>
    <w:p w14:paraId="43419FF5" w14:textId="77777777" w:rsidR="008D0565" w:rsidRPr="00D61F73" w:rsidRDefault="008D0565" w:rsidP="00D61F73">
      <w:pPr>
        <w:rPr>
          <w:rFonts w:ascii="Arial" w:hAnsi="Arial" w:cs="Arial"/>
        </w:rPr>
      </w:pPr>
      <w:r w:rsidRPr="00D61F73">
        <w:rPr>
          <w:rFonts w:ascii="Arial" w:hAnsi="Arial" w:cs="Arial"/>
        </w:rPr>
        <w:t xml:space="preserve">Primary insomnia (not caused by known physical/mental conditions) responds to pharmacologic therapy, while secondary insomnia(resulting from other illnesses, medications, or sleep disorders) responds to pharmacologic and psychologic treatments (cognitive therapy, relaxation techniques, stimulus control). </w:t>
      </w:r>
    </w:p>
    <w:p w14:paraId="47A246BB" w14:textId="77777777" w:rsidR="008D0565" w:rsidRPr="00D61F73" w:rsidRDefault="008D0565" w:rsidP="00D61F73">
      <w:pPr>
        <w:rPr>
          <w:rFonts w:ascii="Arial" w:hAnsi="Arial" w:cs="Arial"/>
        </w:rPr>
      </w:pPr>
    </w:p>
    <w:p w14:paraId="37804DC6" w14:textId="77777777" w:rsidR="008D0565" w:rsidRPr="00D61F73" w:rsidRDefault="008D0565" w:rsidP="00D61F73">
      <w:pPr>
        <w:rPr>
          <w:rFonts w:ascii="Arial" w:hAnsi="Arial" w:cs="Arial"/>
        </w:rPr>
      </w:pPr>
      <w:r w:rsidRPr="00D61F73">
        <w:rPr>
          <w:rFonts w:ascii="Arial" w:hAnsi="Arial" w:cs="Arial"/>
        </w:rPr>
        <w:t xml:space="preserve">PMID: </w:t>
      </w:r>
      <w:hyperlink r:id="rId713" w:history="1">
        <w:r w:rsidRPr="00D61F73">
          <w:rPr>
            <w:rStyle w:val="Hyperlink"/>
            <w:rFonts w:ascii="Arial" w:hAnsi="Arial" w:cs="Arial"/>
          </w:rPr>
          <w:t>1804187</w:t>
        </w:r>
      </w:hyperlink>
    </w:p>
    <w:p w14:paraId="5034769A" w14:textId="77777777" w:rsidR="008D0565" w:rsidRPr="00D61F73" w:rsidRDefault="008D0565" w:rsidP="00D61F73">
      <w:pPr>
        <w:rPr>
          <w:rFonts w:ascii="Arial" w:hAnsi="Arial" w:cs="Arial"/>
        </w:rPr>
      </w:pPr>
    </w:p>
    <w:p w14:paraId="07B6CB57" w14:textId="77777777" w:rsidR="008D0565" w:rsidRPr="00D61F73" w:rsidRDefault="008D0565" w:rsidP="00D61F73">
      <w:pPr>
        <w:rPr>
          <w:rFonts w:ascii="Arial" w:hAnsi="Arial" w:cs="Arial"/>
        </w:rPr>
      </w:pPr>
      <w:r w:rsidRPr="00D61F73">
        <w:rPr>
          <w:rFonts w:ascii="Arial" w:hAnsi="Arial" w:cs="Arial"/>
        </w:rPr>
        <w:t>Rating: 5b</w:t>
      </w:r>
    </w:p>
    <w:p w14:paraId="0AA3707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58" w:name="Reeves"/>
      <w:bookmarkEnd w:id="1058"/>
      <w:r w:rsidRPr="00D61F73">
        <w:rPr>
          <w:rFonts w:ascii="Arial" w:hAnsi="Arial" w:cs="Arial"/>
          <w:b/>
          <w:bCs/>
        </w:rPr>
        <w:t xml:space="preserve">eeves RR, Parker JD. Somatic dysfunction during carisoprodol cessation: evidence for a carisoprodol withdrawal syndrome. </w:t>
      </w:r>
      <w:r w:rsidRPr="00D61F73">
        <w:rPr>
          <w:rFonts w:ascii="Arial" w:hAnsi="Arial" w:cs="Arial"/>
          <w:b/>
          <w:bCs/>
          <w:i/>
          <w:iCs/>
        </w:rPr>
        <w:t>J Am Osteopath Assoc.</w:t>
      </w:r>
      <w:r w:rsidRPr="00D61F73">
        <w:rPr>
          <w:rFonts w:ascii="Arial" w:hAnsi="Arial" w:cs="Arial"/>
          <w:b/>
          <w:bCs/>
        </w:rPr>
        <w:t xml:space="preserve"> 2003 Feb;103(2):75-80.</w:t>
      </w:r>
    </w:p>
    <w:p w14:paraId="3B1E7759" w14:textId="77777777" w:rsidR="008D0565" w:rsidRPr="00D61F73" w:rsidRDefault="008D0565" w:rsidP="00D61F73">
      <w:pPr>
        <w:rPr>
          <w:rFonts w:ascii="Arial" w:hAnsi="Arial" w:cs="Arial"/>
        </w:rPr>
      </w:pPr>
    </w:p>
    <w:p w14:paraId="1AD55D50" w14:textId="77777777" w:rsidR="008D0565" w:rsidRPr="00D61F73" w:rsidRDefault="008D0565" w:rsidP="00D61F73">
      <w:pPr>
        <w:rPr>
          <w:rFonts w:ascii="Arial" w:hAnsi="Arial" w:cs="Arial"/>
        </w:rPr>
      </w:pPr>
      <w:r w:rsidRPr="00D61F73">
        <w:rPr>
          <w:rFonts w:ascii="Arial" w:hAnsi="Arial" w:cs="Arial"/>
        </w:rPr>
        <w:t xml:space="preserve">Carisoprodol is a commonly used skeletal muscle relaxant with potential for abuse because of its active metabolite, meprobamate, and several reports have suggested that patients abruptly stopping intake of carisoprodol may have a withdrawal syndrome. </w:t>
      </w:r>
    </w:p>
    <w:p w14:paraId="06698096" w14:textId="77777777" w:rsidR="008D0565" w:rsidRPr="00D61F73" w:rsidRDefault="008D0565" w:rsidP="00D61F73">
      <w:pPr>
        <w:rPr>
          <w:rFonts w:ascii="Arial" w:hAnsi="Arial" w:cs="Arial"/>
        </w:rPr>
      </w:pPr>
    </w:p>
    <w:p w14:paraId="1876A8A7" w14:textId="77777777" w:rsidR="008D0565" w:rsidRPr="00D61F73" w:rsidRDefault="008D0565" w:rsidP="00D61F73">
      <w:pPr>
        <w:rPr>
          <w:rFonts w:ascii="Arial" w:hAnsi="Arial" w:cs="Arial"/>
        </w:rPr>
      </w:pPr>
      <w:r w:rsidRPr="00D61F73">
        <w:rPr>
          <w:rFonts w:ascii="Arial" w:hAnsi="Arial" w:cs="Arial"/>
        </w:rPr>
        <w:t xml:space="preserve">PMID: </w:t>
      </w:r>
      <w:hyperlink r:id="rId714" w:history="1">
        <w:r w:rsidRPr="00D61F73">
          <w:rPr>
            <w:rStyle w:val="Hyperlink"/>
            <w:rFonts w:ascii="Arial" w:hAnsi="Arial" w:cs="Arial"/>
          </w:rPr>
          <w:t>12622352</w:t>
        </w:r>
      </w:hyperlink>
      <w:r w:rsidRPr="00D61F73">
        <w:rPr>
          <w:rFonts w:ascii="Arial" w:hAnsi="Arial" w:cs="Arial"/>
        </w:rPr>
        <w:t xml:space="preserve"> </w:t>
      </w:r>
    </w:p>
    <w:p w14:paraId="1B30BDF3" w14:textId="77777777" w:rsidR="008D0565" w:rsidRPr="00D61F73" w:rsidRDefault="008D0565" w:rsidP="00D61F73">
      <w:pPr>
        <w:rPr>
          <w:rFonts w:ascii="Arial" w:hAnsi="Arial" w:cs="Arial"/>
        </w:rPr>
      </w:pPr>
    </w:p>
    <w:p w14:paraId="37F3DE5B" w14:textId="77777777" w:rsidR="008D0565" w:rsidRPr="00D61F73" w:rsidRDefault="008D0565" w:rsidP="00D61F73">
      <w:pPr>
        <w:rPr>
          <w:rFonts w:ascii="Arial" w:hAnsi="Arial" w:cs="Arial"/>
        </w:rPr>
      </w:pPr>
      <w:r w:rsidRPr="00D61F73">
        <w:rPr>
          <w:rFonts w:ascii="Arial" w:hAnsi="Arial" w:cs="Arial"/>
        </w:rPr>
        <w:t>Rating: 4c</w:t>
      </w:r>
    </w:p>
    <w:p w14:paraId="21A6230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59" w:name="Reeves2008"/>
      <w:bookmarkEnd w:id="1059"/>
      <w:r w:rsidRPr="00D61F73">
        <w:rPr>
          <w:rFonts w:ascii="Arial" w:hAnsi="Arial" w:cs="Arial"/>
          <w:b/>
        </w:rPr>
        <w:t xml:space="preserve">eeves RR, Burke RS. Is it time for carisoprodol to become a controlled substance at the federal level? </w:t>
      </w:r>
      <w:r w:rsidRPr="00D61F73">
        <w:rPr>
          <w:rFonts w:ascii="Arial" w:hAnsi="Arial" w:cs="Arial"/>
          <w:b/>
          <w:i/>
        </w:rPr>
        <w:t>South Med J</w:t>
      </w:r>
      <w:r w:rsidRPr="00D61F73">
        <w:rPr>
          <w:rFonts w:ascii="Arial" w:hAnsi="Arial" w:cs="Arial"/>
          <w:b/>
        </w:rPr>
        <w:t>. 2008;101:127-8.</w:t>
      </w:r>
    </w:p>
    <w:p w14:paraId="7D9B62F7" w14:textId="77777777" w:rsidR="008D0565" w:rsidRPr="00D61F73" w:rsidRDefault="008D0565" w:rsidP="00D61F73">
      <w:pPr>
        <w:rPr>
          <w:rFonts w:ascii="Arial" w:hAnsi="Arial" w:cs="Arial"/>
          <w:b/>
        </w:rPr>
      </w:pPr>
    </w:p>
    <w:p w14:paraId="4D30953E" w14:textId="77777777" w:rsidR="008D0565" w:rsidRPr="00D61F73" w:rsidRDefault="008D0565" w:rsidP="00D61F73">
      <w:pPr>
        <w:rPr>
          <w:rFonts w:ascii="Arial" w:hAnsi="Arial" w:cs="Arial"/>
        </w:rPr>
      </w:pPr>
      <w:r w:rsidRPr="00D61F73">
        <w:rPr>
          <w:rFonts w:ascii="Arial" w:hAnsi="Arial" w:cs="Arial"/>
        </w:rPr>
        <w:t>Rating: 5b</w:t>
      </w:r>
    </w:p>
    <w:p w14:paraId="5BDA3A9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60" w:name="Reeves2007"/>
      <w:bookmarkEnd w:id="1060"/>
      <w:r w:rsidRPr="00D61F73">
        <w:rPr>
          <w:rFonts w:ascii="Arial" w:hAnsi="Arial" w:cs="Arial"/>
          <w:b/>
        </w:rPr>
        <w:t xml:space="preserve">eeves RR, Hammer JS, Pendarvis RO. Is the frequency of carisoprodol withdrawal syndrome increasing? </w:t>
      </w:r>
      <w:r w:rsidRPr="00D61F73">
        <w:rPr>
          <w:rFonts w:ascii="Arial" w:hAnsi="Arial" w:cs="Arial"/>
          <w:b/>
          <w:i/>
        </w:rPr>
        <w:t>Pharmacotherapy</w:t>
      </w:r>
      <w:r w:rsidRPr="00D61F73">
        <w:rPr>
          <w:rFonts w:ascii="Arial" w:hAnsi="Arial" w:cs="Arial"/>
          <w:b/>
        </w:rPr>
        <w:t>. 2007;27:1462-6.</w:t>
      </w:r>
    </w:p>
    <w:p w14:paraId="5E05E514" w14:textId="77777777" w:rsidR="008D0565" w:rsidRPr="00D61F73" w:rsidRDefault="008D0565" w:rsidP="00D61F73">
      <w:pPr>
        <w:rPr>
          <w:rFonts w:ascii="Arial" w:hAnsi="Arial" w:cs="Arial"/>
          <w:b/>
        </w:rPr>
      </w:pPr>
    </w:p>
    <w:p w14:paraId="23321BA4" w14:textId="77777777" w:rsidR="008D0565" w:rsidRPr="00D61F73" w:rsidRDefault="008D0565" w:rsidP="00D61F73">
      <w:pPr>
        <w:rPr>
          <w:rFonts w:ascii="Arial" w:hAnsi="Arial" w:cs="Arial"/>
        </w:rPr>
      </w:pPr>
      <w:r w:rsidRPr="00D61F73">
        <w:rPr>
          <w:rFonts w:ascii="Arial" w:hAnsi="Arial" w:cs="Arial"/>
        </w:rPr>
        <w:t xml:space="preserve">PMID: </w:t>
      </w:r>
      <w:hyperlink r:id="rId715" w:history="1">
        <w:r w:rsidRPr="00D61F73">
          <w:rPr>
            <w:rStyle w:val="Hyperlink"/>
            <w:rFonts w:ascii="Arial" w:hAnsi="Arial" w:cs="Arial"/>
          </w:rPr>
          <w:t>17896902</w:t>
        </w:r>
      </w:hyperlink>
    </w:p>
    <w:p w14:paraId="545B2138" w14:textId="77777777" w:rsidR="008D0565" w:rsidRPr="00D61F73" w:rsidRDefault="008D0565" w:rsidP="00D61F73">
      <w:pPr>
        <w:rPr>
          <w:rFonts w:ascii="Arial" w:hAnsi="Arial" w:cs="Arial"/>
        </w:rPr>
      </w:pPr>
    </w:p>
    <w:p w14:paraId="4716357D" w14:textId="77777777" w:rsidR="008D0565" w:rsidRPr="00D61F73" w:rsidRDefault="008D0565" w:rsidP="00D61F73">
      <w:pPr>
        <w:rPr>
          <w:rFonts w:ascii="Arial" w:hAnsi="Arial" w:cs="Arial"/>
        </w:rPr>
      </w:pPr>
      <w:r w:rsidRPr="00D61F73">
        <w:rPr>
          <w:rFonts w:ascii="Arial" w:hAnsi="Arial" w:cs="Arial"/>
        </w:rPr>
        <w:t>Rating: 4c</w:t>
      </w:r>
    </w:p>
    <w:p w14:paraId="3A0ED59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61" w:name="Reeves2004"/>
      <w:bookmarkEnd w:id="1061"/>
      <w:r w:rsidRPr="00D61F73">
        <w:rPr>
          <w:rFonts w:ascii="Arial" w:hAnsi="Arial" w:cs="Arial"/>
          <w:b/>
        </w:rPr>
        <w:t xml:space="preserve">eeves RR, Beddingfield JJ, Mack JE. Carisoprodol withdrawal syndrome. </w:t>
      </w:r>
      <w:r w:rsidRPr="00D61F73">
        <w:rPr>
          <w:rFonts w:ascii="Arial" w:hAnsi="Arial" w:cs="Arial"/>
          <w:b/>
          <w:i/>
        </w:rPr>
        <w:t>Pharmacotherapy</w:t>
      </w:r>
      <w:r w:rsidRPr="00D61F73">
        <w:rPr>
          <w:rFonts w:ascii="Arial" w:hAnsi="Arial" w:cs="Arial"/>
          <w:b/>
        </w:rPr>
        <w:t>. 2004;24:1804-6.</w:t>
      </w:r>
    </w:p>
    <w:p w14:paraId="66244815" w14:textId="77777777" w:rsidR="008D0565" w:rsidRPr="00D61F73" w:rsidRDefault="008D0565" w:rsidP="00D61F73">
      <w:pPr>
        <w:rPr>
          <w:rFonts w:ascii="Arial" w:hAnsi="Arial" w:cs="Arial"/>
          <w:b/>
        </w:rPr>
      </w:pPr>
    </w:p>
    <w:p w14:paraId="18EE4C1C" w14:textId="77777777" w:rsidR="008D0565" w:rsidRPr="00D61F73" w:rsidRDefault="008D0565" w:rsidP="00D61F73">
      <w:pPr>
        <w:rPr>
          <w:rFonts w:ascii="Arial" w:hAnsi="Arial" w:cs="Arial"/>
        </w:rPr>
      </w:pPr>
      <w:r w:rsidRPr="00D61F73">
        <w:rPr>
          <w:rFonts w:ascii="Arial" w:hAnsi="Arial" w:cs="Arial"/>
        </w:rPr>
        <w:t xml:space="preserve">PMID: </w:t>
      </w:r>
      <w:hyperlink r:id="rId716" w:history="1">
        <w:r w:rsidRPr="00D61F73">
          <w:rPr>
            <w:rStyle w:val="Hyperlink"/>
            <w:rFonts w:ascii="Arial" w:hAnsi="Arial" w:cs="Arial"/>
          </w:rPr>
          <w:t>15585447</w:t>
        </w:r>
      </w:hyperlink>
    </w:p>
    <w:p w14:paraId="08EA9907" w14:textId="77777777" w:rsidR="008D0565" w:rsidRPr="00D61F73" w:rsidRDefault="008D0565" w:rsidP="00D61F73">
      <w:pPr>
        <w:rPr>
          <w:rFonts w:ascii="Arial" w:hAnsi="Arial" w:cs="Arial"/>
        </w:rPr>
      </w:pPr>
    </w:p>
    <w:p w14:paraId="2AFD66A1" w14:textId="77777777" w:rsidR="008D0565" w:rsidRPr="00D61F73" w:rsidRDefault="008D0565" w:rsidP="00D61F73">
      <w:pPr>
        <w:rPr>
          <w:rFonts w:ascii="Arial" w:hAnsi="Arial" w:cs="Arial"/>
        </w:rPr>
      </w:pPr>
      <w:r w:rsidRPr="00D61F73">
        <w:rPr>
          <w:rFonts w:ascii="Arial" w:hAnsi="Arial" w:cs="Arial"/>
        </w:rPr>
        <w:t>Rating: 4c</w:t>
      </w:r>
    </w:p>
    <w:p w14:paraId="5656F41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62" w:name="Reeves2001"/>
      <w:bookmarkEnd w:id="1062"/>
      <w:r w:rsidRPr="00D61F73">
        <w:rPr>
          <w:rFonts w:ascii="Arial" w:hAnsi="Arial" w:cs="Arial"/>
          <w:b/>
        </w:rPr>
        <w:t xml:space="preserve">eeves RR, Liberto V. Abuse of combinations of carisoprodol and tramadol. </w:t>
      </w:r>
      <w:r w:rsidRPr="00D61F73">
        <w:rPr>
          <w:rFonts w:ascii="Arial" w:hAnsi="Arial" w:cs="Arial"/>
          <w:b/>
          <w:i/>
        </w:rPr>
        <w:t xml:space="preserve">South Med J. </w:t>
      </w:r>
      <w:r w:rsidRPr="00D61F73">
        <w:rPr>
          <w:rFonts w:ascii="Arial" w:hAnsi="Arial" w:cs="Arial"/>
          <w:b/>
        </w:rPr>
        <w:t>2001;94:512-4.</w:t>
      </w:r>
    </w:p>
    <w:p w14:paraId="60DF331B" w14:textId="77777777" w:rsidR="008D0565" w:rsidRPr="00D61F73" w:rsidRDefault="008D0565" w:rsidP="00D61F73">
      <w:pPr>
        <w:rPr>
          <w:rFonts w:ascii="Arial" w:hAnsi="Arial" w:cs="Arial"/>
          <w:b/>
        </w:rPr>
      </w:pPr>
    </w:p>
    <w:p w14:paraId="6DB86C58" w14:textId="77777777" w:rsidR="008D0565" w:rsidRPr="00D61F73" w:rsidRDefault="008D0565" w:rsidP="00D61F73">
      <w:pPr>
        <w:rPr>
          <w:rFonts w:ascii="Arial" w:hAnsi="Arial" w:cs="Arial"/>
        </w:rPr>
      </w:pPr>
      <w:r w:rsidRPr="00D61F73">
        <w:rPr>
          <w:rFonts w:ascii="Arial" w:hAnsi="Arial" w:cs="Arial"/>
        </w:rPr>
        <w:t xml:space="preserve">PMID: </w:t>
      </w:r>
      <w:hyperlink r:id="rId717" w:history="1">
        <w:r w:rsidRPr="00D61F73">
          <w:rPr>
            <w:rStyle w:val="Hyperlink"/>
            <w:rFonts w:ascii="Arial" w:hAnsi="Arial" w:cs="Arial"/>
          </w:rPr>
          <w:t>11372804</w:t>
        </w:r>
      </w:hyperlink>
    </w:p>
    <w:p w14:paraId="57216E7E" w14:textId="77777777" w:rsidR="008D0565" w:rsidRPr="00D61F73" w:rsidRDefault="008D0565" w:rsidP="00D61F73">
      <w:pPr>
        <w:rPr>
          <w:rFonts w:ascii="Arial" w:hAnsi="Arial" w:cs="Arial"/>
        </w:rPr>
      </w:pPr>
    </w:p>
    <w:p w14:paraId="3898C1CC" w14:textId="77777777" w:rsidR="008D0565" w:rsidRPr="00D61F73" w:rsidRDefault="008D0565" w:rsidP="00D61F73">
      <w:pPr>
        <w:rPr>
          <w:rFonts w:ascii="Arial" w:hAnsi="Arial" w:cs="Arial"/>
        </w:rPr>
      </w:pPr>
      <w:r w:rsidRPr="00D61F73">
        <w:rPr>
          <w:rFonts w:ascii="Arial" w:hAnsi="Arial" w:cs="Arial"/>
        </w:rPr>
        <w:t>Rating: 4c</w:t>
      </w:r>
    </w:p>
    <w:p w14:paraId="574F89C6"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R</w:t>
      </w:r>
      <w:bookmarkStart w:id="1063" w:name="Reeves1999a"/>
      <w:bookmarkEnd w:id="1063"/>
      <w:r w:rsidRPr="00D61F73">
        <w:rPr>
          <w:rFonts w:ascii="Arial" w:hAnsi="Arial" w:cs="Arial"/>
          <w:b/>
        </w:rPr>
        <w:t>eeves RR, Carter OS, Pinkofsky HB, Struve FA, Bennett DM. Carisoprodol (soma): abuse potential and physician unawareness</w:t>
      </w:r>
      <w:r w:rsidRPr="00D61F73">
        <w:rPr>
          <w:rFonts w:ascii="Arial" w:hAnsi="Arial" w:cs="Arial"/>
          <w:b/>
          <w:i/>
        </w:rPr>
        <w:t>. J Addict Dis.</w:t>
      </w:r>
      <w:r w:rsidRPr="00D61F73">
        <w:rPr>
          <w:rFonts w:ascii="Arial" w:hAnsi="Arial" w:cs="Arial"/>
          <w:b/>
        </w:rPr>
        <w:t xml:space="preserve"> 1999;18:51-6</w:t>
      </w:r>
      <w:r w:rsidRPr="00D61F73">
        <w:rPr>
          <w:rFonts w:ascii="Arial" w:hAnsi="Arial" w:cs="Arial"/>
        </w:rPr>
        <w:t>.</w:t>
      </w:r>
    </w:p>
    <w:p w14:paraId="21654287" w14:textId="77777777" w:rsidR="008D0565" w:rsidRPr="00D61F73" w:rsidRDefault="008D0565" w:rsidP="00D61F73">
      <w:pPr>
        <w:rPr>
          <w:rFonts w:ascii="Arial" w:hAnsi="Arial" w:cs="Arial"/>
        </w:rPr>
      </w:pPr>
    </w:p>
    <w:p w14:paraId="44B60777" w14:textId="77777777" w:rsidR="008D0565" w:rsidRPr="00D61F73" w:rsidRDefault="008D0565" w:rsidP="00D61F73">
      <w:pPr>
        <w:rPr>
          <w:rFonts w:ascii="Arial" w:hAnsi="Arial" w:cs="Arial"/>
        </w:rPr>
      </w:pPr>
      <w:r w:rsidRPr="00D61F73">
        <w:rPr>
          <w:rFonts w:ascii="Arial" w:hAnsi="Arial" w:cs="Arial"/>
        </w:rPr>
        <w:t xml:space="preserve">PMID: </w:t>
      </w:r>
      <w:hyperlink r:id="rId718" w:history="1">
        <w:r w:rsidRPr="00D61F73">
          <w:rPr>
            <w:rStyle w:val="Hyperlink"/>
            <w:rFonts w:ascii="Arial" w:hAnsi="Arial" w:cs="Arial"/>
          </w:rPr>
          <w:t>10334375</w:t>
        </w:r>
      </w:hyperlink>
    </w:p>
    <w:p w14:paraId="16493294" w14:textId="77777777" w:rsidR="008D0565" w:rsidRPr="00D61F73" w:rsidRDefault="008D0565" w:rsidP="00D61F73">
      <w:pPr>
        <w:rPr>
          <w:rFonts w:ascii="Arial" w:hAnsi="Arial" w:cs="Arial"/>
        </w:rPr>
      </w:pPr>
    </w:p>
    <w:p w14:paraId="11262326" w14:textId="77777777" w:rsidR="008D0565" w:rsidRPr="00D61F73" w:rsidRDefault="008D0565" w:rsidP="00D61F73">
      <w:pPr>
        <w:rPr>
          <w:rFonts w:ascii="Arial" w:hAnsi="Arial" w:cs="Arial"/>
        </w:rPr>
      </w:pPr>
      <w:r w:rsidRPr="00D61F73">
        <w:rPr>
          <w:rFonts w:ascii="Arial" w:hAnsi="Arial" w:cs="Arial"/>
        </w:rPr>
        <w:t>Rating: 4b</w:t>
      </w:r>
    </w:p>
    <w:p w14:paraId="7F1F11F0"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R</w:t>
      </w:r>
      <w:bookmarkStart w:id="1064" w:name="Reeves2010"/>
      <w:bookmarkEnd w:id="1064"/>
      <w:r w:rsidRPr="00D61F73">
        <w:rPr>
          <w:rFonts w:ascii="Arial" w:hAnsi="Arial" w:cs="Arial"/>
          <w:b/>
        </w:rPr>
        <w:t xml:space="preserve">eeves RR, Burke RS. Carisoprodol: Abuse Potential and Withdrawal Syndrome. </w:t>
      </w:r>
      <w:r w:rsidRPr="00D61F73">
        <w:rPr>
          <w:rFonts w:ascii="Arial" w:hAnsi="Arial" w:cs="Arial"/>
          <w:b/>
          <w:i/>
          <w:iCs/>
        </w:rPr>
        <w:t>Curr Drug Abuse Rev</w:t>
      </w:r>
      <w:r w:rsidRPr="00D61F73">
        <w:rPr>
          <w:rFonts w:ascii="Arial" w:hAnsi="Arial" w:cs="Arial"/>
          <w:b/>
        </w:rPr>
        <w:t xml:space="preserve">. 2010 </w:t>
      </w:r>
    </w:p>
    <w:p w14:paraId="660019AC" w14:textId="77777777" w:rsidR="008D0565" w:rsidRPr="00D61F73" w:rsidRDefault="008D0565" w:rsidP="00D61F73">
      <w:pPr>
        <w:rPr>
          <w:rFonts w:ascii="Arial" w:eastAsia="Calibri" w:hAnsi="Arial" w:cs="Arial"/>
        </w:rPr>
      </w:pPr>
    </w:p>
    <w:p w14:paraId="2CE5D47F"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19" w:history="1">
        <w:r w:rsidRPr="00D61F73">
          <w:rPr>
            <w:rStyle w:val="Hyperlink"/>
            <w:rFonts w:ascii="Arial" w:hAnsi="Arial" w:cs="Arial"/>
          </w:rPr>
          <w:t>20088817</w:t>
        </w:r>
      </w:hyperlink>
    </w:p>
    <w:p w14:paraId="0815CD07" w14:textId="77777777" w:rsidR="008D0565" w:rsidRPr="00D61F73" w:rsidRDefault="008D0565" w:rsidP="00D61F73">
      <w:pPr>
        <w:rPr>
          <w:rFonts w:ascii="Arial" w:eastAsia="Calibri" w:hAnsi="Arial" w:cs="Arial"/>
        </w:rPr>
      </w:pPr>
    </w:p>
    <w:p w14:paraId="4767448F" w14:textId="77777777" w:rsidR="008D0565" w:rsidRPr="00D61F73" w:rsidRDefault="008D0565" w:rsidP="00D61F73">
      <w:pPr>
        <w:pStyle w:val="Footer"/>
        <w:tabs>
          <w:tab w:val="clear" w:pos="4320"/>
          <w:tab w:val="clear" w:pos="8640"/>
        </w:tabs>
        <w:rPr>
          <w:rFonts w:ascii="Arial" w:eastAsia="Calibri" w:hAnsi="Arial" w:cs="Arial"/>
        </w:rPr>
      </w:pPr>
      <w:r w:rsidRPr="00D61F73">
        <w:rPr>
          <w:rFonts w:ascii="Arial" w:hAnsi="Arial" w:cs="Arial"/>
        </w:rPr>
        <w:t>Rating: 5b</w:t>
      </w:r>
    </w:p>
    <w:p w14:paraId="5FBDF292"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R</w:t>
      </w:r>
      <w:bookmarkStart w:id="1065" w:name="Reeves2012"/>
      <w:bookmarkEnd w:id="1065"/>
      <w:r w:rsidRPr="00D61F73">
        <w:rPr>
          <w:rFonts w:ascii="Arial" w:hAnsi="Arial" w:cs="Arial"/>
          <w:b/>
        </w:rPr>
        <w:t xml:space="preserve">eeves RR, Burke RS, Kose S. Carisoprodol: update on abuse potential and legal status. </w:t>
      </w:r>
      <w:r w:rsidRPr="00D61F73">
        <w:rPr>
          <w:rFonts w:ascii="Arial" w:hAnsi="Arial" w:cs="Arial"/>
          <w:b/>
          <w:i/>
        </w:rPr>
        <w:t>South Med J</w:t>
      </w:r>
      <w:r w:rsidRPr="00D61F73">
        <w:rPr>
          <w:rFonts w:ascii="Arial" w:hAnsi="Arial" w:cs="Arial"/>
          <w:b/>
        </w:rPr>
        <w:t>. 2012;105:619-23.</w:t>
      </w:r>
    </w:p>
    <w:p w14:paraId="150FB5F7" w14:textId="77777777" w:rsidR="008D0565" w:rsidRPr="00D61F73" w:rsidRDefault="008D0565" w:rsidP="00D61F73">
      <w:pPr>
        <w:rPr>
          <w:rFonts w:ascii="Arial" w:eastAsia="Calibri" w:hAnsi="Arial" w:cs="Arial"/>
          <w:b/>
        </w:rPr>
      </w:pPr>
    </w:p>
    <w:p w14:paraId="16C47FED"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20" w:history="1">
        <w:r w:rsidRPr="00D61F73">
          <w:rPr>
            <w:rStyle w:val="Hyperlink"/>
            <w:rFonts w:ascii="Arial" w:hAnsi="Arial" w:cs="Arial"/>
          </w:rPr>
          <w:t>23128807</w:t>
        </w:r>
      </w:hyperlink>
    </w:p>
    <w:p w14:paraId="0B6C6D9C" w14:textId="77777777" w:rsidR="008D0565" w:rsidRPr="00D61F73" w:rsidRDefault="008D0565" w:rsidP="00D61F73">
      <w:pPr>
        <w:rPr>
          <w:rFonts w:ascii="Arial" w:eastAsia="Calibri" w:hAnsi="Arial" w:cs="Arial"/>
        </w:rPr>
      </w:pPr>
    </w:p>
    <w:p w14:paraId="59B5AA39" w14:textId="77777777" w:rsidR="008D0565" w:rsidRPr="00D61F73" w:rsidRDefault="008D0565" w:rsidP="00D61F73">
      <w:pPr>
        <w:rPr>
          <w:rFonts w:ascii="Arial" w:hAnsi="Arial" w:cs="Arial"/>
        </w:rPr>
      </w:pPr>
      <w:r w:rsidRPr="00D61F73">
        <w:rPr>
          <w:rFonts w:ascii="Arial" w:hAnsi="Arial" w:cs="Arial"/>
        </w:rPr>
        <w:t xml:space="preserve">Rating: 5b </w:t>
      </w:r>
    </w:p>
    <w:p w14:paraId="2950418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66" w:name="Reginster"/>
      <w:bookmarkEnd w:id="1066"/>
      <w:r w:rsidRPr="00D61F73">
        <w:rPr>
          <w:rFonts w:ascii="Arial" w:hAnsi="Arial" w:cs="Arial"/>
          <w:b/>
          <w:bCs/>
        </w:rPr>
        <w:t xml:space="preserve">eginster JY, Deroisy R, Rovati LC, Lee RL, Lejeune E, Bruyere O, Giacovelli G, Henrotin Y, Dacre JE, Gossett C. Long-term effects of glucosamine sulphate on osteoarthritis progression: a randomised, placebo-controlled clinical trial. </w:t>
      </w:r>
      <w:r w:rsidRPr="00D61F73">
        <w:rPr>
          <w:rFonts w:ascii="Arial" w:hAnsi="Arial" w:cs="Arial"/>
          <w:b/>
          <w:bCs/>
          <w:i/>
          <w:iCs/>
        </w:rPr>
        <w:t>Lancet</w:t>
      </w:r>
      <w:r w:rsidRPr="00D61F73">
        <w:rPr>
          <w:rFonts w:ascii="Arial" w:hAnsi="Arial" w:cs="Arial"/>
          <w:b/>
          <w:bCs/>
        </w:rPr>
        <w:t>. 2001 Jan 27;357(9252):251-6.</w:t>
      </w:r>
    </w:p>
    <w:p w14:paraId="06EE6BFA" w14:textId="77777777" w:rsidR="008D0565" w:rsidRPr="00D61F73" w:rsidRDefault="008D0565" w:rsidP="00D61F73">
      <w:pPr>
        <w:rPr>
          <w:rFonts w:ascii="Arial" w:hAnsi="Arial" w:cs="Arial"/>
        </w:rPr>
      </w:pPr>
    </w:p>
    <w:p w14:paraId="03B11570" w14:textId="77777777" w:rsidR="008D0565" w:rsidRPr="00D61F73" w:rsidRDefault="008D0565" w:rsidP="00D61F73">
      <w:pPr>
        <w:rPr>
          <w:rFonts w:ascii="Arial" w:hAnsi="Arial" w:cs="Arial"/>
        </w:rPr>
      </w:pPr>
      <w:r w:rsidRPr="00D61F73">
        <w:rPr>
          <w:rFonts w:ascii="Arial" w:hAnsi="Arial" w:cs="Arial"/>
        </w:rPr>
        <w:t xml:space="preserve">PMID: </w:t>
      </w:r>
      <w:hyperlink r:id="rId721" w:history="1">
        <w:r w:rsidRPr="00D61F73">
          <w:rPr>
            <w:rStyle w:val="Hyperlink"/>
            <w:rFonts w:ascii="Arial" w:hAnsi="Arial" w:cs="Arial"/>
          </w:rPr>
          <w:t>11214126</w:t>
        </w:r>
      </w:hyperlink>
    </w:p>
    <w:p w14:paraId="3B902555" w14:textId="77777777" w:rsidR="008D0565" w:rsidRPr="00D61F73" w:rsidRDefault="008D0565" w:rsidP="00D61F73">
      <w:pPr>
        <w:rPr>
          <w:rFonts w:ascii="Arial" w:hAnsi="Arial" w:cs="Arial"/>
        </w:rPr>
      </w:pPr>
    </w:p>
    <w:p w14:paraId="23F4F7D6" w14:textId="77777777" w:rsidR="008D0565" w:rsidRPr="00D61F73" w:rsidRDefault="008D0565" w:rsidP="00D61F73">
      <w:pPr>
        <w:rPr>
          <w:rFonts w:ascii="Arial" w:hAnsi="Arial" w:cs="Arial"/>
        </w:rPr>
      </w:pPr>
      <w:r w:rsidRPr="00D61F73">
        <w:rPr>
          <w:rFonts w:ascii="Arial" w:hAnsi="Arial" w:cs="Arial"/>
        </w:rPr>
        <w:t>Rating: 2b</w:t>
      </w:r>
    </w:p>
    <w:p w14:paraId="07D48AF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67" w:name="Reichenbach"/>
      <w:bookmarkEnd w:id="1067"/>
      <w:r w:rsidRPr="00D61F73">
        <w:rPr>
          <w:rFonts w:ascii="Arial" w:hAnsi="Arial" w:cs="Arial"/>
          <w:b/>
          <w:bCs/>
        </w:rPr>
        <w:t xml:space="preserve">eichenbach S, Sterchi R, Scherer M, Trelle S, Burgi E, Burgi U, Dieppe PA, Juni P. Meta-analysis: chondroitin for osteoarthritis of the knee or hip. </w:t>
      </w:r>
      <w:r w:rsidRPr="00D61F73">
        <w:rPr>
          <w:rFonts w:ascii="Arial" w:hAnsi="Arial" w:cs="Arial"/>
          <w:b/>
          <w:bCs/>
          <w:i/>
          <w:iCs/>
        </w:rPr>
        <w:t>Ann Intern Med</w:t>
      </w:r>
      <w:r w:rsidRPr="00D61F73">
        <w:rPr>
          <w:rFonts w:ascii="Arial" w:hAnsi="Arial" w:cs="Arial"/>
          <w:b/>
          <w:bCs/>
        </w:rPr>
        <w:t>. 2007 Apr 17;146(8):580-90.</w:t>
      </w:r>
    </w:p>
    <w:p w14:paraId="7FE2C385" w14:textId="77777777" w:rsidR="008D0565" w:rsidRPr="00D61F73" w:rsidRDefault="008D0565" w:rsidP="00D61F73">
      <w:pPr>
        <w:rPr>
          <w:rFonts w:ascii="Arial" w:hAnsi="Arial" w:cs="Arial"/>
        </w:rPr>
      </w:pPr>
    </w:p>
    <w:p w14:paraId="3973B735" w14:textId="77777777" w:rsidR="008D0565" w:rsidRPr="00D61F73" w:rsidRDefault="008D0565" w:rsidP="00D61F73">
      <w:pPr>
        <w:rPr>
          <w:rFonts w:ascii="Arial" w:hAnsi="Arial" w:cs="Arial"/>
        </w:rPr>
      </w:pPr>
      <w:r w:rsidRPr="00D61F73">
        <w:rPr>
          <w:rFonts w:ascii="Arial" w:hAnsi="Arial" w:cs="Arial"/>
        </w:rPr>
        <w:t xml:space="preserve">PMID: </w:t>
      </w:r>
      <w:hyperlink r:id="rId722" w:history="1">
        <w:r w:rsidRPr="00D61F73">
          <w:rPr>
            <w:rStyle w:val="Hyperlink"/>
            <w:rFonts w:ascii="Arial" w:hAnsi="Arial" w:cs="Arial"/>
          </w:rPr>
          <w:t>17438317</w:t>
        </w:r>
      </w:hyperlink>
    </w:p>
    <w:p w14:paraId="274849B1" w14:textId="77777777" w:rsidR="008D0565" w:rsidRPr="00D61F73" w:rsidRDefault="008D0565" w:rsidP="00D61F73">
      <w:pPr>
        <w:rPr>
          <w:rFonts w:ascii="Arial" w:hAnsi="Arial" w:cs="Arial"/>
        </w:rPr>
      </w:pPr>
    </w:p>
    <w:p w14:paraId="1B3FD22F" w14:textId="77777777" w:rsidR="008D0565" w:rsidRPr="00D61F73" w:rsidRDefault="008D0565" w:rsidP="00D61F73">
      <w:pPr>
        <w:rPr>
          <w:rFonts w:ascii="Arial" w:hAnsi="Arial" w:cs="Arial"/>
        </w:rPr>
      </w:pPr>
      <w:r w:rsidRPr="00D61F73">
        <w:rPr>
          <w:rFonts w:ascii="Arial" w:hAnsi="Arial" w:cs="Arial"/>
        </w:rPr>
        <w:t>Rating: 1b</w:t>
      </w:r>
    </w:p>
    <w:p w14:paraId="7A6F2877" w14:textId="77777777" w:rsidR="008D0565" w:rsidRPr="00D61F73" w:rsidRDefault="008D0565" w:rsidP="00D61F73">
      <w:pPr>
        <w:rPr>
          <w:rFonts w:ascii="Arial" w:hAnsi="Arial" w:cs="Arial"/>
        </w:rPr>
      </w:pPr>
    </w:p>
    <w:p w14:paraId="157063C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68" w:name="Reynoldson"/>
      <w:bookmarkEnd w:id="1068"/>
      <w:r w:rsidRPr="00D61F73">
        <w:rPr>
          <w:rFonts w:ascii="Arial" w:hAnsi="Arial" w:cs="Arial"/>
          <w:b/>
        </w:rPr>
        <w:t xml:space="preserve">eynoldson JN, Elliott ES, Nelson LA. Ramelteon: A Novel Approach in the Treatment of Insomnia (CE). </w:t>
      </w:r>
      <w:r w:rsidRPr="00D61F73">
        <w:rPr>
          <w:rFonts w:ascii="Arial" w:hAnsi="Arial" w:cs="Arial"/>
          <w:b/>
          <w:i/>
          <w:iCs/>
        </w:rPr>
        <w:t>Ann Pharmacother.</w:t>
      </w:r>
      <w:r w:rsidRPr="00D61F73">
        <w:rPr>
          <w:rFonts w:ascii="Arial" w:hAnsi="Arial" w:cs="Arial"/>
          <w:b/>
        </w:rPr>
        <w:t xml:space="preserve"> 2008 Jul 23.</w:t>
      </w:r>
    </w:p>
    <w:p w14:paraId="13B19202" w14:textId="77777777" w:rsidR="008D0565" w:rsidRPr="00D61F73" w:rsidRDefault="008D0565" w:rsidP="00D61F73">
      <w:pPr>
        <w:pStyle w:val="affiliation"/>
        <w:spacing w:before="0" w:beforeAutospacing="0" w:after="0" w:afterAutospacing="0"/>
        <w:rPr>
          <w:rFonts w:ascii="Arial" w:hAnsi="Arial" w:cs="Arial"/>
        </w:rPr>
      </w:pPr>
    </w:p>
    <w:p w14:paraId="1E3B04BC"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CONCLUSIONS: Ramelteon offers a novel mechanism of action for the treatment of insomnia. Studies support its short- and long-term use in adults and elderly adults for the treatment of primary insomnia characterized by difficulty with sleep initiation. </w:t>
      </w:r>
    </w:p>
    <w:p w14:paraId="59316801" w14:textId="77777777" w:rsidR="008D0565" w:rsidRPr="00D61F73" w:rsidRDefault="008D0565" w:rsidP="00D61F73">
      <w:pPr>
        <w:pStyle w:val="abstract"/>
        <w:spacing w:before="0" w:beforeAutospacing="0" w:after="0" w:afterAutospacing="0"/>
        <w:rPr>
          <w:rFonts w:ascii="Arial" w:hAnsi="Arial" w:cs="Arial"/>
        </w:rPr>
      </w:pPr>
    </w:p>
    <w:p w14:paraId="576FC1AF"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Rating: 1c</w:t>
      </w:r>
    </w:p>
    <w:p w14:paraId="75662FD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69" w:name="Rho"/>
      <w:bookmarkEnd w:id="1069"/>
      <w:r w:rsidRPr="00D61F73">
        <w:rPr>
          <w:rFonts w:ascii="Arial" w:hAnsi="Arial" w:cs="Arial"/>
          <w:b/>
          <w:bCs/>
        </w:rPr>
        <w:t xml:space="preserve">ho RH, Brewer RP, Lamer TJ, Wilson PR. Complex regional pain syndrome. </w:t>
      </w:r>
      <w:r w:rsidRPr="00D61F73">
        <w:rPr>
          <w:rFonts w:ascii="Arial" w:hAnsi="Arial" w:cs="Arial"/>
          <w:b/>
          <w:bCs/>
          <w:i/>
          <w:iCs/>
        </w:rPr>
        <w:t>Mayo Clin Proc</w:t>
      </w:r>
      <w:r w:rsidRPr="00D61F73">
        <w:rPr>
          <w:rFonts w:ascii="Arial" w:hAnsi="Arial" w:cs="Arial"/>
          <w:b/>
          <w:bCs/>
        </w:rPr>
        <w:t>. 2002 Feb;77(2):174-80.</w:t>
      </w:r>
    </w:p>
    <w:p w14:paraId="6C452536" w14:textId="77777777" w:rsidR="008D0565" w:rsidRPr="00D61F73" w:rsidRDefault="008D0565" w:rsidP="00D61F73">
      <w:pPr>
        <w:rPr>
          <w:rFonts w:ascii="Arial" w:hAnsi="Arial" w:cs="Arial"/>
        </w:rPr>
      </w:pPr>
    </w:p>
    <w:p w14:paraId="33B18320" w14:textId="77777777" w:rsidR="008D0565" w:rsidRPr="00D61F73" w:rsidRDefault="008D0565" w:rsidP="00D61F73">
      <w:pPr>
        <w:rPr>
          <w:rFonts w:ascii="Arial" w:hAnsi="Arial" w:cs="Arial"/>
        </w:rPr>
      </w:pPr>
      <w:r w:rsidRPr="00D61F73">
        <w:rPr>
          <w:rFonts w:ascii="Arial" w:hAnsi="Arial" w:cs="Arial"/>
        </w:rPr>
        <w:t xml:space="preserve">Physical therapy is the cornerstone and first-line treatment for CRPS. Patients with moderate to severe pain and/or sympathetic dysfunction require regional anesthetic blockade to participate in physical therapy. </w:t>
      </w:r>
    </w:p>
    <w:p w14:paraId="3C003BDD" w14:textId="77777777" w:rsidR="008D0565" w:rsidRPr="00D61F73" w:rsidRDefault="008D0565" w:rsidP="00D61F73">
      <w:pPr>
        <w:rPr>
          <w:rFonts w:ascii="Arial" w:hAnsi="Arial" w:cs="Arial"/>
        </w:rPr>
      </w:pPr>
    </w:p>
    <w:p w14:paraId="700573EF" w14:textId="77777777" w:rsidR="008D0565" w:rsidRPr="00D61F73" w:rsidRDefault="008D0565" w:rsidP="00D61F73">
      <w:pPr>
        <w:rPr>
          <w:rFonts w:ascii="Arial" w:hAnsi="Arial" w:cs="Arial"/>
        </w:rPr>
      </w:pPr>
      <w:r w:rsidRPr="00D61F73">
        <w:rPr>
          <w:rFonts w:ascii="Arial" w:hAnsi="Arial" w:cs="Arial"/>
        </w:rPr>
        <w:t xml:space="preserve">PMID: </w:t>
      </w:r>
      <w:hyperlink r:id="rId723" w:history="1">
        <w:r w:rsidRPr="00D61F73">
          <w:rPr>
            <w:rStyle w:val="Hyperlink"/>
            <w:rFonts w:ascii="Arial" w:hAnsi="Arial" w:cs="Arial"/>
          </w:rPr>
          <w:t>11838651</w:t>
        </w:r>
      </w:hyperlink>
      <w:r w:rsidRPr="00D61F73">
        <w:rPr>
          <w:rFonts w:ascii="Arial" w:hAnsi="Arial" w:cs="Arial"/>
        </w:rPr>
        <w:t xml:space="preserve"> </w:t>
      </w:r>
    </w:p>
    <w:p w14:paraId="1C3D922F" w14:textId="77777777" w:rsidR="008D0565" w:rsidRPr="00D61F73" w:rsidRDefault="008D0565" w:rsidP="00D61F73">
      <w:pPr>
        <w:rPr>
          <w:rFonts w:ascii="Arial" w:hAnsi="Arial" w:cs="Arial"/>
        </w:rPr>
      </w:pPr>
    </w:p>
    <w:p w14:paraId="011DE062" w14:textId="77777777" w:rsidR="008D0565" w:rsidRPr="00D61F73" w:rsidRDefault="008D0565" w:rsidP="00D61F73">
      <w:pPr>
        <w:rPr>
          <w:rFonts w:ascii="Arial" w:hAnsi="Arial" w:cs="Arial"/>
        </w:rPr>
      </w:pPr>
      <w:r w:rsidRPr="00D61F73">
        <w:rPr>
          <w:rFonts w:ascii="Arial" w:hAnsi="Arial" w:cs="Arial"/>
        </w:rPr>
        <w:t>Rating: 5b</w:t>
      </w:r>
    </w:p>
    <w:p w14:paraId="7235B1C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70" w:name="Ribbers"/>
      <w:bookmarkEnd w:id="1070"/>
      <w:r w:rsidRPr="00D61F73">
        <w:rPr>
          <w:rFonts w:ascii="Arial" w:hAnsi="Arial" w:cs="Arial"/>
          <w:b/>
          <w:bCs/>
        </w:rPr>
        <w:t xml:space="preserve">ibbers GM, Geurts AC, Stam HJ, Mulder T. Pharmacologic treatment of complex regional pain syndrome I: a conceptual framework. </w:t>
      </w:r>
      <w:r w:rsidRPr="00D61F73">
        <w:rPr>
          <w:rFonts w:ascii="Arial" w:hAnsi="Arial" w:cs="Arial"/>
          <w:b/>
          <w:bCs/>
          <w:i/>
          <w:iCs/>
        </w:rPr>
        <w:t>Arch Phys Med Rehabil.</w:t>
      </w:r>
      <w:r w:rsidRPr="00D61F73">
        <w:rPr>
          <w:rFonts w:ascii="Arial" w:hAnsi="Arial" w:cs="Arial"/>
          <w:b/>
          <w:bCs/>
        </w:rPr>
        <w:t xml:space="preserve"> 2003 Jan;84(1):141-6. </w:t>
      </w:r>
    </w:p>
    <w:p w14:paraId="10F1A5D1" w14:textId="77777777" w:rsidR="008D0565" w:rsidRPr="00D61F73" w:rsidRDefault="008D0565" w:rsidP="00D61F73">
      <w:pPr>
        <w:rPr>
          <w:rFonts w:ascii="Arial" w:hAnsi="Arial" w:cs="Arial"/>
        </w:rPr>
      </w:pPr>
    </w:p>
    <w:p w14:paraId="2172FA73" w14:textId="77777777" w:rsidR="008D0565" w:rsidRPr="00D61F73" w:rsidRDefault="008D0565" w:rsidP="00D61F73">
      <w:pPr>
        <w:rPr>
          <w:rFonts w:ascii="Arial" w:hAnsi="Arial" w:cs="Arial"/>
        </w:rPr>
      </w:pPr>
      <w:r w:rsidRPr="00D61F73">
        <w:rPr>
          <w:rFonts w:ascii="Arial" w:hAnsi="Arial" w:cs="Arial"/>
        </w:rPr>
        <w:t xml:space="preserve">CRPS I is considered a neuropathic pain syndrome with a mixed and time-dependent profile of a regional inflammation, sensitization of primary somatosensory afferents (peripheral sensitization), and sensitization of spinal neurons (central sensitization). </w:t>
      </w:r>
    </w:p>
    <w:p w14:paraId="52FED81B" w14:textId="77777777" w:rsidR="008D0565" w:rsidRPr="00D61F73" w:rsidRDefault="008D0565" w:rsidP="00D61F73">
      <w:pPr>
        <w:rPr>
          <w:rFonts w:ascii="Arial" w:hAnsi="Arial" w:cs="Arial"/>
        </w:rPr>
      </w:pPr>
    </w:p>
    <w:p w14:paraId="15B564D8" w14:textId="77777777" w:rsidR="008D0565" w:rsidRPr="00D61F73" w:rsidRDefault="008D0565" w:rsidP="00D61F73">
      <w:pPr>
        <w:rPr>
          <w:rFonts w:ascii="Arial" w:hAnsi="Arial" w:cs="Arial"/>
        </w:rPr>
      </w:pPr>
      <w:r w:rsidRPr="00D61F73">
        <w:rPr>
          <w:rFonts w:ascii="Arial" w:hAnsi="Arial" w:cs="Arial"/>
        </w:rPr>
        <w:t xml:space="preserve">PMID: </w:t>
      </w:r>
      <w:hyperlink r:id="rId724" w:history="1">
        <w:r w:rsidRPr="00D61F73">
          <w:rPr>
            <w:rStyle w:val="Hyperlink"/>
            <w:rFonts w:ascii="Arial" w:hAnsi="Arial" w:cs="Arial"/>
          </w:rPr>
          <w:t>12589636</w:t>
        </w:r>
      </w:hyperlink>
    </w:p>
    <w:p w14:paraId="6AEA6E8F" w14:textId="77777777" w:rsidR="008D0565" w:rsidRPr="00D61F73" w:rsidRDefault="008D0565" w:rsidP="00D61F73">
      <w:pPr>
        <w:rPr>
          <w:rFonts w:ascii="Arial" w:hAnsi="Arial" w:cs="Arial"/>
        </w:rPr>
      </w:pPr>
    </w:p>
    <w:p w14:paraId="3EA057B7" w14:textId="77777777" w:rsidR="008D0565" w:rsidRPr="00D61F73" w:rsidRDefault="008D0565" w:rsidP="00D61F73">
      <w:pPr>
        <w:rPr>
          <w:rFonts w:ascii="Arial" w:hAnsi="Arial" w:cs="Arial"/>
        </w:rPr>
      </w:pPr>
      <w:r w:rsidRPr="00D61F73">
        <w:rPr>
          <w:rFonts w:ascii="Arial" w:hAnsi="Arial" w:cs="Arial"/>
        </w:rPr>
        <w:t>Rating: 5b</w:t>
      </w:r>
    </w:p>
    <w:p w14:paraId="2851D36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71" w:name="Ricci2012"/>
      <w:bookmarkEnd w:id="1071"/>
      <w:r w:rsidRPr="00D61F73">
        <w:rPr>
          <w:rFonts w:ascii="Arial" w:hAnsi="Arial" w:cs="Arial"/>
          <w:b/>
          <w:bCs/>
        </w:rPr>
        <w:t xml:space="preserve">icci M, Pirotti S, Scarpi E, Burgio M, Maltoni M, Sansoni E, Amadori D. Managing chronic pain: results from an open-label study using MC5-A Calmare® device. </w:t>
      </w:r>
      <w:r w:rsidRPr="00D61F73">
        <w:rPr>
          <w:rFonts w:ascii="Arial" w:hAnsi="Arial" w:cs="Arial"/>
          <w:b/>
          <w:bCs/>
          <w:i/>
          <w:iCs/>
        </w:rPr>
        <w:t>Support Care Cancer</w:t>
      </w:r>
      <w:r w:rsidRPr="00D61F73">
        <w:rPr>
          <w:rFonts w:ascii="Arial" w:hAnsi="Arial" w:cs="Arial"/>
          <w:b/>
          <w:bCs/>
        </w:rPr>
        <w:t>. 2012 Feb;20(2):405-12. doi: 10.1007/s00520-011-1128-6.</w:t>
      </w:r>
    </w:p>
    <w:p w14:paraId="66273083" w14:textId="77777777" w:rsidR="008D0565" w:rsidRPr="00D61F73" w:rsidRDefault="008D0565" w:rsidP="00D61F73">
      <w:pPr>
        <w:rPr>
          <w:rFonts w:ascii="Arial" w:hAnsi="Arial" w:cs="Arial"/>
        </w:rPr>
      </w:pPr>
    </w:p>
    <w:p w14:paraId="087D1099" w14:textId="77777777" w:rsidR="008D0565" w:rsidRPr="00D61F73" w:rsidRDefault="008D0565" w:rsidP="00D61F73">
      <w:pPr>
        <w:rPr>
          <w:rFonts w:ascii="Arial" w:hAnsi="Arial" w:cs="Arial"/>
        </w:rPr>
      </w:pPr>
      <w:r w:rsidRPr="00D61F73">
        <w:rPr>
          <w:rFonts w:ascii="Arial" w:hAnsi="Arial" w:cs="Arial"/>
        </w:rPr>
        <w:t xml:space="preserve">PMID: </w:t>
      </w:r>
      <w:hyperlink r:id="rId725" w:history="1">
        <w:r w:rsidRPr="00D61F73">
          <w:rPr>
            <w:rStyle w:val="Hyperlink"/>
            <w:rFonts w:ascii="Arial" w:hAnsi="Arial" w:cs="Arial"/>
          </w:rPr>
          <w:t>21394458</w:t>
        </w:r>
      </w:hyperlink>
    </w:p>
    <w:p w14:paraId="40F26C7D" w14:textId="77777777" w:rsidR="008D0565" w:rsidRPr="00D61F73" w:rsidRDefault="008D0565" w:rsidP="00D61F73">
      <w:pPr>
        <w:rPr>
          <w:rFonts w:ascii="Arial" w:hAnsi="Arial" w:cs="Arial"/>
        </w:rPr>
      </w:pPr>
    </w:p>
    <w:p w14:paraId="2F38C603" w14:textId="77777777" w:rsidR="008D0565" w:rsidRPr="00D61F73" w:rsidRDefault="008D0565" w:rsidP="00D61F73">
      <w:pPr>
        <w:rPr>
          <w:rFonts w:ascii="Arial" w:hAnsi="Arial" w:cs="Arial"/>
        </w:rPr>
      </w:pPr>
      <w:r w:rsidRPr="00D61F73">
        <w:rPr>
          <w:rFonts w:ascii="Arial" w:hAnsi="Arial" w:cs="Arial"/>
        </w:rPr>
        <w:t>Rating: 4c</w:t>
      </w:r>
    </w:p>
    <w:p w14:paraId="30112952"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R</w:t>
      </w:r>
      <w:bookmarkStart w:id="1072" w:name="Richmond2010"/>
      <w:bookmarkEnd w:id="1072"/>
      <w:r w:rsidRPr="00D61F73">
        <w:rPr>
          <w:rFonts w:ascii="Arial" w:hAnsi="Arial" w:cs="Arial"/>
          <w:b/>
        </w:rPr>
        <w:t xml:space="preserve">ichmond J, Hunter D, Irrgang J, Jones MH, Snyder-Mackler L, Van Durme D, Rubin C, Matzkin EG, Marx RG, Levy BA, Watters WC 3rd, Goldberg MJ, Keith M, Haralson RH 3rd, Turkelson CM, Wies JL, Anderson S, Boyer K, Sluka P, St Andre J, McGowan R. American Academy of Orthopaedic Surgeons clinical practice guideline on the treatment of osteoarthritis (OA) of the knee. </w:t>
      </w:r>
      <w:r w:rsidRPr="00D61F73">
        <w:rPr>
          <w:rFonts w:ascii="Arial" w:hAnsi="Arial" w:cs="Arial"/>
          <w:b/>
          <w:i/>
        </w:rPr>
        <w:t>J Bone Joint Surg Am</w:t>
      </w:r>
      <w:r w:rsidRPr="00D61F73">
        <w:rPr>
          <w:rFonts w:ascii="Arial" w:hAnsi="Arial" w:cs="Arial"/>
          <w:b/>
        </w:rPr>
        <w:t>. 2010;92:990-3.</w:t>
      </w:r>
    </w:p>
    <w:p w14:paraId="1D6B0C87" w14:textId="77777777" w:rsidR="008D0565" w:rsidRPr="00D61F73" w:rsidRDefault="008D0565" w:rsidP="00D61F73">
      <w:pPr>
        <w:rPr>
          <w:rFonts w:ascii="Arial" w:eastAsia="Calibri" w:hAnsi="Arial" w:cs="Arial"/>
        </w:rPr>
      </w:pPr>
    </w:p>
    <w:p w14:paraId="2ECC5370" w14:textId="77777777" w:rsidR="008D0565" w:rsidRPr="00D61F73" w:rsidRDefault="008D0565" w:rsidP="00D61F73">
      <w:pPr>
        <w:rPr>
          <w:rFonts w:ascii="Arial" w:eastAsia="Calibri" w:hAnsi="Arial" w:cs="Arial"/>
        </w:rPr>
      </w:pPr>
      <w:r w:rsidRPr="00D61F73">
        <w:rPr>
          <w:rFonts w:ascii="Arial" w:hAnsi="Arial" w:cs="Arial"/>
        </w:rPr>
        <w:t>This guideline recommends the use of the following for individuals at risk increased GI risk (Age &gt; 60 years, comorbid medical conditions, history of peptic ulcer disease, history of GI bleed, concurrent use of anticoagulants or corticosteroids): Acetaminophen; Topical NSAIDs; Nonselective oral NSAIDs plus gastro-protective agent; Cox-2 agents.</w:t>
      </w:r>
    </w:p>
    <w:p w14:paraId="6FA9B299" w14:textId="77777777" w:rsidR="008D0565" w:rsidRPr="00D61F73" w:rsidRDefault="008D0565" w:rsidP="00D61F73">
      <w:pPr>
        <w:rPr>
          <w:rFonts w:ascii="Arial" w:eastAsia="Calibri" w:hAnsi="Arial" w:cs="Arial"/>
        </w:rPr>
      </w:pPr>
    </w:p>
    <w:p w14:paraId="5C35794A" w14:textId="77777777" w:rsidR="008D0565" w:rsidRPr="00D61F73" w:rsidRDefault="008D0565" w:rsidP="00D61F73">
      <w:pPr>
        <w:rPr>
          <w:rFonts w:ascii="Arial" w:eastAsia="Calibri" w:hAnsi="Arial" w:cs="Arial"/>
        </w:rPr>
      </w:pPr>
      <w:r w:rsidRPr="00D61F73">
        <w:rPr>
          <w:rFonts w:ascii="Arial" w:eastAsia="Calibri" w:hAnsi="Arial" w:cs="Arial"/>
        </w:rPr>
        <w:t xml:space="preserve">PMID: </w:t>
      </w:r>
      <w:hyperlink r:id="rId726" w:history="1">
        <w:r w:rsidRPr="00D61F73">
          <w:rPr>
            <w:rStyle w:val="Hyperlink"/>
            <w:rFonts w:ascii="Arial" w:eastAsia="Calibri" w:hAnsi="Arial" w:cs="Arial"/>
          </w:rPr>
          <w:t>20360527</w:t>
        </w:r>
      </w:hyperlink>
    </w:p>
    <w:p w14:paraId="0A7AE055" w14:textId="77777777" w:rsidR="008D0565" w:rsidRPr="00D61F73" w:rsidRDefault="008D0565" w:rsidP="00D61F73">
      <w:pPr>
        <w:rPr>
          <w:rFonts w:ascii="Arial" w:eastAsia="Calibri" w:hAnsi="Arial" w:cs="Arial"/>
        </w:rPr>
      </w:pPr>
    </w:p>
    <w:p w14:paraId="26FCC531" w14:textId="77777777" w:rsidR="008D0565" w:rsidRPr="00D61F73" w:rsidRDefault="008D0565" w:rsidP="00D61F73">
      <w:pPr>
        <w:rPr>
          <w:rFonts w:ascii="Arial" w:hAnsi="Arial" w:cs="Arial"/>
        </w:rPr>
      </w:pPr>
      <w:r w:rsidRPr="00D61F73">
        <w:rPr>
          <w:rFonts w:ascii="Arial" w:hAnsi="Arial" w:cs="Arial"/>
        </w:rPr>
        <w:t>Rating: 6a</w:t>
      </w:r>
    </w:p>
    <w:p w14:paraId="4A25B800" w14:textId="77777777" w:rsidR="008D0565" w:rsidRPr="00D61F73" w:rsidRDefault="008D0565" w:rsidP="00D61F73">
      <w:pPr>
        <w:rPr>
          <w:rFonts w:ascii="Arial" w:hAnsi="Arial" w:cs="Arial"/>
          <w:b/>
          <w:bCs/>
        </w:rPr>
      </w:pPr>
      <w:r w:rsidRPr="00D61F73">
        <w:rPr>
          <w:rFonts w:ascii="Arial" w:hAnsi="Arial" w:cs="Arial"/>
        </w:rPr>
        <w:br w:type="page"/>
      </w:r>
      <w:bookmarkStart w:id="1073" w:name="Richy"/>
      <w:r w:rsidRPr="00D61F73">
        <w:rPr>
          <w:rFonts w:ascii="Arial" w:hAnsi="Arial" w:cs="Arial"/>
          <w:b/>
          <w:bCs/>
        </w:rPr>
        <w:lastRenderedPageBreak/>
        <w:t>Richy</w:t>
      </w:r>
      <w:bookmarkEnd w:id="1073"/>
      <w:r w:rsidRPr="00D61F73">
        <w:rPr>
          <w:rFonts w:ascii="Arial" w:hAnsi="Arial" w:cs="Arial"/>
          <w:b/>
          <w:bCs/>
        </w:rPr>
        <w:t xml:space="preserve"> F, Bruyere O, Ethgen O, Cucherat M, Henrotin Y, Reginster JY, Structural and symptomatic efficacy of glucosamine and chondroitin in knee osteoarthritis: a comprehensive meta-analysis, </w:t>
      </w:r>
      <w:r w:rsidRPr="00D61F73">
        <w:rPr>
          <w:rFonts w:ascii="Arial" w:hAnsi="Arial" w:cs="Arial"/>
          <w:b/>
          <w:bCs/>
          <w:i/>
          <w:iCs/>
        </w:rPr>
        <w:t>Arch Intern Med</w:t>
      </w:r>
      <w:r w:rsidRPr="00D61F73">
        <w:rPr>
          <w:rFonts w:ascii="Arial" w:hAnsi="Arial" w:cs="Arial"/>
          <w:b/>
          <w:bCs/>
        </w:rPr>
        <w:t>. 2003 Jul 14;163(13):1514-22.</w:t>
      </w:r>
    </w:p>
    <w:p w14:paraId="2410B19E" w14:textId="77777777" w:rsidR="008D0565" w:rsidRPr="00D61F73" w:rsidRDefault="008D0565" w:rsidP="00D61F73">
      <w:pPr>
        <w:rPr>
          <w:rFonts w:ascii="Arial" w:hAnsi="Arial" w:cs="Arial"/>
        </w:rPr>
      </w:pPr>
    </w:p>
    <w:p w14:paraId="2F7AB72B" w14:textId="77777777" w:rsidR="008D0565" w:rsidRPr="00D61F73" w:rsidRDefault="008D0565" w:rsidP="00D61F73">
      <w:pPr>
        <w:rPr>
          <w:rFonts w:ascii="Arial" w:hAnsi="Arial" w:cs="Arial"/>
        </w:rPr>
      </w:pPr>
      <w:r w:rsidRPr="00D61F73">
        <w:rPr>
          <w:rFonts w:ascii="Arial" w:hAnsi="Arial" w:cs="Arial"/>
        </w:rPr>
        <w:t xml:space="preserve">PMID: </w:t>
      </w:r>
      <w:hyperlink r:id="rId727" w:history="1">
        <w:r w:rsidRPr="00D61F73">
          <w:rPr>
            <w:rStyle w:val="Hyperlink"/>
            <w:rFonts w:ascii="Arial" w:hAnsi="Arial" w:cs="Arial"/>
          </w:rPr>
          <w:t>12860572</w:t>
        </w:r>
      </w:hyperlink>
      <w:r w:rsidRPr="00D61F73">
        <w:rPr>
          <w:rFonts w:ascii="Arial" w:hAnsi="Arial" w:cs="Arial"/>
        </w:rPr>
        <w:t xml:space="preserve"> </w:t>
      </w:r>
    </w:p>
    <w:p w14:paraId="11D1AC03" w14:textId="77777777" w:rsidR="008D0565" w:rsidRPr="00D61F73" w:rsidRDefault="008D0565" w:rsidP="00D61F73">
      <w:pPr>
        <w:rPr>
          <w:rFonts w:ascii="Arial" w:hAnsi="Arial" w:cs="Arial"/>
        </w:rPr>
      </w:pPr>
    </w:p>
    <w:p w14:paraId="33C0BC31" w14:textId="77777777" w:rsidR="008D0565" w:rsidRPr="00D61F73" w:rsidRDefault="008D0565" w:rsidP="00D61F73">
      <w:pPr>
        <w:rPr>
          <w:rFonts w:ascii="Arial" w:hAnsi="Arial" w:cs="Arial"/>
        </w:rPr>
      </w:pPr>
      <w:r w:rsidRPr="00D61F73">
        <w:rPr>
          <w:rFonts w:ascii="Arial" w:hAnsi="Arial" w:cs="Arial"/>
        </w:rPr>
        <w:t>Rating: 1b</w:t>
      </w:r>
    </w:p>
    <w:p w14:paraId="04007A1F"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R</w:t>
      </w:r>
      <w:bookmarkStart w:id="1074" w:name="Rickels1999"/>
      <w:bookmarkEnd w:id="1074"/>
      <w:r w:rsidRPr="00D61F73">
        <w:rPr>
          <w:rFonts w:ascii="Arial" w:hAnsi="Arial" w:cs="Arial"/>
          <w:b/>
        </w:rPr>
        <w:t xml:space="preserve">ickels K, DeMartinis N, Rynn M, Mandos L. Pharmacologic strategies for discontinuing benzodiazepine treatment. </w:t>
      </w:r>
      <w:r w:rsidRPr="00D61F73">
        <w:rPr>
          <w:rFonts w:ascii="Arial" w:hAnsi="Arial" w:cs="Arial"/>
          <w:b/>
          <w:i/>
        </w:rPr>
        <w:t>J Clin Psychopharmacol.</w:t>
      </w:r>
      <w:r w:rsidRPr="00D61F73">
        <w:rPr>
          <w:rFonts w:ascii="Arial" w:hAnsi="Arial" w:cs="Arial"/>
          <w:b/>
        </w:rPr>
        <w:t xml:space="preserve"> 1999;19:12S-16S.</w:t>
      </w:r>
    </w:p>
    <w:p w14:paraId="2159B455" w14:textId="77777777" w:rsidR="008D0565" w:rsidRPr="00D61F73" w:rsidRDefault="008D0565" w:rsidP="00D61F73">
      <w:pPr>
        <w:rPr>
          <w:rFonts w:ascii="Arial" w:hAnsi="Arial" w:cs="Arial"/>
          <w:b/>
        </w:rPr>
      </w:pPr>
    </w:p>
    <w:p w14:paraId="0967D5C8" w14:textId="77777777" w:rsidR="008D0565" w:rsidRPr="00D61F73" w:rsidRDefault="008D0565" w:rsidP="00D61F73">
      <w:pPr>
        <w:rPr>
          <w:rFonts w:ascii="Arial" w:hAnsi="Arial" w:cs="Arial"/>
        </w:rPr>
      </w:pPr>
      <w:r w:rsidRPr="00D61F73">
        <w:rPr>
          <w:rFonts w:ascii="Arial" w:hAnsi="Arial" w:cs="Arial"/>
        </w:rPr>
        <w:t xml:space="preserve">PMID: </w:t>
      </w:r>
      <w:hyperlink r:id="rId728" w:history="1">
        <w:r w:rsidRPr="00D61F73">
          <w:rPr>
            <w:rStyle w:val="Hyperlink"/>
            <w:rFonts w:ascii="Arial" w:hAnsi="Arial" w:cs="Arial"/>
          </w:rPr>
          <w:t>10587279</w:t>
        </w:r>
      </w:hyperlink>
    </w:p>
    <w:p w14:paraId="6F811645" w14:textId="77777777" w:rsidR="008D0565" w:rsidRPr="00D61F73" w:rsidRDefault="008D0565" w:rsidP="00D61F73">
      <w:pPr>
        <w:rPr>
          <w:rFonts w:ascii="Arial" w:hAnsi="Arial" w:cs="Arial"/>
        </w:rPr>
      </w:pPr>
    </w:p>
    <w:p w14:paraId="4640533F" w14:textId="77777777" w:rsidR="008D0565" w:rsidRPr="00D61F73" w:rsidRDefault="008D0565" w:rsidP="00D61F73">
      <w:pPr>
        <w:rPr>
          <w:rFonts w:ascii="Arial" w:hAnsi="Arial" w:cs="Arial"/>
        </w:rPr>
      </w:pPr>
      <w:r w:rsidRPr="00D61F73">
        <w:rPr>
          <w:rFonts w:ascii="Arial" w:hAnsi="Arial" w:cs="Arial"/>
        </w:rPr>
        <w:t>Rating; 5b</w:t>
      </w:r>
    </w:p>
    <w:p w14:paraId="2CC66D3B"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R</w:t>
      </w:r>
      <w:bookmarkStart w:id="1075" w:name="Ringer2012"/>
      <w:bookmarkEnd w:id="1075"/>
      <w:r w:rsidRPr="00D61F73">
        <w:rPr>
          <w:rFonts w:ascii="Arial" w:hAnsi="Arial" w:cs="Arial"/>
          <w:b/>
        </w:rPr>
        <w:t xml:space="preserve">inger R, Wertli M, Bachmann LM, Buck FM, Brunner F. Concordance of qualitative bone scintigraphy results with presence of clinical complex regional pain syndrome 1: meta-analysis of test accuracy studies. </w:t>
      </w:r>
      <w:r w:rsidRPr="00D61F73">
        <w:rPr>
          <w:rFonts w:ascii="Arial" w:hAnsi="Arial" w:cs="Arial"/>
          <w:b/>
          <w:i/>
        </w:rPr>
        <w:t>Eur J Pain.</w:t>
      </w:r>
      <w:r w:rsidRPr="00D61F73">
        <w:rPr>
          <w:rFonts w:ascii="Arial" w:hAnsi="Arial" w:cs="Arial"/>
          <w:b/>
        </w:rPr>
        <w:t xml:space="preserve"> 2012;16:1347-56.</w:t>
      </w:r>
    </w:p>
    <w:p w14:paraId="53594600" w14:textId="77777777" w:rsidR="008D0565" w:rsidRPr="00D61F73" w:rsidRDefault="008D0565" w:rsidP="00D61F73">
      <w:pPr>
        <w:rPr>
          <w:rFonts w:ascii="Arial" w:eastAsia="Calibri" w:hAnsi="Arial" w:cs="Arial"/>
        </w:rPr>
      </w:pPr>
    </w:p>
    <w:p w14:paraId="22DF587A"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29" w:history="1">
        <w:r w:rsidRPr="00D61F73">
          <w:rPr>
            <w:rStyle w:val="Hyperlink"/>
            <w:rFonts w:ascii="Arial" w:hAnsi="Arial" w:cs="Arial"/>
          </w:rPr>
          <w:t>22473897</w:t>
        </w:r>
      </w:hyperlink>
    </w:p>
    <w:p w14:paraId="6D51F811" w14:textId="77777777" w:rsidR="008D0565" w:rsidRPr="00D61F73" w:rsidRDefault="008D0565" w:rsidP="00D61F73">
      <w:pPr>
        <w:rPr>
          <w:rFonts w:ascii="Arial" w:eastAsia="Calibri" w:hAnsi="Arial" w:cs="Arial"/>
        </w:rPr>
      </w:pPr>
    </w:p>
    <w:p w14:paraId="7CA68368" w14:textId="77777777" w:rsidR="008D0565" w:rsidRPr="00D61F73" w:rsidRDefault="008D0565" w:rsidP="00D61F73">
      <w:pPr>
        <w:rPr>
          <w:rFonts w:ascii="Arial" w:eastAsia="Calibri" w:hAnsi="Arial" w:cs="Arial"/>
        </w:rPr>
      </w:pPr>
      <w:r w:rsidRPr="00D61F73">
        <w:rPr>
          <w:rFonts w:ascii="Arial" w:hAnsi="Arial" w:cs="Arial"/>
        </w:rPr>
        <w:t>Rating: 1c</w:t>
      </w:r>
    </w:p>
    <w:p w14:paraId="1B0C27E4" w14:textId="77777777" w:rsidR="008D0565" w:rsidRPr="00D61F73" w:rsidRDefault="008D0565" w:rsidP="00D61F73">
      <w:pPr>
        <w:rPr>
          <w:rFonts w:ascii="Arial" w:hAnsi="Arial" w:cs="Arial"/>
          <w:b/>
          <w:bCs/>
        </w:rPr>
      </w:pPr>
      <w:r w:rsidRPr="00D61F73">
        <w:rPr>
          <w:rFonts w:ascii="Arial" w:hAnsi="Arial" w:cs="Arial"/>
        </w:rPr>
        <w:br w:type="page"/>
      </w:r>
      <w:bookmarkStart w:id="1076" w:name="Robbins"/>
      <w:r w:rsidRPr="00D61F73">
        <w:rPr>
          <w:rFonts w:ascii="Arial" w:hAnsi="Arial" w:cs="Arial"/>
          <w:b/>
          <w:bCs/>
        </w:rPr>
        <w:lastRenderedPageBreak/>
        <w:t>Robbins</w:t>
      </w:r>
      <w:bookmarkEnd w:id="1076"/>
      <w:r w:rsidRPr="00D61F73">
        <w:rPr>
          <w:rFonts w:ascii="Arial" w:hAnsi="Arial" w:cs="Arial"/>
          <w:b/>
          <w:bCs/>
        </w:rPr>
        <w:t xml:space="preserve"> W, Clinical applications of capsaicinoids, </w:t>
      </w:r>
      <w:r w:rsidRPr="00D61F73">
        <w:rPr>
          <w:rFonts w:ascii="Arial" w:hAnsi="Arial" w:cs="Arial"/>
          <w:b/>
          <w:bCs/>
          <w:i/>
          <w:iCs/>
        </w:rPr>
        <w:t>Clin J Pain</w:t>
      </w:r>
      <w:r w:rsidRPr="00D61F73">
        <w:rPr>
          <w:rFonts w:ascii="Arial" w:hAnsi="Arial" w:cs="Arial"/>
          <w:b/>
          <w:bCs/>
        </w:rPr>
        <w:t>. 2000 Jun;16(2 Suppl):S86-9.</w:t>
      </w:r>
    </w:p>
    <w:p w14:paraId="3C631A17" w14:textId="77777777" w:rsidR="008D0565" w:rsidRPr="00D61F73" w:rsidRDefault="008D0565" w:rsidP="00D61F73">
      <w:pPr>
        <w:rPr>
          <w:rFonts w:ascii="Arial" w:hAnsi="Arial" w:cs="Arial"/>
        </w:rPr>
      </w:pPr>
    </w:p>
    <w:p w14:paraId="40ECAA0A" w14:textId="77777777" w:rsidR="008D0565" w:rsidRPr="00D61F73" w:rsidRDefault="008D0565" w:rsidP="00D61F73">
      <w:pPr>
        <w:rPr>
          <w:rFonts w:ascii="Arial" w:hAnsi="Arial" w:cs="Arial"/>
        </w:rPr>
      </w:pPr>
      <w:r w:rsidRPr="00D61F73">
        <w:rPr>
          <w:rFonts w:ascii="Arial" w:hAnsi="Arial" w:cs="Arial"/>
        </w:rPr>
        <w:t xml:space="preserve">PMID: </w:t>
      </w:r>
      <w:hyperlink r:id="rId730" w:history="1">
        <w:r w:rsidRPr="00D61F73">
          <w:rPr>
            <w:rStyle w:val="Hyperlink"/>
            <w:rFonts w:ascii="Arial" w:hAnsi="Arial" w:cs="Arial"/>
          </w:rPr>
          <w:t>10870746</w:t>
        </w:r>
      </w:hyperlink>
      <w:r w:rsidRPr="00D61F73">
        <w:rPr>
          <w:rFonts w:ascii="Arial" w:hAnsi="Arial" w:cs="Arial"/>
        </w:rPr>
        <w:t xml:space="preserve"> </w:t>
      </w:r>
    </w:p>
    <w:p w14:paraId="524418A0" w14:textId="77777777" w:rsidR="008D0565" w:rsidRPr="00D61F73" w:rsidRDefault="008D0565" w:rsidP="00D61F73">
      <w:pPr>
        <w:pStyle w:val="BodyText"/>
        <w:rPr>
          <w:rFonts w:ascii="Arial" w:hAnsi="Arial" w:cs="Arial"/>
        </w:rPr>
      </w:pPr>
    </w:p>
    <w:p w14:paraId="1971878C"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5c</w:t>
      </w:r>
    </w:p>
    <w:p w14:paraId="3369BC09" w14:textId="77777777" w:rsidR="008D0565" w:rsidRPr="00D61F73" w:rsidRDefault="008D0565" w:rsidP="00D61F73">
      <w:pPr>
        <w:pStyle w:val="BodyText"/>
        <w:rPr>
          <w:rFonts w:ascii="Arial" w:hAnsi="Arial" w:cs="Arial"/>
        </w:rPr>
      </w:pPr>
    </w:p>
    <w:p w14:paraId="7A5F6541"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The study found that seven out of ten patients who suffered from debilitating improved by at least 50 percent after being treated by creams with capsaicin concentrates of five percent to ten percent. In the UCSF study, however, patients were able to tolerate the burning because they were given regional anesthesia before the capsaicin was administered. The role of the anesthesia in promoting the effects of</w:t>
      </w:r>
    </w:p>
    <w:p w14:paraId="38BC7376"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the capsaicin has not been determined. Patients also took morphine to curb burning in the days following treatment, as the burning could last up to five days. Researchers were concerned that high dosages of capsaicin could affect the patients' abilities to sense extreme temperatures and pain,</w:t>
      </w:r>
    </w:p>
    <w:p w14:paraId="30A651A8"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therefore increasing their chances for further injuries.</w:t>
      </w:r>
    </w:p>
    <w:p w14:paraId="7797610F" w14:textId="77777777" w:rsidR="008D0565" w:rsidRPr="00D61F73" w:rsidRDefault="008D0565" w:rsidP="00D61F73">
      <w:pPr>
        <w:pStyle w:val="BodyText"/>
        <w:rPr>
          <w:rFonts w:ascii="Arial" w:hAnsi="Arial" w:cs="Arial"/>
          <w:b w:val="0"/>
          <w:bCs w:val="0"/>
        </w:rPr>
      </w:pPr>
    </w:p>
    <w:p w14:paraId="05738426"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R</w:t>
      </w:r>
      <w:bookmarkStart w:id="1077" w:name="Roberts2002"/>
      <w:bookmarkEnd w:id="1077"/>
      <w:r w:rsidRPr="00D61F73">
        <w:rPr>
          <w:rFonts w:ascii="Arial" w:hAnsi="Arial" w:cs="Arial"/>
          <w:b/>
        </w:rPr>
        <w:t xml:space="preserve">oberts LJ, Finch PM, Pullan PT, Bhagat CI, Price LM. Sex hormone suppression by intrathecal opioids: a prospective study. </w:t>
      </w:r>
      <w:r w:rsidRPr="00D61F73">
        <w:rPr>
          <w:rFonts w:ascii="Arial" w:hAnsi="Arial" w:cs="Arial"/>
          <w:b/>
          <w:i/>
        </w:rPr>
        <w:t>Clin J Pain</w:t>
      </w:r>
      <w:r w:rsidRPr="00D61F73">
        <w:rPr>
          <w:rFonts w:ascii="Arial" w:hAnsi="Arial" w:cs="Arial"/>
          <w:b/>
        </w:rPr>
        <w:t>. 2002 ;18:144-8.</w:t>
      </w:r>
    </w:p>
    <w:p w14:paraId="3BA1577C" w14:textId="77777777" w:rsidR="008D0565" w:rsidRPr="00D61F73" w:rsidRDefault="008D0565" w:rsidP="00D61F73">
      <w:pPr>
        <w:rPr>
          <w:rFonts w:ascii="Arial" w:hAnsi="Arial" w:cs="Arial"/>
        </w:rPr>
      </w:pPr>
    </w:p>
    <w:p w14:paraId="37A5F3EF" w14:textId="77777777" w:rsidR="008D0565" w:rsidRPr="00D61F73" w:rsidRDefault="008D0565" w:rsidP="00D61F73">
      <w:pPr>
        <w:rPr>
          <w:rFonts w:ascii="Arial" w:hAnsi="Arial" w:cs="Arial"/>
        </w:rPr>
      </w:pPr>
      <w:r w:rsidRPr="00D61F73">
        <w:rPr>
          <w:rFonts w:ascii="Arial" w:hAnsi="Arial" w:cs="Arial"/>
        </w:rPr>
        <w:t xml:space="preserve">CONCLUSIONS: Administration of intrathecal opioids may result in hypogonadotrophic hypogonadism. As part of the consent for therapy process, patients should be informed about this effect and its management. </w:t>
      </w:r>
    </w:p>
    <w:p w14:paraId="748BE107" w14:textId="77777777" w:rsidR="008D0565" w:rsidRPr="00D61F73" w:rsidRDefault="008D0565" w:rsidP="00D61F73">
      <w:pPr>
        <w:rPr>
          <w:rFonts w:ascii="Arial" w:hAnsi="Arial" w:cs="Arial"/>
        </w:rPr>
      </w:pPr>
    </w:p>
    <w:p w14:paraId="3544B524" w14:textId="77777777" w:rsidR="008D0565" w:rsidRPr="00D61F73" w:rsidRDefault="008D0565" w:rsidP="00D61F73">
      <w:pPr>
        <w:rPr>
          <w:rFonts w:ascii="Arial" w:hAnsi="Arial" w:cs="Arial"/>
        </w:rPr>
      </w:pPr>
      <w:r w:rsidRPr="00D61F73">
        <w:rPr>
          <w:rFonts w:ascii="Arial" w:hAnsi="Arial" w:cs="Arial"/>
        </w:rPr>
        <w:t xml:space="preserve">PMID: </w:t>
      </w:r>
      <w:hyperlink r:id="rId731" w:history="1">
        <w:r w:rsidRPr="00D61F73">
          <w:rPr>
            <w:rStyle w:val="Hyperlink"/>
            <w:rFonts w:ascii="Arial" w:hAnsi="Arial" w:cs="Arial"/>
          </w:rPr>
          <w:t>12048415</w:t>
        </w:r>
      </w:hyperlink>
    </w:p>
    <w:p w14:paraId="27E5F9A0" w14:textId="77777777" w:rsidR="008D0565" w:rsidRPr="00D61F73" w:rsidRDefault="008D0565" w:rsidP="00D61F73">
      <w:pPr>
        <w:rPr>
          <w:rFonts w:ascii="Arial" w:hAnsi="Arial" w:cs="Arial"/>
        </w:rPr>
      </w:pPr>
    </w:p>
    <w:p w14:paraId="3CA636E8" w14:textId="77777777" w:rsidR="008D0565" w:rsidRPr="00D61F73" w:rsidRDefault="008D0565" w:rsidP="00D61F73">
      <w:pPr>
        <w:rPr>
          <w:rFonts w:ascii="Arial" w:hAnsi="Arial" w:cs="Arial"/>
        </w:rPr>
      </w:pPr>
      <w:r w:rsidRPr="00D61F73">
        <w:rPr>
          <w:rFonts w:ascii="Arial" w:hAnsi="Arial" w:cs="Arial"/>
        </w:rPr>
        <w:t>Rating: 4c</w:t>
      </w:r>
    </w:p>
    <w:p w14:paraId="4F953C92"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78" w:name="Roberts2000"/>
      <w:bookmarkEnd w:id="1078"/>
      <w:r w:rsidRPr="00D61F73">
        <w:rPr>
          <w:rFonts w:ascii="Arial" w:hAnsi="Arial" w:cs="Arial"/>
          <w:b/>
        </w:rPr>
        <w:t xml:space="preserve">oberts LJ, Price L, Hadlow NC, Pullan PT. Hypogonadism in patients treated with intrathecal morphine. </w:t>
      </w:r>
      <w:r w:rsidRPr="00D61F73">
        <w:rPr>
          <w:rFonts w:ascii="Arial" w:hAnsi="Arial" w:cs="Arial"/>
          <w:b/>
          <w:i/>
        </w:rPr>
        <w:t>Clin J Pain</w:t>
      </w:r>
      <w:r w:rsidRPr="00D61F73">
        <w:rPr>
          <w:rFonts w:ascii="Arial" w:hAnsi="Arial" w:cs="Arial"/>
          <w:b/>
        </w:rPr>
        <w:t>. 2000;16:251-4.</w:t>
      </w:r>
    </w:p>
    <w:p w14:paraId="2B418229" w14:textId="77777777" w:rsidR="008D0565" w:rsidRPr="00D61F73" w:rsidRDefault="008D0565" w:rsidP="00D61F73">
      <w:pPr>
        <w:rPr>
          <w:rFonts w:ascii="Arial" w:hAnsi="Arial" w:cs="Arial"/>
        </w:rPr>
      </w:pPr>
    </w:p>
    <w:p w14:paraId="0B2B1F90" w14:textId="77777777" w:rsidR="008D0565" w:rsidRPr="00D61F73" w:rsidRDefault="008D0565" w:rsidP="00D61F73">
      <w:pPr>
        <w:rPr>
          <w:rFonts w:ascii="Arial" w:hAnsi="Arial" w:cs="Arial"/>
        </w:rPr>
      </w:pPr>
      <w:r w:rsidRPr="00D61F73">
        <w:rPr>
          <w:rFonts w:ascii="Arial" w:hAnsi="Arial" w:cs="Arial"/>
        </w:rPr>
        <w:t>CONCLUSIONS: Hypogonadotrophic hypogonadism is a common complication of intrathecal opioid therapy in both men and women.</w:t>
      </w:r>
    </w:p>
    <w:p w14:paraId="1066816D" w14:textId="77777777" w:rsidR="008D0565" w:rsidRPr="00D61F73" w:rsidRDefault="008D0565" w:rsidP="00D61F73">
      <w:pPr>
        <w:rPr>
          <w:rFonts w:ascii="Arial" w:hAnsi="Arial" w:cs="Arial"/>
        </w:rPr>
      </w:pPr>
    </w:p>
    <w:p w14:paraId="477FE938" w14:textId="77777777" w:rsidR="008D0565" w:rsidRPr="00D61F73" w:rsidRDefault="008D0565" w:rsidP="00D61F73">
      <w:pPr>
        <w:rPr>
          <w:rFonts w:ascii="Arial" w:hAnsi="Arial" w:cs="Arial"/>
        </w:rPr>
      </w:pPr>
      <w:r w:rsidRPr="00D61F73">
        <w:rPr>
          <w:rFonts w:ascii="Arial" w:hAnsi="Arial" w:cs="Arial"/>
        </w:rPr>
        <w:t xml:space="preserve">PMID: </w:t>
      </w:r>
      <w:hyperlink r:id="rId732" w:history="1">
        <w:r w:rsidRPr="00D61F73">
          <w:rPr>
            <w:rStyle w:val="Hyperlink"/>
            <w:rFonts w:ascii="Arial" w:hAnsi="Arial" w:cs="Arial"/>
          </w:rPr>
          <w:t>11014399</w:t>
        </w:r>
      </w:hyperlink>
    </w:p>
    <w:p w14:paraId="1122F325" w14:textId="77777777" w:rsidR="008D0565" w:rsidRPr="00D61F73" w:rsidRDefault="008D0565" w:rsidP="00D61F73">
      <w:pPr>
        <w:rPr>
          <w:rFonts w:ascii="Arial" w:hAnsi="Arial" w:cs="Arial"/>
        </w:rPr>
      </w:pPr>
    </w:p>
    <w:p w14:paraId="04D69834" w14:textId="77777777" w:rsidR="008D0565" w:rsidRPr="00D61F73" w:rsidRDefault="008D0565" w:rsidP="00D61F73">
      <w:pPr>
        <w:rPr>
          <w:rFonts w:ascii="Arial" w:hAnsi="Arial" w:cs="Arial"/>
        </w:rPr>
      </w:pPr>
      <w:r w:rsidRPr="00D61F73">
        <w:rPr>
          <w:rFonts w:ascii="Arial" w:hAnsi="Arial" w:cs="Arial"/>
        </w:rPr>
        <w:t>Rating: 3c</w:t>
      </w:r>
    </w:p>
    <w:p w14:paraId="3799BA7D" w14:textId="77777777" w:rsidR="008D0565" w:rsidRPr="00D61F73" w:rsidRDefault="008D0565" w:rsidP="00D61F73">
      <w:pPr>
        <w:rPr>
          <w:rFonts w:ascii="Arial" w:hAnsi="Arial" w:cs="Arial"/>
        </w:rPr>
      </w:pPr>
    </w:p>
    <w:p w14:paraId="1F941EB6"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R</w:t>
      </w:r>
      <w:bookmarkStart w:id="1079" w:name="Roberts"/>
      <w:bookmarkEnd w:id="1079"/>
      <w:r w:rsidRPr="00D61F73">
        <w:rPr>
          <w:rFonts w:ascii="Arial" w:hAnsi="Arial" w:cs="Arial"/>
          <w:b/>
          <w:bCs/>
        </w:rPr>
        <w:t xml:space="preserve">oberts, L. J., et al. Outcome of intrathecal opioids in chronic non-cancer pain </w:t>
      </w:r>
      <w:r w:rsidRPr="00D61F73">
        <w:rPr>
          <w:rFonts w:ascii="Arial" w:hAnsi="Arial" w:cs="Arial"/>
          <w:b/>
          <w:bCs/>
          <w:i/>
          <w:iCs/>
        </w:rPr>
        <w:t>European Journal of Pain.</w:t>
      </w:r>
      <w:r w:rsidRPr="00D61F73">
        <w:rPr>
          <w:rFonts w:ascii="Arial" w:hAnsi="Arial" w:cs="Arial"/>
          <w:b/>
          <w:bCs/>
        </w:rPr>
        <w:t xml:space="preserve"> 2001; Number 5: 353-361.</w:t>
      </w:r>
    </w:p>
    <w:p w14:paraId="106AE2AB" w14:textId="77777777" w:rsidR="008D0565" w:rsidRPr="00D61F73" w:rsidRDefault="008D0565" w:rsidP="00D61F73">
      <w:pPr>
        <w:rPr>
          <w:rFonts w:ascii="Arial" w:hAnsi="Arial" w:cs="Arial"/>
        </w:rPr>
      </w:pPr>
    </w:p>
    <w:p w14:paraId="6F867696" w14:textId="77777777" w:rsidR="008D0565" w:rsidRPr="00D61F73" w:rsidRDefault="008D0565" w:rsidP="00D61F73">
      <w:pPr>
        <w:rPr>
          <w:rFonts w:ascii="Arial" w:hAnsi="Arial" w:cs="Arial"/>
        </w:rPr>
      </w:pPr>
      <w:r w:rsidRPr="00D61F73">
        <w:rPr>
          <w:rFonts w:ascii="Arial" w:hAnsi="Arial" w:cs="Arial"/>
        </w:rPr>
        <w:t>Rating: 5c</w:t>
      </w:r>
    </w:p>
    <w:p w14:paraId="148048BD" w14:textId="77777777" w:rsidR="008D0565" w:rsidRPr="00D61F73" w:rsidRDefault="008D0565" w:rsidP="00D61F73">
      <w:pPr>
        <w:rPr>
          <w:rFonts w:ascii="Arial" w:hAnsi="Arial" w:cs="Arial"/>
        </w:rPr>
      </w:pPr>
    </w:p>
    <w:p w14:paraId="18733209" w14:textId="77777777" w:rsidR="008D0565" w:rsidRPr="00D61F73" w:rsidRDefault="008D0565" w:rsidP="00D61F73">
      <w:pPr>
        <w:rPr>
          <w:rFonts w:ascii="Arial" w:hAnsi="Arial" w:cs="Arial"/>
        </w:rPr>
      </w:pPr>
      <w:r w:rsidRPr="00D61F73">
        <w:rPr>
          <w:rFonts w:ascii="Arial" w:hAnsi="Arial" w:cs="Arial"/>
        </w:rPr>
        <w:t xml:space="preserve">Quality: N/A. Total Rating: N/A. Comment: Does not meet inclusion criteria for evidence-based review. </w:t>
      </w:r>
    </w:p>
    <w:p w14:paraId="16533FAA" w14:textId="77777777" w:rsidR="008D0565" w:rsidRPr="00D61F73" w:rsidRDefault="008D0565" w:rsidP="00D61F73">
      <w:pPr>
        <w:rPr>
          <w:rFonts w:ascii="Arial" w:hAnsi="Arial" w:cs="Arial"/>
          <w:b/>
          <w:bCs/>
        </w:rPr>
      </w:pPr>
    </w:p>
    <w:p w14:paraId="12BE1FAC"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R</w:t>
      </w:r>
      <w:bookmarkStart w:id="1080" w:name="Robertson"/>
      <w:bookmarkEnd w:id="1080"/>
      <w:r w:rsidRPr="00D61F73">
        <w:rPr>
          <w:rFonts w:ascii="Arial" w:hAnsi="Arial" w:cs="Arial"/>
          <w:b/>
          <w:bCs/>
        </w:rPr>
        <w:t xml:space="preserve">obertson VJ, Baker KG. A review of therapeutic ultrasound: effectiveness studies. </w:t>
      </w:r>
      <w:r w:rsidRPr="00D61F73">
        <w:rPr>
          <w:rFonts w:ascii="Arial" w:hAnsi="Arial" w:cs="Arial"/>
          <w:b/>
          <w:bCs/>
          <w:i/>
          <w:iCs/>
        </w:rPr>
        <w:t xml:space="preserve">Phys Ther. </w:t>
      </w:r>
      <w:r w:rsidRPr="00D61F73">
        <w:rPr>
          <w:rFonts w:ascii="Arial" w:hAnsi="Arial" w:cs="Arial"/>
          <w:b/>
          <w:bCs/>
        </w:rPr>
        <w:t>2001 Jul;81(7):1339-50.</w:t>
      </w:r>
    </w:p>
    <w:p w14:paraId="22D1C4D4" w14:textId="77777777" w:rsidR="008D0565" w:rsidRPr="00D61F73" w:rsidRDefault="008D0565" w:rsidP="00D61F73">
      <w:pPr>
        <w:rPr>
          <w:rFonts w:ascii="Arial" w:hAnsi="Arial" w:cs="Arial"/>
        </w:rPr>
      </w:pPr>
    </w:p>
    <w:p w14:paraId="6478CD75" w14:textId="77777777" w:rsidR="008D0565" w:rsidRPr="00D61F73" w:rsidRDefault="008D0565" w:rsidP="00D61F73">
      <w:pPr>
        <w:rPr>
          <w:rFonts w:ascii="Arial" w:hAnsi="Arial" w:cs="Arial"/>
        </w:rPr>
      </w:pPr>
      <w:r w:rsidRPr="00D61F73">
        <w:rPr>
          <w:rFonts w:ascii="Arial" w:hAnsi="Arial" w:cs="Arial"/>
        </w:rPr>
        <w:t xml:space="preserve">CONCLUSION: There was little evidence that active therapeutic ultrasound is more effective than placebo ultrasound for treating people with pain or a range of musculoskeletal injuries or for promoting soft tissue healing. </w:t>
      </w:r>
    </w:p>
    <w:p w14:paraId="096EF68C" w14:textId="77777777" w:rsidR="008D0565" w:rsidRPr="00D61F73" w:rsidRDefault="008D0565" w:rsidP="00D61F73">
      <w:pPr>
        <w:rPr>
          <w:rFonts w:ascii="Arial" w:hAnsi="Arial" w:cs="Arial"/>
        </w:rPr>
      </w:pPr>
    </w:p>
    <w:p w14:paraId="00F501B3" w14:textId="77777777" w:rsidR="008D0565" w:rsidRPr="00D61F73" w:rsidRDefault="008D0565" w:rsidP="00D61F73">
      <w:pPr>
        <w:rPr>
          <w:rFonts w:ascii="Arial" w:hAnsi="Arial" w:cs="Arial"/>
        </w:rPr>
      </w:pPr>
      <w:r w:rsidRPr="00D61F73">
        <w:rPr>
          <w:rFonts w:ascii="Arial" w:hAnsi="Arial" w:cs="Arial"/>
        </w:rPr>
        <w:t xml:space="preserve">PMID: </w:t>
      </w:r>
      <w:hyperlink r:id="rId733" w:history="1">
        <w:r w:rsidRPr="00D61F73">
          <w:rPr>
            <w:rStyle w:val="Hyperlink"/>
            <w:rFonts w:ascii="Arial" w:hAnsi="Arial" w:cs="Arial"/>
          </w:rPr>
          <w:t>11444997</w:t>
        </w:r>
      </w:hyperlink>
      <w:r w:rsidRPr="00D61F73">
        <w:rPr>
          <w:rFonts w:ascii="Arial" w:hAnsi="Arial" w:cs="Arial"/>
        </w:rPr>
        <w:t xml:space="preserve"> </w:t>
      </w:r>
    </w:p>
    <w:p w14:paraId="524EE347" w14:textId="77777777" w:rsidR="008D0565" w:rsidRPr="00D61F73" w:rsidRDefault="008D0565" w:rsidP="00D61F73">
      <w:pPr>
        <w:rPr>
          <w:rFonts w:ascii="Arial" w:hAnsi="Arial" w:cs="Arial"/>
        </w:rPr>
      </w:pPr>
    </w:p>
    <w:p w14:paraId="3771FDED" w14:textId="77777777" w:rsidR="008D0565" w:rsidRPr="00D61F73" w:rsidRDefault="008D0565" w:rsidP="00D61F73">
      <w:pPr>
        <w:rPr>
          <w:rFonts w:ascii="Arial" w:hAnsi="Arial" w:cs="Arial"/>
        </w:rPr>
      </w:pPr>
      <w:r w:rsidRPr="00D61F73">
        <w:rPr>
          <w:rFonts w:ascii="Arial" w:hAnsi="Arial" w:cs="Arial"/>
        </w:rPr>
        <w:t>Rating: 1b</w:t>
      </w:r>
    </w:p>
    <w:p w14:paraId="2B2737F4" w14:textId="77777777" w:rsidR="008D0565" w:rsidRPr="00D61F73" w:rsidRDefault="008D0565" w:rsidP="00D61F73">
      <w:pPr>
        <w:pStyle w:val="BodyText"/>
        <w:rPr>
          <w:rFonts w:ascii="Arial" w:hAnsi="Arial" w:cs="Arial"/>
        </w:rPr>
      </w:pPr>
      <w:r w:rsidRPr="00D61F73">
        <w:rPr>
          <w:rFonts w:ascii="Arial" w:hAnsi="Arial" w:cs="Arial"/>
        </w:rPr>
        <w:br w:type="page"/>
      </w:r>
      <w:bookmarkStart w:id="1081" w:name="Robinson"/>
      <w:r w:rsidRPr="00D61F73">
        <w:rPr>
          <w:rFonts w:ascii="Arial" w:hAnsi="Arial" w:cs="Arial"/>
        </w:rPr>
        <w:lastRenderedPageBreak/>
        <w:t xml:space="preserve">Robinson </w:t>
      </w:r>
      <w:bookmarkEnd w:id="1081"/>
      <w:r w:rsidRPr="00D61F73">
        <w:rPr>
          <w:rFonts w:ascii="Arial" w:hAnsi="Arial" w:cs="Arial"/>
        </w:rPr>
        <w:t xml:space="preserve">JP, Fulton-Keohe D, Martin C, Franklin GM. Outcomes of Pain Center Treatment in Washington State Workers’ Compensation. </w:t>
      </w:r>
      <w:r w:rsidRPr="00D61F73">
        <w:rPr>
          <w:rFonts w:ascii="Arial" w:hAnsi="Arial" w:cs="Arial"/>
          <w:i/>
          <w:iCs/>
        </w:rPr>
        <w:t>Am J Ind Med</w:t>
      </w:r>
      <w:r w:rsidRPr="00D61F73">
        <w:rPr>
          <w:rFonts w:ascii="Arial" w:hAnsi="Arial" w:cs="Arial"/>
        </w:rPr>
        <w:t xml:space="preserve"> 2001;227-236.</w:t>
      </w:r>
    </w:p>
    <w:p w14:paraId="1A9A50BA" w14:textId="77777777" w:rsidR="008D0565" w:rsidRPr="00D61F73" w:rsidRDefault="008D0565" w:rsidP="00D61F73">
      <w:pPr>
        <w:pStyle w:val="BodyText"/>
        <w:rPr>
          <w:rFonts w:ascii="Arial" w:hAnsi="Arial" w:cs="Arial"/>
        </w:rPr>
      </w:pPr>
    </w:p>
    <w:p w14:paraId="2D17B52E"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CONCLUSIONS: There was no evidence that pain center treatment alters 2-year time loss status of already disabled workers. Crude comparison </w:t>
      </w:r>
      <w:r w:rsidRPr="00D61F73">
        <w:rPr>
          <w:rFonts w:ascii="Arial" w:hAnsi="Arial" w:cs="Arial"/>
          <w:b w:val="0"/>
          <w:bCs w:val="0"/>
          <w:color w:val="000000"/>
        </w:rPr>
        <w:t>showed that odds of receiving</w:t>
      </w:r>
      <w:r w:rsidRPr="00D61F73">
        <w:rPr>
          <w:rFonts w:ascii="Arial" w:hAnsi="Arial" w:cs="Arial"/>
          <w:b w:val="0"/>
          <w:bCs w:val="0"/>
        </w:rPr>
        <w:t xml:space="preserve"> time loss payments was lower in treated than in untreated group (OR=0.83, 95% C.I.=0.68-1.00). Apparent advantage of treated group was due to confounders, since pain centers enroll patients with more favorable prognoses (younger, female, less chronic)</w:t>
      </w:r>
    </w:p>
    <w:p w14:paraId="018E75BD" w14:textId="77777777" w:rsidR="008D0565" w:rsidRPr="00D61F73" w:rsidRDefault="008D0565" w:rsidP="00D61F73">
      <w:pPr>
        <w:pStyle w:val="BodyText"/>
        <w:rPr>
          <w:rFonts w:ascii="Arial" w:hAnsi="Arial" w:cs="Arial"/>
          <w:b w:val="0"/>
          <w:bCs w:val="0"/>
        </w:rPr>
      </w:pPr>
    </w:p>
    <w:p w14:paraId="514786D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Publication Type: Case Control Study, 2032 cases </w:t>
      </w:r>
    </w:p>
    <w:p w14:paraId="400C9BE8" w14:textId="77777777" w:rsidR="008D0565" w:rsidRPr="00D61F73" w:rsidRDefault="008D0565" w:rsidP="00D61F73">
      <w:pPr>
        <w:pStyle w:val="NormalWeb"/>
        <w:spacing w:before="0" w:beforeAutospacing="0" w:after="0" w:afterAutospacing="0"/>
        <w:rPr>
          <w:rFonts w:ascii="Arial" w:hAnsi="Arial" w:cs="Arial"/>
        </w:rPr>
      </w:pPr>
    </w:p>
    <w:p w14:paraId="3EC5E24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4885C2B0" w14:textId="77777777" w:rsidR="008D0565" w:rsidRPr="00D61F73" w:rsidRDefault="008D0565" w:rsidP="00D61F73">
      <w:pPr>
        <w:rPr>
          <w:rFonts w:ascii="Arial" w:hAnsi="Arial" w:cs="Arial"/>
          <w:b/>
          <w:bCs/>
        </w:rPr>
      </w:pPr>
      <w:r w:rsidRPr="00D61F73">
        <w:rPr>
          <w:rFonts w:ascii="Arial" w:hAnsi="Arial" w:cs="Arial"/>
        </w:rPr>
        <w:br w:type="page"/>
      </w:r>
      <w:bookmarkStart w:id="1082" w:name="Robinson2"/>
      <w:r w:rsidRPr="00D61F73">
        <w:rPr>
          <w:rFonts w:ascii="Arial" w:hAnsi="Arial" w:cs="Arial"/>
          <w:b/>
          <w:bCs/>
        </w:rPr>
        <w:lastRenderedPageBreak/>
        <w:t>Robinson</w:t>
      </w:r>
      <w:bookmarkEnd w:id="1082"/>
      <w:r w:rsidRPr="00D61F73">
        <w:rPr>
          <w:rFonts w:ascii="Arial" w:hAnsi="Arial" w:cs="Arial"/>
          <w:b/>
          <w:bCs/>
        </w:rPr>
        <w:t xml:space="preserve"> JP, Fulton-Kehoe D, Franklin GM, Wu R, Multidisciplinary pain center outcomes in Washington State Workers' Compensation, </w:t>
      </w:r>
      <w:r w:rsidRPr="00D61F73">
        <w:rPr>
          <w:rFonts w:ascii="Arial" w:hAnsi="Arial" w:cs="Arial"/>
          <w:b/>
          <w:bCs/>
          <w:i/>
          <w:iCs/>
        </w:rPr>
        <w:t>J Occup Environ Med</w:t>
      </w:r>
      <w:r w:rsidRPr="00D61F73">
        <w:rPr>
          <w:rFonts w:ascii="Arial" w:hAnsi="Arial" w:cs="Arial"/>
          <w:b/>
          <w:bCs/>
        </w:rPr>
        <w:t>. 2004 May;46(5):473-8.</w:t>
      </w:r>
    </w:p>
    <w:p w14:paraId="4E8AA311" w14:textId="77777777" w:rsidR="008D0565" w:rsidRPr="00D61F73" w:rsidRDefault="008D0565" w:rsidP="00D61F73">
      <w:pPr>
        <w:rPr>
          <w:rFonts w:ascii="Arial" w:hAnsi="Arial" w:cs="Arial"/>
        </w:rPr>
      </w:pPr>
    </w:p>
    <w:p w14:paraId="379EA7CE" w14:textId="77777777" w:rsidR="008D0565" w:rsidRPr="00D61F73" w:rsidRDefault="008D0565" w:rsidP="00D61F73">
      <w:pPr>
        <w:rPr>
          <w:rFonts w:ascii="Arial" w:hAnsi="Arial" w:cs="Arial"/>
        </w:rPr>
      </w:pPr>
      <w:r w:rsidRPr="00D61F73">
        <w:rPr>
          <w:rFonts w:ascii="Arial" w:hAnsi="Arial" w:cs="Arial"/>
        </w:rPr>
        <w:t>We conducted this study to evaluate the clinical and disability status of injured workers 4.6 years after undergoing multidisciplinary pain center evaluation, comparing subjects who received treatment to subjects who were evaluated only. Three hundred injured workers were selected for a telephone survey. At 4.6 years follow up, there was no evidence that pain center treatment affects either disability status or clinical status of injured workers.</w:t>
      </w:r>
    </w:p>
    <w:p w14:paraId="5C986180" w14:textId="77777777" w:rsidR="008D0565" w:rsidRPr="00D61F73" w:rsidRDefault="008D0565" w:rsidP="00D61F73">
      <w:pPr>
        <w:rPr>
          <w:rFonts w:ascii="Arial" w:hAnsi="Arial" w:cs="Arial"/>
        </w:rPr>
      </w:pPr>
    </w:p>
    <w:p w14:paraId="5CE15945" w14:textId="77777777" w:rsidR="008D0565" w:rsidRPr="00D61F73" w:rsidRDefault="008D0565" w:rsidP="00D61F73">
      <w:pPr>
        <w:rPr>
          <w:rFonts w:ascii="Arial" w:hAnsi="Arial" w:cs="Arial"/>
        </w:rPr>
      </w:pPr>
      <w:r w:rsidRPr="00D61F73">
        <w:rPr>
          <w:rFonts w:ascii="Arial" w:hAnsi="Arial" w:cs="Arial"/>
        </w:rPr>
        <w:t xml:space="preserve">PMID: </w:t>
      </w:r>
      <w:hyperlink r:id="rId734" w:history="1">
        <w:r w:rsidRPr="00D61F73">
          <w:rPr>
            <w:rStyle w:val="Hyperlink"/>
            <w:rFonts w:ascii="Arial" w:hAnsi="Arial" w:cs="Arial"/>
          </w:rPr>
          <w:t>15167396</w:t>
        </w:r>
      </w:hyperlink>
      <w:r w:rsidRPr="00D61F73">
        <w:rPr>
          <w:rFonts w:ascii="Arial" w:hAnsi="Arial" w:cs="Arial"/>
        </w:rPr>
        <w:t xml:space="preserve"> </w:t>
      </w:r>
    </w:p>
    <w:p w14:paraId="4C2A89E0" w14:textId="77777777" w:rsidR="008D0565" w:rsidRPr="00D61F73" w:rsidRDefault="008D0565" w:rsidP="00D61F73">
      <w:pPr>
        <w:pStyle w:val="NormalWeb"/>
        <w:spacing w:before="0" w:beforeAutospacing="0" w:after="0" w:afterAutospacing="0"/>
        <w:rPr>
          <w:rFonts w:ascii="Arial" w:hAnsi="Arial" w:cs="Arial"/>
        </w:rPr>
      </w:pPr>
    </w:p>
    <w:p w14:paraId="16F8401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4b</w:t>
      </w:r>
    </w:p>
    <w:p w14:paraId="4CBFE43C" w14:textId="77777777" w:rsidR="008D0565" w:rsidRPr="00D61F73" w:rsidRDefault="008D0565" w:rsidP="00D61F73">
      <w:pPr>
        <w:rPr>
          <w:rFonts w:ascii="Arial" w:eastAsia="Arial Unicode MS" w:hAnsi="Arial" w:cs="Arial"/>
          <w:b/>
          <w:bCs/>
          <w:color w:val="auto"/>
        </w:rPr>
      </w:pPr>
      <w:r w:rsidRPr="00D61F73">
        <w:rPr>
          <w:rFonts w:ascii="Arial" w:eastAsia="Arial Unicode MS" w:hAnsi="Arial" w:cs="Arial"/>
          <w:b/>
          <w:bCs/>
          <w:color w:val="auto"/>
        </w:rPr>
        <w:br w:type="page"/>
      </w:r>
      <w:r w:rsidRPr="00D61F73">
        <w:rPr>
          <w:rFonts w:ascii="Arial" w:eastAsia="Arial Unicode MS" w:hAnsi="Arial" w:cs="Arial"/>
          <w:b/>
          <w:bCs/>
          <w:color w:val="auto"/>
        </w:rPr>
        <w:lastRenderedPageBreak/>
        <w:t>R</w:t>
      </w:r>
      <w:bookmarkStart w:id="1083" w:name="Robson2014"/>
      <w:bookmarkEnd w:id="1083"/>
      <w:r w:rsidRPr="00D61F73">
        <w:rPr>
          <w:rFonts w:ascii="Arial" w:eastAsia="Arial Unicode MS" w:hAnsi="Arial" w:cs="Arial"/>
          <w:b/>
          <w:bCs/>
          <w:color w:val="auto"/>
        </w:rPr>
        <w:t xml:space="preserve">obson PJ. Therapeutic potential of cannabinoid medicines. </w:t>
      </w:r>
      <w:r w:rsidRPr="00D61F73">
        <w:rPr>
          <w:rFonts w:ascii="Arial" w:eastAsia="Arial Unicode MS" w:hAnsi="Arial" w:cs="Arial"/>
          <w:b/>
          <w:bCs/>
          <w:i/>
          <w:iCs/>
          <w:color w:val="auto"/>
        </w:rPr>
        <w:t>Drug Test Anal.</w:t>
      </w:r>
      <w:r w:rsidRPr="00D61F73">
        <w:rPr>
          <w:rFonts w:ascii="Arial" w:eastAsia="Arial Unicode MS" w:hAnsi="Arial" w:cs="Arial"/>
          <w:b/>
          <w:bCs/>
          <w:color w:val="auto"/>
        </w:rPr>
        <w:t xml:space="preserve"> 2014 Jan-Feb;6(1-2):24-30. doi: 10.1002/dta.1529.</w:t>
      </w:r>
    </w:p>
    <w:p w14:paraId="78A3B3E0" w14:textId="77777777" w:rsidR="008D0565" w:rsidRPr="00D61F73" w:rsidRDefault="008D0565" w:rsidP="00D61F73">
      <w:pPr>
        <w:rPr>
          <w:rFonts w:ascii="Arial" w:eastAsia="Arial Unicode MS" w:hAnsi="Arial" w:cs="Arial"/>
          <w:color w:val="auto"/>
        </w:rPr>
      </w:pPr>
    </w:p>
    <w:p w14:paraId="3B388FA9"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 xml:space="preserve">PMID: </w:t>
      </w:r>
      <w:hyperlink r:id="rId735" w:history="1">
        <w:r w:rsidRPr="00D61F73">
          <w:rPr>
            <w:rStyle w:val="Hyperlink"/>
            <w:rFonts w:ascii="Arial" w:eastAsia="Arial Unicode MS" w:hAnsi="Arial" w:cs="Arial"/>
          </w:rPr>
          <w:t>24006213</w:t>
        </w:r>
      </w:hyperlink>
    </w:p>
    <w:p w14:paraId="03EC26D5" w14:textId="77777777" w:rsidR="008D0565" w:rsidRPr="00D61F73" w:rsidRDefault="008D0565" w:rsidP="00D61F73">
      <w:pPr>
        <w:rPr>
          <w:rFonts w:ascii="Arial" w:eastAsia="Arial Unicode MS" w:hAnsi="Arial" w:cs="Arial"/>
          <w:color w:val="auto"/>
        </w:rPr>
      </w:pPr>
    </w:p>
    <w:p w14:paraId="159A6417" w14:textId="77777777" w:rsidR="008D0565" w:rsidRPr="00D61F73" w:rsidRDefault="008D0565" w:rsidP="00D61F73">
      <w:pPr>
        <w:rPr>
          <w:rFonts w:ascii="Arial" w:eastAsia="Arial Unicode MS" w:hAnsi="Arial" w:cs="Arial"/>
          <w:color w:val="auto"/>
        </w:rPr>
      </w:pPr>
      <w:r w:rsidRPr="00D61F73">
        <w:rPr>
          <w:rFonts w:ascii="Arial" w:eastAsia="Arial Unicode MS" w:hAnsi="Arial" w:cs="Arial"/>
          <w:color w:val="auto"/>
        </w:rPr>
        <w:t>Rating: 5b</w:t>
      </w:r>
    </w:p>
    <w:p w14:paraId="5EFE8E5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84" w:name="RodriguezMoreno1990"/>
      <w:bookmarkEnd w:id="1084"/>
      <w:r w:rsidRPr="00D61F73">
        <w:rPr>
          <w:rFonts w:ascii="Arial" w:hAnsi="Arial" w:cs="Arial"/>
          <w:b/>
          <w:bCs/>
        </w:rPr>
        <w:t xml:space="preserve">odriguez-Moreno J, Ruiz-Martin JM, Mateo-Soria L, Rozadilla A, Roig-Escofet D. Munchausen's syndrome simulating reflex sympathetic dystrophy. </w:t>
      </w:r>
      <w:r w:rsidRPr="00D61F73">
        <w:rPr>
          <w:rFonts w:ascii="Arial" w:hAnsi="Arial" w:cs="Arial"/>
          <w:b/>
          <w:bCs/>
          <w:i/>
          <w:iCs/>
        </w:rPr>
        <w:t>Ann Rheum Dis.</w:t>
      </w:r>
      <w:r w:rsidRPr="00D61F73">
        <w:rPr>
          <w:rFonts w:ascii="Arial" w:hAnsi="Arial" w:cs="Arial"/>
          <w:b/>
          <w:bCs/>
        </w:rPr>
        <w:t xml:space="preserve"> 1990 Dec;49(12):1010-2.</w:t>
      </w:r>
    </w:p>
    <w:p w14:paraId="66A84E9D" w14:textId="77777777" w:rsidR="008D0565" w:rsidRPr="00D61F73" w:rsidRDefault="008D0565" w:rsidP="00D61F73">
      <w:pPr>
        <w:rPr>
          <w:rFonts w:ascii="Arial" w:hAnsi="Arial" w:cs="Arial"/>
        </w:rPr>
      </w:pPr>
    </w:p>
    <w:p w14:paraId="61DCCC27" w14:textId="77777777" w:rsidR="008D0565" w:rsidRPr="00D61F73" w:rsidRDefault="008D0565" w:rsidP="00D61F73">
      <w:pPr>
        <w:rPr>
          <w:rFonts w:ascii="Arial" w:hAnsi="Arial" w:cs="Arial"/>
        </w:rPr>
      </w:pPr>
      <w:r w:rsidRPr="00D61F73">
        <w:rPr>
          <w:rFonts w:ascii="Arial" w:hAnsi="Arial" w:cs="Arial"/>
        </w:rPr>
        <w:t xml:space="preserve">PMID: </w:t>
      </w:r>
      <w:hyperlink r:id="rId736" w:history="1">
        <w:r w:rsidRPr="00D61F73">
          <w:rPr>
            <w:rStyle w:val="Hyperlink"/>
            <w:rFonts w:ascii="Arial" w:hAnsi="Arial" w:cs="Arial"/>
          </w:rPr>
          <w:t>2270960</w:t>
        </w:r>
      </w:hyperlink>
    </w:p>
    <w:p w14:paraId="6E90DC51" w14:textId="77777777" w:rsidR="008D0565" w:rsidRPr="00D61F73" w:rsidRDefault="008D0565" w:rsidP="00D61F73">
      <w:pPr>
        <w:rPr>
          <w:rFonts w:ascii="Arial" w:hAnsi="Arial" w:cs="Arial"/>
        </w:rPr>
      </w:pPr>
    </w:p>
    <w:p w14:paraId="4660FBB2" w14:textId="77777777" w:rsidR="008D0565" w:rsidRPr="00D61F73" w:rsidRDefault="008D0565" w:rsidP="00D61F73">
      <w:pPr>
        <w:rPr>
          <w:rFonts w:ascii="Arial" w:hAnsi="Arial" w:cs="Arial"/>
        </w:rPr>
      </w:pPr>
      <w:r w:rsidRPr="00D61F73">
        <w:rPr>
          <w:rFonts w:ascii="Arial" w:hAnsi="Arial" w:cs="Arial"/>
        </w:rPr>
        <w:t>Rating: 11c</w:t>
      </w:r>
    </w:p>
    <w:p w14:paraId="11A4C7A4"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R</w:t>
      </w:r>
      <w:bookmarkStart w:id="1085" w:name="Rome"/>
      <w:bookmarkEnd w:id="1085"/>
      <w:r w:rsidRPr="00D61F73">
        <w:rPr>
          <w:rFonts w:ascii="Arial" w:hAnsi="Arial" w:cs="Arial"/>
          <w:b/>
        </w:rPr>
        <w:t xml:space="preserve">ome JD, Townsend CO, Bruce BK, Sletten CD, Luedtke CA, Hodgson JE. Chronic noncancer pain rehabilitation with opioid withdrawal: comparison of treatment outcomes based on opioid use status at admission. </w:t>
      </w:r>
      <w:r w:rsidRPr="00D61F73">
        <w:rPr>
          <w:rFonts w:ascii="Arial" w:hAnsi="Arial" w:cs="Arial"/>
          <w:b/>
          <w:i/>
        </w:rPr>
        <w:t>Mayo Clin Proc</w:t>
      </w:r>
      <w:r w:rsidRPr="00D61F73">
        <w:rPr>
          <w:rFonts w:ascii="Arial" w:hAnsi="Arial" w:cs="Arial"/>
          <w:b/>
        </w:rPr>
        <w:t>. 2004 Jun;79(6):759-68.</w:t>
      </w:r>
    </w:p>
    <w:p w14:paraId="798B883C" w14:textId="77777777" w:rsidR="008D0565" w:rsidRPr="00D61F73" w:rsidRDefault="008D0565" w:rsidP="00D61F73">
      <w:pPr>
        <w:rPr>
          <w:rFonts w:ascii="Arial" w:hAnsi="Arial" w:cs="Arial"/>
        </w:rPr>
      </w:pPr>
    </w:p>
    <w:p w14:paraId="78F665B2" w14:textId="77777777" w:rsidR="008D0565" w:rsidRPr="00D61F73" w:rsidRDefault="008D0565" w:rsidP="00D61F73">
      <w:pPr>
        <w:rPr>
          <w:rFonts w:ascii="Arial" w:hAnsi="Arial" w:cs="Arial"/>
        </w:rPr>
      </w:pPr>
      <w:r w:rsidRPr="00D61F73">
        <w:rPr>
          <w:rFonts w:ascii="Arial" w:hAnsi="Arial" w:cs="Arial"/>
        </w:rPr>
        <w:t xml:space="preserve">RESULTS: More than one third of patients (135/356) were taking opioids daily at admission. At completion of the program, all but 3 of the 135 patients had successfully discontinued opioid treatment. Significant improvement was noted at discharge for all outcome variables assessed regardless of opioid status at admission. </w:t>
      </w:r>
    </w:p>
    <w:p w14:paraId="1FA86044" w14:textId="77777777" w:rsidR="008D0565" w:rsidRPr="00D61F73" w:rsidRDefault="008D0565" w:rsidP="00D61F73">
      <w:pPr>
        <w:rPr>
          <w:rFonts w:ascii="Arial" w:hAnsi="Arial" w:cs="Arial"/>
        </w:rPr>
      </w:pPr>
    </w:p>
    <w:p w14:paraId="1981DB42" w14:textId="77777777" w:rsidR="008D0565" w:rsidRPr="00D61F73" w:rsidRDefault="008D0565" w:rsidP="00D61F73">
      <w:pPr>
        <w:rPr>
          <w:rFonts w:ascii="Arial" w:hAnsi="Arial" w:cs="Arial"/>
        </w:rPr>
      </w:pPr>
      <w:r w:rsidRPr="00D61F73">
        <w:rPr>
          <w:rFonts w:ascii="Arial" w:hAnsi="Arial" w:cs="Arial"/>
        </w:rPr>
        <w:t xml:space="preserve">PMID: </w:t>
      </w:r>
      <w:hyperlink r:id="rId737" w:history="1">
        <w:r w:rsidRPr="00D61F73">
          <w:rPr>
            <w:rStyle w:val="Hyperlink"/>
            <w:rFonts w:ascii="Arial" w:hAnsi="Arial" w:cs="Arial"/>
          </w:rPr>
          <w:t>15182090</w:t>
        </w:r>
      </w:hyperlink>
      <w:r w:rsidRPr="00D61F73">
        <w:rPr>
          <w:rFonts w:ascii="Arial" w:hAnsi="Arial" w:cs="Arial"/>
        </w:rPr>
        <w:t xml:space="preserve"> </w:t>
      </w:r>
    </w:p>
    <w:p w14:paraId="25C5428D" w14:textId="77777777" w:rsidR="008D0565" w:rsidRPr="00D61F73" w:rsidRDefault="008D0565" w:rsidP="00D61F73">
      <w:pPr>
        <w:rPr>
          <w:rFonts w:ascii="Arial" w:hAnsi="Arial" w:cs="Arial"/>
        </w:rPr>
      </w:pPr>
    </w:p>
    <w:p w14:paraId="1B96F151" w14:textId="77777777" w:rsidR="008D0565" w:rsidRPr="00D61F73" w:rsidRDefault="008D0565" w:rsidP="00D61F73">
      <w:pPr>
        <w:rPr>
          <w:rFonts w:ascii="Arial" w:hAnsi="Arial" w:cs="Arial"/>
        </w:rPr>
      </w:pPr>
      <w:r w:rsidRPr="00D61F73">
        <w:rPr>
          <w:rFonts w:ascii="Arial" w:hAnsi="Arial" w:cs="Arial"/>
        </w:rPr>
        <w:t>Rating: 4b</w:t>
      </w:r>
    </w:p>
    <w:p w14:paraId="08B47EF4" w14:textId="77777777" w:rsidR="008D0565" w:rsidRPr="00D61F73" w:rsidRDefault="008D0565" w:rsidP="00D61F73">
      <w:pPr>
        <w:rPr>
          <w:rFonts w:ascii="Arial" w:hAnsi="Arial" w:cs="Arial"/>
        </w:rPr>
      </w:pPr>
    </w:p>
    <w:p w14:paraId="0F7717E8" w14:textId="77777777" w:rsidR="003207C4" w:rsidRPr="00D61F73" w:rsidRDefault="008D0565" w:rsidP="00D61F73">
      <w:pPr>
        <w:pStyle w:val="Title"/>
        <w:jc w:val="left"/>
        <w:rPr>
          <w:rFonts w:ascii="Arial" w:hAnsi="Arial" w:cs="Arial"/>
          <w:b w:val="0"/>
          <w:bCs w:val="0"/>
          <w:sz w:val="24"/>
        </w:rPr>
      </w:pPr>
      <w:r w:rsidRPr="00D61F73">
        <w:rPr>
          <w:rFonts w:ascii="Arial" w:hAnsi="Arial" w:cs="Arial"/>
          <w:b w:val="0"/>
          <w:bCs w:val="0"/>
          <w:sz w:val="24"/>
        </w:rPr>
        <w:t>Note: This was primarily a female, non-workers’ compensation population.</w:t>
      </w:r>
    </w:p>
    <w:p w14:paraId="66DCDAC6" w14:textId="77777777" w:rsidR="003207C4" w:rsidRPr="00D61F73" w:rsidRDefault="003207C4" w:rsidP="00D61F73">
      <w:pPr>
        <w:rPr>
          <w:rFonts w:ascii="Arial" w:hAnsi="Arial" w:cs="Arial"/>
        </w:rPr>
      </w:pPr>
    </w:p>
    <w:p w14:paraId="41C1C050" w14:textId="77777777" w:rsidR="008D0565" w:rsidRPr="00D61F73" w:rsidRDefault="008D0565" w:rsidP="00D61F73">
      <w:pPr>
        <w:rPr>
          <w:rFonts w:ascii="Arial" w:hAnsi="Arial" w:cs="Arial"/>
        </w:rPr>
      </w:pPr>
    </w:p>
    <w:p w14:paraId="40FB837F" w14:textId="77777777" w:rsidR="008D0565" w:rsidRPr="00D61F73" w:rsidRDefault="008D0565" w:rsidP="00D61F73">
      <w:pPr>
        <w:pStyle w:val="Title"/>
        <w:jc w:val="left"/>
        <w:rPr>
          <w:rFonts w:ascii="Arial" w:hAnsi="Arial" w:cs="Arial"/>
          <w:sz w:val="24"/>
        </w:rPr>
      </w:pPr>
      <w:r w:rsidRPr="00D61F73">
        <w:rPr>
          <w:rFonts w:ascii="Arial" w:hAnsi="Arial" w:cs="Arial"/>
          <w:sz w:val="24"/>
        </w:rPr>
        <w:br w:type="page"/>
      </w:r>
      <w:r w:rsidRPr="00D61F73">
        <w:rPr>
          <w:rFonts w:ascii="Arial" w:hAnsi="Arial" w:cs="Arial"/>
          <w:sz w:val="24"/>
        </w:rPr>
        <w:lastRenderedPageBreak/>
        <w:t>R</w:t>
      </w:r>
      <w:bookmarkStart w:id="1086" w:name="Rooks"/>
      <w:bookmarkEnd w:id="1086"/>
      <w:r w:rsidRPr="00D61F73">
        <w:rPr>
          <w:rFonts w:ascii="Arial" w:hAnsi="Arial" w:cs="Arial"/>
          <w:sz w:val="24"/>
        </w:rPr>
        <w:t xml:space="preserve">ooks DS. Fibromyalgia treatment update. </w:t>
      </w:r>
      <w:r w:rsidRPr="00D61F73">
        <w:rPr>
          <w:rFonts w:ascii="Arial" w:hAnsi="Arial" w:cs="Arial"/>
          <w:i/>
          <w:iCs/>
          <w:sz w:val="24"/>
        </w:rPr>
        <w:t>Curr Opin Rheumatol</w:t>
      </w:r>
      <w:r w:rsidRPr="00D61F73">
        <w:rPr>
          <w:rFonts w:ascii="Arial" w:hAnsi="Arial" w:cs="Arial"/>
          <w:sz w:val="24"/>
        </w:rPr>
        <w:t xml:space="preserve">. 2007 Mar;19(2):111-7. </w:t>
      </w:r>
    </w:p>
    <w:p w14:paraId="0BF06F17" w14:textId="77777777" w:rsidR="008D0565" w:rsidRPr="00D61F73" w:rsidRDefault="008D0565" w:rsidP="00D61F73">
      <w:pPr>
        <w:pStyle w:val="Title"/>
        <w:jc w:val="left"/>
        <w:rPr>
          <w:rFonts w:ascii="Arial" w:hAnsi="Arial" w:cs="Arial"/>
          <w:b w:val="0"/>
          <w:bCs w:val="0"/>
          <w:sz w:val="24"/>
        </w:rPr>
      </w:pPr>
    </w:p>
    <w:p w14:paraId="21E27191" w14:textId="77777777" w:rsidR="008D0565" w:rsidRPr="00D61F73" w:rsidRDefault="008D0565" w:rsidP="00D61F73">
      <w:pPr>
        <w:pStyle w:val="Title"/>
        <w:jc w:val="left"/>
        <w:rPr>
          <w:rFonts w:ascii="Arial" w:hAnsi="Arial" w:cs="Arial"/>
          <w:b w:val="0"/>
          <w:bCs w:val="0"/>
          <w:sz w:val="24"/>
        </w:rPr>
      </w:pPr>
      <w:r w:rsidRPr="00D61F73">
        <w:rPr>
          <w:rFonts w:ascii="Arial" w:hAnsi="Arial" w:cs="Arial"/>
          <w:b w:val="0"/>
          <w:bCs w:val="0"/>
          <w:sz w:val="24"/>
        </w:rPr>
        <w:t xml:space="preserve">FINDINGS: Recent studies examining the efficacy of two serotonin and norepinephrine-reuptake inhibitors--duloxetine and milnacipran--and the anticonvulsant pregabalin are encouraging. Studies evaluating different forms of exercise continue to support the belief that increased physical activity is an essential component of any treatment plan for the patient with fibromyalgia. </w:t>
      </w:r>
    </w:p>
    <w:p w14:paraId="072B8199" w14:textId="77777777" w:rsidR="008D0565" w:rsidRPr="00D61F73" w:rsidRDefault="008D0565" w:rsidP="00D61F73">
      <w:pPr>
        <w:pStyle w:val="Title"/>
        <w:jc w:val="left"/>
        <w:rPr>
          <w:rFonts w:ascii="Arial" w:hAnsi="Arial" w:cs="Arial"/>
          <w:b w:val="0"/>
          <w:bCs w:val="0"/>
          <w:sz w:val="24"/>
        </w:rPr>
      </w:pPr>
    </w:p>
    <w:p w14:paraId="2B178DB8" w14:textId="77777777" w:rsidR="008D0565" w:rsidRPr="00D61F73" w:rsidRDefault="008D0565" w:rsidP="00D61F73">
      <w:pPr>
        <w:pStyle w:val="Title"/>
        <w:jc w:val="left"/>
        <w:rPr>
          <w:rFonts w:ascii="Arial" w:hAnsi="Arial" w:cs="Arial"/>
          <w:b w:val="0"/>
          <w:bCs w:val="0"/>
          <w:sz w:val="24"/>
        </w:rPr>
      </w:pPr>
      <w:r w:rsidRPr="00D61F73">
        <w:rPr>
          <w:rFonts w:ascii="Arial" w:hAnsi="Arial" w:cs="Arial"/>
          <w:b w:val="0"/>
          <w:bCs w:val="0"/>
          <w:sz w:val="24"/>
        </w:rPr>
        <w:t xml:space="preserve">PMID: </w:t>
      </w:r>
      <w:hyperlink r:id="rId738" w:history="1">
        <w:r w:rsidRPr="00D61F73">
          <w:rPr>
            <w:rStyle w:val="Hyperlink"/>
            <w:rFonts w:ascii="Arial" w:hAnsi="Arial" w:cs="Arial"/>
            <w:b w:val="0"/>
            <w:bCs w:val="0"/>
            <w:sz w:val="24"/>
          </w:rPr>
          <w:t>17278924</w:t>
        </w:r>
      </w:hyperlink>
      <w:r w:rsidRPr="00D61F73">
        <w:rPr>
          <w:rFonts w:ascii="Arial" w:hAnsi="Arial" w:cs="Arial"/>
          <w:b w:val="0"/>
          <w:bCs w:val="0"/>
          <w:sz w:val="24"/>
        </w:rPr>
        <w:t xml:space="preserve"> </w:t>
      </w:r>
    </w:p>
    <w:p w14:paraId="41A49C18" w14:textId="77777777" w:rsidR="008D0565" w:rsidRPr="00D61F73" w:rsidRDefault="008D0565" w:rsidP="00D61F73">
      <w:pPr>
        <w:pStyle w:val="Title"/>
        <w:jc w:val="left"/>
        <w:rPr>
          <w:rFonts w:ascii="Arial" w:hAnsi="Arial" w:cs="Arial"/>
          <w:b w:val="0"/>
          <w:bCs w:val="0"/>
          <w:sz w:val="24"/>
        </w:rPr>
      </w:pPr>
    </w:p>
    <w:p w14:paraId="63050CCC" w14:textId="77777777" w:rsidR="008D0565" w:rsidRPr="00D61F73" w:rsidRDefault="008D0565" w:rsidP="00D61F73">
      <w:pPr>
        <w:pStyle w:val="Title"/>
        <w:jc w:val="left"/>
        <w:rPr>
          <w:rFonts w:ascii="Arial" w:hAnsi="Arial" w:cs="Arial"/>
          <w:b w:val="0"/>
          <w:bCs w:val="0"/>
          <w:sz w:val="24"/>
        </w:rPr>
      </w:pPr>
      <w:r w:rsidRPr="00D61F73">
        <w:rPr>
          <w:rFonts w:ascii="Arial" w:hAnsi="Arial" w:cs="Arial"/>
          <w:b w:val="0"/>
          <w:bCs w:val="0"/>
          <w:sz w:val="24"/>
        </w:rPr>
        <w:t>Rating: 1b</w:t>
      </w:r>
    </w:p>
    <w:p w14:paraId="53C8E445"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R</w:t>
      </w:r>
      <w:bookmarkStart w:id="1087" w:name="Rooks2"/>
      <w:bookmarkEnd w:id="1087"/>
      <w:r w:rsidRPr="00D61F73">
        <w:rPr>
          <w:rFonts w:ascii="Arial" w:hAnsi="Arial" w:cs="Arial"/>
          <w:b/>
          <w:bCs/>
        </w:rPr>
        <w:t xml:space="preserve">ooks DS, Gautam S, Romeling M, Cross ML, Stratigakis D, Evans B, Goldenberg DL, Iversen MD, Katz JN. Group Exercise, Education, and Combination Self-management in Women With Fibromyalgia: A Randomized Trial. </w:t>
      </w:r>
      <w:r w:rsidRPr="00D61F73">
        <w:rPr>
          <w:rFonts w:ascii="Arial" w:hAnsi="Arial" w:cs="Arial"/>
          <w:b/>
          <w:bCs/>
          <w:i/>
          <w:iCs/>
        </w:rPr>
        <w:t>Arch Intern Med</w:t>
      </w:r>
      <w:r w:rsidRPr="00D61F73">
        <w:rPr>
          <w:rFonts w:ascii="Arial" w:hAnsi="Arial" w:cs="Arial"/>
          <w:b/>
          <w:bCs/>
        </w:rPr>
        <w:t>. 2007 Nov 12;167(20):2192-200.</w:t>
      </w:r>
      <w:r w:rsidRPr="00D61F73">
        <w:rPr>
          <w:rFonts w:ascii="Arial" w:hAnsi="Arial" w:cs="Arial"/>
          <w:b/>
          <w:bCs/>
        </w:rPr>
        <w:cr/>
      </w:r>
    </w:p>
    <w:p w14:paraId="5CEA1610" w14:textId="77777777" w:rsidR="008D0565" w:rsidRPr="00D61F73" w:rsidRDefault="008D0565" w:rsidP="00D61F73">
      <w:pPr>
        <w:rPr>
          <w:rFonts w:ascii="Arial" w:hAnsi="Arial" w:cs="Arial"/>
        </w:rPr>
      </w:pPr>
      <w:r w:rsidRPr="00D61F73">
        <w:rPr>
          <w:rFonts w:ascii="Arial" w:hAnsi="Arial" w:cs="Arial"/>
        </w:rPr>
        <w:t xml:space="preserve">CONCLUSIONS: Progressive walking, simple strength training movements, and stretching activities improve functional status, key symptoms, and self-efficacy in women with fibromyalgia actively being treated with medication. The benefits of exercise are enhanced when combined with targeted self-management education. </w:t>
      </w:r>
    </w:p>
    <w:p w14:paraId="1B5D4C57" w14:textId="77777777" w:rsidR="008D0565" w:rsidRPr="00D61F73" w:rsidRDefault="008D0565" w:rsidP="00D61F73">
      <w:pPr>
        <w:rPr>
          <w:rFonts w:ascii="Arial" w:hAnsi="Arial" w:cs="Arial"/>
        </w:rPr>
      </w:pPr>
    </w:p>
    <w:p w14:paraId="654667FD" w14:textId="77777777" w:rsidR="008D0565" w:rsidRPr="00D61F73" w:rsidRDefault="008D0565" w:rsidP="00D61F73">
      <w:pPr>
        <w:rPr>
          <w:rFonts w:ascii="Arial" w:hAnsi="Arial" w:cs="Arial"/>
        </w:rPr>
      </w:pPr>
      <w:r w:rsidRPr="00D61F73">
        <w:rPr>
          <w:rFonts w:ascii="Arial" w:hAnsi="Arial" w:cs="Arial"/>
        </w:rPr>
        <w:t xml:space="preserve">PMID: </w:t>
      </w:r>
      <w:hyperlink r:id="rId739" w:history="1">
        <w:r w:rsidRPr="00D61F73">
          <w:rPr>
            <w:rStyle w:val="Hyperlink"/>
            <w:rFonts w:ascii="Arial" w:hAnsi="Arial" w:cs="Arial"/>
          </w:rPr>
          <w:t>17998491</w:t>
        </w:r>
      </w:hyperlink>
      <w:r w:rsidRPr="00D61F73">
        <w:rPr>
          <w:rFonts w:ascii="Arial" w:hAnsi="Arial" w:cs="Arial"/>
        </w:rPr>
        <w:t xml:space="preserve"> </w:t>
      </w:r>
    </w:p>
    <w:p w14:paraId="59105290" w14:textId="77777777" w:rsidR="008D0565" w:rsidRPr="00D61F73" w:rsidRDefault="008D0565" w:rsidP="00D61F73">
      <w:pPr>
        <w:rPr>
          <w:rFonts w:ascii="Arial" w:hAnsi="Arial" w:cs="Arial"/>
        </w:rPr>
      </w:pPr>
    </w:p>
    <w:p w14:paraId="623C4F9A" w14:textId="77777777" w:rsidR="008D0565" w:rsidRPr="00D61F73" w:rsidRDefault="008D0565" w:rsidP="00D61F73">
      <w:pPr>
        <w:rPr>
          <w:rFonts w:ascii="Arial" w:hAnsi="Arial" w:cs="Arial"/>
        </w:rPr>
      </w:pPr>
      <w:r w:rsidRPr="00D61F73">
        <w:rPr>
          <w:rFonts w:ascii="Arial" w:hAnsi="Arial" w:cs="Arial"/>
        </w:rPr>
        <w:t>Rating: 2b</w:t>
      </w:r>
    </w:p>
    <w:p w14:paraId="3EC6B95C" w14:textId="77777777" w:rsidR="008D0565" w:rsidRPr="00D61F73" w:rsidRDefault="008D0565" w:rsidP="00D61F73">
      <w:pPr>
        <w:rPr>
          <w:rFonts w:ascii="Arial" w:hAnsi="Arial" w:cs="Arial"/>
        </w:rPr>
      </w:pPr>
    </w:p>
    <w:p w14:paraId="68C1E645" w14:textId="77777777" w:rsidR="008D0565" w:rsidRPr="00D61F73" w:rsidRDefault="008D0565" w:rsidP="00D61F73">
      <w:pPr>
        <w:rPr>
          <w:rFonts w:ascii="Arial" w:hAnsi="Arial" w:cs="Arial"/>
        </w:rPr>
      </w:pPr>
      <w:r w:rsidRPr="00D61F73">
        <w:rPr>
          <w:rFonts w:ascii="Arial" w:hAnsi="Arial" w:cs="Arial"/>
        </w:rPr>
        <w:t xml:space="preserve">Progressive walking, simple strength training, and stretching improved functional status, key symptoms, and self-efficacy in women with fibromyalgia actively treated with medication, according to the results of a randomized controlled trial reported in the November 12 issue of the Archives of Internal Medicine. </w:t>
      </w:r>
    </w:p>
    <w:p w14:paraId="71ABDBD3"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R</w:t>
      </w:r>
      <w:bookmarkStart w:id="1088" w:name="Rosenquist"/>
      <w:bookmarkEnd w:id="1088"/>
      <w:r w:rsidRPr="00D61F73">
        <w:rPr>
          <w:rFonts w:ascii="Arial" w:hAnsi="Arial" w:cs="Arial"/>
          <w:b/>
        </w:rPr>
        <w:t xml:space="preserve">osenquist RW, Rosenberg J; United States Veterans Administration. Postoperative pain guidelines. </w:t>
      </w:r>
      <w:r w:rsidRPr="00D61F73">
        <w:rPr>
          <w:rFonts w:ascii="Arial" w:hAnsi="Arial" w:cs="Arial"/>
          <w:b/>
          <w:i/>
        </w:rPr>
        <w:t>Reg Anesth Pain Med</w:t>
      </w:r>
      <w:r w:rsidRPr="00D61F73">
        <w:rPr>
          <w:rFonts w:ascii="Arial" w:hAnsi="Arial" w:cs="Arial"/>
          <w:b/>
        </w:rPr>
        <w:t>. 2003 Jul-Aug;28(4):279-88</w:t>
      </w:r>
      <w:r w:rsidRPr="00D61F73">
        <w:rPr>
          <w:rFonts w:ascii="Arial" w:hAnsi="Arial" w:cs="Arial"/>
        </w:rPr>
        <w:t xml:space="preserve">. </w:t>
      </w:r>
    </w:p>
    <w:p w14:paraId="691D2A08" w14:textId="77777777" w:rsidR="008D0565" w:rsidRPr="00D61F73" w:rsidRDefault="008D0565" w:rsidP="00D61F73">
      <w:pPr>
        <w:rPr>
          <w:rFonts w:ascii="Arial" w:hAnsi="Arial" w:cs="Arial"/>
        </w:rPr>
      </w:pPr>
    </w:p>
    <w:p w14:paraId="1EE262D4" w14:textId="77777777" w:rsidR="008D0565" w:rsidRPr="00D61F73" w:rsidRDefault="008D0565" w:rsidP="00D61F73">
      <w:pPr>
        <w:rPr>
          <w:rFonts w:ascii="Arial" w:hAnsi="Arial" w:cs="Arial"/>
        </w:rPr>
      </w:pPr>
      <w:r w:rsidRPr="00D61F73">
        <w:rPr>
          <w:rFonts w:ascii="Arial" w:hAnsi="Arial" w:cs="Arial"/>
        </w:rPr>
        <w:t>A table, which provides a menu of analgesic choices organized by specific operation, was constructed.</w:t>
      </w:r>
    </w:p>
    <w:p w14:paraId="6DF62466" w14:textId="77777777" w:rsidR="008D0565" w:rsidRPr="00D61F73" w:rsidRDefault="008D0565" w:rsidP="00D61F73">
      <w:pPr>
        <w:rPr>
          <w:rFonts w:ascii="Arial" w:hAnsi="Arial" w:cs="Arial"/>
        </w:rPr>
      </w:pPr>
    </w:p>
    <w:p w14:paraId="16DF3E8A" w14:textId="77777777" w:rsidR="008D0565" w:rsidRPr="00D61F73" w:rsidRDefault="008D0565" w:rsidP="00D61F73">
      <w:pPr>
        <w:rPr>
          <w:rFonts w:ascii="Arial" w:hAnsi="Arial" w:cs="Arial"/>
        </w:rPr>
      </w:pPr>
      <w:r w:rsidRPr="00D61F73">
        <w:rPr>
          <w:rFonts w:ascii="Arial" w:hAnsi="Arial" w:cs="Arial"/>
        </w:rPr>
        <w:t xml:space="preserve">PMID: </w:t>
      </w:r>
      <w:hyperlink r:id="rId740" w:history="1">
        <w:r w:rsidRPr="00D61F73">
          <w:rPr>
            <w:rStyle w:val="Hyperlink"/>
            <w:rFonts w:ascii="Arial" w:hAnsi="Arial" w:cs="Arial"/>
          </w:rPr>
          <w:t>12945020</w:t>
        </w:r>
      </w:hyperlink>
    </w:p>
    <w:p w14:paraId="0D6EF3C0" w14:textId="77777777" w:rsidR="008D0565" w:rsidRPr="00D61F73" w:rsidRDefault="008D0565" w:rsidP="00D61F73">
      <w:pPr>
        <w:rPr>
          <w:rFonts w:ascii="Arial" w:hAnsi="Arial" w:cs="Arial"/>
        </w:rPr>
      </w:pPr>
    </w:p>
    <w:p w14:paraId="7489C864" w14:textId="77777777" w:rsidR="008D0565" w:rsidRPr="00D61F73" w:rsidRDefault="008D0565" w:rsidP="00D61F73">
      <w:pPr>
        <w:rPr>
          <w:rFonts w:ascii="Arial" w:hAnsi="Arial" w:cs="Arial"/>
        </w:rPr>
      </w:pPr>
      <w:r w:rsidRPr="00D61F73">
        <w:rPr>
          <w:rFonts w:ascii="Arial" w:hAnsi="Arial" w:cs="Arial"/>
        </w:rPr>
        <w:t>Rating: 5c</w:t>
      </w:r>
    </w:p>
    <w:p w14:paraId="64D994A5" w14:textId="77777777" w:rsidR="008D0565" w:rsidRPr="00D61F73" w:rsidRDefault="008D0565" w:rsidP="00D61F73">
      <w:pPr>
        <w:pStyle w:val="pmid"/>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R</w:t>
      </w:r>
      <w:bookmarkStart w:id="1089" w:name="Rosenstock"/>
      <w:bookmarkEnd w:id="1089"/>
      <w:r w:rsidRPr="00D61F73">
        <w:rPr>
          <w:rFonts w:ascii="Arial" w:hAnsi="Arial" w:cs="Arial"/>
          <w:b/>
        </w:rPr>
        <w:t xml:space="preserve">osenstock J, Hollander P, Gadde KM, Sun X, Strauss R, Leung A; OBD-202 Study Group. A randomized, double-blind, placebo-controlled, multicenter study to assess the efficacy and safety of topiramate controlled release in the treatment of obese type 2 diabetic patients. </w:t>
      </w:r>
      <w:r w:rsidRPr="00D61F73">
        <w:rPr>
          <w:rFonts w:ascii="Arial" w:hAnsi="Arial" w:cs="Arial"/>
          <w:b/>
          <w:i/>
        </w:rPr>
        <w:t>Diabetes Care</w:t>
      </w:r>
      <w:r w:rsidRPr="00D61F73">
        <w:rPr>
          <w:rFonts w:ascii="Arial" w:hAnsi="Arial" w:cs="Arial"/>
          <w:b/>
        </w:rPr>
        <w:t xml:space="preserve">. 2007;30:1480-6. </w:t>
      </w:r>
    </w:p>
    <w:p w14:paraId="0A286293" w14:textId="77777777" w:rsidR="008D0565" w:rsidRPr="00D61F73" w:rsidRDefault="008D0565" w:rsidP="00D61F73">
      <w:pPr>
        <w:pStyle w:val="pmid"/>
        <w:spacing w:before="0" w:beforeAutospacing="0" w:after="0" w:afterAutospacing="0"/>
        <w:rPr>
          <w:rFonts w:ascii="Arial" w:hAnsi="Arial" w:cs="Arial"/>
        </w:rPr>
      </w:pPr>
    </w:p>
    <w:p w14:paraId="4A5A52B4"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CONCLUSIONS: Topiramate CR treatment produced significant weight loss and meaningful improvements in A1C and blood pressure in obese patients with type 2 diabetes treated with diet and exercise or in combination with metformin. However, the central nervous system and psychiatric adverse event profile of topiramate CR makes it unsuitable for the treatment of obesity and diabetes.</w:t>
      </w:r>
    </w:p>
    <w:p w14:paraId="0623B12A" w14:textId="77777777" w:rsidR="008D0565" w:rsidRPr="00D61F73" w:rsidRDefault="008D0565" w:rsidP="00D61F73">
      <w:pPr>
        <w:pStyle w:val="pmid"/>
        <w:spacing w:before="0" w:beforeAutospacing="0" w:after="0" w:afterAutospacing="0"/>
        <w:rPr>
          <w:rFonts w:ascii="Arial" w:hAnsi="Arial" w:cs="Arial"/>
        </w:rPr>
      </w:pPr>
    </w:p>
    <w:p w14:paraId="22504FB5"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741" w:history="1">
        <w:r w:rsidRPr="00D61F73">
          <w:rPr>
            <w:rStyle w:val="Hyperlink"/>
            <w:rFonts w:ascii="Arial" w:hAnsi="Arial" w:cs="Arial"/>
          </w:rPr>
          <w:t>17363756</w:t>
        </w:r>
      </w:hyperlink>
      <w:r w:rsidRPr="00D61F73">
        <w:rPr>
          <w:rFonts w:ascii="Arial" w:hAnsi="Arial" w:cs="Arial"/>
        </w:rPr>
        <w:t xml:space="preserve"> </w:t>
      </w:r>
    </w:p>
    <w:p w14:paraId="7E0E961C" w14:textId="77777777" w:rsidR="008D0565" w:rsidRPr="00D61F73" w:rsidRDefault="008D0565" w:rsidP="00D61F73">
      <w:pPr>
        <w:pStyle w:val="pmid"/>
        <w:spacing w:before="0" w:beforeAutospacing="0" w:after="0" w:afterAutospacing="0"/>
        <w:rPr>
          <w:rFonts w:ascii="Arial" w:hAnsi="Arial" w:cs="Arial"/>
        </w:rPr>
      </w:pPr>
    </w:p>
    <w:p w14:paraId="10A1BBB1" w14:textId="77777777" w:rsidR="008D0565" w:rsidRPr="00D61F73" w:rsidRDefault="008D0565" w:rsidP="00D61F73">
      <w:pPr>
        <w:pStyle w:val="Title"/>
        <w:jc w:val="left"/>
        <w:rPr>
          <w:rFonts w:ascii="Arial" w:hAnsi="Arial" w:cs="Arial"/>
          <w:b w:val="0"/>
          <w:bCs w:val="0"/>
          <w:sz w:val="24"/>
        </w:rPr>
      </w:pPr>
      <w:r w:rsidRPr="00D61F73">
        <w:rPr>
          <w:rFonts w:ascii="Arial" w:hAnsi="Arial" w:cs="Arial"/>
          <w:b w:val="0"/>
          <w:bCs w:val="0"/>
          <w:sz w:val="24"/>
        </w:rPr>
        <w:t>Rating: 2b</w:t>
      </w:r>
    </w:p>
    <w:p w14:paraId="27AA312C" w14:textId="77777777" w:rsidR="008D0565" w:rsidRPr="00D61F73" w:rsidRDefault="008D0565" w:rsidP="00D61F73">
      <w:pPr>
        <w:tabs>
          <w:tab w:val="left" w:pos="7200"/>
        </w:tabs>
        <w:rPr>
          <w:rFonts w:ascii="Arial" w:eastAsia="Calibri" w:hAnsi="Arial" w:cs="Arial"/>
          <w:color w:val="auto"/>
        </w:rPr>
      </w:pPr>
      <w:r w:rsidRPr="00D61F73">
        <w:rPr>
          <w:rFonts w:ascii="Arial" w:hAnsi="Arial" w:cs="Arial"/>
          <w:b/>
          <w:bCs/>
        </w:rPr>
        <w:br w:type="page"/>
      </w:r>
      <w:r w:rsidRPr="00D61F73">
        <w:rPr>
          <w:rFonts w:ascii="Arial" w:hAnsi="Arial" w:cs="Arial"/>
          <w:b/>
        </w:rPr>
        <w:lastRenderedPageBreak/>
        <w:t>R</w:t>
      </w:r>
      <w:bookmarkStart w:id="1090" w:name="Roth2011"/>
      <w:bookmarkEnd w:id="1090"/>
      <w:r w:rsidRPr="00D61F73">
        <w:rPr>
          <w:rFonts w:ascii="Arial" w:hAnsi="Arial" w:cs="Arial"/>
          <w:b/>
        </w:rPr>
        <w:t xml:space="preserve">oth SH, Fuller P. Diclofenac topical solution compared with oral diclofenac: a pooled safety analysis. </w:t>
      </w:r>
      <w:r w:rsidRPr="00D61F73">
        <w:rPr>
          <w:rFonts w:ascii="Arial" w:hAnsi="Arial" w:cs="Arial"/>
          <w:b/>
          <w:i/>
        </w:rPr>
        <w:t>J Pain Res</w:t>
      </w:r>
      <w:r w:rsidRPr="00D61F73">
        <w:rPr>
          <w:rFonts w:ascii="Arial" w:hAnsi="Arial" w:cs="Arial"/>
          <w:b/>
        </w:rPr>
        <w:t>. 2011;4:159-67.</w:t>
      </w:r>
      <w:r w:rsidRPr="00D61F73">
        <w:rPr>
          <w:rFonts w:ascii="Arial" w:hAnsi="Arial" w:cs="Arial"/>
        </w:rPr>
        <w:t xml:space="preserve"> </w:t>
      </w:r>
    </w:p>
    <w:p w14:paraId="472D1D7B" w14:textId="77777777" w:rsidR="008D0565" w:rsidRPr="00D61F73" w:rsidRDefault="008D0565" w:rsidP="00D61F73">
      <w:pPr>
        <w:tabs>
          <w:tab w:val="left" w:pos="7200"/>
        </w:tabs>
        <w:rPr>
          <w:rFonts w:ascii="Arial" w:eastAsia="Calibri" w:hAnsi="Arial" w:cs="Arial"/>
        </w:rPr>
      </w:pPr>
    </w:p>
    <w:p w14:paraId="28D0CFE0"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The most common AE with TDiclo was dry skin at the application site (24.1% vs. 1.9% with ODiclo). </w:t>
      </w:r>
    </w:p>
    <w:p w14:paraId="6DC39632" w14:textId="77777777" w:rsidR="008D0565" w:rsidRPr="00D61F73" w:rsidRDefault="008D0565" w:rsidP="00D61F73">
      <w:pPr>
        <w:tabs>
          <w:tab w:val="left" w:pos="7200"/>
        </w:tabs>
        <w:rPr>
          <w:rFonts w:ascii="Arial" w:eastAsia="Calibri" w:hAnsi="Arial" w:cs="Arial"/>
        </w:rPr>
      </w:pPr>
    </w:p>
    <w:p w14:paraId="0365E37F"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742" w:history="1">
        <w:r w:rsidRPr="00D61F73">
          <w:rPr>
            <w:rStyle w:val="Hyperlink"/>
            <w:rFonts w:ascii="Arial" w:hAnsi="Arial" w:cs="Arial"/>
          </w:rPr>
          <w:t>21811391</w:t>
        </w:r>
      </w:hyperlink>
    </w:p>
    <w:p w14:paraId="76D51ED4" w14:textId="77777777" w:rsidR="008D0565" w:rsidRPr="00D61F73" w:rsidRDefault="008D0565" w:rsidP="00D61F73">
      <w:pPr>
        <w:tabs>
          <w:tab w:val="left" w:pos="7200"/>
        </w:tabs>
        <w:rPr>
          <w:rFonts w:ascii="Arial" w:eastAsia="Calibri" w:hAnsi="Arial" w:cs="Arial"/>
        </w:rPr>
      </w:pPr>
    </w:p>
    <w:p w14:paraId="690CA4D9"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2c</w:t>
      </w:r>
    </w:p>
    <w:p w14:paraId="251D0029" w14:textId="77777777" w:rsidR="008D0565" w:rsidRPr="00D61F73" w:rsidRDefault="008D0565" w:rsidP="00D61F73">
      <w:pPr>
        <w:rPr>
          <w:rFonts w:ascii="Arial" w:eastAsia="Calibri" w:hAnsi="Arial" w:cs="Arial"/>
          <w:b/>
          <w:color w:val="auto"/>
        </w:rPr>
      </w:pPr>
      <w:r w:rsidRPr="00D61F73">
        <w:rPr>
          <w:rFonts w:ascii="Arial" w:hAnsi="Arial" w:cs="Arial"/>
          <w:b/>
          <w:bCs/>
        </w:rPr>
        <w:br w:type="page"/>
      </w:r>
      <w:r w:rsidRPr="00D61F73">
        <w:rPr>
          <w:rFonts w:ascii="Arial" w:hAnsi="Arial" w:cs="Arial"/>
          <w:b/>
        </w:rPr>
        <w:lastRenderedPageBreak/>
        <w:t>R</w:t>
      </w:r>
      <w:bookmarkStart w:id="1091" w:name="Rother2007"/>
      <w:bookmarkEnd w:id="1091"/>
      <w:r w:rsidRPr="00D61F73">
        <w:rPr>
          <w:rFonts w:ascii="Arial" w:hAnsi="Arial" w:cs="Arial"/>
          <w:b/>
        </w:rPr>
        <w:t xml:space="preserve">other M, Lavins BJ, Kneer W, Lehnhardt K, Seidel EJ, Mazgareanu S. Efficacy and safety of epicutaneous ketoprofen in Transfersome (IDEA-033) versus oral celecoxib and placebo in osteoarthritis of the knee: multicentre randomised controlled trial. </w:t>
      </w:r>
      <w:r w:rsidRPr="00D61F73">
        <w:rPr>
          <w:rFonts w:ascii="Arial" w:hAnsi="Arial" w:cs="Arial"/>
          <w:b/>
          <w:i/>
        </w:rPr>
        <w:t>Ann Rheum Dis</w:t>
      </w:r>
      <w:r w:rsidRPr="00D61F73">
        <w:rPr>
          <w:rFonts w:ascii="Arial" w:hAnsi="Arial" w:cs="Arial"/>
          <w:b/>
        </w:rPr>
        <w:t>. 2007;66:1178-83.</w:t>
      </w:r>
    </w:p>
    <w:p w14:paraId="649BEAE0" w14:textId="77777777" w:rsidR="008D0565" w:rsidRPr="00D61F73" w:rsidRDefault="008D0565" w:rsidP="00D61F73">
      <w:pPr>
        <w:tabs>
          <w:tab w:val="left" w:pos="7200"/>
        </w:tabs>
        <w:rPr>
          <w:rFonts w:ascii="Arial" w:eastAsia="Calibri" w:hAnsi="Arial" w:cs="Arial"/>
        </w:rPr>
      </w:pPr>
    </w:p>
    <w:p w14:paraId="4C8E863D" w14:textId="77777777" w:rsidR="008D0565" w:rsidRPr="00D61F73" w:rsidRDefault="008D0565" w:rsidP="00D61F73">
      <w:pPr>
        <w:tabs>
          <w:tab w:val="left" w:pos="7200"/>
        </w:tabs>
        <w:rPr>
          <w:rFonts w:ascii="Arial" w:eastAsia="Calibri" w:hAnsi="Arial" w:cs="Arial"/>
        </w:rPr>
      </w:pPr>
      <w:r w:rsidRPr="00D61F73">
        <w:rPr>
          <w:rFonts w:ascii="Arial" w:hAnsi="Arial" w:cs="Arial"/>
        </w:rPr>
        <w:t>RESULTS: The mean WOMAC pain subscale scores in the intent to treat population were reduced by 18.2, 20.3 and 9.9 in the IDEA-033, celecoxib and placebo groups, respectively, and the physical function subscale score by 14.6, 16.6 and 10.2, respectively.</w:t>
      </w:r>
    </w:p>
    <w:p w14:paraId="12C0BD76" w14:textId="77777777" w:rsidR="008D0565" w:rsidRPr="00D61F73" w:rsidRDefault="008D0565" w:rsidP="00D61F73">
      <w:pPr>
        <w:tabs>
          <w:tab w:val="left" w:pos="7200"/>
        </w:tabs>
        <w:rPr>
          <w:rFonts w:ascii="Arial" w:eastAsia="Calibri" w:hAnsi="Arial" w:cs="Arial"/>
        </w:rPr>
      </w:pPr>
    </w:p>
    <w:p w14:paraId="07310F8B"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743" w:history="1">
        <w:r w:rsidRPr="00D61F73">
          <w:rPr>
            <w:rStyle w:val="Hyperlink"/>
            <w:rFonts w:ascii="Arial" w:hAnsi="Arial" w:cs="Arial"/>
          </w:rPr>
          <w:t>1736340</w:t>
        </w:r>
      </w:hyperlink>
    </w:p>
    <w:p w14:paraId="002DF967" w14:textId="77777777" w:rsidR="008D0565" w:rsidRPr="00D61F73" w:rsidRDefault="008D0565" w:rsidP="00D61F73">
      <w:pPr>
        <w:rPr>
          <w:rFonts w:ascii="Arial" w:eastAsia="Calibri" w:hAnsi="Arial" w:cs="Arial"/>
        </w:rPr>
      </w:pPr>
    </w:p>
    <w:p w14:paraId="7EC596D7" w14:textId="77777777" w:rsidR="008D0565" w:rsidRPr="00D61F73" w:rsidRDefault="008D0565" w:rsidP="00D61F73">
      <w:pPr>
        <w:pStyle w:val="Title"/>
        <w:jc w:val="left"/>
        <w:rPr>
          <w:rFonts w:ascii="Arial" w:hAnsi="Arial" w:cs="Arial"/>
          <w:b w:val="0"/>
          <w:bCs w:val="0"/>
          <w:sz w:val="24"/>
        </w:rPr>
      </w:pPr>
      <w:r w:rsidRPr="00D61F73">
        <w:rPr>
          <w:rFonts w:ascii="Arial" w:hAnsi="Arial" w:cs="Arial"/>
          <w:b w:val="0"/>
          <w:bCs w:val="0"/>
          <w:sz w:val="24"/>
        </w:rPr>
        <w:t>Rating: 2c</w:t>
      </w:r>
    </w:p>
    <w:p w14:paraId="7D38BFAC" w14:textId="77777777" w:rsidR="008D0565" w:rsidRPr="00D61F73" w:rsidRDefault="008D0565" w:rsidP="00D61F73">
      <w:pPr>
        <w:pStyle w:val="Title"/>
        <w:jc w:val="left"/>
        <w:rPr>
          <w:rFonts w:ascii="Arial" w:hAnsi="Arial" w:cs="Arial"/>
          <w:sz w:val="24"/>
        </w:rPr>
      </w:pPr>
      <w:r w:rsidRPr="00D61F73">
        <w:rPr>
          <w:rFonts w:ascii="Arial" w:hAnsi="Arial" w:cs="Arial"/>
          <w:b w:val="0"/>
          <w:bCs w:val="0"/>
          <w:sz w:val="24"/>
        </w:rPr>
        <w:br w:type="page"/>
      </w:r>
      <w:bookmarkStart w:id="1092" w:name="Rousmaniere"/>
      <w:r w:rsidR="00551983" w:rsidRPr="00D61F73" w:rsidDel="00551983">
        <w:rPr>
          <w:rFonts w:ascii="Arial" w:hAnsi="Arial" w:cs="Arial"/>
          <w:sz w:val="24"/>
        </w:rPr>
        <w:lastRenderedPageBreak/>
        <w:t xml:space="preserve"> </w:t>
      </w:r>
      <w:bookmarkEnd w:id="1092"/>
      <w:r w:rsidRPr="00D61F73">
        <w:rPr>
          <w:rFonts w:ascii="Arial" w:hAnsi="Arial" w:cs="Arial"/>
          <w:sz w:val="24"/>
        </w:rPr>
        <w:t>R</w:t>
      </w:r>
      <w:bookmarkStart w:id="1093" w:name="Roy"/>
      <w:bookmarkEnd w:id="1093"/>
      <w:r w:rsidRPr="00D61F73">
        <w:rPr>
          <w:rFonts w:ascii="Arial" w:hAnsi="Arial" w:cs="Arial"/>
          <w:sz w:val="24"/>
        </w:rPr>
        <w:t xml:space="preserve">oy-Byrne PP, Davidson KW, Kessler RC, Asmundson GJ, Goodwin RD, Kubzansky L, Lydiard RB, Massie MJ, Katon W, Laden SK, Stein MB. Anxiety disorders and comorbid medical illness. </w:t>
      </w:r>
      <w:r w:rsidRPr="00D61F73">
        <w:rPr>
          <w:rFonts w:ascii="Arial" w:hAnsi="Arial" w:cs="Arial"/>
          <w:i/>
          <w:sz w:val="24"/>
        </w:rPr>
        <w:t>Gen Hosp Psychiatry</w:t>
      </w:r>
      <w:r w:rsidRPr="00D61F73">
        <w:rPr>
          <w:rFonts w:ascii="Arial" w:hAnsi="Arial" w:cs="Arial"/>
          <w:sz w:val="24"/>
        </w:rPr>
        <w:t>. 2008;30:208-25</w:t>
      </w:r>
    </w:p>
    <w:p w14:paraId="051E2498" w14:textId="77777777" w:rsidR="008D0565" w:rsidRPr="00D61F73" w:rsidRDefault="008D0565" w:rsidP="00D61F73">
      <w:pPr>
        <w:rPr>
          <w:rFonts w:ascii="Arial" w:hAnsi="Arial" w:cs="Arial"/>
          <w:b/>
        </w:rPr>
      </w:pPr>
    </w:p>
    <w:p w14:paraId="706E9F7A" w14:textId="77777777" w:rsidR="008D0565" w:rsidRPr="00D61F73" w:rsidRDefault="008D0565" w:rsidP="00D61F73">
      <w:pPr>
        <w:rPr>
          <w:rFonts w:ascii="Arial" w:hAnsi="Arial" w:cs="Arial"/>
        </w:rPr>
      </w:pPr>
      <w:r w:rsidRPr="00D61F73">
        <w:rPr>
          <w:rFonts w:ascii="Arial" w:hAnsi="Arial" w:cs="Arial"/>
        </w:rPr>
        <w:t xml:space="preserve">CONCLUSIONS: Emerging data offer a strong argument for the role of anxiety in medical illness and suggest that anxiety disorders rival depression in terms of risk, comorbidity and outcome. </w:t>
      </w:r>
    </w:p>
    <w:p w14:paraId="5EE8F75E" w14:textId="77777777" w:rsidR="008D0565" w:rsidRPr="00D61F73" w:rsidRDefault="008D0565" w:rsidP="00D61F73">
      <w:pPr>
        <w:rPr>
          <w:rFonts w:ascii="Arial" w:hAnsi="Arial" w:cs="Arial"/>
        </w:rPr>
      </w:pPr>
    </w:p>
    <w:p w14:paraId="2A66A84B" w14:textId="77777777" w:rsidR="008D0565" w:rsidRPr="00D61F73" w:rsidRDefault="008D0565" w:rsidP="00D61F73">
      <w:pPr>
        <w:rPr>
          <w:rFonts w:ascii="Arial" w:hAnsi="Arial" w:cs="Arial"/>
        </w:rPr>
      </w:pPr>
      <w:r w:rsidRPr="00D61F73">
        <w:rPr>
          <w:rFonts w:ascii="Arial" w:hAnsi="Arial" w:cs="Arial"/>
        </w:rPr>
        <w:t xml:space="preserve">PMID: </w:t>
      </w:r>
      <w:hyperlink r:id="rId744" w:history="1">
        <w:r w:rsidRPr="00D61F73">
          <w:rPr>
            <w:rStyle w:val="Hyperlink"/>
            <w:rFonts w:ascii="Arial" w:hAnsi="Arial" w:cs="Arial"/>
          </w:rPr>
          <w:t>18433653</w:t>
        </w:r>
      </w:hyperlink>
      <w:r w:rsidRPr="00D61F73">
        <w:rPr>
          <w:rFonts w:ascii="Arial" w:hAnsi="Arial" w:cs="Arial"/>
        </w:rPr>
        <w:t xml:space="preserve"> </w:t>
      </w:r>
    </w:p>
    <w:p w14:paraId="3F53023D" w14:textId="77777777" w:rsidR="008D0565" w:rsidRPr="00D61F73" w:rsidRDefault="008D0565" w:rsidP="00D61F73">
      <w:pPr>
        <w:rPr>
          <w:rFonts w:ascii="Arial" w:hAnsi="Arial" w:cs="Arial"/>
        </w:rPr>
      </w:pPr>
    </w:p>
    <w:p w14:paraId="6E89B274" w14:textId="77777777" w:rsidR="008D0565" w:rsidRPr="00D61F73" w:rsidRDefault="008D0565" w:rsidP="00D61F73">
      <w:pPr>
        <w:rPr>
          <w:rFonts w:ascii="Arial" w:hAnsi="Arial" w:cs="Arial"/>
        </w:rPr>
      </w:pPr>
      <w:r w:rsidRPr="00D61F73">
        <w:rPr>
          <w:rFonts w:ascii="Arial" w:hAnsi="Arial" w:cs="Arial"/>
        </w:rPr>
        <w:t>This article discusses the role of anxiety in chronic pain.</w:t>
      </w:r>
    </w:p>
    <w:p w14:paraId="338FF33E" w14:textId="77777777" w:rsidR="008D0565" w:rsidRPr="00D61F73" w:rsidRDefault="008D0565" w:rsidP="00D61F73">
      <w:pPr>
        <w:rPr>
          <w:rFonts w:ascii="Arial" w:hAnsi="Arial" w:cs="Arial"/>
        </w:rPr>
      </w:pPr>
    </w:p>
    <w:p w14:paraId="347368F7" w14:textId="77777777" w:rsidR="008D0565" w:rsidRPr="00D61F73" w:rsidRDefault="008D0565" w:rsidP="00D61F73">
      <w:pPr>
        <w:rPr>
          <w:rFonts w:ascii="Arial" w:hAnsi="Arial" w:cs="Arial"/>
        </w:rPr>
      </w:pPr>
      <w:r w:rsidRPr="00D61F73">
        <w:rPr>
          <w:rFonts w:ascii="Arial" w:hAnsi="Arial" w:cs="Arial"/>
        </w:rPr>
        <w:t>Rating: 5b</w:t>
      </w:r>
    </w:p>
    <w:p w14:paraId="4A8EA49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94" w:name="Rozenfeld2004"/>
      <w:bookmarkEnd w:id="1094"/>
      <w:r w:rsidRPr="00D61F73">
        <w:rPr>
          <w:rFonts w:ascii="Arial" w:hAnsi="Arial" w:cs="Arial"/>
          <w:b/>
          <w:bCs/>
        </w:rPr>
        <w:t xml:space="preserve">ozenfeld V, Crain JL, Callahan AK.Possible augmentation of warfarin effect by glucosamine-chondroitin. </w:t>
      </w:r>
      <w:r w:rsidRPr="00D61F73">
        <w:rPr>
          <w:rFonts w:ascii="Arial" w:hAnsi="Arial" w:cs="Arial"/>
          <w:b/>
          <w:bCs/>
          <w:i/>
          <w:iCs/>
        </w:rPr>
        <w:t>Am J Health Syst Pharm</w:t>
      </w:r>
      <w:r w:rsidRPr="00D61F73">
        <w:rPr>
          <w:rFonts w:ascii="Arial" w:hAnsi="Arial" w:cs="Arial"/>
          <w:b/>
          <w:bCs/>
        </w:rPr>
        <w:t>. 2004 Feb 1;61(3):306-7.</w:t>
      </w:r>
    </w:p>
    <w:p w14:paraId="5D4D4564" w14:textId="77777777" w:rsidR="008D0565" w:rsidRPr="00D61F73" w:rsidRDefault="008D0565" w:rsidP="00D61F73">
      <w:pPr>
        <w:rPr>
          <w:rFonts w:ascii="Arial" w:hAnsi="Arial" w:cs="Arial"/>
        </w:rPr>
      </w:pPr>
    </w:p>
    <w:p w14:paraId="786BF5ED" w14:textId="77777777" w:rsidR="008D0565" w:rsidRPr="00D61F73" w:rsidRDefault="008D0565" w:rsidP="00D61F73">
      <w:pPr>
        <w:rPr>
          <w:rFonts w:ascii="Arial" w:hAnsi="Arial" w:cs="Arial"/>
        </w:rPr>
      </w:pPr>
      <w:r w:rsidRPr="00D61F73">
        <w:rPr>
          <w:rFonts w:ascii="Arial" w:hAnsi="Arial" w:cs="Arial"/>
        </w:rPr>
        <w:t xml:space="preserve">PMID: </w:t>
      </w:r>
      <w:hyperlink r:id="rId745" w:history="1">
        <w:r w:rsidRPr="00D61F73">
          <w:rPr>
            <w:rStyle w:val="Hyperlink"/>
            <w:rFonts w:ascii="Arial" w:hAnsi="Arial" w:cs="Arial"/>
          </w:rPr>
          <w:t>14986566</w:t>
        </w:r>
      </w:hyperlink>
      <w:r w:rsidRPr="00D61F73">
        <w:rPr>
          <w:rFonts w:ascii="Arial" w:hAnsi="Arial" w:cs="Arial"/>
        </w:rPr>
        <w:t xml:space="preserve"> </w:t>
      </w:r>
    </w:p>
    <w:p w14:paraId="60C674D0" w14:textId="77777777" w:rsidR="008D0565" w:rsidRPr="00D61F73" w:rsidRDefault="008D0565" w:rsidP="00D61F73">
      <w:pPr>
        <w:rPr>
          <w:rFonts w:ascii="Arial" w:hAnsi="Arial" w:cs="Arial"/>
        </w:rPr>
      </w:pPr>
    </w:p>
    <w:p w14:paraId="387C492C"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Rating: 5b </w:t>
      </w:r>
    </w:p>
    <w:p w14:paraId="130FEF42" w14:textId="77777777" w:rsidR="008D0565" w:rsidRPr="00D61F73" w:rsidRDefault="008D0565" w:rsidP="00D61F73">
      <w:pPr>
        <w:rPr>
          <w:rFonts w:ascii="Arial" w:hAnsi="Arial" w:cs="Arial"/>
          <w:b/>
          <w:bCs/>
        </w:rPr>
      </w:pPr>
      <w:r w:rsidRPr="00D61F73">
        <w:rPr>
          <w:rFonts w:ascii="Arial" w:hAnsi="Arial" w:cs="Arial"/>
        </w:rPr>
        <w:br w:type="page"/>
      </w:r>
      <w:bookmarkStart w:id="1095" w:name="Ruane"/>
      <w:r w:rsidRPr="00D61F73">
        <w:rPr>
          <w:rFonts w:ascii="Arial" w:hAnsi="Arial" w:cs="Arial"/>
          <w:b/>
          <w:bCs/>
        </w:rPr>
        <w:lastRenderedPageBreak/>
        <w:t>Ruane</w:t>
      </w:r>
      <w:bookmarkEnd w:id="1095"/>
      <w:r w:rsidRPr="00D61F73">
        <w:rPr>
          <w:rFonts w:ascii="Arial" w:hAnsi="Arial" w:cs="Arial"/>
          <w:b/>
          <w:bCs/>
        </w:rPr>
        <w:t xml:space="preserve"> R, Griffiths P, Glucosamine therapy compared to ibuprofen for joint pain, </w:t>
      </w:r>
      <w:r w:rsidRPr="00D61F73">
        <w:rPr>
          <w:rFonts w:ascii="Arial" w:hAnsi="Arial" w:cs="Arial"/>
          <w:b/>
          <w:bCs/>
          <w:i/>
          <w:iCs/>
        </w:rPr>
        <w:t>Br J Community Nurs</w:t>
      </w:r>
      <w:r w:rsidRPr="00D61F73">
        <w:rPr>
          <w:rFonts w:ascii="Arial" w:hAnsi="Arial" w:cs="Arial"/>
          <w:b/>
          <w:bCs/>
        </w:rPr>
        <w:t>. 2002 Mar;7(3):148-52.</w:t>
      </w:r>
    </w:p>
    <w:p w14:paraId="655A7B62" w14:textId="77777777" w:rsidR="008D0565" w:rsidRPr="00D61F73" w:rsidRDefault="008D0565" w:rsidP="00D61F73">
      <w:pPr>
        <w:rPr>
          <w:rFonts w:ascii="Arial" w:hAnsi="Arial" w:cs="Arial"/>
        </w:rPr>
      </w:pPr>
    </w:p>
    <w:p w14:paraId="5B3C5895" w14:textId="77777777" w:rsidR="008D0565" w:rsidRPr="00D61F73" w:rsidRDefault="008D0565" w:rsidP="00D61F73">
      <w:pPr>
        <w:rPr>
          <w:rFonts w:ascii="Arial" w:hAnsi="Arial" w:cs="Arial"/>
        </w:rPr>
      </w:pPr>
      <w:r w:rsidRPr="00D61F73">
        <w:rPr>
          <w:rFonts w:ascii="Arial" w:hAnsi="Arial" w:cs="Arial"/>
        </w:rPr>
        <w:t xml:space="preserve">PMID: </w:t>
      </w:r>
      <w:hyperlink r:id="rId746" w:history="1">
        <w:r w:rsidRPr="00D61F73">
          <w:rPr>
            <w:rStyle w:val="Hyperlink"/>
            <w:rFonts w:ascii="Arial" w:hAnsi="Arial" w:cs="Arial"/>
          </w:rPr>
          <w:t>11904551</w:t>
        </w:r>
      </w:hyperlink>
      <w:r w:rsidRPr="00D61F73">
        <w:rPr>
          <w:rFonts w:ascii="Arial" w:hAnsi="Arial" w:cs="Arial"/>
        </w:rPr>
        <w:t xml:space="preserve"> </w:t>
      </w:r>
    </w:p>
    <w:p w14:paraId="351F413E" w14:textId="77777777" w:rsidR="008D0565" w:rsidRPr="00D61F73" w:rsidRDefault="008D0565" w:rsidP="00D61F73">
      <w:pPr>
        <w:pStyle w:val="Header"/>
        <w:tabs>
          <w:tab w:val="clear" w:pos="4320"/>
          <w:tab w:val="clear" w:pos="8640"/>
        </w:tabs>
        <w:rPr>
          <w:rFonts w:ascii="Arial" w:hAnsi="Arial" w:cs="Arial"/>
        </w:rPr>
      </w:pPr>
    </w:p>
    <w:p w14:paraId="0B16BDB2" w14:textId="77777777" w:rsidR="008D0565" w:rsidRPr="00D61F73" w:rsidRDefault="008D0565" w:rsidP="00D61F73">
      <w:pPr>
        <w:pStyle w:val="Header"/>
        <w:tabs>
          <w:tab w:val="clear" w:pos="4320"/>
          <w:tab w:val="clear" w:pos="8640"/>
        </w:tabs>
        <w:rPr>
          <w:rFonts w:ascii="Arial" w:hAnsi="Arial" w:cs="Arial"/>
        </w:rPr>
      </w:pPr>
      <w:r w:rsidRPr="00D61F73">
        <w:rPr>
          <w:rFonts w:ascii="Arial" w:hAnsi="Arial" w:cs="Arial"/>
        </w:rPr>
        <w:t>Rating: 1c</w:t>
      </w:r>
    </w:p>
    <w:p w14:paraId="027804CC"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R</w:t>
      </w:r>
      <w:bookmarkStart w:id="1096" w:name="Rubinstein2012"/>
      <w:bookmarkEnd w:id="1096"/>
      <w:r w:rsidRPr="00D61F73">
        <w:rPr>
          <w:rFonts w:ascii="Arial" w:hAnsi="Arial" w:cs="Arial"/>
          <w:b/>
          <w:bCs/>
        </w:rPr>
        <w:t>ubinstein A, Watson J. Hypogonadism Risk Higher With Long vs Short-Acting Opioids. American Academy of Pain Medicine (AAPM) 28th Annual Meeting: Abstract 229. Presented February 24, 2012.</w:t>
      </w:r>
    </w:p>
    <w:p w14:paraId="515CC340" w14:textId="77777777" w:rsidR="008D0565" w:rsidRPr="00D61F73" w:rsidRDefault="008D0565" w:rsidP="00D61F73">
      <w:pPr>
        <w:rPr>
          <w:rFonts w:ascii="Arial" w:hAnsi="Arial" w:cs="Arial"/>
        </w:rPr>
      </w:pPr>
    </w:p>
    <w:p w14:paraId="6EBB507B" w14:textId="77777777" w:rsidR="008D0565" w:rsidRPr="00D61F73" w:rsidRDefault="008D0565" w:rsidP="00D61F73">
      <w:pPr>
        <w:rPr>
          <w:rFonts w:ascii="Arial" w:hAnsi="Arial" w:cs="Arial"/>
        </w:rPr>
      </w:pPr>
      <w:r w:rsidRPr="00D61F73">
        <w:rPr>
          <w:rFonts w:ascii="Arial" w:hAnsi="Arial" w:cs="Arial"/>
        </w:rPr>
        <w:t>Men treated with long-acting opioids have a higher risk of developing hypogonadism compared with those receiving short-acting formulations, a new study suggests. This retrospective study, included 81 men aged between 18 and 80 years who had no previous diagnosis of hypogonadism and who were taking a stable, daily dose of opioids for chronic pain. When testosterone levels were compared taking type of opioid into account, the analysis showed that a significantly higher number of men receiving long-acting formulations were hypogonadal compared with men receiving short-acting formulations (74% vs 34%; P &lt; .001). After controlling for dose (converted to morphine standardized equivalents) and body mass index (BMI), patients receiving long-acting opioids had 4.78 times greater odds of becoming hypogonadal than patients receiving short-acting opioids (P = .008). A hypothesis for why short-acting opioids might be less harmful is that their serum levels fluctuate and at certain times of day when the drug level is low and coincides with the cyclical LH burst, testosterone is produced.</w:t>
      </w:r>
    </w:p>
    <w:p w14:paraId="230B748C" w14:textId="77777777" w:rsidR="008D0565" w:rsidRPr="00D61F73" w:rsidRDefault="008D0565" w:rsidP="00D61F73">
      <w:pPr>
        <w:rPr>
          <w:rFonts w:ascii="Arial" w:hAnsi="Arial" w:cs="Arial"/>
        </w:rPr>
      </w:pPr>
    </w:p>
    <w:p w14:paraId="0982EE10" w14:textId="77777777" w:rsidR="008D0565" w:rsidRPr="00D61F73" w:rsidRDefault="008D0565" w:rsidP="00D61F73">
      <w:pPr>
        <w:rPr>
          <w:rFonts w:ascii="Arial" w:hAnsi="Arial" w:cs="Arial"/>
        </w:rPr>
      </w:pPr>
      <w:r w:rsidRPr="00D61F73">
        <w:rPr>
          <w:rFonts w:ascii="Arial" w:hAnsi="Arial" w:cs="Arial"/>
        </w:rPr>
        <w:t>Rating: 10b</w:t>
      </w:r>
    </w:p>
    <w:p w14:paraId="7EF38F0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097" w:name="Saarto"/>
      <w:bookmarkEnd w:id="1097"/>
      <w:r w:rsidRPr="00D61F73">
        <w:rPr>
          <w:rFonts w:ascii="Arial" w:hAnsi="Arial" w:cs="Arial"/>
          <w:b/>
          <w:bCs/>
        </w:rPr>
        <w:t xml:space="preserve">aarto T, Wiffen PJ. Antidepressants for neuropathic pain. </w:t>
      </w:r>
      <w:r w:rsidRPr="00D61F73">
        <w:rPr>
          <w:rFonts w:ascii="Arial" w:hAnsi="Arial" w:cs="Arial"/>
          <w:b/>
          <w:bCs/>
          <w:i/>
          <w:iCs/>
        </w:rPr>
        <w:t>Cochrane Database Syst Rev</w:t>
      </w:r>
      <w:r w:rsidRPr="00D61F73">
        <w:rPr>
          <w:rFonts w:ascii="Arial" w:hAnsi="Arial" w:cs="Arial"/>
          <w:b/>
          <w:bCs/>
        </w:rPr>
        <w:t>. 2005 Jul 20;(3):CD005454.</w:t>
      </w:r>
    </w:p>
    <w:p w14:paraId="60C43BF1" w14:textId="77777777" w:rsidR="008D0565" w:rsidRPr="00D61F73" w:rsidRDefault="008D0565" w:rsidP="00D61F73">
      <w:pPr>
        <w:rPr>
          <w:rFonts w:ascii="Arial" w:hAnsi="Arial" w:cs="Arial"/>
        </w:rPr>
      </w:pPr>
    </w:p>
    <w:p w14:paraId="633C7260" w14:textId="77777777" w:rsidR="008D0565" w:rsidRPr="00D61F73" w:rsidRDefault="008D0565" w:rsidP="00D61F73">
      <w:pPr>
        <w:rPr>
          <w:rFonts w:ascii="Arial" w:hAnsi="Arial" w:cs="Arial"/>
        </w:rPr>
      </w:pPr>
      <w:r w:rsidRPr="00D61F73">
        <w:rPr>
          <w:rFonts w:ascii="Arial" w:hAnsi="Arial" w:cs="Arial"/>
        </w:rPr>
        <w:t xml:space="preserve">CONCLUSIONS: Antidepressants are effective for a variety of neuropathic pains. The best evidence available is for amitriptyline. There are only limited data for the effectiveness of SSRIs. </w:t>
      </w:r>
    </w:p>
    <w:p w14:paraId="20FCC74F" w14:textId="77777777" w:rsidR="008D0565" w:rsidRPr="00D61F73" w:rsidRDefault="008D0565" w:rsidP="00D61F73">
      <w:pPr>
        <w:rPr>
          <w:rFonts w:ascii="Arial" w:hAnsi="Arial" w:cs="Arial"/>
        </w:rPr>
      </w:pPr>
    </w:p>
    <w:p w14:paraId="1C76F3E6" w14:textId="77777777" w:rsidR="008D0565" w:rsidRPr="00D61F73" w:rsidRDefault="008D0565" w:rsidP="00D61F73">
      <w:pPr>
        <w:rPr>
          <w:rFonts w:ascii="Arial" w:hAnsi="Arial" w:cs="Arial"/>
        </w:rPr>
      </w:pPr>
      <w:r w:rsidRPr="00D61F73">
        <w:rPr>
          <w:rFonts w:ascii="Arial" w:hAnsi="Arial" w:cs="Arial"/>
        </w:rPr>
        <w:t xml:space="preserve">PMID: </w:t>
      </w:r>
      <w:hyperlink r:id="rId747" w:history="1">
        <w:r w:rsidRPr="00D61F73">
          <w:rPr>
            <w:rStyle w:val="Hyperlink"/>
            <w:rFonts w:ascii="Arial" w:hAnsi="Arial" w:cs="Arial"/>
          </w:rPr>
          <w:t>16034979</w:t>
        </w:r>
      </w:hyperlink>
      <w:r w:rsidRPr="00D61F73">
        <w:rPr>
          <w:rFonts w:ascii="Arial" w:hAnsi="Arial" w:cs="Arial"/>
        </w:rPr>
        <w:t xml:space="preserve"> </w:t>
      </w:r>
    </w:p>
    <w:p w14:paraId="1A777C00" w14:textId="77777777" w:rsidR="008D0565" w:rsidRPr="00D61F73" w:rsidRDefault="008D0565" w:rsidP="00D61F73">
      <w:pPr>
        <w:rPr>
          <w:rFonts w:ascii="Arial" w:hAnsi="Arial" w:cs="Arial"/>
        </w:rPr>
      </w:pPr>
    </w:p>
    <w:p w14:paraId="74DCBD60" w14:textId="77777777" w:rsidR="008D0565" w:rsidRPr="00D61F73" w:rsidRDefault="008D0565" w:rsidP="00D61F73">
      <w:pPr>
        <w:rPr>
          <w:rFonts w:ascii="Arial" w:hAnsi="Arial" w:cs="Arial"/>
        </w:rPr>
      </w:pPr>
      <w:r w:rsidRPr="00D61F73">
        <w:rPr>
          <w:rFonts w:ascii="Arial" w:hAnsi="Arial" w:cs="Arial"/>
        </w:rPr>
        <w:t>Rating: 1a</w:t>
      </w:r>
    </w:p>
    <w:p w14:paraId="535A009D"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bCs/>
        </w:rPr>
        <w:lastRenderedPageBreak/>
        <w:t>S</w:t>
      </w:r>
      <w:bookmarkStart w:id="1098" w:name="Saarto2"/>
      <w:bookmarkEnd w:id="1098"/>
      <w:r w:rsidRPr="00D61F73">
        <w:rPr>
          <w:rFonts w:ascii="Arial" w:hAnsi="Arial" w:cs="Arial"/>
          <w:b/>
          <w:bCs/>
        </w:rPr>
        <w:t>aarto T</w:t>
      </w:r>
      <w:r w:rsidRPr="00D61F73">
        <w:rPr>
          <w:rFonts w:ascii="Arial" w:hAnsi="Arial" w:cs="Arial"/>
          <w:b/>
        </w:rPr>
        <w:t xml:space="preserve">, </w:t>
      </w:r>
      <w:r w:rsidRPr="00D61F73">
        <w:rPr>
          <w:rFonts w:ascii="Arial" w:hAnsi="Arial" w:cs="Arial"/>
          <w:b/>
          <w:bCs/>
        </w:rPr>
        <w:t>Wiffen P</w:t>
      </w:r>
      <w:r w:rsidRPr="00D61F73">
        <w:rPr>
          <w:rFonts w:ascii="Arial" w:hAnsi="Arial" w:cs="Arial"/>
          <w:b/>
        </w:rPr>
        <w:t xml:space="preserve">. Antidepressants for neuropathic pain. </w:t>
      </w:r>
      <w:r w:rsidRPr="00D61F73">
        <w:rPr>
          <w:rStyle w:val="ti"/>
          <w:rFonts w:ascii="Arial" w:hAnsi="Arial" w:cs="Arial"/>
          <w:b/>
          <w:i/>
          <w:iCs/>
        </w:rPr>
        <w:t>Cochrane Database Syst Rev</w:t>
      </w:r>
      <w:r w:rsidRPr="00D61F73">
        <w:rPr>
          <w:rStyle w:val="ti"/>
          <w:rFonts w:ascii="Arial" w:hAnsi="Arial" w:cs="Arial"/>
          <w:b/>
        </w:rPr>
        <w:t>. 2007 Oct 17;(4):CD005454</w:t>
      </w:r>
    </w:p>
    <w:p w14:paraId="3ED660E0" w14:textId="77777777" w:rsidR="008D0565" w:rsidRPr="00D61F73" w:rsidRDefault="008D0565" w:rsidP="00D61F73">
      <w:pPr>
        <w:pStyle w:val="abstract"/>
        <w:spacing w:before="0" w:beforeAutospacing="0" w:after="0" w:afterAutospacing="0"/>
        <w:rPr>
          <w:rFonts w:ascii="Arial" w:hAnsi="Arial" w:cs="Arial"/>
        </w:rPr>
      </w:pPr>
    </w:p>
    <w:p w14:paraId="414F430C"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CONCLUSIONS: There is still limited evidence for the role of SSRIs. </w:t>
      </w:r>
    </w:p>
    <w:p w14:paraId="18CBFCC0" w14:textId="77777777" w:rsidR="008D0565" w:rsidRPr="00D61F73" w:rsidRDefault="008D0565" w:rsidP="00D61F73">
      <w:pPr>
        <w:pStyle w:val="pmid"/>
        <w:spacing w:before="0" w:beforeAutospacing="0" w:after="0" w:afterAutospacing="0"/>
        <w:rPr>
          <w:rFonts w:ascii="Arial" w:hAnsi="Arial" w:cs="Arial"/>
        </w:rPr>
      </w:pPr>
    </w:p>
    <w:p w14:paraId="64AC1FF9"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748" w:history="1">
        <w:r w:rsidRPr="00D61F73">
          <w:rPr>
            <w:rStyle w:val="Hyperlink"/>
            <w:rFonts w:ascii="Arial" w:hAnsi="Arial" w:cs="Arial"/>
          </w:rPr>
          <w:t>17943857</w:t>
        </w:r>
      </w:hyperlink>
      <w:r w:rsidRPr="00D61F73">
        <w:rPr>
          <w:rFonts w:ascii="Arial" w:hAnsi="Arial" w:cs="Arial"/>
        </w:rPr>
        <w:t xml:space="preserve"> </w:t>
      </w:r>
    </w:p>
    <w:p w14:paraId="3A538593" w14:textId="77777777" w:rsidR="008D0565" w:rsidRPr="00D61F73" w:rsidRDefault="008D0565" w:rsidP="00D61F73">
      <w:pPr>
        <w:pStyle w:val="pmid"/>
        <w:spacing w:before="0" w:beforeAutospacing="0" w:after="0" w:afterAutospacing="0"/>
        <w:rPr>
          <w:rFonts w:ascii="Arial" w:hAnsi="Arial" w:cs="Arial"/>
        </w:rPr>
      </w:pPr>
    </w:p>
    <w:p w14:paraId="31382462"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Review: 1a</w:t>
      </w:r>
    </w:p>
    <w:p w14:paraId="51D87E1F"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099" w:name="Sachs"/>
      <w:bookmarkEnd w:id="1099"/>
      <w:r w:rsidRPr="00D61F73">
        <w:rPr>
          <w:rFonts w:ascii="Arial" w:hAnsi="Arial" w:cs="Arial"/>
          <w:b/>
        </w:rPr>
        <w:t xml:space="preserve">achs CJ. Oral analgesics for acute nonspecific pain. </w:t>
      </w:r>
      <w:r w:rsidRPr="00D61F73">
        <w:rPr>
          <w:rFonts w:ascii="Arial" w:hAnsi="Arial" w:cs="Arial"/>
          <w:b/>
          <w:i/>
        </w:rPr>
        <w:t>Am Fam Physician</w:t>
      </w:r>
      <w:r w:rsidRPr="00D61F73">
        <w:rPr>
          <w:rFonts w:ascii="Arial" w:hAnsi="Arial" w:cs="Arial"/>
          <w:b/>
        </w:rPr>
        <w:t>. 2005 Mar 1;71(5):913-8.</w:t>
      </w:r>
    </w:p>
    <w:p w14:paraId="796B3FC7" w14:textId="77777777" w:rsidR="008D0565" w:rsidRPr="00D61F73" w:rsidRDefault="008D0565" w:rsidP="00D61F73">
      <w:pPr>
        <w:rPr>
          <w:rFonts w:ascii="Arial" w:hAnsi="Arial" w:cs="Arial"/>
        </w:rPr>
      </w:pPr>
    </w:p>
    <w:p w14:paraId="227AB14D" w14:textId="77777777" w:rsidR="008D0565" w:rsidRPr="00D61F73" w:rsidRDefault="008D0565" w:rsidP="00D61F73">
      <w:pPr>
        <w:rPr>
          <w:rFonts w:ascii="Arial" w:hAnsi="Arial" w:cs="Arial"/>
        </w:rPr>
      </w:pPr>
      <w:r w:rsidRPr="00D61F73">
        <w:rPr>
          <w:rFonts w:ascii="Arial" w:hAnsi="Arial" w:cs="Arial"/>
        </w:rPr>
        <w:t xml:space="preserve">The safest NSAID is ibuprofen in doses of 400 mg. </w:t>
      </w:r>
    </w:p>
    <w:p w14:paraId="57F0A220" w14:textId="77777777" w:rsidR="008D0565" w:rsidRPr="00D61F73" w:rsidRDefault="008D0565" w:rsidP="00D61F73">
      <w:pPr>
        <w:rPr>
          <w:rFonts w:ascii="Arial" w:hAnsi="Arial" w:cs="Arial"/>
        </w:rPr>
      </w:pPr>
    </w:p>
    <w:p w14:paraId="45888695" w14:textId="77777777" w:rsidR="008D0565" w:rsidRPr="00D61F73" w:rsidRDefault="008D0565" w:rsidP="00D61F73">
      <w:pPr>
        <w:rPr>
          <w:rFonts w:ascii="Arial" w:hAnsi="Arial" w:cs="Arial"/>
        </w:rPr>
      </w:pPr>
      <w:r w:rsidRPr="00D61F73">
        <w:rPr>
          <w:rFonts w:ascii="Arial" w:hAnsi="Arial" w:cs="Arial"/>
        </w:rPr>
        <w:t xml:space="preserve">PMID: </w:t>
      </w:r>
      <w:hyperlink r:id="rId749" w:history="1">
        <w:r w:rsidRPr="00D61F73">
          <w:rPr>
            <w:rStyle w:val="Hyperlink"/>
            <w:rFonts w:ascii="Arial" w:hAnsi="Arial" w:cs="Arial"/>
          </w:rPr>
          <w:t>15768621</w:t>
        </w:r>
      </w:hyperlink>
    </w:p>
    <w:p w14:paraId="219FDD9E" w14:textId="77777777" w:rsidR="008D0565" w:rsidRPr="00D61F73" w:rsidRDefault="008D0565" w:rsidP="00D61F73">
      <w:pPr>
        <w:rPr>
          <w:rFonts w:ascii="Arial" w:hAnsi="Arial" w:cs="Arial"/>
        </w:rPr>
      </w:pPr>
    </w:p>
    <w:p w14:paraId="0D05C7ED" w14:textId="77777777" w:rsidR="008D0565" w:rsidRPr="00D61F73" w:rsidRDefault="008D0565" w:rsidP="00D61F73">
      <w:pPr>
        <w:rPr>
          <w:rFonts w:ascii="Arial" w:hAnsi="Arial" w:cs="Arial"/>
        </w:rPr>
      </w:pPr>
      <w:r w:rsidRPr="00D61F73">
        <w:rPr>
          <w:rFonts w:ascii="Arial" w:hAnsi="Arial" w:cs="Arial"/>
        </w:rPr>
        <w:t>Rating: 5b</w:t>
      </w:r>
    </w:p>
    <w:p w14:paraId="31D3743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00" w:name="Sahin"/>
      <w:bookmarkEnd w:id="1100"/>
      <w:r w:rsidRPr="00D61F73">
        <w:rPr>
          <w:rFonts w:ascii="Arial" w:hAnsi="Arial" w:cs="Arial"/>
          <w:b/>
          <w:bCs/>
        </w:rPr>
        <w:t xml:space="preserve">ahin F, Yilmaz F, Kotevoglu N, Kuran B. Efficacy of salmon calcitonin in complex regional pain syndrome (type 1) in addition to physical therapy. </w:t>
      </w:r>
      <w:r w:rsidRPr="00D61F73">
        <w:rPr>
          <w:rFonts w:ascii="Arial" w:hAnsi="Arial" w:cs="Arial"/>
          <w:b/>
          <w:bCs/>
          <w:i/>
          <w:iCs/>
        </w:rPr>
        <w:t>Clin Rheumatol</w:t>
      </w:r>
      <w:r w:rsidRPr="00D61F73">
        <w:rPr>
          <w:rFonts w:ascii="Arial" w:hAnsi="Arial" w:cs="Arial"/>
          <w:b/>
          <w:bCs/>
        </w:rPr>
        <w:t>. 2005 Jun 25.</w:t>
      </w:r>
    </w:p>
    <w:p w14:paraId="181D2BE8" w14:textId="77777777" w:rsidR="008D0565" w:rsidRPr="00D61F73" w:rsidRDefault="008D0565" w:rsidP="00D61F73">
      <w:pPr>
        <w:rPr>
          <w:rFonts w:ascii="Arial" w:hAnsi="Arial" w:cs="Arial"/>
        </w:rPr>
      </w:pPr>
    </w:p>
    <w:p w14:paraId="322A2E49" w14:textId="77777777" w:rsidR="008D0565" w:rsidRPr="00D61F73" w:rsidRDefault="008D0565" w:rsidP="00D61F73">
      <w:pPr>
        <w:rPr>
          <w:rFonts w:ascii="Arial" w:hAnsi="Arial" w:cs="Arial"/>
        </w:rPr>
      </w:pPr>
      <w:r w:rsidRPr="00D61F73">
        <w:rPr>
          <w:rFonts w:ascii="Arial" w:hAnsi="Arial" w:cs="Arial"/>
        </w:rPr>
        <w:t>We can conclude that calcitonin does not make any favourable contribution in the treatment of patients with acute CRPS 1; physical therapy combined with only a simple analgesic is an efficient means of therapy.</w:t>
      </w:r>
    </w:p>
    <w:p w14:paraId="173E798B" w14:textId="77777777" w:rsidR="008D0565" w:rsidRPr="00D61F73" w:rsidRDefault="008D0565" w:rsidP="00D61F73">
      <w:pPr>
        <w:rPr>
          <w:rFonts w:ascii="Arial" w:hAnsi="Arial" w:cs="Arial"/>
        </w:rPr>
      </w:pPr>
    </w:p>
    <w:p w14:paraId="52C986DD" w14:textId="77777777" w:rsidR="008D0565" w:rsidRPr="00D61F73" w:rsidRDefault="008D0565" w:rsidP="00D61F73">
      <w:pPr>
        <w:rPr>
          <w:rFonts w:ascii="Arial" w:hAnsi="Arial" w:cs="Arial"/>
        </w:rPr>
      </w:pPr>
      <w:r w:rsidRPr="00D61F73">
        <w:rPr>
          <w:rFonts w:ascii="Arial" w:hAnsi="Arial" w:cs="Arial"/>
        </w:rPr>
        <w:t xml:space="preserve">PMID: </w:t>
      </w:r>
      <w:hyperlink r:id="rId750" w:history="1">
        <w:r w:rsidRPr="00D61F73">
          <w:rPr>
            <w:rStyle w:val="Hyperlink"/>
            <w:rFonts w:ascii="Arial" w:hAnsi="Arial" w:cs="Arial"/>
          </w:rPr>
          <w:t>15980934</w:t>
        </w:r>
      </w:hyperlink>
      <w:r w:rsidRPr="00D61F73">
        <w:rPr>
          <w:rFonts w:ascii="Arial" w:hAnsi="Arial" w:cs="Arial"/>
        </w:rPr>
        <w:t xml:space="preserve"> </w:t>
      </w:r>
    </w:p>
    <w:p w14:paraId="18479D10" w14:textId="77777777" w:rsidR="008D0565" w:rsidRPr="00D61F73" w:rsidRDefault="008D0565" w:rsidP="00D61F73">
      <w:pPr>
        <w:rPr>
          <w:rFonts w:ascii="Arial" w:hAnsi="Arial" w:cs="Arial"/>
        </w:rPr>
      </w:pPr>
    </w:p>
    <w:p w14:paraId="0E611AF3" w14:textId="77777777" w:rsidR="008D0565" w:rsidRPr="00D61F73" w:rsidRDefault="008D0565" w:rsidP="00D61F73">
      <w:pPr>
        <w:rPr>
          <w:rFonts w:ascii="Arial" w:hAnsi="Arial" w:cs="Arial"/>
        </w:rPr>
      </w:pPr>
      <w:r w:rsidRPr="00D61F73">
        <w:rPr>
          <w:rFonts w:ascii="Arial" w:hAnsi="Arial" w:cs="Arial"/>
        </w:rPr>
        <w:t>Rating: 2b</w:t>
      </w:r>
    </w:p>
    <w:p w14:paraId="3E538F3B" w14:textId="77777777" w:rsidR="008D0565" w:rsidRPr="00D61F73" w:rsidRDefault="008D0565" w:rsidP="00D61F73">
      <w:pPr>
        <w:rPr>
          <w:rFonts w:ascii="Arial" w:hAnsi="Arial" w:cs="Arial"/>
          <w:b/>
          <w:bCs/>
        </w:rPr>
      </w:pPr>
      <w:r w:rsidRPr="00D61F73">
        <w:rPr>
          <w:rFonts w:ascii="Arial" w:hAnsi="Arial" w:cs="Arial"/>
        </w:rPr>
        <w:br w:type="page"/>
      </w:r>
      <w:bookmarkStart w:id="1101" w:name="Salerno"/>
      <w:r w:rsidRPr="00D61F73">
        <w:rPr>
          <w:rFonts w:ascii="Arial" w:hAnsi="Arial" w:cs="Arial"/>
          <w:b/>
          <w:bCs/>
        </w:rPr>
        <w:lastRenderedPageBreak/>
        <w:t>Salerno</w:t>
      </w:r>
      <w:bookmarkEnd w:id="1101"/>
      <w:r w:rsidRPr="00D61F73">
        <w:rPr>
          <w:rFonts w:ascii="Arial" w:hAnsi="Arial" w:cs="Arial"/>
          <w:b/>
          <w:bCs/>
        </w:rPr>
        <w:t xml:space="preserve"> SM, Browning R, Jackson JL, The effect of antidepressant treatment on chronic back pain: a meta-analysis, </w:t>
      </w:r>
      <w:r w:rsidRPr="00D61F73">
        <w:rPr>
          <w:rFonts w:ascii="Arial" w:hAnsi="Arial" w:cs="Arial"/>
          <w:b/>
          <w:bCs/>
          <w:i/>
          <w:iCs/>
        </w:rPr>
        <w:t>Arch Intern Med</w:t>
      </w:r>
      <w:r w:rsidRPr="00D61F73">
        <w:rPr>
          <w:rFonts w:ascii="Arial" w:hAnsi="Arial" w:cs="Arial"/>
          <w:b/>
          <w:bCs/>
        </w:rPr>
        <w:t>. 2002 Jan 14;162(1):19-24.</w:t>
      </w:r>
    </w:p>
    <w:p w14:paraId="26AA91B1" w14:textId="77777777" w:rsidR="008D0565" w:rsidRPr="00D61F73" w:rsidRDefault="008D0565" w:rsidP="00D61F73">
      <w:pPr>
        <w:rPr>
          <w:rFonts w:ascii="Arial" w:hAnsi="Arial" w:cs="Arial"/>
        </w:rPr>
      </w:pPr>
    </w:p>
    <w:p w14:paraId="78A4032C" w14:textId="77777777" w:rsidR="008D0565" w:rsidRPr="00D61F73" w:rsidRDefault="008D0565" w:rsidP="00D61F73">
      <w:pPr>
        <w:rPr>
          <w:rFonts w:ascii="Arial" w:hAnsi="Arial" w:cs="Arial"/>
        </w:rPr>
      </w:pPr>
      <w:r w:rsidRPr="00D61F73">
        <w:rPr>
          <w:rFonts w:ascii="Arial" w:hAnsi="Arial" w:cs="Arial"/>
        </w:rPr>
        <w:t>CONCLUSION: Antidepressants are more effective than placebo in reducing pain severity but not functional status in chronic back pain.</w:t>
      </w:r>
    </w:p>
    <w:p w14:paraId="471AA0F3" w14:textId="77777777" w:rsidR="008D0565" w:rsidRPr="00D61F73" w:rsidRDefault="008D0565" w:rsidP="00D61F73">
      <w:pPr>
        <w:rPr>
          <w:rFonts w:ascii="Arial" w:hAnsi="Arial" w:cs="Arial"/>
        </w:rPr>
      </w:pPr>
    </w:p>
    <w:p w14:paraId="639D6EC1" w14:textId="77777777" w:rsidR="008D0565" w:rsidRPr="00D61F73" w:rsidRDefault="008D0565" w:rsidP="00D61F73">
      <w:pPr>
        <w:rPr>
          <w:rFonts w:ascii="Arial" w:hAnsi="Arial" w:cs="Arial"/>
        </w:rPr>
      </w:pPr>
      <w:r w:rsidRPr="00D61F73">
        <w:rPr>
          <w:rFonts w:ascii="Arial" w:hAnsi="Arial" w:cs="Arial"/>
        </w:rPr>
        <w:t xml:space="preserve">PMID: </w:t>
      </w:r>
      <w:hyperlink r:id="rId751" w:history="1">
        <w:r w:rsidRPr="00D61F73">
          <w:rPr>
            <w:rStyle w:val="Hyperlink"/>
            <w:rFonts w:ascii="Arial" w:hAnsi="Arial" w:cs="Arial"/>
          </w:rPr>
          <w:t>11784215</w:t>
        </w:r>
      </w:hyperlink>
      <w:r w:rsidRPr="00D61F73">
        <w:rPr>
          <w:rFonts w:ascii="Arial" w:hAnsi="Arial" w:cs="Arial"/>
        </w:rPr>
        <w:t xml:space="preserve"> </w:t>
      </w:r>
    </w:p>
    <w:p w14:paraId="29AED235" w14:textId="77777777" w:rsidR="008D0565" w:rsidRPr="00D61F73" w:rsidRDefault="008D0565" w:rsidP="00D61F73">
      <w:pPr>
        <w:rPr>
          <w:rFonts w:ascii="Arial" w:hAnsi="Arial" w:cs="Arial"/>
        </w:rPr>
      </w:pPr>
    </w:p>
    <w:p w14:paraId="32C30AE7"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02" w:name="Salinsky2010"/>
      <w:bookmarkEnd w:id="1102"/>
      <w:r w:rsidRPr="00D61F73">
        <w:rPr>
          <w:rFonts w:ascii="Arial" w:hAnsi="Arial" w:cs="Arial"/>
          <w:b/>
          <w:bCs/>
        </w:rPr>
        <w:t xml:space="preserve">alinsky M, Storzbach D, Munoz S. Cognitive effects of pregabalin in healthy volunteers: a double-blind, placebo-controlled trial. </w:t>
      </w:r>
      <w:r w:rsidRPr="00D61F73">
        <w:rPr>
          <w:rFonts w:ascii="Arial" w:hAnsi="Arial" w:cs="Arial"/>
          <w:b/>
          <w:bCs/>
          <w:i/>
          <w:iCs/>
        </w:rPr>
        <w:t>Neurology</w:t>
      </w:r>
      <w:r w:rsidRPr="00D61F73">
        <w:rPr>
          <w:rFonts w:ascii="Arial" w:hAnsi="Arial" w:cs="Arial"/>
          <w:b/>
          <w:bCs/>
        </w:rPr>
        <w:t>. 2010 Mar 2;74(9):755-61.</w:t>
      </w:r>
    </w:p>
    <w:p w14:paraId="7F861CFA" w14:textId="77777777" w:rsidR="008D0565" w:rsidRPr="00D61F73" w:rsidRDefault="008D0565" w:rsidP="00D61F73">
      <w:pPr>
        <w:pStyle w:val="NormalWeb"/>
        <w:spacing w:before="0" w:beforeAutospacing="0" w:after="0" w:afterAutospacing="0"/>
        <w:rPr>
          <w:rFonts w:ascii="Arial" w:hAnsi="Arial" w:cs="Arial"/>
        </w:rPr>
      </w:pPr>
    </w:p>
    <w:p w14:paraId="5712939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RESULTS: Thirty subjects completed the study (94%). CONCLUSION: At conventional doses and titration, pregabalin induced mild negative cognitive effects and neurotoxicity complaints in healthy volunteers. </w:t>
      </w:r>
    </w:p>
    <w:p w14:paraId="7EB4C990" w14:textId="77777777" w:rsidR="008D0565" w:rsidRPr="00D61F73" w:rsidRDefault="008D0565" w:rsidP="00D61F73">
      <w:pPr>
        <w:pStyle w:val="NormalWeb"/>
        <w:spacing w:before="0" w:beforeAutospacing="0" w:after="0" w:afterAutospacing="0"/>
        <w:rPr>
          <w:rFonts w:ascii="Arial" w:hAnsi="Arial" w:cs="Arial"/>
        </w:rPr>
      </w:pPr>
    </w:p>
    <w:p w14:paraId="78A5A4F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52" w:history="1">
        <w:r w:rsidRPr="00D61F73">
          <w:rPr>
            <w:rStyle w:val="Hyperlink"/>
            <w:rFonts w:ascii="Arial" w:hAnsi="Arial" w:cs="Arial"/>
          </w:rPr>
          <w:t>20194915</w:t>
        </w:r>
      </w:hyperlink>
      <w:r w:rsidRPr="00D61F73">
        <w:rPr>
          <w:rFonts w:ascii="Arial" w:hAnsi="Arial" w:cs="Arial"/>
        </w:rPr>
        <w:t xml:space="preserve"> </w:t>
      </w:r>
    </w:p>
    <w:p w14:paraId="05B6FAD8" w14:textId="77777777" w:rsidR="008D0565" w:rsidRPr="00D61F73" w:rsidRDefault="008D0565" w:rsidP="00D61F73">
      <w:pPr>
        <w:pStyle w:val="NormalWeb"/>
        <w:spacing w:before="0" w:beforeAutospacing="0" w:after="0" w:afterAutospacing="0"/>
        <w:rPr>
          <w:rFonts w:ascii="Arial" w:hAnsi="Arial" w:cs="Arial"/>
        </w:rPr>
      </w:pPr>
    </w:p>
    <w:p w14:paraId="57C1D2D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41C32A13" w14:textId="77777777" w:rsidR="00CE243E"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hyperlink r:id="rId753" w:history="1">
        <w:r w:rsidRPr="00D61F73">
          <w:rPr>
            <w:rStyle w:val="Hyperlink"/>
            <w:rFonts w:ascii="Arial" w:hAnsi="Arial" w:cs="Arial"/>
            <w:b/>
            <w:bCs/>
          </w:rPr>
          <w:t>S</w:t>
        </w:r>
        <w:bookmarkStart w:id="1103" w:name="SAMHSA"/>
        <w:bookmarkEnd w:id="1103"/>
        <w:r w:rsidRPr="00D61F73">
          <w:rPr>
            <w:rStyle w:val="Hyperlink"/>
            <w:rFonts w:ascii="Arial" w:hAnsi="Arial" w:cs="Arial"/>
            <w:b/>
            <w:bCs/>
          </w:rPr>
          <w:t>AMHSA</w:t>
        </w:r>
      </w:hyperlink>
      <w:r w:rsidRPr="00D61F73">
        <w:rPr>
          <w:rFonts w:ascii="Arial" w:hAnsi="Arial" w:cs="Arial"/>
          <w:b/>
          <w:bCs/>
        </w:rPr>
        <w:t xml:space="preserve"> (Substance Abuse and Mental Health Services Administration). </w:t>
      </w:r>
      <w:r w:rsidR="00CE243E" w:rsidRPr="00D61F73">
        <w:rPr>
          <w:rFonts w:ascii="Arial" w:hAnsi="Arial" w:cs="Arial"/>
          <w:b/>
          <w:bCs/>
        </w:rPr>
        <w:t>Center for Behavioral Health Statistics and Quality. (October 27, 2011). The DAWN Report: ED Visits Involving the Muscle Relaxant Carisoprodol. Rockville, MD.</w:t>
      </w:r>
    </w:p>
    <w:p w14:paraId="7731E0CF" w14:textId="77777777" w:rsidR="00CE243E" w:rsidRPr="00D61F73" w:rsidRDefault="00CE243E" w:rsidP="00D61F73">
      <w:pPr>
        <w:numPr>
          <w:ilvl w:val="0"/>
          <w:numId w:val="27"/>
        </w:numPr>
        <w:spacing w:before="100" w:beforeAutospacing="1" w:after="240"/>
        <w:rPr>
          <w:rFonts w:ascii="Arial" w:hAnsi="Arial" w:cs="Arial"/>
          <w:bCs/>
          <w:color w:val="auto"/>
        </w:rPr>
      </w:pPr>
      <w:r w:rsidRPr="00D61F73">
        <w:rPr>
          <w:rFonts w:ascii="Arial" w:hAnsi="Arial" w:cs="Arial"/>
          <w:bCs/>
          <w:color w:val="auto"/>
        </w:rPr>
        <w:t>The number of carisoprodol-related ED visits involving misuse or abuse doubled from 15,830 visits in 2004 to 31,763 visits in 2009</w:t>
      </w:r>
    </w:p>
    <w:p w14:paraId="4F8A5118" w14:textId="77777777" w:rsidR="00CE243E" w:rsidRPr="00D61F73" w:rsidRDefault="00CE243E" w:rsidP="00D61F73">
      <w:pPr>
        <w:numPr>
          <w:ilvl w:val="0"/>
          <w:numId w:val="27"/>
        </w:numPr>
        <w:spacing w:before="100" w:beforeAutospacing="1" w:after="240"/>
        <w:rPr>
          <w:rFonts w:ascii="Arial" w:hAnsi="Arial" w:cs="Arial"/>
          <w:bCs/>
          <w:color w:val="auto"/>
        </w:rPr>
      </w:pPr>
      <w:r w:rsidRPr="00D61F73">
        <w:rPr>
          <w:rFonts w:ascii="Arial" w:hAnsi="Arial" w:cs="Arial"/>
          <w:bCs/>
          <w:color w:val="auto"/>
        </w:rPr>
        <w:t>The number of carisoprodol-related ED visits involving misuse or abuse by patients aged 50 or older tripled between 2004 and 2009 (from 2,070 to 7,115 visits)</w:t>
      </w:r>
    </w:p>
    <w:p w14:paraId="0855F524" w14:textId="77777777" w:rsidR="00CE243E" w:rsidRPr="00D61F73" w:rsidRDefault="00CE243E" w:rsidP="00D61F73">
      <w:pPr>
        <w:numPr>
          <w:ilvl w:val="0"/>
          <w:numId w:val="27"/>
        </w:numPr>
        <w:spacing w:before="100" w:beforeAutospacing="1" w:after="240"/>
        <w:rPr>
          <w:rFonts w:ascii="Arial" w:hAnsi="Arial" w:cs="Arial"/>
          <w:bCs/>
          <w:color w:val="auto"/>
        </w:rPr>
      </w:pPr>
      <w:r w:rsidRPr="00D61F73">
        <w:rPr>
          <w:rFonts w:ascii="Arial" w:hAnsi="Arial" w:cs="Arial"/>
          <w:bCs/>
          <w:color w:val="auto"/>
        </w:rPr>
        <w:t>The majority of ED visits involving carisoprodol also involved other pharmaceuticals (77 percent); the most common combinations involved narcotic pain relievers (55 percent) and benzodiazepines (47 percent)</w:t>
      </w:r>
    </w:p>
    <w:p w14:paraId="64AA1D60" w14:textId="77777777" w:rsidR="00CE243E" w:rsidRPr="00D61F73" w:rsidRDefault="00CE243E" w:rsidP="00D61F73">
      <w:pPr>
        <w:numPr>
          <w:ilvl w:val="0"/>
          <w:numId w:val="27"/>
        </w:numPr>
        <w:spacing w:before="100" w:beforeAutospacing="1" w:after="240"/>
        <w:rPr>
          <w:rFonts w:ascii="Arial" w:hAnsi="Arial" w:cs="Arial"/>
          <w:bCs/>
          <w:color w:val="auto"/>
        </w:rPr>
      </w:pPr>
      <w:r w:rsidRPr="00D61F73">
        <w:rPr>
          <w:rFonts w:ascii="Arial" w:hAnsi="Arial" w:cs="Arial"/>
          <w:bCs/>
          <w:color w:val="auto"/>
        </w:rPr>
        <w:t>Of all the carisoprodol visits classified as misuse or abuse, one third (35 percent) of the visits required hospitalization</w:t>
      </w:r>
    </w:p>
    <w:p w14:paraId="6D35C7A9" w14:textId="77777777" w:rsidR="002A4684" w:rsidRPr="00D61F73" w:rsidRDefault="002A4684" w:rsidP="00D61F73">
      <w:pPr>
        <w:spacing w:before="100" w:beforeAutospacing="1" w:after="240"/>
        <w:rPr>
          <w:rFonts w:ascii="Arial" w:hAnsi="Arial" w:cs="Arial"/>
          <w:bCs/>
          <w:color w:val="auto"/>
        </w:rPr>
      </w:pPr>
      <w:r w:rsidRPr="00D61F73">
        <w:rPr>
          <w:rFonts w:ascii="Arial" w:hAnsi="Arial" w:cs="Arial"/>
          <w:bCs/>
          <w:color w:val="auto"/>
        </w:rPr>
        <w:t>Rating: 8a</w:t>
      </w:r>
    </w:p>
    <w:p w14:paraId="43398BCA"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04" w:name="Sanders"/>
      <w:bookmarkEnd w:id="1104"/>
      <w:r w:rsidRPr="00D61F73">
        <w:rPr>
          <w:rFonts w:ascii="Arial" w:hAnsi="Arial" w:cs="Arial"/>
          <w:b/>
          <w:bCs/>
        </w:rPr>
        <w:t xml:space="preserve">anders SH, Harden RN, Vicente PJ. Evidence-Based Clinical Practice Guidelines for Interdisciplinary Rehabilitation of Chronic Nonmalignant Pain Syndrome Patients. World Institute of Pain, </w:t>
      </w:r>
      <w:r w:rsidRPr="00D61F73">
        <w:rPr>
          <w:rFonts w:ascii="Arial" w:hAnsi="Arial" w:cs="Arial"/>
          <w:b/>
          <w:bCs/>
          <w:i/>
          <w:iCs/>
        </w:rPr>
        <w:t>Pain Practice</w:t>
      </w:r>
      <w:r w:rsidRPr="00D61F73">
        <w:rPr>
          <w:rFonts w:ascii="Arial" w:hAnsi="Arial" w:cs="Arial"/>
          <w:b/>
          <w:bCs/>
        </w:rPr>
        <w:t>, Volume 5, Issue 4, 2005 303–315.</w:t>
      </w:r>
    </w:p>
    <w:p w14:paraId="11B4A5B8" w14:textId="77777777" w:rsidR="008D0565" w:rsidRPr="00D61F73" w:rsidRDefault="008D0565" w:rsidP="00D61F73">
      <w:pPr>
        <w:pStyle w:val="NormalWeb"/>
        <w:spacing w:before="0" w:beforeAutospacing="0" w:after="0" w:afterAutospacing="0"/>
        <w:rPr>
          <w:rFonts w:ascii="Arial" w:hAnsi="Arial" w:cs="Arial"/>
        </w:rPr>
      </w:pPr>
    </w:p>
    <w:p w14:paraId="5A46357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current guidelines recommend interdisciplinary-focused rehabilitation, which is goal-directed and time-limited. Emphasis is placed on educating patients in active self-management techniques that stress maximizing function. Integrated treatment involving medical, psychological/behavioral, physical/occupational therapy, and disability/vocational interventions are recommended on an outpatient basis whenever clinically possible. </w:t>
      </w:r>
      <w:r w:rsidRPr="00D61F73">
        <w:rPr>
          <w:rFonts w:ascii="Arial" w:hAnsi="Arial" w:cs="Arial"/>
          <w:u w:val="single"/>
        </w:rPr>
        <w:t>Note:</w:t>
      </w:r>
      <w:r w:rsidRPr="00D61F73">
        <w:rPr>
          <w:rFonts w:ascii="Arial" w:hAnsi="Arial" w:cs="Arial"/>
        </w:rPr>
        <w:t xml:space="preserve"> This issue of this journal was not accepted into Medline, and therefore it is not part of the primary evidence based used for ODG, but it includes a helpful reference list.</w:t>
      </w:r>
    </w:p>
    <w:p w14:paraId="527D39B1" w14:textId="77777777" w:rsidR="008D0565" w:rsidRPr="00D61F73" w:rsidRDefault="008D0565" w:rsidP="00D61F73">
      <w:pPr>
        <w:pStyle w:val="NormalWeb"/>
        <w:spacing w:before="0" w:beforeAutospacing="0" w:after="0" w:afterAutospacing="0"/>
        <w:rPr>
          <w:rFonts w:ascii="Arial" w:hAnsi="Arial" w:cs="Arial"/>
        </w:rPr>
      </w:pPr>
    </w:p>
    <w:p w14:paraId="291B2EF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Per Andrew Brylowski, M.D.:</w:t>
      </w:r>
    </w:p>
    <w:p w14:paraId="12E68B2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AMA guides fifth edition page 567 defines chronic pain syndrome (CPS) as: "Although not official nomenclature, it is frequently used (chronic pain syndrome) to describe an individual who is markedly impaired by chronic pain with substantial psychological overlay. Chronic pain syndrome is largely a behavioral syndrome that affects a minority of those with chronic pain. </w:t>
      </w:r>
    </w:p>
    <w:p w14:paraId="31746E6B" w14:textId="77777777" w:rsidR="008D0565" w:rsidRPr="00D61F73" w:rsidRDefault="008D0565" w:rsidP="00D61F73">
      <w:pPr>
        <w:pStyle w:val="NormalWeb"/>
        <w:spacing w:before="0" w:beforeAutospacing="0" w:after="0" w:afterAutospacing="0"/>
        <w:rPr>
          <w:rFonts w:ascii="Arial" w:hAnsi="Arial" w:cs="Arial"/>
        </w:rPr>
      </w:pPr>
    </w:p>
    <w:p w14:paraId="5ABCDB4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Per ODG Reviewers:</w:t>
      </w:r>
    </w:p>
    <w:p w14:paraId="1A344B6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 the definition of chronic pain syndrome remains controversial. The challenge for a treatment guideline is to find an operational definition that helps reviewers and treating providers to define whether or not someone has the condition, or not. In that sense, the 5th edition of the Guides may not be as helpful as the 4th edition. In the 4th edition, on pp. 308-309, there is a definition of "8 Ds," of which 4 or more are considered to reliably define the CPS. With regards to the Sanders article… as the Abstract points out, this is the third iteration of this "guideline," and contains updated references… it is published in a relatively low-impact journal of questionable peer review (an uncertain indexing in Index Medicus). This is a "pragmatic guideline," based on a highly selective review of the pain literature.  ... it does not focus on chronic pain treatment in workers' compensation, which leaves the usual problems of subjectivity associated with the outcomes. </w:t>
      </w:r>
    </w:p>
    <w:p w14:paraId="633D220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05" w:name="SatorKatzenschlager"/>
      <w:bookmarkEnd w:id="1105"/>
      <w:r w:rsidRPr="00D61F73">
        <w:rPr>
          <w:rFonts w:ascii="Arial" w:hAnsi="Arial" w:cs="Arial"/>
          <w:b/>
          <w:bCs/>
        </w:rPr>
        <w:t xml:space="preserve">ator-Katzenschlager SM, Michalek-Sauberer A. P-Stim auricular electroacupuncture stimulation device for pain relief. </w:t>
      </w:r>
      <w:r w:rsidRPr="00D61F73">
        <w:rPr>
          <w:rFonts w:ascii="Arial" w:hAnsi="Arial" w:cs="Arial"/>
          <w:b/>
          <w:bCs/>
          <w:i/>
          <w:iCs/>
        </w:rPr>
        <w:t>Expert Rev Med Devices</w:t>
      </w:r>
      <w:r w:rsidRPr="00D61F73">
        <w:rPr>
          <w:rFonts w:ascii="Arial" w:hAnsi="Arial" w:cs="Arial"/>
          <w:b/>
          <w:bCs/>
        </w:rPr>
        <w:t>. 2007 Jan;4(1):23-32.</w:t>
      </w:r>
    </w:p>
    <w:p w14:paraId="3B504E0D" w14:textId="77777777" w:rsidR="008D0565" w:rsidRPr="00D61F73" w:rsidRDefault="008D0565" w:rsidP="00D61F73">
      <w:pPr>
        <w:pStyle w:val="NormalWeb"/>
        <w:spacing w:before="0" w:beforeAutospacing="0" w:after="0" w:afterAutospacing="0"/>
        <w:rPr>
          <w:rFonts w:ascii="Arial" w:hAnsi="Arial" w:cs="Arial"/>
        </w:rPr>
      </w:pPr>
    </w:p>
    <w:p w14:paraId="12CF0FD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54" w:history="1">
        <w:r w:rsidRPr="00D61F73">
          <w:rPr>
            <w:rStyle w:val="Hyperlink"/>
            <w:rFonts w:ascii="Arial" w:hAnsi="Arial" w:cs="Arial"/>
          </w:rPr>
          <w:t>17187468</w:t>
        </w:r>
      </w:hyperlink>
      <w:r w:rsidRPr="00D61F73">
        <w:rPr>
          <w:rFonts w:ascii="Arial" w:hAnsi="Arial" w:cs="Arial"/>
        </w:rPr>
        <w:t xml:space="preserve"> </w:t>
      </w:r>
    </w:p>
    <w:p w14:paraId="2C9F2051" w14:textId="77777777" w:rsidR="008D0565" w:rsidRPr="00D61F73" w:rsidRDefault="008D0565" w:rsidP="00D61F73">
      <w:pPr>
        <w:pStyle w:val="NormalWeb"/>
        <w:spacing w:before="0" w:beforeAutospacing="0" w:after="0" w:afterAutospacing="0"/>
        <w:rPr>
          <w:rFonts w:ascii="Arial" w:hAnsi="Arial" w:cs="Arial"/>
        </w:rPr>
      </w:pPr>
    </w:p>
    <w:p w14:paraId="6FA7974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5c</w:t>
      </w:r>
    </w:p>
    <w:p w14:paraId="0B6315B9"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S</w:t>
      </w:r>
      <w:bookmarkStart w:id="1106" w:name="Scarano1998"/>
      <w:bookmarkEnd w:id="1106"/>
      <w:r w:rsidRPr="00D61F73">
        <w:rPr>
          <w:rFonts w:ascii="Arial" w:hAnsi="Arial" w:cs="Arial"/>
          <w:b/>
        </w:rPr>
        <w:t xml:space="preserve">carano VR, Jankovic J. Post-traumatic movement disorders: effect of the legal system on outcome. </w:t>
      </w:r>
      <w:r w:rsidRPr="00D61F73">
        <w:rPr>
          <w:rFonts w:ascii="Arial" w:hAnsi="Arial" w:cs="Arial"/>
          <w:b/>
          <w:i/>
        </w:rPr>
        <w:t>J Forensic Sci</w:t>
      </w:r>
      <w:r w:rsidRPr="00D61F73">
        <w:rPr>
          <w:rFonts w:ascii="Arial" w:hAnsi="Arial" w:cs="Arial"/>
          <w:b/>
        </w:rPr>
        <w:t>. 1998;43:334-9.</w:t>
      </w:r>
    </w:p>
    <w:p w14:paraId="73452429" w14:textId="77777777" w:rsidR="008D0565" w:rsidRPr="00D61F73" w:rsidRDefault="008D0565" w:rsidP="00D61F73">
      <w:pPr>
        <w:rPr>
          <w:rFonts w:ascii="Arial" w:hAnsi="Arial" w:cs="Arial"/>
        </w:rPr>
      </w:pPr>
    </w:p>
    <w:p w14:paraId="3E891D73" w14:textId="77777777" w:rsidR="008D0565" w:rsidRPr="00D61F73" w:rsidRDefault="008D0565" w:rsidP="00D61F73">
      <w:pPr>
        <w:rPr>
          <w:rFonts w:ascii="Arial" w:hAnsi="Arial" w:cs="Arial"/>
        </w:rPr>
      </w:pPr>
      <w:r w:rsidRPr="00D61F73">
        <w:rPr>
          <w:rFonts w:ascii="Arial" w:hAnsi="Arial" w:cs="Arial"/>
        </w:rPr>
        <w:t xml:space="preserve">PMID: </w:t>
      </w:r>
      <w:hyperlink r:id="rId755" w:history="1">
        <w:r w:rsidRPr="00D61F73">
          <w:rPr>
            <w:rStyle w:val="Hyperlink"/>
            <w:rFonts w:ascii="Arial" w:hAnsi="Arial" w:cs="Arial"/>
          </w:rPr>
          <w:t>9544540</w:t>
        </w:r>
      </w:hyperlink>
    </w:p>
    <w:p w14:paraId="2D3B95A0" w14:textId="77777777" w:rsidR="008D0565" w:rsidRPr="00D61F73" w:rsidRDefault="008D0565" w:rsidP="00D61F73">
      <w:pPr>
        <w:rPr>
          <w:rFonts w:ascii="Arial" w:hAnsi="Arial" w:cs="Arial"/>
        </w:rPr>
      </w:pPr>
    </w:p>
    <w:p w14:paraId="61E7F496" w14:textId="77777777" w:rsidR="008D0565" w:rsidRPr="00D61F73" w:rsidRDefault="008D0565" w:rsidP="00D61F73">
      <w:pPr>
        <w:rPr>
          <w:rFonts w:ascii="Arial" w:hAnsi="Arial" w:cs="Arial"/>
        </w:rPr>
      </w:pPr>
      <w:r w:rsidRPr="00D61F73">
        <w:rPr>
          <w:rFonts w:ascii="Arial" w:hAnsi="Arial" w:cs="Arial"/>
        </w:rPr>
        <w:t>Rating: 4b</w:t>
      </w:r>
    </w:p>
    <w:p w14:paraId="1A9F1A0D" w14:textId="77777777" w:rsidR="00FF35F5" w:rsidRPr="00D61F73" w:rsidRDefault="00FF35F5" w:rsidP="00D61F73">
      <w:pPr>
        <w:rPr>
          <w:rFonts w:ascii="Arial" w:hAnsi="Arial" w:cs="Arial"/>
          <w:b/>
        </w:rPr>
      </w:pPr>
      <w:r w:rsidRPr="00D61F73">
        <w:rPr>
          <w:rFonts w:ascii="Arial" w:hAnsi="Arial" w:cs="Arial"/>
        </w:rPr>
        <w:br w:type="page"/>
      </w:r>
      <w:bookmarkStart w:id="1107" w:name="Schaafsma2010"/>
      <w:bookmarkEnd w:id="1107"/>
      <w:r w:rsidRPr="00D61F73">
        <w:rPr>
          <w:rFonts w:ascii="Arial" w:hAnsi="Arial" w:cs="Arial"/>
          <w:b/>
        </w:rPr>
        <w:lastRenderedPageBreak/>
        <w:fldChar w:fldCharType="begin"/>
      </w:r>
      <w:r w:rsidRPr="00D61F73">
        <w:rPr>
          <w:rFonts w:ascii="Arial" w:hAnsi="Arial" w:cs="Arial"/>
          <w:b/>
        </w:rPr>
        <w:instrText xml:space="preserve"> HYPERLINK "http://www.ncbi.nlm.nih.gov/pubmed/20091523" </w:instrText>
      </w:r>
      <w:r w:rsidRPr="00D61F73">
        <w:rPr>
          <w:rFonts w:ascii="Arial" w:hAnsi="Arial" w:cs="Arial"/>
          <w:b/>
        </w:rPr>
        <w:fldChar w:fldCharType="separate"/>
      </w:r>
      <w:r w:rsidRPr="00D61F73">
        <w:rPr>
          <w:rStyle w:val="Hyperlink"/>
          <w:rFonts w:ascii="Arial" w:hAnsi="Arial" w:cs="Arial"/>
          <w:b/>
        </w:rPr>
        <w:t>Schaafsma F, Schonstein E, Whelan KM, Ulvestad E, Kenny DT, Verbeek JH.</w:t>
      </w:r>
      <w:r w:rsidRPr="00D61F73">
        <w:rPr>
          <w:rFonts w:ascii="Arial" w:hAnsi="Arial" w:cs="Arial"/>
          <w:b/>
        </w:rPr>
        <w:fldChar w:fldCharType="end"/>
      </w:r>
      <w:r w:rsidRPr="00D61F73">
        <w:rPr>
          <w:rFonts w:ascii="Arial" w:hAnsi="Arial" w:cs="Arial"/>
          <w:b/>
        </w:rPr>
        <w:t xml:space="preserve"> Physical conditioning programs for improving work outcomes in workers with back pain. Cochrane Database Syst Rev. 2010 Jan 20;(1):CD001822. doi: 10.1002/14651858.CD001822.pub2. Review.</w:t>
      </w:r>
    </w:p>
    <w:p w14:paraId="64B72C5A" w14:textId="77777777" w:rsidR="00FF35F5" w:rsidRPr="00D61F73" w:rsidRDefault="00FF35F5" w:rsidP="00D61F73">
      <w:pPr>
        <w:rPr>
          <w:rFonts w:ascii="Arial" w:hAnsi="Arial" w:cs="Arial"/>
        </w:rPr>
      </w:pPr>
    </w:p>
    <w:p w14:paraId="622D6B69" w14:textId="77777777" w:rsidR="00FF35F5" w:rsidRPr="00D61F73" w:rsidRDefault="00FF35F5" w:rsidP="00D61F73">
      <w:pPr>
        <w:rPr>
          <w:rFonts w:ascii="Arial" w:hAnsi="Arial" w:cs="Arial"/>
        </w:rPr>
      </w:pPr>
      <w:r w:rsidRPr="00D61F73">
        <w:rPr>
          <w:rFonts w:ascii="Arial" w:hAnsi="Arial" w:cs="Arial"/>
        </w:rPr>
        <w:t>RESULTS: Thirty-seven references, reporting on 23 RCTs (3676 workers) were included, 13 of which had a low risk of bias. In 14 studies, physical conditioning programs were compared to usual care. In workers with acute back pain, there was no effect on sickness absence. For workers with subacute back pain, we found conflicting results, but subgroup analysis showed a positive effect of interventions with workplace involvement. In workers with chronic back pain, pooled results of five studies showed a small effect on sickness absence at long-term follow-up (SMD: -0.18 (95% CI: -0.37 to 0.00)). In workers with chronic back pain, physical conditioning programs were compared to other exercise therapy in six studies, with conflicting results. The addition of cognitive behavioural therapy to physical conditioning programs was not more effective than the physical conditioning alone.</w:t>
      </w:r>
    </w:p>
    <w:p w14:paraId="037E7882" w14:textId="77777777" w:rsidR="00FF35F5" w:rsidRPr="00D61F73" w:rsidRDefault="00FF35F5" w:rsidP="00D61F73">
      <w:pPr>
        <w:rPr>
          <w:rFonts w:ascii="Arial" w:hAnsi="Arial" w:cs="Arial"/>
        </w:rPr>
      </w:pPr>
    </w:p>
    <w:p w14:paraId="25E1D324" w14:textId="77777777" w:rsidR="00FF35F5" w:rsidRPr="00D61F73" w:rsidRDefault="00FF35F5" w:rsidP="00D61F73">
      <w:pPr>
        <w:rPr>
          <w:rFonts w:ascii="Arial" w:hAnsi="Arial" w:cs="Arial"/>
        </w:rPr>
      </w:pPr>
      <w:r w:rsidRPr="00D61F73">
        <w:rPr>
          <w:rFonts w:ascii="Arial" w:hAnsi="Arial" w:cs="Arial"/>
        </w:rPr>
        <w:t>AUTHORS’ CONCLUSIONS: The effectiveness of physical conditioning programs in reducing sick leave when compared to usual care or than other exercises in workers with back pain remains uncertain. In workers with acute back pain, these programs probably have no effect on sick leave, but there may be a positive effect on sick leave for workers with subacute and chronic back pain. Workplace involvement might improve the outcome. Better understanding of the mechanism behind physical conditioning programs and return-to-work is needed to be able to develop more effective interventions.</w:t>
      </w:r>
    </w:p>
    <w:p w14:paraId="636DE398" w14:textId="77777777" w:rsidR="00FF35F5" w:rsidRPr="00D61F73" w:rsidRDefault="00FF35F5" w:rsidP="00D61F73">
      <w:pPr>
        <w:rPr>
          <w:rFonts w:ascii="Arial" w:hAnsi="Arial" w:cs="Arial"/>
        </w:rPr>
      </w:pPr>
    </w:p>
    <w:p w14:paraId="09C11E0E" w14:textId="77777777" w:rsidR="00FF35F5" w:rsidRPr="00D61F73" w:rsidRDefault="00FF35F5" w:rsidP="00D61F73">
      <w:pPr>
        <w:rPr>
          <w:rFonts w:ascii="Arial" w:hAnsi="Arial" w:cs="Arial"/>
        </w:rPr>
      </w:pPr>
      <w:r w:rsidRPr="00D61F73">
        <w:rPr>
          <w:rFonts w:ascii="Arial" w:hAnsi="Arial" w:cs="Arial"/>
        </w:rPr>
        <w:t>Rating: 1b</w:t>
      </w:r>
    </w:p>
    <w:p w14:paraId="50AABEC6" w14:textId="77777777" w:rsidR="00FF35F5" w:rsidRPr="00D61F73" w:rsidRDefault="00FF35F5" w:rsidP="00D61F73">
      <w:pPr>
        <w:rPr>
          <w:rFonts w:ascii="Arial" w:hAnsi="Arial" w:cs="Arial"/>
        </w:rPr>
      </w:pPr>
    </w:p>
    <w:p w14:paraId="41659AE8"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08" w:name="Schears"/>
      <w:bookmarkEnd w:id="1108"/>
      <w:r w:rsidRPr="00D61F73">
        <w:rPr>
          <w:rFonts w:ascii="Arial" w:hAnsi="Arial" w:cs="Arial"/>
          <w:b/>
          <w:bCs/>
        </w:rPr>
        <w:t>chears RM. Nonbenzodiazepine hypnosedatives. In: Emergency Medicine: A Comprehensive Study Guide, 6th ed. McGraw-Hill 2004.</w:t>
      </w:r>
    </w:p>
    <w:p w14:paraId="71F47C1D" w14:textId="77777777" w:rsidR="008D0565" w:rsidRPr="00D61F73" w:rsidRDefault="008D0565" w:rsidP="00D61F73">
      <w:pPr>
        <w:rPr>
          <w:rFonts w:ascii="Arial" w:hAnsi="Arial" w:cs="Arial"/>
        </w:rPr>
      </w:pPr>
    </w:p>
    <w:p w14:paraId="4B4A4977"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9b</w:t>
      </w:r>
    </w:p>
    <w:p w14:paraId="7BF1277A"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09" w:name="Schjerning2011"/>
      <w:bookmarkEnd w:id="1109"/>
      <w:r w:rsidRPr="00D61F73">
        <w:rPr>
          <w:rFonts w:ascii="Arial" w:hAnsi="Arial" w:cs="Arial"/>
          <w:b/>
          <w:bCs/>
        </w:rPr>
        <w:t xml:space="preserve">chjerning Olsen AM, Fosbøl EL, Lindhardsen J, Folke F, Charlot M, Selmer C, Lamberts M, Bjerring Olesen J, Køber L, Hansen PR, Torp-Pedersen C, Gislason GH. Duration of Treatment With Nonsteroidal Anti-Inflammatory Drugs and Impact on Risk of Death and Recurrent Myocardial Infarction in Patients With Prior Myocardial Infarction: A Nationwide Cohort Study. </w:t>
      </w:r>
      <w:r w:rsidRPr="00D61F73">
        <w:rPr>
          <w:rFonts w:ascii="Arial" w:hAnsi="Arial" w:cs="Arial"/>
          <w:b/>
          <w:bCs/>
          <w:i/>
          <w:iCs/>
        </w:rPr>
        <w:t>Circulation</w:t>
      </w:r>
      <w:r w:rsidRPr="00D61F73">
        <w:rPr>
          <w:rFonts w:ascii="Arial" w:hAnsi="Arial" w:cs="Arial"/>
          <w:b/>
          <w:bCs/>
        </w:rPr>
        <w:t>. 2011 May 9. [Epub ahead of print]</w:t>
      </w:r>
    </w:p>
    <w:p w14:paraId="6D847DEF" w14:textId="77777777" w:rsidR="008D0565" w:rsidRPr="00D61F73" w:rsidRDefault="008D0565" w:rsidP="00D61F73">
      <w:pPr>
        <w:rPr>
          <w:rFonts w:ascii="Arial" w:hAnsi="Arial" w:cs="Arial"/>
        </w:rPr>
      </w:pPr>
    </w:p>
    <w:p w14:paraId="0EE03B87" w14:textId="77777777" w:rsidR="008D0565" w:rsidRPr="00D61F73" w:rsidRDefault="008D0565" w:rsidP="00D61F73">
      <w:pPr>
        <w:rPr>
          <w:rFonts w:ascii="Arial" w:hAnsi="Arial" w:cs="Arial"/>
        </w:rPr>
      </w:pPr>
      <w:r w:rsidRPr="00D61F73">
        <w:rPr>
          <w:rFonts w:ascii="Arial" w:hAnsi="Arial" w:cs="Arial"/>
        </w:rPr>
        <w:t>Of the 83,677 patients included, 42.3% received NSAIDs during follow-up. Conclusions- Even short-term treatment with most NSAIDs was associated with increased risk of death and recurrent MI in patients with prior MI.</w:t>
      </w:r>
    </w:p>
    <w:p w14:paraId="4B586DB4" w14:textId="77777777" w:rsidR="008D0565" w:rsidRPr="00D61F73" w:rsidRDefault="008D0565" w:rsidP="00D61F73">
      <w:pPr>
        <w:rPr>
          <w:rFonts w:ascii="Arial" w:hAnsi="Arial" w:cs="Arial"/>
        </w:rPr>
      </w:pPr>
    </w:p>
    <w:p w14:paraId="1A756D0E" w14:textId="77777777" w:rsidR="008D0565" w:rsidRPr="00D61F73" w:rsidRDefault="008D0565" w:rsidP="00D61F73">
      <w:pPr>
        <w:rPr>
          <w:rFonts w:ascii="Arial" w:hAnsi="Arial" w:cs="Arial"/>
          <w:b/>
          <w:bCs/>
        </w:rPr>
      </w:pPr>
      <w:r w:rsidRPr="00D61F73">
        <w:rPr>
          <w:rFonts w:ascii="Arial" w:hAnsi="Arial" w:cs="Arial"/>
        </w:rPr>
        <w:t xml:space="preserve">PMID: </w:t>
      </w:r>
      <w:hyperlink r:id="rId756" w:history="1">
        <w:r w:rsidRPr="00D61F73">
          <w:rPr>
            <w:rStyle w:val="Hyperlink"/>
            <w:rFonts w:ascii="Arial" w:hAnsi="Arial" w:cs="Arial"/>
          </w:rPr>
          <w:t>21555710</w:t>
        </w:r>
      </w:hyperlink>
      <w:r w:rsidRPr="00D61F73">
        <w:rPr>
          <w:rFonts w:ascii="Arial" w:hAnsi="Arial" w:cs="Arial"/>
          <w:b/>
          <w:bCs/>
        </w:rPr>
        <w:t xml:space="preserve"> </w:t>
      </w:r>
    </w:p>
    <w:p w14:paraId="25E583AF" w14:textId="77777777" w:rsidR="008D0565" w:rsidRPr="00D61F73" w:rsidRDefault="008D0565" w:rsidP="00D61F73">
      <w:pPr>
        <w:rPr>
          <w:rFonts w:ascii="Arial" w:hAnsi="Arial" w:cs="Arial"/>
        </w:rPr>
      </w:pPr>
    </w:p>
    <w:p w14:paraId="70F9A2FE"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3a</w:t>
      </w:r>
    </w:p>
    <w:p w14:paraId="33EEE2FC" w14:textId="77777777" w:rsidR="008D0565" w:rsidRPr="00D61F73" w:rsidRDefault="008D0565" w:rsidP="00D61F73">
      <w:pPr>
        <w:rPr>
          <w:rFonts w:ascii="Arial" w:hAnsi="Arial" w:cs="Arial"/>
          <w:b/>
          <w:bCs/>
        </w:rPr>
      </w:pPr>
    </w:p>
    <w:p w14:paraId="6E86A8FF"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10" w:name="Schmidt2011"/>
      <w:bookmarkEnd w:id="1110"/>
      <w:r w:rsidRPr="00D61F73">
        <w:rPr>
          <w:rFonts w:ascii="Arial" w:hAnsi="Arial" w:cs="Arial"/>
          <w:b/>
          <w:bCs/>
        </w:rPr>
        <w:t xml:space="preserve">chmidt S, Grossman P, Schwarzer B, Jena S, Naumann J, Walach H. Treating fibromyalgia with mindfulness-based stress reduction: results from a 3-armed randomized controlled trial. </w:t>
      </w:r>
      <w:r w:rsidRPr="00D61F73">
        <w:rPr>
          <w:rFonts w:ascii="Arial" w:hAnsi="Arial" w:cs="Arial"/>
          <w:b/>
          <w:bCs/>
          <w:i/>
          <w:iCs/>
        </w:rPr>
        <w:t>Pain.</w:t>
      </w:r>
      <w:r w:rsidRPr="00D61F73">
        <w:rPr>
          <w:rFonts w:ascii="Arial" w:hAnsi="Arial" w:cs="Arial"/>
          <w:b/>
          <w:bCs/>
        </w:rPr>
        <w:t xml:space="preserve"> 2011 Feb;152(2):361-9. Epub 2010 Dec 13.</w:t>
      </w:r>
    </w:p>
    <w:p w14:paraId="3F0E3B78" w14:textId="77777777" w:rsidR="008D0565" w:rsidRPr="00D61F73" w:rsidRDefault="008D0565" w:rsidP="00D61F73">
      <w:pPr>
        <w:rPr>
          <w:rFonts w:ascii="Arial" w:hAnsi="Arial" w:cs="Arial"/>
        </w:rPr>
      </w:pPr>
    </w:p>
    <w:p w14:paraId="200C35C0" w14:textId="77777777" w:rsidR="008D0565" w:rsidRPr="00D61F73" w:rsidRDefault="008D0565" w:rsidP="00D61F73">
      <w:pPr>
        <w:rPr>
          <w:rFonts w:ascii="Arial" w:hAnsi="Arial" w:cs="Arial"/>
        </w:rPr>
      </w:pPr>
      <w:r w:rsidRPr="00D61F73">
        <w:rPr>
          <w:rFonts w:ascii="Arial" w:hAnsi="Arial" w:cs="Arial"/>
        </w:rPr>
        <w:t xml:space="preserve">In conclusion, primary outcome analyses did not support the efficacy of Mindfulness-based stress reduction (MBSR) in fibromyalgia, although patients in the MBSR arm appeared to benefit most. </w:t>
      </w:r>
    </w:p>
    <w:p w14:paraId="0F76C159" w14:textId="77777777" w:rsidR="008D0565" w:rsidRPr="00D61F73" w:rsidRDefault="008D0565" w:rsidP="00D61F73">
      <w:pPr>
        <w:rPr>
          <w:rFonts w:ascii="Arial" w:hAnsi="Arial" w:cs="Arial"/>
        </w:rPr>
      </w:pPr>
    </w:p>
    <w:p w14:paraId="59E42874" w14:textId="77777777" w:rsidR="008D0565" w:rsidRPr="00D61F73" w:rsidRDefault="008D0565" w:rsidP="00D61F73">
      <w:pPr>
        <w:rPr>
          <w:rFonts w:ascii="Arial" w:hAnsi="Arial" w:cs="Arial"/>
        </w:rPr>
      </w:pPr>
      <w:r w:rsidRPr="00D61F73">
        <w:rPr>
          <w:rFonts w:ascii="Arial" w:hAnsi="Arial" w:cs="Arial"/>
        </w:rPr>
        <w:t xml:space="preserve">PMID: </w:t>
      </w:r>
      <w:hyperlink r:id="rId757" w:history="1">
        <w:r w:rsidRPr="00D61F73">
          <w:rPr>
            <w:rStyle w:val="Hyperlink"/>
            <w:rFonts w:ascii="Arial" w:hAnsi="Arial" w:cs="Arial"/>
          </w:rPr>
          <w:t>21146930</w:t>
        </w:r>
      </w:hyperlink>
      <w:r w:rsidRPr="00D61F73">
        <w:rPr>
          <w:rFonts w:ascii="Arial" w:hAnsi="Arial" w:cs="Arial"/>
        </w:rPr>
        <w:t xml:space="preserve"> </w:t>
      </w:r>
    </w:p>
    <w:p w14:paraId="20F0E207" w14:textId="77777777" w:rsidR="008D0565" w:rsidRPr="00D61F73" w:rsidRDefault="008D0565" w:rsidP="00D61F73">
      <w:pPr>
        <w:rPr>
          <w:rFonts w:ascii="Arial" w:hAnsi="Arial" w:cs="Arial"/>
        </w:rPr>
      </w:pPr>
    </w:p>
    <w:p w14:paraId="541BF1FF" w14:textId="77777777" w:rsidR="008D0565" w:rsidRPr="00D61F73" w:rsidRDefault="008D0565" w:rsidP="00D61F73">
      <w:pPr>
        <w:rPr>
          <w:rFonts w:ascii="Arial" w:hAnsi="Arial" w:cs="Arial"/>
        </w:rPr>
      </w:pPr>
      <w:r w:rsidRPr="00D61F73">
        <w:rPr>
          <w:rFonts w:ascii="Arial" w:hAnsi="Arial" w:cs="Arial"/>
        </w:rPr>
        <w:t>Rating: 2b</w:t>
      </w:r>
    </w:p>
    <w:p w14:paraId="4F1F9A1A"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111" w:name="Schmitt"/>
      <w:bookmarkEnd w:id="1111"/>
      <w:r w:rsidRPr="00D61F73">
        <w:rPr>
          <w:rFonts w:ascii="Arial" w:hAnsi="Arial" w:cs="Arial"/>
          <w:b/>
        </w:rPr>
        <w:t xml:space="preserve">chmitt R, Gazalle FK, Lima MS, Cunha A, Souza J, Kapczinski F. The efficacy of antidepressants for generalized anxiety disorder: a systematic review and meta-analysis. </w:t>
      </w:r>
      <w:r w:rsidRPr="00D61F73">
        <w:rPr>
          <w:rFonts w:ascii="Arial" w:hAnsi="Arial" w:cs="Arial"/>
          <w:b/>
          <w:i/>
        </w:rPr>
        <w:t>Rev Bras Psiquiatr</w:t>
      </w:r>
      <w:r w:rsidRPr="00D61F73">
        <w:rPr>
          <w:rFonts w:ascii="Arial" w:hAnsi="Arial" w:cs="Arial"/>
          <w:b/>
        </w:rPr>
        <w:t xml:space="preserve">. 2005; 27:18-24. </w:t>
      </w:r>
    </w:p>
    <w:p w14:paraId="0A67C8D1" w14:textId="77777777" w:rsidR="008D0565" w:rsidRPr="00D61F73" w:rsidRDefault="008D0565" w:rsidP="00D61F73">
      <w:pPr>
        <w:rPr>
          <w:rFonts w:ascii="Arial" w:hAnsi="Arial" w:cs="Arial"/>
          <w:b/>
        </w:rPr>
      </w:pPr>
    </w:p>
    <w:p w14:paraId="4A8FA695" w14:textId="77777777" w:rsidR="008D0565" w:rsidRPr="00D61F73" w:rsidRDefault="008D0565" w:rsidP="00D61F73">
      <w:pPr>
        <w:rPr>
          <w:rFonts w:ascii="Arial" w:hAnsi="Arial" w:cs="Arial"/>
        </w:rPr>
      </w:pPr>
      <w:r w:rsidRPr="00D61F73">
        <w:rPr>
          <w:rFonts w:ascii="Arial" w:hAnsi="Arial" w:cs="Arial"/>
        </w:rPr>
        <w:t xml:space="preserve">RESULTS: Antidepressants (imipramine, venlafaxine and paroxetine) were found to be superior to placebo in treating generalized anxiety disorder. The calculated number needed to treat for antidepressants in generalized anxiety disorder was 5.15. </w:t>
      </w:r>
    </w:p>
    <w:p w14:paraId="03F685DD" w14:textId="77777777" w:rsidR="008D0565" w:rsidRPr="00D61F73" w:rsidRDefault="008D0565" w:rsidP="00D61F73">
      <w:pPr>
        <w:rPr>
          <w:rFonts w:ascii="Arial" w:hAnsi="Arial" w:cs="Arial"/>
        </w:rPr>
      </w:pPr>
    </w:p>
    <w:p w14:paraId="237A19B2" w14:textId="77777777" w:rsidR="008D0565" w:rsidRPr="00D61F73" w:rsidRDefault="008D0565" w:rsidP="00D61F73">
      <w:pPr>
        <w:rPr>
          <w:rFonts w:ascii="Arial" w:hAnsi="Arial" w:cs="Arial"/>
        </w:rPr>
      </w:pPr>
      <w:r w:rsidRPr="00D61F73">
        <w:rPr>
          <w:rFonts w:ascii="Arial" w:hAnsi="Arial" w:cs="Arial"/>
        </w:rPr>
        <w:t xml:space="preserve">PMID: </w:t>
      </w:r>
      <w:hyperlink r:id="rId758" w:history="1">
        <w:r w:rsidRPr="00D61F73">
          <w:rPr>
            <w:rStyle w:val="Hyperlink"/>
            <w:rFonts w:ascii="Arial" w:hAnsi="Arial" w:cs="Arial"/>
          </w:rPr>
          <w:t>15867979</w:t>
        </w:r>
      </w:hyperlink>
    </w:p>
    <w:p w14:paraId="1E38942A" w14:textId="77777777" w:rsidR="008D0565" w:rsidRPr="00D61F73" w:rsidRDefault="008D0565" w:rsidP="00D61F73">
      <w:pPr>
        <w:rPr>
          <w:rFonts w:ascii="Arial" w:hAnsi="Arial" w:cs="Arial"/>
        </w:rPr>
      </w:pPr>
    </w:p>
    <w:p w14:paraId="7B98C235" w14:textId="77777777" w:rsidR="008D0565" w:rsidRPr="00D61F73" w:rsidRDefault="008D0565" w:rsidP="00D61F73">
      <w:pPr>
        <w:rPr>
          <w:rFonts w:ascii="Arial" w:hAnsi="Arial" w:cs="Arial"/>
        </w:rPr>
      </w:pPr>
      <w:r w:rsidRPr="00D61F73">
        <w:rPr>
          <w:rFonts w:ascii="Arial" w:hAnsi="Arial" w:cs="Arial"/>
        </w:rPr>
        <w:t>Rating: 1c</w:t>
      </w:r>
    </w:p>
    <w:p w14:paraId="2E5F58E0"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12" w:name="SchneiderHelmert"/>
      <w:bookmarkEnd w:id="1112"/>
      <w:r w:rsidRPr="00D61F73">
        <w:rPr>
          <w:rFonts w:ascii="Arial" w:hAnsi="Arial" w:cs="Arial"/>
          <w:b/>
          <w:bCs/>
        </w:rPr>
        <w:t xml:space="preserve">chneider-Helmert D. Do we need polysomnography in insomnia? </w:t>
      </w:r>
      <w:r w:rsidRPr="00D61F73">
        <w:rPr>
          <w:rFonts w:ascii="Arial" w:hAnsi="Arial" w:cs="Arial"/>
          <w:b/>
          <w:bCs/>
          <w:i/>
          <w:iCs/>
        </w:rPr>
        <w:t xml:space="preserve">Praxis </w:t>
      </w:r>
      <w:r w:rsidRPr="00D61F73">
        <w:rPr>
          <w:rFonts w:ascii="Arial" w:hAnsi="Arial" w:cs="Arial"/>
          <w:b/>
          <w:bCs/>
        </w:rPr>
        <w:t>(Bern 1994). 2003 Nov 26;92(48):2061-6.</w:t>
      </w:r>
    </w:p>
    <w:p w14:paraId="1AE15953" w14:textId="77777777" w:rsidR="008D0565" w:rsidRPr="00D61F73" w:rsidRDefault="008D0565" w:rsidP="00D61F73">
      <w:pPr>
        <w:rPr>
          <w:rFonts w:ascii="Arial" w:hAnsi="Arial" w:cs="Arial"/>
        </w:rPr>
      </w:pPr>
    </w:p>
    <w:p w14:paraId="522C97B9" w14:textId="77777777" w:rsidR="008D0565" w:rsidRPr="00D61F73" w:rsidRDefault="008D0565" w:rsidP="00D61F73">
      <w:pPr>
        <w:rPr>
          <w:rFonts w:ascii="Arial" w:hAnsi="Arial" w:cs="Arial"/>
        </w:rPr>
      </w:pPr>
      <w:r w:rsidRPr="00D61F73">
        <w:rPr>
          <w:rFonts w:ascii="Arial" w:hAnsi="Arial" w:cs="Arial"/>
        </w:rPr>
        <w:t>Special problems arise in chronic non-organic pain. It is clear from all these aspects that PSG is indispensable in insomnia.</w:t>
      </w:r>
    </w:p>
    <w:p w14:paraId="13C5747E" w14:textId="77777777" w:rsidR="008D0565" w:rsidRPr="00D61F73" w:rsidRDefault="008D0565" w:rsidP="00D61F73">
      <w:pPr>
        <w:pStyle w:val="Footer"/>
        <w:tabs>
          <w:tab w:val="clear" w:pos="4320"/>
          <w:tab w:val="clear" w:pos="8640"/>
        </w:tabs>
        <w:rPr>
          <w:rFonts w:ascii="Arial" w:hAnsi="Arial" w:cs="Arial"/>
        </w:rPr>
      </w:pPr>
    </w:p>
    <w:p w14:paraId="1912C8E9" w14:textId="77777777" w:rsidR="008D0565" w:rsidRPr="00D61F73" w:rsidRDefault="008D0565" w:rsidP="00D61F73">
      <w:pPr>
        <w:rPr>
          <w:rFonts w:ascii="Arial" w:hAnsi="Arial" w:cs="Arial"/>
        </w:rPr>
      </w:pPr>
      <w:r w:rsidRPr="00D61F73">
        <w:rPr>
          <w:rFonts w:ascii="Arial" w:hAnsi="Arial" w:cs="Arial"/>
        </w:rPr>
        <w:t xml:space="preserve">PMID: </w:t>
      </w:r>
      <w:hyperlink r:id="rId759" w:history="1">
        <w:r w:rsidRPr="00D61F73">
          <w:rPr>
            <w:rStyle w:val="Hyperlink"/>
            <w:rFonts w:ascii="Arial" w:hAnsi="Arial" w:cs="Arial"/>
          </w:rPr>
          <w:t>14694544</w:t>
        </w:r>
      </w:hyperlink>
      <w:r w:rsidRPr="00D61F73">
        <w:rPr>
          <w:rFonts w:ascii="Arial" w:hAnsi="Arial" w:cs="Arial"/>
        </w:rPr>
        <w:t xml:space="preserve"> </w:t>
      </w:r>
    </w:p>
    <w:p w14:paraId="00B262E6" w14:textId="77777777" w:rsidR="008D0565" w:rsidRPr="00D61F73" w:rsidRDefault="008D0565" w:rsidP="00D61F73">
      <w:pPr>
        <w:rPr>
          <w:rFonts w:ascii="Arial" w:hAnsi="Arial" w:cs="Arial"/>
        </w:rPr>
      </w:pPr>
    </w:p>
    <w:p w14:paraId="5688B345" w14:textId="77777777" w:rsidR="008D0565" w:rsidRPr="00D61F73" w:rsidRDefault="008D0565" w:rsidP="00D61F73">
      <w:pPr>
        <w:pStyle w:val="Heading1"/>
        <w:rPr>
          <w:rFonts w:ascii="Arial" w:hAnsi="Arial" w:cs="Arial"/>
          <w:b w:val="0"/>
          <w:bCs w:val="0"/>
        </w:rPr>
      </w:pPr>
      <w:r w:rsidRPr="00D61F73">
        <w:rPr>
          <w:rFonts w:ascii="Arial" w:hAnsi="Arial" w:cs="Arial"/>
          <w:b w:val="0"/>
          <w:bCs w:val="0"/>
        </w:rPr>
        <w:t>Rating: 5b</w:t>
      </w:r>
    </w:p>
    <w:p w14:paraId="5552543A"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S</w:t>
      </w:r>
      <w:bookmarkStart w:id="1113" w:name="Schneier"/>
      <w:bookmarkEnd w:id="1113"/>
      <w:r w:rsidRPr="00D61F73">
        <w:rPr>
          <w:rFonts w:ascii="Arial" w:hAnsi="Arial" w:cs="Arial"/>
          <w:b/>
        </w:rPr>
        <w:t xml:space="preserve">chneier FR. Clinical practice. Social anxiety disorder. </w:t>
      </w:r>
      <w:r w:rsidRPr="00D61F73">
        <w:rPr>
          <w:rFonts w:ascii="Arial" w:hAnsi="Arial" w:cs="Arial"/>
          <w:b/>
          <w:i/>
        </w:rPr>
        <w:t>N Engl J Med</w:t>
      </w:r>
      <w:r w:rsidRPr="00D61F73">
        <w:rPr>
          <w:rFonts w:ascii="Arial" w:hAnsi="Arial" w:cs="Arial"/>
          <w:b/>
        </w:rPr>
        <w:t>. 2006;355:1029-36</w:t>
      </w:r>
      <w:r w:rsidRPr="00D61F73">
        <w:rPr>
          <w:rFonts w:ascii="Arial" w:hAnsi="Arial" w:cs="Arial"/>
        </w:rPr>
        <w:t xml:space="preserve">. </w:t>
      </w:r>
    </w:p>
    <w:p w14:paraId="52762B88" w14:textId="77777777" w:rsidR="008D0565" w:rsidRPr="00D61F73" w:rsidRDefault="008D0565" w:rsidP="00D61F73">
      <w:pPr>
        <w:rPr>
          <w:rFonts w:ascii="Arial" w:hAnsi="Arial" w:cs="Arial"/>
        </w:rPr>
      </w:pPr>
    </w:p>
    <w:p w14:paraId="1A70E0EB" w14:textId="77777777" w:rsidR="008D0565" w:rsidRPr="00D61F73" w:rsidRDefault="008D0565" w:rsidP="00D61F73">
      <w:pPr>
        <w:rPr>
          <w:rFonts w:ascii="Arial" w:hAnsi="Arial" w:cs="Arial"/>
        </w:rPr>
      </w:pPr>
      <w:r w:rsidRPr="00D61F73">
        <w:rPr>
          <w:rFonts w:ascii="Arial" w:hAnsi="Arial" w:cs="Arial"/>
        </w:rPr>
        <w:t xml:space="preserve">PMID: </w:t>
      </w:r>
      <w:hyperlink r:id="rId760" w:history="1">
        <w:r w:rsidRPr="00D61F73">
          <w:rPr>
            <w:rStyle w:val="Hyperlink"/>
            <w:rFonts w:ascii="Arial" w:hAnsi="Arial" w:cs="Arial"/>
          </w:rPr>
          <w:t>16957148</w:t>
        </w:r>
      </w:hyperlink>
    </w:p>
    <w:p w14:paraId="7771490C" w14:textId="77777777" w:rsidR="008D0565" w:rsidRPr="00D61F73" w:rsidRDefault="008D0565" w:rsidP="00D61F73">
      <w:pPr>
        <w:rPr>
          <w:rFonts w:ascii="Arial" w:hAnsi="Arial" w:cs="Arial"/>
        </w:rPr>
      </w:pPr>
    </w:p>
    <w:p w14:paraId="500C3B9B" w14:textId="77777777" w:rsidR="008D0565" w:rsidRPr="00D61F73" w:rsidRDefault="008D0565" w:rsidP="00D61F73">
      <w:pPr>
        <w:rPr>
          <w:rFonts w:ascii="Arial" w:hAnsi="Arial" w:cs="Arial"/>
        </w:rPr>
      </w:pPr>
      <w:r w:rsidRPr="00D61F73">
        <w:rPr>
          <w:rFonts w:ascii="Arial" w:hAnsi="Arial" w:cs="Arial"/>
        </w:rPr>
        <w:t>Rating: 5c</w:t>
      </w:r>
    </w:p>
    <w:p w14:paraId="00579908"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Sch</w:t>
      </w:r>
      <w:bookmarkStart w:id="1114" w:name="Schnitzer2"/>
      <w:bookmarkEnd w:id="1114"/>
      <w:r w:rsidRPr="00D61F73">
        <w:rPr>
          <w:rFonts w:ascii="Arial" w:hAnsi="Arial" w:cs="Arial"/>
          <w:b/>
          <w:bCs/>
        </w:rPr>
        <w:t xml:space="preserve">nitzer TJ, Ferraro A, Hunsche E, Kong SX. A comprehensive review of clinical trials on the efficacy and safety of drugs for the treatment of low back pain. </w:t>
      </w:r>
      <w:r w:rsidRPr="00D61F73">
        <w:rPr>
          <w:rFonts w:ascii="Arial" w:hAnsi="Arial" w:cs="Arial"/>
          <w:b/>
          <w:bCs/>
          <w:i/>
          <w:iCs/>
        </w:rPr>
        <w:t>J Pain Symptom Manage</w:t>
      </w:r>
      <w:r w:rsidRPr="00D61F73">
        <w:rPr>
          <w:rFonts w:ascii="Arial" w:hAnsi="Arial" w:cs="Arial"/>
          <w:b/>
          <w:bCs/>
        </w:rPr>
        <w:t>. 2004 Jul;28(1):72-95.</w:t>
      </w:r>
    </w:p>
    <w:p w14:paraId="3B9674B7" w14:textId="77777777" w:rsidR="008D0565" w:rsidRPr="00D61F73" w:rsidRDefault="008D0565" w:rsidP="00D61F73">
      <w:pPr>
        <w:rPr>
          <w:rFonts w:ascii="Arial" w:hAnsi="Arial" w:cs="Arial"/>
        </w:rPr>
      </w:pPr>
    </w:p>
    <w:p w14:paraId="16085BCA" w14:textId="77777777" w:rsidR="008D0565" w:rsidRPr="00D61F73" w:rsidRDefault="008D0565" w:rsidP="00D61F73">
      <w:pPr>
        <w:rPr>
          <w:rFonts w:ascii="Arial" w:hAnsi="Arial" w:cs="Arial"/>
        </w:rPr>
      </w:pPr>
      <w:r w:rsidRPr="00D61F73">
        <w:rPr>
          <w:rFonts w:ascii="Arial" w:hAnsi="Arial" w:cs="Arial"/>
        </w:rPr>
        <w:t xml:space="preserve">Available evidence supported the effectiveness of non-selective nonsteroidal anti-inflammatory drugs (NSAIDs) in acute and chronic LBP, of muscle relaxants in acute LBP, and of antidepressants in chronic LBP; safety results were heterogeneous. </w:t>
      </w:r>
    </w:p>
    <w:p w14:paraId="59B604EF" w14:textId="77777777" w:rsidR="008D0565" w:rsidRPr="00D61F73" w:rsidRDefault="008D0565" w:rsidP="00D61F73">
      <w:pPr>
        <w:rPr>
          <w:rFonts w:ascii="Arial" w:hAnsi="Arial" w:cs="Arial"/>
        </w:rPr>
      </w:pPr>
    </w:p>
    <w:p w14:paraId="36E839A3" w14:textId="77777777" w:rsidR="008D0565" w:rsidRPr="00D61F73" w:rsidRDefault="008D0565" w:rsidP="00D61F73">
      <w:pPr>
        <w:rPr>
          <w:rFonts w:ascii="Arial" w:hAnsi="Arial" w:cs="Arial"/>
        </w:rPr>
      </w:pPr>
      <w:r w:rsidRPr="00D61F73">
        <w:rPr>
          <w:rFonts w:ascii="Arial" w:hAnsi="Arial" w:cs="Arial"/>
        </w:rPr>
        <w:t xml:space="preserve">PMID: </w:t>
      </w:r>
      <w:hyperlink r:id="rId761" w:history="1">
        <w:r w:rsidRPr="00D61F73">
          <w:rPr>
            <w:rStyle w:val="Hyperlink"/>
            <w:rFonts w:ascii="Arial" w:hAnsi="Arial" w:cs="Arial"/>
          </w:rPr>
          <w:t>15223086</w:t>
        </w:r>
      </w:hyperlink>
      <w:r w:rsidRPr="00D61F73">
        <w:rPr>
          <w:rFonts w:ascii="Arial" w:hAnsi="Arial" w:cs="Arial"/>
        </w:rPr>
        <w:t xml:space="preserve"> </w:t>
      </w:r>
    </w:p>
    <w:p w14:paraId="05F802E0" w14:textId="77777777" w:rsidR="008D0565" w:rsidRPr="00D61F73" w:rsidRDefault="008D0565" w:rsidP="00D61F73">
      <w:pPr>
        <w:rPr>
          <w:rFonts w:ascii="Arial" w:hAnsi="Arial" w:cs="Arial"/>
        </w:rPr>
      </w:pPr>
    </w:p>
    <w:p w14:paraId="16930AFE" w14:textId="77777777" w:rsidR="008D0565" w:rsidRPr="00D61F73" w:rsidRDefault="008D0565" w:rsidP="00D61F73">
      <w:pPr>
        <w:rPr>
          <w:rFonts w:ascii="Arial" w:hAnsi="Arial" w:cs="Arial"/>
        </w:rPr>
      </w:pPr>
      <w:r w:rsidRPr="00D61F73">
        <w:rPr>
          <w:rFonts w:ascii="Arial" w:hAnsi="Arial" w:cs="Arial"/>
        </w:rPr>
        <w:t>Rating: 1b</w:t>
      </w:r>
    </w:p>
    <w:p w14:paraId="22196DEB" w14:textId="77777777" w:rsidR="008D0565" w:rsidRPr="00D61F73" w:rsidRDefault="008D0565" w:rsidP="00D61F73">
      <w:pPr>
        <w:rPr>
          <w:rFonts w:ascii="Arial" w:hAnsi="Arial" w:cs="Arial"/>
          <w:b/>
        </w:rPr>
      </w:pPr>
      <w:r w:rsidRPr="00D61F73">
        <w:rPr>
          <w:rFonts w:ascii="Arial" w:hAnsi="Arial" w:cs="Arial"/>
          <w:b/>
          <w:bCs/>
        </w:rPr>
        <w:br w:type="page"/>
      </w:r>
      <w:r w:rsidRPr="00D61F73">
        <w:rPr>
          <w:rFonts w:ascii="Arial" w:hAnsi="Arial" w:cs="Arial"/>
          <w:b/>
        </w:rPr>
        <w:lastRenderedPageBreak/>
        <w:t>S</w:t>
      </w:r>
      <w:bookmarkStart w:id="1115" w:name="Scholmerich"/>
      <w:bookmarkEnd w:id="1115"/>
      <w:r w:rsidRPr="00D61F73">
        <w:rPr>
          <w:rFonts w:ascii="Arial" w:hAnsi="Arial" w:cs="Arial"/>
          <w:b/>
        </w:rPr>
        <w:t xml:space="preserve">cholmerich J. Nonsteroidal anti-inflammatory drugs versus selective COX-2 inhibitors in the upper gastrointestinal tract. </w:t>
      </w:r>
      <w:r w:rsidRPr="00D61F73">
        <w:rPr>
          <w:rFonts w:ascii="Arial" w:hAnsi="Arial" w:cs="Arial"/>
          <w:b/>
          <w:i/>
        </w:rPr>
        <w:t>J Cardiovasc Pharmacol</w:t>
      </w:r>
      <w:r w:rsidRPr="00D61F73">
        <w:rPr>
          <w:rFonts w:ascii="Arial" w:hAnsi="Arial" w:cs="Arial"/>
          <w:b/>
        </w:rPr>
        <w:t>. 2006;47 Suppl 1:S67-71.</w:t>
      </w:r>
    </w:p>
    <w:p w14:paraId="449A9A53" w14:textId="77777777" w:rsidR="008D0565" w:rsidRPr="00D61F73" w:rsidRDefault="008D0565" w:rsidP="00D61F73">
      <w:pPr>
        <w:rPr>
          <w:rFonts w:ascii="Arial" w:hAnsi="Arial" w:cs="Arial"/>
        </w:rPr>
      </w:pPr>
    </w:p>
    <w:p w14:paraId="7A1F46B4" w14:textId="77777777" w:rsidR="008D0565" w:rsidRPr="00D61F73" w:rsidRDefault="008D0565" w:rsidP="00D61F73">
      <w:pPr>
        <w:rPr>
          <w:rFonts w:ascii="Arial" w:hAnsi="Arial" w:cs="Arial"/>
        </w:rPr>
      </w:pPr>
      <w:r w:rsidRPr="00D61F73">
        <w:rPr>
          <w:rFonts w:ascii="Arial" w:hAnsi="Arial" w:cs="Arial"/>
        </w:rPr>
        <w:t>Considering the current controversy regarding cardiovascular events, there is no major reason to prefer coxibs to conventional NSAID plus PPI in patients needing long-term treatment.</w:t>
      </w:r>
    </w:p>
    <w:p w14:paraId="1CE85E74" w14:textId="77777777" w:rsidR="008D0565" w:rsidRPr="00D61F73" w:rsidRDefault="008D0565" w:rsidP="00D61F73">
      <w:pPr>
        <w:rPr>
          <w:rFonts w:ascii="Arial" w:hAnsi="Arial" w:cs="Arial"/>
        </w:rPr>
      </w:pPr>
    </w:p>
    <w:p w14:paraId="197C53BF" w14:textId="77777777" w:rsidR="008D0565" w:rsidRPr="00D61F73" w:rsidRDefault="008D0565" w:rsidP="00D61F73">
      <w:pPr>
        <w:rPr>
          <w:rFonts w:ascii="Arial" w:hAnsi="Arial" w:cs="Arial"/>
        </w:rPr>
      </w:pPr>
      <w:r w:rsidRPr="00D61F73">
        <w:rPr>
          <w:rFonts w:ascii="Arial" w:hAnsi="Arial" w:cs="Arial"/>
        </w:rPr>
        <w:t xml:space="preserve">PMID: </w:t>
      </w:r>
      <w:hyperlink r:id="rId762" w:history="1">
        <w:r w:rsidRPr="00D61F73">
          <w:rPr>
            <w:rStyle w:val="Hyperlink"/>
            <w:rFonts w:ascii="Arial" w:hAnsi="Arial" w:cs="Arial"/>
          </w:rPr>
          <w:t>16785832</w:t>
        </w:r>
      </w:hyperlink>
      <w:r w:rsidRPr="00D61F73">
        <w:rPr>
          <w:rFonts w:ascii="Arial" w:hAnsi="Arial" w:cs="Arial"/>
        </w:rPr>
        <w:t xml:space="preserve"> </w:t>
      </w:r>
    </w:p>
    <w:p w14:paraId="51A5846D" w14:textId="77777777" w:rsidR="008D0565" w:rsidRPr="00D61F73" w:rsidRDefault="008D0565" w:rsidP="00D61F73">
      <w:pPr>
        <w:rPr>
          <w:rFonts w:ascii="Arial" w:hAnsi="Arial" w:cs="Arial"/>
        </w:rPr>
      </w:pPr>
    </w:p>
    <w:p w14:paraId="55D632B9" w14:textId="77777777" w:rsidR="008D0565" w:rsidRPr="00D61F73" w:rsidRDefault="008D0565" w:rsidP="00D61F73">
      <w:pPr>
        <w:rPr>
          <w:rFonts w:ascii="Arial" w:hAnsi="Arial" w:cs="Arial"/>
        </w:rPr>
      </w:pPr>
      <w:r w:rsidRPr="00D61F73">
        <w:rPr>
          <w:rFonts w:ascii="Arial" w:hAnsi="Arial" w:cs="Arial"/>
        </w:rPr>
        <w:t>Rating: 5c</w:t>
      </w:r>
    </w:p>
    <w:p w14:paraId="1564B6FB"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rPr>
        <w:lastRenderedPageBreak/>
        <w:t>S</w:t>
      </w:r>
      <w:bookmarkStart w:id="1116" w:name="Schonstein"/>
      <w:bookmarkEnd w:id="1116"/>
      <w:r w:rsidRPr="00D61F73">
        <w:rPr>
          <w:rFonts w:ascii="Arial" w:hAnsi="Arial" w:cs="Arial"/>
          <w:b/>
        </w:rPr>
        <w:t xml:space="preserve">chonstein E, Kenny D, Keating J, Koes B, Herbert RD. Physical conditioning programs for workers with back and neck pain: a cochrane systematic review. </w:t>
      </w:r>
      <w:r w:rsidRPr="00D61F73">
        <w:rPr>
          <w:rFonts w:ascii="Arial" w:hAnsi="Arial" w:cs="Arial"/>
          <w:b/>
          <w:i/>
        </w:rPr>
        <w:t>Spine.</w:t>
      </w:r>
      <w:r w:rsidRPr="00D61F73">
        <w:rPr>
          <w:rFonts w:ascii="Arial" w:hAnsi="Arial" w:cs="Arial"/>
          <w:b/>
        </w:rPr>
        <w:t xml:space="preserve"> 2003 Oct 1;28(19):E391-5</w:t>
      </w:r>
    </w:p>
    <w:p w14:paraId="53CC7181" w14:textId="77777777" w:rsidR="008D0565" w:rsidRPr="00D61F73" w:rsidRDefault="008D0565" w:rsidP="00D61F73">
      <w:pPr>
        <w:rPr>
          <w:rFonts w:ascii="Arial" w:hAnsi="Arial" w:cs="Arial"/>
        </w:rPr>
      </w:pPr>
    </w:p>
    <w:p w14:paraId="652B5626" w14:textId="77777777" w:rsidR="008D0565" w:rsidRPr="00D61F73" w:rsidRDefault="008D0565" w:rsidP="00D61F73">
      <w:pPr>
        <w:rPr>
          <w:rFonts w:ascii="Arial" w:hAnsi="Arial" w:cs="Arial"/>
        </w:rPr>
      </w:pPr>
      <w:r w:rsidRPr="00D61F73">
        <w:rPr>
          <w:rFonts w:ascii="Arial" w:hAnsi="Arial" w:cs="Arial"/>
        </w:rPr>
        <w:t>CONCLUSION: Physical conditioning programs that incorporate a cognitive-behavioral approach reduce the number of sick days for workers with chronic back pain when compared to usual care.</w:t>
      </w:r>
    </w:p>
    <w:p w14:paraId="4A94EC69" w14:textId="77777777" w:rsidR="008D0565" w:rsidRPr="00D61F73" w:rsidRDefault="008D0565" w:rsidP="00D61F73">
      <w:pPr>
        <w:rPr>
          <w:rFonts w:ascii="Arial" w:hAnsi="Arial" w:cs="Arial"/>
        </w:rPr>
      </w:pPr>
    </w:p>
    <w:p w14:paraId="4E3E549B" w14:textId="77777777" w:rsidR="008D0565" w:rsidRPr="00D61F73" w:rsidRDefault="008D0565" w:rsidP="00D61F73">
      <w:pPr>
        <w:rPr>
          <w:rFonts w:ascii="Arial" w:hAnsi="Arial" w:cs="Arial"/>
        </w:rPr>
      </w:pPr>
      <w:r w:rsidRPr="00D61F73">
        <w:rPr>
          <w:rFonts w:ascii="Arial" w:hAnsi="Arial" w:cs="Arial"/>
        </w:rPr>
        <w:t xml:space="preserve">PMID: </w:t>
      </w:r>
      <w:hyperlink r:id="rId763" w:history="1">
        <w:r w:rsidRPr="00D61F73">
          <w:rPr>
            <w:rStyle w:val="Hyperlink"/>
            <w:rFonts w:ascii="Arial" w:hAnsi="Arial" w:cs="Arial"/>
          </w:rPr>
          <w:t>14520051</w:t>
        </w:r>
      </w:hyperlink>
    </w:p>
    <w:p w14:paraId="48409DB1" w14:textId="77777777" w:rsidR="008D0565" w:rsidRPr="00D61F73" w:rsidRDefault="008D0565" w:rsidP="00D61F73">
      <w:pPr>
        <w:rPr>
          <w:rFonts w:ascii="Arial" w:hAnsi="Arial" w:cs="Arial"/>
        </w:rPr>
      </w:pPr>
    </w:p>
    <w:p w14:paraId="71EE71E7" w14:textId="77777777" w:rsidR="008D0565" w:rsidRPr="00D61F73" w:rsidRDefault="008D0565" w:rsidP="00D61F73">
      <w:pPr>
        <w:rPr>
          <w:rFonts w:ascii="Arial" w:hAnsi="Arial" w:cs="Arial"/>
        </w:rPr>
      </w:pPr>
      <w:r w:rsidRPr="00D61F73">
        <w:rPr>
          <w:rFonts w:ascii="Arial" w:hAnsi="Arial" w:cs="Arial"/>
        </w:rPr>
        <w:t>Rating: 1b</w:t>
      </w:r>
    </w:p>
    <w:p w14:paraId="6394AC9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17" w:name="Schultz"/>
      <w:bookmarkEnd w:id="1117"/>
      <w:r w:rsidRPr="00D61F73">
        <w:rPr>
          <w:rFonts w:ascii="Arial" w:hAnsi="Arial" w:cs="Arial"/>
          <w:b/>
          <w:bCs/>
        </w:rPr>
        <w:t xml:space="preserve">chultz IZ, Crook J, Berkowitz J, Milner R, Meloche GR, Lewis ML. A Prospective Study of the Effectiveness of Early Intervention with High-risk Back-injured Workers-A Pilot Study. </w:t>
      </w:r>
      <w:r w:rsidRPr="00D61F73">
        <w:rPr>
          <w:rFonts w:ascii="Arial" w:hAnsi="Arial" w:cs="Arial"/>
          <w:b/>
          <w:bCs/>
          <w:i/>
          <w:iCs/>
        </w:rPr>
        <w:t>J Occup Rehabil.</w:t>
      </w:r>
      <w:r w:rsidRPr="00D61F73">
        <w:rPr>
          <w:rFonts w:ascii="Arial" w:hAnsi="Arial" w:cs="Arial"/>
          <w:b/>
          <w:bCs/>
        </w:rPr>
        <w:t xml:space="preserve"> 2008 Jun;18(2):140-51. Epub 2008 Apr 11.</w:t>
      </w:r>
    </w:p>
    <w:p w14:paraId="59AF136C" w14:textId="77777777" w:rsidR="008D0565" w:rsidRPr="00D61F73" w:rsidRDefault="008D0565" w:rsidP="00D61F73">
      <w:pPr>
        <w:pStyle w:val="Footer"/>
        <w:tabs>
          <w:tab w:val="clear" w:pos="4320"/>
          <w:tab w:val="clear" w:pos="8640"/>
        </w:tabs>
        <w:rPr>
          <w:rFonts w:ascii="Arial" w:hAnsi="Arial" w:cs="Arial"/>
        </w:rPr>
      </w:pPr>
    </w:p>
    <w:p w14:paraId="2C88F0E6" w14:textId="77777777" w:rsidR="008D0565" w:rsidRPr="00D61F73" w:rsidRDefault="008D0565" w:rsidP="00D61F73">
      <w:pPr>
        <w:rPr>
          <w:rFonts w:ascii="Arial" w:hAnsi="Arial" w:cs="Arial"/>
        </w:rPr>
      </w:pPr>
      <w:r w:rsidRPr="00D61F73">
        <w:rPr>
          <w:rFonts w:ascii="Arial" w:hAnsi="Arial" w:cs="Arial"/>
        </w:rPr>
        <w:t xml:space="preserve">Conclusion: Multimodal Early Intervention in the workers' compensation case management context is likely effective for workers with sub-acute back pain who are at high risk of occupational disability. </w:t>
      </w:r>
    </w:p>
    <w:p w14:paraId="1C8E7927" w14:textId="77777777" w:rsidR="008D0565" w:rsidRPr="00D61F73" w:rsidRDefault="008D0565" w:rsidP="00D61F73">
      <w:pPr>
        <w:rPr>
          <w:rFonts w:ascii="Arial" w:hAnsi="Arial" w:cs="Arial"/>
        </w:rPr>
      </w:pPr>
    </w:p>
    <w:p w14:paraId="20CA9F97" w14:textId="77777777" w:rsidR="008D0565" w:rsidRPr="00D61F73" w:rsidRDefault="008D0565" w:rsidP="00D61F73">
      <w:pPr>
        <w:rPr>
          <w:rFonts w:ascii="Arial" w:hAnsi="Arial" w:cs="Arial"/>
        </w:rPr>
      </w:pPr>
      <w:r w:rsidRPr="00D61F73">
        <w:rPr>
          <w:rFonts w:ascii="Arial" w:hAnsi="Arial" w:cs="Arial"/>
        </w:rPr>
        <w:t xml:space="preserve">PMID: </w:t>
      </w:r>
      <w:hyperlink r:id="rId764" w:history="1">
        <w:r w:rsidRPr="00D61F73">
          <w:rPr>
            <w:rStyle w:val="Hyperlink"/>
            <w:rFonts w:ascii="Arial" w:hAnsi="Arial" w:cs="Arial"/>
          </w:rPr>
          <w:t>18404361</w:t>
        </w:r>
      </w:hyperlink>
      <w:r w:rsidRPr="00D61F73">
        <w:rPr>
          <w:rFonts w:ascii="Arial" w:hAnsi="Arial" w:cs="Arial"/>
        </w:rPr>
        <w:t xml:space="preserve"> </w:t>
      </w:r>
    </w:p>
    <w:p w14:paraId="18593634" w14:textId="77777777" w:rsidR="008D0565" w:rsidRPr="00D61F73" w:rsidRDefault="008D0565" w:rsidP="00D61F73">
      <w:pPr>
        <w:rPr>
          <w:rFonts w:ascii="Arial" w:hAnsi="Arial" w:cs="Arial"/>
        </w:rPr>
      </w:pPr>
    </w:p>
    <w:p w14:paraId="31813445" w14:textId="77777777" w:rsidR="008D0565" w:rsidRPr="00D61F73" w:rsidRDefault="008D0565" w:rsidP="00D61F73">
      <w:pPr>
        <w:rPr>
          <w:rFonts w:ascii="Arial" w:hAnsi="Arial" w:cs="Arial"/>
        </w:rPr>
      </w:pPr>
      <w:r w:rsidRPr="00D61F73">
        <w:rPr>
          <w:rFonts w:ascii="Arial" w:hAnsi="Arial" w:cs="Arial"/>
        </w:rPr>
        <w:t>Rating: 3b</w:t>
      </w:r>
    </w:p>
    <w:p w14:paraId="44BF0A91"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S</w:t>
      </w:r>
      <w:bookmarkStart w:id="1118" w:name="Schürmann2001"/>
      <w:bookmarkEnd w:id="1118"/>
      <w:r w:rsidRPr="00D61F73">
        <w:rPr>
          <w:rFonts w:ascii="Arial" w:hAnsi="Arial" w:cs="Arial"/>
          <w:b/>
        </w:rPr>
        <w:t xml:space="preserve">chürmann M, Gradl G, Wizgal I, Tutic M, Moser C, Azad S, Beyer A. Clinical and physiologic evaluation of stellate ganglion blockade for complex regional pain syndrome type I. </w:t>
      </w:r>
      <w:r w:rsidRPr="00D61F73">
        <w:rPr>
          <w:rFonts w:ascii="Arial" w:hAnsi="Arial" w:cs="Arial"/>
          <w:b/>
          <w:i/>
        </w:rPr>
        <w:t>Clin J Pain</w:t>
      </w:r>
      <w:r w:rsidRPr="00D61F73">
        <w:rPr>
          <w:rFonts w:ascii="Arial" w:hAnsi="Arial" w:cs="Arial"/>
          <w:b/>
        </w:rPr>
        <w:t>. 2001;17:94-100.</w:t>
      </w:r>
    </w:p>
    <w:p w14:paraId="70052BCC" w14:textId="77777777" w:rsidR="008D0565" w:rsidRPr="00D61F73" w:rsidRDefault="008D0565" w:rsidP="00D61F73">
      <w:pPr>
        <w:rPr>
          <w:rFonts w:ascii="Arial" w:eastAsia="Calibri" w:hAnsi="Arial" w:cs="Arial"/>
        </w:rPr>
      </w:pPr>
    </w:p>
    <w:p w14:paraId="116E2A1F"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65" w:history="1">
        <w:r w:rsidRPr="00D61F73">
          <w:rPr>
            <w:rStyle w:val="Hyperlink"/>
            <w:rFonts w:ascii="Arial" w:hAnsi="Arial" w:cs="Arial"/>
          </w:rPr>
          <w:t>11289093</w:t>
        </w:r>
      </w:hyperlink>
    </w:p>
    <w:p w14:paraId="4A52A839" w14:textId="77777777" w:rsidR="008D0565" w:rsidRPr="00D61F73" w:rsidRDefault="008D0565" w:rsidP="00D61F73">
      <w:pPr>
        <w:rPr>
          <w:rFonts w:ascii="Arial" w:eastAsia="Calibri" w:hAnsi="Arial" w:cs="Arial"/>
        </w:rPr>
      </w:pPr>
    </w:p>
    <w:p w14:paraId="600C7F0D" w14:textId="77777777" w:rsidR="008D0565" w:rsidRPr="00D61F73" w:rsidRDefault="008D0565" w:rsidP="00D61F73">
      <w:pPr>
        <w:rPr>
          <w:rFonts w:ascii="Arial" w:eastAsia="Calibri" w:hAnsi="Arial" w:cs="Arial"/>
        </w:rPr>
      </w:pPr>
      <w:r w:rsidRPr="00D61F73">
        <w:rPr>
          <w:rFonts w:ascii="Arial" w:hAnsi="Arial" w:cs="Arial"/>
        </w:rPr>
        <w:t>Rating: 4c</w:t>
      </w:r>
    </w:p>
    <w:p w14:paraId="5A730896" w14:textId="77777777" w:rsidR="008D0565" w:rsidRPr="00D61F73" w:rsidRDefault="008D0565" w:rsidP="00D61F73">
      <w:pPr>
        <w:rPr>
          <w:rFonts w:ascii="Arial" w:eastAsia="Calibri" w:hAnsi="Arial" w:cs="Arial"/>
        </w:rPr>
      </w:pPr>
    </w:p>
    <w:p w14:paraId="0A1D4DCB" w14:textId="77777777" w:rsidR="008D0565" w:rsidRPr="00D61F73" w:rsidRDefault="008D0565" w:rsidP="00D61F73">
      <w:pPr>
        <w:rPr>
          <w:rFonts w:ascii="Arial" w:eastAsia="Calibri" w:hAnsi="Arial" w:cs="Arial"/>
          <w:b/>
        </w:rPr>
      </w:pPr>
      <w:r w:rsidRPr="00D61F73">
        <w:rPr>
          <w:rFonts w:ascii="Arial" w:hAnsi="Arial" w:cs="Arial"/>
        </w:rPr>
        <w:br w:type="page"/>
      </w:r>
      <w:r w:rsidRPr="00D61F73">
        <w:rPr>
          <w:rFonts w:ascii="Arial" w:hAnsi="Arial" w:cs="Arial"/>
          <w:b/>
        </w:rPr>
        <w:lastRenderedPageBreak/>
        <w:t>S</w:t>
      </w:r>
      <w:bookmarkStart w:id="1119" w:name="Schürmann2007"/>
      <w:bookmarkEnd w:id="1119"/>
      <w:r w:rsidRPr="00D61F73">
        <w:rPr>
          <w:rFonts w:ascii="Arial" w:hAnsi="Arial" w:cs="Arial"/>
          <w:b/>
        </w:rPr>
        <w:t xml:space="preserve">chürmann M, Zaspel J, Löhr P, Wizgall I, Tutic M, Manthey N, Steinborn M, Gradl G. Imaging in early posttraumatic complex regional pain syndrome: a comparison of diagnostic methods. </w:t>
      </w:r>
      <w:r w:rsidRPr="00D61F73">
        <w:rPr>
          <w:rFonts w:ascii="Arial" w:hAnsi="Arial" w:cs="Arial"/>
          <w:b/>
          <w:i/>
        </w:rPr>
        <w:t>Clin J Pain.</w:t>
      </w:r>
      <w:r w:rsidRPr="00D61F73">
        <w:rPr>
          <w:rFonts w:ascii="Arial" w:hAnsi="Arial" w:cs="Arial"/>
          <w:b/>
        </w:rPr>
        <w:t xml:space="preserve"> 2007;23:449-57.</w:t>
      </w:r>
    </w:p>
    <w:p w14:paraId="213E1C6C" w14:textId="77777777" w:rsidR="008D0565" w:rsidRPr="00D61F73" w:rsidRDefault="008D0565" w:rsidP="00D61F73">
      <w:pPr>
        <w:rPr>
          <w:rFonts w:ascii="Arial" w:eastAsia="Calibri" w:hAnsi="Arial" w:cs="Arial"/>
        </w:rPr>
      </w:pPr>
    </w:p>
    <w:p w14:paraId="66D50D22"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66" w:history="1">
        <w:r w:rsidRPr="00D61F73">
          <w:rPr>
            <w:rStyle w:val="Hyperlink"/>
            <w:rFonts w:ascii="Arial" w:hAnsi="Arial" w:cs="Arial"/>
          </w:rPr>
          <w:t>17515744</w:t>
        </w:r>
      </w:hyperlink>
    </w:p>
    <w:p w14:paraId="1665D082" w14:textId="77777777" w:rsidR="008D0565" w:rsidRPr="00D61F73" w:rsidRDefault="008D0565" w:rsidP="00D61F73">
      <w:pPr>
        <w:rPr>
          <w:rFonts w:ascii="Arial" w:eastAsia="Calibri" w:hAnsi="Arial" w:cs="Arial"/>
        </w:rPr>
      </w:pPr>
    </w:p>
    <w:p w14:paraId="5AFCC811" w14:textId="77777777" w:rsidR="008D0565" w:rsidRPr="00D61F73" w:rsidRDefault="008D0565" w:rsidP="00D61F73">
      <w:pPr>
        <w:rPr>
          <w:rFonts w:ascii="Arial" w:eastAsia="Calibri" w:hAnsi="Arial" w:cs="Arial"/>
        </w:rPr>
      </w:pPr>
      <w:r w:rsidRPr="00D61F73">
        <w:rPr>
          <w:rFonts w:ascii="Arial" w:hAnsi="Arial" w:cs="Arial"/>
        </w:rPr>
        <w:t>Rating: 4b</w:t>
      </w:r>
    </w:p>
    <w:p w14:paraId="2E9420E6"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20" w:name="Schwartzman2009"/>
      <w:bookmarkEnd w:id="1120"/>
      <w:r w:rsidRPr="00D61F73">
        <w:rPr>
          <w:rFonts w:ascii="Arial" w:hAnsi="Arial" w:cs="Arial"/>
          <w:b/>
          <w:bCs/>
        </w:rPr>
        <w:t xml:space="preserve">chwartzman RJ, Alexander GM, Grothusen JR, Paylor T, Reichenberger E, Perreault M. Outpatient intravenous ketamine for the treatment of complex regional pain syndrome: a double-blind placebo controlled study. </w:t>
      </w:r>
      <w:r w:rsidRPr="00D61F73">
        <w:rPr>
          <w:rFonts w:ascii="Arial" w:hAnsi="Arial" w:cs="Arial"/>
          <w:b/>
          <w:bCs/>
          <w:i/>
          <w:iCs/>
        </w:rPr>
        <w:t>Pain</w:t>
      </w:r>
      <w:r w:rsidRPr="00D61F73">
        <w:rPr>
          <w:rFonts w:ascii="Arial" w:hAnsi="Arial" w:cs="Arial"/>
          <w:b/>
          <w:bCs/>
        </w:rPr>
        <w:t>. 2009 Dec 15;147(1-3):107-15.</w:t>
      </w:r>
    </w:p>
    <w:p w14:paraId="03BEE08A" w14:textId="77777777" w:rsidR="008D0565" w:rsidRPr="00D61F73" w:rsidRDefault="008D0565" w:rsidP="00D61F73">
      <w:pPr>
        <w:rPr>
          <w:rFonts w:ascii="Arial" w:hAnsi="Arial" w:cs="Arial"/>
        </w:rPr>
      </w:pPr>
    </w:p>
    <w:p w14:paraId="4CB8BE76" w14:textId="77777777" w:rsidR="008D0565" w:rsidRPr="00D61F73" w:rsidRDefault="008D0565" w:rsidP="00D61F73">
      <w:pPr>
        <w:rPr>
          <w:rFonts w:ascii="Arial" w:hAnsi="Arial" w:cs="Arial"/>
        </w:rPr>
      </w:pPr>
      <w:r w:rsidRPr="00D61F73">
        <w:rPr>
          <w:rFonts w:ascii="Arial" w:hAnsi="Arial" w:cs="Arial"/>
        </w:rPr>
        <w:t>The results of this study warrant a larger randomized placebo controlled trial using higher doses of ketamine and a longer follow-up period.</w:t>
      </w:r>
    </w:p>
    <w:p w14:paraId="666F94C6" w14:textId="77777777" w:rsidR="008D0565" w:rsidRPr="00D61F73" w:rsidRDefault="008D0565" w:rsidP="00D61F73">
      <w:pPr>
        <w:rPr>
          <w:rFonts w:ascii="Arial" w:hAnsi="Arial" w:cs="Arial"/>
        </w:rPr>
      </w:pPr>
    </w:p>
    <w:p w14:paraId="61AB5CF3" w14:textId="77777777" w:rsidR="008D0565" w:rsidRPr="00D61F73" w:rsidRDefault="008D0565" w:rsidP="00D61F73">
      <w:pPr>
        <w:rPr>
          <w:rFonts w:ascii="Arial" w:hAnsi="Arial" w:cs="Arial"/>
        </w:rPr>
      </w:pPr>
      <w:r w:rsidRPr="00D61F73">
        <w:rPr>
          <w:rFonts w:ascii="Arial" w:hAnsi="Arial" w:cs="Arial"/>
        </w:rPr>
        <w:t xml:space="preserve">PMID: </w:t>
      </w:r>
      <w:hyperlink r:id="rId767" w:history="1">
        <w:r w:rsidRPr="00D61F73">
          <w:rPr>
            <w:rStyle w:val="Hyperlink"/>
            <w:rFonts w:ascii="Arial" w:hAnsi="Arial" w:cs="Arial"/>
          </w:rPr>
          <w:t>19783371</w:t>
        </w:r>
      </w:hyperlink>
      <w:r w:rsidRPr="00D61F73">
        <w:rPr>
          <w:rFonts w:ascii="Arial" w:hAnsi="Arial" w:cs="Arial"/>
        </w:rPr>
        <w:t xml:space="preserve"> </w:t>
      </w:r>
    </w:p>
    <w:p w14:paraId="0619BB22" w14:textId="77777777" w:rsidR="008D0565" w:rsidRPr="00D61F73" w:rsidRDefault="008D0565" w:rsidP="00D61F73">
      <w:pPr>
        <w:rPr>
          <w:rFonts w:ascii="Arial" w:hAnsi="Arial" w:cs="Arial"/>
        </w:rPr>
      </w:pPr>
    </w:p>
    <w:p w14:paraId="242CCD90" w14:textId="77777777" w:rsidR="008D0565" w:rsidRPr="00D61F73" w:rsidRDefault="008D0565" w:rsidP="00D61F73">
      <w:pPr>
        <w:rPr>
          <w:rFonts w:ascii="Arial" w:hAnsi="Arial" w:cs="Arial"/>
        </w:rPr>
      </w:pPr>
      <w:r w:rsidRPr="00D61F73">
        <w:rPr>
          <w:rFonts w:ascii="Arial" w:hAnsi="Arial" w:cs="Arial"/>
        </w:rPr>
        <w:t>Rating: 2c</w:t>
      </w:r>
    </w:p>
    <w:p w14:paraId="65D6C85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21" w:name="See"/>
      <w:bookmarkEnd w:id="1121"/>
      <w:r w:rsidRPr="00D61F73">
        <w:rPr>
          <w:rFonts w:ascii="Arial" w:hAnsi="Arial" w:cs="Arial"/>
          <w:b/>
          <w:bCs/>
        </w:rPr>
        <w:t xml:space="preserve">ee S, Ginzburg R. Skeletal muscle relaxants. </w:t>
      </w:r>
      <w:r w:rsidRPr="00D61F73">
        <w:rPr>
          <w:rFonts w:ascii="Arial" w:hAnsi="Arial" w:cs="Arial"/>
          <w:b/>
          <w:bCs/>
          <w:i/>
        </w:rPr>
        <w:t>Pharmacotherapy</w:t>
      </w:r>
      <w:r w:rsidRPr="00D61F73">
        <w:rPr>
          <w:rFonts w:ascii="Arial" w:hAnsi="Arial" w:cs="Arial"/>
          <w:b/>
          <w:bCs/>
        </w:rPr>
        <w:t>. 2008; 28:207-13.</w:t>
      </w:r>
    </w:p>
    <w:p w14:paraId="7BD129FD" w14:textId="77777777" w:rsidR="008D0565" w:rsidRPr="00D61F73" w:rsidRDefault="008D0565" w:rsidP="00D61F73">
      <w:pPr>
        <w:rPr>
          <w:rFonts w:ascii="Arial" w:hAnsi="Arial" w:cs="Arial"/>
        </w:rPr>
      </w:pPr>
    </w:p>
    <w:p w14:paraId="2244D46F" w14:textId="77777777" w:rsidR="008D0565" w:rsidRPr="00D61F73" w:rsidRDefault="008D0565" w:rsidP="00D61F73">
      <w:pPr>
        <w:rPr>
          <w:rFonts w:ascii="Arial" w:hAnsi="Arial" w:cs="Arial"/>
        </w:rPr>
      </w:pPr>
      <w:r w:rsidRPr="00D61F73">
        <w:rPr>
          <w:rFonts w:ascii="Arial" w:hAnsi="Arial" w:cs="Arial"/>
        </w:rPr>
        <w:t>Therefore, the choice of a skeletal muscle relaxant should be based on its adverse-effect profile, tolerability, and cost.</w:t>
      </w:r>
    </w:p>
    <w:p w14:paraId="4596742D" w14:textId="77777777" w:rsidR="008D0565" w:rsidRPr="00D61F73" w:rsidRDefault="008D0565" w:rsidP="00D61F73">
      <w:pPr>
        <w:rPr>
          <w:rFonts w:ascii="Arial" w:hAnsi="Arial" w:cs="Arial"/>
        </w:rPr>
      </w:pPr>
    </w:p>
    <w:p w14:paraId="37F3B19F" w14:textId="77777777" w:rsidR="008D0565" w:rsidRPr="00D61F73" w:rsidRDefault="008D0565" w:rsidP="00D61F73">
      <w:pPr>
        <w:rPr>
          <w:rFonts w:ascii="Arial" w:hAnsi="Arial" w:cs="Arial"/>
        </w:rPr>
      </w:pPr>
      <w:r w:rsidRPr="00D61F73">
        <w:rPr>
          <w:rFonts w:ascii="Arial" w:hAnsi="Arial" w:cs="Arial"/>
        </w:rPr>
        <w:t xml:space="preserve">PMID: </w:t>
      </w:r>
      <w:hyperlink r:id="rId768" w:history="1">
        <w:r w:rsidRPr="00D61F73">
          <w:rPr>
            <w:rStyle w:val="Hyperlink"/>
            <w:rFonts w:ascii="Arial" w:hAnsi="Arial" w:cs="Arial"/>
            <w:bCs/>
          </w:rPr>
          <w:t>18225966</w:t>
        </w:r>
      </w:hyperlink>
      <w:r w:rsidRPr="00D61F73">
        <w:rPr>
          <w:rFonts w:ascii="Arial" w:hAnsi="Arial" w:cs="Arial"/>
        </w:rPr>
        <w:t xml:space="preserve"> </w:t>
      </w:r>
    </w:p>
    <w:p w14:paraId="1AF20159" w14:textId="77777777" w:rsidR="008D0565" w:rsidRPr="00D61F73" w:rsidRDefault="008D0565" w:rsidP="00D61F73">
      <w:pPr>
        <w:rPr>
          <w:rFonts w:ascii="Arial" w:hAnsi="Arial" w:cs="Arial"/>
        </w:rPr>
      </w:pPr>
    </w:p>
    <w:p w14:paraId="512A6BFA" w14:textId="77777777" w:rsidR="008D0565" w:rsidRPr="00D61F73" w:rsidRDefault="008D0565" w:rsidP="00D61F73">
      <w:pPr>
        <w:rPr>
          <w:rFonts w:ascii="Arial" w:hAnsi="Arial" w:cs="Arial"/>
        </w:rPr>
      </w:pPr>
      <w:r w:rsidRPr="00D61F73">
        <w:rPr>
          <w:rFonts w:ascii="Arial" w:hAnsi="Arial" w:cs="Arial"/>
        </w:rPr>
        <w:t>Rating 5c</w:t>
      </w:r>
    </w:p>
    <w:p w14:paraId="637D3BF2" w14:textId="77777777" w:rsidR="008D0565" w:rsidRPr="00D61F73" w:rsidRDefault="008D0565" w:rsidP="00D61F73">
      <w:pPr>
        <w:pStyle w:val="pmid"/>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22" w:name="See2"/>
      <w:bookmarkEnd w:id="1122"/>
      <w:r w:rsidRPr="00D61F73">
        <w:rPr>
          <w:rFonts w:ascii="Arial" w:hAnsi="Arial" w:cs="Arial"/>
          <w:b/>
          <w:bCs/>
        </w:rPr>
        <w:t xml:space="preserve">ee S, Ginzburg R. Choosing a skeletal muscle relaxant. </w:t>
      </w:r>
      <w:r w:rsidRPr="00D61F73">
        <w:rPr>
          <w:rFonts w:ascii="Arial" w:hAnsi="Arial" w:cs="Arial"/>
          <w:b/>
          <w:bCs/>
          <w:i/>
          <w:iCs/>
        </w:rPr>
        <w:t>Am Fam Physician</w:t>
      </w:r>
      <w:r w:rsidRPr="00D61F73">
        <w:rPr>
          <w:rFonts w:ascii="Arial" w:hAnsi="Arial" w:cs="Arial"/>
          <w:b/>
          <w:bCs/>
        </w:rPr>
        <w:t>. 2008 Aug 1;78(3):365-70.</w:t>
      </w:r>
    </w:p>
    <w:p w14:paraId="5671A2DB" w14:textId="77777777" w:rsidR="008D0565" w:rsidRPr="00D61F73" w:rsidRDefault="008D0565" w:rsidP="00D61F73">
      <w:pPr>
        <w:pStyle w:val="pmid"/>
        <w:spacing w:before="0" w:beforeAutospacing="0" w:after="0" w:afterAutospacing="0"/>
        <w:rPr>
          <w:rFonts w:ascii="Arial" w:hAnsi="Arial" w:cs="Arial"/>
        </w:rPr>
      </w:pPr>
    </w:p>
    <w:p w14:paraId="608193A2"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The most commonly prescribed antispasmodic agents are carisoprodol, cyclobenzaprine, metaxalone, and methocarbamol. Despite their popularity, skeletal muscle relaxants should not be the primary drug class of choice for musculoskeletal conditions. </w:t>
      </w:r>
    </w:p>
    <w:p w14:paraId="66099327" w14:textId="77777777" w:rsidR="008D0565" w:rsidRPr="00D61F73" w:rsidRDefault="008D0565" w:rsidP="00D61F73">
      <w:pPr>
        <w:pStyle w:val="pmid"/>
        <w:spacing w:before="0" w:beforeAutospacing="0" w:after="0" w:afterAutospacing="0"/>
        <w:rPr>
          <w:rFonts w:ascii="Arial" w:hAnsi="Arial" w:cs="Arial"/>
        </w:rPr>
      </w:pPr>
    </w:p>
    <w:p w14:paraId="185F2F30"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769" w:history="1">
        <w:r w:rsidRPr="00D61F73">
          <w:rPr>
            <w:rStyle w:val="Hyperlink"/>
            <w:rFonts w:ascii="Arial" w:hAnsi="Arial" w:cs="Arial"/>
          </w:rPr>
          <w:t>18711953</w:t>
        </w:r>
      </w:hyperlink>
    </w:p>
    <w:p w14:paraId="16A20D1F" w14:textId="77777777" w:rsidR="008D0565" w:rsidRPr="00D61F73" w:rsidRDefault="008D0565" w:rsidP="00D61F73">
      <w:pPr>
        <w:pStyle w:val="pmid"/>
        <w:spacing w:before="0" w:beforeAutospacing="0" w:after="0" w:afterAutospacing="0"/>
        <w:rPr>
          <w:rFonts w:ascii="Arial" w:hAnsi="Arial" w:cs="Arial"/>
        </w:rPr>
      </w:pPr>
    </w:p>
    <w:p w14:paraId="61DE1914"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Rating: 5b </w:t>
      </w:r>
    </w:p>
    <w:p w14:paraId="207504A9" w14:textId="77777777" w:rsidR="008D0565" w:rsidRPr="00D61F73" w:rsidRDefault="008D0565" w:rsidP="00D61F73">
      <w:pPr>
        <w:pStyle w:val="pmid"/>
        <w:spacing w:before="0" w:beforeAutospacing="0" w:after="0" w:afterAutospacing="0"/>
        <w:rPr>
          <w:rFonts w:ascii="Arial" w:hAnsi="Arial" w:cs="Arial"/>
          <w:b/>
          <w:bCs/>
        </w:rPr>
      </w:pPr>
    </w:p>
    <w:p w14:paraId="44408C8E" w14:textId="77777777" w:rsidR="008D0565" w:rsidRPr="00D61F73" w:rsidRDefault="008D0565" w:rsidP="00D61F73">
      <w:pPr>
        <w:tabs>
          <w:tab w:val="left" w:pos="1676"/>
        </w:tabs>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23" w:name="Sengupta"/>
      <w:bookmarkEnd w:id="1123"/>
      <w:r w:rsidRPr="00D61F73">
        <w:rPr>
          <w:rFonts w:ascii="Arial" w:hAnsi="Arial" w:cs="Arial"/>
          <w:b/>
          <w:bCs/>
        </w:rPr>
        <w:t xml:space="preserve">engupta K, Alluri KV, Satish AR, Mishra S, Golakoti T, Sarma KV, Dey D, Raychaudhuri SP. A double blind, randomized, placebo controlled study of the efficacy and safety of 5-Loxin(R) for treatment of osteoarthritis of the knee. </w:t>
      </w:r>
      <w:r w:rsidRPr="00D61F73">
        <w:rPr>
          <w:rFonts w:ascii="Arial" w:hAnsi="Arial" w:cs="Arial"/>
          <w:b/>
          <w:bCs/>
          <w:i/>
          <w:iCs/>
        </w:rPr>
        <w:t>Arthritis Res Ther</w:t>
      </w:r>
      <w:r w:rsidRPr="00D61F73">
        <w:rPr>
          <w:rFonts w:ascii="Arial" w:hAnsi="Arial" w:cs="Arial"/>
          <w:b/>
          <w:bCs/>
        </w:rPr>
        <w:t>. 2008 Jul 30;10(4):R85. [Epub ahead of print]</w:t>
      </w:r>
    </w:p>
    <w:p w14:paraId="7B5CF029" w14:textId="77777777" w:rsidR="008D0565" w:rsidRPr="00D61F73" w:rsidRDefault="008D0565" w:rsidP="00D61F73">
      <w:pPr>
        <w:pStyle w:val="pmid"/>
        <w:spacing w:before="0" w:beforeAutospacing="0" w:after="0" w:afterAutospacing="0"/>
        <w:rPr>
          <w:rFonts w:ascii="Arial" w:hAnsi="Arial" w:cs="Arial"/>
        </w:rPr>
      </w:pPr>
    </w:p>
    <w:p w14:paraId="37764729"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CONCLUSION: 5-Loxin(R) reduces pain and improves physical functioning significantly in OA patients; and it is safe for human consumption. </w:t>
      </w:r>
    </w:p>
    <w:p w14:paraId="4F94C9E2" w14:textId="77777777" w:rsidR="008D0565" w:rsidRPr="00D61F73" w:rsidRDefault="008D0565" w:rsidP="00D61F73">
      <w:pPr>
        <w:pStyle w:val="pmid"/>
        <w:spacing w:before="0" w:beforeAutospacing="0" w:after="0" w:afterAutospacing="0"/>
        <w:rPr>
          <w:rFonts w:ascii="Arial" w:hAnsi="Arial" w:cs="Arial"/>
        </w:rPr>
      </w:pPr>
    </w:p>
    <w:p w14:paraId="1A11C2B6"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770" w:history="1">
        <w:r w:rsidRPr="00D61F73">
          <w:rPr>
            <w:rStyle w:val="Hyperlink"/>
            <w:rFonts w:ascii="Arial" w:hAnsi="Arial" w:cs="Arial"/>
          </w:rPr>
          <w:t>18667054</w:t>
        </w:r>
      </w:hyperlink>
      <w:r w:rsidRPr="00D61F73">
        <w:rPr>
          <w:rFonts w:ascii="Arial" w:hAnsi="Arial" w:cs="Arial"/>
        </w:rPr>
        <w:t xml:space="preserve"> </w:t>
      </w:r>
    </w:p>
    <w:p w14:paraId="36679144" w14:textId="77777777" w:rsidR="008D0565" w:rsidRPr="00D61F73" w:rsidRDefault="008D0565" w:rsidP="00D61F73">
      <w:pPr>
        <w:pStyle w:val="pmid"/>
        <w:spacing w:before="0" w:beforeAutospacing="0" w:after="0" w:afterAutospacing="0"/>
        <w:rPr>
          <w:rFonts w:ascii="Arial" w:hAnsi="Arial" w:cs="Arial"/>
        </w:rPr>
      </w:pPr>
    </w:p>
    <w:p w14:paraId="3E3CACAE"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2c</w:t>
      </w:r>
    </w:p>
    <w:p w14:paraId="38B953EC" w14:textId="77777777" w:rsidR="008D0565" w:rsidRPr="00D61F73" w:rsidRDefault="008D0565" w:rsidP="00D61F73">
      <w:pPr>
        <w:pStyle w:val="pmid"/>
        <w:spacing w:before="0" w:beforeAutospacing="0" w:after="0" w:afterAutospacing="0"/>
        <w:rPr>
          <w:rFonts w:ascii="Arial" w:hAnsi="Arial" w:cs="Arial"/>
        </w:rPr>
      </w:pPr>
    </w:p>
    <w:p w14:paraId="38D54DDD"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An enriched extract of the 'Indian Frankincense' herb Boswellia serrata has been proven to reduce the symptoms of osteoarthritis. The same authors have previously tested the safety of their remedy in animal experiments. They say that, "In this study, the compound was shown to have no major adverse effects in our osteoarthritis patients. It is safe for human consumption and even for long-term use".</w:t>
      </w:r>
    </w:p>
    <w:p w14:paraId="6A18FBE9" w14:textId="77777777" w:rsidR="008D0565" w:rsidRPr="00D61F73" w:rsidRDefault="008D0565" w:rsidP="00D61F73">
      <w:pPr>
        <w:pStyle w:val="pmid"/>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S</w:t>
      </w:r>
      <w:bookmarkStart w:id="1124" w:name="Serpell"/>
      <w:bookmarkEnd w:id="1124"/>
      <w:r w:rsidRPr="00D61F73">
        <w:rPr>
          <w:rFonts w:ascii="Arial" w:hAnsi="Arial" w:cs="Arial"/>
          <w:b/>
        </w:rPr>
        <w:t xml:space="preserve">erpell MG; Neuropathic pain study group. Gabapentin in neuropathic pain syndromes: a randomised, double-blind, placebo-controlled trial. </w:t>
      </w:r>
      <w:r w:rsidRPr="00D61F73">
        <w:rPr>
          <w:rFonts w:ascii="Arial" w:hAnsi="Arial" w:cs="Arial"/>
          <w:b/>
          <w:i/>
        </w:rPr>
        <w:t>Pain</w:t>
      </w:r>
      <w:r w:rsidRPr="00D61F73">
        <w:rPr>
          <w:rFonts w:ascii="Arial" w:hAnsi="Arial" w:cs="Arial"/>
          <w:b/>
        </w:rPr>
        <w:t>. 2002;99:557-66.</w:t>
      </w:r>
    </w:p>
    <w:p w14:paraId="5B8517AC" w14:textId="77777777" w:rsidR="008D0565" w:rsidRPr="00D61F73" w:rsidRDefault="008D0565" w:rsidP="00D61F73">
      <w:pPr>
        <w:pStyle w:val="pmid"/>
        <w:spacing w:before="0" w:beforeAutospacing="0" w:after="0" w:afterAutospacing="0"/>
        <w:rPr>
          <w:rFonts w:ascii="Arial" w:hAnsi="Arial" w:cs="Arial"/>
        </w:rPr>
      </w:pPr>
    </w:p>
    <w:p w14:paraId="1BEA0F42"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This study shows that gabapentin reduces pain and improves some quality-of-life measures in patients with a wide range of neuropathic pain syndromes.</w:t>
      </w:r>
    </w:p>
    <w:p w14:paraId="7D580E6C" w14:textId="77777777" w:rsidR="008D0565" w:rsidRPr="00D61F73" w:rsidRDefault="008D0565" w:rsidP="00D61F73">
      <w:pPr>
        <w:pStyle w:val="pmid"/>
        <w:spacing w:before="0" w:beforeAutospacing="0" w:after="0" w:afterAutospacing="0"/>
        <w:rPr>
          <w:rFonts w:ascii="Arial" w:hAnsi="Arial" w:cs="Arial"/>
        </w:rPr>
      </w:pPr>
    </w:p>
    <w:p w14:paraId="362E2EF6"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771" w:history="1">
        <w:r w:rsidRPr="00D61F73">
          <w:rPr>
            <w:rStyle w:val="Hyperlink"/>
            <w:rFonts w:ascii="Arial" w:hAnsi="Arial" w:cs="Arial"/>
          </w:rPr>
          <w:t>12406532</w:t>
        </w:r>
      </w:hyperlink>
    </w:p>
    <w:p w14:paraId="24CC523C" w14:textId="77777777" w:rsidR="008D0565" w:rsidRPr="00D61F73" w:rsidRDefault="008D0565" w:rsidP="00D61F73">
      <w:pPr>
        <w:pStyle w:val="pmid"/>
        <w:spacing w:before="0" w:beforeAutospacing="0" w:after="0" w:afterAutospacing="0"/>
        <w:rPr>
          <w:rFonts w:ascii="Arial" w:hAnsi="Arial" w:cs="Arial"/>
        </w:rPr>
      </w:pPr>
    </w:p>
    <w:p w14:paraId="4D7B8A7C"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2b</w:t>
      </w:r>
    </w:p>
    <w:p w14:paraId="177C83DA" w14:textId="77777777"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bookmarkStart w:id="1125" w:name="Severeijns"/>
      <w:r w:rsidRPr="00D61F73">
        <w:rPr>
          <w:rFonts w:ascii="Arial" w:hAnsi="Arial" w:cs="Arial"/>
          <w:sz w:val="24"/>
          <w:szCs w:val="24"/>
        </w:rPr>
        <w:lastRenderedPageBreak/>
        <w:t xml:space="preserve">Severeijns </w:t>
      </w:r>
      <w:bookmarkEnd w:id="1125"/>
      <w:r w:rsidRPr="00D61F73">
        <w:rPr>
          <w:rFonts w:ascii="Arial" w:hAnsi="Arial" w:cs="Arial"/>
          <w:sz w:val="24"/>
          <w:szCs w:val="24"/>
        </w:rPr>
        <w:t xml:space="preserve">R; Vlaeyen JW; van den Hout MA; Weber WE. Pain catastrophizing predicts pain intensity, disability, and psychological distress independent of the level of physical impairment. </w:t>
      </w:r>
      <w:r w:rsidRPr="00D61F73">
        <w:rPr>
          <w:rStyle w:val="HTMLCite"/>
          <w:rFonts w:ascii="Arial" w:hAnsi="Arial" w:cs="Arial"/>
          <w:sz w:val="24"/>
          <w:szCs w:val="24"/>
        </w:rPr>
        <w:t xml:space="preserve">Clinical Journal of Pain. </w:t>
      </w:r>
      <w:r w:rsidRPr="00D61F73">
        <w:rPr>
          <w:rFonts w:ascii="Arial" w:hAnsi="Arial" w:cs="Arial"/>
          <w:sz w:val="24"/>
          <w:szCs w:val="24"/>
        </w:rPr>
        <w:t>01-Jun-2001; 17(2): 165-72.</w:t>
      </w:r>
    </w:p>
    <w:p w14:paraId="1EDAFCA4"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521AED2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Publication Type: Case Control Study, 211 cases</w:t>
      </w:r>
    </w:p>
    <w:p w14:paraId="6E07E4C0" w14:textId="77777777" w:rsidR="008D0565" w:rsidRPr="00D61F73" w:rsidRDefault="008D0565" w:rsidP="00D61F73">
      <w:pPr>
        <w:pStyle w:val="NormalWeb"/>
        <w:spacing w:before="0" w:beforeAutospacing="0" w:after="0" w:afterAutospacing="0"/>
        <w:rPr>
          <w:rFonts w:ascii="Arial" w:hAnsi="Arial" w:cs="Arial"/>
        </w:rPr>
      </w:pPr>
    </w:p>
    <w:p w14:paraId="3FDF8AD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72" w:history="1">
        <w:r w:rsidRPr="00D61F73">
          <w:rPr>
            <w:rStyle w:val="Hyperlink"/>
            <w:rFonts w:ascii="Arial" w:hAnsi="Arial" w:cs="Arial"/>
          </w:rPr>
          <w:t>11444718</w:t>
        </w:r>
      </w:hyperlink>
      <w:r w:rsidRPr="00D61F73">
        <w:rPr>
          <w:rFonts w:ascii="Arial" w:hAnsi="Arial" w:cs="Arial"/>
        </w:rPr>
        <w:t xml:space="preserve"> </w:t>
      </w:r>
    </w:p>
    <w:p w14:paraId="7DDD5182" w14:textId="77777777" w:rsidR="008D0565" w:rsidRPr="00D61F73" w:rsidRDefault="008D0565" w:rsidP="00402D57">
      <w:pPr>
        <w:pStyle w:val="Normal1"/>
        <w:framePr w:wrap="around"/>
      </w:pPr>
      <w:r w:rsidRPr="00D61F73">
        <w:br w:type="page"/>
        <w:t>S</w:t>
      </w:r>
      <w:bookmarkStart w:id="1126" w:name="Shariatmadari"/>
      <w:bookmarkEnd w:id="1126"/>
      <w:r w:rsidRPr="00D61F73">
        <w:t>hariatmadari ME. Letter: Orphenadrine dependence. Br Med J. 1975;3:486.</w:t>
      </w:r>
    </w:p>
    <w:p w14:paraId="2E8CE369" w14:textId="77777777" w:rsidR="008D0565" w:rsidRPr="00D61F73" w:rsidRDefault="008D0565" w:rsidP="00D61F73">
      <w:pPr>
        <w:rPr>
          <w:rFonts w:ascii="Arial" w:hAnsi="Arial" w:cs="Arial"/>
        </w:rPr>
      </w:pPr>
    </w:p>
    <w:p w14:paraId="6DFCFE4C" w14:textId="77777777" w:rsidR="008D0565" w:rsidRPr="00D61F73" w:rsidRDefault="008D0565" w:rsidP="00D61F73">
      <w:pPr>
        <w:rPr>
          <w:rFonts w:ascii="Arial" w:hAnsi="Arial" w:cs="Arial"/>
        </w:rPr>
      </w:pPr>
      <w:r w:rsidRPr="00D61F73">
        <w:rPr>
          <w:rFonts w:ascii="Arial" w:hAnsi="Arial" w:cs="Arial"/>
        </w:rPr>
        <w:t>This was a case report of orphenadrine dependence.</w:t>
      </w:r>
    </w:p>
    <w:p w14:paraId="1DB48A92" w14:textId="77777777" w:rsidR="008D0565" w:rsidRPr="00D61F73" w:rsidRDefault="008D0565" w:rsidP="00D61F73">
      <w:pPr>
        <w:rPr>
          <w:rFonts w:ascii="Arial" w:hAnsi="Arial" w:cs="Arial"/>
        </w:rPr>
      </w:pPr>
    </w:p>
    <w:p w14:paraId="3234B850" w14:textId="77777777" w:rsidR="008D0565" w:rsidRPr="00D61F73" w:rsidRDefault="008D0565" w:rsidP="00D61F73">
      <w:pPr>
        <w:rPr>
          <w:rFonts w:ascii="Arial" w:hAnsi="Arial" w:cs="Arial"/>
        </w:rPr>
      </w:pPr>
      <w:r w:rsidRPr="00D61F73">
        <w:rPr>
          <w:rFonts w:ascii="Arial" w:hAnsi="Arial" w:cs="Arial"/>
        </w:rPr>
        <w:t>Rating: 11b</w:t>
      </w:r>
    </w:p>
    <w:p w14:paraId="2B8FB486" w14:textId="77777777" w:rsidR="008D0565" w:rsidRPr="00D61F73" w:rsidRDefault="008D0565" w:rsidP="00D61F73">
      <w:pPr>
        <w:rPr>
          <w:rFonts w:ascii="Arial" w:eastAsia="Arial Unicode MS" w:hAnsi="Arial" w:cs="Arial"/>
          <w:b/>
          <w:lang w:val="en"/>
        </w:rPr>
      </w:pPr>
      <w:r w:rsidRPr="00D61F73">
        <w:rPr>
          <w:rFonts w:ascii="Arial" w:hAnsi="Arial" w:cs="Arial"/>
        </w:rPr>
        <w:br w:type="page"/>
      </w:r>
      <w:r w:rsidRPr="00D61F73">
        <w:rPr>
          <w:rFonts w:ascii="Arial" w:eastAsia="Arial Unicode MS" w:hAnsi="Arial" w:cs="Arial"/>
          <w:b/>
          <w:lang w:val="en"/>
        </w:rPr>
        <w:lastRenderedPageBreak/>
        <w:t>S</w:t>
      </w:r>
      <w:bookmarkStart w:id="1127" w:name="Sharma"/>
      <w:bookmarkEnd w:id="1127"/>
      <w:r w:rsidRPr="00D61F73">
        <w:rPr>
          <w:rFonts w:ascii="Arial" w:eastAsia="Arial Unicode MS" w:hAnsi="Arial" w:cs="Arial"/>
          <w:b/>
          <w:lang w:val="en"/>
        </w:rPr>
        <w:t xml:space="preserve">harma A, Williams K, Raja SN. Advances in treatment of complex regional pain syndrome: recent insights on a perplexing disease. </w:t>
      </w:r>
      <w:r w:rsidRPr="00D61F73">
        <w:rPr>
          <w:rFonts w:ascii="Arial" w:eastAsia="Arial Unicode MS" w:hAnsi="Arial" w:cs="Arial"/>
          <w:b/>
          <w:i/>
          <w:lang w:val="en"/>
        </w:rPr>
        <w:t>Curr Opin Anaesthesiol</w:t>
      </w:r>
      <w:r w:rsidRPr="00D61F73">
        <w:rPr>
          <w:rFonts w:ascii="Arial" w:eastAsia="Arial Unicode MS" w:hAnsi="Arial" w:cs="Arial"/>
          <w:b/>
          <w:lang w:val="en"/>
        </w:rPr>
        <w:t>. 2006;19:566-72.</w:t>
      </w:r>
    </w:p>
    <w:p w14:paraId="430D3BE4" w14:textId="77777777" w:rsidR="008D0565" w:rsidRPr="00D61F73" w:rsidRDefault="008D0565" w:rsidP="00D61F73">
      <w:pPr>
        <w:rPr>
          <w:rFonts w:ascii="Arial" w:eastAsia="Arial Unicode MS" w:hAnsi="Arial" w:cs="Arial"/>
          <w:lang w:val="en"/>
        </w:rPr>
      </w:pPr>
    </w:p>
    <w:p w14:paraId="6DBF710B" w14:textId="77777777" w:rsidR="008D0565" w:rsidRPr="00D61F73" w:rsidRDefault="008D0565" w:rsidP="00D61F73">
      <w:pPr>
        <w:rPr>
          <w:rFonts w:ascii="Arial" w:eastAsia="Arial Unicode MS" w:hAnsi="Arial" w:cs="Arial"/>
          <w:lang w:val="en"/>
        </w:rPr>
      </w:pPr>
      <w:r w:rsidRPr="00D61F73">
        <w:rPr>
          <w:rFonts w:ascii="Arial" w:eastAsia="Arial Unicode MS" w:hAnsi="Arial" w:cs="Arial"/>
          <w:lang w:val="en"/>
        </w:rPr>
        <w:t xml:space="preserve">SUMMARY: Enhanced insight into the pathophysiology of chronic regional pain syndrome has modified current clinical practice and the focus of research. Certain 'standard' therapeutic options for chronic regional pain syndrome have failed the test of time while others have prevailed. </w:t>
      </w:r>
    </w:p>
    <w:p w14:paraId="64609D51" w14:textId="77777777" w:rsidR="008D0565" w:rsidRPr="00D61F73" w:rsidRDefault="008D0565" w:rsidP="00D61F73">
      <w:pPr>
        <w:rPr>
          <w:rFonts w:ascii="Arial" w:eastAsia="Arial Unicode MS" w:hAnsi="Arial" w:cs="Arial"/>
          <w:lang w:val="en"/>
        </w:rPr>
      </w:pPr>
    </w:p>
    <w:p w14:paraId="69802309" w14:textId="77777777" w:rsidR="008D0565" w:rsidRPr="00D61F73" w:rsidRDefault="008D0565" w:rsidP="00D61F73">
      <w:pPr>
        <w:rPr>
          <w:rFonts w:ascii="Arial" w:eastAsia="Arial Unicode MS" w:hAnsi="Arial" w:cs="Arial"/>
          <w:lang w:val="en"/>
        </w:rPr>
      </w:pPr>
      <w:r w:rsidRPr="00D61F73">
        <w:rPr>
          <w:rFonts w:ascii="Arial" w:eastAsia="Arial Unicode MS" w:hAnsi="Arial" w:cs="Arial"/>
          <w:lang w:val="en"/>
        </w:rPr>
        <w:t xml:space="preserve">PMID: </w:t>
      </w:r>
      <w:hyperlink r:id="rId773" w:history="1">
        <w:r w:rsidRPr="00D61F73">
          <w:rPr>
            <w:rStyle w:val="Hyperlink"/>
            <w:rFonts w:ascii="Arial" w:eastAsia="Arial Unicode MS" w:hAnsi="Arial" w:cs="Arial"/>
            <w:lang w:val="en"/>
          </w:rPr>
          <w:t>16960493</w:t>
        </w:r>
      </w:hyperlink>
    </w:p>
    <w:p w14:paraId="73CCFEB6" w14:textId="77777777" w:rsidR="008D0565" w:rsidRPr="00D61F73" w:rsidRDefault="008D0565" w:rsidP="00D61F73">
      <w:pPr>
        <w:rPr>
          <w:rFonts w:ascii="Arial" w:eastAsia="Arial Unicode MS" w:hAnsi="Arial" w:cs="Arial"/>
          <w:lang w:val="en"/>
        </w:rPr>
      </w:pPr>
    </w:p>
    <w:p w14:paraId="1A548248" w14:textId="77777777" w:rsidR="008D0565" w:rsidRPr="00D61F73" w:rsidRDefault="008D0565" w:rsidP="00D61F73">
      <w:pPr>
        <w:rPr>
          <w:rFonts w:ascii="Arial" w:eastAsia="Arial Unicode MS" w:hAnsi="Arial" w:cs="Arial"/>
          <w:lang w:val="en"/>
        </w:rPr>
      </w:pPr>
      <w:r w:rsidRPr="00D61F73">
        <w:rPr>
          <w:rFonts w:ascii="Arial" w:eastAsia="Arial Unicode MS" w:hAnsi="Arial" w:cs="Arial"/>
          <w:lang w:val="en"/>
        </w:rPr>
        <w:t>Rating: 5c</w:t>
      </w:r>
    </w:p>
    <w:p w14:paraId="3716C8DE"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28" w:name="Shell"/>
      <w:bookmarkEnd w:id="1128"/>
      <w:r w:rsidRPr="00D61F73">
        <w:rPr>
          <w:rFonts w:ascii="Arial" w:hAnsi="Arial" w:cs="Arial"/>
          <w:b/>
          <w:bCs/>
        </w:rPr>
        <w:t xml:space="preserve">hell W, Bullias D, Charuvastra E, May LA, Silver DS. A Randomized, Placebo-Controlled Trial of an Amino Acid Preparation on Timing and Quality of Sleep. </w:t>
      </w:r>
      <w:r w:rsidRPr="00D61F73">
        <w:rPr>
          <w:rFonts w:ascii="Arial" w:hAnsi="Arial" w:cs="Arial"/>
          <w:b/>
          <w:bCs/>
          <w:i/>
          <w:iCs/>
        </w:rPr>
        <w:t xml:space="preserve">Am J Ther. </w:t>
      </w:r>
      <w:r w:rsidRPr="00D61F73">
        <w:rPr>
          <w:rFonts w:ascii="Arial" w:hAnsi="Arial" w:cs="Arial"/>
          <w:b/>
          <w:bCs/>
        </w:rPr>
        <w:t>2009 May 15. [Epub ahead of print]</w:t>
      </w:r>
    </w:p>
    <w:p w14:paraId="0024B5C8" w14:textId="77777777" w:rsidR="008D0565" w:rsidRPr="00D61F73" w:rsidRDefault="008D0565" w:rsidP="00D61F73">
      <w:pPr>
        <w:pStyle w:val="NormalWeb"/>
        <w:spacing w:before="0" w:beforeAutospacing="0" w:after="0" w:afterAutospacing="0"/>
        <w:rPr>
          <w:rFonts w:ascii="Arial" w:hAnsi="Arial" w:cs="Arial"/>
        </w:rPr>
      </w:pPr>
    </w:p>
    <w:p w14:paraId="1B5E77E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An amino acid preparation containing both GABA and 5-hydroxytryptophan reduced time to fall asleep, decreased sleep latency, increased the duration of sleep, and improved quality of sleep.</w:t>
      </w:r>
    </w:p>
    <w:p w14:paraId="122B7068" w14:textId="77777777" w:rsidR="008D0565" w:rsidRPr="00D61F73" w:rsidRDefault="008D0565" w:rsidP="00D61F73">
      <w:pPr>
        <w:pStyle w:val="NormalWeb"/>
        <w:spacing w:before="0" w:beforeAutospacing="0" w:after="0" w:afterAutospacing="0"/>
        <w:rPr>
          <w:rFonts w:ascii="Arial" w:hAnsi="Arial" w:cs="Arial"/>
        </w:rPr>
      </w:pPr>
    </w:p>
    <w:p w14:paraId="2783F53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74" w:history="1">
        <w:r w:rsidRPr="00D61F73">
          <w:rPr>
            <w:rStyle w:val="Hyperlink"/>
            <w:rFonts w:ascii="Arial" w:hAnsi="Arial" w:cs="Arial"/>
          </w:rPr>
          <w:t>19417589</w:t>
        </w:r>
      </w:hyperlink>
      <w:r w:rsidRPr="00D61F73">
        <w:rPr>
          <w:rFonts w:ascii="Arial" w:hAnsi="Arial" w:cs="Arial"/>
        </w:rPr>
        <w:t xml:space="preserve"> </w:t>
      </w:r>
    </w:p>
    <w:p w14:paraId="0C62F1A3" w14:textId="77777777" w:rsidR="008D0565" w:rsidRPr="00D61F73" w:rsidRDefault="008D0565" w:rsidP="00D61F73">
      <w:pPr>
        <w:pStyle w:val="NormalWeb"/>
        <w:spacing w:before="0" w:beforeAutospacing="0" w:after="0" w:afterAutospacing="0"/>
        <w:rPr>
          <w:rFonts w:ascii="Arial" w:hAnsi="Arial" w:cs="Arial"/>
        </w:rPr>
      </w:pPr>
    </w:p>
    <w:p w14:paraId="4ADCA599"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2c</w:t>
      </w:r>
    </w:p>
    <w:p w14:paraId="0DC9BEF1" w14:textId="77777777" w:rsidR="008D0565" w:rsidRPr="00D61F73" w:rsidRDefault="008D0565" w:rsidP="00D61F73">
      <w:pPr>
        <w:pStyle w:val="NormalWeb"/>
        <w:spacing w:before="0" w:beforeAutospacing="0" w:after="0" w:afterAutospacing="0"/>
        <w:rPr>
          <w:rFonts w:ascii="Arial" w:hAnsi="Arial" w:cs="Arial"/>
        </w:rPr>
      </w:pPr>
    </w:p>
    <w:p w14:paraId="0FAEEDA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Conflict of interest. There were only 18 patients total.  No description was given for the actual sleep disorder.  This can't be applied overall to any patients because no diagnoses are given.</w:t>
      </w:r>
    </w:p>
    <w:p w14:paraId="44E01229" w14:textId="77777777" w:rsidR="008D0565" w:rsidRPr="00D61F73" w:rsidRDefault="008D0565" w:rsidP="00D61F73">
      <w:pPr>
        <w:pStyle w:val="NormalWeb"/>
        <w:spacing w:before="0" w:beforeAutospacing="0" w:after="0" w:afterAutospacing="0"/>
        <w:rPr>
          <w:rFonts w:ascii="Arial" w:hAnsi="Arial" w:cs="Arial"/>
        </w:rPr>
      </w:pPr>
    </w:p>
    <w:p w14:paraId="63257759" w14:textId="77777777" w:rsidR="008D0565" w:rsidRPr="00D61F73" w:rsidRDefault="008D0565" w:rsidP="00D61F73">
      <w:pPr>
        <w:pStyle w:val="NormalWeb"/>
        <w:spacing w:before="0" w:beforeAutospacing="0" w:after="0" w:afterAutospacing="0"/>
        <w:rPr>
          <w:rFonts w:ascii="Arial" w:eastAsia="Calibri" w:hAnsi="Arial" w:cs="Arial"/>
          <w:b/>
        </w:rPr>
      </w:pPr>
      <w:r w:rsidRPr="00D61F73">
        <w:rPr>
          <w:rFonts w:ascii="Arial" w:hAnsi="Arial" w:cs="Arial"/>
        </w:rPr>
        <w:br w:type="page"/>
      </w:r>
      <w:r w:rsidRPr="00D61F73">
        <w:rPr>
          <w:rFonts w:ascii="Arial" w:hAnsi="Arial" w:cs="Arial"/>
          <w:b/>
        </w:rPr>
        <w:lastRenderedPageBreak/>
        <w:t>S</w:t>
      </w:r>
      <w:bookmarkStart w:id="1129" w:name="Sherman1994"/>
      <w:bookmarkEnd w:id="1129"/>
      <w:r w:rsidRPr="00D61F73">
        <w:rPr>
          <w:rFonts w:ascii="Arial" w:hAnsi="Arial" w:cs="Arial"/>
          <w:b/>
        </w:rPr>
        <w:t xml:space="preserve">herman RA, Karstetter KW, Damiano M, Evans CB. Stability of temperature asymmetries in reflex sympathetic dystrophy over time and changes in pain. </w:t>
      </w:r>
      <w:r w:rsidRPr="00D61F73">
        <w:rPr>
          <w:rFonts w:ascii="Arial" w:hAnsi="Arial" w:cs="Arial"/>
          <w:b/>
          <w:i/>
        </w:rPr>
        <w:t>Clin J Pain</w:t>
      </w:r>
      <w:r w:rsidRPr="00D61F73">
        <w:rPr>
          <w:rFonts w:ascii="Arial" w:hAnsi="Arial" w:cs="Arial"/>
          <w:b/>
        </w:rPr>
        <w:t>. 1994;10:71-7.</w:t>
      </w:r>
    </w:p>
    <w:p w14:paraId="2F6083F9" w14:textId="77777777" w:rsidR="008D0565" w:rsidRPr="00D61F73" w:rsidRDefault="008D0565" w:rsidP="00D61F73">
      <w:pPr>
        <w:rPr>
          <w:rFonts w:ascii="Arial" w:eastAsia="Calibri" w:hAnsi="Arial" w:cs="Arial"/>
        </w:rPr>
      </w:pPr>
    </w:p>
    <w:p w14:paraId="24B3BDDA"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75" w:history="1">
        <w:r w:rsidRPr="00D61F73">
          <w:rPr>
            <w:rStyle w:val="Hyperlink"/>
            <w:rFonts w:ascii="Arial" w:hAnsi="Arial" w:cs="Arial"/>
          </w:rPr>
          <w:t>8193447</w:t>
        </w:r>
      </w:hyperlink>
    </w:p>
    <w:p w14:paraId="1E87183C" w14:textId="77777777" w:rsidR="008D0565" w:rsidRPr="00D61F73" w:rsidRDefault="008D0565" w:rsidP="00D61F73">
      <w:pPr>
        <w:rPr>
          <w:rFonts w:ascii="Arial" w:eastAsia="Calibri" w:hAnsi="Arial" w:cs="Arial"/>
        </w:rPr>
      </w:pPr>
    </w:p>
    <w:p w14:paraId="3FB96693" w14:textId="77777777" w:rsidR="008D0565" w:rsidRPr="00D61F73" w:rsidRDefault="008D0565" w:rsidP="00D61F73">
      <w:pPr>
        <w:rPr>
          <w:rFonts w:ascii="Arial" w:eastAsia="Calibri" w:hAnsi="Arial" w:cs="Arial"/>
        </w:rPr>
      </w:pPr>
      <w:r w:rsidRPr="00D61F73">
        <w:rPr>
          <w:rFonts w:ascii="Arial" w:hAnsi="Arial" w:cs="Arial"/>
        </w:rPr>
        <w:t>Rating: 4c</w:t>
      </w:r>
    </w:p>
    <w:p w14:paraId="46A0F8C2"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0" w:name="Shi2008"/>
      <w:bookmarkEnd w:id="1130"/>
      <w:r w:rsidRPr="00D61F73">
        <w:rPr>
          <w:rFonts w:ascii="Arial" w:hAnsi="Arial" w:cs="Arial"/>
          <w:b/>
          <w:bCs/>
        </w:rPr>
        <w:t xml:space="preserve">hi S, Klotz U. Proton pump inhibitors: an update of their clinical use and pharmacokinetics. </w:t>
      </w:r>
      <w:r w:rsidRPr="00D61F73">
        <w:rPr>
          <w:rFonts w:ascii="Arial" w:hAnsi="Arial" w:cs="Arial"/>
          <w:b/>
          <w:bCs/>
          <w:i/>
          <w:iCs/>
        </w:rPr>
        <w:t>Eur J Clin Pharmacol.</w:t>
      </w:r>
      <w:r w:rsidRPr="00D61F73">
        <w:rPr>
          <w:rFonts w:ascii="Arial" w:hAnsi="Arial" w:cs="Arial"/>
          <w:b/>
          <w:bCs/>
        </w:rPr>
        <w:t xml:space="preserve"> 2008 Oct;64(10):935-51.</w:t>
      </w:r>
    </w:p>
    <w:p w14:paraId="2873FEC6" w14:textId="77777777" w:rsidR="008D0565" w:rsidRPr="00D61F73" w:rsidRDefault="008D0565" w:rsidP="00D61F73">
      <w:pPr>
        <w:pStyle w:val="NormalWeb"/>
        <w:spacing w:before="0" w:beforeAutospacing="0" w:after="0" w:afterAutospacing="0"/>
        <w:rPr>
          <w:rFonts w:ascii="Arial" w:hAnsi="Arial" w:cs="Arial"/>
        </w:rPr>
      </w:pPr>
    </w:p>
    <w:p w14:paraId="0501B2A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76" w:history="1">
        <w:r w:rsidRPr="00D61F73">
          <w:rPr>
            <w:rStyle w:val="Hyperlink"/>
            <w:rFonts w:ascii="Arial" w:hAnsi="Arial" w:cs="Arial"/>
          </w:rPr>
          <w:t>18679668</w:t>
        </w:r>
      </w:hyperlink>
      <w:r w:rsidRPr="00D61F73">
        <w:rPr>
          <w:rFonts w:ascii="Arial" w:hAnsi="Arial" w:cs="Arial"/>
        </w:rPr>
        <w:t xml:space="preserve"> </w:t>
      </w:r>
    </w:p>
    <w:p w14:paraId="2D302190" w14:textId="77777777" w:rsidR="008D0565" w:rsidRPr="00D61F73" w:rsidRDefault="008D0565" w:rsidP="00D61F73">
      <w:pPr>
        <w:pStyle w:val="NormalWeb"/>
        <w:spacing w:before="0" w:beforeAutospacing="0" w:after="0" w:afterAutospacing="0"/>
        <w:rPr>
          <w:rFonts w:ascii="Arial" w:hAnsi="Arial" w:cs="Arial"/>
        </w:rPr>
      </w:pPr>
    </w:p>
    <w:p w14:paraId="2A846A2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1a</w:t>
      </w:r>
    </w:p>
    <w:p w14:paraId="34EA2A86" w14:textId="77777777" w:rsidR="008D0565" w:rsidRPr="00D61F73" w:rsidRDefault="008D0565" w:rsidP="00D61F73">
      <w:pPr>
        <w:pStyle w:val="NormalWeb"/>
        <w:spacing w:before="0" w:beforeAutospacing="0" w:after="0" w:afterAutospacing="0"/>
        <w:rPr>
          <w:rFonts w:ascii="Arial" w:hAnsi="Arial" w:cs="Arial"/>
        </w:rPr>
      </w:pPr>
    </w:p>
    <w:p w14:paraId="166E18EB"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1" w:name="Sibille2012"/>
      <w:bookmarkEnd w:id="1131"/>
      <w:r w:rsidRPr="00D61F73">
        <w:rPr>
          <w:rFonts w:ascii="Arial" w:hAnsi="Arial" w:cs="Arial"/>
          <w:b/>
          <w:bCs/>
        </w:rPr>
        <w:t xml:space="preserve">ibille KT, Langaee T, Burkley B, Gong Y, Glover TL, King C, Riley JL 3rd, Leeuwenburgh C, Staud R, Bradley LA, Fillingim RB. Chronic pain, perceived stress, and cellular aging: an exploratory study. </w:t>
      </w:r>
      <w:r w:rsidRPr="00D61F73">
        <w:rPr>
          <w:rFonts w:ascii="Arial" w:hAnsi="Arial" w:cs="Arial"/>
          <w:b/>
          <w:bCs/>
          <w:i/>
          <w:iCs/>
        </w:rPr>
        <w:t>Mol Pain.</w:t>
      </w:r>
      <w:r w:rsidRPr="00D61F73">
        <w:rPr>
          <w:rFonts w:ascii="Arial" w:hAnsi="Arial" w:cs="Arial"/>
          <w:b/>
          <w:bCs/>
        </w:rPr>
        <w:t xml:space="preserve"> 2012 Feb 12;8:12.</w:t>
      </w:r>
    </w:p>
    <w:p w14:paraId="18BEB8BB" w14:textId="77777777" w:rsidR="008D0565" w:rsidRPr="00D61F73" w:rsidRDefault="008D0565" w:rsidP="00D61F73">
      <w:pPr>
        <w:pStyle w:val="NormalWeb"/>
        <w:spacing w:before="0" w:beforeAutospacing="0" w:after="0" w:afterAutospacing="0"/>
        <w:rPr>
          <w:rFonts w:ascii="Arial" w:hAnsi="Arial" w:cs="Arial"/>
        </w:rPr>
      </w:pPr>
    </w:p>
    <w:p w14:paraId="67C18AB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chronic pain/high stress group had significantly shorter telomere length compared to the no pain/low stress group. </w:t>
      </w:r>
    </w:p>
    <w:p w14:paraId="06F46655" w14:textId="77777777" w:rsidR="008D0565" w:rsidRPr="00D61F73" w:rsidRDefault="008D0565" w:rsidP="00D61F73">
      <w:pPr>
        <w:pStyle w:val="NormalWeb"/>
        <w:spacing w:before="0" w:beforeAutospacing="0" w:after="0" w:afterAutospacing="0"/>
        <w:rPr>
          <w:rFonts w:ascii="Arial" w:hAnsi="Arial" w:cs="Arial"/>
        </w:rPr>
      </w:pPr>
    </w:p>
    <w:p w14:paraId="69066D0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77" w:history="1">
        <w:r w:rsidRPr="00D61F73">
          <w:rPr>
            <w:rStyle w:val="Hyperlink"/>
            <w:rFonts w:ascii="Arial" w:hAnsi="Arial" w:cs="Arial"/>
          </w:rPr>
          <w:t>22325162</w:t>
        </w:r>
      </w:hyperlink>
    </w:p>
    <w:p w14:paraId="3692389B" w14:textId="77777777" w:rsidR="008D0565" w:rsidRPr="00D61F73" w:rsidRDefault="008D0565" w:rsidP="00D61F73">
      <w:pPr>
        <w:pStyle w:val="NormalWeb"/>
        <w:spacing w:before="0" w:beforeAutospacing="0" w:after="0" w:afterAutospacing="0"/>
        <w:rPr>
          <w:rFonts w:ascii="Arial" w:hAnsi="Arial" w:cs="Arial"/>
        </w:rPr>
      </w:pPr>
    </w:p>
    <w:p w14:paraId="2292649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3c</w:t>
      </w:r>
    </w:p>
    <w:p w14:paraId="65296C89"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2" w:name="Siddall"/>
      <w:bookmarkEnd w:id="1132"/>
      <w:r w:rsidRPr="00D61F73">
        <w:rPr>
          <w:rFonts w:ascii="Arial" w:hAnsi="Arial" w:cs="Arial"/>
          <w:b/>
          <w:bCs/>
        </w:rPr>
        <w:t xml:space="preserve">iddall, P., et al. The efficacy of Intrathecal Morphine and Clonidine in the Treatment of Pain After Spinal Cord Injury. </w:t>
      </w:r>
      <w:r w:rsidRPr="00D61F73">
        <w:rPr>
          <w:rFonts w:ascii="Arial" w:hAnsi="Arial" w:cs="Arial"/>
          <w:b/>
          <w:bCs/>
          <w:i/>
          <w:iCs/>
        </w:rPr>
        <w:t>Anesh. Analg</w:t>
      </w:r>
      <w:r w:rsidRPr="00D61F73">
        <w:rPr>
          <w:rFonts w:ascii="Arial" w:hAnsi="Arial" w:cs="Arial"/>
          <w:b/>
          <w:bCs/>
        </w:rPr>
        <w:t>, 2000; Number 91:1493-8.</w:t>
      </w:r>
    </w:p>
    <w:p w14:paraId="0135BDC2" w14:textId="77777777" w:rsidR="008D0565" w:rsidRPr="00D61F73" w:rsidRDefault="008D0565" w:rsidP="00D61F73">
      <w:pPr>
        <w:pStyle w:val="NormalWeb"/>
        <w:spacing w:before="0" w:beforeAutospacing="0" w:after="0" w:afterAutospacing="0"/>
        <w:rPr>
          <w:rFonts w:ascii="Arial" w:hAnsi="Arial" w:cs="Arial"/>
        </w:rPr>
      </w:pPr>
    </w:p>
    <w:p w14:paraId="05BD63DE"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4DACEB74" w14:textId="77777777" w:rsidR="008D0565" w:rsidRPr="00D61F73" w:rsidRDefault="008D0565" w:rsidP="00D61F73">
      <w:pPr>
        <w:pStyle w:val="NormalWeb"/>
        <w:spacing w:before="0" w:beforeAutospacing="0" w:after="0" w:afterAutospacing="0"/>
        <w:rPr>
          <w:rFonts w:ascii="Arial" w:hAnsi="Arial" w:cs="Arial"/>
        </w:rPr>
      </w:pPr>
    </w:p>
    <w:p w14:paraId="7DD1A22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Quality: Intermediate. Total Rating: 7.5. Comment: 15 patients were divided into research groups. Found that intrathecal clonidine alone did not perform better than placebo. </w:t>
      </w:r>
    </w:p>
    <w:p w14:paraId="6E45B689"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3" w:name="Sigtermans2009"/>
      <w:bookmarkEnd w:id="1133"/>
      <w:r w:rsidRPr="00D61F73">
        <w:rPr>
          <w:rFonts w:ascii="Arial" w:hAnsi="Arial" w:cs="Arial"/>
          <w:b/>
          <w:bCs/>
        </w:rPr>
        <w:t xml:space="preserve">igtermans MJ, van Hilten JJ, Bauer MC, Arbous MS, Marinus J, Sarton EY, Dahan A. Ketamine produces effective and long-term pain relief in patients with Complex Regional Pain Syndrome Type 1. </w:t>
      </w:r>
      <w:r w:rsidRPr="00D61F73">
        <w:rPr>
          <w:rFonts w:ascii="Arial" w:hAnsi="Arial" w:cs="Arial"/>
          <w:b/>
          <w:bCs/>
          <w:i/>
          <w:iCs/>
        </w:rPr>
        <w:t>Pain.</w:t>
      </w:r>
      <w:r w:rsidRPr="00D61F73">
        <w:rPr>
          <w:rFonts w:ascii="Arial" w:hAnsi="Arial" w:cs="Arial"/>
          <w:b/>
          <w:bCs/>
        </w:rPr>
        <w:t xml:space="preserve"> 2009 Oct;145(3):304-11.</w:t>
      </w:r>
    </w:p>
    <w:p w14:paraId="03788B00" w14:textId="77777777" w:rsidR="008D0565" w:rsidRPr="00D61F73" w:rsidRDefault="008D0565" w:rsidP="00D61F73">
      <w:pPr>
        <w:pStyle w:val="NormalWeb"/>
        <w:spacing w:before="0" w:beforeAutospacing="0" w:after="0" w:afterAutospacing="0"/>
        <w:rPr>
          <w:rFonts w:ascii="Arial" w:hAnsi="Arial" w:cs="Arial"/>
        </w:rPr>
      </w:pPr>
    </w:p>
    <w:p w14:paraId="427941C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In conclusion, in a population of mostly chronic CRPS-1 patients with severe pain at baseline, a multiple day ketamine infusion resulted in significant pain relief without functional improvement. </w:t>
      </w:r>
    </w:p>
    <w:p w14:paraId="40DCA99C" w14:textId="77777777" w:rsidR="008D0565" w:rsidRPr="00D61F73" w:rsidRDefault="008D0565" w:rsidP="00D61F73">
      <w:pPr>
        <w:pStyle w:val="NormalWeb"/>
        <w:spacing w:before="0" w:beforeAutospacing="0" w:after="0" w:afterAutospacing="0"/>
        <w:rPr>
          <w:rFonts w:ascii="Arial" w:hAnsi="Arial" w:cs="Arial"/>
        </w:rPr>
      </w:pPr>
    </w:p>
    <w:p w14:paraId="6C63A25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78" w:history="1">
        <w:r w:rsidRPr="00D61F73">
          <w:rPr>
            <w:rStyle w:val="Hyperlink"/>
            <w:rFonts w:ascii="Arial" w:hAnsi="Arial" w:cs="Arial"/>
          </w:rPr>
          <w:t>19604642</w:t>
        </w:r>
      </w:hyperlink>
      <w:r w:rsidRPr="00D61F73">
        <w:rPr>
          <w:rFonts w:ascii="Arial" w:hAnsi="Arial" w:cs="Arial"/>
        </w:rPr>
        <w:t xml:space="preserve"> </w:t>
      </w:r>
    </w:p>
    <w:p w14:paraId="45587159" w14:textId="77777777" w:rsidR="008D0565" w:rsidRPr="00D61F73" w:rsidRDefault="008D0565" w:rsidP="00D61F73">
      <w:pPr>
        <w:pStyle w:val="NormalWeb"/>
        <w:spacing w:before="0" w:beforeAutospacing="0" w:after="0" w:afterAutospacing="0"/>
        <w:rPr>
          <w:rFonts w:ascii="Arial" w:hAnsi="Arial" w:cs="Arial"/>
        </w:rPr>
      </w:pPr>
    </w:p>
    <w:p w14:paraId="6D01399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2b</w:t>
      </w:r>
    </w:p>
    <w:p w14:paraId="630A98DD"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S</w:t>
      </w:r>
      <w:bookmarkStart w:id="1134" w:name="Sindrup"/>
      <w:bookmarkEnd w:id="1134"/>
      <w:r w:rsidRPr="00D61F73">
        <w:rPr>
          <w:rFonts w:ascii="Arial" w:hAnsi="Arial" w:cs="Arial"/>
          <w:b/>
        </w:rPr>
        <w:t xml:space="preserve">indrup SH, Otto M, Finnerup NB, Jensen TS. Antidepressants in the treatment of neuropathic pain. </w:t>
      </w:r>
      <w:r w:rsidRPr="00D61F73">
        <w:rPr>
          <w:rFonts w:ascii="Arial" w:hAnsi="Arial" w:cs="Arial"/>
          <w:b/>
          <w:i/>
        </w:rPr>
        <w:t>Basic Clin Pharmacol Toxicol</w:t>
      </w:r>
      <w:r w:rsidRPr="00D61F73">
        <w:rPr>
          <w:rFonts w:ascii="Arial" w:hAnsi="Arial" w:cs="Arial"/>
          <w:b/>
        </w:rPr>
        <w:t>. 2005 Jun;96(6):399-409.</w:t>
      </w:r>
    </w:p>
    <w:p w14:paraId="289735D2" w14:textId="77777777" w:rsidR="008D0565" w:rsidRPr="00D61F73" w:rsidRDefault="008D0565" w:rsidP="00D61F73">
      <w:pPr>
        <w:rPr>
          <w:rFonts w:ascii="Arial" w:hAnsi="Arial" w:cs="Arial"/>
        </w:rPr>
      </w:pPr>
    </w:p>
    <w:p w14:paraId="4BF88378" w14:textId="77777777" w:rsidR="008D0565" w:rsidRPr="00D61F73" w:rsidRDefault="008D0565" w:rsidP="00D61F73">
      <w:pPr>
        <w:rPr>
          <w:rFonts w:ascii="Arial" w:hAnsi="Arial" w:cs="Arial"/>
        </w:rPr>
      </w:pPr>
      <w:r w:rsidRPr="00D61F73">
        <w:rPr>
          <w:rFonts w:ascii="Arial" w:hAnsi="Arial" w:cs="Arial"/>
        </w:rPr>
        <w:t xml:space="preserve">In conclusion, antidepressants represent useful tools in neuropathic pain treatment and must still be considered as first line treatments of neuropathic pain. </w:t>
      </w:r>
    </w:p>
    <w:p w14:paraId="17D865B1" w14:textId="77777777" w:rsidR="008D0565" w:rsidRPr="00D61F73" w:rsidRDefault="008D0565" w:rsidP="00D61F73">
      <w:pPr>
        <w:rPr>
          <w:rFonts w:ascii="Arial" w:hAnsi="Arial" w:cs="Arial"/>
        </w:rPr>
      </w:pPr>
    </w:p>
    <w:p w14:paraId="63C1FBA2" w14:textId="77777777" w:rsidR="008D0565" w:rsidRPr="00D61F73" w:rsidRDefault="008D0565" w:rsidP="00D61F73">
      <w:pPr>
        <w:rPr>
          <w:rFonts w:ascii="Arial" w:hAnsi="Arial" w:cs="Arial"/>
        </w:rPr>
      </w:pPr>
      <w:r w:rsidRPr="00D61F73">
        <w:rPr>
          <w:rFonts w:ascii="Arial" w:hAnsi="Arial" w:cs="Arial"/>
        </w:rPr>
        <w:t xml:space="preserve">PMID: </w:t>
      </w:r>
      <w:hyperlink r:id="rId779" w:history="1">
        <w:r w:rsidRPr="00D61F73">
          <w:rPr>
            <w:rStyle w:val="Hyperlink"/>
            <w:rFonts w:ascii="Arial" w:hAnsi="Arial" w:cs="Arial"/>
          </w:rPr>
          <w:t>15910402</w:t>
        </w:r>
      </w:hyperlink>
      <w:r w:rsidRPr="00D61F73">
        <w:rPr>
          <w:rFonts w:ascii="Arial" w:hAnsi="Arial" w:cs="Arial"/>
        </w:rPr>
        <w:t xml:space="preserve"> </w:t>
      </w:r>
    </w:p>
    <w:p w14:paraId="23DF68DE" w14:textId="77777777" w:rsidR="008D0565" w:rsidRPr="00D61F73" w:rsidRDefault="008D0565" w:rsidP="00D61F73">
      <w:pPr>
        <w:rPr>
          <w:rFonts w:ascii="Arial" w:hAnsi="Arial" w:cs="Arial"/>
        </w:rPr>
      </w:pPr>
    </w:p>
    <w:p w14:paraId="4CC6DF85" w14:textId="77777777" w:rsidR="008D0565" w:rsidRPr="00D61F73" w:rsidRDefault="008D0565" w:rsidP="00D61F73">
      <w:pPr>
        <w:rPr>
          <w:rFonts w:ascii="Arial" w:hAnsi="Arial" w:cs="Arial"/>
        </w:rPr>
      </w:pPr>
      <w:r w:rsidRPr="00D61F73">
        <w:rPr>
          <w:rFonts w:ascii="Arial" w:hAnsi="Arial" w:cs="Arial"/>
        </w:rPr>
        <w:t>Rating: 5a</w:t>
      </w:r>
    </w:p>
    <w:p w14:paraId="0479C71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5" w:name="Sindrup2"/>
      <w:bookmarkEnd w:id="1135"/>
      <w:r w:rsidRPr="00D61F73">
        <w:rPr>
          <w:rFonts w:ascii="Arial" w:hAnsi="Arial" w:cs="Arial"/>
          <w:b/>
          <w:bCs/>
        </w:rPr>
        <w:t xml:space="preserve">indrup SH, Jensen TS. Efficacy of pharmacological treatments of neuropathic pain: an update and effect related to mechanism of drug action. </w:t>
      </w:r>
      <w:r w:rsidRPr="00D61F73">
        <w:rPr>
          <w:rFonts w:ascii="Arial" w:hAnsi="Arial" w:cs="Arial"/>
          <w:b/>
          <w:bCs/>
          <w:i/>
          <w:iCs/>
        </w:rPr>
        <w:t>Pain</w:t>
      </w:r>
      <w:r w:rsidRPr="00D61F73">
        <w:rPr>
          <w:rFonts w:ascii="Arial" w:hAnsi="Arial" w:cs="Arial"/>
          <w:b/>
          <w:bCs/>
        </w:rPr>
        <w:t>. 1999 Dec;83(3):389-400.</w:t>
      </w:r>
    </w:p>
    <w:p w14:paraId="4ED85630" w14:textId="77777777" w:rsidR="008D0565" w:rsidRPr="00D61F73" w:rsidRDefault="008D0565" w:rsidP="00D61F73">
      <w:pPr>
        <w:rPr>
          <w:rFonts w:ascii="Arial" w:hAnsi="Arial" w:cs="Arial"/>
        </w:rPr>
      </w:pPr>
    </w:p>
    <w:p w14:paraId="5C6F412F" w14:textId="77777777" w:rsidR="008D0565" w:rsidRPr="00D61F73" w:rsidRDefault="008D0565" w:rsidP="00D61F73">
      <w:pPr>
        <w:rPr>
          <w:rFonts w:ascii="Arial" w:hAnsi="Arial" w:cs="Arial"/>
        </w:rPr>
      </w:pPr>
      <w:r w:rsidRPr="00D61F73">
        <w:rPr>
          <w:rFonts w:ascii="Arial" w:hAnsi="Arial" w:cs="Arial"/>
        </w:rPr>
        <w:t xml:space="preserve">In central pain, NNT was 2.5 for tricyclics and 3. 4 for carbamazepine, whereas selective serotonin reuptake inhibitors, mexiletine and dextromethorphan were inactive. </w:t>
      </w:r>
    </w:p>
    <w:p w14:paraId="3324886F" w14:textId="77777777" w:rsidR="008D0565" w:rsidRPr="00D61F73" w:rsidRDefault="008D0565" w:rsidP="00D61F73">
      <w:pPr>
        <w:rPr>
          <w:rFonts w:ascii="Arial" w:hAnsi="Arial" w:cs="Arial"/>
        </w:rPr>
      </w:pPr>
    </w:p>
    <w:p w14:paraId="1B92D46E" w14:textId="77777777" w:rsidR="008D0565" w:rsidRPr="00D61F73" w:rsidRDefault="008D0565" w:rsidP="00D61F73">
      <w:pPr>
        <w:rPr>
          <w:rFonts w:ascii="Arial" w:hAnsi="Arial" w:cs="Arial"/>
        </w:rPr>
      </w:pPr>
      <w:r w:rsidRPr="00D61F73">
        <w:rPr>
          <w:rFonts w:ascii="Arial" w:hAnsi="Arial" w:cs="Arial"/>
        </w:rPr>
        <w:t xml:space="preserve">PMID: </w:t>
      </w:r>
      <w:hyperlink r:id="rId780" w:history="1">
        <w:r w:rsidRPr="00D61F73">
          <w:rPr>
            <w:rStyle w:val="Hyperlink"/>
            <w:rFonts w:ascii="Arial" w:hAnsi="Arial" w:cs="Arial"/>
          </w:rPr>
          <w:t>10568846</w:t>
        </w:r>
      </w:hyperlink>
      <w:r w:rsidRPr="00D61F73">
        <w:rPr>
          <w:rFonts w:ascii="Arial" w:hAnsi="Arial" w:cs="Arial"/>
        </w:rPr>
        <w:t xml:space="preserve"> </w:t>
      </w:r>
    </w:p>
    <w:p w14:paraId="6AEC4C16" w14:textId="77777777" w:rsidR="008D0565" w:rsidRPr="00D61F73" w:rsidRDefault="008D0565" w:rsidP="00D61F73">
      <w:pPr>
        <w:rPr>
          <w:rFonts w:ascii="Arial" w:hAnsi="Arial" w:cs="Arial"/>
        </w:rPr>
      </w:pPr>
    </w:p>
    <w:p w14:paraId="062FD6D1" w14:textId="77777777" w:rsidR="008D0565" w:rsidRPr="00D61F73" w:rsidRDefault="008D0565" w:rsidP="00D61F73">
      <w:pPr>
        <w:rPr>
          <w:rFonts w:ascii="Arial" w:hAnsi="Arial" w:cs="Arial"/>
        </w:rPr>
      </w:pPr>
      <w:r w:rsidRPr="00D61F73">
        <w:rPr>
          <w:rFonts w:ascii="Arial" w:hAnsi="Arial" w:cs="Arial"/>
        </w:rPr>
        <w:t>Rating: 1b</w:t>
      </w:r>
    </w:p>
    <w:p w14:paraId="7450B5E9"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S</w:t>
      </w:r>
      <w:bookmarkStart w:id="1136" w:name="Singh2006"/>
      <w:bookmarkEnd w:id="1136"/>
      <w:r w:rsidRPr="00D61F73">
        <w:rPr>
          <w:rFonts w:ascii="Arial" w:hAnsi="Arial" w:cs="Arial"/>
          <w:b/>
        </w:rPr>
        <w:t xml:space="preserve">ingh HP, Davis TR. The effect of short-term dependency and immobility on skin temperature and colour in the hand. </w:t>
      </w:r>
      <w:r w:rsidRPr="00D61F73">
        <w:rPr>
          <w:rFonts w:ascii="Arial" w:hAnsi="Arial" w:cs="Arial"/>
          <w:b/>
          <w:i/>
        </w:rPr>
        <w:t>J Hand Surg Br</w:t>
      </w:r>
      <w:r w:rsidRPr="00D61F73">
        <w:rPr>
          <w:rFonts w:ascii="Arial" w:hAnsi="Arial" w:cs="Arial"/>
          <w:b/>
        </w:rPr>
        <w:t>. 2006;31:611-5.</w:t>
      </w:r>
    </w:p>
    <w:p w14:paraId="575FAF5E" w14:textId="77777777" w:rsidR="008D0565" w:rsidRPr="00D61F73" w:rsidRDefault="008D0565" w:rsidP="00D61F73">
      <w:pPr>
        <w:rPr>
          <w:rFonts w:ascii="Arial" w:eastAsia="Calibri" w:hAnsi="Arial" w:cs="Arial"/>
        </w:rPr>
      </w:pPr>
    </w:p>
    <w:p w14:paraId="0CD78F94"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81" w:history="1">
        <w:r w:rsidRPr="00D61F73">
          <w:rPr>
            <w:rStyle w:val="Hyperlink"/>
            <w:rFonts w:ascii="Arial" w:hAnsi="Arial" w:cs="Arial"/>
          </w:rPr>
          <w:t>17034912</w:t>
        </w:r>
      </w:hyperlink>
    </w:p>
    <w:p w14:paraId="44ABDFDB" w14:textId="77777777" w:rsidR="008D0565" w:rsidRPr="00D61F73" w:rsidRDefault="008D0565" w:rsidP="00D61F73">
      <w:pPr>
        <w:rPr>
          <w:rFonts w:ascii="Arial" w:eastAsia="Calibri" w:hAnsi="Arial" w:cs="Arial"/>
        </w:rPr>
      </w:pPr>
    </w:p>
    <w:p w14:paraId="10B7AC27" w14:textId="77777777" w:rsidR="008D0565" w:rsidRPr="00D61F73" w:rsidRDefault="008D0565" w:rsidP="00D61F73">
      <w:pPr>
        <w:rPr>
          <w:rFonts w:ascii="Arial" w:eastAsia="Calibri" w:hAnsi="Arial" w:cs="Arial"/>
        </w:rPr>
      </w:pPr>
      <w:r w:rsidRPr="00D61F73">
        <w:rPr>
          <w:rFonts w:ascii="Arial" w:hAnsi="Arial" w:cs="Arial"/>
        </w:rPr>
        <w:t>Rating: 4c</w:t>
      </w:r>
    </w:p>
    <w:p w14:paraId="7154149B" w14:textId="77777777" w:rsidR="008D0565" w:rsidRPr="00D61F73" w:rsidRDefault="008D0565" w:rsidP="00D61F73">
      <w:pPr>
        <w:rPr>
          <w:rFonts w:ascii="Arial" w:hAnsi="Arial" w:cs="Arial"/>
          <w:color w:val="auto"/>
        </w:rPr>
      </w:pPr>
      <w:r w:rsidRPr="00D61F73">
        <w:rPr>
          <w:rFonts w:ascii="Arial" w:hAnsi="Arial" w:cs="Arial"/>
        </w:rPr>
        <w:br w:type="page"/>
      </w:r>
      <w:r w:rsidRPr="00D61F73">
        <w:rPr>
          <w:rFonts w:ascii="Arial" w:hAnsi="Arial" w:cs="Arial"/>
          <w:b/>
        </w:rPr>
        <w:lastRenderedPageBreak/>
        <w:t>S</w:t>
      </w:r>
      <w:bookmarkStart w:id="1137" w:name="Singh2004"/>
      <w:bookmarkEnd w:id="1137"/>
      <w:r w:rsidRPr="00D61F73">
        <w:rPr>
          <w:rFonts w:ascii="Arial" w:hAnsi="Arial" w:cs="Arial"/>
          <w:b/>
        </w:rPr>
        <w:t>ingh G, Willen SN, Boswell MV, Janata JW, Chelimsky TC. The value of interdisciplinary pain management in complex regional pain syndrome type I: a prospective outcome study</w:t>
      </w:r>
      <w:r w:rsidRPr="00D61F73">
        <w:rPr>
          <w:rFonts w:ascii="Arial" w:hAnsi="Arial" w:cs="Arial"/>
          <w:b/>
          <w:i/>
        </w:rPr>
        <w:t>. Pain Physician</w:t>
      </w:r>
      <w:r w:rsidRPr="00D61F73">
        <w:rPr>
          <w:rFonts w:ascii="Arial" w:hAnsi="Arial" w:cs="Arial"/>
          <w:b/>
        </w:rPr>
        <w:t>. 2004;7:203-9.</w:t>
      </w:r>
    </w:p>
    <w:p w14:paraId="41A7603D" w14:textId="77777777" w:rsidR="008D0565" w:rsidRPr="00D61F73" w:rsidRDefault="008D0565" w:rsidP="00D61F73">
      <w:pPr>
        <w:rPr>
          <w:rFonts w:ascii="Arial" w:hAnsi="Arial" w:cs="Arial"/>
        </w:rPr>
      </w:pPr>
    </w:p>
    <w:p w14:paraId="4D23ED95" w14:textId="77777777" w:rsidR="008D0565" w:rsidRPr="00D61F73" w:rsidRDefault="008D0565" w:rsidP="00D61F73">
      <w:pPr>
        <w:rPr>
          <w:rFonts w:ascii="Arial" w:hAnsi="Arial" w:cs="Arial"/>
        </w:rPr>
      </w:pPr>
      <w:r w:rsidRPr="00D61F73">
        <w:rPr>
          <w:rFonts w:ascii="Arial" w:hAnsi="Arial" w:cs="Arial"/>
        </w:rPr>
        <w:t xml:space="preserve">PMID: </w:t>
      </w:r>
      <w:hyperlink r:id="rId782" w:history="1">
        <w:r w:rsidRPr="00D61F73">
          <w:rPr>
            <w:rStyle w:val="Hyperlink"/>
            <w:rFonts w:ascii="Arial" w:hAnsi="Arial" w:cs="Arial"/>
          </w:rPr>
          <w:t>16868593</w:t>
        </w:r>
      </w:hyperlink>
    </w:p>
    <w:p w14:paraId="765E5CC5" w14:textId="77777777" w:rsidR="008D0565" w:rsidRPr="00D61F73" w:rsidRDefault="008D0565" w:rsidP="00D61F73">
      <w:pPr>
        <w:rPr>
          <w:rFonts w:ascii="Arial" w:hAnsi="Arial" w:cs="Arial"/>
        </w:rPr>
      </w:pPr>
    </w:p>
    <w:p w14:paraId="1D19E422" w14:textId="77777777" w:rsidR="008D0565" w:rsidRPr="00D61F73" w:rsidRDefault="008D0565" w:rsidP="00D61F73">
      <w:pPr>
        <w:rPr>
          <w:rFonts w:ascii="Arial" w:hAnsi="Arial" w:cs="Arial"/>
        </w:rPr>
      </w:pPr>
      <w:r w:rsidRPr="00D61F73">
        <w:rPr>
          <w:rFonts w:ascii="Arial" w:hAnsi="Arial" w:cs="Arial"/>
        </w:rPr>
        <w:t>Rating: 4c</w:t>
      </w:r>
    </w:p>
    <w:p w14:paraId="0551BBD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 xml:space="preserve">Skouen JS, Grasdal AL, Haldorsen EM, Ursin H. Relative cost-effectiveness of extensive and light multidisciplinary treatment programs versus treatment as usual for patients with chronic low back pain on long-term sick leave: randomized controlled study. </w:t>
      </w:r>
      <w:r w:rsidRPr="00D61F73">
        <w:rPr>
          <w:rFonts w:ascii="Arial" w:hAnsi="Arial" w:cs="Arial"/>
          <w:b/>
          <w:i/>
        </w:rPr>
        <w:t>Spine.</w:t>
      </w:r>
      <w:r w:rsidRPr="00D61F73">
        <w:rPr>
          <w:rFonts w:ascii="Arial" w:hAnsi="Arial" w:cs="Arial"/>
          <w:b/>
        </w:rPr>
        <w:t xml:space="preserve"> 2002 May 1;27(9):901-9; discussion 909-10.</w:t>
      </w:r>
    </w:p>
    <w:p w14:paraId="2BA06952" w14:textId="77777777" w:rsidR="008D0565" w:rsidRPr="00D61F73" w:rsidRDefault="008D0565" w:rsidP="00D61F73">
      <w:pPr>
        <w:rPr>
          <w:rFonts w:ascii="Arial" w:hAnsi="Arial" w:cs="Arial"/>
        </w:rPr>
      </w:pPr>
    </w:p>
    <w:p w14:paraId="43F5416F" w14:textId="77777777" w:rsidR="008D0565" w:rsidRPr="00D61F73" w:rsidRDefault="008D0565" w:rsidP="00D61F73">
      <w:pPr>
        <w:rPr>
          <w:rFonts w:ascii="Arial" w:hAnsi="Arial" w:cs="Arial"/>
        </w:rPr>
      </w:pPr>
      <w:r w:rsidRPr="00D61F73">
        <w:rPr>
          <w:rFonts w:ascii="Arial" w:hAnsi="Arial" w:cs="Arial"/>
        </w:rPr>
        <w:t xml:space="preserve">RESULTS: In men significantly better results for full return to work were found for the light multidisciplinary treatment compared with treatment as usual, but no differences were found between extensive multidisciplinary treatment and treatment as usual. No significant differences between any of the two multidisciplinary treatment programs and the controls were found for women. </w:t>
      </w:r>
    </w:p>
    <w:p w14:paraId="32DC2694" w14:textId="77777777" w:rsidR="008D0565" w:rsidRPr="00D61F73" w:rsidRDefault="008D0565" w:rsidP="00D61F73">
      <w:pPr>
        <w:rPr>
          <w:rFonts w:ascii="Arial" w:hAnsi="Arial" w:cs="Arial"/>
        </w:rPr>
      </w:pPr>
    </w:p>
    <w:p w14:paraId="42C0BAC8" w14:textId="77777777" w:rsidR="008D0565" w:rsidRPr="00D61F73" w:rsidRDefault="008D0565" w:rsidP="00D61F73">
      <w:pPr>
        <w:rPr>
          <w:rFonts w:ascii="Arial" w:hAnsi="Arial" w:cs="Arial"/>
        </w:rPr>
      </w:pPr>
      <w:r w:rsidRPr="00D61F73">
        <w:rPr>
          <w:rFonts w:ascii="Arial" w:hAnsi="Arial" w:cs="Arial"/>
        </w:rPr>
        <w:t xml:space="preserve">PMID: </w:t>
      </w:r>
      <w:hyperlink r:id="rId783" w:history="1">
        <w:r w:rsidRPr="00D61F73">
          <w:rPr>
            <w:rStyle w:val="Hyperlink"/>
            <w:rFonts w:ascii="Arial" w:hAnsi="Arial" w:cs="Arial"/>
          </w:rPr>
          <w:t>11979157</w:t>
        </w:r>
      </w:hyperlink>
      <w:r w:rsidRPr="00D61F73">
        <w:rPr>
          <w:rFonts w:ascii="Arial" w:hAnsi="Arial" w:cs="Arial"/>
        </w:rPr>
        <w:t xml:space="preserve">  </w:t>
      </w:r>
    </w:p>
    <w:p w14:paraId="76CA5B47" w14:textId="77777777" w:rsidR="008D0565" w:rsidRPr="00D61F73" w:rsidRDefault="008D0565" w:rsidP="00D61F73">
      <w:pPr>
        <w:rPr>
          <w:rFonts w:ascii="Arial" w:hAnsi="Arial" w:cs="Arial"/>
        </w:rPr>
      </w:pPr>
    </w:p>
    <w:p w14:paraId="4C1C9DB7" w14:textId="77777777" w:rsidR="008D0565" w:rsidRPr="00D61F73" w:rsidRDefault="008D0565" w:rsidP="00D61F73">
      <w:pPr>
        <w:rPr>
          <w:rFonts w:ascii="Arial" w:hAnsi="Arial" w:cs="Arial"/>
        </w:rPr>
      </w:pPr>
      <w:r w:rsidRPr="00D61F73">
        <w:rPr>
          <w:rFonts w:ascii="Arial" w:hAnsi="Arial" w:cs="Arial"/>
        </w:rPr>
        <w:t>Rating: 2b</w:t>
      </w:r>
    </w:p>
    <w:p w14:paraId="00DB571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8" w:name="Skrabek"/>
      <w:bookmarkEnd w:id="1138"/>
      <w:r w:rsidRPr="00D61F73">
        <w:rPr>
          <w:rFonts w:ascii="Arial" w:hAnsi="Arial" w:cs="Arial"/>
          <w:b/>
          <w:bCs/>
        </w:rPr>
        <w:t xml:space="preserve">krabek RQ, Galimova L, Ethans K, Perry D. Nabilone for the treatment of pain in fibromyalgia. </w:t>
      </w:r>
      <w:r w:rsidRPr="00D61F73">
        <w:rPr>
          <w:rFonts w:ascii="Arial" w:hAnsi="Arial" w:cs="Arial"/>
          <w:b/>
          <w:bCs/>
          <w:i/>
          <w:iCs/>
        </w:rPr>
        <w:t>J Pain</w:t>
      </w:r>
      <w:r w:rsidRPr="00D61F73">
        <w:rPr>
          <w:rFonts w:ascii="Arial" w:hAnsi="Arial" w:cs="Arial"/>
          <w:b/>
          <w:bCs/>
        </w:rPr>
        <w:t>. 2008 Feb;9(2):164-73.</w:t>
      </w:r>
    </w:p>
    <w:p w14:paraId="79A9C102" w14:textId="77777777" w:rsidR="008D0565" w:rsidRPr="00D61F73" w:rsidRDefault="008D0565" w:rsidP="00D61F73">
      <w:pPr>
        <w:rPr>
          <w:rFonts w:ascii="Arial" w:hAnsi="Arial" w:cs="Arial"/>
        </w:rPr>
      </w:pPr>
    </w:p>
    <w:p w14:paraId="005E62E4" w14:textId="77777777" w:rsidR="008D0565" w:rsidRPr="00D61F73" w:rsidRDefault="008D0565" w:rsidP="00D61F73">
      <w:pPr>
        <w:rPr>
          <w:rFonts w:ascii="Arial" w:hAnsi="Arial" w:cs="Arial"/>
        </w:rPr>
      </w:pPr>
      <w:r w:rsidRPr="00D61F73">
        <w:rPr>
          <w:rFonts w:ascii="Arial" w:hAnsi="Arial" w:cs="Arial"/>
        </w:rPr>
        <w:t>As nabilone improved symptoms and was well-tolerated, it may be a useful adjunct for pain management in fibromyalgia.</w:t>
      </w:r>
    </w:p>
    <w:p w14:paraId="400478E7" w14:textId="77777777" w:rsidR="008D0565" w:rsidRPr="00D61F73" w:rsidRDefault="008D0565" w:rsidP="00D61F73">
      <w:pPr>
        <w:rPr>
          <w:rFonts w:ascii="Arial" w:hAnsi="Arial" w:cs="Arial"/>
        </w:rPr>
      </w:pPr>
    </w:p>
    <w:p w14:paraId="069F18FA" w14:textId="77777777" w:rsidR="008D0565" w:rsidRPr="00D61F73" w:rsidRDefault="008D0565" w:rsidP="00D61F73">
      <w:pPr>
        <w:rPr>
          <w:rFonts w:ascii="Arial" w:hAnsi="Arial" w:cs="Arial"/>
        </w:rPr>
      </w:pPr>
      <w:r w:rsidRPr="00D61F73">
        <w:rPr>
          <w:rFonts w:ascii="Arial" w:hAnsi="Arial" w:cs="Arial"/>
        </w:rPr>
        <w:t xml:space="preserve">PMID: </w:t>
      </w:r>
      <w:hyperlink r:id="rId784" w:history="1">
        <w:r w:rsidRPr="00D61F73">
          <w:rPr>
            <w:rStyle w:val="Hyperlink"/>
            <w:rFonts w:ascii="Arial" w:hAnsi="Arial" w:cs="Arial"/>
          </w:rPr>
          <w:t>17974490</w:t>
        </w:r>
      </w:hyperlink>
      <w:r w:rsidRPr="00D61F73">
        <w:rPr>
          <w:rFonts w:ascii="Arial" w:hAnsi="Arial" w:cs="Arial"/>
        </w:rPr>
        <w:t xml:space="preserve"> </w:t>
      </w:r>
    </w:p>
    <w:p w14:paraId="208DF5A1" w14:textId="77777777" w:rsidR="008D0565" w:rsidRPr="00D61F73" w:rsidRDefault="008D0565" w:rsidP="00D61F73">
      <w:pPr>
        <w:rPr>
          <w:rFonts w:ascii="Arial" w:hAnsi="Arial" w:cs="Arial"/>
        </w:rPr>
      </w:pPr>
    </w:p>
    <w:p w14:paraId="0114EDEB" w14:textId="77777777" w:rsidR="008D0565" w:rsidRPr="00D61F73" w:rsidRDefault="008D0565" w:rsidP="00D61F73">
      <w:pPr>
        <w:rPr>
          <w:rFonts w:ascii="Arial" w:hAnsi="Arial" w:cs="Arial"/>
        </w:rPr>
      </w:pPr>
      <w:r w:rsidRPr="00D61F73">
        <w:rPr>
          <w:rFonts w:ascii="Arial" w:hAnsi="Arial" w:cs="Arial"/>
        </w:rPr>
        <w:t>Rating: 2c</w:t>
      </w:r>
    </w:p>
    <w:p w14:paraId="1AF80E57" w14:textId="77777777" w:rsidR="008D0565" w:rsidRPr="00D61F73" w:rsidRDefault="008D0565" w:rsidP="00D61F73">
      <w:pPr>
        <w:rPr>
          <w:rFonts w:ascii="Arial" w:hAnsi="Arial" w:cs="Arial"/>
        </w:rPr>
      </w:pPr>
    </w:p>
    <w:p w14:paraId="394ADB66" w14:textId="77777777" w:rsidR="008D0565" w:rsidRPr="00D61F73" w:rsidRDefault="008D0565" w:rsidP="00D61F73">
      <w:pPr>
        <w:rPr>
          <w:rFonts w:ascii="Arial" w:hAnsi="Arial" w:cs="Arial"/>
        </w:rPr>
      </w:pPr>
      <w:r w:rsidRPr="00D61F73">
        <w:rPr>
          <w:rFonts w:ascii="Arial" w:hAnsi="Arial" w:cs="Arial"/>
        </w:rPr>
        <w:t xml:space="preserve">Future studies with a longer duration of treatment and a stable dose are still needed, they add. The medication's costs — $4000 a year in Canada — may be prohibitive to some patients, they observe. When interpreting the study results, it is important to note that the study drug was costly, the study was done in a small number of patients, and there was a high dropout rate, Dr. Kissel said. In addition, the dropout patients were not included in an intention-to-treat analysis, which would have resulted in a lower improvement rate. </w:t>
      </w:r>
    </w:p>
    <w:p w14:paraId="07CFBB7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39" w:name="Smeets"/>
      <w:bookmarkEnd w:id="1139"/>
      <w:r w:rsidRPr="00D61F73">
        <w:rPr>
          <w:rFonts w:ascii="Arial" w:hAnsi="Arial" w:cs="Arial"/>
          <w:b/>
          <w:bCs/>
        </w:rPr>
        <w:t xml:space="preserve">meets RJ, Vlaeyen JW, Hidding A, Kester AD, van der Heijden GJ, van Geel AC, Knottnerus JA. Active rehabilitation for chronic low back pain: Cognitive-behavioral, physical, or both? First direct post-treatment results from a randomized controlled trial. </w:t>
      </w:r>
      <w:r w:rsidRPr="00D61F73">
        <w:rPr>
          <w:rFonts w:ascii="Arial" w:hAnsi="Arial" w:cs="Arial"/>
          <w:b/>
          <w:bCs/>
          <w:i/>
          <w:iCs/>
        </w:rPr>
        <w:t>BMC Musculoskelet Disord</w:t>
      </w:r>
      <w:r w:rsidRPr="00D61F73">
        <w:rPr>
          <w:rFonts w:ascii="Arial" w:hAnsi="Arial" w:cs="Arial"/>
          <w:b/>
          <w:bCs/>
        </w:rPr>
        <w:t>. 2006 Jan 20;7(1):5.</w:t>
      </w:r>
    </w:p>
    <w:p w14:paraId="4756EF69" w14:textId="77777777" w:rsidR="008D0565" w:rsidRPr="00D61F73" w:rsidRDefault="008D0565" w:rsidP="00D61F73">
      <w:pPr>
        <w:pStyle w:val="Header"/>
        <w:tabs>
          <w:tab w:val="clear" w:pos="4320"/>
          <w:tab w:val="clear" w:pos="8640"/>
        </w:tabs>
        <w:rPr>
          <w:rFonts w:ascii="Arial" w:hAnsi="Arial" w:cs="Arial"/>
        </w:rPr>
      </w:pPr>
    </w:p>
    <w:p w14:paraId="6D2B77AB" w14:textId="77777777" w:rsidR="008D0565" w:rsidRPr="00D61F73" w:rsidRDefault="008D0565" w:rsidP="00D61F73">
      <w:pPr>
        <w:rPr>
          <w:rFonts w:ascii="Arial" w:hAnsi="Arial" w:cs="Arial"/>
        </w:rPr>
      </w:pPr>
      <w:r w:rsidRPr="00D61F73">
        <w:rPr>
          <w:rFonts w:ascii="Arial" w:hAnsi="Arial" w:cs="Arial"/>
        </w:rPr>
        <w:t>CONCLUSIONS: All three active treatments were effective in comparison to no treatment, but no clinically relevant differences between the combined and the single component treatments were found.</w:t>
      </w:r>
    </w:p>
    <w:p w14:paraId="379AC3DF" w14:textId="77777777" w:rsidR="008D0565" w:rsidRPr="00D61F73" w:rsidRDefault="008D0565" w:rsidP="00D61F73">
      <w:pPr>
        <w:rPr>
          <w:rFonts w:ascii="Arial" w:hAnsi="Arial" w:cs="Arial"/>
        </w:rPr>
      </w:pPr>
    </w:p>
    <w:p w14:paraId="47591974" w14:textId="77777777" w:rsidR="008D0565" w:rsidRPr="00D61F73" w:rsidRDefault="008D0565" w:rsidP="00D61F73">
      <w:pPr>
        <w:rPr>
          <w:rFonts w:ascii="Arial" w:hAnsi="Arial" w:cs="Arial"/>
        </w:rPr>
      </w:pPr>
      <w:r w:rsidRPr="00D61F73">
        <w:rPr>
          <w:rFonts w:ascii="Arial" w:hAnsi="Arial" w:cs="Arial"/>
        </w:rPr>
        <w:t xml:space="preserve">PMID: </w:t>
      </w:r>
      <w:hyperlink r:id="rId785" w:history="1">
        <w:r w:rsidRPr="00D61F73">
          <w:rPr>
            <w:rStyle w:val="Hyperlink"/>
            <w:rFonts w:ascii="Arial" w:hAnsi="Arial" w:cs="Arial"/>
          </w:rPr>
          <w:t>16426449</w:t>
        </w:r>
      </w:hyperlink>
      <w:r w:rsidRPr="00D61F73">
        <w:rPr>
          <w:rFonts w:ascii="Arial" w:hAnsi="Arial" w:cs="Arial"/>
        </w:rPr>
        <w:t xml:space="preserve"> </w:t>
      </w:r>
    </w:p>
    <w:p w14:paraId="40325002" w14:textId="77777777" w:rsidR="008D0565" w:rsidRPr="00D61F73" w:rsidRDefault="008D0565" w:rsidP="00D61F73">
      <w:pPr>
        <w:rPr>
          <w:rFonts w:ascii="Arial" w:hAnsi="Arial" w:cs="Arial"/>
        </w:rPr>
      </w:pPr>
    </w:p>
    <w:p w14:paraId="65342089" w14:textId="77777777" w:rsidR="008D0565" w:rsidRPr="00D61F73" w:rsidRDefault="008D0565" w:rsidP="00D61F73">
      <w:pPr>
        <w:rPr>
          <w:rFonts w:ascii="Arial" w:hAnsi="Arial" w:cs="Arial"/>
        </w:rPr>
      </w:pPr>
      <w:r w:rsidRPr="00D61F73">
        <w:rPr>
          <w:rFonts w:ascii="Arial" w:hAnsi="Arial" w:cs="Arial"/>
        </w:rPr>
        <w:t>Rating: 2a</w:t>
      </w:r>
    </w:p>
    <w:p w14:paraId="1BD1105F"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S</w:t>
      </w:r>
      <w:bookmarkStart w:id="1140" w:name="Smith"/>
      <w:bookmarkEnd w:id="1140"/>
      <w:r w:rsidRPr="00D61F73">
        <w:rPr>
          <w:rFonts w:ascii="Arial" w:hAnsi="Arial" w:cs="Arial"/>
          <w:b/>
        </w:rPr>
        <w:t xml:space="preserve">mith DE, Landry MJ. Benzodiazepine dependency discontinuation: focus on the chemical dependency detoxification setting and benzodiazepine-polydrug abuse. </w:t>
      </w:r>
      <w:r w:rsidRPr="00D61F73">
        <w:rPr>
          <w:rFonts w:ascii="Arial" w:hAnsi="Arial" w:cs="Arial"/>
          <w:b/>
          <w:i/>
          <w:iCs/>
        </w:rPr>
        <w:t>J Psychiatr Res.</w:t>
      </w:r>
      <w:r w:rsidRPr="00D61F73">
        <w:rPr>
          <w:rFonts w:ascii="Arial" w:hAnsi="Arial" w:cs="Arial"/>
          <w:b/>
        </w:rPr>
        <w:t xml:space="preserve"> 1990;24:145-56</w:t>
      </w:r>
    </w:p>
    <w:p w14:paraId="3E6DD5DE" w14:textId="77777777" w:rsidR="008D0565" w:rsidRPr="00D61F73" w:rsidRDefault="008D0565" w:rsidP="00D61F73">
      <w:pPr>
        <w:rPr>
          <w:rFonts w:ascii="Arial" w:eastAsia="Calibri" w:hAnsi="Arial" w:cs="Arial"/>
        </w:rPr>
      </w:pPr>
    </w:p>
    <w:p w14:paraId="16B278D2"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786" w:history="1">
        <w:r w:rsidRPr="00D61F73">
          <w:rPr>
            <w:rStyle w:val="Hyperlink"/>
            <w:rFonts w:ascii="Arial" w:hAnsi="Arial" w:cs="Arial"/>
          </w:rPr>
          <w:t>1980693</w:t>
        </w:r>
      </w:hyperlink>
    </w:p>
    <w:p w14:paraId="57D1DB97" w14:textId="77777777" w:rsidR="008D0565" w:rsidRPr="00D61F73" w:rsidRDefault="008D0565" w:rsidP="00D61F73">
      <w:pPr>
        <w:rPr>
          <w:rFonts w:ascii="Arial" w:eastAsia="Calibri" w:hAnsi="Arial" w:cs="Arial"/>
        </w:rPr>
      </w:pPr>
    </w:p>
    <w:p w14:paraId="28E21EC0" w14:textId="77777777" w:rsidR="008D0565" w:rsidRPr="00D61F73" w:rsidRDefault="008D0565" w:rsidP="00D61F73">
      <w:pPr>
        <w:rPr>
          <w:rFonts w:ascii="Arial" w:eastAsia="Calibri" w:hAnsi="Arial" w:cs="Arial"/>
        </w:rPr>
      </w:pPr>
      <w:r w:rsidRPr="00D61F73">
        <w:rPr>
          <w:rFonts w:ascii="Arial" w:hAnsi="Arial" w:cs="Arial"/>
        </w:rPr>
        <w:t>Rating: 5b</w:t>
      </w:r>
    </w:p>
    <w:p w14:paraId="05C27F00"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41" w:name="Smith2010"/>
      <w:bookmarkEnd w:id="1141"/>
      <w:r w:rsidRPr="00D61F73">
        <w:rPr>
          <w:rFonts w:ascii="Arial" w:hAnsi="Arial" w:cs="Arial"/>
          <w:b/>
          <w:bCs/>
        </w:rPr>
        <w:t xml:space="preserve">mith PC, Schmidt SM, Allensworth-Davies D, Saitz R. A single-question screening test for drug use in primary care. </w:t>
      </w:r>
      <w:r w:rsidRPr="00D61F73">
        <w:rPr>
          <w:rFonts w:ascii="Arial" w:hAnsi="Arial" w:cs="Arial"/>
          <w:b/>
          <w:bCs/>
          <w:i/>
          <w:iCs/>
        </w:rPr>
        <w:t>Arch Intern Med</w:t>
      </w:r>
      <w:r w:rsidRPr="00D61F73">
        <w:rPr>
          <w:rFonts w:ascii="Arial" w:hAnsi="Arial" w:cs="Arial"/>
          <w:b/>
          <w:bCs/>
        </w:rPr>
        <w:t>. 2010 Jul 12;170(13):1155-60.</w:t>
      </w:r>
    </w:p>
    <w:p w14:paraId="118ECEE9" w14:textId="77777777" w:rsidR="008D0565" w:rsidRPr="00D61F73" w:rsidRDefault="008D0565" w:rsidP="00D61F73">
      <w:pPr>
        <w:rPr>
          <w:rFonts w:ascii="Arial" w:hAnsi="Arial" w:cs="Arial"/>
        </w:rPr>
      </w:pPr>
    </w:p>
    <w:p w14:paraId="2EA4850E" w14:textId="77777777" w:rsidR="008D0565" w:rsidRPr="00D61F73" w:rsidRDefault="008D0565" w:rsidP="00D61F73">
      <w:pPr>
        <w:rPr>
          <w:rFonts w:ascii="Arial" w:hAnsi="Arial" w:cs="Arial"/>
        </w:rPr>
      </w:pPr>
      <w:r w:rsidRPr="00D61F73">
        <w:rPr>
          <w:rFonts w:ascii="Arial" w:hAnsi="Arial" w:cs="Arial"/>
        </w:rPr>
        <w:t xml:space="preserve">PMID: </w:t>
      </w:r>
      <w:hyperlink r:id="rId787" w:history="1">
        <w:r w:rsidRPr="00D61F73">
          <w:rPr>
            <w:rStyle w:val="Hyperlink"/>
            <w:rFonts w:ascii="Arial" w:hAnsi="Arial" w:cs="Arial"/>
          </w:rPr>
          <w:t>20625025</w:t>
        </w:r>
      </w:hyperlink>
      <w:r w:rsidRPr="00D61F73">
        <w:rPr>
          <w:rFonts w:ascii="Arial" w:hAnsi="Arial" w:cs="Arial"/>
        </w:rPr>
        <w:t xml:space="preserve"> </w:t>
      </w:r>
    </w:p>
    <w:p w14:paraId="78913DB4" w14:textId="77777777" w:rsidR="008D0565" w:rsidRPr="00D61F73" w:rsidRDefault="008D0565" w:rsidP="00D61F73">
      <w:pPr>
        <w:rPr>
          <w:rFonts w:ascii="Arial" w:hAnsi="Arial" w:cs="Arial"/>
        </w:rPr>
      </w:pPr>
    </w:p>
    <w:p w14:paraId="76F91780" w14:textId="77777777" w:rsidR="008D0565" w:rsidRPr="00D61F73" w:rsidRDefault="008D0565" w:rsidP="00D61F73">
      <w:pPr>
        <w:rPr>
          <w:rFonts w:ascii="Arial" w:hAnsi="Arial" w:cs="Arial"/>
        </w:rPr>
      </w:pPr>
      <w:r w:rsidRPr="00D61F73">
        <w:rPr>
          <w:rFonts w:ascii="Arial" w:hAnsi="Arial" w:cs="Arial"/>
        </w:rPr>
        <w:t>Rating: 3b</w:t>
      </w:r>
    </w:p>
    <w:p w14:paraId="4D07861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42" w:name="Smith2013"/>
      <w:bookmarkEnd w:id="1142"/>
      <w:r w:rsidRPr="00D61F73">
        <w:rPr>
          <w:rFonts w:ascii="Arial" w:hAnsi="Arial" w:cs="Arial"/>
          <w:b/>
          <w:bCs/>
        </w:rPr>
        <w:t xml:space="preserve">mith MJ, Cobia DJ, Wang L, Alpert KI, J Cronenwett W, B Goldman M, Mamah D, Barch DM, Breiter HC, Csernansky JG. Cannabis-Related Working Memory Deficits and Associated Subcortical Morphological Differences in Healthy Individuals and Schizophrenia Subjects. </w:t>
      </w:r>
      <w:r w:rsidRPr="00D61F73">
        <w:rPr>
          <w:rFonts w:ascii="Arial" w:hAnsi="Arial" w:cs="Arial"/>
          <w:b/>
          <w:bCs/>
          <w:i/>
          <w:iCs/>
        </w:rPr>
        <w:t>Schizophr Bull</w:t>
      </w:r>
      <w:r w:rsidRPr="00D61F73">
        <w:rPr>
          <w:rFonts w:ascii="Arial" w:hAnsi="Arial" w:cs="Arial"/>
          <w:b/>
          <w:bCs/>
        </w:rPr>
        <w:t>. 2013 Dec 15.</w:t>
      </w:r>
    </w:p>
    <w:p w14:paraId="34B09659" w14:textId="77777777" w:rsidR="008D0565" w:rsidRPr="00D61F73" w:rsidRDefault="008D0565" w:rsidP="00D61F73">
      <w:pPr>
        <w:rPr>
          <w:rFonts w:ascii="Arial" w:hAnsi="Arial" w:cs="Arial"/>
        </w:rPr>
      </w:pPr>
    </w:p>
    <w:p w14:paraId="75849451" w14:textId="77777777" w:rsidR="008D0565" w:rsidRPr="00D61F73" w:rsidRDefault="008D0565" w:rsidP="00D61F73">
      <w:pPr>
        <w:rPr>
          <w:rFonts w:ascii="Arial" w:hAnsi="Arial" w:cs="Arial"/>
        </w:rPr>
      </w:pPr>
      <w:r w:rsidRPr="00D61F73">
        <w:rPr>
          <w:rFonts w:ascii="Arial" w:hAnsi="Arial" w:cs="Arial"/>
        </w:rPr>
        <w:t xml:space="preserve">PMID: </w:t>
      </w:r>
      <w:hyperlink r:id="rId788" w:history="1">
        <w:r w:rsidRPr="00D61F73">
          <w:rPr>
            <w:rStyle w:val="Hyperlink"/>
            <w:rFonts w:ascii="Arial" w:hAnsi="Arial" w:cs="Arial"/>
          </w:rPr>
          <w:t>24342821</w:t>
        </w:r>
      </w:hyperlink>
    </w:p>
    <w:p w14:paraId="7A3AEC45" w14:textId="77777777" w:rsidR="008D0565" w:rsidRPr="00D61F73" w:rsidRDefault="008D0565" w:rsidP="00D61F73">
      <w:pPr>
        <w:rPr>
          <w:rFonts w:ascii="Arial" w:hAnsi="Arial" w:cs="Arial"/>
        </w:rPr>
      </w:pPr>
    </w:p>
    <w:p w14:paraId="41871538" w14:textId="77777777" w:rsidR="008D0565" w:rsidRPr="00D61F73" w:rsidRDefault="008D0565" w:rsidP="00D61F73">
      <w:pPr>
        <w:rPr>
          <w:rFonts w:ascii="Arial" w:hAnsi="Arial" w:cs="Arial"/>
        </w:rPr>
      </w:pPr>
      <w:r w:rsidRPr="00D61F73">
        <w:rPr>
          <w:rFonts w:ascii="Arial" w:hAnsi="Arial" w:cs="Arial"/>
        </w:rPr>
        <w:t xml:space="preserve">Rating: 3b </w:t>
      </w:r>
    </w:p>
    <w:p w14:paraId="7645CC73" w14:textId="77777777" w:rsidR="00521E13" w:rsidRPr="00D61F73" w:rsidRDefault="00521E13" w:rsidP="00D61F73">
      <w:pPr>
        <w:rPr>
          <w:rFonts w:ascii="Arial" w:hAnsi="Arial" w:cs="Arial"/>
        </w:rPr>
      </w:pPr>
      <w:r w:rsidRPr="00D61F73">
        <w:rPr>
          <w:rFonts w:ascii="Arial" w:hAnsi="Arial" w:cs="Arial"/>
        </w:rPr>
        <w:br w:type="page"/>
      </w:r>
      <w:r w:rsidRPr="00D61F73">
        <w:rPr>
          <w:rFonts w:ascii="Arial" w:hAnsi="Arial" w:cs="Arial"/>
          <w:b/>
          <w:bCs/>
        </w:rPr>
        <w:lastRenderedPageBreak/>
        <w:t>S</w:t>
      </w:r>
      <w:bookmarkStart w:id="1143" w:name="Smith2009"/>
      <w:bookmarkEnd w:id="1143"/>
      <w:r w:rsidRPr="00D61F73">
        <w:rPr>
          <w:rFonts w:ascii="Arial" w:hAnsi="Arial" w:cs="Arial"/>
          <w:b/>
          <w:bCs/>
        </w:rPr>
        <w:t xml:space="preserve">mith TL, Blum K, Callahan MF, DiNubile NA, Chen TJ, Waite RL. H-Wave induces arteriolar vasodilation in rat striated muscle via nitric oxide-mediated mechanisms. </w:t>
      </w:r>
      <w:r w:rsidRPr="00D61F73">
        <w:rPr>
          <w:rFonts w:ascii="Arial" w:hAnsi="Arial" w:cs="Arial"/>
          <w:b/>
          <w:bCs/>
          <w:i/>
          <w:iCs/>
        </w:rPr>
        <w:t>J Orthop Res.</w:t>
      </w:r>
      <w:r w:rsidRPr="00D61F73">
        <w:rPr>
          <w:rFonts w:ascii="Arial" w:hAnsi="Arial" w:cs="Arial"/>
          <w:b/>
          <w:bCs/>
        </w:rPr>
        <w:t xml:space="preserve"> 2009 Sep;27(9):1248-51. doi: 10.1002/jor.20851.</w:t>
      </w:r>
    </w:p>
    <w:p w14:paraId="6EC14013" w14:textId="77777777" w:rsidR="00521E13" w:rsidRPr="00D61F73" w:rsidRDefault="00521E13" w:rsidP="00D61F73">
      <w:pPr>
        <w:rPr>
          <w:rFonts w:ascii="Arial" w:hAnsi="Arial" w:cs="Arial"/>
        </w:rPr>
      </w:pPr>
    </w:p>
    <w:p w14:paraId="06C4131D" w14:textId="77777777" w:rsidR="00521E13" w:rsidRPr="00D61F73" w:rsidRDefault="00521E13" w:rsidP="00D61F73">
      <w:pPr>
        <w:rPr>
          <w:rFonts w:ascii="Arial" w:hAnsi="Arial" w:cs="Arial"/>
        </w:rPr>
      </w:pPr>
      <w:r w:rsidRPr="00D61F73">
        <w:rPr>
          <w:rFonts w:ascii="Arial" w:hAnsi="Arial" w:cs="Arial"/>
        </w:rPr>
        <w:t xml:space="preserve">PMID: </w:t>
      </w:r>
      <w:hyperlink r:id="rId789" w:history="1">
        <w:r w:rsidRPr="00D61F73">
          <w:rPr>
            <w:rStyle w:val="Hyperlink"/>
            <w:rFonts w:ascii="Arial" w:hAnsi="Arial" w:cs="Arial"/>
          </w:rPr>
          <w:t>19204915</w:t>
        </w:r>
      </w:hyperlink>
    </w:p>
    <w:p w14:paraId="2B1DFCE7" w14:textId="77777777" w:rsidR="00521E13" w:rsidRPr="00D61F73" w:rsidRDefault="00521E13" w:rsidP="00D61F73">
      <w:pPr>
        <w:rPr>
          <w:rFonts w:ascii="Arial" w:hAnsi="Arial" w:cs="Arial"/>
        </w:rPr>
      </w:pPr>
    </w:p>
    <w:p w14:paraId="387BFAB1" w14:textId="77777777" w:rsidR="00521E13" w:rsidRPr="00D61F73" w:rsidRDefault="00521E13" w:rsidP="00D61F73">
      <w:pPr>
        <w:rPr>
          <w:rFonts w:ascii="Arial" w:hAnsi="Arial" w:cs="Arial"/>
        </w:rPr>
      </w:pPr>
      <w:r w:rsidRPr="00D61F73">
        <w:rPr>
          <w:rFonts w:ascii="Arial" w:hAnsi="Arial" w:cs="Arial"/>
        </w:rPr>
        <w:t>Rating: 5c</w:t>
      </w:r>
    </w:p>
    <w:p w14:paraId="074D2ACD" w14:textId="77777777" w:rsidR="00521E13" w:rsidRPr="00D61F73" w:rsidRDefault="00521E13" w:rsidP="00D61F73">
      <w:pPr>
        <w:rPr>
          <w:rFonts w:ascii="Arial" w:hAnsi="Arial" w:cs="Arial"/>
        </w:rPr>
      </w:pPr>
      <w:r w:rsidRPr="00D61F73">
        <w:rPr>
          <w:rFonts w:ascii="Arial" w:hAnsi="Arial" w:cs="Arial"/>
        </w:rPr>
        <w:br w:type="page"/>
      </w:r>
      <w:r w:rsidRPr="00D61F73">
        <w:rPr>
          <w:rFonts w:ascii="Arial" w:hAnsi="Arial" w:cs="Arial"/>
          <w:b/>
          <w:bCs/>
        </w:rPr>
        <w:lastRenderedPageBreak/>
        <w:t>S</w:t>
      </w:r>
      <w:bookmarkStart w:id="1144" w:name="Smith2011"/>
      <w:bookmarkEnd w:id="1144"/>
      <w:r w:rsidRPr="00D61F73">
        <w:rPr>
          <w:rFonts w:ascii="Arial" w:hAnsi="Arial" w:cs="Arial"/>
          <w:b/>
          <w:bCs/>
        </w:rPr>
        <w:t xml:space="preserve">mith TL, Callahan MF, Blum K, Dinubile NA, Chen TJ, Waite RL. H-Wave® effects on blood flow and angiogenesis in longitudinal studies in rats. </w:t>
      </w:r>
      <w:r w:rsidRPr="00D61F73">
        <w:rPr>
          <w:rFonts w:ascii="Arial" w:hAnsi="Arial" w:cs="Arial"/>
          <w:b/>
          <w:bCs/>
          <w:i/>
          <w:iCs/>
        </w:rPr>
        <w:t>J Surg Orthop Adv.</w:t>
      </w:r>
      <w:r w:rsidR="00E11F5F" w:rsidRPr="00D61F73">
        <w:rPr>
          <w:rFonts w:ascii="Arial" w:hAnsi="Arial" w:cs="Arial"/>
          <w:b/>
          <w:bCs/>
        </w:rPr>
        <w:t xml:space="preserve"> </w:t>
      </w:r>
      <w:bookmarkStart w:id="1145" w:name="Smith2009hwave"/>
      <w:bookmarkStart w:id="1146" w:name="Smith2011hwave"/>
      <w:bookmarkEnd w:id="1145"/>
      <w:bookmarkEnd w:id="1146"/>
      <w:r w:rsidRPr="00D61F73">
        <w:rPr>
          <w:rFonts w:ascii="Arial" w:hAnsi="Arial" w:cs="Arial"/>
          <w:b/>
          <w:bCs/>
        </w:rPr>
        <w:t>2011 Winter;20(4):255-9.</w:t>
      </w:r>
    </w:p>
    <w:p w14:paraId="366FAD6D" w14:textId="77777777" w:rsidR="00521E13" w:rsidRPr="00D61F73" w:rsidRDefault="00521E13" w:rsidP="00D61F73">
      <w:pPr>
        <w:rPr>
          <w:rFonts w:ascii="Arial" w:hAnsi="Arial" w:cs="Arial"/>
        </w:rPr>
      </w:pPr>
    </w:p>
    <w:p w14:paraId="755CF5DA" w14:textId="77777777" w:rsidR="00521E13" w:rsidRPr="00D61F73" w:rsidRDefault="00521E13" w:rsidP="00D61F73">
      <w:pPr>
        <w:rPr>
          <w:rFonts w:ascii="Arial" w:hAnsi="Arial" w:cs="Arial"/>
        </w:rPr>
      </w:pPr>
      <w:r w:rsidRPr="00D61F73">
        <w:rPr>
          <w:rFonts w:ascii="Arial" w:hAnsi="Arial" w:cs="Arial"/>
        </w:rPr>
        <w:t xml:space="preserve">PMID: </w:t>
      </w:r>
      <w:hyperlink r:id="rId790" w:history="1">
        <w:r w:rsidRPr="00D61F73">
          <w:rPr>
            <w:rStyle w:val="Hyperlink"/>
            <w:rFonts w:ascii="Arial" w:hAnsi="Arial" w:cs="Arial"/>
          </w:rPr>
          <w:t>22381420</w:t>
        </w:r>
      </w:hyperlink>
    </w:p>
    <w:p w14:paraId="0A50A270" w14:textId="77777777" w:rsidR="00521E13" w:rsidRPr="00D61F73" w:rsidRDefault="00521E13" w:rsidP="00D61F73">
      <w:pPr>
        <w:rPr>
          <w:rFonts w:ascii="Arial" w:hAnsi="Arial" w:cs="Arial"/>
        </w:rPr>
      </w:pPr>
    </w:p>
    <w:p w14:paraId="52744813" w14:textId="77777777" w:rsidR="00521E13" w:rsidRPr="00D61F73" w:rsidRDefault="00521E13" w:rsidP="00D61F73">
      <w:pPr>
        <w:rPr>
          <w:rFonts w:ascii="Arial" w:hAnsi="Arial" w:cs="Arial"/>
        </w:rPr>
      </w:pPr>
      <w:r w:rsidRPr="00D61F73">
        <w:rPr>
          <w:rFonts w:ascii="Arial" w:hAnsi="Arial" w:cs="Arial"/>
        </w:rPr>
        <w:t>Rating: 5c</w:t>
      </w:r>
    </w:p>
    <w:p w14:paraId="51FDF33E" w14:textId="77777777" w:rsidR="0069003F" w:rsidRPr="00D61F73" w:rsidRDefault="0069003F" w:rsidP="00D61F73">
      <w:pPr>
        <w:rPr>
          <w:rFonts w:ascii="Arial" w:hAnsi="Arial" w:cs="Arial"/>
        </w:rPr>
      </w:pPr>
      <w:r w:rsidRPr="00D61F73">
        <w:rPr>
          <w:rFonts w:ascii="Arial" w:hAnsi="Arial" w:cs="Arial"/>
        </w:rPr>
        <w:br w:type="page"/>
      </w:r>
      <w:bookmarkStart w:id="1147" w:name="Soares2014"/>
      <w:bookmarkEnd w:id="1147"/>
      <w:r w:rsidRPr="00D61F73">
        <w:rPr>
          <w:rFonts w:ascii="Arial" w:hAnsi="Arial" w:cs="Arial"/>
          <w:b/>
          <w:bCs/>
        </w:rPr>
        <w:lastRenderedPageBreak/>
        <w:t>Soares A, Andriolo RB, Atallah AN, da Silva EM. Botulinum toxin for myofascial pain syndromes in adults. </w:t>
      </w:r>
      <w:r w:rsidRPr="00D61F73">
        <w:rPr>
          <w:rFonts w:ascii="Arial" w:hAnsi="Arial" w:cs="Arial"/>
          <w:b/>
          <w:bCs/>
          <w:i/>
          <w:iCs/>
        </w:rPr>
        <w:t>Cochrane Database Syst Rev</w:t>
      </w:r>
      <w:r w:rsidRPr="00D61F73">
        <w:rPr>
          <w:rFonts w:ascii="Arial" w:hAnsi="Arial" w:cs="Arial"/>
          <w:b/>
          <w:bCs/>
        </w:rPr>
        <w:t>. 2014 Jul 25;7:CD007533. doi: 10.1002/14651858.CD007533.pub3.</w:t>
      </w:r>
    </w:p>
    <w:p w14:paraId="16697269" w14:textId="77777777" w:rsidR="0069003F" w:rsidRPr="00D61F73" w:rsidRDefault="0069003F" w:rsidP="00D61F73">
      <w:pPr>
        <w:rPr>
          <w:rFonts w:ascii="Arial" w:hAnsi="Arial" w:cs="Arial"/>
        </w:rPr>
      </w:pPr>
      <w:r w:rsidRPr="00D61F73">
        <w:rPr>
          <w:rFonts w:ascii="Arial" w:hAnsi="Arial" w:cs="Arial"/>
        </w:rPr>
        <w:t> </w:t>
      </w:r>
    </w:p>
    <w:p w14:paraId="6656D44C" w14:textId="77777777" w:rsidR="0069003F" w:rsidRPr="00D61F73" w:rsidRDefault="0069003F" w:rsidP="00D61F73">
      <w:pPr>
        <w:rPr>
          <w:rFonts w:ascii="Arial" w:hAnsi="Arial" w:cs="Arial"/>
        </w:rPr>
      </w:pPr>
      <w:r w:rsidRPr="00D61F73">
        <w:rPr>
          <w:rFonts w:ascii="Arial" w:hAnsi="Arial" w:cs="Arial"/>
        </w:rPr>
        <w:t>PMID: </w:t>
      </w:r>
      <w:hyperlink r:id="rId791" w:history="1">
        <w:r w:rsidRPr="00D61F73">
          <w:rPr>
            <w:rStyle w:val="Hyperlink"/>
            <w:rFonts w:ascii="Arial" w:hAnsi="Arial" w:cs="Arial"/>
          </w:rPr>
          <w:t>25062018</w:t>
        </w:r>
      </w:hyperlink>
    </w:p>
    <w:p w14:paraId="2C1B639E" w14:textId="77777777" w:rsidR="0069003F" w:rsidRPr="00D61F73" w:rsidRDefault="0069003F" w:rsidP="00D61F73">
      <w:pPr>
        <w:rPr>
          <w:rFonts w:ascii="Arial" w:hAnsi="Arial" w:cs="Arial"/>
        </w:rPr>
      </w:pPr>
      <w:r w:rsidRPr="00D61F73">
        <w:rPr>
          <w:rFonts w:ascii="Arial" w:hAnsi="Arial" w:cs="Arial"/>
        </w:rPr>
        <w:t> </w:t>
      </w:r>
    </w:p>
    <w:p w14:paraId="31C96F7A" w14:textId="77777777" w:rsidR="0069003F" w:rsidRPr="00D61F73" w:rsidRDefault="0069003F" w:rsidP="00D61F73">
      <w:pPr>
        <w:rPr>
          <w:rFonts w:ascii="Arial" w:hAnsi="Arial" w:cs="Arial"/>
        </w:rPr>
      </w:pPr>
      <w:r w:rsidRPr="00D61F73">
        <w:rPr>
          <w:rFonts w:ascii="Arial" w:hAnsi="Arial" w:cs="Arial"/>
        </w:rPr>
        <w:t>Rating: 1a</w:t>
      </w:r>
    </w:p>
    <w:p w14:paraId="17C67550"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148" w:name="Solak"/>
      <w:bookmarkEnd w:id="1148"/>
      <w:r w:rsidRPr="00D61F73">
        <w:rPr>
          <w:rFonts w:ascii="Arial" w:hAnsi="Arial" w:cs="Arial"/>
          <w:b/>
        </w:rPr>
        <w:t xml:space="preserve">olak O, Turna A, Pekcolaklar A, Metin M, Sayar A, Solak O, Gurses A. Transcutaneous electric nerve stimulation for the treatment of postthoracotomy pain: a randomized prospective study. </w:t>
      </w:r>
      <w:r w:rsidRPr="00D61F73">
        <w:rPr>
          <w:rFonts w:ascii="Arial" w:hAnsi="Arial" w:cs="Arial"/>
          <w:b/>
          <w:i/>
        </w:rPr>
        <w:t>Thorac Cardiovasc Surg</w:t>
      </w:r>
      <w:r w:rsidRPr="00D61F73">
        <w:rPr>
          <w:rFonts w:ascii="Arial" w:hAnsi="Arial" w:cs="Arial"/>
          <w:b/>
        </w:rPr>
        <w:t>. 2007 Apr;55(3):182-5.</w:t>
      </w:r>
    </w:p>
    <w:p w14:paraId="338F374F" w14:textId="77777777" w:rsidR="008D0565" w:rsidRPr="00D61F73" w:rsidRDefault="008D0565" w:rsidP="00D61F73">
      <w:pPr>
        <w:rPr>
          <w:rFonts w:ascii="Arial" w:hAnsi="Arial" w:cs="Arial"/>
        </w:rPr>
      </w:pPr>
    </w:p>
    <w:p w14:paraId="1849A2D9" w14:textId="77777777" w:rsidR="008D0565" w:rsidRPr="00D61F73" w:rsidRDefault="008D0565" w:rsidP="00D61F73">
      <w:pPr>
        <w:rPr>
          <w:rFonts w:ascii="Arial" w:hAnsi="Arial" w:cs="Arial"/>
        </w:rPr>
      </w:pPr>
      <w:r w:rsidRPr="00D61F73">
        <w:rPr>
          <w:rFonts w:ascii="Arial" w:hAnsi="Arial" w:cs="Arial"/>
        </w:rPr>
        <w:t>CONCLUSION: This study demonstrated that TENS provided a better pain relief and comfort compared to PCA from the fourth postoperative day onwards, and this pain-reducing effect continued for at least two months postoperatively.</w:t>
      </w:r>
    </w:p>
    <w:p w14:paraId="5BF92DCE" w14:textId="77777777" w:rsidR="008D0565" w:rsidRPr="00D61F73" w:rsidRDefault="008D0565" w:rsidP="00D61F73">
      <w:pPr>
        <w:rPr>
          <w:rFonts w:ascii="Arial" w:hAnsi="Arial" w:cs="Arial"/>
        </w:rPr>
      </w:pPr>
    </w:p>
    <w:p w14:paraId="015F22EA" w14:textId="77777777" w:rsidR="008D0565" w:rsidRPr="00D61F73" w:rsidRDefault="008D0565" w:rsidP="00D61F73">
      <w:pPr>
        <w:rPr>
          <w:rFonts w:ascii="Arial" w:hAnsi="Arial" w:cs="Arial"/>
        </w:rPr>
      </w:pPr>
      <w:r w:rsidRPr="00D61F73">
        <w:rPr>
          <w:rFonts w:ascii="Arial" w:hAnsi="Arial" w:cs="Arial"/>
        </w:rPr>
        <w:t xml:space="preserve">PMID: </w:t>
      </w:r>
      <w:hyperlink r:id="rId792" w:history="1">
        <w:r w:rsidRPr="00D61F73">
          <w:rPr>
            <w:rStyle w:val="Hyperlink"/>
            <w:rFonts w:ascii="Arial" w:hAnsi="Arial" w:cs="Arial"/>
          </w:rPr>
          <w:t>17410506</w:t>
        </w:r>
      </w:hyperlink>
    </w:p>
    <w:p w14:paraId="39CB0DC6" w14:textId="77777777" w:rsidR="008D0565" w:rsidRPr="00D61F73" w:rsidRDefault="008D0565" w:rsidP="00D61F73">
      <w:pPr>
        <w:rPr>
          <w:rFonts w:ascii="Arial" w:hAnsi="Arial" w:cs="Arial"/>
        </w:rPr>
      </w:pPr>
    </w:p>
    <w:p w14:paraId="3DDC498F" w14:textId="77777777" w:rsidR="008D0565" w:rsidRPr="00D61F73" w:rsidRDefault="008D0565" w:rsidP="00D61F73">
      <w:pPr>
        <w:rPr>
          <w:rFonts w:ascii="Arial" w:hAnsi="Arial" w:cs="Arial"/>
        </w:rPr>
      </w:pPr>
      <w:r w:rsidRPr="00D61F73">
        <w:rPr>
          <w:rFonts w:ascii="Arial" w:hAnsi="Arial" w:cs="Arial"/>
        </w:rPr>
        <w:t>Rating: 2c</w:t>
      </w:r>
    </w:p>
    <w:p w14:paraId="46FED614" w14:textId="77777777" w:rsidR="008D0565" w:rsidRPr="00D61F73" w:rsidRDefault="008D0565" w:rsidP="00D61F73">
      <w:pPr>
        <w:rPr>
          <w:rFonts w:ascii="Arial" w:hAnsi="Arial" w:cs="Arial"/>
          <w:b/>
          <w:bCs/>
        </w:rPr>
      </w:pPr>
      <w:r w:rsidRPr="00D61F73">
        <w:rPr>
          <w:rFonts w:ascii="Arial" w:hAnsi="Arial" w:cs="Arial"/>
        </w:rPr>
        <w:br w:type="page"/>
      </w:r>
      <w:bookmarkStart w:id="1149" w:name="Solomon"/>
      <w:r w:rsidRPr="00D61F73">
        <w:rPr>
          <w:rFonts w:ascii="Arial" w:hAnsi="Arial" w:cs="Arial"/>
          <w:b/>
          <w:bCs/>
        </w:rPr>
        <w:lastRenderedPageBreak/>
        <w:t>Solomon</w:t>
      </w:r>
      <w:bookmarkEnd w:id="1149"/>
      <w:r w:rsidRPr="00D61F73">
        <w:rPr>
          <w:rFonts w:ascii="Arial" w:hAnsi="Arial" w:cs="Arial"/>
          <w:b/>
          <w:bCs/>
        </w:rPr>
        <w:t xml:space="preserve"> DH, Schneeweiss S, Glynn RJ, Kiyota Y, Levin R, Mogun H, Avorn J, Relationship between selective cyclooxygenase-2 inhibitors and acute myocardial infarction in older adults, </w:t>
      </w:r>
      <w:r w:rsidRPr="00D61F73">
        <w:rPr>
          <w:rFonts w:ascii="Arial" w:hAnsi="Arial" w:cs="Arial"/>
          <w:b/>
          <w:bCs/>
          <w:i/>
          <w:iCs/>
        </w:rPr>
        <w:t>Circulation</w:t>
      </w:r>
      <w:r w:rsidRPr="00D61F73">
        <w:rPr>
          <w:rFonts w:ascii="Arial" w:hAnsi="Arial" w:cs="Arial"/>
          <w:b/>
          <w:bCs/>
        </w:rPr>
        <w:t>. 2004 May 4;109(17):2068-73. Epub 2004 Apr 19.</w:t>
      </w:r>
    </w:p>
    <w:p w14:paraId="3967A305" w14:textId="77777777" w:rsidR="008D0565" w:rsidRPr="00D61F73" w:rsidRDefault="008D0565" w:rsidP="00D61F73">
      <w:pPr>
        <w:rPr>
          <w:rFonts w:ascii="Arial" w:hAnsi="Arial" w:cs="Arial"/>
        </w:rPr>
      </w:pPr>
    </w:p>
    <w:p w14:paraId="57E5C3EB" w14:textId="77777777" w:rsidR="008D0565" w:rsidRPr="00D61F73" w:rsidRDefault="008D0565" w:rsidP="00D61F73">
      <w:pPr>
        <w:rPr>
          <w:rFonts w:ascii="Arial" w:hAnsi="Arial" w:cs="Arial"/>
        </w:rPr>
      </w:pPr>
      <w:r w:rsidRPr="00D61F73">
        <w:rPr>
          <w:rFonts w:ascii="Arial" w:hAnsi="Arial" w:cs="Arial"/>
        </w:rPr>
        <w:t>CONCLUSIONS: In this study, current rofecoxib use was associated with an elevated relative risk of AMI compared with celecoxib use and no NSAID use. Dosages of rofecoxib &gt;25 mg were associated with a higher risk than dosages &lt; or =25 mg. The risk was elevated in the first 90 days of use but not thereafter.</w:t>
      </w:r>
    </w:p>
    <w:p w14:paraId="2499E4B1" w14:textId="77777777" w:rsidR="008D0565" w:rsidRPr="00D61F73" w:rsidRDefault="008D0565" w:rsidP="00D61F73">
      <w:pPr>
        <w:rPr>
          <w:rFonts w:ascii="Arial" w:hAnsi="Arial" w:cs="Arial"/>
        </w:rPr>
      </w:pPr>
    </w:p>
    <w:p w14:paraId="3EE7175E" w14:textId="77777777" w:rsidR="008D0565" w:rsidRPr="00D61F73" w:rsidRDefault="008D0565" w:rsidP="00D61F73">
      <w:pPr>
        <w:rPr>
          <w:rFonts w:ascii="Arial" w:hAnsi="Arial" w:cs="Arial"/>
        </w:rPr>
      </w:pPr>
      <w:r w:rsidRPr="00D61F73">
        <w:rPr>
          <w:rFonts w:ascii="Arial" w:hAnsi="Arial" w:cs="Arial"/>
        </w:rPr>
        <w:t xml:space="preserve">PMID: </w:t>
      </w:r>
      <w:hyperlink r:id="rId793" w:history="1">
        <w:r w:rsidRPr="00D61F73">
          <w:rPr>
            <w:rStyle w:val="Hyperlink"/>
            <w:rFonts w:ascii="Arial" w:hAnsi="Arial" w:cs="Arial"/>
          </w:rPr>
          <w:t>15096449</w:t>
        </w:r>
      </w:hyperlink>
    </w:p>
    <w:p w14:paraId="42784C69" w14:textId="77777777" w:rsidR="008D0565" w:rsidRPr="00D61F73" w:rsidRDefault="008D0565" w:rsidP="00D61F73">
      <w:pPr>
        <w:rPr>
          <w:rFonts w:ascii="Arial" w:hAnsi="Arial" w:cs="Arial"/>
        </w:rPr>
      </w:pPr>
    </w:p>
    <w:p w14:paraId="1C183B2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4a</w:t>
      </w:r>
    </w:p>
    <w:p w14:paraId="68A11270"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bookmarkStart w:id="1150" w:name="Sommer"/>
      <w:r w:rsidRPr="00D61F73">
        <w:rPr>
          <w:rFonts w:ascii="Arial" w:hAnsi="Arial" w:cs="Arial"/>
          <w:b/>
          <w:bCs/>
        </w:rPr>
        <w:lastRenderedPageBreak/>
        <w:t xml:space="preserve">Sommer </w:t>
      </w:r>
      <w:bookmarkEnd w:id="1150"/>
      <w:r w:rsidRPr="00D61F73">
        <w:rPr>
          <w:rFonts w:ascii="Arial" w:hAnsi="Arial" w:cs="Arial"/>
          <w:b/>
          <w:bCs/>
        </w:rPr>
        <w:t xml:space="preserve">HM. The Patient in Jeopardy: How the Low Back Pain Patient Becomes Disabled. </w:t>
      </w:r>
      <w:r w:rsidRPr="00D61F73">
        <w:rPr>
          <w:rFonts w:ascii="Arial" w:hAnsi="Arial" w:cs="Arial"/>
          <w:b/>
          <w:bCs/>
          <w:i/>
          <w:iCs/>
        </w:rPr>
        <w:t>Occupational</w:t>
      </w:r>
      <w:r w:rsidRPr="00D61F73">
        <w:rPr>
          <w:rFonts w:ascii="Arial" w:hAnsi="Arial" w:cs="Arial"/>
          <w:b/>
          <w:bCs/>
        </w:rPr>
        <w:t xml:space="preserve"> </w:t>
      </w:r>
      <w:r w:rsidRPr="00D61F73">
        <w:rPr>
          <w:rFonts w:ascii="Arial" w:hAnsi="Arial" w:cs="Arial"/>
          <w:b/>
          <w:bCs/>
          <w:i/>
          <w:iCs/>
        </w:rPr>
        <w:t xml:space="preserve">Medicine </w:t>
      </w:r>
      <w:r w:rsidRPr="00D61F73">
        <w:rPr>
          <w:rFonts w:ascii="Arial" w:hAnsi="Arial" w:cs="Arial"/>
          <w:b/>
          <w:bCs/>
        </w:rPr>
        <w:t>1998;(13)1:23-31.</w:t>
      </w:r>
    </w:p>
    <w:p w14:paraId="064D4E66" w14:textId="77777777" w:rsidR="008D0565" w:rsidRPr="00D61F73" w:rsidRDefault="008D0565" w:rsidP="00D61F73">
      <w:pPr>
        <w:pStyle w:val="NormalWeb"/>
        <w:spacing w:before="0" w:beforeAutospacing="0" w:after="0" w:afterAutospacing="0"/>
        <w:rPr>
          <w:rFonts w:ascii="Arial" w:hAnsi="Arial" w:cs="Arial"/>
        </w:rPr>
      </w:pPr>
    </w:p>
    <w:p w14:paraId="5EC54E4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Dr. Sommer divides the low back pain episode into four stages that can lead to patient disablement. </w:t>
      </w:r>
    </w:p>
    <w:p w14:paraId="52582473" w14:textId="77777777" w:rsidR="008D0565" w:rsidRPr="00D61F73" w:rsidRDefault="008D0565" w:rsidP="00D61F73">
      <w:pPr>
        <w:pStyle w:val="NormalWeb"/>
        <w:spacing w:before="0" w:beforeAutospacing="0" w:after="0" w:afterAutospacing="0"/>
        <w:rPr>
          <w:rFonts w:ascii="Arial" w:hAnsi="Arial" w:cs="Arial"/>
        </w:rPr>
      </w:pPr>
    </w:p>
    <w:p w14:paraId="1A7B2DE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Publication Type: Review</w:t>
      </w:r>
    </w:p>
    <w:p w14:paraId="029C3CB4" w14:textId="77777777" w:rsidR="008D0565" w:rsidRPr="00D61F73" w:rsidRDefault="008D0565" w:rsidP="00D61F73">
      <w:pPr>
        <w:pStyle w:val="NormalWeb"/>
        <w:spacing w:before="0" w:beforeAutospacing="0" w:after="0" w:afterAutospacing="0"/>
        <w:rPr>
          <w:rFonts w:ascii="Arial" w:hAnsi="Arial" w:cs="Arial"/>
        </w:rPr>
      </w:pPr>
    </w:p>
    <w:p w14:paraId="3ED173B2"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794" w:history="1">
        <w:r w:rsidRPr="00D61F73">
          <w:rPr>
            <w:rStyle w:val="Hyperlink"/>
            <w:rFonts w:ascii="Arial" w:hAnsi="Arial" w:cs="Arial"/>
          </w:rPr>
          <w:t>11444718</w:t>
        </w:r>
      </w:hyperlink>
      <w:r w:rsidRPr="00D61F73">
        <w:rPr>
          <w:rFonts w:ascii="Arial" w:hAnsi="Arial" w:cs="Arial"/>
        </w:rPr>
        <w:t xml:space="preserve"> </w:t>
      </w:r>
    </w:p>
    <w:p w14:paraId="04505740"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151" w:name="Soomro"/>
      <w:bookmarkEnd w:id="1151"/>
      <w:r w:rsidRPr="00D61F73">
        <w:rPr>
          <w:rFonts w:ascii="Arial" w:hAnsi="Arial" w:cs="Arial"/>
          <w:b/>
        </w:rPr>
        <w:t xml:space="preserve">oomro GM, Altman D, Rajagopal S, Oakley-Browne M. Selective serotonin re-uptake inhibitors (SSRIs) versus placebo for obsessive compulsive disorder (OCD). </w:t>
      </w:r>
      <w:r w:rsidRPr="00D61F73">
        <w:rPr>
          <w:rFonts w:ascii="Arial" w:hAnsi="Arial" w:cs="Arial"/>
          <w:b/>
          <w:i/>
        </w:rPr>
        <w:t>Cochrane Database Syst Rev</w:t>
      </w:r>
      <w:r w:rsidRPr="00D61F73">
        <w:rPr>
          <w:rFonts w:ascii="Arial" w:hAnsi="Arial" w:cs="Arial"/>
          <w:b/>
        </w:rPr>
        <w:t>. 2008;(1):CD001765.</w:t>
      </w:r>
    </w:p>
    <w:p w14:paraId="192FE5BA" w14:textId="77777777" w:rsidR="008D0565" w:rsidRPr="00D61F73" w:rsidRDefault="008D0565" w:rsidP="00D61F73">
      <w:pPr>
        <w:rPr>
          <w:rFonts w:ascii="Arial" w:hAnsi="Arial" w:cs="Arial"/>
          <w:b/>
        </w:rPr>
      </w:pPr>
    </w:p>
    <w:p w14:paraId="5D8CE23E" w14:textId="77777777" w:rsidR="008D0565" w:rsidRPr="00D61F73" w:rsidRDefault="008D0565" w:rsidP="00D61F73">
      <w:pPr>
        <w:rPr>
          <w:rFonts w:ascii="Arial" w:hAnsi="Arial" w:cs="Arial"/>
        </w:rPr>
      </w:pPr>
      <w:r w:rsidRPr="00D61F73">
        <w:rPr>
          <w:rFonts w:ascii="Arial" w:hAnsi="Arial" w:cs="Arial"/>
        </w:rPr>
        <w:t>CONCLUSIONS: SSRIs are more effective than placebo for OCD, at least in the short-term, although there are differences between the adverse effects of individual SSRI drugs. The longer term efficacy and tolerability of different SSRI drugs for OCD has yet to be established.</w:t>
      </w:r>
    </w:p>
    <w:p w14:paraId="00D03DEB" w14:textId="77777777" w:rsidR="008D0565" w:rsidRPr="00D61F73" w:rsidRDefault="008D0565" w:rsidP="00D61F73">
      <w:pPr>
        <w:rPr>
          <w:rFonts w:ascii="Arial" w:hAnsi="Arial" w:cs="Arial"/>
        </w:rPr>
      </w:pPr>
    </w:p>
    <w:p w14:paraId="4FE4083B" w14:textId="77777777" w:rsidR="008D0565" w:rsidRPr="00D61F73" w:rsidRDefault="008D0565" w:rsidP="00D61F73">
      <w:pPr>
        <w:rPr>
          <w:rFonts w:ascii="Arial" w:hAnsi="Arial" w:cs="Arial"/>
        </w:rPr>
      </w:pPr>
      <w:r w:rsidRPr="00D61F73">
        <w:rPr>
          <w:rFonts w:ascii="Arial" w:hAnsi="Arial" w:cs="Arial"/>
        </w:rPr>
        <w:t xml:space="preserve">PMID: </w:t>
      </w:r>
      <w:hyperlink r:id="rId795" w:history="1">
        <w:r w:rsidRPr="00D61F73">
          <w:rPr>
            <w:rStyle w:val="Hyperlink"/>
            <w:rFonts w:ascii="Arial" w:hAnsi="Arial" w:cs="Arial"/>
          </w:rPr>
          <w:t>18253995</w:t>
        </w:r>
      </w:hyperlink>
    </w:p>
    <w:p w14:paraId="7A1CB18C" w14:textId="77777777" w:rsidR="008D0565" w:rsidRPr="00D61F73" w:rsidRDefault="008D0565" w:rsidP="00D61F73">
      <w:pPr>
        <w:rPr>
          <w:rFonts w:ascii="Arial" w:hAnsi="Arial" w:cs="Arial"/>
        </w:rPr>
      </w:pPr>
    </w:p>
    <w:p w14:paraId="39D445AA" w14:textId="77777777" w:rsidR="008D0565" w:rsidRPr="00D61F73" w:rsidRDefault="008D0565" w:rsidP="00D61F73">
      <w:pPr>
        <w:rPr>
          <w:rFonts w:ascii="Arial" w:hAnsi="Arial" w:cs="Arial"/>
        </w:rPr>
      </w:pPr>
      <w:r w:rsidRPr="00D61F73">
        <w:rPr>
          <w:rFonts w:ascii="Arial" w:hAnsi="Arial" w:cs="Arial"/>
        </w:rPr>
        <w:t>Rating: 1c</w:t>
      </w:r>
    </w:p>
    <w:p w14:paraId="1F8163B3" w14:textId="77777777" w:rsidR="008D0565" w:rsidRPr="00D61F73" w:rsidRDefault="008D0565" w:rsidP="00D61F73">
      <w:pPr>
        <w:rPr>
          <w:rFonts w:ascii="Arial" w:hAnsi="Arial" w:cs="Arial"/>
        </w:rPr>
      </w:pPr>
    </w:p>
    <w:p w14:paraId="41DA94CE"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52" w:name="Spence"/>
      <w:bookmarkEnd w:id="1152"/>
      <w:r w:rsidRPr="00D61F73">
        <w:rPr>
          <w:rFonts w:ascii="Arial" w:hAnsi="Arial" w:cs="Arial"/>
          <w:b/>
          <w:bCs/>
        </w:rPr>
        <w:t xml:space="preserve">pence SH, Sharpe L, Newton-John T, Champion D. Effect of EMG biofeedback compared to applied relaxation training with chronic, upper extremity cumulative trauma disorders. </w:t>
      </w:r>
      <w:r w:rsidRPr="00D61F73">
        <w:rPr>
          <w:rFonts w:ascii="Arial" w:hAnsi="Arial" w:cs="Arial"/>
          <w:b/>
          <w:bCs/>
          <w:i/>
          <w:iCs/>
        </w:rPr>
        <w:t>Pain.</w:t>
      </w:r>
      <w:r w:rsidRPr="00D61F73">
        <w:rPr>
          <w:rFonts w:ascii="Arial" w:hAnsi="Arial" w:cs="Arial"/>
          <w:b/>
          <w:bCs/>
        </w:rPr>
        <w:t xml:space="preserve"> 1995 Nov;63(2):199-206.</w:t>
      </w:r>
    </w:p>
    <w:p w14:paraId="798B8750" w14:textId="77777777" w:rsidR="008D0565" w:rsidRPr="00D61F73" w:rsidRDefault="008D0565" w:rsidP="00D61F73">
      <w:pPr>
        <w:rPr>
          <w:rFonts w:ascii="Arial" w:hAnsi="Arial" w:cs="Arial"/>
        </w:rPr>
      </w:pPr>
    </w:p>
    <w:p w14:paraId="78D2F827" w14:textId="77777777" w:rsidR="008D0565" w:rsidRPr="00D61F73" w:rsidRDefault="008D0565" w:rsidP="00D61F73">
      <w:pPr>
        <w:rPr>
          <w:rFonts w:ascii="Arial" w:hAnsi="Arial" w:cs="Arial"/>
        </w:rPr>
      </w:pPr>
      <w:r w:rsidRPr="00D61F73">
        <w:rPr>
          <w:rFonts w:ascii="Arial" w:hAnsi="Arial" w:cs="Arial"/>
        </w:rPr>
        <w:t>The strongest short-term treatment benefits were shown by patients receiving applied relaxation training on measures of pain, distress, interference in daily living, depression and anxiety. By 6-month follow-up, differences between treatment groups were no longer evident.</w:t>
      </w:r>
    </w:p>
    <w:p w14:paraId="5086E62E" w14:textId="77777777" w:rsidR="008D0565" w:rsidRPr="00D61F73" w:rsidRDefault="008D0565" w:rsidP="00D61F73">
      <w:pPr>
        <w:rPr>
          <w:rFonts w:ascii="Arial" w:hAnsi="Arial" w:cs="Arial"/>
        </w:rPr>
      </w:pPr>
    </w:p>
    <w:p w14:paraId="62394FD8" w14:textId="77777777" w:rsidR="008D0565" w:rsidRPr="00D61F73" w:rsidRDefault="008D0565" w:rsidP="00D61F73">
      <w:pPr>
        <w:rPr>
          <w:rFonts w:ascii="Arial" w:hAnsi="Arial" w:cs="Arial"/>
        </w:rPr>
      </w:pPr>
      <w:r w:rsidRPr="00D61F73">
        <w:rPr>
          <w:rFonts w:ascii="Arial" w:hAnsi="Arial" w:cs="Arial"/>
        </w:rPr>
        <w:t xml:space="preserve">PMID: </w:t>
      </w:r>
      <w:hyperlink r:id="rId796" w:history="1">
        <w:r w:rsidRPr="00D61F73">
          <w:rPr>
            <w:rStyle w:val="Hyperlink"/>
            <w:rFonts w:ascii="Arial" w:hAnsi="Arial" w:cs="Arial"/>
          </w:rPr>
          <w:t>8628585</w:t>
        </w:r>
      </w:hyperlink>
      <w:r w:rsidRPr="00D61F73">
        <w:rPr>
          <w:rFonts w:ascii="Arial" w:hAnsi="Arial" w:cs="Arial"/>
        </w:rPr>
        <w:t xml:space="preserve"> </w:t>
      </w:r>
    </w:p>
    <w:p w14:paraId="4BB90934" w14:textId="77777777" w:rsidR="008D0565" w:rsidRPr="00D61F73" w:rsidRDefault="008D0565" w:rsidP="00D61F73">
      <w:pPr>
        <w:rPr>
          <w:rFonts w:ascii="Arial" w:hAnsi="Arial" w:cs="Arial"/>
        </w:rPr>
      </w:pPr>
    </w:p>
    <w:p w14:paraId="14A2F3C6" w14:textId="77777777" w:rsidR="008D0565" w:rsidRPr="00D61F73" w:rsidRDefault="008D0565" w:rsidP="00D61F73">
      <w:pPr>
        <w:rPr>
          <w:rFonts w:ascii="Arial" w:hAnsi="Arial" w:cs="Arial"/>
        </w:rPr>
      </w:pPr>
      <w:r w:rsidRPr="00D61F73">
        <w:rPr>
          <w:rFonts w:ascii="Arial" w:hAnsi="Arial" w:cs="Arial"/>
        </w:rPr>
        <w:t>Rating: 2c</w:t>
      </w:r>
    </w:p>
    <w:p w14:paraId="4A6EAB47"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153" w:name="Spruce"/>
      <w:bookmarkEnd w:id="1153"/>
      <w:r w:rsidRPr="00D61F73">
        <w:rPr>
          <w:rFonts w:ascii="Arial" w:hAnsi="Arial" w:cs="Arial"/>
          <w:b/>
        </w:rPr>
        <w:t xml:space="preserve">pruce MC, Potter J, Coppini DV. The pathogenesis and management of painful diabetic neuropathy: a review. </w:t>
      </w:r>
      <w:r w:rsidRPr="00D61F73">
        <w:rPr>
          <w:rFonts w:ascii="Arial" w:hAnsi="Arial" w:cs="Arial"/>
          <w:b/>
          <w:i/>
        </w:rPr>
        <w:t>Diabet Med</w:t>
      </w:r>
      <w:r w:rsidRPr="00D61F73">
        <w:rPr>
          <w:rFonts w:ascii="Arial" w:hAnsi="Arial" w:cs="Arial"/>
          <w:b/>
        </w:rPr>
        <w:t xml:space="preserve">. 2003 Feb;20(2):88-98. </w:t>
      </w:r>
    </w:p>
    <w:p w14:paraId="12AD8D0D" w14:textId="77777777" w:rsidR="008D0565" w:rsidRPr="00D61F73" w:rsidRDefault="008D0565" w:rsidP="00D61F73">
      <w:pPr>
        <w:rPr>
          <w:rFonts w:ascii="Arial" w:hAnsi="Arial" w:cs="Arial"/>
        </w:rPr>
      </w:pPr>
    </w:p>
    <w:p w14:paraId="2708DF6D" w14:textId="77777777" w:rsidR="008D0565" w:rsidRPr="00D61F73" w:rsidRDefault="008D0565" w:rsidP="00D61F73">
      <w:pPr>
        <w:rPr>
          <w:rFonts w:ascii="Arial" w:hAnsi="Arial" w:cs="Arial"/>
        </w:rPr>
      </w:pPr>
      <w:r w:rsidRPr="00D61F73">
        <w:rPr>
          <w:rFonts w:ascii="Arial" w:hAnsi="Arial" w:cs="Arial"/>
        </w:rPr>
        <w:t xml:space="preserve">Emerging theories suggest that early dysaesthesia associated with painful neuropathy may act as a marker for the development of the 'at risk' foot, allowing preventative clinical strategies to be undertaken. </w:t>
      </w:r>
    </w:p>
    <w:p w14:paraId="1A7018D0" w14:textId="77777777" w:rsidR="008D0565" w:rsidRPr="00D61F73" w:rsidRDefault="008D0565" w:rsidP="00D61F73">
      <w:pPr>
        <w:rPr>
          <w:rFonts w:ascii="Arial" w:hAnsi="Arial" w:cs="Arial"/>
        </w:rPr>
      </w:pPr>
    </w:p>
    <w:p w14:paraId="5974B096" w14:textId="77777777" w:rsidR="008D0565" w:rsidRPr="00D61F73" w:rsidRDefault="008D0565" w:rsidP="00D61F73">
      <w:pPr>
        <w:rPr>
          <w:rFonts w:ascii="Arial" w:hAnsi="Arial" w:cs="Arial"/>
        </w:rPr>
      </w:pPr>
      <w:r w:rsidRPr="00D61F73">
        <w:rPr>
          <w:rFonts w:ascii="Arial" w:hAnsi="Arial" w:cs="Arial"/>
        </w:rPr>
        <w:t xml:space="preserve">PMID: </w:t>
      </w:r>
      <w:hyperlink r:id="rId797" w:history="1">
        <w:r w:rsidRPr="00D61F73">
          <w:rPr>
            <w:rStyle w:val="Hyperlink"/>
            <w:rFonts w:ascii="Arial" w:hAnsi="Arial" w:cs="Arial"/>
          </w:rPr>
          <w:t>12581259</w:t>
        </w:r>
      </w:hyperlink>
    </w:p>
    <w:p w14:paraId="6CA76034" w14:textId="77777777" w:rsidR="008D0565" w:rsidRPr="00D61F73" w:rsidRDefault="008D0565" w:rsidP="00D61F73">
      <w:pPr>
        <w:rPr>
          <w:rFonts w:ascii="Arial" w:hAnsi="Arial" w:cs="Arial"/>
        </w:rPr>
      </w:pPr>
    </w:p>
    <w:p w14:paraId="6C229270" w14:textId="77777777" w:rsidR="008D0565" w:rsidRPr="00D61F73" w:rsidRDefault="008D0565" w:rsidP="00D61F73">
      <w:pPr>
        <w:rPr>
          <w:rFonts w:ascii="Arial" w:hAnsi="Arial" w:cs="Arial"/>
        </w:rPr>
      </w:pPr>
      <w:r w:rsidRPr="00D61F73">
        <w:rPr>
          <w:rFonts w:ascii="Arial" w:hAnsi="Arial" w:cs="Arial"/>
        </w:rPr>
        <w:t>Rating: 5c</w:t>
      </w:r>
    </w:p>
    <w:p w14:paraId="0558D418"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154" w:name="Staal"/>
      <w:bookmarkEnd w:id="1154"/>
      <w:r w:rsidRPr="00D61F73">
        <w:rPr>
          <w:rFonts w:ascii="Arial" w:hAnsi="Arial" w:cs="Arial"/>
          <w:b/>
        </w:rPr>
        <w:t xml:space="preserve">taal JB, de Bie R, de Vet HC, Hildebrandt J, Nelemans P. Injection therapy for subacute and chronic low-back pain. </w:t>
      </w:r>
      <w:r w:rsidRPr="00D61F73">
        <w:rPr>
          <w:rFonts w:ascii="Arial" w:hAnsi="Arial" w:cs="Arial"/>
          <w:b/>
          <w:i/>
        </w:rPr>
        <w:t>Cochrane Database Syst Rev</w:t>
      </w:r>
      <w:r w:rsidRPr="00D61F73">
        <w:rPr>
          <w:rFonts w:ascii="Arial" w:hAnsi="Arial" w:cs="Arial"/>
          <w:b/>
        </w:rPr>
        <w:t>. 2008;(3):CD001824.</w:t>
      </w:r>
    </w:p>
    <w:p w14:paraId="3BCD4482" w14:textId="77777777" w:rsidR="008D0565" w:rsidRPr="00D61F73" w:rsidRDefault="008D0565" w:rsidP="00D61F73">
      <w:pPr>
        <w:rPr>
          <w:rFonts w:ascii="Arial" w:hAnsi="Arial" w:cs="Arial"/>
        </w:rPr>
      </w:pPr>
    </w:p>
    <w:p w14:paraId="4CC9F403" w14:textId="77777777" w:rsidR="008D0565" w:rsidRPr="00D61F73" w:rsidRDefault="008D0565" w:rsidP="00D61F73">
      <w:pPr>
        <w:rPr>
          <w:rFonts w:ascii="Arial" w:hAnsi="Arial" w:cs="Arial"/>
        </w:rPr>
      </w:pPr>
      <w:r w:rsidRPr="00D61F73">
        <w:rPr>
          <w:rFonts w:ascii="Arial" w:hAnsi="Arial" w:cs="Arial"/>
        </w:rPr>
        <w:t xml:space="preserve">RESULTS: 18 trials (1179 participants) were included in this updated review. CONCLUSIONS: There is insufficient evidence to support the use of injection therapy in subacute and chronic low-back pain. </w:t>
      </w:r>
    </w:p>
    <w:p w14:paraId="7AA2E72F" w14:textId="77777777" w:rsidR="008D0565" w:rsidRPr="00D61F73" w:rsidRDefault="008D0565" w:rsidP="00D61F73">
      <w:pPr>
        <w:rPr>
          <w:rFonts w:ascii="Arial" w:hAnsi="Arial" w:cs="Arial"/>
        </w:rPr>
      </w:pPr>
    </w:p>
    <w:p w14:paraId="568BFCF2" w14:textId="77777777" w:rsidR="008D0565" w:rsidRPr="00D61F73" w:rsidRDefault="008D0565" w:rsidP="00D61F73">
      <w:pPr>
        <w:rPr>
          <w:rFonts w:ascii="Arial" w:hAnsi="Arial" w:cs="Arial"/>
        </w:rPr>
      </w:pPr>
      <w:r w:rsidRPr="00D61F73">
        <w:rPr>
          <w:rFonts w:ascii="Arial" w:hAnsi="Arial" w:cs="Arial"/>
        </w:rPr>
        <w:t xml:space="preserve">PMID: </w:t>
      </w:r>
      <w:hyperlink r:id="rId798" w:history="1">
        <w:r w:rsidRPr="00D61F73">
          <w:rPr>
            <w:rStyle w:val="Hyperlink"/>
            <w:rFonts w:ascii="Arial" w:hAnsi="Arial" w:cs="Arial"/>
          </w:rPr>
          <w:t>18646078</w:t>
        </w:r>
      </w:hyperlink>
    </w:p>
    <w:p w14:paraId="5373A7F4" w14:textId="77777777" w:rsidR="008D0565" w:rsidRPr="00D61F73" w:rsidRDefault="008D0565" w:rsidP="00D61F73">
      <w:pPr>
        <w:rPr>
          <w:rFonts w:ascii="Arial" w:hAnsi="Arial" w:cs="Arial"/>
        </w:rPr>
      </w:pPr>
    </w:p>
    <w:p w14:paraId="16FF25E4" w14:textId="77777777" w:rsidR="008D0565" w:rsidRPr="00D61F73" w:rsidRDefault="008D0565" w:rsidP="00D61F73">
      <w:pPr>
        <w:rPr>
          <w:rFonts w:ascii="Arial" w:hAnsi="Arial" w:cs="Arial"/>
        </w:rPr>
      </w:pPr>
      <w:r w:rsidRPr="00D61F73">
        <w:rPr>
          <w:rFonts w:ascii="Arial" w:hAnsi="Arial" w:cs="Arial"/>
        </w:rPr>
        <w:t>Rating: 1b</w:t>
      </w:r>
    </w:p>
    <w:p w14:paraId="555D6508"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S</w:t>
      </w:r>
      <w:bookmarkStart w:id="1155" w:name="Stacey"/>
      <w:bookmarkEnd w:id="1155"/>
      <w:r w:rsidRPr="00D61F73">
        <w:rPr>
          <w:rFonts w:ascii="Arial" w:hAnsi="Arial" w:cs="Arial"/>
          <w:b/>
        </w:rPr>
        <w:t xml:space="preserve">tacey BR, Dworkin RH, Murphy K, Sharma U, Emir B, Griesing T. Pregabalin in the Treatment of Refractory Neuropathic Pain: Results of a 15-Month Open-Label Trial. </w:t>
      </w:r>
      <w:r w:rsidRPr="00D61F73">
        <w:rPr>
          <w:rFonts w:ascii="Arial" w:hAnsi="Arial" w:cs="Arial"/>
          <w:b/>
          <w:i/>
        </w:rPr>
        <w:t>Pain Med.</w:t>
      </w:r>
      <w:r w:rsidRPr="00D61F73">
        <w:rPr>
          <w:rFonts w:ascii="Arial" w:hAnsi="Arial" w:cs="Arial"/>
          <w:b/>
        </w:rPr>
        <w:t xml:space="preserve"> 2008 Mar 11.</w:t>
      </w:r>
    </w:p>
    <w:p w14:paraId="7AF9CF80" w14:textId="77777777" w:rsidR="008D0565" w:rsidRPr="00D61F73" w:rsidRDefault="008D0565" w:rsidP="00D61F73">
      <w:pPr>
        <w:rPr>
          <w:rFonts w:ascii="Arial" w:hAnsi="Arial" w:cs="Arial"/>
        </w:rPr>
      </w:pPr>
    </w:p>
    <w:p w14:paraId="5C9A5B68" w14:textId="77777777" w:rsidR="008D0565" w:rsidRPr="00D61F73" w:rsidRDefault="008D0565" w:rsidP="00D61F73">
      <w:pPr>
        <w:rPr>
          <w:rFonts w:ascii="Arial" w:hAnsi="Arial" w:cs="Arial"/>
        </w:rPr>
      </w:pPr>
      <w:r w:rsidRPr="00D61F73">
        <w:rPr>
          <w:rFonts w:ascii="Arial" w:hAnsi="Arial" w:cs="Arial"/>
        </w:rPr>
        <w:t>Conclusions. These results suggest that pregabalin may be beneficial in patients with neuropathic pain who have had an unsatisfactory response to treatment with other medications.</w:t>
      </w:r>
    </w:p>
    <w:p w14:paraId="28B19301" w14:textId="77777777" w:rsidR="008D0565" w:rsidRPr="00D61F73" w:rsidRDefault="008D0565" w:rsidP="00D61F73">
      <w:pPr>
        <w:rPr>
          <w:rFonts w:ascii="Arial" w:hAnsi="Arial" w:cs="Arial"/>
        </w:rPr>
      </w:pPr>
    </w:p>
    <w:p w14:paraId="3F614842" w14:textId="77777777" w:rsidR="008D0565" w:rsidRPr="00D61F73" w:rsidRDefault="008D0565" w:rsidP="00D61F73">
      <w:pPr>
        <w:rPr>
          <w:rFonts w:ascii="Arial" w:hAnsi="Arial" w:cs="Arial"/>
        </w:rPr>
      </w:pPr>
      <w:r w:rsidRPr="00D61F73">
        <w:rPr>
          <w:rFonts w:ascii="Arial" w:hAnsi="Arial" w:cs="Arial"/>
        </w:rPr>
        <w:t xml:space="preserve">PMID: </w:t>
      </w:r>
      <w:hyperlink r:id="rId799" w:history="1">
        <w:r w:rsidRPr="00D61F73">
          <w:rPr>
            <w:rStyle w:val="Hyperlink"/>
            <w:rFonts w:ascii="Arial" w:hAnsi="Arial" w:cs="Arial"/>
          </w:rPr>
          <w:t>18346060</w:t>
        </w:r>
      </w:hyperlink>
    </w:p>
    <w:p w14:paraId="121DDCFA" w14:textId="77777777" w:rsidR="008D0565" w:rsidRPr="00D61F73" w:rsidRDefault="008D0565" w:rsidP="00D61F73">
      <w:pPr>
        <w:rPr>
          <w:rFonts w:ascii="Arial" w:hAnsi="Arial" w:cs="Arial"/>
        </w:rPr>
      </w:pPr>
    </w:p>
    <w:p w14:paraId="1EB323DC" w14:textId="77777777" w:rsidR="008D0565" w:rsidRPr="00D61F73" w:rsidRDefault="008D0565" w:rsidP="00D61F73">
      <w:pPr>
        <w:rPr>
          <w:rFonts w:ascii="Arial" w:hAnsi="Arial" w:cs="Arial"/>
        </w:rPr>
      </w:pPr>
      <w:r w:rsidRPr="00D61F73">
        <w:rPr>
          <w:rFonts w:ascii="Arial" w:hAnsi="Arial" w:cs="Arial"/>
        </w:rPr>
        <w:t>Rating: 4c</w:t>
      </w:r>
    </w:p>
    <w:p w14:paraId="59737BDF"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S</w:t>
      </w:r>
      <w:bookmarkStart w:id="1156" w:name="Stanos"/>
      <w:bookmarkEnd w:id="1156"/>
      <w:r w:rsidRPr="00D61F73">
        <w:rPr>
          <w:rFonts w:ascii="Arial" w:hAnsi="Arial" w:cs="Arial"/>
          <w:b/>
        </w:rPr>
        <w:t xml:space="preserve">tanos S, Houle TT. Multidisciplinary and interdisciplinary management of chronic pain. </w:t>
      </w:r>
      <w:r w:rsidRPr="00D61F73">
        <w:rPr>
          <w:rFonts w:ascii="Arial" w:hAnsi="Arial" w:cs="Arial"/>
          <w:b/>
          <w:i/>
        </w:rPr>
        <w:t>Phys Med Rehabil Clin N Am.</w:t>
      </w:r>
      <w:r w:rsidRPr="00D61F73">
        <w:rPr>
          <w:rFonts w:ascii="Arial" w:hAnsi="Arial" w:cs="Arial"/>
          <w:b/>
        </w:rPr>
        <w:t xml:space="preserve"> 2006 May;17(2):435-50, vii.</w:t>
      </w:r>
    </w:p>
    <w:p w14:paraId="3E6408C2" w14:textId="77777777" w:rsidR="008D0565" w:rsidRPr="00D61F73" w:rsidRDefault="008D0565" w:rsidP="00D61F73">
      <w:pPr>
        <w:rPr>
          <w:rFonts w:ascii="Arial" w:hAnsi="Arial" w:cs="Arial"/>
        </w:rPr>
      </w:pPr>
    </w:p>
    <w:p w14:paraId="1EB0BFCA" w14:textId="77777777" w:rsidR="008D0565" w:rsidRPr="00D61F73" w:rsidRDefault="008D0565" w:rsidP="00D61F73">
      <w:pPr>
        <w:rPr>
          <w:rFonts w:ascii="Arial" w:hAnsi="Arial" w:cs="Arial"/>
        </w:rPr>
      </w:pPr>
      <w:r w:rsidRPr="00D61F73">
        <w:rPr>
          <w:rFonts w:ascii="Arial" w:hAnsi="Arial" w:cs="Arial"/>
        </w:rPr>
        <w:t xml:space="preserve">Multidisciplinary and interdisciplinary pain management programs incorporate a biopsychosocial model in assessing and treating pain and result in pain reduction, improved quality of life, and psychosocial functioning. </w:t>
      </w:r>
    </w:p>
    <w:p w14:paraId="7DBA5C88" w14:textId="77777777" w:rsidR="008D0565" w:rsidRPr="00D61F73" w:rsidRDefault="008D0565" w:rsidP="00D61F73">
      <w:pPr>
        <w:rPr>
          <w:rFonts w:ascii="Arial" w:hAnsi="Arial" w:cs="Arial"/>
        </w:rPr>
      </w:pPr>
    </w:p>
    <w:p w14:paraId="717CB76D"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5c</w:t>
      </w:r>
    </w:p>
    <w:p w14:paraId="5895D1B3"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57" w:name="StantonHicks"/>
      <w:bookmarkEnd w:id="1157"/>
      <w:r w:rsidRPr="00D61F73">
        <w:rPr>
          <w:rFonts w:ascii="Arial" w:hAnsi="Arial" w:cs="Arial"/>
          <w:b/>
          <w:bCs/>
        </w:rPr>
        <w:t xml:space="preserve">tanton-Hicks M, Janig W, Hassenbusch S, Haddox JD, Boas R, Wilson P. Reflex sympathetic dystrophy: changing concepts and taxonomy. </w:t>
      </w:r>
      <w:r w:rsidRPr="00D61F73">
        <w:rPr>
          <w:rFonts w:ascii="Arial" w:hAnsi="Arial" w:cs="Arial"/>
          <w:b/>
          <w:bCs/>
          <w:i/>
          <w:iCs/>
        </w:rPr>
        <w:t>Pain</w:t>
      </w:r>
      <w:r w:rsidRPr="00D61F73">
        <w:rPr>
          <w:rFonts w:ascii="Arial" w:hAnsi="Arial" w:cs="Arial"/>
          <w:b/>
          <w:bCs/>
        </w:rPr>
        <w:t xml:space="preserve">. 1995 Oct;63(1):127-33. </w:t>
      </w:r>
    </w:p>
    <w:p w14:paraId="069A98AC" w14:textId="77777777" w:rsidR="008D0565" w:rsidRPr="00D61F73" w:rsidRDefault="008D0565" w:rsidP="00D61F73">
      <w:pPr>
        <w:pStyle w:val="NormalWeb"/>
        <w:spacing w:before="0" w:beforeAutospacing="0" w:after="0" w:afterAutospacing="0"/>
        <w:rPr>
          <w:rFonts w:ascii="Arial" w:hAnsi="Arial" w:cs="Arial"/>
        </w:rPr>
      </w:pPr>
    </w:p>
    <w:p w14:paraId="73DFAD63"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The term sympathetically maintained pain (SMP) was also evaluated and considered to be a variable phenomenon associated with a variety of disorders, including CRPS types I and II. </w:t>
      </w:r>
    </w:p>
    <w:p w14:paraId="670BA3ED" w14:textId="77777777" w:rsidR="008D0565" w:rsidRPr="00D61F73" w:rsidRDefault="008D0565" w:rsidP="00D61F73">
      <w:pPr>
        <w:pStyle w:val="NormalWeb"/>
        <w:spacing w:before="0" w:beforeAutospacing="0" w:after="0" w:afterAutospacing="0"/>
        <w:rPr>
          <w:rFonts w:ascii="Arial" w:hAnsi="Arial" w:cs="Arial"/>
        </w:rPr>
      </w:pPr>
    </w:p>
    <w:p w14:paraId="449CA9C4"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800" w:history="1">
        <w:r w:rsidRPr="00D61F73">
          <w:rPr>
            <w:rStyle w:val="Hyperlink"/>
            <w:rFonts w:ascii="Arial" w:hAnsi="Arial" w:cs="Arial"/>
          </w:rPr>
          <w:t>8577483</w:t>
        </w:r>
      </w:hyperlink>
      <w:r w:rsidRPr="00D61F73">
        <w:rPr>
          <w:rFonts w:ascii="Arial" w:hAnsi="Arial" w:cs="Arial"/>
        </w:rPr>
        <w:t xml:space="preserve"> </w:t>
      </w:r>
    </w:p>
    <w:p w14:paraId="4929A8E8" w14:textId="77777777" w:rsidR="008D0565" w:rsidRPr="00D61F73" w:rsidRDefault="008D0565" w:rsidP="00D61F73">
      <w:pPr>
        <w:pStyle w:val="NormalWeb"/>
        <w:spacing w:before="0" w:beforeAutospacing="0" w:after="0" w:afterAutospacing="0"/>
        <w:rPr>
          <w:rFonts w:ascii="Arial" w:hAnsi="Arial" w:cs="Arial"/>
        </w:rPr>
      </w:pPr>
    </w:p>
    <w:p w14:paraId="5E41AAE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1846BCA9" w14:textId="77777777" w:rsidR="008D0565" w:rsidRPr="00D61F73" w:rsidRDefault="008D0565" w:rsidP="00D61F73">
      <w:pPr>
        <w:pStyle w:val="NormalWeb"/>
        <w:spacing w:before="0" w:beforeAutospacing="0" w:after="0" w:afterAutospacing="0"/>
        <w:rPr>
          <w:rFonts w:ascii="Arial" w:hAnsi="Arial" w:cs="Arial"/>
          <w:b/>
          <w:bCs/>
        </w:rPr>
      </w:pPr>
      <w:r w:rsidRPr="00D61F73">
        <w:rPr>
          <w:rFonts w:ascii="Arial" w:hAnsi="Arial" w:cs="Arial"/>
        </w:rPr>
        <w:br w:type="page"/>
      </w:r>
      <w:r w:rsidRPr="00D61F73">
        <w:rPr>
          <w:rFonts w:ascii="Arial" w:hAnsi="Arial" w:cs="Arial"/>
          <w:b/>
          <w:bCs/>
        </w:rPr>
        <w:lastRenderedPageBreak/>
        <w:t>S</w:t>
      </w:r>
      <w:bookmarkStart w:id="1158" w:name="StantonHicks3"/>
      <w:bookmarkEnd w:id="1158"/>
      <w:r w:rsidRPr="00D61F73">
        <w:rPr>
          <w:rFonts w:ascii="Arial" w:hAnsi="Arial" w:cs="Arial"/>
          <w:b/>
          <w:bCs/>
        </w:rPr>
        <w:t>tanton-Hicks M. Complex Regional Pain Syndrome. In: Warfield CA, Bajwa JH. Principles and Practice of Pain Medicine. 2nd ed. McGraw-Hill; 2004.</w:t>
      </w:r>
    </w:p>
    <w:p w14:paraId="6CC05737" w14:textId="77777777" w:rsidR="008D0565" w:rsidRPr="00D61F73" w:rsidRDefault="008D0565" w:rsidP="00D61F73">
      <w:pPr>
        <w:pStyle w:val="NormalWeb"/>
        <w:spacing w:before="0" w:beforeAutospacing="0" w:after="0" w:afterAutospacing="0"/>
        <w:rPr>
          <w:rFonts w:ascii="Arial" w:hAnsi="Arial" w:cs="Arial"/>
        </w:rPr>
      </w:pPr>
    </w:p>
    <w:p w14:paraId="29DEBF2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9a</w:t>
      </w:r>
    </w:p>
    <w:p w14:paraId="61593E9F"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bookmarkStart w:id="1159" w:name="Colorado2"/>
      <w:bookmarkEnd w:id="1159"/>
      <w:r w:rsidRPr="00D61F73">
        <w:rPr>
          <w:rFonts w:ascii="Arial" w:hAnsi="Arial" w:cs="Arial"/>
          <w:b/>
        </w:rPr>
        <w:lastRenderedPageBreak/>
        <w:fldChar w:fldCharType="begin"/>
      </w:r>
      <w:r w:rsidRPr="00D61F73">
        <w:rPr>
          <w:rFonts w:ascii="Arial" w:hAnsi="Arial" w:cs="Arial"/>
          <w:b/>
        </w:rPr>
        <w:instrText>HYPERLINK "http://www.odg-twc.com/States/Colorado/R17 Exhibit D RSD.pdf"</w:instrText>
      </w:r>
      <w:r w:rsidRPr="00D61F73">
        <w:rPr>
          <w:rFonts w:ascii="Arial" w:hAnsi="Arial" w:cs="Arial"/>
          <w:b/>
        </w:rPr>
        <w:fldChar w:fldCharType="separate"/>
      </w:r>
      <w:r w:rsidRPr="00D61F73">
        <w:rPr>
          <w:rStyle w:val="Hyperlink"/>
          <w:rFonts w:ascii="Arial" w:hAnsi="Arial" w:cs="Arial"/>
          <w:b/>
        </w:rPr>
        <w:t>State of Colorado Department of Labor and Employment, Division of Workers’ Compensation</w:t>
      </w:r>
      <w:r w:rsidRPr="00D61F73">
        <w:rPr>
          <w:rFonts w:ascii="Arial" w:hAnsi="Arial" w:cs="Arial"/>
          <w:b/>
        </w:rPr>
        <w:fldChar w:fldCharType="end"/>
      </w:r>
      <w:r w:rsidRPr="00D61F73">
        <w:rPr>
          <w:rFonts w:ascii="Arial" w:hAnsi="Arial" w:cs="Arial"/>
          <w:b/>
        </w:rPr>
        <w:t>. Colorado Rule XVII, Exhibit 7, Complex Regional Pain Syndrome Medical Treatment Guideline. 01/01/06</w:t>
      </w:r>
    </w:p>
    <w:p w14:paraId="37C43DB8" w14:textId="77777777" w:rsidR="008D0565" w:rsidRPr="00D61F73" w:rsidRDefault="008D0565" w:rsidP="00D61F73">
      <w:pPr>
        <w:pStyle w:val="NormalWeb"/>
        <w:spacing w:before="0" w:beforeAutospacing="0" w:after="0" w:afterAutospacing="0"/>
        <w:rPr>
          <w:rFonts w:ascii="Arial" w:hAnsi="Arial" w:cs="Arial"/>
          <w:b/>
          <w:bCs/>
        </w:rPr>
      </w:pPr>
    </w:p>
    <w:p w14:paraId="7E807B28"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Complex Regional Pain Syndrome (CRPS Types I and II) describes painful syndromes, which were formerly referred to as Reflex Sympathetic Dystrophy (RSD) and causalgia. </w:t>
      </w:r>
    </w:p>
    <w:p w14:paraId="22019A08" w14:textId="77777777" w:rsidR="008D0565" w:rsidRPr="00D61F73" w:rsidRDefault="008D0565" w:rsidP="00D61F73">
      <w:pPr>
        <w:pStyle w:val="NormalWeb"/>
        <w:spacing w:before="0" w:beforeAutospacing="0" w:after="0" w:afterAutospacing="0"/>
        <w:rPr>
          <w:rFonts w:ascii="Arial" w:hAnsi="Arial" w:cs="Arial"/>
        </w:rPr>
      </w:pPr>
    </w:p>
    <w:p w14:paraId="327ED8F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Publication Type: State Treatment Guideline</w:t>
      </w:r>
    </w:p>
    <w:p w14:paraId="4756F83D" w14:textId="77777777" w:rsidR="008D0565" w:rsidRPr="00D61F73" w:rsidRDefault="008D0565" w:rsidP="00D61F73">
      <w:pPr>
        <w:pStyle w:val="NormalWeb"/>
        <w:spacing w:before="0" w:beforeAutospacing="0" w:after="0" w:afterAutospacing="0"/>
        <w:rPr>
          <w:rFonts w:ascii="Arial" w:hAnsi="Arial" w:cs="Arial"/>
        </w:rPr>
      </w:pPr>
    </w:p>
    <w:p w14:paraId="6E7E1AF1"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7a</w:t>
      </w:r>
    </w:p>
    <w:p w14:paraId="76DC8722" w14:textId="77777777" w:rsidR="008D0565" w:rsidRPr="00D61F73" w:rsidRDefault="008D0565" w:rsidP="00D61F73">
      <w:pPr>
        <w:pStyle w:val="NormalWeb"/>
        <w:spacing w:before="0" w:beforeAutospacing="0" w:after="0" w:afterAutospacing="0"/>
        <w:rPr>
          <w:rFonts w:ascii="Arial" w:hAnsi="Arial" w:cs="Arial"/>
        </w:rPr>
      </w:pPr>
    </w:p>
    <w:p w14:paraId="05391FA9" w14:textId="77777777" w:rsidR="008D0565" w:rsidRPr="00D61F73" w:rsidRDefault="008D0565" w:rsidP="00D61F73">
      <w:pPr>
        <w:rPr>
          <w:rFonts w:ascii="Arial" w:hAnsi="Arial" w:cs="Arial"/>
          <w:b/>
          <w:bCs/>
        </w:rPr>
      </w:pPr>
      <w:r w:rsidRPr="00D61F73">
        <w:rPr>
          <w:rFonts w:ascii="Arial" w:hAnsi="Arial" w:cs="Arial"/>
          <w:b/>
          <w:bCs/>
        </w:rPr>
        <w:br w:type="page"/>
      </w:r>
      <w:bookmarkStart w:id="1160" w:name="Staiger"/>
      <w:r w:rsidRPr="00D61F73">
        <w:rPr>
          <w:rFonts w:ascii="Arial" w:hAnsi="Arial" w:cs="Arial"/>
          <w:b/>
          <w:bCs/>
        </w:rPr>
        <w:lastRenderedPageBreak/>
        <w:t>Staiger</w:t>
      </w:r>
      <w:bookmarkEnd w:id="1160"/>
      <w:r w:rsidRPr="00D61F73">
        <w:rPr>
          <w:rFonts w:ascii="Arial" w:hAnsi="Arial" w:cs="Arial"/>
          <w:b/>
          <w:bCs/>
        </w:rPr>
        <w:t xml:space="preserve"> TO, Gaster B, Sullivan MD, Deyo RA, Systematic review of antidepressants in the treatment of chronic low back pain, </w:t>
      </w:r>
      <w:r w:rsidRPr="00D61F73">
        <w:rPr>
          <w:rFonts w:ascii="Arial" w:hAnsi="Arial" w:cs="Arial"/>
          <w:b/>
          <w:bCs/>
          <w:i/>
          <w:iCs/>
        </w:rPr>
        <w:t>Spine</w:t>
      </w:r>
      <w:r w:rsidRPr="00D61F73">
        <w:rPr>
          <w:rFonts w:ascii="Arial" w:hAnsi="Arial" w:cs="Arial"/>
          <w:b/>
          <w:bCs/>
        </w:rPr>
        <w:t>. 2003 Nov 15;28(22):2540-5</w:t>
      </w:r>
    </w:p>
    <w:p w14:paraId="7B80570E" w14:textId="77777777" w:rsidR="008D0565" w:rsidRPr="00D61F73" w:rsidRDefault="008D0565" w:rsidP="00D61F73">
      <w:pPr>
        <w:rPr>
          <w:rFonts w:ascii="Arial" w:hAnsi="Arial" w:cs="Arial"/>
        </w:rPr>
      </w:pPr>
    </w:p>
    <w:p w14:paraId="0598AAED" w14:textId="77777777" w:rsidR="008D0565" w:rsidRPr="00D61F73" w:rsidRDefault="008D0565" w:rsidP="00D61F73">
      <w:pPr>
        <w:rPr>
          <w:rFonts w:ascii="Arial" w:hAnsi="Arial" w:cs="Arial"/>
        </w:rPr>
      </w:pPr>
      <w:r w:rsidRPr="00D61F73">
        <w:rPr>
          <w:rFonts w:ascii="Arial" w:hAnsi="Arial" w:cs="Arial"/>
        </w:rPr>
        <w:t>CONCLUSIONS: Based on a small number of studies, tricyclic and tetracyclic antidepressants appear to produce moderate symptom reductions for patients with chronic low back pain. This benefit appears to be independent of depression status. SSRIs do not appear to be beneficial for patients with chronic low back pain. There is conflicting evidence whether antidepressants improve functional status of patients with chronic low back pain.</w:t>
      </w:r>
    </w:p>
    <w:p w14:paraId="4CE1FCDF" w14:textId="77777777" w:rsidR="008D0565" w:rsidRPr="00D61F73" w:rsidRDefault="008D0565" w:rsidP="00D61F73">
      <w:pPr>
        <w:rPr>
          <w:rFonts w:ascii="Arial" w:hAnsi="Arial" w:cs="Arial"/>
        </w:rPr>
      </w:pPr>
    </w:p>
    <w:p w14:paraId="14AEC863" w14:textId="77777777" w:rsidR="008D0565" w:rsidRPr="00D61F73" w:rsidRDefault="008D0565" w:rsidP="00D61F73">
      <w:pPr>
        <w:rPr>
          <w:rFonts w:ascii="Arial" w:hAnsi="Arial" w:cs="Arial"/>
        </w:rPr>
      </w:pPr>
      <w:r w:rsidRPr="00D61F73">
        <w:rPr>
          <w:rFonts w:ascii="Arial" w:hAnsi="Arial" w:cs="Arial"/>
        </w:rPr>
        <w:t xml:space="preserve">PMID: </w:t>
      </w:r>
      <w:hyperlink r:id="rId801" w:history="1">
        <w:r w:rsidRPr="00D61F73">
          <w:rPr>
            <w:rStyle w:val="Hyperlink"/>
            <w:rFonts w:ascii="Arial" w:hAnsi="Arial" w:cs="Arial"/>
          </w:rPr>
          <w:t>14624092</w:t>
        </w:r>
      </w:hyperlink>
      <w:r w:rsidRPr="00D61F73">
        <w:rPr>
          <w:rFonts w:ascii="Arial" w:hAnsi="Arial" w:cs="Arial"/>
        </w:rPr>
        <w:t xml:space="preserve"> </w:t>
      </w:r>
    </w:p>
    <w:p w14:paraId="104A3B7C" w14:textId="77777777" w:rsidR="008D0565" w:rsidRPr="00D61F73" w:rsidRDefault="008D0565" w:rsidP="00D61F73">
      <w:pPr>
        <w:rPr>
          <w:rFonts w:ascii="Arial" w:hAnsi="Arial" w:cs="Arial"/>
        </w:rPr>
      </w:pPr>
    </w:p>
    <w:p w14:paraId="0AD8BC66" w14:textId="77777777" w:rsidR="008D0565" w:rsidRPr="00D61F73" w:rsidRDefault="008D0565" w:rsidP="00D61F73">
      <w:pPr>
        <w:rPr>
          <w:rFonts w:ascii="Arial" w:hAnsi="Arial" w:cs="Arial"/>
        </w:rPr>
      </w:pPr>
      <w:r w:rsidRPr="00D61F73">
        <w:rPr>
          <w:rFonts w:ascii="Arial" w:hAnsi="Arial" w:cs="Arial"/>
        </w:rPr>
        <w:t>Rating: 1b</w:t>
      </w:r>
    </w:p>
    <w:p w14:paraId="37C038F2" w14:textId="77777777" w:rsidR="008D0565" w:rsidRPr="00D61F73" w:rsidRDefault="008D0565" w:rsidP="00D61F73">
      <w:pPr>
        <w:tabs>
          <w:tab w:val="left" w:pos="7659"/>
        </w:tabs>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61" w:name="StantonHicks2"/>
      <w:bookmarkEnd w:id="1161"/>
      <w:r w:rsidRPr="00D61F73">
        <w:rPr>
          <w:rFonts w:ascii="Arial" w:hAnsi="Arial" w:cs="Arial"/>
          <w:b/>
          <w:bCs/>
        </w:rPr>
        <w:t xml:space="preserve">tanton-Hicks M. Complex regional pain syndrome: manifestations and the role of neurostimulation in its management. </w:t>
      </w:r>
      <w:r w:rsidRPr="00D61F73">
        <w:rPr>
          <w:rFonts w:ascii="Arial" w:hAnsi="Arial" w:cs="Arial"/>
          <w:b/>
          <w:bCs/>
          <w:i/>
          <w:iCs/>
        </w:rPr>
        <w:t>J Pain Symptom Manage</w:t>
      </w:r>
      <w:r w:rsidRPr="00D61F73">
        <w:rPr>
          <w:rFonts w:ascii="Arial" w:hAnsi="Arial" w:cs="Arial"/>
          <w:b/>
          <w:bCs/>
        </w:rPr>
        <w:t>. 2006 Apr;31(4 Suppl):S20-4.</w:t>
      </w:r>
    </w:p>
    <w:p w14:paraId="645575FA" w14:textId="77777777" w:rsidR="008D0565" w:rsidRPr="00D61F73" w:rsidRDefault="008D0565" w:rsidP="00D61F73">
      <w:pPr>
        <w:pStyle w:val="Footer"/>
        <w:tabs>
          <w:tab w:val="clear" w:pos="4320"/>
          <w:tab w:val="clear" w:pos="8640"/>
        </w:tabs>
        <w:rPr>
          <w:rFonts w:ascii="Arial" w:hAnsi="Arial" w:cs="Arial"/>
        </w:rPr>
      </w:pPr>
    </w:p>
    <w:p w14:paraId="3D9BDE66" w14:textId="77777777" w:rsidR="008D0565" w:rsidRPr="00D61F73" w:rsidRDefault="008D0565" w:rsidP="00D61F73">
      <w:pPr>
        <w:rPr>
          <w:rFonts w:ascii="Arial" w:hAnsi="Arial" w:cs="Arial"/>
        </w:rPr>
      </w:pPr>
      <w:r w:rsidRPr="00D61F73">
        <w:rPr>
          <w:rFonts w:ascii="Arial" w:hAnsi="Arial" w:cs="Arial"/>
        </w:rPr>
        <w:t xml:space="preserve">If no response to conventional treatment (e.g., pharmacotherapy) is noted within 12-16 weeks, a more interventional technique such as spinal cord stimulation (SCS) should be used. </w:t>
      </w:r>
    </w:p>
    <w:p w14:paraId="1FAFBC15" w14:textId="77777777" w:rsidR="008D0565" w:rsidRPr="00D61F73" w:rsidRDefault="008D0565" w:rsidP="00D61F73">
      <w:pPr>
        <w:rPr>
          <w:rFonts w:ascii="Arial" w:hAnsi="Arial" w:cs="Arial"/>
        </w:rPr>
      </w:pPr>
    </w:p>
    <w:p w14:paraId="33CF40FB" w14:textId="77777777" w:rsidR="008D0565" w:rsidRPr="00D61F73" w:rsidRDefault="008D0565" w:rsidP="00D61F73">
      <w:pPr>
        <w:rPr>
          <w:rFonts w:ascii="Arial" w:hAnsi="Arial" w:cs="Arial"/>
        </w:rPr>
      </w:pPr>
      <w:r w:rsidRPr="00D61F73">
        <w:rPr>
          <w:rFonts w:ascii="Arial" w:hAnsi="Arial" w:cs="Arial"/>
        </w:rPr>
        <w:t xml:space="preserve">PMID: </w:t>
      </w:r>
      <w:hyperlink r:id="rId802" w:history="1">
        <w:r w:rsidRPr="00D61F73">
          <w:rPr>
            <w:rStyle w:val="Hyperlink"/>
            <w:rFonts w:ascii="Arial" w:hAnsi="Arial" w:cs="Arial"/>
          </w:rPr>
          <w:t>16647591</w:t>
        </w:r>
      </w:hyperlink>
      <w:r w:rsidRPr="00D61F73">
        <w:rPr>
          <w:rFonts w:ascii="Arial" w:hAnsi="Arial" w:cs="Arial"/>
        </w:rPr>
        <w:t xml:space="preserve"> </w:t>
      </w:r>
    </w:p>
    <w:p w14:paraId="30FC9E5F" w14:textId="77777777" w:rsidR="008D0565" w:rsidRPr="00D61F73" w:rsidRDefault="008D0565" w:rsidP="00D61F73">
      <w:pPr>
        <w:rPr>
          <w:rFonts w:ascii="Arial" w:hAnsi="Arial" w:cs="Arial"/>
        </w:rPr>
      </w:pPr>
    </w:p>
    <w:p w14:paraId="66547D66" w14:textId="77777777" w:rsidR="008D0565" w:rsidRPr="00D61F73" w:rsidRDefault="008D0565" w:rsidP="00D61F73">
      <w:pPr>
        <w:rPr>
          <w:rFonts w:ascii="Arial" w:hAnsi="Arial" w:cs="Arial"/>
          <w:b/>
          <w:bCs/>
        </w:rPr>
      </w:pPr>
      <w:r w:rsidRPr="00D61F73">
        <w:rPr>
          <w:rFonts w:ascii="Arial" w:hAnsi="Arial" w:cs="Arial"/>
        </w:rPr>
        <w:t>Rating: 5b</w:t>
      </w:r>
    </w:p>
    <w:p w14:paraId="525B988E" w14:textId="77777777" w:rsidR="008D0565" w:rsidRPr="00D61F73" w:rsidRDefault="008D0565" w:rsidP="00D61F73">
      <w:pPr>
        <w:rPr>
          <w:rFonts w:ascii="Arial" w:hAnsi="Arial" w:cs="Arial"/>
          <w:b/>
          <w:bCs/>
          <w:color w:val="auto"/>
        </w:rPr>
      </w:pPr>
      <w:r w:rsidRPr="00D61F73">
        <w:rPr>
          <w:rFonts w:ascii="Arial" w:hAnsi="Arial" w:cs="Arial"/>
          <w:b/>
          <w:bCs/>
        </w:rPr>
        <w:br w:type="page"/>
      </w:r>
      <w:r w:rsidRPr="00D61F73">
        <w:rPr>
          <w:rFonts w:ascii="Arial" w:hAnsi="Arial" w:cs="Arial"/>
          <w:b/>
          <w:bCs/>
        </w:rPr>
        <w:lastRenderedPageBreak/>
        <w:t>S</w:t>
      </w:r>
      <w:bookmarkStart w:id="1162" w:name="Stegmann2008"/>
      <w:bookmarkEnd w:id="1162"/>
      <w:r w:rsidRPr="00D61F73">
        <w:rPr>
          <w:rFonts w:ascii="Arial" w:hAnsi="Arial" w:cs="Arial"/>
          <w:b/>
          <w:bCs/>
        </w:rPr>
        <w:t xml:space="preserve">tegmann JU, Weber H, Steup A, Okamoto A, Upmalis D, Daniels S. The efficacy and tolerability of multiple-dose tapentadol immediate release for the relief of acute pain following orthopedic (bunionectomy) surgery. </w:t>
      </w:r>
      <w:r w:rsidRPr="00D61F73">
        <w:rPr>
          <w:rFonts w:ascii="Arial" w:hAnsi="Arial" w:cs="Arial"/>
          <w:b/>
          <w:bCs/>
          <w:i/>
          <w:iCs/>
        </w:rPr>
        <w:t>Curr Med Res Opin</w:t>
      </w:r>
      <w:r w:rsidRPr="00D61F73">
        <w:rPr>
          <w:rFonts w:ascii="Arial" w:hAnsi="Arial" w:cs="Arial"/>
          <w:b/>
          <w:bCs/>
        </w:rPr>
        <w:t>. 2008 Oct 10. [Epub ahead of print]</w:t>
      </w:r>
    </w:p>
    <w:p w14:paraId="1EF86C02" w14:textId="77777777" w:rsidR="008D0565" w:rsidRPr="00D61F73" w:rsidRDefault="008D0565" w:rsidP="00D61F73">
      <w:pPr>
        <w:jc w:val="both"/>
        <w:rPr>
          <w:rFonts w:ascii="Arial" w:hAnsi="Arial" w:cs="Arial"/>
        </w:rPr>
      </w:pPr>
    </w:p>
    <w:p w14:paraId="3B545C33"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CONCLUSIONS: The study results suggest improved gastrointestinal tolerability of tapentadol IR 50 mg compared with oxycodone at a dose showing comparable efficacy.</w:t>
      </w:r>
    </w:p>
    <w:p w14:paraId="2E61D157" w14:textId="77777777" w:rsidR="008D0565" w:rsidRPr="00D61F73" w:rsidRDefault="008D0565" w:rsidP="00D61F73">
      <w:pPr>
        <w:jc w:val="both"/>
        <w:rPr>
          <w:rFonts w:ascii="Arial" w:hAnsi="Arial" w:cs="Arial"/>
        </w:rPr>
      </w:pPr>
    </w:p>
    <w:p w14:paraId="79A8D503" w14:textId="77777777" w:rsidR="008D0565" w:rsidRPr="00D61F73" w:rsidRDefault="008D0565" w:rsidP="00D61F73">
      <w:pPr>
        <w:jc w:val="both"/>
        <w:rPr>
          <w:rFonts w:ascii="Arial" w:hAnsi="Arial" w:cs="Arial"/>
        </w:rPr>
      </w:pPr>
      <w:r w:rsidRPr="00D61F73">
        <w:rPr>
          <w:rFonts w:ascii="Arial" w:hAnsi="Arial" w:cs="Arial"/>
        </w:rPr>
        <w:t xml:space="preserve">PMID: </w:t>
      </w:r>
      <w:hyperlink r:id="rId803" w:history="1">
        <w:r w:rsidRPr="00D61F73">
          <w:rPr>
            <w:rStyle w:val="Hyperlink"/>
            <w:rFonts w:ascii="Arial" w:hAnsi="Arial" w:cs="Arial"/>
          </w:rPr>
          <w:t>18851776</w:t>
        </w:r>
      </w:hyperlink>
    </w:p>
    <w:p w14:paraId="5D00CF32" w14:textId="77777777" w:rsidR="008D0565" w:rsidRPr="00D61F73" w:rsidRDefault="008D0565" w:rsidP="00D61F73">
      <w:pPr>
        <w:jc w:val="both"/>
        <w:rPr>
          <w:rFonts w:ascii="Arial" w:hAnsi="Arial" w:cs="Arial"/>
        </w:rPr>
      </w:pPr>
    </w:p>
    <w:p w14:paraId="03199BCB" w14:textId="77777777" w:rsidR="008D0565" w:rsidRPr="00D61F73" w:rsidRDefault="008D0565" w:rsidP="00D61F73">
      <w:pPr>
        <w:rPr>
          <w:rFonts w:ascii="Arial" w:hAnsi="Arial" w:cs="Arial"/>
        </w:rPr>
      </w:pPr>
      <w:r w:rsidRPr="00D61F73">
        <w:rPr>
          <w:rFonts w:ascii="Arial" w:hAnsi="Arial" w:cs="Arial"/>
        </w:rPr>
        <w:t>Rating: 2b</w:t>
      </w:r>
    </w:p>
    <w:p w14:paraId="087A5A12"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bCs/>
        </w:rPr>
        <w:lastRenderedPageBreak/>
        <w:t>Ste</w:t>
      </w:r>
      <w:bookmarkStart w:id="1163" w:name="Stein"/>
      <w:bookmarkEnd w:id="1163"/>
      <w:r w:rsidRPr="00D61F73">
        <w:rPr>
          <w:rFonts w:ascii="Arial" w:hAnsi="Arial" w:cs="Arial"/>
          <w:b/>
          <w:bCs/>
        </w:rPr>
        <w:t xml:space="preserve">in DJ, Bandelow B, Hollander E, Nutt DJ, Okasha A, Pollack MH, Swinson RP, Zohar J; World Council of Anxiety. WCA Recommendations for the long-term treatment of posttraumatic stress disorder. </w:t>
      </w:r>
      <w:r w:rsidRPr="00D61F73">
        <w:rPr>
          <w:rFonts w:ascii="Arial" w:hAnsi="Arial" w:cs="Arial"/>
          <w:b/>
          <w:bCs/>
          <w:i/>
          <w:iCs/>
        </w:rPr>
        <w:t>CNS Spectr</w:t>
      </w:r>
      <w:r w:rsidRPr="00D61F73">
        <w:rPr>
          <w:rFonts w:ascii="Arial" w:hAnsi="Arial" w:cs="Arial"/>
          <w:b/>
          <w:bCs/>
        </w:rPr>
        <w:t>. 2003 Aug;8(8 Suppl 1):31-9.</w:t>
      </w:r>
    </w:p>
    <w:p w14:paraId="58DE152B" w14:textId="77777777" w:rsidR="008D0565" w:rsidRPr="00D61F73" w:rsidRDefault="008D0565" w:rsidP="00D61F73">
      <w:pPr>
        <w:rPr>
          <w:rFonts w:ascii="Arial" w:hAnsi="Arial" w:cs="Arial"/>
        </w:rPr>
      </w:pPr>
    </w:p>
    <w:p w14:paraId="5ADEFF08" w14:textId="77777777" w:rsidR="008D0565" w:rsidRPr="00D61F73" w:rsidRDefault="008D0565" w:rsidP="00D61F73">
      <w:pPr>
        <w:rPr>
          <w:rFonts w:ascii="Arial" w:hAnsi="Arial" w:cs="Arial"/>
        </w:rPr>
      </w:pPr>
      <w:r w:rsidRPr="00D61F73">
        <w:rPr>
          <w:rFonts w:ascii="Arial" w:hAnsi="Arial" w:cs="Arial"/>
        </w:rPr>
        <w:t>Only SSRIs have been proven effective and safe in long-term randomized controlled trials. Current guidelines from the Expert Consensus Panel for PTSD recommend treatment of chronic PTSD for a minimum of 12-24 months.</w:t>
      </w:r>
    </w:p>
    <w:p w14:paraId="37EAC075" w14:textId="77777777" w:rsidR="008D0565" w:rsidRPr="00D61F73" w:rsidRDefault="008D0565" w:rsidP="00D61F73">
      <w:pPr>
        <w:rPr>
          <w:rFonts w:ascii="Arial" w:hAnsi="Arial" w:cs="Arial"/>
        </w:rPr>
      </w:pPr>
    </w:p>
    <w:p w14:paraId="43E60738" w14:textId="77777777" w:rsidR="008D0565" w:rsidRPr="00D61F73" w:rsidRDefault="008D0565" w:rsidP="00D61F73">
      <w:pPr>
        <w:rPr>
          <w:rFonts w:ascii="Arial" w:hAnsi="Arial" w:cs="Arial"/>
        </w:rPr>
      </w:pPr>
      <w:r w:rsidRPr="00D61F73">
        <w:rPr>
          <w:rFonts w:ascii="Arial" w:hAnsi="Arial" w:cs="Arial"/>
        </w:rPr>
        <w:t xml:space="preserve">PMID: </w:t>
      </w:r>
      <w:hyperlink r:id="rId804" w:history="1">
        <w:r w:rsidRPr="00D61F73">
          <w:rPr>
            <w:rStyle w:val="Hyperlink"/>
            <w:rFonts w:ascii="Arial" w:hAnsi="Arial" w:cs="Arial"/>
          </w:rPr>
          <w:t>14767396</w:t>
        </w:r>
      </w:hyperlink>
      <w:r w:rsidRPr="00D61F73">
        <w:rPr>
          <w:rFonts w:ascii="Arial" w:hAnsi="Arial" w:cs="Arial"/>
        </w:rPr>
        <w:t xml:space="preserve"> </w:t>
      </w:r>
    </w:p>
    <w:p w14:paraId="6AAFCA74" w14:textId="77777777" w:rsidR="008D0565" w:rsidRPr="00D61F73" w:rsidRDefault="008D0565" w:rsidP="00D61F73">
      <w:pPr>
        <w:pStyle w:val="NormalWeb"/>
        <w:spacing w:before="0" w:beforeAutospacing="0" w:after="0" w:afterAutospacing="0"/>
        <w:rPr>
          <w:rFonts w:ascii="Arial" w:hAnsi="Arial" w:cs="Arial"/>
          <w:b/>
          <w:bCs/>
        </w:rPr>
      </w:pPr>
    </w:p>
    <w:p w14:paraId="74F6BF8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5a</w:t>
      </w:r>
    </w:p>
    <w:p w14:paraId="391F3DEB" w14:textId="77777777" w:rsidR="008D0565" w:rsidRPr="00D61F73" w:rsidRDefault="008D0565" w:rsidP="00D61F73">
      <w:pPr>
        <w:rPr>
          <w:rFonts w:ascii="Arial" w:hAnsi="Arial" w:cs="Arial"/>
          <w:b/>
          <w:bCs/>
        </w:rPr>
      </w:pPr>
      <w:r w:rsidRPr="00D61F73">
        <w:rPr>
          <w:rFonts w:ascii="Arial" w:hAnsi="Arial" w:cs="Arial"/>
          <w:b/>
          <w:bCs/>
        </w:rPr>
        <w:br w:type="page"/>
      </w:r>
      <w:hyperlink r:id="rId805" w:history="1">
        <w:r w:rsidRPr="00D61F73">
          <w:rPr>
            <w:rStyle w:val="Hyperlink"/>
            <w:rFonts w:ascii="Arial" w:hAnsi="Arial" w:cs="Arial"/>
            <w:b/>
            <w:bCs/>
          </w:rPr>
          <w:t>S</w:t>
        </w:r>
        <w:bookmarkStart w:id="1164" w:name="Stevens2005"/>
        <w:bookmarkEnd w:id="1164"/>
        <w:r w:rsidRPr="00D61F73">
          <w:rPr>
            <w:rStyle w:val="Hyperlink"/>
            <w:rFonts w:ascii="Arial" w:hAnsi="Arial" w:cs="Arial"/>
            <w:b/>
            <w:bCs/>
          </w:rPr>
          <w:t>tevens DL, Bisno AL, Chambers HF, Everett ED, Dellinger P, Goldstein EJ, Gorbach SL, Hirschmann JV, Kaplan EL, Montoya JG, Wade JC</w:t>
        </w:r>
      </w:hyperlink>
      <w:r w:rsidRPr="00D61F73">
        <w:rPr>
          <w:rFonts w:ascii="Arial" w:hAnsi="Arial" w:cs="Arial"/>
          <w:b/>
          <w:bCs/>
        </w:rPr>
        <w:t xml:space="preserve">; Infectious Diseases Society of America. Practice guidelines for the diagnosis and management of skin and soft-tissue infections. </w:t>
      </w:r>
      <w:r w:rsidRPr="00D61F73">
        <w:rPr>
          <w:rFonts w:ascii="Arial" w:hAnsi="Arial" w:cs="Arial"/>
          <w:b/>
          <w:bCs/>
          <w:i/>
          <w:iCs/>
        </w:rPr>
        <w:t>Clin Infect Dis.</w:t>
      </w:r>
      <w:r w:rsidRPr="00D61F73">
        <w:rPr>
          <w:rFonts w:ascii="Arial" w:hAnsi="Arial" w:cs="Arial"/>
          <w:b/>
          <w:bCs/>
        </w:rPr>
        <w:t xml:space="preserve"> 2005 Nov 15;41(10):1373-406.</w:t>
      </w:r>
    </w:p>
    <w:p w14:paraId="7E97351D" w14:textId="77777777" w:rsidR="008D0565" w:rsidRPr="00D61F73" w:rsidRDefault="008D0565" w:rsidP="00D61F73">
      <w:pPr>
        <w:pStyle w:val="NormalWeb"/>
        <w:spacing w:before="0" w:beforeAutospacing="0" w:after="0" w:afterAutospacing="0"/>
        <w:rPr>
          <w:rFonts w:ascii="Arial" w:hAnsi="Arial" w:cs="Arial"/>
        </w:rPr>
      </w:pPr>
    </w:p>
    <w:p w14:paraId="09DD8416"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PMID: </w:t>
      </w:r>
      <w:hyperlink r:id="rId806" w:history="1">
        <w:r w:rsidRPr="00D61F73">
          <w:rPr>
            <w:rStyle w:val="Hyperlink"/>
            <w:rFonts w:ascii="Arial" w:hAnsi="Arial" w:cs="Arial"/>
          </w:rPr>
          <w:t>16231249</w:t>
        </w:r>
      </w:hyperlink>
      <w:r w:rsidRPr="00D61F73">
        <w:rPr>
          <w:rFonts w:ascii="Arial" w:hAnsi="Arial" w:cs="Arial"/>
        </w:rPr>
        <w:t xml:space="preserve"> </w:t>
      </w:r>
    </w:p>
    <w:p w14:paraId="1220FEDC" w14:textId="77777777" w:rsidR="008D0565" w:rsidRPr="00D61F73" w:rsidRDefault="008D0565" w:rsidP="00D61F73">
      <w:pPr>
        <w:pStyle w:val="NormalWeb"/>
        <w:spacing w:before="0" w:beforeAutospacing="0" w:after="0" w:afterAutospacing="0"/>
        <w:rPr>
          <w:rFonts w:ascii="Arial" w:hAnsi="Arial" w:cs="Arial"/>
        </w:rPr>
      </w:pPr>
    </w:p>
    <w:p w14:paraId="16DE009C"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Rating: 6b</w:t>
      </w:r>
    </w:p>
    <w:p w14:paraId="5DCA2D79" w14:textId="77777777" w:rsidR="008D0565" w:rsidRPr="00D61F73" w:rsidRDefault="008D0565" w:rsidP="00D61F73">
      <w:pPr>
        <w:pStyle w:val="NormalWeb"/>
        <w:spacing w:before="0" w:beforeAutospacing="0" w:after="0" w:afterAutospacing="0"/>
        <w:rPr>
          <w:rFonts w:ascii="Arial" w:hAnsi="Arial" w:cs="Arial"/>
        </w:rPr>
      </w:pPr>
    </w:p>
    <w:p w14:paraId="303F5BC4"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bookmarkStart w:id="1165" w:name="Stewart2"/>
      <w:r w:rsidRPr="00D61F73">
        <w:rPr>
          <w:rFonts w:ascii="Arial" w:hAnsi="Arial" w:cs="Arial"/>
          <w:b/>
        </w:rPr>
        <w:lastRenderedPageBreak/>
        <w:t>Stewart</w:t>
      </w:r>
      <w:bookmarkEnd w:id="1165"/>
      <w:r w:rsidRPr="00D61F73">
        <w:rPr>
          <w:rFonts w:ascii="Arial" w:hAnsi="Arial" w:cs="Arial"/>
          <w:b/>
        </w:rPr>
        <w:t xml:space="preserve"> WF, Ricci JA, Chee E, Morganstein D, Lipton R, Lost productive time and cost due to common pain conditions in the US workforce, </w:t>
      </w:r>
      <w:r w:rsidRPr="00D61F73">
        <w:rPr>
          <w:rFonts w:ascii="Arial" w:hAnsi="Arial" w:cs="Arial"/>
          <w:b/>
          <w:i/>
        </w:rPr>
        <w:t>JAMA</w:t>
      </w:r>
      <w:r w:rsidRPr="00D61F73">
        <w:rPr>
          <w:rFonts w:ascii="Arial" w:hAnsi="Arial" w:cs="Arial"/>
          <w:b/>
        </w:rPr>
        <w:t>. 2003 Nov 12;290(18):2443-54.</w:t>
      </w:r>
    </w:p>
    <w:p w14:paraId="09B03BC2" w14:textId="77777777" w:rsidR="008D0565" w:rsidRPr="00D61F73" w:rsidRDefault="008D0565" w:rsidP="00D61F73">
      <w:pPr>
        <w:rPr>
          <w:rFonts w:ascii="Arial" w:hAnsi="Arial" w:cs="Arial"/>
        </w:rPr>
      </w:pPr>
    </w:p>
    <w:p w14:paraId="48F134E1" w14:textId="77777777" w:rsidR="008D0565" w:rsidRPr="00D61F73" w:rsidRDefault="008D0565" w:rsidP="00D61F73">
      <w:pPr>
        <w:rPr>
          <w:rFonts w:ascii="Arial" w:hAnsi="Arial" w:cs="Arial"/>
        </w:rPr>
      </w:pPr>
      <w:r w:rsidRPr="00D61F73">
        <w:rPr>
          <w:rFonts w:ascii="Arial" w:hAnsi="Arial" w:cs="Arial"/>
        </w:rPr>
        <w:t>The study concluded, “Pain is an inordinately common and disabling condition in the US workforce. Most of the pain-related lost productive time occurs while employees are at work and is in the form of reduced performance.”</w:t>
      </w:r>
    </w:p>
    <w:p w14:paraId="68866671" w14:textId="77777777" w:rsidR="008D0565" w:rsidRPr="00D61F73" w:rsidRDefault="008D0565" w:rsidP="00D61F73">
      <w:pPr>
        <w:rPr>
          <w:rFonts w:ascii="Arial" w:hAnsi="Arial" w:cs="Arial"/>
        </w:rPr>
      </w:pPr>
    </w:p>
    <w:p w14:paraId="0714DA91" w14:textId="77777777" w:rsidR="008D0565" w:rsidRPr="00D61F73" w:rsidRDefault="008D0565" w:rsidP="00D61F73">
      <w:pPr>
        <w:rPr>
          <w:rFonts w:ascii="Arial" w:hAnsi="Arial" w:cs="Arial"/>
        </w:rPr>
      </w:pPr>
      <w:r w:rsidRPr="00D61F73">
        <w:rPr>
          <w:rFonts w:ascii="Arial" w:hAnsi="Arial" w:cs="Arial"/>
        </w:rPr>
        <w:t xml:space="preserve">PMID: </w:t>
      </w:r>
      <w:hyperlink r:id="rId807" w:history="1">
        <w:r w:rsidRPr="00D61F73">
          <w:rPr>
            <w:rStyle w:val="Hyperlink"/>
            <w:rFonts w:ascii="Arial" w:hAnsi="Arial" w:cs="Arial"/>
          </w:rPr>
          <w:t>14612481</w:t>
        </w:r>
      </w:hyperlink>
      <w:r w:rsidRPr="00D61F73">
        <w:rPr>
          <w:rFonts w:ascii="Arial" w:hAnsi="Arial" w:cs="Arial"/>
        </w:rPr>
        <w:t xml:space="preserve"> </w:t>
      </w:r>
    </w:p>
    <w:p w14:paraId="4611942A" w14:textId="77777777" w:rsidR="008D0565" w:rsidRPr="00D61F73" w:rsidRDefault="008D0565" w:rsidP="00D61F73">
      <w:pPr>
        <w:rPr>
          <w:rFonts w:ascii="Arial" w:hAnsi="Arial" w:cs="Arial"/>
        </w:rPr>
      </w:pPr>
    </w:p>
    <w:p w14:paraId="2B6DDE89"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4b</w:t>
      </w:r>
    </w:p>
    <w:p w14:paraId="30FEE7FD" w14:textId="77777777" w:rsidR="000E3305" w:rsidRPr="00D61F73" w:rsidRDefault="000E3305" w:rsidP="00D61F73">
      <w:pPr>
        <w:rPr>
          <w:rFonts w:ascii="Arial" w:hAnsi="Arial" w:cs="Arial"/>
          <w:bCs/>
        </w:rPr>
      </w:pPr>
      <w:r w:rsidRPr="00D61F73">
        <w:rPr>
          <w:rFonts w:ascii="Arial" w:hAnsi="Arial" w:cs="Arial"/>
          <w:b/>
          <w:bCs/>
        </w:rPr>
        <w:br w:type="page"/>
      </w:r>
      <w:bookmarkStart w:id="1166" w:name="Straus2013"/>
      <w:r w:rsidRPr="00D61F73">
        <w:rPr>
          <w:rFonts w:ascii="Arial" w:hAnsi="Arial" w:cs="Arial"/>
          <w:b/>
          <w:bCs/>
        </w:rPr>
        <w:lastRenderedPageBreak/>
        <w:t>Straus MM</w:t>
      </w:r>
      <w:bookmarkEnd w:id="1166"/>
      <w:r w:rsidRPr="00D61F73">
        <w:rPr>
          <w:rFonts w:ascii="Arial" w:hAnsi="Arial" w:cs="Arial"/>
          <w:b/>
          <w:bCs/>
        </w:rPr>
        <w:t>, Ghitza UE, Tai B. Preventing deaths from rising opioid overdose in the US - the promise of naloxone antidote in community-based naloxone take-home programs. Subst Abuse Rehabil. 2013; 2013.</w:t>
      </w:r>
      <w:r w:rsidRPr="00D61F73">
        <w:rPr>
          <w:rFonts w:ascii="Arial" w:hAnsi="Arial" w:cs="Arial"/>
          <w:b/>
          <w:bCs/>
        </w:rPr>
        <w:br/>
      </w:r>
      <w:r w:rsidRPr="00D61F73">
        <w:rPr>
          <w:rFonts w:ascii="Arial" w:hAnsi="Arial" w:cs="Arial"/>
          <w:b/>
          <w:bCs/>
        </w:rPr>
        <w:br/>
      </w:r>
      <w:r w:rsidRPr="00D61F73">
        <w:rPr>
          <w:rFonts w:ascii="Arial" w:hAnsi="Arial" w:cs="Arial"/>
          <w:bCs/>
        </w:rPr>
        <w:t>PMID: 24273417</w:t>
      </w:r>
      <w:r w:rsidRPr="00D61F73">
        <w:rPr>
          <w:rFonts w:ascii="Arial" w:hAnsi="Arial" w:cs="Arial"/>
          <w:bCs/>
        </w:rPr>
        <w:br/>
      </w:r>
      <w:r w:rsidRPr="00D61F73">
        <w:rPr>
          <w:rFonts w:ascii="Arial" w:hAnsi="Arial" w:cs="Arial"/>
          <w:bCs/>
        </w:rPr>
        <w:br/>
        <w:t>Rating: 5c</w:t>
      </w:r>
    </w:p>
    <w:p w14:paraId="3E16B3EB"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67" w:name="Stuckey"/>
      <w:bookmarkEnd w:id="1167"/>
      <w:r w:rsidRPr="00D61F73">
        <w:rPr>
          <w:rFonts w:ascii="Arial" w:hAnsi="Arial" w:cs="Arial"/>
          <w:b/>
          <w:bCs/>
        </w:rPr>
        <w:t xml:space="preserve">tuckey SJ, Jacobs A, Goldfarb J. EMG biofeedback training, relaxation training, and placebo for the relief of chronic back pain. </w:t>
      </w:r>
      <w:r w:rsidRPr="00D61F73">
        <w:rPr>
          <w:rFonts w:ascii="Arial" w:hAnsi="Arial" w:cs="Arial"/>
          <w:b/>
          <w:bCs/>
          <w:i/>
          <w:iCs/>
        </w:rPr>
        <w:t>Percept Mot Skills</w:t>
      </w:r>
      <w:r w:rsidRPr="00D61F73">
        <w:rPr>
          <w:rFonts w:ascii="Arial" w:hAnsi="Arial" w:cs="Arial"/>
          <w:b/>
          <w:bCs/>
        </w:rPr>
        <w:t>. 1986 Dec;63(3):1023-36.</w:t>
      </w:r>
    </w:p>
    <w:p w14:paraId="08012481" w14:textId="77777777" w:rsidR="008D0565" w:rsidRPr="00D61F73" w:rsidRDefault="008D0565" w:rsidP="00D61F73">
      <w:pPr>
        <w:pStyle w:val="Footer"/>
        <w:tabs>
          <w:tab w:val="clear" w:pos="4320"/>
          <w:tab w:val="clear" w:pos="8640"/>
        </w:tabs>
        <w:rPr>
          <w:rFonts w:ascii="Arial" w:hAnsi="Arial" w:cs="Arial"/>
        </w:rPr>
      </w:pPr>
    </w:p>
    <w:p w14:paraId="2EE20C15" w14:textId="77777777" w:rsidR="008D0565" w:rsidRPr="00D61F73" w:rsidRDefault="008D0565" w:rsidP="00D61F73">
      <w:pPr>
        <w:rPr>
          <w:rFonts w:ascii="Arial" w:hAnsi="Arial" w:cs="Arial"/>
        </w:rPr>
      </w:pPr>
      <w:r w:rsidRPr="00D61F73">
        <w:rPr>
          <w:rFonts w:ascii="Arial" w:hAnsi="Arial" w:cs="Arial"/>
        </w:rPr>
        <w:t>Relaxation-trained subjects showed significant change on eight of the 14 possible comparisons for each treatment condition. EMG biofeedback training showed significant favorable results in only one condition; the placebo condition showed no significant results. Relaxation training gave better results in reducing EMG and pain, and in increasing relaxation and activity than either EMG biofeedback alone or a placebo condition.</w:t>
      </w:r>
    </w:p>
    <w:p w14:paraId="30F64358" w14:textId="77777777" w:rsidR="008D0565" w:rsidRPr="00D61F73" w:rsidRDefault="008D0565" w:rsidP="00D61F73">
      <w:pPr>
        <w:rPr>
          <w:rFonts w:ascii="Arial" w:hAnsi="Arial" w:cs="Arial"/>
        </w:rPr>
      </w:pPr>
    </w:p>
    <w:p w14:paraId="728245E8"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808" w:history="1">
        <w:r w:rsidRPr="00D61F73">
          <w:rPr>
            <w:rStyle w:val="Hyperlink"/>
            <w:rFonts w:ascii="Arial" w:hAnsi="Arial" w:cs="Arial"/>
          </w:rPr>
          <w:t>2949196</w:t>
        </w:r>
      </w:hyperlink>
      <w:r w:rsidRPr="00D61F73">
        <w:rPr>
          <w:rFonts w:ascii="Arial" w:hAnsi="Arial" w:cs="Arial"/>
        </w:rPr>
        <w:t xml:space="preserve"> </w:t>
      </w:r>
    </w:p>
    <w:p w14:paraId="0AC0C54D" w14:textId="77777777" w:rsidR="008D0565" w:rsidRPr="00D61F73" w:rsidRDefault="008D0565" w:rsidP="00D61F73">
      <w:pPr>
        <w:rPr>
          <w:rFonts w:ascii="Arial" w:hAnsi="Arial" w:cs="Arial"/>
        </w:rPr>
      </w:pPr>
    </w:p>
    <w:p w14:paraId="205DE3BB" w14:textId="77777777" w:rsidR="008D0565" w:rsidRPr="00D61F73" w:rsidRDefault="008D0565" w:rsidP="00D61F73">
      <w:pPr>
        <w:rPr>
          <w:rFonts w:ascii="Arial" w:hAnsi="Arial" w:cs="Arial"/>
        </w:rPr>
      </w:pPr>
      <w:r w:rsidRPr="00D61F73">
        <w:rPr>
          <w:rFonts w:ascii="Arial" w:hAnsi="Arial" w:cs="Arial"/>
        </w:rPr>
        <w:t>Rating: 2c</w:t>
      </w:r>
    </w:p>
    <w:p w14:paraId="4CF63EB8" w14:textId="39DF28E1" w:rsidR="00610775" w:rsidRPr="00D61F73" w:rsidRDefault="00610775" w:rsidP="00D61F73">
      <w:pPr>
        <w:rPr>
          <w:rFonts w:ascii="Arial" w:hAnsi="Arial" w:cs="Arial"/>
          <w:b/>
          <w:bCs/>
        </w:rPr>
      </w:pPr>
      <w:r w:rsidRPr="00D61F73">
        <w:rPr>
          <w:rFonts w:ascii="Arial" w:hAnsi="Arial" w:cs="Arial"/>
          <w:b/>
          <w:bCs/>
        </w:rPr>
        <w:br w:type="page"/>
      </w:r>
      <w:bookmarkStart w:id="1168" w:name="SAMHSA2014"/>
      <w:r w:rsidRPr="00D61F73">
        <w:rPr>
          <w:rFonts w:ascii="Arial" w:hAnsi="Arial" w:cs="Arial"/>
          <w:b/>
          <w:bCs/>
        </w:rPr>
        <w:lastRenderedPageBreak/>
        <w:t>Substance Abuse and Mental Health Services Administration</w:t>
      </w:r>
      <w:bookmarkEnd w:id="1168"/>
      <w:r w:rsidRPr="00D61F73">
        <w:rPr>
          <w:rFonts w:ascii="Arial" w:hAnsi="Arial" w:cs="Arial"/>
          <w:b/>
          <w:bCs/>
        </w:rPr>
        <w:t>. SAMHSA Opioid</w:t>
      </w:r>
      <w:r w:rsidRPr="00D61F73">
        <w:rPr>
          <w:rFonts w:ascii="Arial" w:hAnsi="Arial" w:cs="Arial"/>
          <w:b/>
          <w:bCs/>
        </w:rPr>
        <w:br/>
        <w:t>Overdose Prevention Toolkit. HHS Publication No. (SMA) 1 -4742. Rockville,</w:t>
      </w:r>
      <w:r w:rsidRPr="00D61F73">
        <w:rPr>
          <w:rFonts w:ascii="Arial" w:hAnsi="Arial" w:cs="Arial"/>
          <w:b/>
          <w:bCs/>
        </w:rPr>
        <w:br/>
        <w:t>MD: Substance Abuse and Mental Health Services Administration, 201</w:t>
      </w:r>
      <w:r w:rsidR="004423C7">
        <w:rPr>
          <w:rFonts w:ascii="Arial" w:hAnsi="Arial" w:cs="Arial"/>
          <w:b/>
          <w:bCs/>
        </w:rPr>
        <w:t>4</w:t>
      </w:r>
      <w:r w:rsidRPr="00D61F73">
        <w:rPr>
          <w:rFonts w:ascii="Arial" w:hAnsi="Arial" w:cs="Arial"/>
          <w:b/>
          <w:bCs/>
        </w:rPr>
        <w:t xml:space="preserve"> .</w:t>
      </w:r>
    </w:p>
    <w:p w14:paraId="1DD1051E" w14:textId="77777777" w:rsidR="00610775" w:rsidRPr="00D61F73" w:rsidRDefault="00610775" w:rsidP="00D61F73">
      <w:pPr>
        <w:rPr>
          <w:rFonts w:ascii="Arial" w:hAnsi="Arial" w:cs="Arial"/>
          <w:b/>
          <w:bCs/>
        </w:rPr>
      </w:pPr>
    </w:p>
    <w:p w14:paraId="76BE156E" w14:textId="77777777" w:rsidR="00610775" w:rsidRPr="00D61F73" w:rsidRDefault="00610775" w:rsidP="00D61F73">
      <w:pPr>
        <w:rPr>
          <w:rFonts w:ascii="Arial" w:hAnsi="Arial" w:cs="Arial"/>
          <w:bCs/>
        </w:rPr>
      </w:pPr>
      <w:r w:rsidRPr="00D61F73">
        <w:rPr>
          <w:rFonts w:ascii="Arial" w:hAnsi="Arial" w:cs="Arial"/>
          <w:bCs/>
        </w:rPr>
        <w:t>PMID:</w:t>
      </w:r>
    </w:p>
    <w:p w14:paraId="75490C60" w14:textId="77777777" w:rsidR="00610775" w:rsidRPr="00D61F73" w:rsidRDefault="00610775" w:rsidP="00D61F73">
      <w:pPr>
        <w:rPr>
          <w:rFonts w:ascii="Arial" w:hAnsi="Arial" w:cs="Arial"/>
          <w:bCs/>
        </w:rPr>
      </w:pPr>
    </w:p>
    <w:p w14:paraId="0E6CC2FA" w14:textId="77777777" w:rsidR="00610775" w:rsidRPr="00D61F73" w:rsidRDefault="00610775" w:rsidP="00D61F73">
      <w:pPr>
        <w:rPr>
          <w:rFonts w:ascii="Arial" w:hAnsi="Arial" w:cs="Arial"/>
          <w:bCs/>
        </w:rPr>
      </w:pPr>
      <w:r w:rsidRPr="00D61F73">
        <w:rPr>
          <w:rFonts w:ascii="Arial" w:hAnsi="Arial" w:cs="Arial"/>
          <w:bCs/>
        </w:rPr>
        <w:t xml:space="preserve">Rating: </w:t>
      </w:r>
    </w:p>
    <w:p w14:paraId="7D80AD49"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rPr>
        <w:lastRenderedPageBreak/>
        <w:t>S</w:t>
      </w:r>
      <w:bookmarkStart w:id="1169" w:name="Sullivan2006"/>
      <w:bookmarkEnd w:id="1169"/>
      <w:r w:rsidRPr="00D61F73">
        <w:rPr>
          <w:rFonts w:ascii="Arial" w:hAnsi="Arial" w:cs="Arial"/>
          <w:b/>
        </w:rPr>
        <w:t xml:space="preserve">ullivan MD, Edlund MJ, Zhang L, Unützer J, Wells KB. Association between mental health disorders, problem drug use, and regular prescription opioid use. </w:t>
      </w:r>
      <w:r w:rsidRPr="00D61F73">
        <w:rPr>
          <w:rFonts w:ascii="Arial" w:hAnsi="Arial" w:cs="Arial"/>
          <w:b/>
          <w:i/>
        </w:rPr>
        <w:t>Arch Intern Med</w:t>
      </w:r>
      <w:r w:rsidRPr="00D61F73">
        <w:rPr>
          <w:rFonts w:ascii="Arial" w:hAnsi="Arial" w:cs="Arial"/>
          <w:b/>
        </w:rPr>
        <w:t>. 2006;166:2087-93.</w:t>
      </w:r>
    </w:p>
    <w:p w14:paraId="4C84B9C3" w14:textId="77777777" w:rsidR="008D0565" w:rsidRPr="00D61F73" w:rsidRDefault="008D0565" w:rsidP="00D61F73">
      <w:pPr>
        <w:rPr>
          <w:rFonts w:ascii="Arial" w:hAnsi="Arial" w:cs="Arial"/>
        </w:rPr>
      </w:pPr>
    </w:p>
    <w:p w14:paraId="1AD74B94" w14:textId="77777777" w:rsidR="008D0565" w:rsidRPr="00D61F73" w:rsidRDefault="008D0565" w:rsidP="00D61F73">
      <w:pPr>
        <w:rPr>
          <w:rFonts w:ascii="Arial" w:hAnsi="Arial" w:cs="Arial"/>
        </w:rPr>
      </w:pPr>
      <w:r w:rsidRPr="00D61F73">
        <w:rPr>
          <w:rFonts w:ascii="Arial" w:hAnsi="Arial" w:cs="Arial"/>
        </w:rPr>
        <w:t>CONCLUSIONS: Common mental health disorders and problem drug use are associated with initiation and use of prescribed opioids in the general population. Attention to psychiatric disorders is important when considering opioid therapy.</w:t>
      </w:r>
    </w:p>
    <w:p w14:paraId="507B2928" w14:textId="77777777" w:rsidR="008D0565" w:rsidRPr="00D61F73" w:rsidRDefault="008D0565" w:rsidP="00D61F73">
      <w:pPr>
        <w:rPr>
          <w:rFonts w:ascii="Arial" w:hAnsi="Arial" w:cs="Arial"/>
        </w:rPr>
      </w:pPr>
    </w:p>
    <w:p w14:paraId="1FE6CCCF" w14:textId="77777777" w:rsidR="008D0565" w:rsidRPr="00D61F73" w:rsidRDefault="008D0565" w:rsidP="00D61F73">
      <w:pPr>
        <w:rPr>
          <w:rFonts w:ascii="Arial" w:hAnsi="Arial" w:cs="Arial"/>
        </w:rPr>
      </w:pPr>
      <w:r w:rsidRPr="00D61F73">
        <w:rPr>
          <w:rFonts w:ascii="Arial" w:hAnsi="Arial" w:cs="Arial"/>
        </w:rPr>
        <w:t xml:space="preserve">PMID: </w:t>
      </w:r>
      <w:hyperlink r:id="rId809" w:history="1">
        <w:r w:rsidRPr="00D61F73">
          <w:rPr>
            <w:rStyle w:val="Hyperlink"/>
            <w:rFonts w:ascii="Arial" w:hAnsi="Arial" w:cs="Arial"/>
          </w:rPr>
          <w:t>17060538</w:t>
        </w:r>
      </w:hyperlink>
    </w:p>
    <w:p w14:paraId="744BDC8A" w14:textId="77777777" w:rsidR="008D0565" w:rsidRPr="00D61F73" w:rsidRDefault="008D0565" w:rsidP="00D61F73">
      <w:pPr>
        <w:rPr>
          <w:rFonts w:ascii="Arial" w:hAnsi="Arial" w:cs="Arial"/>
        </w:rPr>
      </w:pPr>
    </w:p>
    <w:p w14:paraId="1D5894F1" w14:textId="77777777" w:rsidR="008D0565" w:rsidRPr="00D61F73" w:rsidRDefault="008D0565" w:rsidP="00D61F73">
      <w:pPr>
        <w:rPr>
          <w:rFonts w:ascii="Arial" w:hAnsi="Arial" w:cs="Arial"/>
        </w:rPr>
      </w:pPr>
      <w:r w:rsidRPr="00D61F73">
        <w:rPr>
          <w:rFonts w:ascii="Arial" w:hAnsi="Arial" w:cs="Arial"/>
        </w:rPr>
        <w:t>Rating 3a</w:t>
      </w:r>
    </w:p>
    <w:p w14:paraId="6A56B04C"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rPr>
        <w:lastRenderedPageBreak/>
        <w:t>S</w:t>
      </w:r>
      <w:bookmarkStart w:id="1170" w:name="Sullivan2005"/>
      <w:bookmarkEnd w:id="1170"/>
      <w:r w:rsidRPr="00D61F73">
        <w:rPr>
          <w:rFonts w:ascii="Arial" w:hAnsi="Arial" w:cs="Arial"/>
          <w:b/>
        </w:rPr>
        <w:t xml:space="preserve">ullivan MD, Edlund MJ, Steffick D, Unützer J. Regular use of prescribed opioids: association with common psychiatric disorders. </w:t>
      </w:r>
      <w:r w:rsidRPr="00D61F73">
        <w:rPr>
          <w:rFonts w:ascii="Arial" w:hAnsi="Arial" w:cs="Arial"/>
          <w:b/>
          <w:i/>
        </w:rPr>
        <w:t>Pain</w:t>
      </w:r>
      <w:r w:rsidRPr="00D61F73">
        <w:rPr>
          <w:rFonts w:ascii="Arial" w:hAnsi="Arial" w:cs="Arial"/>
          <w:b/>
        </w:rPr>
        <w:t>. 2005;119:95-103</w:t>
      </w:r>
      <w:r w:rsidRPr="00D61F73">
        <w:rPr>
          <w:rFonts w:ascii="Arial" w:hAnsi="Arial" w:cs="Arial"/>
        </w:rPr>
        <w:t>.</w:t>
      </w:r>
    </w:p>
    <w:p w14:paraId="1AB65025" w14:textId="77777777" w:rsidR="008D0565" w:rsidRPr="00D61F73" w:rsidRDefault="008D0565" w:rsidP="00D61F73">
      <w:pPr>
        <w:rPr>
          <w:rFonts w:ascii="Arial" w:hAnsi="Arial" w:cs="Arial"/>
        </w:rPr>
      </w:pPr>
    </w:p>
    <w:p w14:paraId="5F2D4A92" w14:textId="77777777" w:rsidR="008D0565" w:rsidRPr="00D61F73" w:rsidRDefault="008D0565" w:rsidP="00D61F73">
      <w:pPr>
        <w:rPr>
          <w:rFonts w:ascii="Arial" w:hAnsi="Arial" w:cs="Arial"/>
        </w:rPr>
      </w:pPr>
      <w:r w:rsidRPr="00D61F73">
        <w:rPr>
          <w:rFonts w:ascii="Arial" w:hAnsi="Arial" w:cs="Arial"/>
        </w:rPr>
        <w:t>Depressive, anxiety and drug abuse disorders are associated with increased use of regular opioids in the general population. Depressive and anxiety disorders are more common and more strongly associated with prescribed opioid use than drug abuse disorders.</w:t>
      </w:r>
    </w:p>
    <w:p w14:paraId="6792A68B" w14:textId="77777777" w:rsidR="008D0565" w:rsidRPr="00D61F73" w:rsidRDefault="008D0565" w:rsidP="00D61F73">
      <w:pPr>
        <w:rPr>
          <w:rFonts w:ascii="Arial" w:hAnsi="Arial" w:cs="Arial"/>
        </w:rPr>
      </w:pPr>
    </w:p>
    <w:p w14:paraId="000C04BB" w14:textId="77777777" w:rsidR="008D0565" w:rsidRPr="00D61F73" w:rsidRDefault="008D0565" w:rsidP="00D61F73">
      <w:pPr>
        <w:rPr>
          <w:rFonts w:ascii="Arial" w:hAnsi="Arial" w:cs="Arial"/>
        </w:rPr>
      </w:pPr>
      <w:r w:rsidRPr="00D61F73">
        <w:rPr>
          <w:rFonts w:ascii="Arial" w:hAnsi="Arial" w:cs="Arial"/>
        </w:rPr>
        <w:t xml:space="preserve">PMID: </w:t>
      </w:r>
      <w:hyperlink r:id="rId810" w:history="1">
        <w:r w:rsidRPr="00D61F73">
          <w:rPr>
            <w:rStyle w:val="Hyperlink"/>
            <w:rFonts w:ascii="Arial" w:hAnsi="Arial" w:cs="Arial"/>
          </w:rPr>
          <w:t>16298066</w:t>
        </w:r>
      </w:hyperlink>
      <w:r w:rsidRPr="00D61F73">
        <w:rPr>
          <w:rFonts w:ascii="Arial" w:hAnsi="Arial" w:cs="Arial"/>
        </w:rPr>
        <w:t xml:space="preserve"> </w:t>
      </w:r>
    </w:p>
    <w:p w14:paraId="681E326D" w14:textId="77777777" w:rsidR="008D0565" w:rsidRPr="00D61F73" w:rsidRDefault="008D0565" w:rsidP="00D61F73">
      <w:pPr>
        <w:rPr>
          <w:rFonts w:ascii="Arial" w:hAnsi="Arial" w:cs="Arial"/>
        </w:rPr>
      </w:pPr>
    </w:p>
    <w:p w14:paraId="69817E27" w14:textId="77777777" w:rsidR="008D0565" w:rsidRPr="00D61F73" w:rsidRDefault="008D0565" w:rsidP="00D61F73">
      <w:pPr>
        <w:rPr>
          <w:rFonts w:ascii="Arial" w:hAnsi="Arial" w:cs="Arial"/>
        </w:rPr>
      </w:pPr>
      <w:r w:rsidRPr="00D61F73">
        <w:rPr>
          <w:rFonts w:ascii="Arial" w:hAnsi="Arial" w:cs="Arial"/>
        </w:rPr>
        <w:t>Rating: 3a</w:t>
      </w:r>
    </w:p>
    <w:p w14:paraId="27D17DA1"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71" w:name="Sullivan"/>
      <w:bookmarkEnd w:id="1171"/>
      <w:r w:rsidRPr="00D61F73">
        <w:rPr>
          <w:rFonts w:ascii="Arial" w:hAnsi="Arial" w:cs="Arial"/>
          <w:b/>
          <w:bCs/>
        </w:rPr>
        <w:t xml:space="preserve">ullivan MJ, Ward LC, Tripp D, French DJ, Adams H, Stanish WD. Secondary prevention of work disability: community-based psychosocial intervention for musculoskeletal disorders. </w:t>
      </w:r>
      <w:r w:rsidRPr="00D61F73">
        <w:rPr>
          <w:rFonts w:ascii="Arial" w:hAnsi="Arial" w:cs="Arial"/>
          <w:b/>
          <w:bCs/>
          <w:i/>
          <w:iCs/>
        </w:rPr>
        <w:t>J Occup Rehabil</w:t>
      </w:r>
      <w:r w:rsidRPr="00D61F73">
        <w:rPr>
          <w:rFonts w:ascii="Arial" w:hAnsi="Arial" w:cs="Arial"/>
          <w:b/>
          <w:bCs/>
        </w:rPr>
        <w:t>. 2005 Sep;15(3):377-92.</w:t>
      </w:r>
    </w:p>
    <w:p w14:paraId="2ACD4CB3" w14:textId="77777777" w:rsidR="008D0565" w:rsidRPr="00D61F73" w:rsidRDefault="008D0565" w:rsidP="00D61F73">
      <w:pPr>
        <w:pStyle w:val="Footer"/>
        <w:tabs>
          <w:tab w:val="clear" w:pos="4320"/>
          <w:tab w:val="clear" w:pos="8640"/>
        </w:tabs>
        <w:rPr>
          <w:rFonts w:ascii="Arial" w:hAnsi="Arial" w:cs="Arial"/>
        </w:rPr>
      </w:pPr>
    </w:p>
    <w:p w14:paraId="2104463F" w14:textId="77777777" w:rsidR="008D0565" w:rsidRPr="00D61F73" w:rsidRDefault="008D0565" w:rsidP="00D61F73">
      <w:pPr>
        <w:rPr>
          <w:rFonts w:ascii="Arial" w:hAnsi="Arial" w:cs="Arial"/>
        </w:rPr>
      </w:pPr>
      <w:r w:rsidRPr="00D61F73">
        <w:rPr>
          <w:rFonts w:ascii="Arial" w:hAnsi="Arial" w:cs="Arial"/>
        </w:rPr>
        <w:t xml:space="preserve">RESULTS: In the current sample, 63.7% of participants returned to work within 4 weeks of treatment termination. </w:t>
      </w:r>
    </w:p>
    <w:p w14:paraId="3C07A2D9" w14:textId="77777777" w:rsidR="008D0565" w:rsidRPr="00D61F73" w:rsidRDefault="008D0565" w:rsidP="00D61F73">
      <w:pPr>
        <w:rPr>
          <w:rFonts w:ascii="Arial" w:hAnsi="Arial" w:cs="Arial"/>
        </w:rPr>
      </w:pPr>
    </w:p>
    <w:p w14:paraId="0BFF2F02" w14:textId="77777777" w:rsidR="008D0565" w:rsidRPr="00D61F73" w:rsidRDefault="008D0565" w:rsidP="00D61F73">
      <w:pPr>
        <w:rPr>
          <w:rFonts w:ascii="Arial" w:hAnsi="Arial" w:cs="Arial"/>
        </w:rPr>
      </w:pPr>
      <w:r w:rsidRPr="00D61F73">
        <w:rPr>
          <w:rFonts w:ascii="Arial" w:hAnsi="Arial" w:cs="Arial"/>
        </w:rPr>
        <w:t xml:space="preserve">PMID: </w:t>
      </w:r>
      <w:hyperlink r:id="rId811" w:history="1">
        <w:r w:rsidRPr="00D61F73">
          <w:rPr>
            <w:rStyle w:val="Hyperlink"/>
            <w:rFonts w:ascii="Arial" w:hAnsi="Arial" w:cs="Arial"/>
          </w:rPr>
          <w:t>16119228</w:t>
        </w:r>
      </w:hyperlink>
      <w:r w:rsidRPr="00D61F73">
        <w:rPr>
          <w:rFonts w:ascii="Arial" w:hAnsi="Arial" w:cs="Arial"/>
        </w:rPr>
        <w:t xml:space="preserve"> </w:t>
      </w:r>
    </w:p>
    <w:p w14:paraId="57BB20D7" w14:textId="77777777" w:rsidR="008D0565" w:rsidRPr="00D61F73" w:rsidRDefault="008D0565" w:rsidP="00D61F73">
      <w:pPr>
        <w:rPr>
          <w:rFonts w:ascii="Arial" w:hAnsi="Arial" w:cs="Arial"/>
        </w:rPr>
      </w:pPr>
    </w:p>
    <w:p w14:paraId="40E7AC07" w14:textId="77777777" w:rsidR="008D0565" w:rsidRPr="00D61F73" w:rsidRDefault="008D0565" w:rsidP="00D61F73">
      <w:pPr>
        <w:rPr>
          <w:rFonts w:ascii="Arial" w:hAnsi="Arial" w:cs="Arial"/>
        </w:rPr>
      </w:pPr>
      <w:r w:rsidRPr="00D61F73">
        <w:rPr>
          <w:rFonts w:ascii="Arial" w:hAnsi="Arial" w:cs="Arial"/>
        </w:rPr>
        <w:t>Rating: 4b</w:t>
      </w:r>
    </w:p>
    <w:p w14:paraId="12BF4CC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72" w:name="Sullivan2006a"/>
      <w:bookmarkEnd w:id="1172"/>
      <w:r w:rsidRPr="00D61F73">
        <w:rPr>
          <w:rFonts w:ascii="Arial" w:hAnsi="Arial" w:cs="Arial"/>
          <w:b/>
          <w:bCs/>
        </w:rPr>
        <w:t xml:space="preserve">ullivan MJ, Adams H, Rhodenizer T, Stanish WD. A psychosocial risk factor--targeted intervention for the prevention of chronic pain and disability following whiplash injury. </w:t>
      </w:r>
      <w:r w:rsidRPr="00D61F73">
        <w:rPr>
          <w:rFonts w:ascii="Arial" w:hAnsi="Arial" w:cs="Arial"/>
          <w:b/>
          <w:bCs/>
          <w:i/>
          <w:iCs/>
        </w:rPr>
        <w:t>Phys Ther</w:t>
      </w:r>
      <w:r w:rsidRPr="00D61F73">
        <w:rPr>
          <w:rFonts w:ascii="Arial" w:hAnsi="Arial" w:cs="Arial"/>
          <w:b/>
          <w:bCs/>
        </w:rPr>
        <w:t>. 2006 Jan;86(1):8-18.</w:t>
      </w:r>
    </w:p>
    <w:p w14:paraId="4FF24085" w14:textId="77777777" w:rsidR="008D0565" w:rsidRPr="00D61F73" w:rsidRDefault="008D0565" w:rsidP="00D61F73">
      <w:pPr>
        <w:rPr>
          <w:rFonts w:ascii="Arial" w:hAnsi="Arial" w:cs="Arial"/>
        </w:rPr>
      </w:pPr>
    </w:p>
    <w:p w14:paraId="1BA20550" w14:textId="77777777" w:rsidR="008D0565" w:rsidRPr="00D61F73" w:rsidRDefault="008D0565" w:rsidP="00D61F73">
      <w:pPr>
        <w:rPr>
          <w:rFonts w:ascii="Arial" w:hAnsi="Arial" w:cs="Arial"/>
        </w:rPr>
      </w:pPr>
      <w:r w:rsidRPr="00D61F73">
        <w:rPr>
          <w:rFonts w:ascii="Arial" w:hAnsi="Arial" w:cs="Arial"/>
        </w:rPr>
        <w:t xml:space="preserve">PMID: </w:t>
      </w:r>
      <w:hyperlink r:id="rId812" w:history="1">
        <w:r w:rsidRPr="00D61F73">
          <w:rPr>
            <w:rStyle w:val="Hyperlink"/>
            <w:rFonts w:ascii="Arial" w:hAnsi="Arial" w:cs="Arial"/>
          </w:rPr>
          <w:t>16386058</w:t>
        </w:r>
      </w:hyperlink>
    </w:p>
    <w:p w14:paraId="31B27D1E" w14:textId="77777777" w:rsidR="008D0565" w:rsidRPr="00D61F73" w:rsidRDefault="008D0565" w:rsidP="00D61F73">
      <w:pPr>
        <w:rPr>
          <w:rFonts w:ascii="Arial" w:hAnsi="Arial" w:cs="Arial"/>
        </w:rPr>
      </w:pPr>
    </w:p>
    <w:p w14:paraId="2776C470" w14:textId="77777777" w:rsidR="008D0565" w:rsidRPr="00D61F73" w:rsidRDefault="008D0565" w:rsidP="00D61F73">
      <w:pPr>
        <w:rPr>
          <w:rFonts w:ascii="Arial" w:hAnsi="Arial" w:cs="Arial"/>
          <w:b/>
          <w:bCs/>
        </w:rPr>
      </w:pPr>
      <w:r w:rsidRPr="00D61F73">
        <w:rPr>
          <w:rFonts w:ascii="Arial" w:hAnsi="Arial" w:cs="Arial"/>
        </w:rPr>
        <w:t>Rating: 2b</w:t>
      </w:r>
    </w:p>
    <w:p w14:paraId="125ABCA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73" w:name="Sullivan2010"/>
      <w:bookmarkEnd w:id="1173"/>
      <w:r w:rsidRPr="00D61F73">
        <w:rPr>
          <w:rFonts w:ascii="Arial" w:hAnsi="Arial" w:cs="Arial"/>
          <w:b/>
          <w:bCs/>
        </w:rPr>
        <w:t xml:space="preserve">ullivan MJ, Adams H. Psychosocial treatment techniques to augment the impact of physiotherapy interventions for low back pain. </w:t>
      </w:r>
      <w:r w:rsidRPr="00D61F73">
        <w:rPr>
          <w:rFonts w:ascii="Arial" w:hAnsi="Arial" w:cs="Arial"/>
          <w:b/>
          <w:bCs/>
          <w:i/>
          <w:iCs/>
        </w:rPr>
        <w:t>Physiother Can</w:t>
      </w:r>
      <w:r w:rsidRPr="00D61F73">
        <w:rPr>
          <w:rFonts w:ascii="Arial" w:hAnsi="Arial" w:cs="Arial"/>
          <w:b/>
          <w:bCs/>
        </w:rPr>
        <w:t>. 2010 Summer;62(3):180-9. doi: 10.3138/physio.62.3.180.</w:t>
      </w:r>
    </w:p>
    <w:p w14:paraId="3E051755" w14:textId="77777777" w:rsidR="008D0565" w:rsidRPr="00D61F73" w:rsidRDefault="008D0565" w:rsidP="00D61F73">
      <w:pPr>
        <w:rPr>
          <w:rFonts w:ascii="Arial" w:hAnsi="Arial" w:cs="Arial"/>
        </w:rPr>
      </w:pPr>
    </w:p>
    <w:p w14:paraId="645CF397"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813" w:history="1">
        <w:r w:rsidRPr="00D61F73">
          <w:rPr>
            <w:rStyle w:val="Hyperlink"/>
            <w:rFonts w:ascii="Arial" w:hAnsi="Arial" w:cs="Arial"/>
          </w:rPr>
          <w:t>21629595</w:t>
        </w:r>
      </w:hyperlink>
    </w:p>
    <w:p w14:paraId="5CF9CE48" w14:textId="77777777" w:rsidR="008D0565" w:rsidRPr="00D61F73" w:rsidRDefault="008D0565" w:rsidP="00D61F73">
      <w:pPr>
        <w:rPr>
          <w:rFonts w:ascii="Arial" w:hAnsi="Arial" w:cs="Arial"/>
        </w:rPr>
      </w:pPr>
    </w:p>
    <w:p w14:paraId="766B859B" w14:textId="77777777" w:rsidR="008D0565" w:rsidRPr="00D61F73" w:rsidRDefault="008D0565" w:rsidP="00D61F73">
      <w:pPr>
        <w:rPr>
          <w:rFonts w:ascii="Arial" w:hAnsi="Arial" w:cs="Arial"/>
          <w:b/>
          <w:bCs/>
        </w:rPr>
      </w:pPr>
      <w:r w:rsidRPr="00D61F73">
        <w:rPr>
          <w:rFonts w:ascii="Arial" w:hAnsi="Arial" w:cs="Arial"/>
        </w:rPr>
        <w:t>Rating: 3b</w:t>
      </w:r>
    </w:p>
    <w:p w14:paraId="15F18944"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S</w:t>
      </w:r>
      <w:bookmarkStart w:id="1174" w:name="Sundaraj"/>
      <w:bookmarkEnd w:id="1174"/>
      <w:r w:rsidRPr="00D61F73">
        <w:rPr>
          <w:rFonts w:ascii="Arial" w:hAnsi="Arial" w:cs="Arial"/>
          <w:b/>
          <w:bCs/>
        </w:rPr>
        <w:t xml:space="preserve">undaraj SR, Johnstone C, Noore F, Wynn P, Castro M. Spinal cord stimulation: a seven-year audit. </w:t>
      </w:r>
      <w:r w:rsidRPr="00D61F73">
        <w:rPr>
          <w:rFonts w:ascii="Arial" w:hAnsi="Arial" w:cs="Arial"/>
          <w:b/>
          <w:bCs/>
          <w:i/>
          <w:iCs/>
        </w:rPr>
        <w:t>J Clin Neurosci</w:t>
      </w:r>
      <w:r w:rsidRPr="00D61F73">
        <w:rPr>
          <w:rFonts w:ascii="Arial" w:hAnsi="Arial" w:cs="Arial"/>
          <w:b/>
          <w:bCs/>
        </w:rPr>
        <w:t>. 2005 Apr;12(3):264-70.</w:t>
      </w:r>
    </w:p>
    <w:p w14:paraId="6E2BB637" w14:textId="77777777" w:rsidR="008D0565" w:rsidRPr="00D61F73" w:rsidRDefault="008D0565" w:rsidP="00D61F73">
      <w:pPr>
        <w:rPr>
          <w:rFonts w:ascii="Arial" w:hAnsi="Arial" w:cs="Arial"/>
        </w:rPr>
      </w:pPr>
    </w:p>
    <w:p w14:paraId="1DFA44E2" w14:textId="77777777" w:rsidR="008D0565" w:rsidRPr="00D61F73" w:rsidRDefault="008D0565" w:rsidP="00D61F73">
      <w:pPr>
        <w:rPr>
          <w:rFonts w:ascii="Arial" w:hAnsi="Arial" w:cs="Arial"/>
        </w:rPr>
      </w:pPr>
      <w:r w:rsidRPr="00D61F73">
        <w:rPr>
          <w:rFonts w:ascii="Arial" w:hAnsi="Arial" w:cs="Arial"/>
        </w:rPr>
        <w:t>CONCLUSION: SCS is an effective treatment in the control of chronic neuropathic pain, particularly in combination with comprehensive medical management within a multidisciplinary pain management centre.</w:t>
      </w:r>
    </w:p>
    <w:p w14:paraId="253150F8" w14:textId="77777777" w:rsidR="008D0565" w:rsidRPr="00D61F73" w:rsidRDefault="008D0565" w:rsidP="00D61F73">
      <w:pPr>
        <w:rPr>
          <w:rFonts w:ascii="Arial" w:hAnsi="Arial" w:cs="Arial"/>
        </w:rPr>
      </w:pPr>
    </w:p>
    <w:p w14:paraId="6FFBFCC7" w14:textId="77777777" w:rsidR="008D0565" w:rsidRPr="00D61F73" w:rsidRDefault="008D0565" w:rsidP="00D61F73">
      <w:pPr>
        <w:rPr>
          <w:rFonts w:ascii="Arial" w:hAnsi="Arial" w:cs="Arial"/>
        </w:rPr>
      </w:pPr>
      <w:r w:rsidRPr="00D61F73">
        <w:rPr>
          <w:rFonts w:ascii="Arial" w:hAnsi="Arial" w:cs="Arial"/>
        </w:rPr>
        <w:t xml:space="preserve">PMID: </w:t>
      </w:r>
      <w:hyperlink r:id="rId814" w:history="1">
        <w:r w:rsidRPr="00D61F73">
          <w:rPr>
            <w:rStyle w:val="Hyperlink"/>
            <w:rFonts w:ascii="Arial" w:hAnsi="Arial" w:cs="Arial"/>
          </w:rPr>
          <w:t>15851079</w:t>
        </w:r>
      </w:hyperlink>
    </w:p>
    <w:p w14:paraId="311D5176" w14:textId="77777777" w:rsidR="008D0565" w:rsidRPr="00D61F73" w:rsidRDefault="008D0565" w:rsidP="00D61F73">
      <w:pPr>
        <w:rPr>
          <w:rFonts w:ascii="Arial" w:hAnsi="Arial" w:cs="Arial"/>
        </w:rPr>
      </w:pPr>
    </w:p>
    <w:p w14:paraId="4CCAD663" w14:textId="77777777" w:rsidR="008D0565" w:rsidRPr="00D61F73" w:rsidRDefault="008D0565" w:rsidP="00D61F73">
      <w:pPr>
        <w:rPr>
          <w:rFonts w:ascii="Arial" w:hAnsi="Arial" w:cs="Arial"/>
          <w:b/>
          <w:bCs/>
        </w:rPr>
      </w:pPr>
      <w:r w:rsidRPr="00D61F73">
        <w:rPr>
          <w:rFonts w:ascii="Arial" w:hAnsi="Arial" w:cs="Arial"/>
        </w:rPr>
        <w:t xml:space="preserve">Rating: </w:t>
      </w:r>
      <w:r w:rsidRPr="00D61F73">
        <w:rPr>
          <w:rFonts w:ascii="Arial" w:hAnsi="Arial" w:cs="Arial"/>
          <w:b/>
          <w:bCs/>
        </w:rPr>
        <w:t>T</w:t>
      </w:r>
      <w:bookmarkStart w:id="1175" w:name="Taricco"/>
      <w:bookmarkEnd w:id="1175"/>
      <w:r w:rsidRPr="00D61F73">
        <w:rPr>
          <w:rFonts w:ascii="Arial" w:hAnsi="Arial" w:cs="Arial"/>
          <w:b/>
          <w:bCs/>
        </w:rPr>
        <w:t xml:space="preserve">aricco, M., et al. Pharmacological interventions for spasticity following spinal cord injury: results of a Cochrane systematic review. </w:t>
      </w:r>
      <w:r w:rsidRPr="00D61F73">
        <w:rPr>
          <w:rFonts w:ascii="Arial" w:hAnsi="Arial" w:cs="Arial"/>
          <w:b/>
          <w:bCs/>
          <w:i/>
          <w:iCs/>
        </w:rPr>
        <w:t>Eura Medicophys</w:t>
      </w:r>
      <w:r w:rsidRPr="00D61F73">
        <w:rPr>
          <w:rFonts w:ascii="Arial" w:hAnsi="Arial" w:cs="Arial"/>
          <w:b/>
          <w:bCs/>
        </w:rPr>
        <w:t>. 2006; Volume 42: 5-15.</w:t>
      </w:r>
    </w:p>
    <w:p w14:paraId="1C8F687D" w14:textId="77777777" w:rsidR="008D0565" w:rsidRPr="00D61F73" w:rsidRDefault="008D0565" w:rsidP="00D61F73">
      <w:pPr>
        <w:rPr>
          <w:rFonts w:ascii="Arial" w:hAnsi="Arial" w:cs="Arial"/>
        </w:rPr>
      </w:pPr>
    </w:p>
    <w:p w14:paraId="44A832B1" w14:textId="77777777" w:rsidR="008D0565" w:rsidRPr="00D61F73" w:rsidRDefault="008D0565" w:rsidP="00D61F73">
      <w:pPr>
        <w:rPr>
          <w:rFonts w:ascii="Arial" w:hAnsi="Arial" w:cs="Arial"/>
        </w:rPr>
      </w:pPr>
      <w:r w:rsidRPr="00D61F73">
        <w:rPr>
          <w:rFonts w:ascii="Arial" w:hAnsi="Arial" w:cs="Arial"/>
        </w:rPr>
        <w:t>Rating: 1c</w:t>
      </w:r>
    </w:p>
    <w:p w14:paraId="03AD7B62" w14:textId="77777777" w:rsidR="008D0565" w:rsidRPr="00D61F73" w:rsidRDefault="008D0565" w:rsidP="00D61F73">
      <w:pPr>
        <w:rPr>
          <w:rFonts w:ascii="Arial" w:hAnsi="Arial" w:cs="Arial"/>
        </w:rPr>
      </w:pPr>
    </w:p>
    <w:p w14:paraId="3163123A" w14:textId="77777777" w:rsidR="008D0565" w:rsidRPr="00D61F73" w:rsidRDefault="008D0565" w:rsidP="00D61F73">
      <w:pPr>
        <w:rPr>
          <w:rFonts w:ascii="Arial" w:hAnsi="Arial" w:cs="Arial"/>
        </w:rPr>
      </w:pPr>
      <w:r w:rsidRPr="00D61F73">
        <w:rPr>
          <w:rFonts w:ascii="Arial" w:hAnsi="Arial" w:cs="Arial"/>
        </w:rPr>
        <w:t xml:space="preserve">Quality: N/A. Total Rating: N/A. Comment: Does not meet inclusion criteria for evidence-based review. </w:t>
      </w:r>
    </w:p>
    <w:p w14:paraId="40BF1AAE"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T</w:t>
      </w:r>
      <w:bookmarkStart w:id="1176" w:name="Tarner2012"/>
      <w:bookmarkEnd w:id="1176"/>
      <w:r w:rsidRPr="00D61F73">
        <w:rPr>
          <w:rFonts w:ascii="Arial" w:hAnsi="Arial" w:cs="Arial"/>
          <w:b/>
          <w:bCs/>
        </w:rPr>
        <w:t xml:space="preserve">arner IH, Englbrecht M, Schneider M, van der Heijde DM, Müller-Ladner U. The role of corticosteroids for pain relief in persistent pain of inflammatory arthritis: a systematic literature review. </w:t>
      </w:r>
      <w:r w:rsidRPr="00D61F73">
        <w:rPr>
          <w:rFonts w:ascii="Arial" w:hAnsi="Arial" w:cs="Arial"/>
          <w:b/>
          <w:bCs/>
          <w:i/>
          <w:iCs/>
        </w:rPr>
        <w:t>J Rheumatol Suppl.</w:t>
      </w:r>
      <w:r w:rsidRPr="00D61F73">
        <w:rPr>
          <w:rFonts w:ascii="Arial" w:hAnsi="Arial" w:cs="Arial"/>
          <w:b/>
          <w:bCs/>
        </w:rPr>
        <w:t xml:space="preserve"> 2012 Sep;90:17-20. doi: 10.3899/jrheum.120337.</w:t>
      </w:r>
    </w:p>
    <w:p w14:paraId="7E6F565B" w14:textId="77777777" w:rsidR="008D0565" w:rsidRPr="00D61F73" w:rsidRDefault="008D0565" w:rsidP="00D61F73">
      <w:pPr>
        <w:rPr>
          <w:rFonts w:ascii="Arial" w:hAnsi="Arial" w:cs="Arial"/>
        </w:rPr>
      </w:pPr>
    </w:p>
    <w:p w14:paraId="1050D666"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 xml:space="preserve">PMID: </w:t>
      </w:r>
      <w:hyperlink r:id="rId815" w:history="1">
        <w:r w:rsidRPr="00D61F73">
          <w:rPr>
            <w:rStyle w:val="Hyperlink"/>
            <w:rFonts w:ascii="Arial" w:hAnsi="Arial" w:cs="Arial"/>
          </w:rPr>
          <w:t>22942324</w:t>
        </w:r>
      </w:hyperlink>
    </w:p>
    <w:p w14:paraId="083DCBEB" w14:textId="77777777" w:rsidR="008D0565" w:rsidRPr="00D61F73" w:rsidRDefault="008D0565" w:rsidP="00D61F73">
      <w:pPr>
        <w:rPr>
          <w:rFonts w:ascii="Arial" w:hAnsi="Arial" w:cs="Arial"/>
        </w:rPr>
      </w:pPr>
    </w:p>
    <w:p w14:paraId="45C4A713" w14:textId="77777777" w:rsidR="008D0565" w:rsidRPr="00D61F73" w:rsidRDefault="008D0565" w:rsidP="00D61F73">
      <w:pPr>
        <w:rPr>
          <w:rFonts w:ascii="Arial" w:hAnsi="Arial" w:cs="Arial"/>
        </w:rPr>
      </w:pPr>
      <w:r w:rsidRPr="00D61F73">
        <w:rPr>
          <w:rFonts w:ascii="Arial" w:hAnsi="Arial" w:cs="Arial"/>
        </w:rPr>
        <w:t xml:space="preserve">Rating: 1b </w:t>
      </w:r>
    </w:p>
    <w:p w14:paraId="244A604A"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lang w:val="de-DE"/>
        </w:rPr>
        <w:lastRenderedPageBreak/>
        <w:t>T</w:t>
      </w:r>
      <w:bookmarkStart w:id="1177" w:name="Tassone"/>
      <w:bookmarkEnd w:id="1177"/>
      <w:r w:rsidRPr="00D61F73">
        <w:rPr>
          <w:rFonts w:ascii="Arial" w:hAnsi="Arial" w:cs="Arial"/>
          <w:b/>
          <w:bCs/>
          <w:lang w:val="de-DE"/>
        </w:rPr>
        <w:t>assone DM</w:t>
      </w:r>
      <w:r w:rsidRPr="00D61F73">
        <w:rPr>
          <w:rFonts w:ascii="Arial" w:hAnsi="Arial" w:cs="Arial"/>
          <w:lang w:val="de-DE"/>
        </w:rPr>
        <w:t xml:space="preserve">, </w:t>
      </w:r>
      <w:r w:rsidRPr="00D61F73">
        <w:rPr>
          <w:rFonts w:ascii="Arial" w:hAnsi="Arial" w:cs="Arial"/>
          <w:b/>
          <w:bCs/>
          <w:lang w:val="de-DE"/>
        </w:rPr>
        <w:t>Boyce E</w:t>
      </w:r>
      <w:r w:rsidRPr="00D61F73">
        <w:rPr>
          <w:rFonts w:ascii="Arial" w:hAnsi="Arial" w:cs="Arial"/>
          <w:lang w:val="de-DE"/>
        </w:rPr>
        <w:t xml:space="preserve">, </w:t>
      </w:r>
      <w:r w:rsidRPr="00D61F73">
        <w:rPr>
          <w:rFonts w:ascii="Arial" w:hAnsi="Arial" w:cs="Arial"/>
          <w:b/>
          <w:bCs/>
          <w:lang w:val="de-DE"/>
        </w:rPr>
        <w:t>Guyer J</w:t>
      </w:r>
      <w:r w:rsidRPr="00D61F73">
        <w:rPr>
          <w:rFonts w:ascii="Arial" w:hAnsi="Arial" w:cs="Arial"/>
          <w:lang w:val="de-DE"/>
        </w:rPr>
        <w:t xml:space="preserve">, </w:t>
      </w:r>
      <w:r w:rsidRPr="00D61F73">
        <w:rPr>
          <w:rFonts w:ascii="Arial" w:hAnsi="Arial" w:cs="Arial"/>
          <w:b/>
          <w:bCs/>
          <w:lang w:val="de-DE"/>
        </w:rPr>
        <w:t>Nuzum D</w:t>
      </w:r>
      <w:r w:rsidRPr="00D61F73">
        <w:rPr>
          <w:rFonts w:ascii="Arial" w:hAnsi="Arial" w:cs="Arial"/>
          <w:lang w:val="de-DE"/>
        </w:rPr>
        <w:t xml:space="preserve">. </w:t>
      </w:r>
      <w:r w:rsidRPr="00D61F73">
        <w:rPr>
          <w:rFonts w:ascii="Arial" w:hAnsi="Arial" w:cs="Arial"/>
          <w:b/>
        </w:rPr>
        <w:t xml:space="preserve">Pregabalin: a novel gamma-aminobutyric acid analogue in the treatment of neuropathic pain, partial-onset seizures, and anxiety disorders. </w:t>
      </w:r>
      <w:r w:rsidRPr="00D61F73">
        <w:rPr>
          <w:rFonts w:ascii="Arial" w:hAnsi="Arial" w:cs="Arial"/>
          <w:b/>
          <w:i/>
        </w:rPr>
        <w:t>Clin Ther.</w:t>
      </w:r>
      <w:r w:rsidRPr="00D61F73">
        <w:rPr>
          <w:rFonts w:ascii="Arial" w:hAnsi="Arial" w:cs="Arial"/>
          <w:b/>
        </w:rPr>
        <w:t xml:space="preserve"> 2007:29:26-48.</w:t>
      </w:r>
    </w:p>
    <w:p w14:paraId="545CCF4C" w14:textId="77777777" w:rsidR="008D0565" w:rsidRPr="00D61F73" w:rsidRDefault="008D0565" w:rsidP="00D61F73">
      <w:pPr>
        <w:pStyle w:val="affiliation"/>
        <w:spacing w:before="0" w:beforeAutospacing="0" w:after="0" w:afterAutospacing="0"/>
        <w:rPr>
          <w:rFonts w:ascii="Arial" w:hAnsi="Arial" w:cs="Arial"/>
        </w:rPr>
      </w:pPr>
    </w:p>
    <w:p w14:paraId="07897D57"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CONCLUSIONS: Pregabalin appears to be an effective therapy in patients with diabetic peripheral neuropathy, postherpetic neuralgia, and adults with refractory partial-onset seizures. </w:t>
      </w:r>
    </w:p>
    <w:p w14:paraId="409A2735" w14:textId="77777777" w:rsidR="008D0565" w:rsidRPr="00D61F73" w:rsidRDefault="008D0565" w:rsidP="00D61F73">
      <w:pPr>
        <w:pStyle w:val="pmid"/>
        <w:spacing w:before="0" w:beforeAutospacing="0" w:after="0" w:afterAutospacing="0"/>
        <w:rPr>
          <w:rFonts w:ascii="Arial" w:hAnsi="Arial" w:cs="Arial"/>
        </w:rPr>
      </w:pPr>
    </w:p>
    <w:p w14:paraId="74DEE35C"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816" w:history="1">
        <w:r w:rsidRPr="00D61F73">
          <w:rPr>
            <w:rStyle w:val="Hyperlink"/>
            <w:rFonts w:ascii="Arial" w:hAnsi="Arial" w:cs="Arial"/>
          </w:rPr>
          <w:t>17379045</w:t>
        </w:r>
      </w:hyperlink>
    </w:p>
    <w:p w14:paraId="25C528B9" w14:textId="77777777" w:rsidR="008D0565" w:rsidRPr="00D61F73" w:rsidRDefault="008D0565" w:rsidP="00D61F73">
      <w:pPr>
        <w:pStyle w:val="pmid"/>
        <w:spacing w:before="0" w:beforeAutospacing="0" w:after="0" w:afterAutospacing="0"/>
        <w:rPr>
          <w:rFonts w:ascii="Arial" w:hAnsi="Arial" w:cs="Arial"/>
        </w:rPr>
      </w:pPr>
    </w:p>
    <w:p w14:paraId="17B8150E" w14:textId="77777777" w:rsidR="008D0565" w:rsidRPr="00D61F73" w:rsidRDefault="008D0565" w:rsidP="00D61F73">
      <w:pPr>
        <w:rPr>
          <w:rFonts w:ascii="Arial" w:hAnsi="Arial" w:cs="Arial"/>
        </w:rPr>
      </w:pPr>
      <w:r w:rsidRPr="00D61F73">
        <w:rPr>
          <w:rFonts w:ascii="Arial" w:hAnsi="Arial" w:cs="Arial"/>
        </w:rPr>
        <w:t>Rating: 5a</w:t>
      </w:r>
    </w:p>
    <w:p w14:paraId="0C0C7761" w14:textId="77777777" w:rsidR="008D0565" w:rsidRPr="00D61F73" w:rsidRDefault="008D0565" w:rsidP="00D61F73">
      <w:pPr>
        <w:rPr>
          <w:rFonts w:ascii="Arial" w:hAnsi="Arial" w:cs="Arial"/>
        </w:rPr>
      </w:pPr>
      <w:r w:rsidRPr="00D61F73">
        <w:rPr>
          <w:rFonts w:ascii="Arial" w:hAnsi="Arial" w:cs="Arial"/>
          <w:b/>
          <w:bCs/>
        </w:rPr>
        <w:br w:type="page"/>
      </w:r>
      <w:r w:rsidRPr="00D61F73">
        <w:rPr>
          <w:rFonts w:ascii="Arial" w:hAnsi="Arial" w:cs="Arial"/>
          <w:b/>
          <w:bCs/>
        </w:rPr>
        <w:lastRenderedPageBreak/>
        <w:t>Ta</w:t>
      </w:r>
      <w:bookmarkStart w:id="1178" w:name="Taylor"/>
      <w:bookmarkEnd w:id="1178"/>
      <w:r w:rsidRPr="00D61F73">
        <w:rPr>
          <w:rFonts w:ascii="Arial" w:hAnsi="Arial" w:cs="Arial"/>
          <w:b/>
          <w:bCs/>
        </w:rPr>
        <w:t xml:space="preserve">ylor WD, Doraiswamy PM. A Systematic Review of Antidepressant Placebo-Controlled Trials for Geriatric Depression: Limitations of Current Data and Directions for the Future, </w:t>
      </w:r>
      <w:r w:rsidRPr="00D61F73">
        <w:rPr>
          <w:rFonts w:ascii="Arial" w:hAnsi="Arial" w:cs="Arial"/>
          <w:b/>
          <w:bCs/>
          <w:i/>
          <w:iCs/>
        </w:rPr>
        <w:t>Neuropsychopharmacology</w:t>
      </w:r>
      <w:r w:rsidRPr="00D61F73">
        <w:rPr>
          <w:rFonts w:ascii="Arial" w:hAnsi="Arial" w:cs="Arial"/>
          <w:b/>
          <w:bCs/>
        </w:rPr>
        <w:t>. 2004 Sep 1</w:t>
      </w:r>
    </w:p>
    <w:p w14:paraId="554C8E0B" w14:textId="77777777" w:rsidR="008D0565" w:rsidRPr="00D61F73" w:rsidRDefault="008D0565" w:rsidP="00D61F73">
      <w:pPr>
        <w:rPr>
          <w:rFonts w:ascii="Arial" w:hAnsi="Arial" w:cs="Arial"/>
        </w:rPr>
      </w:pPr>
    </w:p>
    <w:p w14:paraId="74F2129C" w14:textId="77777777" w:rsidR="008D0565" w:rsidRPr="00D61F73" w:rsidRDefault="008D0565" w:rsidP="00D61F73">
      <w:pPr>
        <w:rPr>
          <w:rFonts w:ascii="Arial" w:hAnsi="Arial" w:cs="Arial"/>
        </w:rPr>
      </w:pPr>
      <w:r w:rsidRPr="00D61F73">
        <w:rPr>
          <w:rFonts w:ascii="Arial" w:hAnsi="Arial" w:cs="Arial"/>
        </w:rPr>
        <w:t xml:space="preserve">Large placebo response rates, lack of controlled head to head comparisons, and other methodological design differences make crosstrial comparisons difficult. </w:t>
      </w:r>
    </w:p>
    <w:p w14:paraId="05C0E9FB" w14:textId="77777777" w:rsidR="008D0565" w:rsidRPr="00D61F73" w:rsidRDefault="008D0565" w:rsidP="00D61F73">
      <w:pPr>
        <w:rPr>
          <w:rFonts w:ascii="Arial" w:hAnsi="Arial" w:cs="Arial"/>
        </w:rPr>
      </w:pPr>
    </w:p>
    <w:p w14:paraId="54DCE6AC" w14:textId="77777777" w:rsidR="008D0565" w:rsidRPr="00D61F73" w:rsidRDefault="008D0565" w:rsidP="00D61F73">
      <w:pPr>
        <w:rPr>
          <w:rFonts w:ascii="Arial" w:hAnsi="Arial" w:cs="Arial"/>
        </w:rPr>
      </w:pPr>
      <w:r w:rsidRPr="00D61F73">
        <w:rPr>
          <w:rFonts w:ascii="Arial" w:hAnsi="Arial" w:cs="Arial"/>
        </w:rPr>
        <w:t xml:space="preserve">PMID: </w:t>
      </w:r>
      <w:hyperlink r:id="rId817" w:history="1">
        <w:r w:rsidRPr="00D61F73">
          <w:rPr>
            <w:rStyle w:val="Hyperlink"/>
            <w:rFonts w:ascii="Arial" w:hAnsi="Arial" w:cs="Arial"/>
          </w:rPr>
          <w:t>15340391</w:t>
        </w:r>
      </w:hyperlink>
      <w:r w:rsidRPr="00D61F73">
        <w:rPr>
          <w:rFonts w:ascii="Arial" w:hAnsi="Arial" w:cs="Arial"/>
        </w:rPr>
        <w:t xml:space="preserve"> </w:t>
      </w:r>
    </w:p>
    <w:p w14:paraId="398A3FEF"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07C37970"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Rating: 1b</w:t>
      </w:r>
    </w:p>
    <w:p w14:paraId="71166758"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03879AE0" w14:textId="00F1055A" w:rsidR="008D0565" w:rsidRPr="00D61F73" w:rsidRDefault="008D0565" w:rsidP="00D61F73">
      <w:pPr>
        <w:pStyle w:val="Heading3"/>
        <w:spacing w:before="0" w:beforeAutospacing="0" w:after="0" w:afterAutospacing="0"/>
        <w:rPr>
          <w:rFonts w:ascii="Arial" w:hAnsi="Arial" w:cs="Arial"/>
          <w:sz w:val="24"/>
          <w:szCs w:val="24"/>
        </w:rPr>
      </w:pPr>
      <w:r w:rsidRPr="00D61F73">
        <w:rPr>
          <w:rFonts w:ascii="Arial" w:hAnsi="Arial" w:cs="Arial"/>
          <w:b w:val="0"/>
          <w:bCs w:val="0"/>
          <w:sz w:val="24"/>
          <w:szCs w:val="24"/>
        </w:rPr>
        <w:br w:type="page"/>
      </w:r>
      <w:r w:rsidRPr="008B7940">
        <w:rPr>
          <w:rFonts w:ascii="Arial" w:hAnsi="Arial" w:cs="Arial"/>
          <w:sz w:val="24"/>
          <w:szCs w:val="24"/>
        </w:rPr>
        <w:lastRenderedPageBreak/>
        <w:t>T</w:t>
      </w:r>
      <w:bookmarkStart w:id="1179" w:name="Taylor2"/>
      <w:bookmarkEnd w:id="1179"/>
      <w:r w:rsidRPr="008B7940">
        <w:rPr>
          <w:rFonts w:ascii="Arial" w:hAnsi="Arial" w:cs="Arial"/>
          <w:sz w:val="24"/>
          <w:szCs w:val="24"/>
        </w:rPr>
        <w:t>aylor RS, Buyten JP, Buchser E.</w:t>
      </w:r>
      <w:r w:rsidRPr="00D61F73">
        <w:rPr>
          <w:rFonts w:ascii="Arial" w:hAnsi="Arial" w:cs="Arial"/>
          <w:sz w:val="24"/>
          <w:szCs w:val="24"/>
        </w:rPr>
        <w:t xml:space="preserve"> Spinal cord stimulation for complex regional pain syndrome: A systematic review of the clinical and cost-effectiveness literature and assessment of prognostic factors. </w:t>
      </w:r>
      <w:r w:rsidRPr="00D61F73">
        <w:rPr>
          <w:rFonts w:ascii="Arial" w:hAnsi="Arial" w:cs="Arial"/>
          <w:i/>
          <w:iCs/>
          <w:sz w:val="24"/>
          <w:szCs w:val="24"/>
        </w:rPr>
        <w:t>Eur J Pain</w:t>
      </w:r>
      <w:r w:rsidRPr="00D61F73">
        <w:rPr>
          <w:rFonts w:ascii="Arial" w:hAnsi="Arial" w:cs="Arial"/>
          <w:sz w:val="24"/>
          <w:szCs w:val="24"/>
        </w:rPr>
        <w:t>. 2006 Feb;10(2):91-101.</w:t>
      </w:r>
    </w:p>
    <w:p w14:paraId="044D3941"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219A16BB"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CONCLUSIONS: SCS appears to be an effective therapy in the management of patients with CRPS type I (Level A evidence) and type II (Level D evidence). Moreover, there is evidence to demonstrate that SCS is a cost-effective treatment for CRPS type I.</w:t>
      </w:r>
    </w:p>
    <w:p w14:paraId="2F66CC8A"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15C1A459"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r w:rsidRPr="00D61F73">
        <w:rPr>
          <w:rFonts w:ascii="Arial" w:hAnsi="Arial" w:cs="Arial"/>
          <w:b w:val="0"/>
          <w:bCs w:val="0"/>
          <w:sz w:val="24"/>
          <w:szCs w:val="24"/>
        </w:rPr>
        <w:t xml:space="preserve">PMID: </w:t>
      </w:r>
      <w:hyperlink r:id="rId818" w:history="1">
        <w:r w:rsidRPr="00D61F73">
          <w:rPr>
            <w:rStyle w:val="Hyperlink"/>
            <w:rFonts w:ascii="Arial" w:hAnsi="Arial" w:cs="Arial"/>
            <w:b w:val="0"/>
            <w:bCs w:val="0"/>
            <w:sz w:val="24"/>
            <w:szCs w:val="24"/>
          </w:rPr>
          <w:t>16310712</w:t>
        </w:r>
      </w:hyperlink>
      <w:r w:rsidRPr="00D61F73">
        <w:rPr>
          <w:rFonts w:ascii="Arial" w:hAnsi="Arial" w:cs="Arial"/>
          <w:b w:val="0"/>
          <w:bCs w:val="0"/>
          <w:sz w:val="24"/>
          <w:szCs w:val="24"/>
        </w:rPr>
        <w:t xml:space="preserve"> </w:t>
      </w:r>
    </w:p>
    <w:p w14:paraId="40CAB87C"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p>
    <w:p w14:paraId="3C1431D5" w14:textId="77777777" w:rsidR="008D0565" w:rsidRPr="00D61F73" w:rsidRDefault="008D0565" w:rsidP="00D61F73">
      <w:pPr>
        <w:pStyle w:val="Heading3"/>
        <w:spacing w:before="0" w:beforeAutospacing="0" w:after="0" w:afterAutospacing="0"/>
        <w:rPr>
          <w:rFonts w:ascii="Arial" w:hAnsi="Arial" w:cs="Arial"/>
          <w:b w:val="0"/>
          <w:bCs w:val="0"/>
          <w:sz w:val="24"/>
          <w:szCs w:val="24"/>
        </w:rPr>
      </w:pPr>
      <w:bookmarkStart w:id="1180" w:name="_Rating:_1c"/>
      <w:bookmarkEnd w:id="1180"/>
      <w:r w:rsidRPr="00D61F73">
        <w:rPr>
          <w:rFonts w:ascii="Arial" w:hAnsi="Arial" w:cs="Arial"/>
          <w:b w:val="0"/>
          <w:bCs w:val="0"/>
          <w:sz w:val="24"/>
          <w:szCs w:val="24"/>
        </w:rPr>
        <w:t>Rating: 1c</w:t>
      </w:r>
    </w:p>
    <w:p w14:paraId="6DC8887A" w14:textId="77777777" w:rsidR="008D0565" w:rsidRPr="00D61F73" w:rsidRDefault="008D0565" w:rsidP="00D61F73">
      <w:pPr>
        <w:rPr>
          <w:rFonts w:ascii="Arial" w:hAnsi="Arial" w:cs="Arial"/>
          <w:b/>
          <w:bCs/>
        </w:rPr>
      </w:pPr>
      <w:r w:rsidRPr="00D61F73">
        <w:rPr>
          <w:rFonts w:ascii="Arial" w:hAnsi="Arial" w:cs="Arial"/>
          <w:b/>
          <w:bCs/>
        </w:rPr>
        <w:br w:type="page"/>
      </w:r>
      <w:r w:rsidRPr="00D61F73">
        <w:rPr>
          <w:rFonts w:ascii="Arial" w:hAnsi="Arial" w:cs="Arial"/>
          <w:b/>
          <w:bCs/>
        </w:rPr>
        <w:lastRenderedPageBreak/>
        <w:t>T</w:t>
      </w:r>
      <w:bookmarkStart w:id="1181" w:name="Tembe2011"/>
      <w:bookmarkEnd w:id="1181"/>
      <w:r w:rsidRPr="00D61F73">
        <w:rPr>
          <w:rFonts w:ascii="Arial" w:hAnsi="Arial" w:cs="Arial"/>
          <w:b/>
          <w:bCs/>
        </w:rPr>
        <w:t xml:space="preserve">embe DV, Dhavale A, Desai H, Mane DN, Raut SK, Dhingra G, Sardesai U, Saoji S, Rohra M, Shinde VG, Padsalge M, Paliwal A, Abbasi K, Devnani P, Papinwar S, Phadke S, Mehta H, Bhailume V. Armodafinil versus Modafinil in Patients of Excessive Sleepiness Associated with Shift Work Sleep Disorder: A Randomized Double Blind Multicentric Clinical Trial. </w:t>
      </w:r>
      <w:r w:rsidRPr="00D61F73">
        <w:rPr>
          <w:rFonts w:ascii="Arial" w:hAnsi="Arial" w:cs="Arial"/>
          <w:b/>
          <w:bCs/>
          <w:i/>
          <w:iCs/>
        </w:rPr>
        <w:t>Neurol Res Int.</w:t>
      </w:r>
      <w:r w:rsidRPr="00D61F73">
        <w:rPr>
          <w:rFonts w:ascii="Arial" w:hAnsi="Arial" w:cs="Arial"/>
          <w:b/>
          <w:bCs/>
        </w:rPr>
        <w:t xml:space="preserve"> 2011;2011:514351. </w:t>
      </w:r>
    </w:p>
    <w:p w14:paraId="412890D4" w14:textId="77777777" w:rsidR="008D0565" w:rsidRPr="00D61F73" w:rsidRDefault="008D0565" w:rsidP="00D61F73">
      <w:pPr>
        <w:rPr>
          <w:rFonts w:ascii="Arial" w:hAnsi="Arial" w:cs="Arial"/>
        </w:rPr>
      </w:pPr>
    </w:p>
    <w:p w14:paraId="4C48ED0E" w14:textId="77777777" w:rsidR="008D0565" w:rsidRPr="00D61F73" w:rsidRDefault="008D0565" w:rsidP="00D61F73">
      <w:pPr>
        <w:rPr>
          <w:rFonts w:ascii="Arial" w:hAnsi="Arial" w:cs="Arial"/>
        </w:rPr>
      </w:pPr>
      <w:r w:rsidRPr="00D61F73">
        <w:rPr>
          <w:rFonts w:ascii="Arial" w:hAnsi="Arial" w:cs="Arial"/>
        </w:rPr>
        <w:t>The study did not demonstrate any difference in efficacy and safety of armodafinil and modafinil.</w:t>
      </w:r>
    </w:p>
    <w:p w14:paraId="24BB1C56" w14:textId="77777777" w:rsidR="008D0565" w:rsidRPr="00D61F73" w:rsidRDefault="008D0565" w:rsidP="00D61F73">
      <w:pPr>
        <w:rPr>
          <w:rFonts w:ascii="Arial" w:hAnsi="Arial" w:cs="Arial"/>
        </w:rPr>
      </w:pPr>
    </w:p>
    <w:p w14:paraId="393AD873" w14:textId="77777777" w:rsidR="008D0565" w:rsidRPr="00D61F73" w:rsidRDefault="008D0565" w:rsidP="00D61F73">
      <w:pPr>
        <w:rPr>
          <w:rFonts w:ascii="Arial" w:hAnsi="Arial" w:cs="Arial"/>
        </w:rPr>
      </w:pPr>
      <w:r w:rsidRPr="00D61F73">
        <w:rPr>
          <w:rFonts w:ascii="Arial" w:hAnsi="Arial" w:cs="Arial"/>
        </w:rPr>
        <w:t xml:space="preserve">PMID: </w:t>
      </w:r>
      <w:hyperlink r:id="rId819" w:history="1">
        <w:r w:rsidRPr="00D61F73">
          <w:rPr>
            <w:rStyle w:val="Hyperlink"/>
            <w:rFonts w:ascii="Arial" w:hAnsi="Arial" w:cs="Arial"/>
          </w:rPr>
          <w:t>21766023</w:t>
        </w:r>
      </w:hyperlink>
    </w:p>
    <w:p w14:paraId="218E7903" w14:textId="77777777" w:rsidR="008D0565" w:rsidRPr="00D61F73" w:rsidRDefault="008D0565" w:rsidP="00D61F73">
      <w:pPr>
        <w:rPr>
          <w:rFonts w:ascii="Arial" w:hAnsi="Arial" w:cs="Arial"/>
        </w:rPr>
      </w:pPr>
    </w:p>
    <w:p w14:paraId="71C53BA2" w14:textId="77777777" w:rsidR="008D0565" w:rsidRPr="00D61F73" w:rsidRDefault="008D0565" w:rsidP="00D61F73">
      <w:pPr>
        <w:rPr>
          <w:rFonts w:ascii="Arial" w:hAnsi="Arial" w:cs="Arial"/>
        </w:rPr>
      </w:pPr>
      <w:r w:rsidRPr="00D61F73">
        <w:rPr>
          <w:rFonts w:ascii="Arial" w:hAnsi="Arial" w:cs="Arial"/>
        </w:rPr>
        <w:t>Rating: 2b</w:t>
      </w:r>
    </w:p>
    <w:p w14:paraId="368DA3FF" w14:textId="77777777" w:rsidR="008D0565" w:rsidRPr="00D61F73" w:rsidRDefault="008D0565" w:rsidP="00D61F73">
      <w:pPr>
        <w:rPr>
          <w:rFonts w:ascii="Arial" w:hAnsi="Arial" w:cs="Arial"/>
        </w:rPr>
      </w:pPr>
      <w:r w:rsidRPr="00D61F73">
        <w:rPr>
          <w:rFonts w:ascii="Arial" w:hAnsi="Arial" w:cs="Arial"/>
        </w:rPr>
        <w:t xml:space="preserve"> </w:t>
      </w:r>
    </w:p>
    <w:p w14:paraId="72D94813"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T</w:t>
      </w:r>
      <w:bookmarkStart w:id="1182" w:name="Terkelsen2008"/>
      <w:bookmarkEnd w:id="1182"/>
      <w:r w:rsidRPr="00D61F73">
        <w:rPr>
          <w:rFonts w:ascii="Arial" w:hAnsi="Arial" w:cs="Arial"/>
          <w:b/>
        </w:rPr>
        <w:t>erkelsen AJ, Bach FW, Jensen TS. Experimental forearm immobilization in humans induces cold and mechanical hyperalgesia</w:t>
      </w:r>
      <w:r w:rsidRPr="00D61F73">
        <w:rPr>
          <w:rFonts w:ascii="Arial" w:hAnsi="Arial" w:cs="Arial"/>
          <w:b/>
          <w:i/>
        </w:rPr>
        <w:t>. Anesthesiology</w:t>
      </w:r>
      <w:r w:rsidRPr="00D61F73">
        <w:rPr>
          <w:rFonts w:ascii="Arial" w:hAnsi="Arial" w:cs="Arial"/>
          <w:b/>
        </w:rPr>
        <w:t>. 2008;109:297-307.</w:t>
      </w:r>
    </w:p>
    <w:p w14:paraId="14AEE3F6" w14:textId="77777777" w:rsidR="008D0565" w:rsidRPr="00D61F73" w:rsidRDefault="008D0565" w:rsidP="00D61F73">
      <w:pPr>
        <w:rPr>
          <w:rFonts w:ascii="Arial" w:hAnsi="Arial" w:cs="Arial"/>
          <w:b/>
        </w:rPr>
      </w:pPr>
    </w:p>
    <w:p w14:paraId="146C0CF1" w14:textId="77777777" w:rsidR="008D0565" w:rsidRPr="00D61F73" w:rsidRDefault="008D0565" w:rsidP="00D61F73">
      <w:pPr>
        <w:rPr>
          <w:rFonts w:ascii="Arial" w:hAnsi="Arial" w:cs="Arial"/>
        </w:rPr>
      </w:pPr>
      <w:r w:rsidRPr="00D61F73">
        <w:rPr>
          <w:rFonts w:ascii="Arial" w:hAnsi="Arial" w:cs="Arial"/>
        </w:rPr>
        <w:t xml:space="preserve">PMID: </w:t>
      </w:r>
      <w:hyperlink r:id="rId820" w:history="1">
        <w:r w:rsidRPr="00D61F73">
          <w:rPr>
            <w:rStyle w:val="Hyperlink"/>
            <w:rFonts w:ascii="Arial" w:hAnsi="Arial" w:cs="Arial"/>
          </w:rPr>
          <w:t>18648239</w:t>
        </w:r>
      </w:hyperlink>
    </w:p>
    <w:p w14:paraId="1039325A" w14:textId="77777777" w:rsidR="008D0565" w:rsidRPr="00D61F73" w:rsidRDefault="008D0565" w:rsidP="00D61F73">
      <w:pPr>
        <w:rPr>
          <w:rFonts w:ascii="Arial" w:hAnsi="Arial" w:cs="Arial"/>
        </w:rPr>
      </w:pPr>
    </w:p>
    <w:p w14:paraId="7D4D4E07" w14:textId="77777777" w:rsidR="00E55348" w:rsidRPr="00D61F73" w:rsidRDefault="008D0565" w:rsidP="00D61F73">
      <w:pPr>
        <w:rPr>
          <w:rFonts w:ascii="Arial" w:hAnsi="Arial" w:cs="Arial"/>
        </w:rPr>
      </w:pPr>
      <w:r w:rsidRPr="00D61F73">
        <w:rPr>
          <w:rFonts w:ascii="Arial" w:hAnsi="Arial" w:cs="Arial"/>
        </w:rPr>
        <w:t>Rating: 5c</w:t>
      </w:r>
    </w:p>
    <w:p w14:paraId="19B7709C" w14:textId="77777777" w:rsidR="00E55348" w:rsidRPr="00D61F73" w:rsidRDefault="00E55348" w:rsidP="00D61F73">
      <w:pPr>
        <w:rPr>
          <w:rFonts w:ascii="Arial" w:hAnsi="Arial" w:cs="Arial"/>
          <w:b/>
        </w:rPr>
      </w:pPr>
      <w:r w:rsidRPr="00D61F73">
        <w:rPr>
          <w:rFonts w:ascii="Arial" w:hAnsi="Arial" w:cs="Arial"/>
        </w:rPr>
        <w:br w:type="page"/>
      </w:r>
      <w:r w:rsidRPr="00D61F73">
        <w:rPr>
          <w:rFonts w:ascii="Arial" w:hAnsi="Arial" w:cs="Arial"/>
          <w:b/>
        </w:rPr>
        <w:lastRenderedPageBreak/>
        <w:t>T</w:t>
      </w:r>
      <w:bookmarkStart w:id="1183" w:name="Thiese2013"/>
      <w:bookmarkEnd w:id="1183"/>
      <w:r w:rsidRPr="00D61F73">
        <w:rPr>
          <w:rFonts w:ascii="Arial" w:hAnsi="Arial" w:cs="Arial"/>
          <w:b/>
        </w:rPr>
        <w:t xml:space="preserve">hiese MS, Hughes M, Biggs J. Electrical stimulation for chronic non-specific low back pain in a working-age population: a 12-week double blinded randomized controlled trial. </w:t>
      </w:r>
      <w:r w:rsidRPr="00D61F73">
        <w:rPr>
          <w:rFonts w:ascii="Arial" w:hAnsi="Arial" w:cs="Arial"/>
          <w:b/>
          <w:i/>
        </w:rPr>
        <w:t>BMC Musculoskelet Disord.</w:t>
      </w:r>
      <w:r w:rsidRPr="00D61F73">
        <w:rPr>
          <w:rFonts w:ascii="Arial" w:hAnsi="Arial" w:cs="Arial"/>
          <w:b/>
        </w:rPr>
        <w:t xml:space="preserve"> 2013 Mar 28;14:117. doi: 10.1186/1471-2474-14-117.</w:t>
      </w:r>
    </w:p>
    <w:p w14:paraId="2D67D322" w14:textId="77777777" w:rsidR="00E55348" w:rsidRPr="00D61F73" w:rsidRDefault="00E55348" w:rsidP="00D61F73">
      <w:pPr>
        <w:rPr>
          <w:rFonts w:ascii="Arial" w:hAnsi="Arial" w:cs="Arial"/>
        </w:rPr>
      </w:pPr>
    </w:p>
    <w:p w14:paraId="031B9D9E" w14:textId="77777777" w:rsidR="00E55348" w:rsidRPr="00D61F73" w:rsidRDefault="00E55348" w:rsidP="00D61F73">
      <w:pPr>
        <w:rPr>
          <w:rFonts w:ascii="Arial" w:hAnsi="Arial" w:cs="Arial"/>
        </w:rPr>
      </w:pPr>
      <w:r w:rsidRPr="00D61F73">
        <w:rPr>
          <w:rFonts w:ascii="Arial" w:hAnsi="Arial" w:cs="Arial"/>
        </w:rPr>
        <w:t xml:space="preserve">PMID: </w:t>
      </w:r>
      <w:hyperlink r:id="rId821" w:history="1">
        <w:r w:rsidRPr="00D61F73">
          <w:rPr>
            <w:rStyle w:val="Hyperlink"/>
            <w:rFonts w:ascii="Arial" w:hAnsi="Arial" w:cs="Arial"/>
          </w:rPr>
          <w:t>23537462</w:t>
        </w:r>
      </w:hyperlink>
    </w:p>
    <w:p w14:paraId="557A56D7" w14:textId="77777777" w:rsidR="00E55348" w:rsidRPr="00D61F73" w:rsidRDefault="00E55348" w:rsidP="00D61F73">
      <w:pPr>
        <w:rPr>
          <w:rFonts w:ascii="Arial" w:hAnsi="Arial" w:cs="Arial"/>
        </w:rPr>
      </w:pPr>
    </w:p>
    <w:p w14:paraId="516268E6" w14:textId="77777777" w:rsidR="008D0565" w:rsidRPr="00D61F73" w:rsidRDefault="00E55348" w:rsidP="00D61F73">
      <w:pPr>
        <w:rPr>
          <w:rFonts w:ascii="Arial" w:eastAsia="Calibri" w:hAnsi="Arial" w:cs="Arial"/>
        </w:rPr>
      </w:pPr>
      <w:r w:rsidRPr="00D61F73">
        <w:rPr>
          <w:rFonts w:ascii="Arial" w:hAnsi="Arial" w:cs="Arial"/>
        </w:rPr>
        <w:t>Rating: 5b</w:t>
      </w:r>
    </w:p>
    <w:p w14:paraId="475F148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T</w:t>
      </w:r>
      <w:bookmarkStart w:id="1184" w:name="Thompson"/>
      <w:bookmarkEnd w:id="1184"/>
      <w:r w:rsidRPr="00D61F73">
        <w:rPr>
          <w:rFonts w:ascii="Arial" w:hAnsi="Arial" w:cs="Arial"/>
          <w:b/>
        </w:rPr>
        <w:t xml:space="preserve">hompson JC, Dunbar E, Laye RR. Treatment challenges and complications with ziconotide monotherapy in established pump patients. </w:t>
      </w:r>
      <w:r w:rsidRPr="00D61F73">
        <w:rPr>
          <w:rFonts w:ascii="Arial" w:hAnsi="Arial" w:cs="Arial"/>
          <w:b/>
          <w:i/>
        </w:rPr>
        <w:t>Pain Physician</w:t>
      </w:r>
      <w:r w:rsidRPr="00D61F73">
        <w:rPr>
          <w:rFonts w:ascii="Arial" w:hAnsi="Arial" w:cs="Arial"/>
          <w:b/>
        </w:rPr>
        <w:t>. 2006 Apr;9(2):147-52.</w:t>
      </w:r>
    </w:p>
    <w:p w14:paraId="25A331C5" w14:textId="77777777" w:rsidR="008D0565" w:rsidRPr="00D61F73" w:rsidRDefault="008D0565" w:rsidP="00D61F73">
      <w:pPr>
        <w:rPr>
          <w:rFonts w:ascii="Arial" w:hAnsi="Arial" w:cs="Arial"/>
          <w:b/>
        </w:rPr>
      </w:pPr>
    </w:p>
    <w:p w14:paraId="00B92B49" w14:textId="77777777" w:rsidR="008D0565" w:rsidRPr="00D61F73" w:rsidRDefault="008D0565" w:rsidP="00D61F73">
      <w:pPr>
        <w:rPr>
          <w:rFonts w:ascii="Arial" w:hAnsi="Arial" w:cs="Arial"/>
        </w:rPr>
      </w:pPr>
      <w:r w:rsidRPr="00D61F73">
        <w:rPr>
          <w:rFonts w:ascii="Arial" w:hAnsi="Arial" w:cs="Arial"/>
        </w:rPr>
        <w:t>This report describes challenges associated with the decision to convert established pump patients from intrathecal opioid therapy to Ziconotide monotherapy. Inadequate analgesia, adverse medication effects, and opioid withdrawal symptoms can precipitate a stressful situation that may be perceived as dangerous or threatening by patients who are predisposed to anxiety. Screening patients for psychiatric disorders, anxiety-proneness and/or vulnerability to stress should be considered to reduce the risk of treatment complications. A multimodal approach is strongly advocated, including rapid responses of treating physicians and nurses along with strong psychological support.</w:t>
      </w:r>
    </w:p>
    <w:p w14:paraId="5ABE4564" w14:textId="77777777" w:rsidR="008D0565" w:rsidRPr="00D61F73" w:rsidRDefault="008D0565" w:rsidP="00D61F73">
      <w:pPr>
        <w:rPr>
          <w:rFonts w:ascii="Arial" w:hAnsi="Arial" w:cs="Arial"/>
        </w:rPr>
      </w:pPr>
    </w:p>
    <w:p w14:paraId="5078FE2C" w14:textId="77777777" w:rsidR="008D0565" w:rsidRPr="00D61F73" w:rsidRDefault="008D0565" w:rsidP="00D61F73">
      <w:pPr>
        <w:rPr>
          <w:rFonts w:ascii="Arial" w:hAnsi="Arial" w:cs="Arial"/>
        </w:rPr>
      </w:pPr>
      <w:r w:rsidRPr="00D61F73">
        <w:rPr>
          <w:rFonts w:ascii="Arial" w:hAnsi="Arial" w:cs="Arial"/>
        </w:rPr>
        <w:t xml:space="preserve">PMID: </w:t>
      </w:r>
      <w:hyperlink r:id="rId822" w:history="1">
        <w:r w:rsidRPr="00D61F73">
          <w:rPr>
            <w:rStyle w:val="Hyperlink"/>
            <w:rFonts w:ascii="Arial" w:hAnsi="Arial" w:cs="Arial"/>
          </w:rPr>
          <w:t>16703976</w:t>
        </w:r>
      </w:hyperlink>
    </w:p>
    <w:p w14:paraId="4CBBB20E" w14:textId="77777777" w:rsidR="008D0565" w:rsidRPr="00D61F73" w:rsidRDefault="008D0565" w:rsidP="00D61F73">
      <w:pPr>
        <w:rPr>
          <w:rFonts w:ascii="Arial" w:hAnsi="Arial" w:cs="Arial"/>
        </w:rPr>
      </w:pPr>
    </w:p>
    <w:p w14:paraId="57AA9548" w14:textId="77777777" w:rsidR="008D0565" w:rsidRPr="00D61F73" w:rsidRDefault="008D0565" w:rsidP="00D61F73">
      <w:pPr>
        <w:rPr>
          <w:rFonts w:ascii="Arial" w:hAnsi="Arial" w:cs="Arial"/>
        </w:rPr>
      </w:pPr>
      <w:r w:rsidRPr="00D61F73">
        <w:rPr>
          <w:rFonts w:ascii="Arial" w:hAnsi="Arial" w:cs="Arial"/>
        </w:rPr>
        <w:t>Rating: 4c</w:t>
      </w:r>
    </w:p>
    <w:p w14:paraId="462DCEF6" w14:textId="77777777" w:rsidR="008D0565" w:rsidRPr="00D61F73" w:rsidRDefault="008D0565" w:rsidP="00D61F73">
      <w:pPr>
        <w:autoSpaceDE w:val="0"/>
        <w:autoSpaceDN w:val="0"/>
        <w:adjustRightInd w:val="0"/>
        <w:rPr>
          <w:rFonts w:ascii="Arial" w:hAnsi="Arial" w:cs="Arial"/>
          <w:b/>
          <w:bCs/>
        </w:rPr>
      </w:pPr>
      <w:r w:rsidRPr="00D61F73">
        <w:rPr>
          <w:rFonts w:ascii="Arial" w:hAnsi="Arial" w:cs="Arial"/>
        </w:rPr>
        <w:br w:type="page"/>
      </w:r>
      <w:r w:rsidRPr="00D61F73">
        <w:rPr>
          <w:rFonts w:ascii="Arial" w:hAnsi="Arial" w:cs="Arial"/>
          <w:b/>
          <w:bCs/>
        </w:rPr>
        <w:lastRenderedPageBreak/>
        <w:t>Tic</w:t>
      </w:r>
      <w:bookmarkStart w:id="1185" w:name="Ticknor"/>
      <w:bookmarkEnd w:id="1185"/>
      <w:r w:rsidRPr="00D61F73">
        <w:rPr>
          <w:rFonts w:ascii="Arial" w:hAnsi="Arial" w:cs="Arial"/>
          <w:b/>
          <w:bCs/>
        </w:rPr>
        <w:t>knor CB, Pharmacologic considerations in treating depression: a patient-centered approach</w:t>
      </w:r>
      <w:r w:rsidRPr="00D61F73">
        <w:rPr>
          <w:rFonts w:ascii="Arial" w:hAnsi="Arial" w:cs="Arial"/>
          <w:b/>
          <w:bCs/>
          <w:i/>
          <w:iCs/>
        </w:rPr>
        <w:t>. J Manag Care Pharm.</w:t>
      </w:r>
      <w:r w:rsidRPr="00D61F73">
        <w:rPr>
          <w:rFonts w:ascii="Arial" w:hAnsi="Arial" w:cs="Arial"/>
          <w:b/>
          <w:bCs/>
        </w:rPr>
        <w:t xml:space="preserve"> 2004 Mar;10(2 Suppl):S8-15.</w:t>
      </w:r>
    </w:p>
    <w:p w14:paraId="66698B1B" w14:textId="77777777" w:rsidR="008D0565" w:rsidRPr="00D61F73" w:rsidRDefault="008D0565" w:rsidP="00D61F73">
      <w:pPr>
        <w:rPr>
          <w:rFonts w:ascii="Arial" w:hAnsi="Arial" w:cs="Arial"/>
          <w:b/>
          <w:bCs/>
        </w:rPr>
      </w:pPr>
    </w:p>
    <w:p w14:paraId="7A0A7F8B" w14:textId="77777777" w:rsidR="008D0565" w:rsidRPr="00D61F73" w:rsidRDefault="008D0565" w:rsidP="00D61F73">
      <w:pPr>
        <w:rPr>
          <w:rFonts w:ascii="Arial" w:hAnsi="Arial" w:cs="Arial"/>
        </w:rPr>
      </w:pPr>
      <w:r w:rsidRPr="00D61F73">
        <w:rPr>
          <w:rFonts w:ascii="Arial" w:hAnsi="Arial" w:cs="Arial"/>
        </w:rPr>
        <w:t xml:space="preserve">Pain and depression are both regulated by serotonin and norepinephine, and several studies suggest that using dual-action antidepressants may be helpful in patients who have an element of pain to their disorder. </w:t>
      </w:r>
    </w:p>
    <w:p w14:paraId="7FCBF78C" w14:textId="77777777" w:rsidR="008D0565" w:rsidRPr="00D61F73" w:rsidRDefault="008D0565" w:rsidP="00D61F73">
      <w:pPr>
        <w:rPr>
          <w:rFonts w:ascii="Arial" w:hAnsi="Arial" w:cs="Arial"/>
        </w:rPr>
      </w:pPr>
    </w:p>
    <w:p w14:paraId="4EE4A008" w14:textId="77777777" w:rsidR="008D0565" w:rsidRPr="00D61F73" w:rsidRDefault="008D0565" w:rsidP="00D61F73">
      <w:pPr>
        <w:rPr>
          <w:rFonts w:ascii="Arial" w:hAnsi="Arial" w:cs="Arial"/>
        </w:rPr>
      </w:pPr>
      <w:r w:rsidRPr="00D61F73">
        <w:rPr>
          <w:rFonts w:ascii="Arial" w:hAnsi="Arial" w:cs="Arial"/>
        </w:rPr>
        <w:t xml:space="preserve">PMID: </w:t>
      </w:r>
      <w:hyperlink r:id="rId823" w:history="1">
        <w:r w:rsidRPr="00D61F73">
          <w:rPr>
            <w:rStyle w:val="Hyperlink"/>
            <w:rFonts w:ascii="Arial" w:hAnsi="Arial" w:cs="Arial"/>
          </w:rPr>
          <w:t>15046545</w:t>
        </w:r>
      </w:hyperlink>
      <w:r w:rsidRPr="00D61F73">
        <w:rPr>
          <w:rFonts w:ascii="Arial" w:hAnsi="Arial" w:cs="Arial"/>
        </w:rPr>
        <w:t xml:space="preserve"> </w:t>
      </w:r>
    </w:p>
    <w:p w14:paraId="33DC3B95" w14:textId="77777777" w:rsidR="008D0565" w:rsidRPr="00D61F73" w:rsidRDefault="008D0565" w:rsidP="00D61F73">
      <w:pPr>
        <w:rPr>
          <w:rFonts w:ascii="Arial" w:hAnsi="Arial" w:cs="Arial"/>
        </w:rPr>
      </w:pPr>
    </w:p>
    <w:p w14:paraId="22E69374"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5b</w:t>
      </w:r>
    </w:p>
    <w:p w14:paraId="02B39832" w14:textId="77777777" w:rsidR="008D0565" w:rsidRPr="00D61F73" w:rsidRDefault="008D0565" w:rsidP="00D61F73">
      <w:pPr>
        <w:rPr>
          <w:rFonts w:ascii="Arial" w:hAnsi="Arial" w:cs="Arial"/>
          <w:b/>
          <w:bCs/>
        </w:rPr>
      </w:pPr>
      <w:r w:rsidRPr="00D61F73">
        <w:rPr>
          <w:rFonts w:ascii="Arial" w:hAnsi="Arial" w:cs="Arial"/>
        </w:rPr>
        <w:br w:type="page"/>
      </w:r>
      <w:bookmarkStart w:id="1186" w:name="Tofferi"/>
      <w:r w:rsidRPr="00D61F73">
        <w:rPr>
          <w:rFonts w:ascii="Arial" w:hAnsi="Arial" w:cs="Arial"/>
          <w:b/>
          <w:bCs/>
        </w:rPr>
        <w:lastRenderedPageBreak/>
        <w:t>Tofferi</w:t>
      </w:r>
      <w:bookmarkEnd w:id="1186"/>
      <w:r w:rsidRPr="00D61F73">
        <w:rPr>
          <w:rFonts w:ascii="Arial" w:hAnsi="Arial" w:cs="Arial"/>
          <w:b/>
          <w:bCs/>
        </w:rPr>
        <w:t xml:space="preserve"> JK, Jackson JL, O'Malley PG, Treatment of fibromyalgia with cyclobenzaprine: A meta-analysis, </w:t>
      </w:r>
      <w:r w:rsidRPr="00D61F73">
        <w:rPr>
          <w:rFonts w:ascii="Arial" w:hAnsi="Arial" w:cs="Arial"/>
          <w:b/>
          <w:bCs/>
          <w:i/>
          <w:iCs/>
        </w:rPr>
        <w:t>Arthritis Rheum</w:t>
      </w:r>
      <w:r w:rsidRPr="00D61F73">
        <w:rPr>
          <w:rFonts w:ascii="Arial" w:hAnsi="Arial" w:cs="Arial"/>
          <w:b/>
          <w:bCs/>
        </w:rPr>
        <w:t>. 2004 Feb 15;51(1):9-13.</w:t>
      </w:r>
    </w:p>
    <w:p w14:paraId="3EE25B7B" w14:textId="77777777" w:rsidR="008D0565" w:rsidRPr="00D61F73" w:rsidRDefault="008D0565" w:rsidP="00D61F73">
      <w:pPr>
        <w:rPr>
          <w:rFonts w:ascii="Arial" w:hAnsi="Arial" w:cs="Arial"/>
        </w:rPr>
      </w:pPr>
    </w:p>
    <w:p w14:paraId="0CDC42B3" w14:textId="77777777" w:rsidR="008D0565" w:rsidRPr="00D61F73" w:rsidRDefault="008D0565" w:rsidP="00D61F73">
      <w:pPr>
        <w:rPr>
          <w:rFonts w:ascii="Arial" w:hAnsi="Arial" w:cs="Arial"/>
        </w:rPr>
      </w:pPr>
      <w:r w:rsidRPr="00D61F73">
        <w:rPr>
          <w:rFonts w:ascii="Arial" w:hAnsi="Arial" w:cs="Arial"/>
        </w:rPr>
        <w:t>Cyclobenzaprine-treated patients were 3 times as likely to report overall improvement and to report moderate reductions in individual symptoms, particularly sleep.</w:t>
      </w:r>
    </w:p>
    <w:p w14:paraId="78F77C4E" w14:textId="77777777" w:rsidR="008D0565" w:rsidRPr="00D61F73" w:rsidRDefault="008D0565" w:rsidP="00D61F73">
      <w:pPr>
        <w:rPr>
          <w:rFonts w:ascii="Arial" w:hAnsi="Arial" w:cs="Arial"/>
        </w:rPr>
      </w:pPr>
    </w:p>
    <w:p w14:paraId="4968ADC7" w14:textId="77777777" w:rsidR="008D0565" w:rsidRPr="00D61F73" w:rsidRDefault="008D0565" w:rsidP="00D61F73">
      <w:pPr>
        <w:rPr>
          <w:rFonts w:ascii="Arial" w:hAnsi="Arial" w:cs="Arial"/>
        </w:rPr>
      </w:pPr>
      <w:r w:rsidRPr="00D61F73">
        <w:rPr>
          <w:rFonts w:ascii="Arial" w:hAnsi="Arial" w:cs="Arial"/>
        </w:rPr>
        <w:t xml:space="preserve">PMID: </w:t>
      </w:r>
      <w:hyperlink r:id="rId824" w:history="1">
        <w:r w:rsidRPr="00D61F73">
          <w:rPr>
            <w:rStyle w:val="Hyperlink"/>
            <w:rFonts w:ascii="Arial" w:hAnsi="Arial" w:cs="Arial"/>
          </w:rPr>
          <w:t>14872449</w:t>
        </w:r>
      </w:hyperlink>
      <w:r w:rsidRPr="00D61F73">
        <w:rPr>
          <w:rFonts w:ascii="Arial" w:hAnsi="Arial" w:cs="Arial"/>
        </w:rPr>
        <w:t xml:space="preserve"> </w:t>
      </w:r>
    </w:p>
    <w:p w14:paraId="4FDF856E" w14:textId="77777777" w:rsidR="008D0565" w:rsidRPr="00D61F73" w:rsidRDefault="008D0565" w:rsidP="00D61F73">
      <w:pPr>
        <w:rPr>
          <w:rFonts w:ascii="Arial" w:hAnsi="Arial" w:cs="Arial"/>
        </w:rPr>
      </w:pPr>
    </w:p>
    <w:p w14:paraId="4D0EBA81" w14:textId="77777777" w:rsidR="008D0565" w:rsidRPr="00D61F73" w:rsidRDefault="008D0565" w:rsidP="00D61F73">
      <w:pPr>
        <w:rPr>
          <w:rFonts w:ascii="Arial" w:hAnsi="Arial" w:cs="Arial"/>
        </w:rPr>
      </w:pPr>
      <w:r w:rsidRPr="00D61F73">
        <w:rPr>
          <w:rFonts w:ascii="Arial" w:hAnsi="Arial" w:cs="Arial"/>
        </w:rPr>
        <w:t>Rating: 1c</w:t>
      </w:r>
    </w:p>
    <w:p w14:paraId="4915D62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T</w:t>
      </w:r>
      <w:bookmarkStart w:id="1187" w:name="TomasCarus"/>
      <w:bookmarkEnd w:id="1187"/>
      <w:r w:rsidRPr="00D61F73">
        <w:rPr>
          <w:rFonts w:ascii="Arial" w:hAnsi="Arial" w:cs="Arial"/>
          <w:b/>
          <w:bCs/>
        </w:rPr>
        <w:t xml:space="preserve">omas-Carus P, Häkkinen A, Gusi N, Leal A, Häkkinen K, Ortega-Alonso A. Aquatic training and detraining on fitness and quality of life in fibromyalgia. </w:t>
      </w:r>
      <w:r w:rsidRPr="00D61F73">
        <w:rPr>
          <w:rFonts w:ascii="Arial" w:hAnsi="Arial" w:cs="Arial"/>
          <w:b/>
          <w:bCs/>
          <w:i/>
          <w:iCs/>
        </w:rPr>
        <w:t>Med Sci Sports Exerc.</w:t>
      </w:r>
      <w:r w:rsidRPr="00D61F73">
        <w:rPr>
          <w:rFonts w:ascii="Arial" w:hAnsi="Arial" w:cs="Arial"/>
          <w:b/>
          <w:bCs/>
        </w:rPr>
        <w:t xml:space="preserve"> 2007 Jul;39(7):1044-50.</w:t>
      </w:r>
    </w:p>
    <w:p w14:paraId="65C4A613" w14:textId="77777777" w:rsidR="008D0565" w:rsidRPr="00D61F73" w:rsidRDefault="008D0565" w:rsidP="00D61F73">
      <w:pPr>
        <w:rPr>
          <w:rFonts w:ascii="Arial" w:hAnsi="Arial" w:cs="Arial"/>
        </w:rPr>
      </w:pPr>
    </w:p>
    <w:p w14:paraId="44240AEF" w14:textId="77777777" w:rsidR="008D0565" w:rsidRPr="00D61F73" w:rsidRDefault="008D0565" w:rsidP="00D61F73">
      <w:pPr>
        <w:rPr>
          <w:rFonts w:ascii="Arial" w:hAnsi="Arial" w:cs="Arial"/>
        </w:rPr>
      </w:pPr>
      <w:r w:rsidRPr="00D61F73">
        <w:rPr>
          <w:rFonts w:ascii="Arial" w:hAnsi="Arial" w:cs="Arial"/>
        </w:rPr>
        <w:t>The present water exercise protocol improved some components of HRQOL, balance, and stair climbing in females with fibromyalgia, but regular exercise and higher intensities may be required to preserve most of these gains.</w:t>
      </w:r>
    </w:p>
    <w:p w14:paraId="35C4391C" w14:textId="77777777" w:rsidR="008D0565" w:rsidRPr="00D61F73" w:rsidRDefault="008D0565" w:rsidP="00D61F73">
      <w:pPr>
        <w:rPr>
          <w:rFonts w:ascii="Arial" w:hAnsi="Arial" w:cs="Arial"/>
        </w:rPr>
      </w:pPr>
    </w:p>
    <w:p w14:paraId="43CFA92F" w14:textId="77777777" w:rsidR="008D0565" w:rsidRPr="00D61F73" w:rsidRDefault="008D0565" w:rsidP="00D61F73">
      <w:pPr>
        <w:rPr>
          <w:rFonts w:ascii="Arial" w:hAnsi="Arial" w:cs="Arial"/>
        </w:rPr>
      </w:pPr>
      <w:r w:rsidRPr="00D61F73">
        <w:rPr>
          <w:rFonts w:ascii="Arial" w:hAnsi="Arial" w:cs="Arial"/>
        </w:rPr>
        <w:t xml:space="preserve">PMID: </w:t>
      </w:r>
      <w:hyperlink r:id="rId825" w:history="1">
        <w:r w:rsidRPr="00D61F73">
          <w:rPr>
            <w:rStyle w:val="Hyperlink"/>
            <w:rFonts w:ascii="Arial" w:hAnsi="Arial" w:cs="Arial"/>
          </w:rPr>
          <w:t>17596770</w:t>
        </w:r>
      </w:hyperlink>
      <w:r w:rsidRPr="00D61F73">
        <w:rPr>
          <w:rFonts w:ascii="Arial" w:hAnsi="Arial" w:cs="Arial"/>
        </w:rPr>
        <w:t xml:space="preserve"> </w:t>
      </w:r>
    </w:p>
    <w:p w14:paraId="109A4AE4" w14:textId="77777777" w:rsidR="008D0565" w:rsidRPr="00D61F73" w:rsidRDefault="008D0565" w:rsidP="00D61F73">
      <w:pPr>
        <w:rPr>
          <w:rFonts w:ascii="Arial" w:hAnsi="Arial" w:cs="Arial"/>
        </w:rPr>
      </w:pPr>
    </w:p>
    <w:p w14:paraId="0A37C601"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2b</w:t>
      </w:r>
    </w:p>
    <w:p w14:paraId="18B3B82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T</w:t>
      </w:r>
      <w:bookmarkStart w:id="1188" w:name="Toth"/>
      <w:bookmarkEnd w:id="1188"/>
      <w:r w:rsidRPr="00D61F73">
        <w:rPr>
          <w:rFonts w:ascii="Arial" w:hAnsi="Arial" w:cs="Arial"/>
          <w:b/>
          <w:bCs/>
        </w:rPr>
        <w:t xml:space="preserve">oth PP, Urtis J. Commonly used muscle relaxant therapies for acute low back pain: a review of carisoprodol, cyclobenzaprine hydrochloride, and metaxalone. </w:t>
      </w:r>
      <w:r w:rsidRPr="00D61F73">
        <w:rPr>
          <w:rFonts w:ascii="Arial" w:hAnsi="Arial" w:cs="Arial"/>
          <w:b/>
          <w:bCs/>
          <w:i/>
        </w:rPr>
        <w:t>Clin Ther</w:t>
      </w:r>
      <w:r w:rsidRPr="00D61F73">
        <w:rPr>
          <w:rFonts w:ascii="Arial" w:hAnsi="Arial" w:cs="Arial"/>
          <w:b/>
          <w:bCs/>
        </w:rPr>
        <w:t xml:space="preserve">. 2004;26:1355-67. </w:t>
      </w:r>
    </w:p>
    <w:p w14:paraId="41AD8FCE" w14:textId="77777777" w:rsidR="008D0565" w:rsidRPr="00D61F73" w:rsidRDefault="008D0565" w:rsidP="00D61F73">
      <w:pPr>
        <w:rPr>
          <w:rFonts w:ascii="Arial" w:hAnsi="Arial" w:cs="Arial"/>
        </w:rPr>
      </w:pPr>
    </w:p>
    <w:p w14:paraId="3A72BC89" w14:textId="77777777" w:rsidR="008D0565" w:rsidRPr="00D61F73" w:rsidRDefault="008D0565" w:rsidP="00D61F73">
      <w:pPr>
        <w:rPr>
          <w:rFonts w:ascii="Arial" w:hAnsi="Arial" w:cs="Arial"/>
        </w:rPr>
      </w:pPr>
      <w:r w:rsidRPr="00D61F73">
        <w:rPr>
          <w:rFonts w:ascii="Arial" w:hAnsi="Arial" w:cs="Arial"/>
        </w:rPr>
        <w:t>Cyclobenzaprine hydrochloride has the most recent and largest clinical trials demonstrating its benefit, but carisoprodol and metaxalone also appear to be effective. However, carisoprodol's usefulness is mitigated by its potential for abuse.</w:t>
      </w:r>
    </w:p>
    <w:p w14:paraId="5EB7A06B" w14:textId="77777777" w:rsidR="008D0565" w:rsidRPr="00D61F73" w:rsidRDefault="008D0565" w:rsidP="00D61F73">
      <w:pPr>
        <w:rPr>
          <w:rFonts w:ascii="Arial" w:hAnsi="Arial" w:cs="Arial"/>
        </w:rPr>
      </w:pPr>
    </w:p>
    <w:p w14:paraId="4592221B" w14:textId="77777777" w:rsidR="008D0565" w:rsidRPr="00D61F73" w:rsidRDefault="008D0565" w:rsidP="00D61F73">
      <w:pPr>
        <w:rPr>
          <w:rFonts w:ascii="Arial" w:hAnsi="Arial" w:cs="Arial"/>
        </w:rPr>
      </w:pPr>
      <w:r w:rsidRPr="00D61F73">
        <w:rPr>
          <w:rFonts w:ascii="Arial" w:hAnsi="Arial" w:cs="Arial"/>
        </w:rPr>
        <w:t xml:space="preserve">PMID: </w:t>
      </w:r>
      <w:hyperlink r:id="rId826" w:history="1">
        <w:r w:rsidRPr="00D61F73">
          <w:rPr>
            <w:rStyle w:val="Hyperlink"/>
            <w:rFonts w:ascii="Arial" w:hAnsi="Arial" w:cs="Arial"/>
          </w:rPr>
          <w:t>15530999</w:t>
        </w:r>
      </w:hyperlink>
    </w:p>
    <w:p w14:paraId="12333B9B" w14:textId="77777777" w:rsidR="008D0565" w:rsidRPr="00D61F73" w:rsidRDefault="008D0565" w:rsidP="00D61F73">
      <w:pPr>
        <w:rPr>
          <w:rFonts w:ascii="Arial" w:hAnsi="Arial" w:cs="Arial"/>
        </w:rPr>
      </w:pPr>
    </w:p>
    <w:p w14:paraId="52825BF6" w14:textId="77777777" w:rsidR="008D0565" w:rsidRPr="00D61F73" w:rsidRDefault="008D0565" w:rsidP="00D61F73">
      <w:pPr>
        <w:rPr>
          <w:rFonts w:ascii="Arial" w:hAnsi="Arial" w:cs="Arial"/>
        </w:rPr>
      </w:pPr>
      <w:r w:rsidRPr="00D61F73">
        <w:rPr>
          <w:rFonts w:ascii="Arial" w:hAnsi="Arial" w:cs="Arial"/>
        </w:rPr>
        <w:t>Ranking: 5a</w:t>
      </w:r>
    </w:p>
    <w:p w14:paraId="6E0EBE1D" w14:textId="77777777" w:rsidR="008D0565" w:rsidRPr="00D61F73" w:rsidRDefault="008D0565" w:rsidP="00D61F73">
      <w:pPr>
        <w:rPr>
          <w:rFonts w:ascii="Arial" w:hAnsi="Arial" w:cs="Arial"/>
          <w:b/>
          <w:bCs/>
        </w:rPr>
      </w:pPr>
      <w:r w:rsidRPr="00D61F73">
        <w:rPr>
          <w:rFonts w:ascii="Arial" w:hAnsi="Arial" w:cs="Arial"/>
        </w:rPr>
        <w:br w:type="page"/>
      </w:r>
      <w:bookmarkStart w:id="1189" w:name="Towheed"/>
      <w:r w:rsidRPr="00D61F73">
        <w:rPr>
          <w:rFonts w:ascii="Arial" w:hAnsi="Arial" w:cs="Arial"/>
          <w:b/>
          <w:bCs/>
        </w:rPr>
        <w:lastRenderedPageBreak/>
        <w:t>Towheed</w:t>
      </w:r>
      <w:bookmarkEnd w:id="1189"/>
      <w:r w:rsidRPr="00D61F73">
        <w:rPr>
          <w:rFonts w:ascii="Arial" w:hAnsi="Arial" w:cs="Arial"/>
          <w:b/>
          <w:bCs/>
        </w:rPr>
        <w:t xml:space="preserve"> TE, Anastassiades TP, Shea B, Houpt J, Welch V, Hochberg MC, Glucosamine therapy for treating osteoarthritis, </w:t>
      </w:r>
      <w:r w:rsidRPr="00D61F73">
        <w:rPr>
          <w:rFonts w:ascii="Arial" w:hAnsi="Arial" w:cs="Arial"/>
          <w:b/>
          <w:bCs/>
          <w:i/>
          <w:iCs/>
        </w:rPr>
        <w:t>Cochrane Database Syst Rev</w:t>
      </w:r>
      <w:r w:rsidRPr="00D61F73">
        <w:rPr>
          <w:rFonts w:ascii="Arial" w:hAnsi="Arial" w:cs="Arial"/>
          <w:b/>
          <w:bCs/>
        </w:rPr>
        <w:t>. 2001;(1):CD002946.</w:t>
      </w:r>
    </w:p>
    <w:p w14:paraId="46A03EE5" w14:textId="77777777" w:rsidR="008D0565" w:rsidRPr="00D61F73" w:rsidRDefault="008D0565" w:rsidP="00D61F73">
      <w:pPr>
        <w:rPr>
          <w:rFonts w:ascii="Arial" w:hAnsi="Arial" w:cs="Arial"/>
        </w:rPr>
      </w:pPr>
    </w:p>
    <w:p w14:paraId="0C99A173" w14:textId="77777777" w:rsidR="008D0565" w:rsidRPr="00D61F73" w:rsidRDefault="008D0565" w:rsidP="00D61F73">
      <w:pPr>
        <w:rPr>
          <w:rFonts w:ascii="Arial" w:hAnsi="Arial" w:cs="Arial"/>
        </w:rPr>
      </w:pPr>
      <w:r w:rsidRPr="00D61F73">
        <w:rPr>
          <w:rFonts w:ascii="Arial" w:hAnsi="Arial" w:cs="Arial"/>
        </w:rPr>
        <w:t xml:space="preserve">PMID: </w:t>
      </w:r>
      <w:hyperlink r:id="rId827" w:history="1">
        <w:r w:rsidRPr="00D61F73">
          <w:rPr>
            <w:rStyle w:val="Hyperlink"/>
            <w:rFonts w:ascii="Arial" w:hAnsi="Arial" w:cs="Arial"/>
          </w:rPr>
          <w:t>11279782</w:t>
        </w:r>
      </w:hyperlink>
      <w:r w:rsidRPr="00D61F73">
        <w:rPr>
          <w:rFonts w:ascii="Arial" w:hAnsi="Arial" w:cs="Arial"/>
        </w:rPr>
        <w:t xml:space="preserve"> </w:t>
      </w:r>
    </w:p>
    <w:p w14:paraId="7CD36C79" w14:textId="77777777" w:rsidR="008D0565" w:rsidRPr="00D61F73" w:rsidRDefault="008D0565" w:rsidP="00D61F73">
      <w:pPr>
        <w:pStyle w:val="NormalWeb"/>
        <w:spacing w:before="0" w:beforeAutospacing="0" w:after="0" w:afterAutospacing="0"/>
        <w:rPr>
          <w:rFonts w:ascii="Arial" w:hAnsi="Arial" w:cs="Arial"/>
        </w:rPr>
      </w:pPr>
    </w:p>
    <w:p w14:paraId="55F56AE5" w14:textId="77777777" w:rsidR="008D0565" w:rsidRPr="00D61F73" w:rsidRDefault="008D0565" w:rsidP="00D61F73">
      <w:pPr>
        <w:rPr>
          <w:rFonts w:ascii="Arial" w:hAnsi="Arial" w:cs="Arial"/>
        </w:rPr>
      </w:pPr>
      <w:r w:rsidRPr="00D61F73">
        <w:rPr>
          <w:rFonts w:ascii="Arial" w:hAnsi="Arial" w:cs="Arial"/>
        </w:rPr>
        <w:t>Rating: 1b</w:t>
      </w:r>
    </w:p>
    <w:p w14:paraId="4312C6A8" w14:textId="77777777" w:rsidR="008D0565" w:rsidRPr="00D61F73" w:rsidRDefault="008D0565" w:rsidP="00D61F73">
      <w:pPr>
        <w:rPr>
          <w:rFonts w:ascii="Arial" w:hAnsi="Arial" w:cs="Arial"/>
          <w:b/>
        </w:rPr>
      </w:pPr>
      <w:r w:rsidRPr="00D61F73">
        <w:rPr>
          <w:rFonts w:ascii="Arial" w:hAnsi="Arial" w:cs="Arial"/>
        </w:rPr>
        <w:br w:type="page"/>
      </w:r>
      <w:bookmarkStart w:id="1190" w:name="Towheed2006Acetaminophen"/>
      <w:bookmarkEnd w:id="1190"/>
      <w:r w:rsidRPr="00D61F73">
        <w:rPr>
          <w:rFonts w:ascii="Arial" w:hAnsi="Arial" w:cs="Arial"/>
          <w:b/>
        </w:rPr>
        <w:lastRenderedPageBreak/>
        <w:t>T</w:t>
      </w:r>
      <w:bookmarkStart w:id="1191" w:name="Towheed2"/>
      <w:bookmarkEnd w:id="1191"/>
      <w:r w:rsidRPr="00D61F73">
        <w:rPr>
          <w:rFonts w:ascii="Arial" w:hAnsi="Arial" w:cs="Arial"/>
          <w:b/>
        </w:rPr>
        <w:t xml:space="preserve">owheed TE, Maxwell L, Judd MG, Catton M, Hochberg MC, Wells G. Acetaminophen for osteoarthritis. </w:t>
      </w:r>
      <w:r w:rsidRPr="00D61F73">
        <w:rPr>
          <w:rFonts w:ascii="Arial" w:hAnsi="Arial" w:cs="Arial"/>
          <w:b/>
          <w:i/>
        </w:rPr>
        <w:t>Cochrane Database Syst Rev</w:t>
      </w:r>
      <w:r w:rsidRPr="00D61F73">
        <w:rPr>
          <w:rFonts w:ascii="Arial" w:hAnsi="Arial" w:cs="Arial"/>
          <w:b/>
        </w:rPr>
        <w:t>. 2006 ;(1):CD004257.</w:t>
      </w:r>
    </w:p>
    <w:p w14:paraId="425BF159" w14:textId="77777777" w:rsidR="008D0565" w:rsidRPr="00D61F73" w:rsidRDefault="008D0565" w:rsidP="00D61F73">
      <w:pPr>
        <w:rPr>
          <w:rFonts w:ascii="Arial" w:hAnsi="Arial" w:cs="Arial"/>
        </w:rPr>
      </w:pPr>
    </w:p>
    <w:p w14:paraId="5C46C6C3" w14:textId="77777777" w:rsidR="008D0565" w:rsidRPr="00D61F73" w:rsidRDefault="008D0565" w:rsidP="00D61F73">
      <w:pPr>
        <w:rPr>
          <w:rFonts w:ascii="Arial" w:hAnsi="Arial" w:cs="Arial"/>
        </w:rPr>
      </w:pPr>
      <w:r w:rsidRPr="00D61F73">
        <w:rPr>
          <w:rFonts w:ascii="Arial" w:hAnsi="Arial" w:cs="Arial"/>
        </w:rPr>
        <w:t>CONCLUSIONS: The evidence to date suggests that NSAIDs are superior to acetaminophen for improving knee and hip pain in people with OA. The size of the treatment effect was modest, and the median trial duration was only six weeks, therefore, additional considerations need to be factored in when making the decision between using acetaminophen or NSAIDs. In OA subjects with moderate-to-severe levels of pain, NSAIDs appear to be more effective than acetaminophen.</w:t>
      </w:r>
    </w:p>
    <w:p w14:paraId="2244021B" w14:textId="77777777" w:rsidR="008D0565" w:rsidRPr="00D61F73" w:rsidRDefault="008D0565" w:rsidP="00D61F73">
      <w:pPr>
        <w:rPr>
          <w:rFonts w:ascii="Arial" w:hAnsi="Arial" w:cs="Arial"/>
        </w:rPr>
      </w:pPr>
    </w:p>
    <w:p w14:paraId="2611826D" w14:textId="77777777" w:rsidR="008D0565" w:rsidRPr="00D61F73" w:rsidRDefault="008D0565" w:rsidP="00D61F73">
      <w:pPr>
        <w:rPr>
          <w:rFonts w:ascii="Arial" w:hAnsi="Arial" w:cs="Arial"/>
        </w:rPr>
      </w:pPr>
      <w:r w:rsidRPr="00D61F73">
        <w:rPr>
          <w:rFonts w:ascii="Arial" w:hAnsi="Arial" w:cs="Arial"/>
        </w:rPr>
        <w:t xml:space="preserve">PMID: </w:t>
      </w:r>
      <w:hyperlink r:id="rId828" w:history="1">
        <w:r w:rsidRPr="00D61F73">
          <w:rPr>
            <w:rStyle w:val="Hyperlink"/>
            <w:rFonts w:ascii="Arial" w:hAnsi="Arial" w:cs="Arial"/>
          </w:rPr>
          <w:t>16437479</w:t>
        </w:r>
      </w:hyperlink>
    </w:p>
    <w:p w14:paraId="08C5676B" w14:textId="77777777" w:rsidR="008D0565" w:rsidRPr="00D61F73" w:rsidRDefault="008D0565" w:rsidP="00D61F73">
      <w:pPr>
        <w:rPr>
          <w:rFonts w:ascii="Arial" w:hAnsi="Arial" w:cs="Arial"/>
        </w:rPr>
      </w:pPr>
    </w:p>
    <w:p w14:paraId="181D22DB" w14:textId="77777777" w:rsidR="008D0565" w:rsidRPr="00D61F73" w:rsidRDefault="008D0565" w:rsidP="00D61F73">
      <w:pPr>
        <w:rPr>
          <w:rFonts w:ascii="Arial" w:hAnsi="Arial" w:cs="Arial"/>
        </w:rPr>
      </w:pPr>
      <w:r w:rsidRPr="00D61F73">
        <w:rPr>
          <w:rFonts w:ascii="Arial" w:hAnsi="Arial" w:cs="Arial"/>
        </w:rPr>
        <w:t>Rating: 1c</w:t>
      </w:r>
    </w:p>
    <w:p w14:paraId="30CEDAC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T</w:t>
      </w:r>
      <w:bookmarkStart w:id="1192" w:name="Towheed2006"/>
      <w:bookmarkEnd w:id="1192"/>
      <w:r w:rsidRPr="00D61F73">
        <w:rPr>
          <w:rFonts w:ascii="Arial" w:hAnsi="Arial" w:cs="Arial"/>
          <w:b/>
          <w:bCs/>
        </w:rPr>
        <w:t xml:space="preserve">owheed TE. Pennsaid therapy for osteoarthritis of the knee: a systematic review and metaanalysis of randomized controlled trials. </w:t>
      </w:r>
      <w:r w:rsidRPr="00D61F73">
        <w:rPr>
          <w:rFonts w:ascii="Arial" w:hAnsi="Arial" w:cs="Arial"/>
          <w:b/>
          <w:bCs/>
          <w:i/>
          <w:iCs/>
        </w:rPr>
        <w:t>J Rheumatol</w:t>
      </w:r>
      <w:r w:rsidRPr="00D61F73">
        <w:rPr>
          <w:rFonts w:ascii="Arial" w:hAnsi="Arial" w:cs="Arial"/>
          <w:b/>
          <w:bCs/>
        </w:rPr>
        <w:t>. 2006 Mar;33(3):567-73.</w:t>
      </w:r>
    </w:p>
    <w:p w14:paraId="0AAB5551" w14:textId="77777777" w:rsidR="008D0565" w:rsidRPr="00D61F73" w:rsidRDefault="008D0565" w:rsidP="00D61F73">
      <w:pPr>
        <w:rPr>
          <w:rFonts w:ascii="Arial" w:hAnsi="Arial" w:cs="Arial"/>
        </w:rPr>
      </w:pPr>
    </w:p>
    <w:p w14:paraId="69F4BC2C" w14:textId="77777777" w:rsidR="008D0565" w:rsidRPr="00D61F73" w:rsidRDefault="008D0565" w:rsidP="00D61F73">
      <w:pPr>
        <w:rPr>
          <w:rFonts w:ascii="Arial" w:hAnsi="Arial" w:cs="Arial"/>
        </w:rPr>
      </w:pPr>
      <w:r w:rsidRPr="00D61F73">
        <w:rPr>
          <w:rFonts w:ascii="Arial" w:hAnsi="Arial" w:cs="Arial"/>
        </w:rPr>
        <w:t>CONCLUSION: Pennsaid deserves further consideration when the existing treatment guidelines for OA of the knee are updated.</w:t>
      </w:r>
    </w:p>
    <w:p w14:paraId="6CE3C337" w14:textId="77777777" w:rsidR="008D0565" w:rsidRPr="00D61F73" w:rsidRDefault="008D0565" w:rsidP="00D61F73">
      <w:pPr>
        <w:rPr>
          <w:rFonts w:ascii="Arial" w:hAnsi="Arial" w:cs="Arial"/>
        </w:rPr>
      </w:pPr>
    </w:p>
    <w:p w14:paraId="78C51002" w14:textId="77777777" w:rsidR="008D0565" w:rsidRPr="00D61F73" w:rsidRDefault="008D0565" w:rsidP="00D61F73">
      <w:pPr>
        <w:rPr>
          <w:rFonts w:ascii="Arial" w:hAnsi="Arial" w:cs="Arial"/>
        </w:rPr>
      </w:pPr>
      <w:r w:rsidRPr="00D61F73">
        <w:rPr>
          <w:rFonts w:ascii="Arial" w:hAnsi="Arial" w:cs="Arial"/>
        </w:rPr>
        <w:t xml:space="preserve">PMID: </w:t>
      </w:r>
      <w:hyperlink r:id="rId829" w:history="1">
        <w:r w:rsidRPr="00D61F73">
          <w:rPr>
            <w:rStyle w:val="Hyperlink"/>
            <w:rFonts w:ascii="Arial" w:hAnsi="Arial" w:cs="Arial"/>
          </w:rPr>
          <w:t>16511925</w:t>
        </w:r>
      </w:hyperlink>
      <w:r w:rsidRPr="00D61F73">
        <w:rPr>
          <w:rFonts w:ascii="Arial" w:hAnsi="Arial" w:cs="Arial"/>
        </w:rPr>
        <w:t xml:space="preserve"> </w:t>
      </w:r>
    </w:p>
    <w:p w14:paraId="3B0426D2" w14:textId="77777777" w:rsidR="008D0565" w:rsidRPr="00D61F73" w:rsidRDefault="008D0565" w:rsidP="00D61F73">
      <w:pPr>
        <w:rPr>
          <w:rFonts w:ascii="Arial" w:hAnsi="Arial" w:cs="Arial"/>
        </w:rPr>
      </w:pPr>
    </w:p>
    <w:p w14:paraId="29521723" w14:textId="77777777" w:rsidR="008D0565" w:rsidRPr="00D61F73" w:rsidRDefault="008D0565" w:rsidP="00D61F73">
      <w:pPr>
        <w:rPr>
          <w:rFonts w:ascii="Arial" w:hAnsi="Arial" w:cs="Arial"/>
        </w:rPr>
      </w:pPr>
      <w:r w:rsidRPr="00D61F73">
        <w:rPr>
          <w:rFonts w:ascii="Arial" w:hAnsi="Arial" w:cs="Arial"/>
        </w:rPr>
        <w:t>Rating: 1b</w:t>
      </w:r>
    </w:p>
    <w:p w14:paraId="4D4E732E"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T</w:t>
      </w:r>
      <w:bookmarkStart w:id="1193" w:name="Townsend"/>
      <w:bookmarkEnd w:id="1193"/>
      <w:r w:rsidRPr="00D61F73">
        <w:rPr>
          <w:rFonts w:ascii="Arial" w:hAnsi="Arial" w:cs="Arial"/>
          <w:b/>
        </w:rPr>
        <w:t xml:space="preserve">ownsend CO, Bruce BK, Hooten WM, Rome JD. The role of mental health professionals in multidisciplinary pain rehabilitation programs. </w:t>
      </w:r>
      <w:r w:rsidRPr="00D61F73">
        <w:rPr>
          <w:rFonts w:ascii="Arial" w:hAnsi="Arial" w:cs="Arial"/>
          <w:b/>
          <w:i/>
        </w:rPr>
        <w:t>J Clin Psychol</w:t>
      </w:r>
      <w:r w:rsidRPr="00D61F73">
        <w:rPr>
          <w:rFonts w:ascii="Arial" w:hAnsi="Arial" w:cs="Arial"/>
          <w:b/>
        </w:rPr>
        <w:t xml:space="preserve">. 2006 Aug 25; [Epub ahead of print] </w:t>
      </w:r>
    </w:p>
    <w:p w14:paraId="55A580E7" w14:textId="77777777" w:rsidR="008D0565" w:rsidRPr="00D61F73" w:rsidRDefault="008D0565" w:rsidP="00D61F73">
      <w:pPr>
        <w:rPr>
          <w:rFonts w:ascii="Arial" w:hAnsi="Arial" w:cs="Arial"/>
        </w:rPr>
      </w:pPr>
    </w:p>
    <w:p w14:paraId="494F0BEA" w14:textId="77777777" w:rsidR="008D0565" w:rsidRPr="00D61F73" w:rsidRDefault="008D0565" w:rsidP="00D61F73">
      <w:pPr>
        <w:rPr>
          <w:rFonts w:ascii="Arial" w:hAnsi="Arial" w:cs="Arial"/>
        </w:rPr>
      </w:pPr>
      <w:r w:rsidRPr="00D61F73">
        <w:rPr>
          <w:rFonts w:ascii="Arial" w:hAnsi="Arial" w:cs="Arial"/>
        </w:rPr>
        <w:t>This article discusses the biopsychosocial approach to pain treatment.</w:t>
      </w:r>
    </w:p>
    <w:p w14:paraId="7888DC5B" w14:textId="77777777" w:rsidR="008D0565" w:rsidRPr="00D61F73" w:rsidRDefault="008D0565" w:rsidP="00D61F73">
      <w:pPr>
        <w:rPr>
          <w:rFonts w:ascii="Arial" w:hAnsi="Arial" w:cs="Arial"/>
        </w:rPr>
      </w:pPr>
    </w:p>
    <w:p w14:paraId="357A92C9" w14:textId="77777777" w:rsidR="008D0565" w:rsidRPr="00D61F73" w:rsidRDefault="008D0565" w:rsidP="00D61F73">
      <w:pPr>
        <w:rPr>
          <w:rFonts w:ascii="Arial" w:hAnsi="Arial" w:cs="Arial"/>
        </w:rPr>
      </w:pPr>
      <w:r w:rsidRPr="00D61F73">
        <w:rPr>
          <w:rFonts w:ascii="Arial" w:hAnsi="Arial" w:cs="Arial"/>
        </w:rPr>
        <w:t xml:space="preserve">PMID: </w:t>
      </w:r>
      <w:hyperlink r:id="rId830" w:history="1">
        <w:r w:rsidRPr="00D61F73">
          <w:rPr>
            <w:rStyle w:val="Hyperlink"/>
            <w:rFonts w:ascii="Arial" w:hAnsi="Arial" w:cs="Arial"/>
          </w:rPr>
          <w:t>16937355</w:t>
        </w:r>
      </w:hyperlink>
    </w:p>
    <w:p w14:paraId="3A5DE915" w14:textId="77777777" w:rsidR="008D0565" w:rsidRPr="00D61F73" w:rsidRDefault="008D0565" w:rsidP="00D61F73">
      <w:pPr>
        <w:rPr>
          <w:rFonts w:ascii="Arial" w:hAnsi="Arial" w:cs="Arial"/>
        </w:rPr>
      </w:pPr>
    </w:p>
    <w:p w14:paraId="3FC3B015" w14:textId="77777777" w:rsidR="008D0565" w:rsidRPr="00D61F73" w:rsidRDefault="008D0565" w:rsidP="00D61F73">
      <w:pPr>
        <w:rPr>
          <w:rFonts w:ascii="Arial" w:hAnsi="Arial" w:cs="Arial"/>
        </w:rPr>
      </w:pPr>
      <w:r w:rsidRPr="00D61F73">
        <w:rPr>
          <w:rFonts w:ascii="Arial" w:hAnsi="Arial" w:cs="Arial"/>
        </w:rPr>
        <w:t>Rating: 5b</w:t>
      </w:r>
    </w:p>
    <w:p w14:paraId="5146ED38" w14:textId="77777777" w:rsidR="008D0565" w:rsidRPr="00D61F73" w:rsidRDefault="008D0565" w:rsidP="00D61F73">
      <w:pPr>
        <w:rPr>
          <w:rFonts w:ascii="Arial" w:hAnsi="Arial" w:cs="Arial"/>
        </w:rPr>
      </w:pPr>
    </w:p>
    <w:p w14:paraId="2907642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T</w:t>
      </w:r>
      <w:bookmarkStart w:id="1194" w:name="Townsend2008"/>
      <w:bookmarkEnd w:id="1194"/>
      <w:r w:rsidRPr="00D61F73">
        <w:rPr>
          <w:rFonts w:ascii="Arial" w:hAnsi="Arial" w:cs="Arial"/>
          <w:b/>
        </w:rPr>
        <w:t xml:space="preserve">ownsend CO, Kerkvliet JL, Bruce BK, Rome JD, Hooten WM, Luedtke CA, Hodgson JE. A longitudinal study of the efficacy of a comprehensive pain rehabilitation program with opioid withdrawal: comparison of treatment outcomes based on opioid use status at admission. </w:t>
      </w:r>
      <w:r w:rsidRPr="00D61F73">
        <w:rPr>
          <w:rFonts w:ascii="Arial" w:hAnsi="Arial" w:cs="Arial"/>
          <w:b/>
          <w:i/>
        </w:rPr>
        <w:t>Pain</w:t>
      </w:r>
      <w:r w:rsidRPr="00D61F73">
        <w:rPr>
          <w:rFonts w:ascii="Arial" w:hAnsi="Arial" w:cs="Arial"/>
          <w:b/>
        </w:rPr>
        <w:t>. 2008;140:177-89.</w:t>
      </w:r>
    </w:p>
    <w:p w14:paraId="1B99C160" w14:textId="77777777" w:rsidR="008D0565" w:rsidRPr="00D61F73" w:rsidRDefault="008D0565" w:rsidP="00D61F73">
      <w:pPr>
        <w:rPr>
          <w:rFonts w:ascii="Arial" w:hAnsi="Arial" w:cs="Arial"/>
        </w:rPr>
      </w:pPr>
    </w:p>
    <w:p w14:paraId="749C42DC" w14:textId="77777777" w:rsidR="008D0565" w:rsidRPr="00D61F73" w:rsidRDefault="008D0565" w:rsidP="00D61F73">
      <w:pPr>
        <w:rPr>
          <w:rFonts w:ascii="Arial" w:hAnsi="Arial" w:cs="Arial"/>
        </w:rPr>
      </w:pPr>
      <w:r w:rsidRPr="00D61F73">
        <w:rPr>
          <w:rFonts w:ascii="Arial" w:hAnsi="Arial" w:cs="Arial"/>
        </w:rPr>
        <w:t>Patients with longstanding CPRP on chronic opioid therapy, who choose to participate in interdisciplinary rehabilitation that incorporates opioid withdrawal, can experience significant and sustained improvement in pain severity and functioning.</w:t>
      </w:r>
    </w:p>
    <w:p w14:paraId="29BDDA99" w14:textId="77777777" w:rsidR="008D0565" w:rsidRPr="00D61F73" w:rsidRDefault="008D0565" w:rsidP="00D61F73">
      <w:pPr>
        <w:rPr>
          <w:rFonts w:ascii="Arial" w:hAnsi="Arial" w:cs="Arial"/>
        </w:rPr>
      </w:pPr>
    </w:p>
    <w:p w14:paraId="7377EFFA" w14:textId="77777777" w:rsidR="008D0565" w:rsidRPr="00D61F73" w:rsidRDefault="008D0565" w:rsidP="00D61F73">
      <w:pPr>
        <w:rPr>
          <w:rFonts w:ascii="Arial" w:hAnsi="Arial" w:cs="Arial"/>
        </w:rPr>
      </w:pPr>
      <w:r w:rsidRPr="00D61F73">
        <w:rPr>
          <w:rFonts w:ascii="Arial" w:hAnsi="Arial" w:cs="Arial"/>
        </w:rPr>
        <w:t xml:space="preserve">PMID: </w:t>
      </w:r>
      <w:hyperlink r:id="rId831" w:history="1">
        <w:r w:rsidRPr="00D61F73">
          <w:rPr>
            <w:rStyle w:val="Hyperlink"/>
            <w:rFonts w:ascii="Arial" w:hAnsi="Arial" w:cs="Arial"/>
          </w:rPr>
          <w:t>18804915</w:t>
        </w:r>
      </w:hyperlink>
    </w:p>
    <w:p w14:paraId="5B3E4633" w14:textId="77777777" w:rsidR="008D0565" w:rsidRPr="00D61F73" w:rsidRDefault="008D0565" w:rsidP="00D61F73">
      <w:pPr>
        <w:rPr>
          <w:rFonts w:ascii="Arial" w:hAnsi="Arial" w:cs="Arial"/>
        </w:rPr>
      </w:pPr>
    </w:p>
    <w:p w14:paraId="7F180072" w14:textId="77777777" w:rsidR="008D0565" w:rsidRPr="00D61F73" w:rsidRDefault="008D0565" w:rsidP="00D61F73">
      <w:pPr>
        <w:rPr>
          <w:rFonts w:ascii="Arial" w:hAnsi="Arial" w:cs="Arial"/>
        </w:rPr>
      </w:pPr>
      <w:r w:rsidRPr="00D61F73">
        <w:rPr>
          <w:rFonts w:ascii="Arial" w:hAnsi="Arial" w:cs="Arial"/>
        </w:rPr>
        <w:t>Rating: 3b</w:t>
      </w:r>
    </w:p>
    <w:p w14:paraId="56D6012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T</w:t>
      </w:r>
      <w:bookmarkStart w:id="1195" w:name="Tracz"/>
      <w:bookmarkEnd w:id="1195"/>
      <w:r w:rsidRPr="00D61F73">
        <w:rPr>
          <w:rFonts w:ascii="Arial" w:hAnsi="Arial" w:cs="Arial"/>
          <w:b/>
        </w:rPr>
        <w:t xml:space="preserve">racz MJ, Sideras K, Bolona ER, Haddad RM, Kennedy CC, Uraga MV, Caples SM, Erwin PJ, Montori VM. Testosterone use in men and its effects on bone health. A systematic review and meta-analysis of randomized placebo-controlled trials. </w:t>
      </w:r>
      <w:r w:rsidRPr="00D61F73">
        <w:rPr>
          <w:rFonts w:ascii="Arial" w:hAnsi="Arial" w:cs="Arial"/>
          <w:b/>
          <w:i/>
        </w:rPr>
        <w:t>J Clin Endocrinol Metab</w:t>
      </w:r>
      <w:r w:rsidRPr="00D61F73">
        <w:rPr>
          <w:rFonts w:ascii="Arial" w:hAnsi="Arial" w:cs="Arial"/>
          <w:b/>
        </w:rPr>
        <w:t>. 2006;91:2011-6.</w:t>
      </w:r>
    </w:p>
    <w:p w14:paraId="6AF76386" w14:textId="77777777" w:rsidR="008D0565" w:rsidRPr="00D61F73" w:rsidRDefault="008D0565" w:rsidP="00D61F73">
      <w:pPr>
        <w:rPr>
          <w:rFonts w:ascii="Arial" w:hAnsi="Arial" w:cs="Arial"/>
        </w:rPr>
      </w:pPr>
    </w:p>
    <w:p w14:paraId="2FB1FF85" w14:textId="77777777" w:rsidR="008D0565" w:rsidRPr="00D61F73" w:rsidRDefault="008D0565" w:rsidP="00D61F73">
      <w:pPr>
        <w:rPr>
          <w:rFonts w:ascii="Arial" w:hAnsi="Arial" w:cs="Arial"/>
        </w:rPr>
      </w:pPr>
      <w:r w:rsidRPr="00D61F73">
        <w:rPr>
          <w:rFonts w:ascii="Arial" w:hAnsi="Arial" w:cs="Arial"/>
        </w:rPr>
        <w:t>Intramuscular testosterone moderately increased lumbar bone density in men; the results on femoral neck bone density are inconclusive. Without bone fracture data, the available trials offer weak and indirect inferences about the clinical efficacy of testosterone on osteoporosis prevention and treatment in men.</w:t>
      </w:r>
    </w:p>
    <w:p w14:paraId="5AA46443" w14:textId="77777777" w:rsidR="008D0565" w:rsidRPr="00D61F73" w:rsidRDefault="008D0565" w:rsidP="00D61F73">
      <w:pPr>
        <w:rPr>
          <w:rFonts w:ascii="Arial" w:hAnsi="Arial" w:cs="Arial"/>
        </w:rPr>
      </w:pPr>
    </w:p>
    <w:p w14:paraId="6FA73B19" w14:textId="77777777" w:rsidR="008D0565" w:rsidRPr="00D61F73" w:rsidRDefault="008D0565" w:rsidP="00D61F73">
      <w:pPr>
        <w:rPr>
          <w:rFonts w:ascii="Arial" w:hAnsi="Arial" w:cs="Arial"/>
        </w:rPr>
      </w:pPr>
      <w:r w:rsidRPr="00D61F73">
        <w:rPr>
          <w:rFonts w:ascii="Arial" w:hAnsi="Arial" w:cs="Arial"/>
        </w:rPr>
        <w:t xml:space="preserve">PMID: </w:t>
      </w:r>
      <w:hyperlink r:id="rId832" w:history="1">
        <w:r w:rsidRPr="00D61F73">
          <w:rPr>
            <w:rStyle w:val="Hyperlink"/>
            <w:rFonts w:ascii="Arial" w:hAnsi="Arial" w:cs="Arial"/>
          </w:rPr>
          <w:t>16720668</w:t>
        </w:r>
      </w:hyperlink>
    </w:p>
    <w:p w14:paraId="7D932956" w14:textId="77777777" w:rsidR="008D0565" w:rsidRPr="00D61F73" w:rsidRDefault="008D0565" w:rsidP="00D61F73">
      <w:pPr>
        <w:rPr>
          <w:rFonts w:ascii="Arial" w:hAnsi="Arial" w:cs="Arial"/>
        </w:rPr>
      </w:pPr>
    </w:p>
    <w:p w14:paraId="11A5C0CE" w14:textId="77777777" w:rsidR="008D0565" w:rsidRPr="00D61F73" w:rsidRDefault="008D0565" w:rsidP="00D61F73">
      <w:pPr>
        <w:rPr>
          <w:rFonts w:ascii="Arial" w:hAnsi="Arial" w:cs="Arial"/>
        </w:rPr>
      </w:pPr>
      <w:r w:rsidRPr="00D61F73">
        <w:rPr>
          <w:rFonts w:ascii="Arial" w:hAnsi="Arial" w:cs="Arial"/>
        </w:rPr>
        <w:t>Rating: 1a</w:t>
      </w:r>
    </w:p>
    <w:p w14:paraId="1EE25C5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T</w:t>
      </w:r>
      <w:bookmarkStart w:id="1196" w:name="Tran2010"/>
      <w:bookmarkEnd w:id="1196"/>
      <w:r w:rsidRPr="00D61F73">
        <w:rPr>
          <w:rFonts w:ascii="Arial" w:hAnsi="Arial" w:cs="Arial"/>
          <w:b/>
          <w:bCs/>
        </w:rPr>
        <w:t xml:space="preserve">ran de QH, Duong S, Bertini P, Finlayson RJ. Treatment of complex regional pain syndrome: a review of the evidence. </w:t>
      </w:r>
      <w:r w:rsidRPr="00D61F73">
        <w:rPr>
          <w:rFonts w:ascii="Arial" w:hAnsi="Arial" w:cs="Arial"/>
          <w:b/>
          <w:bCs/>
          <w:i/>
          <w:iCs/>
        </w:rPr>
        <w:t>Can J Anaesth</w:t>
      </w:r>
      <w:r w:rsidRPr="00D61F73">
        <w:rPr>
          <w:rFonts w:ascii="Arial" w:hAnsi="Arial" w:cs="Arial"/>
          <w:b/>
          <w:bCs/>
        </w:rPr>
        <w:t>. 2010 Feb;57(2):149-66. doi: 10.1007/s12630-009-9237-0.</w:t>
      </w:r>
    </w:p>
    <w:p w14:paraId="6CFDC767" w14:textId="77777777" w:rsidR="008D0565" w:rsidRPr="00D61F73" w:rsidRDefault="008D0565" w:rsidP="00D61F73">
      <w:pPr>
        <w:rPr>
          <w:rFonts w:ascii="Arial" w:hAnsi="Arial" w:cs="Arial"/>
        </w:rPr>
      </w:pPr>
    </w:p>
    <w:p w14:paraId="5ED7AB09" w14:textId="77777777" w:rsidR="008D0565" w:rsidRPr="00D61F73" w:rsidRDefault="008D0565" w:rsidP="00D61F73">
      <w:pPr>
        <w:rPr>
          <w:rFonts w:ascii="Arial" w:hAnsi="Arial" w:cs="Arial"/>
        </w:rPr>
      </w:pPr>
      <w:r w:rsidRPr="00D61F73">
        <w:rPr>
          <w:rFonts w:ascii="Arial" w:hAnsi="Arial" w:cs="Arial"/>
        </w:rPr>
        <w:t xml:space="preserve">PMID: </w:t>
      </w:r>
      <w:hyperlink r:id="rId833" w:history="1">
        <w:r w:rsidRPr="00D61F73">
          <w:rPr>
            <w:rStyle w:val="Hyperlink"/>
            <w:rFonts w:ascii="Arial" w:hAnsi="Arial" w:cs="Arial"/>
          </w:rPr>
          <w:t>20054678</w:t>
        </w:r>
      </w:hyperlink>
    </w:p>
    <w:p w14:paraId="12C95269" w14:textId="77777777" w:rsidR="008D0565" w:rsidRPr="00D61F73" w:rsidRDefault="008D0565" w:rsidP="00D61F73">
      <w:pPr>
        <w:rPr>
          <w:rFonts w:ascii="Arial" w:hAnsi="Arial" w:cs="Arial"/>
        </w:rPr>
      </w:pPr>
    </w:p>
    <w:p w14:paraId="506B4D53" w14:textId="77777777" w:rsidR="008D0565" w:rsidRPr="00D61F73" w:rsidRDefault="008D0565" w:rsidP="00D61F73">
      <w:pPr>
        <w:rPr>
          <w:rFonts w:ascii="Arial" w:hAnsi="Arial" w:cs="Arial"/>
        </w:rPr>
      </w:pPr>
      <w:r w:rsidRPr="00D61F73">
        <w:rPr>
          <w:rFonts w:ascii="Arial" w:hAnsi="Arial" w:cs="Arial"/>
        </w:rPr>
        <w:t xml:space="preserve">Rating: 1c </w:t>
      </w:r>
    </w:p>
    <w:p w14:paraId="3F82586C" w14:textId="77777777" w:rsidR="008D0565" w:rsidRPr="00D61F73" w:rsidRDefault="008D0565" w:rsidP="00D61F73">
      <w:pPr>
        <w:rPr>
          <w:rFonts w:ascii="Arial" w:hAnsi="Arial" w:cs="Arial"/>
          <w:b/>
          <w:bCs/>
        </w:rPr>
      </w:pPr>
      <w:r w:rsidRPr="00D61F73">
        <w:rPr>
          <w:rFonts w:ascii="Arial" w:hAnsi="Arial" w:cs="Arial"/>
        </w:rPr>
        <w:br w:type="page"/>
      </w:r>
      <w:hyperlink r:id="rId834" w:history="1">
        <w:r w:rsidRPr="00D61F73">
          <w:rPr>
            <w:rStyle w:val="Hyperlink"/>
            <w:rFonts w:ascii="Arial" w:hAnsi="Arial" w:cs="Arial"/>
            <w:b/>
            <w:bCs/>
          </w:rPr>
          <w:t>T</w:t>
        </w:r>
        <w:bookmarkStart w:id="1197" w:name="Trevino"/>
        <w:bookmarkEnd w:id="1197"/>
        <w:r w:rsidRPr="00D61F73">
          <w:rPr>
            <w:rStyle w:val="Hyperlink"/>
            <w:rFonts w:ascii="Arial" w:hAnsi="Arial" w:cs="Arial"/>
            <w:b/>
            <w:bCs/>
          </w:rPr>
          <w:t>revino ME. Grasso AR</w:t>
        </w:r>
      </w:hyperlink>
      <w:r w:rsidRPr="00D61F73">
        <w:rPr>
          <w:rFonts w:ascii="Arial" w:hAnsi="Arial" w:cs="Arial"/>
          <w:b/>
          <w:bCs/>
        </w:rPr>
        <w:t xml:space="preserve">. ALO-KNT-301: A Multicenter, Randomized, Double-Blind, Placebo-Controlled, Phase 3 Efficacy Study of Morphine Sulfate Plus Naltrexone Hydrochloride Extended-Release Capsules in Subjects with Moderate to Severe Chronic Pain Due to Osteoarthritis of theHip or Knee. Aug 13, 2009 </w:t>
      </w:r>
    </w:p>
    <w:p w14:paraId="0686F6F6" w14:textId="77777777" w:rsidR="008D0565" w:rsidRPr="00D61F73" w:rsidRDefault="008D0565" w:rsidP="00D61F73">
      <w:pPr>
        <w:rPr>
          <w:rFonts w:ascii="Arial" w:hAnsi="Arial" w:cs="Arial"/>
        </w:rPr>
      </w:pPr>
    </w:p>
    <w:p w14:paraId="02BCF90A" w14:textId="77777777" w:rsidR="008D0565" w:rsidRPr="00D61F73" w:rsidRDefault="008D0565" w:rsidP="00D61F73">
      <w:pPr>
        <w:rPr>
          <w:rFonts w:ascii="Arial" w:hAnsi="Arial" w:cs="Arial"/>
        </w:rPr>
      </w:pPr>
      <w:r w:rsidRPr="00D61F73">
        <w:rPr>
          <w:rFonts w:ascii="Arial" w:hAnsi="Arial" w:cs="Arial"/>
        </w:rPr>
        <w:t>The mean change in the weekly diary BPI average pain score from randomization baseline to the end of study was statistically significantly superior for those treated with Embeda compared to the placebo group.</w:t>
      </w:r>
    </w:p>
    <w:p w14:paraId="26AA948E" w14:textId="77777777" w:rsidR="008D0565" w:rsidRPr="00D61F73" w:rsidRDefault="008D0565" w:rsidP="00D61F73">
      <w:pPr>
        <w:rPr>
          <w:rFonts w:ascii="Arial" w:hAnsi="Arial" w:cs="Arial"/>
        </w:rPr>
      </w:pPr>
    </w:p>
    <w:p w14:paraId="7911CD99" w14:textId="77777777" w:rsidR="008D0565" w:rsidRPr="00D61F73" w:rsidRDefault="008D0565" w:rsidP="00D61F73">
      <w:pPr>
        <w:rPr>
          <w:rFonts w:ascii="Arial" w:hAnsi="Arial" w:cs="Arial"/>
        </w:rPr>
      </w:pPr>
      <w:r w:rsidRPr="00D61F73">
        <w:rPr>
          <w:rFonts w:ascii="Arial" w:hAnsi="Arial" w:cs="Arial"/>
        </w:rPr>
        <w:t>Rating: 2b</w:t>
      </w:r>
    </w:p>
    <w:p w14:paraId="3B095866" w14:textId="3D20E3A0" w:rsidR="008D0565" w:rsidRPr="00D61F73" w:rsidRDefault="008D0565" w:rsidP="00D61F73">
      <w:pPr>
        <w:rPr>
          <w:rFonts w:ascii="Arial" w:hAnsi="Arial" w:cs="Arial"/>
          <w:b/>
          <w:bCs/>
        </w:rPr>
      </w:pPr>
      <w:r w:rsidRPr="00D61F73">
        <w:rPr>
          <w:rFonts w:ascii="Arial" w:hAnsi="Arial" w:cs="Arial"/>
        </w:rPr>
        <w:br w:type="page"/>
      </w:r>
      <w:r w:rsidRPr="008B7940">
        <w:rPr>
          <w:rFonts w:ascii="Arial" w:hAnsi="Arial" w:cs="Arial"/>
          <w:b/>
          <w:bCs/>
        </w:rPr>
        <w:lastRenderedPageBreak/>
        <w:t>Tulder MW van, Malmivaara A, Esmail R, Koes BW</w:t>
      </w:r>
      <w:r w:rsidRPr="00D61F73">
        <w:rPr>
          <w:rFonts w:ascii="Arial" w:hAnsi="Arial" w:cs="Arial"/>
          <w:b/>
          <w:bCs/>
        </w:rPr>
        <w:t xml:space="preserve">. Exercise therapy for low back pain (Cochrane Review). In: </w:t>
      </w:r>
      <w:r w:rsidRPr="00D61F73">
        <w:rPr>
          <w:rStyle w:val="HTMLCite"/>
          <w:rFonts w:ascii="Arial" w:hAnsi="Arial" w:cs="Arial"/>
          <w:b/>
          <w:bCs/>
        </w:rPr>
        <w:t xml:space="preserve">The Cochrane Library, </w:t>
      </w:r>
      <w:r w:rsidRPr="00D61F73">
        <w:rPr>
          <w:rFonts w:ascii="Arial" w:hAnsi="Arial" w:cs="Arial"/>
          <w:b/>
          <w:bCs/>
        </w:rPr>
        <w:t>Issue 2, 2002. Oxford: Update Software.</w:t>
      </w:r>
    </w:p>
    <w:p w14:paraId="70911798" w14:textId="77777777" w:rsidR="008D0565" w:rsidRPr="00D61F73" w:rsidRDefault="008D0565" w:rsidP="00D61F73">
      <w:pPr>
        <w:pStyle w:val="NormalWeb"/>
        <w:spacing w:before="0" w:beforeAutospacing="0" w:after="0" w:afterAutospacing="0"/>
        <w:rPr>
          <w:rFonts w:ascii="Arial" w:hAnsi="Arial" w:cs="Arial"/>
          <w:b/>
          <w:bCs/>
        </w:rPr>
      </w:pPr>
    </w:p>
    <w:p w14:paraId="09431A8F"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Conclusions: The evidence summarised in this systematic review does not indicate that specific exercises are effective for the treatment of acute low back pain. Exercises may be helpful for chronic low back pain patients to increase return to normal daily activities and work.</w:t>
      </w:r>
    </w:p>
    <w:p w14:paraId="6E5E88A2" w14:textId="77777777" w:rsidR="008D0565" w:rsidRPr="00D61F73" w:rsidRDefault="008D0565" w:rsidP="00D61F73">
      <w:pPr>
        <w:pStyle w:val="NormalWeb"/>
        <w:spacing w:before="0" w:beforeAutospacing="0" w:after="0" w:afterAutospacing="0"/>
        <w:rPr>
          <w:rFonts w:ascii="Arial" w:hAnsi="Arial" w:cs="Arial"/>
        </w:rPr>
      </w:pPr>
    </w:p>
    <w:p w14:paraId="3BACA0E5"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Publication Type: Meta-Analysis</w:t>
      </w:r>
    </w:p>
    <w:p w14:paraId="68A53659" w14:textId="77777777" w:rsidR="008D0565" w:rsidRPr="00D61F73" w:rsidRDefault="00FF4367" w:rsidP="00D61F73">
      <w:pPr>
        <w:pStyle w:val="NormalWeb"/>
        <w:spacing w:before="0" w:beforeAutospacing="0" w:after="0" w:afterAutospacing="0"/>
        <w:rPr>
          <w:rFonts w:ascii="Arial" w:hAnsi="Arial" w:cs="Arial"/>
          <w:b/>
        </w:rPr>
      </w:pPr>
      <w:r w:rsidRPr="00D61F73">
        <w:rPr>
          <w:rFonts w:ascii="Arial" w:hAnsi="Arial" w:cs="Arial"/>
          <w:b/>
          <w:bCs/>
        </w:rPr>
        <w:br w:type="page"/>
      </w:r>
      <w:r w:rsidR="008D0565" w:rsidRPr="00D61F73">
        <w:rPr>
          <w:rFonts w:ascii="Arial" w:hAnsi="Arial" w:cs="Arial"/>
          <w:b/>
        </w:rPr>
        <w:lastRenderedPageBreak/>
        <w:t>T</w:t>
      </w:r>
      <w:bookmarkStart w:id="1198" w:name="Turk2008"/>
      <w:bookmarkEnd w:id="1198"/>
      <w:r w:rsidR="008D0565" w:rsidRPr="00D61F73">
        <w:rPr>
          <w:rFonts w:ascii="Arial" w:hAnsi="Arial" w:cs="Arial"/>
          <w:b/>
        </w:rPr>
        <w:t xml:space="preserve">urk DC, Swanson KS, Gatchel RJ. Predicting opioid misuse by chronic pain patients: a systematic review and literature synthesis. </w:t>
      </w:r>
      <w:r w:rsidR="008D0565" w:rsidRPr="00D61F73">
        <w:rPr>
          <w:rFonts w:ascii="Arial" w:hAnsi="Arial" w:cs="Arial"/>
          <w:b/>
          <w:i/>
        </w:rPr>
        <w:t>Clin J Pain</w:t>
      </w:r>
      <w:r w:rsidR="008D0565" w:rsidRPr="00D61F73">
        <w:rPr>
          <w:rFonts w:ascii="Arial" w:hAnsi="Arial" w:cs="Arial"/>
          <w:b/>
        </w:rPr>
        <w:t>. 2008;24:497-508.</w:t>
      </w:r>
    </w:p>
    <w:p w14:paraId="2522E746" w14:textId="77777777" w:rsidR="008D0565" w:rsidRPr="00D61F73" w:rsidRDefault="008D0565" w:rsidP="00D61F73">
      <w:pPr>
        <w:rPr>
          <w:rFonts w:ascii="Arial" w:eastAsia="Calibri" w:hAnsi="Arial" w:cs="Arial"/>
        </w:rPr>
      </w:pPr>
    </w:p>
    <w:p w14:paraId="470F3455" w14:textId="77777777" w:rsidR="008D0565" w:rsidRPr="00D61F73" w:rsidRDefault="008D0565" w:rsidP="00D61F73">
      <w:pPr>
        <w:rPr>
          <w:rFonts w:ascii="Arial" w:eastAsia="Calibri" w:hAnsi="Arial" w:cs="Arial"/>
        </w:rPr>
      </w:pPr>
      <w:r w:rsidRPr="00D61F73">
        <w:rPr>
          <w:rFonts w:ascii="Arial" w:hAnsi="Arial" w:cs="Arial"/>
        </w:rPr>
        <w:t xml:space="preserve">Strong predictors include a personal history of illicit drug and alcohol abuse. </w:t>
      </w:r>
    </w:p>
    <w:p w14:paraId="2D577ACB" w14:textId="77777777" w:rsidR="008D0565" w:rsidRPr="00D61F73" w:rsidRDefault="008D0565" w:rsidP="00D61F73">
      <w:pPr>
        <w:rPr>
          <w:rFonts w:ascii="Arial" w:eastAsia="Calibri" w:hAnsi="Arial" w:cs="Arial"/>
        </w:rPr>
      </w:pPr>
    </w:p>
    <w:p w14:paraId="100E9664"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835" w:history="1">
        <w:r w:rsidRPr="00D61F73">
          <w:rPr>
            <w:rStyle w:val="Hyperlink"/>
            <w:rFonts w:ascii="Arial" w:hAnsi="Arial" w:cs="Arial"/>
          </w:rPr>
          <w:t>18574359</w:t>
        </w:r>
      </w:hyperlink>
    </w:p>
    <w:p w14:paraId="1AAC293C" w14:textId="77777777" w:rsidR="008D0565" w:rsidRPr="00D61F73" w:rsidRDefault="008D0565" w:rsidP="00D61F73">
      <w:pPr>
        <w:rPr>
          <w:rFonts w:ascii="Arial" w:eastAsia="Calibri" w:hAnsi="Arial" w:cs="Arial"/>
        </w:rPr>
      </w:pPr>
    </w:p>
    <w:p w14:paraId="59B6B165" w14:textId="77777777" w:rsidR="008D0565" w:rsidRPr="00D61F73" w:rsidRDefault="008D0565" w:rsidP="00D61F73">
      <w:pPr>
        <w:rPr>
          <w:rFonts w:ascii="Arial" w:eastAsia="Calibri" w:hAnsi="Arial" w:cs="Arial"/>
        </w:rPr>
      </w:pPr>
      <w:r w:rsidRPr="00D61F73">
        <w:rPr>
          <w:rFonts w:ascii="Arial" w:hAnsi="Arial" w:cs="Arial"/>
        </w:rPr>
        <w:t>Rating: 1b</w:t>
      </w:r>
    </w:p>
    <w:p w14:paraId="50C05E4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T</w:t>
      </w:r>
      <w:bookmarkStart w:id="1199" w:name="Turner4"/>
      <w:bookmarkEnd w:id="1199"/>
      <w:r w:rsidRPr="00D61F73">
        <w:rPr>
          <w:rFonts w:ascii="Arial" w:hAnsi="Arial" w:cs="Arial"/>
          <w:b/>
          <w:bCs/>
        </w:rPr>
        <w:t xml:space="preserve">urner MK, Hooten WM, Schmidt JE, Kerkvliet JL, Townsend CO, Bruce BK. Prevalence and clinical correlates of vitamin D inadequacy among patients with chronic pain. </w:t>
      </w:r>
      <w:r w:rsidRPr="00D61F73">
        <w:rPr>
          <w:rFonts w:ascii="Arial" w:hAnsi="Arial" w:cs="Arial"/>
          <w:b/>
          <w:bCs/>
          <w:i/>
          <w:iCs/>
        </w:rPr>
        <w:t>Pain Med</w:t>
      </w:r>
      <w:r w:rsidRPr="00D61F73">
        <w:rPr>
          <w:rFonts w:ascii="Arial" w:hAnsi="Arial" w:cs="Arial"/>
          <w:b/>
          <w:bCs/>
        </w:rPr>
        <w:t xml:space="preserve">. 2008 Nov;9(8):979-84.  </w:t>
      </w:r>
    </w:p>
    <w:p w14:paraId="7EEDF440" w14:textId="77777777" w:rsidR="008D0565" w:rsidRPr="00D61F73" w:rsidRDefault="008D0565" w:rsidP="00D61F73">
      <w:pPr>
        <w:rPr>
          <w:rFonts w:ascii="Arial" w:hAnsi="Arial" w:cs="Arial"/>
        </w:rPr>
      </w:pPr>
    </w:p>
    <w:p w14:paraId="09C0445F" w14:textId="77777777" w:rsidR="008D0565" w:rsidRPr="00D61F73" w:rsidRDefault="008D0565" w:rsidP="00D61F73">
      <w:pPr>
        <w:rPr>
          <w:rFonts w:ascii="Arial" w:hAnsi="Arial" w:cs="Arial"/>
        </w:rPr>
      </w:pPr>
      <w:r w:rsidRPr="00D61F73">
        <w:rPr>
          <w:rFonts w:ascii="Arial" w:hAnsi="Arial" w:cs="Arial"/>
        </w:rPr>
        <w:t>The prevalence and clinical correlates identified in this pilot study provide the basis for the assertion that vitamin D inadequacy may represent an under-recognized source of nociception and impaired neuromuscular functioning among patients with chronic pain.</w:t>
      </w:r>
    </w:p>
    <w:p w14:paraId="300BB393" w14:textId="77777777" w:rsidR="008D0565" w:rsidRPr="00D61F73" w:rsidRDefault="008D0565" w:rsidP="00D61F73">
      <w:pPr>
        <w:rPr>
          <w:rFonts w:ascii="Arial" w:hAnsi="Arial" w:cs="Arial"/>
        </w:rPr>
      </w:pPr>
    </w:p>
    <w:p w14:paraId="4BF4D7AF" w14:textId="77777777" w:rsidR="008D0565" w:rsidRPr="00D61F73" w:rsidRDefault="008D0565" w:rsidP="00D61F73">
      <w:pPr>
        <w:rPr>
          <w:rFonts w:ascii="Arial" w:hAnsi="Arial" w:cs="Arial"/>
        </w:rPr>
      </w:pPr>
      <w:r w:rsidRPr="00D61F73">
        <w:rPr>
          <w:rFonts w:ascii="Arial" w:hAnsi="Arial" w:cs="Arial"/>
        </w:rPr>
        <w:t xml:space="preserve">PMID: </w:t>
      </w:r>
      <w:hyperlink r:id="rId836" w:history="1">
        <w:r w:rsidRPr="00D61F73">
          <w:rPr>
            <w:rStyle w:val="Hyperlink"/>
            <w:rFonts w:ascii="Arial" w:hAnsi="Arial" w:cs="Arial"/>
          </w:rPr>
          <w:t>18346069</w:t>
        </w:r>
      </w:hyperlink>
    </w:p>
    <w:p w14:paraId="0B0320C8" w14:textId="77777777" w:rsidR="008D0565" w:rsidRPr="00D61F73" w:rsidRDefault="008D0565" w:rsidP="00D61F73">
      <w:pPr>
        <w:rPr>
          <w:rFonts w:ascii="Arial" w:hAnsi="Arial" w:cs="Arial"/>
        </w:rPr>
      </w:pPr>
    </w:p>
    <w:p w14:paraId="120D41B8" w14:textId="77777777" w:rsidR="008D0565" w:rsidRPr="00D61F73" w:rsidRDefault="008D0565" w:rsidP="00D61F73">
      <w:pPr>
        <w:rPr>
          <w:rFonts w:ascii="Arial" w:hAnsi="Arial" w:cs="Arial"/>
        </w:rPr>
      </w:pPr>
      <w:r w:rsidRPr="00D61F73">
        <w:rPr>
          <w:rFonts w:ascii="Arial" w:hAnsi="Arial" w:cs="Arial"/>
        </w:rPr>
        <w:t>Rating: 3a</w:t>
      </w:r>
    </w:p>
    <w:p w14:paraId="219EF800"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T</w:t>
      </w:r>
      <w:bookmarkStart w:id="1200" w:name="Turturro"/>
      <w:bookmarkEnd w:id="1200"/>
      <w:r w:rsidRPr="00D61F73">
        <w:rPr>
          <w:rFonts w:ascii="Arial" w:hAnsi="Arial" w:cs="Arial"/>
          <w:b/>
        </w:rPr>
        <w:t xml:space="preserve">urturro MA, Paris PM, Larkin GL. Tramadol versus hydrocodone-acetaminophen in acute musculoskeletal pain: a randomized, double-blind clinical trial. </w:t>
      </w:r>
      <w:r w:rsidRPr="00D61F73">
        <w:rPr>
          <w:rFonts w:ascii="Arial" w:hAnsi="Arial" w:cs="Arial"/>
          <w:b/>
          <w:i/>
        </w:rPr>
        <w:t>Ann Emerg Med.</w:t>
      </w:r>
      <w:r w:rsidRPr="00D61F73">
        <w:rPr>
          <w:rFonts w:ascii="Arial" w:hAnsi="Arial" w:cs="Arial"/>
          <w:b/>
        </w:rPr>
        <w:t xml:space="preserve"> 1998 Aug;32(2):139-43.</w:t>
      </w:r>
    </w:p>
    <w:p w14:paraId="6A9CEEC4" w14:textId="77777777" w:rsidR="008D0565" w:rsidRPr="00D61F73" w:rsidRDefault="008D0565" w:rsidP="00D61F73">
      <w:pPr>
        <w:rPr>
          <w:rFonts w:ascii="Arial" w:hAnsi="Arial" w:cs="Arial"/>
        </w:rPr>
      </w:pPr>
      <w:r w:rsidRPr="00D61F73">
        <w:rPr>
          <w:rFonts w:ascii="Arial" w:hAnsi="Arial" w:cs="Arial"/>
        </w:rPr>
        <w:t xml:space="preserve">    </w:t>
      </w:r>
    </w:p>
    <w:p w14:paraId="2180BC15" w14:textId="77777777" w:rsidR="008D0565" w:rsidRPr="00D61F73" w:rsidRDefault="008D0565" w:rsidP="00D61F73">
      <w:pPr>
        <w:rPr>
          <w:rFonts w:ascii="Arial" w:hAnsi="Arial" w:cs="Arial"/>
        </w:rPr>
      </w:pPr>
      <w:r w:rsidRPr="00D61F73">
        <w:rPr>
          <w:rFonts w:ascii="Arial" w:hAnsi="Arial" w:cs="Arial"/>
        </w:rPr>
        <w:t>Tramadol provides inferior analgesia to hydrocodone-acetaminophen in ED patients with acute musculoskeletal pain.</w:t>
      </w:r>
    </w:p>
    <w:p w14:paraId="62BC342A" w14:textId="77777777" w:rsidR="008D0565" w:rsidRPr="00D61F73" w:rsidRDefault="008D0565" w:rsidP="00D61F73">
      <w:pPr>
        <w:rPr>
          <w:rFonts w:ascii="Arial" w:hAnsi="Arial" w:cs="Arial"/>
        </w:rPr>
      </w:pPr>
    </w:p>
    <w:p w14:paraId="692A147C" w14:textId="77777777" w:rsidR="008D0565" w:rsidRPr="00D61F73" w:rsidRDefault="008D0565" w:rsidP="00D61F73">
      <w:pPr>
        <w:rPr>
          <w:rFonts w:ascii="Arial" w:hAnsi="Arial" w:cs="Arial"/>
        </w:rPr>
      </w:pPr>
      <w:r w:rsidRPr="00D61F73">
        <w:rPr>
          <w:rFonts w:ascii="Arial" w:hAnsi="Arial" w:cs="Arial"/>
        </w:rPr>
        <w:t xml:space="preserve">PMID: </w:t>
      </w:r>
      <w:hyperlink r:id="rId837" w:history="1">
        <w:r w:rsidRPr="00D61F73">
          <w:rPr>
            <w:rStyle w:val="Hyperlink"/>
            <w:rFonts w:ascii="Arial" w:hAnsi="Arial" w:cs="Arial"/>
          </w:rPr>
          <w:t>9701294</w:t>
        </w:r>
      </w:hyperlink>
    </w:p>
    <w:p w14:paraId="0E60C21A" w14:textId="77777777" w:rsidR="008D0565" w:rsidRPr="00D61F73" w:rsidRDefault="008D0565" w:rsidP="00D61F73">
      <w:pPr>
        <w:rPr>
          <w:rFonts w:ascii="Arial" w:hAnsi="Arial" w:cs="Arial"/>
        </w:rPr>
      </w:pPr>
    </w:p>
    <w:p w14:paraId="310305E3" w14:textId="77777777" w:rsidR="00F964F3" w:rsidRPr="00D61F73" w:rsidRDefault="008D0565" w:rsidP="00D61F73">
      <w:pPr>
        <w:rPr>
          <w:rFonts w:ascii="Arial" w:hAnsi="Arial" w:cs="Arial"/>
        </w:rPr>
      </w:pPr>
      <w:r w:rsidRPr="00D61F73">
        <w:rPr>
          <w:rFonts w:ascii="Arial" w:hAnsi="Arial" w:cs="Arial"/>
        </w:rPr>
        <w:t>Rating: 2b</w:t>
      </w:r>
    </w:p>
    <w:p w14:paraId="5C058FE8" w14:textId="77777777" w:rsidR="008D0565" w:rsidRPr="00D61F73" w:rsidRDefault="008D0565" w:rsidP="00D61F73">
      <w:pPr>
        <w:rPr>
          <w:rFonts w:ascii="Arial" w:hAnsi="Arial" w:cs="Arial"/>
        </w:rPr>
      </w:pPr>
      <w:bookmarkStart w:id="1201" w:name="TYLENOL"/>
      <w:bookmarkEnd w:id="1201"/>
      <w:r w:rsidRPr="00D61F73">
        <w:rPr>
          <w:rFonts w:ascii="Arial" w:hAnsi="Arial" w:cs="Arial"/>
        </w:rPr>
        <w:br w:type="page"/>
      </w:r>
      <w:r w:rsidRPr="00D61F73">
        <w:rPr>
          <w:rFonts w:ascii="Arial" w:hAnsi="Arial" w:cs="Arial"/>
          <w:b/>
          <w:bCs/>
        </w:rPr>
        <w:lastRenderedPageBreak/>
        <w:t>T</w:t>
      </w:r>
      <w:bookmarkStart w:id="1202" w:name="Tutak"/>
      <w:bookmarkEnd w:id="1202"/>
      <w:r w:rsidRPr="00D61F73">
        <w:rPr>
          <w:rFonts w:ascii="Arial" w:hAnsi="Arial" w:cs="Arial"/>
          <w:b/>
          <w:bCs/>
        </w:rPr>
        <w:t xml:space="preserve">utak U, Doleys DM. Intrathecal infusion systems for treatment of chronic low back and leg pain of noncancer origin. </w:t>
      </w:r>
      <w:r w:rsidRPr="00D61F73">
        <w:rPr>
          <w:rFonts w:ascii="Arial" w:hAnsi="Arial" w:cs="Arial"/>
          <w:b/>
          <w:bCs/>
          <w:i/>
          <w:iCs/>
        </w:rPr>
        <w:t>South Med J.</w:t>
      </w:r>
      <w:r w:rsidRPr="00D61F73">
        <w:rPr>
          <w:rFonts w:ascii="Arial" w:hAnsi="Arial" w:cs="Arial"/>
          <w:b/>
          <w:bCs/>
        </w:rPr>
        <w:t xml:space="preserve"> 1996 Mar;89(3):295-300. </w:t>
      </w:r>
    </w:p>
    <w:p w14:paraId="5C6EAB32" w14:textId="77777777" w:rsidR="008D0565" w:rsidRPr="00D61F73" w:rsidRDefault="008D0565" w:rsidP="00D61F73">
      <w:pPr>
        <w:rPr>
          <w:rFonts w:ascii="Arial" w:hAnsi="Arial" w:cs="Arial"/>
        </w:rPr>
      </w:pPr>
    </w:p>
    <w:p w14:paraId="1CAA76EE" w14:textId="77777777" w:rsidR="008D0565" w:rsidRPr="00D61F73" w:rsidRDefault="008D0565" w:rsidP="00D61F73">
      <w:pPr>
        <w:rPr>
          <w:rFonts w:ascii="Arial" w:hAnsi="Arial" w:cs="Arial"/>
        </w:rPr>
      </w:pPr>
      <w:r w:rsidRPr="00D61F73">
        <w:rPr>
          <w:rFonts w:ascii="Arial" w:hAnsi="Arial" w:cs="Arial"/>
        </w:rPr>
        <w:t>These data support chronic spinal opiate therapy as an option for safe and long-term management of noncancer pain.</w:t>
      </w:r>
    </w:p>
    <w:p w14:paraId="52A1532A" w14:textId="77777777" w:rsidR="008D0565" w:rsidRPr="00D61F73" w:rsidRDefault="008D0565" w:rsidP="00D61F73">
      <w:pPr>
        <w:rPr>
          <w:rFonts w:ascii="Arial" w:hAnsi="Arial" w:cs="Arial"/>
        </w:rPr>
      </w:pPr>
    </w:p>
    <w:p w14:paraId="12004FC5" w14:textId="77777777" w:rsidR="008D0565" w:rsidRPr="00D61F73" w:rsidRDefault="008D0565" w:rsidP="00D61F73">
      <w:pPr>
        <w:rPr>
          <w:rFonts w:ascii="Arial" w:hAnsi="Arial" w:cs="Arial"/>
        </w:rPr>
      </w:pPr>
      <w:r w:rsidRPr="00D61F73">
        <w:rPr>
          <w:rFonts w:ascii="Arial" w:hAnsi="Arial" w:cs="Arial"/>
        </w:rPr>
        <w:t xml:space="preserve">PMID: </w:t>
      </w:r>
      <w:hyperlink r:id="rId838" w:history="1">
        <w:r w:rsidRPr="00D61F73">
          <w:rPr>
            <w:rStyle w:val="Hyperlink"/>
            <w:rFonts w:ascii="Arial" w:hAnsi="Arial" w:cs="Arial"/>
          </w:rPr>
          <w:t>8604459</w:t>
        </w:r>
      </w:hyperlink>
    </w:p>
    <w:p w14:paraId="3101066B" w14:textId="77777777" w:rsidR="008D0565" w:rsidRPr="00D61F73" w:rsidRDefault="008D0565" w:rsidP="00D61F73">
      <w:pPr>
        <w:rPr>
          <w:rFonts w:ascii="Arial" w:hAnsi="Arial" w:cs="Arial"/>
        </w:rPr>
      </w:pPr>
    </w:p>
    <w:p w14:paraId="0F600626" w14:textId="77777777" w:rsidR="008D0565" w:rsidRPr="00D61F73" w:rsidRDefault="008D0565" w:rsidP="00D61F73">
      <w:pPr>
        <w:rPr>
          <w:rFonts w:ascii="Arial" w:hAnsi="Arial" w:cs="Arial"/>
        </w:rPr>
      </w:pPr>
      <w:r w:rsidRPr="00D61F73">
        <w:rPr>
          <w:rFonts w:ascii="Arial" w:hAnsi="Arial" w:cs="Arial"/>
        </w:rPr>
        <w:t>Rating: 2c</w:t>
      </w:r>
    </w:p>
    <w:p w14:paraId="71D89A0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U</w:t>
      </w:r>
      <w:bookmarkStart w:id="1203" w:name="Uher"/>
      <w:bookmarkEnd w:id="1203"/>
      <w:r w:rsidRPr="00D61F73">
        <w:rPr>
          <w:rFonts w:ascii="Arial" w:hAnsi="Arial" w:cs="Arial"/>
          <w:b/>
          <w:bCs/>
        </w:rPr>
        <w:t xml:space="preserve">her EM, Vacariu G, Schneider B, Fialka V. Comparison of manual lymph drainage with physical therapy in complex regional pain syndrome, type I. A comparative randomized controlled therapy study. </w:t>
      </w:r>
      <w:r w:rsidRPr="00D61F73">
        <w:rPr>
          <w:rFonts w:ascii="Arial" w:hAnsi="Arial" w:cs="Arial"/>
          <w:b/>
          <w:bCs/>
          <w:i/>
          <w:iCs/>
        </w:rPr>
        <w:t>Wien Klin Wochenschr</w:t>
      </w:r>
      <w:r w:rsidRPr="00D61F73">
        <w:rPr>
          <w:rFonts w:ascii="Arial" w:hAnsi="Arial" w:cs="Arial"/>
          <w:b/>
          <w:bCs/>
        </w:rPr>
        <w:t>. 2000 Feb 11;112(3):133-7.</w:t>
      </w:r>
    </w:p>
    <w:p w14:paraId="1D99B731" w14:textId="77777777" w:rsidR="008D0565" w:rsidRPr="00D61F73" w:rsidRDefault="008D0565" w:rsidP="00D61F73">
      <w:pPr>
        <w:rPr>
          <w:rFonts w:ascii="Arial" w:hAnsi="Arial" w:cs="Arial"/>
        </w:rPr>
      </w:pPr>
    </w:p>
    <w:p w14:paraId="2D159291" w14:textId="77777777" w:rsidR="008D0565" w:rsidRPr="00D61F73" w:rsidRDefault="008D0565" w:rsidP="00D61F73">
      <w:pPr>
        <w:rPr>
          <w:rFonts w:ascii="Arial" w:hAnsi="Arial" w:cs="Arial"/>
        </w:rPr>
      </w:pPr>
      <w:r w:rsidRPr="00D61F73">
        <w:rPr>
          <w:rFonts w:ascii="Arial" w:hAnsi="Arial" w:cs="Arial"/>
        </w:rPr>
        <w:t>The results indicate that, during the first 6 months of complex regional pain syndrome type I, manual lymph drainage provides no additional benefit when applied in conjunction with an intensive exercise program.</w:t>
      </w:r>
    </w:p>
    <w:p w14:paraId="2FA48E42" w14:textId="77777777" w:rsidR="008D0565" w:rsidRPr="00D61F73" w:rsidRDefault="008D0565" w:rsidP="00D61F73">
      <w:pPr>
        <w:rPr>
          <w:rFonts w:ascii="Arial" w:hAnsi="Arial" w:cs="Arial"/>
        </w:rPr>
      </w:pPr>
    </w:p>
    <w:p w14:paraId="56F23BB0" w14:textId="77777777" w:rsidR="008D0565" w:rsidRPr="00D61F73" w:rsidRDefault="008D0565" w:rsidP="00D61F73">
      <w:pPr>
        <w:rPr>
          <w:rFonts w:ascii="Arial" w:hAnsi="Arial" w:cs="Arial"/>
        </w:rPr>
      </w:pPr>
      <w:r w:rsidRPr="00D61F73">
        <w:rPr>
          <w:rFonts w:ascii="Arial" w:hAnsi="Arial" w:cs="Arial"/>
        </w:rPr>
        <w:t xml:space="preserve">PMID: </w:t>
      </w:r>
      <w:hyperlink r:id="rId839" w:history="1">
        <w:r w:rsidRPr="00D61F73">
          <w:rPr>
            <w:rStyle w:val="Hyperlink"/>
            <w:rFonts w:ascii="Arial" w:hAnsi="Arial" w:cs="Arial"/>
          </w:rPr>
          <w:t>10729965</w:t>
        </w:r>
      </w:hyperlink>
      <w:r w:rsidRPr="00D61F73">
        <w:rPr>
          <w:rFonts w:ascii="Arial" w:hAnsi="Arial" w:cs="Arial"/>
        </w:rPr>
        <w:t xml:space="preserve"> </w:t>
      </w:r>
    </w:p>
    <w:p w14:paraId="25E8B43E" w14:textId="77777777" w:rsidR="008D0565" w:rsidRPr="00D61F73" w:rsidRDefault="008D0565" w:rsidP="00D61F73">
      <w:pPr>
        <w:rPr>
          <w:rFonts w:ascii="Arial" w:hAnsi="Arial" w:cs="Arial"/>
        </w:rPr>
      </w:pPr>
    </w:p>
    <w:p w14:paraId="6B57782D" w14:textId="77777777" w:rsidR="008D0565" w:rsidRPr="00D61F73" w:rsidRDefault="008D0565" w:rsidP="00D61F73">
      <w:pPr>
        <w:rPr>
          <w:rFonts w:ascii="Arial" w:hAnsi="Arial" w:cs="Arial"/>
        </w:rPr>
      </w:pPr>
      <w:r w:rsidRPr="00D61F73">
        <w:rPr>
          <w:rFonts w:ascii="Arial" w:hAnsi="Arial" w:cs="Arial"/>
        </w:rPr>
        <w:t>Rating: 2c</w:t>
      </w:r>
    </w:p>
    <w:p w14:paraId="15AA456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U</w:t>
      </w:r>
      <w:bookmarkStart w:id="1204" w:name="Ung2012"/>
      <w:bookmarkEnd w:id="1204"/>
      <w:r w:rsidRPr="00D61F73">
        <w:rPr>
          <w:rFonts w:ascii="Arial" w:hAnsi="Arial" w:cs="Arial"/>
          <w:b/>
          <w:bCs/>
        </w:rPr>
        <w:t xml:space="preserve">ng H, Brown JE, Johnson KA, Younger J, Hush J, Mackey S. Multivariate Classification of Structural MRI Data Detects Chronic Low Back Pain. </w:t>
      </w:r>
      <w:r w:rsidRPr="00D61F73">
        <w:rPr>
          <w:rFonts w:ascii="Arial" w:hAnsi="Arial" w:cs="Arial"/>
          <w:b/>
          <w:bCs/>
          <w:i/>
          <w:iCs/>
        </w:rPr>
        <w:t>Cereb Cortex</w:t>
      </w:r>
      <w:r w:rsidRPr="00D61F73">
        <w:rPr>
          <w:rFonts w:ascii="Arial" w:hAnsi="Arial" w:cs="Arial"/>
          <w:b/>
          <w:bCs/>
        </w:rPr>
        <w:t>. 2012 Dec 17.</w:t>
      </w:r>
    </w:p>
    <w:p w14:paraId="4034EEA9" w14:textId="77777777" w:rsidR="008D0565" w:rsidRPr="00D61F73" w:rsidRDefault="008D0565" w:rsidP="00D61F73">
      <w:pPr>
        <w:rPr>
          <w:rFonts w:ascii="Arial" w:hAnsi="Arial" w:cs="Arial"/>
        </w:rPr>
      </w:pPr>
    </w:p>
    <w:p w14:paraId="49B4A15C" w14:textId="77777777" w:rsidR="008D0565" w:rsidRPr="00D61F73" w:rsidRDefault="008D0565" w:rsidP="00D61F73">
      <w:pPr>
        <w:rPr>
          <w:rFonts w:ascii="Arial" w:hAnsi="Arial" w:cs="Arial"/>
        </w:rPr>
      </w:pPr>
      <w:r w:rsidRPr="00D61F73">
        <w:rPr>
          <w:rFonts w:ascii="Arial" w:hAnsi="Arial" w:cs="Arial"/>
        </w:rPr>
        <w:t>Our findings suggest that cLBP is characterized by a pattern of GM changes that can have discriminative power and reflect relevant pathological brain morphology.</w:t>
      </w:r>
    </w:p>
    <w:p w14:paraId="319F29B4" w14:textId="77777777" w:rsidR="008D0565" w:rsidRPr="00D61F73" w:rsidRDefault="008D0565" w:rsidP="00D61F73">
      <w:pPr>
        <w:rPr>
          <w:rFonts w:ascii="Arial" w:hAnsi="Arial" w:cs="Arial"/>
        </w:rPr>
      </w:pPr>
    </w:p>
    <w:p w14:paraId="420FABB8" w14:textId="77777777" w:rsidR="008D0565" w:rsidRPr="00D61F73" w:rsidRDefault="008D0565" w:rsidP="00D61F73">
      <w:pPr>
        <w:rPr>
          <w:rFonts w:ascii="Arial" w:hAnsi="Arial" w:cs="Arial"/>
        </w:rPr>
      </w:pPr>
      <w:r w:rsidRPr="00D61F73">
        <w:rPr>
          <w:rFonts w:ascii="Arial" w:hAnsi="Arial" w:cs="Arial"/>
        </w:rPr>
        <w:t xml:space="preserve">PMID: </w:t>
      </w:r>
      <w:hyperlink r:id="rId840" w:history="1">
        <w:r w:rsidRPr="00D61F73">
          <w:rPr>
            <w:rStyle w:val="Hyperlink"/>
            <w:rFonts w:ascii="Arial" w:hAnsi="Arial" w:cs="Arial"/>
          </w:rPr>
          <w:t>23246778</w:t>
        </w:r>
      </w:hyperlink>
      <w:r w:rsidRPr="00D61F73">
        <w:rPr>
          <w:rFonts w:ascii="Arial" w:hAnsi="Arial" w:cs="Arial"/>
        </w:rPr>
        <w:t xml:space="preserve"> </w:t>
      </w:r>
    </w:p>
    <w:p w14:paraId="6E3B76B3" w14:textId="77777777" w:rsidR="008D0565" w:rsidRPr="00D61F73" w:rsidRDefault="008D0565" w:rsidP="00D61F73">
      <w:pPr>
        <w:rPr>
          <w:rFonts w:ascii="Arial" w:hAnsi="Arial" w:cs="Arial"/>
        </w:rPr>
      </w:pPr>
    </w:p>
    <w:p w14:paraId="7A45AE74" w14:textId="77777777" w:rsidR="008D0565" w:rsidRPr="00D61F73" w:rsidRDefault="008D0565" w:rsidP="00D61F73">
      <w:pPr>
        <w:rPr>
          <w:rFonts w:ascii="Arial" w:hAnsi="Arial" w:cs="Arial"/>
        </w:rPr>
      </w:pPr>
      <w:r w:rsidRPr="00D61F73">
        <w:rPr>
          <w:rFonts w:ascii="Arial" w:hAnsi="Arial" w:cs="Arial"/>
        </w:rPr>
        <w:t>Rating: 3b</w:t>
      </w:r>
    </w:p>
    <w:p w14:paraId="5E429B0A" w14:textId="77777777" w:rsidR="008D0565" w:rsidRPr="00D61F73" w:rsidRDefault="008D0565" w:rsidP="00D61F73">
      <w:pPr>
        <w:rPr>
          <w:rFonts w:ascii="Arial" w:hAnsi="Arial" w:cs="Arial"/>
          <w:b/>
          <w:bCs/>
        </w:rPr>
      </w:pPr>
      <w:r w:rsidRPr="00D61F73">
        <w:rPr>
          <w:rFonts w:ascii="Arial" w:hAnsi="Arial" w:cs="Arial"/>
        </w:rPr>
        <w:br w:type="page"/>
      </w:r>
      <w:hyperlink r:id="rId841" w:history="1">
        <w:r w:rsidRPr="00D61F73">
          <w:rPr>
            <w:rStyle w:val="Hyperlink"/>
            <w:rFonts w:ascii="Arial" w:hAnsi="Arial" w:cs="Arial"/>
            <w:b/>
            <w:bCs/>
          </w:rPr>
          <w:t>U</w:t>
        </w:r>
        <w:bookmarkStart w:id="1205" w:name="United"/>
        <w:bookmarkEnd w:id="1205"/>
        <w:r w:rsidRPr="00D61F73">
          <w:rPr>
            <w:rStyle w:val="Hyperlink"/>
            <w:rFonts w:ascii="Arial" w:hAnsi="Arial" w:cs="Arial"/>
            <w:b/>
            <w:bCs/>
          </w:rPr>
          <w:t>nited Health Care</w:t>
        </w:r>
      </w:hyperlink>
      <w:r w:rsidRPr="00D61F73">
        <w:rPr>
          <w:rFonts w:ascii="Arial" w:hAnsi="Arial" w:cs="Arial"/>
          <w:b/>
          <w:bCs/>
        </w:rPr>
        <w:t>. Technology Assessment: Intrathecal Pump for Chronic Nonmalignant Pain. Number 2005T0060C, Approved By Medical Technology Assessment Committee 11/17/2005.</w:t>
      </w:r>
    </w:p>
    <w:p w14:paraId="3C42B50F" w14:textId="77777777" w:rsidR="008D0565" w:rsidRPr="00D61F73" w:rsidRDefault="008D0565" w:rsidP="00D61F73">
      <w:pPr>
        <w:rPr>
          <w:rFonts w:ascii="Arial" w:hAnsi="Arial" w:cs="Arial"/>
        </w:rPr>
      </w:pPr>
    </w:p>
    <w:p w14:paraId="6628E5E6" w14:textId="77777777" w:rsidR="008D0565" w:rsidRPr="00D61F73" w:rsidRDefault="008D0565" w:rsidP="00D61F73">
      <w:pPr>
        <w:rPr>
          <w:rFonts w:ascii="Arial" w:hAnsi="Arial" w:cs="Arial"/>
        </w:rPr>
      </w:pPr>
      <w:r w:rsidRPr="00D61F73">
        <w:rPr>
          <w:rFonts w:ascii="Arial" w:hAnsi="Arial" w:cs="Arial"/>
        </w:rPr>
        <w:t>An implantable infusion pump is covered when used to administer opioid drugs (e.g., morphine) intrathecally or epidurally for treatment of severe chronic intractable pain of malignant or nonmalignant origin in patients who have a life expectancy of at least 3 months, and who have proven unresponsive to less invasive medical.</w:t>
      </w:r>
    </w:p>
    <w:p w14:paraId="4A08A682" w14:textId="77777777" w:rsidR="008D0565" w:rsidRPr="00D61F73" w:rsidRDefault="008D0565" w:rsidP="00D61F73">
      <w:pPr>
        <w:rPr>
          <w:rFonts w:ascii="Arial" w:hAnsi="Arial" w:cs="Arial"/>
        </w:rPr>
      </w:pPr>
    </w:p>
    <w:p w14:paraId="48E8B007" w14:textId="77777777" w:rsidR="008D0565" w:rsidRPr="00D61F73" w:rsidRDefault="008D0565" w:rsidP="00D61F73">
      <w:pPr>
        <w:pStyle w:val="NormalWeb"/>
        <w:spacing w:before="0" w:beforeAutospacing="0" w:after="0" w:afterAutospacing="0"/>
        <w:rPr>
          <w:rFonts w:ascii="Arial" w:eastAsia="Times New Roman" w:hAnsi="Arial" w:cs="Arial"/>
        </w:rPr>
      </w:pPr>
      <w:r w:rsidRPr="00D61F73">
        <w:rPr>
          <w:rFonts w:ascii="Arial" w:eastAsia="Times New Roman" w:hAnsi="Arial" w:cs="Arial"/>
        </w:rPr>
        <w:t>Rating: 6b</w:t>
      </w:r>
    </w:p>
    <w:p w14:paraId="21B5DE7A"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rPr>
        <w:lastRenderedPageBreak/>
        <w:t xml:space="preserve"> </w:t>
      </w:r>
      <w:bookmarkStart w:id="1206" w:name="VanBuyten2"/>
      <w:bookmarkEnd w:id="1206"/>
      <w:r w:rsidRPr="00D61F73">
        <w:rPr>
          <w:rFonts w:ascii="Arial" w:hAnsi="Arial" w:cs="Arial"/>
          <w:b/>
        </w:rPr>
        <w:t>v</w:t>
      </w:r>
      <w:bookmarkStart w:id="1207" w:name="vanderPlas2013"/>
      <w:bookmarkEnd w:id="1207"/>
      <w:r w:rsidRPr="00D61F73">
        <w:rPr>
          <w:rFonts w:ascii="Arial" w:hAnsi="Arial" w:cs="Arial"/>
          <w:b/>
        </w:rPr>
        <w:t xml:space="preserve">an der Plas AA, van Rijn MA, Marinus J, Putter H, van Hilten JJ. Efficacy of intrathecal baclofen on different pain qualities in complex regional pain syndrome. </w:t>
      </w:r>
      <w:r w:rsidRPr="00D61F73">
        <w:rPr>
          <w:rFonts w:ascii="Arial" w:hAnsi="Arial" w:cs="Arial"/>
          <w:b/>
          <w:i/>
        </w:rPr>
        <w:t>Anesth Analg</w:t>
      </w:r>
      <w:r w:rsidRPr="00D61F73">
        <w:rPr>
          <w:rFonts w:ascii="Arial" w:hAnsi="Arial" w:cs="Arial"/>
          <w:b/>
        </w:rPr>
        <w:t>. 2013;116:211-5.</w:t>
      </w:r>
    </w:p>
    <w:p w14:paraId="5924B14E" w14:textId="77777777" w:rsidR="008D0565" w:rsidRPr="00D61F73" w:rsidRDefault="008D0565" w:rsidP="00D61F73">
      <w:pPr>
        <w:rPr>
          <w:rFonts w:ascii="Arial" w:hAnsi="Arial" w:cs="Arial"/>
        </w:rPr>
      </w:pPr>
    </w:p>
    <w:p w14:paraId="6FB2E602" w14:textId="77777777" w:rsidR="008D0565" w:rsidRPr="00D61F73" w:rsidRDefault="008D0565" w:rsidP="00D61F73">
      <w:pPr>
        <w:rPr>
          <w:rFonts w:ascii="Arial" w:hAnsi="Arial" w:cs="Arial"/>
        </w:rPr>
      </w:pPr>
      <w:r w:rsidRPr="00D61F73">
        <w:rPr>
          <w:rFonts w:ascii="Arial" w:hAnsi="Arial" w:cs="Arial"/>
        </w:rPr>
        <w:t xml:space="preserve">PMID: </w:t>
      </w:r>
      <w:hyperlink r:id="rId842" w:history="1">
        <w:r w:rsidRPr="00D61F73">
          <w:rPr>
            <w:rStyle w:val="Hyperlink"/>
            <w:rFonts w:ascii="Arial" w:hAnsi="Arial" w:cs="Arial"/>
          </w:rPr>
          <w:t>23223108</w:t>
        </w:r>
      </w:hyperlink>
    </w:p>
    <w:p w14:paraId="3D2ED16A" w14:textId="77777777" w:rsidR="008D0565" w:rsidRPr="00D61F73" w:rsidRDefault="008D0565" w:rsidP="00D61F73">
      <w:pPr>
        <w:rPr>
          <w:rFonts w:ascii="Arial" w:hAnsi="Arial" w:cs="Arial"/>
        </w:rPr>
      </w:pPr>
    </w:p>
    <w:p w14:paraId="48249E8F" w14:textId="77777777" w:rsidR="008D0565" w:rsidRPr="00D61F73" w:rsidRDefault="008D0565" w:rsidP="00D61F73">
      <w:pPr>
        <w:rPr>
          <w:rFonts w:ascii="Arial" w:hAnsi="Arial" w:cs="Arial"/>
        </w:rPr>
      </w:pPr>
      <w:r w:rsidRPr="00D61F73">
        <w:rPr>
          <w:rFonts w:ascii="Arial" w:hAnsi="Arial" w:cs="Arial"/>
        </w:rPr>
        <w:t>Rating: 5c</w:t>
      </w:r>
    </w:p>
    <w:p w14:paraId="3FE39FA1" w14:textId="77777777" w:rsidR="008D0565" w:rsidRPr="00D61F73" w:rsidRDefault="008D0565" w:rsidP="00D61F73">
      <w:pPr>
        <w:rPr>
          <w:rFonts w:ascii="Arial" w:hAnsi="Arial" w:cs="Arial"/>
          <w:color w:val="auto"/>
        </w:rPr>
      </w:pPr>
      <w:r w:rsidRPr="00D61F73">
        <w:rPr>
          <w:rFonts w:ascii="Arial" w:hAnsi="Arial" w:cs="Arial"/>
        </w:rPr>
        <w:br w:type="page"/>
      </w:r>
      <w:r w:rsidRPr="00D61F73">
        <w:rPr>
          <w:rFonts w:ascii="Arial" w:hAnsi="Arial" w:cs="Arial"/>
          <w:b/>
        </w:rPr>
        <w:lastRenderedPageBreak/>
        <w:t>v</w:t>
      </w:r>
      <w:bookmarkStart w:id="1208" w:name="vanEijs2011"/>
      <w:bookmarkEnd w:id="1208"/>
      <w:r w:rsidRPr="00D61F73">
        <w:rPr>
          <w:rFonts w:ascii="Arial" w:hAnsi="Arial" w:cs="Arial"/>
          <w:b/>
        </w:rPr>
        <w:t xml:space="preserve">an Eijs F, Stanton-Hicks M, Van Zundert J, Faber CG, Lubenow TR, Mekhail N, van Kleef M, Huygen F. Evidence-based interventional pain medicine according to clinical diagnoses. 16. Complex regional pain syndrome. </w:t>
      </w:r>
      <w:r w:rsidRPr="00D61F73">
        <w:rPr>
          <w:rFonts w:ascii="Arial" w:hAnsi="Arial" w:cs="Arial"/>
          <w:b/>
          <w:i/>
        </w:rPr>
        <w:t>Pain Pract</w:t>
      </w:r>
      <w:r w:rsidRPr="00D61F73">
        <w:rPr>
          <w:rFonts w:ascii="Arial" w:hAnsi="Arial" w:cs="Arial"/>
          <w:b/>
        </w:rPr>
        <w:t>. 2011;11:70-87.</w:t>
      </w:r>
    </w:p>
    <w:p w14:paraId="1A6FA880" w14:textId="77777777" w:rsidR="008D0565" w:rsidRPr="00D61F73" w:rsidRDefault="008D0565" w:rsidP="00D61F73">
      <w:pPr>
        <w:rPr>
          <w:rFonts w:ascii="Arial" w:hAnsi="Arial" w:cs="Arial"/>
        </w:rPr>
      </w:pPr>
    </w:p>
    <w:p w14:paraId="489FF524" w14:textId="77777777" w:rsidR="008D0565" w:rsidRPr="00D61F73" w:rsidRDefault="008D0565" w:rsidP="00D61F73">
      <w:pPr>
        <w:rPr>
          <w:rFonts w:ascii="Arial" w:hAnsi="Arial" w:cs="Arial"/>
        </w:rPr>
      </w:pPr>
      <w:r w:rsidRPr="00D61F73">
        <w:rPr>
          <w:rFonts w:ascii="Arial" w:hAnsi="Arial" w:cs="Arial"/>
        </w:rPr>
        <w:t xml:space="preserve">PMID: </w:t>
      </w:r>
      <w:hyperlink r:id="rId843" w:history="1">
        <w:r w:rsidRPr="00D61F73">
          <w:rPr>
            <w:rStyle w:val="Hyperlink"/>
            <w:rFonts w:ascii="Arial" w:hAnsi="Arial" w:cs="Arial"/>
          </w:rPr>
          <w:t>20807353</w:t>
        </w:r>
      </w:hyperlink>
    </w:p>
    <w:p w14:paraId="3B8C3A39" w14:textId="77777777" w:rsidR="008D0565" w:rsidRPr="00D61F73" w:rsidRDefault="008D0565" w:rsidP="00D61F73">
      <w:pPr>
        <w:rPr>
          <w:rFonts w:ascii="Arial" w:hAnsi="Arial" w:cs="Arial"/>
        </w:rPr>
      </w:pPr>
    </w:p>
    <w:p w14:paraId="0DA275E0" w14:textId="77777777" w:rsidR="008D0565" w:rsidRPr="00D61F73" w:rsidRDefault="008D0565" w:rsidP="00D61F73">
      <w:pPr>
        <w:rPr>
          <w:rFonts w:ascii="Arial" w:hAnsi="Arial" w:cs="Arial"/>
        </w:rPr>
      </w:pPr>
      <w:r w:rsidRPr="00D61F73">
        <w:rPr>
          <w:rFonts w:ascii="Arial" w:hAnsi="Arial" w:cs="Arial"/>
        </w:rPr>
        <w:t>Rating: 5b</w:t>
      </w:r>
    </w:p>
    <w:p w14:paraId="2C90CBB2" w14:textId="77777777" w:rsidR="008D0565" w:rsidRPr="00D61F73" w:rsidRDefault="008D0565" w:rsidP="00D61F73">
      <w:pPr>
        <w:rPr>
          <w:rFonts w:ascii="Arial" w:hAnsi="Arial" w:cs="Arial"/>
          <w:b/>
          <w:color w:val="auto"/>
          <w:lang w:val="en"/>
        </w:rPr>
      </w:pPr>
      <w:r w:rsidRPr="00D61F73">
        <w:rPr>
          <w:rFonts w:ascii="Arial" w:hAnsi="Arial" w:cs="Arial"/>
        </w:rPr>
        <w:br w:type="page"/>
      </w:r>
      <w:r w:rsidRPr="00D61F73">
        <w:rPr>
          <w:rFonts w:ascii="Arial" w:hAnsi="Arial" w:cs="Arial"/>
          <w:b/>
          <w:lang w:val="en"/>
        </w:rPr>
        <w:lastRenderedPageBreak/>
        <w:t>v</w:t>
      </w:r>
      <w:bookmarkStart w:id="1209" w:name="vanEijs2012"/>
      <w:bookmarkEnd w:id="1209"/>
      <w:r w:rsidRPr="00D61F73">
        <w:rPr>
          <w:rFonts w:ascii="Arial" w:hAnsi="Arial" w:cs="Arial"/>
          <w:b/>
          <w:lang w:val="en"/>
        </w:rPr>
        <w:t xml:space="preserve">an Eijs F, Geurts J, van Kleef M, Faber CG, Perez RS, Kessels AG, Van Zundert J. Predictors of pain relieving response to sympathetic blockade in complex regional pain syndrome type 1. </w:t>
      </w:r>
      <w:r w:rsidRPr="00D61F73">
        <w:rPr>
          <w:rFonts w:ascii="Arial" w:hAnsi="Arial" w:cs="Arial"/>
          <w:b/>
          <w:i/>
          <w:lang w:val="en"/>
        </w:rPr>
        <w:t>Anesthesiology</w:t>
      </w:r>
      <w:r w:rsidRPr="00D61F73">
        <w:rPr>
          <w:rFonts w:ascii="Arial" w:hAnsi="Arial" w:cs="Arial"/>
          <w:b/>
          <w:lang w:val="en"/>
        </w:rPr>
        <w:t>. 2012;116:113-21.</w:t>
      </w:r>
    </w:p>
    <w:p w14:paraId="49E343C8" w14:textId="77777777" w:rsidR="008D0565" w:rsidRPr="00D61F73" w:rsidRDefault="008D0565" w:rsidP="00D61F73">
      <w:pPr>
        <w:rPr>
          <w:rFonts w:ascii="Arial" w:hAnsi="Arial" w:cs="Arial"/>
        </w:rPr>
      </w:pPr>
    </w:p>
    <w:p w14:paraId="2EAC1A83" w14:textId="77777777" w:rsidR="008D0565" w:rsidRPr="00D61F73" w:rsidRDefault="008D0565" w:rsidP="00D61F73">
      <w:pPr>
        <w:rPr>
          <w:rFonts w:ascii="Arial" w:hAnsi="Arial" w:cs="Arial"/>
        </w:rPr>
      </w:pPr>
      <w:r w:rsidRPr="00D61F73">
        <w:rPr>
          <w:rFonts w:ascii="Arial" w:hAnsi="Arial" w:cs="Arial"/>
        </w:rPr>
        <w:t xml:space="preserve">PMID: </w:t>
      </w:r>
      <w:hyperlink r:id="rId844" w:history="1">
        <w:r w:rsidRPr="00D61F73">
          <w:rPr>
            <w:rStyle w:val="Hyperlink"/>
            <w:rFonts w:ascii="Arial" w:hAnsi="Arial" w:cs="Arial"/>
          </w:rPr>
          <w:t>22143169</w:t>
        </w:r>
      </w:hyperlink>
    </w:p>
    <w:p w14:paraId="1B81D8AD" w14:textId="77777777" w:rsidR="008D0565" w:rsidRPr="00D61F73" w:rsidRDefault="008D0565" w:rsidP="00D61F73">
      <w:pPr>
        <w:rPr>
          <w:rFonts w:ascii="Arial" w:hAnsi="Arial" w:cs="Arial"/>
        </w:rPr>
      </w:pPr>
    </w:p>
    <w:p w14:paraId="5F622A74" w14:textId="77777777" w:rsidR="008D0565" w:rsidRPr="00D61F73" w:rsidRDefault="008D0565" w:rsidP="00D61F73">
      <w:pPr>
        <w:rPr>
          <w:rFonts w:ascii="Arial" w:hAnsi="Arial" w:cs="Arial"/>
        </w:rPr>
      </w:pPr>
      <w:r w:rsidRPr="00D61F73">
        <w:rPr>
          <w:rFonts w:ascii="Arial" w:hAnsi="Arial" w:cs="Arial"/>
        </w:rPr>
        <w:t>Rating: 4b</w:t>
      </w:r>
    </w:p>
    <w:p w14:paraId="54039A87" w14:textId="77777777" w:rsidR="008D0565" w:rsidRPr="00D61F73" w:rsidRDefault="008D0565" w:rsidP="00D61F73">
      <w:pPr>
        <w:tabs>
          <w:tab w:val="left" w:pos="1884"/>
        </w:tabs>
        <w:rPr>
          <w:rFonts w:ascii="Arial" w:hAnsi="Arial" w:cs="Arial"/>
          <w:b/>
        </w:rPr>
      </w:pPr>
      <w:r w:rsidRPr="00D61F73">
        <w:rPr>
          <w:rFonts w:ascii="Arial" w:hAnsi="Arial" w:cs="Arial"/>
        </w:rPr>
        <w:br w:type="page"/>
      </w:r>
      <w:r w:rsidRPr="00D61F73">
        <w:rPr>
          <w:rFonts w:ascii="Arial" w:hAnsi="Arial" w:cs="Arial"/>
          <w:b/>
        </w:rPr>
        <w:lastRenderedPageBreak/>
        <w:t>v</w:t>
      </w:r>
      <w:bookmarkStart w:id="1210" w:name="van"/>
      <w:bookmarkEnd w:id="1210"/>
      <w:r w:rsidRPr="00D61F73">
        <w:rPr>
          <w:rFonts w:ascii="Arial" w:hAnsi="Arial" w:cs="Arial"/>
          <w:b/>
        </w:rPr>
        <w:t xml:space="preserve">an Geen JW, Edelaar MJ, Janssen M, van Eijk JT. The long-term effect of multidisciplinary back training: a systematic review. </w:t>
      </w:r>
      <w:r w:rsidRPr="00D61F73">
        <w:rPr>
          <w:rFonts w:ascii="Arial" w:hAnsi="Arial" w:cs="Arial"/>
          <w:b/>
          <w:i/>
        </w:rPr>
        <w:t>Spine</w:t>
      </w:r>
      <w:r w:rsidRPr="00D61F73">
        <w:rPr>
          <w:rFonts w:ascii="Arial" w:hAnsi="Arial" w:cs="Arial"/>
          <w:b/>
        </w:rPr>
        <w:t>. 2007;32:249-55</w:t>
      </w:r>
    </w:p>
    <w:p w14:paraId="294C0696" w14:textId="77777777" w:rsidR="008D0565" w:rsidRPr="00D61F73" w:rsidRDefault="008D0565" w:rsidP="00D61F73">
      <w:pPr>
        <w:rPr>
          <w:rFonts w:ascii="Arial" w:hAnsi="Arial" w:cs="Arial"/>
          <w:b/>
        </w:rPr>
      </w:pPr>
    </w:p>
    <w:p w14:paraId="64A55E4A" w14:textId="77777777" w:rsidR="008D0565" w:rsidRPr="00D61F73" w:rsidRDefault="008D0565" w:rsidP="00D61F73">
      <w:pPr>
        <w:rPr>
          <w:rFonts w:ascii="Arial" w:hAnsi="Arial" w:cs="Arial"/>
        </w:rPr>
      </w:pPr>
      <w:r w:rsidRPr="00D61F73">
        <w:rPr>
          <w:rFonts w:ascii="Arial" w:hAnsi="Arial" w:cs="Arial"/>
        </w:rPr>
        <w:t>In the long-term, multidisciplinary back training has a positive effect on work participation in patients with nonspecific chronic low back pain.</w:t>
      </w:r>
    </w:p>
    <w:p w14:paraId="371F26C2" w14:textId="77777777" w:rsidR="008D0565" w:rsidRPr="00D61F73" w:rsidRDefault="008D0565" w:rsidP="00D61F73">
      <w:pPr>
        <w:rPr>
          <w:rFonts w:ascii="Arial" w:hAnsi="Arial" w:cs="Arial"/>
        </w:rPr>
      </w:pPr>
    </w:p>
    <w:p w14:paraId="411EAD34" w14:textId="77777777" w:rsidR="008D0565" w:rsidRPr="00D61F73" w:rsidRDefault="008D0565" w:rsidP="00D61F73">
      <w:pPr>
        <w:rPr>
          <w:rFonts w:ascii="Arial" w:hAnsi="Arial" w:cs="Arial"/>
        </w:rPr>
      </w:pPr>
      <w:r w:rsidRPr="00D61F73">
        <w:rPr>
          <w:rFonts w:ascii="Arial" w:hAnsi="Arial" w:cs="Arial"/>
        </w:rPr>
        <w:t xml:space="preserve">PMID: </w:t>
      </w:r>
      <w:hyperlink r:id="rId845" w:history="1">
        <w:r w:rsidRPr="00D61F73">
          <w:rPr>
            <w:rStyle w:val="Hyperlink"/>
            <w:rFonts w:ascii="Arial" w:hAnsi="Arial" w:cs="Arial"/>
          </w:rPr>
          <w:t>17224822</w:t>
        </w:r>
      </w:hyperlink>
    </w:p>
    <w:p w14:paraId="50E77DBB" w14:textId="77777777" w:rsidR="008D0565" w:rsidRPr="00D61F73" w:rsidRDefault="008D0565" w:rsidP="00D61F73">
      <w:pPr>
        <w:rPr>
          <w:rFonts w:ascii="Arial" w:hAnsi="Arial" w:cs="Arial"/>
        </w:rPr>
      </w:pPr>
    </w:p>
    <w:p w14:paraId="5BCF409B" w14:textId="77777777" w:rsidR="008D0565" w:rsidRPr="00D61F73" w:rsidRDefault="008D0565" w:rsidP="00D61F73">
      <w:pPr>
        <w:rPr>
          <w:rFonts w:ascii="Arial" w:hAnsi="Arial" w:cs="Arial"/>
        </w:rPr>
      </w:pPr>
      <w:r w:rsidRPr="00D61F73">
        <w:rPr>
          <w:rFonts w:ascii="Arial" w:hAnsi="Arial" w:cs="Arial"/>
        </w:rPr>
        <w:t>Rating: 1b</w:t>
      </w:r>
    </w:p>
    <w:p w14:paraId="38EE53B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rPr>
        <w:lastRenderedPageBreak/>
        <w:t>v</w:t>
      </w:r>
      <w:bookmarkStart w:id="1211" w:name="vanRijn2009"/>
      <w:bookmarkEnd w:id="1211"/>
      <w:r w:rsidRPr="00D61F73">
        <w:rPr>
          <w:rFonts w:ascii="Arial" w:hAnsi="Arial" w:cs="Arial"/>
          <w:b/>
        </w:rPr>
        <w:t>an Rijn MA, Munts AG, Marinus J, Voormolen JH, de Boer KS, Teepe-Twiss IM, van Dasselaar NT, Delhaas EM, van Hilten JJ. Intrathecal baclofen for dystonia of complex regional pain syndrome</w:t>
      </w:r>
      <w:r w:rsidRPr="00D61F73">
        <w:rPr>
          <w:rFonts w:ascii="Arial" w:hAnsi="Arial" w:cs="Arial"/>
          <w:b/>
          <w:i/>
        </w:rPr>
        <w:t>. Pain</w:t>
      </w:r>
      <w:r w:rsidRPr="00D61F73">
        <w:rPr>
          <w:rFonts w:ascii="Arial" w:hAnsi="Arial" w:cs="Arial"/>
          <w:b/>
        </w:rPr>
        <w:t>. 2009;143:41-7.</w:t>
      </w:r>
    </w:p>
    <w:p w14:paraId="2A0DC841" w14:textId="77777777" w:rsidR="008D0565" w:rsidRPr="00D61F73" w:rsidRDefault="008D0565" w:rsidP="00D61F73">
      <w:pPr>
        <w:rPr>
          <w:rFonts w:ascii="Arial" w:hAnsi="Arial" w:cs="Arial"/>
        </w:rPr>
      </w:pPr>
    </w:p>
    <w:p w14:paraId="6DC8315D" w14:textId="77777777" w:rsidR="008D0565" w:rsidRPr="00D61F73" w:rsidRDefault="008D0565" w:rsidP="00D61F73">
      <w:pPr>
        <w:rPr>
          <w:rFonts w:ascii="Arial" w:hAnsi="Arial" w:cs="Arial"/>
        </w:rPr>
      </w:pPr>
      <w:r w:rsidRPr="00D61F73">
        <w:rPr>
          <w:rFonts w:ascii="Arial" w:hAnsi="Arial" w:cs="Arial"/>
        </w:rPr>
        <w:t xml:space="preserve">PMID: </w:t>
      </w:r>
      <w:hyperlink r:id="rId846" w:history="1">
        <w:r w:rsidRPr="00D61F73">
          <w:rPr>
            <w:rStyle w:val="Hyperlink"/>
            <w:rFonts w:ascii="Arial" w:hAnsi="Arial" w:cs="Arial"/>
          </w:rPr>
          <w:t>19232828</w:t>
        </w:r>
      </w:hyperlink>
    </w:p>
    <w:p w14:paraId="341AAF20" w14:textId="77777777" w:rsidR="008D0565" w:rsidRPr="00D61F73" w:rsidRDefault="008D0565" w:rsidP="00D61F73">
      <w:pPr>
        <w:rPr>
          <w:rFonts w:ascii="Arial" w:hAnsi="Arial" w:cs="Arial"/>
        </w:rPr>
      </w:pPr>
    </w:p>
    <w:p w14:paraId="7EBD3FA7" w14:textId="77777777" w:rsidR="008D0565" w:rsidRPr="00D61F73" w:rsidRDefault="008D0565" w:rsidP="00D61F73">
      <w:pPr>
        <w:rPr>
          <w:rFonts w:ascii="Arial" w:hAnsi="Arial" w:cs="Arial"/>
        </w:rPr>
      </w:pPr>
      <w:r w:rsidRPr="00D61F73">
        <w:rPr>
          <w:rFonts w:ascii="Arial" w:hAnsi="Arial" w:cs="Arial"/>
        </w:rPr>
        <w:t>Rating: 4c</w:t>
      </w:r>
    </w:p>
    <w:p w14:paraId="3D3FF27D" w14:textId="77777777" w:rsidR="008D0565" w:rsidRPr="00D61F73" w:rsidRDefault="008D0565" w:rsidP="00D61F73">
      <w:pPr>
        <w:rPr>
          <w:rFonts w:ascii="Arial" w:hAnsi="Arial" w:cs="Arial"/>
          <w:b/>
          <w:bCs/>
        </w:rPr>
      </w:pPr>
      <w:r w:rsidRPr="00D61F73">
        <w:rPr>
          <w:rFonts w:ascii="Arial" w:hAnsi="Arial" w:cs="Arial"/>
        </w:rPr>
        <w:br w:type="page"/>
      </w:r>
      <w:hyperlink r:id="rId847" w:history="1">
        <w:r w:rsidRPr="00D61F73">
          <w:rPr>
            <w:rStyle w:val="Hyperlink"/>
            <w:rFonts w:ascii="Arial" w:hAnsi="Arial" w:cs="Arial"/>
            <w:b/>
            <w:bCs/>
          </w:rPr>
          <w:t xml:space="preserve">van </w:t>
        </w:r>
        <w:bookmarkStart w:id="1212" w:name="Tulder"/>
        <w:r w:rsidRPr="00D61F73">
          <w:rPr>
            <w:rStyle w:val="Hyperlink"/>
            <w:rFonts w:ascii="Arial" w:hAnsi="Arial" w:cs="Arial"/>
            <w:b/>
            <w:bCs/>
          </w:rPr>
          <w:t xml:space="preserve">Tulder </w:t>
        </w:r>
        <w:bookmarkEnd w:id="1212"/>
        <w:r w:rsidRPr="00D61F73">
          <w:rPr>
            <w:rStyle w:val="Hyperlink"/>
            <w:rFonts w:ascii="Arial" w:hAnsi="Arial" w:cs="Arial"/>
            <w:b/>
            <w:bCs/>
          </w:rPr>
          <w:t xml:space="preserve">M, </w:t>
        </w:r>
        <w:bookmarkStart w:id="1213" w:name="Koes"/>
        <w:r w:rsidRPr="00D61F73">
          <w:rPr>
            <w:rStyle w:val="Hyperlink"/>
            <w:rFonts w:ascii="Arial" w:hAnsi="Arial" w:cs="Arial"/>
            <w:b/>
            <w:bCs/>
          </w:rPr>
          <w:t xml:space="preserve">Koes </w:t>
        </w:r>
        <w:bookmarkEnd w:id="1213"/>
        <w:r w:rsidRPr="00D61F73">
          <w:rPr>
            <w:rStyle w:val="Hyperlink"/>
            <w:rFonts w:ascii="Arial" w:hAnsi="Arial" w:cs="Arial"/>
            <w:b/>
            <w:bCs/>
          </w:rPr>
          <w:t>B, Bouter L</w:t>
        </w:r>
      </w:hyperlink>
      <w:r w:rsidRPr="00D61F73">
        <w:rPr>
          <w:rFonts w:ascii="Arial" w:hAnsi="Arial" w:cs="Arial"/>
          <w:b/>
          <w:bCs/>
        </w:rPr>
        <w:t xml:space="preserve">. Conservative Treatment of Acute and Chronic Nonspecific Low Back Pain: A Systematic Review of Randomized Controlled Trials of the Most Common Interventions. </w:t>
      </w:r>
      <w:r w:rsidRPr="00D61F73">
        <w:rPr>
          <w:rFonts w:ascii="Arial" w:hAnsi="Arial" w:cs="Arial"/>
          <w:b/>
          <w:bCs/>
          <w:i/>
          <w:iCs/>
        </w:rPr>
        <w:t>Spine</w:t>
      </w:r>
      <w:r w:rsidRPr="00D61F73">
        <w:rPr>
          <w:rFonts w:ascii="Arial" w:hAnsi="Arial" w:cs="Arial"/>
          <w:b/>
          <w:bCs/>
        </w:rPr>
        <w:t xml:space="preserve"> 1997; 22(18):2128-2156. (Includes Letter to the Editor and Response in </w:t>
      </w:r>
      <w:r w:rsidRPr="00D61F73">
        <w:rPr>
          <w:rFonts w:ascii="Arial" w:hAnsi="Arial" w:cs="Arial"/>
          <w:b/>
          <w:bCs/>
          <w:i/>
          <w:iCs/>
        </w:rPr>
        <w:t>Spine</w:t>
      </w:r>
      <w:r w:rsidRPr="00D61F73">
        <w:rPr>
          <w:rFonts w:ascii="Arial" w:hAnsi="Arial" w:cs="Arial"/>
          <w:b/>
          <w:bCs/>
        </w:rPr>
        <w:t xml:space="preserve"> 1998; 23(11): 1288-1291, and Table A: Content of 12 Multidisciplinary Interventions for the Treatment of Chronic Low Back Pain tested in 10 Randomised Controlled Trials.</w:t>
      </w:r>
    </w:p>
    <w:p w14:paraId="594672F6" w14:textId="77777777" w:rsidR="008D0565" w:rsidRPr="00D61F73" w:rsidRDefault="008D0565" w:rsidP="00D61F73">
      <w:pPr>
        <w:rPr>
          <w:rFonts w:ascii="Arial" w:hAnsi="Arial" w:cs="Arial"/>
          <w:b/>
          <w:bCs/>
        </w:rPr>
      </w:pPr>
    </w:p>
    <w:p w14:paraId="7EB52121" w14:textId="77777777" w:rsidR="008D0565" w:rsidRPr="00D61F73" w:rsidRDefault="008D0565" w:rsidP="00D61F73">
      <w:pPr>
        <w:rPr>
          <w:rFonts w:ascii="Arial" w:hAnsi="Arial" w:cs="Arial"/>
        </w:rPr>
      </w:pPr>
      <w:r w:rsidRPr="00D61F73">
        <w:rPr>
          <w:rFonts w:ascii="Arial" w:hAnsi="Arial" w:cs="Arial"/>
        </w:rPr>
        <w:t>The quality of the design, execution, and reporting of randomized controlled trials should be improved, to establish strong evidence for the effectiveness of the various therapeutic interventions for acute and chronic low back pain.</w:t>
      </w:r>
    </w:p>
    <w:p w14:paraId="05C4E00F" w14:textId="77777777" w:rsidR="008D0565" w:rsidRPr="00D61F73" w:rsidRDefault="008D0565" w:rsidP="00D61F73">
      <w:pPr>
        <w:pStyle w:val="BodyText"/>
        <w:rPr>
          <w:rFonts w:ascii="Arial" w:hAnsi="Arial" w:cs="Arial"/>
          <w:b w:val="0"/>
          <w:bCs w:val="0"/>
        </w:rPr>
      </w:pPr>
    </w:p>
    <w:p w14:paraId="6CD456AB"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Publication Type: Meta-Analysis</w:t>
      </w:r>
    </w:p>
    <w:p w14:paraId="290DD94E" w14:textId="77777777" w:rsidR="008D0565" w:rsidRPr="00D61F73" w:rsidRDefault="008D0565" w:rsidP="00D61F73">
      <w:pPr>
        <w:pStyle w:val="BodyText"/>
        <w:rPr>
          <w:rFonts w:ascii="Arial" w:hAnsi="Arial" w:cs="Arial"/>
          <w:b w:val="0"/>
          <w:bCs w:val="0"/>
        </w:rPr>
      </w:pPr>
    </w:p>
    <w:p w14:paraId="1356507E"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PMID: </w:t>
      </w:r>
      <w:hyperlink r:id="rId848" w:history="1">
        <w:r w:rsidRPr="00D61F73">
          <w:rPr>
            <w:rStyle w:val="Hyperlink"/>
            <w:rFonts w:ascii="Arial" w:hAnsi="Arial" w:cs="Arial"/>
            <w:b w:val="0"/>
            <w:bCs w:val="0"/>
          </w:rPr>
          <w:t>9322325</w:t>
        </w:r>
      </w:hyperlink>
      <w:r w:rsidRPr="00D61F73">
        <w:rPr>
          <w:rFonts w:ascii="Arial" w:hAnsi="Arial" w:cs="Arial"/>
          <w:b w:val="0"/>
          <w:bCs w:val="0"/>
        </w:rPr>
        <w:t xml:space="preserve"> </w:t>
      </w:r>
    </w:p>
    <w:p w14:paraId="715AAC5D" w14:textId="77777777" w:rsidR="008D0565" w:rsidRPr="00D61F73" w:rsidRDefault="008D0565" w:rsidP="00D61F73">
      <w:pPr>
        <w:rPr>
          <w:rFonts w:ascii="Arial" w:hAnsi="Arial" w:cs="Arial"/>
        </w:rPr>
      </w:pPr>
      <w:r w:rsidRPr="00D61F73">
        <w:rPr>
          <w:rFonts w:ascii="Arial" w:hAnsi="Arial" w:cs="Arial"/>
          <w:b/>
          <w:bCs/>
        </w:rPr>
        <w:br w:type="page"/>
      </w:r>
      <w:bookmarkStart w:id="1214" w:name="vanTulder"/>
      <w:r w:rsidRPr="00D61F73">
        <w:rPr>
          <w:rFonts w:ascii="Arial" w:hAnsi="Arial" w:cs="Arial"/>
          <w:b/>
          <w:bCs/>
        </w:rPr>
        <w:lastRenderedPageBreak/>
        <w:t xml:space="preserve">van Tulder </w:t>
      </w:r>
      <w:bookmarkEnd w:id="1214"/>
      <w:r w:rsidRPr="00D61F73">
        <w:rPr>
          <w:rFonts w:ascii="Arial" w:hAnsi="Arial" w:cs="Arial"/>
          <w:b/>
          <w:bCs/>
        </w:rPr>
        <w:t xml:space="preserve">MW, Scholten RJ, Koes BW, Deyo RA, Nonsteroidal anti-inflammatory drugs for low back pain: a systematic review within the framework of the Cochrane Collaboration Back Review Group, </w:t>
      </w:r>
      <w:r w:rsidRPr="00D61F73">
        <w:rPr>
          <w:rFonts w:ascii="Arial" w:hAnsi="Arial" w:cs="Arial"/>
          <w:b/>
          <w:bCs/>
          <w:i/>
          <w:iCs/>
        </w:rPr>
        <w:t>Spine</w:t>
      </w:r>
      <w:r w:rsidRPr="00D61F73">
        <w:rPr>
          <w:rFonts w:ascii="Arial" w:hAnsi="Arial" w:cs="Arial"/>
          <w:b/>
          <w:bCs/>
        </w:rPr>
        <w:t>. 2000 Oct 1;25(19):2501-13.</w:t>
      </w:r>
    </w:p>
    <w:p w14:paraId="3E936DA3" w14:textId="77777777" w:rsidR="008D0565" w:rsidRPr="00D61F73" w:rsidRDefault="008D0565" w:rsidP="00D61F73">
      <w:pPr>
        <w:rPr>
          <w:rFonts w:ascii="Arial" w:hAnsi="Arial" w:cs="Arial"/>
        </w:rPr>
      </w:pPr>
    </w:p>
    <w:p w14:paraId="38E1D7D0" w14:textId="77777777" w:rsidR="008D0565" w:rsidRPr="00D61F73" w:rsidRDefault="008D0565" w:rsidP="00D61F73">
      <w:pPr>
        <w:rPr>
          <w:rFonts w:ascii="Arial" w:hAnsi="Arial" w:cs="Arial"/>
        </w:rPr>
      </w:pPr>
      <w:r w:rsidRPr="00D61F73">
        <w:rPr>
          <w:rFonts w:ascii="Arial" w:hAnsi="Arial" w:cs="Arial"/>
        </w:rPr>
        <w:t xml:space="preserve">The evidence from the 51 trials included in this review suggests that nonsteroidal anti-inflammatory drugs are effective for short-term symptomatic relief in patients with acute low back pain. Furthermore, there does not seem to be a specific type of nonsteroidal anti-inflammatory drug that is clearly more effective than others. </w:t>
      </w:r>
    </w:p>
    <w:p w14:paraId="4B2118FC" w14:textId="77777777" w:rsidR="008D0565" w:rsidRPr="00D61F73" w:rsidRDefault="008D0565" w:rsidP="00D61F73">
      <w:pPr>
        <w:rPr>
          <w:rFonts w:ascii="Arial" w:hAnsi="Arial" w:cs="Arial"/>
        </w:rPr>
      </w:pPr>
    </w:p>
    <w:p w14:paraId="4FC84DE4" w14:textId="77777777" w:rsidR="008D0565" w:rsidRPr="00D61F73" w:rsidRDefault="008D0565" w:rsidP="00D61F73">
      <w:pPr>
        <w:rPr>
          <w:rFonts w:ascii="Arial" w:hAnsi="Arial" w:cs="Arial"/>
        </w:rPr>
      </w:pPr>
      <w:r w:rsidRPr="00D61F73">
        <w:rPr>
          <w:rFonts w:ascii="Arial" w:hAnsi="Arial" w:cs="Arial"/>
        </w:rPr>
        <w:t xml:space="preserve">PMID: </w:t>
      </w:r>
      <w:hyperlink r:id="rId849" w:history="1">
        <w:r w:rsidRPr="00D61F73">
          <w:rPr>
            <w:rStyle w:val="Hyperlink"/>
            <w:rFonts w:ascii="Arial" w:hAnsi="Arial" w:cs="Arial"/>
          </w:rPr>
          <w:t>11013503</w:t>
        </w:r>
      </w:hyperlink>
      <w:r w:rsidRPr="00D61F73">
        <w:rPr>
          <w:rFonts w:ascii="Arial" w:hAnsi="Arial" w:cs="Arial"/>
        </w:rPr>
        <w:t xml:space="preserve"> </w:t>
      </w:r>
    </w:p>
    <w:p w14:paraId="52611592" w14:textId="77777777" w:rsidR="008D0565" w:rsidRPr="00D61F73" w:rsidRDefault="008D0565" w:rsidP="00D61F73">
      <w:pPr>
        <w:rPr>
          <w:rFonts w:ascii="Arial" w:hAnsi="Arial" w:cs="Arial"/>
        </w:rPr>
      </w:pPr>
    </w:p>
    <w:p w14:paraId="71855189"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1a</w:t>
      </w:r>
    </w:p>
    <w:p w14:paraId="2295EA42" w14:textId="77777777" w:rsidR="008D0565" w:rsidRPr="00D61F73" w:rsidRDefault="008D0565" w:rsidP="00D61F73">
      <w:pPr>
        <w:pStyle w:val="BodyText"/>
        <w:rPr>
          <w:rFonts w:ascii="Arial" w:hAnsi="Arial" w:cs="Arial"/>
        </w:rPr>
      </w:pPr>
      <w:r w:rsidRPr="00D61F73">
        <w:rPr>
          <w:rFonts w:ascii="Arial" w:hAnsi="Arial" w:cs="Arial"/>
          <w:b w:val="0"/>
          <w:bCs w:val="0"/>
        </w:rPr>
        <w:br w:type="page"/>
      </w:r>
      <w:r w:rsidRPr="00D61F73">
        <w:rPr>
          <w:rFonts w:ascii="Arial" w:hAnsi="Arial" w:cs="Arial"/>
        </w:rPr>
        <w:lastRenderedPageBreak/>
        <w:t>v</w:t>
      </w:r>
      <w:bookmarkStart w:id="1215" w:name="vanTulder2"/>
      <w:bookmarkEnd w:id="1215"/>
      <w:r w:rsidRPr="00D61F73">
        <w:rPr>
          <w:rFonts w:ascii="Arial" w:hAnsi="Arial" w:cs="Arial"/>
        </w:rPr>
        <w:t xml:space="preserve">an Tulder MW, Koes B, Malmivaara A. Outcome of non-invasive treatment modalities on back pain: an evidence-based review. </w:t>
      </w:r>
      <w:r w:rsidRPr="00D61F73">
        <w:rPr>
          <w:rFonts w:ascii="Arial" w:hAnsi="Arial" w:cs="Arial"/>
          <w:i/>
          <w:iCs/>
        </w:rPr>
        <w:t>Eur Spine J.</w:t>
      </w:r>
      <w:r w:rsidRPr="00D61F73">
        <w:rPr>
          <w:rFonts w:ascii="Arial" w:hAnsi="Arial" w:cs="Arial"/>
        </w:rPr>
        <w:t xml:space="preserve"> 2006 Jan;15 Suppl 1:S64-81.</w:t>
      </w:r>
    </w:p>
    <w:p w14:paraId="6C48B89F" w14:textId="77777777" w:rsidR="008D0565" w:rsidRPr="00D61F73" w:rsidRDefault="008D0565" w:rsidP="00D61F73">
      <w:pPr>
        <w:pStyle w:val="BodyText"/>
        <w:rPr>
          <w:rFonts w:ascii="Arial" w:hAnsi="Arial" w:cs="Arial"/>
          <w:b w:val="0"/>
          <w:bCs w:val="0"/>
        </w:rPr>
      </w:pPr>
    </w:p>
    <w:p w14:paraId="3CDF9303"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Several treatments are also effective for short-term improvement of function in chronic LBP, namely COX2 inhibitors, back schools, progressive relaxation, exercise therapy, and multidisciplinary treatment. </w:t>
      </w:r>
    </w:p>
    <w:p w14:paraId="6817BF9E" w14:textId="77777777" w:rsidR="008D0565" w:rsidRPr="00D61F73" w:rsidRDefault="008D0565" w:rsidP="00D61F73">
      <w:pPr>
        <w:pStyle w:val="BodyText"/>
        <w:rPr>
          <w:rFonts w:ascii="Arial" w:hAnsi="Arial" w:cs="Arial"/>
          <w:b w:val="0"/>
          <w:bCs w:val="0"/>
        </w:rPr>
      </w:pPr>
    </w:p>
    <w:p w14:paraId="721EEEF5"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PMID: </w:t>
      </w:r>
      <w:hyperlink r:id="rId850" w:history="1">
        <w:r w:rsidRPr="00D61F73">
          <w:rPr>
            <w:rStyle w:val="Hyperlink"/>
            <w:rFonts w:ascii="Arial" w:hAnsi="Arial" w:cs="Arial"/>
            <w:b w:val="0"/>
            <w:bCs w:val="0"/>
          </w:rPr>
          <w:t>16320031</w:t>
        </w:r>
      </w:hyperlink>
      <w:r w:rsidRPr="00D61F73">
        <w:rPr>
          <w:rFonts w:ascii="Arial" w:hAnsi="Arial" w:cs="Arial"/>
          <w:b w:val="0"/>
          <w:bCs w:val="0"/>
        </w:rPr>
        <w:t xml:space="preserve"> </w:t>
      </w:r>
    </w:p>
    <w:p w14:paraId="27C20FB0" w14:textId="77777777" w:rsidR="008D0565" w:rsidRPr="00D61F73" w:rsidRDefault="008D0565" w:rsidP="00D61F73">
      <w:pPr>
        <w:pStyle w:val="BodyText"/>
        <w:rPr>
          <w:rFonts w:ascii="Arial" w:hAnsi="Arial" w:cs="Arial"/>
        </w:rPr>
      </w:pPr>
    </w:p>
    <w:p w14:paraId="5AE08EF4"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1b</w:t>
      </w:r>
    </w:p>
    <w:p w14:paraId="73D9136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V</w:t>
      </w:r>
      <w:bookmarkStart w:id="1216" w:name="VarasLorenzo2011"/>
      <w:bookmarkEnd w:id="1216"/>
      <w:r w:rsidRPr="00D61F73">
        <w:rPr>
          <w:rFonts w:ascii="Arial" w:hAnsi="Arial" w:cs="Arial"/>
          <w:b/>
          <w:bCs/>
        </w:rPr>
        <w:t xml:space="preserve">aras-Lorenzo C, Riera-Guardia N, Calingaert B, Castellsague J, Pariente A, Scotti L, Sturkenboom M, Perez-Gutthann S. Stroke risk and NSAIDs: a systematic review of observational studies. </w:t>
      </w:r>
      <w:r w:rsidRPr="00D61F73">
        <w:rPr>
          <w:rFonts w:ascii="Arial" w:hAnsi="Arial" w:cs="Arial"/>
          <w:b/>
          <w:bCs/>
          <w:i/>
          <w:iCs/>
        </w:rPr>
        <w:t>Pharmacoepidemiol Drug Saf</w:t>
      </w:r>
      <w:r w:rsidRPr="00D61F73">
        <w:rPr>
          <w:rFonts w:ascii="Arial" w:hAnsi="Arial" w:cs="Arial"/>
          <w:b/>
          <w:bCs/>
        </w:rPr>
        <w:t>. 2011 Oct 3. doi: 10.1002/pds.2227. [Epub ahead of print]</w:t>
      </w:r>
    </w:p>
    <w:p w14:paraId="69CB7FA2" w14:textId="77777777" w:rsidR="008D0565" w:rsidRPr="00D61F73" w:rsidRDefault="008D0565" w:rsidP="00D61F73">
      <w:pPr>
        <w:rPr>
          <w:rFonts w:ascii="Arial" w:hAnsi="Arial" w:cs="Arial"/>
        </w:rPr>
      </w:pPr>
    </w:p>
    <w:p w14:paraId="3EEC62DC" w14:textId="77777777" w:rsidR="008D0565" w:rsidRPr="00D61F73" w:rsidRDefault="008D0565" w:rsidP="00D61F73">
      <w:pPr>
        <w:rPr>
          <w:rFonts w:ascii="Arial" w:hAnsi="Arial" w:cs="Arial"/>
        </w:rPr>
      </w:pPr>
      <w:r w:rsidRPr="00D61F73">
        <w:rPr>
          <w:rFonts w:ascii="Arial" w:hAnsi="Arial" w:cs="Arial"/>
        </w:rPr>
        <w:t xml:space="preserve">CONCLUSION: This meta-analysis supports an increased risk of ischemic stroke with the current use of rofecoxib and diclofenac. </w:t>
      </w:r>
    </w:p>
    <w:p w14:paraId="0D99792D" w14:textId="77777777" w:rsidR="008D0565" w:rsidRPr="00D61F73" w:rsidRDefault="008D0565" w:rsidP="00D61F73">
      <w:pPr>
        <w:rPr>
          <w:rFonts w:ascii="Arial" w:hAnsi="Arial" w:cs="Arial"/>
        </w:rPr>
      </w:pPr>
    </w:p>
    <w:p w14:paraId="53CA725D" w14:textId="77777777" w:rsidR="008D0565" w:rsidRPr="00D61F73" w:rsidRDefault="008D0565" w:rsidP="00D61F73">
      <w:pPr>
        <w:rPr>
          <w:rFonts w:ascii="Arial" w:hAnsi="Arial" w:cs="Arial"/>
        </w:rPr>
      </w:pPr>
      <w:r w:rsidRPr="00D61F73">
        <w:rPr>
          <w:rFonts w:ascii="Arial" w:hAnsi="Arial" w:cs="Arial"/>
        </w:rPr>
        <w:t xml:space="preserve">PMID: </w:t>
      </w:r>
      <w:hyperlink r:id="rId851" w:history="1">
        <w:r w:rsidRPr="00D61F73">
          <w:rPr>
            <w:rStyle w:val="Hyperlink"/>
            <w:rFonts w:ascii="Arial" w:hAnsi="Arial" w:cs="Arial"/>
          </w:rPr>
          <w:t>21971833</w:t>
        </w:r>
      </w:hyperlink>
      <w:r w:rsidRPr="00D61F73">
        <w:rPr>
          <w:rFonts w:ascii="Arial" w:hAnsi="Arial" w:cs="Arial"/>
        </w:rPr>
        <w:t xml:space="preserve"> </w:t>
      </w:r>
    </w:p>
    <w:p w14:paraId="18922A69" w14:textId="77777777" w:rsidR="008D0565" w:rsidRPr="00D61F73" w:rsidRDefault="008D0565" w:rsidP="00D61F73">
      <w:pPr>
        <w:rPr>
          <w:rFonts w:ascii="Arial" w:hAnsi="Arial" w:cs="Arial"/>
        </w:rPr>
      </w:pPr>
    </w:p>
    <w:p w14:paraId="3A71C2B4" w14:textId="77777777" w:rsidR="008D0565" w:rsidRPr="00D61F73" w:rsidRDefault="008D0565" w:rsidP="00D61F73">
      <w:pPr>
        <w:rPr>
          <w:rFonts w:ascii="Arial" w:hAnsi="Arial" w:cs="Arial"/>
        </w:rPr>
      </w:pPr>
      <w:r w:rsidRPr="00D61F73">
        <w:rPr>
          <w:rFonts w:ascii="Arial" w:hAnsi="Arial" w:cs="Arial"/>
        </w:rPr>
        <w:t>Rating: 1b</w:t>
      </w:r>
    </w:p>
    <w:p w14:paraId="394754F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V</w:t>
      </w:r>
      <w:bookmarkStart w:id="1217" w:name="Varrassi"/>
      <w:bookmarkEnd w:id="1217"/>
      <w:r w:rsidRPr="00D61F73">
        <w:rPr>
          <w:rFonts w:ascii="Arial" w:hAnsi="Arial" w:cs="Arial"/>
          <w:b/>
        </w:rPr>
        <w:t xml:space="preserve">arrassi G, Paladini A, Marinangeli F, Racz G. Neural modulation by blocks and infusions. </w:t>
      </w:r>
      <w:r w:rsidRPr="00D61F73">
        <w:rPr>
          <w:rFonts w:ascii="Arial" w:hAnsi="Arial" w:cs="Arial"/>
          <w:b/>
          <w:i/>
        </w:rPr>
        <w:t>Pain Pract</w:t>
      </w:r>
      <w:r w:rsidRPr="00D61F73">
        <w:rPr>
          <w:rFonts w:ascii="Arial" w:hAnsi="Arial" w:cs="Arial"/>
          <w:b/>
        </w:rPr>
        <w:t>. 2006;6:34-8.</w:t>
      </w:r>
    </w:p>
    <w:p w14:paraId="0092B4CA" w14:textId="77777777" w:rsidR="008D0565" w:rsidRPr="00D61F73" w:rsidRDefault="008D0565" w:rsidP="00D61F73">
      <w:pPr>
        <w:rPr>
          <w:rFonts w:ascii="Arial" w:hAnsi="Arial" w:cs="Arial"/>
        </w:rPr>
      </w:pPr>
    </w:p>
    <w:p w14:paraId="172E59F0" w14:textId="77777777" w:rsidR="008D0565" w:rsidRPr="00D61F73" w:rsidRDefault="008D0565" w:rsidP="00D61F73">
      <w:pPr>
        <w:rPr>
          <w:rFonts w:ascii="Arial" w:hAnsi="Arial" w:cs="Arial"/>
        </w:rPr>
      </w:pPr>
      <w:r w:rsidRPr="00D61F73">
        <w:rPr>
          <w:rFonts w:ascii="Arial" w:hAnsi="Arial" w:cs="Arial"/>
        </w:rPr>
        <w:t xml:space="preserve">The most common indication for nerve blocks, especially sympathetic blockade, is complex regional pain syndrome, in which success rates of up to 38% have been achieved, depending on the type of the block used. </w:t>
      </w:r>
    </w:p>
    <w:p w14:paraId="683D1AA3" w14:textId="77777777" w:rsidR="008D0565" w:rsidRPr="00D61F73" w:rsidRDefault="008D0565" w:rsidP="00D61F73">
      <w:pPr>
        <w:rPr>
          <w:rFonts w:ascii="Arial" w:hAnsi="Arial" w:cs="Arial"/>
        </w:rPr>
      </w:pPr>
    </w:p>
    <w:p w14:paraId="0B33CB61" w14:textId="77777777" w:rsidR="008D0565" w:rsidRPr="00D61F73" w:rsidRDefault="008D0565" w:rsidP="00D61F73">
      <w:pPr>
        <w:rPr>
          <w:rFonts w:ascii="Arial" w:hAnsi="Arial" w:cs="Arial"/>
        </w:rPr>
      </w:pPr>
      <w:r w:rsidRPr="00D61F73">
        <w:rPr>
          <w:rFonts w:ascii="Arial" w:hAnsi="Arial" w:cs="Arial"/>
        </w:rPr>
        <w:t xml:space="preserve">PMID: </w:t>
      </w:r>
      <w:hyperlink r:id="rId852" w:history="1">
        <w:r w:rsidRPr="00D61F73">
          <w:rPr>
            <w:rStyle w:val="Hyperlink"/>
            <w:rFonts w:ascii="Arial" w:hAnsi="Arial" w:cs="Arial"/>
          </w:rPr>
          <w:t>17309707</w:t>
        </w:r>
      </w:hyperlink>
      <w:r w:rsidRPr="00D61F73">
        <w:rPr>
          <w:rFonts w:ascii="Arial" w:hAnsi="Arial" w:cs="Arial"/>
        </w:rPr>
        <w:t xml:space="preserve"> </w:t>
      </w:r>
    </w:p>
    <w:p w14:paraId="5D0DF019" w14:textId="77777777" w:rsidR="008D0565" w:rsidRPr="00D61F73" w:rsidRDefault="008D0565" w:rsidP="00D61F73">
      <w:pPr>
        <w:rPr>
          <w:rFonts w:ascii="Arial" w:hAnsi="Arial" w:cs="Arial"/>
        </w:rPr>
      </w:pPr>
    </w:p>
    <w:p w14:paraId="7AC0E132" w14:textId="77777777" w:rsidR="008D0565" w:rsidRPr="00D61F73" w:rsidRDefault="008D0565" w:rsidP="00D61F73">
      <w:pPr>
        <w:rPr>
          <w:rFonts w:ascii="Arial" w:hAnsi="Arial" w:cs="Arial"/>
        </w:rPr>
      </w:pPr>
      <w:r w:rsidRPr="00D61F73">
        <w:rPr>
          <w:rFonts w:ascii="Arial" w:hAnsi="Arial" w:cs="Arial"/>
        </w:rPr>
        <w:t>Rating: 5c</w:t>
      </w:r>
    </w:p>
    <w:p w14:paraId="548C2D81"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V</w:t>
      </w:r>
      <w:bookmarkStart w:id="1218" w:name="Veldhuizen1993"/>
      <w:bookmarkEnd w:id="1218"/>
      <w:r w:rsidRPr="00D61F73">
        <w:rPr>
          <w:rFonts w:ascii="Arial" w:hAnsi="Arial" w:cs="Arial"/>
        </w:rPr>
        <w:t xml:space="preserve">eldhuizen JW, Verstappen FT, Vroemen JP, Kuipers H, Greep JM. Functional and morphological adaptations following four weeks of knee immobilization. </w:t>
      </w:r>
      <w:r w:rsidRPr="00D61F73">
        <w:rPr>
          <w:rFonts w:ascii="Arial" w:hAnsi="Arial" w:cs="Arial"/>
          <w:i/>
        </w:rPr>
        <w:t>Int J Sports Med</w:t>
      </w:r>
      <w:r w:rsidRPr="00D61F73">
        <w:rPr>
          <w:rFonts w:ascii="Arial" w:hAnsi="Arial" w:cs="Arial"/>
        </w:rPr>
        <w:t>. 1993;14:283-7.</w:t>
      </w:r>
    </w:p>
    <w:p w14:paraId="20BA8EE6" w14:textId="77777777" w:rsidR="008D0565" w:rsidRPr="00D61F73" w:rsidRDefault="008D0565" w:rsidP="00D61F73">
      <w:pPr>
        <w:rPr>
          <w:rFonts w:ascii="Arial" w:hAnsi="Arial" w:cs="Arial"/>
        </w:rPr>
      </w:pPr>
    </w:p>
    <w:p w14:paraId="3008C9A6" w14:textId="77777777" w:rsidR="008D0565" w:rsidRPr="00D61F73" w:rsidRDefault="008D0565" w:rsidP="00D61F73">
      <w:pPr>
        <w:rPr>
          <w:rFonts w:ascii="Arial" w:hAnsi="Arial" w:cs="Arial"/>
        </w:rPr>
      </w:pPr>
      <w:r w:rsidRPr="00D61F73">
        <w:rPr>
          <w:rFonts w:ascii="Arial" w:hAnsi="Arial" w:cs="Arial"/>
        </w:rPr>
        <w:t xml:space="preserve">PMID: </w:t>
      </w:r>
      <w:hyperlink r:id="rId853" w:history="1">
        <w:r w:rsidRPr="00D61F73">
          <w:rPr>
            <w:rStyle w:val="Hyperlink"/>
            <w:rFonts w:ascii="Arial" w:hAnsi="Arial" w:cs="Arial"/>
          </w:rPr>
          <w:t>8365837</w:t>
        </w:r>
      </w:hyperlink>
    </w:p>
    <w:p w14:paraId="5C2CB2B4" w14:textId="77777777" w:rsidR="008D0565" w:rsidRPr="00D61F73" w:rsidRDefault="008D0565" w:rsidP="00D61F73">
      <w:pPr>
        <w:rPr>
          <w:rFonts w:ascii="Arial" w:hAnsi="Arial" w:cs="Arial"/>
        </w:rPr>
      </w:pPr>
    </w:p>
    <w:p w14:paraId="39D09595" w14:textId="77777777" w:rsidR="008D0565" w:rsidRPr="00D61F73" w:rsidRDefault="008D0565" w:rsidP="00D61F73">
      <w:pPr>
        <w:rPr>
          <w:rFonts w:ascii="Arial" w:hAnsi="Arial" w:cs="Arial"/>
        </w:rPr>
      </w:pPr>
      <w:r w:rsidRPr="00D61F73">
        <w:rPr>
          <w:rFonts w:ascii="Arial" w:hAnsi="Arial" w:cs="Arial"/>
        </w:rPr>
        <w:t>Rating: 3c</w:t>
      </w:r>
    </w:p>
    <w:p w14:paraId="12074814"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V</w:t>
      </w:r>
      <w:bookmarkStart w:id="1219" w:name="Veldman1993"/>
      <w:bookmarkEnd w:id="1219"/>
      <w:r w:rsidRPr="00D61F73">
        <w:rPr>
          <w:rFonts w:ascii="Arial" w:hAnsi="Arial" w:cs="Arial"/>
          <w:b/>
        </w:rPr>
        <w:t xml:space="preserve">eldman PH, Reynen HM, Arntz IE, Goris RJ. Signs and symptoms of reflex sympathetic dystrophy: prospective study of 829 patients. </w:t>
      </w:r>
      <w:r w:rsidRPr="00D61F73">
        <w:rPr>
          <w:rFonts w:ascii="Arial" w:hAnsi="Arial" w:cs="Arial"/>
          <w:b/>
          <w:i/>
          <w:iCs/>
        </w:rPr>
        <w:t>Lancet.</w:t>
      </w:r>
      <w:r w:rsidRPr="00D61F73">
        <w:rPr>
          <w:rFonts w:ascii="Arial" w:hAnsi="Arial" w:cs="Arial"/>
          <w:b/>
        </w:rPr>
        <w:t xml:space="preserve"> 1993;342:1012-6.</w:t>
      </w:r>
    </w:p>
    <w:p w14:paraId="3C64DDAA" w14:textId="77777777" w:rsidR="008D0565" w:rsidRPr="00D61F73" w:rsidRDefault="008D0565" w:rsidP="00D61F73">
      <w:pPr>
        <w:rPr>
          <w:rFonts w:ascii="Arial" w:hAnsi="Arial" w:cs="Arial"/>
        </w:rPr>
      </w:pPr>
    </w:p>
    <w:p w14:paraId="049897A8" w14:textId="77777777" w:rsidR="008D0565" w:rsidRPr="00D61F73" w:rsidRDefault="008D0565" w:rsidP="00D61F73">
      <w:pPr>
        <w:rPr>
          <w:rFonts w:ascii="Arial" w:eastAsia="Arial Unicode MS" w:hAnsi="Arial" w:cs="Arial"/>
          <w:b/>
        </w:rPr>
      </w:pPr>
      <w:r w:rsidRPr="00D61F73">
        <w:rPr>
          <w:rFonts w:ascii="Arial" w:hAnsi="Arial" w:cs="Arial"/>
        </w:rPr>
        <w:t xml:space="preserve">PMID: </w:t>
      </w:r>
      <w:hyperlink r:id="rId854" w:history="1">
        <w:r w:rsidRPr="00D61F73">
          <w:rPr>
            <w:rStyle w:val="Hyperlink"/>
            <w:rFonts w:ascii="Arial" w:hAnsi="Arial" w:cs="Arial"/>
          </w:rPr>
          <w:t>8105263</w:t>
        </w:r>
      </w:hyperlink>
    </w:p>
    <w:p w14:paraId="6CFEB3C9" w14:textId="77777777" w:rsidR="008D0565" w:rsidRPr="00D61F73" w:rsidRDefault="008D0565" w:rsidP="00D61F73">
      <w:pPr>
        <w:rPr>
          <w:rFonts w:ascii="Arial" w:hAnsi="Arial" w:cs="Arial"/>
        </w:rPr>
      </w:pPr>
    </w:p>
    <w:p w14:paraId="02442939" w14:textId="77777777" w:rsidR="008D0565" w:rsidRPr="00D61F73" w:rsidRDefault="008D0565" w:rsidP="00D61F73">
      <w:pPr>
        <w:rPr>
          <w:rFonts w:ascii="Arial" w:hAnsi="Arial" w:cs="Arial"/>
        </w:rPr>
      </w:pPr>
      <w:r w:rsidRPr="00D61F73">
        <w:rPr>
          <w:rFonts w:ascii="Arial" w:hAnsi="Arial" w:cs="Arial"/>
        </w:rPr>
        <w:t>Rating: 3c</w:t>
      </w:r>
    </w:p>
    <w:p w14:paraId="0BEE2549"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V</w:t>
      </w:r>
      <w:bookmarkStart w:id="1220" w:name="Verdugo2000"/>
      <w:bookmarkEnd w:id="1220"/>
      <w:r w:rsidRPr="00D61F73">
        <w:rPr>
          <w:rFonts w:ascii="Arial" w:hAnsi="Arial" w:cs="Arial"/>
          <w:b/>
        </w:rPr>
        <w:t xml:space="preserve">erdugo RJ, Ochoa JL. Abnormal movements in complex regional pain syndrome: assessment of their nature. </w:t>
      </w:r>
      <w:r w:rsidRPr="00D61F73">
        <w:rPr>
          <w:rFonts w:ascii="Arial" w:hAnsi="Arial" w:cs="Arial"/>
          <w:b/>
          <w:i/>
        </w:rPr>
        <w:t>Muscle Nerve</w:t>
      </w:r>
      <w:r w:rsidRPr="00D61F73">
        <w:rPr>
          <w:rFonts w:ascii="Arial" w:hAnsi="Arial" w:cs="Arial"/>
          <w:b/>
        </w:rPr>
        <w:t>. 2000;23:198-205.</w:t>
      </w:r>
    </w:p>
    <w:p w14:paraId="4A191021" w14:textId="77777777" w:rsidR="008D0565" w:rsidRPr="00D61F73" w:rsidRDefault="008D0565" w:rsidP="00D61F73">
      <w:pPr>
        <w:rPr>
          <w:rFonts w:ascii="Arial" w:hAnsi="Arial" w:cs="Arial"/>
        </w:rPr>
      </w:pPr>
    </w:p>
    <w:p w14:paraId="3E8C8BB5" w14:textId="77777777" w:rsidR="008D0565" w:rsidRPr="00D61F73" w:rsidRDefault="008D0565" w:rsidP="00D61F73">
      <w:pPr>
        <w:rPr>
          <w:rFonts w:ascii="Arial" w:hAnsi="Arial" w:cs="Arial"/>
        </w:rPr>
      </w:pPr>
      <w:r w:rsidRPr="00D61F73">
        <w:rPr>
          <w:rFonts w:ascii="Arial" w:hAnsi="Arial" w:cs="Arial"/>
        </w:rPr>
        <w:t xml:space="preserve">PMID: </w:t>
      </w:r>
      <w:hyperlink r:id="rId855" w:history="1">
        <w:r w:rsidRPr="00D61F73">
          <w:rPr>
            <w:rStyle w:val="Hyperlink"/>
            <w:rFonts w:ascii="Arial" w:hAnsi="Arial" w:cs="Arial"/>
          </w:rPr>
          <w:t>10639611</w:t>
        </w:r>
      </w:hyperlink>
    </w:p>
    <w:p w14:paraId="30D8857B" w14:textId="77777777" w:rsidR="008D0565" w:rsidRPr="00D61F73" w:rsidRDefault="008D0565" w:rsidP="00D61F73">
      <w:pPr>
        <w:rPr>
          <w:rFonts w:ascii="Arial" w:hAnsi="Arial" w:cs="Arial"/>
        </w:rPr>
      </w:pPr>
    </w:p>
    <w:p w14:paraId="7D859AA5" w14:textId="77777777" w:rsidR="008D0565" w:rsidRPr="00D61F73" w:rsidRDefault="008D0565" w:rsidP="00D61F73">
      <w:pPr>
        <w:rPr>
          <w:rFonts w:ascii="Arial" w:hAnsi="Arial" w:cs="Arial"/>
        </w:rPr>
      </w:pPr>
      <w:r w:rsidRPr="00D61F73">
        <w:rPr>
          <w:rFonts w:ascii="Arial" w:hAnsi="Arial" w:cs="Arial"/>
        </w:rPr>
        <w:t>Rating: 4b</w:t>
      </w:r>
    </w:p>
    <w:p w14:paraId="098A996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V</w:t>
      </w:r>
      <w:bookmarkStart w:id="1221" w:name="Vlaeyen"/>
      <w:bookmarkEnd w:id="1221"/>
      <w:r w:rsidRPr="00D61F73">
        <w:rPr>
          <w:rFonts w:ascii="Arial" w:hAnsi="Arial" w:cs="Arial"/>
          <w:b/>
          <w:bCs/>
        </w:rPr>
        <w:t xml:space="preserve">laeyen JW, Haazen IW, Schuerman JA, Kole-Snijders AM, van Eek H. Behavioural rehabilitation of chronic low back pain: comparison of an operant treatment, an operant-cognitive treatment and an operant-respondent treatment. </w:t>
      </w:r>
      <w:r w:rsidRPr="00D61F73">
        <w:rPr>
          <w:rFonts w:ascii="Arial" w:hAnsi="Arial" w:cs="Arial"/>
          <w:b/>
          <w:bCs/>
          <w:i/>
          <w:iCs/>
        </w:rPr>
        <w:t>Br J Clin Psychol</w:t>
      </w:r>
      <w:r w:rsidRPr="00D61F73">
        <w:rPr>
          <w:rFonts w:ascii="Arial" w:hAnsi="Arial" w:cs="Arial"/>
          <w:b/>
          <w:bCs/>
        </w:rPr>
        <w:t>. 1995 Feb;34 ( Pt 1):95-118.</w:t>
      </w:r>
    </w:p>
    <w:p w14:paraId="252C3986" w14:textId="77777777" w:rsidR="008D0565" w:rsidRPr="00D61F73" w:rsidRDefault="008D0565" w:rsidP="00D61F73">
      <w:pPr>
        <w:rPr>
          <w:rFonts w:ascii="Arial" w:hAnsi="Arial" w:cs="Arial"/>
        </w:rPr>
      </w:pPr>
    </w:p>
    <w:p w14:paraId="2CA77E22" w14:textId="77777777" w:rsidR="008D0565" w:rsidRPr="00D61F73" w:rsidRDefault="008D0565" w:rsidP="00D61F73">
      <w:pPr>
        <w:rPr>
          <w:rFonts w:ascii="Arial" w:hAnsi="Arial" w:cs="Arial"/>
        </w:rPr>
      </w:pPr>
      <w:r w:rsidRPr="00D61F73">
        <w:rPr>
          <w:rFonts w:ascii="Arial" w:hAnsi="Arial" w:cs="Arial"/>
        </w:rPr>
        <w:t>In general, the results suggest that behavioural rehabilitation programmes for chronic low back pain are effective and that the effects of an operant treatment are magnified when self-control techniques are added.</w:t>
      </w:r>
    </w:p>
    <w:p w14:paraId="309E9786" w14:textId="77777777" w:rsidR="008D0565" w:rsidRPr="00D61F73" w:rsidRDefault="008D0565" w:rsidP="00D61F73">
      <w:pPr>
        <w:rPr>
          <w:rFonts w:ascii="Arial" w:hAnsi="Arial" w:cs="Arial"/>
        </w:rPr>
      </w:pPr>
    </w:p>
    <w:p w14:paraId="4F27B9DC" w14:textId="77777777" w:rsidR="008D0565" w:rsidRPr="00D61F73" w:rsidRDefault="008D0565" w:rsidP="00D61F73">
      <w:pPr>
        <w:rPr>
          <w:rFonts w:ascii="Arial" w:hAnsi="Arial" w:cs="Arial"/>
        </w:rPr>
      </w:pPr>
      <w:r w:rsidRPr="00D61F73">
        <w:rPr>
          <w:rFonts w:ascii="Arial" w:hAnsi="Arial" w:cs="Arial"/>
        </w:rPr>
        <w:t xml:space="preserve">PMID: </w:t>
      </w:r>
      <w:hyperlink r:id="rId856" w:history="1">
        <w:r w:rsidRPr="00D61F73">
          <w:rPr>
            <w:rStyle w:val="Hyperlink"/>
            <w:rFonts w:ascii="Arial" w:hAnsi="Arial" w:cs="Arial"/>
          </w:rPr>
          <w:t>7757046</w:t>
        </w:r>
      </w:hyperlink>
      <w:r w:rsidRPr="00D61F73">
        <w:rPr>
          <w:rFonts w:ascii="Arial" w:hAnsi="Arial" w:cs="Arial"/>
        </w:rPr>
        <w:t xml:space="preserve"> </w:t>
      </w:r>
    </w:p>
    <w:p w14:paraId="42120004" w14:textId="77777777" w:rsidR="008D0565" w:rsidRPr="00D61F73" w:rsidRDefault="008D0565" w:rsidP="00D61F73">
      <w:pPr>
        <w:rPr>
          <w:rFonts w:ascii="Arial" w:hAnsi="Arial" w:cs="Arial"/>
        </w:rPr>
      </w:pPr>
    </w:p>
    <w:p w14:paraId="47978427" w14:textId="77777777" w:rsidR="008D0565" w:rsidRPr="00D61F73" w:rsidRDefault="008D0565" w:rsidP="00D61F73">
      <w:pPr>
        <w:rPr>
          <w:rFonts w:ascii="Arial" w:hAnsi="Arial" w:cs="Arial"/>
        </w:rPr>
      </w:pPr>
      <w:r w:rsidRPr="00D61F73">
        <w:rPr>
          <w:rFonts w:ascii="Arial" w:hAnsi="Arial" w:cs="Arial"/>
        </w:rPr>
        <w:t>Rating: 2c</w:t>
      </w:r>
    </w:p>
    <w:p w14:paraId="1AB598D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V</w:t>
      </w:r>
      <w:bookmarkStart w:id="1222" w:name="Voerman"/>
      <w:bookmarkEnd w:id="1222"/>
      <w:r w:rsidRPr="00D61F73">
        <w:rPr>
          <w:rFonts w:ascii="Arial" w:hAnsi="Arial" w:cs="Arial"/>
          <w:b/>
          <w:bCs/>
        </w:rPr>
        <w:t xml:space="preserve">oerman GE, Vollenbroek-Hutten MM, Hermens HJ. Changes in pain, disability, and muscle activation patterns in chronic whiplash patients after ambulant myofeedback training. </w:t>
      </w:r>
      <w:r w:rsidRPr="00D61F73">
        <w:rPr>
          <w:rFonts w:ascii="Arial" w:hAnsi="Arial" w:cs="Arial"/>
          <w:b/>
          <w:bCs/>
          <w:i/>
          <w:iCs/>
        </w:rPr>
        <w:t>Clin J Pain.</w:t>
      </w:r>
      <w:r w:rsidRPr="00D61F73">
        <w:rPr>
          <w:rFonts w:ascii="Arial" w:hAnsi="Arial" w:cs="Arial"/>
          <w:b/>
          <w:bCs/>
        </w:rPr>
        <w:t xml:space="preserve"> 2006 Sep;22(7):656-63.</w:t>
      </w:r>
    </w:p>
    <w:p w14:paraId="43B48329" w14:textId="77777777" w:rsidR="008D0565" w:rsidRPr="00D61F73" w:rsidRDefault="008D0565" w:rsidP="00D61F73">
      <w:pPr>
        <w:pStyle w:val="Footer"/>
        <w:tabs>
          <w:tab w:val="clear" w:pos="4320"/>
          <w:tab w:val="clear" w:pos="8640"/>
        </w:tabs>
        <w:rPr>
          <w:rFonts w:ascii="Arial" w:hAnsi="Arial" w:cs="Arial"/>
        </w:rPr>
      </w:pPr>
    </w:p>
    <w:p w14:paraId="7F1891AF" w14:textId="77777777" w:rsidR="008D0565" w:rsidRPr="00D61F73" w:rsidRDefault="008D0565" w:rsidP="00D61F73">
      <w:pPr>
        <w:rPr>
          <w:rFonts w:ascii="Arial" w:hAnsi="Arial" w:cs="Arial"/>
        </w:rPr>
      </w:pPr>
      <w:r w:rsidRPr="00D61F73">
        <w:rPr>
          <w:rFonts w:ascii="Arial" w:hAnsi="Arial" w:cs="Arial"/>
        </w:rPr>
        <w:t>Four weeks of ambulant training may be beneficial in reducing pain and disability levels and normalizing muscle activation patterns in chronic WAD patients. A randomized-controlled study is recommended to further explore the effects of myofeedback training.</w:t>
      </w:r>
    </w:p>
    <w:p w14:paraId="6C99E5F3" w14:textId="77777777" w:rsidR="008D0565" w:rsidRPr="00D61F73" w:rsidRDefault="008D0565" w:rsidP="00D61F73">
      <w:pPr>
        <w:rPr>
          <w:rFonts w:ascii="Arial" w:hAnsi="Arial" w:cs="Arial"/>
        </w:rPr>
      </w:pPr>
    </w:p>
    <w:p w14:paraId="67179363" w14:textId="77777777" w:rsidR="008D0565" w:rsidRPr="00D61F73" w:rsidRDefault="008D0565" w:rsidP="00D61F73">
      <w:pPr>
        <w:rPr>
          <w:rFonts w:ascii="Arial" w:hAnsi="Arial" w:cs="Arial"/>
        </w:rPr>
      </w:pPr>
      <w:r w:rsidRPr="00D61F73">
        <w:rPr>
          <w:rFonts w:ascii="Arial" w:hAnsi="Arial" w:cs="Arial"/>
        </w:rPr>
        <w:t xml:space="preserve">PMID: </w:t>
      </w:r>
      <w:hyperlink r:id="rId857" w:history="1">
        <w:r w:rsidRPr="00D61F73">
          <w:rPr>
            <w:rStyle w:val="Hyperlink"/>
            <w:rFonts w:ascii="Arial" w:hAnsi="Arial" w:cs="Arial"/>
          </w:rPr>
          <w:t>16926582</w:t>
        </w:r>
      </w:hyperlink>
      <w:r w:rsidRPr="00D61F73">
        <w:rPr>
          <w:rFonts w:ascii="Arial" w:hAnsi="Arial" w:cs="Arial"/>
        </w:rPr>
        <w:t xml:space="preserve"> </w:t>
      </w:r>
    </w:p>
    <w:p w14:paraId="0E7E1D67" w14:textId="77777777" w:rsidR="008D0565" w:rsidRPr="00D61F73" w:rsidRDefault="008D0565" w:rsidP="00D61F73">
      <w:pPr>
        <w:rPr>
          <w:rFonts w:ascii="Arial" w:hAnsi="Arial" w:cs="Arial"/>
        </w:rPr>
      </w:pPr>
    </w:p>
    <w:p w14:paraId="173AA321" w14:textId="77777777" w:rsidR="008D0565" w:rsidRPr="00D61F73" w:rsidRDefault="008D0565" w:rsidP="00D61F73">
      <w:pPr>
        <w:rPr>
          <w:rFonts w:ascii="Arial" w:hAnsi="Arial" w:cs="Arial"/>
        </w:rPr>
      </w:pPr>
      <w:r w:rsidRPr="00D61F73">
        <w:rPr>
          <w:rFonts w:ascii="Arial" w:hAnsi="Arial" w:cs="Arial"/>
        </w:rPr>
        <w:t>Rating: 4c</w:t>
      </w:r>
    </w:p>
    <w:p w14:paraId="3F90F0F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V</w:t>
      </w:r>
      <w:bookmarkStart w:id="1223" w:name="Volkow"/>
      <w:bookmarkEnd w:id="1223"/>
      <w:r w:rsidRPr="00D61F73">
        <w:rPr>
          <w:rFonts w:ascii="Arial" w:hAnsi="Arial" w:cs="Arial"/>
          <w:b/>
          <w:bCs/>
        </w:rPr>
        <w:t xml:space="preserve">olkow ND, Fowler JS, Logan J, Alexoff D, Zhu W, Telang F, Wang GJ, Jayne M, Hooker JM, Wong C, Hubbard B, Carter P, Warner D, King P, Shea C, Xu Y, Muench L, Apelskog-Torres K. Effects of modafinil on dopamine and dopamine transporters in the male human brain: clinical implications. </w:t>
      </w:r>
      <w:r w:rsidRPr="00D61F73">
        <w:rPr>
          <w:rFonts w:ascii="Arial" w:hAnsi="Arial" w:cs="Arial"/>
          <w:b/>
          <w:bCs/>
          <w:i/>
          <w:iCs/>
        </w:rPr>
        <w:t>JAMA</w:t>
      </w:r>
      <w:r w:rsidRPr="00D61F73">
        <w:rPr>
          <w:rFonts w:ascii="Arial" w:hAnsi="Arial" w:cs="Arial"/>
          <w:b/>
          <w:bCs/>
        </w:rPr>
        <w:t>. 2009 Mar 18;301(11):1148-54.</w:t>
      </w:r>
    </w:p>
    <w:p w14:paraId="367A2F78" w14:textId="77777777" w:rsidR="008D0565" w:rsidRPr="00D61F73" w:rsidRDefault="008D0565" w:rsidP="00D61F73">
      <w:pPr>
        <w:rPr>
          <w:rFonts w:ascii="Arial" w:hAnsi="Arial" w:cs="Arial"/>
        </w:rPr>
      </w:pPr>
    </w:p>
    <w:p w14:paraId="087BD75A" w14:textId="77777777" w:rsidR="008D0565" w:rsidRPr="00D61F73" w:rsidRDefault="008D0565" w:rsidP="00D61F73">
      <w:pPr>
        <w:rPr>
          <w:rFonts w:ascii="Arial" w:hAnsi="Arial" w:cs="Arial"/>
        </w:rPr>
      </w:pPr>
      <w:r w:rsidRPr="00D61F73">
        <w:rPr>
          <w:rFonts w:ascii="Arial" w:hAnsi="Arial" w:cs="Arial"/>
        </w:rPr>
        <w:t>Because drugs that increase dopamine in the nucleus accumbens have the potential for abuse, and considering the increasing use of modafinil, these results highlight the need for heightened awareness for potential abuse of and dependence on modafinil in vulnerable populations.</w:t>
      </w:r>
    </w:p>
    <w:p w14:paraId="1201597C" w14:textId="77777777" w:rsidR="008D0565" w:rsidRPr="00D61F73" w:rsidRDefault="008D0565" w:rsidP="00D61F73">
      <w:pPr>
        <w:rPr>
          <w:rFonts w:ascii="Arial" w:hAnsi="Arial" w:cs="Arial"/>
        </w:rPr>
      </w:pPr>
    </w:p>
    <w:p w14:paraId="58D2AFF4" w14:textId="77777777" w:rsidR="008D0565" w:rsidRPr="00D61F73" w:rsidRDefault="008D0565" w:rsidP="00D61F73">
      <w:pPr>
        <w:rPr>
          <w:rFonts w:ascii="Arial" w:hAnsi="Arial" w:cs="Arial"/>
        </w:rPr>
      </w:pPr>
      <w:r w:rsidRPr="00D61F73">
        <w:rPr>
          <w:rFonts w:ascii="Arial" w:hAnsi="Arial" w:cs="Arial"/>
        </w:rPr>
        <w:t xml:space="preserve">PMID: </w:t>
      </w:r>
      <w:hyperlink r:id="rId858" w:history="1">
        <w:r w:rsidRPr="00D61F73">
          <w:rPr>
            <w:rStyle w:val="Hyperlink"/>
            <w:rFonts w:ascii="Arial" w:hAnsi="Arial" w:cs="Arial"/>
          </w:rPr>
          <w:t>19293415</w:t>
        </w:r>
      </w:hyperlink>
      <w:r w:rsidRPr="00D61F73">
        <w:rPr>
          <w:rFonts w:ascii="Arial" w:hAnsi="Arial" w:cs="Arial"/>
        </w:rPr>
        <w:t xml:space="preserve"> </w:t>
      </w:r>
    </w:p>
    <w:p w14:paraId="25B50F8A" w14:textId="77777777" w:rsidR="008D0565" w:rsidRPr="00D61F73" w:rsidRDefault="008D0565" w:rsidP="00D61F73">
      <w:pPr>
        <w:rPr>
          <w:rFonts w:ascii="Arial" w:hAnsi="Arial" w:cs="Arial"/>
        </w:rPr>
      </w:pPr>
    </w:p>
    <w:p w14:paraId="2E21EA30" w14:textId="77777777" w:rsidR="008D0565" w:rsidRPr="00D61F73" w:rsidRDefault="008D0565" w:rsidP="00D61F73">
      <w:pPr>
        <w:rPr>
          <w:rFonts w:ascii="Arial" w:hAnsi="Arial" w:cs="Arial"/>
        </w:rPr>
      </w:pPr>
      <w:r w:rsidRPr="00D61F73">
        <w:rPr>
          <w:rFonts w:ascii="Arial" w:hAnsi="Arial" w:cs="Arial"/>
        </w:rPr>
        <w:t>Rating: 3c</w:t>
      </w:r>
    </w:p>
    <w:p w14:paraId="66221119"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V</w:t>
      </w:r>
      <w:bookmarkStart w:id="1224" w:name="Voshaar2006"/>
      <w:bookmarkEnd w:id="1224"/>
      <w:r w:rsidRPr="00D61F73">
        <w:rPr>
          <w:rFonts w:ascii="Arial" w:hAnsi="Arial" w:cs="Arial"/>
          <w:b/>
        </w:rPr>
        <w:t xml:space="preserve">oshaar RC, Couvée JE, van Balkom AJ, Mulder PG, Zitman FG. Strategies for discontinuing long-term benzodiazepine use: meta-analysis. </w:t>
      </w:r>
      <w:r w:rsidRPr="00D61F73">
        <w:rPr>
          <w:rFonts w:ascii="Arial" w:hAnsi="Arial" w:cs="Arial"/>
          <w:b/>
          <w:i/>
        </w:rPr>
        <w:t>Br J Psychiatry</w:t>
      </w:r>
      <w:r w:rsidRPr="00D61F73">
        <w:rPr>
          <w:rFonts w:ascii="Arial" w:hAnsi="Arial" w:cs="Arial"/>
          <w:b/>
        </w:rPr>
        <w:t>. 2006 ;189:213-20.</w:t>
      </w:r>
    </w:p>
    <w:p w14:paraId="43F6C7DF" w14:textId="77777777" w:rsidR="008D0565" w:rsidRPr="00D61F73" w:rsidRDefault="008D0565" w:rsidP="00D61F73">
      <w:pPr>
        <w:rPr>
          <w:rFonts w:ascii="Arial" w:eastAsia="Calibri" w:hAnsi="Arial" w:cs="Arial"/>
        </w:rPr>
      </w:pPr>
    </w:p>
    <w:p w14:paraId="6D5E7D0B" w14:textId="77777777" w:rsidR="008D0565" w:rsidRPr="00D61F73" w:rsidRDefault="008D0565" w:rsidP="00D61F73">
      <w:pPr>
        <w:tabs>
          <w:tab w:val="left" w:pos="1753"/>
        </w:tabs>
        <w:rPr>
          <w:rFonts w:ascii="Arial" w:eastAsia="Calibri" w:hAnsi="Arial" w:cs="Arial"/>
        </w:rPr>
      </w:pPr>
      <w:r w:rsidRPr="00D61F73">
        <w:rPr>
          <w:rFonts w:ascii="Arial" w:hAnsi="Arial" w:cs="Arial"/>
        </w:rPr>
        <w:t xml:space="preserve">PMID: </w:t>
      </w:r>
      <w:hyperlink r:id="rId859" w:history="1">
        <w:r w:rsidRPr="00D61F73">
          <w:rPr>
            <w:rStyle w:val="Hyperlink"/>
            <w:rFonts w:ascii="Arial" w:hAnsi="Arial" w:cs="Arial"/>
          </w:rPr>
          <w:t>16946355</w:t>
        </w:r>
      </w:hyperlink>
    </w:p>
    <w:p w14:paraId="5CEFF054" w14:textId="77777777" w:rsidR="008D0565" w:rsidRPr="00D61F73" w:rsidRDefault="008D0565" w:rsidP="00D61F73">
      <w:pPr>
        <w:tabs>
          <w:tab w:val="left" w:pos="1753"/>
        </w:tabs>
        <w:rPr>
          <w:rFonts w:ascii="Arial" w:eastAsia="Calibri" w:hAnsi="Arial" w:cs="Arial"/>
        </w:rPr>
      </w:pPr>
      <w:r w:rsidRPr="00D61F73">
        <w:rPr>
          <w:rFonts w:ascii="Arial" w:hAnsi="Arial" w:cs="Arial"/>
        </w:rPr>
        <w:tab/>
      </w:r>
    </w:p>
    <w:p w14:paraId="7BE39E8E" w14:textId="77777777" w:rsidR="008D0565" w:rsidRPr="00D61F73" w:rsidRDefault="008D0565" w:rsidP="00D61F73">
      <w:pPr>
        <w:rPr>
          <w:rFonts w:ascii="Arial" w:hAnsi="Arial" w:cs="Arial"/>
        </w:rPr>
      </w:pPr>
      <w:r w:rsidRPr="00D61F73">
        <w:rPr>
          <w:rFonts w:ascii="Arial" w:hAnsi="Arial" w:cs="Arial"/>
        </w:rPr>
        <w:t>Rating: 1c</w:t>
      </w:r>
    </w:p>
    <w:p w14:paraId="664697D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V</w:t>
      </w:r>
      <w:bookmarkStart w:id="1225" w:name="Vuilleumier2012"/>
      <w:bookmarkEnd w:id="1225"/>
      <w:r w:rsidRPr="00D61F73">
        <w:rPr>
          <w:rFonts w:ascii="Arial" w:hAnsi="Arial" w:cs="Arial"/>
          <w:b/>
          <w:bCs/>
        </w:rPr>
        <w:t xml:space="preserve">uilleumier PH, Stamer UM, Landau R. Pharmacogenomic considerations in opioid analgesia. </w:t>
      </w:r>
      <w:r w:rsidRPr="00D61F73">
        <w:rPr>
          <w:rFonts w:ascii="Arial" w:hAnsi="Arial" w:cs="Arial"/>
          <w:b/>
          <w:bCs/>
          <w:i/>
          <w:iCs/>
        </w:rPr>
        <w:t>Pharmgenomics Pers Med.</w:t>
      </w:r>
      <w:r w:rsidRPr="00D61F73">
        <w:rPr>
          <w:rFonts w:ascii="Arial" w:hAnsi="Arial" w:cs="Arial"/>
          <w:b/>
          <w:bCs/>
        </w:rPr>
        <w:t xml:space="preserve"> 2012;5:73-87. doi: 10.2147/PGPM.S23422.</w:t>
      </w:r>
    </w:p>
    <w:p w14:paraId="3D3BB619" w14:textId="77777777" w:rsidR="008D0565" w:rsidRPr="00D61F73" w:rsidRDefault="008D0565" w:rsidP="00D61F73">
      <w:pPr>
        <w:pStyle w:val="Footer"/>
        <w:tabs>
          <w:tab w:val="clear" w:pos="4320"/>
          <w:tab w:val="clear" w:pos="8640"/>
        </w:tabs>
        <w:rPr>
          <w:rFonts w:ascii="Arial" w:hAnsi="Arial" w:cs="Arial"/>
        </w:rPr>
      </w:pPr>
    </w:p>
    <w:p w14:paraId="36C5B041" w14:textId="77777777" w:rsidR="008D0565" w:rsidRPr="00D61F73" w:rsidRDefault="008D0565" w:rsidP="00D61F73">
      <w:pPr>
        <w:rPr>
          <w:rFonts w:ascii="Arial" w:hAnsi="Arial" w:cs="Arial"/>
        </w:rPr>
      </w:pPr>
      <w:r w:rsidRPr="00D61F73">
        <w:rPr>
          <w:rFonts w:ascii="Arial" w:hAnsi="Arial" w:cs="Arial"/>
        </w:rPr>
        <w:t xml:space="preserve">PMID: </w:t>
      </w:r>
      <w:hyperlink r:id="rId860" w:history="1">
        <w:r w:rsidRPr="00D61F73">
          <w:rPr>
            <w:rStyle w:val="Hyperlink"/>
            <w:rFonts w:ascii="Arial" w:hAnsi="Arial" w:cs="Arial"/>
          </w:rPr>
          <w:t>23226064</w:t>
        </w:r>
      </w:hyperlink>
    </w:p>
    <w:p w14:paraId="590778EA" w14:textId="77777777" w:rsidR="008D0565" w:rsidRPr="00D61F73" w:rsidRDefault="008D0565" w:rsidP="00D61F73">
      <w:pPr>
        <w:rPr>
          <w:rFonts w:ascii="Arial" w:hAnsi="Arial" w:cs="Arial"/>
        </w:rPr>
      </w:pPr>
    </w:p>
    <w:p w14:paraId="0EB697E8" w14:textId="77777777" w:rsidR="008D0565" w:rsidRPr="00D61F73" w:rsidRDefault="008D0565" w:rsidP="00D61F73">
      <w:pPr>
        <w:rPr>
          <w:rFonts w:ascii="Arial" w:hAnsi="Arial" w:cs="Arial"/>
        </w:rPr>
      </w:pPr>
      <w:r w:rsidRPr="00D61F73">
        <w:rPr>
          <w:rFonts w:ascii="Arial" w:hAnsi="Arial" w:cs="Arial"/>
        </w:rPr>
        <w:t xml:space="preserve">Rating: 5b </w:t>
      </w:r>
    </w:p>
    <w:p w14:paraId="0DEE4C2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W</w:t>
      </w:r>
      <w:bookmarkStart w:id="1226" w:name="Waara"/>
      <w:bookmarkEnd w:id="1226"/>
      <w:r w:rsidRPr="00D61F73">
        <w:rPr>
          <w:rFonts w:ascii="Arial" w:hAnsi="Arial" w:cs="Arial"/>
          <w:b/>
        </w:rPr>
        <w:t xml:space="preserve">aara-Wolleat KL, Hildebrand KR, Stewart GR. A review of intrathecal fentanyl and sufentanil for the treatment of chronic pain. </w:t>
      </w:r>
      <w:r w:rsidRPr="00D61F73">
        <w:rPr>
          <w:rFonts w:ascii="Arial" w:hAnsi="Arial" w:cs="Arial"/>
          <w:b/>
          <w:i/>
        </w:rPr>
        <w:t>Pain Med</w:t>
      </w:r>
      <w:r w:rsidRPr="00D61F73">
        <w:rPr>
          <w:rFonts w:ascii="Arial" w:hAnsi="Arial" w:cs="Arial"/>
          <w:b/>
        </w:rPr>
        <w:t xml:space="preserve">. 2006;7:251-9. </w:t>
      </w:r>
    </w:p>
    <w:p w14:paraId="09ECB988" w14:textId="77777777" w:rsidR="008D0565" w:rsidRPr="00D61F73" w:rsidRDefault="008D0565" w:rsidP="00D61F73">
      <w:pPr>
        <w:rPr>
          <w:rFonts w:ascii="Arial" w:hAnsi="Arial" w:cs="Arial"/>
          <w:b/>
        </w:rPr>
      </w:pPr>
    </w:p>
    <w:p w14:paraId="59965AD1" w14:textId="77777777" w:rsidR="008D0565" w:rsidRPr="00D61F73" w:rsidRDefault="008D0565" w:rsidP="00D61F73">
      <w:pPr>
        <w:rPr>
          <w:rFonts w:ascii="Arial" w:hAnsi="Arial" w:cs="Arial"/>
        </w:rPr>
      </w:pPr>
      <w:r w:rsidRPr="00D61F73">
        <w:rPr>
          <w:rFonts w:ascii="Arial" w:hAnsi="Arial" w:cs="Arial"/>
        </w:rPr>
        <w:t>College of Pharmacy, University of Minnesota, Minnesota 55120, USA. waar0002@umn.edu</w:t>
      </w:r>
    </w:p>
    <w:p w14:paraId="7826D78B" w14:textId="77777777" w:rsidR="008D0565" w:rsidRPr="00D61F73" w:rsidRDefault="008D0565" w:rsidP="00D61F73">
      <w:pPr>
        <w:rPr>
          <w:rFonts w:ascii="Arial" w:hAnsi="Arial" w:cs="Arial"/>
        </w:rPr>
      </w:pPr>
    </w:p>
    <w:p w14:paraId="0527E49D" w14:textId="77777777" w:rsidR="008D0565" w:rsidRPr="00D61F73" w:rsidRDefault="008D0565" w:rsidP="00D61F73">
      <w:pPr>
        <w:rPr>
          <w:rFonts w:ascii="Arial" w:hAnsi="Arial" w:cs="Arial"/>
        </w:rPr>
      </w:pPr>
      <w:r w:rsidRPr="00D61F73">
        <w:rPr>
          <w:rFonts w:ascii="Arial" w:hAnsi="Arial" w:cs="Arial"/>
        </w:rPr>
        <w:t xml:space="preserve">Few clinical reports on the use of intrathecal sufentanil or fentanyl for chronic pain are available. </w:t>
      </w:r>
    </w:p>
    <w:p w14:paraId="667A0AEA" w14:textId="77777777" w:rsidR="008D0565" w:rsidRPr="00D61F73" w:rsidRDefault="008D0565" w:rsidP="00D61F73">
      <w:pPr>
        <w:rPr>
          <w:rFonts w:ascii="Arial" w:hAnsi="Arial" w:cs="Arial"/>
        </w:rPr>
      </w:pPr>
    </w:p>
    <w:p w14:paraId="73018F77" w14:textId="77777777" w:rsidR="008D0565" w:rsidRPr="00D61F73" w:rsidRDefault="008D0565" w:rsidP="00D61F73">
      <w:pPr>
        <w:rPr>
          <w:rFonts w:ascii="Arial" w:hAnsi="Arial" w:cs="Arial"/>
        </w:rPr>
      </w:pPr>
      <w:r w:rsidRPr="00D61F73">
        <w:rPr>
          <w:rFonts w:ascii="Arial" w:hAnsi="Arial" w:cs="Arial"/>
        </w:rPr>
        <w:t xml:space="preserve">PMID: </w:t>
      </w:r>
      <w:hyperlink r:id="rId861" w:history="1">
        <w:r w:rsidRPr="00D61F73">
          <w:rPr>
            <w:rStyle w:val="Hyperlink"/>
            <w:rFonts w:ascii="Arial" w:hAnsi="Arial" w:cs="Arial"/>
          </w:rPr>
          <w:t>16712626</w:t>
        </w:r>
      </w:hyperlink>
    </w:p>
    <w:p w14:paraId="1DE9CDFB" w14:textId="77777777" w:rsidR="008D0565" w:rsidRPr="00D61F73" w:rsidRDefault="008D0565" w:rsidP="00D61F73">
      <w:pPr>
        <w:rPr>
          <w:rFonts w:ascii="Arial" w:hAnsi="Arial" w:cs="Arial"/>
        </w:rPr>
      </w:pPr>
    </w:p>
    <w:p w14:paraId="2D8FD281" w14:textId="77777777" w:rsidR="008D0565" w:rsidRPr="00D61F73" w:rsidRDefault="008D0565" w:rsidP="00D61F73">
      <w:pPr>
        <w:rPr>
          <w:rFonts w:ascii="Arial" w:hAnsi="Arial" w:cs="Arial"/>
        </w:rPr>
      </w:pPr>
      <w:r w:rsidRPr="00D61F73">
        <w:rPr>
          <w:rFonts w:ascii="Arial" w:hAnsi="Arial" w:cs="Arial"/>
        </w:rPr>
        <w:t>Rating: 5b</w:t>
      </w:r>
    </w:p>
    <w:p w14:paraId="018B5ACF"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W</w:t>
      </w:r>
      <w:bookmarkStart w:id="1227" w:name="Wafford"/>
      <w:bookmarkEnd w:id="1227"/>
      <w:r w:rsidRPr="00D61F73">
        <w:rPr>
          <w:rFonts w:ascii="Arial" w:hAnsi="Arial" w:cs="Arial"/>
          <w:b/>
        </w:rPr>
        <w:t xml:space="preserve">afford KA, Ebert B. Emerging anti-insomnia drugs: tackling sleeplessness and the quality of wake time. </w:t>
      </w:r>
      <w:r w:rsidRPr="00D61F73">
        <w:rPr>
          <w:rFonts w:ascii="Arial" w:hAnsi="Arial" w:cs="Arial"/>
          <w:b/>
          <w:i/>
        </w:rPr>
        <w:t>Nat Rev Drug Discov</w:t>
      </w:r>
      <w:r w:rsidRPr="00D61F73">
        <w:rPr>
          <w:rFonts w:ascii="Arial" w:hAnsi="Arial" w:cs="Arial"/>
          <w:b/>
        </w:rPr>
        <w:t>. 2008;7:530-40. Epub 2008 May 23.</w:t>
      </w:r>
    </w:p>
    <w:p w14:paraId="5A2776AA" w14:textId="77777777" w:rsidR="008D0565" w:rsidRPr="00D61F73" w:rsidRDefault="008D0565" w:rsidP="00D61F73">
      <w:pPr>
        <w:rPr>
          <w:rFonts w:ascii="Arial" w:hAnsi="Arial" w:cs="Arial"/>
        </w:rPr>
      </w:pPr>
    </w:p>
    <w:p w14:paraId="37002BD4" w14:textId="77777777" w:rsidR="008D0565" w:rsidRPr="00D61F73" w:rsidRDefault="008D0565" w:rsidP="00D61F73">
      <w:pPr>
        <w:rPr>
          <w:rFonts w:ascii="Arial" w:hAnsi="Arial" w:cs="Arial"/>
        </w:rPr>
      </w:pPr>
      <w:r w:rsidRPr="00D61F73">
        <w:rPr>
          <w:rFonts w:ascii="Arial" w:hAnsi="Arial" w:cs="Arial"/>
        </w:rPr>
        <w:t>Eli Lilly UK, Erl Wood Manor, Windlesham, Surrey GU20 6PH, UK.</w:t>
      </w:r>
    </w:p>
    <w:p w14:paraId="1C9E41AE" w14:textId="77777777" w:rsidR="008D0565" w:rsidRPr="00D61F73" w:rsidRDefault="008D0565" w:rsidP="00D61F73">
      <w:pPr>
        <w:rPr>
          <w:rFonts w:ascii="Arial" w:hAnsi="Arial" w:cs="Arial"/>
        </w:rPr>
      </w:pPr>
    </w:p>
    <w:p w14:paraId="7E4A65A2" w14:textId="77777777" w:rsidR="008D0565" w:rsidRPr="00D61F73" w:rsidRDefault="008D0565" w:rsidP="00D61F73">
      <w:pPr>
        <w:rPr>
          <w:rFonts w:ascii="Arial" w:hAnsi="Arial" w:cs="Arial"/>
        </w:rPr>
      </w:pPr>
      <w:r w:rsidRPr="00D61F73">
        <w:rPr>
          <w:rFonts w:ascii="Arial" w:hAnsi="Arial" w:cs="Arial"/>
        </w:rPr>
        <w:t>Here, we review the current understanding of how hypnotic drugs act, and discuss how new, more effective drugs and treatment strategies for insomnia might be achieved by taking into consideration the daytime consequences of disrupted sleep.</w:t>
      </w:r>
    </w:p>
    <w:p w14:paraId="0729E540" w14:textId="77777777" w:rsidR="008D0565" w:rsidRPr="00D61F73" w:rsidRDefault="008D0565" w:rsidP="00D61F73">
      <w:pPr>
        <w:rPr>
          <w:rFonts w:ascii="Arial" w:hAnsi="Arial" w:cs="Arial"/>
        </w:rPr>
      </w:pPr>
    </w:p>
    <w:p w14:paraId="6D4C8337"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5c</w:t>
      </w:r>
    </w:p>
    <w:p w14:paraId="2B52D350"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W</w:t>
      </w:r>
      <w:bookmarkStart w:id="1228" w:name="Wager2013"/>
      <w:bookmarkEnd w:id="1228"/>
      <w:r w:rsidRPr="00D61F73">
        <w:rPr>
          <w:rFonts w:ascii="Arial" w:hAnsi="Arial" w:cs="Arial"/>
        </w:rPr>
        <w:t xml:space="preserve">ager TD, Atlas LY, Lindquist MA, Roy M, Woo CW, Kross E. An fMRI-based neurologic signature of physical pain. </w:t>
      </w:r>
      <w:r w:rsidRPr="00D61F73">
        <w:rPr>
          <w:rFonts w:ascii="Arial" w:hAnsi="Arial" w:cs="Arial"/>
          <w:i/>
          <w:iCs/>
        </w:rPr>
        <w:t>N Engl J Med</w:t>
      </w:r>
      <w:r w:rsidRPr="00D61F73">
        <w:rPr>
          <w:rFonts w:ascii="Arial" w:hAnsi="Arial" w:cs="Arial"/>
        </w:rPr>
        <w:t>. 2013 Apr 11;368(15):1388-97. doi: 10.1056/NEJMoa1204471.</w:t>
      </w:r>
    </w:p>
    <w:p w14:paraId="23816122" w14:textId="77777777" w:rsidR="008D0565" w:rsidRPr="00D61F73" w:rsidRDefault="008D0565" w:rsidP="00D61F73">
      <w:pPr>
        <w:pStyle w:val="BodyText"/>
        <w:rPr>
          <w:rFonts w:ascii="Arial" w:hAnsi="Arial" w:cs="Arial"/>
          <w:b w:val="0"/>
          <w:bCs w:val="0"/>
        </w:rPr>
      </w:pPr>
    </w:p>
    <w:p w14:paraId="35780A40"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PMID: </w:t>
      </w:r>
      <w:hyperlink r:id="rId862" w:history="1">
        <w:r w:rsidRPr="00D61F73">
          <w:rPr>
            <w:rStyle w:val="Hyperlink"/>
            <w:rFonts w:ascii="Arial" w:hAnsi="Arial" w:cs="Arial"/>
            <w:b w:val="0"/>
            <w:bCs w:val="0"/>
          </w:rPr>
          <w:t>23574118</w:t>
        </w:r>
      </w:hyperlink>
    </w:p>
    <w:p w14:paraId="592E1C3B"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 </w:t>
      </w:r>
    </w:p>
    <w:p w14:paraId="58FDDB40"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3b</w:t>
      </w:r>
    </w:p>
    <w:p w14:paraId="1DD0FB99" w14:textId="77777777" w:rsidR="008D0565" w:rsidRPr="00D61F73" w:rsidRDefault="008D0565" w:rsidP="00D61F73">
      <w:pPr>
        <w:pStyle w:val="BodyText"/>
        <w:rPr>
          <w:rFonts w:ascii="Arial" w:hAnsi="Arial" w:cs="Arial"/>
        </w:rPr>
      </w:pPr>
      <w:r w:rsidRPr="00D61F73">
        <w:rPr>
          <w:rFonts w:ascii="Arial" w:hAnsi="Arial" w:cs="Arial"/>
          <w:b w:val="0"/>
          <w:bCs w:val="0"/>
        </w:rPr>
        <w:br w:type="page"/>
      </w:r>
      <w:r w:rsidRPr="00D61F73">
        <w:rPr>
          <w:rFonts w:ascii="Arial" w:hAnsi="Arial" w:cs="Arial"/>
        </w:rPr>
        <w:lastRenderedPageBreak/>
        <w:t>W</w:t>
      </w:r>
      <w:bookmarkStart w:id="1229" w:name="Waknine"/>
      <w:bookmarkEnd w:id="1229"/>
      <w:r w:rsidRPr="00D61F73">
        <w:rPr>
          <w:rFonts w:ascii="Arial" w:hAnsi="Arial" w:cs="Arial"/>
        </w:rPr>
        <w:t>aknine Y. Duloxetine HCl (Cymbalta) Approved for Management of Fibromyalgia. Medscape, LLC. Release Date: June 19, 2008.</w:t>
      </w:r>
    </w:p>
    <w:p w14:paraId="7550CBC9" w14:textId="77777777" w:rsidR="008D0565" w:rsidRPr="00D61F73" w:rsidRDefault="008D0565" w:rsidP="00D61F73">
      <w:pPr>
        <w:pStyle w:val="BodyText"/>
        <w:rPr>
          <w:rFonts w:ascii="Arial" w:hAnsi="Arial" w:cs="Arial"/>
          <w:b w:val="0"/>
          <w:bCs w:val="0"/>
        </w:rPr>
      </w:pPr>
    </w:p>
    <w:p w14:paraId="37A6C87E"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Treatment of fibromyalgia with duloxetine should be initiated at 30 mg/day for 1 week and then uptitrated to the recommended 60-mg dose. </w:t>
      </w:r>
    </w:p>
    <w:p w14:paraId="146667F6" w14:textId="77777777" w:rsidR="008D0565" w:rsidRPr="00D61F73" w:rsidRDefault="008D0565" w:rsidP="00D61F73">
      <w:pPr>
        <w:pStyle w:val="BodyText"/>
        <w:rPr>
          <w:rFonts w:ascii="Arial" w:hAnsi="Arial" w:cs="Arial"/>
          <w:b w:val="0"/>
          <w:bCs w:val="0"/>
        </w:rPr>
      </w:pPr>
    </w:p>
    <w:p w14:paraId="37AF0835"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5b</w:t>
      </w:r>
    </w:p>
    <w:p w14:paraId="50DAA9CD"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W</w:t>
      </w:r>
      <w:bookmarkStart w:id="1230" w:name="Walach"/>
      <w:bookmarkEnd w:id="1230"/>
      <w:r w:rsidRPr="00D61F73">
        <w:rPr>
          <w:rFonts w:ascii="Arial" w:hAnsi="Arial" w:cs="Arial"/>
        </w:rPr>
        <w:t>alach H, Guthlin C, Konig M. Efficacy of massage therapy in chronic pain: a pragmatic randomized trial. J Altern Complement Med. 2003 Dec;9(6):837-46.</w:t>
      </w:r>
    </w:p>
    <w:p w14:paraId="6FB1016D" w14:textId="77777777" w:rsidR="008D0565" w:rsidRPr="00D61F73" w:rsidRDefault="008D0565" w:rsidP="00D61F73">
      <w:pPr>
        <w:pStyle w:val="BodyText"/>
        <w:rPr>
          <w:rFonts w:ascii="Arial" w:hAnsi="Arial" w:cs="Arial"/>
          <w:b w:val="0"/>
          <w:bCs w:val="0"/>
        </w:rPr>
      </w:pPr>
    </w:p>
    <w:p w14:paraId="74909846"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Despite its limitation resulting from problems with numbers and randomization this study shows that massage can be at least as effective as SMC in chronic pain syndromes. Relative changes are equal, but tend to last longer and to generalize more into psychologic domains. </w:t>
      </w:r>
    </w:p>
    <w:p w14:paraId="6A2EA200" w14:textId="77777777" w:rsidR="008D0565" w:rsidRPr="00D61F73" w:rsidRDefault="008D0565" w:rsidP="00D61F73">
      <w:pPr>
        <w:pStyle w:val="BodyText"/>
        <w:rPr>
          <w:rFonts w:ascii="Arial" w:hAnsi="Arial" w:cs="Arial"/>
          <w:b w:val="0"/>
          <w:bCs w:val="0"/>
        </w:rPr>
      </w:pPr>
    </w:p>
    <w:p w14:paraId="1A09BB7C"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PMID: </w:t>
      </w:r>
      <w:hyperlink r:id="rId863" w:history="1">
        <w:r w:rsidRPr="00D61F73">
          <w:rPr>
            <w:rStyle w:val="Hyperlink"/>
            <w:rFonts w:ascii="Arial" w:hAnsi="Arial" w:cs="Arial"/>
            <w:b w:val="0"/>
            <w:bCs w:val="0"/>
          </w:rPr>
          <w:t>14736355</w:t>
        </w:r>
      </w:hyperlink>
    </w:p>
    <w:p w14:paraId="026A4397" w14:textId="77777777" w:rsidR="008D0565" w:rsidRPr="00D61F73" w:rsidRDefault="008D0565" w:rsidP="00D61F73">
      <w:pPr>
        <w:pStyle w:val="BodyText"/>
        <w:rPr>
          <w:rFonts w:ascii="Arial" w:hAnsi="Arial" w:cs="Arial"/>
          <w:b w:val="0"/>
          <w:bCs w:val="0"/>
        </w:rPr>
      </w:pPr>
    </w:p>
    <w:p w14:paraId="41AFAC88"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2c</w:t>
      </w:r>
    </w:p>
    <w:p w14:paraId="0B7AAB7D" w14:textId="77777777" w:rsidR="008D0565" w:rsidRPr="00D61F73" w:rsidRDefault="008D0565" w:rsidP="00D61F73">
      <w:pPr>
        <w:pStyle w:val="BodyText"/>
        <w:rPr>
          <w:rFonts w:ascii="Arial" w:hAnsi="Arial" w:cs="Arial"/>
        </w:rPr>
      </w:pPr>
      <w:r w:rsidRPr="00D61F73">
        <w:rPr>
          <w:rFonts w:ascii="Arial" w:hAnsi="Arial" w:cs="Arial"/>
        </w:rPr>
        <w:br w:type="page"/>
      </w:r>
      <w:r w:rsidRPr="00D61F73">
        <w:rPr>
          <w:rFonts w:ascii="Arial" w:hAnsi="Arial" w:cs="Arial"/>
        </w:rPr>
        <w:lastRenderedPageBreak/>
        <w:t>W</w:t>
      </w:r>
      <w:bookmarkStart w:id="1231" w:name="Wallace"/>
      <w:bookmarkEnd w:id="1231"/>
      <w:r w:rsidRPr="00D61F73">
        <w:rPr>
          <w:rFonts w:ascii="Arial" w:hAnsi="Arial" w:cs="Arial"/>
        </w:rPr>
        <w:t xml:space="preserve">allace M, Schulteis G, Atkinson JH, Wolfson T, Lazzaretto D, Bentley H, Gouaux B, Abramson I. Dose-dependent Effects of Smoked Cannabis on Capsaicin-induced Pain and Hyperalgesia in Healthy Volunteers. </w:t>
      </w:r>
      <w:r w:rsidRPr="00D61F73">
        <w:rPr>
          <w:rFonts w:ascii="Arial" w:hAnsi="Arial" w:cs="Arial"/>
          <w:i/>
          <w:iCs/>
        </w:rPr>
        <w:t>Anesthesiology.</w:t>
      </w:r>
      <w:r w:rsidRPr="00D61F73">
        <w:rPr>
          <w:rFonts w:ascii="Arial" w:hAnsi="Arial" w:cs="Arial"/>
        </w:rPr>
        <w:t xml:space="preserve"> 107(5):785-796, November 2007.</w:t>
      </w:r>
    </w:p>
    <w:p w14:paraId="7C1188DD" w14:textId="77777777" w:rsidR="008D0565" w:rsidRPr="00D61F73" w:rsidRDefault="008D0565" w:rsidP="00D61F73">
      <w:pPr>
        <w:pStyle w:val="BodyText"/>
        <w:rPr>
          <w:rFonts w:ascii="Arial" w:hAnsi="Arial" w:cs="Arial"/>
          <w:b w:val="0"/>
          <w:bCs w:val="0"/>
        </w:rPr>
      </w:pPr>
    </w:p>
    <w:p w14:paraId="47BC77CD"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This study suggests that there is a window of modest analgesia for smoked cannabis, with lower doses decreasing pain and higher doses increasing pain.</w:t>
      </w:r>
    </w:p>
    <w:p w14:paraId="244CD482" w14:textId="77777777" w:rsidR="008D0565" w:rsidRPr="00D61F73" w:rsidRDefault="008D0565" w:rsidP="00D61F73">
      <w:pPr>
        <w:pStyle w:val="BodyText"/>
        <w:rPr>
          <w:rFonts w:ascii="Arial" w:hAnsi="Arial" w:cs="Arial"/>
          <w:b w:val="0"/>
          <w:bCs w:val="0"/>
        </w:rPr>
      </w:pPr>
    </w:p>
    <w:p w14:paraId="32813B52"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Rating: 2c</w:t>
      </w:r>
    </w:p>
    <w:p w14:paraId="22CD8631" w14:textId="77777777" w:rsidR="008D0565" w:rsidRPr="00D61F73" w:rsidRDefault="008D0565" w:rsidP="00D61F73">
      <w:pPr>
        <w:pStyle w:val="BodyText"/>
        <w:rPr>
          <w:rFonts w:ascii="Arial" w:hAnsi="Arial" w:cs="Arial"/>
          <w:b w:val="0"/>
          <w:bCs w:val="0"/>
        </w:rPr>
      </w:pPr>
    </w:p>
    <w:p w14:paraId="41A1D1A1" w14:textId="77777777" w:rsidR="00CC3002" w:rsidRPr="00D61F73" w:rsidRDefault="008D0565" w:rsidP="00D61F73">
      <w:pPr>
        <w:pStyle w:val="BodyText"/>
        <w:rPr>
          <w:rFonts w:ascii="Arial" w:hAnsi="Arial" w:cs="Arial"/>
          <w:b w:val="0"/>
          <w:bCs w:val="0"/>
        </w:rPr>
      </w:pPr>
      <w:r w:rsidRPr="00D61F73">
        <w:rPr>
          <w:rFonts w:ascii="Arial" w:hAnsi="Arial" w:cs="Arial"/>
          <w:b w:val="0"/>
          <w:bCs w:val="0"/>
        </w:rPr>
        <w:t>One of the first dose-response studies of cannabis in humans has found a window of efficacy within which healthy volunteers experienced relief from experimentally induced pain. But although mid-range doses provided some pain relief, high doses appeared to exacerbate pain."</w:t>
      </w:r>
    </w:p>
    <w:p w14:paraId="77F3E06E" w14:textId="77777777" w:rsidR="00CC3002" w:rsidRPr="00D61F73" w:rsidRDefault="00CC3002" w:rsidP="00D61F73">
      <w:pPr>
        <w:rPr>
          <w:rFonts w:ascii="Arial" w:hAnsi="Arial" w:cs="Arial"/>
          <w:b/>
          <w:bCs/>
        </w:rPr>
      </w:pPr>
      <w:r w:rsidRPr="00D61F73">
        <w:rPr>
          <w:rFonts w:ascii="Arial" w:hAnsi="Arial" w:cs="Arial"/>
        </w:rPr>
        <w:br w:type="page"/>
      </w:r>
      <w:bookmarkStart w:id="1232" w:name="Wallace2004"/>
      <w:bookmarkEnd w:id="1232"/>
      <w:r w:rsidRPr="00D61F73">
        <w:rPr>
          <w:rFonts w:ascii="Arial" w:hAnsi="Arial" w:cs="Arial"/>
          <w:b/>
          <w:bCs/>
        </w:rPr>
        <w:lastRenderedPageBreak/>
        <w:t xml:space="preserve">Wallace P, Barber J, Clayton W, Currell R, Fleming K, Garner P, Haines A, Harrison R, Jacklin P, Jarrett C, Jayasuriya R, Lewis L, Parker S, Roberts J, Thompson S, Wainwright P. Virtual outreach: a randomised controlled trial and economic evaluation of joint teleconferenced medical consultations. </w:t>
      </w:r>
      <w:r w:rsidRPr="00D61F73">
        <w:rPr>
          <w:rFonts w:ascii="Arial" w:hAnsi="Arial" w:cs="Arial"/>
          <w:b/>
          <w:bCs/>
          <w:i/>
          <w:iCs/>
        </w:rPr>
        <w:t>Health Technol Assess</w:t>
      </w:r>
      <w:r w:rsidRPr="00D61F73">
        <w:rPr>
          <w:rFonts w:ascii="Arial" w:hAnsi="Arial" w:cs="Arial"/>
          <w:b/>
          <w:bCs/>
        </w:rPr>
        <w:t xml:space="preserve">. 2004 Dec;8(50):1-106, iii-iv. </w:t>
      </w:r>
    </w:p>
    <w:p w14:paraId="61F5DF15" w14:textId="77777777" w:rsidR="00CC3002" w:rsidRPr="00D61F73" w:rsidRDefault="00CC3002" w:rsidP="00D61F73">
      <w:pPr>
        <w:rPr>
          <w:rFonts w:ascii="Arial" w:hAnsi="Arial" w:cs="Arial"/>
        </w:rPr>
      </w:pPr>
    </w:p>
    <w:p w14:paraId="307C2409" w14:textId="77777777" w:rsidR="00CC3002" w:rsidRPr="00D61F73" w:rsidRDefault="00CC3002" w:rsidP="00D61F73">
      <w:pPr>
        <w:rPr>
          <w:rFonts w:ascii="Arial" w:hAnsi="Arial" w:cs="Arial"/>
        </w:rPr>
      </w:pPr>
      <w:r w:rsidRPr="00D61F73">
        <w:rPr>
          <w:rFonts w:ascii="Arial" w:hAnsi="Arial" w:cs="Arial"/>
        </w:rPr>
        <w:t>Department of Primary Care and Population Sciences, Royal Free and University College Medical School, London, UK.</w:t>
      </w:r>
    </w:p>
    <w:p w14:paraId="257F4D54" w14:textId="77777777" w:rsidR="00CC3002" w:rsidRPr="00D61F73" w:rsidRDefault="00CC3002" w:rsidP="00D61F73">
      <w:pPr>
        <w:pStyle w:val="Footer"/>
        <w:tabs>
          <w:tab w:val="left" w:pos="720"/>
        </w:tabs>
        <w:rPr>
          <w:rFonts w:ascii="Arial" w:hAnsi="Arial" w:cs="Arial"/>
        </w:rPr>
      </w:pPr>
    </w:p>
    <w:p w14:paraId="1FC6641D" w14:textId="77777777" w:rsidR="00CC3002" w:rsidRPr="00D61F73" w:rsidRDefault="00CC3002" w:rsidP="00D61F73">
      <w:pPr>
        <w:rPr>
          <w:rFonts w:ascii="Arial" w:hAnsi="Arial" w:cs="Arial"/>
        </w:rPr>
      </w:pPr>
      <w:r w:rsidRPr="00D61F73">
        <w:rPr>
          <w:rFonts w:ascii="Arial" w:hAnsi="Arial" w:cs="Arial"/>
        </w:rPr>
        <w:t>OBJECTIVES: To test the hypotheses that virtual outreach would reduce offers of hospital follow-up appointments and reduce numbers of medical interventions and investigations, reduce numbers of contacts with the health care system, have a positive impact on patient satisfaction and enablement, and lead to improvements in patient health status. RESULTS: Patients in the virtual outreach group were more likely to be offered a follow-up appointment. Significant differences in effects were observed between the two sites and across different specialities. Patient satisfaction was greater after a virtual outreach consultation than after a standard outpatient consultation, with no heterogeneity between specialities or sites. CONCLUSIONS: Virtual outreach consultations result in significantly higher levels of patient satisfaction than standard outpatient appointments and lead to substantial reductions in numbers of tests and investigations, but they are variably associated with increased rates of offer of follow-up according to speciality and site.</w:t>
      </w:r>
    </w:p>
    <w:p w14:paraId="18FB62C9" w14:textId="77777777" w:rsidR="00CC3002" w:rsidRPr="00D61F73" w:rsidRDefault="00CC3002" w:rsidP="00D61F73">
      <w:pPr>
        <w:rPr>
          <w:rFonts w:ascii="Arial" w:hAnsi="Arial" w:cs="Arial"/>
        </w:rPr>
      </w:pPr>
    </w:p>
    <w:p w14:paraId="7F097FF9" w14:textId="77777777" w:rsidR="00CC3002" w:rsidRPr="00D61F73" w:rsidRDefault="00CC3002" w:rsidP="00D61F73">
      <w:pPr>
        <w:rPr>
          <w:rFonts w:ascii="Arial" w:hAnsi="Arial" w:cs="Arial"/>
        </w:rPr>
      </w:pPr>
      <w:r w:rsidRPr="00D61F73">
        <w:rPr>
          <w:rFonts w:ascii="Arial" w:hAnsi="Arial" w:cs="Arial"/>
        </w:rPr>
        <w:t xml:space="preserve">PMID: </w:t>
      </w:r>
      <w:hyperlink r:id="rId864" w:history="1">
        <w:r w:rsidRPr="00D61F73">
          <w:rPr>
            <w:rStyle w:val="Hyperlink"/>
            <w:rFonts w:ascii="Arial" w:hAnsi="Arial" w:cs="Arial"/>
          </w:rPr>
          <w:t>15546515</w:t>
        </w:r>
      </w:hyperlink>
    </w:p>
    <w:p w14:paraId="2A7F742F" w14:textId="77777777" w:rsidR="00CC3002" w:rsidRPr="00D61F73" w:rsidRDefault="00CC3002" w:rsidP="00D61F73">
      <w:pPr>
        <w:rPr>
          <w:rFonts w:ascii="Arial" w:hAnsi="Arial" w:cs="Arial"/>
        </w:rPr>
      </w:pPr>
    </w:p>
    <w:p w14:paraId="76990B4F" w14:textId="77777777" w:rsidR="00CC3002" w:rsidRPr="00D61F73" w:rsidRDefault="00CC3002" w:rsidP="00D61F73">
      <w:pPr>
        <w:rPr>
          <w:rFonts w:ascii="Arial" w:hAnsi="Arial" w:cs="Arial"/>
        </w:rPr>
      </w:pPr>
      <w:r w:rsidRPr="00D61F73">
        <w:rPr>
          <w:rFonts w:ascii="Arial" w:hAnsi="Arial" w:cs="Arial"/>
        </w:rPr>
        <w:t>Rating: 2a</w:t>
      </w:r>
    </w:p>
    <w:p w14:paraId="6853C68A" w14:textId="77777777" w:rsidR="008D0565" w:rsidRPr="00D61F73" w:rsidRDefault="008D0565" w:rsidP="00D61F73">
      <w:pPr>
        <w:rPr>
          <w:rFonts w:ascii="Arial" w:hAnsi="Arial" w:cs="Arial"/>
        </w:rPr>
      </w:pPr>
    </w:p>
    <w:p w14:paraId="70F48B40" w14:textId="77777777" w:rsidR="008D0565" w:rsidRPr="00D61F73" w:rsidRDefault="008D0565" w:rsidP="00D61F73">
      <w:pPr>
        <w:pStyle w:val="BodyText"/>
        <w:rPr>
          <w:rFonts w:ascii="Arial" w:hAnsi="Arial" w:cs="Arial"/>
          <w:b w:val="0"/>
          <w:bCs w:val="0"/>
        </w:rPr>
      </w:pPr>
    </w:p>
    <w:p w14:paraId="708EFE66"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W</w:t>
      </w:r>
      <w:bookmarkStart w:id="1233" w:name="Walsh"/>
      <w:bookmarkEnd w:id="1233"/>
      <w:r w:rsidRPr="00D61F73">
        <w:rPr>
          <w:rFonts w:ascii="Arial" w:hAnsi="Arial" w:cs="Arial"/>
          <w:b/>
        </w:rPr>
        <w:t>alsh JK, Krystal AD, Amato DA, Rubens R, Caron J, Wessel TC, Schaefer K, Roach J, Wallenstein G, Roth T. Nightly treatment of primary insomnia with eszopiclone for six months: effect on sleep, quality of life, and work limitations</w:t>
      </w:r>
      <w:r w:rsidRPr="00D61F73">
        <w:rPr>
          <w:rFonts w:ascii="Arial" w:hAnsi="Arial" w:cs="Arial"/>
          <w:b/>
          <w:i/>
        </w:rPr>
        <w:t>. Sleep</w:t>
      </w:r>
      <w:r w:rsidRPr="00D61F73">
        <w:rPr>
          <w:rFonts w:ascii="Arial" w:hAnsi="Arial" w:cs="Arial"/>
          <w:b/>
        </w:rPr>
        <w:t>. 2007;30:959-68.</w:t>
      </w:r>
    </w:p>
    <w:p w14:paraId="38C27B7A" w14:textId="77777777" w:rsidR="008D0565" w:rsidRPr="00D61F73" w:rsidRDefault="008D0565" w:rsidP="00D61F73">
      <w:pPr>
        <w:rPr>
          <w:rFonts w:ascii="Arial" w:hAnsi="Arial" w:cs="Arial"/>
        </w:rPr>
      </w:pPr>
    </w:p>
    <w:p w14:paraId="1807CADE"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CONCLUSIONS: This is the first placebo-controlled investigation to demonstrate that long-term nightly pharmacologic treatment of primary insomnia with any hypnotic enhanced quality of life, reduced work limitations, and reduced global insomnia severity, in addition to improving patient-reported sleep variables.</w:t>
      </w:r>
    </w:p>
    <w:p w14:paraId="7DFE6E6D" w14:textId="77777777" w:rsidR="008D0565" w:rsidRPr="00D61F73" w:rsidRDefault="008D0565" w:rsidP="00D61F73">
      <w:pPr>
        <w:pStyle w:val="abstract"/>
        <w:spacing w:before="0" w:beforeAutospacing="0" w:after="0" w:afterAutospacing="0"/>
        <w:rPr>
          <w:rFonts w:ascii="Arial" w:hAnsi="Arial" w:cs="Arial"/>
        </w:rPr>
      </w:pPr>
    </w:p>
    <w:p w14:paraId="24DF4C40"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Rating: 2b</w:t>
      </w:r>
    </w:p>
    <w:p w14:paraId="257D0872" w14:textId="77777777" w:rsidR="008C16EF" w:rsidRPr="00D61F73" w:rsidRDefault="008D0565" w:rsidP="00D61F73">
      <w:pPr>
        <w:pStyle w:val="BodyText"/>
        <w:rPr>
          <w:rFonts w:ascii="Arial" w:hAnsi="Arial" w:cs="Arial"/>
        </w:rPr>
      </w:pPr>
      <w:r w:rsidRPr="00D61F73">
        <w:rPr>
          <w:rFonts w:ascii="Arial" w:hAnsi="Arial" w:cs="Arial"/>
        </w:rPr>
        <w:br w:type="page"/>
      </w:r>
    </w:p>
    <w:p w14:paraId="48B9C50C" w14:textId="77777777" w:rsidR="008D0565" w:rsidRPr="00D61F73" w:rsidRDefault="008D0565" w:rsidP="00D61F73">
      <w:pPr>
        <w:pStyle w:val="BodyText"/>
        <w:rPr>
          <w:rFonts w:ascii="Arial" w:hAnsi="Arial" w:cs="Arial"/>
        </w:rPr>
      </w:pPr>
      <w:r w:rsidRPr="00D61F73">
        <w:rPr>
          <w:rFonts w:ascii="Arial" w:hAnsi="Arial" w:cs="Arial"/>
        </w:rPr>
        <w:lastRenderedPageBreak/>
        <w:t>W</w:t>
      </w:r>
      <w:bookmarkStart w:id="1234" w:name="Wang2010"/>
      <w:bookmarkEnd w:id="1234"/>
      <w:r w:rsidRPr="00D61F73">
        <w:rPr>
          <w:rFonts w:ascii="Arial" w:hAnsi="Arial" w:cs="Arial"/>
        </w:rPr>
        <w:t xml:space="preserve">ang C, Schmid CH, Rones R, Kalish R, Yinh J, Goldenberg DL, Lee Y, McAlindon T. A Randomized Trial of Tai Chi for Fibromyalgia. </w:t>
      </w:r>
      <w:r w:rsidRPr="00D61F73">
        <w:rPr>
          <w:rFonts w:ascii="Arial" w:hAnsi="Arial" w:cs="Arial"/>
          <w:i/>
          <w:iCs/>
        </w:rPr>
        <w:t>N Engl J Med</w:t>
      </w:r>
      <w:r w:rsidRPr="00D61F73">
        <w:rPr>
          <w:rFonts w:ascii="Arial" w:hAnsi="Arial" w:cs="Arial"/>
        </w:rPr>
        <w:t xml:space="preserve"> 2010; 363:743-754, August 19, 2010</w:t>
      </w:r>
    </w:p>
    <w:p w14:paraId="19C929B7" w14:textId="77777777" w:rsidR="008D0565" w:rsidRPr="00D61F73" w:rsidRDefault="008D0565" w:rsidP="00D61F73">
      <w:pPr>
        <w:pStyle w:val="BodyText"/>
        <w:rPr>
          <w:rFonts w:ascii="Arial" w:hAnsi="Arial" w:cs="Arial"/>
          <w:b w:val="0"/>
          <w:bCs w:val="0"/>
        </w:rPr>
      </w:pPr>
    </w:p>
    <w:p w14:paraId="5552087A" w14:textId="77777777" w:rsidR="008D0565" w:rsidRPr="00D61F73" w:rsidRDefault="008D0565" w:rsidP="00D61F73">
      <w:pPr>
        <w:pStyle w:val="BodyText"/>
        <w:rPr>
          <w:rFonts w:ascii="Arial" w:hAnsi="Arial" w:cs="Arial"/>
          <w:b w:val="0"/>
          <w:bCs w:val="0"/>
        </w:rPr>
      </w:pPr>
      <w:r w:rsidRPr="00D61F73">
        <w:rPr>
          <w:rFonts w:ascii="Arial" w:hAnsi="Arial" w:cs="Arial"/>
          <w:b w:val="0"/>
          <w:bCs w:val="0"/>
        </w:rPr>
        <w:t xml:space="preserve">Results: Of the 66 randomly assigned patients, the 33 in the tai chi group had clinically important improvements in the FIQ total score and quality of life. Conclusions: Tai chi may be a useful treatment for fibromyalgia and merits long-term study in larger study populations. </w:t>
      </w:r>
    </w:p>
    <w:p w14:paraId="471C1699" w14:textId="77777777" w:rsidR="008D0565" w:rsidRPr="00D61F73" w:rsidRDefault="008D0565" w:rsidP="00D61F73">
      <w:pPr>
        <w:pStyle w:val="BodyText"/>
        <w:rPr>
          <w:rFonts w:ascii="Arial" w:hAnsi="Arial" w:cs="Arial"/>
          <w:b w:val="0"/>
          <w:bCs w:val="0"/>
        </w:rPr>
      </w:pPr>
    </w:p>
    <w:p w14:paraId="1B9BC31A" w14:textId="77777777" w:rsidR="00F6046E" w:rsidRPr="00D61F73" w:rsidRDefault="008D0565" w:rsidP="00D61F73">
      <w:pPr>
        <w:pStyle w:val="BodyText"/>
        <w:rPr>
          <w:rFonts w:ascii="Arial" w:hAnsi="Arial" w:cs="Arial"/>
          <w:b w:val="0"/>
          <w:bCs w:val="0"/>
        </w:rPr>
      </w:pPr>
      <w:r w:rsidRPr="00D61F73">
        <w:rPr>
          <w:rFonts w:ascii="Arial" w:hAnsi="Arial" w:cs="Arial"/>
          <w:b w:val="0"/>
          <w:bCs w:val="0"/>
        </w:rPr>
        <w:t>Rating: 2b</w:t>
      </w:r>
    </w:p>
    <w:p w14:paraId="419875EA" w14:textId="77777777" w:rsidR="00F6046E" w:rsidRPr="00D61F73" w:rsidRDefault="00F6046E" w:rsidP="00D61F73">
      <w:pPr>
        <w:rPr>
          <w:rFonts w:ascii="Arial" w:hAnsi="Arial" w:cs="Arial"/>
          <w:b/>
          <w:bCs/>
        </w:rPr>
      </w:pPr>
      <w:r w:rsidRPr="00D61F73">
        <w:rPr>
          <w:rFonts w:ascii="Arial" w:hAnsi="Arial" w:cs="Arial"/>
        </w:rPr>
        <w:br w:type="page"/>
      </w:r>
      <w:bookmarkStart w:id="1235" w:name="Washington2002April"/>
      <w:bookmarkEnd w:id="1235"/>
      <w:r w:rsidRPr="00D61F73">
        <w:rPr>
          <w:rFonts w:ascii="Arial" w:hAnsi="Arial" w:cs="Arial"/>
        </w:rPr>
        <w:lastRenderedPageBreak/>
        <w:fldChar w:fldCharType="begin"/>
      </w:r>
      <w:r w:rsidRPr="00D61F73">
        <w:rPr>
          <w:rFonts w:ascii="Arial" w:hAnsi="Arial" w:cs="Arial"/>
        </w:rPr>
        <w:instrText xml:space="preserve"> HYPERLINK "http://www.odg-twc.com/odgtwc/low_back_files/Dynatron.pdf" </w:instrText>
      </w:r>
      <w:r w:rsidRPr="00D61F73">
        <w:rPr>
          <w:rFonts w:ascii="Arial" w:hAnsi="Arial" w:cs="Arial"/>
        </w:rPr>
        <w:fldChar w:fldCharType="separate"/>
      </w:r>
      <w:r w:rsidRPr="00D61F73">
        <w:rPr>
          <w:rStyle w:val="Hyperlink"/>
          <w:rFonts w:ascii="Arial" w:hAnsi="Arial" w:cs="Arial"/>
          <w:b/>
          <w:bCs/>
        </w:rPr>
        <w:t>Washington State Department of Labor and Industries</w:t>
      </w:r>
      <w:r w:rsidRPr="00D61F73">
        <w:rPr>
          <w:rFonts w:ascii="Arial" w:hAnsi="Arial" w:cs="Arial"/>
        </w:rPr>
        <w:fldChar w:fldCharType="end"/>
      </w:r>
      <w:r w:rsidRPr="00D61F73">
        <w:rPr>
          <w:rFonts w:ascii="Arial" w:hAnsi="Arial" w:cs="Arial"/>
          <w:b/>
          <w:bCs/>
        </w:rPr>
        <w:t xml:space="preserve">, </w:t>
      </w:r>
      <w:r w:rsidRPr="00D61F73">
        <w:rPr>
          <w:rFonts w:ascii="Arial" w:hAnsi="Arial" w:cs="Arial"/>
          <w:b/>
          <w:bCs/>
          <w:i/>
          <w:iCs/>
        </w:rPr>
        <w:t>Technology Assessment of the Dynatron STS</w:t>
      </w:r>
      <w:r w:rsidRPr="00D61F73">
        <w:rPr>
          <w:rFonts w:ascii="Arial" w:hAnsi="Arial" w:cs="Arial"/>
          <w:b/>
          <w:bCs/>
        </w:rPr>
        <w:t>, Office of the Medical Director, 4/30/02</w:t>
      </w:r>
    </w:p>
    <w:p w14:paraId="10F07810" w14:textId="77777777" w:rsidR="00F6046E" w:rsidRPr="00D61F73" w:rsidRDefault="00F6046E" w:rsidP="00D61F73">
      <w:pPr>
        <w:rPr>
          <w:rFonts w:ascii="Arial" w:hAnsi="Arial" w:cs="Arial"/>
        </w:rPr>
      </w:pPr>
    </w:p>
    <w:p w14:paraId="743AC06C" w14:textId="77777777" w:rsidR="00F6046E" w:rsidRPr="00D61F73" w:rsidRDefault="00F6046E" w:rsidP="00D61F73">
      <w:pPr>
        <w:rPr>
          <w:rFonts w:ascii="Arial" w:hAnsi="Arial" w:cs="Arial"/>
          <w:b/>
        </w:rPr>
      </w:pPr>
      <w:r w:rsidRPr="00D61F73">
        <w:rPr>
          <w:rFonts w:ascii="Arial" w:hAnsi="Arial" w:cs="Arial"/>
        </w:rPr>
        <w:t>Insufficient evidence exists to determine Dynatron STS’ effectiveness in the treatment of chronic pain.</w:t>
      </w:r>
    </w:p>
    <w:p w14:paraId="0CF4DB6F" w14:textId="77777777" w:rsidR="00F6046E" w:rsidRPr="00D61F73" w:rsidRDefault="00F6046E" w:rsidP="00D61F73">
      <w:pPr>
        <w:rPr>
          <w:rFonts w:ascii="Arial" w:hAnsi="Arial" w:cs="Arial"/>
        </w:rPr>
      </w:pPr>
    </w:p>
    <w:p w14:paraId="2892EFE4" w14:textId="77777777" w:rsidR="00F6046E" w:rsidRPr="00D61F73" w:rsidRDefault="00F6046E" w:rsidP="00D61F73">
      <w:pPr>
        <w:rPr>
          <w:rFonts w:ascii="Arial" w:hAnsi="Arial" w:cs="Arial"/>
        </w:rPr>
      </w:pPr>
      <w:r w:rsidRPr="00D61F73">
        <w:rPr>
          <w:rFonts w:ascii="Arial" w:hAnsi="Arial" w:cs="Arial"/>
        </w:rPr>
        <w:t>Rating: 7b</w:t>
      </w:r>
    </w:p>
    <w:p w14:paraId="2809CB02" w14:textId="77777777" w:rsidR="008D0565" w:rsidRPr="00D61F73" w:rsidRDefault="008D0565" w:rsidP="00D61F73">
      <w:pPr>
        <w:rPr>
          <w:rFonts w:ascii="Arial" w:hAnsi="Arial" w:cs="Arial"/>
        </w:rPr>
      </w:pPr>
    </w:p>
    <w:p w14:paraId="1ABDC2A7" w14:textId="77777777" w:rsidR="008D0565" w:rsidRPr="00D61F73" w:rsidRDefault="008D0565" w:rsidP="00D61F73">
      <w:pPr>
        <w:pStyle w:val="BodyText"/>
        <w:rPr>
          <w:rFonts w:ascii="Arial" w:hAnsi="Arial" w:cs="Arial"/>
        </w:rPr>
      </w:pPr>
      <w:r w:rsidRPr="00D61F73">
        <w:rPr>
          <w:rFonts w:ascii="Arial" w:hAnsi="Arial" w:cs="Arial"/>
          <w:b w:val="0"/>
          <w:bCs w:val="0"/>
        </w:rPr>
        <w:br w:type="page"/>
      </w:r>
      <w:hyperlink r:id="rId865" w:history="1">
        <w:r w:rsidRPr="00D61F73">
          <w:rPr>
            <w:rStyle w:val="Hyperlink"/>
            <w:rFonts w:ascii="Arial" w:hAnsi="Arial" w:cs="Arial"/>
          </w:rPr>
          <w:t>W</w:t>
        </w:r>
        <w:bookmarkStart w:id="1236" w:name="Washington"/>
        <w:bookmarkEnd w:id="1236"/>
        <w:r w:rsidRPr="00D61F73">
          <w:rPr>
            <w:rStyle w:val="Hyperlink"/>
            <w:rFonts w:ascii="Arial" w:hAnsi="Arial" w:cs="Arial"/>
          </w:rPr>
          <w:t>ashington State Department of Labor and Industries</w:t>
        </w:r>
      </w:hyperlink>
      <w:r w:rsidRPr="00D61F73">
        <w:rPr>
          <w:rFonts w:ascii="Arial" w:hAnsi="Arial" w:cs="Arial"/>
        </w:rPr>
        <w:t>. Guidelines for outpatient prescription of oral opioids for injured workers with chronic, noncancer pain. Olympia (WA): Washington State Department of Labor and Industries; 2002 Aug.</w:t>
      </w:r>
    </w:p>
    <w:p w14:paraId="7CE1399C" w14:textId="77777777" w:rsidR="008D0565" w:rsidRPr="00D61F73" w:rsidRDefault="008D0565" w:rsidP="00D61F73">
      <w:pPr>
        <w:pStyle w:val="BodyText"/>
        <w:rPr>
          <w:rFonts w:ascii="Arial" w:hAnsi="Arial" w:cs="Arial"/>
          <w:b w:val="0"/>
          <w:bCs w:val="0"/>
        </w:rPr>
      </w:pPr>
    </w:p>
    <w:p w14:paraId="676C17AC" w14:textId="77777777" w:rsidR="008D0565" w:rsidRPr="00D61F73" w:rsidRDefault="008D0565" w:rsidP="00D61F73">
      <w:pPr>
        <w:rPr>
          <w:rFonts w:ascii="Arial" w:hAnsi="Arial" w:cs="Arial"/>
        </w:rPr>
      </w:pPr>
      <w:r w:rsidRPr="00D61F73">
        <w:rPr>
          <w:rFonts w:ascii="Arial" w:hAnsi="Arial" w:cs="Arial"/>
        </w:rPr>
        <w:t>Rating: 7a</w:t>
      </w:r>
    </w:p>
    <w:p w14:paraId="38D5010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37" w:name="Washington2"/>
      <w:bookmarkEnd w:id="1237"/>
      <w:r w:rsidRPr="00D61F73">
        <w:rPr>
          <w:rFonts w:ascii="Arial" w:hAnsi="Arial" w:cs="Arial"/>
          <w:b/>
          <w:bCs/>
        </w:rPr>
        <w:t xml:space="preserve">ashington State Department of Labor and Industries. Antiepileptic drugs guideline for chronic pain. </w:t>
      </w:r>
      <w:r w:rsidRPr="00D61F73">
        <w:rPr>
          <w:rFonts w:ascii="Arial" w:hAnsi="Arial" w:cs="Arial"/>
          <w:b/>
          <w:bCs/>
          <w:i/>
          <w:iCs/>
        </w:rPr>
        <w:t>Provider Bull</w:t>
      </w:r>
      <w:r w:rsidRPr="00D61F73">
        <w:rPr>
          <w:rFonts w:ascii="Arial" w:hAnsi="Arial" w:cs="Arial"/>
          <w:b/>
          <w:bCs/>
        </w:rPr>
        <w:t xml:space="preserve"> 2005 Aug;(PB 05-10):1-3. </w:t>
      </w:r>
    </w:p>
    <w:p w14:paraId="5E94E6FE" w14:textId="77777777" w:rsidR="008D0565" w:rsidRPr="00D61F73" w:rsidRDefault="008D0565" w:rsidP="00D61F73">
      <w:pPr>
        <w:pStyle w:val="Footer"/>
        <w:tabs>
          <w:tab w:val="clear" w:pos="4320"/>
          <w:tab w:val="clear" w:pos="8640"/>
        </w:tabs>
        <w:rPr>
          <w:rFonts w:ascii="Arial" w:hAnsi="Arial" w:cs="Arial"/>
        </w:rPr>
      </w:pPr>
    </w:p>
    <w:p w14:paraId="116E97BC" w14:textId="77777777" w:rsidR="008D0565" w:rsidRPr="00D61F73" w:rsidRDefault="008D0565" w:rsidP="00D61F73">
      <w:pPr>
        <w:rPr>
          <w:rFonts w:ascii="Arial" w:hAnsi="Arial" w:cs="Arial"/>
        </w:rPr>
      </w:pPr>
      <w:r w:rsidRPr="00D61F73">
        <w:rPr>
          <w:rFonts w:ascii="Arial" w:hAnsi="Arial" w:cs="Arial"/>
        </w:rPr>
        <w:t xml:space="preserve">Currently, there is lack of evidence to demonstrate that antiepileptic drugs (AEDs) significantly reduce the level of acute pain, myofascial pain, low back pain, or other sources of somatic pain. Gabapentin, along with older antiepileptic drugs, may be used as a first line therapy in the treatment of chronic neuropathic pain. There is no scientific evidence that antiepileptic drugs are effective in treating acute pain, somatic pain from strains or sprains, or myofascial pain. </w:t>
      </w:r>
    </w:p>
    <w:p w14:paraId="5ABFCBA1" w14:textId="77777777" w:rsidR="008D0565" w:rsidRPr="00D61F73" w:rsidRDefault="008D0565" w:rsidP="00D61F73">
      <w:pPr>
        <w:rPr>
          <w:rFonts w:ascii="Arial" w:hAnsi="Arial" w:cs="Arial"/>
        </w:rPr>
      </w:pPr>
    </w:p>
    <w:p w14:paraId="0AF3D282" w14:textId="77777777" w:rsidR="008D0565" w:rsidRPr="00D61F73" w:rsidRDefault="008D0565" w:rsidP="00D61F73">
      <w:pPr>
        <w:pStyle w:val="Footer"/>
        <w:tabs>
          <w:tab w:val="clear" w:pos="4320"/>
          <w:tab w:val="clear" w:pos="8640"/>
        </w:tabs>
        <w:rPr>
          <w:rFonts w:ascii="Arial" w:hAnsi="Arial" w:cs="Arial"/>
        </w:rPr>
      </w:pPr>
      <w:r w:rsidRPr="00D61F73">
        <w:rPr>
          <w:rFonts w:ascii="Arial" w:hAnsi="Arial" w:cs="Arial"/>
        </w:rPr>
        <w:t>Rating: 7a</w:t>
      </w:r>
    </w:p>
    <w:p w14:paraId="46DF71BC" w14:textId="77777777" w:rsidR="008D0565" w:rsidRPr="00D61F73" w:rsidRDefault="008D0565" w:rsidP="00D61F73">
      <w:pPr>
        <w:rPr>
          <w:rFonts w:ascii="Arial" w:hAnsi="Arial" w:cs="Arial"/>
          <w:b/>
          <w:bCs/>
        </w:rPr>
      </w:pPr>
      <w:r w:rsidRPr="00D61F73">
        <w:rPr>
          <w:rFonts w:ascii="Arial" w:hAnsi="Arial" w:cs="Arial"/>
        </w:rPr>
        <w:br w:type="page"/>
      </w:r>
      <w:hyperlink r:id="rId866" w:history="1">
        <w:r w:rsidRPr="00D61F73">
          <w:rPr>
            <w:rStyle w:val="Hyperlink"/>
            <w:rFonts w:ascii="Arial" w:hAnsi="Arial" w:cs="Arial"/>
            <w:b/>
            <w:bCs/>
          </w:rPr>
          <w:t>W</w:t>
        </w:r>
        <w:bookmarkStart w:id="1238" w:name="Washington3"/>
        <w:bookmarkEnd w:id="1238"/>
        <w:r w:rsidRPr="00D61F73">
          <w:rPr>
            <w:rStyle w:val="Hyperlink"/>
            <w:rFonts w:ascii="Arial" w:hAnsi="Arial" w:cs="Arial"/>
            <w:b/>
            <w:bCs/>
          </w:rPr>
          <w:t>ashington State Department of Labor and Industries</w:t>
        </w:r>
      </w:hyperlink>
      <w:r w:rsidRPr="00D61F73">
        <w:rPr>
          <w:rFonts w:ascii="Arial" w:hAnsi="Arial" w:cs="Arial"/>
          <w:b/>
          <w:bCs/>
        </w:rPr>
        <w:t>. Complex regional pain syndrome (CRPS). Olympia (WA): Washington State Department of Labor and Industries; 2002 Aug.</w:t>
      </w:r>
    </w:p>
    <w:p w14:paraId="051B0F18" w14:textId="77777777" w:rsidR="008D0565" w:rsidRPr="00D61F73" w:rsidRDefault="008D0565" w:rsidP="00D61F73">
      <w:pPr>
        <w:rPr>
          <w:rFonts w:ascii="Arial" w:hAnsi="Arial" w:cs="Arial"/>
        </w:rPr>
      </w:pPr>
    </w:p>
    <w:p w14:paraId="7A1EBE5E" w14:textId="77777777" w:rsidR="008D0565" w:rsidRPr="00D61F73" w:rsidRDefault="008D0565" w:rsidP="00D61F73">
      <w:pPr>
        <w:numPr>
          <w:ilvl w:val="0"/>
          <w:numId w:val="15"/>
        </w:numPr>
        <w:rPr>
          <w:rFonts w:ascii="Arial" w:hAnsi="Arial" w:cs="Arial"/>
          <w:lang w:val="en"/>
        </w:rPr>
      </w:pPr>
      <w:r w:rsidRPr="00D61F73">
        <w:rPr>
          <w:rFonts w:ascii="Arial" w:hAnsi="Arial" w:cs="Arial"/>
          <w:lang w:val="en"/>
        </w:rPr>
        <w:t xml:space="preserve">The term "complex regional pain syndrome" was introduced to replace the term "reflex sympathetic dystrophy." CRPS Type I used to be called reflex sympathetic dystrophy. CRPS Type II used to be called causalgia. </w:t>
      </w:r>
      <w:r w:rsidRPr="00D61F73">
        <w:rPr>
          <w:rStyle w:val="Strong"/>
          <w:rFonts w:ascii="Arial" w:hAnsi="Arial" w:cs="Arial"/>
          <w:b w:val="0"/>
          <w:bCs w:val="0"/>
          <w:lang w:val="en"/>
        </w:rPr>
        <w:t>The central difference between Type I and Type II is that, by definition, Type II occurs following a known peripheral nerve injury, whereas Type I occurs in the absence of any known nerve injury</w:t>
      </w:r>
      <w:r w:rsidRPr="00D61F73">
        <w:rPr>
          <w:rFonts w:ascii="Arial" w:hAnsi="Arial" w:cs="Arial"/>
          <w:b/>
          <w:bCs/>
          <w:lang w:val="en"/>
        </w:rPr>
        <w:t xml:space="preserve">.  </w:t>
      </w:r>
    </w:p>
    <w:p w14:paraId="087A1443" w14:textId="77777777" w:rsidR="008D0565" w:rsidRPr="00D61F73" w:rsidRDefault="008D0565" w:rsidP="00D61F73">
      <w:pPr>
        <w:ind w:left="300"/>
        <w:rPr>
          <w:rFonts w:ascii="Arial" w:hAnsi="Arial" w:cs="Arial"/>
          <w:lang w:val="en"/>
        </w:rPr>
      </w:pPr>
    </w:p>
    <w:p w14:paraId="4E680869" w14:textId="77777777" w:rsidR="008D0565" w:rsidRPr="00D61F73" w:rsidRDefault="008D0565" w:rsidP="00D61F73">
      <w:pPr>
        <w:pStyle w:val="NormalWeb"/>
        <w:spacing w:before="0" w:beforeAutospacing="0" w:after="0" w:afterAutospacing="0"/>
        <w:rPr>
          <w:rFonts w:ascii="Arial" w:hAnsi="Arial" w:cs="Arial"/>
          <w:lang w:val="en"/>
        </w:rPr>
      </w:pPr>
      <w:r w:rsidRPr="00D61F73">
        <w:rPr>
          <w:rStyle w:val="Strong"/>
          <w:rFonts w:ascii="Arial" w:hAnsi="Arial" w:cs="Arial"/>
          <w:lang w:val="en"/>
        </w:rPr>
        <w:t>Table 1. Labor and Industries Criteria Number 13. Chronic Regional Pain Syndrome (CRPS) Conservative Treatment Guideline</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4853"/>
        <w:gridCol w:w="5639"/>
      </w:tblGrid>
      <w:tr w:rsidR="008D0565" w:rsidRPr="00D61F73" w14:paraId="0D1F1E87" w14:textId="77777777">
        <w:trPr>
          <w:tblHeader/>
          <w:tblCellSpacing w:w="7" w:type="dxa"/>
        </w:trPr>
        <w:tc>
          <w:tcPr>
            <w:tcW w:w="2302" w:type="pct"/>
            <w:tcBorders>
              <w:top w:val="outset" w:sz="6" w:space="0" w:color="auto"/>
              <w:left w:val="outset" w:sz="6" w:space="0" w:color="auto"/>
              <w:bottom w:val="outset" w:sz="6" w:space="0" w:color="auto"/>
              <w:right w:val="outset" w:sz="6" w:space="0" w:color="auto"/>
            </w:tcBorders>
          </w:tcPr>
          <w:p w14:paraId="08177538" w14:textId="77777777" w:rsidR="008D0565" w:rsidRPr="00D61F73" w:rsidRDefault="008D0565" w:rsidP="00D61F73">
            <w:pPr>
              <w:jc w:val="center"/>
              <w:rPr>
                <w:rFonts w:ascii="Arial" w:eastAsia="Arial Unicode MS" w:hAnsi="Arial" w:cs="Arial"/>
                <w:b/>
                <w:bCs/>
              </w:rPr>
            </w:pPr>
            <w:r w:rsidRPr="00D61F73">
              <w:rPr>
                <w:rFonts w:ascii="Arial" w:hAnsi="Arial" w:cs="Arial"/>
                <w:b/>
                <w:bCs/>
              </w:rPr>
              <w:t>Examination Findings And Diagnostic Test Results</w:t>
            </w:r>
          </w:p>
        </w:tc>
        <w:tc>
          <w:tcPr>
            <w:tcW w:w="2676" w:type="pct"/>
            <w:tcBorders>
              <w:top w:val="outset" w:sz="6" w:space="0" w:color="auto"/>
              <w:left w:val="outset" w:sz="6" w:space="0" w:color="auto"/>
              <w:bottom w:val="outset" w:sz="6" w:space="0" w:color="auto"/>
              <w:right w:val="outset" w:sz="6" w:space="0" w:color="auto"/>
            </w:tcBorders>
          </w:tcPr>
          <w:p w14:paraId="06F8AD5B" w14:textId="77777777" w:rsidR="008D0565" w:rsidRPr="00D61F73" w:rsidRDefault="008D0565" w:rsidP="00D61F73">
            <w:pPr>
              <w:jc w:val="center"/>
              <w:rPr>
                <w:rFonts w:ascii="Arial" w:eastAsia="Arial Unicode MS" w:hAnsi="Arial" w:cs="Arial"/>
                <w:b/>
                <w:bCs/>
              </w:rPr>
            </w:pPr>
            <w:r w:rsidRPr="00D61F73">
              <w:rPr>
                <w:rFonts w:ascii="Arial" w:hAnsi="Arial" w:cs="Arial"/>
                <w:b/>
                <w:bCs/>
              </w:rPr>
              <w:t>Conservative Care</w:t>
            </w:r>
          </w:p>
        </w:tc>
      </w:tr>
      <w:tr w:rsidR="008D0565" w:rsidRPr="00D61F73" w14:paraId="1D4287F7" w14:textId="77777777">
        <w:trPr>
          <w:tblCellSpacing w:w="7" w:type="dxa"/>
        </w:trPr>
        <w:tc>
          <w:tcPr>
            <w:tcW w:w="2302" w:type="pct"/>
            <w:tcBorders>
              <w:top w:val="outset" w:sz="6" w:space="0" w:color="auto"/>
              <w:left w:val="outset" w:sz="6" w:space="0" w:color="auto"/>
              <w:bottom w:val="outset" w:sz="6" w:space="0" w:color="auto"/>
              <w:right w:val="outset" w:sz="6" w:space="0" w:color="auto"/>
            </w:tcBorders>
          </w:tcPr>
          <w:p w14:paraId="7DE2E9CB"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 xml:space="preserve">At least </w:t>
            </w:r>
            <w:r w:rsidRPr="00D61F73">
              <w:rPr>
                <w:rStyle w:val="Strong"/>
                <w:rFonts w:ascii="Arial" w:hAnsi="Arial" w:cs="Arial"/>
                <w:u w:val="single"/>
              </w:rPr>
              <w:t>four</w:t>
            </w:r>
            <w:r w:rsidRPr="00D61F73">
              <w:rPr>
                <w:rFonts w:ascii="Arial" w:hAnsi="Arial" w:cs="Arial"/>
              </w:rPr>
              <w:t xml:space="preserve"> of the following </w:t>
            </w:r>
            <w:r w:rsidRPr="00D61F73">
              <w:rPr>
                <w:rStyle w:val="Strong"/>
                <w:rFonts w:ascii="Arial" w:hAnsi="Arial" w:cs="Arial"/>
              </w:rPr>
              <w:t>must be present</w:t>
            </w:r>
            <w:r w:rsidRPr="00D61F73">
              <w:rPr>
                <w:rFonts w:ascii="Arial" w:hAnsi="Arial" w:cs="Arial"/>
              </w:rPr>
              <w:t xml:space="preserve"> in order for a diagnosis of CRPS to be made.</w:t>
            </w:r>
          </w:p>
          <w:p w14:paraId="05301F43" w14:textId="77777777" w:rsidR="008D0565" w:rsidRPr="00D61F73" w:rsidRDefault="008D0565" w:rsidP="00D61F73">
            <w:pPr>
              <w:pStyle w:val="center"/>
              <w:spacing w:before="0" w:beforeAutospacing="0" w:after="0" w:afterAutospacing="0"/>
              <w:rPr>
                <w:rFonts w:ascii="Arial" w:hAnsi="Arial" w:cs="Arial"/>
              </w:rPr>
            </w:pPr>
            <w:r w:rsidRPr="00D61F73">
              <w:rPr>
                <w:rStyle w:val="Emphasis"/>
                <w:rFonts w:ascii="Arial" w:hAnsi="Arial" w:cs="Arial"/>
                <w:b/>
                <w:bCs/>
                <w:u w:val="single"/>
              </w:rPr>
              <w:t>Examination Findings</w:t>
            </w:r>
          </w:p>
          <w:p w14:paraId="222C1366" w14:textId="77777777" w:rsidR="008D0565" w:rsidRPr="00D61F73" w:rsidRDefault="008D0565" w:rsidP="00D61F73">
            <w:pPr>
              <w:numPr>
                <w:ilvl w:val="0"/>
                <w:numId w:val="12"/>
              </w:numPr>
              <w:rPr>
                <w:rFonts w:ascii="Arial" w:hAnsi="Arial" w:cs="Arial"/>
              </w:rPr>
            </w:pPr>
            <w:r w:rsidRPr="00D61F73">
              <w:rPr>
                <w:rFonts w:ascii="Arial" w:hAnsi="Arial" w:cs="Arial"/>
              </w:rPr>
              <w:t xml:space="preserve">Temperature/color change </w:t>
            </w:r>
          </w:p>
          <w:p w14:paraId="0FF10387" w14:textId="77777777" w:rsidR="008D0565" w:rsidRPr="00D61F73" w:rsidRDefault="008D0565" w:rsidP="00D61F73">
            <w:pPr>
              <w:numPr>
                <w:ilvl w:val="0"/>
                <w:numId w:val="12"/>
              </w:numPr>
              <w:rPr>
                <w:rFonts w:ascii="Arial" w:hAnsi="Arial" w:cs="Arial"/>
              </w:rPr>
            </w:pPr>
            <w:r w:rsidRPr="00D61F73">
              <w:rPr>
                <w:rFonts w:ascii="Arial" w:hAnsi="Arial" w:cs="Arial"/>
              </w:rPr>
              <w:t xml:space="preserve">Edema </w:t>
            </w:r>
          </w:p>
          <w:p w14:paraId="2C2112DC" w14:textId="77777777" w:rsidR="008D0565" w:rsidRPr="00D61F73" w:rsidRDefault="008D0565" w:rsidP="00D61F73">
            <w:pPr>
              <w:numPr>
                <w:ilvl w:val="0"/>
                <w:numId w:val="12"/>
              </w:numPr>
              <w:rPr>
                <w:rFonts w:ascii="Arial" w:hAnsi="Arial" w:cs="Arial"/>
              </w:rPr>
            </w:pPr>
            <w:r w:rsidRPr="00D61F73">
              <w:rPr>
                <w:rFonts w:ascii="Arial" w:hAnsi="Arial" w:cs="Arial"/>
              </w:rPr>
              <w:t xml:space="preserve">Trophic skin, hair, nail growth abnormalities </w:t>
            </w:r>
          </w:p>
          <w:p w14:paraId="0BDD39F9" w14:textId="77777777" w:rsidR="008D0565" w:rsidRPr="00D61F73" w:rsidRDefault="008D0565" w:rsidP="00D61F73">
            <w:pPr>
              <w:numPr>
                <w:ilvl w:val="0"/>
                <w:numId w:val="12"/>
              </w:numPr>
              <w:rPr>
                <w:rFonts w:ascii="Arial" w:hAnsi="Arial" w:cs="Arial"/>
              </w:rPr>
            </w:pPr>
            <w:r w:rsidRPr="00D61F73">
              <w:rPr>
                <w:rFonts w:ascii="Arial" w:hAnsi="Arial" w:cs="Arial"/>
              </w:rPr>
              <w:t xml:space="preserve">Impaired motor function </w:t>
            </w:r>
          </w:p>
          <w:p w14:paraId="4105B3D7" w14:textId="77777777" w:rsidR="008D0565" w:rsidRPr="00D61F73" w:rsidRDefault="008D0565" w:rsidP="00D61F73">
            <w:pPr>
              <w:numPr>
                <w:ilvl w:val="0"/>
                <w:numId w:val="12"/>
              </w:numPr>
              <w:rPr>
                <w:rFonts w:ascii="Arial" w:hAnsi="Arial" w:cs="Arial"/>
              </w:rPr>
            </w:pPr>
            <w:r w:rsidRPr="00D61F73">
              <w:rPr>
                <w:rFonts w:ascii="Arial" w:hAnsi="Arial" w:cs="Arial"/>
              </w:rPr>
              <w:t xml:space="preserve">Hyperpathia/allodynia </w:t>
            </w:r>
          </w:p>
          <w:p w14:paraId="12D1034B" w14:textId="77777777" w:rsidR="008D0565" w:rsidRPr="00D61F73" w:rsidRDefault="008D0565" w:rsidP="00D61F73">
            <w:pPr>
              <w:numPr>
                <w:ilvl w:val="0"/>
                <w:numId w:val="12"/>
              </w:numPr>
              <w:rPr>
                <w:rFonts w:ascii="Arial" w:hAnsi="Arial" w:cs="Arial"/>
              </w:rPr>
            </w:pPr>
            <w:r w:rsidRPr="00D61F73">
              <w:rPr>
                <w:rFonts w:ascii="Arial" w:hAnsi="Arial" w:cs="Arial"/>
              </w:rPr>
              <w:t xml:space="preserve">Sudomotor changes </w:t>
            </w:r>
          </w:p>
          <w:p w14:paraId="777812F5" w14:textId="77777777" w:rsidR="008D0565" w:rsidRPr="00D61F73" w:rsidRDefault="008D0565" w:rsidP="00D61F73">
            <w:pPr>
              <w:pStyle w:val="center"/>
              <w:spacing w:before="0" w:beforeAutospacing="0" w:after="0" w:afterAutospacing="0"/>
              <w:ind w:left="720"/>
              <w:rPr>
                <w:rFonts w:ascii="Arial" w:hAnsi="Arial" w:cs="Arial"/>
              </w:rPr>
            </w:pPr>
            <w:r w:rsidRPr="00D61F73">
              <w:rPr>
                <w:rStyle w:val="Emphasis"/>
                <w:rFonts w:ascii="Arial" w:hAnsi="Arial" w:cs="Arial"/>
                <w:b/>
                <w:bCs/>
                <w:u w:val="single"/>
              </w:rPr>
              <w:t>Diagnostic Test Results</w:t>
            </w:r>
          </w:p>
          <w:p w14:paraId="547C427B" w14:textId="77777777" w:rsidR="008D0565" w:rsidRPr="00D61F73" w:rsidRDefault="008D0565" w:rsidP="00D61F73">
            <w:pPr>
              <w:numPr>
                <w:ilvl w:val="0"/>
                <w:numId w:val="12"/>
              </w:numPr>
              <w:rPr>
                <w:rFonts w:ascii="Arial" w:eastAsia="Arial Unicode MS" w:hAnsi="Arial" w:cs="Arial"/>
              </w:rPr>
            </w:pPr>
            <w:r w:rsidRPr="00D61F73">
              <w:rPr>
                <w:rFonts w:ascii="Arial" w:hAnsi="Arial" w:cs="Arial"/>
              </w:rPr>
              <w:t>Three phase bone scan that is abnormal in pattern characteristics for CRPS. This test is not needed if 4 or more of the above examination findings are present.</w:t>
            </w:r>
          </w:p>
        </w:tc>
        <w:tc>
          <w:tcPr>
            <w:tcW w:w="2676" w:type="pct"/>
            <w:tcBorders>
              <w:top w:val="outset" w:sz="6" w:space="0" w:color="auto"/>
              <w:left w:val="outset" w:sz="6" w:space="0" w:color="auto"/>
              <w:bottom w:val="outset" w:sz="6" w:space="0" w:color="auto"/>
              <w:right w:val="outset" w:sz="6" w:space="0" w:color="auto"/>
            </w:tcBorders>
          </w:tcPr>
          <w:p w14:paraId="3E0F3DBA" w14:textId="77777777" w:rsidR="008D0565" w:rsidRPr="00D61F73" w:rsidRDefault="008D0565" w:rsidP="00D61F73">
            <w:pPr>
              <w:pStyle w:val="NormalWeb"/>
              <w:spacing w:before="0" w:beforeAutospacing="0" w:after="0" w:afterAutospacing="0"/>
              <w:rPr>
                <w:rFonts w:ascii="Arial" w:hAnsi="Arial" w:cs="Arial"/>
              </w:rPr>
            </w:pPr>
            <w:r w:rsidRPr="00D61F73">
              <w:rPr>
                <w:rFonts w:ascii="Arial" w:hAnsi="Arial" w:cs="Arial"/>
              </w:rPr>
              <w:t>Early aggressive care is encouraged. Emphasis should be on improved functioning of the symptomatic limb.</w:t>
            </w:r>
          </w:p>
          <w:p w14:paraId="69BFE8A0" w14:textId="77777777" w:rsidR="008D0565" w:rsidRPr="00D61F73" w:rsidRDefault="008D0565" w:rsidP="00D61F73">
            <w:pPr>
              <w:pStyle w:val="center"/>
              <w:spacing w:before="0" w:beforeAutospacing="0" w:after="0" w:afterAutospacing="0"/>
              <w:rPr>
                <w:rFonts w:ascii="Arial" w:hAnsi="Arial" w:cs="Arial"/>
              </w:rPr>
            </w:pPr>
            <w:r w:rsidRPr="00D61F73">
              <w:rPr>
                <w:rStyle w:val="Emphasis"/>
                <w:rFonts w:ascii="Arial" w:hAnsi="Arial" w:cs="Arial"/>
                <w:b/>
                <w:bCs/>
                <w:u w:val="single"/>
              </w:rPr>
              <w:t>First Six Weeks Of Care:</w:t>
            </w:r>
          </w:p>
          <w:p w14:paraId="024C3D16" w14:textId="77777777" w:rsidR="008D0565" w:rsidRPr="00D61F73" w:rsidRDefault="008D0565" w:rsidP="00D61F73">
            <w:pPr>
              <w:numPr>
                <w:ilvl w:val="0"/>
                <w:numId w:val="13"/>
              </w:numPr>
              <w:rPr>
                <w:rFonts w:ascii="Arial" w:hAnsi="Arial" w:cs="Arial"/>
              </w:rPr>
            </w:pPr>
            <w:r w:rsidRPr="00D61F73">
              <w:rPr>
                <w:rFonts w:ascii="Arial" w:hAnsi="Arial" w:cs="Arial"/>
              </w:rPr>
              <w:t xml:space="preserve">Sympathetic blocks, maximum of </w:t>
            </w:r>
            <w:r w:rsidRPr="00D61F73">
              <w:rPr>
                <w:rStyle w:val="Strong"/>
                <w:rFonts w:ascii="Arial" w:hAnsi="Arial" w:cs="Arial"/>
              </w:rPr>
              <w:t>five</w:t>
            </w:r>
            <w:r w:rsidRPr="00D61F73">
              <w:rPr>
                <w:rFonts w:ascii="Arial" w:hAnsi="Arial" w:cs="Arial"/>
              </w:rPr>
              <w:t xml:space="preserve">. Each block should be followed immediately by physical/occupational therapy. </w:t>
            </w:r>
          </w:p>
          <w:p w14:paraId="41D02B3E" w14:textId="77777777" w:rsidR="008D0565" w:rsidRPr="00D61F73" w:rsidRDefault="008D0565" w:rsidP="00D61F73">
            <w:pPr>
              <w:numPr>
                <w:ilvl w:val="0"/>
                <w:numId w:val="13"/>
              </w:numPr>
              <w:rPr>
                <w:rFonts w:ascii="Arial" w:hAnsi="Arial" w:cs="Arial"/>
              </w:rPr>
            </w:pPr>
            <w:r w:rsidRPr="00D61F73">
              <w:rPr>
                <w:rFonts w:ascii="Arial" w:hAnsi="Arial" w:cs="Arial"/>
              </w:rPr>
              <w:t xml:space="preserve">Physical/occupational therapy should be focused on increasing functional level (see Table 2). </w:t>
            </w:r>
          </w:p>
          <w:p w14:paraId="6A17B07B" w14:textId="77777777" w:rsidR="008D0565" w:rsidRPr="00D61F73" w:rsidRDefault="008D0565" w:rsidP="00D61F73">
            <w:pPr>
              <w:numPr>
                <w:ilvl w:val="0"/>
                <w:numId w:val="13"/>
              </w:numPr>
              <w:rPr>
                <w:rFonts w:ascii="Arial" w:hAnsi="Arial" w:cs="Arial"/>
              </w:rPr>
            </w:pPr>
            <w:r w:rsidRPr="00D61F73">
              <w:rPr>
                <w:rFonts w:ascii="Arial" w:hAnsi="Arial" w:cs="Arial"/>
              </w:rPr>
              <w:t>Other treatment (e.g., medication at MD's discretion) as long as it promotes improved function.</w:t>
            </w:r>
          </w:p>
          <w:p w14:paraId="29DA500D" w14:textId="77777777" w:rsidR="008D0565" w:rsidRPr="00D61F73" w:rsidRDefault="008D0565" w:rsidP="00D61F73">
            <w:pPr>
              <w:pStyle w:val="center"/>
              <w:spacing w:before="0" w:beforeAutospacing="0" w:after="0" w:afterAutospacing="0"/>
              <w:rPr>
                <w:rFonts w:ascii="Arial" w:hAnsi="Arial" w:cs="Arial"/>
              </w:rPr>
            </w:pPr>
            <w:r w:rsidRPr="00D61F73">
              <w:rPr>
                <w:rStyle w:val="Emphasis"/>
                <w:rFonts w:ascii="Arial" w:hAnsi="Arial" w:cs="Arial"/>
                <w:b/>
                <w:bCs/>
                <w:u w:val="single"/>
              </w:rPr>
              <w:t>After The 1st Six Weeks Of Care:</w:t>
            </w:r>
          </w:p>
          <w:p w14:paraId="373DD5BE" w14:textId="77777777" w:rsidR="008D0565" w:rsidRPr="00D61F73" w:rsidRDefault="008D0565" w:rsidP="00D61F73">
            <w:pPr>
              <w:numPr>
                <w:ilvl w:val="0"/>
                <w:numId w:val="14"/>
              </w:numPr>
              <w:rPr>
                <w:rFonts w:ascii="Arial" w:hAnsi="Arial" w:cs="Arial"/>
              </w:rPr>
            </w:pPr>
            <w:r w:rsidRPr="00D61F73">
              <w:rPr>
                <w:rFonts w:ascii="Arial" w:hAnsi="Arial" w:cs="Arial"/>
              </w:rPr>
              <w:t xml:space="preserve">Strongly consider psychiatric or psychological consultation if disability has extended beyond 3 months </w:t>
            </w:r>
          </w:p>
          <w:p w14:paraId="5A3DBDC0" w14:textId="77777777" w:rsidR="008D0565" w:rsidRPr="00D61F73" w:rsidRDefault="008D0565" w:rsidP="00D61F73">
            <w:pPr>
              <w:numPr>
                <w:ilvl w:val="0"/>
                <w:numId w:val="14"/>
              </w:numPr>
              <w:rPr>
                <w:rFonts w:ascii="Arial" w:hAnsi="Arial" w:cs="Arial"/>
              </w:rPr>
            </w:pPr>
            <w:r w:rsidRPr="00D61F73">
              <w:rPr>
                <w:rFonts w:ascii="Arial" w:hAnsi="Arial" w:cs="Arial"/>
              </w:rPr>
              <w:t xml:space="preserve">Continued physical/occupational therapy based on documented progress towards goals established during first 6 weeks (referenced above). </w:t>
            </w:r>
          </w:p>
          <w:p w14:paraId="0DA565E4" w14:textId="77777777" w:rsidR="008D0565" w:rsidRPr="00D61F73" w:rsidRDefault="008D0565" w:rsidP="00D61F73">
            <w:pPr>
              <w:numPr>
                <w:ilvl w:val="0"/>
                <w:numId w:val="14"/>
              </w:numPr>
              <w:rPr>
                <w:rFonts w:ascii="Arial" w:eastAsia="Arial Unicode MS" w:hAnsi="Arial" w:cs="Arial"/>
              </w:rPr>
            </w:pPr>
            <w:r w:rsidRPr="00D61F73">
              <w:rPr>
                <w:rFonts w:ascii="Arial" w:hAnsi="Arial" w:cs="Arial"/>
              </w:rPr>
              <w:t>Sympathetic blocks only if response to previous blocks has been positive, maximum of 3** every six weeks for a maximum of 12 weeks.</w:t>
            </w:r>
          </w:p>
        </w:tc>
      </w:tr>
      <w:tr w:rsidR="008D0565" w:rsidRPr="00D61F73" w14:paraId="6A824440" w14:textId="77777777">
        <w:trPr>
          <w:tblCellSpacing w:w="7" w:type="dxa"/>
        </w:trPr>
        <w:tc>
          <w:tcPr>
            <w:tcW w:w="2302" w:type="pct"/>
            <w:tcBorders>
              <w:top w:val="outset" w:sz="6" w:space="0" w:color="auto"/>
              <w:left w:val="outset" w:sz="6" w:space="0" w:color="auto"/>
              <w:bottom w:val="outset" w:sz="6" w:space="0" w:color="auto"/>
              <w:right w:val="outset" w:sz="6" w:space="0" w:color="auto"/>
            </w:tcBorders>
          </w:tcPr>
          <w:p w14:paraId="1C66C1AF" w14:textId="77777777" w:rsidR="008D0565" w:rsidRPr="00D61F73" w:rsidRDefault="008D0565" w:rsidP="00D61F73">
            <w:pPr>
              <w:rPr>
                <w:rFonts w:ascii="Arial" w:eastAsia="Arial Unicode MS" w:hAnsi="Arial" w:cs="Arial"/>
              </w:rPr>
            </w:pPr>
            <w:r w:rsidRPr="00D61F73">
              <w:rPr>
                <w:rStyle w:val="Strong"/>
                <w:rFonts w:ascii="Arial" w:hAnsi="Arial" w:cs="Arial"/>
              </w:rPr>
              <w:t xml:space="preserve">Surgical Interventions (Sympathetectomy) For Treatment Of This Condition Is </w:t>
            </w:r>
            <w:r w:rsidRPr="00D61F73">
              <w:rPr>
                <w:rStyle w:val="Strong"/>
                <w:rFonts w:ascii="Arial" w:hAnsi="Arial" w:cs="Arial"/>
                <w:u w:val="single"/>
              </w:rPr>
              <w:t>Not Covered</w:t>
            </w:r>
          </w:p>
        </w:tc>
        <w:tc>
          <w:tcPr>
            <w:tcW w:w="2676" w:type="pct"/>
            <w:tcBorders>
              <w:top w:val="outset" w:sz="6" w:space="0" w:color="auto"/>
              <w:left w:val="outset" w:sz="6" w:space="0" w:color="auto"/>
              <w:bottom w:val="outset" w:sz="6" w:space="0" w:color="auto"/>
              <w:right w:val="outset" w:sz="6" w:space="0" w:color="auto"/>
            </w:tcBorders>
          </w:tcPr>
          <w:p w14:paraId="2D211DD5" w14:textId="77777777" w:rsidR="008D0565" w:rsidRPr="00D61F73" w:rsidRDefault="008D0565" w:rsidP="00D61F73">
            <w:pPr>
              <w:rPr>
                <w:rFonts w:ascii="Arial" w:eastAsia="Arial Unicode MS" w:hAnsi="Arial" w:cs="Arial"/>
              </w:rPr>
            </w:pPr>
            <w:r w:rsidRPr="00D61F73">
              <w:rPr>
                <w:rStyle w:val="Strong"/>
                <w:rFonts w:ascii="Arial" w:hAnsi="Arial" w:cs="Arial"/>
              </w:rPr>
              <w:t>**A maximum of 11 blocks can be delivered over the total 18 week period</w:t>
            </w:r>
          </w:p>
        </w:tc>
      </w:tr>
    </w:tbl>
    <w:p w14:paraId="22813D38" w14:textId="77777777" w:rsidR="008D0565" w:rsidRPr="00D61F73" w:rsidRDefault="008D0565" w:rsidP="00D61F73">
      <w:pPr>
        <w:rPr>
          <w:rFonts w:ascii="Arial" w:hAnsi="Arial" w:cs="Arial"/>
        </w:rPr>
      </w:pPr>
      <w:r w:rsidRPr="00D61F73">
        <w:rPr>
          <w:rFonts w:ascii="Arial" w:hAnsi="Arial" w:cs="Arial"/>
        </w:rPr>
        <w:t>Rating: 7a</w:t>
      </w:r>
      <w:r w:rsidR="008C16EF" w:rsidRPr="00D61F73">
        <w:rPr>
          <w:rFonts w:ascii="Arial" w:hAnsi="Arial" w:cs="Arial"/>
        </w:rPr>
        <w:br w:type="page"/>
      </w:r>
    </w:p>
    <w:bookmarkStart w:id="1239" w:name="Washington2008"/>
    <w:bookmarkEnd w:id="1239"/>
    <w:p w14:paraId="53164B62" w14:textId="77777777" w:rsidR="008C16EF" w:rsidRPr="00D61F73" w:rsidRDefault="00273B09" w:rsidP="00D61F73">
      <w:pPr>
        <w:rPr>
          <w:rFonts w:ascii="Arial" w:hAnsi="Arial" w:cs="Arial"/>
          <w:b/>
        </w:rPr>
      </w:pPr>
      <w:r w:rsidRPr="00D61F73">
        <w:rPr>
          <w:rFonts w:ascii="Arial" w:hAnsi="Arial" w:cs="Arial"/>
          <w:b/>
        </w:rPr>
        <w:lastRenderedPageBreak/>
        <w:fldChar w:fldCharType="begin"/>
      </w:r>
      <w:r w:rsidRPr="00D61F73">
        <w:rPr>
          <w:rFonts w:ascii="Arial" w:hAnsi="Arial" w:cs="Arial"/>
          <w:b/>
        </w:rPr>
        <w:instrText xml:space="preserve"> HYPERLINK "http://www.hca.wa.gov/hta/documents/it_pump_findings_decision_112408.pdf" </w:instrText>
      </w:r>
      <w:r w:rsidRPr="00D61F73">
        <w:rPr>
          <w:rFonts w:ascii="Arial" w:hAnsi="Arial" w:cs="Arial"/>
          <w:b/>
        </w:rPr>
        <w:fldChar w:fldCharType="separate"/>
      </w:r>
      <w:r w:rsidR="008C16EF" w:rsidRPr="00D61F73">
        <w:rPr>
          <w:rStyle w:val="Hyperlink"/>
          <w:rFonts w:ascii="Arial" w:hAnsi="Arial" w:cs="Arial"/>
          <w:b/>
        </w:rPr>
        <w:t>Washington State Health Care Authority. Health Technology Clinical Committee Findings and Coverage Decision, Implantable Drug Delivery System.</w:t>
      </w:r>
      <w:r w:rsidRPr="00D61F73">
        <w:rPr>
          <w:rFonts w:ascii="Arial" w:hAnsi="Arial" w:cs="Arial"/>
          <w:b/>
        </w:rPr>
        <w:fldChar w:fldCharType="end"/>
      </w:r>
      <w:r w:rsidR="008C16EF" w:rsidRPr="00D61F73">
        <w:rPr>
          <w:rFonts w:ascii="Arial" w:hAnsi="Arial" w:cs="Arial"/>
          <w:b/>
        </w:rPr>
        <w:t xml:space="preserve"> Number and Coverage Topic 20080815A, Approved By Health Technology Clinical Committee 11/14/2008.</w:t>
      </w:r>
    </w:p>
    <w:p w14:paraId="1956D7BB" w14:textId="77777777" w:rsidR="008C16EF" w:rsidRPr="00D61F73" w:rsidRDefault="008C16EF" w:rsidP="00D61F73">
      <w:pPr>
        <w:rPr>
          <w:rFonts w:ascii="Arial" w:hAnsi="Arial" w:cs="Arial"/>
          <w:b/>
        </w:rPr>
      </w:pPr>
    </w:p>
    <w:p w14:paraId="339ECE57" w14:textId="77777777" w:rsidR="008C16EF" w:rsidRPr="00D61F73" w:rsidRDefault="008C16EF" w:rsidP="00D61F73">
      <w:pPr>
        <w:rPr>
          <w:rFonts w:ascii="Arial" w:hAnsi="Arial" w:cs="Arial"/>
        </w:rPr>
      </w:pPr>
      <w:r w:rsidRPr="00D61F73">
        <w:rPr>
          <w:rFonts w:ascii="Arial" w:hAnsi="Arial" w:cs="Arial"/>
        </w:rPr>
        <w:t xml:space="preserve">Rating: </w:t>
      </w:r>
      <w:r w:rsidR="00856695" w:rsidRPr="00D61F73">
        <w:rPr>
          <w:rFonts w:ascii="Arial" w:hAnsi="Arial" w:cs="Arial"/>
        </w:rPr>
        <w:t>7a</w:t>
      </w:r>
    </w:p>
    <w:p w14:paraId="3FBEEB9B" w14:textId="77777777" w:rsidR="001F1C9E" w:rsidRDefault="001F1C9E">
      <w:pPr>
        <w:rPr>
          <w:rFonts w:ascii="Arial" w:hAnsi="Arial" w:cs="Arial"/>
          <w:b/>
        </w:rPr>
      </w:pPr>
      <w:r>
        <w:rPr>
          <w:rFonts w:ascii="Arial" w:hAnsi="Arial" w:cs="Arial"/>
          <w:b/>
        </w:rPr>
        <w:br w:type="page"/>
      </w:r>
    </w:p>
    <w:p w14:paraId="41571993" w14:textId="77777777" w:rsidR="001F1C9E" w:rsidRDefault="00751163" w:rsidP="00D61F73">
      <w:pPr>
        <w:rPr>
          <w:rFonts w:ascii="Arial" w:hAnsi="Arial" w:cs="Arial"/>
          <w:b/>
        </w:rPr>
      </w:pPr>
      <w:hyperlink r:id="rId867" w:history="1">
        <w:r w:rsidR="001F1C9E" w:rsidRPr="001F1C9E">
          <w:rPr>
            <w:rStyle w:val="Hyperlink"/>
            <w:rFonts w:ascii="Arial" w:hAnsi="Arial" w:cs="Arial"/>
            <w:b/>
          </w:rPr>
          <w:t>W</w:t>
        </w:r>
        <w:bookmarkStart w:id="1240" w:name="WashingtonECRI2008"/>
        <w:bookmarkEnd w:id="1240"/>
        <w:r w:rsidR="001F1C9E" w:rsidRPr="001F1C9E">
          <w:rPr>
            <w:rStyle w:val="Hyperlink"/>
            <w:rFonts w:ascii="Arial" w:hAnsi="Arial" w:cs="Arial"/>
            <w:b/>
          </w:rPr>
          <w:t>ashington State Health Care Authority. HTA final report implantable infusion pumps for chronic noncancer pain</w:t>
        </w:r>
      </w:hyperlink>
      <w:r w:rsidR="001F1C9E">
        <w:rPr>
          <w:rFonts w:ascii="Arial" w:hAnsi="Arial" w:cs="Arial"/>
          <w:b/>
        </w:rPr>
        <w:t>. ECRI Institute, July 18, 2008.</w:t>
      </w:r>
    </w:p>
    <w:p w14:paraId="63EE91FD" w14:textId="77777777" w:rsidR="001F1C9E" w:rsidRDefault="001F1C9E" w:rsidP="00D61F73">
      <w:pPr>
        <w:rPr>
          <w:rFonts w:ascii="Arial" w:hAnsi="Arial" w:cs="Arial"/>
          <w:b/>
        </w:rPr>
      </w:pPr>
    </w:p>
    <w:p w14:paraId="6E5EBC4A" w14:textId="4528F957" w:rsidR="008D0565" w:rsidRPr="00D61F73" w:rsidRDefault="008D0565" w:rsidP="00D61F73">
      <w:pPr>
        <w:rPr>
          <w:rFonts w:ascii="Arial" w:hAnsi="Arial" w:cs="Arial"/>
          <w:b/>
          <w:bCs/>
        </w:rPr>
      </w:pPr>
      <w:r w:rsidRPr="00D61F73">
        <w:rPr>
          <w:rFonts w:ascii="Arial" w:hAnsi="Arial" w:cs="Arial"/>
          <w:b/>
        </w:rPr>
        <w:br w:type="page"/>
      </w:r>
      <w:bookmarkStart w:id="1241" w:name="Wasner2002"/>
      <w:bookmarkEnd w:id="1241"/>
      <w:r w:rsidRPr="00D61F73">
        <w:rPr>
          <w:rFonts w:ascii="Arial" w:hAnsi="Arial" w:cs="Arial"/>
          <w:b/>
          <w:bCs/>
        </w:rPr>
        <w:lastRenderedPageBreak/>
        <w:t>W</w:t>
      </w:r>
      <w:bookmarkStart w:id="1242" w:name="Wasner"/>
      <w:bookmarkEnd w:id="1242"/>
      <w:r w:rsidRPr="00D61F73">
        <w:rPr>
          <w:rFonts w:ascii="Arial" w:hAnsi="Arial" w:cs="Arial"/>
          <w:b/>
          <w:bCs/>
        </w:rPr>
        <w:t xml:space="preserve">asner G, Schattschneider J, Baron R. Skin temperature side differences--a diagnostic tool for CRPS? </w:t>
      </w:r>
      <w:r w:rsidRPr="00D61F73">
        <w:rPr>
          <w:rFonts w:ascii="Arial" w:hAnsi="Arial" w:cs="Arial"/>
          <w:b/>
          <w:bCs/>
          <w:i/>
          <w:iCs/>
        </w:rPr>
        <w:t>Pain</w:t>
      </w:r>
      <w:r w:rsidRPr="00D61F73">
        <w:rPr>
          <w:rFonts w:ascii="Arial" w:hAnsi="Arial" w:cs="Arial"/>
          <w:b/>
          <w:bCs/>
        </w:rPr>
        <w:t>. 2002 Jul;98(1-2):19-26.</w:t>
      </w:r>
    </w:p>
    <w:p w14:paraId="436A572C" w14:textId="77777777" w:rsidR="008D0565" w:rsidRPr="00D61F73" w:rsidRDefault="008D0565" w:rsidP="00D61F73">
      <w:pPr>
        <w:rPr>
          <w:rFonts w:ascii="Arial" w:hAnsi="Arial" w:cs="Arial"/>
        </w:rPr>
      </w:pPr>
    </w:p>
    <w:p w14:paraId="619F093A" w14:textId="77777777" w:rsidR="008D0565" w:rsidRPr="00D61F73" w:rsidRDefault="008D0565" w:rsidP="00D61F73">
      <w:pPr>
        <w:rPr>
          <w:rFonts w:ascii="Arial" w:hAnsi="Arial" w:cs="Arial"/>
        </w:rPr>
      </w:pPr>
      <w:r w:rsidRPr="00D61F73">
        <w:rPr>
          <w:rFonts w:ascii="Arial" w:hAnsi="Arial" w:cs="Arial"/>
        </w:rPr>
        <w:t>Skin temperature differences in the distal limbs are capable of reliably distinguishing CRPS I from other extremity pain syndromes with high sensitivity and specificity.</w:t>
      </w:r>
    </w:p>
    <w:p w14:paraId="2D31D289" w14:textId="77777777" w:rsidR="008D0565" w:rsidRPr="00D61F73" w:rsidRDefault="008D0565" w:rsidP="00D61F73">
      <w:pPr>
        <w:rPr>
          <w:rFonts w:ascii="Arial" w:hAnsi="Arial" w:cs="Arial"/>
        </w:rPr>
      </w:pPr>
    </w:p>
    <w:p w14:paraId="6B668ACA" w14:textId="77777777" w:rsidR="008D0565" w:rsidRPr="00D61F73" w:rsidRDefault="008D0565" w:rsidP="00D61F73">
      <w:pPr>
        <w:rPr>
          <w:rFonts w:ascii="Arial" w:hAnsi="Arial" w:cs="Arial"/>
        </w:rPr>
      </w:pPr>
      <w:r w:rsidRPr="00D61F73">
        <w:rPr>
          <w:rFonts w:ascii="Arial" w:hAnsi="Arial" w:cs="Arial"/>
        </w:rPr>
        <w:t xml:space="preserve">PMID: </w:t>
      </w:r>
      <w:hyperlink r:id="rId868" w:history="1">
        <w:r w:rsidRPr="00D61F73">
          <w:rPr>
            <w:rStyle w:val="Hyperlink"/>
            <w:rFonts w:ascii="Arial" w:hAnsi="Arial" w:cs="Arial"/>
          </w:rPr>
          <w:t>12098613</w:t>
        </w:r>
      </w:hyperlink>
      <w:r w:rsidRPr="00D61F73">
        <w:rPr>
          <w:rFonts w:ascii="Arial" w:hAnsi="Arial" w:cs="Arial"/>
        </w:rPr>
        <w:t xml:space="preserve"> </w:t>
      </w:r>
    </w:p>
    <w:p w14:paraId="57E749FD"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W</w:t>
      </w:r>
      <w:bookmarkStart w:id="1243" w:name="Wasner2010"/>
      <w:bookmarkEnd w:id="1243"/>
      <w:r w:rsidRPr="00D61F73">
        <w:rPr>
          <w:rFonts w:ascii="Arial" w:hAnsi="Arial" w:cs="Arial"/>
          <w:b/>
        </w:rPr>
        <w:t xml:space="preserve">asner G. Vasomotor disturbances in complex regional pain syndrome--a review. </w:t>
      </w:r>
      <w:r w:rsidRPr="00D61F73">
        <w:rPr>
          <w:rFonts w:ascii="Arial" w:hAnsi="Arial" w:cs="Arial"/>
          <w:b/>
          <w:i/>
        </w:rPr>
        <w:t>Pain Med</w:t>
      </w:r>
      <w:r w:rsidRPr="00D61F73">
        <w:rPr>
          <w:rFonts w:ascii="Arial" w:hAnsi="Arial" w:cs="Arial"/>
          <w:b/>
        </w:rPr>
        <w:t>. 2010;11:1267-73.</w:t>
      </w:r>
    </w:p>
    <w:p w14:paraId="5F0E4A3F" w14:textId="77777777" w:rsidR="008D0565" w:rsidRPr="00D61F73" w:rsidRDefault="008D0565" w:rsidP="00D61F73">
      <w:pPr>
        <w:rPr>
          <w:rFonts w:ascii="Arial" w:eastAsia="Calibri" w:hAnsi="Arial" w:cs="Arial"/>
        </w:rPr>
      </w:pPr>
    </w:p>
    <w:p w14:paraId="42433CD6"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869" w:history="1">
        <w:r w:rsidRPr="00D61F73">
          <w:rPr>
            <w:rStyle w:val="Hyperlink"/>
            <w:rFonts w:ascii="Arial" w:hAnsi="Arial" w:cs="Arial"/>
          </w:rPr>
          <w:t>20704675</w:t>
        </w:r>
      </w:hyperlink>
    </w:p>
    <w:p w14:paraId="2881B170" w14:textId="77777777" w:rsidR="008D0565" w:rsidRPr="00D61F73" w:rsidRDefault="008D0565" w:rsidP="00D61F73">
      <w:pPr>
        <w:rPr>
          <w:rFonts w:ascii="Arial" w:eastAsia="Calibri" w:hAnsi="Arial" w:cs="Arial"/>
        </w:rPr>
      </w:pPr>
    </w:p>
    <w:p w14:paraId="1280EB69" w14:textId="77777777" w:rsidR="008D0565" w:rsidRPr="00D61F73" w:rsidRDefault="008D0565" w:rsidP="00D61F73">
      <w:pPr>
        <w:rPr>
          <w:rFonts w:ascii="Arial" w:eastAsia="Calibri" w:hAnsi="Arial" w:cs="Arial"/>
        </w:rPr>
      </w:pPr>
      <w:r w:rsidRPr="00D61F73">
        <w:rPr>
          <w:rFonts w:ascii="Arial" w:hAnsi="Arial" w:cs="Arial"/>
        </w:rPr>
        <w:t>Rating: 5c</w:t>
      </w:r>
    </w:p>
    <w:p w14:paraId="76D3C6D3"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W</w:t>
      </w:r>
      <w:bookmarkStart w:id="1244" w:name="Wasner2001"/>
      <w:bookmarkEnd w:id="1244"/>
      <w:r w:rsidRPr="00D61F73">
        <w:rPr>
          <w:rFonts w:ascii="Arial" w:hAnsi="Arial" w:cs="Arial"/>
          <w:b/>
        </w:rPr>
        <w:t xml:space="preserve">asner G, Schattschneider J, Heckmann K, Maier C, Baron R. Vascular abnormalities in reflex sympathetic dystrophy (CRPS I): mechanisms and diagnostic value. </w:t>
      </w:r>
      <w:r w:rsidRPr="00D61F73">
        <w:rPr>
          <w:rFonts w:ascii="Arial" w:hAnsi="Arial" w:cs="Arial"/>
          <w:b/>
          <w:i/>
        </w:rPr>
        <w:t>Brain.</w:t>
      </w:r>
      <w:r w:rsidRPr="00D61F73">
        <w:rPr>
          <w:rFonts w:ascii="Arial" w:hAnsi="Arial" w:cs="Arial"/>
          <w:b/>
        </w:rPr>
        <w:t xml:space="preserve"> 2001;124:587-99.</w:t>
      </w:r>
    </w:p>
    <w:p w14:paraId="357F88E2" w14:textId="77777777" w:rsidR="008D0565" w:rsidRPr="00D61F73" w:rsidRDefault="008D0565" w:rsidP="00D61F73">
      <w:pPr>
        <w:rPr>
          <w:rFonts w:ascii="Arial" w:eastAsia="Calibri" w:hAnsi="Arial" w:cs="Arial"/>
        </w:rPr>
      </w:pPr>
    </w:p>
    <w:p w14:paraId="78B3263B"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870" w:history="1">
        <w:r w:rsidRPr="00D61F73">
          <w:rPr>
            <w:rStyle w:val="Hyperlink"/>
            <w:rFonts w:ascii="Arial" w:hAnsi="Arial" w:cs="Arial"/>
          </w:rPr>
          <w:t>11222458</w:t>
        </w:r>
      </w:hyperlink>
    </w:p>
    <w:p w14:paraId="0BCEA75D" w14:textId="77777777" w:rsidR="008D0565" w:rsidRPr="00D61F73" w:rsidRDefault="008D0565" w:rsidP="00D61F73">
      <w:pPr>
        <w:rPr>
          <w:rFonts w:ascii="Arial" w:eastAsia="Calibri" w:hAnsi="Arial" w:cs="Arial"/>
        </w:rPr>
      </w:pPr>
    </w:p>
    <w:p w14:paraId="11F74D11" w14:textId="77777777" w:rsidR="008D0565" w:rsidRPr="00D61F73" w:rsidRDefault="008D0565" w:rsidP="00D61F73">
      <w:pPr>
        <w:rPr>
          <w:rFonts w:ascii="Arial" w:eastAsia="Calibri" w:hAnsi="Arial" w:cs="Arial"/>
        </w:rPr>
      </w:pPr>
      <w:r w:rsidRPr="00D61F73">
        <w:rPr>
          <w:rFonts w:ascii="Arial" w:hAnsi="Arial" w:cs="Arial"/>
        </w:rPr>
        <w:t>Rating: 4b</w:t>
      </w:r>
    </w:p>
    <w:p w14:paraId="5754341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45" w:name="Watkins"/>
      <w:bookmarkEnd w:id="1245"/>
      <w:r w:rsidRPr="00D61F73">
        <w:rPr>
          <w:rFonts w:ascii="Arial" w:hAnsi="Arial" w:cs="Arial"/>
          <w:b/>
          <w:bCs/>
        </w:rPr>
        <w:t xml:space="preserve">atkins PB, Kaplowitz N, Slattery JT, Colonese CR, Colucci SV, Stewart PW, Harris SC. Aminotransferase elevations in healthy adults receiving 4 grams of acetaminophen daily: a randomized controlled trial. </w:t>
      </w:r>
      <w:r w:rsidRPr="00D61F73">
        <w:rPr>
          <w:rFonts w:ascii="Arial" w:hAnsi="Arial" w:cs="Arial"/>
          <w:b/>
          <w:bCs/>
          <w:i/>
          <w:iCs/>
        </w:rPr>
        <w:t>JAMA</w:t>
      </w:r>
      <w:r w:rsidRPr="00D61F73">
        <w:rPr>
          <w:rFonts w:ascii="Arial" w:hAnsi="Arial" w:cs="Arial"/>
          <w:b/>
          <w:bCs/>
        </w:rPr>
        <w:t>. 2006 Jul 5;296(1):87-93.</w:t>
      </w:r>
    </w:p>
    <w:p w14:paraId="545ED83A" w14:textId="77777777" w:rsidR="008D0565" w:rsidRPr="00D61F73" w:rsidRDefault="008D0565" w:rsidP="00D61F73">
      <w:pPr>
        <w:rPr>
          <w:rFonts w:ascii="Arial" w:hAnsi="Arial" w:cs="Arial"/>
        </w:rPr>
      </w:pPr>
    </w:p>
    <w:p w14:paraId="559A17AA" w14:textId="77777777" w:rsidR="008D0565" w:rsidRPr="00D61F73" w:rsidRDefault="008D0565" w:rsidP="00D61F73">
      <w:pPr>
        <w:rPr>
          <w:rFonts w:ascii="Arial" w:hAnsi="Arial" w:cs="Arial"/>
        </w:rPr>
      </w:pPr>
      <w:r w:rsidRPr="00D61F73">
        <w:rPr>
          <w:rFonts w:ascii="Arial" w:hAnsi="Arial" w:cs="Arial"/>
        </w:rPr>
        <w:t>Should add caution about daily dose of acetaminophen and liver disease if &gt; 4 g/day or in combination with other NSAID.</w:t>
      </w:r>
    </w:p>
    <w:p w14:paraId="138AB27F" w14:textId="77777777" w:rsidR="008D0565" w:rsidRPr="00D61F73" w:rsidRDefault="008D0565" w:rsidP="00D61F73">
      <w:pPr>
        <w:rPr>
          <w:rFonts w:ascii="Arial" w:hAnsi="Arial" w:cs="Arial"/>
        </w:rPr>
      </w:pPr>
    </w:p>
    <w:p w14:paraId="4AEE6E87" w14:textId="77777777" w:rsidR="008D0565" w:rsidRPr="00D61F73" w:rsidRDefault="008D0565" w:rsidP="00D61F73">
      <w:pPr>
        <w:rPr>
          <w:rFonts w:ascii="Arial" w:hAnsi="Arial" w:cs="Arial"/>
        </w:rPr>
      </w:pPr>
      <w:r w:rsidRPr="00D61F73">
        <w:rPr>
          <w:rFonts w:ascii="Arial" w:hAnsi="Arial" w:cs="Arial"/>
        </w:rPr>
        <w:t xml:space="preserve">PMID: </w:t>
      </w:r>
      <w:hyperlink r:id="rId871" w:history="1">
        <w:r w:rsidRPr="00D61F73">
          <w:rPr>
            <w:rStyle w:val="Hyperlink"/>
            <w:rFonts w:ascii="Arial" w:hAnsi="Arial" w:cs="Arial"/>
          </w:rPr>
          <w:t>16820551</w:t>
        </w:r>
      </w:hyperlink>
    </w:p>
    <w:p w14:paraId="38131A51" w14:textId="77777777" w:rsidR="008D0565" w:rsidRPr="00D61F73" w:rsidRDefault="008D0565" w:rsidP="00D61F73">
      <w:pPr>
        <w:rPr>
          <w:rFonts w:ascii="Arial" w:hAnsi="Arial" w:cs="Arial"/>
        </w:rPr>
      </w:pPr>
    </w:p>
    <w:p w14:paraId="4FE57722" w14:textId="77777777" w:rsidR="008D0565" w:rsidRPr="00D61F73" w:rsidRDefault="008D0565" w:rsidP="00D61F73">
      <w:pPr>
        <w:rPr>
          <w:rFonts w:ascii="Arial" w:hAnsi="Arial" w:cs="Arial"/>
        </w:rPr>
      </w:pPr>
      <w:r w:rsidRPr="00D61F73">
        <w:rPr>
          <w:rFonts w:ascii="Arial" w:hAnsi="Arial" w:cs="Arial"/>
        </w:rPr>
        <w:t>Rating: 2b</w:t>
      </w:r>
    </w:p>
    <w:p w14:paraId="311827CC" w14:textId="77777777" w:rsidR="008F2C24" w:rsidRPr="00D61F73" w:rsidRDefault="008F2C24" w:rsidP="00D61F73">
      <w:pPr>
        <w:rPr>
          <w:rFonts w:ascii="Arial" w:hAnsi="Arial" w:cs="Arial"/>
        </w:rPr>
      </w:pPr>
      <w:r w:rsidRPr="00D61F73">
        <w:rPr>
          <w:rFonts w:ascii="Arial" w:hAnsi="Arial" w:cs="Arial"/>
        </w:rPr>
        <w:br w:type="page"/>
      </w:r>
      <w:bookmarkStart w:id="1246" w:name="Webster2011"/>
      <w:r w:rsidRPr="00D61F73">
        <w:rPr>
          <w:rFonts w:ascii="Arial" w:hAnsi="Arial" w:cs="Arial"/>
          <w:b/>
        </w:rPr>
        <w:lastRenderedPageBreak/>
        <w:t>Webster LR</w:t>
      </w:r>
      <w:bookmarkEnd w:id="1246"/>
      <w:r w:rsidRPr="00D61F73">
        <w:rPr>
          <w:rFonts w:ascii="Arial" w:hAnsi="Arial" w:cs="Arial"/>
          <w:b/>
        </w:rPr>
        <w:t>, Cochella S, Dasgupta N, Fakata KL, Fine PG, Fishman SM, Grey T, Johnson EM, Lee LK, Passik SD, Peppin J, Porucznik CA, Ray A, Schnoll SH, Stieg RL, Wakeland W. An analysis of the root causes for opioid-related overdose deaths in the United States. Pain Med. 2011;12:S26-35.</w:t>
      </w:r>
      <w:r w:rsidRPr="00D61F73">
        <w:rPr>
          <w:rFonts w:ascii="Arial" w:hAnsi="Arial" w:cs="Arial"/>
          <w:b/>
        </w:rPr>
        <w:br/>
      </w:r>
      <w:r w:rsidRPr="00D61F73">
        <w:rPr>
          <w:rFonts w:ascii="Arial" w:hAnsi="Arial" w:cs="Arial"/>
        </w:rPr>
        <w:br/>
        <w:t>Although methadone represented less than 5% of opioid prescriptions dispensed, one third of opioid-related deaths nationwide implicated methadone.</w:t>
      </w:r>
      <w:r w:rsidRPr="00D61F73">
        <w:rPr>
          <w:rFonts w:ascii="Arial" w:hAnsi="Arial" w:cs="Arial"/>
        </w:rPr>
        <w:br/>
      </w:r>
      <w:r w:rsidRPr="00D61F73">
        <w:rPr>
          <w:rFonts w:ascii="Arial" w:hAnsi="Arial" w:cs="Arial"/>
        </w:rPr>
        <w:br/>
        <w:t xml:space="preserve">PMID: </w:t>
      </w:r>
      <w:hyperlink r:id="rId872" w:history="1">
        <w:r w:rsidRPr="00D61F73">
          <w:rPr>
            <w:rStyle w:val="Hyperlink"/>
            <w:rFonts w:ascii="Arial" w:hAnsi="Arial" w:cs="Arial"/>
          </w:rPr>
          <w:t>21668754</w:t>
        </w:r>
      </w:hyperlink>
      <w:r w:rsidRPr="00D61F73">
        <w:rPr>
          <w:rFonts w:ascii="Arial" w:hAnsi="Arial" w:cs="Arial"/>
        </w:rPr>
        <w:br/>
      </w:r>
      <w:r w:rsidRPr="00D61F73">
        <w:rPr>
          <w:rFonts w:ascii="Arial" w:hAnsi="Arial" w:cs="Arial"/>
        </w:rPr>
        <w:br/>
        <w:t>Rating: 5b</w:t>
      </w:r>
    </w:p>
    <w:p w14:paraId="06BB8BC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47" w:name="Weiss2011"/>
      <w:bookmarkEnd w:id="1247"/>
      <w:r w:rsidRPr="00D61F73">
        <w:rPr>
          <w:rFonts w:ascii="Arial" w:hAnsi="Arial" w:cs="Arial"/>
          <w:b/>
          <w:bCs/>
        </w:rPr>
        <w:t xml:space="preserve">eiss RD, Potter JS, Fiellin DA, Byrne M, Connery HS, Dickinson W, Gardin J, Griffin ML, Gourevitch MN, Haller DL, Hasson AL, Huang Z, Jacobs P, Kosinski AS, Lindblad R, McCance-Katz EF, Provost SE, Selzer J, Somoza EC, Sonne SC, Ling W. Adjunctive Counseling During Brief and Extended Buprenorphine-Naloxone Treatment for Prescription Opioid Dependence: A 2-Phase Randomized Controlled Trial. </w:t>
      </w:r>
      <w:r w:rsidRPr="00D61F73">
        <w:rPr>
          <w:rFonts w:ascii="Arial" w:hAnsi="Arial" w:cs="Arial"/>
          <w:b/>
          <w:bCs/>
          <w:i/>
          <w:iCs/>
        </w:rPr>
        <w:t>Arch Gen Psychiatry.</w:t>
      </w:r>
      <w:r w:rsidRPr="00D61F73">
        <w:rPr>
          <w:rFonts w:ascii="Arial" w:hAnsi="Arial" w:cs="Arial"/>
          <w:b/>
          <w:bCs/>
        </w:rPr>
        <w:t xml:space="preserve"> 2011 Nov 7. [Epub ahead of print]</w:t>
      </w:r>
    </w:p>
    <w:p w14:paraId="63EE6D38" w14:textId="77777777" w:rsidR="008D0565" w:rsidRPr="00D61F73" w:rsidRDefault="008D0565" w:rsidP="00D61F73">
      <w:pPr>
        <w:rPr>
          <w:rFonts w:ascii="Arial" w:hAnsi="Arial" w:cs="Arial"/>
        </w:rPr>
      </w:pPr>
    </w:p>
    <w:p w14:paraId="4CE0D6F5" w14:textId="77777777" w:rsidR="008D0565" w:rsidRPr="00D61F73" w:rsidRDefault="008D0565" w:rsidP="00D61F73">
      <w:pPr>
        <w:rPr>
          <w:rFonts w:ascii="Arial" w:hAnsi="Arial" w:cs="Arial"/>
        </w:rPr>
      </w:pPr>
      <w:r w:rsidRPr="00D61F73">
        <w:rPr>
          <w:rFonts w:ascii="Arial" w:hAnsi="Arial" w:cs="Arial"/>
        </w:rPr>
        <w:t>Prescription opioid-dependent patients are most likely to reduce opioid use during buprenorphine-naloxone treatment.</w:t>
      </w:r>
    </w:p>
    <w:p w14:paraId="68A35822" w14:textId="77777777" w:rsidR="008D0565" w:rsidRPr="00D61F73" w:rsidRDefault="008D0565" w:rsidP="00D61F73">
      <w:pPr>
        <w:rPr>
          <w:rFonts w:ascii="Arial" w:hAnsi="Arial" w:cs="Arial"/>
        </w:rPr>
      </w:pPr>
    </w:p>
    <w:p w14:paraId="5D78F61A" w14:textId="77777777" w:rsidR="008D0565" w:rsidRPr="00D61F73" w:rsidRDefault="008D0565" w:rsidP="00D61F73">
      <w:pPr>
        <w:rPr>
          <w:rFonts w:ascii="Arial" w:hAnsi="Arial" w:cs="Arial"/>
        </w:rPr>
      </w:pPr>
      <w:r w:rsidRPr="00D61F73">
        <w:rPr>
          <w:rFonts w:ascii="Arial" w:hAnsi="Arial" w:cs="Arial"/>
        </w:rPr>
        <w:t xml:space="preserve">PMID: </w:t>
      </w:r>
      <w:hyperlink r:id="rId873" w:history="1">
        <w:r w:rsidRPr="00D61F73">
          <w:rPr>
            <w:rStyle w:val="Hyperlink"/>
            <w:rFonts w:ascii="Arial" w:hAnsi="Arial" w:cs="Arial"/>
          </w:rPr>
          <w:t>22065255</w:t>
        </w:r>
      </w:hyperlink>
      <w:r w:rsidRPr="00D61F73">
        <w:rPr>
          <w:rFonts w:ascii="Arial" w:hAnsi="Arial" w:cs="Arial"/>
        </w:rPr>
        <w:t xml:space="preserve"> </w:t>
      </w:r>
    </w:p>
    <w:p w14:paraId="048636EA" w14:textId="77777777" w:rsidR="008D0565" w:rsidRPr="00D61F73" w:rsidRDefault="008D0565" w:rsidP="00D61F73">
      <w:pPr>
        <w:rPr>
          <w:rFonts w:ascii="Arial" w:hAnsi="Arial" w:cs="Arial"/>
        </w:rPr>
      </w:pPr>
    </w:p>
    <w:p w14:paraId="2BF55EF7" w14:textId="77777777" w:rsidR="008D0565" w:rsidRPr="00D61F73" w:rsidRDefault="008D0565" w:rsidP="00D61F73">
      <w:pPr>
        <w:rPr>
          <w:rFonts w:ascii="Arial" w:hAnsi="Arial" w:cs="Arial"/>
        </w:rPr>
      </w:pPr>
      <w:r w:rsidRPr="00D61F73">
        <w:rPr>
          <w:rFonts w:ascii="Arial" w:hAnsi="Arial" w:cs="Arial"/>
        </w:rPr>
        <w:t>Rating: 2a</w:t>
      </w:r>
    </w:p>
    <w:p w14:paraId="7F48E6CB" w14:textId="77777777" w:rsidR="00535A74" w:rsidRPr="00D61F73" w:rsidRDefault="00535A74" w:rsidP="00D61F73">
      <w:pPr>
        <w:rPr>
          <w:rFonts w:ascii="Arial" w:hAnsi="Arial" w:cs="Arial"/>
        </w:rPr>
      </w:pPr>
      <w:r w:rsidRPr="00D61F73">
        <w:rPr>
          <w:rFonts w:ascii="Arial" w:hAnsi="Arial" w:cs="Arial"/>
        </w:rPr>
        <w:br w:type="page"/>
      </w:r>
      <w:bookmarkStart w:id="1248" w:name="Wepner2014"/>
      <w:bookmarkEnd w:id="1248"/>
      <w:r w:rsidRPr="00D61F73">
        <w:rPr>
          <w:rFonts w:ascii="Arial" w:hAnsi="Arial" w:cs="Arial"/>
          <w:b/>
          <w:bCs/>
        </w:rPr>
        <w:lastRenderedPageBreak/>
        <w:t>Wepner F, Scheuer R, Schuetz-Wieser B, Machacek P, Pieler-Bruha E, Cross HS, Hahne J, Friedrich M. Effects of vitamin D on patients with fibromyalgia syndrome: a randomized placebo-controlled trial. </w:t>
      </w:r>
      <w:r w:rsidRPr="00D61F73">
        <w:rPr>
          <w:rFonts w:ascii="Arial" w:hAnsi="Arial" w:cs="Arial"/>
          <w:b/>
          <w:bCs/>
          <w:i/>
          <w:iCs/>
        </w:rPr>
        <w:t>Pain.</w:t>
      </w:r>
      <w:r w:rsidRPr="00D61F73">
        <w:rPr>
          <w:rFonts w:ascii="Arial" w:hAnsi="Arial" w:cs="Arial"/>
          <w:b/>
          <w:bCs/>
        </w:rPr>
        <w:t> 2014 Feb;155(2):261-8. doi: 10.1016/j.pain.2013.10.002.</w:t>
      </w:r>
    </w:p>
    <w:p w14:paraId="2ACAFB60" w14:textId="77777777" w:rsidR="00535A74" w:rsidRPr="00D61F73" w:rsidRDefault="00535A74" w:rsidP="00D61F73">
      <w:pPr>
        <w:rPr>
          <w:rFonts w:ascii="Arial" w:hAnsi="Arial" w:cs="Arial"/>
        </w:rPr>
      </w:pPr>
      <w:r w:rsidRPr="00D61F73">
        <w:rPr>
          <w:rFonts w:ascii="Arial" w:hAnsi="Arial" w:cs="Arial"/>
        </w:rPr>
        <w:t> </w:t>
      </w:r>
    </w:p>
    <w:p w14:paraId="481A4EA4" w14:textId="77777777" w:rsidR="00535A74" w:rsidRPr="00D61F73" w:rsidRDefault="00535A74" w:rsidP="00D61F73">
      <w:pPr>
        <w:rPr>
          <w:rFonts w:ascii="Arial" w:hAnsi="Arial" w:cs="Arial"/>
        </w:rPr>
      </w:pPr>
      <w:r w:rsidRPr="00D61F73">
        <w:rPr>
          <w:rFonts w:ascii="Arial" w:hAnsi="Arial" w:cs="Arial"/>
        </w:rPr>
        <w:t>PMID: </w:t>
      </w:r>
      <w:hyperlink r:id="rId874" w:history="1">
        <w:r w:rsidRPr="00D61F73">
          <w:rPr>
            <w:rStyle w:val="Hyperlink"/>
            <w:rFonts w:ascii="Arial" w:hAnsi="Arial" w:cs="Arial"/>
          </w:rPr>
          <w:t>24438771</w:t>
        </w:r>
      </w:hyperlink>
    </w:p>
    <w:p w14:paraId="3447CF55" w14:textId="77777777" w:rsidR="00535A74" w:rsidRPr="00D61F73" w:rsidRDefault="00535A74" w:rsidP="00D61F73">
      <w:pPr>
        <w:rPr>
          <w:rFonts w:ascii="Arial" w:hAnsi="Arial" w:cs="Arial"/>
        </w:rPr>
      </w:pPr>
      <w:r w:rsidRPr="00D61F73">
        <w:rPr>
          <w:rFonts w:ascii="Arial" w:hAnsi="Arial" w:cs="Arial"/>
        </w:rPr>
        <w:t> </w:t>
      </w:r>
    </w:p>
    <w:p w14:paraId="41E9BCFB" w14:textId="77777777" w:rsidR="00535A74" w:rsidRPr="00D61F73" w:rsidRDefault="00535A74" w:rsidP="00D61F73">
      <w:pPr>
        <w:rPr>
          <w:rFonts w:ascii="Arial" w:hAnsi="Arial" w:cs="Arial"/>
        </w:rPr>
      </w:pPr>
      <w:r w:rsidRPr="00D61F73">
        <w:rPr>
          <w:rFonts w:ascii="Arial" w:hAnsi="Arial" w:cs="Arial"/>
        </w:rPr>
        <w:t>Rating: 2b</w:t>
      </w:r>
    </w:p>
    <w:p w14:paraId="3F03BF80"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W</w:t>
      </w:r>
      <w:bookmarkStart w:id="1249" w:name="Wenham2010"/>
      <w:bookmarkEnd w:id="1249"/>
      <w:r w:rsidRPr="00D61F73">
        <w:rPr>
          <w:rFonts w:ascii="Arial" w:hAnsi="Arial" w:cs="Arial"/>
          <w:b/>
        </w:rPr>
        <w:t xml:space="preserve">enham CY, Conaghan PG. Optimising pain control in osteoarthritis. </w:t>
      </w:r>
      <w:r w:rsidRPr="00D61F73">
        <w:rPr>
          <w:rFonts w:ascii="Arial" w:hAnsi="Arial" w:cs="Arial"/>
          <w:b/>
          <w:i/>
        </w:rPr>
        <w:t>Practitioner</w:t>
      </w:r>
      <w:r w:rsidRPr="00D61F73">
        <w:rPr>
          <w:rFonts w:ascii="Arial" w:hAnsi="Arial" w:cs="Arial"/>
          <w:b/>
        </w:rPr>
        <w:t>. 2010;254:23-6, 2-3.</w:t>
      </w:r>
    </w:p>
    <w:p w14:paraId="0DD674EF" w14:textId="77777777" w:rsidR="008D0565" w:rsidRPr="00D61F73" w:rsidRDefault="008D0565" w:rsidP="00D61F73">
      <w:pPr>
        <w:tabs>
          <w:tab w:val="left" w:pos="7200"/>
        </w:tabs>
        <w:rPr>
          <w:rFonts w:ascii="Arial" w:eastAsia="Calibri" w:hAnsi="Arial" w:cs="Arial"/>
        </w:rPr>
      </w:pPr>
    </w:p>
    <w:p w14:paraId="7750A9B8"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Paracetamol and topical NSAIDs should be tried before oral NSAIDs. Topical NSAIDs are effective in the short-term and are not associated with systemic toxicity. Oral NSAIDs should be used at the lowest effective dose for the shortest possible time. </w:t>
      </w:r>
    </w:p>
    <w:p w14:paraId="6C8C012F" w14:textId="77777777" w:rsidR="008D0565" w:rsidRPr="00D61F73" w:rsidRDefault="008D0565" w:rsidP="00D61F73">
      <w:pPr>
        <w:tabs>
          <w:tab w:val="left" w:pos="7200"/>
        </w:tabs>
        <w:rPr>
          <w:rFonts w:ascii="Arial" w:eastAsia="Calibri" w:hAnsi="Arial" w:cs="Arial"/>
        </w:rPr>
      </w:pPr>
    </w:p>
    <w:p w14:paraId="52166654" w14:textId="77777777" w:rsidR="008D0565" w:rsidRPr="00D61F73" w:rsidRDefault="008D0565" w:rsidP="00D61F73">
      <w:pPr>
        <w:tabs>
          <w:tab w:val="left" w:pos="7200"/>
        </w:tabs>
        <w:rPr>
          <w:rFonts w:ascii="Arial" w:eastAsia="Calibri" w:hAnsi="Arial" w:cs="Arial"/>
        </w:rPr>
      </w:pPr>
      <w:r w:rsidRPr="00D61F73">
        <w:rPr>
          <w:rFonts w:ascii="Arial" w:hAnsi="Arial" w:cs="Arial"/>
        </w:rPr>
        <w:t xml:space="preserve">PMID: </w:t>
      </w:r>
      <w:hyperlink r:id="rId875" w:history="1">
        <w:r w:rsidRPr="00D61F73">
          <w:rPr>
            <w:rStyle w:val="Hyperlink"/>
            <w:rFonts w:ascii="Arial" w:hAnsi="Arial" w:cs="Arial"/>
          </w:rPr>
          <w:t>21306035</w:t>
        </w:r>
      </w:hyperlink>
    </w:p>
    <w:p w14:paraId="406080E7" w14:textId="77777777" w:rsidR="008D0565" w:rsidRPr="00D61F73" w:rsidRDefault="008D0565" w:rsidP="00D61F73">
      <w:pPr>
        <w:tabs>
          <w:tab w:val="left" w:pos="7200"/>
        </w:tabs>
        <w:rPr>
          <w:rFonts w:ascii="Arial" w:eastAsia="Calibri" w:hAnsi="Arial" w:cs="Arial"/>
        </w:rPr>
      </w:pPr>
    </w:p>
    <w:p w14:paraId="513DF655" w14:textId="77777777" w:rsidR="008D0565" w:rsidRPr="00D61F73" w:rsidRDefault="008D0565" w:rsidP="00D61F73">
      <w:pPr>
        <w:tabs>
          <w:tab w:val="left" w:pos="7200"/>
        </w:tabs>
        <w:rPr>
          <w:rFonts w:ascii="Arial" w:eastAsia="Calibri" w:hAnsi="Arial" w:cs="Arial"/>
        </w:rPr>
      </w:pPr>
      <w:r w:rsidRPr="00D61F73">
        <w:rPr>
          <w:rFonts w:ascii="Arial" w:hAnsi="Arial" w:cs="Arial"/>
        </w:rPr>
        <w:t>Rating: 5a</w:t>
      </w:r>
    </w:p>
    <w:p w14:paraId="5120019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W</w:t>
      </w:r>
      <w:bookmarkStart w:id="1250" w:name="Wermeling"/>
      <w:bookmarkEnd w:id="1250"/>
      <w:r w:rsidRPr="00D61F73">
        <w:rPr>
          <w:rFonts w:ascii="Arial" w:hAnsi="Arial" w:cs="Arial"/>
          <w:b/>
        </w:rPr>
        <w:t xml:space="preserve">ermeling DP. Ziconotide, an intrathecally administered N-type calcium channel antagonist for the treatment of chronic pain. </w:t>
      </w:r>
      <w:r w:rsidRPr="00D61F73">
        <w:rPr>
          <w:rFonts w:ascii="Arial" w:hAnsi="Arial" w:cs="Arial"/>
          <w:b/>
          <w:i/>
        </w:rPr>
        <w:t>Pharmacotherapy.</w:t>
      </w:r>
      <w:r w:rsidRPr="00D61F73">
        <w:rPr>
          <w:rFonts w:ascii="Arial" w:hAnsi="Arial" w:cs="Arial"/>
          <w:b/>
        </w:rPr>
        <w:t xml:space="preserve"> 2005 Aug;25(8):1084-94.</w:t>
      </w:r>
    </w:p>
    <w:p w14:paraId="53EA7245" w14:textId="77777777" w:rsidR="008D0565" w:rsidRPr="00D61F73" w:rsidRDefault="008D0565" w:rsidP="00D61F73">
      <w:pPr>
        <w:rPr>
          <w:rFonts w:ascii="Arial" w:hAnsi="Arial" w:cs="Arial"/>
          <w:b/>
        </w:rPr>
      </w:pPr>
    </w:p>
    <w:p w14:paraId="642EAE89" w14:textId="77777777" w:rsidR="008D0565" w:rsidRPr="00D61F73" w:rsidRDefault="008D0565" w:rsidP="00D61F73">
      <w:pPr>
        <w:rPr>
          <w:rFonts w:ascii="Arial" w:hAnsi="Arial" w:cs="Arial"/>
        </w:rPr>
      </w:pPr>
      <w:r w:rsidRPr="00D61F73">
        <w:rPr>
          <w:rFonts w:ascii="Arial" w:hAnsi="Arial" w:cs="Arial"/>
        </w:rPr>
        <w:t xml:space="preserve">Therefore, patients with psychiatric symptoms are not candidates for this drug. </w:t>
      </w:r>
    </w:p>
    <w:p w14:paraId="6DEAA611" w14:textId="77777777" w:rsidR="008D0565" w:rsidRPr="00D61F73" w:rsidRDefault="008D0565" w:rsidP="00D61F73">
      <w:pPr>
        <w:rPr>
          <w:rFonts w:ascii="Arial" w:hAnsi="Arial" w:cs="Arial"/>
        </w:rPr>
      </w:pPr>
    </w:p>
    <w:p w14:paraId="5DF1D462" w14:textId="77777777" w:rsidR="008D0565" w:rsidRPr="00D61F73" w:rsidRDefault="008D0565" w:rsidP="00D61F73">
      <w:pPr>
        <w:rPr>
          <w:rFonts w:ascii="Arial" w:hAnsi="Arial" w:cs="Arial"/>
        </w:rPr>
      </w:pPr>
      <w:r w:rsidRPr="00D61F73">
        <w:rPr>
          <w:rFonts w:ascii="Arial" w:hAnsi="Arial" w:cs="Arial"/>
        </w:rPr>
        <w:t xml:space="preserve">PMID: </w:t>
      </w:r>
      <w:hyperlink r:id="rId876" w:history="1">
        <w:r w:rsidRPr="00D61F73">
          <w:rPr>
            <w:rStyle w:val="Hyperlink"/>
            <w:rFonts w:ascii="Arial" w:hAnsi="Arial" w:cs="Arial"/>
          </w:rPr>
          <w:t>16207099</w:t>
        </w:r>
      </w:hyperlink>
    </w:p>
    <w:p w14:paraId="216D9755" w14:textId="77777777" w:rsidR="008D0565" w:rsidRPr="00D61F73" w:rsidRDefault="008D0565" w:rsidP="00D61F73">
      <w:pPr>
        <w:rPr>
          <w:rFonts w:ascii="Arial" w:hAnsi="Arial" w:cs="Arial"/>
        </w:rPr>
      </w:pPr>
    </w:p>
    <w:p w14:paraId="045368A8" w14:textId="77777777" w:rsidR="008D0565" w:rsidRPr="00D61F73" w:rsidRDefault="008D0565" w:rsidP="00D61F73">
      <w:pPr>
        <w:rPr>
          <w:rFonts w:ascii="Arial" w:hAnsi="Arial" w:cs="Arial"/>
        </w:rPr>
      </w:pPr>
      <w:r w:rsidRPr="00D61F73">
        <w:rPr>
          <w:rFonts w:ascii="Arial" w:hAnsi="Arial" w:cs="Arial"/>
        </w:rPr>
        <w:t>Rating: 5a</w:t>
      </w:r>
    </w:p>
    <w:p w14:paraId="0EE2A12B" w14:textId="77777777" w:rsidR="004C325C" w:rsidRPr="00D61F73" w:rsidRDefault="004C325C" w:rsidP="00D61F73">
      <w:pPr>
        <w:rPr>
          <w:rFonts w:ascii="Arial" w:hAnsi="Arial" w:cs="Arial"/>
        </w:rPr>
      </w:pPr>
      <w:r w:rsidRPr="00D61F73">
        <w:rPr>
          <w:rFonts w:ascii="Arial" w:hAnsi="Arial" w:cs="Arial"/>
        </w:rPr>
        <w:br w:type="page"/>
      </w:r>
      <w:bookmarkStart w:id="1251" w:name="Wermeling2015"/>
      <w:r w:rsidRPr="00D61F73">
        <w:rPr>
          <w:rFonts w:ascii="Arial" w:hAnsi="Arial" w:cs="Arial"/>
          <w:b/>
        </w:rPr>
        <w:lastRenderedPageBreak/>
        <w:t>Wermeling DP</w:t>
      </w:r>
      <w:bookmarkEnd w:id="1251"/>
      <w:r w:rsidRPr="00D61F73">
        <w:rPr>
          <w:rFonts w:ascii="Arial" w:hAnsi="Arial" w:cs="Arial"/>
          <w:b/>
        </w:rPr>
        <w:t>. Review of naloxone safety for opioid overdose: practical considerations for new technology and expanded public access. Ther Adv Drug Saf. 2015;6:20-31.</w:t>
      </w:r>
      <w:r w:rsidRPr="00D61F73">
        <w:rPr>
          <w:rFonts w:ascii="Arial" w:hAnsi="Arial" w:cs="Arial"/>
          <w:b/>
        </w:rPr>
        <w:br/>
      </w:r>
      <w:r w:rsidRPr="00D61F73">
        <w:rPr>
          <w:rFonts w:ascii="Arial" w:hAnsi="Arial" w:cs="Arial"/>
        </w:rPr>
        <w:br/>
        <w:t xml:space="preserve">PMID: </w:t>
      </w:r>
      <w:hyperlink r:id="rId877" w:history="1">
        <w:r w:rsidRPr="00D61F73">
          <w:rPr>
            <w:rStyle w:val="Hyperlink"/>
            <w:rFonts w:ascii="Arial" w:hAnsi="Arial" w:cs="Arial"/>
          </w:rPr>
          <w:t>25642320</w:t>
        </w:r>
      </w:hyperlink>
      <w:r w:rsidRPr="00D61F73">
        <w:rPr>
          <w:rFonts w:ascii="Arial" w:hAnsi="Arial" w:cs="Arial"/>
        </w:rPr>
        <w:br/>
      </w:r>
      <w:r w:rsidRPr="00D61F73">
        <w:rPr>
          <w:rFonts w:ascii="Arial" w:hAnsi="Arial" w:cs="Arial"/>
        </w:rPr>
        <w:br/>
        <w:t>Rating: 5c</w:t>
      </w:r>
    </w:p>
    <w:p w14:paraId="274DA19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W</w:t>
      </w:r>
      <w:bookmarkStart w:id="1252" w:name="Weschules"/>
      <w:bookmarkEnd w:id="1252"/>
      <w:r w:rsidRPr="00D61F73">
        <w:rPr>
          <w:rFonts w:ascii="Arial" w:hAnsi="Arial" w:cs="Arial"/>
          <w:b/>
        </w:rPr>
        <w:t xml:space="preserve">eschules DJ, Bain KT, Richeimer S. Actual and potential drug interactions associated with methadone. </w:t>
      </w:r>
      <w:r w:rsidRPr="00D61F73">
        <w:rPr>
          <w:rFonts w:ascii="Arial" w:hAnsi="Arial" w:cs="Arial"/>
          <w:b/>
          <w:i/>
        </w:rPr>
        <w:t>Pain Med</w:t>
      </w:r>
      <w:r w:rsidRPr="00D61F73">
        <w:rPr>
          <w:rFonts w:ascii="Arial" w:hAnsi="Arial" w:cs="Arial"/>
          <w:b/>
        </w:rPr>
        <w:t>. 2008;9:315-44.</w:t>
      </w:r>
    </w:p>
    <w:p w14:paraId="683C4BA8" w14:textId="77777777" w:rsidR="008D0565" w:rsidRPr="00D61F73" w:rsidRDefault="008D0565" w:rsidP="00D61F73">
      <w:pPr>
        <w:rPr>
          <w:rFonts w:ascii="Arial" w:hAnsi="Arial" w:cs="Arial"/>
        </w:rPr>
      </w:pPr>
    </w:p>
    <w:p w14:paraId="6C2F6244" w14:textId="77777777" w:rsidR="008D0565" w:rsidRPr="00D61F73" w:rsidRDefault="008D0565" w:rsidP="00D61F73">
      <w:pPr>
        <w:rPr>
          <w:rFonts w:ascii="Arial" w:hAnsi="Arial" w:cs="Arial"/>
        </w:rPr>
      </w:pPr>
      <w:r w:rsidRPr="00D61F73">
        <w:rPr>
          <w:rFonts w:ascii="Arial" w:hAnsi="Arial" w:cs="Arial"/>
        </w:rPr>
        <w:t xml:space="preserve">Genetic variability may play a role in the pharmacokinetics and pharmacodynamics of many medications, including methadone. </w:t>
      </w:r>
    </w:p>
    <w:p w14:paraId="70D9BCAB" w14:textId="77777777" w:rsidR="008D0565" w:rsidRPr="00D61F73" w:rsidRDefault="008D0565" w:rsidP="00D61F73">
      <w:pPr>
        <w:rPr>
          <w:rFonts w:ascii="Arial" w:hAnsi="Arial" w:cs="Arial"/>
        </w:rPr>
      </w:pPr>
    </w:p>
    <w:p w14:paraId="6C27D099" w14:textId="77777777" w:rsidR="008D0565" w:rsidRPr="00D61F73" w:rsidRDefault="008D0565" w:rsidP="00D61F73">
      <w:pPr>
        <w:rPr>
          <w:rFonts w:ascii="Arial" w:hAnsi="Arial" w:cs="Arial"/>
        </w:rPr>
      </w:pPr>
      <w:r w:rsidRPr="00D61F73">
        <w:rPr>
          <w:rFonts w:ascii="Arial" w:hAnsi="Arial" w:cs="Arial"/>
        </w:rPr>
        <w:t xml:space="preserve">PMID: </w:t>
      </w:r>
      <w:hyperlink r:id="rId878" w:history="1">
        <w:r w:rsidRPr="00D61F73">
          <w:rPr>
            <w:rStyle w:val="Hyperlink"/>
            <w:rFonts w:ascii="Arial" w:hAnsi="Arial" w:cs="Arial"/>
          </w:rPr>
          <w:t>18386306</w:t>
        </w:r>
      </w:hyperlink>
      <w:r w:rsidRPr="00D61F73">
        <w:rPr>
          <w:rFonts w:ascii="Arial" w:hAnsi="Arial" w:cs="Arial"/>
        </w:rPr>
        <w:t xml:space="preserve"> </w:t>
      </w:r>
    </w:p>
    <w:p w14:paraId="4E7A6DC0" w14:textId="77777777" w:rsidR="008D0565" w:rsidRPr="00D61F73" w:rsidRDefault="008D0565" w:rsidP="00D61F73">
      <w:pPr>
        <w:rPr>
          <w:rFonts w:ascii="Arial" w:hAnsi="Arial" w:cs="Arial"/>
        </w:rPr>
      </w:pPr>
    </w:p>
    <w:p w14:paraId="49D13571" w14:textId="77777777" w:rsidR="008D0565" w:rsidRPr="00D61F73" w:rsidRDefault="008D0565" w:rsidP="00D61F73">
      <w:pPr>
        <w:rPr>
          <w:rFonts w:ascii="Arial" w:hAnsi="Arial" w:cs="Arial"/>
        </w:rPr>
      </w:pPr>
      <w:r w:rsidRPr="00D61F73">
        <w:rPr>
          <w:rFonts w:ascii="Arial" w:hAnsi="Arial" w:cs="Arial"/>
        </w:rPr>
        <w:t>Rating: 1a</w:t>
      </w:r>
    </w:p>
    <w:p w14:paraId="79FC0FF5" w14:textId="77777777" w:rsidR="00F1493A" w:rsidRPr="00D61F73" w:rsidRDefault="00F1493A" w:rsidP="00D61F73">
      <w:pPr>
        <w:rPr>
          <w:rFonts w:ascii="Arial" w:hAnsi="Arial" w:cs="Arial"/>
        </w:rPr>
      </w:pPr>
      <w:r w:rsidRPr="00D61F73">
        <w:rPr>
          <w:rFonts w:ascii="Arial" w:hAnsi="Arial" w:cs="Arial"/>
        </w:rPr>
        <w:br w:type="page"/>
      </w:r>
      <w:bookmarkStart w:id="1253" w:name="Wheeler"/>
      <w:r w:rsidRPr="00D61F73">
        <w:rPr>
          <w:rFonts w:ascii="Arial" w:hAnsi="Arial" w:cs="Arial"/>
          <w:b/>
          <w:bCs/>
        </w:rPr>
        <w:lastRenderedPageBreak/>
        <w:t>Wheeler </w:t>
      </w:r>
      <w:bookmarkEnd w:id="1253"/>
      <w:r w:rsidRPr="00D61F73">
        <w:rPr>
          <w:rFonts w:ascii="Arial" w:hAnsi="Arial" w:cs="Arial"/>
          <w:b/>
          <w:bCs/>
        </w:rPr>
        <w:t>AH, Goolkasian P, Gretz SS. A Randomized, Double-Blind, Prospective Pilot Study of Botulinum Toxin Injection for Refractory, Unilateral, Cervicothroacic, Paraspinal, Myofascial Pain Syndrome. </w:t>
      </w:r>
      <w:r w:rsidRPr="00D61F73">
        <w:rPr>
          <w:rFonts w:ascii="Arial" w:hAnsi="Arial" w:cs="Arial"/>
          <w:b/>
          <w:bCs/>
          <w:i/>
          <w:iCs/>
        </w:rPr>
        <w:t>Spine</w:t>
      </w:r>
      <w:r w:rsidRPr="00D61F73">
        <w:rPr>
          <w:rFonts w:ascii="Arial" w:hAnsi="Arial" w:cs="Arial"/>
          <w:b/>
          <w:bCs/>
        </w:rPr>
        <w:t> 1998;23:1662-7.</w:t>
      </w:r>
    </w:p>
    <w:p w14:paraId="55FD1706" w14:textId="77777777" w:rsidR="00F1493A" w:rsidRPr="00D61F73" w:rsidRDefault="00F1493A" w:rsidP="00D61F73">
      <w:pPr>
        <w:rPr>
          <w:rFonts w:ascii="Arial" w:hAnsi="Arial" w:cs="Arial"/>
        </w:rPr>
      </w:pPr>
      <w:r w:rsidRPr="00D61F73">
        <w:rPr>
          <w:rFonts w:ascii="Arial" w:hAnsi="Arial" w:cs="Arial"/>
          <w:b/>
          <w:bCs/>
        </w:rPr>
        <w:t> </w:t>
      </w:r>
    </w:p>
    <w:p w14:paraId="6969261B" w14:textId="77777777" w:rsidR="00F1493A" w:rsidRPr="00D61F73" w:rsidRDefault="00F1493A" w:rsidP="00D61F73">
      <w:pPr>
        <w:rPr>
          <w:rFonts w:ascii="Arial" w:hAnsi="Arial" w:cs="Arial"/>
          <w:b/>
          <w:bCs/>
        </w:rPr>
      </w:pPr>
      <w:r w:rsidRPr="00D61F73">
        <w:rPr>
          <w:rFonts w:ascii="Arial" w:hAnsi="Arial" w:cs="Arial"/>
        </w:rPr>
        <w:t>First injections of Botox were not significantly different from saline injection, and not clearly better than would be expected from dry needling. Second injection did produce noticeable group difference, with advantage for those who had received Botox at first injection, but difference not significant and meaning unclear</w:t>
      </w:r>
    </w:p>
    <w:p w14:paraId="01E7CD5A" w14:textId="77777777" w:rsidR="00F1493A" w:rsidRPr="00D61F73" w:rsidRDefault="00F1493A" w:rsidP="00D61F73">
      <w:pPr>
        <w:rPr>
          <w:rFonts w:ascii="Arial" w:hAnsi="Arial" w:cs="Arial"/>
        </w:rPr>
      </w:pPr>
      <w:r w:rsidRPr="00D61F73">
        <w:rPr>
          <w:rFonts w:ascii="Arial" w:hAnsi="Arial" w:cs="Arial"/>
        </w:rPr>
        <w:t> </w:t>
      </w:r>
    </w:p>
    <w:p w14:paraId="34BDAC9E" w14:textId="77777777" w:rsidR="00F1493A" w:rsidRPr="00D61F73" w:rsidRDefault="00F1493A" w:rsidP="00D61F73">
      <w:pPr>
        <w:rPr>
          <w:rFonts w:ascii="Arial" w:hAnsi="Arial" w:cs="Arial"/>
        </w:rPr>
      </w:pPr>
      <w:r w:rsidRPr="00D61F73">
        <w:rPr>
          <w:rFonts w:ascii="Arial" w:hAnsi="Arial" w:cs="Arial"/>
        </w:rPr>
        <w:t>Publication Type: RCT, 32</w:t>
      </w:r>
    </w:p>
    <w:p w14:paraId="6B9408B5" w14:textId="77777777" w:rsidR="00F1493A" w:rsidRPr="00D61F73" w:rsidRDefault="00F1493A" w:rsidP="00D61F73">
      <w:pPr>
        <w:rPr>
          <w:rFonts w:ascii="Arial" w:hAnsi="Arial" w:cs="Arial"/>
        </w:rPr>
      </w:pPr>
      <w:r w:rsidRPr="00D61F73">
        <w:rPr>
          <w:rFonts w:ascii="Arial" w:hAnsi="Arial" w:cs="Arial"/>
        </w:rPr>
        <w:t> </w:t>
      </w:r>
    </w:p>
    <w:p w14:paraId="291EFA65" w14:textId="77777777" w:rsidR="00F1493A" w:rsidRPr="00D61F73" w:rsidRDefault="00F1493A" w:rsidP="00D61F73">
      <w:pPr>
        <w:rPr>
          <w:rFonts w:ascii="Arial" w:hAnsi="Arial" w:cs="Arial"/>
        </w:rPr>
      </w:pPr>
      <w:r w:rsidRPr="00D61F73">
        <w:rPr>
          <w:rFonts w:ascii="Arial" w:hAnsi="Arial" w:cs="Arial"/>
        </w:rPr>
        <w:t>PMID: </w:t>
      </w:r>
      <w:hyperlink r:id="rId879" w:history="1">
        <w:r w:rsidRPr="00D61F73">
          <w:rPr>
            <w:rStyle w:val="Hyperlink"/>
            <w:rFonts w:ascii="Arial" w:hAnsi="Arial" w:cs="Arial"/>
          </w:rPr>
          <w:t>11731062</w:t>
        </w:r>
      </w:hyperlink>
    </w:p>
    <w:p w14:paraId="2478CB3C" w14:textId="77777777" w:rsidR="00F1493A" w:rsidRPr="00D61F73" w:rsidRDefault="00F1493A" w:rsidP="00D61F73">
      <w:pPr>
        <w:rPr>
          <w:rFonts w:ascii="Arial" w:hAnsi="Arial" w:cs="Arial"/>
        </w:rPr>
      </w:pPr>
      <w:r w:rsidRPr="00D61F73">
        <w:rPr>
          <w:rFonts w:ascii="Arial" w:hAnsi="Arial" w:cs="Arial"/>
        </w:rPr>
        <w:t> </w:t>
      </w:r>
    </w:p>
    <w:p w14:paraId="49198EC5" w14:textId="77777777" w:rsidR="00F1493A" w:rsidRPr="00D61F73" w:rsidRDefault="00F1493A" w:rsidP="00D61F73">
      <w:pPr>
        <w:rPr>
          <w:rFonts w:ascii="Arial" w:hAnsi="Arial" w:cs="Arial"/>
        </w:rPr>
      </w:pPr>
      <w:r w:rsidRPr="00D61F73">
        <w:rPr>
          <w:rFonts w:ascii="Arial" w:hAnsi="Arial" w:cs="Arial"/>
        </w:rPr>
        <w:t>Rating: 2b</w:t>
      </w:r>
    </w:p>
    <w:p w14:paraId="7486EA77" w14:textId="77777777" w:rsidR="00F1493A" w:rsidRPr="00D61F73" w:rsidRDefault="00F1493A" w:rsidP="00D61F73">
      <w:pPr>
        <w:rPr>
          <w:rFonts w:ascii="Arial" w:hAnsi="Arial" w:cs="Arial"/>
        </w:rPr>
      </w:pPr>
      <w:r w:rsidRPr="00D61F73">
        <w:rPr>
          <w:rFonts w:ascii="Arial" w:hAnsi="Arial" w:cs="Arial"/>
        </w:rPr>
        <w:t> </w:t>
      </w:r>
    </w:p>
    <w:p w14:paraId="76DDBB55" w14:textId="77777777" w:rsidR="00795879" w:rsidRPr="00D61F73" w:rsidRDefault="00795879" w:rsidP="00D61F73">
      <w:pPr>
        <w:rPr>
          <w:rFonts w:ascii="Arial" w:hAnsi="Arial" w:cs="Arial"/>
          <w:b/>
        </w:rPr>
      </w:pPr>
      <w:r w:rsidRPr="00D61F73">
        <w:rPr>
          <w:rFonts w:ascii="Arial" w:hAnsi="Arial" w:cs="Arial"/>
        </w:rPr>
        <w:br w:type="page"/>
      </w:r>
      <w:bookmarkStart w:id="1254" w:name="White2014"/>
      <w:bookmarkEnd w:id="1254"/>
      <w:r w:rsidRPr="00D61F73">
        <w:rPr>
          <w:rFonts w:ascii="Arial" w:hAnsi="Arial" w:cs="Arial"/>
          <w:b/>
        </w:rPr>
        <w:lastRenderedPageBreak/>
        <w:t>White JA, Tao X, Artuso RD, Bilinski C, Rademacher J, Bernacki EJ. Effect of physician-dispensed medication on workers' compensation claim outcomes in the state of Illinois. J Occup Environ Med. 2014 May;56(5):459-64. doi: 10.1097/JOM.0000000000000145.</w:t>
      </w:r>
    </w:p>
    <w:p w14:paraId="33689F7F" w14:textId="77777777" w:rsidR="00795879" w:rsidRPr="00D61F73" w:rsidRDefault="00795879" w:rsidP="00D61F73">
      <w:pPr>
        <w:rPr>
          <w:rFonts w:ascii="Arial" w:hAnsi="Arial" w:cs="Arial"/>
          <w:b/>
        </w:rPr>
      </w:pPr>
    </w:p>
    <w:p w14:paraId="4FBB891A" w14:textId="77777777" w:rsidR="00795879" w:rsidRPr="00D61F73" w:rsidRDefault="00795879" w:rsidP="00D61F73">
      <w:pPr>
        <w:rPr>
          <w:rFonts w:ascii="Arial" w:hAnsi="Arial" w:cs="Arial"/>
        </w:rPr>
      </w:pPr>
      <w:r w:rsidRPr="00D61F73">
        <w:rPr>
          <w:rFonts w:ascii="Arial" w:hAnsi="Arial" w:cs="Arial"/>
        </w:rPr>
        <w:t>OBJECTIVE: To evaluate differences between physician-dispensed and non-physician-dispensed medication with regard to lost time, prescription volume, and pharmaceutical, medical, indemnity costs in the Illinois workers' compensation system.</w:t>
      </w:r>
    </w:p>
    <w:p w14:paraId="68878C99" w14:textId="77777777" w:rsidR="00795879" w:rsidRPr="00D61F73" w:rsidRDefault="00795879" w:rsidP="00D61F73">
      <w:pPr>
        <w:rPr>
          <w:rFonts w:ascii="Arial" w:hAnsi="Arial" w:cs="Arial"/>
        </w:rPr>
      </w:pPr>
    </w:p>
    <w:p w14:paraId="3329C7D6" w14:textId="77777777" w:rsidR="00795879" w:rsidRPr="00D61F73" w:rsidRDefault="00795879" w:rsidP="00D61F73">
      <w:pPr>
        <w:rPr>
          <w:rFonts w:ascii="Arial" w:hAnsi="Arial" w:cs="Arial"/>
        </w:rPr>
      </w:pPr>
      <w:r w:rsidRPr="00D61F73">
        <w:rPr>
          <w:rFonts w:ascii="Arial" w:hAnsi="Arial" w:cs="Arial"/>
        </w:rPr>
        <w:t>METHODS: They studied a sample of 6824 workers' compensation indemnity claims that were opened and closed between January 1, 2007, and December 31, 2012, by Accident Fund Holdings in the State of Illinois.</w:t>
      </w:r>
    </w:p>
    <w:p w14:paraId="64E4390D" w14:textId="77777777" w:rsidR="00795879" w:rsidRPr="00D61F73" w:rsidRDefault="00795879" w:rsidP="00D61F73">
      <w:pPr>
        <w:rPr>
          <w:rFonts w:ascii="Arial" w:hAnsi="Arial" w:cs="Arial"/>
        </w:rPr>
      </w:pPr>
    </w:p>
    <w:p w14:paraId="226D9F89" w14:textId="77777777" w:rsidR="00795879" w:rsidRPr="00D61F73" w:rsidRDefault="00795879" w:rsidP="00D61F73">
      <w:pPr>
        <w:rPr>
          <w:rFonts w:ascii="Arial" w:hAnsi="Arial" w:cs="Arial"/>
        </w:rPr>
      </w:pPr>
      <w:r w:rsidRPr="00D61F73">
        <w:rPr>
          <w:rFonts w:ascii="Arial" w:hAnsi="Arial" w:cs="Arial"/>
        </w:rPr>
        <w:t>RESULTS: The number of prescriptions per claim and pharmaceutical, medical, and indemnity costs, as well as time out from work, were significantly higher in claims where a pharmaceutical was dispensed by the physician within 90 days of injury than in claims where physician dispensing did not occur. These differences persisted controlling for age, sex, attorney involvement, and injury complexity.</w:t>
      </w:r>
    </w:p>
    <w:p w14:paraId="628E0F41" w14:textId="77777777" w:rsidR="00795879" w:rsidRPr="00D61F73" w:rsidRDefault="00795879" w:rsidP="00D61F73">
      <w:pPr>
        <w:rPr>
          <w:rFonts w:ascii="Arial" w:hAnsi="Arial" w:cs="Arial"/>
        </w:rPr>
      </w:pPr>
    </w:p>
    <w:p w14:paraId="7EEC0B33" w14:textId="77777777" w:rsidR="00795879" w:rsidRPr="00D61F73" w:rsidRDefault="00795879" w:rsidP="00D61F73">
      <w:pPr>
        <w:rPr>
          <w:rFonts w:ascii="Arial" w:hAnsi="Arial" w:cs="Arial"/>
        </w:rPr>
      </w:pPr>
      <w:r w:rsidRPr="00D61F73">
        <w:rPr>
          <w:rFonts w:ascii="Arial" w:hAnsi="Arial" w:cs="Arial"/>
        </w:rPr>
        <w:t>CONCLUSION: Physician dispensing is associated with higher costs and more lost time than pharmacy-dispensed medications in workers' compensation claims.</w:t>
      </w:r>
    </w:p>
    <w:p w14:paraId="40769485" w14:textId="77777777" w:rsidR="00795879" w:rsidRPr="00D61F73" w:rsidRDefault="00795879" w:rsidP="00D61F73">
      <w:pPr>
        <w:rPr>
          <w:rFonts w:ascii="Arial" w:hAnsi="Arial" w:cs="Arial"/>
        </w:rPr>
      </w:pPr>
    </w:p>
    <w:p w14:paraId="202C88DC" w14:textId="77777777" w:rsidR="00795879" w:rsidRPr="00D61F73" w:rsidRDefault="00795879" w:rsidP="00D61F73">
      <w:pPr>
        <w:rPr>
          <w:rFonts w:ascii="Arial" w:hAnsi="Arial" w:cs="Arial"/>
        </w:rPr>
      </w:pPr>
    </w:p>
    <w:p w14:paraId="678B31E4" w14:textId="77777777" w:rsidR="00795879" w:rsidRPr="00D61F73" w:rsidRDefault="00795879" w:rsidP="00D61F73">
      <w:pPr>
        <w:rPr>
          <w:rFonts w:ascii="Arial" w:hAnsi="Arial" w:cs="Arial"/>
        </w:rPr>
      </w:pPr>
      <w:r w:rsidRPr="00D61F73">
        <w:rPr>
          <w:rFonts w:ascii="Arial" w:hAnsi="Arial" w:cs="Arial"/>
        </w:rPr>
        <w:t>PMID:</w:t>
      </w:r>
      <w:hyperlink r:id="rId880" w:history="1">
        <w:r w:rsidRPr="00D61F73">
          <w:rPr>
            <w:rStyle w:val="Hyperlink"/>
            <w:rFonts w:ascii="Arial" w:hAnsi="Arial" w:cs="Arial"/>
          </w:rPr>
          <w:t xml:space="preserve"> 24806556</w:t>
        </w:r>
      </w:hyperlink>
    </w:p>
    <w:p w14:paraId="6205ED17" w14:textId="77777777" w:rsidR="00383895" w:rsidRPr="00D61F73" w:rsidRDefault="00383895" w:rsidP="00D61F73">
      <w:pPr>
        <w:rPr>
          <w:rFonts w:ascii="Arial" w:hAnsi="Arial" w:cs="Arial"/>
        </w:rPr>
      </w:pPr>
    </w:p>
    <w:p w14:paraId="18656F76" w14:textId="77777777" w:rsidR="008D0565" w:rsidRPr="00D61F73" w:rsidRDefault="00383895" w:rsidP="00D61F73">
      <w:pPr>
        <w:rPr>
          <w:rFonts w:ascii="Arial" w:hAnsi="Arial" w:cs="Arial"/>
          <w:b/>
          <w:bCs/>
        </w:rPr>
      </w:pPr>
      <w:r w:rsidRPr="00D61F73">
        <w:rPr>
          <w:rFonts w:ascii="Arial" w:hAnsi="Arial" w:cs="Arial"/>
        </w:rPr>
        <w:t>Rating: 4a</w:t>
      </w:r>
      <w:r w:rsidR="008D0565" w:rsidRPr="00D61F73">
        <w:rPr>
          <w:rFonts w:ascii="Arial" w:hAnsi="Arial" w:cs="Arial"/>
        </w:rPr>
        <w:br w:type="page"/>
      </w:r>
      <w:r w:rsidR="008D0565" w:rsidRPr="00D61F73">
        <w:rPr>
          <w:rFonts w:ascii="Arial" w:hAnsi="Arial" w:cs="Arial"/>
          <w:b/>
          <w:bCs/>
        </w:rPr>
        <w:lastRenderedPageBreak/>
        <w:t>W</w:t>
      </w:r>
      <w:bookmarkStart w:id="1255" w:name="Wiffen"/>
      <w:bookmarkEnd w:id="1255"/>
      <w:r w:rsidR="008D0565" w:rsidRPr="00D61F73">
        <w:rPr>
          <w:rFonts w:ascii="Arial" w:hAnsi="Arial" w:cs="Arial"/>
          <w:b/>
          <w:bCs/>
        </w:rPr>
        <w:t xml:space="preserve">iffen P, Collins S, McQuay H, Carroll D, Jadad A, Moore A. Anticonvulsant drugs for acute and chronic pain. </w:t>
      </w:r>
      <w:r w:rsidR="008D0565" w:rsidRPr="00D61F73">
        <w:rPr>
          <w:rFonts w:ascii="Arial" w:hAnsi="Arial" w:cs="Arial"/>
          <w:b/>
          <w:bCs/>
          <w:i/>
          <w:iCs/>
        </w:rPr>
        <w:t>Cochrane Database Syst Rev.</w:t>
      </w:r>
      <w:r w:rsidR="008D0565" w:rsidRPr="00D61F73">
        <w:rPr>
          <w:rFonts w:ascii="Arial" w:hAnsi="Arial" w:cs="Arial"/>
          <w:b/>
          <w:bCs/>
        </w:rPr>
        <w:t xml:space="preserve"> 2005 Jul 20;(3):CD001133.</w:t>
      </w:r>
    </w:p>
    <w:p w14:paraId="0671CF1F" w14:textId="77777777" w:rsidR="008D0565" w:rsidRPr="00D61F73" w:rsidRDefault="008D0565" w:rsidP="00D61F73">
      <w:pPr>
        <w:rPr>
          <w:rFonts w:ascii="Arial" w:hAnsi="Arial" w:cs="Arial"/>
        </w:rPr>
      </w:pPr>
    </w:p>
    <w:p w14:paraId="57239627" w14:textId="77777777" w:rsidR="008D0565" w:rsidRPr="00D61F73" w:rsidRDefault="008D0565" w:rsidP="00D61F73">
      <w:pPr>
        <w:rPr>
          <w:rFonts w:ascii="Arial" w:hAnsi="Arial" w:cs="Arial"/>
        </w:rPr>
      </w:pPr>
      <w:r w:rsidRPr="00D61F73">
        <w:rPr>
          <w:rFonts w:ascii="Arial" w:hAnsi="Arial" w:cs="Arial"/>
        </w:rPr>
        <w:t>Although anticonvulsants are used widely in chronic pain surprisingly few trials show analgesic effectiveness. Only one study considered cancer pain. There is no evidence that anticonvulsants are effective for acute pain. In chronic pain syndromes other than trigeminal neuralgia, anticonvulsants should be withheld until other interventions have been tried. While gabapentin is increasingly being used for neuropathic pain the evidence would suggest that it is not superior to carbamazepine.</w:t>
      </w:r>
    </w:p>
    <w:p w14:paraId="0B44315C" w14:textId="77777777" w:rsidR="008D0565" w:rsidRPr="00D61F73" w:rsidRDefault="008D0565" w:rsidP="00D61F73">
      <w:pPr>
        <w:rPr>
          <w:rFonts w:ascii="Arial" w:hAnsi="Arial" w:cs="Arial"/>
        </w:rPr>
      </w:pPr>
    </w:p>
    <w:p w14:paraId="52264C12" w14:textId="77777777" w:rsidR="008D0565" w:rsidRPr="00D61F73" w:rsidRDefault="008D0565" w:rsidP="00D61F73">
      <w:pPr>
        <w:rPr>
          <w:rFonts w:ascii="Arial" w:hAnsi="Arial" w:cs="Arial"/>
        </w:rPr>
      </w:pPr>
      <w:r w:rsidRPr="00D61F73">
        <w:rPr>
          <w:rFonts w:ascii="Arial" w:hAnsi="Arial" w:cs="Arial"/>
        </w:rPr>
        <w:t xml:space="preserve">PMID: </w:t>
      </w:r>
      <w:hyperlink r:id="rId881" w:history="1">
        <w:r w:rsidRPr="00D61F73">
          <w:rPr>
            <w:rStyle w:val="Hyperlink"/>
            <w:rFonts w:ascii="Arial" w:hAnsi="Arial" w:cs="Arial"/>
          </w:rPr>
          <w:t>16034857</w:t>
        </w:r>
      </w:hyperlink>
      <w:r w:rsidRPr="00D61F73">
        <w:rPr>
          <w:rFonts w:ascii="Arial" w:hAnsi="Arial" w:cs="Arial"/>
        </w:rPr>
        <w:t xml:space="preserve"> </w:t>
      </w:r>
    </w:p>
    <w:p w14:paraId="22412A7A" w14:textId="77777777" w:rsidR="008D0565" w:rsidRPr="00D61F73" w:rsidRDefault="008D0565" w:rsidP="00D61F73">
      <w:pPr>
        <w:rPr>
          <w:rFonts w:ascii="Arial" w:hAnsi="Arial" w:cs="Arial"/>
        </w:rPr>
      </w:pPr>
    </w:p>
    <w:p w14:paraId="39075F4A" w14:textId="77777777" w:rsidR="008D0565" w:rsidRPr="00D61F73" w:rsidRDefault="008D0565" w:rsidP="00D61F73">
      <w:pPr>
        <w:rPr>
          <w:rFonts w:ascii="Arial" w:hAnsi="Arial" w:cs="Arial"/>
        </w:rPr>
      </w:pPr>
      <w:r w:rsidRPr="00D61F73">
        <w:rPr>
          <w:rFonts w:ascii="Arial" w:hAnsi="Arial" w:cs="Arial"/>
        </w:rPr>
        <w:t>Rating: 1a</w:t>
      </w:r>
    </w:p>
    <w:p w14:paraId="6ADF72F8" w14:textId="77777777" w:rsidR="008D0565" w:rsidRPr="00D61F73" w:rsidRDefault="008D0565" w:rsidP="00D61F73">
      <w:pPr>
        <w:rPr>
          <w:rFonts w:ascii="Arial" w:hAnsi="Arial" w:cs="Arial"/>
        </w:rPr>
      </w:pPr>
    </w:p>
    <w:p w14:paraId="194A932D" w14:textId="77777777" w:rsidR="008D0565" w:rsidRPr="00D61F73" w:rsidRDefault="008D0565" w:rsidP="00D61F73">
      <w:pPr>
        <w:rPr>
          <w:rFonts w:ascii="Arial" w:hAnsi="Arial" w:cs="Arial"/>
        </w:rPr>
      </w:pPr>
      <w:r w:rsidRPr="00D61F73">
        <w:rPr>
          <w:rFonts w:ascii="Arial" w:hAnsi="Arial" w:cs="Arial"/>
        </w:rPr>
        <w:t xml:space="preserve">Conclusion: </w:t>
      </w:r>
      <w:hyperlink r:id="rId882" w:history="1">
        <w:r w:rsidRPr="00D61F73">
          <w:rPr>
            <w:rStyle w:val="Hyperlink"/>
            <w:rFonts w:ascii="Arial" w:hAnsi="Arial" w:cs="Arial"/>
          </w:rPr>
          <w:t>Currently, there is lack of evidence to demonstrate that AEDs significantly reduce the level of acute pain, myofascial pain, low back pain, or other sources of somatic pain</w:t>
        </w:r>
      </w:hyperlink>
      <w:r w:rsidRPr="00D61F73">
        <w:rPr>
          <w:rFonts w:ascii="Arial" w:hAnsi="Arial" w:cs="Arial"/>
        </w:rPr>
        <w:t>.(2)</w:t>
      </w:r>
    </w:p>
    <w:p w14:paraId="5CFCDB38" w14:textId="77777777" w:rsidR="008D0565" w:rsidRPr="00D61F73" w:rsidRDefault="008D0565" w:rsidP="00D61F73">
      <w:pPr>
        <w:rPr>
          <w:rFonts w:ascii="Arial" w:hAnsi="Arial" w:cs="Arial"/>
        </w:rPr>
      </w:pPr>
      <w:r w:rsidRPr="00D61F73">
        <w:rPr>
          <w:rFonts w:ascii="Arial" w:hAnsi="Arial" w:cs="Arial"/>
        </w:rPr>
        <w:t>(2) Cochrane Review. Anticonvulsant drugs for acute and chronic pain. The Cochrane Database of Systematic Reviews, 2005; 1.</w:t>
      </w:r>
    </w:p>
    <w:p w14:paraId="6B72E42F"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56" w:name="Wiffen2"/>
      <w:bookmarkEnd w:id="1256"/>
      <w:r w:rsidRPr="00D61F73">
        <w:rPr>
          <w:rFonts w:ascii="Arial" w:hAnsi="Arial" w:cs="Arial"/>
          <w:b/>
          <w:bCs/>
        </w:rPr>
        <w:t xml:space="preserve">iffen PJ, McQuay HJ, Edwards JE, Moore RA. Gabapentin for acute and chronic pain. </w:t>
      </w:r>
      <w:r w:rsidRPr="00D61F73">
        <w:rPr>
          <w:rFonts w:ascii="Arial" w:hAnsi="Arial" w:cs="Arial"/>
          <w:b/>
          <w:bCs/>
          <w:i/>
          <w:iCs/>
        </w:rPr>
        <w:t>Cochrane Database Syst Rev</w:t>
      </w:r>
      <w:r w:rsidRPr="00D61F73">
        <w:rPr>
          <w:rFonts w:ascii="Arial" w:hAnsi="Arial" w:cs="Arial"/>
          <w:b/>
          <w:bCs/>
        </w:rPr>
        <w:t>. 2005 Jul 20;(3):CD005452.</w:t>
      </w:r>
    </w:p>
    <w:p w14:paraId="31A8CE0B" w14:textId="77777777" w:rsidR="008D0565" w:rsidRPr="00D61F73" w:rsidRDefault="008D0565" w:rsidP="00D61F73">
      <w:pPr>
        <w:rPr>
          <w:rFonts w:ascii="Arial" w:hAnsi="Arial" w:cs="Arial"/>
        </w:rPr>
      </w:pPr>
    </w:p>
    <w:p w14:paraId="33F55649" w14:textId="77777777" w:rsidR="008D0565" w:rsidRPr="00D61F73" w:rsidRDefault="008D0565" w:rsidP="00D61F73">
      <w:pPr>
        <w:rPr>
          <w:rFonts w:ascii="Arial" w:hAnsi="Arial" w:cs="Arial"/>
        </w:rPr>
      </w:pPr>
      <w:r w:rsidRPr="00D61F73">
        <w:rPr>
          <w:rFonts w:ascii="Arial" w:hAnsi="Arial" w:cs="Arial"/>
        </w:rPr>
        <w:t>There is evidence to show that gabapentin is effective in neuropathic pain. There is limited evidence to show that gabapentin is ineffective in acute pain.</w:t>
      </w:r>
    </w:p>
    <w:p w14:paraId="65FC03A3" w14:textId="77777777" w:rsidR="008D0565" w:rsidRPr="00D61F73" w:rsidRDefault="008D0565" w:rsidP="00D61F73">
      <w:pPr>
        <w:rPr>
          <w:rFonts w:ascii="Arial" w:hAnsi="Arial" w:cs="Arial"/>
        </w:rPr>
      </w:pPr>
    </w:p>
    <w:p w14:paraId="10246B3F" w14:textId="77777777" w:rsidR="008D0565" w:rsidRPr="00D61F73" w:rsidRDefault="008D0565" w:rsidP="00D61F73">
      <w:pPr>
        <w:rPr>
          <w:rFonts w:ascii="Arial" w:hAnsi="Arial" w:cs="Arial"/>
        </w:rPr>
      </w:pPr>
      <w:r w:rsidRPr="00D61F73">
        <w:rPr>
          <w:rFonts w:ascii="Arial" w:hAnsi="Arial" w:cs="Arial"/>
        </w:rPr>
        <w:t xml:space="preserve">PMID: </w:t>
      </w:r>
      <w:hyperlink r:id="rId883" w:history="1">
        <w:r w:rsidRPr="00D61F73">
          <w:rPr>
            <w:rStyle w:val="Hyperlink"/>
            <w:rFonts w:ascii="Arial" w:hAnsi="Arial" w:cs="Arial"/>
          </w:rPr>
          <w:t>16034978</w:t>
        </w:r>
      </w:hyperlink>
      <w:r w:rsidRPr="00D61F73">
        <w:rPr>
          <w:rFonts w:ascii="Arial" w:hAnsi="Arial" w:cs="Arial"/>
        </w:rPr>
        <w:t xml:space="preserve"> </w:t>
      </w:r>
    </w:p>
    <w:p w14:paraId="6032F9FF" w14:textId="77777777" w:rsidR="008D0565" w:rsidRPr="00D61F73" w:rsidRDefault="008D0565" w:rsidP="00D61F73">
      <w:pPr>
        <w:rPr>
          <w:rFonts w:ascii="Arial" w:hAnsi="Arial" w:cs="Arial"/>
        </w:rPr>
      </w:pPr>
    </w:p>
    <w:p w14:paraId="1EAD88A0" w14:textId="77777777" w:rsidR="008D0565" w:rsidRPr="00D61F73" w:rsidRDefault="008D0565" w:rsidP="00D61F73">
      <w:pPr>
        <w:rPr>
          <w:rFonts w:ascii="Arial" w:hAnsi="Arial" w:cs="Arial"/>
        </w:rPr>
      </w:pPr>
      <w:r w:rsidRPr="00D61F73">
        <w:rPr>
          <w:rFonts w:ascii="Arial" w:hAnsi="Arial" w:cs="Arial"/>
        </w:rPr>
        <w:t>Rating: 1a</w:t>
      </w:r>
    </w:p>
    <w:p w14:paraId="025F2591"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57" w:name="Wiffen3"/>
      <w:bookmarkEnd w:id="1257"/>
      <w:r w:rsidRPr="00D61F73">
        <w:rPr>
          <w:rFonts w:ascii="Arial" w:hAnsi="Arial" w:cs="Arial"/>
          <w:b/>
          <w:bCs/>
        </w:rPr>
        <w:t xml:space="preserve">iffen PJ, Rees J. Lamotrigine for acute and chronic pain. </w:t>
      </w:r>
      <w:r w:rsidRPr="00D61F73">
        <w:rPr>
          <w:rFonts w:ascii="Arial" w:hAnsi="Arial" w:cs="Arial"/>
          <w:b/>
          <w:bCs/>
          <w:i/>
          <w:iCs/>
        </w:rPr>
        <w:t>Cochrane Database Syst Rev</w:t>
      </w:r>
      <w:r w:rsidRPr="00D61F73">
        <w:rPr>
          <w:rFonts w:ascii="Arial" w:hAnsi="Arial" w:cs="Arial"/>
          <w:b/>
          <w:bCs/>
        </w:rPr>
        <w:t>. 2007 Apr 18;(2):CD006044.</w:t>
      </w:r>
    </w:p>
    <w:p w14:paraId="1730CB13" w14:textId="77777777" w:rsidR="008D0565" w:rsidRPr="00D61F73" w:rsidRDefault="008D0565" w:rsidP="00D61F73">
      <w:pPr>
        <w:rPr>
          <w:rFonts w:ascii="Arial" w:hAnsi="Arial" w:cs="Arial"/>
        </w:rPr>
      </w:pPr>
    </w:p>
    <w:p w14:paraId="45EB4F80" w14:textId="77777777" w:rsidR="008D0565" w:rsidRPr="00D61F73" w:rsidRDefault="008D0565" w:rsidP="00D61F73">
      <w:pPr>
        <w:rPr>
          <w:rFonts w:ascii="Arial" w:hAnsi="Arial" w:cs="Arial"/>
        </w:rPr>
      </w:pPr>
      <w:r w:rsidRPr="00D61F73">
        <w:rPr>
          <w:rFonts w:ascii="Arial" w:hAnsi="Arial" w:cs="Arial"/>
        </w:rPr>
        <w:t>Given the availability of more effective treatments including anticonvulsants and antidepressant medicines, lamotrigine does not have a significant place in therapy at present. The limited evidence currently available suggests that lamotrigine is unlikely to be of benefit for the treatment of neuropathic pain.</w:t>
      </w:r>
    </w:p>
    <w:p w14:paraId="6F55C9CC" w14:textId="77777777" w:rsidR="008D0565" w:rsidRPr="00D61F73" w:rsidRDefault="008D0565" w:rsidP="00D61F73">
      <w:pPr>
        <w:rPr>
          <w:rFonts w:ascii="Arial" w:hAnsi="Arial" w:cs="Arial"/>
        </w:rPr>
      </w:pPr>
    </w:p>
    <w:p w14:paraId="492B9151" w14:textId="77777777" w:rsidR="008D0565" w:rsidRPr="00D61F73" w:rsidRDefault="008D0565" w:rsidP="00D61F73">
      <w:pPr>
        <w:rPr>
          <w:rFonts w:ascii="Arial" w:hAnsi="Arial" w:cs="Arial"/>
        </w:rPr>
      </w:pPr>
      <w:r w:rsidRPr="00D61F73">
        <w:rPr>
          <w:rFonts w:ascii="Arial" w:hAnsi="Arial" w:cs="Arial"/>
        </w:rPr>
        <w:t xml:space="preserve">PMID: </w:t>
      </w:r>
      <w:hyperlink r:id="rId884" w:history="1">
        <w:r w:rsidRPr="00D61F73">
          <w:rPr>
            <w:rStyle w:val="Hyperlink"/>
            <w:rFonts w:ascii="Arial" w:hAnsi="Arial" w:cs="Arial"/>
          </w:rPr>
          <w:t>17443611</w:t>
        </w:r>
      </w:hyperlink>
      <w:r w:rsidRPr="00D61F73">
        <w:rPr>
          <w:rFonts w:ascii="Arial" w:hAnsi="Arial" w:cs="Arial"/>
        </w:rPr>
        <w:t xml:space="preserve"> </w:t>
      </w:r>
    </w:p>
    <w:p w14:paraId="2772B428" w14:textId="77777777" w:rsidR="008D0565" w:rsidRPr="00D61F73" w:rsidRDefault="008D0565" w:rsidP="00D61F73">
      <w:pPr>
        <w:rPr>
          <w:rFonts w:ascii="Arial" w:hAnsi="Arial" w:cs="Arial"/>
        </w:rPr>
      </w:pPr>
    </w:p>
    <w:p w14:paraId="7676334D" w14:textId="77777777" w:rsidR="008D0565" w:rsidRPr="00D61F73" w:rsidRDefault="008D0565" w:rsidP="00D61F73">
      <w:pPr>
        <w:rPr>
          <w:rFonts w:ascii="Arial" w:hAnsi="Arial" w:cs="Arial"/>
        </w:rPr>
      </w:pPr>
      <w:r w:rsidRPr="00D61F73">
        <w:rPr>
          <w:rFonts w:ascii="Arial" w:hAnsi="Arial" w:cs="Arial"/>
        </w:rPr>
        <w:t>Rating: 1b</w:t>
      </w:r>
    </w:p>
    <w:p w14:paraId="2F9B09D5" w14:textId="77777777" w:rsidR="00AB3F94" w:rsidRPr="00D61F73" w:rsidRDefault="00BD06FD" w:rsidP="00D61F73">
      <w:pPr>
        <w:rPr>
          <w:rFonts w:ascii="Arial" w:hAnsi="Arial" w:cs="Arial"/>
          <w:b/>
        </w:rPr>
      </w:pPr>
      <w:r w:rsidRPr="00D61F73">
        <w:rPr>
          <w:rFonts w:ascii="Arial" w:hAnsi="Arial" w:cs="Arial"/>
        </w:rPr>
        <w:br w:type="page"/>
      </w:r>
      <w:bookmarkStart w:id="1258" w:name="WIFFEN2013SUMMARY"/>
      <w:bookmarkEnd w:id="1258"/>
      <w:r w:rsidR="006F4419" w:rsidRPr="00D61F73">
        <w:rPr>
          <w:rFonts w:ascii="Arial" w:hAnsi="Arial" w:cs="Arial"/>
          <w:b/>
        </w:rPr>
        <w:lastRenderedPageBreak/>
        <w:t>Wiffen PJ, Derry S, Moore RA, Aldington D, Cole P, Rice ASC, Lunn MPT, Hamunen K, Haanpaa M, Kalso EA. Antiepileptic drugs for neuropathic pain and fibromyalgia – an overview of Cochrane reviews (Review). Cochrane Database Syst Rev. 2013 Nov 11;(11):CD010567.</w:t>
      </w:r>
    </w:p>
    <w:p w14:paraId="69D509C4" w14:textId="77777777" w:rsidR="00AB3F94" w:rsidRPr="00D61F73" w:rsidRDefault="00AB3F94" w:rsidP="00D61F73">
      <w:pPr>
        <w:rPr>
          <w:rFonts w:ascii="Arial" w:hAnsi="Arial" w:cs="Arial"/>
          <w:b/>
        </w:rPr>
      </w:pPr>
    </w:p>
    <w:p w14:paraId="2CE498CB" w14:textId="77777777" w:rsidR="00AB3F94" w:rsidRPr="00D61F73" w:rsidRDefault="00AB3F94" w:rsidP="00D61F73">
      <w:pPr>
        <w:tabs>
          <w:tab w:val="left" w:pos="8550"/>
        </w:tabs>
        <w:rPr>
          <w:rFonts w:ascii="Arial" w:hAnsi="Arial" w:cs="Arial"/>
        </w:rPr>
      </w:pPr>
    </w:p>
    <w:p w14:paraId="58C66F7F" w14:textId="77777777" w:rsidR="00AB3F94" w:rsidRPr="00D61F73" w:rsidRDefault="00AB3F94" w:rsidP="00D61F73">
      <w:pPr>
        <w:rPr>
          <w:rFonts w:ascii="Arial" w:hAnsi="Arial" w:cs="Arial"/>
        </w:rPr>
      </w:pPr>
      <w:r w:rsidRPr="00D61F73">
        <w:rPr>
          <w:rFonts w:ascii="Arial" w:hAnsi="Arial" w:cs="Arial"/>
        </w:rPr>
        <w:t xml:space="preserve">PMID: </w:t>
      </w:r>
      <w:hyperlink r:id="rId885" w:history="1">
        <w:r w:rsidRPr="00D61F73">
          <w:rPr>
            <w:rStyle w:val="Hyperlink"/>
            <w:rFonts w:ascii="Arial" w:hAnsi="Arial" w:cs="Arial"/>
          </w:rPr>
          <w:t>24217986</w:t>
        </w:r>
      </w:hyperlink>
    </w:p>
    <w:p w14:paraId="4FB04D7A" w14:textId="77777777" w:rsidR="00AC7714" w:rsidRPr="00D61F73" w:rsidRDefault="00AC7714" w:rsidP="00D61F73">
      <w:pPr>
        <w:rPr>
          <w:rFonts w:ascii="Arial" w:hAnsi="Arial" w:cs="Arial"/>
        </w:rPr>
      </w:pPr>
    </w:p>
    <w:p w14:paraId="39992234" w14:textId="77777777" w:rsidR="00AB3F94" w:rsidRPr="00D61F73" w:rsidRDefault="00AB3F94" w:rsidP="00D61F73">
      <w:pPr>
        <w:rPr>
          <w:rFonts w:ascii="Arial" w:hAnsi="Arial" w:cs="Arial"/>
        </w:rPr>
      </w:pPr>
      <w:r w:rsidRPr="00D61F73">
        <w:rPr>
          <w:rFonts w:ascii="Arial" w:hAnsi="Arial" w:cs="Arial"/>
        </w:rPr>
        <w:t>Rating: 1a</w:t>
      </w:r>
    </w:p>
    <w:p w14:paraId="42C1F96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59" w:name="Wild2010"/>
      <w:bookmarkEnd w:id="1259"/>
      <w:r w:rsidRPr="00D61F73">
        <w:rPr>
          <w:rFonts w:ascii="Arial" w:hAnsi="Arial" w:cs="Arial"/>
          <w:b/>
          <w:bCs/>
        </w:rPr>
        <w:t xml:space="preserve">ild JE, Grond S, Kuperwasser B, Gilbert J, McCann B, Lange B, Steup A, Häufel T, Etropolski MS, Rauschkolb C, Lange R. Long-term Safety and Tolerability of Tapentadol Extended Release for the Management of Chronic Low Back Pain or Osteoarthritis Pain. </w:t>
      </w:r>
      <w:r w:rsidRPr="00D61F73">
        <w:rPr>
          <w:rFonts w:ascii="Arial" w:hAnsi="Arial" w:cs="Arial"/>
          <w:b/>
          <w:bCs/>
          <w:i/>
          <w:iCs/>
        </w:rPr>
        <w:t>Pain Pract.</w:t>
      </w:r>
      <w:r w:rsidRPr="00D61F73">
        <w:rPr>
          <w:rFonts w:ascii="Arial" w:hAnsi="Arial" w:cs="Arial"/>
          <w:b/>
          <w:bCs/>
        </w:rPr>
        <w:t xml:space="preserve"> 2010 Jun 29. [Epub ahead of print]</w:t>
      </w:r>
    </w:p>
    <w:p w14:paraId="268A06CA" w14:textId="77777777" w:rsidR="008D0565" w:rsidRPr="00D61F73" w:rsidRDefault="008D0565" w:rsidP="00D61F73">
      <w:pPr>
        <w:rPr>
          <w:rFonts w:ascii="Arial" w:hAnsi="Arial" w:cs="Arial"/>
        </w:rPr>
      </w:pPr>
    </w:p>
    <w:p w14:paraId="18333E77" w14:textId="77777777" w:rsidR="008D0565" w:rsidRPr="00D61F73" w:rsidRDefault="008D0565" w:rsidP="00D61F73">
      <w:pPr>
        <w:rPr>
          <w:rFonts w:ascii="Arial" w:hAnsi="Arial" w:cs="Arial"/>
        </w:rPr>
      </w:pPr>
      <w:r w:rsidRPr="00D61F73">
        <w:rPr>
          <w:rFonts w:ascii="Arial" w:hAnsi="Arial" w:cs="Arial"/>
        </w:rPr>
        <w:t xml:space="preserve">Results: A total of 1,117 patients received at least 1 dose of study drug. Gastrointestinal treatment-emergent adverse events led to discontinuation in 8.6% versus 21.5% of patients. </w:t>
      </w:r>
    </w:p>
    <w:p w14:paraId="00F00EDC" w14:textId="77777777" w:rsidR="008D0565" w:rsidRPr="00D61F73" w:rsidRDefault="008D0565" w:rsidP="00D61F73">
      <w:pPr>
        <w:rPr>
          <w:rFonts w:ascii="Arial" w:hAnsi="Arial" w:cs="Arial"/>
        </w:rPr>
      </w:pPr>
    </w:p>
    <w:p w14:paraId="1476C72C" w14:textId="77777777" w:rsidR="008D0565" w:rsidRPr="00D61F73" w:rsidRDefault="008D0565" w:rsidP="00D61F73">
      <w:pPr>
        <w:rPr>
          <w:rFonts w:ascii="Arial" w:hAnsi="Arial" w:cs="Arial"/>
        </w:rPr>
      </w:pPr>
      <w:r w:rsidRPr="00D61F73">
        <w:rPr>
          <w:rFonts w:ascii="Arial" w:hAnsi="Arial" w:cs="Arial"/>
        </w:rPr>
        <w:t xml:space="preserve">PMID: </w:t>
      </w:r>
      <w:hyperlink r:id="rId886" w:history="1">
        <w:r w:rsidRPr="00D61F73">
          <w:rPr>
            <w:rStyle w:val="Hyperlink"/>
            <w:rFonts w:ascii="Arial" w:hAnsi="Arial" w:cs="Arial"/>
          </w:rPr>
          <w:t>20602712</w:t>
        </w:r>
      </w:hyperlink>
      <w:r w:rsidRPr="00D61F73">
        <w:rPr>
          <w:rFonts w:ascii="Arial" w:hAnsi="Arial" w:cs="Arial"/>
        </w:rPr>
        <w:t xml:space="preserve"> </w:t>
      </w:r>
    </w:p>
    <w:p w14:paraId="2BC38DC5" w14:textId="77777777" w:rsidR="008D0565" w:rsidRPr="00D61F73" w:rsidRDefault="008D0565" w:rsidP="00D61F73">
      <w:pPr>
        <w:rPr>
          <w:rFonts w:ascii="Arial" w:hAnsi="Arial" w:cs="Arial"/>
        </w:rPr>
      </w:pPr>
    </w:p>
    <w:p w14:paraId="0822990C" w14:textId="77777777" w:rsidR="008D0565" w:rsidRPr="00D61F73" w:rsidRDefault="008D0565" w:rsidP="00D61F73">
      <w:pPr>
        <w:rPr>
          <w:rFonts w:ascii="Arial" w:hAnsi="Arial" w:cs="Arial"/>
        </w:rPr>
      </w:pPr>
      <w:r w:rsidRPr="00D61F73">
        <w:rPr>
          <w:rFonts w:ascii="Arial" w:hAnsi="Arial" w:cs="Arial"/>
        </w:rPr>
        <w:t>Rating: 2b</w:t>
      </w:r>
    </w:p>
    <w:p w14:paraId="32560E5B" w14:textId="77777777" w:rsidR="008D0565" w:rsidRPr="00D61F73" w:rsidRDefault="008D0565" w:rsidP="00D61F73">
      <w:pPr>
        <w:rPr>
          <w:rFonts w:ascii="Arial" w:hAnsi="Arial" w:cs="Arial"/>
        </w:rPr>
      </w:pPr>
    </w:p>
    <w:p w14:paraId="2A71829A" w14:textId="77777777" w:rsidR="008D0565" w:rsidRPr="00D61F73" w:rsidRDefault="008D0565" w:rsidP="00D61F73">
      <w:pPr>
        <w:rPr>
          <w:rFonts w:ascii="Arial" w:hAnsi="Arial" w:cs="Arial"/>
        </w:rPr>
      </w:pPr>
      <w:r w:rsidRPr="00D61F73">
        <w:rPr>
          <w:rFonts w:ascii="Arial" w:hAnsi="Arial" w:cs="Arial"/>
        </w:rPr>
        <w:t>Note: Tapentadol ER is not yet approved by the FDA.</w:t>
      </w:r>
    </w:p>
    <w:p w14:paraId="5FAC1F5A"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60" w:name="Wilhelmsen2011"/>
      <w:bookmarkEnd w:id="1260"/>
      <w:r w:rsidRPr="00D61F73">
        <w:rPr>
          <w:rFonts w:ascii="Arial" w:hAnsi="Arial" w:cs="Arial"/>
          <w:b/>
          <w:bCs/>
        </w:rPr>
        <w:t xml:space="preserve">ilhelmsen M, Amirian I, Reiter RJ, Rosenberg J, Gögenur I. Analgesic effects of melatonin: a review of current evidence from experimental and clinical studies. </w:t>
      </w:r>
      <w:r w:rsidRPr="00D61F73">
        <w:rPr>
          <w:rFonts w:ascii="Arial" w:hAnsi="Arial" w:cs="Arial"/>
          <w:b/>
          <w:bCs/>
          <w:i/>
          <w:iCs/>
        </w:rPr>
        <w:t>J Pineal Res</w:t>
      </w:r>
      <w:r w:rsidRPr="00D61F73">
        <w:rPr>
          <w:rFonts w:ascii="Arial" w:hAnsi="Arial" w:cs="Arial"/>
          <w:b/>
          <w:bCs/>
        </w:rPr>
        <w:t>. 2011 Oct;51(3):270-7. doi: 10.1111/j.1600-079X.2011.00895.x.</w:t>
      </w:r>
    </w:p>
    <w:p w14:paraId="693BBA3D" w14:textId="77777777" w:rsidR="008D0565" w:rsidRPr="00D61F73" w:rsidRDefault="008D0565" w:rsidP="00D61F73">
      <w:pPr>
        <w:rPr>
          <w:rFonts w:ascii="Arial" w:hAnsi="Arial" w:cs="Arial"/>
        </w:rPr>
      </w:pPr>
    </w:p>
    <w:p w14:paraId="3364A5F4" w14:textId="77777777" w:rsidR="008D0565" w:rsidRPr="00D61F73" w:rsidRDefault="008D0565" w:rsidP="00D61F73">
      <w:pPr>
        <w:rPr>
          <w:rFonts w:ascii="Arial" w:hAnsi="Arial" w:cs="Arial"/>
        </w:rPr>
      </w:pPr>
      <w:r w:rsidRPr="00D61F73">
        <w:rPr>
          <w:rFonts w:ascii="Arial" w:hAnsi="Arial" w:cs="Arial"/>
        </w:rPr>
        <w:t>In clinical studies, melatonin has been shown to have analgesic benefits in patients with chronic pain.</w:t>
      </w:r>
    </w:p>
    <w:p w14:paraId="373F5BC8" w14:textId="77777777" w:rsidR="008D0565" w:rsidRPr="00D61F73" w:rsidRDefault="008D0565" w:rsidP="00D61F73">
      <w:pPr>
        <w:rPr>
          <w:rFonts w:ascii="Arial" w:hAnsi="Arial" w:cs="Arial"/>
        </w:rPr>
      </w:pPr>
    </w:p>
    <w:p w14:paraId="14B0CED7" w14:textId="77777777" w:rsidR="008D0565" w:rsidRPr="00D61F73" w:rsidRDefault="008D0565" w:rsidP="00D61F73">
      <w:pPr>
        <w:rPr>
          <w:rFonts w:ascii="Arial" w:hAnsi="Arial" w:cs="Arial"/>
        </w:rPr>
      </w:pPr>
      <w:r w:rsidRPr="00D61F73">
        <w:rPr>
          <w:rFonts w:ascii="Arial" w:hAnsi="Arial" w:cs="Arial"/>
        </w:rPr>
        <w:t xml:space="preserve">PMID: </w:t>
      </w:r>
      <w:hyperlink r:id="rId887" w:history="1">
        <w:r w:rsidRPr="00D61F73">
          <w:rPr>
            <w:rStyle w:val="Hyperlink"/>
            <w:rFonts w:ascii="Arial" w:hAnsi="Arial" w:cs="Arial"/>
          </w:rPr>
          <w:t>21615490</w:t>
        </w:r>
      </w:hyperlink>
      <w:r w:rsidRPr="00D61F73">
        <w:rPr>
          <w:rFonts w:ascii="Arial" w:hAnsi="Arial" w:cs="Arial"/>
        </w:rPr>
        <w:t xml:space="preserve"> </w:t>
      </w:r>
    </w:p>
    <w:p w14:paraId="5DFBD702" w14:textId="77777777" w:rsidR="008D0565" w:rsidRPr="00D61F73" w:rsidRDefault="008D0565" w:rsidP="00D61F73">
      <w:pPr>
        <w:rPr>
          <w:rFonts w:ascii="Arial" w:hAnsi="Arial" w:cs="Arial"/>
        </w:rPr>
      </w:pPr>
    </w:p>
    <w:p w14:paraId="21745DD1" w14:textId="77777777" w:rsidR="008D0565" w:rsidRPr="00D61F73" w:rsidRDefault="008D0565" w:rsidP="00D61F73">
      <w:pPr>
        <w:rPr>
          <w:rFonts w:ascii="Arial" w:hAnsi="Arial" w:cs="Arial"/>
        </w:rPr>
      </w:pPr>
      <w:r w:rsidRPr="00D61F73">
        <w:rPr>
          <w:rFonts w:ascii="Arial" w:hAnsi="Arial" w:cs="Arial"/>
        </w:rPr>
        <w:t>Rating: 5b</w:t>
      </w:r>
    </w:p>
    <w:p w14:paraId="083FD898"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61" w:name="Wilsey"/>
      <w:bookmarkEnd w:id="1261"/>
      <w:r w:rsidRPr="00D61F73">
        <w:rPr>
          <w:rFonts w:ascii="Arial" w:hAnsi="Arial" w:cs="Arial"/>
          <w:b/>
          <w:bCs/>
        </w:rPr>
        <w:t xml:space="preserve">ilsey B, Marcotte T, Tsodikov A, Millman J, Bentley H, Gouaux B, Fishman S. A randomized, placebo-controlled, crossover trial of cannabis cigarettes in neuropathic pain. </w:t>
      </w:r>
      <w:r w:rsidRPr="00D61F73">
        <w:rPr>
          <w:rFonts w:ascii="Arial" w:hAnsi="Arial" w:cs="Arial"/>
          <w:b/>
          <w:bCs/>
          <w:i/>
          <w:iCs/>
        </w:rPr>
        <w:t>J Pain.</w:t>
      </w:r>
      <w:r w:rsidRPr="00D61F73">
        <w:rPr>
          <w:rFonts w:ascii="Arial" w:hAnsi="Arial" w:cs="Arial"/>
          <w:b/>
          <w:bCs/>
        </w:rPr>
        <w:t xml:space="preserve"> 2008 Jun;9(6):506-21. Epub 2008 Apr 10.</w:t>
      </w:r>
    </w:p>
    <w:p w14:paraId="14650581" w14:textId="77777777" w:rsidR="008D0565" w:rsidRPr="00D61F73" w:rsidRDefault="008D0565" w:rsidP="00D61F73">
      <w:pPr>
        <w:rPr>
          <w:rFonts w:ascii="Arial" w:hAnsi="Arial" w:cs="Arial"/>
        </w:rPr>
      </w:pPr>
    </w:p>
    <w:p w14:paraId="0290E7E1" w14:textId="77777777" w:rsidR="008D0565" w:rsidRPr="00D61F73" w:rsidRDefault="008D0565" w:rsidP="00D61F73">
      <w:pPr>
        <w:rPr>
          <w:rFonts w:ascii="Arial" w:hAnsi="Arial" w:cs="Arial"/>
        </w:rPr>
      </w:pPr>
      <w:r w:rsidRPr="00D61F73">
        <w:rPr>
          <w:rFonts w:ascii="Arial" w:hAnsi="Arial" w:cs="Arial"/>
        </w:rPr>
        <w:t>This study adds to a growing body of evidence that cannabis may be effective at ameliorating neuropathic pain, and may be an alternative for patients who do not respond to, or cannot tolerate, other drugs. However, the use of marijuana as medicine may be limited by its method of administration (smoking) and modest acute cognitive effects, particularly at higher doses.</w:t>
      </w:r>
    </w:p>
    <w:p w14:paraId="0C1C5731" w14:textId="77777777" w:rsidR="008D0565" w:rsidRPr="00D61F73" w:rsidRDefault="008D0565" w:rsidP="00D61F73">
      <w:pPr>
        <w:rPr>
          <w:rFonts w:ascii="Arial" w:hAnsi="Arial" w:cs="Arial"/>
        </w:rPr>
      </w:pPr>
    </w:p>
    <w:p w14:paraId="3649ABF9" w14:textId="77777777" w:rsidR="008D0565" w:rsidRPr="00D61F73" w:rsidRDefault="008D0565" w:rsidP="00D61F73">
      <w:pPr>
        <w:rPr>
          <w:rFonts w:ascii="Arial" w:hAnsi="Arial" w:cs="Arial"/>
        </w:rPr>
      </w:pPr>
      <w:r w:rsidRPr="00D61F73">
        <w:rPr>
          <w:rFonts w:ascii="Arial" w:hAnsi="Arial" w:cs="Arial"/>
        </w:rPr>
        <w:t xml:space="preserve">PMID: </w:t>
      </w:r>
      <w:hyperlink r:id="rId888" w:history="1">
        <w:r w:rsidRPr="00D61F73">
          <w:rPr>
            <w:rStyle w:val="Hyperlink"/>
            <w:rFonts w:ascii="Arial" w:hAnsi="Arial" w:cs="Arial"/>
          </w:rPr>
          <w:t>18403272</w:t>
        </w:r>
      </w:hyperlink>
      <w:r w:rsidRPr="00D61F73">
        <w:rPr>
          <w:rFonts w:ascii="Arial" w:hAnsi="Arial" w:cs="Arial"/>
        </w:rPr>
        <w:t xml:space="preserve"> </w:t>
      </w:r>
    </w:p>
    <w:p w14:paraId="435750A1" w14:textId="77777777" w:rsidR="008D0565" w:rsidRPr="00D61F73" w:rsidRDefault="008D0565" w:rsidP="00D61F73">
      <w:pPr>
        <w:rPr>
          <w:rFonts w:ascii="Arial" w:hAnsi="Arial" w:cs="Arial"/>
        </w:rPr>
      </w:pPr>
    </w:p>
    <w:p w14:paraId="07BD1199" w14:textId="77777777" w:rsidR="008D0565" w:rsidRPr="00D61F73" w:rsidRDefault="008D0565" w:rsidP="00D61F73">
      <w:pPr>
        <w:rPr>
          <w:rFonts w:ascii="Arial" w:hAnsi="Arial" w:cs="Arial"/>
        </w:rPr>
      </w:pPr>
      <w:r w:rsidRPr="00D61F73">
        <w:rPr>
          <w:rFonts w:ascii="Arial" w:hAnsi="Arial" w:cs="Arial"/>
        </w:rPr>
        <w:t>Rating: 2c</w:t>
      </w:r>
    </w:p>
    <w:p w14:paraId="7B58DDA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62" w:name="Winkelmuller"/>
      <w:bookmarkEnd w:id="1262"/>
      <w:r w:rsidRPr="00D61F73">
        <w:rPr>
          <w:rFonts w:ascii="Arial" w:hAnsi="Arial" w:cs="Arial"/>
          <w:b/>
          <w:bCs/>
        </w:rPr>
        <w:t xml:space="preserve">inkelmuller M, Winkelmuller W. Long-term effects of continuous intrathecal opioid treatment in chronic pain of nonmalignant etiology. </w:t>
      </w:r>
      <w:r w:rsidRPr="00D61F73">
        <w:rPr>
          <w:rFonts w:ascii="Arial" w:hAnsi="Arial" w:cs="Arial"/>
          <w:b/>
          <w:bCs/>
          <w:i/>
          <w:iCs/>
        </w:rPr>
        <w:t>J Neurosurg</w:t>
      </w:r>
      <w:r w:rsidRPr="00D61F73">
        <w:rPr>
          <w:rFonts w:ascii="Arial" w:hAnsi="Arial" w:cs="Arial"/>
          <w:b/>
          <w:bCs/>
        </w:rPr>
        <w:t>. 1996 Sep;85(3):458-67.</w:t>
      </w:r>
    </w:p>
    <w:p w14:paraId="1B3BCC39" w14:textId="77777777" w:rsidR="008D0565" w:rsidRPr="00D61F73" w:rsidRDefault="008D0565" w:rsidP="00D61F73">
      <w:pPr>
        <w:rPr>
          <w:rFonts w:ascii="Arial" w:hAnsi="Arial" w:cs="Arial"/>
        </w:rPr>
      </w:pPr>
    </w:p>
    <w:p w14:paraId="6016730F" w14:textId="77777777" w:rsidR="008D0565" w:rsidRPr="00D61F73" w:rsidRDefault="008D0565" w:rsidP="00D61F73">
      <w:pPr>
        <w:rPr>
          <w:rFonts w:ascii="Arial" w:hAnsi="Arial" w:cs="Arial"/>
        </w:rPr>
      </w:pPr>
      <w:r w:rsidRPr="00D61F73">
        <w:rPr>
          <w:rFonts w:ascii="Arial" w:hAnsi="Arial" w:cs="Arial"/>
        </w:rPr>
        <w:t xml:space="preserve">Ninety-two percent of the patients were satisfied with the therapy and 81% reported an improvement in their quality of life. </w:t>
      </w:r>
    </w:p>
    <w:p w14:paraId="5848E3CF" w14:textId="77777777" w:rsidR="008D0565" w:rsidRPr="00D61F73" w:rsidRDefault="008D0565" w:rsidP="00D61F73">
      <w:pPr>
        <w:rPr>
          <w:rFonts w:ascii="Arial" w:hAnsi="Arial" w:cs="Arial"/>
        </w:rPr>
      </w:pPr>
    </w:p>
    <w:p w14:paraId="7F586279" w14:textId="77777777" w:rsidR="008D0565" w:rsidRPr="00D61F73" w:rsidRDefault="008D0565" w:rsidP="00D61F73">
      <w:pPr>
        <w:rPr>
          <w:rFonts w:ascii="Arial" w:hAnsi="Arial" w:cs="Arial"/>
        </w:rPr>
      </w:pPr>
      <w:r w:rsidRPr="00D61F73">
        <w:rPr>
          <w:rFonts w:ascii="Arial" w:hAnsi="Arial" w:cs="Arial"/>
        </w:rPr>
        <w:t xml:space="preserve">PMID: </w:t>
      </w:r>
      <w:hyperlink r:id="rId889" w:history="1">
        <w:r w:rsidRPr="00D61F73">
          <w:rPr>
            <w:rStyle w:val="Hyperlink"/>
            <w:rFonts w:ascii="Arial" w:hAnsi="Arial" w:cs="Arial"/>
          </w:rPr>
          <w:t>8751633</w:t>
        </w:r>
      </w:hyperlink>
    </w:p>
    <w:p w14:paraId="7CC6B9D5" w14:textId="77777777" w:rsidR="008D0565" w:rsidRPr="00D61F73" w:rsidRDefault="008D0565" w:rsidP="00D61F73">
      <w:pPr>
        <w:rPr>
          <w:rFonts w:ascii="Arial" w:hAnsi="Arial" w:cs="Arial"/>
        </w:rPr>
      </w:pPr>
    </w:p>
    <w:p w14:paraId="6ED42693" w14:textId="77777777" w:rsidR="008D0565" w:rsidRPr="00D61F73" w:rsidRDefault="008D0565" w:rsidP="00D61F73">
      <w:pPr>
        <w:rPr>
          <w:rFonts w:ascii="Arial" w:hAnsi="Arial" w:cs="Arial"/>
        </w:rPr>
      </w:pPr>
      <w:r w:rsidRPr="00D61F73">
        <w:rPr>
          <w:rFonts w:ascii="Arial" w:hAnsi="Arial" w:cs="Arial"/>
        </w:rPr>
        <w:t>Rating: 3b</w:t>
      </w:r>
    </w:p>
    <w:p w14:paraId="5BD8BB87" w14:textId="77777777" w:rsidR="008D0565" w:rsidRPr="00D61F73" w:rsidRDefault="008D0565" w:rsidP="00D61F73">
      <w:pPr>
        <w:rPr>
          <w:rFonts w:ascii="Arial" w:hAnsi="Arial" w:cs="Arial"/>
        </w:rPr>
      </w:pPr>
    </w:p>
    <w:p w14:paraId="249F1A10" w14:textId="77777777" w:rsidR="00191C32" w:rsidRPr="00D61F73" w:rsidRDefault="00191C32" w:rsidP="00D61F73">
      <w:pPr>
        <w:rPr>
          <w:rFonts w:ascii="Arial" w:hAnsi="Arial" w:cs="Arial"/>
        </w:rPr>
      </w:pPr>
      <w:r w:rsidRPr="00D61F73">
        <w:rPr>
          <w:rFonts w:ascii="Arial" w:hAnsi="Arial" w:cs="Arial"/>
        </w:rPr>
        <w:br w:type="page"/>
      </w:r>
    </w:p>
    <w:p w14:paraId="06B7A07F" w14:textId="77777777" w:rsidR="00191C32" w:rsidRPr="00D61F73" w:rsidRDefault="00191C32" w:rsidP="00D61F73">
      <w:pPr>
        <w:rPr>
          <w:rFonts w:ascii="Arial" w:hAnsi="Arial" w:cs="Arial"/>
        </w:rPr>
      </w:pPr>
      <w:r w:rsidRPr="00D61F73">
        <w:rPr>
          <w:rFonts w:ascii="Arial" w:hAnsi="Arial" w:cs="Arial"/>
          <w:b/>
          <w:bCs/>
        </w:rPr>
        <w:lastRenderedPageBreak/>
        <w:t>Wi</w:t>
      </w:r>
      <w:bookmarkStart w:id="1263" w:name="Wise2015"/>
      <w:bookmarkEnd w:id="1263"/>
      <w:r w:rsidRPr="00D61F73">
        <w:rPr>
          <w:rFonts w:ascii="Arial" w:hAnsi="Arial" w:cs="Arial"/>
          <w:b/>
          <w:bCs/>
        </w:rPr>
        <w:t xml:space="preserve">se J. True risks of paracetamol may be underestimated, say researchers. </w:t>
      </w:r>
      <w:r w:rsidRPr="00D61F73">
        <w:rPr>
          <w:rFonts w:ascii="Arial" w:hAnsi="Arial" w:cs="Arial"/>
          <w:b/>
          <w:bCs/>
          <w:i/>
          <w:iCs/>
        </w:rPr>
        <w:t>BMJ.</w:t>
      </w:r>
      <w:r w:rsidRPr="00D61F73">
        <w:rPr>
          <w:rFonts w:ascii="Arial" w:hAnsi="Arial" w:cs="Arial"/>
          <w:b/>
          <w:bCs/>
        </w:rPr>
        <w:t xml:space="preserve"> 2015 Mar 2;350:h1186. doi: 10.1136/bmj.h1186.</w:t>
      </w:r>
    </w:p>
    <w:p w14:paraId="4D94E2F4" w14:textId="77777777" w:rsidR="00191C32" w:rsidRPr="00D61F73" w:rsidRDefault="00191C32" w:rsidP="00D61F73">
      <w:pPr>
        <w:rPr>
          <w:rFonts w:ascii="Arial" w:hAnsi="Arial" w:cs="Arial"/>
        </w:rPr>
      </w:pPr>
      <w:r w:rsidRPr="00D61F73">
        <w:rPr>
          <w:rFonts w:ascii="Arial" w:hAnsi="Arial" w:cs="Arial"/>
        </w:rPr>
        <w:t> </w:t>
      </w:r>
    </w:p>
    <w:p w14:paraId="63D39B08" w14:textId="77777777" w:rsidR="00191C32" w:rsidRPr="00D61F73" w:rsidRDefault="00191C32" w:rsidP="00D61F73">
      <w:pPr>
        <w:rPr>
          <w:rFonts w:ascii="Arial" w:hAnsi="Arial" w:cs="Arial"/>
        </w:rPr>
      </w:pPr>
      <w:r w:rsidRPr="00D61F73">
        <w:rPr>
          <w:rFonts w:ascii="Arial" w:hAnsi="Arial" w:cs="Arial"/>
        </w:rPr>
        <w:t>PMID: </w:t>
      </w:r>
      <w:hyperlink r:id="rId890" w:history="1">
        <w:r w:rsidRPr="00D61F73">
          <w:rPr>
            <w:rStyle w:val="Hyperlink"/>
            <w:rFonts w:ascii="Arial" w:hAnsi="Arial" w:cs="Arial"/>
          </w:rPr>
          <w:t>25736341</w:t>
        </w:r>
      </w:hyperlink>
    </w:p>
    <w:p w14:paraId="47EF6D6E" w14:textId="77777777" w:rsidR="00191C32" w:rsidRPr="00D61F73" w:rsidRDefault="00191C32" w:rsidP="00D61F73">
      <w:pPr>
        <w:rPr>
          <w:rFonts w:ascii="Arial" w:hAnsi="Arial" w:cs="Arial"/>
        </w:rPr>
      </w:pPr>
    </w:p>
    <w:p w14:paraId="4745E18A" w14:textId="77777777" w:rsidR="00191C32" w:rsidRPr="00D61F73" w:rsidRDefault="00191C32" w:rsidP="00D61F73">
      <w:pPr>
        <w:rPr>
          <w:rFonts w:ascii="Arial" w:hAnsi="Arial" w:cs="Arial"/>
        </w:rPr>
      </w:pPr>
      <w:r w:rsidRPr="00D61F73">
        <w:rPr>
          <w:rFonts w:ascii="Arial" w:hAnsi="Arial" w:cs="Arial"/>
        </w:rPr>
        <w:t>Rating: 1b</w:t>
      </w:r>
    </w:p>
    <w:p w14:paraId="5EEA3709"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64" w:name="Witt2011"/>
      <w:bookmarkEnd w:id="1264"/>
      <w:r w:rsidRPr="00D61F73">
        <w:rPr>
          <w:rFonts w:ascii="Arial" w:hAnsi="Arial" w:cs="Arial"/>
          <w:b/>
          <w:bCs/>
        </w:rPr>
        <w:t xml:space="preserve">itt CM, Schützler L, Lüdtke R, Wegscheider K, Willich SN. Patient Characteristics and Variation in Treatment Outcomes: Which Patients Benefit Most From Acupuncture for Chronic Pain? </w:t>
      </w:r>
      <w:r w:rsidRPr="00D61F73">
        <w:rPr>
          <w:rFonts w:ascii="Arial" w:hAnsi="Arial" w:cs="Arial"/>
          <w:b/>
          <w:bCs/>
          <w:i/>
          <w:iCs/>
        </w:rPr>
        <w:t>Clin J Pain.</w:t>
      </w:r>
      <w:r w:rsidRPr="00D61F73">
        <w:rPr>
          <w:rFonts w:ascii="Arial" w:hAnsi="Arial" w:cs="Arial"/>
          <w:b/>
          <w:bCs/>
        </w:rPr>
        <w:t xml:space="preserve"> 2011 Feb 11. [Epub ahead of print]</w:t>
      </w:r>
    </w:p>
    <w:p w14:paraId="5A4E2E2F" w14:textId="77777777" w:rsidR="008D0565" w:rsidRPr="00D61F73" w:rsidRDefault="008D0565" w:rsidP="00D61F73">
      <w:pPr>
        <w:rPr>
          <w:rFonts w:ascii="Arial" w:hAnsi="Arial" w:cs="Arial"/>
        </w:rPr>
      </w:pPr>
    </w:p>
    <w:p w14:paraId="044E99B8" w14:textId="77777777" w:rsidR="008D0565" w:rsidRPr="00D61F73" w:rsidRDefault="008D0565" w:rsidP="00D61F73">
      <w:pPr>
        <w:rPr>
          <w:rFonts w:ascii="Arial" w:hAnsi="Arial" w:cs="Arial"/>
        </w:rPr>
      </w:pPr>
      <w:r w:rsidRPr="00D61F73">
        <w:rPr>
          <w:rFonts w:ascii="Arial" w:hAnsi="Arial" w:cs="Arial"/>
        </w:rPr>
        <w:t>Patients' characteristics that enlarged the acupuncture effect were being female, living in a multi-person household, failure of other therapies before the study, and former positive acupuncture experience.</w:t>
      </w:r>
    </w:p>
    <w:p w14:paraId="566BD6BF" w14:textId="77777777" w:rsidR="008D0565" w:rsidRPr="00D61F73" w:rsidRDefault="008D0565" w:rsidP="00D61F73">
      <w:pPr>
        <w:rPr>
          <w:rFonts w:ascii="Arial" w:hAnsi="Arial" w:cs="Arial"/>
        </w:rPr>
      </w:pPr>
    </w:p>
    <w:p w14:paraId="021A525B" w14:textId="77777777" w:rsidR="008D0565" w:rsidRPr="00D61F73" w:rsidRDefault="008D0565" w:rsidP="00D61F73">
      <w:pPr>
        <w:rPr>
          <w:rFonts w:ascii="Arial" w:hAnsi="Arial" w:cs="Arial"/>
        </w:rPr>
      </w:pPr>
      <w:r w:rsidRPr="00D61F73">
        <w:rPr>
          <w:rFonts w:ascii="Arial" w:hAnsi="Arial" w:cs="Arial"/>
        </w:rPr>
        <w:t xml:space="preserve">PMID: </w:t>
      </w:r>
      <w:hyperlink r:id="rId891" w:history="1">
        <w:r w:rsidRPr="00D61F73">
          <w:rPr>
            <w:rStyle w:val="Hyperlink"/>
            <w:rFonts w:ascii="Arial" w:hAnsi="Arial" w:cs="Arial"/>
          </w:rPr>
          <w:t>21317771</w:t>
        </w:r>
      </w:hyperlink>
      <w:r w:rsidRPr="00D61F73">
        <w:rPr>
          <w:rFonts w:ascii="Arial" w:hAnsi="Arial" w:cs="Arial"/>
        </w:rPr>
        <w:t xml:space="preserve"> </w:t>
      </w:r>
    </w:p>
    <w:p w14:paraId="46D60EED" w14:textId="77777777" w:rsidR="008D0565" w:rsidRPr="00D61F73" w:rsidRDefault="008D0565" w:rsidP="00D61F73">
      <w:pPr>
        <w:rPr>
          <w:rFonts w:ascii="Arial" w:hAnsi="Arial" w:cs="Arial"/>
        </w:rPr>
      </w:pPr>
    </w:p>
    <w:p w14:paraId="1D0777D6" w14:textId="77777777" w:rsidR="008D0565" w:rsidRPr="00D61F73" w:rsidRDefault="008D0565" w:rsidP="00D61F73">
      <w:pPr>
        <w:rPr>
          <w:rFonts w:ascii="Arial" w:hAnsi="Arial" w:cs="Arial"/>
        </w:rPr>
      </w:pPr>
      <w:r w:rsidRPr="00D61F73">
        <w:rPr>
          <w:rFonts w:ascii="Arial" w:hAnsi="Arial" w:cs="Arial"/>
        </w:rPr>
        <w:t xml:space="preserve">Rating: 1b </w:t>
      </w:r>
    </w:p>
    <w:p w14:paraId="428D2023" w14:textId="77777777" w:rsidR="008D0565" w:rsidRPr="00D61F73" w:rsidRDefault="008D0565" w:rsidP="00D61F73">
      <w:pPr>
        <w:rPr>
          <w:rFonts w:ascii="Arial" w:hAnsi="Arial" w:cs="Arial"/>
          <w:b/>
          <w:bCs/>
        </w:rPr>
      </w:pPr>
      <w:r w:rsidRPr="00D61F73">
        <w:rPr>
          <w:rFonts w:ascii="Arial" w:hAnsi="Arial" w:cs="Arial"/>
        </w:rPr>
        <w:br w:type="page"/>
      </w:r>
      <w:bookmarkStart w:id="1265" w:name="Wolfe"/>
      <w:r w:rsidRPr="00D61F73">
        <w:rPr>
          <w:rFonts w:ascii="Arial" w:hAnsi="Arial" w:cs="Arial"/>
          <w:b/>
          <w:bCs/>
        </w:rPr>
        <w:lastRenderedPageBreak/>
        <w:t>Wolfe</w:t>
      </w:r>
      <w:bookmarkEnd w:id="1265"/>
      <w:r w:rsidRPr="00D61F73">
        <w:rPr>
          <w:rFonts w:ascii="Arial" w:hAnsi="Arial" w:cs="Arial"/>
          <w:b/>
          <w:bCs/>
        </w:rPr>
        <w:t xml:space="preserve"> F, Smythe HA, Yunus MB, Bennett RM, Bombardier C, Goldenberg DL, et al. The American College of Rheumatology 1990 criteria for the classification of fibromyalgia: report of the multicenter criteria committee. Arthritis Rheum 1990;33:160---72.</w:t>
      </w:r>
    </w:p>
    <w:p w14:paraId="3B16BEEC" w14:textId="77777777" w:rsidR="008D0565" w:rsidRPr="00D61F73" w:rsidRDefault="008D0565" w:rsidP="00D61F73">
      <w:pPr>
        <w:rPr>
          <w:rFonts w:ascii="Arial" w:hAnsi="Arial" w:cs="Arial"/>
        </w:rPr>
      </w:pPr>
    </w:p>
    <w:p w14:paraId="72A74643" w14:textId="77777777" w:rsidR="008D0565" w:rsidRPr="00D61F73" w:rsidRDefault="008D0565" w:rsidP="00D61F73">
      <w:pPr>
        <w:rPr>
          <w:rFonts w:ascii="Arial" w:hAnsi="Arial" w:cs="Arial"/>
        </w:rPr>
      </w:pPr>
      <w:r w:rsidRPr="00D61F73">
        <w:rPr>
          <w:rFonts w:ascii="Arial" w:hAnsi="Arial" w:cs="Arial"/>
        </w:rPr>
        <w:t>American College of Rheumatology, 1990 criteria for the classification of Fibromyalgia</w:t>
      </w:r>
    </w:p>
    <w:p w14:paraId="163F7313" w14:textId="77777777" w:rsidR="008D0565" w:rsidRPr="00D61F73" w:rsidRDefault="008D0565" w:rsidP="00D61F73">
      <w:pPr>
        <w:rPr>
          <w:rFonts w:ascii="Arial" w:hAnsi="Arial" w:cs="Arial"/>
          <w:b/>
          <w:bCs/>
        </w:rPr>
      </w:pPr>
      <w:r w:rsidRPr="00D61F73">
        <w:rPr>
          <w:rFonts w:ascii="Arial" w:hAnsi="Arial" w:cs="Arial"/>
          <w:b/>
          <w:bCs/>
        </w:rPr>
        <w:t>1. History of widespread pain.</w:t>
      </w:r>
    </w:p>
    <w:p w14:paraId="1B2E67C3" w14:textId="77777777" w:rsidR="008D0565" w:rsidRPr="00D61F73" w:rsidRDefault="008D0565" w:rsidP="00D61F73">
      <w:pPr>
        <w:rPr>
          <w:rFonts w:ascii="Arial" w:hAnsi="Arial" w:cs="Arial"/>
          <w:b/>
          <w:bCs/>
        </w:rPr>
      </w:pPr>
      <w:r w:rsidRPr="00D61F73">
        <w:rPr>
          <w:rFonts w:ascii="Arial" w:hAnsi="Arial" w:cs="Arial"/>
          <w:b/>
          <w:bCs/>
        </w:rPr>
        <w:t>2. Pain in 11 of 18 tender point sites on digital palpation.</w:t>
      </w:r>
    </w:p>
    <w:p w14:paraId="5E4F5EBB" w14:textId="77777777" w:rsidR="008D0565" w:rsidRPr="00D61F73" w:rsidRDefault="008D0565" w:rsidP="00D61F73">
      <w:pPr>
        <w:rPr>
          <w:rFonts w:ascii="Arial" w:hAnsi="Arial" w:cs="Arial"/>
        </w:rPr>
      </w:pPr>
      <w:r w:rsidRPr="00D61F73">
        <w:rPr>
          <w:rFonts w:ascii="Arial" w:hAnsi="Arial" w:cs="Arial"/>
        </w:rPr>
        <w:t>Digital palpation should be performed with an approximate force of 4 kg.</w:t>
      </w:r>
    </w:p>
    <w:p w14:paraId="25F2234C" w14:textId="77777777" w:rsidR="008D0565" w:rsidRPr="00D61F73" w:rsidRDefault="008D0565" w:rsidP="00D61F73">
      <w:pPr>
        <w:rPr>
          <w:rFonts w:ascii="Arial" w:hAnsi="Arial" w:cs="Arial"/>
        </w:rPr>
      </w:pPr>
      <w:r w:rsidRPr="00D61F73">
        <w:rPr>
          <w:rFonts w:ascii="Arial" w:hAnsi="Arial" w:cs="Arial"/>
        </w:rPr>
        <w:t>For a tender point to be considered "positive" the subject must state that the palpation was painful. "Tender is not to be considered "painful."</w:t>
      </w:r>
    </w:p>
    <w:p w14:paraId="5540DBA5" w14:textId="77777777" w:rsidR="008D0565" w:rsidRPr="00D61F73" w:rsidRDefault="008D0565" w:rsidP="00D61F73">
      <w:pPr>
        <w:rPr>
          <w:rFonts w:ascii="Arial" w:hAnsi="Arial" w:cs="Arial"/>
        </w:rPr>
      </w:pPr>
      <w:r w:rsidRPr="00D61F73">
        <w:rPr>
          <w:rFonts w:ascii="Arial" w:hAnsi="Arial" w:cs="Arial"/>
        </w:rPr>
        <w:t>* For classification purposes, patients will be said to have fibromyalgia if both criteria are satisfied. Widespread pain must have been present for at least 3 months. The presence of a second clinical disorder does not exclude the diagnosis of fibromyalgia.</w:t>
      </w:r>
    </w:p>
    <w:p w14:paraId="34373C42" w14:textId="77777777" w:rsidR="008D0565" w:rsidRPr="00D61F73" w:rsidRDefault="008D0565" w:rsidP="00D61F73">
      <w:pPr>
        <w:rPr>
          <w:rFonts w:ascii="Arial" w:hAnsi="Arial" w:cs="Arial"/>
        </w:rPr>
      </w:pPr>
    </w:p>
    <w:p w14:paraId="460F785B" w14:textId="77777777" w:rsidR="008D0565" w:rsidRPr="00D61F73" w:rsidRDefault="008D0565" w:rsidP="00D61F73">
      <w:pPr>
        <w:rPr>
          <w:rFonts w:ascii="Arial" w:hAnsi="Arial" w:cs="Arial"/>
        </w:rPr>
      </w:pPr>
      <w:r w:rsidRPr="00D61F73">
        <w:rPr>
          <w:rFonts w:ascii="Arial" w:hAnsi="Arial" w:cs="Arial"/>
        </w:rPr>
        <w:t>Rating: 6b</w:t>
      </w:r>
    </w:p>
    <w:p w14:paraId="5A8926B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W</w:t>
      </w:r>
      <w:bookmarkStart w:id="1266" w:name="Wolfe2010"/>
      <w:bookmarkEnd w:id="1266"/>
      <w:r w:rsidRPr="00D61F73">
        <w:rPr>
          <w:rFonts w:ascii="Arial" w:hAnsi="Arial" w:cs="Arial"/>
          <w:b/>
          <w:bCs/>
        </w:rPr>
        <w:t xml:space="preserve">olfe F, Clauw DJ, Fitzcharles MA, Goldenberg DL, Katz RS, Mease P, Russell AS, Russell IJ, Winfield JB, Yunus MB. The American College of Rheumatology preliminary diagnostic criteria for fibromyalgia and measurement of symptom severity. </w:t>
      </w:r>
      <w:r w:rsidRPr="00D61F73">
        <w:rPr>
          <w:rFonts w:ascii="Arial" w:hAnsi="Arial" w:cs="Arial"/>
          <w:b/>
          <w:bCs/>
          <w:i/>
          <w:iCs/>
        </w:rPr>
        <w:t>Arthritis Care Res (Hoboken).</w:t>
      </w:r>
      <w:r w:rsidRPr="00D61F73">
        <w:rPr>
          <w:rFonts w:ascii="Arial" w:hAnsi="Arial" w:cs="Arial"/>
          <w:b/>
          <w:bCs/>
        </w:rPr>
        <w:t xml:space="preserve"> 2010 May;62(5):600-10.</w:t>
      </w:r>
    </w:p>
    <w:p w14:paraId="5A9FAE72" w14:textId="77777777" w:rsidR="008D0565" w:rsidRPr="00D61F73" w:rsidRDefault="008D0565" w:rsidP="00D61F73">
      <w:pPr>
        <w:rPr>
          <w:rFonts w:ascii="Arial" w:hAnsi="Arial" w:cs="Arial"/>
        </w:rPr>
      </w:pPr>
    </w:p>
    <w:p w14:paraId="3AF43570" w14:textId="77777777" w:rsidR="008D0565" w:rsidRPr="00D61F73" w:rsidRDefault="008D0565" w:rsidP="00D61F73">
      <w:pPr>
        <w:rPr>
          <w:rFonts w:ascii="Arial" w:hAnsi="Arial" w:cs="Arial"/>
        </w:rPr>
      </w:pPr>
      <w:r w:rsidRPr="00D61F73">
        <w:rPr>
          <w:rFonts w:ascii="Arial" w:hAnsi="Arial" w:cs="Arial"/>
        </w:rPr>
        <w:t xml:space="preserve">RESULTS: The most important diagnostic variables were WPI and categorical scales for cognitive symptoms, unrefreshed sleep, fatigue, and number of somatic symptoms. </w:t>
      </w:r>
    </w:p>
    <w:p w14:paraId="45B2E45A" w14:textId="77777777" w:rsidR="008D0565" w:rsidRPr="00D61F73" w:rsidRDefault="008D0565" w:rsidP="00D61F73">
      <w:pPr>
        <w:rPr>
          <w:rFonts w:ascii="Arial" w:hAnsi="Arial" w:cs="Arial"/>
        </w:rPr>
      </w:pPr>
    </w:p>
    <w:p w14:paraId="7AEF224A" w14:textId="77777777" w:rsidR="008D0565" w:rsidRPr="00D61F73" w:rsidRDefault="008D0565" w:rsidP="00D61F73">
      <w:pPr>
        <w:rPr>
          <w:rFonts w:ascii="Arial" w:hAnsi="Arial" w:cs="Arial"/>
        </w:rPr>
      </w:pPr>
      <w:r w:rsidRPr="00D61F73">
        <w:rPr>
          <w:rFonts w:ascii="Arial" w:hAnsi="Arial" w:cs="Arial"/>
        </w:rPr>
        <w:t xml:space="preserve">PMID: </w:t>
      </w:r>
      <w:hyperlink r:id="rId892" w:history="1">
        <w:r w:rsidRPr="00D61F73">
          <w:rPr>
            <w:rStyle w:val="Hyperlink"/>
            <w:rFonts w:ascii="Arial" w:hAnsi="Arial" w:cs="Arial"/>
          </w:rPr>
          <w:t>20461783</w:t>
        </w:r>
      </w:hyperlink>
      <w:r w:rsidRPr="00D61F73">
        <w:rPr>
          <w:rFonts w:ascii="Arial" w:hAnsi="Arial" w:cs="Arial"/>
        </w:rPr>
        <w:t xml:space="preserve"> </w:t>
      </w:r>
    </w:p>
    <w:p w14:paraId="430369AB" w14:textId="77777777" w:rsidR="008D0565" w:rsidRPr="00D61F73" w:rsidRDefault="008D0565" w:rsidP="00D61F73">
      <w:pPr>
        <w:rPr>
          <w:rFonts w:ascii="Arial" w:hAnsi="Arial" w:cs="Arial"/>
        </w:rPr>
      </w:pPr>
    </w:p>
    <w:p w14:paraId="74F99777" w14:textId="77777777" w:rsidR="008D0565" w:rsidRPr="00D61F73" w:rsidRDefault="008D0565" w:rsidP="00D61F73">
      <w:pPr>
        <w:rPr>
          <w:rFonts w:ascii="Arial" w:hAnsi="Arial" w:cs="Arial"/>
        </w:rPr>
      </w:pPr>
      <w:r w:rsidRPr="00D61F73">
        <w:rPr>
          <w:rFonts w:ascii="Arial" w:hAnsi="Arial" w:cs="Arial"/>
        </w:rPr>
        <w:t>Rating: 4b</w:t>
      </w:r>
    </w:p>
    <w:p w14:paraId="2634A1F9"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W</w:t>
      </w:r>
      <w:bookmarkStart w:id="1267" w:name="Wolfe2004"/>
      <w:bookmarkEnd w:id="1267"/>
      <w:r w:rsidRPr="00D61F73">
        <w:rPr>
          <w:rFonts w:ascii="Arial" w:hAnsi="Arial" w:cs="Arial"/>
          <w:b/>
        </w:rPr>
        <w:t xml:space="preserve">olfe GI, Trivedi JR. Painful peripheral neuropathy and its nonsurgical treatment. </w:t>
      </w:r>
      <w:r w:rsidRPr="00D61F73">
        <w:rPr>
          <w:rFonts w:ascii="Arial" w:hAnsi="Arial" w:cs="Arial"/>
          <w:b/>
          <w:i/>
        </w:rPr>
        <w:t>Muscle Nerve</w:t>
      </w:r>
      <w:r w:rsidRPr="00D61F73">
        <w:rPr>
          <w:rFonts w:ascii="Arial" w:hAnsi="Arial" w:cs="Arial"/>
          <w:b/>
        </w:rPr>
        <w:t xml:space="preserve">. 2004;30:3-19. </w:t>
      </w:r>
    </w:p>
    <w:p w14:paraId="4C369D1B" w14:textId="77777777" w:rsidR="008D0565" w:rsidRPr="00D61F73" w:rsidRDefault="008D0565" w:rsidP="00D61F73">
      <w:pPr>
        <w:rPr>
          <w:rFonts w:ascii="Arial" w:hAnsi="Arial" w:cs="Arial"/>
        </w:rPr>
      </w:pPr>
    </w:p>
    <w:p w14:paraId="6635F1DE" w14:textId="77777777" w:rsidR="008D0565" w:rsidRPr="00D61F73" w:rsidRDefault="008D0565" w:rsidP="00D61F73">
      <w:pPr>
        <w:rPr>
          <w:rFonts w:ascii="Arial" w:hAnsi="Arial" w:cs="Arial"/>
        </w:rPr>
      </w:pPr>
      <w:r w:rsidRPr="00D61F73">
        <w:rPr>
          <w:rFonts w:ascii="Arial" w:hAnsi="Arial" w:cs="Arial"/>
        </w:rPr>
        <w:t xml:space="preserve">Antidepressants and anticonvulsants are the two pharmacological classes most widely studied and represent first-line agents in the management of neuropathic pain. </w:t>
      </w:r>
    </w:p>
    <w:p w14:paraId="3E8CC26A" w14:textId="77777777" w:rsidR="008D0565" w:rsidRPr="00D61F73" w:rsidRDefault="008D0565" w:rsidP="00D61F73">
      <w:pPr>
        <w:rPr>
          <w:rFonts w:ascii="Arial" w:hAnsi="Arial" w:cs="Arial"/>
        </w:rPr>
      </w:pPr>
    </w:p>
    <w:p w14:paraId="390B4482" w14:textId="77777777" w:rsidR="008D0565" w:rsidRPr="00D61F73" w:rsidRDefault="008D0565" w:rsidP="00D61F73">
      <w:pPr>
        <w:rPr>
          <w:rFonts w:ascii="Arial" w:hAnsi="Arial" w:cs="Arial"/>
        </w:rPr>
      </w:pPr>
      <w:r w:rsidRPr="00D61F73">
        <w:rPr>
          <w:rFonts w:ascii="Arial" w:hAnsi="Arial" w:cs="Arial"/>
        </w:rPr>
        <w:t xml:space="preserve">PMID: </w:t>
      </w:r>
      <w:hyperlink r:id="rId893" w:history="1">
        <w:r w:rsidRPr="00D61F73">
          <w:rPr>
            <w:rStyle w:val="Hyperlink"/>
            <w:rFonts w:ascii="Arial" w:hAnsi="Arial" w:cs="Arial"/>
          </w:rPr>
          <w:t>15221874</w:t>
        </w:r>
      </w:hyperlink>
    </w:p>
    <w:p w14:paraId="00500D91" w14:textId="77777777" w:rsidR="008D0565" w:rsidRPr="00D61F73" w:rsidRDefault="008D0565" w:rsidP="00D61F73">
      <w:pPr>
        <w:rPr>
          <w:rFonts w:ascii="Arial" w:hAnsi="Arial" w:cs="Arial"/>
        </w:rPr>
      </w:pPr>
    </w:p>
    <w:p w14:paraId="1A251B17" w14:textId="77777777" w:rsidR="008D0565" w:rsidRPr="00D61F73" w:rsidRDefault="008D0565" w:rsidP="00D61F73">
      <w:pPr>
        <w:rPr>
          <w:rFonts w:ascii="Arial" w:hAnsi="Arial" w:cs="Arial"/>
        </w:rPr>
      </w:pPr>
      <w:r w:rsidRPr="00D61F73">
        <w:rPr>
          <w:rFonts w:ascii="Arial" w:hAnsi="Arial" w:cs="Arial"/>
        </w:rPr>
        <w:t>Rating: 5b</w:t>
      </w:r>
    </w:p>
    <w:p w14:paraId="1C8D09AA" w14:textId="77777777" w:rsidR="008D0565" w:rsidRPr="00D61F73" w:rsidRDefault="008D0565" w:rsidP="00D61F73">
      <w:pPr>
        <w:rPr>
          <w:rFonts w:ascii="Arial" w:hAnsi="Arial" w:cs="Arial"/>
        </w:rPr>
      </w:pPr>
      <w:r w:rsidRPr="00D61F73">
        <w:rPr>
          <w:rFonts w:ascii="Arial" w:hAnsi="Arial" w:cs="Arial"/>
        </w:rPr>
        <w:br w:type="page"/>
      </w:r>
      <w:r w:rsidRPr="00D61F73">
        <w:rPr>
          <w:rFonts w:ascii="Arial" w:hAnsi="Arial" w:cs="Arial"/>
          <w:b/>
          <w:bCs/>
        </w:rPr>
        <w:lastRenderedPageBreak/>
        <w:t>W</w:t>
      </w:r>
      <w:bookmarkStart w:id="1268" w:name="Wong"/>
      <w:bookmarkEnd w:id="1268"/>
      <w:r w:rsidRPr="00D61F73">
        <w:rPr>
          <w:rFonts w:ascii="Arial" w:hAnsi="Arial" w:cs="Arial"/>
          <w:b/>
          <w:bCs/>
        </w:rPr>
        <w:t>ong MC</w:t>
      </w:r>
      <w:r w:rsidRPr="00D61F73">
        <w:rPr>
          <w:rFonts w:ascii="Arial" w:hAnsi="Arial" w:cs="Arial"/>
          <w:b/>
        </w:rPr>
        <w:t xml:space="preserve">, </w:t>
      </w:r>
      <w:r w:rsidRPr="00D61F73">
        <w:rPr>
          <w:rFonts w:ascii="Arial" w:hAnsi="Arial" w:cs="Arial"/>
          <w:b/>
          <w:bCs/>
        </w:rPr>
        <w:t>Chung JW</w:t>
      </w:r>
      <w:r w:rsidRPr="00D61F73">
        <w:rPr>
          <w:rFonts w:ascii="Arial" w:hAnsi="Arial" w:cs="Arial"/>
          <w:b/>
        </w:rPr>
        <w:t xml:space="preserve">, </w:t>
      </w:r>
      <w:r w:rsidRPr="00D61F73">
        <w:rPr>
          <w:rFonts w:ascii="Arial" w:hAnsi="Arial" w:cs="Arial"/>
          <w:b/>
          <w:bCs/>
        </w:rPr>
        <w:t>Wong TK</w:t>
      </w:r>
      <w:r w:rsidRPr="00D61F73">
        <w:rPr>
          <w:rFonts w:ascii="Arial" w:hAnsi="Arial" w:cs="Arial"/>
          <w:b/>
        </w:rPr>
        <w:t xml:space="preserve">. Effects of treatments for symptoms of painful diabetic neuropathy: systematic review. </w:t>
      </w:r>
      <w:r w:rsidRPr="00D61F73">
        <w:rPr>
          <w:rStyle w:val="ti"/>
          <w:rFonts w:ascii="Arial" w:hAnsi="Arial" w:cs="Arial"/>
          <w:b/>
          <w:i/>
        </w:rPr>
        <w:t>BMJ.</w:t>
      </w:r>
      <w:r w:rsidRPr="00D61F73">
        <w:rPr>
          <w:rStyle w:val="ti"/>
          <w:rFonts w:ascii="Arial" w:hAnsi="Arial" w:cs="Arial"/>
          <w:b/>
        </w:rPr>
        <w:t xml:space="preserve"> 2007;335:87. Epub 2007 Jun 11</w:t>
      </w:r>
      <w:r w:rsidRPr="00D61F73">
        <w:rPr>
          <w:rStyle w:val="ti"/>
          <w:rFonts w:ascii="Arial" w:hAnsi="Arial" w:cs="Arial"/>
        </w:rPr>
        <w:t>.</w:t>
      </w:r>
    </w:p>
    <w:p w14:paraId="69B88B77" w14:textId="77777777" w:rsidR="008D0565" w:rsidRPr="00D61F73" w:rsidRDefault="008D0565" w:rsidP="00D61F73">
      <w:pPr>
        <w:pStyle w:val="affiliation"/>
        <w:spacing w:before="0" w:beforeAutospacing="0" w:after="0" w:afterAutospacing="0"/>
        <w:rPr>
          <w:rFonts w:ascii="Arial" w:hAnsi="Arial" w:cs="Arial"/>
        </w:rPr>
      </w:pPr>
    </w:p>
    <w:p w14:paraId="67CB35EF"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Oral tricyclic antidepressants and traditional anticonvulsants are better for short</w:t>
      </w:r>
      <w:r w:rsidR="0053700F" w:rsidRPr="00D61F73">
        <w:rPr>
          <w:rFonts w:ascii="Arial" w:hAnsi="Arial" w:cs="Arial"/>
        </w:rPr>
        <w:t>-</w:t>
      </w:r>
      <w:r w:rsidRPr="00D61F73">
        <w:rPr>
          <w:rFonts w:ascii="Arial" w:hAnsi="Arial" w:cs="Arial"/>
        </w:rPr>
        <w:t>term pain relief than newer generation anticonvulsants. Evidence of the long</w:t>
      </w:r>
      <w:r w:rsidR="0053700F" w:rsidRPr="00D61F73">
        <w:rPr>
          <w:rFonts w:ascii="Arial" w:hAnsi="Arial" w:cs="Arial"/>
        </w:rPr>
        <w:t>-</w:t>
      </w:r>
      <w:r w:rsidRPr="00D61F73">
        <w:rPr>
          <w:rFonts w:ascii="Arial" w:hAnsi="Arial" w:cs="Arial"/>
        </w:rPr>
        <w:t xml:space="preserve">term effects of oral antidepressants and anticonvulsants is still lacking. </w:t>
      </w:r>
    </w:p>
    <w:p w14:paraId="79E10CA1" w14:textId="77777777" w:rsidR="008D0565" w:rsidRPr="00D61F73" w:rsidRDefault="008D0565" w:rsidP="00D61F73">
      <w:pPr>
        <w:pStyle w:val="pmid"/>
        <w:spacing w:before="0" w:beforeAutospacing="0" w:after="0" w:afterAutospacing="0"/>
        <w:rPr>
          <w:rFonts w:ascii="Arial" w:hAnsi="Arial" w:cs="Arial"/>
        </w:rPr>
      </w:pPr>
    </w:p>
    <w:p w14:paraId="49AE7187"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 xml:space="preserve">PMID: </w:t>
      </w:r>
      <w:hyperlink r:id="rId894" w:history="1">
        <w:r w:rsidRPr="00D61F73">
          <w:rPr>
            <w:rStyle w:val="Hyperlink"/>
            <w:rFonts w:ascii="Arial" w:hAnsi="Arial" w:cs="Arial"/>
          </w:rPr>
          <w:t>17562735</w:t>
        </w:r>
      </w:hyperlink>
    </w:p>
    <w:p w14:paraId="44461764" w14:textId="77777777" w:rsidR="008D0565" w:rsidRPr="00D61F73" w:rsidRDefault="008D0565" w:rsidP="00D61F73">
      <w:pPr>
        <w:pStyle w:val="pmid"/>
        <w:spacing w:before="0" w:beforeAutospacing="0" w:after="0" w:afterAutospacing="0"/>
        <w:rPr>
          <w:rFonts w:ascii="Arial" w:hAnsi="Arial" w:cs="Arial"/>
        </w:rPr>
      </w:pPr>
    </w:p>
    <w:p w14:paraId="4FFC3EE1" w14:textId="77777777" w:rsidR="008D0565" w:rsidRPr="00D61F73" w:rsidRDefault="008D0565" w:rsidP="00D61F73">
      <w:pPr>
        <w:pStyle w:val="pmid"/>
        <w:spacing w:before="0" w:beforeAutospacing="0" w:after="0" w:afterAutospacing="0"/>
        <w:rPr>
          <w:rFonts w:ascii="Arial" w:hAnsi="Arial" w:cs="Arial"/>
        </w:rPr>
      </w:pPr>
      <w:r w:rsidRPr="00D61F73">
        <w:rPr>
          <w:rFonts w:ascii="Arial" w:hAnsi="Arial" w:cs="Arial"/>
        </w:rPr>
        <w:t>Rating: 1b</w:t>
      </w:r>
    </w:p>
    <w:p w14:paraId="1B0518A1"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W</w:t>
      </w:r>
      <w:bookmarkStart w:id="1269" w:name="Wright2009"/>
      <w:bookmarkEnd w:id="1269"/>
      <w:r w:rsidRPr="00D61F73">
        <w:rPr>
          <w:rFonts w:ascii="Arial" w:hAnsi="Arial" w:cs="Arial"/>
          <w:b/>
        </w:rPr>
        <w:t>right TM, Cluver JS, Myrick H. Management of intoxication and withdrawal: General principles. In Reis RK, Fiellin DA, Miller SC, Saitz R. eds. Principles of Addiction Medicine, 4</w:t>
      </w:r>
      <w:r w:rsidRPr="00D61F73">
        <w:rPr>
          <w:rFonts w:ascii="Arial" w:hAnsi="Arial" w:cs="Arial"/>
          <w:b/>
          <w:vertAlign w:val="superscript"/>
        </w:rPr>
        <w:t>th</w:t>
      </w:r>
      <w:r w:rsidRPr="00D61F73">
        <w:rPr>
          <w:rFonts w:ascii="Arial" w:hAnsi="Arial" w:cs="Arial"/>
          <w:b/>
        </w:rPr>
        <w:t xml:space="preserve"> edition. Lippincott Williams &amp; Wilkins, 2009.</w:t>
      </w:r>
    </w:p>
    <w:p w14:paraId="2D8E98A1" w14:textId="77777777" w:rsidR="008D0565" w:rsidRPr="00D61F73" w:rsidRDefault="008D0565" w:rsidP="00D61F73">
      <w:pPr>
        <w:rPr>
          <w:rFonts w:ascii="Arial" w:eastAsia="Calibri" w:hAnsi="Arial" w:cs="Arial"/>
        </w:rPr>
      </w:pPr>
    </w:p>
    <w:p w14:paraId="52821E8C" w14:textId="77777777" w:rsidR="008D0565" w:rsidRPr="00D61F73" w:rsidRDefault="008D0565" w:rsidP="00D61F73">
      <w:pPr>
        <w:rPr>
          <w:rFonts w:ascii="Arial" w:eastAsia="Calibri" w:hAnsi="Arial" w:cs="Arial"/>
        </w:rPr>
      </w:pPr>
      <w:r w:rsidRPr="00D61F73">
        <w:rPr>
          <w:rFonts w:ascii="Arial" w:hAnsi="Arial" w:cs="Arial"/>
        </w:rPr>
        <w:t>An overview of the natural history and variations found with withdrawal from substances known for abuse. It is noted that all therapies should be tailored to the patient’s needs and adjusted to response to treatment.</w:t>
      </w:r>
    </w:p>
    <w:p w14:paraId="64DAB454" w14:textId="77777777" w:rsidR="008D0565" w:rsidRPr="00D61F73" w:rsidRDefault="008D0565" w:rsidP="00D61F73">
      <w:pPr>
        <w:rPr>
          <w:rFonts w:ascii="Arial" w:eastAsia="Calibri" w:hAnsi="Arial" w:cs="Arial"/>
        </w:rPr>
      </w:pPr>
    </w:p>
    <w:p w14:paraId="3544E1B1" w14:textId="77777777" w:rsidR="008D0565" w:rsidRPr="00D61F73" w:rsidRDefault="008D0565" w:rsidP="00D61F73">
      <w:pPr>
        <w:rPr>
          <w:rFonts w:ascii="Arial" w:eastAsia="Calibri" w:hAnsi="Arial" w:cs="Arial"/>
        </w:rPr>
      </w:pPr>
      <w:r w:rsidRPr="00D61F73">
        <w:rPr>
          <w:rFonts w:ascii="Arial" w:hAnsi="Arial" w:cs="Arial"/>
        </w:rPr>
        <w:t>Rating: 9a</w:t>
      </w:r>
    </w:p>
    <w:p w14:paraId="2E9321B6"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W</w:t>
      </w:r>
      <w:bookmarkStart w:id="1270" w:name="Wüppenhorst2010"/>
      <w:bookmarkEnd w:id="1270"/>
      <w:r w:rsidRPr="00D61F73">
        <w:rPr>
          <w:rFonts w:ascii="Arial" w:hAnsi="Arial" w:cs="Arial"/>
          <w:b/>
        </w:rPr>
        <w:t xml:space="preserve">üppenhorst N, Maier C, Frettlöh J, Pennekamp W, Nicolas V. Sensitivity and specificity of 3-phase bone scintigraphy in the diagnosis of complex regional pain syndrome of the upper extremity. </w:t>
      </w:r>
      <w:r w:rsidRPr="00D61F73">
        <w:rPr>
          <w:rFonts w:ascii="Arial" w:hAnsi="Arial" w:cs="Arial"/>
          <w:b/>
          <w:i/>
        </w:rPr>
        <w:t>Clin J Pain</w:t>
      </w:r>
      <w:r w:rsidRPr="00D61F73">
        <w:rPr>
          <w:rFonts w:ascii="Arial" w:hAnsi="Arial" w:cs="Arial"/>
          <w:b/>
        </w:rPr>
        <w:t>. 2010;26:182-9.</w:t>
      </w:r>
    </w:p>
    <w:p w14:paraId="5D8117DC" w14:textId="77777777" w:rsidR="008D0565" w:rsidRPr="00D61F73" w:rsidRDefault="008D0565" w:rsidP="00D61F73">
      <w:pPr>
        <w:rPr>
          <w:rFonts w:ascii="Arial" w:eastAsia="Calibri" w:hAnsi="Arial" w:cs="Arial"/>
        </w:rPr>
      </w:pPr>
    </w:p>
    <w:p w14:paraId="3C7D3D78" w14:textId="77777777" w:rsidR="008D0565" w:rsidRPr="00D61F73" w:rsidRDefault="008D0565" w:rsidP="00D61F73">
      <w:pPr>
        <w:rPr>
          <w:rFonts w:ascii="Arial" w:eastAsia="Calibri" w:hAnsi="Arial" w:cs="Arial"/>
        </w:rPr>
      </w:pPr>
      <w:r w:rsidRPr="00D61F73">
        <w:rPr>
          <w:rFonts w:ascii="Arial" w:hAnsi="Arial" w:cs="Arial"/>
        </w:rPr>
        <w:t xml:space="preserve">PMID: </w:t>
      </w:r>
      <w:hyperlink r:id="rId895" w:history="1">
        <w:r w:rsidRPr="00D61F73">
          <w:rPr>
            <w:rStyle w:val="Hyperlink"/>
            <w:rFonts w:ascii="Arial" w:hAnsi="Arial" w:cs="Arial"/>
          </w:rPr>
          <w:t>20173431</w:t>
        </w:r>
      </w:hyperlink>
    </w:p>
    <w:p w14:paraId="2BAC09AC" w14:textId="77777777" w:rsidR="008D0565" w:rsidRPr="00D61F73" w:rsidRDefault="008D0565" w:rsidP="00D61F73">
      <w:pPr>
        <w:rPr>
          <w:rFonts w:ascii="Arial" w:eastAsia="Calibri" w:hAnsi="Arial" w:cs="Arial"/>
        </w:rPr>
      </w:pPr>
    </w:p>
    <w:p w14:paraId="01FBE69A" w14:textId="77777777" w:rsidR="008D0565" w:rsidRPr="00D61F73" w:rsidRDefault="008D0565" w:rsidP="00D61F73">
      <w:pPr>
        <w:rPr>
          <w:rFonts w:ascii="Arial" w:eastAsia="Calibri" w:hAnsi="Arial" w:cs="Arial"/>
        </w:rPr>
      </w:pPr>
      <w:r w:rsidRPr="00D61F73">
        <w:rPr>
          <w:rFonts w:ascii="Arial" w:hAnsi="Arial" w:cs="Arial"/>
        </w:rPr>
        <w:t>Rating: 4b</w:t>
      </w:r>
    </w:p>
    <w:p w14:paraId="37CA50A0" w14:textId="77777777" w:rsidR="008D0565" w:rsidRPr="00D61F73" w:rsidRDefault="008D0565" w:rsidP="00D61F73">
      <w:pPr>
        <w:rPr>
          <w:rFonts w:ascii="Arial" w:hAnsi="Arial" w:cs="Arial"/>
          <w:b/>
          <w:bCs/>
        </w:rPr>
      </w:pPr>
      <w:r w:rsidRPr="00D61F73">
        <w:rPr>
          <w:rFonts w:ascii="Arial" w:hAnsi="Arial" w:cs="Arial"/>
        </w:rPr>
        <w:br w:type="page"/>
      </w:r>
      <w:hyperlink r:id="rId896" w:history="1">
        <w:r w:rsidRPr="00D61F73">
          <w:rPr>
            <w:rStyle w:val="Hyperlink"/>
            <w:rFonts w:ascii="Arial" w:hAnsi="Arial" w:cs="Arial"/>
            <w:b/>
            <w:bCs/>
          </w:rPr>
          <w:t>W</w:t>
        </w:r>
        <w:bookmarkStart w:id="1271" w:name="Wynn2011"/>
        <w:bookmarkEnd w:id="1271"/>
        <w:r w:rsidRPr="00D61F73">
          <w:rPr>
            <w:rStyle w:val="Hyperlink"/>
            <w:rFonts w:ascii="Arial" w:hAnsi="Arial" w:cs="Arial"/>
            <w:b/>
            <w:bCs/>
          </w:rPr>
          <w:t>ynn BO</w:t>
        </w:r>
      </w:hyperlink>
      <w:r w:rsidRPr="00D61F73">
        <w:rPr>
          <w:rFonts w:ascii="Arial" w:hAnsi="Arial" w:cs="Arial"/>
          <w:b/>
          <w:bCs/>
        </w:rPr>
        <w:t>. Use of Compound Drugs, Medical Foods, and Co-Packs in California’s Workers’ Compensation Program, An Overview of the Issues. WR-828-CHSWC. RAND Institute for Civil Justice. Prepared for the Commission on Health, Safety and Workers’ Compensation. January 2011.</w:t>
      </w:r>
    </w:p>
    <w:p w14:paraId="6783EA2F" w14:textId="77777777" w:rsidR="008D0565" w:rsidRPr="00D61F73" w:rsidRDefault="008D0565" w:rsidP="00D61F73">
      <w:pPr>
        <w:rPr>
          <w:rFonts w:ascii="Arial" w:hAnsi="Arial" w:cs="Arial"/>
        </w:rPr>
      </w:pPr>
    </w:p>
    <w:p w14:paraId="4ABBF8AC" w14:textId="77777777" w:rsidR="008D0565" w:rsidRPr="00D61F73" w:rsidRDefault="008D0565" w:rsidP="00D61F73">
      <w:pPr>
        <w:rPr>
          <w:rFonts w:ascii="Arial" w:hAnsi="Arial" w:cs="Arial"/>
        </w:rPr>
      </w:pPr>
      <w:r w:rsidRPr="00D61F73">
        <w:rPr>
          <w:rFonts w:ascii="Arial" w:hAnsi="Arial" w:cs="Arial"/>
        </w:rPr>
        <w:t>The purpose of this paper is to explore the issues surrounding the use of compound drugs, co-packs and medical foods under the California workers’ compensation (WC) program and to assess whether policy changes are needed to promote medically appropriate and efficient use of these products.</w:t>
      </w:r>
    </w:p>
    <w:p w14:paraId="283FB208" w14:textId="77777777" w:rsidR="008D0565" w:rsidRPr="00D61F73" w:rsidRDefault="008D0565" w:rsidP="00D61F73">
      <w:pPr>
        <w:rPr>
          <w:rFonts w:ascii="Arial" w:hAnsi="Arial" w:cs="Arial"/>
        </w:rPr>
      </w:pPr>
    </w:p>
    <w:p w14:paraId="2E9DA4B0" w14:textId="77777777" w:rsidR="008D0565" w:rsidRPr="00D61F73" w:rsidRDefault="008D0565" w:rsidP="00D61F73">
      <w:pPr>
        <w:rPr>
          <w:rFonts w:ascii="Arial" w:hAnsi="Arial" w:cs="Arial"/>
        </w:rPr>
      </w:pPr>
      <w:r w:rsidRPr="00D61F73">
        <w:rPr>
          <w:rFonts w:ascii="Arial" w:hAnsi="Arial" w:cs="Arial"/>
        </w:rPr>
        <w:t>Rating: 5a</w:t>
      </w:r>
    </w:p>
    <w:p w14:paraId="41E9DB3F" w14:textId="77777777" w:rsidR="00261E37" w:rsidRDefault="00261E37">
      <w:pPr>
        <w:rPr>
          <w:rFonts w:ascii="Arial" w:hAnsi="Arial" w:cs="Arial"/>
        </w:rPr>
      </w:pPr>
      <w:r>
        <w:rPr>
          <w:rFonts w:ascii="Arial" w:hAnsi="Arial" w:cs="Arial"/>
        </w:rPr>
        <w:br w:type="page"/>
      </w:r>
    </w:p>
    <w:p w14:paraId="6BC53E80" w14:textId="77777777" w:rsidR="00261E37" w:rsidRPr="000C184D" w:rsidRDefault="00261E37" w:rsidP="00261E37">
      <w:pPr>
        <w:rPr>
          <w:rFonts w:ascii="Arial" w:hAnsi="Arial" w:cs="Arial"/>
          <w:b/>
          <w:bCs/>
        </w:rPr>
      </w:pPr>
      <w:r w:rsidRPr="000C184D">
        <w:rPr>
          <w:rFonts w:ascii="Arial" w:hAnsi="Arial" w:cs="Arial"/>
          <w:b/>
          <w:bCs/>
        </w:rPr>
        <w:lastRenderedPageBreak/>
        <w:t>Y</w:t>
      </w:r>
      <w:bookmarkStart w:id="1272" w:name="Yaksi"/>
      <w:bookmarkEnd w:id="1272"/>
      <w:r w:rsidRPr="000C184D">
        <w:rPr>
          <w:rFonts w:ascii="Arial" w:hAnsi="Arial" w:cs="Arial"/>
          <w:b/>
          <w:bCs/>
        </w:rPr>
        <w:t xml:space="preserve">aksi A, Ozgönenel L, Ozgönenel B. The efficiency of gabapentin therapy in patients with lumbar spinal stenosis. </w:t>
      </w:r>
      <w:r w:rsidRPr="000C184D">
        <w:rPr>
          <w:rFonts w:ascii="Arial" w:hAnsi="Arial" w:cs="Arial"/>
          <w:b/>
          <w:bCs/>
          <w:i/>
          <w:iCs/>
        </w:rPr>
        <w:t>Spine</w:t>
      </w:r>
      <w:r w:rsidRPr="000C184D">
        <w:rPr>
          <w:rFonts w:ascii="Arial" w:hAnsi="Arial" w:cs="Arial"/>
          <w:b/>
          <w:bCs/>
        </w:rPr>
        <w:t>. 2007 Apr 20;32(9):939-42.</w:t>
      </w:r>
    </w:p>
    <w:p w14:paraId="08FB9769" w14:textId="77777777" w:rsidR="00261E37" w:rsidRPr="000C184D" w:rsidRDefault="00261E37" w:rsidP="00261E37">
      <w:pPr>
        <w:rPr>
          <w:rFonts w:ascii="Arial" w:hAnsi="Arial" w:cs="Arial"/>
        </w:rPr>
      </w:pPr>
    </w:p>
    <w:p w14:paraId="36EC41A1" w14:textId="77777777" w:rsidR="00261E37" w:rsidRPr="000C184D" w:rsidRDefault="00261E37" w:rsidP="00261E37">
      <w:pPr>
        <w:rPr>
          <w:rFonts w:ascii="Arial" w:hAnsi="Arial" w:cs="Arial"/>
        </w:rPr>
      </w:pPr>
      <w:r w:rsidRPr="000C184D">
        <w:rPr>
          <w:rFonts w:ascii="Arial" w:hAnsi="Arial" w:cs="Arial"/>
        </w:rPr>
        <w:t xml:space="preserve">Gabapentin treatment resulted in an increase in the walking distance better. </w:t>
      </w:r>
    </w:p>
    <w:p w14:paraId="209E96F4" w14:textId="77777777" w:rsidR="00261E37" w:rsidRPr="000C184D" w:rsidRDefault="00261E37" w:rsidP="00261E37">
      <w:pPr>
        <w:rPr>
          <w:rFonts w:ascii="Arial" w:hAnsi="Arial" w:cs="Arial"/>
        </w:rPr>
      </w:pPr>
    </w:p>
    <w:p w14:paraId="7F11E3D5" w14:textId="77777777" w:rsidR="00261E37" w:rsidRPr="000C184D" w:rsidRDefault="00261E37" w:rsidP="00261E37">
      <w:pPr>
        <w:rPr>
          <w:rFonts w:ascii="Arial" w:hAnsi="Arial" w:cs="Arial"/>
        </w:rPr>
      </w:pPr>
      <w:r w:rsidRPr="000C184D">
        <w:rPr>
          <w:rFonts w:ascii="Arial" w:hAnsi="Arial" w:cs="Arial"/>
        </w:rPr>
        <w:t xml:space="preserve">PMID: </w:t>
      </w:r>
      <w:hyperlink r:id="rId897" w:history="1">
        <w:r w:rsidRPr="000C184D">
          <w:rPr>
            <w:rStyle w:val="Hyperlink"/>
            <w:rFonts w:ascii="Arial" w:hAnsi="Arial" w:cs="Arial"/>
          </w:rPr>
          <w:t>17450066</w:t>
        </w:r>
      </w:hyperlink>
      <w:r w:rsidRPr="000C184D">
        <w:rPr>
          <w:rFonts w:ascii="Arial" w:hAnsi="Arial" w:cs="Arial"/>
        </w:rPr>
        <w:t xml:space="preserve"> </w:t>
      </w:r>
    </w:p>
    <w:p w14:paraId="6C5E505F" w14:textId="77777777" w:rsidR="00261E37" w:rsidRPr="000C184D" w:rsidRDefault="00261E37" w:rsidP="00261E37">
      <w:pPr>
        <w:rPr>
          <w:rFonts w:ascii="Arial" w:hAnsi="Arial" w:cs="Arial"/>
        </w:rPr>
      </w:pPr>
    </w:p>
    <w:p w14:paraId="793E3F39" w14:textId="77777777" w:rsidR="00261E37" w:rsidRPr="000C184D" w:rsidRDefault="00261E37" w:rsidP="00261E37">
      <w:pPr>
        <w:rPr>
          <w:rFonts w:ascii="Arial" w:hAnsi="Arial" w:cs="Arial"/>
        </w:rPr>
      </w:pPr>
      <w:r w:rsidRPr="000C184D">
        <w:rPr>
          <w:rFonts w:ascii="Arial" w:hAnsi="Arial" w:cs="Arial"/>
        </w:rPr>
        <w:t>Rating: 2c</w:t>
      </w:r>
    </w:p>
    <w:p w14:paraId="640C7181" w14:textId="77777777" w:rsidR="00261E37" w:rsidRDefault="00261E37" w:rsidP="00261E37">
      <w:pPr>
        <w:rPr>
          <w:rFonts w:ascii="Calibri" w:hAnsi="Calibri"/>
        </w:rPr>
      </w:pPr>
    </w:p>
    <w:p w14:paraId="70C3CE39" w14:textId="76E81E93"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Y</w:t>
      </w:r>
      <w:bookmarkStart w:id="1273" w:name="Yentur"/>
      <w:bookmarkEnd w:id="1273"/>
      <w:r w:rsidRPr="00D61F73">
        <w:rPr>
          <w:rFonts w:ascii="Arial" w:hAnsi="Arial" w:cs="Arial"/>
          <w:b/>
        </w:rPr>
        <w:t>entur EA, Okcu G, Yegul I. The role of trigger point therapy in knee osteoarthritis</w:t>
      </w:r>
      <w:r w:rsidRPr="00D61F73">
        <w:rPr>
          <w:rFonts w:ascii="Arial" w:hAnsi="Arial" w:cs="Arial"/>
          <w:b/>
          <w:i/>
        </w:rPr>
        <w:t>. Pain Clinic</w:t>
      </w:r>
      <w:r w:rsidRPr="00D61F73">
        <w:rPr>
          <w:rFonts w:ascii="Arial" w:hAnsi="Arial" w:cs="Arial"/>
          <w:b/>
        </w:rPr>
        <w:t xml:space="preserve"> 2003;15:385-90.</w:t>
      </w:r>
    </w:p>
    <w:p w14:paraId="22CB5C31" w14:textId="77777777" w:rsidR="008D0565" w:rsidRPr="00D61F73" w:rsidRDefault="008D0565" w:rsidP="00D61F73">
      <w:pPr>
        <w:rPr>
          <w:rFonts w:ascii="Arial" w:hAnsi="Arial" w:cs="Arial"/>
          <w:b/>
        </w:rPr>
      </w:pPr>
    </w:p>
    <w:p w14:paraId="6E9C8476" w14:textId="77777777" w:rsidR="008D0565" w:rsidRPr="00D61F73" w:rsidRDefault="008D0565" w:rsidP="00D61F73">
      <w:pPr>
        <w:rPr>
          <w:rFonts w:ascii="Arial" w:hAnsi="Arial" w:cs="Arial"/>
        </w:rPr>
      </w:pPr>
      <w:r w:rsidRPr="00D61F73">
        <w:rPr>
          <w:rFonts w:ascii="Arial" w:hAnsi="Arial" w:cs="Arial"/>
        </w:rPr>
        <w:t>Physical activity results improved significantly for the combined group vs. the group with the intra-articular injection (improvement in squatting and walking only).</w:t>
      </w:r>
    </w:p>
    <w:p w14:paraId="059299B5" w14:textId="77777777" w:rsidR="008D0565" w:rsidRPr="00D61F73" w:rsidRDefault="008D0565" w:rsidP="00D61F73">
      <w:pPr>
        <w:rPr>
          <w:rFonts w:ascii="Arial" w:hAnsi="Arial" w:cs="Arial"/>
        </w:rPr>
      </w:pPr>
    </w:p>
    <w:p w14:paraId="641F6B86" w14:textId="77777777" w:rsidR="008D0565" w:rsidRPr="00D61F73" w:rsidRDefault="008D0565" w:rsidP="00D61F73">
      <w:pPr>
        <w:rPr>
          <w:rFonts w:ascii="Arial" w:hAnsi="Arial" w:cs="Arial"/>
        </w:rPr>
      </w:pPr>
      <w:r w:rsidRPr="00D61F73">
        <w:rPr>
          <w:rFonts w:ascii="Arial" w:hAnsi="Arial" w:cs="Arial"/>
        </w:rPr>
        <w:t>Rating: 2c</w:t>
      </w:r>
    </w:p>
    <w:p w14:paraId="246CEB6B"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Yo</w:t>
      </w:r>
      <w:bookmarkStart w:id="1274" w:name="Yokoyama"/>
      <w:bookmarkEnd w:id="1274"/>
      <w:r w:rsidRPr="00D61F73">
        <w:rPr>
          <w:rFonts w:ascii="Arial" w:hAnsi="Arial" w:cs="Arial"/>
          <w:b/>
          <w:bCs/>
        </w:rPr>
        <w:t xml:space="preserve">koyama M, Sun X, Oku S, Taga N, Sato K, Mizobuchi S, Takahashi T, Morita K. Comparison of percutaneous electrical nerve stimulation with transcutaneous electrical nerve stimulation for long-term pain relief in patients with chronic low back pain. </w:t>
      </w:r>
      <w:r w:rsidRPr="00D61F73">
        <w:rPr>
          <w:rFonts w:ascii="Arial" w:hAnsi="Arial" w:cs="Arial"/>
          <w:b/>
          <w:bCs/>
          <w:i/>
          <w:iCs/>
        </w:rPr>
        <w:t xml:space="preserve">Anesth Analg. </w:t>
      </w:r>
      <w:r w:rsidRPr="00D61F73">
        <w:rPr>
          <w:rFonts w:ascii="Arial" w:hAnsi="Arial" w:cs="Arial"/>
          <w:b/>
          <w:bCs/>
        </w:rPr>
        <w:t>2004 Jun;98(6):1552-6, table of contents.</w:t>
      </w:r>
    </w:p>
    <w:p w14:paraId="01902564" w14:textId="77777777" w:rsidR="008D0565" w:rsidRPr="00D61F73" w:rsidRDefault="008D0565" w:rsidP="00D61F73">
      <w:pPr>
        <w:rPr>
          <w:rFonts w:ascii="Arial" w:hAnsi="Arial" w:cs="Arial"/>
        </w:rPr>
      </w:pPr>
    </w:p>
    <w:p w14:paraId="11F725AD" w14:textId="77777777" w:rsidR="008D0565" w:rsidRPr="00D61F73" w:rsidRDefault="008D0565" w:rsidP="00D61F73">
      <w:pPr>
        <w:rPr>
          <w:rFonts w:ascii="Arial" w:hAnsi="Arial" w:cs="Arial"/>
        </w:rPr>
      </w:pPr>
      <w:r w:rsidRPr="00D61F73">
        <w:rPr>
          <w:rFonts w:ascii="Arial" w:hAnsi="Arial" w:cs="Arial"/>
        </w:rPr>
        <w:t>Results indicate that although PENS is effective for chronic LBP, treatments need to be continued to sustain analgesia.</w:t>
      </w:r>
    </w:p>
    <w:p w14:paraId="516D281A" w14:textId="77777777" w:rsidR="008D0565" w:rsidRPr="00D61F73" w:rsidRDefault="008D0565" w:rsidP="00D61F73">
      <w:pPr>
        <w:rPr>
          <w:rFonts w:ascii="Arial" w:hAnsi="Arial" w:cs="Arial"/>
        </w:rPr>
      </w:pPr>
    </w:p>
    <w:p w14:paraId="63A85302" w14:textId="77777777" w:rsidR="008D0565" w:rsidRPr="00D61F73" w:rsidRDefault="008D0565" w:rsidP="00D61F73">
      <w:pPr>
        <w:rPr>
          <w:rFonts w:ascii="Arial" w:hAnsi="Arial" w:cs="Arial"/>
        </w:rPr>
      </w:pPr>
      <w:r w:rsidRPr="00D61F73">
        <w:rPr>
          <w:rFonts w:ascii="Arial" w:hAnsi="Arial" w:cs="Arial"/>
        </w:rPr>
        <w:t xml:space="preserve">PMID: </w:t>
      </w:r>
      <w:hyperlink r:id="rId898" w:history="1">
        <w:r w:rsidRPr="00D61F73">
          <w:rPr>
            <w:rStyle w:val="Hyperlink"/>
            <w:rFonts w:ascii="Arial" w:hAnsi="Arial" w:cs="Arial"/>
          </w:rPr>
          <w:t>15155304</w:t>
        </w:r>
      </w:hyperlink>
      <w:r w:rsidRPr="00D61F73">
        <w:rPr>
          <w:rFonts w:ascii="Arial" w:hAnsi="Arial" w:cs="Arial"/>
        </w:rPr>
        <w:t xml:space="preserve"> </w:t>
      </w:r>
    </w:p>
    <w:p w14:paraId="4B8568EA" w14:textId="77777777" w:rsidR="008D0565" w:rsidRPr="00D61F73" w:rsidRDefault="008D0565" w:rsidP="00D61F73">
      <w:pPr>
        <w:rPr>
          <w:rFonts w:ascii="Arial" w:hAnsi="Arial" w:cs="Arial"/>
        </w:rPr>
      </w:pPr>
    </w:p>
    <w:p w14:paraId="5816B624" w14:textId="77777777" w:rsidR="008D0565" w:rsidRPr="00D61F73" w:rsidRDefault="008D0565" w:rsidP="00D61F73">
      <w:pPr>
        <w:rPr>
          <w:rFonts w:ascii="Arial" w:hAnsi="Arial" w:cs="Arial"/>
        </w:rPr>
      </w:pPr>
      <w:r w:rsidRPr="00D61F73">
        <w:rPr>
          <w:rFonts w:ascii="Arial" w:hAnsi="Arial" w:cs="Arial"/>
        </w:rPr>
        <w:t>Rating: 2b</w:t>
      </w:r>
    </w:p>
    <w:p w14:paraId="7A567ACF" w14:textId="77777777" w:rsidR="008D0565" w:rsidRPr="00D61F73" w:rsidRDefault="008D0565" w:rsidP="00D61F73">
      <w:pPr>
        <w:rPr>
          <w:rFonts w:ascii="Arial" w:hAnsi="Arial" w:cs="Arial"/>
        </w:rPr>
      </w:pPr>
    </w:p>
    <w:p w14:paraId="62B26171" w14:textId="77777777" w:rsidR="008D0565" w:rsidRPr="00D61F73" w:rsidRDefault="008D0565" w:rsidP="00D61F73">
      <w:pPr>
        <w:rPr>
          <w:rFonts w:ascii="Arial" w:hAnsi="Arial" w:cs="Arial"/>
        </w:rPr>
      </w:pPr>
      <w:r w:rsidRPr="00D61F73">
        <w:rPr>
          <w:rFonts w:ascii="Arial" w:hAnsi="Arial" w:cs="Arial"/>
        </w:rPr>
        <w:t>Note: Not a “curative” treatment.</w:t>
      </w:r>
    </w:p>
    <w:p w14:paraId="70510AD5"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Y</w:t>
      </w:r>
      <w:bookmarkStart w:id="1275" w:name="Yoshida"/>
      <w:bookmarkEnd w:id="1275"/>
      <w:r w:rsidRPr="00D61F73">
        <w:rPr>
          <w:rFonts w:ascii="Arial" w:hAnsi="Arial" w:cs="Arial"/>
          <w:b/>
          <w:bCs/>
        </w:rPr>
        <w:t xml:space="preserve">oshida GM, Nelson RW, Capen DA, Nagelberg S, Thomas JC, Rimoldi RL, Haye W. Evaluation of continuous intraspinal narcotic analgesia for chronic pain from benign causes. </w:t>
      </w:r>
      <w:r w:rsidRPr="00D61F73">
        <w:rPr>
          <w:rFonts w:ascii="Arial" w:hAnsi="Arial" w:cs="Arial"/>
          <w:b/>
          <w:bCs/>
          <w:i/>
          <w:iCs/>
        </w:rPr>
        <w:t>Am J Orthop.</w:t>
      </w:r>
      <w:r w:rsidRPr="00D61F73">
        <w:rPr>
          <w:rFonts w:ascii="Arial" w:hAnsi="Arial" w:cs="Arial"/>
          <w:b/>
          <w:bCs/>
        </w:rPr>
        <w:t xml:space="preserve"> 1996 Oct;25(10):693-4.</w:t>
      </w:r>
    </w:p>
    <w:p w14:paraId="701984F6" w14:textId="77777777" w:rsidR="008D0565" w:rsidRPr="00D61F73" w:rsidRDefault="008D0565" w:rsidP="00D61F73">
      <w:pPr>
        <w:rPr>
          <w:rFonts w:ascii="Arial" w:hAnsi="Arial" w:cs="Arial"/>
        </w:rPr>
      </w:pPr>
    </w:p>
    <w:p w14:paraId="1E0ECDAD" w14:textId="77777777" w:rsidR="008D0565" w:rsidRPr="00D61F73" w:rsidRDefault="008D0565" w:rsidP="00D61F73">
      <w:pPr>
        <w:rPr>
          <w:rFonts w:ascii="Arial" w:hAnsi="Arial" w:cs="Arial"/>
        </w:rPr>
      </w:pPr>
      <w:r w:rsidRPr="00D61F73">
        <w:rPr>
          <w:rFonts w:ascii="Arial" w:hAnsi="Arial" w:cs="Arial"/>
        </w:rPr>
        <w:t>Overall, only 4 patients had objective evidence of benefit from INA, for a success rate of 25%. Results of this review suggest INA should not be used for the long-term management of chronic pain from nonmalignant causes.</w:t>
      </w:r>
    </w:p>
    <w:p w14:paraId="38F52683" w14:textId="77777777" w:rsidR="008D0565" w:rsidRPr="00D61F73" w:rsidRDefault="008D0565" w:rsidP="00D61F73">
      <w:pPr>
        <w:rPr>
          <w:rFonts w:ascii="Arial" w:hAnsi="Arial" w:cs="Arial"/>
        </w:rPr>
      </w:pPr>
    </w:p>
    <w:p w14:paraId="2FD34010" w14:textId="77777777" w:rsidR="008D0565" w:rsidRPr="00D61F73" w:rsidRDefault="008D0565" w:rsidP="00D61F73">
      <w:pPr>
        <w:rPr>
          <w:rFonts w:ascii="Arial" w:hAnsi="Arial" w:cs="Arial"/>
        </w:rPr>
      </w:pPr>
      <w:r w:rsidRPr="00D61F73">
        <w:rPr>
          <w:rFonts w:ascii="Arial" w:hAnsi="Arial" w:cs="Arial"/>
        </w:rPr>
        <w:t xml:space="preserve">PMID: </w:t>
      </w:r>
      <w:hyperlink r:id="rId899" w:history="1">
        <w:r w:rsidRPr="00D61F73">
          <w:rPr>
            <w:rStyle w:val="Hyperlink"/>
            <w:rFonts w:ascii="Arial" w:hAnsi="Arial" w:cs="Arial"/>
          </w:rPr>
          <w:t>8922167</w:t>
        </w:r>
      </w:hyperlink>
      <w:r w:rsidRPr="00D61F73">
        <w:rPr>
          <w:rFonts w:ascii="Arial" w:hAnsi="Arial" w:cs="Arial"/>
        </w:rPr>
        <w:t xml:space="preserve"> </w:t>
      </w:r>
    </w:p>
    <w:p w14:paraId="564D82CC" w14:textId="77777777" w:rsidR="008D0565" w:rsidRPr="00D61F73" w:rsidRDefault="008D0565" w:rsidP="00D61F73">
      <w:pPr>
        <w:rPr>
          <w:rFonts w:ascii="Arial" w:hAnsi="Arial" w:cs="Arial"/>
        </w:rPr>
      </w:pPr>
    </w:p>
    <w:p w14:paraId="769FB5E8" w14:textId="77777777" w:rsidR="008D0565" w:rsidRPr="00D61F73" w:rsidRDefault="008D0565" w:rsidP="00D61F73">
      <w:pPr>
        <w:rPr>
          <w:rFonts w:ascii="Arial" w:hAnsi="Arial" w:cs="Arial"/>
        </w:rPr>
      </w:pPr>
      <w:r w:rsidRPr="00D61F73">
        <w:rPr>
          <w:rFonts w:ascii="Arial" w:hAnsi="Arial" w:cs="Arial"/>
        </w:rPr>
        <w:t>Rating: 4b</w:t>
      </w:r>
    </w:p>
    <w:p w14:paraId="68127167"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Y</w:t>
      </w:r>
      <w:bookmarkStart w:id="1276" w:name="YousefiNooraie"/>
      <w:bookmarkEnd w:id="1276"/>
      <w:r w:rsidRPr="00D61F73">
        <w:rPr>
          <w:rFonts w:ascii="Arial" w:hAnsi="Arial" w:cs="Arial"/>
          <w:b/>
          <w:bCs/>
        </w:rPr>
        <w:t xml:space="preserve">ousefi-Nooraie R, Schonstein E, Heidari K, Rashidian A, Akbari-Kamrani M, Irani S, Shakiba B, Mortaz Hejri S, Mortaz Hejri S, Jonaidi A. Low level laser therapy for nonspecific low-back pain. </w:t>
      </w:r>
      <w:r w:rsidRPr="00D61F73">
        <w:rPr>
          <w:rFonts w:ascii="Arial" w:hAnsi="Arial" w:cs="Arial"/>
          <w:b/>
          <w:bCs/>
          <w:i/>
          <w:iCs/>
        </w:rPr>
        <w:t>Cochrane Database Syst Rev.</w:t>
      </w:r>
      <w:r w:rsidRPr="00D61F73">
        <w:rPr>
          <w:rFonts w:ascii="Arial" w:hAnsi="Arial" w:cs="Arial"/>
          <w:b/>
          <w:bCs/>
        </w:rPr>
        <w:t xml:space="preserve"> 2007 Apr 18;(2):CD005107.</w:t>
      </w:r>
    </w:p>
    <w:p w14:paraId="26955A74" w14:textId="77777777" w:rsidR="008D0565" w:rsidRPr="00D61F73" w:rsidRDefault="008D0565" w:rsidP="00D61F73">
      <w:pPr>
        <w:rPr>
          <w:rFonts w:ascii="Arial" w:hAnsi="Arial" w:cs="Arial"/>
        </w:rPr>
      </w:pPr>
    </w:p>
    <w:p w14:paraId="4ABBEC68" w14:textId="77777777" w:rsidR="008D0565" w:rsidRPr="00D61F73" w:rsidRDefault="008D0565" w:rsidP="00D61F73">
      <w:pPr>
        <w:rPr>
          <w:rFonts w:ascii="Arial" w:hAnsi="Arial" w:cs="Arial"/>
        </w:rPr>
      </w:pPr>
      <w:r w:rsidRPr="00D61F73">
        <w:rPr>
          <w:rFonts w:ascii="Arial" w:hAnsi="Arial" w:cs="Arial"/>
        </w:rPr>
        <w:t xml:space="preserve">There is a need for further methodologically rigorous RCTs to evaluate the effects of LLLT compared to other treatments, different lengths of treatment, different wavelengths and different dosages. </w:t>
      </w:r>
    </w:p>
    <w:p w14:paraId="26692A93" w14:textId="77777777" w:rsidR="008D0565" w:rsidRPr="00D61F73" w:rsidRDefault="008D0565" w:rsidP="00D61F73">
      <w:pPr>
        <w:rPr>
          <w:rFonts w:ascii="Arial" w:hAnsi="Arial" w:cs="Arial"/>
        </w:rPr>
      </w:pPr>
    </w:p>
    <w:p w14:paraId="2B93063F" w14:textId="77777777" w:rsidR="008D0565" w:rsidRPr="00D61F73" w:rsidRDefault="008D0565" w:rsidP="00D61F73">
      <w:pPr>
        <w:rPr>
          <w:rFonts w:ascii="Arial" w:hAnsi="Arial" w:cs="Arial"/>
        </w:rPr>
      </w:pPr>
      <w:r w:rsidRPr="00D61F73">
        <w:rPr>
          <w:rFonts w:ascii="Arial" w:hAnsi="Arial" w:cs="Arial"/>
        </w:rPr>
        <w:t xml:space="preserve">PMID: </w:t>
      </w:r>
      <w:hyperlink r:id="rId900" w:history="1">
        <w:r w:rsidRPr="00D61F73">
          <w:rPr>
            <w:rStyle w:val="Hyperlink"/>
            <w:rFonts w:ascii="Arial" w:hAnsi="Arial" w:cs="Arial"/>
          </w:rPr>
          <w:t>17443572</w:t>
        </w:r>
      </w:hyperlink>
    </w:p>
    <w:p w14:paraId="4263653F" w14:textId="77777777" w:rsidR="008D0565" w:rsidRPr="00D61F73" w:rsidRDefault="008D0565" w:rsidP="00D61F73">
      <w:pPr>
        <w:rPr>
          <w:rFonts w:ascii="Arial" w:hAnsi="Arial" w:cs="Arial"/>
        </w:rPr>
      </w:pPr>
    </w:p>
    <w:p w14:paraId="7A2FEADD" w14:textId="77777777" w:rsidR="008D0565" w:rsidRPr="00D61F73" w:rsidRDefault="008D0565" w:rsidP="00D61F73">
      <w:pPr>
        <w:rPr>
          <w:rFonts w:ascii="Arial" w:hAnsi="Arial" w:cs="Arial"/>
        </w:rPr>
      </w:pPr>
      <w:r w:rsidRPr="00D61F73">
        <w:rPr>
          <w:rFonts w:ascii="Arial" w:hAnsi="Arial" w:cs="Arial"/>
        </w:rPr>
        <w:t>Rating: 1b</w:t>
      </w:r>
    </w:p>
    <w:p w14:paraId="1B521D58" w14:textId="77777777" w:rsidR="008D0565" w:rsidRPr="00D61F73" w:rsidRDefault="008D0565" w:rsidP="00D61F73">
      <w:pPr>
        <w:rPr>
          <w:rFonts w:ascii="Arial" w:hAnsi="Arial" w:cs="Arial"/>
        </w:rPr>
      </w:pPr>
    </w:p>
    <w:p w14:paraId="383C7297" w14:textId="77777777" w:rsidR="008D0565" w:rsidRPr="00D61F73" w:rsidRDefault="008D0565" w:rsidP="00D61F73">
      <w:pPr>
        <w:pStyle w:val="NormalWeb"/>
        <w:spacing w:before="0" w:beforeAutospacing="0" w:after="0" w:afterAutospacing="0"/>
        <w:rPr>
          <w:rFonts w:ascii="Arial" w:hAnsi="Arial" w:cs="Arial"/>
          <w:b/>
        </w:rPr>
      </w:pPr>
      <w:r w:rsidRPr="00D61F73">
        <w:rPr>
          <w:rFonts w:ascii="Arial" w:hAnsi="Arial" w:cs="Arial"/>
        </w:rPr>
        <w:br w:type="page"/>
      </w:r>
      <w:r w:rsidRPr="00D61F73">
        <w:rPr>
          <w:rFonts w:ascii="Arial" w:hAnsi="Arial" w:cs="Arial"/>
          <w:b/>
        </w:rPr>
        <w:lastRenderedPageBreak/>
        <w:t>Y</w:t>
      </w:r>
      <w:bookmarkStart w:id="1277" w:name="Yung"/>
      <w:bookmarkEnd w:id="1277"/>
      <w:r w:rsidRPr="00D61F73">
        <w:rPr>
          <w:rFonts w:ascii="Arial" w:hAnsi="Arial" w:cs="Arial"/>
          <w:b/>
        </w:rPr>
        <w:t xml:space="preserve">ung Chung O, Bruehl SP. Complex Regional Pain Syndrome. </w:t>
      </w:r>
      <w:r w:rsidRPr="00D61F73">
        <w:rPr>
          <w:rFonts w:ascii="Arial" w:hAnsi="Arial" w:cs="Arial"/>
          <w:b/>
          <w:i/>
        </w:rPr>
        <w:t>Curr Treat Options Neurol</w:t>
      </w:r>
      <w:r w:rsidRPr="00D61F73">
        <w:rPr>
          <w:rFonts w:ascii="Arial" w:hAnsi="Arial" w:cs="Arial"/>
          <w:b/>
        </w:rPr>
        <w:t>. 2003 Nov;5(6):499-511.</w:t>
      </w:r>
    </w:p>
    <w:p w14:paraId="0204D87C" w14:textId="77777777" w:rsidR="008D0565" w:rsidRPr="00D61F73" w:rsidRDefault="008D0565" w:rsidP="00D61F73">
      <w:pPr>
        <w:rPr>
          <w:rFonts w:ascii="Arial" w:hAnsi="Arial" w:cs="Arial"/>
        </w:rPr>
      </w:pPr>
    </w:p>
    <w:p w14:paraId="0EF1C76B" w14:textId="77777777" w:rsidR="008D0565" w:rsidRPr="00D61F73" w:rsidRDefault="008D0565" w:rsidP="00D61F73">
      <w:pPr>
        <w:rPr>
          <w:rFonts w:ascii="Arial" w:hAnsi="Arial" w:cs="Arial"/>
        </w:rPr>
      </w:pPr>
      <w:r w:rsidRPr="00D61F73">
        <w:rPr>
          <w:rFonts w:ascii="Arial" w:hAnsi="Arial" w:cs="Arial"/>
        </w:rPr>
        <w:t xml:space="preserve">Sympathetic nerve blocks should be performed at least once to assess if sympathetically maintained pain is present. Pain relief, however it is achieved and however temporary it is, is intended to facilitate participation in functional therapies to normalize use and to improve motion, strength, and dexterity. </w:t>
      </w:r>
    </w:p>
    <w:p w14:paraId="6C7C1A74" w14:textId="77777777" w:rsidR="008D0565" w:rsidRPr="00D61F73" w:rsidRDefault="008D0565" w:rsidP="00D61F73">
      <w:pPr>
        <w:rPr>
          <w:rFonts w:ascii="Arial" w:hAnsi="Arial" w:cs="Arial"/>
        </w:rPr>
      </w:pPr>
    </w:p>
    <w:p w14:paraId="700FC907" w14:textId="77777777" w:rsidR="008D0565" w:rsidRPr="00D61F73" w:rsidRDefault="008D0565" w:rsidP="00D61F73">
      <w:pPr>
        <w:rPr>
          <w:rFonts w:ascii="Arial" w:hAnsi="Arial" w:cs="Arial"/>
        </w:rPr>
      </w:pPr>
      <w:r w:rsidRPr="00D61F73">
        <w:rPr>
          <w:rFonts w:ascii="Arial" w:hAnsi="Arial" w:cs="Arial"/>
        </w:rPr>
        <w:t xml:space="preserve">PMID: </w:t>
      </w:r>
      <w:hyperlink r:id="rId901" w:history="1">
        <w:r w:rsidRPr="00D61F73">
          <w:rPr>
            <w:rStyle w:val="Hyperlink"/>
            <w:rFonts w:ascii="Arial" w:hAnsi="Arial" w:cs="Arial"/>
          </w:rPr>
          <w:t>14516527</w:t>
        </w:r>
      </w:hyperlink>
    </w:p>
    <w:p w14:paraId="289FF92C" w14:textId="77777777" w:rsidR="008D0565" w:rsidRPr="00D61F73" w:rsidRDefault="008D0565" w:rsidP="00D61F73">
      <w:pPr>
        <w:rPr>
          <w:rFonts w:ascii="Arial" w:hAnsi="Arial" w:cs="Arial"/>
        </w:rPr>
      </w:pPr>
    </w:p>
    <w:p w14:paraId="1C26C88E" w14:textId="77777777" w:rsidR="008D0565" w:rsidRPr="00D61F73" w:rsidRDefault="008D0565" w:rsidP="00D61F73">
      <w:pPr>
        <w:rPr>
          <w:rFonts w:ascii="Arial" w:hAnsi="Arial" w:cs="Arial"/>
        </w:rPr>
      </w:pPr>
      <w:r w:rsidRPr="00D61F73">
        <w:rPr>
          <w:rFonts w:ascii="Arial" w:hAnsi="Arial" w:cs="Arial"/>
        </w:rPr>
        <w:t>Rating: 5a</w:t>
      </w:r>
    </w:p>
    <w:p w14:paraId="16E8B293"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Z</w:t>
      </w:r>
      <w:bookmarkStart w:id="1278" w:name="Zambito"/>
      <w:bookmarkEnd w:id="1278"/>
      <w:r w:rsidRPr="00D61F73">
        <w:rPr>
          <w:rFonts w:ascii="Arial" w:hAnsi="Arial" w:cs="Arial"/>
          <w:b/>
          <w:bCs/>
        </w:rPr>
        <w:t xml:space="preserve">ambito A, Bianchini D, Gatti D, Viapiana O, Rossini M, Adami S. Interferential and horizontal therapies in chronic low back pain: a randomized, double blind, clinical study. </w:t>
      </w:r>
      <w:r w:rsidRPr="00D61F73">
        <w:rPr>
          <w:rFonts w:ascii="Arial" w:hAnsi="Arial" w:cs="Arial"/>
          <w:b/>
          <w:bCs/>
          <w:i/>
          <w:iCs/>
        </w:rPr>
        <w:t>Clin Exp Rheumatol.</w:t>
      </w:r>
      <w:r w:rsidRPr="00D61F73">
        <w:rPr>
          <w:rFonts w:ascii="Arial" w:hAnsi="Arial" w:cs="Arial"/>
          <w:b/>
          <w:bCs/>
        </w:rPr>
        <w:t xml:space="preserve"> 2006 Sep-Oct;24(5):534-9.</w:t>
      </w:r>
    </w:p>
    <w:p w14:paraId="781773B6" w14:textId="77777777" w:rsidR="008D0565" w:rsidRPr="00D61F73" w:rsidRDefault="008D0565" w:rsidP="00D61F73">
      <w:pPr>
        <w:rPr>
          <w:rFonts w:ascii="Arial" w:hAnsi="Arial" w:cs="Arial"/>
        </w:rPr>
      </w:pPr>
    </w:p>
    <w:p w14:paraId="36BF03CE" w14:textId="77777777" w:rsidR="008D0565" w:rsidRPr="00D61F73" w:rsidRDefault="008D0565" w:rsidP="00D61F73">
      <w:pPr>
        <w:rPr>
          <w:rFonts w:ascii="Arial" w:hAnsi="Arial" w:cs="Arial"/>
        </w:rPr>
      </w:pPr>
      <w:r w:rsidRPr="00D61F73">
        <w:rPr>
          <w:rFonts w:ascii="Arial" w:hAnsi="Arial" w:cs="Arial"/>
        </w:rPr>
        <w:t>This randomized double-blind controlled study provides the first evidence that IFT and HT therapy are significantly effective in alleviating both pain and disability in patients with CLBP. The placebo effect is remarkable at the beginning of the treatment but it tends to vanish within a couple of weeks.</w:t>
      </w:r>
    </w:p>
    <w:p w14:paraId="5901C4E2" w14:textId="77777777" w:rsidR="008D0565" w:rsidRPr="00D61F73" w:rsidRDefault="008D0565" w:rsidP="00D61F73">
      <w:pPr>
        <w:rPr>
          <w:rFonts w:ascii="Arial" w:hAnsi="Arial" w:cs="Arial"/>
        </w:rPr>
      </w:pPr>
    </w:p>
    <w:p w14:paraId="33EB0425" w14:textId="77777777" w:rsidR="008D0565" w:rsidRPr="00D61F73" w:rsidRDefault="008D0565" w:rsidP="00D61F73">
      <w:pPr>
        <w:rPr>
          <w:rFonts w:ascii="Arial" w:hAnsi="Arial" w:cs="Arial"/>
        </w:rPr>
      </w:pPr>
      <w:r w:rsidRPr="00D61F73">
        <w:rPr>
          <w:rFonts w:ascii="Arial" w:hAnsi="Arial" w:cs="Arial"/>
        </w:rPr>
        <w:t xml:space="preserve">PMID: </w:t>
      </w:r>
      <w:hyperlink r:id="rId902" w:history="1">
        <w:r w:rsidRPr="00D61F73">
          <w:rPr>
            <w:rStyle w:val="Hyperlink"/>
            <w:rFonts w:ascii="Arial" w:hAnsi="Arial" w:cs="Arial"/>
          </w:rPr>
          <w:t>17181922</w:t>
        </w:r>
      </w:hyperlink>
      <w:r w:rsidRPr="00D61F73">
        <w:rPr>
          <w:rFonts w:ascii="Arial" w:hAnsi="Arial" w:cs="Arial"/>
        </w:rPr>
        <w:t xml:space="preserve"> </w:t>
      </w:r>
    </w:p>
    <w:p w14:paraId="5A0AC473" w14:textId="77777777" w:rsidR="008D0565" w:rsidRPr="00D61F73" w:rsidRDefault="008D0565" w:rsidP="00D61F73">
      <w:pPr>
        <w:rPr>
          <w:rFonts w:ascii="Arial" w:hAnsi="Arial" w:cs="Arial"/>
        </w:rPr>
      </w:pPr>
    </w:p>
    <w:p w14:paraId="6A1F54C7" w14:textId="77777777" w:rsidR="008D0565" w:rsidRPr="00D61F73" w:rsidRDefault="008D0565" w:rsidP="00D61F73">
      <w:pPr>
        <w:rPr>
          <w:rFonts w:ascii="Arial" w:hAnsi="Arial" w:cs="Arial"/>
        </w:rPr>
      </w:pPr>
      <w:r w:rsidRPr="00D61F73">
        <w:rPr>
          <w:rFonts w:ascii="Arial" w:hAnsi="Arial" w:cs="Arial"/>
        </w:rPr>
        <w:t>Rating: 2b</w:t>
      </w:r>
    </w:p>
    <w:p w14:paraId="4F0450CD"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Z</w:t>
      </w:r>
      <w:bookmarkStart w:id="1279" w:name="Zambito2"/>
      <w:bookmarkEnd w:id="1279"/>
      <w:r w:rsidRPr="00D61F73">
        <w:rPr>
          <w:rFonts w:ascii="Arial" w:hAnsi="Arial" w:cs="Arial"/>
          <w:b/>
          <w:bCs/>
        </w:rPr>
        <w:t xml:space="preserve">ambito A, Bianchini D, Gatti D, Rossini M, Adami S, Viapiana O. Interferential and horizontal therapies in chronic low back pain due to multiple vertebral fractures: a randomized, double blind, clinical study. </w:t>
      </w:r>
      <w:r w:rsidRPr="00D61F73">
        <w:rPr>
          <w:rFonts w:ascii="Arial" w:hAnsi="Arial" w:cs="Arial"/>
          <w:b/>
          <w:bCs/>
          <w:i/>
          <w:iCs/>
        </w:rPr>
        <w:t>Osteoporos Int.</w:t>
      </w:r>
      <w:r w:rsidRPr="00D61F73">
        <w:rPr>
          <w:rFonts w:ascii="Arial" w:hAnsi="Arial" w:cs="Arial"/>
          <w:b/>
          <w:bCs/>
        </w:rPr>
        <w:t xml:space="preserve"> 2007 Nov;18(11):1541-5. Epub 2007 Jul 4.</w:t>
      </w:r>
    </w:p>
    <w:p w14:paraId="739CA1A2" w14:textId="77777777" w:rsidR="008D0565" w:rsidRPr="00D61F73" w:rsidRDefault="008D0565" w:rsidP="00D61F73">
      <w:pPr>
        <w:rPr>
          <w:rFonts w:ascii="Arial" w:hAnsi="Arial" w:cs="Arial"/>
        </w:rPr>
      </w:pPr>
    </w:p>
    <w:p w14:paraId="5AF1C9E6" w14:textId="77777777" w:rsidR="008D0565" w:rsidRPr="00D61F73" w:rsidRDefault="008D0565" w:rsidP="00D61F73">
      <w:pPr>
        <w:rPr>
          <w:rFonts w:ascii="Arial" w:hAnsi="Arial" w:cs="Arial"/>
        </w:rPr>
      </w:pPr>
      <w:r w:rsidRPr="00D61F73">
        <w:rPr>
          <w:rFonts w:ascii="Arial" w:hAnsi="Arial" w:cs="Arial"/>
        </w:rPr>
        <w:t>This randomized double-blind controlled study provides the first evidence that IFT and HT therapy are significantly effective in alleviating both pain and disability in patients with CBPMF.</w:t>
      </w:r>
    </w:p>
    <w:p w14:paraId="08DB54C0" w14:textId="77777777" w:rsidR="008D0565" w:rsidRPr="00D61F73" w:rsidRDefault="008D0565" w:rsidP="00D61F73">
      <w:pPr>
        <w:rPr>
          <w:rFonts w:ascii="Arial" w:hAnsi="Arial" w:cs="Arial"/>
        </w:rPr>
      </w:pPr>
    </w:p>
    <w:p w14:paraId="614EF535" w14:textId="77777777" w:rsidR="008D0565" w:rsidRPr="00D61F73" w:rsidRDefault="008D0565" w:rsidP="00D61F73">
      <w:pPr>
        <w:rPr>
          <w:rFonts w:ascii="Arial" w:hAnsi="Arial" w:cs="Arial"/>
        </w:rPr>
      </w:pPr>
      <w:r w:rsidRPr="00D61F73">
        <w:rPr>
          <w:rFonts w:ascii="Arial" w:hAnsi="Arial" w:cs="Arial"/>
        </w:rPr>
        <w:t xml:space="preserve">PMID: </w:t>
      </w:r>
      <w:hyperlink r:id="rId903" w:history="1">
        <w:r w:rsidRPr="00D61F73">
          <w:rPr>
            <w:rStyle w:val="Hyperlink"/>
            <w:rFonts w:ascii="Arial" w:hAnsi="Arial" w:cs="Arial"/>
          </w:rPr>
          <w:t>17609842</w:t>
        </w:r>
      </w:hyperlink>
      <w:r w:rsidRPr="00D61F73">
        <w:rPr>
          <w:rFonts w:ascii="Arial" w:hAnsi="Arial" w:cs="Arial"/>
        </w:rPr>
        <w:t xml:space="preserve"> </w:t>
      </w:r>
    </w:p>
    <w:p w14:paraId="2D21D995" w14:textId="77777777" w:rsidR="008D0565" w:rsidRPr="00D61F73" w:rsidRDefault="008D0565" w:rsidP="00D61F73">
      <w:pPr>
        <w:rPr>
          <w:rFonts w:ascii="Arial" w:hAnsi="Arial" w:cs="Arial"/>
        </w:rPr>
      </w:pPr>
    </w:p>
    <w:p w14:paraId="06A4EF1E" w14:textId="77777777" w:rsidR="008D0565" w:rsidRPr="00D61F73" w:rsidRDefault="008D0565" w:rsidP="00D61F73">
      <w:pPr>
        <w:rPr>
          <w:rFonts w:ascii="Arial" w:hAnsi="Arial" w:cs="Arial"/>
        </w:rPr>
      </w:pPr>
      <w:r w:rsidRPr="00D61F73">
        <w:rPr>
          <w:rFonts w:ascii="Arial" w:hAnsi="Arial" w:cs="Arial"/>
        </w:rPr>
        <w:t>Rating: 2b</w:t>
      </w:r>
    </w:p>
    <w:p w14:paraId="0075F80B"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Z</w:t>
      </w:r>
      <w:bookmarkStart w:id="1280" w:name="Zammit"/>
      <w:bookmarkEnd w:id="1280"/>
      <w:r w:rsidRPr="00D61F73">
        <w:rPr>
          <w:rFonts w:ascii="Arial" w:hAnsi="Arial" w:cs="Arial"/>
          <w:b/>
        </w:rPr>
        <w:t xml:space="preserve">ammit G, Erman M, Wang-Weigand S, Sainati S, Zhang J, Roth T. Evaluation of the efficacy and safety of ramelteon in subjects with chronic insomnia. </w:t>
      </w:r>
      <w:r w:rsidRPr="00D61F73">
        <w:rPr>
          <w:rFonts w:ascii="Arial" w:hAnsi="Arial" w:cs="Arial"/>
          <w:b/>
          <w:i/>
        </w:rPr>
        <w:t>J Clin Sleep Med.</w:t>
      </w:r>
      <w:r w:rsidRPr="00D61F73">
        <w:rPr>
          <w:rFonts w:ascii="Arial" w:hAnsi="Arial" w:cs="Arial"/>
          <w:b/>
        </w:rPr>
        <w:t xml:space="preserve"> 2007;3:495-504.</w:t>
      </w:r>
    </w:p>
    <w:p w14:paraId="48B95C91" w14:textId="77777777" w:rsidR="008D0565" w:rsidRPr="00D61F73" w:rsidRDefault="008D0565" w:rsidP="00D61F73">
      <w:pPr>
        <w:pStyle w:val="affiliation"/>
        <w:spacing w:before="0" w:beforeAutospacing="0" w:after="0" w:afterAutospacing="0"/>
        <w:rPr>
          <w:rFonts w:ascii="Arial" w:hAnsi="Arial" w:cs="Arial"/>
        </w:rPr>
      </w:pPr>
    </w:p>
    <w:p w14:paraId="0A2104B7"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 xml:space="preserve">Ramelteon reduced LPS over 5 weeks of treatment in subjects with chronic insomnia, with no clinically meaningful sleep architecture alterations, next-morning residual pharmacologic effects, and no evidence of rebound insomnia or withdrawal. </w:t>
      </w:r>
    </w:p>
    <w:p w14:paraId="2FBE9DD9" w14:textId="77777777" w:rsidR="008D0565" w:rsidRPr="00D61F73" w:rsidRDefault="008D0565" w:rsidP="00D61F73">
      <w:pPr>
        <w:pStyle w:val="abstract"/>
        <w:spacing w:before="0" w:beforeAutospacing="0" w:after="0" w:afterAutospacing="0"/>
        <w:rPr>
          <w:rFonts w:ascii="Arial" w:hAnsi="Arial" w:cs="Arial"/>
        </w:rPr>
      </w:pPr>
    </w:p>
    <w:p w14:paraId="3EBA5E9B" w14:textId="77777777" w:rsidR="008D0565" w:rsidRPr="00D61F73" w:rsidRDefault="008D0565" w:rsidP="00D61F73">
      <w:pPr>
        <w:pStyle w:val="abstract"/>
        <w:spacing w:before="0" w:beforeAutospacing="0" w:after="0" w:afterAutospacing="0"/>
        <w:rPr>
          <w:rFonts w:ascii="Arial" w:hAnsi="Arial" w:cs="Arial"/>
        </w:rPr>
      </w:pPr>
      <w:r w:rsidRPr="00D61F73">
        <w:rPr>
          <w:rFonts w:ascii="Arial" w:hAnsi="Arial" w:cs="Arial"/>
        </w:rPr>
        <w:t>Rating: 2c</w:t>
      </w:r>
    </w:p>
    <w:p w14:paraId="0ECC32CF"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Z</w:t>
      </w:r>
      <w:bookmarkStart w:id="1281" w:name="Zaremba"/>
      <w:bookmarkEnd w:id="1281"/>
      <w:r w:rsidRPr="00D61F73">
        <w:rPr>
          <w:rFonts w:ascii="Arial" w:hAnsi="Arial" w:cs="Arial"/>
          <w:b/>
        </w:rPr>
        <w:t xml:space="preserve">aremba PD, Białek M, Błaszczyk B, Cioczek P, Czuczwar SJ. Non-epilepsy uses of antiepilepsy drugs. </w:t>
      </w:r>
      <w:r w:rsidRPr="00D61F73">
        <w:rPr>
          <w:rFonts w:ascii="Arial" w:hAnsi="Arial" w:cs="Arial"/>
          <w:b/>
          <w:i/>
        </w:rPr>
        <w:t>Pharmacol Rep.</w:t>
      </w:r>
      <w:r w:rsidRPr="00D61F73">
        <w:rPr>
          <w:rFonts w:ascii="Arial" w:hAnsi="Arial" w:cs="Arial"/>
          <w:b/>
        </w:rPr>
        <w:t xml:space="preserve"> 2006;58:1-12.</w:t>
      </w:r>
    </w:p>
    <w:p w14:paraId="4AC5E226" w14:textId="77777777" w:rsidR="008D0565" w:rsidRPr="00D61F73" w:rsidRDefault="008D0565" w:rsidP="00D61F73">
      <w:pPr>
        <w:rPr>
          <w:rFonts w:ascii="Arial" w:hAnsi="Arial" w:cs="Arial"/>
        </w:rPr>
      </w:pPr>
    </w:p>
    <w:p w14:paraId="2481B96D" w14:textId="77777777" w:rsidR="008D0565" w:rsidRPr="00D61F73" w:rsidRDefault="008D0565" w:rsidP="00D61F73">
      <w:pPr>
        <w:rPr>
          <w:rFonts w:ascii="Arial" w:hAnsi="Arial" w:cs="Arial"/>
        </w:rPr>
      </w:pPr>
      <w:r w:rsidRPr="00D61F73">
        <w:rPr>
          <w:rFonts w:ascii="Arial" w:hAnsi="Arial" w:cs="Arial"/>
        </w:rPr>
        <w:t xml:space="preserve">Both conventional and newer AEDs may be used in patients suffering from neuropathic pain, migraine, essential tremor, spasticity, restless legs syndrome and a number of psychiatric disorders (f.e. bipolar disease or schizophrenia). </w:t>
      </w:r>
    </w:p>
    <w:p w14:paraId="1FB35A79" w14:textId="77777777" w:rsidR="008D0565" w:rsidRPr="00D61F73" w:rsidRDefault="008D0565" w:rsidP="00D61F73">
      <w:pPr>
        <w:rPr>
          <w:rFonts w:ascii="Arial" w:hAnsi="Arial" w:cs="Arial"/>
        </w:rPr>
      </w:pPr>
    </w:p>
    <w:p w14:paraId="3EA29F8F" w14:textId="77777777" w:rsidR="008D0565" w:rsidRPr="00D61F73" w:rsidRDefault="008D0565" w:rsidP="00D61F73">
      <w:pPr>
        <w:outlineLvl w:val="0"/>
        <w:rPr>
          <w:rFonts w:ascii="Arial" w:hAnsi="Arial" w:cs="Arial"/>
        </w:rPr>
      </w:pPr>
      <w:r w:rsidRPr="00D61F73">
        <w:rPr>
          <w:rFonts w:ascii="Arial" w:hAnsi="Arial" w:cs="Arial"/>
        </w:rPr>
        <w:t xml:space="preserve">PMID: </w:t>
      </w:r>
      <w:hyperlink r:id="rId904" w:history="1">
        <w:r w:rsidRPr="00D61F73">
          <w:rPr>
            <w:rStyle w:val="Hyperlink"/>
            <w:rFonts w:ascii="Arial" w:hAnsi="Arial" w:cs="Arial"/>
          </w:rPr>
          <w:t>16531624</w:t>
        </w:r>
      </w:hyperlink>
      <w:r w:rsidRPr="00D61F73">
        <w:rPr>
          <w:rFonts w:ascii="Arial" w:hAnsi="Arial" w:cs="Arial"/>
        </w:rPr>
        <w:t xml:space="preserve"> </w:t>
      </w:r>
    </w:p>
    <w:p w14:paraId="7FD01559" w14:textId="77777777" w:rsidR="008D0565" w:rsidRPr="00D61F73" w:rsidRDefault="008D0565" w:rsidP="00D61F73">
      <w:pPr>
        <w:rPr>
          <w:rFonts w:ascii="Arial" w:hAnsi="Arial" w:cs="Arial"/>
        </w:rPr>
      </w:pPr>
    </w:p>
    <w:p w14:paraId="6CD006D1" w14:textId="77777777" w:rsidR="008D0565" w:rsidRPr="00D61F73" w:rsidRDefault="008D0565" w:rsidP="00D61F73">
      <w:pPr>
        <w:rPr>
          <w:rFonts w:ascii="Arial" w:hAnsi="Arial" w:cs="Arial"/>
        </w:rPr>
      </w:pPr>
      <w:r w:rsidRPr="00D61F73">
        <w:rPr>
          <w:rFonts w:ascii="Arial" w:hAnsi="Arial" w:cs="Arial"/>
        </w:rPr>
        <w:t>Review: 5b</w:t>
      </w:r>
    </w:p>
    <w:p w14:paraId="03A27A23"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Z</w:t>
      </w:r>
      <w:bookmarkStart w:id="1282" w:name="Zhang2008"/>
      <w:bookmarkEnd w:id="1282"/>
      <w:r w:rsidRPr="00D61F73">
        <w:rPr>
          <w:rFonts w:ascii="Arial" w:hAnsi="Arial" w:cs="Arial"/>
          <w:b/>
        </w:rPr>
        <w:t xml:space="preserve">hang W, Moskowitz RW, Nuki G, Abramson S, Altman RD, Arden N, Bierma-Zeinstra S, Brandt KD, Croft P, Doherty M, Dougados M, Hochberg M, Hunter DJ, Kwoh K, Lohmander LS, Tugwell P. OARSI recommendations for the management of hip and knee osteoarthritis, Part II: OARSI evidence-based, expert consensus guidelines. </w:t>
      </w:r>
      <w:r w:rsidRPr="00D61F73">
        <w:rPr>
          <w:rFonts w:ascii="Arial" w:hAnsi="Arial" w:cs="Arial"/>
          <w:b/>
          <w:i/>
        </w:rPr>
        <w:t>Osteoarthritis Cartilage</w:t>
      </w:r>
      <w:r w:rsidRPr="00D61F73">
        <w:rPr>
          <w:rFonts w:ascii="Arial" w:hAnsi="Arial" w:cs="Arial"/>
          <w:b/>
        </w:rPr>
        <w:t xml:space="preserve">. 2008;16:137-62. </w:t>
      </w:r>
    </w:p>
    <w:p w14:paraId="0B344E16" w14:textId="77777777" w:rsidR="008D0565" w:rsidRPr="00D61F73" w:rsidRDefault="008D0565" w:rsidP="00D61F73">
      <w:pPr>
        <w:rPr>
          <w:rFonts w:ascii="Arial" w:hAnsi="Arial" w:cs="Arial"/>
        </w:rPr>
      </w:pPr>
    </w:p>
    <w:p w14:paraId="70A44C66" w14:textId="77777777" w:rsidR="008D0565" w:rsidRPr="00D61F73" w:rsidRDefault="008D0565" w:rsidP="00D61F73">
      <w:pPr>
        <w:rPr>
          <w:rFonts w:ascii="Arial" w:hAnsi="Arial" w:cs="Arial"/>
        </w:rPr>
      </w:pPr>
      <w:r w:rsidRPr="00D61F73">
        <w:rPr>
          <w:rFonts w:ascii="Arial" w:hAnsi="Arial" w:cs="Arial"/>
        </w:rPr>
        <w:t xml:space="preserve">PMID: </w:t>
      </w:r>
      <w:hyperlink r:id="rId905" w:history="1">
        <w:r w:rsidRPr="00D61F73">
          <w:rPr>
            <w:rStyle w:val="Hyperlink"/>
            <w:rFonts w:ascii="Arial" w:hAnsi="Arial" w:cs="Arial"/>
          </w:rPr>
          <w:t>18279766</w:t>
        </w:r>
      </w:hyperlink>
    </w:p>
    <w:p w14:paraId="6A13DDE9" w14:textId="77777777" w:rsidR="008D0565" w:rsidRPr="00D61F73" w:rsidRDefault="008D0565" w:rsidP="00D61F73">
      <w:pPr>
        <w:rPr>
          <w:rFonts w:ascii="Arial" w:hAnsi="Arial" w:cs="Arial"/>
        </w:rPr>
      </w:pPr>
    </w:p>
    <w:p w14:paraId="17353366" w14:textId="77777777" w:rsidR="008D0565" w:rsidRPr="00D61F73" w:rsidRDefault="008D0565" w:rsidP="00D61F73">
      <w:pPr>
        <w:rPr>
          <w:rFonts w:ascii="Arial" w:hAnsi="Arial" w:cs="Arial"/>
        </w:rPr>
      </w:pPr>
      <w:r w:rsidRPr="00D61F73">
        <w:rPr>
          <w:rFonts w:ascii="Arial" w:hAnsi="Arial" w:cs="Arial"/>
        </w:rPr>
        <w:t>Rating: 6a</w:t>
      </w:r>
    </w:p>
    <w:p w14:paraId="6F019E47"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Z</w:t>
      </w:r>
      <w:bookmarkStart w:id="1283" w:name="Zhang2007"/>
      <w:bookmarkEnd w:id="1283"/>
      <w:r w:rsidRPr="00D61F73">
        <w:rPr>
          <w:rFonts w:ascii="Arial" w:hAnsi="Arial" w:cs="Arial"/>
          <w:b/>
        </w:rPr>
        <w:t xml:space="preserve">hang W, Doherty M, Leeb BF, Alekseeva L, Arden NK, Bijlsma JW, Dinçer F, Dziedzic K, Häuselmann HJ, Herrero-Beaumont G, Kaklamanis P, Lohmander S, Maheu E, Martín-Mola E, Pavelka K, Punzi L, Reiter S, Sautner J, Smolen J, Verbruggen G, Zimmermann-Górska I. EULAR evidence based recommendations for the management of hand osteoarthritis: report of a Task Force of the EULAR Standing Committee for International Clinical Studies Including Therapeutics (ESCISIT). </w:t>
      </w:r>
      <w:r w:rsidRPr="00D61F73">
        <w:rPr>
          <w:rFonts w:ascii="Arial" w:hAnsi="Arial" w:cs="Arial"/>
          <w:b/>
          <w:i/>
        </w:rPr>
        <w:t>Ann Rheum Dis</w:t>
      </w:r>
      <w:r w:rsidRPr="00D61F73">
        <w:rPr>
          <w:rFonts w:ascii="Arial" w:hAnsi="Arial" w:cs="Arial"/>
          <w:b/>
        </w:rPr>
        <w:t>. 2007;66:377-88.</w:t>
      </w:r>
    </w:p>
    <w:p w14:paraId="2C21FBE9" w14:textId="77777777" w:rsidR="008D0565" w:rsidRPr="00D61F73" w:rsidRDefault="008D0565" w:rsidP="00D61F73">
      <w:pPr>
        <w:rPr>
          <w:rFonts w:ascii="Arial" w:hAnsi="Arial" w:cs="Arial"/>
        </w:rPr>
      </w:pPr>
    </w:p>
    <w:p w14:paraId="2EC9E5B3" w14:textId="77777777" w:rsidR="008D0565" w:rsidRPr="00D61F73" w:rsidRDefault="008D0565" w:rsidP="00D61F73">
      <w:pPr>
        <w:rPr>
          <w:rFonts w:ascii="Arial" w:hAnsi="Arial" w:cs="Arial"/>
        </w:rPr>
      </w:pPr>
      <w:r w:rsidRPr="00D61F73">
        <w:rPr>
          <w:rFonts w:ascii="Arial" w:hAnsi="Arial" w:cs="Arial"/>
        </w:rPr>
        <w:t>CONCLUSION: Eleven key recommendations for treatment of hand OA were developed.</w:t>
      </w:r>
    </w:p>
    <w:p w14:paraId="127DC585" w14:textId="77777777" w:rsidR="008D0565" w:rsidRPr="00D61F73" w:rsidRDefault="008D0565" w:rsidP="00D61F73">
      <w:pPr>
        <w:rPr>
          <w:rFonts w:ascii="Arial" w:hAnsi="Arial" w:cs="Arial"/>
        </w:rPr>
      </w:pPr>
    </w:p>
    <w:p w14:paraId="7E0F2959" w14:textId="77777777" w:rsidR="008D0565" w:rsidRPr="00D61F73" w:rsidRDefault="008D0565" w:rsidP="00D61F73">
      <w:pPr>
        <w:rPr>
          <w:rFonts w:ascii="Arial" w:hAnsi="Arial" w:cs="Arial"/>
        </w:rPr>
      </w:pPr>
      <w:r w:rsidRPr="00D61F73">
        <w:rPr>
          <w:rFonts w:ascii="Arial" w:hAnsi="Arial" w:cs="Arial"/>
        </w:rPr>
        <w:t xml:space="preserve">PMID: </w:t>
      </w:r>
      <w:hyperlink r:id="rId906" w:history="1">
        <w:r w:rsidRPr="00D61F73">
          <w:rPr>
            <w:rStyle w:val="Hyperlink"/>
            <w:rFonts w:ascii="Arial" w:hAnsi="Arial" w:cs="Arial"/>
          </w:rPr>
          <w:t>17046965</w:t>
        </w:r>
      </w:hyperlink>
    </w:p>
    <w:p w14:paraId="26B237B7" w14:textId="77777777" w:rsidR="008D0565" w:rsidRPr="00D61F73" w:rsidRDefault="008D0565" w:rsidP="00D61F73">
      <w:pPr>
        <w:rPr>
          <w:rFonts w:ascii="Arial" w:hAnsi="Arial" w:cs="Arial"/>
        </w:rPr>
      </w:pPr>
    </w:p>
    <w:p w14:paraId="1E102F0A" w14:textId="77777777" w:rsidR="008D0565" w:rsidRPr="00D61F73" w:rsidRDefault="008D0565" w:rsidP="00D61F73">
      <w:pPr>
        <w:rPr>
          <w:rFonts w:ascii="Arial" w:hAnsi="Arial" w:cs="Arial"/>
        </w:rPr>
      </w:pPr>
      <w:r w:rsidRPr="00D61F73">
        <w:rPr>
          <w:rFonts w:ascii="Arial" w:hAnsi="Arial" w:cs="Arial"/>
        </w:rPr>
        <w:t>Rating: 6a</w:t>
      </w:r>
    </w:p>
    <w:p w14:paraId="6DE95804" w14:textId="77777777" w:rsidR="008D0565" w:rsidRPr="00D61F73" w:rsidRDefault="008D0565" w:rsidP="00D61F73">
      <w:pPr>
        <w:rPr>
          <w:rFonts w:ascii="Arial" w:hAnsi="Arial" w:cs="Arial"/>
        </w:rPr>
      </w:pPr>
    </w:p>
    <w:p w14:paraId="2BE272F0" w14:textId="77777777" w:rsidR="008D0565" w:rsidRPr="00D61F73" w:rsidRDefault="008D0565" w:rsidP="00D61F73">
      <w:pPr>
        <w:rPr>
          <w:rFonts w:ascii="Arial" w:hAnsi="Arial" w:cs="Arial"/>
        </w:rPr>
      </w:pPr>
      <w:r w:rsidRPr="00D61F73">
        <w:rPr>
          <w:rFonts w:ascii="Arial" w:hAnsi="Arial" w:cs="Arial"/>
        </w:rPr>
        <w:t>The recommendation made was that local treatments were preferred over systemic treatments, especially for mild to moderate pain and when only a few joints were affected. Topical NSAIDs and capsaicin were considered effective and safe treatments for hand OA.</w:t>
      </w:r>
    </w:p>
    <w:p w14:paraId="296020CE" w14:textId="77777777" w:rsidR="008D0565" w:rsidRPr="00D61F73" w:rsidRDefault="008D0565" w:rsidP="00D61F73">
      <w:pPr>
        <w:rPr>
          <w:rFonts w:ascii="Arial" w:eastAsia="Calibri" w:hAnsi="Arial" w:cs="Arial"/>
          <w:b/>
          <w:color w:val="auto"/>
        </w:rPr>
      </w:pPr>
      <w:r w:rsidRPr="00D61F73">
        <w:rPr>
          <w:rFonts w:ascii="Arial" w:hAnsi="Arial" w:cs="Arial"/>
        </w:rPr>
        <w:br w:type="page"/>
      </w:r>
      <w:r w:rsidRPr="00D61F73">
        <w:rPr>
          <w:rFonts w:ascii="Arial" w:hAnsi="Arial" w:cs="Arial"/>
          <w:b/>
        </w:rPr>
        <w:lastRenderedPageBreak/>
        <w:t>Z</w:t>
      </w:r>
      <w:bookmarkStart w:id="1284" w:name="Zhang2010"/>
      <w:bookmarkEnd w:id="1284"/>
      <w:r w:rsidRPr="00D61F73">
        <w:rPr>
          <w:rFonts w:ascii="Arial" w:hAnsi="Arial" w:cs="Arial"/>
          <w:b/>
        </w:rPr>
        <w:t xml:space="preserve">hang W, Nuki G, Moskowitz RW, Abramson S, Altman RD, Arden NK, Bierma-Zeinstra S, Brandt KD, Croft P, Doherty M, Dougados M, Hochberg M, Hunter DJ, Kwoh K, Lohmander LS, Tugwell P. OARSI recommendations for the management of hip and knee osteoarthritis: part III: Changes in evidence following systematic cumulative update of research published through January 2009. </w:t>
      </w:r>
      <w:r w:rsidRPr="00D61F73">
        <w:rPr>
          <w:rFonts w:ascii="Arial" w:hAnsi="Arial" w:cs="Arial"/>
          <w:b/>
          <w:i/>
        </w:rPr>
        <w:t>Osteoarthritis Cartilage</w:t>
      </w:r>
      <w:r w:rsidRPr="00D61F73">
        <w:rPr>
          <w:rFonts w:ascii="Arial" w:hAnsi="Arial" w:cs="Arial"/>
          <w:b/>
        </w:rPr>
        <w:t>. 2010;18:476-99.</w:t>
      </w:r>
    </w:p>
    <w:p w14:paraId="67D73A7A" w14:textId="77777777" w:rsidR="008D0565" w:rsidRPr="00D61F73" w:rsidRDefault="008D0565" w:rsidP="00D61F73">
      <w:pPr>
        <w:rPr>
          <w:rFonts w:ascii="Arial" w:eastAsia="Calibri" w:hAnsi="Arial" w:cs="Arial"/>
        </w:rPr>
      </w:pPr>
    </w:p>
    <w:p w14:paraId="46EB4AA3" w14:textId="77777777" w:rsidR="008D0565" w:rsidRPr="00D61F73" w:rsidRDefault="008D0565" w:rsidP="00D61F73">
      <w:pPr>
        <w:rPr>
          <w:rFonts w:ascii="Arial" w:hAnsi="Arial" w:cs="Arial"/>
        </w:rPr>
      </w:pPr>
      <w:r w:rsidRPr="00D61F73">
        <w:rPr>
          <w:rFonts w:ascii="Arial" w:hAnsi="Arial" w:cs="Arial"/>
        </w:rPr>
        <w:t xml:space="preserve">Among pharmacological therapies, the cumulative evidence for the benefits and harms of oral and topical non-steroidal anti-inflammatory drugs, diacerhein and intra-articular (IA) corticosteroid was not greatly changed. </w:t>
      </w:r>
    </w:p>
    <w:p w14:paraId="4B9B33C5" w14:textId="77777777" w:rsidR="008D0565" w:rsidRPr="00D61F73" w:rsidRDefault="008D0565" w:rsidP="00D61F73">
      <w:pPr>
        <w:rPr>
          <w:rFonts w:ascii="Arial" w:hAnsi="Arial" w:cs="Arial"/>
        </w:rPr>
      </w:pPr>
    </w:p>
    <w:p w14:paraId="1C1DDD44" w14:textId="77777777" w:rsidR="008D0565" w:rsidRPr="00D61F73" w:rsidRDefault="008D0565" w:rsidP="00D61F73">
      <w:pPr>
        <w:rPr>
          <w:rFonts w:ascii="Arial" w:hAnsi="Arial" w:cs="Arial"/>
        </w:rPr>
      </w:pPr>
      <w:r w:rsidRPr="00D61F73">
        <w:rPr>
          <w:rFonts w:ascii="Arial" w:hAnsi="Arial" w:cs="Arial"/>
        </w:rPr>
        <w:t xml:space="preserve">PMID: </w:t>
      </w:r>
      <w:hyperlink r:id="rId907" w:history="1">
        <w:r w:rsidRPr="00D61F73">
          <w:rPr>
            <w:rStyle w:val="Hyperlink"/>
            <w:rFonts w:ascii="Arial" w:hAnsi="Arial" w:cs="Arial"/>
          </w:rPr>
          <w:t>20170770</w:t>
        </w:r>
      </w:hyperlink>
    </w:p>
    <w:p w14:paraId="40BE453B" w14:textId="77777777" w:rsidR="008D0565" w:rsidRPr="00D61F73" w:rsidRDefault="008D0565" w:rsidP="00D61F73">
      <w:pPr>
        <w:rPr>
          <w:rFonts w:ascii="Arial" w:hAnsi="Arial" w:cs="Arial"/>
        </w:rPr>
      </w:pPr>
    </w:p>
    <w:p w14:paraId="5E72C5DE" w14:textId="77777777" w:rsidR="008D0565" w:rsidRPr="00D61F73" w:rsidRDefault="008D0565" w:rsidP="00D61F73">
      <w:pPr>
        <w:rPr>
          <w:rFonts w:ascii="Arial" w:hAnsi="Arial" w:cs="Arial"/>
        </w:rPr>
      </w:pPr>
      <w:r w:rsidRPr="00D61F73">
        <w:rPr>
          <w:rFonts w:ascii="Arial" w:hAnsi="Arial" w:cs="Arial"/>
        </w:rPr>
        <w:t>Rating: 6a</w:t>
      </w:r>
    </w:p>
    <w:p w14:paraId="741DC2E4"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Z</w:t>
      </w:r>
      <w:bookmarkStart w:id="1285" w:name="Zhang2014"/>
      <w:bookmarkEnd w:id="1285"/>
      <w:r w:rsidRPr="00D61F73">
        <w:rPr>
          <w:rFonts w:ascii="Arial" w:hAnsi="Arial" w:cs="Arial"/>
          <w:b/>
          <w:bCs/>
        </w:rPr>
        <w:t xml:space="preserve">hang CS, Yang AW, Zhang AL, May BH, Xue CC. Sham control methods used in ear-acupuncture/ear-acupressure randomized controlled trials: a systematic review. </w:t>
      </w:r>
      <w:r w:rsidRPr="00D61F73">
        <w:rPr>
          <w:rFonts w:ascii="Arial" w:hAnsi="Arial" w:cs="Arial"/>
          <w:b/>
          <w:bCs/>
          <w:i/>
          <w:iCs/>
        </w:rPr>
        <w:t>J Altern Complement Med</w:t>
      </w:r>
      <w:r w:rsidRPr="00D61F73">
        <w:rPr>
          <w:rFonts w:ascii="Arial" w:hAnsi="Arial" w:cs="Arial"/>
          <w:b/>
          <w:bCs/>
        </w:rPr>
        <w:t>. 2014 Mar;20(3):147-61. doi: 10.1089/acm.2013.0238.</w:t>
      </w:r>
    </w:p>
    <w:p w14:paraId="34CA9E96" w14:textId="77777777" w:rsidR="008D0565" w:rsidRPr="00D61F73" w:rsidRDefault="008D0565" w:rsidP="00D61F73">
      <w:pPr>
        <w:pStyle w:val="Footer"/>
        <w:tabs>
          <w:tab w:val="clear" w:pos="4320"/>
          <w:tab w:val="clear" w:pos="8640"/>
        </w:tabs>
        <w:rPr>
          <w:rFonts w:ascii="Arial" w:hAnsi="Arial" w:cs="Arial"/>
        </w:rPr>
      </w:pPr>
    </w:p>
    <w:p w14:paraId="5C32C0C6" w14:textId="77777777" w:rsidR="008D0565" w:rsidRPr="00D61F73" w:rsidRDefault="008D0565" w:rsidP="00D61F73">
      <w:pPr>
        <w:rPr>
          <w:rFonts w:ascii="Arial" w:hAnsi="Arial" w:cs="Arial"/>
        </w:rPr>
      </w:pPr>
      <w:r w:rsidRPr="00D61F73">
        <w:rPr>
          <w:rFonts w:ascii="Arial" w:hAnsi="Arial" w:cs="Arial"/>
        </w:rPr>
        <w:t xml:space="preserve">PMID: </w:t>
      </w:r>
      <w:hyperlink r:id="rId908" w:history="1">
        <w:r w:rsidRPr="00D61F73">
          <w:rPr>
            <w:rStyle w:val="Hyperlink"/>
            <w:rFonts w:ascii="Arial" w:hAnsi="Arial" w:cs="Arial"/>
          </w:rPr>
          <w:t>24138333</w:t>
        </w:r>
      </w:hyperlink>
      <w:r w:rsidRPr="00D61F73">
        <w:rPr>
          <w:rFonts w:ascii="Arial" w:hAnsi="Arial" w:cs="Arial"/>
        </w:rPr>
        <w:t xml:space="preserve"> </w:t>
      </w:r>
    </w:p>
    <w:p w14:paraId="221A556E" w14:textId="77777777" w:rsidR="008D0565" w:rsidRPr="00D61F73" w:rsidRDefault="008D0565" w:rsidP="00D61F73">
      <w:pPr>
        <w:rPr>
          <w:rFonts w:ascii="Arial" w:hAnsi="Arial" w:cs="Arial"/>
        </w:rPr>
      </w:pPr>
    </w:p>
    <w:p w14:paraId="674C2D35" w14:textId="77777777" w:rsidR="008D0565" w:rsidRPr="00D61F73" w:rsidRDefault="008D0565" w:rsidP="00D61F73">
      <w:pPr>
        <w:rPr>
          <w:rFonts w:ascii="Arial" w:hAnsi="Arial" w:cs="Arial"/>
        </w:rPr>
      </w:pPr>
      <w:r w:rsidRPr="00D61F73">
        <w:rPr>
          <w:rFonts w:ascii="Arial" w:hAnsi="Arial" w:cs="Arial"/>
        </w:rPr>
        <w:t>Rating: 1c</w:t>
      </w:r>
    </w:p>
    <w:p w14:paraId="706F38B2" w14:textId="77777777" w:rsidR="008D0565" w:rsidRPr="00D61F73" w:rsidRDefault="008D0565" w:rsidP="00D61F73">
      <w:pPr>
        <w:rPr>
          <w:rFonts w:ascii="Arial" w:hAnsi="Arial" w:cs="Arial"/>
          <w:b/>
          <w:bCs/>
        </w:rPr>
      </w:pPr>
      <w:r w:rsidRPr="00D61F73">
        <w:rPr>
          <w:rFonts w:ascii="Arial" w:hAnsi="Arial" w:cs="Arial"/>
        </w:rPr>
        <w:br w:type="page"/>
      </w:r>
      <w:r w:rsidRPr="00D61F73">
        <w:rPr>
          <w:rFonts w:ascii="Arial" w:hAnsi="Arial" w:cs="Arial"/>
          <w:b/>
          <w:bCs/>
        </w:rPr>
        <w:lastRenderedPageBreak/>
        <w:t>Z</w:t>
      </w:r>
      <w:bookmarkStart w:id="1286" w:name="Zuniga2011"/>
      <w:bookmarkEnd w:id="1286"/>
      <w:r w:rsidRPr="00D61F73">
        <w:rPr>
          <w:rFonts w:ascii="Arial" w:hAnsi="Arial" w:cs="Arial"/>
          <w:b/>
          <w:bCs/>
        </w:rPr>
        <w:t xml:space="preserve">uniga JR, Noveck RJ, Schmidt WK, Boesing SE, Hersh EV. Onset of action of diclofenac potassium liquid-filled capsules in dental surgery patients. </w:t>
      </w:r>
      <w:r w:rsidRPr="00D61F73">
        <w:rPr>
          <w:rFonts w:ascii="Arial" w:hAnsi="Arial" w:cs="Arial"/>
          <w:b/>
          <w:bCs/>
          <w:i/>
          <w:iCs/>
        </w:rPr>
        <w:t>Curr Med Res Opin</w:t>
      </w:r>
      <w:r w:rsidRPr="00D61F73">
        <w:rPr>
          <w:rFonts w:ascii="Arial" w:hAnsi="Arial" w:cs="Arial"/>
          <w:b/>
          <w:bCs/>
        </w:rPr>
        <w:t>. 2011 Sep;27(9):1733-9.</w:t>
      </w:r>
    </w:p>
    <w:p w14:paraId="75DEFAD3" w14:textId="77777777" w:rsidR="008D0565" w:rsidRPr="00D61F73" w:rsidRDefault="008D0565" w:rsidP="00D61F73">
      <w:pPr>
        <w:rPr>
          <w:rFonts w:ascii="Arial" w:hAnsi="Arial" w:cs="Arial"/>
        </w:rPr>
      </w:pPr>
    </w:p>
    <w:p w14:paraId="06495BBB" w14:textId="77777777" w:rsidR="008D0565" w:rsidRPr="00D61F73" w:rsidRDefault="008D0565" w:rsidP="00D61F73">
      <w:pPr>
        <w:rPr>
          <w:rFonts w:ascii="Arial" w:hAnsi="Arial" w:cs="Arial"/>
        </w:rPr>
      </w:pPr>
      <w:r w:rsidRPr="00D61F73">
        <w:rPr>
          <w:rFonts w:ascii="Arial" w:hAnsi="Arial" w:cs="Arial"/>
        </w:rPr>
        <w:t>These results indicate that DPSGC was efficacious in providing a rapid onset of confirmed perceptible pain relief within 30 minutes of administration in these single dose postoperative dental pain studies.</w:t>
      </w:r>
    </w:p>
    <w:p w14:paraId="4750B7C6" w14:textId="77777777" w:rsidR="008D0565" w:rsidRPr="00D61F73" w:rsidRDefault="008D0565" w:rsidP="00D61F73">
      <w:pPr>
        <w:rPr>
          <w:rFonts w:ascii="Arial" w:hAnsi="Arial" w:cs="Arial"/>
        </w:rPr>
      </w:pPr>
    </w:p>
    <w:p w14:paraId="7EA71286" w14:textId="77777777" w:rsidR="008D0565" w:rsidRPr="00D61F73" w:rsidRDefault="008D0565" w:rsidP="00D61F73">
      <w:pPr>
        <w:rPr>
          <w:rFonts w:ascii="Arial" w:hAnsi="Arial" w:cs="Arial"/>
        </w:rPr>
      </w:pPr>
      <w:r w:rsidRPr="00D61F73">
        <w:rPr>
          <w:rFonts w:ascii="Arial" w:hAnsi="Arial" w:cs="Arial"/>
        </w:rPr>
        <w:t xml:space="preserve">PMID: </w:t>
      </w:r>
      <w:hyperlink r:id="rId909" w:history="1">
        <w:r w:rsidRPr="00D61F73">
          <w:rPr>
            <w:rStyle w:val="Hyperlink"/>
            <w:rFonts w:ascii="Arial" w:hAnsi="Arial" w:cs="Arial"/>
          </w:rPr>
          <w:t>21770716</w:t>
        </w:r>
      </w:hyperlink>
      <w:r w:rsidRPr="00D61F73">
        <w:rPr>
          <w:rFonts w:ascii="Arial" w:hAnsi="Arial" w:cs="Arial"/>
        </w:rPr>
        <w:t xml:space="preserve"> </w:t>
      </w:r>
    </w:p>
    <w:p w14:paraId="6A7E9896" w14:textId="77777777" w:rsidR="008D0565" w:rsidRPr="00D61F73" w:rsidRDefault="008D0565" w:rsidP="00D61F73">
      <w:pPr>
        <w:rPr>
          <w:rFonts w:ascii="Arial" w:hAnsi="Arial" w:cs="Arial"/>
        </w:rPr>
      </w:pPr>
    </w:p>
    <w:p w14:paraId="15B0A0B7" w14:textId="77777777" w:rsidR="008D0565" w:rsidRPr="00D61F73" w:rsidRDefault="008D0565" w:rsidP="00D61F73">
      <w:pPr>
        <w:rPr>
          <w:rFonts w:ascii="Arial" w:hAnsi="Arial" w:cs="Arial"/>
        </w:rPr>
      </w:pPr>
      <w:r w:rsidRPr="00D61F73">
        <w:rPr>
          <w:rFonts w:ascii="Arial" w:hAnsi="Arial" w:cs="Arial"/>
        </w:rPr>
        <w:t>Rating: 2b</w:t>
      </w:r>
    </w:p>
    <w:p w14:paraId="34124760" w14:textId="77777777" w:rsidR="008D0565" w:rsidRPr="00D61F73" w:rsidRDefault="008D0565" w:rsidP="00D61F73">
      <w:pPr>
        <w:rPr>
          <w:rFonts w:ascii="Arial" w:hAnsi="Arial" w:cs="Arial"/>
          <w:b/>
        </w:rPr>
      </w:pPr>
      <w:r w:rsidRPr="00D61F73">
        <w:rPr>
          <w:rFonts w:ascii="Arial" w:hAnsi="Arial" w:cs="Arial"/>
        </w:rPr>
        <w:br w:type="page"/>
      </w:r>
      <w:r w:rsidRPr="00D61F73">
        <w:rPr>
          <w:rFonts w:ascii="Arial" w:hAnsi="Arial" w:cs="Arial"/>
          <w:b/>
        </w:rPr>
        <w:lastRenderedPageBreak/>
        <w:t>Z</w:t>
      </w:r>
      <w:bookmarkStart w:id="1287" w:name="Zwanzger"/>
      <w:bookmarkEnd w:id="1287"/>
      <w:r w:rsidRPr="00D61F73">
        <w:rPr>
          <w:rFonts w:ascii="Arial" w:hAnsi="Arial" w:cs="Arial"/>
          <w:b/>
        </w:rPr>
        <w:t xml:space="preserve">wanzger P, Diemer J, Jabs B. Comparison of combined psycho- and pharmacotherapy with monotherapy in anxiety disorders: controversial viewpoints and clinical perspectives. </w:t>
      </w:r>
      <w:r w:rsidRPr="00D61F73">
        <w:rPr>
          <w:rFonts w:ascii="Arial" w:hAnsi="Arial" w:cs="Arial"/>
          <w:b/>
          <w:i/>
          <w:iCs/>
        </w:rPr>
        <w:t>J Neural Transm.</w:t>
      </w:r>
      <w:r w:rsidRPr="00D61F73">
        <w:rPr>
          <w:rFonts w:ascii="Arial" w:hAnsi="Arial" w:cs="Arial"/>
          <w:b/>
        </w:rPr>
        <w:t xml:space="preserve"> 2008 Sep 23. [Epub ahead of print]</w:t>
      </w:r>
    </w:p>
    <w:p w14:paraId="3C48FEDF" w14:textId="77777777" w:rsidR="008D0565" w:rsidRPr="00D61F73" w:rsidRDefault="008D0565" w:rsidP="00D61F73">
      <w:pPr>
        <w:rPr>
          <w:rFonts w:ascii="Arial" w:hAnsi="Arial" w:cs="Arial"/>
        </w:rPr>
      </w:pPr>
    </w:p>
    <w:p w14:paraId="57669869" w14:textId="77777777" w:rsidR="008D0565" w:rsidRPr="00D61F73" w:rsidRDefault="008D0565" w:rsidP="00D61F73">
      <w:pPr>
        <w:rPr>
          <w:rFonts w:ascii="Arial" w:hAnsi="Arial" w:cs="Arial"/>
        </w:rPr>
      </w:pPr>
      <w:r w:rsidRPr="00D61F73">
        <w:rPr>
          <w:rFonts w:ascii="Arial" w:hAnsi="Arial" w:cs="Arial"/>
        </w:rPr>
        <w:t>Anxiety disorders are among the most frequent psychiatric disorders. Experimental evidence supports both psychotherapy as well as pharmacotherapy as effective treatments. We present the results from two recent meta-analyses and discuss implications for clinical practice and further research. We suggest that a research strategy that strives to establish differential indications based on patient characteristics should be preferred over attempts to reach a global judgement of the question, which appears too simplistic given the complexity of the issue.</w:t>
      </w:r>
    </w:p>
    <w:p w14:paraId="15F1E776" w14:textId="77777777" w:rsidR="008D0565" w:rsidRPr="00D61F73" w:rsidRDefault="008D0565" w:rsidP="00D61F73">
      <w:pPr>
        <w:rPr>
          <w:rFonts w:ascii="Arial" w:hAnsi="Arial" w:cs="Arial"/>
        </w:rPr>
      </w:pPr>
    </w:p>
    <w:p w14:paraId="7C49623F" w14:textId="77777777" w:rsidR="008D0565" w:rsidRPr="00D61F73" w:rsidRDefault="008D0565" w:rsidP="00D61F73">
      <w:pPr>
        <w:rPr>
          <w:rFonts w:ascii="Arial" w:hAnsi="Arial" w:cs="Arial"/>
        </w:rPr>
      </w:pPr>
      <w:r w:rsidRPr="00D61F73">
        <w:rPr>
          <w:rFonts w:ascii="Arial" w:hAnsi="Arial" w:cs="Arial"/>
        </w:rPr>
        <w:t xml:space="preserve">PMID: </w:t>
      </w:r>
      <w:hyperlink r:id="rId910" w:history="1">
        <w:r w:rsidRPr="00D61F73">
          <w:rPr>
            <w:rStyle w:val="Hyperlink"/>
            <w:rFonts w:ascii="Arial" w:hAnsi="Arial" w:cs="Arial"/>
          </w:rPr>
          <w:t>18810307</w:t>
        </w:r>
      </w:hyperlink>
    </w:p>
    <w:p w14:paraId="264AF690" w14:textId="77777777" w:rsidR="008D0565" w:rsidRPr="00D61F73" w:rsidRDefault="008D0565" w:rsidP="00D61F73">
      <w:pPr>
        <w:rPr>
          <w:rFonts w:ascii="Arial" w:hAnsi="Arial" w:cs="Arial"/>
        </w:rPr>
      </w:pPr>
    </w:p>
    <w:p w14:paraId="24E1A68A" w14:textId="77777777" w:rsidR="008D0565" w:rsidRPr="00D61F73" w:rsidRDefault="008D0565" w:rsidP="00D61F73">
      <w:pPr>
        <w:rPr>
          <w:rFonts w:ascii="Arial" w:hAnsi="Arial" w:cs="Arial"/>
        </w:rPr>
      </w:pPr>
      <w:r w:rsidRPr="00D61F73">
        <w:rPr>
          <w:rFonts w:ascii="Arial" w:hAnsi="Arial" w:cs="Arial"/>
        </w:rPr>
        <w:t>Rating: 5a</w:t>
      </w:r>
    </w:p>
    <w:p w14:paraId="7FBEC6C2" w14:textId="77777777" w:rsidR="008D0565" w:rsidRPr="00D61F73" w:rsidRDefault="008D0565" w:rsidP="00D61F73">
      <w:pPr>
        <w:rPr>
          <w:rFonts w:ascii="Arial" w:hAnsi="Arial" w:cs="Arial"/>
          <w:b/>
          <w:color w:val="auto"/>
        </w:rPr>
      </w:pPr>
      <w:r w:rsidRPr="00D61F73">
        <w:rPr>
          <w:rFonts w:ascii="Arial" w:hAnsi="Arial" w:cs="Arial"/>
        </w:rPr>
        <w:br w:type="page"/>
      </w:r>
      <w:r w:rsidRPr="00D61F73">
        <w:rPr>
          <w:rFonts w:ascii="Arial" w:hAnsi="Arial" w:cs="Arial"/>
          <w:b/>
        </w:rPr>
        <w:lastRenderedPageBreak/>
        <w:t>Z</w:t>
      </w:r>
      <w:bookmarkStart w:id="1288" w:name="Zyluk2013"/>
      <w:bookmarkEnd w:id="1288"/>
      <w:r w:rsidRPr="00D61F73">
        <w:rPr>
          <w:rFonts w:ascii="Arial" w:hAnsi="Arial" w:cs="Arial"/>
          <w:b/>
        </w:rPr>
        <w:t xml:space="preserve">yluk A, Puchalski P. Complex regional pain syndrome: observations on diagnosis, treatment and definition of a new subgroup. </w:t>
      </w:r>
      <w:r w:rsidRPr="00D61F73">
        <w:rPr>
          <w:rFonts w:ascii="Arial" w:hAnsi="Arial" w:cs="Arial"/>
          <w:b/>
          <w:i/>
          <w:iCs/>
        </w:rPr>
        <w:t xml:space="preserve">J Hand Surg Eur. </w:t>
      </w:r>
      <w:r w:rsidRPr="00D61F73">
        <w:rPr>
          <w:rFonts w:ascii="Arial" w:hAnsi="Arial" w:cs="Arial"/>
          <w:b/>
        </w:rPr>
        <w:t xml:space="preserve"> Vol. 2013; 38:599-606.</w:t>
      </w:r>
    </w:p>
    <w:p w14:paraId="54DBFD62" w14:textId="77777777" w:rsidR="008D0565" w:rsidRPr="00D61F73" w:rsidRDefault="008D0565" w:rsidP="00D61F73">
      <w:pPr>
        <w:rPr>
          <w:rFonts w:ascii="Arial" w:hAnsi="Arial" w:cs="Arial"/>
        </w:rPr>
      </w:pPr>
    </w:p>
    <w:p w14:paraId="16946AA7" w14:textId="77777777" w:rsidR="008D0565" w:rsidRPr="00D61F73" w:rsidRDefault="008D0565" w:rsidP="00D61F73">
      <w:pPr>
        <w:rPr>
          <w:rFonts w:ascii="Arial" w:hAnsi="Arial" w:cs="Arial"/>
        </w:rPr>
      </w:pPr>
      <w:r w:rsidRPr="00D61F73">
        <w:rPr>
          <w:rFonts w:ascii="Arial" w:hAnsi="Arial" w:cs="Arial"/>
        </w:rPr>
        <w:t xml:space="preserve">PMID: </w:t>
      </w:r>
      <w:hyperlink r:id="rId911" w:history="1">
        <w:r w:rsidRPr="00D61F73">
          <w:rPr>
            <w:rStyle w:val="Hyperlink"/>
            <w:rFonts w:ascii="Arial" w:hAnsi="Arial" w:cs="Arial"/>
          </w:rPr>
          <w:t>23221182</w:t>
        </w:r>
      </w:hyperlink>
    </w:p>
    <w:p w14:paraId="56CC382C" w14:textId="77777777" w:rsidR="008D0565" w:rsidRPr="00D61F73" w:rsidRDefault="008D0565" w:rsidP="00D61F73">
      <w:pPr>
        <w:rPr>
          <w:rFonts w:ascii="Arial" w:hAnsi="Arial" w:cs="Arial"/>
        </w:rPr>
      </w:pPr>
    </w:p>
    <w:p w14:paraId="7393CFF7" w14:textId="77777777" w:rsidR="008D0565" w:rsidRPr="00D61F73" w:rsidRDefault="008D0565" w:rsidP="00D61F73">
      <w:pPr>
        <w:rPr>
          <w:rFonts w:ascii="Arial" w:hAnsi="Arial" w:cs="Arial"/>
        </w:rPr>
      </w:pPr>
      <w:r w:rsidRPr="00D61F73">
        <w:rPr>
          <w:rFonts w:ascii="Arial" w:hAnsi="Arial" w:cs="Arial"/>
        </w:rPr>
        <w:t>Rating: 5c</w:t>
      </w:r>
    </w:p>
    <w:p w14:paraId="089E2AB9" w14:textId="77777777" w:rsidR="008D0565" w:rsidRPr="00D61F73" w:rsidRDefault="008D0565" w:rsidP="00D61F73">
      <w:pPr>
        <w:rPr>
          <w:rFonts w:ascii="Arial" w:hAnsi="Arial" w:cs="Arial"/>
        </w:rPr>
      </w:pPr>
    </w:p>
    <w:sectPr w:rsidR="008D0565" w:rsidRPr="00D61F73" w:rsidSect="008C5CFB">
      <w:pgSz w:w="12240" w:h="15840" w:code="1"/>
      <w:pgMar w:top="1008" w:right="1008" w:bottom="1008" w:left="1008" w:header="576" w:footer="21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C61A8" w14:textId="77777777" w:rsidR="00762764" w:rsidRDefault="00762764">
      <w:r>
        <w:separator/>
      </w:r>
    </w:p>
  </w:endnote>
  <w:endnote w:type="continuationSeparator" w:id="0">
    <w:p w14:paraId="173959B1" w14:textId="77777777" w:rsidR="00762764" w:rsidRDefault="00762764">
      <w:r>
        <w:continuationSeparator/>
      </w:r>
    </w:p>
  </w:endnote>
  <w:endnote w:type="continuationNotice" w:id="1">
    <w:p w14:paraId="46E3BFB6" w14:textId="77777777" w:rsidR="00762764" w:rsidRDefault="00762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lliard">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4A4B3" w14:textId="77777777" w:rsidR="00455A57" w:rsidRDefault="00455A57" w:rsidP="001E4B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EF44E9" w14:textId="77777777" w:rsidR="00455A57" w:rsidRDefault="00455A57" w:rsidP="001E4B17">
    <w:pPr>
      <w:pStyle w:val="Footer"/>
      <w:ind w:right="360"/>
      <w:rPr>
        <w:color w:val="808080"/>
        <w:sz w:val="20"/>
      </w:rPr>
    </w:pPr>
    <w:r>
      <w:rPr>
        <w:color w:val="808080"/>
        <w:sz w:val="20"/>
      </w:rPr>
      <w:tab/>
    </w:r>
  </w:p>
  <w:sdt>
    <w:sdtPr>
      <w:id w:val="-1155447005"/>
      <w:docPartObj>
        <w:docPartGallery w:val="Page Numbers (Bottom of Page)"/>
        <w:docPartUnique/>
      </w:docPartObj>
    </w:sdtPr>
    <w:sdtEndPr>
      <w:rPr>
        <w:noProof/>
        <w:sz w:val="18"/>
        <w:szCs w:val="18"/>
      </w:rPr>
    </w:sdtEndPr>
    <w:sdtContent>
      <w:p w14:paraId="3E338F56" w14:textId="77777777" w:rsidR="00455A57" w:rsidRPr="00C432E7" w:rsidRDefault="00455A57" w:rsidP="00E74246">
        <w:pPr>
          <w:pStyle w:val="Footer"/>
          <w:rPr>
            <w:rFonts w:ascii="Arial" w:hAnsi="Arial" w:cs="Arial"/>
            <w:sz w:val="22"/>
            <w:szCs w:val="22"/>
          </w:rPr>
        </w:pPr>
      </w:p>
      <w:p w14:paraId="5B0EB746" w14:textId="77777777" w:rsidR="00455A57" w:rsidRPr="00710735" w:rsidRDefault="00455A57" w:rsidP="00F13AFE">
        <w:pPr>
          <w:rPr>
            <w:rFonts w:ascii="Arial" w:hAnsi="Arial" w:cs="Arial"/>
            <w:sz w:val="18"/>
            <w:szCs w:val="18"/>
          </w:rPr>
        </w:pPr>
        <w:r w:rsidRPr="00710735">
          <w:rPr>
            <w:rFonts w:ascii="Arial" w:hAnsi="Arial" w:cs="Arial"/>
            <w:sz w:val="18"/>
            <w:szCs w:val="18"/>
          </w:rPr>
          <w:t xml:space="preserve">Chronic Pain Medical Treatment Guidelines </w:t>
        </w:r>
      </w:p>
      <w:p w14:paraId="5E99DAE2" w14:textId="77777777" w:rsidR="00455A57" w:rsidRPr="00710735" w:rsidRDefault="00455A57" w:rsidP="00F13AFE">
        <w:pPr>
          <w:rPr>
            <w:rFonts w:ascii="Arial" w:hAnsi="Arial" w:cs="Arial"/>
            <w:sz w:val="18"/>
            <w:szCs w:val="18"/>
          </w:rPr>
        </w:pPr>
        <w:r>
          <w:rPr>
            <w:rFonts w:ascii="Arial" w:hAnsi="Arial" w:cs="Arial"/>
            <w:sz w:val="18"/>
            <w:szCs w:val="18"/>
          </w:rPr>
          <w:t>MTUS – 8 C.C.R. § 9792.24.2 (45-</w:t>
        </w:r>
        <w:r w:rsidRPr="00710735">
          <w:rPr>
            <w:rFonts w:ascii="Arial" w:hAnsi="Arial" w:cs="Arial"/>
            <w:sz w:val="18"/>
            <w:szCs w:val="18"/>
          </w:rPr>
          <w:t>Day Comment Period - May 2015)</w:t>
        </w:r>
      </w:p>
      <w:p w14:paraId="4F6F03DD" w14:textId="77777777" w:rsidR="00455A57" w:rsidRPr="00710735" w:rsidRDefault="00455A57" w:rsidP="00E74246">
        <w:pPr>
          <w:tabs>
            <w:tab w:val="center" w:pos="4320"/>
            <w:tab w:val="right" w:pos="8640"/>
          </w:tabs>
          <w:jc w:val="right"/>
          <w:rPr>
            <w:sz w:val="18"/>
            <w:szCs w:val="18"/>
          </w:rPr>
        </w:pPr>
        <w:r>
          <w:rPr>
            <w:rFonts w:ascii="Arial" w:hAnsi="Arial" w:cs="Arial"/>
            <w:sz w:val="18"/>
            <w:szCs w:val="18"/>
          </w:rPr>
          <w:t>i</w:t>
        </w:r>
      </w:p>
    </w:sdtContent>
  </w:sdt>
  <w:p w14:paraId="70F42779" w14:textId="77777777" w:rsidR="00455A57" w:rsidRPr="00E74246" w:rsidRDefault="00455A57" w:rsidP="00E74246">
    <w:pPr>
      <w:tabs>
        <w:tab w:val="center" w:pos="4320"/>
        <w:tab w:val="right" w:pos="8640"/>
      </w:tabs>
      <w:rPr>
        <w:rFonts w:ascii="Arial" w:hAnsi="Arial" w:cs="Arial"/>
        <w:sz w:val="20"/>
        <w:szCs w:val="20"/>
      </w:rPr>
    </w:pPr>
  </w:p>
  <w:p w14:paraId="619B4644" w14:textId="77777777" w:rsidR="00455A57" w:rsidRDefault="00455A57" w:rsidP="00E74246">
    <w:pPr>
      <w:pStyle w:val="Footer"/>
      <w:tabs>
        <w:tab w:val="clear" w:pos="4320"/>
        <w:tab w:val="left" w:pos="2430"/>
        <w:tab w:val="center" w:pos="5040"/>
        <w:tab w:val="center" w:pos="5112"/>
      </w:tabs>
      <w:rPr>
        <w:color w:val="808080"/>
      </w:rPr>
    </w:pPr>
    <w:r>
      <w:rPr>
        <w:color w:val="808080"/>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738FE" w14:textId="77777777" w:rsidR="00455A57" w:rsidRPr="00CD3498" w:rsidRDefault="00455A57" w:rsidP="001E4B17">
    <w:pPr>
      <w:pStyle w:val="Footer"/>
      <w:framePr w:wrap="around" w:vAnchor="text" w:hAnchor="margin" w:xAlign="right" w:y="1"/>
      <w:rPr>
        <w:rStyle w:val="PageNumber"/>
        <w:rFonts w:ascii="Arial" w:hAnsi="Arial" w:cs="Arial"/>
        <w:sz w:val="18"/>
        <w:szCs w:val="18"/>
      </w:rPr>
    </w:pPr>
    <w:r w:rsidRPr="00CD3498">
      <w:rPr>
        <w:rStyle w:val="PageNumber"/>
        <w:rFonts w:ascii="Arial" w:hAnsi="Arial" w:cs="Arial"/>
        <w:sz w:val="18"/>
        <w:szCs w:val="18"/>
      </w:rPr>
      <w:fldChar w:fldCharType="begin"/>
    </w:r>
    <w:r w:rsidRPr="00CD3498">
      <w:rPr>
        <w:rStyle w:val="PageNumber"/>
        <w:rFonts w:ascii="Arial" w:hAnsi="Arial" w:cs="Arial"/>
        <w:sz w:val="18"/>
        <w:szCs w:val="18"/>
      </w:rPr>
      <w:instrText xml:space="preserve">PAGE  </w:instrText>
    </w:r>
    <w:r w:rsidRPr="00CD3498">
      <w:rPr>
        <w:rStyle w:val="PageNumber"/>
        <w:rFonts w:ascii="Arial" w:hAnsi="Arial" w:cs="Arial"/>
        <w:sz w:val="18"/>
        <w:szCs w:val="18"/>
      </w:rPr>
      <w:fldChar w:fldCharType="separate"/>
    </w:r>
    <w:r w:rsidR="00751163">
      <w:rPr>
        <w:rStyle w:val="PageNumber"/>
        <w:rFonts w:ascii="Arial" w:hAnsi="Arial" w:cs="Arial"/>
        <w:noProof/>
        <w:sz w:val="18"/>
        <w:szCs w:val="18"/>
      </w:rPr>
      <w:t>13</w:t>
    </w:r>
    <w:r w:rsidRPr="00CD3498">
      <w:rPr>
        <w:rStyle w:val="PageNumber"/>
        <w:rFonts w:ascii="Arial" w:hAnsi="Arial" w:cs="Arial"/>
        <w:sz w:val="18"/>
        <w:szCs w:val="18"/>
      </w:rPr>
      <w:fldChar w:fldCharType="end"/>
    </w:r>
  </w:p>
  <w:p w14:paraId="728910E9" w14:textId="77777777" w:rsidR="00455A57" w:rsidRDefault="00455A57" w:rsidP="001F4DC5">
    <w:pPr>
      <w:ind w:left="360"/>
      <w:rPr>
        <w:rFonts w:ascii="Arial" w:hAnsi="Arial" w:cs="Arial"/>
        <w:color w:val="000000" w:themeColor="text1"/>
        <w:sz w:val="18"/>
        <w:szCs w:val="18"/>
      </w:rPr>
    </w:pPr>
    <w:r>
      <w:rPr>
        <w:rFonts w:ascii="Arial" w:hAnsi="Arial" w:cs="Arial"/>
        <w:color w:val="000000" w:themeColor="text1"/>
        <w:sz w:val="18"/>
        <w:szCs w:val="18"/>
      </w:rPr>
      <w:t xml:space="preserve">Proposed Chronic Pain Medical Treatment Guidelines </w:t>
    </w:r>
  </w:p>
  <w:p w14:paraId="0F5AA63F" w14:textId="6EB59829" w:rsidR="00455A57" w:rsidRDefault="00455A57" w:rsidP="001F4DC5">
    <w:pPr>
      <w:ind w:left="360"/>
      <w:rPr>
        <w:rFonts w:ascii="Arial" w:hAnsi="Arial" w:cs="Arial"/>
        <w:color w:val="000000" w:themeColor="text1"/>
        <w:sz w:val="18"/>
        <w:szCs w:val="18"/>
      </w:rPr>
    </w:pPr>
    <w:r>
      <w:rPr>
        <w:rFonts w:ascii="Arial" w:hAnsi="Arial" w:cs="Arial"/>
        <w:color w:val="000000" w:themeColor="text1"/>
        <w:sz w:val="18"/>
        <w:szCs w:val="18"/>
      </w:rPr>
      <w:t>MTUS – 8 C.C.R. § 9792.24.2 (</w:t>
    </w:r>
    <w:r w:rsidR="00672D3F">
      <w:rPr>
        <w:rFonts w:ascii="Arial" w:hAnsi="Arial" w:cs="Arial"/>
        <w:color w:val="000000" w:themeColor="text1"/>
        <w:sz w:val="18"/>
        <w:szCs w:val="18"/>
      </w:rPr>
      <w:t>June 2016</w:t>
    </w:r>
    <w:r>
      <w:rPr>
        <w:rFonts w:ascii="Arial" w:hAnsi="Arial" w:cs="Arial"/>
        <w:color w:val="000000" w:themeColor="text1"/>
        <w:sz w:val="18"/>
        <w:szCs w:val="18"/>
      </w:rPr>
      <w:t>)</w:t>
    </w:r>
  </w:p>
  <w:p w14:paraId="238B4BF1" w14:textId="77777777" w:rsidR="00455A57" w:rsidRDefault="00455A57">
    <w:pPr>
      <w:pStyle w:val="Footer"/>
      <w:tabs>
        <w:tab w:val="clear" w:pos="4320"/>
        <w:tab w:val="center" w:pos="5040"/>
      </w:tabs>
      <w:jc w:val="center"/>
      <w:rPr>
        <w:color w:val="80808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2A3DE" w14:textId="77777777" w:rsidR="00455A57" w:rsidRDefault="00455A57" w:rsidP="001E4B1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21409" w14:textId="77777777" w:rsidR="00455A57" w:rsidRPr="00A36C13" w:rsidRDefault="00455A57" w:rsidP="008C5CFB">
    <w:pPr>
      <w:pStyle w:val="Footer"/>
      <w:framePr w:wrap="around" w:vAnchor="text" w:hAnchor="page" w:x="11089" w:y="67"/>
      <w:rPr>
        <w:rStyle w:val="PageNumber"/>
        <w:rFonts w:ascii="Arial" w:hAnsi="Arial" w:cs="Arial"/>
        <w:sz w:val="18"/>
        <w:szCs w:val="18"/>
      </w:rPr>
    </w:pPr>
    <w:r w:rsidRPr="00A36C13">
      <w:rPr>
        <w:rStyle w:val="PageNumber"/>
        <w:rFonts w:ascii="Arial" w:hAnsi="Arial" w:cs="Arial"/>
        <w:sz w:val="18"/>
        <w:szCs w:val="18"/>
      </w:rPr>
      <w:fldChar w:fldCharType="begin"/>
    </w:r>
    <w:r w:rsidRPr="00A36C13">
      <w:rPr>
        <w:rStyle w:val="PageNumber"/>
        <w:rFonts w:ascii="Arial" w:hAnsi="Arial" w:cs="Arial"/>
        <w:sz w:val="18"/>
        <w:szCs w:val="18"/>
      </w:rPr>
      <w:instrText xml:space="preserve">PAGE  </w:instrText>
    </w:r>
    <w:r w:rsidRPr="00A36C13">
      <w:rPr>
        <w:rStyle w:val="PageNumber"/>
        <w:rFonts w:ascii="Arial" w:hAnsi="Arial" w:cs="Arial"/>
        <w:sz w:val="18"/>
        <w:szCs w:val="18"/>
      </w:rPr>
      <w:fldChar w:fldCharType="separate"/>
    </w:r>
    <w:r w:rsidR="00751163">
      <w:rPr>
        <w:rStyle w:val="PageNumber"/>
        <w:rFonts w:ascii="Arial" w:hAnsi="Arial" w:cs="Arial"/>
        <w:noProof/>
        <w:sz w:val="18"/>
        <w:szCs w:val="18"/>
      </w:rPr>
      <w:t>i</w:t>
    </w:r>
    <w:r w:rsidRPr="00A36C13">
      <w:rPr>
        <w:rStyle w:val="PageNumber"/>
        <w:rFonts w:ascii="Arial" w:hAnsi="Arial" w:cs="Arial"/>
        <w:sz w:val="18"/>
        <w:szCs w:val="18"/>
      </w:rPr>
      <w:fldChar w:fldCharType="end"/>
    </w:r>
  </w:p>
  <w:p w14:paraId="51ED31B0" w14:textId="77777777" w:rsidR="00455A57" w:rsidRDefault="00455A57" w:rsidP="001F4DC5">
    <w:pPr>
      <w:ind w:left="360"/>
      <w:rPr>
        <w:rFonts w:ascii="Arial" w:hAnsi="Arial" w:cs="Arial"/>
        <w:color w:val="000000" w:themeColor="text1"/>
        <w:sz w:val="18"/>
        <w:szCs w:val="18"/>
      </w:rPr>
    </w:pPr>
    <w:r>
      <w:rPr>
        <w:rFonts w:ascii="Arial" w:hAnsi="Arial" w:cs="Arial"/>
        <w:color w:val="000000" w:themeColor="text1"/>
        <w:sz w:val="18"/>
        <w:szCs w:val="18"/>
      </w:rPr>
      <w:t xml:space="preserve">Proposed Chronic Pain Medical Treatment Guidelines </w:t>
    </w:r>
  </w:p>
  <w:p w14:paraId="13981E28" w14:textId="3C15AA8C" w:rsidR="00455A57" w:rsidRDefault="00455A57" w:rsidP="001F4DC5">
    <w:pPr>
      <w:ind w:left="360"/>
      <w:rPr>
        <w:rFonts w:ascii="Arial" w:hAnsi="Arial" w:cs="Arial"/>
        <w:color w:val="000000" w:themeColor="text1"/>
        <w:sz w:val="18"/>
        <w:szCs w:val="18"/>
      </w:rPr>
    </w:pPr>
    <w:r>
      <w:rPr>
        <w:rFonts w:ascii="Arial" w:hAnsi="Arial" w:cs="Arial"/>
        <w:color w:val="000000" w:themeColor="text1"/>
        <w:sz w:val="18"/>
        <w:szCs w:val="18"/>
      </w:rPr>
      <w:t>MTUS – 8</w:t>
    </w:r>
    <w:r w:rsidR="006B44A1">
      <w:rPr>
        <w:rFonts w:ascii="Arial" w:hAnsi="Arial" w:cs="Arial"/>
        <w:color w:val="000000" w:themeColor="text1"/>
        <w:sz w:val="18"/>
        <w:szCs w:val="18"/>
      </w:rPr>
      <w:t xml:space="preserve"> C.C.R. § 9792.24.2 (June 2016</w:t>
    </w:r>
    <w:r>
      <w:rPr>
        <w:rFonts w:ascii="Arial" w:hAnsi="Arial" w:cs="Arial"/>
        <w:color w:val="000000" w:themeColor="text1"/>
        <w:sz w:val="18"/>
        <w:szCs w:val="18"/>
      </w:rPr>
      <w:t>)</w:t>
    </w:r>
  </w:p>
  <w:p w14:paraId="02F762CF" w14:textId="77777777" w:rsidR="00455A57" w:rsidRDefault="00455A57" w:rsidP="001E4B1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80764" w14:textId="77777777" w:rsidR="00762764" w:rsidRDefault="00762764">
      <w:r>
        <w:separator/>
      </w:r>
    </w:p>
  </w:footnote>
  <w:footnote w:type="continuationSeparator" w:id="0">
    <w:p w14:paraId="7673B52B" w14:textId="77777777" w:rsidR="00762764" w:rsidRDefault="00762764">
      <w:r>
        <w:continuationSeparator/>
      </w:r>
    </w:p>
  </w:footnote>
  <w:footnote w:type="continuationNotice" w:id="1">
    <w:p w14:paraId="4B0CAAF4" w14:textId="77777777" w:rsidR="00762764" w:rsidRDefault="007627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C4463" w14:textId="3EBA217D" w:rsidR="00455A57" w:rsidRPr="00311EFD" w:rsidRDefault="00751163" w:rsidP="00CE79A3">
    <w:pPr>
      <w:pStyle w:val="Header"/>
      <w:tabs>
        <w:tab w:val="clear" w:pos="4320"/>
        <w:tab w:val="clear" w:pos="8640"/>
        <w:tab w:val="left" w:pos="8360"/>
      </w:tabs>
      <w:jc w:val="right"/>
      <w:rPr>
        <w:rFonts w:ascii="Arial" w:hAnsi="Arial" w:cs="Arial"/>
        <w:color w:val="808080"/>
        <w:sz w:val="18"/>
        <w:szCs w:val="18"/>
      </w:rPr>
    </w:pPr>
    <w:r>
      <w:rPr>
        <w:noProof/>
      </w:rPr>
      <w:pict w14:anchorId="78931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7367" o:spid="_x0000_s2059" type="#_x0000_t136" style="position:absolute;left:0;text-align:left;margin-left:0;margin-top:0;width:514.8pt;height:205.9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55A57" w:rsidRPr="00311EFD">
      <w:rPr>
        <w:rFonts w:ascii="Arial" w:hAnsi="Arial" w:cs="Arial"/>
        <w:color w:val="808080"/>
        <w:sz w:val="18"/>
        <w:szCs w:val="18"/>
      </w:rPr>
      <w:t>Chronic Pain Medical Treatment Guidelines</w:t>
    </w:r>
  </w:p>
  <w:p w14:paraId="0BE8677B" w14:textId="77777777" w:rsidR="00455A57" w:rsidRPr="00E646EB" w:rsidRDefault="00455A57" w:rsidP="00E646EB">
    <w:pPr>
      <w:pStyle w:val="Header"/>
      <w:jc w:val="center"/>
      <w:rPr>
        <w:rFonts w:ascii="Arial" w:hAnsi="Arial" w:cs="Arial"/>
        <w:sz w:val="22"/>
      </w:rPr>
    </w:pPr>
    <w:r w:rsidRPr="00BE1FD1">
      <w:rPr>
        <w:rFonts w:ascii="Arial" w:hAnsi="Arial" w:cs="Arial"/>
        <w:color w:val="808080"/>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64442" w14:textId="428102CB" w:rsidR="00455A57" w:rsidRPr="00A90507" w:rsidRDefault="00751163" w:rsidP="00C54E40">
    <w:pPr>
      <w:pStyle w:val="Header"/>
      <w:tabs>
        <w:tab w:val="clear" w:pos="4320"/>
        <w:tab w:val="clear" w:pos="8640"/>
        <w:tab w:val="left" w:pos="8360"/>
      </w:tabs>
      <w:jc w:val="right"/>
      <w:rPr>
        <w:rFonts w:ascii="Arial" w:hAnsi="Arial" w:cs="Arial"/>
        <w:sz w:val="18"/>
        <w:szCs w:val="18"/>
      </w:rPr>
    </w:pPr>
    <w:r>
      <w:rPr>
        <w:noProof/>
      </w:rPr>
      <w:pict w14:anchorId="4F5D1F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7368" o:spid="_x0000_s2060" type="#_x0000_t136" style="position:absolute;left:0;text-align:left;margin-left:0;margin-top:0;width:514.8pt;height:205.9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138E2" w14:textId="25E37151" w:rsidR="00455A57" w:rsidRDefault="00751163">
    <w:pPr>
      <w:pStyle w:val="Header"/>
    </w:pPr>
    <w:r>
      <w:rPr>
        <w:noProof/>
      </w:rPr>
      <w:pict w14:anchorId="78ECC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7366" o:spid="_x0000_s2058" type="#_x0000_t136" style="position:absolute;margin-left:0;margin-top:0;width:514.8pt;height:205.9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E87C1" w14:textId="47581140" w:rsidR="00455A57" w:rsidRDefault="00751163">
    <w:pPr>
      <w:pStyle w:val="Header"/>
    </w:pPr>
    <w:r>
      <w:rPr>
        <w:noProof/>
      </w:rPr>
      <w:pict w14:anchorId="39994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7370" o:spid="_x0000_s2062" type="#_x0000_t136" style="position:absolute;margin-left:0;margin-top:0;width:514.8pt;height:205.9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04A6C" w14:textId="1CF77DF0" w:rsidR="00455A57" w:rsidRDefault="00751163">
    <w:pPr>
      <w:pStyle w:val="Header"/>
    </w:pPr>
    <w:r>
      <w:rPr>
        <w:noProof/>
      </w:rPr>
      <w:pict w14:anchorId="798FC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7371" o:spid="_x0000_s2063" type="#_x0000_t136" style="position:absolute;margin-left:0;margin-top:0;width:514.8pt;height:205.9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36C63" w14:textId="7E55B57B" w:rsidR="00455A57" w:rsidRDefault="00751163">
    <w:pPr>
      <w:pStyle w:val="Header"/>
    </w:pPr>
    <w:r>
      <w:rPr>
        <w:noProof/>
      </w:rPr>
      <w:pict w14:anchorId="60642E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7369" o:spid="_x0000_s2061" type="#_x0000_t136" style="position:absolute;margin-left:0;margin-top:0;width:514.8pt;height:205.9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FC5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D"/>
    <w:multiLevelType w:val="singleLevel"/>
    <w:tmpl w:val="743ED4D0"/>
    <w:lvl w:ilvl="0">
      <w:start w:val="1"/>
      <w:numFmt w:val="decimal"/>
      <w:pStyle w:val="ListNumber4"/>
      <w:lvlText w:val="%1."/>
      <w:lvlJc w:val="left"/>
      <w:pPr>
        <w:tabs>
          <w:tab w:val="num" w:pos="1440"/>
        </w:tabs>
        <w:ind w:left="1440" w:hanging="360"/>
      </w:pPr>
    </w:lvl>
  </w:abstractNum>
  <w:abstractNum w:abstractNumId="2">
    <w:nsid w:val="08BD7734"/>
    <w:multiLevelType w:val="hybridMultilevel"/>
    <w:tmpl w:val="DC427238"/>
    <w:lvl w:ilvl="0" w:tplc="788AE138">
      <w:start w:val="1"/>
      <w:numFmt w:val="decimal"/>
      <w:lvlText w:val="%1)"/>
      <w:lvlJc w:val="left"/>
      <w:pPr>
        <w:ind w:left="360" w:hanging="360"/>
      </w:pPr>
      <w:rPr>
        <w: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B6F416B"/>
    <w:multiLevelType w:val="hybridMultilevel"/>
    <w:tmpl w:val="DEE2007C"/>
    <w:lvl w:ilvl="0" w:tplc="528668BA">
      <w:start w:val="1"/>
      <w:numFmt w:val="bullet"/>
      <w:lvlText w:val=""/>
      <w:lvlJc w:val="left"/>
      <w:pPr>
        <w:ind w:left="810" w:hanging="360"/>
      </w:pPr>
      <w:rPr>
        <w:rFonts w:ascii="Symbol" w:hAnsi="Symbol" w:hint="default"/>
        <w:color w:val="000000" w:themeColor="text1"/>
        <w:sz w:val="20"/>
        <w:szCs w:val="20"/>
        <w:u w:val="none"/>
      </w:rPr>
    </w:lvl>
    <w:lvl w:ilvl="1" w:tplc="528668BA">
      <w:start w:val="1"/>
      <w:numFmt w:val="bullet"/>
      <w:lvlText w:val=""/>
      <w:lvlJc w:val="left"/>
      <w:pPr>
        <w:ind w:left="1440" w:hanging="360"/>
      </w:pPr>
      <w:rPr>
        <w:rFonts w:ascii="Symbol" w:hAnsi="Symbol" w:hint="default"/>
        <w:color w:val="000000" w:themeColor="text1"/>
        <w:sz w:val="20"/>
        <w:szCs w:val="20"/>
        <w:u w:val="no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4D3513"/>
    <w:multiLevelType w:val="hybridMultilevel"/>
    <w:tmpl w:val="B2AE3654"/>
    <w:lvl w:ilvl="0" w:tplc="A100E700">
      <w:start w:val="1"/>
      <w:numFmt w:val="bullet"/>
      <w:lvlText w:val=""/>
      <w:lvlJc w:val="left"/>
      <w:pPr>
        <w:tabs>
          <w:tab w:val="num" w:pos="720"/>
        </w:tabs>
        <w:ind w:left="720" w:hanging="360"/>
      </w:pPr>
      <w:rPr>
        <w:rFonts w:ascii="Symbol" w:hAnsi="Symbol" w:hint="default"/>
        <w:sz w:val="20"/>
      </w:rPr>
    </w:lvl>
    <w:lvl w:ilvl="1" w:tplc="AA90F4A4" w:tentative="1">
      <w:start w:val="1"/>
      <w:numFmt w:val="bullet"/>
      <w:lvlText w:val=""/>
      <w:lvlJc w:val="left"/>
      <w:pPr>
        <w:tabs>
          <w:tab w:val="num" w:pos="1440"/>
        </w:tabs>
        <w:ind w:left="1440" w:hanging="360"/>
      </w:pPr>
      <w:rPr>
        <w:rFonts w:ascii="Symbol" w:hAnsi="Symbol" w:hint="default"/>
        <w:sz w:val="20"/>
      </w:rPr>
    </w:lvl>
    <w:lvl w:ilvl="2" w:tplc="C46E5210" w:tentative="1">
      <w:start w:val="1"/>
      <w:numFmt w:val="bullet"/>
      <w:lvlText w:val=""/>
      <w:lvlJc w:val="left"/>
      <w:pPr>
        <w:tabs>
          <w:tab w:val="num" w:pos="2160"/>
        </w:tabs>
        <w:ind w:left="2160" w:hanging="360"/>
      </w:pPr>
      <w:rPr>
        <w:rFonts w:ascii="Symbol" w:hAnsi="Symbol" w:hint="default"/>
        <w:sz w:val="20"/>
      </w:rPr>
    </w:lvl>
    <w:lvl w:ilvl="3" w:tplc="946C954C" w:tentative="1">
      <w:start w:val="1"/>
      <w:numFmt w:val="bullet"/>
      <w:lvlText w:val=""/>
      <w:lvlJc w:val="left"/>
      <w:pPr>
        <w:tabs>
          <w:tab w:val="num" w:pos="2880"/>
        </w:tabs>
        <w:ind w:left="2880" w:hanging="360"/>
      </w:pPr>
      <w:rPr>
        <w:rFonts w:ascii="Symbol" w:hAnsi="Symbol" w:hint="default"/>
        <w:sz w:val="20"/>
      </w:rPr>
    </w:lvl>
    <w:lvl w:ilvl="4" w:tplc="044ACEAA" w:tentative="1">
      <w:start w:val="1"/>
      <w:numFmt w:val="bullet"/>
      <w:lvlText w:val=""/>
      <w:lvlJc w:val="left"/>
      <w:pPr>
        <w:tabs>
          <w:tab w:val="num" w:pos="3600"/>
        </w:tabs>
        <w:ind w:left="3600" w:hanging="360"/>
      </w:pPr>
      <w:rPr>
        <w:rFonts w:ascii="Symbol" w:hAnsi="Symbol" w:hint="default"/>
        <w:sz w:val="20"/>
      </w:rPr>
    </w:lvl>
    <w:lvl w:ilvl="5" w:tplc="E638ACF4" w:tentative="1">
      <w:start w:val="1"/>
      <w:numFmt w:val="bullet"/>
      <w:lvlText w:val=""/>
      <w:lvlJc w:val="left"/>
      <w:pPr>
        <w:tabs>
          <w:tab w:val="num" w:pos="4320"/>
        </w:tabs>
        <w:ind w:left="4320" w:hanging="360"/>
      </w:pPr>
      <w:rPr>
        <w:rFonts w:ascii="Symbol" w:hAnsi="Symbol" w:hint="default"/>
        <w:sz w:val="20"/>
      </w:rPr>
    </w:lvl>
    <w:lvl w:ilvl="6" w:tplc="AFB8C9A0" w:tentative="1">
      <w:start w:val="1"/>
      <w:numFmt w:val="bullet"/>
      <w:lvlText w:val=""/>
      <w:lvlJc w:val="left"/>
      <w:pPr>
        <w:tabs>
          <w:tab w:val="num" w:pos="5040"/>
        </w:tabs>
        <w:ind w:left="5040" w:hanging="360"/>
      </w:pPr>
      <w:rPr>
        <w:rFonts w:ascii="Symbol" w:hAnsi="Symbol" w:hint="default"/>
        <w:sz w:val="20"/>
      </w:rPr>
    </w:lvl>
    <w:lvl w:ilvl="7" w:tplc="941C6DE0" w:tentative="1">
      <w:start w:val="1"/>
      <w:numFmt w:val="bullet"/>
      <w:lvlText w:val=""/>
      <w:lvlJc w:val="left"/>
      <w:pPr>
        <w:tabs>
          <w:tab w:val="num" w:pos="5760"/>
        </w:tabs>
        <w:ind w:left="5760" w:hanging="360"/>
      </w:pPr>
      <w:rPr>
        <w:rFonts w:ascii="Symbol" w:hAnsi="Symbol" w:hint="default"/>
        <w:sz w:val="20"/>
      </w:rPr>
    </w:lvl>
    <w:lvl w:ilvl="8" w:tplc="942E1012" w:tentative="1">
      <w:start w:val="1"/>
      <w:numFmt w:val="bullet"/>
      <w:lvlText w:val=""/>
      <w:lvlJc w:val="left"/>
      <w:pPr>
        <w:tabs>
          <w:tab w:val="num" w:pos="6480"/>
        </w:tabs>
        <w:ind w:left="6480" w:hanging="360"/>
      </w:pPr>
      <w:rPr>
        <w:rFonts w:ascii="Symbol" w:hAnsi="Symbol" w:hint="default"/>
        <w:sz w:val="20"/>
      </w:rPr>
    </w:lvl>
  </w:abstractNum>
  <w:abstractNum w:abstractNumId="5">
    <w:nsid w:val="19643491"/>
    <w:multiLevelType w:val="hybridMultilevel"/>
    <w:tmpl w:val="18D05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E5373"/>
    <w:multiLevelType w:val="hybridMultilevel"/>
    <w:tmpl w:val="FB94F124"/>
    <w:lvl w:ilvl="0" w:tplc="1004C92C">
      <w:start w:val="1"/>
      <w:numFmt w:val="bullet"/>
      <w:lvlText w:val="o"/>
      <w:lvlJc w:val="left"/>
      <w:pPr>
        <w:tabs>
          <w:tab w:val="num" w:pos="360"/>
        </w:tabs>
        <w:ind w:left="36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916BD4"/>
    <w:multiLevelType w:val="hybridMultilevel"/>
    <w:tmpl w:val="6D524398"/>
    <w:lvl w:ilvl="0" w:tplc="A80EC58E">
      <w:start w:val="1"/>
      <w:numFmt w:val="decimal"/>
      <w:lvlText w:val="(%1)"/>
      <w:lvlJc w:val="left"/>
      <w:pPr>
        <w:ind w:left="-1800" w:hanging="360"/>
      </w:pPr>
      <w:rPr>
        <w:rFonts w:hint="default"/>
        <w:strike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8">
    <w:nsid w:val="269A2979"/>
    <w:multiLevelType w:val="hybridMultilevel"/>
    <w:tmpl w:val="898AE216"/>
    <w:lvl w:ilvl="0" w:tplc="1EA274DA">
      <w:start w:val="1"/>
      <w:numFmt w:val="decimal"/>
      <w:lvlText w:val="%1."/>
      <w:lvlJc w:val="left"/>
      <w:pPr>
        <w:tabs>
          <w:tab w:val="num" w:pos="720"/>
        </w:tabs>
        <w:ind w:left="720" w:hanging="360"/>
      </w:pPr>
    </w:lvl>
    <w:lvl w:ilvl="1" w:tplc="696272BA" w:tentative="1">
      <w:start w:val="1"/>
      <w:numFmt w:val="decimal"/>
      <w:lvlText w:val="%2."/>
      <w:lvlJc w:val="left"/>
      <w:pPr>
        <w:tabs>
          <w:tab w:val="num" w:pos="1440"/>
        </w:tabs>
        <w:ind w:left="1440" w:hanging="360"/>
      </w:pPr>
    </w:lvl>
    <w:lvl w:ilvl="2" w:tplc="ECBC93E8" w:tentative="1">
      <w:start w:val="1"/>
      <w:numFmt w:val="decimal"/>
      <w:lvlText w:val="%3."/>
      <w:lvlJc w:val="left"/>
      <w:pPr>
        <w:tabs>
          <w:tab w:val="num" w:pos="2160"/>
        </w:tabs>
        <w:ind w:left="2160" w:hanging="360"/>
      </w:pPr>
    </w:lvl>
    <w:lvl w:ilvl="3" w:tplc="9710E6EA" w:tentative="1">
      <w:start w:val="1"/>
      <w:numFmt w:val="decimal"/>
      <w:lvlText w:val="%4."/>
      <w:lvlJc w:val="left"/>
      <w:pPr>
        <w:tabs>
          <w:tab w:val="num" w:pos="2880"/>
        </w:tabs>
        <w:ind w:left="2880" w:hanging="360"/>
      </w:pPr>
    </w:lvl>
    <w:lvl w:ilvl="4" w:tplc="2416D6B6" w:tentative="1">
      <w:start w:val="1"/>
      <w:numFmt w:val="decimal"/>
      <w:lvlText w:val="%5."/>
      <w:lvlJc w:val="left"/>
      <w:pPr>
        <w:tabs>
          <w:tab w:val="num" w:pos="3600"/>
        </w:tabs>
        <w:ind w:left="3600" w:hanging="360"/>
      </w:pPr>
    </w:lvl>
    <w:lvl w:ilvl="5" w:tplc="8C86514A" w:tentative="1">
      <w:start w:val="1"/>
      <w:numFmt w:val="decimal"/>
      <w:lvlText w:val="%6."/>
      <w:lvlJc w:val="left"/>
      <w:pPr>
        <w:tabs>
          <w:tab w:val="num" w:pos="4320"/>
        </w:tabs>
        <w:ind w:left="4320" w:hanging="360"/>
      </w:pPr>
    </w:lvl>
    <w:lvl w:ilvl="6" w:tplc="DA50EB08" w:tentative="1">
      <w:start w:val="1"/>
      <w:numFmt w:val="decimal"/>
      <w:lvlText w:val="%7."/>
      <w:lvlJc w:val="left"/>
      <w:pPr>
        <w:tabs>
          <w:tab w:val="num" w:pos="5040"/>
        </w:tabs>
        <w:ind w:left="5040" w:hanging="360"/>
      </w:pPr>
    </w:lvl>
    <w:lvl w:ilvl="7" w:tplc="19287844" w:tentative="1">
      <w:start w:val="1"/>
      <w:numFmt w:val="decimal"/>
      <w:lvlText w:val="%8."/>
      <w:lvlJc w:val="left"/>
      <w:pPr>
        <w:tabs>
          <w:tab w:val="num" w:pos="5760"/>
        </w:tabs>
        <w:ind w:left="5760" w:hanging="360"/>
      </w:pPr>
    </w:lvl>
    <w:lvl w:ilvl="8" w:tplc="43E86BA4" w:tentative="1">
      <w:start w:val="1"/>
      <w:numFmt w:val="decimal"/>
      <w:lvlText w:val="%9."/>
      <w:lvlJc w:val="left"/>
      <w:pPr>
        <w:tabs>
          <w:tab w:val="num" w:pos="6480"/>
        </w:tabs>
        <w:ind w:left="6480" w:hanging="360"/>
      </w:pPr>
    </w:lvl>
  </w:abstractNum>
  <w:abstractNum w:abstractNumId="9">
    <w:nsid w:val="2DF24BCE"/>
    <w:multiLevelType w:val="hybridMultilevel"/>
    <w:tmpl w:val="18B66844"/>
    <w:lvl w:ilvl="0" w:tplc="81BC85B4">
      <w:start w:val="1"/>
      <w:numFmt w:val="bullet"/>
      <w:lvlText w:val=""/>
      <w:lvlJc w:val="left"/>
      <w:pPr>
        <w:ind w:left="810" w:hanging="360"/>
      </w:pPr>
      <w:rPr>
        <w:rFonts w:ascii="Symbol" w:hAnsi="Symbol" w:hint="default"/>
        <w:dstrike/>
        <w:color w:val="000000" w:themeColor="text1"/>
        <w:sz w:val="20"/>
        <w:szCs w:val="20"/>
        <w:u w:val="none"/>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10">
    <w:nsid w:val="344D195C"/>
    <w:multiLevelType w:val="multilevel"/>
    <w:tmpl w:val="19A8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5238C9"/>
    <w:multiLevelType w:val="hybridMultilevel"/>
    <w:tmpl w:val="82E638BA"/>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E7B453C"/>
    <w:multiLevelType w:val="hybridMultilevel"/>
    <w:tmpl w:val="C3C63FA0"/>
    <w:lvl w:ilvl="0" w:tplc="36F84048">
      <w:start w:val="1"/>
      <w:numFmt w:val="bullet"/>
      <w:lvlText w:val=""/>
      <w:lvlJc w:val="left"/>
      <w:pPr>
        <w:ind w:left="360" w:hanging="360"/>
      </w:pPr>
      <w:rPr>
        <w:rFonts w:ascii="Symbol" w:hAnsi="Symbol" w:hint="default"/>
        <w:u w:val="doubl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FAE412A"/>
    <w:multiLevelType w:val="hybridMultilevel"/>
    <w:tmpl w:val="2EEEB576"/>
    <w:lvl w:ilvl="0" w:tplc="E3E6A3DC">
      <w:start w:val="1"/>
      <w:numFmt w:val="bullet"/>
      <w:lvlText w:val=""/>
      <w:lvlJc w:val="left"/>
      <w:pPr>
        <w:ind w:left="810" w:hanging="360"/>
      </w:pPr>
      <w:rPr>
        <w:rFonts w:ascii="Symbol" w:hAnsi="Symbol" w:hint="default"/>
        <w:color w:val="000000" w:themeColor="text1"/>
        <w:sz w:val="20"/>
        <w:szCs w:val="20"/>
        <w:u w:val="single"/>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14">
    <w:nsid w:val="400C3B83"/>
    <w:multiLevelType w:val="hybridMultilevel"/>
    <w:tmpl w:val="B4188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1B5287"/>
    <w:multiLevelType w:val="hybridMultilevel"/>
    <w:tmpl w:val="4CE41648"/>
    <w:lvl w:ilvl="0" w:tplc="EA904402">
      <w:start w:val="2"/>
      <w:numFmt w:val="upperLetter"/>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nsid w:val="45242C79"/>
    <w:multiLevelType w:val="hybridMultilevel"/>
    <w:tmpl w:val="E1D08CA0"/>
    <w:lvl w:ilvl="0" w:tplc="6B9E0A54">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64876A9"/>
    <w:multiLevelType w:val="hybridMultilevel"/>
    <w:tmpl w:val="34C24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3A6DB9"/>
    <w:multiLevelType w:val="hybridMultilevel"/>
    <w:tmpl w:val="E008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9542C"/>
    <w:multiLevelType w:val="hybridMultilevel"/>
    <w:tmpl w:val="E1D08CA0"/>
    <w:lvl w:ilvl="0" w:tplc="6B9E0A54">
      <w:start w:val="1"/>
      <w:numFmt w:val="bullet"/>
      <w:lvlText w:val=""/>
      <w:lvlJc w:val="left"/>
      <w:pPr>
        <w:tabs>
          <w:tab w:val="num" w:pos="360"/>
        </w:tabs>
        <w:ind w:left="360" w:hanging="360"/>
      </w:pPr>
      <w:rPr>
        <w:rFonts w:ascii="Symbol" w:hAnsi="Symbol" w:hint="default"/>
      </w:rPr>
    </w:lvl>
    <w:lvl w:ilvl="1" w:tplc="B6824F74">
      <w:start w:val="1"/>
      <w:numFmt w:val="decimal"/>
      <w:lvlText w:val="%2."/>
      <w:lvlJc w:val="left"/>
      <w:pPr>
        <w:tabs>
          <w:tab w:val="num" w:pos="720"/>
        </w:tabs>
        <w:ind w:left="720" w:hanging="360"/>
      </w:pPr>
    </w:lvl>
    <w:lvl w:ilvl="2" w:tplc="6B9E0A54">
      <w:start w:val="1"/>
      <w:numFmt w:val="bullet"/>
      <w:lvlText w:val=""/>
      <w:lvlJc w:val="left"/>
      <w:pPr>
        <w:tabs>
          <w:tab w:val="num" w:pos="360"/>
        </w:tabs>
        <w:ind w:left="360" w:hanging="360"/>
      </w:pPr>
      <w:rPr>
        <w:rFonts w:ascii="Symbol" w:hAnsi="Symbol" w:hint="default"/>
      </w:rPr>
    </w:lvl>
    <w:lvl w:ilvl="3" w:tplc="080AE4FA">
      <w:start w:val="1"/>
      <w:numFmt w:val="decimal"/>
      <w:lvlText w:val="%4."/>
      <w:lvlJc w:val="left"/>
      <w:pPr>
        <w:tabs>
          <w:tab w:val="num" w:pos="720"/>
        </w:tabs>
        <w:ind w:left="72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B4F5EB9"/>
    <w:multiLevelType w:val="hybridMultilevel"/>
    <w:tmpl w:val="6E8C4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B525A35"/>
    <w:multiLevelType w:val="hybridMultilevel"/>
    <w:tmpl w:val="E1D08CA0"/>
    <w:lvl w:ilvl="0" w:tplc="04090001">
      <w:start w:val="1"/>
      <w:numFmt w:val="bullet"/>
      <w:lvlText w:val=""/>
      <w:lvlJc w:val="left"/>
      <w:pPr>
        <w:tabs>
          <w:tab w:val="num" w:pos="720"/>
        </w:tabs>
        <w:ind w:left="720" w:hanging="360"/>
      </w:pPr>
      <w:rPr>
        <w:rFonts w:ascii="Symbol" w:hAnsi="Symbol" w:hint="default"/>
      </w:rPr>
    </w:lvl>
    <w:lvl w:ilvl="1" w:tplc="B6824F74">
      <w:start w:val="1"/>
      <w:numFmt w:val="decimal"/>
      <w:lvlText w:val="%2."/>
      <w:lvlJc w:val="left"/>
      <w:pPr>
        <w:tabs>
          <w:tab w:val="num" w:pos="720"/>
        </w:tabs>
        <w:ind w:left="720" w:hanging="360"/>
      </w:pPr>
      <w:rPr>
        <w:rFonts w:hint="default"/>
      </w:rPr>
    </w:lvl>
    <w:lvl w:ilvl="2" w:tplc="43860088">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C0A679F"/>
    <w:multiLevelType w:val="hybridMultilevel"/>
    <w:tmpl w:val="C8A4B862"/>
    <w:lvl w:ilvl="0" w:tplc="BECAD3AA">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EC6B7F"/>
    <w:multiLevelType w:val="hybridMultilevel"/>
    <w:tmpl w:val="613EE876"/>
    <w:lvl w:ilvl="0" w:tplc="8542D4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2E4EAA"/>
    <w:multiLevelType w:val="hybridMultilevel"/>
    <w:tmpl w:val="C7A46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C9B71A4"/>
    <w:multiLevelType w:val="hybridMultilevel"/>
    <w:tmpl w:val="E1D08CA0"/>
    <w:lvl w:ilvl="0" w:tplc="04090001">
      <w:start w:val="1"/>
      <w:numFmt w:val="bullet"/>
      <w:lvlText w:val=""/>
      <w:lvlJc w:val="left"/>
      <w:pPr>
        <w:tabs>
          <w:tab w:val="num" w:pos="720"/>
        </w:tabs>
        <w:ind w:left="720" w:hanging="360"/>
      </w:pPr>
      <w:rPr>
        <w:rFonts w:ascii="Symbol" w:hAnsi="Symbol" w:hint="default"/>
      </w:rPr>
    </w:lvl>
    <w:lvl w:ilvl="1" w:tplc="B6824F74">
      <w:start w:val="1"/>
      <w:numFmt w:val="decimal"/>
      <w:lvlText w:val="%2."/>
      <w:lvlJc w:val="left"/>
      <w:pPr>
        <w:tabs>
          <w:tab w:val="num" w:pos="720"/>
        </w:tabs>
        <w:ind w:left="720" w:hanging="360"/>
      </w:pPr>
      <w:rPr>
        <w:rFonts w:hint="default"/>
      </w:rPr>
    </w:lvl>
    <w:lvl w:ilvl="2" w:tplc="6B9E0A54">
      <w:start w:val="1"/>
      <w:numFmt w:val="bullet"/>
      <w:lvlText w:val=""/>
      <w:lvlJc w:val="left"/>
      <w:pPr>
        <w:tabs>
          <w:tab w:val="num" w:pos="360"/>
        </w:tabs>
        <w:ind w:left="360" w:hanging="360"/>
      </w:pPr>
      <w:rPr>
        <w:rFonts w:ascii="Symbol" w:hAnsi="Symbol" w:hint="default"/>
      </w:rPr>
    </w:lvl>
    <w:lvl w:ilvl="3" w:tplc="080AE4FA">
      <w:start w:val="1"/>
      <w:numFmt w:val="decimal"/>
      <w:lvlText w:val="%4."/>
      <w:lvlJc w:val="left"/>
      <w:pPr>
        <w:tabs>
          <w:tab w:val="num" w:pos="720"/>
        </w:tabs>
        <w:ind w:left="72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CA06A1"/>
    <w:multiLevelType w:val="hybridMultilevel"/>
    <w:tmpl w:val="452874CA"/>
    <w:lvl w:ilvl="0" w:tplc="0C3A74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1B472A7"/>
    <w:multiLevelType w:val="hybridMultilevel"/>
    <w:tmpl w:val="6FB2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800622"/>
    <w:multiLevelType w:val="hybridMultilevel"/>
    <w:tmpl w:val="F7C0408E"/>
    <w:lvl w:ilvl="0" w:tplc="172C5A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D063CE5"/>
    <w:multiLevelType w:val="hybridMultilevel"/>
    <w:tmpl w:val="4A8C5C7E"/>
    <w:lvl w:ilvl="0" w:tplc="832A6B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8B4583A"/>
    <w:multiLevelType w:val="hybridMultilevel"/>
    <w:tmpl w:val="C95EA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7D000F"/>
    <w:multiLevelType w:val="hybridMultilevel"/>
    <w:tmpl w:val="C0F62554"/>
    <w:lvl w:ilvl="0" w:tplc="8C0E8EBC">
      <w:start w:val="1"/>
      <w:numFmt w:val="bullet"/>
      <w:lvlText w:val=""/>
      <w:lvlJc w:val="left"/>
      <w:pPr>
        <w:tabs>
          <w:tab w:val="num" w:pos="720"/>
        </w:tabs>
        <w:ind w:left="720" w:hanging="360"/>
      </w:pPr>
      <w:rPr>
        <w:rFonts w:ascii="Symbol" w:hAnsi="Symbol" w:hint="default"/>
        <w:sz w:val="20"/>
      </w:rPr>
    </w:lvl>
    <w:lvl w:ilvl="1" w:tplc="4F20D3C2" w:tentative="1">
      <w:start w:val="1"/>
      <w:numFmt w:val="bullet"/>
      <w:lvlText w:val=""/>
      <w:lvlJc w:val="left"/>
      <w:pPr>
        <w:tabs>
          <w:tab w:val="num" w:pos="1440"/>
        </w:tabs>
        <w:ind w:left="1440" w:hanging="360"/>
      </w:pPr>
      <w:rPr>
        <w:rFonts w:ascii="Symbol" w:hAnsi="Symbol" w:hint="default"/>
        <w:sz w:val="20"/>
      </w:rPr>
    </w:lvl>
    <w:lvl w:ilvl="2" w:tplc="4716A2B2" w:tentative="1">
      <w:start w:val="1"/>
      <w:numFmt w:val="bullet"/>
      <w:lvlText w:val=""/>
      <w:lvlJc w:val="left"/>
      <w:pPr>
        <w:tabs>
          <w:tab w:val="num" w:pos="2160"/>
        </w:tabs>
        <w:ind w:left="2160" w:hanging="360"/>
      </w:pPr>
      <w:rPr>
        <w:rFonts w:ascii="Symbol" w:hAnsi="Symbol" w:hint="default"/>
        <w:sz w:val="20"/>
      </w:rPr>
    </w:lvl>
    <w:lvl w:ilvl="3" w:tplc="0E5C5C3A" w:tentative="1">
      <w:start w:val="1"/>
      <w:numFmt w:val="bullet"/>
      <w:lvlText w:val=""/>
      <w:lvlJc w:val="left"/>
      <w:pPr>
        <w:tabs>
          <w:tab w:val="num" w:pos="2880"/>
        </w:tabs>
        <w:ind w:left="2880" w:hanging="360"/>
      </w:pPr>
      <w:rPr>
        <w:rFonts w:ascii="Symbol" w:hAnsi="Symbol" w:hint="default"/>
        <w:sz w:val="20"/>
      </w:rPr>
    </w:lvl>
    <w:lvl w:ilvl="4" w:tplc="8AF66D1A" w:tentative="1">
      <w:start w:val="1"/>
      <w:numFmt w:val="bullet"/>
      <w:lvlText w:val=""/>
      <w:lvlJc w:val="left"/>
      <w:pPr>
        <w:tabs>
          <w:tab w:val="num" w:pos="3600"/>
        </w:tabs>
        <w:ind w:left="3600" w:hanging="360"/>
      </w:pPr>
      <w:rPr>
        <w:rFonts w:ascii="Symbol" w:hAnsi="Symbol" w:hint="default"/>
        <w:sz w:val="20"/>
      </w:rPr>
    </w:lvl>
    <w:lvl w:ilvl="5" w:tplc="F048BCC0" w:tentative="1">
      <w:start w:val="1"/>
      <w:numFmt w:val="bullet"/>
      <w:lvlText w:val=""/>
      <w:lvlJc w:val="left"/>
      <w:pPr>
        <w:tabs>
          <w:tab w:val="num" w:pos="4320"/>
        </w:tabs>
        <w:ind w:left="4320" w:hanging="360"/>
      </w:pPr>
      <w:rPr>
        <w:rFonts w:ascii="Symbol" w:hAnsi="Symbol" w:hint="default"/>
        <w:sz w:val="20"/>
      </w:rPr>
    </w:lvl>
    <w:lvl w:ilvl="6" w:tplc="93F6E9E4" w:tentative="1">
      <w:start w:val="1"/>
      <w:numFmt w:val="bullet"/>
      <w:lvlText w:val=""/>
      <w:lvlJc w:val="left"/>
      <w:pPr>
        <w:tabs>
          <w:tab w:val="num" w:pos="5040"/>
        </w:tabs>
        <w:ind w:left="5040" w:hanging="360"/>
      </w:pPr>
      <w:rPr>
        <w:rFonts w:ascii="Symbol" w:hAnsi="Symbol" w:hint="default"/>
        <w:sz w:val="20"/>
      </w:rPr>
    </w:lvl>
    <w:lvl w:ilvl="7" w:tplc="75EE8D86" w:tentative="1">
      <w:start w:val="1"/>
      <w:numFmt w:val="bullet"/>
      <w:lvlText w:val=""/>
      <w:lvlJc w:val="left"/>
      <w:pPr>
        <w:tabs>
          <w:tab w:val="num" w:pos="5760"/>
        </w:tabs>
        <w:ind w:left="5760" w:hanging="360"/>
      </w:pPr>
      <w:rPr>
        <w:rFonts w:ascii="Symbol" w:hAnsi="Symbol" w:hint="default"/>
        <w:sz w:val="20"/>
      </w:rPr>
    </w:lvl>
    <w:lvl w:ilvl="8" w:tplc="F74228A8" w:tentative="1">
      <w:start w:val="1"/>
      <w:numFmt w:val="bullet"/>
      <w:lvlText w:val=""/>
      <w:lvlJc w:val="left"/>
      <w:pPr>
        <w:tabs>
          <w:tab w:val="num" w:pos="6480"/>
        </w:tabs>
        <w:ind w:left="6480" w:hanging="360"/>
      </w:pPr>
      <w:rPr>
        <w:rFonts w:ascii="Symbol" w:hAnsi="Symbol" w:hint="default"/>
        <w:sz w:val="20"/>
      </w:rPr>
    </w:lvl>
  </w:abstractNum>
  <w:abstractNum w:abstractNumId="32">
    <w:nsid w:val="7A49233A"/>
    <w:multiLevelType w:val="hybridMultilevel"/>
    <w:tmpl w:val="D7207322"/>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864CC7"/>
    <w:multiLevelType w:val="hybridMultilevel"/>
    <w:tmpl w:val="44F84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2"/>
  </w:num>
  <w:num w:numId="3">
    <w:abstractNumId w:val="11"/>
  </w:num>
  <w:num w:numId="4">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9"/>
  </w:num>
  <w:num w:numId="9">
    <w:abstractNumId w:val="28"/>
  </w:num>
  <w:num w:numId="10">
    <w:abstractNumId w:val="29"/>
  </w:num>
  <w:num w:numId="11">
    <w:abstractNumId w:val="26"/>
  </w:num>
  <w:num w:numId="12">
    <w:abstractNumId w:val="8"/>
  </w:num>
  <w:num w:numId="13">
    <w:abstractNumId w:val="31"/>
  </w:num>
  <w:num w:numId="14">
    <w:abstractNumId w:val="4"/>
  </w:num>
  <w:num w:numId="15">
    <w:abstractNumId w:val="15"/>
  </w:num>
  <w:num w:numId="16">
    <w:abstractNumId w:val="5"/>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4"/>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0"/>
  </w:num>
  <w:num w:numId="25">
    <w:abstractNumId w:val="27"/>
  </w:num>
  <w:num w:numId="26">
    <w:abstractNumId w:val="0"/>
  </w:num>
  <w:num w:numId="27">
    <w:abstractNumId w:val="10"/>
  </w:num>
  <w:num w:numId="28">
    <w:abstractNumId w:val="17"/>
  </w:num>
  <w:num w:numId="29">
    <w:abstractNumId w:val="32"/>
  </w:num>
  <w:num w:numId="30">
    <w:abstractNumId w:val="2"/>
  </w:num>
  <w:num w:numId="31">
    <w:abstractNumId w:val="33"/>
  </w:num>
  <w:num w:numId="32">
    <w:abstractNumId w:val="23"/>
  </w:num>
  <w:num w:numId="33">
    <w:abstractNumId w:val="12"/>
  </w:num>
  <w:num w:numId="34">
    <w:abstractNumId w:val="13"/>
  </w:num>
  <w:num w:numId="35">
    <w:abstractNumId w:val="3"/>
  </w:num>
  <w:num w:numId="3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n" w:vendorID="64" w:dllVersion="131078" w:nlCheck="1" w:checkStyle="1"/>
  <w:doNotTrackMoves/>
  <w:defaultTabStop w:val="720"/>
  <w:noPunctuationKerning/>
  <w:characterSpacingControl w:val="doNotCompress"/>
  <w:hdrShapeDefaults>
    <o:shapedefaults v:ext="edit" spidmax="206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22"/>
    <w:rsid w:val="000007CC"/>
    <w:rsid w:val="00001702"/>
    <w:rsid w:val="00002462"/>
    <w:rsid w:val="00003461"/>
    <w:rsid w:val="00003C0F"/>
    <w:rsid w:val="00004679"/>
    <w:rsid w:val="00005548"/>
    <w:rsid w:val="00007438"/>
    <w:rsid w:val="0000756C"/>
    <w:rsid w:val="00010C5D"/>
    <w:rsid w:val="00010E05"/>
    <w:rsid w:val="0001162F"/>
    <w:rsid w:val="00012AA2"/>
    <w:rsid w:val="00013545"/>
    <w:rsid w:val="00013990"/>
    <w:rsid w:val="000141D3"/>
    <w:rsid w:val="000152B8"/>
    <w:rsid w:val="00015C3B"/>
    <w:rsid w:val="0001768C"/>
    <w:rsid w:val="000179BE"/>
    <w:rsid w:val="00020144"/>
    <w:rsid w:val="0002076F"/>
    <w:rsid w:val="00021244"/>
    <w:rsid w:val="000215A4"/>
    <w:rsid w:val="00022D0D"/>
    <w:rsid w:val="00023F79"/>
    <w:rsid w:val="00025787"/>
    <w:rsid w:val="00030316"/>
    <w:rsid w:val="000314C3"/>
    <w:rsid w:val="00031AD5"/>
    <w:rsid w:val="00031F56"/>
    <w:rsid w:val="0003266E"/>
    <w:rsid w:val="00033F61"/>
    <w:rsid w:val="00034623"/>
    <w:rsid w:val="000348BB"/>
    <w:rsid w:val="0003508C"/>
    <w:rsid w:val="00035117"/>
    <w:rsid w:val="00035726"/>
    <w:rsid w:val="00035C79"/>
    <w:rsid w:val="00035CE4"/>
    <w:rsid w:val="00035EEC"/>
    <w:rsid w:val="000360C9"/>
    <w:rsid w:val="00036376"/>
    <w:rsid w:val="00036BF0"/>
    <w:rsid w:val="00037574"/>
    <w:rsid w:val="00042155"/>
    <w:rsid w:val="00043404"/>
    <w:rsid w:val="00044000"/>
    <w:rsid w:val="00045563"/>
    <w:rsid w:val="00045C46"/>
    <w:rsid w:val="0004656C"/>
    <w:rsid w:val="000468A7"/>
    <w:rsid w:val="00047946"/>
    <w:rsid w:val="00051461"/>
    <w:rsid w:val="000537B4"/>
    <w:rsid w:val="00053AA0"/>
    <w:rsid w:val="00053D7C"/>
    <w:rsid w:val="00053DB7"/>
    <w:rsid w:val="00054419"/>
    <w:rsid w:val="00055FA8"/>
    <w:rsid w:val="00056227"/>
    <w:rsid w:val="000602F5"/>
    <w:rsid w:val="00060A98"/>
    <w:rsid w:val="00060F80"/>
    <w:rsid w:val="000622C2"/>
    <w:rsid w:val="000631D1"/>
    <w:rsid w:val="00065348"/>
    <w:rsid w:val="00066409"/>
    <w:rsid w:val="00066B3B"/>
    <w:rsid w:val="000672D0"/>
    <w:rsid w:val="000679BD"/>
    <w:rsid w:val="00070D5F"/>
    <w:rsid w:val="0007121A"/>
    <w:rsid w:val="00071336"/>
    <w:rsid w:val="00072563"/>
    <w:rsid w:val="0007299F"/>
    <w:rsid w:val="0007359A"/>
    <w:rsid w:val="00075EA8"/>
    <w:rsid w:val="00076AAD"/>
    <w:rsid w:val="00080531"/>
    <w:rsid w:val="000815AA"/>
    <w:rsid w:val="00081C5A"/>
    <w:rsid w:val="000821CF"/>
    <w:rsid w:val="0008280B"/>
    <w:rsid w:val="000833E8"/>
    <w:rsid w:val="00083672"/>
    <w:rsid w:val="000837D3"/>
    <w:rsid w:val="000844B2"/>
    <w:rsid w:val="00084D79"/>
    <w:rsid w:val="00086FAC"/>
    <w:rsid w:val="000912B4"/>
    <w:rsid w:val="000912EE"/>
    <w:rsid w:val="000914D0"/>
    <w:rsid w:val="000918FE"/>
    <w:rsid w:val="0009210B"/>
    <w:rsid w:val="00092356"/>
    <w:rsid w:val="00092575"/>
    <w:rsid w:val="00096C76"/>
    <w:rsid w:val="00096CCD"/>
    <w:rsid w:val="000971DC"/>
    <w:rsid w:val="000A06D2"/>
    <w:rsid w:val="000A0A2A"/>
    <w:rsid w:val="000A0DC2"/>
    <w:rsid w:val="000A190B"/>
    <w:rsid w:val="000A1AF7"/>
    <w:rsid w:val="000A2571"/>
    <w:rsid w:val="000A4642"/>
    <w:rsid w:val="000A5645"/>
    <w:rsid w:val="000A5BF7"/>
    <w:rsid w:val="000A67A5"/>
    <w:rsid w:val="000B01F0"/>
    <w:rsid w:val="000B11DA"/>
    <w:rsid w:val="000B14E8"/>
    <w:rsid w:val="000B3E21"/>
    <w:rsid w:val="000B53FD"/>
    <w:rsid w:val="000B5E8C"/>
    <w:rsid w:val="000B6B56"/>
    <w:rsid w:val="000C10DD"/>
    <w:rsid w:val="000C184D"/>
    <w:rsid w:val="000C243F"/>
    <w:rsid w:val="000C2825"/>
    <w:rsid w:val="000C3F91"/>
    <w:rsid w:val="000C4BA6"/>
    <w:rsid w:val="000C509F"/>
    <w:rsid w:val="000C5609"/>
    <w:rsid w:val="000D01F9"/>
    <w:rsid w:val="000D04FF"/>
    <w:rsid w:val="000D09C9"/>
    <w:rsid w:val="000D1205"/>
    <w:rsid w:val="000D2AA6"/>
    <w:rsid w:val="000D3529"/>
    <w:rsid w:val="000D52BC"/>
    <w:rsid w:val="000D58CC"/>
    <w:rsid w:val="000D5D75"/>
    <w:rsid w:val="000D7FBC"/>
    <w:rsid w:val="000E0B6D"/>
    <w:rsid w:val="000E10A1"/>
    <w:rsid w:val="000E2368"/>
    <w:rsid w:val="000E3305"/>
    <w:rsid w:val="000E5898"/>
    <w:rsid w:val="000E732F"/>
    <w:rsid w:val="000E7C4C"/>
    <w:rsid w:val="000F0970"/>
    <w:rsid w:val="000F17F5"/>
    <w:rsid w:val="000F2771"/>
    <w:rsid w:val="000F33A7"/>
    <w:rsid w:val="000F35F8"/>
    <w:rsid w:val="000F3F47"/>
    <w:rsid w:val="000F41ED"/>
    <w:rsid w:val="000F4F87"/>
    <w:rsid w:val="000F51E5"/>
    <w:rsid w:val="000F6E2F"/>
    <w:rsid w:val="000F6E75"/>
    <w:rsid w:val="00101A69"/>
    <w:rsid w:val="00101A9F"/>
    <w:rsid w:val="001027A9"/>
    <w:rsid w:val="001034EA"/>
    <w:rsid w:val="001037AA"/>
    <w:rsid w:val="00103F95"/>
    <w:rsid w:val="001040BB"/>
    <w:rsid w:val="00104AC0"/>
    <w:rsid w:val="00104ECC"/>
    <w:rsid w:val="00105768"/>
    <w:rsid w:val="00107285"/>
    <w:rsid w:val="001076F2"/>
    <w:rsid w:val="00107BB5"/>
    <w:rsid w:val="001104C9"/>
    <w:rsid w:val="001106F9"/>
    <w:rsid w:val="0011143A"/>
    <w:rsid w:val="00111AD1"/>
    <w:rsid w:val="001126A7"/>
    <w:rsid w:val="001128A1"/>
    <w:rsid w:val="001157E6"/>
    <w:rsid w:val="00116BCE"/>
    <w:rsid w:val="00117E05"/>
    <w:rsid w:val="00117F54"/>
    <w:rsid w:val="00121EAD"/>
    <w:rsid w:val="0012689D"/>
    <w:rsid w:val="00126DE1"/>
    <w:rsid w:val="00127710"/>
    <w:rsid w:val="00127EDD"/>
    <w:rsid w:val="00130A9A"/>
    <w:rsid w:val="001313C3"/>
    <w:rsid w:val="00131983"/>
    <w:rsid w:val="0013284B"/>
    <w:rsid w:val="0013340A"/>
    <w:rsid w:val="00133A9F"/>
    <w:rsid w:val="00133E69"/>
    <w:rsid w:val="00134BAE"/>
    <w:rsid w:val="00134F6A"/>
    <w:rsid w:val="0013666E"/>
    <w:rsid w:val="001375EB"/>
    <w:rsid w:val="0013773A"/>
    <w:rsid w:val="00137AC7"/>
    <w:rsid w:val="001428E6"/>
    <w:rsid w:val="00143CFF"/>
    <w:rsid w:val="0014719B"/>
    <w:rsid w:val="00151FD9"/>
    <w:rsid w:val="00152A5C"/>
    <w:rsid w:val="00152BCD"/>
    <w:rsid w:val="0015388A"/>
    <w:rsid w:val="0015439F"/>
    <w:rsid w:val="001547C1"/>
    <w:rsid w:val="00154CE1"/>
    <w:rsid w:val="00154FB8"/>
    <w:rsid w:val="00160422"/>
    <w:rsid w:val="00160698"/>
    <w:rsid w:val="00160C63"/>
    <w:rsid w:val="00161D3E"/>
    <w:rsid w:val="00161E92"/>
    <w:rsid w:val="0016200A"/>
    <w:rsid w:val="001633CD"/>
    <w:rsid w:val="00163A58"/>
    <w:rsid w:val="00164672"/>
    <w:rsid w:val="001654AA"/>
    <w:rsid w:val="00170380"/>
    <w:rsid w:val="001718B7"/>
    <w:rsid w:val="00171BFA"/>
    <w:rsid w:val="0017418A"/>
    <w:rsid w:val="00174CB8"/>
    <w:rsid w:val="0017603C"/>
    <w:rsid w:val="001765BF"/>
    <w:rsid w:val="0017665C"/>
    <w:rsid w:val="00176A64"/>
    <w:rsid w:val="001772FC"/>
    <w:rsid w:val="00182C56"/>
    <w:rsid w:val="00183448"/>
    <w:rsid w:val="0018359C"/>
    <w:rsid w:val="00184A89"/>
    <w:rsid w:val="00186738"/>
    <w:rsid w:val="001906B6"/>
    <w:rsid w:val="00190F8D"/>
    <w:rsid w:val="00191C32"/>
    <w:rsid w:val="0019257B"/>
    <w:rsid w:val="00192713"/>
    <w:rsid w:val="0019527D"/>
    <w:rsid w:val="0019555C"/>
    <w:rsid w:val="001A046D"/>
    <w:rsid w:val="001A0BD0"/>
    <w:rsid w:val="001A0E1C"/>
    <w:rsid w:val="001A16C7"/>
    <w:rsid w:val="001A1F7E"/>
    <w:rsid w:val="001A287E"/>
    <w:rsid w:val="001A30A2"/>
    <w:rsid w:val="001A4A7B"/>
    <w:rsid w:val="001A4FD9"/>
    <w:rsid w:val="001A57AC"/>
    <w:rsid w:val="001A7A2F"/>
    <w:rsid w:val="001A7DDB"/>
    <w:rsid w:val="001B0137"/>
    <w:rsid w:val="001B0F45"/>
    <w:rsid w:val="001B110B"/>
    <w:rsid w:val="001B1ACA"/>
    <w:rsid w:val="001B1AF8"/>
    <w:rsid w:val="001B1F62"/>
    <w:rsid w:val="001B26CC"/>
    <w:rsid w:val="001B321D"/>
    <w:rsid w:val="001B3940"/>
    <w:rsid w:val="001B43ED"/>
    <w:rsid w:val="001B43FB"/>
    <w:rsid w:val="001B474F"/>
    <w:rsid w:val="001B4AA9"/>
    <w:rsid w:val="001B4AD4"/>
    <w:rsid w:val="001B4FD1"/>
    <w:rsid w:val="001B52CF"/>
    <w:rsid w:val="001B5C47"/>
    <w:rsid w:val="001B7213"/>
    <w:rsid w:val="001C0DCE"/>
    <w:rsid w:val="001C1CE0"/>
    <w:rsid w:val="001C25EB"/>
    <w:rsid w:val="001C3153"/>
    <w:rsid w:val="001C46D3"/>
    <w:rsid w:val="001C4A9B"/>
    <w:rsid w:val="001C4BBA"/>
    <w:rsid w:val="001C4EB7"/>
    <w:rsid w:val="001C4F7D"/>
    <w:rsid w:val="001C53CB"/>
    <w:rsid w:val="001C5775"/>
    <w:rsid w:val="001C5D1E"/>
    <w:rsid w:val="001C5E8E"/>
    <w:rsid w:val="001C6001"/>
    <w:rsid w:val="001C69DA"/>
    <w:rsid w:val="001C7728"/>
    <w:rsid w:val="001C7F9D"/>
    <w:rsid w:val="001C7FBF"/>
    <w:rsid w:val="001D000D"/>
    <w:rsid w:val="001D0542"/>
    <w:rsid w:val="001D09FE"/>
    <w:rsid w:val="001D108C"/>
    <w:rsid w:val="001D178B"/>
    <w:rsid w:val="001D4C94"/>
    <w:rsid w:val="001D5E30"/>
    <w:rsid w:val="001D633B"/>
    <w:rsid w:val="001D781B"/>
    <w:rsid w:val="001E0171"/>
    <w:rsid w:val="001E05D3"/>
    <w:rsid w:val="001E0F09"/>
    <w:rsid w:val="001E1BA1"/>
    <w:rsid w:val="001E1BBF"/>
    <w:rsid w:val="001E31BC"/>
    <w:rsid w:val="001E4156"/>
    <w:rsid w:val="001E465D"/>
    <w:rsid w:val="001E4B17"/>
    <w:rsid w:val="001E4D7A"/>
    <w:rsid w:val="001F0CD7"/>
    <w:rsid w:val="001F1193"/>
    <w:rsid w:val="001F1C49"/>
    <w:rsid w:val="001F1C9E"/>
    <w:rsid w:val="001F4058"/>
    <w:rsid w:val="001F4789"/>
    <w:rsid w:val="001F4DC5"/>
    <w:rsid w:val="001F59D1"/>
    <w:rsid w:val="001F769E"/>
    <w:rsid w:val="002007EF"/>
    <w:rsid w:val="002010F7"/>
    <w:rsid w:val="00201A4C"/>
    <w:rsid w:val="00203B56"/>
    <w:rsid w:val="00203E4C"/>
    <w:rsid w:val="002050FB"/>
    <w:rsid w:val="00205253"/>
    <w:rsid w:val="0020582F"/>
    <w:rsid w:val="00205A98"/>
    <w:rsid w:val="0020617A"/>
    <w:rsid w:val="0020680F"/>
    <w:rsid w:val="00207765"/>
    <w:rsid w:val="00207E87"/>
    <w:rsid w:val="00211044"/>
    <w:rsid w:val="0021160A"/>
    <w:rsid w:val="00211C15"/>
    <w:rsid w:val="0021248C"/>
    <w:rsid w:val="00212530"/>
    <w:rsid w:val="002125EA"/>
    <w:rsid w:val="00214A20"/>
    <w:rsid w:val="00214E78"/>
    <w:rsid w:val="00215EBC"/>
    <w:rsid w:val="0022079E"/>
    <w:rsid w:val="002209B3"/>
    <w:rsid w:val="00223BAA"/>
    <w:rsid w:val="00224991"/>
    <w:rsid w:val="00224D5A"/>
    <w:rsid w:val="00224F29"/>
    <w:rsid w:val="00225886"/>
    <w:rsid w:val="00226764"/>
    <w:rsid w:val="00226DB5"/>
    <w:rsid w:val="00227403"/>
    <w:rsid w:val="002277EA"/>
    <w:rsid w:val="0023027E"/>
    <w:rsid w:val="0023122E"/>
    <w:rsid w:val="0023164A"/>
    <w:rsid w:val="002326F2"/>
    <w:rsid w:val="002336CA"/>
    <w:rsid w:val="0023383D"/>
    <w:rsid w:val="00233F30"/>
    <w:rsid w:val="00234515"/>
    <w:rsid w:val="00234712"/>
    <w:rsid w:val="00235354"/>
    <w:rsid w:val="002363AE"/>
    <w:rsid w:val="0023780C"/>
    <w:rsid w:val="00237EBD"/>
    <w:rsid w:val="00242453"/>
    <w:rsid w:val="00245A57"/>
    <w:rsid w:val="00246EDA"/>
    <w:rsid w:val="002474DE"/>
    <w:rsid w:val="00247B69"/>
    <w:rsid w:val="002520CF"/>
    <w:rsid w:val="002530FC"/>
    <w:rsid w:val="002535E1"/>
    <w:rsid w:val="00253E37"/>
    <w:rsid w:val="002565C5"/>
    <w:rsid w:val="00260231"/>
    <w:rsid w:val="00260CB5"/>
    <w:rsid w:val="00261171"/>
    <w:rsid w:val="002611D4"/>
    <w:rsid w:val="0026166E"/>
    <w:rsid w:val="00261DCA"/>
    <w:rsid w:val="00261E37"/>
    <w:rsid w:val="00262845"/>
    <w:rsid w:val="00263321"/>
    <w:rsid w:val="00264FCD"/>
    <w:rsid w:val="00265234"/>
    <w:rsid w:val="002671F0"/>
    <w:rsid w:val="002705AC"/>
    <w:rsid w:val="00270633"/>
    <w:rsid w:val="00273B09"/>
    <w:rsid w:val="00274154"/>
    <w:rsid w:val="002742D1"/>
    <w:rsid w:val="00274684"/>
    <w:rsid w:val="0027586D"/>
    <w:rsid w:val="00275E25"/>
    <w:rsid w:val="00276891"/>
    <w:rsid w:val="002773E1"/>
    <w:rsid w:val="00280C41"/>
    <w:rsid w:val="00281633"/>
    <w:rsid w:val="0028278C"/>
    <w:rsid w:val="002834D6"/>
    <w:rsid w:val="00283A85"/>
    <w:rsid w:val="00286E5E"/>
    <w:rsid w:val="00291B89"/>
    <w:rsid w:val="00292523"/>
    <w:rsid w:val="0029271C"/>
    <w:rsid w:val="00292BFD"/>
    <w:rsid w:val="00293996"/>
    <w:rsid w:val="002949F9"/>
    <w:rsid w:val="00295902"/>
    <w:rsid w:val="00295D8E"/>
    <w:rsid w:val="0029647C"/>
    <w:rsid w:val="00297C80"/>
    <w:rsid w:val="002A1550"/>
    <w:rsid w:val="002A18BE"/>
    <w:rsid w:val="002A23CC"/>
    <w:rsid w:val="002A3D8A"/>
    <w:rsid w:val="002A4684"/>
    <w:rsid w:val="002A4951"/>
    <w:rsid w:val="002A52C1"/>
    <w:rsid w:val="002A54F1"/>
    <w:rsid w:val="002A6176"/>
    <w:rsid w:val="002B0430"/>
    <w:rsid w:val="002B2703"/>
    <w:rsid w:val="002B29B6"/>
    <w:rsid w:val="002B4D6D"/>
    <w:rsid w:val="002B51DF"/>
    <w:rsid w:val="002B5337"/>
    <w:rsid w:val="002B7CC7"/>
    <w:rsid w:val="002B7D1C"/>
    <w:rsid w:val="002C06C2"/>
    <w:rsid w:val="002C294F"/>
    <w:rsid w:val="002C3E1D"/>
    <w:rsid w:val="002C49A8"/>
    <w:rsid w:val="002C4F30"/>
    <w:rsid w:val="002C5644"/>
    <w:rsid w:val="002C5799"/>
    <w:rsid w:val="002C57C9"/>
    <w:rsid w:val="002C730B"/>
    <w:rsid w:val="002D089E"/>
    <w:rsid w:val="002D1A84"/>
    <w:rsid w:val="002D1B3B"/>
    <w:rsid w:val="002D2E1D"/>
    <w:rsid w:val="002D434E"/>
    <w:rsid w:val="002D4783"/>
    <w:rsid w:val="002D69BE"/>
    <w:rsid w:val="002D6CFB"/>
    <w:rsid w:val="002D6E22"/>
    <w:rsid w:val="002D71A4"/>
    <w:rsid w:val="002D75FC"/>
    <w:rsid w:val="002D7731"/>
    <w:rsid w:val="002D7CF6"/>
    <w:rsid w:val="002E10FD"/>
    <w:rsid w:val="002E19DC"/>
    <w:rsid w:val="002E2E45"/>
    <w:rsid w:val="002E4C3A"/>
    <w:rsid w:val="002E611E"/>
    <w:rsid w:val="002E6A72"/>
    <w:rsid w:val="002E6D35"/>
    <w:rsid w:val="002F1390"/>
    <w:rsid w:val="002F15A6"/>
    <w:rsid w:val="002F1BFD"/>
    <w:rsid w:val="002F2A7D"/>
    <w:rsid w:val="002F3C0E"/>
    <w:rsid w:val="002F3DA9"/>
    <w:rsid w:val="002F4F14"/>
    <w:rsid w:val="002F55FB"/>
    <w:rsid w:val="002F6455"/>
    <w:rsid w:val="002F7057"/>
    <w:rsid w:val="00301379"/>
    <w:rsid w:val="00301E53"/>
    <w:rsid w:val="00303ADF"/>
    <w:rsid w:val="0030428E"/>
    <w:rsid w:val="00304C0B"/>
    <w:rsid w:val="003070BB"/>
    <w:rsid w:val="00307176"/>
    <w:rsid w:val="00307BCD"/>
    <w:rsid w:val="00310AFA"/>
    <w:rsid w:val="00311276"/>
    <w:rsid w:val="00311A18"/>
    <w:rsid w:val="00311EFD"/>
    <w:rsid w:val="00312314"/>
    <w:rsid w:val="00314BAF"/>
    <w:rsid w:val="0031642B"/>
    <w:rsid w:val="00316528"/>
    <w:rsid w:val="00316C64"/>
    <w:rsid w:val="003200C3"/>
    <w:rsid w:val="0032052E"/>
    <w:rsid w:val="003207C4"/>
    <w:rsid w:val="00320D6A"/>
    <w:rsid w:val="00321657"/>
    <w:rsid w:val="00321CB9"/>
    <w:rsid w:val="00322F50"/>
    <w:rsid w:val="0032596C"/>
    <w:rsid w:val="003261D7"/>
    <w:rsid w:val="00330376"/>
    <w:rsid w:val="00330B49"/>
    <w:rsid w:val="00332960"/>
    <w:rsid w:val="0033346E"/>
    <w:rsid w:val="00333EFA"/>
    <w:rsid w:val="003342D0"/>
    <w:rsid w:val="0033498F"/>
    <w:rsid w:val="00334BF8"/>
    <w:rsid w:val="00340057"/>
    <w:rsid w:val="00341A87"/>
    <w:rsid w:val="003424BB"/>
    <w:rsid w:val="0034259D"/>
    <w:rsid w:val="00343F0B"/>
    <w:rsid w:val="00344803"/>
    <w:rsid w:val="00344F5A"/>
    <w:rsid w:val="00344FCD"/>
    <w:rsid w:val="00345A91"/>
    <w:rsid w:val="00346E2A"/>
    <w:rsid w:val="003475D2"/>
    <w:rsid w:val="00350674"/>
    <w:rsid w:val="00351B10"/>
    <w:rsid w:val="00351CDE"/>
    <w:rsid w:val="00352377"/>
    <w:rsid w:val="00353151"/>
    <w:rsid w:val="00353A1C"/>
    <w:rsid w:val="00360462"/>
    <w:rsid w:val="0036110C"/>
    <w:rsid w:val="003615A7"/>
    <w:rsid w:val="00362010"/>
    <w:rsid w:val="00364621"/>
    <w:rsid w:val="00364844"/>
    <w:rsid w:val="00365053"/>
    <w:rsid w:val="003652BF"/>
    <w:rsid w:val="00365314"/>
    <w:rsid w:val="00365E14"/>
    <w:rsid w:val="00366C68"/>
    <w:rsid w:val="00371D48"/>
    <w:rsid w:val="0037201C"/>
    <w:rsid w:val="003724DD"/>
    <w:rsid w:val="00372DE0"/>
    <w:rsid w:val="00373DE7"/>
    <w:rsid w:val="0037466F"/>
    <w:rsid w:val="00375DBD"/>
    <w:rsid w:val="003806ED"/>
    <w:rsid w:val="00380929"/>
    <w:rsid w:val="00380BFD"/>
    <w:rsid w:val="0038137D"/>
    <w:rsid w:val="0038137E"/>
    <w:rsid w:val="00382C1F"/>
    <w:rsid w:val="0038323F"/>
    <w:rsid w:val="00383895"/>
    <w:rsid w:val="003851D4"/>
    <w:rsid w:val="003863B5"/>
    <w:rsid w:val="00386EBA"/>
    <w:rsid w:val="00386F08"/>
    <w:rsid w:val="00387BCA"/>
    <w:rsid w:val="00390955"/>
    <w:rsid w:val="00390E92"/>
    <w:rsid w:val="00391D47"/>
    <w:rsid w:val="0039303C"/>
    <w:rsid w:val="00393898"/>
    <w:rsid w:val="0039469E"/>
    <w:rsid w:val="003947CA"/>
    <w:rsid w:val="00394C89"/>
    <w:rsid w:val="003950E5"/>
    <w:rsid w:val="00396449"/>
    <w:rsid w:val="00396962"/>
    <w:rsid w:val="003976B5"/>
    <w:rsid w:val="0039779A"/>
    <w:rsid w:val="003977EB"/>
    <w:rsid w:val="00397C02"/>
    <w:rsid w:val="003A004B"/>
    <w:rsid w:val="003A02B3"/>
    <w:rsid w:val="003A097A"/>
    <w:rsid w:val="003A0A95"/>
    <w:rsid w:val="003A197E"/>
    <w:rsid w:val="003A1CDC"/>
    <w:rsid w:val="003A2D09"/>
    <w:rsid w:val="003A413C"/>
    <w:rsid w:val="003A4E88"/>
    <w:rsid w:val="003A5059"/>
    <w:rsid w:val="003A649C"/>
    <w:rsid w:val="003A6D58"/>
    <w:rsid w:val="003A7EEE"/>
    <w:rsid w:val="003B0291"/>
    <w:rsid w:val="003B25C0"/>
    <w:rsid w:val="003B2700"/>
    <w:rsid w:val="003B2E97"/>
    <w:rsid w:val="003B382A"/>
    <w:rsid w:val="003B6FF2"/>
    <w:rsid w:val="003B717A"/>
    <w:rsid w:val="003B7B4C"/>
    <w:rsid w:val="003B7DF6"/>
    <w:rsid w:val="003C1563"/>
    <w:rsid w:val="003C2733"/>
    <w:rsid w:val="003C42C3"/>
    <w:rsid w:val="003C62AC"/>
    <w:rsid w:val="003C6901"/>
    <w:rsid w:val="003C6F98"/>
    <w:rsid w:val="003C7735"/>
    <w:rsid w:val="003D084A"/>
    <w:rsid w:val="003D0D53"/>
    <w:rsid w:val="003D0F2D"/>
    <w:rsid w:val="003D367B"/>
    <w:rsid w:val="003D4A5F"/>
    <w:rsid w:val="003D4E6C"/>
    <w:rsid w:val="003E1530"/>
    <w:rsid w:val="003E3311"/>
    <w:rsid w:val="003E3ECF"/>
    <w:rsid w:val="003E4215"/>
    <w:rsid w:val="003E475B"/>
    <w:rsid w:val="003E493E"/>
    <w:rsid w:val="003E4976"/>
    <w:rsid w:val="003E4AC1"/>
    <w:rsid w:val="003E578C"/>
    <w:rsid w:val="003E7D0A"/>
    <w:rsid w:val="003F02A5"/>
    <w:rsid w:val="003F03EA"/>
    <w:rsid w:val="003F0BAF"/>
    <w:rsid w:val="003F1888"/>
    <w:rsid w:val="003F256B"/>
    <w:rsid w:val="003F2D86"/>
    <w:rsid w:val="003F46DB"/>
    <w:rsid w:val="003F5908"/>
    <w:rsid w:val="003F5DBA"/>
    <w:rsid w:val="003F7DA4"/>
    <w:rsid w:val="003F7E54"/>
    <w:rsid w:val="00401ADC"/>
    <w:rsid w:val="00402D57"/>
    <w:rsid w:val="00403722"/>
    <w:rsid w:val="004076FC"/>
    <w:rsid w:val="004104F3"/>
    <w:rsid w:val="0041056D"/>
    <w:rsid w:val="00411A05"/>
    <w:rsid w:val="00413674"/>
    <w:rsid w:val="00413C9B"/>
    <w:rsid w:val="00415863"/>
    <w:rsid w:val="00415A0A"/>
    <w:rsid w:val="004200B1"/>
    <w:rsid w:val="0042174B"/>
    <w:rsid w:val="00421B7C"/>
    <w:rsid w:val="0042228A"/>
    <w:rsid w:val="004244D5"/>
    <w:rsid w:val="004253EF"/>
    <w:rsid w:val="004265FA"/>
    <w:rsid w:val="00431129"/>
    <w:rsid w:val="004317FF"/>
    <w:rsid w:val="00431EF7"/>
    <w:rsid w:val="004323EA"/>
    <w:rsid w:val="00432EA4"/>
    <w:rsid w:val="00432EFC"/>
    <w:rsid w:val="0043374C"/>
    <w:rsid w:val="004339A2"/>
    <w:rsid w:val="004346AB"/>
    <w:rsid w:val="004346EE"/>
    <w:rsid w:val="00434C2B"/>
    <w:rsid w:val="004368AC"/>
    <w:rsid w:val="004412B2"/>
    <w:rsid w:val="0044213E"/>
    <w:rsid w:val="004423C7"/>
    <w:rsid w:val="004430B4"/>
    <w:rsid w:val="00444D1A"/>
    <w:rsid w:val="004454DC"/>
    <w:rsid w:val="004462FC"/>
    <w:rsid w:val="00446F2F"/>
    <w:rsid w:val="00447D3A"/>
    <w:rsid w:val="00450E3E"/>
    <w:rsid w:val="0045113C"/>
    <w:rsid w:val="004517DF"/>
    <w:rsid w:val="00451BC7"/>
    <w:rsid w:val="00451C18"/>
    <w:rsid w:val="004523F6"/>
    <w:rsid w:val="00452654"/>
    <w:rsid w:val="00452C5A"/>
    <w:rsid w:val="004534ED"/>
    <w:rsid w:val="004538D7"/>
    <w:rsid w:val="00454159"/>
    <w:rsid w:val="00454AE1"/>
    <w:rsid w:val="00454BE0"/>
    <w:rsid w:val="00455234"/>
    <w:rsid w:val="00455A57"/>
    <w:rsid w:val="0045793D"/>
    <w:rsid w:val="00460F77"/>
    <w:rsid w:val="0046210C"/>
    <w:rsid w:val="00462DC3"/>
    <w:rsid w:val="00463CBC"/>
    <w:rsid w:val="004661BB"/>
    <w:rsid w:val="00472AD3"/>
    <w:rsid w:val="004756CD"/>
    <w:rsid w:val="004762C6"/>
    <w:rsid w:val="0047703A"/>
    <w:rsid w:val="004816B6"/>
    <w:rsid w:val="00482856"/>
    <w:rsid w:val="00482F40"/>
    <w:rsid w:val="004835F1"/>
    <w:rsid w:val="00483DDD"/>
    <w:rsid w:val="00483F19"/>
    <w:rsid w:val="00485129"/>
    <w:rsid w:val="0048515D"/>
    <w:rsid w:val="004879A3"/>
    <w:rsid w:val="0049097E"/>
    <w:rsid w:val="004910AE"/>
    <w:rsid w:val="00492B38"/>
    <w:rsid w:val="00492FE1"/>
    <w:rsid w:val="00494497"/>
    <w:rsid w:val="00494E52"/>
    <w:rsid w:val="0049785B"/>
    <w:rsid w:val="00497D13"/>
    <w:rsid w:val="004A0477"/>
    <w:rsid w:val="004A16E2"/>
    <w:rsid w:val="004A2158"/>
    <w:rsid w:val="004A2A48"/>
    <w:rsid w:val="004A3B79"/>
    <w:rsid w:val="004A4325"/>
    <w:rsid w:val="004A5097"/>
    <w:rsid w:val="004A6C75"/>
    <w:rsid w:val="004A71A0"/>
    <w:rsid w:val="004A7A30"/>
    <w:rsid w:val="004A7CB3"/>
    <w:rsid w:val="004B08A0"/>
    <w:rsid w:val="004B12A8"/>
    <w:rsid w:val="004B48FC"/>
    <w:rsid w:val="004B5038"/>
    <w:rsid w:val="004B5590"/>
    <w:rsid w:val="004B585A"/>
    <w:rsid w:val="004B6602"/>
    <w:rsid w:val="004B661B"/>
    <w:rsid w:val="004B6E4E"/>
    <w:rsid w:val="004B7FD3"/>
    <w:rsid w:val="004C325C"/>
    <w:rsid w:val="004C4C7C"/>
    <w:rsid w:val="004C4FDB"/>
    <w:rsid w:val="004C53C0"/>
    <w:rsid w:val="004C56B8"/>
    <w:rsid w:val="004C5BFB"/>
    <w:rsid w:val="004C5CEE"/>
    <w:rsid w:val="004C6CBD"/>
    <w:rsid w:val="004D016A"/>
    <w:rsid w:val="004D01DF"/>
    <w:rsid w:val="004D09DC"/>
    <w:rsid w:val="004D1812"/>
    <w:rsid w:val="004D1F4C"/>
    <w:rsid w:val="004D49DC"/>
    <w:rsid w:val="004D4BD8"/>
    <w:rsid w:val="004D5CD1"/>
    <w:rsid w:val="004D6CDF"/>
    <w:rsid w:val="004D6FF0"/>
    <w:rsid w:val="004D74EE"/>
    <w:rsid w:val="004E23B8"/>
    <w:rsid w:val="004E3177"/>
    <w:rsid w:val="004E34E8"/>
    <w:rsid w:val="004E34EF"/>
    <w:rsid w:val="004E4ECD"/>
    <w:rsid w:val="004E698A"/>
    <w:rsid w:val="004E7B1D"/>
    <w:rsid w:val="004E7E9F"/>
    <w:rsid w:val="004F0750"/>
    <w:rsid w:val="004F0B73"/>
    <w:rsid w:val="004F15EC"/>
    <w:rsid w:val="004F1761"/>
    <w:rsid w:val="004F1D37"/>
    <w:rsid w:val="004F29A0"/>
    <w:rsid w:val="004F3092"/>
    <w:rsid w:val="004F3AE1"/>
    <w:rsid w:val="004F3B93"/>
    <w:rsid w:val="004F50D0"/>
    <w:rsid w:val="004F662B"/>
    <w:rsid w:val="004F6EE7"/>
    <w:rsid w:val="004F70F6"/>
    <w:rsid w:val="005002A6"/>
    <w:rsid w:val="0050075F"/>
    <w:rsid w:val="00500974"/>
    <w:rsid w:val="00500DB4"/>
    <w:rsid w:val="00501CDF"/>
    <w:rsid w:val="00502106"/>
    <w:rsid w:val="005026DA"/>
    <w:rsid w:val="0050350A"/>
    <w:rsid w:val="0050415C"/>
    <w:rsid w:val="005047F9"/>
    <w:rsid w:val="005058FD"/>
    <w:rsid w:val="00506307"/>
    <w:rsid w:val="005066FB"/>
    <w:rsid w:val="00506C6B"/>
    <w:rsid w:val="005073E3"/>
    <w:rsid w:val="00507A0B"/>
    <w:rsid w:val="00510C74"/>
    <w:rsid w:val="00510F1A"/>
    <w:rsid w:val="005118B3"/>
    <w:rsid w:val="0051308B"/>
    <w:rsid w:val="00515088"/>
    <w:rsid w:val="005168DE"/>
    <w:rsid w:val="00520221"/>
    <w:rsid w:val="00520229"/>
    <w:rsid w:val="00520EA8"/>
    <w:rsid w:val="0052198D"/>
    <w:rsid w:val="00521E13"/>
    <w:rsid w:val="00521E39"/>
    <w:rsid w:val="005226D5"/>
    <w:rsid w:val="0052301F"/>
    <w:rsid w:val="005233F8"/>
    <w:rsid w:val="00525383"/>
    <w:rsid w:val="00526851"/>
    <w:rsid w:val="00526D69"/>
    <w:rsid w:val="005307C3"/>
    <w:rsid w:val="005347E9"/>
    <w:rsid w:val="00534CB3"/>
    <w:rsid w:val="00535A74"/>
    <w:rsid w:val="00536023"/>
    <w:rsid w:val="005367C5"/>
    <w:rsid w:val="005367C7"/>
    <w:rsid w:val="0053700F"/>
    <w:rsid w:val="005410AC"/>
    <w:rsid w:val="0054166C"/>
    <w:rsid w:val="0054286B"/>
    <w:rsid w:val="0054364C"/>
    <w:rsid w:val="00543EC2"/>
    <w:rsid w:val="005440F4"/>
    <w:rsid w:val="005442F6"/>
    <w:rsid w:val="00545425"/>
    <w:rsid w:val="005458AA"/>
    <w:rsid w:val="00546445"/>
    <w:rsid w:val="005470CD"/>
    <w:rsid w:val="00547638"/>
    <w:rsid w:val="00547781"/>
    <w:rsid w:val="0055163C"/>
    <w:rsid w:val="00551983"/>
    <w:rsid w:val="00551E54"/>
    <w:rsid w:val="005520EA"/>
    <w:rsid w:val="005542E0"/>
    <w:rsid w:val="005545BE"/>
    <w:rsid w:val="00555229"/>
    <w:rsid w:val="00555A07"/>
    <w:rsid w:val="00555F30"/>
    <w:rsid w:val="00556D41"/>
    <w:rsid w:val="00557460"/>
    <w:rsid w:val="00557BD7"/>
    <w:rsid w:val="00557CEE"/>
    <w:rsid w:val="005600F5"/>
    <w:rsid w:val="00561087"/>
    <w:rsid w:val="00562DAF"/>
    <w:rsid w:val="00564026"/>
    <w:rsid w:val="00564298"/>
    <w:rsid w:val="005649C0"/>
    <w:rsid w:val="00564E7A"/>
    <w:rsid w:val="0056689C"/>
    <w:rsid w:val="00570725"/>
    <w:rsid w:val="00570746"/>
    <w:rsid w:val="0057092C"/>
    <w:rsid w:val="00570A6F"/>
    <w:rsid w:val="005715D5"/>
    <w:rsid w:val="00571E3D"/>
    <w:rsid w:val="005723A8"/>
    <w:rsid w:val="005727C8"/>
    <w:rsid w:val="00572FE0"/>
    <w:rsid w:val="00575BF2"/>
    <w:rsid w:val="00576117"/>
    <w:rsid w:val="00577BAA"/>
    <w:rsid w:val="00577C57"/>
    <w:rsid w:val="005801BB"/>
    <w:rsid w:val="00582708"/>
    <w:rsid w:val="00582B94"/>
    <w:rsid w:val="00583056"/>
    <w:rsid w:val="005836BE"/>
    <w:rsid w:val="0058423B"/>
    <w:rsid w:val="00584545"/>
    <w:rsid w:val="00584787"/>
    <w:rsid w:val="005868F9"/>
    <w:rsid w:val="00586E8F"/>
    <w:rsid w:val="00587B01"/>
    <w:rsid w:val="00592254"/>
    <w:rsid w:val="00593928"/>
    <w:rsid w:val="005943D2"/>
    <w:rsid w:val="00594542"/>
    <w:rsid w:val="00594B4E"/>
    <w:rsid w:val="00594F2F"/>
    <w:rsid w:val="00595BF3"/>
    <w:rsid w:val="0059736F"/>
    <w:rsid w:val="005A01FB"/>
    <w:rsid w:val="005A1495"/>
    <w:rsid w:val="005A19D6"/>
    <w:rsid w:val="005A2250"/>
    <w:rsid w:val="005A23EF"/>
    <w:rsid w:val="005A273C"/>
    <w:rsid w:val="005A27E3"/>
    <w:rsid w:val="005A36F9"/>
    <w:rsid w:val="005A3EC8"/>
    <w:rsid w:val="005A41A6"/>
    <w:rsid w:val="005A43C9"/>
    <w:rsid w:val="005A58E1"/>
    <w:rsid w:val="005A599F"/>
    <w:rsid w:val="005A69F8"/>
    <w:rsid w:val="005A6C1B"/>
    <w:rsid w:val="005A717E"/>
    <w:rsid w:val="005B136F"/>
    <w:rsid w:val="005B1CF8"/>
    <w:rsid w:val="005B2FBB"/>
    <w:rsid w:val="005B3236"/>
    <w:rsid w:val="005B4509"/>
    <w:rsid w:val="005B461D"/>
    <w:rsid w:val="005B5D4E"/>
    <w:rsid w:val="005B6A31"/>
    <w:rsid w:val="005B7B54"/>
    <w:rsid w:val="005B7D23"/>
    <w:rsid w:val="005C05C1"/>
    <w:rsid w:val="005C2318"/>
    <w:rsid w:val="005C2519"/>
    <w:rsid w:val="005C2A4D"/>
    <w:rsid w:val="005C5322"/>
    <w:rsid w:val="005C7294"/>
    <w:rsid w:val="005D13C1"/>
    <w:rsid w:val="005D175F"/>
    <w:rsid w:val="005D227E"/>
    <w:rsid w:val="005D3200"/>
    <w:rsid w:val="005D32D7"/>
    <w:rsid w:val="005D3CA7"/>
    <w:rsid w:val="005D5170"/>
    <w:rsid w:val="005D6629"/>
    <w:rsid w:val="005D6B12"/>
    <w:rsid w:val="005D7CFF"/>
    <w:rsid w:val="005E59CC"/>
    <w:rsid w:val="005E653E"/>
    <w:rsid w:val="005F2175"/>
    <w:rsid w:val="005F23D9"/>
    <w:rsid w:val="005F5C51"/>
    <w:rsid w:val="005F6567"/>
    <w:rsid w:val="005F6EA7"/>
    <w:rsid w:val="005F719E"/>
    <w:rsid w:val="005F7F3E"/>
    <w:rsid w:val="006016D7"/>
    <w:rsid w:val="00602B22"/>
    <w:rsid w:val="00602E09"/>
    <w:rsid w:val="0060304D"/>
    <w:rsid w:val="00604C5B"/>
    <w:rsid w:val="00605C63"/>
    <w:rsid w:val="00607D8E"/>
    <w:rsid w:val="00610775"/>
    <w:rsid w:val="00612B17"/>
    <w:rsid w:val="00612BEC"/>
    <w:rsid w:val="00614DB5"/>
    <w:rsid w:val="0061527A"/>
    <w:rsid w:val="00615477"/>
    <w:rsid w:val="006154B8"/>
    <w:rsid w:val="00615550"/>
    <w:rsid w:val="00615738"/>
    <w:rsid w:val="0061759C"/>
    <w:rsid w:val="00620EF1"/>
    <w:rsid w:val="00623967"/>
    <w:rsid w:val="006249BF"/>
    <w:rsid w:val="006262FF"/>
    <w:rsid w:val="0062661D"/>
    <w:rsid w:val="00626B8D"/>
    <w:rsid w:val="00627895"/>
    <w:rsid w:val="0063126D"/>
    <w:rsid w:val="00631DBF"/>
    <w:rsid w:val="0063267A"/>
    <w:rsid w:val="00634B98"/>
    <w:rsid w:val="00635590"/>
    <w:rsid w:val="006358DA"/>
    <w:rsid w:val="006368E3"/>
    <w:rsid w:val="00636B56"/>
    <w:rsid w:val="0064182F"/>
    <w:rsid w:val="0064388B"/>
    <w:rsid w:val="00643B89"/>
    <w:rsid w:val="00643D31"/>
    <w:rsid w:val="0064421E"/>
    <w:rsid w:val="00645589"/>
    <w:rsid w:val="00645C8A"/>
    <w:rsid w:val="006466D3"/>
    <w:rsid w:val="00646826"/>
    <w:rsid w:val="00646992"/>
    <w:rsid w:val="006469EB"/>
    <w:rsid w:val="006471E3"/>
    <w:rsid w:val="00651C6A"/>
    <w:rsid w:val="0065336C"/>
    <w:rsid w:val="00655C13"/>
    <w:rsid w:val="0065657C"/>
    <w:rsid w:val="00656F9E"/>
    <w:rsid w:val="0066173E"/>
    <w:rsid w:val="00661E23"/>
    <w:rsid w:val="00662EE4"/>
    <w:rsid w:val="006638B9"/>
    <w:rsid w:val="00664B74"/>
    <w:rsid w:val="00664C33"/>
    <w:rsid w:val="00665484"/>
    <w:rsid w:val="00666A41"/>
    <w:rsid w:val="00666D4C"/>
    <w:rsid w:val="00667575"/>
    <w:rsid w:val="00667FB3"/>
    <w:rsid w:val="00671624"/>
    <w:rsid w:val="00671727"/>
    <w:rsid w:val="00672D3F"/>
    <w:rsid w:val="006732AF"/>
    <w:rsid w:val="006746E4"/>
    <w:rsid w:val="00674C8A"/>
    <w:rsid w:val="00675D37"/>
    <w:rsid w:val="0067610C"/>
    <w:rsid w:val="006761A8"/>
    <w:rsid w:val="00676476"/>
    <w:rsid w:val="0067767E"/>
    <w:rsid w:val="00677F7A"/>
    <w:rsid w:val="006809CD"/>
    <w:rsid w:val="0068172E"/>
    <w:rsid w:val="00683E7E"/>
    <w:rsid w:val="00684E51"/>
    <w:rsid w:val="00684F2E"/>
    <w:rsid w:val="00685414"/>
    <w:rsid w:val="0068673E"/>
    <w:rsid w:val="00687307"/>
    <w:rsid w:val="0069003F"/>
    <w:rsid w:val="00690C0E"/>
    <w:rsid w:val="00691356"/>
    <w:rsid w:val="00693EB0"/>
    <w:rsid w:val="00694167"/>
    <w:rsid w:val="00694BEB"/>
    <w:rsid w:val="00697460"/>
    <w:rsid w:val="006A10BB"/>
    <w:rsid w:val="006A269F"/>
    <w:rsid w:val="006A33A8"/>
    <w:rsid w:val="006A3901"/>
    <w:rsid w:val="006A40CD"/>
    <w:rsid w:val="006A52C9"/>
    <w:rsid w:val="006A58B5"/>
    <w:rsid w:val="006A61E7"/>
    <w:rsid w:val="006A62EB"/>
    <w:rsid w:val="006A681D"/>
    <w:rsid w:val="006B199E"/>
    <w:rsid w:val="006B19C5"/>
    <w:rsid w:val="006B2956"/>
    <w:rsid w:val="006B3022"/>
    <w:rsid w:val="006B43C9"/>
    <w:rsid w:val="006B44A1"/>
    <w:rsid w:val="006B4C22"/>
    <w:rsid w:val="006B58FE"/>
    <w:rsid w:val="006B6501"/>
    <w:rsid w:val="006B6518"/>
    <w:rsid w:val="006B7049"/>
    <w:rsid w:val="006C0559"/>
    <w:rsid w:val="006C0A2E"/>
    <w:rsid w:val="006C21A9"/>
    <w:rsid w:val="006C22C9"/>
    <w:rsid w:val="006C25AE"/>
    <w:rsid w:val="006C3686"/>
    <w:rsid w:val="006C42AF"/>
    <w:rsid w:val="006C45E4"/>
    <w:rsid w:val="006C5308"/>
    <w:rsid w:val="006C54CE"/>
    <w:rsid w:val="006C65D5"/>
    <w:rsid w:val="006C7012"/>
    <w:rsid w:val="006C71F5"/>
    <w:rsid w:val="006C73F6"/>
    <w:rsid w:val="006D0AB7"/>
    <w:rsid w:val="006D0B05"/>
    <w:rsid w:val="006D1C0A"/>
    <w:rsid w:val="006D2982"/>
    <w:rsid w:val="006D3DAD"/>
    <w:rsid w:val="006D47C9"/>
    <w:rsid w:val="006D4A30"/>
    <w:rsid w:val="006D595A"/>
    <w:rsid w:val="006D5F33"/>
    <w:rsid w:val="006D61E8"/>
    <w:rsid w:val="006D66A9"/>
    <w:rsid w:val="006D673C"/>
    <w:rsid w:val="006D6A8D"/>
    <w:rsid w:val="006D6F55"/>
    <w:rsid w:val="006E0122"/>
    <w:rsid w:val="006E086A"/>
    <w:rsid w:val="006E0F28"/>
    <w:rsid w:val="006E1B23"/>
    <w:rsid w:val="006E21A2"/>
    <w:rsid w:val="006E2512"/>
    <w:rsid w:val="006E37D7"/>
    <w:rsid w:val="006E43EE"/>
    <w:rsid w:val="006E5230"/>
    <w:rsid w:val="006E5502"/>
    <w:rsid w:val="006E5CE1"/>
    <w:rsid w:val="006E7325"/>
    <w:rsid w:val="006E7BB0"/>
    <w:rsid w:val="006F002D"/>
    <w:rsid w:val="006F32EE"/>
    <w:rsid w:val="006F34ED"/>
    <w:rsid w:val="006F3909"/>
    <w:rsid w:val="006F3EDA"/>
    <w:rsid w:val="006F4419"/>
    <w:rsid w:val="006F45AF"/>
    <w:rsid w:val="006F631E"/>
    <w:rsid w:val="006F6CA4"/>
    <w:rsid w:val="006F6DDD"/>
    <w:rsid w:val="006F70E6"/>
    <w:rsid w:val="00700385"/>
    <w:rsid w:val="007021E0"/>
    <w:rsid w:val="00703116"/>
    <w:rsid w:val="00703381"/>
    <w:rsid w:val="0070375D"/>
    <w:rsid w:val="00703F94"/>
    <w:rsid w:val="00704F05"/>
    <w:rsid w:val="00705805"/>
    <w:rsid w:val="00705BCE"/>
    <w:rsid w:val="007063BE"/>
    <w:rsid w:val="00710735"/>
    <w:rsid w:val="00710BE9"/>
    <w:rsid w:val="0071109F"/>
    <w:rsid w:val="00711BF8"/>
    <w:rsid w:val="0071374C"/>
    <w:rsid w:val="00713EC4"/>
    <w:rsid w:val="00714A1F"/>
    <w:rsid w:val="00714F3F"/>
    <w:rsid w:val="0071503C"/>
    <w:rsid w:val="00715F43"/>
    <w:rsid w:val="00715F7C"/>
    <w:rsid w:val="0071768D"/>
    <w:rsid w:val="007208F9"/>
    <w:rsid w:val="00720EC1"/>
    <w:rsid w:val="00721B41"/>
    <w:rsid w:val="007220A2"/>
    <w:rsid w:val="00723E19"/>
    <w:rsid w:val="0072489B"/>
    <w:rsid w:val="00727439"/>
    <w:rsid w:val="007334C8"/>
    <w:rsid w:val="0073636D"/>
    <w:rsid w:val="00737493"/>
    <w:rsid w:val="00737681"/>
    <w:rsid w:val="007401A0"/>
    <w:rsid w:val="0074155A"/>
    <w:rsid w:val="0074179F"/>
    <w:rsid w:val="00741F69"/>
    <w:rsid w:val="0074677D"/>
    <w:rsid w:val="00746AE8"/>
    <w:rsid w:val="00750468"/>
    <w:rsid w:val="00751163"/>
    <w:rsid w:val="00753323"/>
    <w:rsid w:val="00753327"/>
    <w:rsid w:val="0075391D"/>
    <w:rsid w:val="00755102"/>
    <w:rsid w:val="00755854"/>
    <w:rsid w:val="007575DA"/>
    <w:rsid w:val="00761929"/>
    <w:rsid w:val="00762730"/>
    <w:rsid w:val="00762764"/>
    <w:rsid w:val="0076339A"/>
    <w:rsid w:val="00765074"/>
    <w:rsid w:val="007653BC"/>
    <w:rsid w:val="00765BA8"/>
    <w:rsid w:val="00767842"/>
    <w:rsid w:val="00772E50"/>
    <w:rsid w:val="00773E9B"/>
    <w:rsid w:val="00774FC6"/>
    <w:rsid w:val="00777302"/>
    <w:rsid w:val="0078070A"/>
    <w:rsid w:val="007807FD"/>
    <w:rsid w:val="0078150B"/>
    <w:rsid w:val="0078164D"/>
    <w:rsid w:val="007819F5"/>
    <w:rsid w:val="00781AB0"/>
    <w:rsid w:val="00781F2B"/>
    <w:rsid w:val="00782133"/>
    <w:rsid w:val="00782C57"/>
    <w:rsid w:val="0078364D"/>
    <w:rsid w:val="007842E4"/>
    <w:rsid w:val="00784900"/>
    <w:rsid w:val="00785675"/>
    <w:rsid w:val="007876C3"/>
    <w:rsid w:val="00790A39"/>
    <w:rsid w:val="00791D06"/>
    <w:rsid w:val="00791E6D"/>
    <w:rsid w:val="00792843"/>
    <w:rsid w:val="00793076"/>
    <w:rsid w:val="00793165"/>
    <w:rsid w:val="00795879"/>
    <w:rsid w:val="00797C3A"/>
    <w:rsid w:val="007A01F0"/>
    <w:rsid w:val="007A257A"/>
    <w:rsid w:val="007A3F30"/>
    <w:rsid w:val="007A550B"/>
    <w:rsid w:val="007A5DB3"/>
    <w:rsid w:val="007A6D50"/>
    <w:rsid w:val="007B178D"/>
    <w:rsid w:val="007B239E"/>
    <w:rsid w:val="007B4C88"/>
    <w:rsid w:val="007B5034"/>
    <w:rsid w:val="007B5085"/>
    <w:rsid w:val="007B5836"/>
    <w:rsid w:val="007B598C"/>
    <w:rsid w:val="007B751E"/>
    <w:rsid w:val="007C2A3F"/>
    <w:rsid w:val="007C42A7"/>
    <w:rsid w:val="007C43A4"/>
    <w:rsid w:val="007C5B3B"/>
    <w:rsid w:val="007C644B"/>
    <w:rsid w:val="007C6D08"/>
    <w:rsid w:val="007C7D09"/>
    <w:rsid w:val="007D1841"/>
    <w:rsid w:val="007D2662"/>
    <w:rsid w:val="007D27D7"/>
    <w:rsid w:val="007D2ED3"/>
    <w:rsid w:val="007D5C26"/>
    <w:rsid w:val="007D619B"/>
    <w:rsid w:val="007D7172"/>
    <w:rsid w:val="007D71AE"/>
    <w:rsid w:val="007D7FA5"/>
    <w:rsid w:val="007E1782"/>
    <w:rsid w:val="007E1B54"/>
    <w:rsid w:val="007E20E6"/>
    <w:rsid w:val="007E2A74"/>
    <w:rsid w:val="007E396E"/>
    <w:rsid w:val="007E3F39"/>
    <w:rsid w:val="007E59AA"/>
    <w:rsid w:val="007E74E0"/>
    <w:rsid w:val="007E7BE1"/>
    <w:rsid w:val="007F371E"/>
    <w:rsid w:val="007F3D6C"/>
    <w:rsid w:val="007F6717"/>
    <w:rsid w:val="007F735C"/>
    <w:rsid w:val="007F7F2F"/>
    <w:rsid w:val="008001F6"/>
    <w:rsid w:val="00800FFE"/>
    <w:rsid w:val="008010DF"/>
    <w:rsid w:val="00801EF2"/>
    <w:rsid w:val="00802166"/>
    <w:rsid w:val="00802EBD"/>
    <w:rsid w:val="0080335E"/>
    <w:rsid w:val="00803CF3"/>
    <w:rsid w:val="00804166"/>
    <w:rsid w:val="00805DF9"/>
    <w:rsid w:val="008067D1"/>
    <w:rsid w:val="0080696A"/>
    <w:rsid w:val="00806BDA"/>
    <w:rsid w:val="00807404"/>
    <w:rsid w:val="00807432"/>
    <w:rsid w:val="00807533"/>
    <w:rsid w:val="00810A46"/>
    <w:rsid w:val="00811F16"/>
    <w:rsid w:val="00812112"/>
    <w:rsid w:val="00812AE4"/>
    <w:rsid w:val="008133FA"/>
    <w:rsid w:val="00817442"/>
    <w:rsid w:val="00817EB6"/>
    <w:rsid w:val="008217CD"/>
    <w:rsid w:val="008219A3"/>
    <w:rsid w:val="0082278B"/>
    <w:rsid w:val="00823C8B"/>
    <w:rsid w:val="00824557"/>
    <w:rsid w:val="008249E7"/>
    <w:rsid w:val="008266FC"/>
    <w:rsid w:val="00826DCA"/>
    <w:rsid w:val="008270BE"/>
    <w:rsid w:val="0082787C"/>
    <w:rsid w:val="00827A93"/>
    <w:rsid w:val="00827C35"/>
    <w:rsid w:val="00831EDD"/>
    <w:rsid w:val="0083451C"/>
    <w:rsid w:val="0083466B"/>
    <w:rsid w:val="00835263"/>
    <w:rsid w:val="00835B17"/>
    <w:rsid w:val="00835C9C"/>
    <w:rsid w:val="00836C9D"/>
    <w:rsid w:val="0083770E"/>
    <w:rsid w:val="008424E3"/>
    <w:rsid w:val="00842710"/>
    <w:rsid w:val="00842952"/>
    <w:rsid w:val="008438D1"/>
    <w:rsid w:val="00843F85"/>
    <w:rsid w:val="0084422B"/>
    <w:rsid w:val="00844706"/>
    <w:rsid w:val="00844EF4"/>
    <w:rsid w:val="00844EFE"/>
    <w:rsid w:val="00845A73"/>
    <w:rsid w:val="00846401"/>
    <w:rsid w:val="0084678A"/>
    <w:rsid w:val="00847531"/>
    <w:rsid w:val="00850EF5"/>
    <w:rsid w:val="008517BF"/>
    <w:rsid w:val="00851B16"/>
    <w:rsid w:val="008528BA"/>
    <w:rsid w:val="00853604"/>
    <w:rsid w:val="00853940"/>
    <w:rsid w:val="00853B3D"/>
    <w:rsid w:val="00854677"/>
    <w:rsid w:val="008549B9"/>
    <w:rsid w:val="00856695"/>
    <w:rsid w:val="00856E0A"/>
    <w:rsid w:val="008571D3"/>
    <w:rsid w:val="0085732E"/>
    <w:rsid w:val="00860306"/>
    <w:rsid w:val="00862F81"/>
    <w:rsid w:val="0086381D"/>
    <w:rsid w:val="0086493D"/>
    <w:rsid w:val="00865F50"/>
    <w:rsid w:val="00867119"/>
    <w:rsid w:val="00871C57"/>
    <w:rsid w:val="008726B3"/>
    <w:rsid w:val="00872EF1"/>
    <w:rsid w:val="00874877"/>
    <w:rsid w:val="00876E50"/>
    <w:rsid w:val="00881459"/>
    <w:rsid w:val="0088263A"/>
    <w:rsid w:val="00883141"/>
    <w:rsid w:val="00884384"/>
    <w:rsid w:val="00884451"/>
    <w:rsid w:val="00885264"/>
    <w:rsid w:val="00886943"/>
    <w:rsid w:val="008878AB"/>
    <w:rsid w:val="00890514"/>
    <w:rsid w:val="008906BE"/>
    <w:rsid w:val="00890E2A"/>
    <w:rsid w:val="008910BB"/>
    <w:rsid w:val="008914B7"/>
    <w:rsid w:val="00893914"/>
    <w:rsid w:val="00894181"/>
    <w:rsid w:val="0089462E"/>
    <w:rsid w:val="00894B56"/>
    <w:rsid w:val="008954C7"/>
    <w:rsid w:val="008955DB"/>
    <w:rsid w:val="00895985"/>
    <w:rsid w:val="00897575"/>
    <w:rsid w:val="0089768A"/>
    <w:rsid w:val="00897C87"/>
    <w:rsid w:val="008A0D9B"/>
    <w:rsid w:val="008A15D0"/>
    <w:rsid w:val="008A2C1E"/>
    <w:rsid w:val="008A32E0"/>
    <w:rsid w:val="008A3AB3"/>
    <w:rsid w:val="008A4022"/>
    <w:rsid w:val="008A58FA"/>
    <w:rsid w:val="008A7923"/>
    <w:rsid w:val="008B06D5"/>
    <w:rsid w:val="008B0BCA"/>
    <w:rsid w:val="008B144F"/>
    <w:rsid w:val="008B15DA"/>
    <w:rsid w:val="008B39CC"/>
    <w:rsid w:val="008B41E5"/>
    <w:rsid w:val="008B4353"/>
    <w:rsid w:val="008B466C"/>
    <w:rsid w:val="008B4D0F"/>
    <w:rsid w:val="008B5ED5"/>
    <w:rsid w:val="008B6767"/>
    <w:rsid w:val="008B6CDD"/>
    <w:rsid w:val="008B7940"/>
    <w:rsid w:val="008B7D62"/>
    <w:rsid w:val="008C0517"/>
    <w:rsid w:val="008C16EF"/>
    <w:rsid w:val="008C1847"/>
    <w:rsid w:val="008C1DF5"/>
    <w:rsid w:val="008C3B98"/>
    <w:rsid w:val="008C43ED"/>
    <w:rsid w:val="008C5598"/>
    <w:rsid w:val="008C5CFB"/>
    <w:rsid w:val="008C62A8"/>
    <w:rsid w:val="008C63F5"/>
    <w:rsid w:val="008C686C"/>
    <w:rsid w:val="008C7FAB"/>
    <w:rsid w:val="008D0565"/>
    <w:rsid w:val="008D0DD4"/>
    <w:rsid w:val="008D3640"/>
    <w:rsid w:val="008D44CB"/>
    <w:rsid w:val="008D4DA0"/>
    <w:rsid w:val="008D5B9D"/>
    <w:rsid w:val="008D6C76"/>
    <w:rsid w:val="008D7282"/>
    <w:rsid w:val="008E005D"/>
    <w:rsid w:val="008E1170"/>
    <w:rsid w:val="008E1A21"/>
    <w:rsid w:val="008E2566"/>
    <w:rsid w:val="008E4B0E"/>
    <w:rsid w:val="008E5361"/>
    <w:rsid w:val="008E5C2A"/>
    <w:rsid w:val="008E6392"/>
    <w:rsid w:val="008E7377"/>
    <w:rsid w:val="008E7D40"/>
    <w:rsid w:val="008F07FF"/>
    <w:rsid w:val="008F22B9"/>
    <w:rsid w:val="008F2C24"/>
    <w:rsid w:val="008F46FE"/>
    <w:rsid w:val="008F4E79"/>
    <w:rsid w:val="008F518D"/>
    <w:rsid w:val="008F59F4"/>
    <w:rsid w:val="008F6656"/>
    <w:rsid w:val="008F6C26"/>
    <w:rsid w:val="008F71F4"/>
    <w:rsid w:val="008F7BBA"/>
    <w:rsid w:val="009029C4"/>
    <w:rsid w:val="009029FB"/>
    <w:rsid w:val="00904177"/>
    <w:rsid w:val="009043C6"/>
    <w:rsid w:val="0090468C"/>
    <w:rsid w:val="0090596D"/>
    <w:rsid w:val="00905B2B"/>
    <w:rsid w:val="00906286"/>
    <w:rsid w:val="00906880"/>
    <w:rsid w:val="009115C1"/>
    <w:rsid w:val="0091312A"/>
    <w:rsid w:val="00913673"/>
    <w:rsid w:val="00914F36"/>
    <w:rsid w:val="009153BF"/>
    <w:rsid w:val="009155FB"/>
    <w:rsid w:val="00915F17"/>
    <w:rsid w:val="009174E2"/>
    <w:rsid w:val="009175B7"/>
    <w:rsid w:val="00921038"/>
    <w:rsid w:val="009216BA"/>
    <w:rsid w:val="00922024"/>
    <w:rsid w:val="00924FC6"/>
    <w:rsid w:val="00925022"/>
    <w:rsid w:val="00925593"/>
    <w:rsid w:val="009258C8"/>
    <w:rsid w:val="0092597C"/>
    <w:rsid w:val="00925AB5"/>
    <w:rsid w:val="00926586"/>
    <w:rsid w:val="0092693C"/>
    <w:rsid w:val="009302EA"/>
    <w:rsid w:val="00930D1F"/>
    <w:rsid w:val="0093173A"/>
    <w:rsid w:val="009343B5"/>
    <w:rsid w:val="00935F3B"/>
    <w:rsid w:val="00936D64"/>
    <w:rsid w:val="009376D8"/>
    <w:rsid w:val="009378C6"/>
    <w:rsid w:val="00940B4F"/>
    <w:rsid w:val="00942473"/>
    <w:rsid w:val="00942E04"/>
    <w:rsid w:val="00943257"/>
    <w:rsid w:val="00943D21"/>
    <w:rsid w:val="00944772"/>
    <w:rsid w:val="0094496A"/>
    <w:rsid w:val="00945339"/>
    <w:rsid w:val="00946B7F"/>
    <w:rsid w:val="00950047"/>
    <w:rsid w:val="009510AD"/>
    <w:rsid w:val="00951DC2"/>
    <w:rsid w:val="00952018"/>
    <w:rsid w:val="0095253E"/>
    <w:rsid w:val="0095255B"/>
    <w:rsid w:val="009531C9"/>
    <w:rsid w:val="00953A40"/>
    <w:rsid w:val="00955A34"/>
    <w:rsid w:val="00960C76"/>
    <w:rsid w:val="009620B3"/>
    <w:rsid w:val="009627BB"/>
    <w:rsid w:val="00962EFA"/>
    <w:rsid w:val="00963796"/>
    <w:rsid w:val="00963EE9"/>
    <w:rsid w:val="0096432F"/>
    <w:rsid w:val="009651F9"/>
    <w:rsid w:val="00966550"/>
    <w:rsid w:val="00970629"/>
    <w:rsid w:val="009724A8"/>
    <w:rsid w:val="009734CC"/>
    <w:rsid w:val="00973B49"/>
    <w:rsid w:val="009751F0"/>
    <w:rsid w:val="00975769"/>
    <w:rsid w:val="00975FFF"/>
    <w:rsid w:val="00976ACC"/>
    <w:rsid w:val="00976DB4"/>
    <w:rsid w:val="00980F01"/>
    <w:rsid w:val="0098296A"/>
    <w:rsid w:val="00982E37"/>
    <w:rsid w:val="00983CC4"/>
    <w:rsid w:val="00985A2C"/>
    <w:rsid w:val="00986FA1"/>
    <w:rsid w:val="0099006A"/>
    <w:rsid w:val="00990679"/>
    <w:rsid w:val="00991AAF"/>
    <w:rsid w:val="00991C53"/>
    <w:rsid w:val="009934A1"/>
    <w:rsid w:val="00994A71"/>
    <w:rsid w:val="00995076"/>
    <w:rsid w:val="00995194"/>
    <w:rsid w:val="0099610F"/>
    <w:rsid w:val="00997541"/>
    <w:rsid w:val="00997791"/>
    <w:rsid w:val="00997830"/>
    <w:rsid w:val="0099797B"/>
    <w:rsid w:val="00997ED0"/>
    <w:rsid w:val="009A0764"/>
    <w:rsid w:val="009A07A0"/>
    <w:rsid w:val="009A185E"/>
    <w:rsid w:val="009A2997"/>
    <w:rsid w:val="009A2DAE"/>
    <w:rsid w:val="009A3E80"/>
    <w:rsid w:val="009A4B82"/>
    <w:rsid w:val="009A69E2"/>
    <w:rsid w:val="009B05AB"/>
    <w:rsid w:val="009B125F"/>
    <w:rsid w:val="009B1DC9"/>
    <w:rsid w:val="009B25C3"/>
    <w:rsid w:val="009B26BE"/>
    <w:rsid w:val="009B379C"/>
    <w:rsid w:val="009B412C"/>
    <w:rsid w:val="009B5033"/>
    <w:rsid w:val="009B5C62"/>
    <w:rsid w:val="009B6812"/>
    <w:rsid w:val="009C12B4"/>
    <w:rsid w:val="009C1DB1"/>
    <w:rsid w:val="009C68FD"/>
    <w:rsid w:val="009C74A4"/>
    <w:rsid w:val="009D0EFD"/>
    <w:rsid w:val="009D0F2F"/>
    <w:rsid w:val="009D146D"/>
    <w:rsid w:val="009D16AF"/>
    <w:rsid w:val="009D18DF"/>
    <w:rsid w:val="009D2D7A"/>
    <w:rsid w:val="009D51E3"/>
    <w:rsid w:val="009D6033"/>
    <w:rsid w:val="009D62C6"/>
    <w:rsid w:val="009D69B2"/>
    <w:rsid w:val="009D6F32"/>
    <w:rsid w:val="009D790E"/>
    <w:rsid w:val="009E0B9E"/>
    <w:rsid w:val="009E43FF"/>
    <w:rsid w:val="009E4E31"/>
    <w:rsid w:val="009E6FA2"/>
    <w:rsid w:val="009F0669"/>
    <w:rsid w:val="009F11F9"/>
    <w:rsid w:val="009F2609"/>
    <w:rsid w:val="009F2624"/>
    <w:rsid w:val="009F30A9"/>
    <w:rsid w:val="009F38E8"/>
    <w:rsid w:val="009F47FD"/>
    <w:rsid w:val="009F4DF8"/>
    <w:rsid w:val="009F5551"/>
    <w:rsid w:val="009F66E6"/>
    <w:rsid w:val="009F721F"/>
    <w:rsid w:val="009F7AE1"/>
    <w:rsid w:val="00A02D61"/>
    <w:rsid w:val="00A0594A"/>
    <w:rsid w:val="00A05F1C"/>
    <w:rsid w:val="00A062D8"/>
    <w:rsid w:val="00A07073"/>
    <w:rsid w:val="00A07A61"/>
    <w:rsid w:val="00A100C2"/>
    <w:rsid w:val="00A1087C"/>
    <w:rsid w:val="00A1243C"/>
    <w:rsid w:val="00A12473"/>
    <w:rsid w:val="00A12874"/>
    <w:rsid w:val="00A139EB"/>
    <w:rsid w:val="00A15466"/>
    <w:rsid w:val="00A15D51"/>
    <w:rsid w:val="00A1684D"/>
    <w:rsid w:val="00A1694A"/>
    <w:rsid w:val="00A16D8B"/>
    <w:rsid w:val="00A174D0"/>
    <w:rsid w:val="00A207B4"/>
    <w:rsid w:val="00A21230"/>
    <w:rsid w:val="00A2183E"/>
    <w:rsid w:val="00A21D98"/>
    <w:rsid w:val="00A24BD5"/>
    <w:rsid w:val="00A24EEB"/>
    <w:rsid w:val="00A24F75"/>
    <w:rsid w:val="00A25B66"/>
    <w:rsid w:val="00A26DC9"/>
    <w:rsid w:val="00A30048"/>
    <w:rsid w:val="00A309D8"/>
    <w:rsid w:val="00A3101F"/>
    <w:rsid w:val="00A32A1A"/>
    <w:rsid w:val="00A33F08"/>
    <w:rsid w:val="00A347C7"/>
    <w:rsid w:val="00A34AE5"/>
    <w:rsid w:val="00A354A2"/>
    <w:rsid w:val="00A35921"/>
    <w:rsid w:val="00A35C93"/>
    <w:rsid w:val="00A3631D"/>
    <w:rsid w:val="00A36AE5"/>
    <w:rsid w:val="00A36C13"/>
    <w:rsid w:val="00A371CF"/>
    <w:rsid w:val="00A423DB"/>
    <w:rsid w:val="00A42E75"/>
    <w:rsid w:val="00A44270"/>
    <w:rsid w:val="00A44872"/>
    <w:rsid w:val="00A44FAA"/>
    <w:rsid w:val="00A45406"/>
    <w:rsid w:val="00A46964"/>
    <w:rsid w:val="00A46E13"/>
    <w:rsid w:val="00A47022"/>
    <w:rsid w:val="00A47343"/>
    <w:rsid w:val="00A476DD"/>
    <w:rsid w:val="00A47F96"/>
    <w:rsid w:val="00A5014F"/>
    <w:rsid w:val="00A50620"/>
    <w:rsid w:val="00A50EA1"/>
    <w:rsid w:val="00A51064"/>
    <w:rsid w:val="00A51BC8"/>
    <w:rsid w:val="00A529EB"/>
    <w:rsid w:val="00A5434F"/>
    <w:rsid w:val="00A55671"/>
    <w:rsid w:val="00A56016"/>
    <w:rsid w:val="00A560C8"/>
    <w:rsid w:val="00A56516"/>
    <w:rsid w:val="00A56D42"/>
    <w:rsid w:val="00A57538"/>
    <w:rsid w:val="00A614CD"/>
    <w:rsid w:val="00A62281"/>
    <w:rsid w:val="00A624C7"/>
    <w:rsid w:val="00A624DE"/>
    <w:rsid w:val="00A6266F"/>
    <w:rsid w:val="00A6304A"/>
    <w:rsid w:val="00A65603"/>
    <w:rsid w:val="00A656C7"/>
    <w:rsid w:val="00A65A01"/>
    <w:rsid w:val="00A670EB"/>
    <w:rsid w:val="00A673BC"/>
    <w:rsid w:val="00A67914"/>
    <w:rsid w:val="00A67D15"/>
    <w:rsid w:val="00A67D26"/>
    <w:rsid w:val="00A70936"/>
    <w:rsid w:val="00A711D3"/>
    <w:rsid w:val="00A72396"/>
    <w:rsid w:val="00A72464"/>
    <w:rsid w:val="00A72ADB"/>
    <w:rsid w:val="00A741D5"/>
    <w:rsid w:val="00A742FC"/>
    <w:rsid w:val="00A7442C"/>
    <w:rsid w:val="00A76EA0"/>
    <w:rsid w:val="00A76ED0"/>
    <w:rsid w:val="00A80092"/>
    <w:rsid w:val="00A802EC"/>
    <w:rsid w:val="00A80AA9"/>
    <w:rsid w:val="00A8119C"/>
    <w:rsid w:val="00A83BCD"/>
    <w:rsid w:val="00A84178"/>
    <w:rsid w:val="00A8472F"/>
    <w:rsid w:val="00A86E74"/>
    <w:rsid w:val="00A8721C"/>
    <w:rsid w:val="00A90507"/>
    <w:rsid w:val="00A9064C"/>
    <w:rsid w:val="00A91226"/>
    <w:rsid w:val="00A9286A"/>
    <w:rsid w:val="00A942AB"/>
    <w:rsid w:val="00A947E3"/>
    <w:rsid w:val="00A94BB5"/>
    <w:rsid w:val="00A956C1"/>
    <w:rsid w:val="00A97B1D"/>
    <w:rsid w:val="00AA2119"/>
    <w:rsid w:val="00AA2538"/>
    <w:rsid w:val="00AA2BC6"/>
    <w:rsid w:val="00AA495C"/>
    <w:rsid w:val="00AA5142"/>
    <w:rsid w:val="00AA5349"/>
    <w:rsid w:val="00AA5501"/>
    <w:rsid w:val="00AA6004"/>
    <w:rsid w:val="00AA7907"/>
    <w:rsid w:val="00AA7B6E"/>
    <w:rsid w:val="00AA7FB2"/>
    <w:rsid w:val="00AB0E93"/>
    <w:rsid w:val="00AB1356"/>
    <w:rsid w:val="00AB141B"/>
    <w:rsid w:val="00AB1734"/>
    <w:rsid w:val="00AB2146"/>
    <w:rsid w:val="00AB35CA"/>
    <w:rsid w:val="00AB36BD"/>
    <w:rsid w:val="00AB3F94"/>
    <w:rsid w:val="00AB4303"/>
    <w:rsid w:val="00AB46AA"/>
    <w:rsid w:val="00AB47AC"/>
    <w:rsid w:val="00AB58D0"/>
    <w:rsid w:val="00AB6062"/>
    <w:rsid w:val="00AB621D"/>
    <w:rsid w:val="00AB6841"/>
    <w:rsid w:val="00AB6A5F"/>
    <w:rsid w:val="00AB73E0"/>
    <w:rsid w:val="00AB7792"/>
    <w:rsid w:val="00AC0714"/>
    <w:rsid w:val="00AC3859"/>
    <w:rsid w:val="00AC5CBA"/>
    <w:rsid w:val="00AC60F6"/>
    <w:rsid w:val="00AC7714"/>
    <w:rsid w:val="00AD0465"/>
    <w:rsid w:val="00AD0FAB"/>
    <w:rsid w:val="00AD10FD"/>
    <w:rsid w:val="00AD2160"/>
    <w:rsid w:val="00AD2CBF"/>
    <w:rsid w:val="00AD2CD4"/>
    <w:rsid w:val="00AD2EBF"/>
    <w:rsid w:val="00AD3663"/>
    <w:rsid w:val="00AD45E9"/>
    <w:rsid w:val="00AD4E3A"/>
    <w:rsid w:val="00AD59C6"/>
    <w:rsid w:val="00AD5FCC"/>
    <w:rsid w:val="00AD628D"/>
    <w:rsid w:val="00AD6409"/>
    <w:rsid w:val="00AD7665"/>
    <w:rsid w:val="00AE03CD"/>
    <w:rsid w:val="00AE0EE5"/>
    <w:rsid w:val="00AE13EB"/>
    <w:rsid w:val="00AE2552"/>
    <w:rsid w:val="00AE2D59"/>
    <w:rsid w:val="00AE3481"/>
    <w:rsid w:val="00AE3B57"/>
    <w:rsid w:val="00AE3C43"/>
    <w:rsid w:val="00AE7528"/>
    <w:rsid w:val="00AE7759"/>
    <w:rsid w:val="00AE7CA8"/>
    <w:rsid w:val="00AF4EDA"/>
    <w:rsid w:val="00AF65CB"/>
    <w:rsid w:val="00AF70E4"/>
    <w:rsid w:val="00AF7A68"/>
    <w:rsid w:val="00B00EAD"/>
    <w:rsid w:val="00B03739"/>
    <w:rsid w:val="00B043A8"/>
    <w:rsid w:val="00B05197"/>
    <w:rsid w:val="00B055DC"/>
    <w:rsid w:val="00B05AEA"/>
    <w:rsid w:val="00B05BE8"/>
    <w:rsid w:val="00B06037"/>
    <w:rsid w:val="00B06B41"/>
    <w:rsid w:val="00B0799E"/>
    <w:rsid w:val="00B07A86"/>
    <w:rsid w:val="00B07D16"/>
    <w:rsid w:val="00B10990"/>
    <w:rsid w:val="00B11F9E"/>
    <w:rsid w:val="00B13904"/>
    <w:rsid w:val="00B1417B"/>
    <w:rsid w:val="00B148B0"/>
    <w:rsid w:val="00B154A7"/>
    <w:rsid w:val="00B15B44"/>
    <w:rsid w:val="00B1661D"/>
    <w:rsid w:val="00B1674E"/>
    <w:rsid w:val="00B176D7"/>
    <w:rsid w:val="00B17E2C"/>
    <w:rsid w:val="00B17E40"/>
    <w:rsid w:val="00B2061A"/>
    <w:rsid w:val="00B21AD0"/>
    <w:rsid w:val="00B21BA4"/>
    <w:rsid w:val="00B21F02"/>
    <w:rsid w:val="00B22212"/>
    <w:rsid w:val="00B24520"/>
    <w:rsid w:val="00B25B2B"/>
    <w:rsid w:val="00B25E61"/>
    <w:rsid w:val="00B263F8"/>
    <w:rsid w:val="00B265DA"/>
    <w:rsid w:val="00B303F3"/>
    <w:rsid w:val="00B31D39"/>
    <w:rsid w:val="00B322DF"/>
    <w:rsid w:val="00B33869"/>
    <w:rsid w:val="00B34187"/>
    <w:rsid w:val="00B347CD"/>
    <w:rsid w:val="00B34C0C"/>
    <w:rsid w:val="00B35721"/>
    <w:rsid w:val="00B35FA1"/>
    <w:rsid w:val="00B365A9"/>
    <w:rsid w:val="00B36C90"/>
    <w:rsid w:val="00B370E8"/>
    <w:rsid w:val="00B37883"/>
    <w:rsid w:val="00B37D5C"/>
    <w:rsid w:val="00B37DB3"/>
    <w:rsid w:val="00B4148F"/>
    <w:rsid w:val="00B419AA"/>
    <w:rsid w:val="00B41B94"/>
    <w:rsid w:val="00B42472"/>
    <w:rsid w:val="00B432A0"/>
    <w:rsid w:val="00B43A9F"/>
    <w:rsid w:val="00B43E7D"/>
    <w:rsid w:val="00B43E87"/>
    <w:rsid w:val="00B5304E"/>
    <w:rsid w:val="00B56A74"/>
    <w:rsid w:val="00B56D63"/>
    <w:rsid w:val="00B63447"/>
    <w:rsid w:val="00B644D1"/>
    <w:rsid w:val="00B651F9"/>
    <w:rsid w:val="00B6568A"/>
    <w:rsid w:val="00B65C00"/>
    <w:rsid w:val="00B670E0"/>
    <w:rsid w:val="00B6756C"/>
    <w:rsid w:val="00B70636"/>
    <w:rsid w:val="00B71A3A"/>
    <w:rsid w:val="00B71DA4"/>
    <w:rsid w:val="00B7322A"/>
    <w:rsid w:val="00B741E6"/>
    <w:rsid w:val="00B77415"/>
    <w:rsid w:val="00B8047D"/>
    <w:rsid w:val="00B818C3"/>
    <w:rsid w:val="00B82298"/>
    <w:rsid w:val="00B823F0"/>
    <w:rsid w:val="00B83EC7"/>
    <w:rsid w:val="00B83ED0"/>
    <w:rsid w:val="00B843AC"/>
    <w:rsid w:val="00B8461A"/>
    <w:rsid w:val="00B84C5C"/>
    <w:rsid w:val="00B8568B"/>
    <w:rsid w:val="00B85DEE"/>
    <w:rsid w:val="00B87B1C"/>
    <w:rsid w:val="00B9087C"/>
    <w:rsid w:val="00B909BF"/>
    <w:rsid w:val="00B91577"/>
    <w:rsid w:val="00B92997"/>
    <w:rsid w:val="00B930AF"/>
    <w:rsid w:val="00B95241"/>
    <w:rsid w:val="00B95280"/>
    <w:rsid w:val="00B95888"/>
    <w:rsid w:val="00B96BC2"/>
    <w:rsid w:val="00B97CA1"/>
    <w:rsid w:val="00BA02B6"/>
    <w:rsid w:val="00BA0330"/>
    <w:rsid w:val="00BA1771"/>
    <w:rsid w:val="00BA31AF"/>
    <w:rsid w:val="00BA381E"/>
    <w:rsid w:val="00BA4CCE"/>
    <w:rsid w:val="00BA5AF8"/>
    <w:rsid w:val="00BA6080"/>
    <w:rsid w:val="00BA6340"/>
    <w:rsid w:val="00BB0298"/>
    <w:rsid w:val="00BB05C1"/>
    <w:rsid w:val="00BB1075"/>
    <w:rsid w:val="00BB1C90"/>
    <w:rsid w:val="00BB32F0"/>
    <w:rsid w:val="00BB3A30"/>
    <w:rsid w:val="00BB3D65"/>
    <w:rsid w:val="00BB3F83"/>
    <w:rsid w:val="00BB57E9"/>
    <w:rsid w:val="00BB6C11"/>
    <w:rsid w:val="00BB7171"/>
    <w:rsid w:val="00BC1129"/>
    <w:rsid w:val="00BC12A3"/>
    <w:rsid w:val="00BC1EE8"/>
    <w:rsid w:val="00BC211D"/>
    <w:rsid w:val="00BC2EB0"/>
    <w:rsid w:val="00BC43F4"/>
    <w:rsid w:val="00BC45EE"/>
    <w:rsid w:val="00BC4B96"/>
    <w:rsid w:val="00BC512D"/>
    <w:rsid w:val="00BC56B2"/>
    <w:rsid w:val="00BC5714"/>
    <w:rsid w:val="00BC685B"/>
    <w:rsid w:val="00BD06FD"/>
    <w:rsid w:val="00BD2340"/>
    <w:rsid w:val="00BD392C"/>
    <w:rsid w:val="00BD5A3A"/>
    <w:rsid w:val="00BD6F43"/>
    <w:rsid w:val="00BD6F8C"/>
    <w:rsid w:val="00BE114D"/>
    <w:rsid w:val="00BE13E5"/>
    <w:rsid w:val="00BE1FD1"/>
    <w:rsid w:val="00BE22D5"/>
    <w:rsid w:val="00BE2BD6"/>
    <w:rsid w:val="00BE4427"/>
    <w:rsid w:val="00BE47E9"/>
    <w:rsid w:val="00BE4A0B"/>
    <w:rsid w:val="00BE5510"/>
    <w:rsid w:val="00BE5F8D"/>
    <w:rsid w:val="00BE648A"/>
    <w:rsid w:val="00BE69D6"/>
    <w:rsid w:val="00BE743D"/>
    <w:rsid w:val="00BF3FC1"/>
    <w:rsid w:val="00BF4343"/>
    <w:rsid w:val="00BF4CC2"/>
    <w:rsid w:val="00BF4FFA"/>
    <w:rsid w:val="00BF6764"/>
    <w:rsid w:val="00BF70F0"/>
    <w:rsid w:val="00C00AC2"/>
    <w:rsid w:val="00C02872"/>
    <w:rsid w:val="00C04D58"/>
    <w:rsid w:val="00C05150"/>
    <w:rsid w:val="00C05D5B"/>
    <w:rsid w:val="00C060B0"/>
    <w:rsid w:val="00C06B4C"/>
    <w:rsid w:val="00C076A1"/>
    <w:rsid w:val="00C0788E"/>
    <w:rsid w:val="00C10632"/>
    <w:rsid w:val="00C10B76"/>
    <w:rsid w:val="00C11217"/>
    <w:rsid w:val="00C115FF"/>
    <w:rsid w:val="00C11AEE"/>
    <w:rsid w:val="00C12FD1"/>
    <w:rsid w:val="00C14CA9"/>
    <w:rsid w:val="00C14CBC"/>
    <w:rsid w:val="00C14E45"/>
    <w:rsid w:val="00C1558F"/>
    <w:rsid w:val="00C15E4A"/>
    <w:rsid w:val="00C170F3"/>
    <w:rsid w:val="00C17B22"/>
    <w:rsid w:val="00C20A40"/>
    <w:rsid w:val="00C20D6B"/>
    <w:rsid w:val="00C20D89"/>
    <w:rsid w:val="00C21EE0"/>
    <w:rsid w:val="00C21FB6"/>
    <w:rsid w:val="00C24B38"/>
    <w:rsid w:val="00C24DF3"/>
    <w:rsid w:val="00C254FC"/>
    <w:rsid w:val="00C25C4E"/>
    <w:rsid w:val="00C2718D"/>
    <w:rsid w:val="00C275DA"/>
    <w:rsid w:val="00C303B1"/>
    <w:rsid w:val="00C30447"/>
    <w:rsid w:val="00C3080B"/>
    <w:rsid w:val="00C30877"/>
    <w:rsid w:val="00C3212A"/>
    <w:rsid w:val="00C322BA"/>
    <w:rsid w:val="00C3331E"/>
    <w:rsid w:val="00C34B20"/>
    <w:rsid w:val="00C41ACB"/>
    <w:rsid w:val="00C422F7"/>
    <w:rsid w:val="00C423F1"/>
    <w:rsid w:val="00C4248E"/>
    <w:rsid w:val="00C432E7"/>
    <w:rsid w:val="00C43533"/>
    <w:rsid w:val="00C43DBC"/>
    <w:rsid w:val="00C45970"/>
    <w:rsid w:val="00C46D16"/>
    <w:rsid w:val="00C47366"/>
    <w:rsid w:val="00C47765"/>
    <w:rsid w:val="00C5187D"/>
    <w:rsid w:val="00C524C4"/>
    <w:rsid w:val="00C53237"/>
    <w:rsid w:val="00C534A0"/>
    <w:rsid w:val="00C54E40"/>
    <w:rsid w:val="00C54E4C"/>
    <w:rsid w:val="00C55141"/>
    <w:rsid w:val="00C55992"/>
    <w:rsid w:val="00C57CB3"/>
    <w:rsid w:val="00C57FCB"/>
    <w:rsid w:val="00C6064E"/>
    <w:rsid w:val="00C614D4"/>
    <w:rsid w:val="00C61983"/>
    <w:rsid w:val="00C61CE9"/>
    <w:rsid w:val="00C622D2"/>
    <w:rsid w:val="00C6234D"/>
    <w:rsid w:val="00C629B5"/>
    <w:rsid w:val="00C634B3"/>
    <w:rsid w:val="00C642A1"/>
    <w:rsid w:val="00C64CF5"/>
    <w:rsid w:val="00C64DBF"/>
    <w:rsid w:val="00C651B5"/>
    <w:rsid w:val="00C673A4"/>
    <w:rsid w:val="00C673DC"/>
    <w:rsid w:val="00C67429"/>
    <w:rsid w:val="00C702EC"/>
    <w:rsid w:val="00C70BA1"/>
    <w:rsid w:val="00C71892"/>
    <w:rsid w:val="00C71C96"/>
    <w:rsid w:val="00C73C3F"/>
    <w:rsid w:val="00C74101"/>
    <w:rsid w:val="00C75836"/>
    <w:rsid w:val="00C75F95"/>
    <w:rsid w:val="00C761DB"/>
    <w:rsid w:val="00C76F72"/>
    <w:rsid w:val="00C77CCE"/>
    <w:rsid w:val="00C81215"/>
    <w:rsid w:val="00C8130C"/>
    <w:rsid w:val="00C8535F"/>
    <w:rsid w:val="00C86310"/>
    <w:rsid w:val="00C86317"/>
    <w:rsid w:val="00C86B83"/>
    <w:rsid w:val="00C9106C"/>
    <w:rsid w:val="00C91215"/>
    <w:rsid w:val="00C91BE8"/>
    <w:rsid w:val="00C9282E"/>
    <w:rsid w:val="00C93903"/>
    <w:rsid w:val="00C939FA"/>
    <w:rsid w:val="00C9479C"/>
    <w:rsid w:val="00C94941"/>
    <w:rsid w:val="00C94D4E"/>
    <w:rsid w:val="00C96957"/>
    <w:rsid w:val="00CA05DA"/>
    <w:rsid w:val="00CA0C7D"/>
    <w:rsid w:val="00CA12D3"/>
    <w:rsid w:val="00CA3D3A"/>
    <w:rsid w:val="00CA4083"/>
    <w:rsid w:val="00CA47B3"/>
    <w:rsid w:val="00CA4D84"/>
    <w:rsid w:val="00CA4DCF"/>
    <w:rsid w:val="00CA517B"/>
    <w:rsid w:val="00CA539A"/>
    <w:rsid w:val="00CA6DD2"/>
    <w:rsid w:val="00CA77B9"/>
    <w:rsid w:val="00CB2046"/>
    <w:rsid w:val="00CB317A"/>
    <w:rsid w:val="00CB3B1F"/>
    <w:rsid w:val="00CB3EAB"/>
    <w:rsid w:val="00CB500F"/>
    <w:rsid w:val="00CB6597"/>
    <w:rsid w:val="00CB6DAF"/>
    <w:rsid w:val="00CB76B2"/>
    <w:rsid w:val="00CC0823"/>
    <w:rsid w:val="00CC0C65"/>
    <w:rsid w:val="00CC11D0"/>
    <w:rsid w:val="00CC1E6E"/>
    <w:rsid w:val="00CC24A0"/>
    <w:rsid w:val="00CC2831"/>
    <w:rsid w:val="00CC3002"/>
    <w:rsid w:val="00CC3E47"/>
    <w:rsid w:val="00CC46EC"/>
    <w:rsid w:val="00CC4855"/>
    <w:rsid w:val="00CC519E"/>
    <w:rsid w:val="00CC6030"/>
    <w:rsid w:val="00CC6488"/>
    <w:rsid w:val="00CC67CA"/>
    <w:rsid w:val="00CD25D4"/>
    <w:rsid w:val="00CD2A75"/>
    <w:rsid w:val="00CD3498"/>
    <w:rsid w:val="00CD56A8"/>
    <w:rsid w:val="00CE2276"/>
    <w:rsid w:val="00CE243E"/>
    <w:rsid w:val="00CE2977"/>
    <w:rsid w:val="00CE33FB"/>
    <w:rsid w:val="00CE4599"/>
    <w:rsid w:val="00CE577D"/>
    <w:rsid w:val="00CE5C8B"/>
    <w:rsid w:val="00CE79A3"/>
    <w:rsid w:val="00CF03A0"/>
    <w:rsid w:val="00CF0EC2"/>
    <w:rsid w:val="00CF10BE"/>
    <w:rsid w:val="00CF1CB4"/>
    <w:rsid w:val="00CF1CBA"/>
    <w:rsid w:val="00CF2B90"/>
    <w:rsid w:val="00CF4FD7"/>
    <w:rsid w:val="00CF555B"/>
    <w:rsid w:val="00CF5824"/>
    <w:rsid w:val="00CF6BFC"/>
    <w:rsid w:val="00D007DB"/>
    <w:rsid w:val="00D0113E"/>
    <w:rsid w:val="00D06011"/>
    <w:rsid w:val="00D077FE"/>
    <w:rsid w:val="00D078D5"/>
    <w:rsid w:val="00D101C9"/>
    <w:rsid w:val="00D11B31"/>
    <w:rsid w:val="00D15CCE"/>
    <w:rsid w:val="00D16438"/>
    <w:rsid w:val="00D16D3A"/>
    <w:rsid w:val="00D16FD0"/>
    <w:rsid w:val="00D17CF9"/>
    <w:rsid w:val="00D22460"/>
    <w:rsid w:val="00D22AF7"/>
    <w:rsid w:val="00D25FE5"/>
    <w:rsid w:val="00D3037F"/>
    <w:rsid w:val="00D304D9"/>
    <w:rsid w:val="00D305E8"/>
    <w:rsid w:val="00D3157A"/>
    <w:rsid w:val="00D34BD6"/>
    <w:rsid w:val="00D352D1"/>
    <w:rsid w:val="00D36577"/>
    <w:rsid w:val="00D36C35"/>
    <w:rsid w:val="00D41161"/>
    <w:rsid w:val="00D42E10"/>
    <w:rsid w:val="00D4423A"/>
    <w:rsid w:val="00D44B8C"/>
    <w:rsid w:val="00D45952"/>
    <w:rsid w:val="00D468B0"/>
    <w:rsid w:val="00D50286"/>
    <w:rsid w:val="00D51460"/>
    <w:rsid w:val="00D52B82"/>
    <w:rsid w:val="00D557C7"/>
    <w:rsid w:val="00D55E2C"/>
    <w:rsid w:val="00D5654C"/>
    <w:rsid w:val="00D57B0E"/>
    <w:rsid w:val="00D60252"/>
    <w:rsid w:val="00D60C97"/>
    <w:rsid w:val="00D61F73"/>
    <w:rsid w:val="00D62C43"/>
    <w:rsid w:val="00D63709"/>
    <w:rsid w:val="00D64831"/>
    <w:rsid w:val="00D66C6D"/>
    <w:rsid w:val="00D66DE2"/>
    <w:rsid w:val="00D672F3"/>
    <w:rsid w:val="00D67815"/>
    <w:rsid w:val="00D70122"/>
    <w:rsid w:val="00D708B6"/>
    <w:rsid w:val="00D7264E"/>
    <w:rsid w:val="00D72C07"/>
    <w:rsid w:val="00D73F2F"/>
    <w:rsid w:val="00D75D58"/>
    <w:rsid w:val="00D760DB"/>
    <w:rsid w:val="00D77D25"/>
    <w:rsid w:val="00D80618"/>
    <w:rsid w:val="00D81DF7"/>
    <w:rsid w:val="00D81EC0"/>
    <w:rsid w:val="00D83F5B"/>
    <w:rsid w:val="00D86C8B"/>
    <w:rsid w:val="00D87F6B"/>
    <w:rsid w:val="00D9115F"/>
    <w:rsid w:val="00D91E07"/>
    <w:rsid w:val="00D937AB"/>
    <w:rsid w:val="00D93C17"/>
    <w:rsid w:val="00D93FFA"/>
    <w:rsid w:val="00D948B4"/>
    <w:rsid w:val="00D95B86"/>
    <w:rsid w:val="00D97755"/>
    <w:rsid w:val="00DA1308"/>
    <w:rsid w:val="00DA2860"/>
    <w:rsid w:val="00DA2D4E"/>
    <w:rsid w:val="00DA378B"/>
    <w:rsid w:val="00DA45BE"/>
    <w:rsid w:val="00DA5D44"/>
    <w:rsid w:val="00DA6895"/>
    <w:rsid w:val="00DA6BA2"/>
    <w:rsid w:val="00DA6D9A"/>
    <w:rsid w:val="00DA7004"/>
    <w:rsid w:val="00DA7129"/>
    <w:rsid w:val="00DB13E9"/>
    <w:rsid w:val="00DB1FD7"/>
    <w:rsid w:val="00DB33AF"/>
    <w:rsid w:val="00DB4487"/>
    <w:rsid w:val="00DB4F3C"/>
    <w:rsid w:val="00DB506A"/>
    <w:rsid w:val="00DB5232"/>
    <w:rsid w:val="00DB5F60"/>
    <w:rsid w:val="00DC1666"/>
    <w:rsid w:val="00DC2415"/>
    <w:rsid w:val="00DC3111"/>
    <w:rsid w:val="00DC3F48"/>
    <w:rsid w:val="00DC420E"/>
    <w:rsid w:val="00DC4C6B"/>
    <w:rsid w:val="00DC5B75"/>
    <w:rsid w:val="00DC5D77"/>
    <w:rsid w:val="00DC680F"/>
    <w:rsid w:val="00DC77E1"/>
    <w:rsid w:val="00DD0014"/>
    <w:rsid w:val="00DD0036"/>
    <w:rsid w:val="00DD1128"/>
    <w:rsid w:val="00DD1CC3"/>
    <w:rsid w:val="00DD3081"/>
    <w:rsid w:val="00DD47F7"/>
    <w:rsid w:val="00DD6000"/>
    <w:rsid w:val="00DD6065"/>
    <w:rsid w:val="00DD6226"/>
    <w:rsid w:val="00DD7682"/>
    <w:rsid w:val="00DD7822"/>
    <w:rsid w:val="00DE1650"/>
    <w:rsid w:val="00DE22E1"/>
    <w:rsid w:val="00DE2FEA"/>
    <w:rsid w:val="00DE32C9"/>
    <w:rsid w:val="00DE3B9C"/>
    <w:rsid w:val="00DE3C1D"/>
    <w:rsid w:val="00DE4576"/>
    <w:rsid w:val="00DE4789"/>
    <w:rsid w:val="00DE49A7"/>
    <w:rsid w:val="00DE5A33"/>
    <w:rsid w:val="00DE7054"/>
    <w:rsid w:val="00DF0023"/>
    <w:rsid w:val="00DF049C"/>
    <w:rsid w:val="00DF23CF"/>
    <w:rsid w:val="00DF2F2E"/>
    <w:rsid w:val="00DF3AB4"/>
    <w:rsid w:val="00DF42F3"/>
    <w:rsid w:val="00DF4399"/>
    <w:rsid w:val="00DF582D"/>
    <w:rsid w:val="00E0071B"/>
    <w:rsid w:val="00E018EE"/>
    <w:rsid w:val="00E01F20"/>
    <w:rsid w:val="00E02E46"/>
    <w:rsid w:val="00E02FBC"/>
    <w:rsid w:val="00E03FE9"/>
    <w:rsid w:val="00E045F5"/>
    <w:rsid w:val="00E05714"/>
    <w:rsid w:val="00E05B59"/>
    <w:rsid w:val="00E078CF"/>
    <w:rsid w:val="00E10BDB"/>
    <w:rsid w:val="00E116EC"/>
    <w:rsid w:val="00E11964"/>
    <w:rsid w:val="00E11F5F"/>
    <w:rsid w:val="00E12B83"/>
    <w:rsid w:val="00E12D6F"/>
    <w:rsid w:val="00E14E8C"/>
    <w:rsid w:val="00E15030"/>
    <w:rsid w:val="00E2154B"/>
    <w:rsid w:val="00E2156F"/>
    <w:rsid w:val="00E21E5B"/>
    <w:rsid w:val="00E22370"/>
    <w:rsid w:val="00E22CDD"/>
    <w:rsid w:val="00E23962"/>
    <w:rsid w:val="00E23BBE"/>
    <w:rsid w:val="00E24D6C"/>
    <w:rsid w:val="00E27B28"/>
    <w:rsid w:val="00E32090"/>
    <w:rsid w:val="00E32F69"/>
    <w:rsid w:val="00E331A4"/>
    <w:rsid w:val="00E33607"/>
    <w:rsid w:val="00E34BF0"/>
    <w:rsid w:val="00E35989"/>
    <w:rsid w:val="00E36039"/>
    <w:rsid w:val="00E36E2A"/>
    <w:rsid w:val="00E377BD"/>
    <w:rsid w:val="00E4085A"/>
    <w:rsid w:val="00E42F1D"/>
    <w:rsid w:val="00E43285"/>
    <w:rsid w:val="00E44DFD"/>
    <w:rsid w:val="00E45B5A"/>
    <w:rsid w:val="00E45CCC"/>
    <w:rsid w:val="00E46C55"/>
    <w:rsid w:val="00E46FAC"/>
    <w:rsid w:val="00E47F2A"/>
    <w:rsid w:val="00E51A18"/>
    <w:rsid w:val="00E51B2B"/>
    <w:rsid w:val="00E52335"/>
    <w:rsid w:val="00E52F90"/>
    <w:rsid w:val="00E53AF7"/>
    <w:rsid w:val="00E53EA7"/>
    <w:rsid w:val="00E55348"/>
    <w:rsid w:val="00E55969"/>
    <w:rsid w:val="00E55AA0"/>
    <w:rsid w:val="00E561B0"/>
    <w:rsid w:val="00E601AB"/>
    <w:rsid w:val="00E616F2"/>
    <w:rsid w:val="00E62E75"/>
    <w:rsid w:val="00E632D3"/>
    <w:rsid w:val="00E6358C"/>
    <w:rsid w:val="00E646EB"/>
    <w:rsid w:val="00E648FC"/>
    <w:rsid w:val="00E65038"/>
    <w:rsid w:val="00E660CE"/>
    <w:rsid w:val="00E66BB7"/>
    <w:rsid w:val="00E67320"/>
    <w:rsid w:val="00E67CB5"/>
    <w:rsid w:val="00E7041E"/>
    <w:rsid w:val="00E70453"/>
    <w:rsid w:val="00E71756"/>
    <w:rsid w:val="00E7179D"/>
    <w:rsid w:val="00E74246"/>
    <w:rsid w:val="00E7516D"/>
    <w:rsid w:val="00E75E23"/>
    <w:rsid w:val="00E76C0A"/>
    <w:rsid w:val="00E7740A"/>
    <w:rsid w:val="00E77524"/>
    <w:rsid w:val="00E77CBD"/>
    <w:rsid w:val="00E83980"/>
    <w:rsid w:val="00E86F7D"/>
    <w:rsid w:val="00E87B40"/>
    <w:rsid w:val="00E90DC7"/>
    <w:rsid w:val="00E9172C"/>
    <w:rsid w:val="00E924DA"/>
    <w:rsid w:val="00E93FEC"/>
    <w:rsid w:val="00E94205"/>
    <w:rsid w:val="00E948F9"/>
    <w:rsid w:val="00E968EB"/>
    <w:rsid w:val="00EA04F4"/>
    <w:rsid w:val="00EA090A"/>
    <w:rsid w:val="00EA1D42"/>
    <w:rsid w:val="00EA211A"/>
    <w:rsid w:val="00EA2EF0"/>
    <w:rsid w:val="00EA36E1"/>
    <w:rsid w:val="00EA3EA1"/>
    <w:rsid w:val="00EA4A2E"/>
    <w:rsid w:val="00EA62BD"/>
    <w:rsid w:val="00EA738D"/>
    <w:rsid w:val="00EB06ED"/>
    <w:rsid w:val="00EB166A"/>
    <w:rsid w:val="00EB221C"/>
    <w:rsid w:val="00EB50A7"/>
    <w:rsid w:val="00EB685F"/>
    <w:rsid w:val="00EB7111"/>
    <w:rsid w:val="00EB796D"/>
    <w:rsid w:val="00EB7DCC"/>
    <w:rsid w:val="00EB7FEF"/>
    <w:rsid w:val="00EC56D9"/>
    <w:rsid w:val="00EC7BF7"/>
    <w:rsid w:val="00EC7DD1"/>
    <w:rsid w:val="00ED0246"/>
    <w:rsid w:val="00ED091F"/>
    <w:rsid w:val="00ED3132"/>
    <w:rsid w:val="00ED446C"/>
    <w:rsid w:val="00ED47BC"/>
    <w:rsid w:val="00ED5415"/>
    <w:rsid w:val="00ED5EDB"/>
    <w:rsid w:val="00ED63C8"/>
    <w:rsid w:val="00ED6A19"/>
    <w:rsid w:val="00ED7003"/>
    <w:rsid w:val="00ED70FA"/>
    <w:rsid w:val="00ED7123"/>
    <w:rsid w:val="00ED79D8"/>
    <w:rsid w:val="00EE196F"/>
    <w:rsid w:val="00EE23B9"/>
    <w:rsid w:val="00EE23DB"/>
    <w:rsid w:val="00EE2A36"/>
    <w:rsid w:val="00EE503C"/>
    <w:rsid w:val="00EE5719"/>
    <w:rsid w:val="00EE5D8D"/>
    <w:rsid w:val="00EE5EBD"/>
    <w:rsid w:val="00EE60D9"/>
    <w:rsid w:val="00EF1B28"/>
    <w:rsid w:val="00EF2AE8"/>
    <w:rsid w:val="00EF2F9A"/>
    <w:rsid w:val="00EF3DC3"/>
    <w:rsid w:val="00EF40C6"/>
    <w:rsid w:val="00EF4CAB"/>
    <w:rsid w:val="00EF562C"/>
    <w:rsid w:val="00EF5B65"/>
    <w:rsid w:val="00EF61B4"/>
    <w:rsid w:val="00EF61EB"/>
    <w:rsid w:val="00EF6DBF"/>
    <w:rsid w:val="00EF7479"/>
    <w:rsid w:val="00EF77D8"/>
    <w:rsid w:val="00F0050E"/>
    <w:rsid w:val="00F00B93"/>
    <w:rsid w:val="00F00C15"/>
    <w:rsid w:val="00F01058"/>
    <w:rsid w:val="00F01A69"/>
    <w:rsid w:val="00F01D40"/>
    <w:rsid w:val="00F028D7"/>
    <w:rsid w:val="00F02FDB"/>
    <w:rsid w:val="00F03081"/>
    <w:rsid w:val="00F050FF"/>
    <w:rsid w:val="00F0560E"/>
    <w:rsid w:val="00F05D7E"/>
    <w:rsid w:val="00F07A6F"/>
    <w:rsid w:val="00F07EDA"/>
    <w:rsid w:val="00F1042E"/>
    <w:rsid w:val="00F10469"/>
    <w:rsid w:val="00F121FF"/>
    <w:rsid w:val="00F127A2"/>
    <w:rsid w:val="00F13AFE"/>
    <w:rsid w:val="00F13C7A"/>
    <w:rsid w:val="00F1493A"/>
    <w:rsid w:val="00F172F1"/>
    <w:rsid w:val="00F2027E"/>
    <w:rsid w:val="00F21C61"/>
    <w:rsid w:val="00F2213E"/>
    <w:rsid w:val="00F2246C"/>
    <w:rsid w:val="00F231C1"/>
    <w:rsid w:val="00F2327D"/>
    <w:rsid w:val="00F23620"/>
    <w:rsid w:val="00F236A0"/>
    <w:rsid w:val="00F254D9"/>
    <w:rsid w:val="00F25624"/>
    <w:rsid w:val="00F2652D"/>
    <w:rsid w:val="00F267B6"/>
    <w:rsid w:val="00F26920"/>
    <w:rsid w:val="00F26F27"/>
    <w:rsid w:val="00F27592"/>
    <w:rsid w:val="00F276C8"/>
    <w:rsid w:val="00F307BA"/>
    <w:rsid w:val="00F31B63"/>
    <w:rsid w:val="00F32EDF"/>
    <w:rsid w:val="00F336DE"/>
    <w:rsid w:val="00F33AC8"/>
    <w:rsid w:val="00F33D47"/>
    <w:rsid w:val="00F348A2"/>
    <w:rsid w:val="00F3512E"/>
    <w:rsid w:val="00F3716B"/>
    <w:rsid w:val="00F37DD6"/>
    <w:rsid w:val="00F425E4"/>
    <w:rsid w:val="00F42E74"/>
    <w:rsid w:val="00F4450C"/>
    <w:rsid w:val="00F45AB7"/>
    <w:rsid w:val="00F45CB7"/>
    <w:rsid w:val="00F46430"/>
    <w:rsid w:val="00F47474"/>
    <w:rsid w:val="00F47EC3"/>
    <w:rsid w:val="00F5059D"/>
    <w:rsid w:val="00F52071"/>
    <w:rsid w:val="00F5271B"/>
    <w:rsid w:val="00F534E9"/>
    <w:rsid w:val="00F5471E"/>
    <w:rsid w:val="00F5598E"/>
    <w:rsid w:val="00F57565"/>
    <w:rsid w:val="00F576D5"/>
    <w:rsid w:val="00F57780"/>
    <w:rsid w:val="00F57B01"/>
    <w:rsid w:val="00F60384"/>
    <w:rsid w:val="00F6046E"/>
    <w:rsid w:val="00F60512"/>
    <w:rsid w:val="00F61127"/>
    <w:rsid w:val="00F61CDB"/>
    <w:rsid w:val="00F62673"/>
    <w:rsid w:val="00F632E4"/>
    <w:rsid w:val="00F63A88"/>
    <w:rsid w:val="00F64D67"/>
    <w:rsid w:val="00F64E4B"/>
    <w:rsid w:val="00F6579F"/>
    <w:rsid w:val="00F65B78"/>
    <w:rsid w:val="00F65BAC"/>
    <w:rsid w:val="00F671D4"/>
    <w:rsid w:val="00F677D2"/>
    <w:rsid w:val="00F67D28"/>
    <w:rsid w:val="00F701E3"/>
    <w:rsid w:val="00F71175"/>
    <w:rsid w:val="00F71538"/>
    <w:rsid w:val="00F71747"/>
    <w:rsid w:val="00F71779"/>
    <w:rsid w:val="00F7346A"/>
    <w:rsid w:val="00F735BE"/>
    <w:rsid w:val="00F73E58"/>
    <w:rsid w:val="00F74A0D"/>
    <w:rsid w:val="00F75035"/>
    <w:rsid w:val="00F7527A"/>
    <w:rsid w:val="00F76192"/>
    <w:rsid w:val="00F7621D"/>
    <w:rsid w:val="00F76B6E"/>
    <w:rsid w:val="00F80033"/>
    <w:rsid w:val="00F81AE5"/>
    <w:rsid w:val="00F81F82"/>
    <w:rsid w:val="00F82D20"/>
    <w:rsid w:val="00F82EAB"/>
    <w:rsid w:val="00F832F6"/>
    <w:rsid w:val="00F83538"/>
    <w:rsid w:val="00F83FA7"/>
    <w:rsid w:val="00F8476F"/>
    <w:rsid w:val="00F854EE"/>
    <w:rsid w:val="00F8597A"/>
    <w:rsid w:val="00F875D4"/>
    <w:rsid w:val="00F910AC"/>
    <w:rsid w:val="00F915AC"/>
    <w:rsid w:val="00F927EF"/>
    <w:rsid w:val="00F9390C"/>
    <w:rsid w:val="00F94320"/>
    <w:rsid w:val="00F945CB"/>
    <w:rsid w:val="00F94D11"/>
    <w:rsid w:val="00F94DFB"/>
    <w:rsid w:val="00F95399"/>
    <w:rsid w:val="00F964F3"/>
    <w:rsid w:val="00F96D34"/>
    <w:rsid w:val="00FA282B"/>
    <w:rsid w:val="00FA2D67"/>
    <w:rsid w:val="00FA2DBE"/>
    <w:rsid w:val="00FA2E96"/>
    <w:rsid w:val="00FA4A82"/>
    <w:rsid w:val="00FA527D"/>
    <w:rsid w:val="00FA578C"/>
    <w:rsid w:val="00FA651E"/>
    <w:rsid w:val="00FB05FD"/>
    <w:rsid w:val="00FB2BFC"/>
    <w:rsid w:val="00FB31D9"/>
    <w:rsid w:val="00FB3721"/>
    <w:rsid w:val="00FB3920"/>
    <w:rsid w:val="00FB6781"/>
    <w:rsid w:val="00FB77BE"/>
    <w:rsid w:val="00FB7942"/>
    <w:rsid w:val="00FC049C"/>
    <w:rsid w:val="00FC0B5F"/>
    <w:rsid w:val="00FC10A6"/>
    <w:rsid w:val="00FC1369"/>
    <w:rsid w:val="00FC1C13"/>
    <w:rsid w:val="00FC1EBC"/>
    <w:rsid w:val="00FC2B35"/>
    <w:rsid w:val="00FC3DF1"/>
    <w:rsid w:val="00FC43A2"/>
    <w:rsid w:val="00FC56B4"/>
    <w:rsid w:val="00FD0B21"/>
    <w:rsid w:val="00FD1DC7"/>
    <w:rsid w:val="00FD2134"/>
    <w:rsid w:val="00FD281A"/>
    <w:rsid w:val="00FD3AA6"/>
    <w:rsid w:val="00FD4B43"/>
    <w:rsid w:val="00FD514D"/>
    <w:rsid w:val="00FD691F"/>
    <w:rsid w:val="00FD6B52"/>
    <w:rsid w:val="00FD6FE3"/>
    <w:rsid w:val="00FD72FC"/>
    <w:rsid w:val="00FD74E6"/>
    <w:rsid w:val="00FD7A48"/>
    <w:rsid w:val="00FE00A5"/>
    <w:rsid w:val="00FE05AB"/>
    <w:rsid w:val="00FE0DC4"/>
    <w:rsid w:val="00FE1010"/>
    <w:rsid w:val="00FE3B2D"/>
    <w:rsid w:val="00FE4441"/>
    <w:rsid w:val="00FE445F"/>
    <w:rsid w:val="00FE50AF"/>
    <w:rsid w:val="00FE56C5"/>
    <w:rsid w:val="00FE64C0"/>
    <w:rsid w:val="00FF210E"/>
    <w:rsid w:val="00FF35F5"/>
    <w:rsid w:val="00FF3C43"/>
    <w:rsid w:val="00FF4367"/>
    <w:rsid w:val="00FF5934"/>
    <w:rsid w:val="00FF6236"/>
    <w:rsid w:val="00FF65EA"/>
    <w:rsid w:val="00FF711C"/>
    <w:rsid w:val="00FF7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1"/>
    </o:shapelayout>
  </w:shapeDefaults>
  <w:decimalSymbol w:val="."/>
  <w:listSeparator w:val=","/>
  <w14:docId w14:val="2DF7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color w:val="auto"/>
      <w:sz w:val="28"/>
      <w:szCs w:val="20"/>
    </w:rPr>
  </w:style>
  <w:style w:type="paragraph" w:styleId="Heading3">
    <w:name w:val="heading 3"/>
    <w:basedOn w:val="Normal"/>
    <w:qFormat/>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link w:val="Heading5Char"/>
    <w:qFormat/>
    <w:pPr>
      <w:keepNext/>
      <w:jc w:val="center"/>
      <w:outlineLvl w:val="4"/>
    </w:pPr>
    <w:rPr>
      <w:b/>
      <w:bCs/>
    </w:rPr>
  </w:style>
  <w:style w:type="paragraph" w:styleId="Heading6">
    <w:name w:val="heading 6"/>
    <w:basedOn w:val="Normal"/>
    <w:next w:val="Normal"/>
    <w:qFormat/>
    <w:pPr>
      <w:keepNext/>
      <w:outlineLvl w:val="5"/>
    </w:pPr>
    <w:rPr>
      <w:sz w:val="28"/>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pBdr>
        <w:top w:val="single" w:sz="4" w:space="0" w:color="auto" w:shadow="1"/>
        <w:left w:val="single" w:sz="4" w:space="4" w:color="auto" w:shadow="1"/>
        <w:bottom w:val="single" w:sz="4" w:space="1" w:color="auto" w:shadow="1"/>
        <w:right w:val="single" w:sz="4" w:space="4" w:color="auto" w:shadow="1"/>
      </w:pBdr>
      <w:ind w:left="720"/>
      <w:outlineLvl w:val="7"/>
    </w:pPr>
    <w:rPr>
      <w:b/>
      <w:bCs/>
    </w:rPr>
  </w:style>
  <w:style w:type="paragraph" w:styleId="Heading9">
    <w:name w:val="heading 9"/>
    <w:basedOn w:val="Normal"/>
    <w:next w:val="Normal"/>
    <w:qFormat/>
    <w:pPr>
      <w:keepNext/>
      <w:pBdr>
        <w:top w:val="single" w:sz="4" w:space="0" w:color="auto" w:shadow="1"/>
        <w:left w:val="single" w:sz="4" w:space="4" w:color="auto" w:shadow="1"/>
        <w:bottom w:val="single" w:sz="4" w:space="1" w:color="auto" w:shadow="1"/>
        <w:right w:val="single" w:sz="4" w:space="4" w:color="auto" w:shadow="1"/>
      </w:pBd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color w:val="auto"/>
      <w:sz w:val="28"/>
    </w:rPr>
  </w:style>
  <w:style w:type="paragraph" w:styleId="Header">
    <w:name w:val="header"/>
    <w:basedOn w:val="Normal"/>
    <w:link w:val="HeaderChar"/>
    <w:uiPriority w:val="99"/>
    <w:pPr>
      <w:tabs>
        <w:tab w:val="center" w:pos="4320"/>
        <w:tab w:val="right" w:pos="8640"/>
      </w:tabs>
    </w:pPr>
    <w:rPr>
      <w:color w:val="auto"/>
    </w:rPr>
  </w:style>
  <w:style w:type="character" w:styleId="FootnoteReference">
    <w:name w:val="footnote reference"/>
    <w:semiHidden/>
    <w:rPr>
      <w:vertAlign w:val="superscript"/>
    </w:rPr>
  </w:style>
  <w:style w:type="paragraph" w:styleId="Subtitle">
    <w:name w:val="Subtitle"/>
    <w:basedOn w:val="Normal"/>
    <w:qFormat/>
    <w:pPr>
      <w:jc w:val="center"/>
    </w:pPr>
    <w:rPr>
      <w:color w:val="auto"/>
      <w:sz w:val="28"/>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autoSpaceDE w:val="0"/>
      <w:autoSpaceDN w:val="0"/>
      <w:adjustRightInd w:val="0"/>
      <w:spacing w:line="260" w:lineRule="exact"/>
      <w:ind w:firstLine="720"/>
    </w:pPr>
  </w:style>
  <w:style w:type="character" w:styleId="Strong">
    <w:name w:val="Strong"/>
    <w:qFormat/>
    <w:rPr>
      <w:b/>
      <w:bC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color w:val="auto"/>
    </w:rPr>
  </w:style>
  <w:style w:type="character" w:styleId="HTMLCite">
    <w:name w:val="HTML Cite"/>
    <w:semiHidden/>
    <w:rPr>
      <w:i/>
      <w:iCs/>
    </w:rPr>
  </w:style>
  <w:style w:type="paragraph" w:styleId="Footer">
    <w:name w:val="footer"/>
    <w:basedOn w:val="Normal"/>
    <w:link w:val="FooterChar"/>
    <w:uiPriority w:val="99"/>
    <w:rsid w:val="0032052E"/>
    <w:pPr>
      <w:tabs>
        <w:tab w:val="center" w:pos="4320"/>
        <w:tab w:val="right" w:pos="8640"/>
      </w:tabs>
    </w:pPr>
  </w:style>
  <w:style w:type="character" w:styleId="PageNumber">
    <w:name w:val="page number"/>
    <w:basedOn w:val="DefaultParagraphFont"/>
    <w:semiHidden/>
  </w:style>
  <w:style w:type="paragraph" w:customStyle="1" w:styleId="tb1col">
    <w:name w:val="tb 1 col"/>
    <w:pPr>
      <w:widowControl w:val="0"/>
      <w:tabs>
        <w:tab w:val="left" w:pos="3120"/>
        <w:tab w:val="left" w:pos="6000"/>
      </w:tabs>
      <w:autoSpaceDE w:val="0"/>
      <w:autoSpaceDN w:val="0"/>
      <w:spacing w:line="240" w:lineRule="atLeast"/>
      <w:ind w:left="240" w:hanging="240"/>
    </w:pPr>
    <w:rPr>
      <w:rFonts w:ascii="Galliard" w:hAnsi="Galliard"/>
    </w:rPr>
  </w:style>
  <w:style w:type="paragraph" w:customStyle="1" w:styleId="blmid">
    <w:name w:val="bl mid"/>
    <w:basedOn w:val="Normal"/>
    <w:pPr>
      <w:widowControl w:val="0"/>
      <w:tabs>
        <w:tab w:val="left" w:pos="240"/>
      </w:tabs>
      <w:autoSpaceDE w:val="0"/>
      <w:autoSpaceDN w:val="0"/>
      <w:spacing w:before="60" w:line="260" w:lineRule="atLeast"/>
      <w:ind w:left="2160" w:hanging="360"/>
      <w:jc w:val="both"/>
    </w:pPr>
    <w:rPr>
      <w:rFonts w:ascii="Galliard" w:hAnsi="Galliard"/>
      <w:color w:val="auto"/>
      <w:sz w:val="22"/>
      <w:szCs w:val="20"/>
    </w:rPr>
  </w:style>
  <w:style w:type="paragraph" w:customStyle="1" w:styleId="text">
    <w:name w:val="text"/>
    <w:basedOn w:val="Normal"/>
    <w:pPr>
      <w:spacing w:before="100" w:beforeAutospacing="1" w:after="100" w:afterAutospacing="1" w:line="195" w:lineRule="atLeast"/>
    </w:pPr>
    <w:rPr>
      <w:rFonts w:ascii="Verdana" w:eastAsia="Arial Unicode MS" w:hAnsi="Verdana" w:cs="Arial Unicode MS"/>
      <w:sz w:val="17"/>
      <w:szCs w:val="17"/>
    </w:rPr>
  </w:style>
  <w:style w:type="paragraph" w:customStyle="1" w:styleId="xl23">
    <w:name w:val="xl23"/>
    <w:basedOn w:val="Normal"/>
    <w:pPr>
      <w:spacing w:before="100" w:beforeAutospacing="1" w:after="100" w:afterAutospacing="1"/>
    </w:pPr>
    <w:rPr>
      <w:rFonts w:ascii="Arial" w:hAnsi="Arial" w:cs="Arial"/>
      <w:color w:val="auto"/>
    </w:rPr>
  </w:style>
  <w:style w:type="character" w:customStyle="1" w:styleId="title1">
    <w:name w:val="title1"/>
    <w:rPr>
      <w:rFonts w:ascii="Times" w:hAnsi="Times" w:hint="default"/>
      <w:b/>
      <w:bCs/>
      <w:i w:val="0"/>
      <w:iCs w:val="0"/>
      <w:color w:val="000000"/>
      <w:sz w:val="24"/>
      <w:szCs w:val="24"/>
    </w:rPr>
  </w:style>
  <w:style w:type="paragraph" w:styleId="BodyText">
    <w:name w:val="Body Text"/>
    <w:basedOn w:val="Normal"/>
    <w:semiHidden/>
    <w:rPr>
      <w:b/>
      <w:bCs/>
      <w:color w:val="auto"/>
    </w:rPr>
  </w:style>
  <w:style w:type="character" w:customStyle="1" w:styleId="sub11">
    <w:name w:val="sub11"/>
    <w:rPr>
      <w:rFonts w:ascii="Helvetica" w:hAnsi="Helvetica" w:hint="default"/>
      <w:b/>
      <w:bCs/>
      <w:i w:val="0"/>
      <w:iCs w:val="0"/>
      <w:color w:val="336666"/>
      <w:sz w:val="22"/>
      <w:szCs w:val="22"/>
    </w:rPr>
  </w:style>
  <w:style w:type="character" w:customStyle="1" w:styleId="sub21">
    <w:name w:val="sub21"/>
    <w:rPr>
      <w:rFonts w:ascii="Verdana" w:hAnsi="Verdana" w:hint="default"/>
      <w:b/>
      <w:bCs/>
      <w:i w:val="0"/>
      <w:iCs w:val="0"/>
      <w:sz w:val="18"/>
      <w:szCs w:val="18"/>
    </w:rPr>
  </w:style>
  <w:style w:type="paragraph" w:styleId="BodyText2">
    <w:name w:val="Body Text 2"/>
    <w:basedOn w:val="Normal"/>
    <w:semiHidden/>
    <w:pPr>
      <w:autoSpaceDE w:val="0"/>
      <w:autoSpaceDN w:val="0"/>
      <w:adjustRightInd w:val="0"/>
    </w:pPr>
    <w:rPr>
      <w:szCs w:val="92"/>
    </w:rPr>
  </w:style>
  <w:style w:type="character" w:styleId="Emphasis">
    <w:name w:val="Emphasis"/>
    <w:uiPriority w:val="20"/>
    <w:qFormat/>
    <w:rPr>
      <w:i/>
      <w:iCs/>
    </w:rPr>
  </w:style>
  <w:style w:type="paragraph" w:styleId="BodyText3">
    <w:name w:val="Body Text 3"/>
    <w:basedOn w:val="Normal"/>
    <w:semiHidden/>
    <w:pPr>
      <w:shd w:val="clear" w:color="auto" w:fill="99CCFF"/>
    </w:pPr>
    <w:rPr>
      <w:sz w:val="20"/>
    </w:rPr>
  </w:style>
  <w:style w:type="character" w:customStyle="1" w:styleId="head">
    <w:name w:val="head"/>
    <w:basedOn w:val="DefaultParagraphFont"/>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customStyle="1" w:styleId="Normal1">
    <w:name w:val="Normal1"/>
    <w:basedOn w:val="Heading1"/>
    <w:autoRedefine/>
    <w:rsid w:val="00402D57"/>
    <w:pPr>
      <w:framePr w:hSpace="180" w:wrap="around" w:vAnchor="text" w:hAnchor="margin" w:y="936"/>
    </w:pPr>
    <w:rPr>
      <w:rFonts w:ascii="Arial" w:eastAsia="Calibri" w:hAnsi="Arial" w:cs="Arial"/>
      <w:b w:val="0"/>
      <w:color w:val="auto"/>
    </w:rPr>
  </w:style>
  <w:style w:type="paragraph" w:customStyle="1" w:styleId="center">
    <w:name w:val="center"/>
    <w:basedOn w:val="Normal"/>
    <w:pPr>
      <w:spacing w:before="100" w:beforeAutospacing="1" w:after="100" w:afterAutospacing="1"/>
    </w:pPr>
    <w:rPr>
      <w:rFonts w:ascii="Arial Unicode MS" w:eastAsia="Arial Unicode MS" w:hAnsi="Arial Unicode MS" w:cs="Arial Unicode MS"/>
      <w:color w:val="auto"/>
    </w:rPr>
  </w:style>
  <w:style w:type="paragraph" w:styleId="FootnoteText">
    <w:name w:val="footnote text"/>
    <w:basedOn w:val="Normal"/>
    <w:semiHidden/>
    <w:pPr>
      <w:ind w:left="360"/>
    </w:pPr>
    <w:rPr>
      <w:color w:val="auto"/>
      <w:sz w:val="20"/>
      <w:szCs w:val="20"/>
    </w:rPr>
  </w:style>
  <w:style w:type="paragraph" w:customStyle="1" w:styleId="Style1">
    <w:name w:val="Style1"/>
    <w:basedOn w:val="Normal"/>
    <w:autoRedefine/>
    <w:pPr>
      <w:tabs>
        <w:tab w:val="left" w:pos="8041"/>
      </w:tabs>
      <w:spacing w:line="480" w:lineRule="auto"/>
    </w:pPr>
    <w:rPr>
      <w:color w:val="auto"/>
    </w:rPr>
  </w:style>
  <w:style w:type="paragraph" w:customStyle="1" w:styleId="report">
    <w:name w:val="report"/>
    <w:basedOn w:val="FootnoteText"/>
    <w:pPr>
      <w:tabs>
        <w:tab w:val="left" w:pos="8041"/>
      </w:tabs>
      <w:spacing w:line="360" w:lineRule="auto"/>
      <w:ind w:left="0"/>
    </w:pPr>
    <w:rPr>
      <w:sz w:val="24"/>
      <w:szCs w:val="24"/>
    </w:rPr>
  </w:style>
  <w:style w:type="paragraph" w:styleId="BalloonText">
    <w:name w:val="Balloon Text"/>
    <w:basedOn w:val="Normal"/>
    <w:semiHidden/>
    <w:pPr>
      <w:tabs>
        <w:tab w:val="left" w:pos="720"/>
        <w:tab w:val="center" w:pos="4320"/>
        <w:tab w:val="right" w:pos="8640"/>
      </w:tabs>
    </w:pPr>
    <w:rPr>
      <w:rFonts w:ascii="Tahoma" w:hAnsi="Tahoma" w:cs="Tahoma"/>
      <w:sz w:val="16"/>
      <w:szCs w:val="16"/>
    </w:rPr>
  </w:style>
  <w:style w:type="character" w:customStyle="1" w:styleId="ti">
    <w:name w:val="ti"/>
    <w:basedOn w:val="DefaultParagraphFont"/>
  </w:style>
  <w:style w:type="character" w:customStyle="1" w:styleId="featuredlinkouts">
    <w:name w:val="featured_linkouts"/>
    <w:basedOn w:val="DefaultParagraphFont"/>
  </w:style>
  <w:style w:type="character" w:customStyle="1" w:styleId="linkbar">
    <w:name w:val="linkbar"/>
    <w:basedOn w:val="DefaultParagraphFont"/>
  </w:style>
  <w:style w:type="paragraph" w:customStyle="1" w:styleId="abstract">
    <w:name w:val="abstract"/>
    <w:basedOn w:val="Normal"/>
    <w:pPr>
      <w:spacing w:before="100" w:beforeAutospacing="1" w:after="100" w:afterAutospacing="1"/>
    </w:pPr>
    <w:rPr>
      <w:rFonts w:ascii="Arial Unicode MS" w:hAnsi="Arial Unicode MS"/>
    </w:rPr>
  </w:style>
  <w:style w:type="paragraph" w:customStyle="1" w:styleId="pmid">
    <w:name w:val="pmid"/>
    <w:basedOn w:val="Normal"/>
    <w:pPr>
      <w:spacing w:before="100" w:beforeAutospacing="1" w:after="100" w:afterAutospacing="1"/>
    </w:pPr>
    <w:rPr>
      <w:rFonts w:ascii="Arial Unicode MS" w:hAnsi="Arial Unicode MS"/>
    </w:rPr>
  </w:style>
  <w:style w:type="paragraph" w:customStyle="1" w:styleId="affiliation">
    <w:name w:val="affiliation"/>
    <w:basedOn w:val="Normal"/>
    <w:pPr>
      <w:spacing w:before="100" w:beforeAutospacing="1" w:after="100" w:afterAutospacing="1"/>
    </w:pPr>
  </w:style>
  <w:style w:type="character" w:customStyle="1" w:styleId="labels1">
    <w:name w:val="labels1"/>
    <w:rPr>
      <w:rFonts w:ascii="Arial" w:hAnsi="Arial" w:cs="Arial" w:hint="default"/>
      <w:b/>
      <w:bCs/>
      <w:color w:val="000000"/>
      <w:sz w:val="28"/>
      <w:szCs w:val="28"/>
    </w:rPr>
  </w:style>
  <w:style w:type="paragraph" w:customStyle="1" w:styleId="whs4">
    <w:name w:val="whs4"/>
    <w:basedOn w:val="Normal"/>
    <w:pPr>
      <w:spacing w:before="100" w:beforeAutospacing="1" w:after="100" w:afterAutospacing="1"/>
      <w:ind w:left="600"/>
    </w:pPr>
    <w:rPr>
      <w:color w:val="auto"/>
    </w:rPr>
  </w:style>
  <w:style w:type="character" w:customStyle="1" w:styleId="keyword1">
    <w:name w:val="keyword1"/>
    <w:basedOn w:val="DefaultParagraphFont"/>
  </w:style>
  <w:style w:type="paragraph" w:customStyle="1" w:styleId="StyleHeading2Bold">
    <w:name w:val="Style Heading 2 + Bold"/>
    <w:basedOn w:val="Heading2"/>
    <w:autoRedefine/>
    <w:rsid w:val="008010DF"/>
    <w:pPr>
      <w:keepNext w:val="0"/>
      <w:shd w:val="clear" w:color="auto" w:fill="D9D9D9"/>
      <w:outlineLvl w:val="9"/>
    </w:pPr>
    <w:rPr>
      <w:rFonts w:ascii="AGaramond-Regular" w:hAnsi="AGaramond-Regular" w:cs="Arial"/>
      <w:bCs/>
      <w:iCs/>
      <w:color w:val="000000"/>
      <w:sz w:val="24"/>
      <w:szCs w:val="24"/>
    </w:rPr>
  </w:style>
  <w:style w:type="paragraph" w:customStyle="1" w:styleId="underbold">
    <w:name w:val="underbold"/>
    <w:basedOn w:val="Normal"/>
    <w:pPr>
      <w:spacing w:before="100" w:beforeAutospacing="1" w:after="100" w:afterAutospacing="1"/>
      <w:ind w:right="2448"/>
    </w:pPr>
    <w:rPr>
      <w:rFonts w:ascii="Arial" w:eastAsia="Arial Unicode MS" w:hAnsi="Arial" w:cs="Arial"/>
      <w:b/>
      <w:bCs/>
      <w:sz w:val="20"/>
      <w:szCs w:val="20"/>
      <w:u w:val="single"/>
    </w:rPr>
  </w:style>
  <w:style w:type="paragraph" w:customStyle="1" w:styleId="pagetitle">
    <w:name w:val="pagetitle"/>
    <w:basedOn w:val="Normal"/>
    <w:pPr>
      <w:spacing w:before="100" w:beforeAutospacing="1" w:after="100" w:afterAutospacing="1"/>
      <w:jc w:val="center"/>
    </w:pPr>
    <w:rPr>
      <w:color w:val="000080"/>
      <w:sz w:val="30"/>
      <w:szCs w:val="30"/>
    </w:rPr>
  </w:style>
  <w:style w:type="paragraph" w:styleId="ListNumber4">
    <w:name w:val="List Number 4"/>
    <w:basedOn w:val="Normal"/>
    <w:semiHidden/>
    <w:pPr>
      <w:numPr>
        <w:numId w:val="1"/>
      </w:numPr>
      <w:spacing w:after="200" w:line="276" w:lineRule="auto"/>
    </w:pPr>
    <w:rPr>
      <w:color w:val="auto"/>
      <w:szCs w:val="22"/>
    </w:rPr>
  </w:style>
  <w:style w:type="paragraph" w:customStyle="1" w:styleId="aff">
    <w:name w:val="aff"/>
    <w:basedOn w:val="Normal"/>
    <w:pPr>
      <w:spacing w:before="100" w:beforeAutospacing="1" w:after="100" w:afterAutospacing="1"/>
    </w:pPr>
    <w:rPr>
      <w:color w:val="auto"/>
    </w:rPr>
  </w:style>
  <w:style w:type="paragraph" w:customStyle="1" w:styleId="citation">
    <w:name w:val="citation"/>
    <w:basedOn w:val="Normal"/>
    <w:pPr>
      <w:spacing w:before="100" w:beforeAutospacing="1" w:after="100" w:afterAutospacing="1"/>
    </w:pPr>
    <w:rPr>
      <w:rFonts w:ascii="Arial Unicode MS" w:eastAsia="Arial Unicode MS" w:hAnsi="Arial Unicode MS" w:cs="Arial Unicode MS"/>
      <w:color w:val="auto"/>
    </w:rPr>
  </w:style>
  <w:style w:type="paragraph" w:customStyle="1" w:styleId="rprtid">
    <w:name w:val="rprtid"/>
    <w:basedOn w:val="Normal"/>
    <w:pPr>
      <w:spacing w:before="100" w:beforeAutospacing="1" w:after="100" w:afterAutospacing="1"/>
    </w:pPr>
    <w:rPr>
      <w:rFonts w:ascii="Arial Unicode MS" w:eastAsia="Arial Unicode MS" w:hAnsi="Arial Unicode MS" w:cs="Arial Unicode MS"/>
      <w:color w:val="auto"/>
    </w:rPr>
  </w:style>
  <w:style w:type="character" w:customStyle="1" w:styleId="subabstractlabel">
    <w:name w:val="sub_abstract_label"/>
    <w:rPr>
      <w:b/>
      <w:bCs/>
      <w:sz w:val="24"/>
      <w:szCs w:val="24"/>
    </w:rPr>
  </w:style>
  <w:style w:type="character" w:customStyle="1" w:styleId="pmid1">
    <w:name w:val="pmid1"/>
    <w:basedOn w:val="DefaultParagraphFont"/>
  </w:style>
  <w:style w:type="paragraph" w:customStyle="1" w:styleId="authlist">
    <w:name w:val="auth_list"/>
    <w:basedOn w:val="Normal"/>
    <w:pPr>
      <w:spacing w:before="100" w:beforeAutospacing="1" w:after="100" w:afterAutospacing="1"/>
    </w:pPr>
    <w:rPr>
      <w:rFonts w:ascii="Arial Unicode MS" w:eastAsia="Arial Unicode MS" w:hAnsi="Arial Unicode MS" w:cs="Arial Unicode MS"/>
      <w:color w:val="auto"/>
    </w:rPr>
  </w:style>
  <w:style w:type="character" w:customStyle="1" w:styleId="highlight">
    <w:name w:val="highlight"/>
    <w:basedOn w:val="DefaultParagraphFont"/>
  </w:style>
  <w:style w:type="paragraph" w:customStyle="1" w:styleId="Default">
    <w:name w:val="Default"/>
    <w:pPr>
      <w:autoSpaceDE w:val="0"/>
      <w:autoSpaceDN w:val="0"/>
      <w:adjustRightInd w:val="0"/>
    </w:pPr>
    <w:rPr>
      <w:rFonts w:ascii="Arial" w:eastAsia="Calibri" w:hAnsi="Arial" w:cs="Arial"/>
      <w:color w:val="000000"/>
      <w:sz w:val="24"/>
      <w:szCs w:val="24"/>
    </w:rPr>
  </w:style>
  <w:style w:type="character" w:customStyle="1" w:styleId="apple-converted-space">
    <w:name w:val="apple-converted-space"/>
    <w:basedOn w:val="DefaultParagraphFont"/>
  </w:style>
  <w:style w:type="paragraph" w:styleId="CommentSubject">
    <w:name w:val="annotation subject"/>
    <w:basedOn w:val="CommentText"/>
    <w:next w:val="CommentText"/>
    <w:link w:val="CommentSubjectChar"/>
    <w:uiPriority w:val="99"/>
    <w:semiHidden/>
    <w:unhideWhenUsed/>
    <w:rsid w:val="00E77CBD"/>
    <w:rPr>
      <w:b/>
      <w:bCs/>
    </w:rPr>
  </w:style>
  <w:style w:type="character" w:customStyle="1" w:styleId="CommentTextChar">
    <w:name w:val="Comment Text Char"/>
    <w:link w:val="CommentText"/>
    <w:uiPriority w:val="99"/>
    <w:semiHidden/>
    <w:rsid w:val="00E77CBD"/>
    <w:rPr>
      <w:color w:val="000000"/>
    </w:rPr>
  </w:style>
  <w:style w:type="character" w:customStyle="1" w:styleId="CommentSubjectChar">
    <w:name w:val="Comment Subject Char"/>
    <w:link w:val="CommentSubject"/>
    <w:uiPriority w:val="99"/>
    <w:semiHidden/>
    <w:rsid w:val="00E77CBD"/>
    <w:rPr>
      <w:b/>
      <w:bCs/>
      <w:color w:val="000000"/>
    </w:rPr>
  </w:style>
  <w:style w:type="paragraph" w:styleId="Revision">
    <w:name w:val="Revision"/>
    <w:hidden/>
    <w:uiPriority w:val="99"/>
    <w:semiHidden/>
    <w:rsid w:val="0037466F"/>
    <w:rPr>
      <w:color w:val="000000"/>
      <w:sz w:val="24"/>
      <w:szCs w:val="24"/>
    </w:rPr>
  </w:style>
  <w:style w:type="paragraph" w:styleId="ListParagraph">
    <w:name w:val="List Paragraph"/>
    <w:basedOn w:val="Normal"/>
    <w:uiPriority w:val="34"/>
    <w:qFormat/>
    <w:rsid w:val="00031F56"/>
    <w:pPr>
      <w:ind w:left="720"/>
    </w:pPr>
    <w:rPr>
      <w:rFonts w:ascii="Calibri" w:eastAsia="Calibri" w:hAnsi="Calibri"/>
      <w:color w:val="auto"/>
      <w:sz w:val="22"/>
      <w:szCs w:val="22"/>
    </w:rPr>
  </w:style>
  <w:style w:type="paragraph" w:styleId="TOCHeading">
    <w:name w:val="TOC Heading"/>
    <w:basedOn w:val="Heading1"/>
    <w:next w:val="Normal"/>
    <w:uiPriority w:val="39"/>
    <w:unhideWhenUsed/>
    <w:qFormat/>
    <w:rsid w:val="00576117"/>
    <w:pPr>
      <w:keepLines/>
      <w:spacing w:before="480" w:line="276" w:lineRule="auto"/>
      <w:outlineLvl w:val="9"/>
    </w:pPr>
    <w:rPr>
      <w:rFonts w:ascii="Calibri" w:eastAsia="MS Gothic" w:hAnsi="Calibri"/>
      <w:color w:val="365F91"/>
      <w:sz w:val="28"/>
      <w:szCs w:val="28"/>
    </w:rPr>
  </w:style>
  <w:style w:type="paragraph" w:styleId="TOC2">
    <w:name w:val="toc 2"/>
    <w:basedOn w:val="Normal"/>
    <w:next w:val="Normal"/>
    <w:autoRedefine/>
    <w:uiPriority w:val="39"/>
    <w:unhideWhenUsed/>
    <w:rsid w:val="00576117"/>
    <w:pPr>
      <w:ind w:left="240"/>
    </w:pPr>
    <w:rPr>
      <w:rFonts w:ascii="Cambria" w:hAnsi="Cambria"/>
      <w:b/>
      <w:sz w:val="22"/>
      <w:szCs w:val="22"/>
    </w:rPr>
  </w:style>
  <w:style w:type="paragraph" w:styleId="TOC1">
    <w:name w:val="toc 1"/>
    <w:basedOn w:val="Normal"/>
    <w:next w:val="Normal"/>
    <w:autoRedefine/>
    <w:uiPriority w:val="39"/>
    <w:unhideWhenUsed/>
    <w:rsid w:val="00576117"/>
    <w:pPr>
      <w:spacing w:before="120"/>
    </w:pPr>
    <w:rPr>
      <w:rFonts w:ascii="Cambria" w:hAnsi="Cambria"/>
      <w:b/>
    </w:rPr>
  </w:style>
  <w:style w:type="paragraph" w:styleId="TOC3">
    <w:name w:val="toc 3"/>
    <w:basedOn w:val="Normal"/>
    <w:next w:val="Normal"/>
    <w:autoRedefine/>
    <w:uiPriority w:val="39"/>
    <w:unhideWhenUsed/>
    <w:rsid w:val="00576117"/>
    <w:pPr>
      <w:ind w:left="480"/>
    </w:pPr>
    <w:rPr>
      <w:rFonts w:ascii="Cambria" w:hAnsi="Cambria"/>
      <w:sz w:val="22"/>
      <w:szCs w:val="22"/>
    </w:rPr>
  </w:style>
  <w:style w:type="paragraph" w:styleId="TOC4">
    <w:name w:val="toc 4"/>
    <w:basedOn w:val="Normal"/>
    <w:next w:val="Normal"/>
    <w:autoRedefine/>
    <w:uiPriority w:val="39"/>
    <w:semiHidden/>
    <w:unhideWhenUsed/>
    <w:rsid w:val="00576117"/>
    <w:pPr>
      <w:ind w:left="720"/>
    </w:pPr>
    <w:rPr>
      <w:rFonts w:ascii="Cambria" w:hAnsi="Cambria"/>
      <w:sz w:val="20"/>
      <w:szCs w:val="20"/>
    </w:rPr>
  </w:style>
  <w:style w:type="paragraph" w:styleId="TOC5">
    <w:name w:val="toc 5"/>
    <w:basedOn w:val="Normal"/>
    <w:next w:val="Normal"/>
    <w:autoRedefine/>
    <w:uiPriority w:val="39"/>
    <w:semiHidden/>
    <w:unhideWhenUsed/>
    <w:rsid w:val="00576117"/>
    <w:pPr>
      <w:ind w:left="960"/>
    </w:pPr>
    <w:rPr>
      <w:rFonts w:ascii="Cambria" w:hAnsi="Cambria"/>
      <w:sz w:val="20"/>
      <w:szCs w:val="20"/>
    </w:rPr>
  </w:style>
  <w:style w:type="paragraph" w:styleId="TOC6">
    <w:name w:val="toc 6"/>
    <w:basedOn w:val="Normal"/>
    <w:next w:val="Normal"/>
    <w:autoRedefine/>
    <w:uiPriority w:val="39"/>
    <w:semiHidden/>
    <w:unhideWhenUsed/>
    <w:rsid w:val="00576117"/>
    <w:pPr>
      <w:ind w:left="1200"/>
    </w:pPr>
    <w:rPr>
      <w:rFonts w:ascii="Cambria" w:hAnsi="Cambria"/>
      <w:sz w:val="20"/>
      <w:szCs w:val="20"/>
    </w:rPr>
  </w:style>
  <w:style w:type="paragraph" w:styleId="TOC7">
    <w:name w:val="toc 7"/>
    <w:basedOn w:val="Normal"/>
    <w:next w:val="Normal"/>
    <w:autoRedefine/>
    <w:uiPriority w:val="39"/>
    <w:semiHidden/>
    <w:unhideWhenUsed/>
    <w:rsid w:val="00576117"/>
    <w:pPr>
      <w:ind w:left="1440"/>
    </w:pPr>
    <w:rPr>
      <w:rFonts w:ascii="Cambria" w:hAnsi="Cambria"/>
      <w:sz w:val="20"/>
      <w:szCs w:val="20"/>
    </w:rPr>
  </w:style>
  <w:style w:type="paragraph" w:styleId="TOC8">
    <w:name w:val="toc 8"/>
    <w:basedOn w:val="Normal"/>
    <w:next w:val="Normal"/>
    <w:autoRedefine/>
    <w:uiPriority w:val="39"/>
    <w:semiHidden/>
    <w:unhideWhenUsed/>
    <w:rsid w:val="00576117"/>
    <w:pPr>
      <w:ind w:left="1680"/>
    </w:pPr>
    <w:rPr>
      <w:rFonts w:ascii="Cambria" w:hAnsi="Cambria"/>
      <w:sz w:val="20"/>
      <w:szCs w:val="20"/>
    </w:rPr>
  </w:style>
  <w:style w:type="paragraph" w:styleId="TOC9">
    <w:name w:val="toc 9"/>
    <w:basedOn w:val="Normal"/>
    <w:next w:val="Normal"/>
    <w:autoRedefine/>
    <w:uiPriority w:val="39"/>
    <w:semiHidden/>
    <w:unhideWhenUsed/>
    <w:rsid w:val="00576117"/>
    <w:pPr>
      <w:ind w:left="1920"/>
    </w:pPr>
    <w:rPr>
      <w:rFonts w:ascii="Cambria" w:hAnsi="Cambria"/>
      <w:sz w:val="20"/>
      <w:szCs w:val="20"/>
    </w:rPr>
  </w:style>
  <w:style w:type="character" w:customStyle="1" w:styleId="FooterChar">
    <w:name w:val="Footer Char"/>
    <w:link w:val="Footer"/>
    <w:uiPriority w:val="99"/>
    <w:rsid w:val="0099006A"/>
    <w:rPr>
      <w:color w:val="000000"/>
      <w:sz w:val="24"/>
      <w:szCs w:val="24"/>
    </w:rPr>
  </w:style>
  <w:style w:type="character" w:customStyle="1" w:styleId="journalname">
    <w:name w:val="journalname"/>
    <w:rsid w:val="00871C57"/>
  </w:style>
  <w:style w:type="character" w:customStyle="1" w:styleId="year">
    <w:name w:val="year"/>
    <w:rsid w:val="00871C57"/>
  </w:style>
  <w:style w:type="character" w:customStyle="1" w:styleId="volume">
    <w:name w:val="volume"/>
    <w:rsid w:val="00871C57"/>
  </w:style>
  <w:style w:type="character" w:customStyle="1" w:styleId="issue3">
    <w:name w:val="issue3"/>
    <w:rsid w:val="00871C57"/>
  </w:style>
  <w:style w:type="character" w:customStyle="1" w:styleId="page">
    <w:name w:val="page"/>
    <w:rsid w:val="00871C57"/>
  </w:style>
  <w:style w:type="character" w:customStyle="1" w:styleId="TitleChar">
    <w:name w:val="Title Char"/>
    <w:link w:val="Title"/>
    <w:rsid w:val="00E11964"/>
    <w:rPr>
      <w:b/>
      <w:bCs/>
      <w:sz w:val="28"/>
      <w:szCs w:val="24"/>
    </w:rPr>
  </w:style>
  <w:style w:type="character" w:customStyle="1" w:styleId="HeaderChar">
    <w:name w:val="Header Char"/>
    <w:basedOn w:val="DefaultParagraphFont"/>
    <w:link w:val="Header"/>
    <w:uiPriority w:val="99"/>
    <w:rsid w:val="001B5C47"/>
    <w:rPr>
      <w:sz w:val="24"/>
      <w:szCs w:val="24"/>
    </w:rPr>
  </w:style>
  <w:style w:type="paragraph" w:customStyle="1" w:styleId="Aheads">
    <w:name w:val="A heads"/>
    <w:basedOn w:val="Normal"/>
    <w:link w:val="AheadsChar"/>
    <w:qFormat/>
    <w:rsid w:val="00152A5C"/>
    <w:pPr>
      <w:spacing w:after="160" w:line="360" w:lineRule="auto"/>
    </w:pPr>
    <w:rPr>
      <w:rFonts w:ascii="Arial" w:hAnsi="Arial" w:cs="Arial"/>
      <w:b/>
      <w:bCs/>
      <w:smallCaps/>
      <w:color w:val="auto"/>
      <w:sz w:val="44"/>
      <w:szCs w:val="40"/>
    </w:rPr>
  </w:style>
  <w:style w:type="character" w:customStyle="1" w:styleId="AheadsChar">
    <w:name w:val="A heads Char"/>
    <w:basedOn w:val="DefaultParagraphFont"/>
    <w:link w:val="Aheads"/>
    <w:rsid w:val="00152A5C"/>
    <w:rPr>
      <w:rFonts w:ascii="Arial" w:hAnsi="Arial" w:cs="Arial"/>
      <w:b/>
      <w:bCs/>
      <w:smallCaps/>
      <w:sz w:val="44"/>
      <w:szCs w:val="40"/>
    </w:rPr>
  </w:style>
  <w:style w:type="character" w:customStyle="1" w:styleId="Heading5Char">
    <w:name w:val="Heading 5 Char"/>
    <w:basedOn w:val="DefaultParagraphFont"/>
    <w:link w:val="Heading5"/>
    <w:rsid w:val="00913673"/>
    <w:rPr>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color w:val="auto"/>
      <w:sz w:val="28"/>
      <w:szCs w:val="20"/>
    </w:rPr>
  </w:style>
  <w:style w:type="paragraph" w:styleId="Heading3">
    <w:name w:val="heading 3"/>
    <w:basedOn w:val="Normal"/>
    <w:qFormat/>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link w:val="Heading5Char"/>
    <w:qFormat/>
    <w:pPr>
      <w:keepNext/>
      <w:jc w:val="center"/>
      <w:outlineLvl w:val="4"/>
    </w:pPr>
    <w:rPr>
      <w:b/>
      <w:bCs/>
    </w:rPr>
  </w:style>
  <w:style w:type="paragraph" w:styleId="Heading6">
    <w:name w:val="heading 6"/>
    <w:basedOn w:val="Normal"/>
    <w:next w:val="Normal"/>
    <w:qFormat/>
    <w:pPr>
      <w:keepNext/>
      <w:outlineLvl w:val="5"/>
    </w:pPr>
    <w:rPr>
      <w:sz w:val="28"/>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pBdr>
        <w:top w:val="single" w:sz="4" w:space="0" w:color="auto" w:shadow="1"/>
        <w:left w:val="single" w:sz="4" w:space="4" w:color="auto" w:shadow="1"/>
        <w:bottom w:val="single" w:sz="4" w:space="1" w:color="auto" w:shadow="1"/>
        <w:right w:val="single" w:sz="4" w:space="4" w:color="auto" w:shadow="1"/>
      </w:pBdr>
      <w:ind w:left="720"/>
      <w:outlineLvl w:val="7"/>
    </w:pPr>
    <w:rPr>
      <w:b/>
      <w:bCs/>
    </w:rPr>
  </w:style>
  <w:style w:type="paragraph" w:styleId="Heading9">
    <w:name w:val="heading 9"/>
    <w:basedOn w:val="Normal"/>
    <w:next w:val="Normal"/>
    <w:qFormat/>
    <w:pPr>
      <w:keepNext/>
      <w:pBdr>
        <w:top w:val="single" w:sz="4" w:space="0" w:color="auto" w:shadow="1"/>
        <w:left w:val="single" w:sz="4" w:space="4" w:color="auto" w:shadow="1"/>
        <w:bottom w:val="single" w:sz="4" w:space="1" w:color="auto" w:shadow="1"/>
        <w:right w:val="single" w:sz="4" w:space="4" w:color="auto" w:shadow="1"/>
      </w:pBd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color w:val="auto"/>
      <w:sz w:val="28"/>
    </w:rPr>
  </w:style>
  <w:style w:type="paragraph" w:styleId="Header">
    <w:name w:val="header"/>
    <w:basedOn w:val="Normal"/>
    <w:link w:val="HeaderChar"/>
    <w:uiPriority w:val="99"/>
    <w:pPr>
      <w:tabs>
        <w:tab w:val="center" w:pos="4320"/>
        <w:tab w:val="right" w:pos="8640"/>
      </w:tabs>
    </w:pPr>
    <w:rPr>
      <w:color w:val="auto"/>
    </w:rPr>
  </w:style>
  <w:style w:type="character" w:styleId="FootnoteReference">
    <w:name w:val="footnote reference"/>
    <w:semiHidden/>
    <w:rPr>
      <w:vertAlign w:val="superscript"/>
    </w:rPr>
  </w:style>
  <w:style w:type="paragraph" w:styleId="Subtitle">
    <w:name w:val="Subtitle"/>
    <w:basedOn w:val="Normal"/>
    <w:qFormat/>
    <w:pPr>
      <w:jc w:val="center"/>
    </w:pPr>
    <w:rPr>
      <w:color w:val="auto"/>
      <w:sz w:val="28"/>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autoSpaceDE w:val="0"/>
      <w:autoSpaceDN w:val="0"/>
      <w:adjustRightInd w:val="0"/>
      <w:spacing w:line="260" w:lineRule="exact"/>
      <w:ind w:firstLine="720"/>
    </w:pPr>
  </w:style>
  <w:style w:type="character" w:styleId="Strong">
    <w:name w:val="Strong"/>
    <w:qFormat/>
    <w:rPr>
      <w:b/>
      <w:bC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color w:val="auto"/>
    </w:rPr>
  </w:style>
  <w:style w:type="character" w:styleId="HTMLCite">
    <w:name w:val="HTML Cite"/>
    <w:semiHidden/>
    <w:rPr>
      <w:i/>
      <w:iCs/>
    </w:rPr>
  </w:style>
  <w:style w:type="paragraph" w:styleId="Footer">
    <w:name w:val="footer"/>
    <w:basedOn w:val="Normal"/>
    <w:link w:val="FooterChar"/>
    <w:uiPriority w:val="99"/>
    <w:rsid w:val="0032052E"/>
    <w:pPr>
      <w:tabs>
        <w:tab w:val="center" w:pos="4320"/>
        <w:tab w:val="right" w:pos="8640"/>
      </w:tabs>
    </w:pPr>
  </w:style>
  <w:style w:type="character" w:styleId="PageNumber">
    <w:name w:val="page number"/>
    <w:basedOn w:val="DefaultParagraphFont"/>
    <w:semiHidden/>
  </w:style>
  <w:style w:type="paragraph" w:customStyle="1" w:styleId="tb1col">
    <w:name w:val="tb 1 col"/>
    <w:pPr>
      <w:widowControl w:val="0"/>
      <w:tabs>
        <w:tab w:val="left" w:pos="3120"/>
        <w:tab w:val="left" w:pos="6000"/>
      </w:tabs>
      <w:autoSpaceDE w:val="0"/>
      <w:autoSpaceDN w:val="0"/>
      <w:spacing w:line="240" w:lineRule="atLeast"/>
      <w:ind w:left="240" w:hanging="240"/>
    </w:pPr>
    <w:rPr>
      <w:rFonts w:ascii="Galliard" w:hAnsi="Galliard"/>
    </w:rPr>
  </w:style>
  <w:style w:type="paragraph" w:customStyle="1" w:styleId="blmid">
    <w:name w:val="bl mid"/>
    <w:basedOn w:val="Normal"/>
    <w:pPr>
      <w:widowControl w:val="0"/>
      <w:tabs>
        <w:tab w:val="left" w:pos="240"/>
      </w:tabs>
      <w:autoSpaceDE w:val="0"/>
      <w:autoSpaceDN w:val="0"/>
      <w:spacing w:before="60" w:line="260" w:lineRule="atLeast"/>
      <w:ind w:left="2160" w:hanging="360"/>
      <w:jc w:val="both"/>
    </w:pPr>
    <w:rPr>
      <w:rFonts w:ascii="Galliard" w:hAnsi="Galliard"/>
      <w:color w:val="auto"/>
      <w:sz w:val="22"/>
      <w:szCs w:val="20"/>
    </w:rPr>
  </w:style>
  <w:style w:type="paragraph" w:customStyle="1" w:styleId="text">
    <w:name w:val="text"/>
    <w:basedOn w:val="Normal"/>
    <w:pPr>
      <w:spacing w:before="100" w:beforeAutospacing="1" w:after="100" w:afterAutospacing="1" w:line="195" w:lineRule="atLeast"/>
    </w:pPr>
    <w:rPr>
      <w:rFonts w:ascii="Verdana" w:eastAsia="Arial Unicode MS" w:hAnsi="Verdana" w:cs="Arial Unicode MS"/>
      <w:sz w:val="17"/>
      <w:szCs w:val="17"/>
    </w:rPr>
  </w:style>
  <w:style w:type="paragraph" w:customStyle="1" w:styleId="xl23">
    <w:name w:val="xl23"/>
    <w:basedOn w:val="Normal"/>
    <w:pPr>
      <w:spacing w:before="100" w:beforeAutospacing="1" w:after="100" w:afterAutospacing="1"/>
    </w:pPr>
    <w:rPr>
      <w:rFonts w:ascii="Arial" w:hAnsi="Arial" w:cs="Arial"/>
      <w:color w:val="auto"/>
    </w:rPr>
  </w:style>
  <w:style w:type="character" w:customStyle="1" w:styleId="title1">
    <w:name w:val="title1"/>
    <w:rPr>
      <w:rFonts w:ascii="Times" w:hAnsi="Times" w:hint="default"/>
      <w:b/>
      <w:bCs/>
      <w:i w:val="0"/>
      <w:iCs w:val="0"/>
      <w:color w:val="000000"/>
      <w:sz w:val="24"/>
      <w:szCs w:val="24"/>
    </w:rPr>
  </w:style>
  <w:style w:type="paragraph" w:styleId="BodyText">
    <w:name w:val="Body Text"/>
    <w:basedOn w:val="Normal"/>
    <w:semiHidden/>
    <w:rPr>
      <w:b/>
      <w:bCs/>
      <w:color w:val="auto"/>
    </w:rPr>
  </w:style>
  <w:style w:type="character" w:customStyle="1" w:styleId="sub11">
    <w:name w:val="sub11"/>
    <w:rPr>
      <w:rFonts w:ascii="Helvetica" w:hAnsi="Helvetica" w:hint="default"/>
      <w:b/>
      <w:bCs/>
      <w:i w:val="0"/>
      <w:iCs w:val="0"/>
      <w:color w:val="336666"/>
      <w:sz w:val="22"/>
      <w:szCs w:val="22"/>
    </w:rPr>
  </w:style>
  <w:style w:type="character" w:customStyle="1" w:styleId="sub21">
    <w:name w:val="sub21"/>
    <w:rPr>
      <w:rFonts w:ascii="Verdana" w:hAnsi="Verdana" w:hint="default"/>
      <w:b/>
      <w:bCs/>
      <w:i w:val="0"/>
      <w:iCs w:val="0"/>
      <w:sz w:val="18"/>
      <w:szCs w:val="18"/>
    </w:rPr>
  </w:style>
  <w:style w:type="paragraph" w:styleId="BodyText2">
    <w:name w:val="Body Text 2"/>
    <w:basedOn w:val="Normal"/>
    <w:semiHidden/>
    <w:pPr>
      <w:autoSpaceDE w:val="0"/>
      <w:autoSpaceDN w:val="0"/>
      <w:adjustRightInd w:val="0"/>
    </w:pPr>
    <w:rPr>
      <w:szCs w:val="92"/>
    </w:rPr>
  </w:style>
  <w:style w:type="character" w:styleId="Emphasis">
    <w:name w:val="Emphasis"/>
    <w:uiPriority w:val="20"/>
    <w:qFormat/>
    <w:rPr>
      <w:i/>
      <w:iCs/>
    </w:rPr>
  </w:style>
  <w:style w:type="paragraph" w:styleId="BodyText3">
    <w:name w:val="Body Text 3"/>
    <w:basedOn w:val="Normal"/>
    <w:semiHidden/>
    <w:pPr>
      <w:shd w:val="clear" w:color="auto" w:fill="99CCFF"/>
    </w:pPr>
    <w:rPr>
      <w:sz w:val="20"/>
    </w:rPr>
  </w:style>
  <w:style w:type="character" w:customStyle="1" w:styleId="head">
    <w:name w:val="head"/>
    <w:basedOn w:val="DefaultParagraphFont"/>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customStyle="1" w:styleId="Normal1">
    <w:name w:val="Normal1"/>
    <w:basedOn w:val="Heading1"/>
    <w:autoRedefine/>
    <w:rsid w:val="00402D57"/>
    <w:pPr>
      <w:framePr w:hSpace="180" w:wrap="around" w:vAnchor="text" w:hAnchor="margin" w:y="936"/>
    </w:pPr>
    <w:rPr>
      <w:rFonts w:ascii="Arial" w:eastAsia="Calibri" w:hAnsi="Arial" w:cs="Arial"/>
      <w:b w:val="0"/>
      <w:color w:val="auto"/>
    </w:rPr>
  </w:style>
  <w:style w:type="paragraph" w:customStyle="1" w:styleId="center">
    <w:name w:val="center"/>
    <w:basedOn w:val="Normal"/>
    <w:pPr>
      <w:spacing w:before="100" w:beforeAutospacing="1" w:after="100" w:afterAutospacing="1"/>
    </w:pPr>
    <w:rPr>
      <w:rFonts w:ascii="Arial Unicode MS" w:eastAsia="Arial Unicode MS" w:hAnsi="Arial Unicode MS" w:cs="Arial Unicode MS"/>
      <w:color w:val="auto"/>
    </w:rPr>
  </w:style>
  <w:style w:type="paragraph" w:styleId="FootnoteText">
    <w:name w:val="footnote text"/>
    <w:basedOn w:val="Normal"/>
    <w:semiHidden/>
    <w:pPr>
      <w:ind w:left="360"/>
    </w:pPr>
    <w:rPr>
      <w:color w:val="auto"/>
      <w:sz w:val="20"/>
      <w:szCs w:val="20"/>
    </w:rPr>
  </w:style>
  <w:style w:type="paragraph" w:customStyle="1" w:styleId="Style1">
    <w:name w:val="Style1"/>
    <w:basedOn w:val="Normal"/>
    <w:autoRedefine/>
    <w:pPr>
      <w:tabs>
        <w:tab w:val="left" w:pos="8041"/>
      </w:tabs>
      <w:spacing w:line="480" w:lineRule="auto"/>
    </w:pPr>
    <w:rPr>
      <w:color w:val="auto"/>
    </w:rPr>
  </w:style>
  <w:style w:type="paragraph" w:customStyle="1" w:styleId="report">
    <w:name w:val="report"/>
    <w:basedOn w:val="FootnoteText"/>
    <w:pPr>
      <w:tabs>
        <w:tab w:val="left" w:pos="8041"/>
      </w:tabs>
      <w:spacing w:line="360" w:lineRule="auto"/>
      <w:ind w:left="0"/>
    </w:pPr>
    <w:rPr>
      <w:sz w:val="24"/>
      <w:szCs w:val="24"/>
    </w:rPr>
  </w:style>
  <w:style w:type="paragraph" w:styleId="BalloonText">
    <w:name w:val="Balloon Text"/>
    <w:basedOn w:val="Normal"/>
    <w:semiHidden/>
    <w:pPr>
      <w:tabs>
        <w:tab w:val="left" w:pos="720"/>
        <w:tab w:val="center" w:pos="4320"/>
        <w:tab w:val="right" w:pos="8640"/>
      </w:tabs>
    </w:pPr>
    <w:rPr>
      <w:rFonts w:ascii="Tahoma" w:hAnsi="Tahoma" w:cs="Tahoma"/>
      <w:sz w:val="16"/>
      <w:szCs w:val="16"/>
    </w:rPr>
  </w:style>
  <w:style w:type="character" w:customStyle="1" w:styleId="ti">
    <w:name w:val="ti"/>
    <w:basedOn w:val="DefaultParagraphFont"/>
  </w:style>
  <w:style w:type="character" w:customStyle="1" w:styleId="featuredlinkouts">
    <w:name w:val="featured_linkouts"/>
    <w:basedOn w:val="DefaultParagraphFont"/>
  </w:style>
  <w:style w:type="character" w:customStyle="1" w:styleId="linkbar">
    <w:name w:val="linkbar"/>
    <w:basedOn w:val="DefaultParagraphFont"/>
  </w:style>
  <w:style w:type="paragraph" w:customStyle="1" w:styleId="abstract">
    <w:name w:val="abstract"/>
    <w:basedOn w:val="Normal"/>
    <w:pPr>
      <w:spacing w:before="100" w:beforeAutospacing="1" w:after="100" w:afterAutospacing="1"/>
    </w:pPr>
    <w:rPr>
      <w:rFonts w:ascii="Arial Unicode MS" w:hAnsi="Arial Unicode MS"/>
    </w:rPr>
  </w:style>
  <w:style w:type="paragraph" w:customStyle="1" w:styleId="pmid">
    <w:name w:val="pmid"/>
    <w:basedOn w:val="Normal"/>
    <w:pPr>
      <w:spacing w:before="100" w:beforeAutospacing="1" w:after="100" w:afterAutospacing="1"/>
    </w:pPr>
    <w:rPr>
      <w:rFonts w:ascii="Arial Unicode MS" w:hAnsi="Arial Unicode MS"/>
    </w:rPr>
  </w:style>
  <w:style w:type="paragraph" w:customStyle="1" w:styleId="affiliation">
    <w:name w:val="affiliation"/>
    <w:basedOn w:val="Normal"/>
    <w:pPr>
      <w:spacing w:before="100" w:beforeAutospacing="1" w:after="100" w:afterAutospacing="1"/>
    </w:pPr>
  </w:style>
  <w:style w:type="character" w:customStyle="1" w:styleId="labels1">
    <w:name w:val="labels1"/>
    <w:rPr>
      <w:rFonts w:ascii="Arial" w:hAnsi="Arial" w:cs="Arial" w:hint="default"/>
      <w:b/>
      <w:bCs/>
      <w:color w:val="000000"/>
      <w:sz w:val="28"/>
      <w:szCs w:val="28"/>
    </w:rPr>
  </w:style>
  <w:style w:type="paragraph" w:customStyle="1" w:styleId="whs4">
    <w:name w:val="whs4"/>
    <w:basedOn w:val="Normal"/>
    <w:pPr>
      <w:spacing w:before="100" w:beforeAutospacing="1" w:after="100" w:afterAutospacing="1"/>
      <w:ind w:left="600"/>
    </w:pPr>
    <w:rPr>
      <w:color w:val="auto"/>
    </w:rPr>
  </w:style>
  <w:style w:type="character" w:customStyle="1" w:styleId="keyword1">
    <w:name w:val="keyword1"/>
    <w:basedOn w:val="DefaultParagraphFont"/>
  </w:style>
  <w:style w:type="paragraph" w:customStyle="1" w:styleId="StyleHeading2Bold">
    <w:name w:val="Style Heading 2 + Bold"/>
    <w:basedOn w:val="Heading2"/>
    <w:autoRedefine/>
    <w:rsid w:val="008010DF"/>
    <w:pPr>
      <w:keepNext w:val="0"/>
      <w:shd w:val="clear" w:color="auto" w:fill="D9D9D9"/>
      <w:outlineLvl w:val="9"/>
    </w:pPr>
    <w:rPr>
      <w:rFonts w:ascii="AGaramond-Regular" w:hAnsi="AGaramond-Regular" w:cs="Arial"/>
      <w:bCs/>
      <w:iCs/>
      <w:color w:val="000000"/>
      <w:sz w:val="24"/>
      <w:szCs w:val="24"/>
    </w:rPr>
  </w:style>
  <w:style w:type="paragraph" w:customStyle="1" w:styleId="underbold">
    <w:name w:val="underbold"/>
    <w:basedOn w:val="Normal"/>
    <w:pPr>
      <w:spacing w:before="100" w:beforeAutospacing="1" w:after="100" w:afterAutospacing="1"/>
      <w:ind w:right="2448"/>
    </w:pPr>
    <w:rPr>
      <w:rFonts w:ascii="Arial" w:eastAsia="Arial Unicode MS" w:hAnsi="Arial" w:cs="Arial"/>
      <w:b/>
      <w:bCs/>
      <w:sz w:val="20"/>
      <w:szCs w:val="20"/>
      <w:u w:val="single"/>
    </w:rPr>
  </w:style>
  <w:style w:type="paragraph" w:customStyle="1" w:styleId="pagetitle">
    <w:name w:val="pagetitle"/>
    <w:basedOn w:val="Normal"/>
    <w:pPr>
      <w:spacing w:before="100" w:beforeAutospacing="1" w:after="100" w:afterAutospacing="1"/>
      <w:jc w:val="center"/>
    </w:pPr>
    <w:rPr>
      <w:color w:val="000080"/>
      <w:sz w:val="30"/>
      <w:szCs w:val="30"/>
    </w:rPr>
  </w:style>
  <w:style w:type="paragraph" w:styleId="ListNumber4">
    <w:name w:val="List Number 4"/>
    <w:basedOn w:val="Normal"/>
    <w:semiHidden/>
    <w:pPr>
      <w:numPr>
        <w:numId w:val="1"/>
      </w:numPr>
      <w:spacing w:after="200" w:line="276" w:lineRule="auto"/>
    </w:pPr>
    <w:rPr>
      <w:color w:val="auto"/>
      <w:szCs w:val="22"/>
    </w:rPr>
  </w:style>
  <w:style w:type="paragraph" w:customStyle="1" w:styleId="aff">
    <w:name w:val="aff"/>
    <w:basedOn w:val="Normal"/>
    <w:pPr>
      <w:spacing w:before="100" w:beforeAutospacing="1" w:after="100" w:afterAutospacing="1"/>
    </w:pPr>
    <w:rPr>
      <w:color w:val="auto"/>
    </w:rPr>
  </w:style>
  <w:style w:type="paragraph" w:customStyle="1" w:styleId="citation">
    <w:name w:val="citation"/>
    <w:basedOn w:val="Normal"/>
    <w:pPr>
      <w:spacing w:before="100" w:beforeAutospacing="1" w:after="100" w:afterAutospacing="1"/>
    </w:pPr>
    <w:rPr>
      <w:rFonts w:ascii="Arial Unicode MS" w:eastAsia="Arial Unicode MS" w:hAnsi="Arial Unicode MS" w:cs="Arial Unicode MS"/>
      <w:color w:val="auto"/>
    </w:rPr>
  </w:style>
  <w:style w:type="paragraph" w:customStyle="1" w:styleId="rprtid">
    <w:name w:val="rprtid"/>
    <w:basedOn w:val="Normal"/>
    <w:pPr>
      <w:spacing w:before="100" w:beforeAutospacing="1" w:after="100" w:afterAutospacing="1"/>
    </w:pPr>
    <w:rPr>
      <w:rFonts w:ascii="Arial Unicode MS" w:eastAsia="Arial Unicode MS" w:hAnsi="Arial Unicode MS" w:cs="Arial Unicode MS"/>
      <w:color w:val="auto"/>
    </w:rPr>
  </w:style>
  <w:style w:type="character" w:customStyle="1" w:styleId="subabstractlabel">
    <w:name w:val="sub_abstract_label"/>
    <w:rPr>
      <w:b/>
      <w:bCs/>
      <w:sz w:val="24"/>
      <w:szCs w:val="24"/>
    </w:rPr>
  </w:style>
  <w:style w:type="character" w:customStyle="1" w:styleId="pmid1">
    <w:name w:val="pmid1"/>
    <w:basedOn w:val="DefaultParagraphFont"/>
  </w:style>
  <w:style w:type="paragraph" w:customStyle="1" w:styleId="authlist">
    <w:name w:val="auth_list"/>
    <w:basedOn w:val="Normal"/>
    <w:pPr>
      <w:spacing w:before="100" w:beforeAutospacing="1" w:after="100" w:afterAutospacing="1"/>
    </w:pPr>
    <w:rPr>
      <w:rFonts w:ascii="Arial Unicode MS" w:eastAsia="Arial Unicode MS" w:hAnsi="Arial Unicode MS" w:cs="Arial Unicode MS"/>
      <w:color w:val="auto"/>
    </w:rPr>
  </w:style>
  <w:style w:type="character" w:customStyle="1" w:styleId="highlight">
    <w:name w:val="highlight"/>
    <w:basedOn w:val="DefaultParagraphFont"/>
  </w:style>
  <w:style w:type="paragraph" w:customStyle="1" w:styleId="Default">
    <w:name w:val="Default"/>
    <w:pPr>
      <w:autoSpaceDE w:val="0"/>
      <w:autoSpaceDN w:val="0"/>
      <w:adjustRightInd w:val="0"/>
    </w:pPr>
    <w:rPr>
      <w:rFonts w:ascii="Arial" w:eastAsia="Calibri" w:hAnsi="Arial" w:cs="Arial"/>
      <w:color w:val="000000"/>
      <w:sz w:val="24"/>
      <w:szCs w:val="24"/>
    </w:rPr>
  </w:style>
  <w:style w:type="character" w:customStyle="1" w:styleId="apple-converted-space">
    <w:name w:val="apple-converted-space"/>
    <w:basedOn w:val="DefaultParagraphFont"/>
  </w:style>
  <w:style w:type="paragraph" w:styleId="CommentSubject">
    <w:name w:val="annotation subject"/>
    <w:basedOn w:val="CommentText"/>
    <w:next w:val="CommentText"/>
    <w:link w:val="CommentSubjectChar"/>
    <w:uiPriority w:val="99"/>
    <w:semiHidden/>
    <w:unhideWhenUsed/>
    <w:rsid w:val="00E77CBD"/>
    <w:rPr>
      <w:b/>
      <w:bCs/>
    </w:rPr>
  </w:style>
  <w:style w:type="character" w:customStyle="1" w:styleId="CommentTextChar">
    <w:name w:val="Comment Text Char"/>
    <w:link w:val="CommentText"/>
    <w:uiPriority w:val="99"/>
    <w:semiHidden/>
    <w:rsid w:val="00E77CBD"/>
    <w:rPr>
      <w:color w:val="000000"/>
    </w:rPr>
  </w:style>
  <w:style w:type="character" w:customStyle="1" w:styleId="CommentSubjectChar">
    <w:name w:val="Comment Subject Char"/>
    <w:link w:val="CommentSubject"/>
    <w:uiPriority w:val="99"/>
    <w:semiHidden/>
    <w:rsid w:val="00E77CBD"/>
    <w:rPr>
      <w:b/>
      <w:bCs/>
      <w:color w:val="000000"/>
    </w:rPr>
  </w:style>
  <w:style w:type="paragraph" w:styleId="Revision">
    <w:name w:val="Revision"/>
    <w:hidden/>
    <w:uiPriority w:val="99"/>
    <w:semiHidden/>
    <w:rsid w:val="0037466F"/>
    <w:rPr>
      <w:color w:val="000000"/>
      <w:sz w:val="24"/>
      <w:szCs w:val="24"/>
    </w:rPr>
  </w:style>
  <w:style w:type="paragraph" w:styleId="ListParagraph">
    <w:name w:val="List Paragraph"/>
    <w:basedOn w:val="Normal"/>
    <w:uiPriority w:val="34"/>
    <w:qFormat/>
    <w:rsid w:val="00031F56"/>
    <w:pPr>
      <w:ind w:left="720"/>
    </w:pPr>
    <w:rPr>
      <w:rFonts w:ascii="Calibri" w:eastAsia="Calibri" w:hAnsi="Calibri"/>
      <w:color w:val="auto"/>
      <w:sz w:val="22"/>
      <w:szCs w:val="22"/>
    </w:rPr>
  </w:style>
  <w:style w:type="paragraph" w:styleId="TOCHeading">
    <w:name w:val="TOC Heading"/>
    <w:basedOn w:val="Heading1"/>
    <w:next w:val="Normal"/>
    <w:uiPriority w:val="39"/>
    <w:unhideWhenUsed/>
    <w:qFormat/>
    <w:rsid w:val="00576117"/>
    <w:pPr>
      <w:keepLines/>
      <w:spacing w:before="480" w:line="276" w:lineRule="auto"/>
      <w:outlineLvl w:val="9"/>
    </w:pPr>
    <w:rPr>
      <w:rFonts w:ascii="Calibri" w:eastAsia="MS Gothic" w:hAnsi="Calibri"/>
      <w:color w:val="365F91"/>
      <w:sz w:val="28"/>
      <w:szCs w:val="28"/>
    </w:rPr>
  </w:style>
  <w:style w:type="paragraph" w:styleId="TOC2">
    <w:name w:val="toc 2"/>
    <w:basedOn w:val="Normal"/>
    <w:next w:val="Normal"/>
    <w:autoRedefine/>
    <w:uiPriority w:val="39"/>
    <w:unhideWhenUsed/>
    <w:rsid w:val="00576117"/>
    <w:pPr>
      <w:ind w:left="240"/>
    </w:pPr>
    <w:rPr>
      <w:rFonts w:ascii="Cambria" w:hAnsi="Cambria"/>
      <w:b/>
      <w:sz w:val="22"/>
      <w:szCs w:val="22"/>
    </w:rPr>
  </w:style>
  <w:style w:type="paragraph" w:styleId="TOC1">
    <w:name w:val="toc 1"/>
    <w:basedOn w:val="Normal"/>
    <w:next w:val="Normal"/>
    <w:autoRedefine/>
    <w:uiPriority w:val="39"/>
    <w:unhideWhenUsed/>
    <w:rsid w:val="00576117"/>
    <w:pPr>
      <w:spacing w:before="120"/>
    </w:pPr>
    <w:rPr>
      <w:rFonts w:ascii="Cambria" w:hAnsi="Cambria"/>
      <w:b/>
    </w:rPr>
  </w:style>
  <w:style w:type="paragraph" w:styleId="TOC3">
    <w:name w:val="toc 3"/>
    <w:basedOn w:val="Normal"/>
    <w:next w:val="Normal"/>
    <w:autoRedefine/>
    <w:uiPriority w:val="39"/>
    <w:unhideWhenUsed/>
    <w:rsid w:val="00576117"/>
    <w:pPr>
      <w:ind w:left="480"/>
    </w:pPr>
    <w:rPr>
      <w:rFonts w:ascii="Cambria" w:hAnsi="Cambria"/>
      <w:sz w:val="22"/>
      <w:szCs w:val="22"/>
    </w:rPr>
  </w:style>
  <w:style w:type="paragraph" w:styleId="TOC4">
    <w:name w:val="toc 4"/>
    <w:basedOn w:val="Normal"/>
    <w:next w:val="Normal"/>
    <w:autoRedefine/>
    <w:uiPriority w:val="39"/>
    <w:semiHidden/>
    <w:unhideWhenUsed/>
    <w:rsid w:val="00576117"/>
    <w:pPr>
      <w:ind w:left="720"/>
    </w:pPr>
    <w:rPr>
      <w:rFonts w:ascii="Cambria" w:hAnsi="Cambria"/>
      <w:sz w:val="20"/>
      <w:szCs w:val="20"/>
    </w:rPr>
  </w:style>
  <w:style w:type="paragraph" w:styleId="TOC5">
    <w:name w:val="toc 5"/>
    <w:basedOn w:val="Normal"/>
    <w:next w:val="Normal"/>
    <w:autoRedefine/>
    <w:uiPriority w:val="39"/>
    <w:semiHidden/>
    <w:unhideWhenUsed/>
    <w:rsid w:val="00576117"/>
    <w:pPr>
      <w:ind w:left="960"/>
    </w:pPr>
    <w:rPr>
      <w:rFonts w:ascii="Cambria" w:hAnsi="Cambria"/>
      <w:sz w:val="20"/>
      <w:szCs w:val="20"/>
    </w:rPr>
  </w:style>
  <w:style w:type="paragraph" w:styleId="TOC6">
    <w:name w:val="toc 6"/>
    <w:basedOn w:val="Normal"/>
    <w:next w:val="Normal"/>
    <w:autoRedefine/>
    <w:uiPriority w:val="39"/>
    <w:semiHidden/>
    <w:unhideWhenUsed/>
    <w:rsid w:val="00576117"/>
    <w:pPr>
      <w:ind w:left="1200"/>
    </w:pPr>
    <w:rPr>
      <w:rFonts w:ascii="Cambria" w:hAnsi="Cambria"/>
      <w:sz w:val="20"/>
      <w:szCs w:val="20"/>
    </w:rPr>
  </w:style>
  <w:style w:type="paragraph" w:styleId="TOC7">
    <w:name w:val="toc 7"/>
    <w:basedOn w:val="Normal"/>
    <w:next w:val="Normal"/>
    <w:autoRedefine/>
    <w:uiPriority w:val="39"/>
    <w:semiHidden/>
    <w:unhideWhenUsed/>
    <w:rsid w:val="00576117"/>
    <w:pPr>
      <w:ind w:left="1440"/>
    </w:pPr>
    <w:rPr>
      <w:rFonts w:ascii="Cambria" w:hAnsi="Cambria"/>
      <w:sz w:val="20"/>
      <w:szCs w:val="20"/>
    </w:rPr>
  </w:style>
  <w:style w:type="paragraph" w:styleId="TOC8">
    <w:name w:val="toc 8"/>
    <w:basedOn w:val="Normal"/>
    <w:next w:val="Normal"/>
    <w:autoRedefine/>
    <w:uiPriority w:val="39"/>
    <w:semiHidden/>
    <w:unhideWhenUsed/>
    <w:rsid w:val="00576117"/>
    <w:pPr>
      <w:ind w:left="1680"/>
    </w:pPr>
    <w:rPr>
      <w:rFonts w:ascii="Cambria" w:hAnsi="Cambria"/>
      <w:sz w:val="20"/>
      <w:szCs w:val="20"/>
    </w:rPr>
  </w:style>
  <w:style w:type="paragraph" w:styleId="TOC9">
    <w:name w:val="toc 9"/>
    <w:basedOn w:val="Normal"/>
    <w:next w:val="Normal"/>
    <w:autoRedefine/>
    <w:uiPriority w:val="39"/>
    <w:semiHidden/>
    <w:unhideWhenUsed/>
    <w:rsid w:val="00576117"/>
    <w:pPr>
      <w:ind w:left="1920"/>
    </w:pPr>
    <w:rPr>
      <w:rFonts w:ascii="Cambria" w:hAnsi="Cambria"/>
      <w:sz w:val="20"/>
      <w:szCs w:val="20"/>
    </w:rPr>
  </w:style>
  <w:style w:type="character" w:customStyle="1" w:styleId="FooterChar">
    <w:name w:val="Footer Char"/>
    <w:link w:val="Footer"/>
    <w:uiPriority w:val="99"/>
    <w:rsid w:val="0099006A"/>
    <w:rPr>
      <w:color w:val="000000"/>
      <w:sz w:val="24"/>
      <w:szCs w:val="24"/>
    </w:rPr>
  </w:style>
  <w:style w:type="character" w:customStyle="1" w:styleId="journalname">
    <w:name w:val="journalname"/>
    <w:rsid w:val="00871C57"/>
  </w:style>
  <w:style w:type="character" w:customStyle="1" w:styleId="year">
    <w:name w:val="year"/>
    <w:rsid w:val="00871C57"/>
  </w:style>
  <w:style w:type="character" w:customStyle="1" w:styleId="volume">
    <w:name w:val="volume"/>
    <w:rsid w:val="00871C57"/>
  </w:style>
  <w:style w:type="character" w:customStyle="1" w:styleId="issue3">
    <w:name w:val="issue3"/>
    <w:rsid w:val="00871C57"/>
  </w:style>
  <w:style w:type="character" w:customStyle="1" w:styleId="page">
    <w:name w:val="page"/>
    <w:rsid w:val="00871C57"/>
  </w:style>
  <w:style w:type="character" w:customStyle="1" w:styleId="TitleChar">
    <w:name w:val="Title Char"/>
    <w:link w:val="Title"/>
    <w:rsid w:val="00E11964"/>
    <w:rPr>
      <w:b/>
      <w:bCs/>
      <w:sz w:val="28"/>
      <w:szCs w:val="24"/>
    </w:rPr>
  </w:style>
  <w:style w:type="character" w:customStyle="1" w:styleId="HeaderChar">
    <w:name w:val="Header Char"/>
    <w:basedOn w:val="DefaultParagraphFont"/>
    <w:link w:val="Header"/>
    <w:uiPriority w:val="99"/>
    <w:rsid w:val="001B5C47"/>
    <w:rPr>
      <w:sz w:val="24"/>
      <w:szCs w:val="24"/>
    </w:rPr>
  </w:style>
  <w:style w:type="paragraph" w:customStyle="1" w:styleId="Aheads">
    <w:name w:val="A heads"/>
    <w:basedOn w:val="Normal"/>
    <w:link w:val="AheadsChar"/>
    <w:qFormat/>
    <w:rsid w:val="00152A5C"/>
    <w:pPr>
      <w:spacing w:after="160" w:line="360" w:lineRule="auto"/>
    </w:pPr>
    <w:rPr>
      <w:rFonts w:ascii="Arial" w:hAnsi="Arial" w:cs="Arial"/>
      <w:b/>
      <w:bCs/>
      <w:smallCaps/>
      <w:color w:val="auto"/>
      <w:sz w:val="44"/>
      <w:szCs w:val="40"/>
    </w:rPr>
  </w:style>
  <w:style w:type="character" w:customStyle="1" w:styleId="AheadsChar">
    <w:name w:val="A heads Char"/>
    <w:basedOn w:val="DefaultParagraphFont"/>
    <w:link w:val="Aheads"/>
    <w:rsid w:val="00152A5C"/>
    <w:rPr>
      <w:rFonts w:ascii="Arial" w:hAnsi="Arial" w:cs="Arial"/>
      <w:b/>
      <w:bCs/>
      <w:smallCaps/>
      <w:sz w:val="44"/>
      <w:szCs w:val="40"/>
    </w:rPr>
  </w:style>
  <w:style w:type="character" w:customStyle="1" w:styleId="Heading5Char">
    <w:name w:val="Heading 5 Char"/>
    <w:basedOn w:val="DefaultParagraphFont"/>
    <w:link w:val="Heading5"/>
    <w:rsid w:val="00913673"/>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026">
      <w:bodyDiv w:val="1"/>
      <w:marLeft w:val="0"/>
      <w:marRight w:val="0"/>
      <w:marTop w:val="0"/>
      <w:marBottom w:val="0"/>
      <w:divBdr>
        <w:top w:val="none" w:sz="0" w:space="0" w:color="auto"/>
        <w:left w:val="none" w:sz="0" w:space="0" w:color="auto"/>
        <w:bottom w:val="none" w:sz="0" w:space="0" w:color="auto"/>
        <w:right w:val="none" w:sz="0" w:space="0" w:color="auto"/>
      </w:divBdr>
    </w:div>
    <w:div w:id="47999326">
      <w:bodyDiv w:val="1"/>
      <w:marLeft w:val="0"/>
      <w:marRight w:val="0"/>
      <w:marTop w:val="0"/>
      <w:marBottom w:val="0"/>
      <w:divBdr>
        <w:top w:val="none" w:sz="0" w:space="0" w:color="auto"/>
        <w:left w:val="none" w:sz="0" w:space="0" w:color="auto"/>
        <w:bottom w:val="none" w:sz="0" w:space="0" w:color="auto"/>
        <w:right w:val="none" w:sz="0" w:space="0" w:color="auto"/>
      </w:divBdr>
    </w:div>
    <w:div w:id="57286488">
      <w:bodyDiv w:val="1"/>
      <w:marLeft w:val="0"/>
      <w:marRight w:val="0"/>
      <w:marTop w:val="0"/>
      <w:marBottom w:val="0"/>
      <w:divBdr>
        <w:top w:val="none" w:sz="0" w:space="0" w:color="auto"/>
        <w:left w:val="none" w:sz="0" w:space="0" w:color="auto"/>
        <w:bottom w:val="none" w:sz="0" w:space="0" w:color="auto"/>
        <w:right w:val="none" w:sz="0" w:space="0" w:color="auto"/>
      </w:divBdr>
    </w:div>
    <w:div w:id="70808886">
      <w:bodyDiv w:val="1"/>
      <w:marLeft w:val="0"/>
      <w:marRight w:val="0"/>
      <w:marTop w:val="0"/>
      <w:marBottom w:val="0"/>
      <w:divBdr>
        <w:top w:val="none" w:sz="0" w:space="0" w:color="auto"/>
        <w:left w:val="none" w:sz="0" w:space="0" w:color="auto"/>
        <w:bottom w:val="none" w:sz="0" w:space="0" w:color="auto"/>
        <w:right w:val="none" w:sz="0" w:space="0" w:color="auto"/>
      </w:divBdr>
    </w:div>
    <w:div w:id="78646785">
      <w:bodyDiv w:val="1"/>
      <w:marLeft w:val="0"/>
      <w:marRight w:val="0"/>
      <w:marTop w:val="0"/>
      <w:marBottom w:val="0"/>
      <w:divBdr>
        <w:top w:val="none" w:sz="0" w:space="0" w:color="auto"/>
        <w:left w:val="none" w:sz="0" w:space="0" w:color="auto"/>
        <w:bottom w:val="none" w:sz="0" w:space="0" w:color="auto"/>
        <w:right w:val="none" w:sz="0" w:space="0" w:color="auto"/>
      </w:divBdr>
    </w:div>
    <w:div w:id="79832749">
      <w:bodyDiv w:val="1"/>
      <w:marLeft w:val="0"/>
      <w:marRight w:val="0"/>
      <w:marTop w:val="0"/>
      <w:marBottom w:val="0"/>
      <w:divBdr>
        <w:top w:val="none" w:sz="0" w:space="0" w:color="auto"/>
        <w:left w:val="none" w:sz="0" w:space="0" w:color="auto"/>
        <w:bottom w:val="none" w:sz="0" w:space="0" w:color="auto"/>
        <w:right w:val="none" w:sz="0" w:space="0" w:color="auto"/>
      </w:divBdr>
    </w:div>
    <w:div w:id="112748449">
      <w:bodyDiv w:val="1"/>
      <w:marLeft w:val="0"/>
      <w:marRight w:val="0"/>
      <w:marTop w:val="0"/>
      <w:marBottom w:val="0"/>
      <w:divBdr>
        <w:top w:val="none" w:sz="0" w:space="0" w:color="auto"/>
        <w:left w:val="none" w:sz="0" w:space="0" w:color="auto"/>
        <w:bottom w:val="none" w:sz="0" w:space="0" w:color="auto"/>
        <w:right w:val="none" w:sz="0" w:space="0" w:color="auto"/>
      </w:divBdr>
    </w:div>
    <w:div w:id="160246263">
      <w:bodyDiv w:val="1"/>
      <w:marLeft w:val="0"/>
      <w:marRight w:val="0"/>
      <w:marTop w:val="0"/>
      <w:marBottom w:val="0"/>
      <w:divBdr>
        <w:top w:val="none" w:sz="0" w:space="0" w:color="auto"/>
        <w:left w:val="none" w:sz="0" w:space="0" w:color="auto"/>
        <w:bottom w:val="none" w:sz="0" w:space="0" w:color="auto"/>
        <w:right w:val="none" w:sz="0" w:space="0" w:color="auto"/>
      </w:divBdr>
    </w:div>
    <w:div w:id="166294023">
      <w:bodyDiv w:val="1"/>
      <w:marLeft w:val="0"/>
      <w:marRight w:val="0"/>
      <w:marTop w:val="0"/>
      <w:marBottom w:val="0"/>
      <w:divBdr>
        <w:top w:val="none" w:sz="0" w:space="0" w:color="auto"/>
        <w:left w:val="none" w:sz="0" w:space="0" w:color="auto"/>
        <w:bottom w:val="none" w:sz="0" w:space="0" w:color="auto"/>
        <w:right w:val="none" w:sz="0" w:space="0" w:color="auto"/>
      </w:divBdr>
    </w:div>
    <w:div w:id="247541357">
      <w:bodyDiv w:val="1"/>
      <w:marLeft w:val="0"/>
      <w:marRight w:val="0"/>
      <w:marTop w:val="0"/>
      <w:marBottom w:val="0"/>
      <w:divBdr>
        <w:top w:val="none" w:sz="0" w:space="0" w:color="auto"/>
        <w:left w:val="none" w:sz="0" w:space="0" w:color="auto"/>
        <w:bottom w:val="none" w:sz="0" w:space="0" w:color="auto"/>
        <w:right w:val="none" w:sz="0" w:space="0" w:color="auto"/>
      </w:divBdr>
    </w:div>
    <w:div w:id="255017953">
      <w:bodyDiv w:val="1"/>
      <w:marLeft w:val="0"/>
      <w:marRight w:val="0"/>
      <w:marTop w:val="0"/>
      <w:marBottom w:val="0"/>
      <w:divBdr>
        <w:top w:val="none" w:sz="0" w:space="0" w:color="auto"/>
        <w:left w:val="none" w:sz="0" w:space="0" w:color="auto"/>
        <w:bottom w:val="none" w:sz="0" w:space="0" w:color="auto"/>
        <w:right w:val="none" w:sz="0" w:space="0" w:color="auto"/>
      </w:divBdr>
    </w:div>
    <w:div w:id="350692371">
      <w:bodyDiv w:val="1"/>
      <w:marLeft w:val="0"/>
      <w:marRight w:val="0"/>
      <w:marTop w:val="0"/>
      <w:marBottom w:val="0"/>
      <w:divBdr>
        <w:top w:val="none" w:sz="0" w:space="0" w:color="auto"/>
        <w:left w:val="none" w:sz="0" w:space="0" w:color="auto"/>
        <w:bottom w:val="none" w:sz="0" w:space="0" w:color="auto"/>
        <w:right w:val="none" w:sz="0" w:space="0" w:color="auto"/>
      </w:divBdr>
    </w:div>
    <w:div w:id="390153241">
      <w:bodyDiv w:val="1"/>
      <w:marLeft w:val="0"/>
      <w:marRight w:val="0"/>
      <w:marTop w:val="0"/>
      <w:marBottom w:val="0"/>
      <w:divBdr>
        <w:top w:val="none" w:sz="0" w:space="0" w:color="auto"/>
        <w:left w:val="none" w:sz="0" w:space="0" w:color="auto"/>
        <w:bottom w:val="none" w:sz="0" w:space="0" w:color="auto"/>
        <w:right w:val="none" w:sz="0" w:space="0" w:color="auto"/>
      </w:divBdr>
    </w:div>
    <w:div w:id="429787800">
      <w:bodyDiv w:val="1"/>
      <w:marLeft w:val="0"/>
      <w:marRight w:val="0"/>
      <w:marTop w:val="0"/>
      <w:marBottom w:val="0"/>
      <w:divBdr>
        <w:top w:val="none" w:sz="0" w:space="0" w:color="auto"/>
        <w:left w:val="none" w:sz="0" w:space="0" w:color="auto"/>
        <w:bottom w:val="none" w:sz="0" w:space="0" w:color="auto"/>
        <w:right w:val="none" w:sz="0" w:space="0" w:color="auto"/>
      </w:divBdr>
    </w:div>
    <w:div w:id="489292306">
      <w:bodyDiv w:val="1"/>
      <w:marLeft w:val="0"/>
      <w:marRight w:val="0"/>
      <w:marTop w:val="0"/>
      <w:marBottom w:val="0"/>
      <w:divBdr>
        <w:top w:val="none" w:sz="0" w:space="0" w:color="auto"/>
        <w:left w:val="none" w:sz="0" w:space="0" w:color="auto"/>
        <w:bottom w:val="none" w:sz="0" w:space="0" w:color="auto"/>
        <w:right w:val="none" w:sz="0" w:space="0" w:color="auto"/>
      </w:divBdr>
    </w:div>
    <w:div w:id="509100056">
      <w:bodyDiv w:val="1"/>
      <w:marLeft w:val="0"/>
      <w:marRight w:val="0"/>
      <w:marTop w:val="0"/>
      <w:marBottom w:val="0"/>
      <w:divBdr>
        <w:top w:val="none" w:sz="0" w:space="0" w:color="auto"/>
        <w:left w:val="none" w:sz="0" w:space="0" w:color="auto"/>
        <w:bottom w:val="none" w:sz="0" w:space="0" w:color="auto"/>
        <w:right w:val="none" w:sz="0" w:space="0" w:color="auto"/>
      </w:divBdr>
    </w:div>
    <w:div w:id="517430807">
      <w:bodyDiv w:val="1"/>
      <w:marLeft w:val="0"/>
      <w:marRight w:val="0"/>
      <w:marTop w:val="0"/>
      <w:marBottom w:val="0"/>
      <w:divBdr>
        <w:top w:val="none" w:sz="0" w:space="0" w:color="auto"/>
        <w:left w:val="none" w:sz="0" w:space="0" w:color="auto"/>
        <w:bottom w:val="none" w:sz="0" w:space="0" w:color="auto"/>
        <w:right w:val="none" w:sz="0" w:space="0" w:color="auto"/>
      </w:divBdr>
    </w:div>
    <w:div w:id="546340052">
      <w:bodyDiv w:val="1"/>
      <w:marLeft w:val="0"/>
      <w:marRight w:val="0"/>
      <w:marTop w:val="0"/>
      <w:marBottom w:val="0"/>
      <w:divBdr>
        <w:top w:val="none" w:sz="0" w:space="0" w:color="auto"/>
        <w:left w:val="none" w:sz="0" w:space="0" w:color="auto"/>
        <w:bottom w:val="none" w:sz="0" w:space="0" w:color="auto"/>
        <w:right w:val="none" w:sz="0" w:space="0" w:color="auto"/>
      </w:divBdr>
    </w:div>
    <w:div w:id="585726257">
      <w:bodyDiv w:val="1"/>
      <w:marLeft w:val="0"/>
      <w:marRight w:val="0"/>
      <w:marTop w:val="0"/>
      <w:marBottom w:val="0"/>
      <w:divBdr>
        <w:top w:val="none" w:sz="0" w:space="0" w:color="auto"/>
        <w:left w:val="none" w:sz="0" w:space="0" w:color="auto"/>
        <w:bottom w:val="none" w:sz="0" w:space="0" w:color="auto"/>
        <w:right w:val="none" w:sz="0" w:space="0" w:color="auto"/>
      </w:divBdr>
    </w:div>
    <w:div w:id="603656064">
      <w:bodyDiv w:val="1"/>
      <w:marLeft w:val="0"/>
      <w:marRight w:val="0"/>
      <w:marTop w:val="0"/>
      <w:marBottom w:val="0"/>
      <w:divBdr>
        <w:top w:val="none" w:sz="0" w:space="0" w:color="auto"/>
        <w:left w:val="none" w:sz="0" w:space="0" w:color="auto"/>
        <w:bottom w:val="none" w:sz="0" w:space="0" w:color="auto"/>
        <w:right w:val="none" w:sz="0" w:space="0" w:color="auto"/>
      </w:divBdr>
    </w:div>
    <w:div w:id="613176943">
      <w:bodyDiv w:val="1"/>
      <w:marLeft w:val="0"/>
      <w:marRight w:val="0"/>
      <w:marTop w:val="0"/>
      <w:marBottom w:val="0"/>
      <w:divBdr>
        <w:top w:val="none" w:sz="0" w:space="0" w:color="auto"/>
        <w:left w:val="none" w:sz="0" w:space="0" w:color="auto"/>
        <w:bottom w:val="none" w:sz="0" w:space="0" w:color="auto"/>
        <w:right w:val="none" w:sz="0" w:space="0" w:color="auto"/>
      </w:divBdr>
    </w:div>
    <w:div w:id="617225559">
      <w:bodyDiv w:val="1"/>
      <w:marLeft w:val="0"/>
      <w:marRight w:val="0"/>
      <w:marTop w:val="0"/>
      <w:marBottom w:val="0"/>
      <w:divBdr>
        <w:top w:val="none" w:sz="0" w:space="0" w:color="auto"/>
        <w:left w:val="none" w:sz="0" w:space="0" w:color="auto"/>
        <w:bottom w:val="none" w:sz="0" w:space="0" w:color="auto"/>
        <w:right w:val="none" w:sz="0" w:space="0" w:color="auto"/>
      </w:divBdr>
    </w:div>
    <w:div w:id="630208021">
      <w:bodyDiv w:val="1"/>
      <w:marLeft w:val="0"/>
      <w:marRight w:val="0"/>
      <w:marTop w:val="0"/>
      <w:marBottom w:val="0"/>
      <w:divBdr>
        <w:top w:val="none" w:sz="0" w:space="0" w:color="auto"/>
        <w:left w:val="none" w:sz="0" w:space="0" w:color="auto"/>
        <w:bottom w:val="none" w:sz="0" w:space="0" w:color="auto"/>
        <w:right w:val="none" w:sz="0" w:space="0" w:color="auto"/>
      </w:divBdr>
    </w:div>
    <w:div w:id="648554700">
      <w:bodyDiv w:val="1"/>
      <w:marLeft w:val="0"/>
      <w:marRight w:val="0"/>
      <w:marTop w:val="0"/>
      <w:marBottom w:val="0"/>
      <w:divBdr>
        <w:top w:val="none" w:sz="0" w:space="0" w:color="auto"/>
        <w:left w:val="none" w:sz="0" w:space="0" w:color="auto"/>
        <w:bottom w:val="none" w:sz="0" w:space="0" w:color="auto"/>
        <w:right w:val="none" w:sz="0" w:space="0" w:color="auto"/>
      </w:divBdr>
    </w:div>
    <w:div w:id="650018306">
      <w:bodyDiv w:val="1"/>
      <w:marLeft w:val="0"/>
      <w:marRight w:val="0"/>
      <w:marTop w:val="0"/>
      <w:marBottom w:val="0"/>
      <w:divBdr>
        <w:top w:val="none" w:sz="0" w:space="0" w:color="auto"/>
        <w:left w:val="none" w:sz="0" w:space="0" w:color="auto"/>
        <w:bottom w:val="none" w:sz="0" w:space="0" w:color="auto"/>
        <w:right w:val="none" w:sz="0" w:space="0" w:color="auto"/>
      </w:divBdr>
    </w:div>
    <w:div w:id="657654009">
      <w:bodyDiv w:val="1"/>
      <w:marLeft w:val="0"/>
      <w:marRight w:val="0"/>
      <w:marTop w:val="0"/>
      <w:marBottom w:val="0"/>
      <w:divBdr>
        <w:top w:val="none" w:sz="0" w:space="0" w:color="auto"/>
        <w:left w:val="none" w:sz="0" w:space="0" w:color="auto"/>
        <w:bottom w:val="none" w:sz="0" w:space="0" w:color="auto"/>
        <w:right w:val="none" w:sz="0" w:space="0" w:color="auto"/>
      </w:divBdr>
    </w:div>
    <w:div w:id="667487492">
      <w:bodyDiv w:val="1"/>
      <w:marLeft w:val="0"/>
      <w:marRight w:val="0"/>
      <w:marTop w:val="0"/>
      <w:marBottom w:val="0"/>
      <w:divBdr>
        <w:top w:val="none" w:sz="0" w:space="0" w:color="auto"/>
        <w:left w:val="none" w:sz="0" w:space="0" w:color="auto"/>
        <w:bottom w:val="none" w:sz="0" w:space="0" w:color="auto"/>
        <w:right w:val="none" w:sz="0" w:space="0" w:color="auto"/>
      </w:divBdr>
    </w:div>
    <w:div w:id="671832652">
      <w:bodyDiv w:val="1"/>
      <w:marLeft w:val="0"/>
      <w:marRight w:val="0"/>
      <w:marTop w:val="0"/>
      <w:marBottom w:val="0"/>
      <w:divBdr>
        <w:top w:val="none" w:sz="0" w:space="0" w:color="auto"/>
        <w:left w:val="none" w:sz="0" w:space="0" w:color="auto"/>
        <w:bottom w:val="none" w:sz="0" w:space="0" w:color="auto"/>
        <w:right w:val="none" w:sz="0" w:space="0" w:color="auto"/>
      </w:divBdr>
    </w:div>
    <w:div w:id="676462693">
      <w:bodyDiv w:val="1"/>
      <w:marLeft w:val="0"/>
      <w:marRight w:val="0"/>
      <w:marTop w:val="0"/>
      <w:marBottom w:val="0"/>
      <w:divBdr>
        <w:top w:val="none" w:sz="0" w:space="0" w:color="auto"/>
        <w:left w:val="none" w:sz="0" w:space="0" w:color="auto"/>
        <w:bottom w:val="none" w:sz="0" w:space="0" w:color="auto"/>
        <w:right w:val="none" w:sz="0" w:space="0" w:color="auto"/>
      </w:divBdr>
    </w:div>
    <w:div w:id="696472145">
      <w:bodyDiv w:val="1"/>
      <w:marLeft w:val="0"/>
      <w:marRight w:val="0"/>
      <w:marTop w:val="0"/>
      <w:marBottom w:val="0"/>
      <w:divBdr>
        <w:top w:val="none" w:sz="0" w:space="0" w:color="auto"/>
        <w:left w:val="none" w:sz="0" w:space="0" w:color="auto"/>
        <w:bottom w:val="none" w:sz="0" w:space="0" w:color="auto"/>
        <w:right w:val="none" w:sz="0" w:space="0" w:color="auto"/>
      </w:divBdr>
    </w:div>
    <w:div w:id="708455818">
      <w:bodyDiv w:val="1"/>
      <w:marLeft w:val="0"/>
      <w:marRight w:val="0"/>
      <w:marTop w:val="0"/>
      <w:marBottom w:val="0"/>
      <w:divBdr>
        <w:top w:val="none" w:sz="0" w:space="0" w:color="auto"/>
        <w:left w:val="none" w:sz="0" w:space="0" w:color="auto"/>
        <w:bottom w:val="none" w:sz="0" w:space="0" w:color="auto"/>
        <w:right w:val="none" w:sz="0" w:space="0" w:color="auto"/>
      </w:divBdr>
    </w:div>
    <w:div w:id="713117177">
      <w:bodyDiv w:val="1"/>
      <w:marLeft w:val="0"/>
      <w:marRight w:val="0"/>
      <w:marTop w:val="0"/>
      <w:marBottom w:val="0"/>
      <w:divBdr>
        <w:top w:val="none" w:sz="0" w:space="0" w:color="auto"/>
        <w:left w:val="none" w:sz="0" w:space="0" w:color="auto"/>
        <w:bottom w:val="none" w:sz="0" w:space="0" w:color="auto"/>
        <w:right w:val="none" w:sz="0" w:space="0" w:color="auto"/>
      </w:divBdr>
    </w:div>
    <w:div w:id="737290483">
      <w:bodyDiv w:val="1"/>
      <w:marLeft w:val="0"/>
      <w:marRight w:val="0"/>
      <w:marTop w:val="0"/>
      <w:marBottom w:val="0"/>
      <w:divBdr>
        <w:top w:val="none" w:sz="0" w:space="0" w:color="auto"/>
        <w:left w:val="none" w:sz="0" w:space="0" w:color="auto"/>
        <w:bottom w:val="none" w:sz="0" w:space="0" w:color="auto"/>
        <w:right w:val="none" w:sz="0" w:space="0" w:color="auto"/>
      </w:divBdr>
    </w:div>
    <w:div w:id="737820990">
      <w:bodyDiv w:val="1"/>
      <w:marLeft w:val="0"/>
      <w:marRight w:val="0"/>
      <w:marTop w:val="0"/>
      <w:marBottom w:val="0"/>
      <w:divBdr>
        <w:top w:val="none" w:sz="0" w:space="0" w:color="auto"/>
        <w:left w:val="none" w:sz="0" w:space="0" w:color="auto"/>
        <w:bottom w:val="none" w:sz="0" w:space="0" w:color="auto"/>
        <w:right w:val="none" w:sz="0" w:space="0" w:color="auto"/>
      </w:divBdr>
    </w:div>
    <w:div w:id="749352486">
      <w:bodyDiv w:val="1"/>
      <w:marLeft w:val="0"/>
      <w:marRight w:val="0"/>
      <w:marTop w:val="0"/>
      <w:marBottom w:val="0"/>
      <w:divBdr>
        <w:top w:val="none" w:sz="0" w:space="0" w:color="auto"/>
        <w:left w:val="none" w:sz="0" w:space="0" w:color="auto"/>
        <w:bottom w:val="none" w:sz="0" w:space="0" w:color="auto"/>
        <w:right w:val="none" w:sz="0" w:space="0" w:color="auto"/>
      </w:divBdr>
    </w:div>
    <w:div w:id="763722327">
      <w:bodyDiv w:val="1"/>
      <w:marLeft w:val="0"/>
      <w:marRight w:val="0"/>
      <w:marTop w:val="0"/>
      <w:marBottom w:val="0"/>
      <w:divBdr>
        <w:top w:val="none" w:sz="0" w:space="0" w:color="auto"/>
        <w:left w:val="none" w:sz="0" w:space="0" w:color="auto"/>
        <w:bottom w:val="none" w:sz="0" w:space="0" w:color="auto"/>
        <w:right w:val="none" w:sz="0" w:space="0" w:color="auto"/>
      </w:divBdr>
    </w:div>
    <w:div w:id="771434900">
      <w:bodyDiv w:val="1"/>
      <w:marLeft w:val="0"/>
      <w:marRight w:val="0"/>
      <w:marTop w:val="0"/>
      <w:marBottom w:val="0"/>
      <w:divBdr>
        <w:top w:val="none" w:sz="0" w:space="0" w:color="auto"/>
        <w:left w:val="none" w:sz="0" w:space="0" w:color="auto"/>
        <w:bottom w:val="none" w:sz="0" w:space="0" w:color="auto"/>
        <w:right w:val="none" w:sz="0" w:space="0" w:color="auto"/>
      </w:divBdr>
      <w:divsChild>
        <w:div w:id="2090928336">
          <w:marLeft w:val="0"/>
          <w:marRight w:val="1"/>
          <w:marTop w:val="0"/>
          <w:marBottom w:val="0"/>
          <w:divBdr>
            <w:top w:val="none" w:sz="0" w:space="0" w:color="auto"/>
            <w:left w:val="none" w:sz="0" w:space="0" w:color="auto"/>
            <w:bottom w:val="none" w:sz="0" w:space="0" w:color="auto"/>
            <w:right w:val="none" w:sz="0" w:space="0" w:color="auto"/>
          </w:divBdr>
          <w:divsChild>
            <w:div w:id="403727931">
              <w:marLeft w:val="0"/>
              <w:marRight w:val="0"/>
              <w:marTop w:val="0"/>
              <w:marBottom w:val="0"/>
              <w:divBdr>
                <w:top w:val="none" w:sz="0" w:space="0" w:color="auto"/>
                <w:left w:val="none" w:sz="0" w:space="0" w:color="auto"/>
                <w:bottom w:val="none" w:sz="0" w:space="0" w:color="auto"/>
                <w:right w:val="none" w:sz="0" w:space="0" w:color="auto"/>
              </w:divBdr>
              <w:divsChild>
                <w:div w:id="258804941">
                  <w:marLeft w:val="0"/>
                  <w:marRight w:val="1"/>
                  <w:marTop w:val="0"/>
                  <w:marBottom w:val="0"/>
                  <w:divBdr>
                    <w:top w:val="none" w:sz="0" w:space="0" w:color="auto"/>
                    <w:left w:val="none" w:sz="0" w:space="0" w:color="auto"/>
                    <w:bottom w:val="none" w:sz="0" w:space="0" w:color="auto"/>
                    <w:right w:val="none" w:sz="0" w:space="0" w:color="auto"/>
                  </w:divBdr>
                  <w:divsChild>
                    <w:div w:id="1587423972">
                      <w:marLeft w:val="0"/>
                      <w:marRight w:val="0"/>
                      <w:marTop w:val="0"/>
                      <w:marBottom w:val="0"/>
                      <w:divBdr>
                        <w:top w:val="none" w:sz="0" w:space="0" w:color="auto"/>
                        <w:left w:val="none" w:sz="0" w:space="0" w:color="auto"/>
                        <w:bottom w:val="none" w:sz="0" w:space="0" w:color="auto"/>
                        <w:right w:val="none" w:sz="0" w:space="0" w:color="auto"/>
                      </w:divBdr>
                      <w:divsChild>
                        <w:div w:id="712196180">
                          <w:marLeft w:val="0"/>
                          <w:marRight w:val="0"/>
                          <w:marTop w:val="0"/>
                          <w:marBottom w:val="0"/>
                          <w:divBdr>
                            <w:top w:val="none" w:sz="0" w:space="0" w:color="auto"/>
                            <w:left w:val="none" w:sz="0" w:space="0" w:color="auto"/>
                            <w:bottom w:val="none" w:sz="0" w:space="0" w:color="auto"/>
                            <w:right w:val="none" w:sz="0" w:space="0" w:color="auto"/>
                          </w:divBdr>
                          <w:divsChild>
                            <w:div w:id="180819203">
                              <w:marLeft w:val="0"/>
                              <w:marRight w:val="0"/>
                              <w:marTop w:val="120"/>
                              <w:marBottom w:val="360"/>
                              <w:divBdr>
                                <w:top w:val="none" w:sz="0" w:space="0" w:color="auto"/>
                                <w:left w:val="none" w:sz="0" w:space="0" w:color="auto"/>
                                <w:bottom w:val="none" w:sz="0" w:space="0" w:color="auto"/>
                                <w:right w:val="none" w:sz="0" w:space="0" w:color="auto"/>
                              </w:divBdr>
                              <w:divsChild>
                                <w:div w:id="1909072912">
                                  <w:marLeft w:val="0"/>
                                  <w:marRight w:val="0"/>
                                  <w:marTop w:val="0"/>
                                  <w:marBottom w:val="0"/>
                                  <w:divBdr>
                                    <w:top w:val="none" w:sz="0" w:space="0" w:color="auto"/>
                                    <w:left w:val="none" w:sz="0" w:space="0" w:color="auto"/>
                                    <w:bottom w:val="none" w:sz="0" w:space="0" w:color="auto"/>
                                    <w:right w:val="none" w:sz="0" w:space="0" w:color="auto"/>
                                  </w:divBdr>
                                  <w:divsChild>
                                    <w:div w:id="8337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945007">
      <w:bodyDiv w:val="1"/>
      <w:marLeft w:val="0"/>
      <w:marRight w:val="0"/>
      <w:marTop w:val="0"/>
      <w:marBottom w:val="0"/>
      <w:divBdr>
        <w:top w:val="none" w:sz="0" w:space="0" w:color="auto"/>
        <w:left w:val="none" w:sz="0" w:space="0" w:color="auto"/>
        <w:bottom w:val="none" w:sz="0" w:space="0" w:color="auto"/>
        <w:right w:val="none" w:sz="0" w:space="0" w:color="auto"/>
      </w:divBdr>
    </w:div>
    <w:div w:id="791510465">
      <w:bodyDiv w:val="1"/>
      <w:marLeft w:val="0"/>
      <w:marRight w:val="0"/>
      <w:marTop w:val="0"/>
      <w:marBottom w:val="0"/>
      <w:divBdr>
        <w:top w:val="none" w:sz="0" w:space="0" w:color="auto"/>
        <w:left w:val="none" w:sz="0" w:space="0" w:color="auto"/>
        <w:bottom w:val="none" w:sz="0" w:space="0" w:color="auto"/>
        <w:right w:val="none" w:sz="0" w:space="0" w:color="auto"/>
      </w:divBdr>
    </w:div>
    <w:div w:id="808590937">
      <w:bodyDiv w:val="1"/>
      <w:marLeft w:val="0"/>
      <w:marRight w:val="0"/>
      <w:marTop w:val="0"/>
      <w:marBottom w:val="0"/>
      <w:divBdr>
        <w:top w:val="none" w:sz="0" w:space="0" w:color="auto"/>
        <w:left w:val="none" w:sz="0" w:space="0" w:color="auto"/>
        <w:bottom w:val="none" w:sz="0" w:space="0" w:color="auto"/>
        <w:right w:val="none" w:sz="0" w:space="0" w:color="auto"/>
      </w:divBdr>
    </w:div>
    <w:div w:id="852114427">
      <w:bodyDiv w:val="1"/>
      <w:marLeft w:val="0"/>
      <w:marRight w:val="0"/>
      <w:marTop w:val="0"/>
      <w:marBottom w:val="0"/>
      <w:divBdr>
        <w:top w:val="none" w:sz="0" w:space="0" w:color="auto"/>
        <w:left w:val="none" w:sz="0" w:space="0" w:color="auto"/>
        <w:bottom w:val="none" w:sz="0" w:space="0" w:color="auto"/>
        <w:right w:val="none" w:sz="0" w:space="0" w:color="auto"/>
      </w:divBdr>
      <w:divsChild>
        <w:div w:id="2107655801">
          <w:marLeft w:val="0"/>
          <w:marRight w:val="1"/>
          <w:marTop w:val="0"/>
          <w:marBottom w:val="0"/>
          <w:divBdr>
            <w:top w:val="none" w:sz="0" w:space="0" w:color="auto"/>
            <w:left w:val="none" w:sz="0" w:space="0" w:color="auto"/>
            <w:bottom w:val="none" w:sz="0" w:space="0" w:color="auto"/>
            <w:right w:val="none" w:sz="0" w:space="0" w:color="auto"/>
          </w:divBdr>
          <w:divsChild>
            <w:div w:id="1129280350">
              <w:marLeft w:val="0"/>
              <w:marRight w:val="0"/>
              <w:marTop w:val="0"/>
              <w:marBottom w:val="0"/>
              <w:divBdr>
                <w:top w:val="none" w:sz="0" w:space="0" w:color="auto"/>
                <w:left w:val="none" w:sz="0" w:space="0" w:color="auto"/>
                <w:bottom w:val="none" w:sz="0" w:space="0" w:color="auto"/>
                <w:right w:val="none" w:sz="0" w:space="0" w:color="auto"/>
              </w:divBdr>
              <w:divsChild>
                <w:div w:id="1951548966">
                  <w:marLeft w:val="0"/>
                  <w:marRight w:val="1"/>
                  <w:marTop w:val="0"/>
                  <w:marBottom w:val="0"/>
                  <w:divBdr>
                    <w:top w:val="none" w:sz="0" w:space="0" w:color="auto"/>
                    <w:left w:val="none" w:sz="0" w:space="0" w:color="auto"/>
                    <w:bottom w:val="none" w:sz="0" w:space="0" w:color="auto"/>
                    <w:right w:val="none" w:sz="0" w:space="0" w:color="auto"/>
                  </w:divBdr>
                  <w:divsChild>
                    <w:div w:id="966660464">
                      <w:marLeft w:val="0"/>
                      <w:marRight w:val="0"/>
                      <w:marTop w:val="0"/>
                      <w:marBottom w:val="0"/>
                      <w:divBdr>
                        <w:top w:val="none" w:sz="0" w:space="0" w:color="auto"/>
                        <w:left w:val="none" w:sz="0" w:space="0" w:color="auto"/>
                        <w:bottom w:val="none" w:sz="0" w:space="0" w:color="auto"/>
                        <w:right w:val="none" w:sz="0" w:space="0" w:color="auto"/>
                      </w:divBdr>
                      <w:divsChild>
                        <w:div w:id="2060787228">
                          <w:marLeft w:val="0"/>
                          <w:marRight w:val="0"/>
                          <w:marTop w:val="0"/>
                          <w:marBottom w:val="0"/>
                          <w:divBdr>
                            <w:top w:val="none" w:sz="0" w:space="0" w:color="auto"/>
                            <w:left w:val="none" w:sz="0" w:space="0" w:color="auto"/>
                            <w:bottom w:val="none" w:sz="0" w:space="0" w:color="auto"/>
                            <w:right w:val="none" w:sz="0" w:space="0" w:color="auto"/>
                          </w:divBdr>
                          <w:divsChild>
                            <w:div w:id="435831839">
                              <w:marLeft w:val="0"/>
                              <w:marRight w:val="0"/>
                              <w:marTop w:val="120"/>
                              <w:marBottom w:val="360"/>
                              <w:divBdr>
                                <w:top w:val="none" w:sz="0" w:space="0" w:color="auto"/>
                                <w:left w:val="none" w:sz="0" w:space="0" w:color="auto"/>
                                <w:bottom w:val="none" w:sz="0" w:space="0" w:color="auto"/>
                                <w:right w:val="none" w:sz="0" w:space="0" w:color="auto"/>
                              </w:divBdr>
                              <w:divsChild>
                                <w:div w:id="349838705">
                                  <w:marLeft w:val="0"/>
                                  <w:marRight w:val="0"/>
                                  <w:marTop w:val="0"/>
                                  <w:marBottom w:val="0"/>
                                  <w:divBdr>
                                    <w:top w:val="none" w:sz="0" w:space="0" w:color="auto"/>
                                    <w:left w:val="none" w:sz="0" w:space="0" w:color="auto"/>
                                    <w:bottom w:val="none" w:sz="0" w:space="0" w:color="auto"/>
                                    <w:right w:val="none" w:sz="0" w:space="0" w:color="auto"/>
                                  </w:divBdr>
                                  <w:divsChild>
                                    <w:div w:id="97275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617607">
      <w:bodyDiv w:val="1"/>
      <w:marLeft w:val="0"/>
      <w:marRight w:val="0"/>
      <w:marTop w:val="0"/>
      <w:marBottom w:val="0"/>
      <w:divBdr>
        <w:top w:val="none" w:sz="0" w:space="0" w:color="auto"/>
        <w:left w:val="none" w:sz="0" w:space="0" w:color="auto"/>
        <w:bottom w:val="none" w:sz="0" w:space="0" w:color="auto"/>
        <w:right w:val="none" w:sz="0" w:space="0" w:color="auto"/>
      </w:divBdr>
    </w:div>
    <w:div w:id="985359587">
      <w:bodyDiv w:val="1"/>
      <w:marLeft w:val="0"/>
      <w:marRight w:val="0"/>
      <w:marTop w:val="0"/>
      <w:marBottom w:val="0"/>
      <w:divBdr>
        <w:top w:val="none" w:sz="0" w:space="0" w:color="auto"/>
        <w:left w:val="none" w:sz="0" w:space="0" w:color="auto"/>
        <w:bottom w:val="none" w:sz="0" w:space="0" w:color="auto"/>
        <w:right w:val="none" w:sz="0" w:space="0" w:color="auto"/>
      </w:divBdr>
    </w:div>
    <w:div w:id="1036467961">
      <w:bodyDiv w:val="1"/>
      <w:marLeft w:val="0"/>
      <w:marRight w:val="0"/>
      <w:marTop w:val="0"/>
      <w:marBottom w:val="0"/>
      <w:divBdr>
        <w:top w:val="none" w:sz="0" w:space="0" w:color="auto"/>
        <w:left w:val="none" w:sz="0" w:space="0" w:color="auto"/>
        <w:bottom w:val="none" w:sz="0" w:space="0" w:color="auto"/>
        <w:right w:val="none" w:sz="0" w:space="0" w:color="auto"/>
      </w:divBdr>
    </w:div>
    <w:div w:id="1097477880">
      <w:bodyDiv w:val="1"/>
      <w:marLeft w:val="0"/>
      <w:marRight w:val="0"/>
      <w:marTop w:val="0"/>
      <w:marBottom w:val="0"/>
      <w:divBdr>
        <w:top w:val="none" w:sz="0" w:space="0" w:color="auto"/>
        <w:left w:val="none" w:sz="0" w:space="0" w:color="auto"/>
        <w:bottom w:val="none" w:sz="0" w:space="0" w:color="auto"/>
        <w:right w:val="none" w:sz="0" w:space="0" w:color="auto"/>
      </w:divBdr>
    </w:div>
    <w:div w:id="1113675510">
      <w:bodyDiv w:val="1"/>
      <w:marLeft w:val="0"/>
      <w:marRight w:val="0"/>
      <w:marTop w:val="0"/>
      <w:marBottom w:val="0"/>
      <w:divBdr>
        <w:top w:val="none" w:sz="0" w:space="0" w:color="auto"/>
        <w:left w:val="none" w:sz="0" w:space="0" w:color="auto"/>
        <w:bottom w:val="none" w:sz="0" w:space="0" w:color="auto"/>
        <w:right w:val="none" w:sz="0" w:space="0" w:color="auto"/>
      </w:divBdr>
      <w:divsChild>
        <w:div w:id="1507939652">
          <w:marLeft w:val="0"/>
          <w:marRight w:val="1"/>
          <w:marTop w:val="0"/>
          <w:marBottom w:val="0"/>
          <w:divBdr>
            <w:top w:val="none" w:sz="0" w:space="0" w:color="auto"/>
            <w:left w:val="none" w:sz="0" w:space="0" w:color="auto"/>
            <w:bottom w:val="none" w:sz="0" w:space="0" w:color="auto"/>
            <w:right w:val="none" w:sz="0" w:space="0" w:color="auto"/>
          </w:divBdr>
          <w:divsChild>
            <w:div w:id="1803881882">
              <w:marLeft w:val="0"/>
              <w:marRight w:val="0"/>
              <w:marTop w:val="0"/>
              <w:marBottom w:val="0"/>
              <w:divBdr>
                <w:top w:val="none" w:sz="0" w:space="0" w:color="auto"/>
                <w:left w:val="none" w:sz="0" w:space="0" w:color="auto"/>
                <w:bottom w:val="none" w:sz="0" w:space="0" w:color="auto"/>
                <w:right w:val="none" w:sz="0" w:space="0" w:color="auto"/>
              </w:divBdr>
              <w:divsChild>
                <w:div w:id="157356650">
                  <w:marLeft w:val="0"/>
                  <w:marRight w:val="1"/>
                  <w:marTop w:val="0"/>
                  <w:marBottom w:val="0"/>
                  <w:divBdr>
                    <w:top w:val="none" w:sz="0" w:space="0" w:color="auto"/>
                    <w:left w:val="none" w:sz="0" w:space="0" w:color="auto"/>
                    <w:bottom w:val="none" w:sz="0" w:space="0" w:color="auto"/>
                    <w:right w:val="none" w:sz="0" w:space="0" w:color="auto"/>
                  </w:divBdr>
                  <w:divsChild>
                    <w:div w:id="535193687">
                      <w:marLeft w:val="0"/>
                      <w:marRight w:val="0"/>
                      <w:marTop w:val="0"/>
                      <w:marBottom w:val="0"/>
                      <w:divBdr>
                        <w:top w:val="none" w:sz="0" w:space="0" w:color="auto"/>
                        <w:left w:val="none" w:sz="0" w:space="0" w:color="auto"/>
                        <w:bottom w:val="none" w:sz="0" w:space="0" w:color="auto"/>
                        <w:right w:val="none" w:sz="0" w:space="0" w:color="auto"/>
                      </w:divBdr>
                      <w:divsChild>
                        <w:div w:id="1409770187">
                          <w:marLeft w:val="0"/>
                          <w:marRight w:val="0"/>
                          <w:marTop w:val="0"/>
                          <w:marBottom w:val="0"/>
                          <w:divBdr>
                            <w:top w:val="none" w:sz="0" w:space="0" w:color="auto"/>
                            <w:left w:val="none" w:sz="0" w:space="0" w:color="auto"/>
                            <w:bottom w:val="none" w:sz="0" w:space="0" w:color="auto"/>
                            <w:right w:val="none" w:sz="0" w:space="0" w:color="auto"/>
                          </w:divBdr>
                          <w:divsChild>
                            <w:div w:id="1207108697">
                              <w:marLeft w:val="0"/>
                              <w:marRight w:val="0"/>
                              <w:marTop w:val="120"/>
                              <w:marBottom w:val="360"/>
                              <w:divBdr>
                                <w:top w:val="none" w:sz="0" w:space="0" w:color="auto"/>
                                <w:left w:val="none" w:sz="0" w:space="0" w:color="auto"/>
                                <w:bottom w:val="none" w:sz="0" w:space="0" w:color="auto"/>
                                <w:right w:val="none" w:sz="0" w:space="0" w:color="auto"/>
                              </w:divBdr>
                              <w:divsChild>
                                <w:div w:id="287200821">
                                  <w:marLeft w:val="0"/>
                                  <w:marRight w:val="0"/>
                                  <w:marTop w:val="0"/>
                                  <w:marBottom w:val="0"/>
                                  <w:divBdr>
                                    <w:top w:val="none" w:sz="0" w:space="0" w:color="auto"/>
                                    <w:left w:val="none" w:sz="0" w:space="0" w:color="auto"/>
                                    <w:bottom w:val="none" w:sz="0" w:space="0" w:color="auto"/>
                                    <w:right w:val="none" w:sz="0" w:space="0" w:color="auto"/>
                                  </w:divBdr>
                                  <w:divsChild>
                                    <w:div w:id="201287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39240">
      <w:bodyDiv w:val="1"/>
      <w:marLeft w:val="0"/>
      <w:marRight w:val="0"/>
      <w:marTop w:val="0"/>
      <w:marBottom w:val="0"/>
      <w:divBdr>
        <w:top w:val="none" w:sz="0" w:space="0" w:color="auto"/>
        <w:left w:val="none" w:sz="0" w:space="0" w:color="auto"/>
        <w:bottom w:val="none" w:sz="0" w:space="0" w:color="auto"/>
        <w:right w:val="none" w:sz="0" w:space="0" w:color="auto"/>
      </w:divBdr>
    </w:div>
    <w:div w:id="1163669216">
      <w:bodyDiv w:val="1"/>
      <w:marLeft w:val="0"/>
      <w:marRight w:val="0"/>
      <w:marTop w:val="0"/>
      <w:marBottom w:val="0"/>
      <w:divBdr>
        <w:top w:val="none" w:sz="0" w:space="0" w:color="auto"/>
        <w:left w:val="none" w:sz="0" w:space="0" w:color="auto"/>
        <w:bottom w:val="none" w:sz="0" w:space="0" w:color="auto"/>
        <w:right w:val="none" w:sz="0" w:space="0" w:color="auto"/>
      </w:divBdr>
    </w:div>
    <w:div w:id="1165322876">
      <w:bodyDiv w:val="1"/>
      <w:marLeft w:val="0"/>
      <w:marRight w:val="0"/>
      <w:marTop w:val="0"/>
      <w:marBottom w:val="0"/>
      <w:divBdr>
        <w:top w:val="none" w:sz="0" w:space="0" w:color="auto"/>
        <w:left w:val="none" w:sz="0" w:space="0" w:color="auto"/>
        <w:bottom w:val="none" w:sz="0" w:space="0" w:color="auto"/>
        <w:right w:val="none" w:sz="0" w:space="0" w:color="auto"/>
      </w:divBdr>
    </w:div>
    <w:div w:id="1174610494">
      <w:bodyDiv w:val="1"/>
      <w:marLeft w:val="0"/>
      <w:marRight w:val="0"/>
      <w:marTop w:val="0"/>
      <w:marBottom w:val="0"/>
      <w:divBdr>
        <w:top w:val="none" w:sz="0" w:space="0" w:color="auto"/>
        <w:left w:val="none" w:sz="0" w:space="0" w:color="auto"/>
        <w:bottom w:val="none" w:sz="0" w:space="0" w:color="auto"/>
        <w:right w:val="none" w:sz="0" w:space="0" w:color="auto"/>
      </w:divBdr>
    </w:div>
    <w:div w:id="1181701611">
      <w:bodyDiv w:val="1"/>
      <w:marLeft w:val="0"/>
      <w:marRight w:val="0"/>
      <w:marTop w:val="0"/>
      <w:marBottom w:val="0"/>
      <w:divBdr>
        <w:top w:val="none" w:sz="0" w:space="0" w:color="auto"/>
        <w:left w:val="none" w:sz="0" w:space="0" w:color="auto"/>
        <w:bottom w:val="none" w:sz="0" w:space="0" w:color="auto"/>
        <w:right w:val="none" w:sz="0" w:space="0" w:color="auto"/>
      </w:divBdr>
    </w:div>
    <w:div w:id="1226181203">
      <w:bodyDiv w:val="1"/>
      <w:marLeft w:val="0"/>
      <w:marRight w:val="0"/>
      <w:marTop w:val="0"/>
      <w:marBottom w:val="0"/>
      <w:divBdr>
        <w:top w:val="none" w:sz="0" w:space="0" w:color="auto"/>
        <w:left w:val="none" w:sz="0" w:space="0" w:color="auto"/>
        <w:bottom w:val="none" w:sz="0" w:space="0" w:color="auto"/>
        <w:right w:val="none" w:sz="0" w:space="0" w:color="auto"/>
      </w:divBdr>
    </w:div>
    <w:div w:id="1256280711">
      <w:bodyDiv w:val="1"/>
      <w:marLeft w:val="0"/>
      <w:marRight w:val="0"/>
      <w:marTop w:val="0"/>
      <w:marBottom w:val="0"/>
      <w:divBdr>
        <w:top w:val="none" w:sz="0" w:space="0" w:color="auto"/>
        <w:left w:val="none" w:sz="0" w:space="0" w:color="auto"/>
        <w:bottom w:val="none" w:sz="0" w:space="0" w:color="auto"/>
        <w:right w:val="none" w:sz="0" w:space="0" w:color="auto"/>
      </w:divBdr>
    </w:div>
    <w:div w:id="1354258716">
      <w:bodyDiv w:val="1"/>
      <w:marLeft w:val="0"/>
      <w:marRight w:val="0"/>
      <w:marTop w:val="0"/>
      <w:marBottom w:val="0"/>
      <w:divBdr>
        <w:top w:val="none" w:sz="0" w:space="0" w:color="auto"/>
        <w:left w:val="none" w:sz="0" w:space="0" w:color="auto"/>
        <w:bottom w:val="none" w:sz="0" w:space="0" w:color="auto"/>
        <w:right w:val="none" w:sz="0" w:space="0" w:color="auto"/>
      </w:divBdr>
    </w:div>
    <w:div w:id="1360887140">
      <w:bodyDiv w:val="1"/>
      <w:marLeft w:val="0"/>
      <w:marRight w:val="0"/>
      <w:marTop w:val="0"/>
      <w:marBottom w:val="0"/>
      <w:divBdr>
        <w:top w:val="none" w:sz="0" w:space="0" w:color="auto"/>
        <w:left w:val="none" w:sz="0" w:space="0" w:color="auto"/>
        <w:bottom w:val="none" w:sz="0" w:space="0" w:color="auto"/>
        <w:right w:val="none" w:sz="0" w:space="0" w:color="auto"/>
      </w:divBdr>
    </w:div>
    <w:div w:id="1408310942">
      <w:bodyDiv w:val="1"/>
      <w:marLeft w:val="0"/>
      <w:marRight w:val="0"/>
      <w:marTop w:val="0"/>
      <w:marBottom w:val="0"/>
      <w:divBdr>
        <w:top w:val="none" w:sz="0" w:space="0" w:color="auto"/>
        <w:left w:val="none" w:sz="0" w:space="0" w:color="auto"/>
        <w:bottom w:val="none" w:sz="0" w:space="0" w:color="auto"/>
        <w:right w:val="none" w:sz="0" w:space="0" w:color="auto"/>
      </w:divBdr>
    </w:div>
    <w:div w:id="1421290975">
      <w:bodyDiv w:val="1"/>
      <w:marLeft w:val="0"/>
      <w:marRight w:val="0"/>
      <w:marTop w:val="0"/>
      <w:marBottom w:val="0"/>
      <w:divBdr>
        <w:top w:val="none" w:sz="0" w:space="0" w:color="auto"/>
        <w:left w:val="none" w:sz="0" w:space="0" w:color="auto"/>
        <w:bottom w:val="none" w:sz="0" w:space="0" w:color="auto"/>
        <w:right w:val="none" w:sz="0" w:space="0" w:color="auto"/>
      </w:divBdr>
    </w:div>
    <w:div w:id="1464539548">
      <w:bodyDiv w:val="1"/>
      <w:marLeft w:val="0"/>
      <w:marRight w:val="0"/>
      <w:marTop w:val="0"/>
      <w:marBottom w:val="0"/>
      <w:divBdr>
        <w:top w:val="none" w:sz="0" w:space="0" w:color="auto"/>
        <w:left w:val="none" w:sz="0" w:space="0" w:color="auto"/>
        <w:bottom w:val="none" w:sz="0" w:space="0" w:color="auto"/>
        <w:right w:val="none" w:sz="0" w:space="0" w:color="auto"/>
      </w:divBdr>
    </w:div>
    <w:div w:id="1468159507">
      <w:bodyDiv w:val="1"/>
      <w:marLeft w:val="0"/>
      <w:marRight w:val="0"/>
      <w:marTop w:val="0"/>
      <w:marBottom w:val="0"/>
      <w:divBdr>
        <w:top w:val="none" w:sz="0" w:space="0" w:color="auto"/>
        <w:left w:val="none" w:sz="0" w:space="0" w:color="auto"/>
        <w:bottom w:val="none" w:sz="0" w:space="0" w:color="auto"/>
        <w:right w:val="none" w:sz="0" w:space="0" w:color="auto"/>
      </w:divBdr>
    </w:div>
    <w:div w:id="1468474033">
      <w:bodyDiv w:val="1"/>
      <w:marLeft w:val="0"/>
      <w:marRight w:val="0"/>
      <w:marTop w:val="0"/>
      <w:marBottom w:val="0"/>
      <w:divBdr>
        <w:top w:val="none" w:sz="0" w:space="0" w:color="auto"/>
        <w:left w:val="none" w:sz="0" w:space="0" w:color="auto"/>
        <w:bottom w:val="none" w:sz="0" w:space="0" w:color="auto"/>
        <w:right w:val="none" w:sz="0" w:space="0" w:color="auto"/>
      </w:divBdr>
    </w:div>
    <w:div w:id="1491166818">
      <w:bodyDiv w:val="1"/>
      <w:marLeft w:val="0"/>
      <w:marRight w:val="0"/>
      <w:marTop w:val="0"/>
      <w:marBottom w:val="0"/>
      <w:divBdr>
        <w:top w:val="none" w:sz="0" w:space="0" w:color="auto"/>
        <w:left w:val="none" w:sz="0" w:space="0" w:color="auto"/>
        <w:bottom w:val="none" w:sz="0" w:space="0" w:color="auto"/>
        <w:right w:val="none" w:sz="0" w:space="0" w:color="auto"/>
      </w:divBdr>
    </w:div>
    <w:div w:id="1508905376">
      <w:bodyDiv w:val="1"/>
      <w:marLeft w:val="0"/>
      <w:marRight w:val="0"/>
      <w:marTop w:val="0"/>
      <w:marBottom w:val="0"/>
      <w:divBdr>
        <w:top w:val="none" w:sz="0" w:space="0" w:color="auto"/>
        <w:left w:val="none" w:sz="0" w:space="0" w:color="auto"/>
        <w:bottom w:val="none" w:sz="0" w:space="0" w:color="auto"/>
        <w:right w:val="none" w:sz="0" w:space="0" w:color="auto"/>
      </w:divBdr>
    </w:div>
    <w:div w:id="1544097003">
      <w:bodyDiv w:val="1"/>
      <w:marLeft w:val="0"/>
      <w:marRight w:val="0"/>
      <w:marTop w:val="0"/>
      <w:marBottom w:val="0"/>
      <w:divBdr>
        <w:top w:val="none" w:sz="0" w:space="0" w:color="auto"/>
        <w:left w:val="none" w:sz="0" w:space="0" w:color="auto"/>
        <w:bottom w:val="none" w:sz="0" w:space="0" w:color="auto"/>
        <w:right w:val="none" w:sz="0" w:space="0" w:color="auto"/>
      </w:divBdr>
    </w:div>
    <w:div w:id="1597204841">
      <w:bodyDiv w:val="1"/>
      <w:marLeft w:val="0"/>
      <w:marRight w:val="0"/>
      <w:marTop w:val="0"/>
      <w:marBottom w:val="0"/>
      <w:divBdr>
        <w:top w:val="none" w:sz="0" w:space="0" w:color="auto"/>
        <w:left w:val="none" w:sz="0" w:space="0" w:color="auto"/>
        <w:bottom w:val="none" w:sz="0" w:space="0" w:color="auto"/>
        <w:right w:val="none" w:sz="0" w:space="0" w:color="auto"/>
      </w:divBdr>
    </w:div>
    <w:div w:id="1598632284">
      <w:bodyDiv w:val="1"/>
      <w:marLeft w:val="0"/>
      <w:marRight w:val="0"/>
      <w:marTop w:val="0"/>
      <w:marBottom w:val="0"/>
      <w:divBdr>
        <w:top w:val="none" w:sz="0" w:space="0" w:color="auto"/>
        <w:left w:val="none" w:sz="0" w:space="0" w:color="auto"/>
        <w:bottom w:val="none" w:sz="0" w:space="0" w:color="auto"/>
        <w:right w:val="none" w:sz="0" w:space="0" w:color="auto"/>
      </w:divBdr>
    </w:div>
    <w:div w:id="1610502474">
      <w:bodyDiv w:val="1"/>
      <w:marLeft w:val="0"/>
      <w:marRight w:val="0"/>
      <w:marTop w:val="0"/>
      <w:marBottom w:val="0"/>
      <w:divBdr>
        <w:top w:val="none" w:sz="0" w:space="0" w:color="auto"/>
        <w:left w:val="none" w:sz="0" w:space="0" w:color="auto"/>
        <w:bottom w:val="none" w:sz="0" w:space="0" w:color="auto"/>
        <w:right w:val="none" w:sz="0" w:space="0" w:color="auto"/>
      </w:divBdr>
    </w:div>
    <w:div w:id="1623807648">
      <w:bodyDiv w:val="1"/>
      <w:marLeft w:val="0"/>
      <w:marRight w:val="0"/>
      <w:marTop w:val="0"/>
      <w:marBottom w:val="0"/>
      <w:divBdr>
        <w:top w:val="none" w:sz="0" w:space="0" w:color="auto"/>
        <w:left w:val="none" w:sz="0" w:space="0" w:color="auto"/>
        <w:bottom w:val="none" w:sz="0" w:space="0" w:color="auto"/>
        <w:right w:val="none" w:sz="0" w:space="0" w:color="auto"/>
      </w:divBdr>
    </w:div>
    <w:div w:id="1644847876">
      <w:bodyDiv w:val="1"/>
      <w:marLeft w:val="0"/>
      <w:marRight w:val="0"/>
      <w:marTop w:val="0"/>
      <w:marBottom w:val="0"/>
      <w:divBdr>
        <w:top w:val="none" w:sz="0" w:space="0" w:color="auto"/>
        <w:left w:val="none" w:sz="0" w:space="0" w:color="auto"/>
        <w:bottom w:val="none" w:sz="0" w:space="0" w:color="auto"/>
        <w:right w:val="none" w:sz="0" w:space="0" w:color="auto"/>
      </w:divBdr>
      <w:divsChild>
        <w:div w:id="694381855">
          <w:marLeft w:val="0"/>
          <w:marRight w:val="0"/>
          <w:marTop w:val="0"/>
          <w:marBottom w:val="0"/>
          <w:divBdr>
            <w:top w:val="none" w:sz="0" w:space="0" w:color="auto"/>
            <w:left w:val="none" w:sz="0" w:space="0" w:color="auto"/>
            <w:bottom w:val="none" w:sz="0" w:space="0" w:color="auto"/>
            <w:right w:val="none" w:sz="0" w:space="0" w:color="auto"/>
          </w:divBdr>
          <w:divsChild>
            <w:div w:id="970280579">
              <w:marLeft w:val="0"/>
              <w:marRight w:val="0"/>
              <w:marTop w:val="0"/>
              <w:marBottom w:val="0"/>
              <w:divBdr>
                <w:top w:val="none" w:sz="0" w:space="0" w:color="auto"/>
                <w:left w:val="none" w:sz="0" w:space="0" w:color="auto"/>
                <w:bottom w:val="none" w:sz="0" w:space="0" w:color="auto"/>
                <w:right w:val="none" w:sz="0" w:space="0" w:color="auto"/>
              </w:divBdr>
              <w:divsChild>
                <w:div w:id="1130131949">
                  <w:marLeft w:val="0"/>
                  <w:marRight w:val="0"/>
                  <w:marTop w:val="0"/>
                  <w:marBottom w:val="0"/>
                  <w:divBdr>
                    <w:top w:val="none" w:sz="0" w:space="0" w:color="auto"/>
                    <w:left w:val="none" w:sz="0" w:space="0" w:color="auto"/>
                    <w:bottom w:val="none" w:sz="0" w:space="0" w:color="auto"/>
                    <w:right w:val="none" w:sz="0" w:space="0" w:color="auto"/>
                  </w:divBdr>
                  <w:divsChild>
                    <w:div w:id="842862108">
                      <w:marLeft w:val="0"/>
                      <w:marRight w:val="0"/>
                      <w:marTop w:val="0"/>
                      <w:marBottom w:val="0"/>
                      <w:divBdr>
                        <w:top w:val="none" w:sz="0" w:space="0" w:color="auto"/>
                        <w:left w:val="none" w:sz="0" w:space="0" w:color="auto"/>
                        <w:bottom w:val="none" w:sz="0" w:space="0" w:color="auto"/>
                        <w:right w:val="none" w:sz="0" w:space="0" w:color="auto"/>
                      </w:divBdr>
                      <w:divsChild>
                        <w:div w:id="1491286795">
                          <w:marLeft w:val="0"/>
                          <w:marRight w:val="0"/>
                          <w:marTop w:val="0"/>
                          <w:marBottom w:val="0"/>
                          <w:divBdr>
                            <w:top w:val="none" w:sz="0" w:space="0" w:color="auto"/>
                            <w:left w:val="none" w:sz="0" w:space="0" w:color="auto"/>
                            <w:bottom w:val="none" w:sz="0" w:space="0" w:color="auto"/>
                            <w:right w:val="none" w:sz="0" w:space="0" w:color="auto"/>
                          </w:divBdr>
                          <w:divsChild>
                            <w:div w:id="1621842005">
                              <w:marLeft w:val="0"/>
                              <w:marRight w:val="0"/>
                              <w:marTop w:val="0"/>
                              <w:marBottom w:val="0"/>
                              <w:divBdr>
                                <w:top w:val="none" w:sz="0" w:space="0" w:color="auto"/>
                                <w:left w:val="none" w:sz="0" w:space="0" w:color="auto"/>
                                <w:bottom w:val="none" w:sz="0" w:space="0" w:color="auto"/>
                                <w:right w:val="none" w:sz="0" w:space="0" w:color="auto"/>
                              </w:divBdr>
                              <w:divsChild>
                                <w:div w:id="1692031598">
                                  <w:marLeft w:val="0"/>
                                  <w:marRight w:val="0"/>
                                  <w:marTop w:val="0"/>
                                  <w:marBottom w:val="0"/>
                                  <w:divBdr>
                                    <w:top w:val="none" w:sz="0" w:space="0" w:color="auto"/>
                                    <w:left w:val="none" w:sz="0" w:space="0" w:color="auto"/>
                                    <w:bottom w:val="none" w:sz="0" w:space="0" w:color="auto"/>
                                    <w:right w:val="none" w:sz="0" w:space="0" w:color="auto"/>
                                  </w:divBdr>
                                  <w:divsChild>
                                    <w:div w:id="1796824533">
                                      <w:marLeft w:val="0"/>
                                      <w:marRight w:val="0"/>
                                      <w:marTop w:val="0"/>
                                      <w:marBottom w:val="0"/>
                                      <w:divBdr>
                                        <w:top w:val="none" w:sz="0" w:space="0" w:color="auto"/>
                                        <w:left w:val="none" w:sz="0" w:space="0" w:color="auto"/>
                                        <w:bottom w:val="none" w:sz="0" w:space="0" w:color="auto"/>
                                        <w:right w:val="none" w:sz="0" w:space="0" w:color="auto"/>
                                      </w:divBdr>
                                      <w:divsChild>
                                        <w:div w:id="1030061474">
                                          <w:marLeft w:val="0"/>
                                          <w:marRight w:val="0"/>
                                          <w:marTop w:val="0"/>
                                          <w:marBottom w:val="0"/>
                                          <w:divBdr>
                                            <w:top w:val="none" w:sz="0" w:space="0" w:color="auto"/>
                                            <w:left w:val="none" w:sz="0" w:space="0" w:color="auto"/>
                                            <w:bottom w:val="none" w:sz="0" w:space="0" w:color="auto"/>
                                            <w:right w:val="none" w:sz="0" w:space="0" w:color="auto"/>
                                          </w:divBdr>
                                          <w:divsChild>
                                            <w:div w:id="1483621776">
                                              <w:marLeft w:val="0"/>
                                              <w:marRight w:val="0"/>
                                              <w:marTop w:val="0"/>
                                              <w:marBottom w:val="0"/>
                                              <w:divBdr>
                                                <w:top w:val="none" w:sz="0" w:space="0" w:color="auto"/>
                                                <w:left w:val="none" w:sz="0" w:space="0" w:color="auto"/>
                                                <w:bottom w:val="none" w:sz="0" w:space="0" w:color="auto"/>
                                                <w:right w:val="none" w:sz="0" w:space="0" w:color="auto"/>
                                              </w:divBdr>
                                              <w:divsChild>
                                                <w:div w:id="15937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7667409">
      <w:bodyDiv w:val="1"/>
      <w:marLeft w:val="0"/>
      <w:marRight w:val="0"/>
      <w:marTop w:val="0"/>
      <w:marBottom w:val="0"/>
      <w:divBdr>
        <w:top w:val="none" w:sz="0" w:space="0" w:color="auto"/>
        <w:left w:val="none" w:sz="0" w:space="0" w:color="auto"/>
        <w:bottom w:val="none" w:sz="0" w:space="0" w:color="auto"/>
        <w:right w:val="none" w:sz="0" w:space="0" w:color="auto"/>
      </w:divBdr>
    </w:div>
    <w:div w:id="1684162080">
      <w:bodyDiv w:val="1"/>
      <w:marLeft w:val="0"/>
      <w:marRight w:val="0"/>
      <w:marTop w:val="0"/>
      <w:marBottom w:val="0"/>
      <w:divBdr>
        <w:top w:val="none" w:sz="0" w:space="0" w:color="auto"/>
        <w:left w:val="none" w:sz="0" w:space="0" w:color="auto"/>
        <w:bottom w:val="none" w:sz="0" w:space="0" w:color="auto"/>
        <w:right w:val="none" w:sz="0" w:space="0" w:color="auto"/>
      </w:divBdr>
    </w:div>
    <w:div w:id="1717775379">
      <w:bodyDiv w:val="1"/>
      <w:marLeft w:val="0"/>
      <w:marRight w:val="0"/>
      <w:marTop w:val="0"/>
      <w:marBottom w:val="0"/>
      <w:divBdr>
        <w:top w:val="none" w:sz="0" w:space="0" w:color="auto"/>
        <w:left w:val="none" w:sz="0" w:space="0" w:color="auto"/>
        <w:bottom w:val="none" w:sz="0" w:space="0" w:color="auto"/>
        <w:right w:val="none" w:sz="0" w:space="0" w:color="auto"/>
      </w:divBdr>
    </w:div>
    <w:div w:id="1721973425">
      <w:bodyDiv w:val="1"/>
      <w:marLeft w:val="0"/>
      <w:marRight w:val="0"/>
      <w:marTop w:val="0"/>
      <w:marBottom w:val="0"/>
      <w:divBdr>
        <w:top w:val="none" w:sz="0" w:space="0" w:color="auto"/>
        <w:left w:val="none" w:sz="0" w:space="0" w:color="auto"/>
        <w:bottom w:val="none" w:sz="0" w:space="0" w:color="auto"/>
        <w:right w:val="none" w:sz="0" w:space="0" w:color="auto"/>
      </w:divBdr>
    </w:div>
    <w:div w:id="1748503497">
      <w:bodyDiv w:val="1"/>
      <w:marLeft w:val="0"/>
      <w:marRight w:val="0"/>
      <w:marTop w:val="0"/>
      <w:marBottom w:val="0"/>
      <w:divBdr>
        <w:top w:val="none" w:sz="0" w:space="0" w:color="auto"/>
        <w:left w:val="none" w:sz="0" w:space="0" w:color="auto"/>
        <w:bottom w:val="none" w:sz="0" w:space="0" w:color="auto"/>
        <w:right w:val="none" w:sz="0" w:space="0" w:color="auto"/>
      </w:divBdr>
    </w:div>
    <w:div w:id="1763144852">
      <w:bodyDiv w:val="1"/>
      <w:marLeft w:val="0"/>
      <w:marRight w:val="0"/>
      <w:marTop w:val="0"/>
      <w:marBottom w:val="0"/>
      <w:divBdr>
        <w:top w:val="none" w:sz="0" w:space="0" w:color="auto"/>
        <w:left w:val="none" w:sz="0" w:space="0" w:color="auto"/>
        <w:bottom w:val="none" w:sz="0" w:space="0" w:color="auto"/>
        <w:right w:val="none" w:sz="0" w:space="0" w:color="auto"/>
      </w:divBdr>
    </w:div>
    <w:div w:id="1795371606">
      <w:bodyDiv w:val="1"/>
      <w:marLeft w:val="0"/>
      <w:marRight w:val="0"/>
      <w:marTop w:val="0"/>
      <w:marBottom w:val="0"/>
      <w:divBdr>
        <w:top w:val="none" w:sz="0" w:space="0" w:color="auto"/>
        <w:left w:val="none" w:sz="0" w:space="0" w:color="auto"/>
        <w:bottom w:val="none" w:sz="0" w:space="0" w:color="auto"/>
        <w:right w:val="none" w:sz="0" w:space="0" w:color="auto"/>
      </w:divBdr>
    </w:div>
    <w:div w:id="1811824954">
      <w:bodyDiv w:val="1"/>
      <w:marLeft w:val="0"/>
      <w:marRight w:val="0"/>
      <w:marTop w:val="0"/>
      <w:marBottom w:val="0"/>
      <w:divBdr>
        <w:top w:val="none" w:sz="0" w:space="0" w:color="auto"/>
        <w:left w:val="none" w:sz="0" w:space="0" w:color="auto"/>
        <w:bottom w:val="none" w:sz="0" w:space="0" w:color="auto"/>
        <w:right w:val="none" w:sz="0" w:space="0" w:color="auto"/>
      </w:divBdr>
      <w:divsChild>
        <w:div w:id="1511748682">
          <w:marLeft w:val="0"/>
          <w:marRight w:val="1"/>
          <w:marTop w:val="0"/>
          <w:marBottom w:val="0"/>
          <w:divBdr>
            <w:top w:val="none" w:sz="0" w:space="0" w:color="auto"/>
            <w:left w:val="none" w:sz="0" w:space="0" w:color="auto"/>
            <w:bottom w:val="none" w:sz="0" w:space="0" w:color="auto"/>
            <w:right w:val="none" w:sz="0" w:space="0" w:color="auto"/>
          </w:divBdr>
          <w:divsChild>
            <w:div w:id="1629507835">
              <w:marLeft w:val="0"/>
              <w:marRight w:val="0"/>
              <w:marTop w:val="0"/>
              <w:marBottom w:val="0"/>
              <w:divBdr>
                <w:top w:val="none" w:sz="0" w:space="0" w:color="auto"/>
                <w:left w:val="none" w:sz="0" w:space="0" w:color="auto"/>
                <w:bottom w:val="none" w:sz="0" w:space="0" w:color="auto"/>
                <w:right w:val="none" w:sz="0" w:space="0" w:color="auto"/>
              </w:divBdr>
              <w:divsChild>
                <w:div w:id="89354938">
                  <w:marLeft w:val="0"/>
                  <w:marRight w:val="1"/>
                  <w:marTop w:val="0"/>
                  <w:marBottom w:val="0"/>
                  <w:divBdr>
                    <w:top w:val="none" w:sz="0" w:space="0" w:color="auto"/>
                    <w:left w:val="none" w:sz="0" w:space="0" w:color="auto"/>
                    <w:bottom w:val="none" w:sz="0" w:space="0" w:color="auto"/>
                    <w:right w:val="none" w:sz="0" w:space="0" w:color="auto"/>
                  </w:divBdr>
                  <w:divsChild>
                    <w:div w:id="49380214">
                      <w:marLeft w:val="0"/>
                      <w:marRight w:val="0"/>
                      <w:marTop w:val="0"/>
                      <w:marBottom w:val="0"/>
                      <w:divBdr>
                        <w:top w:val="none" w:sz="0" w:space="0" w:color="auto"/>
                        <w:left w:val="none" w:sz="0" w:space="0" w:color="auto"/>
                        <w:bottom w:val="none" w:sz="0" w:space="0" w:color="auto"/>
                        <w:right w:val="none" w:sz="0" w:space="0" w:color="auto"/>
                      </w:divBdr>
                      <w:divsChild>
                        <w:div w:id="1031996129">
                          <w:marLeft w:val="0"/>
                          <w:marRight w:val="0"/>
                          <w:marTop w:val="0"/>
                          <w:marBottom w:val="0"/>
                          <w:divBdr>
                            <w:top w:val="none" w:sz="0" w:space="0" w:color="auto"/>
                            <w:left w:val="none" w:sz="0" w:space="0" w:color="auto"/>
                            <w:bottom w:val="none" w:sz="0" w:space="0" w:color="auto"/>
                            <w:right w:val="none" w:sz="0" w:space="0" w:color="auto"/>
                          </w:divBdr>
                          <w:divsChild>
                            <w:div w:id="1134637671">
                              <w:marLeft w:val="0"/>
                              <w:marRight w:val="0"/>
                              <w:marTop w:val="120"/>
                              <w:marBottom w:val="360"/>
                              <w:divBdr>
                                <w:top w:val="none" w:sz="0" w:space="0" w:color="auto"/>
                                <w:left w:val="none" w:sz="0" w:space="0" w:color="auto"/>
                                <w:bottom w:val="none" w:sz="0" w:space="0" w:color="auto"/>
                                <w:right w:val="none" w:sz="0" w:space="0" w:color="auto"/>
                              </w:divBdr>
                              <w:divsChild>
                                <w:div w:id="453644578">
                                  <w:marLeft w:val="0"/>
                                  <w:marRight w:val="0"/>
                                  <w:marTop w:val="0"/>
                                  <w:marBottom w:val="0"/>
                                  <w:divBdr>
                                    <w:top w:val="none" w:sz="0" w:space="0" w:color="auto"/>
                                    <w:left w:val="none" w:sz="0" w:space="0" w:color="auto"/>
                                    <w:bottom w:val="none" w:sz="0" w:space="0" w:color="auto"/>
                                    <w:right w:val="none" w:sz="0" w:space="0" w:color="auto"/>
                                  </w:divBdr>
                                  <w:divsChild>
                                    <w:div w:id="5621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526239">
      <w:bodyDiv w:val="1"/>
      <w:marLeft w:val="0"/>
      <w:marRight w:val="0"/>
      <w:marTop w:val="0"/>
      <w:marBottom w:val="0"/>
      <w:divBdr>
        <w:top w:val="none" w:sz="0" w:space="0" w:color="auto"/>
        <w:left w:val="none" w:sz="0" w:space="0" w:color="auto"/>
        <w:bottom w:val="none" w:sz="0" w:space="0" w:color="auto"/>
        <w:right w:val="none" w:sz="0" w:space="0" w:color="auto"/>
      </w:divBdr>
    </w:div>
    <w:div w:id="1823157254">
      <w:bodyDiv w:val="1"/>
      <w:marLeft w:val="0"/>
      <w:marRight w:val="0"/>
      <w:marTop w:val="0"/>
      <w:marBottom w:val="0"/>
      <w:divBdr>
        <w:top w:val="none" w:sz="0" w:space="0" w:color="auto"/>
        <w:left w:val="none" w:sz="0" w:space="0" w:color="auto"/>
        <w:bottom w:val="none" w:sz="0" w:space="0" w:color="auto"/>
        <w:right w:val="none" w:sz="0" w:space="0" w:color="auto"/>
      </w:divBdr>
    </w:div>
    <w:div w:id="1825975320">
      <w:bodyDiv w:val="1"/>
      <w:marLeft w:val="0"/>
      <w:marRight w:val="0"/>
      <w:marTop w:val="0"/>
      <w:marBottom w:val="0"/>
      <w:divBdr>
        <w:top w:val="none" w:sz="0" w:space="0" w:color="auto"/>
        <w:left w:val="none" w:sz="0" w:space="0" w:color="auto"/>
        <w:bottom w:val="none" w:sz="0" w:space="0" w:color="auto"/>
        <w:right w:val="none" w:sz="0" w:space="0" w:color="auto"/>
      </w:divBdr>
    </w:div>
    <w:div w:id="1876231213">
      <w:bodyDiv w:val="1"/>
      <w:marLeft w:val="0"/>
      <w:marRight w:val="0"/>
      <w:marTop w:val="0"/>
      <w:marBottom w:val="0"/>
      <w:divBdr>
        <w:top w:val="none" w:sz="0" w:space="0" w:color="auto"/>
        <w:left w:val="none" w:sz="0" w:space="0" w:color="auto"/>
        <w:bottom w:val="none" w:sz="0" w:space="0" w:color="auto"/>
        <w:right w:val="none" w:sz="0" w:space="0" w:color="auto"/>
      </w:divBdr>
    </w:div>
    <w:div w:id="1881822762">
      <w:bodyDiv w:val="1"/>
      <w:marLeft w:val="0"/>
      <w:marRight w:val="0"/>
      <w:marTop w:val="0"/>
      <w:marBottom w:val="0"/>
      <w:divBdr>
        <w:top w:val="none" w:sz="0" w:space="0" w:color="auto"/>
        <w:left w:val="none" w:sz="0" w:space="0" w:color="auto"/>
        <w:bottom w:val="none" w:sz="0" w:space="0" w:color="auto"/>
        <w:right w:val="none" w:sz="0" w:space="0" w:color="auto"/>
      </w:divBdr>
    </w:div>
    <w:div w:id="1887835850">
      <w:bodyDiv w:val="1"/>
      <w:marLeft w:val="0"/>
      <w:marRight w:val="0"/>
      <w:marTop w:val="0"/>
      <w:marBottom w:val="0"/>
      <w:divBdr>
        <w:top w:val="none" w:sz="0" w:space="0" w:color="auto"/>
        <w:left w:val="none" w:sz="0" w:space="0" w:color="auto"/>
        <w:bottom w:val="none" w:sz="0" w:space="0" w:color="auto"/>
        <w:right w:val="none" w:sz="0" w:space="0" w:color="auto"/>
      </w:divBdr>
    </w:div>
    <w:div w:id="1898316219">
      <w:bodyDiv w:val="1"/>
      <w:marLeft w:val="0"/>
      <w:marRight w:val="0"/>
      <w:marTop w:val="0"/>
      <w:marBottom w:val="0"/>
      <w:divBdr>
        <w:top w:val="none" w:sz="0" w:space="0" w:color="auto"/>
        <w:left w:val="none" w:sz="0" w:space="0" w:color="auto"/>
        <w:bottom w:val="none" w:sz="0" w:space="0" w:color="auto"/>
        <w:right w:val="none" w:sz="0" w:space="0" w:color="auto"/>
      </w:divBdr>
    </w:div>
    <w:div w:id="1900239187">
      <w:bodyDiv w:val="1"/>
      <w:marLeft w:val="0"/>
      <w:marRight w:val="0"/>
      <w:marTop w:val="0"/>
      <w:marBottom w:val="0"/>
      <w:divBdr>
        <w:top w:val="none" w:sz="0" w:space="0" w:color="auto"/>
        <w:left w:val="none" w:sz="0" w:space="0" w:color="auto"/>
        <w:bottom w:val="none" w:sz="0" w:space="0" w:color="auto"/>
        <w:right w:val="none" w:sz="0" w:space="0" w:color="auto"/>
      </w:divBdr>
    </w:div>
    <w:div w:id="1962688120">
      <w:bodyDiv w:val="1"/>
      <w:marLeft w:val="0"/>
      <w:marRight w:val="0"/>
      <w:marTop w:val="0"/>
      <w:marBottom w:val="0"/>
      <w:divBdr>
        <w:top w:val="none" w:sz="0" w:space="0" w:color="auto"/>
        <w:left w:val="none" w:sz="0" w:space="0" w:color="auto"/>
        <w:bottom w:val="none" w:sz="0" w:space="0" w:color="auto"/>
        <w:right w:val="none" w:sz="0" w:space="0" w:color="auto"/>
      </w:divBdr>
    </w:div>
    <w:div w:id="1965115012">
      <w:bodyDiv w:val="1"/>
      <w:marLeft w:val="0"/>
      <w:marRight w:val="0"/>
      <w:marTop w:val="0"/>
      <w:marBottom w:val="0"/>
      <w:divBdr>
        <w:top w:val="none" w:sz="0" w:space="0" w:color="auto"/>
        <w:left w:val="none" w:sz="0" w:space="0" w:color="auto"/>
        <w:bottom w:val="none" w:sz="0" w:space="0" w:color="auto"/>
        <w:right w:val="none" w:sz="0" w:space="0" w:color="auto"/>
      </w:divBdr>
    </w:div>
    <w:div w:id="1982029105">
      <w:bodyDiv w:val="1"/>
      <w:marLeft w:val="0"/>
      <w:marRight w:val="0"/>
      <w:marTop w:val="0"/>
      <w:marBottom w:val="0"/>
      <w:divBdr>
        <w:top w:val="none" w:sz="0" w:space="0" w:color="auto"/>
        <w:left w:val="none" w:sz="0" w:space="0" w:color="auto"/>
        <w:bottom w:val="none" w:sz="0" w:space="0" w:color="auto"/>
        <w:right w:val="none" w:sz="0" w:space="0" w:color="auto"/>
      </w:divBdr>
    </w:div>
    <w:div w:id="1982416326">
      <w:bodyDiv w:val="1"/>
      <w:marLeft w:val="0"/>
      <w:marRight w:val="0"/>
      <w:marTop w:val="0"/>
      <w:marBottom w:val="0"/>
      <w:divBdr>
        <w:top w:val="none" w:sz="0" w:space="0" w:color="auto"/>
        <w:left w:val="none" w:sz="0" w:space="0" w:color="auto"/>
        <w:bottom w:val="none" w:sz="0" w:space="0" w:color="auto"/>
        <w:right w:val="none" w:sz="0" w:space="0" w:color="auto"/>
      </w:divBdr>
    </w:div>
    <w:div w:id="1994410110">
      <w:bodyDiv w:val="1"/>
      <w:marLeft w:val="0"/>
      <w:marRight w:val="0"/>
      <w:marTop w:val="0"/>
      <w:marBottom w:val="0"/>
      <w:divBdr>
        <w:top w:val="none" w:sz="0" w:space="0" w:color="auto"/>
        <w:left w:val="none" w:sz="0" w:space="0" w:color="auto"/>
        <w:bottom w:val="none" w:sz="0" w:space="0" w:color="auto"/>
        <w:right w:val="none" w:sz="0" w:space="0" w:color="auto"/>
      </w:divBdr>
    </w:div>
    <w:div w:id="2040622042">
      <w:bodyDiv w:val="1"/>
      <w:marLeft w:val="0"/>
      <w:marRight w:val="0"/>
      <w:marTop w:val="0"/>
      <w:marBottom w:val="0"/>
      <w:divBdr>
        <w:top w:val="none" w:sz="0" w:space="0" w:color="auto"/>
        <w:left w:val="none" w:sz="0" w:space="0" w:color="auto"/>
        <w:bottom w:val="none" w:sz="0" w:space="0" w:color="auto"/>
        <w:right w:val="none" w:sz="0" w:space="0" w:color="auto"/>
      </w:divBdr>
    </w:div>
    <w:div w:id="2043549939">
      <w:bodyDiv w:val="1"/>
      <w:marLeft w:val="0"/>
      <w:marRight w:val="0"/>
      <w:marTop w:val="0"/>
      <w:marBottom w:val="0"/>
      <w:divBdr>
        <w:top w:val="none" w:sz="0" w:space="0" w:color="auto"/>
        <w:left w:val="none" w:sz="0" w:space="0" w:color="auto"/>
        <w:bottom w:val="none" w:sz="0" w:space="0" w:color="auto"/>
        <w:right w:val="none" w:sz="0" w:space="0" w:color="auto"/>
      </w:divBdr>
    </w:div>
    <w:div w:id="2087064999">
      <w:bodyDiv w:val="1"/>
      <w:marLeft w:val="0"/>
      <w:marRight w:val="0"/>
      <w:marTop w:val="0"/>
      <w:marBottom w:val="0"/>
      <w:divBdr>
        <w:top w:val="none" w:sz="0" w:space="0" w:color="auto"/>
        <w:left w:val="none" w:sz="0" w:space="0" w:color="auto"/>
        <w:bottom w:val="none" w:sz="0" w:space="0" w:color="auto"/>
        <w:right w:val="none" w:sz="0" w:space="0" w:color="auto"/>
      </w:divBdr>
    </w:div>
    <w:div w:id="213467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E:\AppData\Local\Microsoft\Windows\Temporary%20Internet%20Files\Content.Outlook\AppData\Local\Microsoft\Windows\Temporary%20Internet%20Files\Content.Outlook\50QE161U\low_back.htm" TargetMode="External"/><Relationship Id="rId671" Type="http://schemas.openxmlformats.org/officeDocument/2006/relationships/hyperlink" Target="http://www.ncbi.nlm.nih.gov/pubmed/20686134" TargetMode="External"/><Relationship Id="rId769" Type="http://schemas.openxmlformats.org/officeDocument/2006/relationships/hyperlink" Target="http://www.ncbi.nlm.nih.gov/pubmed/18711953" TargetMode="External"/><Relationship Id="rId21" Type="http://schemas.openxmlformats.org/officeDocument/2006/relationships/hyperlink" Target="http://www.ncbi.nlm.nih.gov/pubmed?term=Ueno%20T%5BAuthor%5D&amp;cauthor=true&amp;cauthor_uid=24212070" TargetMode="External"/><Relationship Id="rId324" Type="http://schemas.openxmlformats.org/officeDocument/2006/relationships/hyperlink" Target="http://www.ncbi.nlm.nih.gov/pubmed/12131063" TargetMode="External"/><Relationship Id="rId531" Type="http://schemas.openxmlformats.org/officeDocument/2006/relationships/hyperlink" Target="http://www.ncbi.nlm.nih.gov/pubmed/15895328" TargetMode="External"/><Relationship Id="rId629" Type="http://schemas.openxmlformats.org/officeDocument/2006/relationships/hyperlink" Target="http://www.ncbi.nlm.nih.gov/pubmed/15845693" TargetMode="External"/><Relationship Id="rId170" Type="http://schemas.openxmlformats.org/officeDocument/2006/relationships/hyperlink" Target="file:///E:\AppData\Local\Microsoft\Windows\Temporary%20Internet%20Files\Content.Outlook\AppData\Local\Microsoft\Windows\Temporary%20Internet%20Files\Content.Outlook\50QE161U\neck.htm" TargetMode="External"/><Relationship Id="rId836" Type="http://schemas.openxmlformats.org/officeDocument/2006/relationships/hyperlink" Target="http://www.ncbi.nlm.nih.gov/pubmed/18346069" TargetMode="External"/><Relationship Id="rId268" Type="http://schemas.openxmlformats.org/officeDocument/2006/relationships/hyperlink" Target="http://www.ncbi.nlm.nih.gov/pubmed/23726390" TargetMode="External"/><Relationship Id="rId475" Type="http://schemas.openxmlformats.org/officeDocument/2006/relationships/hyperlink" Target="http://www.ncbi.nlm.nih.gov/pubmed/20210866" TargetMode="External"/><Relationship Id="rId682" Type="http://schemas.openxmlformats.org/officeDocument/2006/relationships/hyperlink" Target="http://www.ncbi.nlm.nih.gov/pubmed/18042478" TargetMode="External"/><Relationship Id="rId903" Type="http://schemas.openxmlformats.org/officeDocument/2006/relationships/hyperlink" Target="http://www.ncbi.nlm.nih.gov/pubmed/17609842" TargetMode="External"/><Relationship Id="rId32" Type="http://schemas.openxmlformats.org/officeDocument/2006/relationships/hyperlink" Target="http://www.accessdata.fda.gov/drugsatfda_docs/label/2003/017821s045lbl.pdf" TargetMode="External"/><Relationship Id="rId128" Type="http://schemas.openxmlformats.org/officeDocument/2006/relationships/hyperlink" Target="file:///E:\AppData\Local\Microsoft\Windows\Temporary%20Internet%20Files\Content.Outlook\AppData\Local\Microsoft\Windows\Temporary%20Internet%20Files\Content.Outlook\50QE161U\hernia.htm" TargetMode="External"/><Relationship Id="rId335" Type="http://schemas.openxmlformats.org/officeDocument/2006/relationships/hyperlink" Target="http://www.effectivehealthcare.ahrq.gov/ehc/products/2/65/AnalgesicsFinal.pdf" TargetMode="External"/><Relationship Id="rId542" Type="http://schemas.openxmlformats.org/officeDocument/2006/relationships/hyperlink" Target="http://www.ncbi.nlm.nih.gov/pubmed/9353612" TargetMode="External"/><Relationship Id="rId181" Type="http://schemas.openxmlformats.org/officeDocument/2006/relationships/hyperlink" Target="http://www.carf.org/home/" TargetMode="External"/><Relationship Id="rId402" Type="http://schemas.openxmlformats.org/officeDocument/2006/relationships/hyperlink" Target="http://www.ncbi.nlm.nih.gov/pubmed/?term=Finnerup+NB%2C+Otto+M%2C+Jensen+TS%2C+Sindrup+SH.+An+evidence-based+algorithm+for+the+treatment+of+neuropathic+pain.+MedGenMed.+2007+May+15%3B9(2)%3A36." TargetMode="External"/><Relationship Id="rId847" Type="http://schemas.openxmlformats.org/officeDocument/2006/relationships/hyperlink" Target="http://www.bmj.com/cgi/content/full/322/7301/1511/DC1.htm" TargetMode="External"/><Relationship Id="rId279" Type="http://schemas.openxmlformats.org/officeDocument/2006/relationships/hyperlink" Target="http://www.ncbi.nlm.nih.gov/pubmed/9712107" TargetMode="External"/><Relationship Id="rId486" Type="http://schemas.openxmlformats.org/officeDocument/2006/relationships/hyperlink" Target="http://www.ncbi.nlm.nih.gov/pubmed/21497851" TargetMode="External"/><Relationship Id="rId693" Type="http://schemas.openxmlformats.org/officeDocument/2006/relationships/hyperlink" Target="http://www.ncbi.nlm.nih.gov/pubmed/17505569" TargetMode="External"/><Relationship Id="rId707" Type="http://schemas.openxmlformats.org/officeDocument/2006/relationships/hyperlink" Target="http://www.ncbi.nlm.nih.gov/pubmed/11706776" TargetMode="External"/><Relationship Id="rId43" Type="http://schemas.openxmlformats.org/officeDocument/2006/relationships/hyperlink" Target="http://www.fda.gov/Drugs/DrugSafety/ucm318858.htm" TargetMode="External"/><Relationship Id="rId139" Type="http://schemas.openxmlformats.org/officeDocument/2006/relationships/hyperlink" Target="file:///E:\AppData\Local\Microsoft\Windows\Temporary%20Internet%20Files\Content.Outlook\AppData\Local\Microsoft\Windows\Temporary%20Internet%20Files\Content.Outlook\50QE161U\low_back.htm" TargetMode="External"/><Relationship Id="rId346" Type="http://schemas.openxmlformats.org/officeDocument/2006/relationships/hyperlink" Target="http://www.ncbi.nlm.nih.gov/pubmed/11131263" TargetMode="External"/><Relationship Id="rId553" Type="http://schemas.openxmlformats.org/officeDocument/2006/relationships/hyperlink" Target="http://www.ncbi.nlm.nih.gov/pubmed/18184282" TargetMode="External"/><Relationship Id="rId760" Type="http://schemas.openxmlformats.org/officeDocument/2006/relationships/hyperlink" Target="http://www.ncbi.nlm.nih.gov/pubmed/16957148" TargetMode="External"/><Relationship Id="rId192" Type="http://schemas.openxmlformats.org/officeDocument/2006/relationships/hyperlink" Target="javascript:AL_get(this,%20'jour',%20'J%20Clin%20Psychiatry.');" TargetMode="External"/><Relationship Id="rId206" Type="http://schemas.openxmlformats.org/officeDocument/2006/relationships/hyperlink" Target="http://www.ncbi.nlm.nih.gov/pubmed/21733195" TargetMode="External"/><Relationship Id="rId413" Type="http://schemas.openxmlformats.org/officeDocument/2006/relationships/hyperlink" Target="http://www.ncbi.nlm.nih.gov/pubmed/?term=25151334" TargetMode="External"/><Relationship Id="rId858" Type="http://schemas.openxmlformats.org/officeDocument/2006/relationships/hyperlink" Target="http://www.ncbi.nlm.nih.gov/pubmed/19293415" TargetMode="External"/><Relationship Id="rId497" Type="http://schemas.openxmlformats.org/officeDocument/2006/relationships/hyperlink" Target="http://rsdfoundation.org/en/en_clinical_practice_guidelines.html" TargetMode="External"/><Relationship Id="rId620" Type="http://schemas.openxmlformats.org/officeDocument/2006/relationships/hyperlink" Target="http://www.ncbi.nlm.nih.gov/pubmed/10583337" TargetMode="External"/><Relationship Id="rId718" Type="http://schemas.openxmlformats.org/officeDocument/2006/relationships/hyperlink" Target="http://www.ncbi.nlm.nih.gov/pubmed/10334375" TargetMode="External"/><Relationship Id="rId357" Type="http://schemas.openxmlformats.org/officeDocument/2006/relationships/hyperlink" Target="http://www.ncbi.nlm.nih.gov/pubmed/3607096" TargetMode="External"/><Relationship Id="rId54" Type="http://schemas.openxmlformats.org/officeDocument/2006/relationships/hyperlink" Target="http://www.rsds.org/4/resources/pdf/ComplexRegionalPainSyndromeDiagnosticTests.pdf" TargetMode="External"/><Relationship Id="rId217" Type="http://schemas.openxmlformats.org/officeDocument/2006/relationships/hyperlink" Target="http://www.ncbi.nlm.nih.gov/pubmed/21770475" TargetMode="External"/><Relationship Id="rId564" Type="http://schemas.openxmlformats.org/officeDocument/2006/relationships/hyperlink" Target="http://www.ncbi.nlm.nih.gov/pubmed/15087796" TargetMode="External"/><Relationship Id="rId771" Type="http://schemas.openxmlformats.org/officeDocument/2006/relationships/hyperlink" Target="http://www.ncbi.nlm.nih.gov/pubmed/12406532" TargetMode="External"/><Relationship Id="rId869" Type="http://schemas.openxmlformats.org/officeDocument/2006/relationships/hyperlink" Target="http://www.ncbi.nlm.nih.gov/pubmed/20704675" TargetMode="External"/><Relationship Id="rId424" Type="http://schemas.openxmlformats.org/officeDocument/2006/relationships/hyperlink" Target="http://www.ncbi.nlm.nih.gov/pubmed/15563741" TargetMode="External"/><Relationship Id="rId631" Type="http://schemas.openxmlformats.org/officeDocument/2006/relationships/hyperlink" Target="http://www.ncbi.nlm.nih.gov/pubmed/17463075" TargetMode="External"/><Relationship Id="rId729" Type="http://schemas.openxmlformats.org/officeDocument/2006/relationships/hyperlink" Target="http://www.ncbi.nlm.nih.gov/pubmed/22473897" TargetMode="External"/><Relationship Id="rId270" Type="http://schemas.openxmlformats.org/officeDocument/2006/relationships/hyperlink" Target="http://www.ncbi.nlm.nih.gov/pubmed/?term=Bigos+SJ%2C+McKee+JE%2C+Holland+JP%2C+Holland+CL%2C+Hildebrandt+J%2C+Back+pain%2C+the+uncomfortable+truth+-+assurance+and+activity+problem.+Schmerz+2001+Dec%3B15(6)%3A430-4" TargetMode="External"/><Relationship Id="rId65" Type="http://schemas.openxmlformats.org/officeDocument/2006/relationships/hyperlink" Target="http://www.fda.gov/downloads/AdvisoryCommittees/CommitteesMeetingMaterials/Drugs/AnestheticAndLifeSupportDrugsAdvisoryCommittee/UCM222701.pdf" TargetMode="External"/><Relationship Id="rId130" Type="http://schemas.openxmlformats.org/officeDocument/2006/relationships/hyperlink" Target="http://www.fda.gov/drugs/drugsafety/informationbydrugclass/ucm163647.htm" TargetMode="External"/><Relationship Id="rId368" Type="http://schemas.openxmlformats.org/officeDocument/2006/relationships/hyperlink" Target="http://www.ncbi.nlm.nih.gov/pubmed/19215592" TargetMode="External"/><Relationship Id="rId575" Type="http://schemas.openxmlformats.org/officeDocument/2006/relationships/hyperlink" Target="http://www.ncbi.nlm.nih.gov/pubmed/17209143" TargetMode="External"/><Relationship Id="rId782" Type="http://schemas.openxmlformats.org/officeDocument/2006/relationships/hyperlink" Target="http://www.ncbi.nlm.nih.gov/pubmed/16868593" TargetMode="External"/><Relationship Id="rId228" Type="http://schemas.openxmlformats.org/officeDocument/2006/relationships/hyperlink" Target="http://www.ncbi.nlm.nih.gov/pubmed/17714117" TargetMode="External"/><Relationship Id="rId435" Type="http://schemas.openxmlformats.org/officeDocument/2006/relationships/hyperlink" Target="http://www.ncbi.nlm.nih.gov/pubmed/15800228" TargetMode="External"/><Relationship Id="rId642" Type="http://schemas.openxmlformats.org/officeDocument/2006/relationships/hyperlink" Target="http://www.ncbi.nlm.nih.gov/pubmed/14754783" TargetMode="External"/><Relationship Id="rId281" Type="http://schemas.openxmlformats.org/officeDocument/2006/relationships/hyperlink" Target="http://www.ncbi.nlm.nih.gov/pubmed/24161450" TargetMode="External"/><Relationship Id="rId502" Type="http://schemas.openxmlformats.org/officeDocument/2006/relationships/hyperlink" Target="http://www.ncbi.nlm.nih.gov/pubmed/22535858" TargetMode="External"/><Relationship Id="rId76" Type="http://schemas.openxmlformats.org/officeDocument/2006/relationships/hyperlink" Target="http://www.fda.gov/NewsEvents/Newsroom/PressAnnouncements/ucm239490.htm" TargetMode="External"/><Relationship Id="rId141" Type="http://schemas.openxmlformats.org/officeDocument/2006/relationships/hyperlink" Target="file:///E:\AppData\Local\Microsoft\Windows\Temporary%20Internet%20Files\Content.Outlook\AppData\Local\Microsoft\Windows\Temporary%20Internet%20Files\Content.Outlook\50QE161U\low_back.htm" TargetMode="External"/><Relationship Id="rId379" Type="http://schemas.openxmlformats.org/officeDocument/2006/relationships/hyperlink" Target="http://www.ncbi.nlm.nih.gov/pubmed/20166065" TargetMode="External"/><Relationship Id="rId586" Type="http://schemas.openxmlformats.org/officeDocument/2006/relationships/hyperlink" Target="http://www.ncbi.nlm.nih.gov/pubmed/15712623" TargetMode="External"/><Relationship Id="rId793" Type="http://schemas.openxmlformats.org/officeDocument/2006/relationships/hyperlink" Target="http://www.ncbi.nlm.nih.gov/pubmed/15096449" TargetMode="External"/><Relationship Id="rId807" Type="http://schemas.openxmlformats.org/officeDocument/2006/relationships/hyperlink" Target="http://www.ncbi.nlm.nih.gov/pubmed/14612481" TargetMode="External"/><Relationship Id="rId7" Type="http://schemas.openxmlformats.org/officeDocument/2006/relationships/footnotes" Target="footnotes.xml"/><Relationship Id="rId239" Type="http://schemas.openxmlformats.org/officeDocument/2006/relationships/hyperlink" Target="http://www.ncbi.nlm.nih.gov/pubmed/12221151" TargetMode="External"/><Relationship Id="rId446" Type="http://schemas.openxmlformats.org/officeDocument/2006/relationships/hyperlink" Target="http://www.ncbi.nlm.nih.gov/pubmed/9085304" TargetMode="External"/><Relationship Id="rId653" Type="http://schemas.openxmlformats.org/officeDocument/2006/relationships/hyperlink" Target="http://www.ncbi.nlm.nih.gov/pubmed/16572460" TargetMode="External"/><Relationship Id="rId292" Type="http://schemas.openxmlformats.org/officeDocument/2006/relationships/hyperlink" Target="http://www.ncbi.nlm.nih.gov/pubmed/?term=23940903" TargetMode="External"/><Relationship Id="rId306" Type="http://schemas.openxmlformats.org/officeDocument/2006/relationships/hyperlink" Target="http://www.ncbi.nlm.nih.gov/books/NBK11906/" TargetMode="External"/><Relationship Id="rId860" Type="http://schemas.openxmlformats.org/officeDocument/2006/relationships/hyperlink" Target="http://www.ncbi.nlm.nih.gov/pubmed/23226064" TargetMode="External"/><Relationship Id="rId87" Type="http://schemas.openxmlformats.org/officeDocument/2006/relationships/hyperlink" Target="http://www.fda.gov/drugs/drugsafety/ucm372089.htm" TargetMode="External"/><Relationship Id="rId513" Type="http://schemas.openxmlformats.org/officeDocument/2006/relationships/hyperlink" Target="http://www.ncbi.nlm.nih.gov/pubmed/12804478" TargetMode="External"/><Relationship Id="rId597" Type="http://schemas.openxmlformats.org/officeDocument/2006/relationships/hyperlink" Target="http://www.ncbi.nlm.nih.gov/pubmed/23265445" TargetMode="External"/><Relationship Id="rId720" Type="http://schemas.openxmlformats.org/officeDocument/2006/relationships/hyperlink" Target="http://www.ncbi.nlm.nih.gov/pubmed/23128807" TargetMode="External"/><Relationship Id="rId818" Type="http://schemas.openxmlformats.org/officeDocument/2006/relationships/hyperlink" Target="http://www.ncbi.nlm.nih.gov/pubmed/16310712" TargetMode="External"/><Relationship Id="rId152" Type="http://schemas.openxmlformats.org/officeDocument/2006/relationships/hyperlink" Target="http://www.odg-twc.com/odgtwc/pain.htm" TargetMode="External"/><Relationship Id="rId457" Type="http://schemas.openxmlformats.org/officeDocument/2006/relationships/hyperlink" Target="http://www.ncbi.nlm.nih.gov/pubmed/18294367" TargetMode="External"/><Relationship Id="rId664" Type="http://schemas.openxmlformats.org/officeDocument/2006/relationships/hyperlink" Target="https://www.orthopt.org/uploads/content_files/OHSIG_Guidelines/Work_Rehab_Guideline_Final_Draft_4_1_11.pdf" TargetMode="External"/><Relationship Id="rId871" Type="http://schemas.openxmlformats.org/officeDocument/2006/relationships/hyperlink" Target="http://www.ncbi.nlm.nih.gov/pubmed/16820551" TargetMode="External"/><Relationship Id="rId14" Type="http://schemas.openxmlformats.org/officeDocument/2006/relationships/footer" Target="footer3.xml"/><Relationship Id="rId317" Type="http://schemas.openxmlformats.org/officeDocument/2006/relationships/hyperlink" Target="http://www.ncbi.nlm.nih.gov/pubmed/22177715" TargetMode="External"/><Relationship Id="rId524" Type="http://schemas.openxmlformats.org/officeDocument/2006/relationships/hyperlink" Target="http://www.ncbi.nlm.nih.gov/pubmed/16937343" TargetMode="External"/><Relationship Id="rId731" Type="http://schemas.openxmlformats.org/officeDocument/2006/relationships/hyperlink" Target="http://www.ncbi.nlm.nih.gov/pubmed/12048415" TargetMode="External"/><Relationship Id="rId98" Type="http://schemas.openxmlformats.org/officeDocument/2006/relationships/hyperlink" Target="file:///E:\AppData\Local\Microsoft\Windows\Temporary%20Internet%20Files\Content.Outlook\AppData\Local\Microsoft\Windows\Temporary%20Internet%20Files\Content.Outlook\50QE161U\Pain_files\united_stim.htm" TargetMode="External"/><Relationship Id="rId163" Type="http://schemas.openxmlformats.org/officeDocument/2006/relationships/hyperlink" Target="file:///E:\AppData\Local\Microsoft\Windows\Temporary%20Internet%20Files\Content.Outlook\AppData\Local\Microsoft\Windows\Temporary%20Internet%20Files\Content.Outlook\50QE161U\elbow.htm" TargetMode="External"/><Relationship Id="rId370" Type="http://schemas.openxmlformats.org/officeDocument/2006/relationships/hyperlink" Target="http://www.ncbi.nlm.nih.gov/pubmed/16648753" TargetMode="External"/><Relationship Id="rId829" Type="http://schemas.openxmlformats.org/officeDocument/2006/relationships/hyperlink" Target="http://www.ncbi.nlm.nih.gov/pubmed/16511925" TargetMode="External"/><Relationship Id="rId230" Type="http://schemas.openxmlformats.org/officeDocument/2006/relationships/hyperlink" Target="http://www.ncbi.nlm.nih.gov/pubmed/16639148" TargetMode="External"/><Relationship Id="rId468" Type="http://schemas.openxmlformats.org/officeDocument/2006/relationships/hyperlink" Target="http://www.ncbi.nlm.nih.gov/pubmed/23331950" TargetMode="External"/><Relationship Id="rId675" Type="http://schemas.openxmlformats.org/officeDocument/2006/relationships/hyperlink" Target="http://www.ncbi.nlm.nih.gov/pubmed/19997813" TargetMode="External"/><Relationship Id="rId840" Type="http://schemas.openxmlformats.org/officeDocument/2006/relationships/hyperlink" Target="http://www.ncbi.nlm.nih.gov/pubmed/23246778" TargetMode="External"/><Relationship Id="rId882" Type="http://schemas.openxmlformats.org/officeDocument/2006/relationships/hyperlink" Target="http://www.lni.wa.gov/ClaimsIns/Files/Providers/ProvBulletins/PbFiles/PB0510.pdf" TargetMode="External"/><Relationship Id="rId25" Type="http://schemas.openxmlformats.org/officeDocument/2006/relationships/hyperlink" Target="http://www.ncbi.nlm.nih.gov/pubmed/15157710" TargetMode="External"/><Relationship Id="rId67" Type="http://schemas.openxmlformats.org/officeDocument/2006/relationships/hyperlink" Target="http://www.fda.gov/Drugs/DrugSafety/ucm368902.htm" TargetMode="External"/><Relationship Id="rId272" Type="http://schemas.openxmlformats.org/officeDocument/2006/relationships/hyperlink" Target="http://www.ncbi.nlm.nih.gov/pubmed/16960944" TargetMode="External"/><Relationship Id="rId328" Type="http://schemas.openxmlformats.org/officeDocument/2006/relationships/hyperlink" Target="http://www.ncbi.nlm.nih.gov/pubmed/11809180" TargetMode="External"/><Relationship Id="rId535" Type="http://schemas.openxmlformats.org/officeDocument/2006/relationships/hyperlink" Target="http://bmjopen.bmj.com/content/2/1/e000850.full.pdf+html" TargetMode="External"/><Relationship Id="rId577" Type="http://schemas.openxmlformats.org/officeDocument/2006/relationships/hyperlink" Target="http://www.ncbi.nlm.nih.gov/pubmed/2410571" TargetMode="External"/><Relationship Id="rId700" Type="http://schemas.openxmlformats.org/officeDocument/2006/relationships/hyperlink" Target="http://www.ncbi.nlm.nih.gov/pubmed/7841856" TargetMode="External"/><Relationship Id="rId742" Type="http://schemas.openxmlformats.org/officeDocument/2006/relationships/hyperlink" Target="http://www.ncbi.nlm.nih.gov/pubmed/21811391" TargetMode="External"/><Relationship Id="rId132" Type="http://schemas.openxmlformats.org/officeDocument/2006/relationships/hyperlink" Target="http://www.fda.gov/ohrms/dockets/AC/09/minutes/2009-4411m1-final.pdf" TargetMode="External"/><Relationship Id="rId174" Type="http://schemas.openxmlformats.org/officeDocument/2006/relationships/hyperlink" Target="file:///E:\AppData\Local\Microsoft\Windows\Temporary%20Internet%20Files\Content.Outlook\AppData\Local\Microsoft\Windows\Temporary%20Internet%20Files\Content.Outlook\50QE161U\neck.htm" TargetMode="External"/><Relationship Id="rId381" Type="http://schemas.openxmlformats.org/officeDocument/2006/relationships/hyperlink" Target="http://www.ncbi.nlm.nih.gov/pubmed/21879777" TargetMode="External"/><Relationship Id="rId602" Type="http://schemas.openxmlformats.org/officeDocument/2006/relationships/hyperlink" Target="http://www.ncbi.nlm.nih.gov/pubmed/15317652" TargetMode="External"/><Relationship Id="rId784" Type="http://schemas.openxmlformats.org/officeDocument/2006/relationships/hyperlink" Target="http://www.ncbi.nlm.nih.gov/pubmed/17974490" TargetMode="External"/><Relationship Id="rId241" Type="http://schemas.openxmlformats.org/officeDocument/2006/relationships/hyperlink" Target="http://www.ncbi.nlm.nih.gov/pubmed/23265145" TargetMode="External"/><Relationship Id="rId437" Type="http://schemas.openxmlformats.org/officeDocument/2006/relationships/hyperlink" Target="http://www.ncbi.nlm.nih.gov/pubmed/17355217" TargetMode="External"/><Relationship Id="rId479" Type="http://schemas.openxmlformats.org/officeDocument/2006/relationships/hyperlink" Target="http://www.ncbi.nlm.nih.gov/pubmed/15165652" TargetMode="External"/><Relationship Id="rId644" Type="http://schemas.openxmlformats.org/officeDocument/2006/relationships/hyperlink" Target="http://www.ncbi.nlm.nih.gov/pubmed/10204712" TargetMode="External"/><Relationship Id="rId686" Type="http://schemas.openxmlformats.org/officeDocument/2006/relationships/hyperlink" Target="http://www.ncbi.nlm.nih.gov/pubmed/17200530" TargetMode="External"/><Relationship Id="rId851" Type="http://schemas.openxmlformats.org/officeDocument/2006/relationships/hyperlink" Target="http://www.ncbi.nlm.nih.gov/pubmed/21971833" TargetMode="External"/><Relationship Id="rId893" Type="http://schemas.openxmlformats.org/officeDocument/2006/relationships/hyperlink" Target="http://www.ncbi.nlm.nih.gov/pubmed/15221874" TargetMode="External"/><Relationship Id="rId907" Type="http://schemas.openxmlformats.org/officeDocument/2006/relationships/hyperlink" Target="http://www.ncbi.nlm.nih.gov/pubmed/20170770" TargetMode="External"/><Relationship Id="rId36" Type="http://schemas.openxmlformats.org/officeDocument/2006/relationships/hyperlink" Target="http://www.accessdata.fda.gov/drugsatfda_docs/label/2009/020607s014lbl.pdf" TargetMode="External"/><Relationship Id="rId283" Type="http://schemas.openxmlformats.org/officeDocument/2006/relationships/hyperlink" Target="http://www.ncbi.nlm.nih.gov/pubmed/16982005" TargetMode="External"/><Relationship Id="rId339" Type="http://schemas.openxmlformats.org/officeDocument/2006/relationships/hyperlink" Target="http://www.ncbi.nlm.nih.gov/pubmed/21821560" TargetMode="External"/><Relationship Id="rId490" Type="http://schemas.openxmlformats.org/officeDocument/2006/relationships/hyperlink" Target="http://www.ncbi.nlm.nih.gov/pubmed/21441884" TargetMode="External"/><Relationship Id="rId504" Type="http://schemas.openxmlformats.org/officeDocument/2006/relationships/hyperlink" Target="http://www.ncbi.nlm.nih.gov/pubmed/17058631" TargetMode="External"/><Relationship Id="rId546" Type="http://schemas.openxmlformats.org/officeDocument/2006/relationships/hyperlink" Target="http://www.ncbi.nlm.nih.gov/pubmed/18729534" TargetMode="External"/><Relationship Id="rId711" Type="http://schemas.openxmlformats.org/officeDocument/2006/relationships/hyperlink" Target="http://www.ncbi.nlm.nih.gov/pubmed/16716870" TargetMode="External"/><Relationship Id="rId753" Type="http://schemas.openxmlformats.org/officeDocument/2006/relationships/hyperlink" Target="http://oas.samhsa.gov/2k11/DAWN071/WEB_DAWN_071.htm" TargetMode="External"/><Relationship Id="rId78" Type="http://schemas.openxmlformats.org/officeDocument/2006/relationships/hyperlink" Target="http://www.fda.gov/Safety/MedWatch/SafetyInformation/SafetyAlertsforHumanMedicalProducts/ucm193047.htm" TargetMode="External"/><Relationship Id="rId101" Type="http://schemas.openxmlformats.org/officeDocument/2006/relationships/hyperlink" Target="http://www.lni.wa.gov/ClaimsIns/Providers/Treatment/CovMedDev/SpecCovDec/Interfer.asp" TargetMode="External"/><Relationship Id="rId143" Type="http://schemas.openxmlformats.org/officeDocument/2006/relationships/hyperlink" Target="http://www.fda.gov/NewsEvents/Newsroom/PressAnnouncements/ucm191003.htm" TargetMode="External"/><Relationship Id="rId185" Type="http://schemas.openxmlformats.org/officeDocument/2006/relationships/hyperlink" Target="http://www.accessdata.fda.gov/drugsatfda_docs/label/2007/021774s003s004s005s007s008lbl.pdf" TargetMode="External"/><Relationship Id="rId350" Type="http://schemas.openxmlformats.org/officeDocument/2006/relationships/hyperlink" Target="http://www.ncbi.nlm.nih.gov/pubmed/23609132" TargetMode="External"/><Relationship Id="rId406" Type="http://schemas.openxmlformats.org/officeDocument/2006/relationships/hyperlink" Target="http://www.ncbi.nlm.nih.gov/pubmed/1535122" TargetMode="External"/><Relationship Id="rId588" Type="http://schemas.openxmlformats.org/officeDocument/2006/relationships/hyperlink" Target="http://www.ncbi.nlm.nih.gov/pubmed/18164465" TargetMode="External"/><Relationship Id="rId795" Type="http://schemas.openxmlformats.org/officeDocument/2006/relationships/hyperlink" Target="http://www.ncbi.nlm.nih.gov/pubmed/18253995" TargetMode="External"/><Relationship Id="rId809" Type="http://schemas.openxmlformats.org/officeDocument/2006/relationships/hyperlink" Target="http://www.ncbi.nlm.nih.gov/pubmed/17060538" TargetMode="External"/><Relationship Id="rId9" Type="http://schemas.openxmlformats.org/officeDocument/2006/relationships/header" Target="header1.xml"/><Relationship Id="rId210" Type="http://schemas.openxmlformats.org/officeDocument/2006/relationships/hyperlink" Target="http://www.ncbi.nlm.nih.gov/pubmed/3581580" TargetMode="External"/><Relationship Id="rId392" Type="http://schemas.openxmlformats.org/officeDocument/2006/relationships/hyperlink" Target="http://www.ncbi.nlm.nih.gov/pubmed/16331341" TargetMode="External"/><Relationship Id="rId448" Type="http://schemas.openxmlformats.org/officeDocument/2006/relationships/hyperlink" Target="http://www.ncbi.nlm.nih.gov/pubmed/14750063" TargetMode="External"/><Relationship Id="rId613" Type="http://schemas.openxmlformats.org/officeDocument/2006/relationships/hyperlink" Target="http://www.ncbi.nlm.nih.gov/pubmed/20498201" TargetMode="External"/><Relationship Id="rId655" Type="http://schemas.openxmlformats.org/officeDocument/2006/relationships/hyperlink" Target="http://www.ncbi.nlm.nih.gov/pubmed/16691090" TargetMode="External"/><Relationship Id="rId697" Type="http://schemas.openxmlformats.org/officeDocument/2006/relationships/hyperlink" Target="http://www.ncbi.nlm.nih.gov/pubmed/16490727" TargetMode="External"/><Relationship Id="rId820" Type="http://schemas.openxmlformats.org/officeDocument/2006/relationships/hyperlink" Target="http://www.ncbi.nlm.nih.gov/pubmed/18648239" TargetMode="External"/><Relationship Id="rId862" Type="http://schemas.openxmlformats.org/officeDocument/2006/relationships/hyperlink" Target="http://www.ncbi.nlm.nih.gov/pubmed/23574118" TargetMode="External"/><Relationship Id="rId252" Type="http://schemas.openxmlformats.org/officeDocument/2006/relationships/hyperlink" Target="http://www.ncbi.nlm.nih.gov/pubmed/11795084" TargetMode="External"/><Relationship Id="rId294" Type="http://schemas.openxmlformats.org/officeDocument/2006/relationships/hyperlink" Target="http://www.ncbi.nlm.nih.gov/pubmed/9262035" TargetMode="External"/><Relationship Id="rId308" Type="http://schemas.openxmlformats.org/officeDocument/2006/relationships/hyperlink" Target="http://www.ncbi.nlm.nih.gov/pubmed/17943797" TargetMode="External"/><Relationship Id="rId515" Type="http://schemas.openxmlformats.org/officeDocument/2006/relationships/hyperlink" Target="http://www.ncbi.nlm.nih.gov/pubmed/16202958" TargetMode="External"/><Relationship Id="rId722" Type="http://schemas.openxmlformats.org/officeDocument/2006/relationships/hyperlink" Target="http://www.ncbi.nlm.nih.gov/pubmed/17438317" TargetMode="External"/><Relationship Id="rId47" Type="http://schemas.openxmlformats.org/officeDocument/2006/relationships/hyperlink" Target="http://www.dir.ca.gov/dwc/mtus/MTUS_RegulationsGuidelines.html" TargetMode="External"/><Relationship Id="rId89" Type="http://schemas.openxmlformats.org/officeDocument/2006/relationships/hyperlink" Target="http://www.deadiversion.usdoj.gov/fed_regs/rules/2014/fr0227.htm" TargetMode="External"/><Relationship Id="rId112" Type="http://schemas.openxmlformats.org/officeDocument/2006/relationships/hyperlink" Target="http://www.fda.gov/downloads/AboutFDA/CentersOffices/CDER/UCM192786.pdf" TargetMode="External"/><Relationship Id="rId154" Type="http://schemas.openxmlformats.org/officeDocument/2006/relationships/hyperlink" Target="http://www.odg-twc.com/odgtwc/pain.htm" TargetMode="External"/><Relationship Id="rId361" Type="http://schemas.openxmlformats.org/officeDocument/2006/relationships/hyperlink" Target="http://www.ncbi.nlm.nih.gov/pubmed/16516826" TargetMode="External"/><Relationship Id="rId557" Type="http://schemas.openxmlformats.org/officeDocument/2006/relationships/hyperlink" Target="http://www.ncbi.nlm.nih.gov/pubmed/20556560" TargetMode="External"/><Relationship Id="rId599" Type="http://schemas.openxmlformats.org/officeDocument/2006/relationships/hyperlink" Target="http://www.bmj.com/content/328/7446/995.long" TargetMode="External"/><Relationship Id="rId764" Type="http://schemas.openxmlformats.org/officeDocument/2006/relationships/hyperlink" Target="http://www.ncbi.nlm.nih.gov/pubmed/18404361" TargetMode="External"/><Relationship Id="rId196" Type="http://schemas.openxmlformats.org/officeDocument/2006/relationships/hyperlink" Target="http://www.ncbi.nlm.nih.gov/pubmed/17486435" TargetMode="External"/><Relationship Id="rId417" Type="http://schemas.openxmlformats.org/officeDocument/2006/relationships/hyperlink" Target="http://www.ncbi.nlm.nih.gov/pubmed/17890995" TargetMode="External"/><Relationship Id="rId459" Type="http://schemas.openxmlformats.org/officeDocument/2006/relationships/hyperlink" Target="http://www.ncbi.nlm.nih.gov/pubmed/11869581" TargetMode="External"/><Relationship Id="rId624" Type="http://schemas.openxmlformats.org/officeDocument/2006/relationships/hyperlink" Target="http://www.ncbi.nlm.nih.gov/pubmed/11118965" TargetMode="External"/><Relationship Id="rId666" Type="http://schemas.openxmlformats.org/officeDocument/2006/relationships/hyperlink" Target="http://www.ncbi.nlm.nih.gov/pubmed/17662532" TargetMode="External"/><Relationship Id="rId831" Type="http://schemas.openxmlformats.org/officeDocument/2006/relationships/hyperlink" Target="http://www.ncbi.nlm.nih.gov/pubmed/18804915" TargetMode="External"/><Relationship Id="rId873" Type="http://schemas.openxmlformats.org/officeDocument/2006/relationships/hyperlink" Target="http://www.ncbi.nlm.nih.gov/pubmed/22065255" TargetMode="External"/><Relationship Id="rId16" Type="http://schemas.openxmlformats.org/officeDocument/2006/relationships/header" Target="header5.xml"/><Relationship Id="rId221" Type="http://schemas.openxmlformats.org/officeDocument/2006/relationships/hyperlink" Target="http://www.ncbi.nlm.nih.gov/pubmed/17325246" TargetMode="External"/><Relationship Id="rId263" Type="http://schemas.openxmlformats.org/officeDocument/2006/relationships/hyperlink" Target="http://www.ncbi.nlm.nih.gov/pubmed/9728378" TargetMode="External"/><Relationship Id="rId319" Type="http://schemas.openxmlformats.org/officeDocument/2006/relationships/hyperlink" Target="http://www.ncbi.nlm.nih.gov/pubmed/20946990" TargetMode="External"/><Relationship Id="rId470" Type="http://schemas.openxmlformats.org/officeDocument/2006/relationships/hyperlink" Target="http://www.ncbi.nlm.nih.gov/pubmed/20704669" TargetMode="External"/><Relationship Id="rId526" Type="http://schemas.openxmlformats.org/officeDocument/2006/relationships/hyperlink" Target="http://www.ncbi.nlm.nih.gov/pubmed/19841157" TargetMode="External"/><Relationship Id="rId58" Type="http://schemas.openxmlformats.org/officeDocument/2006/relationships/hyperlink" Target="http://www.ama-assn.org/resources/doc/bookstore/guidesclarifications.pdf" TargetMode="External"/><Relationship Id="rId123" Type="http://schemas.openxmlformats.org/officeDocument/2006/relationships/hyperlink" Target="http://www.fda.gov/NewsEvents/Newsroom/PressAnnouncements/ucm229109.htm" TargetMode="External"/><Relationship Id="rId330" Type="http://schemas.openxmlformats.org/officeDocument/2006/relationships/hyperlink" Target="http://www.ncbi.nlm.nih.gov/pubmed/18405470" TargetMode="External"/><Relationship Id="rId568" Type="http://schemas.openxmlformats.org/officeDocument/2006/relationships/hyperlink" Target="http://www.ncbi.nlm.nih.gov/pubmed/14612479" TargetMode="External"/><Relationship Id="rId733" Type="http://schemas.openxmlformats.org/officeDocument/2006/relationships/hyperlink" Target="http://www.ncbi.nlm.nih.gov/pubmed/11444997" TargetMode="External"/><Relationship Id="rId775" Type="http://schemas.openxmlformats.org/officeDocument/2006/relationships/hyperlink" Target="http://www.ncbi.nlm.nih.gov/pubmed/8193447" TargetMode="External"/><Relationship Id="rId165" Type="http://schemas.openxmlformats.org/officeDocument/2006/relationships/hyperlink" Target="http://www.fda.gov/Safety/MedWatch/SafetyInformation/SafetyAlertsforHumanMedicalProducts/ucm193047.htm" TargetMode="External"/><Relationship Id="rId372" Type="http://schemas.openxmlformats.org/officeDocument/2006/relationships/hyperlink" Target="http://www.ncbi.nlm.nih.gov/pubmed/17762302" TargetMode="External"/><Relationship Id="rId428" Type="http://schemas.openxmlformats.org/officeDocument/2006/relationships/hyperlink" Target="http://www.ncbi.nlm.nih.gov/pubmed/15844676" TargetMode="External"/><Relationship Id="rId635" Type="http://schemas.openxmlformats.org/officeDocument/2006/relationships/hyperlink" Target="http://www.ncbi.nlm.nih.gov/pubmed/22293544" TargetMode="External"/><Relationship Id="rId677" Type="http://schemas.openxmlformats.org/officeDocument/2006/relationships/hyperlink" Target="http://www.ncbi.nlm.nih.gov/pubmed/16686915" TargetMode="External"/><Relationship Id="rId800" Type="http://schemas.openxmlformats.org/officeDocument/2006/relationships/hyperlink" Target="http://www.ncbi.nlm.nih.gov/pubmed/8577483" TargetMode="External"/><Relationship Id="rId842" Type="http://schemas.openxmlformats.org/officeDocument/2006/relationships/hyperlink" Target="http://www.ncbi.nlm.nih.gov/pubmed/23223108" TargetMode="External"/><Relationship Id="rId232" Type="http://schemas.openxmlformats.org/officeDocument/2006/relationships/hyperlink" Target="http://www.ncbi.nlm.nih.gov/pubmed/19633259" TargetMode="External"/><Relationship Id="rId274" Type="http://schemas.openxmlformats.org/officeDocument/2006/relationships/hyperlink" Target="http://www.ncbi.nlm.nih.gov/pubmed/17617497" TargetMode="External"/><Relationship Id="rId481" Type="http://schemas.openxmlformats.org/officeDocument/2006/relationships/hyperlink" Target="http://www.ncbi.nlm.nih.gov/pubmed/23440848" TargetMode="External"/><Relationship Id="rId702" Type="http://schemas.openxmlformats.org/officeDocument/2006/relationships/hyperlink" Target="http://www.ncbi.nlm.nih.gov/pubmed/18663169" TargetMode="External"/><Relationship Id="rId884" Type="http://schemas.openxmlformats.org/officeDocument/2006/relationships/hyperlink" Target="http://www.ncbi.nlm.nih.gov/pubmed/17443611" TargetMode="External"/><Relationship Id="rId27" Type="http://schemas.openxmlformats.org/officeDocument/2006/relationships/hyperlink" Target="http://www.dir.ca.gov/dwc/mtus/MTUS_RegulationsGuidelines.html" TargetMode="External"/><Relationship Id="rId69" Type="http://schemas.openxmlformats.org/officeDocument/2006/relationships/hyperlink" Target="file:///E:\AppData\Local\Microsoft\Windows\Temporary%20Internet%20Files\Content.Outlook\AppData\Local\Microsoft\Windows\Temporary%20Internet%20Files\Content.Outlook\50QE161U\low_back.htm" TargetMode="External"/><Relationship Id="rId134" Type="http://schemas.openxmlformats.org/officeDocument/2006/relationships/hyperlink" Target="http://www.pharmasentry.com/news/newsletter.cfm?linkid=B3815AB7%2D1372%2D54C2%2D61BAF75750B445C4" TargetMode="External"/><Relationship Id="rId537" Type="http://schemas.openxmlformats.org/officeDocument/2006/relationships/hyperlink" Target="http://www.ncbi.nlm.nih.gov/pubmed/10625264" TargetMode="External"/><Relationship Id="rId579" Type="http://schemas.openxmlformats.org/officeDocument/2006/relationships/hyperlink" Target="http://www.ncbi.nlm.nih.gov/pubmed/15983466" TargetMode="External"/><Relationship Id="rId744" Type="http://schemas.openxmlformats.org/officeDocument/2006/relationships/hyperlink" Target="http://www.ncbi.nlm.nih.gov/pubmed/18433653" TargetMode="External"/><Relationship Id="rId786" Type="http://schemas.openxmlformats.org/officeDocument/2006/relationships/hyperlink" Target="http://www.ncbi.nlm.nih.gov/pubmed/1980693" TargetMode="External"/><Relationship Id="rId80" Type="http://schemas.openxmlformats.org/officeDocument/2006/relationships/hyperlink" Target="file:///E:\AppData\Local\Microsoft\Windows\Temporary%20Internet%20Files\Content.Outlook\AppData\Local\Microsoft\Windows\Temporary%20Internet%20Files\Content.Outlook\50QE161U\knee.htm" TargetMode="External"/><Relationship Id="rId176" Type="http://schemas.openxmlformats.org/officeDocument/2006/relationships/hyperlink" Target="http://www.iom.edu/Reports/2010/Dietary-Reference-Intakes-for-Calcium-and-Vitamin-D/Report-Brief.aspx" TargetMode="External"/><Relationship Id="rId341" Type="http://schemas.openxmlformats.org/officeDocument/2006/relationships/hyperlink" Target="http://www.ncbi.nlm.nih.gov/pubmed/23533477" TargetMode="External"/><Relationship Id="rId383" Type="http://schemas.openxmlformats.org/officeDocument/2006/relationships/hyperlink" Target="http://www.ncbi.nlm.nih.gov/pubmed/22267618" TargetMode="External"/><Relationship Id="rId439" Type="http://schemas.openxmlformats.org/officeDocument/2006/relationships/hyperlink" Target="http://www.ncbi.nlm.nih.gov/pubmed/16750294" TargetMode="External"/><Relationship Id="rId590" Type="http://schemas.openxmlformats.org/officeDocument/2006/relationships/hyperlink" Target="http://www.ncbi.nlm.nih.gov/pubmed/1968334" TargetMode="External"/><Relationship Id="rId604" Type="http://schemas.openxmlformats.org/officeDocument/2006/relationships/hyperlink" Target="http://www.ncbi.nlm.nih.gov/pubmed/20556778" TargetMode="External"/><Relationship Id="rId646" Type="http://schemas.openxmlformats.org/officeDocument/2006/relationships/hyperlink" Target="http://www.ncbi.nlm.nih.gov/pubmed/15226515" TargetMode="External"/><Relationship Id="rId811" Type="http://schemas.openxmlformats.org/officeDocument/2006/relationships/hyperlink" Target="http://www.ncbi.nlm.nih.gov/pubmed/16119228" TargetMode="External"/><Relationship Id="rId201" Type="http://schemas.openxmlformats.org/officeDocument/2006/relationships/hyperlink" Target="http://www.ncbi.nlm.nih.gov/pubmed/11871683" TargetMode="External"/><Relationship Id="rId243" Type="http://schemas.openxmlformats.org/officeDocument/2006/relationships/hyperlink" Target="http://www.ncbi.nlm.nih.gov/pubmed/?term=24523396" TargetMode="External"/><Relationship Id="rId285" Type="http://schemas.openxmlformats.org/officeDocument/2006/relationships/hyperlink" Target="http://www.ncbi.nlm.nih.gov/pubmed/11760522" TargetMode="External"/><Relationship Id="rId450" Type="http://schemas.openxmlformats.org/officeDocument/2006/relationships/hyperlink" Target="http://www.ncbi.nlm.nih.gov/pubmed/23439964" TargetMode="External"/><Relationship Id="rId506" Type="http://schemas.openxmlformats.org/officeDocument/2006/relationships/hyperlink" Target="http://www.ncbi.nlm.nih.gov/pubmed/15265848" TargetMode="External"/><Relationship Id="rId688" Type="http://schemas.openxmlformats.org/officeDocument/2006/relationships/hyperlink" Target="http://www.ncbi.nlm.nih.gov/pubmed/21939497" TargetMode="External"/><Relationship Id="rId853" Type="http://schemas.openxmlformats.org/officeDocument/2006/relationships/hyperlink" Target="http://www.ncbi.nlm.nih.gov/pubmed/8365837" TargetMode="External"/><Relationship Id="rId895" Type="http://schemas.openxmlformats.org/officeDocument/2006/relationships/hyperlink" Target="http://www.ncbi.nlm.nih.gov/pubmed/20173431" TargetMode="External"/><Relationship Id="rId909" Type="http://schemas.openxmlformats.org/officeDocument/2006/relationships/hyperlink" Target="http://www.ncbi.nlm.nih.gov/pubmed/21770716" TargetMode="External"/><Relationship Id="rId38" Type="http://schemas.openxmlformats.org/officeDocument/2006/relationships/hyperlink" Target="http://www.fda.gov/downloads/Drugs/GuidanceComplianceRegulatoryInformation/EnforcementActivitiesbyFDA/WarningLettersandNoticeofViolationLetterstoPharmaceuticalCompanies/ucm054134.pdf" TargetMode="External"/><Relationship Id="rId103" Type="http://schemas.openxmlformats.org/officeDocument/2006/relationships/hyperlink" Target="file:///E:\AppData\Local\Microsoft\Windows\Temporary%20Internet%20Files\Content.Outlook\AppData\Local\Microsoft\Windows\Temporary%20Internet%20Files\Content.Outlook\50QE161U\low_back.htm" TargetMode="External"/><Relationship Id="rId310" Type="http://schemas.openxmlformats.org/officeDocument/2006/relationships/hyperlink" Target="http://www.ncbi.nlm.nih.gov/pubmed/22178433" TargetMode="External"/><Relationship Id="rId492" Type="http://schemas.openxmlformats.org/officeDocument/2006/relationships/hyperlink" Target="http://www.ncbi.nlm.nih.gov/pubmed/22825311" TargetMode="External"/><Relationship Id="rId548" Type="http://schemas.openxmlformats.org/officeDocument/2006/relationships/hyperlink" Target="http://www.ncbi.nlm.nih.gov/pubmed/19062773" TargetMode="External"/><Relationship Id="rId713" Type="http://schemas.openxmlformats.org/officeDocument/2006/relationships/hyperlink" Target="http://www.ncbi.nlm.nih.gov/pubmed/1804187" TargetMode="External"/><Relationship Id="rId755" Type="http://schemas.openxmlformats.org/officeDocument/2006/relationships/hyperlink" Target="http://www.ncbi.nlm.nih.gov/pubmed/9544540" TargetMode="External"/><Relationship Id="rId797" Type="http://schemas.openxmlformats.org/officeDocument/2006/relationships/hyperlink" Target="http://www.ncbi.nlm.nih.gov/pubmed/12581259" TargetMode="External"/><Relationship Id="rId91" Type="http://schemas.openxmlformats.org/officeDocument/2006/relationships/hyperlink" Target="http://professional.medtronic.com/devices/synchromed-II-for-pain/overview/index.htm" TargetMode="External"/><Relationship Id="rId145" Type="http://schemas.openxmlformats.org/officeDocument/2006/relationships/hyperlink" Target="http://www.fda.gov/Drugs/DevelopmentApprovalProcess/HowDrugsareDevelopedandApproved/DrugandBiologicApprovalReports/ANDAGenericDrugApprovals/ucm286733.htm" TargetMode="External"/><Relationship Id="rId187" Type="http://schemas.openxmlformats.org/officeDocument/2006/relationships/hyperlink" Target="http://www.fda.gov/downloads/AdvisoryCommittees/CommitteesMeetingMaterials/Drugs/ArthritisAdvisoryCommittee/UCM383183.pdf" TargetMode="External"/><Relationship Id="rId352" Type="http://schemas.openxmlformats.org/officeDocument/2006/relationships/hyperlink" Target="http://www.ncbi.nlm.nih.gov/pubmed/16062163" TargetMode="External"/><Relationship Id="rId394" Type="http://schemas.openxmlformats.org/officeDocument/2006/relationships/hyperlink" Target="http://www.ncbi.nlm.nih.gov/pubmed/17138642" TargetMode="External"/><Relationship Id="rId408" Type="http://schemas.openxmlformats.org/officeDocument/2006/relationships/hyperlink" Target="http://www.ncbi.nlm.nih.gov/pubmed/19788600" TargetMode="External"/><Relationship Id="rId615" Type="http://schemas.openxmlformats.org/officeDocument/2006/relationships/hyperlink" Target="http://www.ncbi.nlm.nih.gov/pubmed/17890938" TargetMode="External"/><Relationship Id="rId822" Type="http://schemas.openxmlformats.org/officeDocument/2006/relationships/hyperlink" Target="http://www.ncbi.nlm.nih.gov/pubmed/16703976" TargetMode="External"/><Relationship Id="rId212" Type="http://schemas.openxmlformats.org/officeDocument/2006/relationships/hyperlink" Target="http://www.ncbi.nlm.nih.gov/pubmed/?term=21668761" TargetMode="External"/><Relationship Id="rId254" Type="http://schemas.openxmlformats.org/officeDocument/2006/relationships/hyperlink" Target="http://www.ncbi.nlm.nih.gov/pubmed/18344107" TargetMode="External"/><Relationship Id="rId657" Type="http://schemas.openxmlformats.org/officeDocument/2006/relationships/hyperlink" Target="http://www.ncbi.nlm.nih.gov/pubmed/16393277" TargetMode="External"/><Relationship Id="rId699" Type="http://schemas.openxmlformats.org/officeDocument/2006/relationships/hyperlink" Target="http://derp.ohsu.edu/about/final-document-display.cfm" TargetMode="External"/><Relationship Id="rId864" Type="http://schemas.openxmlformats.org/officeDocument/2006/relationships/hyperlink" Target="http://www.ncbi.nlm.nih.gov/pubmed/15546515" TargetMode="External"/><Relationship Id="rId49" Type="http://schemas.openxmlformats.org/officeDocument/2006/relationships/hyperlink" Target="http://www.effectivehealthcare.ahrq.gov/ehc/products/212/760/TechBrief8_PainProgramsCancer_20110930.pdf" TargetMode="External"/><Relationship Id="rId114" Type="http://schemas.openxmlformats.org/officeDocument/2006/relationships/hyperlink" Target="file:///E:\AppData\Local\Microsoft\Windows\Temporary%20Internet%20Files\Content.Outlook\AppData\Local\Microsoft\Windows\Temporary%20Internet%20Files\Content.Outlook\50QE161U\low_back.htm" TargetMode="External"/><Relationship Id="rId296" Type="http://schemas.openxmlformats.org/officeDocument/2006/relationships/hyperlink" Target="http://www.plosone.org/article/info%3Adoi%2F10.1371%2Fjournal.pone.0024124" TargetMode="External"/><Relationship Id="rId461" Type="http://schemas.openxmlformats.org/officeDocument/2006/relationships/hyperlink" Target="http://www.ncbi.nlm.nih.gov/pubmed/1637346" TargetMode="External"/><Relationship Id="rId517" Type="http://schemas.openxmlformats.org/officeDocument/2006/relationships/hyperlink" Target="http://www.ncbi.nlm.nih.gov/pubmed/9825385" TargetMode="External"/><Relationship Id="rId559" Type="http://schemas.openxmlformats.org/officeDocument/2006/relationships/hyperlink" Target="http://www.ncbi.nlm.nih.gov/pubmed/?term=Lasco+A%2C+Catalano+A%2C+Benvenga+S.+Improvement+of+Primary+Dysmenorrhea+Caused+by+a+Single+Oral+Dose+of+Vitamin+D%3A+Results+of+a+Randomized%2C+Double-blind%2C+Placebo-Controlled+Study.+Arch+Intern+Med.+2012%3B172(4)%3A366-367.+doi%3A10.1001%2Farchinternmed.2011.715" TargetMode="External"/><Relationship Id="rId724" Type="http://schemas.openxmlformats.org/officeDocument/2006/relationships/hyperlink" Target="http://www.ncbi.nlm.nih.gov/pubmed/12589636" TargetMode="External"/><Relationship Id="rId766" Type="http://schemas.openxmlformats.org/officeDocument/2006/relationships/hyperlink" Target="http://www.ncbi.nlm.nih.gov/pubmed/17515744" TargetMode="External"/><Relationship Id="rId60" Type="http://schemas.openxmlformats.org/officeDocument/2006/relationships/hyperlink" Target="file:///E:\AppData\Local\Microsoft\Windows\Temporary%20Internet%20Files\Content.Outlook\AppData\Local\Microsoft\Windows\Temporary%20Internet%20Files\Content.Outlook\50QE161U\Documents%20and%20SettingsphilMy%20DocumentsGuidelinesODG%20TWC%22%20l" TargetMode="External"/><Relationship Id="rId156" Type="http://schemas.openxmlformats.org/officeDocument/2006/relationships/hyperlink" Target="file:///E:\AppData\Local\Microsoft\Windows\Temporary%20Internet%20Files\Content.Outlook\AppData\Local\Microsoft\Windows\Temporary%20Internet%20Files\Content.Outlook\50QE161U\low_back.htm" TargetMode="External"/><Relationship Id="rId198" Type="http://schemas.openxmlformats.org/officeDocument/2006/relationships/hyperlink" Target="http://www.springerlink.com/media/7pab6qqtxg4twmmg9bt7/contributions/r/6/n/8/r6n8123952890244.pdf" TargetMode="External"/><Relationship Id="rId321" Type="http://schemas.openxmlformats.org/officeDocument/2006/relationships/hyperlink" Target="http://download.ncadi.samhsa.gov/Prevline/pdfs/SMA09-4368.pdf" TargetMode="External"/><Relationship Id="rId363" Type="http://schemas.openxmlformats.org/officeDocument/2006/relationships/hyperlink" Target="http://www.ncbi.nlm.nih.gov/pubmed/19203298" TargetMode="External"/><Relationship Id="rId419" Type="http://schemas.openxmlformats.org/officeDocument/2006/relationships/hyperlink" Target="http://www.ncbi.nlm.nih.gov/pubmed/14622605" TargetMode="External"/><Relationship Id="rId570" Type="http://schemas.openxmlformats.org/officeDocument/2006/relationships/hyperlink" Target="http://www.ncbi.nlm.nih.gov/pubmed/15358975" TargetMode="External"/><Relationship Id="rId626" Type="http://schemas.openxmlformats.org/officeDocument/2006/relationships/hyperlink" Target="http://www.ncbi.nlm.nih.gov/pubmed/17124083" TargetMode="External"/><Relationship Id="rId223" Type="http://schemas.openxmlformats.org/officeDocument/2006/relationships/hyperlink" Target="http://www.ncbi.nlm.nih.gov/pubmed/16499825" TargetMode="External"/><Relationship Id="rId430" Type="http://schemas.openxmlformats.org/officeDocument/2006/relationships/hyperlink" Target="http://www.ncbi.nlm.nih.gov/pubmed/12611026" TargetMode="External"/><Relationship Id="rId668" Type="http://schemas.openxmlformats.org/officeDocument/2006/relationships/hyperlink" Target="http://www.ncbi.nlm.nih.gov/pubmed/16427737" TargetMode="External"/><Relationship Id="rId833" Type="http://schemas.openxmlformats.org/officeDocument/2006/relationships/hyperlink" Target="http://www.ncbi.nlm.nih.gov/pubmed/20054678" TargetMode="External"/><Relationship Id="rId875" Type="http://schemas.openxmlformats.org/officeDocument/2006/relationships/hyperlink" Target="http://www.ncbi.nlm.nih.gov/pubmed/21306035" TargetMode="External"/><Relationship Id="rId18" Type="http://schemas.openxmlformats.org/officeDocument/2006/relationships/footer" Target="footer4.xml"/><Relationship Id="rId265" Type="http://schemas.openxmlformats.org/officeDocument/2006/relationships/hyperlink" Target="http://www.ncbi.nlm.nih.gov/pubmed/10989256" TargetMode="External"/><Relationship Id="rId472" Type="http://schemas.openxmlformats.org/officeDocument/2006/relationships/hyperlink" Target="http://www.ncbi.nlm.nih.gov/pubmed/214822" TargetMode="External"/><Relationship Id="rId528" Type="http://schemas.openxmlformats.org/officeDocument/2006/relationships/hyperlink" Target="http://www.ncbi.nlm.nih.gov/pubmed/15109505" TargetMode="External"/><Relationship Id="rId735" Type="http://schemas.openxmlformats.org/officeDocument/2006/relationships/hyperlink" Target="http://www.ncbi.nlm.nih.gov/pubmed/24006213" TargetMode="External"/><Relationship Id="rId900" Type="http://schemas.openxmlformats.org/officeDocument/2006/relationships/hyperlink" Target="http://www.ncbi.nlm.nih.gov/pubmed/17443572" TargetMode="External"/><Relationship Id="rId125" Type="http://schemas.openxmlformats.org/officeDocument/2006/relationships/hyperlink" Target="http://www.fda.gov/AboutFDA/CentersOffices/OfficeofMedicalProductsandTobacco/CDER/ucm106378.htm" TargetMode="External"/><Relationship Id="rId167" Type="http://schemas.openxmlformats.org/officeDocument/2006/relationships/hyperlink" Target="file:///E:\AppData\Local\Microsoft\Windows\Temporary%20Internet%20Files\Content.Outlook\AppData\Local\Microsoft\Windows\Temporary%20Internet%20Files\Content.Outlook\50QE161U\neck.htm" TargetMode="External"/><Relationship Id="rId332" Type="http://schemas.openxmlformats.org/officeDocument/2006/relationships/hyperlink" Target="http://www.ncbi.nlm.nih.gov/pubmed/15093759" TargetMode="External"/><Relationship Id="rId374" Type="http://schemas.openxmlformats.org/officeDocument/2006/relationships/hyperlink" Target="http://www.ncbi.nlm.nih.gov/pubmed/18279154" TargetMode="External"/><Relationship Id="rId581" Type="http://schemas.openxmlformats.org/officeDocument/2006/relationships/hyperlink" Target="http://www.ncbi.nlm.nih.gov/pubmed/15246336" TargetMode="External"/><Relationship Id="rId777" Type="http://schemas.openxmlformats.org/officeDocument/2006/relationships/hyperlink" Target="http://www.ncbi.nlm.nih.gov/pubmed/22325162" TargetMode="External"/><Relationship Id="rId71" Type="http://schemas.openxmlformats.org/officeDocument/2006/relationships/hyperlink" Target="http://www.accessdata.fda.gov/drugsatfda_docs/appletter/2009/021997s000ltr.pdf" TargetMode="External"/><Relationship Id="rId234" Type="http://schemas.openxmlformats.org/officeDocument/2006/relationships/hyperlink" Target="http://www.ncbi.nlm.nih.gov/pubmed/12665179" TargetMode="External"/><Relationship Id="rId637" Type="http://schemas.openxmlformats.org/officeDocument/2006/relationships/hyperlink" Target="http://www.ncbi.nlm.nih.gov/pubmed/19588419" TargetMode="External"/><Relationship Id="rId679" Type="http://schemas.openxmlformats.org/officeDocument/2006/relationships/hyperlink" Target="http://www.ncbi.nlm.nih.gov/pubmed/15674889" TargetMode="External"/><Relationship Id="rId802" Type="http://schemas.openxmlformats.org/officeDocument/2006/relationships/hyperlink" Target="http://www.ncbi.nlm.nih.gov/pubmed/16647591" TargetMode="External"/><Relationship Id="rId844" Type="http://schemas.openxmlformats.org/officeDocument/2006/relationships/hyperlink" Target="http://www.ncbi.nlm.nih.gov/pubmed/22143169" TargetMode="External"/><Relationship Id="rId886" Type="http://schemas.openxmlformats.org/officeDocument/2006/relationships/hyperlink" Target="http://www.ncbi.nlm.nih.gov/pubmed/20602712" TargetMode="External"/><Relationship Id="rId2" Type="http://schemas.openxmlformats.org/officeDocument/2006/relationships/numbering" Target="numbering.xml"/><Relationship Id="rId29" Type="http://schemas.openxmlformats.org/officeDocument/2006/relationships/hyperlink" Target="http://www.fda.gov/AdvisoryCommittees/Calendar/ucm143083.htm" TargetMode="External"/><Relationship Id="rId276" Type="http://schemas.openxmlformats.org/officeDocument/2006/relationships/hyperlink" Target="http://www.ncbi.nlm.nih.gov/pubmed/16912027" TargetMode="External"/><Relationship Id="rId441" Type="http://schemas.openxmlformats.org/officeDocument/2006/relationships/hyperlink" Target="http://www.ncbi.nlm.nih.gov/pubmed/17343806" TargetMode="External"/><Relationship Id="rId483" Type="http://schemas.openxmlformats.org/officeDocument/2006/relationships/hyperlink" Target="http://www.ncbi.nlm.nih.gov/pubmed/15086035" TargetMode="External"/><Relationship Id="rId539" Type="http://schemas.openxmlformats.org/officeDocument/2006/relationships/hyperlink" Target="http://www.ncbi.nlm.nih.gov/pubmed/18723287" TargetMode="External"/><Relationship Id="rId690" Type="http://schemas.openxmlformats.org/officeDocument/2006/relationships/hyperlink" Target="http://www.ncbi.nlm.nih.gov/pubmed/12374520" TargetMode="External"/><Relationship Id="rId704" Type="http://schemas.openxmlformats.org/officeDocument/2006/relationships/hyperlink" Target="http://www.ncbi.nlm.nih.gov/pubmed/14767395" TargetMode="External"/><Relationship Id="rId746" Type="http://schemas.openxmlformats.org/officeDocument/2006/relationships/hyperlink" Target="http://www.ncbi.nlm.nih.gov/pubmed/11904551" TargetMode="External"/><Relationship Id="rId911" Type="http://schemas.openxmlformats.org/officeDocument/2006/relationships/hyperlink" Target="http://www.ncbi.nlm.nih.gov/pubmed/23221182" TargetMode="External"/><Relationship Id="rId40" Type="http://schemas.openxmlformats.org/officeDocument/2006/relationships/hyperlink" Target="http://www.dir.ca.gov/dwc/mtus/MTUS_RegulationsGuidelines.html" TargetMode="External"/><Relationship Id="rId136" Type="http://schemas.openxmlformats.org/officeDocument/2006/relationships/hyperlink" Target="http://www.accessdata.fda.gov/drugsatfda_docs/label/2010/020947s002REMSPennsaid.pdf" TargetMode="External"/><Relationship Id="rId178" Type="http://schemas.openxmlformats.org/officeDocument/2006/relationships/hyperlink" Target="http://www.ncbi.nlm.nih.gov/bookshelf/br.fcgi?book=hssamhsatip&amp;part=A85492" TargetMode="External"/><Relationship Id="rId301" Type="http://schemas.openxmlformats.org/officeDocument/2006/relationships/hyperlink" Target="http://www.ncbi.nlm.nih.gov/pubmed/20693883" TargetMode="External"/><Relationship Id="rId343" Type="http://schemas.openxmlformats.org/officeDocument/2006/relationships/hyperlink" Target="http://www.cms.gov/Medicare/Quality-Initiatives-Patient-Assessment-Instruments/HomeHealthQualityInits/Downloads/OASIS-C1-ICD-9-Guidance-Manual.zip" TargetMode="External"/><Relationship Id="rId550" Type="http://schemas.openxmlformats.org/officeDocument/2006/relationships/hyperlink" Target="http://www.ncbi.nlm.nih.gov/pubmed/16785831" TargetMode="External"/><Relationship Id="rId788" Type="http://schemas.openxmlformats.org/officeDocument/2006/relationships/hyperlink" Target="http://www.ncbi.nlm.nih.gov/pubmed/24342821" TargetMode="External"/><Relationship Id="rId82" Type="http://schemas.openxmlformats.org/officeDocument/2006/relationships/hyperlink" Target="file:///E:\AppData\Local\Microsoft\Windows\Temporary%20Internet%20Files\Content.Outlook\AppData\Local\Microsoft\Windows\Temporary%20Internet%20Files\Content.Outlook\50QE161U\knee.htm" TargetMode="External"/><Relationship Id="rId203" Type="http://schemas.openxmlformats.org/officeDocument/2006/relationships/hyperlink" Target="http://www.ncbi.nlm.nih.gov/pubmed/10852454" TargetMode="External"/><Relationship Id="rId385" Type="http://schemas.openxmlformats.org/officeDocument/2006/relationships/hyperlink" Target="http://www.ncbi.nlm.nih.gov/pubmed/17920770" TargetMode="External"/><Relationship Id="rId592" Type="http://schemas.openxmlformats.org/officeDocument/2006/relationships/hyperlink" Target="http://www.ncbi.nlm.nih.gov/pubmed/14612480" TargetMode="External"/><Relationship Id="rId606" Type="http://schemas.openxmlformats.org/officeDocument/2006/relationships/hyperlink" Target="http://www.ncbi.nlm.nih.gov/pubmed/15186381" TargetMode="External"/><Relationship Id="rId648" Type="http://schemas.openxmlformats.org/officeDocument/2006/relationships/hyperlink" Target="http://www.ncbi.nlm.nih.gov/pubmed/15336464" TargetMode="External"/><Relationship Id="rId813" Type="http://schemas.openxmlformats.org/officeDocument/2006/relationships/hyperlink" Target="http://www.ncbi.nlm.nih.gov/pubmed/21629595" TargetMode="External"/><Relationship Id="rId855" Type="http://schemas.openxmlformats.org/officeDocument/2006/relationships/hyperlink" Target="http://www.ncbi.nlm.nih.gov/pubmed/10639611" TargetMode="External"/><Relationship Id="rId245" Type="http://schemas.openxmlformats.org/officeDocument/2006/relationships/hyperlink" Target="http://www.ncbi.nlm.nih.gov/pubmed/16272179" TargetMode="External"/><Relationship Id="rId287" Type="http://schemas.openxmlformats.org/officeDocument/2006/relationships/hyperlink" Target="http://www.painphysicianjournal.com/2007/january/2007;10;7-111.pdf" TargetMode="External"/><Relationship Id="rId410" Type="http://schemas.openxmlformats.org/officeDocument/2006/relationships/hyperlink" Target="http://www.ncbi.nlm.nih.gov/pubmed/14742334" TargetMode="External"/><Relationship Id="rId452" Type="http://schemas.openxmlformats.org/officeDocument/2006/relationships/hyperlink" Target="http://www.ncbi.nlm.nih.gov/pubmed/15644763" TargetMode="External"/><Relationship Id="rId494" Type="http://schemas.openxmlformats.org/officeDocument/2006/relationships/hyperlink" Target="http://www.ncbi.nlm.nih.gov/pubmed/17872814" TargetMode="External"/><Relationship Id="rId508" Type="http://schemas.openxmlformats.org/officeDocument/2006/relationships/hyperlink" Target="http://www.ncbi.nlm.nih.gov/pubmed/17383095" TargetMode="External"/><Relationship Id="rId715" Type="http://schemas.openxmlformats.org/officeDocument/2006/relationships/hyperlink" Target="http://www.ncbi.nlm.nih.gov/pubmed/17896902" TargetMode="External"/><Relationship Id="rId897" Type="http://schemas.openxmlformats.org/officeDocument/2006/relationships/hyperlink" Target="http://www.ncbi.nlm.nih.gov/pubmed/17450066" TargetMode="External"/><Relationship Id="rId105" Type="http://schemas.openxmlformats.org/officeDocument/2006/relationships/hyperlink" Target="http://www.dir.ca.gov/dwc/mtus/MTUS_RegulationsGuidelines.html" TargetMode="External"/><Relationship Id="rId147" Type="http://schemas.openxmlformats.org/officeDocument/2006/relationships/hyperlink" Target="http://www.accessdata.fda.gov/drugsatfda_docs/label/2008/021745s000lbl.pdf" TargetMode="External"/><Relationship Id="rId312" Type="http://schemas.openxmlformats.org/officeDocument/2006/relationships/hyperlink" Target="http://www.ncbi.nlm.nih.gov/pubmed/20578811" TargetMode="External"/><Relationship Id="rId354" Type="http://schemas.openxmlformats.org/officeDocument/2006/relationships/hyperlink" Target="http://theacpa.org/uploads/documents/Quality_of_Life_Scale.pdf" TargetMode="External"/><Relationship Id="rId757" Type="http://schemas.openxmlformats.org/officeDocument/2006/relationships/hyperlink" Target="http://www.ncbi.nlm.nih.gov/pubmed/21146930" TargetMode="External"/><Relationship Id="rId799" Type="http://schemas.openxmlformats.org/officeDocument/2006/relationships/hyperlink" Target="http://www.ncbi.nlm.nih.gov/pubmed/18346060" TargetMode="External"/><Relationship Id="rId51" Type="http://schemas.openxmlformats.org/officeDocument/2006/relationships/hyperlink" Target="http://www.fda.gov/OHRMS/DOCKETS/98fr/02D-0242_gdl0001.pdf" TargetMode="External"/><Relationship Id="rId93" Type="http://schemas.openxmlformats.org/officeDocument/2006/relationships/hyperlink" Target="http://www.fda.gov/ohrms/dockets/dockets/05e0246/05e-0246-app0001-04-Exhibit-C-vol1.pdf" TargetMode="External"/><Relationship Id="rId189" Type="http://schemas.openxmlformats.org/officeDocument/2006/relationships/hyperlink" Target="http://www.accessdata.fda.gov/drugsatfda_docs/appletter/2013/204242Orig1s002ltr.pdf" TargetMode="External"/><Relationship Id="rId396" Type="http://schemas.openxmlformats.org/officeDocument/2006/relationships/hyperlink" Target="http://www.fda.gov/NewsEvents/Newsroom/PressAnnouncements/ucm229782.htm" TargetMode="External"/><Relationship Id="rId561" Type="http://schemas.openxmlformats.org/officeDocument/2006/relationships/hyperlink" Target="http://www.ncbi.nlm.nih.gov/pubmed/21885490" TargetMode="External"/><Relationship Id="rId617" Type="http://schemas.openxmlformats.org/officeDocument/2006/relationships/hyperlink" Target="http://www.plosmedicine.org/article/info%3Adoi%2F10.1371%2Fjournal.pmed.1001098" TargetMode="External"/><Relationship Id="rId659" Type="http://schemas.openxmlformats.org/officeDocument/2006/relationships/hyperlink" Target="http://www.ncbi.nlm.nih.gov/pubmed/18314857" TargetMode="External"/><Relationship Id="rId824" Type="http://schemas.openxmlformats.org/officeDocument/2006/relationships/hyperlink" Target="http://www.ncbi.nlm.nih.gov/pubmed/14872449" TargetMode="External"/><Relationship Id="rId866" Type="http://schemas.openxmlformats.org/officeDocument/2006/relationships/hyperlink" Target="http://www.odg-twc.com/States/Washington/Washington_state.pdf" TargetMode="External"/><Relationship Id="rId214" Type="http://schemas.openxmlformats.org/officeDocument/2006/relationships/hyperlink" Target="http://www.ncbi.nlm.nih.gov/pubmed/21403039" TargetMode="External"/><Relationship Id="rId256" Type="http://schemas.openxmlformats.org/officeDocument/2006/relationships/hyperlink" Target="http://www.ncbi.nlm.nih.gov/pubmed/19573987" TargetMode="External"/><Relationship Id="rId298" Type="http://schemas.openxmlformats.org/officeDocument/2006/relationships/hyperlink" Target="http://arthritis-research.com/content/7/6/R1263" TargetMode="External"/><Relationship Id="rId421" Type="http://schemas.openxmlformats.org/officeDocument/2006/relationships/hyperlink" Target="http://www.ncbi.nlm.nih.gov/pubmed/17253502" TargetMode="External"/><Relationship Id="rId463" Type="http://schemas.openxmlformats.org/officeDocument/2006/relationships/hyperlink" Target="http://www.ncbi.nlm.nih.gov/pubmed/19301989" TargetMode="External"/><Relationship Id="rId519" Type="http://schemas.openxmlformats.org/officeDocument/2006/relationships/hyperlink" Target="http://www.ncbi.nlm.nih.gov/pubmed/10965008" TargetMode="External"/><Relationship Id="rId670" Type="http://schemas.openxmlformats.org/officeDocument/2006/relationships/hyperlink" Target="http://www.ncbi.nlm.nih.gov/pubmed/15762817" TargetMode="External"/><Relationship Id="rId116" Type="http://schemas.openxmlformats.org/officeDocument/2006/relationships/hyperlink" Target="http://www.odg-twc.com/odgtwc/pain.htm" TargetMode="External"/><Relationship Id="rId158" Type="http://schemas.openxmlformats.org/officeDocument/2006/relationships/hyperlink" Target="http://www.nucynta.com/nucynta/assets/Nucynta-PI.pdf" TargetMode="External"/><Relationship Id="rId323" Type="http://schemas.openxmlformats.org/officeDocument/2006/relationships/hyperlink" Target="http://www.ncbi.nlm.nih.gov/pubmed/16856101" TargetMode="External"/><Relationship Id="rId530" Type="http://schemas.openxmlformats.org/officeDocument/2006/relationships/hyperlink" Target="http://www.ncbi.nlm.nih.gov/pubmed/17826451" TargetMode="External"/><Relationship Id="rId726" Type="http://schemas.openxmlformats.org/officeDocument/2006/relationships/hyperlink" Target="http://www.ncbi.nlm.nih.gov/pubmed/20360527" TargetMode="External"/><Relationship Id="rId768" Type="http://schemas.openxmlformats.org/officeDocument/2006/relationships/hyperlink" Target="http://www.ncbi.nlm.nih.gov/pubmed/18225966" TargetMode="External"/><Relationship Id="rId20" Type="http://schemas.openxmlformats.org/officeDocument/2006/relationships/hyperlink" Target="http://www.DisabilityGuidelines.com" TargetMode="External"/><Relationship Id="rId62" Type="http://schemas.openxmlformats.org/officeDocument/2006/relationships/hyperlink" Target="http://www.fda.gov/Safety/MedWatch/SafetyInformation/SafetyAlertsforHumanMedicalProducts/ucm193047.htm" TargetMode="External"/><Relationship Id="rId365" Type="http://schemas.openxmlformats.org/officeDocument/2006/relationships/hyperlink" Target="http://www.ncbi.nlm.nih.gov/pubmed/8190679" TargetMode="External"/><Relationship Id="rId572" Type="http://schemas.openxmlformats.org/officeDocument/2006/relationships/hyperlink" Target="http://www.ncbi.nlm.nih.gov/pubmed/11706777" TargetMode="External"/><Relationship Id="rId628" Type="http://schemas.openxmlformats.org/officeDocument/2006/relationships/hyperlink" Target="http://www.ncbi.nlm.nih.gov/pubmed/2148222" TargetMode="External"/><Relationship Id="rId835" Type="http://schemas.openxmlformats.org/officeDocument/2006/relationships/hyperlink" Target="http://www.ncbi.nlm.nih.gov/pubmed/18574359" TargetMode="External"/><Relationship Id="rId225" Type="http://schemas.openxmlformats.org/officeDocument/2006/relationships/hyperlink" Target="http://www.ncbi.nlm.nih.gov/pubmed/15563741" TargetMode="External"/><Relationship Id="rId267" Type="http://schemas.openxmlformats.org/officeDocument/2006/relationships/hyperlink" Target="http://www.ncbi.nlm.nih.gov/pubmed/?term=Bernacki+EJ%2C+Guidera+JA%2C+Schaefer+JA%2C+Tsai+S%2C+A+facilitated+early+return+to+work+program+at+a+large+urban+medical+center%2C+J+Occup+Environ+Med+2000+Dec%3B42(12)%3A1172-7" TargetMode="External"/><Relationship Id="rId432" Type="http://schemas.openxmlformats.org/officeDocument/2006/relationships/hyperlink" Target="http://www.ncbi.nlm.nih.gov/pubmed/10071003" TargetMode="External"/><Relationship Id="rId474" Type="http://schemas.openxmlformats.org/officeDocument/2006/relationships/hyperlink" Target="http://www.ncbi.nlm.nih.gov/pubmed/20822369" TargetMode="External"/><Relationship Id="rId877" Type="http://schemas.openxmlformats.org/officeDocument/2006/relationships/hyperlink" Target="http://www.ncbi.nlm.nih.gov/pubmed/?term=25642320" TargetMode="External"/><Relationship Id="rId127" Type="http://schemas.openxmlformats.org/officeDocument/2006/relationships/hyperlink" Target="http://www.accessdata.fda.gov/scripts/cder/drugsatfda/index.cfm?fuseaction=Search.DrugDetails" TargetMode="External"/><Relationship Id="rId681" Type="http://schemas.openxmlformats.org/officeDocument/2006/relationships/hyperlink" Target="http://www.ncbi.nlm.nih.gov/pubmed/11729014" TargetMode="External"/><Relationship Id="rId737" Type="http://schemas.openxmlformats.org/officeDocument/2006/relationships/hyperlink" Target="http://www.ncbi.nlm.nih.gov/pubmed/15182090" TargetMode="External"/><Relationship Id="rId779" Type="http://schemas.openxmlformats.org/officeDocument/2006/relationships/hyperlink" Target="http://www.ncbi.nlm.nih.gov/pubmed/15910402" TargetMode="External"/><Relationship Id="rId902" Type="http://schemas.openxmlformats.org/officeDocument/2006/relationships/hyperlink" Target="http://www.ncbi.nlm.nih.gov/pubmed/17181922" TargetMode="External"/><Relationship Id="rId31" Type="http://schemas.openxmlformats.org/officeDocument/2006/relationships/hyperlink" Target="https://www.tylenol.com/safety-dosing/usage/dosage-for-adults" TargetMode="External"/><Relationship Id="rId73" Type="http://schemas.openxmlformats.org/officeDocument/2006/relationships/hyperlink" Target="http://www.fda.gov/Drugs/NewsEvents/ucm130961.htm" TargetMode="External"/><Relationship Id="rId169" Type="http://schemas.openxmlformats.org/officeDocument/2006/relationships/hyperlink" Target="file:///E:\AppData\Local\Microsoft\Windows\Temporary%20Internet%20Files\Content.Outlook\AppData\Local\Microsoft\Windows\Temporary%20Internet%20Files\Content.Outlook\50QE161U\neck.htm" TargetMode="External"/><Relationship Id="rId334" Type="http://schemas.openxmlformats.org/officeDocument/2006/relationships/hyperlink" Target="http://www.effectivehealthcare.ahrq.gov/ehc/products/2/65/AnalgesicsFinal.pdf" TargetMode="External"/><Relationship Id="rId376" Type="http://schemas.openxmlformats.org/officeDocument/2006/relationships/hyperlink" Target="http://www.ncbi.nlm.nih.gov/pubmed/21703585" TargetMode="External"/><Relationship Id="rId541" Type="http://schemas.openxmlformats.org/officeDocument/2006/relationships/hyperlink" Target="http://www.ncbi.nlm.nih.gov/pubmed/17537264" TargetMode="External"/><Relationship Id="rId583" Type="http://schemas.openxmlformats.org/officeDocument/2006/relationships/hyperlink" Target="http://www.ncbi.nlm.nih.gov/pubmed/21041028" TargetMode="External"/><Relationship Id="rId639" Type="http://schemas.openxmlformats.org/officeDocument/2006/relationships/hyperlink" Target="http://www.ncbi.nlm.nih.gov/pubmed/16207320" TargetMode="External"/><Relationship Id="rId790" Type="http://schemas.openxmlformats.org/officeDocument/2006/relationships/hyperlink" Target="http://www.ncbi.nlm.nih.gov/pubmed/22381420" TargetMode="External"/><Relationship Id="rId804" Type="http://schemas.openxmlformats.org/officeDocument/2006/relationships/hyperlink" Target="http://www.ncbi.nlm.nih.gov/pubmed/14767396" TargetMode="External"/><Relationship Id="rId4" Type="http://schemas.microsoft.com/office/2007/relationships/stylesWithEffects" Target="stylesWithEffects.xml"/><Relationship Id="rId180" Type="http://schemas.openxmlformats.org/officeDocument/2006/relationships/hyperlink" Target="http://www.ncbi.nlm.nih.gov/books/NBK64333/" TargetMode="External"/><Relationship Id="rId236" Type="http://schemas.openxmlformats.org/officeDocument/2006/relationships/hyperlink" Target="http://www.ncbi.nlm.nih.gov/pubmed/17038030" TargetMode="External"/><Relationship Id="rId278" Type="http://schemas.openxmlformats.org/officeDocument/2006/relationships/hyperlink" Target="http://www.ncbi.nlm.nih.gov/pubmed/19874593" TargetMode="External"/><Relationship Id="rId401" Type="http://schemas.openxmlformats.org/officeDocument/2006/relationships/hyperlink" Target="http://www.ncbi.nlm.nih.gov/pubmed/16213659" TargetMode="External"/><Relationship Id="rId443" Type="http://schemas.openxmlformats.org/officeDocument/2006/relationships/hyperlink" Target="http://www.ncbi.nlm.nih.gov/pubmed/17602996" TargetMode="External"/><Relationship Id="rId650" Type="http://schemas.openxmlformats.org/officeDocument/2006/relationships/hyperlink" Target="http://www.ncbi.nlm.nih.gov/pubmed/18458231" TargetMode="External"/><Relationship Id="rId846" Type="http://schemas.openxmlformats.org/officeDocument/2006/relationships/hyperlink" Target="http://www.ncbi.nlm.nih.gov/pubmed/19232828" TargetMode="External"/><Relationship Id="rId888" Type="http://schemas.openxmlformats.org/officeDocument/2006/relationships/hyperlink" Target="http://www.ncbi.nlm.nih.gov/pubmed/18403272" TargetMode="External"/><Relationship Id="rId303" Type="http://schemas.openxmlformats.org/officeDocument/2006/relationships/hyperlink" Target="http://www.ncbi.nlm.nih.gov/pubmed/14972343" TargetMode="External"/><Relationship Id="rId485" Type="http://schemas.openxmlformats.org/officeDocument/2006/relationships/hyperlink" Target="http://www.ncbi.nlm.nih.gov/pubmed/17347805" TargetMode="External"/><Relationship Id="rId692" Type="http://schemas.openxmlformats.org/officeDocument/2006/relationships/hyperlink" Target="http://www.ncbi.nlm.nih.gov/pubmed/16652427" TargetMode="External"/><Relationship Id="rId706" Type="http://schemas.openxmlformats.org/officeDocument/2006/relationships/hyperlink" Target="http://www.ncbi.nlm.nih.gov/pubmed/14711947" TargetMode="External"/><Relationship Id="rId748" Type="http://schemas.openxmlformats.org/officeDocument/2006/relationships/hyperlink" Target="http://www.ncbi.nlm.nih.gov/pubmed/17943857" TargetMode="External"/><Relationship Id="rId913" Type="http://schemas.openxmlformats.org/officeDocument/2006/relationships/theme" Target="theme/theme1.xml"/><Relationship Id="rId42" Type="http://schemas.openxmlformats.org/officeDocument/2006/relationships/hyperlink" Target="http://www.ncsl.org/issues-research/health/state-medical-marijuana-laws.aspx" TargetMode="External"/><Relationship Id="rId84" Type="http://schemas.openxmlformats.org/officeDocument/2006/relationships/hyperlink" Target="file:///E:\AppData\Local\Microsoft\Windows\Temporary%20Internet%20Files\Content.Outlook\AppData\Local\Microsoft\Windows\Temporary%20Internet%20Files\Content.Outlook\50QE161U\knee.htm" TargetMode="External"/><Relationship Id="rId138" Type="http://schemas.openxmlformats.org/officeDocument/2006/relationships/hyperlink" Target="http://www.dir.ca.gov/dwc/mtus/MTUS_RegulationsGuidelines.html" TargetMode="External"/><Relationship Id="rId345" Type="http://schemas.openxmlformats.org/officeDocument/2006/relationships/hyperlink" Target="http://www.ncbi.nlm.nih.gov/pubmed/?term=23277895" TargetMode="External"/><Relationship Id="rId387" Type="http://schemas.openxmlformats.org/officeDocument/2006/relationships/hyperlink" Target="http://www.ncbi.nlm.nih.gov/pubmed/23748119" TargetMode="External"/><Relationship Id="rId510" Type="http://schemas.openxmlformats.org/officeDocument/2006/relationships/hyperlink" Target="http://www.ncbi.nlm.nih.gov/pubmed/17279218" TargetMode="External"/><Relationship Id="rId552" Type="http://schemas.openxmlformats.org/officeDocument/2006/relationships/hyperlink" Target="http://www.ncbi.nlm.nih.gov/pubmed/18177922" TargetMode="External"/><Relationship Id="rId594" Type="http://schemas.openxmlformats.org/officeDocument/2006/relationships/hyperlink" Target="http://www.ncbi.nlm.nih.gov/pubmed/23424702" TargetMode="External"/><Relationship Id="rId608" Type="http://schemas.openxmlformats.org/officeDocument/2006/relationships/hyperlink" Target="http://www.ncbi.nlm.nih.gov/pubmed/2934829" TargetMode="External"/><Relationship Id="rId815" Type="http://schemas.openxmlformats.org/officeDocument/2006/relationships/hyperlink" Target="http://www.ncbi.nlm.nih.gov/pubmed/22942324" TargetMode="External"/><Relationship Id="rId191" Type="http://schemas.openxmlformats.org/officeDocument/2006/relationships/hyperlink" Target="file:///\\SFO39CVC\ConnieA$\My%20Documents\MEEAC\3.%20Post%2010-day%20forum\AppData\Local\Microsoft\Windows\Temporary%20Internet%20Files\Content.Outlook\acmq.org" TargetMode="External"/><Relationship Id="rId205" Type="http://schemas.openxmlformats.org/officeDocument/2006/relationships/hyperlink" Target="http://www.ncbi.nlm.nih.gov/pubmed/?term=Ackermann%2C+L.%2C+Follett%2C+K.%2C+Rosenquist%2C+R.+%E2%80%9CLong-Term+Outcomes+During+Treatment+of+Chronic+Pain+with+Intrathecal+Clonidine+or+Clonidine%2FOpioid+Combinations%E2%80%9D+Journal+of+Pain+and+Symptom+Management.+2003%3B+July%2C+Volume+26%3A+668-76." TargetMode="External"/><Relationship Id="rId247" Type="http://schemas.openxmlformats.org/officeDocument/2006/relationships/hyperlink" Target="http://www.ncbi.nlm.nih.gov/pubmed/12516310" TargetMode="External"/><Relationship Id="rId412" Type="http://schemas.openxmlformats.org/officeDocument/2006/relationships/hyperlink" Target="http://www.ncbi.nlm.nih.gov/pubmed/12799822" TargetMode="External"/><Relationship Id="rId857" Type="http://schemas.openxmlformats.org/officeDocument/2006/relationships/hyperlink" Target="http://www.ncbi.nlm.nih.gov/pubmed/16926582" TargetMode="External"/><Relationship Id="rId899" Type="http://schemas.openxmlformats.org/officeDocument/2006/relationships/hyperlink" Target="http://www.ncbi.nlm.nih.gov/pubmed/8922167" TargetMode="External"/><Relationship Id="rId107" Type="http://schemas.openxmlformats.org/officeDocument/2006/relationships/hyperlink" Target="file:///E:\AppData\Local\Microsoft\Windows\Temporary%20Internet%20Files\Content.Outlook\AppData\Local\Microsoft\Windows\Temporary%20Internet%20Files\Content.Outlook\50QE161U\low_back.htm" TargetMode="External"/><Relationship Id="rId289" Type="http://schemas.openxmlformats.org/officeDocument/2006/relationships/hyperlink" Target="http://www.ncbi.nlm.nih.gov/pubmed/12547742" TargetMode="External"/><Relationship Id="rId454" Type="http://schemas.openxmlformats.org/officeDocument/2006/relationships/hyperlink" Target="http://www.ncbi.nlm.nih.gov/pubmed/16271565" TargetMode="External"/><Relationship Id="rId496" Type="http://schemas.openxmlformats.org/officeDocument/2006/relationships/hyperlink" Target="http://www.icsi.org/pain__chronic__assessment_and_management_of_14399/pain__chronic__assessment_and_management_of__guideline_.html" TargetMode="External"/><Relationship Id="rId661" Type="http://schemas.openxmlformats.org/officeDocument/2006/relationships/hyperlink" Target="http://www.ncbi.nlm.nih.gov/pubmed/20141234" TargetMode="External"/><Relationship Id="rId717" Type="http://schemas.openxmlformats.org/officeDocument/2006/relationships/hyperlink" Target="http://www.ncbi.nlm.nih.gov/pubmed/11372804" TargetMode="External"/><Relationship Id="rId759" Type="http://schemas.openxmlformats.org/officeDocument/2006/relationships/hyperlink" Target="http://www.ncbi.nlm.nih.gov/pubmed/14694544" TargetMode="External"/><Relationship Id="rId11" Type="http://schemas.openxmlformats.org/officeDocument/2006/relationships/footer" Target="footer1.xml"/><Relationship Id="rId53" Type="http://schemas.openxmlformats.org/officeDocument/2006/relationships/hyperlink" Target="http://www.odg-twc.com/crosswalk/ur_3372.htm" TargetMode="External"/><Relationship Id="rId149" Type="http://schemas.openxmlformats.org/officeDocument/2006/relationships/hyperlink" Target="http://www.fda.gov/Drugs/DrugSafety/ucm318858.htm" TargetMode="External"/><Relationship Id="rId314" Type="http://schemas.openxmlformats.org/officeDocument/2006/relationships/hyperlink" Target="http://www.ncbi.nlm.nih.gov/pubmed/14996642" TargetMode="External"/><Relationship Id="rId356" Type="http://schemas.openxmlformats.org/officeDocument/2006/relationships/hyperlink" Target="http://www.ncbi.nlm.nih.gov/pubmed/18574345" TargetMode="External"/><Relationship Id="rId398" Type="http://schemas.openxmlformats.org/officeDocument/2006/relationships/hyperlink" Target="http://www.ncbi.nlm.nih.gov/pubmed/16052120" TargetMode="External"/><Relationship Id="rId521" Type="http://schemas.openxmlformats.org/officeDocument/2006/relationships/hyperlink" Target="http://www.ncbi.nlm.nih.gov/pubmed/10965008" TargetMode="External"/><Relationship Id="rId563" Type="http://schemas.openxmlformats.org/officeDocument/2006/relationships/hyperlink" Target="http://www.ncbi.nlm.nih.gov/pubmed/7642927" TargetMode="External"/><Relationship Id="rId619" Type="http://schemas.openxmlformats.org/officeDocument/2006/relationships/hyperlink" Target="http://www.ncbi.nlm.nih.gov/pubmed/?term=The+lack+of+hypoalgesic+efficacy+of+H-wave+therapy+on+experimental+ischemic+pain." TargetMode="External"/><Relationship Id="rId770" Type="http://schemas.openxmlformats.org/officeDocument/2006/relationships/hyperlink" Target="http://www.ncbi.nlm.nih.gov/pubmed/18667054" TargetMode="External"/><Relationship Id="rId95" Type="http://schemas.openxmlformats.org/officeDocument/2006/relationships/hyperlink" Target="http://www.imtassociation.org/what-is-imt.asp" TargetMode="External"/><Relationship Id="rId160" Type="http://schemas.openxmlformats.org/officeDocument/2006/relationships/hyperlink" Target="file:///E:\AppData\Local\Microsoft\Windows\Temporary%20Internet%20Files\Content.Outlook\AppData\Local\Microsoft\Windows\Temporary%20Internet%20Files\Content.Outlook\50QE161U\low_back.htm" TargetMode="External"/><Relationship Id="rId216" Type="http://schemas.openxmlformats.org/officeDocument/2006/relationships/hyperlink" Target="http://www.ncbi.nlm.nih.gov/pubmed/19332972" TargetMode="External"/><Relationship Id="rId423" Type="http://schemas.openxmlformats.org/officeDocument/2006/relationships/hyperlink" Target="http://www.ncbi.nlm.nih.gov/pubmed/9535313" TargetMode="External"/><Relationship Id="rId826" Type="http://schemas.openxmlformats.org/officeDocument/2006/relationships/hyperlink" Target="http://www.ncbi.nlm.nih.gov/pubmed/15530999" TargetMode="External"/><Relationship Id="rId868" Type="http://schemas.openxmlformats.org/officeDocument/2006/relationships/hyperlink" Target="http://www.ncbi.nlm.nih.gov/pubmed/12098613" TargetMode="External"/><Relationship Id="rId258" Type="http://schemas.openxmlformats.org/officeDocument/2006/relationships/hyperlink" Target="file:///\\SFO37CVC\DevikaS$\23150005" TargetMode="External"/><Relationship Id="rId465" Type="http://schemas.openxmlformats.org/officeDocument/2006/relationships/hyperlink" Target="http://www.ncbi.nlm.nih.gov/pubmed/17577004" TargetMode="External"/><Relationship Id="rId630" Type="http://schemas.openxmlformats.org/officeDocument/2006/relationships/hyperlink" Target="http://www.ncbi.nlm.nih.gov/pubmed/?term=25774771" TargetMode="External"/><Relationship Id="rId672" Type="http://schemas.openxmlformats.org/officeDocument/2006/relationships/hyperlink" Target="http://www.ncbi.nlm.nih.gov/pubmed/23633371" TargetMode="External"/><Relationship Id="rId728" Type="http://schemas.openxmlformats.org/officeDocument/2006/relationships/hyperlink" Target="http://www.ncbi.nlm.nih.gov/pubmed/10587279" TargetMode="External"/><Relationship Id="rId22" Type="http://schemas.openxmlformats.org/officeDocument/2006/relationships/hyperlink" Target="http://www.ncbi.nlm.nih.gov/pubmed?term=Younger%20J%5BAuthor%5D&amp;cauthor=true&amp;cauthor_uid=24212070" TargetMode="External"/><Relationship Id="rId64" Type="http://schemas.openxmlformats.org/officeDocument/2006/relationships/hyperlink" Target="http://www.fda.gov/downloads/Drugs/DrugSafety/UCM253076.pdf" TargetMode="External"/><Relationship Id="rId118" Type="http://schemas.openxmlformats.org/officeDocument/2006/relationships/hyperlink" Target="http://www.zanaflexcapsules.com/pdf/Zanaflex_Capsules_PI.pdf" TargetMode="External"/><Relationship Id="rId325" Type="http://schemas.openxmlformats.org/officeDocument/2006/relationships/hyperlink" Target="http://www.cfsan.fda.gov/~dms/medfguid.html" TargetMode="External"/><Relationship Id="rId367" Type="http://schemas.openxmlformats.org/officeDocument/2006/relationships/hyperlink" Target="http://www.ncbi.nlm.nih.gov/pubmed/17229184" TargetMode="External"/><Relationship Id="rId532" Type="http://schemas.openxmlformats.org/officeDocument/2006/relationships/hyperlink" Target="http://www.ncbi.nlm.nih.gov/pubmed/19531931" TargetMode="External"/><Relationship Id="rId574" Type="http://schemas.openxmlformats.org/officeDocument/2006/relationships/hyperlink" Target="http://www.ncbi.nlm.nih.gov/pubmed/21208910" TargetMode="External"/><Relationship Id="rId171" Type="http://schemas.openxmlformats.org/officeDocument/2006/relationships/hyperlink" Target="file:///E:\AppData\Local\Microsoft\Windows\Temporary%20Internet%20Files\Content.Outlook\AppData\Local\Microsoft\Windows\Temporary%20Internet%20Files\Content.Outlook\50QE161U\neck.htm" TargetMode="External"/><Relationship Id="rId227" Type="http://schemas.openxmlformats.org/officeDocument/2006/relationships/hyperlink" Target="http://www.ncbi.nlm.nih.gov/pubmed/16298061" TargetMode="External"/><Relationship Id="rId781" Type="http://schemas.openxmlformats.org/officeDocument/2006/relationships/hyperlink" Target="http://www.ncbi.nlm.nih.gov/pubmed/17034912" TargetMode="External"/><Relationship Id="rId837" Type="http://schemas.openxmlformats.org/officeDocument/2006/relationships/hyperlink" Target="http://www.ncbi.nlm.nih.gov/pubmed/9701294" TargetMode="External"/><Relationship Id="rId879" Type="http://schemas.openxmlformats.org/officeDocument/2006/relationships/hyperlink" Target="http://www.ncbi.nlm.nih.gov/pubmed/11731062" TargetMode="External"/><Relationship Id="rId269" Type="http://schemas.openxmlformats.org/officeDocument/2006/relationships/hyperlink" Target="http://www.ncbi.nlm.nih.gov/pubmed/22213786" TargetMode="External"/><Relationship Id="rId434" Type="http://schemas.openxmlformats.org/officeDocument/2006/relationships/hyperlink" Target="http://www.ncbi.nlm.nih.gov/pubmed/15337640" TargetMode="External"/><Relationship Id="rId476" Type="http://schemas.openxmlformats.org/officeDocument/2006/relationships/hyperlink" Target="http://www.ncbi.nlm.nih.gov/pubmed/17173603" TargetMode="External"/><Relationship Id="rId641" Type="http://schemas.openxmlformats.org/officeDocument/2006/relationships/hyperlink" Target="http://www.ncbi.nlm.nih.gov/pubmed/19454639" TargetMode="External"/><Relationship Id="rId683" Type="http://schemas.openxmlformats.org/officeDocument/2006/relationships/hyperlink" Target="http://www.ncbi.nlm.nih.gov/pubmed/9291707" TargetMode="External"/><Relationship Id="rId739" Type="http://schemas.openxmlformats.org/officeDocument/2006/relationships/hyperlink" Target="http://www.ncbi.nlm.nih.gov/pubmed/17998491" TargetMode="External"/><Relationship Id="rId890" Type="http://schemas.openxmlformats.org/officeDocument/2006/relationships/hyperlink" Target="http://www.ncbi.nlm.nih.gov/pubmed/25736341" TargetMode="External"/><Relationship Id="rId904" Type="http://schemas.openxmlformats.org/officeDocument/2006/relationships/hyperlink" Target="http://www.ncbi.nlm.nih.gov/pubmed/16531624" TargetMode="External"/><Relationship Id="rId33" Type="http://schemas.openxmlformats.org/officeDocument/2006/relationships/hyperlink" Target="http://www.fda.gov/NewsEvents/Newsroom/PressAnnouncements/ucm232708.htm" TargetMode="External"/><Relationship Id="rId129" Type="http://schemas.openxmlformats.org/officeDocument/2006/relationships/hyperlink" Target="http://www.fda.gov/Drugs/DrugSafety/InformationbyDrugClass/ucm363722.htm" TargetMode="External"/><Relationship Id="rId280" Type="http://schemas.openxmlformats.org/officeDocument/2006/relationships/hyperlink" Target="http://www.ncbi.nlm.nih.gov/pubmed/17285782" TargetMode="External"/><Relationship Id="rId336" Type="http://schemas.openxmlformats.org/officeDocument/2006/relationships/hyperlink" Target="http://www.effectivehealthcare.ahrq.gov/ehc/products/2/65/AnalgesicsFinal.pdf" TargetMode="External"/><Relationship Id="rId501" Type="http://schemas.openxmlformats.org/officeDocument/2006/relationships/hyperlink" Target="http://www.ncbi.nlm.nih.gov/pubmed/16712627" TargetMode="External"/><Relationship Id="rId543" Type="http://schemas.openxmlformats.org/officeDocument/2006/relationships/hyperlink" Target="http://www.ncbi.nlm.nih.gov/pubmed/9702441" TargetMode="External"/><Relationship Id="rId75" Type="http://schemas.openxmlformats.org/officeDocument/2006/relationships/hyperlink" Target="http://www.odg-twc.com/odgtwc/pain.htm" TargetMode="External"/><Relationship Id="rId140" Type="http://schemas.openxmlformats.org/officeDocument/2006/relationships/hyperlink" Target="http://www.lni.wa.gov/ClaimsIns/Files/OMD/ProvNetwork/B2_2012_04_12TPGAPfc.pdf" TargetMode="External"/><Relationship Id="rId182" Type="http://schemas.openxmlformats.org/officeDocument/2006/relationships/hyperlink" Target="http://www.accessdata.fda.gov/drugsatfda_docs/label/2014/204031s000lbl.pdf" TargetMode="External"/><Relationship Id="rId378" Type="http://schemas.openxmlformats.org/officeDocument/2006/relationships/hyperlink" Target="http://www.ncbi.nlm.nih.gov/pubmed/14719718" TargetMode="External"/><Relationship Id="rId403" Type="http://schemas.openxmlformats.org/officeDocument/2006/relationships/hyperlink" Target="http://www.ncbi.nlm.nih.gov/pubmed/3257494" TargetMode="External"/><Relationship Id="rId585" Type="http://schemas.openxmlformats.org/officeDocument/2006/relationships/hyperlink" Target="http://www.ncbi.nlm.nih.gov/pubmed/15266501" TargetMode="External"/><Relationship Id="rId750" Type="http://schemas.openxmlformats.org/officeDocument/2006/relationships/hyperlink" Target="http://www.ncbi.nlm.nih.gov/pubmed/15980934" TargetMode="External"/><Relationship Id="rId792" Type="http://schemas.openxmlformats.org/officeDocument/2006/relationships/hyperlink" Target="http://www.ncbi.nlm.nih.gov/pubmed/17410506" TargetMode="External"/><Relationship Id="rId806" Type="http://schemas.openxmlformats.org/officeDocument/2006/relationships/hyperlink" Target="http://www.ncbi.nlm.nih.gov/pubmed/16231249" TargetMode="External"/><Relationship Id="rId848" Type="http://schemas.openxmlformats.org/officeDocument/2006/relationships/hyperlink" Target="http://www.ncbi.nlm.nih.gov/pubmed/9322325" TargetMode="External"/><Relationship Id="rId6" Type="http://schemas.openxmlformats.org/officeDocument/2006/relationships/webSettings" Target="webSettings.xml"/><Relationship Id="rId238" Type="http://schemas.openxmlformats.org/officeDocument/2006/relationships/hyperlink" Target="http://www.ncbi.nlm.nih.gov/pubmed/14996228" TargetMode="External"/><Relationship Id="rId445" Type="http://schemas.openxmlformats.org/officeDocument/2006/relationships/hyperlink" Target="http://www.ncbi.nlm.nih.gov/pubmed/17126045" TargetMode="External"/><Relationship Id="rId487" Type="http://schemas.openxmlformats.org/officeDocument/2006/relationships/hyperlink" Target="http://www.ncbi.nlm.nih.gov/pubmed/16524438" TargetMode="External"/><Relationship Id="rId610" Type="http://schemas.openxmlformats.org/officeDocument/2006/relationships/hyperlink" Target="http://www.ncbi.nlm.nih.gov/pubmed/14589215" TargetMode="External"/><Relationship Id="rId652" Type="http://schemas.openxmlformats.org/officeDocument/2006/relationships/hyperlink" Target="http://www.ncbi.nlm.nih.gov/pubmed/18625626" TargetMode="External"/><Relationship Id="rId694" Type="http://schemas.openxmlformats.org/officeDocument/2006/relationships/hyperlink" Target="http://www.ncbi.nlm.nih.gov/pubmed/18564997" TargetMode="External"/><Relationship Id="rId708" Type="http://schemas.openxmlformats.org/officeDocument/2006/relationships/hyperlink" Target="http://www.ncbi.nlm.nih.gov/pubmed/16864815" TargetMode="External"/><Relationship Id="rId291" Type="http://schemas.openxmlformats.org/officeDocument/2006/relationships/hyperlink" Target="http://www.ncbi.nlm.nih.gov/pubmed/15194209" TargetMode="External"/><Relationship Id="rId305" Type="http://schemas.openxmlformats.org/officeDocument/2006/relationships/hyperlink" Target="http://www.ncbi.nlm.nih.gov/pubmed/17062436" TargetMode="External"/><Relationship Id="rId347" Type="http://schemas.openxmlformats.org/officeDocument/2006/relationships/hyperlink" Target="http://www.ncbi.nlm.nih.gov/pubmed/16688627" TargetMode="External"/><Relationship Id="rId512" Type="http://schemas.openxmlformats.org/officeDocument/2006/relationships/hyperlink" Target="http://www.ncbi.nlm.nih.gov/pubmed/15372199" TargetMode="External"/><Relationship Id="rId44" Type="http://schemas.openxmlformats.org/officeDocument/2006/relationships/hyperlink" Target="http://www.deadiversion.usdoj.gov/fed_regs/rules/2011/fr1212_10.htm" TargetMode="External"/><Relationship Id="rId86" Type="http://schemas.openxmlformats.org/officeDocument/2006/relationships/hyperlink" Target="https://www.federalregister.gov/articles/2014/08/22/2014-19922/schedules-of-controlled-substances-rescheduling-of-hydrocodone-combination-products-from-schedule" TargetMode="External"/><Relationship Id="rId151" Type="http://schemas.openxmlformats.org/officeDocument/2006/relationships/hyperlink" Target="http://dailymed.nlm.nih.gov/dailymed/lookup.cfm?setid=478c8d2a-4274-4458-b3b9-1f0b1a6a372d" TargetMode="External"/><Relationship Id="rId389" Type="http://schemas.openxmlformats.org/officeDocument/2006/relationships/hyperlink" Target="http://www.ncbi.nlm.nih.gov/pubmed/16175925" TargetMode="External"/><Relationship Id="rId554" Type="http://schemas.openxmlformats.org/officeDocument/2006/relationships/hyperlink" Target="http://www.ncbi.nlm.nih.gov/pubmed/17008305" TargetMode="External"/><Relationship Id="rId596" Type="http://schemas.openxmlformats.org/officeDocument/2006/relationships/hyperlink" Target="http://www.ncbi.nlm.nih.gov/pubmed/21683929" TargetMode="External"/><Relationship Id="rId761" Type="http://schemas.openxmlformats.org/officeDocument/2006/relationships/hyperlink" Target="http://www.ncbi.nlm.nih.gov/pubmed/15223086" TargetMode="External"/><Relationship Id="rId817" Type="http://schemas.openxmlformats.org/officeDocument/2006/relationships/hyperlink" Target="http://www.ncbi.nlm.nih.gov/pubmed/15340391" TargetMode="External"/><Relationship Id="rId859" Type="http://schemas.openxmlformats.org/officeDocument/2006/relationships/hyperlink" Target="http://www.ncbi.nlm.nih.gov/pubmed/16946355" TargetMode="External"/><Relationship Id="rId193" Type="http://schemas.openxmlformats.org/officeDocument/2006/relationships/hyperlink" Target="http://www.pulsus.com/clin-phi/07_04/mcle_ed.htm" TargetMode="External"/><Relationship Id="rId207" Type="http://schemas.openxmlformats.org/officeDocument/2006/relationships/hyperlink" Target="http://www.ncbi.nlm.nih.gov/pubmed/19446144" TargetMode="External"/><Relationship Id="rId249" Type="http://schemas.openxmlformats.org/officeDocument/2006/relationships/hyperlink" Target="http://www.ncbi.nlm.nih.gov/pubmed/21174485" TargetMode="External"/><Relationship Id="rId414" Type="http://schemas.openxmlformats.org/officeDocument/2006/relationships/hyperlink" Target="http://www.ncbi.nlm.nih.gov/pubmed/18331375" TargetMode="External"/><Relationship Id="rId456" Type="http://schemas.openxmlformats.org/officeDocument/2006/relationships/hyperlink" Target="http://arthritis-research.com/content/10/1/R22" TargetMode="External"/><Relationship Id="rId498" Type="http://schemas.openxmlformats.org/officeDocument/2006/relationships/hyperlink" Target="http://www.ncbi.nlm.nih.gov/pubmed/18271710" TargetMode="External"/><Relationship Id="rId621" Type="http://schemas.openxmlformats.org/officeDocument/2006/relationships/hyperlink" Target="http://www.ncbi.nlm.nih.gov/pubmed/10488999" TargetMode="External"/><Relationship Id="rId663" Type="http://schemas.openxmlformats.org/officeDocument/2006/relationships/hyperlink" Target="http://www.ncbi.nlm.nih.gov/pubmed/6229707" TargetMode="External"/><Relationship Id="rId870" Type="http://schemas.openxmlformats.org/officeDocument/2006/relationships/hyperlink" Target="http://www.ncbi.nlm.nih.gov/pubmed/11222458" TargetMode="External"/><Relationship Id="rId13" Type="http://schemas.openxmlformats.org/officeDocument/2006/relationships/header" Target="header3.xml"/><Relationship Id="rId109" Type="http://schemas.openxmlformats.org/officeDocument/2006/relationships/hyperlink" Target="file:///E:\AppData\Local\Microsoft\Windows\Temporary%20Internet%20Files\Content.Outlook\AppData\Local\Microsoft\Windows\Temporary%20Internet%20Files\Content.Outlook\50QE161U\low_back.htm" TargetMode="External"/><Relationship Id="rId260" Type="http://schemas.openxmlformats.org/officeDocument/2006/relationships/hyperlink" Target="http://www.ncbi.nlm.nih.gov/pubmed/15746509" TargetMode="External"/><Relationship Id="rId316" Type="http://schemas.openxmlformats.org/officeDocument/2006/relationships/hyperlink" Target="http://www.dir.ca.gov/dwc/dwc_newslines/2007/Newsline_71-07.pdf" TargetMode="External"/><Relationship Id="rId523" Type="http://schemas.openxmlformats.org/officeDocument/2006/relationships/hyperlink" Target="http://www.ncbi.nlm.nih.gov/pubmed/18240925" TargetMode="External"/><Relationship Id="rId719" Type="http://schemas.openxmlformats.org/officeDocument/2006/relationships/hyperlink" Target="http://www.ncbi.nlm.nih.gov/pubmed/20088817" TargetMode="External"/><Relationship Id="rId55" Type="http://schemas.openxmlformats.org/officeDocument/2006/relationships/hyperlink" Target="http://www.rsds.org/4/resources/pdf/ComplexRegionalPainSyndromeDiagnosticTests.pdf" TargetMode="External"/><Relationship Id="rId97" Type="http://schemas.openxmlformats.org/officeDocument/2006/relationships/hyperlink" Target="file:///E:\AppData\Local\Microsoft\Windows\Temporary%20Internet%20Files\Content.Outlook\AppData\Local\Microsoft\Windows\Temporary%20Internet%20Files\Content.Outlook\50QE161U\shoulder.htm" TargetMode="External"/><Relationship Id="rId120" Type="http://schemas.openxmlformats.org/officeDocument/2006/relationships/hyperlink" Target="http://www.odg-twc.com/odgtwc/pain.htm" TargetMode="External"/><Relationship Id="rId358" Type="http://schemas.openxmlformats.org/officeDocument/2006/relationships/hyperlink" Target="http://www.ncbi.nlm.nih.gov/pubmed/15818684" TargetMode="External"/><Relationship Id="rId565" Type="http://schemas.openxmlformats.org/officeDocument/2006/relationships/hyperlink" Target="http://www.ncbi.nlm.nih.gov/pubmed/22547174" TargetMode="External"/><Relationship Id="rId730" Type="http://schemas.openxmlformats.org/officeDocument/2006/relationships/hyperlink" Target="http://www.ncbi.nlm.nih.gov/pubmed/10870746" TargetMode="External"/><Relationship Id="rId772" Type="http://schemas.openxmlformats.org/officeDocument/2006/relationships/hyperlink" Target="http://www.ncbi.nlm.nih.gov/pubmed/11444718" TargetMode="External"/><Relationship Id="rId828" Type="http://schemas.openxmlformats.org/officeDocument/2006/relationships/hyperlink" Target="http://www.ncbi.nlm.nih.gov/pubmed/16437479" TargetMode="External"/><Relationship Id="rId162" Type="http://schemas.openxmlformats.org/officeDocument/2006/relationships/hyperlink" Target="file:///E:\AppData\Local\Microsoft\Windows\Temporary%20Internet%20Files\Content.Outlook\AppData\Local\Microsoft\Windows\Temporary%20Internet%20Files\Content.Outlook\50QE161U\knee.htm" TargetMode="External"/><Relationship Id="rId218" Type="http://schemas.openxmlformats.org/officeDocument/2006/relationships/hyperlink" Target="http://www.ncbi.nlm.nih.gov/pubmed/3060328" TargetMode="External"/><Relationship Id="rId425" Type="http://schemas.openxmlformats.org/officeDocument/2006/relationships/hyperlink" Target="http://www.ncbi.nlm.nih.gov/pubmed/2530487" TargetMode="External"/><Relationship Id="rId467" Type="http://schemas.openxmlformats.org/officeDocument/2006/relationships/hyperlink" Target="http://www.ncbi.nlm.nih.gov/pubmed/17610454" TargetMode="External"/><Relationship Id="rId632" Type="http://schemas.openxmlformats.org/officeDocument/2006/relationships/hyperlink" Target="http://www.ncbi.nlm.nih.gov/pubmed/20146702" TargetMode="External"/><Relationship Id="rId271" Type="http://schemas.openxmlformats.org/officeDocument/2006/relationships/hyperlink" Target="http://www.ncbi.nlm.nih.gov/pubmed/15729516" TargetMode="External"/><Relationship Id="rId674" Type="http://schemas.openxmlformats.org/officeDocument/2006/relationships/hyperlink" Target="http://www.ncbi.nlm.nih.gov/pubmed/16340597" TargetMode="External"/><Relationship Id="rId881" Type="http://schemas.openxmlformats.org/officeDocument/2006/relationships/hyperlink" Target="http://www.ncbi.nlm.nih.gov/pubmed/16034857" TargetMode="External"/><Relationship Id="rId24" Type="http://schemas.openxmlformats.org/officeDocument/2006/relationships/hyperlink" Target="http://www.ncbi.nlm.nih.gov/pubmed/?term=Barad%2C+et+al.%2C+Journal+of+Pain+(2014)" TargetMode="External"/><Relationship Id="rId66" Type="http://schemas.openxmlformats.org/officeDocument/2006/relationships/hyperlink" Target="http://www.fda.gov/NewsEvents/Newsroom/PressAnnouncements/ucm232708.htm" TargetMode="External"/><Relationship Id="rId131" Type="http://schemas.openxmlformats.org/officeDocument/2006/relationships/hyperlink" Target="http://www.fda.gov/drugs/drugsafety/informationbydrugclass/ucm163647.htm" TargetMode="External"/><Relationship Id="rId327" Type="http://schemas.openxmlformats.org/officeDocument/2006/relationships/hyperlink" Target="http://www.ncbi.nlm.nih.gov/pubmed/16534006" TargetMode="External"/><Relationship Id="rId369" Type="http://schemas.openxmlformats.org/officeDocument/2006/relationships/hyperlink" Target="http://www.ncbi.nlm.nih.gov/pubmed/16856084" TargetMode="External"/><Relationship Id="rId534" Type="http://schemas.openxmlformats.org/officeDocument/2006/relationships/hyperlink" Target="http://www.ncbi.nlm.nih.gov/pubmed/8029734" TargetMode="External"/><Relationship Id="rId576" Type="http://schemas.openxmlformats.org/officeDocument/2006/relationships/hyperlink" Target="http://www.ncbi.nlm.nih.gov/pubmed/18845017" TargetMode="External"/><Relationship Id="rId741" Type="http://schemas.openxmlformats.org/officeDocument/2006/relationships/hyperlink" Target="http://www.ncbi.nlm.nih.gov/pubmed/17363756" TargetMode="External"/><Relationship Id="rId783" Type="http://schemas.openxmlformats.org/officeDocument/2006/relationships/hyperlink" Target="http://www.ncbi.nlm.nih.gov/pubmed/11979157" TargetMode="External"/><Relationship Id="rId839" Type="http://schemas.openxmlformats.org/officeDocument/2006/relationships/hyperlink" Target="http://www.ncbi.nlm.nih.gov/pubmed/10729965" TargetMode="External"/><Relationship Id="rId173" Type="http://schemas.openxmlformats.org/officeDocument/2006/relationships/hyperlink" Target="file:///E:\AppData\Local\Microsoft\Windows\Temporary%20Internet%20Files\Content.Outlook\AppData\Local\Microsoft\Windows\Temporary%20Internet%20Files\Content.Outlook\50QE161U\neck.htm" TargetMode="External"/><Relationship Id="rId229" Type="http://schemas.openxmlformats.org/officeDocument/2006/relationships/hyperlink" Target="http://www.ncbi.nlm.nih.gov/pubmed/2144915" TargetMode="External"/><Relationship Id="rId380" Type="http://schemas.openxmlformats.org/officeDocument/2006/relationships/hyperlink" Target="http://www.ncbi.nlm.nih.gov/pubmed/19901316" TargetMode="External"/><Relationship Id="rId436" Type="http://schemas.openxmlformats.org/officeDocument/2006/relationships/hyperlink" Target="http://www.ncbi.nlm.nih.gov/pubmed/16880448" TargetMode="External"/><Relationship Id="rId601" Type="http://schemas.openxmlformats.org/officeDocument/2006/relationships/hyperlink" Target="http://www.ncbi.nlm.nih.gov/pubmed/15033881" TargetMode="External"/><Relationship Id="rId643" Type="http://schemas.openxmlformats.org/officeDocument/2006/relationships/hyperlink" Target="http://www.ncbi.nlm.nih.gov/pubmed/20191480" TargetMode="External"/><Relationship Id="rId240" Type="http://schemas.openxmlformats.org/officeDocument/2006/relationships/hyperlink" Target="http://www.ncbi.nlm.nih.gov/pubmed/9846777" TargetMode="External"/><Relationship Id="rId478" Type="http://schemas.openxmlformats.org/officeDocument/2006/relationships/hyperlink" Target="http://www.ncbi.nlm.nih.gov/pubmed/10626316" TargetMode="External"/><Relationship Id="rId685" Type="http://schemas.openxmlformats.org/officeDocument/2006/relationships/hyperlink" Target="http://www.ncbi.nlm.nih.gov/pubmed/20215340" TargetMode="External"/><Relationship Id="rId850" Type="http://schemas.openxmlformats.org/officeDocument/2006/relationships/hyperlink" Target="http://www.ncbi.nlm.nih.gov/pubmed/16320031" TargetMode="External"/><Relationship Id="rId892" Type="http://schemas.openxmlformats.org/officeDocument/2006/relationships/hyperlink" Target="http://www.ncbi.nlm.nih.gov/pubmed/20461783" TargetMode="External"/><Relationship Id="rId906" Type="http://schemas.openxmlformats.org/officeDocument/2006/relationships/hyperlink" Target="http://www.ncbi.nlm.nih.gov/pubmed/17046965" TargetMode="External"/><Relationship Id="rId35" Type="http://schemas.openxmlformats.org/officeDocument/2006/relationships/hyperlink" Target="http://www.faqs.org/sec-filings/110930/CEPHALON-INC_8-K/" TargetMode="External"/><Relationship Id="rId77" Type="http://schemas.openxmlformats.org/officeDocument/2006/relationships/hyperlink" Target="http://www.accessdata.fda.gov/drugsatfda_docs/label/2008/021234s003lbl.pdf" TargetMode="External"/><Relationship Id="rId100" Type="http://schemas.openxmlformats.org/officeDocument/2006/relationships/hyperlink" Target="http://www.bcbst.com/mpmanual/!SSL!/WebHelp/Interferential_Current_Therapy_Interferential_Stimulator-IFII.htm" TargetMode="External"/><Relationship Id="rId282" Type="http://schemas.openxmlformats.org/officeDocument/2006/relationships/hyperlink" Target="http://www.ncbi.nlm.nih.gov/pubmed/11973695" TargetMode="External"/><Relationship Id="rId338" Type="http://schemas.openxmlformats.org/officeDocument/2006/relationships/hyperlink" Target="http://www.ncbi.nlm.nih.gov/pubmed/18680495" TargetMode="External"/><Relationship Id="rId503" Type="http://schemas.openxmlformats.org/officeDocument/2006/relationships/hyperlink" Target="http://www.ncbi.nlm.nih.gov/pubmed/15109501" TargetMode="External"/><Relationship Id="rId545" Type="http://schemas.openxmlformats.org/officeDocument/2006/relationships/hyperlink" Target="http://www.ncbi.nlm.nih.gov/pubmed/12405366" TargetMode="External"/><Relationship Id="rId587" Type="http://schemas.openxmlformats.org/officeDocument/2006/relationships/hyperlink" Target="http://www.ncbi.nlm.nih.gov/pubmed/20360183" TargetMode="External"/><Relationship Id="rId710" Type="http://schemas.openxmlformats.org/officeDocument/2006/relationships/hyperlink" Target="http://www.ncbi.nlm.nih.gov/pubmed/15939004" TargetMode="External"/><Relationship Id="rId752" Type="http://schemas.openxmlformats.org/officeDocument/2006/relationships/hyperlink" Target="http://www.ncbi.nlm.nih.gov/pubmed/20194915" TargetMode="External"/><Relationship Id="rId808" Type="http://schemas.openxmlformats.org/officeDocument/2006/relationships/hyperlink" Target="http://www.ncbi.nlm.nih.gov/pubmed/2949196" TargetMode="External"/><Relationship Id="rId8" Type="http://schemas.openxmlformats.org/officeDocument/2006/relationships/endnotes" Target="endnotes.xml"/><Relationship Id="rId142" Type="http://schemas.openxmlformats.org/officeDocument/2006/relationships/hyperlink" Target="http://www.effectivehealthcare.ahrq.gov/ehc/products/165/755/CER29-GERD_20110926.pdf" TargetMode="External"/><Relationship Id="rId184" Type="http://schemas.openxmlformats.org/officeDocument/2006/relationships/hyperlink" Target="http://www.accessdata.fda.gov/drugsatfda_docs/label/2008/019908s027lbl.pdf" TargetMode="External"/><Relationship Id="rId391" Type="http://schemas.openxmlformats.org/officeDocument/2006/relationships/hyperlink" Target="http://www.ncbi.nlm.nih.gov/books/NBK2631/" TargetMode="External"/><Relationship Id="rId405" Type="http://schemas.openxmlformats.org/officeDocument/2006/relationships/hyperlink" Target="http://www.ncbi.nlm.nih.gov/pubmed/16634726" TargetMode="External"/><Relationship Id="rId447" Type="http://schemas.openxmlformats.org/officeDocument/2006/relationships/hyperlink" Target="http://www.ncbi.nlm.nih.gov/pubmed/16202527" TargetMode="External"/><Relationship Id="rId612" Type="http://schemas.openxmlformats.org/officeDocument/2006/relationships/hyperlink" Target="http://www.ncbi.nlm.nih.gov/pubmed/20091647" TargetMode="External"/><Relationship Id="rId794" Type="http://schemas.openxmlformats.org/officeDocument/2006/relationships/hyperlink" Target="http://www.ncbi.nlm.nih.gov/pubmed/11444718" TargetMode="External"/><Relationship Id="rId251" Type="http://schemas.openxmlformats.org/officeDocument/2006/relationships/hyperlink" Target="http://www.ncbi.nlm.nih.gov/pubmed/15179966" TargetMode="External"/><Relationship Id="rId489" Type="http://schemas.openxmlformats.org/officeDocument/2006/relationships/hyperlink" Target="http://www.ncbi.nlm.nih.gov/pubmed/18704983" TargetMode="External"/><Relationship Id="rId654" Type="http://schemas.openxmlformats.org/officeDocument/2006/relationships/hyperlink" Target="http://www.ncbi.nlm.nih.gov/pubmed/7654161" TargetMode="External"/><Relationship Id="rId696" Type="http://schemas.openxmlformats.org/officeDocument/2006/relationships/hyperlink" Target="http://www.ncbi.nlm.nih.gov/pubmed/23633371" TargetMode="External"/><Relationship Id="rId861" Type="http://schemas.openxmlformats.org/officeDocument/2006/relationships/hyperlink" Target="http://www.ncbi.nlm.nih.gov/pubmed/16712626" TargetMode="External"/><Relationship Id="rId46" Type="http://schemas.openxmlformats.org/officeDocument/2006/relationships/hyperlink" Target="http://oas.samhsa.gov/2k11/DAWN071/WEB_DAWN_071_HTML.pdf" TargetMode="External"/><Relationship Id="rId293" Type="http://schemas.openxmlformats.org/officeDocument/2006/relationships/hyperlink" Target="http://www.ncbi.nlm.nih.gov/pubmed/14716650" TargetMode="External"/><Relationship Id="rId307" Type="http://schemas.openxmlformats.org/officeDocument/2006/relationships/hyperlink" Target="http://www.ncbi.nlm.nih.gov/pubmed/17619935" TargetMode="External"/><Relationship Id="rId349" Type="http://schemas.openxmlformats.org/officeDocument/2006/relationships/hyperlink" Target="http://www.ncbi.nlm.nih.gov/pubmed/18310005" TargetMode="External"/><Relationship Id="rId514" Type="http://schemas.openxmlformats.org/officeDocument/2006/relationships/hyperlink" Target="http://www.ncbi.nlm.nih.gov/pubmed/12804428" TargetMode="External"/><Relationship Id="rId556" Type="http://schemas.openxmlformats.org/officeDocument/2006/relationships/hyperlink" Target="http://www.ncbi.nlm.nih.gov/pubmed/20373359" TargetMode="External"/><Relationship Id="rId721" Type="http://schemas.openxmlformats.org/officeDocument/2006/relationships/hyperlink" Target="http://www.ncbi.nlm.nih.gov/pubmed/11214126" TargetMode="External"/><Relationship Id="rId763" Type="http://schemas.openxmlformats.org/officeDocument/2006/relationships/hyperlink" Target="http://www.ncbi.nlm.nih.gov/pubmed/14520051" TargetMode="External"/><Relationship Id="rId88" Type="http://schemas.openxmlformats.org/officeDocument/2006/relationships/hyperlink" Target="http://www.fda.gov/AdvisoryCommittees/Calendar/ucm332857.htm" TargetMode="External"/><Relationship Id="rId111" Type="http://schemas.openxmlformats.org/officeDocument/2006/relationships/hyperlink" Target="file:///E:\AppData\Local\Microsoft\Windows\Temporary%20Internet%20Files\Content.Outlook\AppData\Local\Microsoft\Windows\Temporary%20Internet%20Files\Content.Outlook\50QE161U\stress.htm" TargetMode="External"/><Relationship Id="rId153" Type="http://schemas.openxmlformats.org/officeDocument/2006/relationships/hyperlink" Target="http://professional.medtronic.com/products/restoreadvanced-spinal-cord-neurostimulator/" TargetMode="External"/><Relationship Id="rId195" Type="http://schemas.openxmlformats.org/officeDocument/2006/relationships/hyperlink" Target="http://www.ncbi.nlm.nih.gov/pubmed/17100029" TargetMode="External"/><Relationship Id="rId209" Type="http://schemas.openxmlformats.org/officeDocument/2006/relationships/hyperlink" Target="http://www.ncbi.nlm.nih.gov/pubmed/22376048" TargetMode="External"/><Relationship Id="rId360" Type="http://schemas.openxmlformats.org/officeDocument/2006/relationships/hyperlink" Target="http://www.ncbi.nlm.nih.gov/pubmed/11441390" TargetMode="External"/><Relationship Id="rId416" Type="http://schemas.openxmlformats.org/officeDocument/2006/relationships/hyperlink" Target="http://www.ncbi.nlm.nih.gov/pubmed/3329967" TargetMode="External"/><Relationship Id="rId598" Type="http://schemas.openxmlformats.org/officeDocument/2006/relationships/hyperlink" Target="http://www.ncbi.nlm.nih.gov/pubmed/17112189" TargetMode="External"/><Relationship Id="rId819" Type="http://schemas.openxmlformats.org/officeDocument/2006/relationships/hyperlink" Target="http://www.ncbi.nlm.nih.gov/pubmed/21766023" TargetMode="External"/><Relationship Id="rId220" Type="http://schemas.openxmlformats.org/officeDocument/2006/relationships/hyperlink" Target="http://www.ncbi.nlm.nih.gov/pubmed/9428901" TargetMode="External"/><Relationship Id="rId458" Type="http://schemas.openxmlformats.org/officeDocument/2006/relationships/hyperlink" Target="http://www.ncbi.nlm.nih.gov/pubmed/?term=Guzman+J%2C+Esmail+R%2C+Karjalainen+K.+et+al.+Multidisciplinary+Rehabilitation+for+Chronic+Low+Back+Pain%3A+Systematic+Review.+BMJ+2001%3B322%3A1511-1516." TargetMode="External"/><Relationship Id="rId623" Type="http://schemas.openxmlformats.org/officeDocument/2006/relationships/hyperlink" Target="http://www.ncbi.nlm.nih.gov/pubmed/15016394" TargetMode="External"/><Relationship Id="rId665" Type="http://schemas.openxmlformats.org/officeDocument/2006/relationships/hyperlink" Target="http://www.ncbi.nlm.nih.gov/pubmed/14996238" TargetMode="External"/><Relationship Id="rId830" Type="http://schemas.openxmlformats.org/officeDocument/2006/relationships/hyperlink" Target="http://www.ncbi.nlm.nih.gov/pubmed/16937355" TargetMode="External"/><Relationship Id="rId872" Type="http://schemas.openxmlformats.org/officeDocument/2006/relationships/hyperlink" Target="http://www.ncbi.nlm.nih.gov/pubmed/?term=21668754" TargetMode="External"/><Relationship Id="rId15" Type="http://schemas.openxmlformats.org/officeDocument/2006/relationships/header" Target="header4.xml"/><Relationship Id="rId57" Type="http://schemas.openxmlformats.org/officeDocument/2006/relationships/hyperlink" Target="http://onlinelibrary.wiley.com/doi/10.1111/j.1526-4637.2006.00169.x/full" TargetMode="External"/><Relationship Id="rId262" Type="http://schemas.openxmlformats.org/officeDocument/2006/relationships/hyperlink" Target="http://www.ncbi.nlm.nih.gov/pubmed/9198257" TargetMode="External"/><Relationship Id="rId318" Type="http://schemas.openxmlformats.org/officeDocument/2006/relationships/hyperlink" Target="http://www.ncbi.nlm.nih.gov/pubmed/11687055" TargetMode="External"/><Relationship Id="rId525" Type="http://schemas.openxmlformats.org/officeDocument/2006/relationships/hyperlink" Target="http://www.ncbi.nlm.nih.gov/pubmed/17443559" TargetMode="External"/><Relationship Id="rId567" Type="http://schemas.openxmlformats.org/officeDocument/2006/relationships/hyperlink" Target="http://www.ncbi.nlm.nih.gov/pubmed/20456294" TargetMode="External"/><Relationship Id="rId732" Type="http://schemas.openxmlformats.org/officeDocument/2006/relationships/hyperlink" Target="http://www.ncbi.nlm.nih.gov/pubmed/11014399" TargetMode="External"/><Relationship Id="rId99" Type="http://schemas.openxmlformats.org/officeDocument/2006/relationships/hyperlink" Target="http://apps.humana.com/tad/tad_new/issuedetail.asp?issue=635" TargetMode="External"/><Relationship Id="rId122" Type="http://schemas.openxmlformats.org/officeDocument/2006/relationships/hyperlink" Target="http://attcnetwork.org/userfiles/file/MidAmerica/Opioid-Overdose-Policy-Brief-Final6.pdf" TargetMode="External"/><Relationship Id="rId164" Type="http://schemas.openxmlformats.org/officeDocument/2006/relationships/hyperlink" Target="file:///E:\AppData\Local\Microsoft\Windows\Temporary%20Internet%20Files\Content.Outlook\AppData\Local\Microsoft\Windows\Temporary%20Internet%20Files\Content.Outlook\50QE161U\low_back.htm" TargetMode="External"/><Relationship Id="rId371" Type="http://schemas.openxmlformats.org/officeDocument/2006/relationships/hyperlink" Target="http://www.ncbi.nlm.nih.gov/pubmed/12024691" TargetMode="External"/><Relationship Id="rId774" Type="http://schemas.openxmlformats.org/officeDocument/2006/relationships/hyperlink" Target="http://www.ncbi.nlm.nih.gov/pubmed/19417589" TargetMode="External"/><Relationship Id="rId427" Type="http://schemas.openxmlformats.org/officeDocument/2006/relationships/hyperlink" Target="http://www.ncbi.nlm.nih.gov/pubmed/7907735" TargetMode="External"/><Relationship Id="rId469" Type="http://schemas.openxmlformats.org/officeDocument/2006/relationships/hyperlink" Target="http://www.ncbi.nlm.nih.gov/pubmed/20493633" TargetMode="External"/><Relationship Id="rId634" Type="http://schemas.openxmlformats.org/officeDocument/2006/relationships/hyperlink" Target="http://www.ncbi.nlm.nih.gov/pubmed/16005982" TargetMode="External"/><Relationship Id="rId676" Type="http://schemas.openxmlformats.org/officeDocument/2006/relationships/hyperlink" Target="http://www.ncbi.nlm.nih.gov/pubmed/12163198" TargetMode="External"/><Relationship Id="rId841" Type="http://schemas.openxmlformats.org/officeDocument/2006/relationships/hyperlink" Target="https://www.myuhc.com/content/myuhc/Member/Assets/Pdfs/Intrathecal%20Pump%20for%20Chronic%20Nonmalignant%20Pain.pdf" TargetMode="External"/><Relationship Id="rId883" Type="http://schemas.openxmlformats.org/officeDocument/2006/relationships/hyperlink" Target="http://www.ncbi.nlm.nih.gov/pubmed/16034978" TargetMode="External"/><Relationship Id="rId26" Type="http://schemas.openxmlformats.org/officeDocument/2006/relationships/hyperlink" Target="http://www.mbc.ca.gov/Licensees/Prescribing/Pain_Guidelines.pdf" TargetMode="External"/><Relationship Id="rId231" Type="http://schemas.openxmlformats.org/officeDocument/2006/relationships/hyperlink" Target="http://www.ncbi.nlm.nih.gov/pubmed/7841868" TargetMode="External"/><Relationship Id="rId273" Type="http://schemas.openxmlformats.org/officeDocument/2006/relationships/hyperlink" Target="http://www.ncbi.nlm.nih.gov/pubmed/16682240" TargetMode="External"/><Relationship Id="rId329" Type="http://schemas.openxmlformats.org/officeDocument/2006/relationships/hyperlink" Target="http://www.ncbi.nlm.nih.gov/pubmed/11274623" TargetMode="External"/><Relationship Id="rId480" Type="http://schemas.openxmlformats.org/officeDocument/2006/relationships/hyperlink" Target="http://www.ncbi.nlm.nih.gov/pubmed/14665792" TargetMode="External"/><Relationship Id="rId536" Type="http://schemas.openxmlformats.org/officeDocument/2006/relationships/hyperlink" Target="http://www.ncbi.nlm.nih.gov/pubmed/19553876" TargetMode="External"/><Relationship Id="rId701" Type="http://schemas.openxmlformats.org/officeDocument/2006/relationships/hyperlink" Target="http://www.ncbi.nlm.nih.gov/pubmed/11126640" TargetMode="External"/><Relationship Id="rId68" Type="http://schemas.openxmlformats.org/officeDocument/2006/relationships/hyperlink" Target="http://www.fda.gov/Drugs/DrugSafety/ucm368902.htm" TargetMode="External"/><Relationship Id="rId133" Type="http://schemas.openxmlformats.org/officeDocument/2006/relationships/hyperlink" Target="http://dailymed.nlm.nih.gov/dailymed/drugInfo.cfm?id=17916" TargetMode="External"/><Relationship Id="rId175" Type="http://schemas.openxmlformats.org/officeDocument/2006/relationships/hyperlink" Target="http://www.fda.gov/drugs/drugsafety/postmarketdrugsafetyinformationforpatientsandproviders/ucm111085.htm" TargetMode="External"/><Relationship Id="rId340" Type="http://schemas.openxmlformats.org/officeDocument/2006/relationships/hyperlink" Target="http://www.ncbi.nlm.nih.gov/pubmed/20439055" TargetMode="External"/><Relationship Id="rId578" Type="http://schemas.openxmlformats.org/officeDocument/2006/relationships/hyperlink" Target="http://www.ncbi.nlm.nih.gov/pubmed/16849624" TargetMode="External"/><Relationship Id="rId743" Type="http://schemas.openxmlformats.org/officeDocument/2006/relationships/hyperlink" Target="http://www.ncbi.nlm.nih.gov/pubmed/1736340" TargetMode="External"/><Relationship Id="rId785" Type="http://schemas.openxmlformats.org/officeDocument/2006/relationships/hyperlink" Target="http://www.ncbi.nlm.nih.gov/pubmed/16426449" TargetMode="External"/><Relationship Id="rId200" Type="http://schemas.openxmlformats.org/officeDocument/2006/relationships/hyperlink" Target="http://www.ncbi.nlm.nih.gov/pubmed/18298698" TargetMode="External"/><Relationship Id="rId382" Type="http://schemas.openxmlformats.org/officeDocument/2006/relationships/hyperlink" Target="http://www.ncbi.nlm.nih.gov/pubmed/20042705" TargetMode="External"/><Relationship Id="rId438" Type="http://schemas.openxmlformats.org/officeDocument/2006/relationships/hyperlink" Target="http://www.ncbi.nlm.nih.gov/pubmed/16041194" TargetMode="External"/><Relationship Id="rId603" Type="http://schemas.openxmlformats.org/officeDocument/2006/relationships/hyperlink" Target="http://www.ncbi.nlm.nih.gov/pubmed/15147585" TargetMode="External"/><Relationship Id="rId645" Type="http://schemas.openxmlformats.org/officeDocument/2006/relationships/hyperlink" Target="http://www.ncbi.nlm.nih.gov/pubmed/11783837" TargetMode="External"/><Relationship Id="rId687" Type="http://schemas.openxmlformats.org/officeDocument/2006/relationships/hyperlink" Target="http://www.ncbi.nlm.nih.gov/pubmed/18983627" TargetMode="External"/><Relationship Id="rId810" Type="http://schemas.openxmlformats.org/officeDocument/2006/relationships/hyperlink" Target="http://www.ncbi.nlm.nih.gov/pubmed/16298066" TargetMode="External"/><Relationship Id="rId852" Type="http://schemas.openxmlformats.org/officeDocument/2006/relationships/hyperlink" Target="http://www.ncbi.nlm.nih.gov/pubmed/17309707" TargetMode="External"/><Relationship Id="rId908" Type="http://schemas.openxmlformats.org/officeDocument/2006/relationships/hyperlink" Target="http://www.ncbi.nlm.nih.gov/pubmed/24138333" TargetMode="External"/><Relationship Id="rId242" Type="http://schemas.openxmlformats.org/officeDocument/2006/relationships/hyperlink" Target="http://www.ncbi.nlm.nih.gov/pubmed/14609970" TargetMode="External"/><Relationship Id="rId284" Type="http://schemas.openxmlformats.org/officeDocument/2006/relationships/hyperlink" Target="http://www.ncbi.nlm.nih.gov/pubmed/?term=Borsook%2C+D.%2C+et+al.+Neuroimaging+revolutionizes+therapeutic+approaches+to+chronic+pain.+Molecular+Pain.+2000%3B+Volume+3%2C+Number+25.http://www.ncbi.nlm.nih.gov/pubmed/?term=Borsook%2C+D.%2C+et+al.+Neuroimaging+revolutionizes+therapeutic+approaches+to+chronic+pain.+Molecular+Pain.+2000%3B+Volume+3%2C+Number+25." TargetMode="External"/><Relationship Id="rId491" Type="http://schemas.openxmlformats.org/officeDocument/2006/relationships/hyperlink" Target="http://www.ncbi.nlm.nih.gov/pubmed/15121040" TargetMode="External"/><Relationship Id="rId505" Type="http://schemas.openxmlformats.org/officeDocument/2006/relationships/hyperlink" Target="http://www.ncbi.nlm.nih.gov/pubmed/21104484" TargetMode="External"/><Relationship Id="rId712" Type="http://schemas.openxmlformats.org/officeDocument/2006/relationships/hyperlink" Target="http://www.ncbi.nlm.nih.gov/pubmed/8267190" TargetMode="External"/><Relationship Id="rId894" Type="http://schemas.openxmlformats.org/officeDocument/2006/relationships/hyperlink" Target="http://www.ncbi.nlm.nih.gov/pubmed/17562735" TargetMode="External"/><Relationship Id="rId37" Type="http://schemas.openxmlformats.org/officeDocument/2006/relationships/hyperlink" Target="http://www.fda.gov/ohrms/dockets/ac/03/briefing/4012B1_03_Appd%201-Professional%20Labeling.pdf" TargetMode="External"/><Relationship Id="rId79" Type="http://schemas.openxmlformats.org/officeDocument/2006/relationships/hyperlink" Target="file:///E:\AppData\Local\Microsoft\Windows\Temporary%20Internet%20Files\Content.Outlook\AppData\Local\Microsoft\Windows\Temporary%20Internet%20Files\Content.Outlook\50QE161U\knee.htm" TargetMode="External"/><Relationship Id="rId102" Type="http://schemas.openxmlformats.org/officeDocument/2006/relationships/hyperlink" Target="http://www.drugs.com/pro/kadian.html" TargetMode="External"/><Relationship Id="rId144" Type="http://schemas.openxmlformats.org/officeDocument/2006/relationships/hyperlink" Target="http://www.dir.ca.gov/dwc/mtus/MTUS_RegulationsGuidelines.html" TargetMode="External"/><Relationship Id="rId547" Type="http://schemas.openxmlformats.org/officeDocument/2006/relationships/hyperlink" Target="http://www.ncbi.nlm.nih.gov/pubmed/21471093" TargetMode="External"/><Relationship Id="rId589" Type="http://schemas.openxmlformats.org/officeDocument/2006/relationships/hyperlink" Target="http://www.ncbi.nlm.nih.gov/pubmed/16886022" TargetMode="External"/><Relationship Id="rId754" Type="http://schemas.openxmlformats.org/officeDocument/2006/relationships/hyperlink" Target="http://www.ncbi.nlm.nih.gov/pubmed/17187468" TargetMode="External"/><Relationship Id="rId796" Type="http://schemas.openxmlformats.org/officeDocument/2006/relationships/hyperlink" Target="http://www.ncbi.nlm.nih.gov/pubmed/8628585" TargetMode="External"/><Relationship Id="rId90" Type="http://schemas.openxmlformats.org/officeDocument/2006/relationships/hyperlink" Target="http://www.painphysicianjournal.com/2009/march/2009;12;345-360.pdf" TargetMode="External"/><Relationship Id="rId186" Type="http://schemas.openxmlformats.org/officeDocument/2006/relationships/hyperlink" Target="http://www.fda.gov/Drugs/DrugSafety/ucm334041.htm" TargetMode="External"/><Relationship Id="rId351" Type="http://schemas.openxmlformats.org/officeDocument/2006/relationships/hyperlink" Target="http://www.ncbi.nlm.nih.gov/pubmed/22923151" TargetMode="External"/><Relationship Id="rId393" Type="http://schemas.openxmlformats.org/officeDocument/2006/relationships/hyperlink" Target="http://www.ncbi.nlm.nih.gov/pubmed/10678603" TargetMode="External"/><Relationship Id="rId407" Type="http://schemas.openxmlformats.org/officeDocument/2006/relationships/hyperlink" Target="http://www.ncbi.nlm.nih.gov/pubmed/8370861" TargetMode="External"/><Relationship Id="rId449" Type="http://schemas.openxmlformats.org/officeDocument/2006/relationships/hyperlink" Target="http://www.ncbi.nlm.nih.gov/pubmed/15509460" TargetMode="External"/><Relationship Id="rId614" Type="http://schemas.openxmlformats.org/officeDocument/2006/relationships/hyperlink" Target="http://www.ncbi.nlm.nih.gov/pubmed/24574238" TargetMode="External"/><Relationship Id="rId656" Type="http://schemas.openxmlformats.org/officeDocument/2006/relationships/hyperlink" Target="http://www.nice.org.uk/nicemedia/pdf/PainFAD1.pdf" TargetMode="External"/><Relationship Id="rId821" Type="http://schemas.openxmlformats.org/officeDocument/2006/relationships/hyperlink" Target="http://www.ncbi.nlm.nih.gov/pubmed/23537462" TargetMode="External"/><Relationship Id="rId863" Type="http://schemas.openxmlformats.org/officeDocument/2006/relationships/hyperlink" Target="http://www.ncbi.nlm.nih.gov/pubmed/14736355" TargetMode="External"/><Relationship Id="rId211" Type="http://schemas.openxmlformats.org/officeDocument/2006/relationships/hyperlink" Target="http://www.ncbi.nlm.nih.gov/pubmed/18346583" TargetMode="External"/><Relationship Id="rId253" Type="http://schemas.openxmlformats.org/officeDocument/2006/relationships/hyperlink" Target="http://www.ncbi.nlm.nih.gov/pubmed/22873183" TargetMode="External"/><Relationship Id="rId295" Type="http://schemas.openxmlformats.org/officeDocument/2006/relationships/hyperlink" Target="http://www.ncbi.nlm.nih.gov/pubmed/15266461" TargetMode="External"/><Relationship Id="rId309" Type="http://schemas.openxmlformats.org/officeDocument/2006/relationships/hyperlink" Target="http://www.ncbi.nlm.nih.gov/pubmed/2932330" TargetMode="External"/><Relationship Id="rId460" Type="http://schemas.openxmlformats.org/officeDocument/2006/relationships/hyperlink" Target="http://www.ncbi.nlm.nih.gov/pubmed/17285783" TargetMode="External"/><Relationship Id="rId516" Type="http://schemas.openxmlformats.org/officeDocument/2006/relationships/hyperlink" Target="http://www.ncbi.nlm.nih.gov/pubmed/6459557" TargetMode="External"/><Relationship Id="rId698" Type="http://schemas.openxmlformats.org/officeDocument/2006/relationships/hyperlink" Target="http://www.ncbi.nlm.nih.gov/pubmed/18638685" TargetMode="External"/><Relationship Id="rId48" Type="http://schemas.openxmlformats.org/officeDocument/2006/relationships/hyperlink" Target="http://www.dir.ca.gov/dwc/mtus/MTUS_RegulationsGuidelines.html" TargetMode="External"/><Relationship Id="rId113" Type="http://schemas.openxmlformats.org/officeDocument/2006/relationships/hyperlink" Target="file:///E:\AppData\Local\Microsoft\Windows\Temporary%20Internet%20Files\Content.Outlook\AppData\Local\Microsoft\Windows\Temporary%20Internet%20Files\Content.Outlook\50QE161U\low_back.htm" TargetMode="External"/><Relationship Id="rId320" Type="http://schemas.openxmlformats.org/officeDocument/2006/relationships/hyperlink" Target="http://www.cdc.gov/mmwr/preview/mmwrhtml/mm6101a3.htm?s_cid=mm6101a3_x" TargetMode="External"/><Relationship Id="rId558" Type="http://schemas.openxmlformats.org/officeDocument/2006/relationships/hyperlink" Target="http://www.ncbi.nlm.nih.gov/pubmed/21812908" TargetMode="External"/><Relationship Id="rId723" Type="http://schemas.openxmlformats.org/officeDocument/2006/relationships/hyperlink" Target="http://www.ncbi.nlm.nih.gov/pubmed/11838651" TargetMode="External"/><Relationship Id="rId765" Type="http://schemas.openxmlformats.org/officeDocument/2006/relationships/hyperlink" Target="http://www.ncbi.nlm.nih.gov/pubmed/11289093" TargetMode="External"/><Relationship Id="rId155" Type="http://schemas.openxmlformats.org/officeDocument/2006/relationships/hyperlink" Target="http://www.fda.gov/downloads/Drugs/InformationOnDrugs/UCM216279.pdf" TargetMode="External"/><Relationship Id="rId197" Type="http://schemas.openxmlformats.org/officeDocument/2006/relationships/hyperlink" Target="file:///E:\AppData\Local\Microsoft\Windows\Temporary%20Internet%20Files\Content.Outlook\AppData\Local\Microsoft\Windows\Temporary%20Internet%20Files\Content.Outlook\50QE161U\Pain_files\aetna_estim.htm" TargetMode="External"/><Relationship Id="rId362" Type="http://schemas.openxmlformats.org/officeDocument/2006/relationships/hyperlink" Target="http://www.ncbi.nlm.nih.gov/pubmed/19445652" TargetMode="External"/><Relationship Id="rId418" Type="http://schemas.openxmlformats.org/officeDocument/2006/relationships/hyperlink" Target="http://www.ncbi.nlm.nih.gov/pubmed/9583763" TargetMode="External"/><Relationship Id="rId625" Type="http://schemas.openxmlformats.org/officeDocument/2006/relationships/hyperlink" Target="http://www.ncbi.nlm.nih.gov/pubmed/9121808" TargetMode="External"/><Relationship Id="rId832" Type="http://schemas.openxmlformats.org/officeDocument/2006/relationships/hyperlink" Target="http://www.ncbi.nlm.nih.gov/pubmed/16720668" TargetMode="External"/><Relationship Id="rId222" Type="http://schemas.openxmlformats.org/officeDocument/2006/relationships/hyperlink" Target="http://www.ncbi.nlm.nih.gov/pubmed/12008165" TargetMode="External"/><Relationship Id="rId264" Type="http://schemas.openxmlformats.org/officeDocument/2006/relationships/hyperlink" Target="http://www.ncbi.nlm.nih.gov/pubmed/11013502" TargetMode="External"/><Relationship Id="rId471" Type="http://schemas.openxmlformats.org/officeDocument/2006/relationships/hyperlink" Target="http://www.ncbi.nlm.nih.gov/pubmed/22965960" TargetMode="External"/><Relationship Id="rId667" Type="http://schemas.openxmlformats.org/officeDocument/2006/relationships/hyperlink" Target="http://www.ncbi.nlm.nih.gov/pubmed/19557864" TargetMode="External"/><Relationship Id="rId874" Type="http://schemas.openxmlformats.org/officeDocument/2006/relationships/hyperlink" Target="http://www.ncbi.nlm.nih.gov/pubmed/24438771" TargetMode="External"/><Relationship Id="rId17" Type="http://schemas.openxmlformats.org/officeDocument/2006/relationships/header" Target="header6.xml"/><Relationship Id="rId59" Type="http://schemas.openxmlformats.org/officeDocument/2006/relationships/hyperlink" Target="file:///E:\AppData\Local\Microsoft\Windows\Temporary%20Internet%20Files\Content.Outlook\AppData\Local\Microsoft\Windows\Temporary%20Internet%20Files\Content.Outlook\50QE161U\low_back.htm" TargetMode="External"/><Relationship Id="rId124" Type="http://schemas.openxmlformats.org/officeDocument/2006/relationships/hyperlink" Target="http://www.fda.gov/NewsEvents/Newsroom/PressAnnouncements/ucm431648.htm" TargetMode="External"/><Relationship Id="rId527" Type="http://schemas.openxmlformats.org/officeDocument/2006/relationships/hyperlink" Target="http://www.ncbi.nlm.nih.gov/pubmed/17164107" TargetMode="External"/><Relationship Id="rId569" Type="http://schemas.openxmlformats.org/officeDocument/2006/relationships/hyperlink" Target="http://www.ncbi.nlm.nih.gov/pubmed/15286056" TargetMode="External"/><Relationship Id="rId734" Type="http://schemas.openxmlformats.org/officeDocument/2006/relationships/hyperlink" Target="http://www.ncbi.nlm.nih.gov/pubmed/15167396" TargetMode="External"/><Relationship Id="rId776" Type="http://schemas.openxmlformats.org/officeDocument/2006/relationships/hyperlink" Target="http://www.ncbi.nlm.nih.gov/pubmed/18679668" TargetMode="External"/><Relationship Id="rId70" Type="http://schemas.openxmlformats.org/officeDocument/2006/relationships/hyperlink" Target="file:///E:\AppData\Local\Microsoft\Windows\Temporary%20Internet%20Files\Content.Outlook\AppData\Local\Microsoft\Windows\Temporary%20Internet%20Files\Content.Outlook\50QE161U\neck.htm" TargetMode="External"/><Relationship Id="rId166" Type="http://schemas.openxmlformats.org/officeDocument/2006/relationships/hyperlink" Target="http://www.accessdata.fda.gov/drugsatfda_docs/label/2007/021717s002lbl.pdf" TargetMode="External"/><Relationship Id="rId331" Type="http://schemas.openxmlformats.org/officeDocument/2006/relationships/hyperlink" Target="http://www.ncbi.nlm.nih.gov/pubmed/16856115" TargetMode="External"/><Relationship Id="rId373" Type="http://schemas.openxmlformats.org/officeDocument/2006/relationships/hyperlink" Target="http://www.ncbi.nlm.nih.gov/pubmed/18725868" TargetMode="External"/><Relationship Id="rId429" Type="http://schemas.openxmlformats.org/officeDocument/2006/relationships/hyperlink" Target="http://www.ncbi.nlm.nih.gov/pubmed/15156778" TargetMode="External"/><Relationship Id="rId580" Type="http://schemas.openxmlformats.org/officeDocument/2006/relationships/hyperlink" Target="http://www.ncbi.nlm.nih.gov/pubmed/16599651" TargetMode="External"/><Relationship Id="rId636" Type="http://schemas.openxmlformats.org/officeDocument/2006/relationships/hyperlink" Target="http://www.ncbi.nlm.nih.gov/pubmed/25005656" TargetMode="External"/><Relationship Id="rId801" Type="http://schemas.openxmlformats.org/officeDocument/2006/relationships/hyperlink" Target="http://www.ncbi.nlm.nih.gov/pubmed/14624092" TargetMode="External"/><Relationship Id="rId1" Type="http://schemas.openxmlformats.org/officeDocument/2006/relationships/customXml" Target="../customXml/item1.xml"/><Relationship Id="rId233" Type="http://schemas.openxmlformats.org/officeDocument/2006/relationships/hyperlink" Target="http://www.ncbi.nlm.nih.gov/pubmed/14969574" TargetMode="External"/><Relationship Id="rId440" Type="http://schemas.openxmlformats.org/officeDocument/2006/relationships/hyperlink" Target="http://www.rcplondon.ac.uk/sites/default/files/documents/complex-regional-pain-full-guideline.pdf" TargetMode="External"/><Relationship Id="rId678" Type="http://schemas.openxmlformats.org/officeDocument/2006/relationships/hyperlink" Target="http://www.ncbi.nlm.nih.gov/pubmed/11309212" TargetMode="External"/><Relationship Id="rId843" Type="http://schemas.openxmlformats.org/officeDocument/2006/relationships/hyperlink" Target="http://www.ncbi.nlm.nih.gov/pubmed/20807353" TargetMode="External"/><Relationship Id="rId885" Type="http://schemas.openxmlformats.org/officeDocument/2006/relationships/hyperlink" Target="http://www.ncbi.nlm.nih.gov/pubmedhealth/PMH0060479/" TargetMode="External"/><Relationship Id="rId28" Type="http://schemas.openxmlformats.org/officeDocument/2006/relationships/hyperlink" Target="http://www.fda.gov/downloads/AdvisoryCommittees/CommitteesMeetingMaterials/Drugs/DrugSafetyandRiskManagementAdvisoryCommittee/UCM164898.pdf" TargetMode="External"/><Relationship Id="rId275" Type="http://schemas.openxmlformats.org/officeDocument/2006/relationships/hyperlink" Target="http://www.ncbi.nlm.nih.gov/pubmed/17142209" TargetMode="External"/><Relationship Id="rId300" Type="http://schemas.openxmlformats.org/officeDocument/2006/relationships/hyperlink" Target="http://www.ncbi.nlm.nih.gov/pubmed/10353502" TargetMode="External"/><Relationship Id="rId482" Type="http://schemas.openxmlformats.org/officeDocument/2006/relationships/hyperlink" Target="http://www.ncbi.nlm.nih.gov/pubmed/21810699" TargetMode="External"/><Relationship Id="rId538" Type="http://schemas.openxmlformats.org/officeDocument/2006/relationships/hyperlink" Target="http://www.ncbi.nlm.nih.gov/pubmed/21941221" TargetMode="External"/><Relationship Id="rId703" Type="http://schemas.openxmlformats.org/officeDocument/2006/relationships/hyperlink" Target="http://www.ncbi.nlm.nih.gov/pubmed/19269531" TargetMode="External"/><Relationship Id="rId745" Type="http://schemas.openxmlformats.org/officeDocument/2006/relationships/hyperlink" Target="http://www.ncbi.nlm.nih.gov/pubmed/14986566" TargetMode="External"/><Relationship Id="rId910" Type="http://schemas.openxmlformats.org/officeDocument/2006/relationships/hyperlink" Target="http://www.ncbi.nlm.nih.gov/pubmed/18810307" TargetMode="External"/><Relationship Id="rId81" Type="http://schemas.openxmlformats.org/officeDocument/2006/relationships/hyperlink" Target="file:///E:\AppData\Local\Microsoft\Windows\Temporary%20Internet%20Files\Content.Outlook\AppData\Local\Microsoft\Windows\Temporary%20Internet%20Files\Content.Outlook\50QE161U\knee.htm" TargetMode="External"/><Relationship Id="rId135" Type="http://schemas.openxmlformats.org/officeDocument/2006/relationships/hyperlink" Target="http://www.fda.gov/NewsEvents/Newsroom/PressAnnouncements/ucm207480.htm" TargetMode="External"/><Relationship Id="rId177" Type="http://schemas.openxmlformats.org/officeDocument/2006/relationships/hyperlink" Target="http://www.fda.gov/Safety/MedWatch/SafetyInformation/SafetyAlertsforHumanMedicalProducts/ucm193047.htm" TargetMode="External"/><Relationship Id="rId342" Type="http://schemas.openxmlformats.org/officeDocument/2006/relationships/hyperlink" Target="http://www.clinicalpharmacology.com/" TargetMode="External"/><Relationship Id="rId384" Type="http://schemas.openxmlformats.org/officeDocument/2006/relationships/hyperlink" Target="http://www.ncbi.nlm.nih.gov/pubmed/14623723" TargetMode="External"/><Relationship Id="rId591" Type="http://schemas.openxmlformats.org/officeDocument/2006/relationships/hyperlink" Target="http://www.ncbi.nlm.nih.gov/pubmed/15529370" TargetMode="External"/><Relationship Id="rId605" Type="http://schemas.openxmlformats.org/officeDocument/2006/relationships/hyperlink" Target="http://www.ncbi.nlm.nih.gov/pubmed/20178131" TargetMode="External"/><Relationship Id="rId787" Type="http://schemas.openxmlformats.org/officeDocument/2006/relationships/hyperlink" Target="http://www.ncbi.nlm.nih.gov/pubmed/20625025" TargetMode="External"/><Relationship Id="rId812" Type="http://schemas.openxmlformats.org/officeDocument/2006/relationships/hyperlink" Target="http://www.ncbi.nlm.nih.gov/pubmed/16386058" TargetMode="External"/><Relationship Id="rId202" Type="http://schemas.openxmlformats.org/officeDocument/2006/relationships/hyperlink" Target="http://www.ncbi.nlm.nih.gov/pubmed/22048225" TargetMode="External"/><Relationship Id="rId244" Type="http://schemas.openxmlformats.org/officeDocument/2006/relationships/hyperlink" Target="http://www.ncbi.nlm.nih.gov/pubmed/18799425" TargetMode="External"/><Relationship Id="rId647" Type="http://schemas.openxmlformats.org/officeDocument/2006/relationships/hyperlink" Target="http://www.ncbi.nlm.nih.gov/pubmed/16937352" TargetMode="External"/><Relationship Id="rId689" Type="http://schemas.openxmlformats.org/officeDocument/2006/relationships/hyperlink" Target="http://www.ncbi.nlm.nih.gov/pubmed/15082983" TargetMode="External"/><Relationship Id="rId854" Type="http://schemas.openxmlformats.org/officeDocument/2006/relationships/hyperlink" Target="http://www.ncbi.nlm.nih.gov/pubmed/8105263" TargetMode="External"/><Relationship Id="rId896" Type="http://schemas.openxmlformats.org/officeDocument/2006/relationships/hyperlink" Target="http://www.rand.org/content/dam/rand/pubs/working_papers/2011/RAND_WR828.pdf" TargetMode="External"/><Relationship Id="rId39" Type="http://schemas.openxmlformats.org/officeDocument/2006/relationships/hyperlink" Target="file:///E:\AppData\Local\Microsoft\Windows\Temporary%20Internet%20Files\Content.Outlook\AppData\Local\Microsoft\Windows\Temporary%20Internet%20Files\Content.Outlook\50QE161U\low_back.htm" TargetMode="External"/><Relationship Id="rId286" Type="http://schemas.openxmlformats.org/officeDocument/2006/relationships/hyperlink" Target="http://www.ncbi.nlm.nih.gov/pubmed/16850041" TargetMode="External"/><Relationship Id="rId451" Type="http://schemas.openxmlformats.org/officeDocument/2006/relationships/hyperlink" Target="http://www.ncbi.nlm.nih.gov/pubmed/18801190" TargetMode="External"/><Relationship Id="rId493" Type="http://schemas.openxmlformats.org/officeDocument/2006/relationships/hyperlink" Target="http://www.ncbi.nlm.nih.gov/pubmed/19300041" TargetMode="External"/><Relationship Id="rId507" Type="http://schemas.openxmlformats.org/officeDocument/2006/relationships/hyperlink" Target="http://www.ncbi.nlm.nih.gov/pubmed/15883235" TargetMode="External"/><Relationship Id="rId549" Type="http://schemas.openxmlformats.org/officeDocument/2006/relationships/hyperlink" Target="http://www.ncbi.nlm.nih.gov/pubmed/17292766" TargetMode="External"/><Relationship Id="rId714" Type="http://schemas.openxmlformats.org/officeDocument/2006/relationships/hyperlink" Target="http://www.ncbi.nlm.nih.gov/pubmed/12622352" TargetMode="External"/><Relationship Id="rId756" Type="http://schemas.openxmlformats.org/officeDocument/2006/relationships/hyperlink" Target="http://www.ncbi.nlm.nih.gov/pubmed/21555710" TargetMode="External"/><Relationship Id="rId50" Type="http://schemas.openxmlformats.org/officeDocument/2006/relationships/hyperlink" Target="http://www.odg-twc.com/odgtwc/pain.htm" TargetMode="External"/><Relationship Id="rId104" Type="http://schemas.openxmlformats.org/officeDocument/2006/relationships/hyperlink" Target="file:///E:\AppData\Local\Microsoft\Windows\Temporary%20Internet%20Files\Content.Outlook\AppData\Local\Microsoft\Windows\Temporary%20Internet%20Files\Content.Outlook\50QE161U\low_back.htm" TargetMode="External"/><Relationship Id="rId146" Type="http://schemas.openxmlformats.org/officeDocument/2006/relationships/hyperlink" Target="http://www.fda.gov/cder/foi/appletter/2008/021745s000ltr.pdf" TargetMode="External"/><Relationship Id="rId188" Type="http://schemas.openxmlformats.org/officeDocument/2006/relationships/hyperlink" Target="http://dailymed.nlm.nih.gov/dailymed/lookup.cfm?setid=dff10e66-a577-451d-ba75-1889458ca833" TargetMode="External"/><Relationship Id="rId311" Type="http://schemas.openxmlformats.org/officeDocument/2006/relationships/hyperlink" Target="http://www.ncbi.nlm.nih.gov/pubmed/17489218" TargetMode="External"/><Relationship Id="rId353" Type="http://schemas.openxmlformats.org/officeDocument/2006/relationships/hyperlink" Target="http://www.ncbi.nlm.nih.gov/pubmed/15367304" TargetMode="External"/><Relationship Id="rId395" Type="http://schemas.openxmlformats.org/officeDocument/2006/relationships/hyperlink" Target="http://www.ncbi.nlm.nih.gov/pubmed/17199018" TargetMode="External"/><Relationship Id="rId409" Type="http://schemas.openxmlformats.org/officeDocument/2006/relationships/hyperlink" Target="http://www.ncbi.nlm.nih.gov/pubmed/17325302" TargetMode="External"/><Relationship Id="rId560" Type="http://schemas.openxmlformats.org/officeDocument/2006/relationships/hyperlink" Target="http://www.ema.europa.eu/ema/index.jsp?curl=pages/medicines/human/referrals/Ketoprofen_topical/human_referral_000238.jsp&amp;jsenabled=true" TargetMode="External"/><Relationship Id="rId798" Type="http://schemas.openxmlformats.org/officeDocument/2006/relationships/hyperlink" Target="http://www.ncbi.nlm.nih.gov/pubmed/18646078" TargetMode="External"/><Relationship Id="rId92" Type="http://schemas.openxmlformats.org/officeDocument/2006/relationships/hyperlink" Target="http://professional.medtronic.com/devices/synchromed-II-for-pain/overview/index.htm" TargetMode="External"/><Relationship Id="rId213" Type="http://schemas.openxmlformats.org/officeDocument/2006/relationships/hyperlink" Target="http://www.ncbi.nlm.nih.gov/pubmed/1675694" TargetMode="External"/><Relationship Id="rId420" Type="http://schemas.openxmlformats.org/officeDocument/2006/relationships/hyperlink" Target="http://www.ncbi.nlm.nih.gov/pubmed/17521812" TargetMode="External"/><Relationship Id="rId616" Type="http://schemas.openxmlformats.org/officeDocument/2006/relationships/hyperlink" Target="http://www.ncbi.nlm.nih.gov/pubmed/11587117" TargetMode="External"/><Relationship Id="rId658" Type="http://schemas.openxmlformats.org/officeDocument/2006/relationships/hyperlink" Target="http://www.ncbi.nlm.nih.gov/pubmed/16331769" TargetMode="External"/><Relationship Id="rId823" Type="http://schemas.openxmlformats.org/officeDocument/2006/relationships/hyperlink" Target="http://www.ncbi.nlm.nih.gov/pubmed/15046545" TargetMode="External"/><Relationship Id="rId865" Type="http://schemas.openxmlformats.org/officeDocument/2006/relationships/hyperlink" Target="http://www.guideline.gov/summary/summary.aspx?doc_id=4218" TargetMode="External"/><Relationship Id="rId255" Type="http://schemas.openxmlformats.org/officeDocument/2006/relationships/hyperlink" Target="http://www.ncbi.nlm.nih.gov/pubmed/4143913" TargetMode="External"/><Relationship Id="rId297" Type="http://schemas.openxmlformats.org/officeDocument/2006/relationships/hyperlink" Target="http://www.ncbi.nlm.nih.gov/pubmed/11434793" TargetMode="External"/><Relationship Id="rId462" Type="http://schemas.openxmlformats.org/officeDocument/2006/relationships/hyperlink" Target="http://www.ncbi.nlm.nih.gov/pubmed/11790467" TargetMode="External"/><Relationship Id="rId518" Type="http://schemas.openxmlformats.org/officeDocument/2006/relationships/hyperlink" Target="http://www.ncbi.nlm.nih.gov/pubmed/11765591" TargetMode="External"/><Relationship Id="rId725" Type="http://schemas.openxmlformats.org/officeDocument/2006/relationships/hyperlink" Target="http://www.ncbi.nlm.nih.gov/pubmed/21394458" TargetMode="External"/><Relationship Id="rId115" Type="http://schemas.openxmlformats.org/officeDocument/2006/relationships/hyperlink" Target="file:///E:\AppData\Local\Microsoft\Windows\Temporary%20Internet%20Files\Content.Outlook\AppData\Local\Microsoft\Windows\Temporary%20Internet%20Files\Content.Outlook\50QE161U\low_back.htm" TargetMode="External"/><Relationship Id="rId157" Type="http://schemas.openxmlformats.org/officeDocument/2006/relationships/hyperlink" Target="http://news.prnewswire.com/DisplayReleaseContent.aspx?ACCT=104&amp;STORY=/www/story/11-21-2008/0004930780&amp;EDATE=" TargetMode="External"/><Relationship Id="rId322" Type="http://schemas.openxmlformats.org/officeDocument/2006/relationships/hyperlink" Target="http://www.ncbi.nlm.nih.gov/pubmed/16235369" TargetMode="External"/><Relationship Id="rId364" Type="http://schemas.openxmlformats.org/officeDocument/2006/relationships/hyperlink" Target="http://www.ncbi.nlm.nih.gov/pubmed/17723075" TargetMode="External"/><Relationship Id="rId767" Type="http://schemas.openxmlformats.org/officeDocument/2006/relationships/hyperlink" Target="http://www.ncbi.nlm.nih.gov/pubmed/19783371" TargetMode="External"/><Relationship Id="rId61" Type="http://schemas.openxmlformats.org/officeDocument/2006/relationships/hyperlink" Target="file:///E:\AppData\Local\Microsoft\Windows\Temporary%20Internet%20Files\Content.Outlook\AppData\Local\Microsoft\Windows\Temporary%20Internet%20Files\Content.Outlook\50QE161U\Documents%20and%20SettingsphilMy%20DocumentsGuidelinesODG%20TWC%22%20l" TargetMode="External"/><Relationship Id="rId199" Type="http://schemas.openxmlformats.org/officeDocument/2006/relationships/hyperlink" Target="http://www.ncbi.nlm.nih.gov/pubmed/16550448" TargetMode="External"/><Relationship Id="rId571" Type="http://schemas.openxmlformats.org/officeDocument/2006/relationships/hyperlink" Target="http://www.ncbi.nlm.nih.gov/pubmed/12071495" TargetMode="External"/><Relationship Id="rId627" Type="http://schemas.openxmlformats.org/officeDocument/2006/relationships/hyperlink" Target="http://www.ncbi.nlm.nih.gov/pubmed/11057476" TargetMode="External"/><Relationship Id="rId669" Type="http://schemas.openxmlformats.org/officeDocument/2006/relationships/hyperlink" Target="http://www.ncbi.nlm.nih.gov/pubmed/23748113" TargetMode="External"/><Relationship Id="rId834" Type="http://schemas.openxmlformats.org/officeDocument/2006/relationships/hyperlink" Target="http://dailymed.nlm.nih.gov/dailymed/drugInfo.cfm?id=11221" TargetMode="External"/><Relationship Id="rId876" Type="http://schemas.openxmlformats.org/officeDocument/2006/relationships/hyperlink" Target="http://www.ncbi.nlm.nih.gov/pubmed/16207099" TargetMode="External"/><Relationship Id="rId19" Type="http://schemas.openxmlformats.org/officeDocument/2006/relationships/hyperlink" Target="http://www.cdc.gov/mmwr/preview/mmwrhtml/mm5949a1.htm?s_cid=mm5949a1_w" TargetMode="External"/><Relationship Id="rId224" Type="http://schemas.openxmlformats.org/officeDocument/2006/relationships/hyperlink" Target="http://www.ncbi.nlm.nih.gov/pubmed/15471658" TargetMode="External"/><Relationship Id="rId266" Type="http://schemas.openxmlformats.org/officeDocument/2006/relationships/hyperlink" Target="http://www.ncbi.nlm.nih.gov/pubmed/16533193" TargetMode="External"/><Relationship Id="rId431" Type="http://schemas.openxmlformats.org/officeDocument/2006/relationships/hyperlink" Target="http://www.ncbi.nlm.nih.gov/pubmed/16752090" TargetMode="External"/><Relationship Id="rId473" Type="http://schemas.openxmlformats.org/officeDocument/2006/relationships/hyperlink" Target="http://www.ncbi.nlm.nih.gov/pubmed/15979016" TargetMode="External"/><Relationship Id="rId529" Type="http://schemas.openxmlformats.org/officeDocument/2006/relationships/hyperlink" Target="http://www.ncbi.nlm.nih.gov/pubmed/20112361" TargetMode="External"/><Relationship Id="rId680" Type="http://schemas.openxmlformats.org/officeDocument/2006/relationships/hyperlink" Target="http://www.ncbi.nlm.nih.gov/pubmed/16937344" TargetMode="External"/><Relationship Id="rId736" Type="http://schemas.openxmlformats.org/officeDocument/2006/relationships/hyperlink" Target="http://www.ncbi.nlm.nih.gov/pubmed/2270960" TargetMode="External"/><Relationship Id="rId901" Type="http://schemas.openxmlformats.org/officeDocument/2006/relationships/hyperlink" Target="http://www.ncbi.nlm.nih.gov/pubmed/14516527" TargetMode="External"/><Relationship Id="rId30" Type="http://schemas.openxmlformats.org/officeDocument/2006/relationships/hyperlink" Target="http://www.fda.gov/Safety/MedWatch/SafetyInformation/SafetyAlertsforHumanMedicalProducts/ucm239955.htm" TargetMode="External"/><Relationship Id="rId126" Type="http://schemas.openxmlformats.org/officeDocument/2006/relationships/hyperlink" Target="file:///E:\AppData\Local\Microsoft\Windows\Temporary%20Internet%20Files\Content.Outlook\AppData\Local\Microsoft\Windows\Temporary%20Internet%20Files\Content.Outlook\50QE161U\low_back.htm" TargetMode="External"/><Relationship Id="rId168" Type="http://schemas.openxmlformats.org/officeDocument/2006/relationships/hyperlink" Target="file:///E:\AppData\Local\Microsoft\Windows\Temporary%20Internet%20Files\Content.Outlook\AppData\Local\Microsoft\Windows\Temporary%20Internet%20Files\Content.Outlook\50QE161U\neck.htm" TargetMode="External"/><Relationship Id="rId333" Type="http://schemas.openxmlformats.org/officeDocument/2006/relationships/hyperlink" Target="http://www.ncbi.nlm.nih.gov/pubmed/12694987" TargetMode="External"/><Relationship Id="rId540" Type="http://schemas.openxmlformats.org/officeDocument/2006/relationships/hyperlink" Target="http://www.ncbi.nlm.nih.gov/pubmed/20640538" TargetMode="External"/><Relationship Id="rId778" Type="http://schemas.openxmlformats.org/officeDocument/2006/relationships/hyperlink" Target="http://www.ncbi.nlm.nih.gov/pubmed/19604642" TargetMode="External"/><Relationship Id="rId72" Type="http://schemas.openxmlformats.org/officeDocument/2006/relationships/hyperlink" Target="http://www.aanem.org/practiceissues/recPolicy/recommended_policy_1.cfm" TargetMode="External"/><Relationship Id="rId375" Type="http://schemas.openxmlformats.org/officeDocument/2006/relationships/hyperlink" Target="http://www.ncbi.nlm.nih.gov/pubmed/16689806" TargetMode="External"/><Relationship Id="rId582" Type="http://schemas.openxmlformats.org/officeDocument/2006/relationships/hyperlink" Target="http://www.ncbi.nlm.nih.gov/pubmed/16691094" TargetMode="External"/><Relationship Id="rId638" Type="http://schemas.openxmlformats.org/officeDocument/2006/relationships/hyperlink" Target="http://www.ncbi.nlm.nih.gov/pubmed/20021601" TargetMode="External"/><Relationship Id="rId803" Type="http://schemas.openxmlformats.org/officeDocument/2006/relationships/hyperlink" Target="http://www.ncbi.nlm.nih.gov/pubmed/18851776" TargetMode="External"/><Relationship Id="rId845" Type="http://schemas.openxmlformats.org/officeDocument/2006/relationships/hyperlink" Target="http://www.ncbi.nlm.nih.gov/pubmed/17224822" TargetMode="External"/><Relationship Id="rId3" Type="http://schemas.openxmlformats.org/officeDocument/2006/relationships/styles" Target="styles.xml"/><Relationship Id="rId235" Type="http://schemas.openxmlformats.org/officeDocument/2006/relationships/hyperlink" Target="http://www.ncbi.nlm.nih.gov/pubmed/15205295" TargetMode="External"/><Relationship Id="rId277" Type="http://schemas.openxmlformats.org/officeDocument/2006/relationships/hyperlink" Target="http://www.ncbi.nlm.nih.gov/pubmed/18636234" TargetMode="External"/><Relationship Id="rId400" Type="http://schemas.openxmlformats.org/officeDocument/2006/relationships/hyperlink" Target="http://www.cdc.gov/nchs/data/hestat/poisoning/poisoning.pdf" TargetMode="External"/><Relationship Id="rId442" Type="http://schemas.openxmlformats.org/officeDocument/2006/relationships/hyperlink" Target="http://www.ncbi.nlm.nih.gov/pubmed/15547167" TargetMode="External"/><Relationship Id="rId484" Type="http://schemas.openxmlformats.org/officeDocument/2006/relationships/hyperlink" Target="http://www.ncbi.nlm.nih.gov/pubmed/16714326" TargetMode="External"/><Relationship Id="rId705" Type="http://schemas.openxmlformats.org/officeDocument/2006/relationships/hyperlink" Target="http://www.ncbi.nlm.nih.gov/pubmed/1199719" TargetMode="External"/><Relationship Id="rId887" Type="http://schemas.openxmlformats.org/officeDocument/2006/relationships/hyperlink" Target="http://www.ncbi.nlm.nih.gov/pubmed/21615490" TargetMode="External"/><Relationship Id="rId137" Type="http://schemas.openxmlformats.org/officeDocument/2006/relationships/hyperlink" Target="file:///E:\AppData\Local\Microsoft\Windows\Temporary%20Internet%20Files\Content.Outlook\AppData\Local\Microsoft\Windows\Temporary%20Internet%20Files\Content.Outlook\preface.htm" TargetMode="External"/><Relationship Id="rId302" Type="http://schemas.openxmlformats.org/officeDocument/2006/relationships/hyperlink" Target="file:///E:\AppData\Local\Microsoft\Windows\Temporary%20Internet%20Files\Content.Outlook\AppData\Local\Microsoft\Windows\Temporary%20Internet%20Files\Content.Outlook\50QE161U\Pain_files\bruns.pdf" TargetMode="External"/><Relationship Id="rId344" Type="http://schemas.openxmlformats.org/officeDocument/2006/relationships/hyperlink" Target="http://journals.lww.com/anesthesiology/Fulltext/2009/10000/Mortality_Associated_with_Implantation_and.32.aspx" TargetMode="External"/><Relationship Id="rId691" Type="http://schemas.openxmlformats.org/officeDocument/2006/relationships/hyperlink" Target="http://www.ncbi.nlm.nih.gov/pubmed/15736314" TargetMode="External"/><Relationship Id="rId747" Type="http://schemas.openxmlformats.org/officeDocument/2006/relationships/hyperlink" Target="http://www.ncbi.nlm.nih.gov/pubmed/16034979" TargetMode="External"/><Relationship Id="rId789" Type="http://schemas.openxmlformats.org/officeDocument/2006/relationships/hyperlink" Target="http://www.ncbi.nlm.nih.gov/pubmed/19204915" TargetMode="External"/><Relationship Id="rId912" Type="http://schemas.openxmlformats.org/officeDocument/2006/relationships/fontTable" Target="fontTable.xml"/><Relationship Id="rId41" Type="http://schemas.openxmlformats.org/officeDocument/2006/relationships/hyperlink" Target="http://www.accessdata.fda.gov/drugsatfda_docs/appletter/2013/204242Orig1s002ltr.pdf" TargetMode="External"/><Relationship Id="rId83" Type="http://schemas.openxmlformats.org/officeDocument/2006/relationships/hyperlink" Target="file:///E:\AppData\Local\Microsoft\Windows\Temporary%20Internet%20Files\Content.Outlook\AppData\Local\Microsoft\Windows\Temporary%20Internet%20Files\Content.Outlook\50QE161U\knee.htm" TargetMode="External"/><Relationship Id="rId179" Type="http://schemas.openxmlformats.org/officeDocument/2006/relationships/hyperlink" Target="http://www.ncbi.nlm.nih.gov/books/NBK64245/pdf/TOC.pdf" TargetMode="External"/><Relationship Id="rId386" Type="http://schemas.openxmlformats.org/officeDocument/2006/relationships/hyperlink" Target="http://www.ncbi.nlm.nih.gov/pubmed/20194146" TargetMode="External"/><Relationship Id="rId551" Type="http://schemas.openxmlformats.org/officeDocument/2006/relationships/hyperlink" Target="http://www.ncbi.nlm.nih.gov/pubmed/18177922" TargetMode="External"/><Relationship Id="rId593" Type="http://schemas.openxmlformats.org/officeDocument/2006/relationships/hyperlink" Target="http://www.ncbi.nlm.nih.gov/pubmed/18356622" TargetMode="External"/><Relationship Id="rId607" Type="http://schemas.openxmlformats.org/officeDocument/2006/relationships/hyperlink" Target="http://www.ncbi.nlm.nih.gov/pubmed/19588430" TargetMode="External"/><Relationship Id="rId649" Type="http://schemas.openxmlformats.org/officeDocument/2006/relationships/hyperlink" Target="http://www.ncbi.nlm.nih.gov/pubmed/18088560" TargetMode="External"/><Relationship Id="rId814" Type="http://schemas.openxmlformats.org/officeDocument/2006/relationships/hyperlink" Target="http://www.ncbi.nlm.nih.gov/pubmed/15851079" TargetMode="External"/><Relationship Id="rId856" Type="http://schemas.openxmlformats.org/officeDocument/2006/relationships/hyperlink" Target="http://www.ncbi.nlm.nih.gov/pubmed/7757046" TargetMode="External"/><Relationship Id="rId190" Type="http://schemas.openxmlformats.org/officeDocument/2006/relationships/hyperlink" Target="http://www.ncbi.nlm.nih.gov/pubmed/20091523" TargetMode="External"/><Relationship Id="rId204" Type="http://schemas.openxmlformats.org/officeDocument/2006/relationships/hyperlink" Target="http://www.ncbi.nlm.nih.gov/pubmed/12850649" TargetMode="External"/><Relationship Id="rId246" Type="http://schemas.openxmlformats.org/officeDocument/2006/relationships/hyperlink" Target="http://www.ncbi.nlm.nih.gov/pubmed/18256259" TargetMode="External"/><Relationship Id="rId288" Type="http://schemas.openxmlformats.org/officeDocument/2006/relationships/hyperlink" Target="http://www.ncbi.nlm.nih.gov/pubmed/?term=22784117" TargetMode="External"/><Relationship Id="rId411" Type="http://schemas.openxmlformats.org/officeDocument/2006/relationships/hyperlink" Target="http://www.ncbi.nlm.nih.gov/pubmed/11900471" TargetMode="External"/><Relationship Id="rId453" Type="http://schemas.openxmlformats.org/officeDocument/2006/relationships/hyperlink" Target="http://www.ncbi.nlm.nih.gov/pubmed/15555463" TargetMode="External"/><Relationship Id="rId509" Type="http://schemas.openxmlformats.org/officeDocument/2006/relationships/hyperlink" Target="http://www.ncbi.nlm.nih.gov/pubmed/9794056" TargetMode="External"/><Relationship Id="rId660" Type="http://schemas.openxmlformats.org/officeDocument/2006/relationships/hyperlink" Target="http://www.ncbi.nlm.nih.gov/pubmed/17177766" TargetMode="External"/><Relationship Id="rId898" Type="http://schemas.openxmlformats.org/officeDocument/2006/relationships/hyperlink" Target="http://www.ncbi.nlm.nih.gov/pubmed/15155304" TargetMode="External"/><Relationship Id="rId106" Type="http://schemas.openxmlformats.org/officeDocument/2006/relationships/hyperlink" Target="file:///E:\AppData\Local\Microsoft\Windows\Temporary%20Internet%20Files\Content.Outlook\AppData\Local\Microsoft\Windows\Temporary%20Internet%20Files\Content.Outlook\50QE161U\neck.htm" TargetMode="External"/><Relationship Id="rId313" Type="http://schemas.openxmlformats.org/officeDocument/2006/relationships/hyperlink" Target="http://www.ncbi.nlm.nih.gov/pubmed/21575194" TargetMode="External"/><Relationship Id="rId495" Type="http://schemas.openxmlformats.org/officeDocument/2006/relationships/hyperlink" Target="http://www.icsi.org/pain__chronic__assessment_and_management_of_14399/pain__chronic__assessment_and_management_of__guideline_.html" TargetMode="External"/><Relationship Id="rId716" Type="http://schemas.openxmlformats.org/officeDocument/2006/relationships/hyperlink" Target="http://www.ncbi.nlm.nih.gov/pubmed/15585447" TargetMode="External"/><Relationship Id="rId758" Type="http://schemas.openxmlformats.org/officeDocument/2006/relationships/hyperlink" Target="http://www.ncbi.nlm.nih.gov/pubmed/15867979" TargetMode="External"/><Relationship Id="rId10" Type="http://schemas.openxmlformats.org/officeDocument/2006/relationships/header" Target="header2.xml"/><Relationship Id="rId52" Type="http://schemas.openxmlformats.org/officeDocument/2006/relationships/hyperlink" Target="http://www.rsds.org/4/resources/pdf/ComplexRegionalPainSyndromeDiagnosticTests.pdf" TargetMode="External"/><Relationship Id="rId94" Type="http://schemas.openxmlformats.org/officeDocument/2006/relationships/hyperlink" Target="http://www.fda.gov/Drugs/DrugSafety/ucm334041.htm" TargetMode="External"/><Relationship Id="rId148" Type="http://schemas.openxmlformats.org/officeDocument/2006/relationships/hyperlink" Target="http://www.fda.gov/downloads/Drugs/DrugSafety/PostmarketDrugSafetyInformationforPatientsandProviders/UCM170868.pdf" TargetMode="External"/><Relationship Id="rId355" Type="http://schemas.openxmlformats.org/officeDocument/2006/relationships/hyperlink" Target="http://www.ncbi.nlm.nih.gov/pubmed/22301554" TargetMode="External"/><Relationship Id="rId397" Type="http://schemas.openxmlformats.org/officeDocument/2006/relationships/hyperlink" Target="http://www.theacpa.org/documents/ACPA%20Chronic%20Pain%20Medications%20Supplement%202008.pdf" TargetMode="External"/><Relationship Id="rId520" Type="http://schemas.openxmlformats.org/officeDocument/2006/relationships/hyperlink" Target="http://www.ncbi.nlm.nih.gov/pubmed/12391348" TargetMode="External"/><Relationship Id="rId562" Type="http://schemas.openxmlformats.org/officeDocument/2006/relationships/hyperlink" Target="http://www.ncbi.nlm.nih.gov/pubmed/19559656" TargetMode="External"/><Relationship Id="rId618" Type="http://schemas.openxmlformats.org/officeDocument/2006/relationships/hyperlink" Target="http://www.plosmedicine.org/article/info%3Adoi%2F10.1371%2Fjournal.pmed.1001388" TargetMode="External"/><Relationship Id="rId825" Type="http://schemas.openxmlformats.org/officeDocument/2006/relationships/hyperlink" Target="http://www.ncbi.nlm.nih.gov/pubmed/17596770" TargetMode="External"/><Relationship Id="rId215" Type="http://schemas.openxmlformats.org/officeDocument/2006/relationships/hyperlink" Target="http://www.ncbi.nlm.nih.gov/pubmed/1408299" TargetMode="External"/><Relationship Id="rId257" Type="http://schemas.openxmlformats.org/officeDocument/2006/relationships/hyperlink" Target="http://www.ncbi.nlm.nih.gov/pubmed/21459637" TargetMode="External"/><Relationship Id="rId422" Type="http://schemas.openxmlformats.org/officeDocument/2006/relationships/hyperlink" Target="http://www.ncbi.nlm.nih.gov/pubmed/15055095" TargetMode="External"/><Relationship Id="rId464" Type="http://schemas.openxmlformats.org/officeDocument/2006/relationships/hyperlink" Target="http://www.ncbi.nlm.nih.gov/pubmed/19479696" TargetMode="External"/><Relationship Id="rId867" Type="http://schemas.openxmlformats.org/officeDocument/2006/relationships/hyperlink" Target="http://www.hca.wa.gov/hta/documents/implantable_infusion_pumps_final.pdf" TargetMode="External"/><Relationship Id="rId299" Type="http://schemas.openxmlformats.org/officeDocument/2006/relationships/hyperlink" Target="http://www.ncbi.nlm.nih.gov/pubmed/?term=Aerobic+exercise+and+its+impact+on+musculoskeletal+pain+in+older+adults%3A+a+14+year+prospective%2C+longitudinal+study.+Arthritis+Res+Ther+2005+Sept+19%3B+R1263-R1270" TargetMode="External"/><Relationship Id="rId727" Type="http://schemas.openxmlformats.org/officeDocument/2006/relationships/hyperlink" Target="http://www.ncbi.nlm.nih.gov/pubmed/12860572" TargetMode="External"/><Relationship Id="rId63" Type="http://schemas.openxmlformats.org/officeDocument/2006/relationships/hyperlink" Target="http://www.fda.gov/Safety/MedWatch/SafetyInformation/SafetyAlertsforHumanMedicalProducts/ucm193047.htm" TargetMode="External"/><Relationship Id="rId159" Type="http://schemas.openxmlformats.org/officeDocument/2006/relationships/hyperlink" Target="file:///E:\AppData\Local\Microsoft\Windows\Temporary%20Internet%20Files\Content.Outlook\AppData\Local\Microsoft\Windows\Temporary%20Internet%20Files\Content.Outlook\50QE161U\low_back.htm" TargetMode="External"/><Relationship Id="rId366" Type="http://schemas.openxmlformats.org/officeDocument/2006/relationships/hyperlink" Target="http://www.ncbi.nlm.nih.gov/pubmed/22150890" TargetMode="External"/><Relationship Id="rId573" Type="http://schemas.openxmlformats.org/officeDocument/2006/relationships/hyperlink" Target="http://www.ncbi.nlm.nih.gov/pubmed/14572131" TargetMode="External"/><Relationship Id="rId780" Type="http://schemas.openxmlformats.org/officeDocument/2006/relationships/hyperlink" Target="http://www.ncbi.nlm.nih.gov/pubmed/10568846" TargetMode="External"/><Relationship Id="rId226" Type="http://schemas.openxmlformats.org/officeDocument/2006/relationships/hyperlink" Target="http://www.ncbi.nlm.nih.gov/pubmed/17393438" TargetMode="External"/><Relationship Id="rId433" Type="http://schemas.openxmlformats.org/officeDocument/2006/relationships/hyperlink" Target="http://www.ncbi.nlm.nih.gov/pubmed/14558098" TargetMode="External"/><Relationship Id="rId878" Type="http://schemas.openxmlformats.org/officeDocument/2006/relationships/hyperlink" Target="http://www.ncbi.nlm.nih.gov/pubmed/18386306" TargetMode="External"/><Relationship Id="rId640" Type="http://schemas.openxmlformats.org/officeDocument/2006/relationships/hyperlink" Target="http://www.ncbi.nlm.nih.gov/pubmed/21777321" TargetMode="External"/><Relationship Id="rId738" Type="http://schemas.openxmlformats.org/officeDocument/2006/relationships/hyperlink" Target="http://www.ncbi.nlm.nih.gov/pubmed/17278924" TargetMode="External"/><Relationship Id="rId74" Type="http://schemas.openxmlformats.org/officeDocument/2006/relationships/hyperlink" Target="http://www.fda.gov/drugs/guidancecomplianceregulatoryinformation/surveillance/adversedrugeffects/ucm249657.htm" TargetMode="External"/><Relationship Id="rId377" Type="http://schemas.openxmlformats.org/officeDocument/2006/relationships/hyperlink" Target="http://www.ncbi.nlm.nih.gov/pubmed/?term=24684801" TargetMode="External"/><Relationship Id="rId500" Type="http://schemas.openxmlformats.org/officeDocument/2006/relationships/hyperlink" Target="http://www.ncbi.nlm.nih.gov/pubmed/16117815" TargetMode="External"/><Relationship Id="rId584" Type="http://schemas.openxmlformats.org/officeDocument/2006/relationships/hyperlink" Target="http://www.ncbi.nlm.nih.gov/pubmed/12804444" TargetMode="External"/><Relationship Id="rId805" Type="http://schemas.openxmlformats.org/officeDocument/2006/relationships/hyperlink" Target="http://cid.oxfordjournals.org/content/41/10/1373.full.pdf" TargetMode="External"/><Relationship Id="rId5" Type="http://schemas.openxmlformats.org/officeDocument/2006/relationships/settings" Target="settings.xml"/><Relationship Id="rId237" Type="http://schemas.openxmlformats.org/officeDocument/2006/relationships/hyperlink" Target="http://www.ncbi.nlm.nih.gov/pubmed/16034227" TargetMode="External"/><Relationship Id="rId791" Type="http://schemas.openxmlformats.org/officeDocument/2006/relationships/hyperlink" Target="http://www.ncbi.nlm.nih.gov/pubmed/25062018" TargetMode="External"/><Relationship Id="rId889" Type="http://schemas.openxmlformats.org/officeDocument/2006/relationships/hyperlink" Target="http://www.ncbi.nlm.nih.gov/pubmed/8751633" TargetMode="External"/><Relationship Id="rId444" Type="http://schemas.openxmlformats.org/officeDocument/2006/relationships/hyperlink" Target="http://www.ncbi.nlm.nih.gov/pubmed/?term=Goldberg+RT%3B+Pachas+WN%3B+Keith+D.+Relationship+between+traumatic+events+in+childhood+and+chronic+pain.+Disability+Rehabilitation.+01-Jan-1999%3B+21(1)%3A+23-30." TargetMode="External"/><Relationship Id="rId651" Type="http://schemas.openxmlformats.org/officeDocument/2006/relationships/hyperlink" Target="http://www.ncbi.nlm.nih.gov/pubmed/22851109" TargetMode="External"/><Relationship Id="rId749" Type="http://schemas.openxmlformats.org/officeDocument/2006/relationships/hyperlink" Target="http://www.ncbi.nlm.nih.gov/pubmed/15768621" TargetMode="External"/><Relationship Id="rId290" Type="http://schemas.openxmlformats.org/officeDocument/2006/relationships/hyperlink" Target="http://www.ncbi.nlm.nih.gov/pubmed/17854578" TargetMode="External"/><Relationship Id="rId304" Type="http://schemas.openxmlformats.org/officeDocument/2006/relationships/hyperlink" Target="http://www.ncbi.nlm.nih.gov/pubmed/18262443" TargetMode="External"/><Relationship Id="rId388" Type="http://schemas.openxmlformats.org/officeDocument/2006/relationships/hyperlink" Target="http://www.ncbi.nlm.nih.gov/pubmed/11353735" TargetMode="External"/><Relationship Id="rId511" Type="http://schemas.openxmlformats.org/officeDocument/2006/relationships/hyperlink" Target="http://www.ncbi.nlm.nih.gov/pubmed/?term=20579169" TargetMode="External"/><Relationship Id="rId609" Type="http://schemas.openxmlformats.org/officeDocument/2006/relationships/hyperlink" Target="http://www.ncbi.nlm.nih.gov/pubmed/2957520" TargetMode="External"/><Relationship Id="rId85" Type="http://schemas.openxmlformats.org/officeDocument/2006/relationships/hyperlink" Target="file:///E:\AppData\Local\Microsoft\Windows\Temporary%20Internet%20Files\Content.Outlook\AppData\Local\Microsoft\Windows\Temporary%20Internet%20Files\Content.Outlook\50QE161U\low_back.htm" TargetMode="External"/><Relationship Id="rId150" Type="http://schemas.openxmlformats.org/officeDocument/2006/relationships/hyperlink" Target="http://www.fda.gov/downloads/AdvisoryCommittees/CommitteesMeetingMaterials/Drugs/ArthritisAdvisoryCommittee/UCM222887.pdf" TargetMode="External"/><Relationship Id="rId595" Type="http://schemas.openxmlformats.org/officeDocument/2006/relationships/hyperlink" Target="http://www.ncbi.nlm.nih.gov/pubmed/21763099" TargetMode="External"/><Relationship Id="rId816" Type="http://schemas.openxmlformats.org/officeDocument/2006/relationships/hyperlink" Target="http://www.ncbi.nlm.nih.gov/pubmed/17379045" TargetMode="External"/><Relationship Id="rId248" Type="http://schemas.openxmlformats.org/officeDocument/2006/relationships/hyperlink" Target="http://www.ncbi.nlm.nih.gov/pubmed/16461471" TargetMode="External"/><Relationship Id="rId455" Type="http://schemas.openxmlformats.org/officeDocument/2006/relationships/hyperlink" Target="http://www.ncbi.nlm.nih.gov/pubmed/8818309" TargetMode="External"/><Relationship Id="rId662" Type="http://schemas.openxmlformats.org/officeDocument/2006/relationships/hyperlink" Target="http://www.ncbi.nlm.nih.gov/pubmed/21546160" TargetMode="External"/><Relationship Id="rId12" Type="http://schemas.openxmlformats.org/officeDocument/2006/relationships/footer" Target="footer2.xml"/><Relationship Id="rId108" Type="http://schemas.openxmlformats.org/officeDocument/2006/relationships/hyperlink" Target="http://www.tylenol.com/page2.jhtml?id=tylenol/news/newdosing.inc" TargetMode="External"/><Relationship Id="rId315" Type="http://schemas.openxmlformats.org/officeDocument/2006/relationships/hyperlink" Target="http://ctaf.org/reports/interferential-stimulation-treatment-musculoskeletal-pain" TargetMode="External"/><Relationship Id="rId522" Type="http://schemas.openxmlformats.org/officeDocument/2006/relationships/hyperlink" Target="http://www.ncbi.nlm.nih.gov/pubmed/14705107" TargetMode="External"/><Relationship Id="rId96" Type="http://schemas.openxmlformats.org/officeDocument/2006/relationships/hyperlink" Target="file:///E:\AppData\Local\Microsoft\Windows\Temporary%20Internet%20Files\Content.Outlook\AppData\Local\Microsoft\Windows\Temporary%20Internet%20Files\Content.Outlook\50QE161U\shoulder.htm" TargetMode="External"/><Relationship Id="rId161" Type="http://schemas.openxmlformats.org/officeDocument/2006/relationships/hyperlink" Target="http://www.fda.gov/downloads/AdvisoryCommittees/CommitteesMeetingMaterials/Drugs/ArthritisAdvisoryCommittee/UCM383183.pdf" TargetMode="External"/><Relationship Id="rId399" Type="http://schemas.openxmlformats.org/officeDocument/2006/relationships/hyperlink" Target="http://www.ncbi.nlm.nih.gov/pubmed/?term=Feuerstein+M%2C+Berkowitz+SM%2C+Haufler+AJ%2C+Lopez+MS%2C+Huang+GD.Working+with+low+back+pain%3A+workplace+and+individual+psychosocial+determinants+of+limited+duty+and+lost+time.+American+Journal+of+Independent+Medicine.+2001+Dec%3B40(6)%3A627-38." TargetMode="External"/><Relationship Id="rId827" Type="http://schemas.openxmlformats.org/officeDocument/2006/relationships/hyperlink" Target="http://www.ncbi.nlm.nih.gov/pubmed/11279782" TargetMode="External"/><Relationship Id="rId259" Type="http://schemas.openxmlformats.org/officeDocument/2006/relationships/hyperlink" Target="http://www.ncbi.nlm.nih.gov/pubmed/?term=25547930" TargetMode="External"/><Relationship Id="rId466" Type="http://schemas.openxmlformats.org/officeDocument/2006/relationships/hyperlink" Target="http://www.ncbi.nlm.nih.gov/pubmed/17957979" TargetMode="External"/><Relationship Id="rId673" Type="http://schemas.openxmlformats.org/officeDocument/2006/relationships/hyperlink" Target="http://www.ncbi.nlm.nih.gov/pubmed/19801049" TargetMode="External"/><Relationship Id="rId880" Type="http://schemas.openxmlformats.org/officeDocument/2006/relationships/hyperlink" Target="http://www.ncbi.nlm.nih.gov/pubmed/24806556" TargetMode="External"/><Relationship Id="rId23" Type="http://schemas.openxmlformats.org/officeDocument/2006/relationships/hyperlink" Target="http://www.ncbi.nlm.nih.gov/pubmed?term=Chatterjee%20N%5BAuthor%5D&amp;cauthor=true&amp;cauthor_uid=24212070" TargetMode="External"/><Relationship Id="rId119" Type="http://schemas.openxmlformats.org/officeDocument/2006/relationships/hyperlink" Target="http://www.odg-twc.com/odgtwc/pain.htm" TargetMode="External"/><Relationship Id="rId326" Type="http://schemas.openxmlformats.org/officeDocument/2006/relationships/hyperlink" Target="http://www.ncbi.nlm.nih.gov/pubmed/15142194" TargetMode="External"/><Relationship Id="rId533" Type="http://schemas.openxmlformats.org/officeDocument/2006/relationships/hyperlink" Target="http://www.ncbi.nlm.nih.gov/pubmed/19153406" TargetMode="External"/><Relationship Id="rId740" Type="http://schemas.openxmlformats.org/officeDocument/2006/relationships/hyperlink" Target="http://www.ncbi.nlm.nih.gov/pubmed/12945020" TargetMode="External"/><Relationship Id="rId838" Type="http://schemas.openxmlformats.org/officeDocument/2006/relationships/hyperlink" Target="http://www.ncbi.nlm.nih.gov/pubmed/8604459" TargetMode="External"/><Relationship Id="rId172" Type="http://schemas.openxmlformats.org/officeDocument/2006/relationships/hyperlink" Target="file:///E:\AppData\Local\Microsoft\Windows\Temporary%20Internet%20Files\Content.Outlook\AppData\Local\Microsoft\Windows\Temporary%20Internet%20Files\Content.Outlook\50QE161U\neck.htm" TargetMode="External"/><Relationship Id="rId477" Type="http://schemas.openxmlformats.org/officeDocument/2006/relationships/hyperlink" Target="http://www.ncbi.nlm.nih.gov/pubmed/19302899" TargetMode="External"/><Relationship Id="rId600" Type="http://schemas.openxmlformats.org/officeDocument/2006/relationships/hyperlink" Target="http://www.ncbi.nlm.nih.gov/pubmed/15033879" TargetMode="External"/><Relationship Id="rId684" Type="http://schemas.openxmlformats.org/officeDocument/2006/relationships/hyperlink" Target="http://www.ncbi.nlm.nih.gov/pubmed/15840990" TargetMode="External"/><Relationship Id="rId337" Type="http://schemas.openxmlformats.org/officeDocument/2006/relationships/hyperlink" Target="http://www.ncbi.nlm.nih.gov/pubmed/15276195" TargetMode="External"/><Relationship Id="rId891" Type="http://schemas.openxmlformats.org/officeDocument/2006/relationships/hyperlink" Target="http://www.ncbi.nlm.nih.gov/pubmed/21317771" TargetMode="External"/><Relationship Id="rId905" Type="http://schemas.openxmlformats.org/officeDocument/2006/relationships/hyperlink" Target="http://www.ncbi.nlm.nih.gov/pubmed/18279766" TargetMode="External"/><Relationship Id="rId34" Type="http://schemas.openxmlformats.org/officeDocument/2006/relationships/hyperlink" Target="http://www.fda.gov/medwatch/safety/2008/safety08.htm" TargetMode="External"/><Relationship Id="rId544" Type="http://schemas.openxmlformats.org/officeDocument/2006/relationships/hyperlink" Target="http://www.ncbi.nlm.nih.gov/pubmed/12182407" TargetMode="External"/><Relationship Id="rId751" Type="http://schemas.openxmlformats.org/officeDocument/2006/relationships/hyperlink" Target="http://www.ncbi.nlm.nih.gov/pubmed/11784215" TargetMode="External"/><Relationship Id="rId849" Type="http://schemas.openxmlformats.org/officeDocument/2006/relationships/hyperlink" Target="http://www.ncbi.nlm.nih.gov/pubmed/11013503" TargetMode="External"/><Relationship Id="rId183" Type="http://schemas.openxmlformats.org/officeDocument/2006/relationships/hyperlink" Target="http://www.centerwatch.com/drug-information/fda-approvals/drug-details.aspx?DrugID=1027" TargetMode="External"/><Relationship Id="rId390" Type="http://schemas.openxmlformats.org/officeDocument/2006/relationships/hyperlink" Target="http://www.ncbi.nlm.nih.gov/pubmed/17547471" TargetMode="External"/><Relationship Id="rId404" Type="http://schemas.openxmlformats.org/officeDocument/2006/relationships/hyperlink" Target="http://www.ncbi.nlm.nih.gov/pubmed/10949061" TargetMode="External"/><Relationship Id="rId611" Type="http://schemas.openxmlformats.org/officeDocument/2006/relationships/hyperlink" Target="http://www.ncbi.nlm.nih.gov/pubmed/18338302" TargetMode="External"/><Relationship Id="rId250" Type="http://schemas.openxmlformats.org/officeDocument/2006/relationships/hyperlink" Target="http://www.ncbi.nlm.nih.gov/pubmed/19834431" TargetMode="External"/><Relationship Id="rId488" Type="http://schemas.openxmlformats.org/officeDocument/2006/relationships/hyperlink" Target="http://www.ncbi.nlm.nih.gov/pubmed/17071119" TargetMode="External"/><Relationship Id="rId695" Type="http://schemas.openxmlformats.org/officeDocument/2006/relationships/hyperlink" Target="http://www.ncbi.nlm.nih.gov/pubmed/11397610" TargetMode="External"/><Relationship Id="rId709" Type="http://schemas.openxmlformats.org/officeDocument/2006/relationships/hyperlink" Target="http://www.ncbi.nlm.nih.gov/pubmed/16009087" TargetMode="External"/><Relationship Id="rId45" Type="http://schemas.openxmlformats.org/officeDocument/2006/relationships/hyperlink" Target="http://www.oas.samhsa.gov/" TargetMode="External"/><Relationship Id="rId110" Type="http://schemas.openxmlformats.org/officeDocument/2006/relationships/hyperlink" Target="http://www.cdc.gov/vitalsigns/MethadoneOverdoses/" TargetMode="External"/><Relationship Id="rId348" Type="http://schemas.openxmlformats.org/officeDocument/2006/relationships/hyperlink" Target="http://www.ncbi.nlm.nih.gov/pubmed/22786460" TargetMode="External"/><Relationship Id="rId555" Type="http://schemas.openxmlformats.org/officeDocument/2006/relationships/hyperlink" Target="http://www.ncbi.nlm.nih.gov/pubmed/21424735" TargetMode="External"/><Relationship Id="rId762" Type="http://schemas.openxmlformats.org/officeDocument/2006/relationships/hyperlink" Target="http://www.ncbi.nlm.nih.gov/pubmed/16785832" TargetMode="External"/><Relationship Id="rId194" Type="http://schemas.openxmlformats.org/officeDocument/2006/relationships/hyperlink" Target="http://www.ncbi.nlm.nih.gov/pubmed/17305674" TargetMode="External"/><Relationship Id="rId208" Type="http://schemas.openxmlformats.org/officeDocument/2006/relationships/hyperlink" Target="http://www.ncbi.nlm.nih.gov/pubmed/20586515" TargetMode="External"/><Relationship Id="rId415" Type="http://schemas.openxmlformats.org/officeDocument/2006/relationships/hyperlink" Target="http://www.ncbi.nlm.nih.gov/pubmed/18356405" TargetMode="External"/><Relationship Id="rId622" Type="http://schemas.openxmlformats.org/officeDocument/2006/relationships/hyperlink" Target="http://www.ncbi.nlm.nih.gov/pubmed/16452743" TargetMode="External"/><Relationship Id="rId261" Type="http://schemas.openxmlformats.org/officeDocument/2006/relationships/hyperlink" Target="http://www.ncbi.nlm.nih.gov/pubmed/9549794" TargetMode="External"/><Relationship Id="rId499" Type="http://schemas.openxmlformats.org/officeDocument/2006/relationships/hyperlink" Target="http://www.ncbi.nlm.nih.gov/pubmed/16181230" TargetMode="External"/><Relationship Id="rId56" Type="http://schemas.openxmlformats.org/officeDocument/2006/relationships/hyperlink" Target="http://www.accessdata.fda.gov/cms_ia/importalert_169.html" TargetMode="External"/><Relationship Id="rId359" Type="http://schemas.openxmlformats.org/officeDocument/2006/relationships/hyperlink" Target="http://www.ncbi.nlm.nih.gov/pubmed/21798658" TargetMode="External"/><Relationship Id="rId566" Type="http://schemas.openxmlformats.org/officeDocument/2006/relationships/hyperlink" Target="http://www.ncbi.nlm.nih.gov/pubmed/15891984" TargetMode="External"/><Relationship Id="rId773" Type="http://schemas.openxmlformats.org/officeDocument/2006/relationships/hyperlink" Target="http://www.ncbi.nlm.nih.gov/pubmed/16960493" TargetMode="External"/><Relationship Id="rId121" Type="http://schemas.openxmlformats.org/officeDocument/2006/relationships/hyperlink" Target="https://www.networkforphl.org/_asset/qz5pvn/network-naloxone-10-4.pdf" TargetMode="External"/><Relationship Id="rId219" Type="http://schemas.openxmlformats.org/officeDocument/2006/relationships/hyperlink" Target="http://www.ncbi.nlm.nih.gov/pubmed/18646107" TargetMode="External"/><Relationship Id="rId426" Type="http://schemas.openxmlformats.org/officeDocument/2006/relationships/hyperlink" Target="http://www.ncbi.nlm.nih.gov/pubmed/15101968" TargetMode="External"/><Relationship Id="rId633" Type="http://schemas.openxmlformats.org/officeDocument/2006/relationships/hyperlink" Target="http://www.ncbi.nlm.nih.gov/pubmed/18086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88148-99EE-4EEC-AE6C-7C18ACAF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1062</Pages>
  <Words>191924</Words>
  <Characters>1093971</Characters>
  <Application>Microsoft Office Word</Application>
  <DocSecurity>4</DocSecurity>
  <Lines>9116</Lines>
  <Paragraphs>2566</Paragraphs>
  <ScaleCrop>false</ScaleCrop>
  <HeadingPairs>
    <vt:vector size="2" baseType="variant">
      <vt:variant>
        <vt:lpstr>Title</vt:lpstr>
      </vt:variant>
      <vt:variant>
        <vt:i4>1</vt:i4>
      </vt:variant>
    </vt:vector>
  </HeadingPairs>
  <TitlesOfParts>
    <vt:vector size="1" baseType="lpstr">
      <vt:lpstr>ODG TWC Pain</vt:lpstr>
    </vt:vector>
  </TitlesOfParts>
  <Company>Department of Industrial Relations</Company>
  <LinksUpToDate>false</LinksUpToDate>
  <CharactersWithSpaces>1283329</CharactersWithSpaces>
  <SharedDoc>false</SharedDoc>
  <HLinks>
    <vt:vector size="22050" baseType="variant">
      <vt:variant>
        <vt:i4>3735590</vt:i4>
      </vt:variant>
      <vt:variant>
        <vt:i4>16091</vt:i4>
      </vt:variant>
      <vt:variant>
        <vt:i4>0</vt:i4>
      </vt:variant>
      <vt:variant>
        <vt:i4>5</vt:i4>
      </vt:variant>
      <vt:variant>
        <vt:lpwstr>http://www.ncbi.nlm.nih.gov/pubmed/23221182</vt:lpwstr>
      </vt:variant>
      <vt:variant>
        <vt:lpwstr/>
      </vt:variant>
      <vt:variant>
        <vt:i4>3735596</vt:i4>
      </vt:variant>
      <vt:variant>
        <vt:i4>16088</vt:i4>
      </vt:variant>
      <vt:variant>
        <vt:i4>0</vt:i4>
      </vt:variant>
      <vt:variant>
        <vt:i4>5</vt:i4>
      </vt:variant>
      <vt:variant>
        <vt:lpwstr>http://www.ncbi.nlm.nih.gov/pubmed/18810307</vt:lpwstr>
      </vt:variant>
      <vt:variant>
        <vt:lpwstr/>
      </vt:variant>
      <vt:variant>
        <vt:i4>3407911</vt:i4>
      </vt:variant>
      <vt:variant>
        <vt:i4>16085</vt:i4>
      </vt:variant>
      <vt:variant>
        <vt:i4>0</vt:i4>
      </vt:variant>
      <vt:variant>
        <vt:i4>5</vt:i4>
      </vt:variant>
      <vt:variant>
        <vt:lpwstr>http://www.ncbi.nlm.nih.gov/pubmed/21770716</vt:lpwstr>
      </vt:variant>
      <vt:variant>
        <vt:lpwstr/>
      </vt:variant>
      <vt:variant>
        <vt:i4>3670050</vt:i4>
      </vt:variant>
      <vt:variant>
        <vt:i4>16082</vt:i4>
      </vt:variant>
      <vt:variant>
        <vt:i4>0</vt:i4>
      </vt:variant>
      <vt:variant>
        <vt:i4>5</vt:i4>
      </vt:variant>
      <vt:variant>
        <vt:lpwstr>http://www.ncbi.nlm.nih.gov/pubmed/24138333</vt:lpwstr>
      </vt:variant>
      <vt:variant>
        <vt:lpwstr/>
      </vt:variant>
      <vt:variant>
        <vt:i4>3407910</vt:i4>
      </vt:variant>
      <vt:variant>
        <vt:i4>16079</vt:i4>
      </vt:variant>
      <vt:variant>
        <vt:i4>0</vt:i4>
      </vt:variant>
      <vt:variant>
        <vt:i4>5</vt:i4>
      </vt:variant>
      <vt:variant>
        <vt:lpwstr>http://www.ncbi.nlm.nih.gov/pubmed/20170770</vt:lpwstr>
      </vt:variant>
      <vt:variant>
        <vt:lpwstr/>
      </vt:variant>
      <vt:variant>
        <vt:i4>3211308</vt:i4>
      </vt:variant>
      <vt:variant>
        <vt:i4>16076</vt:i4>
      </vt:variant>
      <vt:variant>
        <vt:i4>0</vt:i4>
      </vt:variant>
      <vt:variant>
        <vt:i4>5</vt:i4>
      </vt:variant>
      <vt:variant>
        <vt:lpwstr>http://www.ncbi.nlm.nih.gov/pubmed/17046965</vt:lpwstr>
      </vt:variant>
      <vt:variant>
        <vt:lpwstr/>
      </vt:variant>
      <vt:variant>
        <vt:i4>3932206</vt:i4>
      </vt:variant>
      <vt:variant>
        <vt:i4>16073</vt:i4>
      </vt:variant>
      <vt:variant>
        <vt:i4>0</vt:i4>
      </vt:variant>
      <vt:variant>
        <vt:i4>5</vt:i4>
      </vt:variant>
      <vt:variant>
        <vt:lpwstr>http://www.ncbi.nlm.nih.gov/pubmed/18279766</vt:lpwstr>
      </vt:variant>
      <vt:variant>
        <vt:lpwstr/>
      </vt:variant>
      <vt:variant>
        <vt:i4>3604517</vt:i4>
      </vt:variant>
      <vt:variant>
        <vt:i4>16070</vt:i4>
      </vt:variant>
      <vt:variant>
        <vt:i4>0</vt:i4>
      </vt:variant>
      <vt:variant>
        <vt:i4>5</vt:i4>
      </vt:variant>
      <vt:variant>
        <vt:lpwstr>http://www.ncbi.nlm.nih.gov/pubmed/16531624</vt:lpwstr>
      </vt:variant>
      <vt:variant>
        <vt:lpwstr/>
      </vt:variant>
      <vt:variant>
        <vt:i4>3801129</vt:i4>
      </vt:variant>
      <vt:variant>
        <vt:i4>16067</vt:i4>
      </vt:variant>
      <vt:variant>
        <vt:i4>0</vt:i4>
      </vt:variant>
      <vt:variant>
        <vt:i4>5</vt:i4>
      </vt:variant>
      <vt:variant>
        <vt:lpwstr>http://www.ncbi.nlm.nih.gov/pubmed/17609842</vt:lpwstr>
      </vt:variant>
      <vt:variant>
        <vt:lpwstr/>
      </vt:variant>
      <vt:variant>
        <vt:i4>3342368</vt:i4>
      </vt:variant>
      <vt:variant>
        <vt:i4>16064</vt:i4>
      </vt:variant>
      <vt:variant>
        <vt:i4>0</vt:i4>
      </vt:variant>
      <vt:variant>
        <vt:i4>5</vt:i4>
      </vt:variant>
      <vt:variant>
        <vt:lpwstr>http://www.ncbi.nlm.nih.gov/pubmed/17181922</vt:lpwstr>
      </vt:variant>
      <vt:variant>
        <vt:lpwstr/>
      </vt:variant>
      <vt:variant>
        <vt:i4>3145766</vt:i4>
      </vt:variant>
      <vt:variant>
        <vt:i4>16061</vt:i4>
      </vt:variant>
      <vt:variant>
        <vt:i4>0</vt:i4>
      </vt:variant>
      <vt:variant>
        <vt:i4>5</vt:i4>
      </vt:variant>
      <vt:variant>
        <vt:lpwstr>http://www.ncbi.nlm.nih.gov/pubmed/14516527</vt:lpwstr>
      </vt:variant>
      <vt:variant>
        <vt:lpwstr/>
      </vt:variant>
      <vt:variant>
        <vt:i4>3211296</vt:i4>
      </vt:variant>
      <vt:variant>
        <vt:i4>16058</vt:i4>
      </vt:variant>
      <vt:variant>
        <vt:i4>0</vt:i4>
      </vt:variant>
      <vt:variant>
        <vt:i4>5</vt:i4>
      </vt:variant>
      <vt:variant>
        <vt:lpwstr>http://www.ncbi.nlm.nih.gov/pubmed/17443572</vt:lpwstr>
      </vt:variant>
      <vt:variant>
        <vt:lpwstr/>
      </vt:variant>
      <vt:variant>
        <vt:i4>3932203</vt:i4>
      </vt:variant>
      <vt:variant>
        <vt:i4>16055</vt:i4>
      </vt:variant>
      <vt:variant>
        <vt:i4>0</vt:i4>
      </vt:variant>
      <vt:variant>
        <vt:i4>5</vt:i4>
      </vt:variant>
      <vt:variant>
        <vt:lpwstr>http://www.ncbi.nlm.nih.gov/pubmed/8922167</vt:lpwstr>
      </vt:variant>
      <vt:variant>
        <vt:lpwstr/>
      </vt:variant>
      <vt:variant>
        <vt:i4>3473445</vt:i4>
      </vt:variant>
      <vt:variant>
        <vt:i4>16052</vt:i4>
      </vt:variant>
      <vt:variant>
        <vt:i4>0</vt:i4>
      </vt:variant>
      <vt:variant>
        <vt:i4>5</vt:i4>
      </vt:variant>
      <vt:variant>
        <vt:lpwstr>http://www.ncbi.nlm.nih.gov/pubmed/15155304</vt:lpwstr>
      </vt:variant>
      <vt:variant>
        <vt:lpwstr/>
      </vt:variant>
      <vt:variant>
        <vt:i4>6422627</vt:i4>
      </vt:variant>
      <vt:variant>
        <vt:i4>16049</vt:i4>
      </vt:variant>
      <vt:variant>
        <vt:i4>0</vt:i4>
      </vt:variant>
      <vt:variant>
        <vt:i4>5</vt:i4>
      </vt:variant>
      <vt:variant>
        <vt:lpwstr>http://www.rand.org/content/dam/rand/pubs/working_papers/2011/RAND_WR828.pdf</vt:lpwstr>
      </vt:variant>
      <vt:variant>
        <vt:lpwstr/>
      </vt:variant>
      <vt:variant>
        <vt:i4>3342373</vt:i4>
      </vt:variant>
      <vt:variant>
        <vt:i4>16046</vt:i4>
      </vt:variant>
      <vt:variant>
        <vt:i4>0</vt:i4>
      </vt:variant>
      <vt:variant>
        <vt:i4>5</vt:i4>
      </vt:variant>
      <vt:variant>
        <vt:lpwstr>http://www.ncbi.nlm.nih.gov/pubmed/20173431</vt:lpwstr>
      </vt:variant>
      <vt:variant>
        <vt:lpwstr/>
      </vt:variant>
      <vt:variant>
        <vt:i4>3473440</vt:i4>
      </vt:variant>
      <vt:variant>
        <vt:i4>16043</vt:i4>
      </vt:variant>
      <vt:variant>
        <vt:i4>0</vt:i4>
      </vt:variant>
      <vt:variant>
        <vt:i4>5</vt:i4>
      </vt:variant>
      <vt:variant>
        <vt:lpwstr>http://www.ncbi.nlm.nih.gov/pubmed/17562735</vt:lpwstr>
      </vt:variant>
      <vt:variant>
        <vt:lpwstr/>
      </vt:variant>
      <vt:variant>
        <vt:i4>3473449</vt:i4>
      </vt:variant>
      <vt:variant>
        <vt:i4>16040</vt:i4>
      </vt:variant>
      <vt:variant>
        <vt:i4>0</vt:i4>
      </vt:variant>
      <vt:variant>
        <vt:i4>5</vt:i4>
      </vt:variant>
      <vt:variant>
        <vt:lpwstr>http://www.ncbi.nlm.nih.gov/pubmed/15221874</vt:lpwstr>
      </vt:variant>
      <vt:variant>
        <vt:lpwstr/>
      </vt:variant>
      <vt:variant>
        <vt:i4>4128807</vt:i4>
      </vt:variant>
      <vt:variant>
        <vt:i4>16037</vt:i4>
      </vt:variant>
      <vt:variant>
        <vt:i4>0</vt:i4>
      </vt:variant>
      <vt:variant>
        <vt:i4>5</vt:i4>
      </vt:variant>
      <vt:variant>
        <vt:lpwstr>http://www.ncbi.nlm.nih.gov/pubmed/20461783</vt:lpwstr>
      </vt:variant>
      <vt:variant>
        <vt:lpwstr/>
      </vt:variant>
      <vt:variant>
        <vt:i4>3211297</vt:i4>
      </vt:variant>
      <vt:variant>
        <vt:i4>16034</vt:i4>
      </vt:variant>
      <vt:variant>
        <vt:i4>0</vt:i4>
      </vt:variant>
      <vt:variant>
        <vt:i4>5</vt:i4>
      </vt:variant>
      <vt:variant>
        <vt:lpwstr>http://www.ncbi.nlm.nih.gov/pubmed/21317771</vt:lpwstr>
      </vt:variant>
      <vt:variant>
        <vt:lpwstr/>
      </vt:variant>
      <vt:variant>
        <vt:i4>3670051</vt:i4>
      </vt:variant>
      <vt:variant>
        <vt:i4>16031</vt:i4>
      </vt:variant>
      <vt:variant>
        <vt:i4>0</vt:i4>
      </vt:variant>
      <vt:variant>
        <vt:i4>5</vt:i4>
      </vt:variant>
      <vt:variant>
        <vt:lpwstr>http://www.ncbi.nlm.nih.gov/pubmed/8751633</vt:lpwstr>
      </vt:variant>
      <vt:variant>
        <vt:lpwstr/>
      </vt:variant>
      <vt:variant>
        <vt:i4>3211308</vt:i4>
      </vt:variant>
      <vt:variant>
        <vt:i4>16028</vt:i4>
      </vt:variant>
      <vt:variant>
        <vt:i4>0</vt:i4>
      </vt:variant>
      <vt:variant>
        <vt:i4>5</vt:i4>
      </vt:variant>
      <vt:variant>
        <vt:lpwstr>http://www.ncbi.nlm.nih.gov/pubmed/18403272</vt:lpwstr>
      </vt:variant>
      <vt:variant>
        <vt:lpwstr/>
      </vt:variant>
      <vt:variant>
        <vt:i4>3670050</vt:i4>
      </vt:variant>
      <vt:variant>
        <vt:i4>16025</vt:i4>
      </vt:variant>
      <vt:variant>
        <vt:i4>0</vt:i4>
      </vt:variant>
      <vt:variant>
        <vt:i4>5</vt:i4>
      </vt:variant>
      <vt:variant>
        <vt:lpwstr>http://www.ncbi.nlm.nih.gov/pubmed/21615490</vt:lpwstr>
      </vt:variant>
      <vt:variant>
        <vt:lpwstr/>
      </vt:variant>
      <vt:variant>
        <vt:i4>3604513</vt:i4>
      </vt:variant>
      <vt:variant>
        <vt:i4>16022</vt:i4>
      </vt:variant>
      <vt:variant>
        <vt:i4>0</vt:i4>
      </vt:variant>
      <vt:variant>
        <vt:i4>5</vt:i4>
      </vt:variant>
      <vt:variant>
        <vt:lpwstr>http://www.ncbi.nlm.nih.gov/pubmed/20602712</vt:lpwstr>
      </vt:variant>
      <vt:variant>
        <vt:lpwstr/>
      </vt:variant>
      <vt:variant>
        <vt:i4>5308429</vt:i4>
      </vt:variant>
      <vt:variant>
        <vt:i4>16019</vt:i4>
      </vt:variant>
      <vt:variant>
        <vt:i4>0</vt:i4>
      </vt:variant>
      <vt:variant>
        <vt:i4>5</vt:i4>
      </vt:variant>
      <vt:variant>
        <vt:lpwstr>http://www.ncbi.nlm.nih.gov/pubmedhealth/PMH0060479/</vt:lpwstr>
      </vt:variant>
      <vt:variant>
        <vt:lpwstr/>
      </vt:variant>
      <vt:variant>
        <vt:i4>3604515</vt:i4>
      </vt:variant>
      <vt:variant>
        <vt:i4>16016</vt:i4>
      </vt:variant>
      <vt:variant>
        <vt:i4>0</vt:i4>
      </vt:variant>
      <vt:variant>
        <vt:i4>5</vt:i4>
      </vt:variant>
      <vt:variant>
        <vt:lpwstr>http://www.ncbi.nlm.nih.gov/pubmed/17443611</vt:lpwstr>
      </vt:variant>
      <vt:variant>
        <vt:lpwstr/>
      </vt:variant>
      <vt:variant>
        <vt:i4>3276842</vt:i4>
      </vt:variant>
      <vt:variant>
        <vt:i4>16013</vt:i4>
      </vt:variant>
      <vt:variant>
        <vt:i4>0</vt:i4>
      </vt:variant>
      <vt:variant>
        <vt:i4>5</vt:i4>
      </vt:variant>
      <vt:variant>
        <vt:lpwstr>http://www.ncbi.nlm.nih.gov/pubmed/16034978</vt:lpwstr>
      </vt:variant>
      <vt:variant>
        <vt:lpwstr/>
      </vt:variant>
      <vt:variant>
        <vt:i4>393296</vt:i4>
      </vt:variant>
      <vt:variant>
        <vt:i4>16010</vt:i4>
      </vt:variant>
      <vt:variant>
        <vt:i4>0</vt:i4>
      </vt:variant>
      <vt:variant>
        <vt:i4>5</vt:i4>
      </vt:variant>
      <vt:variant>
        <vt:lpwstr>http://www.lni.wa.gov/ClaimsIns/Files/Providers/ProvBulletins/PbFiles/PB0510.pdf</vt:lpwstr>
      </vt:variant>
      <vt:variant>
        <vt:lpwstr/>
      </vt:variant>
      <vt:variant>
        <vt:i4>3145771</vt:i4>
      </vt:variant>
      <vt:variant>
        <vt:i4>16007</vt:i4>
      </vt:variant>
      <vt:variant>
        <vt:i4>0</vt:i4>
      </vt:variant>
      <vt:variant>
        <vt:i4>5</vt:i4>
      </vt:variant>
      <vt:variant>
        <vt:lpwstr>http://www.ncbi.nlm.nih.gov/pubmed/16034857</vt:lpwstr>
      </vt:variant>
      <vt:variant>
        <vt:lpwstr/>
      </vt:variant>
      <vt:variant>
        <vt:i4>3735591</vt:i4>
      </vt:variant>
      <vt:variant>
        <vt:i4>16004</vt:i4>
      </vt:variant>
      <vt:variant>
        <vt:i4>0</vt:i4>
      </vt:variant>
      <vt:variant>
        <vt:i4>5</vt:i4>
      </vt:variant>
      <vt:variant>
        <vt:lpwstr>http://www.ncbi.nlm.nih.gov/pubmed/24806556</vt:lpwstr>
      </vt:variant>
      <vt:variant>
        <vt:lpwstr/>
      </vt:variant>
      <vt:variant>
        <vt:i4>3211300</vt:i4>
      </vt:variant>
      <vt:variant>
        <vt:i4>16001</vt:i4>
      </vt:variant>
      <vt:variant>
        <vt:i4>0</vt:i4>
      </vt:variant>
      <vt:variant>
        <vt:i4>5</vt:i4>
      </vt:variant>
      <vt:variant>
        <vt:lpwstr>http://www.ncbi.nlm.nih.gov/pubmed/11731062</vt:lpwstr>
      </vt:variant>
      <vt:variant>
        <vt:lpwstr/>
      </vt:variant>
      <vt:variant>
        <vt:i4>3407909</vt:i4>
      </vt:variant>
      <vt:variant>
        <vt:i4>15998</vt:i4>
      </vt:variant>
      <vt:variant>
        <vt:i4>0</vt:i4>
      </vt:variant>
      <vt:variant>
        <vt:i4>5</vt:i4>
      </vt:variant>
      <vt:variant>
        <vt:lpwstr>http://www.ncbi.nlm.nih.gov/pubmed/18386306</vt:lpwstr>
      </vt:variant>
      <vt:variant>
        <vt:lpwstr/>
      </vt:variant>
      <vt:variant>
        <vt:i4>3997728</vt:i4>
      </vt:variant>
      <vt:variant>
        <vt:i4>15995</vt:i4>
      </vt:variant>
      <vt:variant>
        <vt:i4>0</vt:i4>
      </vt:variant>
      <vt:variant>
        <vt:i4>5</vt:i4>
      </vt:variant>
      <vt:variant>
        <vt:lpwstr>http://www.ncbi.nlm.nih.gov/pubmed/16207099</vt:lpwstr>
      </vt:variant>
      <vt:variant>
        <vt:lpwstr/>
      </vt:variant>
      <vt:variant>
        <vt:i4>3407911</vt:i4>
      </vt:variant>
      <vt:variant>
        <vt:i4>15992</vt:i4>
      </vt:variant>
      <vt:variant>
        <vt:i4>0</vt:i4>
      </vt:variant>
      <vt:variant>
        <vt:i4>5</vt:i4>
      </vt:variant>
      <vt:variant>
        <vt:lpwstr>http://www.ncbi.nlm.nih.gov/pubmed/21306035</vt:lpwstr>
      </vt:variant>
      <vt:variant>
        <vt:lpwstr/>
      </vt:variant>
      <vt:variant>
        <vt:i4>3735590</vt:i4>
      </vt:variant>
      <vt:variant>
        <vt:i4>15989</vt:i4>
      </vt:variant>
      <vt:variant>
        <vt:i4>0</vt:i4>
      </vt:variant>
      <vt:variant>
        <vt:i4>5</vt:i4>
      </vt:variant>
      <vt:variant>
        <vt:lpwstr>http://www.ncbi.nlm.nih.gov/pubmed/24438771</vt:lpwstr>
      </vt:variant>
      <vt:variant>
        <vt:lpwstr/>
      </vt:variant>
      <vt:variant>
        <vt:i4>3276832</vt:i4>
      </vt:variant>
      <vt:variant>
        <vt:i4>15986</vt:i4>
      </vt:variant>
      <vt:variant>
        <vt:i4>0</vt:i4>
      </vt:variant>
      <vt:variant>
        <vt:i4>5</vt:i4>
      </vt:variant>
      <vt:variant>
        <vt:lpwstr>http://www.ncbi.nlm.nih.gov/pubmed/22065255</vt:lpwstr>
      </vt:variant>
      <vt:variant>
        <vt:lpwstr/>
      </vt:variant>
      <vt:variant>
        <vt:i4>3932199</vt:i4>
      </vt:variant>
      <vt:variant>
        <vt:i4>15983</vt:i4>
      </vt:variant>
      <vt:variant>
        <vt:i4>0</vt:i4>
      </vt:variant>
      <vt:variant>
        <vt:i4>5</vt:i4>
      </vt:variant>
      <vt:variant>
        <vt:lpwstr>http://www.ncbi.nlm.nih.gov/pubmed/16820551</vt:lpwstr>
      </vt:variant>
      <vt:variant>
        <vt:lpwstr/>
      </vt:variant>
      <vt:variant>
        <vt:i4>3407905</vt:i4>
      </vt:variant>
      <vt:variant>
        <vt:i4>15980</vt:i4>
      </vt:variant>
      <vt:variant>
        <vt:i4>0</vt:i4>
      </vt:variant>
      <vt:variant>
        <vt:i4>5</vt:i4>
      </vt:variant>
      <vt:variant>
        <vt:lpwstr>http://www.ncbi.nlm.nih.gov/pubmed/11222458</vt:lpwstr>
      </vt:variant>
      <vt:variant>
        <vt:lpwstr/>
      </vt:variant>
      <vt:variant>
        <vt:i4>3538976</vt:i4>
      </vt:variant>
      <vt:variant>
        <vt:i4>15977</vt:i4>
      </vt:variant>
      <vt:variant>
        <vt:i4>0</vt:i4>
      </vt:variant>
      <vt:variant>
        <vt:i4>5</vt:i4>
      </vt:variant>
      <vt:variant>
        <vt:lpwstr>http://www.ncbi.nlm.nih.gov/pubmed/20704675</vt:lpwstr>
      </vt:variant>
      <vt:variant>
        <vt:lpwstr/>
      </vt:variant>
      <vt:variant>
        <vt:i4>3670059</vt:i4>
      </vt:variant>
      <vt:variant>
        <vt:i4>15974</vt:i4>
      </vt:variant>
      <vt:variant>
        <vt:i4>0</vt:i4>
      </vt:variant>
      <vt:variant>
        <vt:i4>5</vt:i4>
      </vt:variant>
      <vt:variant>
        <vt:lpwstr>http://www.ncbi.nlm.nih.gov/pubmed/12098613</vt:lpwstr>
      </vt:variant>
      <vt:variant>
        <vt:lpwstr/>
      </vt:variant>
      <vt:variant>
        <vt:i4>851979</vt:i4>
      </vt:variant>
      <vt:variant>
        <vt:i4>15971</vt:i4>
      </vt:variant>
      <vt:variant>
        <vt:i4>0</vt:i4>
      </vt:variant>
      <vt:variant>
        <vt:i4>5</vt:i4>
      </vt:variant>
      <vt:variant>
        <vt:lpwstr>http://www.hca.wa.gov/hta/documents/it_pump_findings_decision_112408.pdf</vt:lpwstr>
      </vt:variant>
      <vt:variant>
        <vt:lpwstr/>
      </vt:variant>
      <vt:variant>
        <vt:i4>7274563</vt:i4>
      </vt:variant>
      <vt:variant>
        <vt:i4>15968</vt:i4>
      </vt:variant>
      <vt:variant>
        <vt:i4>0</vt:i4>
      </vt:variant>
      <vt:variant>
        <vt:i4>5</vt:i4>
      </vt:variant>
      <vt:variant>
        <vt:lpwstr>http://www.odg-twc.com/States/Washington/Washington_state.pdf</vt:lpwstr>
      </vt:variant>
      <vt:variant>
        <vt:lpwstr/>
      </vt:variant>
      <vt:variant>
        <vt:i4>2228294</vt:i4>
      </vt:variant>
      <vt:variant>
        <vt:i4>15965</vt:i4>
      </vt:variant>
      <vt:variant>
        <vt:i4>0</vt:i4>
      </vt:variant>
      <vt:variant>
        <vt:i4>5</vt:i4>
      </vt:variant>
      <vt:variant>
        <vt:lpwstr>http://www.guideline.gov/summary/summary.aspx?doc_id=4218</vt:lpwstr>
      </vt:variant>
      <vt:variant>
        <vt:lpwstr/>
      </vt:variant>
      <vt:variant>
        <vt:i4>7471201</vt:i4>
      </vt:variant>
      <vt:variant>
        <vt:i4>15962</vt:i4>
      </vt:variant>
      <vt:variant>
        <vt:i4>0</vt:i4>
      </vt:variant>
      <vt:variant>
        <vt:i4>5</vt:i4>
      </vt:variant>
      <vt:variant>
        <vt:lpwstr>http://www.odg-twc.com/odgtwc/low_back_files/Dynatron.pdf</vt:lpwstr>
      </vt:variant>
      <vt:variant>
        <vt:lpwstr/>
      </vt:variant>
      <vt:variant>
        <vt:i4>3342370</vt:i4>
      </vt:variant>
      <vt:variant>
        <vt:i4>15959</vt:i4>
      </vt:variant>
      <vt:variant>
        <vt:i4>0</vt:i4>
      </vt:variant>
      <vt:variant>
        <vt:i4>5</vt:i4>
      </vt:variant>
      <vt:variant>
        <vt:lpwstr>http://www.ncbi.nlm.nih.gov/pubmed/15546515</vt:lpwstr>
      </vt:variant>
      <vt:variant>
        <vt:lpwstr/>
      </vt:variant>
      <vt:variant>
        <vt:i4>3473442</vt:i4>
      </vt:variant>
      <vt:variant>
        <vt:i4>15956</vt:i4>
      </vt:variant>
      <vt:variant>
        <vt:i4>0</vt:i4>
      </vt:variant>
      <vt:variant>
        <vt:i4>5</vt:i4>
      </vt:variant>
      <vt:variant>
        <vt:lpwstr>http://www.ncbi.nlm.nih.gov/pubmed/14736355</vt:lpwstr>
      </vt:variant>
      <vt:variant>
        <vt:lpwstr/>
      </vt:variant>
      <vt:variant>
        <vt:i4>3276835</vt:i4>
      </vt:variant>
      <vt:variant>
        <vt:i4>15953</vt:i4>
      </vt:variant>
      <vt:variant>
        <vt:i4>0</vt:i4>
      </vt:variant>
      <vt:variant>
        <vt:i4>5</vt:i4>
      </vt:variant>
      <vt:variant>
        <vt:lpwstr>http://www.ncbi.nlm.nih.gov/pubmed/23574118</vt:lpwstr>
      </vt:variant>
      <vt:variant>
        <vt:lpwstr/>
      </vt:variant>
      <vt:variant>
        <vt:i4>3538983</vt:i4>
      </vt:variant>
      <vt:variant>
        <vt:i4>15950</vt:i4>
      </vt:variant>
      <vt:variant>
        <vt:i4>0</vt:i4>
      </vt:variant>
      <vt:variant>
        <vt:i4>5</vt:i4>
      </vt:variant>
      <vt:variant>
        <vt:lpwstr>http://www.ncbi.nlm.nih.gov/pubmed/16712626</vt:lpwstr>
      </vt:variant>
      <vt:variant>
        <vt:lpwstr/>
      </vt:variant>
      <vt:variant>
        <vt:i4>3145767</vt:i4>
      </vt:variant>
      <vt:variant>
        <vt:i4>15947</vt:i4>
      </vt:variant>
      <vt:variant>
        <vt:i4>0</vt:i4>
      </vt:variant>
      <vt:variant>
        <vt:i4>5</vt:i4>
      </vt:variant>
      <vt:variant>
        <vt:lpwstr>http://www.ncbi.nlm.nih.gov/pubmed/23226064</vt:lpwstr>
      </vt:variant>
      <vt:variant>
        <vt:lpwstr/>
      </vt:variant>
      <vt:variant>
        <vt:i4>3866663</vt:i4>
      </vt:variant>
      <vt:variant>
        <vt:i4>15944</vt:i4>
      </vt:variant>
      <vt:variant>
        <vt:i4>0</vt:i4>
      </vt:variant>
      <vt:variant>
        <vt:i4>5</vt:i4>
      </vt:variant>
      <vt:variant>
        <vt:lpwstr>http://www.ncbi.nlm.nih.gov/pubmed/16946355</vt:lpwstr>
      </vt:variant>
      <vt:variant>
        <vt:lpwstr/>
      </vt:variant>
      <vt:variant>
        <vt:i4>3211298</vt:i4>
      </vt:variant>
      <vt:variant>
        <vt:i4>15941</vt:i4>
      </vt:variant>
      <vt:variant>
        <vt:i4>0</vt:i4>
      </vt:variant>
      <vt:variant>
        <vt:i4>5</vt:i4>
      </vt:variant>
      <vt:variant>
        <vt:lpwstr>http://www.ncbi.nlm.nih.gov/pubmed/19293415</vt:lpwstr>
      </vt:variant>
      <vt:variant>
        <vt:lpwstr/>
      </vt:variant>
      <vt:variant>
        <vt:i4>3538983</vt:i4>
      </vt:variant>
      <vt:variant>
        <vt:i4>15938</vt:i4>
      </vt:variant>
      <vt:variant>
        <vt:i4>0</vt:i4>
      </vt:variant>
      <vt:variant>
        <vt:i4>5</vt:i4>
      </vt:variant>
      <vt:variant>
        <vt:lpwstr>http://www.ncbi.nlm.nih.gov/pubmed/16926582</vt:lpwstr>
      </vt:variant>
      <vt:variant>
        <vt:lpwstr/>
      </vt:variant>
      <vt:variant>
        <vt:i4>3407906</vt:i4>
      </vt:variant>
      <vt:variant>
        <vt:i4>15935</vt:i4>
      </vt:variant>
      <vt:variant>
        <vt:i4>0</vt:i4>
      </vt:variant>
      <vt:variant>
        <vt:i4>5</vt:i4>
      </vt:variant>
      <vt:variant>
        <vt:lpwstr>http://www.ncbi.nlm.nih.gov/pubmed/7757046</vt:lpwstr>
      </vt:variant>
      <vt:variant>
        <vt:lpwstr/>
      </vt:variant>
      <vt:variant>
        <vt:i4>4128803</vt:i4>
      </vt:variant>
      <vt:variant>
        <vt:i4>15932</vt:i4>
      </vt:variant>
      <vt:variant>
        <vt:i4>0</vt:i4>
      </vt:variant>
      <vt:variant>
        <vt:i4>5</vt:i4>
      </vt:variant>
      <vt:variant>
        <vt:lpwstr>http://www.ncbi.nlm.nih.gov/pubmed/10639611</vt:lpwstr>
      </vt:variant>
      <vt:variant>
        <vt:lpwstr/>
      </vt:variant>
      <vt:variant>
        <vt:i4>3735588</vt:i4>
      </vt:variant>
      <vt:variant>
        <vt:i4>15929</vt:i4>
      </vt:variant>
      <vt:variant>
        <vt:i4>0</vt:i4>
      </vt:variant>
      <vt:variant>
        <vt:i4>5</vt:i4>
      </vt:variant>
      <vt:variant>
        <vt:lpwstr>http://www.ncbi.nlm.nih.gov/pubmed/8105263</vt:lpwstr>
      </vt:variant>
      <vt:variant>
        <vt:lpwstr/>
      </vt:variant>
      <vt:variant>
        <vt:i4>3211299</vt:i4>
      </vt:variant>
      <vt:variant>
        <vt:i4>15926</vt:i4>
      </vt:variant>
      <vt:variant>
        <vt:i4>0</vt:i4>
      </vt:variant>
      <vt:variant>
        <vt:i4>5</vt:i4>
      </vt:variant>
      <vt:variant>
        <vt:lpwstr>http://www.ncbi.nlm.nih.gov/pubmed/8365837</vt:lpwstr>
      </vt:variant>
      <vt:variant>
        <vt:lpwstr/>
      </vt:variant>
      <vt:variant>
        <vt:i4>3866662</vt:i4>
      </vt:variant>
      <vt:variant>
        <vt:i4>15923</vt:i4>
      </vt:variant>
      <vt:variant>
        <vt:i4>0</vt:i4>
      </vt:variant>
      <vt:variant>
        <vt:i4>5</vt:i4>
      </vt:variant>
      <vt:variant>
        <vt:lpwstr>http://www.ncbi.nlm.nih.gov/pubmed/17309707</vt:lpwstr>
      </vt:variant>
      <vt:variant>
        <vt:lpwstr/>
      </vt:variant>
      <vt:variant>
        <vt:i4>3735592</vt:i4>
      </vt:variant>
      <vt:variant>
        <vt:i4>15920</vt:i4>
      </vt:variant>
      <vt:variant>
        <vt:i4>0</vt:i4>
      </vt:variant>
      <vt:variant>
        <vt:i4>5</vt:i4>
      </vt:variant>
      <vt:variant>
        <vt:lpwstr>http://www.ncbi.nlm.nih.gov/pubmed/21971833</vt:lpwstr>
      </vt:variant>
      <vt:variant>
        <vt:lpwstr/>
      </vt:variant>
      <vt:variant>
        <vt:i4>3211298</vt:i4>
      </vt:variant>
      <vt:variant>
        <vt:i4>15917</vt:i4>
      </vt:variant>
      <vt:variant>
        <vt:i4>0</vt:i4>
      </vt:variant>
      <vt:variant>
        <vt:i4>5</vt:i4>
      </vt:variant>
      <vt:variant>
        <vt:lpwstr>http://www.ncbi.nlm.nih.gov/pubmed/16320031</vt:lpwstr>
      </vt:variant>
      <vt:variant>
        <vt:lpwstr/>
      </vt:variant>
      <vt:variant>
        <vt:i4>3276835</vt:i4>
      </vt:variant>
      <vt:variant>
        <vt:i4>15914</vt:i4>
      </vt:variant>
      <vt:variant>
        <vt:i4>0</vt:i4>
      </vt:variant>
      <vt:variant>
        <vt:i4>5</vt:i4>
      </vt:variant>
      <vt:variant>
        <vt:lpwstr>http://www.ncbi.nlm.nih.gov/pubmed/11013503</vt:lpwstr>
      </vt:variant>
      <vt:variant>
        <vt:lpwstr/>
      </vt:variant>
      <vt:variant>
        <vt:i4>3997733</vt:i4>
      </vt:variant>
      <vt:variant>
        <vt:i4>15911</vt:i4>
      </vt:variant>
      <vt:variant>
        <vt:i4>0</vt:i4>
      </vt:variant>
      <vt:variant>
        <vt:i4>5</vt:i4>
      </vt:variant>
      <vt:variant>
        <vt:lpwstr>http://www.ncbi.nlm.nih.gov/pubmed/9322325</vt:lpwstr>
      </vt:variant>
      <vt:variant>
        <vt:lpwstr/>
      </vt:variant>
      <vt:variant>
        <vt:i4>1507400</vt:i4>
      </vt:variant>
      <vt:variant>
        <vt:i4>15908</vt:i4>
      </vt:variant>
      <vt:variant>
        <vt:i4>0</vt:i4>
      </vt:variant>
      <vt:variant>
        <vt:i4>5</vt:i4>
      </vt:variant>
      <vt:variant>
        <vt:lpwstr>http://www.bmj.com/cgi/content/full/322/7301/1511/DC1.htm</vt:lpwstr>
      </vt:variant>
      <vt:variant>
        <vt:lpwstr/>
      </vt:variant>
      <vt:variant>
        <vt:i4>3342372</vt:i4>
      </vt:variant>
      <vt:variant>
        <vt:i4>15905</vt:i4>
      </vt:variant>
      <vt:variant>
        <vt:i4>0</vt:i4>
      </vt:variant>
      <vt:variant>
        <vt:i4>5</vt:i4>
      </vt:variant>
      <vt:variant>
        <vt:lpwstr>http://www.ncbi.nlm.nih.gov/pubmed/19232828</vt:lpwstr>
      </vt:variant>
      <vt:variant>
        <vt:lpwstr/>
      </vt:variant>
      <vt:variant>
        <vt:i4>3473451</vt:i4>
      </vt:variant>
      <vt:variant>
        <vt:i4>15902</vt:i4>
      </vt:variant>
      <vt:variant>
        <vt:i4>0</vt:i4>
      </vt:variant>
      <vt:variant>
        <vt:i4>5</vt:i4>
      </vt:variant>
      <vt:variant>
        <vt:lpwstr>http://www.ncbi.nlm.nih.gov/pubmed/17224822</vt:lpwstr>
      </vt:variant>
      <vt:variant>
        <vt:lpwstr/>
      </vt:variant>
      <vt:variant>
        <vt:i4>3538977</vt:i4>
      </vt:variant>
      <vt:variant>
        <vt:i4>15899</vt:i4>
      </vt:variant>
      <vt:variant>
        <vt:i4>0</vt:i4>
      </vt:variant>
      <vt:variant>
        <vt:i4>5</vt:i4>
      </vt:variant>
      <vt:variant>
        <vt:lpwstr>http://www.ncbi.nlm.nih.gov/pubmed/22143169</vt:lpwstr>
      </vt:variant>
      <vt:variant>
        <vt:lpwstr/>
      </vt:variant>
      <vt:variant>
        <vt:i4>3670053</vt:i4>
      </vt:variant>
      <vt:variant>
        <vt:i4>15896</vt:i4>
      </vt:variant>
      <vt:variant>
        <vt:i4>0</vt:i4>
      </vt:variant>
      <vt:variant>
        <vt:i4>5</vt:i4>
      </vt:variant>
      <vt:variant>
        <vt:lpwstr>http://www.ncbi.nlm.nih.gov/pubmed/20807353</vt:lpwstr>
      </vt:variant>
      <vt:variant>
        <vt:lpwstr/>
      </vt:variant>
      <vt:variant>
        <vt:i4>3342374</vt:i4>
      </vt:variant>
      <vt:variant>
        <vt:i4>15893</vt:i4>
      </vt:variant>
      <vt:variant>
        <vt:i4>0</vt:i4>
      </vt:variant>
      <vt:variant>
        <vt:i4>5</vt:i4>
      </vt:variant>
      <vt:variant>
        <vt:lpwstr>http://www.ncbi.nlm.nih.gov/pubmed/23223108</vt:lpwstr>
      </vt:variant>
      <vt:variant>
        <vt:lpwstr/>
      </vt:variant>
      <vt:variant>
        <vt:i4>1048658</vt:i4>
      </vt:variant>
      <vt:variant>
        <vt:i4>15890</vt:i4>
      </vt:variant>
      <vt:variant>
        <vt:i4>0</vt:i4>
      </vt:variant>
      <vt:variant>
        <vt:i4>5</vt:i4>
      </vt:variant>
      <vt:variant>
        <vt:lpwstr>https://www.myuhc.com/content/myuhc/Member/Assets/Pdfs/Intrathecal Pump for Chronic Nonmalignant Pain.pdf</vt:lpwstr>
      </vt:variant>
      <vt:variant>
        <vt:lpwstr/>
      </vt:variant>
      <vt:variant>
        <vt:i4>3211302</vt:i4>
      </vt:variant>
      <vt:variant>
        <vt:i4>15887</vt:i4>
      </vt:variant>
      <vt:variant>
        <vt:i4>0</vt:i4>
      </vt:variant>
      <vt:variant>
        <vt:i4>5</vt:i4>
      </vt:variant>
      <vt:variant>
        <vt:lpwstr>http://www.ncbi.nlm.nih.gov/pubmed/23246778</vt:lpwstr>
      </vt:variant>
      <vt:variant>
        <vt:lpwstr/>
      </vt:variant>
      <vt:variant>
        <vt:i4>3735597</vt:i4>
      </vt:variant>
      <vt:variant>
        <vt:i4>15884</vt:i4>
      </vt:variant>
      <vt:variant>
        <vt:i4>0</vt:i4>
      </vt:variant>
      <vt:variant>
        <vt:i4>5</vt:i4>
      </vt:variant>
      <vt:variant>
        <vt:lpwstr>http://www.ncbi.nlm.nih.gov/pubmed/10729965</vt:lpwstr>
      </vt:variant>
      <vt:variant>
        <vt:lpwstr/>
      </vt:variant>
      <vt:variant>
        <vt:i4>3473441</vt:i4>
      </vt:variant>
      <vt:variant>
        <vt:i4>15881</vt:i4>
      </vt:variant>
      <vt:variant>
        <vt:i4>0</vt:i4>
      </vt:variant>
      <vt:variant>
        <vt:i4>5</vt:i4>
      </vt:variant>
      <vt:variant>
        <vt:lpwstr>http://www.ncbi.nlm.nih.gov/pubmed/8604459</vt:lpwstr>
      </vt:variant>
      <vt:variant>
        <vt:lpwstr/>
      </vt:variant>
      <vt:variant>
        <vt:i4>4128809</vt:i4>
      </vt:variant>
      <vt:variant>
        <vt:i4>15878</vt:i4>
      </vt:variant>
      <vt:variant>
        <vt:i4>0</vt:i4>
      </vt:variant>
      <vt:variant>
        <vt:i4>5</vt:i4>
      </vt:variant>
      <vt:variant>
        <vt:lpwstr>http://www.ncbi.nlm.nih.gov/pubmed/9701294</vt:lpwstr>
      </vt:variant>
      <vt:variant>
        <vt:lpwstr/>
      </vt:variant>
      <vt:variant>
        <vt:i4>3276842</vt:i4>
      </vt:variant>
      <vt:variant>
        <vt:i4>15875</vt:i4>
      </vt:variant>
      <vt:variant>
        <vt:i4>0</vt:i4>
      </vt:variant>
      <vt:variant>
        <vt:i4>5</vt:i4>
      </vt:variant>
      <vt:variant>
        <vt:lpwstr>http://www.ncbi.nlm.nih.gov/pubmed/18346069</vt:lpwstr>
      </vt:variant>
      <vt:variant>
        <vt:lpwstr/>
      </vt:variant>
      <vt:variant>
        <vt:i4>3473450</vt:i4>
      </vt:variant>
      <vt:variant>
        <vt:i4>15872</vt:i4>
      </vt:variant>
      <vt:variant>
        <vt:i4>0</vt:i4>
      </vt:variant>
      <vt:variant>
        <vt:i4>5</vt:i4>
      </vt:variant>
      <vt:variant>
        <vt:lpwstr>http://www.ncbi.nlm.nih.gov/pubmed/18574359</vt:lpwstr>
      </vt:variant>
      <vt:variant>
        <vt:lpwstr/>
      </vt:variant>
      <vt:variant>
        <vt:i4>852070</vt:i4>
      </vt:variant>
      <vt:variant>
        <vt:i4>15869</vt:i4>
      </vt:variant>
      <vt:variant>
        <vt:i4>0</vt:i4>
      </vt:variant>
      <vt:variant>
        <vt:i4>5</vt:i4>
      </vt:variant>
      <vt:variant>
        <vt:lpwstr>E:\AppData\Local\Microsoft\Windows\Temporary Internet Files\Content.Outlook\AppData\Local\Microsoft\Windows\Temporary Internet Files\Content.Outlook\50QE161U\Pain_files\tulder_excercise.htm</vt:lpwstr>
      </vt:variant>
      <vt:variant>
        <vt:lpwstr/>
      </vt:variant>
      <vt:variant>
        <vt:i4>6946922</vt:i4>
      </vt:variant>
      <vt:variant>
        <vt:i4>15866</vt:i4>
      </vt:variant>
      <vt:variant>
        <vt:i4>0</vt:i4>
      </vt:variant>
      <vt:variant>
        <vt:i4>5</vt:i4>
      </vt:variant>
      <vt:variant>
        <vt:lpwstr>http://dailymed.nlm.nih.gov/dailymed/drugInfo.cfm?id=11221</vt:lpwstr>
      </vt:variant>
      <vt:variant>
        <vt:lpwstr/>
      </vt:variant>
      <vt:variant>
        <vt:i4>3211301</vt:i4>
      </vt:variant>
      <vt:variant>
        <vt:i4>15863</vt:i4>
      </vt:variant>
      <vt:variant>
        <vt:i4>0</vt:i4>
      </vt:variant>
      <vt:variant>
        <vt:i4>5</vt:i4>
      </vt:variant>
      <vt:variant>
        <vt:lpwstr>http://www.ncbi.nlm.nih.gov/pubmed/20054678</vt:lpwstr>
      </vt:variant>
      <vt:variant>
        <vt:lpwstr/>
      </vt:variant>
      <vt:variant>
        <vt:i4>3145764</vt:i4>
      </vt:variant>
      <vt:variant>
        <vt:i4>15860</vt:i4>
      </vt:variant>
      <vt:variant>
        <vt:i4>0</vt:i4>
      </vt:variant>
      <vt:variant>
        <vt:i4>5</vt:i4>
      </vt:variant>
      <vt:variant>
        <vt:lpwstr>http://www.ncbi.nlm.nih.gov/pubmed/16720668</vt:lpwstr>
      </vt:variant>
      <vt:variant>
        <vt:lpwstr/>
      </vt:variant>
      <vt:variant>
        <vt:i4>3932199</vt:i4>
      </vt:variant>
      <vt:variant>
        <vt:i4>15857</vt:i4>
      </vt:variant>
      <vt:variant>
        <vt:i4>0</vt:i4>
      </vt:variant>
      <vt:variant>
        <vt:i4>5</vt:i4>
      </vt:variant>
      <vt:variant>
        <vt:lpwstr>http://www.ncbi.nlm.nih.gov/pubmed/18804915</vt:lpwstr>
      </vt:variant>
      <vt:variant>
        <vt:lpwstr/>
      </vt:variant>
      <vt:variant>
        <vt:i4>3801120</vt:i4>
      </vt:variant>
      <vt:variant>
        <vt:i4>15854</vt:i4>
      </vt:variant>
      <vt:variant>
        <vt:i4>0</vt:i4>
      </vt:variant>
      <vt:variant>
        <vt:i4>5</vt:i4>
      </vt:variant>
      <vt:variant>
        <vt:lpwstr>http://www.ncbi.nlm.nih.gov/pubmed/16937355</vt:lpwstr>
      </vt:variant>
      <vt:variant>
        <vt:lpwstr/>
      </vt:variant>
      <vt:variant>
        <vt:i4>3604520</vt:i4>
      </vt:variant>
      <vt:variant>
        <vt:i4>15851</vt:i4>
      </vt:variant>
      <vt:variant>
        <vt:i4>0</vt:i4>
      </vt:variant>
      <vt:variant>
        <vt:i4>5</vt:i4>
      </vt:variant>
      <vt:variant>
        <vt:lpwstr>http://www.ncbi.nlm.nih.gov/pubmed/16511925</vt:lpwstr>
      </vt:variant>
      <vt:variant>
        <vt:lpwstr/>
      </vt:variant>
      <vt:variant>
        <vt:i4>3473447</vt:i4>
      </vt:variant>
      <vt:variant>
        <vt:i4>15848</vt:i4>
      </vt:variant>
      <vt:variant>
        <vt:i4>0</vt:i4>
      </vt:variant>
      <vt:variant>
        <vt:i4>5</vt:i4>
      </vt:variant>
      <vt:variant>
        <vt:lpwstr>http://www.ncbi.nlm.nih.gov/pubmed/16437479</vt:lpwstr>
      </vt:variant>
      <vt:variant>
        <vt:lpwstr/>
      </vt:variant>
      <vt:variant>
        <vt:i4>3276839</vt:i4>
      </vt:variant>
      <vt:variant>
        <vt:i4>15845</vt:i4>
      </vt:variant>
      <vt:variant>
        <vt:i4>0</vt:i4>
      </vt:variant>
      <vt:variant>
        <vt:i4>5</vt:i4>
      </vt:variant>
      <vt:variant>
        <vt:lpwstr>http://www.ncbi.nlm.nih.gov/pubmed/11279782</vt:lpwstr>
      </vt:variant>
      <vt:variant>
        <vt:lpwstr/>
      </vt:variant>
      <vt:variant>
        <vt:i4>3997737</vt:i4>
      </vt:variant>
      <vt:variant>
        <vt:i4>15842</vt:i4>
      </vt:variant>
      <vt:variant>
        <vt:i4>0</vt:i4>
      </vt:variant>
      <vt:variant>
        <vt:i4>5</vt:i4>
      </vt:variant>
      <vt:variant>
        <vt:lpwstr>http://www.ncbi.nlm.nih.gov/pubmed/15530999</vt:lpwstr>
      </vt:variant>
      <vt:variant>
        <vt:lpwstr/>
      </vt:variant>
      <vt:variant>
        <vt:i4>3473455</vt:i4>
      </vt:variant>
      <vt:variant>
        <vt:i4>15839</vt:i4>
      </vt:variant>
      <vt:variant>
        <vt:i4>0</vt:i4>
      </vt:variant>
      <vt:variant>
        <vt:i4>5</vt:i4>
      </vt:variant>
      <vt:variant>
        <vt:lpwstr>http://www.ncbi.nlm.nih.gov/pubmed/17596770</vt:lpwstr>
      </vt:variant>
      <vt:variant>
        <vt:lpwstr/>
      </vt:variant>
      <vt:variant>
        <vt:i4>4128801</vt:i4>
      </vt:variant>
      <vt:variant>
        <vt:i4>15836</vt:i4>
      </vt:variant>
      <vt:variant>
        <vt:i4>0</vt:i4>
      </vt:variant>
      <vt:variant>
        <vt:i4>5</vt:i4>
      </vt:variant>
      <vt:variant>
        <vt:lpwstr>http://www.ncbi.nlm.nih.gov/pubmed/14872449</vt:lpwstr>
      </vt:variant>
      <vt:variant>
        <vt:lpwstr/>
      </vt:variant>
      <vt:variant>
        <vt:i4>3342370</vt:i4>
      </vt:variant>
      <vt:variant>
        <vt:i4>15833</vt:i4>
      </vt:variant>
      <vt:variant>
        <vt:i4>0</vt:i4>
      </vt:variant>
      <vt:variant>
        <vt:i4>5</vt:i4>
      </vt:variant>
      <vt:variant>
        <vt:lpwstr>http://www.ncbi.nlm.nih.gov/pubmed/15046545</vt:lpwstr>
      </vt:variant>
      <vt:variant>
        <vt:lpwstr/>
      </vt:variant>
      <vt:variant>
        <vt:i4>3276841</vt:i4>
      </vt:variant>
      <vt:variant>
        <vt:i4>15830</vt:i4>
      </vt:variant>
      <vt:variant>
        <vt:i4>0</vt:i4>
      </vt:variant>
      <vt:variant>
        <vt:i4>5</vt:i4>
      </vt:variant>
      <vt:variant>
        <vt:lpwstr>http://www.ncbi.nlm.nih.gov/pubmed/16703976</vt:lpwstr>
      </vt:variant>
      <vt:variant>
        <vt:lpwstr/>
      </vt:variant>
      <vt:variant>
        <vt:i4>3538978</vt:i4>
      </vt:variant>
      <vt:variant>
        <vt:i4>15827</vt:i4>
      </vt:variant>
      <vt:variant>
        <vt:i4>0</vt:i4>
      </vt:variant>
      <vt:variant>
        <vt:i4>5</vt:i4>
      </vt:variant>
      <vt:variant>
        <vt:lpwstr>http://www.ncbi.nlm.nih.gov/pubmed/23537462</vt:lpwstr>
      </vt:variant>
      <vt:variant>
        <vt:lpwstr/>
      </vt:variant>
      <vt:variant>
        <vt:i4>3932200</vt:i4>
      </vt:variant>
      <vt:variant>
        <vt:i4>15824</vt:i4>
      </vt:variant>
      <vt:variant>
        <vt:i4>0</vt:i4>
      </vt:variant>
      <vt:variant>
        <vt:i4>5</vt:i4>
      </vt:variant>
      <vt:variant>
        <vt:lpwstr>http://www.ncbi.nlm.nih.gov/pubmed/18648239</vt:lpwstr>
      </vt:variant>
      <vt:variant>
        <vt:lpwstr/>
      </vt:variant>
      <vt:variant>
        <vt:i4>3211297</vt:i4>
      </vt:variant>
      <vt:variant>
        <vt:i4>15821</vt:i4>
      </vt:variant>
      <vt:variant>
        <vt:i4>0</vt:i4>
      </vt:variant>
      <vt:variant>
        <vt:i4>5</vt:i4>
      </vt:variant>
      <vt:variant>
        <vt:lpwstr>http://www.ncbi.nlm.nih.gov/pubmed/21766023</vt:lpwstr>
      </vt:variant>
      <vt:variant>
        <vt:lpwstr/>
      </vt:variant>
      <vt:variant>
        <vt:i4>3342374</vt:i4>
      </vt:variant>
      <vt:variant>
        <vt:i4>15818</vt:i4>
      </vt:variant>
      <vt:variant>
        <vt:i4>0</vt:i4>
      </vt:variant>
      <vt:variant>
        <vt:i4>5</vt:i4>
      </vt:variant>
      <vt:variant>
        <vt:lpwstr>http://www.ncbi.nlm.nih.gov/pubmed/16310712</vt:lpwstr>
      </vt:variant>
      <vt:variant>
        <vt:lpwstr/>
      </vt:variant>
      <vt:variant>
        <vt:i4>5242906</vt:i4>
      </vt:variant>
      <vt:variant>
        <vt:i4>15815</vt:i4>
      </vt:variant>
      <vt:variant>
        <vt:i4>0</vt:i4>
      </vt:variant>
      <vt:variant>
        <vt:i4>5</vt:i4>
      </vt:variant>
      <vt:variant>
        <vt:lpwstr>E:\AppData\Local\Microsoft\Windows\Temporary Internet Files\Content.Outlook\AppData\Local\Microsoft\Windows\Temporary Internet Files\Content.Outlook\50QE161U\Pain_files\taylor.pdf</vt:lpwstr>
      </vt:variant>
      <vt:variant>
        <vt:lpwstr/>
      </vt:variant>
      <vt:variant>
        <vt:i4>3866660</vt:i4>
      </vt:variant>
      <vt:variant>
        <vt:i4>15812</vt:i4>
      </vt:variant>
      <vt:variant>
        <vt:i4>0</vt:i4>
      </vt:variant>
      <vt:variant>
        <vt:i4>5</vt:i4>
      </vt:variant>
      <vt:variant>
        <vt:lpwstr>http://www.ncbi.nlm.nih.gov/pubmed/15340391</vt:lpwstr>
      </vt:variant>
      <vt:variant>
        <vt:lpwstr/>
      </vt:variant>
      <vt:variant>
        <vt:i4>4128806</vt:i4>
      </vt:variant>
      <vt:variant>
        <vt:i4>15809</vt:i4>
      </vt:variant>
      <vt:variant>
        <vt:i4>0</vt:i4>
      </vt:variant>
      <vt:variant>
        <vt:i4>5</vt:i4>
      </vt:variant>
      <vt:variant>
        <vt:lpwstr>http://www.ncbi.nlm.nih.gov/pubmed/17379045</vt:lpwstr>
      </vt:variant>
      <vt:variant>
        <vt:lpwstr/>
      </vt:variant>
      <vt:variant>
        <vt:i4>3866659</vt:i4>
      </vt:variant>
      <vt:variant>
        <vt:i4>15806</vt:i4>
      </vt:variant>
      <vt:variant>
        <vt:i4>0</vt:i4>
      </vt:variant>
      <vt:variant>
        <vt:i4>5</vt:i4>
      </vt:variant>
      <vt:variant>
        <vt:lpwstr>http://www.ncbi.nlm.nih.gov/pubmed/22942324</vt:lpwstr>
      </vt:variant>
      <vt:variant>
        <vt:lpwstr/>
      </vt:variant>
      <vt:variant>
        <vt:i4>4128806</vt:i4>
      </vt:variant>
      <vt:variant>
        <vt:i4>15803</vt:i4>
      </vt:variant>
      <vt:variant>
        <vt:i4>0</vt:i4>
      </vt:variant>
      <vt:variant>
        <vt:i4>5</vt:i4>
      </vt:variant>
      <vt:variant>
        <vt:lpwstr>http://www.ncbi.nlm.nih.gov/pubmed/15851079</vt:lpwstr>
      </vt:variant>
      <vt:variant>
        <vt:lpwstr/>
      </vt:variant>
      <vt:variant>
        <vt:i4>3407904</vt:i4>
      </vt:variant>
      <vt:variant>
        <vt:i4>15800</vt:i4>
      </vt:variant>
      <vt:variant>
        <vt:i4>0</vt:i4>
      </vt:variant>
      <vt:variant>
        <vt:i4>5</vt:i4>
      </vt:variant>
      <vt:variant>
        <vt:lpwstr>http://www.ncbi.nlm.nih.gov/pubmed/21629595</vt:lpwstr>
      </vt:variant>
      <vt:variant>
        <vt:lpwstr/>
      </vt:variant>
      <vt:variant>
        <vt:i4>3211304</vt:i4>
      </vt:variant>
      <vt:variant>
        <vt:i4>15797</vt:i4>
      </vt:variant>
      <vt:variant>
        <vt:i4>0</vt:i4>
      </vt:variant>
      <vt:variant>
        <vt:i4>5</vt:i4>
      </vt:variant>
      <vt:variant>
        <vt:lpwstr>http://www.ncbi.nlm.nih.gov/pubmed/16386058</vt:lpwstr>
      </vt:variant>
      <vt:variant>
        <vt:lpwstr/>
      </vt:variant>
      <vt:variant>
        <vt:i4>3866659</vt:i4>
      </vt:variant>
      <vt:variant>
        <vt:i4>15794</vt:i4>
      </vt:variant>
      <vt:variant>
        <vt:i4>0</vt:i4>
      </vt:variant>
      <vt:variant>
        <vt:i4>5</vt:i4>
      </vt:variant>
      <vt:variant>
        <vt:lpwstr>http://www.ncbi.nlm.nih.gov/pubmed/16119228</vt:lpwstr>
      </vt:variant>
      <vt:variant>
        <vt:lpwstr/>
      </vt:variant>
      <vt:variant>
        <vt:i4>3997737</vt:i4>
      </vt:variant>
      <vt:variant>
        <vt:i4>15791</vt:i4>
      </vt:variant>
      <vt:variant>
        <vt:i4>0</vt:i4>
      </vt:variant>
      <vt:variant>
        <vt:i4>5</vt:i4>
      </vt:variant>
      <vt:variant>
        <vt:lpwstr>http://www.ncbi.nlm.nih.gov/pubmed/16298066</vt:lpwstr>
      </vt:variant>
      <vt:variant>
        <vt:lpwstr/>
      </vt:variant>
      <vt:variant>
        <vt:i4>3276834</vt:i4>
      </vt:variant>
      <vt:variant>
        <vt:i4>15788</vt:i4>
      </vt:variant>
      <vt:variant>
        <vt:i4>0</vt:i4>
      </vt:variant>
      <vt:variant>
        <vt:i4>5</vt:i4>
      </vt:variant>
      <vt:variant>
        <vt:lpwstr>http://www.ncbi.nlm.nih.gov/pubmed/17060538</vt:lpwstr>
      </vt:variant>
      <vt:variant>
        <vt:lpwstr/>
      </vt:variant>
      <vt:variant>
        <vt:i4>3211311</vt:i4>
      </vt:variant>
      <vt:variant>
        <vt:i4>15785</vt:i4>
      </vt:variant>
      <vt:variant>
        <vt:i4>0</vt:i4>
      </vt:variant>
      <vt:variant>
        <vt:i4>5</vt:i4>
      </vt:variant>
      <vt:variant>
        <vt:lpwstr>http://www.ncbi.nlm.nih.gov/pubmed/2949196</vt:lpwstr>
      </vt:variant>
      <vt:variant>
        <vt:lpwstr/>
      </vt:variant>
      <vt:variant>
        <vt:i4>3997735</vt:i4>
      </vt:variant>
      <vt:variant>
        <vt:i4>15782</vt:i4>
      </vt:variant>
      <vt:variant>
        <vt:i4>0</vt:i4>
      </vt:variant>
      <vt:variant>
        <vt:i4>5</vt:i4>
      </vt:variant>
      <vt:variant>
        <vt:lpwstr>http://www.ncbi.nlm.nih.gov/pubmed/14612481</vt:lpwstr>
      </vt:variant>
      <vt:variant>
        <vt:lpwstr/>
      </vt:variant>
      <vt:variant>
        <vt:i4>3538977</vt:i4>
      </vt:variant>
      <vt:variant>
        <vt:i4>15779</vt:i4>
      </vt:variant>
      <vt:variant>
        <vt:i4>0</vt:i4>
      </vt:variant>
      <vt:variant>
        <vt:i4>5</vt:i4>
      </vt:variant>
      <vt:variant>
        <vt:lpwstr>http://www.ncbi.nlm.nih.gov/pubmed/16231249</vt:lpwstr>
      </vt:variant>
      <vt:variant>
        <vt:lpwstr/>
      </vt:variant>
      <vt:variant>
        <vt:i4>786508</vt:i4>
      </vt:variant>
      <vt:variant>
        <vt:i4>15776</vt:i4>
      </vt:variant>
      <vt:variant>
        <vt:i4>0</vt:i4>
      </vt:variant>
      <vt:variant>
        <vt:i4>5</vt:i4>
      </vt:variant>
      <vt:variant>
        <vt:lpwstr>http://cid.oxfordjournals.org/content/41/10/1373.full.pdf</vt:lpwstr>
      </vt:variant>
      <vt:variant>
        <vt:lpwstr/>
      </vt:variant>
      <vt:variant>
        <vt:i4>3670055</vt:i4>
      </vt:variant>
      <vt:variant>
        <vt:i4>15773</vt:i4>
      </vt:variant>
      <vt:variant>
        <vt:i4>0</vt:i4>
      </vt:variant>
      <vt:variant>
        <vt:i4>5</vt:i4>
      </vt:variant>
      <vt:variant>
        <vt:lpwstr>http://www.ncbi.nlm.nih.gov/pubmed/14767396</vt:lpwstr>
      </vt:variant>
      <vt:variant>
        <vt:lpwstr/>
      </vt:variant>
      <vt:variant>
        <vt:i4>4128812</vt:i4>
      </vt:variant>
      <vt:variant>
        <vt:i4>15770</vt:i4>
      </vt:variant>
      <vt:variant>
        <vt:i4>0</vt:i4>
      </vt:variant>
      <vt:variant>
        <vt:i4>5</vt:i4>
      </vt:variant>
      <vt:variant>
        <vt:lpwstr>http://www.ncbi.nlm.nih.gov/pubmed/18851776</vt:lpwstr>
      </vt:variant>
      <vt:variant>
        <vt:lpwstr/>
      </vt:variant>
      <vt:variant>
        <vt:i4>3735585</vt:i4>
      </vt:variant>
      <vt:variant>
        <vt:i4>15767</vt:i4>
      </vt:variant>
      <vt:variant>
        <vt:i4>0</vt:i4>
      </vt:variant>
      <vt:variant>
        <vt:i4>5</vt:i4>
      </vt:variant>
      <vt:variant>
        <vt:lpwstr>http://www.ncbi.nlm.nih.gov/pubmed/16647591</vt:lpwstr>
      </vt:variant>
      <vt:variant>
        <vt:lpwstr/>
      </vt:variant>
      <vt:variant>
        <vt:i4>3801120</vt:i4>
      </vt:variant>
      <vt:variant>
        <vt:i4>15764</vt:i4>
      </vt:variant>
      <vt:variant>
        <vt:i4>0</vt:i4>
      </vt:variant>
      <vt:variant>
        <vt:i4>5</vt:i4>
      </vt:variant>
      <vt:variant>
        <vt:lpwstr>http://www.ncbi.nlm.nih.gov/pubmed/14624092</vt:lpwstr>
      </vt:variant>
      <vt:variant>
        <vt:lpwstr/>
      </vt:variant>
      <vt:variant>
        <vt:i4>5636117</vt:i4>
      </vt:variant>
      <vt:variant>
        <vt:i4>15761</vt:i4>
      </vt:variant>
      <vt:variant>
        <vt:i4>0</vt:i4>
      </vt:variant>
      <vt:variant>
        <vt:i4>5</vt:i4>
      </vt:variant>
      <vt:variant>
        <vt:lpwstr>http://www.odg-twc.com/States/Colorado/R17 Exhibit D RSD.pdf</vt:lpwstr>
      </vt:variant>
      <vt:variant>
        <vt:lpwstr/>
      </vt:variant>
      <vt:variant>
        <vt:i4>3670060</vt:i4>
      </vt:variant>
      <vt:variant>
        <vt:i4>15758</vt:i4>
      </vt:variant>
      <vt:variant>
        <vt:i4>0</vt:i4>
      </vt:variant>
      <vt:variant>
        <vt:i4>5</vt:i4>
      </vt:variant>
      <vt:variant>
        <vt:lpwstr>http://www.ncbi.nlm.nih.gov/pubmed/8577483</vt:lpwstr>
      </vt:variant>
      <vt:variant>
        <vt:lpwstr/>
      </vt:variant>
      <vt:variant>
        <vt:i4>3276842</vt:i4>
      </vt:variant>
      <vt:variant>
        <vt:i4>15755</vt:i4>
      </vt:variant>
      <vt:variant>
        <vt:i4>0</vt:i4>
      </vt:variant>
      <vt:variant>
        <vt:i4>5</vt:i4>
      </vt:variant>
      <vt:variant>
        <vt:lpwstr>http://www.ncbi.nlm.nih.gov/pubmed/18346060</vt:lpwstr>
      </vt:variant>
      <vt:variant>
        <vt:lpwstr/>
      </vt:variant>
      <vt:variant>
        <vt:i4>3538986</vt:i4>
      </vt:variant>
      <vt:variant>
        <vt:i4>15752</vt:i4>
      </vt:variant>
      <vt:variant>
        <vt:i4>0</vt:i4>
      </vt:variant>
      <vt:variant>
        <vt:i4>5</vt:i4>
      </vt:variant>
      <vt:variant>
        <vt:lpwstr>http://www.ncbi.nlm.nih.gov/pubmed/18646078</vt:lpwstr>
      </vt:variant>
      <vt:variant>
        <vt:lpwstr/>
      </vt:variant>
      <vt:variant>
        <vt:i4>3145774</vt:i4>
      </vt:variant>
      <vt:variant>
        <vt:i4>15749</vt:i4>
      </vt:variant>
      <vt:variant>
        <vt:i4>0</vt:i4>
      </vt:variant>
      <vt:variant>
        <vt:i4>5</vt:i4>
      </vt:variant>
      <vt:variant>
        <vt:lpwstr>http://www.ncbi.nlm.nih.gov/pubmed/12581259</vt:lpwstr>
      </vt:variant>
      <vt:variant>
        <vt:lpwstr/>
      </vt:variant>
      <vt:variant>
        <vt:i4>3801120</vt:i4>
      </vt:variant>
      <vt:variant>
        <vt:i4>15746</vt:i4>
      </vt:variant>
      <vt:variant>
        <vt:i4>0</vt:i4>
      </vt:variant>
      <vt:variant>
        <vt:i4>5</vt:i4>
      </vt:variant>
      <vt:variant>
        <vt:lpwstr>http://www.ncbi.nlm.nih.gov/pubmed/8628585</vt:lpwstr>
      </vt:variant>
      <vt:variant>
        <vt:lpwstr/>
      </vt:variant>
      <vt:variant>
        <vt:i4>3735586</vt:i4>
      </vt:variant>
      <vt:variant>
        <vt:i4>15743</vt:i4>
      </vt:variant>
      <vt:variant>
        <vt:i4>0</vt:i4>
      </vt:variant>
      <vt:variant>
        <vt:i4>5</vt:i4>
      </vt:variant>
      <vt:variant>
        <vt:lpwstr>http://www.ncbi.nlm.nih.gov/pubmed/18253995</vt:lpwstr>
      </vt:variant>
      <vt:variant>
        <vt:lpwstr/>
      </vt:variant>
      <vt:variant>
        <vt:i4>3145764</vt:i4>
      </vt:variant>
      <vt:variant>
        <vt:i4>15740</vt:i4>
      </vt:variant>
      <vt:variant>
        <vt:i4>0</vt:i4>
      </vt:variant>
      <vt:variant>
        <vt:i4>5</vt:i4>
      </vt:variant>
      <vt:variant>
        <vt:lpwstr>http://www.ncbi.nlm.nih.gov/pubmed/11444718</vt:lpwstr>
      </vt:variant>
      <vt:variant>
        <vt:lpwstr/>
      </vt:variant>
      <vt:variant>
        <vt:i4>3342382</vt:i4>
      </vt:variant>
      <vt:variant>
        <vt:i4>15737</vt:i4>
      </vt:variant>
      <vt:variant>
        <vt:i4>0</vt:i4>
      </vt:variant>
      <vt:variant>
        <vt:i4>5</vt:i4>
      </vt:variant>
      <vt:variant>
        <vt:lpwstr>http://www.ncbi.nlm.nih.gov/pubmed/15096449</vt:lpwstr>
      </vt:variant>
      <vt:variant>
        <vt:lpwstr/>
      </vt:variant>
      <vt:variant>
        <vt:i4>3473445</vt:i4>
      </vt:variant>
      <vt:variant>
        <vt:i4>15734</vt:i4>
      </vt:variant>
      <vt:variant>
        <vt:i4>0</vt:i4>
      </vt:variant>
      <vt:variant>
        <vt:i4>5</vt:i4>
      </vt:variant>
      <vt:variant>
        <vt:lpwstr>http://www.ncbi.nlm.nih.gov/pubmed/17410506</vt:lpwstr>
      </vt:variant>
      <vt:variant>
        <vt:lpwstr/>
      </vt:variant>
      <vt:variant>
        <vt:i4>3211301</vt:i4>
      </vt:variant>
      <vt:variant>
        <vt:i4>15731</vt:i4>
      </vt:variant>
      <vt:variant>
        <vt:i4>0</vt:i4>
      </vt:variant>
      <vt:variant>
        <vt:i4>5</vt:i4>
      </vt:variant>
      <vt:variant>
        <vt:lpwstr>http://www.ncbi.nlm.nih.gov/pubmed/25062018</vt:lpwstr>
      </vt:variant>
      <vt:variant>
        <vt:lpwstr/>
      </vt:variant>
      <vt:variant>
        <vt:i4>3211310</vt:i4>
      </vt:variant>
      <vt:variant>
        <vt:i4>15728</vt:i4>
      </vt:variant>
      <vt:variant>
        <vt:i4>0</vt:i4>
      </vt:variant>
      <vt:variant>
        <vt:i4>5</vt:i4>
      </vt:variant>
      <vt:variant>
        <vt:lpwstr>http://www.ncbi.nlm.nih.gov/pubmed/24342821</vt:lpwstr>
      </vt:variant>
      <vt:variant>
        <vt:lpwstr/>
      </vt:variant>
      <vt:variant>
        <vt:i4>3342372</vt:i4>
      </vt:variant>
      <vt:variant>
        <vt:i4>15725</vt:i4>
      </vt:variant>
      <vt:variant>
        <vt:i4>0</vt:i4>
      </vt:variant>
      <vt:variant>
        <vt:i4>5</vt:i4>
      </vt:variant>
      <vt:variant>
        <vt:lpwstr>http://www.ncbi.nlm.nih.gov/pubmed/20625025</vt:lpwstr>
      </vt:variant>
      <vt:variant>
        <vt:lpwstr/>
      </vt:variant>
      <vt:variant>
        <vt:i4>3932198</vt:i4>
      </vt:variant>
      <vt:variant>
        <vt:i4>15722</vt:i4>
      </vt:variant>
      <vt:variant>
        <vt:i4>0</vt:i4>
      </vt:variant>
      <vt:variant>
        <vt:i4>5</vt:i4>
      </vt:variant>
      <vt:variant>
        <vt:lpwstr>http://www.ncbi.nlm.nih.gov/pubmed/1980693</vt:lpwstr>
      </vt:variant>
      <vt:variant>
        <vt:lpwstr/>
      </vt:variant>
      <vt:variant>
        <vt:i4>3604518</vt:i4>
      </vt:variant>
      <vt:variant>
        <vt:i4>15719</vt:i4>
      </vt:variant>
      <vt:variant>
        <vt:i4>0</vt:i4>
      </vt:variant>
      <vt:variant>
        <vt:i4>5</vt:i4>
      </vt:variant>
      <vt:variant>
        <vt:lpwstr>http://www.ncbi.nlm.nih.gov/pubmed/16426449</vt:lpwstr>
      </vt:variant>
      <vt:variant>
        <vt:lpwstr/>
      </vt:variant>
      <vt:variant>
        <vt:i4>3473442</vt:i4>
      </vt:variant>
      <vt:variant>
        <vt:i4>15716</vt:i4>
      </vt:variant>
      <vt:variant>
        <vt:i4>0</vt:i4>
      </vt:variant>
      <vt:variant>
        <vt:i4>5</vt:i4>
      </vt:variant>
      <vt:variant>
        <vt:lpwstr>http://www.ncbi.nlm.nih.gov/pubmed/17974490</vt:lpwstr>
      </vt:variant>
      <vt:variant>
        <vt:lpwstr/>
      </vt:variant>
      <vt:variant>
        <vt:i4>3407905</vt:i4>
      </vt:variant>
      <vt:variant>
        <vt:i4>15713</vt:i4>
      </vt:variant>
      <vt:variant>
        <vt:i4>0</vt:i4>
      </vt:variant>
      <vt:variant>
        <vt:i4>5</vt:i4>
      </vt:variant>
      <vt:variant>
        <vt:lpwstr>http://www.ncbi.nlm.nih.gov/pubmed/11979157</vt:lpwstr>
      </vt:variant>
      <vt:variant>
        <vt:lpwstr/>
      </vt:variant>
      <vt:variant>
        <vt:i4>3670051</vt:i4>
      </vt:variant>
      <vt:variant>
        <vt:i4>15710</vt:i4>
      </vt:variant>
      <vt:variant>
        <vt:i4>0</vt:i4>
      </vt:variant>
      <vt:variant>
        <vt:i4>5</vt:i4>
      </vt:variant>
      <vt:variant>
        <vt:lpwstr>http://www.ncbi.nlm.nih.gov/pubmed/16868593</vt:lpwstr>
      </vt:variant>
      <vt:variant>
        <vt:lpwstr/>
      </vt:variant>
      <vt:variant>
        <vt:i4>3407915</vt:i4>
      </vt:variant>
      <vt:variant>
        <vt:i4>15707</vt:i4>
      </vt:variant>
      <vt:variant>
        <vt:i4>0</vt:i4>
      </vt:variant>
      <vt:variant>
        <vt:i4>5</vt:i4>
      </vt:variant>
      <vt:variant>
        <vt:lpwstr>http://www.ncbi.nlm.nih.gov/pubmed/17034912</vt:lpwstr>
      </vt:variant>
      <vt:variant>
        <vt:lpwstr/>
      </vt:variant>
      <vt:variant>
        <vt:i4>3670056</vt:i4>
      </vt:variant>
      <vt:variant>
        <vt:i4>15704</vt:i4>
      </vt:variant>
      <vt:variant>
        <vt:i4>0</vt:i4>
      </vt:variant>
      <vt:variant>
        <vt:i4>5</vt:i4>
      </vt:variant>
      <vt:variant>
        <vt:lpwstr>http://www.ncbi.nlm.nih.gov/pubmed/10568846</vt:lpwstr>
      </vt:variant>
      <vt:variant>
        <vt:lpwstr/>
      </vt:variant>
      <vt:variant>
        <vt:i4>3670054</vt:i4>
      </vt:variant>
      <vt:variant>
        <vt:i4>15701</vt:i4>
      </vt:variant>
      <vt:variant>
        <vt:i4>0</vt:i4>
      </vt:variant>
      <vt:variant>
        <vt:i4>5</vt:i4>
      </vt:variant>
      <vt:variant>
        <vt:lpwstr>http://www.ncbi.nlm.nih.gov/pubmed/15910402</vt:lpwstr>
      </vt:variant>
      <vt:variant>
        <vt:lpwstr/>
      </vt:variant>
      <vt:variant>
        <vt:i4>3604521</vt:i4>
      </vt:variant>
      <vt:variant>
        <vt:i4>15698</vt:i4>
      </vt:variant>
      <vt:variant>
        <vt:i4>0</vt:i4>
      </vt:variant>
      <vt:variant>
        <vt:i4>5</vt:i4>
      </vt:variant>
      <vt:variant>
        <vt:lpwstr>http://www.ncbi.nlm.nih.gov/pubmed/19604642</vt:lpwstr>
      </vt:variant>
      <vt:variant>
        <vt:lpwstr/>
      </vt:variant>
      <vt:variant>
        <vt:i4>3276839</vt:i4>
      </vt:variant>
      <vt:variant>
        <vt:i4>15695</vt:i4>
      </vt:variant>
      <vt:variant>
        <vt:i4>0</vt:i4>
      </vt:variant>
      <vt:variant>
        <vt:i4>5</vt:i4>
      </vt:variant>
      <vt:variant>
        <vt:lpwstr>http://www.ncbi.nlm.nih.gov/pubmed/22325162</vt:lpwstr>
      </vt:variant>
      <vt:variant>
        <vt:lpwstr/>
      </vt:variant>
      <vt:variant>
        <vt:i4>3670063</vt:i4>
      </vt:variant>
      <vt:variant>
        <vt:i4>15692</vt:i4>
      </vt:variant>
      <vt:variant>
        <vt:i4>0</vt:i4>
      </vt:variant>
      <vt:variant>
        <vt:i4>5</vt:i4>
      </vt:variant>
      <vt:variant>
        <vt:lpwstr>http://www.ncbi.nlm.nih.gov/pubmed/18679668</vt:lpwstr>
      </vt:variant>
      <vt:variant>
        <vt:lpwstr/>
      </vt:variant>
      <vt:variant>
        <vt:i4>3276832</vt:i4>
      </vt:variant>
      <vt:variant>
        <vt:i4>15689</vt:i4>
      </vt:variant>
      <vt:variant>
        <vt:i4>0</vt:i4>
      </vt:variant>
      <vt:variant>
        <vt:i4>5</vt:i4>
      </vt:variant>
      <vt:variant>
        <vt:lpwstr>http://www.ncbi.nlm.nih.gov/pubmed/8193447</vt:lpwstr>
      </vt:variant>
      <vt:variant>
        <vt:lpwstr/>
      </vt:variant>
      <vt:variant>
        <vt:i4>3801131</vt:i4>
      </vt:variant>
      <vt:variant>
        <vt:i4>15686</vt:i4>
      </vt:variant>
      <vt:variant>
        <vt:i4>0</vt:i4>
      </vt:variant>
      <vt:variant>
        <vt:i4>5</vt:i4>
      </vt:variant>
      <vt:variant>
        <vt:lpwstr>http://www.ncbi.nlm.nih.gov/pubmed/19417589</vt:lpwstr>
      </vt:variant>
      <vt:variant>
        <vt:lpwstr/>
      </vt:variant>
      <vt:variant>
        <vt:i4>3211298</vt:i4>
      </vt:variant>
      <vt:variant>
        <vt:i4>15683</vt:i4>
      </vt:variant>
      <vt:variant>
        <vt:i4>0</vt:i4>
      </vt:variant>
      <vt:variant>
        <vt:i4>5</vt:i4>
      </vt:variant>
      <vt:variant>
        <vt:lpwstr>http://www.ncbi.nlm.nih.gov/pubmed/16960493</vt:lpwstr>
      </vt:variant>
      <vt:variant>
        <vt:lpwstr/>
      </vt:variant>
      <vt:variant>
        <vt:i4>3145764</vt:i4>
      </vt:variant>
      <vt:variant>
        <vt:i4>15680</vt:i4>
      </vt:variant>
      <vt:variant>
        <vt:i4>0</vt:i4>
      </vt:variant>
      <vt:variant>
        <vt:i4>5</vt:i4>
      </vt:variant>
      <vt:variant>
        <vt:lpwstr>http://www.ncbi.nlm.nih.gov/pubmed/11444718</vt:lpwstr>
      </vt:variant>
      <vt:variant>
        <vt:lpwstr/>
      </vt:variant>
      <vt:variant>
        <vt:i4>3145761</vt:i4>
      </vt:variant>
      <vt:variant>
        <vt:i4>15677</vt:i4>
      </vt:variant>
      <vt:variant>
        <vt:i4>0</vt:i4>
      </vt:variant>
      <vt:variant>
        <vt:i4>5</vt:i4>
      </vt:variant>
      <vt:variant>
        <vt:lpwstr>http://www.ncbi.nlm.nih.gov/pubmed/12406532</vt:lpwstr>
      </vt:variant>
      <vt:variant>
        <vt:lpwstr/>
      </vt:variant>
      <vt:variant>
        <vt:i4>3473448</vt:i4>
      </vt:variant>
      <vt:variant>
        <vt:i4>15674</vt:i4>
      </vt:variant>
      <vt:variant>
        <vt:i4>0</vt:i4>
      </vt:variant>
      <vt:variant>
        <vt:i4>5</vt:i4>
      </vt:variant>
      <vt:variant>
        <vt:lpwstr>http://www.ncbi.nlm.nih.gov/pubmed/18667054</vt:lpwstr>
      </vt:variant>
      <vt:variant>
        <vt:lpwstr/>
      </vt:variant>
      <vt:variant>
        <vt:i4>3276838</vt:i4>
      </vt:variant>
      <vt:variant>
        <vt:i4>15671</vt:i4>
      </vt:variant>
      <vt:variant>
        <vt:i4>0</vt:i4>
      </vt:variant>
      <vt:variant>
        <vt:i4>5</vt:i4>
      </vt:variant>
      <vt:variant>
        <vt:lpwstr>http://www.ncbi.nlm.nih.gov/pubmed/18711953</vt:lpwstr>
      </vt:variant>
      <vt:variant>
        <vt:lpwstr/>
      </vt:variant>
      <vt:variant>
        <vt:i4>3145765</vt:i4>
      </vt:variant>
      <vt:variant>
        <vt:i4>15668</vt:i4>
      </vt:variant>
      <vt:variant>
        <vt:i4>0</vt:i4>
      </vt:variant>
      <vt:variant>
        <vt:i4>5</vt:i4>
      </vt:variant>
      <vt:variant>
        <vt:lpwstr>http://www.ncbi.nlm.nih.gov/pubmed/18225966</vt:lpwstr>
      </vt:variant>
      <vt:variant>
        <vt:lpwstr/>
      </vt:variant>
      <vt:variant>
        <vt:i4>3276836</vt:i4>
      </vt:variant>
      <vt:variant>
        <vt:i4>15665</vt:i4>
      </vt:variant>
      <vt:variant>
        <vt:i4>0</vt:i4>
      </vt:variant>
      <vt:variant>
        <vt:i4>5</vt:i4>
      </vt:variant>
      <vt:variant>
        <vt:lpwstr>http://www.ncbi.nlm.nih.gov/pubmed/19783371</vt:lpwstr>
      </vt:variant>
      <vt:variant>
        <vt:lpwstr/>
      </vt:variant>
      <vt:variant>
        <vt:i4>3473447</vt:i4>
      </vt:variant>
      <vt:variant>
        <vt:i4>15662</vt:i4>
      </vt:variant>
      <vt:variant>
        <vt:i4>0</vt:i4>
      </vt:variant>
      <vt:variant>
        <vt:i4>5</vt:i4>
      </vt:variant>
      <vt:variant>
        <vt:lpwstr>http://www.ncbi.nlm.nih.gov/pubmed/17515744</vt:lpwstr>
      </vt:variant>
      <vt:variant>
        <vt:lpwstr/>
      </vt:variant>
      <vt:variant>
        <vt:i4>3342383</vt:i4>
      </vt:variant>
      <vt:variant>
        <vt:i4>15659</vt:i4>
      </vt:variant>
      <vt:variant>
        <vt:i4>0</vt:i4>
      </vt:variant>
      <vt:variant>
        <vt:i4>5</vt:i4>
      </vt:variant>
      <vt:variant>
        <vt:lpwstr>http://www.ncbi.nlm.nih.gov/pubmed/11289093</vt:lpwstr>
      </vt:variant>
      <vt:variant>
        <vt:lpwstr/>
      </vt:variant>
      <vt:variant>
        <vt:i4>3604525</vt:i4>
      </vt:variant>
      <vt:variant>
        <vt:i4>15656</vt:i4>
      </vt:variant>
      <vt:variant>
        <vt:i4>0</vt:i4>
      </vt:variant>
      <vt:variant>
        <vt:i4>5</vt:i4>
      </vt:variant>
      <vt:variant>
        <vt:lpwstr>http://www.ncbi.nlm.nih.gov/pubmed/18404361</vt:lpwstr>
      </vt:variant>
      <vt:variant>
        <vt:lpwstr/>
      </vt:variant>
      <vt:variant>
        <vt:i4>3211296</vt:i4>
      </vt:variant>
      <vt:variant>
        <vt:i4>15653</vt:i4>
      </vt:variant>
      <vt:variant>
        <vt:i4>0</vt:i4>
      </vt:variant>
      <vt:variant>
        <vt:i4>5</vt:i4>
      </vt:variant>
      <vt:variant>
        <vt:lpwstr>http://www.ncbi.nlm.nih.gov/pubmed/14520051</vt:lpwstr>
      </vt:variant>
      <vt:variant>
        <vt:lpwstr/>
      </vt:variant>
      <vt:variant>
        <vt:i4>3145760</vt:i4>
      </vt:variant>
      <vt:variant>
        <vt:i4>15650</vt:i4>
      </vt:variant>
      <vt:variant>
        <vt:i4>0</vt:i4>
      </vt:variant>
      <vt:variant>
        <vt:i4>5</vt:i4>
      </vt:variant>
      <vt:variant>
        <vt:lpwstr>http://www.ncbi.nlm.nih.gov/pubmed/16785832</vt:lpwstr>
      </vt:variant>
      <vt:variant>
        <vt:lpwstr/>
      </vt:variant>
      <vt:variant>
        <vt:i4>3670049</vt:i4>
      </vt:variant>
      <vt:variant>
        <vt:i4>15647</vt:i4>
      </vt:variant>
      <vt:variant>
        <vt:i4>0</vt:i4>
      </vt:variant>
      <vt:variant>
        <vt:i4>5</vt:i4>
      </vt:variant>
      <vt:variant>
        <vt:lpwstr>http://www.ncbi.nlm.nih.gov/pubmed/15223086</vt:lpwstr>
      </vt:variant>
      <vt:variant>
        <vt:lpwstr/>
      </vt:variant>
      <vt:variant>
        <vt:i4>3866660</vt:i4>
      </vt:variant>
      <vt:variant>
        <vt:i4>15644</vt:i4>
      </vt:variant>
      <vt:variant>
        <vt:i4>0</vt:i4>
      </vt:variant>
      <vt:variant>
        <vt:i4>5</vt:i4>
      </vt:variant>
      <vt:variant>
        <vt:lpwstr>http://www.ncbi.nlm.nih.gov/pubmed/16957148</vt:lpwstr>
      </vt:variant>
      <vt:variant>
        <vt:lpwstr/>
      </vt:variant>
      <vt:variant>
        <vt:i4>3604526</vt:i4>
      </vt:variant>
      <vt:variant>
        <vt:i4>15641</vt:i4>
      </vt:variant>
      <vt:variant>
        <vt:i4>0</vt:i4>
      </vt:variant>
      <vt:variant>
        <vt:i4>5</vt:i4>
      </vt:variant>
      <vt:variant>
        <vt:lpwstr>http://www.ncbi.nlm.nih.gov/pubmed/14694544</vt:lpwstr>
      </vt:variant>
      <vt:variant>
        <vt:lpwstr/>
      </vt:variant>
      <vt:variant>
        <vt:i4>3735596</vt:i4>
      </vt:variant>
      <vt:variant>
        <vt:i4>15638</vt:i4>
      </vt:variant>
      <vt:variant>
        <vt:i4>0</vt:i4>
      </vt:variant>
      <vt:variant>
        <vt:i4>5</vt:i4>
      </vt:variant>
      <vt:variant>
        <vt:lpwstr>http://www.ncbi.nlm.nih.gov/pubmed/15867979</vt:lpwstr>
      </vt:variant>
      <vt:variant>
        <vt:lpwstr/>
      </vt:variant>
      <vt:variant>
        <vt:i4>3538986</vt:i4>
      </vt:variant>
      <vt:variant>
        <vt:i4>15635</vt:i4>
      </vt:variant>
      <vt:variant>
        <vt:i4>0</vt:i4>
      </vt:variant>
      <vt:variant>
        <vt:i4>5</vt:i4>
      </vt:variant>
      <vt:variant>
        <vt:lpwstr>http://www.ncbi.nlm.nih.gov/pubmed/21146930</vt:lpwstr>
      </vt:variant>
      <vt:variant>
        <vt:lpwstr/>
      </vt:variant>
      <vt:variant>
        <vt:i4>3342373</vt:i4>
      </vt:variant>
      <vt:variant>
        <vt:i4>15632</vt:i4>
      </vt:variant>
      <vt:variant>
        <vt:i4>0</vt:i4>
      </vt:variant>
      <vt:variant>
        <vt:i4>5</vt:i4>
      </vt:variant>
      <vt:variant>
        <vt:lpwstr>http://www.ncbi.nlm.nih.gov/pubmed/21555710</vt:lpwstr>
      </vt:variant>
      <vt:variant>
        <vt:lpwstr/>
      </vt:variant>
      <vt:variant>
        <vt:i4>3211306</vt:i4>
      </vt:variant>
      <vt:variant>
        <vt:i4>15629</vt:i4>
      </vt:variant>
      <vt:variant>
        <vt:i4>0</vt:i4>
      </vt:variant>
      <vt:variant>
        <vt:i4>5</vt:i4>
      </vt:variant>
      <vt:variant>
        <vt:lpwstr>http://www.ncbi.nlm.nih.gov/pubmed/20091523</vt:lpwstr>
      </vt:variant>
      <vt:variant>
        <vt:lpwstr/>
      </vt:variant>
      <vt:variant>
        <vt:i4>3670051</vt:i4>
      </vt:variant>
      <vt:variant>
        <vt:i4>15626</vt:i4>
      </vt:variant>
      <vt:variant>
        <vt:i4>0</vt:i4>
      </vt:variant>
      <vt:variant>
        <vt:i4>5</vt:i4>
      </vt:variant>
      <vt:variant>
        <vt:lpwstr>http://www.ncbi.nlm.nih.gov/pubmed/9544540</vt:lpwstr>
      </vt:variant>
      <vt:variant>
        <vt:lpwstr/>
      </vt:variant>
      <vt:variant>
        <vt:i4>3211309</vt:i4>
      </vt:variant>
      <vt:variant>
        <vt:i4>15623</vt:i4>
      </vt:variant>
      <vt:variant>
        <vt:i4>0</vt:i4>
      </vt:variant>
      <vt:variant>
        <vt:i4>5</vt:i4>
      </vt:variant>
      <vt:variant>
        <vt:lpwstr>http://www.ncbi.nlm.nih.gov/pubmed/17187468</vt:lpwstr>
      </vt:variant>
      <vt:variant>
        <vt:lpwstr/>
      </vt:variant>
      <vt:variant>
        <vt:i4>4718680</vt:i4>
      </vt:variant>
      <vt:variant>
        <vt:i4>15620</vt:i4>
      </vt:variant>
      <vt:variant>
        <vt:i4>0</vt:i4>
      </vt:variant>
      <vt:variant>
        <vt:i4>5</vt:i4>
      </vt:variant>
      <vt:variant>
        <vt:lpwstr>http://oas.samhsa.gov/2k11/DAWN071/WEB_DAWN_071.htm</vt:lpwstr>
      </vt:variant>
      <vt:variant>
        <vt:lpwstr/>
      </vt:variant>
      <vt:variant>
        <vt:i4>3538982</vt:i4>
      </vt:variant>
      <vt:variant>
        <vt:i4>15617</vt:i4>
      </vt:variant>
      <vt:variant>
        <vt:i4>0</vt:i4>
      </vt:variant>
      <vt:variant>
        <vt:i4>5</vt:i4>
      </vt:variant>
      <vt:variant>
        <vt:lpwstr>http://www.ncbi.nlm.nih.gov/pubmed/20194915</vt:lpwstr>
      </vt:variant>
      <vt:variant>
        <vt:lpwstr/>
      </vt:variant>
      <vt:variant>
        <vt:i4>3342381</vt:i4>
      </vt:variant>
      <vt:variant>
        <vt:i4>15614</vt:i4>
      </vt:variant>
      <vt:variant>
        <vt:i4>0</vt:i4>
      </vt:variant>
      <vt:variant>
        <vt:i4>5</vt:i4>
      </vt:variant>
      <vt:variant>
        <vt:lpwstr>http://www.ncbi.nlm.nih.gov/pubmed/11784215</vt:lpwstr>
      </vt:variant>
      <vt:variant>
        <vt:lpwstr/>
      </vt:variant>
      <vt:variant>
        <vt:i4>3866658</vt:i4>
      </vt:variant>
      <vt:variant>
        <vt:i4>15611</vt:i4>
      </vt:variant>
      <vt:variant>
        <vt:i4>0</vt:i4>
      </vt:variant>
      <vt:variant>
        <vt:i4>5</vt:i4>
      </vt:variant>
      <vt:variant>
        <vt:lpwstr>http://www.ncbi.nlm.nih.gov/pubmed/15980934</vt:lpwstr>
      </vt:variant>
      <vt:variant>
        <vt:lpwstr/>
      </vt:variant>
      <vt:variant>
        <vt:i4>3932195</vt:i4>
      </vt:variant>
      <vt:variant>
        <vt:i4>15608</vt:i4>
      </vt:variant>
      <vt:variant>
        <vt:i4>0</vt:i4>
      </vt:variant>
      <vt:variant>
        <vt:i4>5</vt:i4>
      </vt:variant>
      <vt:variant>
        <vt:lpwstr>http://www.ncbi.nlm.nih.gov/pubmed/15768621</vt:lpwstr>
      </vt:variant>
      <vt:variant>
        <vt:lpwstr/>
      </vt:variant>
      <vt:variant>
        <vt:i4>4063277</vt:i4>
      </vt:variant>
      <vt:variant>
        <vt:i4>15605</vt:i4>
      </vt:variant>
      <vt:variant>
        <vt:i4>0</vt:i4>
      </vt:variant>
      <vt:variant>
        <vt:i4>5</vt:i4>
      </vt:variant>
      <vt:variant>
        <vt:lpwstr>http://www.ncbi.nlm.nih.gov/pubmed/17943857</vt:lpwstr>
      </vt:variant>
      <vt:variant>
        <vt:lpwstr/>
      </vt:variant>
      <vt:variant>
        <vt:i4>3276842</vt:i4>
      </vt:variant>
      <vt:variant>
        <vt:i4>15602</vt:i4>
      </vt:variant>
      <vt:variant>
        <vt:i4>0</vt:i4>
      </vt:variant>
      <vt:variant>
        <vt:i4>5</vt:i4>
      </vt:variant>
      <vt:variant>
        <vt:lpwstr>http://www.ncbi.nlm.nih.gov/pubmed/16034979</vt:lpwstr>
      </vt:variant>
      <vt:variant>
        <vt:lpwstr/>
      </vt:variant>
      <vt:variant>
        <vt:i4>3735586</vt:i4>
      </vt:variant>
      <vt:variant>
        <vt:i4>15599</vt:i4>
      </vt:variant>
      <vt:variant>
        <vt:i4>0</vt:i4>
      </vt:variant>
      <vt:variant>
        <vt:i4>5</vt:i4>
      </vt:variant>
      <vt:variant>
        <vt:lpwstr>http://www.ncbi.nlm.nih.gov/pubmed/11904551</vt:lpwstr>
      </vt:variant>
      <vt:variant>
        <vt:lpwstr/>
      </vt:variant>
      <vt:variant>
        <vt:i4>3670063</vt:i4>
      </vt:variant>
      <vt:variant>
        <vt:i4>15596</vt:i4>
      </vt:variant>
      <vt:variant>
        <vt:i4>0</vt:i4>
      </vt:variant>
      <vt:variant>
        <vt:i4>5</vt:i4>
      </vt:variant>
      <vt:variant>
        <vt:lpwstr>http://www.ncbi.nlm.nih.gov/pubmed/14986566</vt:lpwstr>
      </vt:variant>
      <vt:variant>
        <vt:lpwstr/>
      </vt:variant>
      <vt:variant>
        <vt:i4>3342379</vt:i4>
      </vt:variant>
      <vt:variant>
        <vt:i4>15593</vt:i4>
      </vt:variant>
      <vt:variant>
        <vt:i4>0</vt:i4>
      </vt:variant>
      <vt:variant>
        <vt:i4>5</vt:i4>
      </vt:variant>
      <vt:variant>
        <vt:lpwstr>http://www.ncbi.nlm.nih.gov/pubmed/18433653</vt:lpwstr>
      </vt:variant>
      <vt:variant>
        <vt:lpwstr/>
      </vt:variant>
      <vt:variant>
        <vt:i4>3211299</vt:i4>
      </vt:variant>
      <vt:variant>
        <vt:i4>15590</vt:i4>
      </vt:variant>
      <vt:variant>
        <vt:i4>0</vt:i4>
      </vt:variant>
      <vt:variant>
        <vt:i4>5</vt:i4>
      </vt:variant>
      <vt:variant>
        <vt:lpwstr>http://www.ncbi.nlm.nih.gov/pubmed/1736340</vt:lpwstr>
      </vt:variant>
      <vt:variant>
        <vt:lpwstr/>
      </vt:variant>
      <vt:variant>
        <vt:i4>3276837</vt:i4>
      </vt:variant>
      <vt:variant>
        <vt:i4>15587</vt:i4>
      </vt:variant>
      <vt:variant>
        <vt:i4>0</vt:i4>
      </vt:variant>
      <vt:variant>
        <vt:i4>5</vt:i4>
      </vt:variant>
      <vt:variant>
        <vt:lpwstr>http://www.ncbi.nlm.nih.gov/pubmed/21811391</vt:lpwstr>
      </vt:variant>
      <vt:variant>
        <vt:lpwstr/>
      </vt:variant>
      <vt:variant>
        <vt:i4>3407904</vt:i4>
      </vt:variant>
      <vt:variant>
        <vt:i4>15584</vt:i4>
      </vt:variant>
      <vt:variant>
        <vt:i4>0</vt:i4>
      </vt:variant>
      <vt:variant>
        <vt:i4>5</vt:i4>
      </vt:variant>
      <vt:variant>
        <vt:lpwstr>http://www.ncbi.nlm.nih.gov/pubmed/17363756</vt:lpwstr>
      </vt:variant>
      <vt:variant>
        <vt:lpwstr/>
      </vt:variant>
      <vt:variant>
        <vt:i4>4128800</vt:i4>
      </vt:variant>
      <vt:variant>
        <vt:i4>15581</vt:i4>
      </vt:variant>
      <vt:variant>
        <vt:i4>0</vt:i4>
      </vt:variant>
      <vt:variant>
        <vt:i4>5</vt:i4>
      </vt:variant>
      <vt:variant>
        <vt:lpwstr>http://www.ncbi.nlm.nih.gov/pubmed/12945020</vt:lpwstr>
      </vt:variant>
      <vt:variant>
        <vt:lpwstr/>
      </vt:variant>
      <vt:variant>
        <vt:i4>3735596</vt:i4>
      </vt:variant>
      <vt:variant>
        <vt:i4>15578</vt:i4>
      </vt:variant>
      <vt:variant>
        <vt:i4>0</vt:i4>
      </vt:variant>
      <vt:variant>
        <vt:i4>5</vt:i4>
      </vt:variant>
      <vt:variant>
        <vt:lpwstr>http://www.ncbi.nlm.nih.gov/pubmed/17998491</vt:lpwstr>
      </vt:variant>
      <vt:variant>
        <vt:lpwstr/>
      </vt:variant>
      <vt:variant>
        <vt:i4>3735599</vt:i4>
      </vt:variant>
      <vt:variant>
        <vt:i4>15575</vt:i4>
      </vt:variant>
      <vt:variant>
        <vt:i4>0</vt:i4>
      </vt:variant>
      <vt:variant>
        <vt:i4>5</vt:i4>
      </vt:variant>
      <vt:variant>
        <vt:lpwstr>http://www.ncbi.nlm.nih.gov/pubmed/17278924</vt:lpwstr>
      </vt:variant>
      <vt:variant>
        <vt:lpwstr/>
      </vt:variant>
      <vt:variant>
        <vt:i4>3866667</vt:i4>
      </vt:variant>
      <vt:variant>
        <vt:i4>15572</vt:i4>
      </vt:variant>
      <vt:variant>
        <vt:i4>0</vt:i4>
      </vt:variant>
      <vt:variant>
        <vt:i4>5</vt:i4>
      </vt:variant>
      <vt:variant>
        <vt:lpwstr>http://www.ncbi.nlm.nih.gov/pubmed/15182090</vt:lpwstr>
      </vt:variant>
      <vt:variant>
        <vt:lpwstr/>
      </vt:variant>
      <vt:variant>
        <vt:i4>3932194</vt:i4>
      </vt:variant>
      <vt:variant>
        <vt:i4>15569</vt:i4>
      </vt:variant>
      <vt:variant>
        <vt:i4>0</vt:i4>
      </vt:variant>
      <vt:variant>
        <vt:i4>5</vt:i4>
      </vt:variant>
      <vt:variant>
        <vt:lpwstr>http://www.ncbi.nlm.nih.gov/pubmed/2270960</vt:lpwstr>
      </vt:variant>
      <vt:variant>
        <vt:lpwstr/>
      </vt:variant>
      <vt:variant>
        <vt:i4>3473440</vt:i4>
      </vt:variant>
      <vt:variant>
        <vt:i4>15566</vt:i4>
      </vt:variant>
      <vt:variant>
        <vt:i4>0</vt:i4>
      </vt:variant>
      <vt:variant>
        <vt:i4>5</vt:i4>
      </vt:variant>
      <vt:variant>
        <vt:lpwstr>http://www.ncbi.nlm.nih.gov/pubmed/24006213</vt:lpwstr>
      </vt:variant>
      <vt:variant>
        <vt:lpwstr/>
      </vt:variant>
      <vt:variant>
        <vt:i4>4063270</vt:i4>
      </vt:variant>
      <vt:variant>
        <vt:i4>15563</vt:i4>
      </vt:variant>
      <vt:variant>
        <vt:i4>0</vt:i4>
      </vt:variant>
      <vt:variant>
        <vt:i4>5</vt:i4>
      </vt:variant>
      <vt:variant>
        <vt:lpwstr>http://www.ncbi.nlm.nih.gov/pubmed/15167396</vt:lpwstr>
      </vt:variant>
      <vt:variant>
        <vt:lpwstr/>
      </vt:variant>
      <vt:variant>
        <vt:i4>3670058</vt:i4>
      </vt:variant>
      <vt:variant>
        <vt:i4>15560</vt:i4>
      </vt:variant>
      <vt:variant>
        <vt:i4>0</vt:i4>
      </vt:variant>
      <vt:variant>
        <vt:i4>5</vt:i4>
      </vt:variant>
      <vt:variant>
        <vt:lpwstr>http://www.ncbi.nlm.nih.gov/pubmed/11444997</vt:lpwstr>
      </vt:variant>
      <vt:variant>
        <vt:lpwstr/>
      </vt:variant>
      <vt:variant>
        <vt:i4>3932197</vt:i4>
      </vt:variant>
      <vt:variant>
        <vt:i4>15557</vt:i4>
      </vt:variant>
      <vt:variant>
        <vt:i4>0</vt:i4>
      </vt:variant>
      <vt:variant>
        <vt:i4>5</vt:i4>
      </vt:variant>
      <vt:variant>
        <vt:lpwstr>http://www.ncbi.nlm.nih.gov/pubmed/11014399</vt:lpwstr>
      </vt:variant>
      <vt:variant>
        <vt:lpwstr/>
      </vt:variant>
      <vt:variant>
        <vt:i4>3670052</vt:i4>
      </vt:variant>
      <vt:variant>
        <vt:i4>15554</vt:i4>
      </vt:variant>
      <vt:variant>
        <vt:i4>0</vt:i4>
      </vt:variant>
      <vt:variant>
        <vt:i4>5</vt:i4>
      </vt:variant>
      <vt:variant>
        <vt:lpwstr>http://www.ncbi.nlm.nih.gov/pubmed/12048415</vt:lpwstr>
      </vt:variant>
      <vt:variant>
        <vt:lpwstr/>
      </vt:variant>
      <vt:variant>
        <vt:i4>3997734</vt:i4>
      </vt:variant>
      <vt:variant>
        <vt:i4>15551</vt:i4>
      </vt:variant>
      <vt:variant>
        <vt:i4>0</vt:i4>
      </vt:variant>
      <vt:variant>
        <vt:i4>5</vt:i4>
      </vt:variant>
      <vt:variant>
        <vt:lpwstr>http://www.ncbi.nlm.nih.gov/pubmed/10870746</vt:lpwstr>
      </vt:variant>
      <vt:variant>
        <vt:lpwstr/>
      </vt:variant>
      <vt:variant>
        <vt:i4>3932203</vt:i4>
      </vt:variant>
      <vt:variant>
        <vt:i4>15548</vt:i4>
      </vt:variant>
      <vt:variant>
        <vt:i4>0</vt:i4>
      </vt:variant>
      <vt:variant>
        <vt:i4>5</vt:i4>
      </vt:variant>
      <vt:variant>
        <vt:lpwstr>http://www.ncbi.nlm.nih.gov/pubmed/22473897</vt:lpwstr>
      </vt:variant>
      <vt:variant>
        <vt:lpwstr/>
      </vt:variant>
      <vt:variant>
        <vt:i4>3407916</vt:i4>
      </vt:variant>
      <vt:variant>
        <vt:i4>15545</vt:i4>
      </vt:variant>
      <vt:variant>
        <vt:i4>0</vt:i4>
      </vt:variant>
      <vt:variant>
        <vt:i4>5</vt:i4>
      </vt:variant>
      <vt:variant>
        <vt:lpwstr>http://www.ncbi.nlm.nih.gov/pubmed/10587279</vt:lpwstr>
      </vt:variant>
      <vt:variant>
        <vt:lpwstr/>
      </vt:variant>
      <vt:variant>
        <vt:i4>4063271</vt:i4>
      </vt:variant>
      <vt:variant>
        <vt:i4>15542</vt:i4>
      </vt:variant>
      <vt:variant>
        <vt:i4>0</vt:i4>
      </vt:variant>
      <vt:variant>
        <vt:i4>5</vt:i4>
      </vt:variant>
      <vt:variant>
        <vt:lpwstr>http://www.ncbi.nlm.nih.gov/pubmed/12860572</vt:lpwstr>
      </vt:variant>
      <vt:variant>
        <vt:lpwstr/>
      </vt:variant>
      <vt:variant>
        <vt:i4>3342373</vt:i4>
      </vt:variant>
      <vt:variant>
        <vt:i4>15539</vt:i4>
      </vt:variant>
      <vt:variant>
        <vt:i4>0</vt:i4>
      </vt:variant>
      <vt:variant>
        <vt:i4>5</vt:i4>
      </vt:variant>
      <vt:variant>
        <vt:lpwstr>http://www.ncbi.nlm.nih.gov/pubmed/20360527</vt:lpwstr>
      </vt:variant>
      <vt:variant>
        <vt:lpwstr/>
      </vt:variant>
      <vt:variant>
        <vt:i4>3145770</vt:i4>
      </vt:variant>
      <vt:variant>
        <vt:i4>15536</vt:i4>
      </vt:variant>
      <vt:variant>
        <vt:i4>0</vt:i4>
      </vt:variant>
      <vt:variant>
        <vt:i4>5</vt:i4>
      </vt:variant>
      <vt:variant>
        <vt:lpwstr>http://www.ncbi.nlm.nih.gov/pubmed/21394458</vt:lpwstr>
      </vt:variant>
      <vt:variant>
        <vt:lpwstr/>
      </vt:variant>
      <vt:variant>
        <vt:i4>4063274</vt:i4>
      </vt:variant>
      <vt:variant>
        <vt:i4>15533</vt:i4>
      </vt:variant>
      <vt:variant>
        <vt:i4>0</vt:i4>
      </vt:variant>
      <vt:variant>
        <vt:i4>5</vt:i4>
      </vt:variant>
      <vt:variant>
        <vt:lpwstr>http://www.ncbi.nlm.nih.gov/pubmed/12589636</vt:lpwstr>
      </vt:variant>
      <vt:variant>
        <vt:lpwstr/>
      </vt:variant>
      <vt:variant>
        <vt:i4>3407906</vt:i4>
      </vt:variant>
      <vt:variant>
        <vt:i4>15530</vt:i4>
      </vt:variant>
      <vt:variant>
        <vt:i4>0</vt:i4>
      </vt:variant>
      <vt:variant>
        <vt:i4>5</vt:i4>
      </vt:variant>
      <vt:variant>
        <vt:lpwstr>http://www.ncbi.nlm.nih.gov/pubmed/11838651</vt:lpwstr>
      </vt:variant>
      <vt:variant>
        <vt:lpwstr/>
      </vt:variant>
      <vt:variant>
        <vt:i4>3932193</vt:i4>
      </vt:variant>
      <vt:variant>
        <vt:i4>15527</vt:i4>
      </vt:variant>
      <vt:variant>
        <vt:i4>0</vt:i4>
      </vt:variant>
      <vt:variant>
        <vt:i4>5</vt:i4>
      </vt:variant>
      <vt:variant>
        <vt:lpwstr>http://www.ncbi.nlm.nih.gov/pubmed/17438317</vt:lpwstr>
      </vt:variant>
      <vt:variant>
        <vt:lpwstr/>
      </vt:variant>
      <vt:variant>
        <vt:i4>3473447</vt:i4>
      </vt:variant>
      <vt:variant>
        <vt:i4>15524</vt:i4>
      </vt:variant>
      <vt:variant>
        <vt:i4>0</vt:i4>
      </vt:variant>
      <vt:variant>
        <vt:i4>5</vt:i4>
      </vt:variant>
      <vt:variant>
        <vt:lpwstr>http://www.ncbi.nlm.nih.gov/pubmed/11214126</vt:lpwstr>
      </vt:variant>
      <vt:variant>
        <vt:lpwstr/>
      </vt:variant>
      <vt:variant>
        <vt:i4>3866671</vt:i4>
      </vt:variant>
      <vt:variant>
        <vt:i4>15521</vt:i4>
      </vt:variant>
      <vt:variant>
        <vt:i4>0</vt:i4>
      </vt:variant>
      <vt:variant>
        <vt:i4>5</vt:i4>
      </vt:variant>
      <vt:variant>
        <vt:lpwstr>http://www.ncbi.nlm.nih.gov/pubmed/23128807</vt:lpwstr>
      </vt:variant>
      <vt:variant>
        <vt:lpwstr/>
      </vt:variant>
      <vt:variant>
        <vt:i4>3866662</vt:i4>
      </vt:variant>
      <vt:variant>
        <vt:i4>15518</vt:i4>
      </vt:variant>
      <vt:variant>
        <vt:i4>0</vt:i4>
      </vt:variant>
      <vt:variant>
        <vt:i4>5</vt:i4>
      </vt:variant>
      <vt:variant>
        <vt:lpwstr>http://www.ncbi.nlm.nih.gov/pubmed/20088817</vt:lpwstr>
      </vt:variant>
      <vt:variant>
        <vt:lpwstr/>
      </vt:variant>
      <vt:variant>
        <vt:i4>3211302</vt:i4>
      </vt:variant>
      <vt:variant>
        <vt:i4>15515</vt:i4>
      </vt:variant>
      <vt:variant>
        <vt:i4>0</vt:i4>
      </vt:variant>
      <vt:variant>
        <vt:i4>5</vt:i4>
      </vt:variant>
      <vt:variant>
        <vt:lpwstr>http://www.ncbi.nlm.nih.gov/pubmed/10334375</vt:lpwstr>
      </vt:variant>
      <vt:variant>
        <vt:lpwstr/>
      </vt:variant>
      <vt:variant>
        <vt:i4>3145768</vt:i4>
      </vt:variant>
      <vt:variant>
        <vt:i4>15512</vt:i4>
      </vt:variant>
      <vt:variant>
        <vt:i4>0</vt:i4>
      </vt:variant>
      <vt:variant>
        <vt:i4>5</vt:i4>
      </vt:variant>
      <vt:variant>
        <vt:lpwstr>http://www.ncbi.nlm.nih.gov/pubmed/11372804</vt:lpwstr>
      </vt:variant>
      <vt:variant>
        <vt:lpwstr/>
      </vt:variant>
      <vt:variant>
        <vt:i4>3473455</vt:i4>
      </vt:variant>
      <vt:variant>
        <vt:i4>15509</vt:i4>
      </vt:variant>
      <vt:variant>
        <vt:i4>0</vt:i4>
      </vt:variant>
      <vt:variant>
        <vt:i4>5</vt:i4>
      </vt:variant>
      <vt:variant>
        <vt:lpwstr>http://www.ncbi.nlm.nih.gov/pubmed/15585447</vt:lpwstr>
      </vt:variant>
      <vt:variant>
        <vt:lpwstr/>
      </vt:variant>
      <vt:variant>
        <vt:i4>4128801</vt:i4>
      </vt:variant>
      <vt:variant>
        <vt:i4>15506</vt:i4>
      </vt:variant>
      <vt:variant>
        <vt:i4>0</vt:i4>
      </vt:variant>
      <vt:variant>
        <vt:i4>5</vt:i4>
      </vt:variant>
      <vt:variant>
        <vt:lpwstr>http://www.ncbi.nlm.nih.gov/pubmed/17896902</vt:lpwstr>
      </vt:variant>
      <vt:variant>
        <vt:lpwstr/>
      </vt:variant>
      <vt:variant>
        <vt:i4>3145765</vt:i4>
      </vt:variant>
      <vt:variant>
        <vt:i4>15503</vt:i4>
      </vt:variant>
      <vt:variant>
        <vt:i4>0</vt:i4>
      </vt:variant>
      <vt:variant>
        <vt:i4>5</vt:i4>
      </vt:variant>
      <vt:variant>
        <vt:lpwstr>http://www.ncbi.nlm.nih.gov/pubmed/12622352</vt:lpwstr>
      </vt:variant>
      <vt:variant>
        <vt:lpwstr/>
      </vt:variant>
      <vt:variant>
        <vt:i4>3604514</vt:i4>
      </vt:variant>
      <vt:variant>
        <vt:i4>15500</vt:i4>
      </vt:variant>
      <vt:variant>
        <vt:i4>0</vt:i4>
      </vt:variant>
      <vt:variant>
        <vt:i4>5</vt:i4>
      </vt:variant>
      <vt:variant>
        <vt:lpwstr>http://www.ncbi.nlm.nih.gov/pubmed/1804187</vt:lpwstr>
      </vt:variant>
      <vt:variant>
        <vt:lpwstr/>
      </vt:variant>
      <vt:variant>
        <vt:i4>4128810</vt:i4>
      </vt:variant>
      <vt:variant>
        <vt:i4>15497</vt:i4>
      </vt:variant>
      <vt:variant>
        <vt:i4>0</vt:i4>
      </vt:variant>
      <vt:variant>
        <vt:i4>5</vt:i4>
      </vt:variant>
      <vt:variant>
        <vt:lpwstr>http://www.ncbi.nlm.nih.gov/pubmed/8267190</vt:lpwstr>
      </vt:variant>
      <vt:variant>
        <vt:lpwstr/>
      </vt:variant>
      <vt:variant>
        <vt:i4>3604521</vt:i4>
      </vt:variant>
      <vt:variant>
        <vt:i4>15494</vt:i4>
      </vt:variant>
      <vt:variant>
        <vt:i4>0</vt:i4>
      </vt:variant>
      <vt:variant>
        <vt:i4>5</vt:i4>
      </vt:variant>
      <vt:variant>
        <vt:lpwstr>http://www.ncbi.nlm.nih.gov/pubmed/16716870</vt:lpwstr>
      </vt:variant>
      <vt:variant>
        <vt:lpwstr/>
      </vt:variant>
      <vt:variant>
        <vt:i4>3211296</vt:i4>
      </vt:variant>
      <vt:variant>
        <vt:i4>15491</vt:i4>
      </vt:variant>
      <vt:variant>
        <vt:i4>0</vt:i4>
      </vt:variant>
      <vt:variant>
        <vt:i4>5</vt:i4>
      </vt:variant>
      <vt:variant>
        <vt:lpwstr>http://www.ncbi.nlm.nih.gov/pubmed/15939004</vt:lpwstr>
      </vt:variant>
      <vt:variant>
        <vt:lpwstr/>
      </vt:variant>
      <vt:variant>
        <vt:i4>3145760</vt:i4>
      </vt:variant>
      <vt:variant>
        <vt:i4>15488</vt:i4>
      </vt:variant>
      <vt:variant>
        <vt:i4>0</vt:i4>
      </vt:variant>
      <vt:variant>
        <vt:i4>5</vt:i4>
      </vt:variant>
      <vt:variant>
        <vt:lpwstr>http://www.ncbi.nlm.nih.gov/pubmed/16009087</vt:lpwstr>
      </vt:variant>
      <vt:variant>
        <vt:lpwstr/>
      </vt:variant>
      <vt:variant>
        <vt:i4>3932206</vt:i4>
      </vt:variant>
      <vt:variant>
        <vt:i4>15485</vt:i4>
      </vt:variant>
      <vt:variant>
        <vt:i4>0</vt:i4>
      </vt:variant>
      <vt:variant>
        <vt:i4>5</vt:i4>
      </vt:variant>
      <vt:variant>
        <vt:lpwstr>http://www.ncbi.nlm.nih.gov/pubmed/16864815</vt:lpwstr>
      </vt:variant>
      <vt:variant>
        <vt:lpwstr/>
      </vt:variant>
      <vt:variant>
        <vt:i4>3604512</vt:i4>
      </vt:variant>
      <vt:variant>
        <vt:i4>15482</vt:i4>
      </vt:variant>
      <vt:variant>
        <vt:i4>0</vt:i4>
      </vt:variant>
      <vt:variant>
        <vt:i4>5</vt:i4>
      </vt:variant>
      <vt:variant>
        <vt:lpwstr>http://www.ncbi.nlm.nih.gov/pubmed/11706776</vt:lpwstr>
      </vt:variant>
      <vt:variant>
        <vt:lpwstr/>
      </vt:variant>
      <vt:variant>
        <vt:i4>3342378</vt:i4>
      </vt:variant>
      <vt:variant>
        <vt:i4>15479</vt:i4>
      </vt:variant>
      <vt:variant>
        <vt:i4>0</vt:i4>
      </vt:variant>
      <vt:variant>
        <vt:i4>5</vt:i4>
      </vt:variant>
      <vt:variant>
        <vt:lpwstr>http://www.ncbi.nlm.nih.gov/pubmed/14711947</vt:lpwstr>
      </vt:variant>
      <vt:variant>
        <vt:lpwstr/>
      </vt:variant>
      <vt:variant>
        <vt:i4>3538991</vt:i4>
      </vt:variant>
      <vt:variant>
        <vt:i4>15476</vt:i4>
      </vt:variant>
      <vt:variant>
        <vt:i4>0</vt:i4>
      </vt:variant>
      <vt:variant>
        <vt:i4>5</vt:i4>
      </vt:variant>
      <vt:variant>
        <vt:lpwstr>http://www.ncbi.nlm.nih.gov/pubmed/1199719</vt:lpwstr>
      </vt:variant>
      <vt:variant>
        <vt:lpwstr/>
      </vt:variant>
      <vt:variant>
        <vt:i4>3670055</vt:i4>
      </vt:variant>
      <vt:variant>
        <vt:i4>15473</vt:i4>
      </vt:variant>
      <vt:variant>
        <vt:i4>0</vt:i4>
      </vt:variant>
      <vt:variant>
        <vt:i4>5</vt:i4>
      </vt:variant>
      <vt:variant>
        <vt:lpwstr>http://www.ncbi.nlm.nih.gov/pubmed/14767395</vt:lpwstr>
      </vt:variant>
      <vt:variant>
        <vt:lpwstr/>
      </vt:variant>
      <vt:variant>
        <vt:i4>3735596</vt:i4>
      </vt:variant>
      <vt:variant>
        <vt:i4>15470</vt:i4>
      </vt:variant>
      <vt:variant>
        <vt:i4>0</vt:i4>
      </vt:variant>
      <vt:variant>
        <vt:i4>5</vt:i4>
      </vt:variant>
      <vt:variant>
        <vt:lpwstr>http://www.ncbi.nlm.nih.gov/pubmed/19269531</vt:lpwstr>
      </vt:variant>
      <vt:variant>
        <vt:lpwstr/>
      </vt:variant>
      <vt:variant>
        <vt:i4>3276841</vt:i4>
      </vt:variant>
      <vt:variant>
        <vt:i4>15467</vt:i4>
      </vt:variant>
      <vt:variant>
        <vt:i4>0</vt:i4>
      </vt:variant>
      <vt:variant>
        <vt:i4>5</vt:i4>
      </vt:variant>
      <vt:variant>
        <vt:lpwstr>http://www.ncbi.nlm.nih.gov/pubmed/18663169</vt:lpwstr>
      </vt:variant>
      <vt:variant>
        <vt:lpwstr/>
      </vt:variant>
      <vt:variant>
        <vt:i4>3276835</vt:i4>
      </vt:variant>
      <vt:variant>
        <vt:i4>15464</vt:i4>
      </vt:variant>
      <vt:variant>
        <vt:i4>0</vt:i4>
      </vt:variant>
      <vt:variant>
        <vt:i4>5</vt:i4>
      </vt:variant>
      <vt:variant>
        <vt:lpwstr>http://www.ncbi.nlm.nih.gov/pubmed/11126640</vt:lpwstr>
      </vt:variant>
      <vt:variant>
        <vt:lpwstr/>
      </vt:variant>
      <vt:variant>
        <vt:i4>3997738</vt:i4>
      </vt:variant>
      <vt:variant>
        <vt:i4>15461</vt:i4>
      </vt:variant>
      <vt:variant>
        <vt:i4>0</vt:i4>
      </vt:variant>
      <vt:variant>
        <vt:i4>5</vt:i4>
      </vt:variant>
      <vt:variant>
        <vt:lpwstr>http://www.ncbi.nlm.nih.gov/pubmed/7841856</vt:lpwstr>
      </vt:variant>
      <vt:variant>
        <vt:lpwstr/>
      </vt:variant>
      <vt:variant>
        <vt:i4>1638418</vt:i4>
      </vt:variant>
      <vt:variant>
        <vt:i4>15458</vt:i4>
      </vt:variant>
      <vt:variant>
        <vt:i4>0</vt:i4>
      </vt:variant>
      <vt:variant>
        <vt:i4>5</vt:i4>
      </vt:variant>
      <vt:variant>
        <vt:lpwstr>http://derp.ohsu.edu/about/final-document-display.cfm</vt:lpwstr>
      </vt:variant>
      <vt:variant>
        <vt:lpwstr/>
      </vt:variant>
      <vt:variant>
        <vt:i4>3604523</vt:i4>
      </vt:variant>
      <vt:variant>
        <vt:i4>15455</vt:i4>
      </vt:variant>
      <vt:variant>
        <vt:i4>0</vt:i4>
      </vt:variant>
      <vt:variant>
        <vt:i4>5</vt:i4>
      </vt:variant>
      <vt:variant>
        <vt:lpwstr>http://www.ncbi.nlm.nih.gov/pubmed/18638685</vt:lpwstr>
      </vt:variant>
      <vt:variant>
        <vt:lpwstr/>
      </vt:variant>
      <vt:variant>
        <vt:i4>3604526</vt:i4>
      </vt:variant>
      <vt:variant>
        <vt:i4>15452</vt:i4>
      </vt:variant>
      <vt:variant>
        <vt:i4>0</vt:i4>
      </vt:variant>
      <vt:variant>
        <vt:i4>5</vt:i4>
      </vt:variant>
      <vt:variant>
        <vt:lpwstr>http://www.ncbi.nlm.nih.gov/pubmed/16490727</vt:lpwstr>
      </vt:variant>
      <vt:variant>
        <vt:lpwstr/>
      </vt:variant>
      <vt:variant>
        <vt:i4>3145765</vt:i4>
      </vt:variant>
      <vt:variant>
        <vt:i4>15449</vt:i4>
      </vt:variant>
      <vt:variant>
        <vt:i4>0</vt:i4>
      </vt:variant>
      <vt:variant>
        <vt:i4>5</vt:i4>
      </vt:variant>
      <vt:variant>
        <vt:lpwstr>http://www.ncbi.nlm.nih.gov/pubmed/23633371</vt:lpwstr>
      </vt:variant>
      <vt:variant>
        <vt:lpwstr/>
      </vt:variant>
      <vt:variant>
        <vt:i4>3407912</vt:i4>
      </vt:variant>
      <vt:variant>
        <vt:i4>15446</vt:i4>
      </vt:variant>
      <vt:variant>
        <vt:i4>0</vt:i4>
      </vt:variant>
      <vt:variant>
        <vt:i4>5</vt:i4>
      </vt:variant>
      <vt:variant>
        <vt:lpwstr>http://www.ncbi.nlm.nih.gov/pubmed/11397610</vt:lpwstr>
      </vt:variant>
      <vt:variant>
        <vt:lpwstr/>
      </vt:variant>
      <vt:variant>
        <vt:i4>3735585</vt:i4>
      </vt:variant>
      <vt:variant>
        <vt:i4>15443</vt:i4>
      </vt:variant>
      <vt:variant>
        <vt:i4>0</vt:i4>
      </vt:variant>
      <vt:variant>
        <vt:i4>5</vt:i4>
      </vt:variant>
      <vt:variant>
        <vt:lpwstr>http://www.ncbi.nlm.nih.gov/pubmed/18564997</vt:lpwstr>
      </vt:variant>
      <vt:variant>
        <vt:lpwstr/>
      </vt:variant>
      <vt:variant>
        <vt:i4>3604516</vt:i4>
      </vt:variant>
      <vt:variant>
        <vt:i4>15440</vt:i4>
      </vt:variant>
      <vt:variant>
        <vt:i4>0</vt:i4>
      </vt:variant>
      <vt:variant>
        <vt:i4>5</vt:i4>
      </vt:variant>
      <vt:variant>
        <vt:lpwstr>http://www.ncbi.nlm.nih.gov/pubmed/17505569</vt:lpwstr>
      </vt:variant>
      <vt:variant>
        <vt:lpwstr/>
      </vt:variant>
      <vt:variant>
        <vt:i4>3604513</vt:i4>
      </vt:variant>
      <vt:variant>
        <vt:i4>15437</vt:i4>
      </vt:variant>
      <vt:variant>
        <vt:i4>0</vt:i4>
      </vt:variant>
      <vt:variant>
        <vt:i4>5</vt:i4>
      </vt:variant>
      <vt:variant>
        <vt:lpwstr>http://www.ncbi.nlm.nih.gov/pubmed/16652427</vt:lpwstr>
      </vt:variant>
      <vt:variant>
        <vt:lpwstr/>
      </vt:variant>
      <vt:variant>
        <vt:i4>3211299</vt:i4>
      </vt:variant>
      <vt:variant>
        <vt:i4>15434</vt:i4>
      </vt:variant>
      <vt:variant>
        <vt:i4>0</vt:i4>
      </vt:variant>
      <vt:variant>
        <vt:i4>5</vt:i4>
      </vt:variant>
      <vt:variant>
        <vt:lpwstr>http://www.ncbi.nlm.nih.gov/pubmed/15736314</vt:lpwstr>
      </vt:variant>
      <vt:variant>
        <vt:lpwstr/>
      </vt:variant>
      <vt:variant>
        <vt:i4>3407910</vt:i4>
      </vt:variant>
      <vt:variant>
        <vt:i4>15431</vt:i4>
      </vt:variant>
      <vt:variant>
        <vt:i4>0</vt:i4>
      </vt:variant>
      <vt:variant>
        <vt:i4>5</vt:i4>
      </vt:variant>
      <vt:variant>
        <vt:lpwstr>http://www.ncbi.nlm.nih.gov/pubmed/12374520</vt:lpwstr>
      </vt:variant>
      <vt:variant>
        <vt:lpwstr/>
      </vt:variant>
      <vt:variant>
        <vt:i4>3866658</vt:i4>
      </vt:variant>
      <vt:variant>
        <vt:i4>15428</vt:i4>
      </vt:variant>
      <vt:variant>
        <vt:i4>0</vt:i4>
      </vt:variant>
      <vt:variant>
        <vt:i4>5</vt:i4>
      </vt:variant>
      <vt:variant>
        <vt:lpwstr>http://www.ncbi.nlm.nih.gov/pubmed/15082983</vt:lpwstr>
      </vt:variant>
      <vt:variant>
        <vt:lpwstr/>
      </vt:variant>
      <vt:variant>
        <vt:i4>3866656</vt:i4>
      </vt:variant>
      <vt:variant>
        <vt:i4>15425</vt:i4>
      </vt:variant>
      <vt:variant>
        <vt:i4>0</vt:i4>
      </vt:variant>
      <vt:variant>
        <vt:i4>5</vt:i4>
      </vt:variant>
      <vt:variant>
        <vt:lpwstr>http://www.ncbi.nlm.nih.gov/pubmed/21939497</vt:lpwstr>
      </vt:variant>
      <vt:variant>
        <vt:lpwstr/>
      </vt:variant>
      <vt:variant>
        <vt:i4>3735584</vt:i4>
      </vt:variant>
      <vt:variant>
        <vt:i4>15422</vt:i4>
      </vt:variant>
      <vt:variant>
        <vt:i4>0</vt:i4>
      </vt:variant>
      <vt:variant>
        <vt:i4>5</vt:i4>
      </vt:variant>
      <vt:variant>
        <vt:lpwstr>http://www.ncbi.nlm.nih.gov/pubmed/18983627</vt:lpwstr>
      </vt:variant>
      <vt:variant>
        <vt:lpwstr/>
      </vt:variant>
      <vt:variant>
        <vt:i4>3145764</vt:i4>
      </vt:variant>
      <vt:variant>
        <vt:i4>15419</vt:i4>
      </vt:variant>
      <vt:variant>
        <vt:i4>0</vt:i4>
      </vt:variant>
      <vt:variant>
        <vt:i4>5</vt:i4>
      </vt:variant>
      <vt:variant>
        <vt:lpwstr>http://www.ncbi.nlm.nih.gov/pubmed/17200530</vt:lpwstr>
      </vt:variant>
      <vt:variant>
        <vt:lpwstr/>
      </vt:variant>
      <vt:variant>
        <vt:i4>3211300</vt:i4>
      </vt:variant>
      <vt:variant>
        <vt:i4>15416</vt:i4>
      </vt:variant>
      <vt:variant>
        <vt:i4>0</vt:i4>
      </vt:variant>
      <vt:variant>
        <vt:i4>5</vt:i4>
      </vt:variant>
      <vt:variant>
        <vt:lpwstr>http://www.ncbi.nlm.nih.gov/pubmed/20215340</vt:lpwstr>
      </vt:variant>
      <vt:variant>
        <vt:lpwstr/>
      </vt:variant>
      <vt:variant>
        <vt:i4>3145774</vt:i4>
      </vt:variant>
      <vt:variant>
        <vt:i4>15413</vt:i4>
      </vt:variant>
      <vt:variant>
        <vt:i4>0</vt:i4>
      </vt:variant>
      <vt:variant>
        <vt:i4>5</vt:i4>
      </vt:variant>
      <vt:variant>
        <vt:lpwstr>http://www.ncbi.nlm.nih.gov/pubmed/15840990</vt:lpwstr>
      </vt:variant>
      <vt:variant>
        <vt:lpwstr/>
      </vt:variant>
      <vt:variant>
        <vt:i4>3145765</vt:i4>
      </vt:variant>
      <vt:variant>
        <vt:i4>15410</vt:i4>
      </vt:variant>
      <vt:variant>
        <vt:i4>0</vt:i4>
      </vt:variant>
      <vt:variant>
        <vt:i4>5</vt:i4>
      </vt:variant>
      <vt:variant>
        <vt:lpwstr>http://www.ncbi.nlm.nih.gov/pubmed/9291707</vt:lpwstr>
      </vt:variant>
      <vt:variant>
        <vt:lpwstr/>
      </vt:variant>
      <vt:variant>
        <vt:i4>3407918</vt:i4>
      </vt:variant>
      <vt:variant>
        <vt:i4>15407</vt:i4>
      </vt:variant>
      <vt:variant>
        <vt:i4>0</vt:i4>
      </vt:variant>
      <vt:variant>
        <vt:i4>5</vt:i4>
      </vt:variant>
      <vt:variant>
        <vt:lpwstr>http://www.ncbi.nlm.nih.gov/pubmed/18042478</vt:lpwstr>
      </vt:variant>
      <vt:variant>
        <vt:lpwstr/>
      </vt:variant>
      <vt:variant>
        <vt:i4>4063269</vt:i4>
      </vt:variant>
      <vt:variant>
        <vt:i4>15404</vt:i4>
      </vt:variant>
      <vt:variant>
        <vt:i4>0</vt:i4>
      </vt:variant>
      <vt:variant>
        <vt:i4>5</vt:i4>
      </vt:variant>
      <vt:variant>
        <vt:lpwstr>http://www.ncbi.nlm.nih.gov/pubmed/11729014</vt:lpwstr>
      </vt:variant>
      <vt:variant>
        <vt:lpwstr/>
      </vt:variant>
      <vt:variant>
        <vt:i4>3866656</vt:i4>
      </vt:variant>
      <vt:variant>
        <vt:i4>15401</vt:i4>
      </vt:variant>
      <vt:variant>
        <vt:i4>0</vt:i4>
      </vt:variant>
      <vt:variant>
        <vt:i4>5</vt:i4>
      </vt:variant>
      <vt:variant>
        <vt:lpwstr>http://www.ncbi.nlm.nih.gov/pubmed/16937344</vt:lpwstr>
      </vt:variant>
      <vt:variant>
        <vt:lpwstr/>
      </vt:variant>
      <vt:variant>
        <vt:i4>3866668</vt:i4>
      </vt:variant>
      <vt:variant>
        <vt:i4>15398</vt:i4>
      </vt:variant>
      <vt:variant>
        <vt:i4>0</vt:i4>
      </vt:variant>
      <vt:variant>
        <vt:i4>5</vt:i4>
      </vt:variant>
      <vt:variant>
        <vt:lpwstr>http://www.ncbi.nlm.nih.gov/pubmed/15674889</vt:lpwstr>
      </vt:variant>
      <vt:variant>
        <vt:lpwstr/>
      </vt:variant>
      <vt:variant>
        <vt:i4>3801125</vt:i4>
      </vt:variant>
      <vt:variant>
        <vt:i4>15395</vt:i4>
      </vt:variant>
      <vt:variant>
        <vt:i4>0</vt:i4>
      </vt:variant>
      <vt:variant>
        <vt:i4>5</vt:i4>
      </vt:variant>
      <vt:variant>
        <vt:lpwstr>http://www.ncbi.nlm.nih.gov/pubmed/11309212</vt:lpwstr>
      </vt:variant>
      <vt:variant>
        <vt:lpwstr/>
      </vt:variant>
      <vt:variant>
        <vt:i4>3145761</vt:i4>
      </vt:variant>
      <vt:variant>
        <vt:i4>15392</vt:i4>
      </vt:variant>
      <vt:variant>
        <vt:i4>0</vt:i4>
      </vt:variant>
      <vt:variant>
        <vt:i4>5</vt:i4>
      </vt:variant>
      <vt:variant>
        <vt:lpwstr>http://www.ncbi.nlm.nih.gov/pubmed/16686915</vt:lpwstr>
      </vt:variant>
      <vt:variant>
        <vt:lpwstr/>
      </vt:variant>
      <vt:variant>
        <vt:i4>4128836</vt:i4>
      </vt:variant>
      <vt:variant>
        <vt:i4>15389</vt:i4>
      </vt:variant>
      <vt:variant>
        <vt:i4>0</vt:i4>
      </vt:variant>
      <vt:variant>
        <vt:i4>5</vt:i4>
      </vt:variant>
      <vt:variant>
        <vt:lpwstr>E:\AppData\Local\Microsoft\Windows\Temporary Internet Files\Content.Outlook\AppData\Local\Microsoft\Windows\Temporary Internet Files\Content.Outlook\50QE161U\Pain_files\olenic_vimpat.pdf</vt:lpwstr>
      </vt:variant>
      <vt:variant>
        <vt:lpwstr/>
      </vt:variant>
      <vt:variant>
        <vt:i4>3801123</vt:i4>
      </vt:variant>
      <vt:variant>
        <vt:i4>15386</vt:i4>
      </vt:variant>
      <vt:variant>
        <vt:i4>0</vt:i4>
      </vt:variant>
      <vt:variant>
        <vt:i4>5</vt:i4>
      </vt:variant>
      <vt:variant>
        <vt:lpwstr>http://www.ncbi.nlm.nih.gov/pubmed/12163198</vt:lpwstr>
      </vt:variant>
      <vt:variant>
        <vt:lpwstr/>
      </vt:variant>
      <vt:variant>
        <vt:i4>4063278</vt:i4>
      </vt:variant>
      <vt:variant>
        <vt:i4>15383</vt:i4>
      </vt:variant>
      <vt:variant>
        <vt:i4>0</vt:i4>
      </vt:variant>
      <vt:variant>
        <vt:i4>5</vt:i4>
      </vt:variant>
      <vt:variant>
        <vt:lpwstr>http://www.ncbi.nlm.nih.gov/pubmed/19997813</vt:lpwstr>
      </vt:variant>
      <vt:variant>
        <vt:lpwstr/>
      </vt:variant>
      <vt:variant>
        <vt:i4>3866657</vt:i4>
      </vt:variant>
      <vt:variant>
        <vt:i4>15380</vt:i4>
      </vt:variant>
      <vt:variant>
        <vt:i4>0</vt:i4>
      </vt:variant>
      <vt:variant>
        <vt:i4>5</vt:i4>
      </vt:variant>
      <vt:variant>
        <vt:lpwstr>http://www.ncbi.nlm.nih.gov/pubmed/16340597</vt:lpwstr>
      </vt:variant>
      <vt:variant>
        <vt:lpwstr/>
      </vt:variant>
      <vt:variant>
        <vt:i4>3932207</vt:i4>
      </vt:variant>
      <vt:variant>
        <vt:i4>15377</vt:i4>
      </vt:variant>
      <vt:variant>
        <vt:i4>0</vt:i4>
      </vt:variant>
      <vt:variant>
        <vt:i4>5</vt:i4>
      </vt:variant>
      <vt:variant>
        <vt:lpwstr>http://www.ncbi.nlm.nih.gov/pubmed/19801049</vt:lpwstr>
      </vt:variant>
      <vt:variant>
        <vt:lpwstr/>
      </vt:variant>
      <vt:variant>
        <vt:i4>3145765</vt:i4>
      </vt:variant>
      <vt:variant>
        <vt:i4>15374</vt:i4>
      </vt:variant>
      <vt:variant>
        <vt:i4>0</vt:i4>
      </vt:variant>
      <vt:variant>
        <vt:i4>5</vt:i4>
      </vt:variant>
      <vt:variant>
        <vt:lpwstr>http://www.ncbi.nlm.nih.gov/pubmed/23633371</vt:lpwstr>
      </vt:variant>
      <vt:variant>
        <vt:lpwstr/>
      </vt:variant>
      <vt:variant>
        <vt:i4>3211311</vt:i4>
      </vt:variant>
      <vt:variant>
        <vt:i4>15371</vt:i4>
      </vt:variant>
      <vt:variant>
        <vt:i4>0</vt:i4>
      </vt:variant>
      <vt:variant>
        <vt:i4>5</vt:i4>
      </vt:variant>
      <vt:variant>
        <vt:lpwstr>http://www.ncbi.nlm.nih.gov/pubmed/20686134</vt:lpwstr>
      </vt:variant>
      <vt:variant>
        <vt:lpwstr/>
      </vt:variant>
      <vt:variant>
        <vt:i4>3473453</vt:i4>
      </vt:variant>
      <vt:variant>
        <vt:i4>15368</vt:i4>
      </vt:variant>
      <vt:variant>
        <vt:i4>0</vt:i4>
      </vt:variant>
      <vt:variant>
        <vt:i4>5</vt:i4>
      </vt:variant>
      <vt:variant>
        <vt:lpwstr>http://www.ncbi.nlm.nih.gov/pubmed/15762817</vt:lpwstr>
      </vt:variant>
      <vt:variant>
        <vt:lpwstr/>
      </vt:variant>
      <vt:variant>
        <vt:i4>3932192</vt:i4>
      </vt:variant>
      <vt:variant>
        <vt:i4>15365</vt:i4>
      </vt:variant>
      <vt:variant>
        <vt:i4>0</vt:i4>
      </vt:variant>
      <vt:variant>
        <vt:i4>5</vt:i4>
      </vt:variant>
      <vt:variant>
        <vt:lpwstr>http://www.ncbi.nlm.nih.gov/pubmed/23748113</vt:lpwstr>
      </vt:variant>
      <vt:variant>
        <vt:lpwstr/>
      </vt:variant>
      <vt:variant>
        <vt:i4>3211301</vt:i4>
      </vt:variant>
      <vt:variant>
        <vt:i4>15362</vt:i4>
      </vt:variant>
      <vt:variant>
        <vt:i4>0</vt:i4>
      </vt:variant>
      <vt:variant>
        <vt:i4>5</vt:i4>
      </vt:variant>
      <vt:variant>
        <vt:lpwstr>http://www.ncbi.nlm.nih.gov/pubmed/16427737</vt:lpwstr>
      </vt:variant>
      <vt:variant>
        <vt:lpwstr/>
      </vt:variant>
      <vt:variant>
        <vt:i4>3473442</vt:i4>
      </vt:variant>
      <vt:variant>
        <vt:i4>15359</vt:i4>
      </vt:variant>
      <vt:variant>
        <vt:i4>0</vt:i4>
      </vt:variant>
      <vt:variant>
        <vt:i4>5</vt:i4>
      </vt:variant>
      <vt:variant>
        <vt:lpwstr>http://www.ncbi.nlm.nih.gov/pubmed/19557864</vt:lpwstr>
      </vt:variant>
      <vt:variant>
        <vt:lpwstr/>
      </vt:variant>
      <vt:variant>
        <vt:i4>3538978</vt:i4>
      </vt:variant>
      <vt:variant>
        <vt:i4>15356</vt:i4>
      </vt:variant>
      <vt:variant>
        <vt:i4>0</vt:i4>
      </vt:variant>
      <vt:variant>
        <vt:i4>5</vt:i4>
      </vt:variant>
      <vt:variant>
        <vt:lpwstr>http://www.ncbi.nlm.nih.gov/pubmed/17662532</vt:lpwstr>
      </vt:variant>
      <vt:variant>
        <vt:lpwstr/>
      </vt:variant>
      <vt:variant>
        <vt:i4>3997737</vt:i4>
      </vt:variant>
      <vt:variant>
        <vt:i4>15353</vt:i4>
      </vt:variant>
      <vt:variant>
        <vt:i4>0</vt:i4>
      </vt:variant>
      <vt:variant>
        <vt:i4>5</vt:i4>
      </vt:variant>
      <vt:variant>
        <vt:lpwstr>http://www.ncbi.nlm.nih.gov/pubmed/14996238</vt:lpwstr>
      </vt:variant>
      <vt:variant>
        <vt:lpwstr/>
      </vt:variant>
      <vt:variant>
        <vt:i4>4456549</vt:i4>
      </vt:variant>
      <vt:variant>
        <vt:i4>15350</vt:i4>
      </vt:variant>
      <vt:variant>
        <vt:i4>0</vt:i4>
      </vt:variant>
      <vt:variant>
        <vt:i4>5</vt:i4>
      </vt:variant>
      <vt:variant>
        <vt:lpwstr>https://www.orthopt.org/uploads/content_files/OHSIG_Guidelines/Work_Rehab_Guideline_Final_Draft_4_1_11.pdf</vt:lpwstr>
      </vt:variant>
      <vt:variant>
        <vt:lpwstr/>
      </vt:variant>
      <vt:variant>
        <vt:i4>3407917</vt:i4>
      </vt:variant>
      <vt:variant>
        <vt:i4>15347</vt:i4>
      </vt:variant>
      <vt:variant>
        <vt:i4>0</vt:i4>
      </vt:variant>
      <vt:variant>
        <vt:i4>5</vt:i4>
      </vt:variant>
      <vt:variant>
        <vt:lpwstr>http://www.ncbi.nlm.nih.gov/pubmed/6229707</vt:lpwstr>
      </vt:variant>
      <vt:variant>
        <vt:lpwstr/>
      </vt:variant>
      <vt:variant>
        <vt:i4>3604514</vt:i4>
      </vt:variant>
      <vt:variant>
        <vt:i4>15344</vt:i4>
      </vt:variant>
      <vt:variant>
        <vt:i4>0</vt:i4>
      </vt:variant>
      <vt:variant>
        <vt:i4>5</vt:i4>
      </vt:variant>
      <vt:variant>
        <vt:lpwstr>http://www.ncbi.nlm.nih.gov/pubmed/21546160</vt:lpwstr>
      </vt:variant>
      <vt:variant>
        <vt:lpwstr/>
      </vt:variant>
      <vt:variant>
        <vt:i4>3211296</vt:i4>
      </vt:variant>
      <vt:variant>
        <vt:i4>15341</vt:i4>
      </vt:variant>
      <vt:variant>
        <vt:i4>0</vt:i4>
      </vt:variant>
      <vt:variant>
        <vt:i4>5</vt:i4>
      </vt:variant>
      <vt:variant>
        <vt:lpwstr>http://www.ncbi.nlm.nih.gov/pubmed/20141234</vt:lpwstr>
      </vt:variant>
      <vt:variant>
        <vt:lpwstr/>
      </vt:variant>
      <vt:variant>
        <vt:i4>3211297</vt:i4>
      </vt:variant>
      <vt:variant>
        <vt:i4>15338</vt:i4>
      </vt:variant>
      <vt:variant>
        <vt:i4>0</vt:i4>
      </vt:variant>
      <vt:variant>
        <vt:i4>5</vt:i4>
      </vt:variant>
      <vt:variant>
        <vt:lpwstr>http://www.ncbi.nlm.nih.gov/pubmed/17177766</vt:lpwstr>
      </vt:variant>
      <vt:variant>
        <vt:lpwstr/>
      </vt:variant>
      <vt:variant>
        <vt:i4>3342375</vt:i4>
      </vt:variant>
      <vt:variant>
        <vt:i4>15335</vt:i4>
      </vt:variant>
      <vt:variant>
        <vt:i4>0</vt:i4>
      </vt:variant>
      <vt:variant>
        <vt:i4>5</vt:i4>
      </vt:variant>
      <vt:variant>
        <vt:lpwstr>http://www.ncbi.nlm.nih.gov/pubmed/18314857</vt:lpwstr>
      </vt:variant>
      <vt:variant>
        <vt:lpwstr/>
      </vt:variant>
      <vt:variant>
        <vt:i4>3473444</vt:i4>
      </vt:variant>
      <vt:variant>
        <vt:i4>15332</vt:i4>
      </vt:variant>
      <vt:variant>
        <vt:i4>0</vt:i4>
      </vt:variant>
      <vt:variant>
        <vt:i4>5</vt:i4>
      </vt:variant>
      <vt:variant>
        <vt:lpwstr>http://www.ncbi.nlm.nih.gov/pubmed/16331769</vt:lpwstr>
      </vt:variant>
      <vt:variant>
        <vt:lpwstr/>
      </vt:variant>
      <vt:variant>
        <vt:i4>3538987</vt:i4>
      </vt:variant>
      <vt:variant>
        <vt:i4>15329</vt:i4>
      </vt:variant>
      <vt:variant>
        <vt:i4>0</vt:i4>
      </vt:variant>
      <vt:variant>
        <vt:i4>5</vt:i4>
      </vt:variant>
      <vt:variant>
        <vt:lpwstr>http://www.ncbi.nlm.nih.gov/pubmed/16393277</vt:lpwstr>
      </vt:variant>
      <vt:variant>
        <vt:lpwstr/>
      </vt:variant>
      <vt:variant>
        <vt:i4>1900613</vt:i4>
      </vt:variant>
      <vt:variant>
        <vt:i4>15326</vt:i4>
      </vt:variant>
      <vt:variant>
        <vt:i4>0</vt:i4>
      </vt:variant>
      <vt:variant>
        <vt:i4>5</vt:i4>
      </vt:variant>
      <vt:variant>
        <vt:lpwstr>http://www.nice.org.uk/nicemedia/pdf/PainFAD1.pdf</vt:lpwstr>
      </vt:variant>
      <vt:variant>
        <vt:lpwstr/>
      </vt:variant>
      <vt:variant>
        <vt:i4>4128809</vt:i4>
      </vt:variant>
      <vt:variant>
        <vt:i4>15323</vt:i4>
      </vt:variant>
      <vt:variant>
        <vt:i4>0</vt:i4>
      </vt:variant>
      <vt:variant>
        <vt:i4>5</vt:i4>
      </vt:variant>
      <vt:variant>
        <vt:lpwstr>http://www.ncbi.nlm.nih.gov/pubmed/16691090</vt:lpwstr>
      </vt:variant>
      <vt:variant>
        <vt:lpwstr/>
      </vt:variant>
      <vt:variant>
        <vt:i4>3276834</vt:i4>
      </vt:variant>
      <vt:variant>
        <vt:i4>15320</vt:i4>
      </vt:variant>
      <vt:variant>
        <vt:i4>0</vt:i4>
      </vt:variant>
      <vt:variant>
        <vt:i4>5</vt:i4>
      </vt:variant>
      <vt:variant>
        <vt:lpwstr>http://www.ncbi.nlm.nih.gov/pubmed/7654161</vt:lpwstr>
      </vt:variant>
      <vt:variant>
        <vt:lpwstr/>
      </vt:variant>
      <vt:variant>
        <vt:i4>3145763</vt:i4>
      </vt:variant>
      <vt:variant>
        <vt:i4>15317</vt:i4>
      </vt:variant>
      <vt:variant>
        <vt:i4>0</vt:i4>
      </vt:variant>
      <vt:variant>
        <vt:i4>5</vt:i4>
      </vt:variant>
      <vt:variant>
        <vt:lpwstr>http://www.ncbi.nlm.nih.gov/pubmed/16572460</vt:lpwstr>
      </vt:variant>
      <vt:variant>
        <vt:lpwstr/>
      </vt:variant>
      <vt:variant>
        <vt:i4>3145770</vt:i4>
      </vt:variant>
      <vt:variant>
        <vt:i4>15314</vt:i4>
      </vt:variant>
      <vt:variant>
        <vt:i4>0</vt:i4>
      </vt:variant>
      <vt:variant>
        <vt:i4>5</vt:i4>
      </vt:variant>
      <vt:variant>
        <vt:lpwstr>http://www.ncbi.nlm.nih.gov/pubmed/18625626</vt:lpwstr>
      </vt:variant>
      <vt:variant>
        <vt:lpwstr/>
      </vt:variant>
      <vt:variant>
        <vt:i4>3866656</vt:i4>
      </vt:variant>
      <vt:variant>
        <vt:i4>15311</vt:i4>
      </vt:variant>
      <vt:variant>
        <vt:i4>0</vt:i4>
      </vt:variant>
      <vt:variant>
        <vt:i4>5</vt:i4>
      </vt:variant>
      <vt:variant>
        <vt:lpwstr>http://www.ncbi.nlm.nih.gov/pubmed/22851109</vt:lpwstr>
      </vt:variant>
      <vt:variant>
        <vt:lpwstr/>
      </vt:variant>
      <vt:variant>
        <vt:i4>2293871</vt:i4>
      </vt:variant>
      <vt:variant>
        <vt:i4>15308</vt:i4>
      </vt:variant>
      <vt:variant>
        <vt:i4>0</vt:i4>
      </vt:variant>
      <vt:variant>
        <vt:i4>5</vt:i4>
      </vt:variant>
      <vt:variant>
        <vt:lpwstr>E:\AppData\Local\Microsoft\Windows\Temporary Internet Files\Content.Outlook\AppData\Local\Microsoft\Windows\Temporary Internet Files\Content.Outlook\50QE161U\Pain_files\nelemans.htm</vt:lpwstr>
      </vt:variant>
      <vt:variant>
        <vt:lpwstr/>
      </vt:variant>
      <vt:variant>
        <vt:i4>4063273</vt:i4>
      </vt:variant>
      <vt:variant>
        <vt:i4>15305</vt:i4>
      </vt:variant>
      <vt:variant>
        <vt:i4>0</vt:i4>
      </vt:variant>
      <vt:variant>
        <vt:i4>5</vt:i4>
      </vt:variant>
      <vt:variant>
        <vt:lpwstr>http://www.ncbi.nlm.nih.gov/pubmed/18458231</vt:lpwstr>
      </vt:variant>
      <vt:variant>
        <vt:lpwstr/>
      </vt:variant>
      <vt:variant>
        <vt:i4>4128803</vt:i4>
      </vt:variant>
      <vt:variant>
        <vt:i4>15302</vt:i4>
      </vt:variant>
      <vt:variant>
        <vt:i4>0</vt:i4>
      </vt:variant>
      <vt:variant>
        <vt:i4>5</vt:i4>
      </vt:variant>
      <vt:variant>
        <vt:lpwstr>http://www.ncbi.nlm.nih.gov/pubmed/18088560</vt:lpwstr>
      </vt:variant>
      <vt:variant>
        <vt:lpwstr/>
      </vt:variant>
      <vt:variant>
        <vt:i4>3276836</vt:i4>
      </vt:variant>
      <vt:variant>
        <vt:i4>15299</vt:i4>
      </vt:variant>
      <vt:variant>
        <vt:i4>0</vt:i4>
      </vt:variant>
      <vt:variant>
        <vt:i4>5</vt:i4>
      </vt:variant>
      <vt:variant>
        <vt:lpwstr>http://www.ncbi.nlm.nih.gov/pubmed/15336464</vt:lpwstr>
      </vt:variant>
      <vt:variant>
        <vt:lpwstr/>
      </vt:variant>
      <vt:variant>
        <vt:i4>3801120</vt:i4>
      </vt:variant>
      <vt:variant>
        <vt:i4>15296</vt:i4>
      </vt:variant>
      <vt:variant>
        <vt:i4>0</vt:i4>
      </vt:variant>
      <vt:variant>
        <vt:i4>5</vt:i4>
      </vt:variant>
      <vt:variant>
        <vt:lpwstr>http://www.ncbi.nlm.nih.gov/pubmed/16937352</vt:lpwstr>
      </vt:variant>
      <vt:variant>
        <vt:lpwstr/>
      </vt:variant>
      <vt:variant>
        <vt:i4>3407908</vt:i4>
      </vt:variant>
      <vt:variant>
        <vt:i4>15293</vt:i4>
      </vt:variant>
      <vt:variant>
        <vt:i4>0</vt:i4>
      </vt:variant>
      <vt:variant>
        <vt:i4>5</vt:i4>
      </vt:variant>
      <vt:variant>
        <vt:lpwstr>http://www.ncbi.nlm.nih.gov/pubmed/15226515</vt:lpwstr>
      </vt:variant>
      <vt:variant>
        <vt:lpwstr/>
      </vt:variant>
      <vt:variant>
        <vt:i4>3538983</vt:i4>
      </vt:variant>
      <vt:variant>
        <vt:i4>15290</vt:i4>
      </vt:variant>
      <vt:variant>
        <vt:i4>0</vt:i4>
      </vt:variant>
      <vt:variant>
        <vt:i4>5</vt:i4>
      </vt:variant>
      <vt:variant>
        <vt:lpwstr>http://www.ncbi.nlm.nih.gov/pubmed/11783837</vt:lpwstr>
      </vt:variant>
      <vt:variant>
        <vt:lpwstr/>
      </vt:variant>
      <vt:variant>
        <vt:i4>3538977</vt:i4>
      </vt:variant>
      <vt:variant>
        <vt:i4>15287</vt:i4>
      </vt:variant>
      <vt:variant>
        <vt:i4>0</vt:i4>
      </vt:variant>
      <vt:variant>
        <vt:i4>5</vt:i4>
      </vt:variant>
      <vt:variant>
        <vt:lpwstr>http://www.ncbi.nlm.nih.gov/pubmed/10204712</vt:lpwstr>
      </vt:variant>
      <vt:variant>
        <vt:lpwstr/>
      </vt:variant>
      <vt:variant>
        <vt:i4>3801131</vt:i4>
      </vt:variant>
      <vt:variant>
        <vt:i4>15284</vt:i4>
      </vt:variant>
      <vt:variant>
        <vt:i4>0</vt:i4>
      </vt:variant>
      <vt:variant>
        <vt:i4>5</vt:i4>
      </vt:variant>
      <vt:variant>
        <vt:lpwstr>http://www.ncbi.nlm.nih.gov/pubmed/20191480</vt:lpwstr>
      </vt:variant>
      <vt:variant>
        <vt:lpwstr/>
      </vt:variant>
      <vt:variant>
        <vt:i4>3801120</vt:i4>
      </vt:variant>
      <vt:variant>
        <vt:i4>15281</vt:i4>
      </vt:variant>
      <vt:variant>
        <vt:i4>0</vt:i4>
      </vt:variant>
      <vt:variant>
        <vt:i4>5</vt:i4>
      </vt:variant>
      <vt:variant>
        <vt:lpwstr>http://www.ncbi.nlm.nih.gov/pubmed/14754783</vt:lpwstr>
      </vt:variant>
      <vt:variant>
        <vt:lpwstr/>
      </vt:variant>
      <vt:variant>
        <vt:i4>3276844</vt:i4>
      </vt:variant>
      <vt:variant>
        <vt:i4>15278</vt:i4>
      </vt:variant>
      <vt:variant>
        <vt:i4>0</vt:i4>
      </vt:variant>
      <vt:variant>
        <vt:i4>5</vt:i4>
      </vt:variant>
      <vt:variant>
        <vt:lpwstr>http://www.ncbi.nlm.nih.gov/pubmed/19454639</vt:lpwstr>
      </vt:variant>
      <vt:variant>
        <vt:lpwstr/>
      </vt:variant>
      <vt:variant>
        <vt:i4>3145763</vt:i4>
      </vt:variant>
      <vt:variant>
        <vt:i4>15275</vt:i4>
      </vt:variant>
      <vt:variant>
        <vt:i4>0</vt:i4>
      </vt:variant>
      <vt:variant>
        <vt:i4>5</vt:i4>
      </vt:variant>
      <vt:variant>
        <vt:lpwstr>http://www.ncbi.nlm.nih.gov/pubmed/21777321</vt:lpwstr>
      </vt:variant>
      <vt:variant>
        <vt:lpwstr/>
      </vt:variant>
      <vt:variant>
        <vt:i4>3538979</vt:i4>
      </vt:variant>
      <vt:variant>
        <vt:i4>15272</vt:i4>
      </vt:variant>
      <vt:variant>
        <vt:i4>0</vt:i4>
      </vt:variant>
      <vt:variant>
        <vt:i4>5</vt:i4>
      </vt:variant>
      <vt:variant>
        <vt:lpwstr>http://www.ncbi.nlm.nih.gov/pubmed/16207320</vt:lpwstr>
      </vt:variant>
      <vt:variant>
        <vt:lpwstr/>
      </vt:variant>
      <vt:variant>
        <vt:i4>3342370</vt:i4>
      </vt:variant>
      <vt:variant>
        <vt:i4>15269</vt:i4>
      </vt:variant>
      <vt:variant>
        <vt:i4>0</vt:i4>
      </vt:variant>
      <vt:variant>
        <vt:i4>5</vt:i4>
      </vt:variant>
      <vt:variant>
        <vt:lpwstr>http://www.ncbi.nlm.nih.gov/pubmed/20021601</vt:lpwstr>
      </vt:variant>
      <vt:variant>
        <vt:lpwstr/>
      </vt:variant>
      <vt:variant>
        <vt:i4>3997731</vt:i4>
      </vt:variant>
      <vt:variant>
        <vt:i4>15266</vt:i4>
      </vt:variant>
      <vt:variant>
        <vt:i4>0</vt:i4>
      </vt:variant>
      <vt:variant>
        <vt:i4>5</vt:i4>
      </vt:variant>
      <vt:variant>
        <vt:lpwstr>http://www.ncbi.nlm.nih.gov/pubmed/19588419</vt:lpwstr>
      </vt:variant>
      <vt:variant>
        <vt:lpwstr/>
      </vt:variant>
      <vt:variant>
        <vt:i4>3276837</vt:i4>
      </vt:variant>
      <vt:variant>
        <vt:i4>15263</vt:i4>
      </vt:variant>
      <vt:variant>
        <vt:i4>0</vt:i4>
      </vt:variant>
      <vt:variant>
        <vt:i4>5</vt:i4>
      </vt:variant>
      <vt:variant>
        <vt:lpwstr>http://www.ncbi.nlm.nih.gov/pubmed/25005656</vt:lpwstr>
      </vt:variant>
      <vt:variant>
        <vt:lpwstr/>
      </vt:variant>
      <vt:variant>
        <vt:i4>3604520</vt:i4>
      </vt:variant>
      <vt:variant>
        <vt:i4>15260</vt:i4>
      </vt:variant>
      <vt:variant>
        <vt:i4>0</vt:i4>
      </vt:variant>
      <vt:variant>
        <vt:i4>5</vt:i4>
      </vt:variant>
      <vt:variant>
        <vt:lpwstr>http://www.ncbi.nlm.nih.gov/pubmed/22293544</vt:lpwstr>
      </vt:variant>
      <vt:variant>
        <vt:lpwstr/>
      </vt:variant>
      <vt:variant>
        <vt:i4>3932201</vt:i4>
      </vt:variant>
      <vt:variant>
        <vt:i4>15257</vt:i4>
      </vt:variant>
      <vt:variant>
        <vt:i4>0</vt:i4>
      </vt:variant>
      <vt:variant>
        <vt:i4>5</vt:i4>
      </vt:variant>
      <vt:variant>
        <vt:lpwstr>http://www.ncbi.nlm.nih.gov/pubmed/16005982</vt:lpwstr>
      </vt:variant>
      <vt:variant>
        <vt:lpwstr/>
      </vt:variant>
      <vt:variant>
        <vt:i4>4128815</vt:i4>
      </vt:variant>
      <vt:variant>
        <vt:i4>15254</vt:i4>
      </vt:variant>
      <vt:variant>
        <vt:i4>0</vt:i4>
      </vt:variant>
      <vt:variant>
        <vt:i4>5</vt:i4>
      </vt:variant>
      <vt:variant>
        <vt:lpwstr>http://www.ncbi.nlm.nih.gov/pubmed/18086982</vt:lpwstr>
      </vt:variant>
      <vt:variant>
        <vt:lpwstr/>
      </vt:variant>
      <vt:variant>
        <vt:i4>3473445</vt:i4>
      </vt:variant>
      <vt:variant>
        <vt:i4>15251</vt:i4>
      </vt:variant>
      <vt:variant>
        <vt:i4>0</vt:i4>
      </vt:variant>
      <vt:variant>
        <vt:i4>5</vt:i4>
      </vt:variant>
      <vt:variant>
        <vt:lpwstr>http://www.ncbi.nlm.nih.gov/pubmed/20146702</vt:lpwstr>
      </vt:variant>
      <vt:variant>
        <vt:lpwstr/>
      </vt:variant>
      <vt:variant>
        <vt:i4>3211303</vt:i4>
      </vt:variant>
      <vt:variant>
        <vt:i4>15248</vt:i4>
      </vt:variant>
      <vt:variant>
        <vt:i4>0</vt:i4>
      </vt:variant>
      <vt:variant>
        <vt:i4>5</vt:i4>
      </vt:variant>
      <vt:variant>
        <vt:lpwstr>http://www.ncbi.nlm.nih.gov/pubmed/17463075</vt:lpwstr>
      </vt:variant>
      <vt:variant>
        <vt:lpwstr/>
      </vt:variant>
      <vt:variant>
        <vt:i4>3473441</vt:i4>
      </vt:variant>
      <vt:variant>
        <vt:i4>15245</vt:i4>
      </vt:variant>
      <vt:variant>
        <vt:i4>0</vt:i4>
      </vt:variant>
      <vt:variant>
        <vt:i4>5</vt:i4>
      </vt:variant>
      <vt:variant>
        <vt:lpwstr>http://www.ncbi.nlm.nih.gov/pubmed/15845693</vt:lpwstr>
      </vt:variant>
      <vt:variant>
        <vt:lpwstr/>
      </vt:variant>
      <vt:variant>
        <vt:i4>3538989</vt:i4>
      </vt:variant>
      <vt:variant>
        <vt:i4>15242</vt:i4>
      </vt:variant>
      <vt:variant>
        <vt:i4>0</vt:i4>
      </vt:variant>
      <vt:variant>
        <vt:i4>5</vt:i4>
      </vt:variant>
      <vt:variant>
        <vt:lpwstr>http://www.ncbi.nlm.nih.gov/pubmed/2148222</vt:lpwstr>
      </vt:variant>
      <vt:variant>
        <vt:lpwstr/>
      </vt:variant>
      <vt:variant>
        <vt:i4>3211302</vt:i4>
      </vt:variant>
      <vt:variant>
        <vt:i4>15239</vt:i4>
      </vt:variant>
      <vt:variant>
        <vt:i4>0</vt:i4>
      </vt:variant>
      <vt:variant>
        <vt:i4>5</vt:i4>
      </vt:variant>
      <vt:variant>
        <vt:lpwstr>http://www.ncbi.nlm.nih.gov/pubmed/11057476</vt:lpwstr>
      </vt:variant>
      <vt:variant>
        <vt:lpwstr/>
      </vt:variant>
      <vt:variant>
        <vt:i4>3932195</vt:i4>
      </vt:variant>
      <vt:variant>
        <vt:i4>15236</vt:i4>
      </vt:variant>
      <vt:variant>
        <vt:i4>0</vt:i4>
      </vt:variant>
      <vt:variant>
        <vt:i4>5</vt:i4>
      </vt:variant>
      <vt:variant>
        <vt:lpwstr>http://www.ncbi.nlm.nih.gov/pubmed/17124083</vt:lpwstr>
      </vt:variant>
      <vt:variant>
        <vt:lpwstr/>
      </vt:variant>
      <vt:variant>
        <vt:i4>3866662</vt:i4>
      </vt:variant>
      <vt:variant>
        <vt:i4>15233</vt:i4>
      </vt:variant>
      <vt:variant>
        <vt:i4>0</vt:i4>
      </vt:variant>
      <vt:variant>
        <vt:i4>5</vt:i4>
      </vt:variant>
      <vt:variant>
        <vt:lpwstr>http://www.ncbi.nlm.nih.gov/pubmed/9121808</vt:lpwstr>
      </vt:variant>
      <vt:variant>
        <vt:lpwstr/>
      </vt:variant>
      <vt:variant>
        <vt:i4>4063279</vt:i4>
      </vt:variant>
      <vt:variant>
        <vt:i4>15230</vt:i4>
      </vt:variant>
      <vt:variant>
        <vt:i4>0</vt:i4>
      </vt:variant>
      <vt:variant>
        <vt:i4>5</vt:i4>
      </vt:variant>
      <vt:variant>
        <vt:lpwstr>http://www.ncbi.nlm.nih.gov/pubmed/11118965</vt:lpwstr>
      </vt:variant>
      <vt:variant>
        <vt:lpwstr/>
      </vt:variant>
      <vt:variant>
        <vt:i4>5439578</vt:i4>
      </vt:variant>
      <vt:variant>
        <vt:i4>15227</vt:i4>
      </vt:variant>
      <vt:variant>
        <vt:i4>0</vt:i4>
      </vt:variant>
      <vt:variant>
        <vt:i4>5</vt:i4>
      </vt:variant>
      <vt:variant>
        <vt:lpwstr>http://www.pulsus.com/clin-phi/07_04/mcle_ed.htm</vt:lpwstr>
      </vt:variant>
      <vt:variant>
        <vt:lpwstr/>
      </vt:variant>
      <vt:variant>
        <vt:i4>4063265</vt:i4>
      </vt:variant>
      <vt:variant>
        <vt:i4>15224</vt:i4>
      </vt:variant>
      <vt:variant>
        <vt:i4>0</vt:i4>
      </vt:variant>
      <vt:variant>
        <vt:i4>5</vt:i4>
      </vt:variant>
      <vt:variant>
        <vt:lpwstr>http://www.ncbi.nlm.nih.gov/pubmed/15016394</vt:lpwstr>
      </vt:variant>
      <vt:variant>
        <vt:lpwstr/>
      </vt:variant>
      <vt:variant>
        <vt:i4>3342370</vt:i4>
      </vt:variant>
      <vt:variant>
        <vt:i4>15221</vt:i4>
      </vt:variant>
      <vt:variant>
        <vt:i4>0</vt:i4>
      </vt:variant>
      <vt:variant>
        <vt:i4>5</vt:i4>
      </vt:variant>
      <vt:variant>
        <vt:lpwstr>http://www.ncbi.nlm.nih.gov/pubmed/16452743</vt:lpwstr>
      </vt:variant>
      <vt:variant>
        <vt:lpwstr/>
      </vt:variant>
      <vt:variant>
        <vt:i4>3407911</vt:i4>
      </vt:variant>
      <vt:variant>
        <vt:i4>15218</vt:i4>
      </vt:variant>
      <vt:variant>
        <vt:i4>0</vt:i4>
      </vt:variant>
      <vt:variant>
        <vt:i4>5</vt:i4>
      </vt:variant>
      <vt:variant>
        <vt:lpwstr>http://www.ncbi.nlm.nih.gov/pubmed/10488999</vt:lpwstr>
      </vt:variant>
      <vt:variant>
        <vt:lpwstr/>
      </vt:variant>
      <vt:variant>
        <vt:i4>3407917</vt:i4>
      </vt:variant>
      <vt:variant>
        <vt:i4>15215</vt:i4>
      </vt:variant>
      <vt:variant>
        <vt:i4>0</vt:i4>
      </vt:variant>
      <vt:variant>
        <vt:i4>5</vt:i4>
      </vt:variant>
      <vt:variant>
        <vt:lpwstr>http://www.ncbi.nlm.nih.gov/pubmed/10583337</vt:lpwstr>
      </vt:variant>
      <vt:variant>
        <vt:lpwstr/>
      </vt:variant>
      <vt:variant>
        <vt:i4>7667809</vt:i4>
      </vt:variant>
      <vt:variant>
        <vt:i4>15212</vt:i4>
      </vt:variant>
      <vt:variant>
        <vt:i4>0</vt:i4>
      </vt:variant>
      <vt:variant>
        <vt:i4>5</vt:i4>
      </vt:variant>
      <vt:variant>
        <vt:lpwstr>http://www.ncbi.nlm.nih.gov/pubmed/?term=The+lack+of+hypoalgesic+efficacy+of+H-wave+therapy+on+experimental+ischemic+pain.</vt:lpwstr>
      </vt:variant>
      <vt:variant>
        <vt:lpwstr/>
      </vt:variant>
      <vt:variant>
        <vt:i4>2490415</vt:i4>
      </vt:variant>
      <vt:variant>
        <vt:i4>15209</vt:i4>
      </vt:variant>
      <vt:variant>
        <vt:i4>0</vt:i4>
      </vt:variant>
      <vt:variant>
        <vt:i4>5</vt:i4>
      </vt:variant>
      <vt:variant>
        <vt:lpwstr>http://www.plosmedicine.org/article/info%3Adoi%2F10.1371%2Fjournal.pmed.1001388</vt:lpwstr>
      </vt:variant>
      <vt:variant>
        <vt:lpwstr/>
      </vt:variant>
      <vt:variant>
        <vt:i4>2555948</vt:i4>
      </vt:variant>
      <vt:variant>
        <vt:i4>15206</vt:i4>
      </vt:variant>
      <vt:variant>
        <vt:i4>0</vt:i4>
      </vt:variant>
      <vt:variant>
        <vt:i4>5</vt:i4>
      </vt:variant>
      <vt:variant>
        <vt:lpwstr>http://www.plosmedicine.org/article/info%3Adoi%2F10.1371%2Fjournal.pmed.1001098</vt:lpwstr>
      </vt:variant>
      <vt:variant>
        <vt:lpwstr/>
      </vt:variant>
      <vt:variant>
        <vt:i4>3276846</vt:i4>
      </vt:variant>
      <vt:variant>
        <vt:i4>15203</vt:i4>
      </vt:variant>
      <vt:variant>
        <vt:i4>0</vt:i4>
      </vt:variant>
      <vt:variant>
        <vt:i4>5</vt:i4>
      </vt:variant>
      <vt:variant>
        <vt:lpwstr>http://www.ncbi.nlm.nih.gov/pubmed/11587117</vt:lpwstr>
      </vt:variant>
      <vt:variant>
        <vt:lpwstr/>
      </vt:variant>
      <vt:variant>
        <vt:i4>3801121</vt:i4>
      </vt:variant>
      <vt:variant>
        <vt:i4>15200</vt:i4>
      </vt:variant>
      <vt:variant>
        <vt:i4>0</vt:i4>
      </vt:variant>
      <vt:variant>
        <vt:i4>5</vt:i4>
      </vt:variant>
      <vt:variant>
        <vt:lpwstr>http://www.ncbi.nlm.nih.gov/pubmed/17890938</vt:lpwstr>
      </vt:variant>
      <vt:variant>
        <vt:lpwstr/>
      </vt:variant>
      <vt:variant>
        <vt:i4>3145767</vt:i4>
      </vt:variant>
      <vt:variant>
        <vt:i4>15197</vt:i4>
      </vt:variant>
      <vt:variant>
        <vt:i4>0</vt:i4>
      </vt:variant>
      <vt:variant>
        <vt:i4>5</vt:i4>
      </vt:variant>
      <vt:variant>
        <vt:lpwstr>http://www.ncbi.nlm.nih.gov/pubmed/24574238</vt:lpwstr>
      </vt:variant>
      <vt:variant>
        <vt:lpwstr/>
      </vt:variant>
      <vt:variant>
        <vt:i4>4063277</vt:i4>
      </vt:variant>
      <vt:variant>
        <vt:i4>15194</vt:i4>
      </vt:variant>
      <vt:variant>
        <vt:i4>0</vt:i4>
      </vt:variant>
      <vt:variant>
        <vt:i4>5</vt:i4>
      </vt:variant>
      <vt:variant>
        <vt:lpwstr>http://www.ncbi.nlm.nih.gov/pubmed/20498201</vt:lpwstr>
      </vt:variant>
      <vt:variant>
        <vt:lpwstr/>
      </vt:variant>
      <vt:variant>
        <vt:i4>3604521</vt:i4>
      </vt:variant>
      <vt:variant>
        <vt:i4>15191</vt:i4>
      </vt:variant>
      <vt:variant>
        <vt:i4>0</vt:i4>
      </vt:variant>
      <vt:variant>
        <vt:i4>5</vt:i4>
      </vt:variant>
      <vt:variant>
        <vt:lpwstr>http://www.ncbi.nlm.nih.gov/pubmed/20091647</vt:lpwstr>
      </vt:variant>
      <vt:variant>
        <vt:lpwstr/>
      </vt:variant>
      <vt:variant>
        <vt:i4>3801134</vt:i4>
      </vt:variant>
      <vt:variant>
        <vt:i4>15188</vt:i4>
      </vt:variant>
      <vt:variant>
        <vt:i4>0</vt:i4>
      </vt:variant>
      <vt:variant>
        <vt:i4>5</vt:i4>
      </vt:variant>
      <vt:variant>
        <vt:lpwstr>http://www.ncbi.nlm.nih.gov/pubmed/18338302</vt:lpwstr>
      </vt:variant>
      <vt:variant>
        <vt:lpwstr/>
      </vt:variant>
      <vt:variant>
        <vt:i4>3932200</vt:i4>
      </vt:variant>
      <vt:variant>
        <vt:i4>15185</vt:i4>
      </vt:variant>
      <vt:variant>
        <vt:i4>0</vt:i4>
      </vt:variant>
      <vt:variant>
        <vt:i4>5</vt:i4>
      </vt:variant>
      <vt:variant>
        <vt:lpwstr>http://www.ncbi.nlm.nih.gov/pubmed/14589215</vt:lpwstr>
      </vt:variant>
      <vt:variant>
        <vt:lpwstr/>
      </vt:variant>
      <vt:variant>
        <vt:i4>3276842</vt:i4>
      </vt:variant>
      <vt:variant>
        <vt:i4>15182</vt:i4>
      </vt:variant>
      <vt:variant>
        <vt:i4>0</vt:i4>
      </vt:variant>
      <vt:variant>
        <vt:i4>5</vt:i4>
      </vt:variant>
      <vt:variant>
        <vt:lpwstr>http://www.ncbi.nlm.nih.gov/pubmed/2957520</vt:lpwstr>
      </vt:variant>
      <vt:variant>
        <vt:lpwstr/>
      </vt:variant>
      <vt:variant>
        <vt:i4>3145769</vt:i4>
      </vt:variant>
      <vt:variant>
        <vt:i4>15179</vt:i4>
      </vt:variant>
      <vt:variant>
        <vt:i4>0</vt:i4>
      </vt:variant>
      <vt:variant>
        <vt:i4>5</vt:i4>
      </vt:variant>
      <vt:variant>
        <vt:lpwstr>http://www.ncbi.nlm.nih.gov/pubmed/2934829</vt:lpwstr>
      </vt:variant>
      <vt:variant>
        <vt:lpwstr/>
      </vt:variant>
      <vt:variant>
        <vt:i4>4128803</vt:i4>
      </vt:variant>
      <vt:variant>
        <vt:i4>15176</vt:i4>
      </vt:variant>
      <vt:variant>
        <vt:i4>0</vt:i4>
      </vt:variant>
      <vt:variant>
        <vt:i4>5</vt:i4>
      </vt:variant>
      <vt:variant>
        <vt:lpwstr>http://www.ncbi.nlm.nih.gov/pubmed/19588430</vt:lpwstr>
      </vt:variant>
      <vt:variant>
        <vt:lpwstr/>
      </vt:variant>
      <vt:variant>
        <vt:i4>4063272</vt:i4>
      </vt:variant>
      <vt:variant>
        <vt:i4>15173</vt:i4>
      </vt:variant>
      <vt:variant>
        <vt:i4>0</vt:i4>
      </vt:variant>
      <vt:variant>
        <vt:i4>5</vt:i4>
      </vt:variant>
      <vt:variant>
        <vt:lpwstr>http://www.ncbi.nlm.nih.gov/pubmed/15186381</vt:lpwstr>
      </vt:variant>
      <vt:variant>
        <vt:lpwstr/>
      </vt:variant>
      <vt:variant>
        <vt:i4>3670048</vt:i4>
      </vt:variant>
      <vt:variant>
        <vt:i4>15170</vt:i4>
      </vt:variant>
      <vt:variant>
        <vt:i4>0</vt:i4>
      </vt:variant>
      <vt:variant>
        <vt:i4>5</vt:i4>
      </vt:variant>
      <vt:variant>
        <vt:lpwstr>http://www.ncbi.nlm.nih.gov/pubmed/20178131</vt:lpwstr>
      </vt:variant>
      <vt:variant>
        <vt:lpwstr/>
      </vt:variant>
      <vt:variant>
        <vt:i4>3538980</vt:i4>
      </vt:variant>
      <vt:variant>
        <vt:i4>15167</vt:i4>
      </vt:variant>
      <vt:variant>
        <vt:i4>0</vt:i4>
      </vt:variant>
      <vt:variant>
        <vt:i4>5</vt:i4>
      </vt:variant>
      <vt:variant>
        <vt:lpwstr>http://www.ncbi.nlm.nih.gov/pubmed/20556778</vt:lpwstr>
      </vt:variant>
      <vt:variant>
        <vt:lpwstr/>
      </vt:variant>
      <vt:variant>
        <vt:i4>4128802</vt:i4>
      </vt:variant>
      <vt:variant>
        <vt:i4>15164</vt:i4>
      </vt:variant>
      <vt:variant>
        <vt:i4>0</vt:i4>
      </vt:variant>
      <vt:variant>
        <vt:i4>5</vt:i4>
      </vt:variant>
      <vt:variant>
        <vt:lpwstr>http://www.ncbi.nlm.nih.gov/pubmed/15147585</vt:lpwstr>
      </vt:variant>
      <vt:variant>
        <vt:lpwstr/>
      </vt:variant>
      <vt:variant>
        <vt:i4>3145764</vt:i4>
      </vt:variant>
      <vt:variant>
        <vt:i4>15161</vt:i4>
      </vt:variant>
      <vt:variant>
        <vt:i4>0</vt:i4>
      </vt:variant>
      <vt:variant>
        <vt:i4>5</vt:i4>
      </vt:variant>
      <vt:variant>
        <vt:lpwstr>http://www.ncbi.nlm.nih.gov/pubmed/15317652</vt:lpwstr>
      </vt:variant>
      <vt:variant>
        <vt:lpwstr/>
      </vt:variant>
      <vt:variant>
        <vt:i4>3801128</vt:i4>
      </vt:variant>
      <vt:variant>
        <vt:i4>15158</vt:i4>
      </vt:variant>
      <vt:variant>
        <vt:i4>0</vt:i4>
      </vt:variant>
      <vt:variant>
        <vt:i4>5</vt:i4>
      </vt:variant>
      <vt:variant>
        <vt:lpwstr>http://www.ncbi.nlm.nih.gov/pubmed/15033881</vt:lpwstr>
      </vt:variant>
      <vt:variant>
        <vt:lpwstr/>
      </vt:variant>
      <vt:variant>
        <vt:i4>3473448</vt:i4>
      </vt:variant>
      <vt:variant>
        <vt:i4>15155</vt:i4>
      </vt:variant>
      <vt:variant>
        <vt:i4>0</vt:i4>
      </vt:variant>
      <vt:variant>
        <vt:i4>5</vt:i4>
      </vt:variant>
      <vt:variant>
        <vt:lpwstr>http://www.ncbi.nlm.nih.gov/pubmed/15033879</vt:lpwstr>
      </vt:variant>
      <vt:variant>
        <vt:lpwstr/>
      </vt:variant>
      <vt:variant>
        <vt:i4>589848</vt:i4>
      </vt:variant>
      <vt:variant>
        <vt:i4>15152</vt:i4>
      </vt:variant>
      <vt:variant>
        <vt:i4>0</vt:i4>
      </vt:variant>
      <vt:variant>
        <vt:i4>5</vt:i4>
      </vt:variant>
      <vt:variant>
        <vt:lpwstr>http://www.bmj.com/content/328/7446/995.long</vt:lpwstr>
      </vt:variant>
      <vt:variant>
        <vt:lpwstr/>
      </vt:variant>
      <vt:variant>
        <vt:i4>3801121</vt:i4>
      </vt:variant>
      <vt:variant>
        <vt:i4>15149</vt:i4>
      </vt:variant>
      <vt:variant>
        <vt:i4>0</vt:i4>
      </vt:variant>
      <vt:variant>
        <vt:i4>5</vt:i4>
      </vt:variant>
      <vt:variant>
        <vt:lpwstr>http://www.ncbi.nlm.nih.gov/pubmed/17112189</vt:lpwstr>
      </vt:variant>
      <vt:variant>
        <vt:lpwstr/>
      </vt:variant>
      <vt:variant>
        <vt:i4>3211303</vt:i4>
      </vt:variant>
      <vt:variant>
        <vt:i4>15146</vt:i4>
      </vt:variant>
      <vt:variant>
        <vt:i4>0</vt:i4>
      </vt:variant>
      <vt:variant>
        <vt:i4>5</vt:i4>
      </vt:variant>
      <vt:variant>
        <vt:lpwstr>http://www.ncbi.nlm.nih.gov/pubmed/23265445</vt:lpwstr>
      </vt:variant>
      <vt:variant>
        <vt:lpwstr/>
      </vt:variant>
      <vt:variant>
        <vt:i4>3473446</vt:i4>
      </vt:variant>
      <vt:variant>
        <vt:i4>15143</vt:i4>
      </vt:variant>
      <vt:variant>
        <vt:i4>0</vt:i4>
      </vt:variant>
      <vt:variant>
        <vt:i4>5</vt:i4>
      </vt:variant>
      <vt:variant>
        <vt:lpwstr>http://www.ncbi.nlm.nih.gov/pubmed/21683929</vt:lpwstr>
      </vt:variant>
      <vt:variant>
        <vt:lpwstr/>
      </vt:variant>
      <vt:variant>
        <vt:i4>4128801</vt:i4>
      </vt:variant>
      <vt:variant>
        <vt:i4>15140</vt:i4>
      </vt:variant>
      <vt:variant>
        <vt:i4>0</vt:i4>
      </vt:variant>
      <vt:variant>
        <vt:i4>5</vt:i4>
      </vt:variant>
      <vt:variant>
        <vt:lpwstr>http://www.ncbi.nlm.nih.gov/pubmed/21763099</vt:lpwstr>
      </vt:variant>
      <vt:variant>
        <vt:lpwstr/>
      </vt:variant>
      <vt:variant>
        <vt:i4>3276832</vt:i4>
      </vt:variant>
      <vt:variant>
        <vt:i4>15137</vt:i4>
      </vt:variant>
      <vt:variant>
        <vt:i4>0</vt:i4>
      </vt:variant>
      <vt:variant>
        <vt:i4>5</vt:i4>
      </vt:variant>
      <vt:variant>
        <vt:lpwstr>http://www.ncbi.nlm.nih.gov/pubmed/23424702</vt:lpwstr>
      </vt:variant>
      <vt:variant>
        <vt:lpwstr/>
      </vt:variant>
      <vt:variant>
        <vt:i4>3538989</vt:i4>
      </vt:variant>
      <vt:variant>
        <vt:i4>15134</vt:i4>
      </vt:variant>
      <vt:variant>
        <vt:i4>0</vt:i4>
      </vt:variant>
      <vt:variant>
        <vt:i4>5</vt:i4>
      </vt:variant>
      <vt:variant>
        <vt:lpwstr>http://www.ncbi.nlm.nih.gov/pubmed/18356622</vt:lpwstr>
      </vt:variant>
      <vt:variant>
        <vt:lpwstr/>
      </vt:variant>
      <vt:variant>
        <vt:i4>3997735</vt:i4>
      </vt:variant>
      <vt:variant>
        <vt:i4>15131</vt:i4>
      </vt:variant>
      <vt:variant>
        <vt:i4>0</vt:i4>
      </vt:variant>
      <vt:variant>
        <vt:i4>5</vt:i4>
      </vt:variant>
      <vt:variant>
        <vt:lpwstr>http://www.ncbi.nlm.nih.gov/pubmed/14612480</vt:lpwstr>
      </vt:variant>
      <vt:variant>
        <vt:lpwstr/>
      </vt:variant>
      <vt:variant>
        <vt:i4>3801122</vt:i4>
      </vt:variant>
      <vt:variant>
        <vt:i4>15128</vt:i4>
      </vt:variant>
      <vt:variant>
        <vt:i4>0</vt:i4>
      </vt:variant>
      <vt:variant>
        <vt:i4>5</vt:i4>
      </vt:variant>
      <vt:variant>
        <vt:lpwstr>http://www.ncbi.nlm.nih.gov/pubmed/15529370</vt:lpwstr>
      </vt:variant>
      <vt:variant>
        <vt:lpwstr/>
      </vt:variant>
      <vt:variant>
        <vt:i4>3145764</vt:i4>
      </vt:variant>
      <vt:variant>
        <vt:i4>15125</vt:i4>
      </vt:variant>
      <vt:variant>
        <vt:i4>0</vt:i4>
      </vt:variant>
      <vt:variant>
        <vt:i4>5</vt:i4>
      </vt:variant>
      <vt:variant>
        <vt:lpwstr>http://www.ncbi.nlm.nih.gov/pubmed/1968334</vt:lpwstr>
      </vt:variant>
      <vt:variant>
        <vt:lpwstr/>
      </vt:variant>
      <vt:variant>
        <vt:i4>3997736</vt:i4>
      </vt:variant>
      <vt:variant>
        <vt:i4>15122</vt:i4>
      </vt:variant>
      <vt:variant>
        <vt:i4>0</vt:i4>
      </vt:variant>
      <vt:variant>
        <vt:i4>5</vt:i4>
      </vt:variant>
      <vt:variant>
        <vt:lpwstr>http://www.ncbi.nlm.nih.gov/pubmed/16886022</vt:lpwstr>
      </vt:variant>
      <vt:variant>
        <vt:lpwstr/>
      </vt:variant>
      <vt:variant>
        <vt:i4>3276844</vt:i4>
      </vt:variant>
      <vt:variant>
        <vt:i4>15119</vt:i4>
      </vt:variant>
      <vt:variant>
        <vt:i4>0</vt:i4>
      </vt:variant>
      <vt:variant>
        <vt:i4>5</vt:i4>
      </vt:variant>
      <vt:variant>
        <vt:lpwstr>http://www.ncbi.nlm.nih.gov/pubmed/18164465</vt:lpwstr>
      </vt:variant>
      <vt:variant>
        <vt:lpwstr/>
      </vt:variant>
      <vt:variant>
        <vt:i4>3735585</vt:i4>
      </vt:variant>
      <vt:variant>
        <vt:i4>15116</vt:i4>
      </vt:variant>
      <vt:variant>
        <vt:i4>0</vt:i4>
      </vt:variant>
      <vt:variant>
        <vt:i4>5</vt:i4>
      </vt:variant>
      <vt:variant>
        <vt:lpwstr>http://www.ncbi.nlm.nih.gov/pubmed/20360183</vt:lpwstr>
      </vt:variant>
      <vt:variant>
        <vt:lpwstr/>
      </vt:variant>
      <vt:variant>
        <vt:i4>3538980</vt:i4>
      </vt:variant>
      <vt:variant>
        <vt:i4>15113</vt:i4>
      </vt:variant>
      <vt:variant>
        <vt:i4>0</vt:i4>
      </vt:variant>
      <vt:variant>
        <vt:i4>5</vt:i4>
      </vt:variant>
      <vt:variant>
        <vt:lpwstr>http://www.ncbi.nlm.nih.gov/pubmed/15712623</vt:lpwstr>
      </vt:variant>
      <vt:variant>
        <vt:lpwstr/>
      </vt:variant>
      <vt:variant>
        <vt:i4>2490482</vt:i4>
      </vt:variant>
      <vt:variant>
        <vt:i4>15110</vt:i4>
      </vt:variant>
      <vt:variant>
        <vt:i4>0</vt:i4>
      </vt:variant>
      <vt:variant>
        <vt:i4>5</vt:i4>
      </vt:variant>
      <vt:variant>
        <vt:lpwstr>E:\AppData\Local\Microsoft\Windows\Temporary Internet Files\Content.Outlook\AppData\Local\Microsoft\Windows\Temporary Internet Files\Content.Outlook\50QE161U\Pain_files\main.htm</vt:lpwstr>
      </vt:variant>
      <vt:variant>
        <vt:lpwstr/>
      </vt:variant>
      <vt:variant>
        <vt:i4>3473440</vt:i4>
      </vt:variant>
      <vt:variant>
        <vt:i4>15107</vt:i4>
      </vt:variant>
      <vt:variant>
        <vt:i4>0</vt:i4>
      </vt:variant>
      <vt:variant>
        <vt:i4>5</vt:i4>
      </vt:variant>
      <vt:variant>
        <vt:lpwstr>http://www.ncbi.nlm.nih.gov/pubmed/15266501</vt:lpwstr>
      </vt:variant>
      <vt:variant>
        <vt:lpwstr/>
      </vt:variant>
      <vt:variant>
        <vt:i4>3735584</vt:i4>
      </vt:variant>
      <vt:variant>
        <vt:i4>15104</vt:i4>
      </vt:variant>
      <vt:variant>
        <vt:i4>0</vt:i4>
      </vt:variant>
      <vt:variant>
        <vt:i4>5</vt:i4>
      </vt:variant>
      <vt:variant>
        <vt:lpwstr>http://www.ncbi.nlm.nih.gov/pubmed/12804444</vt:lpwstr>
      </vt:variant>
      <vt:variant>
        <vt:lpwstr/>
      </vt:variant>
      <vt:variant>
        <vt:i4>5177347</vt:i4>
      </vt:variant>
      <vt:variant>
        <vt:i4>15101</vt:i4>
      </vt:variant>
      <vt:variant>
        <vt:i4>0</vt:i4>
      </vt:variant>
      <vt:variant>
        <vt:i4>5</vt:i4>
      </vt:variant>
      <vt:variant>
        <vt:lpwstr>E:\AppData\Local\Microsoft\Windows\Temporary Internet Files\Content.Outlook\AppData\Local\Microsoft\Windows\Temporary Internet Files\Content.Outlook\50QE161U\Pain_files\mailis.htm</vt:lpwstr>
      </vt:variant>
      <vt:variant>
        <vt:lpwstr/>
      </vt:variant>
      <vt:variant>
        <vt:i4>3211299</vt:i4>
      </vt:variant>
      <vt:variant>
        <vt:i4>15098</vt:i4>
      </vt:variant>
      <vt:variant>
        <vt:i4>0</vt:i4>
      </vt:variant>
      <vt:variant>
        <vt:i4>5</vt:i4>
      </vt:variant>
      <vt:variant>
        <vt:lpwstr>http://www.ncbi.nlm.nih.gov/pubmed/21041028</vt:lpwstr>
      </vt:variant>
      <vt:variant>
        <vt:lpwstr/>
      </vt:variant>
      <vt:variant>
        <vt:i4>4128809</vt:i4>
      </vt:variant>
      <vt:variant>
        <vt:i4>15095</vt:i4>
      </vt:variant>
      <vt:variant>
        <vt:i4>0</vt:i4>
      </vt:variant>
      <vt:variant>
        <vt:i4>5</vt:i4>
      </vt:variant>
      <vt:variant>
        <vt:lpwstr>http://www.ncbi.nlm.nih.gov/pubmed/16691094</vt:lpwstr>
      </vt:variant>
      <vt:variant>
        <vt:lpwstr/>
      </vt:variant>
      <vt:variant>
        <vt:i4>3538980</vt:i4>
      </vt:variant>
      <vt:variant>
        <vt:i4>15092</vt:i4>
      </vt:variant>
      <vt:variant>
        <vt:i4>0</vt:i4>
      </vt:variant>
      <vt:variant>
        <vt:i4>5</vt:i4>
      </vt:variant>
      <vt:variant>
        <vt:lpwstr>http://www.ncbi.nlm.nih.gov/pubmed/15246336</vt:lpwstr>
      </vt:variant>
      <vt:variant>
        <vt:lpwstr/>
      </vt:variant>
      <vt:variant>
        <vt:i4>3670063</vt:i4>
      </vt:variant>
      <vt:variant>
        <vt:i4>15089</vt:i4>
      </vt:variant>
      <vt:variant>
        <vt:i4>0</vt:i4>
      </vt:variant>
      <vt:variant>
        <vt:i4>5</vt:i4>
      </vt:variant>
      <vt:variant>
        <vt:lpwstr>http://www.ncbi.nlm.nih.gov/pubmed/16599651</vt:lpwstr>
      </vt:variant>
      <vt:variant>
        <vt:lpwstr/>
      </vt:variant>
      <vt:variant>
        <vt:i4>3997743</vt:i4>
      </vt:variant>
      <vt:variant>
        <vt:i4>15086</vt:i4>
      </vt:variant>
      <vt:variant>
        <vt:i4>0</vt:i4>
      </vt:variant>
      <vt:variant>
        <vt:i4>5</vt:i4>
      </vt:variant>
      <vt:variant>
        <vt:lpwstr>http://www.ncbi.nlm.nih.gov/pubmed/15983466</vt:lpwstr>
      </vt:variant>
      <vt:variant>
        <vt:lpwstr/>
      </vt:variant>
      <vt:variant>
        <vt:i4>3276834</vt:i4>
      </vt:variant>
      <vt:variant>
        <vt:i4>15083</vt:i4>
      </vt:variant>
      <vt:variant>
        <vt:i4>0</vt:i4>
      </vt:variant>
      <vt:variant>
        <vt:i4>5</vt:i4>
      </vt:variant>
      <vt:variant>
        <vt:lpwstr>http://www.ncbi.nlm.nih.gov/pubmed/16849624</vt:lpwstr>
      </vt:variant>
      <vt:variant>
        <vt:lpwstr/>
      </vt:variant>
      <vt:variant>
        <vt:i4>3604517</vt:i4>
      </vt:variant>
      <vt:variant>
        <vt:i4>15080</vt:i4>
      </vt:variant>
      <vt:variant>
        <vt:i4>0</vt:i4>
      </vt:variant>
      <vt:variant>
        <vt:i4>5</vt:i4>
      </vt:variant>
      <vt:variant>
        <vt:lpwstr>http://www.ncbi.nlm.nih.gov/pubmed/2410571</vt:lpwstr>
      </vt:variant>
      <vt:variant>
        <vt:lpwstr/>
      </vt:variant>
      <vt:variant>
        <vt:i4>3997738</vt:i4>
      </vt:variant>
      <vt:variant>
        <vt:i4>15077</vt:i4>
      </vt:variant>
      <vt:variant>
        <vt:i4>0</vt:i4>
      </vt:variant>
      <vt:variant>
        <vt:i4>5</vt:i4>
      </vt:variant>
      <vt:variant>
        <vt:lpwstr>http://www.ncbi.nlm.nih.gov/pubmed/18845017</vt:lpwstr>
      </vt:variant>
      <vt:variant>
        <vt:lpwstr/>
      </vt:variant>
      <vt:variant>
        <vt:i4>3735598</vt:i4>
      </vt:variant>
      <vt:variant>
        <vt:i4>15074</vt:i4>
      </vt:variant>
      <vt:variant>
        <vt:i4>0</vt:i4>
      </vt:variant>
      <vt:variant>
        <vt:i4>5</vt:i4>
      </vt:variant>
      <vt:variant>
        <vt:lpwstr>http://www.ncbi.nlm.nih.gov/pubmed/21208910</vt:lpwstr>
      </vt:variant>
      <vt:variant>
        <vt:lpwstr/>
      </vt:variant>
      <vt:variant>
        <vt:i4>3473444</vt:i4>
      </vt:variant>
      <vt:variant>
        <vt:i4>15071</vt:i4>
      </vt:variant>
      <vt:variant>
        <vt:i4>0</vt:i4>
      </vt:variant>
      <vt:variant>
        <vt:i4>5</vt:i4>
      </vt:variant>
      <vt:variant>
        <vt:lpwstr>http://www.ncbi.nlm.nih.gov/pubmed/14572131</vt:lpwstr>
      </vt:variant>
      <vt:variant>
        <vt:lpwstr/>
      </vt:variant>
      <vt:variant>
        <vt:i4>3604512</vt:i4>
      </vt:variant>
      <vt:variant>
        <vt:i4>15068</vt:i4>
      </vt:variant>
      <vt:variant>
        <vt:i4>0</vt:i4>
      </vt:variant>
      <vt:variant>
        <vt:i4>5</vt:i4>
      </vt:variant>
      <vt:variant>
        <vt:lpwstr>http://www.ncbi.nlm.nih.gov/pubmed/11706777</vt:lpwstr>
      </vt:variant>
      <vt:variant>
        <vt:lpwstr/>
      </vt:variant>
      <vt:variant>
        <vt:i4>3735591</vt:i4>
      </vt:variant>
      <vt:variant>
        <vt:i4>15065</vt:i4>
      </vt:variant>
      <vt:variant>
        <vt:i4>0</vt:i4>
      </vt:variant>
      <vt:variant>
        <vt:i4>5</vt:i4>
      </vt:variant>
      <vt:variant>
        <vt:lpwstr>http://www.ncbi.nlm.nih.gov/pubmed/12071495</vt:lpwstr>
      </vt:variant>
      <vt:variant>
        <vt:lpwstr/>
      </vt:variant>
      <vt:variant>
        <vt:i4>3997743</vt:i4>
      </vt:variant>
      <vt:variant>
        <vt:i4>15062</vt:i4>
      </vt:variant>
      <vt:variant>
        <vt:i4>0</vt:i4>
      </vt:variant>
      <vt:variant>
        <vt:i4>5</vt:i4>
      </vt:variant>
      <vt:variant>
        <vt:lpwstr>http://www.ncbi.nlm.nih.gov/pubmed/15358975</vt:lpwstr>
      </vt:variant>
      <vt:variant>
        <vt:lpwstr/>
      </vt:variant>
      <vt:variant>
        <vt:i4>3145771</vt:i4>
      </vt:variant>
      <vt:variant>
        <vt:i4>15059</vt:i4>
      </vt:variant>
      <vt:variant>
        <vt:i4>0</vt:i4>
      </vt:variant>
      <vt:variant>
        <vt:i4>5</vt:i4>
      </vt:variant>
      <vt:variant>
        <vt:lpwstr>http://www.ncbi.nlm.nih.gov/pubmed/15286056</vt:lpwstr>
      </vt:variant>
      <vt:variant>
        <vt:lpwstr/>
      </vt:variant>
      <vt:variant>
        <vt:i4>3276839</vt:i4>
      </vt:variant>
      <vt:variant>
        <vt:i4>15056</vt:i4>
      </vt:variant>
      <vt:variant>
        <vt:i4>0</vt:i4>
      </vt:variant>
      <vt:variant>
        <vt:i4>5</vt:i4>
      </vt:variant>
      <vt:variant>
        <vt:lpwstr>http://www.ncbi.nlm.nih.gov/pubmed/14612479</vt:lpwstr>
      </vt:variant>
      <vt:variant>
        <vt:lpwstr/>
      </vt:variant>
      <vt:variant>
        <vt:i4>3735585</vt:i4>
      </vt:variant>
      <vt:variant>
        <vt:i4>15053</vt:i4>
      </vt:variant>
      <vt:variant>
        <vt:i4>0</vt:i4>
      </vt:variant>
      <vt:variant>
        <vt:i4>5</vt:i4>
      </vt:variant>
      <vt:variant>
        <vt:lpwstr>http://www.ncbi.nlm.nih.gov/pubmed/20456294</vt:lpwstr>
      </vt:variant>
      <vt:variant>
        <vt:lpwstr/>
      </vt:variant>
      <vt:variant>
        <vt:i4>3145763</vt:i4>
      </vt:variant>
      <vt:variant>
        <vt:i4>15050</vt:i4>
      </vt:variant>
      <vt:variant>
        <vt:i4>0</vt:i4>
      </vt:variant>
      <vt:variant>
        <vt:i4>5</vt:i4>
      </vt:variant>
      <vt:variant>
        <vt:lpwstr>http://www.ncbi.nlm.nih.gov/pubmed/15891984</vt:lpwstr>
      </vt:variant>
      <vt:variant>
        <vt:lpwstr/>
      </vt:variant>
      <vt:variant>
        <vt:i4>3604513</vt:i4>
      </vt:variant>
      <vt:variant>
        <vt:i4>15047</vt:i4>
      </vt:variant>
      <vt:variant>
        <vt:i4>0</vt:i4>
      </vt:variant>
      <vt:variant>
        <vt:i4>5</vt:i4>
      </vt:variant>
      <vt:variant>
        <vt:lpwstr>http://www.ncbi.nlm.nih.gov/pubmed/22547174</vt:lpwstr>
      </vt:variant>
      <vt:variant>
        <vt:lpwstr/>
      </vt:variant>
      <vt:variant>
        <vt:i4>4128812</vt:i4>
      </vt:variant>
      <vt:variant>
        <vt:i4>15044</vt:i4>
      </vt:variant>
      <vt:variant>
        <vt:i4>0</vt:i4>
      </vt:variant>
      <vt:variant>
        <vt:i4>5</vt:i4>
      </vt:variant>
      <vt:variant>
        <vt:lpwstr>http://www.ncbi.nlm.nih.gov/pubmed/15087796</vt:lpwstr>
      </vt:variant>
      <vt:variant>
        <vt:lpwstr/>
      </vt:variant>
      <vt:variant>
        <vt:i4>3997728</vt:i4>
      </vt:variant>
      <vt:variant>
        <vt:i4>15041</vt:i4>
      </vt:variant>
      <vt:variant>
        <vt:i4>0</vt:i4>
      </vt:variant>
      <vt:variant>
        <vt:i4>5</vt:i4>
      </vt:variant>
      <vt:variant>
        <vt:lpwstr>http://www.ncbi.nlm.nih.gov/pubmed/7642927</vt:lpwstr>
      </vt:variant>
      <vt:variant>
        <vt:lpwstr/>
      </vt:variant>
      <vt:variant>
        <vt:i4>3670060</vt:i4>
      </vt:variant>
      <vt:variant>
        <vt:i4>15038</vt:i4>
      </vt:variant>
      <vt:variant>
        <vt:i4>0</vt:i4>
      </vt:variant>
      <vt:variant>
        <vt:i4>5</vt:i4>
      </vt:variant>
      <vt:variant>
        <vt:lpwstr>http://www.ncbi.nlm.nih.gov/pubmed/19559656</vt:lpwstr>
      </vt:variant>
      <vt:variant>
        <vt:lpwstr/>
      </vt:variant>
      <vt:variant>
        <vt:i4>3538987</vt:i4>
      </vt:variant>
      <vt:variant>
        <vt:i4>15035</vt:i4>
      </vt:variant>
      <vt:variant>
        <vt:i4>0</vt:i4>
      </vt:variant>
      <vt:variant>
        <vt:i4>5</vt:i4>
      </vt:variant>
      <vt:variant>
        <vt:lpwstr>http://www.ncbi.nlm.nih.gov/pubmed/21885490</vt:lpwstr>
      </vt:variant>
      <vt:variant>
        <vt:lpwstr/>
      </vt:variant>
      <vt:variant>
        <vt:i4>5570598</vt:i4>
      </vt:variant>
      <vt:variant>
        <vt:i4>15032</vt:i4>
      </vt:variant>
      <vt:variant>
        <vt:i4>0</vt:i4>
      </vt:variant>
      <vt:variant>
        <vt:i4>5</vt:i4>
      </vt:variant>
      <vt:variant>
        <vt:lpwstr>http://www.ema.europa.eu/ema/index.jsp?curl=pages/medicines/human/referrals/Ketoprofen_topical/human_referral_000238.jsp&amp;jsenabled=true</vt:lpwstr>
      </vt:variant>
      <vt:variant>
        <vt:lpwstr/>
      </vt:variant>
      <vt:variant>
        <vt:i4>3670063</vt:i4>
      </vt:variant>
      <vt:variant>
        <vt:i4>15029</vt:i4>
      </vt:variant>
      <vt:variant>
        <vt:i4>0</vt:i4>
      </vt:variant>
      <vt:variant>
        <vt:i4>5</vt:i4>
      </vt:variant>
      <vt:variant>
        <vt:lpwstr>http://www.ncbi.nlm.nih.gov/pubmed/21812908</vt:lpwstr>
      </vt:variant>
      <vt:variant>
        <vt:lpwstr/>
      </vt:variant>
      <vt:variant>
        <vt:i4>3604518</vt:i4>
      </vt:variant>
      <vt:variant>
        <vt:i4>15026</vt:i4>
      </vt:variant>
      <vt:variant>
        <vt:i4>0</vt:i4>
      </vt:variant>
      <vt:variant>
        <vt:i4>5</vt:i4>
      </vt:variant>
      <vt:variant>
        <vt:lpwstr>http://www.ncbi.nlm.nih.gov/pubmed/20556560</vt:lpwstr>
      </vt:variant>
      <vt:variant>
        <vt:lpwstr/>
      </vt:variant>
      <vt:variant>
        <vt:i4>3604514</vt:i4>
      </vt:variant>
      <vt:variant>
        <vt:i4>15023</vt:i4>
      </vt:variant>
      <vt:variant>
        <vt:i4>0</vt:i4>
      </vt:variant>
      <vt:variant>
        <vt:i4>5</vt:i4>
      </vt:variant>
      <vt:variant>
        <vt:lpwstr>http://www.ncbi.nlm.nih.gov/pubmed/20373359</vt:lpwstr>
      </vt:variant>
      <vt:variant>
        <vt:lpwstr/>
      </vt:variant>
      <vt:variant>
        <vt:i4>3211298</vt:i4>
      </vt:variant>
      <vt:variant>
        <vt:i4>15020</vt:i4>
      </vt:variant>
      <vt:variant>
        <vt:i4>0</vt:i4>
      </vt:variant>
      <vt:variant>
        <vt:i4>5</vt:i4>
      </vt:variant>
      <vt:variant>
        <vt:lpwstr>http://www.ncbi.nlm.nih.gov/pubmed/21424735</vt:lpwstr>
      </vt:variant>
      <vt:variant>
        <vt:lpwstr/>
      </vt:variant>
      <vt:variant>
        <vt:i4>3735586</vt:i4>
      </vt:variant>
      <vt:variant>
        <vt:i4>15017</vt:i4>
      </vt:variant>
      <vt:variant>
        <vt:i4>0</vt:i4>
      </vt:variant>
      <vt:variant>
        <vt:i4>5</vt:i4>
      </vt:variant>
      <vt:variant>
        <vt:lpwstr>http://www.ncbi.nlm.nih.gov/pubmed/17008305</vt:lpwstr>
      </vt:variant>
      <vt:variant>
        <vt:lpwstr/>
      </vt:variant>
      <vt:variant>
        <vt:i4>3932196</vt:i4>
      </vt:variant>
      <vt:variant>
        <vt:i4>15014</vt:i4>
      </vt:variant>
      <vt:variant>
        <vt:i4>0</vt:i4>
      </vt:variant>
      <vt:variant>
        <vt:i4>5</vt:i4>
      </vt:variant>
      <vt:variant>
        <vt:lpwstr>http://www.ncbi.nlm.nih.gov/pubmed/18184282</vt:lpwstr>
      </vt:variant>
      <vt:variant>
        <vt:lpwstr/>
      </vt:variant>
      <vt:variant>
        <vt:i4>3473440</vt:i4>
      </vt:variant>
      <vt:variant>
        <vt:i4>15011</vt:i4>
      </vt:variant>
      <vt:variant>
        <vt:i4>0</vt:i4>
      </vt:variant>
      <vt:variant>
        <vt:i4>5</vt:i4>
      </vt:variant>
      <vt:variant>
        <vt:lpwstr>http://www.ncbi.nlm.nih.gov/pubmed/18177922</vt:lpwstr>
      </vt:variant>
      <vt:variant>
        <vt:lpwstr/>
      </vt:variant>
      <vt:variant>
        <vt:i4>3473440</vt:i4>
      </vt:variant>
      <vt:variant>
        <vt:i4>15008</vt:i4>
      </vt:variant>
      <vt:variant>
        <vt:i4>0</vt:i4>
      </vt:variant>
      <vt:variant>
        <vt:i4>5</vt:i4>
      </vt:variant>
      <vt:variant>
        <vt:lpwstr>http://www.ncbi.nlm.nih.gov/pubmed/18177922</vt:lpwstr>
      </vt:variant>
      <vt:variant>
        <vt:lpwstr/>
      </vt:variant>
      <vt:variant>
        <vt:i4>3145760</vt:i4>
      </vt:variant>
      <vt:variant>
        <vt:i4>15005</vt:i4>
      </vt:variant>
      <vt:variant>
        <vt:i4>0</vt:i4>
      </vt:variant>
      <vt:variant>
        <vt:i4>5</vt:i4>
      </vt:variant>
      <vt:variant>
        <vt:lpwstr>http://www.ncbi.nlm.nih.gov/pubmed/16785831</vt:lpwstr>
      </vt:variant>
      <vt:variant>
        <vt:lpwstr/>
      </vt:variant>
      <vt:variant>
        <vt:i4>3604527</vt:i4>
      </vt:variant>
      <vt:variant>
        <vt:i4>15002</vt:i4>
      </vt:variant>
      <vt:variant>
        <vt:i4>0</vt:i4>
      </vt:variant>
      <vt:variant>
        <vt:i4>5</vt:i4>
      </vt:variant>
      <vt:variant>
        <vt:lpwstr>http://www.ncbi.nlm.nih.gov/pubmed/17292766</vt:lpwstr>
      </vt:variant>
      <vt:variant>
        <vt:lpwstr/>
      </vt:variant>
      <vt:variant>
        <vt:i4>3407918</vt:i4>
      </vt:variant>
      <vt:variant>
        <vt:i4>14999</vt:i4>
      </vt:variant>
      <vt:variant>
        <vt:i4>0</vt:i4>
      </vt:variant>
      <vt:variant>
        <vt:i4>5</vt:i4>
      </vt:variant>
      <vt:variant>
        <vt:lpwstr>http://www.ncbi.nlm.nih.gov/pubmed/19062773</vt:lpwstr>
      </vt:variant>
      <vt:variant>
        <vt:lpwstr/>
      </vt:variant>
      <vt:variant>
        <vt:i4>4063264</vt:i4>
      </vt:variant>
      <vt:variant>
        <vt:i4>14996</vt:i4>
      </vt:variant>
      <vt:variant>
        <vt:i4>0</vt:i4>
      </vt:variant>
      <vt:variant>
        <vt:i4>5</vt:i4>
      </vt:variant>
      <vt:variant>
        <vt:lpwstr>http://www.ncbi.nlm.nih.gov/pubmed/21471093</vt:lpwstr>
      </vt:variant>
      <vt:variant>
        <vt:lpwstr/>
      </vt:variant>
      <vt:variant>
        <vt:i4>3932201</vt:i4>
      </vt:variant>
      <vt:variant>
        <vt:i4>14993</vt:i4>
      </vt:variant>
      <vt:variant>
        <vt:i4>0</vt:i4>
      </vt:variant>
      <vt:variant>
        <vt:i4>5</vt:i4>
      </vt:variant>
      <vt:variant>
        <vt:lpwstr>http://www.ncbi.nlm.nih.gov/pubmed/18729534</vt:lpwstr>
      </vt:variant>
      <vt:variant>
        <vt:lpwstr/>
      </vt:variant>
      <vt:variant>
        <vt:i4>3538983</vt:i4>
      </vt:variant>
      <vt:variant>
        <vt:i4>14990</vt:i4>
      </vt:variant>
      <vt:variant>
        <vt:i4>0</vt:i4>
      </vt:variant>
      <vt:variant>
        <vt:i4>5</vt:i4>
      </vt:variant>
      <vt:variant>
        <vt:lpwstr>http://www.ncbi.nlm.nih.gov/pubmed/12405366</vt:lpwstr>
      </vt:variant>
      <vt:variant>
        <vt:lpwstr/>
      </vt:variant>
      <vt:variant>
        <vt:i4>3276840</vt:i4>
      </vt:variant>
      <vt:variant>
        <vt:i4>14987</vt:i4>
      </vt:variant>
      <vt:variant>
        <vt:i4>0</vt:i4>
      </vt:variant>
      <vt:variant>
        <vt:i4>5</vt:i4>
      </vt:variant>
      <vt:variant>
        <vt:lpwstr>http://www.ncbi.nlm.nih.gov/pubmed/12182407</vt:lpwstr>
      </vt:variant>
      <vt:variant>
        <vt:lpwstr/>
      </vt:variant>
      <vt:variant>
        <vt:i4>3473440</vt:i4>
      </vt:variant>
      <vt:variant>
        <vt:i4>14984</vt:i4>
      </vt:variant>
      <vt:variant>
        <vt:i4>0</vt:i4>
      </vt:variant>
      <vt:variant>
        <vt:i4>5</vt:i4>
      </vt:variant>
      <vt:variant>
        <vt:lpwstr>http://www.ncbi.nlm.nih.gov/pubmed/17537264</vt:lpwstr>
      </vt:variant>
      <vt:variant>
        <vt:lpwstr/>
      </vt:variant>
      <vt:variant>
        <vt:i4>3604519</vt:i4>
      </vt:variant>
      <vt:variant>
        <vt:i4>14981</vt:i4>
      </vt:variant>
      <vt:variant>
        <vt:i4>0</vt:i4>
      </vt:variant>
      <vt:variant>
        <vt:i4>5</vt:i4>
      </vt:variant>
      <vt:variant>
        <vt:lpwstr>http://www.ncbi.nlm.nih.gov/pubmed/20640538</vt:lpwstr>
      </vt:variant>
      <vt:variant>
        <vt:lpwstr/>
      </vt:variant>
      <vt:variant>
        <vt:i4>3997742</vt:i4>
      </vt:variant>
      <vt:variant>
        <vt:i4>14978</vt:i4>
      </vt:variant>
      <vt:variant>
        <vt:i4>0</vt:i4>
      </vt:variant>
      <vt:variant>
        <vt:i4>5</vt:i4>
      </vt:variant>
      <vt:variant>
        <vt:lpwstr>http://www.ncbi.nlm.nih.gov/pubmed/18723287</vt:lpwstr>
      </vt:variant>
      <vt:variant>
        <vt:lpwstr/>
      </vt:variant>
      <vt:variant>
        <vt:i4>3670049</vt:i4>
      </vt:variant>
      <vt:variant>
        <vt:i4>14975</vt:i4>
      </vt:variant>
      <vt:variant>
        <vt:i4>0</vt:i4>
      </vt:variant>
      <vt:variant>
        <vt:i4>5</vt:i4>
      </vt:variant>
      <vt:variant>
        <vt:lpwstr>http://www.ncbi.nlm.nih.gov/pubmed/21941221</vt:lpwstr>
      </vt:variant>
      <vt:variant>
        <vt:lpwstr/>
      </vt:variant>
      <vt:variant>
        <vt:i4>3407910</vt:i4>
      </vt:variant>
      <vt:variant>
        <vt:i4>14972</vt:i4>
      </vt:variant>
      <vt:variant>
        <vt:i4>0</vt:i4>
      </vt:variant>
      <vt:variant>
        <vt:i4>5</vt:i4>
      </vt:variant>
      <vt:variant>
        <vt:lpwstr>http://www.ncbi.nlm.nih.gov/pubmed/10625264</vt:lpwstr>
      </vt:variant>
      <vt:variant>
        <vt:lpwstr/>
      </vt:variant>
      <vt:variant>
        <vt:i4>3145762</vt:i4>
      </vt:variant>
      <vt:variant>
        <vt:i4>14969</vt:i4>
      </vt:variant>
      <vt:variant>
        <vt:i4>0</vt:i4>
      </vt:variant>
      <vt:variant>
        <vt:i4>5</vt:i4>
      </vt:variant>
      <vt:variant>
        <vt:lpwstr>http://www.ncbi.nlm.nih.gov/pubmed/19553876</vt:lpwstr>
      </vt:variant>
      <vt:variant>
        <vt:lpwstr/>
      </vt:variant>
      <vt:variant>
        <vt:i4>655368</vt:i4>
      </vt:variant>
      <vt:variant>
        <vt:i4>14966</vt:i4>
      </vt:variant>
      <vt:variant>
        <vt:i4>0</vt:i4>
      </vt:variant>
      <vt:variant>
        <vt:i4>5</vt:i4>
      </vt:variant>
      <vt:variant>
        <vt:lpwstr>http://bmjopen.bmj.com/content/2/1/e000850.full.pdf+html</vt:lpwstr>
      </vt:variant>
      <vt:variant>
        <vt:lpwstr/>
      </vt:variant>
      <vt:variant>
        <vt:i4>3735596</vt:i4>
      </vt:variant>
      <vt:variant>
        <vt:i4>14963</vt:i4>
      </vt:variant>
      <vt:variant>
        <vt:i4>0</vt:i4>
      </vt:variant>
      <vt:variant>
        <vt:i4>5</vt:i4>
      </vt:variant>
      <vt:variant>
        <vt:lpwstr>http://www.ncbi.nlm.nih.gov/pubmed/8029734</vt:lpwstr>
      </vt:variant>
      <vt:variant>
        <vt:lpwstr/>
      </vt:variant>
      <vt:variant>
        <vt:i4>3342382</vt:i4>
      </vt:variant>
      <vt:variant>
        <vt:i4>14960</vt:i4>
      </vt:variant>
      <vt:variant>
        <vt:i4>0</vt:i4>
      </vt:variant>
      <vt:variant>
        <vt:i4>5</vt:i4>
      </vt:variant>
      <vt:variant>
        <vt:lpwstr>http://www.ncbi.nlm.nih.gov/pubmed/19153406</vt:lpwstr>
      </vt:variant>
      <vt:variant>
        <vt:lpwstr/>
      </vt:variant>
      <vt:variant>
        <vt:i4>3538981</vt:i4>
      </vt:variant>
      <vt:variant>
        <vt:i4>14957</vt:i4>
      </vt:variant>
      <vt:variant>
        <vt:i4>0</vt:i4>
      </vt:variant>
      <vt:variant>
        <vt:i4>5</vt:i4>
      </vt:variant>
      <vt:variant>
        <vt:lpwstr>http://www.ncbi.nlm.nih.gov/pubmed/19531931</vt:lpwstr>
      </vt:variant>
      <vt:variant>
        <vt:lpwstr/>
      </vt:variant>
      <vt:variant>
        <vt:i4>4063273</vt:i4>
      </vt:variant>
      <vt:variant>
        <vt:i4>14954</vt:i4>
      </vt:variant>
      <vt:variant>
        <vt:i4>0</vt:i4>
      </vt:variant>
      <vt:variant>
        <vt:i4>5</vt:i4>
      </vt:variant>
      <vt:variant>
        <vt:lpwstr>http://www.ncbi.nlm.nih.gov/pubmed/15895328</vt:lpwstr>
      </vt:variant>
      <vt:variant>
        <vt:lpwstr/>
      </vt:variant>
      <vt:variant>
        <vt:i4>3801127</vt:i4>
      </vt:variant>
      <vt:variant>
        <vt:i4>14951</vt:i4>
      </vt:variant>
      <vt:variant>
        <vt:i4>0</vt:i4>
      </vt:variant>
      <vt:variant>
        <vt:i4>5</vt:i4>
      </vt:variant>
      <vt:variant>
        <vt:lpwstr>http://www.ncbi.nlm.nih.gov/pubmed/17826451</vt:lpwstr>
      </vt:variant>
      <vt:variant>
        <vt:lpwstr/>
      </vt:variant>
      <vt:variant>
        <vt:i4>3604516</vt:i4>
      </vt:variant>
      <vt:variant>
        <vt:i4>14948</vt:i4>
      </vt:variant>
      <vt:variant>
        <vt:i4>0</vt:i4>
      </vt:variant>
      <vt:variant>
        <vt:i4>5</vt:i4>
      </vt:variant>
      <vt:variant>
        <vt:lpwstr>http://www.ncbi.nlm.nih.gov/pubmed/20112361</vt:lpwstr>
      </vt:variant>
      <vt:variant>
        <vt:lpwstr/>
      </vt:variant>
      <vt:variant>
        <vt:i4>3735590</vt:i4>
      </vt:variant>
      <vt:variant>
        <vt:i4>14945</vt:i4>
      </vt:variant>
      <vt:variant>
        <vt:i4>0</vt:i4>
      </vt:variant>
      <vt:variant>
        <vt:i4>5</vt:i4>
      </vt:variant>
      <vt:variant>
        <vt:lpwstr>http://www.ncbi.nlm.nih.gov/pubmed/15109505</vt:lpwstr>
      </vt:variant>
      <vt:variant>
        <vt:lpwstr/>
      </vt:variant>
      <vt:variant>
        <vt:i4>3407910</vt:i4>
      </vt:variant>
      <vt:variant>
        <vt:i4>14942</vt:i4>
      </vt:variant>
      <vt:variant>
        <vt:i4>0</vt:i4>
      </vt:variant>
      <vt:variant>
        <vt:i4>5</vt:i4>
      </vt:variant>
      <vt:variant>
        <vt:lpwstr>http://www.ncbi.nlm.nih.gov/pubmed/17164107</vt:lpwstr>
      </vt:variant>
      <vt:variant>
        <vt:lpwstr/>
      </vt:variant>
      <vt:variant>
        <vt:i4>3997738</vt:i4>
      </vt:variant>
      <vt:variant>
        <vt:i4>14939</vt:i4>
      </vt:variant>
      <vt:variant>
        <vt:i4>0</vt:i4>
      </vt:variant>
      <vt:variant>
        <vt:i4>5</vt:i4>
      </vt:variant>
      <vt:variant>
        <vt:lpwstr>http://www.ncbi.nlm.nih.gov/pubmed/19841157</vt:lpwstr>
      </vt:variant>
      <vt:variant>
        <vt:lpwstr/>
      </vt:variant>
      <vt:variant>
        <vt:i4>3342368</vt:i4>
      </vt:variant>
      <vt:variant>
        <vt:i4>14936</vt:i4>
      </vt:variant>
      <vt:variant>
        <vt:i4>0</vt:i4>
      </vt:variant>
      <vt:variant>
        <vt:i4>5</vt:i4>
      </vt:variant>
      <vt:variant>
        <vt:lpwstr>http://www.ncbi.nlm.nih.gov/pubmed/17443559</vt:lpwstr>
      </vt:variant>
      <vt:variant>
        <vt:lpwstr/>
      </vt:variant>
      <vt:variant>
        <vt:i4>3866656</vt:i4>
      </vt:variant>
      <vt:variant>
        <vt:i4>14933</vt:i4>
      </vt:variant>
      <vt:variant>
        <vt:i4>0</vt:i4>
      </vt:variant>
      <vt:variant>
        <vt:i4>5</vt:i4>
      </vt:variant>
      <vt:variant>
        <vt:lpwstr>http://www.ncbi.nlm.nih.gov/pubmed/16937343</vt:lpwstr>
      </vt:variant>
      <vt:variant>
        <vt:lpwstr/>
      </vt:variant>
      <vt:variant>
        <vt:i4>3211299</vt:i4>
      </vt:variant>
      <vt:variant>
        <vt:i4>14930</vt:i4>
      </vt:variant>
      <vt:variant>
        <vt:i4>0</vt:i4>
      </vt:variant>
      <vt:variant>
        <vt:i4>5</vt:i4>
      </vt:variant>
      <vt:variant>
        <vt:lpwstr>http://www.ncbi.nlm.nih.gov/pubmed/18240925</vt:lpwstr>
      </vt:variant>
      <vt:variant>
        <vt:lpwstr/>
      </vt:variant>
      <vt:variant>
        <vt:i4>3342371</vt:i4>
      </vt:variant>
      <vt:variant>
        <vt:i4>14927</vt:i4>
      </vt:variant>
      <vt:variant>
        <vt:i4>0</vt:i4>
      </vt:variant>
      <vt:variant>
        <vt:i4>5</vt:i4>
      </vt:variant>
      <vt:variant>
        <vt:lpwstr>http://www.ncbi.nlm.nih.gov/pubmed/14705107</vt:lpwstr>
      </vt:variant>
      <vt:variant>
        <vt:lpwstr/>
      </vt:variant>
      <vt:variant>
        <vt:i4>3997728</vt:i4>
      </vt:variant>
      <vt:variant>
        <vt:i4>14924</vt:i4>
      </vt:variant>
      <vt:variant>
        <vt:i4>0</vt:i4>
      </vt:variant>
      <vt:variant>
        <vt:i4>5</vt:i4>
      </vt:variant>
      <vt:variant>
        <vt:lpwstr>http://www.ncbi.nlm.nih.gov/pubmed/10965008</vt:lpwstr>
      </vt:variant>
      <vt:variant>
        <vt:lpwstr/>
      </vt:variant>
      <vt:variant>
        <vt:i4>3604526</vt:i4>
      </vt:variant>
      <vt:variant>
        <vt:i4>14921</vt:i4>
      </vt:variant>
      <vt:variant>
        <vt:i4>0</vt:i4>
      </vt:variant>
      <vt:variant>
        <vt:i4>5</vt:i4>
      </vt:variant>
      <vt:variant>
        <vt:lpwstr>http://www.ncbi.nlm.nih.gov/pubmed/12391348</vt:lpwstr>
      </vt:variant>
      <vt:variant>
        <vt:lpwstr/>
      </vt:variant>
      <vt:variant>
        <vt:i4>3997728</vt:i4>
      </vt:variant>
      <vt:variant>
        <vt:i4>14918</vt:i4>
      </vt:variant>
      <vt:variant>
        <vt:i4>0</vt:i4>
      </vt:variant>
      <vt:variant>
        <vt:i4>5</vt:i4>
      </vt:variant>
      <vt:variant>
        <vt:lpwstr>http://www.ncbi.nlm.nih.gov/pubmed/10965008</vt:lpwstr>
      </vt:variant>
      <vt:variant>
        <vt:lpwstr/>
      </vt:variant>
      <vt:variant>
        <vt:i4>3801124</vt:i4>
      </vt:variant>
      <vt:variant>
        <vt:i4>14915</vt:i4>
      </vt:variant>
      <vt:variant>
        <vt:i4>0</vt:i4>
      </vt:variant>
      <vt:variant>
        <vt:i4>5</vt:i4>
      </vt:variant>
      <vt:variant>
        <vt:lpwstr>http://www.ncbi.nlm.nih.gov/pubmed/11765591</vt:lpwstr>
      </vt:variant>
      <vt:variant>
        <vt:lpwstr/>
      </vt:variant>
      <vt:variant>
        <vt:i4>3997731</vt:i4>
      </vt:variant>
      <vt:variant>
        <vt:i4>14912</vt:i4>
      </vt:variant>
      <vt:variant>
        <vt:i4>0</vt:i4>
      </vt:variant>
      <vt:variant>
        <vt:i4>5</vt:i4>
      </vt:variant>
      <vt:variant>
        <vt:lpwstr>http://www.ncbi.nlm.nih.gov/pubmed/9825385</vt:lpwstr>
      </vt:variant>
      <vt:variant>
        <vt:lpwstr/>
      </vt:variant>
      <vt:variant>
        <vt:i4>3211310</vt:i4>
      </vt:variant>
      <vt:variant>
        <vt:i4>14909</vt:i4>
      </vt:variant>
      <vt:variant>
        <vt:i4>0</vt:i4>
      </vt:variant>
      <vt:variant>
        <vt:i4>5</vt:i4>
      </vt:variant>
      <vt:variant>
        <vt:lpwstr>http://www.ncbi.nlm.nih.gov/pubmed/6459557</vt:lpwstr>
      </vt:variant>
      <vt:variant>
        <vt:lpwstr/>
      </vt:variant>
      <vt:variant>
        <vt:i4>3407913</vt:i4>
      </vt:variant>
      <vt:variant>
        <vt:i4>14906</vt:i4>
      </vt:variant>
      <vt:variant>
        <vt:i4>0</vt:i4>
      </vt:variant>
      <vt:variant>
        <vt:i4>5</vt:i4>
      </vt:variant>
      <vt:variant>
        <vt:lpwstr>http://www.ncbi.nlm.nih.gov/pubmed/16202958</vt:lpwstr>
      </vt:variant>
      <vt:variant>
        <vt:lpwstr/>
      </vt:variant>
      <vt:variant>
        <vt:i4>4128800</vt:i4>
      </vt:variant>
      <vt:variant>
        <vt:i4>14903</vt:i4>
      </vt:variant>
      <vt:variant>
        <vt:i4>0</vt:i4>
      </vt:variant>
      <vt:variant>
        <vt:i4>5</vt:i4>
      </vt:variant>
      <vt:variant>
        <vt:lpwstr>http://www.ncbi.nlm.nih.gov/pubmed/12804428</vt:lpwstr>
      </vt:variant>
      <vt:variant>
        <vt:lpwstr/>
      </vt:variant>
      <vt:variant>
        <vt:i4>3801120</vt:i4>
      </vt:variant>
      <vt:variant>
        <vt:i4>14900</vt:i4>
      </vt:variant>
      <vt:variant>
        <vt:i4>0</vt:i4>
      </vt:variant>
      <vt:variant>
        <vt:i4>5</vt:i4>
      </vt:variant>
      <vt:variant>
        <vt:lpwstr>http://www.ncbi.nlm.nih.gov/pubmed/12804478</vt:lpwstr>
      </vt:variant>
      <vt:variant>
        <vt:lpwstr/>
      </vt:variant>
      <vt:variant>
        <vt:i4>3735589</vt:i4>
      </vt:variant>
      <vt:variant>
        <vt:i4>14897</vt:i4>
      </vt:variant>
      <vt:variant>
        <vt:i4>0</vt:i4>
      </vt:variant>
      <vt:variant>
        <vt:i4>5</vt:i4>
      </vt:variant>
      <vt:variant>
        <vt:lpwstr>http://www.ncbi.nlm.nih.gov/pubmed/15372199</vt:lpwstr>
      </vt:variant>
      <vt:variant>
        <vt:lpwstr/>
      </vt:variant>
      <vt:variant>
        <vt:i4>3866660</vt:i4>
      </vt:variant>
      <vt:variant>
        <vt:i4>14894</vt:i4>
      </vt:variant>
      <vt:variant>
        <vt:i4>0</vt:i4>
      </vt:variant>
      <vt:variant>
        <vt:i4>5</vt:i4>
      </vt:variant>
      <vt:variant>
        <vt:lpwstr>http://www.ncbi.nlm.nih.gov/pubmed/17279218</vt:lpwstr>
      </vt:variant>
      <vt:variant>
        <vt:lpwstr/>
      </vt:variant>
      <vt:variant>
        <vt:i4>3538976</vt:i4>
      </vt:variant>
      <vt:variant>
        <vt:i4>14891</vt:i4>
      </vt:variant>
      <vt:variant>
        <vt:i4>0</vt:i4>
      </vt:variant>
      <vt:variant>
        <vt:i4>5</vt:i4>
      </vt:variant>
      <vt:variant>
        <vt:lpwstr>http://www.ncbi.nlm.nih.gov/pubmed/9794056</vt:lpwstr>
      </vt:variant>
      <vt:variant>
        <vt:lpwstr/>
      </vt:variant>
      <vt:variant>
        <vt:i4>3670057</vt:i4>
      </vt:variant>
      <vt:variant>
        <vt:i4>14888</vt:i4>
      </vt:variant>
      <vt:variant>
        <vt:i4>0</vt:i4>
      </vt:variant>
      <vt:variant>
        <vt:i4>5</vt:i4>
      </vt:variant>
      <vt:variant>
        <vt:lpwstr>http://www.ncbi.nlm.nih.gov/pubmed/17383095</vt:lpwstr>
      </vt:variant>
      <vt:variant>
        <vt:lpwstr/>
      </vt:variant>
      <vt:variant>
        <vt:i4>3735593</vt:i4>
      </vt:variant>
      <vt:variant>
        <vt:i4>14885</vt:i4>
      </vt:variant>
      <vt:variant>
        <vt:i4>0</vt:i4>
      </vt:variant>
      <vt:variant>
        <vt:i4>5</vt:i4>
      </vt:variant>
      <vt:variant>
        <vt:lpwstr>http://www.ncbi.nlm.nih.gov/pubmed/15883235</vt:lpwstr>
      </vt:variant>
      <vt:variant>
        <vt:lpwstr/>
      </vt:variant>
      <vt:variant>
        <vt:i4>3276845</vt:i4>
      </vt:variant>
      <vt:variant>
        <vt:i4>14882</vt:i4>
      </vt:variant>
      <vt:variant>
        <vt:i4>0</vt:i4>
      </vt:variant>
      <vt:variant>
        <vt:i4>5</vt:i4>
      </vt:variant>
      <vt:variant>
        <vt:lpwstr>http://www.ncbi.nlm.nih.gov/pubmed/15265848</vt:lpwstr>
      </vt:variant>
      <vt:variant>
        <vt:lpwstr/>
      </vt:variant>
      <vt:variant>
        <vt:i4>4128803</vt:i4>
      </vt:variant>
      <vt:variant>
        <vt:i4>14879</vt:i4>
      </vt:variant>
      <vt:variant>
        <vt:i4>0</vt:i4>
      </vt:variant>
      <vt:variant>
        <vt:i4>5</vt:i4>
      </vt:variant>
      <vt:variant>
        <vt:lpwstr>http://www.ncbi.nlm.nih.gov/pubmed/21104484</vt:lpwstr>
      </vt:variant>
      <vt:variant>
        <vt:lpwstr/>
      </vt:variant>
      <vt:variant>
        <vt:i4>3801122</vt:i4>
      </vt:variant>
      <vt:variant>
        <vt:i4>14876</vt:i4>
      </vt:variant>
      <vt:variant>
        <vt:i4>0</vt:i4>
      </vt:variant>
      <vt:variant>
        <vt:i4>5</vt:i4>
      </vt:variant>
      <vt:variant>
        <vt:lpwstr>http://www.ncbi.nlm.nih.gov/pubmed/17058631</vt:lpwstr>
      </vt:variant>
      <vt:variant>
        <vt:lpwstr/>
      </vt:variant>
      <vt:variant>
        <vt:i4>3735590</vt:i4>
      </vt:variant>
      <vt:variant>
        <vt:i4>14873</vt:i4>
      </vt:variant>
      <vt:variant>
        <vt:i4>0</vt:i4>
      </vt:variant>
      <vt:variant>
        <vt:i4>5</vt:i4>
      </vt:variant>
      <vt:variant>
        <vt:lpwstr>http://www.ncbi.nlm.nih.gov/pubmed/15109501</vt:lpwstr>
      </vt:variant>
      <vt:variant>
        <vt:lpwstr/>
      </vt:variant>
      <vt:variant>
        <vt:i4>3604527</vt:i4>
      </vt:variant>
      <vt:variant>
        <vt:i4>14870</vt:i4>
      </vt:variant>
      <vt:variant>
        <vt:i4>0</vt:i4>
      </vt:variant>
      <vt:variant>
        <vt:i4>5</vt:i4>
      </vt:variant>
      <vt:variant>
        <vt:lpwstr>http://www.ncbi.nlm.nih.gov/pubmed/22535858</vt:lpwstr>
      </vt:variant>
      <vt:variant>
        <vt:lpwstr/>
      </vt:variant>
      <vt:variant>
        <vt:i4>3604527</vt:i4>
      </vt:variant>
      <vt:variant>
        <vt:i4>14867</vt:i4>
      </vt:variant>
      <vt:variant>
        <vt:i4>0</vt:i4>
      </vt:variant>
      <vt:variant>
        <vt:i4>5</vt:i4>
      </vt:variant>
      <vt:variant>
        <vt:lpwstr>http://www.ncbi.nlm.nih.gov/pubmed/22535858</vt:lpwstr>
      </vt:variant>
      <vt:variant>
        <vt:lpwstr/>
      </vt:variant>
      <vt:variant>
        <vt:i4>3538983</vt:i4>
      </vt:variant>
      <vt:variant>
        <vt:i4>14864</vt:i4>
      </vt:variant>
      <vt:variant>
        <vt:i4>0</vt:i4>
      </vt:variant>
      <vt:variant>
        <vt:i4>5</vt:i4>
      </vt:variant>
      <vt:variant>
        <vt:lpwstr>http://www.ncbi.nlm.nih.gov/pubmed/16712627</vt:lpwstr>
      </vt:variant>
      <vt:variant>
        <vt:lpwstr/>
      </vt:variant>
      <vt:variant>
        <vt:i4>3538985</vt:i4>
      </vt:variant>
      <vt:variant>
        <vt:i4>14861</vt:i4>
      </vt:variant>
      <vt:variant>
        <vt:i4>0</vt:i4>
      </vt:variant>
      <vt:variant>
        <vt:i4>5</vt:i4>
      </vt:variant>
      <vt:variant>
        <vt:lpwstr>http://www.ncbi.nlm.nih.gov/pubmed/16117815</vt:lpwstr>
      </vt:variant>
      <vt:variant>
        <vt:lpwstr/>
      </vt:variant>
      <vt:variant>
        <vt:i4>3276842</vt:i4>
      </vt:variant>
      <vt:variant>
        <vt:i4>14858</vt:i4>
      </vt:variant>
      <vt:variant>
        <vt:i4>0</vt:i4>
      </vt:variant>
      <vt:variant>
        <vt:i4>5</vt:i4>
      </vt:variant>
      <vt:variant>
        <vt:lpwstr>http://www.ncbi.nlm.nih.gov/pubmed/16181230</vt:lpwstr>
      </vt:variant>
      <vt:variant>
        <vt:lpwstr/>
      </vt:variant>
      <vt:variant>
        <vt:i4>3342382</vt:i4>
      </vt:variant>
      <vt:variant>
        <vt:i4>14855</vt:i4>
      </vt:variant>
      <vt:variant>
        <vt:i4>0</vt:i4>
      </vt:variant>
      <vt:variant>
        <vt:i4>5</vt:i4>
      </vt:variant>
      <vt:variant>
        <vt:lpwstr>http://www.ncbi.nlm.nih.gov/pubmed/18271710</vt:lpwstr>
      </vt:variant>
      <vt:variant>
        <vt:lpwstr/>
      </vt:variant>
      <vt:variant>
        <vt:i4>6750208</vt:i4>
      </vt:variant>
      <vt:variant>
        <vt:i4>14852</vt:i4>
      </vt:variant>
      <vt:variant>
        <vt:i4>0</vt:i4>
      </vt:variant>
      <vt:variant>
        <vt:i4>5</vt:i4>
      </vt:variant>
      <vt:variant>
        <vt:lpwstr>http://rsdfoundation.org/en/en_clinical_practice_guidelines.html</vt:lpwstr>
      </vt:variant>
      <vt:variant>
        <vt:lpwstr/>
      </vt:variant>
      <vt:variant>
        <vt:i4>3211391</vt:i4>
      </vt:variant>
      <vt:variant>
        <vt:i4>14849</vt:i4>
      </vt:variant>
      <vt:variant>
        <vt:i4>0</vt:i4>
      </vt:variant>
      <vt:variant>
        <vt:i4>5</vt:i4>
      </vt:variant>
      <vt:variant>
        <vt:lpwstr>http://www.icsi.org/pain__chronic__assessment_and_management_of_14399/pain__chronic__assessment_and_management_of__guideline_.html</vt:lpwstr>
      </vt:variant>
      <vt:variant>
        <vt:lpwstr/>
      </vt:variant>
      <vt:variant>
        <vt:i4>3211391</vt:i4>
      </vt:variant>
      <vt:variant>
        <vt:i4>14846</vt:i4>
      </vt:variant>
      <vt:variant>
        <vt:i4>0</vt:i4>
      </vt:variant>
      <vt:variant>
        <vt:i4>5</vt:i4>
      </vt:variant>
      <vt:variant>
        <vt:lpwstr>http://www.icsi.org/pain__chronic__assessment_and_management_of_14399/pain__chronic__assessment_and_management_of__guideline_.html</vt:lpwstr>
      </vt:variant>
      <vt:variant>
        <vt:lpwstr/>
      </vt:variant>
      <vt:variant>
        <vt:i4>2621551</vt:i4>
      </vt:variant>
      <vt:variant>
        <vt:i4>14843</vt:i4>
      </vt:variant>
      <vt:variant>
        <vt:i4>0</vt:i4>
      </vt:variant>
      <vt:variant>
        <vt:i4>5</vt:i4>
      </vt:variant>
      <vt:variant>
        <vt:lpwstr>E:\AppData\Local\Microsoft\Windows\Temporary Internet Files\Content.Outlook\AppData\Local\Microsoft\Windows\Temporary Internet Files\Content.Outlook\50QE161U\Pain_files\icsi.pdf</vt:lpwstr>
      </vt:variant>
      <vt:variant>
        <vt:lpwstr/>
      </vt:variant>
      <vt:variant>
        <vt:i4>3801134</vt:i4>
      </vt:variant>
      <vt:variant>
        <vt:i4>14840</vt:i4>
      </vt:variant>
      <vt:variant>
        <vt:i4>0</vt:i4>
      </vt:variant>
      <vt:variant>
        <vt:i4>5</vt:i4>
      </vt:variant>
      <vt:variant>
        <vt:lpwstr>http://www.ncbi.nlm.nih.gov/pubmed/17872814</vt:lpwstr>
      </vt:variant>
      <vt:variant>
        <vt:lpwstr/>
      </vt:variant>
      <vt:variant>
        <vt:i4>3538991</vt:i4>
      </vt:variant>
      <vt:variant>
        <vt:i4>14837</vt:i4>
      </vt:variant>
      <vt:variant>
        <vt:i4>0</vt:i4>
      </vt:variant>
      <vt:variant>
        <vt:i4>5</vt:i4>
      </vt:variant>
      <vt:variant>
        <vt:lpwstr>http://www.ncbi.nlm.nih.gov/pubmed/19300041</vt:lpwstr>
      </vt:variant>
      <vt:variant>
        <vt:lpwstr/>
      </vt:variant>
      <vt:variant>
        <vt:i4>4063269</vt:i4>
      </vt:variant>
      <vt:variant>
        <vt:i4>14834</vt:i4>
      </vt:variant>
      <vt:variant>
        <vt:i4>0</vt:i4>
      </vt:variant>
      <vt:variant>
        <vt:i4>5</vt:i4>
      </vt:variant>
      <vt:variant>
        <vt:lpwstr>http://www.ncbi.nlm.nih.gov/pubmed/22825311</vt:lpwstr>
      </vt:variant>
      <vt:variant>
        <vt:lpwstr/>
      </vt:variant>
      <vt:variant>
        <vt:i4>3473441</vt:i4>
      </vt:variant>
      <vt:variant>
        <vt:i4>14831</vt:i4>
      </vt:variant>
      <vt:variant>
        <vt:i4>0</vt:i4>
      </vt:variant>
      <vt:variant>
        <vt:i4>5</vt:i4>
      </vt:variant>
      <vt:variant>
        <vt:lpwstr>http://www.ncbi.nlm.nih.gov/pubmed/15121040</vt:lpwstr>
      </vt:variant>
      <vt:variant>
        <vt:lpwstr/>
      </vt:variant>
      <vt:variant>
        <vt:i4>4128811</vt:i4>
      </vt:variant>
      <vt:variant>
        <vt:i4>14828</vt:i4>
      </vt:variant>
      <vt:variant>
        <vt:i4>0</vt:i4>
      </vt:variant>
      <vt:variant>
        <vt:i4>5</vt:i4>
      </vt:variant>
      <vt:variant>
        <vt:lpwstr>http://www.ncbi.nlm.nih.gov/pubmed/21441884</vt:lpwstr>
      </vt:variant>
      <vt:variant>
        <vt:lpwstr/>
      </vt:variant>
      <vt:variant>
        <vt:i4>3801127</vt:i4>
      </vt:variant>
      <vt:variant>
        <vt:i4>14825</vt:i4>
      </vt:variant>
      <vt:variant>
        <vt:i4>0</vt:i4>
      </vt:variant>
      <vt:variant>
        <vt:i4>5</vt:i4>
      </vt:variant>
      <vt:variant>
        <vt:lpwstr>http://www.ncbi.nlm.nih.gov/pubmed/18704983</vt:lpwstr>
      </vt:variant>
      <vt:variant>
        <vt:lpwstr/>
      </vt:variant>
      <vt:variant>
        <vt:i4>3211303</vt:i4>
      </vt:variant>
      <vt:variant>
        <vt:i4>14822</vt:i4>
      </vt:variant>
      <vt:variant>
        <vt:i4>0</vt:i4>
      </vt:variant>
      <vt:variant>
        <vt:i4>5</vt:i4>
      </vt:variant>
      <vt:variant>
        <vt:lpwstr>http://www.ncbi.nlm.nih.gov/pubmed/17071119</vt:lpwstr>
      </vt:variant>
      <vt:variant>
        <vt:lpwstr/>
      </vt:variant>
      <vt:variant>
        <vt:i4>3342374</vt:i4>
      </vt:variant>
      <vt:variant>
        <vt:i4>14819</vt:i4>
      </vt:variant>
      <vt:variant>
        <vt:i4>0</vt:i4>
      </vt:variant>
      <vt:variant>
        <vt:i4>5</vt:i4>
      </vt:variant>
      <vt:variant>
        <vt:lpwstr>http://www.ncbi.nlm.nih.gov/pubmed/16524438</vt:lpwstr>
      </vt:variant>
      <vt:variant>
        <vt:lpwstr/>
      </vt:variant>
      <vt:variant>
        <vt:i4>3407910</vt:i4>
      </vt:variant>
      <vt:variant>
        <vt:i4>14816</vt:i4>
      </vt:variant>
      <vt:variant>
        <vt:i4>0</vt:i4>
      </vt:variant>
      <vt:variant>
        <vt:i4>5</vt:i4>
      </vt:variant>
      <vt:variant>
        <vt:lpwstr>http://www.ncbi.nlm.nih.gov/pubmed/21497851</vt:lpwstr>
      </vt:variant>
      <vt:variant>
        <vt:lpwstr/>
      </vt:variant>
      <vt:variant>
        <vt:i4>3473453</vt:i4>
      </vt:variant>
      <vt:variant>
        <vt:i4>14813</vt:i4>
      </vt:variant>
      <vt:variant>
        <vt:i4>0</vt:i4>
      </vt:variant>
      <vt:variant>
        <vt:i4>5</vt:i4>
      </vt:variant>
      <vt:variant>
        <vt:lpwstr>http://www.ncbi.nlm.nih.gov/pubmed/17347805</vt:lpwstr>
      </vt:variant>
      <vt:variant>
        <vt:lpwstr/>
      </vt:variant>
      <vt:variant>
        <vt:i4>3145762</vt:i4>
      </vt:variant>
      <vt:variant>
        <vt:i4>14810</vt:i4>
      </vt:variant>
      <vt:variant>
        <vt:i4>0</vt:i4>
      </vt:variant>
      <vt:variant>
        <vt:i4>5</vt:i4>
      </vt:variant>
      <vt:variant>
        <vt:lpwstr>http://www.ncbi.nlm.nih.gov/pubmed/16714326</vt:lpwstr>
      </vt:variant>
      <vt:variant>
        <vt:lpwstr/>
      </vt:variant>
      <vt:variant>
        <vt:i4>3407915</vt:i4>
      </vt:variant>
      <vt:variant>
        <vt:i4>14807</vt:i4>
      </vt:variant>
      <vt:variant>
        <vt:i4>0</vt:i4>
      </vt:variant>
      <vt:variant>
        <vt:i4>5</vt:i4>
      </vt:variant>
      <vt:variant>
        <vt:lpwstr>http://www.ncbi.nlm.nih.gov/pubmed/15086035</vt:lpwstr>
      </vt:variant>
      <vt:variant>
        <vt:lpwstr/>
      </vt:variant>
      <vt:variant>
        <vt:i4>3342368</vt:i4>
      </vt:variant>
      <vt:variant>
        <vt:i4>14804</vt:i4>
      </vt:variant>
      <vt:variant>
        <vt:i4>0</vt:i4>
      </vt:variant>
      <vt:variant>
        <vt:i4>5</vt:i4>
      </vt:variant>
      <vt:variant>
        <vt:lpwstr>http://www.ncbi.nlm.nih.gov/pubmed/21810699</vt:lpwstr>
      </vt:variant>
      <vt:variant>
        <vt:lpwstr/>
      </vt:variant>
      <vt:variant>
        <vt:i4>3276841</vt:i4>
      </vt:variant>
      <vt:variant>
        <vt:i4>14801</vt:i4>
      </vt:variant>
      <vt:variant>
        <vt:i4>0</vt:i4>
      </vt:variant>
      <vt:variant>
        <vt:i4>5</vt:i4>
      </vt:variant>
      <vt:variant>
        <vt:lpwstr>http://www.ncbi.nlm.nih.gov/pubmed/23440848</vt:lpwstr>
      </vt:variant>
      <vt:variant>
        <vt:lpwstr/>
      </vt:variant>
      <vt:variant>
        <vt:i4>3866659</vt:i4>
      </vt:variant>
      <vt:variant>
        <vt:i4>14798</vt:i4>
      </vt:variant>
      <vt:variant>
        <vt:i4>0</vt:i4>
      </vt:variant>
      <vt:variant>
        <vt:i4>5</vt:i4>
      </vt:variant>
      <vt:variant>
        <vt:lpwstr>http://www.ncbi.nlm.nih.gov/pubmed/14665792</vt:lpwstr>
      </vt:variant>
      <vt:variant>
        <vt:lpwstr/>
      </vt:variant>
      <vt:variant>
        <vt:i4>3145763</vt:i4>
      </vt:variant>
      <vt:variant>
        <vt:i4>14795</vt:i4>
      </vt:variant>
      <vt:variant>
        <vt:i4>0</vt:i4>
      </vt:variant>
      <vt:variant>
        <vt:i4>5</vt:i4>
      </vt:variant>
      <vt:variant>
        <vt:lpwstr>http://www.ncbi.nlm.nih.gov/pubmed/15165652</vt:lpwstr>
      </vt:variant>
      <vt:variant>
        <vt:lpwstr/>
      </vt:variant>
      <vt:variant>
        <vt:i4>3145767</vt:i4>
      </vt:variant>
      <vt:variant>
        <vt:i4>14792</vt:i4>
      </vt:variant>
      <vt:variant>
        <vt:i4>0</vt:i4>
      </vt:variant>
      <vt:variant>
        <vt:i4>5</vt:i4>
      </vt:variant>
      <vt:variant>
        <vt:lpwstr>http://www.ncbi.nlm.nih.gov/pubmed/10626316</vt:lpwstr>
      </vt:variant>
      <vt:variant>
        <vt:lpwstr/>
      </vt:variant>
      <vt:variant>
        <vt:i4>3735591</vt:i4>
      </vt:variant>
      <vt:variant>
        <vt:i4>14789</vt:i4>
      </vt:variant>
      <vt:variant>
        <vt:i4>0</vt:i4>
      </vt:variant>
      <vt:variant>
        <vt:i4>5</vt:i4>
      </vt:variant>
      <vt:variant>
        <vt:lpwstr>http://www.ncbi.nlm.nih.gov/pubmed/19302899</vt:lpwstr>
      </vt:variant>
      <vt:variant>
        <vt:lpwstr/>
      </vt:variant>
      <vt:variant>
        <vt:i4>3342368</vt:i4>
      </vt:variant>
      <vt:variant>
        <vt:i4>14786</vt:i4>
      </vt:variant>
      <vt:variant>
        <vt:i4>0</vt:i4>
      </vt:variant>
      <vt:variant>
        <vt:i4>5</vt:i4>
      </vt:variant>
      <vt:variant>
        <vt:lpwstr>http://www.ncbi.nlm.nih.gov/pubmed/17173603</vt:lpwstr>
      </vt:variant>
      <vt:variant>
        <vt:lpwstr/>
      </vt:variant>
      <vt:variant>
        <vt:i4>3538991</vt:i4>
      </vt:variant>
      <vt:variant>
        <vt:i4>14783</vt:i4>
      </vt:variant>
      <vt:variant>
        <vt:i4>0</vt:i4>
      </vt:variant>
      <vt:variant>
        <vt:i4>5</vt:i4>
      </vt:variant>
      <vt:variant>
        <vt:lpwstr>http://www.ncbi.nlm.nih.gov/pubmed/20210866</vt:lpwstr>
      </vt:variant>
      <vt:variant>
        <vt:lpwstr/>
      </vt:variant>
      <vt:variant>
        <vt:i4>4063271</vt:i4>
      </vt:variant>
      <vt:variant>
        <vt:i4>14780</vt:i4>
      </vt:variant>
      <vt:variant>
        <vt:i4>0</vt:i4>
      </vt:variant>
      <vt:variant>
        <vt:i4>5</vt:i4>
      </vt:variant>
      <vt:variant>
        <vt:lpwstr>http://www.ncbi.nlm.nih.gov/pubmed/20822369</vt:lpwstr>
      </vt:variant>
      <vt:variant>
        <vt:lpwstr/>
      </vt:variant>
      <vt:variant>
        <vt:i4>3145764</vt:i4>
      </vt:variant>
      <vt:variant>
        <vt:i4>14777</vt:i4>
      </vt:variant>
      <vt:variant>
        <vt:i4>0</vt:i4>
      </vt:variant>
      <vt:variant>
        <vt:i4>5</vt:i4>
      </vt:variant>
      <vt:variant>
        <vt:lpwstr>http://www.ncbi.nlm.nih.gov/pubmed/15979016</vt:lpwstr>
      </vt:variant>
      <vt:variant>
        <vt:lpwstr/>
      </vt:variant>
      <vt:variant>
        <vt:i4>262175</vt:i4>
      </vt:variant>
      <vt:variant>
        <vt:i4>14774</vt:i4>
      </vt:variant>
      <vt:variant>
        <vt:i4>0</vt:i4>
      </vt:variant>
      <vt:variant>
        <vt:i4>5</vt:i4>
      </vt:variant>
      <vt:variant>
        <vt:lpwstr>http://www.ncbi.nlm.nih.gov/pubmed/214822</vt:lpwstr>
      </vt:variant>
      <vt:variant>
        <vt:lpwstr/>
      </vt:variant>
      <vt:variant>
        <vt:i4>3670059</vt:i4>
      </vt:variant>
      <vt:variant>
        <vt:i4>14771</vt:i4>
      </vt:variant>
      <vt:variant>
        <vt:i4>0</vt:i4>
      </vt:variant>
      <vt:variant>
        <vt:i4>5</vt:i4>
      </vt:variant>
      <vt:variant>
        <vt:lpwstr>http://www.ncbi.nlm.nih.gov/pubmed/22965960</vt:lpwstr>
      </vt:variant>
      <vt:variant>
        <vt:lpwstr/>
      </vt:variant>
      <vt:variant>
        <vt:i4>3604512</vt:i4>
      </vt:variant>
      <vt:variant>
        <vt:i4>14768</vt:i4>
      </vt:variant>
      <vt:variant>
        <vt:i4>0</vt:i4>
      </vt:variant>
      <vt:variant>
        <vt:i4>5</vt:i4>
      </vt:variant>
      <vt:variant>
        <vt:lpwstr>http://www.ncbi.nlm.nih.gov/pubmed/20704669</vt:lpwstr>
      </vt:variant>
      <vt:variant>
        <vt:lpwstr/>
      </vt:variant>
      <vt:variant>
        <vt:i4>3538985</vt:i4>
      </vt:variant>
      <vt:variant>
        <vt:i4>14765</vt:i4>
      </vt:variant>
      <vt:variant>
        <vt:i4>0</vt:i4>
      </vt:variant>
      <vt:variant>
        <vt:i4>5</vt:i4>
      </vt:variant>
      <vt:variant>
        <vt:lpwstr>http://www.ncbi.nlm.nih.gov/pubmed/20493633</vt:lpwstr>
      </vt:variant>
      <vt:variant>
        <vt:lpwstr/>
      </vt:variant>
      <vt:variant>
        <vt:i4>3473455</vt:i4>
      </vt:variant>
      <vt:variant>
        <vt:i4>14762</vt:i4>
      </vt:variant>
      <vt:variant>
        <vt:i4>0</vt:i4>
      </vt:variant>
      <vt:variant>
        <vt:i4>5</vt:i4>
      </vt:variant>
      <vt:variant>
        <vt:lpwstr>http://www.ncbi.nlm.nih.gov/pubmed/23331950</vt:lpwstr>
      </vt:variant>
      <vt:variant>
        <vt:lpwstr/>
      </vt:variant>
      <vt:variant>
        <vt:i4>3276836</vt:i4>
      </vt:variant>
      <vt:variant>
        <vt:i4>14759</vt:i4>
      </vt:variant>
      <vt:variant>
        <vt:i4>0</vt:i4>
      </vt:variant>
      <vt:variant>
        <vt:i4>5</vt:i4>
      </vt:variant>
      <vt:variant>
        <vt:lpwstr>http://www.ncbi.nlm.nih.gov/pubmed/17610454</vt:lpwstr>
      </vt:variant>
      <vt:variant>
        <vt:lpwstr/>
      </vt:variant>
      <vt:variant>
        <vt:i4>3670061</vt:i4>
      </vt:variant>
      <vt:variant>
        <vt:i4>14756</vt:i4>
      </vt:variant>
      <vt:variant>
        <vt:i4>0</vt:i4>
      </vt:variant>
      <vt:variant>
        <vt:i4>5</vt:i4>
      </vt:variant>
      <vt:variant>
        <vt:lpwstr>http://www.ncbi.nlm.nih.gov/pubmed/17957979</vt:lpwstr>
      </vt:variant>
      <vt:variant>
        <vt:lpwstr/>
      </vt:variant>
      <vt:variant>
        <vt:i4>3342374</vt:i4>
      </vt:variant>
      <vt:variant>
        <vt:i4>14753</vt:i4>
      </vt:variant>
      <vt:variant>
        <vt:i4>0</vt:i4>
      </vt:variant>
      <vt:variant>
        <vt:i4>5</vt:i4>
      </vt:variant>
      <vt:variant>
        <vt:lpwstr>http://www.ncbi.nlm.nih.gov/pubmed/17577004</vt:lpwstr>
      </vt:variant>
      <vt:variant>
        <vt:lpwstr/>
      </vt:variant>
      <vt:variant>
        <vt:i4>3473454</vt:i4>
      </vt:variant>
      <vt:variant>
        <vt:i4>14750</vt:i4>
      </vt:variant>
      <vt:variant>
        <vt:i4>0</vt:i4>
      </vt:variant>
      <vt:variant>
        <vt:i4>5</vt:i4>
      </vt:variant>
      <vt:variant>
        <vt:lpwstr>http://www.ncbi.nlm.nih.gov/pubmed/19479696</vt:lpwstr>
      </vt:variant>
      <vt:variant>
        <vt:lpwstr/>
      </vt:variant>
      <vt:variant>
        <vt:i4>3866662</vt:i4>
      </vt:variant>
      <vt:variant>
        <vt:i4>14747</vt:i4>
      </vt:variant>
      <vt:variant>
        <vt:i4>0</vt:i4>
      </vt:variant>
      <vt:variant>
        <vt:i4>5</vt:i4>
      </vt:variant>
      <vt:variant>
        <vt:lpwstr>http://www.ncbi.nlm.nih.gov/pubmed/19301989</vt:lpwstr>
      </vt:variant>
      <vt:variant>
        <vt:lpwstr/>
      </vt:variant>
      <vt:variant>
        <vt:i4>3145770</vt:i4>
      </vt:variant>
      <vt:variant>
        <vt:i4>14744</vt:i4>
      </vt:variant>
      <vt:variant>
        <vt:i4>0</vt:i4>
      </vt:variant>
      <vt:variant>
        <vt:i4>5</vt:i4>
      </vt:variant>
      <vt:variant>
        <vt:lpwstr>http://www.ncbi.nlm.nih.gov/pubmed/11790467</vt:lpwstr>
      </vt:variant>
      <vt:variant>
        <vt:lpwstr/>
      </vt:variant>
      <vt:variant>
        <vt:i4>3604515</vt:i4>
      </vt:variant>
      <vt:variant>
        <vt:i4>14741</vt:i4>
      </vt:variant>
      <vt:variant>
        <vt:i4>0</vt:i4>
      </vt:variant>
      <vt:variant>
        <vt:i4>5</vt:i4>
      </vt:variant>
      <vt:variant>
        <vt:lpwstr>http://www.ncbi.nlm.nih.gov/pubmed/1637346</vt:lpwstr>
      </vt:variant>
      <vt:variant>
        <vt:lpwstr/>
      </vt:variant>
      <vt:variant>
        <vt:i4>4063278</vt:i4>
      </vt:variant>
      <vt:variant>
        <vt:i4>14738</vt:i4>
      </vt:variant>
      <vt:variant>
        <vt:i4>0</vt:i4>
      </vt:variant>
      <vt:variant>
        <vt:i4>5</vt:i4>
      </vt:variant>
      <vt:variant>
        <vt:lpwstr>http://www.ncbi.nlm.nih.gov/pubmed/17285783</vt:lpwstr>
      </vt:variant>
      <vt:variant>
        <vt:lpwstr/>
      </vt:variant>
      <vt:variant>
        <vt:i4>3670052</vt:i4>
      </vt:variant>
      <vt:variant>
        <vt:i4>14735</vt:i4>
      </vt:variant>
      <vt:variant>
        <vt:i4>0</vt:i4>
      </vt:variant>
      <vt:variant>
        <vt:i4>5</vt:i4>
      </vt:variant>
      <vt:variant>
        <vt:lpwstr>http://www.ncbi.nlm.nih.gov/pubmed/11869581</vt:lpwstr>
      </vt:variant>
      <vt:variant>
        <vt:lpwstr/>
      </vt:variant>
      <vt:variant>
        <vt:i4>3211300</vt:i4>
      </vt:variant>
      <vt:variant>
        <vt:i4>14732</vt:i4>
      </vt:variant>
      <vt:variant>
        <vt:i4>0</vt:i4>
      </vt:variant>
      <vt:variant>
        <vt:i4>5</vt:i4>
      </vt:variant>
      <vt:variant>
        <vt:lpwstr>http://www.ncbi.nlm.nih.gov/pubmed/18294367</vt:lpwstr>
      </vt:variant>
      <vt:variant>
        <vt:lpwstr/>
      </vt:variant>
      <vt:variant>
        <vt:i4>3997749</vt:i4>
      </vt:variant>
      <vt:variant>
        <vt:i4>14729</vt:i4>
      </vt:variant>
      <vt:variant>
        <vt:i4>0</vt:i4>
      </vt:variant>
      <vt:variant>
        <vt:i4>5</vt:i4>
      </vt:variant>
      <vt:variant>
        <vt:lpwstr>http://arthritis-research.com/content/10/1/R22</vt:lpwstr>
      </vt:variant>
      <vt:variant>
        <vt:lpwstr/>
      </vt:variant>
      <vt:variant>
        <vt:i4>3342374</vt:i4>
      </vt:variant>
      <vt:variant>
        <vt:i4>14726</vt:i4>
      </vt:variant>
      <vt:variant>
        <vt:i4>0</vt:i4>
      </vt:variant>
      <vt:variant>
        <vt:i4>5</vt:i4>
      </vt:variant>
      <vt:variant>
        <vt:lpwstr>http://www.ncbi.nlm.nih.gov/pubmed/8818309</vt:lpwstr>
      </vt:variant>
      <vt:variant>
        <vt:lpwstr/>
      </vt:variant>
      <vt:variant>
        <vt:i4>3407906</vt:i4>
      </vt:variant>
      <vt:variant>
        <vt:i4>14723</vt:i4>
      </vt:variant>
      <vt:variant>
        <vt:i4>0</vt:i4>
      </vt:variant>
      <vt:variant>
        <vt:i4>5</vt:i4>
      </vt:variant>
      <vt:variant>
        <vt:lpwstr>http://www.ncbi.nlm.nih.gov/pubmed/16271565</vt:lpwstr>
      </vt:variant>
      <vt:variant>
        <vt:lpwstr/>
      </vt:variant>
      <vt:variant>
        <vt:i4>3604514</vt:i4>
      </vt:variant>
      <vt:variant>
        <vt:i4>14720</vt:i4>
      </vt:variant>
      <vt:variant>
        <vt:i4>0</vt:i4>
      </vt:variant>
      <vt:variant>
        <vt:i4>5</vt:i4>
      </vt:variant>
      <vt:variant>
        <vt:lpwstr>http://www.ncbi.nlm.nih.gov/pubmed/15555463</vt:lpwstr>
      </vt:variant>
      <vt:variant>
        <vt:lpwstr/>
      </vt:variant>
      <vt:variant>
        <vt:i4>3473440</vt:i4>
      </vt:variant>
      <vt:variant>
        <vt:i4>14717</vt:i4>
      </vt:variant>
      <vt:variant>
        <vt:i4>0</vt:i4>
      </vt:variant>
      <vt:variant>
        <vt:i4>5</vt:i4>
      </vt:variant>
      <vt:variant>
        <vt:lpwstr>http://www.ncbi.nlm.nih.gov/pubmed/15644763</vt:lpwstr>
      </vt:variant>
      <vt:variant>
        <vt:lpwstr/>
      </vt:variant>
      <vt:variant>
        <vt:i4>3211311</vt:i4>
      </vt:variant>
      <vt:variant>
        <vt:i4>14714</vt:i4>
      </vt:variant>
      <vt:variant>
        <vt:i4>0</vt:i4>
      </vt:variant>
      <vt:variant>
        <vt:i4>5</vt:i4>
      </vt:variant>
      <vt:variant>
        <vt:lpwstr>http://www.ncbi.nlm.nih.gov/pubmed/18801190</vt:lpwstr>
      </vt:variant>
      <vt:variant>
        <vt:lpwstr/>
      </vt:variant>
      <vt:variant>
        <vt:i4>3735599</vt:i4>
      </vt:variant>
      <vt:variant>
        <vt:i4>14711</vt:i4>
      </vt:variant>
      <vt:variant>
        <vt:i4>0</vt:i4>
      </vt:variant>
      <vt:variant>
        <vt:i4>5</vt:i4>
      </vt:variant>
      <vt:variant>
        <vt:lpwstr>http://www.ncbi.nlm.nih.gov/pubmed/23439964</vt:lpwstr>
      </vt:variant>
      <vt:variant>
        <vt:lpwstr/>
      </vt:variant>
      <vt:variant>
        <vt:i4>3866663</vt:i4>
      </vt:variant>
      <vt:variant>
        <vt:i4>14708</vt:i4>
      </vt:variant>
      <vt:variant>
        <vt:i4>0</vt:i4>
      </vt:variant>
      <vt:variant>
        <vt:i4>5</vt:i4>
      </vt:variant>
      <vt:variant>
        <vt:lpwstr>http://www.ncbi.nlm.nih.gov/pubmed/15509460</vt:lpwstr>
      </vt:variant>
      <vt:variant>
        <vt:lpwstr/>
      </vt:variant>
      <vt:variant>
        <vt:i4>3145767</vt:i4>
      </vt:variant>
      <vt:variant>
        <vt:i4>14705</vt:i4>
      </vt:variant>
      <vt:variant>
        <vt:i4>0</vt:i4>
      </vt:variant>
      <vt:variant>
        <vt:i4>5</vt:i4>
      </vt:variant>
      <vt:variant>
        <vt:lpwstr>http://www.ncbi.nlm.nih.gov/pubmed/14750063</vt:lpwstr>
      </vt:variant>
      <vt:variant>
        <vt:lpwstr/>
      </vt:variant>
      <vt:variant>
        <vt:i4>3342373</vt:i4>
      </vt:variant>
      <vt:variant>
        <vt:i4>14702</vt:i4>
      </vt:variant>
      <vt:variant>
        <vt:i4>0</vt:i4>
      </vt:variant>
      <vt:variant>
        <vt:i4>5</vt:i4>
      </vt:variant>
      <vt:variant>
        <vt:lpwstr>http://www.ncbi.nlm.nih.gov/pubmed/16202527</vt:lpwstr>
      </vt:variant>
      <vt:variant>
        <vt:lpwstr/>
      </vt:variant>
      <vt:variant>
        <vt:i4>3538979</vt:i4>
      </vt:variant>
      <vt:variant>
        <vt:i4>14699</vt:i4>
      </vt:variant>
      <vt:variant>
        <vt:i4>0</vt:i4>
      </vt:variant>
      <vt:variant>
        <vt:i4>5</vt:i4>
      </vt:variant>
      <vt:variant>
        <vt:lpwstr>http://www.ncbi.nlm.nih.gov/pubmed/9085304</vt:lpwstr>
      </vt:variant>
      <vt:variant>
        <vt:lpwstr/>
      </vt:variant>
      <vt:variant>
        <vt:i4>3276835</vt:i4>
      </vt:variant>
      <vt:variant>
        <vt:i4>14696</vt:i4>
      </vt:variant>
      <vt:variant>
        <vt:i4>0</vt:i4>
      </vt:variant>
      <vt:variant>
        <vt:i4>5</vt:i4>
      </vt:variant>
      <vt:variant>
        <vt:lpwstr>http://www.ncbi.nlm.nih.gov/pubmed/17126045</vt:lpwstr>
      </vt:variant>
      <vt:variant>
        <vt:lpwstr/>
      </vt:variant>
      <vt:variant>
        <vt:i4>3932200</vt:i4>
      </vt:variant>
      <vt:variant>
        <vt:i4>14693</vt:i4>
      </vt:variant>
      <vt:variant>
        <vt:i4>0</vt:i4>
      </vt:variant>
      <vt:variant>
        <vt:i4>5</vt:i4>
      </vt:variant>
      <vt:variant>
        <vt:lpwstr>http://www.ncbi.nlm.nih.gov/pubmed/17602996</vt:lpwstr>
      </vt:variant>
      <vt:variant>
        <vt:lpwstr/>
      </vt:variant>
      <vt:variant>
        <vt:i4>3473446</vt:i4>
      </vt:variant>
      <vt:variant>
        <vt:i4>14690</vt:i4>
      </vt:variant>
      <vt:variant>
        <vt:i4>0</vt:i4>
      </vt:variant>
      <vt:variant>
        <vt:i4>5</vt:i4>
      </vt:variant>
      <vt:variant>
        <vt:lpwstr>http://www.ncbi.nlm.nih.gov/pubmed/15547167</vt:lpwstr>
      </vt:variant>
      <vt:variant>
        <vt:lpwstr/>
      </vt:variant>
      <vt:variant>
        <vt:i4>3211309</vt:i4>
      </vt:variant>
      <vt:variant>
        <vt:i4>14687</vt:i4>
      </vt:variant>
      <vt:variant>
        <vt:i4>0</vt:i4>
      </vt:variant>
      <vt:variant>
        <vt:i4>5</vt:i4>
      </vt:variant>
      <vt:variant>
        <vt:lpwstr>http://www.ncbi.nlm.nih.gov/pubmed/17343806</vt:lpwstr>
      </vt:variant>
      <vt:variant>
        <vt:lpwstr/>
      </vt:variant>
      <vt:variant>
        <vt:i4>4980809</vt:i4>
      </vt:variant>
      <vt:variant>
        <vt:i4>14684</vt:i4>
      </vt:variant>
      <vt:variant>
        <vt:i4>0</vt:i4>
      </vt:variant>
      <vt:variant>
        <vt:i4>5</vt:i4>
      </vt:variant>
      <vt:variant>
        <vt:lpwstr>http://www.rcplondon.ac.uk/sites/default/files/documents/complex-regional-pain-full-guideline.pdf</vt:lpwstr>
      </vt:variant>
      <vt:variant>
        <vt:lpwstr/>
      </vt:variant>
      <vt:variant>
        <vt:i4>4128807</vt:i4>
      </vt:variant>
      <vt:variant>
        <vt:i4>14681</vt:i4>
      </vt:variant>
      <vt:variant>
        <vt:i4>0</vt:i4>
      </vt:variant>
      <vt:variant>
        <vt:i4>5</vt:i4>
      </vt:variant>
      <vt:variant>
        <vt:lpwstr>http://www.ncbi.nlm.nih.gov/pubmed/16750294</vt:lpwstr>
      </vt:variant>
      <vt:variant>
        <vt:lpwstr/>
      </vt:variant>
      <vt:variant>
        <vt:i4>3735589</vt:i4>
      </vt:variant>
      <vt:variant>
        <vt:i4>14678</vt:i4>
      </vt:variant>
      <vt:variant>
        <vt:i4>0</vt:i4>
      </vt:variant>
      <vt:variant>
        <vt:i4>5</vt:i4>
      </vt:variant>
      <vt:variant>
        <vt:lpwstr>http://www.ncbi.nlm.nih.gov/pubmed/16041194</vt:lpwstr>
      </vt:variant>
      <vt:variant>
        <vt:lpwstr/>
      </vt:variant>
      <vt:variant>
        <vt:i4>3538982</vt:i4>
      </vt:variant>
      <vt:variant>
        <vt:i4>14675</vt:i4>
      </vt:variant>
      <vt:variant>
        <vt:i4>0</vt:i4>
      </vt:variant>
      <vt:variant>
        <vt:i4>5</vt:i4>
      </vt:variant>
      <vt:variant>
        <vt:lpwstr>http://www.ncbi.nlm.nih.gov/pubmed/17355217</vt:lpwstr>
      </vt:variant>
      <vt:variant>
        <vt:lpwstr/>
      </vt:variant>
      <vt:variant>
        <vt:i4>3997740</vt:i4>
      </vt:variant>
      <vt:variant>
        <vt:i4>14672</vt:i4>
      </vt:variant>
      <vt:variant>
        <vt:i4>0</vt:i4>
      </vt:variant>
      <vt:variant>
        <vt:i4>5</vt:i4>
      </vt:variant>
      <vt:variant>
        <vt:lpwstr>http://www.ncbi.nlm.nih.gov/pubmed/16880448</vt:lpwstr>
      </vt:variant>
      <vt:variant>
        <vt:lpwstr/>
      </vt:variant>
      <vt:variant>
        <vt:i4>3866657</vt:i4>
      </vt:variant>
      <vt:variant>
        <vt:i4>14669</vt:i4>
      </vt:variant>
      <vt:variant>
        <vt:i4>0</vt:i4>
      </vt:variant>
      <vt:variant>
        <vt:i4>5</vt:i4>
      </vt:variant>
      <vt:variant>
        <vt:lpwstr>http://www.ncbi.nlm.nih.gov/pubmed/15800228</vt:lpwstr>
      </vt:variant>
      <vt:variant>
        <vt:lpwstr/>
      </vt:variant>
      <vt:variant>
        <vt:i4>3211302</vt:i4>
      </vt:variant>
      <vt:variant>
        <vt:i4>14666</vt:i4>
      </vt:variant>
      <vt:variant>
        <vt:i4>0</vt:i4>
      </vt:variant>
      <vt:variant>
        <vt:i4>5</vt:i4>
      </vt:variant>
      <vt:variant>
        <vt:lpwstr>http://www.ncbi.nlm.nih.gov/pubmed/15337640</vt:lpwstr>
      </vt:variant>
      <vt:variant>
        <vt:lpwstr/>
      </vt:variant>
      <vt:variant>
        <vt:i4>3473447</vt:i4>
      </vt:variant>
      <vt:variant>
        <vt:i4>14663</vt:i4>
      </vt:variant>
      <vt:variant>
        <vt:i4>0</vt:i4>
      </vt:variant>
      <vt:variant>
        <vt:i4>5</vt:i4>
      </vt:variant>
      <vt:variant>
        <vt:lpwstr>http://www.ncbi.nlm.nih.gov/pubmed/14558098</vt:lpwstr>
      </vt:variant>
      <vt:variant>
        <vt:lpwstr/>
      </vt:variant>
      <vt:variant>
        <vt:i4>3145761</vt:i4>
      </vt:variant>
      <vt:variant>
        <vt:i4>14660</vt:i4>
      </vt:variant>
      <vt:variant>
        <vt:i4>0</vt:i4>
      </vt:variant>
      <vt:variant>
        <vt:i4>5</vt:i4>
      </vt:variant>
      <vt:variant>
        <vt:lpwstr>http://www.ncbi.nlm.nih.gov/pubmed/10071003</vt:lpwstr>
      </vt:variant>
      <vt:variant>
        <vt:lpwstr/>
      </vt:variant>
      <vt:variant>
        <vt:i4>3997733</vt:i4>
      </vt:variant>
      <vt:variant>
        <vt:i4>14657</vt:i4>
      </vt:variant>
      <vt:variant>
        <vt:i4>0</vt:i4>
      </vt:variant>
      <vt:variant>
        <vt:i4>5</vt:i4>
      </vt:variant>
      <vt:variant>
        <vt:lpwstr>http://www.ncbi.nlm.nih.gov/pubmed/16752090</vt:lpwstr>
      </vt:variant>
      <vt:variant>
        <vt:lpwstr/>
      </vt:variant>
      <vt:variant>
        <vt:i4>3407909</vt:i4>
      </vt:variant>
      <vt:variant>
        <vt:i4>14654</vt:i4>
      </vt:variant>
      <vt:variant>
        <vt:i4>0</vt:i4>
      </vt:variant>
      <vt:variant>
        <vt:i4>5</vt:i4>
      </vt:variant>
      <vt:variant>
        <vt:lpwstr>http://www.ncbi.nlm.nih.gov/pubmed/12611026</vt:lpwstr>
      </vt:variant>
      <vt:variant>
        <vt:lpwstr/>
      </vt:variant>
      <vt:variant>
        <vt:i4>3211297</vt:i4>
      </vt:variant>
      <vt:variant>
        <vt:i4>14651</vt:i4>
      </vt:variant>
      <vt:variant>
        <vt:i4>0</vt:i4>
      </vt:variant>
      <vt:variant>
        <vt:i4>5</vt:i4>
      </vt:variant>
      <vt:variant>
        <vt:lpwstr>http://www.ncbi.nlm.nih.gov/pubmed/15156778</vt:lpwstr>
      </vt:variant>
      <vt:variant>
        <vt:lpwstr/>
      </vt:variant>
      <vt:variant>
        <vt:i4>3801121</vt:i4>
      </vt:variant>
      <vt:variant>
        <vt:i4>14648</vt:i4>
      </vt:variant>
      <vt:variant>
        <vt:i4>0</vt:i4>
      </vt:variant>
      <vt:variant>
        <vt:i4>5</vt:i4>
      </vt:variant>
      <vt:variant>
        <vt:lpwstr>http://www.ncbi.nlm.nih.gov/pubmed/15844676</vt:lpwstr>
      </vt:variant>
      <vt:variant>
        <vt:lpwstr/>
      </vt:variant>
      <vt:variant>
        <vt:i4>6946856</vt:i4>
      </vt:variant>
      <vt:variant>
        <vt:i4>14645</vt:i4>
      </vt:variant>
      <vt:variant>
        <vt:i4>0</vt:i4>
      </vt:variant>
      <vt:variant>
        <vt:i4>5</vt:i4>
      </vt:variant>
      <vt:variant>
        <vt:lpwstr>E:\AppData\Local\Microsoft\Windows\Temporary Internet Files\Content.Outlook\AppData\Local\Microsoft\Windows\Temporary Internet Files\Content.Outlook\50QE161U\Pain_files\gatchel.htm</vt:lpwstr>
      </vt:variant>
      <vt:variant>
        <vt:lpwstr/>
      </vt:variant>
      <vt:variant>
        <vt:i4>3473451</vt:i4>
      </vt:variant>
      <vt:variant>
        <vt:i4>14642</vt:i4>
      </vt:variant>
      <vt:variant>
        <vt:i4>0</vt:i4>
      </vt:variant>
      <vt:variant>
        <vt:i4>5</vt:i4>
      </vt:variant>
      <vt:variant>
        <vt:lpwstr>http://www.ncbi.nlm.nih.gov/pubmed/7907735</vt:lpwstr>
      </vt:variant>
      <vt:variant>
        <vt:lpwstr/>
      </vt:variant>
      <vt:variant>
        <vt:i4>3604522</vt:i4>
      </vt:variant>
      <vt:variant>
        <vt:i4>14639</vt:i4>
      </vt:variant>
      <vt:variant>
        <vt:i4>0</vt:i4>
      </vt:variant>
      <vt:variant>
        <vt:i4>5</vt:i4>
      </vt:variant>
      <vt:variant>
        <vt:lpwstr>http://www.ncbi.nlm.nih.gov/pubmed/15101968</vt:lpwstr>
      </vt:variant>
      <vt:variant>
        <vt:lpwstr/>
      </vt:variant>
      <vt:variant>
        <vt:i4>3276843</vt:i4>
      </vt:variant>
      <vt:variant>
        <vt:i4>14636</vt:i4>
      </vt:variant>
      <vt:variant>
        <vt:i4>0</vt:i4>
      </vt:variant>
      <vt:variant>
        <vt:i4>5</vt:i4>
      </vt:variant>
      <vt:variant>
        <vt:lpwstr>http://www.ncbi.nlm.nih.gov/pubmed/2530487</vt:lpwstr>
      </vt:variant>
      <vt:variant>
        <vt:lpwstr/>
      </vt:variant>
      <vt:variant>
        <vt:i4>852032</vt:i4>
      </vt:variant>
      <vt:variant>
        <vt:i4>14633</vt:i4>
      </vt:variant>
      <vt:variant>
        <vt:i4>0</vt:i4>
      </vt:variant>
      <vt:variant>
        <vt:i4>5</vt:i4>
      </vt:variant>
      <vt:variant>
        <vt:lpwstr>E:\AppData\Local\Microsoft\Windows\Temporary Internet Files\Content.Outlook\AppData\Local\Microsoft\Windows\Temporary Internet Files\Content.Outlook\50QE161U\Pain_files\gallagher.htm</vt:lpwstr>
      </vt:variant>
      <vt:variant>
        <vt:lpwstr/>
      </vt:variant>
      <vt:variant>
        <vt:i4>3342370</vt:i4>
      </vt:variant>
      <vt:variant>
        <vt:i4>14630</vt:i4>
      </vt:variant>
      <vt:variant>
        <vt:i4>0</vt:i4>
      </vt:variant>
      <vt:variant>
        <vt:i4>5</vt:i4>
      </vt:variant>
      <vt:variant>
        <vt:lpwstr>http://www.ncbi.nlm.nih.gov/pubmed/15563741</vt:lpwstr>
      </vt:variant>
      <vt:variant>
        <vt:lpwstr/>
      </vt:variant>
      <vt:variant>
        <vt:i4>3801127</vt:i4>
      </vt:variant>
      <vt:variant>
        <vt:i4>14627</vt:i4>
      </vt:variant>
      <vt:variant>
        <vt:i4>0</vt:i4>
      </vt:variant>
      <vt:variant>
        <vt:i4>5</vt:i4>
      </vt:variant>
      <vt:variant>
        <vt:lpwstr>http://www.ncbi.nlm.nih.gov/pubmed/9535313</vt:lpwstr>
      </vt:variant>
      <vt:variant>
        <vt:lpwstr/>
      </vt:variant>
      <vt:variant>
        <vt:i4>3997734</vt:i4>
      </vt:variant>
      <vt:variant>
        <vt:i4>14624</vt:i4>
      </vt:variant>
      <vt:variant>
        <vt:i4>0</vt:i4>
      </vt:variant>
      <vt:variant>
        <vt:i4>5</vt:i4>
      </vt:variant>
      <vt:variant>
        <vt:lpwstr>http://www.ncbi.nlm.nih.gov/pubmed/15055095</vt:lpwstr>
      </vt:variant>
      <vt:variant>
        <vt:lpwstr/>
      </vt:variant>
      <vt:variant>
        <vt:i4>3145761</vt:i4>
      </vt:variant>
      <vt:variant>
        <vt:i4>14621</vt:i4>
      </vt:variant>
      <vt:variant>
        <vt:i4>0</vt:i4>
      </vt:variant>
      <vt:variant>
        <vt:i4>5</vt:i4>
      </vt:variant>
      <vt:variant>
        <vt:lpwstr>http://www.ncbi.nlm.nih.gov/pubmed/17253502</vt:lpwstr>
      </vt:variant>
      <vt:variant>
        <vt:lpwstr/>
      </vt:variant>
      <vt:variant>
        <vt:i4>3407915</vt:i4>
      </vt:variant>
      <vt:variant>
        <vt:i4>14618</vt:i4>
      </vt:variant>
      <vt:variant>
        <vt:i4>0</vt:i4>
      </vt:variant>
      <vt:variant>
        <vt:i4>5</vt:i4>
      </vt:variant>
      <vt:variant>
        <vt:lpwstr>http://www.ncbi.nlm.nih.gov/pubmed/17521812</vt:lpwstr>
      </vt:variant>
      <vt:variant>
        <vt:lpwstr/>
      </vt:variant>
      <vt:variant>
        <vt:i4>3473446</vt:i4>
      </vt:variant>
      <vt:variant>
        <vt:i4>14615</vt:i4>
      </vt:variant>
      <vt:variant>
        <vt:i4>0</vt:i4>
      </vt:variant>
      <vt:variant>
        <vt:i4>5</vt:i4>
      </vt:variant>
      <vt:variant>
        <vt:lpwstr>http://www.ncbi.nlm.nih.gov/pubmed/14622605</vt:lpwstr>
      </vt:variant>
      <vt:variant>
        <vt:lpwstr/>
      </vt:variant>
      <vt:variant>
        <vt:i4>3473446</vt:i4>
      </vt:variant>
      <vt:variant>
        <vt:i4>14612</vt:i4>
      </vt:variant>
      <vt:variant>
        <vt:i4>0</vt:i4>
      </vt:variant>
      <vt:variant>
        <vt:i4>5</vt:i4>
      </vt:variant>
      <vt:variant>
        <vt:lpwstr>http://www.ncbi.nlm.nih.gov/pubmed/9583763</vt:lpwstr>
      </vt:variant>
      <vt:variant>
        <vt:lpwstr/>
      </vt:variant>
      <vt:variant>
        <vt:i4>3145761</vt:i4>
      </vt:variant>
      <vt:variant>
        <vt:i4>14609</vt:i4>
      </vt:variant>
      <vt:variant>
        <vt:i4>0</vt:i4>
      </vt:variant>
      <vt:variant>
        <vt:i4>5</vt:i4>
      </vt:variant>
      <vt:variant>
        <vt:lpwstr>http://www.ncbi.nlm.nih.gov/pubmed/17890995</vt:lpwstr>
      </vt:variant>
      <vt:variant>
        <vt:lpwstr/>
      </vt:variant>
      <vt:variant>
        <vt:i4>4849694</vt:i4>
      </vt:variant>
      <vt:variant>
        <vt:i4>14606</vt:i4>
      </vt:variant>
      <vt:variant>
        <vt:i4>0</vt:i4>
      </vt:variant>
      <vt:variant>
        <vt:i4>5</vt:i4>
      </vt:variant>
      <vt:variant>
        <vt:lpwstr>http://focus.psychiatryonline.org/doi/abs/10.1176/appi.focus.11.3.315</vt:lpwstr>
      </vt:variant>
      <vt:variant>
        <vt:lpwstr/>
      </vt:variant>
      <vt:variant>
        <vt:i4>4128810</vt:i4>
      </vt:variant>
      <vt:variant>
        <vt:i4>14603</vt:i4>
      </vt:variant>
      <vt:variant>
        <vt:i4>0</vt:i4>
      </vt:variant>
      <vt:variant>
        <vt:i4>5</vt:i4>
      </vt:variant>
      <vt:variant>
        <vt:lpwstr>http://www.ncbi.nlm.nih.gov/pubmed/3329967</vt:lpwstr>
      </vt:variant>
      <vt:variant>
        <vt:lpwstr/>
      </vt:variant>
      <vt:variant>
        <vt:i4>3407919</vt:i4>
      </vt:variant>
      <vt:variant>
        <vt:i4>14600</vt:i4>
      </vt:variant>
      <vt:variant>
        <vt:i4>0</vt:i4>
      </vt:variant>
      <vt:variant>
        <vt:i4>5</vt:i4>
      </vt:variant>
      <vt:variant>
        <vt:lpwstr>http://www.ncbi.nlm.nih.gov/pubmed/18356405</vt:lpwstr>
      </vt:variant>
      <vt:variant>
        <vt:lpwstr/>
      </vt:variant>
      <vt:variant>
        <vt:i4>3407918</vt:i4>
      </vt:variant>
      <vt:variant>
        <vt:i4>14597</vt:i4>
      </vt:variant>
      <vt:variant>
        <vt:i4>0</vt:i4>
      </vt:variant>
      <vt:variant>
        <vt:i4>5</vt:i4>
      </vt:variant>
      <vt:variant>
        <vt:lpwstr>http://www.ncbi.nlm.nih.gov/pubmed/18331375</vt:lpwstr>
      </vt:variant>
      <vt:variant>
        <vt:lpwstr/>
      </vt:variant>
      <vt:variant>
        <vt:i4>3997733</vt:i4>
      </vt:variant>
      <vt:variant>
        <vt:i4>14594</vt:i4>
      </vt:variant>
      <vt:variant>
        <vt:i4>0</vt:i4>
      </vt:variant>
      <vt:variant>
        <vt:i4>5</vt:i4>
      </vt:variant>
      <vt:variant>
        <vt:lpwstr>http://www.ncbi.nlm.nih.gov/pubmed/12799822</vt:lpwstr>
      </vt:variant>
      <vt:variant>
        <vt:lpwstr/>
      </vt:variant>
      <vt:variant>
        <vt:i4>4128803</vt:i4>
      </vt:variant>
      <vt:variant>
        <vt:i4>14591</vt:i4>
      </vt:variant>
      <vt:variant>
        <vt:i4>0</vt:i4>
      </vt:variant>
      <vt:variant>
        <vt:i4>5</vt:i4>
      </vt:variant>
      <vt:variant>
        <vt:lpwstr>http://www.ncbi.nlm.nih.gov/pubmed/11900471</vt:lpwstr>
      </vt:variant>
      <vt:variant>
        <vt:lpwstr/>
      </vt:variant>
      <vt:variant>
        <vt:i4>3604517</vt:i4>
      </vt:variant>
      <vt:variant>
        <vt:i4>14588</vt:i4>
      </vt:variant>
      <vt:variant>
        <vt:i4>0</vt:i4>
      </vt:variant>
      <vt:variant>
        <vt:i4>5</vt:i4>
      </vt:variant>
      <vt:variant>
        <vt:lpwstr>http://www.ncbi.nlm.nih.gov/pubmed/14742334</vt:lpwstr>
      </vt:variant>
      <vt:variant>
        <vt:lpwstr/>
      </vt:variant>
      <vt:variant>
        <vt:i4>3604512</vt:i4>
      </vt:variant>
      <vt:variant>
        <vt:i4>14585</vt:i4>
      </vt:variant>
      <vt:variant>
        <vt:i4>0</vt:i4>
      </vt:variant>
      <vt:variant>
        <vt:i4>5</vt:i4>
      </vt:variant>
      <vt:variant>
        <vt:lpwstr>http://www.ncbi.nlm.nih.gov/pubmed/17325302</vt:lpwstr>
      </vt:variant>
      <vt:variant>
        <vt:lpwstr/>
      </vt:variant>
      <vt:variant>
        <vt:i4>4063265</vt:i4>
      </vt:variant>
      <vt:variant>
        <vt:i4>14582</vt:i4>
      </vt:variant>
      <vt:variant>
        <vt:i4>0</vt:i4>
      </vt:variant>
      <vt:variant>
        <vt:i4>5</vt:i4>
      </vt:variant>
      <vt:variant>
        <vt:lpwstr>http://www.ncbi.nlm.nih.gov/pubmed/19788600</vt:lpwstr>
      </vt:variant>
      <vt:variant>
        <vt:lpwstr/>
      </vt:variant>
      <vt:variant>
        <vt:i4>3538979</vt:i4>
      </vt:variant>
      <vt:variant>
        <vt:i4>14579</vt:i4>
      </vt:variant>
      <vt:variant>
        <vt:i4>0</vt:i4>
      </vt:variant>
      <vt:variant>
        <vt:i4>5</vt:i4>
      </vt:variant>
      <vt:variant>
        <vt:lpwstr>http://www.ncbi.nlm.nih.gov/pubmed/8370861</vt:lpwstr>
      </vt:variant>
      <vt:variant>
        <vt:lpwstr/>
      </vt:variant>
      <vt:variant>
        <vt:i4>3211300</vt:i4>
      </vt:variant>
      <vt:variant>
        <vt:i4>14576</vt:i4>
      </vt:variant>
      <vt:variant>
        <vt:i4>0</vt:i4>
      </vt:variant>
      <vt:variant>
        <vt:i4>5</vt:i4>
      </vt:variant>
      <vt:variant>
        <vt:lpwstr>http://www.ncbi.nlm.nih.gov/pubmed/1535122</vt:lpwstr>
      </vt:variant>
      <vt:variant>
        <vt:lpwstr/>
      </vt:variant>
      <vt:variant>
        <vt:i4>3211300</vt:i4>
      </vt:variant>
      <vt:variant>
        <vt:i4>14573</vt:i4>
      </vt:variant>
      <vt:variant>
        <vt:i4>0</vt:i4>
      </vt:variant>
      <vt:variant>
        <vt:i4>5</vt:i4>
      </vt:variant>
      <vt:variant>
        <vt:lpwstr>http://www.ncbi.nlm.nih.gov/pubmed/16634726</vt:lpwstr>
      </vt:variant>
      <vt:variant>
        <vt:lpwstr/>
      </vt:variant>
      <vt:variant>
        <vt:i4>3604514</vt:i4>
      </vt:variant>
      <vt:variant>
        <vt:i4>14570</vt:i4>
      </vt:variant>
      <vt:variant>
        <vt:i4>0</vt:i4>
      </vt:variant>
      <vt:variant>
        <vt:i4>5</vt:i4>
      </vt:variant>
      <vt:variant>
        <vt:lpwstr>http://www.ncbi.nlm.nih.gov/pubmed/10949061</vt:lpwstr>
      </vt:variant>
      <vt:variant>
        <vt:lpwstr/>
      </vt:variant>
      <vt:variant>
        <vt:i4>3538986</vt:i4>
      </vt:variant>
      <vt:variant>
        <vt:i4>14567</vt:i4>
      </vt:variant>
      <vt:variant>
        <vt:i4>0</vt:i4>
      </vt:variant>
      <vt:variant>
        <vt:i4>5</vt:i4>
      </vt:variant>
      <vt:variant>
        <vt:lpwstr>http://www.ncbi.nlm.nih.gov/pubmed/3257494</vt:lpwstr>
      </vt:variant>
      <vt:variant>
        <vt:lpwstr/>
      </vt:variant>
      <vt:variant>
        <vt:i4>3473447</vt:i4>
      </vt:variant>
      <vt:variant>
        <vt:i4>14564</vt:i4>
      </vt:variant>
      <vt:variant>
        <vt:i4>0</vt:i4>
      </vt:variant>
      <vt:variant>
        <vt:i4>5</vt:i4>
      </vt:variant>
      <vt:variant>
        <vt:lpwstr>http://www.ncbi.nlm.nih.gov/pubmed/16213659</vt:lpwstr>
      </vt:variant>
      <vt:variant>
        <vt:lpwstr/>
      </vt:variant>
      <vt:variant>
        <vt:i4>2293856</vt:i4>
      </vt:variant>
      <vt:variant>
        <vt:i4>14561</vt:i4>
      </vt:variant>
      <vt:variant>
        <vt:i4>0</vt:i4>
      </vt:variant>
      <vt:variant>
        <vt:i4>5</vt:i4>
      </vt:variant>
      <vt:variant>
        <vt:lpwstr>http://www.cdc.gov/nchs/data/hestat/poisoning/poisoning.pdf</vt:lpwstr>
      </vt:variant>
      <vt:variant>
        <vt:lpwstr/>
      </vt:variant>
      <vt:variant>
        <vt:i4>3211300</vt:i4>
      </vt:variant>
      <vt:variant>
        <vt:i4>14558</vt:i4>
      </vt:variant>
      <vt:variant>
        <vt:i4>0</vt:i4>
      </vt:variant>
      <vt:variant>
        <vt:i4>5</vt:i4>
      </vt:variant>
      <vt:variant>
        <vt:lpwstr>http://www.ncbi.nlm.nih.gov/pubmed/16052120</vt:lpwstr>
      </vt:variant>
      <vt:variant>
        <vt:lpwstr/>
      </vt:variant>
      <vt:variant>
        <vt:i4>6750250</vt:i4>
      </vt:variant>
      <vt:variant>
        <vt:i4>14555</vt:i4>
      </vt:variant>
      <vt:variant>
        <vt:i4>0</vt:i4>
      </vt:variant>
      <vt:variant>
        <vt:i4>5</vt:i4>
      </vt:variant>
      <vt:variant>
        <vt:lpwstr>http://www.theacpa.org/documents/ACPA Chronic Pain Medications Supplement 2008.pdf</vt:lpwstr>
      </vt:variant>
      <vt:variant>
        <vt:lpwstr/>
      </vt:variant>
      <vt:variant>
        <vt:i4>4456473</vt:i4>
      </vt:variant>
      <vt:variant>
        <vt:i4>14552</vt:i4>
      </vt:variant>
      <vt:variant>
        <vt:i4>0</vt:i4>
      </vt:variant>
      <vt:variant>
        <vt:i4>5</vt:i4>
      </vt:variant>
      <vt:variant>
        <vt:lpwstr>E:\AppData\Local\Microsoft\Windows\Temporary Internet Files\Content.Outlook\AppData\Local\Microsoft\Windows\Temporary Internet Files\Content.Outlook\50QE161U\Pain_files\revised_pain_policy.pdf</vt:lpwstr>
      </vt:variant>
      <vt:variant>
        <vt:lpwstr/>
      </vt:variant>
      <vt:variant>
        <vt:i4>3342371</vt:i4>
      </vt:variant>
      <vt:variant>
        <vt:i4>14549</vt:i4>
      </vt:variant>
      <vt:variant>
        <vt:i4>0</vt:i4>
      </vt:variant>
      <vt:variant>
        <vt:i4>5</vt:i4>
      </vt:variant>
      <vt:variant>
        <vt:lpwstr>http://www.fda.gov/NewsEvents/Newsroom/PressAnnouncements/ucm229782.htm</vt:lpwstr>
      </vt:variant>
      <vt:variant>
        <vt:lpwstr/>
      </vt:variant>
      <vt:variant>
        <vt:i4>1835082</vt:i4>
      </vt:variant>
      <vt:variant>
        <vt:i4>14546</vt:i4>
      </vt:variant>
      <vt:variant>
        <vt:i4>0</vt:i4>
      </vt:variant>
      <vt:variant>
        <vt:i4>5</vt:i4>
      </vt:variant>
      <vt:variant>
        <vt:lpwstr>http://www.fda.gov/newsevents/newsroom/pressAnnouncements/2007/ucm108936.htm</vt:lpwstr>
      </vt:variant>
      <vt:variant>
        <vt:lpwstr/>
      </vt:variant>
      <vt:variant>
        <vt:i4>2818129</vt:i4>
      </vt:variant>
      <vt:variant>
        <vt:i4>14543</vt:i4>
      </vt:variant>
      <vt:variant>
        <vt:i4>0</vt:i4>
      </vt:variant>
      <vt:variant>
        <vt:i4>5</vt:i4>
      </vt:variant>
      <vt:variant>
        <vt:lpwstr>http://www.fda.gov/cder/aers/potential_signals/potential_signals_2008Q1.htm</vt:lpwstr>
      </vt:variant>
      <vt:variant>
        <vt:lpwstr/>
      </vt:variant>
      <vt:variant>
        <vt:i4>2752574</vt:i4>
      </vt:variant>
      <vt:variant>
        <vt:i4>14540</vt:i4>
      </vt:variant>
      <vt:variant>
        <vt:i4>0</vt:i4>
      </vt:variant>
      <vt:variant>
        <vt:i4>5</vt:i4>
      </vt:variant>
      <vt:variant>
        <vt:lpwstr>http://www.fda.gov/downloads/AdvisoryCommittees/CommitteesMeetingMaterials/Drugs/DrugSafetyandRiskManagementAdvisoryCommittee/UCM164898.pdf</vt:lpwstr>
      </vt:variant>
      <vt:variant>
        <vt:lpwstr/>
      </vt:variant>
      <vt:variant>
        <vt:i4>3670056</vt:i4>
      </vt:variant>
      <vt:variant>
        <vt:i4>14537</vt:i4>
      </vt:variant>
      <vt:variant>
        <vt:i4>0</vt:i4>
      </vt:variant>
      <vt:variant>
        <vt:i4>5</vt:i4>
      </vt:variant>
      <vt:variant>
        <vt:lpwstr>http://www.ncbi.nlm.nih.gov/pubmed/17199018</vt:lpwstr>
      </vt:variant>
      <vt:variant>
        <vt:lpwstr/>
      </vt:variant>
      <vt:variant>
        <vt:i4>3932196</vt:i4>
      </vt:variant>
      <vt:variant>
        <vt:i4>14534</vt:i4>
      </vt:variant>
      <vt:variant>
        <vt:i4>0</vt:i4>
      </vt:variant>
      <vt:variant>
        <vt:i4>5</vt:i4>
      </vt:variant>
      <vt:variant>
        <vt:lpwstr>http://www.ncbi.nlm.nih.gov/pubmed/17138642</vt:lpwstr>
      </vt:variant>
      <vt:variant>
        <vt:lpwstr/>
      </vt:variant>
      <vt:variant>
        <vt:i4>4128807</vt:i4>
      </vt:variant>
      <vt:variant>
        <vt:i4>14531</vt:i4>
      </vt:variant>
      <vt:variant>
        <vt:i4>0</vt:i4>
      </vt:variant>
      <vt:variant>
        <vt:i4>5</vt:i4>
      </vt:variant>
      <vt:variant>
        <vt:lpwstr>http://www.ncbi.nlm.nih.gov/pubmed/10678603</vt:lpwstr>
      </vt:variant>
      <vt:variant>
        <vt:lpwstr/>
      </vt:variant>
      <vt:variant>
        <vt:i4>3604512</vt:i4>
      </vt:variant>
      <vt:variant>
        <vt:i4>14528</vt:i4>
      </vt:variant>
      <vt:variant>
        <vt:i4>0</vt:i4>
      </vt:variant>
      <vt:variant>
        <vt:i4>5</vt:i4>
      </vt:variant>
      <vt:variant>
        <vt:lpwstr>http://www.ncbi.nlm.nih.gov/pubmed/16331341</vt:lpwstr>
      </vt:variant>
      <vt:variant>
        <vt:lpwstr/>
      </vt:variant>
      <vt:variant>
        <vt:i4>196686</vt:i4>
      </vt:variant>
      <vt:variant>
        <vt:i4>14525</vt:i4>
      </vt:variant>
      <vt:variant>
        <vt:i4>0</vt:i4>
      </vt:variant>
      <vt:variant>
        <vt:i4>5</vt:i4>
      </vt:variant>
      <vt:variant>
        <vt:lpwstr>http://www.ncbi.nlm.nih.gov/books/NBK2631/</vt:lpwstr>
      </vt:variant>
      <vt:variant>
        <vt:lpwstr>ch13.s2</vt:lpwstr>
      </vt:variant>
      <vt:variant>
        <vt:i4>3407905</vt:i4>
      </vt:variant>
      <vt:variant>
        <vt:i4>14522</vt:i4>
      </vt:variant>
      <vt:variant>
        <vt:i4>0</vt:i4>
      </vt:variant>
      <vt:variant>
        <vt:i4>5</vt:i4>
      </vt:variant>
      <vt:variant>
        <vt:lpwstr>http://www.ncbi.nlm.nih.gov/pubmed/17547471</vt:lpwstr>
      </vt:variant>
      <vt:variant>
        <vt:lpwstr/>
      </vt:variant>
      <vt:variant>
        <vt:i4>3604526</vt:i4>
      </vt:variant>
      <vt:variant>
        <vt:i4>14519</vt:i4>
      </vt:variant>
      <vt:variant>
        <vt:i4>0</vt:i4>
      </vt:variant>
      <vt:variant>
        <vt:i4>5</vt:i4>
      </vt:variant>
      <vt:variant>
        <vt:lpwstr>http://www.ncbi.nlm.nih.gov/pubmed/16175925</vt:lpwstr>
      </vt:variant>
      <vt:variant>
        <vt:lpwstr/>
      </vt:variant>
      <vt:variant>
        <vt:i4>3276837</vt:i4>
      </vt:variant>
      <vt:variant>
        <vt:i4>14516</vt:i4>
      </vt:variant>
      <vt:variant>
        <vt:i4>0</vt:i4>
      </vt:variant>
      <vt:variant>
        <vt:i4>5</vt:i4>
      </vt:variant>
      <vt:variant>
        <vt:lpwstr>http://www.ncbi.nlm.nih.gov/pubmed/11353735</vt:lpwstr>
      </vt:variant>
      <vt:variant>
        <vt:lpwstr/>
      </vt:variant>
      <vt:variant>
        <vt:i4>3932192</vt:i4>
      </vt:variant>
      <vt:variant>
        <vt:i4>14513</vt:i4>
      </vt:variant>
      <vt:variant>
        <vt:i4>0</vt:i4>
      </vt:variant>
      <vt:variant>
        <vt:i4>5</vt:i4>
      </vt:variant>
      <vt:variant>
        <vt:lpwstr>http://www.ncbi.nlm.nih.gov/pubmed/23748119</vt:lpwstr>
      </vt:variant>
      <vt:variant>
        <vt:lpwstr/>
      </vt:variant>
      <vt:variant>
        <vt:i4>3342382</vt:i4>
      </vt:variant>
      <vt:variant>
        <vt:i4>14510</vt:i4>
      </vt:variant>
      <vt:variant>
        <vt:i4>0</vt:i4>
      </vt:variant>
      <vt:variant>
        <vt:i4>5</vt:i4>
      </vt:variant>
      <vt:variant>
        <vt:lpwstr>http://www.ncbi.nlm.nih.gov/pubmed/20194146</vt:lpwstr>
      </vt:variant>
      <vt:variant>
        <vt:lpwstr/>
      </vt:variant>
      <vt:variant>
        <vt:i4>4128804</vt:i4>
      </vt:variant>
      <vt:variant>
        <vt:i4>14507</vt:i4>
      </vt:variant>
      <vt:variant>
        <vt:i4>0</vt:i4>
      </vt:variant>
      <vt:variant>
        <vt:i4>5</vt:i4>
      </vt:variant>
      <vt:variant>
        <vt:lpwstr>http://www.ncbi.nlm.nih.gov/pubmed/17920770</vt:lpwstr>
      </vt:variant>
      <vt:variant>
        <vt:lpwstr/>
      </vt:variant>
      <vt:variant>
        <vt:i4>3538983</vt:i4>
      </vt:variant>
      <vt:variant>
        <vt:i4>14504</vt:i4>
      </vt:variant>
      <vt:variant>
        <vt:i4>0</vt:i4>
      </vt:variant>
      <vt:variant>
        <vt:i4>5</vt:i4>
      </vt:variant>
      <vt:variant>
        <vt:lpwstr>http://www.ncbi.nlm.nih.gov/pubmed/14623723</vt:lpwstr>
      </vt:variant>
      <vt:variant>
        <vt:lpwstr/>
      </vt:variant>
      <vt:variant>
        <vt:i4>3538980</vt:i4>
      </vt:variant>
      <vt:variant>
        <vt:i4>14501</vt:i4>
      </vt:variant>
      <vt:variant>
        <vt:i4>0</vt:i4>
      </vt:variant>
      <vt:variant>
        <vt:i4>5</vt:i4>
      </vt:variant>
      <vt:variant>
        <vt:lpwstr>http://www.ncbi.nlm.nih.gov/pubmed/22267618</vt:lpwstr>
      </vt:variant>
      <vt:variant>
        <vt:lpwstr/>
      </vt:variant>
      <vt:variant>
        <vt:i4>3145765</vt:i4>
      </vt:variant>
      <vt:variant>
        <vt:i4>14498</vt:i4>
      </vt:variant>
      <vt:variant>
        <vt:i4>0</vt:i4>
      </vt:variant>
      <vt:variant>
        <vt:i4>5</vt:i4>
      </vt:variant>
      <vt:variant>
        <vt:lpwstr>http://www.ncbi.nlm.nih.gov/pubmed/20042705</vt:lpwstr>
      </vt:variant>
      <vt:variant>
        <vt:lpwstr/>
      </vt:variant>
      <vt:variant>
        <vt:i4>3407911</vt:i4>
      </vt:variant>
      <vt:variant>
        <vt:i4>14495</vt:i4>
      </vt:variant>
      <vt:variant>
        <vt:i4>0</vt:i4>
      </vt:variant>
      <vt:variant>
        <vt:i4>5</vt:i4>
      </vt:variant>
      <vt:variant>
        <vt:lpwstr>http://www.ncbi.nlm.nih.gov/pubmed/21879777</vt:lpwstr>
      </vt:variant>
      <vt:variant>
        <vt:lpwstr/>
      </vt:variant>
      <vt:variant>
        <vt:i4>3670060</vt:i4>
      </vt:variant>
      <vt:variant>
        <vt:i4>14492</vt:i4>
      </vt:variant>
      <vt:variant>
        <vt:i4>0</vt:i4>
      </vt:variant>
      <vt:variant>
        <vt:i4>5</vt:i4>
      </vt:variant>
      <vt:variant>
        <vt:lpwstr>http://www.ncbi.nlm.nih.gov/pubmed/19901316</vt:lpwstr>
      </vt:variant>
      <vt:variant>
        <vt:lpwstr/>
      </vt:variant>
      <vt:variant>
        <vt:i4>3342368</vt:i4>
      </vt:variant>
      <vt:variant>
        <vt:i4>14489</vt:i4>
      </vt:variant>
      <vt:variant>
        <vt:i4>0</vt:i4>
      </vt:variant>
      <vt:variant>
        <vt:i4>5</vt:i4>
      </vt:variant>
      <vt:variant>
        <vt:lpwstr>http://www.ncbi.nlm.nih.gov/pubmed/20166065</vt:lpwstr>
      </vt:variant>
      <vt:variant>
        <vt:lpwstr/>
      </vt:variant>
      <vt:variant>
        <vt:i4>4063268</vt:i4>
      </vt:variant>
      <vt:variant>
        <vt:i4>14486</vt:i4>
      </vt:variant>
      <vt:variant>
        <vt:i4>0</vt:i4>
      </vt:variant>
      <vt:variant>
        <vt:i4>5</vt:i4>
      </vt:variant>
      <vt:variant>
        <vt:lpwstr>http://www.ncbi.nlm.nih.gov/pubmed/14719718</vt:lpwstr>
      </vt:variant>
      <vt:variant>
        <vt:lpwstr/>
      </vt:variant>
      <vt:variant>
        <vt:i4>4063266</vt:i4>
      </vt:variant>
      <vt:variant>
        <vt:i4>14483</vt:i4>
      </vt:variant>
      <vt:variant>
        <vt:i4>0</vt:i4>
      </vt:variant>
      <vt:variant>
        <vt:i4>5</vt:i4>
      </vt:variant>
      <vt:variant>
        <vt:lpwstr>http://www.ncbi.nlm.nih.gov/pubmed/21703585</vt:lpwstr>
      </vt:variant>
      <vt:variant>
        <vt:lpwstr/>
      </vt:variant>
      <vt:variant>
        <vt:i4>4063264</vt:i4>
      </vt:variant>
      <vt:variant>
        <vt:i4>14480</vt:i4>
      </vt:variant>
      <vt:variant>
        <vt:i4>0</vt:i4>
      </vt:variant>
      <vt:variant>
        <vt:i4>5</vt:i4>
      </vt:variant>
      <vt:variant>
        <vt:lpwstr>http://www.ncbi.nlm.nih.gov/pubmed/16689806</vt:lpwstr>
      </vt:variant>
      <vt:variant>
        <vt:lpwstr/>
      </vt:variant>
      <vt:variant>
        <vt:i4>4128808</vt:i4>
      </vt:variant>
      <vt:variant>
        <vt:i4>14477</vt:i4>
      </vt:variant>
      <vt:variant>
        <vt:i4>0</vt:i4>
      </vt:variant>
      <vt:variant>
        <vt:i4>5</vt:i4>
      </vt:variant>
      <vt:variant>
        <vt:lpwstr>http://www.ncbi.nlm.nih.gov/pubmed/18279154</vt:lpwstr>
      </vt:variant>
      <vt:variant>
        <vt:lpwstr/>
      </vt:variant>
      <vt:variant>
        <vt:i4>3473444</vt:i4>
      </vt:variant>
      <vt:variant>
        <vt:i4>14474</vt:i4>
      </vt:variant>
      <vt:variant>
        <vt:i4>0</vt:i4>
      </vt:variant>
      <vt:variant>
        <vt:i4>5</vt:i4>
      </vt:variant>
      <vt:variant>
        <vt:lpwstr>http://www.ncbi.nlm.nih.gov/pubmed/18725868</vt:lpwstr>
      </vt:variant>
      <vt:variant>
        <vt:lpwstr/>
      </vt:variant>
      <vt:variant>
        <vt:i4>3407908</vt:i4>
      </vt:variant>
      <vt:variant>
        <vt:i4>14471</vt:i4>
      </vt:variant>
      <vt:variant>
        <vt:i4>0</vt:i4>
      </vt:variant>
      <vt:variant>
        <vt:i4>5</vt:i4>
      </vt:variant>
      <vt:variant>
        <vt:lpwstr>http://www.ncbi.nlm.nih.gov/pubmed/17762302</vt:lpwstr>
      </vt:variant>
      <vt:variant>
        <vt:lpwstr/>
      </vt:variant>
      <vt:variant>
        <vt:i4>3932192</vt:i4>
      </vt:variant>
      <vt:variant>
        <vt:i4>14468</vt:i4>
      </vt:variant>
      <vt:variant>
        <vt:i4>0</vt:i4>
      </vt:variant>
      <vt:variant>
        <vt:i4>5</vt:i4>
      </vt:variant>
      <vt:variant>
        <vt:lpwstr>http://www.ncbi.nlm.nih.gov/pubmed/12024691</vt:lpwstr>
      </vt:variant>
      <vt:variant>
        <vt:lpwstr/>
      </vt:variant>
      <vt:variant>
        <vt:i4>3801123</vt:i4>
      </vt:variant>
      <vt:variant>
        <vt:i4>14465</vt:i4>
      </vt:variant>
      <vt:variant>
        <vt:i4>0</vt:i4>
      </vt:variant>
      <vt:variant>
        <vt:i4>5</vt:i4>
      </vt:variant>
      <vt:variant>
        <vt:lpwstr>http://www.ncbi.nlm.nih.gov/pubmed/16648753</vt:lpwstr>
      </vt:variant>
      <vt:variant>
        <vt:lpwstr/>
      </vt:variant>
      <vt:variant>
        <vt:i4>3604517</vt:i4>
      </vt:variant>
      <vt:variant>
        <vt:i4>14462</vt:i4>
      </vt:variant>
      <vt:variant>
        <vt:i4>0</vt:i4>
      </vt:variant>
      <vt:variant>
        <vt:i4>5</vt:i4>
      </vt:variant>
      <vt:variant>
        <vt:lpwstr>http://www.ncbi.nlm.nih.gov/pubmed/16856084</vt:lpwstr>
      </vt:variant>
      <vt:variant>
        <vt:lpwstr/>
      </vt:variant>
      <vt:variant>
        <vt:i4>4128811</vt:i4>
      </vt:variant>
      <vt:variant>
        <vt:i4>14459</vt:i4>
      </vt:variant>
      <vt:variant>
        <vt:i4>0</vt:i4>
      </vt:variant>
      <vt:variant>
        <vt:i4>5</vt:i4>
      </vt:variant>
      <vt:variant>
        <vt:lpwstr>http://www.ncbi.nlm.nih.gov/pubmed/19215592</vt:lpwstr>
      </vt:variant>
      <vt:variant>
        <vt:lpwstr/>
      </vt:variant>
      <vt:variant>
        <vt:i4>3276834</vt:i4>
      </vt:variant>
      <vt:variant>
        <vt:i4>14456</vt:i4>
      </vt:variant>
      <vt:variant>
        <vt:i4>0</vt:i4>
      </vt:variant>
      <vt:variant>
        <vt:i4>5</vt:i4>
      </vt:variant>
      <vt:variant>
        <vt:lpwstr>http://www.ncbi.nlm.nih.gov/pubmed/17229184</vt:lpwstr>
      </vt:variant>
      <vt:variant>
        <vt:lpwstr/>
      </vt:variant>
      <vt:variant>
        <vt:i4>3604554</vt:i4>
      </vt:variant>
      <vt:variant>
        <vt:i4>14453</vt:i4>
      </vt:variant>
      <vt:variant>
        <vt:i4>0</vt:i4>
      </vt:variant>
      <vt:variant>
        <vt:i4>5</vt:i4>
      </vt:variant>
      <vt:variant>
        <vt:lpwstr>E:\AppData\Local\Microsoft\Windows\Temporary Internet Files\Content.Outlook\AppData\Local\Microsoft\Windows\Temporary Internet Files\Content.Outlook\50QE161U\Pain_files\deer_2007.pdf</vt:lpwstr>
      </vt:variant>
      <vt:variant>
        <vt:lpwstr/>
      </vt:variant>
      <vt:variant>
        <vt:i4>4063264</vt:i4>
      </vt:variant>
      <vt:variant>
        <vt:i4>14450</vt:i4>
      </vt:variant>
      <vt:variant>
        <vt:i4>0</vt:i4>
      </vt:variant>
      <vt:variant>
        <vt:i4>5</vt:i4>
      </vt:variant>
      <vt:variant>
        <vt:lpwstr>http://www.ncbi.nlm.nih.gov/pubmed/8190679</vt:lpwstr>
      </vt:variant>
      <vt:variant>
        <vt:lpwstr/>
      </vt:variant>
      <vt:variant>
        <vt:i4>8192001</vt:i4>
      </vt:variant>
      <vt:variant>
        <vt:i4>14447</vt:i4>
      </vt:variant>
      <vt:variant>
        <vt:i4>0</vt:i4>
      </vt:variant>
      <vt:variant>
        <vt:i4>5</vt:i4>
      </vt:variant>
      <vt:variant>
        <vt:lpwstr>http://www.deadiversion.usdoj.gov/fed_regs/rules/2013/fr1104.htm</vt:lpwstr>
      </vt:variant>
      <vt:variant>
        <vt:lpwstr/>
      </vt:variant>
      <vt:variant>
        <vt:i4>3276835</vt:i4>
      </vt:variant>
      <vt:variant>
        <vt:i4>14444</vt:i4>
      </vt:variant>
      <vt:variant>
        <vt:i4>0</vt:i4>
      </vt:variant>
      <vt:variant>
        <vt:i4>5</vt:i4>
      </vt:variant>
      <vt:variant>
        <vt:lpwstr>http://www.ncbi.nlm.nih.gov/pubmed/17723075</vt:lpwstr>
      </vt:variant>
      <vt:variant>
        <vt:lpwstr/>
      </vt:variant>
      <vt:variant>
        <vt:i4>3735597</vt:i4>
      </vt:variant>
      <vt:variant>
        <vt:i4>14441</vt:i4>
      </vt:variant>
      <vt:variant>
        <vt:i4>0</vt:i4>
      </vt:variant>
      <vt:variant>
        <vt:i4>5</vt:i4>
      </vt:variant>
      <vt:variant>
        <vt:lpwstr>http://www.ncbi.nlm.nih.gov/pubmed/19203298</vt:lpwstr>
      </vt:variant>
      <vt:variant>
        <vt:lpwstr/>
      </vt:variant>
      <vt:variant>
        <vt:i4>3473453</vt:i4>
      </vt:variant>
      <vt:variant>
        <vt:i4>14438</vt:i4>
      </vt:variant>
      <vt:variant>
        <vt:i4>0</vt:i4>
      </vt:variant>
      <vt:variant>
        <vt:i4>5</vt:i4>
      </vt:variant>
      <vt:variant>
        <vt:lpwstr>http://www.ncbi.nlm.nih.gov/pubmed/19445652</vt:lpwstr>
      </vt:variant>
      <vt:variant>
        <vt:lpwstr/>
      </vt:variant>
      <vt:variant>
        <vt:i4>3145769</vt:i4>
      </vt:variant>
      <vt:variant>
        <vt:i4>14435</vt:i4>
      </vt:variant>
      <vt:variant>
        <vt:i4>0</vt:i4>
      </vt:variant>
      <vt:variant>
        <vt:i4>5</vt:i4>
      </vt:variant>
      <vt:variant>
        <vt:lpwstr>http://www.ncbi.nlm.nih.gov/pubmed/16516826</vt:lpwstr>
      </vt:variant>
      <vt:variant>
        <vt:lpwstr/>
      </vt:variant>
      <vt:variant>
        <vt:i4>3997728</vt:i4>
      </vt:variant>
      <vt:variant>
        <vt:i4>14432</vt:i4>
      </vt:variant>
      <vt:variant>
        <vt:i4>0</vt:i4>
      </vt:variant>
      <vt:variant>
        <vt:i4>5</vt:i4>
      </vt:variant>
      <vt:variant>
        <vt:lpwstr>http://www.ncbi.nlm.nih.gov/pubmed/11441390</vt:lpwstr>
      </vt:variant>
      <vt:variant>
        <vt:lpwstr/>
      </vt:variant>
      <vt:variant>
        <vt:i4>3670056</vt:i4>
      </vt:variant>
      <vt:variant>
        <vt:i4>14429</vt:i4>
      </vt:variant>
      <vt:variant>
        <vt:i4>0</vt:i4>
      </vt:variant>
      <vt:variant>
        <vt:i4>5</vt:i4>
      </vt:variant>
      <vt:variant>
        <vt:lpwstr>http://www.ncbi.nlm.nih.gov/pubmed/21798658</vt:lpwstr>
      </vt:variant>
      <vt:variant>
        <vt:lpwstr/>
      </vt:variant>
      <vt:variant>
        <vt:i4>3735588</vt:i4>
      </vt:variant>
      <vt:variant>
        <vt:i4>14426</vt:i4>
      </vt:variant>
      <vt:variant>
        <vt:i4>0</vt:i4>
      </vt:variant>
      <vt:variant>
        <vt:i4>5</vt:i4>
      </vt:variant>
      <vt:variant>
        <vt:lpwstr>http://www.ncbi.nlm.nih.gov/pubmed/15818684</vt:lpwstr>
      </vt:variant>
      <vt:variant>
        <vt:lpwstr/>
      </vt:variant>
      <vt:variant>
        <vt:i4>3473454</vt:i4>
      </vt:variant>
      <vt:variant>
        <vt:i4>14423</vt:i4>
      </vt:variant>
      <vt:variant>
        <vt:i4>0</vt:i4>
      </vt:variant>
      <vt:variant>
        <vt:i4>5</vt:i4>
      </vt:variant>
      <vt:variant>
        <vt:lpwstr>http://www.ncbi.nlm.nih.gov/pubmed/3607096</vt:lpwstr>
      </vt:variant>
      <vt:variant>
        <vt:lpwstr/>
      </vt:variant>
      <vt:variant>
        <vt:i4>3407914</vt:i4>
      </vt:variant>
      <vt:variant>
        <vt:i4>14420</vt:i4>
      </vt:variant>
      <vt:variant>
        <vt:i4>0</vt:i4>
      </vt:variant>
      <vt:variant>
        <vt:i4>5</vt:i4>
      </vt:variant>
      <vt:variant>
        <vt:lpwstr>http://www.ncbi.nlm.nih.gov/pubmed/18574345</vt:lpwstr>
      </vt:variant>
      <vt:variant>
        <vt:lpwstr/>
      </vt:variant>
      <vt:variant>
        <vt:i4>3473441</vt:i4>
      </vt:variant>
      <vt:variant>
        <vt:i4>14417</vt:i4>
      </vt:variant>
      <vt:variant>
        <vt:i4>0</vt:i4>
      </vt:variant>
      <vt:variant>
        <vt:i4>5</vt:i4>
      </vt:variant>
      <vt:variant>
        <vt:lpwstr>http://www.ncbi.nlm.nih.gov/pubmed/22301554</vt:lpwstr>
      </vt:variant>
      <vt:variant>
        <vt:lpwstr/>
      </vt:variant>
      <vt:variant>
        <vt:i4>1703994</vt:i4>
      </vt:variant>
      <vt:variant>
        <vt:i4>14414</vt:i4>
      </vt:variant>
      <vt:variant>
        <vt:i4>0</vt:i4>
      </vt:variant>
      <vt:variant>
        <vt:i4>5</vt:i4>
      </vt:variant>
      <vt:variant>
        <vt:lpwstr>http://www.theacpa.org/documents/Quality_of_Life_Scale.pdf</vt:lpwstr>
      </vt:variant>
      <vt:variant>
        <vt:lpwstr/>
      </vt:variant>
      <vt:variant>
        <vt:i4>3473446</vt:i4>
      </vt:variant>
      <vt:variant>
        <vt:i4>14411</vt:i4>
      </vt:variant>
      <vt:variant>
        <vt:i4>0</vt:i4>
      </vt:variant>
      <vt:variant>
        <vt:i4>5</vt:i4>
      </vt:variant>
      <vt:variant>
        <vt:lpwstr>http://www.ncbi.nlm.nih.gov/pubmed/15367304</vt:lpwstr>
      </vt:variant>
      <vt:variant>
        <vt:lpwstr/>
      </vt:variant>
      <vt:variant>
        <vt:i4>3473447</vt:i4>
      </vt:variant>
      <vt:variant>
        <vt:i4>14408</vt:i4>
      </vt:variant>
      <vt:variant>
        <vt:i4>0</vt:i4>
      </vt:variant>
      <vt:variant>
        <vt:i4>5</vt:i4>
      </vt:variant>
      <vt:variant>
        <vt:lpwstr>http://www.ncbi.nlm.nih.gov/pubmed/16062163</vt:lpwstr>
      </vt:variant>
      <vt:variant>
        <vt:lpwstr/>
      </vt:variant>
      <vt:variant>
        <vt:i4>3997735</vt:i4>
      </vt:variant>
      <vt:variant>
        <vt:i4>14405</vt:i4>
      </vt:variant>
      <vt:variant>
        <vt:i4>0</vt:i4>
      </vt:variant>
      <vt:variant>
        <vt:i4>5</vt:i4>
      </vt:variant>
      <vt:variant>
        <vt:lpwstr>http://www.ncbi.nlm.nih.gov/pubmed/22923151</vt:lpwstr>
      </vt:variant>
      <vt:variant>
        <vt:lpwstr/>
      </vt:variant>
      <vt:variant>
        <vt:i4>4063268</vt:i4>
      </vt:variant>
      <vt:variant>
        <vt:i4>14402</vt:i4>
      </vt:variant>
      <vt:variant>
        <vt:i4>0</vt:i4>
      </vt:variant>
      <vt:variant>
        <vt:i4>5</vt:i4>
      </vt:variant>
      <vt:variant>
        <vt:lpwstr>http://www.ncbi.nlm.nih.gov/pubmed/23609132</vt:lpwstr>
      </vt:variant>
      <vt:variant>
        <vt:lpwstr/>
      </vt:variant>
      <vt:variant>
        <vt:i4>3276847</vt:i4>
      </vt:variant>
      <vt:variant>
        <vt:i4>14399</vt:i4>
      </vt:variant>
      <vt:variant>
        <vt:i4>0</vt:i4>
      </vt:variant>
      <vt:variant>
        <vt:i4>5</vt:i4>
      </vt:variant>
      <vt:variant>
        <vt:lpwstr>http://www.ncbi.nlm.nih.gov/pubmed/18310005</vt:lpwstr>
      </vt:variant>
      <vt:variant>
        <vt:lpwstr/>
      </vt:variant>
      <vt:variant>
        <vt:i4>3473448</vt:i4>
      </vt:variant>
      <vt:variant>
        <vt:i4>14396</vt:i4>
      </vt:variant>
      <vt:variant>
        <vt:i4>0</vt:i4>
      </vt:variant>
      <vt:variant>
        <vt:i4>5</vt:i4>
      </vt:variant>
      <vt:variant>
        <vt:lpwstr>http://www.ncbi.nlm.nih.gov/pubmed/22786460</vt:lpwstr>
      </vt:variant>
      <vt:variant>
        <vt:lpwstr/>
      </vt:variant>
      <vt:variant>
        <vt:i4>3997742</vt:i4>
      </vt:variant>
      <vt:variant>
        <vt:i4>14393</vt:i4>
      </vt:variant>
      <vt:variant>
        <vt:i4>0</vt:i4>
      </vt:variant>
      <vt:variant>
        <vt:i4>5</vt:i4>
      </vt:variant>
      <vt:variant>
        <vt:lpwstr>http://www.ncbi.nlm.nih.gov/pubmed/16688627</vt:lpwstr>
      </vt:variant>
      <vt:variant>
        <vt:lpwstr/>
      </vt:variant>
      <vt:variant>
        <vt:i4>3604518</vt:i4>
      </vt:variant>
      <vt:variant>
        <vt:i4>14390</vt:i4>
      </vt:variant>
      <vt:variant>
        <vt:i4>0</vt:i4>
      </vt:variant>
      <vt:variant>
        <vt:i4>5</vt:i4>
      </vt:variant>
      <vt:variant>
        <vt:lpwstr>http://www.ncbi.nlm.nih.gov/pubmed/11131263</vt:lpwstr>
      </vt:variant>
      <vt:variant>
        <vt:lpwstr/>
      </vt:variant>
      <vt:variant>
        <vt:i4>65606</vt:i4>
      </vt:variant>
      <vt:variant>
        <vt:i4>14387</vt:i4>
      </vt:variant>
      <vt:variant>
        <vt:i4>0</vt:i4>
      </vt:variant>
      <vt:variant>
        <vt:i4>5</vt:i4>
      </vt:variant>
      <vt:variant>
        <vt:lpwstr>http://journals.lww.com/anesthesiology/Fulltext/2009/10000/Mortality_Associated_with_Implantation_and.32.aspx</vt:lpwstr>
      </vt:variant>
      <vt:variant>
        <vt:lpwstr/>
      </vt:variant>
      <vt:variant>
        <vt:i4>5439569</vt:i4>
      </vt:variant>
      <vt:variant>
        <vt:i4>14384</vt:i4>
      </vt:variant>
      <vt:variant>
        <vt:i4>0</vt:i4>
      </vt:variant>
      <vt:variant>
        <vt:i4>5</vt:i4>
      </vt:variant>
      <vt:variant>
        <vt:lpwstr>http://www.clinicalpharmacology.com/</vt:lpwstr>
      </vt:variant>
      <vt:variant>
        <vt:lpwstr/>
      </vt:variant>
      <vt:variant>
        <vt:i4>3342370</vt:i4>
      </vt:variant>
      <vt:variant>
        <vt:i4>14381</vt:i4>
      </vt:variant>
      <vt:variant>
        <vt:i4>0</vt:i4>
      </vt:variant>
      <vt:variant>
        <vt:i4>5</vt:i4>
      </vt:variant>
      <vt:variant>
        <vt:lpwstr>http://www.ncbi.nlm.nih.gov/pubmed/23533477</vt:lpwstr>
      </vt:variant>
      <vt:variant>
        <vt:lpwstr/>
      </vt:variant>
      <vt:variant>
        <vt:i4>3801125</vt:i4>
      </vt:variant>
      <vt:variant>
        <vt:i4>14378</vt:i4>
      </vt:variant>
      <vt:variant>
        <vt:i4>0</vt:i4>
      </vt:variant>
      <vt:variant>
        <vt:i4>5</vt:i4>
      </vt:variant>
      <vt:variant>
        <vt:lpwstr>http://www.ncbi.nlm.nih.gov/pubmed/20439055</vt:lpwstr>
      </vt:variant>
      <vt:variant>
        <vt:lpwstr/>
      </vt:variant>
      <vt:variant>
        <vt:i4>3997728</vt:i4>
      </vt:variant>
      <vt:variant>
        <vt:i4>14375</vt:i4>
      </vt:variant>
      <vt:variant>
        <vt:i4>0</vt:i4>
      </vt:variant>
      <vt:variant>
        <vt:i4>5</vt:i4>
      </vt:variant>
      <vt:variant>
        <vt:lpwstr>http://www.ncbi.nlm.nih.gov/pubmed/21821560</vt:lpwstr>
      </vt:variant>
      <vt:variant>
        <vt:lpwstr/>
      </vt:variant>
      <vt:variant>
        <vt:i4>4063266</vt:i4>
      </vt:variant>
      <vt:variant>
        <vt:i4>14372</vt:i4>
      </vt:variant>
      <vt:variant>
        <vt:i4>0</vt:i4>
      </vt:variant>
      <vt:variant>
        <vt:i4>5</vt:i4>
      </vt:variant>
      <vt:variant>
        <vt:lpwstr>http://www.ncbi.nlm.nih.gov/pubmed/18680495</vt:lpwstr>
      </vt:variant>
      <vt:variant>
        <vt:lpwstr/>
      </vt:variant>
      <vt:variant>
        <vt:i4>4128826</vt:i4>
      </vt:variant>
      <vt:variant>
        <vt:i4>14369</vt:i4>
      </vt:variant>
      <vt:variant>
        <vt:i4>0</vt:i4>
      </vt:variant>
      <vt:variant>
        <vt:i4>5</vt:i4>
      </vt:variant>
      <vt:variant>
        <vt:lpwstr>http://www.painjournalonline.com/article/S0304-3959(12)00123-6/abstract</vt:lpwstr>
      </vt:variant>
      <vt:variant>
        <vt:lpwstr/>
      </vt:variant>
      <vt:variant>
        <vt:i4>3932197</vt:i4>
      </vt:variant>
      <vt:variant>
        <vt:i4>14366</vt:i4>
      </vt:variant>
      <vt:variant>
        <vt:i4>0</vt:i4>
      </vt:variant>
      <vt:variant>
        <vt:i4>5</vt:i4>
      </vt:variant>
      <vt:variant>
        <vt:lpwstr>http://www.ncbi.nlm.nih.gov/pubmed/15276195</vt:lpwstr>
      </vt:variant>
      <vt:variant>
        <vt:lpwstr/>
      </vt:variant>
      <vt:variant>
        <vt:i4>3670143</vt:i4>
      </vt:variant>
      <vt:variant>
        <vt:i4>14363</vt:i4>
      </vt:variant>
      <vt:variant>
        <vt:i4>0</vt:i4>
      </vt:variant>
      <vt:variant>
        <vt:i4>5</vt:i4>
      </vt:variant>
      <vt:variant>
        <vt:lpwstr>http://www.effectivehealthcare.ahrq.gov/ehc/products/2/65/AnalgesicsFinal.pdf</vt:lpwstr>
      </vt:variant>
      <vt:variant>
        <vt:lpwstr>page=69</vt:lpwstr>
      </vt:variant>
      <vt:variant>
        <vt:i4>3670143</vt:i4>
      </vt:variant>
      <vt:variant>
        <vt:i4>14360</vt:i4>
      </vt:variant>
      <vt:variant>
        <vt:i4>0</vt:i4>
      </vt:variant>
      <vt:variant>
        <vt:i4>5</vt:i4>
      </vt:variant>
      <vt:variant>
        <vt:lpwstr>http://www.effectivehealthcare.ahrq.gov/ehc/products/2/65/AnalgesicsFinal.pdf</vt:lpwstr>
      </vt:variant>
      <vt:variant>
        <vt:lpwstr>page=66</vt:lpwstr>
      </vt:variant>
      <vt:variant>
        <vt:i4>655445</vt:i4>
      </vt:variant>
      <vt:variant>
        <vt:i4>14357</vt:i4>
      </vt:variant>
      <vt:variant>
        <vt:i4>0</vt:i4>
      </vt:variant>
      <vt:variant>
        <vt:i4>5</vt:i4>
      </vt:variant>
      <vt:variant>
        <vt:lpwstr>http://www.effectivehealthcare.ahrq.gov/ehc/products/2/65/AnalgesicsFinal.pdf</vt:lpwstr>
      </vt:variant>
      <vt:variant>
        <vt:lpwstr/>
      </vt:variant>
      <vt:variant>
        <vt:i4>3866660</vt:i4>
      </vt:variant>
      <vt:variant>
        <vt:i4>14354</vt:i4>
      </vt:variant>
      <vt:variant>
        <vt:i4>0</vt:i4>
      </vt:variant>
      <vt:variant>
        <vt:i4>5</vt:i4>
      </vt:variant>
      <vt:variant>
        <vt:lpwstr>http://www.ncbi.nlm.nih.gov/pubmed/12694987</vt:lpwstr>
      </vt:variant>
      <vt:variant>
        <vt:lpwstr/>
      </vt:variant>
      <vt:variant>
        <vt:i4>3604525</vt:i4>
      </vt:variant>
      <vt:variant>
        <vt:i4>14351</vt:i4>
      </vt:variant>
      <vt:variant>
        <vt:i4>0</vt:i4>
      </vt:variant>
      <vt:variant>
        <vt:i4>5</vt:i4>
      </vt:variant>
      <vt:variant>
        <vt:lpwstr>http://www.ncbi.nlm.nih.gov/pubmed/15093759</vt:lpwstr>
      </vt:variant>
      <vt:variant>
        <vt:lpwstr/>
      </vt:variant>
      <vt:variant>
        <vt:i4>4063268</vt:i4>
      </vt:variant>
      <vt:variant>
        <vt:i4>14348</vt:i4>
      </vt:variant>
      <vt:variant>
        <vt:i4>0</vt:i4>
      </vt:variant>
      <vt:variant>
        <vt:i4>5</vt:i4>
      </vt:variant>
      <vt:variant>
        <vt:lpwstr>http://www.ncbi.nlm.nih.gov/pubmed/16856115</vt:lpwstr>
      </vt:variant>
      <vt:variant>
        <vt:lpwstr/>
      </vt:variant>
      <vt:variant>
        <vt:i4>3604522</vt:i4>
      </vt:variant>
      <vt:variant>
        <vt:i4>14345</vt:i4>
      </vt:variant>
      <vt:variant>
        <vt:i4>0</vt:i4>
      </vt:variant>
      <vt:variant>
        <vt:i4>5</vt:i4>
      </vt:variant>
      <vt:variant>
        <vt:lpwstr>http://www.ncbi.nlm.nih.gov/pubmed/18405470</vt:lpwstr>
      </vt:variant>
      <vt:variant>
        <vt:lpwstr/>
      </vt:variant>
      <vt:variant>
        <vt:i4>3473446</vt:i4>
      </vt:variant>
      <vt:variant>
        <vt:i4>14342</vt:i4>
      </vt:variant>
      <vt:variant>
        <vt:i4>0</vt:i4>
      </vt:variant>
      <vt:variant>
        <vt:i4>5</vt:i4>
      </vt:variant>
      <vt:variant>
        <vt:lpwstr>http://www.ncbi.nlm.nih.gov/pubmed/11274623</vt:lpwstr>
      </vt:variant>
      <vt:variant>
        <vt:lpwstr/>
      </vt:variant>
      <vt:variant>
        <vt:i4>3670054</vt:i4>
      </vt:variant>
      <vt:variant>
        <vt:i4>14339</vt:i4>
      </vt:variant>
      <vt:variant>
        <vt:i4>0</vt:i4>
      </vt:variant>
      <vt:variant>
        <vt:i4>5</vt:i4>
      </vt:variant>
      <vt:variant>
        <vt:lpwstr>http://www.ncbi.nlm.nih.gov/pubmed/11809180</vt:lpwstr>
      </vt:variant>
      <vt:variant>
        <vt:lpwstr/>
      </vt:variant>
      <vt:variant>
        <vt:i4>3145763</vt:i4>
      </vt:variant>
      <vt:variant>
        <vt:i4>14336</vt:i4>
      </vt:variant>
      <vt:variant>
        <vt:i4>0</vt:i4>
      </vt:variant>
      <vt:variant>
        <vt:i4>5</vt:i4>
      </vt:variant>
      <vt:variant>
        <vt:lpwstr>http://www.ncbi.nlm.nih.gov/pubmed/16534006</vt:lpwstr>
      </vt:variant>
      <vt:variant>
        <vt:lpwstr/>
      </vt:variant>
      <vt:variant>
        <vt:i4>3866662</vt:i4>
      </vt:variant>
      <vt:variant>
        <vt:i4>14333</vt:i4>
      </vt:variant>
      <vt:variant>
        <vt:i4>0</vt:i4>
      </vt:variant>
      <vt:variant>
        <vt:i4>5</vt:i4>
      </vt:variant>
      <vt:variant>
        <vt:lpwstr>http://www.ncbi.nlm.nih.gov/pubmed/15142194</vt:lpwstr>
      </vt:variant>
      <vt:variant>
        <vt:lpwstr/>
      </vt:variant>
      <vt:variant>
        <vt:i4>6815801</vt:i4>
      </vt:variant>
      <vt:variant>
        <vt:i4>14330</vt:i4>
      </vt:variant>
      <vt:variant>
        <vt:i4>0</vt:i4>
      </vt:variant>
      <vt:variant>
        <vt:i4>5</vt:i4>
      </vt:variant>
      <vt:variant>
        <vt:lpwstr>http://www.cfsan.fda.gov/~dms/medfguid.html</vt:lpwstr>
      </vt:variant>
      <vt:variant>
        <vt:lpwstr/>
      </vt:variant>
      <vt:variant>
        <vt:i4>3604519</vt:i4>
      </vt:variant>
      <vt:variant>
        <vt:i4>14327</vt:i4>
      </vt:variant>
      <vt:variant>
        <vt:i4>0</vt:i4>
      </vt:variant>
      <vt:variant>
        <vt:i4>5</vt:i4>
      </vt:variant>
      <vt:variant>
        <vt:lpwstr>http://www.ncbi.nlm.nih.gov/pubmed/12131063</vt:lpwstr>
      </vt:variant>
      <vt:variant>
        <vt:lpwstr/>
      </vt:variant>
      <vt:variant>
        <vt:i4>4128804</vt:i4>
      </vt:variant>
      <vt:variant>
        <vt:i4>14324</vt:i4>
      </vt:variant>
      <vt:variant>
        <vt:i4>0</vt:i4>
      </vt:variant>
      <vt:variant>
        <vt:i4>5</vt:i4>
      </vt:variant>
      <vt:variant>
        <vt:lpwstr>http://www.ncbi.nlm.nih.gov/pubmed/16856101</vt:lpwstr>
      </vt:variant>
      <vt:variant>
        <vt:lpwstr/>
      </vt:variant>
      <vt:variant>
        <vt:i4>3145760</vt:i4>
      </vt:variant>
      <vt:variant>
        <vt:i4>14321</vt:i4>
      </vt:variant>
      <vt:variant>
        <vt:i4>0</vt:i4>
      </vt:variant>
      <vt:variant>
        <vt:i4>5</vt:i4>
      </vt:variant>
      <vt:variant>
        <vt:lpwstr>http://www.ncbi.nlm.nih.gov/pubmed/16235369</vt:lpwstr>
      </vt:variant>
      <vt:variant>
        <vt:lpwstr/>
      </vt:variant>
      <vt:variant>
        <vt:i4>458844</vt:i4>
      </vt:variant>
      <vt:variant>
        <vt:i4>14318</vt:i4>
      </vt:variant>
      <vt:variant>
        <vt:i4>0</vt:i4>
      </vt:variant>
      <vt:variant>
        <vt:i4>5</vt:i4>
      </vt:variant>
      <vt:variant>
        <vt:lpwstr>http://download.ncadi.samhsa.gov/Prevline/pdfs/SMA09-4368.pdf</vt:lpwstr>
      </vt:variant>
      <vt:variant>
        <vt:lpwstr/>
      </vt:variant>
      <vt:variant>
        <vt:i4>262148</vt:i4>
      </vt:variant>
      <vt:variant>
        <vt:i4>14315</vt:i4>
      </vt:variant>
      <vt:variant>
        <vt:i4>0</vt:i4>
      </vt:variant>
      <vt:variant>
        <vt:i4>5</vt:i4>
      </vt:variant>
      <vt:variant>
        <vt:lpwstr>http://www.cdc.gov/mmwr/preview/mmwrhtml/mm6101a3.htm?s_cid=mm6101a3_x</vt:lpwstr>
      </vt:variant>
      <vt:variant>
        <vt:lpwstr/>
      </vt:variant>
      <vt:variant>
        <vt:i4>3407915</vt:i4>
      </vt:variant>
      <vt:variant>
        <vt:i4>14312</vt:i4>
      </vt:variant>
      <vt:variant>
        <vt:i4>0</vt:i4>
      </vt:variant>
      <vt:variant>
        <vt:i4>5</vt:i4>
      </vt:variant>
      <vt:variant>
        <vt:lpwstr>http://www.ncbi.nlm.nih.gov/pubmed/20946990</vt:lpwstr>
      </vt:variant>
      <vt:variant>
        <vt:lpwstr/>
      </vt:variant>
      <vt:variant>
        <vt:i4>3473455</vt:i4>
      </vt:variant>
      <vt:variant>
        <vt:i4>14309</vt:i4>
      </vt:variant>
      <vt:variant>
        <vt:i4>0</vt:i4>
      </vt:variant>
      <vt:variant>
        <vt:i4>5</vt:i4>
      </vt:variant>
      <vt:variant>
        <vt:lpwstr>http://www.ncbi.nlm.nih.gov/pubmed/11687055</vt:lpwstr>
      </vt:variant>
      <vt:variant>
        <vt:lpwstr/>
      </vt:variant>
      <vt:variant>
        <vt:i4>3473444</vt:i4>
      </vt:variant>
      <vt:variant>
        <vt:i4>14306</vt:i4>
      </vt:variant>
      <vt:variant>
        <vt:i4>0</vt:i4>
      </vt:variant>
      <vt:variant>
        <vt:i4>5</vt:i4>
      </vt:variant>
      <vt:variant>
        <vt:lpwstr>http://www.ncbi.nlm.nih.gov/pubmed/22177715</vt:lpwstr>
      </vt:variant>
      <vt:variant>
        <vt:lpwstr/>
      </vt:variant>
      <vt:variant>
        <vt:i4>4718656</vt:i4>
      </vt:variant>
      <vt:variant>
        <vt:i4>14303</vt:i4>
      </vt:variant>
      <vt:variant>
        <vt:i4>0</vt:i4>
      </vt:variant>
      <vt:variant>
        <vt:i4>5</vt:i4>
      </vt:variant>
      <vt:variant>
        <vt:lpwstr>http://www.csims.net/pdf/FormFIR.pdf</vt:lpwstr>
      </vt:variant>
      <vt:variant>
        <vt:lpwstr/>
      </vt:variant>
      <vt:variant>
        <vt:i4>2097190</vt:i4>
      </vt:variant>
      <vt:variant>
        <vt:i4>14300</vt:i4>
      </vt:variant>
      <vt:variant>
        <vt:i4>0</vt:i4>
      </vt:variant>
      <vt:variant>
        <vt:i4>5</vt:i4>
      </vt:variant>
      <vt:variant>
        <vt:lpwstr>http://www.ctaf.org/content/general/detail/513.</vt:lpwstr>
      </vt:variant>
      <vt:variant>
        <vt:lpwstr/>
      </vt:variant>
      <vt:variant>
        <vt:i4>3801133</vt:i4>
      </vt:variant>
      <vt:variant>
        <vt:i4>14297</vt:i4>
      </vt:variant>
      <vt:variant>
        <vt:i4>0</vt:i4>
      </vt:variant>
      <vt:variant>
        <vt:i4>5</vt:i4>
      </vt:variant>
      <vt:variant>
        <vt:lpwstr>http://www.ncbi.nlm.nih.gov/pubmed/14996642</vt:lpwstr>
      </vt:variant>
      <vt:variant>
        <vt:lpwstr/>
      </vt:variant>
      <vt:variant>
        <vt:i4>3866657</vt:i4>
      </vt:variant>
      <vt:variant>
        <vt:i4>14294</vt:i4>
      </vt:variant>
      <vt:variant>
        <vt:i4>0</vt:i4>
      </vt:variant>
      <vt:variant>
        <vt:i4>5</vt:i4>
      </vt:variant>
      <vt:variant>
        <vt:lpwstr>http://www.ncbi.nlm.nih.gov/pubmed/21575194</vt:lpwstr>
      </vt:variant>
      <vt:variant>
        <vt:lpwstr/>
      </vt:variant>
      <vt:variant>
        <vt:i4>4063273</vt:i4>
      </vt:variant>
      <vt:variant>
        <vt:i4>14291</vt:i4>
      </vt:variant>
      <vt:variant>
        <vt:i4>0</vt:i4>
      </vt:variant>
      <vt:variant>
        <vt:i4>5</vt:i4>
      </vt:variant>
      <vt:variant>
        <vt:lpwstr>http://www.ncbi.nlm.nih.gov/pubmed/20578811</vt:lpwstr>
      </vt:variant>
      <vt:variant>
        <vt:lpwstr/>
      </vt:variant>
      <vt:variant>
        <vt:i4>3997739</vt:i4>
      </vt:variant>
      <vt:variant>
        <vt:i4>14288</vt:i4>
      </vt:variant>
      <vt:variant>
        <vt:i4>0</vt:i4>
      </vt:variant>
      <vt:variant>
        <vt:i4>5</vt:i4>
      </vt:variant>
      <vt:variant>
        <vt:lpwstr>http://www.ncbi.nlm.nih.gov/pubmed/17489218</vt:lpwstr>
      </vt:variant>
      <vt:variant>
        <vt:lpwstr/>
      </vt:variant>
      <vt:variant>
        <vt:i4>3670055</vt:i4>
      </vt:variant>
      <vt:variant>
        <vt:i4>14285</vt:i4>
      </vt:variant>
      <vt:variant>
        <vt:i4>0</vt:i4>
      </vt:variant>
      <vt:variant>
        <vt:i4>5</vt:i4>
      </vt:variant>
      <vt:variant>
        <vt:lpwstr>http://www.ncbi.nlm.nih.gov/pubmed/22178433</vt:lpwstr>
      </vt:variant>
      <vt:variant>
        <vt:lpwstr/>
      </vt:variant>
      <vt:variant>
        <vt:i4>3276846</vt:i4>
      </vt:variant>
      <vt:variant>
        <vt:i4>14282</vt:i4>
      </vt:variant>
      <vt:variant>
        <vt:i4>0</vt:i4>
      </vt:variant>
      <vt:variant>
        <vt:i4>5</vt:i4>
      </vt:variant>
      <vt:variant>
        <vt:lpwstr>http://www.ncbi.nlm.nih.gov/pubmed/2932330</vt:lpwstr>
      </vt:variant>
      <vt:variant>
        <vt:lpwstr/>
      </vt:variant>
      <vt:variant>
        <vt:i4>3276834</vt:i4>
      </vt:variant>
      <vt:variant>
        <vt:i4>14279</vt:i4>
      </vt:variant>
      <vt:variant>
        <vt:i4>0</vt:i4>
      </vt:variant>
      <vt:variant>
        <vt:i4>5</vt:i4>
      </vt:variant>
      <vt:variant>
        <vt:lpwstr>http://www.ncbi.nlm.nih.gov/pubmed/17943797</vt:lpwstr>
      </vt:variant>
      <vt:variant>
        <vt:lpwstr/>
      </vt:variant>
      <vt:variant>
        <vt:i4>3145763</vt:i4>
      </vt:variant>
      <vt:variant>
        <vt:i4>14276</vt:i4>
      </vt:variant>
      <vt:variant>
        <vt:i4>0</vt:i4>
      </vt:variant>
      <vt:variant>
        <vt:i4>5</vt:i4>
      </vt:variant>
      <vt:variant>
        <vt:lpwstr>http://www.ncbi.nlm.nih.gov/pubmed/17062436</vt:lpwstr>
      </vt:variant>
      <vt:variant>
        <vt:lpwstr/>
      </vt:variant>
      <vt:variant>
        <vt:i4>1638438</vt:i4>
      </vt:variant>
      <vt:variant>
        <vt:i4>14273</vt:i4>
      </vt:variant>
      <vt:variant>
        <vt:i4>0</vt:i4>
      </vt:variant>
      <vt:variant>
        <vt:i4>5</vt:i4>
      </vt:variant>
      <vt:variant>
        <vt:lpwstr>http://www.rsds.org/3/clinical_guidelines/index.html</vt:lpwstr>
      </vt:variant>
      <vt:variant>
        <vt:lpwstr/>
      </vt:variant>
      <vt:variant>
        <vt:i4>3473452</vt:i4>
      </vt:variant>
      <vt:variant>
        <vt:i4>14270</vt:i4>
      </vt:variant>
      <vt:variant>
        <vt:i4>0</vt:i4>
      </vt:variant>
      <vt:variant>
        <vt:i4>5</vt:i4>
      </vt:variant>
      <vt:variant>
        <vt:lpwstr>http://www.ncbi.nlm.nih.gov/pubmed/18262443</vt:lpwstr>
      </vt:variant>
      <vt:variant>
        <vt:lpwstr/>
      </vt:variant>
      <vt:variant>
        <vt:i4>4063270</vt:i4>
      </vt:variant>
      <vt:variant>
        <vt:i4>14267</vt:i4>
      </vt:variant>
      <vt:variant>
        <vt:i4>0</vt:i4>
      </vt:variant>
      <vt:variant>
        <vt:i4>5</vt:i4>
      </vt:variant>
      <vt:variant>
        <vt:lpwstr>http://www.ncbi.nlm.nih.gov/pubmed/14972343</vt:lpwstr>
      </vt:variant>
      <vt:variant>
        <vt:lpwstr/>
      </vt:variant>
      <vt:variant>
        <vt:i4>655427</vt:i4>
      </vt:variant>
      <vt:variant>
        <vt:i4>14264</vt:i4>
      </vt:variant>
      <vt:variant>
        <vt:i4>0</vt:i4>
      </vt:variant>
      <vt:variant>
        <vt:i4>5</vt:i4>
      </vt:variant>
      <vt:variant>
        <vt:lpwstr>E:\AppData\Local\Microsoft\Windows\Temporary Internet Files\Content.Outlook\AppData\Local\Microsoft\Windows\Temporary Internet Files\Content.Outlook\50QE161U\Pain_files\bruns.pdf</vt:lpwstr>
      </vt:variant>
      <vt:variant>
        <vt:lpwstr/>
      </vt:variant>
      <vt:variant>
        <vt:i4>4128807</vt:i4>
      </vt:variant>
      <vt:variant>
        <vt:i4>14261</vt:i4>
      </vt:variant>
      <vt:variant>
        <vt:i4>0</vt:i4>
      </vt:variant>
      <vt:variant>
        <vt:i4>5</vt:i4>
      </vt:variant>
      <vt:variant>
        <vt:lpwstr>http://www.ncbi.nlm.nih.gov/pubmed/20693883</vt:lpwstr>
      </vt:variant>
      <vt:variant>
        <vt:lpwstr/>
      </vt:variant>
      <vt:variant>
        <vt:i4>3211302</vt:i4>
      </vt:variant>
      <vt:variant>
        <vt:i4>14258</vt:i4>
      </vt:variant>
      <vt:variant>
        <vt:i4>0</vt:i4>
      </vt:variant>
      <vt:variant>
        <vt:i4>5</vt:i4>
      </vt:variant>
      <vt:variant>
        <vt:lpwstr>http://www.ncbi.nlm.nih.gov/pubmed/10353502</vt:lpwstr>
      </vt:variant>
      <vt:variant>
        <vt:lpwstr/>
      </vt:variant>
      <vt:variant>
        <vt:i4>8061047</vt:i4>
      </vt:variant>
      <vt:variant>
        <vt:i4>14255</vt:i4>
      </vt:variant>
      <vt:variant>
        <vt:i4>0</vt:i4>
      </vt:variant>
      <vt:variant>
        <vt:i4>5</vt:i4>
      </vt:variant>
      <vt:variant>
        <vt:lpwstr>http://arthritis-research.com/content/7/6/R1263</vt:lpwstr>
      </vt:variant>
      <vt:variant>
        <vt:lpwstr/>
      </vt:variant>
      <vt:variant>
        <vt:i4>3670051</vt:i4>
      </vt:variant>
      <vt:variant>
        <vt:i4>14252</vt:i4>
      </vt:variant>
      <vt:variant>
        <vt:i4>0</vt:i4>
      </vt:variant>
      <vt:variant>
        <vt:i4>5</vt:i4>
      </vt:variant>
      <vt:variant>
        <vt:lpwstr>http://www.ncbi.nlm.nih.gov/pubmed/11434793</vt:lpwstr>
      </vt:variant>
      <vt:variant>
        <vt:lpwstr/>
      </vt:variant>
      <vt:variant>
        <vt:i4>6815795</vt:i4>
      </vt:variant>
      <vt:variant>
        <vt:i4>14249</vt:i4>
      </vt:variant>
      <vt:variant>
        <vt:i4>0</vt:i4>
      </vt:variant>
      <vt:variant>
        <vt:i4>5</vt:i4>
      </vt:variant>
      <vt:variant>
        <vt:lpwstr>http://www.plosone.org/article/info%3Adoi%2F10.1371%2Fjournal.pone.0024124</vt:lpwstr>
      </vt:variant>
      <vt:variant>
        <vt:lpwstr/>
      </vt:variant>
      <vt:variant>
        <vt:i4>3342369</vt:i4>
      </vt:variant>
      <vt:variant>
        <vt:i4>14246</vt:i4>
      </vt:variant>
      <vt:variant>
        <vt:i4>0</vt:i4>
      </vt:variant>
      <vt:variant>
        <vt:i4>5</vt:i4>
      </vt:variant>
      <vt:variant>
        <vt:lpwstr>http://www.ncbi.nlm.nih.gov/pubmed/15266461</vt:lpwstr>
      </vt:variant>
      <vt:variant>
        <vt:lpwstr/>
      </vt:variant>
      <vt:variant>
        <vt:i4>3801125</vt:i4>
      </vt:variant>
      <vt:variant>
        <vt:i4>14243</vt:i4>
      </vt:variant>
      <vt:variant>
        <vt:i4>0</vt:i4>
      </vt:variant>
      <vt:variant>
        <vt:i4>5</vt:i4>
      </vt:variant>
      <vt:variant>
        <vt:lpwstr>http://www.ncbi.nlm.nih.gov/pubmed/9262035</vt:lpwstr>
      </vt:variant>
      <vt:variant>
        <vt:lpwstr/>
      </vt:variant>
      <vt:variant>
        <vt:i4>3473445</vt:i4>
      </vt:variant>
      <vt:variant>
        <vt:i4>14240</vt:i4>
      </vt:variant>
      <vt:variant>
        <vt:i4>0</vt:i4>
      </vt:variant>
      <vt:variant>
        <vt:i4>5</vt:i4>
      </vt:variant>
      <vt:variant>
        <vt:lpwstr>http://www.ncbi.nlm.nih.gov/pubmed/14716650</vt:lpwstr>
      </vt:variant>
      <vt:variant>
        <vt:lpwstr/>
      </vt:variant>
      <vt:variant>
        <vt:i4>3407912</vt:i4>
      </vt:variant>
      <vt:variant>
        <vt:i4>14237</vt:i4>
      </vt:variant>
      <vt:variant>
        <vt:i4>0</vt:i4>
      </vt:variant>
      <vt:variant>
        <vt:i4>5</vt:i4>
      </vt:variant>
      <vt:variant>
        <vt:lpwstr>http://www.ncbi.nlm.nih.gov/pubmed/15194209</vt:lpwstr>
      </vt:variant>
      <vt:variant>
        <vt:lpwstr/>
      </vt:variant>
      <vt:variant>
        <vt:i4>3801121</vt:i4>
      </vt:variant>
      <vt:variant>
        <vt:i4>14234</vt:i4>
      </vt:variant>
      <vt:variant>
        <vt:i4>0</vt:i4>
      </vt:variant>
      <vt:variant>
        <vt:i4>5</vt:i4>
      </vt:variant>
      <vt:variant>
        <vt:lpwstr>http://www.ncbi.nlm.nih.gov/pubmed/17854578</vt:lpwstr>
      </vt:variant>
      <vt:variant>
        <vt:lpwstr/>
      </vt:variant>
      <vt:variant>
        <vt:i4>3604519</vt:i4>
      </vt:variant>
      <vt:variant>
        <vt:i4>14231</vt:i4>
      </vt:variant>
      <vt:variant>
        <vt:i4>0</vt:i4>
      </vt:variant>
      <vt:variant>
        <vt:i4>5</vt:i4>
      </vt:variant>
      <vt:variant>
        <vt:lpwstr>http://www.ncbi.nlm.nih.gov/pubmed/12547742</vt:lpwstr>
      </vt:variant>
      <vt:variant>
        <vt:lpwstr/>
      </vt:variant>
      <vt:variant>
        <vt:i4>7602282</vt:i4>
      </vt:variant>
      <vt:variant>
        <vt:i4>14228</vt:i4>
      </vt:variant>
      <vt:variant>
        <vt:i4>0</vt:i4>
      </vt:variant>
      <vt:variant>
        <vt:i4>5</vt:i4>
      </vt:variant>
      <vt:variant>
        <vt:lpwstr>http://www.painphysicianjournal.com/2007/january/2007;10;7-111.pdf</vt:lpwstr>
      </vt:variant>
      <vt:variant>
        <vt:lpwstr/>
      </vt:variant>
      <vt:variant>
        <vt:i4>6619167</vt:i4>
      </vt:variant>
      <vt:variant>
        <vt:i4>14225</vt:i4>
      </vt:variant>
      <vt:variant>
        <vt:i4>0</vt:i4>
      </vt:variant>
      <vt:variant>
        <vt:i4>5</vt:i4>
      </vt:variant>
      <vt:variant>
        <vt:lpwstr>E:\AppData\Local\Microsoft\Windows\Temporary Internet Files\Content.Outlook\AppData\Local\Microsoft\Windows\Temporary Internet Files\Content.Outlook\50QE161U\low_back_files\boswell_pain_guidelines.pdf</vt:lpwstr>
      </vt:variant>
      <vt:variant>
        <vt:lpwstr/>
      </vt:variant>
      <vt:variant>
        <vt:i4>3407908</vt:i4>
      </vt:variant>
      <vt:variant>
        <vt:i4>14222</vt:i4>
      </vt:variant>
      <vt:variant>
        <vt:i4>0</vt:i4>
      </vt:variant>
      <vt:variant>
        <vt:i4>5</vt:i4>
      </vt:variant>
      <vt:variant>
        <vt:lpwstr>http://www.ncbi.nlm.nih.gov/pubmed/11760522</vt:lpwstr>
      </vt:variant>
      <vt:variant>
        <vt:lpwstr/>
      </vt:variant>
      <vt:variant>
        <vt:i4>3801128</vt:i4>
      </vt:variant>
      <vt:variant>
        <vt:i4>14219</vt:i4>
      </vt:variant>
      <vt:variant>
        <vt:i4>0</vt:i4>
      </vt:variant>
      <vt:variant>
        <vt:i4>5</vt:i4>
      </vt:variant>
      <vt:variant>
        <vt:lpwstr>http://www.ncbi.nlm.nih.gov/pubmed/16982005</vt:lpwstr>
      </vt:variant>
      <vt:variant>
        <vt:lpwstr/>
      </vt:variant>
      <vt:variant>
        <vt:i4>3276838</vt:i4>
      </vt:variant>
      <vt:variant>
        <vt:i4>14216</vt:i4>
      </vt:variant>
      <vt:variant>
        <vt:i4>0</vt:i4>
      </vt:variant>
      <vt:variant>
        <vt:i4>5</vt:i4>
      </vt:variant>
      <vt:variant>
        <vt:lpwstr>http://www.ncbi.nlm.nih.gov/pubmed/11973695</vt:lpwstr>
      </vt:variant>
      <vt:variant>
        <vt:lpwstr/>
      </vt:variant>
      <vt:variant>
        <vt:i4>3604512</vt:i4>
      </vt:variant>
      <vt:variant>
        <vt:i4>14213</vt:i4>
      </vt:variant>
      <vt:variant>
        <vt:i4>0</vt:i4>
      </vt:variant>
      <vt:variant>
        <vt:i4>5</vt:i4>
      </vt:variant>
      <vt:variant>
        <vt:lpwstr>http://www.ncbi.nlm.nih.gov/pubmed/24161450</vt:lpwstr>
      </vt:variant>
      <vt:variant>
        <vt:lpwstr/>
      </vt:variant>
      <vt:variant>
        <vt:i4>4063278</vt:i4>
      </vt:variant>
      <vt:variant>
        <vt:i4>14210</vt:i4>
      </vt:variant>
      <vt:variant>
        <vt:i4>0</vt:i4>
      </vt:variant>
      <vt:variant>
        <vt:i4>5</vt:i4>
      </vt:variant>
      <vt:variant>
        <vt:lpwstr>http://www.ncbi.nlm.nih.gov/pubmed/17285782</vt:lpwstr>
      </vt:variant>
      <vt:variant>
        <vt:lpwstr/>
      </vt:variant>
      <vt:variant>
        <vt:i4>4063267</vt:i4>
      </vt:variant>
      <vt:variant>
        <vt:i4>14207</vt:i4>
      </vt:variant>
      <vt:variant>
        <vt:i4>0</vt:i4>
      </vt:variant>
      <vt:variant>
        <vt:i4>5</vt:i4>
      </vt:variant>
      <vt:variant>
        <vt:lpwstr>http://www.ncbi.nlm.nih.gov/pubmed/9712107</vt:lpwstr>
      </vt:variant>
      <vt:variant>
        <vt:lpwstr/>
      </vt:variant>
      <vt:variant>
        <vt:i4>3407917</vt:i4>
      </vt:variant>
      <vt:variant>
        <vt:i4>14204</vt:i4>
      </vt:variant>
      <vt:variant>
        <vt:i4>0</vt:i4>
      </vt:variant>
      <vt:variant>
        <vt:i4>5</vt:i4>
      </vt:variant>
      <vt:variant>
        <vt:lpwstr>http://www.ncbi.nlm.nih.gov/pubmed/19874593</vt:lpwstr>
      </vt:variant>
      <vt:variant>
        <vt:lpwstr/>
      </vt:variant>
      <vt:variant>
        <vt:i4>3276847</vt:i4>
      </vt:variant>
      <vt:variant>
        <vt:i4>14201</vt:i4>
      </vt:variant>
      <vt:variant>
        <vt:i4>0</vt:i4>
      </vt:variant>
      <vt:variant>
        <vt:i4>5</vt:i4>
      </vt:variant>
      <vt:variant>
        <vt:lpwstr>http://www.ncbi.nlm.nih.gov/pubmed/18636234</vt:lpwstr>
      </vt:variant>
      <vt:variant>
        <vt:lpwstr/>
      </vt:variant>
      <vt:variant>
        <vt:i4>3670049</vt:i4>
      </vt:variant>
      <vt:variant>
        <vt:i4>14198</vt:i4>
      </vt:variant>
      <vt:variant>
        <vt:i4>0</vt:i4>
      </vt:variant>
      <vt:variant>
        <vt:i4>5</vt:i4>
      </vt:variant>
      <vt:variant>
        <vt:lpwstr>http://www.ncbi.nlm.nih.gov/pubmed/16912027</vt:lpwstr>
      </vt:variant>
      <vt:variant>
        <vt:lpwstr/>
      </vt:variant>
      <vt:variant>
        <vt:i4>3276839</vt:i4>
      </vt:variant>
      <vt:variant>
        <vt:i4>14195</vt:i4>
      </vt:variant>
      <vt:variant>
        <vt:i4>0</vt:i4>
      </vt:variant>
      <vt:variant>
        <vt:i4>5</vt:i4>
      </vt:variant>
      <vt:variant>
        <vt:lpwstr>http://www.ncbi.nlm.nih.gov/pubmed/17142209</vt:lpwstr>
      </vt:variant>
      <vt:variant>
        <vt:lpwstr/>
      </vt:variant>
      <vt:variant>
        <vt:i4>2883661</vt:i4>
      </vt:variant>
      <vt:variant>
        <vt:i4>14192</vt:i4>
      </vt:variant>
      <vt:variant>
        <vt:i4>0</vt:i4>
      </vt:variant>
      <vt:variant>
        <vt:i4>5</vt:i4>
      </vt:variant>
      <vt:variant>
        <vt:lpwstr>E:\AppData\Local\Microsoft\Windows\Temporary Internet Files\Content.Outlook\AppData\Local\Microsoft\Windows\Temporary Internet Files\Content.Outlook\50QE161U\Pain_files\bcbs_thermography.htm</vt:lpwstr>
      </vt:variant>
      <vt:variant>
        <vt:lpwstr/>
      </vt:variant>
      <vt:variant>
        <vt:i4>1900634</vt:i4>
      </vt:variant>
      <vt:variant>
        <vt:i4>14189</vt:i4>
      </vt:variant>
      <vt:variant>
        <vt:i4>0</vt:i4>
      </vt:variant>
      <vt:variant>
        <vt:i4>5</vt:i4>
      </vt:variant>
      <vt:variant>
        <vt:lpwstr>http://www.regence.com/trgmedpol/medicine/med40.html</vt:lpwstr>
      </vt:variant>
      <vt:variant>
        <vt:lpwstr/>
      </vt:variant>
      <vt:variant>
        <vt:i4>1441899</vt:i4>
      </vt:variant>
      <vt:variant>
        <vt:i4>14186</vt:i4>
      </vt:variant>
      <vt:variant>
        <vt:i4>0</vt:i4>
      </vt:variant>
      <vt:variant>
        <vt:i4>5</vt:i4>
      </vt:variant>
      <vt:variant>
        <vt:lpwstr>E:\AppData\Local\Microsoft\Windows\Temporary Internet Files\Content.Outlook\AppData\Local\Microsoft\Windows\Temporary Internet Files\Content.Outlook\50QE161U\Pain_files\bcbs_biofeedback.htm</vt:lpwstr>
      </vt:variant>
      <vt:variant>
        <vt:lpwstr/>
      </vt:variant>
      <vt:variant>
        <vt:i4>7929867</vt:i4>
      </vt:variant>
      <vt:variant>
        <vt:i4>14183</vt:i4>
      </vt:variant>
      <vt:variant>
        <vt:i4>0</vt:i4>
      </vt:variant>
      <vt:variant>
        <vt:i4>5</vt:i4>
      </vt:variant>
      <vt:variant>
        <vt:lpwstr>E:\AppData\Local\Microsoft\Windows\Temporary Internet Files\Content.Outlook\AppData\Local\Microsoft\Windows\Temporary Internet Files\Content.Outlook\50QE161U\Pain_files\bcbs_spinestim.htm</vt:lpwstr>
      </vt:variant>
      <vt:variant>
        <vt:lpwstr/>
      </vt:variant>
      <vt:variant>
        <vt:i4>3801183</vt:i4>
      </vt:variant>
      <vt:variant>
        <vt:i4>14180</vt:i4>
      </vt:variant>
      <vt:variant>
        <vt:i4>0</vt:i4>
      </vt:variant>
      <vt:variant>
        <vt:i4>5</vt:i4>
      </vt:variant>
      <vt:variant>
        <vt:lpwstr>E:\AppData\Local\Microsoft\Windows\Temporary Internet Files\Content.Outlook\AppData\Local\Microsoft\Windows\Temporary Internet Files\Content.Outlook\50QE161U\Pain_files\bcbs_lllt.htm</vt:lpwstr>
      </vt:variant>
      <vt:variant>
        <vt:lpwstr/>
      </vt:variant>
      <vt:variant>
        <vt:i4>2555970</vt:i4>
      </vt:variant>
      <vt:variant>
        <vt:i4>14177</vt:i4>
      </vt:variant>
      <vt:variant>
        <vt:i4>0</vt:i4>
      </vt:variant>
      <vt:variant>
        <vt:i4>5</vt:i4>
      </vt:variant>
      <vt:variant>
        <vt:lpwstr>E:\AppData\Local\Microsoft\Windows\Temporary Internet Files\Content.Outlook\AppData\Local\Microsoft\Windows\Temporary Internet Files\Content.Outlook\50QE161U\Pain_files\bcbs_pump.htm</vt:lpwstr>
      </vt:variant>
      <vt:variant>
        <vt:lpwstr/>
      </vt:variant>
      <vt:variant>
        <vt:i4>393329</vt:i4>
      </vt:variant>
      <vt:variant>
        <vt:i4>14174</vt:i4>
      </vt:variant>
      <vt:variant>
        <vt:i4>0</vt:i4>
      </vt:variant>
      <vt:variant>
        <vt:i4>5</vt:i4>
      </vt:variant>
      <vt:variant>
        <vt:lpwstr>E:\AppData\Local\Microsoft\Windows\Temporary Internet Files\Content.Outlook\AppData\Local\Microsoft\Windows\Temporary Internet Files\Content.Outlook\50QE161U\Pain_files\bcbs_magnets.htm</vt:lpwstr>
      </vt:variant>
      <vt:variant>
        <vt:lpwstr/>
      </vt:variant>
      <vt:variant>
        <vt:i4>5636133</vt:i4>
      </vt:variant>
      <vt:variant>
        <vt:i4>14171</vt:i4>
      </vt:variant>
      <vt:variant>
        <vt:i4>0</vt:i4>
      </vt:variant>
      <vt:variant>
        <vt:i4>5</vt:i4>
      </vt:variant>
      <vt:variant>
        <vt:lpwstr>E:\AppData\Local\Microsoft\Windows\Temporary Internet Files\Content.Outlook\AppData\Local\Microsoft\Windows\Temporary Internet Files\Content.Outlook\50QE161U\Pain_files\bcbs_interferential.htm</vt:lpwstr>
      </vt:variant>
      <vt:variant>
        <vt:lpwstr/>
      </vt:variant>
      <vt:variant>
        <vt:i4>786541</vt:i4>
      </vt:variant>
      <vt:variant>
        <vt:i4>14168</vt:i4>
      </vt:variant>
      <vt:variant>
        <vt:i4>0</vt:i4>
      </vt:variant>
      <vt:variant>
        <vt:i4>5</vt:i4>
      </vt:variant>
      <vt:variant>
        <vt:lpwstr>E:\AppData\Local\Microsoft\Windows\Temporary Internet Files\Content.Outlook\AppData\Local\Microsoft\Windows\Temporary Internet Files\Content.Outlook\50QE161U\Pain_files\bcbs_sympathetic.htm</vt:lpwstr>
      </vt:variant>
      <vt:variant>
        <vt:lpwstr/>
      </vt:variant>
      <vt:variant>
        <vt:i4>6619170</vt:i4>
      </vt:variant>
      <vt:variant>
        <vt:i4>14165</vt:i4>
      </vt:variant>
      <vt:variant>
        <vt:i4>0</vt:i4>
      </vt:variant>
      <vt:variant>
        <vt:i4>5</vt:i4>
      </vt:variant>
      <vt:variant>
        <vt:lpwstr>http://www.regence.com/trgmedpol/dme/dme11.html</vt:lpwstr>
      </vt:variant>
      <vt:variant>
        <vt:lpwstr/>
      </vt:variant>
      <vt:variant>
        <vt:i4>3407937</vt:i4>
      </vt:variant>
      <vt:variant>
        <vt:i4>14162</vt:i4>
      </vt:variant>
      <vt:variant>
        <vt:i4>0</vt:i4>
      </vt:variant>
      <vt:variant>
        <vt:i4>5</vt:i4>
      </vt:variant>
      <vt:variant>
        <vt:lpwstr>E:\AppData\Local\Microsoft\Windows\Temporary Internet Files\Content.Outlook\AppData\Local\Microsoft\Windows\Temporary Internet Files\Content.Outlook\50QE161U\Pain_files\bcbs_pens.htm</vt:lpwstr>
      </vt:variant>
      <vt:variant>
        <vt:lpwstr/>
      </vt:variant>
      <vt:variant>
        <vt:i4>3735588</vt:i4>
      </vt:variant>
      <vt:variant>
        <vt:i4>14159</vt:i4>
      </vt:variant>
      <vt:variant>
        <vt:i4>0</vt:i4>
      </vt:variant>
      <vt:variant>
        <vt:i4>5</vt:i4>
      </vt:variant>
      <vt:variant>
        <vt:lpwstr>http://www.ncbi.nlm.nih.gov/pubmed/17617497</vt:lpwstr>
      </vt:variant>
      <vt:variant>
        <vt:lpwstr/>
      </vt:variant>
      <vt:variant>
        <vt:i4>3211306</vt:i4>
      </vt:variant>
      <vt:variant>
        <vt:i4>14156</vt:i4>
      </vt:variant>
      <vt:variant>
        <vt:i4>0</vt:i4>
      </vt:variant>
      <vt:variant>
        <vt:i4>5</vt:i4>
      </vt:variant>
      <vt:variant>
        <vt:lpwstr>http://www.ncbi.nlm.nih.gov/pubmed/16682240</vt:lpwstr>
      </vt:variant>
      <vt:variant>
        <vt:lpwstr/>
      </vt:variant>
      <vt:variant>
        <vt:i4>3932207</vt:i4>
      </vt:variant>
      <vt:variant>
        <vt:i4>14153</vt:i4>
      </vt:variant>
      <vt:variant>
        <vt:i4>0</vt:i4>
      </vt:variant>
      <vt:variant>
        <vt:i4>5</vt:i4>
      </vt:variant>
      <vt:variant>
        <vt:lpwstr>http://www.ncbi.nlm.nih.gov/pubmed/16960944</vt:lpwstr>
      </vt:variant>
      <vt:variant>
        <vt:lpwstr/>
      </vt:variant>
      <vt:variant>
        <vt:i4>4063268</vt:i4>
      </vt:variant>
      <vt:variant>
        <vt:i4>14150</vt:i4>
      </vt:variant>
      <vt:variant>
        <vt:i4>0</vt:i4>
      </vt:variant>
      <vt:variant>
        <vt:i4>5</vt:i4>
      </vt:variant>
      <vt:variant>
        <vt:lpwstr>http://www.ncbi.nlm.nih.gov/pubmed/15729516</vt:lpwstr>
      </vt:variant>
      <vt:variant>
        <vt:lpwstr/>
      </vt:variant>
      <vt:variant>
        <vt:i4>3866658</vt:i4>
      </vt:variant>
      <vt:variant>
        <vt:i4>14147</vt:i4>
      </vt:variant>
      <vt:variant>
        <vt:i4>0</vt:i4>
      </vt:variant>
      <vt:variant>
        <vt:i4>5</vt:i4>
      </vt:variant>
      <vt:variant>
        <vt:lpwstr>http://www.ncbi.nlm.nih.gov/pubmed/22213786</vt:lpwstr>
      </vt:variant>
      <vt:variant>
        <vt:lpwstr/>
      </vt:variant>
      <vt:variant>
        <vt:i4>3801124</vt:i4>
      </vt:variant>
      <vt:variant>
        <vt:i4>14144</vt:i4>
      </vt:variant>
      <vt:variant>
        <vt:i4>0</vt:i4>
      </vt:variant>
      <vt:variant>
        <vt:i4>5</vt:i4>
      </vt:variant>
      <vt:variant>
        <vt:lpwstr>http://www.ncbi.nlm.nih.gov/pubmed/23726390</vt:lpwstr>
      </vt:variant>
      <vt:variant>
        <vt:lpwstr/>
      </vt:variant>
      <vt:variant>
        <vt:i4>4063266</vt:i4>
      </vt:variant>
      <vt:variant>
        <vt:i4>14141</vt:i4>
      </vt:variant>
      <vt:variant>
        <vt:i4>0</vt:i4>
      </vt:variant>
      <vt:variant>
        <vt:i4>5</vt:i4>
      </vt:variant>
      <vt:variant>
        <vt:lpwstr>http://www.ncbi.nlm.nih.gov/pubmed/16533193</vt:lpwstr>
      </vt:variant>
      <vt:variant>
        <vt:lpwstr/>
      </vt:variant>
      <vt:variant>
        <vt:i4>3407916</vt:i4>
      </vt:variant>
      <vt:variant>
        <vt:i4>14138</vt:i4>
      </vt:variant>
      <vt:variant>
        <vt:i4>0</vt:i4>
      </vt:variant>
      <vt:variant>
        <vt:i4>5</vt:i4>
      </vt:variant>
      <vt:variant>
        <vt:lpwstr>http://www.ncbi.nlm.nih.gov/pubmed/10989256</vt:lpwstr>
      </vt:variant>
      <vt:variant>
        <vt:lpwstr/>
      </vt:variant>
      <vt:variant>
        <vt:i4>3276835</vt:i4>
      </vt:variant>
      <vt:variant>
        <vt:i4>14135</vt:i4>
      </vt:variant>
      <vt:variant>
        <vt:i4>0</vt:i4>
      </vt:variant>
      <vt:variant>
        <vt:i4>5</vt:i4>
      </vt:variant>
      <vt:variant>
        <vt:lpwstr>http://www.ncbi.nlm.nih.gov/pubmed/11013502</vt:lpwstr>
      </vt:variant>
      <vt:variant>
        <vt:lpwstr/>
      </vt:variant>
      <vt:variant>
        <vt:i4>3145774</vt:i4>
      </vt:variant>
      <vt:variant>
        <vt:i4>14132</vt:i4>
      </vt:variant>
      <vt:variant>
        <vt:i4>0</vt:i4>
      </vt:variant>
      <vt:variant>
        <vt:i4>5</vt:i4>
      </vt:variant>
      <vt:variant>
        <vt:lpwstr>http://www.ncbi.nlm.nih.gov/pubmed/9728378</vt:lpwstr>
      </vt:variant>
      <vt:variant>
        <vt:lpwstr/>
      </vt:variant>
      <vt:variant>
        <vt:i4>3473450</vt:i4>
      </vt:variant>
      <vt:variant>
        <vt:i4>14129</vt:i4>
      </vt:variant>
      <vt:variant>
        <vt:i4>0</vt:i4>
      </vt:variant>
      <vt:variant>
        <vt:i4>5</vt:i4>
      </vt:variant>
      <vt:variant>
        <vt:lpwstr>http://www.ncbi.nlm.nih.gov/pubmed/9198257</vt:lpwstr>
      </vt:variant>
      <vt:variant>
        <vt:lpwstr/>
      </vt:variant>
      <vt:variant>
        <vt:i4>4063267</vt:i4>
      </vt:variant>
      <vt:variant>
        <vt:i4>14126</vt:i4>
      </vt:variant>
      <vt:variant>
        <vt:i4>0</vt:i4>
      </vt:variant>
      <vt:variant>
        <vt:i4>5</vt:i4>
      </vt:variant>
      <vt:variant>
        <vt:lpwstr>http://www.ncbi.nlm.nih.gov/pubmed/9549794</vt:lpwstr>
      </vt:variant>
      <vt:variant>
        <vt:lpwstr/>
      </vt:variant>
      <vt:variant>
        <vt:i4>3145762</vt:i4>
      </vt:variant>
      <vt:variant>
        <vt:i4>14123</vt:i4>
      </vt:variant>
      <vt:variant>
        <vt:i4>0</vt:i4>
      </vt:variant>
      <vt:variant>
        <vt:i4>5</vt:i4>
      </vt:variant>
      <vt:variant>
        <vt:lpwstr>http://www.ncbi.nlm.nih.gov/pubmed/15746509</vt:lpwstr>
      </vt:variant>
      <vt:variant>
        <vt:lpwstr/>
      </vt:variant>
      <vt:variant>
        <vt:i4>3932196</vt:i4>
      </vt:variant>
      <vt:variant>
        <vt:i4>14120</vt:i4>
      </vt:variant>
      <vt:variant>
        <vt:i4>0</vt:i4>
      </vt:variant>
      <vt:variant>
        <vt:i4>5</vt:i4>
      </vt:variant>
      <vt:variant>
        <vt:lpwstr>http://www.ncbi.nlm.nih.gov/pubmed/21459637</vt:lpwstr>
      </vt:variant>
      <vt:variant>
        <vt:lpwstr/>
      </vt:variant>
      <vt:variant>
        <vt:i4>4128801</vt:i4>
      </vt:variant>
      <vt:variant>
        <vt:i4>14117</vt:i4>
      </vt:variant>
      <vt:variant>
        <vt:i4>0</vt:i4>
      </vt:variant>
      <vt:variant>
        <vt:i4>5</vt:i4>
      </vt:variant>
      <vt:variant>
        <vt:lpwstr>http://www.ncbi.nlm.nih.gov/pubmed/19573987</vt:lpwstr>
      </vt:variant>
      <vt:variant>
        <vt:lpwstr/>
      </vt:variant>
      <vt:variant>
        <vt:i4>3801125</vt:i4>
      </vt:variant>
      <vt:variant>
        <vt:i4>14114</vt:i4>
      </vt:variant>
      <vt:variant>
        <vt:i4>0</vt:i4>
      </vt:variant>
      <vt:variant>
        <vt:i4>5</vt:i4>
      </vt:variant>
      <vt:variant>
        <vt:lpwstr>http://www.ncbi.nlm.nih.gov/pubmed/4143913</vt:lpwstr>
      </vt:variant>
      <vt:variant>
        <vt:lpwstr/>
      </vt:variant>
      <vt:variant>
        <vt:i4>3538987</vt:i4>
      </vt:variant>
      <vt:variant>
        <vt:i4>14111</vt:i4>
      </vt:variant>
      <vt:variant>
        <vt:i4>0</vt:i4>
      </vt:variant>
      <vt:variant>
        <vt:i4>5</vt:i4>
      </vt:variant>
      <vt:variant>
        <vt:lpwstr>http://www.ncbi.nlm.nih.gov/pubmed/18344107</vt:lpwstr>
      </vt:variant>
      <vt:variant>
        <vt:lpwstr/>
      </vt:variant>
      <vt:variant>
        <vt:i4>3211298</vt:i4>
      </vt:variant>
      <vt:variant>
        <vt:i4>14108</vt:i4>
      </vt:variant>
      <vt:variant>
        <vt:i4>0</vt:i4>
      </vt:variant>
      <vt:variant>
        <vt:i4>5</vt:i4>
      </vt:variant>
      <vt:variant>
        <vt:lpwstr>http://www.ncbi.nlm.nih.gov/pubmed/22873183</vt:lpwstr>
      </vt:variant>
      <vt:variant>
        <vt:lpwstr/>
      </vt:variant>
      <vt:variant>
        <vt:i4>3866670</vt:i4>
      </vt:variant>
      <vt:variant>
        <vt:i4>14105</vt:i4>
      </vt:variant>
      <vt:variant>
        <vt:i4>0</vt:i4>
      </vt:variant>
      <vt:variant>
        <vt:i4>5</vt:i4>
      </vt:variant>
      <vt:variant>
        <vt:lpwstr>http://www.ncbi.nlm.nih.gov/pubmed/11795084</vt:lpwstr>
      </vt:variant>
      <vt:variant>
        <vt:lpwstr/>
      </vt:variant>
      <vt:variant>
        <vt:i4>7405611</vt:i4>
      </vt:variant>
      <vt:variant>
        <vt:i4>14102</vt:i4>
      </vt:variant>
      <vt:variant>
        <vt:i4>0</vt:i4>
      </vt:variant>
      <vt:variant>
        <vt:i4>5</vt:i4>
      </vt:variant>
      <vt:variant>
        <vt:lpwstr>E:\AppData\Local\Microsoft\Windows\Temporary Internet Files\Content.Outlook\AppData\Local\Microsoft\Windows\Temporary Internet Files\Content.Outlook\50QE161U\Pain_files\barrows.htm</vt:lpwstr>
      </vt:variant>
      <vt:variant>
        <vt:lpwstr/>
      </vt:variant>
      <vt:variant>
        <vt:i4>4128813</vt:i4>
      </vt:variant>
      <vt:variant>
        <vt:i4>14099</vt:i4>
      </vt:variant>
      <vt:variant>
        <vt:i4>0</vt:i4>
      </vt:variant>
      <vt:variant>
        <vt:i4>5</vt:i4>
      </vt:variant>
      <vt:variant>
        <vt:lpwstr>http://www.ncbi.nlm.nih.gov/pubmed/15179966</vt:lpwstr>
      </vt:variant>
      <vt:variant>
        <vt:lpwstr/>
      </vt:variant>
      <vt:variant>
        <vt:i4>4063272</vt:i4>
      </vt:variant>
      <vt:variant>
        <vt:i4>14096</vt:i4>
      </vt:variant>
      <vt:variant>
        <vt:i4>0</vt:i4>
      </vt:variant>
      <vt:variant>
        <vt:i4>5</vt:i4>
      </vt:variant>
      <vt:variant>
        <vt:lpwstr>http://www.ncbi.nlm.nih.gov/pubmed/19834431</vt:lpwstr>
      </vt:variant>
      <vt:variant>
        <vt:lpwstr/>
      </vt:variant>
      <vt:variant>
        <vt:i4>4128804</vt:i4>
      </vt:variant>
      <vt:variant>
        <vt:i4>14093</vt:i4>
      </vt:variant>
      <vt:variant>
        <vt:i4>0</vt:i4>
      </vt:variant>
      <vt:variant>
        <vt:i4>5</vt:i4>
      </vt:variant>
      <vt:variant>
        <vt:lpwstr>http://www.ncbi.nlm.nih.gov/pubmed/21174485</vt:lpwstr>
      </vt:variant>
      <vt:variant>
        <vt:lpwstr/>
      </vt:variant>
      <vt:variant>
        <vt:i4>3342370</vt:i4>
      </vt:variant>
      <vt:variant>
        <vt:i4>14090</vt:i4>
      </vt:variant>
      <vt:variant>
        <vt:i4>0</vt:i4>
      </vt:variant>
      <vt:variant>
        <vt:i4>5</vt:i4>
      </vt:variant>
      <vt:variant>
        <vt:lpwstr>http://www.ncbi.nlm.nih.gov/pubmed/16461471</vt:lpwstr>
      </vt:variant>
      <vt:variant>
        <vt:lpwstr/>
      </vt:variant>
      <vt:variant>
        <vt:i4>3342374</vt:i4>
      </vt:variant>
      <vt:variant>
        <vt:i4>14087</vt:i4>
      </vt:variant>
      <vt:variant>
        <vt:i4>0</vt:i4>
      </vt:variant>
      <vt:variant>
        <vt:i4>5</vt:i4>
      </vt:variant>
      <vt:variant>
        <vt:lpwstr>http://www.ncbi.nlm.nih.gov/pubmed/12516310</vt:lpwstr>
      </vt:variant>
      <vt:variant>
        <vt:lpwstr/>
      </vt:variant>
      <vt:variant>
        <vt:i4>3145769</vt:i4>
      </vt:variant>
      <vt:variant>
        <vt:i4>14084</vt:i4>
      </vt:variant>
      <vt:variant>
        <vt:i4>0</vt:i4>
      </vt:variant>
      <vt:variant>
        <vt:i4>5</vt:i4>
      </vt:variant>
      <vt:variant>
        <vt:lpwstr>http://www.ncbi.nlm.nih.gov/pubmed/18256259</vt:lpwstr>
      </vt:variant>
      <vt:variant>
        <vt:lpwstr/>
      </vt:variant>
      <vt:variant>
        <vt:i4>3538982</vt:i4>
      </vt:variant>
      <vt:variant>
        <vt:i4>14081</vt:i4>
      </vt:variant>
      <vt:variant>
        <vt:i4>0</vt:i4>
      </vt:variant>
      <vt:variant>
        <vt:i4>5</vt:i4>
      </vt:variant>
      <vt:variant>
        <vt:lpwstr>http://www.ncbi.nlm.nih.gov/pubmed/16272179</vt:lpwstr>
      </vt:variant>
      <vt:variant>
        <vt:lpwstr/>
      </vt:variant>
      <vt:variant>
        <vt:i4>3997731</vt:i4>
      </vt:variant>
      <vt:variant>
        <vt:i4>14078</vt:i4>
      </vt:variant>
      <vt:variant>
        <vt:i4>0</vt:i4>
      </vt:variant>
      <vt:variant>
        <vt:i4>5</vt:i4>
      </vt:variant>
      <vt:variant>
        <vt:lpwstr>http://www.ncbi.nlm.nih.gov/pubmed/18799425</vt:lpwstr>
      </vt:variant>
      <vt:variant>
        <vt:lpwstr/>
      </vt:variant>
      <vt:variant>
        <vt:i4>3735595</vt:i4>
      </vt:variant>
      <vt:variant>
        <vt:i4>14075</vt:i4>
      </vt:variant>
      <vt:variant>
        <vt:i4>0</vt:i4>
      </vt:variant>
      <vt:variant>
        <vt:i4>5</vt:i4>
      </vt:variant>
      <vt:variant>
        <vt:lpwstr>http://www.ncbi.nlm.nih.gov/pubmed/14609970</vt:lpwstr>
      </vt:variant>
      <vt:variant>
        <vt:lpwstr/>
      </vt:variant>
      <vt:variant>
        <vt:i4>3211298</vt:i4>
      </vt:variant>
      <vt:variant>
        <vt:i4>14072</vt:i4>
      </vt:variant>
      <vt:variant>
        <vt:i4>0</vt:i4>
      </vt:variant>
      <vt:variant>
        <vt:i4>5</vt:i4>
      </vt:variant>
      <vt:variant>
        <vt:lpwstr>http://www.ncbi.nlm.nih.gov/pubmed/23265145</vt:lpwstr>
      </vt:variant>
      <vt:variant>
        <vt:lpwstr/>
      </vt:variant>
      <vt:variant>
        <vt:i4>3997743</vt:i4>
      </vt:variant>
      <vt:variant>
        <vt:i4>14069</vt:i4>
      </vt:variant>
      <vt:variant>
        <vt:i4>0</vt:i4>
      </vt:variant>
      <vt:variant>
        <vt:i4>5</vt:i4>
      </vt:variant>
      <vt:variant>
        <vt:lpwstr>http://www.ncbi.nlm.nih.gov/pubmed/9846777</vt:lpwstr>
      </vt:variant>
      <vt:variant>
        <vt:lpwstr/>
      </vt:variant>
      <vt:variant>
        <vt:i4>3604519</vt:i4>
      </vt:variant>
      <vt:variant>
        <vt:i4>14066</vt:i4>
      </vt:variant>
      <vt:variant>
        <vt:i4>0</vt:i4>
      </vt:variant>
      <vt:variant>
        <vt:i4>5</vt:i4>
      </vt:variant>
      <vt:variant>
        <vt:lpwstr>http://www.ncbi.nlm.nih.gov/pubmed/12221151</vt:lpwstr>
      </vt:variant>
      <vt:variant>
        <vt:lpwstr/>
      </vt:variant>
      <vt:variant>
        <vt:i4>3932201</vt:i4>
      </vt:variant>
      <vt:variant>
        <vt:i4>14063</vt:i4>
      </vt:variant>
      <vt:variant>
        <vt:i4>0</vt:i4>
      </vt:variant>
      <vt:variant>
        <vt:i4>5</vt:i4>
      </vt:variant>
      <vt:variant>
        <vt:lpwstr>http://www.ncbi.nlm.nih.gov/pubmed/14996228</vt:lpwstr>
      </vt:variant>
      <vt:variant>
        <vt:lpwstr/>
      </vt:variant>
      <vt:variant>
        <vt:i4>3604513</vt:i4>
      </vt:variant>
      <vt:variant>
        <vt:i4>14060</vt:i4>
      </vt:variant>
      <vt:variant>
        <vt:i4>0</vt:i4>
      </vt:variant>
      <vt:variant>
        <vt:i4>5</vt:i4>
      </vt:variant>
      <vt:variant>
        <vt:lpwstr>http://www.ncbi.nlm.nih.gov/pubmed/16034227</vt:lpwstr>
      </vt:variant>
      <vt:variant>
        <vt:lpwstr/>
      </vt:variant>
      <vt:variant>
        <vt:i4>3801122</vt:i4>
      </vt:variant>
      <vt:variant>
        <vt:i4>14057</vt:i4>
      </vt:variant>
      <vt:variant>
        <vt:i4>0</vt:i4>
      </vt:variant>
      <vt:variant>
        <vt:i4>5</vt:i4>
      </vt:variant>
      <vt:variant>
        <vt:lpwstr>http://www.ncbi.nlm.nih.gov/pubmed/17038030</vt:lpwstr>
      </vt:variant>
      <vt:variant>
        <vt:lpwstr/>
      </vt:variant>
      <vt:variant>
        <vt:i4>4128801</vt:i4>
      </vt:variant>
      <vt:variant>
        <vt:i4>14054</vt:i4>
      </vt:variant>
      <vt:variant>
        <vt:i4>0</vt:i4>
      </vt:variant>
      <vt:variant>
        <vt:i4>5</vt:i4>
      </vt:variant>
      <vt:variant>
        <vt:lpwstr>http://www.ncbi.nlm.nih.gov/pubmed/15205295</vt:lpwstr>
      </vt:variant>
      <vt:variant>
        <vt:lpwstr/>
      </vt:variant>
      <vt:variant>
        <vt:i4>3473443</vt:i4>
      </vt:variant>
      <vt:variant>
        <vt:i4>14051</vt:i4>
      </vt:variant>
      <vt:variant>
        <vt:i4>0</vt:i4>
      </vt:variant>
      <vt:variant>
        <vt:i4>5</vt:i4>
      </vt:variant>
      <vt:variant>
        <vt:lpwstr>http://www.ncbi.nlm.nih.gov/pubmed/12665179</vt:lpwstr>
      </vt:variant>
      <vt:variant>
        <vt:lpwstr/>
      </vt:variant>
      <vt:variant>
        <vt:i4>3538977</vt:i4>
      </vt:variant>
      <vt:variant>
        <vt:i4>14048</vt:i4>
      </vt:variant>
      <vt:variant>
        <vt:i4>0</vt:i4>
      </vt:variant>
      <vt:variant>
        <vt:i4>5</vt:i4>
      </vt:variant>
      <vt:variant>
        <vt:lpwstr>http://www.ncbi.nlm.nih.gov/pubmed/14969574</vt:lpwstr>
      </vt:variant>
      <vt:variant>
        <vt:lpwstr/>
      </vt:variant>
      <vt:variant>
        <vt:i4>3211310</vt:i4>
      </vt:variant>
      <vt:variant>
        <vt:i4>14045</vt:i4>
      </vt:variant>
      <vt:variant>
        <vt:i4>0</vt:i4>
      </vt:variant>
      <vt:variant>
        <vt:i4>5</vt:i4>
      </vt:variant>
      <vt:variant>
        <vt:lpwstr>http://www.ncbi.nlm.nih.gov/pubmed/19633259</vt:lpwstr>
      </vt:variant>
      <vt:variant>
        <vt:lpwstr/>
      </vt:variant>
      <vt:variant>
        <vt:i4>3342377</vt:i4>
      </vt:variant>
      <vt:variant>
        <vt:i4>14042</vt:i4>
      </vt:variant>
      <vt:variant>
        <vt:i4>0</vt:i4>
      </vt:variant>
      <vt:variant>
        <vt:i4>5</vt:i4>
      </vt:variant>
      <vt:variant>
        <vt:lpwstr>http://www.ncbi.nlm.nih.gov/pubmed/7841868</vt:lpwstr>
      </vt:variant>
      <vt:variant>
        <vt:lpwstr/>
      </vt:variant>
      <vt:variant>
        <vt:i4>3801122</vt:i4>
      </vt:variant>
      <vt:variant>
        <vt:i4>14039</vt:i4>
      </vt:variant>
      <vt:variant>
        <vt:i4>0</vt:i4>
      </vt:variant>
      <vt:variant>
        <vt:i4>5</vt:i4>
      </vt:variant>
      <vt:variant>
        <vt:lpwstr>http://www.ncbi.nlm.nih.gov/pubmed/16639148</vt:lpwstr>
      </vt:variant>
      <vt:variant>
        <vt:lpwstr/>
      </vt:variant>
      <vt:variant>
        <vt:i4>3801122</vt:i4>
      </vt:variant>
      <vt:variant>
        <vt:i4>14036</vt:i4>
      </vt:variant>
      <vt:variant>
        <vt:i4>0</vt:i4>
      </vt:variant>
      <vt:variant>
        <vt:i4>5</vt:i4>
      </vt:variant>
      <vt:variant>
        <vt:lpwstr>http://www.ncbi.nlm.nih.gov/pubmed/2144915</vt:lpwstr>
      </vt:variant>
      <vt:variant>
        <vt:lpwstr/>
      </vt:variant>
      <vt:variant>
        <vt:i4>3342369</vt:i4>
      </vt:variant>
      <vt:variant>
        <vt:i4>14033</vt:i4>
      </vt:variant>
      <vt:variant>
        <vt:i4>0</vt:i4>
      </vt:variant>
      <vt:variant>
        <vt:i4>5</vt:i4>
      </vt:variant>
      <vt:variant>
        <vt:lpwstr>http://www.ncbi.nlm.nih.gov/pubmed/17714117</vt:lpwstr>
      </vt:variant>
      <vt:variant>
        <vt:lpwstr/>
      </vt:variant>
      <vt:variant>
        <vt:i4>3997737</vt:i4>
      </vt:variant>
      <vt:variant>
        <vt:i4>14030</vt:i4>
      </vt:variant>
      <vt:variant>
        <vt:i4>0</vt:i4>
      </vt:variant>
      <vt:variant>
        <vt:i4>5</vt:i4>
      </vt:variant>
      <vt:variant>
        <vt:lpwstr>http://www.ncbi.nlm.nih.gov/pubmed/16298061</vt:lpwstr>
      </vt:variant>
      <vt:variant>
        <vt:lpwstr/>
      </vt:variant>
      <vt:variant>
        <vt:i4>3276844</vt:i4>
      </vt:variant>
      <vt:variant>
        <vt:i4>14027</vt:i4>
      </vt:variant>
      <vt:variant>
        <vt:i4>0</vt:i4>
      </vt:variant>
      <vt:variant>
        <vt:i4>5</vt:i4>
      </vt:variant>
      <vt:variant>
        <vt:lpwstr>http://www.ncbi.nlm.nih.gov/pubmed/17393438</vt:lpwstr>
      </vt:variant>
      <vt:variant>
        <vt:lpwstr/>
      </vt:variant>
      <vt:variant>
        <vt:i4>3342370</vt:i4>
      </vt:variant>
      <vt:variant>
        <vt:i4>14024</vt:i4>
      </vt:variant>
      <vt:variant>
        <vt:i4>0</vt:i4>
      </vt:variant>
      <vt:variant>
        <vt:i4>5</vt:i4>
      </vt:variant>
      <vt:variant>
        <vt:lpwstr>http://www.ncbi.nlm.nih.gov/pubmed/15563741</vt:lpwstr>
      </vt:variant>
      <vt:variant>
        <vt:lpwstr/>
      </vt:variant>
      <vt:variant>
        <vt:i4>3211298</vt:i4>
      </vt:variant>
      <vt:variant>
        <vt:i4>14021</vt:i4>
      </vt:variant>
      <vt:variant>
        <vt:i4>0</vt:i4>
      </vt:variant>
      <vt:variant>
        <vt:i4>5</vt:i4>
      </vt:variant>
      <vt:variant>
        <vt:lpwstr>http://www.ncbi.nlm.nih.gov/pubmed/15471658</vt:lpwstr>
      </vt:variant>
      <vt:variant>
        <vt:lpwstr/>
      </vt:variant>
      <vt:variant>
        <vt:i4>4063265</vt:i4>
      </vt:variant>
      <vt:variant>
        <vt:i4>14018</vt:i4>
      </vt:variant>
      <vt:variant>
        <vt:i4>0</vt:i4>
      </vt:variant>
      <vt:variant>
        <vt:i4>5</vt:i4>
      </vt:variant>
      <vt:variant>
        <vt:lpwstr>http://www.ncbi.nlm.nih.gov/pubmed/16499825</vt:lpwstr>
      </vt:variant>
      <vt:variant>
        <vt:lpwstr/>
      </vt:variant>
      <vt:variant>
        <vt:i4>6488070</vt:i4>
      </vt:variant>
      <vt:variant>
        <vt:i4>14015</vt:i4>
      </vt:variant>
      <vt:variant>
        <vt:i4>0</vt:i4>
      </vt:variant>
      <vt:variant>
        <vt:i4>5</vt:i4>
      </vt:variant>
      <vt:variant>
        <vt:lpwstr>http://www.orthopt.org/uploads/content_files/OHSIG_Guidelines/Occupational_Hlth_PT_Evaluating_Functional_Capacity_040610__2_.pdf</vt:lpwstr>
      </vt:variant>
      <vt:variant>
        <vt:lpwstr/>
      </vt:variant>
      <vt:variant>
        <vt:i4>4128805</vt:i4>
      </vt:variant>
      <vt:variant>
        <vt:i4>14012</vt:i4>
      </vt:variant>
      <vt:variant>
        <vt:i4>0</vt:i4>
      </vt:variant>
      <vt:variant>
        <vt:i4>5</vt:i4>
      </vt:variant>
      <vt:variant>
        <vt:lpwstr>http://www.ncbi.nlm.nih.gov/pubmed/12008165</vt:lpwstr>
      </vt:variant>
      <vt:variant>
        <vt:lpwstr/>
      </vt:variant>
      <vt:variant>
        <vt:i4>3342369</vt:i4>
      </vt:variant>
      <vt:variant>
        <vt:i4>14009</vt:i4>
      </vt:variant>
      <vt:variant>
        <vt:i4>0</vt:i4>
      </vt:variant>
      <vt:variant>
        <vt:i4>5</vt:i4>
      </vt:variant>
      <vt:variant>
        <vt:lpwstr>http://www.ncbi.nlm.nih.gov/pubmed/17325246</vt:lpwstr>
      </vt:variant>
      <vt:variant>
        <vt:lpwstr/>
      </vt:variant>
      <vt:variant>
        <vt:i4>3342378</vt:i4>
      </vt:variant>
      <vt:variant>
        <vt:i4>14006</vt:i4>
      </vt:variant>
      <vt:variant>
        <vt:i4>0</vt:i4>
      </vt:variant>
      <vt:variant>
        <vt:i4>5</vt:i4>
      </vt:variant>
      <vt:variant>
        <vt:lpwstr>http://www.ncbi.nlm.nih.gov/pubmed/9428901</vt:lpwstr>
      </vt:variant>
      <vt:variant>
        <vt:lpwstr/>
      </vt:variant>
      <vt:variant>
        <vt:i4>3211307</vt:i4>
      </vt:variant>
      <vt:variant>
        <vt:i4>14003</vt:i4>
      </vt:variant>
      <vt:variant>
        <vt:i4>0</vt:i4>
      </vt:variant>
      <vt:variant>
        <vt:i4>5</vt:i4>
      </vt:variant>
      <vt:variant>
        <vt:lpwstr>http://www.ncbi.nlm.nih.gov/pubmed/18646107</vt:lpwstr>
      </vt:variant>
      <vt:variant>
        <vt:lpwstr/>
      </vt:variant>
      <vt:variant>
        <vt:i4>4063268</vt:i4>
      </vt:variant>
      <vt:variant>
        <vt:i4>14000</vt:i4>
      </vt:variant>
      <vt:variant>
        <vt:i4>0</vt:i4>
      </vt:variant>
      <vt:variant>
        <vt:i4>5</vt:i4>
      </vt:variant>
      <vt:variant>
        <vt:lpwstr>http://www.ncbi.nlm.nih.gov/pubmed/3060328</vt:lpwstr>
      </vt:variant>
      <vt:variant>
        <vt:lpwstr/>
      </vt:variant>
      <vt:variant>
        <vt:i4>5111872</vt:i4>
      </vt:variant>
      <vt:variant>
        <vt:i4>13997</vt:i4>
      </vt:variant>
      <vt:variant>
        <vt:i4>0</vt:i4>
      </vt:variant>
      <vt:variant>
        <vt:i4>5</vt:i4>
      </vt:variant>
      <vt:variant>
        <vt:lpwstr>http://www.acmq.org/policies/policy30.pdf</vt:lpwstr>
      </vt:variant>
      <vt:variant>
        <vt:lpwstr/>
      </vt:variant>
      <vt:variant>
        <vt:i4>3276836</vt:i4>
      </vt:variant>
      <vt:variant>
        <vt:i4>13994</vt:i4>
      </vt:variant>
      <vt:variant>
        <vt:i4>0</vt:i4>
      </vt:variant>
      <vt:variant>
        <vt:i4>5</vt:i4>
      </vt:variant>
      <vt:variant>
        <vt:lpwstr>http://www.ncbi.nlm.nih.gov/pubmed/21770475</vt:lpwstr>
      </vt:variant>
      <vt:variant>
        <vt:lpwstr/>
      </vt:variant>
      <vt:variant>
        <vt:i4>3604517</vt:i4>
      </vt:variant>
      <vt:variant>
        <vt:i4>13991</vt:i4>
      </vt:variant>
      <vt:variant>
        <vt:i4>0</vt:i4>
      </vt:variant>
      <vt:variant>
        <vt:i4>5</vt:i4>
      </vt:variant>
      <vt:variant>
        <vt:lpwstr>http://www.ncbi.nlm.nih.gov/pubmed/19332972</vt:lpwstr>
      </vt:variant>
      <vt:variant>
        <vt:lpwstr/>
      </vt:variant>
      <vt:variant>
        <vt:i4>3801123</vt:i4>
      </vt:variant>
      <vt:variant>
        <vt:i4>13988</vt:i4>
      </vt:variant>
      <vt:variant>
        <vt:i4>0</vt:i4>
      </vt:variant>
      <vt:variant>
        <vt:i4>5</vt:i4>
      </vt:variant>
      <vt:variant>
        <vt:lpwstr>http://www.ncbi.nlm.nih.gov/pubmed/1408299</vt:lpwstr>
      </vt:variant>
      <vt:variant>
        <vt:lpwstr/>
      </vt:variant>
      <vt:variant>
        <vt:i4>3538983</vt:i4>
      </vt:variant>
      <vt:variant>
        <vt:i4>13985</vt:i4>
      </vt:variant>
      <vt:variant>
        <vt:i4>0</vt:i4>
      </vt:variant>
      <vt:variant>
        <vt:i4>5</vt:i4>
      </vt:variant>
      <vt:variant>
        <vt:lpwstr>http://www.ncbi.nlm.nih.gov/pubmed/21403039</vt:lpwstr>
      </vt:variant>
      <vt:variant>
        <vt:lpwstr/>
      </vt:variant>
      <vt:variant>
        <vt:i4>3407916</vt:i4>
      </vt:variant>
      <vt:variant>
        <vt:i4>13982</vt:i4>
      </vt:variant>
      <vt:variant>
        <vt:i4>0</vt:i4>
      </vt:variant>
      <vt:variant>
        <vt:i4>5</vt:i4>
      </vt:variant>
      <vt:variant>
        <vt:lpwstr>http://www.ncbi.nlm.nih.gov/pubmed/1675694</vt:lpwstr>
      </vt:variant>
      <vt:variant>
        <vt:lpwstr/>
      </vt:variant>
      <vt:variant>
        <vt:i4>3932207</vt:i4>
      </vt:variant>
      <vt:variant>
        <vt:i4>13979</vt:i4>
      </vt:variant>
      <vt:variant>
        <vt:i4>0</vt:i4>
      </vt:variant>
      <vt:variant>
        <vt:i4>5</vt:i4>
      </vt:variant>
      <vt:variant>
        <vt:lpwstr>http://www.ncbi.nlm.nih.gov/pubmed/18346583</vt:lpwstr>
      </vt:variant>
      <vt:variant>
        <vt:lpwstr/>
      </vt:variant>
      <vt:variant>
        <vt:i4>4063274</vt:i4>
      </vt:variant>
      <vt:variant>
        <vt:i4>13976</vt:i4>
      </vt:variant>
      <vt:variant>
        <vt:i4>0</vt:i4>
      </vt:variant>
      <vt:variant>
        <vt:i4>5</vt:i4>
      </vt:variant>
      <vt:variant>
        <vt:lpwstr>http://www.ncbi.nlm.nih.gov/pubmed/3581580</vt:lpwstr>
      </vt:variant>
      <vt:variant>
        <vt:lpwstr/>
      </vt:variant>
      <vt:variant>
        <vt:i4>3342371</vt:i4>
      </vt:variant>
      <vt:variant>
        <vt:i4>13973</vt:i4>
      </vt:variant>
      <vt:variant>
        <vt:i4>0</vt:i4>
      </vt:variant>
      <vt:variant>
        <vt:i4>5</vt:i4>
      </vt:variant>
      <vt:variant>
        <vt:lpwstr>http://www.ncbi.nlm.nih.gov/pubmed/22376048</vt:lpwstr>
      </vt:variant>
      <vt:variant>
        <vt:lpwstr/>
      </vt:variant>
      <vt:variant>
        <vt:i4>3145771</vt:i4>
      </vt:variant>
      <vt:variant>
        <vt:i4>13970</vt:i4>
      </vt:variant>
      <vt:variant>
        <vt:i4>0</vt:i4>
      </vt:variant>
      <vt:variant>
        <vt:i4>5</vt:i4>
      </vt:variant>
      <vt:variant>
        <vt:lpwstr>http://www.ncbi.nlm.nih.gov/pubmed/20586515</vt:lpwstr>
      </vt:variant>
      <vt:variant>
        <vt:lpwstr/>
      </vt:variant>
      <vt:variant>
        <vt:i4>3604522</vt:i4>
      </vt:variant>
      <vt:variant>
        <vt:i4>13967</vt:i4>
      </vt:variant>
      <vt:variant>
        <vt:i4>0</vt:i4>
      </vt:variant>
      <vt:variant>
        <vt:i4>5</vt:i4>
      </vt:variant>
      <vt:variant>
        <vt:lpwstr>http://www.ncbi.nlm.nih.gov/pubmed/19446144</vt:lpwstr>
      </vt:variant>
      <vt:variant>
        <vt:lpwstr/>
      </vt:variant>
      <vt:variant>
        <vt:i4>4128805</vt:i4>
      </vt:variant>
      <vt:variant>
        <vt:i4>13964</vt:i4>
      </vt:variant>
      <vt:variant>
        <vt:i4>0</vt:i4>
      </vt:variant>
      <vt:variant>
        <vt:i4>5</vt:i4>
      </vt:variant>
      <vt:variant>
        <vt:lpwstr>http://www.ncbi.nlm.nih.gov/pubmed/21733195</vt:lpwstr>
      </vt:variant>
      <vt:variant>
        <vt:lpwstr/>
      </vt:variant>
      <vt:variant>
        <vt:i4>3997735</vt:i4>
      </vt:variant>
      <vt:variant>
        <vt:i4>13961</vt:i4>
      </vt:variant>
      <vt:variant>
        <vt:i4>0</vt:i4>
      </vt:variant>
      <vt:variant>
        <vt:i4>5</vt:i4>
      </vt:variant>
      <vt:variant>
        <vt:lpwstr>http://www.ncbi.nlm.nih.gov/pubmed/12850649</vt:lpwstr>
      </vt:variant>
      <vt:variant>
        <vt:lpwstr/>
      </vt:variant>
      <vt:variant>
        <vt:i4>4063271</vt:i4>
      </vt:variant>
      <vt:variant>
        <vt:i4>13958</vt:i4>
      </vt:variant>
      <vt:variant>
        <vt:i4>0</vt:i4>
      </vt:variant>
      <vt:variant>
        <vt:i4>5</vt:i4>
      </vt:variant>
      <vt:variant>
        <vt:lpwstr>http://www.ncbi.nlm.nih.gov/pubmed/10852454</vt:lpwstr>
      </vt:variant>
      <vt:variant>
        <vt:lpwstr/>
      </vt:variant>
      <vt:variant>
        <vt:i4>3670050</vt:i4>
      </vt:variant>
      <vt:variant>
        <vt:i4>13955</vt:i4>
      </vt:variant>
      <vt:variant>
        <vt:i4>0</vt:i4>
      </vt:variant>
      <vt:variant>
        <vt:i4>5</vt:i4>
      </vt:variant>
      <vt:variant>
        <vt:lpwstr>http://www.ncbi.nlm.nih.gov/pubmed/22048225</vt:lpwstr>
      </vt:variant>
      <vt:variant>
        <vt:lpwstr/>
      </vt:variant>
      <vt:variant>
        <vt:i4>3145766</vt:i4>
      </vt:variant>
      <vt:variant>
        <vt:i4>13952</vt:i4>
      </vt:variant>
      <vt:variant>
        <vt:i4>0</vt:i4>
      </vt:variant>
      <vt:variant>
        <vt:i4>5</vt:i4>
      </vt:variant>
      <vt:variant>
        <vt:lpwstr>http://www.ncbi.nlm.nih.gov/pubmed/11871683</vt:lpwstr>
      </vt:variant>
      <vt:variant>
        <vt:lpwstr/>
      </vt:variant>
      <vt:variant>
        <vt:i4>3276833</vt:i4>
      </vt:variant>
      <vt:variant>
        <vt:i4>13949</vt:i4>
      </vt:variant>
      <vt:variant>
        <vt:i4>0</vt:i4>
      </vt:variant>
      <vt:variant>
        <vt:i4>5</vt:i4>
      </vt:variant>
      <vt:variant>
        <vt:lpwstr>http://www.ncbi.nlm.nih.gov/pubmed/18298698</vt:lpwstr>
      </vt:variant>
      <vt:variant>
        <vt:lpwstr/>
      </vt:variant>
      <vt:variant>
        <vt:i4>3145761</vt:i4>
      </vt:variant>
      <vt:variant>
        <vt:i4>13946</vt:i4>
      </vt:variant>
      <vt:variant>
        <vt:i4>0</vt:i4>
      </vt:variant>
      <vt:variant>
        <vt:i4>5</vt:i4>
      </vt:variant>
      <vt:variant>
        <vt:lpwstr>http://www.ncbi.nlm.nih.gov/pubmed/16550448</vt:lpwstr>
      </vt:variant>
      <vt:variant>
        <vt:lpwstr/>
      </vt:variant>
      <vt:variant>
        <vt:i4>983114</vt:i4>
      </vt:variant>
      <vt:variant>
        <vt:i4>13943</vt:i4>
      </vt:variant>
      <vt:variant>
        <vt:i4>0</vt:i4>
      </vt:variant>
      <vt:variant>
        <vt:i4>5</vt:i4>
      </vt:variant>
      <vt:variant>
        <vt:lpwstr>http://www.springerlink.com/media/7pab6qqtxg4twmmg9bt7/contributions/r/6/n/8/r6n8123952890244.pdf</vt:lpwstr>
      </vt:variant>
      <vt:variant>
        <vt:lpwstr/>
      </vt:variant>
      <vt:variant>
        <vt:i4>7667713</vt:i4>
      </vt:variant>
      <vt:variant>
        <vt:i4>13940</vt:i4>
      </vt:variant>
      <vt:variant>
        <vt:i4>0</vt:i4>
      </vt:variant>
      <vt:variant>
        <vt:i4>5</vt:i4>
      </vt:variant>
      <vt:variant>
        <vt:lpwstr>E:\AppData\Local\Microsoft\Windows\Temporary Internet Files\Content.Outlook\AppData\Local\Microsoft\Windows\Temporary Internet Files\Content.Outlook\50QE161U\Pain_files\aetna_estim.htm</vt:lpwstr>
      </vt:variant>
      <vt:variant>
        <vt:lpwstr/>
      </vt:variant>
      <vt:variant>
        <vt:i4>3145773</vt:i4>
      </vt:variant>
      <vt:variant>
        <vt:i4>13937</vt:i4>
      </vt:variant>
      <vt:variant>
        <vt:i4>0</vt:i4>
      </vt:variant>
      <vt:variant>
        <vt:i4>5</vt:i4>
      </vt:variant>
      <vt:variant>
        <vt:lpwstr>http://www.ncbi.nlm.nih.gov/pubmed/17486435</vt:lpwstr>
      </vt:variant>
      <vt:variant>
        <vt:lpwstr/>
      </vt:variant>
      <vt:variant>
        <vt:i4>3276833</vt:i4>
      </vt:variant>
      <vt:variant>
        <vt:i4>13934</vt:i4>
      </vt:variant>
      <vt:variant>
        <vt:i4>0</vt:i4>
      </vt:variant>
      <vt:variant>
        <vt:i4>5</vt:i4>
      </vt:variant>
      <vt:variant>
        <vt:lpwstr>http://www.ncbi.nlm.nih.gov/pubmed/17100029</vt:lpwstr>
      </vt:variant>
      <vt:variant>
        <vt:lpwstr/>
      </vt:variant>
      <vt:variant>
        <vt:i4>3145767</vt:i4>
      </vt:variant>
      <vt:variant>
        <vt:i4>13931</vt:i4>
      </vt:variant>
      <vt:variant>
        <vt:i4>0</vt:i4>
      </vt:variant>
      <vt:variant>
        <vt:i4>5</vt:i4>
      </vt:variant>
      <vt:variant>
        <vt:lpwstr>http://www.ncbi.nlm.nih.gov/pubmed/17305674</vt:lpwstr>
      </vt:variant>
      <vt:variant>
        <vt:lpwstr/>
      </vt:variant>
      <vt:variant>
        <vt:i4>786449</vt:i4>
      </vt:variant>
      <vt:variant>
        <vt:i4>13928</vt:i4>
      </vt:variant>
      <vt:variant>
        <vt:i4>0</vt:i4>
      </vt:variant>
      <vt:variant>
        <vt:i4>5</vt:i4>
      </vt:variant>
      <vt:variant>
        <vt:lpwstr/>
      </vt:variant>
      <vt:variant>
        <vt:lpwstr>planning</vt:lpwstr>
      </vt:variant>
      <vt:variant>
        <vt:i4>8126576</vt:i4>
      </vt:variant>
      <vt:variant>
        <vt:i4>13925</vt:i4>
      </vt:variant>
      <vt:variant>
        <vt:i4>0</vt:i4>
      </vt:variant>
      <vt:variant>
        <vt:i4>5</vt:i4>
      </vt:variant>
      <vt:variant>
        <vt:lpwstr/>
      </vt:variant>
      <vt:variant>
        <vt:lpwstr>Severeijns</vt:lpwstr>
      </vt:variant>
      <vt:variant>
        <vt:i4>7864437</vt:i4>
      </vt:variant>
      <vt:variant>
        <vt:i4>13922</vt:i4>
      </vt:variant>
      <vt:variant>
        <vt:i4>0</vt:i4>
      </vt:variant>
      <vt:variant>
        <vt:i4>5</vt:i4>
      </vt:variant>
      <vt:variant>
        <vt:lpwstr/>
      </vt:variant>
      <vt:variant>
        <vt:lpwstr>Pulliam</vt:lpwstr>
      </vt:variant>
      <vt:variant>
        <vt:i4>1507332</vt:i4>
      </vt:variant>
      <vt:variant>
        <vt:i4>13919</vt:i4>
      </vt:variant>
      <vt:variant>
        <vt:i4>0</vt:i4>
      </vt:variant>
      <vt:variant>
        <vt:i4>5</vt:i4>
      </vt:variant>
      <vt:variant>
        <vt:lpwstr/>
      </vt:variant>
      <vt:variant>
        <vt:lpwstr>McCracken</vt:lpwstr>
      </vt:variant>
      <vt:variant>
        <vt:i4>589851</vt:i4>
      </vt:variant>
      <vt:variant>
        <vt:i4>13916</vt:i4>
      </vt:variant>
      <vt:variant>
        <vt:i4>0</vt:i4>
      </vt:variant>
      <vt:variant>
        <vt:i4>5</vt:i4>
      </vt:variant>
      <vt:variant>
        <vt:lpwstr/>
      </vt:variant>
      <vt:variant>
        <vt:lpwstr>Goldberg</vt:lpwstr>
      </vt:variant>
      <vt:variant>
        <vt:i4>1769489</vt:i4>
      </vt:variant>
      <vt:variant>
        <vt:i4>13913</vt:i4>
      </vt:variant>
      <vt:variant>
        <vt:i4>0</vt:i4>
      </vt:variant>
      <vt:variant>
        <vt:i4>5</vt:i4>
      </vt:variant>
      <vt:variant>
        <vt:lpwstr/>
      </vt:variant>
      <vt:variant>
        <vt:lpwstr>Robinson</vt:lpwstr>
      </vt:variant>
      <vt:variant>
        <vt:i4>983042</vt:i4>
      </vt:variant>
      <vt:variant>
        <vt:i4>13910</vt:i4>
      </vt:variant>
      <vt:variant>
        <vt:i4>0</vt:i4>
      </vt:variant>
      <vt:variant>
        <vt:i4>5</vt:i4>
      </vt:variant>
      <vt:variant>
        <vt:lpwstr/>
      </vt:variant>
      <vt:variant>
        <vt:lpwstr>Gallagher</vt:lpwstr>
      </vt:variant>
      <vt:variant>
        <vt:i4>7340155</vt:i4>
      </vt:variant>
      <vt:variant>
        <vt:i4>13907</vt:i4>
      </vt:variant>
      <vt:variant>
        <vt:i4>0</vt:i4>
      </vt:variant>
      <vt:variant>
        <vt:i4>5</vt:i4>
      </vt:variant>
      <vt:variant>
        <vt:lpwstr/>
      </vt:variant>
      <vt:variant>
        <vt:lpwstr>Sommer</vt:lpwstr>
      </vt:variant>
      <vt:variant>
        <vt:i4>8323170</vt:i4>
      </vt:variant>
      <vt:variant>
        <vt:i4>13904</vt:i4>
      </vt:variant>
      <vt:variant>
        <vt:i4>0</vt:i4>
      </vt:variant>
      <vt:variant>
        <vt:i4>5</vt:i4>
      </vt:variant>
      <vt:variant>
        <vt:lpwstr/>
      </vt:variant>
      <vt:variant>
        <vt:lpwstr>Taylor2</vt:lpwstr>
      </vt:variant>
      <vt:variant>
        <vt:i4>589853</vt:i4>
      </vt:variant>
      <vt:variant>
        <vt:i4>13901</vt:i4>
      </vt:variant>
      <vt:variant>
        <vt:i4>0</vt:i4>
      </vt:variant>
      <vt:variant>
        <vt:i4>5</vt:i4>
      </vt:variant>
      <vt:variant>
        <vt:lpwstr/>
      </vt:variant>
      <vt:variant>
        <vt:lpwstr>Sundaraj</vt:lpwstr>
      </vt:variant>
      <vt:variant>
        <vt:i4>851978</vt:i4>
      </vt:variant>
      <vt:variant>
        <vt:i4>13898</vt:i4>
      </vt:variant>
      <vt:variant>
        <vt:i4>0</vt:i4>
      </vt:variant>
      <vt:variant>
        <vt:i4>5</vt:i4>
      </vt:variant>
      <vt:variant>
        <vt:lpwstr/>
      </vt:variant>
      <vt:variant>
        <vt:lpwstr>StantonHicks2</vt:lpwstr>
      </vt:variant>
      <vt:variant>
        <vt:i4>6750324</vt:i4>
      </vt:variant>
      <vt:variant>
        <vt:i4>13895</vt:i4>
      </vt:variant>
      <vt:variant>
        <vt:i4>0</vt:i4>
      </vt:variant>
      <vt:variant>
        <vt:i4>5</vt:i4>
      </vt:variant>
      <vt:variant>
        <vt:lpwstr/>
      </vt:variant>
      <vt:variant>
        <vt:lpwstr>Prager2</vt:lpwstr>
      </vt:variant>
      <vt:variant>
        <vt:i4>786445</vt:i4>
      </vt:variant>
      <vt:variant>
        <vt:i4>13892</vt:i4>
      </vt:variant>
      <vt:variant>
        <vt:i4>0</vt:i4>
      </vt:variant>
      <vt:variant>
        <vt:i4>5</vt:i4>
      </vt:variant>
      <vt:variant>
        <vt:lpwstr/>
      </vt:variant>
      <vt:variant>
        <vt:lpwstr>NICE</vt:lpwstr>
      </vt:variant>
      <vt:variant>
        <vt:i4>1507349</vt:i4>
      </vt:variant>
      <vt:variant>
        <vt:i4>13889</vt:i4>
      </vt:variant>
      <vt:variant>
        <vt:i4>0</vt:i4>
      </vt:variant>
      <vt:variant>
        <vt:i4>5</vt:i4>
      </vt:variant>
      <vt:variant>
        <vt:lpwstr/>
      </vt:variant>
      <vt:variant>
        <vt:lpwstr>Medtronic</vt:lpwstr>
      </vt:variant>
      <vt:variant>
        <vt:i4>2031618</vt:i4>
      </vt:variant>
      <vt:variant>
        <vt:i4>13886</vt:i4>
      </vt:variant>
      <vt:variant>
        <vt:i4>0</vt:i4>
      </vt:variant>
      <vt:variant>
        <vt:i4>5</vt:i4>
      </vt:variant>
      <vt:variant>
        <vt:lpwstr/>
      </vt:variant>
      <vt:variant>
        <vt:lpwstr>MailisGagnon</vt:lpwstr>
      </vt:variant>
      <vt:variant>
        <vt:i4>2490484</vt:i4>
      </vt:variant>
      <vt:variant>
        <vt:i4>13883</vt:i4>
      </vt:variant>
      <vt:variant>
        <vt:i4>0</vt:i4>
      </vt:variant>
      <vt:variant>
        <vt:i4>5</vt:i4>
      </vt:variant>
      <vt:variant>
        <vt:lpwstr/>
      </vt:variant>
      <vt:variant>
        <vt:lpwstr>Kumar2</vt:lpwstr>
      </vt:variant>
      <vt:variant>
        <vt:i4>8061027</vt:i4>
      </vt:variant>
      <vt:variant>
        <vt:i4>13880</vt:i4>
      </vt:variant>
      <vt:variant>
        <vt:i4>0</vt:i4>
      </vt:variant>
      <vt:variant>
        <vt:i4>5</vt:i4>
      </vt:variant>
      <vt:variant>
        <vt:lpwstr/>
      </vt:variant>
      <vt:variant>
        <vt:lpwstr>Kemler7</vt:lpwstr>
      </vt:variant>
      <vt:variant>
        <vt:i4>8061027</vt:i4>
      </vt:variant>
      <vt:variant>
        <vt:i4>13877</vt:i4>
      </vt:variant>
      <vt:variant>
        <vt:i4>0</vt:i4>
      </vt:variant>
      <vt:variant>
        <vt:i4>5</vt:i4>
      </vt:variant>
      <vt:variant>
        <vt:lpwstr/>
      </vt:variant>
      <vt:variant>
        <vt:lpwstr>Kemler6</vt:lpwstr>
      </vt:variant>
      <vt:variant>
        <vt:i4>8061027</vt:i4>
      </vt:variant>
      <vt:variant>
        <vt:i4>13874</vt:i4>
      </vt:variant>
      <vt:variant>
        <vt:i4>0</vt:i4>
      </vt:variant>
      <vt:variant>
        <vt:i4>5</vt:i4>
      </vt:variant>
      <vt:variant>
        <vt:lpwstr/>
      </vt:variant>
      <vt:variant>
        <vt:lpwstr>Kemler4</vt:lpwstr>
      </vt:variant>
      <vt:variant>
        <vt:i4>8061027</vt:i4>
      </vt:variant>
      <vt:variant>
        <vt:i4>13871</vt:i4>
      </vt:variant>
      <vt:variant>
        <vt:i4>0</vt:i4>
      </vt:variant>
      <vt:variant>
        <vt:i4>5</vt:i4>
      </vt:variant>
      <vt:variant>
        <vt:lpwstr/>
      </vt:variant>
      <vt:variant>
        <vt:lpwstr>Kemler3</vt:lpwstr>
      </vt:variant>
      <vt:variant>
        <vt:i4>8061027</vt:i4>
      </vt:variant>
      <vt:variant>
        <vt:i4>13868</vt:i4>
      </vt:variant>
      <vt:variant>
        <vt:i4>0</vt:i4>
      </vt:variant>
      <vt:variant>
        <vt:i4>5</vt:i4>
      </vt:variant>
      <vt:variant>
        <vt:lpwstr/>
      </vt:variant>
      <vt:variant>
        <vt:lpwstr>Kemler2</vt:lpwstr>
      </vt:variant>
      <vt:variant>
        <vt:i4>655386</vt:i4>
      </vt:variant>
      <vt:variant>
        <vt:i4>13865</vt:i4>
      </vt:variant>
      <vt:variant>
        <vt:i4>0</vt:i4>
      </vt:variant>
      <vt:variant>
        <vt:i4>5</vt:i4>
      </vt:variant>
      <vt:variant>
        <vt:lpwstr/>
      </vt:variant>
      <vt:variant>
        <vt:lpwstr>Harke</vt:lpwstr>
      </vt:variant>
      <vt:variant>
        <vt:i4>7798901</vt:i4>
      </vt:variant>
      <vt:variant>
        <vt:i4>13862</vt:i4>
      </vt:variant>
      <vt:variant>
        <vt:i4>0</vt:i4>
      </vt:variant>
      <vt:variant>
        <vt:i4>5</vt:i4>
      </vt:variant>
      <vt:variant>
        <vt:lpwstr/>
      </vt:variant>
      <vt:variant>
        <vt:lpwstr>Furlan</vt:lpwstr>
      </vt:variant>
      <vt:variant>
        <vt:i4>7667814</vt:i4>
      </vt:variant>
      <vt:variant>
        <vt:i4>13859</vt:i4>
      </vt:variant>
      <vt:variant>
        <vt:i4>0</vt:i4>
      </vt:variant>
      <vt:variant>
        <vt:i4>5</vt:i4>
      </vt:variant>
      <vt:variant>
        <vt:lpwstr/>
      </vt:variant>
      <vt:variant>
        <vt:lpwstr>Forouzanfar</vt:lpwstr>
      </vt:variant>
      <vt:variant>
        <vt:i4>1507329</vt:i4>
      </vt:variant>
      <vt:variant>
        <vt:i4>13856</vt:i4>
      </vt:variant>
      <vt:variant>
        <vt:i4>0</vt:i4>
      </vt:variant>
      <vt:variant>
        <vt:i4>5</vt:i4>
      </vt:variant>
      <vt:variant>
        <vt:lpwstr/>
      </vt:variant>
      <vt:variant>
        <vt:lpwstr>Deer4</vt:lpwstr>
      </vt:variant>
      <vt:variant>
        <vt:i4>589837</vt:i4>
      </vt:variant>
      <vt:variant>
        <vt:i4>13853</vt:i4>
      </vt:variant>
      <vt:variant>
        <vt:i4>0</vt:i4>
      </vt:variant>
      <vt:variant>
        <vt:i4>5</vt:i4>
      </vt:variant>
      <vt:variant>
        <vt:lpwstr/>
      </vt:variant>
      <vt:variant>
        <vt:lpwstr>Cole2003</vt:lpwstr>
      </vt:variant>
      <vt:variant>
        <vt:i4>5242888</vt:i4>
      </vt:variant>
      <vt:variant>
        <vt:i4>13850</vt:i4>
      </vt:variant>
      <vt:variant>
        <vt:i4>0</vt:i4>
      </vt:variant>
      <vt:variant>
        <vt:i4>5</vt:i4>
      </vt:variant>
      <vt:variant>
        <vt:lpwstr/>
      </vt:variant>
      <vt:variant>
        <vt:lpwstr>BlueCrossBlueShield97</vt:lpwstr>
      </vt:variant>
      <vt:variant>
        <vt:i4>4522001</vt:i4>
      </vt:variant>
      <vt:variant>
        <vt:i4>13847</vt:i4>
      </vt:variant>
      <vt:variant>
        <vt:i4>0</vt:i4>
      </vt:variant>
      <vt:variant>
        <vt:i4>5</vt:i4>
      </vt:variant>
      <vt:variant>
        <vt:lpwstr/>
      </vt:variant>
      <vt:variant>
        <vt:lpwstr>Zambito2</vt:lpwstr>
      </vt:variant>
      <vt:variant>
        <vt:i4>7798910</vt:i4>
      </vt:variant>
      <vt:variant>
        <vt:i4>13844</vt:i4>
      </vt:variant>
      <vt:variant>
        <vt:i4>0</vt:i4>
      </vt:variant>
      <vt:variant>
        <vt:i4>5</vt:i4>
      </vt:variant>
      <vt:variant>
        <vt:lpwstr/>
      </vt:variant>
      <vt:variant>
        <vt:lpwstr>Zambito</vt:lpwstr>
      </vt:variant>
      <vt:variant>
        <vt:i4>6488163</vt:i4>
      </vt:variant>
      <vt:variant>
        <vt:i4>13841</vt:i4>
      </vt:variant>
      <vt:variant>
        <vt:i4>0</vt:i4>
      </vt:variant>
      <vt:variant>
        <vt:i4>5</vt:i4>
      </vt:variant>
      <vt:variant>
        <vt:lpwstr/>
      </vt:variant>
      <vt:variant>
        <vt:lpwstr>Yoshida</vt:lpwstr>
      </vt:variant>
      <vt:variant>
        <vt:i4>327704</vt:i4>
      </vt:variant>
      <vt:variant>
        <vt:i4>13838</vt:i4>
      </vt:variant>
      <vt:variant>
        <vt:i4>0</vt:i4>
      </vt:variant>
      <vt:variant>
        <vt:i4>5</vt:i4>
      </vt:variant>
      <vt:variant>
        <vt:lpwstr/>
      </vt:variant>
      <vt:variant>
        <vt:lpwstr>Winkelmuller</vt:lpwstr>
      </vt:variant>
      <vt:variant>
        <vt:i4>7667815</vt:i4>
      </vt:variant>
      <vt:variant>
        <vt:i4>13835</vt:i4>
      </vt:variant>
      <vt:variant>
        <vt:i4>0</vt:i4>
      </vt:variant>
      <vt:variant>
        <vt:i4>5</vt:i4>
      </vt:variant>
      <vt:variant>
        <vt:lpwstr/>
      </vt:variant>
      <vt:variant>
        <vt:lpwstr>Washington2008</vt:lpwstr>
      </vt:variant>
      <vt:variant>
        <vt:i4>8257657</vt:i4>
      </vt:variant>
      <vt:variant>
        <vt:i4>13832</vt:i4>
      </vt:variant>
      <vt:variant>
        <vt:i4>0</vt:i4>
      </vt:variant>
      <vt:variant>
        <vt:i4>5</vt:i4>
      </vt:variant>
      <vt:variant>
        <vt:lpwstr/>
      </vt:variant>
      <vt:variant>
        <vt:lpwstr>United</vt:lpwstr>
      </vt:variant>
      <vt:variant>
        <vt:i4>1310720</vt:i4>
      </vt:variant>
      <vt:variant>
        <vt:i4>13829</vt:i4>
      </vt:variant>
      <vt:variant>
        <vt:i4>0</vt:i4>
      </vt:variant>
      <vt:variant>
        <vt:i4>5</vt:i4>
      </vt:variant>
      <vt:variant>
        <vt:lpwstr/>
      </vt:variant>
      <vt:variant>
        <vt:lpwstr>Tutak</vt:lpwstr>
      </vt:variant>
      <vt:variant>
        <vt:i4>7078014</vt:i4>
      </vt:variant>
      <vt:variant>
        <vt:i4>13826</vt:i4>
      </vt:variant>
      <vt:variant>
        <vt:i4>0</vt:i4>
      </vt:variant>
      <vt:variant>
        <vt:i4>5</vt:i4>
      </vt:variant>
      <vt:variant>
        <vt:lpwstr/>
      </vt:variant>
      <vt:variant>
        <vt:lpwstr>TomasCarus</vt:lpwstr>
      </vt:variant>
      <vt:variant>
        <vt:i4>7012461</vt:i4>
      </vt:variant>
      <vt:variant>
        <vt:i4>13823</vt:i4>
      </vt:variant>
      <vt:variant>
        <vt:i4>0</vt:i4>
      </vt:variant>
      <vt:variant>
        <vt:i4>5</vt:i4>
      </vt:variant>
      <vt:variant>
        <vt:lpwstr/>
      </vt:variant>
      <vt:variant>
        <vt:lpwstr>Thiese2013</vt:lpwstr>
      </vt:variant>
      <vt:variant>
        <vt:i4>1114129</vt:i4>
      </vt:variant>
      <vt:variant>
        <vt:i4>13820</vt:i4>
      </vt:variant>
      <vt:variant>
        <vt:i4>0</vt:i4>
      </vt:variant>
      <vt:variant>
        <vt:i4>5</vt:i4>
      </vt:variant>
      <vt:variant>
        <vt:lpwstr/>
      </vt:variant>
      <vt:variant>
        <vt:lpwstr>Robertson</vt:lpwstr>
      </vt:variant>
      <vt:variant>
        <vt:i4>589896</vt:i4>
      </vt:variant>
      <vt:variant>
        <vt:i4>13817</vt:i4>
      </vt:variant>
      <vt:variant>
        <vt:i4>0</vt:i4>
      </vt:variant>
      <vt:variant>
        <vt:i4>5</vt:i4>
      </vt:variant>
      <vt:variant>
        <vt:lpwstr/>
      </vt:variant>
      <vt:variant>
        <vt:lpwstr>Ricci2012</vt:lpwstr>
      </vt:variant>
      <vt:variant>
        <vt:i4>1966085</vt:i4>
      </vt:variant>
      <vt:variant>
        <vt:i4>13814</vt:i4>
      </vt:variant>
      <vt:variant>
        <vt:i4>0</vt:i4>
      </vt:variant>
      <vt:variant>
        <vt:i4>5</vt:i4>
      </vt:variant>
      <vt:variant>
        <vt:lpwstr/>
      </vt:variant>
      <vt:variant>
        <vt:lpwstr>Phillips</vt:lpwstr>
      </vt:variant>
      <vt:variant>
        <vt:i4>131097</vt:i4>
      </vt:variant>
      <vt:variant>
        <vt:i4>13811</vt:i4>
      </vt:variant>
      <vt:variant>
        <vt:i4>0</vt:i4>
      </vt:variant>
      <vt:variant>
        <vt:i4>5</vt:i4>
      </vt:variant>
      <vt:variant>
        <vt:lpwstr/>
      </vt:variant>
      <vt:variant>
        <vt:lpwstr>Paice</vt:lpwstr>
      </vt:variant>
      <vt:variant>
        <vt:i4>1310731</vt:i4>
      </vt:variant>
      <vt:variant>
        <vt:i4>13808</vt:i4>
      </vt:variant>
      <vt:variant>
        <vt:i4>0</vt:i4>
      </vt:variant>
      <vt:variant>
        <vt:i4>5</vt:i4>
      </vt:variant>
      <vt:variant>
        <vt:lpwstr/>
      </vt:variant>
      <vt:variant>
        <vt:lpwstr>Osenbach</vt:lpwstr>
      </vt:variant>
      <vt:variant>
        <vt:i4>1900546</vt:i4>
      </vt:variant>
      <vt:variant>
        <vt:i4>13805</vt:i4>
      </vt:variant>
      <vt:variant>
        <vt:i4>0</vt:i4>
      </vt:variant>
      <vt:variant>
        <vt:i4>5</vt:i4>
      </vt:variant>
      <vt:variant>
        <vt:lpwstr/>
      </vt:variant>
      <vt:variant>
        <vt:lpwstr>Moore</vt:lpwstr>
      </vt:variant>
      <vt:variant>
        <vt:i4>327698</vt:i4>
      </vt:variant>
      <vt:variant>
        <vt:i4>13802</vt:i4>
      </vt:variant>
      <vt:variant>
        <vt:i4>0</vt:i4>
      </vt:variant>
      <vt:variant>
        <vt:i4>5</vt:i4>
      </vt:variant>
      <vt:variant>
        <vt:lpwstr/>
      </vt:variant>
      <vt:variant>
        <vt:lpwstr>McDowell2</vt:lpwstr>
      </vt:variant>
      <vt:variant>
        <vt:i4>327698</vt:i4>
      </vt:variant>
      <vt:variant>
        <vt:i4>13799</vt:i4>
      </vt:variant>
      <vt:variant>
        <vt:i4>0</vt:i4>
      </vt:variant>
      <vt:variant>
        <vt:i4>5</vt:i4>
      </vt:variant>
      <vt:variant>
        <vt:lpwstr/>
      </vt:variant>
      <vt:variant>
        <vt:lpwstr>McDowell</vt:lpwstr>
      </vt:variant>
      <vt:variant>
        <vt:i4>589850</vt:i4>
      </vt:variant>
      <vt:variant>
        <vt:i4>13796</vt:i4>
      </vt:variant>
      <vt:variant>
        <vt:i4>0</vt:i4>
      </vt:variant>
      <vt:variant>
        <vt:i4>5</vt:i4>
      </vt:variant>
      <vt:variant>
        <vt:lpwstr/>
      </vt:variant>
      <vt:variant>
        <vt:lpwstr>McDowell1995</vt:lpwstr>
      </vt:variant>
      <vt:variant>
        <vt:i4>7209006</vt:i4>
      </vt:variant>
      <vt:variant>
        <vt:i4>13793</vt:i4>
      </vt:variant>
      <vt:variant>
        <vt:i4>0</vt:i4>
      </vt:variant>
      <vt:variant>
        <vt:i4>5</vt:i4>
      </vt:variant>
      <vt:variant>
        <vt:lpwstr/>
      </vt:variant>
      <vt:variant>
        <vt:lpwstr>Marineo2012</vt:lpwstr>
      </vt:variant>
      <vt:variant>
        <vt:i4>6881388</vt:i4>
      </vt:variant>
      <vt:variant>
        <vt:i4>13790</vt:i4>
      </vt:variant>
      <vt:variant>
        <vt:i4>0</vt:i4>
      </vt:variant>
      <vt:variant>
        <vt:i4>5</vt:i4>
      </vt:variant>
      <vt:variant>
        <vt:lpwstr/>
      </vt:variant>
      <vt:variant>
        <vt:lpwstr>Li</vt:lpwstr>
      </vt:variant>
      <vt:variant>
        <vt:i4>327767</vt:i4>
      </vt:variant>
      <vt:variant>
        <vt:i4>13787</vt:i4>
      </vt:variant>
      <vt:variant>
        <vt:i4>0</vt:i4>
      </vt:variant>
      <vt:variant>
        <vt:i4>5</vt:i4>
      </vt:variant>
      <vt:variant>
        <vt:lpwstr/>
      </vt:variant>
      <vt:variant>
        <vt:lpwstr>Lange2011</vt:lpwstr>
      </vt:variant>
      <vt:variant>
        <vt:i4>2556020</vt:i4>
      </vt:variant>
      <vt:variant>
        <vt:i4>13784</vt:i4>
      </vt:variant>
      <vt:variant>
        <vt:i4>0</vt:i4>
      </vt:variant>
      <vt:variant>
        <vt:i4>5</vt:i4>
      </vt:variant>
      <vt:variant>
        <vt:lpwstr/>
      </vt:variant>
      <vt:variant>
        <vt:lpwstr>Kumar3</vt:lpwstr>
      </vt:variant>
      <vt:variant>
        <vt:i4>6946927</vt:i4>
      </vt:variant>
      <vt:variant>
        <vt:i4>13781</vt:i4>
      </vt:variant>
      <vt:variant>
        <vt:i4>0</vt:i4>
      </vt:variant>
      <vt:variant>
        <vt:i4>5</vt:i4>
      </vt:variant>
      <vt:variant>
        <vt:lpwstr/>
      </vt:variant>
      <vt:variant>
        <vt:lpwstr>Hassenbusch</vt:lpwstr>
      </vt:variant>
      <vt:variant>
        <vt:i4>7733372</vt:i4>
      </vt:variant>
      <vt:variant>
        <vt:i4>13778</vt:i4>
      </vt:variant>
      <vt:variant>
        <vt:i4>0</vt:i4>
      </vt:variant>
      <vt:variant>
        <vt:i4>5</vt:i4>
      </vt:variant>
      <vt:variant>
        <vt:lpwstr/>
      </vt:variant>
      <vt:variant>
        <vt:lpwstr>Guzman</vt:lpwstr>
      </vt:variant>
      <vt:variant>
        <vt:i4>8126571</vt:i4>
      </vt:variant>
      <vt:variant>
        <vt:i4>13775</vt:i4>
      </vt:variant>
      <vt:variant>
        <vt:i4>0</vt:i4>
      </vt:variant>
      <vt:variant>
        <vt:i4>5</vt:i4>
      </vt:variant>
      <vt:variant>
        <vt:lpwstr/>
      </vt:variant>
      <vt:variant>
        <vt:lpwstr>Gaines</vt:lpwstr>
      </vt:variant>
      <vt:variant>
        <vt:i4>7798901</vt:i4>
      </vt:variant>
      <vt:variant>
        <vt:i4>13772</vt:i4>
      </vt:variant>
      <vt:variant>
        <vt:i4>0</vt:i4>
      </vt:variant>
      <vt:variant>
        <vt:i4>5</vt:i4>
      </vt:variant>
      <vt:variant>
        <vt:lpwstr/>
      </vt:variant>
      <vt:variant>
        <vt:lpwstr>Furlan2</vt:lpwstr>
      </vt:variant>
      <vt:variant>
        <vt:i4>1441795</vt:i4>
      </vt:variant>
      <vt:variant>
        <vt:i4>13769</vt:i4>
      </vt:variant>
      <vt:variant>
        <vt:i4>0</vt:i4>
      </vt:variant>
      <vt:variant>
        <vt:i4>5</vt:i4>
      </vt:variant>
      <vt:variant>
        <vt:lpwstr/>
      </vt:variant>
      <vt:variant>
        <vt:lpwstr>Dubinsky</vt:lpwstr>
      </vt:variant>
      <vt:variant>
        <vt:i4>1507329</vt:i4>
      </vt:variant>
      <vt:variant>
        <vt:i4>13766</vt:i4>
      </vt:variant>
      <vt:variant>
        <vt:i4>0</vt:i4>
      </vt:variant>
      <vt:variant>
        <vt:i4>5</vt:i4>
      </vt:variant>
      <vt:variant>
        <vt:lpwstr/>
      </vt:variant>
      <vt:variant>
        <vt:lpwstr>Deer2</vt:lpwstr>
      </vt:variant>
      <vt:variant>
        <vt:i4>7340128</vt:i4>
      </vt:variant>
      <vt:variant>
        <vt:i4>13763</vt:i4>
      </vt:variant>
      <vt:variant>
        <vt:i4>0</vt:i4>
      </vt:variant>
      <vt:variant>
        <vt:i4>5</vt:i4>
      </vt:variant>
      <vt:variant>
        <vt:lpwstr/>
      </vt:variant>
      <vt:variant>
        <vt:lpwstr>Coffey</vt:lpwstr>
      </vt:variant>
      <vt:variant>
        <vt:i4>1441808</vt:i4>
      </vt:variant>
      <vt:variant>
        <vt:i4>13760</vt:i4>
      </vt:variant>
      <vt:variant>
        <vt:i4>0</vt:i4>
      </vt:variant>
      <vt:variant>
        <vt:i4>5</vt:i4>
      </vt:variant>
      <vt:variant>
        <vt:lpwstr/>
      </vt:variant>
      <vt:variant>
        <vt:lpwstr>Burch</vt:lpwstr>
      </vt:variant>
      <vt:variant>
        <vt:i4>4653080</vt:i4>
      </vt:variant>
      <vt:variant>
        <vt:i4>13757</vt:i4>
      </vt:variant>
      <vt:variant>
        <vt:i4>0</vt:i4>
      </vt:variant>
      <vt:variant>
        <vt:i4>5</vt:i4>
      </vt:variant>
      <vt:variant>
        <vt:lpwstr/>
      </vt:variant>
      <vt:variant>
        <vt:lpwstr>Boswell3</vt:lpwstr>
      </vt:variant>
      <vt:variant>
        <vt:i4>7602292</vt:i4>
      </vt:variant>
      <vt:variant>
        <vt:i4>13754</vt:i4>
      </vt:variant>
      <vt:variant>
        <vt:i4>0</vt:i4>
      </vt:variant>
      <vt:variant>
        <vt:i4>5</vt:i4>
      </vt:variant>
      <vt:variant>
        <vt:lpwstr/>
      </vt:variant>
      <vt:variant>
        <vt:lpwstr>Boswell</vt:lpwstr>
      </vt:variant>
      <vt:variant>
        <vt:i4>524309</vt:i4>
      </vt:variant>
      <vt:variant>
        <vt:i4>13751</vt:i4>
      </vt:variant>
      <vt:variant>
        <vt:i4>0</vt:i4>
      </vt:variant>
      <vt:variant>
        <vt:i4>5</vt:i4>
      </vt:variant>
      <vt:variant>
        <vt:lpwstr/>
      </vt:variant>
      <vt:variant>
        <vt:lpwstr>Blum2009</vt:lpwstr>
      </vt:variant>
      <vt:variant>
        <vt:i4>65559</vt:i4>
      </vt:variant>
      <vt:variant>
        <vt:i4>13748</vt:i4>
      </vt:variant>
      <vt:variant>
        <vt:i4>0</vt:i4>
      </vt:variant>
      <vt:variant>
        <vt:i4>5</vt:i4>
      </vt:variant>
      <vt:variant>
        <vt:lpwstr/>
      </vt:variant>
      <vt:variant>
        <vt:lpwstr>Blum3</vt:lpwstr>
      </vt:variant>
      <vt:variant>
        <vt:i4>65559</vt:i4>
      </vt:variant>
      <vt:variant>
        <vt:i4>13745</vt:i4>
      </vt:variant>
      <vt:variant>
        <vt:i4>0</vt:i4>
      </vt:variant>
      <vt:variant>
        <vt:i4>5</vt:i4>
      </vt:variant>
      <vt:variant>
        <vt:lpwstr/>
      </vt:variant>
      <vt:variant>
        <vt:lpwstr>Blum2</vt:lpwstr>
      </vt:variant>
      <vt:variant>
        <vt:i4>65559</vt:i4>
      </vt:variant>
      <vt:variant>
        <vt:i4>13742</vt:i4>
      </vt:variant>
      <vt:variant>
        <vt:i4>0</vt:i4>
      </vt:variant>
      <vt:variant>
        <vt:i4>5</vt:i4>
      </vt:variant>
      <vt:variant>
        <vt:lpwstr/>
      </vt:variant>
      <vt:variant>
        <vt:lpwstr>Blum</vt:lpwstr>
      </vt:variant>
      <vt:variant>
        <vt:i4>3801192</vt:i4>
      </vt:variant>
      <vt:variant>
        <vt:i4>13739</vt:i4>
      </vt:variant>
      <vt:variant>
        <vt:i4>0</vt:i4>
      </vt:variant>
      <vt:variant>
        <vt:i4>5</vt:i4>
      </vt:variant>
      <vt:variant>
        <vt:lpwstr/>
      </vt:variant>
      <vt:variant>
        <vt:lpwstr>BlueCross2</vt:lpwstr>
      </vt:variant>
      <vt:variant>
        <vt:i4>524315</vt:i4>
      </vt:variant>
      <vt:variant>
        <vt:i4>13736</vt:i4>
      </vt:variant>
      <vt:variant>
        <vt:i4>0</vt:i4>
      </vt:variant>
      <vt:variant>
        <vt:i4>5</vt:i4>
      </vt:variant>
      <vt:variant>
        <vt:lpwstr/>
      </vt:variant>
      <vt:variant>
        <vt:lpwstr>BlueCross</vt:lpwstr>
      </vt:variant>
      <vt:variant>
        <vt:i4>8192045</vt:i4>
      </vt:variant>
      <vt:variant>
        <vt:i4>13733</vt:i4>
      </vt:variant>
      <vt:variant>
        <vt:i4>0</vt:i4>
      </vt:variant>
      <vt:variant>
        <vt:i4>5</vt:i4>
      </vt:variant>
      <vt:variant>
        <vt:lpwstr/>
      </vt:variant>
      <vt:variant>
        <vt:lpwstr>Bennett2000</vt:lpwstr>
      </vt:variant>
      <vt:variant>
        <vt:i4>720902</vt:i4>
      </vt:variant>
      <vt:variant>
        <vt:i4>13730</vt:i4>
      </vt:variant>
      <vt:variant>
        <vt:i4>0</vt:i4>
      </vt:variant>
      <vt:variant>
        <vt:i4>5</vt:i4>
      </vt:variant>
      <vt:variant>
        <vt:lpwstr/>
      </vt:variant>
      <vt:variant>
        <vt:lpwstr>Angel</vt:lpwstr>
      </vt:variant>
      <vt:variant>
        <vt:i4>983117</vt:i4>
      </vt:variant>
      <vt:variant>
        <vt:i4>13727</vt:i4>
      </vt:variant>
      <vt:variant>
        <vt:i4>0</vt:i4>
      </vt:variant>
      <vt:variant>
        <vt:i4>5</vt:i4>
      </vt:variant>
      <vt:variant>
        <vt:lpwstr/>
      </vt:variant>
      <vt:variant>
        <vt:lpwstr>Zyluk2013</vt:lpwstr>
      </vt:variant>
      <vt:variant>
        <vt:i4>1179671</vt:i4>
      </vt:variant>
      <vt:variant>
        <vt:i4>13724</vt:i4>
      </vt:variant>
      <vt:variant>
        <vt:i4>0</vt:i4>
      </vt:variant>
      <vt:variant>
        <vt:i4>5</vt:i4>
      </vt:variant>
      <vt:variant>
        <vt:lpwstr/>
      </vt:variant>
      <vt:variant>
        <vt:lpwstr>Yung</vt:lpwstr>
      </vt:variant>
      <vt:variant>
        <vt:i4>16580668</vt:i4>
      </vt:variant>
      <vt:variant>
        <vt:i4>13721</vt:i4>
      </vt:variant>
      <vt:variant>
        <vt:i4>0</vt:i4>
      </vt:variant>
      <vt:variant>
        <vt:i4>5</vt:i4>
      </vt:variant>
      <vt:variant>
        <vt:lpwstr/>
      </vt:variant>
      <vt:variant>
        <vt:lpwstr>Wüppenhorst2010</vt:lpwstr>
      </vt:variant>
      <vt:variant>
        <vt:i4>8126563</vt:i4>
      </vt:variant>
      <vt:variant>
        <vt:i4>13718</vt:i4>
      </vt:variant>
      <vt:variant>
        <vt:i4>0</vt:i4>
      </vt:variant>
      <vt:variant>
        <vt:i4>5</vt:i4>
      </vt:variant>
      <vt:variant>
        <vt:lpwstr/>
      </vt:variant>
      <vt:variant>
        <vt:lpwstr>Wasner2001</vt:lpwstr>
      </vt:variant>
      <vt:variant>
        <vt:i4>8192098</vt:i4>
      </vt:variant>
      <vt:variant>
        <vt:i4>13715</vt:i4>
      </vt:variant>
      <vt:variant>
        <vt:i4>0</vt:i4>
      </vt:variant>
      <vt:variant>
        <vt:i4>5</vt:i4>
      </vt:variant>
      <vt:variant>
        <vt:lpwstr/>
      </vt:variant>
      <vt:variant>
        <vt:lpwstr>Wasner2010</vt:lpwstr>
      </vt:variant>
      <vt:variant>
        <vt:i4>8192097</vt:i4>
      </vt:variant>
      <vt:variant>
        <vt:i4>13712</vt:i4>
      </vt:variant>
      <vt:variant>
        <vt:i4>0</vt:i4>
      </vt:variant>
      <vt:variant>
        <vt:i4>5</vt:i4>
      </vt:variant>
      <vt:variant>
        <vt:lpwstr/>
      </vt:variant>
      <vt:variant>
        <vt:lpwstr>Wasner</vt:lpwstr>
      </vt:variant>
      <vt:variant>
        <vt:i4>8192101</vt:i4>
      </vt:variant>
      <vt:variant>
        <vt:i4>13709</vt:i4>
      </vt:variant>
      <vt:variant>
        <vt:i4>0</vt:i4>
      </vt:variant>
      <vt:variant>
        <vt:i4>5</vt:i4>
      </vt:variant>
      <vt:variant>
        <vt:lpwstr/>
      </vt:variant>
      <vt:variant>
        <vt:lpwstr>Washington3</vt:lpwstr>
      </vt:variant>
      <vt:variant>
        <vt:i4>6553646</vt:i4>
      </vt:variant>
      <vt:variant>
        <vt:i4>13706</vt:i4>
      </vt:variant>
      <vt:variant>
        <vt:i4>0</vt:i4>
      </vt:variant>
      <vt:variant>
        <vt:i4>5</vt:i4>
      </vt:variant>
      <vt:variant>
        <vt:lpwstr/>
      </vt:variant>
      <vt:variant>
        <vt:lpwstr>Verdugo2000</vt:lpwstr>
      </vt:variant>
      <vt:variant>
        <vt:i4>6815776</vt:i4>
      </vt:variant>
      <vt:variant>
        <vt:i4>13703</vt:i4>
      </vt:variant>
      <vt:variant>
        <vt:i4>0</vt:i4>
      </vt:variant>
      <vt:variant>
        <vt:i4>5</vt:i4>
      </vt:variant>
      <vt:variant>
        <vt:lpwstr/>
      </vt:variant>
      <vt:variant>
        <vt:lpwstr>Veldman1993</vt:lpwstr>
      </vt:variant>
      <vt:variant>
        <vt:i4>6946934</vt:i4>
      </vt:variant>
      <vt:variant>
        <vt:i4>13700</vt:i4>
      </vt:variant>
      <vt:variant>
        <vt:i4>0</vt:i4>
      </vt:variant>
      <vt:variant>
        <vt:i4>5</vt:i4>
      </vt:variant>
      <vt:variant>
        <vt:lpwstr/>
      </vt:variant>
      <vt:variant>
        <vt:lpwstr>Veldhuizen1993</vt:lpwstr>
      </vt:variant>
      <vt:variant>
        <vt:i4>8060975</vt:i4>
      </vt:variant>
      <vt:variant>
        <vt:i4>13697</vt:i4>
      </vt:variant>
      <vt:variant>
        <vt:i4>0</vt:i4>
      </vt:variant>
      <vt:variant>
        <vt:i4>5</vt:i4>
      </vt:variant>
      <vt:variant>
        <vt:lpwstr/>
      </vt:variant>
      <vt:variant>
        <vt:lpwstr>vanRijn2009</vt:lpwstr>
      </vt:variant>
      <vt:variant>
        <vt:i4>7143474</vt:i4>
      </vt:variant>
      <vt:variant>
        <vt:i4>13694</vt:i4>
      </vt:variant>
      <vt:variant>
        <vt:i4>0</vt:i4>
      </vt:variant>
      <vt:variant>
        <vt:i4>5</vt:i4>
      </vt:variant>
      <vt:variant>
        <vt:lpwstr/>
      </vt:variant>
      <vt:variant>
        <vt:lpwstr>vanEijs2012</vt:lpwstr>
      </vt:variant>
      <vt:variant>
        <vt:i4>7143474</vt:i4>
      </vt:variant>
      <vt:variant>
        <vt:i4>13691</vt:i4>
      </vt:variant>
      <vt:variant>
        <vt:i4>0</vt:i4>
      </vt:variant>
      <vt:variant>
        <vt:i4>5</vt:i4>
      </vt:variant>
      <vt:variant>
        <vt:lpwstr/>
      </vt:variant>
      <vt:variant>
        <vt:lpwstr>vanEijs2011</vt:lpwstr>
      </vt:variant>
      <vt:variant>
        <vt:i4>7012463</vt:i4>
      </vt:variant>
      <vt:variant>
        <vt:i4>13688</vt:i4>
      </vt:variant>
      <vt:variant>
        <vt:i4>0</vt:i4>
      </vt:variant>
      <vt:variant>
        <vt:i4>5</vt:i4>
      </vt:variant>
      <vt:variant>
        <vt:lpwstr/>
      </vt:variant>
      <vt:variant>
        <vt:lpwstr>vanderPlas2013</vt:lpwstr>
      </vt:variant>
      <vt:variant>
        <vt:i4>1835030</vt:i4>
      </vt:variant>
      <vt:variant>
        <vt:i4>13685</vt:i4>
      </vt:variant>
      <vt:variant>
        <vt:i4>0</vt:i4>
      </vt:variant>
      <vt:variant>
        <vt:i4>5</vt:i4>
      </vt:variant>
      <vt:variant>
        <vt:lpwstr/>
      </vt:variant>
      <vt:variant>
        <vt:lpwstr>Tran2010</vt:lpwstr>
      </vt:variant>
      <vt:variant>
        <vt:i4>327758</vt:i4>
      </vt:variant>
      <vt:variant>
        <vt:i4>13682</vt:i4>
      </vt:variant>
      <vt:variant>
        <vt:i4>0</vt:i4>
      </vt:variant>
      <vt:variant>
        <vt:i4>5</vt:i4>
      </vt:variant>
      <vt:variant>
        <vt:lpwstr/>
      </vt:variant>
      <vt:variant>
        <vt:lpwstr>Terkelsen2008</vt:lpwstr>
      </vt:variant>
      <vt:variant>
        <vt:i4>917529</vt:i4>
      </vt:variant>
      <vt:variant>
        <vt:i4>13679</vt:i4>
      </vt:variant>
      <vt:variant>
        <vt:i4>0</vt:i4>
      </vt:variant>
      <vt:variant>
        <vt:i4>5</vt:i4>
      </vt:variant>
      <vt:variant>
        <vt:lpwstr/>
      </vt:variant>
      <vt:variant>
        <vt:lpwstr>Colorado2</vt:lpwstr>
      </vt:variant>
      <vt:variant>
        <vt:i4>851978</vt:i4>
      </vt:variant>
      <vt:variant>
        <vt:i4>13676</vt:i4>
      </vt:variant>
      <vt:variant>
        <vt:i4>0</vt:i4>
      </vt:variant>
      <vt:variant>
        <vt:i4>5</vt:i4>
      </vt:variant>
      <vt:variant>
        <vt:lpwstr/>
      </vt:variant>
      <vt:variant>
        <vt:lpwstr>StantonHicks3</vt:lpwstr>
      </vt:variant>
      <vt:variant>
        <vt:i4>851978</vt:i4>
      </vt:variant>
      <vt:variant>
        <vt:i4>13673</vt:i4>
      </vt:variant>
      <vt:variant>
        <vt:i4>0</vt:i4>
      </vt:variant>
      <vt:variant>
        <vt:i4>5</vt:i4>
      </vt:variant>
      <vt:variant>
        <vt:lpwstr/>
      </vt:variant>
      <vt:variant>
        <vt:lpwstr>StantonHicks</vt:lpwstr>
      </vt:variant>
      <vt:variant>
        <vt:i4>786501</vt:i4>
      </vt:variant>
      <vt:variant>
        <vt:i4>13670</vt:i4>
      </vt:variant>
      <vt:variant>
        <vt:i4>0</vt:i4>
      </vt:variant>
      <vt:variant>
        <vt:i4>5</vt:i4>
      </vt:variant>
      <vt:variant>
        <vt:lpwstr/>
      </vt:variant>
      <vt:variant>
        <vt:lpwstr>Singh2004</vt:lpwstr>
      </vt:variant>
      <vt:variant>
        <vt:i4>786501</vt:i4>
      </vt:variant>
      <vt:variant>
        <vt:i4>13667</vt:i4>
      </vt:variant>
      <vt:variant>
        <vt:i4>0</vt:i4>
      </vt:variant>
      <vt:variant>
        <vt:i4>5</vt:i4>
      </vt:variant>
      <vt:variant>
        <vt:lpwstr/>
      </vt:variant>
      <vt:variant>
        <vt:lpwstr>Singh2006</vt:lpwstr>
      </vt:variant>
      <vt:variant>
        <vt:i4>7536684</vt:i4>
      </vt:variant>
      <vt:variant>
        <vt:i4>13664</vt:i4>
      </vt:variant>
      <vt:variant>
        <vt:i4>0</vt:i4>
      </vt:variant>
      <vt:variant>
        <vt:i4>5</vt:i4>
      </vt:variant>
      <vt:variant>
        <vt:lpwstr/>
      </vt:variant>
      <vt:variant>
        <vt:lpwstr>Sherman1994</vt:lpwstr>
      </vt:variant>
      <vt:variant>
        <vt:i4>10354774</vt:i4>
      </vt:variant>
      <vt:variant>
        <vt:i4>13661</vt:i4>
      </vt:variant>
      <vt:variant>
        <vt:i4>0</vt:i4>
      </vt:variant>
      <vt:variant>
        <vt:i4>5</vt:i4>
      </vt:variant>
      <vt:variant>
        <vt:lpwstr/>
      </vt:variant>
      <vt:variant>
        <vt:lpwstr>Schürmann2001</vt:lpwstr>
      </vt:variant>
      <vt:variant>
        <vt:i4>10354774</vt:i4>
      </vt:variant>
      <vt:variant>
        <vt:i4>13658</vt:i4>
      </vt:variant>
      <vt:variant>
        <vt:i4>0</vt:i4>
      </vt:variant>
      <vt:variant>
        <vt:i4>5</vt:i4>
      </vt:variant>
      <vt:variant>
        <vt:lpwstr/>
      </vt:variant>
      <vt:variant>
        <vt:lpwstr>Schürmann2007</vt:lpwstr>
      </vt:variant>
      <vt:variant>
        <vt:i4>7798821</vt:i4>
      </vt:variant>
      <vt:variant>
        <vt:i4>13655</vt:i4>
      </vt:variant>
      <vt:variant>
        <vt:i4>0</vt:i4>
      </vt:variant>
      <vt:variant>
        <vt:i4>5</vt:i4>
      </vt:variant>
      <vt:variant>
        <vt:lpwstr/>
      </vt:variant>
      <vt:variant>
        <vt:lpwstr>Scarano1998</vt:lpwstr>
      </vt:variant>
      <vt:variant>
        <vt:i4>6684716</vt:i4>
      </vt:variant>
      <vt:variant>
        <vt:i4>13652</vt:i4>
      </vt:variant>
      <vt:variant>
        <vt:i4>0</vt:i4>
      </vt:variant>
      <vt:variant>
        <vt:i4>5</vt:i4>
      </vt:variant>
      <vt:variant>
        <vt:lpwstr/>
      </vt:variant>
      <vt:variant>
        <vt:lpwstr>RodriguezMoreno1990</vt:lpwstr>
      </vt:variant>
      <vt:variant>
        <vt:i4>8257658</vt:i4>
      </vt:variant>
      <vt:variant>
        <vt:i4>13649</vt:i4>
      </vt:variant>
      <vt:variant>
        <vt:i4>0</vt:i4>
      </vt:variant>
      <vt:variant>
        <vt:i4>5</vt:i4>
      </vt:variant>
      <vt:variant>
        <vt:lpwstr/>
      </vt:variant>
      <vt:variant>
        <vt:lpwstr>Ringer2012</vt:lpwstr>
      </vt:variant>
      <vt:variant>
        <vt:i4>7929973</vt:i4>
      </vt:variant>
      <vt:variant>
        <vt:i4>13646</vt:i4>
      </vt:variant>
      <vt:variant>
        <vt:i4>0</vt:i4>
      </vt:variant>
      <vt:variant>
        <vt:i4>5</vt:i4>
      </vt:variant>
      <vt:variant>
        <vt:lpwstr/>
      </vt:variant>
      <vt:variant>
        <vt:lpwstr>Ribbers</vt:lpwstr>
      </vt:variant>
      <vt:variant>
        <vt:i4>655445</vt:i4>
      </vt:variant>
      <vt:variant>
        <vt:i4>13643</vt:i4>
      </vt:variant>
      <vt:variant>
        <vt:i4>0</vt:i4>
      </vt:variant>
      <vt:variant>
        <vt:i4>5</vt:i4>
      </vt:variant>
      <vt:variant>
        <vt:lpwstr/>
      </vt:variant>
      <vt:variant>
        <vt:lpwstr>Rauck1993</vt:lpwstr>
      </vt:variant>
      <vt:variant>
        <vt:i4>6946941</vt:i4>
      </vt:variant>
      <vt:variant>
        <vt:i4>13640</vt:i4>
      </vt:variant>
      <vt:variant>
        <vt:i4>0</vt:i4>
      </vt:variant>
      <vt:variant>
        <vt:i4>5</vt:i4>
      </vt:variant>
      <vt:variant>
        <vt:lpwstr/>
      </vt:variant>
      <vt:variant>
        <vt:lpwstr>Quisel2</vt:lpwstr>
      </vt:variant>
      <vt:variant>
        <vt:i4>196680</vt:i4>
      </vt:variant>
      <vt:variant>
        <vt:i4>13637</vt:i4>
      </vt:variant>
      <vt:variant>
        <vt:i4>0</vt:i4>
      </vt:variant>
      <vt:variant>
        <vt:i4>5</vt:i4>
      </vt:variant>
      <vt:variant>
        <vt:lpwstr/>
      </vt:variant>
      <vt:variant>
        <vt:lpwstr>Perez2010</vt:lpwstr>
      </vt:variant>
      <vt:variant>
        <vt:i4>3276920</vt:i4>
      </vt:variant>
      <vt:variant>
        <vt:i4>13634</vt:i4>
      </vt:variant>
      <vt:variant>
        <vt:i4>0</vt:i4>
      </vt:variant>
      <vt:variant>
        <vt:i4>5</vt:i4>
      </vt:variant>
      <vt:variant>
        <vt:lpwstr/>
      </vt:variant>
      <vt:variant>
        <vt:lpwstr>Perez2</vt:lpwstr>
      </vt:variant>
      <vt:variant>
        <vt:i4>2</vt:i4>
      </vt:variant>
      <vt:variant>
        <vt:i4>13631</vt:i4>
      </vt:variant>
      <vt:variant>
        <vt:i4>0</vt:i4>
      </vt:variant>
      <vt:variant>
        <vt:i4>5</vt:i4>
      </vt:variant>
      <vt:variant>
        <vt:lpwstr/>
      </vt:variant>
      <vt:variant>
        <vt:lpwstr>Perez</vt:lpwstr>
      </vt:variant>
      <vt:variant>
        <vt:i4>6684797</vt:i4>
      </vt:variant>
      <vt:variant>
        <vt:i4>13628</vt:i4>
      </vt:variant>
      <vt:variant>
        <vt:i4>0</vt:i4>
      </vt:variant>
      <vt:variant>
        <vt:i4>5</vt:i4>
      </vt:variant>
      <vt:variant>
        <vt:lpwstr/>
      </vt:variant>
      <vt:variant>
        <vt:lpwstr>Pankaj2006</vt:lpwstr>
      </vt:variant>
      <vt:variant>
        <vt:i4>458776</vt:i4>
      </vt:variant>
      <vt:variant>
        <vt:i4>13625</vt:i4>
      </vt:variant>
      <vt:variant>
        <vt:i4>0</vt:i4>
      </vt:variant>
      <vt:variant>
        <vt:i4>5</vt:i4>
      </vt:variant>
      <vt:variant>
        <vt:lpwstr/>
      </vt:variant>
      <vt:variant>
        <vt:lpwstr>Okun2002</vt:lpwstr>
      </vt:variant>
      <vt:variant>
        <vt:i4>458753</vt:i4>
      </vt:variant>
      <vt:variant>
        <vt:i4>13622</vt:i4>
      </vt:variant>
      <vt:variant>
        <vt:i4>0</vt:i4>
      </vt:variant>
      <vt:variant>
        <vt:i4>5</vt:i4>
      </vt:variant>
      <vt:variant>
        <vt:lpwstr/>
      </vt:variant>
      <vt:variant>
        <vt:lpwstr>OConnell2013</vt:lpwstr>
      </vt:variant>
      <vt:variant>
        <vt:i4>983126</vt:i4>
      </vt:variant>
      <vt:variant>
        <vt:i4>13619</vt:i4>
      </vt:variant>
      <vt:variant>
        <vt:i4>0</vt:i4>
      </vt:variant>
      <vt:variant>
        <vt:i4>5</vt:i4>
      </vt:variant>
      <vt:variant>
        <vt:lpwstr/>
      </vt:variant>
      <vt:variant>
        <vt:lpwstr>Ochoa2010</vt:lpwstr>
      </vt:variant>
      <vt:variant>
        <vt:i4>327747</vt:i4>
      </vt:variant>
      <vt:variant>
        <vt:i4>13616</vt:i4>
      </vt:variant>
      <vt:variant>
        <vt:i4>0</vt:i4>
      </vt:variant>
      <vt:variant>
        <vt:i4>5</vt:i4>
      </vt:variant>
      <vt:variant>
        <vt:lpwstr/>
      </vt:variant>
      <vt:variant>
        <vt:lpwstr>Oaklander2013</vt:lpwstr>
      </vt:variant>
      <vt:variant>
        <vt:i4>262211</vt:i4>
      </vt:variant>
      <vt:variant>
        <vt:i4>13613</vt:i4>
      </vt:variant>
      <vt:variant>
        <vt:i4>0</vt:i4>
      </vt:variant>
      <vt:variant>
        <vt:i4>5</vt:i4>
      </vt:variant>
      <vt:variant>
        <vt:lpwstr/>
      </vt:variant>
      <vt:variant>
        <vt:lpwstr>Oaklander2006</vt:lpwstr>
      </vt:variant>
      <vt:variant>
        <vt:i4>262211</vt:i4>
      </vt:variant>
      <vt:variant>
        <vt:i4>13610</vt:i4>
      </vt:variant>
      <vt:variant>
        <vt:i4>0</vt:i4>
      </vt:variant>
      <vt:variant>
        <vt:i4>5</vt:i4>
      </vt:variant>
      <vt:variant>
        <vt:lpwstr/>
      </vt:variant>
      <vt:variant>
        <vt:lpwstr>Oaklander2009</vt:lpwstr>
      </vt:variant>
      <vt:variant>
        <vt:i4>7995516</vt:i4>
      </vt:variant>
      <vt:variant>
        <vt:i4>13607</vt:i4>
      </vt:variant>
      <vt:variant>
        <vt:i4>0</vt:i4>
      </vt:variant>
      <vt:variant>
        <vt:i4>5</vt:i4>
      </vt:variant>
      <vt:variant>
        <vt:lpwstr/>
      </vt:variant>
      <vt:variant>
        <vt:lpwstr>Murray2004</vt:lpwstr>
      </vt:variant>
      <vt:variant>
        <vt:i4>196609</vt:i4>
      </vt:variant>
      <vt:variant>
        <vt:i4>13604</vt:i4>
      </vt:variant>
      <vt:variant>
        <vt:i4>0</vt:i4>
      </vt:variant>
      <vt:variant>
        <vt:i4>5</vt:i4>
      </vt:variant>
      <vt:variant>
        <vt:lpwstr/>
      </vt:variant>
      <vt:variant>
        <vt:lpwstr>Moon2012</vt:lpwstr>
      </vt:variant>
      <vt:variant>
        <vt:i4>8257586</vt:i4>
      </vt:variant>
      <vt:variant>
        <vt:i4>13601</vt:i4>
      </vt:variant>
      <vt:variant>
        <vt:i4>0</vt:i4>
      </vt:variant>
      <vt:variant>
        <vt:i4>5</vt:i4>
      </vt:variant>
      <vt:variant>
        <vt:lpwstr/>
      </vt:variant>
      <vt:variant>
        <vt:lpwstr>Marinus2011</vt:lpwstr>
      </vt:variant>
      <vt:variant>
        <vt:i4>8257645</vt:i4>
      </vt:variant>
      <vt:variant>
        <vt:i4>13598</vt:i4>
      </vt:variant>
      <vt:variant>
        <vt:i4>0</vt:i4>
      </vt:variant>
      <vt:variant>
        <vt:i4>5</vt:i4>
      </vt:variant>
      <vt:variant>
        <vt:lpwstr/>
      </vt:variant>
      <vt:variant>
        <vt:lpwstr>Mailis</vt:lpwstr>
      </vt:variant>
      <vt:variant>
        <vt:i4>7143472</vt:i4>
      </vt:variant>
      <vt:variant>
        <vt:i4>13595</vt:i4>
      </vt:variant>
      <vt:variant>
        <vt:i4>0</vt:i4>
      </vt:variant>
      <vt:variant>
        <vt:i4>5</vt:i4>
      </vt:variant>
      <vt:variant>
        <vt:lpwstr/>
      </vt:variant>
      <vt:variant>
        <vt:lpwstr>Lee1995</vt:lpwstr>
      </vt:variant>
      <vt:variant>
        <vt:i4>393217</vt:i4>
      </vt:variant>
      <vt:variant>
        <vt:i4>13592</vt:i4>
      </vt:variant>
      <vt:variant>
        <vt:i4>0</vt:i4>
      </vt:variant>
      <vt:variant>
        <vt:i4>5</vt:i4>
      </vt:variant>
      <vt:variant>
        <vt:lpwstr/>
      </vt:variant>
      <vt:variant>
        <vt:lpwstr>Lang2010a</vt:lpwstr>
      </vt:variant>
      <vt:variant>
        <vt:i4>7012384</vt:i4>
      </vt:variant>
      <vt:variant>
        <vt:i4>13589</vt:i4>
      </vt:variant>
      <vt:variant>
        <vt:i4>0</vt:i4>
      </vt:variant>
      <vt:variant>
        <vt:i4>5</vt:i4>
      </vt:variant>
      <vt:variant>
        <vt:lpwstr/>
      </vt:variant>
      <vt:variant>
        <vt:lpwstr>Krumova2008</vt:lpwstr>
      </vt:variant>
      <vt:variant>
        <vt:i4>6946848</vt:i4>
      </vt:variant>
      <vt:variant>
        <vt:i4>13586</vt:i4>
      </vt:variant>
      <vt:variant>
        <vt:i4>0</vt:i4>
      </vt:variant>
      <vt:variant>
        <vt:i4>5</vt:i4>
      </vt:variant>
      <vt:variant>
        <vt:lpwstr/>
      </vt:variant>
      <vt:variant>
        <vt:lpwstr>Krumova2011</vt:lpwstr>
      </vt:variant>
      <vt:variant>
        <vt:i4>9371731</vt:i4>
      </vt:variant>
      <vt:variant>
        <vt:i4>13583</vt:i4>
      </vt:variant>
      <vt:variant>
        <vt:i4>0</vt:i4>
      </vt:variant>
      <vt:variant>
        <vt:i4>5</vt:i4>
      </vt:variant>
      <vt:variant>
        <vt:lpwstr/>
      </vt:variant>
      <vt:variant>
        <vt:lpwstr>Jänig2004</vt:lpwstr>
      </vt:variant>
      <vt:variant>
        <vt:i4>7405613</vt:i4>
      </vt:variant>
      <vt:variant>
        <vt:i4>13580</vt:i4>
      </vt:variant>
      <vt:variant>
        <vt:i4>0</vt:i4>
      </vt:variant>
      <vt:variant>
        <vt:i4>5</vt:i4>
      </vt:variant>
      <vt:variant>
        <vt:lpwstr/>
      </vt:variant>
      <vt:variant>
        <vt:lpwstr>Hsu2009</vt:lpwstr>
      </vt:variant>
      <vt:variant>
        <vt:i4>7667833</vt:i4>
      </vt:variant>
      <vt:variant>
        <vt:i4>13577</vt:i4>
      </vt:variant>
      <vt:variant>
        <vt:i4>0</vt:i4>
      </vt:variant>
      <vt:variant>
        <vt:i4>5</vt:i4>
      </vt:variant>
      <vt:variant>
        <vt:lpwstr/>
      </vt:variant>
      <vt:variant>
        <vt:lpwstr>Hawley2011</vt:lpwstr>
      </vt:variant>
      <vt:variant>
        <vt:i4>7012476</vt:i4>
      </vt:variant>
      <vt:variant>
        <vt:i4>13574</vt:i4>
      </vt:variant>
      <vt:variant>
        <vt:i4>0</vt:i4>
      </vt:variant>
      <vt:variant>
        <vt:i4>5</vt:i4>
      </vt:variant>
      <vt:variant>
        <vt:lpwstr/>
      </vt:variant>
      <vt:variant>
        <vt:lpwstr>Harden2010a</vt:lpwstr>
      </vt:variant>
      <vt:variant>
        <vt:i4>7012476</vt:i4>
      </vt:variant>
      <vt:variant>
        <vt:i4>13571</vt:i4>
      </vt:variant>
      <vt:variant>
        <vt:i4>0</vt:i4>
      </vt:variant>
      <vt:variant>
        <vt:i4>5</vt:i4>
      </vt:variant>
      <vt:variant>
        <vt:lpwstr/>
      </vt:variant>
      <vt:variant>
        <vt:lpwstr>Harden2010</vt:lpwstr>
      </vt:variant>
      <vt:variant>
        <vt:i4>6815868</vt:i4>
      </vt:variant>
      <vt:variant>
        <vt:i4>13568</vt:i4>
      </vt:variant>
      <vt:variant>
        <vt:i4>0</vt:i4>
      </vt:variant>
      <vt:variant>
        <vt:i4>5</vt:i4>
      </vt:variant>
      <vt:variant>
        <vt:lpwstr/>
      </vt:variant>
      <vt:variant>
        <vt:lpwstr>Harden2013</vt:lpwstr>
      </vt:variant>
      <vt:variant>
        <vt:i4>7012479</vt:i4>
      </vt:variant>
      <vt:variant>
        <vt:i4>13565</vt:i4>
      </vt:variant>
      <vt:variant>
        <vt:i4>0</vt:i4>
      </vt:variant>
      <vt:variant>
        <vt:i4>5</vt:i4>
      </vt:variant>
      <vt:variant>
        <vt:lpwstr/>
      </vt:variant>
      <vt:variant>
        <vt:lpwstr>Harden2</vt:lpwstr>
      </vt:variant>
      <vt:variant>
        <vt:i4>1310810</vt:i4>
      </vt:variant>
      <vt:variant>
        <vt:i4>13562</vt:i4>
      </vt:variant>
      <vt:variant>
        <vt:i4>0</vt:i4>
      </vt:variant>
      <vt:variant>
        <vt:i4>5</vt:i4>
      </vt:variant>
      <vt:variant>
        <vt:lpwstr/>
      </vt:variant>
      <vt:variant>
        <vt:lpwstr>Gradl2003</vt:lpwstr>
      </vt:variant>
      <vt:variant>
        <vt:i4>6750313</vt:i4>
      </vt:variant>
      <vt:variant>
        <vt:i4>13559</vt:i4>
      </vt:variant>
      <vt:variant>
        <vt:i4>0</vt:i4>
      </vt:variant>
      <vt:variant>
        <vt:i4>5</vt:i4>
      </vt:variant>
      <vt:variant>
        <vt:lpwstr/>
      </vt:variant>
      <vt:variant>
        <vt:lpwstr>Grabow2</vt:lpwstr>
      </vt:variant>
      <vt:variant>
        <vt:i4>6488164</vt:i4>
      </vt:variant>
      <vt:variant>
        <vt:i4>13556</vt:i4>
      </vt:variant>
      <vt:variant>
        <vt:i4>0</vt:i4>
      </vt:variant>
      <vt:variant>
        <vt:i4>5</vt:i4>
      </vt:variant>
      <vt:variant>
        <vt:lpwstr/>
      </vt:variant>
      <vt:variant>
        <vt:lpwstr>Goebel2012</vt:lpwstr>
      </vt:variant>
      <vt:variant>
        <vt:i4>262155</vt:i4>
      </vt:variant>
      <vt:variant>
        <vt:i4>13553</vt:i4>
      </vt:variant>
      <vt:variant>
        <vt:i4>0</vt:i4>
      </vt:variant>
      <vt:variant>
        <vt:i4>5</vt:i4>
      </vt:variant>
      <vt:variant>
        <vt:lpwstr/>
      </vt:variant>
      <vt:variant>
        <vt:lpwstr>Galer</vt:lpwstr>
      </vt:variant>
      <vt:variant>
        <vt:i4>7274558</vt:i4>
      </vt:variant>
      <vt:variant>
        <vt:i4>13550</vt:i4>
      </vt:variant>
      <vt:variant>
        <vt:i4>0</vt:i4>
      </vt:variant>
      <vt:variant>
        <vt:i4>5</vt:i4>
      </vt:variant>
      <vt:variant>
        <vt:lpwstr/>
      </vt:variant>
      <vt:variant>
        <vt:lpwstr>Dworkin2013</vt:lpwstr>
      </vt:variant>
      <vt:variant>
        <vt:i4>524362</vt:i4>
      </vt:variant>
      <vt:variant>
        <vt:i4>13547</vt:i4>
      </vt:variant>
      <vt:variant>
        <vt:i4>0</vt:i4>
      </vt:variant>
      <vt:variant>
        <vt:i4>5</vt:i4>
      </vt:variant>
      <vt:variant>
        <vt:lpwstr/>
      </vt:variant>
      <vt:variant>
        <vt:lpwstr>deMos2009</vt:lpwstr>
      </vt:variant>
      <vt:variant>
        <vt:i4>7209066</vt:i4>
      </vt:variant>
      <vt:variant>
        <vt:i4>13544</vt:i4>
      </vt:variant>
      <vt:variant>
        <vt:i4>0</vt:i4>
      </vt:variant>
      <vt:variant>
        <vt:i4>5</vt:i4>
      </vt:variant>
      <vt:variant>
        <vt:lpwstr/>
      </vt:variant>
      <vt:variant>
        <vt:lpwstr>Cooper2013a</vt:lpwstr>
      </vt:variant>
      <vt:variant>
        <vt:i4>1048601</vt:i4>
      </vt:variant>
      <vt:variant>
        <vt:i4>13541</vt:i4>
      </vt:variant>
      <vt:variant>
        <vt:i4>0</vt:i4>
      </vt:variant>
      <vt:variant>
        <vt:i4>5</vt:i4>
      </vt:variant>
      <vt:variant>
        <vt:lpwstr/>
      </vt:variant>
      <vt:variant>
        <vt:lpwstr>Cappello2012</vt:lpwstr>
      </vt:variant>
      <vt:variant>
        <vt:i4>8061052</vt:i4>
      </vt:variant>
      <vt:variant>
        <vt:i4>13538</vt:i4>
      </vt:variant>
      <vt:variant>
        <vt:i4>0</vt:i4>
      </vt:variant>
      <vt:variant>
        <vt:i4>5</vt:i4>
      </vt:variant>
      <vt:variant>
        <vt:lpwstr/>
      </vt:variant>
      <vt:variant>
        <vt:lpwstr>Bruehl2010</vt:lpwstr>
      </vt:variant>
      <vt:variant>
        <vt:i4>8061055</vt:i4>
      </vt:variant>
      <vt:variant>
        <vt:i4>13535</vt:i4>
      </vt:variant>
      <vt:variant>
        <vt:i4>0</vt:i4>
      </vt:variant>
      <vt:variant>
        <vt:i4>5</vt:i4>
      </vt:variant>
      <vt:variant>
        <vt:lpwstr/>
      </vt:variant>
      <vt:variant>
        <vt:lpwstr>Bruehl2</vt:lpwstr>
      </vt:variant>
      <vt:variant>
        <vt:i4>589845</vt:i4>
      </vt:variant>
      <vt:variant>
        <vt:i4>13532</vt:i4>
      </vt:variant>
      <vt:variant>
        <vt:i4>0</vt:i4>
      </vt:variant>
      <vt:variant>
        <vt:i4>5</vt:i4>
      </vt:variant>
      <vt:variant>
        <vt:lpwstr/>
      </vt:variant>
      <vt:variant>
        <vt:lpwstr>Birklein</vt:lpwstr>
      </vt:variant>
      <vt:variant>
        <vt:i4>7340066</vt:i4>
      </vt:variant>
      <vt:variant>
        <vt:i4>13529</vt:i4>
      </vt:variant>
      <vt:variant>
        <vt:i4>0</vt:i4>
      </vt:variant>
      <vt:variant>
        <vt:i4>5</vt:i4>
      </vt:variant>
      <vt:variant>
        <vt:lpwstr/>
      </vt:variant>
      <vt:variant>
        <vt:lpwstr>Beerthuizen2011</vt:lpwstr>
      </vt:variant>
      <vt:variant>
        <vt:i4>7405602</vt:i4>
      </vt:variant>
      <vt:variant>
        <vt:i4>13526</vt:i4>
      </vt:variant>
      <vt:variant>
        <vt:i4>0</vt:i4>
      </vt:variant>
      <vt:variant>
        <vt:i4>5</vt:i4>
      </vt:variant>
      <vt:variant>
        <vt:lpwstr/>
      </vt:variant>
      <vt:variant>
        <vt:lpwstr>Beerthuizen2009</vt:lpwstr>
      </vt:variant>
      <vt:variant>
        <vt:i4>7209011</vt:i4>
      </vt:variant>
      <vt:variant>
        <vt:i4>13523</vt:i4>
      </vt:variant>
      <vt:variant>
        <vt:i4>0</vt:i4>
      </vt:variant>
      <vt:variant>
        <vt:i4>5</vt:i4>
      </vt:variant>
      <vt:variant>
        <vt:lpwstr/>
      </vt:variant>
      <vt:variant>
        <vt:lpwstr>Albazaz2008</vt:lpwstr>
      </vt:variant>
      <vt:variant>
        <vt:i4>7864418</vt:i4>
      </vt:variant>
      <vt:variant>
        <vt:i4>13520</vt:i4>
      </vt:variant>
      <vt:variant>
        <vt:i4>0</vt:i4>
      </vt:variant>
      <vt:variant>
        <vt:i4>5</vt:i4>
      </vt:variant>
      <vt:variant>
        <vt:lpwstr/>
      </vt:variant>
      <vt:variant>
        <vt:lpwstr>Akeson1987</vt:lpwstr>
      </vt:variant>
      <vt:variant>
        <vt:i4>720920</vt:i4>
      </vt:variant>
      <vt:variant>
        <vt:i4>13517</vt:i4>
      </vt:variant>
      <vt:variant>
        <vt:i4>0</vt:i4>
      </vt:variant>
      <vt:variant>
        <vt:i4>5</vt:i4>
      </vt:variant>
      <vt:variant>
        <vt:lpwstr/>
      </vt:variant>
      <vt:variant>
        <vt:lpwstr>Lankveld</vt:lpwstr>
      </vt:variant>
      <vt:variant>
        <vt:i4>6357110</vt:i4>
      </vt:variant>
      <vt:variant>
        <vt:i4>13514</vt:i4>
      </vt:variant>
      <vt:variant>
        <vt:i4>0</vt:i4>
      </vt:variant>
      <vt:variant>
        <vt:i4>5</vt:i4>
      </vt:variant>
      <vt:variant>
        <vt:lpwstr/>
      </vt:variant>
      <vt:variant>
        <vt:lpwstr>van</vt:lpwstr>
      </vt:variant>
      <vt:variant>
        <vt:i4>30</vt:i4>
      </vt:variant>
      <vt:variant>
        <vt:i4>13511</vt:i4>
      </vt:variant>
      <vt:variant>
        <vt:i4>0</vt:i4>
      </vt:variant>
      <vt:variant>
        <vt:i4>5</vt:i4>
      </vt:variant>
      <vt:variant>
        <vt:lpwstr/>
      </vt:variant>
      <vt:variant>
        <vt:lpwstr>Townsend</vt:lpwstr>
      </vt:variant>
      <vt:variant>
        <vt:i4>65556</vt:i4>
      </vt:variant>
      <vt:variant>
        <vt:i4>13508</vt:i4>
      </vt:variant>
      <vt:variant>
        <vt:i4>0</vt:i4>
      </vt:variant>
      <vt:variant>
        <vt:i4>5</vt:i4>
      </vt:variant>
      <vt:variant>
        <vt:lpwstr/>
      </vt:variant>
      <vt:variant>
        <vt:lpwstr>Sullivan2010</vt:lpwstr>
      </vt:variant>
      <vt:variant>
        <vt:i4>458773</vt:i4>
      </vt:variant>
      <vt:variant>
        <vt:i4>13505</vt:i4>
      </vt:variant>
      <vt:variant>
        <vt:i4>0</vt:i4>
      </vt:variant>
      <vt:variant>
        <vt:i4>5</vt:i4>
      </vt:variant>
      <vt:variant>
        <vt:lpwstr/>
      </vt:variant>
      <vt:variant>
        <vt:lpwstr>Sullivan2006a</vt:lpwstr>
      </vt:variant>
      <vt:variant>
        <vt:i4>8061026</vt:i4>
      </vt:variant>
      <vt:variant>
        <vt:i4>13502</vt:i4>
      </vt:variant>
      <vt:variant>
        <vt:i4>0</vt:i4>
      </vt:variant>
      <vt:variant>
        <vt:i4>5</vt:i4>
      </vt:variant>
      <vt:variant>
        <vt:lpwstr/>
      </vt:variant>
      <vt:variant>
        <vt:lpwstr>Smeets</vt:lpwstr>
      </vt:variant>
      <vt:variant>
        <vt:i4>6881334</vt:i4>
      </vt:variant>
      <vt:variant>
        <vt:i4>13499</vt:i4>
      </vt:variant>
      <vt:variant>
        <vt:i4>0</vt:i4>
      </vt:variant>
      <vt:variant>
        <vt:i4>5</vt:i4>
      </vt:variant>
      <vt:variant>
        <vt:lpwstr/>
      </vt:variant>
      <vt:variant>
        <vt:lpwstr>Schmidt2011</vt:lpwstr>
      </vt:variant>
      <vt:variant>
        <vt:i4>7798904</vt:i4>
      </vt:variant>
      <vt:variant>
        <vt:i4>13496</vt:i4>
      </vt:variant>
      <vt:variant>
        <vt:i4>0</vt:i4>
      </vt:variant>
      <vt:variant>
        <vt:i4>5</vt:i4>
      </vt:variant>
      <vt:variant>
        <vt:lpwstr/>
      </vt:variant>
      <vt:variant>
        <vt:lpwstr>Sanders</vt:lpwstr>
      </vt:variant>
      <vt:variant>
        <vt:i4>1769489</vt:i4>
      </vt:variant>
      <vt:variant>
        <vt:i4>13493</vt:i4>
      </vt:variant>
      <vt:variant>
        <vt:i4>0</vt:i4>
      </vt:variant>
      <vt:variant>
        <vt:i4>5</vt:i4>
      </vt:variant>
      <vt:variant>
        <vt:lpwstr/>
      </vt:variant>
      <vt:variant>
        <vt:lpwstr>Robinson2</vt:lpwstr>
      </vt:variant>
      <vt:variant>
        <vt:i4>8257643</vt:i4>
      </vt:variant>
      <vt:variant>
        <vt:i4>13490</vt:i4>
      </vt:variant>
      <vt:variant>
        <vt:i4>0</vt:i4>
      </vt:variant>
      <vt:variant>
        <vt:i4>5</vt:i4>
      </vt:variant>
      <vt:variant>
        <vt:lpwstr/>
      </vt:variant>
      <vt:variant>
        <vt:lpwstr>Proctor</vt:lpwstr>
      </vt:variant>
      <vt:variant>
        <vt:i4>65562</vt:i4>
      </vt:variant>
      <vt:variant>
        <vt:i4>13487</vt:i4>
      </vt:variant>
      <vt:variant>
        <vt:i4>0</vt:i4>
      </vt:variant>
      <vt:variant>
        <vt:i4>5</vt:i4>
      </vt:variant>
      <vt:variant>
        <vt:lpwstr/>
      </vt:variant>
      <vt:variant>
        <vt:lpwstr>Poleshuck</vt:lpwstr>
      </vt:variant>
      <vt:variant>
        <vt:i4>7340141</vt:i4>
      </vt:variant>
      <vt:variant>
        <vt:i4>13484</vt:i4>
      </vt:variant>
      <vt:variant>
        <vt:i4>0</vt:i4>
      </vt:variant>
      <vt:variant>
        <vt:i4>5</vt:i4>
      </vt:variant>
      <vt:variant>
        <vt:lpwstr/>
      </vt:variant>
      <vt:variant>
        <vt:lpwstr>Patrick</vt:lpwstr>
      </vt:variant>
      <vt:variant>
        <vt:i4>458758</vt:i4>
      </vt:variant>
      <vt:variant>
        <vt:i4>13481</vt:i4>
      </vt:variant>
      <vt:variant>
        <vt:i4>0</vt:i4>
      </vt:variant>
      <vt:variant>
        <vt:i4>5</vt:i4>
      </vt:variant>
      <vt:variant>
        <vt:lpwstr/>
      </vt:variant>
      <vt:variant>
        <vt:lpwstr>Otis</vt:lpwstr>
      </vt:variant>
      <vt:variant>
        <vt:i4>7929975</vt:i4>
      </vt:variant>
      <vt:variant>
        <vt:i4>13478</vt:i4>
      </vt:variant>
      <vt:variant>
        <vt:i4>0</vt:i4>
      </vt:variant>
      <vt:variant>
        <vt:i4>5</vt:i4>
      </vt:variant>
      <vt:variant>
        <vt:lpwstr/>
      </vt:variant>
      <vt:variant>
        <vt:lpwstr>Ostelo</vt:lpwstr>
      </vt:variant>
      <vt:variant>
        <vt:i4>7995514</vt:i4>
      </vt:variant>
      <vt:variant>
        <vt:i4>13475</vt:i4>
      </vt:variant>
      <vt:variant>
        <vt:i4>0</vt:i4>
      </vt:variant>
      <vt:variant>
        <vt:i4>5</vt:i4>
      </vt:variant>
      <vt:variant>
        <vt:lpwstr/>
      </vt:variant>
      <vt:variant>
        <vt:lpwstr>Morley</vt:lpwstr>
      </vt:variant>
      <vt:variant>
        <vt:i4>6750312</vt:i4>
      </vt:variant>
      <vt:variant>
        <vt:i4>13472</vt:i4>
      </vt:variant>
      <vt:variant>
        <vt:i4>0</vt:i4>
      </vt:variant>
      <vt:variant>
        <vt:i4>5</vt:i4>
      </vt:variant>
      <vt:variant>
        <vt:lpwstr/>
      </vt:variant>
      <vt:variant>
        <vt:lpwstr>Mellin</vt:lpwstr>
      </vt:variant>
      <vt:variant>
        <vt:i4>983044</vt:i4>
      </vt:variant>
      <vt:variant>
        <vt:i4>13469</vt:i4>
      </vt:variant>
      <vt:variant>
        <vt:i4>0</vt:i4>
      </vt:variant>
      <vt:variant>
        <vt:i4>5</vt:i4>
      </vt:variant>
      <vt:variant>
        <vt:lpwstr/>
      </vt:variant>
      <vt:variant>
        <vt:lpwstr>Main</vt:lpwstr>
      </vt:variant>
      <vt:variant>
        <vt:i4>1769611</vt:i4>
      </vt:variant>
      <vt:variant>
        <vt:i4>13466</vt:i4>
      </vt:variant>
      <vt:variant>
        <vt:i4>0</vt:i4>
      </vt:variant>
      <vt:variant>
        <vt:i4>5</vt:i4>
      </vt:variant>
      <vt:variant>
        <vt:lpwstr/>
      </vt:variant>
      <vt:variant>
        <vt:lpwstr>KrönerHerwig</vt:lpwstr>
      </vt:variant>
      <vt:variant>
        <vt:i4>6422649</vt:i4>
      </vt:variant>
      <vt:variant>
        <vt:i4>13463</vt:i4>
      </vt:variant>
      <vt:variant>
        <vt:i4>0</vt:i4>
      </vt:variant>
      <vt:variant>
        <vt:i4>5</vt:i4>
      </vt:variant>
      <vt:variant>
        <vt:lpwstr/>
      </vt:variant>
      <vt:variant>
        <vt:lpwstr>Krause</vt:lpwstr>
      </vt:variant>
      <vt:variant>
        <vt:i4>720921</vt:i4>
      </vt:variant>
      <vt:variant>
        <vt:i4>13460</vt:i4>
      </vt:variant>
      <vt:variant>
        <vt:i4>0</vt:i4>
      </vt:variant>
      <vt:variant>
        <vt:i4>5</vt:i4>
      </vt:variant>
      <vt:variant>
        <vt:lpwstr/>
      </vt:variant>
      <vt:variant>
        <vt:lpwstr>Kerns</vt:lpwstr>
      </vt:variant>
      <vt:variant>
        <vt:i4>5963801</vt:i4>
      </vt:variant>
      <vt:variant>
        <vt:i4>13457</vt:i4>
      </vt:variant>
      <vt:variant>
        <vt:i4>0</vt:i4>
      </vt:variant>
      <vt:variant>
        <vt:i4>5</vt:i4>
      </vt:variant>
      <vt:variant>
        <vt:lpwstr/>
      </vt:variant>
      <vt:variant>
        <vt:lpwstr>Karjalainen03</vt:lpwstr>
      </vt:variant>
      <vt:variant>
        <vt:i4>1769498</vt:i4>
      </vt:variant>
      <vt:variant>
        <vt:i4>13454</vt:i4>
      </vt:variant>
      <vt:variant>
        <vt:i4>0</vt:i4>
      </vt:variant>
      <vt:variant>
        <vt:i4>5</vt:i4>
      </vt:variant>
      <vt:variant>
        <vt:lpwstr/>
      </vt:variant>
      <vt:variant>
        <vt:lpwstr>Härkäpää</vt:lpwstr>
      </vt:variant>
      <vt:variant>
        <vt:i4>7733500</vt:i4>
      </vt:variant>
      <vt:variant>
        <vt:i4>13451</vt:i4>
      </vt:variant>
      <vt:variant>
        <vt:i4>0</vt:i4>
      </vt:variant>
      <vt:variant>
        <vt:i4>5</vt:i4>
      </vt:variant>
      <vt:variant>
        <vt:lpwstr/>
      </vt:variant>
      <vt:variant>
        <vt:lpwstr>Guzmán</vt:lpwstr>
      </vt:variant>
      <vt:variant>
        <vt:i4>1114259</vt:i4>
      </vt:variant>
      <vt:variant>
        <vt:i4>13448</vt:i4>
      </vt:variant>
      <vt:variant>
        <vt:i4>0</vt:i4>
      </vt:variant>
      <vt:variant>
        <vt:i4>5</vt:i4>
      </vt:variant>
      <vt:variant>
        <vt:lpwstr/>
      </vt:variant>
      <vt:variant>
        <vt:lpwstr>Grøndahl</vt:lpwstr>
      </vt:variant>
      <vt:variant>
        <vt:i4>5439511</vt:i4>
      </vt:variant>
      <vt:variant>
        <vt:i4>13445</vt:i4>
      </vt:variant>
      <vt:variant>
        <vt:i4>0</vt:i4>
      </vt:variant>
      <vt:variant>
        <vt:i4>5</vt:i4>
      </vt:variant>
      <vt:variant>
        <vt:lpwstr/>
      </vt:variant>
      <vt:variant>
        <vt:lpwstr>Gatchel4</vt:lpwstr>
      </vt:variant>
      <vt:variant>
        <vt:i4>5505047</vt:i4>
      </vt:variant>
      <vt:variant>
        <vt:i4>13442</vt:i4>
      </vt:variant>
      <vt:variant>
        <vt:i4>0</vt:i4>
      </vt:variant>
      <vt:variant>
        <vt:i4>5</vt:i4>
      </vt:variant>
      <vt:variant>
        <vt:lpwstr/>
      </vt:variant>
      <vt:variant>
        <vt:lpwstr>Gatchel3</vt:lpwstr>
      </vt:variant>
      <vt:variant>
        <vt:i4>6750331</vt:i4>
      </vt:variant>
      <vt:variant>
        <vt:i4>13439</vt:i4>
      </vt:variant>
      <vt:variant>
        <vt:i4>0</vt:i4>
      </vt:variant>
      <vt:variant>
        <vt:i4>5</vt:i4>
      </vt:variant>
      <vt:variant>
        <vt:lpwstr/>
      </vt:variant>
      <vt:variant>
        <vt:lpwstr>Gatchel</vt:lpwstr>
      </vt:variant>
      <vt:variant>
        <vt:i4>393289</vt:i4>
      </vt:variant>
      <vt:variant>
        <vt:i4>13436</vt:i4>
      </vt:variant>
      <vt:variant>
        <vt:i4>0</vt:i4>
      </vt:variant>
      <vt:variant>
        <vt:i4>5</vt:i4>
      </vt:variant>
      <vt:variant>
        <vt:lpwstr/>
      </vt:variant>
      <vt:variant>
        <vt:lpwstr>Gallagher1989</vt:lpwstr>
      </vt:variant>
      <vt:variant>
        <vt:i4>1703948</vt:i4>
      </vt:variant>
      <vt:variant>
        <vt:i4>13433</vt:i4>
      </vt:variant>
      <vt:variant>
        <vt:i4>0</vt:i4>
      </vt:variant>
      <vt:variant>
        <vt:i4>5</vt:i4>
      </vt:variant>
      <vt:variant>
        <vt:lpwstr/>
      </vt:variant>
      <vt:variant>
        <vt:lpwstr>Galantino</vt:lpwstr>
      </vt:variant>
      <vt:variant>
        <vt:i4>65545</vt:i4>
      </vt:variant>
      <vt:variant>
        <vt:i4>13430</vt:i4>
      </vt:variant>
      <vt:variant>
        <vt:i4>0</vt:i4>
      </vt:variant>
      <vt:variant>
        <vt:i4>5</vt:i4>
      </vt:variant>
      <vt:variant>
        <vt:lpwstr/>
      </vt:variant>
      <vt:variant>
        <vt:lpwstr>Frost</vt:lpwstr>
      </vt:variant>
      <vt:variant>
        <vt:i4>1966089</vt:i4>
      </vt:variant>
      <vt:variant>
        <vt:i4>13427</vt:i4>
      </vt:variant>
      <vt:variant>
        <vt:i4>0</vt:i4>
      </vt:variant>
      <vt:variant>
        <vt:i4>5</vt:i4>
      </vt:variant>
      <vt:variant>
        <vt:lpwstr/>
      </vt:variant>
      <vt:variant>
        <vt:lpwstr>Flor</vt:lpwstr>
      </vt:variant>
      <vt:variant>
        <vt:i4>7929969</vt:i4>
      </vt:variant>
      <vt:variant>
        <vt:i4>13424</vt:i4>
      </vt:variant>
      <vt:variant>
        <vt:i4>0</vt:i4>
      </vt:variant>
      <vt:variant>
        <vt:i4>5</vt:i4>
      </vt:variant>
      <vt:variant>
        <vt:lpwstr/>
      </vt:variant>
      <vt:variant>
        <vt:lpwstr>Doleys</vt:lpwstr>
      </vt:variant>
      <vt:variant>
        <vt:i4>1310798</vt:i4>
      </vt:variant>
      <vt:variant>
        <vt:i4>13421</vt:i4>
      </vt:variant>
      <vt:variant>
        <vt:i4>0</vt:i4>
      </vt:variant>
      <vt:variant>
        <vt:i4>5</vt:i4>
      </vt:variant>
      <vt:variant>
        <vt:lpwstr/>
      </vt:variant>
      <vt:variant>
        <vt:lpwstr>Dersh2007</vt:lpwstr>
      </vt:variant>
      <vt:variant>
        <vt:i4>2359422</vt:i4>
      </vt:variant>
      <vt:variant>
        <vt:i4>13418</vt:i4>
      </vt:variant>
      <vt:variant>
        <vt:i4>0</vt:i4>
      </vt:variant>
      <vt:variant>
        <vt:i4>5</vt:i4>
      </vt:variant>
      <vt:variant>
        <vt:lpwstr/>
      </vt:variant>
      <vt:variant>
        <vt:lpwstr>Dersh2</vt:lpwstr>
      </vt:variant>
      <vt:variant>
        <vt:i4>1441814</vt:i4>
      </vt:variant>
      <vt:variant>
        <vt:i4>13415</vt:i4>
      </vt:variant>
      <vt:variant>
        <vt:i4>0</vt:i4>
      </vt:variant>
      <vt:variant>
        <vt:i4>5</vt:i4>
      </vt:variant>
      <vt:variant>
        <vt:lpwstr/>
      </vt:variant>
      <vt:variant>
        <vt:lpwstr>Dersh</vt:lpwstr>
      </vt:variant>
      <vt:variant>
        <vt:i4>1376257</vt:i4>
      </vt:variant>
      <vt:variant>
        <vt:i4>13412</vt:i4>
      </vt:variant>
      <vt:variant>
        <vt:i4>0</vt:i4>
      </vt:variant>
      <vt:variant>
        <vt:i4>5</vt:i4>
      </vt:variant>
      <vt:variant>
        <vt:lpwstr/>
      </vt:variant>
      <vt:variant>
        <vt:lpwstr>Clay2010</vt:lpwstr>
      </vt:variant>
      <vt:variant>
        <vt:i4>7864431</vt:i4>
      </vt:variant>
      <vt:variant>
        <vt:i4>13409</vt:i4>
      </vt:variant>
      <vt:variant>
        <vt:i4>0</vt:i4>
      </vt:variant>
      <vt:variant>
        <vt:i4>5</vt:i4>
      </vt:variant>
      <vt:variant>
        <vt:lpwstr/>
      </vt:variant>
      <vt:variant>
        <vt:lpwstr>Buchner</vt:lpwstr>
      </vt:variant>
      <vt:variant>
        <vt:i4>1835031</vt:i4>
      </vt:variant>
      <vt:variant>
        <vt:i4>13406</vt:i4>
      </vt:variant>
      <vt:variant>
        <vt:i4>0</vt:i4>
      </vt:variant>
      <vt:variant>
        <vt:i4>5</vt:i4>
      </vt:variant>
      <vt:variant>
        <vt:lpwstr/>
      </vt:variant>
      <vt:variant>
        <vt:lpwstr>Bruns</vt:lpwstr>
      </vt:variant>
      <vt:variant>
        <vt:i4>7929957</vt:i4>
      </vt:variant>
      <vt:variant>
        <vt:i4>13403</vt:i4>
      </vt:variant>
      <vt:variant>
        <vt:i4>0</vt:i4>
      </vt:variant>
      <vt:variant>
        <vt:i4>5</vt:i4>
      </vt:variant>
      <vt:variant>
        <vt:lpwstr/>
      </vt:variant>
      <vt:variant>
        <vt:lpwstr>BendixT</vt:lpwstr>
      </vt:variant>
      <vt:variant>
        <vt:i4>7864429</vt:i4>
      </vt:variant>
      <vt:variant>
        <vt:i4>13400</vt:i4>
      </vt:variant>
      <vt:variant>
        <vt:i4>0</vt:i4>
      </vt:variant>
      <vt:variant>
        <vt:i4>5</vt:i4>
      </vt:variant>
      <vt:variant>
        <vt:lpwstr/>
      </vt:variant>
      <vt:variant>
        <vt:lpwstr>Bendix1998a</vt:lpwstr>
      </vt:variant>
      <vt:variant>
        <vt:i4>7798893</vt:i4>
      </vt:variant>
      <vt:variant>
        <vt:i4>13397</vt:i4>
      </vt:variant>
      <vt:variant>
        <vt:i4>0</vt:i4>
      </vt:variant>
      <vt:variant>
        <vt:i4>5</vt:i4>
      </vt:variant>
      <vt:variant>
        <vt:lpwstr/>
      </vt:variant>
      <vt:variant>
        <vt:lpwstr>Bendix1997</vt:lpwstr>
      </vt:variant>
      <vt:variant>
        <vt:i4>589827</vt:i4>
      </vt:variant>
      <vt:variant>
        <vt:i4>13394</vt:i4>
      </vt:variant>
      <vt:variant>
        <vt:i4>0</vt:i4>
      </vt:variant>
      <vt:variant>
        <vt:i4>5</vt:i4>
      </vt:variant>
      <vt:variant>
        <vt:lpwstr/>
      </vt:variant>
      <vt:variant>
        <vt:lpwstr>Beals</vt:lpwstr>
      </vt:variant>
      <vt:variant>
        <vt:i4>6553727</vt:i4>
      </vt:variant>
      <vt:variant>
        <vt:i4>13391</vt:i4>
      </vt:variant>
      <vt:variant>
        <vt:i4>0</vt:i4>
      </vt:variant>
      <vt:variant>
        <vt:i4>5</vt:i4>
      </vt:variant>
      <vt:variant>
        <vt:lpwstr/>
      </vt:variant>
      <vt:variant>
        <vt:lpwstr>Barrows</vt:lpwstr>
      </vt:variant>
      <vt:variant>
        <vt:i4>6357093</vt:i4>
      </vt:variant>
      <vt:variant>
        <vt:i4>13388</vt:i4>
      </vt:variant>
      <vt:variant>
        <vt:i4>0</vt:i4>
      </vt:variant>
      <vt:variant>
        <vt:i4>5</vt:i4>
      </vt:variant>
      <vt:variant>
        <vt:lpwstr/>
      </vt:variant>
      <vt:variant>
        <vt:lpwstr>Baliki</vt:lpwstr>
      </vt:variant>
      <vt:variant>
        <vt:i4>1245195</vt:i4>
      </vt:variant>
      <vt:variant>
        <vt:i4>13385</vt:i4>
      </vt:variant>
      <vt:variant>
        <vt:i4>0</vt:i4>
      </vt:variant>
      <vt:variant>
        <vt:i4>5</vt:i4>
      </vt:variant>
      <vt:variant>
        <vt:lpwstr/>
      </vt:variant>
      <vt:variant>
        <vt:lpwstr>Bair</vt:lpwstr>
      </vt:variant>
      <vt:variant>
        <vt:i4>1703957</vt:i4>
      </vt:variant>
      <vt:variant>
        <vt:i4>13382</vt:i4>
      </vt:variant>
      <vt:variant>
        <vt:i4>0</vt:i4>
      </vt:variant>
      <vt:variant>
        <vt:i4>5</vt:i4>
      </vt:variant>
      <vt:variant>
        <vt:lpwstr/>
      </vt:variant>
      <vt:variant>
        <vt:lpwstr>Astin</vt:lpwstr>
      </vt:variant>
      <vt:variant>
        <vt:i4>720963</vt:i4>
      </vt:variant>
      <vt:variant>
        <vt:i4>13379</vt:i4>
      </vt:variant>
      <vt:variant>
        <vt:i4>0</vt:i4>
      </vt:variant>
      <vt:variant>
        <vt:i4>5</vt:i4>
      </vt:variant>
      <vt:variant>
        <vt:lpwstr/>
      </vt:variant>
      <vt:variant>
        <vt:lpwstr>Adams2007</vt:lpwstr>
      </vt:variant>
      <vt:variant>
        <vt:i4>1114135</vt:i4>
      </vt:variant>
      <vt:variant>
        <vt:i4>13376</vt:i4>
      </vt:variant>
      <vt:variant>
        <vt:i4>0</vt:i4>
      </vt:variant>
      <vt:variant>
        <vt:i4>5</vt:i4>
      </vt:variant>
      <vt:variant>
        <vt:lpwstr/>
      </vt:variant>
      <vt:variant>
        <vt:lpwstr>Bruce</vt:lpwstr>
      </vt:variant>
      <vt:variant>
        <vt:i4>1114143</vt:i4>
      </vt:variant>
      <vt:variant>
        <vt:i4>13373</vt:i4>
      </vt:variant>
      <vt:variant>
        <vt:i4>0</vt:i4>
      </vt:variant>
      <vt:variant>
        <vt:i4>5</vt:i4>
      </vt:variant>
      <vt:variant>
        <vt:lpwstr/>
      </vt:variant>
      <vt:variant>
        <vt:lpwstr>Brosseau3</vt:lpwstr>
      </vt:variant>
      <vt:variant>
        <vt:i4>5242888</vt:i4>
      </vt:variant>
      <vt:variant>
        <vt:i4>13370</vt:i4>
      </vt:variant>
      <vt:variant>
        <vt:i4>0</vt:i4>
      </vt:variant>
      <vt:variant>
        <vt:i4>5</vt:i4>
      </vt:variant>
      <vt:variant>
        <vt:lpwstr/>
      </vt:variant>
      <vt:variant>
        <vt:lpwstr>BlueCrossBlueShield95</vt:lpwstr>
      </vt:variant>
      <vt:variant>
        <vt:i4>8323198</vt:i4>
      </vt:variant>
      <vt:variant>
        <vt:i4>13367</vt:i4>
      </vt:variant>
      <vt:variant>
        <vt:i4>0</vt:i4>
      </vt:variant>
      <vt:variant>
        <vt:i4>5</vt:i4>
      </vt:variant>
      <vt:variant>
        <vt:lpwstr/>
      </vt:variant>
      <vt:variant>
        <vt:lpwstr>Carroll</vt:lpwstr>
      </vt:variant>
      <vt:variant>
        <vt:i4>655438</vt:i4>
      </vt:variant>
      <vt:variant>
        <vt:i4>13364</vt:i4>
      </vt:variant>
      <vt:variant>
        <vt:i4>0</vt:i4>
      </vt:variant>
      <vt:variant>
        <vt:i4>5</vt:i4>
      </vt:variant>
      <vt:variant>
        <vt:lpwstr/>
      </vt:variant>
      <vt:variant>
        <vt:lpwstr>Wolfe2010</vt:lpwstr>
      </vt:variant>
      <vt:variant>
        <vt:i4>589851</vt:i4>
      </vt:variant>
      <vt:variant>
        <vt:i4>13361</vt:i4>
      </vt:variant>
      <vt:variant>
        <vt:i4>0</vt:i4>
      </vt:variant>
      <vt:variant>
        <vt:i4>5</vt:i4>
      </vt:variant>
      <vt:variant>
        <vt:lpwstr/>
      </vt:variant>
      <vt:variant>
        <vt:lpwstr>Wolfe</vt:lpwstr>
      </vt:variant>
      <vt:variant>
        <vt:i4>458834</vt:i4>
      </vt:variant>
      <vt:variant>
        <vt:i4>13358</vt:i4>
      </vt:variant>
      <vt:variant>
        <vt:i4>0</vt:i4>
      </vt:variant>
      <vt:variant>
        <vt:i4>5</vt:i4>
      </vt:variant>
      <vt:variant>
        <vt:lpwstr/>
      </vt:variant>
      <vt:variant>
        <vt:lpwstr>Wager2013</vt:lpwstr>
      </vt:variant>
      <vt:variant>
        <vt:i4>7143458</vt:i4>
      </vt:variant>
      <vt:variant>
        <vt:i4>13355</vt:i4>
      </vt:variant>
      <vt:variant>
        <vt:i4>0</vt:i4>
      </vt:variant>
      <vt:variant>
        <vt:i4>5</vt:i4>
      </vt:variant>
      <vt:variant>
        <vt:lpwstr/>
      </vt:variant>
      <vt:variant>
        <vt:lpwstr>Ung2012</vt:lpwstr>
      </vt:variant>
      <vt:variant>
        <vt:i4>7209008</vt:i4>
      </vt:variant>
      <vt:variant>
        <vt:i4>13352</vt:i4>
      </vt:variant>
      <vt:variant>
        <vt:i4>0</vt:i4>
      </vt:variant>
      <vt:variant>
        <vt:i4>5</vt:i4>
      </vt:variant>
      <vt:variant>
        <vt:lpwstr/>
      </vt:variant>
      <vt:variant>
        <vt:lpwstr>Stevens2005</vt:lpwstr>
      </vt:variant>
      <vt:variant>
        <vt:i4>1310738</vt:i4>
      </vt:variant>
      <vt:variant>
        <vt:i4>13349</vt:i4>
      </vt:variant>
      <vt:variant>
        <vt:i4>0</vt:i4>
      </vt:variant>
      <vt:variant>
        <vt:i4>5</vt:i4>
      </vt:variant>
      <vt:variant>
        <vt:lpwstr/>
      </vt:variant>
      <vt:variant>
        <vt:lpwstr>SchneiderHelmert</vt:lpwstr>
      </vt:variant>
      <vt:variant>
        <vt:i4>3539054</vt:i4>
      </vt:variant>
      <vt:variant>
        <vt:i4>13346</vt:i4>
      </vt:variant>
      <vt:variant>
        <vt:i4>0</vt:i4>
      </vt:variant>
      <vt:variant>
        <vt:i4>5</vt:i4>
      </vt:variant>
      <vt:variant>
        <vt:lpwstr/>
      </vt:variant>
      <vt:variant>
        <vt:lpwstr>Rooks2</vt:lpwstr>
      </vt:variant>
      <vt:variant>
        <vt:i4>6750324</vt:i4>
      </vt:variant>
      <vt:variant>
        <vt:i4>13343</vt:i4>
      </vt:variant>
      <vt:variant>
        <vt:i4>0</vt:i4>
      </vt:variant>
      <vt:variant>
        <vt:i4>5</vt:i4>
      </vt:variant>
      <vt:variant>
        <vt:lpwstr/>
      </vt:variant>
      <vt:variant>
        <vt:lpwstr>Prager</vt:lpwstr>
      </vt:variant>
      <vt:variant>
        <vt:i4>7929958</vt:i4>
      </vt:variant>
      <vt:variant>
        <vt:i4>13340</vt:i4>
      </vt:variant>
      <vt:variant>
        <vt:i4>0</vt:i4>
      </vt:variant>
      <vt:variant>
        <vt:i4>5</vt:i4>
      </vt:variant>
      <vt:variant>
        <vt:lpwstr/>
      </vt:variant>
      <vt:variant>
        <vt:lpwstr>Peyron</vt:lpwstr>
      </vt:variant>
      <vt:variant>
        <vt:i4>393246</vt:i4>
      </vt:variant>
      <vt:variant>
        <vt:i4>13337</vt:i4>
      </vt:variant>
      <vt:variant>
        <vt:i4>0</vt:i4>
      </vt:variant>
      <vt:variant>
        <vt:i4>5</vt:i4>
      </vt:variant>
      <vt:variant>
        <vt:lpwstr/>
      </vt:variant>
      <vt:variant>
        <vt:lpwstr>Pang</vt:lpwstr>
      </vt:variant>
      <vt:variant>
        <vt:i4>262175</vt:i4>
      </vt:variant>
      <vt:variant>
        <vt:i4>13334</vt:i4>
      </vt:variant>
      <vt:variant>
        <vt:i4>0</vt:i4>
      </vt:variant>
      <vt:variant>
        <vt:i4>5</vt:i4>
      </vt:variant>
      <vt:variant>
        <vt:lpwstr/>
      </vt:variant>
      <vt:variant>
        <vt:lpwstr>Mork</vt:lpwstr>
      </vt:variant>
      <vt:variant>
        <vt:i4>7012468</vt:i4>
      </vt:variant>
      <vt:variant>
        <vt:i4>13331</vt:i4>
      </vt:variant>
      <vt:variant>
        <vt:i4>0</vt:i4>
      </vt:variant>
      <vt:variant>
        <vt:i4>5</vt:i4>
      </vt:variant>
      <vt:variant>
        <vt:lpwstr/>
      </vt:variant>
      <vt:variant>
        <vt:lpwstr>Mantyselka</vt:lpwstr>
      </vt:variant>
      <vt:variant>
        <vt:i4>7536747</vt:i4>
      </vt:variant>
      <vt:variant>
        <vt:i4>13328</vt:i4>
      </vt:variant>
      <vt:variant>
        <vt:i4>0</vt:i4>
      </vt:variant>
      <vt:variant>
        <vt:i4>5</vt:i4>
      </vt:variant>
      <vt:variant>
        <vt:lpwstr/>
      </vt:variant>
      <vt:variant>
        <vt:lpwstr>Mackey</vt:lpwstr>
      </vt:variant>
      <vt:variant>
        <vt:i4>6946857</vt:i4>
      </vt:variant>
      <vt:variant>
        <vt:i4>13325</vt:i4>
      </vt:variant>
      <vt:variant>
        <vt:i4>0</vt:i4>
      </vt:variant>
      <vt:variant>
        <vt:i4>5</vt:i4>
      </vt:variant>
      <vt:variant>
        <vt:lpwstr/>
      </vt:variant>
      <vt:variant>
        <vt:lpwstr>Liu2011</vt:lpwstr>
      </vt:variant>
      <vt:variant>
        <vt:i4>7536749</vt:i4>
      </vt:variant>
      <vt:variant>
        <vt:i4>13322</vt:i4>
      </vt:variant>
      <vt:variant>
        <vt:i4>0</vt:i4>
      </vt:variant>
      <vt:variant>
        <vt:i4>5</vt:i4>
      </vt:variant>
      <vt:variant>
        <vt:lpwstr/>
      </vt:variant>
      <vt:variant>
        <vt:lpwstr>Linton</vt:lpwstr>
      </vt:variant>
      <vt:variant>
        <vt:i4>1376262</vt:i4>
      </vt:variant>
      <vt:variant>
        <vt:i4>13319</vt:i4>
      </vt:variant>
      <vt:variant>
        <vt:i4>0</vt:i4>
      </vt:variant>
      <vt:variant>
        <vt:i4>5</vt:i4>
      </vt:variant>
      <vt:variant>
        <vt:lpwstr/>
      </vt:variant>
      <vt:variant>
        <vt:lpwstr>Kuna2011</vt:lpwstr>
      </vt:variant>
      <vt:variant>
        <vt:i4>262153</vt:i4>
      </vt:variant>
      <vt:variant>
        <vt:i4>13316</vt:i4>
      </vt:variant>
      <vt:variant>
        <vt:i4>0</vt:i4>
      </vt:variant>
      <vt:variant>
        <vt:i4>5</vt:i4>
      </vt:variant>
      <vt:variant>
        <vt:lpwstr/>
      </vt:variant>
      <vt:variant>
        <vt:lpwstr>Kokkonen2010</vt:lpwstr>
      </vt:variant>
      <vt:variant>
        <vt:i4>1835028</vt:i4>
      </vt:variant>
      <vt:variant>
        <vt:i4>13313</vt:i4>
      </vt:variant>
      <vt:variant>
        <vt:i4>0</vt:i4>
      </vt:variant>
      <vt:variant>
        <vt:i4>5</vt:i4>
      </vt:variant>
      <vt:variant>
        <vt:lpwstr/>
      </vt:variant>
      <vt:variant>
        <vt:lpwstr>Gusi</vt:lpwstr>
      </vt:variant>
      <vt:variant>
        <vt:i4>589845</vt:i4>
      </vt:variant>
      <vt:variant>
        <vt:i4>13310</vt:i4>
      </vt:variant>
      <vt:variant>
        <vt:i4>0</vt:i4>
      </vt:variant>
      <vt:variant>
        <vt:i4>5</vt:i4>
      </vt:variant>
      <vt:variant>
        <vt:lpwstr/>
      </vt:variant>
      <vt:variant>
        <vt:lpwstr>GraffRadford</vt:lpwstr>
      </vt:variant>
      <vt:variant>
        <vt:i4>7733346</vt:i4>
      </vt:variant>
      <vt:variant>
        <vt:i4>13307</vt:i4>
      </vt:variant>
      <vt:variant>
        <vt:i4>0</vt:i4>
      </vt:variant>
      <vt:variant>
        <vt:i4>5</vt:i4>
      </vt:variant>
      <vt:variant>
        <vt:lpwstr/>
      </vt:variant>
      <vt:variant>
        <vt:lpwstr>Gillis</vt:lpwstr>
      </vt:variant>
      <vt:variant>
        <vt:i4>1835020</vt:i4>
      </vt:variant>
      <vt:variant>
        <vt:i4>13304</vt:i4>
      </vt:variant>
      <vt:variant>
        <vt:i4>0</vt:i4>
      </vt:variant>
      <vt:variant>
        <vt:i4>5</vt:i4>
      </vt:variant>
      <vt:variant>
        <vt:lpwstr/>
      </vt:variant>
      <vt:variant>
        <vt:lpwstr>Giesecke</vt:lpwstr>
      </vt:variant>
      <vt:variant>
        <vt:i4>524305</vt:i4>
      </vt:variant>
      <vt:variant>
        <vt:i4>13301</vt:i4>
      </vt:variant>
      <vt:variant>
        <vt:i4>0</vt:i4>
      </vt:variant>
      <vt:variant>
        <vt:i4>5</vt:i4>
      </vt:variant>
      <vt:variant>
        <vt:lpwstr/>
      </vt:variant>
      <vt:variant>
        <vt:lpwstr>Gavin</vt:lpwstr>
      </vt:variant>
      <vt:variant>
        <vt:i4>6750312</vt:i4>
      </vt:variant>
      <vt:variant>
        <vt:i4>13298</vt:i4>
      </vt:variant>
      <vt:variant>
        <vt:i4>0</vt:i4>
      </vt:variant>
      <vt:variant>
        <vt:i4>5</vt:i4>
      </vt:variant>
      <vt:variant>
        <vt:lpwstr/>
      </vt:variant>
      <vt:variant>
        <vt:lpwstr>Polatin</vt:lpwstr>
      </vt:variant>
      <vt:variant>
        <vt:i4>1179655</vt:i4>
      </vt:variant>
      <vt:variant>
        <vt:i4>13295</vt:i4>
      </vt:variant>
      <vt:variant>
        <vt:i4>0</vt:i4>
      </vt:variant>
      <vt:variant>
        <vt:i4>5</vt:i4>
      </vt:variant>
      <vt:variant>
        <vt:lpwstr/>
      </vt:variant>
      <vt:variant>
        <vt:lpwstr>Dyck</vt:lpwstr>
      </vt:variant>
      <vt:variant>
        <vt:i4>65547</vt:i4>
      </vt:variant>
      <vt:variant>
        <vt:i4>13292</vt:i4>
      </vt:variant>
      <vt:variant>
        <vt:i4>0</vt:i4>
      </vt:variant>
      <vt:variant>
        <vt:i4>5</vt:i4>
      </vt:variant>
      <vt:variant>
        <vt:lpwstr/>
      </vt:variant>
      <vt:variant>
        <vt:lpwstr>Dros</vt:lpwstr>
      </vt:variant>
      <vt:variant>
        <vt:i4>917524</vt:i4>
      </vt:variant>
      <vt:variant>
        <vt:i4>13289</vt:i4>
      </vt:variant>
      <vt:variant>
        <vt:i4>0</vt:i4>
      </vt:variant>
      <vt:variant>
        <vt:i4>5</vt:i4>
      </vt:variant>
      <vt:variant>
        <vt:lpwstr/>
      </vt:variant>
      <vt:variant>
        <vt:lpwstr>Cowan</vt:lpwstr>
      </vt:variant>
      <vt:variant>
        <vt:i4>262166</vt:i4>
      </vt:variant>
      <vt:variant>
        <vt:i4>13286</vt:i4>
      </vt:variant>
      <vt:variant>
        <vt:i4>0</vt:i4>
      </vt:variant>
      <vt:variant>
        <vt:i4>5</vt:i4>
      </vt:variant>
      <vt:variant>
        <vt:lpwstr/>
      </vt:variant>
      <vt:variant>
        <vt:lpwstr>ChuLF</vt:lpwstr>
      </vt:variant>
      <vt:variant>
        <vt:i4>6815858</vt:i4>
      </vt:variant>
      <vt:variant>
        <vt:i4>13283</vt:i4>
      </vt:variant>
      <vt:variant>
        <vt:i4>0</vt:i4>
      </vt:variant>
      <vt:variant>
        <vt:i4>5</vt:i4>
      </vt:variant>
      <vt:variant>
        <vt:lpwstr/>
      </vt:variant>
      <vt:variant>
        <vt:lpwstr>California2</vt:lpwstr>
      </vt:variant>
      <vt:variant>
        <vt:i4>393299</vt:i4>
      </vt:variant>
      <vt:variant>
        <vt:i4>13280</vt:i4>
      </vt:variant>
      <vt:variant>
        <vt:i4>0</vt:i4>
      </vt:variant>
      <vt:variant>
        <vt:i4>5</vt:i4>
      </vt:variant>
      <vt:variant>
        <vt:lpwstr/>
      </vt:variant>
      <vt:variant>
        <vt:lpwstr>Brown2011</vt:lpwstr>
      </vt:variant>
      <vt:variant>
        <vt:i4>4259860</vt:i4>
      </vt:variant>
      <vt:variant>
        <vt:i4>13277</vt:i4>
      </vt:variant>
      <vt:variant>
        <vt:i4>0</vt:i4>
      </vt:variant>
      <vt:variant>
        <vt:i4>5</vt:i4>
      </vt:variant>
      <vt:variant>
        <vt:lpwstr/>
      </vt:variant>
      <vt:variant>
        <vt:lpwstr>Borsook2</vt:lpwstr>
      </vt:variant>
      <vt:variant>
        <vt:i4>7536767</vt:i4>
      </vt:variant>
      <vt:variant>
        <vt:i4>13274</vt:i4>
      </vt:variant>
      <vt:variant>
        <vt:i4>0</vt:i4>
      </vt:variant>
      <vt:variant>
        <vt:i4>5</vt:i4>
      </vt:variant>
      <vt:variant>
        <vt:lpwstr/>
      </vt:variant>
      <vt:variant>
        <vt:lpwstr>Borsook</vt:lpwstr>
      </vt:variant>
      <vt:variant>
        <vt:i4>1376262</vt:i4>
      </vt:variant>
      <vt:variant>
        <vt:i4>13271</vt:i4>
      </vt:variant>
      <vt:variant>
        <vt:i4>0</vt:i4>
      </vt:variant>
      <vt:variant>
        <vt:i4>5</vt:i4>
      </vt:variant>
      <vt:variant>
        <vt:lpwstr/>
      </vt:variant>
      <vt:variant>
        <vt:lpwstr>BorgStein</vt:lpwstr>
      </vt:variant>
      <vt:variant>
        <vt:i4>1638409</vt:i4>
      </vt:variant>
      <vt:variant>
        <vt:i4>13268</vt:i4>
      </vt:variant>
      <vt:variant>
        <vt:i4>0</vt:i4>
      </vt:variant>
      <vt:variant>
        <vt:i4>5</vt:i4>
      </vt:variant>
      <vt:variant>
        <vt:lpwstr/>
      </vt:variant>
      <vt:variant>
        <vt:lpwstr>Borchers2013</vt:lpwstr>
      </vt:variant>
      <vt:variant>
        <vt:i4>6422577</vt:i4>
      </vt:variant>
      <vt:variant>
        <vt:i4>13265</vt:i4>
      </vt:variant>
      <vt:variant>
        <vt:i4>0</vt:i4>
      </vt:variant>
      <vt:variant>
        <vt:i4>5</vt:i4>
      </vt:variant>
      <vt:variant>
        <vt:lpwstr/>
      </vt:variant>
      <vt:variant>
        <vt:lpwstr>BlueCrossBlueShield992</vt:lpwstr>
      </vt:variant>
      <vt:variant>
        <vt:i4>8257645</vt:i4>
      </vt:variant>
      <vt:variant>
        <vt:i4>13262</vt:i4>
      </vt:variant>
      <vt:variant>
        <vt:i4>0</vt:i4>
      </vt:variant>
      <vt:variant>
        <vt:i4>5</vt:i4>
      </vt:variant>
      <vt:variant>
        <vt:lpwstr/>
      </vt:variant>
      <vt:variant>
        <vt:lpwstr>Bansal</vt:lpwstr>
      </vt:variant>
      <vt:variant>
        <vt:i4>6553697</vt:i4>
      </vt:variant>
      <vt:variant>
        <vt:i4>13259</vt:i4>
      </vt:variant>
      <vt:variant>
        <vt:i4>0</vt:i4>
      </vt:variant>
      <vt:variant>
        <vt:i4>5</vt:i4>
      </vt:variant>
      <vt:variant>
        <vt:lpwstr/>
      </vt:variant>
      <vt:variant>
        <vt:lpwstr>ADA</vt:lpwstr>
      </vt:variant>
      <vt:variant>
        <vt:i4>786436</vt:i4>
      </vt:variant>
      <vt:variant>
        <vt:i4>13256</vt:i4>
      </vt:variant>
      <vt:variant>
        <vt:i4>0</vt:i4>
      </vt:variant>
      <vt:variant>
        <vt:i4>5</vt:i4>
      </vt:variant>
      <vt:variant>
        <vt:lpwstr/>
      </vt:variant>
      <vt:variant>
        <vt:lpwstr>Zwanzger</vt:lpwstr>
      </vt:variant>
      <vt:variant>
        <vt:i4>8126576</vt:i4>
      </vt:variant>
      <vt:variant>
        <vt:i4>13253</vt:i4>
      </vt:variant>
      <vt:variant>
        <vt:i4>0</vt:i4>
      </vt:variant>
      <vt:variant>
        <vt:i4>5</vt:i4>
      </vt:variant>
      <vt:variant>
        <vt:lpwstr/>
      </vt:variant>
      <vt:variant>
        <vt:lpwstr>Zuniga2011</vt:lpwstr>
      </vt:variant>
      <vt:variant>
        <vt:i4>327756</vt:i4>
      </vt:variant>
      <vt:variant>
        <vt:i4>13250</vt:i4>
      </vt:variant>
      <vt:variant>
        <vt:i4>0</vt:i4>
      </vt:variant>
      <vt:variant>
        <vt:i4>5</vt:i4>
      </vt:variant>
      <vt:variant>
        <vt:lpwstr/>
      </vt:variant>
      <vt:variant>
        <vt:lpwstr>Zhang2010</vt:lpwstr>
      </vt:variant>
      <vt:variant>
        <vt:i4>262220</vt:i4>
      </vt:variant>
      <vt:variant>
        <vt:i4>13247</vt:i4>
      </vt:variant>
      <vt:variant>
        <vt:i4>0</vt:i4>
      </vt:variant>
      <vt:variant>
        <vt:i4>5</vt:i4>
      </vt:variant>
      <vt:variant>
        <vt:lpwstr/>
      </vt:variant>
      <vt:variant>
        <vt:lpwstr>Zhang2007</vt:lpwstr>
      </vt:variant>
      <vt:variant>
        <vt:i4>262220</vt:i4>
      </vt:variant>
      <vt:variant>
        <vt:i4>13244</vt:i4>
      </vt:variant>
      <vt:variant>
        <vt:i4>0</vt:i4>
      </vt:variant>
      <vt:variant>
        <vt:i4>5</vt:i4>
      </vt:variant>
      <vt:variant>
        <vt:lpwstr/>
      </vt:variant>
      <vt:variant>
        <vt:lpwstr>Zhang2008</vt:lpwstr>
      </vt:variant>
      <vt:variant>
        <vt:i4>6684773</vt:i4>
      </vt:variant>
      <vt:variant>
        <vt:i4>13241</vt:i4>
      </vt:variant>
      <vt:variant>
        <vt:i4>0</vt:i4>
      </vt:variant>
      <vt:variant>
        <vt:i4>5</vt:i4>
      </vt:variant>
      <vt:variant>
        <vt:lpwstr/>
      </vt:variant>
      <vt:variant>
        <vt:lpwstr>Zaremba</vt:lpwstr>
      </vt:variant>
      <vt:variant>
        <vt:i4>7864446</vt:i4>
      </vt:variant>
      <vt:variant>
        <vt:i4>13238</vt:i4>
      </vt:variant>
      <vt:variant>
        <vt:i4>0</vt:i4>
      </vt:variant>
      <vt:variant>
        <vt:i4>5</vt:i4>
      </vt:variant>
      <vt:variant>
        <vt:lpwstr/>
      </vt:variant>
      <vt:variant>
        <vt:lpwstr>Zammit</vt:lpwstr>
      </vt:variant>
      <vt:variant>
        <vt:i4>1441818</vt:i4>
      </vt:variant>
      <vt:variant>
        <vt:i4>13235</vt:i4>
      </vt:variant>
      <vt:variant>
        <vt:i4>0</vt:i4>
      </vt:variant>
      <vt:variant>
        <vt:i4>5</vt:i4>
      </vt:variant>
      <vt:variant>
        <vt:lpwstr/>
      </vt:variant>
      <vt:variant>
        <vt:lpwstr>Wynn2011</vt:lpwstr>
      </vt:variant>
      <vt:variant>
        <vt:i4>6815860</vt:i4>
      </vt:variant>
      <vt:variant>
        <vt:i4>13232</vt:i4>
      </vt:variant>
      <vt:variant>
        <vt:i4>0</vt:i4>
      </vt:variant>
      <vt:variant>
        <vt:i4>5</vt:i4>
      </vt:variant>
      <vt:variant>
        <vt:lpwstr/>
      </vt:variant>
      <vt:variant>
        <vt:lpwstr>Wright2009</vt:lpwstr>
      </vt:variant>
      <vt:variant>
        <vt:i4>524313</vt:i4>
      </vt:variant>
      <vt:variant>
        <vt:i4>13229</vt:i4>
      </vt:variant>
      <vt:variant>
        <vt:i4>0</vt:i4>
      </vt:variant>
      <vt:variant>
        <vt:i4>5</vt:i4>
      </vt:variant>
      <vt:variant>
        <vt:lpwstr/>
      </vt:variant>
      <vt:variant>
        <vt:lpwstr>Wong</vt:lpwstr>
      </vt:variant>
      <vt:variant>
        <vt:i4>720974</vt:i4>
      </vt:variant>
      <vt:variant>
        <vt:i4>13226</vt:i4>
      </vt:variant>
      <vt:variant>
        <vt:i4>0</vt:i4>
      </vt:variant>
      <vt:variant>
        <vt:i4>5</vt:i4>
      </vt:variant>
      <vt:variant>
        <vt:lpwstr/>
      </vt:variant>
      <vt:variant>
        <vt:lpwstr>Wolfe2004</vt:lpwstr>
      </vt:variant>
      <vt:variant>
        <vt:i4>6488190</vt:i4>
      </vt:variant>
      <vt:variant>
        <vt:i4>13223</vt:i4>
      </vt:variant>
      <vt:variant>
        <vt:i4>0</vt:i4>
      </vt:variant>
      <vt:variant>
        <vt:i4>5</vt:i4>
      </vt:variant>
      <vt:variant>
        <vt:lpwstr/>
      </vt:variant>
      <vt:variant>
        <vt:lpwstr>Wilsey</vt:lpwstr>
      </vt:variant>
      <vt:variant>
        <vt:i4>7405685</vt:i4>
      </vt:variant>
      <vt:variant>
        <vt:i4>13220</vt:i4>
      </vt:variant>
      <vt:variant>
        <vt:i4>0</vt:i4>
      </vt:variant>
      <vt:variant>
        <vt:i4>5</vt:i4>
      </vt:variant>
      <vt:variant>
        <vt:lpwstr/>
      </vt:variant>
      <vt:variant>
        <vt:lpwstr>Wilhelmsen2011</vt:lpwstr>
      </vt:variant>
      <vt:variant>
        <vt:i4>851992</vt:i4>
      </vt:variant>
      <vt:variant>
        <vt:i4>13217</vt:i4>
      </vt:variant>
      <vt:variant>
        <vt:i4>0</vt:i4>
      </vt:variant>
      <vt:variant>
        <vt:i4>5</vt:i4>
      </vt:variant>
      <vt:variant>
        <vt:lpwstr/>
      </vt:variant>
      <vt:variant>
        <vt:lpwstr>Wild2010</vt:lpwstr>
      </vt:variant>
      <vt:variant>
        <vt:i4>524296</vt:i4>
      </vt:variant>
      <vt:variant>
        <vt:i4>13214</vt:i4>
      </vt:variant>
      <vt:variant>
        <vt:i4>0</vt:i4>
      </vt:variant>
      <vt:variant>
        <vt:i4>5</vt:i4>
      </vt:variant>
      <vt:variant>
        <vt:lpwstr/>
      </vt:variant>
      <vt:variant>
        <vt:lpwstr>WIFFEN2013SUMMARY</vt:lpwstr>
      </vt:variant>
      <vt:variant>
        <vt:i4>6357108</vt:i4>
      </vt:variant>
      <vt:variant>
        <vt:i4>13211</vt:i4>
      </vt:variant>
      <vt:variant>
        <vt:i4>0</vt:i4>
      </vt:variant>
      <vt:variant>
        <vt:i4>5</vt:i4>
      </vt:variant>
      <vt:variant>
        <vt:lpwstr/>
      </vt:variant>
      <vt:variant>
        <vt:lpwstr>Wiffen3</vt:lpwstr>
      </vt:variant>
      <vt:variant>
        <vt:i4>6357108</vt:i4>
      </vt:variant>
      <vt:variant>
        <vt:i4>13208</vt:i4>
      </vt:variant>
      <vt:variant>
        <vt:i4>0</vt:i4>
      </vt:variant>
      <vt:variant>
        <vt:i4>5</vt:i4>
      </vt:variant>
      <vt:variant>
        <vt:lpwstr/>
      </vt:variant>
      <vt:variant>
        <vt:lpwstr>Wiffen2</vt:lpwstr>
      </vt:variant>
      <vt:variant>
        <vt:i4>6357108</vt:i4>
      </vt:variant>
      <vt:variant>
        <vt:i4>13205</vt:i4>
      </vt:variant>
      <vt:variant>
        <vt:i4>0</vt:i4>
      </vt:variant>
      <vt:variant>
        <vt:i4>5</vt:i4>
      </vt:variant>
      <vt:variant>
        <vt:lpwstr/>
      </vt:variant>
      <vt:variant>
        <vt:lpwstr>Wiffen</vt:lpwstr>
      </vt:variant>
      <vt:variant>
        <vt:i4>2031691</vt:i4>
      </vt:variant>
      <vt:variant>
        <vt:i4>13202</vt:i4>
      </vt:variant>
      <vt:variant>
        <vt:i4>0</vt:i4>
      </vt:variant>
      <vt:variant>
        <vt:i4>5</vt:i4>
      </vt:variant>
      <vt:variant>
        <vt:lpwstr/>
      </vt:variant>
      <vt:variant>
        <vt:lpwstr>White2014</vt:lpwstr>
      </vt:variant>
      <vt:variant>
        <vt:i4>2031691</vt:i4>
      </vt:variant>
      <vt:variant>
        <vt:i4>13199</vt:i4>
      </vt:variant>
      <vt:variant>
        <vt:i4>0</vt:i4>
      </vt:variant>
      <vt:variant>
        <vt:i4>5</vt:i4>
      </vt:variant>
      <vt:variant>
        <vt:lpwstr/>
      </vt:variant>
      <vt:variant>
        <vt:lpwstr>White2011</vt:lpwstr>
      </vt:variant>
      <vt:variant>
        <vt:i4>1441792</vt:i4>
      </vt:variant>
      <vt:variant>
        <vt:i4>13196</vt:i4>
      </vt:variant>
      <vt:variant>
        <vt:i4>0</vt:i4>
      </vt:variant>
      <vt:variant>
        <vt:i4>5</vt:i4>
      </vt:variant>
      <vt:variant>
        <vt:lpwstr/>
      </vt:variant>
      <vt:variant>
        <vt:lpwstr>Weschules</vt:lpwstr>
      </vt:variant>
      <vt:variant>
        <vt:i4>655369</vt:i4>
      </vt:variant>
      <vt:variant>
        <vt:i4>13193</vt:i4>
      </vt:variant>
      <vt:variant>
        <vt:i4>0</vt:i4>
      </vt:variant>
      <vt:variant>
        <vt:i4>5</vt:i4>
      </vt:variant>
      <vt:variant>
        <vt:lpwstr/>
      </vt:variant>
      <vt:variant>
        <vt:lpwstr>Wermeling</vt:lpwstr>
      </vt:variant>
      <vt:variant>
        <vt:i4>6291579</vt:i4>
      </vt:variant>
      <vt:variant>
        <vt:i4>13190</vt:i4>
      </vt:variant>
      <vt:variant>
        <vt:i4>0</vt:i4>
      </vt:variant>
      <vt:variant>
        <vt:i4>5</vt:i4>
      </vt:variant>
      <vt:variant>
        <vt:lpwstr/>
      </vt:variant>
      <vt:variant>
        <vt:lpwstr>Wenham2010</vt:lpwstr>
      </vt:variant>
      <vt:variant>
        <vt:i4>1376349</vt:i4>
      </vt:variant>
      <vt:variant>
        <vt:i4>13187</vt:i4>
      </vt:variant>
      <vt:variant>
        <vt:i4>0</vt:i4>
      </vt:variant>
      <vt:variant>
        <vt:i4>5</vt:i4>
      </vt:variant>
      <vt:variant>
        <vt:lpwstr/>
      </vt:variant>
      <vt:variant>
        <vt:lpwstr>Weiss2011</vt:lpwstr>
      </vt:variant>
      <vt:variant>
        <vt:i4>6553706</vt:i4>
      </vt:variant>
      <vt:variant>
        <vt:i4>13184</vt:i4>
      </vt:variant>
      <vt:variant>
        <vt:i4>0</vt:i4>
      </vt:variant>
      <vt:variant>
        <vt:i4>5</vt:i4>
      </vt:variant>
      <vt:variant>
        <vt:lpwstr/>
      </vt:variant>
      <vt:variant>
        <vt:lpwstr>Watkins</vt:lpwstr>
      </vt:variant>
      <vt:variant>
        <vt:i4>8192101</vt:i4>
      </vt:variant>
      <vt:variant>
        <vt:i4>13181</vt:i4>
      </vt:variant>
      <vt:variant>
        <vt:i4>0</vt:i4>
      </vt:variant>
      <vt:variant>
        <vt:i4>5</vt:i4>
      </vt:variant>
      <vt:variant>
        <vt:lpwstr/>
      </vt:variant>
      <vt:variant>
        <vt:lpwstr>Washington2</vt:lpwstr>
      </vt:variant>
      <vt:variant>
        <vt:i4>8192101</vt:i4>
      </vt:variant>
      <vt:variant>
        <vt:i4>13178</vt:i4>
      </vt:variant>
      <vt:variant>
        <vt:i4>0</vt:i4>
      </vt:variant>
      <vt:variant>
        <vt:i4>5</vt:i4>
      </vt:variant>
      <vt:variant>
        <vt:lpwstr/>
      </vt:variant>
      <vt:variant>
        <vt:lpwstr>Washington</vt:lpwstr>
      </vt:variant>
      <vt:variant>
        <vt:i4>1179675</vt:i4>
      </vt:variant>
      <vt:variant>
        <vt:i4>13175</vt:i4>
      </vt:variant>
      <vt:variant>
        <vt:i4>0</vt:i4>
      </vt:variant>
      <vt:variant>
        <vt:i4>5</vt:i4>
      </vt:variant>
      <vt:variant>
        <vt:lpwstr/>
      </vt:variant>
      <vt:variant>
        <vt:lpwstr>Walsh</vt:lpwstr>
      </vt:variant>
      <vt:variant>
        <vt:i4>7077935</vt:i4>
      </vt:variant>
      <vt:variant>
        <vt:i4>13172</vt:i4>
      </vt:variant>
      <vt:variant>
        <vt:i4>0</vt:i4>
      </vt:variant>
      <vt:variant>
        <vt:i4>5</vt:i4>
      </vt:variant>
      <vt:variant>
        <vt:lpwstr/>
      </vt:variant>
      <vt:variant>
        <vt:lpwstr>Wallace2004</vt:lpwstr>
      </vt:variant>
      <vt:variant>
        <vt:i4>7209082</vt:i4>
      </vt:variant>
      <vt:variant>
        <vt:i4>13169</vt:i4>
      </vt:variant>
      <vt:variant>
        <vt:i4>0</vt:i4>
      </vt:variant>
      <vt:variant>
        <vt:i4>5</vt:i4>
      </vt:variant>
      <vt:variant>
        <vt:lpwstr/>
      </vt:variant>
      <vt:variant>
        <vt:lpwstr>Wallace</vt:lpwstr>
      </vt:variant>
      <vt:variant>
        <vt:i4>6357109</vt:i4>
      </vt:variant>
      <vt:variant>
        <vt:i4>13166</vt:i4>
      </vt:variant>
      <vt:variant>
        <vt:i4>0</vt:i4>
      </vt:variant>
      <vt:variant>
        <vt:i4>5</vt:i4>
      </vt:variant>
      <vt:variant>
        <vt:lpwstr/>
      </vt:variant>
      <vt:variant>
        <vt:lpwstr>Waknine</vt:lpwstr>
      </vt:variant>
      <vt:variant>
        <vt:i4>7667838</vt:i4>
      </vt:variant>
      <vt:variant>
        <vt:i4>13163</vt:i4>
      </vt:variant>
      <vt:variant>
        <vt:i4>0</vt:i4>
      </vt:variant>
      <vt:variant>
        <vt:i4>5</vt:i4>
      </vt:variant>
      <vt:variant>
        <vt:lpwstr/>
      </vt:variant>
      <vt:variant>
        <vt:lpwstr>Wafford</vt:lpwstr>
      </vt:variant>
      <vt:variant>
        <vt:i4>1245206</vt:i4>
      </vt:variant>
      <vt:variant>
        <vt:i4>13160</vt:i4>
      </vt:variant>
      <vt:variant>
        <vt:i4>0</vt:i4>
      </vt:variant>
      <vt:variant>
        <vt:i4>5</vt:i4>
      </vt:variant>
      <vt:variant>
        <vt:lpwstr/>
      </vt:variant>
      <vt:variant>
        <vt:lpwstr>Waara</vt:lpwstr>
      </vt:variant>
      <vt:variant>
        <vt:i4>7798829</vt:i4>
      </vt:variant>
      <vt:variant>
        <vt:i4>13157</vt:i4>
      </vt:variant>
      <vt:variant>
        <vt:i4>0</vt:i4>
      </vt:variant>
      <vt:variant>
        <vt:i4>5</vt:i4>
      </vt:variant>
      <vt:variant>
        <vt:lpwstr/>
      </vt:variant>
      <vt:variant>
        <vt:lpwstr>Vuilleumier2012</vt:lpwstr>
      </vt:variant>
      <vt:variant>
        <vt:i4>6553638</vt:i4>
      </vt:variant>
      <vt:variant>
        <vt:i4>13154</vt:i4>
      </vt:variant>
      <vt:variant>
        <vt:i4>0</vt:i4>
      </vt:variant>
      <vt:variant>
        <vt:i4>5</vt:i4>
      </vt:variant>
      <vt:variant>
        <vt:lpwstr/>
      </vt:variant>
      <vt:variant>
        <vt:lpwstr>Voshaar2006</vt:lpwstr>
      </vt:variant>
      <vt:variant>
        <vt:i4>7536757</vt:i4>
      </vt:variant>
      <vt:variant>
        <vt:i4>13151</vt:i4>
      </vt:variant>
      <vt:variant>
        <vt:i4>0</vt:i4>
      </vt:variant>
      <vt:variant>
        <vt:i4>5</vt:i4>
      </vt:variant>
      <vt:variant>
        <vt:lpwstr/>
      </vt:variant>
      <vt:variant>
        <vt:lpwstr>Volkow</vt:lpwstr>
      </vt:variant>
      <vt:variant>
        <vt:i4>1966084</vt:i4>
      </vt:variant>
      <vt:variant>
        <vt:i4>13148</vt:i4>
      </vt:variant>
      <vt:variant>
        <vt:i4>0</vt:i4>
      </vt:variant>
      <vt:variant>
        <vt:i4>5</vt:i4>
      </vt:variant>
      <vt:variant>
        <vt:lpwstr/>
      </vt:variant>
      <vt:variant>
        <vt:lpwstr>VarasLorenzo2011</vt:lpwstr>
      </vt:variant>
      <vt:variant>
        <vt:i4>3014779</vt:i4>
      </vt:variant>
      <vt:variant>
        <vt:i4>13145</vt:i4>
      </vt:variant>
      <vt:variant>
        <vt:i4>0</vt:i4>
      </vt:variant>
      <vt:variant>
        <vt:i4>5</vt:i4>
      </vt:variant>
      <vt:variant>
        <vt:lpwstr/>
      </vt:variant>
      <vt:variant>
        <vt:lpwstr>vanTulder2</vt:lpwstr>
      </vt:variant>
      <vt:variant>
        <vt:i4>1835017</vt:i4>
      </vt:variant>
      <vt:variant>
        <vt:i4>13142</vt:i4>
      </vt:variant>
      <vt:variant>
        <vt:i4>0</vt:i4>
      </vt:variant>
      <vt:variant>
        <vt:i4>5</vt:i4>
      </vt:variant>
      <vt:variant>
        <vt:lpwstr/>
      </vt:variant>
      <vt:variant>
        <vt:lpwstr>vanTulder</vt:lpwstr>
      </vt:variant>
      <vt:variant>
        <vt:i4>7536758</vt:i4>
      </vt:variant>
      <vt:variant>
        <vt:i4>13139</vt:i4>
      </vt:variant>
      <vt:variant>
        <vt:i4>0</vt:i4>
      </vt:variant>
      <vt:variant>
        <vt:i4>5</vt:i4>
      </vt:variant>
      <vt:variant>
        <vt:lpwstr/>
      </vt:variant>
      <vt:variant>
        <vt:lpwstr>TYLENOL</vt:lpwstr>
      </vt:variant>
      <vt:variant>
        <vt:i4>1835009</vt:i4>
      </vt:variant>
      <vt:variant>
        <vt:i4>13136</vt:i4>
      </vt:variant>
      <vt:variant>
        <vt:i4>0</vt:i4>
      </vt:variant>
      <vt:variant>
        <vt:i4>5</vt:i4>
      </vt:variant>
      <vt:variant>
        <vt:lpwstr/>
      </vt:variant>
      <vt:variant>
        <vt:lpwstr>Turturro</vt:lpwstr>
      </vt:variant>
      <vt:variant>
        <vt:i4>6881379</vt:i4>
      </vt:variant>
      <vt:variant>
        <vt:i4>13133</vt:i4>
      </vt:variant>
      <vt:variant>
        <vt:i4>0</vt:i4>
      </vt:variant>
      <vt:variant>
        <vt:i4>5</vt:i4>
      </vt:variant>
      <vt:variant>
        <vt:lpwstr/>
      </vt:variant>
      <vt:variant>
        <vt:lpwstr>Turner4</vt:lpwstr>
      </vt:variant>
      <vt:variant>
        <vt:i4>1441796</vt:i4>
      </vt:variant>
      <vt:variant>
        <vt:i4>13130</vt:i4>
      </vt:variant>
      <vt:variant>
        <vt:i4>0</vt:i4>
      </vt:variant>
      <vt:variant>
        <vt:i4>5</vt:i4>
      </vt:variant>
      <vt:variant>
        <vt:lpwstr/>
      </vt:variant>
      <vt:variant>
        <vt:lpwstr>Turk2008</vt:lpwstr>
      </vt:variant>
      <vt:variant>
        <vt:i4>6946936</vt:i4>
      </vt:variant>
      <vt:variant>
        <vt:i4>13127</vt:i4>
      </vt:variant>
      <vt:variant>
        <vt:i4>0</vt:i4>
      </vt:variant>
      <vt:variant>
        <vt:i4>5</vt:i4>
      </vt:variant>
      <vt:variant>
        <vt:lpwstr/>
      </vt:variant>
      <vt:variant>
        <vt:lpwstr>Trevino</vt:lpwstr>
      </vt:variant>
      <vt:variant>
        <vt:i4>1114133</vt:i4>
      </vt:variant>
      <vt:variant>
        <vt:i4>13124</vt:i4>
      </vt:variant>
      <vt:variant>
        <vt:i4>0</vt:i4>
      </vt:variant>
      <vt:variant>
        <vt:i4>5</vt:i4>
      </vt:variant>
      <vt:variant>
        <vt:lpwstr/>
      </vt:variant>
      <vt:variant>
        <vt:lpwstr>Tracz</vt:lpwstr>
      </vt:variant>
      <vt:variant>
        <vt:i4>524316</vt:i4>
      </vt:variant>
      <vt:variant>
        <vt:i4>13121</vt:i4>
      </vt:variant>
      <vt:variant>
        <vt:i4>0</vt:i4>
      </vt:variant>
      <vt:variant>
        <vt:i4>5</vt:i4>
      </vt:variant>
      <vt:variant>
        <vt:lpwstr/>
      </vt:variant>
      <vt:variant>
        <vt:lpwstr>Townsend2008</vt:lpwstr>
      </vt:variant>
      <vt:variant>
        <vt:i4>6291506</vt:i4>
      </vt:variant>
      <vt:variant>
        <vt:i4>13118</vt:i4>
      </vt:variant>
      <vt:variant>
        <vt:i4>0</vt:i4>
      </vt:variant>
      <vt:variant>
        <vt:i4>5</vt:i4>
      </vt:variant>
      <vt:variant>
        <vt:lpwstr/>
      </vt:variant>
      <vt:variant>
        <vt:lpwstr>Towheed2006</vt:lpwstr>
      </vt:variant>
      <vt:variant>
        <vt:i4>5242882</vt:i4>
      </vt:variant>
      <vt:variant>
        <vt:i4>13115</vt:i4>
      </vt:variant>
      <vt:variant>
        <vt:i4>0</vt:i4>
      </vt:variant>
      <vt:variant>
        <vt:i4>5</vt:i4>
      </vt:variant>
      <vt:variant>
        <vt:lpwstr/>
      </vt:variant>
      <vt:variant>
        <vt:lpwstr>Towheed2</vt:lpwstr>
      </vt:variant>
      <vt:variant>
        <vt:i4>6422630</vt:i4>
      </vt:variant>
      <vt:variant>
        <vt:i4>13112</vt:i4>
      </vt:variant>
      <vt:variant>
        <vt:i4>0</vt:i4>
      </vt:variant>
      <vt:variant>
        <vt:i4>5</vt:i4>
      </vt:variant>
      <vt:variant>
        <vt:lpwstr/>
      </vt:variant>
      <vt:variant>
        <vt:lpwstr>Towheed</vt:lpwstr>
      </vt:variant>
      <vt:variant>
        <vt:i4>8061047</vt:i4>
      </vt:variant>
      <vt:variant>
        <vt:i4>13109</vt:i4>
      </vt:variant>
      <vt:variant>
        <vt:i4>0</vt:i4>
      </vt:variant>
      <vt:variant>
        <vt:i4>5</vt:i4>
      </vt:variant>
      <vt:variant>
        <vt:lpwstr/>
      </vt:variant>
      <vt:variant>
        <vt:lpwstr>Tofferi</vt:lpwstr>
      </vt:variant>
      <vt:variant>
        <vt:i4>7143545</vt:i4>
      </vt:variant>
      <vt:variant>
        <vt:i4>13106</vt:i4>
      </vt:variant>
      <vt:variant>
        <vt:i4>0</vt:i4>
      </vt:variant>
      <vt:variant>
        <vt:i4>5</vt:i4>
      </vt:variant>
      <vt:variant>
        <vt:lpwstr/>
      </vt:variant>
      <vt:variant>
        <vt:lpwstr>Ticknor</vt:lpwstr>
      </vt:variant>
      <vt:variant>
        <vt:i4>1572868</vt:i4>
      </vt:variant>
      <vt:variant>
        <vt:i4>13103</vt:i4>
      </vt:variant>
      <vt:variant>
        <vt:i4>0</vt:i4>
      </vt:variant>
      <vt:variant>
        <vt:i4>5</vt:i4>
      </vt:variant>
      <vt:variant>
        <vt:lpwstr/>
      </vt:variant>
      <vt:variant>
        <vt:lpwstr>Thompson</vt:lpwstr>
      </vt:variant>
      <vt:variant>
        <vt:i4>262220</vt:i4>
      </vt:variant>
      <vt:variant>
        <vt:i4>13100</vt:i4>
      </vt:variant>
      <vt:variant>
        <vt:i4>0</vt:i4>
      </vt:variant>
      <vt:variant>
        <vt:i4>5</vt:i4>
      </vt:variant>
      <vt:variant>
        <vt:lpwstr/>
      </vt:variant>
      <vt:variant>
        <vt:lpwstr>Tembe2011</vt:lpwstr>
      </vt:variant>
      <vt:variant>
        <vt:i4>8323170</vt:i4>
      </vt:variant>
      <vt:variant>
        <vt:i4>13097</vt:i4>
      </vt:variant>
      <vt:variant>
        <vt:i4>0</vt:i4>
      </vt:variant>
      <vt:variant>
        <vt:i4>5</vt:i4>
      </vt:variant>
      <vt:variant>
        <vt:lpwstr/>
      </vt:variant>
      <vt:variant>
        <vt:lpwstr>Taylor</vt:lpwstr>
      </vt:variant>
      <vt:variant>
        <vt:i4>8126568</vt:i4>
      </vt:variant>
      <vt:variant>
        <vt:i4>13094</vt:i4>
      </vt:variant>
      <vt:variant>
        <vt:i4>0</vt:i4>
      </vt:variant>
      <vt:variant>
        <vt:i4>5</vt:i4>
      </vt:variant>
      <vt:variant>
        <vt:lpwstr/>
      </vt:variant>
      <vt:variant>
        <vt:lpwstr>Tassone</vt:lpwstr>
      </vt:variant>
      <vt:variant>
        <vt:i4>8323168</vt:i4>
      </vt:variant>
      <vt:variant>
        <vt:i4>13091</vt:i4>
      </vt:variant>
      <vt:variant>
        <vt:i4>0</vt:i4>
      </vt:variant>
      <vt:variant>
        <vt:i4>5</vt:i4>
      </vt:variant>
      <vt:variant>
        <vt:lpwstr/>
      </vt:variant>
      <vt:variant>
        <vt:lpwstr>Tarner2012</vt:lpwstr>
      </vt:variant>
      <vt:variant>
        <vt:i4>7012453</vt:i4>
      </vt:variant>
      <vt:variant>
        <vt:i4>13088</vt:i4>
      </vt:variant>
      <vt:variant>
        <vt:i4>0</vt:i4>
      </vt:variant>
      <vt:variant>
        <vt:i4>5</vt:i4>
      </vt:variant>
      <vt:variant>
        <vt:lpwstr/>
      </vt:variant>
      <vt:variant>
        <vt:lpwstr>Taricco</vt:lpwstr>
      </vt:variant>
      <vt:variant>
        <vt:i4>262165</vt:i4>
      </vt:variant>
      <vt:variant>
        <vt:i4>13085</vt:i4>
      </vt:variant>
      <vt:variant>
        <vt:i4>0</vt:i4>
      </vt:variant>
      <vt:variant>
        <vt:i4>5</vt:i4>
      </vt:variant>
      <vt:variant>
        <vt:lpwstr/>
      </vt:variant>
      <vt:variant>
        <vt:lpwstr>Sullivan2005</vt:lpwstr>
      </vt:variant>
      <vt:variant>
        <vt:i4>458773</vt:i4>
      </vt:variant>
      <vt:variant>
        <vt:i4>13082</vt:i4>
      </vt:variant>
      <vt:variant>
        <vt:i4>0</vt:i4>
      </vt:variant>
      <vt:variant>
        <vt:i4>5</vt:i4>
      </vt:variant>
      <vt:variant>
        <vt:lpwstr/>
      </vt:variant>
      <vt:variant>
        <vt:lpwstr>Sullivan2006</vt:lpwstr>
      </vt:variant>
      <vt:variant>
        <vt:i4>1900566</vt:i4>
      </vt:variant>
      <vt:variant>
        <vt:i4>13079</vt:i4>
      </vt:variant>
      <vt:variant>
        <vt:i4>0</vt:i4>
      </vt:variant>
      <vt:variant>
        <vt:i4>5</vt:i4>
      </vt:variant>
      <vt:variant>
        <vt:lpwstr/>
      </vt:variant>
      <vt:variant>
        <vt:lpwstr>Stein</vt:lpwstr>
      </vt:variant>
      <vt:variant>
        <vt:i4>1310743</vt:i4>
      </vt:variant>
      <vt:variant>
        <vt:i4>13076</vt:i4>
      </vt:variant>
      <vt:variant>
        <vt:i4>0</vt:i4>
      </vt:variant>
      <vt:variant>
        <vt:i4>5</vt:i4>
      </vt:variant>
      <vt:variant>
        <vt:lpwstr/>
      </vt:variant>
      <vt:variant>
        <vt:lpwstr>Stegmann2008</vt:lpwstr>
      </vt:variant>
      <vt:variant>
        <vt:i4>7864437</vt:i4>
      </vt:variant>
      <vt:variant>
        <vt:i4>13073</vt:i4>
      </vt:variant>
      <vt:variant>
        <vt:i4>0</vt:i4>
      </vt:variant>
      <vt:variant>
        <vt:i4>5</vt:i4>
      </vt:variant>
      <vt:variant>
        <vt:lpwstr/>
      </vt:variant>
      <vt:variant>
        <vt:lpwstr>Staiger</vt:lpwstr>
      </vt:variant>
      <vt:variant>
        <vt:i4>7209079</vt:i4>
      </vt:variant>
      <vt:variant>
        <vt:i4>13070</vt:i4>
      </vt:variant>
      <vt:variant>
        <vt:i4>0</vt:i4>
      </vt:variant>
      <vt:variant>
        <vt:i4>5</vt:i4>
      </vt:variant>
      <vt:variant>
        <vt:lpwstr/>
      </vt:variant>
      <vt:variant>
        <vt:lpwstr>Stacey</vt:lpwstr>
      </vt:variant>
      <vt:variant>
        <vt:i4>7143534</vt:i4>
      </vt:variant>
      <vt:variant>
        <vt:i4>13067</vt:i4>
      </vt:variant>
      <vt:variant>
        <vt:i4>0</vt:i4>
      </vt:variant>
      <vt:variant>
        <vt:i4>5</vt:i4>
      </vt:variant>
      <vt:variant>
        <vt:lpwstr/>
      </vt:variant>
      <vt:variant>
        <vt:lpwstr>Soomro</vt:lpwstr>
      </vt:variant>
      <vt:variant>
        <vt:i4>7274610</vt:i4>
      </vt:variant>
      <vt:variant>
        <vt:i4>13064</vt:i4>
      </vt:variant>
      <vt:variant>
        <vt:i4>0</vt:i4>
      </vt:variant>
      <vt:variant>
        <vt:i4>5</vt:i4>
      </vt:variant>
      <vt:variant>
        <vt:lpwstr/>
      </vt:variant>
      <vt:variant>
        <vt:lpwstr>Solomon</vt:lpwstr>
      </vt:variant>
      <vt:variant>
        <vt:i4>1704002</vt:i4>
      </vt:variant>
      <vt:variant>
        <vt:i4>13061</vt:i4>
      </vt:variant>
      <vt:variant>
        <vt:i4>0</vt:i4>
      </vt:variant>
      <vt:variant>
        <vt:i4>5</vt:i4>
      </vt:variant>
      <vt:variant>
        <vt:lpwstr/>
      </vt:variant>
      <vt:variant>
        <vt:lpwstr>Smith2013</vt:lpwstr>
      </vt:variant>
      <vt:variant>
        <vt:i4>1704002</vt:i4>
      </vt:variant>
      <vt:variant>
        <vt:i4>13058</vt:i4>
      </vt:variant>
      <vt:variant>
        <vt:i4>0</vt:i4>
      </vt:variant>
      <vt:variant>
        <vt:i4>5</vt:i4>
      </vt:variant>
      <vt:variant>
        <vt:lpwstr/>
      </vt:variant>
      <vt:variant>
        <vt:lpwstr>Smith2010</vt:lpwstr>
      </vt:variant>
      <vt:variant>
        <vt:i4>1638426</vt:i4>
      </vt:variant>
      <vt:variant>
        <vt:i4>13055</vt:i4>
      </vt:variant>
      <vt:variant>
        <vt:i4>0</vt:i4>
      </vt:variant>
      <vt:variant>
        <vt:i4>5</vt:i4>
      </vt:variant>
      <vt:variant>
        <vt:lpwstr/>
      </vt:variant>
      <vt:variant>
        <vt:lpwstr>Smith</vt:lpwstr>
      </vt:variant>
      <vt:variant>
        <vt:i4>7274595</vt:i4>
      </vt:variant>
      <vt:variant>
        <vt:i4>13052</vt:i4>
      </vt:variant>
      <vt:variant>
        <vt:i4>0</vt:i4>
      </vt:variant>
      <vt:variant>
        <vt:i4>5</vt:i4>
      </vt:variant>
      <vt:variant>
        <vt:lpwstr/>
      </vt:variant>
      <vt:variant>
        <vt:lpwstr>Skrabek</vt:lpwstr>
      </vt:variant>
      <vt:variant>
        <vt:i4>4849695</vt:i4>
      </vt:variant>
      <vt:variant>
        <vt:i4>13049</vt:i4>
      </vt:variant>
      <vt:variant>
        <vt:i4>0</vt:i4>
      </vt:variant>
      <vt:variant>
        <vt:i4>5</vt:i4>
      </vt:variant>
      <vt:variant>
        <vt:lpwstr/>
      </vt:variant>
      <vt:variant>
        <vt:lpwstr>Sindrup2</vt:lpwstr>
      </vt:variant>
      <vt:variant>
        <vt:i4>7864431</vt:i4>
      </vt:variant>
      <vt:variant>
        <vt:i4>13046</vt:i4>
      </vt:variant>
      <vt:variant>
        <vt:i4>0</vt:i4>
      </vt:variant>
      <vt:variant>
        <vt:i4>5</vt:i4>
      </vt:variant>
      <vt:variant>
        <vt:lpwstr/>
      </vt:variant>
      <vt:variant>
        <vt:lpwstr>Sindrup</vt:lpwstr>
      </vt:variant>
      <vt:variant>
        <vt:i4>7602288</vt:i4>
      </vt:variant>
      <vt:variant>
        <vt:i4>13043</vt:i4>
      </vt:variant>
      <vt:variant>
        <vt:i4>0</vt:i4>
      </vt:variant>
      <vt:variant>
        <vt:i4>5</vt:i4>
      </vt:variant>
      <vt:variant>
        <vt:lpwstr/>
      </vt:variant>
      <vt:variant>
        <vt:lpwstr>Sigtermans2009</vt:lpwstr>
      </vt:variant>
      <vt:variant>
        <vt:i4>6357110</vt:i4>
      </vt:variant>
      <vt:variant>
        <vt:i4>13040</vt:i4>
      </vt:variant>
      <vt:variant>
        <vt:i4>0</vt:i4>
      </vt:variant>
      <vt:variant>
        <vt:i4>5</vt:i4>
      </vt:variant>
      <vt:variant>
        <vt:lpwstr/>
      </vt:variant>
      <vt:variant>
        <vt:lpwstr>Siddall</vt:lpwstr>
      </vt:variant>
      <vt:variant>
        <vt:i4>7274536</vt:i4>
      </vt:variant>
      <vt:variant>
        <vt:i4>13037</vt:i4>
      </vt:variant>
      <vt:variant>
        <vt:i4>0</vt:i4>
      </vt:variant>
      <vt:variant>
        <vt:i4>5</vt:i4>
      </vt:variant>
      <vt:variant>
        <vt:lpwstr/>
      </vt:variant>
      <vt:variant>
        <vt:lpwstr>Sibille2012</vt:lpwstr>
      </vt:variant>
      <vt:variant>
        <vt:i4>6946858</vt:i4>
      </vt:variant>
      <vt:variant>
        <vt:i4>13034</vt:i4>
      </vt:variant>
      <vt:variant>
        <vt:i4>0</vt:i4>
      </vt:variant>
      <vt:variant>
        <vt:i4>5</vt:i4>
      </vt:variant>
      <vt:variant>
        <vt:lpwstr/>
      </vt:variant>
      <vt:variant>
        <vt:lpwstr>Shi2008</vt:lpwstr>
      </vt:variant>
      <vt:variant>
        <vt:i4>262166</vt:i4>
      </vt:variant>
      <vt:variant>
        <vt:i4>13031</vt:i4>
      </vt:variant>
      <vt:variant>
        <vt:i4>0</vt:i4>
      </vt:variant>
      <vt:variant>
        <vt:i4>5</vt:i4>
      </vt:variant>
      <vt:variant>
        <vt:lpwstr/>
      </vt:variant>
      <vt:variant>
        <vt:lpwstr>Shell</vt:lpwstr>
      </vt:variant>
      <vt:variant>
        <vt:i4>8061055</vt:i4>
      </vt:variant>
      <vt:variant>
        <vt:i4>13028</vt:i4>
      </vt:variant>
      <vt:variant>
        <vt:i4>0</vt:i4>
      </vt:variant>
      <vt:variant>
        <vt:i4>5</vt:i4>
      </vt:variant>
      <vt:variant>
        <vt:lpwstr/>
      </vt:variant>
      <vt:variant>
        <vt:lpwstr>Sharma</vt:lpwstr>
      </vt:variant>
      <vt:variant>
        <vt:i4>15</vt:i4>
      </vt:variant>
      <vt:variant>
        <vt:i4>13025</vt:i4>
      </vt:variant>
      <vt:variant>
        <vt:i4>0</vt:i4>
      </vt:variant>
      <vt:variant>
        <vt:i4>5</vt:i4>
      </vt:variant>
      <vt:variant>
        <vt:lpwstr/>
      </vt:variant>
      <vt:variant>
        <vt:lpwstr>Shariatmadari</vt:lpwstr>
      </vt:variant>
      <vt:variant>
        <vt:i4>7929956</vt:i4>
      </vt:variant>
      <vt:variant>
        <vt:i4>13022</vt:i4>
      </vt:variant>
      <vt:variant>
        <vt:i4>0</vt:i4>
      </vt:variant>
      <vt:variant>
        <vt:i4>5</vt:i4>
      </vt:variant>
      <vt:variant>
        <vt:lpwstr/>
      </vt:variant>
      <vt:variant>
        <vt:lpwstr>Serpell</vt:lpwstr>
      </vt:variant>
      <vt:variant>
        <vt:i4>1245212</vt:i4>
      </vt:variant>
      <vt:variant>
        <vt:i4>13019</vt:i4>
      </vt:variant>
      <vt:variant>
        <vt:i4>0</vt:i4>
      </vt:variant>
      <vt:variant>
        <vt:i4>5</vt:i4>
      </vt:variant>
      <vt:variant>
        <vt:lpwstr/>
      </vt:variant>
      <vt:variant>
        <vt:lpwstr>Sengupta</vt:lpwstr>
      </vt:variant>
      <vt:variant>
        <vt:i4>5701654</vt:i4>
      </vt:variant>
      <vt:variant>
        <vt:i4>13016</vt:i4>
      </vt:variant>
      <vt:variant>
        <vt:i4>0</vt:i4>
      </vt:variant>
      <vt:variant>
        <vt:i4>5</vt:i4>
      </vt:variant>
      <vt:variant>
        <vt:lpwstr/>
      </vt:variant>
      <vt:variant>
        <vt:lpwstr>See2</vt:lpwstr>
      </vt:variant>
      <vt:variant>
        <vt:i4>6619251</vt:i4>
      </vt:variant>
      <vt:variant>
        <vt:i4>13013</vt:i4>
      </vt:variant>
      <vt:variant>
        <vt:i4>0</vt:i4>
      </vt:variant>
      <vt:variant>
        <vt:i4>5</vt:i4>
      </vt:variant>
      <vt:variant>
        <vt:lpwstr/>
      </vt:variant>
      <vt:variant>
        <vt:lpwstr>See</vt:lpwstr>
      </vt:variant>
      <vt:variant>
        <vt:i4>8323133</vt:i4>
      </vt:variant>
      <vt:variant>
        <vt:i4>13010</vt:i4>
      </vt:variant>
      <vt:variant>
        <vt:i4>0</vt:i4>
      </vt:variant>
      <vt:variant>
        <vt:i4>5</vt:i4>
      </vt:variant>
      <vt:variant>
        <vt:lpwstr/>
      </vt:variant>
      <vt:variant>
        <vt:lpwstr>Schwartzman2009</vt:lpwstr>
      </vt:variant>
      <vt:variant>
        <vt:i4>7340155</vt:i4>
      </vt:variant>
      <vt:variant>
        <vt:i4>13007</vt:i4>
      </vt:variant>
      <vt:variant>
        <vt:i4>0</vt:i4>
      </vt:variant>
      <vt:variant>
        <vt:i4>5</vt:i4>
      </vt:variant>
      <vt:variant>
        <vt:lpwstr/>
      </vt:variant>
      <vt:variant>
        <vt:lpwstr>Scholmerich</vt:lpwstr>
      </vt:variant>
      <vt:variant>
        <vt:i4>1441819</vt:i4>
      </vt:variant>
      <vt:variant>
        <vt:i4>13004</vt:i4>
      </vt:variant>
      <vt:variant>
        <vt:i4>0</vt:i4>
      </vt:variant>
      <vt:variant>
        <vt:i4>5</vt:i4>
      </vt:variant>
      <vt:variant>
        <vt:lpwstr/>
      </vt:variant>
      <vt:variant>
        <vt:lpwstr>Schneier</vt:lpwstr>
      </vt:variant>
      <vt:variant>
        <vt:i4>7995506</vt:i4>
      </vt:variant>
      <vt:variant>
        <vt:i4>13001</vt:i4>
      </vt:variant>
      <vt:variant>
        <vt:i4>0</vt:i4>
      </vt:variant>
      <vt:variant>
        <vt:i4>5</vt:i4>
      </vt:variant>
      <vt:variant>
        <vt:lpwstr/>
      </vt:variant>
      <vt:variant>
        <vt:lpwstr>Schmitt</vt:lpwstr>
      </vt:variant>
      <vt:variant>
        <vt:i4>7602301</vt:i4>
      </vt:variant>
      <vt:variant>
        <vt:i4>12998</vt:i4>
      </vt:variant>
      <vt:variant>
        <vt:i4>0</vt:i4>
      </vt:variant>
      <vt:variant>
        <vt:i4>5</vt:i4>
      </vt:variant>
      <vt:variant>
        <vt:lpwstr/>
      </vt:variant>
      <vt:variant>
        <vt:lpwstr>Schjerning2011</vt:lpwstr>
      </vt:variant>
      <vt:variant>
        <vt:i4>7602298</vt:i4>
      </vt:variant>
      <vt:variant>
        <vt:i4>12995</vt:i4>
      </vt:variant>
      <vt:variant>
        <vt:i4>0</vt:i4>
      </vt:variant>
      <vt:variant>
        <vt:i4>5</vt:i4>
      </vt:variant>
      <vt:variant>
        <vt:lpwstr/>
      </vt:variant>
      <vt:variant>
        <vt:lpwstr>Schears</vt:lpwstr>
      </vt:variant>
      <vt:variant>
        <vt:i4>6815853</vt:i4>
      </vt:variant>
      <vt:variant>
        <vt:i4>12992</vt:i4>
      </vt:variant>
      <vt:variant>
        <vt:i4>0</vt:i4>
      </vt:variant>
      <vt:variant>
        <vt:i4>5</vt:i4>
      </vt:variant>
      <vt:variant>
        <vt:lpwstr/>
      </vt:variant>
      <vt:variant>
        <vt:lpwstr>SAMHSA</vt:lpwstr>
      </vt:variant>
      <vt:variant>
        <vt:i4>131097</vt:i4>
      </vt:variant>
      <vt:variant>
        <vt:i4>12989</vt:i4>
      </vt:variant>
      <vt:variant>
        <vt:i4>0</vt:i4>
      </vt:variant>
      <vt:variant>
        <vt:i4>5</vt:i4>
      </vt:variant>
      <vt:variant>
        <vt:lpwstr/>
      </vt:variant>
      <vt:variant>
        <vt:lpwstr>Salinsky2010</vt:lpwstr>
      </vt:variant>
      <vt:variant>
        <vt:i4>6946925</vt:i4>
      </vt:variant>
      <vt:variant>
        <vt:i4>12986</vt:i4>
      </vt:variant>
      <vt:variant>
        <vt:i4>0</vt:i4>
      </vt:variant>
      <vt:variant>
        <vt:i4>5</vt:i4>
      </vt:variant>
      <vt:variant>
        <vt:lpwstr/>
      </vt:variant>
      <vt:variant>
        <vt:lpwstr>Salerno</vt:lpwstr>
      </vt:variant>
      <vt:variant>
        <vt:i4>524315</vt:i4>
      </vt:variant>
      <vt:variant>
        <vt:i4>12983</vt:i4>
      </vt:variant>
      <vt:variant>
        <vt:i4>0</vt:i4>
      </vt:variant>
      <vt:variant>
        <vt:i4>5</vt:i4>
      </vt:variant>
      <vt:variant>
        <vt:lpwstr/>
      </vt:variant>
      <vt:variant>
        <vt:lpwstr>Sahin</vt:lpwstr>
      </vt:variant>
      <vt:variant>
        <vt:i4>589840</vt:i4>
      </vt:variant>
      <vt:variant>
        <vt:i4>12980</vt:i4>
      </vt:variant>
      <vt:variant>
        <vt:i4>0</vt:i4>
      </vt:variant>
      <vt:variant>
        <vt:i4>5</vt:i4>
      </vt:variant>
      <vt:variant>
        <vt:lpwstr/>
      </vt:variant>
      <vt:variant>
        <vt:lpwstr>Sachs</vt:lpwstr>
      </vt:variant>
      <vt:variant>
        <vt:i4>8126566</vt:i4>
      </vt:variant>
      <vt:variant>
        <vt:i4>12977</vt:i4>
      </vt:variant>
      <vt:variant>
        <vt:i4>0</vt:i4>
      </vt:variant>
      <vt:variant>
        <vt:i4>5</vt:i4>
      </vt:variant>
      <vt:variant>
        <vt:lpwstr/>
      </vt:variant>
      <vt:variant>
        <vt:lpwstr>Saarto2</vt:lpwstr>
      </vt:variant>
      <vt:variant>
        <vt:i4>8126566</vt:i4>
      </vt:variant>
      <vt:variant>
        <vt:i4>12974</vt:i4>
      </vt:variant>
      <vt:variant>
        <vt:i4>0</vt:i4>
      </vt:variant>
      <vt:variant>
        <vt:i4>5</vt:i4>
      </vt:variant>
      <vt:variant>
        <vt:lpwstr/>
      </vt:variant>
      <vt:variant>
        <vt:lpwstr>Saarto</vt:lpwstr>
      </vt:variant>
      <vt:variant>
        <vt:i4>6684768</vt:i4>
      </vt:variant>
      <vt:variant>
        <vt:i4>12971</vt:i4>
      </vt:variant>
      <vt:variant>
        <vt:i4>0</vt:i4>
      </vt:variant>
      <vt:variant>
        <vt:i4>5</vt:i4>
      </vt:variant>
      <vt:variant>
        <vt:lpwstr/>
      </vt:variant>
      <vt:variant>
        <vt:lpwstr>Rubinstein2012</vt:lpwstr>
      </vt:variant>
      <vt:variant>
        <vt:i4>1769491</vt:i4>
      </vt:variant>
      <vt:variant>
        <vt:i4>12968</vt:i4>
      </vt:variant>
      <vt:variant>
        <vt:i4>0</vt:i4>
      </vt:variant>
      <vt:variant>
        <vt:i4>5</vt:i4>
      </vt:variant>
      <vt:variant>
        <vt:lpwstr/>
      </vt:variant>
      <vt:variant>
        <vt:lpwstr>Ruane</vt:lpwstr>
      </vt:variant>
      <vt:variant>
        <vt:i4>131159</vt:i4>
      </vt:variant>
      <vt:variant>
        <vt:i4>12965</vt:i4>
      </vt:variant>
      <vt:variant>
        <vt:i4>0</vt:i4>
      </vt:variant>
      <vt:variant>
        <vt:i4>5</vt:i4>
      </vt:variant>
      <vt:variant>
        <vt:lpwstr/>
      </vt:variant>
      <vt:variant>
        <vt:lpwstr>Rozenfeld2004</vt:lpwstr>
      </vt:variant>
      <vt:variant>
        <vt:i4>7274610</vt:i4>
      </vt:variant>
      <vt:variant>
        <vt:i4>12962</vt:i4>
      </vt:variant>
      <vt:variant>
        <vt:i4>0</vt:i4>
      </vt:variant>
      <vt:variant>
        <vt:i4>5</vt:i4>
      </vt:variant>
      <vt:variant>
        <vt:lpwstr/>
      </vt:variant>
      <vt:variant>
        <vt:lpwstr>Roy</vt:lpwstr>
      </vt:variant>
      <vt:variant>
        <vt:i4>7471201</vt:i4>
      </vt:variant>
      <vt:variant>
        <vt:i4>12959</vt:i4>
      </vt:variant>
      <vt:variant>
        <vt:i4>0</vt:i4>
      </vt:variant>
      <vt:variant>
        <vt:i4>5</vt:i4>
      </vt:variant>
      <vt:variant>
        <vt:lpwstr/>
      </vt:variant>
      <vt:variant>
        <vt:lpwstr>Rother2007</vt:lpwstr>
      </vt:variant>
      <vt:variant>
        <vt:i4>393221</vt:i4>
      </vt:variant>
      <vt:variant>
        <vt:i4>12956</vt:i4>
      </vt:variant>
      <vt:variant>
        <vt:i4>0</vt:i4>
      </vt:variant>
      <vt:variant>
        <vt:i4>5</vt:i4>
      </vt:variant>
      <vt:variant>
        <vt:lpwstr/>
      </vt:variant>
      <vt:variant>
        <vt:lpwstr>Roth2011</vt:lpwstr>
      </vt:variant>
      <vt:variant>
        <vt:i4>8192120</vt:i4>
      </vt:variant>
      <vt:variant>
        <vt:i4>12953</vt:i4>
      </vt:variant>
      <vt:variant>
        <vt:i4>0</vt:i4>
      </vt:variant>
      <vt:variant>
        <vt:i4>5</vt:i4>
      </vt:variant>
      <vt:variant>
        <vt:lpwstr/>
      </vt:variant>
      <vt:variant>
        <vt:lpwstr>Rosenstock</vt:lpwstr>
      </vt:variant>
      <vt:variant>
        <vt:i4>262173</vt:i4>
      </vt:variant>
      <vt:variant>
        <vt:i4>12950</vt:i4>
      </vt:variant>
      <vt:variant>
        <vt:i4>0</vt:i4>
      </vt:variant>
      <vt:variant>
        <vt:i4>5</vt:i4>
      </vt:variant>
      <vt:variant>
        <vt:lpwstr/>
      </vt:variant>
      <vt:variant>
        <vt:lpwstr>Rooks</vt:lpwstr>
      </vt:variant>
      <vt:variant>
        <vt:i4>7733372</vt:i4>
      </vt:variant>
      <vt:variant>
        <vt:i4>12947</vt:i4>
      </vt:variant>
      <vt:variant>
        <vt:i4>0</vt:i4>
      </vt:variant>
      <vt:variant>
        <vt:i4>5</vt:i4>
      </vt:variant>
      <vt:variant>
        <vt:lpwstr/>
      </vt:variant>
      <vt:variant>
        <vt:lpwstr>Robson2014</vt:lpwstr>
      </vt:variant>
      <vt:variant>
        <vt:i4>8257634</vt:i4>
      </vt:variant>
      <vt:variant>
        <vt:i4>12944</vt:i4>
      </vt:variant>
      <vt:variant>
        <vt:i4>0</vt:i4>
      </vt:variant>
      <vt:variant>
        <vt:i4>5</vt:i4>
      </vt:variant>
      <vt:variant>
        <vt:lpwstr/>
      </vt:variant>
      <vt:variant>
        <vt:lpwstr>Roberts</vt:lpwstr>
      </vt:variant>
      <vt:variant>
        <vt:i4>8126497</vt:i4>
      </vt:variant>
      <vt:variant>
        <vt:i4>12941</vt:i4>
      </vt:variant>
      <vt:variant>
        <vt:i4>0</vt:i4>
      </vt:variant>
      <vt:variant>
        <vt:i4>5</vt:i4>
      </vt:variant>
      <vt:variant>
        <vt:lpwstr/>
      </vt:variant>
      <vt:variant>
        <vt:lpwstr>Roberts2000</vt:lpwstr>
      </vt:variant>
      <vt:variant>
        <vt:i4>8126497</vt:i4>
      </vt:variant>
      <vt:variant>
        <vt:i4>12938</vt:i4>
      </vt:variant>
      <vt:variant>
        <vt:i4>0</vt:i4>
      </vt:variant>
      <vt:variant>
        <vt:i4>5</vt:i4>
      </vt:variant>
      <vt:variant>
        <vt:lpwstr/>
      </vt:variant>
      <vt:variant>
        <vt:lpwstr>Roberts2002</vt:lpwstr>
      </vt:variant>
      <vt:variant>
        <vt:i4>6488185</vt:i4>
      </vt:variant>
      <vt:variant>
        <vt:i4>12935</vt:i4>
      </vt:variant>
      <vt:variant>
        <vt:i4>0</vt:i4>
      </vt:variant>
      <vt:variant>
        <vt:i4>5</vt:i4>
      </vt:variant>
      <vt:variant>
        <vt:lpwstr/>
      </vt:variant>
      <vt:variant>
        <vt:lpwstr>Robbins</vt:lpwstr>
      </vt:variant>
      <vt:variant>
        <vt:i4>6684734</vt:i4>
      </vt:variant>
      <vt:variant>
        <vt:i4>12932</vt:i4>
      </vt:variant>
      <vt:variant>
        <vt:i4>0</vt:i4>
      </vt:variant>
      <vt:variant>
        <vt:i4>5</vt:i4>
      </vt:variant>
      <vt:variant>
        <vt:lpwstr/>
      </vt:variant>
      <vt:variant>
        <vt:lpwstr>Rickels1999</vt:lpwstr>
      </vt:variant>
      <vt:variant>
        <vt:i4>65553</vt:i4>
      </vt:variant>
      <vt:variant>
        <vt:i4>12929</vt:i4>
      </vt:variant>
      <vt:variant>
        <vt:i4>0</vt:i4>
      </vt:variant>
      <vt:variant>
        <vt:i4>5</vt:i4>
      </vt:variant>
      <vt:variant>
        <vt:lpwstr/>
      </vt:variant>
      <vt:variant>
        <vt:lpwstr>Richy</vt:lpwstr>
      </vt:variant>
      <vt:variant>
        <vt:i4>655377</vt:i4>
      </vt:variant>
      <vt:variant>
        <vt:i4>12926</vt:i4>
      </vt:variant>
      <vt:variant>
        <vt:i4>0</vt:i4>
      </vt:variant>
      <vt:variant>
        <vt:i4>5</vt:i4>
      </vt:variant>
      <vt:variant>
        <vt:lpwstr/>
      </vt:variant>
      <vt:variant>
        <vt:lpwstr>Richmond2010</vt:lpwstr>
      </vt:variant>
      <vt:variant>
        <vt:i4>6815858</vt:i4>
      </vt:variant>
      <vt:variant>
        <vt:i4>12923</vt:i4>
      </vt:variant>
      <vt:variant>
        <vt:i4>0</vt:i4>
      </vt:variant>
      <vt:variant>
        <vt:i4>5</vt:i4>
      </vt:variant>
      <vt:variant>
        <vt:lpwstr/>
      </vt:variant>
      <vt:variant>
        <vt:lpwstr>Rho</vt:lpwstr>
      </vt:variant>
      <vt:variant>
        <vt:i4>7995503</vt:i4>
      </vt:variant>
      <vt:variant>
        <vt:i4>12920</vt:i4>
      </vt:variant>
      <vt:variant>
        <vt:i4>0</vt:i4>
      </vt:variant>
      <vt:variant>
        <vt:i4>5</vt:i4>
      </vt:variant>
      <vt:variant>
        <vt:lpwstr/>
      </vt:variant>
      <vt:variant>
        <vt:lpwstr>Reynoldson</vt:lpwstr>
      </vt:variant>
      <vt:variant>
        <vt:i4>6422652</vt:i4>
      </vt:variant>
      <vt:variant>
        <vt:i4>12917</vt:i4>
      </vt:variant>
      <vt:variant>
        <vt:i4>0</vt:i4>
      </vt:variant>
      <vt:variant>
        <vt:i4>5</vt:i4>
      </vt:variant>
      <vt:variant>
        <vt:lpwstr/>
      </vt:variant>
      <vt:variant>
        <vt:lpwstr>Reichenbach</vt:lpwstr>
      </vt:variant>
      <vt:variant>
        <vt:i4>1703951</vt:i4>
      </vt:variant>
      <vt:variant>
        <vt:i4>12914</vt:i4>
      </vt:variant>
      <vt:variant>
        <vt:i4>0</vt:i4>
      </vt:variant>
      <vt:variant>
        <vt:i4>5</vt:i4>
      </vt:variant>
      <vt:variant>
        <vt:lpwstr/>
      </vt:variant>
      <vt:variant>
        <vt:lpwstr>Reginster</vt:lpwstr>
      </vt:variant>
      <vt:variant>
        <vt:i4>6422641</vt:i4>
      </vt:variant>
      <vt:variant>
        <vt:i4>12911</vt:i4>
      </vt:variant>
      <vt:variant>
        <vt:i4>0</vt:i4>
      </vt:variant>
      <vt:variant>
        <vt:i4>5</vt:i4>
      </vt:variant>
      <vt:variant>
        <vt:lpwstr/>
      </vt:variant>
      <vt:variant>
        <vt:lpwstr>Reeves2012</vt:lpwstr>
      </vt:variant>
      <vt:variant>
        <vt:i4>6291569</vt:i4>
      </vt:variant>
      <vt:variant>
        <vt:i4>12908</vt:i4>
      </vt:variant>
      <vt:variant>
        <vt:i4>0</vt:i4>
      </vt:variant>
      <vt:variant>
        <vt:i4>5</vt:i4>
      </vt:variant>
      <vt:variant>
        <vt:lpwstr/>
      </vt:variant>
      <vt:variant>
        <vt:lpwstr>Reeves2010</vt:lpwstr>
      </vt:variant>
      <vt:variant>
        <vt:i4>6291578</vt:i4>
      </vt:variant>
      <vt:variant>
        <vt:i4>12905</vt:i4>
      </vt:variant>
      <vt:variant>
        <vt:i4>0</vt:i4>
      </vt:variant>
      <vt:variant>
        <vt:i4>5</vt:i4>
      </vt:variant>
      <vt:variant>
        <vt:lpwstr/>
      </vt:variant>
      <vt:variant>
        <vt:lpwstr>Reeves1999a</vt:lpwstr>
      </vt:variant>
      <vt:variant>
        <vt:i4>6357104</vt:i4>
      </vt:variant>
      <vt:variant>
        <vt:i4>12902</vt:i4>
      </vt:variant>
      <vt:variant>
        <vt:i4>0</vt:i4>
      </vt:variant>
      <vt:variant>
        <vt:i4>5</vt:i4>
      </vt:variant>
      <vt:variant>
        <vt:lpwstr/>
      </vt:variant>
      <vt:variant>
        <vt:lpwstr>Reeves2001</vt:lpwstr>
      </vt:variant>
      <vt:variant>
        <vt:i4>6553712</vt:i4>
      </vt:variant>
      <vt:variant>
        <vt:i4>12899</vt:i4>
      </vt:variant>
      <vt:variant>
        <vt:i4>0</vt:i4>
      </vt:variant>
      <vt:variant>
        <vt:i4>5</vt:i4>
      </vt:variant>
      <vt:variant>
        <vt:lpwstr/>
      </vt:variant>
      <vt:variant>
        <vt:lpwstr>Reeves2004</vt:lpwstr>
      </vt:variant>
      <vt:variant>
        <vt:i4>6750320</vt:i4>
      </vt:variant>
      <vt:variant>
        <vt:i4>12896</vt:i4>
      </vt:variant>
      <vt:variant>
        <vt:i4>0</vt:i4>
      </vt:variant>
      <vt:variant>
        <vt:i4>5</vt:i4>
      </vt:variant>
      <vt:variant>
        <vt:lpwstr/>
      </vt:variant>
      <vt:variant>
        <vt:lpwstr>Reeves2007</vt:lpwstr>
      </vt:variant>
      <vt:variant>
        <vt:i4>6815856</vt:i4>
      </vt:variant>
      <vt:variant>
        <vt:i4>12893</vt:i4>
      </vt:variant>
      <vt:variant>
        <vt:i4>0</vt:i4>
      </vt:variant>
      <vt:variant>
        <vt:i4>5</vt:i4>
      </vt:variant>
      <vt:variant>
        <vt:lpwstr/>
      </vt:variant>
      <vt:variant>
        <vt:lpwstr>Reeves2008</vt:lpwstr>
      </vt:variant>
      <vt:variant>
        <vt:i4>6291570</vt:i4>
      </vt:variant>
      <vt:variant>
        <vt:i4>12890</vt:i4>
      </vt:variant>
      <vt:variant>
        <vt:i4>0</vt:i4>
      </vt:variant>
      <vt:variant>
        <vt:i4>5</vt:i4>
      </vt:variant>
      <vt:variant>
        <vt:lpwstr/>
      </vt:variant>
      <vt:variant>
        <vt:lpwstr>Reeves</vt:lpwstr>
      </vt:variant>
      <vt:variant>
        <vt:i4>7536754</vt:i4>
      </vt:variant>
      <vt:variant>
        <vt:i4>12887</vt:i4>
      </vt:variant>
      <vt:variant>
        <vt:i4>0</vt:i4>
      </vt:variant>
      <vt:variant>
        <vt:i4>5</vt:i4>
      </vt:variant>
      <vt:variant>
        <vt:lpwstr/>
      </vt:variant>
      <vt:variant>
        <vt:lpwstr>Reeder</vt:lpwstr>
      </vt:variant>
      <vt:variant>
        <vt:i4>6422587</vt:i4>
      </vt:variant>
      <vt:variant>
        <vt:i4>12884</vt:i4>
      </vt:variant>
      <vt:variant>
        <vt:i4>0</vt:i4>
      </vt:variant>
      <vt:variant>
        <vt:i4>5</vt:i4>
      </vt:variant>
      <vt:variant>
        <vt:lpwstr/>
      </vt:variant>
      <vt:variant>
        <vt:lpwstr>Ray2013</vt:lpwstr>
      </vt:variant>
      <vt:variant>
        <vt:i4>131079</vt:i4>
      </vt:variant>
      <vt:variant>
        <vt:i4>12881</vt:i4>
      </vt:variant>
      <vt:variant>
        <vt:i4>0</vt:i4>
      </vt:variant>
      <vt:variant>
        <vt:i4>5</vt:i4>
      </vt:variant>
      <vt:variant>
        <vt:lpwstr/>
      </vt:variant>
      <vt:variant>
        <vt:lpwstr>Rauck</vt:lpwstr>
      </vt:variant>
      <vt:variant>
        <vt:i4>7077987</vt:i4>
      </vt:variant>
      <vt:variant>
        <vt:i4>12878</vt:i4>
      </vt:variant>
      <vt:variant>
        <vt:i4>0</vt:i4>
      </vt:variant>
      <vt:variant>
        <vt:i4>5</vt:i4>
      </vt:variant>
      <vt:variant>
        <vt:lpwstr/>
      </vt:variant>
      <vt:variant>
        <vt:lpwstr>Raphael</vt:lpwstr>
      </vt:variant>
      <vt:variant>
        <vt:i4>65556</vt:i4>
      </vt:variant>
      <vt:variant>
        <vt:i4>12875</vt:i4>
      </vt:variant>
      <vt:variant>
        <vt:i4>0</vt:i4>
      </vt:variant>
      <vt:variant>
        <vt:i4>5</vt:i4>
      </vt:variant>
      <vt:variant>
        <vt:lpwstr/>
      </vt:variant>
      <vt:variant>
        <vt:lpwstr>Ramakrishnan</vt:lpwstr>
      </vt:variant>
      <vt:variant>
        <vt:i4>917519</vt:i4>
      </vt:variant>
      <vt:variant>
        <vt:i4>12872</vt:i4>
      </vt:variant>
      <vt:variant>
        <vt:i4>0</vt:i4>
      </vt:variant>
      <vt:variant>
        <vt:i4>5</vt:i4>
      </vt:variant>
      <vt:variant>
        <vt:lpwstr/>
      </vt:variant>
      <vt:variant>
        <vt:lpwstr>Rajagopal</vt:lpwstr>
      </vt:variant>
      <vt:variant>
        <vt:i4>6946941</vt:i4>
      </vt:variant>
      <vt:variant>
        <vt:i4>12869</vt:i4>
      </vt:variant>
      <vt:variant>
        <vt:i4>0</vt:i4>
      </vt:variant>
      <vt:variant>
        <vt:i4>5</vt:i4>
      </vt:variant>
      <vt:variant>
        <vt:lpwstr/>
      </vt:variant>
      <vt:variant>
        <vt:lpwstr>Quisel</vt:lpwstr>
      </vt:variant>
      <vt:variant>
        <vt:i4>7995506</vt:i4>
      </vt:variant>
      <vt:variant>
        <vt:i4>12866</vt:i4>
      </vt:variant>
      <vt:variant>
        <vt:i4>0</vt:i4>
      </vt:variant>
      <vt:variant>
        <vt:i4>5</vt:i4>
      </vt:variant>
      <vt:variant>
        <vt:lpwstr/>
      </vt:variant>
      <vt:variant>
        <vt:lpwstr>Prommer</vt:lpwstr>
      </vt:variant>
      <vt:variant>
        <vt:i4>917514</vt:i4>
      </vt:variant>
      <vt:variant>
        <vt:i4>12863</vt:i4>
      </vt:variant>
      <vt:variant>
        <vt:i4>0</vt:i4>
      </vt:variant>
      <vt:variant>
        <vt:i4>5</vt:i4>
      </vt:variant>
      <vt:variant>
        <vt:lpwstr/>
      </vt:variant>
      <vt:variant>
        <vt:lpwstr>Portenoy2002</vt:lpwstr>
      </vt:variant>
      <vt:variant>
        <vt:i4>6291581</vt:i4>
      </vt:variant>
      <vt:variant>
        <vt:i4>12860</vt:i4>
      </vt:variant>
      <vt:variant>
        <vt:i4>0</vt:i4>
      </vt:variant>
      <vt:variant>
        <vt:i4>5</vt:i4>
      </vt:variant>
      <vt:variant>
        <vt:lpwstr/>
      </vt:variant>
      <vt:variant>
        <vt:lpwstr>Pollack</vt:lpwstr>
      </vt:variant>
      <vt:variant>
        <vt:i4>786437</vt:i4>
      </vt:variant>
      <vt:variant>
        <vt:i4>12857</vt:i4>
      </vt:variant>
      <vt:variant>
        <vt:i4>0</vt:i4>
      </vt:variant>
      <vt:variant>
        <vt:i4>5</vt:i4>
      </vt:variant>
      <vt:variant>
        <vt:lpwstr/>
      </vt:variant>
      <vt:variant>
        <vt:lpwstr>Petursson</vt:lpwstr>
      </vt:variant>
      <vt:variant>
        <vt:i4>1835034</vt:i4>
      </vt:variant>
      <vt:variant>
        <vt:i4>12854</vt:i4>
      </vt:variant>
      <vt:variant>
        <vt:i4>0</vt:i4>
      </vt:variant>
      <vt:variant>
        <vt:i4>5</vt:i4>
      </vt:variant>
      <vt:variant>
        <vt:lpwstr/>
      </vt:variant>
      <vt:variant>
        <vt:lpwstr>Peterson2011</vt:lpwstr>
      </vt:variant>
      <vt:variant>
        <vt:i4>6488173</vt:i4>
      </vt:variant>
      <vt:variant>
        <vt:i4>12851</vt:i4>
      </vt:variant>
      <vt:variant>
        <vt:i4>0</vt:i4>
      </vt:variant>
      <vt:variant>
        <vt:i4>5</vt:i4>
      </vt:variant>
      <vt:variant>
        <vt:lpwstr/>
      </vt:variant>
      <vt:variant>
        <vt:lpwstr>Perrot2</vt:lpwstr>
      </vt:variant>
      <vt:variant>
        <vt:i4>131102</vt:i4>
      </vt:variant>
      <vt:variant>
        <vt:i4>12848</vt:i4>
      </vt:variant>
      <vt:variant>
        <vt:i4>0</vt:i4>
      </vt:variant>
      <vt:variant>
        <vt:i4>5</vt:i4>
      </vt:variant>
      <vt:variant>
        <vt:lpwstr/>
      </vt:variant>
      <vt:variant>
        <vt:lpwstr>Peng2</vt:lpwstr>
      </vt:variant>
      <vt:variant>
        <vt:i4>131102</vt:i4>
      </vt:variant>
      <vt:variant>
        <vt:i4>12845</vt:i4>
      </vt:variant>
      <vt:variant>
        <vt:i4>0</vt:i4>
      </vt:variant>
      <vt:variant>
        <vt:i4>5</vt:i4>
      </vt:variant>
      <vt:variant>
        <vt:lpwstr/>
      </vt:variant>
      <vt:variant>
        <vt:lpwstr>Peng</vt:lpwstr>
      </vt:variant>
      <vt:variant>
        <vt:i4>7143525</vt:i4>
      </vt:variant>
      <vt:variant>
        <vt:i4>12842</vt:i4>
      </vt:variant>
      <vt:variant>
        <vt:i4>0</vt:i4>
      </vt:variant>
      <vt:variant>
        <vt:i4>5</vt:i4>
      </vt:variant>
      <vt:variant>
        <vt:lpwstr/>
      </vt:variant>
      <vt:variant>
        <vt:lpwstr>PCodreaTigaran</vt:lpwstr>
      </vt:variant>
      <vt:variant>
        <vt:i4>7274602</vt:i4>
      </vt:variant>
      <vt:variant>
        <vt:i4>12839</vt:i4>
      </vt:variant>
      <vt:variant>
        <vt:i4>0</vt:i4>
      </vt:variant>
      <vt:variant>
        <vt:i4>5</vt:i4>
      </vt:variant>
      <vt:variant>
        <vt:lpwstr/>
      </vt:variant>
      <vt:variant>
        <vt:lpwstr>Pavelka</vt:lpwstr>
      </vt:variant>
      <vt:variant>
        <vt:i4>720984</vt:i4>
      </vt:variant>
      <vt:variant>
        <vt:i4>12836</vt:i4>
      </vt:variant>
      <vt:variant>
        <vt:i4>0</vt:i4>
      </vt:variant>
      <vt:variant>
        <vt:i4>5</vt:i4>
      </vt:variant>
      <vt:variant>
        <vt:lpwstr/>
      </vt:variant>
      <vt:variant>
        <vt:lpwstr>Patil2011</vt:lpwstr>
      </vt:variant>
      <vt:variant>
        <vt:i4>1703936</vt:i4>
      </vt:variant>
      <vt:variant>
        <vt:i4>12833</vt:i4>
      </vt:variant>
      <vt:variant>
        <vt:i4>0</vt:i4>
      </vt:variant>
      <vt:variant>
        <vt:i4>5</vt:i4>
      </vt:variant>
      <vt:variant>
        <vt:lpwstr/>
      </vt:variant>
      <vt:variant>
        <vt:lpwstr>Parr2009</vt:lpwstr>
      </vt:variant>
      <vt:variant>
        <vt:i4>8126587</vt:i4>
      </vt:variant>
      <vt:variant>
        <vt:i4>12830</vt:i4>
      </vt:variant>
      <vt:variant>
        <vt:i4>0</vt:i4>
      </vt:variant>
      <vt:variant>
        <vt:i4>5</vt:i4>
      </vt:variant>
      <vt:variant>
        <vt:lpwstr/>
      </vt:variant>
      <vt:variant>
        <vt:lpwstr>Pandey</vt:lpwstr>
      </vt:variant>
      <vt:variant>
        <vt:i4>262167</vt:i4>
      </vt:variant>
      <vt:variant>
        <vt:i4>12827</vt:i4>
      </vt:variant>
      <vt:variant>
        <vt:i4>0</vt:i4>
      </vt:variant>
      <vt:variant>
        <vt:i4>5</vt:i4>
      </vt:variant>
      <vt:variant>
        <vt:lpwstr/>
      </vt:variant>
      <vt:variant>
        <vt:lpwstr>Page</vt:lpwstr>
      </vt:variant>
      <vt:variant>
        <vt:i4>1638410</vt:i4>
      </vt:variant>
      <vt:variant>
        <vt:i4>12824</vt:i4>
      </vt:variant>
      <vt:variant>
        <vt:i4>0</vt:i4>
      </vt:variant>
      <vt:variant>
        <vt:i4>5</vt:i4>
      </vt:variant>
      <vt:variant>
        <vt:lpwstr/>
      </vt:variant>
      <vt:variant>
        <vt:lpwstr>Owens</vt:lpwstr>
      </vt:variant>
      <vt:variant>
        <vt:i4>1769499</vt:i4>
      </vt:variant>
      <vt:variant>
        <vt:i4>12821</vt:i4>
      </vt:variant>
      <vt:variant>
        <vt:i4>0</vt:i4>
      </vt:variant>
      <vt:variant>
        <vt:i4>5</vt:i4>
      </vt:variant>
      <vt:variant>
        <vt:lpwstr/>
      </vt:variant>
      <vt:variant>
        <vt:lpwstr>Otto</vt:lpwstr>
      </vt:variant>
      <vt:variant>
        <vt:i4>7405679</vt:i4>
      </vt:variant>
      <vt:variant>
        <vt:i4>12818</vt:i4>
      </vt:variant>
      <vt:variant>
        <vt:i4>0</vt:i4>
      </vt:variant>
      <vt:variant>
        <vt:i4>5</vt:i4>
      </vt:variant>
      <vt:variant>
        <vt:lpwstr/>
      </vt:variant>
      <vt:variant>
        <vt:lpwstr>Olesen</vt:lpwstr>
      </vt:variant>
      <vt:variant>
        <vt:i4>6488160</vt:i4>
      </vt:variant>
      <vt:variant>
        <vt:i4>12815</vt:i4>
      </vt:variant>
      <vt:variant>
        <vt:i4>0</vt:i4>
      </vt:variant>
      <vt:variant>
        <vt:i4>5</vt:i4>
      </vt:variant>
      <vt:variant>
        <vt:lpwstr/>
      </vt:variant>
      <vt:variant>
        <vt:lpwstr>OLenic2012</vt:lpwstr>
      </vt:variant>
      <vt:variant>
        <vt:i4>6422638</vt:i4>
      </vt:variant>
      <vt:variant>
        <vt:i4>12812</vt:i4>
      </vt:variant>
      <vt:variant>
        <vt:i4>0</vt:i4>
      </vt:variant>
      <vt:variant>
        <vt:i4>5</vt:i4>
      </vt:variant>
      <vt:variant>
        <vt:lpwstr/>
      </vt:variant>
      <vt:variant>
        <vt:lpwstr>OConnor</vt:lpwstr>
      </vt:variant>
      <vt:variant>
        <vt:i4>6619256</vt:i4>
      </vt:variant>
      <vt:variant>
        <vt:i4>12809</vt:i4>
      </vt:variant>
      <vt:variant>
        <vt:i4>0</vt:i4>
      </vt:variant>
      <vt:variant>
        <vt:i4>5</vt:i4>
      </vt:variant>
      <vt:variant>
        <vt:lpwstr/>
      </vt:variant>
      <vt:variant>
        <vt:lpwstr>Obrien</vt:lpwstr>
      </vt:variant>
      <vt:variant>
        <vt:i4>917528</vt:i4>
      </vt:variant>
      <vt:variant>
        <vt:i4>12806</vt:i4>
      </vt:variant>
      <vt:variant>
        <vt:i4>0</vt:i4>
      </vt:variant>
      <vt:variant>
        <vt:i4>5</vt:i4>
      </vt:variant>
      <vt:variant>
        <vt:lpwstr/>
      </vt:variant>
      <vt:variant>
        <vt:lpwstr>Novak</vt:lpwstr>
      </vt:variant>
      <vt:variant>
        <vt:i4>7209016</vt:i4>
      </vt:variant>
      <vt:variant>
        <vt:i4>12803</vt:i4>
      </vt:variant>
      <vt:variant>
        <vt:i4>0</vt:i4>
      </vt:variant>
      <vt:variant>
        <vt:i4>5</vt:i4>
      </vt:variant>
      <vt:variant>
        <vt:lpwstr/>
      </vt:variant>
      <vt:variant>
        <vt:lpwstr>Noppers2011</vt:lpwstr>
      </vt:variant>
      <vt:variant>
        <vt:i4>1441874</vt:i4>
      </vt:variant>
      <vt:variant>
        <vt:i4>12800</vt:i4>
      </vt:variant>
      <vt:variant>
        <vt:i4>0</vt:i4>
      </vt:variant>
      <vt:variant>
        <vt:i4>5</vt:i4>
      </vt:variant>
      <vt:variant>
        <vt:lpwstr/>
      </vt:variant>
      <vt:variant>
        <vt:lpwstr>Noize2010</vt:lpwstr>
      </vt:variant>
      <vt:variant>
        <vt:i4>1900563</vt:i4>
      </vt:variant>
      <vt:variant>
        <vt:i4>12797</vt:i4>
      </vt:variant>
      <vt:variant>
        <vt:i4>0</vt:i4>
      </vt:variant>
      <vt:variant>
        <vt:i4>5</vt:i4>
      </vt:variant>
      <vt:variant>
        <vt:lpwstr/>
      </vt:variant>
      <vt:variant>
        <vt:lpwstr>Niethard2005</vt:lpwstr>
      </vt:variant>
      <vt:variant>
        <vt:i4>6291576</vt:i4>
      </vt:variant>
      <vt:variant>
        <vt:i4>12794</vt:i4>
      </vt:variant>
      <vt:variant>
        <vt:i4>0</vt:i4>
      </vt:variant>
      <vt:variant>
        <vt:i4>5</vt:i4>
      </vt:variant>
      <vt:variant>
        <vt:lpwstr/>
      </vt:variant>
      <vt:variant>
        <vt:lpwstr>Nielsen</vt:lpwstr>
      </vt:variant>
      <vt:variant>
        <vt:i4>7995502</vt:i4>
      </vt:variant>
      <vt:variant>
        <vt:i4>12791</vt:i4>
      </vt:variant>
      <vt:variant>
        <vt:i4>0</vt:i4>
      </vt:variant>
      <vt:variant>
        <vt:i4>5</vt:i4>
      </vt:variant>
      <vt:variant>
        <vt:lpwstr/>
      </vt:variant>
      <vt:variant>
        <vt:lpwstr>Nelson2012</vt:lpwstr>
      </vt:variant>
      <vt:variant>
        <vt:i4>7274608</vt:i4>
      </vt:variant>
      <vt:variant>
        <vt:i4>12788</vt:i4>
      </vt:variant>
      <vt:variant>
        <vt:i4>0</vt:i4>
      </vt:variant>
      <vt:variant>
        <vt:i4>5</vt:i4>
      </vt:variant>
      <vt:variant>
        <vt:lpwstr/>
      </vt:variant>
      <vt:variant>
        <vt:lpwstr>Narang2008</vt:lpwstr>
      </vt:variant>
      <vt:variant>
        <vt:i4>6357096</vt:i4>
      </vt:variant>
      <vt:variant>
        <vt:i4>12785</vt:i4>
      </vt:variant>
      <vt:variant>
        <vt:i4>0</vt:i4>
      </vt:variant>
      <vt:variant>
        <vt:i4>5</vt:i4>
      </vt:variant>
      <vt:variant>
        <vt:lpwstr/>
      </vt:variant>
      <vt:variant>
        <vt:lpwstr>Namaka</vt:lpwstr>
      </vt:variant>
      <vt:variant>
        <vt:i4>65542</vt:i4>
      </vt:variant>
      <vt:variant>
        <vt:i4>12782</vt:i4>
      </vt:variant>
      <vt:variant>
        <vt:i4>0</vt:i4>
      </vt:variant>
      <vt:variant>
        <vt:i4>5</vt:i4>
      </vt:variant>
      <vt:variant>
        <vt:lpwstr/>
      </vt:variant>
      <vt:variant>
        <vt:lpwstr>Naliboff</vt:lpwstr>
      </vt:variant>
      <vt:variant>
        <vt:i4>8</vt:i4>
      </vt:variant>
      <vt:variant>
        <vt:i4>12779</vt:i4>
      </vt:variant>
      <vt:variant>
        <vt:i4>0</vt:i4>
      </vt:variant>
      <vt:variant>
        <vt:i4>5</vt:i4>
      </vt:variant>
      <vt:variant>
        <vt:lpwstr/>
      </vt:variant>
      <vt:variant>
        <vt:lpwstr>Nakazawa</vt:lpwstr>
      </vt:variant>
      <vt:variant>
        <vt:i4>7143537</vt:i4>
      </vt:variant>
      <vt:variant>
        <vt:i4>12776</vt:i4>
      </vt:variant>
      <vt:variant>
        <vt:i4>0</vt:i4>
      </vt:variant>
      <vt:variant>
        <vt:i4>5</vt:i4>
      </vt:variant>
      <vt:variant>
        <vt:lpwstr/>
      </vt:variant>
      <vt:variant>
        <vt:lpwstr>Moulin2</vt:lpwstr>
      </vt:variant>
      <vt:variant>
        <vt:i4>458776</vt:i4>
      </vt:variant>
      <vt:variant>
        <vt:i4>12773</vt:i4>
      </vt:variant>
      <vt:variant>
        <vt:i4>0</vt:i4>
      </vt:variant>
      <vt:variant>
        <vt:i4>5</vt:i4>
      </vt:variant>
      <vt:variant>
        <vt:lpwstr/>
      </vt:variant>
      <vt:variant>
        <vt:lpwstr>Moskowitz</vt:lpwstr>
      </vt:variant>
      <vt:variant>
        <vt:i4>262209</vt:i4>
      </vt:variant>
      <vt:variant>
        <vt:i4>12770</vt:i4>
      </vt:variant>
      <vt:variant>
        <vt:i4>0</vt:i4>
      </vt:variant>
      <vt:variant>
        <vt:i4>5</vt:i4>
      </vt:variant>
      <vt:variant>
        <vt:lpwstr/>
      </vt:variant>
      <vt:variant>
        <vt:lpwstr>Morin2004</vt:lpwstr>
      </vt:variant>
      <vt:variant>
        <vt:i4>2031703</vt:i4>
      </vt:variant>
      <vt:variant>
        <vt:i4>12767</vt:i4>
      </vt:variant>
      <vt:variant>
        <vt:i4>0</vt:i4>
      </vt:variant>
      <vt:variant>
        <vt:i4>5</vt:i4>
      </vt:variant>
      <vt:variant>
        <vt:lpwstr/>
      </vt:variant>
      <vt:variant>
        <vt:lpwstr>Moore2005</vt:lpwstr>
      </vt:variant>
      <vt:variant>
        <vt:i4>2031703</vt:i4>
      </vt:variant>
      <vt:variant>
        <vt:i4>12764</vt:i4>
      </vt:variant>
      <vt:variant>
        <vt:i4>0</vt:i4>
      </vt:variant>
      <vt:variant>
        <vt:i4>5</vt:i4>
      </vt:variant>
      <vt:variant>
        <vt:lpwstr/>
      </vt:variant>
      <vt:variant>
        <vt:lpwstr>Moore2009</vt:lpwstr>
      </vt:variant>
      <vt:variant>
        <vt:i4>3080295</vt:i4>
      </vt:variant>
      <vt:variant>
        <vt:i4>12761</vt:i4>
      </vt:variant>
      <vt:variant>
        <vt:i4>0</vt:i4>
      </vt:variant>
      <vt:variant>
        <vt:i4>5</vt:i4>
      </vt:variant>
      <vt:variant>
        <vt:lpwstr/>
      </vt:variant>
      <vt:variant>
        <vt:lpwstr>Moore2</vt:lpwstr>
      </vt:variant>
      <vt:variant>
        <vt:i4>6815867</vt:i4>
      </vt:variant>
      <vt:variant>
        <vt:i4>12758</vt:i4>
      </vt:variant>
      <vt:variant>
        <vt:i4>0</vt:i4>
      </vt:variant>
      <vt:variant>
        <vt:i4>5</vt:i4>
      </vt:variant>
      <vt:variant>
        <vt:lpwstr/>
      </vt:variant>
      <vt:variant>
        <vt:lpwstr>Montgomery</vt:lpwstr>
      </vt:variant>
      <vt:variant>
        <vt:i4>393247</vt:i4>
      </vt:variant>
      <vt:variant>
        <vt:i4>12755</vt:i4>
      </vt:variant>
      <vt:variant>
        <vt:i4>0</vt:i4>
      </vt:variant>
      <vt:variant>
        <vt:i4>5</vt:i4>
      </vt:variant>
      <vt:variant>
        <vt:lpwstr/>
      </vt:variant>
      <vt:variant>
        <vt:lpwstr>Morin</vt:lpwstr>
      </vt:variant>
      <vt:variant>
        <vt:i4>6553725</vt:i4>
      </vt:variant>
      <vt:variant>
        <vt:i4>12752</vt:i4>
      </vt:variant>
      <vt:variant>
        <vt:i4>0</vt:i4>
      </vt:variant>
      <vt:variant>
        <vt:i4>5</vt:i4>
      </vt:variant>
      <vt:variant>
        <vt:lpwstr/>
      </vt:variant>
      <vt:variant>
        <vt:lpwstr>Morgan2012</vt:lpwstr>
      </vt:variant>
      <vt:variant>
        <vt:i4>1900569</vt:i4>
      </vt:variant>
      <vt:variant>
        <vt:i4>12749</vt:i4>
      </vt:variant>
      <vt:variant>
        <vt:i4>0</vt:i4>
      </vt:variant>
      <vt:variant>
        <vt:i4>5</vt:i4>
      </vt:variant>
      <vt:variant>
        <vt:lpwstr/>
      </vt:variant>
      <vt:variant>
        <vt:lpwstr>Mitte</vt:lpwstr>
      </vt:variant>
      <vt:variant>
        <vt:i4>983105</vt:i4>
      </vt:variant>
      <vt:variant>
        <vt:i4>12746</vt:i4>
      </vt:variant>
      <vt:variant>
        <vt:i4>0</vt:i4>
      </vt:variant>
      <vt:variant>
        <vt:i4>5</vt:i4>
      </vt:variant>
      <vt:variant>
        <vt:lpwstr/>
      </vt:variant>
      <vt:variant>
        <vt:lpwstr>Miner2010</vt:lpwstr>
      </vt:variant>
      <vt:variant>
        <vt:i4>1376273</vt:i4>
      </vt:variant>
      <vt:variant>
        <vt:i4>12743</vt:i4>
      </vt:variant>
      <vt:variant>
        <vt:i4>0</vt:i4>
      </vt:variant>
      <vt:variant>
        <vt:i4>5</vt:i4>
      </vt:variant>
      <vt:variant>
        <vt:lpwstr/>
      </vt:variant>
      <vt:variant>
        <vt:lpwstr>Menigaux</vt:lpwstr>
      </vt:variant>
      <vt:variant>
        <vt:i4>196678</vt:i4>
      </vt:variant>
      <vt:variant>
        <vt:i4>12740</vt:i4>
      </vt:variant>
      <vt:variant>
        <vt:i4>0</vt:i4>
      </vt:variant>
      <vt:variant>
        <vt:i4>5</vt:i4>
      </vt:variant>
      <vt:variant>
        <vt:lpwstr/>
      </vt:variant>
      <vt:variant>
        <vt:lpwstr>Meier2013</vt:lpwstr>
      </vt:variant>
      <vt:variant>
        <vt:i4>262170</vt:i4>
      </vt:variant>
      <vt:variant>
        <vt:i4>12737</vt:i4>
      </vt:variant>
      <vt:variant>
        <vt:i4>0</vt:i4>
      </vt:variant>
      <vt:variant>
        <vt:i4>5</vt:i4>
      </vt:variant>
      <vt:variant>
        <vt:lpwstr/>
      </vt:variant>
      <vt:variant>
        <vt:lpwstr>Mehrotra2006</vt:lpwstr>
      </vt:variant>
      <vt:variant>
        <vt:i4>7274621</vt:i4>
      </vt:variant>
      <vt:variant>
        <vt:i4>12734</vt:i4>
      </vt:variant>
      <vt:variant>
        <vt:i4>0</vt:i4>
      </vt:variant>
      <vt:variant>
        <vt:i4>5</vt:i4>
      </vt:variant>
      <vt:variant>
        <vt:lpwstr/>
      </vt:variant>
      <vt:variant>
        <vt:lpwstr>McQuay2</vt:lpwstr>
      </vt:variant>
      <vt:variant>
        <vt:i4>5439578</vt:i4>
      </vt:variant>
      <vt:variant>
        <vt:i4>12731</vt:i4>
      </vt:variant>
      <vt:variant>
        <vt:i4>0</vt:i4>
      </vt:variant>
      <vt:variant>
        <vt:i4>5</vt:i4>
      </vt:variant>
      <vt:variant>
        <vt:lpwstr>http://www.pulsus.com/clin-phi/07_04/mcle_ed.htm</vt:lpwstr>
      </vt:variant>
      <vt:variant>
        <vt:lpwstr/>
      </vt:variant>
      <vt:variant>
        <vt:i4>6815840</vt:i4>
      </vt:variant>
      <vt:variant>
        <vt:i4>12728</vt:i4>
      </vt:variant>
      <vt:variant>
        <vt:i4>0</vt:i4>
      </vt:variant>
      <vt:variant>
        <vt:i4>5</vt:i4>
      </vt:variant>
      <vt:variant>
        <vt:lpwstr/>
      </vt:variant>
      <vt:variant>
        <vt:lpwstr>McLean</vt:lpwstr>
      </vt:variant>
      <vt:variant>
        <vt:i4>7864437</vt:i4>
      </vt:variant>
      <vt:variant>
        <vt:i4>12725</vt:i4>
      </vt:variant>
      <vt:variant>
        <vt:i4>0</vt:i4>
      </vt:variant>
      <vt:variant>
        <vt:i4>5</vt:i4>
      </vt:variant>
      <vt:variant>
        <vt:lpwstr/>
      </vt:variant>
      <vt:variant>
        <vt:lpwstr>McGettigan2013</vt:lpwstr>
      </vt:variant>
      <vt:variant>
        <vt:i4>7995509</vt:i4>
      </vt:variant>
      <vt:variant>
        <vt:i4>12722</vt:i4>
      </vt:variant>
      <vt:variant>
        <vt:i4>0</vt:i4>
      </vt:variant>
      <vt:variant>
        <vt:i4>5</vt:i4>
      </vt:variant>
      <vt:variant>
        <vt:lpwstr/>
      </vt:variant>
      <vt:variant>
        <vt:lpwstr>McGettigan2011</vt:lpwstr>
      </vt:variant>
      <vt:variant>
        <vt:i4>1179673</vt:i4>
      </vt:variant>
      <vt:variant>
        <vt:i4>12719</vt:i4>
      </vt:variant>
      <vt:variant>
        <vt:i4>0</vt:i4>
      </vt:variant>
      <vt:variant>
        <vt:i4>5</vt:i4>
      </vt:variant>
      <vt:variant>
        <vt:lpwstr/>
      </vt:variant>
      <vt:variant>
        <vt:lpwstr>McCarberg</vt:lpwstr>
      </vt:variant>
      <vt:variant>
        <vt:i4>7209083</vt:i4>
      </vt:variant>
      <vt:variant>
        <vt:i4>12716</vt:i4>
      </vt:variant>
      <vt:variant>
        <vt:i4>0</vt:i4>
      </vt:variant>
      <vt:variant>
        <vt:i4>5</vt:i4>
      </vt:variant>
      <vt:variant>
        <vt:lpwstr/>
      </vt:variant>
      <vt:variant>
        <vt:lpwstr>McBeth</vt:lpwstr>
      </vt:variant>
      <vt:variant>
        <vt:i4>262167</vt:i4>
      </vt:variant>
      <vt:variant>
        <vt:i4>12713</vt:i4>
      </vt:variant>
      <vt:variant>
        <vt:i4>0</vt:i4>
      </vt:variant>
      <vt:variant>
        <vt:i4>5</vt:i4>
      </vt:variant>
      <vt:variant>
        <vt:lpwstr/>
      </vt:variant>
      <vt:variant>
        <vt:lpwstr>Mazer</vt:lpwstr>
      </vt:variant>
      <vt:variant>
        <vt:i4>851990</vt:i4>
      </vt:variant>
      <vt:variant>
        <vt:i4>12710</vt:i4>
      </vt:variant>
      <vt:variant>
        <vt:i4>0</vt:i4>
      </vt:variant>
      <vt:variant>
        <vt:i4>5</vt:i4>
      </vt:variant>
      <vt:variant>
        <vt:lpwstr/>
      </vt:variant>
      <vt:variant>
        <vt:lpwstr>Matthieu2004</vt:lpwstr>
      </vt:variant>
      <vt:variant>
        <vt:i4>196614</vt:i4>
      </vt:variant>
      <vt:variant>
        <vt:i4>12707</vt:i4>
      </vt:variant>
      <vt:variant>
        <vt:i4>0</vt:i4>
      </vt:variant>
      <vt:variant>
        <vt:i4>5</vt:i4>
      </vt:variant>
      <vt:variant>
        <vt:lpwstr/>
      </vt:variant>
      <vt:variant>
        <vt:lpwstr>Matthews</vt:lpwstr>
      </vt:variant>
      <vt:variant>
        <vt:i4>1114333</vt:i4>
      </vt:variant>
      <vt:variant>
        <vt:i4>12704</vt:i4>
      </vt:variant>
      <vt:variant>
        <vt:i4>0</vt:i4>
      </vt:variant>
      <vt:variant>
        <vt:i4>5</vt:i4>
      </vt:variant>
      <vt:variant>
        <vt:lpwstr/>
      </vt:variant>
      <vt:variant>
        <vt:lpwstr>Massó2010</vt:lpwstr>
      </vt:variant>
      <vt:variant>
        <vt:i4>7012472</vt:i4>
      </vt:variant>
      <vt:variant>
        <vt:i4>12701</vt:i4>
      </vt:variant>
      <vt:variant>
        <vt:i4>0</vt:i4>
      </vt:variant>
      <vt:variant>
        <vt:i4>5</vt:i4>
      </vt:variant>
      <vt:variant>
        <vt:lpwstr/>
      </vt:variant>
      <vt:variant>
        <vt:lpwstr>Massey2010</vt:lpwstr>
      </vt:variant>
      <vt:variant>
        <vt:i4>3866736</vt:i4>
      </vt:variant>
      <vt:variant>
        <vt:i4>12698</vt:i4>
      </vt:variant>
      <vt:variant>
        <vt:i4>0</vt:i4>
      </vt:variant>
      <vt:variant>
        <vt:i4>5</vt:i4>
      </vt:variant>
      <vt:variant>
        <vt:lpwstr/>
      </vt:variant>
      <vt:variant>
        <vt:lpwstr>Mason5</vt:lpwstr>
      </vt:variant>
      <vt:variant>
        <vt:i4>3801200</vt:i4>
      </vt:variant>
      <vt:variant>
        <vt:i4>12695</vt:i4>
      </vt:variant>
      <vt:variant>
        <vt:i4>0</vt:i4>
      </vt:variant>
      <vt:variant>
        <vt:i4>5</vt:i4>
      </vt:variant>
      <vt:variant>
        <vt:lpwstr/>
      </vt:variant>
      <vt:variant>
        <vt:lpwstr>Mason4</vt:lpwstr>
      </vt:variant>
      <vt:variant>
        <vt:i4>3997808</vt:i4>
      </vt:variant>
      <vt:variant>
        <vt:i4>12692</vt:i4>
      </vt:variant>
      <vt:variant>
        <vt:i4>0</vt:i4>
      </vt:variant>
      <vt:variant>
        <vt:i4>5</vt:i4>
      </vt:variant>
      <vt:variant>
        <vt:lpwstr/>
      </vt:variant>
      <vt:variant>
        <vt:lpwstr>Mason3</vt:lpwstr>
      </vt:variant>
      <vt:variant>
        <vt:i4>3932272</vt:i4>
      </vt:variant>
      <vt:variant>
        <vt:i4>12689</vt:i4>
      </vt:variant>
      <vt:variant>
        <vt:i4>0</vt:i4>
      </vt:variant>
      <vt:variant>
        <vt:i4>5</vt:i4>
      </vt:variant>
      <vt:variant>
        <vt:lpwstr/>
      </vt:variant>
      <vt:variant>
        <vt:lpwstr>Mason2</vt:lpwstr>
      </vt:variant>
      <vt:variant>
        <vt:i4>917534</vt:i4>
      </vt:variant>
      <vt:variant>
        <vt:i4>12686</vt:i4>
      </vt:variant>
      <vt:variant>
        <vt:i4>0</vt:i4>
      </vt:variant>
      <vt:variant>
        <vt:i4>5</vt:i4>
      </vt:variant>
      <vt:variant>
        <vt:lpwstr/>
      </vt:variant>
      <vt:variant>
        <vt:lpwstr>Mason</vt:lpwstr>
      </vt:variant>
      <vt:variant>
        <vt:i4>8061046</vt:i4>
      </vt:variant>
      <vt:variant>
        <vt:i4>12683</vt:i4>
      </vt:variant>
      <vt:variant>
        <vt:i4>0</vt:i4>
      </vt:variant>
      <vt:variant>
        <vt:i4>5</vt:i4>
      </vt:variant>
      <vt:variant>
        <vt:lpwstr/>
      </vt:variant>
      <vt:variant>
        <vt:lpwstr>Martin</vt:lpwstr>
      </vt:variant>
      <vt:variant>
        <vt:i4>6291568</vt:i4>
      </vt:variant>
      <vt:variant>
        <vt:i4>12680</vt:i4>
      </vt:variant>
      <vt:variant>
        <vt:i4>0</vt:i4>
      </vt:variant>
      <vt:variant>
        <vt:i4>5</vt:i4>
      </vt:variant>
      <vt:variant>
        <vt:lpwstr/>
      </vt:variant>
      <vt:variant>
        <vt:lpwstr>Maroon</vt:lpwstr>
      </vt:variant>
      <vt:variant>
        <vt:i4>524316</vt:i4>
      </vt:variant>
      <vt:variant>
        <vt:i4>12677</vt:i4>
      </vt:variant>
      <vt:variant>
        <vt:i4>0</vt:i4>
      </vt:variant>
      <vt:variant>
        <vt:i4>5</vt:i4>
      </vt:variant>
      <vt:variant>
        <vt:lpwstr/>
      </vt:variant>
      <vt:variant>
        <vt:lpwstr>Mark2012</vt:lpwstr>
      </vt:variant>
      <vt:variant>
        <vt:i4>262218</vt:i4>
      </vt:variant>
      <vt:variant>
        <vt:i4>12674</vt:i4>
      </vt:variant>
      <vt:variant>
        <vt:i4>0</vt:i4>
      </vt:variant>
      <vt:variant>
        <vt:i4>5</vt:i4>
      </vt:variant>
      <vt:variant>
        <vt:lpwstr/>
      </vt:variant>
      <vt:variant>
        <vt:lpwstr>Maremmani2013</vt:lpwstr>
      </vt:variant>
      <vt:variant>
        <vt:i4>1376277</vt:i4>
      </vt:variant>
      <vt:variant>
        <vt:i4>12671</vt:i4>
      </vt:variant>
      <vt:variant>
        <vt:i4>0</vt:i4>
      </vt:variant>
      <vt:variant>
        <vt:i4>5</vt:i4>
      </vt:variant>
      <vt:variant>
        <vt:lpwstr/>
      </vt:variant>
      <vt:variant>
        <vt:lpwstr>Manicourt</vt:lpwstr>
      </vt:variant>
      <vt:variant>
        <vt:i4>1114139</vt:i4>
      </vt:variant>
      <vt:variant>
        <vt:i4>12668</vt:i4>
      </vt:variant>
      <vt:variant>
        <vt:i4>0</vt:i4>
      </vt:variant>
      <vt:variant>
        <vt:i4>5</vt:i4>
      </vt:variant>
      <vt:variant>
        <vt:lpwstr/>
      </vt:variant>
      <vt:variant>
        <vt:lpwstr>Malfertheiner</vt:lpwstr>
      </vt:variant>
      <vt:variant>
        <vt:i4>6619198</vt:i4>
      </vt:variant>
      <vt:variant>
        <vt:i4>12665</vt:i4>
      </vt:variant>
      <vt:variant>
        <vt:i4>0</vt:i4>
      </vt:variant>
      <vt:variant>
        <vt:i4>5</vt:i4>
      </vt:variant>
      <vt:variant>
        <vt:lpwstr/>
      </vt:variant>
      <vt:variant>
        <vt:lpwstr>Malanga2002</vt:lpwstr>
      </vt:variant>
      <vt:variant>
        <vt:i4>6619198</vt:i4>
      </vt:variant>
      <vt:variant>
        <vt:i4>12662</vt:i4>
      </vt:variant>
      <vt:variant>
        <vt:i4>0</vt:i4>
      </vt:variant>
      <vt:variant>
        <vt:i4>5</vt:i4>
      </vt:variant>
      <vt:variant>
        <vt:lpwstr/>
      </vt:variant>
      <vt:variant>
        <vt:lpwstr>Malanga2008</vt:lpwstr>
      </vt:variant>
      <vt:variant>
        <vt:i4>6291564</vt:i4>
      </vt:variant>
      <vt:variant>
        <vt:i4>12659</vt:i4>
      </vt:variant>
      <vt:variant>
        <vt:i4>0</vt:i4>
      </vt:variant>
      <vt:variant>
        <vt:i4>5</vt:i4>
      </vt:variant>
      <vt:variant>
        <vt:lpwstr/>
      </vt:variant>
      <vt:variant>
        <vt:lpwstr>Makris2010</vt:lpwstr>
      </vt:variant>
      <vt:variant>
        <vt:i4>7798881</vt:i4>
      </vt:variant>
      <vt:variant>
        <vt:i4>12656</vt:i4>
      </vt:variant>
      <vt:variant>
        <vt:i4>0</vt:i4>
      </vt:variant>
      <vt:variant>
        <vt:i4>5</vt:i4>
      </vt:variant>
      <vt:variant>
        <vt:lpwstr/>
      </vt:variant>
      <vt:variant>
        <vt:lpwstr>Maizels</vt:lpwstr>
      </vt:variant>
      <vt:variant>
        <vt:i4>458822</vt:i4>
      </vt:variant>
      <vt:variant>
        <vt:i4>12653</vt:i4>
      </vt:variant>
      <vt:variant>
        <vt:i4>0</vt:i4>
      </vt:variant>
      <vt:variant>
        <vt:i4>5</vt:i4>
      </vt:variant>
      <vt:variant>
        <vt:lpwstr/>
      </vt:variant>
      <vt:variant>
        <vt:lpwstr>Maier2010</vt:lpwstr>
      </vt:variant>
      <vt:variant>
        <vt:i4>7274599</vt:i4>
      </vt:variant>
      <vt:variant>
        <vt:i4>12650</vt:i4>
      </vt:variant>
      <vt:variant>
        <vt:i4>0</vt:i4>
      </vt:variant>
      <vt:variant>
        <vt:i4>5</vt:i4>
      </vt:variant>
      <vt:variant>
        <vt:lpwstr/>
      </vt:variant>
      <vt:variant>
        <vt:lpwstr>Mackie</vt:lpwstr>
      </vt:variant>
      <vt:variant>
        <vt:i4>8061041</vt:i4>
      </vt:variant>
      <vt:variant>
        <vt:i4>12647</vt:i4>
      </vt:variant>
      <vt:variant>
        <vt:i4>0</vt:i4>
      </vt:variant>
      <vt:variant>
        <vt:i4>5</vt:i4>
      </vt:variant>
      <vt:variant>
        <vt:lpwstr/>
      </vt:variant>
      <vt:variant>
        <vt:lpwstr>Lyseng</vt:lpwstr>
      </vt:variant>
      <vt:variant>
        <vt:i4>2621546</vt:i4>
      </vt:variant>
      <vt:variant>
        <vt:i4>12644</vt:i4>
      </vt:variant>
      <vt:variant>
        <vt:i4>0</vt:i4>
      </vt:variant>
      <vt:variant>
        <vt:i4>5</vt:i4>
      </vt:variant>
      <vt:variant>
        <vt:lpwstr/>
      </vt:variant>
      <vt:variant>
        <vt:lpwstr>Lynch2</vt:lpwstr>
      </vt:variant>
      <vt:variant>
        <vt:i4>1703938</vt:i4>
      </vt:variant>
      <vt:variant>
        <vt:i4>12641</vt:i4>
      </vt:variant>
      <vt:variant>
        <vt:i4>0</vt:i4>
      </vt:variant>
      <vt:variant>
        <vt:i4>5</vt:i4>
      </vt:variant>
      <vt:variant>
        <vt:lpwstr/>
      </vt:variant>
      <vt:variant>
        <vt:lpwstr>Lynch</vt:lpwstr>
      </vt:variant>
      <vt:variant>
        <vt:i4>8323195</vt:i4>
      </vt:variant>
      <vt:variant>
        <vt:i4>12638</vt:i4>
      </vt:variant>
      <vt:variant>
        <vt:i4>0</vt:i4>
      </vt:variant>
      <vt:variant>
        <vt:i4>5</vt:i4>
      </vt:variant>
      <vt:variant>
        <vt:lpwstr/>
      </vt:variant>
      <vt:variant>
        <vt:lpwstr>Lorberg</vt:lpwstr>
      </vt:variant>
      <vt:variant>
        <vt:i4>7274622</vt:i4>
      </vt:variant>
      <vt:variant>
        <vt:i4>12635</vt:i4>
      </vt:variant>
      <vt:variant>
        <vt:i4>0</vt:i4>
      </vt:variant>
      <vt:variant>
        <vt:i4>5</vt:i4>
      </vt:variant>
      <vt:variant>
        <vt:lpwstr/>
      </vt:variant>
      <vt:variant>
        <vt:lpwstr>LingfordHughes2004</vt:lpwstr>
      </vt:variant>
      <vt:variant>
        <vt:i4>5963778</vt:i4>
      </vt:variant>
      <vt:variant>
        <vt:i4>12632</vt:i4>
      </vt:variant>
      <vt:variant>
        <vt:i4>0</vt:i4>
      </vt:variant>
      <vt:variant>
        <vt:i4>5</vt:i4>
      </vt:variant>
      <vt:variant>
        <vt:lpwstr/>
      </vt:variant>
      <vt:variant>
        <vt:lpwstr>Lin2</vt:lpwstr>
      </vt:variant>
      <vt:variant>
        <vt:i4>1310742</vt:i4>
      </vt:variant>
      <vt:variant>
        <vt:i4>12629</vt:i4>
      </vt:variant>
      <vt:variant>
        <vt:i4>0</vt:i4>
      </vt:variant>
      <vt:variant>
        <vt:i4>5</vt:i4>
      </vt:variant>
      <vt:variant>
        <vt:lpwstr/>
      </vt:variant>
      <vt:variant>
        <vt:lpwstr>Liebrenz2010</vt:lpwstr>
      </vt:variant>
      <vt:variant>
        <vt:i4>1245210</vt:i4>
      </vt:variant>
      <vt:variant>
        <vt:i4>12626</vt:i4>
      </vt:variant>
      <vt:variant>
        <vt:i4>0</vt:i4>
      </vt:variant>
      <vt:variant>
        <vt:i4>5</vt:i4>
      </vt:variant>
      <vt:variant>
        <vt:lpwstr/>
      </vt:variant>
      <vt:variant>
        <vt:lpwstr>LexiComp</vt:lpwstr>
      </vt:variant>
      <vt:variant>
        <vt:i4>8061048</vt:i4>
      </vt:variant>
      <vt:variant>
        <vt:i4>12623</vt:i4>
      </vt:variant>
      <vt:variant>
        <vt:i4>0</vt:i4>
      </vt:variant>
      <vt:variant>
        <vt:i4>5</vt:i4>
      </vt:variant>
      <vt:variant>
        <vt:lpwstr/>
      </vt:variant>
      <vt:variant>
        <vt:lpwstr>Levran2012</vt:lpwstr>
      </vt:variant>
      <vt:variant>
        <vt:i4>7733367</vt:i4>
      </vt:variant>
      <vt:variant>
        <vt:i4>12620</vt:i4>
      </vt:variant>
      <vt:variant>
        <vt:i4>0</vt:i4>
      </vt:variant>
      <vt:variant>
        <vt:i4>5</vt:i4>
      </vt:variant>
      <vt:variant>
        <vt:lpwstr/>
      </vt:variant>
      <vt:variant>
        <vt:lpwstr>Levendoglu</vt:lpwstr>
      </vt:variant>
      <vt:variant>
        <vt:i4>6619244</vt:i4>
      </vt:variant>
      <vt:variant>
        <vt:i4>12617</vt:i4>
      </vt:variant>
      <vt:variant>
        <vt:i4>0</vt:i4>
      </vt:variant>
      <vt:variant>
        <vt:i4>5</vt:i4>
      </vt:variant>
      <vt:variant>
        <vt:lpwstr/>
      </vt:variant>
      <vt:variant>
        <vt:lpwstr>Lee</vt:lpwstr>
      </vt:variant>
      <vt:variant>
        <vt:i4>131096</vt:i4>
      </vt:variant>
      <vt:variant>
        <vt:i4>12614</vt:i4>
      </vt:variant>
      <vt:variant>
        <vt:i4>0</vt:i4>
      </vt:variant>
      <vt:variant>
        <vt:i4>5</vt:i4>
      </vt:variant>
      <vt:variant>
        <vt:lpwstr/>
      </vt:variant>
      <vt:variant>
        <vt:lpwstr>Lederman2011</vt:lpwstr>
      </vt:variant>
      <vt:variant>
        <vt:i4>7929965</vt:i4>
      </vt:variant>
      <vt:variant>
        <vt:i4>12611</vt:i4>
      </vt:variant>
      <vt:variant>
        <vt:i4>0</vt:i4>
      </vt:variant>
      <vt:variant>
        <vt:i4>5</vt:i4>
      </vt:variant>
      <vt:variant>
        <vt:lpwstr/>
      </vt:variant>
      <vt:variant>
        <vt:lpwstr>Lechat2010</vt:lpwstr>
      </vt:variant>
      <vt:variant>
        <vt:i4>327767</vt:i4>
      </vt:variant>
      <vt:variant>
        <vt:i4>12608</vt:i4>
      </vt:variant>
      <vt:variant>
        <vt:i4>0</vt:i4>
      </vt:variant>
      <vt:variant>
        <vt:i4>5</vt:i4>
      </vt:variant>
      <vt:variant>
        <vt:lpwstr/>
      </vt:variant>
      <vt:variant>
        <vt:lpwstr>Lange2010</vt:lpwstr>
      </vt:variant>
      <vt:variant>
        <vt:i4>393291</vt:i4>
      </vt:variant>
      <vt:variant>
        <vt:i4>12605</vt:i4>
      </vt:variant>
      <vt:variant>
        <vt:i4>0</vt:i4>
      </vt:variant>
      <vt:variant>
        <vt:i4>5</vt:i4>
      </vt:variant>
      <vt:variant>
        <vt:lpwstr/>
      </vt:variant>
      <vt:variant>
        <vt:lpwstr>Landy2011</vt:lpwstr>
      </vt:variant>
      <vt:variant>
        <vt:i4>2</vt:i4>
      </vt:variant>
      <vt:variant>
        <vt:i4>12602</vt:i4>
      </vt:variant>
      <vt:variant>
        <vt:i4>0</vt:i4>
      </vt:variant>
      <vt:variant>
        <vt:i4>5</vt:i4>
      </vt:variant>
      <vt:variant>
        <vt:lpwstr/>
      </vt:variant>
      <vt:variant>
        <vt:lpwstr>Lanas</vt:lpwstr>
      </vt:variant>
      <vt:variant>
        <vt:i4>262151</vt:i4>
      </vt:variant>
      <vt:variant>
        <vt:i4>12599</vt:i4>
      </vt:variant>
      <vt:variant>
        <vt:i4>0</vt:i4>
      </vt:variant>
      <vt:variant>
        <vt:i4>5</vt:i4>
      </vt:variant>
      <vt:variant>
        <vt:lpwstr/>
      </vt:variant>
      <vt:variant>
        <vt:lpwstr>Lake</vt:lpwstr>
      </vt:variant>
      <vt:variant>
        <vt:i4>7077992</vt:i4>
      </vt:variant>
      <vt:variant>
        <vt:i4>12596</vt:i4>
      </vt:variant>
      <vt:variant>
        <vt:i4>0</vt:i4>
      </vt:variant>
      <vt:variant>
        <vt:i4>5</vt:i4>
      </vt:variant>
      <vt:variant>
        <vt:lpwstr/>
      </vt:variant>
      <vt:variant>
        <vt:lpwstr>Laine2008a</vt:lpwstr>
      </vt:variant>
      <vt:variant>
        <vt:i4>852048</vt:i4>
      </vt:variant>
      <vt:variant>
        <vt:i4>12593</vt:i4>
      </vt:variant>
      <vt:variant>
        <vt:i4>0</vt:i4>
      </vt:variant>
      <vt:variant>
        <vt:i4>5</vt:i4>
      </vt:variant>
      <vt:variant>
        <vt:lpwstr/>
      </vt:variant>
      <vt:variant>
        <vt:lpwstr>Laine2008</vt:lpwstr>
      </vt:variant>
      <vt:variant>
        <vt:i4>852048</vt:i4>
      </vt:variant>
      <vt:variant>
        <vt:i4>12590</vt:i4>
      </vt:variant>
      <vt:variant>
        <vt:i4>0</vt:i4>
      </vt:variant>
      <vt:variant>
        <vt:i4>5</vt:i4>
      </vt:variant>
      <vt:variant>
        <vt:lpwstr/>
      </vt:variant>
      <vt:variant>
        <vt:lpwstr>Laine2006</vt:lpwstr>
      </vt:variant>
      <vt:variant>
        <vt:i4>852048</vt:i4>
      </vt:variant>
      <vt:variant>
        <vt:i4>12587</vt:i4>
      </vt:variant>
      <vt:variant>
        <vt:i4>0</vt:i4>
      </vt:variant>
      <vt:variant>
        <vt:i4>5</vt:i4>
      </vt:variant>
      <vt:variant>
        <vt:lpwstr/>
      </vt:variant>
      <vt:variant>
        <vt:lpwstr>Laine2007</vt:lpwstr>
      </vt:variant>
      <vt:variant>
        <vt:i4>262152</vt:i4>
      </vt:variant>
      <vt:variant>
        <vt:i4>12584</vt:i4>
      </vt:variant>
      <vt:variant>
        <vt:i4>0</vt:i4>
      </vt:variant>
      <vt:variant>
        <vt:i4>5</vt:i4>
      </vt:variant>
      <vt:variant>
        <vt:lpwstr/>
      </vt:variant>
      <vt:variant>
        <vt:lpwstr>Lader</vt:lpwstr>
      </vt:variant>
      <vt:variant>
        <vt:i4>2949236</vt:i4>
      </vt:variant>
      <vt:variant>
        <vt:i4>12581</vt:i4>
      </vt:variant>
      <vt:variant>
        <vt:i4>0</vt:i4>
      </vt:variant>
      <vt:variant>
        <vt:i4>5</vt:i4>
      </vt:variant>
      <vt:variant>
        <vt:lpwstr/>
      </vt:variant>
      <vt:variant>
        <vt:lpwstr>Kumar9</vt:lpwstr>
      </vt:variant>
      <vt:variant>
        <vt:i4>7733347</vt:i4>
      </vt:variant>
      <vt:variant>
        <vt:i4>12578</vt:i4>
      </vt:variant>
      <vt:variant>
        <vt:i4>0</vt:i4>
      </vt:variant>
      <vt:variant>
        <vt:i4>5</vt:i4>
      </vt:variant>
      <vt:variant>
        <vt:lpwstr/>
      </vt:variant>
      <vt:variant>
        <vt:lpwstr>Kuffner</vt:lpwstr>
      </vt:variant>
      <vt:variant>
        <vt:i4>1966157</vt:i4>
      </vt:variant>
      <vt:variant>
        <vt:i4>12575</vt:i4>
      </vt:variant>
      <vt:variant>
        <vt:i4>0</vt:i4>
      </vt:variant>
      <vt:variant>
        <vt:i4>5</vt:i4>
      </vt:variant>
      <vt:variant>
        <vt:lpwstr/>
      </vt:variant>
      <vt:variant>
        <vt:lpwstr>Krupitsky2011</vt:lpwstr>
      </vt:variant>
      <vt:variant>
        <vt:i4>1966157</vt:i4>
      </vt:variant>
      <vt:variant>
        <vt:i4>12572</vt:i4>
      </vt:variant>
      <vt:variant>
        <vt:i4>0</vt:i4>
      </vt:variant>
      <vt:variant>
        <vt:i4>5</vt:i4>
      </vt:variant>
      <vt:variant>
        <vt:lpwstr/>
      </vt:variant>
      <vt:variant>
        <vt:lpwstr>Krupitsky2010</vt:lpwstr>
      </vt:variant>
      <vt:variant>
        <vt:i4>7995507</vt:i4>
      </vt:variant>
      <vt:variant>
        <vt:i4>12569</vt:i4>
      </vt:variant>
      <vt:variant>
        <vt:i4>0</vt:i4>
      </vt:variant>
      <vt:variant>
        <vt:i4>5</vt:i4>
      </vt:variant>
      <vt:variant>
        <vt:lpwstr/>
      </vt:variant>
      <vt:variant>
        <vt:lpwstr>Krummel</vt:lpwstr>
      </vt:variant>
      <vt:variant>
        <vt:i4>6619242</vt:i4>
      </vt:variant>
      <vt:variant>
        <vt:i4>12566</vt:i4>
      </vt:variant>
      <vt:variant>
        <vt:i4>0</vt:i4>
      </vt:variant>
      <vt:variant>
        <vt:i4>5</vt:i4>
      </vt:variant>
      <vt:variant>
        <vt:lpwstr/>
      </vt:variant>
      <vt:variant>
        <vt:lpwstr>Kripke2012</vt:lpwstr>
      </vt:variant>
      <vt:variant>
        <vt:i4>7274620</vt:i4>
      </vt:variant>
      <vt:variant>
        <vt:i4>12563</vt:i4>
      </vt:variant>
      <vt:variant>
        <vt:i4>0</vt:i4>
      </vt:variant>
      <vt:variant>
        <vt:i4>5</vt:i4>
      </vt:variant>
      <vt:variant>
        <vt:lpwstr/>
      </vt:variant>
      <vt:variant>
        <vt:lpwstr>Krantz2009</vt:lpwstr>
      </vt:variant>
      <vt:variant>
        <vt:i4>1310747</vt:i4>
      </vt:variant>
      <vt:variant>
        <vt:i4>12560</vt:i4>
      </vt:variant>
      <vt:variant>
        <vt:i4>0</vt:i4>
      </vt:variant>
      <vt:variant>
        <vt:i4>5</vt:i4>
      </vt:variant>
      <vt:variant>
        <vt:lpwstr/>
      </vt:variant>
      <vt:variant>
        <vt:lpwstr>Kowalski</vt:lpwstr>
      </vt:variant>
      <vt:variant>
        <vt:i4>1310745</vt:i4>
      </vt:variant>
      <vt:variant>
        <vt:i4>12557</vt:i4>
      </vt:variant>
      <vt:variant>
        <vt:i4>0</vt:i4>
      </vt:variant>
      <vt:variant>
        <vt:i4>5</vt:i4>
      </vt:variant>
      <vt:variant>
        <vt:lpwstr/>
      </vt:variant>
      <vt:variant>
        <vt:lpwstr>Knotkova</vt:lpwstr>
      </vt:variant>
      <vt:variant>
        <vt:i4>1638418</vt:i4>
      </vt:variant>
      <vt:variant>
        <vt:i4>12554</vt:i4>
      </vt:variant>
      <vt:variant>
        <vt:i4>0</vt:i4>
      </vt:variant>
      <vt:variant>
        <vt:i4>5</vt:i4>
      </vt:variant>
      <vt:variant>
        <vt:lpwstr/>
      </vt:variant>
      <vt:variant>
        <vt:lpwstr>Kienzler2010</vt:lpwstr>
      </vt:variant>
      <vt:variant>
        <vt:i4>7667811</vt:i4>
      </vt:variant>
      <vt:variant>
        <vt:i4>12551</vt:i4>
      </vt:variant>
      <vt:variant>
        <vt:i4>0</vt:i4>
      </vt:variant>
      <vt:variant>
        <vt:i4>5</vt:i4>
      </vt:variant>
      <vt:variant>
        <vt:lpwstr/>
      </vt:variant>
      <vt:variant>
        <vt:lpwstr>Khaliq</vt:lpwstr>
      </vt:variant>
      <vt:variant>
        <vt:i4>8192103</vt:i4>
      </vt:variant>
      <vt:variant>
        <vt:i4>12548</vt:i4>
      </vt:variant>
      <vt:variant>
        <vt:i4>0</vt:i4>
      </vt:variant>
      <vt:variant>
        <vt:i4>5</vt:i4>
      </vt:variant>
      <vt:variant>
        <vt:lpwstr/>
      </vt:variant>
      <vt:variant>
        <vt:lpwstr>Keitel</vt:lpwstr>
      </vt:variant>
      <vt:variant>
        <vt:i4>1769503</vt:i4>
      </vt:variant>
      <vt:variant>
        <vt:i4>12545</vt:i4>
      </vt:variant>
      <vt:variant>
        <vt:i4>0</vt:i4>
      </vt:variant>
      <vt:variant>
        <vt:i4>5</vt:i4>
      </vt:variant>
      <vt:variant>
        <vt:lpwstr/>
      </vt:variant>
      <vt:variant>
        <vt:lpwstr>Katz</vt:lpwstr>
      </vt:variant>
      <vt:variant>
        <vt:i4>7405668</vt:i4>
      </vt:variant>
      <vt:variant>
        <vt:i4>12542</vt:i4>
      </vt:variant>
      <vt:variant>
        <vt:i4>0</vt:i4>
      </vt:variant>
      <vt:variant>
        <vt:i4>5</vt:i4>
      </vt:variant>
      <vt:variant>
        <vt:lpwstr/>
      </vt:variant>
      <vt:variant>
        <vt:lpwstr>Kapczinski</vt:lpwstr>
      </vt:variant>
      <vt:variant>
        <vt:i4>3</vt:i4>
      </vt:variant>
      <vt:variant>
        <vt:i4>12539</vt:i4>
      </vt:variant>
      <vt:variant>
        <vt:i4>0</vt:i4>
      </vt:variant>
      <vt:variant>
        <vt:i4>5</vt:i4>
      </vt:variant>
      <vt:variant>
        <vt:lpwstr/>
      </vt:variant>
      <vt:variant>
        <vt:lpwstr>Kahan</vt:lpwstr>
      </vt:variant>
      <vt:variant>
        <vt:i4>6553713</vt:i4>
      </vt:variant>
      <vt:variant>
        <vt:i4>12536</vt:i4>
      </vt:variant>
      <vt:variant>
        <vt:i4>0</vt:i4>
      </vt:variant>
      <vt:variant>
        <vt:i4>5</vt:i4>
      </vt:variant>
      <vt:variant>
        <vt:lpwstr/>
      </vt:variant>
      <vt:variant>
        <vt:lpwstr>Johnsen</vt:lpwstr>
      </vt:variant>
      <vt:variant>
        <vt:i4>131081</vt:i4>
      </vt:variant>
      <vt:variant>
        <vt:i4>12533</vt:i4>
      </vt:variant>
      <vt:variant>
        <vt:i4>0</vt:i4>
      </vt:variant>
      <vt:variant>
        <vt:i4>5</vt:i4>
      </vt:variant>
      <vt:variant>
        <vt:lpwstr/>
      </vt:variant>
      <vt:variant>
        <vt:lpwstr>Jick</vt:lpwstr>
      </vt:variant>
      <vt:variant>
        <vt:i4>8257635</vt:i4>
      </vt:variant>
      <vt:variant>
        <vt:i4>12530</vt:i4>
      </vt:variant>
      <vt:variant>
        <vt:i4>0</vt:i4>
      </vt:variant>
      <vt:variant>
        <vt:i4>5</vt:i4>
      </vt:variant>
      <vt:variant>
        <vt:lpwstr/>
      </vt:variant>
      <vt:variant>
        <vt:lpwstr>Jensen2006</vt:lpwstr>
      </vt:variant>
      <vt:variant>
        <vt:i4>262166</vt:i4>
      </vt:variant>
      <vt:variant>
        <vt:i4>12527</vt:i4>
      </vt:variant>
      <vt:variant>
        <vt:i4>0</vt:i4>
      </vt:variant>
      <vt:variant>
        <vt:i4>5</vt:i4>
      </vt:variant>
      <vt:variant>
        <vt:lpwstr/>
      </vt:variant>
      <vt:variant>
        <vt:lpwstr>JACKSON2012b</vt:lpwstr>
      </vt:variant>
      <vt:variant>
        <vt:i4>458758</vt:i4>
      </vt:variant>
      <vt:variant>
        <vt:i4>12524</vt:i4>
      </vt:variant>
      <vt:variant>
        <vt:i4>0</vt:i4>
      </vt:variant>
      <vt:variant>
        <vt:i4>5</vt:i4>
      </vt:variant>
      <vt:variant>
        <vt:lpwstr/>
      </vt:variant>
      <vt:variant>
        <vt:lpwstr>IsidoriB</vt:lpwstr>
      </vt:variant>
      <vt:variant>
        <vt:i4>6619247</vt:i4>
      </vt:variant>
      <vt:variant>
        <vt:i4>12521</vt:i4>
      </vt:variant>
      <vt:variant>
        <vt:i4>0</vt:i4>
      </vt:variant>
      <vt:variant>
        <vt:i4>5</vt:i4>
      </vt:variant>
      <vt:variant>
        <vt:lpwstr/>
      </vt:variant>
      <vt:variant>
        <vt:lpwstr>Isidori</vt:lpwstr>
      </vt:variant>
      <vt:variant>
        <vt:i4>1376282</vt:i4>
      </vt:variant>
      <vt:variant>
        <vt:i4>12518</vt:i4>
      </vt:variant>
      <vt:variant>
        <vt:i4>0</vt:i4>
      </vt:variant>
      <vt:variant>
        <vt:i4>5</vt:i4>
      </vt:variant>
      <vt:variant>
        <vt:lpwstr/>
      </vt:variant>
      <vt:variant>
        <vt:lpwstr>Ipser</vt:lpwstr>
      </vt:variant>
      <vt:variant>
        <vt:i4>196632</vt:i4>
      </vt:variant>
      <vt:variant>
        <vt:i4>12515</vt:i4>
      </vt:variant>
      <vt:variant>
        <vt:i4>0</vt:i4>
      </vt:variant>
      <vt:variant>
        <vt:i4>5</vt:i4>
      </vt:variant>
      <vt:variant>
        <vt:lpwstr/>
      </vt:variant>
      <vt:variant>
        <vt:lpwstr>ICSI2009</vt:lpwstr>
      </vt:variant>
      <vt:variant>
        <vt:i4>851992</vt:i4>
      </vt:variant>
      <vt:variant>
        <vt:i4>12512</vt:i4>
      </vt:variant>
      <vt:variant>
        <vt:i4>0</vt:i4>
      </vt:variant>
      <vt:variant>
        <vt:i4>5</vt:i4>
      </vt:variant>
      <vt:variant>
        <vt:lpwstr/>
      </vt:variant>
      <vt:variant>
        <vt:lpwstr>ICSI2007</vt:lpwstr>
      </vt:variant>
      <vt:variant>
        <vt:i4>65542</vt:i4>
      </vt:variant>
      <vt:variant>
        <vt:i4>12509</vt:i4>
      </vt:variant>
      <vt:variant>
        <vt:i4>0</vt:i4>
      </vt:variant>
      <vt:variant>
        <vt:i4>5</vt:i4>
      </vt:variant>
      <vt:variant>
        <vt:lpwstr/>
      </vt:variant>
      <vt:variant>
        <vt:lpwstr>Hunt</vt:lpwstr>
      </vt:variant>
      <vt:variant>
        <vt:i4>327761</vt:i4>
      </vt:variant>
      <vt:variant>
        <vt:i4>12506</vt:i4>
      </vt:variant>
      <vt:variant>
        <vt:i4>0</vt:i4>
      </vt:variant>
      <vt:variant>
        <vt:i4>5</vt:i4>
      </vt:variant>
      <vt:variant>
        <vt:lpwstr/>
      </vt:variant>
      <vt:variant>
        <vt:lpwstr>Honig2012</vt:lpwstr>
      </vt:variant>
      <vt:variant>
        <vt:i4>393221</vt:i4>
      </vt:variant>
      <vt:variant>
        <vt:i4>12503</vt:i4>
      </vt:variant>
      <vt:variant>
        <vt:i4>0</vt:i4>
      </vt:variant>
      <vt:variant>
        <vt:i4>5</vt:i4>
      </vt:variant>
      <vt:variant>
        <vt:lpwstr/>
      </vt:variant>
      <vt:variant>
        <vt:lpwstr>Homik</vt:lpwstr>
      </vt:variant>
      <vt:variant>
        <vt:i4>589849</vt:i4>
      </vt:variant>
      <vt:variant>
        <vt:i4>12500</vt:i4>
      </vt:variant>
      <vt:variant>
        <vt:i4>0</vt:i4>
      </vt:variant>
      <vt:variant>
        <vt:i4>5</vt:i4>
      </vt:variant>
      <vt:variant>
        <vt:lpwstr/>
      </vt:variant>
      <vt:variant>
        <vt:lpwstr>Holbrook</vt:lpwstr>
      </vt:variant>
      <vt:variant>
        <vt:i4>6815843</vt:i4>
      </vt:variant>
      <vt:variant>
        <vt:i4>12497</vt:i4>
      </vt:variant>
      <vt:variant>
        <vt:i4>0</vt:i4>
      </vt:variant>
      <vt:variant>
        <vt:i4>5</vt:i4>
      </vt:variant>
      <vt:variant>
        <vt:lpwstr/>
      </vt:variant>
      <vt:variant>
        <vt:lpwstr>Hoffman</vt:lpwstr>
      </vt:variant>
      <vt:variant>
        <vt:i4>14942325</vt:i4>
      </vt:variant>
      <vt:variant>
        <vt:i4>12494</vt:i4>
      </vt:variant>
      <vt:variant>
        <vt:i4>0</vt:i4>
      </vt:variant>
      <vt:variant>
        <vt:i4>5</vt:i4>
      </vt:variant>
      <vt:variant>
        <vt:lpwstr/>
      </vt:variant>
      <vt:variant>
        <vt:lpwstr>Hindsén</vt:lpwstr>
      </vt:variant>
      <vt:variant>
        <vt:i4>786436</vt:i4>
      </vt:variant>
      <vt:variant>
        <vt:i4>12491</vt:i4>
      </vt:variant>
      <vt:variant>
        <vt:i4>0</vt:i4>
      </vt:variant>
      <vt:variant>
        <vt:i4>5</vt:i4>
      </vt:variant>
      <vt:variant>
        <vt:lpwstr/>
      </vt:variant>
      <vt:variant>
        <vt:lpwstr>Helin</vt:lpwstr>
      </vt:variant>
      <vt:variant>
        <vt:i4>7405673</vt:i4>
      </vt:variant>
      <vt:variant>
        <vt:i4>12488</vt:i4>
      </vt:variant>
      <vt:variant>
        <vt:i4>0</vt:i4>
      </vt:variant>
      <vt:variant>
        <vt:i4>5</vt:i4>
      </vt:variant>
      <vt:variant>
        <vt:lpwstr/>
      </vt:variant>
      <vt:variant>
        <vt:lpwstr>Hedges</vt:lpwstr>
      </vt:variant>
      <vt:variant>
        <vt:i4>6619238</vt:i4>
      </vt:variant>
      <vt:variant>
        <vt:i4>12485</vt:i4>
      </vt:variant>
      <vt:variant>
        <vt:i4>0</vt:i4>
      </vt:variant>
      <vt:variant>
        <vt:i4>5</vt:i4>
      </vt:variant>
      <vt:variant>
        <vt:lpwstr/>
      </vt:variant>
      <vt:variant>
        <vt:lpwstr>Heacock</vt:lpwstr>
      </vt:variant>
      <vt:variant>
        <vt:i4>6488187</vt:i4>
      </vt:variant>
      <vt:variant>
        <vt:i4>12482</vt:i4>
      </vt:variant>
      <vt:variant>
        <vt:i4>0</vt:i4>
      </vt:variant>
      <vt:variant>
        <vt:i4>5</vt:i4>
      </vt:variant>
      <vt:variant>
        <vt:lpwstr/>
      </vt:variant>
      <vt:variant>
        <vt:lpwstr>Hauser2013</vt:lpwstr>
      </vt:variant>
      <vt:variant>
        <vt:i4>5767175</vt:i4>
      </vt:variant>
      <vt:variant>
        <vt:i4>12479</vt:i4>
      </vt:variant>
      <vt:variant>
        <vt:i4>0</vt:i4>
      </vt:variant>
      <vt:variant>
        <vt:i4>5</vt:i4>
      </vt:variant>
      <vt:variant>
        <vt:lpwstr/>
      </vt:variant>
      <vt:variant>
        <vt:lpwstr>Hassenbusch2</vt:lpwstr>
      </vt:variant>
      <vt:variant>
        <vt:i4>1966089</vt:i4>
      </vt:variant>
      <vt:variant>
        <vt:i4>12476</vt:i4>
      </vt:variant>
      <vt:variant>
        <vt:i4>0</vt:i4>
      </vt:variant>
      <vt:variant>
        <vt:i4>5</vt:i4>
      </vt:variant>
      <vt:variant>
        <vt:lpwstr/>
      </vt:variant>
      <vt:variant>
        <vt:lpwstr>Hartrick2009</vt:lpwstr>
      </vt:variant>
      <vt:variant>
        <vt:i4>524298</vt:i4>
      </vt:variant>
      <vt:variant>
        <vt:i4>12473</vt:i4>
      </vt:variant>
      <vt:variant>
        <vt:i4>0</vt:i4>
      </vt:variant>
      <vt:variant>
        <vt:i4>5</vt:i4>
      </vt:variant>
      <vt:variant>
        <vt:lpwstr/>
      </vt:variant>
      <vt:variant>
        <vt:lpwstr>Haroutiunian2010</vt:lpwstr>
      </vt:variant>
      <vt:variant>
        <vt:i4>7667836</vt:i4>
      </vt:variant>
      <vt:variant>
        <vt:i4>12470</vt:i4>
      </vt:variant>
      <vt:variant>
        <vt:i4>0</vt:i4>
      </vt:variant>
      <vt:variant>
        <vt:i4>5</vt:i4>
      </vt:variant>
      <vt:variant>
        <vt:lpwstr/>
      </vt:variant>
      <vt:variant>
        <vt:lpwstr>Harley2011</vt:lpwstr>
      </vt:variant>
      <vt:variant>
        <vt:i4>393299</vt:i4>
      </vt:variant>
      <vt:variant>
        <vt:i4>12467</vt:i4>
      </vt:variant>
      <vt:variant>
        <vt:i4>0</vt:i4>
      </vt:variant>
      <vt:variant>
        <vt:i4>5</vt:i4>
      </vt:variant>
      <vt:variant>
        <vt:lpwstr/>
      </vt:variant>
      <vt:variant>
        <vt:lpwstr>Hardy2012</vt:lpwstr>
      </vt:variant>
      <vt:variant>
        <vt:i4>24</vt:i4>
      </vt:variant>
      <vt:variant>
        <vt:i4>12464</vt:i4>
      </vt:variant>
      <vt:variant>
        <vt:i4>0</vt:i4>
      </vt:variant>
      <vt:variant>
        <vt:i4>5</vt:i4>
      </vt:variant>
      <vt:variant>
        <vt:lpwstr/>
      </vt:variant>
      <vt:variant>
        <vt:lpwstr>Halvorsen</vt:lpwstr>
      </vt:variant>
      <vt:variant>
        <vt:i4>851974</vt:i4>
      </vt:variant>
      <vt:variant>
        <vt:i4>12461</vt:i4>
      </vt:variant>
      <vt:variant>
        <vt:i4>0</vt:i4>
      </vt:variant>
      <vt:variant>
        <vt:i4>5</vt:i4>
      </vt:variant>
      <vt:variant>
        <vt:lpwstr/>
      </vt:variant>
      <vt:variant>
        <vt:lpwstr>Hale2009</vt:lpwstr>
      </vt:variant>
      <vt:variant>
        <vt:i4>4</vt:i4>
      </vt:variant>
      <vt:variant>
        <vt:i4>12458</vt:i4>
      </vt:variant>
      <vt:variant>
        <vt:i4>0</vt:i4>
      </vt:variant>
      <vt:variant>
        <vt:i4>5</vt:i4>
      </vt:variant>
      <vt:variant>
        <vt:lpwstr/>
      </vt:variant>
      <vt:variant>
        <vt:lpwstr>Halas</vt:lpwstr>
      </vt:variant>
      <vt:variant>
        <vt:i4>6357101</vt:i4>
      </vt:variant>
      <vt:variant>
        <vt:i4>12455</vt:i4>
      </vt:variant>
      <vt:variant>
        <vt:i4>0</vt:i4>
      </vt:variant>
      <vt:variant>
        <vt:i4>5</vt:i4>
      </vt:variant>
      <vt:variant>
        <vt:lpwstr/>
      </vt:variant>
      <vt:variant>
        <vt:lpwstr>Haddad</vt:lpwstr>
      </vt:variant>
      <vt:variant>
        <vt:i4>9633813</vt:i4>
      </vt:variant>
      <vt:variant>
        <vt:i4>12452</vt:i4>
      </vt:variant>
      <vt:variant>
        <vt:i4>0</vt:i4>
      </vt:variant>
      <vt:variant>
        <vt:i4>5</vt:i4>
      </vt:variant>
      <vt:variant>
        <vt:lpwstr/>
      </vt:variant>
      <vt:variant>
        <vt:lpwstr>Gürol</vt:lpwstr>
      </vt:variant>
      <vt:variant>
        <vt:i4>1376279</vt:i4>
      </vt:variant>
      <vt:variant>
        <vt:i4>12449</vt:i4>
      </vt:variant>
      <vt:variant>
        <vt:i4>0</vt:i4>
      </vt:variant>
      <vt:variant>
        <vt:i4>5</vt:i4>
      </vt:variant>
      <vt:variant>
        <vt:lpwstr/>
      </vt:variant>
      <vt:variant>
        <vt:lpwstr>Guillaume</vt:lpwstr>
      </vt:variant>
      <vt:variant>
        <vt:i4>786438</vt:i4>
      </vt:variant>
      <vt:variant>
        <vt:i4>12446</vt:i4>
      </vt:variant>
      <vt:variant>
        <vt:i4>0</vt:i4>
      </vt:variant>
      <vt:variant>
        <vt:i4>5</vt:i4>
      </vt:variant>
      <vt:variant>
        <vt:lpwstr/>
      </vt:variant>
      <vt:variant>
        <vt:lpwstr>Guay</vt:lpwstr>
      </vt:variant>
      <vt:variant>
        <vt:i4>1441808</vt:i4>
      </vt:variant>
      <vt:variant>
        <vt:i4>12443</vt:i4>
      </vt:variant>
      <vt:variant>
        <vt:i4>0</vt:i4>
      </vt:variant>
      <vt:variant>
        <vt:i4>5</vt:i4>
      </vt:variant>
      <vt:variant>
        <vt:lpwstr/>
      </vt:variant>
      <vt:variant>
        <vt:lpwstr>GrasMiralles</vt:lpwstr>
      </vt:variant>
      <vt:variant>
        <vt:i4>7602238</vt:i4>
      </vt:variant>
      <vt:variant>
        <vt:i4>12440</vt:i4>
      </vt:variant>
      <vt:variant>
        <vt:i4>0</vt:i4>
      </vt:variant>
      <vt:variant>
        <vt:i4>5</vt:i4>
      </vt:variant>
      <vt:variant>
        <vt:lpwstr/>
      </vt:variant>
      <vt:variant>
        <vt:lpwstr>Gourlay1997</vt:lpwstr>
      </vt:variant>
      <vt:variant>
        <vt:i4>655381</vt:i4>
      </vt:variant>
      <vt:variant>
        <vt:i4>12437</vt:i4>
      </vt:variant>
      <vt:variant>
        <vt:i4>0</vt:i4>
      </vt:variant>
      <vt:variant>
        <vt:i4>5</vt:i4>
      </vt:variant>
      <vt:variant>
        <vt:lpwstr/>
      </vt:variant>
      <vt:variant>
        <vt:lpwstr>Gore</vt:lpwstr>
      </vt:variant>
      <vt:variant>
        <vt:i4>6750334</vt:i4>
      </vt:variant>
      <vt:variant>
        <vt:i4>12434</vt:i4>
      </vt:variant>
      <vt:variant>
        <vt:i4>0</vt:i4>
      </vt:variant>
      <vt:variant>
        <vt:i4>5</vt:i4>
      </vt:variant>
      <vt:variant>
        <vt:lpwstr/>
      </vt:variant>
      <vt:variant>
        <vt:lpwstr>Goldenberg2</vt:lpwstr>
      </vt:variant>
      <vt:variant>
        <vt:i4>6750334</vt:i4>
      </vt:variant>
      <vt:variant>
        <vt:i4>12431</vt:i4>
      </vt:variant>
      <vt:variant>
        <vt:i4>0</vt:i4>
      </vt:variant>
      <vt:variant>
        <vt:i4>5</vt:i4>
      </vt:variant>
      <vt:variant>
        <vt:lpwstr/>
      </vt:variant>
      <vt:variant>
        <vt:lpwstr>Goldenberg</vt:lpwstr>
      </vt:variant>
      <vt:variant>
        <vt:i4>720907</vt:i4>
      </vt:variant>
      <vt:variant>
        <vt:i4>12428</vt:i4>
      </vt:variant>
      <vt:variant>
        <vt:i4>0</vt:i4>
      </vt:variant>
      <vt:variant>
        <vt:i4>5</vt:i4>
      </vt:variant>
      <vt:variant>
        <vt:lpwstr/>
      </vt:variant>
      <vt:variant>
        <vt:lpwstr>Gold</vt:lpwstr>
      </vt:variant>
      <vt:variant>
        <vt:i4>7405695</vt:i4>
      </vt:variant>
      <vt:variant>
        <vt:i4>12425</vt:i4>
      </vt:variant>
      <vt:variant>
        <vt:i4>0</vt:i4>
      </vt:variant>
      <vt:variant>
        <vt:i4>5</vt:i4>
      </vt:variant>
      <vt:variant>
        <vt:lpwstr/>
      </vt:variant>
      <vt:variant>
        <vt:lpwstr>Gitlow2013</vt:lpwstr>
      </vt:variant>
      <vt:variant>
        <vt:i4>6750319</vt:i4>
      </vt:variant>
      <vt:variant>
        <vt:i4>12422</vt:i4>
      </vt:variant>
      <vt:variant>
        <vt:i4>0</vt:i4>
      </vt:variant>
      <vt:variant>
        <vt:i4>5</vt:i4>
      </vt:variant>
      <vt:variant>
        <vt:lpwstr/>
      </vt:variant>
      <vt:variant>
        <vt:lpwstr>Gimbel</vt:lpwstr>
      </vt:variant>
      <vt:variant>
        <vt:i4>7471206</vt:i4>
      </vt:variant>
      <vt:variant>
        <vt:i4>12419</vt:i4>
      </vt:variant>
      <vt:variant>
        <vt:i4>0</vt:i4>
      </vt:variant>
      <vt:variant>
        <vt:i4>5</vt:i4>
      </vt:variant>
      <vt:variant>
        <vt:lpwstr/>
      </vt:variant>
      <vt:variant>
        <vt:lpwstr>Gilron2007</vt:lpwstr>
      </vt:variant>
      <vt:variant>
        <vt:i4>7536742</vt:i4>
      </vt:variant>
      <vt:variant>
        <vt:i4>12416</vt:i4>
      </vt:variant>
      <vt:variant>
        <vt:i4>0</vt:i4>
      </vt:variant>
      <vt:variant>
        <vt:i4>5</vt:i4>
      </vt:variant>
      <vt:variant>
        <vt:lpwstr/>
      </vt:variant>
      <vt:variant>
        <vt:lpwstr>Gilron2006</vt:lpwstr>
      </vt:variant>
      <vt:variant>
        <vt:i4>7667812</vt:i4>
      </vt:variant>
      <vt:variant>
        <vt:i4>12413</vt:i4>
      </vt:variant>
      <vt:variant>
        <vt:i4>0</vt:i4>
      </vt:variant>
      <vt:variant>
        <vt:i4>5</vt:i4>
      </vt:variant>
      <vt:variant>
        <vt:lpwstr/>
      </vt:variant>
      <vt:variant>
        <vt:lpwstr>Gilron</vt:lpwstr>
      </vt:variant>
      <vt:variant>
        <vt:i4>8061024</vt:i4>
      </vt:variant>
      <vt:variant>
        <vt:i4>12410</vt:i4>
      </vt:variant>
      <vt:variant>
        <vt:i4>0</vt:i4>
      </vt:variant>
      <vt:variant>
        <vt:i4>5</vt:i4>
      </vt:variant>
      <vt:variant>
        <vt:lpwstr/>
      </vt:variant>
      <vt:variant>
        <vt:lpwstr>Gijsman</vt:lpwstr>
      </vt:variant>
      <vt:variant>
        <vt:i4>6488312</vt:i4>
      </vt:variant>
      <vt:variant>
        <vt:i4>12407</vt:i4>
      </vt:variant>
      <vt:variant>
        <vt:i4>0</vt:i4>
      </vt:variant>
      <vt:variant>
        <vt:i4>5</vt:i4>
      </vt:variant>
      <vt:variant>
        <vt:lpwstr/>
      </vt:variant>
      <vt:variant>
        <vt:lpwstr>García</vt:lpwstr>
      </vt:variant>
      <vt:variant>
        <vt:i4>6488177</vt:i4>
      </vt:variant>
      <vt:variant>
        <vt:i4>12404</vt:i4>
      </vt:variant>
      <vt:variant>
        <vt:i4>0</vt:i4>
      </vt:variant>
      <vt:variant>
        <vt:i4>5</vt:i4>
      </vt:variant>
      <vt:variant>
        <vt:lpwstr/>
      </vt:variant>
      <vt:variant>
        <vt:lpwstr>Gammaitoni</vt:lpwstr>
      </vt:variant>
      <vt:variant>
        <vt:i4>3539065</vt:i4>
      </vt:variant>
      <vt:variant>
        <vt:i4>12401</vt:i4>
      </vt:variant>
      <vt:variant>
        <vt:i4>0</vt:i4>
      </vt:variant>
      <vt:variant>
        <vt:i4>5</vt:i4>
      </vt:variant>
      <vt:variant>
        <vt:lpwstr/>
      </vt:variant>
      <vt:variant>
        <vt:lpwstr>Galer2</vt:lpwstr>
      </vt:variant>
      <vt:variant>
        <vt:i4>8</vt:i4>
      </vt:variant>
      <vt:variant>
        <vt:i4>12398</vt:i4>
      </vt:variant>
      <vt:variant>
        <vt:i4>0</vt:i4>
      </vt:variant>
      <vt:variant>
        <vt:i4>5</vt:i4>
      </vt:variant>
      <vt:variant>
        <vt:lpwstr/>
      </vt:variant>
      <vt:variant>
        <vt:lpwstr>Furukawa</vt:lpwstr>
      </vt:variant>
      <vt:variant>
        <vt:i4>1507337</vt:i4>
      </vt:variant>
      <vt:variant>
        <vt:i4>12395</vt:i4>
      </vt:variant>
      <vt:variant>
        <vt:i4>0</vt:i4>
      </vt:variant>
      <vt:variant>
        <vt:i4>5</vt:i4>
      </vt:variant>
      <vt:variant>
        <vt:lpwstr/>
      </vt:variant>
      <vt:variant>
        <vt:lpwstr>Friedman2013</vt:lpwstr>
      </vt:variant>
      <vt:variant>
        <vt:i4>1310730</vt:i4>
      </vt:variant>
      <vt:variant>
        <vt:i4>12392</vt:i4>
      </vt:variant>
      <vt:variant>
        <vt:i4>0</vt:i4>
      </vt:variant>
      <vt:variant>
        <vt:i4>5</vt:i4>
      </vt:variant>
      <vt:variant>
        <vt:lpwstr/>
      </vt:variant>
      <vt:variant>
        <vt:lpwstr>Friedman</vt:lpwstr>
      </vt:variant>
      <vt:variant>
        <vt:i4>7733358</vt:i4>
      </vt:variant>
      <vt:variant>
        <vt:i4>12389</vt:i4>
      </vt:variant>
      <vt:variant>
        <vt:i4>0</vt:i4>
      </vt:variant>
      <vt:variant>
        <vt:i4>5</vt:i4>
      </vt:variant>
      <vt:variant>
        <vt:lpwstr/>
      </vt:variant>
      <vt:variant>
        <vt:lpwstr>Freeman</vt:lpwstr>
      </vt:variant>
      <vt:variant>
        <vt:i4>1966082</vt:i4>
      </vt:variant>
      <vt:variant>
        <vt:i4>12386</vt:i4>
      </vt:variant>
      <vt:variant>
        <vt:i4>0</vt:i4>
      </vt:variant>
      <vt:variant>
        <vt:i4>5</vt:i4>
      </vt:variant>
      <vt:variant>
        <vt:lpwstr/>
      </vt:variant>
      <vt:variant>
        <vt:lpwstr>Fredheim</vt:lpwstr>
      </vt:variant>
      <vt:variant>
        <vt:i4>7078005</vt:i4>
      </vt:variant>
      <vt:variant>
        <vt:i4>12383</vt:i4>
      </vt:variant>
      <vt:variant>
        <vt:i4>0</vt:i4>
      </vt:variant>
      <vt:variant>
        <vt:i4>5</vt:i4>
      </vt:variant>
      <vt:variant>
        <vt:lpwstr/>
      </vt:variant>
      <vt:variant>
        <vt:lpwstr>Forman</vt:lpwstr>
      </vt:variant>
      <vt:variant>
        <vt:i4>262149</vt:i4>
      </vt:variant>
      <vt:variant>
        <vt:i4>12380</vt:i4>
      </vt:variant>
      <vt:variant>
        <vt:i4>0</vt:i4>
      </vt:variant>
      <vt:variant>
        <vt:i4>5</vt:i4>
      </vt:variant>
      <vt:variant>
        <vt:lpwstr/>
      </vt:variant>
      <vt:variant>
        <vt:lpwstr>Fock</vt:lpwstr>
      </vt:variant>
      <vt:variant>
        <vt:i4>7536752</vt:i4>
      </vt:variant>
      <vt:variant>
        <vt:i4>12377</vt:i4>
      </vt:variant>
      <vt:variant>
        <vt:i4>0</vt:i4>
      </vt:variant>
      <vt:variant>
        <vt:i4>5</vt:i4>
      </vt:variant>
      <vt:variant>
        <vt:lpwstr/>
      </vt:variant>
      <vt:variant>
        <vt:lpwstr>Fisher</vt:lpwstr>
      </vt:variant>
      <vt:variant>
        <vt:i4>917534</vt:i4>
      </vt:variant>
      <vt:variant>
        <vt:i4>12374</vt:i4>
      </vt:variant>
      <vt:variant>
        <vt:i4>0</vt:i4>
      </vt:variant>
      <vt:variant>
        <vt:i4>5</vt:i4>
      </vt:variant>
      <vt:variant>
        <vt:lpwstr/>
      </vt:variant>
      <vt:variant>
        <vt:lpwstr>Fishbain2</vt:lpwstr>
      </vt:variant>
      <vt:variant>
        <vt:i4>917534</vt:i4>
      </vt:variant>
      <vt:variant>
        <vt:i4>12371</vt:i4>
      </vt:variant>
      <vt:variant>
        <vt:i4>0</vt:i4>
      </vt:variant>
      <vt:variant>
        <vt:i4>5</vt:i4>
      </vt:variant>
      <vt:variant>
        <vt:lpwstr/>
      </vt:variant>
      <vt:variant>
        <vt:lpwstr>Fishbain</vt:lpwstr>
      </vt:variant>
      <vt:variant>
        <vt:i4>327704</vt:i4>
      </vt:variant>
      <vt:variant>
        <vt:i4>12368</vt:i4>
      </vt:variant>
      <vt:variant>
        <vt:i4>0</vt:i4>
      </vt:variant>
      <vt:variant>
        <vt:i4>5</vt:i4>
      </vt:variant>
      <vt:variant>
        <vt:lpwstr/>
      </vt:variant>
      <vt:variant>
        <vt:lpwstr>Finnerup2</vt:lpwstr>
      </vt:variant>
      <vt:variant>
        <vt:i4>327704</vt:i4>
      </vt:variant>
      <vt:variant>
        <vt:i4>12365</vt:i4>
      </vt:variant>
      <vt:variant>
        <vt:i4>0</vt:i4>
      </vt:variant>
      <vt:variant>
        <vt:i4>5</vt:i4>
      </vt:variant>
      <vt:variant>
        <vt:lpwstr/>
      </vt:variant>
      <vt:variant>
        <vt:lpwstr>Finnerup</vt:lpwstr>
      </vt:variant>
      <vt:variant>
        <vt:i4>720961</vt:i4>
      </vt:variant>
      <vt:variant>
        <vt:i4>12362</vt:i4>
      </vt:variant>
      <vt:variant>
        <vt:i4>0</vt:i4>
      </vt:variant>
      <vt:variant>
        <vt:i4>5</vt:i4>
      </vt:variant>
      <vt:variant>
        <vt:lpwstr/>
      </vt:variant>
      <vt:variant>
        <vt:lpwstr>Fingerhut2008</vt:lpwstr>
      </vt:variant>
      <vt:variant>
        <vt:i4>7864444</vt:i4>
      </vt:variant>
      <vt:variant>
        <vt:i4>12359</vt:i4>
      </vt:variant>
      <vt:variant>
        <vt:i4>0</vt:i4>
      </vt:variant>
      <vt:variant>
        <vt:i4>5</vt:i4>
      </vt:variant>
      <vt:variant>
        <vt:lpwstr/>
      </vt:variant>
      <vt:variant>
        <vt:lpwstr>Feuerstein2</vt:lpwstr>
      </vt:variant>
      <vt:variant>
        <vt:i4>589855</vt:i4>
      </vt:variant>
      <vt:variant>
        <vt:i4>12356</vt:i4>
      </vt:variant>
      <vt:variant>
        <vt:i4>0</vt:i4>
      </vt:variant>
      <vt:variant>
        <vt:i4>5</vt:i4>
      </vt:variant>
      <vt:variant>
        <vt:lpwstr/>
      </vt:variant>
      <vt:variant>
        <vt:lpwstr>Feinberg</vt:lpwstr>
      </vt:variant>
      <vt:variant>
        <vt:i4>8323105</vt:i4>
      </vt:variant>
      <vt:variant>
        <vt:i4>12353</vt:i4>
      </vt:variant>
      <vt:variant>
        <vt:i4>0</vt:i4>
      </vt:variant>
      <vt:variant>
        <vt:i4>5</vt:i4>
      </vt:variant>
      <vt:variant>
        <vt:lpwstr/>
      </vt:variant>
      <vt:variant>
        <vt:lpwstr>FDAnews2007</vt:lpwstr>
      </vt:variant>
      <vt:variant>
        <vt:i4>1769479</vt:i4>
      </vt:variant>
      <vt:variant>
        <vt:i4>12350</vt:i4>
      </vt:variant>
      <vt:variant>
        <vt:i4>0</vt:i4>
      </vt:variant>
      <vt:variant>
        <vt:i4>5</vt:i4>
      </vt:variant>
      <vt:variant>
        <vt:lpwstr/>
      </vt:variant>
      <vt:variant>
        <vt:lpwstr>FDAMarch2008</vt:lpwstr>
      </vt:variant>
      <vt:variant>
        <vt:i4>6815840</vt:i4>
      </vt:variant>
      <vt:variant>
        <vt:i4>12347</vt:i4>
      </vt:variant>
      <vt:variant>
        <vt:i4>0</vt:i4>
      </vt:variant>
      <vt:variant>
        <vt:i4>5</vt:i4>
      </vt:variant>
      <vt:variant>
        <vt:lpwstr/>
      </vt:variant>
      <vt:variant>
        <vt:lpwstr>FDAFEB2008</vt:lpwstr>
      </vt:variant>
      <vt:variant>
        <vt:i4>524314</vt:i4>
      </vt:variant>
      <vt:variant>
        <vt:i4>12344</vt:i4>
      </vt:variant>
      <vt:variant>
        <vt:i4>0</vt:i4>
      </vt:variant>
      <vt:variant>
        <vt:i4>5</vt:i4>
      </vt:variant>
      <vt:variant>
        <vt:lpwstr/>
      </vt:variant>
      <vt:variant>
        <vt:lpwstr>Ettinger</vt:lpwstr>
      </vt:variant>
      <vt:variant>
        <vt:i4>6946870</vt:i4>
      </vt:variant>
      <vt:variant>
        <vt:i4>12341</vt:i4>
      </vt:variant>
      <vt:variant>
        <vt:i4>0</vt:i4>
      </vt:variant>
      <vt:variant>
        <vt:i4>5</vt:i4>
      </vt:variant>
      <vt:variant>
        <vt:lpwstr/>
      </vt:variant>
      <vt:variant>
        <vt:lpwstr>Esparza2007</vt:lpwstr>
      </vt:variant>
      <vt:variant>
        <vt:i4>393343</vt:i4>
      </vt:variant>
      <vt:variant>
        <vt:i4>12338</vt:i4>
      </vt:variant>
      <vt:variant>
        <vt:i4>0</vt:i4>
      </vt:variant>
      <vt:variant>
        <vt:i4>5</vt:i4>
      </vt:variant>
      <vt:variant>
        <vt:lpwstr>javascript:AL_get(this, 'jour', 'J Clin Psychiatry.');</vt:lpwstr>
      </vt:variant>
      <vt:variant>
        <vt:lpwstr/>
      </vt:variant>
      <vt:variant>
        <vt:i4>1245192</vt:i4>
      </vt:variant>
      <vt:variant>
        <vt:i4>12335</vt:i4>
      </vt:variant>
      <vt:variant>
        <vt:i4>0</vt:i4>
      </vt:variant>
      <vt:variant>
        <vt:i4>5</vt:i4>
      </vt:variant>
      <vt:variant>
        <vt:lpwstr/>
      </vt:variant>
      <vt:variant>
        <vt:lpwstr>Erman</vt:lpwstr>
      </vt:variant>
      <vt:variant>
        <vt:i4>1966154</vt:i4>
      </vt:variant>
      <vt:variant>
        <vt:i4>12332</vt:i4>
      </vt:variant>
      <vt:variant>
        <vt:i4>0</vt:i4>
      </vt:variant>
      <vt:variant>
        <vt:i4>5</vt:i4>
      </vt:variant>
      <vt:variant>
        <vt:lpwstr/>
      </vt:variant>
      <vt:variant>
        <vt:lpwstr>Eisenberg2007</vt:lpwstr>
      </vt:variant>
      <vt:variant>
        <vt:i4>6357088</vt:i4>
      </vt:variant>
      <vt:variant>
        <vt:i4>12329</vt:i4>
      </vt:variant>
      <vt:variant>
        <vt:i4>0</vt:i4>
      </vt:variant>
      <vt:variant>
        <vt:i4>5</vt:i4>
      </vt:variant>
      <vt:variant>
        <vt:lpwstr/>
      </vt:variant>
      <vt:variant>
        <vt:lpwstr>Edwards</vt:lpwstr>
      </vt:variant>
      <vt:variant>
        <vt:i4>7274558</vt:i4>
      </vt:variant>
      <vt:variant>
        <vt:i4>12326</vt:i4>
      </vt:variant>
      <vt:variant>
        <vt:i4>0</vt:i4>
      </vt:variant>
      <vt:variant>
        <vt:i4>5</vt:i4>
      </vt:variant>
      <vt:variant>
        <vt:lpwstr/>
      </vt:variant>
      <vt:variant>
        <vt:lpwstr>Dworkin2010</vt:lpwstr>
      </vt:variant>
      <vt:variant>
        <vt:i4>6160398</vt:i4>
      </vt:variant>
      <vt:variant>
        <vt:i4>12323</vt:i4>
      </vt:variant>
      <vt:variant>
        <vt:i4>0</vt:i4>
      </vt:variant>
      <vt:variant>
        <vt:i4>5</vt:i4>
      </vt:variant>
      <vt:variant>
        <vt:lpwstr/>
      </vt:variant>
      <vt:variant>
        <vt:lpwstr>Dworkin2</vt:lpwstr>
      </vt:variant>
      <vt:variant>
        <vt:i4>7077984</vt:i4>
      </vt:variant>
      <vt:variant>
        <vt:i4>12320</vt:i4>
      </vt:variant>
      <vt:variant>
        <vt:i4>0</vt:i4>
      </vt:variant>
      <vt:variant>
        <vt:i4>5</vt:i4>
      </vt:variant>
      <vt:variant>
        <vt:lpwstr/>
      </vt:variant>
      <vt:variant>
        <vt:lpwstr>Dworkin</vt:lpwstr>
      </vt:variant>
      <vt:variant>
        <vt:i4>524296</vt:i4>
      </vt:variant>
      <vt:variant>
        <vt:i4>12317</vt:i4>
      </vt:variant>
      <vt:variant>
        <vt:i4>0</vt:i4>
      </vt:variant>
      <vt:variant>
        <vt:i4>5</vt:i4>
      </vt:variant>
      <vt:variant>
        <vt:lpwstr/>
      </vt:variant>
      <vt:variant>
        <vt:lpwstr>Ducharme2012</vt:lpwstr>
      </vt:variant>
      <vt:variant>
        <vt:i4>7798840</vt:i4>
      </vt:variant>
      <vt:variant>
        <vt:i4>12314</vt:i4>
      </vt:variant>
      <vt:variant>
        <vt:i4>0</vt:i4>
      </vt:variant>
      <vt:variant>
        <vt:i4>5</vt:i4>
      </vt:variant>
      <vt:variant>
        <vt:lpwstr/>
      </vt:variant>
      <vt:variant>
        <vt:lpwstr>Drucker2011</vt:lpwstr>
      </vt:variant>
      <vt:variant>
        <vt:i4>983133</vt:i4>
      </vt:variant>
      <vt:variant>
        <vt:i4>12311</vt:i4>
      </vt:variant>
      <vt:variant>
        <vt:i4>0</vt:i4>
      </vt:variant>
      <vt:variant>
        <vt:i4>5</vt:i4>
      </vt:variant>
      <vt:variant>
        <vt:lpwstr/>
      </vt:variant>
      <vt:variant>
        <vt:lpwstr>Donnellan2010</vt:lpwstr>
      </vt:variant>
      <vt:variant>
        <vt:i4>196625</vt:i4>
      </vt:variant>
      <vt:variant>
        <vt:i4>12308</vt:i4>
      </vt:variant>
      <vt:variant>
        <vt:i4>0</vt:i4>
      </vt:variant>
      <vt:variant>
        <vt:i4>5</vt:i4>
      </vt:variant>
      <vt:variant>
        <vt:lpwstr/>
      </vt:variant>
      <vt:variant>
        <vt:lpwstr>Dickenson</vt:lpwstr>
      </vt:variant>
      <vt:variant>
        <vt:i4>1245189</vt:i4>
      </vt:variant>
      <vt:variant>
        <vt:i4>12305</vt:i4>
      </vt:variant>
      <vt:variant>
        <vt:i4>0</vt:i4>
      </vt:variant>
      <vt:variant>
        <vt:i4>5</vt:i4>
      </vt:variant>
      <vt:variant>
        <vt:lpwstr/>
      </vt:variant>
      <vt:variant>
        <vt:lpwstr>Diaz</vt:lpwstr>
      </vt:variant>
      <vt:variant>
        <vt:i4>7143550</vt:i4>
      </vt:variant>
      <vt:variant>
        <vt:i4>12302</vt:i4>
      </vt:variant>
      <vt:variant>
        <vt:i4>0</vt:i4>
      </vt:variant>
      <vt:variant>
        <vt:i4>5</vt:i4>
      </vt:variant>
      <vt:variant>
        <vt:lpwstr/>
      </vt:variant>
      <vt:variant>
        <vt:lpwstr>Devleeschouwer2008</vt:lpwstr>
      </vt:variant>
      <vt:variant>
        <vt:i4>1310798</vt:i4>
      </vt:variant>
      <vt:variant>
        <vt:i4>12299</vt:i4>
      </vt:variant>
      <vt:variant>
        <vt:i4>0</vt:i4>
      </vt:variant>
      <vt:variant>
        <vt:i4>5</vt:i4>
      </vt:variant>
      <vt:variant>
        <vt:lpwstr/>
      </vt:variant>
      <vt:variant>
        <vt:lpwstr>Dersh2008</vt:lpwstr>
      </vt:variant>
      <vt:variant>
        <vt:i4>786442</vt:i4>
      </vt:variant>
      <vt:variant>
        <vt:i4>12296</vt:i4>
      </vt:variant>
      <vt:variant>
        <vt:i4>0</vt:i4>
      </vt:variant>
      <vt:variant>
        <vt:i4>5</vt:i4>
      </vt:variant>
      <vt:variant>
        <vt:lpwstr/>
      </vt:variant>
      <vt:variant>
        <vt:lpwstr>Denis</vt:lpwstr>
      </vt:variant>
      <vt:variant>
        <vt:i4>589832</vt:i4>
      </vt:variant>
      <vt:variant>
        <vt:i4>12293</vt:i4>
      </vt:variant>
      <vt:variant>
        <vt:i4>0</vt:i4>
      </vt:variant>
      <vt:variant>
        <vt:i4>5</vt:i4>
      </vt:variant>
      <vt:variant>
        <vt:lpwstr/>
      </vt:variant>
      <vt:variant>
        <vt:lpwstr>Dell</vt:lpwstr>
      </vt:variant>
      <vt:variant>
        <vt:i4>1507329</vt:i4>
      </vt:variant>
      <vt:variant>
        <vt:i4>12290</vt:i4>
      </vt:variant>
      <vt:variant>
        <vt:i4>0</vt:i4>
      </vt:variant>
      <vt:variant>
        <vt:i4>5</vt:i4>
      </vt:variant>
      <vt:variant>
        <vt:lpwstr/>
      </vt:variant>
      <vt:variant>
        <vt:lpwstr>Deer3</vt:lpwstr>
      </vt:variant>
      <vt:variant>
        <vt:i4>1376348</vt:i4>
      </vt:variant>
      <vt:variant>
        <vt:i4>12287</vt:i4>
      </vt:variant>
      <vt:variant>
        <vt:i4>0</vt:i4>
      </vt:variant>
      <vt:variant>
        <vt:i4>5</vt:i4>
      </vt:variant>
      <vt:variant>
        <vt:lpwstr/>
      </vt:variant>
      <vt:variant>
        <vt:lpwstr>DeAndrade1994</vt:lpwstr>
      </vt:variant>
      <vt:variant>
        <vt:i4>8192125</vt:i4>
      </vt:variant>
      <vt:variant>
        <vt:i4>12284</vt:i4>
      </vt:variant>
      <vt:variant>
        <vt:i4>0</vt:i4>
      </vt:variant>
      <vt:variant>
        <vt:i4>5</vt:i4>
      </vt:variant>
      <vt:variant>
        <vt:lpwstr/>
      </vt:variant>
      <vt:variant>
        <vt:lpwstr>DEA2013tramadol</vt:lpwstr>
      </vt:variant>
      <vt:variant>
        <vt:i4>1376278</vt:i4>
      </vt:variant>
      <vt:variant>
        <vt:i4>12281</vt:i4>
      </vt:variant>
      <vt:variant>
        <vt:i4>0</vt:i4>
      </vt:variant>
      <vt:variant>
        <vt:i4>5</vt:i4>
      </vt:variant>
      <vt:variant>
        <vt:lpwstr/>
      </vt:variant>
      <vt:variant>
        <vt:lpwstr>Dart</vt:lpwstr>
      </vt:variant>
      <vt:variant>
        <vt:i4>6225950</vt:i4>
      </vt:variant>
      <vt:variant>
        <vt:i4>12278</vt:i4>
      </vt:variant>
      <vt:variant>
        <vt:i4>0</vt:i4>
      </vt:variant>
      <vt:variant>
        <vt:i4>5</vt:i4>
      </vt:variant>
      <vt:variant>
        <vt:lpwstr/>
      </vt:variant>
      <vt:variant>
        <vt:lpwstr>Daniels22009</vt:lpwstr>
      </vt:variant>
      <vt:variant>
        <vt:i4>6684716</vt:i4>
      </vt:variant>
      <vt:variant>
        <vt:i4>12275</vt:i4>
      </vt:variant>
      <vt:variant>
        <vt:i4>0</vt:i4>
      </vt:variant>
      <vt:variant>
        <vt:i4>5</vt:i4>
      </vt:variant>
      <vt:variant>
        <vt:lpwstr/>
      </vt:variant>
      <vt:variant>
        <vt:lpwstr>Daniels2009</vt:lpwstr>
      </vt:variant>
      <vt:variant>
        <vt:i4>6553711</vt:i4>
      </vt:variant>
      <vt:variant>
        <vt:i4>12272</vt:i4>
      </vt:variant>
      <vt:variant>
        <vt:i4>0</vt:i4>
      </vt:variant>
      <vt:variant>
        <vt:i4>5</vt:i4>
      </vt:variant>
      <vt:variant>
        <vt:lpwstr/>
      </vt:variant>
      <vt:variant>
        <vt:lpwstr>Daniell</vt:lpwstr>
      </vt:variant>
      <vt:variant>
        <vt:i4>2031640</vt:i4>
      </vt:variant>
      <vt:variant>
        <vt:i4>12269</vt:i4>
      </vt:variant>
      <vt:variant>
        <vt:i4>0</vt:i4>
      </vt:variant>
      <vt:variant>
        <vt:i4>5</vt:i4>
      </vt:variant>
      <vt:variant>
        <vt:lpwstr/>
      </vt:variant>
      <vt:variant>
        <vt:lpwstr>Crofford</vt:lpwstr>
      </vt:variant>
      <vt:variant>
        <vt:i4>7471228</vt:i4>
      </vt:variant>
      <vt:variant>
        <vt:i4>12266</vt:i4>
      </vt:variant>
      <vt:variant>
        <vt:i4>0</vt:i4>
      </vt:variant>
      <vt:variant>
        <vt:i4>5</vt:i4>
      </vt:variant>
      <vt:variant>
        <vt:lpwstr/>
      </vt:variant>
      <vt:variant>
        <vt:lpwstr>Crisostomo</vt:lpwstr>
      </vt:variant>
      <vt:variant>
        <vt:i4>7405684</vt:i4>
      </vt:variant>
      <vt:variant>
        <vt:i4>12263</vt:i4>
      </vt:variant>
      <vt:variant>
        <vt:i4>0</vt:i4>
      </vt:variant>
      <vt:variant>
        <vt:i4>5</vt:i4>
      </vt:variant>
      <vt:variant>
        <vt:lpwstr/>
      </vt:variant>
      <vt:variant>
        <vt:lpwstr>Correll</vt:lpwstr>
      </vt:variant>
      <vt:variant>
        <vt:i4>7209066</vt:i4>
      </vt:variant>
      <vt:variant>
        <vt:i4>12260</vt:i4>
      </vt:variant>
      <vt:variant>
        <vt:i4>0</vt:i4>
      </vt:variant>
      <vt:variant>
        <vt:i4>5</vt:i4>
      </vt:variant>
      <vt:variant>
        <vt:lpwstr/>
      </vt:variant>
      <vt:variant>
        <vt:lpwstr>Cooper2013</vt:lpwstr>
      </vt:variant>
      <vt:variant>
        <vt:i4>9</vt:i4>
      </vt:variant>
      <vt:variant>
        <vt:i4>12257</vt:i4>
      </vt:variant>
      <vt:variant>
        <vt:i4>0</vt:i4>
      </vt:variant>
      <vt:variant>
        <vt:i4>5</vt:i4>
      </vt:variant>
      <vt:variant>
        <vt:lpwstr/>
      </vt:variant>
      <vt:variant>
        <vt:lpwstr>Conaghan2008</vt:lpwstr>
      </vt:variant>
      <vt:variant>
        <vt:i4>7340131</vt:i4>
      </vt:variant>
      <vt:variant>
        <vt:i4>12254</vt:i4>
      </vt:variant>
      <vt:variant>
        <vt:i4>0</vt:i4>
      </vt:variant>
      <vt:variant>
        <vt:i4>5</vt:i4>
      </vt:variant>
      <vt:variant>
        <vt:lpwstr/>
      </vt:variant>
      <vt:variant>
        <vt:lpwstr>Colson2012</vt:lpwstr>
      </vt:variant>
      <vt:variant>
        <vt:i4>6422626</vt:i4>
      </vt:variant>
      <vt:variant>
        <vt:i4>12251</vt:i4>
      </vt:variant>
      <vt:variant>
        <vt:i4>0</vt:i4>
      </vt:variant>
      <vt:variant>
        <vt:i4>5</vt:i4>
      </vt:variant>
      <vt:variant>
        <vt:lpwstr/>
      </vt:variant>
      <vt:variant>
        <vt:lpwstr>Colombo</vt:lpwstr>
      </vt:variant>
      <vt:variant>
        <vt:i4>7143526</vt:i4>
      </vt:variant>
      <vt:variant>
        <vt:i4>12248</vt:i4>
      </vt:variant>
      <vt:variant>
        <vt:i4>0</vt:i4>
      </vt:variant>
      <vt:variant>
        <vt:i4>5</vt:i4>
      </vt:variant>
      <vt:variant>
        <vt:lpwstr/>
      </vt:variant>
      <vt:variant>
        <vt:lpwstr>Collins</vt:lpwstr>
      </vt:variant>
      <vt:variant>
        <vt:i4>6815859</vt:i4>
      </vt:variant>
      <vt:variant>
        <vt:i4>12245</vt:i4>
      </vt:variant>
      <vt:variant>
        <vt:i4>0</vt:i4>
      </vt:variant>
      <vt:variant>
        <vt:i4>5</vt:i4>
      </vt:variant>
      <vt:variant>
        <vt:lpwstr/>
      </vt:variant>
      <vt:variant>
        <vt:lpwstr>Cluver</vt:lpwstr>
      </vt:variant>
      <vt:variant>
        <vt:i4>983062</vt:i4>
      </vt:variant>
      <vt:variant>
        <vt:i4>12242</vt:i4>
      </vt:variant>
      <vt:variant>
        <vt:i4>0</vt:i4>
      </vt:variant>
      <vt:variant>
        <vt:i4>5</vt:i4>
      </vt:variant>
      <vt:variant>
        <vt:lpwstr/>
      </vt:variant>
      <vt:variant>
        <vt:lpwstr>ClinicalPharmacology</vt:lpwstr>
      </vt:variant>
      <vt:variant>
        <vt:i4>1900633</vt:i4>
      </vt:variant>
      <vt:variant>
        <vt:i4>12239</vt:i4>
      </vt:variant>
      <vt:variant>
        <vt:i4>0</vt:i4>
      </vt:variant>
      <vt:variant>
        <vt:i4>5</vt:i4>
      </vt:variant>
      <vt:variant>
        <vt:lpwstr/>
      </vt:variant>
      <vt:variant>
        <vt:lpwstr>Clark2011</vt:lpwstr>
      </vt:variant>
      <vt:variant>
        <vt:i4>6815843</vt:i4>
      </vt:variant>
      <vt:variant>
        <vt:i4>12236</vt:i4>
      </vt:variant>
      <vt:variant>
        <vt:i4>0</vt:i4>
      </vt:variant>
      <vt:variant>
        <vt:i4>5</vt:i4>
      </vt:variant>
      <vt:variant>
        <vt:lpwstr/>
      </vt:variant>
      <vt:variant>
        <vt:lpwstr>Chu</vt:lpwstr>
      </vt:variant>
      <vt:variant>
        <vt:i4>1638414</vt:i4>
      </vt:variant>
      <vt:variant>
        <vt:i4>12233</vt:i4>
      </vt:variant>
      <vt:variant>
        <vt:i4>0</vt:i4>
      </vt:variant>
      <vt:variant>
        <vt:i4>5</vt:i4>
      </vt:variant>
      <vt:variant>
        <vt:lpwstr/>
      </vt:variant>
      <vt:variant>
        <vt:lpwstr>Chou2004</vt:lpwstr>
      </vt:variant>
      <vt:variant>
        <vt:i4>1900556</vt:i4>
      </vt:variant>
      <vt:variant>
        <vt:i4>12230</vt:i4>
      </vt:variant>
      <vt:variant>
        <vt:i4>0</vt:i4>
      </vt:variant>
      <vt:variant>
        <vt:i4>5</vt:i4>
      </vt:variant>
      <vt:variant>
        <vt:lpwstr/>
      </vt:variant>
      <vt:variant>
        <vt:lpwstr>Chou</vt:lpwstr>
      </vt:variant>
      <vt:variant>
        <vt:i4>65548</vt:i4>
      </vt:variant>
      <vt:variant>
        <vt:i4>12227</vt:i4>
      </vt:variant>
      <vt:variant>
        <vt:i4>0</vt:i4>
      </vt:variant>
      <vt:variant>
        <vt:i4>5</vt:i4>
      </vt:variant>
      <vt:variant>
        <vt:lpwstr/>
      </vt:variant>
      <vt:variant>
        <vt:lpwstr>Choi</vt:lpwstr>
      </vt:variant>
      <vt:variant>
        <vt:i4>1638422</vt:i4>
      </vt:variant>
      <vt:variant>
        <vt:i4>12224</vt:i4>
      </vt:variant>
      <vt:variant>
        <vt:i4>0</vt:i4>
      </vt:variant>
      <vt:variant>
        <vt:i4>5</vt:i4>
      </vt:variant>
      <vt:variant>
        <vt:lpwstr/>
      </vt:variant>
      <vt:variant>
        <vt:lpwstr>Chessick</vt:lpwstr>
      </vt:variant>
      <vt:variant>
        <vt:i4>393222</vt:i4>
      </vt:variant>
      <vt:variant>
        <vt:i4>12221</vt:i4>
      </vt:variant>
      <vt:variant>
        <vt:i4>0</vt:i4>
      </vt:variant>
      <vt:variant>
        <vt:i4>5</vt:i4>
      </vt:variant>
      <vt:variant>
        <vt:lpwstr/>
      </vt:variant>
      <vt:variant>
        <vt:lpwstr>Chen</vt:lpwstr>
      </vt:variant>
      <vt:variant>
        <vt:i4>327765</vt:i4>
      </vt:variant>
      <vt:variant>
        <vt:i4>12218</vt:i4>
      </vt:variant>
      <vt:variant>
        <vt:i4>0</vt:i4>
      </vt:variant>
      <vt:variant>
        <vt:i4>5</vt:i4>
      </vt:variant>
      <vt:variant>
        <vt:lpwstr/>
      </vt:variant>
      <vt:variant>
        <vt:lpwstr>Chang2014</vt:lpwstr>
      </vt:variant>
      <vt:variant>
        <vt:i4>458752</vt:i4>
      </vt:variant>
      <vt:variant>
        <vt:i4>12215</vt:i4>
      </vt:variant>
      <vt:variant>
        <vt:i4>0</vt:i4>
      </vt:variant>
      <vt:variant>
        <vt:i4>5</vt:i4>
      </vt:variant>
      <vt:variant>
        <vt:lpwstr/>
      </vt:variant>
      <vt:variant>
        <vt:lpwstr>Chan2001</vt:lpwstr>
      </vt:variant>
      <vt:variant>
        <vt:i4>262144</vt:i4>
      </vt:variant>
      <vt:variant>
        <vt:i4>12212</vt:i4>
      </vt:variant>
      <vt:variant>
        <vt:i4>0</vt:i4>
      </vt:variant>
      <vt:variant>
        <vt:i4>5</vt:i4>
      </vt:variant>
      <vt:variant>
        <vt:lpwstr/>
      </vt:variant>
      <vt:variant>
        <vt:lpwstr>Chan2002</vt:lpwstr>
      </vt:variant>
      <vt:variant>
        <vt:i4>393218</vt:i4>
      </vt:variant>
      <vt:variant>
        <vt:i4>12209</vt:i4>
      </vt:variant>
      <vt:variant>
        <vt:i4>0</vt:i4>
      </vt:variant>
      <vt:variant>
        <vt:i4>5</vt:i4>
      </vt:variant>
      <vt:variant>
        <vt:lpwstr/>
      </vt:variant>
      <vt:variant>
        <vt:lpwstr>Chan2</vt:lpwstr>
      </vt:variant>
      <vt:variant>
        <vt:i4>393218</vt:i4>
      </vt:variant>
      <vt:variant>
        <vt:i4>12206</vt:i4>
      </vt:variant>
      <vt:variant>
        <vt:i4>0</vt:i4>
      </vt:variant>
      <vt:variant>
        <vt:i4>5</vt:i4>
      </vt:variant>
      <vt:variant>
        <vt:lpwstr/>
      </vt:variant>
      <vt:variant>
        <vt:lpwstr>Chan</vt:lpwstr>
      </vt:variant>
      <vt:variant>
        <vt:i4>458768</vt:i4>
      </vt:variant>
      <vt:variant>
        <vt:i4>12203</vt:i4>
      </vt:variant>
      <vt:variant>
        <vt:i4>0</vt:i4>
      </vt:variant>
      <vt:variant>
        <vt:i4>5</vt:i4>
      </vt:variant>
      <vt:variant>
        <vt:lpwstr/>
      </vt:variant>
      <vt:variant>
        <vt:lpwstr>CFSAN</vt:lpwstr>
      </vt:variant>
      <vt:variant>
        <vt:i4>6357111</vt:i4>
      </vt:variant>
      <vt:variant>
        <vt:i4>12200</vt:i4>
      </vt:variant>
      <vt:variant>
        <vt:i4>0</vt:i4>
      </vt:variant>
      <vt:variant>
        <vt:i4>5</vt:i4>
      </vt:variant>
      <vt:variant>
        <vt:lpwstr/>
      </vt:variant>
      <vt:variant>
        <vt:lpwstr>Cepeda2</vt:lpwstr>
      </vt:variant>
      <vt:variant>
        <vt:i4>6357111</vt:i4>
      </vt:variant>
      <vt:variant>
        <vt:i4>12197</vt:i4>
      </vt:variant>
      <vt:variant>
        <vt:i4>0</vt:i4>
      </vt:variant>
      <vt:variant>
        <vt:i4>5</vt:i4>
      </vt:variant>
      <vt:variant>
        <vt:lpwstr/>
      </vt:variant>
      <vt:variant>
        <vt:lpwstr>Cepeda</vt:lpwstr>
      </vt:variant>
      <vt:variant>
        <vt:i4>917531</vt:i4>
      </vt:variant>
      <vt:variant>
        <vt:i4>12194</vt:i4>
      </vt:variant>
      <vt:variant>
        <vt:i4>0</vt:i4>
      </vt:variant>
      <vt:variant>
        <vt:i4>5</vt:i4>
      </vt:variant>
      <vt:variant>
        <vt:lpwstr/>
      </vt:variant>
      <vt:variant>
        <vt:lpwstr>CenterforSubstanceAbuseTreatment2009</vt:lpwstr>
      </vt:variant>
      <vt:variant>
        <vt:i4>6750256</vt:i4>
      </vt:variant>
      <vt:variant>
        <vt:i4>12191</vt:i4>
      </vt:variant>
      <vt:variant>
        <vt:i4>0</vt:i4>
      </vt:variant>
      <vt:variant>
        <vt:i4>5</vt:i4>
      </vt:variant>
      <vt:variant>
        <vt:lpwstr/>
      </vt:variant>
      <vt:variant>
        <vt:lpwstr>CDC2012</vt:lpwstr>
      </vt:variant>
      <vt:variant>
        <vt:i4>524310</vt:i4>
      </vt:variant>
      <vt:variant>
        <vt:i4>12188</vt:i4>
      </vt:variant>
      <vt:variant>
        <vt:i4>0</vt:i4>
      </vt:variant>
      <vt:variant>
        <vt:i4>5</vt:i4>
      </vt:variant>
      <vt:variant>
        <vt:lpwstr/>
      </vt:variant>
      <vt:variant>
        <vt:lpwstr>Caldwell2004</vt:lpwstr>
      </vt:variant>
      <vt:variant>
        <vt:i4>16</vt:i4>
      </vt:variant>
      <vt:variant>
        <vt:i4>12185</vt:i4>
      </vt:variant>
      <vt:variant>
        <vt:i4>0</vt:i4>
      </vt:variant>
      <vt:variant>
        <vt:i4>5</vt:i4>
      </vt:variant>
      <vt:variant>
        <vt:lpwstr/>
      </vt:variant>
      <vt:variant>
        <vt:lpwstr>Calandre2011</vt:lpwstr>
      </vt:variant>
      <vt:variant>
        <vt:i4>7340153</vt:i4>
      </vt:variant>
      <vt:variant>
        <vt:i4>12182</vt:i4>
      </vt:variant>
      <vt:variant>
        <vt:i4>0</vt:i4>
      </vt:variant>
      <vt:variant>
        <vt:i4>5</vt:i4>
      </vt:variant>
      <vt:variant>
        <vt:lpwstr/>
      </vt:variant>
      <vt:variant>
        <vt:lpwstr>Buynak2010</vt:lpwstr>
      </vt:variant>
      <vt:variant>
        <vt:i4>7602278</vt:i4>
      </vt:variant>
      <vt:variant>
        <vt:i4>12179</vt:i4>
      </vt:variant>
      <vt:variant>
        <vt:i4>0</vt:i4>
      </vt:variant>
      <vt:variant>
        <vt:i4>5</vt:i4>
      </vt:variant>
      <vt:variant>
        <vt:lpwstr/>
      </vt:variant>
      <vt:variant>
        <vt:lpwstr>Buvanendran</vt:lpwstr>
      </vt:variant>
      <vt:variant>
        <vt:i4>8061044</vt:i4>
      </vt:variant>
      <vt:variant>
        <vt:i4>12176</vt:i4>
      </vt:variant>
      <vt:variant>
        <vt:i4>0</vt:i4>
      </vt:variant>
      <vt:variant>
        <vt:i4>5</vt:i4>
      </vt:variant>
      <vt:variant>
        <vt:lpwstr/>
      </vt:variant>
      <vt:variant>
        <vt:lpwstr>Buscemi</vt:lpwstr>
      </vt:variant>
      <vt:variant>
        <vt:i4>7929901</vt:i4>
      </vt:variant>
      <vt:variant>
        <vt:i4>12173</vt:i4>
      </vt:variant>
      <vt:variant>
        <vt:i4>0</vt:i4>
      </vt:variant>
      <vt:variant>
        <vt:i4>5</vt:i4>
      </vt:variant>
      <vt:variant>
        <vt:lpwstr/>
      </vt:variant>
      <vt:variant>
        <vt:lpwstr>Buscemi2005</vt:lpwstr>
      </vt:variant>
      <vt:variant>
        <vt:i4>2359416</vt:i4>
      </vt:variant>
      <vt:variant>
        <vt:i4>12170</vt:i4>
      </vt:variant>
      <vt:variant>
        <vt:i4>0</vt:i4>
      </vt:variant>
      <vt:variant>
        <vt:i4>5</vt:i4>
      </vt:variant>
      <vt:variant>
        <vt:lpwstr/>
      </vt:variant>
      <vt:variant>
        <vt:lpwstr>Burch2</vt:lpwstr>
      </vt:variant>
      <vt:variant>
        <vt:i4>720909</vt:i4>
      </vt:variant>
      <vt:variant>
        <vt:i4>12167</vt:i4>
      </vt:variant>
      <vt:variant>
        <vt:i4>0</vt:i4>
      </vt:variant>
      <vt:variant>
        <vt:i4>5</vt:i4>
      </vt:variant>
      <vt:variant>
        <vt:lpwstr/>
      </vt:variant>
      <vt:variant>
        <vt:lpwstr>Browning</vt:lpwstr>
      </vt:variant>
      <vt:variant>
        <vt:i4>1835096</vt:i4>
      </vt:variant>
      <vt:variant>
        <vt:i4>12164</vt:i4>
      </vt:variant>
      <vt:variant>
        <vt:i4>0</vt:i4>
      </vt:variant>
      <vt:variant>
        <vt:i4>5</vt:i4>
      </vt:variant>
      <vt:variant>
        <vt:lpwstr/>
      </vt:variant>
      <vt:variant>
        <vt:lpwstr>Broomhead1997</vt:lpwstr>
      </vt:variant>
      <vt:variant>
        <vt:i4>851996</vt:i4>
      </vt:variant>
      <vt:variant>
        <vt:i4>12161</vt:i4>
      </vt:variant>
      <vt:variant>
        <vt:i4>0</vt:i4>
      </vt:variant>
      <vt:variant>
        <vt:i4>5</vt:i4>
      </vt:variant>
      <vt:variant>
        <vt:lpwstr/>
      </vt:variant>
      <vt:variant>
        <vt:lpwstr>Bramness2004</vt:lpwstr>
      </vt:variant>
      <vt:variant>
        <vt:i4>589854</vt:i4>
      </vt:variant>
      <vt:variant>
        <vt:i4>12158</vt:i4>
      </vt:variant>
      <vt:variant>
        <vt:i4>0</vt:i4>
      </vt:variant>
      <vt:variant>
        <vt:i4>5</vt:i4>
      </vt:variant>
      <vt:variant>
        <vt:lpwstr/>
      </vt:variant>
      <vt:variant>
        <vt:lpwstr>Bramness</vt:lpwstr>
      </vt:variant>
      <vt:variant>
        <vt:i4>7798882</vt:i4>
      </vt:variant>
      <vt:variant>
        <vt:i4>12155</vt:i4>
      </vt:variant>
      <vt:variant>
        <vt:i4>0</vt:i4>
      </vt:variant>
      <vt:variant>
        <vt:i4>5</vt:i4>
      </vt:variant>
      <vt:variant>
        <vt:lpwstr/>
      </vt:variant>
      <vt:variant>
        <vt:lpwstr>Braham</vt:lpwstr>
      </vt:variant>
      <vt:variant>
        <vt:i4>6357088</vt:i4>
      </vt:variant>
      <vt:variant>
        <vt:i4>12152</vt:i4>
      </vt:variant>
      <vt:variant>
        <vt:i4>0</vt:i4>
      </vt:variant>
      <vt:variant>
        <vt:i4>5</vt:i4>
      </vt:variant>
      <vt:variant>
        <vt:lpwstr/>
      </vt:variant>
      <vt:variant>
        <vt:lpwstr>Bolona</vt:lpwstr>
      </vt:variant>
      <vt:variant>
        <vt:i4>1638408</vt:i4>
      </vt:variant>
      <vt:variant>
        <vt:i4>12149</vt:i4>
      </vt:variant>
      <vt:variant>
        <vt:i4>0</vt:i4>
      </vt:variant>
      <vt:variant>
        <vt:i4>5</vt:i4>
      </vt:variant>
      <vt:variant>
        <vt:lpwstr/>
      </vt:variant>
      <vt:variant>
        <vt:lpwstr>Bocanegra</vt:lpwstr>
      </vt:variant>
      <vt:variant>
        <vt:i4>5242888</vt:i4>
      </vt:variant>
      <vt:variant>
        <vt:i4>12146</vt:i4>
      </vt:variant>
      <vt:variant>
        <vt:i4>0</vt:i4>
      </vt:variant>
      <vt:variant>
        <vt:i4>5</vt:i4>
      </vt:variant>
      <vt:variant>
        <vt:lpwstr/>
      </vt:variant>
      <vt:variant>
        <vt:lpwstr>BlueCrossBlueShield9</vt:lpwstr>
      </vt:variant>
      <vt:variant>
        <vt:i4>6553696</vt:i4>
      </vt:variant>
      <vt:variant>
        <vt:i4>12143</vt:i4>
      </vt:variant>
      <vt:variant>
        <vt:i4>0</vt:i4>
      </vt:variant>
      <vt:variant>
        <vt:i4>5</vt:i4>
      </vt:variant>
      <vt:variant>
        <vt:lpwstr/>
      </vt:variant>
      <vt:variant>
        <vt:lpwstr>Blommel</vt:lpwstr>
      </vt:variant>
      <vt:variant>
        <vt:i4>7929961</vt:i4>
      </vt:variant>
      <vt:variant>
        <vt:i4>12140</vt:i4>
      </vt:variant>
      <vt:variant>
        <vt:i4>0</vt:i4>
      </vt:variant>
      <vt:variant>
        <vt:i4>5</vt:i4>
      </vt:variant>
      <vt:variant>
        <vt:lpwstr/>
      </vt:variant>
      <vt:variant>
        <vt:lpwstr>Bjorda</vt:lpwstr>
      </vt:variant>
      <vt:variant>
        <vt:i4>7471216</vt:i4>
      </vt:variant>
      <vt:variant>
        <vt:i4>12137</vt:i4>
      </vt:variant>
      <vt:variant>
        <vt:i4>0</vt:i4>
      </vt:variant>
      <vt:variant>
        <vt:i4>5</vt:i4>
      </vt:variant>
      <vt:variant>
        <vt:lpwstr/>
      </vt:variant>
      <vt:variant>
        <vt:lpwstr>Biswal</vt:lpwstr>
      </vt:variant>
      <vt:variant>
        <vt:i4>1900637</vt:i4>
      </vt:variant>
      <vt:variant>
        <vt:i4>12134</vt:i4>
      </vt:variant>
      <vt:variant>
        <vt:i4>0</vt:i4>
      </vt:variant>
      <vt:variant>
        <vt:i4>5</vt:i4>
      </vt:variant>
      <vt:variant>
        <vt:lpwstr/>
      </vt:variant>
      <vt:variant>
        <vt:lpwstr>Bhattacharyya2012</vt:lpwstr>
      </vt:variant>
      <vt:variant>
        <vt:i4>458834</vt:i4>
      </vt:variant>
      <vt:variant>
        <vt:i4>12131</vt:i4>
      </vt:variant>
      <vt:variant>
        <vt:i4>0</vt:i4>
      </vt:variant>
      <vt:variant>
        <vt:i4>5</vt:i4>
      </vt:variant>
      <vt:variant>
        <vt:lpwstr/>
      </vt:variant>
      <vt:variant>
        <vt:lpwstr>Bhala2013</vt:lpwstr>
      </vt:variant>
      <vt:variant>
        <vt:i4>6815785</vt:i4>
      </vt:variant>
      <vt:variant>
        <vt:i4>12128</vt:i4>
      </vt:variant>
      <vt:variant>
        <vt:i4>0</vt:i4>
      </vt:variant>
      <vt:variant>
        <vt:i4>5</vt:i4>
      </vt:variant>
      <vt:variant>
        <vt:lpwstr/>
      </vt:variant>
      <vt:variant>
        <vt:lpwstr>Berlach2006</vt:lpwstr>
      </vt:variant>
      <vt:variant>
        <vt:i4>7405667</vt:i4>
      </vt:variant>
      <vt:variant>
        <vt:i4>12125</vt:i4>
      </vt:variant>
      <vt:variant>
        <vt:i4>0</vt:i4>
      </vt:variant>
      <vt:variant>
        <vt:i4>5</vt:i4>
      </vt:variant>
      <vt:variant>
        <vt:lpwstr/>
      </vt:variant>
      <vt:variant>
        <vt:lpwstr>Benzon</vt:lpwstr>
      </vt:variant>
      <vt:variant>
        <vt:i4>393228</vt:i4>
      </vt:variant>
      <vt:variant>
        <vt:i4>12122</vt:i4>
      </vt:variant>
      <vt:variant>
        <vt:i4>0</vt:i4>
      </vt:variant>
      <vt:variant>
        <vt:i4>5</vt:i4>
      </vt:variant>
      <vt:variant>
        <vt:lpwstr/>
      </vt:variant>
      <vt:variant>
        <vt:lpwstr>Benca</vt:lpwstr>
      </vt:variant>
      <vt:variant>
        <vt:i4>7929973</vt:i4>
      </vt:variant>
      <vt:variant>
        <vt:i4>12119</vt:i4>
      </vt:variant>
      <vt:variant>
        <vt:i4>0</vt:i4>
      </vt:variant>
      <vt:variant>
        <vt:i4>5</vt:i4>
      </vt:variant>
      <vt:variant>
        <vt:lpwstr/>
      </vt:variant>
      <vt:variant>
        <vt:lpwstr>Bartels</vt:lpwstr>
      </vt:variant>
      <vt:variant>
        <vt:i4>1507347</vt:i4>
      </vt:variant>
      <vt:variant>
        <vt:i4>12116</vt:i4>
      </vt:variant>
      <vt:variant>
        <vt:i4>0</vt:i4>
      </vt:variant>
      <vt:variant>
        <vt:i4>5</vt:i4>
      </vt:variant>
      <vt:variant>
        <vt:lpwstr/>
      </vt:variant>
      <vt:variant>
        <vt:lpwstr>Bart2012</vt:lpwstr>
      </vt:variant>
      <vt:variant>
        <vt:i4>6946917</vt:i4>
      </vt:variant>
      <vt:variant>
        <vt:i4>12113</vt:i4>
      </vt:variant>
      <vt:variant>
        <vt:i4>0</vt:i4>
      </vt:variant>
      <vt:variant>
        <vt:i4>5</vt:i4>
      </vt:variant>
      <vt:variant>
        <vt:lpwstr/>
      </vt:variant>
      <vt:variant>
        <vt:lpwstr>Barbui</vt:lpwstr>
      </vt:variant>
      <vt:variant>
        <vt:i4>7602213</vt:i4>
      </vt:variant>
      <vt:variant>
        <vt:i4>12110</vt:i4>
      </vt:variant>
      <vt:variant>
        <vt:i4>0</vt:i4>
      </vt:variant>
      <vt:variant>
        <vt:i4>5</vt:i4>
      </vt:variant>
      <vt:variant>
        <vt:lpwstr/>
      </vt:variant>
      <vt:variant>
        <vt:lpwstr>Barbaud2009</vt:lpwstr>
      </vt:variant>
      <vt:variant>
        <vt:i4>196678</vt:i4>
      </vt:variant>
      <vt:variant>
        <vt:i4>12107</vt:i4>
      </vt:variant>
      <vt:variant>
        <vt:i4>0</vt:i4>
      </vt:variant>
      <vt:variant>
        <vt:i4>5</vt:i4>
      </vt:variant>
      <vt:variant>
        <vt:lpwstr/>
      </vt:variant>
      <vt:variant>
        <vt:lpwstr>Baraf2011</vt:lpwstr>
      </vt:variant>
      <vt:variant>
        <vt:i4>1966086</vt:i4>
      </vt:variant>
      <vt:variant>
        <vt:i4>12104</vt:i4>
      </vt:variant>
      <vt:variant>
        <vt:i4>0</vt:i4>
      </vt:variant>
      <vt:variant>
        <vt:i4>5</vt:i4>
      </vt:variant>
      <vt:variant>
        <vt:lpwstr/>
      </vt:variant>
      <vt:variant>
        <vt:lpwstr>Bandelow</vt:lpwstr>
      </vt:variant>
      <vt:variant>
        <vt:i4>7078009</vt:i4>
      </vt:variant>
      <vt:variant>
        <vt:i4>12101</vt:i4>
      </vt:variant>
      <vt:variant>
        <vt:i4>0</vt:i4>
      </vt:variant>
      <vt:variant>
        <vt:i4>5</vt:i4>
      </vt:variant>
      <vt:variant>
        <vt:lpwstr/>
      </vt:variant>
      <vt:variant>
        <vt:lpwstr>Baldwin</vt:lpwstr>
      </vt:variant>
      <vt:variant>
        <vt:i4>6553712</vt:i4>
      </vt:variant>
      <vt:variant>
        <vt:i4>12098</vt:i4>
      </vt:variant>
      <vt:variant>
        <vt:i4>0</vt:i4>
      </vt:variant>
      <vt:variant>
        <vt:i4>5</vt:i4>
      </vt:variant>
      <vt:variant>
        <vt:lpwstr/>
      </vt:variant>
      <vt:variant>
        <vt:lpwstr>Baillargeon</vt:lpwstr>
      </vt:variant>
      <vt:variant>
        <vt:i4>458820</vt:i4>
      </vt:variant>
      <vt:variant>
        <vt:i4>12095</vt:i4>
      </vt:variant>
      <vt:variant>
        <vt:i4>0</vt:i4>
      </vt:variant>
      <vt:variant>
        <vt:i4>5</vt:i4>
      </vt:variant>
      <vt:variant>
        <vt:lpwstr/>
      </vt:variant>
      <vt:variant>
        <vt:lpwstr>Bader2013</vt:lpwstr>
      </vt:variant>
      <vt:variant>
        <vt:i4>262156</vt:i4>
      </vt:variant>
      <vt:variant>
        <vt:i4>12092</vt:i4>
      </vt:variant>
      <vt:variant>
        <vt:i4>0</vt:i4>
      </vt:variant>
      <vt:variant>
        <vt:i4>5</vt:i4>
      </vt:variant>
      <vt:variant>
        <vt:lpwstr/>
      </vt:variant>
      <vt:variant>
        <vt:lpwstr>Backonja1998</vt:lpwstr>
      </vt:variant>
      <vt:variant>
        <vt:i4>458758</vt:i4>
      </vt:variant>
      <vt:variant>
        <vt:i4>12089</vt:i4>
      </vt:variant>
      <vt:variant>
        <vt:i4>0</vt:i4>
      </vt:variant>
      <vt:variant>
        <vt:i4>5</vt:i4>
      </vt:variant>
      <vt:variant>
        <vt:lpwstr/>
      </vt:variant>
      <vt:variant>
        <vt:lpwstr>Backonja2002</vt:lpwstr>
      </vt:variant>
      <vt:variant>
        <vt:i4>65542</vt:i4>
      </vt:variant>
      <vt:variant>
        <vt:i4>12086</vt:i4>
      </vt:variant>
      <vt:variant>
        <vt:i4>0</vt:i4>
      </vt:variant>
      <vt:variant>
        <vt:i4>5</vt:i4>
      </vt:variant>
      <vt:variant>
        <vt:lpwstr/>
      </vt:variant>
      <vt:variant>
        <vt:lpwstr>Backonja2004</vt:lpwstr>
      </vt:variant>
      <vt:variant>
        <vt:i4>1376277</vt:i4>
      </vt:variant>
      <vt:variant>
        <vt:i4>12083</vt:i4>
      </vt:variant>
      <vt:variant>
        <vt:i4>0</vt:i4>
      </vt:variant>
      <vt:variant>
        <vt:i4>5</vt:i4>
      </vt:variant>
      <vt:variant>
        <vt:lpwstr/>
      </vt:variant>
      <vt:variant>
        <vt:lpwstr>Attal</vt:lpwstr>
      </vt:variant>
      <vt:variant>
        <vt:i4>1703951</vt:i4>
      </vt:variant>
      <vt:variant>
        <vt:i4>12080</vt:i4>
      </vt:variant>
      <vt:variant>
        <vt:i4>0</vt:i4>
      </vt:variant>
      <vt:variant>
        <vt:i4>5</vt:i4>
      </vt:variant>
      <vt:variant>
        <vt:lpwstr/>
      </vt:variant>
      <vt:variant>
        <vt:lpwstr>Asnis</vt:lpwstr>
      </vt:variant>
      <vt:variant>
        <vt:i4>6291556</vt:i4>
      </vt:variant>
      <vt:variant>
        <vt:i4>12077</vt:i4>
      </vt:variant>
      <vt:variant>
        <vt:i4>0</vt:i4>
      </vt:variant>
      <vt:variant>
        <vt:i4>5</vt:i4>
      </vt:variant>
      <vt:variant>
        <vt:lpwstr/>
      </vt:variant>
      <vt:variant>
        <vt:lpwstr>Ashton2009</vt:lpwstr>
      </vt:variant>
      <vt:variant>
        <vt:i4>6553710</vt:i4>
      </vt:variant>
      <vt:variant>
        <vt:i4>12074</vt:i4>
      </vt:variant>
      <vt:variant>
        <vt:i4>0</vt:i4>
      </vt:variant>
      <vt:variant>
        <vt:i4>5</vt:i4>
      </vt:variant>
      <vt:variant>
        <vt:lpwstr/>
      </vt:variant>
      <vt:variant>
        <vt:lpwstr>Ashton1994</vt:lpwstr>
      </vt:variant>
      <vt:variant>
        <vt:i4>6881382</vt:i4>
      </vt:variant>
      <vt:variant>
        <vt:i4>12071</vt:i4>
      </vt:variant>
      <vt:variant>
        <vt:i4>0</vt:i4>
      </vt:variant>
      <vt:variant>
        <vt:i4>5</vt:i4>
      </vt:variant>
      <vt:variant>
        <vt:lpwstr/>
      </vt:variant>
      <vt:variant>
        <vt:lpwstr>Ashton</vt:lpwstr>
      </vt:variant>
      <vt:variant>
        <vt:i4>7929955</vt:i4>
      </vt:variant>
      <vt:variant>
        <vt:i4>12068</vt:i4>
      </vt:variant>
      <vt:variant>
        <vt:i4>0</vt:i4>
      </vt:variant>
      <vt:variant>
        <vt:i4>5</vt:i4>
      </vt:variant>
      <vt:variant>
        <vt:lpwstr/>
      </vt:variant>
      <vt:variant>
        <vt:lpwstr>Arnold3</vt:lpwstr>
      </vt:variant>
      <vt:variant>
        <vt:i4>7929955</vt:i4>
      </vt:variant>
      <vt:variant>
        <vt:i4>12065</vt:i4>
      </vt:variant>
      <vt:variant>
        <vt:i4>0</vt:i4>
      </vt:variant>
      <vt:variant>
        <vt:i4>5</vt:i4>
      </vt:variant>
      <vt:variant>
        <vt:lpwstr/>
      </vt:variant>
      <vt:variant>
        <vt:lpwstr>Arnold2</vt:lpwstr>
      </vt:variant>
      <vt:variant>
        <vt:i4>7929955</vt:i4>
      </vt:variant>
      <vt:variant>
        <vt:i4>12062</vt:i4>
      </vt:variant>
      <vt:variant>
        <vt:i4>0</vt:i4>
      </vt:variant>
      <vt:variant>
        <vt:i4>5</vt:i4>
      </vt:variant>
      <vt:variant>
        <vt:lpwstr/>
      </vt:variant>
      <vt:variant>
        <vt:lpwstr>Arnold</vt:lpwstr>
      </vt:variant>
      <vt:variant>
        <vt:i4>8061024</vt:i4>
      </vt:variant>
      <vt:variant>
        <vt:i4>12059</vt:i4>
      </vt:variant>
      <vt:variant>
        <vt:i4>0</vt:i4>
      </vt:variant>
      <vt:variant>
        <vt:i4>5</vt:i4>
      </vt:variant>
      <vt:variant>
        <vt:lpwstr/>
      </vt:variant>
      <vt:variant>
        <vt:lpwstr>Argoff3</vt:lpwstr>
      </vt:variant>
      <vt:variant>
        <vt:i4>8061024</vt:i4>
      </vt:variant>
      <vt:variant>
        <vt:i4>12056</vt:i4>
      </vt:variant>
      <vt:variant>
        <vt:i4>0</vt:i4>
      </vt:variant>
      <vt:variant>
        <vt:i4>5</vt:i4>
      </vt:variant>
      <vt:variant>
        <vt:lpwstr/>
      </vt:variant>
      <vt:variant>
        <vt:lpwstr>Argoff2</vt:lpwstr>
      </vt:variant>
      <vt:variant>
        <vt:i4>8061024</vt:i4>
      </vt:variant>
      <vt:variant>
        <vt:i4>12053</vt:i4>
      </vt:variant>
      <vt:variant>
        <vt:i4>0</vt:i4>
      </vt:variant>
      <vt:variant>
        <vt:i4>5</vt:i4>
      </vt:variant>
      <vt:variant>
        <vt:lpwstr/>
      </vt:variant>
      <vt:variant>
        <vt:lpwstr>Argoff</vt:lpwstr>
      </vt:variant>
      <vt:variant>
        <vt:i4>1572882</vt:i4>
      </vt:variant>
      <vt:variant>
        <vt:i4>12050</vt:i4>
      </vt:variant>
      <vt:variant>
        <vt:i4>0</vt:i4>
      </vt:variant>
      <vt:variant>
        <vt:i4>5</vt:i4>
      </vt:variant>
      <vt:variant>
        <vt:lpwstr/>
      </vt:variant>
      <vt:variant>
        <vt:lpwstr>Appelboom</vt:lpwstr>
      </vt:variant>
      <vt:variant>
        <vt:i4>7143540</vt:i4>
      </vt:variant>
      <vt:variant>
        <vt:i4>12047</vt:i4>
      </vt:variant>
      <vt:variant>
        <vt:i4>0</vt:i4>
      </vt:variant>
      <vt:variant>
        <vt:i4>5</vt:i4>
      </vt:variant>
      <vt:variant>
        <vt:lpwstr/>
      </vt:variant>
      <vt:variant>
        <vt:lpwstr>Antman</vt:lpwstr>
      </vt:variant>
      <vt:variant>
        <vt:i4>7209057</vt:i4>
      </vt:variant>
      <vt:variant>
        <vt:i4>12044</vt:i4>
      </vt:variant>
      <vt:variant>
        <vt:i4>0</vt:i4>
      </vt:variant>
      <vt:variant>
        <vt:i4>5</vt:i4>
      </vt:variant>
      <vt:variant>
        <vt:lpwstr/>
      </vt:variant>
      <vt:variant>
        <vt:lpwstr>Ang</vt:lpwstr>
      </vt:variant>
      <vt:variant>
        <vt:i4>1966080</vt:i4>
      </vt:variant>
      <vt:variant>
        <vt:i4>12041</vt:i4>
      </vt:variant>
      <vt:variant>
        <vt:i4>0</vt:i4>
      </vt:variant>
      <vt:variant>
        <vt:i4>5</vt:i4>
      </vt:variant>
      <vt:variant>
        <vt:lpwstr/>
      </vt:variant>
      <vt:variant>
        <vt:lpwstr>ASAM</vt:lpwstr>
      </vt:variant>
      <vt:variant>
        <vt:i4>6750305</vt:i4>
      </vt:variant>
      <vt:variant>
        <vt:i4>12038</vt:i4>
      </vt:variant>
      <vt:variant>
        <vt:i4>0</vt:i4>
      </vt:variant>
      <vt:variant>
        <vt:i4>5</vt:i4>
      </vt:variant>
      <vt:variant>
        <vt:lpwstr/>
      </vt:variant>
      <vt:variant>
        <vt:lpwstr>AGS</vt:lpwstr>
      </vt:variant>
      <vt:variant>
        <vt:i4>7209079</vt:i4>
      </vt:variant>
      <vt:variant>
        <vt:i4>12035</vt:i4>
      </vt:variant>
      <vt:variant>
        <vt:i4>0</vt:i4>
      </vt:variant>
      <vt:variant>
        <vt:i4>5</vt:i4>
      </vt:variant>
      <vt:variant>
        <vt:lpwstr/>
      </vt:variant>
      <vt:variant>
        <vt:lpwstr>Altman2011</vt:lpwstr>
      </vt:variant>
      <vt:variant>
        <vt:i4>7274612</vt:i4>
      </vt:variant>
      <vt:variant>
        <vt:i4>12032</vt:i4>
      </vt:variant>
      <vt:variant>
        <vt:i4>0</vt:i4>
      </vt:variant>
      <vt:variant>
        <vt:i4>5</vt:i4>
      </vt:variant>
      <vt:variant>
        <vt:lpwstr/>
      </vt:variant>
      <vt:variant>
        <vt:lpwstr>Altman2</vt:lpwstr>
      </vt:variant>
      <vt:variant>
        <vt:i4>7274612</vt:i4>
      </vt:variant>
      <vt:variant>
        <vt:i4>12029</vt:i4>
      </vt:variant>
      <vt:variant>
        <vt:i4>0</vt:i4>
      </vt:variant>
      <vt:variant>
        <vt:i4>5</vt:i4>
      </vt:variant>
      <vt:variant>
        <vt:lpwstr/>
      </vt:variant>
      <vt:variant>
        <vt:lpwstr>Altman</vt:lpwstr>
      </vt:variant>
      <vt:variant>
        <vt:i4>6684790</vt:i4>
      </vt:variant>
      <vt:variant>
        <vt:i4>12026</vt:i4>
      </vt:variant>
      <vt:variant>
        <vt:i4>0</vt:i4>
      </vt:variant>
      <vt:variant>
        <vt:i4>5</vt:i4>
      </vt:variant>
      <vt:variant>
        <vt:lpwstr/>
      </vt:variant>
      <vt:variant>
        <vt:lpwstr>Alford2011</vt:lpwstr>
      </vt:variant>
      <vt:variant>
        <vt:i4>2031617</vt:i4>
      </vt:variant>
      <vt:variant>
        <vt:i4>12023</vt:i4>
      </vt:variant>
      <vt:variant>
        <vt:i4>0</vt:i4>
      </vt:variant>
      <vt:variant>
        <vt:i4>5</vt:i4>
      </vt:variant>
      <vt:variant>
        <vt:lpwstr/>
      </vt:variant>
      <vt:variant>
        <vt:lpwstr>Alexander</vt:lpwstr>
      </vt:variant>
      <vt:variant>
        <vt:i4>7929955</vt:i4>
      </vt:variant>
      <vt:variant>
        <vt:i4>12020</vt:i4>
      </vt:variant>
      <vt:variant>
        <vt:i4>0</vt:i4>
      </vt:variant>
      <vt:variant>
        <vt:i4>5</vt:i4>
      </vt:variant>
      <vt:variant>
        <vt:lpwstr/>
      </vt:variant>
      <vt:variant>
        <vt:lpwstr>AHFSDrugInformation</vt:lpwstr>
      </vt:variant>
      <vt:variant>
        <vt:i4>6553634</vt:i4>
      </vt:variant>
      <vt:variant>
        <vt:i4>12017</vt:i4>
      </vt:variant>
      <vt:variant>
        <vt:i4>0</vt:i4>
      </vt:variant>
      <vt:variant>
        <vt:i4>5</vt:i4>
      </vt:variant>
      <vt:variant>
        <vt:lpwstr/>
      </vt:variant>
      <vt:variant>
        <vt:lpwstr>AGS2012</vt:lpwstr>
      </vt:variant>
      <vt:variant>
        <vt:i4>6619190</vt:i4>
      </vt:variant>
      <vt:variant>
        <vt:i4>12014</vt:i4>
      </vt:variant>
      <vt:variant>
        <vt:i4>0</vt:i4>
      </vt:variant>
      <vt:variant>
        <vt:i4>5</vt:i4>
      </vt:variant>
      <vt:variant>
        <vt:lpwstr/>
      </vt:variant>
      <vt:variant>
        <vt:lpwstr>Afilalo2010</vt:lpwstr>
      </vt:variant>
      <vt:variant>
        <vt:i4>458767</vt:i4>
      </vt:variant>
      <vt:variant>
        <vt:i4>12011</vt:i4>
      </vt:variant>
      <vt:variant>
        <vt:i4>0</vt:i4>
      </vt:variant>
      <vt:variant>
        <vt:i4>5</vt:i4>
      </vt:variant>
      <vt:variant>
        <vt:lpwstr/>
      </vt:variant>
      <vt:variant>
        <vt:lpwstr>Affaitati</vt:lpwstr>
      </vt:variant>
      <vt:variant>
        <vt:i4>655427</vt:i4>
      </vt:variant>
      <vt:variant>
        <vt:i4>12008</vt:i4>
      </vt:variant>
      <vt:variant>
        <vt:i4>0</vt:i4>
      </vt:variant>
      <vt:variant>
        <vt:i4>5</vt:i4>
      </vt:variant>
      <vt:variant>
        <vt:lpwstr/>
      </vt:variant>
      <vt:variant>
        <vt:lpwstr>Adams2011</vt:lpwstr>
      </vt:variant>
      <vt:variant>
        <vt:i4>327705</vt:i4>
      </vt:variant>
      <vt:variant>
        <vt:i4>12005</vt:i4>
      </vt:variant>
      <vt:variant>
        <vt:i4>0</vt:i4>
      </vt:variant>
      <vt:variant>
        <vt:i4>5</vt:i4>
      </vt:variant>
      <vt:variant>
        <vt:lpwstr/>
      </vt:variant>
      <vt:variant>
        <vt:lpwstr>Ackerman</vt:lpwstr>
      </vt:variant>
      <vt:variant>
        <vt:i4>6422625</vt:i4>
      </vt:variant>
      <vt:variant>
        <vt:i4>12002</vt:i4>
      </vt:variant>
      <vt:variant>
        <vt:i4>0</vt:i4>
      </vt:variant>
      <vt:variant>
        <vt:i4>5</vt:i4>
      </vt:variant>
      <vt:variant>
        <vt:lpwstr/>
      </vt:variant>
      <vt:variant>
        <vt:lpwstr>Abs</vt:lpwstr>
      </vt:variant>
      <vt:variant>
        <vt:i4>7405693</vt:i4>
      </vt:variant>
      <vt:variant>
        <vt:i4>11999</vt:i4>
      </vt:variant>
      <vt:variant>
        <vt:i4>0</vt:i4>
      </vt:variant>
      <vt:variant>
        <vt:i4>5</vt:i4>
      </vt:variant>
      <vt:variant>
        <vt:lpwstr/>
      </vt:variant>
      <vt:variant>
        <vt:lpwstr>Abrams2011</vt:lpwstr>
      </vt:variant>
      <vt:variant>
        <vt:i4>6488173</vt:i4>
      </vt:variant>
      <vt:variant>
        <vt:i4>11996</vt:i4>
      </vt:variant>
      <vt:variant>
        <vt:i4>0</vt:i4>
      </vt:variant>
      <vt:variant>
        <vt:i4>5</vt:i4>
      </vt:variant>
      <vt:variant>
        <vt:lpwstr/>
      </vt:variant>
      <vt:variant>
        <vt:lpwstr>Perrot</vt:lpwstr>
      </vt:variant>
      <vt:variant>
        <vt:i4>8257646</vt:i4>
      </vt:variant>
      <vt:variant>
        <vt:i4>11993</vt:i4>
      </vt:variant>
      <vt:variant>
        <vt:i4>0</vt:i4>
      </vt:variant>
      <vt:variant>
        <vt:i4>5</vt:i4>
      </vt:variant>
      <vt:variant>
        <vt:lpwstr/>
      </vt:variant>
      <vt:variant>
        <vt:lpwstr>Manchikanti</vt:lpwstr>
      </vt:variant>
      <vt:variant>
        <vt:i4>7995444</vt:i4>
      </vt:variant>
      <vt:variant>
        <vt:i4>11990</vt:i4>
      </vt:variant>
      <vt:variant>
        <vt:i4>0</vt:i4>
      </vt:variant>
      <vt:variant>
        <vt:i4>5</vt:i4>
      </vt:variant>
      <vt:variant>
        <vt:lpwstr/>
      </vt:variant>
      <vt:variant>
        <vt:lpwstr>Littner2003</vt:lpwstr>
      </vt:variant>
      <vt:variant>
        <vt:i4>655386</vt:i4>
      </vt:variant>
      <vt:variant>
        <vt:i4>11987</vt:i4>
      </vt:variant>
      <vt:variant>
        <vt:i4>0</vt:i4>
      </vt:variant>
      <vt:variant>
        <vt:i4>5</vt:i4>
      </vt:variant>
      <vt:variant>
        <vt:lpwstr/>
      </vt:variant>
      <vt:variant>
        <vt:lpwstr>ICSI</vt:lpwstr>
      </vt:variant>
      <vt:variant>
        <vt:i4>6684779</vt:i4>
      </vt:variant>
      <vt:variant>
        <vt:i4>11984</vt:i4>
      </vt:variant>
      <vt:variant>
        <vt:i4>0</vt:i4>
      </vt:variant>
      <vt:variant>
        <vt:i4>5</vt:i4>
      </vt:variant>
      <vt:variant>
        <vt:lpwstr/>
      </vt:variant>
      <vt:variant>
        <vt:lpwstr>Federation2</vt:lpwstr>
      </vt:variant>
      <vt:variant>
        <vt:i4>7209060</vt:i4>
      </vt:variant>
      <vt:variant>
        <vt:i4>11981</vt:i4>
      </vt:variant>
      <vt:variant>
        <vt:i4>0</vt:i4>
      </vt:variant>
      <vt:variant>
        <vt:i4>5</vt:i4>
      </vt:variant>
      <vt:variant>
        <vt:lpwstr/>
      </vt:variant>
      <vt:variant>
        <vt:lpwstr>Atkins</vt:lpwstr>
      </vt:variant>
      <vt:variant>
        <vt:i4>8061044</vt:i4>
      </vt:variant>
      <vt:variant>
        <vt:i4>11978</vt:i4>
      </vt:variant>
      <vt:variant>
        <vt:i4>0</vt:i4>
      </vt:variant>
      <vt:variant>
        <vt:i4>5</vt:i4>
      </vt:variant>
      <vt:variant>
        <vt:lpwstr/>
      </vt:variant>
      <vt:variant>
        <vt:lpwstr>Airaksinen2</vt:lpwstr>
      </vt:variant>
      <vt:variant>
        <vt:i4>8323188</vt:i4>
      </vt:variant>
      <vt:variant>
        <vt:i4>11975</vt:i4>
      </vt:variant>
      <vt:variant>
        <vt:i4>0</vt:i4>
      </vt:variant>
      <vt:variant>
        <vt:i4>5</vt:i4>
      </vt:variant>
      <vt:variant>
        <vt:lpwstr/>
      </vt:variant>
      <vt:variant>
        <vt:lpwstr>YousefiNooraie</vt:lpwstr>
      </vt:variant>
      <vt:variant>
        <vt:i4>6</vt:i4>
      </vt:variant>
      <vt:variant>
        <vt:i4>11972</vt:i4>
      </vt:variant>
      <vt:variant>
        <vt:i4>0</vt:i4>
      </vt:variant>
      <vt:variant>
        <vt:i4>5</vt:i4>
      </vt:variant>
      <vt:variant>
        <vt:lpwstr/>
      </vt:variant>
      <vt:variant>
        <vt:lpwstr>Yokoyama</vt:lpwstr>
      </vt:variant>
      <vt:variant>
        <vt:i4>6488189</vt:i4>
      </vt:variant>
      <vt:variant>
        <vt:i4>11969</vt:i4>
      </vt:variant>
      <vt:variant>
        <vt:i4>0</vt:i4>
      </vt:variant>
      <vt:variant>
        <vt:i4>5</vt:i4>
      </vt:variant>
      <vt:variant>
        <vt:lpwstr/>
      </vt:variant>
      <vt:variant>
        <vt:lpwstr>Tulder</vt:lpwstr>
      </vt:variant>
      <vt:variant>
        <vt:i4>3014778</vt:i4>
      </vt:variant>
      <vt:variant>
        <vt:i4>11966</vt:i4>
      </vt:variant>
      <vt:variant>
        <vt:i4>0</vt:i4>
      </vt:variant>
      <vt:variant>
        <vt:i4>5</vt:i4>
      </vt:variant>
      <vt:variant>
        <vt:lpwstr/>
      </vt:variant>
      <vt:variant>
        <vt:lpwstr>Schnitzer2</vt:lpwstr>
      </vt:variant>
      <vt:variant>
        <vt:i4>393231</vt:i4>
      </vt:variant>
      <vt:variant>
        <vt:i4>11963</vt:i4>
      </vt:variant>
      <vt:variant>
        <vt:i4>0</vt:i4>
      </vt:variant>
      <vt:variant>
        <vt:i4>5</vt:i4>
      </vt:variant>
      <vt:variant>
        <vt:lpwstr/>
      </vt:variant>
      <vt:variant>
        <vt:lpwstr>Fritz</vt:lpwstr>
      </vt:variant>
      <vt:variant>
        <vt:i4>327756</vt:i4>
      </vt:variant>
      <vt:variant>
        <vt:i4>11960</vt:i4>
      </vt:variant>
      <vt:variant>
        <vt:i4>0</vt:i4>
      </vt:variant>
      <vt:variant>
        <vt:i4>5</vt:i4>
      </vt:variant>
      <vt:variant>
        <vt:lpwstr/>
      </vt:variant>
      <vt:variant>
        <vt:lpwstr>Zhang2014</vt:lpwstr>
      </vt:variant>
      <vt:variant>
        <vt:i4>6488162</vt:i4>
      </vt:variant>
      <vt:variant>
        <vt:i4>11957</vt:i4>
      </vt:variant>
      <vt:variant>
        <vt:i4>0</vt:i4>
      </vt:variant>
      <vt:variant>
        <vt:i4>5</vt:i4>
      </vt:variant>
      <vt:variant>
        <vt:lpwstr/>
      </vt:variant>
      <vt:variant>
        <vt:lpwstr>Yentur</vt:lpwstr>
      </vt:variant>
      <vt:variant>
        <vt:i4>589846</vt:i4>
      </vt:variant>
      <vt:variant>
        <vt:i4>11954</vt:i4>
      </vt:variant>
      <vt:variant>
        <vt:i4>0</vt:i4>
      </vt:variant>
      <vt:variant>
        <vt:i4>5</vt:i4>
      </vt:variant>
      <vt:variant>
        <vt:lpwstr/>
      </vt:variant>
      <vt:variant>
        <vt:lpwstr>Varrassi</vt:lpwstr>
      </vt:variant>
      <vt:variant>
        <vt:i4>1376274</vt:i4>
      </vt:variant>
      <vt:variant>
        <vt:i4>11951</vt:i4>
      </vt:variant>
      <vt:variant>
        <vt:i4>0</vt:i4>
      </vt:variant>
      <vt:variant>
        <vt:i4>5</vt:i4>
      </vt:variant>
      <vt:variant>
        <vt:lpwstr/>
      </vt:variant>
      <vt:variant>
        <vt:lpwstr>Staal</vt:lpwstr>
      </vt:variant>
      <vt:variant>
        <vt:i4>6291554</vt:i4>
      </vt:variant>
      <vt:variant>
        <vt:i4>11948</vt:i4>
      </vt:variant>
      <vt:variant>
        <vt:i4>0</vt:i4>
      </vt:variant>
      <vt:variant>
        <vt:i4>5</vt:i4>
      </vt:variant>
      <vt:variant>
        <vt:lpwstr/>
      </vt:variant>
      <vt:variant>
        <vt:lpwstr>Spruce</vt:lpwstr>
      </vt:variant>
      <vt:variant>
        <vt:i4>917535</vt:i4>
      </vt:variant>
      <vt:variant>
        <vt:i4>11945</vt:i4>
      </vt:variant>
      <vt:variant>
        <vt:i4>0</vt:i4>
      </vt:variant>
      <vt:variant>
        <vt:i4>5</vt:i4>
      </vt:variant>
      <vt:variant>
        <vt:lpwstr/>
      </vt:variant>
      <vt:variant>
        <vt:lpwstr>Solak</vt:lpwstr>
      </vt:variant>
      <vt:variant>
        <vt:i4>7012456</vt:i4>
      </vt:variant>
      <vt:variant>
        <vt:i4>11942</vt:i4>
      </vt:variant>
      <vt:variant>
        <vt:i4>0</vt:i4>
      </vt:variant>
      <vt:variant>
        <vt:i4>5</vt:i4>
      </vt:variant>
      <vt:variant>
        <vt:lpwstr/>
      </vt:variant>
      <vt:variant>
        <vt:lpwstr>SatorKatzenschlager</vt:lpwstr>
      </vt:variant>
      <vt:variant>
        <vt:i4>6684777</vt:i4>
      </vt:variant>
      <vt:variant>
        <vt:i4>11939</vt:i4>
      </vt:variant>
      <vt:variant>
        <vt:i4>0</vt:i4>
      </vt:variant>
      <vt:variant>
        <vt:i4>5</vt:i4>
      </vt:variant>
      <vt:variant>
        <vt:lpwstr/>
      </vt:variant>
      <vt:variant>
        <vt:lpwstr>Rosenquist</vt:lpwstr>
      </vt:variant>
      <vt:variant>
        <vt:i4>3932275</vt:i4>
      </vt:variant>
      <vt:variant>
        <vt:i4>11936</vt:i4>
      </vt:variant>
      <vt:variant>
        <vt:i4>0</vt:i4>
      </vt:variant>
      <vt:variant>
        <vt:i4>5</vt:i4>
      </vt:variant>
      <vt:variant>
        <vt:lpwstr/>
      </vt:variant>
      <vt:variant>
        <vt:lpwstr>Novak2</vt:lpwstr>
      </vt:variant>
      <vt:variant>
        <vt:i4>6881390</vt:i4>
      </vt:variant>
      <vt:variant>
        <vt:i4>11933</vt:i4>
      </vt:variant>
      <vt:variant>
        <vt:i4>0</vt:i4>
      </vt:variant>
      <vt:variant>
        <vt:i4>5</vt:i4>
      </vt:variant>
      <vt:variant>
        <vt:lpwstr/>
      </vt:variant>
      <vt:variant>
        <vt:lpwstr>Niv</vt:lpwstr>
      </vt:variant>
      <vt:variant>
        <vt:i4>15335547</vt:i4>
      </vt:variant>
      <vt:variant>
        <vt:i4>11930</vt:i4>
      </vt:variant>
      <vt:variant>
        <vt:i4>0</vt:i4>
      </vt:variant>
      <vt:variant>
        <vt:i4>5</vt:i4>
      </vt:variant>
      <vt:variant>
        <vt:lpwstr/>
      </vt:variant>
      <vt:variant>
        <vt:lpwstr>Nifosì</vt:lpwstr>
      </vt:variant>
      <vt:variant>
        <vt:i4>7864429</vt:i4>
      </vt:variant>
      <vt:variant>
        <vt:i4>11927</vt:i4>
      </vt:variant>
      <vt:variant>
        <vt:i4>0</vt:i4>
      </vt:variant>
      <vt:variant>
        <vt:i4>5</vt:i4>
      </vt:variant>
      <vt:variant>
        <vt:lpwstr/>
      </vt:variant>
      <vt:variant>
        <vt:lpwstr>Nelson</vt:lpwstr>
      </vt:variant>
      <vt:variant>
        <vt:i4>196636</vt:i4>
      </vt:variant>
      <vt:variant>
        <vt:i4>11924</vt:i4>
      </vt:variant>
      <vt:variant>
        <vt:i4>0</vt:i4>
      </vt:variant>
      <vt:variant>
        <vt:i4>5</vt:i4>
      </vt:variant>
      <vt:variant>
        <vt:lpwstr/>
      </vt:variant>
      <vt:variant>
        <vt:lpwstr>Cochrane</vt:lpwstr>
      </vt:variant>
      <vt:variant>
        <vt:i4>7798884</vt:i4>
      </vt:variant>
      <vt:variant>
        <vt:i4>11921</vt:i4>
      </vt:variant>
      <vt:variant>
        <vt:i4>0</vt:i4>
      </vt:variant>
      <vt:variant>
        <vt:i4>5</vt:i4>
      </vt:variant>
      <vt:variant>
        <vt:lpwstr/>
      </vt:variant>
      <vt:variant>
        <vt:lpwstr>Miller</vt:lpwstr>
      </vt:variant>
      <vt:variant>
        <vt:i4>65538</vt:i4>
      </vt:variant>
      <vt:variant>
        <vt:i4>11918</vt:i4>
      </vt:variant>
      <vt:variant>
        <vt:i4>0</vt:i4>
      </vt:variant>
      <vt:variant>
        <vt:i4>5</vt:i4>
      </vt:variant>
      <vt:variant>
        <vt:lpwstr/>
      </vt:variant>
      <vt:variant>
        <vt:lpwstr>Lundeberg</vt:lpwstr>
      </vt:variant>
      <vt:variant>
        <vt:i4>655360</vt:i4>
      </vt:variant>
      <vt:variant>
        <vt:i4>11915</vt:i4>
      </vt:variant>
      <vt:variant>
        <vt:i4>0</vt:i4>
      </vt:variant>
      <vt:variant>
        <vt:i4>5</vt:i4>
      </vt:variant>
      <vt:variant>
        <vt:lpwstr/>
      </vt:variant>
      <vt:variant>
        <vt:lpwstr>Koke</vt:lpwstr>
      </vt:variant>
      <vt:variant>
        <vt:i4>7209073</vt:i4>
      </vt:variant>
      <vt:variant>
        <vt:i4>11912</vt:i4>
      </vt:variant>
      <vt:variant>
        <vt:i4>0</vt:i4>
      </vt:variant>
      <vt:variant>
        <vt:i4>5</vt:i4>
      </vt:variant>
      <vt:variant>
        <vt:lpwstr/>
      </vt:variant>
      <vt:variant>
        <vt:lpwstr>Johnson</vt:lpwstr>
      </vt:variant>
      <vt:variant>
        <vt:i4>2031625</vt:i4>
      </vt:variant>
      <vt:variant>
        <vt:i4>11909</vt:i4>
      </vt:variant>
      <vt:variant>
        <vt:i4>0</vt:i4>
      </vt:variant>
      <vt:variant>
        <vt:i4>5</vt:i4>
      </vt:variant>
      <vt:variant>
        <vt:lpwstr/>
      </vt:variant>
      <vt:variant>
        <vt:lpwstr>International</vt:lpwstr>
      </vt:variant>
      <vt:variant>
        <vt:i4>6684770</vt:i4>
      </vt:variant>
      <vt:variant>
        <vt:i4>11906</vt:i4>
      </vt:variant>
      <vt:variant>
        <vt:i4>0</vt:i4>
      </vt:variant>
      <vt:variant>
        <vt:i4>5</vt:i4>
      </vt:variant>
      <vt:variant>
        <vt:lpwstr/>
      </vt:variant>
      <vt:variant>
        <vt:lpwstr>Holzer2011</vt:lpwstr>
      </vt:variant>
      <vt:variant>
        <vt:i4>1507339</vt:i4>
      </vt:variant>
      <vt:variant>
        <vt:i4>11903</vt:i4>
      </vt:variant>
      <vt:variant>
        <vt:i4>0</vt:i4>
      </vt:variant>
      <vt:variant>
        <vt:i4>5</vt:i4>
      </vt:variant>
      <vt:variant>
        <vt:lpwstr/>
      </vt:variant>
      <vt:variant>
        <vt:lpwstr>Hartrick</vt:lpwstr>
      </vt:variant>
      <vt:variant>
        <vt:i4>7012457</vt:i4>
      </vt:variant>
      <vt:variant>
        <vt:i4>11900</vt:i4>
      </vt:variant>
      <vt:variant>
        <vt:i4>0</vt:i4>
      </vt:variant>
      <vt:variant>
        <vt:i4>5</vt:i4>
      </vt:variant>
      <vt:variant>
        <vt:lpwstr/>
      </vt:variant>
      <vt:variant>
        <vt:lpwstr>Ghoname</vt:lpwstr>
      </vt:variant>
      <vt:variant>
        <vt:i4>7798901</vt:i4>
      </vt:variant>
      <vt:variant>
        <vt:i4>11897</vt:i4>
      </vt:variant>
      <vt:variant>
        <vt:i4>0</vt:i4>
      </vt:variant>
      <vt:variant>
        <vt:i4>5</vt:i4>
      </vt:variant>
      <vt:variant>
        <vt:lpwstr/>
      </vt:variant>
      <vt:variant>
        <vt:lpwstr>Furlan3</vt:lpwstr>
      </vt:variant>
      <vt:variant>
        <vt:i4>4653076</vt:i4>
      </vt:variant>
      <vt:variant>
        <vt:i4>11894</vt:i4>
      </vt:variant>
      <vt:variant>
        <vt:i4>0</vt:i4>
      </vt:variant>
      <vt:variant>
        <vt:i4>5</vt:i4>
      </vt:variant>
      <vt:variant>
        <vt:lpwstr/>
      </vt:variant>
      <vt:variant>
        <vt:lpwstr>Forouzanfar2</vt:lpwstr>
      </vt:variant>
      <vt:variant>
        <vt:i4>7602285</vt:i4>
      </vt:variant>
      <vt:variant>
        <vt:i4>11891</vt:i4>
      </vt:variant>
      <vt:variant>
        <vt:i4>0</vt:i4>
      </vt:variant>
      <vt:variant>
        <vt:i4>5</vt:i4>
      </vt:variant>
      <vt:variant>
        <vt:lpwstr/>
      </vt:variant>
      <vt:variant>
        <vt:lpwstr>Finsen</vt:lpwstr>
      </vt:variant>
      <vt:variant>
        <vt:i4>7864441</vt:i4>
      </vt:variant>
      <vt:variant>
        <vt:i4>11888</vt:i4>
      </vt:variant>
      <vt:variant>
        <vt:i4>0</vt:i4>
      </vt:variant>
      <vt:variant>
        <vt:i4>5</vt:i4>
      </vt:variant>
      <vt:variant>
        <vt:lpwstr/>
      </vt:variant>
      <vt:variant>
        <vt:lpwstr>Esenyel</vt:lpwstr>
      </vt:variant>
      <vt:variant>
        <vt:i4>8126566</vt:i4>
      </vt:variant>
      <vt:variant>
        <vt:i4>11885</vt:i4>
      </vt:variant>
      <vt:variant>
        <vt:i4>0</vt:i4>
      </vt:variant>
      <vt:variant>
        <vt:i4>5</vt:i4>
      </vt:variant>
      <vt:variant>
        <vt:lpwstr/>
      </vt:variant>
      <vt:variant>
        <vt:lpwstr>Erdogan</vt:lpwstr>
      </vt:variant>
      <vt:variant>
        <vt:i4>7340145</vt:i4>
      </vt:variant>
      <vt:variant>
        <vt:i4>11882</vt:i4>
      </vt:variant>
      <vt:variant>
        <vt:i4>0</vt:i4>
      </vt:variant>
      <vt:variant>
        <vt:i4>5</vt:i4>
      </vt:variant>
      <vt:variant>
        <vt:lpwstr/>
      </vt:variant>
      <vt:variant>
        <vt:lpwstr>Distel2011</vt:lpwstr>
      </vt:variant>
      <vt:variant>
        <vt:i4>327680</vt:i4>
      </vt:variant>
      <vt:variant>
        <vt:i4>11879</vt:i4>
      </vt:variant>
      <vt:variant>
        <vt:i4>0</vt:i4>
      </vt:variant>
      <vt:variant>
        <vt:i4>5</vt:i4>
      </vt:variant>
      <vt:variant>
        <vt:lpwstr/>
      </vt:variant>
      <vt:variant>
        <vt:lpwstr>Cummings</vt:lpwstr>
      </vt:variant>
      <vt:variant>
        <vt:i4>6619234</vt:i4>
      </vt:variant>
      <vt:variant>
        <vt:i4>11876</vt:i4>
      </vt:variant>
      <vt:variant>
        <vt:i4>0</vt:i4>
      </vt:variant>
      <vt:variant>
        <vt:i4>5</vt:i4>
      </vt:variant>
      <vt:variant>
        <vt:lpwstr/>
      </vt:variant>
      <vt:variant>
        <vt:lpwstr>Condon</vt:lpwstr>
      </vt:variant>
      <vt:variant>
        <vt:i4>393228</vt:i4>
      </vt:variant>
      <vt:variant>
        <vt:i4>11873</vt:i4>
      </vt:variant>
      <vt:variant>
        <vt:i4>0</vt:i4>
      </vt:variant>
      <vt:variant>
        <vt:i4>5</vt:i4>
      </vt:variant>
      <vt:variant>
        <vt:lpwstr/>
      </vt:variant>
      <vt:variant>
        <vt:lpwstr>Chong</vt:lpwstr>
      </vt:variant>
      <vt:variant>
        <vt:i4>6488181</vt:i4>
      </vt:variant>
      <vt:variant>
        <vt:i4>11870</vt:i4>
      </vt:variant>
      <vt:variant>
        <vt:i4>0</vt:i4>
      </vt:variant>
      <vt:variant>
        <vt:i4>5</vt:i4>
      </vt:variant>
      <vt:variant>
        <vt:lpwstr/>
      </vt:variant>
      <vt:variant>
        <vt:lpwstr>Cepeda2002</vt:lpwstr>
      </vt:variant>
      <vt:variant>
        <vt:i4>6619237</vt:i4>
      </vt:variant>
      <vt:variant>
        <vt:i4>11867</vt:i4>
      </vt:variant>
      <vt:variant>
        <vt:i4>0</vt:i4>
      </vt:variant>
      <vt:variant>
        <vt:i4>5</vt:i4>
      </vt:variant>
      <vt:variant>
        <vt:lpwstr/>
      </vt:variant>
      <vt:variant>
        <vt:lpwstr>CaliforniaTech</vt:lpwstr>
      </vt:variant>
      <vt:variant>
        <vt:i4>7274623</vt:i4>
      </vt:variant>
      <vt:variant>
        <vt:i4>11864</vt:i4>
      </vt:variant>
      <vt:variant>
        <vt:i4>0</vt:i4>
      </vt:variant>
      <vt:variant>
        <vt:i4>5</vt:i4>
      </vt:variant>
      <vt:variant>
        <vt:lpwstr/>
      </vt:variant>
      <vt:variant>
        <vt:lpwstr>Burton</vt:lpwstr>
      </vt:variant>
      <vt:variant>
        <vt:i4>1769479</vt:i4>
      </vt:variant>
      <vt:variant>
        <vt:i4>11861</vt:i4>
      </vt:variant>
      <vt:variant>
        <vt:i4>0</vt:i4>
      </vt:variant>
      <vt:variant>
        <vt:i4>5</vt:i4>
      </vt:variant>
      <vt:variant>
        <vt:lpwstr/>
      </vt:variant>
      <vt:variant>
        <vt:lpwstr>Breit</vt:lpwstr>
      </vt:variant>
      <vt:variant>
        <vt:i4>6357041</vt:i4>
      </vt:variant>
      <vt:variant>
        <vt:i4>11858</vt:i4>
      </vt:variant>
      <vt:variant>
        <vt:i4>0</vt:i4>
      </vt:variant>
      <vt:variant>
        <vt:i4>5</vt:i4>
      </vt:variant>
      <vt:variant>
        <vt:lpwstr/>
      </vt:variant>
      <vt:variant>
        <vt:lpwstr>BlueCrossBlueShield991</vt:lpwstr>
      </vt:variant>
      <vt:variant>
        <vt:i4>5242888</vt:i4>
      </vt:variant>
      <vt:variant>
        <vt:i4>11855</vt:i4>
      </vt:variant>
      <vt:variant>
        <vt:i4>0</vt:i4>
      </vt:variant>
      <vt:variant>
        <vt:i4>5</vt:i4>
      </vt:variant>
      <vt:variant>
        <vt:lpwstr/>
      </vt:variant>
      <vt:variant>
        <vt:lpwstr>BlueCrossBlueShield99</vt:lpwstr>
      </vt:variant>
      <vt:variant>
        <vt:i4>6160392</vt:i4>
      </vt:variant>
      <vt:variant>
        <vt:i4>11852</vt:i4>
      </vt:variant>
      <vt:variant>
        <vt:i4>0</vt:i4>
      </vt:variant>
      <vt:variant>
        <vt:i4>5</vt:i4>
      </vt:variant>
      <vt:variant>
        <vt:lpwstr/>
      </vt:variant>
      <vt:variant>
        <vt:lpwstr>BlueCrossBlueShield7</vt:lpwstr>
      </vt:variant>
      <vt:variant>
        <vt:i4>6225928</vt:i4>
      </vt:variant>
      <vt:variant>
        <vt:i4>11849</vt:i4>
      </vt:variant>
      <vt:variant>
        <vt:i4>0</vt:i4>
      </vt:variant>
      <vt:variant>
        <vt:i4>5</vt:i4>
      </vt:variant>
      <vt:variant>
        <vt:lpwstr/>
      </vt:variant>
      <vt:variant>
        <vt:lpwstr>BlueCrossBlueShield6</vt:lpwstr>
      </vt:variant>
      <vt:variant>
        <vt:i4>6029320</vt:i4>
      </vt:variant>
      <vt:variant>
        <vt:i4>11846</vt:i4>
      </vt:variant>
      <vt:variant>
        <vt:i4>0</vt:i4>
      </vt:variant>
      <vt:variant>
        <vt:i4>5</vt:i4>
      </vt:variant>
      <vt:variant>
        <vt:lpwstr/>
      </vt:variant>
      <vt:variant>
        <vt:lpwstr>BlueCrossBlueShield5</vt:lpwstr>
      </vt:variant>
      <vt:variant>
        <vt:i4>6094856</vt:i4>
      </vt:variant>
      <vt:variant>
        <vt:i4>11843</vt:i4>
      </vt:variant>
      <vt:variant>
        <vt:i4>0</vt:i4>
      </vt:variant>
      <vt:variant>
        <vt:i4>5</vt:i4>
      </vt:variant>
      <vt:variant>
        <vt:lpwstr/>
      </vt:variant>
      <vt:variant>
        <vt:lpwstr>BlueCrossBlueShield4</vt:lpwstr>
      </vt:variant>
      <vt:variant>
        <vt:i4>1048581</vt:i4>
      </vt:variant>
      <vt:variant>
        <vt:i4>11840</vt:i4>
      </vt:variant>
      <vt:variant>
        <vt:i4>0</vt:i4>
      </vt:variant>
      <vt:variant>
        <vt:i4>5</vt:i4>
      </vt:variant>
      <vt:variant>
        <vt:lpwstr/>
      </vt:variant>
      <vt:variant>
        <vt:lpwstr>Aydin</vt:lpwstr>
      </vt:variant>
      <vt:variant>
        <vt:i4>6815845</vt:i4>
      </vt:variant>
      <vt:variant>
        <vt:i4>11837</vt:i4>
      </vt:variant>
      <vt:variant>
        <vt:i4>0</vt:i4>
      </vt:variant>
      <vt:variant>
        <vt:i4>5</vt:i4>
      </vt:variant>
      <vt:variant>
        <vt:lpwstr/>
      </vt:variant>
      <vt:variant>
        <vt:lpwstr>Alvarez</vt:lpwstr>
      </vt:variant>
      <vt:variant>
        <vt:i4>393242</vt:i4>
      </vt:variant>
      <vt:variant>
        <vt:i4>11834</vt:i4>
      </vt:variant>
      <vt:variant>
        <vt:i4>0</vt:i4>
      </vt:variant>
      <vt:variant>
        <vt:i4>5</vt:i4>
      </vt:variant>
      <vt:variant>
        <vt:lpwstr/>
      </vt:variant>
      <vt:variant>
        <vt:lpwstr>Altindag</vt:lpwstr>
      </vt:variant>
      <vt:variant>
        <vt:i4>3735668</vt:i4>
      </vt:variant>
      <vt:variant>
        <vt:i4>11831</vt:i4>
      </vt:variant>
      <vt:variant>
        <vt:i4>0</vt:i4>
      </vt:variant>
      <vt:variant>
        <vt:i4>5</vt:i4>
      </vt:variant>
      <vt:variant>
        <vt:lpwstr/>
      </vt:variant>
      <vt:variant>
        <vt:lpwstr>Aetna2</vt:lpwstr>
      </vt:variant>
      <vt:variant>
        <vt:i4>327705</vt:i4>
      </vt:variant>
      <vt:variant>
        <vt:i4>11828</vt:i4>
      </vt:variant>
      <vt:variant>
        <vt:i4>0</vt:i4>
      </vt:variant>
      <vt:variant>
        <vt:i4>5</vt:i4>
      </vt:variant>
      <vt:variant>
        <vt:lpwstr/>
      </vt:variant>
      <vt:variant>
        <vt:lpwstr>Ackerman2</vt:lpwstr>
      </vt:variant>
      <vt:variant>
        <vt:i4>6684779</vt:i4>
      </vt:variant>
      <vt:variant>
        <vt:i4>11825</vt:i4>
      </vt:variant>
      <vt:variant>
        <vt:i4>0</vt:i4>
      </vt:variant>
      <vt:variant>
        <vt:i4>5</vt:i4>
      </vt:variant>
      <vt:variant>
        <vt:lpwstr/>
      </vt:variant>
      <vt:variant>
        <vt:lpwstr>Abejon</vt:lpwstr>
      </vt:variant>
      <vt:variant>
        <vt:i4>7143529</vt:i4>
      </vt:variant>
      <vt:variant>
        <vt:i4>11822</vt:i4>
      </vt:variant>
      <vt:variant>
        <vt:i4>0</vt:i4>
      </vt:variant>
      <vt:variant>
        <vt:i4>5</vt:i4>
      </vt:variant>
      <vt:variant>
        <vt:lpwstr/>
      </vt:variant>
      <vt:variant>
        <vt:lpwstr>Ellenbecker</vt:lpwstr>
      </vt:variant>
      <vt:variant>
        <vt:i4>3276829</vt:i4>
      </vt:variant>
      <vt:variant>
        <vt:i4>11819</vt:i4>
      </vt:variant>
      <vt:variant>
        <vt:i4>0</vt:i4>
      </vt:variant>
      <vt:variant>
        <vt:i4>5</vt:i4>
      </vt:variant>
      <vt:variant>
        <vt:lpwstr>\\SFO39CVC\ConnieA$\My Documents\MEEAC\3. Post 10-day forum\AppData\Local\Microsoft\Windows\Temporary Internet Files\Content.Outlook\acmq.org</vt:lpwstr>
      </vt:variant>
      <vt:variant>
        <vt:lpwstr/>
      </vt:variant>
      <vt:variant>
        <vt:i4>1179660</vt:i4>
      </vt:variant>
      <vt:variant>
        <vt:i4>11816</vt:i4>
      </vt:variant>
      <vt:variant>
        <vt:i4>0</vt:i4>
      </vt:variant>
      <vt:variant>
        <vt:i4>5</vt:i4>
      </vt:variant>
      <vt:variant>
        <vt:lpwstr/>
      </vt:variant>
      <vt:variant>
        <vt:lpwstr>ACMQ</vt:lpwstr>
      </vt:variant>
      <vt:variant>
        <vt:i4>4390915</vt:i4>
      </vt:variant>
      <vt:variant>
        <vt:i4>11813</vt:i4>
      </vt:variant>
      <vt:variant>
        <vt:i4>0</vt:i4>
      </vt:variant>
      <vt:variant>
        <vt:i4>5</vt:i4>
      </vt:variant>
      <vt:variant>
        <vt:lpwstr/>
      </vt:variant>
      <vt:variant>
        <vt:lpwstr>Stewart2</vt:lpwstr>
      </vt:variant>
      <vt:variant>
        <vt:i4>8323182</vt:i4>
      </vt:variant>
      <vt:variant>
        <vt:i4>11810</vt:i4>
      </vt:variant>
      <vt:variant>
        <vt:i4>0</vt:i4>
      </vt:variant>
      <vt:variant>
        <vt:i4>5</vt:i4>
      </vt:variant>
      <vt:variant>
        <vt:lpwstr/>
      </vt:variant>
      <vt:variant>
        <vt:lpwstr>Melhorn</vt:lpwstr>
      </vt:variant>
      <vt:variant>
        <vt:i4>262170</vt:i4>
      </vt:variant>
      <vt:variant>
        <vt:i4>11807</vt:i4>
      </vt:variant>
      <vt:variant>
        <vt:i4>0</vt:i4>
      </vt:variant>
      <vt:variant>
        <vt:i4>5</vt:i4>
      </vt:variant>
      <vt:variant>
        <vt:lpwstr/>
      </vt:variant>
      <vt:variant>
        <vt:lpwstr>Burleson</vt:lpwstr>
      </vt:variant>
      <vt:variant>
        <vt:i4>7012476</vt:i4>
      </vt:variant>
      <vt:variant>
        <vt:i4>11804</vt:i4>
      </vt:variant>
      <vt:variant>
        <vt:i4>0</vt:i4>
      </vt:variant>
      <vt:variant>
        <vt:i4>5</vt:i4>
      </vt:variant>
      <vt:variant>
        <vt:lpwstr/>
      </vt:variant>
      <vt:variant>
        <vt:lpwstr>Boseman</vt:lpwstr>
      </vt:variant>
      <vt:variant>
        <vt:i4>6619241</vt:i4>
      </vt:variant>
      <vt:variant>
        <vt:i4>11801</vt:i4>
      </vt:variant>
      <vt:variant>
        <vt:i4>0</vt:i4>
      </vt:variant>
      <vt:variant>
        <vt:i4>5</vt:i4>
      </vt:variant>
      <vt:variant>
        <vt:lpwstr/>
      </vt:variant>
      <vt:variant>
        <vt:lpwstr>facilitated</vt:lpwstr>
      </vt:variant>
      <vt:variant>
        <vt:i4>1835008</vt:i4>
      </vt:variant>
      <vt:variant>
        <vt:i4>11798</vt:i4>
      </vt:variant>
      <vt:variant>
        <vt:i4>0</vt:i4>
      </vt:variant>
      <vt:variant>
        <vt:i4>5</vt:i4>
      </vt:variant>
      <vt:variant>
        <vt:lpwstr/>
      </vt:variant>
      <vt:variant>
        <vt:lpwstr>Witt2011</vt:lpwstr>
      </vt:variant>
      <vt:variant>
        <vt:i4>393242</vt:i4>
      </vt:variant>
      <vt:variant>
        <vt:i4>11795</vt:i4>
      </vt:variant>
      <vt:variant>
        <vt:i4>0</vt:i4>
      </vt:variant>
      <vt:variant>
        <vt:i4>5</vt:i4>
      </vt:variant>
      <vt:variant>
        <vt:lpwstr/>
      </vt:variant>
      <vt:variant>
        <vt:lpwstr>Wang2010</vt:lpwstr>
      </vt:variant>
      <vt:variant>
        <vt:i4>6815864</vt:i4>
      </vt:variant>
      <vt:variant>
        <vt:i4>11792</vt:i4>
      </vt:variant>
      <vt:variant>
        <vt:i4>0</vt:i4>
      </vt:variant>
      <vt:variant>
        <vt:i4>5</vt:i4>
      </vt:variant>
      <vt:variant>
        <vt:lpwstr/>
      </vt:variant>
      <vt:variant>
        <vt:lpwstr>Walach</vt:lpwstr>
      </vt:variant>
      <vt:variant>
        <vt:i4>1703952</vt:i4>
      </vt:variant>
      <vt:variant>
        <vt:i4>11789</vt:i4>
      </vt:variant>
      <vt:variant>
        <vt:i4>0</vt:i4>
      </vt:variant>
      <vt:variant>
        <vt:i4>5</vt:i4>
      </vt:variant>
      <vt:variant>
        <vt:lpwstr/>
      </vt:variant>
      <vt:variant>
        <vt:lpwstr>Uher</vt:lpwstr>
      </vt:variant>
      <vt:variant>
        <vt:i4>8257648</vt:i4>
      </vt:variant>
      <vt:variant>
        <vt:i4>11786</vt:i4>
      </vt:variant>
      <vt:variant>
        <vt:i4>0</vt:i4>
      </vt:variant>
      <vt:variant>
        <vt:i4>5</vt:i4>
      </vt:variant>
      <vt:variant>
        <vt:lpwstr/>
      </vt:variant>
      <vt:variant>
        <vt:lpwstr>Mitchinson</vt:lpwstr>
      </vt:variant>
      <vt:variant>
        <vt:i4>5701641</vt:i4>
      </vt:variant>
      <vt:variant>
        <vt:i4>11783</vt:i4>
      </vt:variant>
      <vt:variant>
        <vt:i4>0</vt:i4>
      </vt:variant>
      <vt:variant>
        <vt:i4>5</vt:i4>
      </vt:variant>
      <vt:variant>
        <vt:lpwstr/>
      </vt:variant>
      <vt:variant>
        <vt:lpwstr>Lee2</vt:lpwstr>
      </vt:variant>
      <vt:variant>
        <vt:i4>7929954</vt:i4>
      </vt:variant>
      <vt:variant>
        <vt:i4>11780</vt:i4>
      </vt:variant>
      <vt:variant>
        <vt:i4>0</vt:i4>
      </vt:variant>
      <vt:variant>
        <vt:i4>5</vt:i4>
      </vt:variant>
      <vt:variant>
        <vt:lpwstr/>
      </vt:variant>
      <vt:variant>
        <vt:lpwstr>Jensen2011</vt:lpwstr>
      </vt:variant>
      <vt:variant>
        <vt:i4>8126580</vt:i4>
      </vt:variant>
      <vt:variant>
        <vt:i4>11777</vt:i4>
      </vt:variant>
      <vt:variant>
        <vt:i4>0</vt:i4>
      </vt:variant>
      <vt:variant>
        <vt:i4>5</vt:i4>
      </vt:variant>
      <vt:variant>
        <vt:lpwstr/>
      </vt:variant>
      <vt:variant>
        <vt:lpwstr>Hasson</vt:lpwstr>
      </vt:variant>
      <vt:variant>
        <vt:i4>851972</vt:i4>
      </vt:variant>
      <vt:variant>
        <vt:i4>11774</vt:i4>
      </vt:variant>
      <vt:variant>
        <vt:i4>0</vt:i4>
      </vt:variant>
      <vt:variant>
        <vt:i4>5</vt:i4>
      </vt:variant>
      <vt:variant>
        <vt:lpwstr/>
      </vt:variant>
      <vt:variant>
        <vt:lpwstr>Hall</vt:lpwstr>
      </vt:variant>
      <vt:variant>
        <vt:i4>2031703</vt:i4>
      </vt:variant>
      <vt:variant>
        <vt:i4>11771</vt:i4>
      </vt:variant>
      <vt:variant>
        <vt:i4>0</vt:i4>
      </vt:variant>
      <vt:variant>
        <vt:i4>5</vt:i4>
      </vt:variant>
      <vt:variant>
        <vt:lpwstr/>
      </vt:variant>
      <vt:variant>
        <vt:lpwstr>Crane2012</vt:lpwstr>
      </vt:variant>
      <vt:variant>
        <vt:i4>6488184</vt:i4>
      </vt:variant>
      <vt:variant>
        <vt:i4>11768</vt:i4>
      </vt:variant>
      <vt:variant>
        <vt:i4>0</vt:i4>
      </vt:variant>
      <vt:variant>
        <vt:i4>5</vt:i4>
      </vt:variant>
      <vt:variant>
        <vt:lpwstr/>
      </vt:variant>
      <vt:variant>
        <vt:lpwstr>Corbin</vt:lpwstr>
      </vt:variant>
      <vt:variant>
        <vt:i4>8126589</vt:i4>
      </vt:variant>
      <vt:variant>
        <vt:i4>11765</vt:i4>
      </vt:variant>
      <vt:variant>
        <vt:i4>0</vt:i4>
      </vt:variant>
      <vt:variant>
        <vt:i4>5</vt:i4>
      </vt:variant>
      <vt:variant>
        <vt:lpwstr/>
      </vt:variant>
      <vt:variant>
        <vt:lpwstr>Carson2010</vt:lpwstr>
      </vt:variant>
      <vt:variant>
        <vt:i4>14811183</vt:i4>
      </vt:variant>
      <vt:variant>
        <vt:i4>11762</vt:i4>
      </vt:variant>
      <vt:variant>
        <vt:i4>0</vt:i4>
      </vt:variant>
      <vt:variant>
        <vt:i4>5</vt:i4>
      </vt:variant>
      <vt:variant>
        <vt:lpwstr/>
      </vt:variant>
      <vt:variant>
        <vt:lpwstr>Büssing2012</vt:lpwstr>
      </vt:variant>
      <vt:variant>
        <vt:i4>5308424</vt:i4>
      </vt:variant>
      <vt:variant>
        <vt:i4>11759</vt:i4>
      </vt:variant>
      <vt:variant>
        <vt:i4>0</vt:i4>
      </vt:variant>
      <vt:variant>
        <vt:i4>5</vt:i4>
      </vt:variant>
      <vt:variant>
        <vt:lpwstr/>
      </vt:variant>
      <vt:variant>
        <vt:lpwstr>BlueCrossBlueShield8</vt:lpwstr>
      </vt:variant>
      <vt:variant>
        <vt:i4>8126590</vt:i4>
      </vt:variant>
      <vt:variant>
        <vt:i4>11756</vt:i4>
      </vt:variant>
      <vt:variant>
        <vt:i4>0</vt:i4>
      </vt:variant>
      <vt:variant>
        <vt:i4>5</vt:i4>
      </vt:variant>
      <vt:variant>
        <vt:lpwstr/>
      </vt:variant>
      <vt:variant>
        <vt:lpwstr>Voerman</vt:lpwstr>
      </vt:variant>
      <vt:variant>
        <vt:i4>7077998</vt:i4>
      </vt:variant>
      <vt:variant>
        <vt:i4>11753</vt:i4>
      </vt:variant>
      <vt:variant>
        <vt:i4>0</vt:i4>
      </vt:variant>
      <vt:variant>
        <vt:i4>5</vt:i4>
      </vt:variant>
      <vt:variant>
        <vt:lpwstr/>
      </vt:variant>
      <vt:variant>
        <vt:lpwstr>Vlaeyen</vt:lpwstr>
      </vt:variant>
      <vt:variant>
        <vt:i4>65559</vt:i4>
      </vt:variant>
      <vt:variant>
        <vt:i4>11750</vt:i4>
      </vt:variant>
      <vt:variant>
        <vt:i4>0</vt:i4>
      </vt:variant>
      <vt:variant>
        <vt:i4>5</vt:i4>
      </vt:variant>
      <vt:variant>
        <vt:lpwstr/>
      </vt:variant>
      <vt:variant>
        <vt:lpwstr>Sullivan</vt:lpwstr>
      </vt:variant>
      <vt:variant>
        <vt:i4>7471213</vt:i4>
      </vt:variant>
      <vt:variant>
        <vt:i4>11747</vt:i4>
      </vt:variant>
      <vt:variant>
        <vt:i4>0</vt:i4>
      </vt:variant>
      <vt:variant>
        <vt:i4>5</vt:i4>
      </vt:variant>
      <vt:variant>
        <vt:lpwstr/>
      </vt:variant>
      <vt:variant>
        <vt:lpwstr>Stuckey</vt:lpwstr>
      </vt:variant>
      <vt:variant>
        <vt:i4>6881405</vt:i4>
      </vt:variant>
      <vt:variant>
        <vt:i4>11744</vt:i4>
      </vt:variant>
      <vt:variant>
        <vt:i4>0</vt:i4>
      </vt:variant>
      <vt:variant>
        <vt:i4>5</vt:i4>
      </vt:variant>
      <vt:variant>
        <vt:lpwstr/>
      </vt:variant>
      <vt:variant>
        <vt:lpwstr>Stanos</vt:lpwstr>
      </vt:variant>
      <vt:variant>
        <vt:i4>8061045</vt:i4>
      </vt:variant>
      <vt:variant>
        <vt:i4>11741</vt:i4>
      </vt:variant>
      <vt:variant>
        <vt:i4>0</vt:i4>
      </vt:variant>
      <vt:variant>
        <vt:i4>5</vt:i4>
      </vt:variant>
      <vt:variant>
        <vt:lpwstr/>
      </vt:variant>
      <vt:variant>
        <vt:lpwstr>Spence</vt:lpwstr>
      </vt:variant>
      <vt:variant>
        <vt:i4>7340153</vt:i4>
      </vt:variant>
      <vt:variant>
        <vt:i4>11738</vt:i4>
      </vt:variant>
      <vt:variant>
        <vt:i4>0</vt:i4>
      </vt:variant>
      <vt:variant>
        <vt:i4>5</vt:i4>
      </vt:variant>
      <vt:variant>
        <vt:lpwstr/>
      </vt:variant>
      <vt:variant>
        <vt:lpwstr>Skouen</vt:lpwstr>
      </vt:variant>
      <vt:variant>
        <vt:i4>6422647</vt:i4>
      </vt:variant>
      <vt:variant>
        <vt:i4>11735</vt:i4>
      </vt:variant>
      <vt:variant>
        <vt:i4>0</vt:i4>
      </vt:variant>
      <vt:variant>
        <vt:i4>5</vt:i4>
      </vt:variant>
      <vt:variant>
        <vt:lpwstr/>
      </vt:variant>
      <vt:variant>
        <vt:lpwstr>Schultz</vt:lpwstr>
      </vt:variant>
      <vt:variant>
        <vt:i4>7602280</vt:i4>
      </vt:variant>
      <vt:variant>
        <vt:i4>11732</vt:i4>
      </vt:variant>
      <vt:variant>
        <vt:i4>0</vt:i4>
      </vt:variant>
      <vt:variant>
        <vt:i4>5</vt:i4>
      </vt:variant>
      <vt:variant>
        <vt:lpwstr/>
      </vt:variant>
      <vt:variant>
        <vt:lpwstr>Schonstein</vt:lpwstr>
      </vt:variant>
      <vt:variant>
        <vt:i4>3211306</vt:i4>
      </vt:variant>
      <vt:variant>
        <vt:i4>11729</vt:i4>
      </vt:variant>
      <vt:variant>
        <vt:i4>0</vt:i4>
      </vt:variant>
      <vt:variant>
        <vt:i4>5</vt:i4>
      </vt:variant>
      <vt:variant>
        <vt:lpwstr>http://www.ncbi.nlm.nih.gov/pubmed/20091523</vt:lpwstr>
      </vt:variant>
      <vt:variant>
        <vt:lpwstr/>
      </vt:variant>
      <vt:variant>
        <vt:i4>655391</vt:i4>
      </vt:variant>
      <vt:variant>
        <vt:i4>11726</vt:i4>
      </vt:variant>
      <vt:variant>
        <vt:i4>0</vt:i4>
      </vt:variant>
      <vt:variant>
        <vt:i4>5</vt:i4>
      </vt:variant>
      <vt:variant>
        <vt:lpwstr/>
      </vt:variant>
      <vt:variant>
        <vt:lpwstr>Rome</vt:lpwstr>
      </vt:variant>
      <vt:variant>
        <vt:i4>7733374</vt:i4>
      </vt:variant>
      <vt:variant>
        <vt:i4>11723</vt:i4>
      </vt:variant>
      <vt:variant>
        <vt:i4>0</vt:i4>
      </vt:variant>
      <vt:variant>
        <vt:i4>5</vt:i4>
      </vt:variant>
      <vt:variant>
        <vt:lpwstr/>
      </vt:variant>
      <vt:variant>
        <vt:lpwstr>Nouwen</vt:lpwstr>
      </vt:variant>
      <vt:variant>
        <vt:i4>8257652</vt:i4>
      </vt:variant>
      <vt:variant>
        <vt:i4>11720</vt:i4>
      </vt:variant>
      <vt:variant>
        <vt:i4>0</vt:i4>
      </vt:variant>
      <vt:variant>
        <vt:i4>5</vt:i4>
      </vt:variant>
      <vt:variant>
        <vt:lpwstr/>
      </vt:variant>
      <vt:variant>
        <vt:lpwstr>NewtonJohn</vt:lpwstr>
      </vt:variant>
      <vt:variant>
        <vt:i4>3407985</vt:i4>
      </vt:variant>
      <vt:variant>
        <vt:i4>11717</vt:i4>
      </vt:variant>
      <vt:variant>
        <vt:i4>0</vt:i4>
      </vt:variant>
      <vt:variant>
        <vt:i4>5</vt:i4>
      </vt:variant>
      <vt:variant>
        <vt:lpwstr/>
      </vt:variant>
      <vt:variant>
        <vt:lpwstr>Morin2</vt:lpwstr>
      </vt:variant>
      <vt:variant>
        <vt:i4>7733282</vt:i4>
      </vt:variant>
      <vt:variant>
        <vt:i4>11714</vt:i4>
      </vt:variant>
      <vt:variant>
        <vt:i4>0</vt:i4>
      </vt:variant>
      <vt:variant>
        <vt:i4>5</vt:i4>
      </vt:variant>
      <vt:variant>
        <vt:lpwstr/>
      </vt:variant>
      <vt:variant>
        <vt:lpwstr>McGeary2004</vt:lpwstr>
      </vt:variant>
      <vt:variant>
        <vt:i4>7602283</vt:i4>
      </vt:variant>
      <vt:variant>
        <vt:i4>11711</vt:i4>
      </vt:variant>
      <vt:variant>
        <vt:i4>0</vt:i4>
      </vt:variant>
      <vt:variant>
        <vt:i4>5</vt:i4>
      </vt:variant>
      <vt:variant>
        <vt:lpwstr/>
      </vt:variant>
      <vt:variant>
        <vt:lpwstr>McGeary</vt:lpwstr>
      </vt:variant>
      <vt:variant>
        <vt:i4>6946936</vt:i4>
      </vt:variant>
      <vt:variant>
        <vt:i4>11708</vt:i4>
      </vt:variant>
      <vt:variant>
        <vt:i4>0</vt:i4>
      </vt:variant>
      <vt:variant>
        <vt:i4>5</vt:i4>
      </vt:variant>
      <vt:variant>
        <vt:lpwstr/>
      </vt:variant>
      <vt:variant>
        <vt:lpwstr>McBeth2014</vt:lpwstr>
      </vt:variant>
      <vt:variant>
        <vt:i4>3539046</vt:i4>
      </vt:variant>
      <vt:variant>
        <vt:i4>11705</vt:i4>
      </vt:variant>
      <vt:variant>
        <vt:i4>0</vt:i4>
      </vt:variant>
      <vt:variant>
        <vt:i4>5</vt:i4>
      </vt:variant>
      <vt:variant>
        <vt:lpwstr/>
      </vt:variant>
      <vt:variant>
        <vt:lpwstr>Mayer2</vt:lpwstr>
      </vt:variant>
      <vt:variant>
        <vt:i4>852063</vt:i4>
      </vt:variant>
      <vt:variant>
        <vt:i4>11702</vt:i4>
      </vt:variant>
      <vt:variant>
        <vt:i4>0</vt:i4>
      </vt:variant>
      <vt:variant>
        <vt:i4>5</vt:i4>
      </vt:variant>
      <vt:variant>
        <vt:lpwstr/>
      </vt:variant>
      <vt:variant>
        <vt:lpwstr>Mayer1987</vt:lpwstr>
      </vt:variant>
      <vt:variant>
        <vt:i4>852063</vt:i4>
      </vt:variant>
      <vt:variant>
        <vt:i4>11699</vt:i4>
      </vt:variant>
      <vt:variant>
        <vt:i4>0</vt:i4>
      </vt:variant>
      <vt:variant>
        <vt:i4>5</vt:i4>
      </vt:variant>
      <vt:variant>
        <vt:lpwstr/>
      </vt:variant>
      <vt:variant>
        <vt:lpwstr>Mayer1985</vt:lpwstr>
      </vt:variant>
      <vt:variant>
        <vt:i4>1114122</vt:i4>
      </vt:variant>
      <vt:variant>
        <vt:i4>11696</vt:i4>
      </vt:variant>
      <vt:variant>
        <vt:i4>0</vt:i4>
      </vt:variant>
      <vt:variant>
        <vt:i4>5</vt:i4>
      </vt:variant>
      <vt:variant>
        <vt:lpwstr/>
      </vt:variant>
      <vt:variant>
        <vt:lpwstr>Maclaren</vt:lpwstr>
      </vt:variant>
      <vt:variant>
        <vt:i4>7536749</vt:i4>
      </vt:variant>
      <vt:variant>
        <vt:i4>11693</vt:i4>
      </vt:variant>
      <vt:variant>
        <vt:i4>0</vt:i4>
      </vt:variant>
      <vt:variant>
        <vt:i4>5</vt:i4>
      </vt:variant>
      <vt:variant>
        <vt:lpwstr/>
      </vt:variant>
      <vt:variant>
        <vt:lpwstr>Linton2</vt:lpwstr>
      </vt:variant>
      <vt:variant>
        <vt:i4>6881388</vt:i4>
      </vt:variant>
      <vt:variant>
        <vt:i4>11690</vt:i4>
      </vt:variant>
      <vt:variant>
        <vt:i4>0</vt:i4>
      </vt:variant>
      <vt:variant>
        <vt:i4>5</vt:i4>
      </vt:variant>
      <vt:variant>
        <vt:lpwstr/>
      </vt:variant>
      <vt:variant>
        <vt:lpwstr>Lin</vt:lpwstr>
      </vt:variant>
      <vt:variant>
        <vt:i4>196612</vt:i4>
      </vt:variant>
      <vt:variant>
        <vt:i4>11687</vt:i4>
      </vt:variant>
      <vt:variant>
        <vt:i4>0</vt:i4>
      </vt:variant>
      <vt:variant>
        <vt:i4>5</vt:i4>
      </vt:variant>
      <vt:variant>
        <vt:lpwstr/>
      </vt:variant>
      <vt:variant>
        <vt:lpwstr>Kool2</vt:lpwstr>
      </vt:variant>
      <vt:variant>
        <vt:i4>196612</vt:i4>
      </vt:variant>
      <vt:variant>
        <vt:i4>11684</vt:i4>
      </vt:variant>
      <vt:variant>
        <vt:i4>0</vt:i4>
      </vt:variant>
      <vt:variant>
        <vt:i4>5</vt:i4>
      </vt:variant>
      <vt:variant>
        <vt:lpwstr/>
      </vt:variant>
      <vt:variant>
        <vt:lpwstr>Kool</vt:lpwstr>
      </vt:variant>
      <vt:variant>
        <vt:i4>589838</vt:i4>
      </vt:variant>
      <vt:variant>
        <vt:i4>11681</vt:i4>
      </vt:variant>
      <vt:variant>
        <vt:i4>0</vt:i4>
      </vt:variant>
      <vt:variant>
        <vt:i4>5</vt:i4>
      </vt:variant>
      <vt:variant>
        <vt:lpwstr/>
      </vt:variant>
      <vt:variant>
        <vt:lpwstr>Keel</vt:lpwstr>
      </vt:variant>
      <vt:variant>
        <vt:i4>3211371</vt:i4>
      </vt:variant>
      <vt:variant>
        <vt:i4>11678</vt:i4>
      </vt:variant>
      <vt:variant>
        <vt:i4>0</vt:i4>
      </vt:variant>
      <vt:variant>
        <vt:i4>5</vt:i4>
      </vt:variant>
      <vt:variant>
        <vt:lpwstr/>
      </vt:variant>
      <vt:variant>
        <vt:lpwstr>Keefe2</vt:lpwstr>
      </vt:variant>
      <vt:variant>
        <vt:i4>6619257</vt:i4>
      </vt:variant>
      <vt:variant>
        <vt:i4>11675</vt:i4>
      </vt:variant>
      <vt:variant>
        <vt:i4>0</vt:i4>
      </vt:variant>
      <vt:variant>
        <vt:i4>5</vt:i4>
      </vt:variant>
      <vt:variant>
        <vt:lpwstr/>
      </vt:variant>
      <vt:variant>
        <vt:lpwstr>Jordan</vt:lpwstr>
      </vt:variant>
      <vt:variant>
        <vt:i4>6815849</vt:i4>
      </vt:variant>
      <vt:variant>
        <vt:i4>11672</vt:i4>
      </vt:variant>
      <vt:variant>
        <vt:i4>0</vt:i4>
      </vt:variant>
      <vt:variant>
        <vt:i4>5</vt:i4>
      </vt:variant>
      <vt:variant>
        <vt:lpwstr/>
      </vt:variant>
      <vt:variant>
        <vt:lpwstr>Hasenbring</vt:lpwstr>
      </vt:variant>
      <vt:variant>
        <vt:i4>1179672</vt:i4>
      </vt:variant>
      <vt:variant>
        <vt:i4>11669</vt:i4>
      </vt:variant>
      <vt:variant>
        <vt:i4>0</vt:i4>
      </vt:variant>
      <vt:variant>
        <vt:i4>5</vt:i4>
      </vt:variant>
      <vt:variant>
        <vt:lpwstr/>
      </vt:variant>
      <vt:variant>
        <vt:lpwstr>Haldorsen</vt:lpwstr>
      </vt:variant>
      <vt:variant>
        <vt:i4>65544</vt:i4>
      </vt:variant>
      <vt:variant>
        <vt:i4>11666</vt:i4>
      </vt:variant>
      <vt:variant>
        <vt:i4>0</vt:i4>
      </vt:variant>
      <vt:variant>
        <vt:i4>5</vt:i4>
      </vt:variant>
      <vt:variant>
        <vt:lpwstr/>
      </vt:variant>
      <vt:variant>
        <vt:lpwstr>Gross</vt:lpwstr>
      </vt:variant>
      <vt:variant>
        <vt:i4>6619175</vt:i4>
      </vt:variant>
      <vt:variant>
        <vt:i4>11663</vt:i4>
      </vt:variant>
      <vt:variant>
        <vt:i4>0</vt:i4>
      </vt:variant>
      <vt:variant>
        <vt:i4>5</vt:i4>
      </vt:variant>
      <vt:variant>
        <vt:lpwstr/>
      </vt:variant>
      <vt:variant>
        <vt:lpwstr>Gatchel2006</vt:lpwstr>
      </vt:variant>
      <vt:variant>
        <vt:i4>5439509</vt:i4>
      </vt:variant>
      <vt:variant>
        <vt:i4>11660</vt:i4>
      </vt:variant>
      <vt:variant>
        <vt:i4>0</vt:i4>
      </vt:variant>
      <vt:variant>
        <vt:i4>5</vt:i4>
      </vt:variant>
      <vt:variant>
        <vt:lpwstr/>
      </vt:variant>
      <vt:variant>
        <vt:lpwstr>Gatchel12005</vt:lpwstr>
      </vt:variant>
      <vt:variant>
        <vt:i4>6619175</vt:i4>
      </vt:variant>
      <vt:variant>
        <vt:i4>11657</vt:i4>
      </vt:variant>
      <vt:variant>
        <vt:i4>0</vt:i4>
      </vt:variant>
      <vt:variant>
        <vt:i4>5</vt:i4>
      </vt:variant>
      <vt:variant>
        <vt:lpwstr/>
      </vt:variant>
      <vt:variant>
        <vt:lpwstr>Gatchel2003</vt:lpwstr>
      </vt:variant>
      <vt:variant>
        <vt:i4>5570583</vt:i4>
      </vt:variant>
      <vt:variant>
        <vt:i4>11654</vt:i4>
      </vt:variant>
      <vt:variant>
        <vt:i4>0</vt:i4>
      </vt:variant>
      <vt:variant>
        <vt:i4>5</vt:i4>
      </vt:variant>
      <vt:variant>
        <vt:lpwstr/>
      </vt:variant>
      <vt:variant>
        <vt:lpwstr>Gatchel2</vt:lpwstr>
      </vt:variant>
      <vt:variant>
        <vt:i4>1966089</vt:i4>
      </vt:variant>
      <vt:variant>
        <vt:i4>11651</vt:i4>
      </vt:variant>
      <vt:variant>
        <vt:i4>0</vt:i4>
      </vt:variant>
      <vt:variant>
        <vt:i4>5</vt:i4>
      </vt:variant>
      <vt:variant>
        <vt:lpwstr/>
      </vt:variant>
      <vt:variant>
        <vt:lpwstr>Flor2</vt:lpwstr>
      </vt:variant>
      <vt:variant>
        <vt:i4>6553726</vt:i4>
      </vt:variant>
      <vt:variant>
        <vt:i4>11648</vt:i4>
      </vt:variant>
      <vt:variant>
        <vt:i4>0</vt:i4>
      </vt:variant>
      <vt:variant>
        <vt:i4>5</vt:i4>
      </vt:variant>
      <vt:variant>
        <vt:lpwstr/>
      </vt:variant>
      <vt:variant>
        <vt:lpwstr>Dysvik</vt:lpwstr>
      </vt:variant>
      <vt:variant>
        <vt:i4>1114124</vt:i4>
      </vt:variant>
      <vt:variant>
        <vt:i4>11645</vt:i4>
      </vt:variant>
      <vt:variant>
        <vt:i4>0</vt:i4>
      </vt:variant>
      <vt:variant>
        <vt:i4>5</vt:i4>
      </vt:variant>
      <vt:variant>
        <vt:lpwstr/>
      </vt:variant>
      <vt:variant>
        <vt:lpwstr>Croce</vt:lpwstr>
      </vt:variant>
      <vt:variant>
        <vt:i4>1900561</vt:i4>
      </vt:variant>
      <vt:variant>
        <vt:i4>11642</vt:i4>
      </vt:variant>
      <vt:variant>
        <vt:i4>0</vt:i4>
      </vt:variant>
      <vt:variant>
        <vt:i4>5</vt:i4>
      </vt:variant>
      <vt:variant>
        <vt:lpwstr/>
      </vt:variant>
      <vt:variant>
        <vt:lpwstr>Bush</vt:lpwstr>
      </vt:variant>
      <vt:variant>
        <vt:i4>1441809</vt:i4>
      </vt:variant>
      <vt:variant>
        <vt:i4>11639</vt:i4>
      </vt:variant>
      <vt:variant>
        <vt:i4>0</vt:i4>
      </vt:variant>
      <vt:variant>
        <vt:i4>5</vt:i4>
      </vt:variant>
      <vt:variant>
        <vt:lpwstr/>
      </vt:variant>
      <vt:variant>
        <vt:lpwstr>Busch</vt:lpwstr>
      </vt:variant>
      <vt:variant>
        <vt:i4>393222</vt:i4>
      </vt:variant>
      <vt:variant>
        <vt:i4>11636</vt:i4>
      </vt:variant>
      <vt:variant>
        <vt:i4>0</vt:i4>
      </vt:variant>
      <vt:variant>
        <vt:i4>5</vt:i4>
      </vt:variant>
      <vt:variant>
        <vt:lpwstr/>
      </vt:variant>
      <vt:variant>
        <vt:lpwstr>McKee</vt:lpwstr>
      </vt:variant>
      <vt:variant>
        <vt:i4>5242888</vt:i4>
      </vt:variant>
      <vt:variant>
        <vt:i4>11633</vt:i4>
      </vt:variant>
      <vt:variant>
        <vt:i4>0</vt:i4>
      </vt:variant>
      <vt:variant>
        <vt:i4>5</vt:i4>
      </vt:variant>
      <vt:variant>
        <vt:lpwstr/>
      </vt:variant>
      <vt:variant>
        <vt:lpwstr>BlueCrossBlueShield98</vt:lpwstr>
      </vt:variant>
      <vt:variant>
        <vt:i4>5242888</vt:i4>
      </vt:variant>
      <vt:variant>
        <vt:i4>11630</vt:i4>
      </vt:variant>
      <vt:variant>
        <vt:i4>0</vt:i4>
      </vt:variant>
      <vt:variant>
        <vt:i4>5</vt:i4>
      </vt:variant>
      <vt:variant>
        <vt:lpwstr/>
      </vt:variant>
      <vt:variant>
        <vt:lpwstr>BlueCrossBlueShield96</vt:lpwstr>
      </vt:variant>
      <vt:variant>
        <vt:i4>7929957</vt:i4>
      </vt:variant>
      <vt:variant>
        <vt:i4>11627</vt:i4>
      </vt:variant>
      <vt:variant>
        <vt:i4>0</vt:i4>
      </vt:variant>
      <vt:variant>
        <vt:i4>5</vt:i4>
      </vt:variant>
      <vt:variant>
        <vt:lpwstr/>
      </vt:variant>
      <vt:variant>
        <vt:lpwstr>Bendix</vt:lpwstr>
      </vt:variant>
      <vt:variant>
        <vt:i4>7209074</vt:i4>
      </vt:variant>
      <vt:variant>
        <vt:i4>11624</vt:i4>
      </vt:variant>
      <vt:variant>
        <vt:i4>0</vt:i4>
      </vt:variant>
      <vt:variant>
        <vt:i4>5</vt:i4>
      </vt:variant>
      <vt:variant>
        <vt:lpwstr/>
      </vt:variant>
      <vt:variant>
        <vt:lpwstr>Asfour</vt:lpwstr>
      </vt:variant>
      <vt:variant>
        <vt:i4>1114133</vt:i4>
      </vt:variant>
      <vt:variant>
        <vt:i4>11621</vt:i4>
      </vt:variant>
      <vt:variant>
        <vt:i4>0</vt:i4>
      </vt:variant>
      <vt:variant>
        <vt:i4>5</vt:i4>
      </vt:variant>
      <vt:variant>
        <vt:lpwstr/>
      </vt:variant>
      <vt:variant>
        <vt:lpwstr>APTA</vt:lpwstr>
      </vt:variant>
      <vt:variant>
        <vt:i4>1703953</vt:i4>
      </vt:variant>
      <vt:variant>
        <vt:i4>11618</vt:i4>
      </vt:variant>
      <vt:variant>
        <vt:i4>0</vt:i4>
      </vt:variant>
      <vt:variant>
        <vt:i4>5</vt:i4>
      </vt:variant>
      <vt:variant>
        <vt:lpwstr/>
      </vt:variant>
      <vt:variant>
        <vt:lpwstr>Altmaier</vt:lpwstr>
      </vt:variant>
      <vt:variant>
        <vt:i4>720917</vt:i4>
      </vt:variant>
      <vt:variant>
        <vt:i4>11615</vt:i4>
      </vt:variant>
      <vt:variant>
        <vt:i4>0</vt:i4>
      </vt:variant>
      <vt:variant>
        <vt:i4>5</vt:i4>
      </vt:variant>
      <vt:variant>
        <vt:lpwstr/>
      </vt:variant>
      <vt:variant>
        <vt:lpwstr>Aetna</vt:lpwstr>
      </vt:variant>
      <vt:variant>
        <vt:i4>1507341</vt:i4>
      </vt:variant>
      <vt:variant>
        <vt:i4>11612</vt:i4>
      </vt:variant>
      <vt:variant>
        <vt:i4>0</vt:i4>
      </vt:variant>
      <vt:variant>
        <vt:i4>5</vt:i4>
      </vt:variant>
      <vt:variant>
        <vt:lpwstr/>
      </vt:variant>
      <vt:variant>
        <vt:lpwstr>SPINALCORDSTIMULATION</vt:lpwstr>
      </vt:variant>
      <vt:variant>
        <vt:i4>6750328</vt:i4>
      </vt:variant>
      <vt:variant>
        <vt:i4>11609</vt:i4>
      </vt:variant>
      <vt:variant>
        <vt:i4>0</vt:i4>
      </vt:variant>
      <vt:variant>
        <vt:i4>5</vt:i4>
      </vt:variant>
      <vt:variant>
        <vt:lpwstr/>
      </vt:variant>
      <vt:variant>
        <vt:lpwstr>THERAPEUTICINTERVENTION</vt:lpwstr>
      </vt:variant>
      <vt:variant>
        <vt:i4>6553697</vt:i4>
      </vt:variant>
      <vt:variant>
        <vt:i4>11606</vt:i4>
      </vt:variant>
      <vt:variant>
        <vt:i4>0</vt:i4>
      </vt:variant>
      <vt:variant>
        <vt:i4>5</vt:i4>
      </vt:variant>
      <vt:variant>
        <vt:lpwstr/>
      </vt:variant>
      <vt:variant>
        <vt:lpwstr>REFLEXSYMPATHETICDYSTROPHYCOMPLEXRE</vt:lpwstr>
      </vt:variant>
      <vt:variant>
        <vt:i4>7536751</vt:i4>
      </vt:variant>
      <vt:variant>
        <vt:i4>11603</vt:i4>
      </vt:variant>
      <vt:variant>
        <vt:i4>0</vt:i4>
      </vt:variant>
      <vt:variant>
        <vt:i4>5</vt:i4>
      </vt:variant>
      <vt:variant>
        <vt:lpwstr/>
      </vt:variant>
      <vt:variant>
        <vt:lpwstr>PSYCHOSOCIALEVALUATIONANDTREATMENT</vt:lpwstr>
      </vt:variant>
      <vt:variant>
        <vt:i4>1572879</vt:i4>
      </vt:variant>
      <vt:variant>
        <vt:i4>11600</vt:i4>
      </vt:variant>
      <vt:variant>
        <vt:i4>0</vt:i4>
      </vt:variant>
      <vt:variant>
        <vt:i4>5</vt:i4>
      </vt:variant>
      <vt:variant>
        <vt:lpwstr/>
      </vt:variant>
      <vt:variant>
        <vt:lpwstr>PAINMISCELLANEOUS</vt:lpwstr>
      </vt:variant>
      <vt:variant>
        <vt:i4>6357094</vt:i4>
      </vt:variant>
      <vt:variant>
        <vt:i4>11597</vt:i4>
      </vt:variant>
      <vt:variant>
        <vt:i4>0</vt:i4>
      </vt:variant>
      <vt:variant>
        <vt:i4>5</vt:i4>
      </vt:variant>
      <vt:variant>
        <vt:lpwstr/>
      </vt:variant>
      <vt:variant>
        <vt:lpwstr>PAINCHRONIC</vt:lpwstr>
      </vt:variant>
      <vt:variant>
        <vt:i4>7471230</vt:i4>
      </vt:variant>
      <vt:variant>
        <vt:i4>11594</vt:i4>
      </vt:variant>
      <vt:variant>
        <vt:i4>0</vt:i4>
      </vt:variant>
      <vt:variant>
        <vt:i4>5</vt:i4>
      </vt:variant>
      <vt:variant>
        <vt:lpwstr/>
      </vt:variant>
      <vt:variant>
        <vt:lpwstr>PAINASSESSMENTANDMANAGEMENT</vt:lpwstr>
      </vt:variant>
      <vt:variant>
        <vt:i4>393218</vt:i4>
      </vt:variant>
      <vt:variant>
        <vt:i4>11591</vt:i4>
      </vt:variant>
      <vt:variant>
        <vt:i4>0</vt:i4>
      </vt:variant>
      <vt:variant>
        <vt:i4>5</vt:i4>
      </vt:variant>
      <vt:variant>
        <vt:lpwstr/>
      </vt:variant>
      <vt:variant>
        <vt:lpwstr>MEDICATIONSL</vt:lpwstr>
      </vt:variant>
      <vt:variant>
        <vt:i4>7929969</vt:i4>
      </vt:variant>
      <vt:variant>
        <vt:i4>11588</vt:i4>
      </vt:variant>
      <vt:variant>
        <vt:i4>0</vt:i4>
      </vt:variant>
      <vt:variant>
        <vt:i4>5</vt:i4>
      </vt:variant>
      <vt:variant>
        <vt:lpwstr/>
      </vt:variant>
      <vt:variant>
        <vt:lpwstr>MEDICALTREATMENTGUIDELINES</vt:lpwstr>
      </vt:variant>
      <vt:variant>
        <vt:i4>6488167</vt:i4>
      </vt:variant>
      <vt:variant>
        <vt:i4>11585</vt:i4>
      </vt:variant>
      <vt:variant>
        <vt:i4>0</vt:i4>
      </vt:variant>
      <vt:variant>
        <vt:i4>5</vt:i4>
      </vt:variant>
      <vt:variant>
        <vt:lpwstr/>
      </vt:variant>
      <vt:variant>
        <vt:lpwstr>INJECTIONS</vt:lpwstr>
      </vt:variant>
      <vt:variant>
        <vt:i4>8257633</vt:i4>
      </vt:variant>
      <vt:variant>
        <vt:i4>11582</vt:i4>
      </vt:variant>
      <vt:variant>
        <vt:i4>0</vt:i4>
      </vt:variant>
      <vt:variant>
        <vt:i4>5</vt:i4>
      </vt:variant>
      <vt:variant>
        <vt:lpwstr/>
      </vt:variant>
      <vt:variant>
        <vt:lpwstr>homehealthservicesrefs</vt:lpwstr>
      </vt:variant>
      <vt:variant>
        <vt:i4>524304</vt:i4>
      </vt:variant>
      <vt:variant>
        <vt:i4>11579</vt:i4>
      </vt:variant>
      <vt:variant>
        <vt:i4>0</vt:i4>
      </vt:variant>
      <vt:variant>
        <vt:i4>5</vt:i4>
      </vt:variant>
      <vt:variant>
        <vt:lpwstr/>
      </vt:variant>
      <vt:variant>
        <vt:lpwstr>EARLYRETURNTOWORK</vt:lpwstr>
      </vt:variant>
      <vt:variant>
        <vt:i4>1245208</vt:i4>
      </vt:variant>
      <vt:variant>
        <vt:i4>11576</vt:i4>
      </vt:variant>
      <vt:variant>
        <vt:i4>0</vt:i4>
      </vt:variant>
      <vt:variant>
        <vt:i4>5</vt:i4>
      </vt:variant>
      <vt:variant>
        <vt:lpwstr/>
      </vt:variant>
      <vt:variant>
        <vt:lpwstr>COMPLEMENTARYALTERNATIVEMEDICINE</vt:lpwstr>
      </vt:variant>
      <vt:variant>
        <vt:i4>720912</vt:i4>
      </vt:variant>
      <vt:variant>
        <vt:i4>11573</vt:i4>
      </vt:variant>
      <vt:variant>
        <vt:i4>0</vt:i4>
      </vt:variant>
      <vt:variant>
        <vt:i4>5</vt:i4>
      </vt:variant>
      <vt:variant>
        <vt:lpwstr/>
      </vt:variant>
      <vt:variant>
        <vt:lpwstr>BEHAVIORALINTERVENTIONSL</vt:lpwstr>
      </vt:variant>
      <vt:variant>
        <vt:i4>1900545</vt:i4>
      </vt:variant>
      <vt:variant>
        <vt:i4>6494</vt:i4>
      </vt:variant>
      <vt:variant>
        <vt:i4>0</vt:i4>
      </vt:variant>
      <vt:variant>
        <vt:i4>5</vt:i4>
      </vt:variant>
      <vt:variant>
        <vt:lpwstr/>
      </vt:variant>
      <vt:variant>
        <vt:lpwstr>Buprenorphine</vt:lpwstr>
      </vt:variant>
      <vt:variant>
        <vt:i4>2949204</vt:i4>
      </vt:variant>
      <vt:variant>
        <vt:i4>6491</vt:i4>
      </vt:variant>
      <vt:variant>
        <vt:i4>0</vt:i4>
      </vt:variant>
      <vt:variant>
        <vt:i4>5</vt:i4>
      </vt:variant>
      <vt:variant>
        <vt:lpwstr>http://www.accessdata.fda.gov/drugsatfda_docs/appletter/2013/204242Orig1s002ltr.pdf</vt:lpwstr>
      </vt:variant>
      <vt:variant>
        <vt:lpwstr/>
      </vt:variant>
      <vt:variant>
        <vt:i4>7274558</vt:i4>
      </vt:variant>
      <vt:variant>
        <vt:i4>6488</vt:i4>
      </vt:variant>
      <vt:variant>
        <vt:i4>0</vt:i4>
      </vt:variant>
      <vt:variant>
        <vt:i4>5</vt:i4>
      </vt:variant>
      <vt:variant>
        <vt:lpwstr>http://dailymed.nlm.nih.gov/dailymed/lookup.cfm?setid=dff10e66-a577-451d-ba75-1889458ca833</vt:lpwstr>
      </vt:variant>
      <vt:variant>
        <vt:lpwstr/>
      </vt:variant>
      <vt:variant>
        <vt:i4>5046344</vt:i4>
      </vt:variant>
      <vt:variant>
        <vt:i4>6485</vt:i4>
      </vt:variant>
      <vt:variant>
        <vt:i4>0</vt:i4>
      </vt:variant>
      <vt:variant>
        <vt:i4>5</vt:i4>
      </vt:variant>
      <vt:variant>
        <vt:lpwstr>http://www.fda.gov/downloads/AdvisoryCommittees/CommitteesMeetingMaterials/Drugs/ArthritisAdvisoryCommittee/UCM383183.pdf</vt:lpwstr>
      </vt:variant>
      <vt:variant>
        <vt:lpwstr/>
      </vt:variant>
      <vt:variant>
        <vt:i4>1835029</vt:i4>
      </vt:variant>
      <vt:variant>
        <vt:i4>6482</vt:i4>
      </vt:variant>
      <vt:variant>
        <vt:i4>0</vt:i4>
      </vt:variant>
      <vt:variant>
        <vt:i4>5</vt:i4>
      </vt:variant>
      <vt:variant>
        <vt:lpwstr/>
      </vt:variant>
      <vt:variant>
        <vt:lpwstr>Tivorbex</vt:lpwstr>
      </vt:variant>
      <vt:variant>
        <vt:i4>7209068</vt:i4>
      </vt:variant>
      <vt:variant>
        <vt:i4>6479</vt:i4>
      </vt:variant>
      <vt:variant>
        <vt:i4>0</vt:i4>
      </vt:variant>
      <vt:variant>
        <vt:i4>5</vt:i4>
      </vt:variant>
      <vt:variant>
        <vt:lpwstr/>
      </vt:variant>
      <vt:variant>
        <vt:lpwstr>Diclofenac</vt:lpwstr>
      </vt:variant>
      <vt:variant>
        <vt:i4>1900565</vt:i4>
      </vt:variant>
      <vt:variant>
        <vt:i4>6476</vt:i4>
      </vt:variant>
      <vt:variant>
        <vt:i4>0</vt:i4>
      </vt:variant>
      <vt:variant>
        <vt:i4>5</vt:i4>
      </vt:variant>
      <vt:variant>
        <vt:lpwstr/>
      </vt:variant>
      <vt:variant>
        <vt:lpwstr>LevetiracetamListing</vt:lpwstr>
      </vt:variant>
      <vt:variant>
        <vt:i4>458782</vt:i4>
      </vt:variant>
      <vt:variant>
        <vt:i4>6473</vt:i4>
      </vt:variant>
      <vt:variant>
        <vt:i4>0</vt:i4>
      </vt:variant>
      <vt:variant>
        <vt:i4>5</vt:i4>
      </vt:variant>
      <vt:variant>
        <vt:lpwstr/>
      </vt:variant>
      <vt:variant>
        <vt:lpwstr>Antiepilepsydrugs</vt:lpwstr>
      </vt:variant>
      <vt:variant>
        <vt:i4>655434</vt:i4>
      </vt:variant>
      <vt:variant>
        <vt:i4>6470</vt:i4>
      </vt:variant>
      <vt:variant>
        <vt:i4>0</vt:i4>
      </vt:variant>
      <vt:variant>
        <vt:i4>5</vt:i4>
      </vt:variant>
      <vt:variant>
        <vt:lpwstr>http://www.fda.gov/Drugs/DrugSafety/ucm334041.htm</vt:lpwstr>
      </vt:variant>
      <vt:variant>
        <vt:lpwstr/>
      </vt:variant>
      <vt:variant>
        <vt:i4>3407985</vt:i4>
      </vt:variant>
      <vt:variant>
        <vt:i4>6467</vt:i4>
      </vt:variant>
      <vt:variant>
        <vt:i4>0</vt:i4>
      </vt:variant>
      <vt:variant>
        <vt:i4>5</vt:i4>
      </vt:variant>
      <vt:variant>
        <vt:lpwstr/>
      </vt:variant>
      <vt:variant>
        <vt:lpwstr>Morin2</vt:lpwstr>
      </vt:variant>
      <vt:variant>
        <vt:i4>7995481</vt:i4>
      </vt:variant>
      <vt:variant>
        <vt:i4>6464</vt:i4>
      </vt:variant>
      <vt:variant>
        <vt:i4>0</vt:i4>
      </vt:variant>
      <vt:variant>
        <vt:i4>5</vt:i4>
      </vt:variant>
      <vt:variant>
        <vt:lpwstr>http://www.accessdata.fda.gov/drugsatfda_docs/label/2007/021774s003s004s005s007s008lbl.pdf</vt:lpwstr>
      </vt:variant>
      <vt:variant>
        <vt:lpwstr/>
      </vt:variant>
      <vt:variant>
        <vt:i4>7864402</vt:i4>
      </vt:variant>
      <vt:variant>
        <vt:i4>6461</vt:i4>
      </vt:variant>
      <vt:variant>
        <vt:i4>0</vt:i4>
      </vt:variant>
      <vt:variant>
        <vt:i4>5</vt:i4>
      </vt:variant>
      <vt:variant>
        <vt:lpwstr>http://www.accessdata.fda.gov/drugsatfda_docs/label/2008/019908s027lbl.pdf</vt:lpwstr>
      </vt:variant>
      <vt:variant>
        <vt:lpwstr/>
      </vt:variant>
      <vt:variant>
        <vt:i4>1966110</vt:i4>
      </vt:variant>
      <vt:variant>
        <vt:i4>6458</vt:i4>
      </vt:variant>
      <vt:variant>
        <vt:i4>0</vt:i4>
      </vt:variant>
      <vt:variant>
        <vt:i4>5</vt:i4>
      </vt:variant>
      <vt:variant>
        <vt:lpwstr/>
      </vt:variant>
      <vt:variant>
        <vt:lpwstr>Insomniatreatment</vt:lpwstr>
      </vt:variant>
      <vt:variant>
        <vt:i4>1966110</vt:i4>
      </vt:variant>
      <vt:variant>
        <vt:i4>6455</vt:i4>
      </vt:variant>
      <vt:variant>
        <vt:i4>0</vt:i4>
      </vt:variant>
      <vt:variant>
        <vt:i4>5</vt:i4>
      </vt:variant>
      <vt:variant>
        <vt:lpwstr/>
      </vt:variant>
      <vt:variant>
        <vt:lpwstr>Insomniatreatment</vt:lpwstr>
      </vt:variant>
      <vt:variant>
        <vt:i4>589855</vt:i4>
      </vt:variant>
      <vt:variant>
        <vt:i4>6452</vt:i4>
      </vt:variant>
      <vt:variant>
        <vt:i4>0</vt:i4>
      </vt:variant>
      <vt:variant>
        <vt:i4>5</vt:i4>
      </vt:variant>
      <vt:variant>
        <vt:lpwstr/>
      </vt:variant>
      <vt:variant>
        <vt:lpwstr>Feinberg</vt:lpwstr>
      </vt:variant>
      <vt:variant>
        <vt:i4>6422627</vt:i4>
      </vt:variant>
      <vt:variant>
        <vt:i4>6449</vt:i4>
      </vt:variant>
      <vt:variant>
        <vt:i4>0</vt:i4>
      </vt:variant>
      <vt:variant>
        <vt:i4>5</vt:i4>
      </vt:variant>
      <vt:variant>
        <vt:lpwstr/>
      </vt:variant>
      <vt:variant>
        <vt:lpwstr>Hydrocodone</vt:lpwstr>
      </vt:variant>
      <vt:variant>
        <vt:i4>6684786</vt:i4>
      </vt:variant>
      <vt:variant>
        <vt:i4>6446</vt:i4>
      </vt:variant>
      <vt:variant>
        <vt:i4>0</vt:i4>
      </vt:variant>
      <vt:variant>
        <vt:i4>5</vt:i4>
      </vt:variant>
      <vt:variant>
        <vt:lpwstr/>
      </vt:variant>
      <vt:variant>
        <vt:lpwstr>DiclofenacPotassium</vt:lpwstr>
      </vt:variant>
      <vt:variant>
        <vt:i4>8126576</vt:i4>
      </vt:variant>
      <vt:variant>
        <vt:i4>6443</vt:i4>
      </vt:variant>
      <vt:variant>
        <vt:i4>0</vt:i4>
      </vt:variant>
      <vt:variant>
        <vt:i4>5</vt:i4>
      </vt:variant>
      <vt:variant>
        <vt:lpwstr/>
      </vt:variant>
      <vt:variant>
        <vt:lpwstr>Zuniga2011</vt:lpwstr>
      </vt:variant>
      <vt:variant>
        <vt:i4>1310747</vt:i4>
      </vt:variant>
      <vt:variant>
        <vt:i4>6440</vt:i4>
      </vt:variant>
      <vt:variant>
        <vt:i4>0</vt:i4>
      </vt:variant>
      <vt:variant>
        <vt:i4>5</vt:i4>
      </vt:variant>
      <vt:variant>
        <vt:lpwstr/>
      </vt:variant>
      <vt:variant>
        <vt:lpwstr>Kowalski</vt:lpwstr>
      </vt:variant>
      <vt:variant>
        <vt:i4>8323134</vt:i4>
      </vt:variant>
      <vt:variant>
        <vt:i4>6437</vt:i4>
      </vt:variant>
      <vt:variant>
        <vt:i4>0</vt:i4>
      </vt:variant>
      <vt:variant>
        <vt:i4>5</vt:i4>
      </vt:variant>
      <vt:variant>
        <vt:lpwstr>http://www.centerwatch.com/drug-information/fda-approvals/drug-details.aspx?DrugID=1027</vt:lpwstr>
      </vt:variant>
      <vt:variant>
        <vt:lpwstr/>
      </vt:variant>
      <vt:variant>
        <vt:i4>7209068</vt:i4>
      </vt:variant>
      <vt:variant>
        <vt:i4>6434</vt:i4>
      </vt:variant>
      <vt:variant>
        <vt:i4>0</vt:i4>
      </vt:variant>
      <vt:variant>
        <vt:i4>5</vt:i4>
      </vt:variant>
      <vt:variant>
        <vt:lpwstr/>
      </vt:variant>
      <vt:variant>
        <vt:lpwstr>Diclofenac</vt:lpwstr>
      </vt:variant>
      <vt:variant>
        <vt:i4>851983</vt:i4>
      </vt:variant>
      <vt:variant>
        <vt:i4>6431</vt:i4>
      </vt:variant>
      <vt:variant>
        <vt:i4>0</vt:i4>
      </vt:variant>
      <vt:variant>
        <vt:i4>5</vt:i4>
      </vt:variant>
      <vt:variant>
        <vt:lpwstr/>
      </vt:variant>
      <vt:variant>
        <vt:lpwstr>Intrathecaldrugdeliverysystemsmedication</vt:lpwstr>
      </vt:variant>
      <vt:variant>
        <vt:i4>458822</vt:i4>
      </vt:variant>
      <vt:variant>
        <vt:i4>6428</vt:i4>
      </vt:variant>
      <vt:variant>
        <vt:i4>0</vt:i4>
      </vt:variant>
      <vt:variant>
        <vt:i4>5</vt:i4>
      </vt:variant>
      <vt:variant>
        <vt:lpwstr/>
      </vt:variant>
      <vt:variant>
        <vt:lpwstr>Maier2010</vt:lpwstr>
      </vt:variant>
      <vt:variant>
        <vt:i4>1507329</vt:i4>
      </vt:variant>
      <vt:variant>
        <vt:i4>6425</vt:i4>
      </vt:variant>
      <vt:variant>
        <vt:i4>0</vt:i4>
      </vt:variant>
      <vt:variant>
        <vt:i4>5</vt:i4>
      </vt:variant>
      <vt:variant>
        <vt:lpwstr/>
      </vt:variant>
      <vt:variant>
        <vt:lpwstr>Deer3</vt:lpwstr>
      </vt:variant>
      <vt:variant>
        <vt:i4>131079</vt:i4>
      </vt:variant>
      <vt:variant>
        <vt:i4>6422</vt:i4>
      </vt:variant>
      <vt:variant>
        <vt:i4>0</vt:i4>
      </vt:variant>
      <vt:variant>
        <vt:i4>5</vt:i4>
      </vt:variant>
      <vt:variant>
        <vt:lpwstr/>
      </vt:variant>
      <vt:variant>
        <vt:lpwstr>Rauck</vt:lpwstr>
      </vt:variant>
      <vt:variant>
        <vt:i4>1703938</vt:i4>
      </vt:variant>
      <vt:variant>
        <vt:i4>6419</vt:i4>
      </vt:variant>
      <vt:variant>
        <vt:i4>0</vt:i4>
      </vt:variant>
      <vt:variant>
        <vt:i4>5</vt:i4>
      </vt:variant>
      <vt:variant>
        <vt:lpwstr/>
      </vt:variant>
      <vt:variant>
        <vt:lpwstr>Lynch</vt:lpwstr>
      </vt:variant>
      <vt:variant>
        <vt:i4>8061041</vt:i4>
      </vt:variant>
      <vt:variant>
        <vt:i4>6416</vt:i4>
      </vt:variant>
      <vt:variant>
        <vt:i4>0</vt:i4>
      </vt:variant>
      <vt:variant>
        <vt:i4>5</vt:i4>
      </vt:variant>
      <vt:variant>
        <vt:lpwstr/>
      </vt:variant>
      <vt:variant>
        <vt:lpwstr>Lyseng</vt:lpwstr>
      </vt:variant>
      <vt:variant>
        <vt:i4>655369</vt:i4>
      </vt:variant>
      <vt:variant>
        <vt:i4>6413</vt:i4>
      </vt:variant>
      <vt:variant>
        <vt:i4>0</vt:i4>
      </vt:variant>
      <vt:variant>
        <vt:i4>5</vt:i4>
      </vt:variant>
      <vt:variant>
        <vt:lpwstr/>
      </vt:variant>
      <vt:variant>
        <vt:lpwstr>Wermeling</vt:lpwstr>
      </vt:variant>
      <vt:variant>
        <vt:i4>1572868</vt:i4>
      </vt:variant>
      <vt:variant>
        <vt:i4>6410</vt:i4>
      </vt:variant>
      <vt:variant>
        <vt:i4>0</vt:i4>
      </vt:variant>
      <vt:variant>
        <vt:i4>5</vt:i4>
      </vt:variant>
      <vt:variant>
        <vt:lpwstr/>
      </vt:variant>
      <vt:variant>
        <vt:lpwstr>Thompson</vt:lpwstr>
      </vt:variant>
      <vt:variant>
        <vt:i4>7536752</vt:i4>
      </vt:variant>
      <vt:variant>
        <vt:i4>6407</vt:i4>
      </vt:variant>
      <vt:variant>
        <vt:i4>0</vt:i4>
      </vt:variant>
      <vt:variant>
        <vt:i4>5</vt:i4>
      </vt:variant>
      <vt:variant>
        <vt:lpwstr/>
      </vt:variant>
      <vt:variant>
        <vt:lpwstr>Fisher</vt:lpwstr>
      </vt:variant>
      <vt:variant>
        <vt:i4>8126534</vt:i4>
      </vt:variant>
      <vt:variant>
        <vt:i4>6404</vt:i4>
      </vt:variant>
      <vt:variant>
        <vt:i4>0</vt:i4>
      </vt:variant>
      <vt:variant>
        <vt:i4>5</vt:i4>
      </vt:variant>
      <vt:variant>
        <vt:lpwstr/>
      </vt:variant>
      <vt:variant>
        <vt:lpwstr>Tizanidine_listing</vt:lpwstr>
      </vt:variant>
      <vt:variant>
        <vt:i4>6422650</vt:i4>
      </vt:variant>
      <vt:variant>
        <vt:i4>6401</vt:i4>
      </vt:variant>
      <vt:variant>
        <vt:i4>0</vt:i4>
      </vt:variant>
      <vt:variant>
        <vt:i4>5</vt:i4>
      </vt:variant>
      <vt:variant>
        <vt:lpwstr/>
      </vt:variant>
      <vt:variant>
        <vt:lpwstr>Musclerelaxants</vt:lpwstr>
      </vt:variant>
      <vt:variant>
        <vt:i4>6750307</vt:i4>
      </vt:variant>
      <vt:variant>
        <vt:i4>6398</vt:i4>
      </vt:variant>
      <vt:variant>
        <vt:i4>0</vt:i4>
      </vt:variant>
      <vt:variant>
        <vt:i4>5</vt:i4>
      </vt:variant>
      <vt:variant>
        <vt:lpwstr/>
      </vt:variant>
      <vt:variant>
        <vt:lpwstr>Behavioralinterventions</vt:lpwstr>
      </vt:variant>
      <vt:variant>
        <vt:i4>6553727</vt:i4>
      </vt:variant>
      <vt:variant>
        <vt:i4>6395</vt:i4>
      </vt:variant>
      <vt:variant>
        <vt:i4>0</vt:i4>
      </vt:variant>
      <vt:variant>
        <vt:i4>5</vt:i4>
      </vt:variant>
      <vt:variant>
        <vt:lpwstr/>
      </vt:variant>
      <vt:variant>
        <vt:lpwstr>Barrows</vt:lpwstr>
      </vt:variant>
      <vt:variant>
        <vt:i4>14811183</vt:i4>
      </vt:variant>
      <vt:variant>
        <vt:i4>6392</vt:i4>
      </vt:variant>
      <vt:variant>
        <vt:i4>0</vt:i4>
      </vt:variant>
      <vt:variant>
        <vt:i4>5</vt:i4>
      </vt:variant>
      <vt:variant>
        <vt:lpwstr/>
      </vt:variant>
      <vt:variant>
        <vt:lpwstr>Büssing2012</vt:lpwstr>
      </vt:variant>
      <vt:variant>
        <vt:i4>8126589</vt:i4>
      </vt:variant>
      <vt:variant>
        <vt:i4>6389</vt:i4>
      </vt:variant>
      <vt:variant>
        <vt:i4>0</vt:i4>
      </vt:variant>
      <vt:variant>
        <vt:i4>5</vt:i4>
      </vt:variant>
      <vt:variant>
        <vt:lpwstr/>
      </vt:variant>
      <vt:variant>
        <vt:lpwstr>Carson2010</vt:lpwstr>
      </vt:variant>
      <vt:variant>
        <vt:i4>1703948</vt:i4>
      </vt:variant>
      <vt:variant>
        <vt:i4>6386</vt:i4>
      </vt:variant>
      <vt:variant>
        <vt:i4>0</vt:i4>
      </vt:variant>
      <vt:variant>
        <vt:i4>5</vt:i4>
      </vt:variant>
      <vt:variant>
        <vt:lpwstr/>
      </vt:variant>
      <vt:variant>
        <vt:lpwstr>Galantino</vt:lpwstr>
      </vt:variant>
      <vt:variant>
        <vt:i4>6553727</vt:i4>
      </vt:variant>
      <vt:variant>
        <vt:i4>6383</vt:i4>
      </vt:variant>
      <vt:variant>
        <vt:i4>0</vt:i4>
      </vt:variant>
      <vt:variant>
        <vt:i4>5</vt:i4>
      </vt:variant>
      <vt:variant>
        <vt:lpwstr/>
      </vt:variant>
      <vt:variant>
        <vt:lpwstr>Barrows</vt:lpwstr>
      </vt:variant>
      <vt:variant>
        <vt:i4>1703957</vt:i4>
      </vt:variant>
      <vt:variant>
        <vt:i4>6380</vt:i4>
      </vt:variant>
      <vt:variant>
        <vt:i4>0</vt:i4>
      </vt:variant>
      <vt:variant>
        <vt:i4>5</vt:i4>
      </vt:variant>
      <vt:variant>
        <vt:lpwstr/>
      </vt:variant>
      <vt:variant>
        <vt:lpwstr>Astin</vt:lpwstr>
      </vt:variant>
      <vt:variant>
        <vt:i4>6553727</vt:i4>
      </vt:variant>
      <vt:variant>
        <vt:i4>6377</vt:i4>
      </vt:variant>
      <vt:variant>
        <vt:i4>0</vt:i4>
      </vt:variant>
      <vt:variant>
        <vt:i4>5</vt:i4>
      </vt:variant>
      <vt:variant>
        <vt:lpwstr/>
      </vt:variant>
      <vt:variant>
        <vt:lpwstr>Botulinumtoxin</vt:lpwstr>
      </vt:variant>
      <vt:variant>
        <vt:i4>983062</vt:i4>
      </vt:variant>
      <vt:variant>
        <vt:i4>6374</vt:i4>
      </vt:variant>
      <vt:variant>
        <vt:i4>0</vt:i4>
      </vt:variant>
      <vt:variant>
        <vt:i4>5</vt:i4>
      </vt:variant>
      <vt:variant>
        <vt:lpwstr/>
      </vt:variant>
      <vt:variant>
        <vt:lpwstr>ClinicalPharmacology</vt:lpwstr>
      </vt:variant>
      <vt:variant>
        <vt:i4>7995477</vt:i4>
      </vt:variant>
      <vt:variant>
        <vt:i4>6371</vt:i4>
      </vt:variant>
      <vt:variant>
        <vt:i4>0</vt:i4>
      </vt:variant>
      <vt:variant>
        <vt:i4>5</vt:i4>
      </vt:variant>
      <vt:variant>
        <vt:lpwstr>http://www.accessdata.fda.gov/drugsatfda_docs/label/2014/204031s000lbl.pdf</vt:lpwstr>
      </vt:variant>
      <vt:variant>
        <vt:lpwstr/>
      </vt:variant>
      <vt:variant>
        <vt:i4>7536750</vt:i4>
      </vt:variant>
      <vt:variant>
        <vt:i4>6368</vt:i4>
      </vt:variant>
      <vt:variant>
        <vt:i4>0</vt:i4>
      </vt:variant>
      <vt:variant>
        <vt:i4>5</vt:i4>
      </vt:variant>
      <vt:variant>
        <vt:lpwstr/>
      </vt:variant>
      <vt:variant>
        <vt:lpwstr>Benzodiazepines</vt:lpwstr>
      </vt:variant>
      <vt:variant>
        <vt:i4>6619262</vt:i4>
      </vt:variant>
      <vt:variant>
        <vt:i4>6365</vt:i4>
      </vt:variant>
      <vt:variant>
        <vt:i4>0</vt:i4>
      </vt:variant>
      <vt:variant>
        <vt:i4>5</vt:i4>
      </vt:variant>
      <vt:variant>
        <vt:lpwstr/>
      </vt:variant>
      <vt:variant>
        <vt:lpwstr>Alprazolam</vt:lpwstr>
      </vt:variant>
      <vt:variant>
        <vt:i4>8257649</vt:i4>
      </vt:variant>
      <vt:variant>
        <vt:i4>6362</vt:i4>
      </vt:variant>
      <vt:variant>
        <vt:i4>0</vt:i4>
      </vt:variant>
      <vt:variant>
        <vt:i4>5</vt:i4>
      </vt:variant>
      <vt:variant>
        <vt:lpwstr/>
      </vt:variant>
      <vt:variant>
        <vt:lpwstr>Physicaltherapy</vt:lpwstr>
      </vt:variant>
      <vt:variant>
        <vt:i4>7798887</vt:i4>
      </vt:variant>
      <vt:variant>
        <vt:i4>6359</vt:i4>
      </vt:variant>
      <vt:variant>
        <vt:i4>0</vt:i4>
      </vt:variant>
      <vt:variant>
        <vt:i4>5</vt:i4>
      </vt:variant>
      <vt:variant>
        <vt:lpwstr/>
      </vt:variant>
      <vt:variant>
        <vt:lpwstr>Chronicpainprograms</vt:lpwstr>
      </vt:variant>
      <vt:variant>
        <vt:i4>1114133</vt:i4>
      </vt:variant>
      <vt:variant>
        <vt:i4>6356</vt:i4>
      </vt:variant>
      <vt:variant>
        <vt:i4>0</vt:i4>
      </vt:variant>
      <vt:variant>
        <vt:i4>5</vt:i4>
      </vt:variant>
      <vt:variant>
        <vt:lpwstr/>
      </vt:variant>
      <vt:variant>
        <vt:lpwstr>APTA</vt:lpwstr>
      </vt:variant>
      <vt:variant>
        <vt:i4>655448</vt:i4>
      </vt:variant>
      <vt:variant>
        <vt:i4>6353</vt:i4>
      </vt:variant>
      <vt:variant>
        <vt:i4>0</vt:i4>
      </vt:variant>
      <vt:variant>
        <vt:i4>5</vt:i4>
      </vt:variant>
      <vt:variant>
        <vt:lpwstr/>
      </vt:variant>
      <vt:variant>
        <vt:lpwstr>Schaafsma2010</vt:lpwstr>
      </vt:variant>
      <vt:variant>
        <vt:i4>4391002</vt:i4>
      </vt:variant>
      <vt:variant>
        <vt:i4>6350</vt:i4>
      </vt:variant>
      <vt:variant>
        <vt:i4>0</vt:i4>
      </vt:variant>
      <vt:variant>
        <vt:i4>5</vt:i4>
      </vt:variant>
      <vt:variant>
        <vt:lpwstr>http://www.carf.org/home/</vt:lpwstr>
      </vt:variant>
      <vt:variant>
        <vt:lpwstr/>
      </vt:variant>
      <vt:variant>
        <vt:i4>1572884</vt:i4>
      </vt:variant>
      <vt:variant>
        <vt:i4>6347</vt:i4>
      </vt:variant>
      <vt:variant>
        <vt:i4>0</vt:i4>
      </vt:variant>
      <vt:variant>
        <vt:i4>5</vt:i4>
      </vt:variant>
      <vt:variant>
        <vt:lpwstr/>
      </vt:variant>
      <vt:variant>
        <vt:lpwstr>Bupropion</vt:lpwstr>
      </vt:variant>
      <vt:variant>
        <vt:i4>7864447</vt:i4>
      </vt:variant>
      <vt:variant>
        <vt:i4>6344</vt:i4>
      </vt:variant>
      <vt:variant>
        <vt:i4>0</vt:i4>
      </vt:variant>
      <vt:variant>
        <vt:i4>5</vt:i4>
      </vt:variant>
      <vt:variant>
        <vt:lpwstr/>
      </vt:variant>
      <vt:variant>
        <vt:lpwstr>Weaningscheduledmedications</vt:lpwstr>
      </vt:variant>
      <vt:variant>
        <vt:i4>3342386</vt:i4>
      </vt:variant>
      <vt:variant>
        <vt:i4>6341</vt:i4>
      </vt:variant>
      <vt:variant>
        <vt:i4>0</vt:i4>
      </vt:variant>
      <vt:variant>
        <vt:i4>5</vt:i4>
      </vt:variant>
      <vt:variant>
        <vt:lpwstr>http://www.ncbi.nlm.nih.gov/books/NBK64333/</vt:lpwstr>
      </vt:variant>
      <vt:variant>
        <vt:lpwstr/>
      </vt:variant>
      <vt:variant>
        <vt:i4>7864447</vt:i4>
      </vt:variant>
      <vt:variant>
        <vt:i4>6338</vt:i4>
      </vt:variant>
      <vt:variant>
        <vt:i4>0</vt:i4>
      </vt:variant>
      <vt:variant>
        <vt:i4>5</vt:i4>
      </vt:variant>
      <vt:variant>
        <vt:lpwstr/>
      </vt:variant>
      <vt:variant>
        <vt:lpwstr>Weaningscheduledmedications</vt:lpwstr>
      </vt:variant>
      <vt:variant>
        <vt:i4>2031619</vt:i4>
      </vt:variant>
      <vt:variant>
        <vt:i4>6335</vt:i4>
      </vt:variant>
      <vt:variant>
        <vt:i4>0</vt:i4>
      </vt:variant>
      <vt:variant>
        <vt:i4>5</vt:i4>
      </vt:variant>
      <vt:variant>
        <vt:lpwstr/>
      </vt:variant>
      <vt:variant>
        <vt:lpwstr>Weaningstimulants</vt:lpwstr>
      </vt:variant>
      <vt:variant>
        <vt:i4>1638403</vt:i4>
      </vt:variant>
      <vt:variant>
        <vt:i4>6332</vt:i4>
      </vt:variant>
      <vt:variant>
        <vt:i4>0</vt:i4>
      </vt:variant>
      <vt:variant>
        <vt:i4>5</vt:i4>
      </vt:variant>
      <vt:variant>
        <vt:lpwstr/>
      </vt:variant>
      <vt:variant>
        <vt:lpwstr>Weaningpregabalin</vt:lpwstr>
      </vt:variant>
      <vt:variant>
        <vt:i4>7798889</vt:i4>
      </vt:variant>
      <vt:variant>
        <vt:i4>6329</vt:i4>
      </vt:variant>
      <vt:variant>
        <vt:i4>0</vt:i4>
      </vt:variant>
      <vt:variant>
        <vt:i4>5</vt:i4>
      </vt:variant>
      <vt:variant>
        <vt:lpwstr/>
      </vt:variant>
      <vt:variant>
        <vt:lpwstr>Weaningcarisoprodol</vt:lpwstr>
      </vt:variant>
      <vt:variant>
        <vt:i4>7864427</vt:i4>
      </vt:variant>
      <vt:variant>
        <vt:i4>6326</vt:i4>
      </vt:variant>
      <vt:variant>
        <vt:i4>0</vt:i4>
      </vt:variant>
      <vt:variant>
        <vt:i4>5</vt:i4>
      </vt:variant>
      <vt:variant>
        <vt:lpwstr/>
      </vt:variant>
      <vt:variant>
        <vt:lpwstr>Weaningbenzodiazepines</vt:lpwstr>
      </vt:variant>
      <vt:variant>
        <vt:i4>2293876</vt:i4>
      </vt:variant>
      <vt:variant>
        <vt:i4>6323</vt:i4>
      </vt:variant>
      <vt:variant>
        <vt:i4>0</vt:i4>
      </vt:variant>
      <vt:variant>
        <vt:i4>5</vt:i4>
      </vt:variant>
      <vt:variant>
        <vt:lpwstr>http://www.ncbi.nlm.nih.gov/books/NBK64245/pdf/TOC.pdf</vt:lpwstr>
      </vt:variant>
      <vt:variant>
        <vt:lpwstr/>
      </vt:variant>
      <vt:variant>
        <vt:i4>720916</vt:i4>
      </vt:variant>
      <vt:variant>
        <vt:i4>6320</vt:i4>
      </vt:variant>
      <vt:variant>
        <vt:i4>0</vt:i4>
      </vt:variant>
      <vt:variant>
        <vt:i4>5</vt:i4>
      </vt:variant>
      <vt:variant>
        <vt:lpwstr/>
      </vt:variant>
      <vt:variant>
        <vt:lpwstr>Functionalimprovementmeasures</vt:lpwstr>
      </vt:variant>
      <vt:variant>
        <vt:i4>7667839</vt:i4>
      </vt:variant>
      <vt:variant>
        <vt:i4>6317</vt:i4>
      </vt:variant>
      <vt:variant>
        <vt:i4>0</vt:i4>
      </vt:variant>
      <vt:variant>
        <vt:i4>5</vt:i4>
      </vt:variant>
      <vt:variant>
        <vt:lpwstr/>
      </vt:variant>
      <vt:variant>
        <vt:lpwstr>Substanceabuse</vt:lpwstr>
      </vt:variant>
      <vt:variant>
        <vt:i4>6291564</vt:i4>
      </vt:variant>
      <vt:variant>
        <vt:i4>6314</vt:i4>
      </vt:variant>
      <vt:variant>
        <vt:i4>0</vt:i4>
      </vt:variant>
      <vt:variant>
        <vt:i4>5</vt:i4>
      </vt:variant>
      <vt:variant>
        <vt:lpwstr/>
      </vt:variant>
      <vt:variant>
        <vt:lpwstr>Rapiddetox</vt:lpwstr>
      </vt:variant>
      <vt:variant>
        <vt:i4>7078006</vt:i4>
      </vt:variant>
      <vt:variant>
        <vt:i4>6311</vt:i4>
      </vt:variant>
      <vt:variant>
        <vt:i4>0</vt:i4>
      </vt:variant>
      <vt:variant>
        <vt:i4>5</vt:i4>
      </vt:variant>
      <vt:variant>
        <vt:lpwstr/>
      </vt:variant>
      <vt:variant>
        <vt:lpwstr>Detoxification</vt:lpwstr>
      </vt:variant>
      <vt:variant>
        <vt:i4>7864447</vt:i4>
      </vt:variant>
      <vt:variant>
        <vt:i4>6308</vt:i4>
      </vt:variant>
      <vt:variant>
        <vt:i4>0</vt:i4>
      </vt:variant>
      <vt:variant>
        <vt:i4>5</vt:i4>
      </vt:variant>
      <vt:variant>
        <vt:lpwstr/>
      </vt:variant>
      <vt:variant>
        <vt:lpwstr>Weaningscheduledmedications</vt:lpwstr>
      </vt:variant>
      <vt:variant>
        <vt:i4>6291564</vt:i4>
      </vt:variant>
      <vt:variant>
        <vt:i4>6305</vt:i4>
      </vt:variant>
      <vt:variant>
        <vt:i4>0</vt:i4>
      </vt:variant>
      <vt:variant>
        <vt:i4>5</vt:i4>
      </vt:variant>
      <vt:variant>
        <vt:lpwstr/>
      </vt:variant>
      <vt:variant>
        <vt:lpwstr>Rapiddetox</vt:lpwstr>
      </vt:variant>
      <vt:variant>
        <vt:i4>7078006</vt:i4>
      </vt:variant>
      <vt:variant>
        <vt:i4>6302</vt:i4>
      </vt:variant>
      <vt:variant>
        <vt:i4>0</vt:i4>
      </vt:variant>
      <vt:variant>
        <vt:i4>5</vt:i4>
      </vt:variant>
      <vt:variant>
        <vt:lpwstr/>
      </vt:variant>
      <vt:variant>
        <vt:lpwstr>Detoxification</vt:lpwstr>
      </vt:variant>
      <vt:variant>
        <vt:i4>7864447</vt:i4>
      </vt:variant>
      <vt:variant>
        <vt:i4>6299</vt:i4>
      </vt:variant>
      <vt:variant>
        <vt:i4>0</vt:i4>
      </vt:variant>
      <vt:variant>
        <vt:i4>5</vt:i4>
      </vt:variant>
      <vt:variant>
        <vt:lpwstr/>
      </vt:variant>
      <vt:variant>
        <vt:lpwstr>Weaningscheduledmedications</vt:lpwstr>
      </vt:variant>
      <vt:variant>
        <vt:i4>6815860</vt:i4>
      </vt:variant>
      <vt:variant>
        <vt:i4>6296</vt:i4>
      </vt:variant>
      <vt:variant>
        <vt:i4>0</vt:i4>
      </vt:variant>
      <vt:variant>
        <vt:i4>5</vt:i4>
      </vt:variant>
      <vt:variant>
        <vt:lpwstr/>
      </vt:variant>
      <vt:variant>
        <vt:lpwstr>Wright2009</vt:lpwstr>
      </vt:variant>
      <vt:variant>
        <vt:i4>8192101</vt:i4>
      </vt:variant>
      <vt:variant>
        <vt:i4>6293</vt:i4>
      </vt:variant>
      <vt:variant>
        <vt:i4>0</vt:i4>
      </vt:variant>
      <vt:variant>
        <vt:i4>5</vt:i4>
      </vt:variant>
      <vt:variant>
        <vt:lpwstr/>
      </vt:variant>
      <vt:variant>
        <vt:lpwstr>Washington</vt:lpwstr>
      </vt:variant>
      <vt:variant>
        <vt:i4>6619238</vt:i4>
      </vt:variant>
      <vt:variant>
        <vt:i4>6290</vt:i4>
      </vt:variant>
      <vt:variant>
        <vt:i4>0</vt:i4>
      </vt:variant>
      <vt:variant>
        <vt:i4>5</vt:i4>
      </vt:variant>
      <vt:variant>
        <vt:lpwstr/>
      </vt:variant>
      <vt:variant>
        <vt:lpwstr>Heacock</vt:lpwstr>
      </vt:variant>
      <vt:variant>
        <vt:i4>7929957</vt:i4>
      </vt:variant>
      <vt:variant>
        <vt:i4>6287</vt:i4>
      </vt:variant>
      <vt:variant>
        <vt:i4>0</vt:i4>
      </vt:variant>
      <vt:variant>
        <vt:i4>5</vt:i4>
      </vt:variant>
      <vt:variant>
        <vt:lpwstr/>
      </vt:variant>
      <vt:variant>
        <vt:lpwstr>Boothby</vt:lpwstr>
      </vt:variant>
      <vt:variant>
        <vt:i4>6750320</vt:i4>
      </vt:variant>
      <vt:variant>
        <vt:i4>6284</vt:i4>
      </vt:variant>
      <vt:variant>
        <vt:i4>0</vt:i4>
      </vt:variant>
      <vt:variant>
        <vt:i4>5</vt:i4>
      </vt:variant>
      <vt:variant>
        <vt:lpwstr/>
      </vt:variant>
      <vt:variant>
        <vt:lpwstr>Reeves2007</vt:lpwstr>
      </vt:variant>
      <vt:variant>
        <vt:i4>6291569</vt:i4>
      </vt:variant>
      <vt:variant>
        <vt:i4>6281</vt:i4>
      </vt:variant>
      <vt:variant>
        <vt:i4>0</vt:i4>
      </vt:variant>
      <vt:variant>
        <vt:i4>5</vt:i4>
      </vt:variant>
      <vt:variant>
        <vt:lpwstr/>
      </vt:variant>
      <vt:variant>
        <vt:lpwstr>Reeves2010</vt:lpwstr>
      </vt:variant>
      <vt:variant>
        <vt:i4>196625</vt:i4>
      </vt:variant>
      <vt:variant>
        <vt:i4>6278</vt:i4>
      </vt:variant>
      <vt:variant>
        <vt:i4>0</vt:i4>
      </vt:variant>
      <vt:variant>
        <vt:i4>5</vt:i4>
      </vt:variant>
      <vt:variant>
        <vt:lpwstr/>
      </vt:variant>
      <vt:variant>
        <vt:lpwstr>Dickenson</vt:lpwstr>
      </vt:variant>
      <vt:variant>
        <vt:i4>7864447</vt:i4>
      </vt:variant>
      <vt:variant>
        <vt:i4>6275</vt:i4>
      </vt:variant>
      <vt:variant>
        <vt:i4>0</vt:i4>
      </vt:variant>
      <vt:variant>
        <vt:i4>5</vt:i4>
      </vt:variant>
      <vt:variant>
        <vt:lpwstr/>
      </vt:variant>
      <vt:variant>
        <vt:lpwstr>Weaningscheduledmedications</vt:lpwstr>
      </vt:variant>
      <vt:variant>
        <vt:i4>262218</vt:i4>
      </vt:variant>
      <vt:variant>
        <vt:i4>6272</vt:i4>
      </vt:variant>
      <vt:variant>
        <vt:i4>0</vt:i4>
      </vt:variant>
      <vt:variant>
        <vt:i4>5</vt:i4>
      </vt:variant>
      <vt:variant>
        <vt:lpwstr/>
      </vt:variant>
      <vt:variant>
        <vt:lpwstr>Maremmani2013</vt:lpwstr>
      </vt:variant>
      <vt:variant>
        <vt:i4>1310742</vt:i4>
      </vt:variant>
      <vt:variant>
        <vt:i4>6269</vt:i4>
      </vt:variant>
      <vt:variant>
        <vt:i4>0</vt:i4>
      </vt:variant>
      <vt:variant>
        <vt:i4>5</vt:i4>
      </vt:variant>
      <vt:variant>
        <vt:lpwstr/>
      </vt:variant>
      <vt:variant>
        <vt:lpwstr>Liebrenz2010</vt:lpwstr>
      </vt:variant>
      <vt:variant>
        <vt:i4>196625</vt:i4>
      </vt:variant>
      <vt:variant>
        <vt:i4>6266</vt:i4>
      </vt:variant>
      <vt:variant>
        <vt:i4>0</vt:i4>
      </vt:variant>
      <vt:variant>
        <vt:i4>5</vt:i4>
      </vt:variant>
      <vt:variant>
        <vt:lpwstr/>
      </vt:variant>
      <vt:variant>
        <vt:lpwstr>Dickenson</vt:lpwstr>
      </vt:variant>
      <vt:variant>
        <vt:i4>1638426</vt:i4>
      </vt:variant>
      <vt:variant>
        <vt:i4>6263</vt:i4>
      </vt:variant>
      <vt:variant>
        <vt:i4>0</vt:i4>
      </vt:variant>
      <vt:variant>
        <vt:i4>5</vt:i4>
      </vt:variant>
      <vt:variant>
        <vt:lpwstr/>
      </vt:variant>
      <vt:variant>
        <vt:lpwstr>Smith</vt:lpwstr>
      </vt:variant>
      <vt:variant>
        <vt:i4>262152</vt:i4>
      </vt:variant>
      <vt:variant>
        <vt:i4>6260</vt:i4>
      </vt:variant>
      <vt:variant>
        <vt:i4>0</vt:i4>
      </vt:variant>
      <vt:variant>
        <vt:i4>5</vt:i4>
      </vt:variant>
      <vt:variant>
        <vt:lpwstr/>
      </vt:variant>
      <vt:variant>
        <vt:lpwstr>Lader</vt:lpwstr>
      </vt:variant>
      <vt:variant>
        <vt:i4>3</vt:i4>
      </vt:variant>
      <vt:variant>
        <vt:i4>6257</vt:i4>
      </vt:variant>
      <vt:variant>
        <vt:i4>0</vt:i4>
      </vt:variant>
      <vt:variant>
        <vt:i4>5</vt:i4>
      </vt:variant>
      <vt:variant>
        <vt:lpwstr/>
      </vt:variant>
      <vt:variant>
        <vt:lpwstr>Kahan</vt:lpwstr>
      </vt:variant>
      <vt:variant>
        <vt:i4>6881382</vt:i4>
      </vt:variant>
      <vt:variant>
        <vt:i4>6254</vt:i4>
      </vt:variant>
      <vt:variant>
        <vt:i4>0</vt:i4>
      </vt:variant>
      <vt:variant>
        <vt:i4>5</vt:i4>
      </vt:variant>
      <vt:variant>
        <vt:lpwstr/>
      </vt:variant>
      <vt:variant>
        <vt:lpwstr>Ashton</vt:lpwstr>
      </vt:variant>
      <vt:variant>
        <vt:i4>7405667</vt:i4>
      </vt:variant>
      <vt:variant>
        <vt:i4>6251</vt:i4>
      </vt:variant>
      <vt:variant>
        <vt:i4>0</vt:i4>
      </vt:variant>
      <vt:variant>
        <vt:i4>5</vt:i4>
      </vt:variant>
      <vt:variant>
        <vt:lpwstr/>
      </vt:variant>
      <vt:variant>
        <vt:lpwstr>Benzon</vt:lpwstr>
      </vt:variant>
      <vt:variant>
        <vt:i4>6815859</vt:i4>
      </vt:variant>
      <vt:variant>
        <vt:i4>6248</vt:i4>
      </vt:variant>
      <vt:variant>
        <vt:i4>0</vt:i4>
      </vt:variant>
      <vt:variant>
        <vt:i4>5</vt:i4>
      </vt:variant>
      <vt:variant>
        <vt:lpwstr/>
      </vt:variant>
      <vt:variant>
        <vt:lpwstr>Cluver</vt:lpwstr>
      </vt:variant>
      <vt:variant>
        <vt:i4>786442</vt:i4>
      </vt:variant>
      <vt:variant>
        <vt:i4>6245</vt:i4>
      </vt:variant>
      <vt:variant>
        <vt:i4>0</vt:i4>
      </vt:variant>
      <vt:variant>
        <vt:i4>5</vt:i4>
      </vt:variant>
      <vt:variant>
        <vt:lpwstr/>
      </vt:variant>
      <vt:variant>
        <vt:lpwstr>Denis</vt:lpwstr>
      </vt:variant>
      <vt:variant>
        <vt:i4>196625</vt:i4>
      </vt:variant>
      <vt:variant>
        <vt:i4>6242</vt:i4>
      </vt:variant>
      <vt:variant>
        <vt:i4>0</vt:i4>
      </vt:variant>
      <vt:variant>
        <vt:i4>5</vt:i4>
      </vt:variant>
      <vt:variant>
        <vt:lpwstr/>
      </vt:variant>
      <vt:variant>
        <vt:lpwstr>Dickenson</vt:lpwstr>
      </vt:variant>
      <vt:variant>
        <vt:i4>1835017</vt:i4>
      </vt:variant>
      <vt:variant>
        <vt:i4>6239</vt:i4>
      </vt:variant>
      <vt:variant>
        <vt:i4>0</vt:i4>
      </vt:variant>
      <vt:variant>
        <vt:i4>5</vt:i4>
      </vt:variant>
      <vt:variant>
        <vt:lpwstr>http://www.ncbi.nlm.nih.gov/bookshelf/br.fcgi?book=hssamhsatip&amp;part=A85492</vt:lpwstr>
      </vt:variant>
      <vt:variant>
        <vt:lpwstr>A85649</vt:lpwstr>
      </vt:variant>
      <vt:variant>
        <vt:i4>6094852</vt:i4>
      </vt:variant>
      <vt:variant>
        <vt:i4>6236</vt:i4>
      </vt:variant>
      <vt:variant>
        <vt:i4>0</vt:i4>
      </vt:variant>
      <vt:variant>
        <vt:i4>5</vt:i4>
      </vt:variant>
      <vt:variant>
        <vt:lpwstr/>
      </vt:variant>
      <vt:variant>
        <vt:lpwstr>TIP45</vt:lpwstr>
      </vt:variant>
      <vt:variant>
        <vt:i4>786437</vt:i4>
      </vt:variant>
      <vt:variant>
        <vt:i4>6233</vt:i4>
      </vt:variant>
      <vt:variant>
        <vt:i4>0</vt:i4>
      </vt:variant>
      <vt:variant>
        <vt:i4>5</vt:i4>
      </vt:variant>
      <vt:variant>
        <vt:lpwstr/>
      </vt:variant>
      <vt:variant>
        <vt:lpwstr>Petursson</vt:lpwstr>
      </vt:variant>
      <vt:variant>
        <vt:i4>196625</vt:i4>
      </vt:variant>
      <vt:variant>
        <vt:i4>6230</vt:i4>
      </vt:variant>
      <vt:variant>
        <vt:i4>0</vt:i4>
      </vt:variant>
      <vt:variant>
        <vt:i4>5</vt:i4>
      </vt:variant>
      <vt:variant>
        <vt:lpwstr/>
      </vt:variant>
      <vt:variant>
        <vt:lpwstr>Dickenson</vt:lpwstr>
      </vt:variant>
      <vt:variant>
        <vt:i4>6094852</vt:i4>
      </vt:variant>
      <vt:variant>
        <vt:i4>6227</vt:i4>
      </vt:variant>
      <vt:variant>
        <vt:i4>0</vt:i4>
      </vt:variant>
      <vt:variant>
        <vt:i4>5</vt:i4>
      </vt:variant>
      <vt:variant>
        <vt:lpwstr/>
      </vt:variant>
      <vt:variant>
        <vt:lpwstr>TIP45</vt:lpwstr>
      </vt:variant>
      <vt:variant>
        <vt:i4>6553710</vt:i4>
      </vt:variant>
      <vt:variant>
        <vt:i4>6224</vt:i4>
      </vt:variant>
      <vt:variant>
        <vt:i4>0</vt:i4>
      </vt:variant>
      <vt:variant>
        <vt:i4>5</vt:i4>
      </vt:variant>
      <vt:variant>
        <vt:lpwstr/>
      </vt:variant>
      <vt:variant>
        <vt:lpwstr>Ashton1994</vt:lpwstr>
      </vt:variant>
      <vt:variant>
        <vt:i4>2031617</vt:i4>
      </vt:variant>
      <vt:variant>
        <vt:i4>6221</vt:i4>
      </vt:variant>
      <vt:variant>
        <vt:i4>0</vt:i4>
      </vt:variant>
      <vt:variant>
        <vt:i4>5</vt:i4>
      </vt:variant>
      <vt:variant>
        <vt:lpwstr/>
      </vt:variant>
      <vt:variant>
        <vt:lpwstr>Alexander</vt:lpwstr>
      </vt:variant>
      <vt:variant>
        <vt:i4>262209</vt:i4>
      </vt:variant>
      <vt:variant>
        <vt:i4>6218</vt:i4>
      </vt:variant>
      <vt:variant>
        <vt:i4>0</vt:i4>
      </vt:variant>
      <vt:variant>
        <vt:i4>5</vt:i4>
      </vt:variant>
      <vt:variant>
        <vt:lpwstr/>
      </vt:variant>
      <vt:variant>
        <vt:lpwstr>Morin2004</vt:lpwstr>
      </vt:variant>
      <vt:variant>
        <vt:i4>262152</vt:i4>
      </vt:variant>
      <vt:variant>
        <vt:i4>6215</vt:i4>
      </vt:variant>
      <vt:variant>
        <vt:i4>0</vt:i4>
      </vt:variant>
      <vt:variant>
        <vt:i4>5</vt:i4>
      </vt:variant>
      <vt:variant>
        <vt:lpwstr/>
      </vt:variant>
      <vt:variant>
        <vt:lpwstr>Lader</vt:lpwstr>
      </vt:variant>
      <vt:variant>
        <vt:i4>6094852</vt:i4>
      </vt:variant>
      <vt:variant>
        <vt:i4>6212</vt:i4>
      </vt:variant>
      <vt:variant>
        <vt:i4>0</vt:i4>
      </vt:variant>
      <vt:variant>
        <vt:i4>5</vt:i4>
      </vt:variant>
      <vt:variant>
        <vt:lpwstr/>
      </vt:variant>
      <vt:variant>
        <vt:lpwstr>TIP45</vt:lpwstr>
      </vt:variant>
      <vt:variant>
        <vt:i4>6619244</vt:i4>
      </vt:variant>
      <vt:variant>
        <vt:i4>6209</vt:i4>
      </vt:variant>
      <vt:variant>
        <vt:i4>0</vt:i4>
      </vt:variant>
      <vt:variant>
        <vt:i4>5</vt:i4>
      </vt:variant>
      <vt:variant>
        <vt:lpwstr/>
      </vt:variant>
      <vt:variant>
        <vt:lpwstr>Lee</vt:lpwstr>
      </vt:variant>
      <vt:variant>
        <vt:i4>262218</vt:i4>
      </vt:variant>
      <vt:variant>
        <vt:i4>6206</vt:i4>
      </vt:variant>
      <vt:variant>
        <vt:i4>0</vt:i4>
      </vt:variant>
      <vt:variant>
        <vt:i4>5</vt:i4>
      </vt:variant>
      <vt:variant>
        <vt:lpwstr/>
      </vt:variant>
      <vt:variant>
        <vt:lpwstr>Maremmani2013</vt:lpwstr>
      </vt:variant>
      <vt:variant>
        <vt:i4>1310742</vt:i4>
      </vt:variant>
      <vt:variant>
        <vt:i4>6203</vt:i4>
      </vt:variant>
      <vt:variant>
        <vt:i4>0</vt:i4>
      </vt:variant>
      <vt:variant>
        <vt:i4>5</vt:i4>
      </vt:variant>
      <vt:variant>
        <vt:lpwstr/>
      </vt:variant>
      <vt:variant>
        <vt:lpwstr>Liebrenz2010</vt:lpwstr>
      </vt:variant>
      <vt:variant>
        <vt:i4>6619256</vt:i4>
      </vt:variant>
      <vt:variant>
        <vt:i4>6200</vt:i4>
      </vt:variant>
      <vt:variant>
        <vt:i4>0</vt:i4>
      </vt:variant>
      <vt:variant>
        <vt:i4>5</vt:i4>
      </vt:variant>
      <vt:variant>
        <vt:lpwstr/>
      </vt:variant>
      <vt:variant>
        <vt:lpwstr>Obrien</vt:lpwstr>
      </vt:variant>
      <vt:variant>
        <vt:i4>7602274</vt:i4>
      </vt:variant>
      <vt:variant>
        <vt:i4>6197</vt:i4>
      </vt:variant>
      <vt:variant>
        <vt:i4>0</vt:i4>
      </vt:variant>
      <vt:variant>
        <vt:i4>5</vt:i4>
      </vt:variant>
      <vt:variant>
        <vt:lpwstr/>
      </vt:variant>
      <vt:variant>
        <vt:lpwstr>Benzodiazepinedependencemaintenance</vt:lpwstr>
      </vt:variant>
      <vt:variant>
        <vt:i4>1703936</vt:i4>
      </vt:variant>
      <vt:variant>
        <vt:i4>6194</vt:i4>
      </vt:variant>
      <vt:variant>
        <vt:i4>0</vt:i4>
      </vt:variant>
      <vt:variant>
        <vt:i4>5</vt:i4>
      </vt:variant>
      <vt:variant>
        <vt:lpwstr/>
      </vt:variant>
      <vt:variant>
        <vt:lpwstr>Parr2009</vt:lpwstr>
      </vt:variant>
      <vt:variant>
        <vt:i4>6553638</vt:i4>
      </vt:variant>
      <vt:variant>
        <vt:i4>6191</vt:i4>
      </vt:variant>
      <vt:variant>
        <vt:i4>0</vt:i4>
      </vt:variant>
      <vt:variant>
        <vt:i4>5</vt:i4>
      </vt:variant>
      <vt:variant>
        <vt:lpwstr/>
      </vt:variant>
      <vt:variant>
        <vt:lpwstr>Voshaar2006</vt:lpwstr>
      </vt:variant>
      <vt:variant>
        <vt:i4>7274622</vt:i4>
      </vt:variant>
      <vt:variant>
        <vt:i4>6188</vt:i4>
      </vt:variant>
      <vt:variant>
        <vt:i4>0</vt:i4>
      </vt:variant>
      <vt:variant>
        <vt:i4>5</vt:i4>
      </vt:variant>
      <vt:variant>
        <vt:lpwstr/>
      </vt:variant>
      <vt:variant>
        <vt:lpwstr>LingfordHughes2004</vt:lpwstr>
      </vt:variant>
      <vt:variant>
        <vt:i4>6291556</vt:i4>
      </vt:variant>
      <vt:variant>
        <vt:i4>6185</vt:i4>
      </vt:variant>
      <vt:variant>
        <vt:i4>0</vt:i4>
      </vt:variant>
      <vt:variant>
        <vt:i4>5</vt:i4>
      </vt:variant>
      <vt:variant>
        <vt:lpwstr/>
      </vt:variant>
      <vt:variant>
        <vt:lpwstr>Ashton2009</vt:lpwstr>
      </vt:variant>
      <vt:variant>
        <vt:i4>262218</vt:i4>
      </vt:variant>
      <vt:variant>
        <vt:i4>6182</vt:i4>
      </vt:variant>
      <vt:variant>
        <vt:i4>0</vt:i4>
      </vt:variant>
      <vt:variant>
        <vt:i4>5</vt:i4>
      </vt:variant>
      <vt:variant>
        <vt:lpwstr/>
      </vt:variant>
      <vt:variant>
        <vt:lpwstr>Maremmani2013</vt:lpwstr>
      </vt:variant>
      <vt:variant>
        <vt:i4>6684734</vt:i4>
      </vt:variant>
      <vt:variant>
        <vt:i4>6179</vt:i4>
      </vt:variant>
      <vt:variant>
        <vt:i4>0</vt:i4>
      </vt:variant>
      <vt:variant>
        <vt:i4>5</vt:i4>
      </vt:variant>
      <vt:variant>
        <vt:lpwstr/>
      </vt:variant>
      <vt:variant>
        <vt:lpwstr>Rickels1999</vt:lpwstr>
      </vt:variant>
      <vt:variant>
        <vt:i4>1310742</vt:i4>
      </vt:variant>
      <vt:variant>
        <vt:i4>6176</vt:i4>
      </vt:variant>
      <vt:variant>
        <vt:i4>0</vt:i4>
      </vt:variant>
      <vt:variant>
        <vt:i4>5</vt:i4>
      </vt:variant>
      <vt:variant>
        <vt:lpwstr/>
      </vt:variant>
      <vt:variant>
        <vt:lpwstr>Liebrenz2010</vt:lpwstr>
      </vt:variant>
      <vt:variant>
        <vt:i4>7864447</vt:i4>
      </vt:variant>
      <vt:variant>
        <vt:i4>6173</vt:i4>
      </vt:variant>
      <vt:variant>
        <vt:i4>0</vt:i4>
      </vt:variant>
      <vt:variant>
        <vt:i4>5</vt:i4>
      </vt:variant>
      <vt:variant>
        <vt:lpwstr/>
      </vt:variant>
      <vt:variant>
        <vt:lpwstr>Weaningscheduledmedications</vt:lpwstr>
      </vt:variant>
      <vt:variant>
        <vt:i4>2031619</vt:i4>
      </vt:variant>
      <vt:variant>
        <vt:i4>6170</vt:i4>
      </vt:variant>
      <vt:variant>
        <vt:i4>0</vt:i4>
      </vt:variant>
      <vt:variant>
        <vt:i4>5</vt:i4>
      </vt:variant>
      <vt:variant>
        <vt:lpwstr/>
      </vt:variant>
      <vt:variant>
        <vt:lpwstr>Weaningstimulants</vt:lpwstr>
      </vt:variant>
      <vt:variant>
        <vt:i4>7864447</vt:i4>
      </vt:variant>
      <vt:variant>
        <vt:i4>6167</vt:i4>
      </vt:variant>
      <vt:variant>
        <vt:i4>0</vt:i4>
      </vt:variant>
      <vt:variant>
        <vt:i4>5</vt:i4>
      </vt:variant>
      <vt:variant>
        <vt:lpwstr/>
      </vt:variant>
      <vt:variant>
        <vt:lpwstr>Weaningscheduledmedications</vt:lpwstr>
      </vt:variant>
      <vt:variant>
        <vt:i4>1638403</vt:i4>
      </vt:variant>
      <vt:variant>
        <vt:i4>6164</vt:i4>
      </vt:variant>
      <vt:variant>
        <vt:i4>0</vt:i4>
      </vt:variant>
      <vt:variant>
        <vt:i4>5</vt:i4>
      </vt:variant>
      <vt:variant>
        <vt:lpwstr/>
      </vt:variant>
      <vt:variant>
        <vt:lpwstr>Weaningpregabalin</vt:lpwstr>
      </vt:variant>
      <vt:variant>
        <vt:i4>7798889</vt:i4>
      </vt:variant>
      <vt:variant>
        <vt:i4>6161</vt:i4>
      </vt:variant>
      <vt:variant>
        <vt:i4>0</vt:i4>
      </vt:variant>
      <vt:variant>
        <vt:i4>5</vt:i4>
      </vt:variant>
      <vt:variant>
        <vt:lpwstr/>
      </vt:variant>
      <vt:variant>
        <vt:lpwstr>Weaningcarisoprodol</vt:lpwstr>
      </vt:variant>
      <vt:variant>
        <vt:i4>7864427</vt:i4>
      </vt:variant>
      <vt:variant>
        <vt:i4>6158</vt:i4>
      </vt:variant>
      <vt:variant>
        <vt:i4>0</vt:i4>
      </vt:variant>
      <vt:variant>
        <vt:i4>5</vt:i4>
      </vt:variant>
      <vt:variant>
        <vt:lpwstr/>
      </vt:variant>
      <vt:variant>
        <vt:lpwstr>Weaningbenzodiazepines</vt:lpwstr>
      </vt:variant>
      <vt:variant>
        <vt:i4>1572884</vt:i4>
      </vt:variant>
      <vt:variant>
        <vt:i4>6155</vt:i4>
      </vt:variant>
      <vt:variant>
        <vt:i4>0</vt:i4>
      </vt:variant>
      <vt:variant>
        <vt:i4>5</vt:i4>
      </vt:variant>
      <vt:variant>
        <vt:lpwstr/>
      </vt:variant>
      <vt:variant>
        <vt:lpwstr>DiclofenacTopicalListing</vt:lpwstr>
      </vt:variant>
      <vt:variant>
        <vt:i4>327690</vt:i4>
      </vt:variant>
      <vt:variant>
        <vt:i4>6152</vt:i4>
      </vt:variant>
      <vt:variant>
        <vt:i4>0</vt:i4>
      </vt:variant>
      <vt:variant>
        <vt:i4>5</vt:i4>
      </vt:variant>
      <vt:variant>
        <vt:lpwstr/>
      </vt:variant>
      <vt:variant>
        <vt:lpwstr>Nonsteroidalantinflammatoryagents</vt:lpwstr>
      </vt:variant>
      <vt:variant>
        <vt:i4>1048581</vt:i4>
      </vt:variant>
      <vt:variant>
        <vt:i4>6149</vt:i4>
      </vt:variant>
      <vt:variant>
        <vt:i4>0</vt:i4>
      </vt:variant>
      <vt:variant>
        <vt:i4>5</vt:i4>
      </vt:variant>
      <vt:variant>
        <vt:lpwstr/>
      </vt:variant>
      <vt:variant>
        <vt:lpwstr>Topicalanalgesics</vt:lpwstr>
      </vt:variant>
      <vt:variant>
        <vt:i4>3473505</vt:i4>
      </vt:variant>
      <vt:variant>
        <vt:i4>6146</vt:i4>
      </vt:variant>
      <vt:variant>
        <vt:i4>0</vt:i4>
      </vt:variant>
      <vt:variant>
        <vt:i4>5</vt:i4>
      </vt:variant>
      <vt:variant>
        <vt:lpwstr>http://www.fda.gov/Safety/MedWatch/SafetyInformation/SafetyAlertsforHumanMedicalProducts/ucm193047.htm</vt:lpwstr>
      </vt:variant>
      <vt:variant>
        <vt:lpwstr/>
      </vt:variant>
      <vt:variant>
        <vt:i4>327694</vt:i4>
      </vt:variant>
      <vt:variant>
        <vt:i4>6143</vt:i4>
      </vt:variant>
      <vt:variant>
        <vt:i4>0</vt:i4>
      </vt:variant>
      <vt:variant>
        <vt:i4>5</vt:i4>
      </vt:variant>
      <vt:variant>
        <vt:lpwstr/>
      </vt:variant>
      <vt:variant>
        <vt:lpwstr>Diclofenacsodium</vt:lpwstr>
      </vt:variant>
      <vt:variant>
        <vt:i4>327694</vt:i4>
      </vt:variant>
      <vt:variant>
        <vt:i4>6140</vt:i4>
      </vt:variant>
      <vt:variant>
        <vt:i4>0</vt:i4>
      </vt:variant>
      <vt:variant>
        <vt:i4>5</vt:i4>
      </vt:variant>
      <vt:variant>
        <vt:lpwstr/>
      </vt:variant>
      <vt:variant>
        <vt:lpwstr>Diclofenacsodium</vt:lpwstr>
      </vt:variant>
      <vt:variant>
        <vt:i4>7995494</vt:i4>
      </vt:variant>
      <vt:variant>
        <vt:i4>6137</vt:i4>
      </vt:variant>
      <vt:variant>
        <vt:i4>0</vt:i4>
      </vt:variant>
      <vt:variant>
        <vt:i4>5</vt:i4>
      </vt:variant>
      <vt:variant>
        <vt:lpwstr/>
      </vt:variant>
      <vt:variant>
        <vt:lpwstr>Naltrexone</vt:lpwstr>
      </vt:variant>
      <vt:variant>
        <vt:i4>88</vt:i4>
      </vt:variant>
      <vt:variant>
        <vt:i4>6134</vt:i4>
      </vt:variant>
      <vt:variant>
        <vt:i4>0</vt:i4>
      </vt:variant>
      <vt:variant>
        <vt:i4>5</vt:i4>
      </vt:variant>
      <vt:variant>
        <vt:lpwstr/>
      </vt:variant>
      <vt:variant>
        <vt:lpwstr>Neogi2006</vt:lpwstr>
      </vt:variant>
      <vt:variant>
        <vt:i4>88</vt:i4>
      </vt:variant>
      <vt:variant>
        <vt:i4>6131</vt:i4>
      </vt:variant>
      <vt:variant>
        <vt:i4>0</vt:i4>
      </vt:variant>
      <vt:variant>
        <vt:i4>5</vt:i4>
      </vt:variant>
      <vt:variant>
        <vt:lpwstr/>
      </vt:variant>
      <vt:variant>
        <vt:lpwstr>Neogi2008</vt:lpwstr>
      </vt:variant>
      <vt:variant>
        <vt:i4>6815806</vt:i4>
      </vt:variant>
      <vt:variant>
        <vt:i4>6128</vt:i4>
      </vt:variant>
      <vt:variant>
        <vt:i4>0</vt:i4>
      </vt:variant>
      <vt:variant>
        <vt:i4>5</vt:i4>
      </vt:variant>
      <vt:variant>
        <vt:lpwstr/>
      </vt:variant>
      <vt:variant>
        <vt:lpwstr>Oka2010</vt:lpwstr>
      </vt:variant>
      <vt:variant>
        <vt:i4>8192097</vt:i4>
      </vt:variant>
      <vt:variant>
        <vt:i4>6125</vt:i4>
      </vt:variant>
      <vt:variant>
        <vt:i4>0</vt:i4>
      </vt:variant>
      <vt:variant>
        <vt:i4>5</vt:i4>
      </vt:variant>
      <vt:variant>
        <vt:lpwstr/>
      </vt:variant>
      <vt:variant>
        <vt:lpwstr>Wepner2014</vt:lpwstr>
      </vt:variant>
      <vt:variant>
        <vt:i4>917505</vt:i4>
      </vt:variant>
      <vt:variant>
        <vt:i4>6122</vt:i4>
      </vt:variant>
      <vt:variant>
        <vt:i4>0</vt:i4>
      </vt:variant>
      <vt:variant>
        <vt:i4>5</vt:i4>
      </vt:variant>
      <vt:variant>
        <vt:lpwstr/>
      </vt:variant>
      <vt:variant>
        <vt:lpwstr>McAlindon</vt:lpwstr>
      </vt:variant>
      <vt:variant>
        <vt:i4>65600</vt:i4>
      </vt:variant>
      <vt:variant>
        <vt:i4>6119</vt:i4>
      </vt:variant>
      <vt:variant>
        <vt:i4>0</vt:i4>
      </vt:variant>
      <vt:variant>
        <vt:i4>5</vt:i4>
      </vt:variant>
      <vt:variant>
        <vt:lpwstr/>
      </vt:variant>
      <vt:variant>
        <vt:lpwstr>Lasco2012</vt:lpwstr>
      </vt:variant>
      <vt:variant>
        <vt:i4>262162</vt:i4>
      </vt:variant>
      <vt:variant>
        <vt:i4>6116</vt:i4>
      </vt:variant>
      <vt:variant>
        <vt:i4>0</vt:i4>
      </vt:variant>
      <vt:variant>
        <vt:i4>5</vt:i4>
      </vt:variant>
      <vt:variant>
        <vt:lpwstr>http://www.iom.edu/Reports/2010/Dietary-Reference-Intakes-for-Calcium-and-Vitamin-D/Report-Brief.aspx</vt:lpwstr>
      </vt:variant>
      <vt:variant>
        <vt:lpwstr/>
      </vt:variant>
      <vt:variant>
        <vt:i4>7667775</vt:i4>
      </vt:variant>
      <vt:variant>
        <vt:i4>6113</vt:i4>
      </vt:variant>
      <vt:variant>
        <vt:i4>0</vt:i4>
      </vt:variant>
      <vt:variant>
        <vt:i4>5</vt:i4>
      </vt:variant>
      <vt:variant>
        <vt:lpwstr/>
      </vt:variant>
      <vt:variant>
        <vt:lpwstr>Kalyani2010</vt:lpwstr>
      </vt:variant>
      <vt:variant>
        <vt:i4>6881379</vt:i4>
      </vt:variant>
      <vt:variant>
        <vt:i4>6110</vt:i4>
      </vt:variant>
      <vt:variant>
        <vt:i4>0</vt:i4>
      </vt:variant>
      <vt:variant>
        <vt:i4>5</vt:i4>
      </vt:variant>
      <vt:variant>
        <vt:lpwstr/>
      </vt:variant>
      <vt:variant>
        <vt:lpwstr>Turner4</vt:lpwstr>
      </vt:variant>
      <vt:variant>
        <vt:i4>7209083</vt:i4>
      </vt:variant>
      <vt:variant>
        <vt:i4>6107</vt:i4>
      </vt:variant>
      <vt:variant>
        <vt:i4>0</vt:i4>
      </vt:variant>
      <vt:variant>
        <vt:i4>5</vt:i4>
      </vt:variant>
      <vt:variant>
        <vt:lpwstr/>
      </vt:variant>
      <vt:variant>
        <vt:lpwstr>McBeth</vt:lpwstr>
      </vt:variant>
      <vt:variant>
        <vt:i4>7209057</vt:i4>
      </vt:variant>
      <vt:variant>
        <vt:i4>6104</vt:i4>
      </vt:variant>
      <vt:variant>
        <vt:i4>0</vt:i4>
      </vt:variant>
      <vt:variant>
        <vt:i4>5</vt:i4>
      </vt:variant>
      <vt:variant>
        <vt:lpwstr/>
      </vt:variant>
      <vt:variant>
        <vt:lpwstr>Ang</vt:lpwstr>
      </vt:variant>
      <vt:variant>
        <vt:i4>7274610</vt:i4>
      </vt:variant>
      <vt:variant>
        <vt:i4>6101</vt:i4>
      </vt:variant>
      <vt:variant>
        <vt:i4>0</vt:i4>
      </vt:variant>
      <vt:variant>
        <vt:i4>5</vt:i4>
      </vt:variant>
      <vt:variant>
        <vt:lpwstr/>
      </vt:variant>
      <vt:variant>
        <vt:lpwstr>Solomon</vt:lpwstr>
      </vt:variant>
      <vt:variant>
        <vt:i4>65548</vt:i4>
      </vt:variant>
      <vt:variant>
        <vt:i4>6098</vt:i4>
      </vt:variant>
      <vt:variant>
        <vt:i4>0</vt:i4>
      </vt:variant>
      <vt:variant>
        <vt:i4>5</vt:i4>
      </vt:variant>
      <vt:variant>
        <vt:lpwstr/>
      </vt:variant>
      <vt:variant>
        <vt:lpwstr>Choi</vt:lpwstr>
      </vt:variant>
      <vt:variant>
        <vt:i4>6881387</vt:i4>
      </vt:variant>
      <vt:variant>
        <vt:i4>6095</vt:i4>
      </vt:variant>
      <vt:variant>
        <vt:i4>0</vt:i4>
      </vt:variant>
      <vt:variant>
        <vt:i4>5</vt:i4>
      </vt:variant>
      <vt:variant>
        <vt:lpwstr/>
      </vt:variant>
      <vt:variant>
        <vt:lpwstr>NSAIDs</vt:lpwstr>
      </vt:variant>
      <vt:variant>
        <vt:i4>7667809</vt:i4>
      </vt:variant>
      <vt:variant>
        <vt:i4>6092</vt:i4>
      </vt:variant>
      <vt:variant>
        <vt:i4>0</vt:i4>
      </vt:variant>
      <vt:variant>
        <vt:i4>5</vt:i4>
      </vt:variant>
      <vt:variant>
        <vt:lpwstr/>
      </vt:variant>
      <vt:variant>
        <vt:lpwstr>Antiinflammatorymedications</vt:lpwstr>
      </vt:variant>
      <vt:variant>
        <vt:i4>6488181</vt:i4>
      </vt:variant>
      <vt:variant>
        <vt:i4>6089</vt:i4>
      </vt:variant>
      <vt:variant>
        <vt:i4>0</vt:i4>
      </vt:variant>
      <vt:variant>
        <vt:i4>5</vt:i4>
      </vt:variant>
      <vt:variant>
        <vt:lpwstr/>
      </vt:variant>
      <vt:variant>
        <vt:lpwstr>Lacosamide</vt:lpwstr>
      </vt:variant>
      <vt:variant>
        <vt:i4>6357091</vt:i4>
      </vt:variant>
      <vt:variant>
        <vt:i4>6086</vt:i4>
      </vt:variant>
      <vt:variant>
        <vt:i4>0</vt:i4>
      </vt:variant>
      <vt:variant>
        <vt:i4>5</vt:i4>
      </vt:variant>
      <vt:variant>
        <vt:lpwstr/>
      </vt:variant>
      <vt:variant>
        <vt:lpwstr>Nexium</vt:lpwstr>
      </vt:variant>
      <vt:variant>
        <vt:i4>6029401</vt:i4>
      </vt:variant>
      <vt:variant>
        <vt:i4>6083</vt:i4>
      </vt:variant>
      <vt:variant>
        <vt:i4>0</vt:i4>
      </vt:variant>
      <vt:variant>
        <vt:i4>5</vt:i4>
      </vt:variant>
      <vt:variant>
        <vt:lpwstr>http://www.fda.gov/drugs/drugsafety/postmarketdrugsafetyinformationforpatientsandproviders/ucm111085.htm</vt:lpwstr>
      </vt:variant>
      <vt:variant>
        <vt:lpwstr/>
      </vt:variant>
      <vt:variant>
        <vt:i4>327700</vt:i4>
      </vt:variant>
      <vt:variant>
        <vt:i4>6080</vt:i4>
      </vt:variant>
      <vt:variant>
        <vt:i4>0</vt:i4>
      </vt:variant>
      <vt:variant>
        <vt:i4>5</vt:i4>
      </vt:variant>
      <vt:variant>
        <vt:lpwstr/>
      </vt:variant>
      <vt:variant>
        <vt:lpwstr>Naproxen</vt:lpwstr>
      </vt:variant>
      <vt:variant>
        <vt:i4>2031624</vt:i4>
      </vt:variant>
      <vt:variant>
        <vt:i4>6077</vt:i4>
      </vt:variant>
      <vt:variant>
        <vt:i4>0</vt:i4>
      </vt:variant>
      <vt:variant>
        <vt:i4>5</vt:i4>
      </vt:variant>
      <vt:variant>
        <vt:lpwstr/>
      </vt:variant>
      <vt:variant>
        <vt:lpwstr>Protonpumpinhibitors</vt:lpwstr>
      </vt:variant>
      <vt:variant>
        <vt:i4>262174</vt:i4>
      </vt:variant>
      <vt:variant>
        <vt:i4>6074</vt:i4>
      </vt:variant>
      <vt:variant>
        <vt:i4>0</vt:i4>
      </vt:variant>
      <vt:variant>
        <vt:i4>5</vt:i4>
      </vt:variant>
      <vt:variant>
        <vt:lpwstr/>
      </vt:variant>
      <vt:variant>
        <vt:lpwstr>HydrocodoneIbuprofen</vt:lpwstr>
      </vt:variant>
      <vt:variant>
        <vt:i4>458759</vt:i4>
      </vt:variant>
      <vt:variant>
        <vt:i4>6071</vt:i4>
      </vt:variant>
      <vt:variant>
        <vt:i4>0</vt:i4>
      </vt:variant>
      <vt:variant>
        <vt:i4>5</vt:i4>
      </vt:variant>
      <vt:variant>
        <vt:lpwstr/>
      </vt:variant>
      <vt:variant>
        <vt:lpwstr>HydrocodoneAcetaminophen</vt:lpwstr>
      </vt:variant>
      <vt:variant>
        <vt:i4>6815847</vt:i4>
      </vt:variant>
      <vt:variant>
        <vt:i4>6068</vt:i4>
      </vt:variant>
      <vt:variant>
        <vt:i4>0</vt:i4>
      </vt:variant>
      <vt:variant>
        <vt:i4>5</vt:i4>
      </vt:variant>
      <vt:variant>
        <vt:lpwstr/>
      </vt:variant>
      <vt:variant>
        <vt:lpwstr>VenlafaxineListing</vt:lpwstr>
      </vt:variant>
      <vt:variant>
        <vt:i4>1376280</vt:i4>
      </vt:variant>
      <vt:variant>
        <vt:i4>6065</vt:i4>
      </vt:variant>
      <vt:variant>
        <vt:i4>0</vt:i4>
      </vt:variant>
      <vt:variant>
        <vt:i4>5</vt:i4>
      </vt:variant>
      <vt:variant>
        <vt:lpwstr/>
      </vt:variant>
      <vt:variant>
        <vt:lpwstr>Antidepressantsforchronicpain</vt:lpwstr>
      </vt:variant>
      <vt:variant>
        <vt:i4>6357096</vt:i4>
      </vt:variant>
      <vt:variant>
        <vt:i4>6062</vt:i4>
      </vt:variant>
      <vt:variant>
        <vt:i4>0</vt:i4>
      </vt:variant>
      <vt:variant>
        <vt:i4>5</vt:i4>
      </vt:variant>
      <vt:variant>
        <vt:lpwstr/>
      </vt:variant>
      <vt:variant>
        <vt:lpwstr>Namaka</vt:lpwstr>
      </vt:variant>
      <vt:variant>
        <vt:i4>7536750</vt:i4>
      </vt:variant>
      <vt:variant>
        <vt:i4>6059</vt:i4>
      </vt:variant>
      <vt:variant>
        <vt:i4>0</vt:i4>
      </vt:variant>
      <vt:variant>
        <vt:i4>5</vt:i4>
      </vt:variant>
      <vt:variant>
        <vt:lpwstr/>
      </vt:variant>
      <vt:variant>
        <vt:lpwstr>Benzodiazepines</vt:lpwstr>
      </vt:variant>
      <vt:variant>
        <vt:i4>1114129</vt:i4>
      </vt:variant>
      <vt:variant>
        <vt:i4>6056</vt:i4>
      </vt:variant>
      <vt:variant>
        <vt:i4>0</vt:i4>
      </vt:variant>
      <vt:variant>
        <vt:i4>5</vt:i4>
      </vt:variant>
      <vt:variant>
        <vt:lpwstr/>
      </vt:variant>
      <vt:variant>
        <vt:lpwstr>Robertson</vt:lpwstr>
      </vt:variant>
      <vt:variant>
        <vt:i4>1507355</vt:i4>
      </vt:variant>
      <vt:variant>
        <vt:i4>6053</vt:i4>
      </vt:variant>
      <vt:variant>
        <vt:i4>0</vt:i4>
      </vt:variant>
      <vt:variant>
        <vt:i4>5</vt:i4>
      </vt:variant>
      <vt:variant>
        <vt:lpwstr/>
      </vt:variant>
      <vt:variant>
        <vt:lpwstr>Tramadol</vt:lpwstr>
      </vt:variant>
      <vt:variant>
        <vt:i4>6553705</vt:i4>
      </vt:variant>
      <vt:variant>
        <vt:i4>6050</vt:i4>
      </vt:variant>
      <vt:variant>
        <vt:i4>0</vt:i4>
      </vt:variant>
      <vt:variant>
        <vt:i4>5</vt:i4>
      </vt:variant>
      <vt:variant>
        <vt:lpwstr/>
      </vt:variant>
      <vt:variant>
        <vt:lpwstr>Medicalfood</vt:lpwstr>
      </vt:variant>
      <vt:variant>
        <vt:i4>5701639</vt:i4>
      </vt:variant>
      <vt:variant>
        <vt:i4>6047</vt:i4>
      </vt:variant>
      <vt:variant>
        <vt:i4>0</vt:i4>
      </vt:variant>
      <vt:variant>
        <vt:i4>5</vt:i4>
      </vt:variant>
      <vt:variant>
        <vt:lpwstr/>
      </vt:variant>
      <vt:variant>
        <vt:lpwstr>FDA3</vt:lpwstr>
      </vt:variant>
      <vt:variant>
        <vt:i4>196636</vt:i4>
      </vt:variant>
      <vt:variant>
        <vt:i4>6044</vt:i4>
      </vt:variant>
      <vt:variant>
        <vt:i4>0</vt:i4>
      </vt:variant>
      <vt:variant>
        <vt:i4>5</vt:i4>
      </vt:variant>
      <vt:variant>
        <vt:lpwstr/>
      </vt:variant>
      <vt:variant>
        <vt:lpwstr>Cochrane</vt:lpwstr>
      </vt:variant>
      <vt:variant>
        <vt:i4>5242888</vt:i4>
      </vt:variant>
      <vt:variant>
        <vt:i4>6041</vt:i4>
      </vt:variant>
      <vt:variant>
        <vt:i4>0</vt:i4>
      </vt:variant>
      <vt:variant>
        <vt:i4>5</vt:i4>
      </vt:variant>
      <vt:variant>
        <vt:lpwstr/>
      </vt:variant>
      <vt:variant>
        <vt:lpwstr>BlueCrossBlueShield99</vt:lpwstr>
      </vt:variant>
      <vt:variant>
        <vt:i4>589845</vt:i4>
      </vt:variant>
      <vt:variant>
        <vt:i4>6038</vt:i4>
      </vt:variant>
      <vt:variant>
        <vt:i4>0</vt:i4>
      </vt:variant>
      <vt:variant>
        <vt:i4>5</vt:i4>
      </vt:variant>
      <vt:variant>
        <vt:lpwstr/>
      </vt:variant>
      <vt:variant>
        <vt:lpwstr>GraffRadford</vt:lpwstr>
      </vt:variant>
      <vt:variant>
        <vt:i4>393242</vt:i4>
      </vt:variant>
      <vt:variant>
        <vt:i4>6035</vt:i4>
      </vt:variant>
      <vt:variant>
        <vt:i4>0</vt:i4>
      </vt:variant>
      <vt:variant>
        <vt:i4>5</vt:i4>
      </vt:variant>
      <vt:variant>
        <vt:lpwstr/>
      </vt:variant>
      <vt:variant>
        <vt:lpwstr>Altindag</vt:lpwstr>
      </vt:variant>
      <vt:variant>
        <vt:i4>15335547</vt:i4>
      </vt:variant>
      <vt:variant>
        <vt:i4>6032</vt:i4>
      </vt:variant>
      <vt:variant>
        <vt:i4>0</vt:i4>
      </vt:variant>
      <vt:variant>
        <vt:i4>5</vt:i4>
      </vt:variant>
      <vt:variant>
        <vt:lpwstr/>
      </vt:variant>
      <vt:variant>
        <vt:lpwstr>Nifosì</vt:lpwstr>
      </vt:variant>
      <vt:variant>
        <vt:i4>7864441</vt:i4>
      </vt:variant>
      <vt:variant>
        <vt:i4>6029</vt:i4>
      </vt:variant>
      <vt:variant>
        <vt:i4>0</vt:i4>
      </vt:variant>
      <vt:variant>
        <vt:i4>5</vt:i4>
      </vt:variant>
      <vt:variant>
        <vt:lpwstr/>
      </vt:variant>
      <vt:variant>
        <vt:lpwstr>Esenyel</vt:lpwstr>
      </vt:variant>
      <vt:variant>
        <vt:i4>1048588</vt:i4>
      </vt:variant>
      <vt:variant>
        <vt:i4>6026</vt:i4>
      </vt:variant>
      <vt:variant>
        <vt:i4>0</vt:i4>
      </vt:variant>
      <vt:variant>
        <vt:i4>5</vt:i4>
      </vt:variant>
      <vt:variant>
        <vt:lpwstr>E:\AppData\Local\Microsoft\Windows\Temporary Internet Files\Content.Outlook\AppData\Local\Microsoft\Windows\Temporary Internet Files\Content.Outlook\50QE161U\neck.htm</vt:lpwstr>
      </vt:variant>
      <vt:variant>
        <vt:lpwstr>Scott2005</vt:lpwstr>
      </vt:variant>
      <vt:variant>
        <vt:i4>1048588</vt:i4>
      </vt:variant>
      <vt:variant>
        <vt:i4>6023</vt:i4>
      </vt:variant>
      <vt:variant>
        <vt:i4>0</vt:i4>
      </vt:variant>
      <vt:variant>
        <vt:i4>5</vt:i4>
      </vt:variant>
      <vt:variant>
        <vt:lpwstr>E:\AppData\Local\Microsoft\Windows\Temporary Internet Files\Content.Outlook\AppData\Local\Microsoft\Windows\Temporary Internet Files\Content.Outlook\50QE161U\neck.htm</vt:lpwstr>
      </vt:variant>
      <vt:variant>
        <vt:lpwstr>Scott2008</vt:lpwstr>
      </vt:variant>
      <vt:variant>
        <vt:i4>524304</vt:i4>
      </vt:variant>
      <vt:variant>
        <vt:i4>6020</vt:i4>
      </vt:variant>
      <vt:variant>
        <vt:i4>0</vt:i4>
      </vt:variant>
      <vt:variant>
        <vt:i4>5</vt:i4>
      </vt:variant>
      <vt:variant>
        <vt:lpwstr/>
      </vt:variant>
      <vt:variant>
        <vt:lpwstr>Borg</vt:lpwstr>
      </vt:variant>
      <vt:variant>
        <vt:i4>6291515</vt:i4>
      </vt:variant>
      <vt:variant>
        <vt:i4>6017</vt:i4>
      </vt:variant>
      <vt:variant>
        <vt:i4>0</vt:i4>
      </vt:variant>
      <vt:variant>
        <vt:i4>5</vt:i4>
      </vt:variant>
      <vt:variant>
        <vt:lpwstr>E:\AppData\Local\Microsoft\Windows\Temporary Internet Files\Content.Outlook\AppData\Local\Microsoft\Windows\Temporary Internet Files\Content.Outlook\50QE161U\neck.htm</vt:lpwstr>
      </vt:variant>
      <vt:variant>
        <vt:lpwstr>Peloso3</vt:lpwstr>
      </vt:variant>
      <vt:variant>
        <vt:i4>6946876</vt:i4>
      </vt:variant>
      <vt:variant>
        <vt:i4>6014</vt:i4>
      </vt:variant>
      <vt:variant>
        <vt:i4>0</vt:i4>
      </vt:variant>
      <vt:variant>
        <vt:i4>5</vt:i4>
      </vt:variant>
      <vt:variant>
        <vt:lpwstr>E:\AppData\Local\Microsoft\Windows\Temporary Internet Files\Content.Outlook\AppData\Local\Microsoft\Windows\Temporary Internet Files\Content.Outlook\50QE161U\neck.htm</vt:lpwstr>
      </vt:variant>
      <vt:variant>
        <vt:lpwstr>Ho</vt:lpwstr>
      </vt:variant>
      <vt:variant>
        <vt:i4>8061047</vt:i4>
      </vt:variant>
      <vt:variant>
        <vt:i4>6011</vt:i4>
      </vt:variant>
      <vt:variant>
        <vt:i4>0</vt:i4>
      </vt:variant>
      <vt:variant>
        <vt:i4>5</vt:i4>
      </vt:variant>
      <vt:variant>
        <vt:lpwstr/>
      </vt:variant>
      <vt:variant>
        <vt:lpwstr>Acupuncture</vt:lpwstr>
      </vt:variant>
      <vt:variant>
        <vt:i4>327680</vt:i4>
      </vt:variant>
      <vt:variant>
        <vt:i4>6008</vt:i4>
      </vt:variant>
      <vt:variant>
        <vt:i4>0</vt:i4>
      </vt:variant>
      <vt:variant>
        <vt:i4>5</vt:i4>
      </vt:variant>
      <vt:variant>
        <vt:lpwstr/>
      </vt:variant>
      <vt:variant>
        <vt:lpwstr>Cummings</vt:lpwstr>
      </vt:variant>
      <vt:variant>
        <vt:i4>6488162</vt:i4>
      </vt:variant>
      <vt:variant>
        <vt:i4>6005</vt:i4>
      </vt:variant>
      <vt:variant>
        <vt:i4>0</vt:i4>
      </vt:variant>
      <vt:variant>
        <vt:i4>5</vt:i4>
      </vt:variant>
      <vt:variant>
        <vt:lpwstr/>
      </vt:variant>
      <vt:variant>
        <vt:lpwstr>Yentur</vt:lpwstr>
      </vt:variant>
      <vt:variant>
        <vt:i4>1048588</vt:i4>
      </vt:variant>
      <vt:variant>
        <vt:i4>6002</vt:i4>
      </vt:variant>
      <vt:variant>
        <vt:i4>0</vt:i4>
      </vt:variant>
      <vt:variant>
        <vt:i4>5</vt:i4>
      </vt:variant>
      <vt:variant>
        <vt:lpwstr>E:\AppData\Local\Microsoft\Windows\Temporary Internet Files\Content.Outlook\AppData\Local\Microsoft\Windows\Temporary Internet Files\Content.Outlook\50QE161U\neck.htm</vt:lpwstr>
      </vt:variant>
      <vt:variant>
        <vt:lpwstr>Scott2005</vt:lpwstr>
      </vt:variant>
      <vt:variant>
        <vt:i4>6750334</vt:i4>
      </vt:variant>
      <vt:variant>
        <vt:i4>5999</vt:i4>
      </vt:variant>
      <vt:variant>
        <vt:i4>0</vt:i4>
      </vt:variant>
      <vt:variant>
        <vt:i4>5</vt:i4>
      </vt:variant>
      <vt:variant>
        <vt:lpwstr/>
      </vt:variant>
      <vt:variant>
        <vt:lpwstr>Goldenberg</vt:lpwstr>
      </vt:variant>
      <vt:variant>
        <vt:i4>1048588</vt:i4>
      </vt:variant>
      <vt:variant>
        <vt:i4>5996</vt:i4>
      </vt:variant>
      <vt:variant>
        <vt:i4>0</vt:i4>
      </vt:variant>
      <vt:variant>
        <vt:i4>5</vt:i4>
      </vt:variant>
      <vt:variant>
        <vt:lpwstr>E:\AppData\Local\Microsoft\Windows\Temporary Internet Files\Content.Outlook\AppData\Local\Microsoft\Windows\Temporary Internet Files\Content.Outlook\50QE161U\neck.htm</vt:lpwstr>
      </vt:variant>
      <vt:variant>
        <vt:lpwstr>Scott2008</vt:lpwstr>
      </vt:variant>
      <vt:variant>
        <vt:i4>1376274</vt:i4>
      </vt:variant>
      <vt:variant>
        <vt:i4>5993</vt:i4>
      </vt:variant>
      <vt:variant>
        <vt:i4>0</vt:i4>
      </vt:variant>
      <vt:variant>
        <vt:i4>5</vt:i4>
      </vt:variant>
      <vt:variant>
        <vt:lpwstr/>
      </vt:variant>
      <vt:variant>
        <vt:lpwstr>Staal</vt:lpwstr>
      </vt:variant>
      <vt:variant>
        <vt:i4>1048588</vt:i4>
      </vt:variant>
      <vt:variant>
        <vt:i4>5990</vt:i4>
      </vt:variant>
      <vt:variant>
        <vt:i4>0</vt:i4>
      </vt:variant>
      <vt:variant>
        <vt:i4>5</vt:i4>
      </vt:variant>
      <vt:variant>
        <vt:lpwstr>E:\AppData\Local\Microsoft\Windows\Temporary Internet Files\Content.Outlook\AppData\Local\Microsoft\Windows\Temporary Internet Files\Content.Outlook\50QE161U\neck.htm</vt:lpwstr>
      </vt:variant>
      <vt:variant>
        <vt:lpwstr>Scott2008</vt:lpwstr>
      </vt:variant>
      <vt:variant>
        <vt:i4>327680</vt:i4>
      </vt:variant>
      <vt:variant>
        <vt:i4>5987</vt:i4>
      </vt:variant>
      <vt:variant>
        <vt:i4>0</vt:i4>
      </vt:variant>
      <vt:variant>
        <vt:i4>5</vt:i4>
      </vt:variant>
      <vt:variant>
        <vt:lpwstr/>
      </vt:variant>
      <vt:variant>
        <vt:lpwstr>Cummings</vt:lpwstr>
      </vt:variant>
      <vt:variant>
        <vt:i4>6684792</vt:i4>
      </vt:variant>
      <vt:variant>
        <vt:i4>5984</vt:i4>
      </vt:variant>
      <vt:variant>
        <vt:i4>0</vt:i4>
      </vt:variant>
      <vt:variant>
        <vt:i4>5</vt:i4>
      </vt:variant>
      <vt:variant>
        <vt:lpwstr/>
      </vt:variant>
      <vt:variant>
        <vt:lpwstr>Myofascialpain</vt:lpwstr>
      </vt:variant>
      <vt:variant>
        <vt:i4>1048588</vt:i4>
      </vt:variant>
      <vt:variant>
        <vt:i4>5981</vt:i4>
      </vt:variant>
      <vt:variant>
        <vt:i4>0</vt:i4>
      </vt:variant>
      <vt:variant>
        <vt:i4>5</vt:i4>
      </vt:variant>
      <vt:variant>
        <vt:lpwstr>E:\AppData\Local\Microsoft\Windows\Temporary Internet Files\Content.Outlook\AppData\Local\Microsoft\Windows\Temporary Internet Files\Content.Outlook\50QE161U\neck.htm</vt:lpwstr>
      </vt:variant>
      <vt:variant>
        <vt:lpwstr>Scott2005</vt:lpwstr>
      </vt:variant>
      <vt:variant>
        <vt:i4>1769501</vt:i4>
      </vt:variant>
      <vt:variant>
        <vt:i4>5978</vt:i4>
      </vt:variant>
      <vt:variant>
        <vt:i4>0</vt:i4>
      </vt:variant>
      <vt:variant>
        <vt:i4>5</vt:i4>
      </vt:variant>
      <vt:variant>
        <vt:lpwstr/>
      </vt:variant>
      <vt:variant>
        <vt:lpwstr>TricyclicsListing</vt:lpwstr>
      </vt:variant>
      <vt:variant>
        <vt:i4>1376280</vt:i4>
      </vt:variant>
      <vt:variant>
        <vt:i4>5975</vt:i4>
      </vt:variant>
      <vt:variant>
        <vt:i4>0</vt:i4>
      </vt:variant>
      <vt:variant>
        <vt:i4>5</vt:i4>
      </vt:variant>
      <vt:variant>
        <vt:lpwstr/>
      </vt:variant>
      <vt:variant>
        <vt:lpwstr>Antidepressantsforchronicpain</vt:lpwstr>
      </vt:variant>
      <vt:variant>
        <vt:i4>8126573</vt:i4>
      </vt:variant>
      <vt:variant>
        <vt:i4>5972</vt:i4>
      </vt:variant>
      <vt:variant>
        <vt:i4>0</vt:i4>
      </vt:variant>
      <vt:variant>
        <vt:i4>5</vt:i4>
      </vt:variant>
      <vt:variant>
        <vt:lpwstr/>
      </vt:variant>
      <vt:variant>
        <vt:lpwstr>Numberneededtotreat</vt:lpwstr>
      </vt:variant>
      <vt:variant>
        <vt:i4>7536750</vt:i4>
      </vt:variant>
      <vt:variant>
        <vt:i4>5969</vt:i4>
      </vt:variant>
      <vt:variant>
        <vt:i4>0</vt:i4>
      </vt:variant>
      <vt:variant>
        <vt:i4>5</vt:i4>
      </vt:variant>
      <vt:variant>
        <vt:lpwstr/>
      </vt:variant>
      <vt:variant>
        <vt:lpwstr>Benzodiazepines</vt:lpwstr>
      </vt:variant>
      <vt:variant>
        <vt:i4>6553705</vt:i4>
      </vt:variant>
      <vt:variant>
        <vt:i4>5966</vt:i4>
      </vt:variant>
      <vt:variant>
        <vt:i4>0</vt:i4>
      </vt:variant>
      <vt:variant>
        <vt:i4>5</vt:i4>
      </vt:variant>
      <vt:variant>
        <vt:lpwstr/>
      </vt:variant>
      <vt:variant>
        <vt:lpwstr>Medicalfood</vt:lpwstr>
      </vt:variant>
      <vt:variant>
        <vt:i4>1114131</vt:i4>
      </vt:variant>
      <vt:variant>
        <vt:i4>5963</vt:i4>
      </vt:variant>
      <vt:variant>
        <vt:i4>0</vt:i4>
      </vt:variant>
      <vt:variant>
        <vt:i4>5</vt:i4>
      </vt:variant>
      <vt:variant>
        <vt:lpwstr/>
      </vt:variant>
      <vt:variant>
        <vt:lpwstr>CRPStreatment</vt:lpwstr>
      </vt:variant>
      <vt:variant>
        <vt:i4>1310751</vt:i4>
      </vt:variant>
      <vt:variant>
        <vt:i4>5960</vt:i4>
      </vt:variant>
      <vt:variant>
        <vt:i4>0</vt:i4>
      </vt:variant>
      <vt:variant>
        <vt:i4>5</vt:i4>
      </vt:variant>
      <vt:variant>
        <vt:lpwstr/>
      </vt:variant>
      <vt:variant>
        <vt:lpwstr>TENSpostoperativepain</vt:lpwstr>
      </vt:variant>
      <vt:variant>
        <vt:i4>6357095</vt:i4>
      </vt:variant>
      <vt:variant>
        <vt:i4>5957</vt:i4>
      </vt:variant>
      <vt:variant>
        <vt:i4>0</vt:i4>
      </vt:variant>
      <vt:variant>
        <vt:i4>5</vt:i4>
      </vt:variant>
      <vt:variant>
        <vt:lpwstr/>
      </vt:variant>
      <vt:variant>
        <vt:lpwstr>TENSchronicpain</vt:lpwstr>
      </vt:variant>
      <vt:variant>
        <vt:i4>7864426</vt:i4>
      </vt:variant>
      <vt:variant>
        <vt:i4>5954</vt:i4>
      </vt:variant>
      <vt:variant>
        <vt:i4>0</vt:i4>
      </vt:variant>
      <vt:variant>
        <vt:i4>5</vt:i4>
      </vt:variant>
      <vt:variant>
        <vt:lpwstr/>
      </vt:variant>
      <vt:variant>
        <vt:lpwstr>Sympathetictherapy</vt:lpwstr>
      </vt:variant>
      <vt:variant>
        <vt:i4>1179733</vt:i4>
      </vt:variant>
      <vt:variant>
        <vt:i4>5951</vt:i4>
      </vt:variant>
      <vt:variant>
        <vt:i4>0</vt:i4>
      </vt:variant>
      <vt:variant>
        <vt:i4>5</vt:i4>
      </vt:variant>
      <vt:variant>
        <vt:lpwstr/>
      </vt:variant>
      <vt:variant>
        <vt:lpwstr>RS4isequentialstimulator</vt:lpwstr>
      </vt:variant>
      <vt:variant>
        <vt:i4>458771</vt:i4>
      </vt:variant>
      <vt:variant>
        <vt:i4>5948</vt:i4>
      </vt:variant>
      <vt:variant>
        <vt:i4>0</vt:i4>
      </vt:variant>
      <vt:variant>
        <vt:i4>5</vt:i4>
      </vt:variant>
      <vt:variant>
        <vt:lpwstr/>
      </vt:variant>
      <vt:variant>
        <vt:lpwstr>Microcurrentelectricalstimulation</vt:lpwstr>
      </vt:variant>
      <vt:variant>
        <vt:i4>1310740</vt:i4>
      </vt:variant>
      <vt:variant>
        <vt:i4>5945</vt:i4>
      </vt:variant>
      <vt:variant>
        <vt:i4>0</vt:i4>
      </vt:variant>
      <vt:variant>
        <vt:i4>5</vt:i4>
      </vt:variant>
      <vt:variant>
        <vt:lpwstr/>
      </vt:variant>
      <vt:variant>
        <vt:lpwstr>Interferentialcurrentstimulation</vt:lpwstr>
      </vt:variant>
      <vt:variant>
        <vt:i4>524290</vt:i4>
      </vt:variant>
      <vt:variant>
        <vt:i4>5942</vt:i4>
      </vt:variant>
      <vt:variant>
        <vt:i4>0</vt:i4>
      </vt:variant>
      <vt:variant>
        <vt:i4>5</vt:i4>
      </vt:variant>
      <vt:variant>
        <vt:lpwstr/>
      </vt:variant>
      <vt:variant>
        <vt:lpwstr>Hwavestimulation</vt:lpwstr>
      </vt:variant>
      <vt:variant>
        <vt:i4>7602276</vt:i4>
      </vt:variant>
      <vt:variant>
        <vt:i4>5939</vt:i4>
      </vt:variant>
      <vt:variant>
        <vt:i4>0</vt:i4>
      </vt:variant>
      <vt:variant>
        <vt:i4>5</vt:i4>
      </vt:variant>
      <vt:variant>
        <vt:lpwstr/>
      </vt:variant>
      <vt:variant>
        <vt:lpwstr>Galvanicstimulation</vt:lpwstr>
      </vt:variant>
      <vt:variant>
        <vt:i4>6946927</vt:i4>
      </vt:variant>
      <vt:variant>
        <vt:i4>5936</vt:i4>
      </vt:variant>
      <vt:variant>
        <vt:i4>0</vt:i4>
      </vt:variant>
      <vt:variant>
        <vt:i4>5</vt:i4>
      </vt:variant>
      <vt:variant>
        <vt:lpwstr/>
      </vt:variant>
      <vt:variant>
        <vt:lpwstr>Electroceuticaltherapy</vt:lpwstr>
      </vt:variant>
      <vt:variant>
        <vt:i4>1310751</vt:i4>
      </vt:variant>
      <vt:variant>
        <vt:i4>5933</vt:i4>
      </vt:variant>
      <vt:variant>
        <vt:i4>0</vt:i4>
      </vt:variant>
      <vt:variant>
        <vt:i4>5</vt:i4>
      </vt:variant>
      <vt:variant>
        <vt:lpwstr/>
      </vt:variant>
      <vt:variant>
        <vt:lpwstr>TENSpostoperativepain</vt:lpwstr>
      </vt:variant>
      <vt:variant>
        <vt:i4>6357095</vt:i4>
      </vt:variant>
      <vt:variant>
        <vt:i4>5930</vt:i4>
      </vt:variant>
      <vt:variant>
        <vt:i4>0</vt:i4>
      </vt:variant>
      <vt:variant>
        <vt:i4>5</vt:i4>
      </vt:variant>
      <vt:variant>
        <vt:lpwstr/>
      </vt:variant>
      <vt:variant>
        <vt:lpwstr>TENSchronicpain</vt:lpwstr>
      </vt:variant>
      <vt:variant>
        <vt:i4>458765</vt:i4>
      </vt:variant>
      <vt:variant>
        <vt:i4>5927</vt:i4>
      </vt:variant>
      <vt:variant>
        <vt:i4>0</vt:i4>
      </vt:variant>
      <vt:variant>
        <vt:i4>5</vt:i4>
      </vt:variant>
      <vt:variant>
        <vt:lpwstr/>
      </vt:variant>
      <vt:variant>
        <vt:lpwstr>TramadolAcetaminophenListing</vt:lpwstr>
      </vt:variant>
      <vt:variant>
        <vt:i4>6422587</vt:i4>
      </vt:variant>
      <vt:variant>
        <vt:i4>5924</vt:i4>
      </vt:variant>
      <vt:variant>
        <vt:i4>0</vt:i4>
      </vt:variant>
      <vt:variant>
        <vt:i4>5</vt:i4>
      </vt:variant>
      <vt:variant>
        <vt:lpwstr/>
      </vt:variant>
      <vt:variant>
        <vt:lpwstr>Ray2013</vt:lpwstr>
      </vt:variant>
      <vt:variant>
        <vt:i4>8192125</vt:i4>
      </vt:variant>
      <vt:variant>
        <vt:i4>5921</vt:i4>
      </vt:variant>
      <vt:variant>
        <vt:i4>0</vt:i4>
      </vt:variant>
      <vt:variant>
        <vt:i4>5</vt:i4>
      </vt:variant>
      <vt:variant>
        <vt:lpwstr/>
      </vt:variant>
      <vt:variant>
        <vt:lpwstr>DEA2013tramadol</vt:lpwstr>
      </vt:variant>
      <vt:variant>
        <vt:i4>1835009</vt:i4>
      </vt:variant>
      <vt:variant>
        <vt:i4>5918</vt:i4>
      </vt:variant>
      <vt:variant>
        <vt:i4>0</vt:i4>
      </vt:variant>
      <vt:variant>
        <vt:i4>5</vt:i4>
      </vt:variant>
      <vt:variant>
        <vt:lpwstr/>
      </vt:variant>
      <vt:variant>
        <vt:lpwstr>Turturro</vt:lpwstr>
      </vt:variant>
      <vt:variant>
        <vt:i4>262145</vt:i4>
      </vt:variant>
      <vt:variant>
        <vt:i4>5915</vt:i4>
      </vt:variant>
      <vt:variant>
        <vt:i4>0</vt:i4>
      </vt:variant>
      <vt:variant>
        <vt:i4>5</vt:i4>
      </vt:variant>
      <vt:variant>
        <vt:lpwstr/>
      </vt:variant>
      <vt:variant>
        <vt:lpwstr>Ketorolac</vt:lpwstr>
      </vt:variant>
      <vt:variant>
        <vt:i4>1048601</vt:i4>
      </vt:variant>
      <vt:variant>
        <vt:i4>5912</vt:i4>
      </vt:variant>
      <vt:variant>
        <vt:i4>0</vt:i4>
      </vt:variant>
      <vt:variant>
        <vt:i4>5</vt:i4>
      </vt:variant>
      <vt:variant>
        <vt:lpwstr/>
      </vt:variant>
      <vt:variant>
        <vt:lpwstr>TopiramateListing</vt:lpwstr>
      </vt:variant>
      <vt:variant>
        <vt:i4>458782</vt:i4>
      </vt:variant>
      <vt:variant>
        <vt:i4>5909</vt:i4>
      </vt:variant>
      <vt:variant>
        <vt:i4>0</vt:i4>
      </vt:variant>
      <vt:variant>
        <vt:i4>5</vt:i4>
      </vt:variant>
      <vt:variant>
        <vt:lpwstr/>
      </vt:variant>
      <vt:variant>
        <vt:lpwstr>Antiepilepsydrugs</vt:lpwstr>
      </vt:variant>
      <vt:variant>
        <vt:i4>1048581</vt:i4>
      </vt:variant>
      <vt:variant>
        <vt:i4>5906</vt:i4>
      </vt:variant>
      <vt:variant>
        <vt:i4>0</vt:i4>
      </vt:variant>
      <vt:variant>
        <vt:i4>5</vt:i4>
      </vt:variant>
      <vt:variant>
        <vt:lpwstr/>
      </vt:variant>
      <vt:variant>
        <vt:lpwstr>Topicalanalgesics</vt:lpwstr>
      </vt:variant>
      <vt:variant>
        <vt:i4>327690</vt:i4>
      </vt:variant>
      <vt:variant>
        <vt:i4>5903</vt:i4>
      </vt:variant>
      <vt:variant>
        <vt:i4>0</vt:i4>
      </vt:variant>
      <vt:variant>
        <vt:i4>5</vt:i4>
      </vt:variant>
      <vt:variant>
        <vt:lpwstr/>
      </vt:variant>
      <vt:variant>
        <vt:lpwstr>Nonsteroidalantinflammatoryagents</vt:lpwstr>
      </vt:variant>
      <vt:variant>
        <vt:i4>1048581</vt:i4>
      </vt:variant>
      <vt:variant>
        <vt:i4>5900</vt:i4>
      </vt:variant>
      <vt:variant>
        <vt:i4>0</vt:i4>
      </vt:variant>
      <vt:variant>
        <vt:i4>5</vt:i4>
      </vt:variant>
      <vt:variant>
        <vt:lpwstr/>
      </vt:variant>
      <vt:variant>
        <vt:lpwstr>Topicalanalgesics</vt:lpwstr>
      </vt:variant>
      <vt:variant>
        <vt:i4>8323189</vt:i4>
      </vt:variant>
      <vt:variant>
        <vt:i4>5897</vt:i4>
      </vt:variant>
      <vt:variant>
        <vt:i4>0</vt:i4>
      </vt:variant>
      <vt:variant>
        <vt:i4>5</vt:i4>
      </vt:variant>
      <vt:variant>
        <vt:lpwstr/>
      </vt:variant>
      <vt:variant>
        <vt:lpwstr>Glucosamine</vt:lpwstr>
      </vt:variant>
      <vt:variant>
        <vt:i4>6357103</vt:i4>
      </vt:variant>
      <vt:variant>
        <vt:i4>5894</vt:i4>
      </vt:variant>
      <vt:variant>
        <vt:i4>0</vt:i4>
      </vt:variant>
      <vt:variant>
        <vt:i4>5</vt:i4>
      </vt:variant>
      <vt:variant>
        <vt:lpwstr/>
      </vt:variant>
      <vt:variant>
        <vt:lpwstr>Salicylatetopicals</vt:lpwstr>
      </vt:variant>
      <vt:variant>
        <vt:i4>2621546</vt:i4>
      </vt:variant>
      <vt:variant>
        <vt:i4>5891</vt:i4>
      </vt:variant>
      <vt:variant>
        <vt:i4>0</vt:i4>
      </vt:variant>
      <vt:variant>
        <vt:i4>5</vt:i4>
      </vt:variant>
      <vt:variant>
        <vt:lpwstr/>
      </vt:variant>
      <vt:variant>
        <vt:lpwstr>Lynch2</vt:lpwstr>
      </vt:variant>
      <vt:variant>
        <vt:i4>6488177</vt:i4>
      </vt:variant>
      <vt:variant>
        <vt:i4>5888</vt:i4>
      </vt:variant>
      <vt:variant>
        <vt:i4>0</vt:i4>
      </vt:variant>
      <vt:variant>
        <vt:i4>5</vt:i4>
      </vt:variant>
      <vt:variant>
        <vt:lpwstr/>
      </vt:variant>
      <vt:variant>
        <vt:lpwstr>Gammaitoni</vt:lpwstr>
      </vt:variant>
      <vt:variant>
        <vt:i4>1179665</vt:i4>
      </vt:variant>
      <vt:variant>
        <vt:i4>5885</vt:i4>
      </vt:variant>
      <vt:variant>
        <vt:i4>0</vt:i4>
      </vt:variant>
      <vt:variant>
        <vt:i4>5</vt:i4>
      </vt:variant>
      <vt:variant>
        <vt:lpwstr/>
      </vt:variant>
      <vt:variant>
        <vt:lpwstr>Capsaicin</vt:lpwstr>
      </vt:variant>
      <vt:variant>
        <vt:i4>7274612</vt:i4>
      </vt:variant>
      <vt:variant>
        <vt:i4>5882</vt:i4>
      </vt:variant>
      <vt:variant>
        <vt:i4>0</vt:i4>
      </vt:variant>
      <vt:variant>
        <vt:i4>5</vt:i4>
      </vt:variant>
      <vt:variant>
        <vt:lpwstr/>
      </vt:variant>
      <vt:variant>
        <vt:lpwstr>Altman2</vt:lpwstr>
      </vt:variant>
      <vt:variant>
        <vt:i4>3932272</vt:i4>
      </vt:variant>
      <vt:variant>
        <vt:i4>5879</vt:i4>
      </vt:variant>
      <vt:variant>
        <vt:i4>0</vt:i4>
      </vt:variant>
      <vt:variant>
        <vt:i4>5</vt:i4>
      </vt:variant>
      <vt:variant>
        <vt:lpwstr/>
      </vt:variant>
      <vt:variant>
        <vt:lpwstr>Mason2</vt:lpwstr>
      </vt:variant>
      <vt:variant>
        <vt:i4>8192103</vt:i4>
      </vt:variant>
      <vt:variant>
        <vt:i4>5876</vt:i4>
      </vt:variant>
      <vt:variant>
        <vt:i4>0</vt:i4>
      </vt:variant>
      <vt:variant>
        <vt:i4>5</vt:i4>
      </vt:variant>
      <vt:variant>
        <vt:lpwstr/>
      </vt:variant>
      <vt:variant>
        <vt:lpwstr>Keitel</vt:lpwstr>
      </vt:variant>
      <vt:variant>
        <vt:i4>6488185</vt:i4>
      </vt:variant>
      <vt:variant>
        <vt:i4>5873</vt:i4>
      </vt:variant>
      <vt:variant>
        <vt:i4>0</vt:i4>
      </vt:variant>
      <vt:variant>
        <vt:i4>5</vt:i4>
      </vt:variant>
      <vt:variant>
        <vt:lpwstr/>
      </vt:variant>
      <vt:variant>
        <vt:lpwstr>Robbins</vt:lpwstr>
      </vt:variant>
      <vt:variant>
        <vt:i4>8126549</vt:i4>
      </vt:variant>
      <vt:variant>
        <vt:i4>5870</vt:i4>
      </vt:variant>
      <vt:variant>
        <vt:i4>0</vt:i4>
      </vt:variant>
      <vt:variant>
        <vt:i4>5</vt:i4>
      </vt:variant>
      <vt:variant>
        <vt:lpwstr>http://www.accessdata.fda.gov/drugsatfda_docs/label/2007/021717s002lbl.pdf</vt:lpwstr>
      </vt:variant>
      <vt:variant>
        <vt:lpwstr/>
      </vt:variant>
      <vt:variant>
        <vt:i4>7340129</vt:i4>
      </vt:variant>
      <vt:variant>
        <vt:i4>5867</vt:i4>
      </vt:variant>
      <vt:variant>
        <vt:i4>0</vt:i4>
      </vt:variant>
      <vt:variant>
        <vt:i4>5</vt:i4>
      </vt:variant>
      <vt:variant>
        <vt:lpwstr/>
      </vt:variant>
      <vt:variant>
        <vt:lpwstr>Dalpiaz</vt:lpwstr>
      </vt:variant>
      <vt:variant>
        <vt:i4>458767</vt:i4>
      </vt:variant>
      <vt:variant>
        <vt:i4>5864</vt:i4>
      </vt:variant>
      <vt:variant>
        <vt:i4>0</vt:i4>
      </vt:variant>
      <vt:variant>
        <vt:i4>5</vt:i4>
      </vt:variant>
      <vt:variant>
        <vt:lpwstr/>
      </vt:variant>
      <vt:variant>
        <vt:lpwstr>Affaitati</vt:lpwstr>
      </vt:variant>
      <vt:variant>
        <vt:i4>6422638</vt:i4>
      </vt:variant>
      <vt:variant>
        <vt:i4>5861</vt:i4>
      </vt:variant>
      <vt:variant>
        <vt:i4>0</vt:i4>
      </vt:variant>
      <vt:variant>
        <vt:i4>5</vt:i4>
      </vt:variant>
      <vt:variant>
        <vt:lpwstr/>
      </vt:variant>
      <vt:variant>
        <vt:lpwstr>OConnor</vt:lpwstr>
      </vt:variant>
      <vt:variant>
        <vt:i4>327704</vt:i4>
      </vt:variant>
      <vt:variant>
        <vt:i4>5858</vt:i4>
      </vt:variant>
      <vt:variant>
        <vt:i4>0</vt:i4>
      </vt:variant>
      <vt:variant>
        <vt:i4>5</vt:i4>
      </vt:variant>
      <vt:variant>
        <vt:lpwstr/>
      </vt:variant>
      <vt:variant>
        <vt:lpwstr>Finnerup</vt:lpwstr>
      </vt:variant>
      <vt:variant>
        <vt:i4>7077984</vt:i4>
      </vt:variant>
      <vt:variant>
        <vt:i4>5855</vt:i4>
      </vt:variant>
      <vt:variant>
        <vt:i4>0</vt:i4>
      </vt:variant>
      <vt:variant>
        <vt:i4>5</vt:i4>
      </vt:variant>
      <vt:variant>
        <vt:lpwstr/>
      </vt:variant>
      <vt:variant>
        <vt:lpwstr>Dworkin</vt:lpwstr>
      </vt:variant>
      <vt:variant>
        <vt:i4>6750319</vt:i4>
      </vt:variant>
      <vt:variant>
        <vt:i4>5852</vt:i4>
      </vt:variant>
      <vt:variant>
        <vt:i4>0</vt:i4>
      </vt:variant>
      <vt:variant>
        <vt:i4>5</vt:i4>
      </vt:variant>
      <vt:variant>
        <vt:lpwstr/>
      </vt:variant>
      <vt:variant>
        <vt:lpwstr>Gimbel</vt:lpwstr>
      </vt:variant>
      <vt:variant>
        <vt:i4>2359416</vt:i4>
      </vt:variant>
      <vt:variant>
        <vt:i4>5849</vt:i4>
      </vt:variant>
      <vt:variant>
        <vt:i4>0</vt:i4>
      </vt:variant>
      <vt:variant>
        <vt:i4>5</vt:i4>
      </vt:variant>
      <vt:variant>
        <vt:lpwstr/>
      </vt:variant>
      <vt:variant>
        <vt:lpwstr>Burch2</vt:lpwstr>
      </vt:variant>
      <vt:variant>
        <vt:i4>458767</vt:i4>
      </vt:variant>
      <vt:variant>
        <vt:i4>5846</vt:i4>
      </vt:variant>
      <vt:variant>
        <vt:i4>0</vt:i4>
      </vt:variant>
      <vt:variant>
        <vt:i4>5</vt:i4>
      </vt:variant>
      <vt:variant>
        <vt:lpwstr/>
      </vt:variant>
      <vt:variant>
        <vt:lpwstr>Affaitati</vt:lpwstr>
      </vt:variant>
      <vt:variant>
        <vt:i4>917534</vt:i4>
      </vt:variant>
      <vt:variant>
        <vt:i4>5843</vt:i4>
      </vt:variant>
      <vt:variant>
        <vt:i4>0</vt:i4>
      </vt:variant>
      <vt:variant>
        <vt:i4>5</vt:i4>
      </vt:variant>
      <vt:variant>
        <vt:lpwstr/>
      </vt:variant>
      <vt:variant>
        <vt:lpwstr>Fishbain2</vt:lpwstr>
      </vt:variant>
      <vt:variant>
        <vt:i4>1245210</vt:i4>
      </vt:variant>
      <vt:variant>
        <vt:i4>5840</vt:i4>
      </vt:variant>
      <vt:variant>
        <vt:i4>0</vt:i4>
      </vt:variant>
      <vt:variant>
        <vt:i4>5</vt:i4>
      </vt:variant>
      <vt:variant>
        <vt:lpwstr/>
      </vt:variant>
      <vt:variant>
        <vt:lpwstr>LexiComp</vt:lpwstr>
      </vt:variant>
      <vt:variant>
        <vt:i4>1310745</vt:i4>
      </vt:variant>
      <vt:variant>
        <vt:i4>5837</vt:i4>
      </vt:variant>
      <vt:variant>
        <vt:i4>0</vt:i4>
      </vt:variant>
      <vt:variant>
        <vt:i4>5</vt:i4>
      </vt:variant>
      <vt:variant>
        <vt:lpwstr/>
      </vt:variant>
      <vt:variant>
        <vt:lpwstr>Knotkova</vt:lpwstr>
      </vt:variant>
      <vt:variant>
        <vt:i4>7667811</vt:i4>
      </vt:variant>
      <vt:variant>
        <vt:i4>5834</vt:i4>
      </vt:variant>
      <vt:variant>
        <vt:i4>0</vt:i4>
      </vt:variant>
      <vt:variant>
        <vt:i4>5</vt:i4>
      </vt:variant>
      <vt:variant>
        <vt:lpwstr/>
      </vt:variant>
      <vt:variant>
        <vt:lpwstr>Khaliq</vt:lpwstr>
      </vt:variant>
      <vt:variant>
        <vt:i4>6160398</vt:i4>
      </vt:variant>
      <vt:variant>
        <vt:i4>5831</vt:i4>
      </vt:variant>
      <vt:variant>
        <vt:i4>0</vt:i4>
      </vt:variant>
      <vt:variant>
        <vt:i4>5</vt:i4>
      </vt:variant>
      <vt:variant>
        <vt:lpwstr/>
      </vt:variant>
      <vt:variant>
        <vt:lpwstr>Dworkin2</vt:lpwstr>
      </vt:variant>
      <vt:variant>
        <vt:i4>8061024</vt:i4>
      </vt:variant>
      <vt:variant>
        <vt:i4>5828</vt:i4>
      </vt:variant>
      <vt:variant>
        <vt:i4>0</vt:i4>
      </vt:variant>
      <vt:variant>
        <vt:i4>5</vt:i4>
      </vt:variant>
      <vt:variant>
        <vt:lpwstr/>
      </vt:variant>
      <vt:variant>
        <vt:lpwstr>Argoff</vt:lpwstr>
      </vt:variant>
      <vt:variant>
        <vt:i4>3539065</vt:i4>
      </vt:variant>
      <vt:variant>
        <vt:i4>5825</vt:i4>
      </vt:variant>
      <vt:variant>
        <vt:i4>0</vt:i4>
      </vt:variant>
      <vt:variant>
        <vt:i4>5</vt:i4>
      </vt:variant>
      <vt:variant>
        <vt:lpwstr/>
      </vt:variant>
      <vt:variant>
        <vt:lpwstr>Galer2</vt:lpwstr>
      </vt:variant>
      <vt:variant>
        <vt:i4>8061024</vt:i4>
      </vt:variant>
      <vt:variant>
        <vt:i4>5822</vt:i4>
      </vt:variant>
      <vt:variant>
        <vt:i4>0</vt:i4>
      </vt:variant>
      <vt:variant>
        <vt:i4>5</vt:i4>
      </vt:variant>
      <vt:variant>
        <vt:lpwstr/>
      </vt:variant>
      <vt:variant>
        <vt:lpwstr>Argoff3</vt:lpwstr>
      </vt:variant>
      <vt:variant>
        <vt:i4>6619260</vt:i4>
      </vt:variant>
      <vt:variant>
        <vt:i4>5819</vt:i4>
      </vt:variant>
      <vt:variant>
        <vt:i4>0</vt:i4>
      </vt:variant>
      <vt:variant>
        <vt:i4>5</vt:i4>
      </vt:variant>
      <vt:variant>
        <vt:lpwstr/>
      </vt:variant>
      <vt:variant>
        <vt:lpwstr>CriteriaforuseofLidodermpatches</vt:lpwstr>
      </vt:variant>
      <vt:variant>
        <vt:i4>6619260</vt:i4>
      </vt:variant>
      <vt:variant>
        <vt:i4>5816</vt:i4>
      </vt:variant>
      <vt:variant>
        <vt:i4>0</vt:i4>
      </vt:variant>
      <vt:variant>
        <vt:i4>5</vt:i4>
      </vt:variant>
      <vt:variant>
        <vt:lpwstr/>
      </vt:variant>
      <vt:variant>
        <vt:lpwstr>CriteriaforuseofLidodermpatches</vt:lpwstr>
      </vt:variant>
      <vt:variant>
        <vt:i4>6750314</vt:i4>
      </vt:variant>
      <vt:variant>
        <vt:i4>5813</vt:i4>
      </vt:variant>
      <vt:variant>
        <vt:i4>0</vt:i4>
      </vt:variant>
      <vt:variant>
        <vt:i4>5</vt:i4>
      </vt:variant>
      <vt:variant>
        <vt:lpwstr/>
      </vt:variant>
      <vt:variant>
        <vt:lpwstr>NSAIDshypertensionandrenalfunction</vt:lpwstr>
      </vt:variant>
      <vt:variant>
        <vt:i4>6357091</vt:i4>
      </vt:variant>
      <vt:variant>
        <vt:i4>5810</vt:i4>
      </vt:variant>
      <vt:variant>
        <vt:i4>0</vt:i4>
      </vt:variant>
      <vt:variant>
        <vt:i4>5</vt:i4>
      </vt:variant>
      <vt:variant>
        <vt:lpwstr/>
      </vt:variant>
      <vt:variant>
        <vt:lpwstr>NSAIDsGIsymptomscardiovascularrisk</vt:lpwstr>
      </vt:variant>
      <vt:variant>
        <vt:i4>1835034</vt:i4>
      </vt:variant>
      <vt:variant>
        <vt:i4>5807</vt:i4>
      </vt:variant>
      <vt:variant>
        <vt:i4>0</vt:i4>
      </vt:variant>
      <vt:variant>
        <vt:i4>5</vt:i4>
      </vt:variant>
      <vt:variant>
        <vt:lpwstr/>
      </vt:variant>
      <vt:variant>
        <vt:lpwstr>Peterson2011</vt:lpwstr>
      </vt:variant>
      <vt:variant>
        <vt:i4>6291564</vt:i4>
      </vt:variant>
      <vt:variant>
        <vt:i4>5804</vt:i4>
      </vt:variant>
      <vt:variant>
        <vt:i4>0</vt:i4>
      </vt:variant>
      <vt:variant>
        <vt:i4>5</vt:i4>
      </vt:variant>
      <vt:variant>
        <vt:lpwstr/>
      </vt:variant>
      <vt:variant>
        <vt:lpwstr>Makris2010</vt:lpwstr>
      </vt:variant>
      <vt:variant>
        <vt:i4>7602213</vt:i4>
      </vt:variant>
      <vt:variant>
        <vt:i4>5801</vt:i4>
      </vt:variant>
      <vt:variant>
        <vt:i4>0</vt:i4>
      </vt:variant>
      <vt:variant>
        <vt:i4>5</vt:i4>
      </vt:variant>
      <vt:variant>
        <vt:lpwstr/>
      </vt:variant>
      <vt:variant>
        <vt:lpwstr>Barbaud2009</vt:lpwstr>
      </vt:variant>
      <vt:variant>
        <vt:i4>7798840</vt:i4>
      </vt:variant>
      <vt:variant>
        <vt:i4>5798</vt:i4>
      </vt:variant>
      <vt:variant>
        <vt:i4>0</vt:i4>
      </vt:variant>
      <vt:variant>
        <vt:i4>5</vt:i4>
      </vt:variant>
      <vt:variant>
        <vt:lpwstr/>
      </vt:variant>
      <vt:variant>
        <vt:lpwstr>Drucker2011</vt:lpwstr>
      </vt:variant>
      <vt:variant>
        <vt:i4>1507330</vt:i4>
      </vt:variant>
      <vt:variant>
        <vt:i4>5795</vt:i4>
      </vt:variant>
      <vt:variant>
        <vt:i4>0</vt:i4>
      </vt:variant>
      <vt:variant>
        <vt:i4>5</vt:i4>
      </vt:variant>
      <vt:variant>
        <vt:lpwstr/>
      </vt:variant>
      <vt:variant>
        <vt:lpwstr>Ketoprofentopical</vt:lpwstr>
      </vt:variant>
      <vt:variant>
        <vt:i4>6946870</vt:i4>
      </vt:variant>
      <vt:variant>
        <vt:i4>5792</vt:i4>
      </vt:variant>
      <vt:variant>
        <vt:i4>0</vt:i4>
      </vt:variant>
      <vt:variant>
        <vt:i4>5</vt:i4>
      </vt:variant>
      <vt:variant>
        <vt:lpwstr/>
      </vt:variant>
      <vt:variant>
        <vt:lpwstr>Esparza2007</vt:lpwstr>
      </vt:variant>
      <vt:variant>
        <vt:i4>7995507</vt:i4>
      </vt:variant>
      <vt:variant>
        <vt:i4>5789</vt:i4>
      </vt:variant>
      <vt:variant>
        <vt:i4>0</vt:i4>
      </vt:variant>
      <vt:variant>
        <vt:i4>5</vt:i4>
      </vt:variant>
      <vt:variant>
        <vt:lpwstr/>
      </vt:variant>
      <vt:variant>
        <vt:lpwstr>Krummel</vt:lpwstr>
      </vt:variant>
      <vt:variant>
        <vt:i4>9633813</vt:i4>
      </vt:variant>
      <vt:variant>
        <vt:i4>5786</vt:i4>
      </vt:variant>
      <vt:variant>
        <vt:i4>0</vt:i4>
      </vt:variant>
      <vt:variant>
        <vt:i4>5</vt:i4>
      </vt:variant>
      <vt:variant>
        <vt:lpwstr/>
      </vt:variant>
      <vt:variant>
        <vt:lpwstr>Gürol</vt:lpwstr>
      </vt:variant>
      <vt:variant>
        <vt:i4>7929965</vt:i4>
      </vt:variant>
      <vt:variant>
        <vt:i4>5783</vt:i4>
      </vt:variant>
      <vt:variant>
        <vt:i4>0</vt:i4>
      </vt:variant>
      <vt:variant>
        <vt:i4>5</vt:i4>
      </vt:variant>
      <vt:variant>
        <vt:lpwstr/>
      </vt:variant>
      <vt:variant>
        <vt:lpwstr>Lechat2010</vt:lpwstr>
      </vt:variant>
      <vt:variant>
        <vt:i4>7602213</vt:i4>
      </vt:variant>
      <vt:variant>
        <vt:i4>5780</vt:i4>
      </vt:variant>
      <vt:variant>
        <vt:i4>0</vt:i4>
      </vt:variant>
      <vt:variant>
        <vt:i4>5</vt:i4>
      </vt:variant>
      <vt:variant>
        <vt:lpwstr/>
      </vt:variant>
      <vt:variant>
        <vt:lpwstr>Barbaud2009</vt:lpwstr>
      </vt:variant>
      <vt:variant>
        <vt:i4>851990</vt:i4>
      </vt:variant>
      <vt:variant>
        <vt:i4>5777</vt:i4>
      </vt:variant>
      <vt:variant>
        <vt:i4>0</vt:i4>
      </vt:variant>
      <vt:variant>
        <vt:i4>5</vt:i4>
      </vt:variant>
      <vt:variant>
        <vt:lpwstr/>
      </vt:variant>
      <vt:variant>
        <vt:lpwstr>Matthieu2004</vt:lpwstr>
      </vt:variant>
      <vt:variant>
        <vt:i4>7143550</vt:i4>
      </vt:variant>
      <vt:variant>
        <vt:i4>5774</vt:i4>
      </vt:variant>
      <vt:variant>
        <vt:i4>0</vt:i4>
      </vt:variant>
      <vt:variant>
        <vt:i4>5</vt:i4>
      </vt:variant>
      <vt:variant>
        <vt:lpwstr/>
      </vt:variant>
      <vt:variant>
        <vt:lpwstr>Devleeschouwer2008</vt:lpwstr>
      </vt:variant>
      <vt:variant>
        <vt:i4>14942325</vt:i4>
      </vt:variant>
      <vt:variant>
        <vt:i4>5771</vt:i4>
      </vt:variant>
      <vt:variant>
        <vt:i4>0</vt:i4>
      </vt:variant>
      <vt:variant>
        <vt:i4>5</vt:i4>
      </vt:variant>
      <vt:variant>
        <vt:lpwstr/>
      </vt:variant>
      <vt:variant>
        <vt:lpwstr>Hindsén</vt:lpwstr>
      </vt:variant>
      <vt:variant>
        <vt:i4>1441874</vt:i4>
      </vt:variant>
      <vt:variant>
        <vt:i4>5768</vt:i4>
      </vt:variant>
      <vt:variant>
        <vt:i4>0</vt:i4>
      </vt:variant>
      <vt:variant>
        <vt:i4>5</vt:i4>
      </vt:variant>
      <vt:variant>
        <vt:lpwstr/>
      </vt:variant>
      <vt:variant>
        <vt:lpwstr>Noize2010</vt:lpwstr>
      </vt:variant>
      <vt:variant>
        <vt:i4>1245189</vt:i4>
      </vt:variant>
      <vt:variant>
        <vt:i4>5765</vt:i4>
      </vt:variant>
      <vt:variant>
        <vt:i4>0</vt:i4>
      </vt:variant>
      <vt:variant>
        <vt:i4>5</vt:i4>
      </vt:variant>
      <vt:variant>
        <vt:lpwstr/>
      </vt:variant>
      <vt:variant>
        <vt:lpwstr>Diaz</vt:lpwstr>
      </vt:variant>
      <vt:variant>
        <vt:i4>786439</vt:i4>
      </vt:variant>
      <vt:variant>
        <vt:i4>5762</vt:i4>
      </vt:variant>
      <vt:variant>
        <vt:i4>0</vt:i4>
      </vt:variant>
      <vt:variant>
        <vt:i4>5</vt:i4>
      </vt:variant>
      <vt:variant>
        <vt:lpwstr/>
      </vt:variant>
      <vt:variant>
        <vt:lpwstr>Flectorpatch</vt:lpwstr>
      </vt:variant>
      <vt:variant>
        <vt:i4>917508</vt:i4>
      </vt:variant>
      <vt:variant>
        <vt:i4>5759</vt:i4>
      </vt:variant>
      <vt:variant>
        <vt:i4>0</vt:i4>
      </vt:variant>
      <vt:variant>
        <vt:i4>5</vt:i4>
      </vt:variant>
      <vt:variant>
        <vt:lpwstr/>
      </vt:variant>
      <vt:variant>
        <vt:lpwstr>Pennsaid</vt:lpwstr>
      </vt:variant>
      <vt:variant>
        <vt:i4>393221</vt:i4>
      </vt:variant>
      <vt:variant>
        <vt:i4>5756</vt:i4>
      </vt:variant>
      <vt:variant>
        <vt:i4>0</vt:i4>
      </vt:variant>
      <vt:variant>
        <vt:i4>5</vt:i4>
      </vt:variant>
      <vt:variant>
        <vt:lpwstr/>
      </vt:variant>
      <vt:variant>
        <vt:lpwstr>Roth2011</vt:lpwstr>
      </vt:variant>
      <vt:variant>
        <vt:i4>6422649</vt:i4>
      </vt:variant>
      <vt:variant>
        <vt:i4>5753</vt:i4>
      </vt:variant>
      <vt:variant>
        <vt:i4>0</vt:i4>
      </vt:variant>
      <vt:variant>
        <vt:i4>5</vt:i4>
      </vt:variant>
      <vt:variant>
        <vt:lpwstr/>
      </vt:variant>
      <vt:variant>
        <vt:lpwstr>VoltarenGel</vt:lpwstr>
      </vt:variant>
      <vt:variant>
        <vt:i4>1638418</vt:i4>
      </vt:variant>
      <vt:variant>
        <vt:i4>5750</vt:i4>
      </vt:variant>
      <vt:variant>
        <vt:i4>0</vt:i4>
      </vt:variant>
      <vt:variant>
        <vt:i4>5</vt:i4>
      </vt:variant>
      <vt:variant>
        <vt:lpwstr/>
      </vt:variant>
      <vt:variant>
        <vt:lpwstr>Kienzler2010</vt:lpwstr>
      </vt:variant>
      <vt:variant>
        <vt:i4>196678</vt:i4>
      </vt:variant>
      <vt:variant>
        <vt:i4>5747</vt:i4>
      </vt:variant>
      <vt:variant>
        <vt:i4>0</vt:i4>
      </vt:variant>
      <vt:variant>
        <vt:i4>5</vt:i4>
      </vt:variant>
      <vt:variant>
        <vt:lpwstr/>
      </vt:variant>
      <vt:variant>
        <vt:lpwstr>Baraf2011</vt:lpwstr>
      </vt:variant>
      <vt:variant>
        <vt:i4>3473505</vt:i4>
      </vt:variant>
      <vt:variant>
        <vt:i4>5744</vt:i4>
      </vt:variant>
      <vt:variant>
        <vt:i4>0</vt:i4>
      </vt:variant>
      <vt:variant>
        <vt:i4>5</vt:i4>
      </vt:variant>
      <vt:variant>
        <vt:lpwstr>http://www.fda.gov/Safety/MedWatch/SafetyInformation/SafetyAlertsforHumanMedicalProducts/ucm193047.htm</vt:lpwstr>
      </vt:variant>
      <vt:variant>
        <vt:lpwstr/>
      </vt:variant>
      <vt:variant>
        <vt:i4>7274612</vt:i4>
      </vt:variant>
      <vt:variant>
        <vt:i4>5741</vt:i4>
      </vt:variant>
      <vt:variant>
        <vt:i4>0</vt:i4>
      </vt:variant>
      <vt:variant>
        <vt:i4>5</vt:i4>
      </vt:variant>
      <vt:variant>
        <vt:lpwstr/>
      </vt:variant>
      <vt:variant>
        <vt:lpwstr>Altman2</vt:lpwstr>
      </vt:variant>
      <vt:variant>
        <vt:i4>524298</vt:i4>
      </vt:variant>
      <vt:variant>
        <vt:i4>5738</vt:i4>
      </vt:variant>
      <vt:variant>
        <vt:i4>0</vt:i4>
      </vt:variant>
      <vt:variant>
        <vt:i4>5</vt:i4>
      </vt:variant>
      <vt:variant>
        <vt:lpwstr/>
      </vt:variant>
      <vt:variant>
        <vt:lpwstr>Haroutiunian2010</vt:lpwstr>
      </vt:variant>
      <vt:variant>
        <vt:i4>1638418</vt:i4>
      </vt:variant>
      <vt:variant>
        <vt:i4>5735</vt:i4>
      </vt:variant>
      <vt:variant>
        <vt:i4>0</vt:i4>
      </vt:variant>
      <vt:variant>
        <vt:i4>5</vt:i4>
      </vt:variant>
      <vt:variant>
        <vt:lpwstr/>
      </vt:variant>
      <vt:variant>
        <vt:lpwstr>Kienzler2010</vt:lpwstr>
      </vt:variant>
      <vt:variant>
        <vt:i4>524298</vt:i4>
      </vt:variant>
      <vt:variant>
        <vt:i4>5732</vt:i4>
      </vt:variant>
      <vt:variant>
        <vt:i4>0</vt:i4>
      </vt:variant>
      <vt:variant>
        <vt:i4>5</vt:i4>
      </vt:variant>
      <vt:variant>
        <vt:lpwstr/>
      </vt:variant>
      <vt:variant>
        <vt:lpwstr>Haroutiunian2010</vt:lpwstr>
      </vt:variant>
      <vt:variant>
        <vt:i4>3866736</vt:i4>
      </vt:variant>
      <vt:variant>
        <vt:i4>5729</vt:i4>
      </vt:variant>
      <vt:variant>
        <vt:i4>0</vt:i4>
      </vt:variant>
      <vt:variant>
        <vt:i4>5</vt:i4>
      </vt:variant>
      <vt:variant>
        <vt:lpwstr/>
      </vt:variant>
      <vt:variant>
        <vt:lpwstr>Mason5</vt:lpwstr>
      </vt:variant>
      <vt:variant>
        <vt:i4>7471216</vt:i4>
      </vt:variant>
      <vt:variant>
        <vt:i4>5726</vt:i4>
      </vt:variant>
      <vt:variant>
        <vt:i4>0</vt:i4>
      </vt:variant>
      <vt:variant>
        <vt:i4>5</vt:i4>
      </vt:variant>
      <vt:variant>
        <vt:lpwstr/>
      </vt:variant>
      <vt:variant>
        <vt:lpwstr>Biswal</vt:lpwstr>
      </vt:variant>
      <vt:variant>
        <vt:i4>3801200</vt:i4>
      </vt:variant>
      <vt:variant>
        <vt:i4>5723</vt:i4>
      </vt:variant>
      <vt:variant>
        <vt:i4>0</vt:i4>
      </vt:variant>
      <vt:variant>
        <vt:i4>5</vt:i4>
      </vt:variant>
      <vt:variant>
        <vt:lpwstr/>
      </vt:variant>
      <vt:variant>
        <vt:lpwstr>Mason4</vt:lpwstr>
      </vt:variant>
      <vt:variant>
        <vt:i4>7929961</vt:i4>
      </vt:variant>
      <vt:variant>
        <vt:i4>5720</vt:i4>
      </vt:variant>
      <vt:variant>
        <vt:i4>0</vt:i4>
      </vt:variant>
      <vt:variant>
        <vt:i4>5</vt:i4>
      </vt:variant>
      <vt:variant>
        <vt:lpwstr/>
      </vt:variant>
      <vt:variant>
        <vt:lpwstr>Bjorda</vt:lpwstr>
      </vt:variant>
      <vt:variant>
        <vt:i4>5963778</vt:i4>
      </vt:variant>
      <vt:variant>
        <vt:i4>5717</vt:i4>
      </vt:variant>
      <vt:variant>
        <vt:i4>0</vt:i4>
      </vt:variant>
      <vt:variant>
        <vt:i4>5</vt:i4>
      </vt:variant>
      <vt:variant>
        <vt:lpwstr/>
      </vt:variant>
      <vt:variant>
        <vt:lpwstr>Lin2</vt:lpwstr>
      </vt:variant>
      <vt:variant>
        <vt:i4>1638418</vt:i4>
      </vt:variant>
      <vt:variant>
        <vt:i4>5714</vt:i4>
      </vt:variant>
      <vt:variant>
        <vt:i4>0</vt:i4>
      </vt:variant>
      <vt:variant>
        <vt:i4>5</vt:i4>
      </vt:variant>
      <vt:variant>
        <vt:lpwstr/>
      </vt:variant>
      <vt:variant>
        <vt:lpwstr>Kienzler2010</vt:lpwstr>
      </vt:variant>
      <vt:variant>
        <vt:i4>327704</vt:i4>
      </vt:variant>
      <vt:variant>
        <vt:i4>5711</vt:i4>
      </vt:variant>
      <vt:variant>
        <vt:i4>0</vt:i4>
      </vt:variant>
      <vt:variant>
        <vt:i4>5</vt:i4>
      </vt:variant>
      <vt:variant>
        <vt:lpwstr/>
      </vt:variant>
      <vt:variant>
        <vt:lpwstr>Finnerup</vt:lpwstr>
      </vt:variant>
      <vt:variant>
        <vt:i4>524298</vt:i4>
      </vt:variant>
      <vt:variant>
        <vt:i4>5708</vt:i4>
      </vt:variant>
      <vt:variant>
        <vt:i4>0</vt:i4>
      </vt:variant>
      <vt:variant>
        <vt:i4>5</vt:i4>
      </vt:variant>
      <vt:variant>
        <vt:lpwstr/>
      </vt:variant>
      <vt:variant>
        <vt:lpwstr>Haroutiunian2010</vt:lpwstr>
      </vt:variant>
      <vt:variant>
        <vt:i4>524298</vt:i4>
      </vt:variant>
      <vt:variant>
        <vt:i4>5705</vt:i4>
      </vt:variant>
      <vt:variant>
        <vt:i4>0</vt:i4>
      </vt:variant>
      <vt:variant>
        <vt:i4>5</vt:i4>
      </vt:variant>
      <vt:variant>
        <vt:lpwstr/>
      </vt:variant>
      <vt:variant>
        <vt:lpwstr>Haroutiunian2010</vt:lpwstr>
      </vt:variant>
      <vt:variant>
        <vt:i4>6684744</vt:i4>
      </vt:variant>
      <vt:variant>
        <vt:i4>5702</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Roelofs2</vt:lpwstr>
      </vt:variant>
      <vt:variant>
        <vt:i4>7471201</vt:i4>
      </vt:variant>
      <vt:variant>
        <vt:i4>5699</vt:i4>
      </vt:variant>
      <vt:variant>
        <vt:i4>0</vt:i4>
      </vt:variant>
      <vt:variant>
        <vt:i4>5</vt:i4>
      </vt:variant>
      <vt:variant>
        <vt:lpwstr/>
      </vt:variant>
      <vt:variant>
        <vt:lpwstr>Rother2007</vt:lpwstr>
      </vt:variant>
      <vt:variant>
        <vt:i4>655377</vt:i4>
      </vt:variant>
      <vt:variant>
        <vt:i4>5696</vt:i4>
      </vt:variant>
      <vt:variant>
        <vt:i4>0</vt:i4>
      </vt:variant>
      <vt:variant>
        <vt:i4>5</vt:i4>
      </vt:variant>
      <vt:variant>
        <vt:lpwstr/>
      </vt:variant>
      <vt:variant>
        <vt:lpwstr>Richmond2010</vt:lpwstr>
      </vt:variant>
      <vt:variant>
        <vt:i4>7209079</vt:i4>
      </vt:variant>
      <vt:variant>
        <vt:i4>5693</vt:i4>
      </vt:variant>
      <vt:variant>
        <vt:i4>0</vt:i4>
      </vt:variant>
      <vt:variant>
        <vt:i4>5</vt:i4>
      </vt:variant>
      <vt:variant>
        <vt:lpwstr/>
      </vt:variant>
      <vt:variant>
        <vt:lpwstr>Altman2011</vt:lpwstr>
      </vt:variant>
      <vt:variant>
        <vt:i4>327756</vt:i4>
      </vt:variant>
      <vt:variant>
        <vt:i4>5690</vt:i4>
      </vt:variant>
      <vt:variant>
        <vt:i4>0</vt:i4>
      </vt:variant>
      <vt:variant>
        <vt:i4>5</vt:i4>
      </vt:variant>
      <vt:variant>
        <vt:lpwstr/>
      </vt:variant>
      <vt:variant>
        <vt:lpwstr>Zhang2010</vt:lpwstr>
      </vt:variant>
      <vt:variant>
        <vt:i4>131166</vt:i4>
      </vt:variant>
      <vt:variant>
        <vt:i4>5687</vt:i4>
      </vt:variant>
      <vt:variant>
        <vt:i4>0</vt:i4>
      </vt:variant>
      <vt:variant>
        <vt:i4>5</vt:i4>
      </vt:variant>
      <vt:variant>
        <vt:lpwstr/>
      </vt:variant>
      <vt:variant>
        <vt:lpwstr>NCCCC2008</vt:lpwstr>
      </vt:variant>
      <vt:variant>
        <vt:i4>262220</vt:i4>
      </vt:variant>
      <vt:variant>
        <vt:i4>5684</vt:i4>
      </vt:variant>
      <vt:variant>
        <vt:i4>0</vt:i4>
      </vt:variant>
      <vt:variant>
        <vt:i4>5</vt:i4>
      </vt:variant>
      <vt:variant>
        <vt:lpwstr/>
      </vt:variant>
      <vt:variant>
        <vt:lpwstr>Zhang2007</vt:lpwstr>
      </vt:variant>
      <vt:variant>
        <vt:i4>6291579</vt:i4>
      </vt:variant>
      <vt:variant>
        <vt:i4>5681</vt:i4>
      </vt:variant>
      <vt:variant>
        <vt:i4>0</vt:i4>
      </vt:variant>
      <vt:variant>
        <vt:i4>5</vt:i4>
      </vt:variant>
      <vt:variant>
        <vt:lpwstr/>
      </vt:variant>
      <vt:variant>
        <vt:lpwstr>Wenham2010</vt:lpwstr>
      </vt:variant>
      <vt:variant>
        <vt:i4>7274612</vt:i4>
      </vt:variant>
      <vt:variant>
        <vt:i4>5678</vt:i4>
      </vt:variant>
      <vt:variant>
        <vt:i4>0</vt:i4>
      </vt:variant>
      <vt:variant>
        <vt:i4>5</vt:i4>
      </vt:variant>
      <vt:variant>
        <vt:lpwstr/>
      </vt:variant>
      <vt:variant>
        <vt:lpwstr>Altman2</vt:lpwstr>
      </vt:variant>
      <vt:variant>
        <vt:i4>9</vt:i4>
      </vt:variant>
      <vt:variant>
        <vt:i4>5675</vt:i4>
      </vt:variant>
      <vt:variant>
        <vt:i4>0</vt:i4>
      </vt:variant>
      <vt:variant>
        <vt:i4>5</vt:i4>
      </vt:variant>
      <vt:variant>
        <vt:lpwstr/>
      </vt:variant>
      <vt:variant>
        <vt:lpwstr>Conaghan2008</vt:lpwstr>
      </vt:variant>
      <vt:variant>
        <vt:i4>1900563</vt:i4>
      </vt:variant>
      <vt:variant>
        <vt:i4>5672</vt:i4>
      </vt:variant>
      <vt:variant>
        <vt:i4>0</vt:i4>
      </vt:variant>
      <vt:variant>
        <vt:i4>5</vt:i4>
      </vt:variant>
      <vt:variant>
        <vt:lpwstr/>
      </vt:variant>
      <vt:variant>
        <vt:lpwstr>Niethard2005</vt:lpwstr>
      </vt:variant>
      <vt:variant>
        <vt:i4>7471223</vt:i4>
      </vt:variant>
      <vt:variant>
        <vt:i4>5669</vt:i4>
      </vt:variant>
      <vt:variant>
        <vt:i4>0</vt:i4>
      </vt:variant>
      <vt:variant>
        <vt:i4>5</vt:i4>
      </vt:variant>
      <vt:variant>
        <vt:lpwstr>E:\AppData\Local\Microsoft\Windows\Temporary Internet Files\Content.Outlook\AppData\Local\Microsoft\Windows\Temporary Internet Files\Content.Outlook\50QE161U\elbow.htm</vt:lpwstr>
      </vt:variant>
      <vt:variant>
        <vt:lpwstr>Green2</vt:lpwstr>
      </vt:variant>
      <vt:variant>
        <vt:i4>7471216</vt:i4>
      </vt:variant>
      <vt:variant>
        <vt:i4>5666</vt:i4>
      </vt:variant>
      <vt:variant>
        <vt:i4>0</vt:i4>
      </vt:variant>
      <vt:variant>
        <vt:i4>5</vt:i4>
      </vt:variant>
      <vt:variant>
        <vt:lpwstr/>
      </vt:variant>
      <vt:variant>
        <vt:lpwstr>Biswal</vt:lpwstr>
      </vt:variant>
      <vt:variant>
        <vt:i4>3801200</vt:i4>
      </vt:variant>
      <vt:variant>
        <vt:i4>5663</vt:i4>
      </vt:variant>
      <vt:variant>
        <vt:i4>0</vt:i4>
      </vt:variant>
      <vt:variant>
        <vt:i4>5</vt:i4>
      </vt:variant>
      <vt:variant>
        <vt:lpwstr/>
      </vt:variant>
      <vt:variant>
        <vt:lpwstr>Mason4</vt:lpwstr>
      </vt:variant>
      <vt:variant>
        <vt:i4>2162751</vt:i4>
      </vt:variant>
      <vt:variant>
        <vt:i4>5660</vt:i4>
      </vt:variant>
      <vt:variant>
        <vt:i4>0</vt:i4>
      </vt:variant>
      <vt:variant>
        <vt:i4>5</vt:i4>
      </vt:variant>
      <vt:variant>
        <vt:lpwstr>E:\AppData\Local\Microsoft\Windows\Temporary Internet Files\Content.Outlook\AppData\Local\Microsoft\Windows\Temporary Internet Files\Content.Outlook\50QE161U\knee.htm</vt:lpwstr>
      </vt:variant>
      <vt:variant>
        <vt:lpwstr>Underwood2</vt:lpwstr>
      </vt:variant>
      <vt:variant>
        <vt:i4>3801200</vt:i4>
      </vt:variant>
      <vt:variant>
        <vt:i4>5657</vt:i4>
      </vt:variant>
      <vt:variant>
        <vt:i4>0</vt:i4>
      </vt:variant>
      <vt:variant>
        <vt:i4>5</vt:i4>
      </vt:variant>
      <vt:variant>
        <vt:lpwstr/>
      </vt:variant>
      <vt:variant>
        <vt:lpwstr>Mason4</vt:lpwstr>
      </vt:variant>
      <vt:variant>
        <vt:i4>7012472</vt:i4>
      </vt:variant>
      <vt:variant>
        <vt:i4>5654</vt:i4>
      </vt:variant>
      <vt:variant>
        <vt:i4>0</vt:i4>
      </vt:variant>
      <vt:variant>
        <vt:i4>5</vt:i4>
      </vt:variant>
      <vt:variant>
        <vt:lpwstr/>
      </vt:variant>
      <vt:variant>
        <vt:lpwstr>Massey2010</vt:lpwstr>
      </vt:variant>
      <vt:variant>
        <vt:i4>1572866</vt:i4>
      </vt:variant>
      <vt:variant>
        <vt:i4>5651</vt:i4>
      </vt:variant>
      <vt:variant>
        <vt:i4>0</vt:i4>
      </vt:variant>
      <vt:variant>
        <vt:i4>5</vt:i4>
      </vt:variant>
      <vt:variant>
        <vt:lpwstr/>
      </vt:variant>
      <vt:variant>
        <vt:lpwstr>Duragesic</vt:lpwstr>
      </vt:variant>
      <vt:variant>
        <vt:i4>8061024</vt:i4>
      </vt:variant>
      <vt:variant>
        <vt:i4>5648</vt:i4>
      </vt:variant>
      <vt:variant>
        <vt:i4>0</vt:i4>
      </vt:variant>
      <vt:variant>
        <vt:i4>5</vt:i4>
      </vt:variant>
      <vt:variant>
        <vt:lpwstr/>
      </vt:variant>
      <vt:variant>
        <vt:lpwstr>Argoff</vt:lpwstr>
      </vt:variant>
      <vt:variant>
        <vt:i4>6422626</vt:i4>
      </vt:variant>
      <vt:variant>
        <vt:i4>5645</vt:i4>
      </vt:variant>
      <vt:variant>
        <vt:i4>0</vt:i4>
      </vt:variant>
      <vt:variant>
        <vt:i4>5</vt:i4>
      </vt:variant>
      <vt:variant>
        <vt:lpwstr/>
      </vt:variant>
      <vt:variant>
        <vt:lpwstr>Colombo</vt:lpwstr>
      </vt:variant>
      <vt:variant>
        <vt:i4>6357096</vt:i4>
      </vt:variant>
      <vt:variant>
        <vt:i4>5642</vt:i4>
      </vt:variant>
      <vt:variant>
        <vt:i4>0</vt:i4>
      </vt:variant>
      <vt:variant>
        <vt:i4>5</vt:i4>
      </vt:variant>
      <vt:variant>
        <vt:lpwstr/>
      </vt:variant>
      <vt:variant>
        <vt:lpwstr>Namaka</vt:lpwstr>
      </vt:variant>
      <vt:variant>
        <vt:i4>6488175</vt:i4>
      </vt:variant>
      <vt:variant>
        <vt:i4>5639</vt:i4>
      </vt:variant>
      <vt:variant>
        <vt:i4>0</vt:i4>
      </vt:variant>
      <vt:variant>
        <vt:i4>5</vt:i4>
      </vt:variant>
      <vt:variant>
        <vt:lpwstr/>
      </vt:variant>
      <vt:variant>
        <vt:lpwstr>Topiramate</vt:lpwstr>
      </vt:variant>
      <vt:variant>
        <vt:i4>7012450</vt:i4>
      </vt:variant>
      <vt:variant>
        <vt:i4>5636</vt:i4>
      </vt:variant>
      <vt:variant>
        <vt:i4>0</vt:i4>
      </vt:variant>
      <vt:variant>
        <vt:i4>5</vt:i4>
      </vt:variant>
      <vt:variant>
        <vt:lpwstr/>
      </vt:variant>
      <vt:variant>
        <vt:lpwstr>TolmetinListing</vt:lpwstr>
      </vt:variant>
      <vt:variant>
        <vt:i4>1441796</vt:i4>
      </vt:variant>
      <vt:variant>
        <vt:i4>5633</vt:i4>
      </vt:variant>
      <vt:variant>
        <vt:i4>0</vt:i4>
      </vt:variant>
      <vt:variant>
        <vt:i4>5</vt:i4>
      </vt:variant>
      <vt:variant>
        <vt:lpwstr/>
      </vt:variant>
      <vt:variant>
        <vt:lpwstr>NSAIDsspecificdruglistadverseeffects</vt:lpwstr>
      </vt:variant>
      <vt:variant>
        <vt:i4>6750314</vt:i4>
      </vt:variant>
      <vt:variant>
        <vt:i4>5630</vt:i4>
      </vt:variant>
      <vt:variant>
        <vt:i4>0</vt:i4>
      </vt:variant>
      <vt:variant>
        <vt:i4>5</vt:i4>
      </vt:variant>
      <vt:variant>
        <vt:lpwstr/>
      </vt:variant>
      <vt:variant>
        <vt:lpwstr>NSAIDshypertensionandrenalfunction</vt:lpwstr>
      </vt:variant>
      <vt:variant>
        <vt:i4>6357091</vt:i4>
      </vt:variant>
      <vt:variant>
        <vt:i4>5627</vt:i4>
      </vt:variant>
      <vt:variant>
        <vt:i4>0</vt:i4>
      </vt:variant>
      <vt:variant>
        <vt:i4>5</vt:i4>
      </vt:variant>
      <vt:variant>
        <vt:lpwstr/>
      </vt:variant>
      <vt:variant>
        <vt:lpwstr>NSAIDsGIsymptomscardiovascularrisk</vt:lpwstr>
      </vt:variant>
      <vt:variant>
        <vt:i4>6881387</vt:i4>
      </vt:variant>
      <vt:variant>
        <vt:i4>5624</vt:i4>
      </vt:variant>
      <vt:variant>
        <vt:i4>0</vt:i4>
      </vt:variant>
      <vt:variant>
        <vt:i4>5</vt:i4>
      </vt:variant>
      <vt:variant>
        <vt:lpwstr/>
      </vt:variant>
      <vt:variant>
        <vt:lpwstr>NSAIDs</vt:lpwstr>
      </vt:variant>
      <vt:variant>
        <vt:i4>8126534</vt:i4>
      </vt:variant>
      <vt:variant>
        <vt:i4>5621</vt:i4>
      </vt:variant>
      <vt:variant>
        <vt:i4>0</vt:i4>
      </vt:variant>
      <vt:variant>
        <vt:i4>5</vt:i4>
      </vt:variant>
      <vt:variant>
        <vt:lpwstr/>
      </vt:variant>
      <vt:variant>
        <vt:lpwstr>Tizanidine_listing</vt:lpwstr>
      </vt:variant>
      <vt:variant>
        <vt:i4>6422650</vt:i4>
      </vt:variant>
      <vt:variant>
        <vt:i4>5618</vt:i4>
      </vt:variant>
      <vt:variant>
        <vt:i4>0</vt:i4>
      </vt:variant>
      <vt:variant>
        <vt:i4>5</vt:i4>
      </vt:variant>
      <vt:variant>
        <vt:lpwstr/>
      </vt:variant>
      <vt:variant>
        <vt:lpwstr>Musclerelaxants</vt:lpwstr>
      </vt:variant>
      <vt:variant>
        <vt:i4>983062</vt:i4>
      </vt:variant>
      <vt:variant>
        <vt:i4>5615</vt:i4>
      </vt:variant>
      <vt:variant>
        <vt:i4>0</vt:i4>
      </vt:variant>
      <vt:variant>
        <vt:i4>5</vt:i4>
      </vt:variant>
      <vt:variant>
        <vt:lpwstr/>
      </vt:variant>
      <vt:variant>
        <vt:lpwstr>ClinicalPharmacology</vt:lpwstr>
      </vt:variant>
      <vt:variant>
        <vt:i4>5046344</vt:i4>
      </vt:variant>
      <vt:variant>
        <vt:i4>5612</vt:i4>
      </vt:variant>
      <vt:variant>
        <vt:i4>0</vt:i4>
      </vt:variant>
      <vt:variant>
        <vt:i4>5</vt:i4>
      </vt:variant>
      <vt:variant>
        <vt:lpwstr>http://www.fda.gov/downloads/AdvisoryCommittees/CommitteesMeetingMaterials/Drugs/ArthritisAdvisoryCommittee/UCM383183.pdf</vt:lpwstr>
      </vt:variant>
      <vt:variant>
        <vt:lpwstr/>
      </vt:variant>
      <vt:variant>
        <vt:i4>851970</vt:i4>
      </vt:variant>
      <vt:variant>
        <vt:i4>5609</vt:i4>
      </vt:variant>
      <vt:variant>
        <vt:i4>0</vt:i4>
      </vt:variant>
      <vt:variant>
        <vt:i4>5</vt:i4>
      </vt:variant>
      <vt:variant>
        <vt:lpwstr/>
      </vt:variant>
      <vt:variant>
        <vt:lpwstr>Zorvolex</vt:lpwstr>
      </vt:variant>
      <vt:variant>
        <vt:i4>65564</vt:i4>
      </vt:variant>
      <vt:variant>
        <vt:i4>5606</vt:i4>
      </vt:variant>
      <vt:variant>
        <vt:i4>0</vt:i4>
      </vt:variant>
      <vt:variant>
        <vt:i4>5</vt:i4>
      </vt:variant>
      <vt:variant>
        <vt:lpwstr/>
      </vt:variant>
      <vt:variant>
        <vt:lpwstr>Indomethacin</vt:lpwstr>
      </vt:variant>
      <vt:variant>
        <vt:i4>1900565</vt:i4>
      </vt:variant>
      <vt:variant>
        <vt:i4>5603</vt:i4>
      </vt:variant>
      <vt:variant>
        <vt:i4>0</vt:i4>
      </vt:variant>
      <vt:variant>
        <vt:i4>5</vt:i4>
      </vt:variant>
      <vt:variant>
        <vt:lpwstr/>
      </vt:variant>
      <vt:variant>
        <vt:lpwstr>LevetiracetamListing</vt:lpwstr>
      </vt:variant>
      <vt:variant>
        <vt:i4>458782</vt:i4>
      </vt:variant>
      <vt:variant>
        <vt:i4>5600</vt:i4>
      </vt:variant>
      <vt:variant>
        <vt:i4>0</vt:i4>
      </vt:variant>
      <vt:variant>
        <vt:i4>5</vt:i4>
      </vt:variant>
      <vt:variant>
        <vt:lpwstr/>
      </vt:variant>
      <vt:variant>
        <vt:lpwstr>Antiepilepsydrugs</vt:lpwstr>
      </vt:variant>
      <vt:variant>
        <vt:i4>196609</vt:i4>
      </vt:variant>
      <vt:variant>
        <vt:i4>5597</vt:i4>
      </vt:variant>
      <vt:variant>
        <vt:i4>0</vt:i4>
      </vt:variant>
      <vt:variant>
        <vt:i4>5</vt:i4>
      </vt:variant>
      <vt:variant>
        <vt:lpwstr/>
      </vt:variant>
      <vt:variant>
        <vt:lpwstr>VitaminB</vt:lpwstr>
      </vt:variant>
      <vt:variant>
        <vt:i4>6684773</vt:i4>
      </vt:variant>
      <vt:variant>
        <vt:i4>5594</vt:i4>
      </vt:variant>
      <vt:variant>
        <vt:i4>0</vt:i4>
      </vt:variant>
      <vt:variant>
        <vt:i4>5</vt:i4>
      </vt:variant>
      <vt:variant>
        <vt:lpwstr/>
      </vt:variant>
      <vt:variant>
        <vt:lpwstr>CRPSdiagnostictests</vt:lpwstr>
      </vt:variant>
      <vt:variant>
        <vt:i4>1310810</vt:i4>
      </vt:variant>
      <vt:variant>
        <vt:i4>5591</vt:i4>
      </vt:variant>
      <vt:variant>
        <vt:i4>0</vt:i4>
      </vt:variant>
      <vt:variant>
        <vt:i4>5</vt:i4>
      </vt:variant>
      <vt:variant>
        <vt:lpwstr/>
      </vt:variant>
      <vt:variant>
        <vt:lpwstr>Gradl2003</vt:lpwstr>
      </vt:variant>
      <vt:variant>
        <vt:i4>10354774</vt:i4>
      </vt:variant>
      <vt:variant>
        <vt:i4>5588</vt:i4>
      </vt:variant>
      <vt:variant>
        <vt:i4>0</vt:i4>
      </vt:variant>
      <vt:variant>
        <vt:i4>5</vt:i4>
      </vt:variant>
      <vt:variant>
        <vt:lpwstr/>
      </vt:variant>
      <vt:variant>
        <vt:lpwstr>Schürmann2007</vt:lpwstr>
      </vt:variant>
      <vt:variant>
        <vt:i4>7012384</vt:i4>
      </vt:variant>
      <vt:variant>
        <vt:i4>5585</vt:i4>
      </vt:variant>
      <vt:variant>
        <vt:i4>0</vt:i4>
      </vt:variant>
      <vt:variant>
        <vt:i4>5</vt:i4>
      </vt:variant>
      <vt:variant>
        <vt:lpwstr/>
      </vt:variant>
      <vt:variant>
        <vt:lpwstr>Krumova2008</vt:lpwstr>
      </vt:variant>
      <vt:variant>
        <vt:i4>6553705</vt:i4>
      </vt:variant>
      <vt:variant>
        <vt:i4>5582</vt:i4>
      </vt:variant>
      <vt:variant>
        <vt:i4>0</vt:i4>
      </vt:variant>
      <vt:variant>
        <vt:i4>5</vt:i4>
      </vt:variant>
      <vt:variant>
        <vt:lpwstr/>
      </vt:variant>
      <vt:variant>
        <vt:lpwstr>Medicalfood</vt:lpwstr>
      </vt:variant>
      <vt:variant>
        <vt:i4>1638414</vt:i4>
      </vt:variant>
      <vt:variant>
        <vt:i4>5579</vt:i4>
      </vt:variant>
      <vt:variant>
        <vt:i4>0</vt:i4>
      </vt:variant>
      <vt:variant>
        <vt:i4>5</vt:i4>
      </vt:variant>
      <vt:variant>
        <vt:lpwstr/>
      </vt:variant>
      <vt:variant>
        <vt:lpwstr>Cannabinoids</vt:lpwstr>
      </vt:variant>
      <vt:variant>
        <vt:i4>6553711</vt:i4>
      </vt:variant>
      <vt:variant>
        <vt:i4>5576</vt:i4>
      </vt:variant>
      <vt:variant>
        <vt:i4>0</vt:i4>
      </vt:variant>
      <vt:variant>
        <vt:i4>5</vt:i4>
      </vt:variant>
      <vt:variant>
        <vt:lpwstr/>
      </vt:variant>
      <vt:variant>
        <vt:lpwstr>Daniell</vt:lpwstr>
      </vt:variant>
      <vt:variant>
        <vt:i4>6619247</vt:i4>
      </vt:variant>
      <vt:variant>
        <vt:i4>5573</vt:i4>
      </vt:variant>
      <vt:variant>
        <vt:i4>0</vt:i4>
      </vt:variant>
      <vt:variant>
        <vt:i4>5</vt:i4>
      </vt:variant>
      <vt:variant>
        <vt:lpwstr/>
      </vt:variant>
      <vt:variant>
        <vt:lpwstr>Isidori</vt:lpwstr>
      </vt:variant>
      <vt:variant>
        <vt:i4>6357088</vt:i4>
      </vt:variant>
      <vt:variant>
        <vt:i4>5570</vt:i4>
      </vt:variant>
      <vt:variant>
        <vt:i4>0</vt:i4>
      </vt:variant>
      <vt:variant>
        <vt:i4>5</vt:i4>
      </vt:variant>
      <vt:variant>
        <vt:lpwstr/>
      </vt:variant>
      <vt:variant>
        <vt:lpwstr>Bolona</vt:lpwstr>
      </vt:variant>
      <vt:variant>
        <vt:i4>458758</vt:i4>
      </vt:variant>
      <vt:variant>
        <vt:i4>5567</vt:i4>
      </vt:variant>
      <vt:variant>
        <vt:i4>0</vt:i4>
      </vt:variant>
      <vt:variant>
        <vt:i4>5</vt:i4>
      </vt:variant>
      <vt:variant>
        <vt:lpwstr/>
      </vt:variant>
      <vt:variant>
        <vt:lpwstr>IsidoriB</vt:lpwstr>
      </vt:variant>
      <vt:variant>
        <vt:i4>1114133</vt:i4>
      </vt:variant>
      <vt:variant>
        <vt:i4>5564</vt:i4>
      </vt:variant>
      <vt:variant>
        <vt:i4>0</vt:i4>
      </vt:variant>
      <vt:variant>
        <vt:i4>5</vt:i4>
      </vt:variant>
      <vt:variant>
        <vt:lpwstr/>
      </vt:variant>
      <vt:variant>
        <vt:lpwstr>Tracz</vt:lpwstr>
      </vt:variant>
      <vt:variant>
        <vt:i4>6357101</vt:i4>
      </vt:variant>
      <vt:variant>
        <vt:i4>5561</vt:i4>
      </vt:variant>
      <vt:variant>
        <vt:i4>0</vt:i4>
      </vt:variant>
      <vt:variant>
        <vt:i4>5</vt:i4>
      </vt:variant>
      <vt:variant>
        <vt:lpwstr/>
      </vt:variant>
      <vt:variant>
        <vt:lpwstr>Haddad</vt:lpwstr>
      </vt:variant>
      <vt:variant>
        <vt:i4>6684768</vt:i4>
      </vt:variant>
      <vt:variant>
        <vt:i4>5558</vt:i4>
      </vt:variant>
      <vt:variant>
        <vt:i4>0</vt:i4>
      </vt:variant>
      <vt:variant>
        <vt:i4>5</vt:i4>
      </vt:variant>
      <vt:variant>
        <vt:lpwstr/>
      </vt:variant>
      <vt:variant>
        <vt:lpwstr>Rubinstein2012</vt:lpwstr>
      </vt:variant>
      <vt:variant>
        <vt:i4>8126497</vt:i4>
      </vt:variant>
      <vt:variant>
        <vt:i4>5555</vt:i4>
      </vt:variant>
      <vt:variant>
        <vt:i4>0</vt:i4>
      </vt:variant>
      <vt:variant>
        <vt:i4>5</vt:i4>
      </vt:variant>
      <vt:variant>
        <vt:lpwstr/>
      </vt:variant>
      <vt:variant>
        <vt:lpwstr>Roberts2000</vt:lpwstr>
      </vt:variant>
      <vt:variant>
        <vt:i4>8126497</vt:i4>
      </vt:variant>
      <vt:variant>
        <vt:i4>5552</vt:i4>
      </vt:variant>
      <vt:variant>
        <vt:i4>0</vt:i4>
      </vt:variant>
      <vt:variant>
        <vt:i4>5</vt:i4>
      </vt:variant>
      <vt:variant>
        <vt:lpwstr/>
      </vt:variant>
      <vt:variant>
        <vt:lpwstr>Roberts2002</vt:lpwstr>
      </vt:variant>
      <vt:variant>
        <vt:i4>6422625</vt:i4>
      </vt:variant>
      <vt:variant>
        <vt:i4>5549</vt:i4>
      </vt:variant>
      <vt:variant>
        <vt:i4>0</vt:i4>
      </vt:variant>
      <vt:variant>
        <vt:i4>5</vt:i4>
      </vt:variant>
      <vt:variant>
        <vt:lpwstr/>
      </vt:variant>
      <vt:variant>
        <vt:lpwstr>Abs</vt:lpwstr>
      </vt:variant>
      <vt:variant>
        <vt:i4>917519</vt:i4>
      </vt:variant>
      <vt:variant>
        <vt:i4>5546</vt:i4>
      </vt:variant>
      <vt:variant>
        <vt:i4>0</vt:i4>
      </vt:variant>
      <vt:variant>
        <vt:i4>5</vt:i4>
      </vt:variant>
      <vt:variant>
        <vt:lpwstr/>
      </vt:variant>
      <vt:variant>
        <vt:lpwstr>Rajagopal</vt:lpwstr>
      </vt:variant>
      <vt:variant>
        <vt:i4>262167</vt:i4>
      </vt:variant>
      <vt:variant>
        <vt:i4>5543</vt:i4>
      </vt:variant>
      <vt:variant>
        <vt:i4>0</vt:i4>
      </vt:variant>
      <vt:variant>
        <vt:i4>5</vt:i4>
      </vt:variant>
      <vt:variant>
        <vt:lpwstr/>
      </vt:variant>
      <vt:variant>
        <vt:lpwstr>Page</vt:lpwstr>
      </vt:variant>
      <vt:variant>
        <vt:i4>8</vt:i4>
      </vt:variant>
      <vt:variant>
        <vt:i4>5540</vt:i4>
      </vt:variant>
      <vt:variant>
        <vt:i4>0</vt:i4>
      </vt:variant>
      <vt:variant>
        <vt:i4>5</vt:i4>
      </vt:variant>
      <vt:variant>
        <vt:lpwstr/>
      </vt:variant>
      <vt:variant>
        <vt:lpwstr>Nakazawa</vt:lpwstr>
      </vt:variant>
      <vt:variant>
        <vt:i4>6684777</vt:i4>
      </vt:variant>
      <vt:variant>
        <vt:i4>5537</vt:i4>
      </vt:variant>
      <vt:variant>
        <vt:i4>0</vt:i4>
      </vt:variant>
      <vt:variant>
        <vt:i4>5</vt:i4>
      </vt:variant>
      <vt:variant>
        <vt:lpwstr/>
      </vt:variant>
      <vt:variant>
        <vt:lpwstr>Rosenquist</vt:lpwstr>
      </vt:variant>
      <vt:variant>
        <vt:i4>1769479</vt:i4>
      </vt:variant>
      <vt:variant>
        <vt:i4>5534</vt:i4>
      </vt:variant>
      <vt:variant>
        <vt:i4>0</vt:i4>
      </vt:variant>
      <vt:variant>
        <vt:i4>5</vt:i4>
      </vt:variant>
      <vt:variant>
        <vt:lpwstr/>
      </vt:variant>
      <vt:variant>
        <vt:lpwstr>Breit</vt:lpwstr>
      </vt:variant>
      <vt:variant>
        <vt:i4>8126566</vt:i4>
      </vt:variant>
      <vt:variant>
        <vt:i4>5531</vt:i4>
      </vt:variant>
      <vt:variant>
        <vt:i4>0</vt:i4>
      </vt:variant>
      <vt:variant>
        <vt:i4>5</vt:i4>
      </vt:variant>
      <vt:variant>
        <vt:lpwstr/>
      </vt:variant>
      <vt:variant>
        <vt:lpwstr>Erdogan</vt:lpwstr>
      </vt:variant>
      <vt:variant>
        <vt:i4>917535</vt:i4>
      </vt:variant>
      <vt:variant>
        <vt:i4>5528</vt:i4>
      </vt:variant>
      <vt:variant>
        <vt:i4>0</vt:i4>
      </vt:variant>
      <vt:variant>
        <vt:i4>5</vt:i4>
      </vt:variant>
      <vt:variant>
        <vt:lpwstr/>
      </vt:variant>
      <vt:variant>
        <vt:lpwstr>Solak</vt:lpwstr>
      </vt:variant>
      <vt:variant>
        <vt:i4>1441795</vt:i4>
      </vt:variant>
      <vt:variant>
        <vt:i4>5525</vt:i4>
      </vt:variant>
      <vt:variant>
        <vt:i4>0</vt:i4>
      </vt:variant>
      <vt:variant>
        <vt:i4>5</vt:i4>
      </vt:variant>
      <vt:variant>
        <vt:lpwstr/>
      </vt:variant>
      <vt:variant>
        <vt:lpwstr>Dubinsky</vt:lpwstr>
      </vt:variant>
      <vt:variant>
        <vt:i4>196665</vt:i4>
      </vt:variant>
      <vt:variant>
        <vt:i4>5522</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Khadilkar3</vt:lpwstr>
      </vt:variant>
      <vt:variant>
        <vt:i4>4915240</vt:i4>
      </vt:variant>
      <vt:variant>
        <vt:i4>5519</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Poitras</vt:lpwstr>
      </vt:variant>
      <vt:variant>
        <vt:i4>7798901</vt:i4>
      </vt:variant>
      <vt:variant>
        <vt:i4>5516</vt:i4>
      </vt:variant>
      <vt:variant>
        <vt:i4>0</vt:i4>
      </vt:variant>
      <vt:variant>
        <vt:i4>5</vt:i4>
      </vt:variant>
      <vt:variant>
        <vt:lpwstr/>
      </vt:variant>
      <vt:variant>
        <vt:lpwstr>Furlan3</vt:lpwstr>
      </vt:variant>
      <vt:variant>
        <vt:i4>3932275</vt:i4>
      </vt:variant>
      <vt:variant>
        <vt:i4>5513</vt:i4>
      </vt:variant>
      <vt:variant>
        <vt:i4>0</vt:i4>
      </vt:variant>
      <vt:variant>
        <vt:i4>5</vt:i4>
      </vt:variant>
      <vt:variant>
        <vt:lpwstr/>
      </vt:variant>
      <vt:variant>
        <vt:lpwstr>Novak2</vt:lpwstr>
      </vt:variant>
      <vt:variant>
        <vt:i4>7209073</vt:i4>
      </vt:variant>
      <vt:variant>
        <vt:i4>5510</vt:i4>
      </vt:variant>
      <vt:variant>
        <vt:i4>0</vt:i4>
      </vt:variant>
      <vt:variant>
        <vt:i4>5</vt:i4>
      </vt:variant>
      <vt:variant>
        <vt:lpwstr/>
      </vt:variant>
      <vt:variant>
        <vt:lpwstr>Johnson</vt:lpwstr>
      </vt:variant>
      <vt:variant>
        <vt:i4>65565</vt:i4>
      </vt:variant>
      <vt:variant>
        <vt:i4>5507</vt:i4>
      </vt:variant>
      <vt:variant>
        <vt:i4>0</vt:i4>
      </vt:variant>
      <vt:variant>
        <vt:i4>5</vt:i4>
      </vt:variant>
      <vt:variant>
        <vt:lpwstr/>
      </vt:variant>
      <vt:variant>
        <vt:lpwstr>Electricalstimulators</vt:lpwstr>
      </vt:variant>
      <vt:variant>
        <vt:i4>655360</vt:i4>
      </vt:variant>
      <vt:variant>
        <vt:i4>5504</vt:i4>
      </vt:variant>
      <vt:variant>
        <vt:i4>0</vt:i4>
      </vt:variant>
      <vt:variant>
        <vt:i4>5</vt:i4>
      </vt:variant>
      <vt:variant>
        <vt:lpwstr/>
      </vt:variant>
      <vt:variant>
        <vt:lpwstr>Koke</vt:lpwstr>
      </vt:variant>
      <vt:variant>
        <vt:i4>7798884</vt:i4>
      </vt:variant>
      <vt:variant>
        <vt:i4>5501</vt:i4>
      </vt:variant>
      <vt:variant>
        <vt:i4>0</vt:i4>
      </vt:variant>
      <vt:variant>
        <vt:i4>5</vt:i4>
      </vt:variant>
      <vt:variant>
        <vt:lpwstr/>
      </vt:variant>
      <vt:variant>
        <vt:lpwstr>Miller</vt:lpwstr>
      </vt:variant>
      <vt:variant>
        <vt:i4>1048581</vt:i4>
      </vt:variant>
      <vt:variant>
        <vt:i4>5498</vt:i4>
      </vt:variant>
      <vt:variant>
        <vt:i4>0</vt:i4>
      </vt:variant>
      <vt:variant>
        <vt:i4>5</vt:i4>
      </vt:variant>
      <vt:variant>
        <vt:lpwstr/>
      </vt:variant>
      <vt:variant>
        <vt:lpwstr>Aydin</vt:lpwstr>
      </vt:variant>
      <vt:variant>
        <vt:i4>65538</vt:i4>
      </vt:variant>
      <vt:variant>
        <vt:i4>5495</vt:i4>
      </vt:variant>
      <vt:variant>
        <vt:i4>0</vt:i4>
      </vt:variant>
      <vt:variant>
        <vt:i4>5</vt:i4>
      </vt:variant>
      <vt:variant>
        <vt:lpwstr/>
      </vt:variant>
      <vt:variant>
        <vt:lpwstr>Lundeberg</vt:lpwstr>
      </vt:variant>
      <vt:variant>
        <vt:i4>7602285</vt:i4>
      </vt:variant>
      <vt:variant>
        <vt:i4>5492</vt:i4>
      </vt:variant>
      <vt:variant>
        <vt:i4>0</vt:i4>
      </vt:variant>
      <vt:variant>
        <vt:i4>5</vt:i4>
      </vt:variant>
      <vt:variant>
        <vt:lpwstr/>
      </vt:variant>
      <vt:variant>
        <vt:lpwstr>Finsen</vt:lpwstr>
      </vt:variant>
      <vt:variant>
        <vt:i4>6881390</vt:i4>
      </vt:variant>
      <vt:variant>
        <vt:i4>5489</vt:i4>
      </vt:variant>
      <vt:variant>
        <vt:i4>0</vt:i4>
      </vt:variant>
      <vt:variant>
        <vt:i4>5</vt:i4>
      </vt:variant>
      <vt:variant>
        <vt:lpwstr/>
      </vt:variant>
      <vt:variant>
        <vt:lpwstr>Niv</vt:lpwstr>
      </vt:variant>
      <vt:variant>
        <vt:i4>6291554</vt:i4>
      </vt:variant>
      <vt:variant>
        <vt:i4>5486</vt:i4>
      </vt:variant>
      <vt:variant>
        <vt:i4>0</vt:i4>
      </vt:variant>
      <vt:variant>
        <vt:i4>5</vt:i4>
      </vt:variant>
      <vt:variant>
        <vt:lpwstr/>
      </vt:variant>
      <vt:variant>
        <vt:lpwstr>Spruce</vt:lpwstr>
      </vt:variant>
      <vt:variant>
        <vt:i4>393228</vt:i4>
      </vt:variant>
      <vt:variant>
        <vt:i4>5483</vt:i4>
      </vt:variant>
      <vt:variant>
        <vt:i4>0</vt:i4>
      </vt:variant>
      <vt:variant>
        <vt:i4>5</vt:i4>
      </vt:variant>
      <vt:variant>
        <vt:lpwstr/>
      </vt:variant>
      <vt:variant>
        <vt:lpwstr>Chong</vt:lpwstr>
      </vt:variant>
      <vt:variant>
        <vt:i4>8323198</vt:i4>
      </vt:variant>
      <vt:variant>
        <vt:i4>5480</vt:i4>
      </vt:variant>
      <vt:variant>
        <vt:i4>0</vt:i4>
      </vt:variant>
      <vt:variant>
        <vt:i4>5</vt:i4>
      </vt:variant>
      <vt:variant>
        <vt:lpwstr/>
      </vt:variant>
      <vt:variant>
        <vt:lpwstr>Carroll</vt:lpwstr>
      </vt:variant>
      <vt:variant>
        <vt:i4>720916</vt:i4>
      </vt:variant>
      <vt:variant>
        <vt:i4>5477</vt:i4>
      </vt:variant>
      <vt:variant>
        <vt:i4>0</vt:i4>
      </vt:variant>
      <vt:variant>
        <vt:i4>5</vt:i4>
      </vt:variant>
      <vt:variant>
        <vt:lpwstr/>
      </vt:variant>
      <vt:variant>
        <vt:lpwstr>Functionalimprovementmeasures</vt:lpwstr>
      </vt:variant>
      <vt:variant>
        <vt:i4>7536750</vt:i4>
      </vt:variant>
      <vt:variant>
        <vt:i4>5474</vt:i4>
      </vt:variant>
      <vt:variant>
        <vt:i4>0</vt:i4>
      </vt:variant>
      <vt:variant>
        <vt:i4>5</vt:i4>
      </vt:variant>
      <vt:variant>
        <vt:lpwstr/>
      </vt:variant>
      <vt:variant>
        <vt:lpwstr>Benzodiazepines</vt:lpwstr>
      </vt:variant>
      <vt:variant>
        <vt:i4>327761</vt:i4>
      </vt:variant>
      <vt:variant>
        <vt:i4>5471</vt:i4>
      </vt:variant>
      <vt:variant>
        <vt:i4>0</vt:i4>
      </vt:variant>
      <vt:variant>
        <vt:i4>5</vt:i4>
      </vt:variant>
      <vt:variant>
        <vt:lpwstr/>
      </vt:variant>
      <vt:variant>
        <vt:lpwstr>Honig2012</vt:lpwstr>
      </vt:variant>
      <vt:variant>
        <vt:i4>7667836</vt:i4>
      </vt:variant>
      <vt:variant>
        <vt:i4>5468</vt:i4>
      </vt:variant>
      <vt:variant>
        <vt:i4>0</vt:i4>
      </vt:variant>
      <vt:variant>
        <vt:i4>5</vt:i4>
      </vt:variant>
      <vt:variant>
        <vt:lpwstr/>
      </vt:variant>
      <vt:variant>
        <vt:lpwstr>Harley2011</vt:lpwstr>
      </vt:variant>
      <vt:variant>
        <vt:i4>7274536</vt:i4>
      </vt:variant>
      <vt:variant>
        <vt:i4>5465</vt:i4>
      </vt:variant>
      <vt:variant>
        <vt:i4>0</vt:i4>
      </vt:variant>
      <vt:variant>
        <vt:i4>5</vt:i4>
      </vt:variant>
      <vt:variant>
        <vt:lpwstr/>
      </vt:variant>
      <vt:variant>
        <vt:lpwstr>Sibille2012</vt:lpwstr>
      </vt:variant>
      <vt:variant>
        <vt:i4>851992</vt:i4>
      </vt:variant>
      <vt:variant>
        <vt:i4>5462</vt:i4>
      </vt:variant>
      <vt:variant>
        <vt:i4>0</vt:i4>
      </vt:variant>
      <vt:variant>
        <vt:i4>5</vt:i4>
      </vt:variant>
      <vt:variant>
        <vt:lpwstr/>
      </vt:variant>
      <vt:variant>
        <vt:lpwstr>Wild2010</vt:lpwstr>
      </vt:variant>
      <vt:variant>
        <vt:i4>1310743</vt:i4>
      </vt:variant>
      <vt:variant>
        <vt:i4>5459</vt:i4>
      </vt:variant>
      <vt:variant>
        <vt:i4>0</vt:i4>
      </vt:variant>
      <vt:variant>
        <vt:i4>5</vt:i4>
      </vt:variant>
      <vt:variant>
        <vt:lpwstr/>
      </vt:variant>
      <vt:variant>
        <vt:lpwstr>Stegmann2008</vt:lpwstr>
      </vt:variant>
      <vt:variant>
        <vt:i4>1966089</vt:i4>
      </vt:variant>
      <vt:variant>
        <vt:i4>5456</vt:i4>
      </vt:variant>
      <vt:variant>
        <vt:i4>0</vt:i4>
      </vt:variant>
      <vt:variant>
        <vt:i4>5</vt:i4>
      </vt:variant>
      <vt:variant>
        <vt:lpwstr/>
      </vt:variant>
      <vt:variant>
        <vt:lpwstr>Hartrick2009</vt:lpwstr>
      </vt:variant>
      <vt:variant>
        <vt:i4>851974</vt:i4>
      </vt:variant>
      <vt:variant>
        <vt:i4>5453</vt:i4>
      </vt:variant>
      <vt:variant>
        <vt:i4>0</vt:i4>
      </vt:variant>
      <vt:variant>
        <vt:i4>5</vt:i4>
      </vt:variant>
      <vt:variant>
        <vt:lpwstr/>
      </vt:variant>
      <vt:variant>
        <vt:lpwstr>Hale2009</vt:lpwstr>
      </vt:variant>
      <vt:variant>
        <vt:i4>6225950</vt:i4>
      </vt:variant>
      <vt:variant>
        <vt:i4>5450</vt:i4>
      </vt:variant>
      <vt:variant>
        <vt:i4>0</vt:i4>
      </vt:variant>
      <vt:variant>
        <vt:i4>5</vt:i4>
      </vt:variant>
      <vt:variant>
        <vt:lpwstr/>
      </vt:variant>
      <vt:variant>
        <vt:lpwstr>Daniels22009</vt:lpwstr>
      </vt:variant>
      <vt:variant>
        <vt:i4>6684716</vt:i4>
      </vt:variant>
      <vt:variant>
        <vt:i4>5447</vt:i4>
      </vt:variant>
      <vt:variant>
        <vt:i4>0</vt:i4>
      </vt:variant>
      <vt:variant>
        <vt:i4>5</vt:i4>
      </vt:variant>
      <vt:variant>
        <vt:lpwstr/>
      </vt:variant>
      <vt:variant>
        <vt:lpwstr>Daniels2009</vt:lpwstr>
      </vt:variant>
      <vt:variant>
        <vt:i4>4587596</vt:i4>
      </vt:variant>
      <vt:variant>
        <vt:i4>5444</vt:i4>
      </vt:variant>
      <vt:variant>
        <vt:i4>0</vt:i4>
      </vt:variant>
      <vt:variant>
        <vt:i4>5</vt:i4>
      </vt:variant>
      <vt:variant>
        <vt:lpwstr>http://www.nucynta.com/nucynta/assets/Nucynta-PI.pdf</vt:lpwstr>
      </vt:variant>
      <vt:variant>
        <vt:lpwstr/>
      </vt:variant>
      <vt:variant>
        <vt:i4>786441</vt:i4>
      </vt:variant>
      <vt:variant>
        <vt:i4>5441</vt:i4>
      </vt:variant>
      <vt:variant>
        <vt:i4>0</vt:i4>
      </vt:variant>
      <vt:variant>
        <vt:i4>5</vt:i4>
      </vt:variant>
      <vt:variant>
        <vt:lpwstr>http://news.prnewswire.com/DisplayReleaseContent.aspx?ACCT=104&amp;STORY=/www/story/11-21-2008/0004930780&amp;EDATE=</vt:lpwstr>
      </vt:variant>
      <vt:variant>
        <vt:lpwstr/>
      </vt:variant>
      <vt:variant>
        <vt:i4>327767</vt:i4>
      </vt:variant>
      <vt:variant>
        <vt:i4>5438</vt:i4>
      </vt:variant>
      <vt:variant>
        <vt:i4>0</vt:i4>
      </vt:variant>
      <vt:variant>
        <vt:i4>5</vt:i4>
      </vt:variant>
      <vt:variant>
        <vt:lpwstr/>
      </vt:variant>
      <vt:variant>
        <vt:lpwstr>Lange2010</vt:lpwstr>
      </vt:variant>
      <vt:variant>
        <vt:i4>7340153</vt:i4>
      </vt:variant>
      <vt:variant>
        <vt:i4>5435</vt:i4>
      </vt:variant>
      <vt:variant>
        <vt:i4>0</vt:i4>
      </vt:variant>
      <vt:variant>
        <vt:i4>5</vt:i4>
      </vt:variant>
      <vt:variant>
        <vt:lpwstr/>
      </vt:variant>
      <vt:variant>
        <vt:lpwstr>Buynak2010</vt:lpwstr>
      </vt:variant>
      <vt:variant>
        <vt:i4>6619190</vt:i4>
      </vt:variant>
      <vt:variant>
        <vt:i4>5432</vt:i4>
      </vt:variant>
      <vt:variant>
        <vt:i4>0</vt:i4>
      </vt:variant>
      <vt:variant>
        <vt:i4>5</vt:i4>
      </vt:variant>
      <vt:variant>
        <vt:lpwstr/>
      </vt:variant>
      <vt:variant>
        <vt:lpwstr>Afilalo2010</vt:lpwstr>
      </vt:variant>
      <vt:variant>
        <vt:i4>6684793</vt:i4>
      </vt:variant>
      <vt:variant>
        <vt:i4>5429</vt:i4>
      </vt:variant>
      <vt:variant>
        <vt:i4>0</vt:i4>
      </vt:variant>
      <vt:variant>
        <vt:i4>5</vt:i4>
      </vt:variant>
      <vt:variant>
        <vt:lpwstr/>
      </vt:variant>
      <vt:variant>
        <vt:lpwstr>Pentazocine</vt:lpwstr>
      </vt:variant>
      <vt:variant>
        <vt:i4>262149</vt:i4>
      </vt:variant>
      <vt:variant>
        <vt:i4>5426</vt:i4>
      </vt:variant>
      <vt:variant>
        <vt:i4>0</vt:i4>
      </vt:variant>
      <vt:variant>
        <vt:i4>5</vt:i4>
      </vt:variant>
      <vt:variant>
        <vt:lpwstr/>
      </vt:variant>
      <vt:variant>
        <vt:lpwstr>Physicalmedicinetreatment</vt:lpwstr>
      </vt:variant>
      <vt:variant>
        <vt:i4>393242</vt:i4>
      </vt:variant>
      <vt:variant>
        <vt:i4>5423</vt:i4>
      </vt:variant>
      <vt:variant>
        <vt:i4>0</vt:i4>
      </vt:variant>
      <vt:variant>
        <vt:i4>5</vt:i4>
      </vt:variant>
      <vt:variant>
        <vt:lpwstr/>
      </vt:variant>
      <vt:variant>
        <vt:lpwstr>Wang2010</vt:lpwstr>
      </vt:variant>
      <vt:variant>
        <vt:i4>851972</vt:i4>
      </vt:variant>
      <vt:variant>
        <vt:i4>5420</vt:i4>
      </vt:variant>
      <vt:variant>
        <vt:i4>0</vt:i4>
      </vt:variant>
      <vt:variant>
        <vt:i4>5</vt:i4>
      </vt:variant>
      <vt:variant>
        <vt:lpwstr/>
      </vt:variant>
      <vt:variant>
        <vt:lpwstr>Hall</vt:lpwstr>
      </vt:variant>
      <vt:variant>
        <vt:i4>1638420</vt:i4>
      </vt:variant>
      <vt:variant>
        <vt:i4>5417</vt:i4>
      </vt:variant>
      <vt:variant>
        <vt:i4>0</vt:i4>
      </vt:variant>
      <vt:variant>
        <vt:i4>5</vt:i4>
      </vt:variant>
      <vt:variant>
        <vt:lpwstr/>
      </vt:variant>
      <vt:variant>
        <vt:lpwstr>Regionalsympatheticblocks</vt:lpwstr>
      </vt:variant>
      <vt:variant>
        <vt:i4>196611</vt:i4>
      </vt:variant>
      <vt:variant>
        <vt:i4>5414</vt:i4>
      </vt:variant>
      <vt:variant>
        <vt:i4>0</vt:i4>
      </vt:variant>
      <vt:variant>
        <vt:i4>5</vt:i4>
      </vt:variant>
      <vt:variant>
        <vt:lpwstr/>
      </vt:variant>
      <vt:variant>
        <vt:lpwstr>CRPSsympatheticandepiduralblocks</vt:lpwstr>
      </vt:variant>
      <vt:variant>
        <vt:i4>7012450</vt:i4>
      </vt:variant>
      <vt:variant>
        <vt:i4>5411</vt:i4>
      </vt:variant>
      <vt:variant>
        <vt:i4>0</vt:i4>
      </vt:variant>
      <vt:variant>
        <vt:i4>5</vt:i4>
      </vt:variant>
      <vt:variant>
        <vt:lpwstr/>
      </vt:variant>
      <vt:variant>
        <vt:lpwstr>CRPSmedications</vt:lpwstr>
      </vt:variant>
      <vt:variant>
        <vt:i4>6422628</vt:i4>
      </vt:variant>
      <vt:variant>
        <vt:i4>5408</vt:i4>
      </vt:variant>
      <vt:variant>
        <vt:i4>0</vt:i4>
      </vt:variant>
      <vt:variant>
        <vt:i4>5</vt:i4>
      </vt:variant>
      <vt:variant>
        <vt:lpwstr/>
      </vt:variant>
      <vt:variant>
        <vt:lpwstr>CRPSdiagnosticcriteria</vt:lpwstr>
      </vt:variant>
      <vt:variant>
        <vt:i4>851978</vt:i4>
      </vt:variant>
      <vt:variant>
        <vt:i4>5405</vt:i4>
      </vt:variant>
      <vt:variant>
        <vt:i4>0</vt:i4>
      </vt:variant>
      <vt:variant>
        <vt:i4>5</vt:i4>
      </vt:variant>
      <vt:variant>
        <vt:lpwstr/>
      </vt:variant>
      <vt:variant>
        <vt:lpwstr>StantonHicks3</vt:lpwstr>
      </vt:variant>
      <vt:variant>
        <vt:i4>7929973</vt:i4>
      </vt:variant>
      <vt:variant>
        <vt:i4>5402</vt:i4>
      </vt:variant>
      <vt:variant>
        <vt:i4>0</vt:i4>
      </vt:variant>
      <vt:variant>
        <vt:i4>5</vt:i4>
      </vt:variant>
      <vt:variant>
        <vt:lpwstr/>
      </vt:variant>
      <vt:variant>
        <vt:lpwstr>Ribbers</vt:lpwstr>
      </vt:variant>
      <vt:variant>
        <vt:i4>851978</vt:i4>
      </vt:variant>
      <vt:variant>
        <vt:i4>5399</vt:i4>
      </vt:variant>
      <vt:variant>
        <vt:i4>0</vt:i4>
      </vt:variant>
      <vt:variant>
        <vt:i4>5</vt:i4>
      </vt:variant>
      <vt:variant>
        <vt:lpwstr/>
      </vt:variant>
      <vt:variant>
        <vt:lpwstr>StantonHicks</vt:lpwstr>
      </vt:variant>
      <vt:variant>
        <vt:i4>1638416</vt:i4>
      </vt:variant>
      <vt:variant>
        <vt:i4>5396</vt:i4>
      </vt:variant>
      <vt:variant>
        <vt:i4>0</vt:i4>
      </vt:variant>
      <vt:variant>
        <vt:i4>5</vt:i4>
      </vt:variant>
      <vt:variant>
        <vt:lpwstr/>
      </vt:variant>
      <vt:variant>
        <vt:lpwstr>Sympatheticallymaintainedpain</vt:lpwstr>
      </vt:variant>
      <vt:variant>
        <vt:i4>1310740</vt:i4>
      </vt:variant>
      <vt:variant>
        <vt:i4>5393</vt:i4>
      </vt:variant>
      <vt:variant>
        <vt:i4>0</vt:i4>
      </vt:variant>
      <vt:variant>
        <vt:i4>5</vt:i4>
      </vt:variant>
      <vt:variant>
        <vt:lpwstr/>
      </vt:variant>
      <vt:variant>
        <vt:lpwstr>Interferentialcurrentstimulation</vt:lpwstr>
      </vt:variant>
      <vt:variant>
        <vt:i4>3735668</vt:i4>
      </vt:variant>
      <vt:variant>
        <vt:i4>5390</vt:i4>
      </vt:variant>
      <vt:variant>
        <vt:i4>0</vt:i4>
      </vt:variant>
      <vt:variant>
        <vt:i4>5</vt:i4>
      </vt:variant>
      <vt:variant>
        <vt:lpwstr/>
      </vt:variant>
      <vt:variant>
        <vt:lpwstr>Aetna2</vt:lpwstr>
      </vt:variant>
      <vt:variant>
        <vt:i4>6225928</vt:i4>
      </vt:variant>
      <vt:variant>
        <vt:i4>5387</vt:i4>
      </vt:variant>
      <vt:variant>
        <vt:i4>0</vt:i4>
      </vt:variant>
      <vt:variant>
        <vt:i4>5</vt:i4>
      </vt:variant>
      <vt:variant>
        <vt:lpwstr/>
      </vt:variant>
      <vt:variant>
        <vt:lpwstr>BlueCrossBlueShield6</vt:lpwstr>
      </vt:variant>
      <vt:variant>
        <vt:i4>6684788</vt:i4>
      </vt:variant>
      <vt:variant>
        <vt:i4>5384</vt:i4>
      </vt:variant>
      <vt:variant>
        <vt:i4>0</vt:i4>
      </vt:variant>
      <vt:variant>
        <vt:i4>5</vt:i4>
      </vt:variant>
      <vt:variant>
        <vt:lpwstr/>
      </vt:variant>
      <vt:variant>
        <vt:lpwstr>Washington2002April</vt:lpwstr>
      </vt:variant>
      <vt:variant>
        <vt:i4>4718627</vt:i4>
      </vt:variant>
      <vt:variant>
        <vt:i4>5381</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Werners</vt:lpwstr>
      </vt:variant>
      <vt:variant>
        <vt:i4>8</vt:i4>
      </vt:variant>
      <vt:variant>
        <vt:i4>5378</vt:i4>
      </vt:variant>
      <vt:variant>
        <vt:i4>0</vt:i4>
      </vt:variant>
      <vt:variant>
        <vt:i4>5</vt:i4>
      </vt:variant>
      <vt:variant>
        <vt:lpwstr/>
      </vt:variant>
      <vt:variant>
        <vt:lpwstr>CRPSsympathectomy</vt:lpwstr>
      </vt:variant>
      <vt:variant>
        <vt:i4>655371</vt:i4>
      </vt:variant>
      <vt:variant>
        <vt:i4>5375</vt:i4>
      </vt:variant>
      <vt:variant>
        <vt:i4>0</vt:i4>
      </vt:variant>
      <vt:variant>
        <vt:i4>5</vt:i4>
      </vt:variant>
      <vt:variant>
        <vt:lpwstr/>
      </vt:variant>
      <vt:variant>
        <vt:lpwstr>SpinalCordStimulators</vt:lpwstr>
      </vt:variant>
      <vt:variant>
        <vt:i4>6881390</vt:i4>
      </vt:variant>
      <vt:variant>
        <vt:i4>5372</vt:i4>
      </vt:variant>
      <vt:variant>
        <vt:i4>0</vt:i4>
      </vt:variant>
      <vt:variant>
        <vt:i4>5</vt:i4>
      </vt:variant>
      <vt:variant>
        <vt:lpwstr/>
      </vt:variant>
      <vt:variant>
        <vt:lpwstr>Implantabledrugdeliverysystems</vt:lpwstr>
      </vt:variant>
      <vt:variant>
        <vt:i4>720920</vt:i4>
      </vt:variant>
      <vt:variant>
        <vt:i4>5369</vt:i4>
      </vt:variant>
      <vt:variant>
        <vt:i4>0</vt:i4>
      </vt:variant>
      <vt:variant>
        <vt:i4>5</vt:i4>
      </vt:variant>
      <vt:variant>
        <vt:lpwstr/>
      </vt:variant>
      <vt:variant>
        <vt:lpwstr>CRPSspinalcordstimulators</vt:lpwstr>
      </vt:variant>
      <vt:variant>
        <vt:i4>8</vt:i4>
      </vt:variant>
      <vt:variant>
        <vt:i4>5366</vt:i4>
      </vt:variant>
      <vt:variant>
        <vt:i4>0</vt:i4>
      </vt:variant>
      <vt:variant>
        <vt:i4>5</vt:i4>
      </vt:variant>
      <vt:variant>
        <vt:lpwstr/>
      </vt:variant>
      <vt:variant>
        <vt:lpwstr>CRPSsympathectomy</vt:lpwstr>
      </vt:variant>
      <vt:variant>
        <vt:i4>6815846</vt:i4>
      </vt:variant>
      <vt:variant>
        <vt:i4>5363</vt:i4>
      </vt:variant>
      <vt:variant>
        <vt:i4>0</vt:i4>
      </vt:variant>
      <vt:variant>
        <vt:i4>5</vt:i4>
      </vt:variant>
      <vt:variant>
        <vt:lpwstr/>
      </vt:variant>
      <vt:variant>
        <vt:lpwstr>SulindacListing</vt:lpwstr>
      </vt:variant>
      <vt:variant>
        <vt:i4>1441796</vt:i4>
      </vt:variant>
      <vt:variant>
        <vt:i4>5360</vt:i4>
      </vt:variant>
      <vt:variant>
        <vt:i4>0</vt:i4>
      </vt:variant>
      <vt:variant>
        <vt:i4>5</vt:i4>
      </vt:variant>
      <vt:variant>
        <vt:lpwstr/>
      </vt:variant>
      <vt:variant>
        <vt:lpwstr>NSAIDsspecificdruglistadverseeffects</vt:lpwstr>
      </vt:variant>
      <vt:variant>
        <vt:i4>6750314</vt:i4>
      </vt:variant>
      <vt:variant>
        <vt:i4>5357</vt:i4>
      </vt:variant>
      <vt:variant>
        <vt:i4>0</vt:i4>
      </vt:variant>
      <vt:variant>
        <vt:i4>5</vt:i4>
      </vt:variant>
      <vt:variant>
        <vt:lpwstr/>
      </vt:variant>
      <vt:variant>
        <vt:lpwstr>NSAIDshypertensionandrenalfunction</vt:lpwstr>
      </vt:variant>
      <vt:variant>
        <vt:i4>6357091</vt:i4>
      </vt:variant>
      <vt:variant>
        <vt:i4>5354</vt:i4>
      </vt:variant>
      <vt:variant>
        <vt:i4>0</vt:i4>
      </vt:variant>
      <vt:variant>
        <vt:i4>5</vt:i4>
      </vt:variant>
      <vt:variant>
        <vt:lpwstr/>
      </vt:variant>
      <vt:variant>
        <vt:lpwstr>NSAIDsGIsymptomscardiovascularrisk</vt:lpwstr>
      </vt:variant>
      <vt:variant>
        <vt:i4>6881387</vt:i4>
      </vt:variant>
      <vt:variant>
        <vt:i4>5351</vt:i4>
      </vt:variant>
      <vt:variant>
        <vt:i4>0</vt:i4>
      </vt:variant>
      <vt:variant>
        <vt:i4>5</vt:i4>
      </vt:variant>
      <vt:variant>
        <vt:lpwstr/>
      </vt:variant>
      <vt:variant>
        <vt:lpwstr>NSAIDs</vt:lpwstr>
      </vt:variant>
      <vt:variant>
        <vt:i4>6684773</vt:i4>
      </vt:variant>
      <vt:variant>
        <vt:i4>5348</vt:i4>
      </vt:variant>
      <vt:variant>
        <vt:i4>0</vt:i4>
      </vt:variant>
      <vt:variant>
        <vt:i4>5</vt:i4>
      </vt:variant>
      <vt:variant>
        <vt:lpwstr/>
      </vt:variant>
      <vt:variant>
        <vt:lpwstr>CRPSdiagnostictests</vt:lpwstr>
      </vt:variant>
      <vt:variant>
        <vt:i4>1900545</vt:i4>
      </vt:variant>
      <vt:variant>
        <vt:i4>5345</vt:i4>
      </vt:variant>
      <vt:variant>
        <vt:i4>0</vt:i4>
      </vt:variant>
      <vt:variant>
        <vt:i4>5</vt:i4>
      </vt:variant>
      <vt:variant>
        <vt:lpwstr/>
      </vt:variant>
      <vt:variant>
        <vt:lpwstr>Buprenorphine</vt:lpwstr>
      </vt:variant>
      <vt:variant>
        <vt:i4>917522</vt:i4>
      </vt:variant>
      <vt:variant>
        <vt:i4>5342</vt:i4>
      </vt:variant>
      <vt:variant>
        <vt:i4>0</vt:i4>
      </vt:variant>
      <vt:variant>
        <vt:i4>5</vt:i4>
      </vt:variant>
      <vt:variant>
        <vt:lpwstr/>
      </vt:variant>
      <vt:variant>
        <vt:lpwstr>Thermography</vt:lpwstr>
      </vt:variant>
      <vt:variant>
        <vt:i4>1441820</vt:i4>
      </vt:variant>
      <vt:variant>
        <vt:i4>5339</vt:i4>
      </vt:variant>
      <vt:variant>
        <vt:i4>0</vt:i4>
      </vt:variant>
      <vt:variant>
        <vt:i4>5</vt:i4>
      </vt:variant>
      <vt:variant>
        <vt:lpwstr/>
      </vt:variant>
      <vt:variant>
        <vt:lpwstr>CRPSsympatheticblocks</vt:lpwstr>
      </vt:variant>
      <vt:variant>
        <vt:i4>983062</vt:i4>
      </vt:variant>
      <vt:variant>
        <vt:i4>5336</vt:i4>
      </vt:variant>
      <vt:variant>
        <vt:i4>0</vt:i4>
      </vt:variant>
      <vt:variant>
        <vt:i4>5</vt:i4>
      </vt:variant>
      <vt:variant>
        <vt:lpwstr/>
      </vt:variant>
      <vt:variant>
        <vt:lpwstr>ClinicalPharmacology</vt:lpwstr>
      </vt:variant>
      <vt:variant>
        <vt:i4>6881399</vt:i4>
      </vt:variant>
      <vt:variant>
        <vt:i4>5333</vt:i4>
      </vt:variant>
      <vt:variant>
        <vt:i4>0</vt:i4>
      </vt:variant>
      <vt:variant>
        <vt:i4>5</vt:i4>
      </vt:variant>
      <vt:variant>
        <vt:lpwstr/>
      </vt:variant>
      <vt:variant>
        <vt:lpwstr>SSRIListing</vt:lpwstr>
      </vt:variant>
      <vt:variant>
        <vt:i4>1376280</vt:i4>
      </vt:variant>
      <vt:variant>
        <vt:i4>5330</vt:i4>
      </vt:variant>
      <vt:variant>
        <vt:i4>0</vt:i4>
      </vt:variant>
      <vt:variant>
        <vt:i4>5</vt:i4>
      </vt:variant>
      <vt:variant>
        <vt:lpwstr/>
      </vt:variant>
      <vt:variant>
        <vt:lpwstr>Antidepressantsforchronicpain</vt:lpwstr>
      </vt:variant>
      <vt:variant>
        <vt:i4>6750317</vt:i4>
      </vt:variant>
      <vt:variant>
        <vt:i4>5327</vt:i4>
      </vt:variant>
      <vt:variant>
        <vt:i4>0</vt:i4>
      </vt:variant>
      <vt:variant>
        <vt:i4>5</vt:i4>
      </vt:variant>
      <vt:variant>
        <vt:lpwstr>http://www.fda.gov/downloads/Drugs/InformationOnDrugs/UCM216279.pdf</vt:lpwstr>
      </vt:variant>
      <vt:variant>
        <vt:lpwstr/>
      </vt:variant>
      <vt:variant>
        <vt:i4>262145</vt:i4>
      </vt:variant>
      <vt:variant>
        <vt:i4>5324</vt:i4>
      </vt:variant>
      <vt:variant>
        <vt:i4>0</vt:i4>
      </vt:variant>
      <vt:variant>
        <vt:i4>5</vt:i4>
      </vt:variant>
      <vt:variant>
        <vt:lpwstr/>
      </vt:variant>
      <vt:variant>
        <vt:lpwstr>Ketorolac</vt:lpwstr>
      </vt:variant>
      <vt:variant>
        <vt:i4>6422634</vt:i4>
      </vt:variant>
      <vt:variant>
        <vt:i4>5321</vt:i4>
      </vt:variant>
      <vt:variant>
        <vt:i4>0</vt:i4>
      </vt:variant>
      <vt:variant>
        <vt:i4>5</vt:i4>
      </vt:variant>
      <vt:variant>
        <vt:lpwstr/>
      </vt:variant>
      <vt:variant>
        <vt:lpwstr>PsychologicalevaluationsSCS</vt:lpwstr>
      </vt:variant>
      <vt:variant>
        <vt:i4>6684712</vt:i4>
      </vt:variant>
      <vt:variant>
        <vt:i4>5318</vt:i4>
      </vt:variant>
      <vt:variant>
        <vt:i4>0</vt:i4>
      </vt:variant>
      <vt:variant>
        <vt:i4>5</vt:i4>
      </vt:variant>
      <vt:variant>
        <vt:lpwstr>http://www.odg-twc.com/odgtwc/pain.htm</vt:lpwstr>
      </vt:variant>
      <vt:variant>
        <vt:lpwstr>Hospitallengthofstay</vt:lpwstr>
      </vt:variant>
      <vt:variant>
        <vt:i4>3014694</vt:i4>
      </vt:variant>
      <vt:variant>
        <vt:i4>5315</vt:i4>
      </vt:variant>
      <vt:variant>
        <vt:i4>0</vt:i4>
      </vt:variant>
      <vt:variant>
        <vt:i4>5</vt:i4>
      </vt:variant>
      <vt:variant>
        <vt:lpwstr>http://professional.medtronic.com/products/restoreadvanced-spinal-cord-neurostimulator/</vt:lpwstr>
      </vt:variant>
      <vt:variant>
        <vt:lpwstr/>
      </vt:variant>
      <vt:variant>
        <vt:i4>655386</vt:i4>
      </vt:variant>
      <vt:variant>
        <vt:i4>5312</vt:i4>
      </vt:variant>
      <vt:variant>
        <vt:i4>0</vt:i4>
      </vt:variant>
      <vt:variant>
        <vt:i4>5</vt:i4>
      </vt:variant>
      <vt:variant>
        <vt:lpwstr/>
      </vt:variant>
      <vt:variant>
        <vt:lpwstr>Harke</vt:lpwstr>
      </vt:variant>
      <vt:variant>
        <vt:i4>8061027</vt:i4>
      </vt:variant>
      <vt:variant>
        <vt:i4>5309</vt:i4>
      </vt:variant>
      <vt:variant>
        <vt:i4>0</vt:i4>
      </vt:variant>
      <vt:variant>
        <vt:i4>5</vt:i4>
      </vt:variant>
      <vt:variant>
        <vt:lpwstr/>
      </vt:variant>
      <vt:variant>
        <vt:lpwstr>Kemler7</vt:lpwstr>
      </vt:variant>
      <vt:variant>
        <vt:i4>8061027</vt:i4>
      </vt:variant>
      <vt:variant>
        <vt:i4>5306</vt:i4>
      </vt:variant>
      <vt:variant>
        <vt:i4>0</vt:i4>
      </vt:variant>
      <vt:variant>
        <vt:i4>5</vt:i4>
      </vt:variant>
      <vt:variant>
        <vt:lpwstr/>
      </vt:variant>
      <vt:variant>
        <vt:lpwstr>Kemler4</vt:lpwstr>
      </vt:variant>
      <vt:variant>
        <vt:i4>8061027</vt:i4>
      </vt:variant>
      <vt:variant>
        <vt:i4>5303</vt:i4>
      </vt:variant>
      <vt:variant>
        <vt:i4>0</vt:i4>
      </vt:variant>
      <vt:variant>
        <vt:i4>5</vt:i4>
      </vt:variant>
      <vt:variant>
        <vt:lpwstr/>
      </vt:variant>
      <vt:variant>
        <vt:lpwstr>Kemler6</vt:lpwstr>
      </vt:variant>
      <vt:variant>
        <vt:i4>8323170</vt:i4>
      </vt:variant>
      <vt:variant>
        <vt:i4>5300</vt:i4>
      </vt:variant>
      <vt:variant>
        <vt:i4>0</vt:i4>
      </vt:variant>
      <vt:variant>
        <vt:i4>5</vt:i4>
      </vt:variant>
      <vt:variant>
        <vt:lpwstr/>
      </vt:variant>
      <vt:variant>
        <vt:lpwstr>Taylor2</vt:lpwstr>
      </vt:variant>
      <vt:variant>
        <vt:i4>7798901</vt:i4>
      </vt:variant>
      <vt:variant>
        <vt:i4>5297</vt:i4>
      </vt:variant>
      <vt:variant>
        <vt:i4>0</vt:i4>
      </vt:variant>
      <vt:variant>
        <vt:i4>5</vt:i4>
      </vt:variant>
      <vt:variant>
        <vt:lpwstr/>
      </vt:variant>
      <vt:variant>
        <vt:lpwstr>Furlan</vt:lpwstr>
      </vt:variant>
      <vt:variant>
        <vt:i4>589853</vt:i4>
      </vt:variant>
      <vt:variant>
        <vt:i4>5294</vt:i4>
      </vt:variant>
      <vt:variant>
        <vt:i4>0</vt:i4>
      </vt:variant>
      <vt:variant>
        <vt:i4>5</vt:i4>
      </vt:variant>
      <vt:variant>
        <vt:lpwstr/>
      </vt:variant>
      <vt:variant>
        <vt:lpwstr>Sundaraj</vt:lpwstr>
      </vt:variant>
      <vt:variant>
        <vt:i4>2687069</vt:i4>
      </vt:variant>
      <vt:variant>
        <vt:i4>5291</vt:i4>
      </vt:variant>
      <vt:variant>
        <vt:i4>0</vt:i4>
      </vt:variant>
      <vt:variant>
        <vt:i4>5</vt:i4>
      </vt:variant>
      <vt:variant>
        <vt:lpwstr>http://www.odg-twc.com/odgtwc/pain.htm</vt:lpwstr>
      </vt:variant>
      <vt:variant>
        <vt:lpwstr>SCS_References</vt:lpwstr>
      </vt:variant>
      <vt:variant>
        <vt:i4>5242888</vt:i4>
      </vt:variant>
      <vt:variant>
        <vt:i4>5288</vt:i4>
      </vt:variant>
      <vt:variant>
        <vt:i4>0</vt:i4>
      </vt:variant>
      <vt:variant>
        <vt:i4>5</vt:i4>
      </vt:variant>
      <vt:variant>
        <vt:lpwstr/>
      </vt:variant>
      <vt:variant>
        <vt:lpwstr>BlueCrossBlueShield97</vt:lpwstr>
      </vt:variant>
      <vt:variant>
        <vt:i4>2031618</vt:i4>
      </vt:variant>
      <vt:variant>
        <vt:i4>5285</vt:i4>
      </vt:variant>
      <vt:variant>
        <vt:i4>0</vt:i4>
      </vt:variant>
      <vt:variant>
        <vt:i4>5</vt:i4>
      </vt:variant>
      <vt:variant>
        <vt:lpwstr/>
      </vt:variant>
      <vt:variant>
        <vt:lpwstr>MailisGagnon</vt:lpwstr>
      </vt:variant>
      <vt:variant>
        <vt:i4>7077938</vt:i4>
      </vt:variant>
      <vt:variant>
        <vt:i4>5282</vt:i4>
      </vt:variant>
      <vt:variant>
        <vt:i4>0</vt:i4>
      </vt:variant>
      <vt:variant>
        <vt:i4>5</vt:i4>
      </vt:variant>
      <vt:variant>
        <vt:lpwstr>http://dailymed.nlm.nih.gov/dailymed/lookup.cfm?setid=478c8d2a-4274-4458-b3b9-1f0b1a6a372d</vt:lpwstr>
      </vt:variant>
      <vt:variant>
        <vt:lpwstr/>
      </vt:variant>
      <vt:variant>
        <vt:i4>1900562</vt:i4>
      </vt:variant>
      <vt:variant>
        <vt:i4>5279</vt:i4>
      </vt:variant>
      <vt:variant>
        <vt:i4>0</vt:i4>
      </vt:variant>
      <vt:variant>
        <vt:i4>5</vt:i4>
      </vt:variant>
      <vt:variant>
        <vt:lpwstr/>
      </vt:variant>
      <vt:variant>
        <vt:lpwstr>Carisoprodol</vt:lpwstr>
      </vt:variant>
      <vt:variant>
        <vt:i4>5046351</vt:i4>
      </vt:variant>
      <vt:variant>
        <vt:i4>5276</vt:i4>
      </vt:variant>
      <vt:variant>
        <vt:i4>0</vt:i4>
      </vt:variant>
      <vt:variant>
        <vt:i4>5</vt:i4>
      </vt:variant>
      <vt:variant>
        <vt:lpwstr>http://www.fda.gov/downloads/AdvisoryCommittees/CommitteesMeetingMaterials/Drugs/ArthritisAdvisoryCommittee/UCM222887.pdf</vt:lpwstr>
      </vt:variant>
      <vt:variant>
        <vt:lpwstr/>
      </vt:variant>
      <vt:variant>
        <vt:i4>7536746</vt:i4>
      </vt:variant>
      <vt:variant>
        <vt:i4>5273</vt:i4>
      </vt:variant>
      <vt:variant>
        <vt:i4>0</vt:i4>
      </vt:variant>
      <vt:variant>
        <vt:i4>5</vt:i4>
      </vt:variant>
      <vt:variant>
        <vt:lpwstr/>
      </vt:variant>
      <vt:variant>
        <vt:lpwstr>Duloxetine</vt:lpwstr>
      </vt:variant>
      <vt:variant>
        <vt:i4>7929969</vt:i4>
      </vt:variant>
      <vt:variant>
        <vt:i4>5270</vt:i4>
      </vt:variant>
      <vt:variant>
        <vt:i4>0</vt:i4>
      </vt:variant>
      <vt:variant>
        <vt:i4>5</vt:i4>
      </vt:variant>
      <vt:variant>
        <vt:lpwstr/>
      </vt:variant>
      <vt:variant>
        <vt:lpwstr>Venlafaxine</vt:lpwstr>
      </vt:variant>
      <vt:variant>
        <vt:i4>1441793</vt:i4>
      </vt:variant>
      <vt:variant>
        <vt:i4>5267</vt:i4>
      </vt:variant>
      <vt:variant>
        <vt:i4>0</vt:i4>
      </vt:variant>
      <vt:variant>
        <vt:i4>5</vt:i4>
      </vt:variant>
      <vt:variant>
        <vt:lpwstr/>
      </vt:variant>
      <vt:variant>
        <vt:lpwstr>SNRIsListing</vt:lpwstr>
      </vt:variant>
      <vt:variant>
        <vt:i4>1376280</vt:i4>
      </vt:variant>
      <vt:variant>
        <vt:i4>5264</vt:i4>
      </vt:variant>
      <vt:variant>
        <vt:i4>0</vt:i4>
      </vt:variant>
      <vt:variant>
        <vt:i4>5</vt:i4>
      </vt:variant>
      <vt:variant>
        <vt:lpwstr/>
      </vt:variant>
      <vt:variant>
        <vt:lpwstr>Antidepressantsforchronicpain</vt:lpwstr>
      </vt:variant>
      <vt:variant>
        <vt:i4>1966110</vt:i4>
      </vt:variant>
      <vt:variant>
        <vt:i4>5261</vt:i4>
      </vt:variant>
      <vt:variant>
        <vt:i4>0</vt:i4>
      </vt:variant>
      <vt:variant>
        <vt:i4>5</vt:i4>
      </vt:variant>
      <vt:variant>
        <vt:lpwstr/>
      </vt:variant>
      <vt:variant>
        <vt:lpwstr>Insomniatreatment</vt:lpwstr>
      </vt:variant>
      <vt:variant>
        <vt:i4>7929967</vt:i4>
      </vt:variant>
      <vt:variant>
        <vt:i4>5258</vt:i4>
      </vt:variant>
      <vt:variant>
        <vt:i4>0</vt:i4>
      </vt:variant>
      <vt:variant>
        <vt:i4>5</vt:i4>
      </vt:variant>
      <vt:variant>
        <vt:lpwstr/>
      </vt:variant>
      <vt:variant>
        <vt:lpwstr>Polysomnography</vt:lpwstr>
      </vt:variant>
      <vt:variant>
        <vt:i4>7274595</vt:i4>
      </vt:variant>
      <vt:variant>
        <vt:i4>5255</vt:i4>
      </vt:variant>
      <vt:variant>
        <vt:i4>0</vt:i4>
      </vt:variant>
      <vt:variant>
        <vt:i4>5</vt:i4>
      </vt:variant>
      <vt:variant>
        <vt:lpwstr/>
      </vt:variant>
      <vt:variant>
        <vt:lpwstr>Metaxalone</vt:lpwstr>
      </vt:variant>
      <vt:variant>
        <vt:i4>1703937</vt:i4>
      </vt:variant>
      <vt:variant>
        <vt:i4>5252</vt:i4>
      </vt:variant>
      <vt:variant>
        <vt:i4>0</vt:i4>
      </vt:variant>
      <vt:variant>
        <vt:i4>5</vt:i4>
      </vt:variant>
      <vt:variant>
        <vt:lpwstr/>
      </vt:variant>
      <vt:variant>
        <vt:lpwstr>SSRIs</vt:lpwstr>
      </vt:variant>
      <vt:variant>
        <vt:i4>1441793</vt:i4>
      </vt:variant>
      <vt:variant>
        <vt:i4>5249</vt:i4>
      </vt:variant>
      <vt:variant>
        <vt:i4>0</vt:i4>
      </vt:variant>
      <vt:variant>
        <vt:i4>5</vt:i4>
      </vt:variant>
      <vt:variant>
        <vt:lpwstr/>
      </vt:variant>
      <vt:variant>
        <vt:lpwstr>SNRIsListing</vt:lpwstr>
      </vt:variant>
      <vt:variant>
        <vt:i4>1376280</vt:i4>
      </vt:variant>
      <vt:variant>
        <vt:i4>5246</vt:i4>
      </vt:variant>
      <vt:variant>
        <vt:i4>0</vt:i4>
      </vt:variant>
      <vt:variant>
        <vt:i4>5</vt:i4>
      </vt:variant>
      <vt:variant>
        <vt:lpwstr/>
      </vt:variant>
      <vt:variant>
        <vt:lpwstr>Antidepressantsforchronicpain</vt:lpwstr>
      </vt:variant>
      <vt:variant>
        <vt:i4>7667835</vt:i4>
      </vt:variant>
      <vt:variant>
        <vt:i4>5243</vt:i4>
      </vt:variant>
      <vt:variant>
        <vt:i4>0</vt:i4>
      </vt:variant>
      <vt:variant>
        <vt:i4>5</vt:i4>
      </vt:variant>
      <vt:variant>
        <vt:lpwstr/>
      </vt:variant>
      <vt:variant>
        <vt:lpwstr>Milnacipran</vt:lpwstr>
      </vt:variant>
      <vt:variant>
        <vt:i4>7536746</vt:i4>
      </vt:variant>
      <vt:variant>
        <vt:i4>5240</vt:i4>
      </vt:variant>
      <vt:variant>
        <vt:i4>0</vt:i4>
      </vt:variant>
      <vt:variant>
        <vt:i4>5</vt:i4>
      </vt:variant>
      <vt:variant>
        <vt:lpwstr/>
      </vt:variant>
      <vt:variant>
        <vt:lpwstr>Duloxetine</vt:lpwstr>
      </vt:variant>
      <vt:variant>
        <vt:i4>6553705</vt:i4>
      </vt:variant>
      <vt:variant>
        <vt:i4>5237</vt:i4>
      </vt:variant>
      <vt:variant>
        <vt:i4>0</vt:i4>
      </vt:variant>
      <vt:variant>
        <vt:i4>5</vt:i4>
      </vt:variant>
      <vt:variant>
        <vt:lpwstr/>
      </vt:variant>
      <vt:variant>
        <vt:lpwstr>Medicalfood</vt:lpwstr>
      </vt:variant>
      <vt:variant>
        <vt:i4>7012472</vt:i4>
      </vt:variant>
      <vt:variant>
        <vt:i4>5234</vt:i4>
      </vt:variant>
      <vt:variant>
        <vt:i4>0</vt:i4>
      </vt:variant>
      <vt:variant>
        <vt:i4>5</vt:i4>
      </vt:variant>
      <vt:variant>
        <vt:lpwstr/>
      </vt:variant>
      <vt:variant>
        <vt:lpwstr>Currentperceptionthreshold</vt:lpwstr>
      </vt:variant>
      <vt:variant>
        <vt:i4>1966110</vt:i4>
      </vt:variant>
      <vt:variant>
        <vt:i4>5231</vt:i4>
      </vt:variant>
      <vt:variant>
        <vt:i4>0</vt:i4>
      </vt:variant>
      <vt:variant>
        <vt:i4>5</vt:i4>
      </vt:variant>
      <vt:variant>
        <vt:lpwstr/>
      </vt:variant>
      <vt:variant>
        <vt:lpwstr>Insomniatreatment</vt:lpwstr>
      </vt:variant>
      <vt:variant>
        <vt:i4>1769499</vt:i4>
      </vt:variant>
      <vt:variant>
        <vt:i4>5228</vt:i4>
      </vt:variant>
      <vt:variant>
        <vt:i4>0</vt:i4>
      </vt:variant>
      <vt:variant>
        <vt:i4>5</vt:i4>
      </vt:variant>
      <vt:variant>
        <vt:lpwstr/>
      </vt:variant>
      <vt:variant>
        <vt:lpwstr>Workconditioningworkhardening</vt:lpwstr>
      </vt:variant>
      <vt:variant>
        <vt:i4>589896</vt:i4>
      </vt:variant>
      <vt:variant>
        <vt:i4>5225</vt:i4>
      </vt:variant>
      <vt:variant>
        <vt:i4>0</vt:i4>
      </vt:variant>
      <vt:variant>
        <vt:i4>5</vt:i4>
      </vt:variant>
      <vt:variant>
        <vt:lpwstr/>
      </vt:variant>
      <vt:variant>
        <vt:lpwstr>Ricci2012</vt:lpwstr>
      </vt:variant>
      <vt:variant>
        <vt:i4>7209006</vt:i4>
      </vt:variant>
      <vt:variant>
        <vt:i4>5222</vt:i4>
      </vt:variant>
      <vt:variant>
        <vt:i4>0</vt:i4>
      </vt:variant>
      <vt:variant>
        <vt:i4>5</vt:i4>
      </vt:variant>
      <vt:variant>
        <vt:lpwstr/>
      </vt:variant>
      <vt:variant>
        <vt:lpwstr>Marineo2012</vt:lpwstr>
      </vt:variant>
      <vt:variant>
        <vt:i4>1507354</vt:i4>
      </vt:variant>
      <vt:variant>
        <vt:i4>5219</vt:i4>
      </vt:variant>
      <vt:variant>
        <vt:i4>0</vt:i4>
      </vt:variant>
      <vt:variant>
        <vt:i4>5</vt:i4>
      </vt:variant>
      <vt:variant>
        <vt:lpwstr/>
      </vt:variant>
      <vt:variant>
        <vt:lpwstr>Prolotherapy</vt:lpwstr>
      </vt:variant>
      <vt:variant>
        <vt:i4>917529</vt:i4>
      </vt:variant>
      <vt:variant>
        <vt:i4>5216</vt:i4>
      </vt:variant>
      <vt:variant>
        <vt:i4>0</vt:i4>
      </vt:variant>
      <vt:variant>
        <vt:i4>5</vt:i4>
      </vt:variant>
      <vt:variant>
        <vt:lpwstr/>
      </vt:variant>
      <vt:variant>
        <vt:lpwstr>Colorado</vt:lpwstr>
      </vt:variant>
      <vt:variant>
        <vt:i4>7667835</vt:i4>
      </vt:variant>
      <vt:variant>
        <vt:i4>5213</vt:i4>
      </vt:variant>
      <vt:variant>
        <vt:i4>0</vt:i4>
      </vt:variant>
      <vt:variant>
        <vt:i4>5</vt:i4>
      </vt:variant>
      <vt:variant>
        <vt:lpwstr/>
      </vt:variant>
      <vt:variant>
        <vt:lpwstr>Milnacipran</vt:lpwstr>
      </vt:variant>
      <vt:variant>
        <vt:i4>7995512</vt:i4>
      </vt:variant>
      <vt:variant>
        <vt:i4>5210</vt:i4>
      </vt:variant>
      <vt:variant>
        <vt:i4>0</vt:i4>
      </vt:variant>
      <vt:variant>
        <vt:i4>5</vt:i4>
      </vt:variant>
      <vt:variant>
        <vt:lpwstr/>
      </vt:variant>
      <vt:variant>
        <vt:lpwstr>Topicalanalgesicscompounded</vt:lpwstr>
      </vt:variant>
      <vt:variant>
        <vt:i4>1048581</vt:i4>
      </vt:variant>
      <vt:variant>
        <vt:i4>5207</vt:i4>
      </vt:variant>
      <vt:variant>
        <vt:i4>0</vt:i4>
      </vt:variant>
      <vt:variant>
        <vt:i4>5</vt:i4>
      </vt:variant>
      <vt:variant>
        <vt:lpwstr/>
      </vt:variant>
      <vt:variant>
        <vt:lpwstr>Topicalanalgesics</vt:lpwstr>
      </vt:variant>
      <vt:variant>
        <vt:i4>458825</vt:i4>
      </vt:variant>
      <vt:variant>
        <vt:i4>5204</vt:i4>
      </vt:variant>
      <vt:variant>
        <vt:i4>0</vt:i4>
      </vt:variant>
      <vt:variant>
        <vt:i4>5</vt:i4>
      </vt:variant>
      <vt:variant>
        <vt:lpwstr>http://www.fda.gov/Drugs/DrugSafety/ucm318858.htm</vt:lpwstr>
      </vt:variant>
      <vt:variant>
        <vt:lpwstr/>
      </vt:variant>
      <vt:variant>
        <vt:i4>7274612</vt:i4>
      </vt:variant>
      <vt:variant>
        <vt:i4>5201</vt:i4>
      </vt:variant>
      <vt:variant>
        <vt:i4>0</vt:i4>
      </vt:variant>
      <vt:variant>
        <vt:i4>5</vt:i4>
      </vt:variant>
      <vt:variant>
        <vt:lpwstr/>
      </vt:variant>
      <vt:variant>
        <vt:lpwstr>Altman2</vt:lpwstr>
      </vt:variant>
      <vt:variant>
        <vt:i4>196614</vt:i4>
      </vt:variant>
      <vt:variant>
        <vt:i4>5198</vt:i4>
      </vt:variant>
      <vt:variant>
        <vt:i4>0</vt:i4>
      </vt:variant>
      <vt:variant>
        <vt:i4>5</vt:i4>
      </vt:variant>
      <vt:variant>
        <vt:lpwstr/>
      </vt:variant>
      <vt:variant>
        <vt:lpwstr>Matthews</vt:lpwstr>
      </vt:variant>
      <vt:variant>
        <vt:i4>917534</vt:i4>
      </vt:variant>
      <vt:variant>
        <vt:i4>5195</vt:i4>
      </vt:variant>
      <vt:variant>
        <vt:i4>0</vt:i4>
      </vt:variant>
      <vt:variant>
        <vt:i4>5</vt:i4>
      </vt:variant>
      <vt:variant>
        <vt:lpwstr/>
      </vt:variant>
      <vt:variant>
        <vt:lpwstr>Mason</vt:lpwstr>
      </vt:variant>
      <vt:variant>
        <vt:i4>6619236</vt:i4>
      </vt:variant>
      <vt:variant>
        <vt:i4>5192</vt:i4>
      </vt:variant>
      <vt:variant>
        <vt:i4>0</vt:i4>
      </vt:variant>
      <vt:variant>
        <vt:i4>5</vt:i4>
      </vt:variant>
      <vt:variant>
        <vt:lpwstr/>
      </vt:variant>
      <vt:variant>
        <vt:lpwstr>ConZip</vt:lpwstr>
      </vt:variant>
      <vt:variant>
        <vt:i4>2162787</vt:i4>
      </vt:variant>
      <vt:variant>
        <vt:i4>5189</vt:i4>
      </vt:variant>
      <vt:variant>
        <vt:i4>0</vt:i4>
      </vt:variant>
      <vt:variant>
        <vt:i4>5</vt:i4>
      </vt:variant>
      <vt:variant>
        <vt:lpwstr>http://www.fda.gov/downloads/Drugs/DrugSafety/PostmarketDrugSafetyInformationforPatientsandProviders/UCM170868.pdf</vt:lpwstr>
      </vt:variant>
      <vt:variant>
        <vt:lpwstr/>
      </vt:variant>
      <vt:variant>
        <vt:i4>7733333</vt:i4>
      </vt:variant>
      <vt:variant>
        <vt:i4>5186</vt:i4>
      </vt:variant>
      <vt:variant>
        <vt:i4>0</vt:i4>
      </vt:variant>
      <vt:variant>
        <vt:i4>5</vt:i4>
      </vt:variant>
      <vt:variant>
        <vt:lpwstr>http://www.accessdata.fda.gov/drugsatfda_docs/label/2008/021745s000lbl.pdf</vt:lpwstr>
      </vt:variant>
      <vt:variant>
        <vt:lpwstr/>
      </vt:variant>
      <vt:variant>
        <vt:i4>18</vt:i4>
      </vt:variant>
      <vt:variant>
        <vt:i4>5183</vt:i4>
      </vt:variant>
      <vt:variant>
        <vt:i4>0</vt:i4>
      </vt:variant>
      <vt:variant>
        <vt:i4>5</vt:i4>
      </vt:variant>
      <vt:variant>
        <vt:lpwstr>http://www.fda.gov/cder/foi/appletter/2008/021745s000ltr.pdf</vt:lpwstr>
      </vt:variant>
      <vt:variant>
        <vt:lpwstr/>
      </vt:variant>
      <vt:variant>
        <vt:i4>1507355</vt:i4>
      </vt:variant>
      <vt:variant>
        <vt:i4>5180</vt:i4>
      </vt:variant>
      <vt:variant>
        <vt:i4>0</vt:i4>
      </vt:variant>
      <vt:variant>
        <vt:i4>5</vt:i4>
      </vt:variant>
      <vt:variant>
        <vt:lpwstr/>
      </vt:variant>
      <vt:variant>
        <vt:lpwstr>Tramadol</vt:lpwstr>
      </vt:variant>
      <vt:variant>
        <vt:i4>458752</vt:i4>
      </vt:variant>
      <vt:variant>
        <vt:i4>5177</vt:i4>
      </vt:variant>
      <vt:variant>
        <vt:i4>0</vt:i4>
      </vt:variant>
      <vt:variant>
        <vt:i4>5</vt:i4>
      </vt:variant>
      <vt:variant>
        <vt:lpwstr>http://www.fda.gov/Drugs/DevelopmentApprovalProcess/HowDrugsareDevelopedandApproved/DrugandBiologicApprovalReports/ANDAGenericDrugApprovals/ucm286733.htm</vt:lpwstr>
      </vt:variant>
      <vt:variant>
        <vt:lpwstr/>
      </vt:variant>
      <vt:variant>
        <vt:i4>6422628</vt:i4>
      </vt:variant>
      <vt:variant>
        <vt:i4>5174</vt:i4>
      </vt:variant>
      <vt:variant>
        <vt:i4>0</vt:i4>
      </vt:variant>
      <vt:variant>
        <vt:i4>5</vt:i4>
      </vt:variant>
      <vt:variant>
        <vt:lpwstr/>
      </vt:variant>
      <vt:variant>
        <vt:lpwstr>CRPSdiagnosticcriteria</vt:lpwstr>
      </vt:variant>
      <vt:variant>
        <vt:i4>1310740</vt:i4>
      </vt:variant>
      <vt:variant>
        <vt:i4>5171</vt:i4>
      </vt:variant>
      <vt:variant>
        <vt:i4>0</vt:i4>
      </vt:variant>
      <vt:variant>
        <vt:i4>5</vt:i4>
      </vt:variant>
      <vt:variant>
        <vt:lpwstr/>
      </vt:variant>
      <vt:variant>
        <vt:lpwstr>Interferentialcurrentstimulation</vt:lpwstr>
      </vt:variant>
      <vt:variant>
        <vt:i4>8323189</vt:i4>
      </vt:variant>
      <vt:variant>
        <vt:i4>5168</vt:i4>
      </vt:variant>
      <vt:variant>
        <vt:i4>0</vt:i4>
      </vt:variant>
      <vt:variant>
        <vt:i4>5</vt:i4>
      </vt:variant>
      <vt:variant>
        <vt:lpwstr/>
      </vt:variant>
      <vt:variant>
        <vt:lpwstr>Glucosamine</vt:lpwstr>
      </vt:variant>
      <vt:variant>
        <vt:i4>7274610</vt:i4>
      </vt:variant>
      <vt:variant>
        <vt:i4>5165</vt:i4>
      </vt:variant>
      <vt:variant>
        <vt:i4>0</vt:i4>
      </vt:variant>
      <vt:variant>
        <vt:i4>5</vt:i4>
      </vt:variant>
      <vt:variant>
        <vt:lpwstr/>
      </vt:variant>
      <vt:variant>
        <vt:lpwstr>Naring</vt:lpwstr>
      </vt:variant>
      <vt:variant>
        <vt:i4>7012468</vt:i4>
      </vt:variant>
      <vt:variant>
        <vt:i4>5162</vt:i4>
      </vt:variant>
      <vt:variant>
        <vt:i4>0</vt:i4>
      </vt:variant>
      <vt:variant>
        <vt:i4>5</vt:i4>
      </vt:variant>
      <vt:variant>
        <vt:lpwstr/>
      </vt:variant>
      <vt:variant>
        <vt:lpwstr>Mantyselka</vt:lpwstr>
      </vt:variant>
      <vt:variant>
        <vt:i4>4390915</vt:i4>
      </vt:variant>
      <vt:variant>
        <vt:i4>5159</vt:i4>
      </vt:variant>
      <vt:variant>
        <vt:i4>0</vt:i4>
      </vt:variant>
      <vt:variant>
        <vt:i4>5</vt:i4>
      </vt:variant>
      <vt:variant>
        <vt:lpwstr/>
      </vt:variant>
      <vt:variant>
        <vt:lpwstr>Stewart2</vt:lpwstr>
      </vt:variant>
      <vt:variant>
        <vt:i4>8323182</vt:i4>
      </vt:variant>
      <vt:variant>
        <vt:i4>5156</vt:i4>
      </vt:variant>
      <vt:variant>
        <vt:i4>0</vt:i4>
      </vt:variant>
      <vt:variant>
        <vt:i4>5</vt:i4>
      </vt:variant>
      <vt:variant>
        <vt:lpwstr/>
      </vt:variant>
      <vt:variant>
        <vt:lpwstr>Melhorn</vt:lpwstr>
      </vt:variant>
      <vt:variant>
        <vt:i4>917529</vt:i4>
      </vt:variant>
      <vt:variant>
        <vt:i4>5153</vt:i4>
      </vt:variant>
      <vt:variant>
        <vt:i4>0</vt:i4>
      </vt:variant>
      <vt:variant>
        <vt:i4>5</vt:i4>
      </vt:variant>
      <vt:variant>
        <vt:lpwstr/>
      </vt:variant>
      <vt:variant>
        <vt:lpwstr>Colorado2</vt:lpwstr>
      </vt:variant>
      <vt:variant>
        <vt:i4>7012476</vt:i4>
      </vt:variant>
      <vt:variant>
        <vt:i4>5150</vt:i4>
      </vt:variant>
      <vt:variant>
        <vt:i4>0</vt:i4>
      </vt:variant>
      <vt:variant>
        <vt:i4>5</vt:i4>
      </vt:variant>
      <vt:variant>
        <vt:lpwstr/>
      </vt:variant>
      <vt:variant>
        <vt:lpwstr>Boseman</vt:lpwstr>
      </vt:variant>
      <vt:variant>
        <vt:i4>65562</vt:i4>
      </vt:variant>
      <vt:variant>
        <vt:i4>5147</vt:i4>
      </vt:variant>
      <vt:variant>
        <vt:i4>0</vt:i4>
      </vt:variant>
      <vt:variant>
        <vt:i4>5</vt:i4>
      </vt:variant>
      <vt:variant>
        <vt:lpwstr/>
      </vt:variant>
      <vt:variant>
        <vt:lpwstr>Bernacki1</vt:lpwstr>
      </vt:variant>
      <vt:variant>
        <vt:i4>6881380</vt:i4>
      </vt:variant>
      <vt:variant>
        <vt:i4>5144</vt:i4>
      </vt:variant>
      <vt:variant>
        <vt:i4>0</vt:i4>
      </vt:variant>
      <vt:variant>
        <vt:i4>5</vt:i4>
      </vt:variant>
      <vt:variant>
        <vt:lpwstr/>
      </vt:variant>
      <vt:variant>
        <vt:lpwstr>Physiciandispenseddrugs</vt:lpwstr>
      </vt:variant>
      <vt:variant>
        <vt:i4>6553705</vt:i4>
      </vt:variant>
      <vt:variant>
        <vt:i4>5141</vt:i4>
      </vt:variant>
      <vt:variant>
        <vt:i4>0</vt:i4>
      </vt:variant>
      <vt:variant>
        <vt:i4>5</vt:i4>
      </vt:variant>
      <vt:variant>
        <vt:lpwstr/>
      </vt:variant>
      <vt:variant>
        <vt:lpwstr>Medicalfood</vt:lpwstr>
      </vt:variant>
      <vt:variant>
        <vt:i4>7340129</vt:i4>
      </vt:variant>
      <vt:variant>
        <vt:i4>5138</vt:i4>
      </vt:variant>
      <vt:variant>
        <vt:i4>0</vt:i4>
      </vt:variant>
      <vt:variant>
        <vt:i4>5</vt:i4>
      </vt:variant>
      <vt:variant>
        <vt:lpwstr/>
      </vt:variant>
      <vt:variant>
        <vt:lpwstr>Copackdrugs</vt:lpwstr>
      </vt:variant>
      <vt:variant>
        <vt:i4>1769502</vt:i4>
      </vt:variant>
      <vt:variant>
        <vt:i4>5135</vt:i4>
      </vt:variant>
      <vt:variant>
        <vt:i4>0</vt:i4>
      </vt:variant>
      <vt:variant>
        <vt:i4>5</vt:i4>
      </vt:variant>
      <vt:variant>
        <vt:lpwstr/>
      </vt:variant>
      <vt:variant>
        <vt:lpwstr>Compounddrugs</vt:lpwstr>
      </vt:variant>
      <vt:variant>
        <vt:i4>6881380</vt:i4>
      </vt:variant>
      <vt:variant>
        <vt:i4>5132</vt:i4>
      </vt:variant>
      <vt:variant>
        <vt:i4>0</vt:i4>
      </vt:variant>
      <vt:variant>
        <vt:i4>5</vt:i4>
      </vt:variant>
      <vt:variant>
        <vt:lpwstr/>
      </vt:variant>
      <vt:variant>
        <vt:lpwstr>Physiciandispenseddrugs</vt:lpwstr>
      </vt:variant>
      <vt:variant>
        <vt:i4>1441820</vt:i4>
      </vt:variant>
      <vt:variant>
        <vt:i4>5129</vt:i4>
      </vt:variant>
      <vt:variant>
        <vt:i4>0</vt:i4>
      </vt:variant>
      <vt:variant>
        <vt:i4>5</vt:i4>
      </vt:variant>
      <vt:variant>
        <vt:lpwstr/>
      </vt:variant>
      <vt:variant>
        <vt:lpwstr>CRPSsympatheticblocks</vt:lpwstr>
      </vt:variant>
      <vt:variant>
        <vt:i4>3145774</vt:i4>
      </vt:variant>
      <vt:variant>
        <vt:i4>5126</vt:i4>
      </vt:variant>
      <vt:variant>
        <vt:i4>0</vt:i4>
      </vt:variant>
      <vt:variant>
        <vt:i4>5</vt:i4>
      </vt:variant>
      <vt:variant>
        <vt:lpwstr>http://www.fda.gov/NewsEvents/Newsroom/PressAnnouncements/ucm191003.htm</vt:lpwstr>
      </vt:variant>
      <vt:variant>
        <vt:lpwstr/>
      </vt:variant>
      <vt:variant>
        <vt:i4>1179665</vt:i4>
      </vt:variant>
      <vt:variant>
        <vt:i4>5123</vt:i4>
      </vt:variant>
      <vt:variant>
        <vt:i4>0</vt:i4>
      </vt:variant>
      <vt:variant>
        <vt:i4>5</vt:i4>
      </vt:variant>
      <vt:variant>
        <vt:lpwstr/>
      </vt:variant>
      <vt:variant>
        <vt:lpwstr>Capsaicin</vt:lpwstr>
      </vt:variant>
      <vt:variant>
        <vt:i4>7536750</vt:i4>
      </vt:variant>
      <vt:variant>
        <vt:i4>5120</vt:i4>
      </vt:variant>
      <vt:variant>
        <vt:i4>0</vt:i4>
      </vt:variant>
      <vt:variant>
        <vt:i4>5</vt:i4>
      </vt:variant>
      <vt:variant>
        <vt:lpwstr/>
      </vt:variant>
      <vt:variant>
        <vt:lpwstr>Benzodiazepines</vt:lpwstr>
      </vt:variant>
      <vt:variant>
        <vt:i4>7012472</vt:i4>
      </vt:variant>
      <vt:variant>
        <vt:i4>5117</vt:i4>
      </vt:variant>
      <vt:variant>
        <vt:i4>0</vt:i4>
      </vt:variant>
      <vt:variant>
        <vt:i4>5</vt:i4>
      </vt:variant>
      <vt:variant>
        <vt:lpwstr/>
      </vt:variant>
      <vt:variant>
        <vt:lpwstr>Currentperceptionthreshold</vt:lpwstr>
      </vt:variant>
      <vt:variant>
        <vt:i4>6684773</vt:i4>
      </vt:variant>
      <vt:variant>
        <vt:i4>5114</vt:i4>
      </vt:variant>
      <vt:variant>
        <vt:i4>0</vt:i4>
      </vt:variant>
      <vt:variant>
        <vt:i4>5</vt:i4>
      </vt:variant>
      <vt:variant>
        <vt:lpwstr/>
      </vt:variant>
      <vt:variant>
        <vt:lpwstr>CRPSdiagnostictests</vt:lpwstr>
      </vt:variant>
      <vt:variant>
        <vt:i4>6815862</vt:i4>
      </vt:variant>
      <vt:variant>
        <vt:i4>5111</vt:i4>
      </vt:variant>
      <vt:variant>
        <vt:i4>0</vt:i4>
      </vt:variant>
      <vt:variant>
        <vt:i4>5</vt:i4>
      </vt:variant>
      <vt:variant>
        <vt:lpwstr/>
      </vt:variant>
      <vt:variant>
        <vt:lpwstr>Internalqigong</vt:lpwstr>
      </vt:variant>
      <vt:variant>
        <vt:i4>6881390</vt:i4>
      </vt:variant>
      <vt:variant>
        <vt:i4>5108</vt:i4>
      </vt:variant>
      <vt:variant>
        <vt:i4>0</vt:i4>
      </vt:variant>
      <vt:variant>
        <vt:i4>5</vt:i4>
      </vt:variant>
      <vt:variant>
        <vt:lpwstr/>
      </vt:variant>
      <vt:variant>
        <vt:lpwstr>Implantabledrugdeliverysystems</vt:lpwstr>
      </vt:variant>
      <vt:variant>
        <vt:i4>6684779</vt:i4>
      </vt:variant>
      <vt:variant>
        <vt:i4>5105</vt:i4>
      </vt:variant>
      <vt:variant>
        <vt:i4>0</vt:i4>
      </vt:variant>
      <vt:variant>
        <vt:i4>5</vt:i4>
      </vt:variant>
      <vt:variant>
        <vt:lpwstr/>
      </vt:variant>
      <vt:variant>
        <vt:lpwstr>Abejon</vt:lpwstr>
      </vt:variant>
      <vt:variant>
        <vt:i4>524315</vt:i4>
      </vt:variant>
      <vt:variant>
        <vt:i4>5102</vt:i4>
      </vt:variant>
      <vt:variant>
        <vt:i4>0</vt:i4>
      </vt:variant>
      <vt:variant>
        <vt:i4>5</vt:i4>
      </vt:variant>
      <vt:variant>
        <vt:lpwstr/>
      </vt:variant>
      <vt:variant>
        <vt:lpwstr>BlueCross</vt:lpwstr>
      </vt:variant>
      <vt:variant>
        <vt:i4>1769611</vt:i4>
      </vt:variant>
      <vt:variant>
        <vt:i4>5099</vt:i4>
      </vt:variant>
      <vt:variant>
        <vt:i4>0</vt:i4>
      </vt:variant>
      <vt:variant>
        <vt:i4>5</vt:i4>
      </vt:variant>
      <vt:variant>
        <vt:lpwstr/>
      </vt:variant>
      <vt:variant>
        <vt:lpwstr>KrönerHerwig</vt:lpwstr>
      </vt:variant>
      <vt:variant>
        <vt:i4>7929975</vt:i4>
      </vt:variant>
      <vt:variant>
        <vt:i4>5096</vt:i4>
      </vt:variant>
      <vt:variant>
        <vt:i4>0</vt:i4>
      </vt:variant>
      <vt:variant>
        <vt:i4>5</vt:i4>
      </vt:variant>
      <vt:variant>
        <vt:lpwstr/>
      </vt:variant>
      <vt:variant>
        <vt:lpwstr>Ostelo</vt:lpwstr>
      </vt:variant>
      <vt:variant>
        <vt:i4>7995514</vt:i4>
      </vt:variant>
      <vt:variant>
        <vt:i4>5093</vt:i4>
      </vt:variant>
      <vt:variant>
        <vt:i4>0</vt:i4>
      </vt:variant>
      <vt:variant>
        <vt:i4>5</vt:i4>
      </vt:variant>
      <vt:variant>
        <vt:lpwstr/>
      </vt:variant>
      <vt:variant>
        <vt:lpwstr>Morley</vt:lpwstr>
      </vt:variant>
      <vt:variant>
        <vt:i4>1966089</vt:i4>
      </vt:variant>
      <vt:variant>
        <vt:i4>5090</vt:i4>
      </vt:variant>
      <vt:variant>
        <vt:i4>0</vt:i4>
      </vt:variant>
      <vt:variant>
        <vt:i4>5</vt:i4>
      </vt:variant>
      <vt:variant>
        <vt:lpwstr/>
      </vt:variant>
      <vt:variant>
        <vt:lpwstr>Flor</vt:lpwstr>
      </vt:variant>
      <vt:variant>
        <vt:i4>720921</vt:i4>
      </vt:variant>
      <vt:variant>
        <vt:i4>5087</vt:i4>
      </vt:variant>
      <vt:variant>
        <vt:i4>0</vt:i4>
      </vt:variant>
      <vt:variant>
        <vt:i4>5</vt:i4>
      </vt:variant>
      <vt:variant>
        <vt:lpwstr/>
      </vt:variant>
      <vt:variant>
        <vt:lpwstr>Kerns</vt:lpwstr>
      </vt:variant>
      <vt:variant>
        <vt:i4>30</vt:i4>
      </vt:variant>
      <vt:variant>
        <vt:i4>5084</vt:i4>
      </vt:variant>
      <vt:variant>
        <vt:i4>0</vt:i4>
      </vt:variant>
      <vt:variant>
        <vt:i4>5</vt:i4>
      </vt:variant>
      <vt:variant>
        <vt:lpwstr/>
      </vt:variant>
      <vt:variant>
        <vt:lpwstr>Townsend</vt:lpwstr>
      </vt:variant>
      <vt:variant>
        <vt:i4>458758</vt:i4>
      </vt:variant>
      <vt:variant>
        <vt:i4>5081</vt:i4>
      </vt:variant>
      <vt:variant>
        <vt:i4>0</vt:i4>
      </vt:variant>
      <vt:variant>
        <vt:i4>5</vt:i4>
      </vt:variant>
      <vt:variant>
        <vt:lpwstr/>
      </vt:variant>
      <vt:variant>
        <vt:lpwstr>Otis</vt:lpwstr>
      </vt:variant>
      <vt:variant>
        <vt:i4>1245197</vt:i4>
      </vt:variant>
      <vt:variant>
        <vt:i4>5078</vt:i4>
      </vt:variant>
      <vt:variant>
        <vt:i4>0</vt:i4>
      </vt:variant>
      <vt:variant>
        <vt:i4>5</vt:i4>
      </vt:variant>
      <vt:variant>
        <vt:lpwstr/>
      </vt:variant>
      <vt:variant>
        <vt:lpwstr>ODGCBTguidelines</vt:lpwstr>
      </vt:variant>
      <vt:variant>
        <vt:i4>8061043</vt:i4>
      </vt:variant>
      <vt:variant>
        <vt:i4>5075</vt:i4>
      </vt:variant>
      <vt:variant>
        <vt:i4>0</vt:i4>
      </vt:variant>
      <vt:variant>
        <vt:i4>5</vt:i4>
      </vt:variant>
      <vt:variant>
        <vt:lpwstr/>
      </vt:variant>
      <vt:variant>
        <vt:lpwstr>Multidisciplinarytreatment</vt:lpwstr>
      </vt:variant>
      <vt:variant>
        <vt:i4>1114132</vt:i4>
      </vt:variant>
      <vt:variant>
        <vt:i4>5072</vt:i4>
      </vt:variant>
      <vt:variant>
        <vt:i4>0</vt:i4>
      </vt:variant>
      <vt:variant>
        <vt:i4>5</vt:i4>
      </vt:variant>
      <vt:variant>
        <vt:lpwstr/>
      </vt:variant>
      <vt:variant>
        <vt:lpwstr>Comorbidpsychiatricdisorders</vt:lpwstr>
      </vt:variant>
      <vt:variant>
        <vt:i4>1376257</vt:i4>
      </vt:variant>
      <vt:variant>
        <vt:i4>5069</vt:i4>
      </vt:variant>
      <vt:variant>
        <vt:i4>0</vt:i4>
      </vt:variant>
      <vt:variant>
        <vt:i4>5</vt:i4>
      </vt:variant>
      <vt:variant>
        <vt:lpwstr/>
      </vt:variant>
      <vt:variant>
        <vt:lpwstr>Clay2010</vt:lpwstr>
      </vt:variant>
      <vt:variant>
        <vt:i4>393246</vt:i4>
      </vt:variant>
      <vt:variant>
        <vt:i4>5066</vt:i4>
      </vt:variant>
      <vt:variant>
        <vt:i4>0</vt:i4>
      </vt:variant>
      <vt:variant>
        <vt:i4>5</vt:i4>
      </vt:variant>
      <vt:variant>
        <vt:lpwstr/>
      </vt:variant>
      <vt:variant>
        <vt:lpwstr>Pang</vt:lpwstr>
      </vt:variant>
      <vt:variant>
        <vt:i4>6357093</vt:i4>
      </vt:variant>
      <vt:variant>
        <vt:i4>5063</vt:i4>
      </vt:variant>
      <vt:variant>
        <vt:i4>0</vt:i4>
      </vt:variant>
      <vt:variant>
        <vt:i4>5</vt:i4>
      </vt:variant>
      <vt:variant>
        <vt:lpwstr/>
      </vt:variant>
      <vt:variant>
        <vt:lpwstr>Baliki</vt:lpwstr>
      </vt:variant>
      <vt:variant>
        <vt:i4>1835031</vt:i4>
      </vt:variant>
      <vt:variant>
        <vt:i4>5060</vt:i4>
      </vt:variant>
      <vt:variant>
        <vt:i4>0</vt:i4>
      </vt:variant>
      <vt:variant>
        <vt:i4>5</vt:i4>
      </vt:variant>
      <vt:variant>
        <vt:lpwstr/>
      </vt:variant>
      <vt:variant>
        <vt:lpwstr>Bruns</vt:lpwstr>
      </vt:variant>
      <vt:variant>
        <vt:i4>1835031</vt:i4>
      </vt:variant>
      <vt:variant>
        <vt:i4>5057</vt:i4>
      </vt:variant>
      <vt:variant>
        <vt:i4>0</vt:i4>
      </vt:variant>
      <vt:variant>
        <vt:i4>5</vt:i4>
      </vt:variant>
      <vt:variant>
        <vt:lpwstr/>
      </vt:variant>
      <vt:variant>
        <vt:lpwstr>Bruns</vt:lpwstr>
      </vt:variant>
      <vt:variant>
        <vt:i4>6881388</vt:i4>
      </vt:variant>
      <vt:variant>
        <vt:i4>5054</vt:i4>
      </vt:variant>
      <vt:variant>
        <vt:i4>0</vt:i4>
      </vt:variant>
      <vt:variant>
        <vt:i4>5</vt:i4>
      </vt:variant>
      <vt:variant>
        <vt:lpwstr/>
      </vt:variant>
      <vt:variant>
        <vt:lpwstr>Lin</vt:lpwstr>
      </vt:variant>
      <vt:variant>
        <vt:i4>7340155</vt:i4>
      </vt:variant>
      <vt:variant>
        <vt:i4>5051</vt:i4>
      </vt:variant>
      <vt:variant>
        <vt:i4>0</vt:i4>
      </vt:variant>
      <vt:variant>
        <vt:i4>5</vt:i4>
      </vt:variant>
      <vt:variant>
        <vt:lpwstr/>
      </vt:variant>
      <vt:variant>
        <vt:lpwstr>Sommer</vt:lpwstr>
      </vt:variant>
      <vt:variant>
        <vt:i4>8126576</vt:i4>
      </vt:variant>
      <vt:variant>
        <vt:i4>5048</vt:i4>
      </vt:variant>
      <vt:variant>
        <vt:i4>0</vt:i4>
      </vt:variant>
      <vt:variant>
        <vt:i4>5</vt:i4>
      </vt:variant>
      <vt:variant>
        <vt:lpwstr/>
      </vt:variant>
      <vt:variant>
        <vt:lpwstr>Severeijns</vt:lpwstr>
      </vt:variant>
      <vt:variant>
        <vt:i4>7864437</vt:i4>
      </vt:variant>
      <vt:variant>
        <vt:i4>5045</vt:i4>
      </vt:variant>
      <vt:variant>
        <vt:i4>0</vt:i4>
      </vt:variant>
      <vt:variant>
        <vt:i4>5</vt:i4>
      </vt:variant>
      <vt:variant>
        <vt:lpwstr/>
      </vt:variant>
      <vt:variant>
        <vt:lpwstr>Pulliam</vt:lpwstr>
      </vt:variant>
      <vt:variant>
        <vt:i4>2</vt:i4>
      </vt:variant>
      <vt:variant>
        <vt:i4>5042</vt:i4>
      </vt:variant>
      <vt:variant>
        <vt:i4>0</vt:i4>
      </vt:variant>
      <vt:variant>
        <vt:i4>5</vt:i4>
      </vt:variant>
      <vt:variant>
        <vt:lpwstr/>
      </vt:variant>
      <vt:variant>
        <vt:lpwstr>Perez</vt:lpwstr>
      </vt:variant>
      <vt:variant>
        <vt:i4>7536749</vt:i4>
      </vt:variant>
      <vt:variant>
        <vt:i4>5039</vt:i4>
      </vt:variant>
      <vt:variant>
        <vt:i4>0</vt:i4>
      </vt:variant>
      <vt:variant>
        <vt:i4>5</vt:i4>
      </vt:variant>
      <vt:variant>
        <vt:lpwstr/>
      </vt:variant>
      <vt:variant>
        <vt:lpwstr>Linton</vt:lpwstr>
      </vt:variant>
      <vt:variant>
        <vt:i4>589851</vt:i4>
      </vt:variant>
      <vt:variant>
        <vt:i4>5036</vt:i4>
      </vt:variant>
      <vt:variant>
        <vt:i4>0</vt:i4>
      </vt:variant>
      <vt:variant>
        <vt:i4>5</vt:i4>
      </vt:variant>
      <vt:variant>
        <vt:lpwstr/>
      </vt:variant>
      <vt:variant>
        <vt:lpwstr>Goldberg</vt:lpwstr>
      </vt:variant>
      <vt:variant>
        <vt:i4>6750331</vt:i4>
      </vt:variant>
      <vt:variant>
        <vt:i4>5033</vt:i4>
      </vt:variant>
      <vt:variant>
        <vt:i4>0</vt:i4>
      </vt:variant>
      <vt:variant>
        <vt:i4>5</vt:i4>
      </vt:variant>
      <vt:variant>
        <vt:lpwstr/>
      </vt:variant>
      <vt:variant>
        <vt:lpwstr>Gatchel</vt:lpwstr>
      </vt:variant>
      <vt:variant>
        <vt:i4>5505047</vt:i4>
      </vt:variant>
      <vt:variant>
        <vt:i4>5030</vt:i4>
      </vt:variant>
      <vt:variant>
        <vt:i4>0</vt:i4>
      </vt:variant>
      <vt:variant>
        <vt:i4>5</vt:i4>
      </vt:variant>
      <vt:variant>
        <vt:lpwstr/>
      </vt:variant>
      <vt:variant>
        <vt:lpwstr>Gatchel3</vt:lpwstr>
      </vt:variant>
      <vt:variant>
        <vt:i4>5439511</vt:i4>
      </vt:variant>
      <vt:variant>
        <vt:i4>5027</vt:i4>
      </vt:variant>
      <vt:variant>
        <vt:i4>0</vt:i4>
      </vt:variant>
      <vt:variant>
        <vt:i4>5</vt:i4>
      </vt:variant>
      <vt:variant>
        <vt:lpwstr/>
      </vt:variant>
      <vt:variant>
        <vt:lpwstr>Gatchel4</vt:lpwstr>
      </vt:variant>
      <vt:variant>
        <vt:i4>6750331</vt:i4>
      </vt:variant>
      <vt:variant>
        <vt:i4>5024</vt:i4>
      </vt:variant>
      <vt:variant>
        <vt:i4>0</vt:i4>
      </vt:variant>
      <vt:variant>
        <vt:i4>5</vt:i4>
      </vt:variant>
      <vt:variant>
        <vt:lpwstr/>
      </vt:variant>
      <vt:variant>
        <vt:lpwstr>Gatchel</vt:lpwstr>
      </vt:variant>
      <vt:variant>
        <vt:i4>5570583</vt:i4>
      </vt:variant>
      <vt:variant>
        <vt:i4>5021</vt:i4>
      </vt:variant>
      <vt:variant>
        <vt:i4>0</vt:i4>
      </vt:variant>
      <vt:variant>
        <vt:i4>5</vt:i4>
      </vt:variant>
      <vt:variant>
        <vt:lpwstr/>
      </vt:variant>
      <vt:variant>
        <vt:lpwstr>Gatchel2</vt:lpwstr>
      </vt:variant>
      <vt:variant>
        <vt:i4>917529</vt:i4>
      </vt:variant>
      <vt:variant>
        <vt:i4>5018</vt:i4>
      </vt:variant>
      <vt:variant>
        <vt:i4>0</vt:i4>
      </vt:variant>
      <vt:variant>
        <vt:i4>5</vt:i4>
      </vt:variant>
      <vt:variant>
        <vt:lpwstr/>
      </vt:variant>
      <vt:variant>
        <vt:lpwstr>Colorado2</vt:lpwstr>
      </vt:variant>
      <vt:variant>
        <vt:i4>983044</vt:i4>
      </vt:variant>
      <vt:variant>
        <vt:i4>5015</vt:i4>
      </vt:variant>
      <vt:variant>
        <vt:i4>0</vt:i4>
      </vt:variant>
      <vt:variant>
        <vt:i4>5</vt:i4>
      </vt:variant>
      <vt:variant>
        <vt:lpwstr/>
      </vt:variant>
      <vt:variant>
        <vt:lpwstr>Main</vt:lpwstr>
      </vt:variant>
      <vt:variant>
        <vt:i4>7929969</vt:i4>
      </vt:variant>
      <vt:variant>
        <vt:i4>5012</vt:i4>
      </vt:variant>
      <vt:variant>
        <vt:i4>0</vt:i4>
      </vt:variant>
      <vt:variant>
        <vt:i4>5</vt:i4>
      </vt:variant>
      <vt:variant>
        <vt:lpwstr/>
      </vt:variant>
      <vt:variant>
        <vt:lpwstr>Doleys</vt:lpwstr>
      </vt:variant>
      <vt:variant>
        <vt:i4>6815844</vt:i4>
      </vt:variant>
      <vt:variant>
        <vt:i4>5009</vt:i4>
      </vt:variant>
      <vt:variant>
        <vt:i4>0</vt:i4>
      </vt:variant>
      <vt:variant>
        <vt:i4>5</vt:i4>
      </vt:variant>
      <vt:variant>
        <vt:lpwstr/>
      </vt:variant>
      <vt:variant>
        <vt:lpwstr>Auricularelectroacupuncture</vt:lpwstr>
      </vt:variant>
      <vt:variant>
        <vt:i4>917505</vt:i4>
      </vt:variant>
      <vt:variant>
        <vt:i4>5006</vt:i4>
      </vt:variant>
      <vt:variant>
        <vt:i4>0</vt:i4>
      </vt:variant>
      <vt:variant>
        <vt:i4>5</vt:i4>
      </vt:variant>
      <vt:variant>
        <vt:lpwstr/>
      </vt:variant>
      <vt:variant>
        <vt:lpwstr>Modafinil</vt:lpwstr>
      </vt:variant>
      <vt:variant>
        <vt:i4>6422559</vt:i4>
      </vt:variant>
      <vt:variant>
        <vt:i4>5003</vt:i4>
      </vt:variant>
      <vt:variant>
        <vt:i4>0</vt:i4>
      </vt:variant>
      <vt:variant>
        <vt:i4>5</vt:i4>
      </vt:variant>
      <vt:variant>
        <vt:lpwstr>http://www.effectivehealthcare.ahrq.gov/ehc/products/165/755/CER29-GERD_20110926.pdf</vt:lpwstr>
      </vt:variant>
      <vt:variant>
        <vt:lpwstr/>
      </vt:variant>
      <vt:variant>
        <vt:i4>6946858</vt:i4>
      </vt:variant>
      <vt:variant>
        <vt:i4>5000</vt:i4>
      </vt:variant>
      <vt:variant>
        <vt:i4>0</vt:i4>
      </vt:variant>
      <vt:variant>
        <vt:i4>5</vt:i4>
      </vt:variant>
      <vt:variant>
        <vt:lpwstr/>
      </vt:variant>
      <vt:variant>
        <vt:lpwstr>Shi2008</vt:lpwstr>
      </vt:variant>
      <vt:variant>
        <vt:i4>983133</vt:i4>
      </vt:variant>
      <vt:variant>
        <vt:i4>4997</vt:i4>
      </vt:variant>
      <vt:variant>
        <vt:i4>0</vt:i4>
      </vt:variant>
      <vt:variant>
        <vt:i4>5</vt:i4>
      </vt:variant>
      <vt:variant>
        <vt:lpwstr/>
      </vt:variant>
      <vt:variant>
        <vt:lpwstr>Donnellan2010</vt:lpwstr>
      </vt:variant>
      <vt:variant>
        <vt:i4>983105</vt:i4>
      </vt:variant>
      <vt:variant>
        <vt:i4>4994</vt:i4>
      </vt:variant>
      <vt:variant>
        <vt:i4>0</vt:i4>
      </vt:variant>
      <vt:variant>
        <vt:i4>5</vt:i4>
      </vt:variant>
      <vt:variant>
        <vt:lpwstr/>
      </vt:variant>
      <vt:variant>
        <vt:lpwstr>Miner2010</vt:lpwstr>
      </vt:variant>
      <vt:variant>
        <vt:i4>6357091</vt:i4>
      </vt:variant>
      <vt:variant>
        <vt:i4>4991</vt:i4>
      </vt:variant>
      <vt:variant>
        <vt:i4>0</vt:i4>
      </vt:variant>
      <vt:variant>
        <vt:i4>5</vt:i4>
      </vt:variant>
      <vt:variant>
        <vt:lpwstr/>
      </vt:variant>
      <vt:variant>
        <vt:lpwstr>NSAIDsGIsymptomscardiovascularrisk</vt:lpwstr>
      </vt:variant>
      <vt:variant>
        <vt:i4>8192124</vt:i4>
      </vt:variant>
      <vt:variant>
        <vt:i4>4988</vt:i4>
      </vt:variant>
      <vt:variant>
        <vt:i4>0</vt:i4>
      </vt:variant>
      <vt:variant>
        <vt:i4>5</vt:i4>
      </vt:variant>
      <vt:variant>
        <vt:lpwstr/>
      </vt:variant>
      <vt:variant>
        <vt:lpwstr>Antiemetics</vt:lpwstr>
      </vt:variant>
      <vt:variant>
        <vt:i4>7340145</vt:i4>
      </vt:variant>
      <vt:variant>
        <vt:i4>4985</vt:i4>
      </vt:variant>
      <vt:variant>
        <vt:i4>0</vt:i4>
      </vt:variant>
      <vt:variant>
        <vt:i4>5</vt:i4>
      </vt:variant>
      <vt:variant>
        <vt:lpwstr/>
      </vt:variant>
      <vt:variant>
        <vt:lpwstr>Distel2011</vt:lpwstr>
      </vt:variant>
      <vt:variant>
        <vt:i4>1441796</vt:i4>
      </vt:variant>
      <vt:variant>
        <vt:i4>4982</vt:i4>
      </vt:variant>
      <vt:variant>
        <vt:i4>0</vt:i4>
      </vt:variant>
      <vt:variant>
        <vt:i4>5</vt:i4>
      </vt:variant>
      <vt:variant>
        <vt:lpwstr/>
      </vt:variant>
      <vt:variant>
        <vt:lpwstr>Dagenais3</vt:lpwstr>
      </vt:variant>
      <vt:variant>
        <vt:i4>2555975</vt:i4>
      </vt:variant>
      <vt:variant>
        <vt:i4>4979</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Dagenais4</vt:lpwstr>
      </vt:variant>
      <vt:variant>
        <vt:i4>6357041</vt:i4>
      </vt:variant>
      <vt:variant>
        <vt:i4>4976</vt:i4>
      </vt:variant>
      <vt:variant>
        <vt:i4>0</vt:i4>
      </vt:variant>
      <vt:variant>
        <vt:i4>5</vt:i4>
      </vt:variant>
      <vt:variant>
        <vt:lpwstr/>
      </vt:variant>
      <vt:variant>
        <vt:lpwstr>BlueCrossBlueShield991</vt:lpwstr>
      </vt:variant>
      <vt:variant>
        <vt:i4>6357041</vt:i4>
      </vt:variant>
      <vt:variant>
        <vt:i4>4973</vt:i4>
      </vt:variant>
      <vt:variant>
        <vt:i4>0</vt:i4>
      </vt:variant>
      <vt:variant>
        <vt:i4>5</vt:i4>
      </vt:variant>
      <vt:variant>
        <vt:lpwstr/>
      </vt:variant>
      <vt:variant>
        <vt:lpwstr>BlueCrossBlueShield991</vt:lpwstr>
      </vt:variant>
      <vt:variant>
        <vt:i4>6357041</vt:i4>
      </vt:variant>
      <vt:variant>
        <vt:i4>4970</vt:i4>
      </vt:variant>
      <vt:variant>
        <vt:i4>0</vt:i4>
      </vt:variant>
      <vt:variant>
        <vt:i4>5</vt:i4>
      </vt:variant>
      <vt:variant>
        <vt:lpwstr/>
      </vt:variant>
      <vt:variant>
        <vt:lpwstr>BlueCrossBlueShield991</vt:lpwstr>
      </vt:variant>
      <vt:variant>
        <vt:i4>6357041</vt:i4>
      </vt:variant>
      <vt:variant>
        <vt:i4>4967</vt:i4>
      </vt:variant>
      <vt:variant>
        <vt:i4>0</vt:i4>
      </vt:variant>
      <vt:variant>
        <vt:i4>5</vt:i4>
      </vt:variant>
      <vt:variant>
        <vt:lpwstr/>
      </vt:variant>
      <vt:variant>
        <vt:lpwstr>BlueCrossBlueShield991</vt:lpwstr>
      </vt:variant>
      <vt:variant>
        <vt:i4>5701689</vt:i4>
      </vt:variant>
      <vt:variant>
        <vt:i4>4964</vt:i4>
      </vt:variant>
      <vt:variant>
        <vt:i4>0</vt:i4>
      </vt:variant>
      <vt:variant>
        <vt:i4>5</vt:i4>
      </vt:variant>
      <vt:variant>
        <vt:lpwstr>http://www.lni.wa.gov/ClaimsIns/Files/OMD/ProvNetwork/B2_2012_04_12TPGAPfc.pdf</vt:lpwstr>
      </vt:variant>
      <vt:variant>
        <vt:lpwstr/>
      </vt:variant>
      <vt:variant>
        <vt:i4>720963</vt:i4>
      </vt:variant>
      <vt:variant>
        <vt:i4>4961</vt:i4>
      </vt:variant>
      <vt:variant>
        <vt:i4>0</vt:i4>
      </vt:variant>
      <vt:variant>
        <vt:i4>5</vt:i4>
      </vt:variant>
      <vt:variant>
        <vt:lpwstr/>
      </vt:variant>
      <vt:variant>
        <vt:lpwstr>Adams2007</vt:lpwstr>
      </vt:variant>
      <vt:variant>
        <vt:i4>65556</vt:i4>
      </vt:variant>
      <vt:variant>
        <vt:i4>4958</vt:i4>
      </vt:variant>
      <vt:variant>
        <vt:i4>0</vt:i4>
      </vt:variant>
      <vt:variant>
        <vt:i4>5</vt:i4>
      </vt:variant>
      <vt:variant>
        <vt:lpwstr/>
      </vt:variant>
      <vt:variant>
        <vt:lpwstr>Sullivan2010</vt:lpwstr>
      </vt:variant>
      <vt:variant>
        <vt:i4>458773</vt:i4>
      </vt:variant>
      <vt:variant>
        <vt:i4>4955</vt:i4>
      </vt:variant>
      <vt:variant>
        <vt:i4>0</vt:i4>
      </vt:variant>
      <vt:variant>
        <vt:i4>5</vt:i4>
      </vt:variant>
      <vt:variant>
        <vt:lpwstr/>
      </vt:variant>
      <vt:variant>
        <vt:lpwstr>Sullivan2006a</vt:lpwstr>
      </vt:variant>
      <vt:variant>
        <vt:i4>2031624</vt:i4>
      </vt:variant>
      <vt:variant>
        <vt:i4>4952</vt:i4>
      </vt:variant>
      <vt:variant>
        <vt:i4>0</vt:i4>
      </vt:variant>
      <vt:variant>
        <vt:i4>5</vt:i4>
      </vt:variant>
      <vt:variant>
        <vt:lpwstr/>
      </vt:variant>
      <vt:variant>
        <vt:lpwstr>Protonpumpinhibitors</vt:lpwstr>
      </vt:variant>
      <vt:variant>
        <vt:i4>6619239</vt:i4>
      </vt:variant>
      <vt:variant>
        <vt:i4>4949</vt:i4>
      </vt:variant>
      <vt:variant>
        <vt:i4>0</vt:i4>
      </vt:variant>
      <vt:variant>
        <vt:i4>5</vt:i4>
      </vt:variant>
      <vt:variant>
        <vt:lpwstr/>
      </vt:variant>
      <vt:variant>
        <vt:lpwstr>Ziconotide</vt:lpwstr>
      </vt:variant>
      <vt:variant>
        <vt:i4>2031624</vt:i4>
      </vt:variant>
      <vt:variant>
        <vt:i4>4946</vt:i4>
      </vt:variant>
      <vt:variant>
        <vt:i4>0</vt:i4>
      </vt:variant>
      <vt:variant>
        <vt:i4>5</vt:i4>
      </vt:variant>
      <vt:variant>
        <vt:lpwstr/>
      </vt:variant>
      <vt:variant>
        <vt:lpwstr>Protonpumpinhibitors</vt:lpwstr>
      </vt:variant>
      <vt:variant>
        <vt:i4>1966167</vt:i4>
      </vt:variant>
      <vt:variant>
        <vt:i4>4943</vt:i4>
      </vt:variant>
      <vt:variant>
        <vt:i4>0</vt:i4>
      </vt:variant>
      <vt:variant>
        <vt:i4>5</vt:i4>
      </vt:variant>
      <vt:variant>
        <vt:lpwstr/>
      </vt:variant>
      <vt:variant>
        <vt:lpwstr>Moore2014</vt:lpwstr>
      </vt:variant>
      <vt:variant>
        <vt:i4>3080295</vt:i4>
      </vt:variant>
      <vt:variant>
        <vt:i4>4940</vt:i4>
      </vt:variant>
      <vt:variant>
        <vt:i4>0</vt:i4>
      </vt:variant>
      <vt:variant>
        <vt:i4>5</vt:i4>
      </vt:variant>
      <vt:variant>
        <vt:lpwstr/>
      </vt:variant>
      <vt:variant>
        <vt:lpwstr>Moore2</vt:lpwstr>
      </vt:variant>
      <vt:variant>
        <vt:i4>393226</vt:i4>
      </vt:variant>
      <vt:variant>
        <vt:i4>4937</vt:i4>
      </vt:variant>
      <vt:variant>
        <vt:i4>0</vt:i4>
      </vt:variant>
      <vt:variant>
        <vt:i4>5</vt:i4>
      </vt:variant>
      <vt:variant>
        <vt:lpwstr/>
      </vt:variant>
      <vt:variant>
        <vt:lpwstr>PregabalinListing</vt:lpwstr>
      </vt:variant>
      <vt:variant>
        <vt:i4>458782</vt:i4>
      </vt:variant>
      <vt:variant>
        <vt:i4>4934</vt:i4>
      </vt:variant>
      <vt:variant>
        <vt:i4>0</vt:i4>
      </vt:variant>
      <vt:variant>
        <vt:i4>5</vt:i4>
      </vt:variant>
      <vt:variant>
        <vt:lpwstr/>
      </vt:variant>
      <vt:variant>
        <vt:lpwstr>Antiepilepsydrugs</vt:lpwstr>
      </vt:variant>
      <vt:variant>
        <vt:i4>7995444</vt:i4>
      </vt:variant>
      <vt:variant>
        <vt:i4>4931</vt:i4>
      </vt:variant>
      <vt:variant>
        <vt:i4>0</vt:i4>
      </vt:variant>
      <vt:variant>
        <vt:i4>5</vt:i4>
      </vt:variant>
      <vt:variant>
        <vt:lpwstr/>
      </vt:variant>
      <vt:variant>
        <vt:lpwstr>Littner2003</vt:lpwstr>
      </vt:variant>
      <vt:variant>
        <vt:i4>1376262</vt:i4>
      </vt:variant>
      <vt:variant>
        <vt:i4>4928</vt:i4>
      </vt:variant>
      <vt:variant>
        <vt:i4>0</vt:i4>
      </vt:variant>
      <vt:variant>
        <vt:i4>5</vt:i4>
      </vt:variant>
      <vt:variant>
        <vt:lpwstr/>
      </vt:variant>
      <vt:variant>
        <vt:lpwstr>Kuna2011</vt:lpwstr>
      </vt:variant>
      <vt:variant>
        <vt:i4>1310761</vt:i4>
      </vt:variant>
      <vt:variant>
        <vt:i4>4925</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Andersson2</vt:lpwstr>
      </vt:variant>
      <vt:variant>
        <vt:i4>1310738</vt:i4>
      </vt:variant>
      <vt:variant>
        <vt:i4>4922</vt:i4>
      </vt:variant>
      <vt:variant>
        <vt:i4>0</vt:i4>
      </vt:variant>
      <vt:variant>
        <vt:i4>5</vt:i4>
      </vt:variant>
      <vt:variant>
        <vt:lpwstr/>
      </vt:variant>
      <vt:variant>
        <vt:lpwstr>SchneiderHelmert</vt:lpwstr>
      </vt:variant>
      <vt:variant>
        <vt:i4>1114333</vt:i4>
      </vt:variant>
      <vt:variant>
        <vt:i4>4919</vt:i4>
      </vt:variant>
      <vt:variant>
        <vt:i4>0</vt:i4>
      </vt:variant>
      <vt:variant>
        <vt:i4>5</vt:i4>
      </vt:variant>
      <vt:variant>
        <vt:lpwstr/>
      </vt:variant>
      <vt:variant>
        <vt:lpwstr>Massó2010</vt:lpwstr>
      </vt:variant>
      <vt:variant>
        <vt:i4>1900556</vt:i4>
      </vt:variant>
      <vt:variant>
        <vt:i4>4916</vt:i4>
      </vt:variant>
      <vt:variant>
        <vt:i4>0</vt:i4>
      </vt:variant>
      <vt:variant>
        <vt:i4>5</vt:i4>
      </vt:variant>
      <vt:variant>
        <vt:lpwstr/>
      </vt:variant>
      <vt:variant>
        <vt:lpwstr>Chou</vt:lpwstr>
      </vt:variant>
      <vt:variant>
        <vt:i4>2031623</vt:i4>
      </vt:variant>
      <vt:variant>
        <vt:i4>4913</vt:i4>
      </vt:variant>
      <vt:variant>
        <vt:i4>0</vt:i4>
      </vt:variant>
      <vt:variant>
        <vt:i4>5</vt:i4>
      </vt:variant>
      <vt:variant>
        <vt:lpwstr/>
      </vt:variant>
      <vt:variant>
        <vt:lpwstr>PiroxicamListing</vt:lpwstr>
      </vt:variant>
      <vt:variant>
        <vt:i4>1441796</vt:i4>
      </vt:variant>
      <vt:variant>
        <vt:i4>4910</vt:i4>
      </vt:variant>
      <vt:variant>
        <vt:i4>0</vt:i4>
      </vt:variant>
      <vt:variant>
        <vt:i4>5</vt:i4>
      </vt:variant>
      <vt:variant>
        <vt:lpwstr/>
      </vt:variant>
      <vt:variant>
        <vt:lpwstr>NSAIDsspecificdruglistadverseeffects</vt:lpwstr>
      </vt:variant>
      <vt:variant>
        <vt:i4>6750314</vt:i4>
      </vt:variant>
      <vt:variant>
        <vt:i4>4907</vt:i4>
      </vt:variant>
      <vt:variant>
        <vt:i4>0</vt:i4>
      </vt:variant>
      <vt:variant>
        <vt:i4>5</vt:i4>
      </vt:variant>
      <vt:variant>
        <vt:lpwstr/>
      </vt:variant>
      <vt:variant>
        <vt:lpwstr>NSAIDshypertensionandrenalfunction</vt:lpwstr>
      </vt:variant>
      <vt:variant>
        <vt:i4>6357091</vt:i4>
      </vt:variant>
      <vt:variant>
        <vt:i4>4904</vt:i4>
      </vt:variant>
      <vt:variant>
        <vt:i4>0</vt:i4>
      </vt:variant>
      <vt:variant>
        <vt:i4>5</vt:i4>
      </vt:variant>
      <vt:variant>
        <vt:lpwstr/>
      </vt:variant>
      <vt:variant>
        <vt:lpwstr>NSAIDsGIsymptomscardiovascularrisk</vt:lpwstr>
      </vt:variant>
      <vt:variant>
        <vt:i4>6881387</vt:i4>
      </vt:variant>
      <vt:variant>
        <vt:i4>4901</vt:i4>
      </vt:variant>
      <vt:variant>
        <vt:i4>0</vt:i4>
      </vt:variant>
      <vt:variant>
        <vt:i4>5</vt:i4>
      </vt:variant>
      <vt:variant>
        <vt:lpwstr/>
      </vt:variant>
      <vt:variant>
        <vt:lpwstr>NSAIDs</vt:lpwstr>
      </vt:variant>
      <vt:variant>
        <vt:i4>2031691</vt:i4>
      </vt:variant>
      <vt:variant>
        <vt:i4>4898</vt:i4>
      </vt:variant>
      <vt:variant>
        <vt:i4>0</vt:i4>
      </vt:variant>
      <vt:variant>
        <vt:i4>5</vt:i4>
      </vt:variant>
      <vt:variant>
        <vt:lpwstr/>
      </vt:variant>
      <vt:variant>
        <vt:lpwstr>White2014</vt:lpwstr>
      </vt:variant>
      <vt:variant>
        <vt:i4>1769502</vt:i4>
      </vt:variant>
      <vt:variant>
        <vt:i4>4895</vt:i4>
      </vt:variant>
      <vt:variant>
        <vt:i4>0</vt:i4>
      </vt:variant>
      <vt:variant>
        <vt:i4>5</vt:i4>
      </vt:variant>
      <vt:variant>
        <vt:lpwstr/>
      </vt:variant>
      <vt:variant>
        <vt:lpwstr>Compounddrugs</vt:lpwstr>
      </vt:variant>
      <vt:variant>
        <vt:i4>7929972</vt:i4>
      </vt:variant>
      <vt:variant>
        <vt:i4>4892</vt:i4>
      </vt:variant>
      <vt:variant>
        <vt:i4>0</vt:i4>
      </vt:variant>
      <vt:variant>
        <vt:i4>5</vt:i4>
      </vt:variant>
      <vt:variant>
        <vt:lpwstr/>
      </vt:variant>
      <vt:variant>
        <vt:lpwstr>Repackageddrugs</vt:lpwstr>
      </vt:variant>
      <vt:variant>
        <vt:i4>262149</vt:i4>
      </vt:variant>
      <vt:variant>
        <vt:i4>4889</vt:i4>
      </vt:variant>
      <vt:variant>
        <vt:i4>0</vt:i4>
      </vt:variant>
      <vt:variant>
        <vt:i4>5</vt:i4>
      </vt:variant>
      <vt:variant>
        <vt:lpwstr/>
      </vt:variant>
      <vt:variant>
        <vt:lpwstr>Physicalmedicinetreatment</vt:lpwstr>
      </vt:variant>
      <vt:variant>
        <vt:i4>1769507</vt:i4>
      </vt:variant>
      <vt:variant>
        <vt:i4>4886</vt:i4>
      </vt:variant>
      <vt:variant>
        <vt:i4>0</vt:i4>
      </vt:variant>
      <vt:variant>
        <vt:i4>5</vt:i4>
      </vt:variant>
      <vt:variant>
        <vt:lpwstr>E:\AppData\Local\Microsoft\Windows\Temporary Internet Files\Content.Outlook\AppData\Local\Microsoft\Windows\Temporary Internet Files\Content.Outlook\preface.htm</vt:lpwstr>
      </vt:variant>
      <vt:variant>
        <vt:lpwstr>PhysicalTherapyGuidelines</vt:lpwstr>
      </vt:variant>
      <vt:variant>
        <vt:i4>393231</vt:i4>
      </vt:variant>
      <vt:variant>
        <vt:i4>4883</vt:i4>
      </vt:variant>
      <vt:variant>
        <vt:i4>0</vt:i4>
      </vt:variant>
      <vt:variant>
        <vt:i4>5</vt:i4>
      </vt:variant>
      <vt:variant>
        <vt:lpwstr/>
      </vt:variant>
      <vt:variant>
        <vt:lpwstr>Fritz</vt:lpwstr>
      </vt:variant>
      <vt:variant>
        <vt:i4>6881388</vt:i4>
      </vt:variant>
      <vt:variant>
        <vt:i4>4880</vt:i4>
      </vt:variant>
      <vt:variant>
        <vt:i4>0</vt:i4>
      </vt:variant>
      <vt:variant>
        <vt:i4>5</vt:i4>
      </vt:variant>
      <vt:variant>
        <vt:lpwstr/>
      </vt:variant>
      <vt:variant>
        <vt:lpwstr>Li</vt:lpwstr>
      </vt:variant>
      <vt:variant>
        <vt:i4>8061044</vt:i4>
      </vt:variant>
      <vt:variant>
        <vt:i4>4877</vt:i4>
      </vt:variant>
      <vt:variant>
        <vt:i4>0</vt:i4>
      </vt:variant>
      <vt:variant>
        <vt:i4>5</vt:i4>
      </vt:variant>
      <vt:variant>
        <vt:lpwstr/>
      </vt:variant>
      <vt:variant>
        <vt:lpwstr>Airaksinen2</vt:lpwstr>
      </vt:variant>
      <vt:variant>
        <vt:i4>917529</vt:i4>
      </vt:variant>
      <vt:variant>
        <vt:i4>4874</vt:i4>
      </vt:variant>
      <vt:variant>
        <vt:i4>0</vt:i4>
      </vt:variant>
      <vt:variant>
        <vt:i4>5</vt:i4>
      </vt:variant>
      <vt:variant>
        <vt:lpwstr/>
      </vt:variant>
      <vt:variant>
        <vt:lpwstr>Colorado2</vt:lpwstr>
      </vt:variant>
      <vt:variant>
        <vt:i4>1310748</vt:i4>
      </vt:variant>
      <vt:variant>
        <vt:i4>4871</vt:i4>
      </vt:variant>
      <vt:variant>
        <vt:i4>0</vt:i4>
      </vt:variant>
      <vt:variant>
        <vt:i4>5</vt:i4>
      </vt:variant>
      <vt:variant>
        <vt:lpwstr/>
      </vt:variant>
      <vt:variant>
        <vt:lpwstr>Lowlevellasertherapy</vt:lpwstr>
      </vt:variant>
      <vt:variant>
        <vt:i4>655390</vt:i4>
      </vt:variant>
      <vt:variant>
        <vt:i4>4868</vt:i4>
      </vt:variant>
      <vt:variant>
        <vt:i4>0</vt:i4>
      </vt:variant>
      <vt:variant>
        <vt:i4>5</vt:i4>
      </vt:variant>
      <vt:variant>
        <vt:lpwstr/>
      </vt:variant>
      <vt:variant>
        <vt:lpwstr>PhenytoinListing</vt:lpwstr>
      </vt:variant>
      <vt:variant>
        <vt:i4>458782</vt:i4>
      </vt:variant>
      <vt:variant>
        <vt:i4>4865</vt:i4>
      </vt:variant>
      <vt:variant>
        <vt:i4>0</vt:i4>
      </vt:variant>
      <vt:variant>
        <vt:i4>5</vt:i4>
      </vt:variant>
      <vt:variant>
        <vt:lpwstr/>
      </vt:variant>
      <vt:variant>
        <vt:lpwstr>Antiepilepsydrugs</vt:lpwstr>
      </vt:variant>
      <vt:variant>
        <vt:i4>1638416</vt:i4>
      </vt:variant>
      <vt:variant>
        <vt:i4>4862</vt:i4>
      </vt:variant>
      <vt:variant>
        <vt:i4>0</vt:i4>
      </vt:variant>
      <vt:variant>
        <vt:i4>5</vt:i4>
      </vt:variant>
      <vt:variant>
        <vt:lpwstr/>
      </vt:variant>
      <vt:variant>
        <vt:lpwstr>Sympatheticallymaintainedpain</vt:lpwstr>
      </vt:variant>
      <vt:variant>
        <vt:i4>917529</vt:i4>
      </vt:variant>
      <vt:variant>
        <vt:i4>4859</vt:i4>
      </vt:variant>
      <vt:variant>
        <vt:i4>0</vt:i4>
      </vt:variant>
      <vt:variant>
        <vt:i4>5</vt:i4>
      </vt:variant>
      <vt:variant>
        <vt:lpwstr/>
      </vt:variant>
      <vt:variant>
        <vt:lpwstr>Colorado2</vt:lpwstr>
      </vt:variant>
      <vt:variant>
        <vt:i4>6946929</vt:i4>
      </vt:variant>
      <vt:variant>
        <vt:i4>4856</vt:i4>
      </vt:variant>
      <vt:variant>
        <vt:i4>0</vt:i4>
      </vt:variant>
      <vt:variant>
        <vt:i4>5</vt:i4>
      </vt:variant>
      <vt:variant>
        <vt:lpwstr/>
      </vt:variant>
      <vt:variant>
        <vt:lpwstr>Medications</vt:lpwstr>
      </vt:variant>
      <vt:variant>
        <vt:i4>786447</vt:i4>
      </vt:variant>
      <vt:variant>
        <vt:i4>4853</vt:i4>
      </vt:variant>
      <vt:variant>
        <vt:i4>0</vt:i4>
      </vt:variant>
      <vt:variant>
        <vt:i4>5</vt:i4>
      </vt:variant>
      <vt:variant>
        <vt:lpwstr/>
      </vt:variant>
      <vt:variant>
        <vt:lpwstr>Progressivegoalattainmentprogram</vt:lpwstr>
      </vt:variant>
      <vt:variant>
        <vt:i4>6094856</vt:i4>
      </vt:variant>
      <vt:variant>
        <vt:i4>4850</vt:i4>
      </vt:variant>
      <vt:variant>
        <vt:i4>0</vt:i4>
      </vt:variant>
      <vt:variant>
        <vt:i4>5</vt:i4>
      </vt:variant>
      <vt:variant>
        <vt:lpwstr/>
      </vt:variant>
      <vt:variant>
        <vt:lpwstr>BlueCrossBlueShield4</vt:lpwstr>
      </vt:variant>
      <vt:variant>
        <vt:i4>6619234</vt:i4>
      </vt:variant>
      <vt:variant>
        <vt:i4>4847</vt:i4>
      </vt:variant>
      <vt:variant>
        <vt:i4>0</vt:i4>
      </vt:variant>
      <vt:variant>
        <vt:i4>5</vt:i4>
      </vt:variant>
      <vt:variant>
        <vt:lpwstr/>
      </vt:variant>
      <vt:variant>
        <vt:lpwstr>Condon</vt:lpwstr>
      </vt:variant>
      <vt:variant>
        <vt:i4>1441818</vt:i4>
      </vt:variant>
      <vt:variant>
        <vt:i4>4844</vt:i4>
      </vt:variant>
      <vt:variant>
        <vt:i4>0</vt:i4>
      </vt:variant>
      <vt:variant>
        <vt:i4>5</vt:i4>
      </vt:variant>
      <vt:variant>
        <vt:lpwstr/>
      </vt:variant>
      <vt:variant>
        <vt:lpwstr>TENS</vt:lpwstr>
      </vt:variant>
      <vt:variant>
        <vt:i4>3735668</vt:i4>
      </vt:variant>
      <vt:variant>
        <vt:i4>4841</vt:i4>
      </vt:variant>
      <vt:variant>
        <vt:i4>0</vt:i4>
      </vt:variant>
      <vt:variant>
        <vt:i4>5</vt:i4>
      </vt:variant>
      <vt:variant>
        <vt:lpwstr/>
      </vt:variant>
      <vt:variant>
        <vt:lpwstr>Aetna2</vt:lpwstr>
      </vt:variant>
      <vt:variant>
        <vt:i4>6094856</vt:i4>
      </vt:variant>
      <vt:variant>
        <vt:i4>4838</vt:i4>
      </vt:variant>
      <vt:variant>
        <vt:i4>0</vt:i4>
      </vt:variant>
      <vt:variant>
        <vt:i4>5</vt:i4>
      </vt:variant>
      <vt:variant>
        <vt:lpwstr/>
      </vt:variant>
      <vt:variant>
        <vt:lpwstr>BlueCrossBlueShield4</vt:lpwstr>
      </vt:variant>
      <vt:variant>
        <vt:i4>6</vt:i4>
      </vt:variant>
      <vt:variant>
        <vt:i4>4835</vt:i4>
      </vt:variant>
      <vt:variant>
        <vt:i4>0</vt:i4>
      </vt:variant>
      <vt:variant>
        <vt:i4>5</vt:i4>
      </vt:variant>
      <vt:variant>
        <vt:lpwstr/>
      </vt:variant>
      <vt:variant>
        <vt:lpwstr>Yokoyama</vt:lpwstr>
      </vt:variant>
      <vt:variant>
        <vt:i4>7012457</vt:i4>
      </vt:variant>
      <vt:variant>
        <vt:i4>4832</vt:i4>
      </vt:variant>
      <vt:variant>
        <vt:i4>0</vt:i4>
      </vt:variant>
      <vt:variant>
        <vt:i4>5</vt:i4>
      </vt:variant>
      <vt:variant>
        <vt:lpwstr/>
      </vt:variant>
      <vt:variant>
        <vt:lpwstr>Ghoname</vt:lpwstr>
      </vt:variant>
      <vt:variant>
        <vt:i4>720916</vt:i4>
      </vt:variant>
      <vt:variant>
        <vt:i4>4829</vt:i4>
      </vt:variant>
      <vt:variant>
        <vt:i4>0</vt:i4>
      </vt:variant>
      <vt:variant>
        <vt:i4>5</vt:i4>
      </vt:variant>
      <vt:variant>
        <vt:lpwstr/>
      </vt:variant>
      <vt:variant>
        <vt:lpwstr>Functionalimprovementmeasures</vt:lpwstr>
      </vt:variant>
      <vt:variant>
        <vt:i4>6553705</vt:i4>
      </vt:variant>
      <vt:variant>
        <vt:i4>4826</vt:i4>
      </vt:variant>
      <vt:variant>
        <vt:i4>0</vt:i4>
      </vt:variant>
      <vt:variant>
        <vt:i4>5</vt:i4>
      </vt:variant>
      <vt:variant>
        <vt:lpwstr/>
      </vt:variant>
      <vt:variant>
        <vt:lpwstr>Medicalfood</vt:lpwstr>
      </vt:variant>
      <vt:variant>
        <vt:i4>1572884</vt:i4>
      </vt:variant>
      <vt:variant>
        <vt:i4>4823</vt:i4>
      </vt:variant>
      <vt:variant>
        <vt:i4>0</vt:i4>
      </vt:variant>
      <vt:variant>
        <vt:i4>5</vt:i4>
      </vt:variant>
      <vt:variant>
        <vt:lpwstr/>
      </vt:variant>
      <vt:variant>
        <vt:lpwstr>DiclofenacTopicalListing</vt:lpwstr>
      </vt:variant>
      <vt:variant>
        <vt:i4>327690</vt:i4>
      </vt:variant>
      <vt:variant>
        <vt:i4>4820</vt:i4>
      </vt:variant>
      <vt:variant>
        <vt:i4>0</vt:i4>
      </vt:variant>
      <vt:variant>
        <vt:i4>5</vt:i4>
      </vt:variant>
      <vt:variant>
        <vt:lpwstr/>
      </vt:variant>
      <vt:variant>
        <vt:lpwstr>Nonsteroidalantinflammatoryagents</vt:lpwstr>
      </vt:variant>
      <vt:variant>
        <vt:i4>1048581</vt:i4>
      </vt:variant>
      <vt:variant>
        <vt:i4>4817</vt:i4>
      </vt:variant>
      <vt:variant>
        <vt:i4>0</vt:i4>
      </vt:variant>
      <vt:variant>
        <vt:i4>5</vt:i4>
      </vt:variant>
      <vt:variant>
        <vt:lpwstr/>
      </vt:variant>
      <vt:variant>
        <vt:lpwstr>Topicalanalgesics</vt:lpwstr>
      </vt:variant>
      <vt:variant>
        <vt:i4>3670042</vt:i4>
      </vt:variant>
      <vt:variant>
        <vt:i4>4814</vt:i4>
      </vt:variant>
      <vt:variant>
        <vt:i4>0</vt:i4>
      </vt:variant>
      <vt:variant>
        <vt:i4>5</vt:i4>
      </vt:variant>
      <vt:variant>
        <vt:lpwstr>http://www.accessdata.fda.gov/drugsatfda_docs/label/2010/020947s002REMSPennsaid.pdf</vt:lpwstr>
      </vt:variant>
      <vt:variant>
        <vt:lpwstr/>
      </vt:variant>
      <vt:variant>
        <vt:i4>6291506</vt:i4>
      </vt:variant>
      <vt:variant>
        <vt:i4>4811</vt:i4>
      </vt:variant>
      <vt:variant>
        <vt:i4>0</vt:i4>
      </vt:variant>
      <vt:variant>
        <vt:i4>5</vt:i4>
      </vt:variant>
      <vt:variant>
        <vt:lpwstr/>
      </vt:variant>
      <vt:variant>
        <vt:lpwstr>Towheed2006</vt:lpwstr>
      </vt:variant>
      <vt:variant>
        <vt:i4>327694</vt:i4>
      </vt:variant>
      <vt:variant>
        <vt:i4>4808</vt:i4>
      </vt:variant>
      <vt:variant>
        <vt:i4>0</vt:i4>
      </vt:variant>
      <vt:variant>
        <vt:i4>5</vt:i4>
      </vt:variant>
      <vt:variant>
        <vt:lpwstr/>
      </vt:variant>
      <vt:variant>
        <vt:lpwstr>DiclofenacSodium</vt:lpwstr>
      </vt:variant>
      <vt:variant>
        <vt:i4>1703937</vt:i4>
      </vt:variant>
      <vt:variant>
        <vt:i4>4805</vt:i4>
      </vt:variant>
      <vt:variant>
        <vt:i4>0</vt:i4>
      </vt:variant>
      <vt:variant>
        <vt:i4>5</vt:i4>
      </vt:variant>
      <vt:variant>
        <vt:lpwstr/>
      </vt:variant>
      <vt:variant>
        <vt:lpwstr>SSRIs</vt:lpwstr>
      </vt:variant>
      <vt:variant>
        <vt:i4>65547</vt:i4>
      </vt:variant>
      <vt:variant>
        <vt:i4>4802</vt:i4>
      </vt:variant>
      <vt:variant>
        <vt:i4>0</vt:i4>
      </vt:variant>
      <vt:variant>
        <vt:i4>5</vt:i4>
      </vt:variant>
      <vt:variant>
        <vt:lpwstr/>
      </vt:variant>
      <vt:variant>
        <vt:lpwstr>Acetaminophen</vt:lpwstr>
      </vt:variant>
      <vt:variant>
        <vt:i4>7798887</vt:i4>
      </vt:variant>
      <vt:variant>
        <vt:i4>4799</vt:i4>
      </vt:variant>
      <vt:variant>
        <vt:i4>0</vt:i4>
      </vt:variant>
      <vt:variant>
        <vt:i4>5</vt:i4>
      </vt:variant>
      <vt:variant>
        <vt:lpwstr/>
      </vt:variant>
      <vt:variant>
        <vt:lpwstr>Chronicpainprograms</vt:lpwstr>
      </vt:variant>
      <vt:variant>
        <vt:i4>3997728</vt:i4>
      </vt:variant>
      <vt:variant>
        <vt:i4>4796</vt:i4>
      </vt:variant>
      <vt:variant>
        <vt:i4>0</vt:i4>
      </vt:variant>
      <vt:variant>
        <vt:i4>5</vt:i4>
      </vt:variant>
      <vt:variant>
        <vt:lpwstr>http://www.fda.gov/NewsEvents/Newsroom/PressAnnouncements/ucm207480.htm</vt:lpwstr>
      </vt:variant>
      <vt:variant>
        <vt:lpwstr/>
      </vt:variant>
      <vt:variant>
        <vt:i4>524356</vt:i4>
      </vt:variant>
      <vt:variant>
        <vt:i4>4793</vt:i4>
      </vt:variant>
      <vt:variant>
        <vt:i4>0</vt:i4>
      </vt:variant>
      <vt:variant>
        <vt:i4>5</vt:i4>
      </vt:variant>
      <vt:variant>
        <vt:lpwstr>http://www.pharmasentry.com/news/newsletter.cfm?linkid=B3815AB7%2D1372%2D54C2%2D61BAF75750B445C4</vt:lpwstr>
      </vt:variant>
      <vt:variant>
        <vt:lpwstr/>
      </vt:variant>
      <vt:variant>
        <vt:i4>917509</vt:i4>
      </vt:variant>
      <vt:variant>
        <vt:i4>4790</vt:i4>
      </vt:variant>
      <vt:variant>
        <vt:i4>0</vt:i4>
      </vt:variant>
      <vt:variant>
        <vt:i4>5</vt:i4>
      </vt:variant>
      <vt:variant>
        <vt:lpwstr/>
      </vt:variant>
      <vt:variant>
        <vt:lpwstr>OxcarbazepineListing</vt:lpwstr>
      </vt:variant>
      <vt:variant>
        <vt:i4>458782</vt:i4>
      </vt:variant>
      <vt:variant>
        <vt:i4>4787</vt:i4>
      </vt:variant>
      <vt:variant>
        <vt:i4>0</vt:i4>
      </vt:variant>
      <vt:variant>
        <vt:i4>5</vt:i4>
      </vt:variant>
      <vt:variant>
        <vt:lpwstr/>
      </vt:variant>
      <vt:variant>
        <vt:lpwstr>Antiepilepsydrugs</vt:lpwstr>
      </vt:variant>
      <vt:variant>
        <vt:i4>7536750</vt:i4>
      </vt:variant>
      <vt:variant>
        <vt:i4>4784</vt:i4>
      </vt:variant>
      <vt:variant>
        <vt:i4>0</vt:i4>
      </vt:variant>
      <vt:variant>
        <vt:i4>5</vt:i4>
      </vt:variant>
      <vt:variant>
        <vt:lpwstr/>
      </vt:variant>
      <vt:variant>
        <vt:lpwstr>Benzodiazepines</vt:lpwstr>
      </vt:variant>
      <vt:variant>
        <vt:i4>2031643</vt:i4>
      </vt:variant>
      <vt:variant>
        <vt:i4>4781</vt:i4>
      </vt:variant>
      <vt:variant>
        <vt:i4>0</vt:i4>
      </vt:variant>
      <vt:variant>
        <vt:i4>5</vt:i4>
      </vt:variant>
      <vt:variant>
        <vt:lpwstr/>
      </vt:variant>
      <vt:variant>
        <vt:lpwstr>OxaprozinListing</vt:lpwstr>
      </vt:variant>
      <vt:variant>
        <vt:i4>1441796</vt:i4>
      </vt:variant>
      <vt:variant>
        <vt:i4>4778</vt:i4>
      </vt:variant>
      <vt:variant>
        <vt:i4>0</vt:i4>
      </vt:variant>
      <vt:variant>
        <vt:i4>5</vt:i4>
      </vt:variant>
      <vt:variant>
        <vt:lpwstr/>
      </vt:variant>
      <vt:variant>
        <vt:lpwstr>NSAIDsspecificdruglistadverseeffects</vt:lpwstr>
      </vt:variant>
      <vt:variant>
        <vt:i4>6750314</vt:i4>
      </vt:variant>
      <vt:variant>
        <vt:i4>4775</vt:i4>
      </vt:variant>
      <vt:variant>
        <vt:i4>0</vt:i4>
      </vt:variant>
      <vt:variant>
        <vt:i4>5</vt:i4>
      </vt:variant>
      <vt:variant>
        <vt:lpwstr/>
      </vt:variant>
      <vt:variant>
        <vt:lpwstr>NSAIDshypertensionandrenalfunction</vt:lpwstr>
      </vt:variant>
      <vt:variant>
        <vt:i4>6357091</vt:i4>
      </vt:variant>
      <vt:variant>
        <vt:i4>4772</vt:i4>
      </vt:variant>
      <vt:variant>
        <vt:i4>0</vt:i4>
      </vt:variant>
      <vt:variant>
        <vt:i4>5</vt:i4>
      </vt:variant>
      <vt:variant>
        <vt:lpwstr/>
      </vt:variant>
      <vt:variant>
        <vt:lpwstr>NSAIDsGIsymptomscardiovascularrisk</vt:lpwstr>
      </vt:variant>
      <vt:variant>
        <vt:i4>6881387</vt:i4>
      </vt:variant>
      <vt:variant>
        <vt:i4>4769</vt:i4>
      </vt:variant>
      <vt:variant>
        <vt:i4>0</vt:i4>
      </vt:variant>
      <vt:variant>
        <vt:i4>5</vt:i4>
      </vt:variant>
      <vt:variant>
        <vt:lpwstr/>
      </vt:variant>
      <vt:variant>
        <vt:lpwstr>NSAIDs</vt:lpwstr>
      </vt:variant>
      <vt:variant>
        <vt:i4>458819</vt:i4>
      </vt:variant>
      <vt:variant>
        <vt:i4>4766</vt:i4>
      </vt:variant>
      <vt:variant>
        <vt:i4>0</vt:i4>
      </vt:variant>
      <vt:variant>
        <vt:i4>5</vt:i4>
      </vt:variant>
      <vt:variant>
        <vt:lpwstr>http://dailymed.nlm.nih.gov/dailymed/drugInfo.cfm?id=17916</vt:lpwstr>
      </vt:variant>
      <vt:variant>
        <vt:lpwstr>nlm34067-9</vt:lpwstr>
      </vt:variant>
      <vt:variant>
        <vt:i4>8323168</vt:i4>
      </vt:variant>
      <vt:variant>
        <vt:i4>4763</vt:i4>
      </vt:variant>
      <vt:variant>
        <vt:i4>0</vt:i4>
      </vt:variant>
      <vt:variant>
        <vt:i4>5</vt:i4>
      </vt:variant>
      <vt:variant>
        <vt:lpwstr/>
      </vt:variant>
      <vt:variant>
        <vt:lpwstr>Tarner2012</vt:lpwstr>
      </vt:variant>
      <vt:variant>
        <vt:i4>6684779</vt:i4>
      </vt:variant>
      <vt:variant>
        <vt:i4>4760</vt:i4>
      </vt:variant>
      <vt:variant>
        <vt:i4>0</vt:i4>
      </vt:variant>
      <vt:variant>
        <vt:i4>5</vt:i4>
      </vt:variant>
      <vt:variant>
        <vt:lpwstr/>
      </vt:variant>
      <vt:variant>
        <vt:lpwstr>Federation2</vt:lpwstr>
      </vt:variant>
      <vt:variant>
        <vt:i4>5767179</vt:i4>
      </vt:variant>
      <vt:variant>
        <vt:i4>4757</vt:i4>
      </vt:variant>
      <vt:variant>
        <vt:i4>0</vt:i4>
      </vt:variant>
      <vt:variant>
        <vt:i4>5</vt:i4>
      </vt:variant>
      <vt:variant>
        <vt:lpwstr>http://www.fda.gov/ohrms/dockets/AC/09/minutes/2009-4411m1-final.pdf</vt:lpwstr>
      </vt:variant>
      <vt:variant>
        <vt:lpwstr/>
      </vt:variant>
      <vt:variant>
        <vt:i4>7995506</vt:i4>
      </vt:variant>
      <vt:variant>
        <vt:i4>4754</vt:i4>
      </vt:variant>
      <vt:variant>
        <vt:i4>0</vt:i4>
      </vt:variant>
      <vt:variant>
        <vt:i4>5</vt:i4>
      </vt:variant>
      <vt:variant>
        <vt:lpwstr/>
      </vt:variant>
      <vt:variant>
        <vt:lpwstr>Prommer</vt:lpwstr>
      </vt:variant>
      <vt:variant>
        <vt:i4>7995506</vt:i4>
      </vt:variant>
      <vt:variant>
        <vt:i4>4751</vt:i4>
      </vt:variant>
      <vt:variant>
        <vt:i4>0</vt:i4>
      </vt:variant>
      <vt:variant>
        <vt:i4>5</vt:i4>
      </vt:variant>
      <vt:variant>
        <vt:lpwstr/>
      </vt:variant>
      <vt:variant>
        <vt:lpwstr>Prommer</vt:lpwstr>
      </vt:variant>
      <vt:variant>
        <vt:i4>983062</vt:i4>
      </vt:variant>
      <vt:variant>
        <vt:i4>4748</vt:i4>
      </vt:variant>
      <vt:variant>
        <vt:i4>0</vt:i4>
      </vt:variant>
      <vt:variant>
        <vt:i4>5</vt:i4>
      </vt:variant>
      <vt:variant>
        <vt:lpwstr/>
      </vt:variant>
      <vt:variant>
        <vt:lpwstr>ClinicalPharmacology</vt:lpwstr>
      </vt:variant>
      <vt:variant>
        <vt:i4>7995502</vt:i4>
      </vt:variant>
      <vt:variant>
        <vt:i4>4745</vt:i4>
      </vt:variant>
      <vt:variant>
        <vt:i4>0</vt:i4>
      </vt:variant>
      <vt:variant>
        <vt:i4>5</vt:i4>
      </vt:variant>
      <vt:variant>
        <vt:lpwstr/>
      </vt:variant>
      <vt:variant>
        <vt:lpwstr>Nelson2012</vt:lpwstr>
      </vt:variant>
      <vt:variant>
        <vt:i4>6225984</vt:i4>
      </vt:variant>
      <vt:variant>
        <vt:i4>4742</vt:i4>
      </vt:variant>
      <vt:variant>
        <vt:i4>0</vt:i4>
      </vt:variant>
      <vt:variant>
        <vt:i4>5</vt:i4>
      </vt:variant>
      <vt:variant>
        <vt:lpwstr>http://www.fda.gov/drugs/drugsafety/informationbydrugclass/ucm163647.htm</vt:lpwstr>
      </vt:variant>
      <vt:variant>
        <vt:lpwstr/>
      </vt:variant>
      <vt:variant>
        <vt:i4>6225984</vt:i4>
      </vt:variant>
      <vt:variant>
        <vt:i4>4739</vt:i4>
      </vt:variant>
      <vt:variant>
        <vt:i4>0</vt:i4>
      </vt:variant>
      <vt:variant>
        <vt:i4>5</vt:i4>
      </vt:variant>
      <vt:variant>
        <vt:lpwstr>http://www.fda.gov/drugs/drugsafety/informationbydrugclass/ucm163647.htm</vt:lpwstr>
      </vt:variant>
      <vt:variant>
        <vt:lpwstr/>
      </vt:variant>
      <vt:variant>
        <vt:i4>65542</vt:i4>
      </vt:variant>
      <vt:variant>
        <vt:i4>4736</vt:i4>
      </vt:variant>
      <vt:variant>
        <vt:i4>0</vt:i4>
      </vt:variant>
      <vt:variant>
        <vt:i4>5</vt:i4>
      </vt:variant>
      <vt:variant>
        <vt:lpwstr/>
      </vt:variant>
      <vt:variant>
        <vt:lpwstr>Naliboff</vt:lpwstr>
      </vt:variant>
      <vt:variant>
        <vt:i4>5963844</vt:i4>
      </vt:variant>
      <vt:variant>
        <vt:i4>4733</vt:i4>
      </vt:variant>
      <vt:variant>
        <vt:i4>0</vt:i4>
      </vt:variant>
      <vt:variant>
        <vt:i4>5</vt:i4>
      </vt:variant>
      <vt:variant>
        <vt:lpwstr>http://www.fda.gov/Drugs/DrugSafety/InformationbyDrugClass/ucm363722.htm</vt:lpwstr>
      </vt:variant>
      <vt:variant>
        <vt:lpwstr/>
      </vt:variant>
      <vt:variant>
        <vt:i4>6881390</vt:i4>
      </vt:variant>
      <vt:variant>
        <vt:i4>4730</vt:i4>
      </vt:variant>
      <vt:variant>
        <vt:i4>0</vt:i4>
      </vt:variant>
      <vt:variant>
        <vt:i4>5</vt:i4>
      </vt:variant>
      <vt:variant>
        <vt:lpwstr/>
      </vt:variant>
      <vt:variant>
        <vt:lpwstr>Implantabledrugdeliverysystems</vt:lpwstr>
      </vt:variant>
      <vt:variant>
        <vt:i4>7864420</vt:i4>
      </vt:variant>
      <vt:variant>
        <vt:i4>4727</vt:i4>
      </vt:variant>
      <vt:variant>
        <vt:i4>0</vt:i4>
      </vt:variant>
      <vt:variant>
        <vt:i4>5</vt:i4>
      </vt:variant>
      <vt:variant>
        <vt:lpwstr/>
      </vt:variant>
      <vt:variant>
        <vt:lpwstr>Tapentadol</vt:lpwstr>
      </vt:variant>
      <vt:variant>
        <vt:i4>1441808</vt:i4>
      </vt:variant>
      <vt:variant>
        <vt:i4>4724</vt:i4>
      </vt:variant>
      <vt:variant>
        <vt:i4>0</vt:i4>
      </vt:variant>
      <vt:variant>
        <vt:i4>5</vt:i4>
      </vt:variant>
      <vt:variant>
        <vt:lpwstr/>
      </vt:variant>
      <vt:variant>
        <vt:lpwstr>GrasMiralles</vt:lpwstr>
      </vt:variant>
      <vt:variant>
        <vt:i4>458820</vt:i4>
      </vt:variant>
      <vt:variant>
        <vt:i4>4721</vt:i4>
      </vt:variant>
      <vt:variant>
        <vt:i4>0</vt:i4>
      </vt:variant>
      <vt:variant>
        <vt:i4>5</vt:i4>
      </vt:variant>
      <vt:variant>
        <vt:lpwstr/>
      </vt:variant>
      <vt:variant>
        <vt:lpwstr>Bader2013</vt:lpwstr>
      </vt:variant>
      <vt:variant>
        <vt:i4>262166</vt:i4>
      </vt:variant>
      <vt:variant>
        <vt:i4>4718</vt:i4>
      </vt:variant>
      <vt:variant>
        <vt:i4>0</vt:i4>
      </vt:variant>
      <vt:variant>
        <vt:i4>5</vt:i4>
      </vt:variant>
      <vt:variant>
        <vt:lpwstr/>
      </vt:variant>
      <vt:variant>
        <vt:lpwstr>ChuLF</vt:lpwstr>
      </vt:variant>
      <vt:variant>
        <vt:i4>6357094</vt:i4>
      </vt:variant>
      <vt:variant>
        <vt:i4>4715</vt:i4>
      </vt:variant>
      <vt:variant>
        <vt:i4>0</vt:i4>
      </vt:variant>
      <vt:variant>
        <vt:i4>5</vt:i4>
      </vt:variant>
      <vt:variant>
        <vt:lpwstr/>
      </vt:variant>
      <vt:variant>
        <vt:lpwstr>Oxymorphone</vt:lpwstr>
      </vt:variant>
      <vt:variant>
        <vt:i4>8192124</vt:i4>
      </vt:variant>
      <vt:variant>
        <vt:i4>4712</vt:i4>
      </vt:variant>
      <vt:variant>
        <vt:i4>0</vt:i4>
      </vt:variant>
      <vt:variant>
        <vt:i4>5</vt:i4>
      </vt:variant>
      <vt:variant>
        <vt:lpwstr/>
      </vt:variant>
      <vt:variant>
        <vt:lpwstr>Antiemetics</vt:lpwstr>
      </vt:variant>
      <vt:variant>
        <vt:i4>8257649</vt:i4>
      </vt:variant>
      <vt:variant>
        <vt:i4>4709</vt:i4>
      </vt:variant>
      <vt:variant>
        <vt:i4>0</vt:i4>
      </vt:variant>
      <vt:variant>
        <vt:i4>5</vt:i4>
      </vt:variant>
      <vt:variant>
        <vt:lpwstr/>
      </vt:variant>
      <vt:variant>
        <vt:lpwstr>Physicaltherapy</vt:lpwstr>
      </vt:variant>
      <vt:variant>
        <vt:i4>1835037</vt:i4>
      </vt:variant>
      <vt:variant>
        <vt:i4>4706</vt:i4>
      </vt:variant>
      <vt:variant>
        <vt:i4>0</vt:i4>
      </vt:variant>
      <vt:variant>
        <vt:i4>5</vt:i4>
      </vt:variant>
      <vt:variant>
        <vt:lpwstr/>
      </vt:variant>
      <vt:variant>
        <vt:lpwstr>Chiropractic</vt:lpwstr>
      </vt:variant>
      <vt:variant>
        <vt:i4>7077935</vt:i4>
      </vt:variant>
      <vt:variant>
        <vt:i4>4703</vt:i4>
      </vt:variant>
      <vt:variant>
        <vt:i4>0</vt:i4>
      </vt:variant>
      <vt:variant>
        <vt:i4>5</vt:i4>
      </vt:variant>
      <vt:variant>
        <vt:lpwstr/>
      </vt:variant>
      <vt:variant>
        <vt:lpwstr>Wallace2004</vt:lpwstr>
      </vt:variant>
      <vt:variant>
        <vt:i4>6750262</vt:i4>
      </vt:variant>
      <vt:variant>
        <vt:i4>4700</vt:i4>
      </vt:variant>
      <vt:variant>
        <vt:i4>0</vt:i4>
      </vt:variant>
      <vt:variant>
        <vt:i4>5</vt:i4>
      </vt:variant>
      <vt:variant>
        <vt:lpwstr>E:\AppData\Local\Microsoft\Windows\Temporary Internet Files\Content.Outlook\AppData\Local\Microsoft\Windows\Temporary Internet Files\Content.Outlook\50QE161U\hernia.htm</vt:lpwstr>
      </vt:variant>
      <vt:variant>
        <vt:lpwstr>Dixon</vt:lpwstr>
      </vt:variant>
      <vt:variant>
        <vt:i4>655367</vt:i4>
      </vt:variant>
      <vt:variant>
        <vt:i4>4697</vt:i4>
      </vt:variant>
      <vt:variant>
        <vt:i4>0</vt:i4>
      </vt:variant>
      <vt:variant>
        <vt:i4>5</vt:i4>
      </vt:variant>
      <vt:variant>
        <vt:lpwstr/>
      </vt:variant>
      <vt:variant>
        <vt:lpwstr>Codes</vt:lpwstr>
      </vt:variant>
      <vt:variant>
        <vt:i4>8257649</vt:i4>
      </vt:variant>
      <vt:variant>
        <vt:i4>4694</vt:i4>
      </vt:variant>
      <vt:variant>
        <vt:i4>0</vt:i4>
      </vt:variant>
      <vt:variant>
        <vt:i4>5</vt:i4>
      </vt:variant>
      <vt:variant>
        <vt:lpwstr/>
      </vt:variant>
      <vt:variant>
        <vt:lpwstr>Physicaltherapy</vt:lpwstr>
      </vt:variant>
      <vt:variant>
        <vt:i4>8126560</vt:i4>
      </vt:variant>
      <vt:variant>
        <vt:i4>4691</vt:i4>
      </vt:variant>
      <vt:variant>
        <vt:i4>0</vt:i4>
      </vt:variant>
      <vt:variant>
        <vt:i4>5</vt:i4>
      </vt:variant>
      <vt:variant>
        <vt:lpwstr/>
      </vt:variant>
      <vt:variant>
        <vt:lpwstr>Armodafinil</vt:lpwstr>
      </vt:variant>
      <vt:variant>
        <vt:i4>24</vt:i4>
      </vt:variant>
      <vt:variant>
        <vt:i4>4688</vt:i4>
      </vt:variant>
      <vt:variant>
        <vt:i4>0</vt:i4>
      </vt:variant>
      <vt:variant>
        <vt:i4>5</vt:i4>
      </vt:variant>
      <vt:variant>
        <vt:lpwstr/>
      </vt:variant>
      <vt:variant>
        <vt:lpwstr>Halvorsen</vt:lpwstr>
      </vt:variant>
      <vt:variant>
        <vt:i4>7864420</vt:i4>
      </vt:variant>
      <vt:variant>
        <vt:i4>4685</vt:i4>
      </vt:variant>
      <vt:variant>
        <vt:i4>0</vt:i4>
      </vt:variant>
      <vt:variant>
        <vt:i4>5</vt:i4>
      </vt:variant>
      <vt:variant>
        <vt:lpwstr/>
      </vt:variant>
      <vt:variant>
        <vt:lpwstr>Tapentadol</vt:lpwstr>
      </vt:variant>
      <vt:variant>
        <vt:i4>4653080</vt:i4>
      </vt:variant>
      <vt:variant>
        <vt:i4>4682</vt:i4>
      </vt:variant>
      <vt:variant>
        <vt:i4>0</vt:i4>
      </vt:variant>
      <vt:variant>
        <vt:i4>5</vt:i4>
      </vt:variant>
      <vt:variant>
        <vt:lpwstr/>
      </vt:variant>
      <vt:variant>
        <vt:lpwstr>Boswell3</vt:lpwstr>
      </vt:variant>
      <vt:variant>
        <vt:i4>8257646</vt:i4>
      </vt:variant>
      <vt:variant>
        <vt:i4>4679</vt:i4>
      </vt:variant>
      <vt:variant>
        <vt:i4>0</vt:i4>
      </vt:variant>
      <vt:variant>
        <vt:i4>5</vt:i4>
      </vt:variant>
      <vt:variant>
        <vt:lpwstr/>
      </vt:variant>
      <vt:variant>
        <vt:lpwstr>Manchikanti</vt:lpwstr>
      </vt:variant>
      <vt:variant>
        <vt:i4>393222</vt:i4>
      </vt:variant>
      <vt:variant>
        <vt:i4>4676</vt:i4>
      </vt:variant>
      <vt:variant>
        <vt:i4>0</vt:i4>
      </vt:variant>
      <vt:variant>
        <vt:i4>5</vt:i4>
      </vt:variant>
      <vt:variant>
        <vt:lpwstr/>
      </vt:variant>
      <vt:variant>
        <vt:lpwstr>Chen</vt:lpwstr>
      </vt:variant>
      <vt:variant>
        <vt:i4>1245210</vt:i4>
      </vt:variant>
      <vt:variant>
        <vt:i4>4673</vt:i4>
      </vt:variant>
      <vt:variant>
        <vt:i4>0</vt:i4>
      </vt:variant>
      <vt:variant>
        <vt:i4>5</vt:i4>
      </vt:variant>
      <vt:variant>
        <vt:lpwstr/>
      </vt:variant>
      <vt:variant>
        <vt:lpwstr>LexiComp</vt:lpwstr>
      </vt:variant>
      <vt:variant>
        <vt:i4>983062</vt:i4>
      </vt:variant>
      <vt:variant>
        <vt:i4>4670</vt:i4>
      </vt:variant>
      <vt:variant>
        <vt:i4>0</vt:i4>
      </vt:variant>
      <vt:variant>
        <vt:i4>5</vt:i4>
      </vt:variant>
      <vt:variant>
        <vt:lpwstr/>
      </vt:variant>
      <vt:variant>
        <vt:lpwstr>ClinicalPharmacology</vt:lpwstr>
      </vt:variant>
      <vt:variant>
        <vt:i4>1114333</vt:i4>
      </vt:variant>
      <vt:variant>
        <vt:i4>4667</vt:i4>
      </vt:variant>
      <vt:variant>
        <vt:i4>0</vt:i4>
      </vt:variant>
      <vt:variant>
        <vt:i4>5</vt:i4>
      </vt:variant>
      <vt:variant>
        <vt:lpwstr/>
      </vt:variant>
      <vt:variant>
        <vt:lpwstr>Massó2010</vt:lpwstr>
      </vt:variant>
      <vt:variant>
        <vt:i4>6160469</vt:i4>
      </vt:variant>
      <vt:variant>
        <vt:i4>4664</vt:i4>
      </vt:variant>
      <vt:variant>
        <vt:i4>0</vt:i4>
      </vt:variant>
      <vt:variant>
        <vt:i4>5</vt:i4>
      </vt:variant>
      <vt:variant>
        <vt:lpwstr>http://www.accessdata.fda.gov/scripts/cder/drugsatfda/index.cfm?fuseaction=Search.DrugDetails</vt:lpwstr>
      </vt:variant>
      <vt:variant>
        <vt:lpwstr/>
      </vt:variant>
      <vt:variant>
        <vt:i4>1835029</vt:i4>
      </vt:variant>
      <vt:variant>
        <vt:i4>4661</vt:i4>
      </vt:variant>
      <vt:variant>
        <vt:i4>0</vt:i4>
      </vt:variant>
      <vt:variant>
        <vt:i4>5</vt:i4>
      </vt:variant>
      <vt:variant>
        <vt:lpwstr/>
      </vt:variant>
      <vt:variant>
        <vt:lpwstr>Tivorbex</vt:lpwstr>
      </vt:variant>
      <vt:variant>
        <vt:i4>851970</vt:i4>
      </vt:variant>
      <vt:variant>
        <vt:i4>4658</vt:i4>
      </vt:variant>
      <vt:variant>
        <vt:i4>0</vt:i4>
      </vt:variant>
      <vt:variant>
        <vt:i4>5</vt:i4>
      </vt:variant>
      <vt:variant>
        <vt:lpwstr/>
      </vt:variant>
      <vt:variant>
        <vt:lpwstr>Zorvolex</vt:lpwstr>
      </vt:variant>
      <vt:variant>
        <vt:i4>1638408</vt:i4>
      </vt:variant>
      <vt:variant>
        <vt:i4>4655</vt:i4>
      </vt:variant>
      <vt:variant>
        <vt:i4>0</vt:i4>
      </vt:variant>
      <vt:variant>
        <vt:i4>5</vt:i4>
      </vt:variant>
      <vt:variant>
        <vt:lpwstr/>
      </vt:variant>
      <vt:variant>
        <vt:lpwstr>Bocanegra</vt:lpwstr>
      </vt:variant>
      <vt:variant>
        <vt:i4>6357091</vt:i4>
      </vt:variant>
      <vt:variant>
        <vt:i4>4652</vt:i4>
      </vt:variant>
      <vt:variant>
        <vt:i4>0</vt:i4>
      </vt:variant>
      <vt:variant>
        <vt:i4>5</vt:i4>
      </vt:variant>
      <vt:variant>
        <vt:lpwstr/>
      </vt:variant>
      <vt:variant>
        <vt:lpwstr>NSAIDsGIsymptomscardiovascularrisk</vt:lpwstr>
      </vt:variant>
      <vt:variant>
        <vt:i4>6750314</vt:i4>
      </vt:variant>
      <vt:variant>
        <vt:i4>4649</vt:i4>
      </vt:variant>
      <vt:variant>
        <vt:i4>0</vt:i4>
      </vt:variant>
      <vt:variant>
        <vt:i4>5</vt:i4>
      </vt:variant>
      <vt:variant>
        <vt:lpwstr/>
      </vt:variant>
      <vt:variant>
        <vt:lpwstr>NSAIDshypertensionandrenalfunction</vt:lpwstr>
      </vt:variant>
      <vt:variant>
        <vt:i4>6357091</vt:i4>
      </vt:variant>
      <vt:variant>
        <vt:i4>4646</vt:i4>
      </vt:variant>
      <vt:variant>
        <vt:i4>0</vt:i4>
      </vt:variant>
      <vt:variant>
        <vt:i4>5</vt:i4>
      </vt:variant>
      <vt:variant>
        <vt:lpwstr/>
      </vt:variant>
      <vt:variant>
        <vt:lpwstr>NSAIDsGIsymptomscardiovascularrisk</vt:lpwstr>
      </vt:variant>
      <vt:variant>
        <vt:i4>852048</vt:i4>
      </vt:variant>
      <vt:variant>
        <vt:i4>4643</vt:i4>
      </vt:variant>
      <vt:variant>
        <vt:i4>0</vt:i4>
      </vt:variant>
      <vt:variant>
        <vt:i4>5</vt:i4>
      </vt:variant>
      <vt:variant>
        <vt:lpwstr/>
      </vt:variant>
      <vt:variant>
        <vt:lpwstr>Laine2007</vt:lpwstr>
      </vt:variant>
      <vt:variant>
        <vt:i4>458834</vt:i4>
      </vt:variant>
      <vt:variant>
        <vt:i4>4640</vt:i4>
      </vt:variant>
      <vt:variant>
        <vt:i4>0</vt:i4>
      </vt:variant>
      <vt:variant>
        <vt:i4>5</vt:i4>
      </vt:variant>
      <vt:variant>
        <vt:lpwstr/>
      </vt:variant>
      <vt:variant>
        <vt:lpwstr>Bhala2013</vt:lpwstr>
      </vt:variant>
      <vt:variant>
        <vt:i4>655427</vt:i4>
      </vt:variant>
      <vt:variant>
        <vt:i4>4637</vt:i4>
      </vt:variant>
      <vt:variant>
        <vt:i4>0</vt:i4>
      </vt:variant>
      <vt:variant>
        <vt:i4>5</vt:i4>
      </vt:variant>
      <vt:variant>
        <vt:lpwstr/>
      </vt:variant>
      <vt:variant>
        <vt:lpwstr>Adams2011</vt:lpwstr>
      </vt:variant>
      <vt:variant>
        <vt:i4>7995509</vt:i4>
      </vt:variant>
      <vt:variant>
        <vt:i4>4634</vt:i4>
      </vt:variant>
      <vt:variant>
        <vt:i4>0</vt:i4>
      </vt:variant>
      <vt:variant>
        <vt:i4>5</vt:i4>
      </vt:variant>
      <vt:variant>
        <vt:lpwstr/>
      </vt:variant>
      <vt:variant>
        <vt:lpwstr>McGettigan2011</vt:lpwstr>
      </vt:variant>
      <vt:variant>
        <vt:i4>7602301</vt:i4>
      </vt:variant>
      <vt:variant>
        <vt:i4>4631</vt:i4>
      </vt:variant>
      <vt:variant>
        <vt:i4>0</vt:i4>
      </vt:variant>
      <vt:variant>
        <vt:i4>5</vt:i4>
      </vt:variant>
      <vt:variant>
        <vt:lpwstr/>
      </vt:variant>
      <vt:variant>
        <vt:lpwstr>Schjerning2011</vt:lpwstr>
      </vt:variant>
      <vt:variant>
        <vt:i4>1114333</vt:i4>
      </vt:variant>
      <vt:variant>
        <vt:i4>4628</vt:i4>
      </vt:variant>
      <vt:variant>
        <vt:i4>0</vt:i4>
      </vt:variant>
      <vt:variant>
        <vt:i4>5</vt:i4>
      </vt:variant>
      <vt:variant>
        <vt:lpwstr/>
      </vt:variant>
      <vt:variant>
        <vt:lpwstr>Massó2010</vt:lpwstr>
      </vt:variant>
      <vt:variant>
        <vt:i4>262221</vt:i4>
      </vt:variant>
      <vt:variant>
        <vt:i4>4625</vt:i4>
      </vt:variant>
      <vt:variant>
        <vt:i4>0</vt:i4>
      </vt:variant>
      <vt:variant>
        <vt:i4>5</vt:i4>
      </vt:variant>
      <vt:variant>
        <vt:lpwstr>E:\AppData\Local\Microsoft\Windows\Temporary Internet Files\Content.Outlook\AppData\Local\Microsoft\Windows\Temporary Internet Files\Content.Outlook\50QE161U\stress.htm</vt:lpwstr>
      </vt:variant>
      <vt:variant>
        <vt:lpwstr>Looper</vt:lpwstr>
      </vt:variant>
      <vt:variant>
        <vt:i4>786436</vt:i4>
      </vt:variant>
      <vt:variant>
        <vt:i4>4622</vt:i4>
      </vt:variant>
      <vt:variant>
        <vt:i4>0</vt:i4>
      </vt:variant>
      <vt:variant>
        <vt:i4>5</vt:i4>
      </vt:variant>
      <vt:variant>
        <vt:lpwstr/>
      </vt:variant>
      <vt:variant>
        <vt:lpwstr>Helin</vt:lpwstr>
      </vt:variant>
      <vt:variant>
        <vt:i4>852048</vt:i4>
      </vt:variant>
      <vt:variant>
        <vt:i4>4619</vt:i4>
      </vt:variant>
      <vt:variant>
        <vt:i4>0</vt:i4>
      </vt:variant>
      <vt:variant>
        <vt:i4>5</vt:i4>
      </vt:variant>
      <vt:variant>
        <vt:lpwstr/>
      </vt:variant>
      <vt:variant>
        <vt:lpwstr>Laine2007</vt:lpwstr>
      </vt:variant>
      <vt:variant>
        <vt:i4>7143540</vt:i4>
      </vt:variant>
      <vt:variant>
        <vt:i4>4616</vt:i4>
      </vt:variant>
      <vt:variant>
        <vt:i4>0</vt:i4>
      </vt:variant>
      <vt:variant>
        <vt:i4>5</vt:i4>
      </vt:variant>
      <vt:variant>
        <vt:lpwstr/>
      </vt:variant>
      <vt:variant>
        <vt:lpwstr>Antman</vt:lpwstr>
      </vt:variant>
      <vt:variant>
        <vt:i4>852048</vt:i4>
      </vt:variant>
      <vt:variant>
        <vt:i4>4613</vt:i4>
      </vt:variant>
      <vt:variant>
        <vt:i4>0</vt:i4>
      </vt:variant>
      <vt:variant>
        <vt:i4>5</vt:i4>
      </vt:variant>
      <vt:variant>
        <vt:lpwstr/>
      </vt:variant>
      <vt:variant>
        <vt:lpwstr>Laine2007</vt:lpwstr>
      </vt:variant>
      <vt:variant>
        <vt:i4>852048</vt:i4>
      </vt:variant>
      <vt:variant>
        <vt:i4>4610</vt:i4>
      </vt:variant>
      <vt:variant>
        <vt:i4>0</vt:i4>
      </vt:variant>
      <vt:variant>
        <vt:i4>5</vt:i4>
      </vt:variant>
      <vt:variant>
        <vt:lpwstr/>
      </vt:variant>
      <vt:variant>
        <vt:lpwstr>Laine2007</vt:lpwstr>
      </vt:variant>
      <vt:variant>
        <vt:i4>7143540</vt:i4>
      </vt:variant>
      <vt:variant>
        <vt:i4>4607</vt:i4>
      </vt:variant>
      <vt:variant>
        <vt:i4>0</vt:i4>
      </vt:variant>
      <vt:variant>
        <vt:i4>5</vt:i4>
      </vt:variant>
      <vt:variant>
        <vt:lpwstr/>
      </vt:variant>
      <vt:variant>
        <vt:lpwstr>Antman</vt:lpwstr>
      </vt:variant>
      <vt:variant>
        <vt:i4>2</vt:i4>
      </vt:variant>
      <vt:variant>
        <vt:i4>4604</vt:i4>
      </vt:variant>
      <vt:variant>
        <vt:i4>0</vt:i4>
      </vt:variant>
      <vt:variant>
        <vt:i4>5</vt:i4>
      </vt:variant>
      <vt:variant>
        <vt:lpwstr/>
      </vt:variant>
      <vt:variant>
        <vt:lpwstr>Lanas</vt:lpwstr>
      </vt:variant>
      <vt:variant>
        <vt:i4>6553713</vt:i4>
      </vt:variant>
      <vt:variant>
        <vt:i4>4601</vt:i4>
      </vt:variant>
      <vt:variant>
        <vt:i4>0</vt:i4>
      </vt:variant>
      <vt:variant>
        <vt:i4>5</vt:i4>
      </vt:variant>
      <vt:variant>
        <vt:lpwstr/>
      </vt:variant>
      <vt:variant>
        <vt:lpwstr>Johnsen</vt:lpwstr>
      </vt:variant>
      <vt:variant>
        <vt:i4>852048</vt:i4>
      </vt:variant>
      <vt:variant>
        <vt:i4>4598</vt:i4>
      </vt:variant>
      <vt:variant>
        <vt:i4>0</vt:i4>
      </vt:variant>
      <vt:variant>
        <vt:i4>5</vt:i4>
      </vt:variant>
      <vt:variant>
        <vt:lpwstr/>
      </vt:variant>
      <vt:variant>
        <vt:lpwstr>Laine2007</vt:lpwstr>
      </vt:variant>
      <vt:variant>
        <vt:i4>720907</vt:i4>
      </vt:variant>
      <vt:variant>
        <vt:i4>4595</vt:i4>
      </vt:variant>
      <vt:variant>
        <vt:i4>0</vt:i4>
      </vt:variant>
      <vt:variant>
        <vt:i4>5</vt:i4>
      </vt:variant>
      <vt:variant>
        <vt:lpwstr/>
      </vt:variant>
      <vt:variant>
        <vt:lpwstr>Gold</vt:lpwstr>
      </vt:variant>
      <vt:variant>
        <vt:i4>393218</vt:i4>
      </vt:variant>
      <vt:variant>
        <vt:i4>4592</vt:i4>
      </vt:variant>
      <vt:variant>
        <vt:i4>0</vt:i4>
      </vt:variant>
      <vt:variant>
        <vt:i4>5</vt:i4>
      </vt:variant>
      <vt:variant>
        <vt:lpwstr/>
      </vt:variant>
      <vt:variant>
        <vt:lpwstr>Chan</vt:lpwstr>
      </vt:variant>
      <vt:variant>
        <vt:i4>6291576</vt:i4>
      </vt:variant>
      <vt:variant>
        <vt:i4>4589</vt:i4>
      </vt:variant>
      <vt:variant>
        <vt:i4>0</vt:i4>
      </vt:variant>
      <vt:variant>
        <vt:i4>5</vt:i4>
      </vt:variant>
      <vt:variant>
        <vt:lpwstr/>
      </vt:variant>
      <vt:variant>
        <vt:lpwstr>Nielsen</vt:lpwstr>
      </vt:variant>
      <vt:variant>
        <vt:i4>7340155</vt:i4>
      </vt:variant>
      <vt:variant>
        <vt:i4>4586</vt:i4>
      </vt:variant>
      <vt:variant>
        <vt:i4>0</vt:i4>
      </vt:variant>
      <vt:variant>
        <vt:i4>5</vt:i4>
      </vt:variant>
      <vt:variant>
        <vt:lpwstr/>
      </vt:variant>
      <vt:variant>
        <vt:lpwstr>Scholmerich</vt:lpwstr>
      </vt:variant>
      <vt:variant>
        <vt:i4>852048</vt:i4>
      </vt:variant>
      <vt:variant>
        <vt:i4>4583</vt:i4>
      </vt:variant>
      <vt:variant>
        <vt:i4>0</vt:i4>
      </vt:variant>
      <vt:variant>
        <vt:i4>5</vt:i4>
      </vt:variant>
      <vt:variant>
        <vt:lpwstr/>
      </vt:variant>
      <vt:variant>
        <vt:lpwstr>Laine2006</vt:lpwstr>
      </vt:variant>
      <vt:variant>
        <vt:i4>6488312</vt:i4>
      </vt:variant>
      <vt:variant>
        <vt:i4>4580</vt:i4>
      </vt:variant>
      <vt:variant>
        <vt:i4>0</vt:i4>
      </vt:variant>
      <vt:variant>
        <vt:i4>5</vt:i4>
      </vt:variant>
      <vt:variant>
        <vt:lpwstr/>
      </vt:variant>
      <vt:variant>
        <vt:lpwstr>García</vt:lpwstr>
      </vt:variant>
      <vt:variant>
        <vt:i4>262144</vt:i4>
      </vt:variant>
      <vt:variant>
        <vt:i4>4577</vt:i4>
      </vt:variant>
      <vt:variant>
        <vt:i4>0</vt:i4>
      </vt:variant>
      <vt:variant>
        <vt:i4>5</vt:i4>
      </vt:variant>
      <vt:variant>
        <vt:lpwstr/>
      </vt:variant>
      <vt:variant>
        <vt:lpwstr>Chan2002</vt:lpwstr>
      </vt:variant>
      <vt:variant>
        <vt:i4>852048</vt:i4>
      </vt:variant>
      <vt:variant>
        <vt:i4>4574</vt:i4>
      </vt:variant>
      <vt:variant>
        <vt:i4>0</vt:i4>
      </vt:variant>
      <vt:variant>
        <vt:i4>5</vt:i4>
      </vt:variant>
      <vt:variant>
        <vt:lpwstr/>
      </vt:variant>
      <vt:variant>
        <vt:lpwstr>Laine2006</vt:lpwstr>
      </vt:variant>
      <vt:variant>
        <vt:i4>262149</vt:i4>
      </vt:variant>
      <vt:variant>
        <vt:i4>4571</vt:i4>
      </vt:variant>
      <vt:variant>
        <vt:i4>0</vt:i4>
      </vt:variant>
      <vt:variant>
        <vt:i4>5</vt:i4>
      </vt:variant>
      <vt:variant>
        <vt:lpwstr/>
      </vt:variant>
      <vt:variant>
        <vt:lpwstr>Fock</vt:lpwstr>
      </vt:variant>
      <vt:variant>
        <vt:i4>458752</vt:i4>
      </vt:variant>
      <vt:variant>
        <vt:i4>4568</vt:i4>
      </vt:variant>
      <vt:variant>
        <vt:i4>0</vt:i4>
      </vt:variant>
      <vt:variant>
        <vt:i4>5</vt:i4>
      </vt:variant>
      <vt:variant>
        <vt:lpwstr/>
      </vt:variant>
      <vt:variant>
        <vt:lpwstr>Chan2001</vt:lpwstr>
      </vt:variant>
      <vt:variant>
        <vt:i4>1114139</vt:i4>
      </vt:variant>
      <vt:variant>
        <vt:i4>4565</vt:i4>
      </vt:variant>
      <vt:variant>
        <vt:i4>0</vt:i4>
      </vt:variant>
      <vt:variant>
        <vt:i4>5</vt:i4>
      </vt:variant>
      <vt:variant>
        <vt:lpwstr/>
      </vt:variant>
      <vt:variant>
        <vt:lpwstr>Malfertheiner</vt:lpwstr>
      </vt:variant>
      <vt:variant>
        <vt:i4>1114139</vt:i4>
      </vt:variant>
      <vt:variant>
        <vt:i4>4562</vt:i4>
      </vt:variant>
      <vt:variant>
        <vt:i4>0</vt:i4>
      </vt:variant>
      <vt:variant>
        <vt:i4>5</vt:i4>
      </vt:variant>
      <vt:variant>
        <vt:lpwstr/>
      </vt:variant>
      <vt:variant>
        <vt:lpwstr>Malfertheiner</vt:lpwstr>
      </vt:variant>
      <vt:variant>
        <vt:i4>6488312</vt:i4>
      </vt:variant>
      <vt:variant>
        <vt:i4>4559</vt:i4>
      </vt:variant>
      <vt:variant>
        <vt:i4>0</vt:i4>
      </vt:variant>
      <vt:variant>
        <vt:i4>5</vt:i4>
      </vt:variant>
      <vt:variant>
        <vt:lpwstr/>
      </vt:variant>
      <vt:variant>
        <vt:lpwstr>García</vt:lpwstr>
      </vt:variant>
      <vt:variant>
        <vt:i4>6750305</vt:i4>
      </vt:variant>
      <vt:variant>
        <vt:i4>4556</vt:i4>
      </vt:variant>
      <vt:variant>
        <vt:i4>0</vt:i4>
      </vt:variant>
      <vt:variant>
        <vt:i4>5</vt:i4>
      </vt:variant>
      <vt:variant>
        <vt:lpwstr/>
      </vt:variant>
      <vt:variant>
        <vt:lpwstr>AGS</vt:lpwstr>
      </vt:variant>
      <vt:variant>
        <vt:i4>6291568</vt:i4>
      </vt:variant>
      <vt:variant>
        <vt:i4>4553</vt:i4>
      </vt:variant>
      <vt:variant>
        <vt:i4>0</vt:i4>
      </vt:variant>
      <vt:variant>
        <vt:i4>5</vt:i4>
      </vt:variant>
      <vt:variant>
        <vt:lpwstr/>
      </vt:variant>
      <vt:variant>
        <vt:lpwstr>Maroon</vt:lpwstr>
      </vt:variant>
      <vt:variant>
        <vt:i4>7340157</vt:i4>
      </vt:variant>
      <vt:variant>
        <vt:i4>4550</vt:i4>
      </vt:variant>
      <vt:variant>
        <vt:i4>0</vt:i4>
      </vt:variant>
      <vt:variant>
        <vt:i4>5</vt:i4>
      </vt:variant>
      <vt:variant>
        <vt:lpwstr/>
      </vt:variant>
      <vt:variant>
        <vt:lpwstr>Medicationsforacutepain</vt:lpwstr>
      </vt:variant>
      <vt:variant>
        <vt:i4>6750314</vt:i4>
      </vt:variant>
      <vt:variant>
        <vt:i4>4547</vt:i4>
      </vt:variant>
      <vt:variant>
        <vt:i4>0</vt:i4>
      </vt:variant>
      <vt:variant>
        <vt:i4>5</vt:i4>
      </vt:variant>
      <vt:variant>
        <vt:lpwstr/>
      </vt:variant>
      <vt:variant>
        <vt:lpwstr>NSAIDshypertensionandrenalfunction</vt:lpwstr>
      </vt:variant>
      <vt:variant>
        <vt:i4>6357091</vt:i4>
      </vt:variant>
      <vt:variant>
        <vt:i4>4544</vt:i4>
      </vt:variant>
      <vt:variant>
        <vt:i4>0</vt:i4>
      </vt:variant>
      <vt:variant>
        <vt:i4>5</vt:i4>
      </vt:variant>
      <vt:variant>
        <vt:lpwstr/>
      </vt:variant>
      <vt:variant>
        <vt:lpwstr>NSAIDsGIsymptomscardiovascularrisk</vt:lpwstr>
      </vt:variant>
      <vt:variant>
        <vt:i4>655381</vt:i4>
      </vt:variant>
      <vt:variant>
        <vt:i4>4541</vt:i4>
      </vt:variant>
      <vt:variant>
        <vt:i4>0</vt:i4>
      </vt:variant>
      <vt:variant>
        <vt:i4>5</vt:i4>
      </vt:variant>
      <vt:variant>
        <vt:lpwstr/>
      </vt:variant>
      <vt:variant>
        <vt:lpwstr>Gore</vt:lpwstr>
      </vt:variant>
      <vt:variant>
        <vt:i4>6357096</vt:i4>
      </vt:variant>
      <vt:variant>
        <vt:i4>4538</vt:i4>
      </vt:variant>
      <vt:variant>
        <vt:i4>0</vt:i4>
      </vt:variant>
      <vt:variant>
        <vt:i4>5</vt:i4>
      </vt:variant>
      <vt:variant>
        <vt:lpwstr/>
      </vt:variant>
      <vt:variant>
        <vt:lpwstr>Namaka</vt:lpwstr>
      </vt:variant>
      <vt:variant>
        <vt:i4>852048</vt:i4>
      </vt:variant>
      <vt:variant>
        <vt:i4>4535</vt:i4>
      </vt:variant>
      <vt:variant>
        <vt:i4>0</vt:i4>
      </vt:variant>
      <vt:variant>
        <vt:i4>5</vt:i4>
      </vt:variant>
      <vt:variant>
        <vt:lpwstr/>
      </vt:variant>
      <vt:variant>
        <vt:lpwstr>Laine2008</vt:lpwstr>
      </vt:variant>
      <vt:variant>
        <vt:i4>393222</vt:i4>
      </vt:variant>
      <vt:variant>
        <vt:i4>4532</vt:i4>
      </vt:variant>
      <vt:variant>
        <vt:i4>0</vt:i4>
      </vt:variant>
      <vt:variant>
        <vt:i4>5</vt:i4>
      </vt:variant>
      <vt:variant>
        <vt:lpwstr/>
      </vt:variant>
      <vt:variant>
        <vt:lpwstr>Chen</vt:lpwstr>
      </vt:variant>
      <vt:variant>
        <vt:i4>7667835</vt:i4>
      </vt:variant>
      <vt:variant>
        <vt:i4>4529</vt:i4>
      </vt:variant>
      <vt:variant>
        <vt:i4>0</vt:i4>
      </vt:variant>
      <vt:variant>
        <vt:i4>5</vt:i4>
      </vt:variant>
      <vt:variant>
        <vt:lpwstr/>
      </vt:variant>
      <vt:variant>
        <vt:lpwstr>Milnacipran</vt:lpwstr>
      </vt:variant>
      <vt:variant>
        <vt:i4>7536746</vt:i4>
      </vt:variant>
      <vt:variant>
        <vt:i4>4526</vt:i4>
      </vt:variant>
      <vt:variant>
        <vt:i4>0</vt:i4>
      </vt:variant>
      <vt:variant>
        <vt:i4>5</vt:i4>
      </vt:variant>
      <vt:variant>
        <vt:lpwstr/>
      </vt:variant>
      <vt:variant>
        <vt:lpwstr>Duloxetine</vt:lpwstr>
      </vt:variant>
      <vt:variant>
        <vt:i4>6881387</vt:i4>
      </vt:variant>
      <vt:variant>
        <vt:i4>4523</vt:i4>
      </vt:variant>
      <vt:variant>
        <vt:i4>0</vt:i4>
      </vt:variant>
      <vt:variant>
        <vt:i4>5</vt:i4>
      </vt:variant>
      <vt:variant>
        <vt:lpwstr/>
      </vt:variant>
      <vt:variant>
        <vt:lpwstr>NSAIDs</vt:lpwstr>
      </vt:variant>
      <vt:variant>
        <vt:i4>6553706</vt:i4>
      </vt:variant>
      <vt:variant>
        <vt:i4>4520</vt:i4>
      </vt:variant>
      <vt:variant>
        <vt:i4>0</vt:i4>
      </vt:variant>
      <vt:variant>
        <vt:i4>5</vt:i4>
      </vt:variant>
      <vt:variant>
        <vt:lpwstr/>
      </vt:variant>
      <vt:variant>
        <vt:lpwstr>Watkins</vt:lpwstr>
      </vt:variant>
      <vt:variant>
        <vt:i4>6684744</vt:i4>
      </vt:variant>
      <vt:variant>
        <vt:i4>4517</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Roelofs2</vt:lpwstr>
      </vt:variant>
      <vt:variant>
        <vt:i4>7143525</vt:i4>
      </vt:variant>
      <vt:variant>
        <vt:i4>4514</vt:i4>
      </vt:variant>
      <vt:variant>
        <vt:i4>0</vt:i4>
      </vt:variant>
      <vt:variant>
        <vt:i4>5</vt:i4>
      </vt:variant>
      <vt:variant>
        <vt:lpwstr/>
      </vt:variant>
      <vt:variant>
        <vt:lpwstr>EMG</vt:lpwstr>
      </vt:variant>
      <vt:variant>
        <vt:i4>2031624</vt:i4>
      </vt:variant>
      <vt:variant>
        <vt:i4>4511</vt:i4>
      </vt:variant>
      <vt:variant>
        <vt:i4>0</vt:i4>
      </vt:variant>
      <vt:variant>
        <vt:i4>5</vt:i4>
      </vt:variant>
      <vt:variant>
        <vt:lpwstr/>
      </vt:variant>
      <vt:variant>
        <vt:lpwstr>Protonpumpinhibitors</vt:lpwstr>
      </vt:variant>
      <vt:variant>
        <vt:i4>655377</vt:i4>
      </vt:variant>
      <vt:variant>
        <vt:i4>4508</vt:i4>
      </vt:variant>
      <vt:variant>
        <vt:i4>0</vt:i4>
      </vt:variant>
      <vt:variant>
        <vt:i4>5</vt:i4>
      </vt:variant>
      <vt:variant>
        <vt:lpwstr/>
      </vt:variant>
      <vt:variant>
        <vt:lpwstr>Genetictestingforpotentialopioidabuse</vt:lpwstr>
      </vt:variant>
      <vt:variant>
        <vt:i4>7012472</vt:i4>
      </vt:variant>
      <vt:variant>
        <vt:i4>4505</vt:i4>
      </vt:variant>
      <vt:variant>
        <vt:i4>0</vt:i4>
      </vt:variant>
      <vt:variant>
        <vt:i4>5</vt:i4>
      </vt:variant>
      <vt:variant>
        <vt:lpwstr/>
      </vt:variant>
      <vt:variant>
        <vt:lpwstr>Currentperceptionthreshold</vt:lpwstr>
      </vt:variant>
      <vt:variant>
        <vt:i4>327696</vt:i4>
      </vt:variant>
      <vt:variant>
        <vt:i4>4502</vt:i4>
      </vt:variant>
      <vt:variant>
        <vt:i4>0</vt:i4>
      </vt:variant>
      <vt:variant>
        <vt:i4>5</vt:i4>
      </vt:variant>
      <vt:variant>
        <vt:lpwstr/>
      </vt:variant>
      <vt:variant>
        <vt:lpwstr>Quantitativesensorythreshold</vt:lpwstr>
      </vt:variant>
      <vt:variant>
        <vt:i4>6684773</vt:i4>
      </vt:variant>
      <vt:variant>
        <vt:i4>4499</vt:i4>
      </vt:variant>
      <vt:variant>
        <vt:i4>0</vt:i4>
      </vt:variant>
      <vt:variant>
        <vt:i4>5</vt:i4>
      </vt:variant>
      <vt:variant>
        <vt:lpwstr/>
      </vt:variant>
      <vt:variant>
        <vt:lpwstr>CRPSdiagnostictests</vt:lpwstr>
      </vt:variant>
      <vt:variant>
        <vt:i4>6815849</vt:i4>
      </vt:variant>
      <vt:variant>
        <vt:i4>4496</vt:i4>
      </vt:variant>
      <vt:variant>
        <vt:i4>0</vt:i4>
      </vt:variant>
      <vt:variant>
        <vt:i4>5</vt:i4>
      </vt:variant>
      <vt:variant>
        <vt:lpwstr/>
      </vt:variant>
      <vt:variant>
        <vt:lpwstr>Functionalimagingofbrainresponsestopain</vt:lpwstr>
      </vt:variant>
      <vt:variant>
        <vt:i4>8192104</vt:i4>
      </vt:variant>
      <vt:variant>
        <vt:i4>4493</vt:i4>
      </vt:variant>
      <vt:variant>
        <vt:i4>0</vt:i4>
      </vt:variant>
      <vt:variant>
        <vt:i4>5</vt:i4>
      </vt:variant>
      <vt:variant>
        <vt:lpwstr/>
      </vt:variant>
      <vt:variant>
        <vt:lpwstr>CytokineDNAtesting</vt:lpwstr>
      </vt:variant>
      <vt:variant>
        <vt:i4>65561</vt:i4>
      </vt:variant>
      <vt:variant>
        <vt:i4>4490</vt:i4>
      </vt:variant>
      <vt:variant>
        <vt:i4>0</vt:i4>
      </vt:variant>
      <vt:variant>
        <vt:i4>5</vt:i4>
      </vt:variant>
      <vt:variant>
        <vt:lpwstr/>
      </vt:variant>
      <vt:variant>
        <vt:lpwstr>Psychologicalevaluations</vt:lpwstr>
      </vt:variant>
      <vt:variant>
        <vt:i4>8323186</vt:i4>
      </vt:variant>
      <vt:variant>
        <vt:i4>4487</vt:i4>
      </vt:variant>
      <vt:variant>
        <vt:i4>0</vt:i4>
      </vt:variant>
      <vt:variant>
        <vt:i4>5</vt:i4>
      </vt:variant>
      <vt:variant>
        <vt:lpwstr/>
      </vt:variant>
      <vt:variant>
        <vt:lpwstr>Gabapentin</vt:lpwstr>
      </vt:variant>
      <vt:variant>
        <vt:i4>3735668</vt:i4>
      </vt:variant>
      <vt:variant>
        <vt:i4>4484</vt:i4>
      </vt:variant>
      <vt:variant>
        <vt:i4>0</vt:i4>
      </vt:variant>
      <vt:variant>
        <vt:i4>5</vt:i4>
      </vt:variant>
      <vt:variant>
        <vt:lpwstr/>
      </vt:variant>
      <vt:variant>
        <vt:lpwstr>Aetna2</vt:lpwstr>
      </vt:variant>
      <vt:variant>
        <vt:i4>6029320</vt:i4>
      </vt:variant>
      <vt:variant>
        <vt:i4>4481</vt:i4>
      </vt:variant>
      <vt:variant>
        <vt:i4>0</vt:i4>
      </vt:variant>
      <vt:variant>
        <vt:i4>5</vt:i4>
      </vt:variant>
      <vt:variant>
        <vt:lpwstr/>
      </vt:variant>
      <vt:variant>
        <vt:lpwstr>BlueCrossBlueShield5</vt:lpwstr>
      </vt:variant>
      <vt:variant>
        <vt:i4>8126571</vt:i4>
      </vt:variant>
      <vt:variant>
        <vt:i4>4478</vt:i4>
      </vt:variant>
      <vt:variant>
        <vt:i4>0</vt:i4>
      </vt:variant>
      <vt:variant>
        <vt:i4>5</vt:i4>
      </vt:variant>
      <vt:variant>
        <vt:lpwstr/>
      </vt:variant>
      <vt:variant>
        <vt:lpwstr>Gaines</vt:lpwstr>
      </vt:variant>
      <vt:variant>
        <vt:i4>1900546</vt:i4>
      </vt:variant>
      <vt:variant>
        <vt:i4>4475</vt:i4>
      </vt:variant>
      <vt:variant>
        <vt:i4>0</vt:i4>
      </vt:variant>
      <vt:variant>
        <vt:i4>5</vt:i4>
      </vt:variant>
      <vt:variant>
        <vt:lpwstr/>
      </vt:variant>
      <vt:variant>
        <vt:lpwstr>Moore</vt:lpwstr>
      </vt:variant>
      <vt:variant>
        <vt:i4>655371</vt:i4>
      </vt:variant>
      <vt:variant>
        <vt:i4>4472</vt:i4>
      </vt:variant>
      <vt:variant>
        <vt:i4>0</vt:i4>
      </vt:variant>
      <vt:variant>
        <vt:i4>5</vt:i4>
      </vt:variant>
      <vt:variant>
        <vt:lpwstr/>
      </vt:variant>
      <vt:variant>
        <vt:lpwstr>SpinalCordStimulators</vt:lpwstr>
      </vt:variant>
      <vt:variant>
        <vt:i4>7012472</vt:i4>
      </vt:variant>
      <vt:variant>
        <vt:i4>4469</vt:i4>
      </vt:variant>
      <vt:variant>
        <vt:i4>0</vt:i4>
      </vt:variant>
      <vt:variant>
        <vt:i4>5</vt:i4>
      </vt:variant>
      <vt:variant>
        <vt:lpwstr/>
      </vt:variant>
      <vt:variant>
        <vt:lpwstr>Currentperceptionthreshold</vt:lpwstr>
      </vt:variant>
      <vt:variant>
        <vt:i4>327698</vt:i4>
      </vt:variant>
      <vt:variant>
        <vt:i4>4466</vt:i4>
      </vt:variant>
      <vt:variant>
        <vt:i4>0</vt:i4>
      </vt:variant>
      <vt:variant>
        <vt:i4>5</vt:i4>
      </vt:variant>
      <vt:variant>
        <vt:lpwstr/>
      </vt:variant>
      <vt:variant>
        <vt:lpwstr>Electrodiagnostictesting</vt:lpwstr>
      </vt:variant>
      <vt:variant>
        <vt:i4>1441820</vt:i4>
      </vt:variant>
      <vt:variant>
        <vt:i4>4463</vt:i4>
      </vt:variant>
      <vt:variant>
        <vt:i4>0</vt:i4>
      </vt:variant>
      <vt:variant>
        <vt:i4>5</vt:i4>
      </vt:variant>
      <vt:variant>
        <vt:lpwstr/>
      </vt:variant>
      <vt:variant>
        <vt:lpwstr>Intravenousregionalsympatheticblocks</vt:lpwstr>
      </vt:variant>
      <vt:variant>
        <vt:i4>8192124</vt:i4>
      </vt:variant>
      <vt:variant>
        <vt:i4>4460</vt:i4>
      </vt:variant>
      <vt:variant>
        <vt:i4>0</vt:i4>
      </vt:variant>
      <vt:variant>
        <vt:i4>5</vt:i4>
      </vt:variant>
      <vt:variant>
        <vt:lpwstr/>
      </vt:variant>
      <vt:variant>
        <vt:lpwstr>Antiemetics</vt:lpwstr>
      </vt:variant>
      <vt:variant>
        <vt:i4>7667809</vt:i4>
      </vt:variant>
      <vt:variant>
        <vt:i4>4457</vt:i4>
      </vt:variant>
      <vt:variant>
        <vt:i4>0</vt:i4>
      </vt:variant>
      <vt:variant>
        <vt:i4>5</vt:i4>
      </vt:variant>
      <vt:variant>
        <vt:lpwstr/>
      </vt:variant>
      <vt:variant>
        <vt:lpwstr>Antiinflammatorymedications</vt:lpwstr>
      </vt:variant>
      <vt:variant>
        <vt:i4>7733346</vt:i4>
      </vt:variant>
      <vt:variant>
        <vt:i4>4454</vt:i4>
      </vt:variant>
      <vt:variant>
        <vt:i4>0</vt:i4>
      </vt:variant>
      <vt:variant>
        <vt:i4>5</vt:i4>
      </vt:variant>
      <vt:variant>
        <vt:lpwstr/>
      </vt:variant>
      <vt:variant>
        <vt:lpwstr>NaproxenListing</vt:lpwstr>
      </vt:variant>
      <vt:variant>
        <vt:i4>1441796</vt:i4>
      </vt:variant>
      <vt:variant>
        <vt:i4>4451</vt:i4>
      </vt:variant>
      <vt:variant>
        <vt:i4>0</vt:i4>
      </vt:variant>
      <vt:variant>
        <vt:i4>5</vt:i4>
      </vt:variant>
      <vt:variant>
        <vt:lpwstr/>
      </vt:variant>
      <vt:variant>
        <vt:lpwstr>NSAIDsspecificdruglistadverseeffects</vt:lpwstr>
      </vt:variant>
      <vt:variant>
        <vt:i4>6750314</vt:i4>
      </vt:variant>
      <vt:variant>
        <vt:i4>4448</vt:i4>
      </vt:variant>
      <vt:variant>
        <vt:i4>0</vt:i4>
      </vt:variant>
      <vt:variant>
        <vt:i4>5</vt:i4>
      </vt:variant>
      <vt:variant>
        <vt:lpwstr/>
      </vt:variant>
      <vt:variant>
        <vt:lpwstr>NSAIDshypertensionandrenalfunction</vt:lpwstr>
      </vt:variant>
      <vt:variant>
        <vt:i4>6357091</vt:i4>
      </vt:variant>
      <vt:variant>
        <vt:i4>4445</vt:i4>
      </vt:variant>
      <vt:variant>
        <vt:i4>0</vt:i4>
      </vt:variant>
      <vt:variant>
        <vt:i4>5</vt:i4>
      </vt:variant>
      <vt:variant>
        <vt:lpwstr/>
      </vt:variant>
      <vt:variant>
        <vt:lpwstr>NSAIDsGIsymptomscardiovascularrisk</vt:lpwstr>
      </vt:variant>
      <vt:variant>
        <vt:i4>6881387</vt:i4>
      </vt:variant>
      <vt:variant>
        <vt:i4>4442</vt:i4>
      </vt:variant>
      <vt:variant>
        <vt:i4>0</vt:i4>
      </vt:variant>
      <vt:variant>
        <vt:i4>5</vt:i4>
      </vt:variant>
      <vt:variant>
        <vt:lpwstr/>
      </vt:variant>
      <vt:variant>
        <vt:lpwstr>NSAIDs</vt:lpwstr>
      </vt:variant>
      <vt:variant>
        <vt:i4>6881379</vt:i4>
      </vt:variant>
      <vt:variant>
        <vt:i4>4439</vt:i4>
      </vt:variant>
      <vt:variant>
        <vt:i4>0</vt:i4>
      </vt:variant>
      <vt:variant>
        <vt:i4>5</vt:i4>
      </vt:variant>
      <vt:variant>
        <vt:lpwstr/>
      </vt:variant>
      <vt:variant>
        <vt:lpwstr>Embeda</vt:lpwstr>
      </vt:variant>
      <vt:variant>
        <vt:i4>1966157</vt:i4>
      </vt:variant>
      <vt:variant>
        <vt:i4>4436</vt:i4>
      </vt:variant>
      <vt:variant>
        <vt:i4>0</vt:i4>
      </vt:variant>
      <vt:variant>
        <vt:i4>5</vt:i4>
      </vt:variant>
      <vt:variant>
        <vt:lpwstr/>
      </vt:variant>
      <vt:variant>
        <vt:lpwstr>Krupitsky2011</vt:lpwstr>
      </vt:variant>
      <vt:variant>
        <vt:i4>1966157</vt:i4>
      </vt:variant>
      <vt:variant>
        <vt:i4>4433</vt:i4>
      </vt:variant>
      <vt:variant>
        <vt:i4>0</vt:i4>
      </vt:variant>
      <vt:variant>
        <vt:i4>5</vt:i4>
      </vt:variant>
      <vt:variant>
        <vt:lpwstr/>
      </vt:variant>
      <vt:variant>
        <vt:lpwstr>Krupitsky2010</vt:lpwstr>
      </vt:variant>
      <vt:variant>
        <vt:i4>3866670</vt:i4>
      </vt:variant>
      <vt:variant>
        <vt:i4>4430</vt:i4>
      </vt:variant>
      <vt:variant>
        <vt:i4>0</vt:i4>
      </vt:variant>
      <vt:variant>
        <vt:i4>5</vt:i4>
      </vt:variant>
      <vt:variant>
        <vt:lpwstr>http://www.fda.gov/NewsEvents/Newsroom/PressAnnouncements/ucm229109.htm</vt:lpwstr>
      </vt:variant>
      <vt:variant>
        <vt:lpwstr/>
      </vt:variant>
      <vt:variant>
        <vt:i4>3407916</vt:i4>
      </vt:variant>
      <vt:variant>
        <vt:i4>4427</vt:i4>
      </vt:variant>
      <vt:variant>
        <vt:i4>0</vt:i4>
      </vt:variant>
      <vt:variant>
        <vt:i4>5</vt:i4>
      </vt:variant>
      <vt:variant>
        <vt:lpwstr>http://www.fda.gov/NewsEvents/Newsroom/PressAnnouncements/ucm391465.htm</vt:lpwstr>
      </vt:variant>
      <vt:variant>
        <vt:lpwstr/>
      </vt:variant>
      <vt:variant>
        <vt:i4>655375</vt:i4>
      </vt:variant>
      <vt:variant>
        <vt:i4>4424</vt:i4>
      </vt:variant>
      <vt:variant>
        <vt:i4>0</vt:i4>
      </vt:variant>
      <vt:variant>
        <vt:i4>5</vt:i4>
      </vt:variant>
      <vt:variant>
        <vt:lpwstr/>
      </vt:variant>
      <vt:variant>
        <vt:lpwstr>Propoxyphene</vt:lpwstr>
      </vt:variant>
      <vt:variant>
        <vt:i4>8257654</vt:i4>
      </vt:variant>
      <vt:variant>
        <vt:i4>4421</vt:i4>
      </vt:variant>
      <vt:variant>
        <vt:i4>0</vt:i4>
      </vt:variant>
      <vt:variant>
        <vt:i4>5</vt:i4>
      </vt:variant>
      <vt:variant>
        <vt:lpwstr/>
      </vt:variant>
      <vt:variant>
        <vt:lpwstr>Buprenorphineforchronicpain</vt:lpwstr>
      </vt:variant>
      <vt:variant>
        <vt:i4>524301</vt:i4>
      </vt:variant>
      <vt:variant>
        <vt:i4>4418</vt:i4>
      </vt:variant>
      <vt:variant>
        <vt:i4>0</vt:i4>
      </vt:variant>
      <vt:variant>
        <vt:i4>5</vt:i4>
      </vt:variant>
      <vt:variant>
        <vt:lpwstr/>
      </vt:variant>
      <vt:variant>
        <vt:lpwstr>NabumetoneListing</vt:lpwstr>
      </vt:variant>
      <vt:variant>
        <vt:i4>1441796</vt:i4>
      </vt:variant>
      <vt:variant>
        <vt:i4>4415</vt:i4>
      </vt:variant>
      <vt:variant>
        <vt:i4>0</vt:i4>
      </vt:variant>
      <vt:variant>
        <vt:i4>5</vt:i4>
      </vt:variant>
      <vt:variant>
        <vt:lpwstr/>
      </vt:variant>
      <vt:variant>
        <vt:lpwstr>NSAIDsspecificdruglistadverseeffects</vt:lpwstr>
      </vt:variant>
      <vt:variant>
        <vt:i4>6750314</vt:i4>
      </vt:variant>
      <vt:variant>
        <vt:i4>4412</vt:i4>
      </vt:variant>
      <vt:variant>
        <vt:i4>0</vt:i4>
      </vt:variant>
      <vt:variant>
        <vt:i4>5</vt:i4>
      </vt:variant>
      <vt:variant>
        <vt:lpwstr/>
      </vt:variant>
      <vt:variant>
        <vt:lpwstr>NSAIDshypertensionandrenalfunction</vt:lpwstr>
      </vt:variant>
      <vt:variant>
        <vt:i4>6357091</vt:i4>
      </vt:variant>
      <vt:variant>
        <vt:i4>4409</vt:i4>
      </vt:variant>
      <vt:variant>
        <vt:i4>0</vt:i4>
      </vt:variant>
      <vt:variant>
        <vt:i4>5</vt:i4>
      </vt:variant>
      <vt:variant>
        <vt:lpwstr/>
      </vt:variant>
      <vt:variant>
        <vt:lpwstr>NSAIDsGIsymptomscardiovascularrisk</vt:lpwstr>
      </vt:variant>
      <vt:variant>
        <vt:i4>6881387</vt:i4>
      </vt:variant>
      <vt:variant>
        <vt:i4>4406</vt:i4>
      </vt:variant>
      <vt:variant>
        <vt:i4>0</vt:i4>
      </vt:variant>
      <vt:variant>
        <vt:i4>5</vt:i4>
      </vt:variant>
      <vt:variant>
        <vt:lpwstr/>
      </vt:variant>
      <vt:variant>
        <vt:lpwstr>NSAIDs</vt:lpwstr>
      </vt:variant>
      <vt:variant>
        <vt:i4>1638414</vt:i4>
      </vt:variant>
      <vt:variant>
        <vt:i4>4403</vt:i4>
      </vt:variant>
      <vt:variant>
        <vt:i4>0</vt:i4>
      </vt:variant>
      <vt:variant>
        <vt:i4>5</vt:i4>
      </vt:variant>
      <vt:variant>
        <vt:lpwstr/>
      </vt:variant>
      <vt:variant>
        <vt:lpwstr>Cannabinoids</vt:lpwstr>
      </vt:variant>
      <vt:variant>
        <vt:i4>7274595</vt:i4>
      </vt:variant>
      <vt:variant>
        <vt:i4>4400</vt:i4>
      </vt:variant>
      <vt:variant>
        <vt:i4>0</vt:i4>
      </vt:variant>
      <vt:variant>
        <vt:i4>5</vt:i4>
      </vt:variant>
      <vt:variant>
        <vt:lpwstr/>
      </vt:variant>
      <vt:variant>
        <vt:lpwstr>Skrabek</vt:lpwstr>
      </vt:variant>
      <vt:variant>
        <vt:i4>8126576</vt:i4>
      </vt:variant>
      <vt:variant>
        <vt:i4>4397</vt:i4>
      </vt:variant>
      <vt:variant>
        <vt:i4>0</vt:i4>
      </vt:variant>
      <vt:variant>
        <vt:i4>5</vt:i4>
      </vt:variant>
      <vt:variant>
        <vt:lpwstr/>
      </vt:variant>
      <vt:variant>
        <vt:lpwstr>Massagetherapy</vt:lpwstr>
      </vt:variant>
      <vt:variant>
        <vt:i4>1376262</vt:i4>
      </vt:variant>
      <vt:variant>
        <vt:i4>4394</vt:i4>
      </vt:variant>
      <vt:variant>
        <vt:i4>0</vt:i4>
      </vt:variant>
      <vt:variant>
        <vt:i4>5</vt:i4>
      </vt:variant>
      <vt:variant>
        <vt:lpwstr/>
      </vt:variant>
      <vt:variant>
        <vt:lpwstr>BorgStein</vt:lpwstr>
      </vt:variant>
      <vt:variant>
        <vt:i4>6815845</vt:i4>
      </vt:variant>
      <vt:variant>
        <vt:i4>4391</vt:i4>
      </vt:variant>
      <vt:variant>
        <vt:i4>0</vt:i4>
      </vt:variant>
      <vt:variant>
        <vt:i4>5</vt:i4>
      </vt:variant>
      <vt:variant>
        <vt:lpwstr/>
      </vt:variant>
      <vt:variant>
        <vt:lpwstr>Alvarez</vt:lpwstr>
      </vt:variant>
      <vt:variant>
        <vt:i4>589845</vt:i4>
      </vt:variant>
      <vt:variant>
        <vt:i4>4388</vt:i4>
      </vt:variant>
      <vt:variant>
        <vt:i4>0</vt:i4>
      </vt:variant>
      <vt:variant>
        <vt:i4>5</vt:i4>
      </vt:variant>
      <vt:variant>
        <vt:lpwstr/>
      </vt:variant>
      <vt:variant>
        <vt:lpwstr>GraffRadford</vt:lpwstr>
      </vt:variant>
      <vt:variant>
        <vt:i4>6553727</vt:i4>
      </vt:variant>
      <vt:variant>
        <vt:i4>4385</vt:i4>
      </vt:variant>
      <vt:variant>
        <vt:i4>0</vt:i4>
      </vt:variant>
      <vt:variant>
        <vt:i4>5</vt:i4>
      </vt:variant>
      <vt:variant>
        <vt:lpwstr/>
      </vt:variant>
      <vt:variant>
        <vt:lpwstr>Botulinumtoxin</vt:lpwstr>
      </vt:variant>
      <vt:variant>
        <vt:i4>7536750</vt:i4>
      </vt:variant>
      <vt:variant>
        <vt:i4>4382</vt:i4>
      </vt:variant>
      <vt:variant>
        <vt:i4>0</vt:i4>
      </vt:variant>
      <vt:variant>
        <vt:i4>5</vt:i4>
      </vt:variant>
      <vt:variant>
        <vt:lpwstr/>
      </vt:variant>
      <vt:variant>
        <vt:lpwstr>Benzodiazepines</vt:lpwstr>
      </vt:variant>
      <vt:variant>
        <vt:i4>6619251</vt:i4>
      </vt:variant>
      <vt:variant>
        <vt:i4>4379</vt:i4>
      </vt:variant>
      <vt:variant>
        <vt:i4>0</vt:i4>
      </vt:variant>
      <vt:variant>
        <vt:i4>5</vt:i4>
      </vt:variant>
      <vt:variant>
        <vt:lpwstr/>
      </vt:variant>
      <vt:variant>
        <vt:lpwstr>See</vt:lpwstr>
      </vt:variant>
      <vt:variant>
        <vt:i4>2949166</vt:i4>
      </vt:variant>
      <vt:variant>
        <vt:i4>4376</vt:i4>
      </vt:variant>
      <vt:variant>
        <vt:i4>0</vt:i4>
      </vt:variant>
      <vt:variant>
        <vt:i4>5</vt:i4>
      </vt:variant>
      <vt:variant>
        <vt:lpwstr>http://www.zanaflexcapsules.com/pdf/Zanaflex_Capsules_PI.pdf</vt:lpwstr>
      </vt:variant>
      <vt:variant>
        <vt:lpwstr/>
      </vt:variant>
      <vt:variant>
        <vt:i4>6619251</vt:i4>
      </vt:variant>
      <vt:variant>
        <vt:i4>4373</vt:i4>
      </vt:variant>
      <vt:variant>
        <vt:i4>0</vt:i4>
      </vt:variant>
      <vt:variant>
        <vt:i4>5</vt:i4>
      </vt:variant>
      <vt:variant>
        <vt:lpwstr/>
      </vt:variant>
      <vt:variant>
        <vt:lpwstr>See</vt:lpwstr>
      </vt:variant>
      <vt:variant>
        <vt:i4>6619251</vt:i4>
      </vt:variant>
      <vt:variant>
        <vt:i4>4370</vt:i4>
      </vt:variant>
      <vt:variant>
        <vt:i4>0</vt:i4>
      </vt:variant>
      <vt:variant>
        <vt:i4>5</vt:i4>
      </vt:variant>
      <vt:variant>
        <vt:lpwstr/>
      </vt:variant>
      <vt:variant>
        <vt:lpwstr>See</vt:lpwstr>
      </vt:variant>
      <vt:variant>
        <vt:i4>1703942</vt:i4>
      </vt:variant>
      <vt:variant>
        <vt:i4>4367</vt:i4>
      </vt:variant>
      <vt:variant>
        <vt:i4>0</vt:i4>
      </vt:variant>
      <vt:variant>
        <vt:i4>5</vt:i4>
      </vt:variant>
      <vt:variant>
        <vt:lpwstr/>
      </vt:variant>
      <vt:variant>
        <vt:lpwstr>Institute</vt:lpwstr>
      </vt:variant>
      <vt:variant>
        <vt:i4>6619198</vt:i4>
      </vt:variant>
      <vt:variant>
        <vt:i4>4364</vt:i4>
      </vt:variant>
      <vt:variant>
        <vt:i4>0</vt:i4>
      </vt:variant>
      <vt:variant>
        <vt:i4>5</vt:i4>
      </vt:variant>
      <vt:variant>
        <vt:lpwstr/>
      </vt:variant>
      <vt:variant>
        <vt:lpwstr>Malanga2002</vt:lpwstr>
      </vt:variant>
      <vt:variant>
        <vt:i4>6619198</vt:i4>
      </vt:variant>
      <vt:variant>
        <vt:i4>4361</vt:i4>
      </vt:variant>
      <vt:variant>
        <vt:i4>0</vt:i4>
      </vt:variant>
      <vt:variant>
        <vt:i4>5</vt:i4>
      </vt:variant>
      <vt:variant>
        <vt:lpwstr/>
      </vt:variant>
      <vt:variant>
        <vt:lpwstr>Malanga2008</vt:lpwstr>
      </vt:variant>
      <vt:variant>
        <vt:i4>6619251</vt:i4>
      </vt:variant>
      <vt:variant>
        <vt:i4>4358</vt:i4>
      </vt:variant>
      <vt:variant>
        <vt:i4>0</vt:i4>
      </vt:variant>
      <vt:variant>
        <vt:i4>5</vt:i4>
      </vt:variant>
      <vt:variant>
        <vt:lpwstr/>
      </vt:variant>
      <vt:variant>
        <vt:lpwstr>See</vt:lpwstr>
      </vt:variant>
      <vt:variant>
        <vt:i4>15</vt:i4>
      </vt:variant>
      <vt:variant>
        <vt:i4>4355</vt:i4>
      </vt:variant>
      <vt:variant>
        <vt:i4>0</vt:i4>
      </vt:variant>
      <vt:variant>
        <vt:i4>5</vt:i4>
      </vt:variant>
      <vt:variant>
        <vt:lpwstr/>
      </vt:variant>
      <vt:variant>
        <vt:lpwstr>Shariatmadari</vt:lpwstr>
      </vt:variant>
      <vt:variant>
        <vt:i4>6619251</vt:i4>
      </vt:variant>
      <vt:variant>
        <vt:i4>4352</vt:i4>
      </vt:variant>
      <vt:variant>
        <vt:i4>0</vt:i4>
      </vt:variant>
      <vt:variant>
        <vt:i4>5</vt:i4>
      </vt:variant>
      <vt:variant>
        <vt:lpwstr/>
      </vt:variant>
      <vt:variant>
        <vt:lpwstr>See</vt:lpwstr>
      </vt:variant>
      <vt:variant>
        <vt:i4>7798889</vt:i4>
      </vt:variant>
      <vt:variant>
        <vt:i4>4349</vt:i4>
      </vt:variant>
      <vt:variant>
        <vt:i4>0</vt:i4>
      </vt:variant>
      <vt:variant>
        <vt:i4>5</vt:i4>
      </vt:variant>
      <vt:variant>
        <vt:lpwstr/>
      </vt:variant>
      <vt:variant>
        <vt:lpwstr>Weaningcarisoprodol</vt:lpwstr>
      </vt:variant>
      <vt:variant>
        <vt:i4>1900562</vt:i4>
      </vt:variant>
      <vt:variant>
        <vt:i4>4346</vt:i4>
      </vt:variant>
      <vt:variant>
        <vt:i4>0</vt:i4>
      </vt:variant>
      <vt:variant>
        <vt:i4>5</vt:i4>
      </vt:variant>
      <vt:variant>
        <vt:lpwstr/>
      </vt:variant>
      <vt:variant>
        <vt:lpwstr>Carisoprodol</vt:lpwstr>
      </vt:variant>
      <vt:variant>
        <vt:i4>6291570</vt:i4>
      </vt:variant>
      <vt:variant>
        <vt:i4>4343</vt:i4>
      </vt:variant>
      <vt:variant>
        <vt:i4>0</vt:i4>
      </vt:variant>
      <vt:variant>
        <vt:i4>5</vt:i4>
      </vt:variant>
      <vt:variant>
        <vt:lpwstr/>
      </vt:variant>
      <vt:variant>
        <vt:lpwstr>Reeves</vt:lpwstr>
      </vt:variant>
      <vt:variant>
        <vt:i4>6619251</vt:i4>
      </vt:variant>
      <vt:variant>
        <vt:i4>4340</vt:i4>
      </vt:variant>
      <vt:variant>
        <vt:i4>0</vt:i4>
      </vt:variant>
      <vt:variant>
        <vt:i4>5</vt:i4>
      </vt:variant>
      <vt:variant>
        <vt:lpwstr/>
      </vt:variant>
      <vt:variant>
        <vt:lpwstr>See</vt:lpwstr>
      </vt:variant>
      <vt:variant>
        <vt:i4>7929955</vt:i4>
      </vt:variant>
      <vt:variant>
        <vt:i4>4337</vt:i4>
      </vt:variant>
      <vt:variant>
        <vt:i4>0</vt:i4>
      </vt:variant>
      <vt:variant>
        <vt:i4>5</vt:i4>
      </vt:variant>
      <vt:variant>
        <vt:lpwstr/>
      </vt:variant>
      <vt:variant>
        <vt:lpwstr>AHFSDrugInformation</vt:lpwstr>
      </vt:variant>
      <vt:variant>
        <vt:i4>6619251</vt:i4>
      </vt:variant>
      <vt:variant>
        <vt:i4>4334</vt:i4>
      </vt:variant>
      <vt:variant>
        <vt:i4>0</vt:i4>
      </vt:variant>
      <vt:variant>
        <vt:i4>5</vt:i4>
      </vt:variant>
      <vt:variant>
        <vt:lpwstr/>
      </vt:variant>
      <vt:variant>
        <vt:lpwstr>See</vt:lpwstr>
      </vt:variant>
      <vt:variant>
        <vt:i4>6619251</vt:i4>
      </vt:variant>
      <vt:variant>
        <vt:i4>4331</vt:i4>
      </vt:variant>
      <vt:variant>
        <vt:i4>0</vt:i4>
      </vt:variant>
      <vt:variant>
        <vt:i4>5</vt:i4>
      </vt:variant>
      <vt:variant>
        <vt:lpwstr/>
      </vt:variant>
      <vt:variant>
        <vt:lpwstr>See</vt:lpwstr>
      </vt:variant>
      <vt:variant>
        <vt:i4>458752</vt:i4>
      </vt:variant>
      <vt:variant>
        <vt:i4>4328</vt:i4>
      </vt:variant>
      <vt:variant>
        <vt:i4>0</vt:i4>
      </vt:variant>
      <vt:variant>
        <vt:i4>5</vt:i4>
      </vt:variant>
      <vt:variant>
        <vt:lpwstr/>
      </vt:variant>
      <vt:variant>
        <vt:lpwstr>Toth</vt:lpwstr>
      </vt:variant>
      <vt:variant>
        <vt:i4>6619251</vt:i4>
      </vt:variant>
      <vt:variant>
        <vt:i4>4325</vt:i4>
      </vt:variant>
      <vt:variant>
        <vt:i4>0</vt:i4>
      </vt:variant>
      <vt:variant>
        <vt:i4>5</vt:i4>
      </vt:variant>
      <vt:variant>
        <vt:lpwstr/>
      </vt:variant>
      <vt:variant>
        <vt:lpwstr>See</vt:lpwstr>
      </vt:variant>
      <vt:variant>
        <vt:i4>6619251</vt:i4>
      </vt:variant>
      <vt:variant>
        <vt:i4>4322</vt:i4>
      </vt:variant>
      <vt:variant>
        <vt:i4>0</vt:i4>
      </vt:variant>
      <vt:variant>
        <vt:i4>5</vt:i4>
      </vt:variant>
      <vt:variant>
        <vt:lpwstr/>
      </vt:variant>
      <vt:variant>
        <vt:lpwstr>See</vt:lpwstr>
      </vt:variant>
      <vt:variant>
        <vt:i4>458752</vt:i4>
      </vt:variant>
      <vt:variant>
        <vt:i4>4319</vt:i4>
      </vt:variant>
      <vt:variant>
        <vt:i4>0</vt:i4>
      </vt:variant>
      <vt:variant>
        <vt:i4>5</vt:i4>
      </vt:variant>
      <vt:variant>
        <vt:lpwstr/>
      </vt:variant>
      <vt:variant>
        <vt:lpwstr>Toth</vt:lpwstr>
      </vt:variant>
      <vt:variant>
        <vt:i4>6619251</vt:i4>
      </vt:variant>
      <vt:variant>
        <vt:i4>4316</vt:i4>
      </vt:variant>
      <vt:variant>
        <vt:i4>0</vt:i4>
      </vt:variant>
      <vt:variant>
        <vt:i4>5</vt:i4>
      </vt:variant>
      <vt:variant>
        <vt:lpwstr/>
      </vt:variant>
      <vt:variant>
        <vt:lpwstr>See</vt:lpwstr>
      </vt:variant>
      <vt:variant>
        <vt:i4>393291</vt:i4>
      </vt:variant>
      <vt:variant>
        <vt:i4>4313</vt:i4>
      </vt:variant>
      <vt:variant>
        <vt:i4>0</vt:i4>
      </vt:variant>
      <vt:variant>
        <vt:i4>5</vt:i4>
      </vt:variant>
      <vt:variant>
        <vt:lpwstr/>
      </vt:variant>
      <vt:variant>
        <vt:lpwstr>Landy2011</vt:lpwstr>
      </vt:variant>
      <vt:variant>
        <vt:i4>8061047</vt:i4>
      </vt:variant>
      <vt:variant>
        <vt:i4>4310</vt:i4>
      </vt:variant>
      <vt:variant>
        <vt:i4>0</vt:i4>
      </vt:variant>
      <vt:variant>
        <vt:i4>5</vt:i4>
      </vt:variant>
      <vt:variant>
        <vt:lpwstr/>
      </vt:variant>
      <vt:variant>
        <vt:lpwstr>Tofferi</vt:lpwstr>
      </vt:variant>
      <vt:variant>
        <vt:i4>1703942</vt:i4>
      </vt:variant>
      <vt:variant>
        <vt:i4>4307</vt:i4>
      </vt:variant>
      <vt:variant>
        <vt:i4>0</vt:i4>
      </vt:variant>
      <vt:variant>
        <vt:i4>5</vt:i4>
      </vt:variant>
      <vt:variant>
        <vt:lpwstr/>
      </vt:variant>
      <vt:variant>
        <vt:lpwstr>Institute</vt:lpwstr>
      </vt:variant>
      <vt:variant>
        <vt:i4>6553705</vt:i4>
      </vt:variant>
      <vt:variant>
        <vt:i4>4304</vt:i4>
      </vt:variant>
      <vt:variant>
        <vt:i4>0</vt:i4>
      </vt:variant>
      <vt:variant>
        <vt:i4>5</vt:i4>
      </vt:variant>
      <vt:variant>
        <vt:lpwstr/>
      </vt:variant>
      <vt:variant>
        <vt:lpwstr>Cyclobenzaprine</vt:lpwstr>
      </vt:variant>
      <vt:variant>
        <vt:i4>458752</vt:i4>
      </vt:variant>
      <vt:variant>
        <vt:i4>4301</vt:i4>
      </vt:variant>
      <vt:variant>
        <vt:i4>0</vt:i4>
      </vt:variant>
      <vt:variant>
        <vt:i4>5</vt:i4>
      </vt:variant>
      <vt:variant>
        <vt:lpwstr/>
      </vt:variant>
      <vt:variant>
        <vt:lpwstr>Toth</vt:lpwstr>
      </vt:variant>
      <vt:variant>
        <vt:i4>5701671</vt:i4>
      </vt:variant>
      <vt:variant>
        <vt:i4>4298</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Kinkade</vt:lpwstr>
      </vt:variant>
      <vt:variant>
        <vt:i4>720909</vt:i4>
      </vt:variant>
      <vt:variant>
        <vt:i4>4295</vt:i4>
      </vt:variant>
      <vt:variant>
        <vt:i4>0</vt:i4>
      </vt:variant>
      <vt:variant>
        <vt:i4>5</vt:i4>
      </vt:variant>
      <vt:variant>
        <vt:lpwstr/>
      </vt:variant>
      <vt:variant>
        <vt:lpwstr>Browning</vt:lpwstr>
      </vt:variant>
      <vt:variant>
        <vt:i4>8126573</vt:i4>
      </vt:variant>
      <vt:variant>
        <vt:i4>4291</vt:i4>
      </vt:variant>
      <vt:variant>
        <vt:i4>0</vt:i4>
      </vt:variant>
      <vt:variant>
        <vt:i4>5</vt:i4>
      </vt:variant>
      <vt:variant>
        <vt:lpwstr/>
      </vt:variant>
      <vt:variant>
        <vt:lpwstr>Numberneededtotreat</vt:lpwstr>
      </vt:variant>
      <vt:variant>
        <vt:i4>4390980</vt:i4>
      </vt:variant>
      <vt:variant>
        <vt:i4>4289</vt:i4>
      </vt:variant>
      <vt:variant>
        <vt:i4>0</vt:i4>
      </vt:variant>
      <vt:variant>
        <vt:i4>5</vt:i4>
      </vt:variant>
      <vt:variant>
        <vt:lpwstr>http://www.odg-twc.com/odgtwc/pain.htm</vt:lpwstr>
      </vt:variant>
      <vt:variant>
        <vt:lpwstr>Numberneededtotreat#Numberneededtotreat</vt:lpwstr>
      </vt:variant>
      <vt:variant>
        <vt:i4>1638414</vt:i4>
      </vt:variant>
      <vt:variant>
        <vt:i4>4286</vt:i4>
      </vt:variant>
      <vt:variant>
        <vt:i4>0</vt:i4>
      </vt:variant>
      <vt:variant>
        <vt:i4>5</vt:i4>
      </vt:variant>
      <vt:variant>
        <vt:lpwstr/>
      </vt:variant>
      <vt:variant>
        <vt:lpwstr>Chou2004</vt:lpwstr>
      </vt:variant>
      <vt:variant>
        <vt:i4>6619251</vt:i4>
      </vt:variant>
      <vt:variant>
        <vt:i4>4283</vt:i4>
      </vt:variant>
      <vt:variant>
        <vt:i4>0</vt:i4>
      </vt:variant>
      <vt:variant>
        <vt:i4>5</vt:i4>
      </vt:variant>
      <vt:variant>
        <vt:lpwstr/>
      </vt:variant>
      <vt:variant>
        <vt:lpwstr>See</vt:lpwstr>
      </vt:variant>
      <vt:variant>
        <vt:i4>6619251</vt:i4>
      </vt:variant>
      <vt:variant>
        <vt:i4>4280</vt:i4>
      </vt:variant>
      <vt:variant>
        <vt:i4>0</vt:i4>
      </vt:variant>
      <vt:variant>
        <vt:i4>5</vt:i4>
      </vt:variant>
      <vt:variant>
        <vt:lpwstr/>
      </vt:variant>
      <vt:variant>
        <vt:lpwstr>See</vt:lpwstr>
      </vt:variant>
      <vt:variant>
        <vt:i4>1703942</vt:i4>
      </vt:variant>
      <vt:variant>
        <vt:i4>4277</vt:i4>
      </vt:variant>
      <vt:variant>
        <vt:i4>0</vt:i4>
      </vt:variant>
      <vt:variant>
        <vt:i4>5</vt:i4>
      </vt:variant>
      <vt:variant>
        <vt:lpwstr/>
      </vt:variant>
      <vt:variant>
        <vt:lpwstr>Institute</vt:lpwstr>
      </vt:variant>
      <vt:variant>
        <vt:i4>1638414</vt:i4>
      </vt:variant>
      <vt:variant>
        <vt:i4>4274</vt:i4>
      </vt:variant>
      <vt:variant>
        <vt:i4>0</vt:i4>
      </vt:variant>
      <vt:variant>
        <vt:i4>5</vt:i4>
      </vt:variant>
      <vt:variant>
        <vt:lpwstr/>
      </vt:variant>
      <vt:variant>
        <vt:lpwstr>Chou2004</vt:lpwstr>
      </vt:variant>
      <vt:variant>
        <vt:i4>3014779</vt:i4>
      </vt:variant>
      <vt:variant>
        <vt:i4>4271</vt:i4>
      </vt:variant>
      <vt:variant>
        <vt:i4>0</vt:i4>
      </vt:variant>
      <vt:variant>
        <vt:i4>5</vt:i4>
      </vt:variant>
      <vt:variant>
        <vt:lpwstr/>
      </vt:variant>
      <vt:variant>
        <vt:lpwstr>vanTulder2</vt:lpwstr>
      </vt:variant>
      <vt:variant>
        <vt:i4>6619251</vt:i4>
      </vt:variant>
      <vt:variant>
        <vt:i4>4268</vt:i4>
      </vt:variant>
      <vt:variant>
        <vt:i4>0</vt:i4>
      </vt:variant>
      <vt:variant>
        <vt:i4>5</vt:i4>
      </vt:variant>
      <vt:variant>
        <vt:lpwstr/>
      </vt:variant>
      <vt:variant>
        <vt:lpwstr>See</vt:lpwstr>
      </vt:variant>
      <vt:variant>
        <vt:i4>5701654</vt:i4>
      </vt:variant>
      <vt:variant>
        <vt:i4>4265</vt:i4>
      </vt:variant>
      <vt:variant>
        <vt:i4>0</vt:i4>
      </vt:variant>
      <vt:variant>
        <vt:i4>5</vt:i4>
      </vt:variant>
      <vt:variant>
        <vt:lpwstr/>
      </vt:variant>
      <vt:variant>
        <vt:lpwstr>See2</vt:lpwstr>
      </vt:variant>
      <vt:variant>
        <vt:i4>1638414</vt:i4>
      </vt:variant>
      <vt:variant>
        <vt:i4>4262</vt:i4>
      </vt:variant>
      <vt:variant>
        <vt:i4>0</vt:i4>
      </vt:variant>
      <vt:variant>
        <vt:i4>5</vt:i4>
      </vt:variant>
      <vt:variant>
        <vt:lpwstr/>
      </vt:variant>
      <vt:variant>
        <vt:lpwstr>Chou2004</vt:lpwstr>
      </vt:variant>
      <vt:variant>
        <vt:i4>4849719</vt:i4>
      </vt:variant>
      <vt:variant>
        <vt:i4>4259</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Airaksinen2</vt:lpwstr>
      </vt:variant>
      <vt:variant>
        <vt:i4>1835064</vt:i4>
      </vt:variant>
      <vt:variant>
        <vt:i4>4256</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vanTulder11</vt:lpwstr>
      </vt:variant>
      <vt:variant>
        <vt:i4>2031673</vt:i4>
      </vt:variant>
      <vt:variant>
        <vt:i4>4253</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Schnitzer2</vt:lpwstr>
      </vt:variant>
      <vt:variant>
        <vt:i4>7798887</vt:i4>
      </vt:variant>
      <vt:variant>
        <vt:i4>4250</vt:i4>
      </vt:variant>
      <vt:variant>
        <vt:i4>0</vt:i4>
      </vt:variant>
      <vt:variant>
        <vt:i4>5</vt:i4>
      </vt:variant>
      <vt:variant>
        <vt:lpwstr/>
      </vt:variant>
      <vt:variant>
        <vt:lpwstr>Chronicpainprograms</vt:lpwstr>
      </vt:variant>
      <vt:variant>
        <vt:i4>7012450</vt:i4>
      </vt:variant>
      <vt:variant>
        <vt:i4>4247</vt:i4>
      </vt:variant>
      <vt:variant>
        <vt:i4>0</vt:i4>
      </vt:variant>
      <vt:variant>
        <vt:i4>5</vt:i4>
      </vt:variant>
      <vt:variant>
        <vt:lpwstr/>
      </vt:variant>
      <vt:variant>
        <vt:lpwstr>CRPSmedications</vt:lpwstr>
      </vt:variant>
      <vt:variant>
        <vt:i4>1245209</vt:i4>
      </vt:variant>
      <vt:variant>
        <vt:i4>4244</vt:i4>
      </vt:variant>
      <vt:variant>
        <vt:i4>0</vt:i4>
      </vt:variant>
      <vt:variant>
        <vt:i4>5</vt:i4>
      </vt:variant>
      <vt:variant>
        <vt:lpwstr/>
      </vt:variant>
      <vt:variant>
        <vt:lpwstr>Morphine</vt:lpwstr>
      </vt:variant>
      <vt:variant>
        <vt:i4>6881390</vt:i4>
      </vt:variant>
      <vt:variant>
        <vt:i4>4241</vt:i4>
      </vt:variant>
      <vt:variant>
        <vt:i4>0</vt:i4>
      </vt:variant>
      <vt:variant>
        <vt:i4>5</vt:i4>
      </vt:variant>
      <vt:variant>
        <vt:lpwstr/>
      </vt:variant>
      <vt:variant>
        <vt:lpwstr>Implantabledrugdeliverysystems</vt:lpwstr>
      </vt:variant>
      <vt:variant>
        <vt:i4>327697</vt:i4>
      </vt:variant>
      <vt:variant>
        <vt:i4>4238</vt:i4>
      </vt:variant>
      <vt:variant>
        <vt:i4>0</vt:i4>
      </vt:variant>
      <vt:variant>
        <vt:i4>5</vt:i4>
      </vt:variant>
      <vt:variant>
        <vt:lpwstr/>
      </vt:variant>
      <vt:variant>
        <vt:lpwstr>Oramorph</vt:lpwstr>
      </vt:variant>
      <vt:variant>
        <vt:i4>6684782</vt:i4>
      </vt:variant>
      <vt:variant>
        <vt:i4>4235</vt:i4>
      </vt:variant>
      <vt:variant>
        <vt:i4>0</vt:i4>
      </vt:variant>
      <vt:variant>
        <vt:i4>5</vt:i4>
      </vt:variant>
      <vt:variant>
        <vt:lpwstr/>
      </vt:variant>
      <vt:variant>
        <vt:lpwstr>Kadian</vt:lpwstr>
      </vt:variant>
      <vt:variant>
        <vt:i4>7929970</vt:i4>
      </vt:variant>
      <vt:variant>
        <vt:i4>4232</vt:i4>
      </vt:variant>
      <vt:variant>
        <vt:i4>0</vt:i4>
      </vt:variant>
      <vt:variant>
        <vt:i4>5</vt:i4>
      </vt:variant>
      <vt:variant>
        <vt:lpwstr/>
      </vt:variant>
      <vt:variant>
        <vt:lpwstr>Avinza</vt:lpwstr>
      </vt:variant>
      <vt:variant>
        <vt:i4>6619249</vt:i4>
      </vt:variant>
      <vt:variant>
        <vt:i4>4229</vt:i4>
      </vt:variant>
      <vt:variant>
        <vt:i4>0</vt:i4>
      </vt:variant>
      <vt:variant>
        <vt:i4>5</vt:i4>
      </vt:variant>
      <vt:variant>
        <vt:lpwstr/>
      </vt:variant>
      <vt:variant>
        <vt:lpwstr>MorphinesulfateListing</vt:lpwstr>
      </vt:variant>
      <vt:variant>
        <vt:i4>65547</vt:i4>
      </vt:variant>
      <vt:variant>
        <vt:i4>4226</vt:i4>
      </vt:variant>
      <vt:variant>
        <vt:i4>0</vt:i4>
      </vt:variant>
      <vt:variant>
        <vt:i4>5</vt:i4>
      </vt:variant>
      <vt:variant>
        <vt:lpwstr/>
      </vt:variant>
      <vt:variant>
        <vt:lpwstr>Dros</vt:lpwstr>
      </vt:variant>
      <vt:variant>
        <vt:i4>589972</vt:i4>
      </vt:variant>
      <vt:variant>
        <vt:i4>4223</vt:i4>
      </vt:variant>
      <vt:variant>
        <vt:i4>0</vt:i4>
      </vt:variant>
      <vt:variant>
        <vt:i4>5</vt:i4>
      </vt:variant>
      <vt:variant>
        <vt:lpwstr/>
      </vt:variant>
      <vt:variant>
        <vt:lpwstr>Peñaloza2013</vt:lpwstr>
      </vt:variant>
      <vt:variant>
        <vt:i4>7536757</vt:i4>
      </vt:variant>
      <vt:variant>
        <vt:i4>4220</vt:i4>
      </vt:variant>
      <vt:variant>
        <vt:i4>0</vt:i4>
      </vt:variant>
      <vt:variant>
        <vt:i4>5</vt:i4>
      </vt:variant>
      <vt:variant>
        <vt:lpwstr/>
      </vt:variant>
      <vt:variant>
        <vt:lpwstr>Volkow</vt:lpwstr>
      </vt:variant>
      <vt:variant>
        <vt:i4>2949236</vt:i4>
      </vt:variant>
      <vt:variant>
        <vt:i4>4217</vt:i4>
      </vt:variant>
      <vt:variant>
        <vt:i4>0</vt:i4>
      </vt:variant>
      <vt:variant>
        <vt:i4>5</vt:i4>
      </vt:variant>
      <vt:variant>
        <vt:lpwstr/>
      </vt:variant>
      <vt:variant>
        <vt:lpwstr>Kumar9</vt:lpwstr>
      </vt:variant>
      <vt:variant>
        <vt:i4>7929955</vt:i4>
      </vt:variant>
      <vt:variant>
        <vt:i4>4214</vt:i4>
      </vt:variant>
      <vt:variant>
        <vt:i4>0</vt:i4>
      </vt:variant>
      <vt:variant>
        <vt:i4>5</vt:i4>
      </vt:variant>
      <vt:variant>
        <vt:lpwstr/>
      </vt:variant>
      <vt:variant>
        <vt:lpwstr>AHFSDrugInformation</vt:lpwstr>
      </vt:variant>
      <vt:variant>
        <vt:i4>1245210</vt:i4>
      </vt:variant>
      <vt:variant>
        <vt:i4>4211</vt:i4>
      </vt:variant>
      <vt:variant>
        <vt:i4>0</vt:i4>
      </vt:variant>
      <vt:variant>
        <vt:i4>5</vt:i4>
      </vt:variant>
      <vt:variant>
        <vt:lpwstr/>
      </vt:variant>
      <vt:variant>
        <vt:lpwstr>LexiComp</vt:lpwstr>
      </vt:variant>
      <vt:variant>
        <vt:i4>6946913</vt:i4>
      </vt:variant>
      <vt:variant>
        <vt:i4>4208</vt:i4>
      </vt:variant>
      <vt:variant>
        <vt:i4>0</vt:i4>
      </vt:variant>
      <vt:variant>
        <vt:i4>5</vt:i4>
      </vt:variant>
      <vt:variant>
        <vt:lpwstr/>
      </vt:variant>
      <vt:variant>
        <vt:lpwstr>Micromedex</vt:lpwstr>
      </vt:variant>
      <vt:variant>
        <vt:i4>983062</vt:i4>
      </vt:variant>
      <vt:variant>
        <vt:i4>4205</vt:i4>
      </vt:variant>
      <vt:variant>
        <vt:i4>0</vt:i4>
      </vt:variant>
      <vt:variant>
        <vt:i4>5</vt:i4>
      </vt:variant>
      <vt:variant>
        <vt:lpwstr/>
      </vt:variant>
      <vt:variant>
        <vt:lpwstr>ClinicalPharmacology</vt:lpwstr>
      </vt:variant>
      <vt:variant>
        <vt:i4>131098</vt:i4>
      </vt:variant>
      <vt:variant>
        <vt:i4>4202</vt:i4>
      </vt:variant>
      <vt:variant>
        <vt:i4>0</vt:i4>
      </vt:variant>
      <vt:variant>
        <vt:i4>5</vt:i4>
      </vt:variant>
      <vt:variant>
        <vt:lpwstr/>
      </vt:variant>
      <vt:variant>
        <vt:lpwstr>Meloxicam</vt:lpwstr>
      </vt:variant>
      <vt:variant>
        <vt:i4>917534</vt:i4>
      </vt:variant>
      <vt:variant>
        <vt:i4>4199</vt:i4>
      </vt:variant>
      <vt:variant>
        <vt:i4>0</vt:i4>
      </vt:variant>
      <vt:variant>
        <vt:i4>5</vt:i4>
      </vt:variant>
      <vt:variant>
        <vt:lpwstr/>
      </vt:variant>
      <vt:variant>
        <vt:lpwstr>Yoga</vt:lpwstr>
      </vt:variant>
      <vt:variant>
        <vt:i4>2097271</vt:i4>
      </vt:variant>
      <vt:variant>
        <vt:i4>4196</vt:i4>
      </vt:variant>
      <vt:variant>
        <vt:i4>0</vt:i4>
      </vt:variant>
      <vt:variant>
        <vt:i4>5</vt:i4>
      </vt:variant>
      <vt:variant>
        <vt:lpwstr>http://www.fda.gov/downloads/AboutFDA/CentersOffices/CDER/UCM192786.pdf</vt:lpwstr>
      </vt:variant>
      <vt:variant>
        <vt:lpwstr/>
      </vt:variant>
      <vt:variant>
        <vt:i4>655445</vt:i4>
      </vt:variant>
      <vt:variant>
        <vt:i4>4193</vt:i4>
      </vt:variant>
      <vt:variant>
        <vt:i4>0</vt:i4>
      </vt:variant>
      <vt:variant>
        <vt:i4>5</vt:i4>
      </vt:variant>
      <vt:variant>
        <vt:lpwstr>E:\AppData\Local\Microsoft\Windows\Temporary Internet Files\Content.Outlook\AppData\Local\Microsoft\Windows\Temporary Internet Files\Content.Outlook\50QE161U\stress.htm</vt:lpwstr>
      </vt:variant>
      <vt:variant>
        <vt:lpwstr>Kasper2010</vt:lpwstr>
      </vt:variant>
      <vt:variant>
        <vt:i4>262173</vt:i4>
      </vt:variant>
      <vt:variant>
        <vt:i4>4190</vt:i4>
      </vt:variant>
      <vt:variant>
        <vt:i4>0</vt:i4>
      </vt:variant>
      <vt:variant>
        <vt:i4>5</vt:i4>
      </vt:variant>
      <vt:variant>
        <vt:lpwstr/>
      </vt:variant>
      <vt:variant>
        <vt:lpwstr>Rooks</vt:lpwstr>
      </vt:variant>
      <vt:variant>
        <vt:i4>7536750</vt:i4>
      </vt:variant>
      <vt:variant>
        <vt:i4>4187</vt:i4>
      </vt:variant>
      <vt:variant>
        <vt:i4>0</vt:i4>
      </vt:variant>
      <vt:variant>
        <vt:i4>5</vt:i4>
      </vt:variant>
      <vt:variant>
        <vt:lpwstr/>
      </vt:variant>
      <vt:variant>
        <vt:lpwstr>Benzodiazepines</vt:lpwstr>
      </vt:variant>
      <vt:variant>
        <vt:i4>6029320</vt:i4>
      </vt:variant>
      <vt:variant>
        <vt:i4>4184</vt:i4>
      </vt:variant>
      <vt:variant>
        <vt:i4>0</vt:i4>
      </vt:variant>
      <vt:variant>
        <vt:i4>5</vt:i4>
      </vt:variant>
      <vt:variant>
        <vt:lpwstr/>
      </vt:variant>
      <vt:variant>
        <vt:lpwstr>BlueCrossBlueShield5</vt:lpwstr>
      </vt:variant>
      <vt:variant>
        <vt:i4>6488166</vt:i4>
      </vt:variant>
      <vt:variant>
        <vt:i4>4181</vt:i4>
      </vt:variant>
      <vt:variant>
        <vt:i4>0</vt:i4>
      </vt:variant>
      <vt:variant>
        <vt:i4>5</vt:i4>
      </vt:variant>
      <vt:variant>
        <vt:lpwstr/>
      </vt:variant>
      <vt:variant>
        <vt:lpwstr>Opioidinducedconstipationtreatment</vt:lpwstr>
      </vt:variant>
      <vt:variant>
        <vt:i4>1376329</vt:i4>
      </vt:variant>
      <vt:variant>
        <vt:i4>4178</vt:i4>
      </vt:variant>
      <vt:variant>
        <vt:i4>0</vt:i4>
      </vt:variant>
      <vt:variant>
        <vt:i4>5</vt:i4>
      </vt:variant>
      <vt:variant>
        <vt:lpwstr>http://www.cdc.gov/vitalsigns/MethadoneOverdoses/</vt:lpwstr>
      </vt:variant>
      <vt:variant>
        <vt:lpwstr/>
      </vt:variant>
      <vt:variant>
        <vt:i4>917531</vt:i4>
      </vt:variant>
      <vt:variant>
        <vt:i4>4175</vt:i4>
      </vt:variant>
      <vt:variant>
        <vt:i4>0</vt:i4>
      </vt:variant>
      <vt:variant>
        <vt:i4>5</vt:i4>
      </vt:variant>
      <vt:variant>
        <vt:lpwstr/>
      </vt:variant>
      <vt:variant>
        <vt:lpwstr>CenterforSubstanceAbuseTreatment2009</vt:lpwstr>
      </vt:variant>
      <vt:variant>
        <vt:i4>1179668</vt:i4>
      </vt:variant>
      <vt:variant>
        <vt:i4>4172</vt:i4>
      </vt:variant>
      <vt:variant>
        <vt:i4>0</vt:i4>
      </vt:variant>
      <vt:variant>
        <vt:i4>5</vt:i4>
      </vt:variant>
      <vt:variant>
        <vt:lpwstr/>
      </vt:variant>
      <vt:variant>
        <vt:lpwstr>Dart2007</vt:lpwstr>
      </vt:variant>
      <vt:variant>
        <vt:i4>720961</vt:i4>
      </vt:variant>
      <vt:variant>
        <vt:i4>4169</vt:i4>
      </vt:variant>
      <vt:variant>
        <vt:i4>0</vt:i4>
      </vt:variant>
      <vt:variant>
        <vt:i4>5</vt:i4>
      </vt:variant>
      <vt:variant>
        <vt:lpwstr/>
      </vt:variant>
      <vt:variant>
        <vt:lpwstr>Fingerhut2008</vt:lpwstr>
      </vt:variant>
      <vt:variant>
        <vt:i4>1966082</vt:i4>
      </vt:variant>
      <vt:variant>
        <vt:i4>4166</vt:i4>
      </vt:variant>
      <vt:variant>
        <vt:i4>0</vt:i4>
      </vt:variant>
      <vt:variant>
        <vt:i4>5</vt:i4>
      </vt:variant>
      <vt:variant>
        <vt:lpwstr/>
      </vt:variant>
      <vt:variant>
        <vt:lpwstr>Fredheim</vt:lpwstr>
      </vt:variant>
      <vt:variant>
        <vt:i4>1441792</vt:i4>
      </vt:variant>
      <vt:variant>
        <vt:i4>4163</vt:i4>
      </vt:variant>
      <vt:variant>
        <vt:i4>0</vt:i4>
      </vt:variant>
      <vt:variant>
        <vt:i4>5</vt:i4>
      </vt:variant>
      <vt:variant>
        <vt:lpwstr/>
      </vt:variant>
      <vt:variant>
        <vt:lpwstr>Weschules</vt:lpwstr>
      </vt:variant>
      <vt:variant>
        <vt:i4>6422650</vt:i4>
      </vt:variant>
      <vt:variant>
        <vt:i4>4160</vt:i4>
      </vt:variant>
      <vt:variant>
        <vt:i4>0</vt:i4>
      </vt:variant>
      <vt:variant>
        <vt:i4>5</vt:i4>
      </vt:variant>
      <vt:variant>
        <vt:lpwstr/>
      </vt:variant>
      <vt:variant>
        <vt:lpwstr>Musclerelaxants</vt:lpwstr>
      </vt:variant>
      <vt:variant>
        <vt:i4>1900562</vt:i4>
      </vt:variant>
      <vt:variant>
        <vt:i4>4157</vt:i4>
      </vt:variant>
      <vt:variant>
        <vt:i4>0</vt:i4>
      </vt:variant>
      <vt:variant>
        <vt:i4>5</vt:i4>
      </vt:variant>
      <vt:variant>
        <vt:lpwstr/>
      </vt:variant>
      <vt:variant>
        <vt:lpwstr>Carisoprodol</vt:lpwstr>
      </vt:variant>
      <vt:variant>
        <vt:i4>6553634</vt:i4>
      </vt:variant>
      <vt:variant>
        <vt:i4>4154</vt:i4>
      </vt:variant>
      <vt:variant>
        <vt:i4>0</vt:i4>
      </vt:variant>
      <vt:variant>
        <vt:i4>5</vt:i4>
      </vt:variant>
      <vt:variant>
        <vt:lpwstr/>
      </vt:variant>
      <vt:variant>
        <vt:lpwstr>AGS2012</vt:lpwstr>
      </vt:variant>
      <vt:variant>
        <vt:i4>7995509</vt:i4>
      </vt:variant>
      <vt:variant>
        <vt:i4>4151</vt:i4>
      </vt:variant>
      <vt:variant>
        <vt:i4>0</vt:i4>
      </vt:variant>
      <vt:variant>
        <vt:i4>5</vt:i4>
      </vt:variant>
      <vt:variant>
        <vt:lpwstr/>
      </vt:variant>
      <vt:variant>
        <vt:lpwstr>McGettigan2011</vt:lpwstr>
      </vt:variant>
      <vt:variant>
        <vt:i4>1245188</vt:i4>
      </vt:variant>
      <vt:variant>
        <vt:i4>4148</vt:i4>
      </vt:variant>
      <vt:variant>
        <vt:i4>0</vt:i4>
      </vt:variant>
      <vt:variant>
        <vt:i4>5</vt:i4>
      </vt:variant>
      <vt:variant>
        <vt:lpwstr/>
      </vt:variant>
      <vt:variant>
        <vt:lpwstr>MeloxicamListing</vt:lpwstr>
      </vt:variant>
      <vt:variant>
        <vt:i4>1441796</vt:i4>
      </vt:variant>
      <vt:variant>
        <vt:i4>4145</vt:i4>
      </vt:variant>
      <vt:variant>
        <vt:i4>0</vt:i4>
      </vt:variant>
      <vt:variant>
        <vt:i4>5</vt:i4>
      </vt:variant>
      <vt:variant>
        <vt:lpwstr/>
      </vt:variant>
      <vt:variant>
        <vt:lpwstr>NSAIDsspecificdruglistadverseeffects</vt:lpwstr>
      </vt:variant>
      <vt:variant>
        <vt:i4>6750314</vt:i4>
      </vt:variant>
      <vt:variant>
        <vt:i4>4142</vt:i4>
      </vt:variant>
      <vt:variant>
        <vt:i4>0</vt:i4>
      </vt:variant>
      <vt:variant>
        <vt:i4>5</vt:i4>
      </vt:variant>
      <vt:variant>
        <vt:lpwstr/>
      </vt:variant>
      <vt:variant>
        <vt:lpwstr>NSAIDshypertensionandrenalfunction</vt:lpwstr>
      </vt:variant>
      <vt:variant>
        <vt:i4>6357091</vt:i4>
      </vt:variant>
      <vt:variant>
        <vt:i4>4139</vt:i4>
      </vt:variant>
      <vt:variant>
        <vt:i4>0</vt:i4>
      </vt:variant>
      <vt:variant>
        <vt:i4>5</vt:i4>
      </vt:variant>
      <vt:variant>
        <vt:lpwstr/>
      </vt:variant>
      <vt:variant>
        <vt:lpwstr>NSAIDsGIsymptomscardiovascularrisk</vt:lpwstr>
      </vt:variant>
      <vt:variant>
        <vt:i4>6881387</vt:i4>
      </vt:variant>
      <vt:variant>
        <vt:i4>4136</vt:i4>
      </vt:variant>
      <vt:variant>
        <vt:i4>0</vt:i4>
      </vt:variant>
      <vt:variant>
        <vt:i4>5</vt:i4>
      </vt:variant>
      <vt:variant>
        <vt:lpwstr/>
      </vt:variant>
      <vt:variant>
        <vt:lpwstr>NSAIDs</vt:lpwstr>
      </vt:variant>
      <vt:variant>
        <vt:i4>7405685</vt:i4>
      </vt:variant>
      <vt:variant>
        <vt:i4>4133</vt:i4>
      </vt:variant>
      <vt:variant>
        <vt:i4>0</vt:i4>
      </vt:variant>
      <vt:variant>
        <vt:i4>5</vt:i4>
      </vt:variant>
      <vt:variant>
        <vt:lpwstr/>
      </vt:variant>
      <vt:variant>
        <vt:lpwstr>Wilhelmsen2011</vt:lpwstr>
      </vt:variant>
      <vt:variant>
        <vt:i4>1966110</vt:i4>
      </vt:variant>
      <vt:variant>
        <vt:i4>4130</vt:i4>
      </vt:variant>
      <vt:variant>
        <vt:i4>0</vt:i4>
      </vt:variant>
      <vt:variant>
        <vt:i4>5</vt:i4>
      </vt:variant>
      <vt:variant>
        <vt:lpwstr/>
      </vt:variant>
      <vt:variant>
        <vt:lpwstr>Insomniatreatment</vt:lpwstr>
      </vt:variant>
      <vt:variant>
        <vt:i4>1114143</vt:i4>
      </vt:variant>
      <vt:variant>
        <vt:i4>4127</vt:i4>
      </vt:variant>
      <vt:variant>
        <vt:i4>0</vt:i4>
      </vt:variant>
      <vt:variant>
        <vt:i4>5</vt:i4>
      </vt:variant>
      <vt:variant>
        <vt:lpwstr/>
      </vt:variant>
      <vt:variant>
        <vt:lpwstr>MefenamicAcidListing</vt:lpwstr>
      </vt:variant>
      <vt:variant>
        <vt:i4>1441796</vt:i4>
      </vt:variant>
      <vt:variant>
        <vt:i4>4124</vt:i4>
      </vt:variant>
      <vt:variant>
        <vt:i4>0</vt:i4>
      </vt:variant>
      <vt:variant>
        <vt:i4>5</vt:i4>
      </vt:variant>
      <vt:variant>
        <vt:lpwstr/>
      </vt:variant>
      <vt:variant>
        <vt:lpwstr>NSAIDsspecificdruglistadverseeffects</vt:lpwstr>
      </vt:variant>
      <vt:variant>
        <vt:i4>6750314</vt:i4>
      </vt:variant>
      <vt:variant>
        <vt:i4>4121</vt:i4>
      </vt:variant>
      <vt:variant>
        <vt:i4>0</vt:i4>
      </vt:variant>
      <vt:variant>
        <vt:i4>5</vt:i4>
      </vt:variant>
      <vt:variant>
        <vt:lpwstr/>
      </vt:variant>
      <vt:variant>
        <vt:lpwstr>NSAIDshypertensionandrenalfunction</vt:lpwstr>
      </vt:variant>
      <vt:variant>
        <vt:i4>6357091</vt:i4>
      </vt:variant>
      <vt:variant>
        <vt:i4>4118</vt:i4>
      </vt:variant>
      <vt:variant>
        <vt:i4>0</vt:i4>
      </vt:variant>
      <vt:variant>
        <vt:i4>5</vt:i4>
      </vt:variant>
      <vt:variant>
        <vt:lpwstr/>
      </vt:variant>
      <vt:variant>
        <vt:lpwstr>NSAIDsGIsymptomscardiovascularrisk</vt:lpwstr>
      </vt:variant>
      <vt:variant>
        <vt:i4>6881387</vt:i4>
      </vt:variant>
      <vt:variant>
        <vt:i4>4115</vt:i4>
      </vt:variant>
      <vt:variant>
        <vt:i4>0</vt:i4>
      </vt:variant>
      <vt:variant>
        <vt:i4>5</vt:i4>
      </vt:variant>
      <vt:variant>
        <vt:lpwstr/>
      </vt:variant>
      <vt:variant>
        <vt:lpwstr>NSAIDs</vt:lpwstr>
      </vt:variant>
      <vt:variant>
        <vt:i4>8061046</vt:i4>
      </vt:variant>
      <vt:variant>
        <vt:i4>4112</vt:i4>
      </vt:variant>
      <vt:variant>
        <vt:i4>0</vt:i4>
      </vt:variant>
      <vt:variant>
        <vt:i4>5</vt:i4>
      </vt:variant>
      <vt:variant>
        <vt:lpwstr/>
      </vt:variant>
      <vt:variant>
        <vt:lpwstr>Oralcorticosteroids</vt:lpwstr>
      </vt:variant>
      <vt:variant>
        <vt:i4>7405679</vt:i4>
      </vt:variant>
      <vt:variant>
        <vt:i4>4109</vt:i4>
      </vt:variant>
      <vt:variant>
        <vt:i4>0</vt:i4>
      </vt:variant>
      <vt:variant>
        <vt:i4>5</vt:i4>
      </vt:variant>
      <vt:variant>
        <vt:lpwstr/>
      </vt:variant>
      <vt:variant>
        <vt:lpwstr>Olesen</vt:lpwstr>
      </vt:variant>
      <vt:variant>
        <vt:i4>262151</vt:i4>
      </vt:variant>
      <vt:variant>
        <vt:i4>4106</vt:i4>
      </vt:variant>
      <vt:variant>
        <vt:i4>0</vt:i4>
      </vt:variant>
      <vt:variant>
        <vt:i4>5</vt:i4>
      </vt:variant>
      <vt:variant>
        <vt:lpwstr/>
      </vt:variant>
      <vt:variant>
        <vt:lpwstr>Lake</vt:lpwstr>
      </vt:variant>
      <vt:variant>
        <vt:i4>3997808</vt:i4>
      </vt:variant>
      <vt:variant>
        <vt:i4>4103</vt:i4>
      </vt:variant>
      <vt:variant>
        <vt:i4>0</vt:i4>
      </vt:variant>
      <vt:variant>
        <vt:i4>5</vt:i4>
      </vt:variant>
      <vt:variant>
        <vt:lpwstr/>
      </vt:variant>
      <vt:variant>
        <vt:lpwstr>Mason3</vt:lpwstr>
      </vt:variant>
      <vt:variant>
        <vt:i4>6684744</vt:i4>
      </vt:variant>
      <vt:variant>
        <vt:i4>4100</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Roelofs2</vt:lpwstr>
      </vt:variant>
      <vt:variant>
        <vt:i4>6553706</vt:i4>
      </vt:variant>
      <vt:variant>
        <vt:i4>4097</vt:i4>
      </vt:variant>
      <vt:variant>
        <vt:i4>0</vt:i4>
      </vt:variant>
      <vt:variant>
        <vt:i4>5</vt:i4>
      </vt:variant>
      <vt:variant>
        <vt:lpwstr/>
      </vt:variant>
      <vt:variant>
        <vt:lpwstr>Watkins</vt:lpwstr>
      </vt:variant>
      <vt:variant>
        <vt:i4>262217</vt:i4>
      </vt:variant>
      <vt:variant>
        <vt:i4>4094</vt:i4>
      </vt:variant>
      <vt:variant>
        <vt:i4>0</vt:i4>
      </vt:variant>
      <vt:variant>
        <vt:i4>5</vt:i4>
      </vt:variant>
      <vt:variant>
        <vt:lpwstr>http://www.tylenol.com/page2.jhtml?id=tylenol/news/newdosing.inc</vt:lpwstr>
      </vt:variant>
      <vt:variant>
        <vt:lpwstr/>
      </vt:variant>
      <vt:variant>
        <vt:i4>589840</vt:i4>
      </vt:variant>
      <vt:variant>
        <vt:i4>4091</vt:i4>
      </vt:variant>
      <vt:variant>
        <vt:i4>0</vt:i4>
      </vt:variant>
      <vt:variant>
        <vt:i4>5</vt:i4>
      </vt:variant>
      <vt:variant>
        <vt:lpwstr/>
      </vt:variant>
      <vt:variant>
        <vt:lpwstr>Sachs</vt:lpwstr>
      </vt:variant>
      <vt:variant>
        <vt:i4>6357088</vt:i4>
      </vt:variant>
      <vt:variant>
        <vt:i4>4088</vt:i4>
      </vt:variant>
      <vt:variant>
        <vt:i4>0</vt:i4>
      </vt:variant>
      <vt:variant>
        <vt:i4>5</vt:i4>
      </vt:variant>
      <vt:variant>
        <vt:lpwstr/>
      </vt:variant>
      <vt:variant>
        <vt:lpwstr>Edwards</vt:lpwstr>
      </vt:variant>
      <vt:variant>
        <vt:i4>1638414</vt:i4>
      </vt:variant>
      <vt:variant>
        <vt:i4>4085</vt:i4>
      </vt:variant>
      <vt:variant>
        <vt:i4>0</vt:i4>
      </vt:variant>
      <vt:variant>
        <vt:i4>5</vt:i4>
      </vt:variant>
      <vt:variant>
        <vt:lpwstr/>
      </vt:variant>
      <vt:variant>
        <vt:lpwstr>Cannabinoids</vt:lpwstr>
      </vt:variant>
      <vt:variant>
        <vt:i4>458768</vt:i4>
      </vt:variant>
      <vt:variant>
        <vt:i4>4082</vt:i4>
      </vt:variant>
      <vt:variant>
        <vt:i4>0</vt:i4>
      </vt:variant>
      <vt:variant>
        <vt:i4>5</vt:i4>
      </vt:variant>
      <vt:variant>
        <vt:lpwstr/>
      </vt:variant>
      <vt:variant>
        <vt:lpwstr>CFSAN</vt:lpwstr>
      </vt:variant>
      <vt:variant>
        <vt:i4>720916</vt:i4>
      </vt:variant>
      <vt:variant>
        <vt:i4>4079</vt:i4>
      </vt:variant>
      <vt:variant>
        <vt:i4>0</vt:i4>
      </vt:variant>
      <vt:variant>
        <vt:i4>5</vt:i4>
      </vt:variant>
      <vt:variant>
        <vt:lpwstr/>
      </vt:variant>
      <vt:variant>
        <vt:lpwstr>Functionalimprovementmeasures</vt:lpwstr>
      </vt:variant>
      <vt:variant>
        <vt:i4>917529</vt:i4>
      </vt:variant>
      <vt:variant>
        <vt:i4>4076</vt:i4>
      </vt:variant>
      <vt:variant>
        <vt:i4>0</vt:i4>
      </vt:variant>
      <vt:variant>
        <vt:i4>5</vt:i4>
      </vt:variant>
      <vt:variant>
        <vt:lpwstr/>
      </vt:variant>
      <vt:variant>
        <vt:lpwstr>Colorado</vt:lpwstr>
      </vt:variant>
      <vt:variant>
        <vt:i4>2031703</vt:i4>
      </vt:variant>
      <vt:variant>
        <vt:i4>4073</vt:i4>
      </vt:variant>
      <vt:variant>
        <vt:i4>0</vt:i4>
      </vt:variant>
      <vt:variant>
        <vt:i4>5</vt:i4>
      </vt:variant>
      <vt:variant>
        <vt:lpwstr/>
      </vt:variant>
      <vt:variant>
        <vt:lpwstr>Crane2012</vt:lpwstr>
      </vt:variant>
      <vt:variant>
        <vt:i4>4587574</vt:i4>
      </vt:variant>
      <vt:variant>
        <vt:i4>4070</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Furlan3</vt:lpwstr>
      </vt:variant>
      <vt:variant>
        <vt:i4>8126526</vt:i4>
      </vt:variant>
      <vt:variant>
        <vt:i4>4067</vt:i4>
      </vt:variant>
      <vt:variant>
        <vt:i4>0</vt:i4>
      </vt:variant>
      <vt:variant>
        <vt:i4>5</vt:i4>
      </vt:variant>
      <vt:variant>
        <vt:lpwstr>E:\AppData\Local\Microsoft\Windows\Temporary Internet Files\Content.Outlook\AppData\Local\Microsoft\Windows\Temporary Internet Files\Content.Outlook\50QE161U\neck.htm</vt:lpwstr>
      </vt:variant>
      <vt:variant>
        <vt:lpwstr>Haraldsson2</vt:lpwstr>
      </vt:variant>
      <vt:variant>
        <vt:i4>8257648</vt:i4>
      </vt:variant>
      <vt:variant>
        <vt:i4>4064</vt:i4>
      </vt:variant>
      <vt:variant>
        <vt:i4>0</vt:i4>
      </vt:variant>
      <vt:variant>
        <vt:i4>5</vt:i4>
      </vt:variant>
      <vt:variant>
        <vt:lpwstr/>
      </vt:variant>
      <vt:variant>
        <vt:lpwstr>Mitchinson</vt:lpwstr>
      </vt:variant>
      <vt:variant>
        <vt:i4>6488184</vt:i4>
      </vt:variant>
      <vt:variant>
        <vt:i4>4061</vt:i4>
      </vt:variant>
      <vt:variant>
        <vt:i4>0</vt:i4>
      </vt:variant>
      <vt:variant>
        <vt:i4>5</vt:i4>
      </vt:variant>
      <vt:variant>
        <vt:lpwstr/>
      </vt:variant>
      <vt:variant>
        <vt:lpwstr>Corbin</vt:lpwstr>
      </vt:variant>
      <vt:variant>
        <vt:i4>6815864</vt:i4>
      </vt:variant>
      <vt:variant>
        <vt:i4>4058</vt:i4>
      </vt:variant>
      <vt:variant>
        <vt:i4>0</vt:i4>
      </vt:variant>
      <vt:variant>
        <vt:i4>5</vt:i4>
      </vt:variant>
      <vt:variant>
        <vt:lpwstr/>
      </vt:variant>
      <vt:variant>
        <vt:lpwstr>Walach</vt:lpwstr>
      </vt:variant>
      <vt:variant>
        <vt:i4>8126580</vt:i4>
      </vt:variant>
      <vt:variant>
        <vt:i4>4055</vt:i4>
      </vt:variant>
      <vt:variant>
        <vt:i4>0</vt:i4>
      </vt:variant>
      <vt:variant>
        <vt:i4>5</vt:i4>
      </vt:variant>
      <vt:variant>
        <vt:lpwstr/>
      </vt:variant>
      <vt:variant>
        <vt:lpwstr>Hasson</vt:lpwstr>
      </vt:variant>
      <vt:variant>
        <vt:i4>1638414</vt:i4>
      </vt:variant>
      <vt:variant>
        <vt:i4>4052</vt:i4>
      </vt:variant>
      <vt:variant>
        <vt:i4>0</vt:i4>
      </vt:variant>
      <vt:variant>
        <vt:i4>5</vt:i4>
      </vt:variant>
      <vt:variant>
        <vt:lpwstr/>
      </vt:variant>
      <vt:variant>
        <vt:lpwstr>Cannabinoids</vt:lpwstr>
      </vt:variant>
      <vt:variant>
        <vt:i4>917529</vt:i4>
      </vt:variant>
      <vt:variant>
        <vt:i4>4049</vt:i4>
      </vt:variant>
      <vt:variant>
        <vt:i4>0</vt:i4>
      </vt:variant>
      <vt:variant>
        <vt:i4>5</vt:i4>
      </vt:variant>
      <vt:variant>
        <vt:lpwstr/>
      </vt:variant>
      <vt:variant>
        <vt:lpwstr>Colorado</vt:lpwstr>
      </vt:variant>
      <vt:variant>
        <vt:i4>720916</vt:i4>
      </vt:variant>
      <vt:variant>
        <vt:i4>4046</vt:i4>
      </vt:variant>
      <vt:variant>
        <vt:i4>0</vt:i4>
      </vt:variant>
      <vt:variant>
        <vt:i4>5</vt:i4>
      </vt:variant>
      <vt:variant>
        <vt:lpwstr/>
      </vt:variant>
      <vt:variant>
        <vt:lpwstr>Functionalimprovementmeasures</vt:lpwstr>
      </vt:variant>
      <vt:variant>
        <vt:i4>720916</vt:i4>
      </vt:variant>
      <vt:variant>
        <vt:i4>4043</vt:i4>
      </vt:variant>
      <vt:variant>
        <vt:i4>0</vt:i4>
      </vt:variant>
      <vt:variant>
        <vt:i4>5</vt:i4>
      </vt:variant>
      <vt:variant>
        <vt:lpwstr/>
      </vt:variant>
      <vt:variant>
        <vt:lpwstr>Functionalimprovementmeasures</vt:lpwstr>
      </vt:variant>
      <vt:variant>
        <vt:i4>5308424</vt:i4>
      </vt:variant>
      <vt:variant>
        <vt:i4>4040</vt:i4>
      </vt:variant>
      <vt:variant>
        <vt:i4>0</vt:i4>
      </vt:variant>
      <vt:variant>
        <vt:i4>5</vt:i4>
      </vt:variant>
      <vt:variant>
        <vt:lpwstr/>
      </vt:variant>
      <vt:variant>
        <vt:lpwstr>BlueCrossBlueShield8</vt:lpwstr>
      </vt:variant>
      <vt:variant>
        <vt:i4>3473478</vt:i4>
      </vt:variant>
      <vt:variant>
        <vt:i4>4037</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Maher</vt:lpwstr>
      </vt:variant>
      <vt:variant>
        <vt:i4>2424898</vt:i4>
      </vt:variant>
      <vt:variant>
        <vt:i4>4034</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Collacott</vt:lpwstr>
      </vt:variant>
      <vt:variant>
        <vt:i4>7667836</vt:i4>
      </vt:variant>
      <vt:variant>
        <vt:i4>4031</vt:i4>
      </vt:variant>
      <vt:variant>
        <vt:i4>0</vt:i4>
      </vt:variant>
      <vt:variant>
        <vt:i4>5</vt:i4>
      </vt:variant>
      <vt:variant>
        <vt:lpwstr/>
      </vt:variant>
      <vt:variant>
        <vt:lpwstr>Pregabalin</vt:lpwstr>
      </vt:variant>
      <vt:variant>
        <vt:i4>1703952</vt:i4>
      </vt:variant>
      <vt:variant>
        <vt:i4>4028</vt:i4>
      </vt:variant>
      <vt:variant>
        <vt:i4>0</vt:i4>
      </vt:variant>
      <vt:variant>
        <vt:i4>5</vt:i4>
      </vt:variant>
      <vt:variant>
        <vt:lpwstr/>
      </vt:variant>
      <vt:variant>
        <vt:lpwstr>Uher</vt:lpwstr>
      </vt:variant>
      <vt:variant>
        <vt:i4>1048590</vt:i4>
      </vt:variant>
      <vt:variant>
        <vt:i4>4025</vt:i4>
      </vt:variant>
      <vt:variant>
        <vt:i4>0</vt:i4>
      </vt:variant>
      <vt:variant>
        <vt:i4>5</vt:i4>
      </vt:variant>
      <vt:variant>
        <vt:lpwstr/>
      </vt:variant>
      <vt:variant>
        <vt:lpwstr>Eszopicolone</vt:lpwstr>
      </vt:variant>
      <vt:variant>
        <vt:i4>917529</vt:i4>
      </vt:variant>
      <vt:variant>
        <vt:i4>4022</vt:i4>
      </vt:variant>
      <vt:variant>
        <vt:i4>0</vt:i4>
      </vt:variant>
      <vt:variant>
        <vt:i4>5</vt:i4>
      </vt:variant>
      <vt:variant>
        <vt:lpwstr/>
      </vt:variant>
      <vt:variant>
        <vt:lpwstr>Colorado2</vt:lpwstr>
      </vt:variant>
      <vt:variant>
        <vt:i4>720916</vt:i4>
      </vt:variant>
      <vt:variant>
        <vt:i4>4019</vt:i4>
      </vt:variant>
      <vt:variant>
        <vt:i4>0</vt:i4>
      </vt:variant>
      <vt:variant>
        <vt:i4>5</vt:i4>
      </vt:variant>
      <vt:variant>
        <vt:lpwstr/>
      </vt:variant>
      <vt:variant>
        <vt:lpwstr>Functionalimprovementmeasures</vt:lpwstr>
      </vt:variant>
      <vt:variant>
        <vt:i4>6488166</vt:i4>
      </vt:variant>
      <vt:variant>
        <vt:i4>4016</vt:i4>
      </vt:variant>
      <vt:variant>
        <vt:i4>0</vt:i4>
      </vt:variant>
      <vt:variant>
        <vt:i4>5</vt:i4>
      </vt:variant>
      <vt:variant>
        <vt:lpwstr/>
      </vt:variant>
      <vt:variant>
        <vt:lpwstr>Opioidinducedconstipationtreatment</vt:lpwstr>
      </vt:variant>
      <vt:variant>
        <vt:i4>8323188</vt:i4>
      </vt:variant>
      <vt:variant>
        <vt:i4>4013</vt:i4>
      </vt:variant>
      <vt:variant>
        <vt:i4>0</vt:i4>
      </vt:variant>
      <vt:variant>
        <vt:i4>5</vt:i4>
      </vt:variant>
      <vt:variant>
        <vt:lpwstr/>
      </vt:variant>
      <vt:variant>
        <vt:lpwstr>YousefiNooraie</vt:lpwstr>
      </vt:variant>
      <vt:variant>
        <vt:i4>1114143</vt:i4>
      </vt:variant>
      <vt:variant>
        <vt:i4>4010</vt:i4>
      </vt:variant>
      <vt:variant>
        <vt:i4>0</vt:i4>
      </vt:variant>
      <vt:variant>
        <vt:i4>5</vt:i4>
      </vt:variant>
      <vt:variant>
        <vt:lpwstr/>
      </vt:variant>
      <vt:variant>
        <vt:lpwstr>Brosseau3</vt:lpwstr>
      </vt:variant>
      <vt:variant>
        <vt:i4>5242888</vt:i4>
      </vt:variant>
      <vt:variant>
        <vt:i4>4007</vt:i4>
      </vt:variant>
      <vt:variant>
        <vt:i4>0</vt:i4>
      </vt:variant>
      <vt:variant>
        <vt:i4>5</vt:i4>
      </vt:variant>
      <vt:variant>
        <vt:lpwstr/>
      </vt:variant>
      <vt:variant>
        <vt:lpwstr>BlueCrossBlueShield95</vt:lpwstr>
      </vt:variant>
      <vt:variant>
        <vt:i4>5242888</vt:i4>
      </vt:variant>
      <vt:variant>
        <vt:i4>4004</vt:i4>
      </vt:variant>
      <vt:variant>
        <vt:i4>0</vt:i4>
      </vt:variant>
      <vt:variant>
        <vt:i4>5</vt:i4>
      </vt:variant>
      <vt:variant>
        <vt:lpwstr/>
      </vt:variant>
      <vt:variant>
        <vt:lpwstr>BlueCrossBlueShield95</vt:lpwstr>
      </vt:variant>
      <vt:variant>
        <vt:i4>5242888</vt:i4>
      </vt:variant>
      <vt:variant>
        <vt:i4>4001</vt:i4>
      </vt:variant>
      <vt:variant>
        <vt:i4>0</vt:i4>
      </vt:variant>
      <vt:variant>
        <vt:i4>5</vt:i4>
      </vt:variant>
      <vt:variant>
        <vt:lpwstr/>
      </vt:variant>
      <vt:variant>
        <vt:lpwstr>BlueCrossBlueShield95</vt:lpwstr>
      </vt:variant>
      <vt:variant>
        <vt:i4>5242888</vt:i4>
      </vt:variant>
      <vt:variant>
        <vt:i4>3998</vt:i4>
      </vt:variant>
      <vt:variant>
        <vt:i4>0</vt:i4>
      </vt:variant>
      <vt:variant>
        <vt:i4>5</vt:i4>
      </vt:variant>
      <vt:variant>
        <vt:lpwstr/>
      </vt:variant>
      <vt:variant>
        <vt:lpwstr>BlueCrossBlueShield95</vt:lpwstr>
      </vt:variant>
      <vt:variant>
        <vt:i4>5242888</vt:i4>
      </vt:variant>
      <vt:variant>
        <vt:i4>3995</vt:i4>
      </vt:variant>
      <vt:variant>
        <vt:i4>0</vt:i4>
      </vt:variant>
      <vt:variant>
        <vt:i4>5</vt:i4>
      </vt:variant>
      <vt:variant>
        <vt:lpwstr/>
      </vt:variant>
      <vt:variant>
        <vt:lpwstr>BlueCrossBlueShield95</vt:lpwstr>
      </vt:variant>
      <vt:variant>
        <vt:i4>5242888</vt:i4>
      </vt:variant>
      <vt:variant>
        <vt:i4>3992</vt:i4>
      </vt:variant>
      <vt:variant>
        <vt:i4>0</vt:i4>
      </vt:variant>
      <vt:variant>
        <vt:i4>5</vt:i4>
      </vt:variant>
      <vt:variant>
        <vt:lpwstr/>
      </vt:variant>
      <vt:variant>
        <vt:lpwstr>BlueCrossBlueShield95</vt:lpwstr>
      </vt:variant>
      <vt:variant>
        <vt:i4>7536750</vt:i4>
      </vt:variant>
      <vt:variant>
        <vt:i4>3989</vt:i4>
      </vt:variant>
      <vt:variant>
        <vt:i4>0</vt:i4>
      </vt:variant>
      <vt:variant>
        <vt:i4>5</vt:i4>
      </vt:variant>
      <vt:variant>
        <vt:lpwstr/>
      </vt:variant>
      <vt:variant>
        <vt:lpwstr>Benzodiazepines</vt:lpwstr>
      </vt:variant>
      <vt:variant>
        <vt:i4>6553705</vt:i4>
      </vt:variant>
      <vt:variant>
        <vt:i4>3986</vt:i4>
      </vt:variant>
      <vt:variant>
        <vt:i4>0</vt:i4>
      </vt:variant>
      <vt:variant>
        <vt:i4>5</vt:i4>
      </vt:variant>
      <vt:variant>
        <vt:lpwstr/>
      </vt:variant>
      <vt:variant>
        <vt:lpwstr>Medicalfood</vt:lpwstr>
      </vt:variant>
      <vt:variant>
        <vt:i4>1048581</vt:i4>
      </vt:variant>
      <vt:variant>
        <vt:i4>3983</vt:i4>
      </vt:variant>
      <vt:variant>
        <vt:i4>0</vt:i4>
      </vt:variant>
      <vt:variant>
        <vt:i4>5</vt:i4>
      </vt:variant>
      <vt:variant>
        <vt:lpwstr/>
      </vt:variant>
      <vt:variant>
        <vt:lpwstr>Topicalanalgesics</vt:lpwstr>
      </vt:variant>
      <vt:variant>
        <vt:i4>1048581</vt:i4>
      </vt:variant>
      <vt:variant>
        <vt:i4>3980</vt:i4>
      </vt:variant>
      <vt:variant>
        <vt:i4>0</vt:i4>
      </vt:variant>
      <vt:variant>
        <vt:i4>5</vt:i4>
      </vt:variant>
      <vt:variant>
        <vt:lpwstr/>
      </vt:variant>
      <vt:variant>
        <vt:lpwstr>Topicalanalgesics</vt:lpwstr>
      </vt:variant>
      <vt:variant>
        <vt:i4>196611</vt:i4>
      </vt:variant>
      <vt:variant>
        <vt:i4>3977</vt:i4>
      </vt:variant>
      <vt:variant>
        <vt:i4>0</vt:i4>
      </vt:variant>
      <vt:variant>
        <vt:i4>5</vt:i4>
      </vt:variant>
      <vt:variant>
        <vt:lpwstr/>
      </vt:variant>
      <vt:variant>
        <vt:lpwstr>CRPSsympatheticandepiduralblocks</vt:lpwstr>
      </vt:variant>
      <vt:variant>
        <vt:i4>7012450</vt:i4>
      </vt:variant>
      <vt:variant>
        <vt:i4>3974</vt:i4>
      </vt:variant>
      <vt:variant>
        <vt:i4>0</vt:i4>
      </vt:variant>
      <vt:variant>
        <vt:i4>5</vt:i4>
      </vt:variant>
      <vt:variant>
        <vt:lpwstr/>
      </vt:variant>
      <vt:variant>
        <vt:lpwstr>CRPSmedications</vt:lpwstr>
      </vt:variant>
      <vt:variant>
        <vt:i4>1900565</vt:i4>
      </vt:variant>
      <vt:variant>
        <vt:i4>3971</vt:i4>
      </vt:variant>
      <vt:variant>
        <vt:i4>0</vt:i4>
      </vt:variant>
      <vt:variant>
        <vt:i4>5</vt:i4>
      </vt:variant>
      <vt:variant>
        <vt:lpwstr/>
      </vt:variant>
      <vt:variant>
        <vt:lpwstr>LevetiracetamListing</vt:lpwstr>
      </vt:variant>
      <vt:variant>
        <vt:i4>458782</vt:i4>
      </vt:variant>
      <vt:variant>
        <vt:i4>3968</vt:i4>
      </vt:variant>
      <vt:variant>
        <vt:i4>0</vt:i4>
      </vt:variant>
      <vt:variant>
        <vt:i4>5</vt:i4>
      </vt:variant>
      <vt:variant>
        <vt:lpwstr/>
      </vt:variant>
      <vt:variant>
        <vt:lpwstr>Antiepilepsydrugs</vt:lpwstr>
      </vt:variant>
      <vt:variant>
        <vt:i4>1245200</vt:i4>
      </vt:variant>
      <vt:variant>
        <vt:i4>3965</vt:i4>
      </vt:variant>
      <vt:variant>
        <vt:i4>0</vt:i4>
      </vt:variant>
      <vt:variant>
        <vt:i4>5</vt:i4>
      </vt:variant>
      <vt:variant>
        <vt:lpwstr/>
      </vt:variant>
      <vt:variant>
        <vt:lpwstr>Fentanyl</vt:lpwstr>
      </vt:variant>
      <vt:variant>
        <vt:i4>6553699</vt:i4>
      </vt:variant>
      <vt:variant>
        <vt:i4>3962</vt:i4>
      </vt:variant>
      <vt:variant>
        <vt:i4>0</vt:i4>
      </vt:variant>
      <vt:variant>
        <vt:i4>5</vt:i4>
      </vt:variant>
      <vt:variant>
        <vt:lpwstr/>
      </vt:variant>
      <vt:variant>
        <vt:lpwstr>LamotrigineListing</vt:lpwstr>
      </vt:variant>
      <vt:variant>
        <vt:i4>458782</vt:i4>
      </vt:variant>
      <vt:variant>
        <vt:i4>3959</vt:i4>
      </vt:variant>
      <vt:variant>
        <vt:i4>0</vt:i4>
      </vt:variant>
      <vt:variant>
        <vt:i4>5</vt:i4>
      </vt:variant>
      <vt:variant>
        <vt:lpwstr/>
      </vt:variant>
      <vt:variant>
        <vt:lpwstr>Antiepilepsydrugs</vt:lpwstr>
      </vt:variant>
      <vt:variant>
        <vt:i4>6488160</vt:i4>
      </vt:variant>
      <vt:variant>
        <vt:i4>3956</vt:i4>
      </vt:variant>
      <vt:variant>
        <vt:i4>0</vt:i4>
      </vt:variant>
      <vt:variant>
        <vt:i4>5</vt:i4>
      </vt:variant>
      <vt:variant>
        <vt:lpwstr/>
      </vt:variant>
      <vt:variant>
        <vt:lpwstr>OLenic2012</vt:lpwstr>
      </vt:variant>
      <vt:variant>
        <vt:i4>1376348</vt:i4>
      </vt:variant>
      <vt:variant>
        <vt:i4>3953</vt:i4>
      </vt:variant>
      <vt:variant>
        <vt:i4>0</vt:i4>
      </vt:variant>
      <vt:variant>
        <vt:i4>5</vt:i4>
      </vt:variant>
      <vt:variant>
        <vt:lpwstr/>
      </vt:variant>
      <vt:variant>
        <vt:lpwstr>DeAndrade1994</vt:lpwstr>
      </vt:variant>
      <vt:variant>
        <vt:i4>1376273</vt:i4>
      </vt:variant>
      <vt:variant>
        <vt:i4>3950</vt:i4>
      </vt:variant>
      <vt:variant>
        <vt:i4>0</vt:i4>
      </vt:variant>
      <vt:variant>
        <vt:i4>5</vt:i4>
      </vt:variant>
      <vt:variant>
        <vt:lpwstr/>
      </vt:variant>
      <vt:variant>
        <vt:lpwstr>KetorolacListing</vt:lpwstr>
      </vt:variant>
      <vt:variant>
        <vt:i4>1441796</vt:i4>
      </vt:variant>
      <vt:variant>
        <vt:i4>3947</vt:i4>
      </vt:variant>
      <vt:variant>
        <vt:i4>0</vt:i4>
      </vt:variant>
      <vt:variant>
        <vt:i4>5</vt:i4>
      </vt:variant>
      <vt:variant>
        <vt:lpwstr/>
      </vt:variant>
      <vt:variant>
        <vt:lpwstr>NSAIDsspecificdruglistadverseeffects</vt:lpwstr>
      </vt:variant>
      <vt:variant>
        <vt:i4>6750314</vt:i4>
      </vt:variant>
      <vt:variant>
        <vt:i4>3944</vt:i4>
      </vt:variant>
      <vt:variant>
        <vt:i4>0</vt:i4>
      </vt:variant>
      <vt:variant>
        <vt:i4>5</vt:i4>
      </vt:variant>
      <vt:variant>
        <vt:lpwstr/>
      </vt:variant>
      <vt:variant>
        <vt:lpwstr>NSAIDshypertensionandrenalfunction</vt:lpwstr>
      </vt:variant>
      <vt:variant>
        <vt:i4>6357091</vt:i4>
      </vt:variant>
      <vt:variant>
        <vt:i4>3941</vt:i4>
      </vt:variant>
      <vt:variant>
        <vt:i4>0</vt:i4>
      </vt:variant>
      <vt:variant>
        <vt:i4>5</vt:i4>
      </vt:variant>
      <vt:variant>
        <vt:lpwstr/>
      </vt:variant>
      <vt:variant>
        <vt:lpwstr>NSAIDsGIsymptomscardiovascularrisk</vt:lpwstr>
      </vt:variant>
      <vt:variant>
        <vt:i4>6881387</vt:i4>
      </vt:variant>
      <vt:variant>
        <vt:i4>3938</vt:i4>
      </vt:variant>
      <vt:variant>
        <vt:i4>0</vt:i4>
      </vt:variant>
      <vt:variant>
        <vt:i4>5</vt:i4>
      </vt:variant>
      <vt:variant>
        <vt:lpwstr/>
      </vt:variant>
      <vt:variant>
        <vt:lpwstr>NSAIDs</vt:lpwstr>
      </vt:variant>
      <vt:variant>
        <vt:i4>327690</vt:i4>
      </vt:variant>
      <vt:variant>
        <vt:i4>3935</vt:i4>
      </vt:variant>
      <vt:variant>
        <vt:i4>0</vt:i4>
      </vt:variant>
      <vt:variant>
        <vt:i4>5</vt:i4>
      </vt:variant>
      <vt:variant>
        <vt:lpwstr/>
      </vt:variant>
      <vt:variant>
        <vt:lpwstr>Nonsteroidalantinflammatoryagents</vt:lpwstr>
      </vt:variant>
      <vt:variant>
        <vt:i4>1048581</vt:i4>
      </vt:variant>
      <vt:variant>
        <vt:i4>3932</vt:i4>
      </vt:variant>
      <vt:variant>
        <vt:i4>0</vt:i4>
      </vt:variant>
      <vt:variant>
        <vt:i4>5</vt:i4>
      </vt:variant>
      <vt:variant>
        <vt:lpwstr/>
      </vt:variant>
      <vt:variant>
        <vt:lpwstr>Topicalanalgesics</vt:lpwstr>
      </vt:variant>
      <vt:variant>
        <vt:i4>393245</vt:i4>
      </vt:variant>
      <vt:variant>
        <vt:i4>3929</vt:i4>
      </vt:variant>
      <vt:variant>
        <vt:i4>0</vt:i4>
      </vt:variant>
      <vt:variant>
        <vt:i4>5</vt:i4>
      </vt:variant>
      <vt:variant>
        <vt:lpwstr/>
      </vt:variant>
      <vt:variant>
        <vt:lpwstr>KetoprofenTopicalListing</vt:lpwstr>
      </vt:variant>
      <vt:variant>
        <vt:i4>1769502</vt:i4>
      </vt:variant>
      <vt:variant>
        <vt:i4>3926</vt:i4>
      </vt:variant>
      <vt:variant>
        <vt:i4>0</vt:i4>
      </vt:variant>
      <vt:variant>
        <vt:i4>5</vt:i4>
      </vt:variant>
      <vt:variant>
        <vt:lpwstr/>
      </vt:variant>
      <vt:variant>
        <vt:lpwstr>Compounddrugs</vt:lpwstr>
      </vt:variant>
      <vt:variant>
        <vt:i4>393245</vt:i4>
      </vt:variant>
      <vt:variant>
        <vt:i4>3923</vt:i4>
      </vt:variant>
      <vt:variant>
        <vt:i4>0</vt:i4>
      </vt:variant>
      <vt:variant>
        <vt:i4>5</vt:i4>
      </vt:variant>
      <vt:variant>
        <vt:lpwstr/>
      </vt:variant>
      <vt:variant>
        <vt:lpwstr>KetoprofenTopicalListing</vt:lpwstr>
      </vt:variant>
      <vt:variant>
        <vt:i4>327690</vt:i4>
      </vt:variant>
      <vt:variant>
        <vt:i4>3920</vt:i4>
      </vt:variant>
      <vt:variant>
        <vt:i4>0</vt:i4>
      </vt:variant>
      <vt:variant>
        <vt:i4>5</vt:i4>
      </vt:variant>
      <vt:variant>
        <vt:lpwstr/>
      </vt:variant>
      <vt:variant>
        <vt:lpwstr>Nonsteroidalantinflammatoryagents</vt:lpwstr>
      </vt:variant>
      <vt:variant>
        <vt:i4>1048581</vt:i4>
      </vt:variant>
      <vt:variant>
        <vt:i4>3917</vt:i4>
      </vt:variant>
      <vt:variant>
        <vt:i4>0</vt:i4>
      </vt:variant>
      <vt:variant>
        <vt:i4>5</vt:i4>
      </vt:variant>
      <vt:variant>
        <vt:lpwstr/>
      </vt:variant>
      <vt:variant>
        <vt:lpwstr>Topicalanalgesics</vt:lpwstr>
      </vt:variant>
      <vt:variant>
        <vt:i4>196627</vt:i4>
      </vt:variant>
      <vt:variant>
        <vt:i4>3914</vt:i4>
      </vt:variant>
      <vt:variant>
        <vt:i4>0</vt:i4>
      </vt:variant>
      <vt:variant>
        <vt:i4>5</vt:i4>
      </vt:variant>
      <vt:variant>
        <vt:lpwstr/>
      </vt:variant>
      <vt:variant>
        <vt:lpwstr>KetoprofenListing</vt:lpwstr>
      </vt:variant>
      <vt:variant>
        <vt:i4>1441796</vt:i4>
      </vt:variant>
      <vt:variant>
        <vt:i4>3911</vt:i4>
      </vt:variant>
      <vt:variant>
        <vt:i4>0</vt:i4>
      </vt:variant>
      <vt:variant>
        <vt:i4>5</vt:i4>
      </vt:variant>
      <vt:variant>
        <vt:lpwstr/>
      </vt:variant>
      <vt:variant>
        <vt:lpwstr>NSAIDsspecificdruglistadverseeffects</vt:lpwstr>
      </vt:variant>
      <vt:variant>
        <vt:i4>6750314</vt:i4>
      </vt:variant>
      <vt:variant>
        <vt:i4>3908</vt:i4>
      </vt:variant>
      <vt:variant>
        <vt:i4>0</vt:i4>
      </vt:variant>
      <vt:variant>
        <vt:i4>5</vt:i4>
      </vt:variant>
      <vt:variant>
        <vt:lpwstr/>
      </vt:variant>
      <vt:variant>
        <vt:lpwstr>NSAIDshypertensionandrenalfunction</vt:lpwstr>
      </vt:variant>
      <vt:variant>
        <vt:i4>6357091</vt:i4>
      </vt:variant>
      <vt:variant>
        <vt:i4>3905</vt:i4>
      </vt:variant>
      <vt:variant>
        <vt:i4>0</vt:i4>
      </vt:variant>
      <vt:variant>
        <vt:i4>5</vt:i4>
      </vt:variant>
      <vt:variant>
        <vt:lpwstr/>
      </vt:variant>
      <vt:variant>
        <vt:lpwstr>NSAIDsGIsymptomscardiovascularrisk</vt:lpwstr>
      </vt:variant>
      <vt:variant>
        <vt:i4>6881387</vt:i4>
      </vt:variant>
      <vt:variant>
        <vt:i4>3902</vt:i4>
      </vt:variant>
      <vt:variant>
        <vt:i4>0</vt:i4>
      </vt:variant>
      <vt:variant>
        <vt:i4>5</vt:i4>
      </vt:variant>
      <vt:variant>
        <vt:lpwstr/>
      </vt:variant>
      <vt:variant>
        <vt:lpwstr>NSAIDs</vt:lpwstr>
      </vt:variant>
      <vt:variant>
        <vt:i4>393299</vt:i4>
      </vt:variant>
      <vt:variant>
        <vt:i4>3899</vt:i4>
      </vt:variant>
      <vt:variant>
        <vt:i4>0</vt:i4>
      </vt:variant>
      <vt:variant>
        <vt:i4>5</vt:i4>
      </vt:variant>
      <vt:variant>
        <vt:lpwstr/>
      </vt:variant>
      <vt:variant>
        <vt:lpwstr>Hardy2012</vt:lpwstr>
      </vt:variant>
      <vt:variant>
        <vt:i4>8323133</vt:i4>
      </vt:variant>
      <vt:variant>
        <vt:i4>3896</vt:i4>
      </vt:variant>
      <vt:variant>
        <vt:i4>0</vt:i4>
      </vt:variant>
      <vt:variant>
        <vt:i4>5</vt:i4>
      </vt:variant>
      <vt:variant>
        <vt:lpwstr/>
      </vt:variant>
      <vt:variant>
        <vt:lpwstr>Schwartzman2009</vt:lpwstr>
      </vt:variant>
      <vt:variant>
        <vt:i4>7602288</vt:i4>
      </vt:variant>
      <vt:variant>
        <vt:i4>3893</vt:i4>
      </vt:variant>
      <vt:variant>
        <vt:i4>0</vt:i4>
      </vt:variant>
      <vt:variant>
        <vt:i4>5</vt:i4>
      </vt:variant>
      <vt:variant>
        <vt:lpwstr/>
      </vt:variant>
      <vt:variant>
        <vt:lpwstr>Sigtermans2009</vt:lpwstr>
      </vt:variant>
      <vt:variant>
        <vt:i4>720984</vt:i4>
      </vt:variant>
      <vt:variant>
        <vt:i4>3890</vt:i4>
      </vt:variant>
      <vt:variant>
        <vt:i4>0</vt:i4>
      </vt:variant>
      <vt:variant>
        <vt:i4>5</vt:i4>
      </vt:variant>
      <vt:variant>
        <vt:lpwstr/>
      </vt:variant>
      <vt:variant>
        <vt:lpwstr>Patil2011</vt:lpwstr>
      </vt:variant>
      <vt:variant>
        <vt:i4>7405684</vt:i4>
      </vt:variant>
      <vt:variant>
        <vt:i4>3887</vt:i4>
      </vt:variant>
      <vt:variant>
        <vt:i4>0</vt:i4>
      </vt:variant>
      <vt:variant>
        <vt:i4>5</vt:i4>
      </vt:variant>
      <vt:variant>
        <vt:lpwstr/>
      </vt:variant>
      <vt:variant>
        <vt:lpwstr>Correll</vt:lpwstr>
      </vt:variant>
      <vt:variant>
        <vt:i4>6553725</vt:i4>
      </vt:variant>
      <vt:variant>
        <vt:i4>3884</vt:i4>
      </vt:variant>
      <vt:variant>
        <vt:i4>0</vt:i4>
      </vt:variant>
      <vt:variant>
        <vt:i4>5</vt:i4>
      </vt:variant>
      <vt:variant>
        <vt:lpwstr/>
      </vt:variant>
      <vt:variant>
        <vt:lpwstr>Morgan2012</vt:lpwstr>
      </vt:variant>
      <vt:variant>
        <vt:i4>6815843</vt:i4>
      </vt:variant>
      <vt:variant>
        <vt:i4>3881</vt:i4>
      </vt:variant>
      <vt:variant>
        <vt:i4>0</vt:i4>
      </vt:variant>
      <vt:variant>
        <vt:i4>5</vt:i4>
      </vt:variant>
      <vt:variant>
        <vt:lpwstr/>
      </vt:variant>
      <vt:variant>
        <vt:lpwstr>Chu</vt:lpwstr>
      </vt:variant>
      <vt:variant>
        <vt:i4>6553725</vt:i4>
      </vt:variant>
      <vt:variant>
        <vt:i4>3878</vt:i4>
      </vt:variant>
      <vt:variant>
        <vt:i4>0</vt:i4>
      </vt:variant>
      <vt:variant>
        <vt:i4>5</vt:i4>
      </vt:variant>
      <vt:variant>
        <vt:lpwstr/>
      </vt:variant>
      <vt:variant>
        <vt:lpwstr>Morgan2012</vt:lpwstr>
      </vt:variant>
      <vt:variant>
        <vt:i4>7209016</vt:i4>
      </vt:variant>
      <vt:variant>
        <vt:i4>3875</vt:i4>
      </vt:variant>
      <vt:variant>
        <vt:i4>0</vt:i4>
      </vt:variant>
      <vt:variant>
        <vt:i4>5</vt:i4>
      </vt:variant>
      <vt:variant>
        <vt:lpwstr/>
      </vt:variant>
      <vt:variant>
        <vt:lpwstr>Noppers2011</vt:lpwstr>
      </vt:variant>
      <vt:variant>
        <vt:i4>7602238</vt:i4>
      </vt:variant>
      <vt:variant>
        <vt:i4>3872</vt:i4>
      </vt:variant>
      <vt:variant>
        <vt:i4>0</vt:i4>
      </vt:variant>
      <vt:variant>
        <vt:i4>5</vt:i4>
      </vt:variant>
      <vt:variant>
        <vt:lpwstr/>
      </vt:variant>
      <vt:variant>
        <vt:lpwstr>Gourlay1997</vt:lpwstr>
      </vt:variant>
      <vt:variant>
        <vt:i4>1835096</vt:i4>
      </vt:variant>
      <vt:variant>
        <vt:i4>3869</vt:i4>
      </vt:variant>
      <vt:variant>
        <vt:i4>0</vt:i4>
      </vt:variant>
      <vt:variant>
        <vt:i4>5</vt:i4>
      </vt:variant>
      <vt:variant>
        <vt:lpwstr/>
      </vt:variant>
      <vt:variant>
        <vt:lpwstr>Broomhead1997</vt:lpwstr>
      </vt:variant>
      <vt:variant>
        <vt:i4>21</vt:i4>
      </vt:variant>
      <vt:variant>
        <vt:i4>3866</vt:i4>
      </vt:variant>
      <vt:variant>
        <vt:i4>0</vt:i4>
      </vt:variant>
      <vt:variant>
        <vt:i4>5</vt:i4>
      </vt:variant>
      <vt:variant>
        <vt:lpwstr>http://www.drugs.com/pro/kadian.html</vt:lpwstr>
      </vt:variant>
      <vt:variant>
        <vt:lpwstr/>
      </vt:variant>
      <vt:variant>
        <vt:i4>1441820</vt:i4>
      </vt:variant>
      <vt:variant>
        <vt:i4>3863</vt:i4>
      </vt:variant>
      <vt:variant>
        <vt:i4>0</vt:i4>
      </vt:variant>
      <vt:variant>
        <vt:i4>5</vt:i4>
      </vt:variant>
      <vt:variant>
        <vt:lpwstr/>
      </vt:variant>
      <vt:variant>
        <vt:lpwstr>CRPSsympatheticblocks</vt:lpwstr>
      </vt:variant>
      <vt:variant>
        <vt:i4>1835030</vt:i4>
      </vt:variant>
      <vt:variant>
        <vt:i4>3860</vt:i4>
      </vt:variant>
      <vt:variant>
        <vt:i4>0</vt:i4>
      </vt:variant>
      <vt:variant>
        <vt:i4>5</vt:i4>
      </vt:variant>
      <vt:variant>
        <vt:lpwstr/>
      </vt:variant>
      <vt:variant>
        <vt:lpwstr>Tran2010</vt:lpwstr>
      </vt:variant>
      <vt:variant>
        <vt:i4>6815868</vt:i4>
      </vt:variant>
      <vt:variant>
        <vt:i4>3857</vt:i4>
      </vt:variant>
      <vt:variant>
        <vt:i4>0</vt:i4>
      </vt:variant>
      <vt:variant>
        <vt:i4>5</vt:i4>
      </vt:variant>
      <vt:variant>
        <vt:lpwstr/>
      </vt:variant>
      <vt:variant>
        <vt:lpwstr>Harden2013</vt:lpwstr>
      </vt:variant>
      <vt:variant>
        <vt:i4>196680</vt:i4>
      </vt:variant>
      <vt:variant>
        <vt:i4>3854</vt:i4>
      </vt:variant>
      <vt:variant>
        <vt:i4>0</vt:i4>
      </vt:variant>
      <vt:variant>
        <vt:i4>5</vt:i4>
      </vt:variant>
      <vt:variant>
        <vt:lpwstr/>
      </vt:variant>
      <vt:variant>
        <vt:lpwstr>Perez2010</vt:lpwstr>
      </vt:variant>
      <vt:variant>
        <vt:i4>6881390</vt:i4>
      </vt:variant>
      <vt:variant>
        <vt:i4>3851</vt:i4>
      </vt:variant>
      <vt:variant>
        <vt:i4>0</vt:i4>
      </vt:variant>
      <vt:variant>
        <vt:i4>5</vt:i4>
      </vt:variant>
      <vt:variant>
        <vt:lpwstr/>
      </vt:variant>
      <vt:variant>
        <vt:lpwstr>Implantabledrugdeliverysystems</vt:lpwstr>
      </vt:variant>
      <vt:variant>
        <vt:i4>6881390</vt:i4>
      </vt:variant>
      <vt:variant>
        <vt:i4>3848</vt:i4>
      </vt:variant>
      <vt:variant>
        <vt:i4>0</vt:i4>
      </vt:variant>
      <vt:variant>
        <vt:i4>5</vt:i4>
      </vt:variant>
      <vt:variant>
        <vt:lpwstr/>
      </vt:variant>
      <vt:variant>
        <vt:lpwstr>Implantabledrugdeliverysystems</vt:lpwstr>
      </vt:variant>
      <vt:variant>
        <vt:i4>5701641</vt:i4>
      </vt:variant>
      <vt:variant>
        <vt:i4>3845</vt:i4>
      </vt:variant>
      <vt:variant>
        <vt:i4>0</vt:i4>
      </vt:variant>
      <vt:variant>
        <vt:i4>5</vt:i4>
      </vt:variant>
      <vt:variant>
        <vt:lpwstr/>
      </vt:variant>
      <vt:variant>
        <vt:lpwstr>Lee2</vt:lpwstr>
      </vt:variant>
      <vt:variant>
        <vt:i4>720916</vt:i4>
      </vt:variant>
      <vt:variant>
        <vt:i4>3842</vt:i4>
      </vt:variant>
      <vt:variant>
        <vt:i4>0</vt:i4>
      </vt:variant>
      <vt:variant>
        <vt:i4>5</vt:i4>
      </vt:variant>
      <vt:variant>
        <vt:lpwstr/>
      </vt:variant>
      <vt:variant>
        <vt:lpwstr>Functionalimprovementmeasures</vt:lpwstr>
      </vt:variant>
      <vt:variant>
        <vt:i4>131156</vt:i4>
      </vt:variant>
      <vt:variant>
        <vt:i4>3839</vt:i4>
      </vt:variant>
      <vt:variant>
        <vt:i4>0</vt:i4>
      </vt:variant>
      <vt:variant>
        <vt:i4>5</vt:i4>
      </vt:variant>
      <vt:variant>
        <vt:lpwstr>http://www.lni.wa.gov/ClaimsIns/Providers/Treatment/CovMedDev/SpecCovDec/Interfer.asp</vt:lpwstr>
      </vt:variant>
      <vt:variant>
        <vt:lpwstr/>
      </vt:variant>
      <vt:variant>
        <vt:i4>8257580</vt:i4>
      </vt:variant>
      <vt:variant>
        <vt:i4>3836</vt:i4>
      </vt:variant>
      <vt:variant>
        <vt:i4>0</vt:i4>
      </vt:variant>
      <vt:variant>
        <vt:i4>5</vt:i4>
      </vt:variant>
      <vt:variant>
        <vt:lpwstr>http://www.bcbst.com/mpmanual/!SSL!/WebHelp/Interferential_Current_Therapy_Interferential_Stimulator-IFII.htm</vt:lpwstr>
      </vt:variant>
      <vt:variant>
        <vt:lpwstr/>
      </vt:variant>
      <vt:variant>
        <vt:i4>6160392</vt:i4>
      </vt:variant>
      <vt:variant>
        <vt:i4>3833</vt:i4>
      </vt:variant>
      <vt:variant>
        <vt:i4>0</vt:i4>
      </vt:variant>
      <vt:variant>
        <vt:i4>5</vt:i4>
      </vt:variant>
      <vt:variant>
        <vt:lpwstr/>
      </vt:variant>
      <vt:variant>
        <vt:lpwstr>BlueCrossBlueShield7</vt:lpwstr>
      </vt:variant>
      <vt:variant>
        <vt:i4>786464</vt:i4>
      </vt:variant>
      <vt:variant>
        <vt:i4>3830</vt:i4>
      </vt:variant>
      <vt:variant>
        <vt:i4>0</vt:i4>
      </vt:variant>
      <vt:variant>
        <vt:i4>5</vt:i4>
      </vt:variant>
      <vt:variant>
        <vt:lpwstr>http://apps.humana.com/tad/tad_new/issuedetail.asp?issue=635</vt:lpwstr>
      </vt:variant>
      <vt:variant>
        <vt:lpwstr/>
      </vt:variant>
      <vt:variant>
        <vt:i4>4325419</vt:i4>
      </vt:variant>
      <vt:variant>
        <vt:i4>3827</vt:i4>
      </vt:variant>
      <vt:variant>
        <vt:i4>0</vt:i4>
      </vt:variant>
      <vt:variant>
        <vt:i4>5</vt:i4>
      </vt:variant>
      <vt:variant>
        <vt:lpwstr>E:\AppData\Local\Microsoft\Windows\Temporary Internet Files\Content.Outlook\AppData\Local\Microsoft\Windows\Temporary Internet Files\Content.Outlook\50QE161U\Pain_files\united_stim.htm</vt:lpwstr>
      </vt:variant>
      <vt:variant>
        <vt:lpwstr/>
      </vt:variant>
      <vt:variant>
        <vt:i4>720917</vt:i4>
      </vt:variant>
      <vt:variant>
        <vt:i4>3824</vt:i4>
      </vt:variant>
      <vt:variant>
        <vt:i4>0</vt:i4>
      </vt:variant>
      <vt:variant>
        <vt:i4>5</vt:i4>
      </vt:variant>
      <vt:variant>
        <vt:lpwstr/>
      </vt:variant>
      <vt:variant>
        <vt:lpwstr>Aetna</vt:lpwstr>
      </vt:variant>
      <vt:variant>
        <vt:i4>6619237</vt:i4>
      </vt:variant>
      <vt:variant>
        <vt:i4>3821</vt:i4>
      </vt:variant>
      <vt:variant>
        <vt:i4>0</vt:i4>
      </vt:variant>
      <vt:variant>
        <vt:i4>5</vt:i4>
      </vt:variant>
      <vt:variant>
        <vt:lpwstr/>
      </vt:variant>
      <vt:variant>
        <vt:lpwstr>CaliforniaTech</vt:lpwstr>
      </vt:variant>
      <vt:variant>
        <vt:i4>1310740</vt:i4>
      </vt:variant>
      <vt:variant>
        <vt:i4>3818</vt:i4>
      </vt:variant>
      <vt:variant>
        <vt:i4>0</vt:i4>
      </vt:variant>
      <vt:variant>
        <vt:i4>5</vt:i4>
      </vt:variant>
      <vt:variant>
        <vt:lpwstr/>
      </vt:variant>
      <vt:variant>
        <vt:lpwstr>Interferentialcurrentstimulation</vt:lpwstr>
      </vt:variant>
      <vt:variant>
        <vt:i4>524290</vt:i4>
      </vt:variant>
      <vt:variant>
        <vt:i4>3815</vt:i4>
      </vt:variant>
      <vt:variant>
        <vt:i4>0</vt:i4>
      </vt:variant>
      <vt:variant>
        <vt:i4>5</vt:i4>
      </vt:variant>
      <vt:variant>
        <vt:lpwstr/>
      </vt:variant>
      <vt:variant>
        <vt:lpwstr>Hwavestimulation</vt:lpwstr>
      </vt:variant>
      <vt:variant>
        <vt:i4>6357095</vt:i4>
      </vt:variant>
      <vt:variant>
        <vt:i4>3812</vt:i4>
      </vt:variant>
      <vt:variant>
        <vt:i4>0</vt:i4>
      </vt:variant>
      <vt:variant>
        <vt:i4>5</vt:i4>
      </vt:variant>
      <vt:variant>
        <vt:lpwstr/>
      </vt:variant>
      <vt:variant>
        <vt:lpwstr>TENSchronicpain</vt:lpwstr>
      </vt:variant>
      <vt:variant>
        <vt:i4>7864426</vt:i4>
      </vt:variant>
      <vt:variant>
        <vt:i4>3809</vt:i4>
      </vt:variant>
      <vt:variant>
        <vt:i4>0</vt:i4>
      </vt:variant>
      <vt:variant>
        <vt:i4>5</vt:i4>
      </vt:variant>
      <vt:variant>
        <vt:lpwstr/>
      </vt:variant>
      <vt:variant>
        <vt:lpwstr>Sympathetictherapy</vt:lpwstr>
      </vt:variant>
      <vt:variant>
        <vt:i4>6684708</vt:i4>
      </vt:variant>
      <vt:variant>
        <vt:i4>3806</vt:i4>
      </vt:variant>
      <vt:variant>
        <vt:i4>0</vt:i4>
      </vt:variant>
      <vt:variant>
        <vt:i4>5</vt:i4>
      </vt:variant>
      <vt:variant>
        <vt:lpwstr>E:\AppData\Local\Microsoft\Windows\Temporary Internet Files\Content.Outlook\AppData\Local\Microsoft\Windows\Temporary Internet Files\Content.Outlook\50QE161U\shoulder.htm</vt:lpwstr>
      </vt:variant>
      <vt:variant>
        <vt:lpwstr>Cheing</vt:lpwstr>
      </vt:variant>
      <vt:variant>
        <vt:i4>1441808</vt:i4>
      </vt:variant>
      <vt:variant>
        <vt:i4>3803</vt:i4>
      </vt:variant>
      <vt:variant>
        <vt:i4>0</vt:i4>
      </vt:variant>
      <vt:variant>
        <vt:i4>5</vt:i4>
      </vt:variant>
      <vt:variant>
        <vt:lpwstr/>
      </vt:variant>
      <vt:variant>
        <vt:lpwstr>Burch</vt:lpwstr>
      </vt:variant>
      <vt:variant>
        <vt:i4>4522001</vt:i4>
      </vt:variant>
      <vt:variant>
        <vt:i4>3800</vt:i4>
      </vt:variant>
      <vt:variant>
        <vt:i4>0</vt:i4>
      </vt:variant>
      <vt:variant>
        <vt:i4>5</vt:i4>
      </vt:variant>
      <vt:variant>
        <vt:lpwstr/>
      </vt:variant>
      <vt:variant>
        <vt:lpwstr>Zambito2</vt:lpwstr>
      </vt:variant>
      <vt:variant>
        <vt:i4>7798910</vt:i4>
      </vt:variant>
      <vt:variant>
        <vt:i4>3797</vt:i4>
      </vt:variant>
      <vt:variant>
        <vt:i4>0</vt:i4>
      </vt:variant>
      <vt:variant>
        <vt:i4>5</vt:i4>
      </vt:variant>
      <vt:variant>
        <vt:lpwstr/>
      </vt:variant>
      <vt:variant>
        <vt:lpwstr>Zambito</vt:lpwstr>
      </vt:variant>
      <vt:variant>
        <vt:i4>1441808</vt:i4>
      </vt:variant>
      <vt:variant>
        <vt:i4>3794</vt:i4>
      </vt:variant>
      <vt:variant>
        <vt:i4>0</vt:i4>
      </vt:variant>
      <vt:variant>
        <vt:i4>5</vt:i4>
      </vt:variant>
      <vt:variant>
        <vt:lpwstr/>
      </vt:variant>
      <vt:variant>
        <vt:lpwstr>Burch</vt:lpwstr>
      </vt:variant>
      <vt:variant>
        <vt:i4>6619237</vt:i4>
      </vt:variant>
      <vt:variant>
        <vt:i4>3791</vt:i4>
      </vt:variant>
      <vt:variant>
        <vt:i4>0</vt:i4>
      </vt:variant>
      <vt:variant>
        <vt:i4>5</vt:i4>
      </vt:variant>
      <vt:variant>
        <vt:lpwstr/>
      </vt:variant>
      <vt:variant>
        <vt:lpwstr>CaliforniaTech</vt:lpwstr>
      </vt:variant>
      <vt:variant>
        <vt:i4>6291583</vt:i4>
      </vt:variant>
      <vt:variant>
        <vt:i4>3788</vt:i4>
      </vt:variant>
      <vt:variant>
        <vt:i4>0</vt:i4>
      </vt:variant>
      <vt:variant>
        <vt:i4>5</vt:i4>
      </vt:variant>
      <vt:variant>
        <vt:lpwstr/>
      </vt:variant>
      <vt:variant>
        <vt:lpwstr>Hurley2</vt:lpwstr>
      </vt:variant>
      <vt:variant>
        <vt:i4>524312</vt:i4>
      </vt:variant>
      <vt:variant>
        <vt:i4>3785</vt:i4>
      </vt:variant>
      <vt:variant>
        <vt:i4>0</vt:i4>
      </vt:variant>
      <vt:variant>
        <vt:i4>5</vt:i4>
      </vt:variant>
      <vt:variant>
        <vt:lpwstr/>
      </vt:variant>
      <vt:variant>
        <vt:lpwstr>Jarit</vt:lpwstr>
      </vt:variant>
      <vt:variant>
        <vt:i4>7274600</vt:i4>
      </vt:variant>
      <vt:variant>
        <vt:i4>3782</vt:i4>
      </vt:variant>
      <vt:variant>
        <vt:i4>0</vt:i4>
      </vt:variant>
      <vt:variant>
        <vt:i4>5</vt:i4>
      </vt:variant>
      <vt:variant>
        <vt:lpwstr/>
      </vt:variant>
      <vt:variant>
        <vt:lpwstr>Hou</vt:lpwstr>
      </vt:variant>
      <vt:variant>
        <vt:i4>6291583</vt:i4>
      </vt:variant>
      <vt:variant>
        <vt:i4>3779</vt:i4>
      </vt:variant>
      <vt:variant>
        <vt:i4>0</vt:i4>
      </vt:variant>
      <vt:variant>
        <vt:i4>5</vt:i4>
      </vt:variant>
      <vt:variant>
        <vt:lpwstr/>
      </vt:variant>
      <vt:variant>
        <vt:lpwstr>Hurley1</vt:lpwstr>
      </vt:variant>
      <vt:variant>
        <vt:i4>7929952</vt:i4>
      </vt:variant>
      <vt:variant>
        <vt:i4>3776</vt:i4>
      </vt:variant>
      <vt:variant>
        <vt:i4>0</vt:i4>
      </vt:variant>
      <vt:variant>
        <vt:i4>5</vt:i4>
      </vt:variant>
      <vt:variant>
        <vt:lpwstr/>
      </vt:variant>
      <vt:variant>
        <vt:lpwstr>Werners</vt:lpwstr>
      </vt:variant>
      <vt:variant>
        <vt:i4>3014714</vt:i4>
      </vt:variant>
      <vt:variant>
        <vt:i4>3773</vt:i4>
      </vt:variant>
      <vt:variant>
        <vt:i4>0</vt:i4>
      </vt:variant>
      <vt:variant>
        <vt:i4>5</vt:i4>
      </vt:variant>
      <vt:variant>
        <vt:lpwstr>E:\AppData\Local\Microsoft\Windows\Temporary Internet Files\Content.Outlook\AppData\Local\Microsoft\Windows\Temporary Internet Files\Content.Outlook\50QE161U\shoulder.htm</vt:lpwstr>
      </vt:variant>
      <vt:variant>
        <vt:lpwstr>vanderHeijden3</vt:lpwstr>
      </vt:variant>
      <vt:variant>
        <vt:i4>7340157</vt:i4>
      </vt:variant>
      <vt:variant>
        <vt:i4>3770</vt:i4>
      </vt:variant>
      <vt:variant>
        <vt:i4>0</vt:i4>
      </vt:variant>
      <vt:variant>
        <vt:i4>5</vt:i4>
      </vt:variant>
      <vt:variant>
        <vt:lpwstr/>
      </vt:variant>
      <vt:variant>
        <vt:lpwstr>Medicationsforacutepain</vt:lpwstr>
      </vt:variant>
      <vt:variant>
        <vt:i4>393232</vt:i4>
      </vt:variant>
      <vt:variant>
        <vt:i4>3767</vt:i4>
      </vt:variant>
      <vt:variant>
        <vt:i4>0</vt:i4>
      </vt:variant>
      <vt:variant>
        <vt:i4>5</vt:i4>
      </vt:variant>
      <vt:variant>
        <vt:lpwstr/>
      </vt:variant>
      <vt:variant>
        <vt:lpwstr>Exercise</vt:lpwstr>
      </vt:variant>
      <vt:variant>
        <vt:i4>1376261</vt:i4>
      </vt:variant>
      <vt:variant>
        <vt:i4>3764</vt:i4>
      </vt:variant>
      <vt:variant>
        <vt:i4>0</vt:i4>
      </vt:variant>
      <vt:variant>
        <vt:i4>5</vt:i4>
      </vt:variant>
      <vt:variant>
        <vt:lpwstr/>
      </vt:variant>
      <vt:variant>
        <vt:lpwstr>Returntowork</vt:lpwstr>
      </vt:variant>
      <vt:variant>
        <vt:i4>7798887</vt:i4>
      </vt:variant>
      <vt:variant>
        <vt:i4>3761</vt:i4>
      </vt:variant>
      <vt:variant>
        <vt:i4>0</vt:i4>
      </vt:variant>
      <vt:variant>
        <vt:i4>5</vt:i4>
      </vt:variant>
      <vt:variant>
        <vt:lpwstr/>
      </vt:variant>
      <vt:variant>
        <vt:lpwstr>Chronicpainprograms</vt:lpwstr>
      </vt:variant>
      <vt:variant>
        <vt:i4>7798887</vt:i4>
      </vt:variant>
      <vt:variant>
        <vt:i4>3758</vt:i4>
      </vt:variant>
      <vt:variant>
        <vt:i4>0</vt:i4>
      </vt:variant>
      <vt:variant>
        <vt:i4>5</vt:i4>
      </vt:variant>
      <vt:variant>
        <vt:lpwstr/>
      </vt:variant>
      <vt:variant>
        <vt:lpwstr>Chronicpainprograms</vt:lpwstr>
      </vt:variant>
      <vt:variant>
        <vt:i4>4390934</vt:i4>
      </vt:variant>
      <vt:variant>
        <vt:i4>3755</vt:i4>
      </vt:variant>
      <vt:variant>
        <vt:i4>0</vt:i4>
      </vt:variant>
      <vt:variant>
        <vt:i4>5</vt:i4>
      </vt:variant>
      <vt:variant>
        <vt:lpwstr>http://www.imtassociation.org/what-is-imt.asp</vt:lpwstr>
      </vt:variant>
      <vt:variant>
        <vt:lpwstr/>
      </vt:variant>
      <vt:variant>
        <vt:i4>7798887</vt:i4>
      </vt:variant>
      <vt:variant>
        <vt:i4>3752</vt:i4>
      </vt:variant>
      <vt:variant>
        <vt:i4>0</vt:i4>
      </vt:variant>
      <vt:variant>
        <vt:i4>5</vt:i4>
      </vt:variant>
      <vt:variant>
        <vt:lpwstr/>
      </vt:variant>
      <vt:variant>
        <vt:lpwstr>Chronicpainprograms</vt:lpwstr>
      </vt:variant>
      <vt:variant>
        <vt:i4>3407985</vt:i4>
      </vt:variant>
      <vt:variant>
        <vt:i4>3749</vt:i4>
      </vt:variant>
      <vt:variant>
        <vt:i4>0</vt:i4>
      </vt:variant>
      <vt:variant>
        <vt:i4>5</vt:i4>
      </vt:variant>
      <vt:variant>
        <vt:lpwstr/>
      </vt:variant>
      <vt:variant>
        <vt:lpwstr>Morin2</vt:lpwstr>
      </vt:variant>
      <vt:variant>
        <vt:i4>393228</vt:i4>
      </vt:variant>
      <vt:variant>
        <vt:i4>3746</vt:i4>
      </vt:variant>
      <vt:variant>
        <vt:i4>0</vt:i4>
      </vt:variant>
      <vt:variant>
        <vt:i4>5</vt:i4>
      </vt:variant>
      <vt:variant>
        <vt:lpwstr/>
      </vt:variant>
      <vt:variant>
        <vt:lpwstr>Benca</vt:lpwstr>
      </vt:variant>
      <vt:variant>
        <vt:i4>7864446</vt:i4>
      </vt:variant>
      <vt:variant>
        <vt:i4>3743</vt:i4>
      </vt:variant>
      <vt:variant>
        <vt:i4>0</vt:i4>
      </vt:variant>
      <vt:variant>
        <vt:i4>5</vt:i4>
      </vt:variant>
      <vt:variant>
        <vt:lpwstr/>
      </vt:variant>
      <vt:variant>
        <vt:lpwstr>Zammit</vt:lpwstr>
      </vt:variant>
      <vt:variant>
        <vt:i4>7995503</vt:i4>
      </vt:variant>
      <vt:variant>
        <vt:i4>3740</vt:i4>
      </vt:variant>
      <vt:variant>
        <vt:i4>0</vt:i4>
      </vt:variant>
      <vt:variant>
        <vt:i4>5</vt:i4>
      </vt:variant>
      <vt:variant>
        <vt:lpwstr/>
      </vt:variant>
      <vt:variant>
        <vt:lpwstr>Reynoldson</vt:lpwstr>
      </vt:variant>
      <vt:variant>
        <vt:i4>393247</vt:i4>
      </vt:variant>
      <vt:variant>
        <vt:i4>3737</vt:i4>
      </vt:variant>
      <vt:variant>
        <vt:i4>0</vt:i4>
      </vt:variant>
      <vt:variant>
        <vt:i4>5</vt:i4>
      </vt:variant>
      <vt:variant>
        <vt:lpwstr/>
      </vt:variant>
      <vt:variant>
        <vt:lpwstr>Morin</vt:lpwstr>
      </vt:variant>
      <vt:variant>
        <vt:i4>393247</vt:i4>
      </vt:variant>
      <vt:variant>
        <vt:i4>3734</vt:i4>
      </vt:variant>
      <vt:variant>
        <vt:i4>0</vt:i4>
      </vt:variant>
      <vt:variant>
        <vt:i4>5</vt:i4>
      </vt:variant>
      <vt:variant>
        <vt:lpwstr/>
      </vt:variant>
      <vt:variant>
        <vt:lpwstr>Morin</vt:lpwstr>
      </vt:variant>
      <vt:variant>
        <vt:i4>8061044</vt:i4>
      </vt:variant>
      <vt:variant>
        <vt:i4>3731</vt:i4>
      </vt:variant>
      <vt:variant>
        <vt:i4>0</vt:i4>
      </vt:variant>
      <vt:variant>
        <vt:i4>5</vt:i4>
      </vt:variant>
      <vt:variant>
        <vt:lpwstr/>
      </vt:variant>
      <vt:variant>
        <vt:lpwstr>Buscemi</vt:lpwstr>
      </vt:variant>
      <vt:variant>
        <vt:i4>65556</vt:i4>
      </vt:variant>
      <vt:variant>
        <vt:i4>3728</vt:i4>
      </vt:variant>
      <vt:variant>
        <vt:i4>0</vt:i4>
      </vt:variant>
      <vt:variant>
        <vt:i4>5</vt:i4>
      </vt:variant>
      <vt:variant>
        <vt:lpwstr/>
      </vt:variant>
      <vt:variant>
        <vt:lpwstr>Ramakrishnan</vt:lpwstr>
      </vt:variant>
      <vt:variant>
        <vt:i4>1179675</vt:i4>
      </vt:variant>
      <vt:variant>
        <vt:i4>3725</vt:i4>
      </vt:variant>
      <vt:variant>
        <vt:i4>0</vt:i4>
      </vt:variant>
      <vt:variant>
        <vt:i4>5</vt:i4>
      </vt:variant>
      <vt:variant>
        <vt:lpwstr/>
      </vt:variant>
      <vt:variant>
        <vt:lpwstr>Walsh</vt:lpwstr>
      </vt:variant>
      <vt:variant>
        <vt:i4>393247</vt:i4>
      </vt:variant>
      <vt:variant>
        <vt:i4>3722</vt:i4>
      </vt:variant>
      <vt:variant>
        <vt:i4>0</vt:i4>
      </vt:variant>
      <vt:variant>
        <vt:i4>5</vt:i4>
      </vt:variant>
      <vt:variant>
        <vt:lpwstr/>
      </vt:variant>
      <vt:variant>
        <vt:lpwstr>Morin</vt:lpwstr>
      </vt:variant>
      <vt:variant>
        <vt:i4>65556</vt:i4>
      </vt:variant>
      <vt:variant>
        <vt:i4>3719</vt:i4>
      </vt:variant>
      <vt:variant>
        <vt:i4>0</vt:i4>
      </vt:variant>
      <vt:variant>
        <vt:i4>5</vt:i4>
      </vt:variant>
      <vt:variant>
        <vt:lpwstr/>
      </vt:variant>
      <vt:variant>
        <vt:lpwstr>Ramakrishnan</vt:lpwstr>
      </vt:variant>
      <vt:variant>
        <vt:i4>393247</vt:i4>
      </vt:variant>
      <vt:variant>
        <vt:i4>3716</vt:i4>
      </vt:variant>
      <vt:variant>
        <vt:i4>0</vt:i4>
      </vt:variant>
      <vt:variant>
        <vt:i4>5</vt:i4>
      </vt:variant>
      <vt:variant>
        <vt:lpwstr/>
      </vt:variant>
      <vt:variant>
        <vt:lpwstr>Morin</vt:lpwstr>
      </vt:variant>
      <vt:variant>
        <vt:i4>1441818</vt:i4>
      </vt:variant>
      <vt:variant>
        <vt:i4>3713</vt:i4>
      </vt:variant>
      <vt:variant>
        <vt:i4>0</vt:i4>
      </vt:variant>
      <vt:variant>
        <vt:i4>5</vt:i4>
      </vt:variant>
      <vt:variant>
        <vt:lpwstr/>
      </vt:variant>
      <vt:variant>
        <vt:lpwstr>Zolpidem</vt:lpwstr>
      </vt:variant>
      <vt:variant>
        <vt:i4>655434</vt:i4>
      </vt:variant>
      <vt:variant>
        <vt:i4>3710</vt:i4>
      </vt:variant>
      <vt:variant>
        <vt:i4>0</vt:i4>
      </vt:variant>
      <vt:variant>
        <vt:i4>5</vt:i4>
      </vt:variant>
      <vt:variant>
        <vt:lpwstr>http://www.fda.gov/Drugs/DrugSafety/ucm334041.htm</vt:lpwstr>
      </vt:variant>
      <vt:variant>
        <vt:lpwstr/>
      </vt:variant>
      <vt:variant>
        <vt:i4>6619242</vt:i4>
      </vt:variant>
      <vt:variant>
        <vt:i4>3707</vt:i4>
      </vt:variant>
      <vt:variant>
        <vt:i4>0</vt:i4>
      </vt:variant>
      <vt:variant>
        <vt:i4>5</vt:i4>
      </vt:variant>
      <vt:variant>
        <vt:lpwstr/>
      </vt:variant>
      <vt:variant>
        <vt:lpwstr>Kripke2012</vt:lpwstr>
      </vt:variant>
      <vt:variant>
        <vt:i4>393247</vt:i4>
      </vt:variant>
      <vt:variant>
        <vt:i4>3704</vt:i4>
      </vt:variant>
      <vt:variant>
        <vt:i4>0</vt:i4>
      </vt:variant>
      <vt:variant>
        <vt:i4>5</vt:i4>
      </vt:variant>
      <vt:variant>
        <vt:lpwstr/>
      </vt:variant>
      <vt:variant>
        <vt:lpwstr>Morin</vt:lpwstr>
      </vt:variant>
      <vt:variant>
        <vt:i4>393247</vt:i4>
      </vt:variant>
      <vt:variant>
        <vt:i4>3701</vt:i4>
      </vt:variant>
      <vt:variant>
        <vt:i4>0</vt:i4>
      </vt:variant>
      <vt:variant>
        <vt:i4>5</vt:i4>
      </vt:variant>
      <vt:variant>
        <vt:lpwstr/>
      </vt:variant>
      <vt:variant>
        <vt:lpwstr>Morin</vt:lpwstr>
      </vt:variant>
      <vt:variant>
        <vt:i4>65556</vt:i4>
      </vt:variant>
      <vt:variant>
        <vt:i4>3698</vt:i4>
      </vt:variant>
      <vt:variant>
        <vt:i4>0</vt:i4>
      </vt:variant>
      <vt:variant>
        <vt:i4>5</vt:i4>
      </vt:variant>
      <vt:variant>
        <vt:lpwstr/>
      </vt:variant>
      <vt:variant>
        <vt:lpwstr>Ramakrishnan</vt:lpwstr>
      </vt:variant>
      <vt:variant>
        <vt:i4>7929901</vt:i4>
      </vt:variant>
      <vt:variant>
        <vt:i4>3695</vt:i4>
      </vt:variant>
      <vt:variant>
        <vt:i4>0</vt:i4>
      </vt:variant>
      <vt:variant>
        <vt:i4>5</vt:i4>
      </vt:variant>
      <vt:variant>
        <vt:lpwstr/>
      </vt:variant>
      <vt:variant>
        <vt:lpwstr>Buscemi2005</vt:lpwstr>
      </vt:variant>
      <vt:variant>
        <vt:i4>1245192</vt:i4>
      </vt:variant>
      <vt:variant>
        <vt:i4>3692</vt:i4>
      </vt:variant>
      <vt:variant>
        <vt:i4>0</vt:i4>
      </vt:variant>
      <vt:variant>
        <vt:i4>5</vt:i4>
      </vt:variant>
      <vt:variant>
        <vt:lpwstr/>
      </vt:variant>
      <vt:variant>
        <vt:lpwstr>Erman</vt:lpwstr>
      </vt:variant>
      <vt:variant>
        <vt:i4>393247</vt:i4>
      </vt:variant>
      <vt:variant>
        <vt:i4>3689</vt:i4>
      </vt:variant>
      <vt:variant>
        <vt:i4>0</vt:i4>
      </vt:variant>
      <vt:variant>
        <vt:i4>5</vt:i4>
      </vt:variant>
      <vt:variant>
        <vt:lpwstr/>
      </vt:variant>
      <vt:variant>
        <vt:lpwstr>Morin</vt:lpwstr>
      </vt:variant>
      <vt:variant>
        <vt:i4>8061044</vt:i4>
      </vt:variant>
      <vt:variant>
        <vt:i4>3686</vt:i4>
      </vt:variant>
      <vt:variant>
        <vt:i4>0</vt:i4>
      </vt:variant>
      <vt:variant>
        <vt:i4>5</vt:i4>
      </vt:variant>
      <vt:variant>
        <vt:lpwstr/>
      </vt:variant>
      <vt:variant>
        <vt:lpwstr>Buscemi</vt:lpwstr>
      </vt:variant>
      <vt:variant>
        <vt:i4>4</vt:i4>
      </vt:variant>
      <vt:variant>
        <vt:i4>3683</vt:i4>
      </vt:variant>
      <vt:variant>
        <vt:i4>0</vt:i4>
      </vt:variant>
      <vt:variant>
        <vt:i4>5</vt:i4>
      </vt:variant>
      <vt:variant>
        <vt:lpwstr/>
      </vt:variant>
      <vt:variant>
        <vt:lpwstr>Halas</vt:lpwstr>
      </vt:variant>
      <vt:variant>
        <vt:i4>65556</vt:i4>
      </vt:variant>
      <vt:variant>
        <vt:i4>3680</vt:i4>
      </vt:variant>
      <vt:variant>
        <vt:i4>0</vt:i4>
      </vt:variant>
      <vt:variant>
        <vt:i4>5</vt:i4>
      </vt:variant>
      <vt:variant>
        <vt:lpwstr/>
      </vt:variant>
      <vt:variant>
        <vt:lpwstr>Ramakrishnan</vt:lpwstr>
      </vt:variant>
      <vt:variant>
        <vt:i4>393228</vt:i4>
      </vt:variant>
      <vt:variant>
        <vt:i4>3677</vt:i4>
      </vt:variant>
      <vt:variant>
        <vt:i4>0</vt:i4>
      </vt:variant>
      <vt:variant>
        <vt:i4>5</vt:i4>
      </vt:variant>
      <vt:variant>
        <vt:lpwstr/>
      </vt:variant>
      <vt:variant>
        <vt:lpwstr>Benca</vt:lpwstr>
      </vt:variant>
      <vt:variant>
        <vt:i4>7667838</vt:i4>
      </vt:variant>
      <vt:variant>
        <vt:i4>3674</vt:i4>
      </vt:variant>
      <vt:variant>
        <vt:i4>0</vt:i4>
      </vt:variant>
      <vt:variant>
        <vt:i4>5</vt:i4>
      </vt:variant>
      <vt:variant>
        <vt:lpwstr/>
      </vt:variant>
      <vt:variant>
        <vt:lpwstr>Wafford</vt:lpwstr>
      </vt:variant>
      <vt:variant>
        <vt:i4>393247</vt:i4>
      </vt:variant>
      <vt:variant>
        <vt:i4>3671</vt:i4>
      </vt:variant>
      <vt:variant>
        <vt:i4>0</vt:i4>
      </vt:variant>
      <vt:variant>
        <vt:i4>5</vt:i4>
      </vt:variant>
      <vt:variant>
        <vt:lpwstr/>
      </vt:variant>
      <vt:variant>
        <vt:lpwstr>Morin</vt:lpwstr>
      </vt:variant>
      <vt:variant>
        <vt:i4>8061044</vt:i4>
      </vt:variant>
      <vt:variant>
        <vt:i4>3668</vt:i4>
      </vt:variant>
      <vt:variant>
        <vt:i4>0</vt:i4>
      </vt:variant>
      <vt:variant>
        <vt:i4>5</vt:i4>
      </vt:variant>
      <vt:variant>
        <vt:lpwstr/>
      </vt:variant>
      <vt:variant>
        <vt:lpwstr>Buscemi</vt:lpwstr>
      </vt:variant>
      <vt:variant>
        <vt:i4>65556</vt:i4>
      </vt:variant>
      <vt:variant>
        <vt:i4>3665</vt:i4>
      </vt:variant>
      <vt:variant>
        <vt:i4>0</vt:i4>
      </vt:variant>
      <vt:variant>
        <vt:i4>5</vt:i4>
      </vt:variant>
      <vt:variant>
        <vt:lpwstr/>
      </vt:variant>
      <vt:variant>
        <vt:lpwstr>Ramakrishnan</vt:lpwstr>
      </vt:variant>
      <vt:variant>
        <vt:i4>589849</vt:i4>
      </vt:variant>
      <vt:variant>
        <vt:i4>3662</vt:i4>
      </vt:variant>
      <vt:variant>
        <vt:i4>0</vt:i4>
      </vt:variant>
      <vt:variant>
        <vt:i4>5</vt:i4>
      </vt:variant>
      <vt:variant>
        <vt:lpwstr/>
      </vt:variant>
      <vt:variant>
        <vt:lpwstr>Holbrook</vt:lpwstr>
      </vt:variant>
      <vt:variant>
        <vt:i4>7536754</vt:i4>
      </vt:variant>
      <vt:variant>
        <vt:i4>3659</vt:i4>
      </vt:variant>
      <vt:variant>
        <vt:i4>0</vt:i4>
      </vt:variant>
      <vt:variant>
        <vt:i4>5</vt:i4>
      </vt:variant>
      <vt:variant>
        <vt:lpwstr/>
      </vt:variant>
      <vt:variant>
        <vt:lpwstr>Reeder</vt:lpwstr>
      </vt:variant>
      <vt:variant>
        <vt:i4>393247</vt:i4>
      </vt:variant>
      <vt:variant>
        <vt:i4>3656</vt:i4>
      </vt:variant>
      <vt:variant>
        <vt:i4>0</vt:i4>
      </vt:variant>
      <vt:variant>
        <vt:i4>5</vt:i4>
      </vt:variant>
      <vt:variant>
        <vt:lpwstr/>
      </vt:variant>
      <vt:variant>
        <vt:lpwstr>Morin</vt:lpwstr>
      </vt:variant>
      <vt:variant>
        <vt:i4>1245210</vt:i4>
      </vt:variant>
      <vt:variant>
        <vt:i4>3653</vt:i4>
      </vt:variant>
      <vt:variant>
        <vt:i4>0</vt:i4>
      </vt:variant>
      <vt:variant>
        <vt:i4>5</vt:i4>
      </vt:variant>
      <vt:variant>
        <vt:lpwstr/>
      </vt:variant>
      <vt:variant>
        <vt:lpwstr>LexiComp</vt:lpwstr>
      </vt:variant>
      <vt:variant>
        <vt:i4>917534</vt:i4>
      </vt:variant>
      <vt:variant>
        <vt:i4>3650</vt:i4>
      </vt:variant>
      <vt:variant>
        <vt:i4>0</vt:i4>
      </vt:variant>
      <vt:variant>
        <vt:i4>5</vt:i4>
      </vt:variant>
      <vt:variant>
        <vt:lpwstr/>
      </vt:variant>
      <vt:variant>
        <vt:lpwstr>Insomnia</vt:lpwstr>
      </vt:variant>
      <vt:variant>
        <vt:i4>1376275</vt:i4>
      </vt:variant>
      <vt:variant>
        <vt:i4>3647</vt:i4>
      </vt:variant>
      <vt:variant>
        <vt:i4>0</vt:i4>
      </vt:variant>
      <vt:variant>
        <vt:i4>5</vt:i4>
      </vt:variant>
      <vt:variant>
        <vt:lpwstr/>
      </vt:variant>
      <vt:variant>
        <vt:lpwstr>Sleepstudies</vt:lpwstr>
      </vt:variant>
      <vt:variant>
        <vt:i4>1966110</vt:i4>
      </vt:variant>
      <vt:variant>
        <vt:i4>3644</vt:i4>
      </vt:variant>
      <vt:variant>
        <vt:i4>0</vt:i4>
      </vt:variant>
      <vt:variant>
        <vt:i4>5</vt:i4>
      </vt:variant>
      <vt:variant>
        <vt:lpwstr/>
      </vt:variant>
      <vt:variant>
        <vt:lpwstr>Insomniatreatment</vt:lpwstr>
      </vt:variant>
      <vt:variant>
        <vt:i4>6946936</vt:i4>
      </vt:variant>
      <vt:variant>
        <vt:i4>3641</vt:i4>
      </vt:variant>
      <vt:variant>
        <vt:i4>0</vt:i4>
      </vt:variant>
      <vt:variant>
        <vt:i4>5</vt:i4>
      </vt:variant>
      <vt:variant>
        <vt:lpwstr/>
      </vt:variant>
      <vt:variant>
        <vt:lpwstr>McBeth2014</vt:lpwstr>
      </vt:variant>
      <vt:variant>
        <vt:i4>393228</vt:i4>
      </vt:variant>
      <vt:variant>
        <vt:i4>3638</vt:i4>
      </vt:variant>
      <vt:variant>
        <vt:i4>0</vt:i4>
      </vt:variant>
      <vt:variant>
        <vt:i4>5</vt:i4>
      </vt:variant>
      <vt:variant>
        <vt:lpwstr/>
      </vt:variant>
      <vt:variant>
        <vt:lpwstr>Benca</vt:lpwstr>
      </vt:variant>
      <vt:variant>
        <vt:i4>7536754</vt:i4>
      </vt:variant>
      <vt:variant>
        <vt:i4>3635</vt:i4>
      </vt:variant>
      <vt:variant>
        <vt:i4>0</vt:i4>
      </vt:variant>
      <vt:variant>
        <vt:i4>5</vt:i4>
      </vt:variant>
      <vt:variant>
        <vt:lpwstr/>
      </vt:variant>
      <vt:variant>
        <vt:lpwstr>Reeder</vt:lpwstr>
      </vt:variant>
      <vt:variant>
        <vt:i4>1179672</vt:i4>
      </vt:variant>
      <vt:variant>
        <vt:i4>3632</vt:i4>
      </vt:variant>
      <vt:variant>
        <vt:i4>0</vt:i4>
      </vt:variant>
      <vt:variant>
        <vt:i4>5</vt:i4>
      </vt:variant>
      <vt:variant>
        <vt:lpwstr/>
      </vt:variant>
      <vt:variant>
        <vt:lpwstr>Piriformisinjections</vt:lpwstr>
      </vt:variant>
      <vt:variant>
        <vt:i4>1507354</vt:i4>
      </vt:variant>
      <vt:variant>
        <vt:i4>3629</vt:i4>
      </vt:variant>
      <vt:variant>
        <vt:i4>0</vt:i4>
      </vt:variant>
      <vt:variant>
        <vt:i4>5</vt:i4>
      </vt:variant>
      <vt:variant>
        <vt:lpwstr/>
      </vt:variant>
      <vt:variant>
        <vt:lpwstr>Prolotherapy</vt:lpwstr>
      </vt:variant>
      <vt:variant>
        <vt:i4>1179657</vt:i4>
      </vt:variant>
      <vt:variant>
        <vt:i4>3626</vt:i4>
      </vt:variant>
      <vt:variant>
        <vt:i4>0</vt:i4>
      </vt:variant>
      <vt:variant>
        <vt:i4>5</vt:i4>
      </vt:variant>
      <vt:variant>
        <vt:lpwstr/>
      </vt:variant>
      <vt:variant>
        <vt:lpwstr>Stellateganglionblock</vt:lpwstr>
      </vt:variant>
      <vt:variant>
        <vt:i4>8257646</vt:i4>
      </vt:variant>
      <vt:variant>
        <vt:i4>3623</vt:i4>
      </vt:variant>
      <vt:variant>
        <vt:i4>0</vt:i4>
      </vt:variant>
      <vt:variant>
        <vt:i4>5</vt:i4>
      </vt:variant>
      <vt:variant>
        <vt:lpwstr/>
      </vt:variant>
      <vt:variant>
        <vt:lpwstr>TriggerPointInjections</vt:lpwstr>
      </vt:variant>
      <vt:variant>
        <vt:i4>7471215</vt:i4>
      </vt:variant>
      <vt:variant>
        <vt:i4>3620</vt:i4>
      </vt:variant>
      <vt:variant>
        <vt:i4>0</vt:i4>
      </vt:variant>
      <vt:variant>
        <vt:i4>5</vt:i4>
      </vt:variant>
      <vt:variant>
        <vt:lpwstr/>
      </vt:variant>
      <vt:variant>
        <vt:lpwstr>Lumbarsympatheticblock</vt:lpwstr>
      </vt:variant>
      <vt:variant>
        <vt:i4>6422654</vt:i4>
      </vt:variant>
      <vt:variant>
        <vt:i4>3617</vt:i4>
      </vt:variant>
      <vt:variant>
        <vt:i4>0</vt:i4>
      </vt:variant>
      <vt:variant>
        <vt:i4>5</vt:i4>
      </vt:variant>
      <vt:variant>
        <vt:lpwstr/>
      </vt:variant>
      <vt:variant>
        <vt:lpwstr>Facetblocks</vt:lpwstr>
      </vt:variant>
      <vt:variant>
        <vt:i4>131093</vt:i4>
      </vt:variant>
      <vt:variant>
        <vt:i4>3614</vt:i4>
      </vt:variant>
      <vt:variant>
        <vt:i4>0</vt:i4>
      </vt:variant>
      <vt:variant>
        <vt:i4>5</vt:i4>
      </vt:variant>
      <vt:variant>
        <vt:lpwstr/>
      </vt:variant>
      <vt:variant>
        <vt:lpwstr>Epiduralsteroidinjections</vt:lpwstr>
      </vt:variant>
      <vt:variant>
        <vt:i4>1835029</vt:i4>
      </vt:variant>
      <vt:variant>
        <vt:i4>3611</vt:i4>
      </vt:variant>
      <vt:variant>
        <vt:i4>0</vt:i4>
      </vt:variant>
      <vt:variant>
        <vt:i4>5</vt:i4>
      </vt:variant>
      <vt:variant>
        <vt:lpwstr/>
      </vt:variant>
      <vt:variant>
        <vt:lpwstr>Tivorbex</vt:lpwstr>
      </vt:variant>
      <vt:variant>
        <vt:i4>7471210</vt:i4>
      </vt:variant>
      <vt:variant>
        <vt:i4>3608</vt:i4>
      </vt:variant>
      <vt:variant>
        <vt:i4>0</vt:i4>
      </vt:variant>
      <vt:variant>
        <vt:i4>5</vt:i4>
      </vt:variant>
      <vt:variant>
        <vt:lpwstr/>
      </vt:variant>
      <vt:variant>
        <vt:lpwstr>IndomethacinListing</vt:lpwstr>
      </vt:variant>
      <vt:variant>
        <vt:i4>1441796</vt:i4>
      </vt:variant>
      <vt:variant>
        <vt:i4>3605</vt:i4>
      </vt:variant>
      <vt:variant>
        <vt:i4>0</vt:i4>
      </vt:variant>
      <vt:variant>
        <vt:i4>5</vt:i4>
      </vt:variant>
      <vt:variant>
        <vt:lpwstr/>
      </vt:variant>
      <vt:variant>
        <vt:lpwstr>NSAIDsspecificdruglistadverseeffects</vt:lpwstr>
      </vt:variant>
      <vt:variant>
        <vt:i4>6750314</vt:i4>
      </vt:variant>
      <vt:variant>
        <vt:i4>3602</vt:i4>
      </vt:variant>
      <vt:variant>
        <vt:i4>0</vt:i4>
      </vt:variant>
      <vt:variant>
        <vt:i4>5</vt:i4>
      </vt:variant>
      <vt:variant>
        <vt:lpwstr/>
      </vt:variant>
      <vt:variant>
        <vt:lpwstr>NSAIDshypertensionandrenalfunction</vt:lpwstr>
      </vt:variant>
      <vt:variant>
        <vt:i4>6357091</vt:i4>
      </vt:variant>
      <vt:variant>
        <vt:i4>3599</vt:i4>
      </vt:variant>
      <vt:variant>
        <vt:i4>0</vt:i4>
      </vt:variant>
      <vt:variant>
        <vt:i4>5</vt:i4>
      </vt:variant>
      <vt:variant>
        <vt:lpwstr/>
      </vt:variant>
      <vt:variant>
        <vt:lpwstr>NSAIDsGIsymptomscardiovascularrisk</vt:lpwstr>
      </vt:variant>
      <vt:variant>
        <vt:i4>6881387</vt:i4>
      </vt:variant>
      <vt:variant>
        <vt:i4>3596</vt:i4>
      </vt:variant>
      <vt:variant>
        <vt:i4>0</vt:i4>
      </vt:variant>
      <vt:variant>
        <vt:i4>5</vt:i4>
      </vt:variant>
      <vt:variant>
        <vt:lpwstr/>
      </vt:variant>
      <vt:variant>
        <vt:lpwstr>NSAIDs</vt:lpwstr>
      </vt:variant>
      <vt:variant>
        <vt:i4>7995509</vt:i4>
      </vt:variant>
      <vt:variant>
        <vt:i4>3593</vt:i4>
      </vt:variant>
      <vt:variant>
        <vt:i4>0</vt:i4>
      </vt:variant>
      <vt:variant>
        <vt:i4>5</vt:i4>
      </vt:variant>
      <vt:variant>
        <vt:lpwstr/>
      </vt:variant>
      <vt:variant>
        <vt:lpwstr>McGettigan2011</vt:lpwstr>
      </vt:variant>
      <vt:variant>
        <vt:i4>655371</vt:i4>
      </vt:variant>
      <vt:variant>
        <vt:i4>3590</vt:i4>
      </vt:variant>
      <vt:variant>
        <vt:i4>0</vt:i4>
      </vt:variant>
      <vt:variant>
        <vt:i4>5</vt:i4>
      </vt:variant>
      <vt:variant>
        <vt:lpwstr/>
      </vt:variant>
      <vt:variant>
        <vt:lpwstr>SpinalCordStimulators</vt:lpwstr>
      </vt:variant>
      <vt:variant>
        <vt:i4>8192045</vt:i4>
      </vt:variant>
      <vt:variant>
        <vt:i4>3587</vt:i4>
      </vt:variant>
      <vt:variant>
        <vt:i4>0</vt:i4>
      </vt:variant>
      <vt:variant>
        <vt:i4>5</vt:i4>
      </vt:variant>
      <vt:variant>
        <vt:lpwstr/>
      </vt:variant>
      <vt:variant>
        <vt:lpwstr>Bennett2000</vt:lpwstr>
      </vt:variant>
      <vt:variant>
        <vt:i4>4128809</vt:i4>
      </vt:variant>
      <vt:variant>
        <vt:i4>3584</vt:i4>
      </vt:variant>
      <vt:variant>
        <vt:i4>0</vt:i4>
      </vt:variant>
      <vt:variant>
        <vt:i4>5</vt:i4>
      </vt:variant>
      <vt:variant>
        <vt:lpwstr>http://www.fda.gov/ohrms/dockets/dockets/05e0246/05e-0246-app0001-04-Exhibit-C-vol1.pdf</vt:lpwstr>
      </vt:variant>
      <vt:variant>
        <vt:lpwstr/>
      </vt:variant>
      <vt:variant>
        <vt:i4>6946927</vt:i4>
      </vt:variant>
      <vt:variant>
        <vt:i4>3581</vt:i4>
      </vt:variant>
      <vt:variant>
        <vt:i4>0</vt:i4>
      </vt:variant>
      <vt:variant>
        <vt:i4>5</vt:i4>
      </vt:variant>
      <vt:variant>
        <vt:lpwstr/>
      </vt:variant>
      <vt:variant>
        <vt:lpwstr>Hassenbusch</vt:lpwstr>
      </vt:variant>
      <vt:variant>
        <vt:i4>6619239</vt:i4>
      </vt:variant>
      <vt:variant>
        <vt:i4>3578</vt:i4>
      </vt:variant>
      <vt:variant>
        <vt:i4>0</vt:i4>
      </vt:variant>
      <vt:variant>
        <vt:i4>5</vt:i4>
      </vt:variant>
      <vt:variant>
        <vt:lpwstr/>
      </vt:variant>
      <vt:variant>
        <vt:lpwstr>Ziconotide</vt:lpwstr>
      </vt:variant>
      <vt:variant>
        <vt:i4>1376279</vt:i4>
      </vt:variant>
      <vt:variant>
        <vt:i4>3575</vt:i4>
      </vt:variant>
      <vt:variant>
        <vt:i4>0</vt:i4>
      </vt:variant>
      <vt:variant>
        <vt:i4>5</vt:i4>
      </vt:variant>
      <vt:variant>
        <vt:lpwstr/>
      </vt:variant>
      <vt:variant>
        <vt:lpwstr>Guillaume</vt:lpwstr>
      </vt:variant>
      <vt:variant>
        <vt:i4>1507329</vt:i4>
      </vt:variant>
      <vt:variant>
        <vt:i4>3572</vt:i4>
      </vt:variant>
      <vt:variant>
        <vt:i4>0</vt:i4>
      </vt:variant>
      <vt:variant>
        <vt:i4>5</vt:i4>
      </vt:variant>
      <vt:variant>
        <vt:lpwstr/>
      </vt:variant>
      <vt:variant>
        <vt:lpwstr>Deer3</vt:lpwstr>
      </vt:variant>
      <vt:variant>
        <vt:i4>6946927</vt:i4>
      </vt:variant>
      <vt:variant>
        <vt:i4>3569</vt:i4>
      </vt:variant>
      <vt:variant>
        <vt:i4>0</vt:i4>
      </vt:variant>
      <vt:variant>
        <vt:i4>5</vt:i4>
      </vt:variant>
      <vt:variant>
        <vt:lpwstr/>
      </vt:variant>
      <vt:variant>
        <vt:lpwstr>Hassenbusch</vt:lpwstr>
      </vt:variant>
      <vt:variant>
        <vt:i4>1507329</vt:i4>
      </vt:variant>
      <vt:variant>
        <vt:i4>3566</vt:i4>
      </vt:variant>
      <vt:variant>
        <vt:i4>0</vt:i4>
      </vt:variant>
      <vt:variant>
        <vt:i4>5</vt:i4>
      </vt:variant>
      <vt:variant>
        <vt:lpwstr/>
      </vt:variant>
      <vt:variant>
        <vt:lpwstr>Deer3</vt:lpwstr>
      </vt:variant>
      <vt:variant>
        <vt:i4>1245206</vt:i4>
      </vt:variant>
      <vt:variant>
        <vt:i4>3563</vt:i4>
      </vt:variant>
      <vt:variant>
        <vt:i4>0</vt:i4>
      </vt:variant>
      <vt:variant>
        <vt:i4>5</vt:i4>
      </vt:variant>
      <vt:variant>
        <vt:lpwstr/>
      </vt:variant>
      <vt:variant>
        <vt:lpwstr>Waara</vt:lpwstr>
      </vt:variant>
      <vt:variant>
        <vt:i4>393240</vt:i4>
      </vt:variant>
      <vt:variant>
        <vt:i4>3560</vt:i4>
      </vt:variant>
      <vt:variant>
        <vt:i4>0</vt:i4>
      </vt:variant>
      <vt:variant>
        <vt:i4>5</vt:i4>
      </vt:variant>
      <vt:variant>
        <vt:lpwstr/>
      </vt:variant>
      <vt:variant>
        <vt:lpwstr>Hospitallengthofstay</vt:lpwstr>
      </vt:variant>
      <vt:variant>
        <vt:i4>720916</vt:i4>
      </vt:variant>
      <vt:variant>
        <vt:i4>3557</vt:i4>
      </vt:variant>
      <vt:variant>
        <vt:i4>0</vt:i4>
      </vt:variant>
      <vt:variant>
        <vt:i4>5</vt:i4>
      </vt:variant>
      <vt:variant>
        <vt:lpwstr/>
      </vt:variant>
      <vt:variant>
        <vt:lpwstr>Functionalimprovementmeasures</vt:lpwstr>
      </vt:variant>
      <vt:variant>
        <vt:i4>589837</vt:i4>
      </vt:variant>
      <vt:variant>
        <vt:i4>3554</vt:i4>
      </vt:variant>
      <vt:variant>
        <vt:i4>0</vt:i4>
      </vt:variant>
      <vt:variant>
        <vt:i4>5</vt:i4>
      </vt:variant>
      <vt:variant>
        <vt:lpwstr/>
      </vt:variant>
      <vt:variant>
        <vt:lpwstr>Cole2003</vt:lpwstr>
      </vt:variant>
      <vt:variant>
        <vt:i4>3276897</vt:i4>
      </vt:variant>
      <vt:variant>
        <vt:i4>3551</vt:i4>
      </vt:variant>
      <vt:variant>
        <vt:i4>0</vt:i4>
      </vt:variant>
      <vt:variant>
        <vt:i4>5</vt:i4>
      </vt:variant>
      <vt:variant>
        <vt:lpwstr>http://professional.medtronic.com/devices/synchromed-II-for-pain/overview/index.htm</vt:lpwstr>
      </vt:variant>
      <vt:variant>
        <vt:lpwstr/>
      </vt:variant>
      <vt:variant>
        <vt:i4>7340128</vt:i4>
      </vt:variant>
      <vt:variant>
        <vt:i4>3548</vt:i4>
      </vt:variant>
      <vt:variant>
        <vt:i4>0</vt:i4>
      </vt:variant>
      <vt:variant>
        <vt:i4>5</vt:i4>
      </vt:variant>
      <vt:variant>
        <vt:lpwstr/>
      </vt:variant>
      <vt:variant>
        <vt:lpwstr>Coffey</vt:lpwstr>
      </vt:variant>
      <vt:variant>
        <vt:i4>3276897</vt:i4>
      </vt:variant>
      <vt:variant>
        <vt:i4>3545</vt:i4>
      </vt:variant>
      <vt:variant>
        <vt:i4>0</vt:i4>
      </vt:variant>
      <vt:variant>
        <vt:i4>5</vt:i4>
      </vt:variant>
      <vt:variant>
        <vt:lpwstr>http://professional.medtronic.com/devices/synchromed-II-for-pain/overview/index.htm</vt:lpwstr>
      </vt:variant>
      <vt:variant>
        <vt:lpwstr/>
      </vt:variant>
      <vt:variant>
        <vt:i4>7667815</vt:i4>
      </vt:variant>
      <vt:variant>
        <vt:i4>3542</vt:i4>
      </vt:variant>
      <vt:variant>
        <vt:i4>0</vt:i4>
      </vt:variant>
      <vt:variant>
        <vt:i4>5</vt:i4>
      </vt:variant>
      <vt:variant>
        <vt:lpwstr/>
      </vt:variant>
      <vt:variant>
        <vt:lpwstr>Washington2008</vt:lpwstr>
      </vt:variant>
      <vt:variant>
        <vt:i4>131097</vt:i4>
      </vt:variant>
      <vt:variant>
        <vt:i4>3539</vt:i4>
      </vt:variant>
      <vt:variant>
        <vt:i4>0</vt:i4>
      </vt:variant>
      <vt:variant>
        <vt:i4>5</vt:i4>
      </vt:variant>
      <vt:variant>
        <vt:lpwstr/>
      </vt:variant>
      <vt:variant>
        <vt:lpwstr>Paice</vt:lpwstr>
      </vt:variant>
      <vt:variant>
        <vt:i4>327704</vt:i4>
      </vt:variant>
      <vt:variant>
        <vt:i4>3536</vt:i4>
      </vt:variant>
      <vt:variant>
        <vt:i4>0</vt:i4>
      </vt:variant>
      <vt:variant>
        <vt:i4>5</vt:i4>
      </vt:variant>
      <vt:variant>
        <vt:lpwstr/>
      </vt:variant>
      <vt:variant>
        <vt:lpwstr>Winkelmuller</vt:lpwstr>
      </vt:variant>
      <vt:variant>
        <vt:i4>1966085</vt:i4>
      </vt:variant>
      <vt:variant>
        <vt:i4>3533</vt:i4>
      </vt:variant>
      <vt:variant>
        <vt:i4>0</vt:i4>
      </vt:variant>
      <vt:variant>
        <vt:i4>5</vt:i4>
      </vt:variant>
      <vt:variant>
        <vt:lpwstr/>
      </vt:variant>
      <vt:variant>
        <vt:lpwstr>Phillips</vt:lpwstr>
      </vt:variant>
      <vt:variant>
        <vt:i4>851983</vt:i4>
      </vt:variant>
      <vt:variant>
        <vt:i4>3530</vt:i4>
      </vt:variant>
      <vt:variant>
        <vt:i4>0</vt:i4>
      </vt:variant>
      <vt:variant>
        <vt:i4>5</vt:i4>
      </vt:variant>
      <vt:variant>
        <vt:lpwstr/>
      </vt:variant>
      <vt:variant>
        <vt:lpwstr>Intrathecaldrugdeliverysystemsmedication</vt:lpwstr>
      </vt:variant>
      <vt:variant>
        <vt:i4>5242888</vt:i4>
      </vt:variant>
      <vt:variant>
        <vt:i4>3527</vt:i4>
      </vt:variant>
      <vt:variant>
        <vt:i4>0</vt:i4>
      </vt:variant>
      <vt:variant>
        <vt:i4>5</vt:i4>
      </vt:variant>
      <vt:variant>
        <vt:lpwstr/>
      </vt:variant>
      <vt:variant>
        <vt:lpwstr>BlueCrossBlueShield9</vt:lpwstr>
      </vt:variant>
      <vt:variant>
        <vt:i4>1310731</vt:i4>
      </vt:variant>
      <vt:variant>
        <vt:i4>3524</vt:i4>
      </vt:variant>
      <vt:variant>
        <vt:i4>0</vt:i4>
      </vt:variant>
      <vt:variant>
        <vt:i4>5</vt:i4>
      </vt:variant>
      <vt:variant>
        <vt:lpwstr/>
      </vt:variant>
      <vt:variant>
        <vt:lpwstr>Osenbach</vt:lpwstr>
      </vt:variant>
      <vt:variant>
        <vt:i4>2556020</vt:i4>
      </vt:variant>
      <vt:variant>
        <vt:i4>3521</vt:i4>
      </vt:variant>
      <vt:variant>
        <vt:i4>0</vt:i4>
      </vt:variant>
      <vt:variant>
        <vt:i4>5</vt:i4>
      </vt:variant>
      <vt:variant>
        <vt:lpwstr/>
      </vt:variant>
      <vt:variant>
        <vt:lpwstr>Kumar3</vt:lpwstr>
      </vt:variant>
      <vt:variant>
        <vt:i4>131097</vt:i4>
      </vt:variant>
      <vt:variant>
        <vt:i4>3518</vt:i4>
      </vt:variant>
      <vt:variant>
        <vt:i4>0</vt:i4>
      </vt:variant>
      <vt:variant>
        <vt:i4>5</vt:i4>
      </vt:variant>
      <vt:variant>
        <vt:lpwstr/>
      </vt:variant>
      <vt:variant>
        <vt:lpwstr>Paice</vt:lpwstr>
      </vt:variant>
      <vt:variant>
        <vt:i4>327704</vt:i4>
      </vt:variant>
      <vt:variant>
        <vt:i4>3515</vt:i4>
      </vt:variant>
      <vt:variant>
        <vt:i4>0</vt:i4>
      </vt:variant>
      <vt:variant>
        <vt:i4>5</vt:i4>
      </vt:variant>
      <vt:variant>
        <vt:lpwstr/>
      </vt:variant>
      <vt:variant>
        <vt:lpwstr>Winkelmuller</vt:lpwstr>
      </vt:variant>
      <vt:variant>
        <vt:i4>1507329</vt:i4>
      </vt:variant>
      <vt:variant>
        <vt:i4>3512</vt:i4>
      </vt:variant>
      <vt:variant>
        <vt:i4>0</vt:i4>
      </vt:variant>
      <vt:variant>
        <vt:i4>5</vt:i4>
      </vt:variant>
      <vt:variant>
        <vt:lpwstr/>
      </vt:variant>
      <vt:variant>
        <vt:lpwstr>Deer</vt:lpwstr>
      </vt:variant>
      <vt:variant>
        <vt:i4>8257657</vt:i4>
      </vt:variant>
      <vt:variant>
        <vt:i4>3509</vt:i4>
      </vt:variant>
      <vt:variant>
        <vt:i4>0</vt:i4>
      </vt:variant>
      <vt:variant>
        <vt:i4>5</vt:i4>
      </vt:variant>
      <vt:variant>
        <vt:lpwstr/>
      </vt:variant>
      <vt:variant>
        <vt:lpwstr>United</vt:lpwstr>
      </vt:variant>
      <vt:variant>
        <vt:i4>3801192</vt:i4>
      </vt:variant>
      <vt:variant>
        <vt:i4>3506</vt:i4>
      </vt:variant>
      <vt:variant>
        <vt:i4>0</vt:i4>
      </vt:variant>
      <vt:variant>
        <vt:i4>5</vt:i4>
      </vt:variant>
      <vt:variant>
        <vt:lpwstr/>
      </vt:variant>
      <vt:variant>
        <vt:lpwstr>BlueCross2</vt:lpwstr>
      </vt:variant>
      <vt:variant>
        <vt:i4>6488163</vt:i4>
      </vt:variant>
      <vt:variant>
        <vt:i4>3503</vt:i4>
      </vt:variant>
      <vt:variant>
        <vt:i4>0</vt:i4>
      </vt:variant>
      <vt:variant>
        <vt:i4>5</vt:i4>
      </vt:variant>
      <vt:variant>
        <vt:lpwstr/>
      </vt:variant>
      <vt:variant>
        <vt:lpwstr>Yoshida</vt:lpwstr>
      </vt:variant>
      <vt:variant>
        <vt:i4>1310720</vt:i4>
      </vt:variant>
      <vt:variant>
        <vt:i4>3500</vt:i4>
      </vt:variant>
      <vt:variant>
        <vt:i4>0</vt:i4>
      </vt:variant>
      <vt:variant>
        <vt:i4>5</vt:i4>
      </vt:variant>
      <vt:variant>
        <vt:lpwstr/>
      </vt:variant>
      <vt:variant>
        <vt:lpwstr>Tutak</vt:lpwstr>
      </vt:variant>
      <vt:variant>
        <vt:i4>2162739</vt:i4>
      </vt:variant>
      <vt:variant>
        <vt:i4>3497</vt:i4>
      </vt:variant>
      <vt:variant>
        <vt:i4>0</vt:i4>
      </vt:variant>
      <vt:variant>
        <vt:i4>5</vt:i4>
      </vt:variant>
      <vt:variant>
        <vt:lpwstr>http://www.painphysicianjournal.com/2009/march/2009;12;345-360.pdf</vt:lpwstr>
      </vt:variant>
      <vt:variant>
        <vt:lpwstr/>
      </vt:variant>
      <vt:variant>
        <vt:i4>1507329</vt:i4>
      </vt:variant>
      <vt:variant>
        <vt:i4>3494</vt:i4>
      </vt:variant>
      <vt:variant>
        <vt:i4>0</vt:i4>
      </vt:variant>
      <vt:variant>
        <vt:i4>5</vt:i4>
      </vt:variant>
      <vt:variant>
        <vt:lpwstr/>
      </vt:variant>
      <vt:variant>
        <vt:lpwstr>Deer4</vt:lpwstr>
      </vt:variant>
      <vt:variant>
        <vt:i4>7602292</vt:i4>
      </vt:variant>
      <vt:variant>
        <vt:i4>3491</vt:i4>
      </vt:variant>
      <vt:variant>
        <vt:i4>0</vt:i4>
      </vt:variant>
      <vt:variant>
        <vt:i4>5</vt:i4>
      </vt:variant>
      <vt:variant>
        <vt:lpwstr/>
      </vt:variant>
      <vt:variant>
        <vt:lpwstr>Boswell</vt:lpwstr>
      </vt:variant>
      <vt:variant>
        <vt:i4>6946927</vt:i4>
      </vt:variant>
      <vt:variant>
        <vt:i4>3488</vt:i4>
      </vt:variant>
      <vt:variant>
        <vt:i4>0</vt:i4>
      </vt:variant>
      <vt:variant>
        <vt:i4>5</vt:i4>
      </vt:variant>
      <vt:variant>
        <vt:lpwstr/>
      </vt:variant>
      <vt:variant>
        <vt:lpwstr>Hassenbusch</vt:lpwstr>
      </vt:variant>
      <vt:variant>
        <vt:i4>2556020</vt:i4>
      </vt:variant>
      <vt:variant>
        <vt:i4>3485</vt:i4>
      </vt:variant>
      <vt:variant>
        <vt:i4>0</vt:i4>
      </vt:variant>
      <vt:variant>
        <vt:i4>5</vt:i4>
      </vt:variant>
      <vt:variant>
        <vt:lpwstr/>
      </vt:variant>
      <vt:variant>
        <vt:lpwstr>Kumar3</vt:lpwstr>
      </vt:variant>
      <vt:variant>
        <vt:i4>720902</vt:i4>
      </vt:variant>
      <vt:variant>
        <vt:i4>3482</vt:i4>
      </vt:variant>
      <vt:variant>
        <vt:i4>0</vt:i4>
      </vt:variant>
      <vt:variant>
        <vt:i4>5</vt:i4>
      </vt:variant>
      <vt:variant>
        <vt:lpwstr/>
      </vt:variant>
      <vt:variant>
        <vt:lpwstr>Angel</vt:lpwstr>
      </vt:variant>
      <vt:variant>
        <vt:i4>7667815</vt:i4>
      </vt:variant>
      <vt:variant>
        <vt:i4>3479</vt:i4>
      </vt:variant>
      <vt:variant>
        <vt:i4>0</vt:i4>
      </vt:variant>
      <vt:variant>
        <vt:i4>5</vt:i4>
      </vt:variant>
      <vt:variant>
        <vt:lpwstr/>
      </vt:variant>
      <vt:variant>
        <vt:lpwstr>Washington2008</vt:lpwstr>
      </vt:variant>
      <vt:variant>
        <vt:i4>589845</vt:i4>
      </vt:variant>
      <vt:variant>
        <vt:i4>3476</vt:i4>
      </vt:variant>
      <vt:variant>
        <vt:i4>0</vt:i4>
      </vt:variant>
      <vt:variant>
        <vt:i4>5</vt:i4>
      </vt:variant>
      <vt:variant>
        <vt:lpwstr/>
      </vt:variant>
      <vt:variant>
        <vt:lpwstr>IbuprofenListing</vt:lpwstr>
      </vt:variant>
      <vt:variant>
        <vt:i4>1441796</vt:i4>
      </vt:variant>
      <vt:variant>
        <vt:i4>3473</vt:i4>
      </vt:variant>
      <vt:variant>
        <vt:i4>0</vt:i4>
      </vt:variant>
      <vt:variant>
        <vt:i4>5</vt:i4>
      </vt:variant>
      <vt:variant>
        <vt:lpwstr/>
      </vt:variant>
      <vt:variant>
        <vt:lpwstr>NSAIDsspecificdruglistadverseeffects</vt:lpwstr>
      </vt:variant>
      <vt:variant>
        <vt:i4>6750314</vt:i4>
      </vt:variant>
      <vt:variant>
        <vt:i4>3470</vt:i4>
      </vt:variant>
      <vt:variant>
        <vt:i4>0</vt:i4>
      </vt:variant>
      <vt:variant>
        <vt:i4>5</vt:i4>
      </vt:variant>
      <vt:variant>
        <vt:lpwstr/>
      </vt:variant>
      <vt:variant>
        <vt:lpwstr>NSAIDshypertensionandrenalfunction</vt:lpwstr>
      </vt:variant>
      <vt:variant>
        <vt:i4>6357091</vt:i4>
      </vt:variant>
      <vt:variant>
        <vt:i4>3467</vt:i4>
      </vt:variant>
      <vt:variant>
        <vt:i4>0</vt:i4>
      </vt:variant>
      <vt:variant>
        <vt:i4>5</vt:i4>
      </vt:variant>
      <vt:variant>
        <vt:lpwstr/>
      </vt:variant>
      <vt:variant>
        <vt:lpwstr>NSAIDsGIsymptomscardiovascularrisk</vt:lpwstr>
      </vt:variant>
      <vt:variant>
        <vt:i4>6881387</vt:i4>
      </vt:variant>
      <vt:variant>
        <vt:i4>3464</vt:i4>
      </vt:variant>
      <vt:variant>
        <vt:i4>0</vt:i4>
      </vt:variant>
      <vt:variant>
        <vt:i4>5</vt:i4>
      </vt:variant>
      <vt:variant>
        <vt:lpwstr/>
      </vt:variant>
      <vt:variant>
        <vt:lpwstr>NSAIDs</vt:lpwstr>
      </vt:variant>
      <vt:variant>
        <vt:i4>7667809</vt:i4>
      </vt:variant>
      <vt:variant>
        <vt:i4>3461</vt:i4>
      </vt:variant>
      <vt:variant>
        <vt:i4>0</vt:i4>
      </vt:variant>
      <vt:variant>
        <vt:i4>5</vt:i4>
      </vt:variant>
      <vt:variant>
        <vt:lpwstr/>
      </vt:variant>
      <vt:variant>
        <vt:lpwstr>Antiinflammatorymedications</vt:lpwstr>
      </vt:variant>
      <vt:variant>
        <vt:i4>1966110</vt:i4>
      </vt:variant>
      <vt:variant>
        <vt:i4>3458</vt:i4>
      </vt:variant>
      <vt:variant>
        <vt:i4>0</vt:i4>
      </vt:variant>
      <vt:variant>
        <vt:i4>5</vt:i4>
      </vt:variant>
      <vt:variant>
        <vt:lpwstr/>
      </vt:variant>
      <vt:variant>
        <vt:lpwstr>Insomniatreatment</vt:lpwstr>
      </vt:variant>
      <vt:variant>
        <vt:i4>7536750</vt:i4>
      </vt:variant>
      <vt:variant>
        <vt:i4>3455</vt:i4>
      </vt:variant>
      <vt:variant>
        <vt:i4>0</vt:i4>
      </vt:variant>
      <vt:variant>
        <vt:i4>5</vt:i4>
      </vt:variant>
      <vt:variant>
        <vt:lpwstr/>
      </vt:variant>
      <vt:variant>
        <vt:lpwstr>Benzodiazepines</vt:lpwstr>
      </vt:variant>
      <vt:variant>
        <vt:i4>7929954</vt:i4>
      </vt:variant>
      <vt:variant>
        <vt:i4>3452</vt:i4>
      </vt:variant>
      <vt:variant>
        <vt:i4>0</vt:i4>
      </vt:variant>
      <vt:variant>
        <vt:i4>5</vt:i4>
      </vt:variant>
      <vt:variant>
        <vt:lpwstr/>
      </vt:variant>
      <vt:variant>
        <vt:lpwstr>Jensen2011</vt:lpwstr>
      </vt:variant>
      <vt:variant>
        <vt:i4>1114259</vt:i4>
      </vt:variant>
      <vt:variant>
        <vt:i4>3449</vt:i4>
      </vt:variant>
      <vt:variant>
        <vt:i4>0</vt:i4>
      </vt:variant>
      <vt:variant>
        <vt:i4>5</vt:i4>
      </vt:variant>
      <vt:variant>
        <vt:lpwstr/>
      </vt:variant>
      <vt:variant>
        <vt:lpwstr>Grøndahl</vt:lpwstr>
      </vt:variant>
      <vt:variant>
        <vt:i4>196613</vt:i4>
      </vt:variant>
      <vt:variant>
        <vt:i4>3446</vt:i4>
      </vt:variant>
      <vt:variant>
        <vt:i4>0</vt:i4>
      </vt:variant>
      <vt:variant>
        <vt:i4>5</vt:i4>
      </vt:variant>
      <vt:variant>
        <vt:lpwstr/>
      </vt:variant>
      <vt:variant>
        <vt:lpwstr>HydromorphoneListing</vt:lpwstr>
      </vt:variant>
      <vt:variant>
        <vt:i4>7798888</vt:i4>
      </vt:variant>
      <vt:variant>
        <vt:i4>3443</vt:i4>
      </vt:variant>
      <vt:variant>
        <vt:i4>0</vt:i4>
      </vt:variant>
      <vt:variant>
        <vt:i4>5</vt:i4>
      </vt:variant>
      <vt:variant>
        <vt:lpwstr/>
      </vt:variant>
      <vt:variant>
        <vt:lpwstr>HydrocodoneIbuprofenListing</vt:lpwstr>
      </vt:variant>
      <vt:variant>
        <vt:i4>327765</vt:i4>
      </vt:variant>
      <vt:variant>
        <vt:i4>3440</vt:i4>
      </vt:variant>
      <vt:variant>
        <vt:i4>0</vt:i4>
      </vt:variant>
      <vt:variant>
        <vt:i4>5</vt:i4>
      </vt:variant>
      <vt:variant>
        <vt:lpwstr/>
      </vt:variant>
      <vt:variant>
        <vt:lpwstr>Chang2014</vt:lpwstr>
      </vt:variant>
      <vt:variant>
        <vt:i4>8192005</vt:i4>
      </vt:variant>
      <vt:variant>
        <vt:i4>3437</vt:i4>
      </vt:variant>
      <vt:variant>
        <vt:i4>0</vt:i4>
      </vt:variant>
      <vt:variant>
        <vt:i4>5</vt:i4>
      </vt:variant>
      <vt:variant>
        <vt:lpwstr>http://www.deadiversion.usdoj.gov/fed_regs/rules/2014/fr0227.htm</vt:lpwstr>
      </vt:variant>
      <vt:variant>
        <vt:lpwstr/>
      </vt:variant>
      <vt:variant>
        <vt:i4>4259843</vt:i4>
      </vt:variant>
      <vt:variant>
        <vt:i4>3434</vt:i4>
      </vt:variant>
      <vt:variant>
        <vt:i4>0</vt:i4>
      </vt:variant>
      <vt:variant>
        <vt:i4>5</vt:i4>
      </vt:variant>
      <vt:variant>
        <vt:lpwstr>http://www.fda.gov/AdvisoryCommittees/Calendar/ucm332857.htm</vt:lpwstr>
      </vt:variant>
      <vt:variant>
        <vt:lpwstr/>
      </vt:variant>
      <vt:variant>
        <vt:i4>7602289</vt:i4>
      </vt:variant>
      <vt:variant>
        <vt:i4>3431</vt:i4>
      </vt:variant>
      <vt:variant>
        <vt:i4>0</vt:i4>
      </vt:variant>
      <vt:variant>
        <vt:i4>5</vt:i4>
      </vt:variant>
      <vt:variant>
        <vt:lpwstr/>
      </vt:variant>
      <vt:variant>
        <vt:lpwstr>HydrocodoneAcetaminophenListing</vt:lpwstr>
      </vt:variant>
      <vt:variant>
        <vt:i4>6553718</vt:i4>
      </vt:variant>
      <vt:variant>
        <vt:i4>3428</vt:i4>
      </vt:variant>
      <vt:variant>
        <vt:i4>0</vt:i4>
      </vt:variant>
      <vt:variant>
        <vt:i4>5</vt:i4>
      </vt:variant>
      <vt:variant>
        <vt:lpwstr/>
      </vt:variant>
      <vt:variant>
        <vt:lpwstr>Zohydro</vt:lpwstr>
      </vt:variant>
      <vt:variant>
        <vt:i4>70</vt:i4>
      </vt:variant>
      <vt:variant>
        <vt:i4>3425</vt:i4>
      </vt:variant>
      <vt:variant>
        <vt:i4>0</vt:i4>
      </vt:variant>
      <vt:variant>
        <vt:i4>5</vt:i4>
      </vt:variant>
      <vt:variant>
        <vt:lpwstr>http://www.fda.gov/drugs/drugsafety/ucm372089.htm</vt:lpwstr>
      </vt:variant>
      <vt:variant>
        <vt:lpwstr/>
      </vt:variant>
      <vt:variant>
        <vt:i4>1966165</vt:i4>
      </vt:variant>
      <vt:variant>
        <vt:i4>3422</vt:i4>
      </vt:variant>
      <vt:variant>
        <vt:i4>0</vt:i4>
      </vt:variant>
      <vt:variant>
        <vt:i4>5</vt:i4>
      </vt:variant>
      <vt:variant>
        <vt:lpwstr>https://www.federalregister.gov/articles/2014/08/22/2014-19922/schedules-of-controlled-substances-rescheduling-of-hydrocodone-combination-products-from-schedule</vt:lpwstr>
      </vt:variant>
      <vt:variant>
        <vt:lpwstr/>
      </vt:variant>
      <vt:variant>
        <vt:i4>7012461</vt:i4>
      </vt:variant>
      <vt:variant>
        <vt:i4>3419</vt:i4>
      </vt:variant>
      <vt:variant>
        <vt:i4>0</vt:i4>
      </vt:variant>
      <vt:variant>
        <vt:i4>5</vt:i4>
      </vt:variant>
      <vt:variant>
        <vt:lpwstr/>
      </vt:variant>
      <vt:variant>
        <vt:lpwstr>Thiese2013</vt:lpwstr>
      </vt:variant>
      <vt:variant>
        <vt:i4>524309</vt:i4>
      </vt:variant>
      <vt:variant>
        <vt:i4>3416</vt:i4>
      </vt:variant>
      <vt:variant>
        <vt:i4>0</vt:i4>
      </vt:variant>
      <vt:variant>
        <vt:i4>5</vt:i4>
      </vt:variant>
      <vt:variant>
        <vt:lpwstr/>
      </vt:variant>
      <vt:variant>
        <vt:lpwstr>Blum2009</vt:lpwstr>
      </vt:variant>
      <vt:variant>
        <vt:i4>65559</vt:i4>
      </vt:variant>
      <vt:variant>
        <vt:i4>3413</vt:i4>
      </vt:variant>
      <vt:variant>
        <vt:i4>0</vt:i4>
      </vt:variant>
      <vt:variant>
        <vt:i4>5</vt:i4>
      </vt:variant>
      <vt:variant>
        <vt:lpwstr/>
      </vt:variant>
      <vt:variant>
        <vt:lpwstr>Blum2</vt:lpwstr>
      </vt:variant>
      <vt:variant>
        <vt:i4>65559</vt:i4>
      </vt:variant>
      <vt:variant>
        <vt:i4>3410</vt:i4>
      </vt:variant>
      <vt:variant>
        <vt:i4>0</vt:i4>
      </vt:variant>
      <vt:variant>
        <vt:i4>5</vt:i4>
      </vt:variant>
      <vt:variant>
        <vt:lpwstr/>
      </vt:variant>
      <vt:variant>
        <vt:lpwstr>Blum2</vt:lpwstr>
      </vt:variant>
      <vt:variant>
        <vt:i4>65559</vt:i4>
      </vt:variant>
      <vt:variant>
        <vt:i4>3407</vt:i4>
      </vt:variant>
      <vt:variant>
        <vt:i4>0</vt:i4>
      </vt:variant>
      <vt:variant>
        <vt:i4>5</vt:i4>
      </vt:variant>
      <vt:variant>
        <vt:lpwstr/>
      </vt:variant>
      <vt:variant>
        <vt:lpwstr>Blum</vt:lpwstr>
      </vt:variant>
      <vt:variant>
        <vt:i4>327698</vt:i4>
      </vt:variant>
      <vt:variant>
        <vt:i4>3404</vt:i4>
      </vt:variant>
      <vt:variant>
        <vt:i4>0</vt:i4>
      </vt:variant>
      <vt:variant>
        <vt:i4>5</vt:i4>
      </vt:variant>
      <vt:variant>
        <vt:lpwstr/>
      </vt:variant>
      <vt:variant>
        <vt:lpwstr>McDowell</vt:lpwstr>
      </vt:variant>
      <vt:variant>
        <vt:i4>327698</vt:i4>
      </vt:variant>
      <vt:variant>
        <vt:i4>3401</vt:i4>
      </vt:variant>
      <vt:variant>
        <vt:i4>0</vt:i4>
      </vt:variant>
      <vt:variant>
        <vt:i4>5</vt:i4>
      </vt:variant>
      <vt:variant>
        <vt:lpwstr/>
      </vt:variant>
      <vt:variant>
        <vt:lpwstr>McDowell2</vt:lpwstr>
      </vt:variant>
      <vt:variant>
        <vt:i4>589850</vt:i4>
      </vt:variant>
      <vt:variant>
        <vt:i4>3398</vt:i4>
      </vt:variant>
      <vt:variant>
        <vt:i4>0</vt:i4>
      </vt:variant>
      <vt:variant>
        <vt:i4>5</vt:i4>
      </vt:variant>
      <vt:variant>
        <vt:lpwstr/>
      </vt:variant>
      <vt:variant>
        <vt:lpwstr>McDowell1995</vt:lpwstr>
      </vt:variant>
      <vt:variant>
        <vt:i4>2228318</vt:i4>
      </vt:variant>
      <vt:variant>
        <vt:i4>3395</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HCUP</vt:lpwstr>
      </vt:variant>
      <vt:variant>
        <vt:i4>1310740</vt:i4>
      </vt:variant>
      <vt:variant>
        <vt:i4>3392</vt:i4>
      </vt:variant>
      <vt:variant>
        <vt:i4>0</vt:i4>
      </vt:variant>
      <vt:variant>
        <vt:i4>5</vt:i4>
      </vt:variant>
      <vt:variant>
        <vt:lpwstr/>
      </vt:variant>
      <vt:variant>
        <vt:lpwstr>Interferentialcurrentstimulation</vt:lpwstr>
      </vt:variant>
      <vt:variant>
        <vt:i4>7143529</vt:i4>
      </vt:variant>
      <vt:variant>
        <vt:i4>3389</vt:i4>
      </vt:variant>
      <vt:variant>
        <vt:i4>0</vt:i4>
      </vt:variant>
      <vt:variant>
        <vt:i4>5</vt:i4>
      </vt:variant>
      <vt:variant>
        <vt:lpwstr/>
      </vt:variant>
      <vt:variant>
        <vt:lpwstr>Ellenbecker</vt:lpwstr>
      </vt:variant>
      <vt:variant>
        <vt:i4>1179660</vt:i4>
      </vt:variant>
      <vt:variant>
        <vt:i4>3386</vt:i4>
      </vt:variant>
      <vt:variant>
        <vt:i4>0</vt:i4>
      </vt:variant>
      <vt:variant>
        <vt:i4>5</vt:i4>
      </vt:variant>
      <vt:variant>
        <vt:lpwstr/>
      </vt:variant>
      <vt:variant>
        <vt:lpwstr>ACMQ</vt:lpwstr>
      </vt:variant>
      <vt:variant>
        <vt:i4>655377</vt:i4>
      </vt:variant>
      <vt:variant>
        <vt:i4>3383</vt:i4>
      </vt:variant>
      <vt:variant>
        <vt:i4>0</vt:i4>
      </vt:variant>
      <vt:variant>
        <vt:i4>5</vt:i4>
      </vt:variant>
      <vt:variant>
        <vt:lpwstr/>
      </vt:variant>
      <vt:variant>
        <vt:lpwstr>Genetictestingforpotentialopioidabuse</vt:lpwstr>
      </vt:variant>
      <vt:variant>
        <vt:i4>589896</vt:i4>
      </vt:variant>
      <vt:variant>
        <vt:i4>3380</vt:i4>
      </vt:variant>
      <vt:variant>
        <vt:i4>0</vt:i4>
      </vt:variant>
      <vt:variant>
        <vt:i4>5</vt:i4>
      </vt:variant>
      <vt:variant>
        <vt:lpwstr>http://www.odg-twc.com/odgtwc/knee.htm</vt:lpwstr>
      </vt:variant>
      <vt:variant>
        <vt:lpwstr>Gralise</vt:lpwstr>
      </vt:variant>
      <vt:variant>
        <vt:i4>6881320</vt:i4>
      </vt:variant>
      <vt:variant>
        <vt:i4>3377</vt:i4>
      </vt:variant>
      <vt:variant>
        <vt:i4>0</vt:i4>
      </vt:variant>
      <vt:variant>
        <vt:i4>5</vt:i4>
      </vt:variant>
      <vt:variant>
        <vt:lpwstr>E:\AppData\Local\Microsoft\Windows\Temporary Internet Files\Content.Outlook\AppData\Local\Microsoft\Windows\Temporary Internet Files\Content.Outlook\50QE161U\knee.htm</vt:lpwstr>
      </vt:variant>
      <vt:variant>
        <vt:lpwstr>Wandel2010</vt:lpwstr>
      </vt:variant>
      <vt:variant>
        <vt:i4>131159</vt:i4>
      </vt:variant>
      <vt:variant>
        <vt:i4>3374</vt:i4>
      </vt:variant>
      <vt:variant>
        <vt:i4>0</vt:i4>
      </vt:variant>
      <vt:variant>
        <vt:i4>5</vt:i4>
      </vt:variant>
      <vt:variant>
        <vt:lpwstr/>
      </vt:variant>
      <vt:variant>
        <vt:lpwstr>Rozenfeld2004</vt:lpwstr>
      </vt:variant>
      <vt:variant>
        <vt:i4>1507404</vt:i4>
      </vt:variant>
      <vt:variant>
        <vt:i4>3371</vt:i4>
      </vt:variant>
      <vt:variant>
        <vt:i4>0</vt:i4>
      </vt:variant>
      <vt:variant>
        <vt:i4>5</vt:i4>
      </vt:variant>
      <vt:variant>
        <vt:lpwstr>E:\AppData\Local\Microsoft\Windows\Temporary Internet Files\Content.Outlook\AppData\Local\Microsoft\Windows\Temporary Internet Files\Content.Outlook\50QE161U\knee.htm</vt:lpwstr>
      </vt:variant>
      <vt:variant>
        <vt:lpwstr>Sawitzke</vt:lpwstr>
      </vt:variant>
      <vt:variant>
        <vt:i4>1704024</vt:i4>
      </vt:variant>
      <vt:variant>
        <vt:i4>3368</vt:i4>
      </vt:variant>
      <vt:variant>
        <vt:i4>0</vt:i4>
      </vt:variant>
      <vt:variant>
        <vt:i4>5</vt:i4>
      </vt:variant>
      <vt:variant>
        <vt:lpwstr>E:\AppData\Local\Microsoft\Windows\Temporary Internet Files\Content.Outlook\AppData\Local\Microsoft\Windows\Temporary Internet Files\Content.Outlook\50QE161U\knee.htm</vt:lpwstr>
      </vt:variant>
      <vt:variant>
        <vt:lpwstr>Reginster</vt:lpwstr>
      </vt:variant>
      <vt:variant>
        <vt:i4>7864364</vt:i4>
      </vt:variant>
      <vt:variant>
        <vt:i4>3365</vt:i4>
      </vt:variant>
      <vt:variant>
        <vt:i4>0</vt:i4>
      </vt:variant>
      <vt:variant>
        <vt:i4>5</vt:i4>
      </vt:variant>
      <vt:variant>
        <vt:lpwstr>E:\AppData\Local\Microsoft\Windows\Temporary Internet Files\Content.Outlook\AppData\Local\Microsoft\Windows\Temporary Internet Files\Content.Outlook\50QE161U\knee.htm</vt:lpwstr>
      </vt:variant>
      <vt:variant>
        <vt:lpwstr>Distler</vt:lpwstr>
      </vt:variant>
      <vt:variant>
        <vt:i4>6422652</vt:i4>
      </vt:variant>
      <vt:variant>
        <vt:i4>3362</vt:i4>
      </vt:variant>
      <vt:variant>
        <vt:i4>0</vt:i4>
      </vt:variant>
      <vt:variant>
        <vt:i4>5</vt:i4>
      </vt:variant>
      <vt:variant>
        <vt:lpwstr/>
      </vt:variant>
      <vt:variant>
        <vt:lpwstr>Reichenbach</vt:lpwstr>
      </vt:variant>
      <vt:variant>
        <vt:i4>720977</vt:i4>
      </vt:variant>
      <vt:variant>
        <vt:i4>3359</vt:i4>
      </vt:variant>
      <vt:variant>
        <vt:i4>0</vt:i4>
      </vt:variant>
      <vt:variant>
        <vt:i4>5</vt:i4>
      </vt:variant>
      <vt:variant>
        <vt:lpwstr>E:\AppData\Local\Microsoft\Windows\Temporary Internet Files\Content.Outlook\AppData\Local\Microsoft\Windows\Temporary Internet Files\Content.Outlook\50QE161U\knee.htm</vt:lpwstr>
      </vt:variant>
      <vt:variant>
        <vt:lpwstr>Clegg</vt:lpwstr>
      </vt:variant>
      <vt:variant>
        <vt:i4>7274602</vt:i4>
      </vt:variant>
      <vt:variant>
        <vt:i4>3356</vt:i4>
      </vt:variant>
      <vt:variant>
        <vt:i4>0</vt:i4>
      </vt:variant>
      <vt:variant>
        <vt:i4>5</vt:i4>
      </vt:variant>
      <vt:variant>
        <vt:lpwstr/>
      </vt:variant>
      <vt:variant>
        <vt:lpwstr>Pavelka</vt:lpwstr>
      </vt:variant>
      <vt:variant>
        <vt:i4>1703951</vt:i4>
      </vt:variant>
      <vt:variant>
        <vt:i4>3353</vt:i4>
      </vt:variant>
      <vt:variant>
        <vt:i4>0</vt:i4>
      </vt:variant>
      <vt:variant>
        <vt:i4>5</vt:i4>
      </vt:variant>
      <vt:variant>
        <vt:lpwstr/>
      </vt:variant>
      <vt:variant>
        <vt:lpwstr>Reginster</vt:lpwstr>
      </vt:variant>
      <vt:variant>
        <vt:i4>1704024</vt:i4>
      </vt:variant>
      <vt:variant>
        <vt:i4>3350</vt:i4>
      </vt:variant>
      <vt:variant>
        <vt:i4>0</vt:i4>
      </vt:variant>
      <vt:variant>
        <vt:i4>5</vt:i4>
      </vt:variant>
      <vt:variant>
        <vt:lpwstr>E:\AppData\Local\Microsoft\Windows\Temporary Internet Files\Content.Outlook\AppData\Local\Microsoft\Windows\Temporary Internet Files\Content.Outlook\50QE161U\knee.htm</vt:lpwstr>
      </vt:variant>
      <vt:variant>
        <vt:lpwstr>Reginster</vt:lpwstr>
      </vt:variant>
      <vt:variant>
        <vt:i4>7798882</vt:i4>
      </vt:variant>
      <vt:variant>
        <vt:i4>3347</vt:i4>
      </vt:variant>
      <vt:variant>
        <vt:i4>0</vt:i4>
      </vt:variant>
      <vt:variant>
        <vt:i4>5</vt:i4>
      </vt:variant>
      <vt:variant>
        <vt:lpwstr/>
      </vt:variant>
      <vt:variant>
        <vt:lpwstr>Braham</vt:lpwstr>
      </vt:variant>
      <vt:variant>
        <vt:i4>6422630</vt:i4>
      </vt:variant>
      <vt:variant>
        <vt:i4>3344</vt:i4>
      </vt:variant>
      <vt:variant>
        <vt:i4>0</vt:i4>
      </vt:variant>
      <vt:variant>
        <vt:i4>5</vt:i4>
      </vt:variant>
      <vt:variant>
        <vt:lpwstr/>
      </vt:variant>
      <vt:variant>
        <vt:lpwstr>Towheed</vt:lpwstr>
      </vt:variant>
      <vt:variant>
        <vt:i4>1769491</vt:i4>
      </vt:variant>
      <vt:variant>
        <vt:i4>3341</vt:i4>
      </vt:variant>
      <vt:variant>
        <vt:i4>0</vt:i4>
      </vt:variant>
      <vt:variant>
        <vt:i4>5</vt:i4>
      </vt:variant>
      <vt:variant>
        <vt:lpwstr/>
      </vt:variant>
      <vt:variant>
        <vt:lpwstr>Ruane</vt:lpwstr>
      </vt:variant>
      <vt:variant>
        <vt:i4>65553</vt:i4>
      </vt:variant>
      <vt:variant>
        <vt:i4>3338</vt:i4>
      </vt:variant>
      <vt:variant>
        <vt:i4>0</vt:i4>
      </vt:variant>
      <vt:variant>
        <vt:i4>5</vt:i4>
      </vt:variant>
      <vt:variant>
        <vt:lpwstr/>
      </vt:variant>
      <vt:variant>
        <vt:lpwstr>Richy</vt:lpwstr>
      </vt:variant>
      <vt:variant>
        <vt:i4>8192104</vt:i4>
      </vt:variant>
      <vt:variant>
        <vt:i4>3335</vt:i4>
      </vt:variant>
      <vt:variant>
        <vt:i4>0</vt:i4>
      </vt:variant>
      <vt:variant>
        <vt:i4>5</vt:i4>
      </vt:variant>
      <vt:variant>
        <vt:lpwstr/>
      </vt:variant>
      <vt:variant>
        <vt:lpwstr>CytokineDNAtesting</vt:lpwstr>
      </vt:variant>
      <vt:variant>
        <vt:i4>7798829</vt:i4>
      </vt:variant>
      <vt:variant>
        <vt:i4>3332</vt:i4>
      </vt:variant>
      <vt:variant>
        <vt:i4>0</vt:i4>
      </vt:variant>
      <vt:variant>
        <vt:i4>5</vt:i4>
      </vt:variant>
      <vt:variant>
        <vt:lpwstr/>
      </vt:variant>
      <vt:variant>
        <vt:lpwstr>Vuilleumier2012</vt:lpwstr>
      </vt:variant>
      <vt:variant>
        <vt:i4>8061048</vt:i4>
      </vt:variant>
      <vt:variant>
        <vt:i4>3329</vt:i4>
      </vt:variant>
      <vt:variant>
        <vt:i4>0</vt:i4>
      </vt:variant>
      <vt:variant>
        <vt:i4>5</vt:i4>
      </vt:variant>
      <vt:variant>
        <vt:lpwstr/>
      </vt:variant>
      <vt:variant>
        <vt:lpwstr>Levran2012</vt:lpwstr>
      </vt:variant>
      <vt:variant>
        <vt:i4>6029320</vt:i4>
      </vt:variant>
      <vt:variant>
        <vt:i4>3326</vt:i4>
      </vt:variant>
      <vt:variant>
        <vt:i4>0</vt:i4>
      </vt:variant>
      <vt:variant>
        <vt:i4>5</vt:i4>
      </vt:variant>
      <vt:variant>
        <vt:lpwstr/>
      </vt:variant>
      <vt:variant>
        <vt:lpwstr>BlueCrossBlueShield5</vt:lpwstr>
      </vt:variant>
      <vt:variant>
        <vt:i4>786436</vt:i4>
      </vt:variant>
      <vt:variant>
        <vt:i4>3323</vt:i4>
      </vt:variant>
      <vt:variant>
        <vt:i4>0</vt:i4>
      </vt:variant>
      <vt:variant>
        <vt:i4>5</vt:i4>
      </vt:variant>
      <vt:variant>
        <vt:lpwstr/>
      </vt:variant>
      <vt:variant>
        <vt:lpwstr>GabapentinListing</vt:lpwstr>
      </vt:variant>
      <vt:variant>
        <vt:i4>458782</vt:i4>
      </vt:variant>
      <vt:variant>
        <vt:i4>3320</vt:i4>
      </vt:variant>
      <vt:variant>
        <vt:i4>0</vt:i4>
      </vt:variant>
      <vt:variant>
        <vt:i4>5</vt:i4>
      </vt:variant>
      <vt:variant>
        <vt:lpwstr/>
      </vt:variant>
      <vt:variant>
        <vt:lpwstr>Antiepilepsydrugs</vt:lpwstr>
      </vt:variant>
      <vt:variant>
        <vt:i4>524296</vt:i4>
      </vt:variant>
      <vt:variant>
        <vt:i4>3317</vt:i4>
      </vt:variant>
      <vt:variant>
        <vt:i4>0</vt:i4>
      </vt:variant>
      <vt:variant>
        <vt:i4>5</vt:i4>
      </vt:variant>
      <vt:variant>
        <vt:lpwstr/>
      </vt:variant>
      <vt:variant>
        <vt:lpwstr>WIFFEN2013SUMMARY</vt:lpwstr>
      </vt:variant>
      <vt:variant>
        <vt:i4>6553705</vt:i4>
      </vt:variant>
      <vt:variant>
        <vt:i4>3314</vt:i4>
      </vt:variant>
      <vt:variant>
        <vt:i4>0</vt:i4>
      </vt:variant>
      <vt:variant>
        <vt:i4>5</vt:i4>
      </vt:variant>
      <vt:variant>
        <vt:lpwstr/>
      </vt:variant>
      <vt:variant>
        <vt:lpwstr>Medicalfood</vt:lpwstr>
      </vt:variant>
      <vt:variant>
        <vt:i4>7798887</vt:i4>
      </vt:variant>
      <vt:variant>
        <vt:i4>3311</vt:i4>
      </vt:variant>
      <vt:variant>
        <vt:i4>0</vt:i4>
      </vt:variant>
      <vt:variant>
        <vt:i4>5</vt:i4>
      </vt:variant>
      <vt:variant>
        <vt:lpwstr/>
      </vt:variant>
      <vt:variant>
        <vt:lpwstr>Chronicpainprograms</vt:lpwstr>
      </vt:variant>
      <vt:variant>
        <vt:i4>5963801</vt:i4>
      </vt:variant>
      <vt:variant>
        <vt:i4>3308</vt:i4>
      </vt:variant>
      <vt:variant>
        <vt:i4>0</vt:i4>
      </vt:variant>
      <vt:variant>
        <vt:i4>5</vt:i4>
      </vt:variant>
      <vt:variant>
        <vt:lpwstr/>
      </vt:variant>
      <vt:variant>
        <vt:lpwstr>Karjalainen03</vt:lpwstr>
      </vt:variant>
      <vt:variant>
        <vt:i4>7929957</vt:i4>
      </vt:variant>
      <vt:variant>
        <vt:i4>3305</vt:i4>
      </vt:variant>
      <vt:variant>
        <vt:i4>0</vt:i4>
      </vt:variant>
      <vt:variant>
        <vt:i4>5</vt:i4>
      </vt:variant>
      <vt:variant>
        <vt:lpwstr/>
      </vt:variant>
      <vt:variant>
        <vt:lpwstr>Bendix</vt:lpwstr>
      </vt:variant>
      <vt:variant>
        <vt:i4>7798887</vt:i4>
      </vt:variant>
      <vt:variant>
        <vt:i4>3302</vt:i4>
      </vt:variant>
      <vt:variant>
        <vt:i4>0</vt:i4>
      </vt:variant>
      <vt:variant>
        <vt:i4>5</vt:i4>
      </vt:variant>
      <vt:variant>
        <vt:lpwstr/>
      </vt:variant>
      <vt:variant>
        <vt:lpwstr>Chronicpainprograms</vt:lpwstr>
      </vt:variant>
      <vt:variant>
        <vt:i4>7143458</vt:i4>
      </vt:variant>
      <vt:variant>
        <vt:i4>3299</vt:i4>
      </vt:variant>
      <vt:variant>
        <vt:i4>0</vt:i4>
      </vt:variant>
      <vt:variant>
        <vt:i4>5</vt:i4>
      </vt:variant>
      <vt:variant>
        <vt:lpwstr/>
      </vt:variant>
      <vt:variant>
        <vt:lpwstr>Ung2012</vt:lpwstr>
      </vt:variant>
      <vt:variant>
        <vt:i4>393299</vt:i4>
      </vt:variant>
      <vt:variant>
        <vt:i4>3296</vt:i4>
      </vt:variant>
      <vt:variant>
        <vt:i4>0</vt:i4>
      </vt:variant>
      <vt:variant>
        <vt:i4>5</vt:i4>
      </vt:variant>
      <vt:variant>
        <vt:lpwstr/>
      </vt:variant>
      <vt:variant>
        <vt:lpwstr>Brown2011</vt:lpwstr>
      </vt:variant>
      <vt:variant>
        <vt:i4>4259860</vt:i4>
      </vt:variant>
      <vt:variant>
        <vt:i4>3293</vt:i4>
      </vt:variant>
      <vt:variant>
        <vt:i4>0</vt:i4>
      </vt:variant>
      <vt:variant>
        <vt:i4>5</vt:i4>
      </vt:variant>
      <vt:variant>
        <vt:lpwstr/>
      </vt:variant>
      <vt:variant>
        <vt:lpwstr>Borsook2</vt:lpwstr>
      </vt:variant>
      <vt:variant>
        <vt:i4>917524</vt:i4>
      </vt:variant>
      <vt:variant>
        <vt:i4>3290</vt:i4>
      </vt:variant>
      <vt:variant>
        <vt:i4>0</vt:i4>
      </vt:variant>
      <vt:variant>
        <vt:i4>5</vt:i4>
      </vt:variant>
      <vt:variant>
        <vt:lpwstr/>
      </vt:variant>
      <vt:variant>
        <vt:lpwstr>Cowan</vt:lpwstr>
      </vt:variant>
      <vt:variant>
        <vt:i4>6815858</vt:i4>
      </vt:variant>
      <vt:variant>
        <vt:i4>3287</vt:i4>
      </vt:variant>
      <vt:variant>
        <vt:i4>0</vt:i4>
      </vt:variant>
      <vt:variant>
        <vt:i4>5</vt:i4>
      </vt:variant>
      <vt:variant>
        <vt:lpwstr/>
      </vt:variant>
      <vt:variant>
        <vt:lpwstr>California2</vt:lpwstr>
      </vt:variant>
      <vt:variant>
        <vt:i4>458834</vt:i4>
      </vt:variant>
      <vt:variant>
        <vt:i4>3284</vt:i4>
      </vt:variant>
      <vt:variant>
        <vt:i4>0</vt:i4>
      </vt:variant>
      <vt:variant>
        <vt:i4>5</vt:i4>
      </vt:variant>
      <vt:variant>
        <vt:lpwstr/>
      </vt:variant>
      <vt:variant>
        <vt:lpwstr>Wager2013</vt:lpwstr>
      </vt:variant>
      <vt:variant>
        <vt:i4>393299</vt:i4>
      </vt:variant>
      <vt:variant>
        <vt:i4>3281</vt:i4>
      </vt:variant>
      <vt:variant>
        <vt:i4>0</vt:i4>
      </vt:variant>
      <vt:variant>
        <vt:i4>5</vt:i4>
      </vt:variant>
      <vt:variant>
        <vt:lpwstr/>
      </vt:variant>
      <vt:variant>
        <vt:lpwstr>Brown2011</vt:lpwstr>
      </vt:variant>
      <vt:variant>
        <vt:i4>6357093</vt:i4>
      </vt:variant>
      <vt:variant>
        <vt:i4>3278</vt:i4>
      </vt:variant>
      <vt:variant>
        <vt:i4>0</vt:i4>
      </vt:variant>
      <vt:variant>
        <vt:i4>5</vt:i4>
      </vt:variant>
      <vt:variant>
        <vt:lpwstr/>
      </vt:variant>
      <vt:variant>
        <vt:lpwstr>Baliki</vt:lpwstr>
      </vt:variant>
      <vt:variant>
        <vt:i4>6750324</vt:i4>
      </vt:variant>
      <vt:variant>
        <vt:i4>3275</vt:i4>
      </vt:variant>
      <vt:variant>
        <vt:i4>0</vt:i4>
      </vt:variant>
      <vt:variant>
        <vt:i4>5</vt:i4>
      </vt:variant>
      <vt:variant>
        <vt:lpwstr/>
      </vt:variant>
      <vt:variant>
        <vt:lpwstr>Prager</vt:lpwstr>
      </vt:variant>
      <vt:variant>
        <vt:i4>7536767</vt:i4>
      </vt:variant>
      <vt:variant>
        <vt:i4>3272</vt:i4>
      </vt:variant>
      <vt:variant>
        <vt:i4>0</vt:i4>
      </vt:variant>
      <vt:variant>
        <vt:i4>5</vt:i4>
      </vt:variant>
      <vt:variant>
        <vt:lpwstr/>
      </vt:variant>
      <vt:variant>
        <vt:lpwstr>Borsook</vt:lpwstr>
      </vt:variant>
      <vt:variant>
        <vt:i4>7536747</vt:i4>
      </vt:variant>
      <vt:variant>
        <vt:i4>3269</vt:i4>
      </vt:variant>
      <vt:variant>
        <vt:i4>0</vt:i4>
      </vt:variant>
      <vt:variant>
        <vt:i4>5</vt:i4>
      </vt:variant>
      <vt:variant>
        <vt:lpwstr/>
      </vt:variant>
      <vt:variant>
        <vt:lpwstr>Mackey</vt:lpwstr>
      </vt:variant>
      <vt:variant>
        <vt:i4>7929958</vt:i4>
      </vt:variant>
      <vt:variant>
        <vt:i4>3266</vt:i4>
      </vt:variant>
      <vt:variant>
        <vt:i4>0</vt:i4>
      </vt:variant>
      <vt:variant>
        <vt:i4>5</vt:i4>
      </vt:variant>
      <vt:variant>
        <vt:lpwstr/>
      </vt:variant>
      <vt:variant>
        <vt:lpwstr>Peyron</vt:lpwstr>
      </vt:variant>
      <vt:variant>
        <vt:i4>983071</vt:i4>
      </vt:variant>
      <vt:variant>
        <vt:i4>3263</vt:i4>
      </vt:variant>
      <vt:variant>
        <vt:i4>0</vt:i4>
      </vt:variant>
      <vt:variant>
        <vt:i4>5</vt:i4>
      </vt:variant>
      <vt:variant>
        <vt:lpwstr/>
      </vt:variant>
      <vt:variant>
        <vt:lpwstr>FunctionalMRI</vt:lpwstr>
      </vt:variant>
      <vt:variant>
        <vt:i4>6815849</vt:i4>
      </vt:variant>
      <vt:variant>
        <vt:i4>3260</vt:i4>
      </vt:variant>
      <vt:variant>
        <vt:i4>0</vt:i4>
      </vt:variant>
      <vt:variant>
        <vt:i4>5</vt:i4>
      </vt:variant>
      <vt:variant>
        <vt:lpwstr/>
      </vt:variant>
      <vt:variant>
        <vt:lpwstr>Functionalimagingofbrainresponsestopain</vt:lpwstr>
      </vt:variant>
      <vt:variant>
        <vt:i4>1703937</vt:i4>
      </vt:variant>
      <vt:variant>
        <vt:i4>3257</vt:i4>
      </vt:variant>
      <vt:variant>
        <vt:i4>0</vt:i4>
      </vt:variant>
      <vt:variant>
        <vt:i4>5</vt:i4>
      </vt:variant>
      <vt:variant>
        <vt:lpwstr/>
      </vt:variant>
      <vt:variant>
        <vt:lpwstr>SSRIs</vt:lpwstr>
      </vt:variant>
      <vt:variant>
        <vt:i4>327690</vt:i4>
      </vt:variant>
      <vt:variant>
        <vt:i4>3254</vt:i4>
      </vt:variant>
      <vt:variant>
        <vt:i4>0</vt:i4>
      </vt:variant>
      <vt:variant>
        <vt:i4>5</vt:i4>
      </vt:variant>
      <vt:variant>
        <vt:lpwstr/>
      </vt:variant>
      <vt:variant>
        <vt:lpwstr>Nonsteroidalantinflammatoryagents</vt:lpwstr>
      </vt:variant>
      <vt:variant>
        <vt:i4>8257661</vt:i4>
      </vt:variant>
      <vt:variant>
        <vt:i4>3251</vt:i4>
      </vt:variant>
      <vt:variant>
        <vt:i4>0</vt:i4>
      </vt:variant>
      <vt:variant>
        <vt:i4>5</vt:i4>
      </vt:variant>
      <vt:variant>
        <vt:lpwstr/>
      </vt:variant>
      <vt:variant>
        <vt:lpwstr>FlurbiprofenListing</vt:lpwstr>
      </vt:variant>
      <vt:variant>
        <vt:i4>1441796</vt:i4>
      </vt:variant>
      <vt:variant>
        <vt:i4>3248</vt:i4>
      </vt:variant>
      <vt:variant>
        <vt:i4>0</vt:i4>
      </vt:variant>
      <vt:variant>
        <vt:i4>5</vt:i4>
      </vt:variant>
      <vt:variant>
        <vt:lpwstr/>
      </vt:variant>
      <vt:variant>
        <vt:lpwstr>NSAIDsspecificdruglistadverseeffects</vt:lpwstr>
      </vt:variant>
      <vt:variant>
        <vt:i4>6750314</vt:i4>
      </vt:variant>
      <vt:variant>
        <vt:i4>3245</vt:i4>
      </vt:variant>
      <vt:variant>
        <vt:i4>0</vt:i4>
      </vt:variant>
      <vt:variant>
        <vt:i4>5</vt:i4>
      </vt:variant>
      <vt:variant>
        <vt:lpwstr/>
      </vt:variant>
      <vt:variant>
        <vt:lpwstr>NSAIDshypertensionandrenalfunction</vt:lpwstr>
      </vt:variant>
      <vt:variant>
        <vt:i4>6357091</vt:i4>
      </vt:variant>
      <vt:variant>
        <vt:i4>3242</vt:i4>
      </vt:variant>
      <vt:variant>
        <vt:i4>0</vt:i4>
      </vt:variant>
      <vt:variant>
        <vt:i4>5</vt:i4>
      </vt:variant>
      <vt:variant>
        <vt:lpwstr/>
      </vt:variant>
      <vt:variant>
        <vt:lpwstr>NSAIDsGIsymptomscardiovascularrisk</vt:lpwstr>
      </vt:variant>
      <vt:variant>
        <vt:i4>6881387</vt:i4>
      </vt:variant>
      <vt:variant>
        <vt:i4>3239</vt:i4>
      </vt:variant>
      <vt:variant>
        <vt:i4>0</vt:i4>
      </vt:variant>
      <vt:variant>
        <vt:i4>5</vt:i4>
      </vt:variant>
      <vt:variant>
        <vt:lpwstr/>
      </vt:variant>
      <vt:variant>
        <vt:lpwstr>NSAIDs</vt:lpwstr>
      </vt:variant>
      <vt:variant>
        <vt:i4>7536750</vt:i4>
      </vt:variant>
      <vt:variant>
        <vt:i4>3236</vt:i4>
      </vt:variant>
      <vt:variant>
        <vt:i4>0</vt:i4>
      </vt:variant>
      <vt:variant>
        <vt:i4>5</vt:i4>
      </vt:variant>
      <vt:variant>
        <vt:lpwstr/>
      </vt:variant>
      <vt:variant>
        <vt:lpwstr>Benzodiazepines</vt:lpwstr>
      </vt:variant>
      <vt:variant>
        <vt:i4>1703937</vt:i4>
      </vt:variant>
      <vt:variant>
        <vt:i4>3233</vt:i4>
      </vt:variant>
      <vt:variant>
        <vt:i4>0</vt:i4>
      </vt:variant>
      <vt:variant>
        <vt:i4>5</vt:i4>
      </vt:variant>
      <vt:variant>
        <vt:lpwstr/>
      </vt:variant>
      <vt:variant>
        <vt:lpwstr>SSRIs</vt:lpwstr>
      </vt:variant>
      <vt:variant>
        <vt:i4>6553705</vt:i4>
      </vt:variant>
      <vt:variant>
        <vt:i4>3230</vt:i4>
      </vt:variant>
      <vt:variant>
        <vt:i4>0</vt:i4>
      </vt:variant>
      <vt:variant>
        <vt:i4>5</vt:i4>
      </vt:variant>
      <vt:variant>
        <vt:lpwstr/>
      </vt:variant>
      <vt:variant>
        <vt:lpwstr>Cyclobenzaprine</vt:lpwstr>
      </vt:variant>
      <vt:variant>
        <vt:i4>1572884</vt:i4>
      </vt:variant>
      <vt:variant>
        <vt:i4>3227</vt:i4>
      </vt:variant>
      <vt:variant>
        <vt:i4>0</vt:i4>
      </vt:variant>
      <vt:variant>
        <vt:i4>5</vt:i4>
      </vt:variant>
      <vt:variant>
        <vt:lpwstr/>
      </vt:variant>
      <vt:variant>
        <vt:lpwstr>DiclofenacTopicalListing</vt:lpwstr>
      </vt:variant>
      <vt:variant>
        <vt:i4>327690</vt:i4>
      </vt:variant>
      <vt:variant>
        <vt:i4>3224</vt:i4>
      </vt:variant>
      <vt:variant>
        <vt:i4>0</vt:i4>
      </vt:variant>
      <vt:variant>
        <vt:i4>5</vt:i4>
      </vt:variant>
      <vt:variant>
        <vt:lpwstr/>
      </vt:variant>
      <vt:variant>
        <vt:lpwstr>Nonsteroidalantinflammatoryagents</vt:lpwstr>
      </vt:variant>
      <vt:variant>
        <vt:i4>1048581</vt:i4>
      </vt:variant>
      <vt:variant>
        <vt:i4>3221</vt:i4>
      </vt:variant>
      <vt:variant>
        <vt:i4>0</vt:i4>
      </vt:variant>
      <vt:variant>
        <vt:i4>5</vt:i4>
      </vt:variant>
      <vt:variant>
        <vt:lpwstr/>
      </vt:variant>
      <vt:variant>
        <vt:lpwstr>Topicalanalgesics</vt:lpwstr>
      </vt:variant>
      <vt:variant>
        <vt:i4>3473505</vt:i4>
      </vt:variant>
      <vt:variant>
        <vt:i4>3218</vt:i4>
      </vt:variant>
      <vt:variant>
        <vt:i4>0</vt:i4>
      </vt:variant>
      <vt:variant>
        <vt:i4>5</vt:i4>
      </vt:variant>
      <vt:variant>
        <vt:lpwstr>http://www.fda.gov/Safety/MedWatch/SafetyInformation/SafetyAlertsforHumanMedicalProducts/ucm193047.htm</vt:lpwstr>
      </vt:variant>
      <vt:variant>
        <vt:lpwstr/>
      </vt:variant>
      <vt:variant>
        <vt:i4>7405650</vt:i4>
      </vt:variant>
      <vt:variant>
        <vt:i4>3215</vt:i4>
      </vt:variant>
      <vt:variant>
        <vt:i4>0</vt:i4>
      </vt:variant>
      <vt:variant>
        <vt:i4>5</vt:i4>
      </vt:variant>
      <vt:variant>
        <vt:lpwstr>http://www.accessdata.fda.gov/drugsatfda_docs/label/2008/021234s003lbl.pdf</vt:lpwstr>
      </vt:variant>
      <vt:variant>
        <vt:lpwstr/>
      </vt:variant>
      <vt:variant>
        <vt:i4>327694</vt:i4>
      </vt:variant>
      <vt:variant>
        <vt:i4>3212</vt:i4>
      </vt:variant>
      <vt:variant>
        <vt:i4>0</vt:i4>
      </vt:variant>
      <vt:variant>
        <vt:i4>5</vt:i4>
      </vt:variant>
      <vt:variant>
        <vt:lpwstr/>
      </vt:variant>
      <vt:variant>
        <vt:lpwstr>DiclofenacSodium</vt:lpwstr>
      </vt:variant>
      <vt:variant>
        <vt:i4>7209075</vt:i4>
      </vt:variant>
      <vt:variant>
        <vt:i4>3209</vt:i4>
      </vt:variant>
      <vt:variant>
        <vt:i4>0</vt:i4>
      </vt:variant>
      <vt:variant>
        <vt:i4>5</vt:i4>
      </vt:variant>
      <vt:variant>
        <vt:lpwstr/>
      </vt:variant>
      <vt:variant>
        <vt:lpwstr>Limbrel</vt:lpwstr>
      </vt:variant>
      <vt:variant>
        <vt:i4>1048586</vt:i4>
      </vt:variant>
      <vt:variant>
        <vt:i4>3206</vt:i4>
      </vt:variant>
      <vt:variant>
        <vt:i4>0</vt:i4>
      </vt:variant>
      <vt:variant>
        <vt:i4>5</vt:i4>
      </vt:variant>
      <vt:variant>
        <vt:lpwstr/>
      </vt:variant>
      <vt:variant>
        <vt:lpwstr>Barbituratecontaininganalgesicagents</vt:lpwstr>
      </vt:variant>
      <vt:variant>
        <vt:i4>16</vt:i4>
      </vt:variant>
      <vt:variant>
        <vt:i4>3203</vt:i4>
      </vt:variant>
      <vt:variant>
        <vt:i4>0</vt:i4>
      </vt:variant>
      <vt:variant>
        <vt:i4>5</vt:i4>
      </vt:variant>
      <vt:variant>
        <vt:lpwstr/>
      </vt:variant>
      <vt:variant>
        <vt:lpwstr>Calandre2011</vt:lpwstr>
      </vt:variant>
      <vt:variant>
        <vt:i4>131096</vt:i4>
      </vt:variant>
      <vt:variant>
        <vt:i4>3200</vt:i4>
      </vt:variant>
      <vt:variant>
        <vt:i4>0</vt:i4>
      </vt:variant>
      <vt:variant>
        <vt:i4>5</vt:i4>
      </vt:variant>
      <vt:variant>
        <vt:lpwstr/>
      </vt:variant>
      <vt:variant>
        <vt:lpwstr>Lederman2011</vt:lpwstr>
      </vt:variant>
      <vt:variant>
        <vt:i4>327767</vt:i4>
      </vt:variant>
      <vt:variant>
        <vt:i4>3197</vt:i4>
      </vt:variant>
      <vt:variant>
        <vt:i4>0</vt:i4>
      </vt:variant>
      <vt:variant>
        <vt:i4>5</vt:i4>
      </vt:variant>
      <vt:variant>
        <vt:lpwstr/>
      </vt:variant>
      <vt:variant>
        <vt:lpwstr>Lange2011</vt:lpwstr>
      </vt:variant>
      <vt:variant>
        <vt:i4>6881334</vt:i4>
      </vt:variant>
      <vt:variant>
        <vt:i4>3194</vt:i4>
      </vt:variant>
      <vt:variant>
        <vt:i4>0</vt:i4>
      </vt:variant>
      <vt:variant>
        <vt:i4>5</vt:i4>
      </vt:variant>
      <vt:variant>
        <vt:lpwstr/>
      </vt:variant>
      <vt:variant>
        <vt:lpwstr>Schmidt2011</vt:lpwstr>
      </vt:variant>
      <vt:variant>
        <vt:i4>655438</vt:i4>
      </vt:variant>
      <vt:variant>
        <vt:i4>3191</vt:i4>
      </vt:variant>
      <vt:variant>
        <vt:i4>0</vt:i4>
      </vt:variant>
      <vt:variant>
        <vt:i4>5</vt:i4>
      </vt:variant>
      <vt:variant>
        <vt:lpwstr/>
      </vt:variant>
      <vt:variant>
        <vt:lpwstr>Wolfe2010</vt:lpwstr>
      </vt:variant>
      <vt:variant>
        <vt:i4>8126589</vt:i4>
      </vt:variant>
      <vt:variant>
        <vt:i4>3188</vt:i4>
      </vt:variant>
      <vt:variant>
        <vt:i4>0</vt:i4>
      </vt:variant>
      <vt:variant>
        <vt:i4>5</vt:i4>
      </vt:variant>
      <vt:variant>
        <vt:lpwstr/>
      </vt:variant>
      <vt:variant>
        <vt:lpwstr>Carson2010</vt:lpwstr>
      </vt:variant>
      <vt:variant>
        <vt:i4>393242</vt:i4>
      </vt:variant>
      <vt:variant>
        <vt:i4>3185</vt:i4>
      </vt:variant>
      <vt:variant>
        <vt:i4>0</vt:i4>
      </vt:variant>
      <vt:variant>
        <vt:i4>5</vt:i4>
      </vt:variant>
      <vt:variant>
        <vt:lpwstr/>
      </vt:variant>
      <vt:variant>
        <vt:lpwstr>Wang2010</vt:lpwstr>
      </vt:variant>
      <vt:variant>
        <vt:i4>262175</vt:i4>
      </vt:variant>
      <vt:variant>
        <vt:i4>3182</vt:i4>
      </vt:variant>
      <vt:variant>
        <vt:i4>0</vt:i4>
      </vt:variant>
      <vt:variant>
        <vt:i4>5</vt:i4>
      </vt:variant>
      <vt:variant>
        <vt:lpwstr/>
      </vt:variant>
      <vt:variant>
        <vt:lpwstr>Mork</vt:lpwstr>
      </vt:variant>
      <vt:variant>
        <vt:i4>1441809</vt:i4>
      </vt:variant>
      <vt:variant>
        <vt:i4>3179</vt:i4>
      </vt:variant>
      <vt:variant>
        <vt:i4>0</vt:i4>
      </vt:variant>
      <vt:variant>
        <vt:i4>5</vt:i4>
      </vt:variant>
      <vt:variant>
        <vt:lpwstr/>
      </vt:variant>
      <vt:variant>
        <vt:lpwstr>Busch</vt:lpwstr>
      </vt:variant>
      <vt:variant>
        <vt:i4>6357109</vt:i4>
      </vt:variant>
      <vt:variant>
        <vt:i4>3176</vt:i4>
      </vt:variant>
      <vt:variant>
        <vt:i4>0</vt:i4>
      </vt:variant>
      <vt:variant>
        <vt:i4>5</vt:i4>
      </vt:variant>
      <vt:variant>
        <vt:lpwstr/>
      </vt:variant>
      <vt:variant>
        <vt:lpwstr>Waknine</vt:lpwstr>
      </vt:variant>
      <vt:variant>
        <vt:i4>3539054</vt:i4>
      </vt:variant>
      <vt:variant>
        <vt:i4>3173</vt:i4>
      </vt:variant>
      <vt:variant>
        <vt:i4>0</vt:i4>
      </vt:variant>
      <vt:variant>
        <vt:i4>5</vt:i4>
      </vt:variant>
      <vt:variant>
        <vt:lpwstr/>
      </vt:variant>
      <vt:variant>
        <vt:lpwstr>Rooks2</vt:lpwstr>
      </vt:variant>
      <vt:variant>
        <vt:i4>5636103</vt:i4>
      </vt:variant>
      <vt:variant>
        <vt:i4>3170</vt:i4>
      </vt:variant>
      <vt:variant>
        <vt:i4>0</vt:i4>
      </vt:variant>
      <vt:variant>
        <vt:i4>5</vt:i4>
      </vt:variant>
      <vt:variant>
        <vt:lpwstr/>
      </vt:variant>
      <vt:variant>
        <vt:lpwstr>FDA2</vt:lpwstr>
      </vt:variant>
      <vt:variant>
        <vt:i4>7929955</vt:i4>
      </vt:variant>
      <vt:variant>
        <vt:i4>3167</vt:i4>
      </vt:variant>
      <vt:variant>
        <vt:i4>0</vt:i4>
      </vt:variant>
      <vt:variant>
        <vt:i4>5</vt:i4>
      </vt:variant>
      <vt:variant>
        <vt:lpwstr/>
      </vt:variant>
      <vt:variant>
        <vt:lpwstr>Arnold</vt:lpwstr>
      </vt:variant>
      <vt:variant>
        <vt:i4>7143537</vt:i4>
      </vt:variant>
      <vt:variant>
        <vt:i4>3164</vt:i4>
      </vt:variant>
      <vt:variant>
        <vt:i4>0</vt:i4>
      </vt:variant>
      <vt:variant>
        <vt:i4>5</vt:i4>
      </vt:variant>
      <vt:variant>
        <vt:lpwstr/>
      </vt:variant>
      <vt:variant>
        <vt:lpwstr>Moulin2</vt:lpwstr>
      </vt:variant>
      <vt:variant>
        <vt:i4>1835020</vt:i4>
      </vt:variant>
      <vt:variant>
        <vt:i4>3161</vt:i4>
      </vt:variant>
      <vt:variant>
        <vt:i4>0</vt:i4>
      </vt:variant>
      <vt:variant>
        <vt:i4>5</vt:i4>
      </vt:variant>
      <vt:variant>
        <vt:lpwstr/>
      </vt:variant>
      <vt:variant>
        <vt:lpwstr>Giesecke</vt:lpwstr>
      </vt:variant>
      <vt:variant>
        <vt:i4>589851</vt:i4>
      </vt:variant>
      <vt:variant>
        <vt:i4>3158</vt:i4>
      </vt:variant>
      <vt:variant>
        <vt:i4>0</vt:i4>
      </vt:variant>
      <vt:variant>
        <vt:i4>5</vt:i4>
      </vt:variant>
      <vt:variant>
        <vt:lpwstr/>
      </vt:variant>
      <vt:variant>
        <vt:lpwstr>Wolfe</vt:lpwstr>
      </vt:variant>
      <vt:variant>
        <vt:i4>6750334</vt:i4>
      </vt:variant>
      <vt:variant>
        <vt:i4>3155</vt:i4>
      </vt:variant>
      <vt:variant>
        <vt:i4>0</vt:i4>
      </vt:variant>
      <vt:variant>
        <vt:i4>5</vt:i4>
      </vt:variant>
      <vt:variant>
        <vt:lpwstr/>
      </vt:variant>
      <vt:variant>
        <vt:lpwstr>Goldenberg</vt:lpwstr>
      </vt:variant>
      <vt:variant>
        <vt:i4>3276835</vt:i4>
      </vt:variant>
      <vt:variant>
        <vt:i4>3152</vt:i4>
      </vt:variant>
      <vt:variant>
        <vt:i4>0</vt:i4>
      </vt:variant>
      <vt:variant>
        <vt:i4>5</vt:i4>
      </vt:variant>
      <vt:variant>
        <vt:lpwstr>http://www.fda.gov/NewsEvents/Newsroom/PressAnnouncements/ucm239490.htm</vt:lpwstr>
      </vt:variant>
      <vt:variant>
        <vt:lpwstr/>
      </vt:variant>
      <vt:variant>
        <vt:i4>196612</vt:i4>
      </vt:variant>
      <vt:variant>
        <vt:i4>3149</vt:i4>
      </vt:variant>
      <vt:variant>
        <vt:i4>0</vt:i4>
      </vt:variant>
      <vt:variant>
        <vt:i4>5</vt:i4>
      </vt:variant>
      <vt:variant>
        <vt:lpwstr/>
      </vt:variant>
      <vt:variant>
        <vt:lpwstr>FenoprofenListing</vt:lpwstr>
      </vt:variant>
      <vt:variant>
        <vt:i4>1441796</vt:i4>
      </vt:variant>
      <vt:variant>
        <vt:i4>3146</vt:i4>
      </vt:variant>
      <vt:variant>
        <vt:i4>0</vt:i4>
      </vt:variant>
      <vt:variant>
        <vt:i4>5</vt:i4>
      </vt:variant>
      <vt:variant>
        <vt:lpwstr/>
      </vt:variant>
      <vt:variant>
        <vt:lpwstr>NSAIDsspecificdruglistadverseeffects</vt:lpwstr>
      </vt:variant>
      <vt:variant>
        <vt:i4>6750314</vt:i4>
      </vt:variant>
      <vt:variant>
        <vt:i4>3143</vt:i4>
      </vt:variant>
      <vt:variant>
        <vt:i4>0</vt:i4>
      </vt:variant>
      <vt:variant>
        <vt:i4>5</vt:i4>
      </vt:variant>
      <vt:variant>
        <vt:lpwstr/>
      </vt:variant>
      <vt:variant>
        <vt:lpwstr>NSAIDshypertensionandrenalfunction</vt:lpwstr>
      </vt:variant>
      <vt:variant>
        <vt:i4>6357091</vt:i4>
      </vt:variant>
      <vt:variant>
        <vt:i4>3140</vt:i4>
      </vt:variant>
      <vt:variant>
        <vt:i4>0</vt:i4>
      </vt:variant>
      <vt:variant>
        <vt:i4>5</vt:i4>
      </vt:variant>
      <vt:variant>
        <vt:lpwstr/>
      </vt:variant>
      <vt:variant>
        <vt:lpwstr>NSAIDsGIsymptomscardiovascularrisk</vt:lpwstr>
      </vt:variant>
      <vt:variant>
        <vt:i4>6881387</vt:i4>
      </vt:variant>
      <vt:variant>
        <vt:i4>3137</vt:i4>
      </vt:variant>
      <vt:variant>
        <vt:i4>0</vt:i4>
      </vt:variant>
      <vt:variant>
        <vt:i4>5</vt:i4>
      </vt:variant>
      <vt:variant>
        <vt:lpwstr/>
      </vt:variant>
      <vt:variant>
        <vt:lpwstr>NSAIDs</vt:lpwstr>
      </vt:variant>
      <vt:variant>
        <vt:i4>1441809</vt:i4>
      </vt:variant>
      <vt:variant>
        <vt:i4>3134</vt:i4>
      </vt:variant>
      <vt:variant>
        <vt:i4>0</vt:i4>
      </vt:variant>
      <vt:variant>
        <vt:i4>5</vt:i4>
      </vt:variant>
      <vt:variant>
        <vt:lpwstr/>
      </vt:variant>
      <vt:variant>
        <vt:lpwstr>Busch</vt:lpwstr>
      </vt:variant>
      <vt:variant>
        <vt:i4>1835028</vt:i4>
      </vt:variant>
      <vt:variant>
        <vt:i4>3131</vt:i4>
      </vt:variant>
      <vt:variant>
        <vt:i4>0</vt:i4>
      </vt:variant>
      <vt:variant>
        <vt:i4>5</vt:i4>
      </vt:variant>
      <vt:variant>
        <vt:lpwstr/>
      </vt:variant>
      <vt:variant>
        <vt:lpwstr>Gusi</vt:lpwstr>
      </vt:variant>
      <vt:variant>
        <vt:i4>262170</vt:i4>
      </vt:variant>
      <vt:variant>
        <vt:i4>3128</vt:i4>
      </vt:variant>
      <vt:variant>
        <vt:i4>0</vt:i4>
      </vt:variant>
      <vt:variant>
        <vt:i4>5</vt:i4>
      </vt:variant>
      <vt:variant>
        <vt:lpwstr/>
      </vt:variant>
      <vt:variant>
        <vt:lpwstr>Burleson</vt:lpwstr>
      </vt:variant>
      <vt:variant>
        <vt:i4>3539054</vt:i4>
      </vt:variant>
      <vt:variant>
        <vt:i4>3125</vt:i4>
      </vt:variant>
      <vt:variant>
        <vt:i4>0</vt:i4>
      </vt:variant>
      <vt:variant>
        <vt:i4>5</vt:i4>
      </vt:variant>
      <vt:variant>
        <vt:lpwstr/>
      </vt:variant>
      <vt:variant>
        <vt:lpwstr>Rooks2</vt:lpwstr>
      </vt:variant>
      <vt:variant>
        <vt:i4>8061026</vt:i4>
      </vt:variant>
      <vt:variant>
        <vt:i4>3122</vt:i4>
      </vt:variant>
      <vt:variant>
        <vt:i4>0</vt:i4>
      </vt:variant>
      <vt:variant>
        <vt:i4>5</vt:i4>
      </vt:variant>
      <vt:variant>
        <vt:lpwstr/>
      </vt:variant>
      <vt:variant>
        <vt:lpwstr>Smeets</vt:lpwstr>
      </vt:variant>
      <vt:variant>
        <vt:i4>1114135</vt:i4>
      </vt:variant>
      <vt:variant>
        <vt:i4>3119</vt:i4>
      </vt:variant>
      <vt:variant>
        <vt:i4>0</vt:i4>
      </vt:variant>
      <vt:variant>
        <vt:i4>5</vt:i4>
      </vt:variant>
      <vt:variant>
        <vt:lpwstr/>
      </vt:variant>
      <vt:variant>
        <vt:lpwstr>Bruce</vt:lpwstr>
      </vt:variant>
      <vt:variant>
        <vt:i4>8061044</vt:i4>
      </vt:variant>
      <vt:variant>
        <vt:i4>3116</vt:i4>
      </vt:variant>
      <vt:variant>
        <vt:i4>0</vt:i4>
      </vt:variant>
      <vt:variant>
        <vt:i4>5</vt:i4>
      </vt:variant>
      <vt:variant>
        <vt:lpwstr/>
      </vt:variant>
      <vt:variant>
        <vt:lpwstr>Airaksinen2</vt:lpwstr>
      </vt:variant>
      <vt:variant>
        <vt:i4>917529</vt:i4>
      </vt:variant>
      <vt:variant>
        <vt:i4>3113</vt:i4>
      </vt:variant>
      <vt:variant>
        <vt:i4>0</vt:i4>
      </vt:variant>
      <vt:variant>
        <vt:i4>5</vt:i4>
      </vt:variant>
      <vt:variant>
        <vt:lpwstr/>
      </vt:variant>
      <vt:variant>
        <vt:lpwstr>Colorado2</vt:lpwstr>
      </vt:variant>
      <vt:variant>
        <vt:i4>262164</vt:i4>
      </vt:variant>
      <vt:variant>
        <vt:i4>3110</vt:i4>
      </vt:variant>
      <vt:variant>
        <vt:i4>0</vt:i4>
      </vt:variant>
      <vt:variant>
        <vt:i4>5</vt:i4>
      </vt:variant>
      <vt:variant>
        <vt:lpwstr/>
      </vt:variant>
      <vt:variant>
        <vt:lpwstr>Naloxone</vt:lpwstr>
      </vt:variant>
      <vt:variant>
        <vt:i4>7995509</vt:i4>
      </vt:variant>
      <vt:variant>
        <vt:i4>3107</vt:i4>
      </vt:variant>
      <vt:variant>
        <vt:i4>0</vt:i4>
      </vt:variant>
      <vt:variant>
        <vt:i4>5</vt:i4>
      </vt:variant>
      <vt:variant>
        <vt:lpwstr/>
      </vt:variant>
      <vt:variant>
        <vt:lpwstr>McGettigan2011</vt:lpwstr>
      </vt:variant>
      <vt:variant>
        <vt:i4>7078002</vt:i4>
      </vt:variant>
      <vt:variant>
        <vt:i4>3104</vt:i4>
      </vt:variant>
      <vt:variant>
        <vt:i4>0</vt:i4>
      </vt:variant>
      <vt:variant>
        <vt:i4>5</vt:i4>
      </vt:variant>
      <vt:variant>
        <vt:lpwstr/>
      </vt:variant>
      <vt:variant>
        <vt:lpwstr>EtodolacListing</vt:lpwstr>
      </vt:variant>
      <vt:variant>
        <vt:i4>1441796</vt:i4>
      </vt:variant>
      <vt:variant>
        <vt:i4>3101</vt:i4>
      </vt:variant>
      <vt:variant>
        <vt:i4>0</vt:i4>
      </vt:variant>
      <vt:variant>
        <vt:i4>5</vt:i4>
      </vt:variant>
      <vt:variant>
        <vt:lpwstr/>
      </vt:variant>
      <vt:variant>
        <vt:lpwstr>NSAIDsspecificdruglistadverseeffects</vt:lpwstr>
      </vt:variant>
      <vt:variant>
        <vt:i4>6750314</vt:i4>
      </vt:variant>
      <vt:variant>
        <vt:i4>3098</vt:i4>
      </vt:variant>
      <vt:variant>
        <vt:i4>0</vt:i4>
      </vt:variant>
      <vt:variant>
        <vt:i4>5</vt:i4>
      </vt:variant>
      <vt:variant>
        <vt:lpwstr/>
      </vt:variant>
      <vt:variant>
        <vt:lpwstr>NSAIDshypertensionandrenalfunction</vt:lpwstr>
      </vt:variant>
      <vt:variant>
        <vt:i4>6357091</vt:i4>
      </vt:variant>
      <vt:variant>
        <vt:i4>3095</vt:i4>
      </vt:variant>
      <vt:variant>
        <vt:i4>0</vt:i4>
      </vt:variant>
      <vt:variant>
        <vt:i4>5</vt:i4>
      </vt:variant>
      <vt:variant>
        <vt:lpwstr/>
      </vt:variant>
      <vt:variant>
        <vt:lpwstr>NSAIDsGIsymptomscardiovascularrisk</vt:lpwstr>
      </vt:variant>
      <vt:variant>
        <vt:i4>6881387</vt:i4>
      </vt:variant>
      <vt:variant>
        <vt:i4>3092</vt:i4>
      </vt:variant>
      <vt:variant>
        <vt:i4>0</vt:i4>
      </vt:variant>
      <vt:variant>
        <vt:i4>5</vt:i4>
      </vt:variant>
      <vt:variant>
        <vt:lpwstr/>
      </vt:variant>
      <vt:variant>
        <vt:lpwstr>NSAIDs</vt:lpwstr>
      </vt:variant>
      <vt:variant>
        <vt:i4>7536750</vt:i4>
      </vt:variant>
      <vt:variant>
        <vt:i4>3089</vt:i4>
      </vt:variant>
      <vt:variant>
        <vt:i4>0</vt:i4>
      </vt:variant>
      <vt:variant>
        <vt:i4>5</vt:i4>
      </vt:variant>
      <vt:variant>
        <vt:lpwstr/>
      </vt:variant>
      <vt:variant>
        <vt:lpwstr>Benzodiazepines</vt:lpwstr>
      </vt:variant>
      <vt:variant>
        <vt:i4>6881399</vt:i4>
      </vt:variant>
      <vt:variant>
        <vt:i4>3086</vt:i4>
      </vt:variant>
      <vt:variant>
        <vt:i4>0</vt:i4>
      </vt:variant>
      <vt:variant>
        <vt:i4>5</vt:i4>
      </vt:variant>
      <vt:variant>
        <vt:lpwstr/>
      </vt:variant>
      <vt:variant>
        <vt:lpwstr>SSRIListing</vt:lpwstr>
      </vt:variant>
      <vt:variant>
        <vt:i4>1376280</vt:i4>
      </vt:variant>
      <vt:variant>
        <vt:i4>3083</vt:i4>
      </vt:variant>
      <vt:variant>
        <vt:i4>0</vt:i4>
      </vt:variant>
      <vt:variant>
        <vt:i4>5</vt:i4>
      </vt:variant>
      <vt:variant>
        <vt:lpwstr/>
      </vt:variant>
      <vt:variant>
        <vt:lpwstr>Antidepressantsforchronicpain</vt:lpwstr>
      </vt:variant>
      <vt:variant>
        <vt:i4>7864441</vt:i4>
      </vt:variant>
      <vt:variant>
        <vt:i4>3080</vt:i4>
      </vt:variant>
      <vt:variant>
        <vt:i4>0</vt:i4>
      </vt:variant>
      <vt:variant>
        <vt:i4>5</vt:i4>
      </vt:variant>
      <vt:variant>
        <vt:lpwstr/>
      </vt:variant>
      <vt:variant>
        <vt:lpwstr>EscitalopramListing</vt:lpwstr>
      </vt:variant>
      <vt:variant>
        <vt:i4>6815867</vt:i4>
      </vt:variant>
      <vt:variant>
        <vt:i4>3077</vt:i4>
      </vt:variant>
      <vt:variant>
        <vt:i4>0</vt:i4>
      </vt:variant>
      <vt:variant>
        <vt:i4>5</vt:i4>
      </vt:variant>
      <vt:variant>
        <vt:lpwstr/>
      </vt:variant>
      <vt:variant>
        <vt:lpwstr>Anxietymedicationsinchronicpain</vt:lpwstr>
      </vt:variant>
      <vt:variant>
        <vt:i4>1638414</vt:i4>
      </vt:variant>
      <vt:variant>
        <vt:i4>3074</vt:i4>
      </vt:variant>
      <vt:variant>
        <vt:i4>0</vt:i4>
      </vt:variant>
      <vt:variant>
        <vt:i4>5</vt:i4>
      </vt:variant>
      <vt:variant>
        <vt:lpwstr/>
      </vt:variant>
      <vt:variant>
        <vt:lpwstr>Cannabinoids</vt:lpwstr>
      </vt:variant>
      <vt:variant>
        <vt:i4>2752639</vt:i4>
      </vt:variant>
      <vt:variant>
        <vt:i4>3071</vt:i4>
      </vt:variant>
      <vt:variant>
        <vt:i4>0</vt:i4>
      </vt:variant>
      <vt:variant>
        <vt:i4>5</vt:i4>
      </vt:variant>
      <vt:variant>
        <vt:lpwstr>http://www.fda.gov/drugs/guidancecomplianceregulatoryinformation/surveillance/adversedrugeffects/ucm249657.htm</vt:lpwstr>
      </vt:variant>
      <vt:variant>
        <vt:lpwstr/>
      </vt:variant>
      <vt:variant>
        <vt:i4>6946936</vt:i4>
      </vt:variant>
      <vt:variant>
        <vt:i4>3068</vt:i4>
      </vt:variant>
      <vt:variant>
        <vt:i4>0</vt:i4>
      </vt:variant>
      <vt:variant>
        <vt:i4>5</vt:i4>
      </vt:variant>
      <vt:variant>
        <vt:lpwstr/>
      </vt:variant>
      <vt:variant>
        <vt:lpwstr>Trevino</vt:lpwstr>
      </vt:variant>
      <vt:variant>
        <vt:i4>1245270</vt:i4>
      </vt:variant>
      <vt:variant>
        <vt:i4>3065</vt:i4>
      </vt:variant>
      <vt:variant>
        <vt:i4>0</vt:i4>
      </vt:variant>
      <vt:variant>
        <vt:i4>5</vt:i4>
      </vt:variant>
      <vt:variant>
        <vt:lpwstr>http://www.fda.gov/Drugs/NewsEvents/ucm130961.htm</vt:lpwstr>
      </vt:variant>
      <vt:variant>
        <vt:lpwstr/>
      </vt:variant>
      <vt:variant>
        <vt:i4>3735668</vt:i4>
      </vt:variant>
      <vt:variant>
        <vt:i4>3062</vt:i4>
      </vt:variant>
      <vt:variant>
        <vt:i4>0</vt:i4>
      </vt:variant>
      <vt:variant>
        <vt:i4>5</vt:i4>
      </vt:variant>
      <vt:variant>
        <vt:lpwstr/>
      </vt:variant>
      <vt:variant>
        <vt:lpwstr>Aetna2</vt:lpwstr>
      </vt:variant>
      <vt:variant>
        <vt:i4>786456</vt:i4>
      </vt:variant>
      <vt:variant>
        <vt:i4>3059</vt:i4>
      </vt:variant>
      <vt:variant>
        <vt:i4>0</vt:i4>
      </vt:variant>
      <vt:variant>
        <vt:i4>5</vt:i4>
      </vt:variant>
      <vt:variant>
        <vt:lpwstr/>
      </vt:variant>
      <vt:variant>
        <vt:lpwstr>Scramblertherapy</vt:lpwstr>
      </vt:variant>
      <vt:variant>
        <vt:i4>1441818</vt:i4>
      </vt:variant>
      <vt:variant>
        <vt:i4>3056</vt:i4>
      </vt:variant>
      <vt:variant>
        <vt:i4>0</vt:i4>
      </vt:variant>
      <vt:variant>
        <vt:i4>5</vt:i4>
      </vt:variant>
      <vt:variant>
        <vt:lpwstr/>
      </vt:variant>
      <vt:variant>
        <vt:lpwstr>TENS</vt:lpwstr>
      </vt:variant>
      <vt:variant>
        <vt:i4>6946927</vt:i4>
      </vt:variant>
      <vt:variant>
        <vt:i4>3053</vt:i4>
      </vt:variant>
      <vt:variant>
        <vt:i4>0</vt:i4>
      </vt:variant>
      <vt:variant>
        <vt:i4>5</vt:i4>
      </vt:variant>
      <vt:variant>
        <vt:lpwstr/>
      </vt:variant>
      <vt:variant>
        <vt:lpwstr>Electroceuticaltherapy</vt:lpwstr>
      </vt:variant>
      <vt:variant>
        <vt:i4>7864426</vt:i4>
      </vt:variant>
      <vt:variant>
        <vt:i4>3050</vt:i4>
      </vt:variant>
      <vt:variant>
        <vt:i4>0</vt:i4>
      </vt:variant>
      <vt:variant>
        <vt:i4>5</vt:i4>
      </vt:variant>
      <vt:variant>
        <vt:lpwstr/>
      </vt:variant>
      <vt:variant>
        <vt:lpwstr>Sympathetictherapy</vt:lpwstr>
      </vt:variant>
      <vt:variant>
        <vt:i4>655371</vt:i4>
      </vt:variant>
      <vt:variant>
        <vt:i4>3047</vt:i4>
      </vt:variant>
      <vt:variant>
        <vt:i4>0</vt:i4>
      </vt:variant>
      <vt:variant>
        <vt:i4>5</vt:i4>
      </vt:variant>
      <vt:variant>
        <vt:lpwstr/>
      </vt:variant>
      <vt:variant>
        <vt:lpwstr>SpinalCordStimulators</vt:lpwstr>
      </vt:variant>
      <vt:variant>
        <vt:i4>6291556</vt:i4>
      </vt:variant>
      <vt:variant>
        <vt:i4>3044</vt:i4>
      </vt:variant>
      <vt:variant>
        <vt:i4>0</vt:i4>
      </vt:variant>
      <vt:variant>
        <vt:i4>5</vt:i4>
      </vt:variant>
      <vt:variant>
        <vt:lpwstr/>
      </vt:variant>
      <vt:variant>
        <vt:lpwstr>Percutaneousneuromodulationtherapy</vt:lpwstr>
      </vt:variant>
      <vt:variant>
        <vt:i4>1441822</vt:i4>
      </vt:variant>
      <vt:variant>
        <vt:i4>3041</vt:i4>
      </vt:variant>
      <vt:variant>
        <vt:i4>0</vt:i4>
      </vt:variant>
      <vt:variant>
        <vt:i4>5</vt:i4>
      </vt:variant>
      <vt:variant>
        <vt:lpwstr/>
      </vt:variant>
      <vt:variant>
        <vt:lpwstr>PENS</vt:lpwstr>
      </vt:variant>
      <vt:variant>
        <vt:i4>6815840</vt:i4>
      </vt:variant>
      <vt:variant>
        <vt:i4>3038</vt:i4>
      </vt:variant>
      <vt:variant>
        <vt:i4>0</vt:i4>
      </vt:variant>
      <vt:variant>
        <vt:i4>5</vt:i4>
      </vt:variant>
      <vt:variant>
        <vt:lpwstr/>
      </vt:variant>
      <vt:variant>
        <vt:lpwstr>Neuromuscularelectricalstimulation</vt:lpwstr>
      </vt:variant>
      <vt:variant>
        <vt:i4>6488181</vt:i4>
      </vt:variant>
      <vt:variant>
        <vt:i4>3035</vt:i4>
      </vt:variant>
      <vt:variant>
        <vt:i4>0</vt:i4>
      </vt:variant>
      <vt:variant>
        <vt:i4>5</vt:i4>
      </vt:variant>
      <vt:variant>
        <vt:lpwstr/>
      </vt:variant>
      <vt:variant>
        <vt:lpwstr>Neuroreflexotherapy</vt:lpwstr>
      </vt:variant>
      <vt:variant>
        <vt:i4>458771</vt:i4>
      </vt:variant>
      <vt:variant>
        <vt:i4>3032</vt:i4>
      </vt:variant>
      <vt:variant>
        <vt:i4>0</vt:i4>
      </vt:variant>
      <vt:variant>
        <vt:i4>5</vt:i4>
      </vt:variant>
      <vt:variant>
        <vt:lpwstr/>
      </vt:variant>
      <vt:variant>
        <vt:lpwstr>Microcurrentelectricalstimulation</vt:lpwstr>
      </vt:variant>
      <vt:variant>
        <vt:i4>1310740</vt:i4>
      </vt:variant>
      <vt:variant>
        <vt:i4>3029</vt:i4>
      </vt:variant>
      <vt:variant>
        <vt:i4>0</vt:i4>
      </vt:variant>
      <vt:variant>
        <vt:i4>5</vt:i4>
      </vt:variant>
      <vt:variant>
        <vt:lpwstr/>
      </vt:variant>
      <vt:variant>
        <vt:lpwstr>Interferentialcurrentstimulation</vt:lpwstr>
      </vt:variant>
      <vt:variant>
        <vt:i4>524290</vt:i4>
      </vt:variant>
      <vt:variant>
        <vt:i4>3026</vt:i4>
      </vt:variant>
      <vt:variant>
        <vt:i4>0</vt:i4>
      </vt:variant>
      <vt:variant>
        <vt:i4>5</vt:i4>
      </vt:variant>
      <vt:variant>
        <vt:lpwstr/>
      </vt:variant>
      <vt:variant>
        <vt:lpwstr>Hwavestimulation</vt:lpwstr>
      </vt:variant>
      <vt:variant>
        <vt:i4>7602276</vt:i4>
      </vt:variant>
      <vt:variant>
        <vt:i4>3023</vt:i4>
      </vt:variant>
      <vt:variant>
        <vt:i4>0</vt:i4>
      </vt:variant>
      <vt:variant>
        <vt:i4>5</vt:i4>
      </vt:variant>
      <vt:variant>
        <vt:lpwstr/>
      </vt:variant>
      <vt:variant>
        <vt:lpwstr>Galvanicstimulation</vt:lpwstr>
      </vt:variant>
      <vt:variant>
        <vt:i4>7929969</vt:i4>
      </vt:variant>
      <vt:variant>
        <vt:i4>3020</vt:i4>
      </vt:variant>
      <vt:variant>
        <vt:i4>0</vt:i4>
      </vt:variant>
      <vt:variant>
        <vt:i4>5</vt:i4>
      </vt:variant>
      <vt:variant>
        <vt:lpwstr/>
      </vt:variant>
      <vt:variant>
        <vt:lpwstr>Venlafaxine</vt:lpwstr>
      </vt:variant>
      <vt:variant>
        <vt:i4>1441818</vt:i4>
      </vt:variant>
      <vt:variant>
        <vt:i4>3017</vt:i4>
      </vt:variant>
      <vt:variant>
        <vt:i4>0</vt:i4>
      </vt:variant>
      <vt:variant>
        <vt:i4>5</vt:i4>
      </vt:variant>
      <vt:variant>
        <vt:lpwstr/>
      </vt:variant>
      <vt:variant>
        <vt:lpwstr>Zolpidem</vt:lpwstr>
      </vt:variant>
      <vt:variant>
        <vt:i4>7143519</vt:i4>
      </vt:variant>
      <vt:variant>
        <vt:i4>3014</vt:i4>
      </vt:variant>
      <vt:variant>
        <vt:i4>0</vt:i4>
      </vt:variant>
      <vt:variant>
        <vt:i4>5</vt:i4>
      </vt:variant>
      <vt:variant>
        <vt:lpwstr>http://www.accessdata.fda.gov/drugsatfda_docs/appletter/2009/021997s000ltr.pdf</vt:lpwstr>
      </vt:variant>
      <vt:variant>
        <vt:lpwstr/>
      </vt:variant>
      <vt:variant>
        <vt:i4>7864507</vt:i4>
      </vt:variant>
      <vt:variant>
        <vt:i4>3011</vt:i4>
      </vt:variant>
      <vt:variant>
        <vt:i4>0</vt:i4>
      </vt:variant>
      <vt:variant>
        <vt:i4>5</vt:i4>
      </vt:variant>
      <vt:variant>
        <vt:lpwstr>E:\AppData\Local\Microsoft\Windows\Temporary Internet Files\Content.Outlook\AppData\Local\Microsoft\Windows\Temporary Internet Files\Content.Outlook\50QE161U\neck.htm</vt:lpwstr>
      </vt:variant>
      <vt:variant>
        <vt:lpwstr>Abásolo</vt:lpwstr>
      </vt:variant>
      <vt:variant>
        <vt:i4>4784183</vt:i4>
      </vt:variant>
      <vt:variant>
        <vt:i4>3008</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Little</vt:lpwstr>
      </vt:variant>
      <vt:variant>
        <vt:i4>917529</vt:i4>
      </vt:variant>
      <vt:variant>
        <vt:i4>3005</vt:i4>
      </vt:variant>
      <vt:variant>
        <vt:i4>0</vt:i4>
      </vt:variant>
      <vt:variant>
        <vt:i4>5</vt:i4>
      </vt:variant>
      <vt:variant>
        <vt:lpwstr/>
      </vt:variant>
      <vt:variant>
        <vt:lpwstr>Colorado2</vt:lpwstr>
      </vt:variant>
      <vt:variant>
        <vt:i4>6815844</vt:i4>
      </vt:variant>
      <vt:variant>
        <vt:i4>3002</vt:i4>
      </vt:variant>
      <vt:variant>
        <vt:i4>0</vt:i4>
      </vt:variant>
      <vt:variant>
        <vt:i4>5</vt:i4>
      </vt:variant>
      <vt:variant>
        <vt:lpwstr/>
      </vt:variant>
      <vt:variant>
        <vt:lpwstr>Auricularelectroacupuncture</vt:lpwstr>
      </vt:variant>
      <vt:variant>
        <vt:i4>6553727</vt:i4>
      </vt:variant>
      <vt:variant>
        <vt:i4>2999</vt:i4>
      </vt:variant>
      <vt:variant>
        <vt:i4>0</vt:i4>
      </vt:variant>
      <vt:variant>
        <vt:i4>5</vt:i4>
      </vt:variant>
      <vt:variant>
        <vt:lpwstr/>
      </vt:variant>
      <vt:variant>
        <vt:lpwstr>Botulinumtoxin</vt:lpwstr>
      </vt:variant>
      <vt:variant>
        <vt:i4>7864426</vt:i4>
      </vt:variant>
      <vt:variant>
        <vt:i4>2996</vt:i4>
      </vt:variant>
      <vt:variant>
        <vt:i4>0</vt:i4>
      </vt:variant>
      <vt:variant>
        <vt:i4>5</vt:i4>
      </vt:variant>
      <vt:variant>
        <vt:lpwstr/>
      </vt:variant>
      <vt:variant>
        <vt:lpwstr>Sympathetictherapy</vt:lpwstr>
      </vt:variant>
      <vt:variant>
        <vt:i4>1245200</vt:i4>
      </vt:variant>
      <vt:variant>
        <vt:i4>2993</vt:i4>
      </vt:variant>
      <vt:variant>
        <vt:i4>0</vt:i4>
      </vt:variant>
      <vt:variant>
        <vt:i4>5</vt:i4>
      </vt:variant>
      <vt:variant>
        <vt:lpwstr/>
      </vt:variant>
      <vt:variant>
        <vt:lpwstr>Fentanyl</vt:lpwstr>
      </vt:variant>
      <vt:variant>
        <vt:i4>131141</vt:i4>
      </vt:variant>
      <vt:variant>
        <vt:i4>2990</vt:i4>
      </vt:variant>
      <vt:variant>
        <vt:i4>0</vt:i4>
      </vt:variant>
      <vt:variant>
        <vt:i4>5</vt:i4>
      </vt:variant>
      <vt:variant>
        <vt:lpwstr>http://www.fda.gov/Drugs/DrugSafety/ucm368902.htm</vt:lpwstr>
      </vt:variant>
      <vt:variant>
        <vt:lpwstr/>
      </vt:variant>
      <vt:variant>
        <vt:i4>131141</vt:i4>
      </vt:variant>
      <vt:variant>
        <vt:i4>2987</vt:i4>
      </vt:variant>
      <vt:variant>
        <vt:i4>0</vt:i4>
      </vt:variant>
      <vt:variant>
        <vt:i4>5</vt:i4>
      </vt:variant>
      <vt:variant>
        <vt:lpwstr>http://www.fda.gov/Drugs/DrugSafety/ucm368902.htm</vt:lpwstr>
      </vt:variant>
      <vt:variant>
        <vt:lpwstr/>
      </vt:variant>
      <vt:variant>
        <vt:i4>3145768</vt:i4>
      </vt:variant>
      <vt:variant>
        <vt:i4>2984</vt:i4>
      </vt:variant>
      <vt:variant>
        <vt:i4>0</vt:i4>
      </vt:variant>
      <vt:variant>
        <vt:i4>5</vt:i4>
      </vt:variant>
      <vt:variant>
        <vt:lpwstr>http://www.fda.gov/NewsEvents/Newsroom/PressAnnouncements/ucm232708.htm</vt:lpwstr>
      </vt:variant>
      <vt:variant>
        <vt:lpwstr/>
      </vt:variant>
      <vt:variant>
        <vt:i4>4522071</vt:i4>
      </vt:variant>
      <vt:variant>
        <vt:i4>2981</vt:i4>
      </vt:variant>
      <vt:variant>
        <vt:i4>0</vt:i4>
      </vt:variant>
      <vt:variant>
        <vt:i4>5</vt:i4>
      </vt:variant>
      <vt:variant>
        <vt:lpwstr>http://www.fda.gov/downloads/AdvisoryCommittees/CommitteesMeetingMaterials/Drugs/AnestheticAndLifeSupportDrugsAdvisoryCommittee/UCM222701.pdf</vt:lpwstr>
      </vt:variant>
      <vt:variant>
        <vt:lpwstr/>
      </vt:variant>
      <vt:variant>
        <vt:i4>5701639</vt:i4>
      </vt:variant>
      <vt:variant>
        <vt:i4>2978</vt:i4>
      </vt:variant>
      <vt:variant>
        <vt:i4>0</vt:i4>
      </vt:variant>
      <vt:variant>
        <vt:i4>5</vt:i4>
      </vt:variant>
      <vt:variant>
        <vt:lpwstr/>
      </vt:variant>
      <vt:variant>
        <vt:lpwstr>FDA3</vt:lpwstr>
      </vt:variant>
      <vt:variant>
        <vt:i4>6357109</vt:i4>
      </vt:variant>
      <vt:variant>
        <vt:i4>2975</vt:i4>
      </vt:variant>
      <vt:variant>
        <vt:i4>0</vt:i4>
      </vt:variant>
      <vt:variant>
        <vt:i4>5</vt:i4>
      </vt:variant>
      <vt:variant>
        <vt:lpwstr/>
      </vt:variant>
      <vt:variant>
        <vt:lpwstr>Waknine</vt:lpwstr>
      </vt:variant>
      <vt:variant>
        <vt:i4>28</vt:i4>
      </vt:variant>
      <vt:variant>
        <vt:i4>2972</vt:i4>
      </vt:variant>
      <vt:variant>
        <vt:i4>0</vt:i4>
      </vt:variant>
      <vt:variant>
        <vt:i4>5</vt:i4>
      </vt:variant>
      <vt:variant>
        <vt:lpwstr/>
      </vt:variant>
      <vt:variant>
        <vt:lpwstr>DuloxetineListing</vt:lpwstr>
      </vt:variant>
      <vt:variant>
        <vt:i4>1376280</vt:i4>
      </vt:variant>
      <vt:variant>
        <vt:i4>2969</vt:i4>
      </vt:variant>
      <vt:variant>
        <vt:i4>0</vt:i4>
      </vt:variant>
      <vt:variant>
        <vt:i4>5</vt:i4>
      </vt:variant>
      <vt:variant>
        <vt:lpwstr/>
      </vt:variant>
      <vt:variant>
        <vt:lpwstr>Antidepressantsforchronicpain</vt:lpwstr>
      </vt:variant>
      <vt:variant>
        <vt:i4>7929955</vt:i4>
      </vt:variant>
      <vt:variant>
        <vt:i4>2966</vt:i4>
      </vt:variant>
      <vt:variant>
        <vt:i4>0</vt:i4>
      </vt:variant>
      <vt:variant>
        <vt:i4>5</vt:i4>
      </vt:variant>
      <vt:variant>
        <vt:lpwstr/>
      </vt:variant>
      <vt:variant>
        <vt:lpwstr>Arnold2</vt:lpwstr>
      </vt:variant>
      <vt:variant>
        <vt:i4>2031624</vt:i4>
      </vt:variant>
      <vt:variant>
        <vt:i4>2963</vt:i4>
      </vt:variant>
      <vt:variant>
        <vt:i4>0</vt:i4>
      </vt:variant>
      <vt:variant>
        <vt:i4>5</vt:i4>
      </vt:variant>
      <vt:variant>
        <vt:lpwstr/>
      </vt:variant>
      <vt:variant>
        <vt:lpwstr>Protonpumpinhibitors</vt:lpwstr>
      </vt:variant>
      <vt:variant>
        <vt:i4>6357091</vt:i4>
      </vt:variant>
      <vt:variant>
        <vt:i4>2960</vt:i4>
      </vt:variant>
      <vt:variant>
        <vt:i4>0</vt:i4>
      </vt:variant>
      <vt:variant>
        <vt:i4>5</vt:i4>
      </vt:variant>
      <vt:variant>
        <vt:lpwstr/>
      </vt:variant>
      <vt:variant>
        <vt:lpwstr>NSAIDsGIsymptomscardiovascularrisk</vt:lpwstr>
      </vt:variant>
      <vt:variant>
        <vt:i4>7471222</vt:i4>
      </vt:variant>
      <vt:variant>
        <vt:i4>2957</vt:i4>
      </vt:variant>
      <vt:variant>
        <vt:i4>0</vt:i4>
      </vt:variant>
      <vt:variant>
        <vt:i4>5</vt:i4>
      </vt:variant>
      <vt:variant>
        <vt:lpwstr>http://www.fda.gov/downloads/Drugs/DrugSafety/UCM253076.pdf</vt:lpwstr>
      </vt:variant>
      <vt:variant>
        <vt:lpwstr/>
      </vt:variant>
      <vt:variant>
        <vt:i4>8257646</vt:i4>
      </vt:variant>
      <vt:variant>
        <vt:i4>2954</vt:i4>
      </vt:variant>
      <vt:variant>
        <vt:i4>0</vt:i4>
      </vt:variant>
      <vt:variant>
        <vt:i4>5</vt:i4>
      </vt:variant>
      <vt:variant>
        <vt:lpwstr/>
      </vt:variant>
      <vt:variant>
        <vt:lpwstr>Triggerpointinjections</vt:lpwstr>
      </vt:variant>
      <vt:variant>
        <vt:i4>8061047</vt:i4>
      </vt:variant>
      <vt:variant>
        <vt:i4>2951</vt:i4>
      </vt:variant>
      <vt:variant>
        <vt:i4>0</vt:i4>
      </vt:variant>
      <vt:variant>
        <vt:i4>5</vt:i4>
      </vt:variant>
      <vt:variant>
        <vt:lpwstr/>
      </vt:variant>
      <vt:variant>
        <vt:lpwstr>Acupuncture</vt:lpwstr>
      </vt:variant>
      <vt:variant>
        <vt:i4>6946929</vt:i4>
      </vt:variant>
      <vt:variant>
        <vt:i4>2948</vt:i4>
      </vt:variant>
      <vt:variant>
        <vt:i4>0</vt:i4>
      </vt:variant>
      <vt:variant>
        <vt:i4>5</vt:i4>
      </vt:variant>
      <vt:variant>
        <vt:lpwstr/>
      </vt:variant>
      <vt:variant>
        <vt:lpwstr>Medications</vt:lpwstr>
      </vt:variant>
      <vt:variant>
        <vt:i4>1638414</vt:i4>
      </vt:variant>
      <vt:variant>
        <vt:i4>2945</vt:i4>
      </vt:variant>
      <vt:variant>
        <vt:i4>0</vt:i4>
      </vt:variant>
      <vt:variant>
        <vt:i4>5</vt:i4>
      </vt:variant>
      <vt:variant>
        <vt:lpwstr/>
      </vt:variant>
      <vt:variant>
        <vt:lpwstr>Cannabinoids</vt:lpwstr>
      </vt:variant>
      <vt:variant>
        <vt:i4>655371</vt:i4>
      </vt:variant>
      <vt:variant>
        <vt:i4>2942</vt:i4>
      </vt:variant>
      <vt:variant>
        <vt:i4>0</vt:i4>
      </vt:variant>
      <vt:variant>
        <vt:i4>5</vt:i4>
      </vt:variant>
      <vt:variant>
        <vt:lpwstr/>
      </vt:variant>
      <vt:variant>
        <vt:lpwstr>SpinalCordStimulators</vt:lpwstr>
      </vt:variant>
      <vt:variant>
        <vt:i4>8323189</vt:i4>
      </vt:variant>
      <vt:variant>
        <vt:i4>2939</vt:i4>
      </vt:variant>
      <vt:variant>
        <vt:i4>0</vt:i4>
      </vt:variant>
      <vt:variant>
        <vt:i4>5</vt:i4>
      </vt:variant>
      <vt:variant>
        <vt:lpwstr/>
      </vt:variant>
      <vt:variant>
        <vt:lpwstr>Glucosamine</vt:lpwstr>
      </vt:variant>
      <vt:variant>
        <vt:i4>8192104</vt:i4>
      </vt:variant>
      <vt:variant>
        <vt:i4>2936</vt:i4>
      </vt:variant>
      <vt:variant>
        <vt:i4>0</vt:i4>
      </vt:variant>
      <vt:variant>
        <vt:i4>5</vt:i4>
      </vt:variant>
      <vt:variant>
        <vt:lpwstr/>
      </vt:variant>
      <vt:variant>
        <vt:lpwstr>CytokineDNAtesting</vt:lpwstr>
      </vt:variant>
      <vt:variant>
        <vt:i4>7012450</vt:i4>
      </vt:variant>
      <vt:variant>
        <vt:i4>2933</vt:i4>
      </vt:variant>
      <vt:variant>
        <vt:i4>0</vt:i4>
      </vt:variant>
      <vt:variant>
        <vt:i4>5</vt:i4>
      </vt:variant>
      <vt:variant>
        <vt:lpwstr/>
      </vt:variant>
      <vt:variant>
        <vt:lpwstr>CRPSmedications</vt:lpwstr>
      </vt:variant>
      <vt:variant>
        <vt:i4>458761</vt:i4>
      </vt:variant>
      <vt:variant>
        <vt:i4>2930</vt:i4>
      </vt:variant>
      <vt:variant>
        <vt:i4>0</vt:i4>
      </vt:variant>
      <vt:variant>
        <vt:i4>5</vt:i4>
      </vt:variant>
      <vt:variant>
        <vt:lpwstr/>
      </vt:variant>
      <vt:variant>
        <vt:lpwstr>DiflunisalListing</vt:lpwstr>
      </vt:variant>
      <vt:variant>
        <vt:i4>1441796</vt:i4>
      </vt:variant>
      <vt:variant>
        <vt:i4>2927</vt:i4>
      </vt:variant>
      <vt:variant>
        <vt:i4>0</vt:i4>
      </vt:variant>
      <vt:variant>
        <vt:i4>5</vt:i4>
      </vt:variant>
      <vt:variant>
        <vt:lpwstr/>
      </vt:variant>
      <vt:variant>
        <vt:lpwstr>NSAIDsspecificdruglistadverseeffects</vt:lpwstr>
      </vt:variant>
      <vt:variant>
        <vt:i4>6750314</vt:i4>
      </vt:variant>
      <vt:variant>
        <vt:i4>2924</vt:i4>
      </vt:variant>
      <vt:variant>
        <vt:i4>0</vt:i4>
      </vt:variant>
      <vt:variant>
        <vt:i4>5</vt:i4>
      </vt:variant>
      <vt:variant>
        <vt:lpwstr/>
      </vt:variant>
      <vt:variant>
        <vt:lpwstr>NSAIDshypertensionandrenalfunction</vt:lpwstr>
      </vt:variant>
      <vt:variant>
        <vt:i4>6357091</vt:i4>
      </vt:variant>
      <vt:variant>
        <vt:i4>2921</vt:i4>
      </vt:variant>
      <vt:variant>
        <vt:i4>0</vt:i4>
      </vt:variant>
      <vt:variant>
        <vt:i4>5</vt:i4>
      </vt:variant>
      <vt:variant>
        <vt:lpwstr/>
      </vt:variant>
      <vt:variant>
        <vt:lpwstr>NSAIDsGIsymptomscardiovascularrisk</vt:lpwstr>
      </vt:variant>
      <vt:variant>
        <vt:i4>6881387</vt:i4>
      </vt:variant>
      <vt:variant>
        <vt:i4>2918</vt:i4>
      </vt:variant>
      <vt:variant>
        <vt:i4>0</vt:i4>
      </vt:variant>
      <vt:variant>
        <vt:i4>5</vt:i4>
      </vt:variant>
      <vt:variant>
        <vt:lpwstr/>
      </vt:variant>
      <vt:variant>
        <vt:lpwstr>NSAIDs</vt:lpwstr>
      </vt:variant>
      <vt:variant>
        <vt:i4>1572884</vt:i4>
      </vt:variant>
      <vt:variant>
        <vt:i4>2915</vt:i4>
      </vt:variant>
      <vt:variant>
        <vt:i4>0</vt:i4>
      </vt:variant>
      <vt:variant>
        <vt:i4>5</vt:i4>
      </vt:variant>
      <vt:variant>
        <vt:lpwstr/>
      </vt:variant>
      <vt:variant>
        <vt:lpwstr>DiclofenacTopicalListing</vt:lpwstr>
      </vt:variant>
      <vt:variant>
        <vt:i4>327690</vt:i4>
      </vt:variant>
      <vt:variant>
        <vt:i4>2912</vt:i4>
      </vt:variant>
      <vt:variant>
        <vt:i4>0</vt:i4>
      </vt:variant>
      <vt:variant>
        <vt:i4>5</vt:i4>
      </vt:variant>
      <vt:variant>
        <vt:lpwstr/>
      </vt:variant>
      <vt:variant>
        <vt:lpwstr>Nonsteroidalantinflammatoryagents</vt:lpwstr>
      </vt:variant>
      <vt:variant>
        <vt:i4>1048581</vt:i4>
      </vt:variant>
      <vt:variant>
        <vt:i4>2909</vt:i4>
      </vt:variant>
      <vt:variant>
        <vt:i4>0</vt:i4>
      </vt:variant>
      <vt:variant>
        <vt:i4>5</vt:i4>
      </vt:variant>
      <vt:variant>
        <vt:lpwstr/>
      </vt:variant>
      <vt:variant>
        <vt:lpwstr>Topicalanalgesics</vt:lpwstr>
      </vt:variant>
      <vt:variant>
        <vt:i4>6422649</vt:i4>
      </vt:variant>
      <vt:variant>
        <vt:i4>2906</vt:i4>
      </vt:variant>
      <vt:variant>
        <vt:i4>0</vt:i4>
      </vt:variant>
      <vt:variant>
        <vt:i4>5</vt:i4>
      </vt:variant>
      <vt:variant>
        <vt:lpwstr/>
      </vt:variant>
      <vt:variant>
        <vt:lpwstr>VoltarenGel</vt:lpwstr>
      </vt:variant>
      <vt:variant>
        <vt:i4>917508</vt:i4>
      </vt:variant>
      <vt:variant>
        <vt:i4>2903</vt:i4>
      </vt:variant>
      <vt:variant>
        <vt:i4>0</vt:i4>
      </vt:variant>
      <vt:variant>
        <vt:i4>5</vt:i4>
      </vt:variant>
      <vt:variant>
        <vt:lpwstr/>
      </vt:variant>
      <vt:variant>
        <vt:lpwstr>Pennsaid</vt:lpwstr>
      </vt:variant>
      <vt:variant>
        <vt:i4>786439</vt:i4>
      </vt:variant>
      <vt:variant>
        <vt:i4>2900</vt:i4>
      </vt:variant>
      <vt:variant>
        <vt:i4>0</vt:i4>
      </vt:variant>
      <vt:variant>
        <vt:i4>5</vt:i4>
      </vt:variant>
      <vt:variant>
        <vt:lpwstr/>
      </vt:variant>
      <vt:variant>
        <vt:lpwstr>Flectorpatch</vt:lpwstr>
      </vt:variant>
      <vt:variant>
        <vt:i4>1048581</vt:i4>
      </vt:variant>
      <vt:variant>
        <vt:i4>2897</vt:i4>
      </vt:variant>
      <vt:variant>
        <vt:i4>0</vt:i4>
      </vt:variant>
      <vt:variant>
        <vt:i4>5</vt:i4>
      </vt:variant>
      <vt:variant>
        <vt:lpwstr/>
      </vt:variant>
      <vt:variant>
        <vt:lpwstr>Topicalanalgesics</vt:lpwstr>
      </vt:variant>
      <vt:variant>
        <vt:i4>7733368</vt:i4>
      </vt:variant>
      <vt:variant>
        <vt:i4>2894</vt:i4>
      </vt:variant>
      <vt:variant>
        <vt:i4>0</vt:i4>
      </vt:variant>
      <vt:variant>
        <vt:i4>5</vt:i4>
      </vt:variant>
      <vt:variant>
        <vt:lpwstr/>
      </vt:variant>
      <vt:variant>
        <vt:lpwstr>DiclofenacSodiumListing</vt:lpwstr>
      </vt:variant>
      <vt:variant>
        <vt:i4>1441796</vt:i4>
      </vt:variant>
      <vt:variant>
        <vt:i4>2891</vt:i4>
      </vt:variant>
      <vt:variant>
        <vt:i4>0</vt:i4>
      </vt:variant>
      <vt:variant>
        <vt:i4>5</vt:i4>
      </vt:variant>
      <vt:variant>
        <vt:lpwstr/>
      </vt:variant>
      <vt:variant>
        <vt:lpwstr>NSAIDsspecificdruglistadverseeffects</vt:lpwstr>
      </vt:variant>
      <vt:variant>
        <vt:i4>6750314</vt:i4>
      </vt:variant>
      <vt:variant>
        <vt:i4>2888</vt:i4>
      </vt:variant>
      <vt:variant>
        <vt:i4>0</vt:i4>
      </vt:variant>
      <vt:variant>
        <vt:i4>5</vt:i4>
      </vt:variant>
      <vt:variant>
        <vt:lpwstr/>
      </vt:variant>
      <vt:variant>
        <vt:lpwstr>NSAIDshypertensionandrenalfunction</vt:lpwstr>
      </vt:variant>
      <vt:variant>
        <vt:i4>6357091</vt:i4>
      </vt:variant>
      <vt:variant>
        <vt:i4>2885</vt:i4>
      </vt:variant>
      <vt:variant>
        <vt:i4>0</vt:i4>
      </vt:variant>
      <vt:variant>
        <vt:i4>5</vt:i4>
      </vt:variant>
      <vt:variant>
        <vt:lpwstr/>
      </vt:variant>
      <vt:variant>
        <vt:lpwstr>NSAIDsGIsymptomscardiovascularrisk</vt:lpwstr>
      </vt:variant>
      <vt:variant>
        <vt:i4>6881387</vt:i4>
      </vt:variant>
      <vt:variant>
        <vt:i4>2882</vt:i4>
      </vt:variant>
      <vt:variant>
        <vt:i4>0</vt:i4>
      </vt:variant>
      <vt:variant>
        <vt:i4>5</vt:i4>
      </vt:variant>
      <vt:variant>
        <vt:lpwstr/>
      </vt:variant>
      <vt:variant>
        <vt:lpwstr>NSAIDs</vt:lpwstr>
      </vt:variant>
      <vt:variant>
        <vt:i4>7209068</vt:i4>
      </vt:variant>
      <vt:variant>
        <vt:i4>2879</vt:i4>
      </vt:variant>
      <vt:variant>
        <vt:i4>0</vt:i4>
      </vt:variant>
      <vt:variant>
        <vt:i4>5</vt:i4>
      </vt:variant>
      <vt:variant>
        <vt:lpwstr/>
      </vt:variant>
      <vt:variant>
        <vt:lpwstr>Diclofenac</vt:lpwstr>
      </vt:variant>
      <vt:variant>
        <vt:i4>7798892</vt:i4>
      </vt:variant>
      <vt:variant>
        <vt:i4>2876</vt:i4>
      </vt:variant>
      <vt:variant>
        <vt:i4>0</vt:i4>
      </vt:variant>
      <vt:variant>
        <vt:i4>5</vt:i4>
      </vt:variant>
      <vt:variant>
        <vt:lpwstr/>
      </vt:variant>
      <vt:variant>
        <vt:lpwstr>DiclofenacPotassiumListing</vt:lpwstr>
      </vt:variant>
      <vt:variant>
        <vt:i4>1441796</vt:i4>
      </vt:variant>
      <vt:variant>
        <vt:i4>2873</vt:i4>
      </vt:variant>
      <vt:variant>
        <vt:i4>0</vt:i4>
      </vt:variant>
      <vt:variant>
        <vt:i4>5</vt:i4>
      </vt:variant>
      <vt:variant>
        <vt:lpwstr/>
      </vt:variant>
      <vt:variant>
        <vt:lpwstr>NSAIDsspecificdruglistadverseeffects</vt:lpwstr>
      </vt:variant>
      <vt:variant>
        <vt:i4>6750314</vt:i4>
      </vt:variant>
      <vt:variant>
        <vt:i4>2870</vt:i4>
      </vt:variant>
      <vt:variant>
        <vt:i4>0</vt:i4>
      </vt:variant>
      <vt:variant>
        <vt:i4>5</vt:i4>
      </vt:variant>
      <vt:variant>
        <vt:lpwstr/>
      </vt:variant>
      <vt:variant>
        <vt:lpwstr>NSAIDshypertensionandrenalfunction</vt:lpwstr>
      </vt:variant>
      <vt:variant>
        <vt:i4>6357091</vt:i4>
      </vt:variant>
      <vt:variant>
        <vt:i4>2867</vt:i4>
      </vt:variant>
      <vt:variant>
        <vt:i4>0</vt:i4>
      </vt:variant>
      <vt:variant>
        <vt:i4>5</vt:i4>
      </vt:variant>
      <vt:variant>
        <vt:lpwstr/>
      </vt:variant>
      <vt:variant>
        <vt:lpwstr>NSAIDsGIsymptomscardiovascularrisk</vt:lpwstr>
      </vt:variant>
      <vt:variant>
        <vt:i4>6881387</vt:i4>
      </vt:variant>
      <vt:variant>
        <vt:i4>2864</vt:i4>
      </vt:variant>
      <vt:variant>
        <vt:i4>0</vt:i4>
      </vt:variant>
      <vt:variant>
        <vt:i4>5</vt:i4>
      </vt:variant>
      <vt:variant>
        <vt:lpwstr/>
      </vt:variant>
      <vt:variant>
        <vt:lpwstr>NSAIDs</vt:lpwstr>
      </vt:variant>
      <vt:variant>
        <vt:i4>7209068</vt:i4>
      </vt:variant>
      <vt:variant>
        <vt:i4>2861</vt:i4>
      </vt:variant>
      <vt:variant>
        <vt:i4>0</vt:i4>
      </vt:variant>
      <vt:variant>
        <vt:i4>5</vt:i4>
      </vt:variant>
      <vt:variant>
        <vt:lpwstr/>
      </vt:variant>
      <vt:variant>
        <vt:lpwstr>Diclofenac</vt:lpwstr>
      </vt:variant>
      <vt:variant>
        <vt:i4>851970</vt:i4>
      </vt:variant>
      <vt:variant>
        <vt:i4>2858</vt:i4>
      </vt:variant>
      <vt:variant>
        <vt:i4>0</vt:i4>
      </vt:variant>
      <vt:variant>
        <vt:i4>5</vt:i4>
      </vt:variant>
      <vt:variant>
        <vt:lpwstr/>
      </vt:variant>
      <vt:variant>
        <vt:lpwstr>Zorvolex</vt:lpwstr>
      </vt:variant>
      <vt:variant>
        <vt:i4>1441796</vt:i4>
      </vt:variant>
      <vt:variant>
        <vt:i4>2855</vt:i4>
      </vt:variant>
      <vt:variant>
        <vt:i4>0</vt:i4>
      </vt:variant>
      <vt:variant>
        <vt:i4>5</vt:i4>
      </vt:variant>
      <vt:variant>
        <vt:lpwstr/>
      </vt:variant>
      <vt:variant>
        <vt:lpwstr>NSAIDsspecificdruglistadverseeffects</vt:lpwstr>
      </vt:variant>
      <vt:variant>
        <vt:i4>6750314</vt:i4>
      </vt:variant>
      <vt:variant>
        <vt:i4>2852</vt:i4>
      </vt:variant>
      <vt:variant>
        <vt:i4>0</vt:i4>
      </vt:variant>
      <vt:variant>
        <vt:i4>5</vt:i4>
      </vt:variant>
      <vt:variant>
        <vt:lpwstr/>
      </vt:variant>
      <vt:variant>
        <vt:lpwstr>NSAIDshypertensionandrenalfunction</vt:lpwstr>
      </vt:variant>
      <vt:variant>
        <vt:i4>6357091</vt:i4>
      </vt:variant>
      <vt:variant>
        <vt:i4>2849</vt:i4>
      </vt:variant>
      <vt:variant>
        <vt:i4>0</vt:i4>
      </vt:variant>
      <vt:variant>
        <vt:i4>5</vt:i4>
      </vt:variant>
      <vt:variant>
        <vt:lpwstr/>
      </vt:variant>
      <vt:variant>
        <vt:lpwstr>NSAIDsGIsymptomscardiovascularrisk</vt:lpwstr>
      </vt:variant>
      <vt:variant>
        <vt:i4>6881387</vt:i4>
      </vt:variant>
      <vt:variant>
        <vt:i4>2846</vt:i4>
      </vt:variant>
      <vt:variant>
        <vt:i4>0</vt:i4>
      </vt:variant>
      <vt:variant>
        <vt:i4>5</vt:i4>
      </vt:variant>
      <vt:variant>
        <vt:lpwstr/>
      </vt:variant>
      <vt:variant>
        <vt:lpwstr>NSAIDs</vt:lpwstr>
      </vt:variant>
      <vt:variant>
        <vt:i4>7864437</vt:i4>
      </vt:variant>
      <vt:variant>
        <vt:i4>2843</vt:i4>
      </vt:variant>
      <vt:variant>
        <vt:i4>0</vt:i4>
      </vt:variant>
      <vt:variant>
        <vt:i4>5</vt:i4>
      </vt:variant>
      <vt:variant>
        <vt:lpwstr/>
      </vt:variant>
      <vt:variant>
        <vt:lpwstr>McGettigan2013</vt:lpwstr>
      </vt:variant>
      <vt:variant>
        <vt:i4>6553634</vt:i4>
      </vt:variant>
      <vt:variant>
        <vt:i4>2840</vt:i4>
      </vt:variant>
      <vt:variant>
        <vt:i4>0</vt:i4>
      </vt:variant>
      <vt:variant>
        <vt:i4>5</vt:i4>
      </vt:variant>
      <vt:variant>
        <vt:lpwstr/>
      </vt:variant>
      <vt:variant>
        <vt:lpwstr>AGS2012</vt:lpwstr>
      </vt:variant>
      <vt:variant>
        <vt:i4>3473505</vt:i4>
      </vt:variant>
      <vt:variant>
        <vt:i4>2837</vt:i4>
      </vt:variant>
      <vt:variant>
        <vt:i4>0</vt:i4>
      </vt:variant>
      <vt:variant>
        <vt:i4>5</vt:i4>
      </vt:variant>
      <vt:variant>
        <vt:lpwstr>http://www.fda.gov/Safety/MedWatch/SafetyInformation/SafetyAlertsforHumanMedicalProducts/ucm193047.htm</vt:lpwstr>
      </vt:variant>
      <vt:variant>
        <vt:lpwstr/>
      </vt:variant>
      <vt:variant>
        <vt:i4>3473505</vt:i4>
      </vt:variant>
      <vt:variant>
        <vt:i4>2834</vt:i4>
      </vt:variant>
      <vt:variant>
        <vt:i4>0</vt:i4>
      </vt:variant>
      <vt:variant>
        <vt:i4>5</vt:i4>
      </vt:variant>
      <vt:variant>
        <vt:lpwstr>http://www.fda.gov/Safety/MedWatch/SafetyInformation/SafetyAlertsforHumanMedicalProducts/ucm193047.htm</vt:lpwstr>
      </vt:variant>
      <vt:variant>
        <vt:lpwstr/>
      </vt:variant>
      <vt:variant>
        <vt:i4>7602301</vt:i4>
      </vt:variant>
      <vt:variant>
        <vt:i4>2831</vt:i4>
      </vt:variant>
      <vt:variant>
        <vt:i4>0</vt:i4>
      </vt:variant>
      <vt:variant>
        <vt:i4>5</vt:i4>
      </vt:variant>
      <vt:variant>
        <vt:lpwstr/>
      </vt:variant>
      <vt:variant>
        <vt:lpwstr>Schjerning2011</vt:lpwstr>
      </vt:variant>
      <vt:variant>
        <vt:i4>1966084</vt:i4>
      </vt:variant>
      <vt:variant>
        <vt:i4>2828</vt:i4>
      </vt:variant>
      <vt:variant>
        <vt:i4>0</vt:i4>
      </vt:variant>
      <vt:variant>
        <vt:i4>5</vt:i4>
      </vt:variant>
      <vt:variant>
        <vt:lpwstr/>
      </vt:variant>
      <vt:variant>
        <vt:lpwstr>VarasLorenzo2011</vt:lpwstr>
      </vt:variant>
      <vt:variant>
        <vt:i4>7995509</vt:i4>
      </vt:variant>
      <vt:variant>
        <vt:i4>2825</vt:i4>
      </vt:variant>
      <vt:variant>
        <vt:i4>0</vt:i4>
      </vt:variant>
      <vt:variant>
        <vt:i4>5</vt:i4>
      </vt:variant>
      <vt:variant>
        <vt:lpwstr/>
      </vt:variant>
      <vt:variant>
        <vt:lpwstr>McGettigan2011</vt:lpwstr>
      </vt:variant>
      <vt:variant>
        <vt:i4>7536750</vt:i4>
      </vt:variant>
      <vt:variant>
        <vt:i4>2822</vt:i4>
      </vt:variant>
      <vt:variant>
        <vt:i4>0</vt:i4>
      </vt:variant>
      <vt:variant>
        <vt:i4>5</vt:i4>
      </vt:variant>
      <vt:variant>
        <vt:lpwstr/>
      </vt:variant>
      <vt:variant>
        <vt:lpwstr>Benzodiazepines</vt:lpwstr>
      </vt:variant>
      <vt:variant>
        <vt:i4>6422628</vt:i4>
      </vt:variant>
      <vt:variant>
        <vt:i4>2819</vt:i4>
      </vt:variant>
      <vt:variant>
        <vt:i4>0</vt:i4>
      </vt:variant>
      <vt:variant>
        <vt:i4>5</vt:i4>
      </vt:variant>
      <vt:variant>
        <vt:lpwstr/>
      </vt:variant>
      <vt:variant>
        <vt:lpwstr>CRPSdiagnosticcriteria</vt:lpwstr>
      </vt:variant>
      <vt:variant>
        <vt:i4>7536746</vt:i4>
      </vt:variant>
      <vt:variant>
        <vt:i4>2816</vt:i4>
      </vt:variant>
      <vt:variant>
        <vt:i4>0</vt:i4>
      </vt:variant>
      <vt:variant>
        <vt:i4>5</vt:i4>
      </vt:variant>
      <vt:variant>
        <vt:lpwstr/>
      </vt:variant>
      <vt:variant>
        <vt:lpwstr>Duloxetine</vt:lpwstr>
      </vt:variant>
      <vt:variant>
        <vt:i4>4849695</vt:i4>
      </vt:variant>
      <vt:variant>
        <vt:i4>2813</vt:i4>
      </vt:variant>
      <vt:variant>
        <vt:i4>0</vt:i4>
      </vt:variant>
      <vt:variant>
        <vt:i4>5</vt:i4>
      </vt:variant>
      <vt:variant>
        <vt:lpwstr/>
      </vt:variant>
      <vt:variant>
        <vt:lpwstr>Sindrup2</vt:lpwstr>
      </vt:variant>
      <vt:variant>
        <vt:i4>6357108</vt:i4>
      </vt:variant>
      <vt:variant>
        <vt:i4>2810</vt:i4>
      </vt:variant>
      <vt:variant>
        <vt:i4>0</vt:i4>
      </vt:variant>
      <vt:variant>
        <vt:i4>5</vt:i4>
      </vt:variant>
      <vt:variant>
        <vt:lpwstr/>
      </vt:variant>
      <vt:variant>
        <vt:lpwstr>Wiffen2</vt:lpwstr>
      </vt:variant>
      <vt:variant>
        <vt:i4>8126573</vt:i4>
      </vt:variant>
      <vt:variant>
        <vt:i4>2807</vt:i4>
      </vt:variant>
      <vt:variant>
        <vt:i4>0</vt:i4>
      </vt:variant>
      <vt:variant>
        <vt:i4>5</vt:i4>
      </vt:variant>
      <vt:variant>
        <vt:lpwstr/>
      </vt:variant>
      <vt:variant>
        <vt:lpwstr>Numberneededtotreat</vt:lpwstr>
      </vt:variant>
      <vt:variant>
        <vt:i4>7340159</vt:i4>
      </vt:variant>
      <vt:variant>
        <vt:i4>2804</vt:i4>
      </vt:variant>
      <vt:variant>
        <vt:i4>0</vt:i4>
      </vt:variant>
      <vt:variant>
        <vt:i4>5</vt:i4>
      </vt:variant>
      <vt:variant>
        <vt:lpwstr>E:\AppData\Local\Microsoft\Windows\Temporary Internet Files\Content.Outlook\AppData\Local\Microsoft\Windows\Temporary Internet Files\Content.Outlook\50QE161U\Documents and SettingsphilMy DocumentsGuidelinesODG TWC" l</vt:lpwstr>
      </vt:variant>
      <vt:variant>
        <vt:lpwstr/>
      </vt:variant>
      <vt:variant>
        <vt:i4>7340159</vt:i4>
      </vt:variant>
      <vt:variant>
        <vt:i4>2801</vt:i4>
      </vt:variant>
      <vt:variant>
        <vt:i4>0</vt:i4>
      </vt:variant>
      <vt:variant>
        <vt:i4>5</vt:i4>
      </vt:variant>
      <vt:variant>
        <vt:lpwstr>E:\AppData\Local\Microsoft\Windows\Temporary Internet Files\Content.Outlook\AppData\Local\Microsoft\Windows\Temporary Internet Files\Content.Outlook\50QE161U\Documents and SettingsphilMy DocumentsGuidelinesODG TWC" l</vt:lpwstr>
      </vt:variant>
      <vt:variant>
        <vt:lpwstr/>
      </vt:variant>
      <vt:variant>
        <vt:i4>6357108</vt:i4>
      </vt:variant>
      <vt:variant>
        <vt:i4>2798</vt:i4>
      </vt:variant>
      <vt:variant>
        <vt:i4>0</vt:i4>
      </vt:variant>
      <vt:variant>
        <vt:i4>5</vt:i4>
      </vt:variant>
      <vt:variant>
        <vt:lpwstr/>
      </vt:variant>
      <vt:variant>
        <vt:lpwstr>Wiffen2</vt:lpwstr>
      </vt:variant>
      <vt:variant>
        <vt:i4>8257645</vt:i4>
      </vt:variant>
      <vt:variant>
        <vt:i4>2795</vt:i4>
      </vt:variant>
      <vt:variant>
        <vt:i4>0</vt:i4>
      </vt:variant>
      <vt:variant>
        <vt:i4>5</vt:i4>
      </vt:variant>
      <vt:variant>
        <vt:lpwstr/>
      </vt:variant>
      <vt:variant>
        <vt:lpwstr>Bansal</vt:lpwstr>
      </vt:variant>
      <vt:variant>
        <vt:i4>1179655</vt:i4>
      </vt:variant>
      <vt:variant>
        <vt:i4>2792</vt:i4>
      </vt:variant>
      <vt:variant>
        <vt:i4>0</vt:i4>
      </vt:variant>
      <vt:variant>
        <vt:i4>5</vt:i4>
      </vt:variant>
      <vt:variant>
        <vt:lpwstr/>
      </vt:variant>
      <vt:variant>
        <vt:lpwstr>Dyck</vt:lpwstr>
      </vt:variant>
      <vt:variant>
        <vt:i4>8257645</vt:i4>
      </vt:variant>
      <vt:variant>
        <vt:i4>2789</vt:i4>
      </vt:variant>
      <vt:variant>
        <vt:i4>0</vt:i4>
      </vt:variant>
      <vt:variant>
        <vt:i4>5</vt:i4>
      </vt:variant>
      <vt:variant>
        <vt:lpwstr/>
      </vt:variant>
      <vt:variant>
        <vt:lpwstr>Bansal</vt:lpwstr>
      </vt:variant>
      <vt:variant>
        <vt:i4>8257645</vt:i4>
      </vt:variant>
      <vt:variant>
        <vt:i4>2786</vt:i4>
      </vt:variant>
      <vt:variant>
        <vt:i4>0</vt:i4>
      </vt:variant>
      <vt:variant>
        <vt:i4>5</vt:i4>
      </vt:variant>
      <vt:variant>
        <vt:lpwstr/>
      </vt:variant>
      <vt:variant>
        <vt:lpwstr>Bansal</vt:lpwstr>
      </vt:variant>
      <vt:variant>
        <vt:i4>8257645</vt:i4>
      </vt:variant>
      <vt:variant>
        <vt:i4>2783</vt:i4>
      </vt:variant>
      <vt:variant>
        <vt:i4>0</vt:i4>
      </vt:variant>
      <vt:variant>
        <vt:i4>5</vt:i4>
      </vt:variant>
      <vt:variant>
        <vt:lpwstr/>
      </vt:variant>
      <vt:variant>
        <vt:lpwstr>Bansal</vt:lpwstr>
      </vt:variant>
      <vt:variant>
        <vt:i4>6553697</vt:i4>
      </vt:variant>
      <vt:variant>
        <vt:i4>2780</vt:i4>
      </vt:variant>
      <vt:variant>
        <vt:i4>0</vt:i4>
      </vt:variant>
      <vt:variant>
        <vt:i4>5</vt:i4>
      </vt:variant>
      <vt:variant>
        <vt:lpwstr/>
      </vt:variant>
      <vt:variant>
        <vt:lpwstr>ADA</vt:lpwstr>
      </vt:variant>
      <vt:variant>
        <vt:i4>8257645</vt:i4>
      </vt:variant>
      <vt:variant>
        <vt:i4>2777</vt:i4>
      </vt:variant>
      <vt:variant>
        <vt:i4>0</vt:i4>
      </vt:variant>
      <vt:variant>
        <vt:i4>5</vt:i4>
      </vt:variant>
      <vt:variant>
        <vt:lpwstr/>
      </vt:variant>
      <vt:variant>
        <vt:lpwstr>Bansal</vt:lpwstr>
      </vt:variant>
      <vt:variant>
        <vt:i4>393240</vt:i4>
      </vt:variant>
      <vt:variant>
        <vt:i4>2774</vt:i4>
      </vt:variant>
      <vt:variant>
        <vt:i4>0</vt:i4>
      </vt:variant>
      <vt:variant>
        <vt:i4>5</vt:i4>
      </vt:variant>
      <vt:variant>
        <vt:lpwstr/>
      </vt:variant>
      <vt:variant>
        <vt:lpwstr>Hospitallengthofstay</vt:lpwstr>
      </vt:variant>
      <vt:variant>
        <vt:i4>7667839</vt:i4>
      </vt:variant>
      <vt:variant>
        <vt:i4>2771</vt:i4>
      </vt:variant>
      <vt:variant>
        <vt:i4>0</vt:i4>
      </vt:variant>
      <vt:variant>
        <vt:i4>5</vt:i4>
      </vt:variant>
      <vt:variant>
        <vt:lpwstr/>
      </vt:variant>
      <vt:variant>
        <vt:lpwstr>Substanceabuse</vt:lpwstr>
      </vt:variant>
      <vt:variant>
        <vt:i4>6291564</vt:i4>
      </vt:variant>
      <vt:variant>
        <vt:i4>2768</vt:i4>
      </vt:variant>
      <vt:variant>
        <vt:i4>0</vt:i4>
      </vt:variant>
      <vt:variant>
        <vt:i4>5</vt:i4>
      </vt:variant>
      <vt:variant>
        <vt:lpwstr/>
      </vt:variant>
      <vt:variant>
        <vt:lpwstr>Rapiddetox</vt:lpwstr>
      </vt:variant>
      <vt:variant>
        <vt:i4>524308</vt:i4>
      </vt:variant>
      <vt:variant>
        <vt:i4>2765</vt:i4>
      </vt:variant>
      <vt:variant>
        <vt:i4>0</vt:i4>
      </vt:variant>
      <vt:variant>
        <vt:i4>5</vt:i4>
      </vt:variant>
      <vt:variant>
        <vt:lpwstr/>
      </vt:variant>
      <vt:variant>
        <vt:lpwstr>Weaningofmedications</vt:lpwstr>
      </vt:variant>
      <vt:variant>
        <vt:i4>7405667</vt:i4>
      </vt:variant>
      <vt:variant>
        <vt:i4>2762</vt:i4>
      </vt:variant>
      <vt:variant>
        <vt:i4>0</vt:i4>
      </vt:variant>
      <vt:variant>
        <vt:i4>5</vt:i4>
      </vt:variant>
      <vt:variant>
        <vt:lpwstr/>
      </vt:variant>
      <vt:variant>
        <vt:lpwstr>Benzon</vt:lpwstr>
      </vt:variant>
      <vt:variant>
        <vt:i4>6815860</vt:i4>
      </vt:variant>
      <vt:variant>
        <vt:i4>2759</vt:i4>
      </vt:variant>
      <vt:variant>
        <vt:i4>0</vt:i4>
      </vt:variant>
      <vt:variant>
        <vt:i4>5</vt:i4>
      </vt:variant>
      <vt:variant>
        <vt:lpwstr/>
      </vt:variant>
      <vt:variant>
        <vt:lpwstr>Wright2009</vt:lpwstr>
      </vt:variant>
      <vt:variant>
        <vt:i4>6094852</vt:i4>
      </vt:variant>
      <vt:variant>
        <vt:i4>2756</vt:i4>
      </vt:variant>
      <vt:variant>
        <vt:i4>0</vt:i4>
      </vt:variant>
      <vt:variant>
        <vt:i4>5</vt:i4>
      </vt:variant>
      <vt:variant>
        <vt:lpwstr/>
      </vt:variant>
      <vt:variant>
        <vt:lpwstr>TIP45</vt:lpwstr>
      </vt:variant>
      <vt:variant>
        <vt:i4>720916</vt:i4>
      </vt:variant>
      <vt:variant>
        <vt:i4>2753</vt:i4>
      </vt:variant>
      <vt:variant>
        <vt:i4>0</vt:i4>
      </vt:variant>
      <vt:variant>
        <vt:i4>5</vt:i4>
      </vt:variant>
      <vt:variant>
        <vt:lpwstr/>
      </vt:variant>
      <vt:variant>
        <vt:lpwstr>Functionalimprovementmeasures</vt:lpwstr>
      </vt:variant>
      <vt:variant>
        <vt:i4>7667839</vt:i4>
      </vt:variant>
      <vt:variant>
        <vt:i4>2750</vt:i4>
      </vt:variant>
      <vt:variant>
        <vt:i4>0</vt:i4>
      </vt:variant>
      <vt:variant>
        <vt:i4>5</vt:i4>
      </vt:variant>
      <vt:variant>
        <vt:lpwstr/>
      </vt:variant>
      <vt:variant>
        <vt:lpwstr>Substanceabuse</vt:lpwstr>
      </vt:variant>
      <vt:variant>
        <vt:i4>6553705</vt:i4>
      </vt:variant>
      <vt:variant>
        <vt:i4>2747</vt:i4>
      </vt:variant>
      <vt:variant>
        <vt:i4>0</vt:i4>
      </vt:variant>
      <vt:variant>
        <vt:i4>5</vt:i4>
      </vt:variant>
      <vt:variant>
        <vt:lpwstr/>
      </vt:variant>
      <vt:variant>
        <vt:lpwstr>Medicalfood</vt:lpwstr>
      </vt:variant>
      <vt:variant>
        <vt:i4>6619237</vt:i4>
      </vt:variant>
      <vt:variant>
        <vt:i4>2744</vt:i4>
      </vt:variant>
      <vt:variant>
        <vt:i4>0</vt:i4>
      </vt:variant>
      <vt:variant>
        <vt:i4>5</vt:i4>
      </vt:variant>
      <vt:variant>
        <vt:lpwstr/>
      </vt:variant>
      <vt:variant>
        <vt:lpwstr>Meperidine</vt:lpwstr>
      </vt:variant>
      <vt:variant>
        <vt:i4>7798887</vt:i4>
      </vt:variant>
      <vt:variant>
        <vt:i4>2741</vt:i4>
      </vt:variant>
      <vt:variant>
        <vt:i4>0</vt:i4>
      </vt:variant>
      <vt:variant>
        <vt:i4>5</vt:i4>
      </vt:variant>
      <vt:variant>
        <vt:lpwstr/>
      </vt:variant>
      <vt:variant>
        <vt:lpwstr>Chronicpainprograms</vt:lpwstr>
      </vt:variant>
      <vt:variant>
        <vt:i4>6029325</vt:i4>
      </vt:variant>
      <vt:variant>
        <vt:i4>2738</vt:i4>
      </vt:variant>
      <vt:variant>
        <vt:i4>0</vt:i4>
      </vt:variant>
      <vt:variant>
        <vt:i4>5</vt:i4>
      </vt:variant>
      <vt:variant>
        <vt:lpwstr>E:\AppData\Local\Microsoft\Windows\Temporary Internet Files\Content.Outlook\AppData\Local\Microsoft\Windows\Temporary Internet Files\Content.Outlook\bp\722.htm</vt:lpwstr>
      </vt:variant>
      <vt:variant>
        <vt:lpwstr>722.1</vt:lpwstr>
      </vt:variant>
      <vt:variant>
        <vt:i4>196632</vt:i4>
      </vt:variant>
      <vt:variant>
        <vt:i4>2735</vt:i4>
      </vt:variant>
      <vt:variant>
        <vt:i4>0</vt:i4>
      </vt:variant>
      <vt:variant>
        <vt:i4>5</vt:i4>
      </vt:variant>
      <vt:variant>
        <vt:lpwstr>http://www.odg-twc.com/bp/847.htm</vt:lpwstr>
      </vt:variant>
      <vt:variant>
        <vt:lpwstr>847.2</vt:lpwstr>
      </vt:variant>
      <vt:variant>
        <vt:i4>8126589</vt:i4>
      </vt:variant>
      <vt:variant>
        <vt:i4>2732</vt:i4>
      </vt:variant>
      <vt:variant>
        <vt:i4>0</vt:i4>
      </vt:variant>
      <vt:variant>
        <vt:i4>5</vt:i4>
      </vt:variant>
      <vt:variant>
        <vt:lpwstr/>
      </vt:variant>
      <vt:variant>
        <vt:lpwstr>TreatmentProtocols</vt:lpwstr>
      </vt:variant>
      <vt:variant>
        <vt:i4>1704058</vt:i4>
      </vt:variant>
      <vt:variant>
        <vt:i4>2729</vt:i4>
      </vt:variant>
      <vt:variant>
        <vt:i4>0</vt:i4>
      </vt:variant>
      <vt:variant>
        <vt:i4>5</vt:i4>
      </vt:variant>
      <vt:variant>
        <vt:lpwstr>E:\AppData\Local\Microsoft\Windows\Temporary Internet Files\Content.Outlook\AppData\Local\Microsoft\Windows\Temporary Internet Files\Content.Outlook\icd9top.htm</vt:lpwstr>
      </vt:variant>
      <vt:variant>
        <vt:lpwstr/>
      </vt:variant>
      <vt:variant>
        <vt:i4>196632</vt:i4>
      </vt:variant>
      <vt:variant>
        <vt:i4>2726</vt:i4>
      </vt:variant>
      <vt:variant>
        <vt:i4>0</vt:i4>
      </vt:variant>
      <vt:variant>
        <vt:i4>5</vt:i4>
      </vt:variant>
      <vt:variant>
        <vt:lpwstr>http://www.odg-twc.com/bp/722.htm</vt:lpwstr>
      </vt:variant>
      <vt:variant>
        <vt:lpwstr>722.1</vt:lpwstr>
      </vt:variant>
      <vt:variant>
        <vt:i4>6029325</vt:i4>
      </vt:variant>
      <vt:variant>
        <vt:i4>2723</vt:i4>
      </vt:variant>
      <vt:variant>
        <vt:i4>0</vt:i4>
      </vt:variant>
      <vt:variant>
        <vt:i4>5</vt:i4>
      </vt:variant>
      <vt:variant>
        <vt:lpwstr>E:\AppData\Local\Microsoft\Windows\Temporary Internet Files\Content.Outlook\AppData\Local\Microsoft\Windows\Temporary Internet Files\Content.Outlook\bp\847.htm</vt:lpwstr>
      </vt:variant>
      <vt:variant>
        <vt:lpwstr>847.2</vt:lpwstr>
      </vt:variant>
      <vt:variant>
        <vt:i4>1704058</vt:i4>
      </vt:variant>
      <vt:variant>
        <vt:i4>2720</vt:i4>
      </vt:variant>
      <vt:variant>
        <vt:i4>0</vt:i4>
      </vt:variant>
      <vt:variant>
        <vt:i4>5</vt:i4>
      </vt:variant>
      <vt:variant>
        <vt:lpwstr>E:\AppData\Local\Microsoft\Windows\Temporary Internet Files\Content.Outlook\AppData\Local\Microsoft\Windows\Temporary Internet Files\Content.Outlook\icd9top.htm</vt:lpwstr>
      </vt:variant>
      <vt:variant>
        <vt:lpwstr/>
      </vt:variant>
      <vt:variant>
        <vt:i4>3145790</vt:i4>
      </vt:variant>
      <vt:variant>
        <vt:i4>2717</vt:i4>
      </vt:variant>
      <vt:variant>
        <vt:i4>0</vt:i4>
      </vt:variant>
      <vt:variant>
        <vt:i4>5</vt:i4>
      </vt:variant>
      <vt:variant>
        <vt:lpwstr>E:\AppData\Local\Microsoft\Windows\Temporary Internet Files\Content.Outlook\AppData\Local\Microsoft\Windows\Temporary Internet Files\Content.Outlook\how_to.htm</vt:lpwstr>
      </vt:variant>
      <vt:variant>
        <vt:lpwstr>ContentB</vt:lpwstr>
      </vt:variant>
      <vt:variant>
        <vt:i4>655375</vt:i4>
      </vt:variant>
      <vt:variant>
        <vt:i4>2714</vt:i4>
      </vt:variant>
      <vt:variant>
        <vt:i4>0</vt:i4>
      </vt:variant>
      <vt:variant>
        <vt:i4>5</vt:i4>
      </vt:variant>
      <vt:variant>
        <vt:lpwstr/>
      </vt:variant>
      <vt:variant>
        <vt:lpwstr>Propoxyphene</vt:lpwstr>
      </vt:variant>
      <vt:variant>
        <vt:i4>655377</vt:i4>
      </vt:variant>
      <vt:variant>
        <vt:i4>2711</vt:i4>
      </vt:variant>
      <vt:variant>
        <vt:i4>0</vt:i4>
      </vt:variant>
      <vt:variant>
        <vt:i4>5</vt:i4>
      </vt:variant>
      <vt:variant>
        <vt:lpwstr/>
      </vt:variant>
      <vt:variant>
        <vt:lpwstr>Genetictestingforpotentialopioidabuse</vt:lpwstr>
      </vt:variant>
      <vt:variant>
        <vt:i4>262153</vt:i4>
      </vt:variant>
      <vt:variant>
        <vt:i4>2708</vt:i4>
      </vt:variant>
      <vt:variant>
        <vt:i4>0</vt:i4>
      </vt:variant>
      <vt:variant>
        <vt:i4>5</vt:i4>
      </vt:variant>
      <vt:variant>
        <vt:lpwstr/>
      </vt:variant>
      <vt:variant>
        <vt:lpwstr>Kokkonen2010</vt:lpwstr>
      </vt:variant>
      <vt:variant>
        <vt:i4>7733346</vt:i4>
      </vt:variant>
      <vt:variant>
        <vt:i4>2705</vt:i4>
      </vt:variant>
      <vt:variant>
        <vt:i4>0</vt:i4>
      </vt:variant>
      <vt:variant>
        <vt:i4>5</vt:i4>
      </vt:variant>
      <vt:variant>
        <vt:lpwstr/>
      </vt:variant>
      <vt:variant>
        <vt:lpwstr>Gillis</vt:lpwstr>
      </vt:variant>
      <vt:variant>
        <vt:i4>524305</vt:i4>
      </vt:variant>
      <vt:variant>
        <vt:i4>2702</vt:i4>
      </vt:variant>
      <vt:variant>
        <vt:i4>0</vt:i4>
      </vt:variant>
      <vt:variant>
        <vt:i4>5</vt:i4>
      </vt:variant>
      <vt:variant>
        <vt:lpwstr/>
      </vt:variant>
      <vt:variant>
        <vt:lpwstr>Gavin</vt:lpwstr>
      </vt:variant>
      <vt:variant>
        <vt:i4>5505041</vt:i4>
      </vt:variant>
      <vt:variant>
        <vt:i4>2699</vt:i4>
      </vt:variant>
      <vt:variant>
        <vt:i4>0</vt:i4>
      </vt:variant>
      <vt:variant>
        <vt:i4>5</vt:i4>
      </vt:variant>
      <vt:variant>
        <vt:lpwstr>http://www.cytokineinstitute.com/</vt:lpwstr>
      </vt:variant>
      <vt:variant>
        <vt:lpwstr/>
      </vt:variant>
      <vt:variant>
        <vt:i4>8192104</vt:i4>
      </vt:variant>
      <vt:variant>
        <vt:i4>2696</vt:i4>
      </vt:variant>
      <vt:variant>
        <vt:i4>0</vt:i4>
      </vt:variant>
      <vt:variant>
        <vt:i4>5</vt:i4>
      </vt:variant>
      <vt:variant>
        <vt:lpwstr/>
      </vt:variant>
      <vt:variant>
        <vt:lpwstr>CytokineDNAtesting</vt:lpwstr>
      </vt:variant>
      <vt:variant>
        <vt:i4>7536746</vt:i4>
      </vt:variant>
      <vt:variant>
        <vt:i4>2693</vt:i4>
      </vt:variant>
      <vt:variant>
        <vt:i4>0</vt:i4>
      </vt:variant>
      <vt:variant>
        <vt:i4>5</vt:i4>
      </vt:variant>
      <vt:variant>
        <vt:lpwstr/>
      </vt:variant>
      <vt:variant>
        <vt:lpwstr>Duloxetine</vt:lpwstr>
      </vt:variant>
      <vt:variant>
        <vt:i4>4718714</vt:i4>
      </vt:variant>
      <vt:variant>
        <vt:i4>2690</vt:i4>
      </vt:variant>
      <vt:variant>
        <vt:i4>0</vt:i4>
      </vt:variant>
      <vt:variant>
        <vt:i4>5</vt:i4>
      </vt:variant>
      <vt:variant>
        <vt:lpwstr/>
      </vt:variant>
      <vt:variant>
        <vt:lpwstr>Cyclobenzaprine_listing</vt:lpwstr>
      </vt:variant>
      <vt:variant>
        <vt:i4>6422650</vt:i4>
      </vt:variant>
      <vt:variant>
        <vt:i4>2687</vt:i4>
      </vt:variant>
      <vt:variant>
        <vt:i4>0</vt:i4>
      </vt:variant>
      <vt:variant>
        <vt:i4>5</vt:i4>
      </vt:variant>
      <vt:variant>
        <vt:lpwstr/>
      </vt:variant>
      <vt:variant>
        <vt:lpwstr>Musclerelaxants</vt:lpwstr>
      </vt:variant>
      <vt:variant>
        <vt:i4>5701671</vt:i4>
      </vt:variant>
      <vt:variant>
        <vt:i4>2684</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Kinkade</vt:lpwstr>
      </vt:variant>
      <vt:variant>
        <vt:i4>8126573</vt:i4>
      </vt:variant>
      <vt:variant>
        <vt:i4>2681</vt:i4>
      </vt:variant>
      <vt:variant>
        <vt:i4>0</vt:i4>
      </vt:variant>
      <vt:variant>
        <vt:i4>5</vt:i4>
      </vt:variant>
      <vt:variant>
        <vt:lpwstr/>
      </vt:variant>
      <vt:variant>
        <vt:lpwstr>Numberneededtotreat</vt:lpwstr>
      </vt:variant>
      <vt:variant>
        <vt:i4>589834</vt:i4>
      </vt:variant>
      <vt:variant>
        <vt:i4>2678</vt:i4>
      </vt:variant>
      <vt:variant>
        <vt:i4>0</vt:i4>
      </vt:variant>
      <vt:variant>
        <vt:i4>5</vt:i4>
      </vt:variant>
      <vt:variant>
        <vt:lpwstr/>
      </vt:variant>
      <vt:variant>
        <vt:lpwstr>AntidepressantsSSRIsversustricyclics</vt:lpwstr>
      </vt:variant>
      <vt:variant>
        <vt:i4>8061047</vt:i4>
      </vt:variant>
      <vt:variant>
        <vt:i4>2675</vt:i4>
      </vt:variant>
      <vt:variant>
        <vt:i4>0</vt:i4>
      </vt:variant>
      <vt:variant>
        <vt:i4>5</vt:i4>
      </vt:variant>
      <vt:variant>
        <vt:lpwstr/>
      </vt:variant>
      <vt:variant>
        <vt:lpwstr>Tofferi</vt:lpwstr>
      </vt:variant>
      <vt:variant>
        <vt:i4>983062</vt:i4>
      </vt:variant>
      <vt:variant>
        <vt:i4>2672</vt:i4>
      </vt:variant>
      <vt:variant>
        <vt:i4>0</vt:i4>
      </vt:variant>
      <vt:variant>
        <vt:i4>5</vt:i4>
      </vt:variant>
      <vt:variant>
        <vt:lpwstr/>
      </vt:variant>
      <vt:variant>
        <vt:lpwstr>ClinicalPharmacology</vt:lpwstr>
      </vt:variant>
      <vt:variant>
        <vt:i4>720909</vt:i4>
      </vt:variant>
      <vt:variant>
        <vt:i4>2669</vt:i4>
      </vt:variant>
      <vt:variant>
        <vt:i4>0</vt:i4>
      </vt:variant>
      <vt:variant>
        <vt:i4>5</vt:i4>
      </vt:variant>
      <vt:variant>
        <vt:lpwstr/>
      </vt:variant>
      <vt:variant>
        <vt:lpwstr>Browning</vt:lpwstr>
      </vt:variant>
      <vt:variant>
        <vt:i4>851990</vt:i4>
      </vt:variant>
      <vt:variant>
        <vt:i4>2666</vt:i4>
      </vt:variant>
      <vt:variant>
        <vt:i4>0</vt:i4>
      </vt:variant>
      <vt:variant>
        <vt:i4>5</vt:i4>
      </vt:variant>
      <vt:variant>
        <vt:lpwstr/>
      </vt:variant>
      <vt:variant>
        <vt:lpwstr>Medicationsforsubacutechronicpain</vt:lpwstr>
      </vt:variant>
      <vt:variant>
        <vt:i4>1638416</vt:i4>
      </vt:variant>
      <vt:variant>
        <vt:i4>2663</vt:i4>
      </vt:variant>
      <vt:variant>
        <vt:i4>0</vt:i4>
      </vt:variant>
      <vt:variant>
        <vt:i4>5</vt:i4>
      </vt:variant>
      <vt:variant>
        <vt:lpwstr/>
      </vt:variant>
      <vt:variant>
        <vt:lpwstr>Sympatheticallymaintainedpain</vt:lpwstr>
      </vt:variant>
      <vt:variant>
        <vt:i4>1441820</vt:i4>
      </vt:variant>
      <vt:variant>
        <vt:i4>2660</vt:i4>
      </vt:variant>
      <vt:variant>
        <vt:i4>0</vt:i4>
      </vt:variant>
      <vt:variant>
        <vt:i4>5</vt:i4>
      </vt:variant>
      <vt:variant>
        <vt:lpwstr/>
      </vt:variant>
      <vt:variant>
        <vt:lpwstr>Intravenousregionalsympatheticblocks</vt:lpwstr>
      </vt:variant>
      <vt:variant>
        <vt:i4>196611</vt:i4>
      </vt:variant>
      <vt:variant>
        <vt:i4>2657</vt:i4>
      </vt:variant>
      <vt:variant>
        <vt:i4>0</vt:i4>
      </vt:variant>
      <vt:variant>
        <vt:i4>5</vt:i4>
      </vt:variant>
      <vt:variant>
        <vt:lpwstr/>
      </vt:variant>
      <vt:variant>
        <vt:lpwstr>CRPSsympatheticandepiduralblocks</vt:lpwstr>
      </vt:variant>
      <vt:variant>
        <vt:i4>7012450</vt:i4>
      </vt:variant>
      <vt:variant>
        <vt:i4>2654</vt:i4>
      </vt:variant>
      <vt:variant>
        <vt:i4>0</vt:i4>
      </vt:variant>
      <vt:variant>
        <vt:i4>5</vt:i4>
      </vt:variant>
      <vt:variant>
        <vt:lpwstr/>
      </vt:variant>
      <vt:variant>
        <vt:lpwstr>CRPSmedications</vt:lpwstr>
      </vt:variant>
      <vt:variant>
        <vt:i4>6488163</vt:i4>
      </vt:variant>
      <vt:variant>
        <vt:i4>2651</vt:i4>
      </vt:variant>
      <vt:variant>
        <vt:i4>0</vt:i4>
      </vt:variant>
      <vt:variant>
        <vt:i4>5</vt:i4>
      </vt:variant>
      <vt:variant>
        <vt:lpwstr/>
      </vt:variant>
      <vt:variant>
        <vt:lpwstr>CRPSpathophysiology</vt:lpwstr>
      </vt:variant>
      <vt:variant>
        <vt:i4>720920</vt:i4>
      </vt:variant>
      <vt:variant>
        <vt:i4>2648</vt:i4>
      </vt:variant>
      <vt:variant>
        <vt:i4>0</vt:i4>
      </vt:variant>
      <vt:variant>
        <vt:i4>5</vt:i4>
      </vt:variant>
      <vt:variant>
        <vt:lpwstr/>
      </vt:variant>
      <vt:variant>
        <vt:lpwstr>CRPSspinalcordstimulators</vt:lpwstr>
      </vt:variant>
      <vt:variant>
        <vt:i4>8060975</vt:i4>
      </vt:variant>
      <vt:variant>
        <vt:i4>2645</vt:i4>
      </vt:variant>
      <vt:variant>
        <vt:i4>0</vt:i4>
      </vt:variant>
      <vt:variant>
        <vt:i4>5</vt:i4>
      </vt:variant>
      <vt:variant>
        <vt:lpwstr/>
      </vt:variant>
      <vt:variant>
        <vt:lpwstr>vanRijn2009</vt:lpwstr>
      </vt:variant>
      <vt:variant>
        <vt:i4>7012463</vt:i4>
      </vt:variant>
      <vt:variant>
        <vt:i4>2642</vt:i4>
      </vt:variant>
      <vt:variant>
        <vt:i4>0</vt:i4>
      </vt:variant>
      <vt:variant>
        <vt:i4>5</vt:i4>
      </vt:variant>
      <vt:variant>
        <vt:lpwstr/>
      </vt:variant>
      <vt:variant>
        <vt:lpwstr>vanderPlas2013</vt:lpwstr>
      </vt:variant>
      <vt:variant>
        <vt:i4>1835030</vt:i4>
      </vt:variant>
      <vt:variant>
        <vt:i4>2639</vt:i4>
      </vt:variant>
      <vt:variant>
        <vt:i4>0</vt:i4>
      </vt:variant>
      <vt:variant>
        <vt:i4>5</vt:i4>
      </vt:variant>
      <vt:variant>
        <vt:lpwstr/>
      </vt:variant>
      <vt:variant>
        <vt:lpwstr>Tran2010</vt:lpwstr>
      </vt:variant>
      <vt:variant>
        <vt:i4>6815868</vt:i4>
      </vt:variant>
      <vt:variant>
        <vt:i4>2636</vt:i4>
      </vt:variant>
      <vt:variant>
        <vt:i4>0</vt:i4>
      </vt:variant>
      <vt:variant>
        <vt:i4>5</vt:i4>
      </vt:variant>
      <vt:variant>
        <vt:lpwstr/>
      </vt:variant>
      <vt:variant>
        <vt:lpwstr>Harden2013</vt:lpwstr>
      </vt:variant>
      <vt:variant>
        <vt:i4>655445</vt:i4>
      </vt:variant>
      <vt:variant>
        <vt:i4>2633</vt:i4>
      </vt:variant>
      <vt:variant>
        <vt:i4>0</vt:i4>
      </vt:variant>
      <vt:variant>
        <vt:i4>5</vt:i4>
      </vt:variant>
      <vt:variant>
        <vt:lpwstr/>
      </vt:variant>
      <vt:variant>
        <vt:lpwstr>Rauck1993</vt:lpwstr>
      </vt:variant>
      <vt:variant>
        <vt:i4>1441820</vt:i4>
      </vt:variant>
      <vt:variant>
        <vt:i4>2630</vt:i4>
      </vt:variant>
      <vt:variant>
        <vt:i4>0</vt:i4>
      </vt:variant>
      <vt:variant>
        <vt:i4>5</vt:i4>
      </vt:variant>
      <vt:variant>
        <vt:lpwstr/>
      </vt:variant>
      <vt:variant>
        <vt:lpwstr>Intravenousregionalsympatheticblocks</vt:lpwstr>
      </vt:variant>
      <vt:variant>
        <vt:i4>196611</vt:i4>
      </vt:variant>
      <vt:variant>
        <vt:i4>2627</vt:i4>
      </vt:variant>
      <vt:variant>
        <vt:i4>0</vt:i4>
      </vt:variant>
      <vt:variant>
        <vt:i4>5</vt:i4>
      </vt:variant>
      <vt:variant>
        <vt:lpwstr/>
      </vt:variant>
      <vt:variant>
        <vt:lpwstr>CRPSsympatheticandepiduralblocks</vt:lpwstr>
      </vt:variant>
      <vt:variant>
        <vt:i4>8</vt:i4>
      </vt:variant>
      <vt:variant>
        <vt:i4>2624</vt:i4>
      </vt:variant>
      <vt:variant>
        <vt:i4>0</vt:i4>
      </vt:variant>
      <vt:variant>
        <vt:i4>5</vt:i4>
      </vt:variant>
      <vt:variant>
        <vt:lpwstr/>
      </vt:variant>
      <vt:variant>
        <vt:lpwstr>CRPSsympathectomy</vt:lpwstr>
      </vt:variant>
      <vt:variant>
        <vt:i4>6815868</vt:i4>
      </vt:variant>
      <vt:variant>
        <vt:i4>2621</vt:i4>
      </vt:variant>
      <vt:variant>
        <vt:i4>0</vt:i4>
      </vt:variant>
      <vt:variant>
        <vt:i4>5</vt:i4>
      </vt:variant>
      <vt:variant>
        <vt:lpwstr/>
      </vt:variant>
      <vt:variant>
        <vt:lpwstr>Harden2013</vt:lpwstr>
      </vt:variant>
      <vt:variant>
        <vt:i4>196611</vt:i4>
      </vt:variant>
      <vt:variant>
        <vt:i4>2618</vt:i4>
      </vt:variant>
      <vt:variant>
        <vt:i4>0</vt:i4>
      </vt:variant>
      <vt:variant>
        <vt:i4>5</vt:i4>
      </vt:variant>
      <vt:variant>
        <vt:lpwstr/>
      </vt:variant>
      <vt:variant>
        <vt:lpwstr>CRPSsympatheticandepiduralblocks</vt:lpwstr>
      </vt:variant>
      <vt:variant>
        <vt:i4>7012450</vt:i4>
      </vt:variant>
      <vt:variant>
        <vt:i4>2615</vt:i4>
      </vt:variant>
      <vt:variant>
        <vt:i4>0</vt:i4>
      </vt:variant>
      <vt:variant>
        <vt:i4>5</vt:i4>
      </vt:variant>
      <vt:variant>
        <vt:lpwstr/>
      </vt:variant>
      <vt:variant>
        <vt:lpwstr>CRPSmedications</vt:lpwstr>
      </vt:variant>
      <vt:variant>
        <vt:i4>7405613</vt:i4>
      </vt:variant>
      <vt:variant>
        <vt:i4>2612</vt:i4>
      </vt:variant>
      <vt:variant>
        <vt:i4>0</vt:i4>
      </vt:variant>
      <vt:variant>
        <vt:i4>5</vt:i4>
      </vt:variant>
      <vt:variant>
        <vt:lpwstr/>
      </vt:variant>
      <vt:variant>
        <vt:lpwstr>Hsu2009</vt:lpwstr>
      </vt:variant>
      <vt:variant>
        <vt:i4>7209011</vt:i4>
      </vt:variant>
      <vt:variant>
        <vt:i4>2609</vt:i4>
      </vt:variant>
      <vt:variant>
        <vt:i4>0</vt:i4>
      </vt:variant>
      <vt:variant>
        <vt:i4>5</vt:i4>
      </vt:variant>
      <vt:variant>
        <vt:lpwstr/>
      </vt:variant>
      <vt:variant>
        <vt:lpwstr>Albazaz2008</vt:lpwstr>
      </vt:variant>
      <vt:variant>
        <vt:i4>786501</vt:i4>
      </vt:variant>
      <vt:variant>
        <vt:i4>2606</vt:i4>
      </vt:variant>
      <vt:variant>
        <vt:i4>0</vt:i4>
      </vt:variant>
      <vt:variant>
        <vt:i4>5</vt:i4>
      </vt:variant>
      <vt:variant>
        <vt:lpwstr/>
      </vt:variant>
      <vt:variant>
        <vt:lpwstr>Singh2004</vt:lpwstr>
      </vt:variant>
      <vt:variant>
        <vt:i4>6815868</vt:i4>
      </vt:variant>
      <vt:variant>
        <vt:i4>2603</vt:i4>
      </vt:variant>
      <vt:variant>
        <vt:i4>0</vt:i4>
      </vt:variant>
      <vt:variant>
        <vt:i4>5</vt:i4>
      </vt:variant>
      <vt:variant>
        <vt:lpwstr/>
      </vt:variant>
      <vt:variant>
        <vt:lpwstr>Harden2013</vt:lpwstr>
      </vt:variant>
      <vt:variant>
        <vt:i4>458753</vt:i4>
      </vt:variant>
      <vt:variant>
        <vt:i4>2600</vt:i4>
      </vt:variant>
      <vt:variant>
        <vt:i4>0</vt:i4>
      </vt:variant>
      <vt:variant>
        <vt:i4>5</vt:i4>
      </vt:variant>
      <vt:variant>
        <vt:lpwstr/>
      </vt:variant>
      <vt:variant>
        <vt:lpwstr>OConnell2013</vt:lpwstr>
      </vt:variant>
      <vt:variant>
        <vt:i4>851978</vt:i4>
      </vt:variant>
      <vt:variant>
        <vt:i4>2597</vt:i4>
      </vt:variant>
      <vt:variant>
        <vt:i4>0</vt:i4>
      </vt:variant>
      <vt:variant>
        <vt:i4>5</vt:i4>
      </vt:variant>
      <vt:variant>
        <vt:lpwstr/>
      </vt:variant>
      <vt:variant>
        <vt:lpwstr>StantonHicks2</vt:lpwstr>
      </vt:variant>
      <vt:variant>
        <vt:i4>7929973</vt:i4>
      </vt:variant>
      <vt:variant>
        <vt:i4>2594</vt:i4>
      </vt:variant>
      <vt:variant>
        <vt:i4>0</vt:i4>
      </vt:variant>
      <vt:variant>
        <vt:i4>5</vt:i4>
      </vt:variant>
      <vt:variant>
        <vt:lpwstr/>
      </vt:variant>
      <vt:variant>
        <vt:lpwstr>Ribbers</vt:lpwstr>
      </vt:variant>
      <vt:variant>
        <vt:i4>7143474</vt:i4>
      </vt:variant>
      <vt:variant>
        <vt:i4>2591</vt:i4>
      </vt:variant>
      <vt:variant>
        <vt:i4>0</vt:i4>
      </vt:variant>
      <vt:variant>
        <vt:i4>5</vt:i4>
      </vt:variant>
      <vt:variant>
        <vt:lpwstr/>
      </vt:variant>
      <vt:variant>
        <vt:lpwstr>vanEijs2011</vt:lpwstr>
      </vt:variant>
      <vt:variant>
        <vt:i4>196680</vt:i4>
      </vt:variant>
      <vt:variant>
        <vt:i4>2588</vt:i4>
      </vt:variant>
      <vt:variant>
        <vt:i4>0</vt:i4>
      </vt:variant>
      <vt:variant>
        <vt:i4>5</vt:i4>
      </vt:variant>
      <vt:variant>
        <vt:lpwstr/>
      </vt:variant>
      <vt:variant>
        <vt:lpwstr>Perez2010</vt:lpwstr>
      </vt:variant>
      <vt:variant>
        <vt:i4>6815858</vt:i4>
      </vt:variant>
      <vt:variant>
        <vt:i4>2585</vt:i4>
      </vt:variant>
      <vt:variant>
        <vt:i4>0</vt:i4>
      </vt:variant>
      <vt:variant>
        <vt:i4>5</vt:i4>
      </vt:variant>
      <vt:variant>
        <vt:lpwstr/>
      </vt:variant>
      <vt:variant>
        <vt:lpwstr>Rho</vt:lpwstr>
      </vt:variant>
      <vt:variant>
        <vt:i4>8192101</vt:i4>
      </vt:variant>
      <vt:variant>
        <vt:i4>2582</vt:i4>
      </vt:variant>
      <vt:variant>
        <vt:i4>0</vt:i4>
      </vt:variant>
      <vt:variant>
        <vt:i4>5</vt:i4>
      </vt:variant>
      <vt:variant>
        <vt:lpwstr/>
      </vt:variant>
      <vt:variant>
        <vt:lpwstr>Washington3</vt:lpwstr>
      </vt:variant>
      <vt:variant>
        <vt:i4>917529</vt:i4>
      </vt:variant>
      <vt:variant>
        <vt:i4>2579</vt:i4>
      </vt:variant>
      <vt:variant>
        <vt:i4>0</vt:i4>
      </vt:variant>
      <vt:variant>
        <vt:i4>5</vt:i4>
      </vt:variant>
      <vt:variant>
        <vt:lpwstr/>
      </vt:variant>
      <vt:variant>
        <vt:lpwstr>Colorado2</vt:lpwstr>
      </vt:variant>
      <vt:variant>
        <vt:i4>2031625</vt:i4>
      </vt:variant>
      <vt:variant>
        <vt:i4>2576</vt:i4>
      </vt:variant>
      <vt:variant>
        <vt:i4>0</vt:i4>
      </vt:variant>
      <vt:variant>
        <vt:i4>5</vt:i4>
      </vt:variant>
      <vt:variant>
        <vt:lpwstr/>
      </vt:variant>
      <vt:variant>
        <vt:lpwstr>International</vt:lpwstr>
      </vt:variant>
      <vt:variant>
        <vt:i4>851978</vt:i4>
      </vt:variant>
      <vt:variant>
        <vt:i4>2573</vt:i4>
      </vt:variant>
      <vt:variant>
        <vt:i4>0</vt:i4>
      </vt:variant>
      <vt:variant>
        <vt:i4>5</vt:i4>
      </vt:variant>
      <vt:variant>
        <vt:lpwstr/>
      </vt:variant>
      <vt:variant>
        <vt:lpwstr>StantonHicks2</vt:lpwstr>
      </vt:variant>
      <vt:variant>
        <vt:i4>851978</vt:i4>
      </vt:variant>
      <vt:variant>
        <vt:i4>2570</vt:i4>
      </vt:variant>
      <vt:variant>
        <vt:i4>0</vt:i4>
      </vt:variant>
      <vt:variant>
        <vt:i4>5</vt:i4>
      </vt:variant>
      <vt:variant>
        <vt:lpwstr/>
      </vt:variant>
      <vt:variant>
        <vt:lpwstr>StantonHicks3</vt:lpwstr>
      </vt:variant>
      <vt:variant>
        <vt:i4>7274623</vt:i4>
      </vt:variant>
      <vt:variant>
        <vt:i4>2567</vt:i4>
      </vt:variant>
      <vt:variant>
        <vt:i4>0</vt:i4>
      </vt:variant>
      <vt:variant>
        <vt:i4>5</vt:i4>
      </vt:variant>
      <vt:variant>
        <vt:lpwstr/>
      </vt:variant>
      <vt:variant>
        <vt:lpwstr>Burton</vt:lpwstr>
      </vt:variant>
      <vt:variant>
        <vt:i4>10354774</vt:i4>
      </vt:variant>
      <vt:variant>
        <vt:i4>2564</vt:i4>
      </vt:variant>
      <vt:variant>
        <vt:i4>0</vt:i4>
      </vt:variant>
      <vt:variant>
        <vt:i4>5</vt:i4>
      </vt:variant>
      <vt:variant>
        <vt:lpwstr/>
      </vt:variant>
      <vt:variant>
        <vt:lpwstr>Schürmann2001</vt:lpwstr>
      </vt:variant>
      <vt:variant>
        <vt:i4>6946848</vt:i4>
      </vt:variant>
      <vt:variant>
        <vt:i4>2561</vt:i4>
      </vt:variant>
      <vt:variant>
        <vt:i4>0</vt:i4>
      </vt:variant>
      <vt:variant>
        <vt:i4>5</vt:i4>
      </vt:variant>
      <vt:variant>
        <vt:lpwstr/>
      </vt:variant>
      <vt:variant>
        <vt:lpwstr>Krumova2011</vt:lpwstr>
      </vt:variant>
      <vt:variant>
        <vt:i4>7143474</vt:i4>
      </vt:variant>
      <vt:variant>
        <vt:i4>2558</vt:i4>
      </vt:variant>
      <vt:variant>
        <vt:i4>0</vt:i4>
      </vt:variant>
      <vt:variant>
        <vt:i4>5</vt:i4>
      </vt:variant>
      <vt:variant>
        <vt:lpwstr/>
      </vt:variant>
      <vt:variant>
        <vt:lpwstr>vanEijs2012</vt:lpwstr>
      </vt:variant>
      <vt:variant>
        <vt:i4>7864429</vt:i4>
      </vt:variant>
      <vt:variant>
        <vt:i4>2555</vt:i4>
      </vt:variant>
      <vt:variant>
        <vt:i4>0</vt:i4>
      </vt:variant>
      <vt:variant>
        <vt:i4>5</vt:i4>
      </vt:variant>
      <vt:variant>
        <vt:lpwstr/>
      </vt:variant>
      <vt:variant>
        <vt:lpwstr>Nelson</vt:lpwstr>
      </vt:variant>
      <vt:variant>
        <vt:i4>1507339</vt:i4>
      </vt:variant>
      <vt:variant>
        <vt:i4>2552</vt:i4>
      </vt:variant>
      <vt:variant>
        <vt:i4>0</vt:i4>
      </vt:variant>
      <vt:variant>
        <vt:i4>5</vt:i4>
      </vt:variant>
      <vt:variant>
        <vt:lpwstr/>
      </vt:variant>
      <vt:variant>
        <vt:lpwstr>Hartrick</vt:lpwstr>
      </vt:variant>
      <vt:variant>
        <vt:i4>1638416</vt:i4>
      </vt:variant>
      <vt:variant>
        <vt:i4>2549</vt:i4>
      </vt:variant>
      <vt:variant>
        <vt:i4>0</vt:i4>
      </vt:variant>
      <vt:variant>
        <vt:i4>5</vt:i4>
      </vt:variant>
      <vt:variant>
        <vt:lpwstr/>
      </vt:variant>
      <vt:variant>
        <vt:lpwstr>Sympatheticallymaintainedpain</vt:lpwstr>
      </vt:variant>
      <vt:variant>
        <vt:i4>7143474</vt:i4>
      </vt:variant>
      <vt:variant>
        <vt:i4>2546</vt:i4>
      </vt:variant>
      <vt:variant>
        <vt:i4>0</vt:i4>
      </vt:variant>
      <vt:variant>
        <vt:i4>5</vt:i4>
      </vt:variant>
      <vt:variant>
        <vt:lpwstr/>
      </vt:variant>
      <vt:variant>
        <vt:lpwstr>vanEijs2012</vt:lpwstr>
      </vt:variant>
      <vt:variant>
        <vt:i4>8061055</vt:i4>
      </vt:variant>
      <vt:variant>
        <vt:i4>2543</vt:i4>
      </vt:variant>
      <vt:variant>
        <vt:i4>0</vt:i4>
      </vt:variant>
      <vt:variant>
        <vt:i4>5</vt:i4>
      </vt:variant>
      <vt:variant>
        <vt:lpwstr/>
      </vt:variant>
      <vt:variant>
        <vt:lpwstr>Sharma</vt:lpwstr>
      </vt:variant>
      <vt:variant>
        <vt:i4>4653076</vt:i4>
      </vt:variant>
      <vt:variant>
        <vt:i4>2540</vt:i4>
      </vt:variant>
      <vt:variant>
        <vt:i4>0</vt:i4>
      </vt:variant>
      <vt:variant>
        <vt:i4>5</vt:i4>
      </vt:variant>
      <vt:variant>
        <vt:lpwstr/>
      </vt:variant>
      <vt:variant>
        <vt:lpwstr>Forouzanfar2</vt:lpwstr>
      </vt:variant>
      <vt:variant>
        <vt:i4>6488181</vt:i4>
      </vt:variant>
      <vt:variant>
        <vt:i4>2537</vt:i4>
      </vt:variant>
      <vt:variant>
        <vt:i4>0</vt:i4>
      </vt:variant>
      <vt:variant>
        <vt:i4>5</vt:i4>
      </vt:variant>
      <vt:variant>
        <vt:lpwstr/>
      </vt:variant>
      <vt:variant>
        <vt:lpwstr>Cepeda2002</vt:lpwstr>
      </vt:variant>
      <vt:variant>
        <vt:i4>6750313</vt:i4>
      </vt:variant>
      <vt:variant>
        <vt:i4>2534</vt:i4>
      </vt:variant>
      <vt:variant>
        <vt:i4>0</vt:i4>
      </vt:variant>
      <vt:variant>
        <vt:i4>5</vt:i4>
      </vt:variant>
      <vt:variant>
        <vt:lpwstr/>
      </vt:variant>
      <vt:variant>
        <vt:lpwstr>Grabow2</vt:lpwstr>
      </vt:variant>
      <vt:variant>
        <vt:i4>1507339</vt:i4>
      </vt:variant>
      <vt:variant>
        <vt:i4>2531</vt:i4>
      </vt:variant>
      <vt:variant>
        <vt:i4>0</vt:i4>
      </vt:variant>
      <vt:variant>
        <vt:i4>5</vt:i4>
      </vt:variant>
      <vt:variant>
        <vt:lpwstr/>
      </vt:variant>
      <vt:variant>
        <vt:lpwstr>Hartrick</vt:lpwstr>
      </vt:variant>
      <vt:variant>
        <vt:i4>6357111</vt:i4>
      </vt:variant>
      <vt:variant>
        <vt:i4>2528</vt:i4>
      </vt:variant>
      <vt:variant>
        <vt:i4>0</vt:i4>
      </vt:variant>
      <vt:variant>
        <vt:i4>5</vt:i4>
      </vt:variant>
      <vt:variant>
        <vt:lpwstr/>
      </vt:variant>
      <vt:variant>
        <vt:lpwstr>Cepeda</vt:lpwstr>
      </vt:variant>
      <vt:variant>
        <vt:i4>589846</vt:i4>
      </vt:variant>
      <vt:variant>
        <vt:i4>2525</vt:i4>
      </vt:variant>
      <vt:variant>
        <vt:i4>0</vt:i4>
      </vt:variant>
      <vt:variant>
        <vt:i4>5</vt:i4>
      </vt:variant>
      <vt:variant>
        <vt:lpwstr/>
      </vt:variant>
      <vt:variant>
        <vt:lpwstr>Varrassi</vt:lpwstr>
      </vt:variant>
      <vt:variant>
        <vt:i4>7864429</vt:i4>
      </vt:variant>
      <vt:variant>
        <vt:i4>2522</vt:i4>
      </vt:variant>
      <vt:variant>
        <vt:i4>0</vt:i4>
      </vt:variant>
      <vt:variant>
        <vt:i4>5</vt:i4>
      </vt:variant>
      <vt:variant>
        <vt:lpwstr/>
      </vt:variant>
      <vt:variant>
        <vt:lpwstr>Nelson</vt:lpwstr>
      </vt:variant>
      <vt:variant>
        <vt:i4>7143474</vt:i4>
      </vt:variant>
      <vt:variant>
        <vt:i4>2519</vt:i4>
      </vt:variant>
      <vt:variant>
        <vt:i4>0</vt:i4>
      </vt:variant>
      <vt:variant>
        <vt:i4>5</vt:i4>
      </vt:variant>
      <vt:variant>
        <vt:lpwstr/>
      </vt:variant>
      <vt:variant>
        <vt:lpwstr>vanEijs2011</vt:lpwstr>
      </vt:variant>
      <vt:variant>
        <vt:i4>196680</vt:i4>
      </vt:variant>
      <vt:variant>
        <vt:i4>2516</vt:i4>
      </vt:variant>
      <vt:variant>
        <vt:i4>0</vt:i4>
      </vt:variant>
      <vt:variant>
        <vt:i4>5</vt:i4>
      </vt:variant>
      <vt:variant>
        <vt:lpwstr/>
      </vt:variant>
      <vt:variant>
        <vt:lpwstr>Perez2010</vt:lpwstr>
      </vt:variant>
      <vt:variant>
        <vt:i4>7143474</vt:i4>
      </vt:variant>
      <vt:variant>
        <vt:i4>2513</vt:i4>
      </vt:variant>
      <vt:variant>
        <vt:i4>0</vt:i4>
      </vt:variant>
      <vt:variant>
        <vt:i4>5</vt:i4>
      </vt:variant>
      <vt:variant>
        <vt:lpwstr/>
      </vt:variant>
      <vt:variant>
        <vt:lpwstr>vanEijs2012</vt:lpwstr>
      </vt:variant>
      <vt:variant>
        <vt:i4>1835030</vt:i4>
      </vt:variant>
      <vt:variant>
        <vt:i4>2510</vt:i4>
      </vt:variant>
      <vt:variant>
        <vt:i4>0</vt:i4>
      </vt:variant>
      <vt:variant>
        <vt:i4>5</vt:i4>
      </vt:variant>
      <vt:variant>
        <vt:lpwstr/>
      </vt:variant>
      <vt:variant>
        <vt:lpwstr>Tran2010</vt:lpwstr>
      </vt:variant>
      <vt:variant>
        <vt:i4>458753</vt:i4>
      </vt:variant>
      <vt:variant>
        <vt:i4>2507</vt:i4>
      </vt:variant>
      <vt:variant>
        <vt:i4>0</vt:i4>
      </vt:variant>
      <vt:variant>
        <vt:i4>5</vt:i4>
      </vt:variant>
      <vt:variant>
        <vt:lpwstr/>
      </vt:variant>
      <vt:variant>
        <vt:lpwstr>OConnell2013</vt:lpwstr>
      </vt:variant>
      <vt:variant>
        <vt:i4>7274558</vt:i4>
      </vt:variant>
      <vt:variant>
        <vt:i4>2504</vt:i4>
      </vt:variant>
      <vt:variant>
        <vt:i4>0</vt:i4>
      </vt:variant>
      <vt:variant>
        <vt:i4>5</vt:i4>
      </vt:variant>
      <vt:variant>
        <vt:lpwstr/>
      </vt:variant>
      <vt:variant>
        <vt:lpwstr>Dworkin2013</vt:lpwstr>
      </vt:variant>
      <vt:variant>
        <vt:i4>1835030</vt:i4>
      </vt:variant>
      <vt:variant>
        <vt:i4>2501</vt:i4>
      </vt:variant>
      <vt:variant>
        <vt:i4>0</vt:i4>
      </vt:variant>
      <vt:variant>
        <vt:i4>5</vt:i4>
      </vt:variant>
      <vt:variant>
        <vt:lpwstr/>
      </vt:variant>
      <vt:variant>
        <vt:lpwstr>Tran2010</vt:lpwstr>
      </vt:variant>
      <vt:variant>
        <vt:i4>458753</vt:i4>
      </vt:variant>
      <vt:variant>
        <vt:i4>2498</vt:i4>
      </vt:variant>
      <vt:variant>
        <vt:i4>0</vt:i4>
      </vt:variant>
      <vt:variant>
        <vt:i4>5</vt:i4>
      </vt:variant>
      <vt:variant>
        <vt:lpwstr/>
      </vt:variant>
      <vt:variant>
        <vt:lpwstr>OConnell2013</vt:lpwstr>
      </vt:variant>
      <vt:variant>
        <vt:i4>7274558</vt:i4>
      </vt:variant>
      <vt:variant>
        <vt:i4>2495</vt:i4>
      </vt:variant>
      <vt:variant>
        <vt:i4>0</vt:i4>
      </vt:variant>
      <vt:variant>
        <vt:i4>5</vt:i4>
      </vt:variant>
      <vt:variant>
        <vt:lpwstr/>
      </vt:variant>
      <vt:variant>
        <vt:lpwstr>Dworkin2013</vt:lpwstr>
      </vt:variant>
      <vt:variant>
        <vt:i4>1114131</vt:i4>
      </vt:variant>
      <vt:variant>
        <vt:i4>2492</vt:i4>
      </vt:variant>
      <vt:variant>
        <vt:i4>0</vt:i4>
      </vt:variant>
      <vt:variant>
        <vt:i4>5</vt:i4>
      </vt:variant>
      <vt:variant>
        <vt:lpwstr/>
      </vt:variant>
      <vt:variant>
        <vt:lpwstr>CRPStreatment</vt:lpwstr>
      </vt:variant>
      <vt:variant>
        <vt:i4>1835030</vt:i4>
      </vt:variant>
      <vt:variant>
        <vt:i4>2489</vt:i4>
      </vt:variant>
      <vt:variant>
        <vt:i4>0</vt:i4>
      </vt:variant>
      <vt:variant>
        <vt:i4>5</vt:i4>
      </vt:variant>
      <vt:variant>
        <vt:lpwstr/>
      </vt:variant>
      <vt:variant>
        <vt:lpwstr>Tran2010</vt:lpwstr>
      </vt:variant>
      <vt:variant>
        <vt:i4>6815868</vt:i4>
      </vt:variant>
      <vt:variant>
        <vt:i4>2486</vt:i4>
      </vt:variant>
      <vt:variant>
        <vt:i4>0</vt:i4>
      </vt:variant>
      <vt:variant>
        <vt:i4>5</vt:i4>
      </vt:variant>
      <vt:variant>
        <vt:lpwstr/>
      </vt:variant>
      <vt:variant>
        <vt:lpwstr>Harden2013</vt:lpwstr>
      </vt:variant>
      <vt:variant>
        <vt:i4>196680</vt:i4>
      </vt:variant>
      <vt:variant>
        <vt:i4>2483</vt:i4>
      </vt:variant>
      <vt:variant>
        <vt:i4>0</vt:i4>
      </vt:variant>
      <vt:variant>
        <vt:i4>5</vt:i4>
      </vt:variant>
      <vt:variant>
        <vt:lpwstr/>
      </vt:variant>
      <vt:variant>
        <vt:lpwstr>Perez2010</vt:lpwstr>
      </vt:variant>
      <vt:variant>
        <vt:i4>6815868</vt:i4>
      </vt:variant>
      <vt:variant>
        <vt:i4>2480</vt:i4>
      </vt:variant>
      <vt:variant>
        <vt:i4>0</vt:i4>
      </vt:variant>
      <vt:variant>
        <vt:i4>5</vt:i4>
      </vt:variant>
      <vt:variant>
        <vt:lpwstr/>
      </vt:variant>
      <vt:variant>
        <vt:lpwstr>Harden2013</vt:lpwstr>
      </vt:variant>
      <vt:variant>
        <vt:i4>6684773</vt:i4>
      </vt:variant>
      <vt:variant>
        <vt:i4>2477</vt:i4>
      </vt:variant>
      <vt:variant>
        <vt:i4>0</vt:i4>
      </vt:variant>
      <vt:variant>
        <vt:i4>5</vt:i4>
      </vt:variant>
      <vt:variant>
        <vt:lpwstr/>
      </vt:variant>
      <vt:variant>
        <vt:lpwstr>CRPSdiagnostictests</vt:lpwstr>
      </vt:variant>
      <vt:variant>
        <vt:i4>6815868</vt:i4>
      </vt:variant>
      <vt:variant>
        <vt:i4>2474</vt:i4>
      </vt:variant>
      <vt:variant>
        <vt:i4>0</vt:i4>
      </vt:variant>
      <vt:variant>
        <vt:i4>5</vt:i4>
      </vt:variant>
      <vt:variant>
        <vt:lpwstr/>
      </vt:variant>
      <vt:variant>
        <vt:lpwstr>Harden2013</vt:lpwstr>
      </vt:variant>
      <vt:variant>
        <vt:i4>720916</vt:i4>
      </vt:variant>
      <vt:variant>
        <vt:i4>2471</vt:i4>
      </vt:variant>
      <vt:variant>
        <vt:i4>0</vt:i4>
      </vt:variant>
      <vt:variant>
        <vt:i4>5</vt:i4>
      </vt:variant>
      <vt:variant>
        <vt:lpwstr/>
      </vt:variant>
      <vt:variant>
        <vt:lpwstr>Functionalimprovementmeasures</vt:lpwstr>
      </vt:variant>
      <vt:variant>
        <vt:i4>393240</vt:i4>
      </vt:variant>
      <vt:variant>
        <vt:i4>2468</vt:i4>
      </vt:variant>
      <vt:variant>
        <vt:i4>0</vt:i4>
      </vt:variant>
      <vt:variant>
        <vt:i4>5</vt:i4>
      </vt:variant>
      <vt:variant>
        <vt:lpwstr/>
      </vt:variant>
      <vt:variant>
        <vt:lpwstr>Hospitallengthofstay</vt:lpwstr>
      </vt:variant>
      <vt:variant>
        <vt:i4>917529</vt:i4>
      </vt:variant>
      <vt:variant>
        <vt:i4>2465</vt:i4>
      </vt:variant>
      <vt:variant>
        <vt:i4>0</vt:i4>
      </vt:variant>
      <vt:variant>
        <vt:i4>5</vt:i4>
      </vt:variant>
      <vt:variant>
        <vt:lpwstr/>
      </vt:variant>
      <vt:variant>
        <vt:lpwstr>Colorado2</vt:lpwstr>
      </vt:variant>
      <vt:variant>
        <vt:i4>8257645</vt:i4>
      </vt:variant>
      <vt:variant>
        <vt:i4>2462</vt:i4>
      </vt:variant>
      <vt:variant>
        <vt:i4>0</vt:i4>
      </vt:variant>
      <vt:variant>
        <vt:i4>5</vt:i4>
      </vt:variant>
      <vt:variant>
        <vt:lpwstr/>
      </vt:variant>
      <vt:variant>
        <vt:lpwstr>Mailis</vt:lpwstr>
      </vt:variant>
      <vt:variant>
        <vt:i4>7798901</vt:i4>
      </vt:variant>
      <vt:variant>
        <vt:i4>2459</vt:i4>
      </vt:variant>
      <vt:variant>
        <vt:i4>0</vt:i4>
      </vt:variant>
      <vt:variant>
        <vt:i4>5</vt:i4>
      </vt:variant>
      <vt:variant>
        <vt:lpwstr/>
      </vt:variant>
      <vt:variant>
        <vt:lpwstr>Furlan2</vt:lpwstr>
      </vt:variant>
      <vt:variant>
        <vt:i4>393240</vt:i4>
      </vt:variant>
      <vt:variant>
        <vt:i4>2456</vt:i4>
      </vt:variant>
      <vt:variant>
        <vt:i4>0</vt:i4>
      </vt:variant>
      <vt:variant>
        <vt:i4>5</vt:i4>
      </vt:variant>
      <vt:variant>
        <vt:lpwstr/>
      </vt:variant>
      <vt:variant>
        <vt:lpwstr>Hospitallengthofstay</vt:lpwstr>
      </vt:variant>
      <vt:variant>
        <vt:i4>655371</vt:i4>
      </vt:variant>
      <vt:variant>
        <vt:i4>2453</vt:i4>
      </vt:variant>
      <vt:variant>
        <vt:i4>0</vt:i4>
      </vt:variant>
      <vt:variant>
        <vt:i4>5</vt:i4>
      </vt:variant>
      <vt:variant>
        <vt:lpwstr/>
      </vt:variant>
      <vt:variant>
        <vt:lpwstr>SpinalCordStimulators</vt:lpwstr>
      </vt:variant>
      <vt:variant>
        <vt:i4>655386</vt:i4>
      </vt:variant>
      <vt:variant>
        <vt:i4>2450</vt:i4>
      </vt:variant>
      <vt:variant>
        <vt:i4>0</vt:i4>
      </vt:variant>
      <vt:variant>
        <vt:i4>5</vt:i4>
      </vt:variant>
      <vt:variant>
        <vt:lpwstr/>
      </vt:variant>
      <vt:variant>
        <vt:lpwstr>Harke</vt:lpwstr>
      </vt:variant>
      <vt:variant>
        <vt:i4>8061027</vt:i4>
      </vt:variant>
      <vt:variant>
        <vt:i4>2447</vt:i4>
      </vt:variant>
      <vt:variant>
        <vt:i4>0</vt:i4>
      </vt:variant>
      <vt:variant>
        <vt:i4>5</vt:i4>
      </vt:variant>
      <vt:variant>
        <vt:lpwstr/>
      </vt:variant>
      <vt:variant>
        <vt:lpwstr>Kemler3</vt:lpwstr>
      </vt:variant>
      <vt:variant>
        <vt:i4>2031618</vt:i4>
      </vt:variant>
      <vt:variant>
        <vt:i4>2444</vt:i4>
      </vt:variant>
      <vt:variant>
        <vt:i4>0</vt:i4>
      </vt:variant>
      <vt:variant>
        <vt:i4>5</vt:i4>
      </vt:variant>
      <vt:variant>
        <vt:lpwstr/>
      </vt:variant>
      <vt:variant>
        <vt:lpwstr>MailisGagnon</vt:lpwstr>
      </vt:variant>
      <vt:variant>
        <vt:i4>851978</vt:i4>
      </vt:variant>
      <vt:variant>
        <vt:i4>2441</vt:i4>
      </vt:variant>
      <vt:variant>
        <vt:i4>0</vt:i4>
      </vt:variant>
      <vt:variant>
        <vt:i4>5</vt:i4>
      </vt:variant>
      <vt:variant>
        <vt:lpwstr/>
      </vt:variant>
      <vt:variant>
        <vt:lpwstr>StantonHicks2</vt:lpwstr>
      </vt:variant>
      <vt:variant>
        <vt:i4>8323170</vt:i4>
      </vt:variant>
      <vt:variant>
        <vt:i4>2438</vt:i4>
      </vt:variant>
      <vt:variant>
        <vt:i4>0</vt:i4>
      </vt:variant>
      <vt:variant>
        <vt:i4>5</vt:i4>
      </vt:variant>
      <vt:variant>
        <vt:lpwstr/>
      </vt:variant>
      <vt:variant>
        <vt:lpwstr>Taylor2</vt:lpwstr>
      </vt:variant>
      <vt:variant>
        <vt:i4>8061027</vt:i4>
      </vt:variant>
      <vt:variant>
        <vt:i4>2435</vt:i4>
      </vt:variant>
      <vt:variant>
        <vt:i4>0</vt:i4>
      </vt:variant>
      <vt:variant>
        <vt:i4>5</vt:i4>
      </vt:variant>
      <vt:variant>
        <vt:lpwstr/>
      </vt:variant>
      <vt:variant>
        <vt:lpwstr>Kemler7</vt:lpwstr>
      </vt:variant>
      <vt:variant>
        <vt:i4>8061027</vt:i4>
      </vt:variant>
      <vt:variant>
        <vt:i4>2432</vt:i4>
      </vt:variant>
      <vt:variant>
        <vt:i4>0</vt:i4>
      </vt:variant>
      <vt:variant>
        <vt:i4>5</vt:i4>
      </vt:variant>
      <vt:variant>
        <vt:lpwstr/>
      </vt:variant>
      <vt:variant>
        <vt:lpwstr>Kemler6</vt:lpwstr>
      </vt:variant>
      <vt:variant>
        <vt:i4>8061027</vt:i4>
      </vt:variant>
      <vt:variant>
        <vt:i4>2429</vt:i4>
      </vt:variant>
      <vt:variant>
        <vt:i4>0</vt:i4>
      </vt:variant>
      <vt:variant>
        <vt:i4>5</vt:i4>
      </vt:variant>
      <vt:variant>
        <vt:lpwstr/>
      </vt:variant>
      <vt:variant>
        <vt:lpwstr>Kemler4</vt:lpwstr>
      </vt:variant>
      <vt:variant>
        <vt:i4>6488163</vt:i4>
      </vt:variant>
      <vt:variant>
        <vt:i4>2426</vt:i4>
      </vt:variant>
      <vt:variant>
        <vt:i4>0</vt:i4>
      </vt:variant>
      <vt:variant>
        <vt:i4>5</vt:i4>
      </vt:variant>
      <vt:variant>
        <vt:lpwstr/>
      </vt:variant>
      <vt:variant>
        <vt:lpwstr>CRPSpathophysiology</vt:lpwstr>
      </vt:variant>
      <vt:variant>
        <vt:i4>196611</vt:i4>
      </vt:variant>
      <vt:variant>
        <vt:i4>2423</vt:i4>
      </vt:variant>
      <vt:variant>
        <vt:i4>0</vt:i4>
      </vt:variant>
      <vt:variant>
        <vt:i4>5</vt:i4>
      </vt:variant>
      <vt:variant>
        <vt:lpwstr/>
      </vt:variant>
      <vt:variant>
        <vt:lpwstr>CRPSsympatheticandepiduralblocks</vt:lpwstr>
      </vt:variant>
      <vt:variant>
        <vt:i4>7078008</vt:i4>
      </vt:variant>
      <vt:variant>
        <vt:i4>2420</vt:i4>
      </vt:variant>
      <vt:variant>
        <vt:i4>0</vt:i4>
      </vt:variant>
      <vt:variant>
        <vt:i4>5</vt:i4>
      </vt:variant>
      <vt:variant>
        <vt:lpwstr/>
      </vt:variant>
      <vt:variant>
        <vt:lpwstr>CRPSprevention</vt:lpwstr>
      </vt:variant>
      <vt:variant>
        <vt:i4>7012450</vt:i4>
      </vt:variant>
      <vt:variant>
        <vt:i4>2417</vt:i4>
      </vt:variant>
      <vt:variant>
        <vt:i4>0</vt:i4>
      </vt:variant>
      <vt:variant>
        <vt:i4>5</vt:i4>
      </vt:variant>
      <vt:variant>
        <vt:lpwstr/>
      </vt:variant>
      <vt:variant>
        <vt:lpwstr>CRPSmedications</vt:lpwstr>
      </vt:variant>
      <vt:variant>
        <vt:i4>1638416</vt:i4>
      </vt:variant>
      <vt:variant>
        <vt:i4>2414</vt:i4>
      </vt:variant>
      <vt:variant>
        <vt:i4>0</vt:i4>
      </vt:variant>
      <vt:variant>
        <vt:i4>5</vt:i4>
      </vt:variant>
      <vt:variant>
        <vt:lpwstr/>
      </vt:variant>
      <vt:variant>
        <vt:lpwstr>Sympatheticallymaintainedpain</vt:lpwstr>
      </vt:variant>
      <vt:variant>
        <vt:i4>1114131</vt:i4>
      </vt:variant>
      <vt:variant>
        <vt:i4>2411</vt:i4>
      </vt:variant>
      <vt:variant>
        <vt:i4>0</vt:i4>
      </vt:variant>
      <vt:variant>
        <vt:i4>5</vt:i4>
      </vt:variant>
      <vt:variant>
        <vt:lpwstr/>
      </vt:variant>
      <vt:variant>
        <vt:lpwstr>CRPStreatment</vt:lpwstr>
      </vt:variant>
      <vt:variant>
        <vt:i4>6488164</vt:i4>
      </vt:variant>
      <vt:variant>
        <vt:i4>2408</vt:i4>
      </vt:variant>
      <vt:variant>
        <vt:i4>0</vt:i4>
      </vt:variant>
      <vt:variant>
        <vt:i4>5</vt:i4>
      </vt:variant>
      <vt:variant>
        <vt:lpwstr/>
      </vt:variant>
      <vt:variant>
        <vt:lpwstr>Goebel2012</vt:lpwstr>
      </vt:variant>
      <vt:variant>
        <vt:i4>7798821</vt:i4>
      </vt:variant>
      <vt:variant>
        <vt:i4>2405</vt:i4>
      </vt:variant>
      <vt:variant>
        <vt:i4>0</vt:i4>
      </vt:variant>
      <vt:variant>
        <vt:i4>5</vt:i4>
      </vt:variant>
      <vt:variant>
        <vt:lpwstr/>
      </vt:variant>
      <vt:variant>
        <vt:lpwstr>Scarano1998</vt:lpwstr>
      </vt:variant>
      <vt:variant>
        <vt:i4>8061052</vt:i4>
      </vt:variant>
      <vt:variant>
        <vt:i4>2402</vt:i4>
      </vt:variant>
      <vt:variant>
        <vt:i4>0</vt:i4>
      </vt:variant>
      <vt:variant>
        <vt:i4>5</vt:i4>
      </vt:variant>
      <vt:variant>
        <vt:lpwstr/>
      </vt:variant>
      <vt:variant>
        <vt:lpwstr>Bruehl2010</vt:lpwstr>
      </vt:variant>
      <vt:variant>
        <vt:i4>524362</vt:i4>
      </vt:variant>
      <vt:variant>
        <vt:i4>2399</vt:i4>
      </vt:variant>
      <vt:variant>
        <vt:i4>0</vt:i4>
      </vt:variant>
      <vt:variant>
        <vt:i4>5</vt:i4>
      </vt:variant>
      <vt:variant>
        <vt:lpwstr/>
      </vt:variant>
      <vt:variant>
        <vt:lpwstr>deMos2009</vt:lpwstr>
      </vt:variant>
      <vt:variant>
        <vt:i4>7340066</vt:i4>
      </vt:variant>
      <vt:variant>
        <vt:i4>2396</vt:i4>
      </vt:variant>
      <vt:variant>
        <vt:i4>0</vt:i4>
      </vt:variant>
      <vt:variant>
        <vt:i4>5</vt:i4>
      </vt:variant>
      <vt:variant>
        <vt:lpwstr/>
      </vt:variant>
      <vt:variant>
        <vt:lpwstr>Beerthuizen2011</vt:lpwstr>
      </vt:variant>
      <vt:variant>
        <vt:i4>8257586</vt:i4>
      </vt:variant>
      <vt:variant>
        <vt:i4>2393</vt:i4>
      </vt:variant>
      <vt:variant>
        <vt:i4>0</vt:i4>
      </vt:variant>
      <vt:variant>
        <vt:i4>5</vt:i4>
      </vt:variant>
      <vt:variant>
        <vt:lpwstr/>
      </vt:variant>
      <vt:variant>
        <vt:lpwstr>Marinus2011</vt:lpwstr>
      </vt:variant>
      <vt:variant>
        <vt:i4>7405602</vt:i4>
      </vt:variant>
      <vt:variant>
        <vt:i4>2390</vt:i4>
      </vt:variant>
      <vt:variant>
        <vt:i4>0</vt:i4>
      </vt:variant>
      <vt:variant>
        <vt:i4>5</vt:i4>
      </vt:variant>
      <vt:variant>
        <vt:lpwstr/>
      </vt:variant>
      <vt:variant>
        <vt:lpwstr>Beerthuizen2009</vt:lpwstr>
      </vt:variant>
      <vt:variant>
        <vt:i4>524362</vt:i4>
      </vt:variant>
      <vt:variant>
        <vt:i4>2387</vt:i4>
      </vt:variant>
      <vt:variant>
        <vt:i4>0</vt:i4>
      </vt:variant>
      <vt:variant>
        <vt:i4>5</vt:i4>
      </vt:variant>
      <vt:variant>
        <vt:lpwstr/>
      </vt:variant>
      <vt:variant>
        <vt:lpwstr>deMos2009</vt:lpwstr>
      </vt:variant>
      <vt:variant>
        <vt:i4>393217</vt:i4>
      </vt:variant>
      <vt:variant>
        <vt:i4>2384</vt:i4>
      </vt:variant>
      <vt:variant>
        <vt:i4>0</vt:i4>
      </vt:variant>
      <vt:variant>
        <vt:i4>5</vt:i4>
      </vt:variant>
      <vt:variant>
        <vt:lpwstr/>
      </vt:variant>
      <vt:variant>
        <vt:lpwstr>Lang2010a</vt:lpwstr>
      </vt:variant>
      <vt:variant>
        <vt:i4>983126</vt:i4>
      </vt:variant>
      <vt:variant>
        <vt:i4>2381</vt:i4>
      </vt:variant>
      <vt:variant>
        <vt:i4>0</vt:i4>
      </vt:variant>
      <vt:variant>
        <vt:i4>5</vt:i4>
      </vt:variant>
      <vt:variant>
        <vt:lpwstr/>
      </vt:variant>
      <vt:variant>
        <vt:lpwstr>Ochoa2010</vt:lpwstr>
      </vt:variant>
      <vt:variant>
        <vt:i4>6553646</vt:i4>
      </vt:variant>
      <vt:variant>
        <vt:i4>2378</vt:i4>
      </vt:variant>
      <vt:variant>
        <vt:i4>0</vt:i4>
      </vt:variant>
      <vt:variant>
        <vt:i4>5</vt:i4>
      </vt:variant>
      <vt:variant>
        <vt:lpwstr/>
      </vt:variant>
      <vt:variant>
        <vt:lpwstr>Verdugo2000</vt:lpwstr>
      </vt:variant>
      <vt:variant>
        <vt:i4>7667833</vt:i4>
      </vt:variant>
      <vt:variant>
        <vt:i4>2375</vt:i4>
      </vt:variant>
      <vt:variant>
        <vt:i4>0</vt:i4>
      </vt:variant>
      <vt:variant>
        <vt:i4>5</vt:i4>
      </vt:variant>
      <vt:variant>
        <vt:lpwstr/>
      </vt:variant>
      <vt:variant>
        <vt:lpwstr>Hawley2011</vt:lpwstr>
      </vt:variant>
      <vt:variant>
        <vt:i4>8061052</vt:i4>
      </vt:variant>
      <vt:variant>
        <vt:i4>2372</vt:i4>
      </vt:variant>
      <vt:variant>
        <vt:i4>0</vt:i4>
      </vt:variant>
      <vt:variant>
        <vt:i4>5</vt:i4>
      </vt:variant>
      <vt:variant>
        <vt:lpwstr/>
      </vt:variant>
      <vt:variant>
        <vt:lpwstr>Bruehl2010</vt:lpwstr>
      </vt:variant>
      <vt:variant>
        <vt:i4>6815868</vt:i4>
      </vt:variant>
      <vt:variant>
        <vt:i4>2369</vt:i4>
      </vt:variant>
      <vt:variant>
        <vt:i4>0</vt:i4>
      </vt:variant>
      <vt:variant>
        <vt:i4>5</vt:i4>
      </vt:variant>
      <vt:variant>
        <vt:lpwstr/>
      </vt:variant>
      <vt:variant>
        <vt:lpwstr>Harden2013</vt:lpwstr>
      </vt:variant>
      <vt:variant>
        <vt:i4>524362</vt:i4>
      </vt:variant>
      <vt:variant>
        <vt:i4>2366</vt:i4>
      </vt:variant>
      <vt:variant>
        <vt:i4>0</vt:i4>
      </vt:variant>
      <vt:variant>
        <vt:i4>5</vt:i4>
      </vt:variant>
      <vt:variant>
        <vt:lpwstr/>
      </vt:variant>
      <vt:variant>
        <vt:lpwstr>deMos2009</vt:lpwstr>
      </vt:variant>
      <vt:variant>
        <vt:i4>458776</vt:i4>
      </vt:variant>
      <vt:variant>
        <vt:i4>2363</vt:i4>
      </vt:variant>
      <vt:variant>
        <vt:i4>0</vt:i4>
      </vt:variant>
      <vt:variant>
        <vt:i4>5</vt:i4>
      </vt:variant>
      <vt:variant>
        <vt:lpwstr/>
      </vt:variant>
      <vt:variant>
        <vt:lpwstr>Okun2002</vt:lpwstr>
      </vt:variant>
      <vt:variant>
        <vt:i4>6946934</vt:i4>
      </vt:variant>
      <vt:variant>
        <vt:i4>2360</vt:i4>
      </vt:variant>
      <vt:variant>
        <vt:i4>0</vt:i4>
      </vt:variant>
      <vt:variant>
        <vt:i4>5</vt:i4>
      </vt:variant>
      <vt:variant>
        <vt:lpwstr/>
      </vt:variant>
      <vt:variant>
        <vt:lpwstr>Veldhuizen1993</vt:lpwstr>
      </vt:variant>
      <vt:variant>
        <vt:i4>7864418</vt:i4>
      </vt:variant>
      <vt:variant>
        <vt:i4>2357</vt:i4>
      </vt:variant>
      <vt:variant>
        <vt:i4>0</vt:i4>
      </vt:variant>
      <vt:variant>
        <vt:i4>5</vt:i4>
      </vt:variant>
      <vt:variant>
        <vt:lpwstr/>
      </vt:variant>
      <vt:variant>
        <vt:lpwstr>Akeson1987</vt:lpwstr>
      </vt:variant>
      <vt:variant>
        <vt:i4>9371731</vt:i4>
      </vt:variant>
      <vt:variant>
        <vt:i4>2354</vt:i4>
      </vt:variant>
      <vt:variant>
        <vt:i4>0</vt:i4>
      </vt:variant>
      <vt:variant>
        <vt:i4>5</vt:i4>
      </vt:variant>
      <vt:variant>
        <vt:lpwstr/>
      </vt:variant>
      <vt:variant>
        <vt:lpwstr>Jänig2004</vt:lpwstr>
      </vt:variant>
      <vt:variant>
        <vt:i4>6815868</vt:i4>
      </vt:variant>
      <vt:variant>
        <vt:i4>2351</vt:i4>
      </vt:variant>
      <vt:variant>
        <vt:i4>0</vt:i4>
      </vt:variant>
      <vt:variant>
        <vt:i4>5</vt:i4>
      </vt:variant>
      <vt:variant>
        <vt:lpwstr/>
      </vt:variant>
      <vt:variant>
        <vt:lpwstr>Harden2013</vt:lpwstr>
      </vt:variant>
      <vt:variant>
        <vt:i4>327758</vt:i4>
      </vt:variant>
      <vt:variant>
        <vt:i4>2348</vt:i4>
      </vt:variant>
      <vt:variant>
        <vt:i4>0</vt:i4>
      </vt:variant>
      <vt:variant>
        <vt:i4>5</vt:i4>
      </vt:variant>
      <vt:variant>
        <vt:lpwstr/>
      </vt:variant>
      <vt:variant>
        <vt:lpwstr>Terkelsen2008</vt:lpwstr>
      </vt:variant>
      <vt:variant>
        <vt:i4>1638409</vt:i4>
      </vt:variant>
      <vt:variant>
        <vt:i4>2345</vt:i4>
      </vt:variant>
      <vt:variant>
        <vt:i4>0</vt:i4>
      </vt:variant>
      <vt:variant>
        <vt:i4>5</vt:i4>
      </vt:variant>
      <vt:variant>
        <vt:lpwstr/>
      </vt:variant>
      <vt:variant>
        <vt:lpwstr>Borchers2013</vt:lpwstr>
      </vt:variant>
      <vt:variant>
        <vt:i4>851978</vt:i4>
      </vt:variant>
      <vt:variant>
        <vt:i4>2342</vt:i4>
      </vt:variant>
      <vt:variant>
        <vt:i4>0</vt:i4>
      </vt:variant>
      <vt:variant>
        <vt:i4>5</vt:i4>
      </vt:variant>
      <vt:variant>
        <vt:lpwstr/>
      </vt:variant>
      <vt:variant>
        <vt:lpwstr>StantonHicks3</vt:lpwstr>
      </vt:variant>
      <vt:variant>
        <vt:i4>6488164</vt:i4>
      </vt:variant>
      <vt:variant>
        <vt:i4>2339</vt:i4>
      </vt:variant>
      <vt:variant>
        <vt:i4>0</vt:i4>
      </vt:variant>
      <vt:variant>
        <vt:i4>5</vt:i4>
      </vt:variant>
      <vt:variant>
        <vt:lpwstr/>
      </vt:variant>
      <vt:variant>
        <vt:lpwstr>Goebel2012</vt:lpwstr>
      </vt:variant>
      <vt:variant>
        <vt:i4>7143474</vt:i4>
      </vt:variant>
      <vt:variant>
        <vt:i4>2336</vt:i4>
      </vt:variant>
      <vt:variant>
        <vt:i4>0</vt:i4>
      </vt:variant>
      <vt:variant>
        <vt:i4>5</vt:i4>
      </vt:variant>
      <vt:variant>
        <vt:lpwstr/>
      </vt:variant>
      <vt:variant>
        <vt:lpwstr>vanEijs2011</vt:lpwstr>
      </vt:variant>
      <vt:variant>
        <vt:i4>851978</vt:i4>
      </vt:variant>
      <vt:variant>
        <vt:i4>2333</vt:i4>
      </vt:variant>
      <vt:variant>
        <vt:i4>0</vt:i4>
      </vt:variant>
      <vt:variant>
        <vt:i4>5</vt:i4>
      </vt:variant>
      <vt:variant>
        <vt:lpwstr/>
      </vt:variant>
      <vt:variant>
        <vt:lpwstr>StantonHicks2</vt:lpwstr>
      </vt:variant>
      <vt:variant>
        <vt:i4>6946941</vt:i4>
      </vt:variant>
      <vt:variant>
        <vt:i4>2330</vt:i4>
      </vt:variant>
      <vt:variant>
        <vt:i4>0</vt:i4>
      </vt:variant>
      <vt:variant>
        <vt:i4>5</vt:i4>
      </vt:variant>
      <vt:variant>
        <vt:lpwstr/>
      </vt:variant>
      <vt:variant>
        <vt:lpwstr>Quisel2</vt:lpwstr>
      </vt:variant>
      <vt:variant>
        <vt:i4>983117</vt:i4>
      </vt:variant>
      <vt:variant>
        <vt:i4>2327</vt:i4>
      </vt:variant>
      <vt:variant>
        <vt:i4>0</vt:i4>
      </vt:variant>
      <vt:variant>
        <vt:i4>5</vt:i4>
      </vt:variant>
      <vt:variant>
        <vt:lpwstr/>
      </vt:variant>
      <vt:variant>
        <vt:lpwstr>Zyluk2013</vt:lpwstr>
      </vt:variant>
      <vt:variant>
        <vt:i4>6815868</vt:i4>
      </vt:variant>
      <vt:variant>
        <vt:i4>2324</vt:i4>
      </vt:variant>
      <vt:variant>
        <vt:i4>0</vt:i4>
      </vt:variant>
      <vt:variant>
        <vt:i4>5</vt:i4>
      </vt:variant>
      <vt:variant>
        <vt:lpwstr/>
      </vt:variant>
      <vt:variant>
        <vt:lpwstr>Harden2013</vt:lpwstr>
      </vt:variant>
      <vt:variant>
        <vt:i4>262211</vt:i4>
      </vt:variant>
      <vt:variant>
        <vt:i4>2321</vt:i4>
      </vt:variant>
      <vt:variant>
        <vt:i4>0</vt:i4>
      </vt:variant>
      <vt:variant>
        <vt:i4>5</vt:i4>
      </vt:variant>
      <vt:variant>
        <vt:lpwstr/>
      </vt:variant>
      <vt:variant>
        <vt:lpwstr>Oaklander2009</vt:lpwstr>
      </vt:variant>
      <vt:variant>
        <vt:i4>8061055</vt:i4>
      </vt:variant>
      <vt:variant>
        <vt:i4>2318</vt:i4>
      </vt:variant>
      <vt:variant>
        <vt:i4>0</vt:i4>
      </vt:variant>
      <vt:variant>
        <vt:i4>5</vt:i4>
      </vt:variant>
      <vt:variant>
        <vt:lpwstr/>
      </vt:variant>
      <vt:variant>
        <vt:lpwstr>Bruehl2</vt:lpwstr>
      </vt:variant>
      <vt:variant>
        <vt:i4>6815868</vt:i4>
      </vt:variant>
      <vt:variant>
        <vt:i4>2315</vt:i4>
      </vt:variant>
      <vt:variant>
        <vt:i4>0</vt:i4>
      </vt:variant>
      <vt:variant>
        <vt:i4>5</vt:i4>
      </vt:variant>
      <vt:variant>
        <vt:lpwstr/>
      </vt:variant>
      <vt:variant>
        <vt:lpwstr>Harden2013</vt:lpwstr>
      </vt:variant>
      <vt:variant>
        <vt:i4>851978</vt:i4>
      </vt:variant>
      <vt:variant>
        <vt:i4>2312</vt:i4>
      </vt:variant>
      <vt:variant>
        <vt:i4>0</vt:i4>
      </vt:variant>
      <vt:variant>
        <vt:i4>5</vt:i4>
      </vt:variant>
      <vt:variant>
        <vt:lpwstr/>
      </vt:variant>
      <vt:variant>
        <vt:lpwstr>StantonHicks</vt:lpwstr>
      </vt:variant>
      <vt:variant>
        <vt:i4>589845</vt:i4>
      </vt:variant>
      <vt:variant>
        <vt:i4>2309</vt:i4>
      </vt:variant>
      <vt:variant>
        <vt:i4>0</vt:i4>
      </vt:variant>
      <vt:variant>
        <vt:i4>5</vt:i4>
      </vt:variant>
      <vt:variant>
        <vt:lpwstr/>
      </vt:variant>
      <vt:variant>
        <vt:lpwstr>Birklein</vt:lpwstr>
      </vt:variant>
      <vt:variant>
        <vt:i4>3276920</vt:i4>
      </vt:variant>
      <vt:variant>
        <vt:i4>2306</vt:i4>
      </vt:variant>
      <vt:variant>
        <vt:i4>0</vt:i4>
      </vt:variant>
      <vt:variant>
        <vt:i4>5</vt:i4>
      </vt:variant>
      <vt:variant>
        <vt:lpwstr/>
      </vt:variant>
      <vt:variant>
        <vt:lpwstr>Perez2</vt:lpwstr>
      </vt:variant>
      <vt:variant>
        <vt:i4>1179671</vt:i4>
      </vt:variant>
      <vt:variant>
        <vt:i4>2303</vt:i4>
      </vt:variant>
      <vt:variant>
        <vt:i4>0</vt:i4>
      </vt:variant>
      <vt:variant>
        <vt:i4>5</vt:i4>
      </vt:variant>
      <vt:variant>
        <vt:lpwstr/>
      </vt:variant>
      <vt:variant>
        <vt:lpwstr>Yung</vt:lpwstr>
      </vt:variant>
      <vt:variant>
        <vt:i4>6946941</vt:i4>
      </vt:variant>
      <vt:variant>
        <vt:i4>2300</vt:i4>
      </vt:variant>
      <vt:variant>
        <vt:i4>0</vt:i4>
      </vt:variant>
      <vt:variant>
        <vt:i4>5</vt:i4>
      </vt:variant>
      <vt:variant>
        <vt:lpwstr/>
      </vt:variant>
      <vt:variant>
        <vt:lpwstr>Quisel2</vt:lpwstr>
      </vt:variant>
      <vt:variant>
        <vt:i4>1179735</vt:i4>
      </vt:variant>
      <vt:variant>
        <vt:i4>2297</vt:i4>
      </vt:variant>
      <vt:variant>
        <vt:i4>0</vt:i4>
      </vt:variant>
      <vt:variant>
        <vt:i4>5</vt:i4>
      </vt:variant>
      <vt:variant>
        <vt:lpwstr>http://www.ama-assn.org/resources/doc/bookstore/guidesclarifications.pdf</vt:lpwstr>
      </vt:variant>
      <vt:variant>
        <vt:lpwstr/>
      </vt:variant>
      <vt:variant>
        <vt:i4>6815868</vt:i4>
      </vt:variant>
      <vt:variant>
        <vt:i4>2294</vt:i4>
      </vt:variant>
      <vt:variant>
        <vt:i4>0</vt:i4>
      </vt:variant>
      <vt:variant>
        <vt:i4>5</vt:i4>
      </vt:variant>
      <vt:variant>
        <vt:lpwstr/>
      </vt:variant>
      <vt:variant>
        <vt:lpwstr>Harden2013</vt:lpwstr>
      </vt:variant>
      <vt:variant>
        <vt:i4>7012476</vt:i4>
      </vt:variant>
      <vt:variant>
        <vt:i4>2291</vt:i4>
      </vt:variant>
      <vt:variant>
        <vt:i4>0</vt:i4>
      </vt:variant>
      <vt:variant>
        <vt:i4>5</vt:i4>
      </vt:variant>
      <vt:variant>
        <vt:lpwstr/>
      </vt:variant>
      <vt:variant>
        <vt:lpwstr>Harden2010</vt:lpwstr>
      </vt:variant>
      <vt:variant>
        <vt:i4>7012479</vt:i4>
      </vt:variant>
      <vt:variant>
        <vt:i4>2288</vt:i4>
      </vt:variant>
      <vt:variant>
        <vt:i4>0</vt:i4>
      </vt:variant>
      <vt:variant>
        <vt:i4>5</vt:i4>
      </vt:variant>
      <vt:variant>
        <vt:lpwstr/>
      </vt:variant>
      <vt:variant>
        <vt:lpwstr>Harden2</vt:lpwstr>
      </vt:variant>
      <vt:variant>
        <vt:i4>6946941</vt:i4>
      </vt:variant>
      <vt:variant>
        <vt:i4>2285</vt:i4>
      </vt:variant>
      <vt:variant>
        <vt:i4>0</vt:i4>
      </vt:variant>
      <vt:variant>
        <vt:i4>5</vt:i4>
      </vt:variant>
      <vt:variant>
        <vt:lpwstr/>
      </vt:variant>
      <vt:variant>
        <vt:lpwstr>Quisel2</vt:lpwstr>
      </vt:variant>
      <vt:variant>
        <vt:i4>262155</vt:i4>
      </vt:variant>
      <vt:variant>
        <vt:i4>2282</vt:i4>
      </vt:variant>
      <vt:variant>
        <vt:i4>0</vt:i4>
      </vt:variant>
      <vt:variant>
        <vt:i4>5</vt:i4>
      </vt:variant>
      <vt:variant>
        <vt:lpwstr/>
      </vt:variant>
      <vt:variant>
        <vt:lpwstr>Galer</vt:lpwstr>
      </vt:variant>
      <vt:variant>
        <vt:i4>8061055</vt:i4>
      </vt:variant>
      <vt:variant>
        <vt:i4>2279</vt:i4>
      </vt:variant>
      <vt:variant>
        <vt:i4>0</vt:i4>
      </vt:variant>
      <vt:variant>
        <vt:i4>5</vt:i4>
      </vt:variant>
      <vt:variant>
        <vt:lpwstr/>
      </vt:variant>
      <vt:variant>
        <vt:lpwstr>Bruehl2</vt:lpwstr>
      </vt:variant>
      <vt:variant>
        <vt:i4>851978</vt:i4>
      </vt:variant>
      <vt:variant>
        <vt:i4>2276</vt:i4>
      </vt:variant>
      <vt:variant>
        <vt:i4>0</vt:i4>
      </vt:variant>
      <vt:variant>
        <vt:i4>5</vt:i4>
      </vt:variant>
      <vt:variant>
        <vt:lpwstr/>
      </vt:variant>
      <vt:variant>
        <vt:lpwstr>StantonHicks</vt:lpwstr>
      </vt:variant>
      <vt:variant>
        <vt:i4>6815776</vt:i4>
      </vt:variant>
      <vt:variant>
        <vt:i4>2273</vt:i4>
      </vt:variant>
      <vt:variant>
        <vt:i4>0</vt:i4>
      </vt:variant>
      <vt:variant>
        <vt:i4>5</vt:i4>
      </vt:variant>
      <vt:variant>
        <vt:lpwstr/>
      </vt:variant>
      <vt:variant>
        <vt:lpwstr>Veldman1993</vt:lpwstr>
      </vt:variant>
      <vt:variant>
        <vt:i4>6684716</vt:i4>
      </vt:variant>
      <vt:variant>
        <vt:i4>2270</vt:i4>
      </vt:variant>
      <vt:variant>
        <vt:i4>0</vt:i4>
      </vt:variant>
      <vt:variant>
        <vt:i4>5</vt:i4>
      </vt:variant>
      <vt:variant>
        <vt:lpwstr/>
      </vt:variant>
      <vt:variant>
        <vt:lpwstr>RodriguezMoreno1990</vt:lpwstr>
      </vt:variant>
      <vt:variant>
        <vt:i4>6488164</vt:i4>
      </vt:variant>
      <vt:variant>
        <vt:i4>2267</vt:i4>
      </vt:variant>
      <vt:variant>
        <vt:i4>0</vt:i4>
      </vt:variant>
      <vt:variant>
        <vt:i4>5</vt:i4>
      </vt:variant>
      <vt:variant>
        <vt:lpwstr/>
      </vt:variant>
      <vt:variant>
        <vt:lpwstr>Goebel2012</vt:lpwstr>
      </vt:variant>
      <vt:variant>
        <vt:i4>6815868</vt:i4>
      </vt:variant>
      <vt:variant>
        <vt:i4>2264</vt:i4>
      </vt:variant>
      <vt:variant>
        <vt:i4>0</vt:i4>
      </vt:variant>
      <vt:variant>
        <vt:i4>5</vt:i4>
      </vt:variant>
      <vt:variant>
        <vt:lpwstr/>
      </vt:variant>
      <vt:variant>
        <vt:lpwstr>Harden2013</vt:lpwstr>
      </vt:variant>
      <vt:variant>
        <vt:i4>8061052</vt:i4>
      </vt:variant>
      <vt:variant>
        <vt:i4>2261</vt:i4>
      </vt:variant>
      <vt:variant>
        <vt:i4>0</vt:i4>
      </vt:variant>
      <vt:variant>
        <vt:i4>5</vt:i4>
      </vt:variant>
      <vt:variant>
        <vt:lpwstr/>
      </vt:variant>
      <vt:variant>
        <vt:lpwstr>Bruehl2010</vt:lpwstr>
      </vt:variant>
      <vt:variant>
        <vt:i4>7209066</vt:i4>
      </vt:variant>
      <vt:variant>
        <vt:i4>2258</vt:i4>
      </vt:variant>
      <vt:variant>
        <vt:i4>0</vt:i4>
      </vt:variant>
      <vt:variant>
        <vt:i4>5</vt:i4>
      </vt:variant>
      <vt:variant>
        <vt:lpwstr/>
      </vt:variant>
      <vt:variant>
        <vt:lpwstr>Cooper2013a</vt:lpwstr>
      </vt:variant>
      <vt:variant>
        <vt:i4>8061052</vt:i4>
      </vt:variant>
      <vt:variant>
        <vt:i4>2255</vt:i4>
      </vt:variant>
      <vt:variant>
        <vt:i4>0</vt:i4>
      </vt:variant>
      <vt:variant>
        <vt:i4>5</vt:i4>
      </vt:variant>
      <vt:variant>
        <vt:lpwstr/>
      </vt:variant>
      <vt:variant>
        <vt:lpwstr>Bruehl2010</vt:lpwstr>
      </vt:variant>
      <vt:variant>
        <vt:i4>8257586</vt:i4>
      </vt:variant>
      <vt:variant>
        <vt:i4>2252</vt:i4>
      </vt:variant>
      <vt:variant>
        <vt:i4>0</vt:i4>
      </vt:variant>
      <vt:variant>
        <vt:i4>5</vt:i4>
      </vt:variant>
      <vt:variant>
        <vt:lpwstr/>
      </vt:variant>
      <vt:variant>
        <vt:lpwstr>Marinus2011</vt:lpwstr>
      </vt:variant>
      <vt:variant>
        <vt:i4>65550</vt:i4>
      </vt:variant>
      <vt:variant>
        <vt:i4>2249</vt:i4>
      </vt:variant>
      <vt:variant>
        <vt:i4>0</vt:i4>
      </vt:variant>
      <vt:variant>
        <vt:i4>5</vt:i4>
      </vt:variant>
      <vt:variant>
        <vt:lpwstr/>
      </vt:variant>
      <vt:variant>
        <vt:lpwstr>DifferentialDiagnosesCRPS</vt:lpwstr>
      </vt:variant>
      <vt:variant>
        <vt:i4>6946861</vt:i4>
      </vt:variant>
      <vt:variant>
        <vt:i4>2246</vt:i4>
      </vt:variant>
      <vt:variant>
        <vt:i4>0</vt:i4>
      </vt:variant>
      <vt:variant>
        <vt:i4>5</vt:i4>
      </vt:variant>
      <vt:variant>
        <vt:lpwstr>http://onlinelibrary.wiley.com/doi/10.1111/j.1526-4637.2006.00169.x/full</vt:lpwstr>
      </vt:variant>
      <vt:variant>
        <vt:lpwstr>t3</vt:lpwstr>
      </vt:variant>
      <vt:variant>
        <vt:i4>6815868</vt:i4>
      </vt:variant>
      <vt:variant>
        <vt:i4>2243</vt:i4>
      </vt:variant>
      <vt:variant>
        <vt:i4>0</vt:i4>
      </vt:variant>
      <vt:variant>
        <vt:i4>5</vt:i4>
      </vt:variant>
      <vt:variant>
        <vt:lpwstr/>
      </vt:variant>
      <vt:variant>
        <vt:lpwstr>Harden2013</vt:lpwstr>
      </vt:variant>
      <vt:variant>
        <vt:i4>2</vt:i4>
      </vt:variant>
      <vt:variant>
        <vt:i4>2240</vt:i4>
      </vt:variant>
      <vt:variant>
        <vt:i4>0</vt:i4>
      </vt:variant>
      <vt:variant>
        <vt:i4>5</vt:i4>
      </vt:variant>
      <vt:variant>
        <vt:lpwstr/>
      </vt:variant>
      <vt:variant>
        <vt:lpwstr>Perez</vt:lpwstr>
      </vt:variant>
      <vt:variant>
        <vt:i4>8061055</vt:i4>
      </vt:variant>
      <vt:variant>
        <vt:i4>2237</vt:i4>
      </vt:variant>
      <vt:variant>
        <vt:i4>0</vt:i4>
      </vt:variant>
      <vt:variant>
        <vt:i4>5</vt:i4>
      </vt:variant>
      <vt:variant>
        <vt:lpwstr/>
      </vt:variant>
      <vt:variant>
        <vt:lpwstr>Sharma</vt:lpwstr>
      </vt:variant>
      <vt:variant>
        <vt:i4>2752623</vt:i4>
      </vt:variant>
      <vt:variant>
        <vt:i4>2234</vt:i4>
      </vt:variant>
      <vt:variant>
        <vt:i4>0</vt:i4>
      </vt:variant>
      <vt:variant>
        <vt:i4>5</vt:i4>
      </vt:variant>
      <vt:variant>
        <vt:lpwstr/>
      </vt:variant>
      <vt:variant>
        <vt:lpwstr>Rowbotham2</vt:lpwstr>
      </vt:variant>
      <vt:variant>
        <vt:i4>1572882</vt:i4>
      </vt:variant>
      <vt:variant>
        <vt:i4>2231</vt:i4>
      </vt:variant>
      <vt:variant>
        <vt:i4>0</vt:i4>
      </vt:variant>
      <vt:variant>
        <vt:i4>5</vt:i4>
      </vt:variant>
      <vt:variant>
        <vt:lpwstr/>
      </vt:variant>
      <vt:variant>
        <vt:lpwstr>Appelboom</vt:lpwstr>
      </vt:variant>
      <vt:variant>
        <vt:i4>524315</vt:i4>
      </vt:variant>
      <vt:variant>
        <vt:i4>2228</vt:i4>
      </vt:variant>
      <vt:variant>
        <vt:i4>0</vt:i4>
      </vt:variant>
      <vt:variant>
        <vt:i4>5</vt:i4>
      </vt:variant>
      <vt:variant>
        <vt:lpwstr/>
      </vt:variant>
      <vt:variant>
        <vt:lpwstr>Sahin</vt:lpwstr>
      </vt:variant>
      <vt:variant>
        <vt:i4>7143544</vt:i4>
      </vt:variant>
      <vt:variant>
        <vt:i4>2225</vt:i4>
      </vt:variant>
      <vt:variant>
        <vt:i4>0</vt:i4>
      </vt:variant>
      <vt:variant>
        <vt:i4>5</vt:i4>
      </vt:variant>
      <vt:variant>
        <vt:lpwstr/>
      </vt:variant>
      <vt:variant>
        <vt:lpwstr>Bisphosphonates</vt:lpwstr>
      </vt:variant>
      <vt:variant>
        <vt:i4>1376277</vt:i4>
      </vt:variant>
      <vt:variant>
        <vt:i4>2222</vt:i4>
      </vt:variant>
      <vt:variant>
        <vt:i4>0</vt:i4>
      </vt:variant>
      <vt:variant>
        <vt:i4>5</vt:i4>
      </vt:variant>
      <vt:variant>
        <vt:lpwstr/>
      </vt:variant>
      <vt:variant>
        <vt:lpwstr>Manicourt</vt:lpwstr>
      </vt:variant>
      <vt:variant>
        <vt:i4>1114131</vt:i4>
      </vt:variant>
      <vt:variant>
        <vt:i4>2219</vt:i4>
      </vt:variant>
      <vt:variant>
        <vt:i4>0</vt:i4>
      </vt:variant>
      <vt:variant>
        <vt:i4>5</vt:i4>
      </vt:variant>
      <vt:variant>
        <vt:lpwstr/>
      </vt:variant>
      <vt:variant>
        <vt:lpwstr>CRPStreatment</vt:lpwstr>
      </vt:variant>
      <vt:variant>
        <vt:i4>1441820</vt:i4>
      </vt:variant>
      <vt:variant>
        <vt:i4>2216</vt:i4>
      </vt:variant>
      <vt:variant>
        <vt:i4>0</vt:i4>
      </vt:variant>
      <vt:variant>
        <vt:i4>5</vt:i4>
      </vt:variant>
      <vt:variant>
        <vt:lpwstr/>
      </vt:variant>
      <vt:variant>
        <vt:lpwstr>CRPSsympatheticblocks</vt:lpwstr>
      </vt:variant>
      <vt:variant>
        <vt:i4>1441820</vt:i4>
      </vt:variant>
      <vt:variant>
        <vt:i4>2213</vt:i4>
      </vt:variant>
      <vt:variant>
        <vt:i4>0</vt:i4>
      </vt:variant>
      <vt:variant>
        <vt:i4>5</vt:i4>
      </vt:variant>
      <vt:variant>
        <vt:lpwstr/>
      </vt:variant>
      <vt:variant>
        <vt:lpwstr>Intravenousregionalsympatheticblocks</vt:lpwstr>
      </vt:variant>
      <vt:variant>
        <vt:i4>524316</vt:i4>
      </vt:variant>
      <vt:variant>
        <vt:i4>2210</vt:i4>
      </vt:variant>
      <vt:variant>
        <vt:i4>0</vt:i4>
      </vt:variant>
      <vt:variant>
        <vt:i4>5</vt:i4>
      </vt:variant>
      <vt:variant>
        <vt:lpwstr/>
      </vt:variant>
      <vt:variant>
        <vt:lpwstr>Ketamine</vt:lpwstr>
      </vt:variant>
      <vt:variant>
        <vt:i4>6815868</vt:i4>
      </vt:variant>
      <vt:variant>
        <vt:i4>2207</vt:i4>
      </vt:variant>
      <vt:variant>
        <vt:i4>0</vt:i4>
      </vt:variant>
      <vt:variant>
        <vt:i4>5</vt:i4>
      </vt:variant>
      <vt:variant>
        <vt:lpwstr/>
      </vt:variant>
      <vt:variant>
        <vt:lpwstr>Harden2013</vt:lpwstr>
      </vt:variant>
      <vt:variant>
        <vt:i4>7405613</vt:i4>
      </vt:variant>
      <vt:variant>
        <vt:i4>2204</vt:i4>
      </vt:variant>
      <vt:variant>
        <vt:i4>0</vt:i4>
      </vt:variant>
      <vt:variant>
        <vt:i4>5</vt:i4>
      </vt:variant>
      <vt:variant>
        <vt:lpwstr/>
      </vt:variant>
      <vt:variant>
        <vt:lpwstr>Hsu2009</vt:lpwstr>
      </vt:variant>
      <vt:variant>
        <vt:i4>262161</vt:i4>
      </vt:variant>
      <vt:variant>
        <vt:i4>2201</vt:i4>
      </vt:variant>
      <vt:variant>
        <vt:i4>0</vt:i4>
      </vt:variant>
      <vt:variant>
        <vt:i4>5</vt:i4>
      </vt:variant>
      <vt:variant>
        <vt:lpwstr/>
      </vt:variant>
      <vt:variant>
        <vt:lpwstr>Anticonvulsantsforchronicpain</vt:lpwstr>
      </vt:variant>
      <vt:variant>
        <vt:i4>65562</vt:i4>
      </vt:variant>
      <vt:variant>
        <vt:i4>2198</vt:i4>
      </vt:variant>
      <vt:variant>
        <vt:i4>0</vt:i4>
      </vt:variant>
      <vt:variant>
        <vt:i4>5</vt:i4>
      </vt:variant>
      <vt:variant>
        <vt:lpwstr/>
      </vt:variant>
      <vt:variant>
        <vt:lpwstr>Antidepressantsforneuropathicpain</vt:lpwstr>
      </vt:variant>
      <vt:variant>
        <vt:i4>2818110</vt:i4>
      </vt:variant>
      <vt:variant>
        <vt:i4>2195</vt:i4>
      </vt:variant>
      <vt:variant>
        <vt:i4>0</vt:i4>
      </vt:variant>
      <vt:variant>
        <vt:i4>5</vt:i4>
      </vt:variant>
      <vt:variant>
        <vt:lpwstr>http://www.accessdata.fda.gov/cms_ia/importalert_169.html</vt:lpwstr>
      </vt:variant>
      <vt:variant>
        <vt:lpwstr/>
      </vt:variant>
      <vt:variant>
        <vt:i4>8061055</vt:i4>
      </vt:variant>
      <vt:variant>
        <vt:i4>2192</vt:i4>
      </vt:variant>
      <vt:variant>
        <vt:i4>0</vt:i4>
      </vt:variant>
      <vt:variant>
        <vt:i4>5</vt:i4>
      </vt:variant>
      <vt:variant>
        <vt:lpwstr/>
      </vt:variant>
      <vt:variant>
        <vt:lpwstr>Sharma</vt:lpwstr>
      </vt:variant>
      <vt:variant>
        <vt:i4>851978</vt:i4>
      </vt:variant>
      <vt:variant>
        <vt:i4>2189</vt:i4>
      </vt:variant>
      <vt:variant>
        <vt:i4>0</vt:i4>
      </vt:variant>
      <vt:variant>
        <vt:i4>5</vt:i4>
      </vt:variant>
      <vt:variant>
        <vt:lpwstr/>
      </vt:variant>
      <vt:variant>
        <vt:lpwstr>StantonHicks3</vt:lpwstr>
      </vt:variant>
      <vt:variant>
        <vt:i4>6815868</vt:i4>
      </vt:variant>
      <vt:variant>
        <vt:i4>2186</vt:i4>
      </vt:variant>
      <vt:variant>
        <vt:i4>0</vt:i4>
      </vt:variant>
      <vt:variant>
        <vt:i4>5</vt:i4>
      </vt:variant>
      <vt:variant>
        <vt:lpwstr/>
      </vt:variant>
      <vt:variant>
        <vt:lpwstr>Harden2013</vt:lpwstr>
      </vt:variant>
      <vt:variant>
        <vt:i4>6946941</vt:i4>
      </vt:variant>
      <vt:variant>
        <vt:i4>2183</vt:i4>
      </vt:variant>
      <vt:variant>
        <vt:i4>0</vt:i4>
      </vt:variant>
      <vt:variant>
        <vt:i4>5</vt:i4>
      </vt:variant>
      <vt:variant>
        <vt:lpwstr/>
      </vt:variant>
      <vt:variant>
        <vt:lpwstr>Quisel2</vt:lpwstr>
      </vt:variant>
      <vt:variant>
        <vt:i4>7929973</vt:i4>
      </vt:variant>
      <vt:variant>
        <vt:i4>2180</vt:i4>
      </vt:variant>
      <vt:variant>
        <vt:i4>0</vt:i4>
      </vt:variant>
      <vt:variant>
        <vt:i4>5</vt:i4>
      </vt:variant>
      <vt:variant>
        <vt:lpwstr/>
      </vt:variant>
      <vt:variant>
        <vt:lpwstr>Ribbers</vt:lpwstr>
      </vt:variant>
      <vt:variant>
        <vt:i4>524316</vt:i4>
      </vt:variant>
      <vt:variant>
        <vt:i4>2177</vt:i4>
      </vt:variant>
      <vt:variant>
        <vt:i4>0</vt:i4>
      </vt:variant>
      <vt:variant>
        <vt:i4>5</vt:i4>
      </vt:variant>
      <vt:variant>
        <vt:lpwstr/>
      </vt:variant>
      <vt:variant>
        <vt:lpwstr>Ketamine</vt:lpwstr>
      </vt:variant>
      <vt:variant>
        <vt:i4>10354774</vt:i4>
      </vt:variant>
      <vt:variant>
        <vt:i4>2174</vt:i4>
      </vt:variant>
      <vt:variant>
        <vt:i4>0</vt:i4>
      </vt:variant>
      <vt:variant>
        <vt:i4>5</vt:i4>
      </vt:variant>
      <vt:variant>
        <vt:lpwstr/>
      </vt:variant>
      <vt:variant>
        <vt:lpwstr>Schürmann2001</vt:lpwstr>
      </vt:variant>
      <vt:variant>
        <vt:i4>6946848</vt:i4>
      </vt:variant>
      <vt:variant>
        <vt:i4>2171</vt:i4>
      </vt:variant>
      <vt:variant>
        <vt:i4>0</vt:i4>
      </vt:variant>
      <vt:variant>
        <vt:i4>5</vt:i4>
      </vt:variant>
      <vt:variant>
        <vt:lpwstr/>
      </vt:variant>
      <vt:variant>
        <vt:lpwstr>Krumova2011</vt:lpwstr>
      </vt:variant>
      <vt:variant>
        <vt:i4>196611</vt:i4>
      </vt:variant>
      <vt:variant>
        <vt:i4>2168</vt:i4>
      </vt:variant>
      <vt:variant>
        <vt:i4>0</vt:i4>
      </vt:variant>
      <vt:variant>
        <vt:i4>5</vt:i4>
      </vt:variant>
      <vt:variant>
        <vt:lpwstr/>
      </vt:variant>
      <vt:variant>
        <vt:lpwstr>CRPSsympatheticandepiduralblocks</vt:lpwstr>
      </vt:variant>
      <vt:variant>
        <vt:i4>10354774</vt:i4>
      </vt:variant>
      <vt:variant>
        <vt:i4>2165</vt:i4>
      </vt:variant>
      <vt:variant>
        <vt:i4>0</vt:i4>
      </vt:variant>
      <vt:variant>
        <vt:i4>5</vt:i4>
      </vt:variant>
      <vt:variant>
        <vt:lpwstr/>
      </vt:variant>
      <vt:variant>
        <vt:lpwstr>Schürmann2001</vt:lpwstr>
      </vt:variant>
      <vt:variant>
        <vt:i4>6946848</vt:i4>
      </vt:variant>
      <vt:variant>
        <vt:i4>2162</vt:i4>
      </vt:variant>
      <vt:variant>
        <vt:i4>0</vt:i4>
      </vt:variant>
      <vt:variant>
        <vt:i4>5</vt:i4>
      </vt:variant>
      <vt:variant>
        <vt:lpwstr/>
      </vt:variant>
      <vt:variant>
        <vt:lpwstr>Krumova2011</vt:lpwstr>
      </vt:variant>
      <vt:variant>
        <vt:i4>10354774</vt:i4>
      </vt:variant>
      <vt:variant>
        <vt:i4>2159</vt:i4>
      </vt:variant>
      <vt:variant>
        <vt:i4>0</vt:i4>
      </vt:variant>
      <vt:variant>
        <vt:i4>5</vt:i4>
      </vt:variant>
      <vt:variant>
        <vt:lpwstr/>
      </vt:variant>
      <vt:variant>
        <vt:lpwstr>Schürmann2001</vt:lpwstr>
      </vt:variant>
      <vt:variant>
        <vt:i4>6946848</vt:i4>
      </vt:variant>
      <vt:variant>
        <vt:i4>2156</vt:i4>
      </vt:variant>
      <vt:variant>
        <vt:i4>0</vt:i4>
      </vt:variant>
      <vt:variant>
        <vt:i4>5</vt:i4>
      </vt:variant>
      <vt:variant>
        <vt:lpwstr/>
      </vt:variant>
      <vt:variant>
        <vt:lpwstr>Krumova2011</vt:lpwstr>
      </vt:variant>
      <vt:variant>
        <vt:i4>1638416</vt:i4>
      </vt:variant>
      <vt:variant>
        <vt:i4>2153</vt:i4>
      </vt:variant>
      <vt:variant>
        <vt:i4>0</vt:i4>
      </vt:variant>
      <vt:variant>
        <vt:i4>5</vt:i4>
      </vt:variant>
      <vt:variant>
        <vt:lpwstr/>
      </vt:variant>
      <vt:variant>
        <vt:lpwstr>Sympatheticallymaintainedpain</vt:lpwstr>
      </vt:variant>
      <vt:variant>
        <vt:i4>327747</vt:i4>
      </vt:variant>
      <vt:variant>
        <vt:i4>2150</vt:i4>
      </vt:variant>
      <vt:variant>
        <vt:i4>0</vt:i4>
      </vt:variant>
      <vt:variant>
        <vt:i4>5</vt:i4>
      </vt:variant>
      <vt:variant>
        <vt:lpwstr/>
      </vt:variant>
      <vt:variant>
        <vt:lpwstr>Oaklander2013</vt:lpwstr>
      </vt:variant>
      <vt:variant>
        <vt:i4>8257586</vt:i4>
      </vt:variant>
      <vt:variant>
        <vt:i4>2147</vt:i4>
      </vt:variant>
      <vt:variant>
        <vt:i4>0</vt:i4>
      </vt:variant>
      <vt:variant>
        <vt:i4>5</vt:i4>
      </vt:variant>
      <vt:variant>
        <vt:lpwstr/>
      </vt:variant>
      <vt:variant>
        <vt:lpwstr>Marinus2011</vt:lpwstr>
      </vt:variant>
      <vt:variant>
        <vt:i4>262211</vt:i4>
      </vt:variant>
      <vt:variant>
        <vt:i4>2144</vt:i4>
      </vt:variant>
      <vt:variant>
        <vt:i4>0</vt:i4>
      </vt:variant>
      <vt:variant>
        <vt:i4>5</vt:i4>
      </vt:variant>
      <vt:variant>
        <vt:lpwstr/>
      </vt:variant>
      <vt:variant>
        <vt:lpwstr>Oaklander2006</vt:lpwstr>
      </vt:variant>
      <vt:variant>
        <vt:i4>262171</vt:i4>
      </vt:variant>
      <vt:variant>
        <vt:i4>2141</vt:i4>
      </vt:variant>
      <vt:variant>
        <vt:i4>0</vt:i4>
      </vt:variant>
      <vt:variant>
        <vt:i4>5</vt:i4>
      </vt:variant>
      <vt:variant>
        <vt:lpwstr/>
      </vt:variant>
      <vt:variant>
        <vt:lpwstr>Devigili2008</vt:lpwstr>
      </vt:variant>
      <vt:variant>
        <vt:i4>7405631</vt:i4>
      </vt:variant>
      <vt:variant>
        <vt:i4>2138</vt:i4>
      </vt:variant>
      <vt:variant>
        <vt:i4>0</vt:i4>
      </vt:variant>
      <vt:variant>
        <vt:i4>5</vt:i4>
      </vt:variant>
      <vt:variant>
        <vt:lpwstr>http://www.rsds.org/4/resources/pdf/ComplexRegionalPainSyndromeDiagnosticTests.pdf</vt:lpwstr>
      </vt:variant>
      <vt:variant>
        <vt:lpwstr/>
      </vt:variant>
      <vt:variant>
        <vt:i4>7405631</vt:i4>
      </vt:variant>
      <vt:variant>
        <vt:i4>2135</vt:i4>
      </vt:variant>
      <vt:variant>
        <vt:i4>0</vt:i4>
      </vt:variant>
      <vt:variant>
        <vt:i4>5</vt:i4>
      </vt:variant>
      <vt:variant>
        <vt:lpwstr>http://www.rsds.org/4/resources/pdf/ComplexRegionalPainSyndromeDiagnosticTests.pdf</vt:lpwstr>
      </vt:variant>
      <vt:variant>
        <vt:lpwstr/>
      </vt:variant>
      <vt:variant>
        <vt:i4>7995516</vt:i4>
      </vt:variant>
      <vt:variant>
        <vt:i4>2132</vt:i4>
      </vt:variant>
      <vt:variant>
        <vt:i4>0</vt:i4>
      </vt:variant>
      <vt:variant>
        <vt:i4>5</vt:i4>
      </vt:variant>
      <vt:variant>
        <vt:lpwstr/>
      </vt:variant>
      <vt:variant>
        <vt:lpwstr>Murray2004</vt:lpwstr>
      </vt:variant>
      <vt:variant>
        <vt:i4>10354774</vt:i4>
      </vt:variant>
      <vt:variant>
        <vt:i4>2129</vt:i4>
      </vt:variant>
      <vt:variant>
        <vt:i4>0</vt:i4>
      </vt:variant>
      <vt:variant>
        <vt:i4>5</vt:i4>
      </vt:variant>
      <vt:variant>
        <vt:lpwstr/>
      </vt:variant>
      <vt:variant>
        <vt:lpwstr>Schürmann2007</vt:lpwstr>
      </vt:variant>
      <vt:variant>
        <vt:i4>7012384</vt:i4>
      </vt:variant>
      <vt:variant>
        <vt:i4>2126</vt:i4>
      </vt:variant>
      <vt:variant>
        <vt:i4>0</vt:i4>
      </vt:variant>
      <vt:variant>
        <vt:i4>5</vt:i4>
      </vt:variant>
      <vt:variant>
        <vt:lpwstr/>
      </vt:variant>
      <vt:variant>
        <vt:lpwstr>Krumova2008</vt:lpwstr>
      </vt:variant>
      <vt:variant>
        <vt:i4>7536684</vt:i4>
      </vt:variant>
      <vt:variant>
        <vt:i4>2123</vt:i4>
      </vt:variant>
      <vt:variant>
        <vt:i4>0</vt:i4>
      </vt:variant>
      <vt:variant>
        <vt:i4>5</vt:i4>
      </vt:variant>
      <vt:variant>
        <vt:lpwstr/>
      </vt:variant>
      <vt:variant>
        <vt:lpwstr>Sherman1994</vt:lpwstr>
      </vt:variant>
      <vt:variant>
        <vt:i4>8257586</vt:i4>
      </vt:variant>
      <vt:variant>
        <vt:i4>2120</vt:i4>
      </vt:variant>
      <vt:variant>
        <vt:i4>0</vt:i4>
      </vt:variant>
      <vt:variant>
        <vt:i4>5</vt:i4>
      </vt:variant>
      <vt:variant>
        <vt:lpwstr/>
      </vt:variant>
      <vt:variant>
        <vt:lpwstr>Marinus2011</vt:lpwstr>
      </vt:variant>
      <vt:variant>
        <vt:i4>786501</vt:i4>
      </vt:variant>
      <vt:variant>
        <vt:i4>2117</vt:i4>
      </vt:variant>
      <vt:variant>
        <vt:i4>0</vt:i4>
      </vt:variant>
      <vt:variant>
        <vt:i4>5</vt:i4>
      </vt:variant>
      <vt:variant>
        <vt:lpwstr/>
      </vt:variant>
      <vt:variant>
        <vt:lpwstr>Singh2006</vt:lpwstr>
      </vt:variant>
      <vt:variant>
        <vt:i4>8192098</vt:i4>
      </vt:variant>
      <vt:variant>
        <vt:i4>2114</vt:i4>
      </vt:variant>
      <vt:variant>
        <vt:i4>0</vt:i4>
      </vt:variant>
      <vt:variant>
        <vt:i4>5</vt:i4>
      </vt:variant>
      <vt:variant>
        <vt:lpwstr/>
      </vt:variant>
      <vt:variant>
        <vt:lpwstr>Wasner2010</vt:lpwstr>
      </vt:variant>
      <vt:variant>
        <vt:i4>8192097</vt:i4>
      </vt:variant>
      <vt:variant>
        <vt:i4>2111</vt:i4>
      </vt:variant>
      <vt:variant>
        <vt:i4>0</vt:i4>
      </vt:variant>
      <vt:variant>
        <vt:i4>5</vt:i4>
      </vt:variant>
      <vt:variant>
        <vt:lpwstr/>
      </vt:variant>
      <vt:variant>
        <vt:lpwstr>Wasner</vt:lpwstr>
      </vt:variant>
      <vt:variant>
        <vt:i4>8126563</vt:i4>
      </vt:variant>
      <vt:variant>
        <vt:i4>2108</vt:i4>
      </vt:variant>
      <vt:variant>
        <vt:i4>0</vt:i4>
      </vt:variant>
      <vt:variant>
        <vt:i4>5</vt:i4>
      </vt:variant>
      <vt:variant>
        <vt:lpwstr/>
      </vt:variant>
      <vt:variant>
        <vt:lpwstr>Wasner2001</vt:lpwstr>
      </vt:variant>
      <vt:variant>
        <vt:i4>1048601</vt:i4>
      </vt:variant>
      <vt:variant>
        <vt:i4>2105</vt:i4>
      </vt:variant>
      <vt:variant>
        <vt:i4>0</vt:i4>
      </vt:variant>
      <vt:variant>
        <vt:i4>5</vt:i4>
      </vt:variant>
      <vt:variant>
        <vt:lpwstr/>
      </vt:variant>
      <vt:variant>
        <vt:lpwstr>Cappello2012</vt:lpwstr>
      </vt:variant>
      <vt:variant>
        <vt:i4>10354774</vt:i4>
      </vt:variant>
      <vt:variant>
        <vt:i4>2102</vt:i4>
      </vt:variant>
      <vt:variant>
        <vt:i4>0</vt:i4>
      </vt:variant>
      <vt:variant>
        <vt:i4>5</vt:i4>
      </vt:variant>
      <vt:variant>
        <vt:lpwstr/>
      </vt:variant>
      <vt:variant>
        <vt:lpwstr>Schürmann2007</vt:lpwstr>
      </vt:variant>
      <vt:variant>
        <vt:i4>6357017</vt:i4>
      </vt:variant>
      <vt:variant>
        <vt:i4>2099</vt:i4>
      </vt:variant>
      <vt:variant>
        <vt:i4>0</vt:i4>
      </vt:variant>
      <vt:variant>
        <vt:i4>5</vt:i4>
      </vt:variant>
      <vt:variant>
        <vt:lpwstr>http://www.odg-twc.com/crosswalk/ur_3372.htm</vt:lpwstr>
      </vt:variant>
      <vt:variant>
        <vt:lpwstr/>
      </vt:variant>
      <vt:variant>
        <vt:i4>6684716</vt:i4>
      </vt:variant>
      <vt:variant>
        <vt:i4>2096</vt:i4>
      </vt:variant>
      <vt:variant>
        <vt:i4>0</vt:i4>
      </vt:variant>
      <vt:variant>
        <vt:i4>5</vt:i4>
      </vt:variant>
      <vt:variant>
        <vt:lpwstr/>
      </vt:variant>
      <vt:variant>
        <vt:lpwstr>RodriguezMoreno1990</vt:lpwstr>
      </vt:variant>
      <vt:variant>
        <vt:i4>16580668</vt:i4>
      </vt:variant>
      <vt:variant>
        <vt:i4>2093</vt:i4>
      </vt:variant>
      <vt:variant>
        <vt:i4>0</vt:i4>
      </vt:variant>
      <vt:variant>
        <vt:i4>5</vt:i4>
      </vt:variant>
      <vt:variant>
        <vt:lpwstr/>
      </vt:variant>
      <vt:variant>
        <vt:lpwstr>Wüppenhorst2010</vt:lpwstr>
      </vt:variant>
      <vt:variant>
        <vt:i4>10354774</vt:i4>
      </vt:variant>
      <vt:variant>
        <vt:i4>2090</vt:i4>
      </vt:variant>
      <vt:variant>
        <vt:i4>0</vt:i4>
      </vt:variant>
      <vt:variant>
        <vt:i4>5</vt:i4>
      </vt:variant>
      <vt:variant>
        <vt:lpwstr/>
      </vt:variant>
      <vt:variant>
        <vt:lpwstr>Schürmann2007</vt:lpwstr>
      </vt:variant>
      <vt:variant>
        <vt:i4>7143472</vt:i4>
      </vt:variant>
      <vt:variant>
        <vt:i4>2087</vt:i4>
      </vt:variant>
      <vt:variant>
        <vt:i4>0</vt:i4>
      </vt:variant>
      <vt:variant>
        <vt:i4>5</vt:i4>
      </vt:variant>
      <vt:variant>
        <vt:lpwstr/>
      </vt:variant>
      <vt:variant>
        <vt:lpwstr>Lee1995</vt:lpwstr>
      </vt:variant>
      <vt:variant>
        <vt:i4>8257658</vt:i4>
      </vt:variant>
      <vt:variant>
        <vt:i4>2084</vt:i4>
      </vt:variant>
      <vt:variant>
        <vt:i4>0</vt:i4>
      </vt:variant>
      <vt:variant>
        <vt:i4>5</vt:i4>
      </vt:variant>
      <vt:variant>
        <vt:lpwstr/>
      </vt:variant>
      <vt:variant>
        <vt:lpwstr>Ringer2012</vt:lpwstr>
      </vt:variant>
      <vt:variant>
        <vt:i4>196609</vt:i4>
      </vt:variant>
      <vt:variant>
        <vt:i4>2081</vt:i4>
      </vt:variant>
      <vt:variant>
        <vt:i4>0</vt:i4>
      </vt:variant>
      <vt:variant>
        <vt:i4>5</vt:i4>
      </vt:variant>
      <vt:variant>
        <vt:lpwstr/>
      </vt:variant>
      <vt:variant>
        <vt:lpwstr>Moon2012</vt:lpwstr>
      </vt:variant>
      <vt:variant>
        <vt:i4>16580668</vt:i4>
      </vt:variant>
      <vt:variant>
        <vt:i4>2078</vt:i4>
      </vt:variant>
      <vt:variant>
        <vt:i4>0</vt:i4>
      </vt:variant>
      <vt:variant>
        <vt:i4>5</vt:i4>
      </vt:variant>
      <vt:variant>
        <vt:lpwstr/>
      </vt:variant>
      <vt:variant>
        <vt:lpwstr>Wüppenhorst2010</vt:lpwstr>
      </vt:variant>
      <vt:variant>
        <vt:i4>6684797</vt:i4>
      </vt:variant>
      <vt:variant>
        <vt:i4>2075</vt:i4>
      </vt:variant>
      <vt:variant>
        <vt:i4>0</vt:i4>
      </vt:variant>
      <vt:variant>
        <vt:i4>5</vt:i4>
      </vt:variant>
      <vt:variant>
        <vt:lpwstr/>
      </vt:variant>
      <vt:variant>
        <vt:lpwstr>Pankaj2006</vt:lpwstr>
      </vt:variant>
      <vt:variant>
        <vt:i4>6815868</vt:i4>
      </vt:variant>
      <vt:variant>
        <vt:i4>2072</vt:i4>
      </vt:variant>
      <vt:variant>
        <vt:i4>0</vt:i4>
      </vt:variant>
      <vt:variant>
        <vt:i4>5</vt:i4>
      </vt:variant>
      <vt:variant>
        <vt:lpwstr/>
      </vt:variant>
      <vt:variant>
        <vt:lpwstr>Harden2013</vt:lpwstr>
      </vt:variant>
      <vt:variant>
        <vt:i4>7405631</vt:i4>
      </vt:variant>
      <vt:variant>
        <vt:i4>2069</vt:i4>
      </vt:variant>
      <vt:variant>
        <vt:i4>0</vt:i4>
      </vt:variant>
      <vt:variant>
        <vt:i4>5</vt:i4>
      </vt:variant>
      <vt:variant>
        <vt:lpwstr>http://www.rsds.org/4/resources/pdf/ComplexRegionalPainSyndromeDiagnosticTests.pdf</vt:lpwstr>
      </vt:variant>
      <vt:variant>
        <vt:lpwstr/>
      </vt:variant>
      <vt:variant>
        <vt:i4>6488163</vt:i4>
      </vt:variant>
      <vt:variant>
        <vt:i4>2066</vt:i4>
      </vt:variant>
      <vt:variant>
        <vt:i4>0</vt:i4>
      </vt:variant>
      <vt:variant>
        <vt:i4>5</vt:i4>
      </vt:variant>
      <vt:variant>
        <vt:lpwstr/>
      </vt:variant>
      <vt:variant>
        <vt:lpwstr>CRPSpathophysiology</vt:lpwstr>
      </vt:variant>
      <vt:variant>
        <vt:i4>6488163</vt:i4>
      </vt:variant>
      <vt:variant>
        <vt:i4>2063</vt:i4>
      </vt:variant>
      <vt:variant>
        <vt:i4>0</vt:i4>
      </vt:variant>
      <vt:variant>
        <vt:i4>5</vt:i4>
      </vt:variant>
      <vt:variant>
        <vt:lpwstr/>
      </vt:variant>
      <vt:variant>
        <vt:lpwstr>CRPSpathophysiology</vt:lpwstr>
      </vt:variant>
      <vt:variant>
        <vt:i4>7012450</vt:i4>
      </vt:variant>
      <vt:variant>
        <vt:i4>2060</vt:i4>
      </vt:variant>
      <vt:variant>
        <vt:i4>0</vt:i4>
      </vt:variant>
      <vt:variant>
        <vt:i4>5</vt:i4>
      </vt:variant>
      <vt:variant>
        <vt:lpwstr/>
      </vt:variant>
      <vt:variant>
        <vt:lpwstr>CRPSmedications</vt:lpwstr>
      </vt:variant>
      <vt:variant>
        <vt:i4>1441820</vt:i4>
      </vt:variant>
      <vt:variant>
        <vt:i4>2057</vt:i4>
      </vt:variant>
      <vt:variant>
        <vt:i4>0</vt:i4>
      </vt:variant>
      <vt:variant>
        <vt:i4>5</vt:i4>
      </vt:variant>
      <vt:variant>
        <vt:lpwstr/>
      </vt:variant>
      <vt:variant>
        <vt:lpwstr>CRPSsympatheticblocks</vt:lpwstr>
      </vt:variant>
      <vt:variant>
        <vt:i4>1114131</vt:i4>
      </vt:variant>
      <vt:variant>
        <vt:i4>2054</vt:i4>
      </vt:variant>
      <vt:variant>
        <vt:i4>0</vt:i4>
      </vt:variant>
      <vt:variant>
        <vt:i4>5</vt:i4>
      </vt:variant>
      <vt:variant>
        <vt:lpwstr/>
      </vt:variant>
      <vt:variant>
        <vt:lpwstr>CRPStreatment</vt:lpwstr>
      </vt:variant>
      <vt:variant>
        <vt:i4>6684773</vt:i4>
      </vt:variant>
      <vt:variant>
        <vt:i4>2051</vt:i4>
      </vt:variant>
      <vt:variant>
        <vt:i4>0</vt:i4>
      </vt:variant>
      <vt:variant>
        <vt:i4>5</vt:i4>
      </vt:variant>
      <vt:variant>
        <vt:lpwstr/>
      </vt:variant>
      <vt:variant>
        <vt:lpwstr>CRPSdiagnostictests</vt:lpwstr>
      </vt:variant>
      <vt:variant>
        <vt:i4>6488163</vt:i4>
      </vt:variant>
      <vt:variant>
        <vt:i4>2048</vt:i4>
      </vt:variant>
      <vt:variant>
        <vt:i4>0</vt:i4>
      </vt:variant>
      <vt:variant>
        <vt:i4>5</vt:i4>
      </vt:variant>
      <vt:variant>
        <vt:lpwstr/>
      </vt:variant>
      <vt:variant>
        <vt:lpwstr>CRPSpathophysiology</vt:lpwstr>
      </vt:variant>
      <vt:variant>
        <vt:i4>7602298</vt:i4>
      </vt:variant>
      <vt:variant>
        <vt:i4>2045</vt:i4>
      </vt:variant>
      <vt:variant>
        <vt:i4>0</vt:i4>
      </vt:variant>
      <vt:variant>
        <vt:i4>5</vt:i4>
      </vt:variant>
      <vt:variant>
        <vt:lpwstr/>
      </vt:variant>
      <vt:variant>
        <vt:lpwstr>Injectionwithanaestheticsandorsteroids</vt:lpwstr>
      </vt:variant>
      <vt:variant>
        <vt:i4>8061046</vt:i4>
      </vt:variant>
      <vt:variant>
        <vt:i4>2042</vt:i4>
      </vt:variant>
      <vt:variant>
        <vt:i4>0</vt:i4>
      </vt:variant>
      <vt:variant>
        <vt:i4>5</vt:i4>
      </vt:variant>
      <vt:variant>
        <vt:lpwstr/>
      </vt:variant>
      <vt:variant>
        <vt:lpwstr>Oralcorticosteroids</vt:lpwstr>
      </vt:variant>
      <vt:variant>
        <vt:i4>7929972</vt:i4>
      </vt:variant>
      <vt:variant>
        <vt:i4>2039</vt:i4>
      </vt:variant>
      <vt:variant>
        <vt:i4>0</vt:i4>
      </vt:variant>
      <vt:variant>
        <vt:i4>5</vt:i4>
      </vt:variant>
      <vt:variant>
        <vt:lpwstr/>
      </vt:variant>
      <vt:variant>
        <vt:lpwstr>Repackageddrugs</vt:lpwstr>
      </vt:variant>
      <vt:variant>
        <vt:i4>6881380</vt:i4>
      </vt:variant>
      <vt:variant>
        <vt:i4>2036</vt:i4>
      </vt:variant>
      <vt:variant>
        <vt:i4>0</vt:i4>
      </vt:variant>
      <vt:variant>
        <vt:i4>5</vt:i4>
      </vt:variant>
      <vt:variant>
        <vt:lpwstr/>
      </vt:variant>
      <vt:variant>
        <vt:lpwstr>Physiciandispenseddrugs</vt:lpwstr>
      </vt:variant>
      <vt:variant>
        <vt:i4>6553705</vt:i4>
      </vt:variant>
      <vt:variant>
        <vt:i4>2033</vt:i4>
      </vt:variant>
      <vt:variant>
        <vt:i4>0</vt:i4>
      </vt:variant>
      <vt:variant>
        <vt:i4>5</vt:i4>
      </vt:variant>
      <vt:variant>
        <vt:lpwstr/>
      </vt:variant>
      <vt:variant>
        <vt:lpwstr>Medicalfood</vt:lpwstr>
      </vt:variant>
      <vt:variant>
        <vt:i4>1769502</vt:i4>
      </vt:variant>
      <vt:variant>
        <vt:i4>2030</vt:i4>
      </vt:variant>
      <vt:variant>
        <vt:i4>0</vt:i4>
      </vt:variant>
      <vt:variant>
        <vt:i4>5</vt:i4>
      </vt:variant>
      <vt:variant>
        <vt:lpwstr/>
      </vt:variant>
      <vt:variant>
        <vt:lpwstr>Compounddrugs</vt:lpwstr>
      </vt:variant>
      <vt:variant>
        <vt:i4>6553705</vt:i4>
      </vt:variant>
      <vt:variant>
        <vt:i4>2027</vt:i4>
      </vt:variant>
      <vt:variant>
        <vt:i4>0</vt:i4>
      </vt:variant>
      <vt:variant>
        <vt:i4>5</vt:i4>
      </vt:variant>
      <vt:variant>
        <vt:lpwstr/>
      </vt:variant>
      <vt:variant>
        <vt:lpwstr>Medicalfood</vt:lpwstr>
      </vt:variant>
      <vt:variant>
        <vt:i4>6422628</vt:i4>
      </vt:variant>
      <vt:variant>
        <vt:i4>2024</vt:i4>
      </vt:variant>
      <vt:variant>
        <vt:i4>0</vt:i4>
      </vt:variant>
      <vt:variant>
        <vt:i4>5</vt:i4>
      </vt:variant>
      <vt:variant>
        <vt:lpwstr/>
      </vt:variant>
      <vt:variant>
        <vt:lpwstr>Ryzolt</vt:lpwstr>
      </vt:variant>
      <vt:variant>
        <vt:i4>2162787</vt:i4>
      </vt:variant>
      <vt:variant>
        <vt:i4>2021</vt:i4>
      </vt:variant>
      <vt:variant>
        <vt:i4>0</vt:i4>
      </vt:variant>
      <vt:variant>
        <vt:i4>5</vt:i4>
      </vt:variant>
      <vt:variant>
        <vt:lpwstr>http://www.fda.gov/downloads/Drugs/DrugSafety/PostmarketDrugSafetyInformationforPatientsandProviders/UCM170868.pdf</vt:lpwstr>
      </vt:variant>
      <vt:variant>
        <vt:lpwstr/>
      </vt:variant>
      <vt:variant>
        <vt:i4>8192005</vt:i4>
      </vt:variant>
      <vt:variant>
        <vt:i4>2018</vt:i4>
      </vt:variant>
      <vt:variant>
        <vt:i4>0</vt:i4>
      </vt:variant>
      <vt:variant>
        <vt:i4>5</vt:i4>
      </vt:variant>
      <vt:variant>
        <vt:lpwstr>http://www.accessdata.fda.gov/drugsatfda_docs/nda/2010/022370Orig1s000MedR.pdf</vt:lpwstr>
      </vt:variant>
      <vt:variant>
        <vt:lpwstr/>
      </vt:variant>
      <vt:variant>
        <vt:i4>8192005</vt:i4>
      </vt:variant>
      <vt:variant>
        <vt:i4>2015</vt:i4>
      </vt:variant>
      <vt:variant>
        <vt:i4>0</vt:i4>
      </vt:variant>
      <vt:variant>
        <vt:i4>5</vt:i4>
      </vt:variant>
      <vt:variant>
        <vt:lpwstr>http://www.accessdata.fda.gov/drugsatfda_docs/nda/2010/022370Orig1s000MedR.pdf</vt:lpwstr>
      </vt:variant>
      <vt:variant>
        <vt:lpwstr/>
      </vt:variant>
      <vt:variant>
        <vt:i4>5374036</vt:i4>
      </vt:variant>
      <vt:variant>
        <vt:i4>2012</vt:i4>
      </vt:variant>
      <vt:variant>
        <vt:i4>0</vt:i4>
      </vt:variant>
      <vt:variant>
        <vt:i4>5</vt:i4>
      </vt:variant>
      <vt:variant>
        <vt:lpwstr>http://biotuesdays.com/2011/06/29/vertical-pharma-to-distribute-cipher%E2%80%99s-tramadol-in-u-s/</vt:lpwstr>
      </vt:variant>
      <vt:variant>
        <vt:lpwstr/>
      </vt:variant>
      <vt:variant>
        <vt:i4>1507355</vt:i4>
      </vt:variant>
      <vt:variant>
        <vt:i4>2009</vt:i4>
      </vt:variant>
      <vt:variant>
        <vt:i4>0</vt:i4>
      </vt:variant>
      <vt:variant>
        <vt:i4>5</vt:i4>
      </vt:variant>
      <vt:variant>
        <vt:lpwstr/>
      </vt:variant>
      <vt:variant>
        <vt:lpwstr>Tramadol</vt:lpwstr>
      </vt:variant>
      <vt:variant>
        <vt:i4>6488166</vt:i4>
      </vt:variant>
      <vt:variant>
        <vt:i4>2006</vt:i4>
      </vt:variant>
      <vt:variant>
        <vt:i4>0</vt:i4>
      </vt:variant>
      <vt:variant>
        <vt:i4>5</vt:i4>
      </vt:variant>
      <vt:variant>
        <vt:lpwstr/>
      </vt:variant>
      <vt:variant>
        <vt:lpwstr>Opioidinducedconstipationtreatment</vt:lpwstr>
      </vt:variant>
      <vt:variant>
        <vt:i4>7995512</vt:i4>
      </vt:variant>
      <vt:variant>
        <vt:i4>2003</vt:i4>
      </vt:variant>
      <vt:variant>
        <vt:i4>0</vt:i4>
      </vt:variant>
      <vt:variant>
        <vt:i4>5</vt:i4>
      </vt:variant>
      <vt:variant>
        <vt:lpwstr/>
      </vt:variant>
      <vt:variant>
        <vt:lpwstr>Topicalanalgesicscompounded</vt:lpwstr>
      </vt:variant>
      <vt:variant>
        <vt:i4>1441818</vt:i4>
      </vt:variant>
      <vt:variant>
        <vt:i4>2000</vt:i4>
      </vt:variant>
      <vt:variant>
        <vt:i4>0</vt:i4>
      </vt:variant>
      <vt:variant>
        <vt:i4>5</vt:i4>
      </vt:variant>
      <vt:variant>
        <vt:lpwstr/>
      </vt:variant>
      <vt:variant>
        <vt:lpwstr>Wynn2011</vt:lpwstr>
      </vt:variant>
      <vt:variant>
        <vt:i4>7995512</vt:i4>
      </vt:variant>
      <vt:variant>
        <vt:i4>1997</vt:i4>
      </vt:variant>
      <vt:variant>
        <vt:i4>0</vt:i4>
      </vt:variant>
      <vt:variant>
        <vt:i4>5</vt:i4>
      </vt:variant>
      <vt:variant>
        <vt:lpwstr/>
      </vt:variant>
      <vt:variant>
        <vt:lpwstr>Topicalanalgesicscompounded</vt:lpwstr>
      </vt:variant>
      <vt:variant>
        <vt:i4>1441818</vt:i4>
      </vt:variant>
      <vt:variant>
        <vt:i4>1994</vt:i4>
      </vt:variant>
      <vt:variant>
        <vt:i4>0</vt:i4>
      </vt:variant>
      <vt:variant>
        <vt:i4>5</vt:i4>
      </vt:variant>
      <vt:variant>
        <vt:lpwstr/>
      </vt:variant>
      <vt:variant>
        <vt:lpwstr>Wynn2011</vt:lpwstr>
      </vt:variant>
      <vt:variant>
        <vt:i4>7995512</vt:i4>
      </vt:variant>
      <vt:variant>
        <vt:i4>1991</vt:i4>
      </vt:variant>
      <vt:variant>
        <vt:i4>0</vt:i4>
      </vt:variant>
      <vt:variant>
        <vt:i4>5</vt:i4>
      </vt:variant>
      <vt:variant>
        <vt:lpwstr/>
      </vt:variant>
      <vt:variant>
        <vt:lpwstr>Topicalanalgesicscompounded</vt:lpwstr>
      </vt:variant>
      <vt:variant>
        <vt:i4>7995512</vt:i4>
      </vt:variant>
      <vt:variant>
        <vt:i4>1988</vt:i4>
      </vt:variant>
      <vt:variant>
        <vt:i4>0</vt:i4>
      </vt:variant>
      <vt:variant>
        <vt:i4>5</vt:i4>
      </vt:variant>
      <vt:variant>
        <vt:lpwstr/>
      </vt:variant>
      <vt:variant>
        <vt:lpwstr>Topicalanalgesicscompounded</vt:lpwstr>
      </vt:variant>
      <vt:variant>
        <vt:i4>7929972</vt:i4>
      </vt:variant>
      <vt:variant>
        <vt:i4>1985</vt:i4>
      </vt:variant>
      <vt:variant>
        <vt:i4>0</vt:i4>
      </vt:variant>
      <vt:variant>
        <vt:i4>5</vt:i4>
      </vt:variant>
      <vt:variant>
        <vt:lpwstr/>
      </vt:variant>
      <vt:variant>
        <vt:lpwstr>Repackageddrugs</vt:lpwstr>
      </vt:variant>
      <vt:variant>
        <vt:i4>6881380</vt:i4>
      </vt:variant>
      <vt:variant>
        <vt:i4>1982</vt:i4>
      </vt:variant>
      <vt:variant>
        <vt:i4>0</vt:i4>
      </vt:variant>
      <vt:variant>
        <vt:i4>5</vt:i4>
      </vt:variant>
      <vt:variant>
        <vt:lpwstr/>
      </vt:variant>
      <vt:variant>
        <vt:lpwstr>Physiciandispenseddrugs</vt:lpwstr>
      </vt:variant>
      <vt:variant>
        <vt:i4>6553705</vt:i4>
      </vt:variant>
      <vt:variant>
        <vt:i4>1979</vt:i4>
      </vt:variant>
      <vt:variant>
        <vt:i4>0</vt:i4>
      </vt:variant>
      <vt:variant>
        <vt:i4>5</vt:i4>
      </vt:variant>
      <vt:variant>
        <vt:lpwstr/>
      </vt:variant>
      <vt:variant>
        <vt:lpwstr>Medicalfood</vt:lpwstr>
      </vt:variant>
      <vt:variant>
        <vt:i4>7340129</vt:i4>
      </vt:variant>
      <vt:variant>
        <vt:i4>1976</vt:i4>
      </vt:variant>
      <vt:variant>
        <vt:i4>0</vt:i4>
      </vt:variant>
      <vt:variant>
        <vt:i4>5</vt:i4>
      </vt:variant>
      <vt:variant>
        <vt:lpwstr/>
      </vt:variant>
      <vt:variant>
        <vt:lpwstr>Copackdrugs</vt:lpwstr>
      </vt:variant>
      <vt:variant>
        <vt:i4>3211332</vt:i4>
      </vt:variant>
      <vt:variant>
        <vt:i4>1973</vt:i4>
      </vt:variant>
      <vt:variant>
        <vt:i4>0</vt:i4>
      </vt:variant>
      <vt:variant>
        <vt:i4>5</vt:i4>
      </vt:variant>
      <vt:variant>
        <vt:lpwstr>http://www.fda.gov/OHRMS/DOCKETS/98fr/02D-0242_gdl0001.pdf</vt:lpwstr>
      </vt:variant>
      <vt:variant>
        <vt:lpwstr/>
      </vt:variant>
      <vt:variant>
        <vt:i4>7995512</vt:i4>
      </vt:variant>
      <vt:variant>
        <vt:i4>1970</vt:i4>
      </vt:variant>
      <vt:variant>
        <vt:i4>0</vt:i4>
      </vt:variant>
      <vt:variant>
        <vt:i4>5</vt:i4>
      </vt:variant>
      <vt:variant>
        <vt:lpwstr/>
      </vt:variant>
      <vt:variant>
        <vt:lpwstr>Topicalanalgesicscompounded</vt:lpwstr>
      </vt:variant>
      <vt:variant>
        <vt:i4>1441818</vt:i4>
      </vt:variant>
      <vt:variant>
        <vt:i4>1967</vt:i4>
      </vt:variant>
      <vt:variant>
        <vt:i4>0</vt:i4>
      </vt:variant>
      <vt:variant>
        <vt:i4>5</vt:i4>
      </vt:variant>
      <vt:variant>
        <vt:lpwstr/>
      </vt:variant>
      <vt:variant>
        <vt:lpwstr>Wynn2011</vt:lpwstr>
      </vt:variant>
      <vt:variant>
        <vt:i4>65555</vt:i4>
      </vt:variant>
      <vt:variant>
        <vt:i4>1964</vt:i4>
      </vt:variant>
      <vt:variant>
        <vt:i4>0</vt:i4>
      </vt:variant>
      <vt:variant>
        <vt:i4>5</vt:i4>
      </vt:variant>
      <vt:variant>
        <vt:lpwstr/>
      </vt:variant>
      <vt:variant>
        <vt:lpwstr>CRPS</vt:lpwstr>
      </vt:variant>
      <vt:variant>
        <vt:i4>65561</vt:i4>
      </vt:variant>
      <vt:variant>
        <vt:i4>1961</vt:i4>
      </vt:variant>
      <vt:variant>
        <vt:i4>0</vt:i4>
      </vt:variant>
      <vt:variant>
        <vt:i4>5</vt:i4>
      </vt:variant>
      <vt:variant>
        <vt:lpwstr/>
      </vt:variant>
      <vt:variant>
        <vt:lpwstr>Psychologicalevaluations</vt:lpwstr>
      </vt:variant>
      <vt:variant>
        <vt:i4>2359422</vt:i4>
      </vt:variant>
      <vt:variant>
        <vt:i4>1958</vt:i4>
      </vt:variant>
      <vt:variant>
        <vt:i4>0</vt:i4>
      </vt:variant>
      <vt:variant>
        <vt:i4>5</vt:i4>
      </vt:variant>
      <vt:variant>
        <vt:lpwstr/>
      </vt:variant>
      <vt:variant>
        <vt:lpwstr>Dersh2</vt:lpwstr>
      </vt:variant>
      <vt:variant>
        <vt:i4>1441814</vt:i4>
      </vt:variant>
      <vt:variant>
        <vt:i4>1955</vt:i4>
      </vt:variant>
      <vt:variant>
        <vt:i4>0</vt:i4>
      </vt:variant>
      <vt:variant>
        <vt:i4>5</vt:i4>
      </vt:variant>
      <vt:variant>
        <vt:lpwstr/>
      </vt:variant>
      <vt:variant>
        <vt:lpwstr>Dersh</vt:lpwstr>
      </vt:variant>
      <vt:variant>
        <vt:i4>7602298</vt:i4>
      </vt:variant>
      <vt:variant>
        <vt:i4>1952</vt:i4>
      </vt:variant>
      <vt:variant>
        <vt:i4>0</vt:i4>
      </vt:variant>
      <vt:variant>
        <vt:i4>5</vt:i4>
      </vt:variant>
      <vt:variant>
        <vt:lpwstr/>
      </vt:variant>
      <vt:variant>
        <vt:lpwstr>Delayedrecovery</vt:lpwstr>
      </vt:variant>
      <vt:variant>
        <vt:i4>1310748</vt:i4>
      </vt:variant>
      <vt:variant>
        <vt:i4>1949</vt:i4>
      </vt:variant>
      <vt:variant>
        <vt:i4>0</vt:i4>
      </vt:variant>
      <vt:variant>
        <vt:i4>5</vt:i4>
      </vt:variant>
      <vt:variant>
        <vt:lpwstr/>
      </vt:variant>
      <vt:variant>
        <vt:lpwstr>Lowlevellasertherapy</vt:lpwstr>
      </vt:variant>
      <vt:variant>
        <vt:i4>8061043</vt:i4>
      </vt:variant>
      <vt:variant>
        <vt:i4>1946</vt:i4>
      </vt:variant>
      <vt:variant>
        <vt:i4>0</vt:i4>
      </vt:variant>
      <vt:variant>
        <vt:i4>5</vt:i4>
      </vt:variant>
      <vt:variant>
        <vt:lpwstr/>
      </vt:variant>
      <vt:variant>
        <vt:lpwstr>Multidisciplinarytreatment</vt:lpwstr>
      </vt:variant>
      <vt:variant>
        <vt:i4>7078005</vt:i4>
      </vt:variant>
      <vt:variant>
        <vt:i4>1943</vt:i4>
      </vt:variant>
      <vt:variant>
        <vt:i4>0</vt:i4>
      </vt:variant>
      <vt:variant>
        <vt:i4>5</vt:i4>
      </vt:variant>
      <vt:variant>
        <vt:lpwstr/>
      </vt:variant>
      <vt:variant>
        <vt:lpwstr>Psychologicaltreatment</vt:lpwstr>
      </vt:variant>
      <vt:variant>
        <vt:i4>6750307</vt:i4>
      </vt:variant>
      <vt:variant>
        <vt:i4>1940</vt:i4>
      </vt:variant>
      <vt:variant>
        <vt:i4>0</vt:i4>
      </vt:variant>
      <vt:variant>
        <vt:i4>5</vt:i4>
      </vt:variant>
      <vt:variant>
        <vt:lpwstr/>
      </vt:variant>
      <vt:variant>
        <vt:lpwstr>Behavioralinterventions</vt:lpwstr>
      </vt:variant>
      <vt:variant>
        <vt:i4>1245210</vt:i4>
      </vt:variant>
      <vt:variant>
        <vt:i4>1937</vt:i4>
      </vt:variant>
      <vt:variant>
        <vt:i4>0</vt:i4>
      </vt:variant>
      <vt:variant>
        <vt:i4>5</vt:i4>
      </vt:variant>
      <vt:variant>
        <vt:lpwstr/>
      </vt:variant>
      <vt:variant>
        <vt:lpwstr>LexiComp</vt:lpwstr>
      </vt:variant>
      <vt:variant>
        <vt:i4>983062</vt:i4>
      </vt:variant>
      <vt:variant>
        <vt:i4>1934</vt:i4>
      </vt:variant>
      <vt:variant>
        <vt:i4>0</vt:i4>
      </vt:variant>
      <vt:variant>
        <vt:i4>5</vt:i4>
      </vt:variant>
      <vt:variant>
        <vt:lpwstr/>
      </vt:variant>
      <vt:variant>
        <vt:lpwstr>ClinicalPharmacology</vt:lpwstr>
      </vt:variant>
      <vt:variant>
        <vt:i4>7929955</vt:i4>
      </vt:variant>
      <vt:variant>
        <vt:i4>1931</vt:i4>
      </vt:variant>
      <vt:variant>
        <vt:i4>0</vt:i4>
      </vt:variant>
      <vt:variant>
        <vt:i4>5</vt:i4>
      </vt:variant>
      <vt:variant>
        <vt:lpwstr/>
      </vt:variant>
      <vt:variant>
        <vt:lpwstr>AHFSDrugInformation</vt:lpwstr>
      </vt:variant>
      <vt:variant>
        <vt:i4>7667832</vt:i4>
      </vt:variant>
      <vt:variant>
        <vt:i4>1928</vt:i4>
      </vt:variant>
      <vt:variant>
        <vt:i4>0</vt:i4>
      </vt:variant>
      <vt:variant>
        <vt:i4>5</vt:i4>
      </vt:variant>
      <vt:variant>
        <vt:lpwstr/>
      </vt:variant>
      <vt:variant>
        <vt:lpwstr>CodeineListing</vt:lpwstr>
      </vt:variant>
      <vt:variant>
        <vt:i4>6422587</vt:i4>
      </vt:variant>
      <vt:variant>
        <vt:i4>1925</vt:i4>
      </vt:variant>
      <vt:variant>
        <vt:i4>0</vt:i4>
      </vt:variant>
      <vt:variant>
        <vt:i4>5</vt:i4>
      </vt:variant>
      <vt:variant>
        <vt:lpwstr/>
      </vt:variant>
      <vt:variant>
        <vt:lpwstr>Ray2013</vt:lpwstr>
      </vt:variant>
      <vt:variant>
        <vt:i4>7536750</vt:i4>
      </vt:variant>
      <vt:variant>
        <vt:i4>1922</vt:i4>
      </vt:variant>
      <vt:variant>
        <vt:i4>0</vt:i4>
      </vt:variant>
      <vt:variant>
        <vt:i4>5</vt:i4>
      </vt:variant>
      <vt:variant>
        <vt:lpwstr/>
      </vt:variant>
      <vt:variant>
        <vt:lpwstr>Benzodiazepines</vt:lpwstr>
      </vt:variant>
      <vt:variant>
        <vt:i4>7012453</vt:i4>
      </vt:variant>
      <vt:variant>
        <vt:i4>1919</vt:i4>
      </vt:variant>
      <vt:variant>
        <vt:i4>0</vt:i4>
      </vt:variant>
      <vt:variant>
        <vt:i4>5</vt:i4>
      </vt:variant>
      <vt:variant>
        <vt:lpwstr/>
      </vt:variant>
      <vt:variant>
        <vt:lpwstr>Taricco</vt:lpwstr>
      </vt:variant>
      <vt:variant>
        <vt:i4>6357110</vt:i4>
      </vt:variant>
      <vt:variant>
        <vt:i4>1916</vt:i4>
      </vt:variant>
      <vt:variant>
        <vt:i4>0</vt:i4>
      </vt:variant>
      <vt:variant>
        <vt:i4>5</vt:i4>
      </vt:variant>
      <vt:variant>
        <vt:lpwstr/>
      </vt:variant>
      <vt:variant>
        <vt:lpwstr>Siddall</vt:lpwstr>
      </vt:variant>
      <vt:variant>
        <vt:i4>8257634</vt:i4>
      </vt:variant>
      <vt:variant>
        <vt:i4>1913</vt:i4>
      </vt:variant>
      <vt:variant>
        <vt:i4>0</vt:i4>
      </vt:variant>
      <vt:variant>
        <vt:i4>5</vt:i4>
      </vt:variant>
      <vt:variant>
        <vt:lpwstr/>
      </vt:variant>
      <vt:variant>
        <vt:lpwstr>Roberts</vt:lpwstr>
      </vt:variant>
      <vt:variant>
        <vt:i4>7077987</vt:i4>
      </vt:variant>
      <vt:variant>
        <vt:i4>1910</vt:i4>
      </vt:variant>
      <vt:variant>
        <vt:i4>0</vt:i4>
      </vt:variant>
      <vt:variant>
        <vt:i4>5</vt:i4>
      </vt:variant>
      <vt:variant>
        <vt:lpwstr/>
      </vt:variant>
      <vt:variant>
        <vt:lpwstr>Raphael</vt:lpwstr>
      </vt:variant>
      <vt:variant>
        <vt:i4>8061046</vt:i4>
      </vt:variant>
      <vt:variant>
        <vt:i4>1907</vt:i4>
      </vt:variant>
      <vt:variant>
        <vt:i4>0</vt:i4>
      </vt:variant>
      <vt:variant>
        <vt:i4>5</vt:i4>
      </vt:variant>
      <vt:variant>
        <vt:lpwstr/>
      </vt:variant>
      <vt:variant>
        <vt:lpwstr>Martin</vt:lpwstr>
      </vt:variant>
      <vt:variant>
        <vt:i4>5767175</vt:i4>
      </vt:variant>
      <vt:variant>
        <vt:i4>1904</vt:i4>
      </vt:variant>
      <vt:variant>
        <vt:i4>0</vt:i4>
      </vt:variant>
      <vt:variant>
        <vt:i4>5</vt:i4>
      </vt:variant>
      <vt:variant>
        <vt:lpwstr/>
      </vt:variant>
      <vt:variant>
        <vt:lpwstr>Hassenbusch2</vt:lpwstr>
      </vt:variant>
      <vt:variant>
        <vt:i4>327705</vt:i4>
      </vt:variant>
      <vt:variant>
        <vt:i4>1901</vt:i4>
      </vt:variant>
      <vt:variant>
        <vt:i4>0</vt:i4>
      </vt:variant>
      <vt:variant>
        <vt:i4>5</vt:i4>
      </vt:variant>
      <vt:variant>
        <vt:lpwstr/>
      </vt:variant>
      <vt:variant>
        <vt:lpwstr>Ackermann</vt:lpwstr>
      </vt:variant>
      <vt:variant>
        <vt:i4>327705</vt:i4>
      </vt:variant>
      <vt:variant>
        <vt:i4>1898</vt:i4>
      </vt:variant>
      <vt:variant>
        <vt:i4>0</vt:i4>
      </vt:variant>
      <vt:variant>
        <vt:i4>5</vt:i4>
      </vt:variant>
      <vt:variant>
        <vt:lpwstr/>
      </vt:variant>
      <vt:variant>
        <vt:lpwstr>Ackerman</vt:lpwstr>
      </vt:variant>
      <vt:variant>
        <vt:i4>7536750</vt:i4>
      </vt:variant>
      <vt:variant>
        <vt:i4>1895</vt:i4>
      </vt:variant>
      <vt:variant>
        <vt:i4>0</vt:i4>
      </vt:variant>
      <vt:variant>
        <vt:i4>5</vt:i4>
      </vt:variant>
      <vt:variant>
        <vt:lpwstr/>
      </vt:variant>
      <vt:variant>
        <vt:lpwstr>Benzodiazepines</vt:lpwstr>
      </vt:variant>
      <vt:variant>
        <vt:i4>1703937</vt:i4>
      </vt:variant>
      <vt:variant>
        <vt:i4>1892</vt:i4>
      </vt:variant>
      <vt:variant>
        <vt:i4>0</vt:i4>
      </vt:variant>
      <vt:variant>
        <vt:i4>5</vt:i4>
      </vt:variant>
      <vt:variant>
        <vt:lpwstr/>
      </vt:variant>
      <vt:variant>
        <vt:lpwstr>SSRIs</vt:lpwstr>
      </vt:variant>
      <vt:variant>
        <vt:i4>7798887</vt:i4>
      </vt:variant>
      <vt:variant>
        <vt:i4>1888</vt:i4>
      </vt:variant>
      <vt:variant>
        <vt:i4>0</vt:i4>
      </vt:variant>
      <vt:variant>
        <vt:i4>5</vt:i4>
      </vt:variant>
      <vt:variant>
        <vt:lpwstr/>
      </vt:variant>
      <vt:variant>
        <vt:lpwstr>Chronicpainprograms</vt:lpwstr>
      </vt:variant>
      <vt:variant>
        <vt:i4>4390979</vt:i4>
      </vt:variant>
      <vt:variant>
        <vt:i4>1886</vt:i4>
      </vt:variant>
      <vt:variant>
        <vt:i4>0</vt:i4>
      </vt:variant>
      <vt:variant>
        <vt:i4>5</vt:i4>
      </vt:variant>
      <vt:variant>
        <vt:lpwstr>http://www.odg-twc.com/odgtwc/pain.htm</vt:lpwstr>
      </vt:variant>
      <vt:variant>
        <vt:lpwstr>Chronicpainprograms#Chronicpainprograms</vt:lpwstr>
      </vt:variant>
      <vt:variant>
        <vt:i4>1114122</vt:i4>
      </vt:variant>
      <vt:variant>
        <vt:i4>1883</vt:i4>
      </vt:variant>
      <vt:variant>
        <vt:i4>0</vt:i4>
      </vt:variant>
      <vt:variant>
        <vt:i4>5</vt:i4>
      </vt:variant>
      <vt:variant>
        <vt:lpwstr/>
      </vt:variant>
      <vt:variant>
        <vt:lpwstr>Maclaren</vt:lpwstr>
      </vt:variant>
      <vt:variant>
        <vt:i4>7471228</vt:i4>
      </vt:variant>
      <vt:variant>
        <vt:i4>1880</vt:i4>
      </vt:variant>
      <vt:variant>
        <vt:i4>0</vt:i4>
      </vt:variant>
      <vt:variant>
        <vt:i4>5</vt:i4>
      </vt:variant>
      <vt:variant>
        <vt:lpwstr/>
      </vt:variant>
      <vt:variant>
        <vt:lpwstr>Crisostomo</vt:lpwstr>
      </vt:variant>
      <vt:variant>
        <vt:i4>524316</vt:i4>
      </vt:variant>
      <vt:variant>
        <vt:i4>1877</vt:i4>
      </vt:variant>
      <vt:variant>
        <vt:i4>0</vt:i4>
      </vt:variant>
      <vt:variant>
        <vt:i4>5</vt:i4>
      </vt:variant>
      <vt:variant>
        <vt:lpwstr/>
      </vt:variant>
      <vt:variant>
        <vt:lpwstr>Townsend2008</vt:lpwstr>
      </vt:variant>
      <vt:variant>
        <vt:i4>655391</vt:i4>
      </vt:variant>
      <vt:variant>
        <vt:i4>1874</vt:i4>
      </vt:variant>
      <vt:variant>
        <vt:i4>0</vt:i4>
      </vt:variant>
      <vt:variant>
        <vt:i4>5</vt:i4>
      </vt:variant>
      <vt:variant>
        <vt:lpwstr/>
      </vt:variant>
      <vt:variant>
        <vt:lpwstr>Rome</vt:lpwstr>
      </vt:variant>
      <vt:variant>
        <vt:i4>1310798</vt:i4>
      </vt:variant>
      <vt:variant>
        <vt:i4>1871</vt:i4>
      </vt:variant>
      <vt:variant>
        <vt:i4>0</vt:i4>
      </vt:variant>
      <vt:variant>
        <vt:i4>5</vt:i4>
      </vt:variant>
      <vt:variant>
        <vt:lpwstr/>
      </vt:variant>
      <vt:variant>
        <vt:lpwstr>Dersh2007</vt:lpwstr>
      </vt:variant>
      <vt:variant>
        <vt:i4>1310798</vt:i4>
      </vt:variant>
      <vt:variant>
        <vt:i4>1868</vt:i4>
      </vt:variant>
      <vt:variant>
        <vt:i4>0</vt:i4>
      </vt:variant>
      <vt:variant>
        <vt:i4>5</vt:i4>
      </vt:variant>
      <vt:variant>
        <vt:lpwstr/>
      </vt:variant>
      <vt:variant>
        <vt:lpwstr>Dersh2008</vt:lpwstr>
      </vt:variant>
      <vt:variant>
        <vt:i4>1310798</vt:i4>
      </vt:variant>
      <vt:variant>
        <vt:i4>1865</vt:i4>
      </vt:variant>
      <vt:variant>
        <vt:i4>0</vt:i4>
      </vt:variant>
      <vt:variant>
        <vt:i4>5</vt:i4>
      </vt:variant>
      <vt:variant>
        <vt:lpwstr/>
      </vt:variant>
      <vt:variant>
        <vt:lpwstr>Dersh2008</vt:lpwstr>
      </vt:variant>
      <vt:variant>
        <vt:i4>7798887</vt:i4>
      </vt:variant>
      <vt:variant>
        <vt:i4>1862</vt:i4>
      </vt:variant>
      <vt:variant>
        <vt:i4>0</vt:i4>
      </vt:variant>
      <vt:variant>
        <vt:i4>5</vt:i4>
      </vt:variant>
      <vt:variant>
        <vt:lpwstr/>
      </vt:variant>
      <vt:variant>
        <vt:lpwstr>Chronicpainprograms</vt:lpwstr>
      </vt:variant>
      <vt:variant>
        <vt:i4>1179672</vt:i4>
      </vt:variant>
      <vt:variant>
        <vt:i4>1859</vt:i4>
      </vt:variant>
      <vt:variant>
        <vt:i4>0</vt:i4>
      </vt:variant>
      <vt:variant>
        <vt:i4>5</vt:i4>
      </vt:variant>
      <vt:variant>
        <vt:lpwstr/>
      </vt:variant>
      <vt:variant>
        <vt:lpwstr>Haldorsen</vt:lpwstr>
      </vt:variant>
      <vt:variant>
        <vt:i4>7340153</vt:i4>
      </vt:variant>
      <vt:variant>
        <vt:i4>1856</vt:i4>
      </vt:variant>
      <vt:variant>
        <vt:i4>0</vt:i4>
      </vt:variant>
      <vt:variant>
        <vt:i4>5</vt:i4>
      </vt:variant>
      <vt:variant>
        <vt:lpwstr/>
      </vt:variant>
      <vt:variant>
        <vt:lpwstr>Skouen</vt:lpwstr>
      </vt:variant>
      <vt:variant>
        <vt:i4>851976</vt:i4>
      </vt:variant>
      <vt:variant>
        <vt:i4>1853</vt:i4>
      </vt:variant>
      <vt:variant>
        <vt:i4>0</vt:i4>
      </vt:variant>
      <vt:variant>
        <vt:i4>5</vt:i4>
      </vt:variant>
      <vt:variant>
        <vt:lpwstr/>
      </vt:variant>
      <vt:variant>
        <vt:lpwstr>Chronicpainprogramsearlyintervention</vt:lpwstr>
      </vt:variant>
      <vt:variant>
        <vt:i4>7798887</vt:i4>
      </vt:variant>
      <vt:variant>
        <vt:i4>1850</vt:i4>
      </vt:variant>
      <vt:variant>
        <vt:i4>0</vt:i4>
      </vt:variant>
      <vt:variant>
        <vt:i4>5</vt:i4>
      </vt:variant>
      <vt:variant>
        <vt:lpwstr/>
      </vt:variant>
      <vt:variant>
        <vt:lpwstr>Chronicpainprograms</vt:lpwstr>
      </vt:variant>
      <vt:variant>
        <vt:i4>6619175</vt:i4>
      </vt:variant>
      <vt:variant>
        <vt:i4>1847</vt:i4>
      </vt:variant>
      <vt:variant>
        <vt:i4>0</vt:i4>
      </vt:variant>
      <vt:variant>
        <vt:i4>5</vt:i4>
      </vt:variant>
      <vt:variant>
        <vt:lpwstr/>
      </vt:variant>
      <vt:variant>
        <vt:lpwstr>Gatchel2003</vt:lpwstr>
      </vt:variant>
      <vt:variant>
        <vt:i4>3539046</vt:i4>
      </vt:variant>
      <vt:variant>
        <vt:i4>1844</vt:i4>
      </vt:variant>
      <vt:variant>
        <vt:i4>0</vt:i4>
      </vt:variant>
      <vt:variant>
        <vt:i4>5</vt:i4>
      </vt:variant>
      <vt:variant>
        <vt:lpwstr/>
      </vt:variant>
      <vt:variant>
        <vt:lpwstr>Mayer2</vt:lpwstr>
      </vt:variant>
      <vt:variant>
        <vt:i4>7602298</vt:i4>
      </vt:variant>
      <vt:variant>
        <vt:i4>1841</vt:i4>
      </vt:variant>
      <vt:variant>
        <vt:i4>0</vt:i4>
      </vt:variant>
      <vt:variant>
        <vt:i4>5</vt:i4>
      </vt:variant>
      <vt:variant>
        <vt:lpwstr/>
      </vt:variant>
      <vt:variant>
        <vt:lpwstr>Delayedrecovery</vt:lpwstr>
      </vt:variant>
      <vt:variant>
        <vt:i4>3539046</vt:i4>
      </vt:variant>
      <vt:variant>
        <vt:i4>1838</vt:i4>
      </vt:variant>
      <vt:variant>
        <vt:i4>0</vt:i4>
      </vt:variant>
      <vt:variant>
        <vt:i4>5</vt:i4>
      </vt:variant>
      <vt:variant>
        <vt:lpwstr/>
      </vt:variant>
      <vt:variant>
        <vt:lpwstr>Mayer2</vt:lpwstr>
      </vt:variant>
      <vt:variant>
        <vt:i4>6619257</vt:i4>
      </vt:variant>
      <vt:variant>
        <vt:i4>1835</vt:i4>
      </vt:variant>
      <vt:variant>
        <vt:i4>0</vt:i4>
      </vt:variant>
      <vt:variant>
        <vt:i4>5</vt:i4>
      </vt:variant>
      <vt:variant>
        <vt:lpwstr/>
      </vt:variant>
      <vt:variant>
        <vt:lpwstr>Jordan</vt:lpwstr>
      </vt:variant>
      <vt:variant>
        <vt:i4>6619175</vt:i4>
      </vt:variant>
      <vt:variant>
        <vt:i4>1832</vt:i4>
      </vt:variant>
      <vt:variant>
        <vt:i4>0</vt:i4>
      </vt:variant>
      <vt:variant>
        <vt:i4>5</vt:i4>
      </vt:variant>
      <vt:variant>
        <vt:lpwstr/>
      </vt:variant>
      <vt:variant>
        <vt:lpwstr>Gatchel2003</vt:lpwstr>
      </vt:variant>
      <vt:variant>
        <vt:i4>1769489</vt:i4>
      </vt:variant>
      <vt:variant>
        <vt:i4>1829</vt:i4>
      </vt:variant>
      <vt:variant>
        <vt:i4>0</vt:i4>
      </vt:variant>
      <vt:variant>
        <vt:i4>5</vt:i4>
      </vt:variant>
      <vt:variant>
        <vt:lpwstr/>
      </vt:variant>
      <vt:variant>
        <vt:lpwstr>Robinson2</vt:lpwstr>
      </vt:variant>
      <vt:variant>
        <vt:i4>327694</vt:i4>
      </vt:variant>
      <vt:variant>
        <vt:i4>1826</vt:i4>
      </vt:variant>
      <vt:variant>
        <vt:i4>0</vt:i4>
      </vt:variant>
      <vt:variant>
        <vt:i4>5</vt:i4>
      </vt:variant>
      <vt:variant>
        <vt:lpwstr/>
      </vt:variant>
      <vt:variant>
        <vt:lpwstr>Functionalrestorationprograms</vt:lpwstr>
      </vt:variant>
      <vt:variant>
        <vt:i4>7012463</vt:i4>
      </vt:variant>
      <vt:variant>
        <vt:i4>1823</vt:i4>
      </vt:variant>
      <vt:variant>
        <vt:i4>0</vt:i4>
      </vt:variant>
      <vt:variant>
        <vt:i4>5</vt:i4>
      </vt:variant>
      <vt:variant>
        <vt:lpwstr/>
      </vt:variant>
      <vt:variant>
        <vt:lpwstr>Chronicpainprogramsopioids</vt:lpwstr>
      </vt:variant>
      <vt:variant>
        <vt:i4>196612</vt:i4>
      </vt:variant>
      <vt:variant>
        <vt:i4>1820</vt:i4>
      </vt:variant>
      <vt:variant>
        <vt:i4>0</vt:i4>
      </vt:variant>
      <vt:variant>
        <vt:i4>5</vt:i4>
      </vt:variant>
      <vt:variant>
        <vt:lpwstr/>
      </vt:variant>
      <vt:variant>
        <vt:lpwstr>Kool</vt:lpwstr>
      </vt:variant>
      <vt:variant>
        <vt:i4>7864431</vt:i4>
      </vt:variant>
      <vt:variant>
        <vt:i4>1817</vt:i4>
      </vt:variant>
      <vt:variant>
        <vt:i4>0</vt:i4>
      </vt:variant>
      <vt:variant>
        <vt:i4>5</vt:i4>
      </vt:variant>
      <vt:variant>
        <vt:lpwstr/>
      </vt:variant>
      <vt:variant>
        <vt:lpwstr>Buchner</vt:lpwstr>
      </vt:variant>
      <vt:variant>
        <vt:i4>196612</vt:i4>
      </vt:variant>
      <vt:variant>
        <vt:i4>1814</vt:i4>
      </vt:variant>
      <vt:variant>
        <vt:i4>0</vt:i4>
      </vt:variant>
      <vt:variant>
        <vt:i4>5</vt:i4>
      </vt:variant>
      <vt:variant>
        <vt:lpwstr/>
      </vt:variant>
      <vt:variant>
        <vt:lpwstr>Kool2</vt:lpwstr>
      </vt:variant>
      <vt:variant>
        <vt:i4>589838</vt:i4>
      </vt:variant>
      <vt:variant>
        <vt:i4>1811</vt:i4>
      </vt:variant>
      <vt:variant>
        <vt:i4>0</vt:i4>
      </vt:variant>
      <vt:variant>
        <vt:i4>5</vt:i4>
      </vt:variant>
      <vt:variant>
        <vt:lpwstr/>
      </vt:variant>
      <vt:variant>
        <vt:lpwstr>Keel</vt:lpwstr>
      </vt:variant>
      <vt:variant>
        <vt:i4>7798904</vt:i4>
      </vt:variant>
      <vt:variant>
        <vt:i4>1808</vt:i4>
      </vt:variant>
      <vt:variant>
        <vt:i4>0</vt:i4>
      </vt:variant>
      <vt:variant>
        <vt:i4>5</vt:i4>
      </vt:variant>
      <vt:variant>
        <vt:lpwstr/>
      </vt:variant>
      <vt:variant>
        <vt:lpwstr>Sanders</vt:lpwstr>
      </vt:variant>
      <vt:variant>
        <vt:i4>786447</vt:i4>
      </vt:variant>
      <vt:variant>
        <vt:i4>1805</vt:i4>
      </vt:variant>
      <vt:variant>
        <vt:i4>0</vt:i4>
      </vt:variant>
      <vt:variant>
        <vt:i4>5</vt:i4>
      </vt:variant>
      <vt:variant>
        <vt:lpwstr/>
      </vt:variant>
      <vt:variant>
        <vt:lpwstr>Progressivegoalattainmentprogram</vt:lpwstr>
      </vt:variant>
      <vt:variant>
        <vt:i4>851976</vt:i4>
      </vt:variant>
      <vt:variant>
        <vt:i4>1802</vt:i4>
      </vt:variant>
      <vt:variant>
        <vt:i4>0</vt:i4>
      </vt:variant>
      <vt:variant>
        <vt:i4>5</vt:i4>
      </vt:variant>
      <vt:variant>
        <vt:lpwstr/>
      </vt:variant>
      <vt:variant>
        <vt:lpwstr>Chronicpainprogramsearlyintervention</vt:lpwstr>
      </vt:variant>
      <vt:variant>
        <vt:i4>327694</vt:i4>
      </vt:variant>
      <vt:variant>
        <vt:i4>1799</vt:i4>
      </vt:variant>
      <vt:variant>
        <vt:i4>0</vt:i4>
      </vt:variant>
      <vt:variant>
        <vt:i4>5</vt:i4>
      </vt:variant>
      <vt:variant>
        <vt:lpwstr/>
      </vt:variant>
      <vt:variant>
        <vt:lpwstr>Functionalrestorationprograms</vt:lpwstr>
      </vt:variant>
      <vt:variant>
        <vt:i4>7012463</vt:i4>
      </vt:variant>
      <vt:variant>
        <vt:i4>1796</vt:i4>
      </vt:variant>
      <vt:variant>
        <vt:i4>0</vt:i4>
      </vt:variant>
      <vt:variant>
        <vt:i4>5</vt:i4>
      </vt:variant>
      <vt:variant>
        <vt:lpwstr/>
      </vt:variant>
      <vt:variant>
        <vt:lpwstr>Chronicpainprogramsopioids</vt:lpwstr>
      </vt:variant>
      <vt:variant>
        <vt:i4>1310744</vt:i4>
      </vt:variant>
      <vt:variant>
        <vt:i4>1793</vt:i4>
      </vt:variant>
      <vt:variant>
        <vt:i4>0</vt:i4>
      </vt:variant>
      <vt:variant>
        <vt:i4>5</vt:i4>
      </vt:variant>
      <vt:variant>
        <vt:lpwstr/>
      </vt:variant>
      <vt:variant>
        <vt:lpwstr>Chronicpainprogramsintensity</vt:lpwstr>
      </vt:variant>
      <vt:variant>
        <vt:i4>917599</vt:i4>
      </vt:variant>
      <vt:variant>
        <vt:i4>1790</vt:i4>
      </vt:variant>
      <vt:variant>
        <vt:i4>0</vt:i4>
      </vt:variant>
      <vt:variant>
        <vt:i4>5</vt:i4>
      </vt:variant>
      <vt:variant>
        <vt:lpwstr>http://www.effectivehealthcare.ahrq.gov/ehc/products/212/760/TechBrief8_PainProgramsCancer_20110930.pdf</vt:lpwstr>
      </vt:variant>
      <vt:variant>
        <vt:lpwstr/>
      </vt:variant>
      <vt:variant>
        <vt:i4>8257643</vt:i4>
      </vt:variant>
      <vt:variant>
        <vt:i4>1787</vt:i4>
      </vt:variant>
      <vt:variant>
        <vt:i4>0</vt:i4>
      </vt:variant>
      <vt:variant>
        <vt:i4>5</vt:i4>
      </vt:variant>
      <vt:variant>
        <vt:lpwstr/>
      </vt:variant>
      <vt:variant>
        <vt:lpwstr>Proctor</vt:lpwstr>
      </vt:variant>
      <vt:variant>
        <vt:i4>851976</vt:i4>
      </vt:variant>
      <vt:variant>
        <vt:i4>1784</vt:i4>
      </vt:variant>
      <vt:variant>
        <vt:i4>0</vt:i4>
      </vt:variant>
      <vt:variant>
        <vt:i4>5</vt:i4>
      </vt:variant>
      <vt:variant>
        <vt:lpwstr/>
      </vt:variant>
      <vt:variant>
        <vt:lpwstr>Chronicpainprogramsearlyintervention</vt:lpwstr>
      </vt:variant>
      <vt:variant>
        <vt:i4>1769489</vt:i4>
      </vt:variant>
      <vt:variant>
        <vt:i4>1781</vt:i4>
      </vt:variant>
      <vt:variant>
        <vt:i4>0</vt:i4>
      </vt:variant>
      <vt:variant>
        <vt:i4>5</vt:i4>
      </vt:variant>
      <vt:variant>
        <vt:lpwstr/>
      </vt:variant>
      <vt:variant>
        <vt:lpwstr>Robinson</vt:lpwstr>
      </vt:variant>
      <vt:variant>
        <vt:i4>1769489</vt:i4>
      </vt:variant>
      <vt:variant>
        <vt:i4>1778</vt:i4>
      </vt:variant>
      <vt:variant>
        <vt:i4>0</vt:i4>
      </vt:variant>
      <vt:variant>
        <vt:i4>5</vt:i4>
      </vt:variant>
      <vt:variant>
        <vt:lpwstr/>
      </vt:variant>
      <vt:variant>
        <vt:lpwstr>Robinson2</vt:lpwstr>
      </vt:variant>
      <vt:variant>
        <vt:i4>6422649</vt:i4>
      </vt:variant>
      <vt:variant>
        <vt:i4>1775</vt:i4>
      </vt:variant>
      <vt:variant>
        <vt:i4>0</vt:i4>
      </vt:variant>
      <vt:variant>
        <vt:i4>5</vt:i4>
      </vt:variant>
      <vt:variant>
        <vt:lpwstr/>
      </vt:variant>
      <vt:variant>
        <vt:lpwstr>Krause</vt:lpwstr>
      </vt:variant>
      <vt:variant>
        <vt:i4>589827</vt:i4>
      </vt:variant>
      <vt:variant>
        <vt:i4>1772</vt:i4>
      </vt:variant>
      <vt:variant>
        <vt:i4>0</vt:i4>
      </vt:variant>
      <vt:variant>
        <vt:i4>5</vt:i4>
      </vt:variant>
      <vt:variant>
        <vt:lpwstr/>
      </vt:variant>
      <vt:variant>
        <vt:lpwstr>Beals</vt:lpwstr>
      </vt:variant>
      <vt:variant>
        <vt:i4>393289</vt:i4>
      </vt:variant>
      <vt:variant>
        <vt:i4>1769</vt:i4>
      </vt:variant>
      <vt:variant>
        <vt:i4>0</vt:i4>
      </vt:variant>
      <vt:variant>
        <vt:i4>5</vt:i4>
      </vt:variant>
      <vt:variant>
        <vt:lpwstr/>
      </vt:variant>
      <vt:variant>
        <vt:lpwstr>Gallagher1989</vt:lpwstr>
      </vt:variant>
      <vt:variant>
        <vt:i4>6619257</vt:i4>
      </vt:variant>
      <vt:variant>
        <vt:i4>1766</vt:i4>
      </vt:variant>
      <vt:variant>
        <vt:i4>0</vt:i4>
      </vt:variant>
      <vt:variant>
        <vt:i4>5</vt:i4>
      </vt:variant>
      <vt:variant>
        <vt:lpwstr/>
      </vt:variant>
      <vt:variant>
        <vt:lpwstr>Jordan</vt:lpwstr>
      </vt:variant>
      <vt:variant>
        <vt:i4>1310798</vt:i4>
      </vt:variant>
      <vt:variant>
        <vt:i4>1763</vt:i4>
      </vt:variant>
      <vt:variant>
        <vt:i4>0</vt:i4>
      </vt:variant>
      <vt:variant>
        <vt:i4>5</vt:i4>
      </vt:variant>
      <vt:variant>
        <vt:lpwstr/>
      </vt:variant>
      <vt:variant>
        <vt:lpwstr>Dersh2007</vt:lpwstr>
      </vt:variant>
      <vt:variant>
        <vt:i4>5242901</vt:i4>
      </vt:variant>
      <vt:variant>
        <vt:i4>1760</vt:i4>
      </vt:variant>
      <vt:variant>
        <vt:i4>0</vt:i4>
      </vt:variant>
      <vt:variant>
        <vt:i4>5</vt:i4>
      </vt:variant>
      <vt:variant>
        <vt:lpwstr/>
      </vt:variant>
      <vt:variant>
        <vt:lpwstr>Gatchel22005</vt:lpwstr>
      </vt:variant>
      <vt:variant>
        <vt:i4>7733282</vt:i4>
      </vt:variant>
      <vt:variant>
        <vt:i4>1757</vt:i4>
      </vt:variant>
      <vt:variant>
        <vt:i4>0</vt:i4>
      </vt:variant>
      <vt:variant>
        <vt:i4>5</vt:i4>
      </vt:variant>
      <vt:variant>
        <vt:lpwstr/>
      </vt:variant>
      <vt:variant>
        <vt:lpwstr>McGeary2004</vt:lpwstr>
      </vt:variant>
      <vt:variant>
        <vt:i4>7602283</vt:i4>
      </vt:variant>
      <vt:variant>
        <vt:i4>1754</vt:i4>
      </vt:variant>
      <vt:variant>
        <vt:i4>0</vt:i4>
      </vt:variant>
      <vt:variant>
        <vt:i4>5</vt:i4>
      </vt:variant>
      <vt:variant>
        <vt:lpwstr/>
      </vt:variant>
      <vt:variant>
        <vt:lpwstr>McGeary</vt:lpwstr>
      </vt:variant>
      <vt:variant>
        <vt:i4>7929957</vt:i4>
      </vt:variant>
      <vt:variant>
        <vt:i4>1751</vt:i4>
      </vt:variant>
      <vt:variant>
        <vt:i4>0</vt:i4>
      </vt:variant>
      <vt:variant>
        <vt:i4>5</vt:i4>
      </vt:variant>
      <vt:variant>
        <vt:lpwstr/>
      </vt:variant>
      <vt:variant>
        <vt:lpwstr>Bendix</vt:lpwstr>
      </vt:variant>
      <vt:variant>
        <vt:i4>7536749</vt:i4>
      </vt:variant>
      <vt:variant>
        <vt:i4>1748</vt:i4>
      </vt:variant>
      <vt:variant>
        <vt:i4>0</vt:i4>
      </vt:variant>
      <vt:variant>
        <vt:i4>5</vt:i4>
      </vt:variant>
      <vt:variant>
        <vt:lpwstr/>
      </vt:variant>
      <vt:variant>
        <vt:lpwstr>Linton2</vt:lpwstr>
      </vt:variant>
      <vt:variant>
        <vt:i4>8257643</vt:i4>
      </vt:variant>
      <vt:variant>
        <vt:i4>1745</vt:i4>
      </vt:variant>
      <vt:variant>
        <vt:i4>0</vt:i4>
      </vt:variant>
      <vt:variant>
        <vt:i4>5</vt:i4>
      </vt:variant>
      <vt:variant>
        <vt:lpwstr/>
      </vt:variant>
      <vt:variant>
        <vt:lpwstr>Proctor</vt:lpwstr>
      </vt:variant>
      <vt:variant>
        <vt:i4>6619175</vt:i4>
      </vt:variant>
      <vt:variant>
        <vt:i4>1742</vt:i4>
      </vt:variant>
      <vt:variant>
        <vt:i4>0</vt:i4>
      </vt:variant>
      <vt:variant>
        <vt:i4>5</vt:i4>
      </vt:variant>
      <vt:variant>
        <vt:lpwstr/>
      </vt:variant>
      <vt:variant>
        <vt:lpwstr>Gatchel2006</vt:lpwstr>
      </vt:variant>
      <vt:variant>
        <vt:i4>1245195</vt:i4>
      </vt:variant>
      <vt:variant>
        <vt:i4>1739</vt:i4>
      </vt:variant>
      <vt:variant>
        <vt:i4>0</vt:i4>
      </vt:variant>
      <vt:variant>
        <vt:i4>5</vt:i4>
      </vt:variant>
      <vt:variant>
        <vt:lpwstr/>
      </vt:variant>
      <vt:variant>
        <vt:lpwstr>Bair</vt:lpwstr>
      </vt:variant>
      <vt:variant>
        <vt:i4>65562</vt:i4>
      </vt:variant>
      <vt:variant>
        <vt:i4>1736</vt:i4>
      </vt:variant>
      <vt:variant>
        <vt:i4>0</vt:i4>
      </vt:variant>
      <vt:variant>
        <vt:i4>5</vt:i4>
      </vt:variant>
      <vt:variant>
        <vt:lpwstr/>
      </vt:variant>
      <vt:variant>
        <vt:lpwstr>Poleshuck</vt:lpwstr>
      </vt:variant>
      <vt:variant>
        <vt:i4>1310798</vt:i4>
      </vt:variant>
      <vt:variant>
        <vt:i4>1733</vt:i4>
      </vt:variant>
      <vt:variant>
        <vt:i4>0</vt:i4>
      </vt:variant>
      <vt:variant>
        <vt:i4>5</vt:i4>
      </vt:variant>
      <vt:variant>
        <vt:lpwstr/>
      </vt:variant>
      <vt:variant>
        <vt:lpwstr>Dersh2007</vt:lpwstr>
      </vt:variant>
      <vt:variant>
        <vt:i4>1179672</vt:i4>
      </vt:variant>
      <vt:variant>
        <vt:i4>1730</vt:i4>
      </vt:variant>
      <vt:variant>
        <vt:i4>0</vt:i4>
      </vt:variant>
      <vt:variant>
        <vt:i4>5</vt:i4>
      </vt:variant>
      <vt:variant>
        <vt:lpwstr/>
      </vt:variant>
      <vt:variant>
        <vt:lpwstr>Haldorsen</vt:lpwstr>
      </vt:variant>
      <vt:variant>
        <vt:i4>6750312</vt:i4>
      </vt:variant>
      <vt:variant>
        <vt:i4>1727</vt:i4>
      </vt:variant>
      <vt:variant>
        <vt:i4>0</vt:i4>
      </vt:variant>
      <vt:variant>
        <vt:i4>5</vt:i4>
      </vt:variant>
      <vt:variant>
        <vt:lpwstr/>
      </vt:variant>
      <vt:variant>
        <vt:lpwstr>Mellin</vt:lpwstr>
      </vt:variant>
      <vt:variant>
        <vt:i4>7340153</vt:i4>
      </vt:variant>
      <vt:variant>
        <vt:i4>1724</vt:i4>
      </vt:variant>
      <vt:variant>
        <vt:i4>0</vt:i4>
      </vt:variant>
      <vt:variant>
        <vt:i4>5</vt:i4>
      </vt:variant>
      <vt:variant>
        <vt:lpwstr/>
      </vt:variant>
      <vt:variant>
        <vt:lpwstr>Skouen</vt:lpwstr>
      </vt:variant>
      <vt:variant>
        <vt:i4>1769498</vt:i4>
      </vt:variant>
      <vt:variant>
        <vt:i4>1721</vt:i4>
      </vt:variant>
      <vt:variant>
        <vt:i4>0</vt:i4>
      </vt:variant>
      <vt:variant>
        <vt:i4>5</vt:i4>
      </vt:variant>
      <vt:variant>
        <vt:lpwstr/>
      </vt:variant>
      <vt:variant>
        <vt:lpwstr>Härkäpää</vt:lpwstr>
      </vt:variant>
      <vt:variant>
        <vt:i4>65545</vt:i4>
      </vt:variant>
      <vt:variant>
        <vt:i4>1718</vt:i4>
      </vt:variant>
      <vt:variant>
        <vt:i4>0</vt:i4>
      </vt:variant>
      <vt:variant>
        <vt:i4>5</vt:i4>
      </vt:variant>
      <vt:variant>
        <vt:lpwstr/>
      </vt:variant>
      <vt:variant>
        <vt:lpwstr>Frost</vt:lpwstr>
      </vt:variant>
      <vt:variant>
        <vt:i4>7929957</vt:i4>
      </vt:variant>
      <vt:variant>
        <vt:i4>1715</vt:i4>
      </vt:variant>
      <vt:variant>
        <vt:i4>0</vt:i4>
      </vt:variant>
      <vt:variant>
        <vt:i4>5</vt:i4>
      </vt:variant>
      <vt:variant>
        <vt:lpwstr/>
      </vt:variant>
      <vt:variant>
        <vt:lpwstr>BendixT</vt:lpwstr>
      </vt:variant>
      <vt:variant>
        <vt:i4>7864429</vt:i4>
      </vt:variant>
      <vt:variant>
        <vt:i4>1712</vt:i4>
      </vt:variant>
      <vt:variant>
        <vt:i4>0</vt:i4>
      </vt:variant>
      <vt:variant>
        <vt:i4>5</vt:i4>
      </vt:variant>
      <vt:variant>
        <vt:lpwstr/>
      </vt:variant>
      <vt:variant>
        <vt:lpwstr>Bendix1998a</vt:lpwstr>
      </vt:variant>
      <vt:variant>
        <vt:i4>7929957</vt:i4>
      </vt:variant>
      <vt:variant>
        <vt:i4>1709</vt:i4>
      </vt:variant>
      <vt:variant>
        <vt:i4>0</vt:i4>
      </vt:variant>
      <vt:variant>
        <vt:i4>5</vt:i4>
      </vt:variant>
      <vt:variant>
        <vt:lpwstr/>
      </vt:variant>
      <vt:variant>
        <vt:lpwstr>Bendix</vt:lpwstr>
      </vt:variant>
      <vt:variant>
        <vt:i4>7798893</vt:i4>
      </vt:variant>
      <vt:variant>
        <vt:i4>1706</vt:i4>
      </vt:variant>
      <vt:variant>
        <vt:i4>0</vt:i4>
      </vt:variant>
      <vt:variant>
        <vt:i4>5</vt:i4>
      </vt:variant>
      <vt:variant>
        <vt:lpwstr/>
      </vt:variant>
      <vt:variant>
        <vt:lpwstr>Bendix1997</vt:lpwstr>
      </vt:variant>
      <vt:variant>
        <vt:i4>6357110</vt:i4>
      </vt:variant>
      <vt:variant>
        <vt:i4>1703</vt:i4>
      </vt:variant>
      <vt:variant>
        <vt:i4>0</vt:i4>
      </vt:variant>
      <vt:variant>
        <vt:i4>5</vt:i4>
      </vt:variant>
      <vt:variant>
        <vt:lpwstr/>
      </vt:variant>
      <vt:variant>
        <vt:lpwstr>van</vt:lpwstr>
      </vt:variant>
      <vt:variant>
        <vt:i4>327694</vt:i4>
      </vt:variant>
      <vt:variant>
        <vt:i4>1700</vt:i4>
      </vt:variant>
      <vt:variant>
        <vt:i4>0</vt:i4>
      </vt:variant>
      <vt:variant>
        <vt:i4>5</vt:i4>
      </vt:variant>
      <vt:variant>
        <vt:lpwstr/>
      </vt:variant>
      <vt:variant>
        <vt:lpwstr>Functionalrestorationprograms</vt:lpwstr>
      </vt:variant>
      <vt:variant>
        <vt:i4>6881405</vt:i4>
      </vt:variant>
      <vt:variant>
        <vt:i4>1697</vt:i4>
      </vt:variant>
      <vt:variant>
        <vt:i4>0</vt:i4>
      </vt:variant>
      <vt:variant>
        <vt:i4>5</vt:i4>
      </vt:variant>
      <vt:variant>
        <vt:lpwstr/>
      </vt:variant>
      <vt:variant>
        <vt:lpwstr>Stanos</vt:lpwstr>
      </vt:variant>
      <vt:variant>
        <vt:i4>851968</vt:i4>
      </vt:variant>
      <vt:variant>
        <vt:i4>1694</vt:i4>
      </vt:variant>
      <vt:variant>
        <vt:i4>0</vt:i4>
      </vt:variant>
      <vt:variant>
        <vt:i4>5</vt:i4>
      </vt:variant>
      <vt:variant>
        <vt:lpwstr/>
      </vt:variant>
      <vt:variant>
        <vt:lpwstr>Biopsychosocialmodelofchronicpain</vt:lpwstr>
      </vt:variant>
      <vt:variant>
        <vt:i4>5439509</vt:i4>
      </vt:variant>
      <vt:variant>
        <vt:i4>1691</vt:i4>
      </vt:variant>
      <vt:variant>
        <vt:i4>0</vt:i4>
      </vt:variant>
      <vt:variant>
        <vt:i4>5</vt:i4>
      </vt:variant>
      <vt:variant>
        <vt:lpwstr/>
      </vt:variant>
      <vt:variant>
        <vt:lpwstr>Gatchel12005</vt:lpwstr>
      </vt:variant>
      <vt:variant>
        <vt:i4>7864431</vt:i4>
      </vt:variant>
      <vt:variant>
        <vt:i4>1688</vt:i4>
      </vt:variant>
      <vt:variant>
        <vt:i4>0</vt:i4>
      </vt:variant>
      <vt:variant>
        <vt:i4>5</vt:i4>
      </vt:variant>
      <vt:variant>
        <vt:lpwstr/>
      </vt:variant>
      <vt:variant>
        <vt:lpwstr>Buchner</vt:lpwstr>
      </vt:variant>
      <vt:variant>
        <vt:i4>7340141</vt:i4>
      </vt:variant>
      <vt:variant>
        <vt:i4>1685</vt:i4>
      </vt:variant>
      <vt:variant>
        <vt:i4>0</vt:i4>
      </vt:variant>
      <vt:variant>
        <vt:i4>5</vt:i4>
      </vt:variant>
      <vt:variant>
        <vt:lpwstr/>
      </vt:variant>
      <vt:variant>
        <vt:lpwstr>Patrick</vt:lpwstr>
      </vt:variant>
      <vt:variant>
        <vt:i4>7798904</vt:i4>
      </vt:variant>
      <vt:variant>
        <vt:i4>1682</vt:i4>
      </vt:variant>
      <vt:variant>
        <vt:i4>0</vt:i4>
      </vt:variant>
      <vt:variant>
        <vt:i4>5</vt:i4>
      </vt:variant>
      <vt:variant>
        <vt:lpwstr/>
      </vt:variant>
      <vt:variant>
        <vt:lpwstr>Sanders</vt:lpwstr>
      </vt:variant>
      <vt:variant>
        <vt:i4>7602280</vt:i4>
      </vt:variant>
      <vt:variant>
        <vt:i4>1679</vt:i4>
      </vt:variant>
      <vt:variant>
        <vt:i4>0</vt:i4>
      </vt:variant>
      <vt:variant>
        <vt:i4>5</vt:i4>
      </vt:variant>
      <vt:variant>
        <vt:lpwstr/>
      </vt:variant>
      <vt:variant>
        <vt:lpwstr>Schonstein</vt:lpwstr>
      </vt:variant>
      <vt:variant>
        <vt:i4>8061044</vt:i4>
      </vt:variant>
      <vt:variant>
        <vt:i4>1676</vt:i4>
      </vt:variant>
      <vt:variant>
        <vt:i4>0</vt:i4>
      </vt:variant>
      <vt:variant>
        <vt:i4>5</vt:i4>
      </vt:variant>
      <vt:variant>
        <vt:lpwstr/>
      </vt:variant>
      <vt:variant>
        <vt:lpwstr>Airaksinen2</vt:lpwstr>
      </vt:variant>
      <vt:variant>
        <vt:i4>6553726</vt:i4>
      </vt:variant>
      <vt:variant>
        <vt:i4>1673</vt:i4>
      </vt:variant>
      <vt:variant>
        <vt:i4>0</vt:i4>
      </vt:variant>
      <vt:variant>
        <vt:i4>5</vt:i4>
      </vt:variant>
      <vt:variant>
        <vt:lpwstr/>
      </vt:variant>
      <vt:variant>
        <vt:lpwstr>Dysvik</vt:lpwstr>
      </vt:variant>
      <vt:variant>
        <vt:i4>65559</vt:i4>
      </vt:variant>
      <vt:variant>
        <vt:i4>1670</vt:i4>
      </vt:variant>
      <vt:variant>
        <vt:i4>0</vt:i4>
      </vt:variant>
      <vt:variant>
        <vt:i4>5</vt:i4>
      </vt:variant>
      <vt:variant>
        <vt:lpwstr/>
      </vt:variant>
      <vt:variant>
        <vt:lpwstr>Sullivan</vt:lpwstr>
      </vt:variant>
      <vt:variant>
        <vt:i4>65544</vt:i4>
      </vt:variant>
      <vt:variant>
        <vt:i4>1667</vt:i4>
      </vt:variant>
      <vt:variant>
        <vt:i4>0</vt:i4>
      </vt:variant>
      <vt:variant>
        <vt:i4>5</vt:i4>
      </vt:variant>
      <vt:variant>
        <vt:lpwstr/>
      </vt:variant>
      <vt:variant>
        <vt:lpwstr>Gross</vt:lpwstr>
      </vt:variant>
      <vt:variant>
        <vt:i4>7733372</vt:i4>
      </vt:variant>
      <vt:variant>
        <vt:i4>1664</vt:i4>
      </vt:variant>
      <vt:variant>
        <vt:i4>0</vt:i4>
      </vt:variant>
      <vt:variant>
        <vt:i4>5</vt:i4>
      </vt:variant>
      <vt:variant>
        <vt:lpwstr/>
      </vt:variant>
      <vt:variant>
        <vt:lpwstr>Guzman</vt:lpwstr>
      </vt:variant>
      <vt:variant>
        <vt:i4>786449</vt:i4>
      </vt:variant>
      <vt:variant>
        <vt:i4>1661</vt:i4>
      </vt:variant>
      <vt:variant>
        <vt:i4>0</vt:i4>
      </vt:variant>
      <vt:variant>
        <vt:i4>5</vt:i4>
      </vt:variant>
      <vt:variant>
        <vt:lpwstr/>
      </vt:variant>
      <vt:variant>
        <vt:lpwstr>planning</vt:lpwstr>
      </vt:variant>
      <vt:variant>
        <vt:i4>1966089</vt:i4>
      </vt:variant>
      <vt:variant>
        <vt:i4>1658</vt:i4>
      </vt:variant>
      <vt:variant>
        <vt:i4>0</vt:i4>
      </vt:variant>
      <vt:variant>
        <vt:i4>5</vt:i4>
      </vt:variant>
      <vt:variant>
        <vt:lpwstr/>
      </vt:variant>
      <vt:variant>
        <vt:lpwstr>Flor</vt:lpwstr>
      </vt:variant>
      <vt:variant>
        <vt:i4>7602298</vt:i4>
      </vt:variant>
      <vt:variant>
        <vt:i4>1655</vt:i4>
      </vt:variant>
      <vt:variant>
        <vt:i4>0</vt:i4>
      </vt:variant>
      <vt:variant>
        <vt:i4>5</vt:i4>
      </vt:variant>
      <vt:variant>
        <vt:lpwstr/>
      </vt:variant>
      <vt:variant>
        <vt:lpwstr>Delayedrecovery</vt:lpwstr>
      </vt:variant>
      <vt:variant>
        <vt:i4>8323189</vt:i4>
      </vt:variant>
      <vt:variant>
        <vt:i4>1652</vt:i4>
      </vt:variant>
      <vt:variant>
        <vt:i4>0</vt:i4>
      </vt:variant>
      <vt:variant>
        <vt:i4>5</vt:i4>
      </vt:variant>
      <vt:variant>
        <vt:lpwstr/>
      </vt:variant>
      <vt:variant>
        <vt:lpwstr>Glucosamine</vt:lpwstr>
      </vt:variant>
      <vt:variant>
        <vt:i4>327681</vt:i4>
      </vt:variant>
      <vt:variant>
        <vt:i4>1649</vt:i4>
      </vt:variant>
      <vt:variant>
        <vt:i4>0</vt:i4>
      </vt:variant>
      <vt:variant>
        <vt:i4>5</vt:i4>
      </vt:variant>
      <vt:variant>
        <vt:lpwstr/>
      </vt:variant>
      <vt:variant>
        <vt:lpwstr>VitaminD</vt:lpwstr>
      </vt:variant>
      <vt:variant>
        <vt:i4>7536750</vt:i4>
      </vt:variant>
      <vt:variant>
        <vt:i4>1646</vt:i4>
      </vt:variant>
      <vt:variant>
        <vt:i4>0</vt:i4>
      </vt:variant>
      <vt:variant>
        <vt:i4>5</vt:i4>
      </vt:variant>
      <vt:variant>
        <vt:lpwstr/>
      </vt:variant>
      <vt:variant>
        <vt:lpwstr>Benzodiazepines</vt:lpwstr>
      </vt:variant>
      <vt:variant>
        <vt:i4>1441822</vt:i4>
      </vt:variant>
      <vt:variant>
        <vt:i4>1643</vt:i4>
      </vt:variant>
      <vt:variant>
        <vt:i4>0</vt:i4>
      </vt:variant>
      <vt:variant>
        <vt:i4>5</vt:i4>
      </vt:variant>
      <vt:variant>
        <vt:lpwstr/>
      </vt:variant>
      <vt:variant>
        <vt:lpwstr>Manualtherapymanipulation</vt:lpwstr>
      </vt:variant>
      <vt:variant>
        <vt:i4>131086</vt:i4>
      </vt:variant>
      <vt:variant>
        <vt:i4>1640</vt:i4>
      </vt:variant>
      <vt:variant>
        <vt:i4>0</vt:i4>
      </vt:variant>
      <vt:variant>
        <vt:i4>5</vt:i4>
      </vt:variant>
      <vt:variant>
        <vt:lpwstr/>
      </vt:variant>
      <vt:variant>
        <vt:lpwstr>Nabilone</vt:lpwstr>
      </vt:variant>
      <vt:variant>
        <vt:i4>6946857</vt:i4>
      </vt:variant>
      <vt:variant>
        <vt:i4>1637</vt:i4>
      </vt:variant>
      <vt:variant>
        <vt:i4>0</vt:i4>
      </vt:variant>
      <vt:variant>
        <vt:i4>5</vt:i4>
      </vt:variant>
      <vt:variant>
        <vt:lpwstr/>
      </vt:variant>
      <vt:variant>
        <vt:lpwstr>Liu2011</vt:lpwstr>
      </vt:variant>
      <vt:variant>
        <vt:i4>7209008</vt:i4>
      </vt:variant>
      <vt:variant>
        <vt:i4>1634</vt:i4>
      </vt:variant>
      <vt:variant>
        <vt:i4>0</vt:i4>
      </vt:variant>
      <vt:variant>
        <vt:i4>5</vt:i4>
      </vt:variant>
      <vt:variant>
        <vt:lpwstr/>
      </vt:variant>
      <vt:variant>
        <vt:lpwstr>Stevens2005</vt:lpwstr>
      </vt:variant>
      <vt:variant>
        <vt:i4>7995509</vt:i4>
      </vt:variant>
      <vt:variant>
        <vt:i4>1631</vt:i4>
      </vt:variant>
      <vt:variant>
        <vt:i4>0</vt:i4>
      </vt:variant>
      <vt:variant>
        <vt:i4>5</vt:i4>
      </vt:variant>
      <vt:variant>
        <vt:lpwstr/>
      </vt:variant>
      <vt:variant>
        <vt:lpwstr>McGettigan2011</vt:lpwstr>
      </vt:variant>
      <vt:variant>
        <vt:i4>1507333</vt:i4>
      </vt:variant>
      <vt:variant>
        <vt:i4>1628</vt:i4>
      </vt:variant>
      <vt:variant>
        <vt:i4>0</vt:i4>
      </vt:variant>
      <vt:variant>
        <vt:i4>5</vt:i4>
      </vt:variant>
      <vt:variant>
        <vt:lpwstr/>
      </vt:variant>
      <vt:variant>
        <vt:lpwstr>CelecoxibListing</vt:lpwstr>
      </vt:variant>
      <vt:variant>
        <vt:i4>1441796</vt:i4>
      </vt:variant>
      <vt:variant>
        <vt:i4>1625</vt:i4>
      </vt:variant>
      <vt:variant>
        <vt:i4>0</vt:i4>
      </vt:variant>
      <vt:variant>
        <vt:i4>5</vt:i4>
      </vt:variant>
      <vt:variant>
        <vt:lpwstr/>
      </vt:variant>
      <vt:variant>
        <vt:lpwstr>NSAIDsspecificdruglistadverseeffects</vt:lpwstr>
      </vt:variant>
      <vt:variant>
        <vt:i4>6750314</vt:i4>
      </vt:variant>
      <vt:variant>
        <vt:i4>1622</vt:i4>
      </vt:variant>
      <vt:variant>
        <vt:i4>0</vt:i4>
      </vt:variant>
      <vt:variant>
        <vt:i4>5</vt:i4>
      </vt:variant>
      <vt:variant>
        <vt:lpwstr/>
      </vt:variant>
      <vt:variant>
        <vt:lpwstr>NSAIDshypertensionandrenalfunction</vt:lpwstr>
      </vt:variant>
      <vt:variant>
        <vt:i4>6357091</vt:i4>
      </vt:variant>
      <vt:variant>
        <vt:i4>1619</vt:i4>
      </vt:variant>
      <vt:variant>
        <vt:i4>0</vt:i4>
      </vt:variant>
      <vt:variant>
        <vt:i4>5</vt:i4>
      </vt:variant>
      <vt:variant>
        <vt:lpwstr/>
      </vt:variant>
      <vt:variant>
        <vt:lpwstr>NSAIDsGIsymptomscardiovascularrisk</vt:lpwstr>
      </vt:variant>
      <vt:variant>
        <vt:i4>6881387</vt:i4>
      </vt:variant>
      <vt:variant>
        <vt:i4>1616</vt:i4>
      </vt:variant>
      <vt:variant>
        <vt:i4>0</vt:i4>
      </vt:variant>
      <vt:variant>
        <vt:i4>5</vt:i4>
      </vt:variant>
      <vt:variant>
        <vt:lpwstr/>
      </vt:variant>
      <vt:variant>
        <vt:lpwstr>NSAIDs</vt:lpwstr>
      </vt:variant>
      <vt:variant>
        <vt:i4>655368</vt:i4>
      </vt:variant>
      <vt:variant>
        <vt:i4>1613</vt:i4>
      </vt:variant>
      <vt:variant>
        <vt:i4>0</vt:i4>
      </vt:variant>
      <vt:variant>
        <vt:i4>5</vt:i4>
      </vt:variant>
      <vt:variant>
        <vt:lpwstr/>
      </vt:variant>
      <vt:variant>
        <vt:lpwstr>Celebrex</vt:lpwstr>
      </vt:variant>
      <vt:variant>
        <vt:i4>6881387</vt:i4>
      </vt:variant>
      <vt:variant>
        <vt:i4>1610</vt:i4>
      </vt:variant>
      <vt:variant>
        <vt:i4>0</vt:i4>
      </vt:variant>
      <vt:variant>
        <vt:i4>5</vt:i4>
      </vt:variant>
      <vt:variant>
        <vt:lpwstr/>
      </vt:variant>
      <vt:variant>
        <vt:lpwstr>NSAIDs</vt:lpwstr>
      </vt:variant>
      <vt:variant>
        <vt:i4>7667809</vt:i4>
      </vt:variant>
      <vt:variant>
        <vt:i4>1607</vt:i4>
      </vt:variant>
      <vt:variant>
        <vt:i4>0</vt:i4>
      </vt:variant>
      <vt:variant>
        <vt:i4>5</vt:i4>
      </vt:variant>
      <vt:variant>
        <vt:lpwstr/>
      </vt:variant>
      <vt:variant>
        <vt:lpwstr>Antiinflammatorymedications</vt:lpwstr>
      </vt:variant>
      <vt:variant>
        <vt:i4>1245189</vt:i4>
      </vt:variant>
      <vt:variant>
        <vt:i4>1604</vt:i4>
      </vt:variant>
      <vt:variant>
        <vt:i4>0</vt:i4>
      </vt:variant>
      <vt:variant>
        <vt:i4>5</vt:i4>
      </vt:variant>
      <vt:variant>
        <vt:lpwstr/>
      </vt:variant>
      <vt:variant>
        <vt:lpwstr>Clonidineintrathecal</vt:lpwstr>
      </vt:variant>
      <vt:variant>
        <vt:i4>7798889</vt:i4>
      </vt:variant>
      <vt:variant>
        <vt:i4>1601</vt:i4>
      </vt:variant>
      <vt:variant>
        <vt:i4>0</vt:i4>
      </vt:variant>
      <vt:variant>
        <vt:i4>5</vt:i4>
      </vt:variant>
      <vt:variant>
        <vt:lpwstr/>
      </vt:variant>
      <vt:variant>
        <vt:lpwstr>Weaningcarisoprodol</vt:lpwstr>
      </vt:variant>
      <vt:variant>
        <vt:i4>6422650</vt:i4>
      </vt:variant>
      <vt:variant>
        <vt:i4>1598</vt:i4>
      </vt:variant>
      <vt:variant>
        <vt:i4>0</vt:i4>
      </vt:variant>
      <vt:variant>
        <vt:i4>5</vt:i4>
      </vt:variant>
      <vt:variant>
        <vt:lpwstr/>
      </vt:variant>
      <vt:variant>
        <vt:lpwstr>Musclerelaxants</vt:lpwstr>
      </vt:variant>
      <vt:variant>
        <vt:i4>7929957</vt:i4>
      </vt:variant>
      <vt:variant>
        <vt:i4>1595</vt:i4>
      </vt:variant>
      <vt:variant>
        <vt:i4>0</vt:i4>
      </vt:variant>
      <vt:variant>
        <vt:i4>5</vt:i4>
      </vt:variant>
      <vt:variant>
        <vt:lpwstr/>
      </vt:variant>
      <vt:variant>
        <vt:lpwstr>Boothby</vt:lpwstr>
      </vt:variant>
      <vt:variant>
        <vt:i4>6553712</vt:i4>
      </vt:variant>
      <vt:variant>
        <vt:i4>1592</vt:i4>
      </vt:variant>
      <vt:variant>
        <vt:i4>0</vt:i4>
      </vt:variant>
      <vt:variant>
        <vt:i4>5</vt:i4>
      </vt:variant>
      <vt:variant>
        <vt:lpwstr/>
      </vt:variant>
      <vt:variant>
        <vt:lpwstr>Reeves2004</vt:lpwstr>
      </vt:variant>
      <vt:variant>
        <vt:i4>6750320</vt:i4>
      </vt:variant>
      <vt:variant>
        <vt:i4>1589</vt:i4>
      </vt:variant>
      <vt:variant>
        <vt:i4>0</vt:i4>
      </vt:variant>
      <vt:variant>
        <vt:i4>5</vt:i4>
      </vt:variant>
      <vt:variant>
        <vt:lpwstr/>
      </vt:variant>
      <vt:variant>
        <vt:lpwstr>Reeves2007</vt:lpwstr>
      </vt:variant>
      <vt:variant>
        <vt:i4>6291569</vt:i4>
      </vt:variant>
      <vt:variant>
        <vt:i4>1586</vt:i4>
      </vt:variant>
      <vt:variant>
        <vt:i4>0</vt:i4>
      </vt:variant>
      <vt:variant>
        <vt:i4>5</vt:i4>
      </vt:variant>
      <vt:variant>
        <vt:lpwstr/>
      </vt:variant>
      <vt:variant>
        <vt:lpwstr>Reeves2010</vt:lpwstr>
      </vt:variant>
      <vt:variant>
        <vt:i4>851996</vt:i4>
      </vt:variant>
      <vt:variant>
        <vt:i4>1583</vt:i4>
      </vt:variant>
      <vt:variant>
        <vt:i4>0</vt:i4>
      </vt:variant>
      <vt:variant>
        <vt:i4>5</vt:i4>
      </vt:variant>
      <vt:variant>
        <vt:lpwstr/>
      </vt:variant>
      <vt:variant>
        <vt:lpwstr>Bramness2004</vt:lpwstr>
      </vt:variant>
      <vt:variant>
        <vt:i4>589854</vt:i4>
      </vt:variant>
      <vt:variant>
        <vt:i4>1580</vt:i4>
      </vt:variant>
      <vt:variant>
        <vt:i4>0</vt:i4>
      </vt:variant>
      <vt:variant>
        <vt:i4>5</vt:i4>
      </vt:variant>
      <vt:variant>
        <vt:lpwstr/>
      </vt:variant>
      <vt:variant>
        <vt:lpwstr>Bramness</vt:lpwstr>
      </vt:variant>
      <vt:variant>
        <vt:i4>4391039</vt:i4>
      </vt:variant>
      <vt:variant>
        <vt:i4>1577</vt:i4>
      </vt:variant>
      <vt:variant>
        <vt:i4>0</vt:i4>
      </vt:variant>
      <vt:variant>
        <vt:i4>5</vt:i4>
      </vt:variant>
      <vt:variant>
        <vt:lpwstr>http://oas.samhsa.gov/2k11/DAWN071/WEB_DAWN_071_HTML.pdf</vt:lpwstr>
      </vt:variant>
      <vt:variant>
        <vt:lpwstr/>
      </vt:variant>
      <vt:variant>
        <vt:i4>3407974</vt:i4>
      </vt:variant>
      <vt:variant>
        <vt:i4>1574</vt:i4>
      </vt:variant>
      <vt:variant>
        <vt:i4>0</vt:i4>
      </vt:variant>
      <vt:variant>
        <vt:i4>5</vt:i4>
      </vt:variant>
      <vt:variant>
        <vt:lpwstr>http://www.oas.samhsa.gov/</vt:lpwstr>
      </vt:variant>
      <vt:variant>
        <vt:lpwstr/>
      </vt:variant>
      <vt:variant>
        <vt:i4>6422641</vt:i4>
      </vt:variant>
      <vt:variant>
        <vt:i4>1571</vt:i4>
      </vt:variant>
      <vt:variant>
        <vt:i4>0</vt:i4>
      </vt:variant>
      <vt:variant>
        <vt:i4>5</vt:i4>
      </vt:variant>
      <vt:variant>
        <vt:lpwstr/>
      </vt:variant>
      <vt:variant>
        <vt:lpwstr>Reeves2012</vt:lpwstr>
      </vt:variant>
      <vt:variant>
        <vt:i4>1638410</vt:i4>
      </vt:variant>
      <vt:variant>
        <vt:i4>1568</vt:i4>
      </vt:variant>
      <vt:variant>
        <vt:i4>0</vt:i4>
      </vt:variant>
      <vt:variant>
        <vt:i4>5</vt:i4>
      </vt:variant>
      <vt:variant>
        <vt:lpwstr/>
      </vt:variant>
      <vt:variant>
        <vt:lpwstr>Owens</vt:lpwstr>
      </vt:variant>
      <vt:variant>
        <vt:i4>7602298</vt:i4>
      </vt:variant>
      <vt:variant>
        <vt:i4>1565</vt:i4>
      </vt:variant>
      <vt:variant>
        <vt:i4>0</vt:i4>
      </vt:variant>
      <vt:variant>
        <vt:i4>5</vt:i4>
      </vt:variant>
      <vt:variant>
        <vt:lpwstr/>
      </vt:variant>
      <vt:variant>
        <vt:lpwstr>Schears</vt:lpwstr>
      </vt:variant>
      <vt:variant>
        <vt:i4>6815856</vt:i4>
      </vt:variant>
      <vt:variant>
        <vt:i4>1562</vt:i4>
      </vt:variant>
      <vt:variant>
        <vt:i4>0</vt:i4>
      </vt:variant>
      <vt:variant>
        <vt:i4>5</vt:i4>
      </vt:variant>
      <vt:variant>
        <vt:lpwstr/>
      </vt:variant>
      <vt:variant>
        <vt:lpwstr>Reeves2008</vt:lpwstr>
      </vt:variant>
      <vt:variant>
        <vt:i4>6357104</vt:i4>
      </vt:variant>
      <vt:variant>
        <vt:i4>1559</vt:i4>
      </vt:variant>
      <vt:variant>
        <vt:i4>0</vt:i4>
      </vt:variant>
      <vt:variant>
        <vt:i4>5</vt:i4>
      </vt:variant>
      <vt:variant>
        <vt:lpwstr/>
      </vt:variant>
      <vt:variant>
        <vt:lpwstr>Reeves2001</vt:lpwstr>
      </vt:variant>
      <vt:variant>
        <vt:i4>6291578</vt:i4>
      </vt:variant>
      <vt:variant>
        <vt:i4>1556</vt:i4>
      </vt:variant>
      <vt:variant>
        <vt:i4>0</vt:i4>
      </vt:variant>
      <vt:variant>
        <vt:i4>5</vt:i4>
      </vt:variant>
      <vt:variant>
        <vt:lpwstr/>
      </vt:variant>
      <vt:variant>
        <vt:lpwstr>Reeves1999a</vt:lpwstr>
      </vt:variant>
      <vt:variant>
        <vt:i4>6553634</vt:i4>
      </vt:variant>
      <vt:variant>
        <vt:i4>1553</vt:i4>
      </vt:variant>
      <vt:variant>
        <vt:i4>0</vt:i4>
      </vt:variant>
      <vt:variant>
        <vt:i4>5</vt:i4>
      </vt:variant>
      <vt:variant>
        <vt:lpwstr/>
      </vt:variant>
      <vt:variant>
        <vt:lpwstr>AGS2012</vt:lpwstr>
      </vt:variant>
      <vt:variant>
        <vt:i4>1441887</vt:i4>
      </vt:variant>
      <vt:variant>
        <vt:i4>1550</vt:i4>
      </vt:variant>
      <vt:variant>
        <vt:i4>0</vt:i4>
      </vt:variant>
      <vt:variant>
        <vt:i4>5</vt:i4>
      </vt:variant>
      <vt:variant>
        <vt:lpwstr>http://www.deadiversion.usdoj.gov/fed_regs/rules/2011/fr1212_10.htm</vt:lpwstr>
      </vt:variant>
      <vt:variant>
        <vt:lpwstr/>
      </vt:variant>
      <vt:variant>
        <vt:i4>7929955</vt:i4>
      </vt:variant>
      <vt:variant>
        <vt:i4>1547</vt:i4>
      </vt:variant>
      <vt:variant>
        <vt:i4>0</vt:i4>
      </vt:variant>
      <vt:variant>
        <vt:i4>5</vt:i4>
      </vt:variant>
      <vt:variant>
        <vt:lpwstr/>
      </vt:variant>
      <vt:variant>
        <vt:lpwstr>AHFSDrugInformation</vt:lpwstr>
      </vt:variant>
      <vt:variant>
        <vt:i4>1769483</vt:i4>
      </vt:variant>
      <vt:variant>
        <vt:i4>1544</vt:i4>
      </vt:variant>
      <vt:variant>
        <vt:i4>0</vt:i4>
      </vt:variant>
      <vt:variant>
        <vt:i4>5</vt:i4>
      </vt:variant>
      <vt:variant>
        <vt:lpwstr/>
      </vt:variant>
      <vt:variant>
        <vt:lpwstr>CarbamazepineListing</vt:lpwstr>
      </vt:variant>
      <vt:variant>
        <vt:i4>458782</vt:i4>
      </vt:variant>
      <vt:variant>
        <vt:i4>1541</vt:i4>
      </vt:variant>
      <vt:variant>
        <vt:i4>0</vt:i4>
      </vt:variant>
      <vt:variant>
        <vt:i4>5</vt:i4>
      </vt:variant>
      <vt:variant>
        <vt:lpwstr/>
      </vt:variant>
      <vt:variant>
        <vt:lpwstr>Antiepilepsydrugs</vt:lpwstr>
      </vt:variant>
      <vt:variant>
        <vt:i4>7012479</vt:i4>
      </vt:variant>
      <vt:variant>
        <vt:i4>1538</vt:i4>
      </vt:variant>
      <vt:variant>
        <vt:i4>0</vt:i4>
      </vt:variant>
      <vt:variant>
        <vt:i4>5</vt:i4>
      </vt:variant>
      <vt:variant>
        <vt:lpwstr/>
      </vt:variant>
      <vt:variant>
        <vt:lpwstr>Herbalmedicines</vt:lpwstr>
      </vt:variant>
      <vt:variant>
        <vt:i4>1048581</vt:i4>
      </vt:variant>
      <vt:variant>
        <vt:i4>1535</vt:i4>
      </vt:variant>
      <vt:variant>
        <vt:i4>0</vt:i4>
      </vt:variant>
      <vt:variant>
        <vt:i4>5</vt:i4>
      </vt:variant>
      <vt:variant>
        <vt:lpwstr/>
      </vt:variant>
      <vt:variant>
        <vt:lpwstr>Topicalanalgesics</vt:lpwstr>
      </vt:variant>
      <vt:variant>
        <vt:i4>7733364</vt:i4>
      </vt:variant>
      <vt:variant>
        <vt:i4>1532</vt:i4>
      </vt:variant>
      <vt:variant>
        <vt:i4>0</vt:i4>
      </vt:variant>
      <vt:variant>
        <vt:i4>5</vt:i4>
      </vt:variant>
      <vt:variant>
        <vt:lpwstr/>
      </vt:variant>
      <vt:variant>
        <vt:lpwstr>Diabeticneuropathy</vt:lpwstr>
      </vt:variant>
      <vt:variant>
        <vt:i4>7012450</vt:i4>
      </vt:variant>
      <vt:variant>
        <vt:i4>1529</vt:i4>
      </vt:variant>
      <vt:variant>
        <vt:i4>0</vt:i4>
      </vt:variant>
      <vt:variant>
        <vt:i4>5</vt:i4>
      </vt:variant>
      <vt:variant>
        <vt:lpwstr/>
      </vt:variant>
      <vt:variant>
        <vt:lpwstr>CRPSmedications</vt:lpwstr>
      </vt:variant>
      <vt:variant>
        <vt:i4>458825</vt:i4>
      </vt:variant>
      <vt:variant>
        <vt:i4>1526</vt:i4>
      </vt:variant>
      <vt:variant>
        <vt:i4>0</vt:i4>
      </vt:variant>
      <vt:variant>
        <vt:i4>5</vt:i4>
      </vt:variant>
      <vt:variant>
        <vt:lpwstr>http://www.fda.gov/Drugs/DrugSafety/ucm318858.htm</vt:lpwstr>
      </vt:variant>
      <vt:variant>
        <vt:lpwstr/>
      </vt:variant>
      <vt:variant>
        <vt:i4>6291568</vt:i4>
      </vt:variant>
      <vt:variant>
        <vt:i4>1523</vt:i4>
      </vt:variant>
      <vt:variant>
        <vt:i4>0</vt:i4>
      </vt:variant>
      <vt:variant>
        <vt:i4>5</vt:i4>
      </vt:variant>
      <vt:variant>
        <vt:lpwstr/>
      </vt:variant>
      <vt:variant>
        <vt:lpwstr>Maroon</vt:lpwstr>
      </vt:variant>
      <vt:variant>
        <vt:i4>7274612</vt:i4>
      </vt:variant>
      <vt:variant>
        <vt:i4>1520</vt:i4>
      </vt:variant>
      <vt:variant>
        <vt:i4>0</vt:i4>
      </vt:variant>
      <vt:variant>
        <vt:i4>5</vt:i4>
      </vt:variant>
      <vt:variant>
        <vt:lpwstr/>
      </vt:variant>
      <vt:variant>
        <vt:lpwstr>Altman</vt:lpwstr>
      </vt:variant>
      <vt:variant>
        <vt:i4>3932272</vt:i4>
      </vt:variant>
      <vt:variant>
        <vt:i4>1517</vt:i4>
      </vt:variant>
      <vt:variant>
        <vt:i4>0</vt:i4>
      </vt:variant>
      <vt:variant>
        <vt:i4>5</vt:i4>
      </vt:variant>
      <vt:variant>
        <vt:lpwstr/>
      </vt:variant>
      <vt:variant>
        <vt:lpwstr>Mason2</vt:lpwstr>
      </vt:variant>
      <vt:variant>
        <vt:i4>8192103</vt:i4>
      </vt:variant>
      <vt:variant>
        <vt:i4>1514</vt:i4>
      </vt:variant>
      <vt:variant>
        <vt:i4>0</vt:i4>
      </vt:variant>
      <vt:variant>
        <vt:i4>5</vt:i4>
      </vt:variant>
      <vt:variant>
        <vt:lpwstr/>
      </vt:variant>
      <vt:variant>
        <vt:lpwstr>Keitel</vt:lpwstr>
      </vt:variant>
      <vt:variant>
        <vt:i4>6488185</vt:i4>
      </vt:variant>
      <vt:variant>
        <vt:i4>1511</vt:i4>
      </vt:variant>
      <vt:variant>
        <vt:i4>0</vt:i4>
      </vt:variant>
      <vt:variant>
        <vt:i4>5</vt:i4>
      </vt:variant>
      <vt:variant>
        <vt:lpwstr/>
      </vt:variant>
      <vt:variant>
        <vt:lpwstr>Robbins</vt:lpwstr>
      </vt:variant>
      <vt:variant>
        <vt:i4>7733372</vt:i4>
      </vt:variant>
      <vt:variant>
        <vt:i4>1508</vt:i4>
      </vt:variant>
      <vt:variant>
        <vt:i4>0</vt:i4>
      </vt:variant>
      <vt:variant>
        <vt:i4>5</vt:i4>
      </vt:variant>
      <vt:variant>
        <vt:lpwstr/>
      </vt:variant>
      <vt:variant>
        <vt:lpwstr>Robson2014</vt:lpwstr>
      </vt:variant>
      <vt:variant>
        <vt:i4>1704002</vt:i4>
      </vt:variant>
      <vt:variant>
        <vt:i4>1505</vt:i4>
      </vt:variant>
      <vt:variant>
        <vt:i4>0</vt:i4>
      </vt:variant>
      <vt:variant>
        <vt:i4>5</vt:i4>
      </vt:variant>
      <vt:variant>
        <vt:lpwstr/>
      </vt:variant>
      <vt:variant>
        <vt:lpwstr>Smith2013</vt:lpwstr>
      </vt:variant>
      <vt:variant>
        <vt:i4>1900637</vt:i4>
      </vt:variant>
      <vt:variant>
        <vt:i4>1502</vt:i4>
      </vt:variant>
      <vt:variant>
        <vt:i4>0</vt:i4>
      </vt:variant>
      <vt:variant>
        <vt:i4>5</vt:i4>
      </vt:variant>
      <vt:variant>
        <vt:lpwstr/>
      </vt:variant>
      <vt:variant>
        <vt:lpwstr>Bhattacharyya2012</vt:lpwstr>
      </vt:variant>
      <vt:variant>
        <vt:i4>7209066</vt:i4>
      </vt:variant>
      <vt:variant>
        <vt:i4>1499</vt:i4>
      </vt:variant>
      <vt:variant>
        <vt:i4>0</vt:i4>
      </vt:variant>
      <vt:variant>
        <vt:i4>5</vt:i4>
      </vt:variant>
      <vt:variant>
        <vt:lpwstr/>
      </vt:variant>
      <vt:variant>
        <vt:lpwstr>Cooper2013</vt:lpwstr>
      </vt:variant>
      <vt:variant>
        <vt:i4>7405695</vt:i4>
      </vt:variant>
      <vt:variant>
        <vt:i4>1496</vt:i4>
      </vt:variant>
      <vt:variant>
        <vt:i4>0</vt:i4>
      </vt:variant>
      <vt:variant>
        <vt:i4>5</vt:i4>
      </vt:variant>
      <vt:variant>
        <vt:lpwstr/>
      </vt:variant>
      <vt:variant>
        <vt:lpwstr>Gitlow2013</vt:lpwstr>
      </vt:variant>
      <vt:variant>
        <vt:i4>196678</vt:i4>
      </vt:variant>
      <vt:variant>
        <vt:i4>1493</vt:i4>
      </vt:variant>
      <vt:variant>
        <vt:i4>0</vt:i4>
      </vt:variant>
      <vt:variant>
        <vt:i4>5</vt:i4>
      </vt:variant>
      <vt:variant>
        <vt:lpwstr/>
      </vt:variant>
      <vt:variant>
        <vt:lpwstr>Meier2013</vt:lpwstr>
      </vt:variant>
      <vt:variant>
        <vt:i4>7405693</vt:i4>
      </vt:variant>
      <vt:variant>
        <vt:i4>1490</vt:i4>
      </vt:variant>
      <vt:variant>
        <vt:i4>0</vt:i4>
      </vt:variant>
      <vt:variant>
        <vt:i4>5</vt:i4>
      </vt:variant>
      <vt:variant>
        <vt:lpwstr/>
      </vt:variant>
      <vt:variant>
        <vt:lpwstr>Abrams2011</vt:lpwstr>
      </vt:variant>
      <vt:variant>
        <vt:i4>7274608</vt:i4>
      </vt:variant>
      <vt:variant>
        <vt:i4>1487</vt:i4>
      </vt:variant>
      <vt:variant>
        <vt:i4>0</vt:i4>
      </vt:variant>
      <vt:variant>
        <vt:i4>5</vt:i4>
      </vt:variant>
      <vt:variant>
        <vt:lpwstr/>
      </vt:variant>
      <vt:variant>
        <vt:lpwstr>Narang2008</vt:lpwstr>
      </vt:variant>
      <vt:variant>
        <vt:i4>131086</vt:i4>
      </vt:variant>
      <vt:variant>
        <vt:i4>1484</vt:i4>
      </vt:variant>
      <vt:variant>
        <vt:i4>0</vt:i4>
      </vt:variant>
      <vt:variant>
        <vt:i4>5</vt:i4>
      </vt:variant>
      <vt:variant>
        <vt:lpwstr/>
      </vt:variant>
      <vt:variant>
        <vt:lpwstr>Nabilone</vt:lpwstr>
      </vt:variant>
      <vt:variant>
        <vt:i4>6815785</vt:i4>
      </vt:variant>
      <vt:variant>
        <vt:i4>1481</vt:i4>
      </vt:variant>
      <vt:variant>
        <vt:i4>0</vt:i4>
      </vt:variant>
      <vt:variant>
        <vt:i4>5</vt:i4>
      </vt:variant>
      <vt:variant>
        <vt:lpwstr/>
      </vt:variant>
      <vt:variant>
        <vt:lpwstr>Berlach2006</vt:lpwstr>
      </vt:variant>
      <vt:variant>
        <vt:i4>1179673</vt:i4>
      </vt:variant>
      <vt:variant>
        <vt:i4>1478</vt:i4>
      </vt:variant>
      <vt:variant>
        <vt:i4>0</vt:i4>
      </vt:variant>
      <vt:variant>
        <vt:i4>5</vt:i4>
      </vt:variant>
      <vt:variant>
        <vt:lpwstr/>
      </vt:variant>
      <vt:variant>
        <vt:lpwstr>McCarberg</vt:lpwstr>
      </vt:variant>
      <vt:variant>
        <vt:i4>6488190</vt:i4>
      </vt:variant>
      <vt:variant>
        <vt:i4>1475</vt:i4>
      </vt:variant>
      <vt:variant>
        <vt:i4>0</vt:i4>
      </vt:variant>
      <vt:variant>
        <vt:i4>5</vt:i4>
      </vt:variant>
      <vt:variant>
        <vt:lpwstr/>
      </vt:variant>
      <vt:variant>
        <vt:lpwstr>Wilsey</vt:lpwstr>
      </vt:variant>
      <vt:variant>
        <vt:i4>7209082</vt:i4>
      </vt:variant>
      <vt:variant>
        <vt:i4>1472</vt:i4>
      </vt:variant>
      <vt:variant>
        <vt:i4>0</vt:i4>
      </vt:variant>
      <vt:variant>
        <vt:i4>5</vt:i4>
      </vt:variant>
      <vt:variant>
        <vt:lpwstr/>
      </vt:variant>
      <vt:variant>
        <vt:lpwstr>Wallace</vt:lpwstr>
      </vt:variant>
      <vt:variant>
        <vt:i4>458776</vt:i4>
      </vt:variant>
      <vt:variant>
        <vt:i4>1469</vt:i4>
      </vt:variant>
      <vt:variant>
        <vt:i4>0</vt:i4>
      </vt:variant>
      <vt:variant>
        <vt:i4>5</vt:i4>
      </vt:variant>
      <vt:variant>
        <vt:lpwstr/>
      </vt:variant>
      <vt:variant>
        <vt:lpwstr>Moskowitz</vt:lpwstr>
      </vt:variant>
      <vt:variant>
        <vt:i4>7274599</vt:i4>
      </vt:variant>
      <vt:variant>
        <vt:i4>1466</vt:i4>
      </vt:variant>
      <vt:variant>
        <vt:i4>0</vt:i4>
      </vt:variant>
      <vt:variant>
        <vt:i4>5</vt:i4>
      </vt:variant>
      <vt:variant>
        <vt:lpwstr/>
      </vt:variant>
      <vt:variant>
        <vt:lpwstr>Mackie</vt:lpwstr>
      </vt:variant>
      <vt:variant>
        <vt:i4>4653085</vt:i4>
      </vt:variant>
      <vt:variant>
        <vt:i4>1463</vt:i4>
      </vt:variant>
      <vt:variant>
        <vt:i4>0</vt:i4>
      </vt:variant>
      <vt:variant>
        <vt:i4>5</vt:i4>
      </vt:variant>
      <vt:variant>
        <vt:lpwstr>http://www.ncsl.org/issues-research/health/state-medical-marijuana-laws.aspx</vt:lpwstr>
      </vt:variant>
      <vt:variant>
        <vt:lpwstr/>
      </vt:variant>
      <vt:variant>
        <vt:i4>7012450</vt:i4>
      </vt:variant>
      <vt:variant>
        <vt:i4>1460</vt:i4>
      </vt:variant>
      <vt:variant>
        <vt:i4>0</vt:i4>
      </vt:variant>
      <vt:variant>
        <vt:i4>5</vt:i4>
      </vt:variant>
      <vt:variant>
        <vt:lpwstr/>
      </vt:variant>
      <vt:variant>
        <vt:lpwstr>CRPSmedications</vt:lpwstr>
      </vt:variant>
      <vt:variant>
        <vt:i4>8061055</vt:i4>
      </vt:variant>
      <vt:variant>
        <vt:i4>1457</vt:i4>
      </vt:variant>
      <vt:variant>
        <vt:i4>0</vt:i4>
      </vt:variant>
      <vt:variant>
        <vt:i4>5</vt:i4>
      </vt:variant>
      <vt:variant>
        <vt:lpwstr/>
      </vt:variant>
      <vt:variant>
        <vt:lpwstr>Sharma</vt:lpwstr>
      </vt:variant>
      <vt:variant>
        <vt:i4>2752623</vt:i4>
      </vt:variant>
      <vt:variant>
        <vt:i4>1454</vt:i4>
      </vt:variant>
      <vt:variant>
        <vt:i4>0</vt:i4>
      </vt:variant>
      <vt:variant>
        <vt:i4>5</vt:i4>
      </vt:variant>
      <vt:variant>
        <vt:lpwstr/>
      </vt:variant>
      <vt:variant>
        <vt:lpwstr>Rowbotham2</vt:lpwstr>
      </vt:variant>
      <vt:variant>
        <vt:i4>1572882</vt:i4>
      </vt:variant>
      <vt:variant>
        <vt:i4>1451</vt:i4>
      </vt:variant>
      <vt:variant>
        <vt:i4>0</vt:i4>
      </vt:variant>
      <vt:variant>
        <vt:i4>5</vt:i4>
      </vt:variant>
      <vt:variant>
        <vt:lpwstr/>
      </vt:variant>
      <vt:variant>
        <vt:lpwstr>Appelboom</vt:lpwstr>
      </vt:variant>
      <vt:variant>
        <vt:i4>524315</vt:i4>
      </vt:variant>
      <vt:variant>
        <vt:i4>1448</vt:i4>
      </vt:variant>
      <vt:variant>
        <vt:i4>0</vt:i4>
      </vt:variant>
      <vt:variant>
        <vt:i4>5</vt:i4>
      </vt:variant>
      <vt:variant>
        <vt:lpwstr/>
      </vt:variant>
      <vt:variant>
        <vt:lpwstr>Sahin</vt:lpwstr>
      </vt:variant>
      <vt:variant>
        <vt:i4>1376277</vt:i4>
      </vt:variant>
      <vt:variant>
        <vt:i4>1445</vt:i4>
      </vt:variant>
      <vt:variant>
        <vt:i4>0</vt:i4>
      </vt:variant>
      <vt:variant>
        <vt:i4>5</vt:i4>
      </vt:variant>
      <vt:variant>
        <vt:lpwstr/>
      </vt:variant>
      <vt:variant>
        <vt:lpwstr>Manicourt</vt:lpwstr>
      </vt:variant>
      <vt:variant>
        <vt:i4>1900545</vt:i4>
      </vt:variant>
      <vt:variant>
        <vt:i4>1442</vt:i4>
      </vt:variant>
      <vt:variant>
        <vt:i4>0</vt:i4>
      </vt:variant>
      <vt:variant>
        <vt:i4>5</vt:i4>
      </vt:variant>
      <vt:variant>
        <vt:lpwstr/>
      </vt:variant>
      <vt:variant>
        <vt:lpwstr>Buprenorphine</vt:lpwstr>
      </vt:variant>
      <vt:variant>
        <vt:i4>1376280</vt:i4>
      </vt:variant>
      <vt:variant>
        <vt:i4>1439</vt:i4>
      </vt:variant>
      <vt:variant>
        <vt:i4>0</vt:i4>
      </vt:variant>
      <vt:variant>
        <vt:i4>5</vt:i4>
      </vt:variant>
      <vt:variant>
        <vt:lpwstr/>
      </vt:variant>
      <vt:variant>
        <vt:lpwstr>Antidepressantsforchronicpain</vt:lpwstr>
      </vt:variant>
      <vt:variant>
        <vt:i4>589833</vt:i4>
      </vt:variant>
      <vt:variant>
        <vt:i4>1436</vt:i4>
      </vt:variant>
      <vt:variant>
        <vt:i4>0</vt:i4>
      </vt:variant>
      <vt:variant>
        <vt:i4>5</vt:i4>
      </vt:variant>
      <vt:variant>
        <vt:lpwstr/>
      </vt:variant>
      <vt:variant>
        <vt:lpwstr>BupropionListing</vt:lpwstr>
      </vt:variant>
      <vt:variant>
        <vt:i4>7929955</vt:i4>
      </vt:variant>
      <vt:variant>
        <vt:i4>1433</vt:i4>
      </vt:variant>
      <vt:variant>
        <vt:i4>0</vt:i4>
      </vt:variant>
      <vt:variant>
        <vt:i4>5</vt:i4>
      </vt:variant>
      <vt:variant>
        <vt:lpwstr/>
      </vt:variant>
      <vt:variant>
        <vt:lpwstr>Weaningopioids</vt:lpwstr>
      </vt:variant>
      <vt:variant>
        <vt:i4>8257654</vt:i4>
      </vt:variant>
      <vt:variant>
        <vt:i4>1430</vt:i4>
      </vt:variant>
      <vt:variant>
        <vt:i4>0</vt:i4>
      </vt:variant>
      <vt:variant>
        <vt:i4>5</vt:i4>
      </vt:variant>
      <vt:variant>
        <vt:lpwstr/>
      </vt:variant>
      <vt:variant>
        <vt:lpwstr>Buprenorphineforchronicpain</vt:lpwstr>
      </vt:variant>
      <vt:variant>
        <vt:i4>2949204</vt:i4>
      </vt:variant>
      <vt:variant>
        <vt:i4>1427</vt:i4>
      </vt:variant>
      <vt:variant>
        <vt:i4>0</vt:i4>
      </vt:variant>
      <vt:variant>
        <vt:i4>5</vt:i4>
      </vt:variant>
      <vt:variant>
        <vt:lpwstr>http://www.accessdata.fda.gov/drugsatfda_docs/appletter/2013/204242Orig1s002ltr.pdf</vt:lpwstr>
      </vt:variant>
      <vt:variant>
        <vt:lpwstr/>
      </vt:variant>
      <vt:variant>
        <vt:i4>7340131</vt:i4>
      </vt:variant>
      <vt:variant>
        <vt:i4>1424</vt:i4>
      </vt:variant>
      <vt:variant>
        <vt:i4>0</vt:i4>
      </vt:variant>
      <vt:variant>
        <vt:i4>5</vt:i4>
      </vt:variant>
      <vt:variant>
        <vt:lpwstr/>
      </vt:variant>
      <vt:variant>
        <vt:lpwstr>Colson2012</vt:lpwstr>
      </vt:variant>
      <vt:variant>
        <vt:i4>524316</vt:i4>
      </vt:variant>
      <vt:variant>
        <vt:i4>1421</vt:i4>
      </vt:variant>
      <vt:variant>
        <vt:i4>0</vt:i4>
      </vt:variant>
      <vt:variant>
        <vt:i4>5</vt:i4>
      </vt:variant>
      <vt:variant>
        <vt:lpwstr/>
      </vt:variant>
      <vt:variant>
        <vt:lpwstr>Mark2012</vt:lpwstr>
      </vt:variant>
      <vt:variant>
        <vt:i4>524296</vt:i4>
      </vt:variant>
      <vt:variant>
        <vt:i4>1418</vt:i4>
      </vt:variant>
      <vt:variant>
        <vt:i4>0</vt:i4>
      </vt:variant>
      <vt:variant>
        <vt:i4>5</vt:i4>
      </vt:variant>
      <vt:variant>
        <vt:lpwstr/>
      </vt:variant>
      <vt:variant>
        <vt:lpwstr>Ducharme2012</vt:lpwstr>
      </vt:variant>
      <vt:variant>
        <vt:i4>1507347</vt:i4>
      </vt:variant>
      <vt:variant>
        <vt:i4>1415</vt:i4>
      </vt:variant>
      <vt:variant>
        <vt:i4>0</vt:i4>
      </vt:variant>
      <vt:variant>
        <vt:i4>5</vt:i4>
      </vt:variant>
      <vt:variant>
        <vt:lpwstr/>
      </vt:variant>
      <vt:variant>
        <vt:lpwstr>Bart2012</vt:lpwstr>
      </vt:variant>
      <vt:variant>
        <vt:i4>1376349</vt:i4>
      </vt:variant>
      <vt:variant>
        <vt:i4>1412</vt:i4>
      </vt:variant>
      <vt:variant>
        <vt:i4>0</vt:i4>
      </vt:variant>
      <vt:variant>
        <vt:i4>5</vt:i4>
      </vt:variant>
      <vt:variant>
        <vt:lpwstr/>
      </vt:variant>
      <vt:variant>
        <vt:lpwstr>Weiss2011</vt:lpwstr>
      </vt:variant>
      <vt:variant>
        <vt:i4>1900633</vt:i4>
      </vt:variant>
      <vt:variant>
        <vt:i4>1409</vt:i4>
      </vt:variant>
      <vt:variant>
        <vt:i4>0</vt:i4>
      </vt:variant>
      <vt:variant>
        <vt:i4>5</vt:i4>
      </vt:variant>
      <vt:variant>
        <vt:lpwstr/>
      </vt:variant>
      <vt:variant>
        <vt:lpwstr>Clark2011</vt:lpwstr>
      </vt:variant>
      <vt:variant>
        <vt:i4>6684790</vt:i4>
      </vt:variant>
      <vt:variant>
        <vt:i4>1406</vt:i4>
      </vt:variant>
      <vt:variant>
        <vt:i4>0</vt:i4>
      </vt:variant>
      <vt:variant>
        <vt:i4>5</vt:i4>
      </vt:variant>
      <vt:variant>
        <vt:lpwstr/>
      </vt:variant>
      <vt:variant>
        <vt:lpwstr>Alford2011</vt:lpwstr>
      </vt:variant>
      <vt:variant>
        <vt:i4>1900568</vt:i4>
      </vt:variant>
      <vt:variant>
        <vt:i4>1403</vt:i4>
      </vt:variant>
      <vt:variant>
        <vt:i4>0</vt:i4>
      </vt:variant>
      <vt:variant>
        <vt:i4>5</vt:i4>
      </vt:variant>
      <vt:variant>
        <vt:lpwstr/>
      </vt:variant>
      <vt:variant>
        <vt:lpwstr>Buprenorphineforopioiddependence</vt:lpwstr>
      </vt:variant>
      <vt:variant>
        <vt:i4>1900568</vt:i4>
      </vt:variant>
      <vt:variant>
        <vt:i4>1400</vt:i4>
      </vt:variant>
      <vt:variant>
        <vt:i4>0</vt:i4>
      </vt:variant>
      <vt:variant>
        <vt:i4>5</vt:i4>
      </vt:variant>
      <vt:variant>
        <vt:lpwstr/>
      </vt:variant>
      <vt:variant>
        <vt:lpwstr>Buprenorphineforopioiddependence</vt:lpwstr>
      </vt:variant>
      <vt:variant>
        <vt:i4>8257654</vt:i4>
      </vt:variant>
      <vt:variant>
        <vt:i4>1397</vt:i4>
      </vt:variant>
      <vt:variant>
        <vt:i4>0</vt:i4>
      </vt:variant>
      <vt:variant>
        <vt:i4>5</vt:i4>
      </vt:variant>
      <vt:variant>
        <vt:lpwstr/>
      </vt:variant>
      <vt:variant>
        <vt:lpwstr>Buprenorphineforchronicpain</vt:lpwstr>
      </vt:variant>
      <vt:variant>
        <vt:i4>8192123</vt:i4>
      </vt:variant>
      <vt:variant>
        <vt:i4>1394</vt:i4>
      </vt:variant>
      <vt:variant>
        <vt:i4>0</vt:i4>
      </vt:variant>
      <vt:variant>
        <vt:i4>5</vt:i4>
      </vt:variant>
      <vt:variant>
        <vt:lpwstr/>
      </vt:variant>
      <vt:variant>
        <vt:lpwstr>Biersblock</vt:lpwstr>
      </vt:variant>
      <vt:variant>
        <vt:i4>262166</vt:i4>
      </vt:variant>
      <vt:variant>
        <vt:i4>1391</vt:i4>
      </vt:variant>
      <vt:variant>
        <vt:i4>0</vt:i4>
      </vt:variant>
      <vt:variant>
        <vt:i4>5</vt:i4>
      </vt:variant>
      <vt:variant>
        <vt:lpwstr/>
      </vt:variant>
      <vt:variant>
        <vt:lpwstr>JACKSON2012b</vt:lpwstr>
      </vt:variant>
      <vt:variant>
        <vt:i4>8257569</vt:i4>
      </vt:variant>
      <vt:variant>
        <vt:i4>1388</vt:i4>
      </vt:variant>
      <vt:variant>
        <vt:i4>0</vt:i4>
      </vt:variant>
      <vt:variant>
        <vt:i4>5</vt:i4>
      </vt:variant>
      <vt:variant>
        <vt:lpwstr/>
      </vt:variant>
      <vt:variant>
        <vt:lpwstr>FDAnews2010</vt:lpwstr>
      </vt:variant>
      <vt:variant>
        <vt:i4>655455</vt:i4>
      </vt:variant>
      <vt:variant>
        <vt:i4>1385</vt:i4>
      </vt:variant>
      <vt:variant>
        <vt:i4>0</vt:i4>
      </vt:variant>
      <vt:variant>
        <vt:i4>5</vt:i4>
      </vt:variant>
      <vt:variant>
        <vt:lpwstr>http://www.odg-twc.com/odgtwc/head.htm</vt:lpwstr>
      </vt:variant>
      <vt:variant>
        <vt:lpwstr>Botulinumtoxin</vt:lpwstr>
      </vt:variant>
      <vt:variant>
        <vt:i4>655455</vt:i4>
      </vt:variant>
      <vt:variant>
        <vt:i4>1382</vt:i4>
      </vt:variant>
      <vt:variant>
        <vt:i4>0</vt:i4>
      </vt:variant>
      <vt:variant>
        <vt:i4>5</vt:i4>
      </vt:variant>
      <vt:variant>
        <vt:lpwstr>http://www.odg-twc.com/odgtwc/head.htm</vt:lpwstr>
      </vt:variant>
      <vt:variant>
        <vt:lpwstr>Botulinumtoxin</vt:lpwstr>
      </vt:variant>
      <vt:variant>
        <vt:i4>851999</vt:i4>
      </vt:variant>
      <vt:variant>
        <vt:i4>1379</vt:i4>
      </vt:variant>
      <vt:variant>
        <vt:i4>0</vt:i4>
      </vt:variant>
      <vt:variant>
        <vt:i4>5</vt:i4>
      </vt:variant>
      <vt:variant>
        <vt:lpwstr/>
      </vt:variant>
      <vt:variant>
        <vt:lpwstr>Marciniak</vt:lpwstr>
      </vt:variant>
      <vt:variant>
        <vt:i4>983112</vt:i4>
      </vt:variant>
      <vt:variant>
        <vt:i4>1376</vt:i4>
      </vt:variant>
      <vt:variant>
        <vt:i4>0</vt:i4>
      </vt:variant>
      <vt:variant>
        <vt:i4>5</vt:i4>
      </vt:variant>
      <vt:variant>
        <vt:lpwstr/>
      </vt:variant>
      <vt:variant>
        <vt:lpwstr>Herschorn2011</vt:lpwstr>
      </vt:variant>
      <vt:variant>
        <vt:i4>589845</vt:i4>
      </vt:variant>
      <vt:variant>
        <vt:i4>1373</vt:i4>
      </vt:variant>
      <vt:variant>
        <vt:i4>0</vt:i4>
      </vt:variant>
      <vt:variant>
        <vt:i4>5</vt:i4>
      </vt:variant>
      <vt:variant>
        <vt:lpwstr/>
      </vt:variant>
      <vt:variant>
        <vt:lpwstr>Cruz2011</vt:lpwstr>
      </vt:variant>
      <vt:variant>
        <vt:i4>6422650</vt:i4>
      </vt:variant>
      <vt:variant>
        <vt:i4>1370</vt:i4>
      </vt:variant>
      <vt:variant>
        <vt:i4>0</vt:i4>
      </vt:variant>
      <vt:variant>
        <vt:i4>5</vt:i4>
      </vt:variant>
      <vt:variant>
        <vt:lpwstr/>
      </vt:variant>
      <vt:variant>
        <vt:lpwstr>Naumann</vt:lpwstr>
      </vt:variant>
      <vt:variant>
        <vt:i4>6619246</vt:i4>
      </vt:variant>
      <vt:variant>
        <vt:i4>1367</vt:i4>
      </vt:variant>
      <vt:variant>
        <vt:i4>0</vt:i4>
      </vt:variant>
      <vt:variant>
        <vt:i4>5</vt:i4>
      </vt:variant>
      <vt:variant>
        <vt:lpwstr/>
      </vt:variant>
      <vt:variant>
        <vt:lpwstr>Ney</vt:lpwstr>
      </vt:variant>
      <vt:variant>
        <vt:i4>7405673</vt:i4>
      </vt:variant>
      <vt:variant>
        <vt:i4>1364</vt:i4>
      </vt:variant>
      <vt:variant>
        <vt:i4>0</vt:i4>
      </vt:variant>
      <vt:variant>
        <vt:i4>5</vt:i4>
      </vt:variant>
      <vt:variant>
        <vt:lpwstr/>
      </vt:variant>
      <vt:variant>
        <vt:lpwstr>Jabbari</vt:lpwstr>
      </vt:variant>
      <vt:variant>
        <vt:i4>7077931</vt:i4>
      </vt:variant>
      <vt:variant>
        <vt:i4>1361</vt:i4>
      </vt:variant>
      <vt:variant>
        <vt:i4>0</vt:i4>
      </vt:variant>
      <vt:variant>
        <vt:i4>5</vt:i4>
      </vt:variant>
      <vt:variant>
        <vt:lpwstr/>
      </vt:variant>
      <vt:variant>
        <vt:lpwstr>Climent2013</vt:lpwstr>
      </vt:variant>
      <vt:variant>
        <vt:i4>6946932</vt:i4>
      </vt:variant>
      <vt:variant>
        <vt:i4>1358</vt:i4>
      </vt:variant>
      <vt:variant>
        <vt:i4>0</vt:i4>
      </vt:variant>
      <vt:variant>
        <vt:i4>5</vt:i4>
      </vt:variant>
      <vt:variant>
        <vt:lpwstr/>
      </vt:variant>
      <vt:variant>
        <vt:lpwstr>Soares2014</vt:lpwstr>
      </vt:variant>
      <vt:variant>
        <vt:i4>524377</vt:i4>
      </vt:variant>
      <vt:variant>
        <vt:i4>1355</vt:i4>
      </vt:variant>
      <vt:variant>
        <vt:i4>0</vt:i4>
      </vt:variant>
      <vt:variant>
        <vt:i4>5</vt:i4>
      </vt:variant>
      <vt:variant>
        <vt:lpwstr/>
      </vt:variant>
      <vt:variant>
        <vt:lpwstr>Gobel2006</vt:lpwstr>
      </vt:variant>
      <vt:variant>
        <vt:i4>6684787</vt:i4>
      </vt:variant>
      <vt:variant>
        <vt:i4>1352</vt:i4>
      </vt:variant>
      <vt:variant>
        <vt:i4>0</vt:i4>
      </vt:variant>
      <vt:variant>
        <vt:i4>5</vt:i4>
      </vt:variant>
      <vt:variant>
        <vt:lpwstr/>
      </vt:variant>
      <vt:variant>
        <vt:lpwstr>PelosoCochrane</vt:lpwstr>
      </vt:variant>
      <vt:variant>
        <vt:i4>7274600</vt:i4>
      </vt:variant>
      <vt:variant>
        <vt:i4>1349</vt:i4>
      </vt:variant>
      <vt:variant>
        <vt:i4>0</vt:i4>
      </vt:variant>
      <vt:variant>
        <vt:i4>5</vt:i4>
      </vt:variant>
      <vt:variant>
        <vt:lpwstr/>
      </vt:variant>
      <vt:variant>
        <vt:lpwstr>Ho</vt:lpwstr>
      </vt:variant>
      <vt:variant>
        <vt:i4>655362</vt:i4>
      </vt:variant>
      <vt:variant>
        <vt:i4>1346</vt:i4>
      </vt:variant>
      <vt:variant>
        <vt:i4>0</vt:i4>
      </vt:variant>
      <vt:variant>
        <vt:i4>5</vt:i4>
      </vt:variant>
      <vt:variant>
        <vt:lpwstr/>
      </vt:variant>
      <vt:variant>
        <vt:lpwstr>Graboski</vt:lpwstr>
      </vt:variant>
      <vt:variant>
        <vt:i4>7077992</vt:i4>
      </vt:variant>
      <vt:variant>
        <vt:i4>1343</vt:i4>
      </vt:variant>
      <vt:variant>
        <vt:i4>0</vt:i4>
      </vt:variant>
      <vt:variant>
        <vt:i4>5</vt:i4>
      </vt:variant>
      <vt:variant>
        <vt:lpwstr/>
      </vt:variant>
      <vt:variant>
        <vt:lpwstr>Kamanli</vt:lpwstr>
      </vt:variant>
      <vt:variant>
        <vt:i4>6815870</vt:i4>
      </vt:variant>
      <vt:variant>
        <vt:i4>1340</vt:i4>
      </vt:variant>
      <vt:variant>
        <vt:i4>0</vt:i4>
      </vt:variant>
      <vt:variant>
        <vt:i4>5</vt:i4>
      </vt:variant>
      <vt:variant>
        <vt:lpwstr/>
      </vt:variant>
      <vt:variant>
        <vt:lpwstr>Wheeler</vt:lpwstr>
      </vt:variant>
      <vt:variant>
        <vt:i4>1835009</vt:i4>
      </vt:variant>
      <vt:variant>
        <vt:i4>1337</vt:i4>
      </vt:variant>
      <vt:variant>
        <vt:i4>0</vt:i4>
      </vt:variant>
      <vt:variant>
        <vt:i4>5</vt:i4>
      </vt:variant>
      <vt:variant>
        <vt:lpwstr/>
      </vt:variant>
      <vt:variant>
        <vt:lpwstr>Ferrante</vt:lpwstr>
      </vt:variant>
      <vt:variant>
        <vt:i4>393230</vt:i4>
      </vt:variant>
      <vt:variant>
        <vt:i4>1334</vt:i4>
      </vt:variant>
      <vt:variant>
        <vt:i4>0</vt:i4>
      </vt:variant>
      <vt:variant>
        <vt:i4>5</vt:i4>
      </vt:variant>
      <vt:variant>
        <vt:lpwstr/>
      </vt:variant>
      <vt:variant>
        <vt:lpwstr>Ojala</vt:lpwstr>
      </vt:variant>
      <vt:variant>
        <vt:i4>6619246</vt:i4>
      </vt:variant>
      <vt:variant>
        <vt:i4>1331</vt:i4>
      </vt:variant>
      <vt:variant>
        <vt:i4>0</vt:i4>
      </vt:variant>
      <vt:variant>
        <vt:i4>5</vt:i4>
      </vt:variant>
      <vt:variant>
        <vt:lpwstr/>
      </vt:variant>
      <vt:variant>
        <vt:lpwstr>Qerama</vt:lpwstr>
      </vt:variant>
      <vt:variant>
        <vt:i4>6553727</vt:i4>
      </vt:variant>
      <vt:variant>
        <vt:i4>1328</vt:i4>
      </vt:variant>
      <vt:variant>
        <vt:i4>0</vt:i4>
      </vt:variant>
      <vt:variant>
        <vt:i4>5</vt:i4>
      </vt:variant>
      <vt:variant>
        <vt:lpwstr/>
      </vt:variant>
      <vt:variant>
        <vt:lpwstr>Botulinumtoxin</vt:lpwstr>
      </vt:variant>
      <vt:variant>
        <vt:i4>1245212</vt:i4>
      </vt:variant>
      <vt:variant>
        <vt:i4>1325</vt:i4>
      </vt:variant>
      <vt:variant>
        <vt:i4>0</vt:i4>
      </vt:variant>
      <vt:variant>
        <vt:i4>5</vt:i4>
      </vt:variant>
      <vt:variant>
        <vt:lpwstr/>
      </vt:variant>
      <vt:variant>
        <vt:lpwstr>Sengupta</vt:lpwstr>
      </vt:variant>
      <vt:variant>
        <vt:i4>6291568</vt:i4>
      </vt:variant>
      <vt:variant>
        <vt:i4>1322</vt:i4>
      </vt:variant>
      <vt:variant>
        <vt:i4>0</vt:i4>
      </vt:variant>
      <vt:variant>
        <vt:i4>5</vt:i4>
      </vt:variant>
      <vt:variant>
        <vt:lpwstr/>
      </vt:variant>
      <vt:variant>
        <vt:lpwstr>Maroon</vt:lpwstr>
      </vt:variant>
      <vt:variant>
        <vt:i4>6684773</vt:i4>
      </vt:variant>
      <vt:variant>
        <vt:i4>1319</vt:i4>
      </vt:variant>
      <vt:variant>
        <vt:i4>0</vt:i4>
      </vt:variant>
      <vt:variant>
        <vt:i4>5</vt:i4>
      </vt:variant>
      <vt:variant>
        <vt:lpwstr/>
      </vt:variant>
      <vt:variant>
        <vt:lpwstr>CRPSdiagnostictests</vt:lpwstr>
      </vt:variant>
      <vt:variant>
        <vt:i4>7012450</vt:i4>
      </vt:variant>
      <vt:variant>
        <vt:i4>1316</vt:i4>
      </vt:variant>
      <vt:variant>
        <vt:i4>0</vt:i4>
      </vt:variant>
      <vt:variant>
        <vt:i4>5</vt:i4>
      </vt:variant>
      <vt:variant>
        <vt:lpwstr/>
      </vt:variant>
      <vt:variant>
        <vt:lpwstr>CRPSmedications</vt:lpwstr>
      </vt:variant>
      <vt:variant>
        <vt:i4>262170</vt:i4>
      </vt:variant>
      <vt:variant>
        <vt:i4>1313</vt:i4>
      </vt:variant>
      <vt:variant>
        <vt:i4>0</vt:i4>
      </vt:variant>
      <vt:variant>
        <vt:i4>5</vt:i4>
      </vt:variant>
      <vt:variant>
        <vt:lpwstr/>
      </vt:variant>
      <vt:variant>
        <vt:lpwstr>Mehrotra2006</vt:lpwstr>
      </vt:variant>
      <vt:variant>
        <vt:i4>1376277</vt:i4>
      </vt:variant>
      <vt:variant>
        <vt:i4>1310</vt:i4>
      </vt:variant>
      <vt:variant>
        <vt:i4>0</vt:i4>
      </vt:variant>
      <vt:variant>
        <vt:i4>5</vt:i4>
      </vt:variant>
      <vt:variant>
        <vt:lpwstr/>
      </vt:variant>
      <vt:variant>
        <vt:lpwstr>Manicourt</vt:lpwstr>
      </vt:variant>
      <vt:variant>
        <vt:i4>7602298</vt:i4>
      </vt:variant>
      <vt:variant>
        <vt:i4>1307</vt:i4>
      </vt:variant>
      <vt:variant>
        <vt:i4>0</vt:i4>
      </vt:variant>
      <vt:variant>
        <vt:i4>5</vt:i4>
      </vt:variant>
      <vt:variant>
        <vt:lpwstr/>
      </vt:variant>
      <vt:variant>
        <vt:lpwstr>Delayedrecovery</vt:lpwstr>
      </vt:variant>
      <vt:variant>
        <vt:i4>7798887</vt:i4>
      </vt:variant>
      <vt:variant>
        <vt:i4>1304</vt:i4>
      </vt:variant>
      <vt:variant>
        <vt:i4>0</vt:i4>
      </vt:variant>
      <vt:variant>
        <vt:i4>5</vt:i4>
      </vt:variant>
      <vt:variant>
        <vt:lpwstr/>
      </vt:variant>
      <vt:variant>
        <vt:lpwstr>Chronicpainprograms</vt:lpwstr>
      </vt:variant>
      <vt:variant>
        <vt:i4>720916</vt:i4>
      </vt:variant>
      <vt:variant>
        <vt:i4>1301</vt:i4>
      </vt:variant>
      <vt:variant>
        <vt:i4>0</vt:i4>
      </vt:variant>
      <vt:variant>
        <vt:i4>5</vt:i4>
      </vt:variant>
      <vt:variant>
        <vt:lpwstr/>
      </vt:variant>
      <vt:variant>
        <vt:lpwstr>Functionalimprovementmeasures</vt:lpwstr>
      </vt:variant>
      <vt:variant>
        <vt:i4>393232</vt:i4>
      </vt:variant>
      <vt:variant>
        <vt:i4>1298</vt:i4>
      </vt:variant>
      <vt:variant>
        <vt:i4>0</vt:i4>
      </vt:variant>
      <vt:variant>
        <vt:i4>5</vt:i4>
      </vt:variant>
      <vt:variant>
        <vt:lpwstr/>
      </vt:variant>
      <vt:variant>
        <vt:lpwstr>Exercise</vt:lpwstr>
      </vt:variant>
      <vt:variant>
        <vt:i4>8257649</vt:i4>
      </vt:variant>
      <vt:variant>
        <vt:i4>1295</vt:i4>
      </vt:variant>
      <vt:variant>
        <vt:i4>0</vt:i4>
      </vt:variant>
      <vt:variant>
        <vt:i4>5</vt:i4>
      </vt:variant>
      <vt:variant>
        <vt:lpwstr/>
      </vt:variant>
      <vt:variant>
        <vt:lpwstr>Physicaltherapy</vt:lpwstr>
      </vt:variant>
      <vt:variant>
        <vt:i4>7602298</vt:i4>
      </vt:variant>
      <vt:variant>
        <vt:i4>1292</vt:i4>
      </vt:variant>
      <vt:variant>
        <vt:i4>0</vt:i4>
      </vt:variant>
      <vt:variant>
        <vt:i4>5</vt:i4>
      </vt:variant>
      <vt:variant>
        <vt:lpwstr/>
      </vt:variant>
      <vt:variant>
        <vt:lpwstr>Delayedrecovery</vt:lpwstr>
      </vt:variant>
      <vt:variant>
        <vt:i4>6815849</vt:i4>
      </vt:variant>
      <vt:variant>
        <vt:i4>1289</vt:i4>
      </vt:variant>
      <vt:variant>
        <vt:i4>0</vt:i4>
      </vt:variant>
      <vt:variant>
        <vt:i4>5</vt:i4>
      </vt:variant>
      <vt:variant>
        <vt:lpwstr/>
      </vt:variant>
      <vt:variant>
        <vt:lpwstr>Functionalimagingofbrainresponsestopain</vt:lpwstr>
      </vt:variant>
      <vt:variant>
        <vt:i4>8126590</vt:i4>
      </vt:variant>
      <vt:variant>
        <vt:i4>1286</vt:i4>
      </vt:variant>
      <vt:variant>
        <vt:i4>0</vt:i4>
      </vt:variant>
      <vt:variant>
        <vt:i4>5</vt:i4>
      </vt:variant>
      <vt:variant>
        <vt:lpwstr/>
      </vt:variant>
      <vt:variant>
        <vt:lpwstr>Voerman</vt:lpwstr>
      </vt:variant>
      <vt:variant>
        <vt:i4>5242888</vt:i4>
      </vt:variant>
      <vt:variant>
        <vt:i4>1283</vt:i4>
      </vt:variant>
      <vt:variant>
        <vt:i4>0</vt:i4>
      </vt:variant>
      <vt:variant>
        <vt:i4>5</vt:i4>
      </vt:variant>
      <vt:variant>
        <vt:lpwstr/>
      </vt:variant>
      <vt:variant>
        <vt:lpwstr>BlueCrossBlueShield98</vt:lpwstr>
      </vt:variant>
      <vt:variant>
        <vt:i4>917529</vt:i4>
      </vt:variant>
      <vt:variant>
        <vt:i4>1280</vt:i4>
      </vt:variant>
      <vt:variant>
        <vt:i4>0</vt:i4>
      </vt:variant>
      <vt:variant>
        <vt:i4>5</vt:i4>
      </vt:variant>
      <vt:variant>
        <vt:lpwstr/>
      </vt:variant>
      <vt:variant>
        <vt:lpwstr>Colorado2</vt:lpwstr>
      </vt:variant>
      <vt:variant>
        <vt:i4>5242888</vt:i4>
      </vt:variant>
      <vt:variant>
        <vt:i4>1277</vt:i4>
      </vt:variant>
      <vt:variant>
        <vt:i4>0</vt:i4>
      </vt:variant>
      <vt:variant>
        <vt:i4>5</vt:i4>
      </vt:variant>
      <vt:variant>
        <vt:lpwstr/>
      </vt:variant>
      <vt:variant>
        <vt:lpwstr>BlueCrossBlueShield98</vt:lpwstr>
      </vt:variant>
      <vt:variant>
        <vt:i4>5242888</vt:i4>
      </vt:variant>
      <vt:variant>
        <vt:i4>1274</vt:i4>
      </vt:variant>
      <vt:variant>
        <vt:i4>0</vt:i4>
      </vt:variant>
      <vt:variant>
        <vt:i4>5</vt:i4>
      </vt:variant>
      <vt:variant>
        <vt:lpwstr/>
      </vt:variant>
      <vt:variant>
        <vt:lpwstr>BlueCrossBlueShield98</vt:lpwstr>
      </vt:variant>
      <vt:variant>
        <vt:i4>5242888</vt:i4>
      </vt:variant>
      <vt:variant>
        <vt:i4>1271</vt:i4>
      </vt:variant>
      <vt:variant>
        <vt:i4>0</vt:i4>
      </vt:variant>
      <vt:variant>
        <vt:i4>5</vt:i4>
      </vt:variant>
      <vt:variant>
        <vt:lpwstr/>
      </vt:variant>
      <vt:variant>
        <vt:lpwstr>BlueCrossBlueShield98</vt:lpwstr>
      </vt:variant>
      <vt:variant>
        <vt:i4>6815849</vt:i4>
      </vt:variant>
      <vt:variant>
        <vt:i4>1268</vt:i4>
      </vt:variant>
      <vt:variant>
        <vt:i4>0</vt:i4>
      </vt:variant>
      <vt:variant>
        <vt:i4>5</vt:i4>
      </vt:variant>
      <vt:variant>
        <vt:lpwstr/>
      </vt:variant>
      <vt:variant>
        <vt:lpwstr>Hasenbring</vt:lpwstr>
      </vt:variant>
      <vt:variant>
        <vt:i4>5242888</vt:i4>
      </vt:variant>
      <vt:variant>
        <vt:i4>1265</vt:i4>
      </vt:variant>
      <vt:variant>
        <vt:i4>0</vt:i4>
      </vt:variant>
      <vt:variant>
        <vt:i4>5</vt:i4>
      </vt:variant>
      <vt:variant>
        <vt:lpwstr/>
      </vt:variant>
      <vt:variant>
        <vt:lpwstr>BlueCrossBlueShield98</vt:lpwstr>
      </vt:variant>
      <vt:variant>
        <vt:i4>2949194</vt:i4>
      </vt:variant>
      <vt:variant>
        <vt:i4>1262</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vanTulder</vt:lpwstr>
      </vt:variant>
      <vt:variant>
        <vt:i4>5242888</vt:i4>
      </vt:variant>
      <vt:variant>
        <vt:i4>1259</vt:i4>
      </vt:variant>
      <vt:variant>
        <vt:i4>0</vt:i4>
      </vt:variant>
      <vt:variant>
        <vt:i4>5</vt:i4>
      </vt:variant>
      <vt:variant>
        <vt:lpwstr/>
      </vt:variant>
      <vt:variant>
        <vt:lpwstr>BlueCrossBlueShield98</vt:lpwstr>
      </vt:variant>
      <vt:variant>
        <vt:i4>7077998</vt:i4>
      </vt:variant>
      <vt:variant>
        <vt:i4>1256</vt:i4>
      </vt:variant>
      <vt:variant>
        <vt:i4>0</vt:i4>
      </vt:variant>
      <vt:variant>
        <vt:i4>5</vt:i4>
      </vt:variant>
      <vt:variant>
        <vt:lpwstr/>
      </vt:variant>
      <vt:variant>
        <vt:lpwstr>Vlaeyen</vt:lpwstr>
      </vt:variant>
      <vt:variant>
        <vt:i4>8061045</vt:i4>
      </vt:variant>
      <vt:variant>
        <vt:i4>1253</vt:i4>
      </vt:variant>
      <vt:variant>
        <vt:i4>0</vt:i4>
      </vt:variant>
      <vt:variant>
        <vt:i4>5</vt:i4>
      </vt:variant>
      <vt:variant>
        <vt:lpwstr/>
      </vt:variant>
      <vt:variant>
        <vt:lpwstr>Spence</vt:lpwstr>
      </vt:variant>
      <vt:variant>
        <vt:i4>8257652</vt:i4>
      </vt:variant>
      <vt:variant>
        <vt:i4>1250</vt:i4>
      </vt:variant>
      <vt:variant>
        <vt:i4>0</vt:i4>
      </vt:variant>
      <vt:variant>
        <vt:i4>5</vt:i4>
      </vt:variant>
      <vt:variant>
        <vt:lpwstr/>
      </vt:variant>
      <vt:variant>
        <vt:lpwstr>NewtonJohn</vt:lpwstr>
      </vt:variant>
      <vt:variant>
        <vt:i4>1966089</vt:i4>
      </vt:variant>
      <vt:variant>
        <vt:i4>1247</vt:i4>
      </vt:variant>
      <vt:variant>
        <vt:i4>0</vt:i4>
      </vt:variant>
      <vt:variant>
        <vt:i4>5</vt:i4>
      </vt:variant>
      <vt:variant>
        <vt:lpwstr/>
      </vt:variant>
      <vt:variant>
        <vt:lpwstr>Flor2</vt:lpwstr>
      </vt:variant>
      <vt:variant>
        <vt:i4>1703953</vt:i4>
      </vt:variant>
      <vt:variant>
        <vt:i4>1244</vt:i4>
      </vt:variant>
      <vt:variant>
        <vt:i4>0</vt:i4>
      </vt:variant>
      <vt:variant>
        <vt:i4>5</vt:i4>
      </vt:variant>
      <vt:variant>
        <vt:lpwstr/>
      </vt:variant>
      <vt:variant>
        <vt:lpwstr>Altmaier</vt:lpwstr>
      </vt:variant>
      <vt:variant>
        <vt:i4>7209074</vt:i4>
      </vt:variant>
      <vt:variant>
        <vt:i4>1241</vt:i4>
      </vt:variant>
      <vt:variant>
        <vt:i4>0</vt:i4>
      </vt:variant>
      <vt:variant>
        <vt:i4>5</vt:i4>
      </vt:variant>
      <vt:variant>
        <vt:lpwstr/>
      </vt:variant>
      <vt:variant>
        <vt:lpwstr>Asfour</vt:lpwstr>
      </vt:variant>
      <vt:variant>
        <vt:i4>7471213</vt:i4>
      </vt:variant>
      <vt:variant>
        <vt:i4>1238</vt:i4>
      </vt:variant>
      <vt:variant>
        <vt:i4>0</vt:i4>
      </vt:variant>
      <vt:variant>
        <vt:i4>5</vt:i4>
      </vt:variant>
      <vt:variant>
        <vt:lpwstr/>
      </vt:variant>
      <vt:variant>
        <vt:lpwstr>Stuckey</vt:lpwstr>
      </vt:variant>
      <vt:variant>
        <vt:i4>1114124</vt:i4>
      </vt:variant>
      <vt:variant>
        <vt:i4>1235</vt:i4>
      </vt:variant>
      <vt:variant>
        <vt:i4>0</vt:i4>
      </vt:variant>
      <vt:variant>
        <vt:i4>5</vt:i4>
      </vt:variant>
      <vt:variant>
        <vt:lpwstr/>
      </vt:variant>
      <vt:variant>
        <vt:lpwstr>Croce</vt:lpwstr>
      </vt:variant>
      <vt:variant>
        <vt:i4>1900561</vt:i4>
      </vt:variant>
      <vt:variant>
        <vt:i4>1232</vt:i4>
      </vt:variant>
      <vt:variant>
        <vt:i4>0</vt:i4>
      </vt:variant>
      <vt:variant>
        <vt:i4>5</vt:i4>
      </vt:variant>
      <vt:variant>
        <vt:lpwstr/>
      </vt:variant>
      <vt:variant>
        <vt:lpwstr>Bush</vt:lpwstr>
      </vt:variant>
      <vt:variant>
        <vt:i4>7733374</vt:i4>
      </vt:variant>
      <vt:variant>
        <vt:i4>1229</vt:i4>
      </vt:variant>
      <vt:variant>
        <vt:i4>0</vt:i4>
      </vt:variant>
      <vt:variant>
        <vt:i4>5</vt:i4>
      </vt:variant>
      <vt:variant>
        <vt:lpwstr/>
      </vt:variant>
      <vt:variant>
        <vt:lpwstr>Nouwen</vt:lpwstr>
      </vt:variant>
      <vt:variant>
        <vt:i4>3211371</vt:i4>
      </vt:variant>
      <vt:variant>
        <vt:i4>1226</vt:i4>
      </vt:variant>
      <vt:variant>
        <vt:i4>0</vt:i4>
      </vt:variant>
      <vt:variant>
        <vt:i4>5</vt:i4>
      </vt:variant>
      <vt:variant>
        <vt:lpwstr/>
      </vt:variant>
      <vt:variant>
        <vt:lpwstr>Keefe2</vt:lpwstr>
      </vt:variant>
      <vt:variant>
        <vt:i4>5046331</vt:i4>
      </vt:variant>
      <vt:variant>
        <vt:i4>1223</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Surfaceelectromyography</vt:lpwstr>
      </vt:variant>
      <vt:variant>
        <vt:i4>917534</vt:i4>
      </vt:variant>
      <vt:variant>
        <vt:i4>1220</vt:i4>
      </vt:variant>
      <vt:variant>
        <vt:i4>0</vt:i4>
      </vt:variant>
      <vt:variant>
        <vt:i4>5</vt:i4>
      </vt:variant>
      <vt:variant>
        <vt:lpwstr/>
      </vt:variant>
      <vt:variant>
        <vt:lpwstr>Yoga</vt:lpwstr>
      </vt:variant>
      <vt:variant>
        <vt:i4>7864440</vt:i4>
      </vt:variant>
      <vt:variant>
        <vt:i4>1217</vt:i4>
      </vt:variant>
      <vt:variant>
        <vt:i4>0</vt:i4>
      </vt:variant>
      <vt:variant>
        <vt:i4>5</vt:i4>
      </vt:variant>
      <vt:variant>
        <vt:lpwstr/>
      </vt:variant>
      <vt:variant>
        <vt:lpwstr>Cognitivebehavioraltherapy</vt:lpwstr>
      </vt:variant>
      <vt:variant>
        <vt:i4>1441820</vt:i4>
      </vt:variant>
      <vt:variant>
        <vt:i4>1214</vt:i4>
      </vt:variant>
      <vt:variant>
        <vt:i4>0</vt:i4>
      </vt:variant>
      <vt:variant>
        <vt:i4>5</vt:i4>
      </vt:variant>
      <vt:variant>
        <vt:lpwstr/>
      </vt:variant>
      <vt:variant>
        <vt:lpwstr>Intravenousregionalsympatheticblocks</vt:lpwstr>
      </vt:variant>
      <vt:variant>
        <vt:i4>7864427</vt:i4>
      </vt:variant>
      <vt:variant>
        <vt:i4>1211</vt:i4>
      </vt:variant>
      <vt:variant>
        <vt:i4>0</vt:i4>
      </vt:variant>
      <vt:variant>
        <vt:i4>5</vt:i4>
      </vt:variant>
      <vt:variant>
        <vt:lpwstr/>
      </vt:variant>
      <vt:variant>
        <vt:lpwstr>Weaningbenzodiazepines</vt:lpwstr>
      </vt:variant>
      <vt:variant>
        <vt:i4>262218</vt:i4>
      </vt:variant>
      <vt:variant>
        <vt:i4>1208</vt:i4>
      </vt:variant>
      <vt:variant>
        <vt:i4>0</vt:i4>
      </vt:variant>
      <vt:variant>
        <vt:i4>5</vt:i4>
      </vt:variant>
      <vt:variant>
        <vt:lpwstr/>
      </vt:variant>
      <vt:variant>
        <vt:lpwstr>Maremmani2013</vt:lpwstr>
      </vt:variant>
      <vt:variant>
        <vt:i4>1310742</vt:i4>
      </vt:variant>
      <vt:variant>
        <vt:i4>1205</vt:i4>
      </vt:variant>
      <vt:variant>
        <vt:i4>0</vt:i4>
      </vt:variant>
      <vt:variant>
        <vt:i4>5</vt:i4>
      </vt:variant>
      <vt:variant>
        <vt:lpwstr/>
      </vt:variant>
      <vt:variant>
        <vt:lpwstr>Liebrenz2010</vt:lpwstr>
      </vt:variant>
      <vt:variant>
        <vt:i4>983062</vt:i4>
      </vt:variant>
      <vt:variant>
        <vt:i4>1202</vt:i4>
      </vt:variant>
      <vt:variant>
        <vt:i4>0</vt:i4>
      </vt:variant>
      <vt:variant>
        <vt:i4>5</vt:i4>
      </vt:variant>
      <vt:variant>
        <vt:lpwstr/>
      </vt:variant>
      <vt:variant>
        <vt:lpwstr>ClinicalPharmacology</vt:lpwstr>
      </vt:variant>
      <vt:variant>
        <vt:i4>1900555</vt:i4>
      </vt:variant>
      <vt:variant>
        <vt:i4>1199</vt:i4>
      </vt:variant>
      <vt:variant>
        <vt:i4>0</vt:i4>
      </vt:variant>
      <vt:variant>
        <vt:i4>5</vt:i4>
      </vt:variant>
      <vt:variant>
        <vt:lpwstr/>
      </vt:variant>
      <vt:variant>
        <vt:lpwstr>Triazolam</vt:lpwstr>
      </vt:variant>
      <vt:variant>
        <vt:i4>19</vt:i4>
      </vt:variant>
      <vt:variant>
        <vt:i4>1196</vt:i4>
      </vt:variant>
      <vt:variant>
        <vt:i4>0</vt:i4>
      </vt:variant>
      <vt:variant>
        <vt:i4>5</vt:i4>
      </vt:variant>
      <vt:variant>
        <vt:lpwstr/>
      </vt:variant>
      <vt:variant>
        <vt:lpwstr>Temazepam</vt:lpwstr>
      </vt:variant>
      <vt:variant>
        <vt:i4>1179668</vt:i4>
      </vt:variant>
      <vt:variant>
        <vt:i4>1193</vt:i4>
      </vt:variant>
      <vt:variant>
        <vt:i4>0</vt:i4>
      </vt:variant>
      <vt:variant>
        <vt:i4>5</vt:i4>
      </vt:variant>
      <vt:variant>
        <vt:lpwstr/>
      </vt:variant>
      <vt:variant>
        <vt:lpwstr>Quazepam</vt:lpwstr>
      </vt:variant>
      <vt:variant>
        <vt:i4>2031626</vt:i4>
      </vt:variant>
      <vt:variant>
        <vt:i4>1190</vt:i4>
      </vt:variant>
      <vt:variant>
        <vt:i4>0</vt:i4>
      </vt:variant>
      <vt:variant>
        <vt:i4>5</vt:i4>
      </vt:variant>
      <vt:variant>
        <vt:lpwstr/>
      </vt:variant>
      <vt:variant>
        <vt:lpwstr>Oxazepam</vt:lpwstr>
      </vt:variant>
      <vt:variant>
        <vt:i4>393247</vt:i4>
      </vt:variant>
      <vt:variant>
        <vt:i4>1187</vt:i4>
      </vt:variant>
      <vt:variant>
        <vt:i4>0</vt:i4>
      </vt:variant>
      <vt:variant>
        <vt:i4>5</vt:i4>
      </vt:variant>
      <vt:variant>
        <vt:lpwstr/>
      </vt:variant>
      <vt:variant>
        <vt:lpwstr>Midazolam</vt:lpwstr>
      </vt:variant>
      <vt:variant>
        <vt:i4>655380</vt:i4>
      </vt:variant>
      <vt:variant>
        <vt:i4>1184</vt:i4>
      </vt:variant>
      <vt:variant>
        <vt:i4>0</vt:i4>
      </vt:variant>
      <vt:variant>
        <vt:i4>5</vt:i4>
      </vt:variant>
      <vt:variant>
        <vt:lpwstr/>
      </vt:variant>
      <vt:variant>
        <vt:lpwstr>Lorazepam</vt:lpwstr>
      </vt:variant>
      <vt:variant>
        <vt:i4>7929974</vt:i4>
      </vt:variant>
      <vt:variant>
        <vt:i4>1181</vt:i4>
      </vt:variant>
      <vt:variant>
        <vt:i4>0</vt:i4>
      </vt:variant>
      <vt:variant>
        <vt:i4>5</vt:i4>
      </vt:variant>
      <vt:variant>
        <vt:lpwstr/>
      </vt:variant>
      <vt:variant>
        <vt:lpwstr>Flurazepam</vt:lpwstr>
      </vt:variant>
      <vt:variant>
        <vt:i4>1835015</vt:i4>
      </vt:variant>
      <vt:variant>
        <vt:i4>1178</vt:i4>
      </vt:variant>
      <vt:variant>
        <vt:i4>0</vt:i4>
      </vt:variant>
      <vt:variant>
        <vt:i4>5</vt:i4>
      </vt:variant>
      <vt:variant>
        <vt:lpwstr/>
      </vt:variant>
      <vt:variant>
        <vt:lpwstr>Estazolam</vt:lpwstr>
      </vt:variant>
      <vt:variant>
        <vt:i4>917505</vt:i4>
      </vt:variant>
      <vt:variant>
        <vt:i4>1175</vt:i4>
      </vt:variant>
      <vt:variant>
        <vt:i4>0</vt:i4>
      </vt:variant>
      <vt:variant>
        <vt:i4>5</vt:i4>
      </vt:variant>
      <vt:variant>
        <vt:lpwstr/>
      </vt:variant>
      <vt:variant>
        <vt:lpwstr>Diazepam</vt:lpwstr>
      </vt:variant>
      <vt:variant>
        <vt:i4>6291561</vt:i4>
      </vt:variant>
      <vt:variant>
        <vt:i4>1172</vt:i4>
      </vt:variant>
      <vt:variant>
        <vt:i4>0</vt:i4>
      </vt:variant>
      <vt:variant>
        <vt:i4>5</vt:i4>
      </vt:variant>
      <vt:variant>
        <vt:lpwstr/>
      </vt:variant>
      <vt:variant>
        <vt:lpwstr>Clorazepate</vt:lpwstr>
      </vt:variant>
      <vt:variant>
        <vt:i4>6619241</vt:i4>
      </vt:variant>
      <vt:variant>
        <vt:i4>1169</vt:i4>
      </vt:variant>
      <vt:variant>
        <vt:i4>0</vt:i4>
      </vt:variant>
      <vt:variant>
        <vt:i4>5</vt:i4>
      </vt:variant>
      <vt:variant>
        <vt:lpwstr/>
      </vt:variant>
      <vt:variant>
        <vt:lpwstr>Clonazepam</vt:lpwstr>
      </vt:variant>
      <vt:variant>
        <vt:i4>262146</vt:i4>
      </vt:variant>
      <vt:variant>
        <vt:i4>1166</vt:i4>
      </vt:variant>
      <vt:variant>
        <vt:i4>0</vt:i4>
      </vt:variant>
      <vt:variant>
        <vt:i4>5</vt:i4>
      </vt:variant>
      <vt:variant>
        <vt:lpwstr/>
      </vt:variant>
      <vt:variant>
        <vt:lpwstr>Chlordiazepoxide</vt:lpwstr>
      </vt:variant>
      <vt:variant>
        <vt:i4>6619262</vt:i4>
      </vt:variant>
      <vt:variant>
        <vt:i4>1163</vt:i4>
      </vt:variant>
      <vt:variant>
        <vt:i4>0</vt:i4>
      </vt:variant>
      <vt:variant>
        <vt:i4>5</vt:i4>
      </vt:variant>
      <vt:variant>
        <vt:lpwstr/>
      </vt:variant>
      <vt:variant>
        <vt:lpwstr>Alprazolam</vt:lpwstr>
      </vt:variant>
      <vt:variant>
        <vt:i4>1966110</vt:i4>
      </vt:variant>
      <vt:variant>
        <vt:i4>1160</vt:i4>
      </vt:variant>
      <vt:variant>
        <vt:i4>0</vt:i4>
      </vt:variant>
      <vt:variant>
        <vt:i4>5</vt:i4>
      </vt:variant>
      <vt:variant>
        <vt:lpwstr/>
      </vt:variant>
      <vt:variant>
        <vt:lpwstr>Insomniatreatment</vt:lpwstr>
      </vt:variant>
      <vt:variant>
        <vt:i4>6815867</vt:i4>
      </vt:variant>
      <vt:variant>
        <vt:i4>1157</vt:i4>
      </vt:variant>
      <vt:variant>
        <vt:i4>0</vt:i4>
      </vt:variant>
      <vt:variant>
        <vt:i4>5</vt:i4>
      </vt:variant>
      <vt:variant>
        <vt:lpwstr/>
      </vt:variant>
      <vt:variant>
        <vt:lpwstr>Anxietymedicationsinchronicpain</vt:lpwstr>
      </vt:variant>
      <vt:variant>
        <vt:i4>6553634</vt:i4>
      </vt:variant>
      <vt:variant>
        <vt:i4>1154</vt:i4>
      </vt:variant>
      <vt:variant>
        <vt:i4>0</vt:i4>
      </vt:variant>
      <vt:variant>
        <vt:i4>5</vt:i4>
      </vt:variant>
      <vt:variant>
        <vt:lpwstr/>
      </vt:variant>
      <vt:variant>
        <vt:lpwstr>AGS2012</vt:lpwstr>
      </vt:variant>
      <vt:variant>
        <vt:i4>6619242</vt:i4>
      </vt:variant>
      <vt:variant>
        <vt:i4>1151</vt:i4>
      </vt:variant>
      <vt:variant>
        <vt:i4>0</vt:i4>
      </vt:variant>
      <vt:variant>
        <vt:i4>5</vt:i4>
      </vt:variant>
      <vt:variant>
        <vt:lpwstr/>
      </vt:variant>
      <vt:variant>
        <vt:lpwstr>Kripke2012</vt:lpwstr>
      </vt:variant>
      <vt:variant>
        <vt:i4>262152</vt:i4>
      </vt:variant>
      <vt:variant>
        <vt:i4>1148</vt:i4>
      </vt:variant>
      <vt:variant>
        <vt:i4>0</vt:i4>
      </vt:variant>
      <vt:variant>
        <vt:i4>5</vt:i4>
      </vt:variant>
      <vt:variant>
        <vt:lpwstr/>
      </vt:variant>
      <vt:variant>
        <vt:lpwstr>Lader</vt:lpwstr>
      </vt:variant>
      <vt:variant>
        <vt:i4>196625</vt:i4>
      </vt:variant>
      <vt:variant>
        <vt:i4>1145</vt:i4>
      </vt:variant>
      <vt:variant>
        <vt:i4>0</vt:i4>
      </vt:variant>
      <vt:variant>
        <vt:i4>5</vt:i4>
      </vt:variant>
      <vt:variant>
        <vt:lpwstr/>
      </vt:variant>
      <vt:variant>
        <vt:lpwstr>Dickenson</vt:lpwstr>
      </vt:variant>
      <vt:variant>
        <vt:i4>6881382</vt:i4>
      </vt:variant>
      <vt:variant>
        <vt:i4>1142</vt:i4>
      </vt:variant>
      <vt:variant>
        <vt:i4>0</vt:i4>
      </vt:variant>
      <vt:variant>
        <vt:i4>5</vt:i4>
      </vt:variant>
      <vt:variant>
        <vt:lpwstr/>
      </vt:variant>
      <vt:variant>
        <vt:lpwstr>Ashton</vt:lpwstr>
      </vt:variant>
      <vt:variant>
        <vt:i4>6553712</vt:i4>
      </vt:variant>
      <vt:variant>
        <vt:i4>1139</vt:i4>
      </vt:variant>
      <vt:variant>
        <vt:i4>0</vt:i4>
      </vt:variant>
      <vt:variant>
        <vt:i4>5</vt:i4>
      </vt:variant>
      <vt:variant>
        <vt:lpwstr/>
      </vt:variant>
      <vt:variant>
        <vt:lpwstr>Baillargeon</vt:lpwstr>
      </vt:variant>
      <vt:variant>
        <vt:i4>1769611</vt:i4>
      </vt:variant>
      <vt:variant>
        <vt:i4>1136</vt:i4>
      </vt:variant>
      <vt:variant>
        <vt:i4>0</vt:i4>
      </vt:variant>
      <vt:variant>
        <vt:i4>5</vt:i4>
      </vt:variant>
      <vt:variant>
        <vt:lpwstr/>
      </vt:variant>
      <vt:variant>
        <vt:lpwstr>KrönerHerwig</vt:lpwstr>
      </vt:variant>
      <vt:variant>
        <vt:i4>4784156</vt:i4>
      </vt:variant>
      <vt:variant>
        <vt:i4>1133</vt:i4>
      </vt:variant>
      <vt:variant>
        <vt:i4>0</vt:i4>
      </vt:variant>
      <vt:variant>
        <vt:i4>5</vt:i4>
      </vt:variant>
      <vt:variant>
        <vt:lpwstr/>
      </vt:variant>
      <vt:variant>
        <vt:lpwstr>Opioids2</vt:lpwstr>
      </vt:variant>
      <vt:variant>
        <vt:i4>6553634</vt:i4>
      </vt:variant>
      <vt:variant>
        <vt:i4>1130</vt:i4>
      </vt:variant>
      <vt:variant>
        <vt:i4>0</vt:i4>
      </vt:variant>
      <vt:variant>
        <vt:i4>5</vt:i4>
      </vt:variant>
      <vt:variant>
        <vt:lpwstr/>
      </vt:variant>
      <vt:variant>
        <vt:lpwstr>AGS2012</vt:lpwstr>
      </vt:variant>
      <vt:variant>
        <vt:i4>1310730</vt:i4>
      </vt:variant>
      <vt:variant>
        <vt:i4>1127</vt:i4>
      </vt:variant>
      <vt:variant>
        <vt:i4>0</vt:i4>
      </vt:variant>
      <vt:variant>
        <vt:i4>5</vt:i4>
      </vt:variant>
      <vt:variant>
        <vt:lpwstr/>
      </vt:variant>
      <vt:variant>
        <vt:lpwstr>Friedman</vt:lpwstr>
      </vt:variant>
      <vt:variant>
        <vt:i4>6815840</vt:i4>
      </vt:variant>
      <vt:variant>
        <vt:i4>1124</vt:i4>
      </vt:variant>
      <vt:variant>
        <vt:i4>0</vt:i4>
      </vt:variant>
      <vt:variant>
        <vt:i4>5</vt:i4>
      </vt:variant>
      <vt:variant>
        <vt:lpwstr/>
      </vt:variant>
      <vt:variant>
        <vt:lpwstr>McLean</vt:lpwstr>
      </vt:variant>
      <vt:variant>
        <vt:i4>6422650</vt:i4>
      </vt:variant>
      <vt:variant>
        <vt:i4>1121</vt:i4>
      </vt:variant>
      <vt:variant>
        <vt:i4>0</vt:i4>
      </vt:variant>
      <vt:variant>
        <vt:i4>5</vt:i4>
      </vt:variant>
      <vt:variant>
        <vt:lpwstr/>
      </vt:variant>
      <vt:variant>
        <vt:lpwstr>Musclerelaxants</vt:lpwstr>
      </vt:variant>
      <vt:variant>
        <vt:i4>1114131</vt:i4>
      </vt:variant>
      <vt:variant>
        <vt:i4>1118</vt:i4>
      </vt:variant>
      <vt:variant>
        <vt:i4>0</vt:i4>
      </vt:variant>
      <vt:variant>
        <vt:i4>5</vt:i4>
      </vt:variant>
      <vt:variant>
        <vt:lpwstr/>
      </vt:variant>
      <vt:variant>
        <vt:lpwstr>CRPStreatment</vt:lpwstr>
      </vt:variant>
      <vt:variant>
        <vt:i4>327696</vt:i4>
      </vt:variant>
      <vt:variant>
        <vt:i4>1115</vt:i4>
      </vt:variant>
      <vt:variant>
        <vt:i4>0</vt:i4>
      </vt:variant>
      <vt:variant>
        <vt:i4>5</vt:i4>
      </vt:variant>
      <vt:variant>
        <vt:lpwstr/>
      </vt:variant>
      <vt:variant>
        <vt:lpwstr>Quantitativesensorythreshold</vt:lpwstr>
      </vt:variant>
      <vt:variant>
        <vt:i4>2228284</vt:i4>
      </vt:variant>
      <vt:variant>
        <vt:i4>1112</vt:i4>
      </vt:variant>
      <vt:variant>
        <vt:i4>0</vt:i4>
      </vt:variant>
      <vt:variant>
        <vt:i4>5</vt:i4>
      </vt:variant>
      <vt:variant>
        <vt:lpwstr>http://www.fda.gov/downloads/Drugs/GuidanceComplianceRegulatoryInformation/EnforcementActivitiesbyFDA/WarningLettersandNoticeofViolationLetterstoPharmaceuticalCompanies/ucm054134.pdf</vt:lpwstr>
      </vt:variant>
      <vt:variant>
        <vt:lpwstr/>
      </vt:variant>
      <vt:variant>
        <vt:i4>524310</vt:i4>
      </vt:variant>
      <vt:variant>
        <vt:i4>1109</vt:i4>
      </vt:variant>
      <vt:variant>
        <vt:i4>0</vt:i4>
      </vt:variant>
      <vt:variant>
        <vt:i4>5</vt:i4>
      </vt:variant>
      <vt:variant>
        <vt:lpwstr/>
      </vt:variant>
      <vt:variant>
        <vt:lpwstr>Caldwell2004</vt:lpwstr>
      </vt:variant>
      <vt:variant>
        <vt:i4>917514</vt:i4>
      </vt:variant>
      <vt:variant>
        <vt:i4>1106</vt:i4>
      </vt:variant>
      <vt:variant>
        <vt:i4>0</vt:i4>
      </vt:variant>
      <vt:variant>
        <vt:i4>5</vt:i4>
      </vt:variant>
      <vt:variant>
        <vt:lpwstr/>
      </vt:variant>
      <vt:variant>
        <vt:lpwstr>Portenoy2002</vt:lpwstr>
      </vt:variant>
      <vt:variant>
        <vt:i4>6684773</vt:i4>
      </vt:variant>
      <vt:variant>
        <vt:i4>1103</vt:i4>
      </vt:variant>
      <vt:variant>
        <vt:i4>0</vt:i4>
      </vt:variant>
      <vt:variant>
        <vt:i4>5</vt:i4>
      </vt:variant>
      <vt:variant>
        <vt:lpwstr/>
      </vt:variant>
      <vt:variant>
        <vt:lpwstr>CRPSdiagnostictests</vt:lpwstr>
      </vt:variant>
      <vt:variant>
        <vt:i4>6684773</vt:i4>
      </vt:variant>
      <vt:variant>
        <vt:i4>1100</vt:i4>
      </vt:variant>
      <vt:variant>
        <vt:i4>0</vt:i4>
      </vt:variant>
      <vt:variant>
        <vt:i4>5</vt:i4>
      </vt:variant>
      <vt:variant>
        <vt:lpwstr/>
      </vt:variant>
      <vt:variant>
        <vt:lpwstr>CRPSdiagnostictests</vt:lpwstr>
      </vt:variant>
      <vt:variant>
        <vt:i4>8061047</vt:i4>
      </vt:variant>
      <vt:variant>
        <vt:i4>1097</vt:i4>
      </vt:variant>
      <vt:variant>
        <vt:i4>0</vt:i4>
      </vt:variant>
      <vt:variant>
        <vt:i4>5</vt:i4>
      </vt:variant>
      <vt:variant>
        <vt:lpwstr/>
      </vt:variant>
      <vt:variant>
        <vt:lpwstr>Acupuncture</vt:lpwstr>
      </vt:variant>
      <vt:variant>
        <vt:i4>7012456</vt:i4>
      </vt:variant>
      <vt:variant>
        <vt:i4>1094</vt:i4>
      </vt:variant>
      <vt:variant>
        <vt:i4>0</vt:i4>
      </vt:variant>
      <vt:variant>
        <vt:i4>5</vt:i4>
      </vt:variant>
      <vt:variant>
        <vt:lpwstr/>
      </vt:variant>
      <vt:variant>
        <vt:lpwstr>SatorKatzenschlager</vt:lpwstr>
      </vt:variant>
      <vt:variant>
        <vt:i4>327756</vt:i4>
      </vt:variant>
      <vt:variant>
        <vt:i4>1091</vt:i4>
      </vt:variant>
      <vt:variant>
        <vt:i4>0</vt:i4>
      </vt:variant>
      <vt:variant>
        <vt:i4>5</vt:i4>
      </vt:variant>
      <vt:variant>
        <vt:lpwstr/>
      </vt:variant>
      <vt:variant>
        <vt:lpwstr>Zhang2014</vt:lpwstr>
      </vt:variant>
      <vt:variant>
        <vt:i4>6684770</vt:i4>
      </vt:variant>
      <vt:variant>
        <vt:i4>1088</vt:i4>
      </vt:variant>
      <vt:variant>
        <vt:i4>0</vt:i4>
      </vt:variant>
      <vt:variant>
        <vt:i4>5</vt:i4>
      </vt:variant>
      <vt:variant>
        <vt:lpwstr/>
      </vt:variant>
      <vt:variant>
        <vt:lpwstr>Holzer2011</vt:lpwstr>
      </vt:variant>
      <vt:variant>
        <vt:i4>5308439</vt:i4>
      </vt:variant>
      <vt:variant>
        <vt:i4>1085</vt:i4>
      </vt:variant>
      <vt:variant>
        <vt:i4>0</vt:i4>
      </vt:variant>
      <vt:variant>
        <vt:i4>5</vt:i4>
      </vt:variant>
      <vt:variant>
        <vt:lpwstr>http://www.fda.gov/ohrms/dockets/ac/03/briefing/4012B1_03_Appd 1-Professional Labeling.pdf</vt:lpwstr>
      </vt:variant>
      <vt:variant>
        <vt:lpwstr/>
      </vt:variant>
      <vt:variant>
        <vt:i4>7340157</vt:i4>
      </vt:variant>
      <vt:variant>
        <vt:i4>1082</vt:i4>
      </vt:variant>
      <vt:variant>
        <vt:i4>0</vt:i4>
      </vt:variant>
      <vt:variant>
        <vt:i4>5</vt:i4>
      </vt:variant>
      <vt:variant>
        <vt:lpwstr/>
      </vt:variant>
      <vt:variant>
        <vt:lpwstr>Medicationsforacutepain</vt:lpwstr>
      </vt:variant>
      <vt:variant>
        <vt:i4>6881390</vt:i4>
      </vt:variant>
      <vt:variant>
        <vt:i4>1079</vt:i4>
      </vt:variant>
      <vt:variant>
        <vt:i4>0</vt:i4>
      </vt:variant>
      <vt:variant>
        <vt:i4>5</vt:i4>
      </vt:variant>
      <vt:variant>
        <vt:lpwstr/>
      </vt:variant>
      <vt:variant>
        <vt:lpwstr>Nonprescriptionmedications</vt:lpwstr>
      </vt:variant>
      <vt:variant>
        <vt:i4>7536722</vt:i4>
      </vt:variant>
      <vt:variant>
        <vt:i4>1076</vt:i4>
      </vt:variant>
      <vt:variant>
        <vt:i4>0</vt:i4>
      </vt:variant>
      <vt:variant>
        <vt:i4>5</vt:i4>
      </vt:variant>
      <vt:variant>
        <vt:lpwstr>http://www.accessdata.fda.gov/drugsatfda_docs/label/2009/020607s014lbl.pdf</vt:lpwstr>
      </vt:variant>
      <vt:variant>
        <vt:lpwstr/>
      </vt:variant>
      <vt:variant>
        <vt:i4>7209068</vt:i4>
      </vt:variant>
      <vt:variant>
        <vt:i4>1073</vt:i4>
      </vt:variant>
      <vt:variant>
        <vt:i4>0</vt:i4>
      </vt:variant>
      <vt:variant>
        <vt:i4>5</vt:i4>
      </vt:variant>
      <vt:variant>
        <vt:lpwstr/>
      </vt:variant>
      <vt:variant>
        <vt:lpwstr>Diclofenac</vt:lpwstr>
      </vt:variant>
      <vt:variant>
        <vt:i4>65539</vt:i4>
      </vt:variant>
      <vt:variant>
        <vt:i4>1070</vt:i4>
      </vt:variant>
      <vt:variant>
        <vt:i4>0</vt:i4>
      </vt:variant>
      <vt:variant>
        <vt:i4>5</vt:i4>
      </vt:variant>
      <vt:variant>
        <vt:lpwstr/>
      </vt:variant>
      <vt:variant>
        <vt:lpwstr>ArthrotecListing</vt:lpwstr>
      </vt:variant>
      <vt:variant>
        <vt:i4>1441796</vt:i4>
      </vt:variant>
      <vt:variant>
        <vt:i4>1067</vt:i4>
      </vt:variant>
      <vt:variant>
        <vt:i4>0</vt:i4>
      </vt:variant>
      <vt:variant>
        <vt:i4>5</vt:i4>
      </vt:variant>
      <vt:variant>
        <vt:lpwstr/>
      </vt:variant>
      <vt:variant>
        <vt:lpwstr>NSAIDsspecificdruglistadverseeffects</vt:lpwstr>
      </vt:variant>
      <vt:variant>
        <vt:i4>6750314</vt:i4>
      </vt:variant>
      <vt:variant>
        <vt:i4>1064</vt:i4>
      </vt:variant>
      <vt:variant>
        <vt:i4>0</vt:i4>
      </vt:variant>
      <vt:variant>
        <vt:i4>5</vt:i4>
      </vt:variant>
      <vt:variant>
        <vt:lpwstr/>
      </vt:variant>
      <vt:variant>
        <vt:lpwstr>NSAIDshypertensionandrenalfunction</vt:lpwstr>
      </vt:variant>
      <vt:variant>
        <vt:i4>6357091</vt:i4>
      </vt:variant>
      <vt:variant>
        <vt:i4>1061</vt:i4>
      </vt:variant>
      <vt:variant>
        <vt:i4>0</vt:i4>
      </vt:variant>
      <vt:variant>
        <vt:i4>5</vt:i4>
      </vt:variant>
      <vt:variant>
        <vt:lpwstr/>
      </vt:variant>
      <vt:variant>
        <vt:lpwstr>NSAIDsGIsymptomscardiovascularrisk</vt:lpwstr>
      </vt:variant>
      <vt:variant>
        <vt:i4>6881387</vt:i4>
      </vt:variant>
      <vt:variant>
        <vt:i4>1058</vt:i4>
      </vt:variant>
      <vt:variant>
        <vt:i4>0</vt:i4>
      </vt:variant>
      <vt:variant>
        <vt:i4>5</vt:i4>
      </vt:variant>
      <vt:variant>
        <vt:lpwstr/>
      </vt:variant>
      <vt:variant>
        <vt:lpwstr>NSAIDs</vt:lpwstr>
      </vt:variant>
      <vt:variant>
        <vt:i4>7602182</vt:i4>
      </vt:variant>
      <vt:variant>
        <vt:i4>1055</vt:i4>
      </vt:variant>
      <vt:variant>
        <vt:i4>0</vt:i4>
      </vt:variant>
      <vt:variant>
        <vt:i4>5</vt:i4>
      </vt:variant>
      <vt:variant>
        <vt:lpwstr>http://www.faqs.org/sec-filings/110930/CEPHALON-INC_8-K/</vt:lpwstr>
      </vt:variant>
      <vt:variant>
        <vt:lpwstr/>
      </vt:variant>
      <vt:variant>
        <vt:i4>917505</vt:i4>
      </vt:variant>
      <vt:variant>
        <vt:i4>1052</vt:i4>
      </vt:variant>
      <vt:variant>
        <vt:i4>0</vt:i4>
      </vt:variant>
      <vt:variant>
        <vt:i4>5</vt:i4>
      </vt:variant>
      <vt:variant>
        <vt:lpwstr/>
      </vt:variant>
      <vt:variant>
        <vt:lpwstr>Modafinil</vt:lpwstr>
      </vt:variant>
      <vt:variant>
        <vt:i4>262220</vt:i4>
      </vt:variant>
      <vt:variant>
        <vt:i4>1049</vt:i4>
      </vt:variant>
      <vt:variant>
        <vt:i4>0</vt:i4>
      </vt:variant>
      <vt:variant>
        <vt:i4>5</vt:i4>
      </vt:variant>
      <vt:variant>
        <vt:lpwstr/>
      </vt:variant>
      <vt:variant>
        <vt:lpwstr>Tembe2011</vt:lpwstr>
      </vt:variant>
      <vt:variant>
        <vt:i4>7078014</vt:i4>
      </vt:variant>
      <vt:variant>
        <vt:i4>1046</vt:i4>
      </vt:variant>
      <vt:variant>
        <vt:i4>0</vt:i4>
      </vt:variant>
      <vt:variant>
        <vt:i4>5</vt:i4>
      </vt:variant>
      <vt:variant>
        <vt:lpwstr/>
      </vt:variant>
      <vt:variant>
        <vt:lpwstr>TomasCarus</vt:lpwstr>
      </vt:variant>
      <vt:variant>
        <vt:i4>8257649</vt:i4>
      </vt:variant>
      <vt:variant>
        <vt:i4>1043</vt:i4>
      </vt:variant>
      <vt:variant>
        <vt:i4>0</vt:i4>
      </vt:variant>
      <vt:variant>
        <vt:i4>5</vt:i4>
      </vt:variant>
      <vt:variant>
        <vt:lpwstr/>
      </vt:variant>
      <vt:variant>
        <vt:lpwstr>Physicaltherapy</vt:lpwstr>
      </vt:variant>
      <vt:variant>
        <vt:i4>65547</vt:i4>
      </vt:variant>
      <vt:variant>
        <vt:i4>1040</vt:i4>
      </vt:variant>
      <vt:variant>
        <vt:i4>0</vt:i4>
      </vt:variant>
      <vt:variant>
        <vt:i4>5</vt:i4>
      </vt:variant>
      <vt:variant>
        <vt:lpwstr/>
      </vt:variant>
      <vt:variant>
        <vt:lpwstr>Acetaminophen</vt:lpwstr>
      </vt:variant>
      <vt:variant>
        <vt:i4>589832</vt:i4>
      </vt:variant>
      <vt:variant>
        <vt:i4>1037</vt:i4>
      </vt:variant>
      <vt:variant>
        <vt:i4>0</vt:i4>
      </vt:variant>
      <vt:variant>
        <vt:i4>5</vt:i4>
      </vt:variant>
      <vt:variant>
        <vt:lpwstr/>
      </vt:variant>
      <vt:variant>
        <vt:lpwstr>Dell</vt:lpwstr>
      </vt:variant>
      <vt:variant>
        <vt:i4>7078009</vt:i4>
      </vt:variant>
      <vt:variant>
        <vt:i4>1034</vt:i4>
      </vt:variant>
      <vt:variant>
        <vt:i4>0</vt:i4>
      </vt:variant>
      <vt:variant>
        <vt:i4>5</vt:i4>
      </vt:variant>
      <vt:variant>
        <vt:lpwstr/>
      </vt:variant>
      <vt:variant>
        <vt:lpwstr>Baldwin</vt:lpwstr>
      </vt:variant>
      <vt:variant>
        <vt:i4>7143534</vt:i4>
      </vt:variant>
      <vt:variant>
        <vt:i4>1031</vt:i4>
      </vt:variant>
      <vt:variant>
        <vt:i4>0</vt:i4>
      </vt:variant>
      <vt:variant>
        <vt:i4>5</vt:i4>
      </vt:variant>
      <vt:variant>
        <vt:lpwstr/>
      </vt:variant>
      <vt:variant>
        <vt:lpwstr>Soomro</vt:lpwstr>
      </vt:variant>
      <vt:variant>
        <vt:i4>1441819</vt:i4>
      </vt:variant>
      <vt:variant>
        <vt:i4>1028</vt:i4>
      </vt:variant>
      <vt:variant>
        <vt:i4>0</vt:i4>
      </vt:variant>
      <vt:variant>
        <vt:i4>5</vt:i4>
      </vt:variant>
      <vt:variant>
        <vt:lpwstr/>
      </vt:variant>
      <vt:variant>
        <vt:lpwstr>Schneier</vt:lpwstr>
      </vt:variant>
      <vt:variant>
        <vt:i4>1966086</vt:i4>
      </vt:variant>
      <vt:variant>
        <vt:i4>1025</vt:i4>
      </vt:variant>
      <vt:variant>
        <vt:i4>0</vt:i4>
      </vt:variant>
      <vt:variant>
        <vt:i4>5</vt:i4>
      </vt:variant>
      <vt:variant>
        <vt:lpwstr/>
      </vt:variant>
      <vt:variant>
        <vt:lpwstr>Bandelow</vt:lpwstr>
      </vt:variant>
      <vt:variant>
        <vt:i4>1441819</vt:i4>
      </vt:variant>
      <vt:variant>
        <vt:i4>1022</vt:i4>
      </vt:variant>
      <vt:variant>
        <vt:i4>0</vt:i4>
      </vt:variant>
      <vt:variant>
        <vt:i4>5</vt:i4>
      </vt:variant>
      <vt:variant>
        <vt:lpwstr/>
      </vt:variant>
      <vt:variant>
        <vt:lpwstr>Schneier</vt:lpwstr>
      </vt:variant>
      <vt:variant>
        <vt:i4>1376282</vt:i4>
      </vt:variant>
      <vt:variant>
        <vt:i4>1019</vt:i4>
      </vt:variant>
      <vt:variant>
        <vt:i4>0</vt:i4>
      </vt:variant>
      <vt:variant>
        <vt:i4>5</vt:i4>
      </vt:variant>
      <vt:variant>
        <vt:lpwstr/>
      </vt:variant>
      <vt:variant>
        <vt:lpwstr>Ipser</vt:lpwstr>
      </vt:variant>
      <vt:variant>
        <vt:i4>7405673</vt:i4>
      </vt:variant>
      <vt:variant>
        <vt:i4>1016</vt:i4>
      </vt:variant>
      <vt:variant>
        <vt:i4>0</vt:i4>
      </vt:variant>
      <vt:variant>
        <vt:i4>5</vt:i4>
      </vt:variant>
      <vt:variant>
        <vt:lpwstr/>
      </vt:variant>
      <vt:variant>
        <vt:lpwstr>Hedges</vt:lpwstr>
      </vt:variant>
      <vt:variant>
        <vt:i4>1441819</vt:i4>
      </vt:variant>
      <vt:variant>
        <vt:i4>1013</vt:i4>
      </vt:variant>
      <vt:variant>
        <vt:i4>0</vt:i4>
      </vt:variant>
      <vt:variant>
        <vt:i4>5</vt:i4>
      </vt:variant>
      <vt:variant>
        <vt:lpwstr/>
      </vt:variant>
      <vt:variant>
        <vt:lpwstr>Schneier</vt:lpwstr>
      </vt:variant>
      <vt:variant>
        <vt:i4>6815843</vt:i4>
      </vt:variant>
      <vt:variant>
        <vt:i4>1010</vt:i4>
      </vt:variant>
      <vt:variant>
        <vt:i4>0</vt:i4>
      </vt:variant>
      <vt:variant>
        <vt:i4>5</vt:i4>
      </vt:variant>
      <vt:variant>
        <vt:lpwstr/>
      </vt:variant>
      <vt:variant>
        <vt:lpwstr>Hoffman</vt:lpwstr>
      </vt:variant>
      <vt:variant>
        <vt:i4>1507337</vt:i4>
      </vt:variant>
      <vt:variant>
        <vt:i4>1007</vt:i4>
      </vt:variant>
      <vt:variant>
        <vt:i4>0</vt:i4>
      </vt:variant>
      <vt:variant>
        <vt:i4>5</vt:i4>
      </vt:variant>
      <vt:variant>
        <vt:lpwstr/>
      </vt:variant>
      <vt:variant>
        <vt:lpwstr>Friedman2013</vt:lpwstr>
      </vt:variant>
      <vt:variant>
        <vt:i4>1966086</vt:i4>
      </vt:variant>
      <vt:variant>
        <vt:i4>1004</vt:i4>
      </vt:variant>
      <vt:variant>
        <vt:i4>0</vt:i4>
      </vt:variant>
      <vt:variant>
        <vt:i4>5</vt:i4>
      </vt:variant>
      <vt:variant>
        <vt:lpwstr/>
      </vt:variant>
      <vt:variant>
        <vt:lpwstr>Bandelow</vt:lpwstr>
      </vt:variant>
      <vt:variant>
        <vt:i4>1966086</vt:i4>
      </vt:variant>
      <vt:variant>
        <vt:i4>1001</vt:i4>
      </vt:variant>
      <vt:variant>
        <vt:i4>0</vt:i4>
      </vt:variant>
      <vt:variant>
        <vt:i4>5</vt:i4>
      </vt:variant>
      <vt:variant>
        <vt:lpwstr/>
      </vt:variant>
      <vt:variant>
        <vt:lpwstr>Bandelow</vt:lpwstr>
      </vt:variant>
      <vt:variant>
        <vt:i4>1507337</vt:i4>
      </vt:variant>
      <vt:variant>
        <vt:i4>998</vt:i4>
      </vt:variant>
      <vt:variant>
        <vt:i4>0</vt:i4>
      </vt:variant>
      <vt:variant>
        <vt:i4>5</vt:i4>
      </vt:variant>
      <vt:variant>
        <vt:lpwstr/>
      </vt:variant>
      <vt:variant>
        <vt:lpwstr>Friedman2013</vt:lpwstr>
      </vt:variant>
      <vt:variant>
        <vt:i4>1966086</vt:i4>
      </vt:variant>
      <vt:variant>
        <vt:i4>995</vt:i4>
      </vt:variant>
      <vt:variant>
        <vt:i4>0</vt:i4>
      </vt:variant>
      <vt:variant>
        <vt:i4>5</vt:i4>
      </vt:variant>
      <vt:variant>
        <vt:lpwstr/>
      </vt:variant>
      <vt:variant>
        <vt:lpwstr>Bandelow</vt:lpwstr>
      </vt:variant>
      <vt:variant>
        <vt:i4>1966086</vt:i4>
      </vt:variant>
      <vt:variant>
        <vt:i4>992</vt:i4>
      </vt:variant>
      <vt:variant>
        <vt:i4>0</vt:i4>
      </vt:variant>
      <vt:variant>
        <vt:i4>5</vt:i4>
      </vt:variant>
      <vt:variant>
        <vt:lpwstr/>
      </vt:variant>
      <vt:variant>
        <vt:lpwstr>Bandelow</vt:lpwstr>
      </vt:variant>
      <vt:variant>
        <vt:i4>8</vt:i4>
      </vt:variant>
      <vt:variant>
        <vt:i4>989</vt:i4>
      </vt:variant>
      <vt:variant>
        <vt:i4>0</vt:i4>
      </vt:variant>
      <vt:variant>
        <vt:i4>5</vt:i4>
      </vt:variant>
      <vt:variant>
        <vt:lpwstr/>
      </vt:variant>
      <vt:variant>
        <vt:lpwstr>Furukawa</vt:lpwstr>
      </vt:variant>
      <vt:variant>
        <vt:i4>1769499</vt:i4>
      </vt:variant>
      <vt:variant>
        <vt:i4>986</vt:i4>
      </vt:variant>
      <vt:variant>
        <vt:i4>0</vt:i4>
      </vt:variant>
      <vt:variant>
        <vt:i4>5</vt:i4>
      </vt:variant>
      <vt:variant>
        <vt:lpwstr/>
      </vt:variant>
      <vt:variant>
        <vt:lpwstr>Otto</vt:lpwstr>
      </vt:variant>
      <vt:variant>
        <vt:i4>1900569</vt:i4>
      </vt:variant>
      <vt:variant>
        <vt:i4>983</vt:i4>
      </vt:variant>
      <vt:variant>
        <vt:i4>0</vt:i4>
      </vt:variant>
      <vt:variant>
        <vt:i4>5</vt:i4>
      </vt:variant>
      <vt:variant>
        <vt:lpwstr/>
      </vt:variant>
      <vt:variant>
        <vt:lpwstr>Mitte</vt:lpwstr>
      </vt:variant>
      <vt:variant>
        <vt:i4>6815843</vt:i4>
      </vt:variant>
      <vt:variant>
        <vt:i4>980</vt:i4>
      </vt:variant>
      <vt:variant>
        <vt:i4>0</vt:i4>
      </vt:variant>
      <vt:variant>
        <vt:i4>5</vt:i4>
      </vt:variant>
      <vt:variant>
        <vt:lpwstr/>
      </vt:variant>
      <vt:variant>
        <vt:lpwstr>Hoffman</vt:lpwstr>
      </vt:variant>
      <vt:variant>
        <vt:i4>1638422</vt:i4>
      </vt:variant>
      <vt:variant>
        <vt:i4>977</vt:i4>
      </vt:variant>
      <vt:variant>
        <vt:i4>0</vt:i4>
      </vt:variant>
      <vt:variant>
        <vt:i4>5</vt:i4>
      </vt:variant>
      <vt:variant>
        <vt:lpwstr/>
      </vt:variant>
      <vt:variant>
        <vt:lpwstr>Chessick</vt:lpwstr>
      </vt:variant>
      <vt:variant>
        <vt:i4>7995506</vt:i4>
      </vt:variant>
      <vt:variant>
        <vt:i4>974</vt:i4>
      </vt:variant>
      <vt:variant>
        <vt:i4>0</vt:i4>
      </vt:variant>
      <vt:variant>
        <vt:i4>5</vt:i4>
      </vt:variant>
      <vt:variant>
        <vt:lpwstr/>
      </vt:variant>
      <vt:variant>
        <vt:lpwstr>Schmitt</vt:lpwstr>
      </vt:variant>
      <vt:variant>
        <vt:i4>7405668</vt:i4>
      </vt:variant>
      <vt:variant>
        <vt:i4>971</vt:i4>
      </vt:variant>
      <vt:variant>
        <vt:i4>0</vt:i4>
      </vt:variant>
      <vt:variant>
        <vt:i4>5</vt:i4>
      </vt:variant>
      <vt:variant>
        <vt:lpwstr/>
      </vt:variant>
      <vt:variant>
        <vt:lpwstr>Kapczinski</vt:lpwstr>
      </vt:variant>
      <vt:variant>
        <vt:i4>6815843</vt:i4>
      </vt:variant>
      <vt:variant>
        <vt:i4>968</vt:i4>
      </vt:variant>
      <vt:variant>
        <vt:i4>0</vt:i4>
      </vt:variant>
      <vt:variant>
        <vt:i4>5</vt:i4>
      </vt:variant>
      <vt:variant>
        <vt:lpwstr/>
      </vt:variant>
      <vt:variant>
        <vt:lpwstr>Hoffman</vt:lpwstr>
      </vt:variant>
      <vt:variant>
        <vt:i4>786436</vt:i4>
      </vt:variant>
      <vt:variant>
        <vt:i4>965</vt:i4>
      </vt:variant>
      <vt:variant>
        <vt:i4>0</vt:i4>
      </vt:variant>
      <vt:variant>
        <vt:i4>5</vt:i4>
      </vt:variant>
      <vt:variant>
        <vt:lpwstr/>
      </vt:variant>
      <vt:variant>
        <vt:lpwstr>Zwanzger</vt:lpwstr>
      </vt:variant>
      <vt:variant>
        <vt:i4>6815843</vt:i4>
      </vt:variant>
      <vt:variant>
        <vt:i4>962</vt:i4>
      </vt:variant>
      <vt:variant>
        <vt:i4>0</vt:i4>
      </vt:variant>
      <vt:variant>
        <vt:i4>5</vt:i4>
      </vt:variant>
      <vt:variant>
        <vt:lpwstr/>
      </vt:variant>
      <vt:variant>
        <vt:lpwstr>Hoffman</vt:lpwstr>
      </vt:variant>
      <vt:variant>
        <vt:i4>6815843</vt:i4>
      </vt:variant>
      <vt:variant>
        <vt:i4>959</vt:i4>
      </vt:variant>
      <vt:variant>
        <vt:i4>0</vt:i4>
      </vt:variant>
      <vt:variant>
        <vt:i4>5</vt:i4>
      </vt:variant>
      <vt:variant>
        <vt:lpwstr/>
      </vt:variant>
      <vt:variant>
        <vt:lpwstr>Hoffman</vt:lpwstr>
      </vt:variant>
      <vt:variant>
        <vt:i4>1966086</vt:i4>
      </vt:variant>
      <vt:variant>
        <vt:i4>956</vt:i4>
      </vt:variant>
      <vt:variant>
        <vt:i4>0</vt:i4>
      </vt:variant>
      <vt:variant>
        <vt:i4>5</vt:i4>
      </vt:variant>
      <vt:variant>
        <vt:lpwstr/>
      </vt:variant>
      <vt:variant>
        <vt:lpwstr>Bandelow</vt:lpwstr>
      </vt:variant>
      <vt:variant>
        <vt:i4>7078009</vt:i4>
      </vt:variant>
      <vt:variant>
        <vt:i4>953</vt:i4>
      </vt:variant>
      <vt:variant>
        <vt:i4>0</vt:i4>
      </vt:variant>
      <vt:variant>
        <vt:i4>5</vt:i4>
      </vt:variant>
      <vt:variant>
        <vt:lpwstr/>
      </vt:variant>
      <vt:variant>
        <vt:lpwstr>Baldwin</vt:lpwstr>
      </vt:variant>
      <vt:variant>
        <vt:i4>7274610</vt:i4>
      </vt:variant>
      <vt:variant>
        <vt:i4>950</vt:i4>
      </vt:variant>
      <vt:variant>
        <vt:i4>0</vt:i4>
      </vt:variant>
      <vt:variant>
        <vt:i4>5</vt:i4>
      </vt:variant>
      <vt:variant>
        <vt:lpwstr/>
      </vt:variant>
      <vt:variant>
        <vt:lpwstr>Roy</vt:lpwstr>
      </vt:variant>
      <vt:variant>
        <vt:i4>8126590</vt:i4>
      </vt:variant>
      <vt:variant>
        <vt:i4>947</vt:i4>
      </vt:variant>
      <vt:variant>
        <vt:i4>0</vt:i4>
      </vt:variant>
      <vt:variant>
        <vt:i4>5</vt:i4>
      </vt:variant>
      <vt:variant>
        <vt:lpwstr/>
      </vt:variant>
      <vt:variant>
        <vt:lpwstr>Obsessivecompulsivedisorder</vt:lpwstr>
      </vt:variant>
      <vt:variant>
        <vt:i4>1638422</vt:i4>
      </vt:variant>
      <vt:variant>
        <vt:i4>944</vt:i4>
      </vt:variant>
      <vt:variant>
        <vt:i4>0</vt:i4>
      </vt:variant>
      <vt:variant>
        <vt:i4>5</vt:i4>
      </vt:variant>
      <vt:variant>
        <vt:lpwstr/>
      </vt:variant>
      <vt:variant>
        <vt:lpwstr>Socialanxietydisorder</vt:lpwstr>
      </vt:variant>
      <vt:variant>
        <vt:i4>6684780</vt:i4>
      </vt:variant>
      <vt:variant>
        <vt:i4>941</vt:i4>
      </vt:variant>
      <vt:variant>
        <vt:i4>0</vt:i4>
      </vt:variant>
      <vt:variant>
        <vt:i4>5</vt:i4>
      </vt:variant>
      <vt:variant>
        <vt:lpwstr/>
      </vt:variant>
      <vt:variant>
        <vt:lpwstr>Posttraumaticstressdisorder</vt:lpwstr>
      </vt:variant>
      <vt:variant>
        <vt:i4>524319</vt:i4>
      </vt:variant>
      <vt:variant>
        <vt:i4>938</vt:i4>
      </vt:variant>
      <vt:variant>
        <vt:i4>0</vt:i4>
      </vt:variant>
      <vt:variant>
        <vt:i4>5</vt:i4>
      </vt:variant>
      <vt:variant>
        <vt:lpwstr/>
      </vt:variant>
      <vt:variant>
        <vt:lpwstr>PanicDisorder</vt:lpwstr>
      </vt:variant>
      <vt:variant>
        <vt:i4>7864442</vt:i4>
      </vt:variant>
      <vt:variant>
        <vt:i4>935</vt:i4>
      </vt:variant>
      <vt:variant>
        <vt:i4>0</vt:i4>
      </vt:variant>
      <vt:variant>
        <vt:i4>5</vt:i4>
      </vt:variant>
      <vt:variant>
        <vt:lpwstr/>
      </vt:variant>
      <vt:variant>
        <vt:lpwstr>GeneralizedAnxietyDisorder</vt:lpwstr>
      </vt:variant>
      <vt:variant>
        <vt:i4>6422650</vt:i4>
      </vt:variant>
      <vt:variant>
        <vt:i4>932</vt:i4>
      </vt:variant>
      <vt:variant>
        <vt:i4>0</vt:i4>
      </vt:variant>
      <vt:variant>
        <vt:i4>5</vt:i4>
      </vt:variant>
      <vt:variant>
        <vt:lpwstr/>
      </vt:variant>
      <vt:variant>
        <vt:lpwstr>Musclerelaxants</vt:lpwstr>
      </vt:variant>
      <vt:variant>
        <vt:i4>6422650</vt:i4>
      </vt:variant>
      <vt:variant>
        <vt:i4>929</vt:i4>
      </vt:variant>
      <vt:variant>
        <vt:i4>0</vt:i4>
      </vt:variant>
      <vt:variant>
        <vt:i4>5</vt:i4>
      </vt:variant>
      <vt:variant>
        <vt:lpwstr/>
      </vt:variant>
      <vt:variant>
        <vt:lpwstr>Musclerelaxants</vt:lpwstr>
      </vt:variant>
      <vt:variant>
        <vt:i4>6357091</vt:i4>
      </vt:variant>
      <vt:variant>
        <vt:i4>926</vt:i4>
      </vt:variant>
      <vt:variant>
        <vt:i4>0</vt:i4>
      </vt:variant>
      <vt:variant>
        <vt:i4>5</vt:i4>
      </vt:variant>
      <vt:variant>
        <vt:lpwstr/>
      </vt:variant>
      <vt:variant>
        <vt:lpwstr>NSAIDsGIsymptomscardiovascularrisk</vt:lpwstr>
      </vt:variant>
      <vt:variant>
        <vt:i4>393221</vt:i4>
      </vt:variant>
      <vt:variant>
        <vt:i4>923</vt:i4>
      </vt:variant>
      <vt:variant>
        <vt:i4>0</vt:i4>
      </vt:variant>
      <vt:variant>
        <vt:i4>5</vt:i4>
      </vt:variant>
      <vt:variant>
        <vt:lpwstr/>
      </vt:variant>
      <vt:variant>
        <vt:lpwstr>Homik</vt:lpwstr>
      </vt:variant>
      <vt:variant>
        <vt:i4>6881390</vt:i4>
      </vt:variant>
      <vt:variant>
        <vt:i4>920</vt:i4>
      </vt:variant>
      <vt:variant>
        <vt:i4>0</vt:i4>
      </vt:variant>
      <vt:variant>
        <vt:i4>5</vt:i4>
      </vt:variant>
      <vt:variant>
        <vt:lpwstr/>
      </vt:variant>
      <vt:variant>
        <vt:lpwstr>Nonprescriptionmedications</vt:lpwstr>
      </vt:variant>
      <vt:variant>
        <vt:i4>1835017</vt:i4>
      </vt:variant>
      <vt:variant>
        <vt:i4>917</vt:i4>
      </vt:variant>
      <vt:variant>
        <vt:i4>0</vt:i4>
      </vt:variant>
      <vt:variant>
        <vt:i4>5</vt:i4>
      </vt:variant>
      <vt:variant>
        <vt:lpwstr/>
      </vt:variant>
      <vt:variant>
        <vt:lpwstr>vanTulder</vt:lpwstr>
      </vt:variant>
      <vt:variant>
        <vt:i4>6881387</vt:i4>
      </vt:variant>
      <vt:variant>
        <vt:i4>914</vt:i4>
      </vt:variant>
      <vt:variant>
        <vt:i4>0</vt:i4>
      </vt:variant>
      <vt:variant>
        <vt:i4>5</vt:i4>
      </vt:variant>
      <vt:variant>
        <vt:lpwstr/>
      </vt:variant>
      <vt:variant>
        <vt:lpwstr>NSAIDs</vt:lpwstr>
      </vt:variant>
      <vt:variant>
        <vt:i4>524314</vt:i4>
      </vt:variant>
      <vt:variant>
        <vt:i4>911</vt:i4>
      </vt:variant>
      <vt:variant>
        <vt:i4>0</vt:i4>
      </vt:variant>
      <vt:variant>
        <vt:i4>5</vt:i4>
      </vt:variant>
      <vt:variant>
        <vt:lpwstr/>
      </vt:variant>
      <vt:variant>
        <vt:lpwstr>Ettinger</vt:lpwstr>
      </vt:variant>
      <vt:variant>
        <vt:i4>786438</vt:i4>
      </vt:variant>
      <vt:variant>
        <vt:i4>908</vt:i4>
      </vt:variant>
      <vt:variant>
        <vt:i4>0</vt:i4>
      </vt:variant>
      <vt:variant>
        <vt:i4>5</vt:i4>
      </vt:variant>
      <vt:variant>
        <vt:lpwstr/>
      </vt:variant>
      <vt:variant>
        <vt:lpwstr>Guay</vt:lpwstr>
      </vt:variant>
      <vt:variant>
        <vt:i4>1966154</vt:i4>
      </vt:variant>
      <vt:variant>
        <vt:i4>905</vt:i4>
      </vt:variant>
      <vt:variant>
        <vt:i4>0</vt:i4>
      </vt:variant>
      <vt:variant>
        <vt:i4>5</vt:i4>
      </vt:variant>
      <vt:variant>
        <vt:lpwstr/>
      </vt:variant>
      <vt:variant>
        <vt:lpwstr>Eisenberg2007</vt:lpwstr>
      </vt:variant>
      <vt:variant>
        <vt:i4>1310745</vt:i4>
      </vt:variant>
      <vt:variant>
        <vt:i4>902</vt:i4>
      </vt:variant>
      <vt:variant>
        <vt:i4>0</vt:i4>
      </vt:variant>
      <vt:variant>
        <vt:i4>5</vt:i4>
      </vt:variant>
      <vt:variant>
        <vt:lpwstr/>
      </vt:variant>
      <vt:variant>
        <vt:lpwstr>Knotkova</vt:lpwstr>
      </vt:variant>
      <vt:variant>
        <vt:i4>851992</vt:i4>
      </vt:variant>
      <vt:variant>
        <vt:i4>899</vt:i4>
      </vt:variant>
      <vt:variant>
        <vt:i4>0</vt:i4>
      </vt:variant>
      <vt:variant>
        <vt:i4>5</vt:i4>
      </vt:variant>
      <vt:variant>
        <vt:lpwstr/>
      </vt:variant>
      <vt:variant>
        <vt:lpwstr>ICSI2007</vt:lpwstr>
      </vt:variant>
      <vt:variant>
        <vt:i4>8192120</vt:i4>
      </vt:variant>
      <vt:variant>
        <vt:i4>896</vt:i4>
      </vt:variant>
      <vt:variant>
        <vt:i4>0</vt:i4>
      </vt:variant>
      <vt:variant>
        <vt:i4>5</vt:i4>
      </vt:variant>
      <vt:variant>
        <vt:lpwstr/>
      </vt:variant>
      <vt:variant>
        <vt:lpwstr>Rosenstock</vt:lpwstr>
      </vt:variant>
      <vt:variant>
        <vt:i4>6357096</vt:i4>
      </vt:variant>
      <vt:variant>
        <vt:i4>893</vt:i4>
      </vt:variant>
      <vt:variant>
        <vt:i4>0</vt:i4>
      </vt:variant>
      <vt:variant>
        <vt:i4>5</vt:i4>
      </vt:variant>
      <vt:variant>
        <vt:lpwstr/>
      </vt:variant>
      <vt:variant>
        <vt:lpwstr>Namaka</vt:lpwstr>
      </vt:variant>
      <vt:variant>
        <vt:i4>851992</vt:i4>
      </vt:variant>
      <vt:variant>
        <vt:i4>890</vt:i4>
      </vt:variant>
      <vt:variant>
        <vt:i4>0</vt:i4>
      </vt:variant>
      <vt:variant>
        <vt:i4>5</vt:i4>
      </vt:variant>
      <vt:variant>
        <vt:lpwstr/>
      </vt:variant>
      <vt:variant>
        <vt:lpwstr>ICSI2007</vt:lpwstr>
      </vt:variant>
      <vt:variant>
        <vt:i4>851992</vt:i4>
      </vt:variant>
      <vt:variant>
        <vt:i4>887</vt:i4>
      </vt:variant>
      <vt:variant>
        <vt:i4>0</vt:i4>
      </vt:variant>
      <vt:variant>
        <vt:i4>5</vt:i4>
      </vt:variant>
      <vt:variant>
        <vt:lpwstr/>
      </vt:variant>
      <vt:variant>
        <vt:lpwstr>ICSI2007</vt:lpwstr>
      </vt:variant>
      <vt:variant>
        <vt:i4>7274558</vt:i4>
      </vt:variant>
      <vt:variant>
        <vt:i4>884</vt:i4>
      </vt:variant>
      <vt:variant>
        <vt:i4>0</vt:i4>
      </vt:variant>
      <vt:variant>
        <vt:i4>5</vt:i4>
      </vt:variant>
      <vt:variant>
        <vt:lpwstr/>
      </vt:variant>
      <vt:variant>
        <vt:lpwstr>Dworkin2010</vt:lpwstr>
      </vt:variant>
      <vt:variant>
        <vt:i4>851992</vt:i4>
      </vt:variant>
      <vt:variant>
        <vt:i4>881</vt:i4>
      </vt:variant>
      <vt:variant>
        <vt:i4>0</vt:i4>
      </vt:variant>
      <vt:variant>
        <vt:i4>5</vt:i4>
      </vt:variant>
      <vt:variant>
        <vt:lpwstr/>
      </vt:variant>
      <vt:variant>
        <vt:lpwstr>ICSI2007</vt:lpwstr>
      </vt:variant>
      <vt:variant>
        <vt:i4>6357108</vt:i4>
      </vt:variant>
      <vt:variant>
        <vt:i4>878</vt:i4>
      </vt:variant>
      <vt:variant>
        <vt:i4>0</vt:i4>
      </vt:variant>
      <vt:variant>
        <vt:i4>5</vt:i4>
      </vt:variant>
      <vt:variant>
        <vt:lpwstr/>
      </vt:variant>
      <vt:variant>
        <vt:lpwstr>Wiffen</vt:lpwstr>
      </vt:variant>
      <vt:variant>
        <vt:i4>4390980</vt:i4>
      </vt:variant>
      <vt:variant>
        <vt:i4>875</vt:i4>
      </vt:variant>
      <vt:variant>
        <vt:i4>0</vt:i4>
      </vt:variant>
      <vt:variant>
        <vt:i4>5</vt:i4>
      </vt:variant>
      <vt:variant>
        <vt:lpwstr>http://www.odg-twc.com/odgtwc/pain.htm</vt:lpwstr>
      </vt:variant>
      <vt:variant>
        <vt:lpwstr>Numberneededtotreat#Numberneededtotreat</vt:lpwstr>
      </vt:variant>
      <vt:variant>
        <vt:i4>6357096</vt:i4>
      </vt:variant>
      <vt:variant>
        <vt:i4>872</vt:i4>
      </vt:variant>
      <vt:variant>
        <vt:i4>0</vt:i4>
      </vt:variant>
      <vt:variant>
        <vt:i4>5</vt:i4>
      </vt:variant>
      <vt:variant>
        <vt:lpwstr/>
      </vt:variant>
      <vt:variant>
        <vt:lpwstr>Namaka</vt:lpwstr>
      </vt:variant>
      <vt:variant>
        <vt:i4>1310745</vt:i4>
      </vt:variant>
      <vt:variant>
        <vt:i4>869</vt:i4>
      </vt:variant>
      <vt:variant>
        <vt:i4>0</vt:i4>
      </vt:variant>
      <vt:variant>
        <vt:i4>5</vt:i4>
      </vt:variant>
      <vt:variant>
        <vt:lpwstr/>
      </vt:variant>
      <vt:variant>
        <vt:lpwstr>Knotkova</vt:lpwstr>
      </vt:variant>
      <vt:variant>
        <vt:i4>458758</vt:i4>
      </vt:variant>
      <vt:variant>
        <vt:i4>866</vt:i4>
      </vt:variant>
      <vt:variant>
        <vt:i4>0</vt:i4>
      </vt:variant>
      <vt:variant>
        <vt:i4>5</vt:i4>
      </vt:variant>
      <vt:variant>
        <vt:lpwstr/>
      </vt:variant>
      <vt:variant>
        <vt:lpwstr>Backonja2002</vt:lpwstr>
      </vt:variant>
      <vt:variant>
        <vt:i4>327704</vt:i4>
      </vt:variant>
      <vt:variant>
        <vt:i4>863</vt:i4>
      </vt:variant>
      <vt:variant>
        <vt:i4>0</vt:i4>
      </vt:variant>
      <vt:variant>
        <vt:i4>5</vt:i4>
      </vt:variant>
      <vt:variant>
        <vt:lpwstr/>
      </vt:variant>
      <vt:variant>
        <vt:lpwstr>Finnerup</vt:lpwstr>
      </vt:variant>
      <vt:variant>
        <vt:i4>851992</vt:i4>
      </vt:variant>
      <vt:variant>
        <vt:i4>860</vt:i4>
      </vt:variant>
      <vt:variant>
        <vt:i4>0</vt:i4>
      </vt:variant>
      <vt:variant>
        <vt:i4>5</vt:i4>
      </vt:variant>
      <vt:variant>
        <vt:lpwstr/>
      </vt:variant>
      <vt:variant>
        <vt:lpwstr>ICSI2007</vt:lpwstr>
      </vt:variant>
      <vt:variant>
        <vt:i4>458758</vt:i4>
      </vt:variant>
      <vt:variant>
        <vt:i4>857</vt:i4>
      </vt:variant>
      <vt:variant>
        <vt:i4>0</vt:i4>
      </vt:variant>
      <vt:variant>
        <vt:i4>5</vt:i4>
      </vt:variant>
      <vt:variant>
        <vt:lpwstr/>
      </vt:variant>
      <vt:variant>
        <vt:lpwstr>Backonja2002</vt:lpwstr>
      </vt:variant>
      <vt:variant>
        <vt:i4>851992</vt:i4>
      </vt:variant>
      <vt:variant>
        <vt:i4>854</vt:i4>
      </vt:variant>
      <vt:variant>
        <vt:i4>0</vt:i4>
      </vt:variant>
      <vt:variant>
        <vt:i4>5</vt:i4>
      </vt:variant>
      <vt:variant>
        <vt:lpwstr/>
      </vt:variant>
      <vt:variant>
        <vt:lpwstr>ICSI2007</vt:lpwstr>
      </vt:variant>
      <vt:variant>
        <vt:i4>8323195</vt:i4>
      </vt:variant>
      <vt:variant>
        <vt:i4>851</vt:i4>
      </vt:variant>
      <vt:variant>
        <vt:i4>0</vt:i4>
      </vt:variant>
      <vt:variant>
        <vt:i4>5</vt:i4>
      </vt:variant>
      <vt:variant>
        <vt:lpwstr/>
      </vt:variant>
      <vt:variant>
        <vt:lpwstr>Lorberg</vt:lpwstr>
      </vt:variant>
      <vt:variant>
        <vt:i4>7143525</vt:i4>
      </vt:variant>
      <vt:variant>
        <vt:i4>848</vt:i4>
      </vt:variant>
      <vt:variant>
        <vt:i4>0</vt:i4>
      </vt:variant>
      <vt:variant>
        <vt:i4>5</vt:i4>
      </vt:variant>
      <vt:variant>
        <vt:lpwstr/>
      </vt:variant>
      <vt:variant>
        <vt:lpwstr>PCodreaTigaran</vt:lpwstr>
      </vt:variant>
      <vt:variant>
        <vt:i4>1966154</vt:i4>
      </vt:variant>
      <vt:variant>
        <vt:i4>845</vt:i4>
      </vt:variant>
      <vt:variant>
        <vt:i4>0</vt:i4>
      </vt:variant>
      <vt:variant>
        <vt:i4>5</vt:i4>
      </vt:variant>
      <vt:variant>
        <vt:lpwstr/>
      </vt:variant>
      <vt:variant>
        <vt:lpwstr>Eisenberg2007</vt:lpwstr>
      </vt:variant>
      <vt:variant>
        <vt:i4>6357108</vt:i4>
      </vt:variant>
      <vt:variant>
        <vt:i4>842</vt:i4>
      </vt:variant>
      <vt:variant>
        <vt:i4>0</vt:i4>
      </vt:variant>
      <vt:variant>
        <vt:i4>5</vt:i4>
      </vt:variant>
      <vt:variant>
        <vt:lpwstr/>
      </vt:variant>
      <vt:variant>
        <vt:lpwstr>Wiffen3</vt:lpwstr>
      </vt:variant>
      <vt:variant>
        <vt:i4>6357108</vt:i4>
      </vt:variant>
      <vt:variant>
        <vt:i4>839</vt:i4>
      </vt:variant>
      <vt:variant>
        <vt:i4>0</vt:i4>
      </vt:variant>
      <vt:variant>
        <vt:i4>5</vt:i4>
      </vt:variant>
      <vt:variant>
        <vt:lpwstr/>
      </vt:variant>
      <vt:variant>
        <vt:lpwstr>Wiffen3</vt:lpwstr>
      </vt:variant>
      <vt:variant>
        <vt:i4>851992</vt:i4>
      </vt:variant>
      <vt:variant>
        <vt:i4>836</vt:i4>
      </vt:variant>
      <vt:variant>
        <vt:i4>0</vt:i4>
      </vt:variant>
      <vt:variant>
        <vt:i4>5</vt:i4>
      </vt:variant>
      <vt:variant>
        <vt:lpwstr/>
      </vt:variant>
      <vt:variant>
        <vt:lpwstr>ICSI2007</vt:lpwstr>
      </vt:variant>
      <vt:variant>
        <vt:i4>7077984</vt:i4>
      </vt:variant>
      <vt:variant>
        <vt:i4>833</vt:i4>
      </vt:variant>
      <vt:variant>
        <vt:i4>0</vt:i4>
      </vt:variant>
      <vt:variant>
        <vt:i4>5</vt:i4>
      </vt:variant>
      <vt:variant>
        <vt:lpwstr/>
      </vt:variant>
      <vt:variant>
        <vt:lpwstr>Dworkin</vt:lpwstr>
      </vt:variant>
      <vt:variant>
        <vt:i4>6357108</vt:i4>
      </vt:variant>
      <vt:variant>
        <vt:i4>830</vt:i4>
      </vt:variant>
      <vt:variant>
        <vt:i4>0</vt:i4>
      </vt:variant>
      <vt:variant>
        <vt:i4>5</vt:i4>
      </vt:variant>
      <vt:variant>
        <vt:lpwstr/>
      </vt:variant>
      <vt:variant>
        <vt:lpwstr>Wiffen3</vt:lpwstr>
      </vt:variant>
      <vt:variant>
        <vt:i4>7077984</vt:i4>
      </vt:variant>
      <vt:variant>
        <vt:i4>827</vt:i4>
      </vt:variant>
      <vt:variant>
        <vt:i4>0</vt:i4>
      </vt:variant>
      <vt:variant>
        <vt:i4>5</vt:i4>
      </vt:variant>
      <vt:variant>
        <vt:lpwstr/>
      </vt:variant>
      <vt:variant>
        <vt:lpwstr>Dworkin</vt:lpwstr>
      </vt:variant>
      <vt:variant>
        <vt:i4>655386</vt:i4>
      </vt:variant>
      <vt:variant>
        <vt:i4>824</vt:i4>
      </vt:variant>
      <vt:variant>
        <vt:i4>0</vt:i4>
      </vt:variant>
      <vt:variant>
        <vt:i4>5</vt:i4>
      </vt:variant>
      <vt:variant>
        <vt:lpwstr/>
      </vt:variant>
      <vt:variant>
        <vt:lpwstr>ICSI</vt:lpwstr>
      </vt:variant>
      <vt:variant>
        <vt:i4>7798881</vt:i4>
      </vt:variant>
      <vt:variant>
        <vt:i4>821</vt:i4>
      </vt:variant>
      <vt:variant>
        <vt:i4>0</vt:i4>
      </vt:variant>
      <vt:variant>
        <vt:i4>5</vt:i4>
      </vt:variant>
      <vt:variant>
        <vt:lpwstr/>
      </vt:variant>
      <vt:variant>
        <vt:lpwstr>Maizels</vt:lpwstr>
      </vt:variant>
      <vt:variant>
        <vt:i4>6357096</vt:i4>
      </vt:variant>
      <vt:variant>
        <vt:i4>818</vt:i4>
      </vt:variant>
      <vt:variant>
        <vt:i4>0</vt:i4>
      </vt:variant>
      <vt:variant>
        <vt:i4>5</vt:i4>
      </vt:variant>
      <vt:variant>
        <vt:lpwstr/>
      </vt:variant>
      <vt:variant>
        <vt:lpwstr>Namaka</vt:lpwstr>
      </vt:variant>
      <vt:variant>
        <vt:i4>458758</vt:i4>
      </vt:variant>
      <vt:variant>
        <vt:i4>815</vt:i4>
      </vt:variant>
      <vt:variant>
        <vt:i4>0</vt:i4>
      </vt:variant>
      <vt:variant>
        <vt:i4>5</vt:i4>
      </vt:variant>
      <vt:variant>
        <vt:lpwstr/>
      </vt:variant>
      <vt:variant>
        <vt:lpwstr>Backonja2002</vt:lpwstr>
      </vt:variant>
      <vt:variant>
        <vt:i4>1376277</vt:i4>
      </vt:variant>
      <vt:variant>
        <vt:i4>812</vt:i4>
      </vt:variant>
      <vt:variant>
        <vt:i4>0</vt:i4>
      </vt:variant>
      <vt:variant>
        <vt:i4>5</vt:i4>
      </vt:variant>
      <vt:variant>
        <vt:lpwstr/>
      </vt:variant>
      <vt:variant>
        <vt:lpwstr>Attal</vt:lpwstr>
      </vt:variant>
      <vt:variant>
        <vt:i4>851992</vt:i4>
      </vt:variant>
      <vt:variant>
        <vt:i4>809</vt:i4>
      </vt:variant>
      <vt:variant>
        <vt:i4>0</vt:i4>
      </vt:variant>
      <vt:variant>
        <vt:i4>5</vt:i4>
      </vt:variant>
      <vt:variant>
        <vt:lpwstr/>
      </vt:variant>
      <vt:variant>
        <vt:lpwstr>ICSI2007</vt:lpwstr>
      </vt:variant>
      <vt:variant>
        <vt:i4>8257635</vt:i4>
      </vt:variant>
      <vt:variant>
        <vt:i4>806</vt:i4>
      </vt:variant>
      <vt:variant>
        <vt:i4>0</vt:i4>
      </vt:variant>
      <vt:variant>
        <vt:i4>5</vt:i4>
      </vt:variant>
      <vt:variant>
        <vt:lpwstr/>
      </vt:variant>
      <vt:variant>
        <vt:lpwstr>Jensen2006</vt:lpwstr>
      </vt:variant>
      <vt:variant>
        <vt:i4>131097</vt:i4>
      </vt:variant>
      <vt:variant>
        <vt:i4>803</vt:i4>
      </vt:variant>
      <vt:variant>
        <vt:i4>0</vt:i4>
      </vt:variant>
      <vt:variant>
        <vt:i4>5</vt:i4>
      </vt:variant>
      <vt:variant>
        <vt:lpwstr/>
      </vt:variant>
      <vt:variant>
        <vt:lpwstr>Salinsky2010</vt:lpwstr>
      </vt:variant>
      <vt:variant>
        <vt:i4>1376277</vt:i4>
      </vt:variant>
      <vt:variant>
        <vt:i4>800</vt:i4>
      </vt:variant>
      <vt:variant>
        <vt:i4>0</vt:i4>
      </vt:variant>
      <vt:variant>
        <vt:i4>5</vt:i4>
      </vt:variant>
      <vt:variant>
        <vt:lpwstr/>
      </vt:variant>
      <vt:variant>
        <vt:lpwstr>Attal</vt:lpwstr>
      </vt:variant>
      <vt:variant>
        <vt:i4>8126568</vt:i4>
      </vt:variant>
      <vt:variant>
        <vt:i4>797</vt:i4>
      </vt:variant>
      <vt:variant>
        <vt:i4>0</vt:i4>
      </vt:variant>
      <vt:variant>
        <vt:i4>5</vt:i4>
      </vt:variant>
      <vt:variant>
        <vt:lpwstr/>
      </vt:variant>
      <vt:variant>
        <vt:lpwstr>Tassone</vt:lpwstr>
      </vt:variant>
      <vt:variant>
        <vt:i4>7733358</vt:i4>
      </vt:variant>
      <vt:variant>
        <vt:i4>794</vt:i4>
      </vt:variant>
      <vt:variant>
        <vt:i4>0</vt:i4>
      </vt:variant>
      <vt:variant>
        <vt:i4>5</vt:i4>
      </vt:variant>
      <vt:variant>
        <vt:lpwstr/>
      </vt:variant>
      <vt:variant>
        <vt:lpwstr>Freeman</vt:lpwstr>
      </vt:variant>
      <vt:variant>
        <vt:i4>7209079</vt:i4>
      </vt:variant>
      <vt:variant>
        <vt:i4>791</vt:i4>
      </vt:variant>
      <vt:variant>
        <vt:i4>0</vt:i4>
      </vt:variant>
      <vt:variant>
        <vt:i4>5</vt:i4>
      </vt:variant>
      <vt:variant>
        <vt:lpwstr/>
      </vt:variant>
      <vt:variant>
        <vt:lpwstr>Stacey</vt:lpwstr>
      </vt:variant>
      <vt:variant>
        <vt:i4>2031640</vt:i4>
      </vt:variant>
      <vt:variant>
        <vt:i4>788</vt:i4>
      </vt:variant>
      <vt:variant>
        <vt:i4>0</vt:i4>
      </vt:variant>
      <vt:variant>
        <vt:i4>5</vt:i4>
      </vt:variant>
      <vt:variant>
        <vt:lpwstr/>
      </vt:variant>
      <vt:variant>
        <vt:lpwstr>Crofford</vt:lpwstr>
      </vt:variant>
      <vt:variant>
        <vt:i4>1966154</vt:i4>
      </vt:variant>
      <vt:variant>
        <vt:i4>785</vt:i4>
      </vt:variant>
      <vt:variant>
        <vt:i4>0</vt:i4>
      </vt:variant>
      <vt:variant>
        <vt:i4>5</vt:i4>
      </vt:variant>
      <vt:variant>
        <vt:lpwstr/>
      </vt:variant>
      <vt:variant>
        <vt:lpwstr>Eisenberg2007</vt:lpwstr>
      </vt:variant>
      <vt:variant>
        <vt:i4>1310745</vt:i4>
      </vt:variant>
      <vt:variant>
        <vt:i4>782</vt:i4>
      </vt:variant>
      <vt:variant>
        <vt:i4>0</vt:i4>
      </vt:variant>
      <vt:variant>
        <vt:i4>5</vt:i4>
      </vt:variant>
      <vt:variant>
        <vt:lpwstr/>
      </vt:variant>
      <vt:variant>
        <vt:lpwstr>Knotkova</vt:lpwstr>
      </vt:variant>
      <vt:variant>
        <vt:i4>8126568</vt:i4>
      </vt:variant>
      <vt:variant>
        <vt:i4>779</vt:i4>
      </vt:variant>
      <vt:variant>
        <vt:i4>0</vt:i4>
      </vt:variant>
      <vt:variant>
        <vt:i4>5</vt:i4>
      </vt:variant>
      <vt:variant>
        <vt:lpwstr/>
      </vt:variant>
      <vt:variant>
        <vt:lpwstr>Tassone</vt:lpwstr>
      </vt:variant>
      <vt:variant>
        <vt:i4>851992</vt:i4>
      </vt:variant>
      <vt:variant>
        <vt:i4>776</vt:i4>
      </vt:variant>
      <vt:variant>
        <vt:i4>0</vt:i4>
      </vt:variant>
      <vt:variant>
        <vt:i4>5</vt:i4>
      </vt:variant>
      <vt:variant>
        <vt:lpwstr/>
      </vt:variant>
      <vt:variant>
        <vt:lpwstr>ICSI2007</vt:lpwstr>
      </vt:variant>
      <vt:variant>
        <vt:i4>6553696</vt:i4>
      </vt:variant>
      <vt:variant>
        <vt:i4>773</vt:i4>
      </vt:variant>
      <vt:variant>
        <vt:i4>0</vt:i4>
      </vt:variant>
      <vt:variant>
        <vt:i4>5</vt:i4>
      </vt:variant>
      <vt:variant>
        <vt:lpwstr/>
      </vt:variant>
      <vt:variant>
        <vt:lpwstr>Blommel</vt:lpwstr>
      </vt:variant>
      <vt:variant>
        <vt:i4>524296</vt:i4>
      </vt:variant>
      <vt:variant>
        <vt:i4>770</vt:i4>
      </vt:variant>
      <vt:variant>
        <vt:i4>0</vt:i4>
      </vt:variant>
      <vt:variant>
        <vt:i4>5</vt:i4>
      </vt:variant>
      <vt:variant>
        <vt:lpwstr/>
      </vt:variant>
      <vt:variant>
        <vt:lpwstr>WIFFEN2013SUMMARY</vt:lpwstr>
      </vt:variant>
      <vt:variant>
        <vt:i4>1966154</vt:i4>
      </vt:variant>
      <vt:variant>
        <vt:i4>767</vt:i4>
      </vt:variant>
      <vt:variant>
        <vt:i4>0</vt:i4>
      </vt:variant>
      <vt:variant>
        <vt:i4>5</vt:i4>
      </vt:variant>
      <vt:variant>
        <vt:lpwstr/>
      </vt:variant>
      <vt:variant>
        <vt:lpwstr>Eisenberg2007</vt:lpwstr>
      </vt:variant>
      <vt:variant>
        <vt:i4>8257635</vt:i4>
      </vt:variant>
      <vt:variant>
        <vt:i4>764</vt:i4>
      </vt:variant>
      <vt:variant>
        <vt:i4>0</vt:i4>
      </vt:variant>
      <vt:variant>
        <vt:i4>5</vt:i4>
      </vt:variant>
      <vt:variant>
        <vt:lpwstr/>
      </vt:variant>
      <vt:variant>
        <vt:lpwstr>Jensen2006</vt:lpwstr>
      </vt:variant>
      <vt:variant>
        <vt:i4>7077984</vt:i4>
      </vt:variant>
      <vt:variant>
        <vt:i4>761</vt:i4>
      </vt:variant>
      <vt:variant>
        <vt:i4>0</vt:i4>
      </vt:variant>
      <vt:variant>
        <vt:i4>5</vt:i4>
      </vt:variant>
      <vt:variant>
        <vt:lpwstr/>
      </vt:variant>
      <vt:variant>
        <vt:lpwstr>Dworkin</vt:lpwstr>
      </vt:variant>
      <vt:variant>
        <vt:i4>1966154</vt:i4>
      </vt:variant>
      <vt:variant>
        <vt:i4>758</vt:i4>
      </vt:variant>
      <vt:variant>
        <vt:i4>0</vt:i4>
      </vt:variant>
      <vt:variant>
        <vt:i4>5</vt:i4>
      </vt:variant>
      <vt:variant>
        <vt:lpwstr/>
      </vt:variant>
      <vt:variant>
        <vt:lpwstr>Eisenberg2007</vt:lpwstr>
      </vt:variant>
      <vt:variant>
        <vt:i4>458758</vt:i4>
      </vt:variant>
      <vt:variant>
        <vt:i4>755</vt:i4>
      </vt:variant>
      <vt:variant>
        <vt:i4>0</vt:i4>
      </vt:variant>
      <vt:variant>
        <vt:i4>5</vt:i4>
      </vt:variant>
      <vt:variant>
        <vt:lpwstr/>
      </vt:variant>
      <vt:variant>
        <vt:lpwstr>Backonja2002</vt:lpwstr>
      </vt:variant>
      <vt:variant>
        <vt:i4>1376277</vt:i4>
      </vt:variant>
      <vt:variant>
        <vt:i4>752</vt:i4>
      </vt:variant>
      <vt:variant>
        <vt:i4>0</vt:i4>
      </vt:variant>
      <vt:variant>
        <vt:i4>5</vt:i4>
      </vt:variant>
      <vt:variant>
        <vt:lpwstr/>
      </vt:variant>
      <vt:variant>
        <vt:lpwstr>Attal</vt:lpwstr>
      </vt:variant>
      <vt:variant>
        <vt:i4>1966154</vt:i4>
      </vt:variant>
      <vt:variant>
        <vt:i4>749</vt:i4>
      </vt:variant>
      <vt:variant>
        <vt:i4>0</vt:i4>
      </vt:variant>
      <vt:variant>
        <vt:i4>5</vt:i4>
      </vt:variant>
      <vt:variant>
        <vt:lpwstr/>
      </vt:variant>
      <vt:variant>
        <vt:lpwstr>Eisenberg2007</vt:lpwstr>
      </vt:variant>
      <vt:variant>
        <vt:i4>2293841</vt:i4>
      </vt:variant>
      <vt:variant>
        <vt:i4>746</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Yaksi</vt:lpwstr>
      </vt:variant>
      <vt:variant>
        <vt:i4>7929955</vt:i4>
      </vt:variant>
      <vt:variant>
        <vt:i4>743</vt:i4>
      </vt:variant>
      <vt:variant>
        <vt:i4>0</vt:i4>
      </vt:variant>
      <vt:variant>
        <vt:i4>5</vt:i4>
      </vt:variant>
      <vt:variant>
        <vt:lpwstr/>
      </vt:variant>
      <vt:variant>
        <vt:lpwstr>Arnold</vt:lpwstr>
      </vt:variant>
      <vt:variant>
        <vt:i4>7929956</vt:i4>
      </vt:variant>
      <vt:variant>
        <vt:i4>740</vt:i4>
      </vt:variant>
      <vt:variant>
        <vt:i4>0</vt:i4>
      </vt:variant>
      <vt:variant>
        <vt:i4>5</vt:i4>
      </vt:variant>
      <vt:variant>
        <vt:lpwstr/>
      </vt:variant>
      <vt:variant>
        <vt:lpwstr>Serpell</vt:lpwstr>
      </vt:variant>
      <vt:variant>
        <vt:i4>7733367</vt:i4>
      </vt:variant>
      <vt:variant>
        <vt:i4>737</vt:i4>
      </vt:variant>
      <vt:variant>
        <vt:i4>0</vt:i4>
      </vt:variant>
      <vt:variant>
        <vt:i4>5</vt:i4>
      </vt:variant>
      <vt:variant>
        <vt:lpwstr/>
      </vt:variant>
      <vt:variant>
        <vt:lpwstr>Levendoglu</vt:lpwstr>
      </vt:variant>
      <vt:variant>
        <vt:i4>8126587</vt:i4>
      </vt:variant>
      <vt:variant>
        <vt:i4>734</vt:i4>
      </vt:variant>
      <vt:variant>
        <vt:i4>0</vt:i4>
      </vt:variant>
      <vt:variant>
        <vt:i4>5</vt:i4>
      </vt:variant>
      <vt:variant>
        <vt:lpwstr/>
      </vt:variant>
      <vt:variant>
        <vt:lpwstr>Pandey</vt:lpwstr>
      </vt:variant>
      <vt:variant>
        <vt:i4>1376273</vt:i4>
      </vt:variant>
      <vt:variant>
        <vt:i4>731</vt:i4>
      </vt:variant>
      <vt:variant>
        <vt:i4>0</vt:i4>
      </vt:variant>
      <vt:variant>
        <vt:i4>5</vt:i4>
      </vt:variant>
      <vt:variant>
        <vt:lpwstr/>
      </vt:variant>
      <vt:variant>
        <vt:lpwstr>Menigaux</vt:lpwstr>
      </vt:variant>
      <vt:variant>
        <vt:i4>7602278</vt:i4>
      </vt:variant>
      <vt:variant>
        <vt:i4>728</vt:i4>
      </vt:variant>
      <vt:variant>
        <vt:i4>0</vt:i4>
      </vt:variant>
      <vt:variant>
        <vt:i4>5</vt:i4>
      </vt:variant>
      <vt:variant>
        <vt:lpwstr/>
      </vt:variant>
      <vt:variant>
        <vt:lpwstr>Buvanendran</vt:lpwstr>
      </vt:variant>
      <vt:variant>
        <vt:i4>131102</vt:i4>
      </vt:variant>
      <vt:variant>
        <vt:i4>725</vt:i4>
      </vt:variant>
      <vt:variant>
        <vt:i4>0</vt:i4>
      </vt:variant>
      <vt:variant>
        <vt:i4>5</vt:i4>
      </vt:variant>
      <vt:variant>
        <vt:lpwstr/>
      </vt:variant>
      <vt:variant>
        <vt:lpwstr>Peng</vt:lpwstr>
      </vt:variant>
      <vt:variant>
        <vt:i4>7929955</vt:i4>
      </vt:variant>
      <vt:variant>
        <vt:i4>722</vt:i4>
      </vt:variant>
      <vt:variant>
        <vt:i4>0</vt:i4>
      </vt:variant>
      <vt:variant>
        <vt:i4>5</vt:i4>
      </vt:variant>
      <vt:variant>
        <vt:lpwstr/>
      </vt:variant>
      <vt:variant>
        <vt:lpwstr>Arnold</vt:lpwstr>
      </vt:variant>
      <vt:variant>
        <vt:i4>7667812</vt:i4>
      </vt:variant>
      <vt:variant>
        <vt:i4>719</vt:i4>
      </vt:variant>
      <vt:variant>
        <vt:i4>0</vt:i4>
      </vt:variant>
      <vt:variant>
        <vt:i4>5</vt:i4>
      </vt:variant>
      <vt:variant>
        <vt:lpwstr/>
      </vt:variant>
      <vt:variant>
        <vt:lpwstr>Gilron</vt:lpwstr>
      </vt:variant>
      <vt:variant>
        <vt:i4>6684773</vt:i4>
      </vt:variant>
      <vt:variant>
        <vt:i4>716</vt:i4>
      </vt:variant>
      <vt:variant>
        <vt:i4>0</vt:i4>
      </vt:variant>
      <vt:variant>
        <vt:i4>5</vt:i4>
      </vt:variant>
      <vt:variant>
        <vt:lpwstr/>
      </vt:variant>
      <vt:variant>
        <vt:lpwstr>Zaremba</vt:lpwstr>
      </vt:variant>
      <vt:variant>
        <vt:i4>6357108</vt:i4>
      </vt:variant>
      <vt:variant>
        <vt:i4>713</vt:i4>
      </vt:variant>
      <vt:variant>
        <vt:i4>0</vt:i4>
      </vt:variant>
      <vt:variant>
        <vt:i4>5</vt:i4>
      </vt:variant>
      <vt:variant>
        <vt:lpwstr/>
      </vt:variant>
      <vt:variant>
        <vt:lpwstr>Wiffen2</vt:lpwstr>
      </vt:variant>
      <vt:variant>
        <vt:i4>8126573</vt:i4>
      </vt:variant>
      <vt:variant>
        <vt:i4>710</vt:i4>
      </vt:variant>
      <vt:variant>
        <vt:i4>0</vt:i4>
      </vt:variant>
      <vt:variant>
        <vt:i4>5</vt:i4>
      </vt:variant>
      <vt:variant>
        <vt:lpwstr/>
      </vt:variant>
      <vt:variant>
        <vt:lpwstr>Numberneededtotreat</vt:lpwstr>
      </vt:variant>
      <vt:variant>
        <vt:i4>262156</vt:i4>
      </vt:variant>
      <vt:variant>
        <vt:i4>707</vt:i4>
      </vt:variant>
      <vt:variant>
        <vt:i4>0</vt:i4>
      </vt:variant>
      <vt:variant>
        <vt:i4>5</vt:i4>
      </vt:variant>
      <vt:variant>
        <vt:lpwstr/>
      </vt:variant>
      <vt:variant>
        <vt:lpwstr>Backonja1998</vt:lpwstr>
      </vt:variant>
      <vt:variant>
        <vt:i4>524296</vt:i4>
      </vt:variant>
      <vt:variant>
        <vt:i4>704</vt:i4>
      </vt:variant>
      <vt:variant>
        <vt:i4>0</vt:i4>
      </vt:variant>
      <vt:variant>
        <vt:i4>5</vt:i4>
      </vt:variant>
      <vt:variant>
        <vt:lpwstr/>
      </vt:variant>
      <vt:variant>
        <vt:lpwstr>WIFFEN2013SUMMARY</vt:lpwstr>
      </vt:variant>
      <vt:variant>
        <vt:i4>1376277</vt:i4>
      </vt:variant>
      <vt:variant>
        <vt:i4>701</vt:i4>
      </vt:variant>
      <vt:variant>
        <vt:i4>0</vt:i4>
      </vt:variant>
      <vt:variant>
        <vt:i4>5</vt:i4>
      </vt:variant>
      <vt:variant>
        <vt:lpwstr/>
      </vt:variant>
      <vt:variant>
        <vt:lpwstr>Attal</vt:lpwstr>
      </vt:variant>
      <vt:variant>
        <vt:i4>1966154</vt:i4>
      </vt:variant>
      <vt:variant>
        <vt:i4>698</vt:i4>
      </vt:variant>
      <vt:variant>
        <vt:i4>0</vt:i4>
      </vt:variant>
      <vt:variant>
        <vt:i4>5</vt:i4>
      </vt:variant>
      <vt:variant>
        <vt:lpwstr/>
      </vt:variant>
      <vt:variant>
        <vt:lpwstr>Eisenberg2007</vt:lpwstr>
      </vt:variant>
      <vt:variant>
        <vt:i4>1310745</vt:i4>
      </vt:variant>
      <vt:variant>
        <vt:i4>695</vt:i4>
      </vt:variant>
      <vt:variant>
        <vt:i4>0</vt:i4>
      </vt:variant>
      <vt:variant>
        <vt:i4>5</vt:i4>
      </vt:variant>
      <vt:variant>
        <vt:lpwstr/>
      </vt:variant>
      <vt:variant>
        <vt:lpwstr>Knotkova</vt:lpwstr>
      </vt:variant>
      <vt:variant>
        <vt:i4>851992</vt:i4>
      </vt:variant>
      <vt:variant>
        <vt:i4>692</vt:i4>
      </vt:variant>
      <vt:variant>
        <vt:i4>0</vt:i4>
      </vt:variant>
      <vt:variant>
        <vt:i4>5</vt:i4>
      </vt:variant>
      <vt:variant>
        <vt:lpwstr/>
      </vt:variant>
      <vt:variant>
        <vt:lpwstr>ICSI2007</vt:lpwstr>
      </vt:variant>
      <vt:variant>
        <vt:i4>458758</vt:i4>
      </vt:variant>
      <vt:variant>
        <vt:i4>689</vt:i4>
      </vt:variant>
      <vt:variant>
        <vt:i4>0</vt:i4>
      </vt:variant>
      <vt:variant>
        <vt:i4>5</vt:i4>
      </vt:variant>
      <vt:variant>
        <vt:lpwstr/>
      </vt:variant>
      <vt:variant>
        <vt:lpwstr>Backonja2002</vt:lpwstr>
      </vt:variant>
      <vt:variant>
        <vt:i4>7602278</vt:i4>
      </vt:variant>
      <vt:variant>
        <vt:i4>686</vt:i4>
      </vt:variant>
      <vt:variant>
        <vt:i4>0</vt:i4>
      </vt:variant>
      <vt:variant>
        <vt:i4>5</vt:i4>
      </vt:variant>
      <vt:variant>
        <vt:lpwstr/>
      </vt:variant>
      <vt:variant>
        <vt:lpwstr>Buvanendran</vt:lpwstr>
      </vt:variant>
      <vt:variant>
        <vt:i4>131102</vt:i4>
      </vt:variant>
      <vt:variant>
        <vt:i4>683</vt:i4>
      </vt:variant>
      <vt:variant>
        <vt:i4>0</vt:i4>
      </vt:variant>
      <vt:variant>
        <vt:i4>5</vt:i4>
      </vt:variant>
      <vt:variant>
        <vt:lpwstr/>
      </vt:variant>
      <vt:variant>
        <vt:lpwstr>Peng</vt:lpwstr>
      </vt:variant>
      <vt:variant>
        <vt:i4>8192101</vt:i4>
      </vt:variant>
      <vt:variant>
        <vt:i4>680</vt:i4>
      </vt:variant>
      <vt:variant>
        <vt:i4>0</vt:i4>
      </vt:variant>
      <vt:variant>
        <vt:i4>5</vt:i4>
      </vt:variant>
      <vt:variant>
        <vt:lpwstr/>
      </vt:variant>
      <vt:variant>
        <vt:lpwstr>Washington2</vt:lpwstr>
      </vt:variant>
      <vt:variant>
        <vt:i4>6357108</vt:i4>
      </vt:variant>
      <vt:variant>
        <vt:i4>677</vt:i4>
      </vt:variant>
      <vt:variant>
        <vt:i4>0</vt:i4>
      </vt:variant>
      <vt:variant>
        <vt:i4>5</vt:i4>
      </vt:variant>
      <vt:variant>
        <vt:lpwstr/>
      </vt:variant>
      <vt:variant>
        <vt:lpwstr>Wiffen</vt:lpwstr>
      </vt:variant>
      <vt:variant>
        <vt:i4>2293841</vt:i4>
      </vt:variant>
      <vt:variant>
        <vt:i4>674</vt:i4>
      </vt:variant>
      <vt:variant>
        <vt:i4>0</vt:i4>
      </vt:variant>
      <vt:variant>
        <vt:i4>5</vt:i4>
      </vt:variant>
      <vt:variant>
        <vt:lpwstr>E:\AppData\Local\Microsoft\Windows\Temporary Internet Files\Content.Outlook\AppData\Local\Microsoft\Windows\Temporary Internet Files\Content.Outlook\50QE161U\low_back.htm</vt:lpwstr>
      </vt:variant>
      <vt:variant>
        <vt:lpwstr>Yaksi</vt:lpwstr>
      </vt:variant>
      <vt:variant>
        <vt:i4>2031640</vt:i4>
      </vt:variant>
      <vt:variant>
        <vt:i4>671</vt:i4>
      </vt:variant>
      <vt:variant>
        <vt:i4>0</vt:i4>
      </vt:variant>
      <vt:variant>
        <vt:i4>5</vt:i4>
      </vt:variant>
      <vt:variant>
        <vt:lpwstr/>
      </vt:variant>
      <vt:variant>
        <vt:lpwstr>Crofford</vt:lpwstr>
      </vt:variant>
      <vt:variant>
        <vt:i4>7929955</vt:i4>
      </vt:variant>
      <vt:variant>
        <vt:i4>668</vt:i4>
      </vt:variant>
      <vt:variant>
        <vt:i4>0</vt:i4>
      </vt:variant>
      <vt:variant>
        <vt:i4>5</vt:i4>
      </vt:variant>
      <vt:variant>
        <vt:lpwstr/>
      </vt:variant>
      <vt:variant>
        <vt:lpwstr>Arnold</vt:lpwstr>
      </vt:variant>
      <vt:variant>
        <vt:i4>7929956</vt:i4>
      </vt:variant>
      <vt:variant>
        <vt:i4>665</vt:i4>
      </vt:variant>
      <vt:variant>
        <vt:i4>0</vt:i4>
      </vt:variant>
      <vt:variant>
        <vt:i4>5</vt:i4>
      </vt:variant>
      <vt:variant>
        <vt:lpwstr/>
      </vt:variant>
      <vt:variant>
        <vt:lpwstr>Serpell</vt:lpwstr>
      </vt:variant>
      <vt:variant>
        <vt:i4>7733367</vt:i4>
      </vt:variant>
      <vt:variant>
        <vt:i4>662</vt:i4>
      </vt:variant>
      <vt:variant>
        <vt:i4>0</vt:i4>
      </vt:variant>
      <vt:variant>
        <vt:i4>5</vt:i4>
      </vt:variant>
      <vt:variant>
        <vt:lpwstr/>
      </vt:variant>
      <vt:variant>
        <vt:lpwstr>Levendoglu</vt:lpwstr>
      </vt:variant>
      <vt:variant>
        <vt:i4>65542</vt:i4>
      </vt:variant>
      <vt:variant>
        <vt:i4>659</vt:i4>
      </vt:variant>
      <vt:variant>
        <vt:i4>0</vt:i4>
      </vt:variant>
      <vt:variant>
        <vt:i4>5</vt:i4>
      </vt:variant>
      <vt:variant>
        <vt:lpwstr/>
      </vt:variant>
      <vt:variant>
        <vt:lpwstr>Backonja2004</vt:lpwstr>
      </vt:variant>
      <vt:variant>
        <vt:i4>65542</vt:i4>
      </vt:variant>
      <vt:variant>
        <vt:i4>656</vt:i4>
      </vt:variant>
      <vt:variant>
        <vt:i4>0</vt:i4>
      </vt:variant>
      <vt:variant>
        <vt:i4>5</vt:i4>
      </vt:variant>
      <vt:variant>
        <vt:lpwstr/>
      </vt:variant>
      <vt:variant>
        <vt:lpwstr>Backonja2004</vt:lpwstr>
      </vt:variant>
      <vt:variant>
        <vt:i4>1376277</vt:i4>
      </vt:variant>
      <vt:variant>
        <vt:i4>653</vt:i4>
      </vt:variant>
      <vt:variant>
        <vt:i4>0</vt:i4>
      </vt:variant>
      <vt:variant>
        <vt:i4>5</vt:i4>
      </vt:variant>
      <vt:variant>
        <vt:lpwstr/>
      </vt:variant>
      <vt:variant>
        <vt:lpwstr>Attal</vt:lpwstr>
      </vt:variant>
      <vt:variant>
        <vt:i4>8257635</vt:i4>
      </vt:variant>
      <vt:variant>
        <vt:i4>650</vt:i4>
      </vt:variant>
      <vt:variant>
        <vt:i4>0</vt:i4>
      </vt:variant>
      <vt:variant>
        <vt:i4>5</vt:i4>
      </vt:variant>
      <vt:variant>
        <vt:lpwstr/>
      </vt:variant>
      <vt:variant>
        <vt:lpwstr>Jensen2006</vt:lpwstr>
      </vt:variant>
      <vt:variant>
        <vt:i4>1376277</vt:i4>
      </vt:variant>
      <vt:variant>
        <vt:i4>647</vt:i4>
      </vt:variant>
      <vt:variant>
        <vt:i4>0</vt:i4>
      </vt:variant>
      <vt:variant>
        <vt:i4>5</vt:i4>
      </vt:variant>
      <vt:variant>
        <vt:lpwstr/>
      </vt:variant>
      <vt:variant>
        <vt:lpwstr>Attal</vt:lpwstr>
      </vt:variant>
      <vt:variant>
        <vt:i4>720913</vt:i4>
      </vt:variant>
      <vt:variant>
        <vt:i4>644</vt:i4>
      </vt:variant>
      <vt:variant>
        <vt:i4>0</vt:i4>
      </vt:variant>
      <vt:variant>
        <vt:i4>5</vt:i4>
      </vt:variant>
      <vt:variant>
        <vt:lpwstr>http://www.fda.gov/medwatch/safety/2008/safety08.htm</vt:lpwstr>
      </vt:variant>
      <vt:variant>
        <vt:lpwstr>Antiepileptic</vt:lpwstr>
      </vt:variant>
      <vt:variant>
        <vt:i4>983062</vt:i4>
      </vt:variant>
      <vt:variant>
        <vt:i4>641</vt:i4>
      </vt:variant>
      <vt:variant>
        <vt:i4>0</vt:i4>
      </vt:variant>
      <vt:variant>
        <vt:i4>5</vt:i4>
      </vt:variant>
      <vt:variant>
        <vt:lpwstr/>
      </vt:variant>
      <vt:variant>
        <vt:lpwstr>ClinicalPharmacology</vt:lpwstr>
      </vt:variant>
      <vt:variant>
        <vt:i4>8257635</vt:i4>
      </vt:variant>
      <vt:variant>
        <vt:i4>638</vt:i4>
      </vt:variant>
      <vt:variant>
        <vt:i4>0</vt:i4>
      </vt:variant>
      <vt:variant>
        <vt:i4>5</vt:i4>
      </vt:variant>
      <vt:variant>
        <vt:lpwstr/>
      </vt:variant>
      <vt:variant>
        <vt:lpwstr>Jensen2006</vt:lpwstr>
      </vt:variant>
      <vt:variant>
        <vt:i4>1966154</vt:i4>
      </vt:variant>
      <vt:variant>
        <vt:i4>635</vt:i4>
      </vt:variant>
      <vt:variant>
        <vt:i4>0</vt:i4>
      </vt:variant>
      <vt:variant>
        <vt:i4>5</vt:i4>
      </vt:variant>
      <vt:variant>
        <vt:lpwstr/>
      </vt:variant>
      <vt:variant>
        <vt:lpwstr>Eisenberg2007</vt:lpwstr>
      </vt:variant>
      <vt:variant>
        <vt:i4>1900565</vt:i4>
      </vt:variant>
      <vt:variant>
        <vt:i4>632</vt:i4>
      </vt:variant>
      <vt:variant>
        <vt:i4>0</vt:i4>
      </vt:variant>
      <vt:variant>
        <vt:i4>5</vt:i4>
      </vt:variant>
      <vt:variant>
        <vt:lpwstr/>
      </vt:variant>
      <vt:variant>
        <vt:lpwstr>LevetiracetamListing</vt:lpwstr>
      </vt:variant>
      <vt:variant>
        <vt:i4>1900565</vt:i4>
      </vt:variant>
      <vt:variant>
        <vt:i4>629</vt:i4>
      </vt:variant>
      <vt:variant>
        <vt:i4>0</vt:i4>
      </vt:variant>
      <vt:variant>
        <vt:i4>5</vt:i4>
      </vt:variant>
      <vt:variant>
        <vt:lpwstr/>
      </vt:variant>
      <vt:variant>
        <vt:lpwstr>LevetiracetamListing</vt:lpwstr>
      </vt:variant>
      <vt:variant>
        <vt:i4>1900565</vt:i4>
      </vt:variant>
      <vt:variant>
        <vt:i4>626</vt:i4>
      </vt:variant>
      <vt:variant>
        <vt:i4>0</vt:i4>
      </vt:variant>
      <vt:variant>
        <vt:i4>5</vt:i4>
      </vt:variant>
      <vt:variant>
        <vt:lpwstr/>
      </vt:variant>
      <vt:variant>
        <vt:lpwstr>LevetiracetamListing</vt:lpwstr>
      </vt:variant>
      <vt:variant>
        <vt:i4>1048601</vt:i4>
      </vt:variant>
      <vt:variant>
        <vt:i4>623</vt:i4>
      </vt:variant>
      <vt:variant>
        <vt:i4>0</vt:i4>
      </vt:variant>
      <vt:variant>
        <vt:i4>5</vt:i4>
      </vt:variant>
      <vt:variant>
        <vt:lpwstr/>
      </vt:variant>
      <vt:variant>
        <vt:lpwstr>TopiramateListing</vt:lpwstr>
      </vt:variant>
      <vt:variant>
        <vt:i4>655390</vt:i4>
      </vt:variant>
      <vt:variant>
        <vt:i4>620</vt:i4>
      </vt:variant>
      <vt:variant>
        <vt:i4>0</vt:i4>
      </vt:variant>
      <vt:variant>
        <vt:i4>5</vt:i4>
      </vt:variant>
      <vt:variant>
        <vt:lpwstr/>
      </vt:variant>
      <vt:variant>
        <vt:lpwstr>PhenytoinListing</vt:lpwstr>
      </vt:variant>
      <vt:variant>
        <vt:i4>917509</vt:i4>
      </vt:variant>
      <vt:variant>
        <vt:i4>617</vt:i4>
      </vt:variant>
      <vt:variant>
        <vt:i4>0</vt:i4>
      </vt:variant>
      <vt:variant>
        <vt:i4>5</vt:i4>
      </vt:variant>
      <vt:variant>
        <vt:lpwstr/>
      </vt:variant>
      <vt:variant>
        <vt:lpwstr>OxcarbazepineListing</vt:lpwstr>
      </vt:variant>
      <vt:variant>
        <vt:i4>1769483</vt:i4>
      </vt:variant>
      <vt:variant>
        <vt:i4>614</vt:i4>
      </vt:variant>
      <vt:variant>
        <vt:i4>0</vt:i4>
      </vt:variant>
      <vt:variant>
        <vt:i4>5</vt:i4>
      </vt:variant>
      <vt:variant>
        <vt:lpwstr/>
      </vt:variant>
      <vt:variant>
        <vt:lpwstr>CarbamazepineListing</vt:lpwstr>
      </vt:variant>
      <vt:variant>
        <vt:i4>6553699</vt:i4>
      </vt:variant>
      <vt:variant>
        <vt:i4>611</vt:i4>
      </vt:variant>
      <vt:variant>
        <vt:i4>0</vt:i4>
      </vt:variant>
      <vt:variant>
        <vt:i4>5</vt:i4>
      </vt:variant>
      <vt:variant>
        <vt:lpwstr/>
      </vt:variant>
      <vt:variant>
        <vt:lpwstr>LamotrigineListing</vt:lpwstr>
      </vt:variant>
      <vt:variant>
        <vt:i4>393226</vt:i4>
      </vt:variant>
      <vt:variant>
        <vt:i4>608</vt:i4>
      </vt:variant>
      <vt:variant>
        <vt:i4>0</vt:i4>
      </vt:variant>
      <vt:variant>
        <vt:i4>5</vt:i4>
      </vt:variant>
      <vt:variant>
        <vt:lpwstr/>
      </vt:variant>
      <vt:variant>
        <vt:lpwstr>PregabalinListing</vt:lpwstr>
      </vt:variant>
      <vt:variant>
        <vt:i4>786436</vt:i4>
      </vt:variant>
      <vt:variant>
        <vt:i4>605</vt:i4>
      </vt:variant>
      <vt:variant>
        <vt:i4>0</vt:i4>
      </vt:variant>
      <vt:variant>
        <vt:i4>5</vt:i4>
      </vt:variant>
      <vt:variant>
        <vt:lpwstr/>
      </vt:variant>
      <vt:variant>
        <vt:lpwstr>GabapentinListing</vt:lpwstr>
      </vt:variant>
      <vt:variant>
        <vt:i4>1376277</vt:i4>
      </vt:variant>
      <vt:variant>
        <vt:i4>602</vt:i4>
      </vt:variant>
      <vt:variant>
        <vt:i4>0</vt:i4>
      </vt:variant>
      <vt:variant>
        <vt:i4>5</vt:i4>
      </vt:variant>
      <vt:variant>
        <vt:lpwstr/>
      </vt:variant>
      <vt:variant>
        <vt:lpwstr>Attal</vt:lpwstr>
      </vt:variant>
      <vt:variant>
        <vt:i4>524296</vt:i4>
      </vt:variant>
      <vt:variant>
        <vt:i4>599</vt:i4>
      </vt:variant>
      <vt:variant>
        <vt:i4>0</vt:i4>
      </vt:variant>
      <vt:variant>
        <vt:i4>5</vt:i4>
      </vt:variant>
      <vt:variant>
        <vt:lpwstr/>
      </vt:variant>
      <vt:variant>
        <vt:lpwstr>WIFFEN2013SUMMARY</vt:lpwstr>
      </vt:variant>
      <vt:variant>
        <vt:i4>327704</vt:i4>
      </vt:variant>
      <vt:variant>
        <vt:i4>596</vt:i4>
      </vt:variant>
      <vt:variant>
        <vt:i4>0</vt:i4>
      </vt:variant>
      <vt:variant>
        <vt:i4>5</vt:i4>
      </vt:variant>
      <vt:variant>
        <vt:lpwstr/>
      </vt:variant>
      <vt:variant>
        <vt:lpwstr>Finnerup2</vt:lpwstr>
      </vt:variant>
      <vt:variant>
        <vt:i4>851992</vt:i4>
      </vt:variant>
      <vt:variant>
        <vt:i4>593</vt:i4>
      </vt:variant>
      <vt:variant>
        <vt:i4>0</vt:i4>
      </vt:variant>
      <vt:variant>
        <vt:i4>5</vt:i4>
      </vt:variant>
      <vt:variant>
        <vt:lpwstr/>
      </vt:variant>
      <vt:variant>
        <vt:lpwstr>ICSI2007</vt:lpwstr>
      </vt:variant>
      <vt:variant>
        <vt:i4>7471206</vt:i4>
      </vt:variant>
      <vt:variant>
        <vt:i4>590</vt:i4>
      </vt:variant>
      <vt:variant>
        <vt:i4>0</vt:i4>
      </vt:variant>
      <vt:variant>
        <vt:i4>5</vt:i4>
      </vt:variant>
      <vt:variant>
        <vt:lpwstr/>
      </vt:variant>
      <vt:variant>
        <vt:lpwstr>Gilron2007</vt:lpwstr>
      </vt:variant>
      <vt:variant>
        <vt:i4>6357108</vt:i4>
      </vt:variant>
      <vt:variant>
        <vt:i4>587</vt:i4>
      </vt:variant>
      <vt:variant>
        <vt:i4>0</vt:i4>
      </vt:variant>
      <vt:variant>
        <vt:i4>5</vt:i4>
      </vt:variant>
      <vt:variant>
        <vt:lpwstr/>
      </vt:variant>
      <vt:variant>
        <vt:lpwstr>Wiffen3</vt:lpwstr>
      </vt:variant>
      <vt:variant>
        <vt:i4>1376277</vt:i4>
      </vt:variant>
      <vt:variant>
        <vt:i4>584</vt:i4>
      </vt:variant>
      <vt:variant>
        <vt:i4>0</vt:i4>
      </vt:variant>
      <vt:variant>
        <vt:i4>5</vt:i4>
      </vt:variant>
      <vt:variant>
        <vt:lpwstr/>
      </vt:variant>
      <vt:variant>
        <vt:lpwstr>Attal</vt:lpwstr>
      </vt:variant>
      <vt:variant>
        <vt:i4>6357108</vt:i4>
      </vt:variant>
      <vt:variant>
        <vt:i4>581</vt:i4>
      </vt:variant>
      <vt:variant>
        <vt:i4>0</vt:i4>
      </vt:variant>
      <vt:variant>
        <vt:i4>5</vt:i4>
      </vt:variant>
      <vt:variant>
        <vt:lpwstr/>
      </vt:variant>
      <vt:variant>
        <vt:lpwstr>Wiffen</vt:lpwstr>
      </vt:variant>
      <vt:variant>
        <vt:i4>655386</vt:i4>
      </vt:variant>
      <vt:variant>
        <vt:i4>578</vt:i4>
      </vt:variant>
      <vt:variant>
        <vt:i4>0</vt:i4>
      </vt:variant>
      <vt:variant>
        <vt:i4>5</vt:i4>
      </vt:variant>
      <vt:variant>
        <vt:lpwstr/>
      </vt:variant>
      <vt:variant>
        <vt:lpwstr>ICSI</vt:lpwstr>
      </vt:variant>
      <vt:variant>
        <vt:i4>8192101</vt:i4>
      </vt:variant>
      <vt:variant>
        <vt:i4>575</vt:i4>
      </vt:variant>
      <vt:variant>
        <vt:i4>0</vt:i4>
      </vt:variant>
      <vt:variant>
        <vt:i4>5</vt:i4>
      </vt:variant>
      <vt:variant>
        <vt:lpwstr/>
      </vt:variant>
      <vt:variant>
        <vt:lpwstr>Washington2</vt:lpwstr>
      </vt:variant>
      <vt:variant>
        <vt:i4>720974</vt:i4>
      </vt:variant>
      <vt:variant>
        <vt:i4>572</vt:i4>
      </vt:variant>
      <vt:variant>
        <vt:i4>0</vt:i4>
      </vt:variant>
      <vt:variant>
        <vt:i4>5</vt:i4>
      </vt:variant>
      <vt:variant>
        <vt:lpwstr/>
      </vt:variant>
      <vt:variant>
        <vt:lpwstr>Wolfe2004</vt:lpwstr>
      </vt:variant>
      <vt:variant>
        <vt:i4>7536742</vt:i4>
      </vt:variant>
      <vt:variant>
        <vt:i4>569</vt:i4>
      </vt:variant>
      <vt:variant>
        <vt:i4>0</vt:i4>
      </vt:variant>
      <vt:variant>
        <vt:i4>5</vt:i4>
      </vt:variant>
      <vt:variant>
        <vt:lpwstr/>
      </vt:variant>
      <vt:variant>
        <vt:lpwstr>Gilron2006</vt:lpwstr>
      </vt:variant>
      <vt:variant>
        <vt:i4>131086</vt:i4>
      </vt:variant>
      <vt:variant>
        <vt:i4>566</vt:i4>
      </vt:variant>
      <vt:variant>
        <vt:i4>0</vt:i4>
      </vt:variant>
      <vt:variant>
        <vt:i4>5</vt:i4>
      </vt:variant>
      <vt:variant>
        <vt:lpwstr/>
      </vt:variant>
      <vt:variant>
        <vt:lpwstr>Nabilone</vt:lpwstr>
      </vt:variant>
      <vt:variant>
        <vt:i4>2031703</vt:i4>
      </vt:variant>
      <vt:variant>
        <vt:i4>563</vt:i4>
      </vt:variant>
      <vt:variant>
        <vt:i4>0</vt:i4>
      </vt:variant>
      <vt:variant>
        <vt:i4>5</vt:i4>
      </vt:variant>
      <vt:variant>
        <vt:lpwstr/>
      </vt:variant>
      <vt:variant>
        <vt:lpwstr>Moore2005</vt:lpwstr>
      </vt:variant>
      <vt:variant>
        <vt:i4>131127</vt:i4>
      </vt:variant>
      <vt:variant>
        <vt:i4>560</vt:i4>
      </vt:variant>
      <vt:variant>
        <vt:i4>0</vt:i4>
      </vt:variant>
      <vt:variant>
        <vt:i4>5</vt:i4>
      </vt:variant>
      <vt:variant>
        <vt:lpwstr>file://\\sfo39cvc\ConnieA$\My Documents\MEEAC\3. Post 10-day forum\AppData\Local\Microsoft\Windows\Temporary Internet Files\AppData\Local\Microsoft\Windows\Temporary Internet Files\Content.Outlook\AppData\Local\Microsoft\Windows\Temporary Internet Files\Content.Outlook\50QE161U\stress.htm</vt:lpwstr>
      </vt:variant>
      <vt:variant>
        <vt:lpwstr>Looper</vt:lpwstr>
      </vt:variant>
      <vt:variant>
        <vt:i4>6357096</vt:i4>
      </vt:variant>
      <vt:variant>
        <vt:i4>557</vt:i4>
      </vt:variant>
      <vt:variant>
        <vt:i4>0</vt:i4>
      </vt:variant>
      <vt:variant>
        <vt:i4>5</vt:i4>
      </vt:variant>
      <vt:variant>
        <vt:lpwstr/>
      </vt:variant>
      <vt:variant>
        <vt:lpwstr>Namaka</vt:lpwstr>
      </vt:variant>
      <vt:variant>
        <vt:i4>8126566</vt:i4>
      </vt:variant>
      <vt:variant>
        <vt:i4>554</vt:i4>
      </vt:variant>
      <vt:variant>
        <vt:i4>0</vt:i4>
      </vt:variant>
      <vt:variant>
        <vt:i4>5</vt:i4>
      </vt:variant>
      <vt:variant>
        <vt:lpwstr/>
      </vt:variant>
      <vt:variant>
        <vt:lpwstr>Saarto</vt:lpwstr>
      </vt:variant>
      <vt:variant>
        <vt:i4>327704</vt:i4>
      </vt:variant>
      <vt:variant>
        <vt:i4>551</vt:i4>
      </vt:variant>
      <vt:variant>
        <vt:i4>0</vt:i4>
      </vt:variant>
      <vt:variant>
        <vt:i4>5</vt:i4>
      </vt:variant>
      <vt:variant>
        <vt:lpwstr/>
      </vt:variant>
      <vt:variant>
        <vt:lpwstr>Finnerup</vt:lpwstr>
      </vt:variant>
      <vt:variant>
        <vt:i4>7798881</vt:i4>
      </vt:variant>
      <vt:variant>
        <vt:i4>548</vt:i4>
      </vt:variant>
      <vt:variant>
        <vt:i4>0</vt:i4>
      </vt:variant>
      <vt:variant>
        <vt:i4>5</vt:i4>
      </vt:variant>
      <vt:variant>
        <vt:lpwstr/>
      </vt:variant>
      <vt:variant>
        <vt:lpwstr>Maizels</vt:lpwstr>
      </vt:variant>
      <vt:variant>
        <vt:i4>6160398</vt:i4>
      </vt:variant>
      <vt:variant>
        <vt:i4>545</vt:i4>
      </vt:variant>
      <vt:variant>
        <vt:i4>0</vt:i4>
      </vt:variant>
      <vt:variant>
        <vt:i4>5</vt:i4>
      </vt:variant>
      <vt:variant>
        <vt:lpwstr/>
      </vt:variant>
      <vt:variant>
        <vt:lpwstr>Dworkin2</vt:lpwstr>
      </vt:variant>
      <vt:variant>
        <vt:i4>1769503</vt:i4>
      </vt:variant>
      <vt:variant>
        <vt:i4>542</vt:i4>
      </vt:variant>
      <vt:variant>
        <vt:i4>0</vt:i4>
      </vt:variant>
      <vt:variant>
        <vt:i4>5</vt:i4>
      </vt:variant>
      <vt:variant>
        <vt:lpwstr/>
      </vt:variant>
      <vt:variant>
        <vt:lpwstr>Katz</vt:lpwstr>
      </vt:variant>
      <vt:variant>
        <vt:i4>327704</vt:i4>
      </vt:variant>
      <vt:variant>
        <vt:i4>539</vt:i4>
      </vt:variant>
      <vt:variant>
        <vt:i4>0</vt:i4>
      </vt:variant>
      <vt:variant>
        <vt:i4>5</vt:i4>
      </vt:variant>
      <vt:variant>
        <vt:lpwstr/>
      </vt:variant>
      <vt:variant>
        <vt:lpwstr>Finnerup</vt:lpwstr>
      </vt:variant>
      <vt:variant>
        <vt:i4>851992</vt:i4>
      </vt:variant>
      <vt:variant>
        <vt:i4>536</vt:i4>
      </vt:variant>
      <vt:variant>
        <vt:i4>0</vt:i4>
      </vt:variant>
      <vt:variant>
        <vt:i4>5</vt:i4>
      </vt:variant>
      <vt:variant>
        <vt:lpwstr/>
      </vt:variant>
      <vt:variant>
        <vt:lpwstr>ICSI2007</vt:lpwstr>
      </vt:variant>
      <vt:variant>
        <vt:i4>7798881</vt:i4>
      </vt:variant>
      <vt:variant>
        <vt:i4>533</vt:i4>
      </vt:variant>
      <vt:variant>
        <vt:i4>0</vt:i4>
      </vt:variant>
      <vt:variant>
        <vt:i4>5</vt:i4>
      </vt:variant>
      <vt:variant>
        <vt:lpwstr/>
      </vt:variant>
      <vt:variant>
        <vt:lpwstr>Maizels</vt:lpwstr>
      </vt:variant>
      <vt:variant>
        <vt:i4>851992</vt:i4>
      </vt:variant>
      <vt:variant>
        <vt:i4>530</vt:i4>
      </vt:variant>
      <vt:variant>
        <vt:i4>0</vt:i4>
      </vt:variant>
      <vt:variant>
        <vt:i4>5</vt:i4>
      </vt:variant>
      <vt:variant>
        <vt:lpwstr/>
      </vt:variant>
      <vt:variant>
        <vt:lpwstr>ICSI2007</vt:lpwstr>
      </vt:variant>
      <vt:variant>
        <vt:i4>7798881</vt:i4>
      </vt:variant>
      <vt:variant>
        <vt:i4>527</vt:i4>
      </vt:variant>
      <vt:variant>
        <vt:i4>0</vt:i4>
      </vt:variant>
      <vt:variant>
        <vt:i4>5</vt:i4>
      </vt:variant>
      <vt:variant>
        <vt:lpwstr/>
      </vt:variant>
      <vt:variant>
        <vt:lpwstr>Maizels</vt:lpwstr>
      </vt:variant>
      <vt:variant>
        <vt:i4>7929969</vt:i4>
      </vt:variant>
      <vt:variant>
        <vt:i4>524</vt:i4>
      </vt:variant>
      <vt:variant>
        <vt:i4>0</vt:i4>
      </vt:variant>
      <vt:variant>
        <vt:i4>5</vt:i4>
      </vt:variant>
      <vt:variant>
        <vt:lpwstr/>
      </vt:variant>
      <vt:variant>
        <vt:lpwstr>Venlafaxine</vt:lpwstr>
      </vt:variant>
      <vt:variant>
        <vt:i4>7798881</vt:i4>
      </vt:variant>
      <vt:variant>
        <vt:i4>521</vt:i4>
      </vt:variant>
      <vt:variant>
        <vt:i4>0</vt:i4>
      </vt:variant>
      <vt:variant>
        <vt:i4>5</vt:i4>
      </vt:variant>
      <vt:variant>
        <vt:lpwstr/>
      </vt:variant>
      <vt:variant>
        <vt:lpwstr>Maizels</vt:lpwstr>
      </vt:variant>
      <vt:variant>
        <vt:i4>6160398</vt:i4>
      </vt:variant>
      <vt:variant>
        <vt:i4>518</vt:i4>
      </vt:variant>
      <vt:variant>
        <vt:i4>0</vt:i4>
      </vt:variant>
      <vt:variant>
        <vt:i4>5</vt:i4>
      </vt:variant>
      <vt:variant>
        <vt:lpwstr/>
      </vt:variant>
      <vt:variant>
        <vt:lpwstr>Dworkin2</vt:lpwstr>
      </vt:variant>
      <vt:variant>
        <vt:i4>6160398</vt:i4>
      </vt:variant>
      <vt:variant>
        <vt:i4>515</vt:i4>
      </vt:variant>
      <vt:variant>
        <vt:i4>0</vt:i4>
      </vt:variant>
      <vt:variant>
        <vt:i4>5</vt:i4>
      </vt:variant>
      <vt:variant>
        <vt:lpwstr/>
      </vt:variant>
      <vt:variant>
        <vt:lpwstr>Dworkin2</vt:lpwstr>
      </vt:variant>
      <vt:variant>
        <vt:i4>3145768</vt:i4>
      </vt:variant>
      <vt:variant>
        <vt:i4>512</vt:i4>
      </vt:variant>
      <vt:variant>
        <vt:i4>0</vt:i4>
      </vt:variant>
      <vt:variant>
        <vt:i4>5</vt:i4>
      </vt:variant>
      <vt:variant>
        <vt:lpwstr>http://www.fda.gov/NewsEvents/Newsroom/PressAnnouncements/ucm232708.htm</vt:lpwstr>
      </vt:variant>
      <vt:variant>
        <vt:lpwstr/>
      </vt:variant>
      <vt:variant>
        <vt:i4>7536746</vt:i4>
      </vt:variant>
      <vt:variant>
        <vt:i4>509</vt:i4>
      </vt:variant>
      <vt:variant>
        <vt:i4>0</vt:i4>
      </vt:variant>
      <vt:variant>
        <vt:i4>5</vt:i4>
      </vt:variant>
      <vt:variant>
        <vt:lpwstr/>
      </vt:variant>
      <vt:variant>
        <vt:lpwstr>Duloxetine</vt:lpwstr>
      </vt:variant>
      <vt:variant>
        <vt:i4>6750334</vt:i4>
      </vt:variant>
      <vt:variant>
        <vt:i4>506</vt:i4>
      </vt:variant>
      <vt:variant>
        <vt:i4>0</vt:i4>
      </vt:variant>
      <vt:variant>
        <vt:i4>5</vt:i4>
      </vt:variant>
      <vt:variant>
        <vt:lpwstr/>
      </vt:variant>
      <vt:variant>
        <vt:lpwstr>Goldenberg2</vt:lpwstr>
      </vt:variant>
      <vt:variant>
        <vt:i4>6160398</vt:i4>
      </vt:variant>
      <vt:variant>
        <vt:i4>503</vt:i4>
      </vt:variant>
      <vt:variant>
        <vt:i4>0</vt:i4>
      </vt:variant>
      <vt:variant>
        <vt:i4>5</vt:i4>
      </vt:variant>
      <vt:variant>
        <vt:lpwstr/>
      </vt:variant>
      <vt:variant>
        <vt:lpwstr>Dworkin2</vt:lpwstr>
      </vt:variant>
      <vt:variant>
        <vt:i4>851992</vt:i4>
      </vt:variant>
      <vt:variant>
        <vt:i4>500</vt:i4>
      </vt:variant>
      <vt:variant>
        <vt:i4>0</vt:i4>
      </vt:variant>
      <vt:variant>
        <vt:i4>5</vt:i4>
      </vt:variant>
      <vt:variant>
        <vt:lpwstr/>
      </vt:variant>
      <vt:variant>
        <vt:lpwstr>ICSI2007</vt:lpwstr>
      </vt:variant>
      <vt:variant>
        <vt:i4>7929944</vt:i4>
      </vt:variant>
      <vt:variant>
        <vt:i4>497</vt:i4>
      </vt:variant>
      <vt:variant>
        <vt:i4>0</vt:i4>
      </vt:variant>
      <vt:variant>
        <vt:i4>5</vt:i4>
      </vt:variant>
      <vt:variant>
        <vt:lpwstr>http://www.accessdata.fda.gov/drugsatfda_docs/label/2003/017821s045lbl.pdf</vt:lpwstr>
      </vt:variant>
      <vt:variant>
        <vt:lpwstr/>
      </vt:variant>
      <vt:variant>
        <vt:i4>6160398</vt:i4>
      </vt:variant>
      <vt:variant>
        <vt:i4>494</vt:i4>
      </vt:variant>
      <vt:variant>
        <vt:i4>0</vt:i4>
      </vt:variant>
      <vt:variant>
        <vt:i4>5</vt:i4>
      </vt:variant>
      <vt:variant>
        <vt:lpwstr/>
      </vt:variant>
      <vt:variant>
        <vt:lpwstr>Dworkin2</vt:lpwstr>
      </vt:variant>
      <vt:variant>
        <vt:i4>7864431</vt:i4>
      </vt:variant>
      <vt:variant>
        <vt:i4>491</vt:i4>
      </vt:variant>
      <vt:variant>
        <vt:i4>0</vt:i4>
      </vt:variant>
      <vt:variant>
        <vt:i4>5</vt:i4>
      </vt:variant>
      <vt:variant>
        <vt:lpwstr/>
      </vt:variant>
      <vt:variant>
        <vt:lpwstr>Sindrup</vt:lpwstr>
      </vt:variant>
      <vt:variant>
        <vt:i4>327704</vt:i4>
      </vt:variant>
      <vt:variant>
        <vt:i4>488</vt:i4>
      </vt:variant>
      <vt:variant>
        <vt:i4>0</vt:i4>
      </vt:variant>
      <vt:variant>
        <vt:i4>5</vt:i4>
      </vt:variant>
      <vt:variant>
        <vt:lpwstr/>
      </vt:variant>
      <vt:variant>
        <vt:lpwstr>Finnerup</vt:lpwstr>
      </vt:variant>
      <vt:variant>
        <vt:i4>6357096</vt:i4>
      </vt:variant>
      <vt:variant>
        <vt:i4>485</vt:i4>
      </vt:variant>
      <vt:variant>
        <vt:i4>0</vt:i4>
      </vt:variant>
      <vt:variant>
        <vt:i4>5</vt:i4>
      </vt:variant>
      <vt:variant>
        <vt:lpwstr/>
      </vt:variant>
      <vt:variant>
        <vt:lpwstr>Namaka</vt:lpwstr>
      </vt:variant>
      <vt:variant>
        <vt:i4>327704</vt:i4>
      </vt:variant>
      <vt:variant>
        <vt:i4>482</vt:i4>
      </vt:variant>
      <vt:variant>
        <vt:i4>0</vt:i4>
      </vt:variant>
      <vt:variant>
        <vt:i4>5</vt:i4>
      </vt:variant>
      <vt:variant>
        <vt:lpwstr/>
      </vt:variant>
      <vt:variant>
        <vt:lpwstr>Finnerup</vt:lpwstr>
      </vt:variant>
      <vt:variant>
        <vt:i4>851992</vt:i4>
      </vt:variant>
      <vt:variant>
        <vt:i4>479</vt:i4>
      </vt:variant>
      <vt:variant>
        <vt:i4>0</vt:i4>
      </vt:variant>
      <vt:variant>
        <vt:i4>5</vt:i4>
      </vt:variant>
      <vt:variant>
        <vt:lpwstr/>
      </vt:variant>
      <vt:variant>
        <vt:lpwstr>ICSI2007</vt:lpwstr>
      </vt:variant>
      <vt:variant>
        <vt:i4>6160398</vt:i4>
      </vt:variant>
      <vt:variant>
        <vt:i4>476</vt:i4>
      </vt:variant>
      <vt:variant>
        <vt:i4>0</vt:i4>
      </vt:variant>
      <vt:variant>
        <vt:i4>5</vt:i4>
      </vt:variant>
      <vt:variant>
        <vt:lpwstr/>
      </vt:variant>
      <vt:variant>
        <vt:lpwstr>Dworkin2</vt:lpwstr>
      </vt:variant>
      <vt:variant>
        <vt:i4>6488173</vt:i4>
      </vt:variant>
      <vt:variant>
        <vt:i4>473</vt:i4>
      </vt:variant>
      <vt:variant>
        <vt:i4>0</vt:i4>
      </vt:variant>
      <vt:variant>
        <vt:i4>5</vt:i4>
      </vt:variant>
      <vt:variant>
        <vt:lpwstr/>
      </vt:variant>
      <vt:variant>
        <vt:lpwstr>Perrot2</vt:lpwstr>
      </vt:variant>
      <vt:variant>
        <vt:i4>8126566</vt:i4>
      </vt:variant>
      <vt:variant>
        <vt:i4>470</vt:i4>
      </vt:variant>
      <vt:variant>
        <vt:i4>0</vt:i4>
      </vt:variant>
      <vt:variant>
        <vt:i4>5</vt:i4>
      </vt:variant>
      <vt:variant>
        <vt:lpwstr/>
      </vt:variant>
      <vt:variant>
        <vt:lpwstr>Saarto2</vt:lpwstr>
      </vt:variant>
      <vt:variant>
        <vt:i4>6160398</vt:i4>
      </vt:variant>
      <vt:variant>
        <vt:i4>467</vt:i4>
      </vt:variant>
      <vt:variant>
        <vt:i4>0</vt:i4>
      </vt:variant>
      <vt:variant>
        <vt:i4>5</vt:i4>
      </vt:variant>
      <vt:variant>
        <vt:lpwstr/>
      </vt:variant>
      <vt:variant>
        <vt:lpwstr>Dworkin2</vt:lpwstr>
      </vt:variant>
      <vt:variant>
        <vt:i4>327704</vt:i4>
      </vt:variant>
      <vt:variant>
        <vt:i4>464</vt:i4>
      </vt:variant>
      <vt:variant>
        <vt:i4>0</vt:i4>
      </vt:variant>
      <vt:variant>
        <vt:i4>5</vt:i4>
      </vt:variant>
      <vt:variant>
        <vt:lpwstr/>
      </vt:variant>
      <vt:variant>
        <vt:lpwstr>Finnerup</vt:lpwstr>
      </vt:variant>
      <vt:variant>
        <vt:i4>8061024</vt:i4>
      </vt:variant>
      <vt:variant>
        <vt:i4>461</vt:i4>
      </vt:variant>
      <vt:variant>
        <vt:i4>0</vt:i4>
      </vt:variant>
      <vt:variant>
        <vt:i4>5</vt:i4>
      </vt:variant>
      <vt:variant>
        <vt:lpwstr/>
      </vt:variant>
      <vt:variant>
        <vt:lpwstr>Argoff2</vt:lpwstr>
      </vt:variant>
      <vt:variant>
        <vt:i4>7864431</vt:i4>
      </vt:variant>
      <vt:variant>
        <vt:i4>458</vt:i4>
      </vt:variant>
      <vt:variant>
        <vt:i4>0</vt:i4>
      </vt:variant>
      <vt:variant>
        <vt:i4>5</vt:i4>
      </vt:variant>
      <vt:variant>
        <vt:lpwstr/>
      </vt:variant>
      <vt:variant>
        <vt:lpwstr>Sindrup</vt:lpwstr>
      </vt:variant>
      <vt:variant>
        <vt:i4>8126566</vt:i4>
      </vt:variant>
      <vt:variant>
        <vt:i4>455</vt:i4>
      </vt:variant>
      <vt:variant>
        <vt:i4>0</vt:i4>
      </vt:variant>
      <vt:variant>
        <vt:i4>5</vt:i4>
      </vt:variant>
      <vt:variant>
        <vt:lpwstr/>
      </vt:variant>
      <vt:variant>
        <vt:lpwstr>Saarto2</vt:lpwstr>
      </vt:variant>
      <vt:variant>
        <vt:i4>6160398</vt:i4>
      </vt:variant>
      <vt:variant>
        <vt:i4>452</vt:i4>
      </vt:variant>
      <vt:variant>
        <vt:i4>0</vt:i4>
      </vt:variant>
      <vt:variant>
        <vt:i4>5</vt:i4>
      </vt:variant>
      <vt:variant>
        <vt:lpwstr/>
      </vt:variant>
      <vt:variant>
        <vt:lpwstr>Dworkin2</vt:lpwstr>
      </vt:variant>
      <vt:variant>
        <vt:i4>720974</vt:i4>
      </vt:variant>
      <vt:variant>
        <vt:i4>449</vt:i4>
      </vt:variant>
      <vt:variant>
        <vt:i4>0</vt:i4>
      </vt:variant>
      <vt:variant>
        <vt:i4>5</vt:i4>
      </vt:variant>
      <vt:variant>
        <vt:lpwstr/>
      </vt:variant>
      <vt:variant>
        <vt:lpwstr>Wolfe2004</vt:lpwstr>
      </vt:variant>
      <vt:variant>
        <vt:i4>7536742</vt:i4>
      </vt:variant>
      <vt:variant>
        <vt:i4>446</vt:i4>
      </vt:variant>
      <vt:variant>
        <vt:i4>0</vt:i4>
      </vt:variant>
      <vt:variant>
        <vt:i4>5</vt:i4>
      </vt:variant>
      <vt:variant>
        <vt:lpwstr/>
      </vt:variant>
      <vt:variant>
        <vt:lpwstr>Gilron2006</vt:lpwstr>
      </vt:variant>
      <vt:variant>
        <vt:i4>7077984</vt:i4>
      </vt:variant>
      <vt:variant>
        <vt:i4>443</vt:i4>
      </vt:variant>
      <vt:variant>
        <vt:i4>0</vt:i4>
      </vt:variant>
      <vt:variant>
        <vt:i4>5</vt:i4>
      </vt:variant>
      <vt:variant>
        <vt:lpwstr/>
      </vt:variant>
      <vt:variant>
        <vt:lpwstr>Dworkin</vt:lpwstr>
      </vt:variant>
      <vt:variant>
        <vt:i4>6357096</vt:i4>
      </vt:variant>
      <vt:variant>
        <vt:i4>440</vt:i4>
      </vt:variant>
      <vt:variant>
        <vt:i4>0</vt:i4>
      </vt:variant>
      <vt:variant>
        <vt:i4>5</vt:i4>
      </vt:variant>
      <vt:variant>
        <vt:lpwstr/>
      </vt:variant>
      <vt:variant>
        <vt:lpwstr>Namaka</vt:lpwstr>
      </vt:variant>
      <vt:variant>
        <vt:i4>7143526</vt:i4>
      </vt:variant>
      <vt:variant>
        <vt:i4>437</vt:i4>
      </vt:variant>
      <vt:variant>
        <vt:i4>0</vt:i4>
      </vt:variant>
      <vt:variant>
        <vt:i4>5</vt:i4>
      </vt:variant>
      <vt:variant>
        <vt:lpwstr/>
      </vt:variant>
      <vt:variant>
        <vt:lpwstr>Collins</vt:lpwstr>
      </vt:variant>
      <vt:variant>
        <vt:i4>7274621</vt:i4>
      </vt:variant>
      <vt:variant>
        <vt:i4>434</vt:i4>
      </vt:variant>
      <vt:variant>
        <vt:i4>0</vt:i4>
      </vt:variant>
      <vt:variant>
        <vt:i4>5</vt:i4>
      </vt:variant>
      <vt:variant>
        <vt:lpwstr/>
      </vt:variant>
      <vt:variant>
        <vt:lpwstr>McQuay2</vt:lpwstr>
      </vt:variant>
      <vt:variant>
        <vt:i4>6881388</vt:i4>
      </vt:variant>
      <vt:variant>
        <vt:i4>431</vt:i4>
      </vt:variant>
      <vt:variant>
        <vt:i4>0</vt:i4>
      </vt:variant>
      <vt:variant>
        <vt:i4>5</vt:i4>
      </vt:variant>
      <vt:variant>
        <vt:lpwstr/>
      </vt:variant>
      <vt:variant>
        <vt:lpwstr>Lin</vt:lpwstr>
      </vt:variant>
      <vt:variant>
        <vt:i4>6488173</vt:i4>
      </vt:variant>
      <vt:variant>
        <vt:i4>428</vt:i4>
      </vt:variant>
      <vt:variant>
        <vt:i4>0</vt:i4>
      </vt:variant>
      <vt:variant>
        <vt:i4>5</vt:i4>
      </vt:variant>
      <vt:variant>
        <vt:lpwstr/>
      </vt:variant>
      <vt:variant>
        <vt:lpwstr>Perrot</vt:lpwstr>
      </vt:variant>
      <vt:variant>
        <vt:i4>6488187</vt:i4>
      </vt:variant>
      <vt:variant>
        <vt:i4>425</vt:i4>
      </vt:variant>
      <vt:variant>
        <vt:i4>0</vt:i4>
      </vt:variant>
      <vt:variant>
        <vt:i4>5</vt:i4>
      </vt:variant>
      <vt:variant>
        <vt:lpwstr/>
      </vt:variant>
      <vt:variant>
        <vt:lpwstr>Hauser2013</vt:lpwstr>
      </vt:variant>
      <vt:variant>
        <vt:i4>6750334</vt:i4>
      </vt:variant>
      <vt:variant>
        <vt:i4>422</vt:i4>
      </vt:variant>
      <vt:variant>
        <vt:i4>0</vt:i4>
      </vt:variant>
      <vt:variant>
        <vt:i4>5</vt:i4>
      </vt:variant>
      <vt:variant>
        <vt:lpwstr/>
      </vt:variant>
      <vt:variant>
        <vt:lpwstr>Goldenberg2</vt:lpwstr>
      </vt:variant>
      <vt:variant>
        <vt:i4>7929955</vt:i4>
      </vt:variant>
      <vt:variant>
        <vt:i4>419</vt:i4>
      </vt:variant>
      <vt:variant>
        <vt:i4>0</vt:i4>
      </vt:variant>
      <vt:variant>
        <vt:i4>5</vt:i4>
      </vt:variant>
      <vt:variant>
        <vt:lpwstr/>
      </vt:variant>
      <vt:variant>
        <vt:lpwstr>Arnold3</vt:lpwstr>
      </vt:variant>
      <vt:variant>
        <vt:i4>7143537</vt:i4>
      </vt:variant>
      <vt:variant>
        <vt:i4>416</vt:i4>
      </vt:variant>
      <vt:variant>
        <vt:i4>0</vt:i4>
      </vt:variant>
      <vt:variant>
        <vt:i4>5</vt:i4>
      </vt:variant>
      <vt:variant>
        <vt:lpwstr/>
      </vt:variant>
      <vt:variant>
        <vt:lpwstr>Moulin2</vt:lpwstr>
      </vt:variant>
      <vt:variant>
        <vt:i4>6488173</vt:i4>
      </vt:variant>
      <vt:variant>
        <vt:i4>413</vt:i4>
      </vt:variant>
      <vt:variant>
        <vt:i4>0</vt:i4>
      </vt:variant>
      <vt:variant>
        <vt:i4>5</vt:i4>
      </vt:variant>
      <vt:variant>
        <vt:lpwstr/>
      </vt:variant>
      <vt:variant>
        <vt:lpwstr>Perrot</vt:lpwstr>
      </vt:variant>
      <vt:variant>
        <vt:i4>7929955</vt:i4>
      </vt:variant>
      <vt:variant>
        <vt:i4>410</vt:i4>
      </vt:variant>
      <vt:variant>
        <vt:i4>0</vt:i4>
      </vt:variant>
      <vt:variant>
        <vt:i4>5</vt:i4>
      </vt:variant>
      <vt:variant>
        <vt:lpwstr/>
      </vt:variant>
      <vt:variant>
        <vt:lpwstr>Arnold3</vt:lpwstr>
      </vt:variant>
      <vt:variant>
        <vt:i4>6488173</vt:i4>
      </vt:variant>
      <vt:variant>
        <vt:i4>407</vt:i4>
      </vt:variant>
      <vt:variant>
        <vt:i4>0</vt:i4>
      </vt:variant>
      <vt:variant>
        <vt:i4>5</vt:i4>
      </vt:variant>
      <vt:variant>
        <vt:lpwstr/>
      </vt:variant>
      <vt:variant>
        <vt:lpwstr>Perrot</vt:lpwstr>
      </vt:variant>
      <vt:variant>
        <vt:i4>327704</vt:i4>
      </vt:variant>
      <vt:variant>
        <vt:i4>404</vt:i4>
      </vt:variant>
      <vt:variant>
        <vt:i4>0</vt:i4>
      </vt:variant>
      <vt:variant>
        <vt:i4>5</vt:i4>
      </vt:variant>
      <vt:variant>
        <vt:lpwstr/>
      </vt:variant>
      <vt:variant>
        <vt:lpwstr>Finnerup2</vt:lpwstr>
      </vt:variant>
      <vt:variant>
        <vt:i4>6160398</vt:i4>
      </vt:variant>
      <vt:variant>
        <vt:i4>401</vt:i4>
      </vt:variant>
      <vt:variant>
        <vt:i4>0</vt:i4>
      </vt:variant>
      <vt:variant>
        <vt:i4>5</vt:i4>
      </vt:variant>
      <vt:variant>
        <vt:lpwstr/>
      </vt:variant>
      <vt:variant>
        <vt:lpwstr>Dworkin2</vt:lpwstr>
      </vt:variant>
      <vt:variant>
        <vt:i4>851992</vt:i4>
      </vt:variant>
      <vt:variant>
        <vt:i4>398</vt:i4>
      </vt:variant>
      <vt:variant>
        <vt:i4>0</vt:i4>
      </vt:variant>
      <vt:variant>
        <vt:i4>5</vt:i4>
      </vt:variant>
      <vt:variant>
        <vt:lpwstr/>
      </vt:variant>
      <vt:variant>
        <vt:lpwstr>ICSI2007</vt:lpwstr>
      </vt:variant>
      <vt:variant>
        <vt:i4>8126566</vt:i4>
      </vt:variant>
      <vt:variant>
        <vt:i4>395</vt:i4>
      </vt:variant>
      <vt:variant>
        <vt:i4>0</vt:i4>
      </vt:variant>
      <vt:variant>
        <vt:i4>5</vt:i4>
      </vt:variant>
      <vt:variant>
        <vt:lpwstr/>
      </vt:variant>
      <vt:variant>
        <vt:lpwstr>Saarto2</vt:lpwstr>
      </vt:variant>
      <vt:variant>
        <vt:i4>7864431</vt:i4>
      </vt:variant>
      <vt:variant>
        <vt:i4>392</vt:i4>
      </vt:variant>
      <vt:variant>
        <vt:i4>0</vt:i4>
      </vt:variant>
      <vt:variant>
        <vt:i4>5</vt:i4>
      </vt:variant>
      <vt:variant>
        <vt:lpwstr/>
      </vt:variant>
      <vt:variant>
        <vt:lpwstr>Sindrup</vt:lpwstr>
      </vt:variant>
      <vt:variant>
        <vt:i4>8126573</vt:i4>
      </vt:variant>
      <vt:variant>
        <vt:i4>389</vt:i4>
      </vt:variant>
      <vt:variant>
        <vt:i4>0</vt:i4>
      </vt:variant>
      <vt:variant>
        <vt:i4>5</vt:i4>
      </vt:variant>
      <vt:variant>
        <vt:lpwstr/>
      </vt:variant>
      <vt:variant>
        <vt:lpwstr>Numberneededtotreat</vt:lpwstr>
      </vt:variant>
      <vt:variant>
        <vt:i4>327704</vt:i4>
      </vt:variant>
      <vt:variant>
        <vt:i4>386</vt:i4>
      </vt:variant>
      <vt:variant>
        <vt:i4>0</vt:i4>
      </vt:variant>
      <vt:variant>
        <vt:i4>5</vt:i4>
      </vt:variant>
      <vt:variant>
        <vt:lpwstr/>
      </vt:variant>
      <vt:variant>
        <vt:lpwstr>Finnerup</vt:lpwstr>
      </vt:variant>
      <vt:variant>
        <vt:i4>524313</vt:i4>
      </vt:variant>
      <vt:variant>
        <vt:i4>383</vt:i4>
      </vt:variant>
      <vt:variant>
        <vt:i4>0</vt:i4>
      </vt:variant>
      <vt:variant>
        <vt:i4>5</vt:i4>
      </vt:variant>
      <vt:variant>
        <vt:lpwstr/>
      </vt:variant>
      <vt:variant>
        <vt:lpwstr>Wong</vt:lpwstr>
      </vt:variant>
      <vt:variant>
        <vt:i4>7864437</vt:i4>
      </vt:variant>
      <vt:variant>
        <vt:i4>380</vt:i4>
      </vt:variant>
      <vt:variant>
        <vt:i4>0</vt:i4>
      </vt:variant>
      <vt:variant>
        <vt:i4>5</vt:i4>
      </vt:variant>
      <vt:variant>
        <vt:lpwstr/>
      </vt:variant>
      <vt:variant>
        <vt:lpwstr>Staiger</vt:lpwstr>
      </vt:variant>
      <vt:variant>
        <vt:i4>7143545</vt:i4>
      </vt:variant>
      <vt:variant>
        <vt:i4>377</vt:i4>
      </vt:variant>
      <vt:variant>
        <vt:i4>0</vt:i4>
      </vt:variant>
      <vt:variant>
        <vt:i4>5</vt:i4>
      </vt:variant>
      <vt:variant>
        <vt:lpwstr/>
      </vt:variant>
      <vt:variant>
        <vt:lpwstr>Ticknor</vt:lpwstr>
      </vt:variant>
      <vt:variant>
        <vt:i4>6291581</vt:i4>
      </vt:variant>
      <vt:variant>
        <vt:i4>374</vt:i4>
      </vt:variant>
      <vt:variant>
        <vt:i4>0</vt:i4>
      </vt:variant>
      <vt:variant>
        <vt:i4>5</vt:i4>
      </vt:variant>
      <vt:variant>
        <vt:lpwstr/>
      </vt:variant>
      <vt:variant>
        <vt:lpwstr>Pollack</vt:lpwstr>
      </vt:variant>
      <vt:variant>
        <vt:i4>1900566</vt:i4>
      </vt:variant>
      <vt:variant>
        <vt:i4>371</vt:i4>
      </vt:variant>
      <vt:variant>
        <vt:i4>0</vt:i4>
      </vt:variant>
      <vt:variant>
        <vt:i4>5</vt:i4>
      </vt:variant>
      <vt:variant>
        <vt:lpwstr/>
      </vt:variant>
      <vt:variant>
        <vt:lpwstr>Stein</vt:lpwstr>
      </vt:variant>
      <vt:variant>
        <vt:i4>1703951</vt:i4>
      </vt:variant>
      <vt:variant>
        <vt:i4>368</vt:i4>
      </vt:variant>
      <vt:variant>
        <vt:i4>0</vt:i4>
      </vt:variant>
      <vt:variant>
        <vt:i4>5</vt:i4>
      </vt:variant>
      <vt:variant>
        <vt:lpwstr/>
      </vt:variant>
      <vt:variant>
        <vt:lpwstr>Asnis</vt:lpwstr>
      </vt:variant>
      <vt:variant>
        <vt:i4>6946917</vt:i4>
      </vt:variant>
      <vt:variant>
        <vt:i4>365</vt:i4>
      </vt:variant>
      <vt:variant>
        <vt:i4>0</vt:i4>
      </vt:variant>
      <vt:variant>
        <vt:i4>5</vt:i4>
      </vt:variant>
      <vt:variant>
        <vt:lpwstr/>
      </vt:variant>
      <vt:variant>
        <vt:lpwstr>Barbui</vt:lpwstr>
      </vt:variant>
      <vt:variant>
        <vt:i4>131081</vt:i4>
      </vt:variant>
      <vt:variant>
        <vt:i4>362</vt:i4>
      </vt:variant>
      <vt:variant>
        <vt:i4>0</vt:i4>
      </vt:variant>
      <vt:variant>
        <vt:i4>5</vt:i4>
      </vt:variant>
      <vt:variant>
        <vt:lpwstr/>
      </vt:variant>
      <vt:variant>
        <vt:lpwstr>Jick</vt:lpwstr>
      </vt:variant>
      <vt:variant>
        <vt:i4>8061024</vt:i4>
      </vt:variant>
      <vt:variant>
        <vt:i4>359</vt:i4>
      </vt:variant>
      <vt:variant>
        <vt:i4>0</vt:i4>
      </vt:variant>
      <vt:variant>
        <vt:i4>5</vt:i4>
      </vt:variant>
      <vt:variant>
        <vt:lpwstr/>
      </vt:variant>
      <vt:variant>
        <vt:lpwstr>Gijsman</vt:lpwstr>
      </vt:variant>
      <vt:variant>
        <vt:i4>8323170</vt:i4>
      </vt:variant>
      <vt:variant>
        <vt:i4>356</vt:i4>
      </vt:variant>
      <vt:variant>
        <vt:i4>0</vt:i4>
      </vt:variant>
      <vt:variant>
        <vt:i4>5</vt:i4>
      </vt:variant>
      <vt:variant>
        <vt:lpwstr/>
      </vt:variant>
      <vt:variant>
        <vt:lpwstr>Taylor</vt:lpwstr>
      </vt:variant>
      <vt:variant>
        <vt:i4>917534</vt:i4>
      </vt:variant>
      <vt:variant>
        <vt:i4>353</vt:i4>
      </vt:variant>
      <vt:variant>
        <vt:i4>0</vt:i4>
      </vt:variant>
      <vt:variant>
        <vt:i4>5</vt:i4>
      </vt:variant>
      <vt:variant>
        <vt:lpwstr/>
      </vt:variant>
      <vt:variant>
        <vt:lpwstr>Fishbain</vt:lpwstr>
      </vt:variant>
      <vt:variant>
        <vt:i4>7143537</vt:i4>
      </vt:variant>
      <vt:variant>
        <vt:i4>350</vt:i4>
      </vt:variant>
      <vt:variant>
        <vt:i4>0</vt:i4>
      </vt:variant>
      <vt:variant>
        <vt:i4>5</vt:i4>
      </vt:variant>
      <vt:variant>
        <vt:lpwstr/>
      </vt:variant>
      <vt:variant>
        <vt:lpwstr>Moulin2</vt:lpwstr>
      </vt:variant>
      <vt:variant>
        <vt:i4>6946925</vt:i4>
      </vt:variant>
      <vt:variant>
        <vt:i4>347</vt:i4>
      </vt:variant>
      <vt:variant>
        <vt:i4>0</vt:i4>
      </vt:variant>
      <vt:variant>
        <vt:i4>5</vt:i4>
      </vt:variant>
      <vt:variant>
        <vt:lpwstr/>
      </vt:variant>
      <vt:variant>
        <vt:lpwstr>Salerno</vt:lpwstr>
      </vt:variant>
      <vt:variant>
        <vt:i4>6881388</vt:i4>
      </vt:variant>
      <vt:variant>
        <vt:i4>344</vt:i4>
      </vt:variant>
      <vt:variant>
        <vt:i4>0</vt:i4>
      </vt:variant>
      <vt:variant>
        <vt:i4>5</vt:i4>
      </vt:variant>
      <vt:variant>
        <vt:lpwstr/>
      </vt:variant>
      <vt:variant>
        <vt:lpwstr>Lin</vt:lpwstr>
      </vt:variant>
      <vt:variant>
        <vt:i4>3014778</vt:i4>
      </vt:variant>
      <vt:variant>
        <vt:i4>341</vt:i4>
      </vt:variant>
      <vt:variant>
        <vt:i4>0</vt:i4>
      </vt:variant>
      <vt:variant>
        <vt:i4>5</vt:i4>
      </vt:variant>
      <vt:variant>
        <vt:lpwstr/>
      </vt:variant>
      <vt:variant>
        <vt:lpwstr>Schnitzer2</vt:lpwstr>
      </vt:variant>
      <vt:variant>
        <vt:i4>6488173</vt:i4>
      </vt:variant>
      <vt:variant>
        <vt:i4>338</vt:i4>
      </vt:variant>
      <vt:variant>
        <vt:i4>0</vt:i4>
      </vt:variant>
      <vt:variant>
        <vt:i4>5</vt:i4>
      </vt:variant>
      <vt:variant>
        <vt:lpwstr/>
      </vt:variant>
      <vt:variant>
        <vt:lpwstr>Perrot</vt:lpwstr>
      </vt:variant>
      <vt:variant>
        <vt:i4>8126566</vt:i4>
      </vt:variant>
      <vt:variant>
        <vt:i4>335</vt:i4>
      </vt:variant>
      <vt:variant>
        <vt:i4>0</vt:i4>
      </vt:variant>
      <vt:variant>
        <vt:i4>5</vt:i4>
      </vt:variant>
      <vt:variant>
        <vt:lpwstr/>
      </vt:variant>
      <vt:variant>
        <vt:lpwstr>Saarto</vt:lpwstr>
      </vt:variant>
      <vt:variant>
        <vt:i4>6488173</vt:i4>
      </vt:variant>
      <vt:variant>
        <vt:i4>332</vt:i4>
      </vt:variant>
      <vt:variant>
        <vt:i4>0</vt:i4>
      </vt:variant>
      <vt:variant>
        <vt:i4>5</vt:i4>
      </vt:variant>
      <vt:variant>
        <vt:lpwstr/>
      </vt:variant>
      <vt:variant>
        <vt:lpwstr>Perrot</vt:lpwstr>
      </vt:variant>
      <vt:variant>
        <vt:i4>7864444</vt:i4>
      </vt:variant>
      <vt:variant>
        <vt:i4>329</vt:i4>
      </vt:variant>
      <vt:variant>
        <vt:i4>0</vt:i4>
      </vt:variant>
      <vt:variant>
        <vt:i4>5</vt:i4>
      </vt:variant>
      <vt:variant>
        <vt:lpwstr/>
      </vt:variant>
      <vt:variant>
        <vt:lpwstr>Feuerstein2</vt:lpwstr>
      </vt:variant>
      <vt:variant>
        <vt:i4>458782</vt:i4>
      </vt:variant>
      <vt:variant>
        <vt:i4>326</vt:i4>
      </vt:variant>
      <vt:variant>
        <vt:i4>0</vt:i4>
      </vt:variant>
      <vt:variant>
        <vt:i4>5</vt:i4>
      </vt:variant>
      <vt:variant>
        <vt:lpwstr/>
      </vt:variant>
      <vt:variant>
        <vt:lpwstr>Antiepilepsydrugs</vt:lpwstr>
      </vt:variant>
      <vt:variant>
        <vt:i4>6815867</vt:i4>
      </vt:variant>
      <vt:variant>
        <vt:i4>323</vt:i4>
      </vt:variant>
      <vt:variant>
        <vt:i4>0</vt:i4>
      </vt:variant>
      <vt:variant>
        <vt:i4>5</vt:i4>
      </vt:variant>
      <vt:variant>
        <vt:lpwstr/>
      </vt:variant>
      <vt:variant>
        <vt:lpwstr>Anxietymedicationsinchronicpain</vt:lpwstr>
      </vt:variant>
      <vt:variant>
        <vt:i4>1769501</vt:i4>
      </vt:variant>
      <vt:variant>
        <vt:i4>320</vt:i4>
      </vt:variant>
      <vt:variant>
        <vt:i4>0</vt:i4>
      </vt:variant>
      <vt:variant>
        <vt:i4>5</vt:i4>
      </vt:variant>
      <vt:variant>
        <vt:lpwstr/>
      </vt:variant>
      <vt:variant>
        <vt:lpwstr>TricyclicsListing</vt:lpwstr>
      </vt:variant>
      <vt:variant>
        <vt:i4>1376280</vt:i4>
      </vt:variant>
      <vt:variant>
        <vt:i4>317</vt:i4>
      </vt:variant>
      <vt:variant>
        <vt:i4>0</vt:i4>
      </vt:variant>
      <vt:variant>
        <vt:i4>5</vt:i4>
      </vt:variant>
      <vt:variant>
        <vt:lpwstr/>
      </vt:variant>
      <vt:variant>
        <vt:lpwstr>Antidepressantsforchronicpain</vt:lpwstr>
      </vt:variant>
      <vt:variant>
        <vt:i4>1441818</vt:i4>
      </vt:variant>
      <vt:variant>
        <vt:i4>314</vt:i4>
      </vt:variant>
      <vt:variant>
        <vt:i4>0</vt:i4>
      </vt:variant>
      <vt:variant>
        <vt:i4>5</vt:i4>
      </vt:variant>
      <vt:variant>
        <vt:lpwstr/>
      </vt:variant>
      <vt:variant>
        <vt:lpwstr>Zolpidem</vt:lpwstr>
      </vt:variant>
      <vt:variant>
        <vt:i4>7536750</vt:i4>
      </vt:variant>
      <vt:variant>
        <vt:i4>311</vt:i4>
      </vt:variant>
      <vt:variant>
        <vt:i4>0</vt:i4>
      </vt:variant>
      <vt:variant>
        <vt:i4>5</vt:i4>
      </vt:variant>
      <vt:variant>
        <vt:lpwstr/>
      </vt:variant>
      <vt:variant>
        <vt:lpwstr>Benzodiazepines</vt:lpwstr>
      </vt:variant>
      <vt:variant>
        <vt:i4>1835032</vt:i4>
      </vt:variant>
      <vt:variant>
        <vt:i4>308</vt:i4>
      </vt:variant>
      <vt:variant>
        <vt:i4>0</vt:i4>
      </vt:variant>
      <vt:variant>
        <vt:i4>5</vt:i4>
      </vt:variant>
      <vt:variant>
        <vt:lpwstr/>
      </vt:variant>
      <vt:variant>
        <vt:lpwstr>Education</vt:lpwstr>
      </vt:variant>
      <vt:variant>
        <vt:i4>7143544</vt:i4>
      </vt:variant>
      <vt:variant>
        <vt:i4>305</vt:i4>
      </vt:variant>
      <vt:variant>
        <vt:i4>0</vt:i4>
      </vt:variant>
      <vt:variant>
        <vt:i4>5</vt:i4>
      </vt:variant>
      <vt:variant>
        <vt:lpwstr/>
      </vt:variant>
      <vt:variant>
        <vt:lpwstr>Bisphosphonates</vt:lpwstr>
      </vt:variant>
      <vt:variant>
        <vt:i4>327696</vt:i4>
      </vt:variant>
      <vt:variant>
        <vt:i4>302</vt:i4>
      </vt:variant>
      <vt:variant>
        <vt:i4>0</vt:i4>
      </vt:variant>
      <vt:variant>
        <vt:i4>5</vt:i4>
      </vt:variant>
      <vt:variant>
        <vt:lpwstr/>
      </vt:variant>
      <vt:variant>
        <vt:lpwstr>Quantitativesensorythreshold</vt:lpwstr>
      </vt:variant>
      <vt:variant>
        <vt:i4>5898271</vt:i4>
      </vt:variant>
      <vt:variant>
        <vt:i4>290</vt:i4>
      </vt:variant>
      <vt:variant>
        <vt:i4>0</vt:i4>
      </vt:variant>
      <vt:variant>
        <vt:i4>5</vt:i4>
      </vt:variant>
      <vt:variant>
        <vt:lpwstr>https://www.tylenol.com/safety-dosing/usage/dosage-for-adults</vt:lpwstr>
      </vt:variant>
      <vt:variant>
        <vt:lpwstr/>
      </vt:variant>
      <vt:variant>
        <vt:i4>3407977</vt:i4>
      </vt:variant>
      <vt:variant>
        <vt:i4>287</vt:i4>
      </vt:variant>
      <vt:variant>
        <vt:i4>0</vt:i4>
      </vt:variant>
      <vt:variant>
        <vt:i4>5</vt:i4>
      </vt:variant>
      <vt:variant>
        <vt:lpwstr>http://www.fda.gov/Safety/MedWatch/SafetyInformation/SafetyAlertsforHumanMedicalProducts/ucm239955.htm</vt:lpwstr>
      </vt:variant>
      <vt:variant>
        <vt:lpwstr/>
      </vt:variant>
      <vt:variant>
        <vt:i4>4849677</vt:i4>
      </vt:variant>
      <vt:variant>
        <vt:i4>284</vt:i4>
      </vt:variant>
      <vt:variant>
        <vt:i4>0</vt:i4>
      </vt:variant>
      <vt:variant>
        <vt:i4>5</vt:i4>
      </vt:variant>
      <vt:variant>
        <vt:lpwstr>http://www.fda.gov/AdvisoryCommittees/Calendar/ucm143083.htm</vt:lpwstr>
      </vt:variant>
      <vt:variant>
        <vt:lpwstr/>
      </vt:variant>
      <vt:variant>
        <vt:i4>6422587</vt:i4>
      </vt:variant>
      <vt:variant>
        <vt:i4>281</vt:i4>
      </vt:variant>
      <vt:variant>
        <vt:i4>0</vt:i4>
      </vt:variant>
      <vt:variant>
        <vt:i4>5</vt:i4>
      </vt:variant>
      <vt:variant>
        <vt:lpwstr/>
      </vt:variant>
      <vt:variant>
        <vt:lpwstr>Ray2013</vt:lpwstr>
      </vt:variant>
      <vt:variant>
        <vt:i4>2752574</vt:i4>
      </vt:variant>
      <vt:variant>
        <vt:i4>278</vt:i4>
      </vt:variant>
      <vt:variant>
        <vt:i4>0</vt:i4>
      </vt:variant>
      <vt:variant>
        <vt:i4>5</vt:i4>
      </vt:variant>
      <vt:variant>
        <vt:lpwstr>http://www.fda.gov/downloads/AdvisoryCommittees/CommitteesMeetingMaterials/Drugs/DrugSafetyandRiskManagementAdvisoryCommittee/UCM164898.pdf</vt:lpwstr>
      </vt:variant>
      <vt:variant>
        <vt:lpwstr/>
      </vt:variant>
      <vt:variant>
        <vt:i4>852048</vt:i4>
      </vt:variant>
      <vt:variant>
        <vt:i4>275</vt:i4>
      </vt:variant>
      <vt:variant>
        <vt:i4>0</vt:i4>
      </vt:variant>
      <vt:variant>
        <vt:i4>5</vt:i4>
      </vt:variant>
      <vt:variant>
        <vt:lpwstr/>
      </vt:variant>
      <vt:variant>
        <vt:lpwstr>Laine2008</vt:lpwstr>
      </vt:variant>
      <vt:variant>
        <vt:i4>852048</vt:i4>
      </vt:variant>
      <vt:variant>
        <vt:i4>272</vt:i4>
      </vt:variant>
      <vt:variant>
        <vt:i4>0</vt:i4>
      </vt:variant>
      <vt:variant>
        <vt:i4>5</vt:i4>
      </vt:variant>
      <vt:variant>
        <vt:lpwstr/>
      </vt:variant>
      <vt:variant>
        <vt:lpwstr>Laine2007</vt:lpwstr>
      </vt:variant>
      <vt:variant>
        <vt:i4>393218</vt:i4>
      </vt:variant>
      <vt:variant>
        <vt:i4>269</vt:i4>
      </vt:variant>
      <vt:variant>
        <vt:i4>0</vt:i4>
      </vt:variant>
      <vt:variant>
        <vt:i4>5</vt:i4>
      </vt:variant>
      <vt:variant>
        <vt:lpwstr/>
      </vt:variant>
      <vt:variant>
        <vt:lpwstr>Chan2</vt:lpwstr>
      </vt:variant>
      <vt:variant>
        <vt:i4>6815867</vt:i4>
      </vt:variant>
      <vt:variant>
        <vt:i4>266</vt:i4>
      </vt:variant>
      <vt:variant>
        <vt:i4>0</vt:i4>
      </vt:variant>
      <vt:variant>
        <vt:i4>5</vt:i4>
      </vt:variant>
      <vt:variant>
        <vt:lpwstr/>
      </vt:variant>
      <vt:variant>
        <vt:lpwstr>Montgomery</vt:lpwstr>
      </vt:variant>
      <vt:variant>
        <vt:i4>7078005</vt:i4>
      </vt:variant>
      <vt:variant>
        <vt:i4>263</vt:i4>
      </vt:variant>
      <vt:variant>
        <vt:i4>0</vt:i4>
      </vt:variant>
      <vt:variant>
        <vt:i4>5</vt:i4>
      </vt:variant>
      <vt:variant>
        <vt:lpwstr/>
      </vt:variant>
      <vt:variant>
        <vt:lpwstr>Forman</vt:lpwstr>
      </vt:variant>
      <vt:variant>
        <vt:i4>262167</vt:i4>
      </vt:variant>
      <vt:variant>
        <vt:i4>260</vt:i4>
      </vt:variant>
      <vt:variant>
        <vt:i4>0</vt:i4>
      </vt:variant>
      <vt:variant>
        <vt:i4>5</vt:i4>
      </vt:variant>
      <vt:variant>
        <vt:lpwstr/>
      </vt:variant>
      <vt:variant>
        <vt:lpwstr>Mazer</vt:lpwstr>
      </vt:variant>
      <vt:variant>
        <vt:i4>7929973</vt:i4>
      </vt:variant>
      <vt:variant>
        <vt:i4>257</vt:i4>
      </vt:variant>
      <vt:variant>
        <vt:i4>0</vt:i4>
      </vt:variant>
      <vt:variant>
        <vt:i4>5</vt:i4>
      </vt:variant>
      <vt:variant>
        <vt:lpwstr/>
      </vt:variant>
      <vt:variant>
        <vt:lpwstr>Bartels</vt:lpwstr>
      </vt:variant>
      <vt:variant>
        <vt:i4>7733347</vt:i4>
      </vt:variant>
      <vt:variant>
        <vt:i4>254</vt:i4>
      </vt:variant>
      <vt:variant>
        <vt:i4>0</vt:i4>
      </vt:variant>
      <vt:variant>
        <vt:i4>5</vt:i4>
      </vt:variant>
      <vt:variant>
        <vt:lpwstr/>
      </vt:variant>
      <vt:variant>
        <vt:lpwstr>Kuffner</vt:lpwstr>
      </vt:variant>
      <vt:variant>
        <vt:i4>1376278</vt:i4>
      </vt:variant>
      <vt:variant>
        <vt:i4>251</vt:i4>
      </vt:variant>
      <vt:variant>
        <vt:i4>0</vt:i4>
      </vt:variant>
      <vt:variant>
        <vt:i4>5</vt:i4>
      </vt:variant>
      <vt:variant>
        <vt:lpwstr/>
      </vt:variant>
      <vt:variant>
        <vt:lpwstr>Dart</vt:lpwstr>
      </vt:variant>
      <vt:variant>
        <vt:i4>65542</vt:i4>
      </vt:variant>
      <vt:variant>
        <vt:i4>248</vt:i4>
      </vt:variant>
      <vt:variant>
        <vt:i4>0</vt:i4>
      </vt:variant>
      <vt:variant>
        <vt:i4>5</vt:i4>
      </vt:variant>
      <vt:variant>
        <vt:lpwstr/>
      </vt:variant>
      <vt:variant>
        <vt:lpwstr>Hunt</vt:lpwstr>
      </vt:variant>
      <vt:variant>
        <vt:i4>6750314</vt:i4>
      </vt:variant>
      <vt:variant>
        <vt:i4>245</vt:i4>
      </vt:variant>
      <vt:variant>
        <vt:i4>0</vt:i4>
      </vt:variant>
      <vt:variant>
        <vt:i4>5</vt:i4>
      </vt:variant>
      <vt:variant>
        <vt:lpwstr/>
      </vt:variant>
      <vt:variant>
        <vt:lpwstr>NSAIDshypertensionandrenalfunction</vt:lpwstr>
      </vt:variant>
      <vt:variant>
        <vt:i4>6357091</vt:i4>
      </vt:variant>
      <vt:variant>
        <vt:i4>242</vt:i4>
      </vt:variant>
      <vt:variant>
        <vt:i4>0</vt:i4>
      </vt:variant>
      <vt:variant>
        <vt:i4>5</vt:i4>
      </vt:variant>
      <vt:variant>
        <vt:lpwstr/>
      </vt:variant>
      <vt:variant>
        <vt:lpwstr>NSAIDsGIsymptomscardiovascularrisk</vt:lpwstr>
      </vt:variant>
      <vt:variant>
        <vt:i4>6881387</vt:i4>
      </vt:variant>
      <vt:variant>
        <vt:i4>239</vt:i4>
      </vt:variant>
      <vt:variant>
        <vt:i4>0</vt:i4>
      </vt:variant>
      <vt:variant>
        <vt:i4>5</vt:i4>
      </vt:variant>
      <vt:variant>
        <vt:lpwstr/>
      </vt:variant>
      <vt:variant>
        <vt:lpwstr>NSAIDs</vt:lpwstr>
      </vt:variant>
      <vt:variant>
        <vt:i4>327685</vt:i4>
      </vt:variant>
      <vt:variant>
        <vt:i4>236</vt:i4>
      </vt:variant>
      <vt:variant>
        <vt:i4>0</vt:i4>
      </vt:variant>
      <vt:variant>
        <vt:i4>5</vt:i4>
      </vt:variant>
      <vt:variant>
        <vt:lpwstr/>
      </vt:variant>
      <vt:variant>
        <vt:lpwstr>Towheed2006Acetaminophen</vt:lpwstr>
      </vt:variant>
      <vt:variant>
        <vt:i4>262220</vt:i4>
      </vt:variant>
      <vt:variant>
        <vt:i4>233</vt:i4>
      </vt:variant>
      <vt:variant>
        <vt:i4>0</vt:i4>
      </vt:variant>
      <vt:variant>
        <vt:i4>5</vt:i4>
      </vt:variant>
      <vt:variant>
        <vt:lpwstr/>
      </vt:variant>
      <vt:variant>
        <vt:lpwstr>Zhang2008</vt:lpwstr>
      </vt:variant>
      <vt:variant>
        <vt:i4>262220</vt:i4>
      </vt:variant>
      <vt:variant>
        <vt:i4>230</vt:i4>
      </vt:variant>
      <vt:variant>
        <vt:i4>0</vt:i4>
      </vt:variant>
      <vt:variant>
        <vt:i4>5</vt:i4>
      </vt:variant>
      <vt:variant>
        <vt:lpwstr/>
      </vt:variant>
      <vt:variant>
        <vt:lpwstr>Zhang2007</vt:lpwstr>
      </vt:variant>
      <vt:variant>
        <vt:i4>7077992</vt:i4>
      </vt:variant>
      <vt:variant>
        <vt:i4>227</vt:i4>
      </vt:variant>
      <vt:variant>
        <vt:i4>0</vt:i4>
      </vt:variant>
      <vt:variant>
        <vt:i4>5</vt:i4>
      </vt:variant>
      <vt:variant>
        <vt:lpwstr/>
      </vt:variant>
      <vt:variant>
        <vt:lpwstr>Laine2008a</vt:lpwstr>
      </vt:variant>
      <vt:variant>
        <vt:i4>7340157</vt:i4>
      </vt:variant>
      <vt:variant>
        <vt:i4>224</vt:i4>
      </vt:variant>
      <vt:variant>
        <vt:i4>0</vt:i4>
      </vt:variant>
      <vt:variant>
        <vt:i4>5</vt:i4>
      </vt:variant>
      <vt:variant>
        <vt:lpwstr/>
      </vt:variant>
      <vt:variant>
        <vt:lpwstr>Medicationsforacutepain</vt:lpwstr>
      </vt:variant>
      <vt:variant>
        <vt:i4>1310743</vt:i4>
      </vt:variant>
      <vt:variant>
        <vt:i4>221</vt:i4>
      </vt:variant>
      <vt:variant>
        <vt:i4>0</vt:i4>
      </vt:variant>
      <vt:variant>
        <vt:i4>5</vt:i4>
      </vt:variant>
      <vt:variant>
        <vt:lpwstr/>
      </vt:variant>
      <vt:variant>
        <vt:lpwstr>Zanaflex</vt:lpwstr>
      </vt:variant>
      <vt:variant>
        <vt:i4>917534</vt:i4>
      </vt:variant>
      <vt:variant>
        <vt:i4>218</vt:i4>
      </vt:variant>
      <vt:variant>
        <vt:i4>0</vt:i4>
      </vt:variant>
      <vt:variant>
        <vt:i4>5</vt:i4>
      </vt:variant>
      <vt:variant>
        <vt:lpwstr/>
      </vt:variant>
      <vt:variant>
        <vt:lpwstr>Yoga</vt:lpwstr>
      </vt:variant>
      <vt:variant>
        <vt:i4>524308</vt:i4>
      </vt:variant>
      <vt:variant>
        <vt:i4>215</vt:i4>
      </vt:variant>
      <vt:variant>
        <vt:i4>0</vt:i4>
      </vt:variant>
      <vt:variant>
        <vt:i4>5</vt:i4>
      </vt:variant>
      <vt:variant>
        <vt:lpwstr/>
      </vt:variant>
      <vt:variant>
        <vt:lpwstr>Weaningofmedications</vt:lpwstr>
      </vt:variant>
      <vt:variant>
        <vt:i4>6619247</vt:i4>
      </vt:variant>
      <vt:variant>
        <vt:i4>212</vt:i4>
      </vt:variant>
      <vt:variant>
        <vt:i4>0</vt:i4>
      </vt:variant>
      <vt:variant>
        <vt:i4>5</vt:i4>
      </vt:variant>
      <vt:variant>
        <vt:lpwstr/>
      </vt:variant>
      <vt:variant>
        <vt:lpwstr>Valium</vt:lpwstr>
      </vt:variant>
      <vt:variant>
        <vt:i4>6946925</vt:i4>
      </vt:variant>
      <vt:variant>
        <vt:i4>209</vt:i4>
      </vt:variant>
      <vt:variant>
        <vt:i4>0</vt:i4>
      </vt:variant>
      <vt:variant>
        <vt:i4>5</vt:i4>
      </vt:variant>
      <vt:variant>
        <vt:lpwstr/>
      </vt:variant>
      <vt:variant>
        <vt:lpwstr>UltraClear</vt:lpwstr>
      </vt:variant>
      <vt:variant>
        <vt:i4>7012469</vt:i4>
      </vt:variant>
      <vt:variant>
        <vt:i4>206</vt:i4>
      </vt:variant>
      <vt:variant>
        <vt:i4>0</vt:i4>
      </vt:variant>
      <vt:variant>
        <vt:i4>5</vt:i4>
      </vt:variant>
      <vt:variant>
        <vt:lpwstr/>
      </vt:variant>
      <vt:variant>
        <vt:lpwstr>TaiChi</vt:lpwstr>
      </vt:variant>
      <vt:variant>
        <vt:i4>6357103</vt:i4>
      </vt:variant>
      <vt:variant>
        <vt:i4>203</vt:i4>
      </vt:variant>
      <vt:variant>
        <vt:i4>0</vt:i4>
      </vt:variant>
      <vt:variant>
        <vt:i4>5</vt:i4>
      </vt:variant>
      <vt:variant>
        <vt:lpwstr/>
      </vt:variant>
      <vt:variant>
        <vt:lpwstr>Salicylatetopicals</vt:lpwstr>
      </vt:variant>
      <vt:variant>
        <vt:i4>7143530</vt:i4>
      </vt:variant>
      <vt:variant>
        <vt:i4>200</vt:i4>
      </vt:variant>
      <vt:variant>
        <vt:i4>0</vt:i4>
      </vt:variant>
      <vt:variant>
        <vt:i4>5</vt:i4>
      </vt:variant>
      <vt:variant>
        <vt:lpwstr/>
      </vt:variant>
      <vt:variant>
        <vt:lpwstr>Radiofrequencyablation</vt:lpwstr>
      </vt:variant>
      <vt:variant>
        <vt:i4>6357112</vt:i4>
      </vt:variant>
      <vt:variant>
        <vt:i4>197</vt:i4>
      </vt:variant>
      <vt:variant>
        <vt:i4>0</vt:i4>
      </vt:variant>
      <vt:variant>
        <vt:i4>5</vt:i4>
      </vt:variant>
      <vt:variant>
        <vt:lpwstr/>
      </vt:variant>
      <vt:variant>
        <vt:lpwstr>Qigong</vt:lpwstr>
      </vt:variant>
      <vt:variant>
        <vt:i4>8126590</vt:i4>
      </vt:variant>
      <vt:variant>
        <vt:i4>194</vt:i4>
      </vt:variant>
      <vt:variant>
        <vt:i4>0</vt:i4>
      </vt:variant>
      <vt:variant>
        <vt:i4>5</vt:i4>
      </vt:variant>
      <vt:variant>
        <vt:lpwstr/>
      </vt:variant>
      <vt:variant>
        <vt:lpwstr>Painmanagementprograms</vt:lpwstr>
      </vt:variant>
      <vt:variant>
        <vt:i4>7733366</vt:i4>
      </vt:variant>
      <vt:variant>
        <vt:i4>191</vt:i4>
      </vt:variant>
      <vt:variant>
        <vt:i4>0</vt:i4>
      </vt:variant>
      <vt:variant>
        <vt:i4>5</vt:i4>
      </vt:variant>
      <vt:variant>
        <vt:lpwstr/>
      </vt:variant>
      <vt:variant>
        <vt:lpwstr>Occupationaltherapy</vt:lpwstr>
      </vt:variant>
      <vt:variant>
        <vt:i4>131086</vt:i4>
      </vt:variant>
      <vt:variant>
        <vt:i4>188</vt:i4>
      </vt:variant>
      <vt:variant>
        <vt:i4>0</vt:i4>
      </vt:variant>
      <vt:variant>
        <vt:i4>5</vt:i4>
      </vt:variant>
      <vt:variant>
        <vt:lpwstr/>
      </vt:variant>
      <vt:variant>
        <vt:lpwstr>Nabilone</vt:lpwstr>
      </vt:variant>
      <vt:variant>
        <vt:i4>1114143</vt:i4>
      </vt:variant>
      <vt:variant>
        <vt:i4>185</vt:i4>
      </vt:variant>
      <vt:variant>
        <vt:i4>0</vt:i4>
      </vt:variant>
      <vt:variant>
        <vt:i4>5</vt:i4>
      </vt:variant>
      <vt:variant>
        <vt:lpwstr/>
      </vt:variant>
      <vt:variant>
        <vt:lpwstr>Magnettherapy</vt:lpwstr>
      </vt:variant>
      <vt:variant>
        <vt:i4>6488181</vt:i4>
      </vt:variant>
      <vt:variant>
        <vt:i4>182</vt:i4>
      </vt:variant>
      <vt:variant>
        <vt:i4>0</vt:i4>
      </vt:variant>
      <vt:variant>
        <vt:i4>5</vt:i4>
      </vt:variant>
      <vt:variant>
        <vt:lpwstr/>
      </vt:variant>
      <vt:variant>
        <vt:lpwstr>Lacosamide</vt:lpwstr>
      </vt:variant>
      <vt:variant>
        <vt:i4>6684782</vt:i4>
      </vt:variant>
      <vt:variant>
        <vt:i4>179</vt:i4>
      </vt:variant>
      <vt:variant>
        <vt:i4>0</vt:i4>
      </vt:variant>
      <vt:variant>
        <vt:i4>5</vt:i4>
      </vt:variant>
      <vt:variant>
        <vt:lpwstr/>
      </vt:variant>
      <vt:variant>
        <vt:lpwstr>Kadian</vt:lpwstr>
      </vt:variant>
      <vt:variant>
        <vt:i4>1572872</vt:i4>
      </vt:variant>
      <vt:variant>
        <vt:i4>176</vt:i4>
      </vt:variant>
      <vt:variant>
        <vt:i4>0</vt:i4>
      </vt:variant>
      <vt:variant>
        <vt:i4>5</vt:i4>
      </vt:variant>
      <vt:variant>
        <vt:lpwstr/>
      </vt:variant>
      <vt:variant>
        <vt:lpwstr>Ibuprofen</vt:lpwstr>
      </vt:variant>
      <vt:variant>
        <vt:i4>917518</vt:i4>
      </vt:variant>
      <vt:variant>
        <vt:i4>173</vt:i4>
      </vt:variant>
      <vt:variant>
        <vt:i4>0</vt:i4>
      </vt:variant>
      <vt:variant>
        <vt:i4>5</vt:i4>
      </vt:variant>
      <vt:variant>
        <vt:lpwstr/>
      </vt:variant>
      <vt:variant>
        <vt:lpwstr>Haveosgeneticsopioidabusetesting</vt:lpwstr>
      </vt:variant>
      <vt:variant>
        <vt:i4>655375</vt:i4>
      </vt:variant>
      <vt:variant>
        <vt:i4>170</vt:i4>
      </vt:variant>
      <vt:variant>
        <vt:i4>0</vt:i4>
      </vt:variant>
      <vt:variant>
        <vt:i4>5</vt:i4>
      </vt:variant>
      <vt:variant>
        <vt:lpwstr/>
      </vt:variant>
      <vt:variant>
        <vt:lpwstr>GABAdone</vt:lpwstr>
      </vt:variant>
      <vt:variant>
        <vt:i4>6422654</vt:i4>
      </vt:variant>
      <vt:variant>
        <vt:i4>167</vt:i4>
      </vt:variant>
      <vt:variant>
        <vt:i4>0</vt:i4>
      </vt:variant>
      <vt:variant>
        <vt:i4>5</vt:i4>
      </vt:variant>
      <vt:variant>
        <vt:lpwstr/>
      </vt:variant>
      <vt:variant>
        <vt:lpwstr>Facetblocks</vt:lpwstr>
      </vt:variant>
      <vt:variant>
        <vt:i4>7536748</vt:i4>
      </vt:variant>
      <vt:variant>
        <vt:i4>164</vt:i4>
      </vt:variant>
      <vt:variant>
        <vt:i4>0</vt:i4>
      </vt:variant>
      <vt:variant>
        <vt:i4>5</vt:i4>
      </vt:variant>
      <vt:variant>
        <vt:lpwstr/>
      </vt:variant>
      <vt:variant>
        <vt:lpwstr>Earacupuncture</vt:lpwstr>
      </vt:variant>
      <vt:variant>
        <vt:i4>7929977</vt:i4>
      </vt:variant>
      <vt:variant>
        <vt:i4>161</vt:i4>
      </vt:variant>
      <vt:variant>
        <vt:i4>0</vt:i4>
      </vt:variant>
      <vt:variant>
        <vt:i4>5</vt:i4>
      </vt:variant>
      <vt:variant>
        <vt:lpwstr/>
      </vt:variant>
      <vt:variant>
        <vt:lpwstr>Darvon</vt:lpwstr>
      </vt:variant>
      <vt:variant>
        <vt:i4>7733344</vt:i4>
      </vt:variant>
      <vt:variant>
        <vt:i4>158</vt:i4>
      </vt:variant>
      <vt:variant>
        <vt:i4>0</vt:i4>
      </vt:variant>
      <vt:variant>
        <vt:i4>5</vt:i4>
      </vt:variant>
      <vt:variant>
        <vt:lpwstr/>
      </vt:variant>
      <vt:variant>
        <vt:lpwstr>Calcitonin</vt:lpwstr>
      </vt:variant>
      <vt:variant>
        <vt:i4>327691</vt:i4>
      </vt:variant>
      <vt:variant>
        <vt:i4>155</vt:i4>
      </vt:variant>
      <vt:variant>
        <vt:i4>0</vt:i4>
      </vt:variant>
      <vt:variant>
        <vt:i4>5</vt:i4>
      </vt:variant>
      <vt:variant>
        <vt:lpwstr/>
      </vt:variant>
      <vt:variant>
        <vt:lpwstr>Baclofen</vt:lpwstr>
      </vt:variant>
      <vt:variant>
        <vt:i4>7798880</vt:i4>
      </vt:variant>
      <vt:variant>
        <vt:i4>152</vt:i4>
      </vt:variant>
      <vt:variant>
        <vt:i4>0</vt:i4>
      </vt:variant>
      <vt:variant>
        <vt:i4>5</vt:i4>
      </vt:variant>
      <vt:variant>
        <vt:lpwstr/>
      </vt:variant>
      <vt:variant>
        <vt:lpwstr>Abstral</vt:lpwstr>
      </vt:variant>
      <vt:variant>
        <vt:i4>7274588</vt:i4>
      </vt:variant>
      <vt:variant>
        <vt:i4>149</vt:i4>
      </vt:variant>
      <vt:variant>
        <vt:i4>0</vt:i4>
      </vt:variant>
      <vt:variant>
        <vt:i4>5</vt:i4>
      </vt:variant>
      <vt:variant>
        <vt:lpwstr>http://www.mbc.ca.gov/Licensees/Prescribing/Pain_Guidelines.pdf</vt:lpwstr>
      </vt:variant>
      <vt:variant>
        <vt:lpwstr/>
      </vt:variant>
      <vt:variant>
        <vt:i4>3538977</vt:i4>
      </vt:variant>
      <vt:variant>
        <vt:i4>146</vt:i4>
      </vt:variant>
      <vt:variant>
        <vt:i4>0</vt:i4>
      </vt:variant>
      <vt:variant>
        <vt:i4>5</vt:i4>
      </vt:variant>
      <vt:variant>
        <vt:lpwstr>http://www.ncbi.nlm.nih.gov/pubmed/15157710</vt:lpwstr>
      </vt:variant>
      <vt:variant>
        <vt:lpwstr/>
      </vt:variant>
      <vt:variant>
        <vt:i4>6357109</vt:i4>
      </vt:variant>
      <vt:variant>
        <vt:i4>143</vt:i4>
      </vt:variant>
      <vt:variant>
        <vt:i4>0</vt:i4>
      </vt:variant>
      <vt:variant>
        <vt:i4>5</vt:i4>
      </vt:variant>
      <vt:variant>
        <vt:lpwstr>http://www.ncbi.nlm.nih.gov/pubmed/?term=Barad%2C+et+al.%2C+Journal+of+Pain+(2014)</vt:lpwstr>
      </vt:variant>
      <vt:variant>
        <vt:lpwstr/>
      </vt:variant>
      <vt:variant>
        <vt:i4>7340041</vt:i4>
      </vt:variant>
      <vt:variant>
        <vt:i4>140</vt:i4>
      </vt:variant>
      <vt:variant>
        <vt:i4>0</vt:i4>
      </vt:variant>
      <vt:variant>
        <vt:i4>5</vt:i4>
      </vt:variant>
      <vt:variant>
        <vt:lpwstr>http://www.ncbi.nlm.nih.gov/pubmed?term=Chatterjee%20N%5BAuthor%5D&amp;cauthor=true&amp;cauthor_uid=24212070</vt:lpwstr>
      </vt:variant>
      <vt:variant>
        <vt:lpwstr/>
      </vt:variant>
      <vt:variant>
        <vt:i4>589870</vt:i4>
      </vt:variant>
      <vt:variant>
        <vt:i4>137</vt:i4>
      </vt:variant>
      <vt:variant>
        <vt:i4>0</vt:i4>
      </vt:variant>
      <vt:variant>
        <vt:i4>5</vt:i4>
      </vt:variant>
      <vt:variant>
        <vt:lpwstr>http://www.ncbi.nlm.nih.gov/pubmed?term=Younger%20J%5BAuthor%5D&amp;cauthor=true&amp;cauthor_uid=24212070</vt:lpwstr>
      </vt:variant>
      <vt:variant>
        <vt:lpwstr/>
      </vt:variant>
      <vt:variant>
        <vt:i4>1441907</vt:i4>
      </vt:variant>
      <vt:variant>
        <vt:i4>134</vt:i4>
      </vt:variant>
      <vt:variant>
        <vt:i4>0</vt:i4>
      </vt:variant>
      <vt:variant>
        <vt:i4>5</vt:i4>
      </vt:variant>
      <vt:variant>
        <vt:lpwstr>http://www.ncbi.nlm.nih.gov/pubmed?term=Ueno%20T%5BAuthor%5D&amp;cauthor=true&amp;cauthor_uid=24212070</vt:lpwstr>
      </vt:variant>
      <vt:variant>
        <vt:lpwstr/>
      </vt:variant>
      <vt:variant>
        <vt:i4>2424918</vt:i4>
      </vt:variant>
      <vt:variant>
        <vt:i4>131</vt:i4>
      </vt:variant>
      <vt:variant>
        <vt:i4>0</vt:i4>
      </vt:variant>
      <vt:variant>
        <vt:i4>5</vt:i4>
      </vt:variant>
      <vt:variant>
        <vt:lpwstr>http://www.ncbi.nlm.nih.gov/pubmed?term=Barad%20MJ%5BAuthor%5D&amp;cauthor=true&amp;cauthor_uid=24212070</vt:lpwstr>
      </vt:variant>
      <vt:variant>
        <vt:lpwstr/>
      </vt:variant>
      <vt:variant>
        <vt:i4>5177423</vt:i4>
      </vt:variant>
      <vt:variant>
        <vt:i4>128</vt:i4>
      </vt:variant>
      <vt:variant>
        <vt:i4>0</vt:i4>
      </vt:variant>
      <vt:variant>
        <vt:i4>5</vt:i4>
      </vt:variant>
      <vt:variant>
        <vt:lpwstr>http://www.disabilityguidelines.com/</vt:lpwstr>
      </vt:variant>
      <vt:variant>
        <vt:lpwstr/>
      </vt:variant>
      <vt:variant>
        <vt:i4>7274544</vt:i4>
      </vt:variant>
      <vt:variant>
        <vt:i4>125</vt:i4>
      </vt:variant>
      <vt:variant>
        <vt:i4>0</vt:i4>
      </vt:variant>
      <vt:variant>
        <vt:i4>5</vt:i4>
      </vt:variant>
      <vt:variant>
        <vt:lpwstr/>
      </vt:variant>
      <vt:variant>
        <vt:lpwstr>AMA2001</vt:lpwstr>
      </vt:variant>
      <vt:variant>
        <vt:i4>1966111</vt:i4>
      </vt:variant>
      <vt:variant>
        <vt:i4>122</vt:i4>
      </vt:variant>
      <vt:variant>
        <vt:i4>0</vt:i4>
      </vt:variant>
      <vt:variant>
        <vt:i4>5</vt:i4>
      </vt:variant>
      <vt:variant>
        <vt:lpwstr/>
      </vt:variant>
      <vt:variant>
        <vt:lpwstr>Malhotra2012</vt:lpwstr>
      </vt:variant>
      <vt:variant>
        <vt:i4>7012406</vt:i4>
      </vt:variant>
      <vt:variant>
        <vt:i4>119</vt:i4>
      </vt:variant>
      <vt:variant>
        <vt:i4>0</vt:i4>
      </vt:variant>
      <vt:variant>
        <vt:i4>5</vt:i4>
      </vt:variant>
      <vt:variant>
        <vt:lpwstr/>
      </vt:variant>
      <vt:variant>
        <vt:lpwstr>Kim2004</vt:lpwstr>
      </vt:variant>
      <vt:variant>
        <vt:i4>7274544</vt:i4>
      </vt:variant>
      <vt:variant>
        <vt:i4>116</vt:i4>
      </vt:variant>
      <vt:variant>
        <vt:i4>0</vt:i4>
      </vt:variant>
      <vt:variant>
        <vt:i4>5</vt:i4>
      </vt:variant>
      <vt:variant>
        <vt:lpwstr/>
      </vt:variant>
      <vt:variant>
        <vt:lpwstr>AMA2001</vt:lpwstr>
      </vt:variant>
      <vt:variant>
        <vt:i4>655388</vt:i4>
      </vt:variant>
      <vt:variant>
        <vt:i4>112</vt:i4>
      </vt:variant>
      <vt:variant>
        <vt:i4>0</vt:i4>
      </vt:variant>
      <vt:variant>
        <vt:i4>5</vt:i4>
      </vt:variant>
      <vt:variant>
        <vt:lpwstr/>
      </vt:variant>
      <vt:variant>
        <vt:lpwstr>Feinberg2013</vt:lpwstr>
      </vt:variant>
      <vt:variant>
        <vt:i4>1507342</vt:i4>
      </vt:variant>
      <vt:variant>
        <vt:i4>109</vt:i4>
      </vt:variant>
      <vt:variant>
        <vt:i4>0</vt:i4>
      </vt:variant>
      <vt:variant>
        <vt:i4>5</vt:i4>
      </vt:variant>
      <vt:variant>
        <vt:lpwstr/>
      </vt:variant>
      <vt:variant>
        <vt:lpwstr>Gatchel2005intro</vt:lpwstr>
      </vt:variant>
      <vt:variant>
        <vt:i4>7798910</vt:i4>
      </vt:variant>
      <vt:variant>
        <vt:i4>106</vt:i4>
      </vt:variant>
      <vt:variant>
        <vt:i4>0</vt:i4>
      </vt:variant>
      <vt:variant>
        <vt:i4>5</vt:i4>
      </vt:variant>
      <vt:variant>
        <vt:lpwstr/>
      </vt:variant>
      <vt:variant>
        <vt:lpwstr>Guzman2001</vt:lpwstr>
      </vt:variant>
      <vt:variant>
        <vt:i4>1376257</vt:i4>
      </vt:variant>
      <vt:variant>
        <vt:i4>103</vt:i4>
      </vt:variant>
      <vt:variant>
        <vt:i4>0</vt:i4>
      </vt:variant>
      <vt:variant>
        <vt:i4>5</vt:i4>
      </vt:variant>
      <vt:variant>
        <vt:lpwstr/>
      </vt:variant>
      <vt:variant>
        <vt:lpwstr>Flor1992</vt:lpwstr>
      </vt:variant>
      <vt:variant>
        <vt:i4>1376284</vt:i4>
      </vt:variant>
      <vt:variant>
        <vt:i4>96</vt:i4>
      </vt:variant>
      <vt:variant>
        <vt:i4>0</vt:i4>
      </vt:variant>
      <vt:variant>
        <vt:i4>5</vt:i4>
      </vt:variant>
      <vt:variant>
        <vt:lpwstr/>
      </vt:variant>
      <vt:variant>
        <vt:lpwstr>CDC2010intro</vt:lpwstr>
      </vt:variant>
      <vt:variant>
        <vt:i4>917505</vt:i4>
      </vt:variant>
      <vt:variant>
        <vt:i4>93</vt:i4>
      </vt:variant>
      <vt:variant>
        <vt:i4>0</vt:i4>
      </vt:variant>
      <vt:variant>
        <vt:i4>5</vt:i4>
      </vt:variant>
      <vt:variant>
        <vt:lpwstr>http://www.cdc.gov/mmwr/preview/mmwrhtml/mm5949a1.htm?s_cid=mm5949a1_w</vt:lpwstr>
      </vt:variant>
      <vt:variant>
        <vt:lpwstr/>
      </vt:variant>
      <vt:variant>
        <vt:i4>7995506</vt:i4>
      </vt:variant>
      <vt:variant>
        <vt:i4>90</vt:i4>
      </vt:variant>
      <vt:variant>
        <vt:i4>0</vt:i4>
      </vt:variant>
      <vt:variant>
        <vt:i4>5</vt:i4>
      </vt:variant>
      <vt:variant>
        <vt:lpwstr/>
      </vt:variant>
      <vt:variant>
        <vt:lpwstr>Morley1999</vt:lpwstr>
      </vt:variant>
      <vt:variant>
        <vt:i4>65627</vt:i4>
      </vt:variant>
      <vt:variant>
        <vt:i4>87</vt:i4>
      </vt:variant>
      <vt:variant>
        <vt:i4>0</vt:i4>
      </vt:variant>
      <vt:variant>
        <vt:i4>5</vt:i4>
      </vt:variant>
      <vt:variant>
        <vt:lpwstr/>
      </vt:variant>
      <vt:variant>
        <vt:lpwstr>Keefe2004</vt:lpwstr>
      </vt:variant>
      <vt:variant>
        <vt:i4>6750323</vt:i4>
      </vt:variant>
      <vt:variant>
        <vt:i4>84</vt:i4>
      </vt:variant>
      <vt:variant>
        <vt:i4>0</vt:i4>
      </vt:variant>
      <vt:variant>
        <vt:i4>5</vt:i4>
      </vt:variant>
      <vt:variant>
        <vt:lpwstr/>
      </vt:variant>
      <vt:variant>
        <vt:lpwstr>McCracken2005intro</vt:lpwstr>
      </vt:variant>
      <vt:variant>
        <vt:i4>7536751</vt:i4>
      </vt:variant>
      <vt:variant>
        <vt:i4>81</vt:i4>
      </vt:variant>
      <vt:variant>
        <vt:i4>0</vt:i4>
      </vt:variant>
      <vt:variant>
        <vt:i4>5</vt:i4>
      </vt:variant>
      <vt:variant>
        <vt:lpwstr/>
      </vt:variant>
      <vt:variant>
        <vt:lpwstr>Linton2000</vt:lpwstr>
      </vt:variant>
      <vt:variant>
        <vt:i4>7733345</vt:i4>
      </vt:variant>
      <vt:variant>
        <vt:i4>78</vt:i4>
      </vt:variant>
      <vt:variant>
        <vt:i4>0</vt:i4>
      </vt:variant>
      <vt:variant>
        <vt:i4>5</vt:i4>
      </vt:variant>
      <vt:variant>
        <vt:lpwstr/>
      </vt:variant>
      <vt:variant>
        <vt:lpwstr>Hanson1993</vt:lpwstr>
      </vt:variant>
      <vt:variant>
        <vt:i4>196695</vt:i4>
      </vt:variant>
      <vt:variant>
        <vt:i4>75</vt:i4>
      </vt:variant>
      <vt:variant>
        <vt:i4>0</vt:i4>
      </vt:variant>
      <vt:variant>
        <vt:i4>5</vt:i4>
      </vt:variant>
      <vt:variant>
        <vt:lpwstr/>
      </vt:variant>
      <vt:variant>
        <vt:lpwstr>Engel1997</vt:lpwstr>
      </vt:variant>
      <vt:variant>
        <vt:i4>2031620</vt:i4>
      </vt:variant>
      <vt:variant>
        <vt:i4>72</vt:i4>
      </vt:variant>
      <vt:variant>
        <vt:i4>0</vt:i4>
      </vt:variant>
      <vt:variant>
        <vt:i4>5</vt:i4>
      </vt:variant>
      <vt:variant>
        <vt:lpwstr/>
      </vt:variant>
      <vt:variant>
        <vt:lpwstr>Turk2001</vt:lpwstr>
      </vt:variant>
      <vt:variant>
        <vt:i4>27</vt:i4>
      </vt:variant>
      <vt:variant>
        <vt:i4>69</vt:i4>
      </vt:variant>
      <vt:variant>
        <vt:i4>0</vt:i4>
      </vt:variant>
      <vt:variant>
        <vt:i4>5</vt:i4>
      </vt:variant>
      <vt:variant>
        <vt:lpwstr/>
      </vt:variant>
      <vt:variant>
        <vt:lpwstr>ACOEMPractice</vt:lpwstr>
      </vt:variant>
      <vt:variant>
        <vt:i4>6750249</vt:i4>
      </vt:variant>
      <vt:variant>
        <vt:i4>65</vt:i4>
      </vt:variant>
      <vt:variant>
        <vt:i4>0</vt:i4>
      </vt:variant>
      <vt:variant>
        <vt:i4>5</vt:i4>
      </vt:variant>
      <vt:variant>
        <vt:lpwstr/>
      </vt:variant>
      <vt:variant>
        <vt:lpwstr>Younger2010</vt:lpwstr>
      </vt:variant>
      <vt:variant>
        <vt:i4>2031628</vt:i4>
      </vt:variant>
      <vt:variant>
        <vt:i4>62</vt:i4>
      </vt:variant>
      <vt:variant>
        <vt:i4>0</vt:i4>
      </vt:variant>
      <vt:variant>
        <vt:i4>5</vt:i4>
      </vt:variant>
      <vt:variant>
        <vt:lpwstr/>
      </vt:variant>
      <vt:variant>
        <vt:lpwstr>Ung2012intro</vt:lpwstr>
      </vt:variant>
      <vt:variant>
        <vt:i4>7798889</vt:i4>
      </vt:variant>
      <vt:variant>
        <vt:i4>59</vt:i4>
      </vt:variant>
      <vt:variant>
        <vt:i4>0</vt:i4>
      </vt:variant>
      <vt:variant>
        <vt:i4>5</vt:i4>
      </vt:variant>
      <vt:variant>
        <vt:lpwstr/>
      </vt:variant>
      <vt:variant>
        <vt:lpwstr>Mackey2004</vt:lpwstr>
      </vt:variant>
      <vt:variant>
        <vt:i4>196676</vt:i4>
      </vt:variant>
      <vt:variant>
        <vt:i4>56</vt:i4>
      </vt:variant>
      <vt:variant>
        <vt:i4>0</vt:i4>
      </vt:variant>
      <vt:variant>
        <vt:i4>5</vt:i4>
      </vt:variant>
      <vt:variant>
        <vt:lpwstr/>
      </vt:variant>
      <vt:variant>
        <vt:lpwstr>Barad2014</vt:lpwstr>
      </vt:variant>
      <vt:variant>
        <vt:i4>7798889</vt:i4>
      </vt:variant>
      <vt:variant>
        <vt:i4>51</vt:i4>
      </vt:variant>
      <vt:variant>
        <vt:i4>0</vt:i4>
      </vt:variant>
      <vt:variant>
        <vt:i4>5</vt:i4>
      </vt:variant>
      <vt:variant>
        <vt:lpwstr/>
      </vt:variant>
      <vt:variant>
        <vt:lpwstr>Mackey2004</vt:lpwstr>
      </vt:variant>
      <vt:variant>
        <vt:i4>7274606</vt:i4>
      </vt:variant>
      <vt:variant>
        <vt:i4>48</vt:i4>
      </vt:variant>
      <vt:variant>
        <vt:i4>0</vt:i4>
      </vt:variant>
      <vt:variant>
        <vt:i4>5</vt:i4>
      </vt:variant>
      <vt:variant>
        <vt:lpwstr/>
      </vt:variant>
      <vt:variant>
        <vt:lpwstr>Loeser2001</vt:lpwstr>
      </vt:variant>
      <vt:variant>
        <vt:i4>2031620</vt:i4>
      </vt:variant>
      <vt:variant>
        <vt:i4>45</vt:i4>
      </vt:variant>
      <vt:variant>
        <vt:i4>0</vt:i4>
      </vt:variant>
      <vt:variant>
        <vt:i4>5</vt:i4>
      </vt:variant>
      <vt:variant>
        <vt:lpwstr/>
      </vt:variant>
      <vt:variant>
        <vt:lpwstr>Turk2001</vt:lpwstr>
      </vt:variant>
      <vt:variant>
        <vt:i4>7077940</vt:i4>
      </vt:variant>
      <vt:variant>
        <vt:i4>42</vt:i4>
      </vt:variant>
      <vt:variant>
        <vt:i4>0</vt:i4>
      </vt:variant>
      <vt:variant>
        <vt:i4>5</vt:i4>
      </vt:variant>
      <vt:variant>
        <vt:lpwstr/>
      </vt:variant>
      <vt:variant>
        <vt:lpwstr>IOM2011</vt:lpwstr>
      </vt:variant>
      <vt:variant>
        <vt:i4>6619175</vt:i4>
      </vt:variant>
      <vt:variant>
        <vt:i4>39</vt:i4>
      </vt:variant>
      <vt:variant>
        <vt:i4>0</vt:i4>
      </vt:variant>
      <vt:variant>
        <vt:i4>5</vt:i4>
      </vt:variant>
      <vt:variant>
        <vt:lpwstr/>
      </vt:variant>
      <vt:variant>
        <vt:lpwstr>Gatchel2007</vt:lpwstr>
      </vt:variant>
      <vt:variant>
        <vt:i4>7602226</vt:i4>
      </vt:variant>
      <vt:variant>
        <vt:i4>36</vt:i4>
      </vt:variant>
      <vt:variant>
        <vt:i4>0</vt:i4>
      </vt:variant>
      <vt:variant>
        <vt:i4>5</vt:i4>
      </vt:variant>
      <vt:variant>
        <vt:lpwstr/>
      </vt:variant>
      <vt:variant>
        <vt:lpwstr>Melzack1996</vt:lpwstr>
      </vt:variant>
      <vt:variant>
        <vt:i4>7077940</vt:i4>
      </vt:variant>
      <vt:variant>
        <vt:i4>33</vt:i4>
      </vt:variant>
      <vt:variant>
        <vt:i4>0</vt:i4>
      </vt:variant>
      <vt:variant>
        <vt:i4>5</vt:i4>
      </vt:variant>
      <vt:variant>
        <vt:lpwstr/>
      </vt:variant>
      <vt:variant>
        <vt:lpwstr>IOM2011</vt:lpwstr>
      </vt:variant>
      <vt:variant>
        <vt:i4>7012395</vt:i4>
      </vt:variant>
      <vt:variant>
        <vt:i4>30</vt:i4>
      </vt:variant>
      <vt:variant>
        <vt:i4>0</vt:i4>
      </vt:variant>
      <vt:variant>
        <vt:i4>5</vt:i4>
      </vt:variant>
      <vt:variant>
        <vt:lpwstr/>
      </vt:variant>
      <vt:variant>
        <vt:lpwstr>Kindler2011</vt:lpwstr>
      </vt:variant>
      <vt:variant>
        <vt:i4>1769498</vt:i4>
      </vt:variant>
      <vt:variant>
        <vt:i4>27</vt:i4>
      </vt:variant>
      <vt:variant>
        <vt:i4>0</vt:i4>
      </vt:variant>
      <vt:variant>
        <vt:i4>5</vt:i4>
      </vt:variant>
      <vt:variant>
        <vt:lpwstr/>
      </vt:variant>
      <vt:variant>
        <vt:lpwstr>Costigan2009</vt:lpwstr>
      </vt:variant>
      <vt:variant>
        <vt:i4>7077940</vt:i4>
      </vt:variant>
      <vt:variant>
        <vt:i4>24</vt:i4>
      </vt:variant>
      <vt:variant>
        <vt:i4>0</vt:i4>
      </vt:variant>
      <vt:variant>
        <vt:i4>5</vt:i4>
      </vt:variant>
      <vt:variant>
        <vt:lpwstr/>
      </vt:variant>
      <vt:variant>
        <vt:lpwstr>IOM2011</vt:lpwstr>
      </vt:variant>
      <vt:variant>
        <vt:i4>6684776</vt:i4>
      </vt:variant>
      <vt:variant>
        <vt:i4>21</vt:i4>
      </vt:variant>
      <vt:variant>
        <vt:i4>0</vt:i4>
      </vt:variant>
      <vt:variant>
        <vt:i4>5</vt:i4>
      </vt:variant>
      <vt:variant>
        <vt:lpwstr/>
      </vt:variant>
      <vt:variant>
        <vt:lpwstr>Hughes2008</vt:lpwstr>
      </vt:variant>
      <vt:variant>
        <vt:i4>8060980</vt:i4>
      </vt:variant>
      <vt:variant>
        <vt:i4>17</vt:i4>
      </vt:variant>
      <vt:variant>
        <vt:i4>0</vt:i4>
      </vt:variant>
      <vt:variant>
        <vt:i4>5</vt:i4>
      </vt:variant>
      <vt:variant>
        <vt:lpwstr/>
      </vt:variant>
      <vt:variant>
        <vt:lpwstr>Merskey1994</vt:lpwstr>
      </vt:variant>
      <vt:variant>
        <vt:i4>2555946</vt:i4>
      </vt:variant>
      <vt:variant>
        <vt:i4>12</vt:i4>
      </vt:variant>
      <vt:variant>
        <vt:i4>0</vt:i4>
      </vt:variant>
      <vt:variant>
        <vt:i4>5</vt:i4>
      </vt:variant>
      <vt:variant>
        <vt:lpwstr>http://www.dir.ca.gov/dwc/DWCWCABForum/MTUSRegs.htm</vt:lpwstr>
      </vt:variant>
      <vt:variant>
        <vt:lpwstr/>
      </vt:variant>
      <vt:variant>
        <vt:i4>393224</vt:i4>
      </vt:variant>
      <vt:variant>
        <vt:i4>9</vt:i4>
      </vt:variant>
      <vt:variant>
        <vt:i4>0</vt:i4>
      </vt:variant>
      <vt:variant>
        <vt:i4>5</vt:i4>
      </vt:variant>
      <vt:variant>
        <vt:lpwstr/>
      </vt:variant>
      <vt:variant>
        <vt:lpwstr>Reference</vt:lpwstr>
      </vt:variant>
      <vt:variant>
        <vt:i4>65536</vt:i4>
      </vt:variant>
      <vt:variant>
        <vt:i4>6</vt:i4>
      </vt:variant>
      <vt:variant>
        <vt:i4>0</vt:i4>
      </vt:variant>
      <vt:variant>
        <vt:i4>5</vt:i4>
      </vt:variant>
      <vt:variant>
        <vt:lpwstr/>
      </vt:variant>
      <vt:variant>
        <vt:lpwstr>ProcedureSummary</vt:lpwstr>
      </vt:variant>
      <vt:variant>
        <vt:i4>524311</vt:i4>
      </vt:variant>
      <vt:variant>
        <vt:i4>3</vt:i4>
      </vt:variant>
      <vt:variant>
        <vt:i4>0</vt:i4>
      </vt:variant>
      <vt:variant>
        <vt:i4>5</vt:i4>
      </vt:variant>
      <vt:variant>
        <vt:lpwstr/>
      </vt:variant>
      <vt:variant>
        <vt:lpwstr>Introrefs</vt:lpwstr>
      </vt:variant>
      <vt:variant>
        <vt:i4>589889</vt:i4>
      </vt:variant>
      <vt:variant>
        <vt:i4>0</vt:i4>
      </vt:variant>
      <vt:variant>
        <vt:i4>0</vt:i4>
      </vt:variant>
      <vt:variant>
        <vt:i4>5</vt:i4>
      </vt:variant>
      <vt:variant>
        <vt:lpwstr/>
      </vt:variant>
      <vt:variant>
        <vt:lpwstr>Part1introduction</vt:lpwstr>
      </vt:variant>
      <vt:variant>
        <vt:i4>720975</vt:i4>
      </vt:variant>
      <vt:variant>
        <vt:i4>24</vt:i4>
      </vt:variant>
      <vt:variant>
        <vt:i4>0</vt:i4>
      </vt:variant>
      <vt:variant>
        <vt:i4>5</vt:i4>
      </vt:variant>
      <vt:variant>
        <vt:lpwstr>http://www.odg-twc.com/odgtwc/pain.htm</vt:lpwstr>
      </vt:variant>
      <vt:variant>
        <vt:lpwstr>Herbalmedicines</vt:lpwstr>
      </vt:variant>
      <vt:variant>
        <vt:i4>64</vt:i4>
      </vt:variant>
      <vt:variant>
        <vt:i4>21</vt:i4>
      </vt:variant>
      <vt:variant>
        <vt:i4>0</vt:i4>
      </vt:variant>
      <vt:variant>
        <vt:i4>5</vt:i4>
      </vt:variant>
      <vt:variant>
        <vt:lpwstr>http://www.odg-twc.com/odgtwc/pain.htm</vt:lpwstr>
      </vt:variant>
      <vt:variant>
        <vt:lpwstr>Maroon</vt:lpwstr>
      </vt:variant>
      <vt:variant>
        <vt:i4>6684712</vt:i4>
      </vt:variant>
      <vt:variant>
        <vt:i4>18</vt:i4>
      </vt:variant>
      <vt:variant>
        <vt:i4>0</vt:i4>
      </vt:variant>
      <vt:variant>
        <vt:i4>5</vt:i4>
      </vt:variant>
      <vt:variant>
        <vt:lpwstr>http://www.odg-twc.com/odgtwc/pain.htm</vt:lpwstr>
      </vt:variant>
      <vt:variant>
        <vt:lpwstr>Hospitallengthofstay</vt:lpwstr>
      </vt:variant>
      <vt:variant>
        <vt:i4>7274545</vt:i4>
      </vt:variant>
      <vt:variant>
        <vt:i4>15</vt:i4>
      </vt:variant>
      <vt:variant>
        <vt:i4>0</vt:i4>
      </vt:variant>
      <vt:variant>
        <vt:i4>5</vt:i4>
      </vt:variant>
      <vt:variant>
        <vt:lpwstr>http://www.odg-twc.com/odgtwc/stress.htm</vt:lpwstr>
      </vt:variant>
      <vt:variant>
        <vt:lpwstr>PsychologicalevaluationsSCS</vt:lpwstr>
      </vt:variant>
      <vt:variant>
        <vt:i4>5636177</vt:i4>
      </vt:variant>
      <vt:variant>
        <vt:i4>12</vt:i4>
      </vt:variant>
      <vt:variant>
        <vt:i4>0</vt:i4>
      </vt:variant>
      <vt:variant>
        <vt:i4>5</vt:i4>
      </vt:variant>
      <vt:variant>
        <vt:lpwstr>http://www.fda.gov/Drugs/DrugSafety/PostmarketDrugSafetyInformationforPatientsandProviders/ucm172039.htm</vt:lpwstr>
      </vt:variant>
      <vt:variant>
        <vt:lpwstr/>
      </vt:variant>
      <vt:variant>
        <vt:i4>720975</vt:i4>
      </vt:variant>
      <vt:variant>
        <vt:i4>9</vt:i4>
      </vt:variant>
      <vt:variant>
        <vt:i4>0</vt:i4>
      </vt:variant>
      <vt:variant>
        <vt:i4>5</vt:i4>
      </vt:variant>
      <vt:variant>
        <vt:lpwstr>http://www.odg-twc.com/odgtwc/pain.htm</vt:lpwstr>
      </vt:variant>
      <vt:variant>
        <vt:lpwstr>Herbalmedicines</vt:lpwstr>
      </vt:variant>
      <vt:variant>
        <vt:i4>64</vt:i4>
      </vt:variant>
      <vt:variant>
        <vt:i4>6</vt:i4>
      </vt:variant>
      <vt:variant>
        <vt:i4>0</vt:i4>
      </vt:variant>
      <vt:variant>
        <vt:i4>5</vt:i4>
      </vt:variant>
      <vt:variant>
        <vt:lpwstr>http://www.odg-twc.com/odgtwc/pain.htm</vt:lpwstr>
      </vt:variant>
      <vt:variant>
        <vt:lpwstr>Maroon</vt:lpwstr>
      </vt:variant>
      <vt:variant>
        <vt:i4>7274545</vt:i4>
      </vt:variant>
      <vt:variant>
        <vt:i4>3</vt:i4>
      </vt:variant>
      <vt:variant>
        <vt:i4>0</vt:i4>
      </vt:variant>
      <vt:variant>
        <vt:i4>5</vt:i4>
      </vt:variant>
      <vt:variant>
        <vt:lpwstr>http://www.odg-twc.com/odgtwc/stress.htm</vt:lpwstr>
      </vt:variant>
      <vt:variant>
        <vt:lpwstr>PsychologicalevaluationsSCS</vt:lpwstr>
      </vt:variant>
      <vt:variant>
        <vt:i4>5636177</vt:i4>
      </vt:variant>
      <vt:variant>
        <vt:i4>0</vt:i4>
      </vt:variant>
      <vt:variant>
        <vt:i4>0</vt:i4>
      </vt:variant>
      <vt:variant>
        <vt:i4>5</vt:i4>
      </vt:variant>
      <vt:variant>
        <vt:lpwstr>http://www.fda.gov/Drugs/DrugSafety/PostmarketDrugSafetyInformationforPatientsandProviders/ucm172039.htm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 TWC Pain</dc:title>
  <dc:creator>WLDI</dc:creator>
  <cp:lastModifiedBy>Windows User</cp:lastModifiedBy>
  <cp:revision>2</cp:revision>
  <cp:lastPrinted>2015-11-23T22:39:00Z</cp:lastPrinted>
  <dcterms:created xsi:type="dcterms:W3CDTF">2016-06-03T18:55:00Z</dcterms:created>
  <dcterms:modified xsi:type="dcterms:W3CDTF">2016-06-03T18:55:00Z</dcterms:modified>
</cp:coreProperties>
</file>